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25" w:type="dxa"/>
        <w:tblInd w:w="-4" w:type="dxa"/>
        <w:tblBorders>
          <w:bottom w:val="single" w:sz="30" w:space="0" w:color="000000"/>
        </w:tblBorders>
        <w:tblLayout w:type="fixed"/>
        <w:tblLook w:val="0000"/>
      </w:tblPr>
      <w:tblGrid>
        <w:gridCol w:w="1264"/>
        <w:gridCol w:w="1260"/>
        <w:gridCol w:w="2611"/>
        <w:gridCol w:w="1980"/>
        <w:gridCol w:w="2610"/>
      </w:tblGrid>
      <w:tr w:rsidR="00D3744C" w:rsidRPr="00711439" w:rsidTr="003960EF">
        <w:tc>
          <w:tcPr>
            <w:tcW w:w="1264" w:type="dxa"/>
            <w:tcBorders>
              <w:bottom w:val="single" w:sz="12" w:space="0" w:color="000000"/>
            </w:tcBorders>
          </w:tcPr>
          <w:p w:rsidR="00D3744C" w:rsidRPr="00711439" w:rsidRDefault="003960EF" w:rsidP="00D3744C">
            <w:pPr>
              <w:topLinePunct/>
              <w:ind w:firstLine="0"/>
              <w:rPr>
                <w:noProof/>
                <w:lang w:eastAsia="zh-CN"/>
              </w:rPr>
            </w:pPr>
            <w:r w:rsidRPr="00F13B79">
              <w:rPr>
                <w:noProof/>
                <w:kern w:val="22"/>
                <w:lang w:eastAsia="zh-CN"/>
              </w:rPr>
              <w:drawing>
                <wp:inline distT="0" distB="0" distL="0" distR="0">
                  <wp:extent cx="522029" cy="441731"/>
                  <wp:effectExtent l="0" t="0" r="0" b="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51" cy="456727"/>
                          </a:xfrm>
                          <a:prstGeom prst="rect">
                            <a:avLst/>
                          </a:prstGeom>
                          <a:noFill/>
                          <a:ln>
                            <a:noFill/>
                          </a:ln>
                        </pic:spPr>
                      </pic:pic>
                    </a:graphicData>
                  </a:graphic>
                </wp:inline>
              </w:drawing>
            </w:r>
          </w:p>
        </w:tc>
        <w:tc>
          <w:tcPr>
            <w:tcW w:w="1260" w:type="dxa"/>
            <w:tcBorders>
              <w:bottom w:val="single" w:sz="12" w:space="0" w:color="000000"/>
            </w:tcBorders>
          </w:tcPr>
          <w:p w:rsidR="00D3744C" w:rsidRPr="00711439" w:rsidRDefault="003960EF" w:rsidP="003960EF">
            <w:pPr>
              <w:topLinePunct/>
              <w:ind w:left="-125" w:firstLine="0"/>
              <w:rPr>
                <w:lang w:eastAsia="zh-CN"/>
              </w:rPr>
            </w:pPr>
            <w:r w:rsidRPr="00285DD9">
              <w:rPr>
                <w:noProof/>
                <w:kern w:val="22"/>
                <w:lang w:eastAsia="zh-CN"/>
              </w:rPr>
              <w:drawing>
                <wp:inline distT="0" distB="0" distL="0" distR="0">
                  <wp:extent cx="464430" cy="544830"/>
                  <wp:effectExtent l="0" t="0" r="0" b="7620"/>
                  <wp:docPr id="6" name="Picture 6" descr="Macintosh HD:Users:bilodeau:Desktop:logos:template 2017:unep-o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odeau:Desktop:logos:template 2017:unep-old.em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065" cy="545575"/>
                          </a:xfrm>
                          <a:prstGeom prst="rect">
                            <a:avLst/>
                          </a:prstGeom>
                          <a:noFill/>
                          <a:ln>
                            <a:noFill/>
                          </a:ln>
                        </pic:spPr>
                      </pic:pic>
                    </a:graphicData>
                  </a:graphic>
                </wp:inline>
              </w:drawing>
            </w:r>
          </w:p>
        </w:tc>
        <w:tc>
          <w:tcPr>
            <w:tcW w:w="7201" w:type="dxa"/>
            <w:gridSpan w:val="3"/>
            <w:tcBorders>
              <w:bottom w:val="single" w:sz="12" w:space="0" w:color="000000"/>
            </w:tcBorders>
          </w:tcPr>
          <w:p w:rsidR="00D3744C" w:rsidRPr="00711439" w:rsidRDefault="00D3744C" w:rsidP="00A8359F">
            <w:pPr>
              <w:keepNext/>
              <w:topLinePunct/>
              <w:spacing w:beforeLines="30"/>
              <w:jc w:val="right"/>
              <w:outlineLvl w:val="7"/>
              <w:rPr>
                <w:rFonts w:ascii="Arial" w:hAnsi="Arial"/>
                <w:b/>
                <w:sz w:val="32"/>
                <w:szCs w:val="32"/>
                <w:lang w:eastAsia="zh-CN"/>
              </w:rPr>
            </w:pPr>
            <w:r w:rsidRPr="00711439">
              <w:rPr>
                <w:rFonts w:ascii="Arial" w:hAnsi="Arial"/>
                <w:b/>
                <w:sz w:val="32"/>
                <w:szCs w:val="32"/>
                <w:lang w:eastAsia="zh-CN"/>
              </w:rPr>
              <w:t>CBD</w:t>
            </w:r>
          </w:p>
          <w:p w:rsidR="00D3744C" w:rsidRPr="00711439" w:rsidRDefault="00D3744C" w:rsidP="00972113">
            <w:pPr>
              <w:topLinePunct/>
              <w:rPr>
                <w:rFonts w:ascii="Univers" w:hAnsi="Univers"/>
                <w:b/>
                <w:sz w:val="36"/>
                <w:szCs w:val="36"/>
                <w:lang w:eastAsia="zh-CN"/>
              </w:rPr>
            </w:pPr>
          </w:p>
        </w:tc>
      </w:tr>
      <w:tr w:rsidR="00D3744C" w:rsidRPr="00711439" w:rsidTr="003960EF">
        <w:trPr>
          <w:trHeight w:val="1693"/>
        </w:trPr>
        <w:tc>
          <w:tcPr>
            <w:tcW w:w="5135" w:type="dxa"/>
            <w:gridSpan w:val="3"/>
          </w:tcPr>
          <w:p w:rsidR="00D3744C" w:rsidRPr="00711439" w:rsidRDefault="00D3744C" w:rsidP="00D3744C">
            <w:pPr>
              <w:topLinePunct/>
              <w:spacing w:before="0" w:after="0"/>
              <w:ind w:hanging="14"/>
              <w:rPr>
                <w:sz w:val="16"/>
                <w:szCs w:val="16"/>
                <w:lang w:eastAsia="zh-CN"/>
              </w:rPr>
            </w:pPr>
          </w:p>
          <w:p w:rsidR="00D3744C" w:rsidRPr="00711439" w:rsidRDefault="00D3744C" w:rsidP="00D3744C">
            <w:pPr>
              <w:topLinePunct/>
              <w:spacing w:before="0" w:after="0"/>
              <w:ind w:hanging="14"/>
              <w:rPr>
                <w:b/>
                <w:sz w:val="40"/>
                <w:szCs w:val="40"/>
                <w:lang w:eastAsia="zh-CN"/>
              </w:rPr>
            </w:pPr>
            <w:r w:rsidRPr="00711439">
              <w:rPr>
                <w:b/>
                <w:noProof/>
                <w:sz w:val="40"/>
                <w:szCs w:val="40"/>
                <w:lang w:eastAsia="zh-CN"/>
              </w:rPr>
              <w:drawing>
                <wp:inline distT="0" distB="0" distL="0" distR="0">
                  <wp:extent cx="3181350" cy="1145825"/>
                  <wp:effectExtent l="0" t="0" r="0" b="0"/>
                  <wp:docPr id="3" name="Picture 3" descr="CBD_logo_ch-CMYK-blac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D_logo_ch-CMYK-black [Converted]"/>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623" cy="1148805"/>
                          </a:xfrm>
                          <a:prstGeom prst="rect">
                            <a:avLst/>
                          </a:prstGeom>
                          <a:noFill/>
                          <a:ln>
                            <a:noFill/>
                          </a:ln>
                        </pic:spPr>
                      </pic:pic>
                    </a:graphicData>
                  </a:graphic>
                </wp:inline>
              </w:drawing>
            </w:r>
          </w:p>
          <w:p w:rsidR="00D3744C" w:rsidRPr="00711439" w:rsidRDefault="00D3744C" w:rsidP="00D3744C">
            <w:pPr>
              <w:topLinePunct/>
              <w:spacing w:before="0" w:after="0"/>
              <w:ind w:hanging="14"/>
              <w:rPr>
                <w:b/>
                <w:sz w:val="16"/>
                <w:szCs w:val="16"/>
                <w:lang w:eastAsia="zh-CN"/>
              </w:rPr>
            </w:pPr>
          </w:p>
        </w:tc>
        <w:tc>
          <w:tcPr>
            <w:tcW w:w="1980" w:type="dxa"/>
          </w:tcPr>
          <w:p w:rsidR="00D3744C" w:rsidRPr="00711439" w:rsidRDefault="00D3744C" w:rsidP="00D3744C">
            <w:pPr>
              <w:topLinePunct/>
              <w:spacing w:before="0" w:after="0"/>
              <w:ind w:hanging="14"/>
              <w:rPr>
                <w:lang w:eastAsia="zh-CN"/>
              </w:rPr>
            </w:pPr>
          </w:p>
        </w:tc>
        <w:tc>
          <w:tcPr>
            <w:tcW w:w="2610" w:type="dxa"/>
          </w:tcPr>
          <w:p w:rsidR="00D3744C" w:rsidRPr="00711439" w:rsidRDefault="00D3744C" w:rsidP="00D3744C">
            <w:pPr>
              <w:topLinePunct/>
              <w:spacing w:after="0"/>
              <w:ind w:firstLine="0"/>
              <w:rPr>
                <w:lang w:eastAsia="zh-CN"/>
              </w:rPr>
            </w:pPr>
            <w:r w:rsidRPr="00711439">
              <w:rPr>
                <w:lang w:eastAsia="zh-CN"/>
              </w:rPr>
              <w:t xml:space="preserve">Distr. </w:t>
            </w:r>
          </w:p>
          <w:p w:rsidR="00D3744C" w:rsidRDefault="00D3744C" w:rsidP="00D3744C">
            <w:pPr>
              <w:topLinePunct/>
              <w:spacing w:before="0" w:after="0"/>
              <w:ind w:firstLine="0"/>
              <w:rPr>
                <w:lang w:eastAsia="zh-CN"/>
              </w:rPr>
            </w:pPr>
            <w:r>
              <w:rPr>
                <w:lang w:eastAsia="zh-CN"/>
              </w:rPr>
              <w:t>GENERAL</w:t>
            </w:r>
          </w:p>
          <w:p w:rsidR="00D3744C" w:rsidRPr="00711439" w:rsidRDefault="00D3744C" w:rsidP="00D3744C">
            <w:pPr>
              <w:topLinePunct/>
              <w:spacing w:before="0" w:after="0"/>
              <w:ind w:firstLine="0"/>
              <w:rPr>
                <w:lang w:eastAsia="zh-CN"/>
              </w:rPr>
            </w:pPr>
          </w:p>
          <w:p w:rsidR="00D3744C" w:rsidRPr="00711439" w:rsidRDefault="00D3744C" w:rsidP="00D3744C">
            <w:pPr>
              <w:topLinePunct/>
              <w:spacing w:before="0" w:after="0"/>
              <w:ind w:firstLine="0"/>
              <w:rPr>
                <w:lang w:eastAsia="zh-CN"/>
              </w:rPr>
            </w:pPr>
            <w:r w:rsidRPr="00711439">
              <w:rPr>
                <w:lang w:eastAsia="zh-CN"/>
              </w:rPr>
              <w:t>CBD/</w:t>
            </w:r>
            <w:r>
              <w:rPr>
                <w:lang w:eastAsia="zh-CN"/>
              </w:rPr>
              <w:t>COP</w:t>
            </w:r>
            <w:r w:rsidRPr="00711439">
              <w:rPr>
                <w:lang w:eastAsia="zh-CN"/>
              </w:rPr>
              <w:t>/</w:t>
            </w:r>
            <w:r>
              <w:rPr>
                <w:lang w:eastAsia="zh-CN"/>
              </w:rPr>
              <w:t>14</w:t>
            </w:r>
            <w:r w:rsidRPr="00711439">
              <w:rPr>
                <w:lang w:eastAsia="zh-CN"/>
              </w:rPr>
              <w:t>/</w:t>
            </w:r>
            <w:r>
              <w:rPr>
                <w:lang w:eastAsia="zh-CN"/>
              </w:rPr>
              <w:t>14</w:t>
            </w:r>
          </w:p>
          <w:p w:rsidR="00D3744C" w:rsidRDefault="00594C0B" w:rsidP="00D3744C">
            <w:pPr>
              <w:topLinePunct/>
              <w:spacing w:before="0" w:after="0"/>
              <w:ind w:firstLine="0"/>
              <w:rPr>
                <w:lang w:eastAsia="zh-CN"/>
              </w:rPr>
            </w:pPr>
            <w:r>
              <w:rPr>
                <w:lang w:eastAsia="zh-CN"/>
              </w:rPr>
              <w:t>20 March</w:t>
            </w:r>
            <w:r w:rsidR="00D3744C" w:rsidRPr="00711439">
              <w:rPr>
                <w:lang w:eastAsia="zh-CN"/>
              </w:rPr>
              <w:t xml:space="preserve"> 201</w:t>
            </w:r>
            <w:r>
              <w:rPr>
                <w:lang w:eastAsia="zh-CN"/>
              </w:rPr>
              <w:t>9</w:t>
            </w:r>
          </w:p>
          <w:p w:rsidR="00D3744C" w:rsidRPr="00711439" w:rsidRDefault="00D3744C" w:rsidP="00D3744C">
            <w:pPr>
              <w:topLinePunct/>
              <w:spacing w:before="0" w:after="0"/>
              <w:ind w:firstLine="0"/>
              <w:rPr>
                <w:lang w:eastAsia="zh-CN"/>
              </w:rPr>
            </w:pPr>
          </w:p>
          <w:p w:rsidR="00D3744C" w:rsidRPr="00711439" w:rsidRDefault="00D3744C" w:rsidP="00D3744C">
            <w:pPr>
              <w:topLinePunct/>
              <w:spacing w:before="0" w:after="0"/>
              <w:ind w:firstLine="0"/>
              <w:rPr>
                <w:lang w:eastAsia="zh-CN"/>
              </w:rPr>
            </w:pPr>
            <w:r w:rsidRPr="00711439">
              <w:rPr>
                <w:rFonts w:hint="eastAsia"/>
                <w:lang w:eastAsia="zh-CN"/>
              </w:rPr>
              <w:t>CHINESE</w:t>
            </w:r>
          </w:p>
          <w:p w:rsidR="00D3744C" w:rsidRPr="00711439" w:rsidRDefault="00D3744C" w:rsidP="00D3744C">
            <w:pPr>
              <w:spacing w:before="0"/>
              <w:ind w:firstLine="0"/>
              <w:rPr>
                <w:rFonts w:ascii="Courier New" w:hAnsi="Courier New"/>
                <w:lang w:eastAsia="zh-CN"/>
              </w:rPr>
            </w:pPr>
            <w:r w:rsidRPr="00711439">
              <w:rPr>
                <w:lang w:eastAsia="zh-CN"/>
              </w:rPr>
              <w:t>ORIGINAL: ENGLISH</w:t>
            </w:r>
          </w:p>
        </w:tc>
      </w:tr>
    </w:tbl>
    <w:p w:rsidR="008D76BF" w:rsidRPr="00F0346D" w:rsidRDefault="008D76BF" w:rsidP="00D3744C">
      <w:pPr>
        <w:pStyle w:val="Cornernotation"/>
        <w:suppressLineNumbers/>
        <w:suppressAutoHyphens/>
        <w:overflowPunct w:val="0"/>
        <w:topLinePunct/>
        <w:autoSpaceDE w:val="0"/>
        <w:autoSpaceDN w:val="0"/>
        <w:spacing w:before="60" w:after="0"/>
        <w:ind w:left="0" w:right="4421" w:firstLine="0"/>
        <w:rPr>
          <w:kern w:val="22"/>
          <w:sz w:val="24"/>
          <w:lang w:eastAsia="zh-CN"/>
        </w:rPr>
      </w:pPr>
      <w:r w:rsidRPr="00F0346D">
        <w:rPr>
          <w:rFonts w:ascii="SimSun" w:eastAsia="SimSun" w:hAnsi="SimSun" w:cs="SimSun" w:hint="eastAsia"/>
          <w:kern w:val="22"/>
          <w:sz w:val="24"/>
          <w:lang w:eastAsia="zh-CN"/>
        </w:rPr>
        <w:t>生物多样性公约缔约方大会</w:t>
      </w:r>
    </w:p>
    <w:p w:rsidR="008D76BF" w:rsidRPr="00F0346D" w:rsidRDefault="008D76BF" w:rsidP="00A265FA">
      <w:pPr>
        <w:pStyle w:val="Cornernotation"/>
        <w:suppressLineNumbers/>
        <w:suppressAutoHyphens/>
        <w:overflowPunct w:val="0"/>
        <w:topLinePunct/>
        <w:autoSpaceDE w:val="0"/>
        <w:autoSpaceDN w:val="0"/>
        <w:spacing w:before="0" w:after="0"/>
        <w:ind w:left="0" w:right="4422" w:firstLine="0"/>
        <w:rPr>
          <w:kern w:val="22"/>
          <w:sz w:val="24"/>
          <w:lang w:eastAsia="zh-CN"/>
        </w:rPr>
      </w:pPr>
      <w:r w:rsidRPr="00F0346D">
        <w:rPr>
          <w:rFonts w:ascii="SimSun" w:eastAsia="SimSun" w:hAnsi="SimSun" w:cs="SimSun" w:hint="eastAsia"/>
          <w:kern w:val="22"/>
          <w:sz w:val="24"/>
          <w:lang w:eastAsia="zh-CN"/>
        </w:rPr>
        <w:t>第十四届会议</w:t>
      </w:r>
    </w:p>
    <w:p w:rsidR="008D76BF" w:rsidRPr="00F0346D" w:rsidRDefault="008D76BF" w:rsidP="00A265FA">
      <w:pPr>
        <w:pStyle w:val="Cornernotation"/>
        <w:suppressLineNumbers/>
        <w:suppressAutoHyphens/>
        <w:overflowPunct w:val="0"/>
        <w:topLinePunct/>
        <w:autoSpaceDE w:val="0"/>
        <w:autoSpaceDN w:val="0"/>
        <w:spacing w:before="0" w:after="0"/>
        <w:ind w:left="0" w:right="4422" w:firstLine="0"/>
        <w:rPr>
          <w:kern w:val="22"/>
          <w:sz w:val="24"/>
          <w:lang w:eastAsia="zh-CN"/>
        </w:rPr>
      </w:pPr>
      <w:smartTag w:uri="urn:schemas-microsoft-com:office:smarttags" w:element="chsdate">
        <w:smartTagPr>
          <w:attr w:name="IsROCDate" w:val="False"/>
          <w:attr w:name="IsLunarDate" w:val="False"/>
          <w:attr w:name="Day" w:val="17"/>
          <w:attr w:name="Month" w:val="11"/>
          <w:attr w:name="Year" w:val="2018"/>
        </w:smartTagPr>
        <w:r w:rsidRPr="00F0346D">
          <w:rPr>
            <w:kern w:val="22"/>
            <w:sz w:val="24"/>
            <w:lang w:eastAsia="zh-CN"/>
          </w:rPr>
          <w:t>2018</w:t>
        </w:r>
        <w:r w:rsidRPr="00F0346D">
          <w:rPr>
            <w:rFonts w:ascii="SimSun" w:eastAsia="SimSun" w:hAnsi="SimSun" w:cs="SimSun" w:hint="eastAsia"/>
            <w:kern w:val="22"/>
            <w:sz w:val="24"/>
            <w:lang w:eastAsia="zh-CN"/>
          </w:rPr>
          <w:t>年</w:t>
        </w:r>
        <w:r w:rsidRPr="00F0346D">
          <w:rPr>
            <w:kern w:val="22"/>
            <w:sz w:val="24"/>
            <w:lang w:eastAsia="zh-CN"/>
          </w:rPr>
          <w:t>11</w:t>
        </w:r>
        <w:r w:rsidRPr="00F0346D">
          <w:rPr>
            <w:rFonts w:ascii="SimSun" w:eastAsia="SimSun" w:hAnsi="SimSun" w:cs="SimSun" w:hint="eastAsia"/>
            <w:kern w:val="22"/>
            <w:sz w:val="24"/>
            <w:lang w:eastAsia="zh-CN"/>
          </w:rPr>
          <w:t>月</w:t>
        </w:r>
        <w:r w:rsidRPr="00F0346D">
          <w:rPr>
            <w:kern w:val="22"/>
            <w:sz w:val="24"/>
            <w:lang w:eastAsia="zh-CN"/>
          </w:rPr>
          <w:t>17</w:t>
        </w:r>
        <w:r w:rsidRPr="00F0346D">
          <w:rPr>
            <w:rFonts w:ascii="SimSun" w:eastAsia="SimSun" w:hAnsi="SimSun" w:cs="SimSun" w:hint="eastAsia"/>
            <w:kern w:val="22"/>
            <w:sz w:val="24"/>
            <w:lang w:eastAsia="zh-CN"/>
          </w:rPr>
          <w:t>日</w:t>
        </w:r>
      </w:smartTag>
      <w:r w:rsidRPr="00F0346D">
        <w:rPr>
          <w:rFonts w:ascii="SimSun" w:eastAsia="SimSun" w:hAnsi="SimSun" w:cs="SimSun" w:hint="eastAsia"/>
          <w:kern w:val="22"/>
          <w:sz w:val="24"/>
          <w:lang w:eastAsia="zh-CN"/>
        </w:rPr>
        <w:t>至</w:t>
      </w:r>
      <w:r w:rsidRPr="00F0346D">
        <w:rPr>
          <w:kern w:val="22"/>
          <w:sz w:val="24"/>
          <w:lang w:eastAsia="zh-CN"/>
        </w:rPr>
        <w:t>29</w:t>
      </w:r>
      <w:r w:rsidRPr="00F0346D">
        <w:rPr>
          <w:rFonts w:ascii="SimSun" w:eastAsia="SimSun" w:hAnsi="SimSun" w:cs="SimSun" w:hint="eastAsia"/>
          <w:kern w:val="22"/>
          <w:sz w:val="24"/>
          <w:lang w:eastAsia="zh-CN"/>
        </w:rPr>
        <w:t>日，埃及沙姆沙伊赫</w:t>
      </w:r>
    </w:p>
    <w:p w:rsidR="00E32EC2" w:rsidRPr="00FB3D32" w:rsidRDefault="00E32EC2" w:rsidP="00E32EC2">
      <w:pPr>
        <w:pStyle w:val="a0"/>
        <w:spacing w:before="360" w:after="240" w:line="240" w:lineRule="atLeast"/>
        <w:rPr>
          <w:rFonts w:ascii="SimHei" w:eastAsia="SimHei" w:hAnsi="SimHei"/>
          <w:lang w:val="en-US"/>
        </w:rPr>
      </w:pPr>
      <w:r w:rsidRPr="00FB3D32">
        <w:rPr>
          <w:rFonts w:ascii="SimHei" w:eastAsia="SimHei" w:hAnsi="SimHei" w:hint="eastAsia"/>
          <w:lang w:val="en-US"/>
        </w:rPr>
        <w:t>生物多样性</w:t>
      </w:r>
      <w:r w:rsidRPr="00FB3D32">
        <w:rPr>
          <w:rFonts w:ascii="SimHei" w:eastAsia="SimHei" w:hAnsi="SimHei"/>
          <w:lang w:val="en-US"/>
        </w:rPr>
        <w:t>公约缔约方大会第</w:t>
      </w:r>
      <w:r w:rsidRPr="00FB3D32">
        <w:rPr>
          <w:rFonts w:ascii="SimHei" w:eastAsia="SimHei" w:hAnsi="SimHei" w:hint="eastAsia"/>
          <w:lang w:val="en-US"/>
        </w:rPr>
        <w:t>十四</w:t>
      </w:r>
      <w:r w:rsidRPr="00FB3D32">
        <w:rPr>
          <w:rFonts w:ascii="SimHei" w:eastAsia="SimHei" w:hAnsi="SimHei"/>
          <w:lang w:val="en-US"/>
        </w:rPr>
        <w:t>届</w:t>
      </w:r>
      <w:r w:rsidRPr="00FB3D32">
        <w:rPr>
          <w:rFonts w:ascii="SimHei" w:eastAsia="SimHei" w:hAnsi="SimHei" w:hint="eastAsia"/>
          <w:lang w:val="en-US"/>
        </w:rPr>
        <w:t>会议报告</w:t>
      </w:r>
      <w:bookmarkStart w:id="0" w:name="_GoBack"/>
      <w:bookmarkEnd w:id="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E32EC2" w:rsidRPr="00BD40AD" w:rsidTr="00E32EC2">
        <w:tc>
          <w:tcPr>
            <w:tcW w:w="9641" w:type="dxa"/>
            <w:shd w:val="clear" w:color="auto" w:fill="auto"/>
          </w:tcPr>
          <w:p w:rsidR="00E32EC2" w:rsidRPr="00BD40AD" w:rsidRDefault="00E32EC2" w:rsidP="00E32EC2">
            <w:pPr>
              <w:spacing w:before="240"/>
              <w:ind w:firstLine="706"/>
              <w:rPr>
                <w:rFonts w:eastAsia="SimSun"/>
                <w:snapToGrid w:val="0"/>
                <w:kern w:val="22"/>
                <w:lang w:eastAsia="zh-CN"/>
              </w:rPr>
            </w:pPr>
            <w:r w:rsidRPr="00BD40AD">
              <w:rPr>
                <w:rFonts w:eastAsia="SimSun"/>
                <w:snapToGrid w:val="0"/>
                <w:kern w:val="22"/>
                <w:lang w:eastAsia="zh-CN"/>
              </w:rPr>
              <w:t>生物多样性公约缔约方大会</w:t>
            </w:r>
            <w:r>
              <w:rPr>
                <w:rFonts w:eastAsia="SimSun"/>
                <w:snapToGrid w:val="0"/>
                <w:kern w:val="22"/>
                <w:lang w:eastAsia="zh-CN"/>
              </w:rPr>
              <w:t>2018</w:t>
            </w:r>
            <w:r w:rsidRPr="00BD40AD">
              <w:rPr>
                <w:rFonts w:eastAsia="SimSun"/>
                <w:snapToGrid w:val="0"/>
                <w:kern w:val="22"/>
                <w:lang w:eastAsia="zh-CN"/>
              </w:rPr>
              <w:t>年</w:t>
            </w:r>
            <w:r>
              <w:rPr>
                <w:rFonts w:eastAsia="SimSun"/>
                <w:snapToGrid w:val="0"/>
                <w:kern w:val="22"/>
                <w:lang w:eastAsia="zh-CN"/>
              </w:rPr>
              <w:t>11</w:t>
            </w:r>
            <w:r w:rsidRPr="00BD40AD">
              <w:rPr>
                <w:rFonts w:eastAsia="SimSun"/>
                <w:snapToGrid w:val="0"/>
                <w:kern w:val="22"/>
                <w:lang w:eastAsia="zh-CN"/>
              </w:rPr>
              <w:t>月</w:t>
            </w:r>
            <w:r>
              <w:rPr>
                <w:rFonts w:eastAsia="SimSun" w:hint="eastAsia"/>
                <w:snapToGrid w:val="0"/>
                <w:kern w:val="22"/>
                <w:lang w:eastAsia="zh-CN"/>
              </w:rPr>
              <w:t>17</w:t>
            </w:r>
            <w:r w:rsidRPr="00BD40AD">
              <w:rPr>
                <w:rFonts w:eastAsia="SimSun"/>
                <w:snapToGrid w:val="0"/>
                <w:kern w:val="22"/>
                <w:lang w:eastAsia="zh-CN"/>
              </w:rPr>
              <w:t>日至</w:t>
            </w:r>
            <w:r>
              <w:rPr>
                <w:rFonts w:eastAsia="SimSun" w:hint="eastAsia"/>
                <w:snapToGrid w:val="0"/>
                <w:kern w:val="22"/>
                <w:lang w:eastAsia="zh-CN"/>
              </w:rPr>
              <w:t>29</w:t>
            </w:r>
            <w:r w:rsidRPr="00BD40AD">
              <w:rPr>
                <w:rFonts w:eastAsia="SimSun"/>
                <w:snapToGrid w:val="0"/>
                <w:kern w:val="22"/>
                <w:lang w:eastAsia="zh-CN"/>
              </w:rPr>
              <w:t>日在</w:t>
            </w:r>
            <w:r>
              <w:rPr>
                <w:rFonts w:eastAsia="SimSun" w:hint="eastAsia"/>
                <w:snapToGrid w:val="0"/>
                <w:kern w:val="22"/>
                <w:lang w:eastAsia="zh-CN"/>
              </w:rPr>
              <w:t>埃及</w:t>
            </w:r>
            <w:r w:rsidRPr="00F0346D">
              <w:rPr>
                <w:rFonts w:ascii="SimSun" w:eastAsia="SimSun" w:hAnsi="SimSun" w:cs="SimSun" w:hint="eastAsia"/>
                <w:kern w:val="22"/>
                <w:lang w:eastAsia="zh-CN"/>
              </w:rPr>
              <w:t>沙姆沙伊赫</w:t>
            </w:r>
            <w:r w:rsidRPr="00BD40AD">
              <w:rPr>
                <w:rFonts w:eastAsia="SimSun"/>
                <w:snapToGrid w:val="0"/>
                <w:kern w:val="22"/>
                <w:lang w:eastAsia="zh-CN"/>
              </w:rPr>
              <w:t>举行了第十</w:t>
            </w:r>
            <w:r>
              <w:rPr>
                <w:rFonts w:eastAsia="SimSun" w:hint="eastAsia"/>
                <w:snapToGrid w:val="0"/>
                <w:kern w:val="22"/>
                <w:lang w:eastAsia="zh-CN"/>
              </w:rPr>
              <w:t>四</w:t>
            </w:r>
            <w:r w:rsidRPr="00BD40AD">
              <w:rPr>
                <w:rFonts w:eastAsia="SimSun"/>
                <w:snapToGrid w:val="0"/>
                <w:kern w:val="22"/>
                <w:lang w:eastAsia="zh-CN"/>
              </w:rPr>
              <w:t>届会议。缔约方大会通过了</w:t>
            </w:r>
            <w:r w:rsidR="00D47C56">
              <w:rPr>
                <w:rFonts w:eastAsia="SimSun"/>
                <w:snapToGrid w:val="0"/>
                <w:kern w:val="22"/>
                <w:lang w:eastAsia="zh-CN"/>
              </w:rPr>
              <w:t>38</w:t>
            </w:r>
            <w:r w:rsidRPr="00BD40AD">
              <w:rPr>
                <w:rFonts w:eastAsia="SimSun"/>
                <w:snapToGrid w:val="0"/>
                <w:kern w:val="22"/>
                <w:lang w:eastAsia="zh-CN"/>
              </w:rPr>
              <w:t>项决定，载于本报告的第一节。</w:t>
            </w:r>
          </w:p>
          <w:p w:rsidR="00594C0B" w:rsidRDefault="00D14A7B" w:rsidP="00D47C56">
            <w:pPr>
              <w:ind w:firstLine="706"/>
              <w:rPr>
                <w:rFonts w:eastAsia="SimSun"/>
                <w:snapToGrid w:val="0"/>
                <w:kern w:val="22"/>
                <w:lang w:eastAsia="zh-CN"/>
              </w:rPr>
            </w:pPr>
            <w:r>
              <w:rPr>
                <w:rFonts w:eastAsia="SimSun" w:hint="eastAsia"/>
                <w:snapToGrid w:val="0"/>
                <w:kern w:val="22"/>
                <w:lang w:eastAsia="zh-CN"/>
              </w:rPr>
              <w:t>会议</w:t>
            </w:r>
            <w:r w:rsidRPr="00BD40AD">
              <w:rPr>
                <w:rFonts w:eastAsia="SimSun" w:hint="eastAsia"/>
                <w:snapToGrid w:val="0"/>
                <w:kern w:val="22"/>
                <w:lang w:eastAsia="zh-CN"/>
              </w:rPr>
              <w:t>通过</w:t>
            </w:r>
            <w:r w:rsidRPr="00BD40AD">
              <w:rPr>
                <w:rFonts w:eastAsia="SimSun"/>
                <w:snapToGrid w:val="0"/>
                <w:kern w:val="22"/>
                <w:lang w:eastAsia="zh-CN"/>
              </w:rPr>
              <w:t>的决定</w:t>
            </w:r>
            <w:r>
              <w:rPr>
                <w:rFonts w:eastAsia="SimSun" w:hint="eastAsia"/>
                <w:snapToGrid w:val="0"/>
                <w:kern w:val="22"/>
                <w:lang w:eastAsia="zh-CN"/>
              </w:rPr>
              <w:t>特别</w:t>
            </w:r>
            <w:r>
              <w:rPr>
                <w:rFonts w:eastAsia="SimSun"/>
                <w:snapToGrid w:val="0"/>
                <w:kern w:val="22"/>
                <w:lang w:eastAsia="zh-CN"/>
              </w:rPr>
              <w:t>涉及：</w:t>
            </w:r>
            <w:r>
              <w:rPr>
                <w:rFonts w:eastAsia="SimSun" w:hint="eastAsia"/>
                <w:snapToGrid w:val="0"/>
                <w:kern w:val="22"/>
                <w:lang w:eastAsia="zh-CN"/>
              </w:rPr>
              <w:t>审查</w:t>
            </w:r>
            <w:r>
              <w:rPr>
                <w:rFonts w:eastAsia="SimSun"/>
                <w:snapToGrid w:val="0"/>
                <w:kern w:val="22"/>
                <w:lang w:eastAsia="zh-CN"/>
              </w:rPr>
              <w:t>实现</w:t>
            </w:r>
            <w:r>
              <w:rPr>
                <w:rFonts w:eastAsia="SimSun" w:hint="eastAsia"/>
                <w:snapToGrid w:val="0"/>
                <w:kern w:val="22"/>
                <w:lang w:eastAsia="zh-CN"/>
              </w:rPr>
              <w:t>爱知</w:t>
            </w:r>
            <w:r>
              <w:rPr>
                <w:rFonts w:eastAsia="SimSun"/>
                <w:snapToGrid w:val="0"/>
                <w:kern w:val="22"/>
                <w:lang w:eastAsia="zh-CN"/>
              </w:rPr>
              <w:t>生物多样性指标的进展情况；</w:t>
            </w:r>
            <w:r>
              <w:rPr>
                <w:rFonts w:eastAsia="SimSun" w:hint="eastAsia"/>
                <w:snapToGrid w:val="0"/>
                <w:kern w:val="22"/>
                <w:lang w:eastAsia="zh-CN"/>
              </w:rPr>
              <w:t>编制</w:t>
            </w:r>
            <w:r>
              <w:rPr>
                <w:rFonts w:eastAsia="SimSun" w:hint="eastAsia"/>
                <w:snapToGrid w:val="0"/>
                <w:kern w:val="22"/>
                <w:lang w:eastAsia="zh-CN"/>
              </w:rPr>
              <w:t>2020</w:t>
            </w:r>
            <w:r>
              <w:rPr>
                <w:rFonts w:eastAsia="SimSun" w:hint="eastAsia"/>
                <w:snapToGrid w:val="0"/>
                <w:kern w:val="22"/>
                <w:lang w:eastAsia="zh-CN"/>
              </w:rPr>
              <w:t>年后</w:t>
            </w:r>
            <w:r>
              <w:rPr>
                <w:rFonts w:eastAsia="SimSun"/>
                <w:snapToGrid w:val="0"/>
                <w:kern w:val="22"/>
                <w:lang w:eastAsia="zh-CN"/>
              </w:rPr>
              <w:t>全球生物多样性框架和《</w:t>
            </w:r>
            <w:r w:rsidRPr="00D14A7B">
              <w:rPr>
                <w:rFonts w:ascii="KaiTi" w:eastAsia="KaiTi" w:hAnsi="KaiTi"/>
                <w:snapToGrid w:val="0"/>
                <w:kern w:val="22"/>
                <w:lang w:eastAsia="zh-CN"/>
              </w:rPr>
              <w:t>全球生物多样性展望</w:t>
            </w:r>
            <w:r>
              <w:rPr>
                <w:rFonts w:eastAsia="SimSun" w:hint="eastAsia"/>
                <w:snapToGrid w:val="0"/>
                <w:kern w:val="22"/>
                <w:lang w:eastAsia="zh-CN"/>
              </w:rPr>
              <w:t>》的</w:t>
            </w:r>
            <w:r>
              <w:rPr>
                <w:rFonts w:eastAsia="SimSun"/>
                <w:snapToGrid w:val="0"/>
                <w:kern w:val="22"/>
                <w:lang w:eastAsia="zh-CN"/>
              </w:rPr>
              <w:t>进程；</w:t>
            </w:r>
            <w:r w:rsidRPr="00D14A7B">
              <w:rPr>
                <w:rFonts w:eastAsia="SimSun"/>
                <w:snapToGrid w:val="0"/>
                <w:kern w:val="22"/>
                <w:lang w:eastAsia="zh-CN"/>
              </w:rPr>
              <w:t>加</w:t>
            </w:r>
            <w:r w:rsidRPr="00D14A7B">
              <w:rPr>
                <w:rFonts w:eastAsia="SimSun"/>
                <w:snapToGrid w:val="0"/>
                <w:kern w:val="22"/>
                <w:lang w:eastAsia="zh-CN"/>
              </w:rPr>
              <w:t>​</w:t>
            </w:r>
            <w:r w:rsidRPr="00D14A7B">
              <w:rPr>
                <w:rFonts w:eastAsia="SimSun"/>
                <w:snapToGrid w:val="0"/>
                <w:kern w:val="22"/>
                <w:lang w:eastAsia="zh-CN"/>
              </w:rPr>
              <w:t>强</w:t>
            </w:r>
            <w:r w:rsidRPr="00D14A7B">
              <w:rPr>
                <w:rFonts w:eastAsia="SimSun"/>
                <w:snapToGrid w:val="0"/>
                <w:kern w:val="22"/>
                <w:lang w:eastAsia="zh-CN"/>
              </w:rPr>
              <w:t>​</w:t>
            </w:r>
            <w:r w:rsidRPr="00D14A7B">
              <w:rPr>
                <w:rFonts w:eastAsia="SimSun"/>
                <w:snapToGrid w:val="0"/>
                <w:kern w:val="22"/>
                <w:lang w:eastAsia="zh-CN"/>
              </w:rPr>
              <w:t>《</w:t>
            </w:r>
            <w:r w:rsidRPr="00D14A7B">
              <w:rPr>
                <w:rFonts w:eastAsia="SimSun"/>
                <w:snapToGrid w:val="0"/>
                <w:kern w:val="22"/>
                <w:lang w:eastAsia="zh-CN"/>
              </w:rPr>
              <w:t>​</w:t>
            </w:r>
            <w:r w:rsidRPr="00D14A7B">
              <w:rPr>
                <w:rFonts w:eastAsia="SimSun"/>
                <w:snapToGrid w:val="0"/>
                <w:kern w:val="22"/>
                <w:lang w:eastAsia="zh-CN"/>
              </w:rPr>
              <w:t>公</w:t>
            </w:r>
            <w:r w:rsidRPr="00D14A7B">
              <w:rPr>
                <w:rFonts w:eastAsia="SimSun"/>
                <w:snapToGrid w:val="0"/>
                <w:kern w:val="22"/>
                <w:lang w:eastAsia="zh-CN"/>
              </w:rPr>
              <w:t>​</w:t>
            </w:r>
            <w:r w:rsidRPr="00D14A7B">
              <w:rPr>
                <w:rFonts w:eastAsia="SimSun"/>
                <w:snapToGrid w:val="0"/>
                <w:kern w:val="22"/>
                <w:lang w:eastAsia="zh-CN"/>
              </w:rPr>
              <w:t>约</w:t>
            </w:r>
            <w:r w:rsidRPr="00D14A7B">
              <w:rPr>
                <w:rFonts w:eastAsia="SimSun"/>
                <w:snapToGrid w:val="0"/>
                <w:kern w:val="22"/>
                <w:lang w:eastAsia="zh-CN"/>
              </w:rPr>
              <w:t>​</w:t>
            </w:r>
            <w:r w:rsidRPr="00D14A7B">
              <w:rPr>
                <w:rFonts w:eastAsia="SimSun"/>
                <w:snapToGrid w:val="0"/>
                <w:kern w:val="22"/>
                <w:lang w:eastAsia="zh-CN"/>
              </w:rPr>
              <w:t>》</w:t>
            </w:r>
            <w:r w:rsidRPr="00D14A7B">
              <w:rPr>
                <w:rFonts w:eastAsia="SimSun"/>
                <w:snapToGrid w:val="0"/>
                <w:kern w:val="22"/>
                <w:lang w:eastAsia="zh-CN"/>
              </w:rPr>
              <w:t>​</w:t>
            </w:r>
            <w:r w:rsidRPr="00D14A7B">
              <w:rPr>
                <w:rFonts w:eastAsia="SimSun"/>
                <w:snapToGrid w:val="0"/>
                <w:kern w:val="22"/>
                <w:lang w:eastAsia="zh-CN"/>
              </w:rPr>
              <w:t>及</w:t>
            </w:r>
            <w:r w:rsidRPr="00D14A7B">
              <w:rPr>
                <w:rFonts w:eastAsia="SimSun"/>
                <w:snapToGrid w:val="0"/>
                <w:kern w:val="22"/>
                <w:lang w:eastAsia="zh-CN"/>
              </w:rPr>
              <w:t>​</w:t>
            </w:r>
            <w:r w:rsidRPr="00D14A7B">
              <w:rPr>
                <w:rFonts w:eastAsia="SimSun"/>
                <w:snapToGrid w:val="0"/>
                <w:kern w:val="22"/>
                <w:lang w:eastAsia="zh-CN"/>
              </w:rPr>
              <w:t>其</w:t>
            </w:r>
            <w:r w:rsidRPr="00D14A7B">
              <w:rPr>
                <w:rFonts w:eastAsia="SimSun"/>
                <w:snapToGrid w:val="0"/>
                <w:kern w:val="22"/>
                <w:lang w:eastAsia="zh-CN"/>
              </w:rPr>
              <w:t>​​</w:t>
            </w:r>
            <w:r w:rsidRPr="00D14A7B">
              <w:rPr>
                <w:rFonts w:eastAsia="SimSun"/>
                <w:snapToGrid w:val="0"/>
                <w:kern w:val="22"/>
                <w:lang w:eastAsia="zh-CN"/>
              </w:rPr>
              <w:t>《</w:t>
            </w:r>
            <w:r w:rsidRPr="00D14A7B">
              <w:rPr>
                <w:rFonts w:eastAsia="SimSun"/>
                <w:snapToGrid w:val="0"/>
                <w:kern w:val="22"/>
                <w:lang w:eastAsia="zh-CN"/>
              </w:rPr>
              <w:t>​</w:t>
            </w:r>
            <w:r w:rsidRPr="00D14A7B">
              <w:rPr>
                <w:rFonts w:eastAsia="SimSun"/>
                <w:snapToGrid w:val="0"/>
                <w:kern w:val="22"/>
                <w:lang w:eastAsia="zh-CN"/>
              </w:rPr>
              <w:t>议</w:t>
            </w:r>
            <w:r w:rsidRPr="00D14A7B">
              <w:rPr>
                <w:rFonts w:eastAsia="SimSun"/>
                <w:snapToGrid w:val="0"/>
                <w:kern w:val="22"/>
                <w:lang w:eastAsia="zh-CN"/>
              </w:rPr>
              <w:t>​</w:t>
            </w:r>
            <w:r w:rsidRPr="00D14A7B">
              <w:rPr>
                <w:rFonts w:eastAsia="SimSun"/>
                <w:snapToGrid w:val="0"/>
                <w:kern w:val="22"/>
                <w:lang w:eastAsia="zh-CN"/>
              </w:rPr>
              <w:t>定</w:t>
            </w:r>
            <w:r w:rsidRPr="00D14A7B">
              <w:rPr>
                <w:rFonts w:eastAsia="SimSun"/>
                <w:snapToGrid w:val="0"/>
                <w:kern w:val="22"/>
                <w:lang w:eastAsia="zh-CN"/>
              </w:rPr>
              <w:t>​</w:t>
            </w:r>
            <w:r w:rsidRPr="00D14A7B">
              <w:rPr>
                <w:rFonts w:eastAsia="SimSun"/>
                <w:snapToGrid w:val="0"/>
                <w:kern w:val="22"/>
                <w:lang w:eastAsia="zh-CN"/>
              </w:rPr>
              <w:t>书</w:t>
            </w:r>
            <w:r w:rsidRPr="00D14A7B">
              <w:rPr>
                <w:rFonts w:eastAsia="SimSun"/>
                <w:snapToGrid w:val="0"/>
                <w:kern w:val="22"/>
                <w:lang w:eastAsia="zh-CN"/>
              </w:rPr>
              <w:t>​</w:t>
            </w:r>
            <w:r w:rsidRPr="00D14A7B">
              <w:rPr>
                <w:rFonts w:eastAsia="SimSun"/>
                <w:snapToGrid w:val="0"/>
                <w:kern w:val="22"/>
                <w:lang w:eastAsia="zh-CN"/>
              </w:rPr>
              <w:t>》</w:t>
            </w:r>
            <w:r w:rsidRPr="00D14A7B">
              <w:rPr>
                <w:rFonts w:eastAsia="SimSun"/>
                <w:snapToGrid w:val="0"/>
                <w:kern w:val="22"/>
                <w:lang w:eastAsia="zh-CN"/>
              </w:rPr>
              <w:t>​</w:t>
            </w:r>
            <w:r w:rsidRPr="00D14A7B">
              <w:rPr>
                <w:rFonts w:eastAsia="SimSun"/>
                <w:snapToGrid w:val="0"/>
                <w:kern w:val="22"/>
                <w:lang w:eastAsia="zh-CN"/>
              </w:rPr>
              <w:t>之</w:t>
            </w:r>
            <w:r w:rsidRPr="00D14A7B">
              <w:rPr>
                <w:rFonts w:eastAsia="SimSun"/>
                <w:snapToGrid w:val="0"/>
                <w:kern w:val="22"/>
                <w:lang w:eastAsia="zh-CN"/>
              </w:rPr>
              <w:t>​</w:t>
            </w:r>
            <w:r w:rsidRPr="00D14A7B">
              <w:rPr>
                <w:rFonts w:eastAsia="SimSun"/>
                <w:snapToGrid w:val="0"/>
                <w:kern w:val="22"/>
                <w:lang w:eastAsia="zh-CN"/>
              </w:rPr>
              <w:t>间</w:t>
            </w:r>
            <w:r w:rsidRPr="00D14A7B">
              <w:rPr>
                <w:rFonts w:eastAsia="SimSun"/>
                <w:snapToGrid w:val="0"/>
                <w:kern w:val="22"/>
                <w:lang w:eastAsia="zh-CN"/>
              </w:rPr>
              <w:t>​</w:t>
            </w:r>
            <w:r w:rsidRPr="00D14A7B">
              <w:rPr>
                <w:rFonts w:eastAsia="SimSun"/>
                <w:snapToGrid w:val="0"/>
                <w:kern w:val="22"/>
                <w:lang w:eastAsia="zh-CN"/>
              </w:rPr>
              <w:t>的</w:t>
            </w:r>
            <w:r w:rsidRPr="00D14A7B">
              <w:rPr>
                <w:rFonts w:eastAsia="SimSun"/>
                <w:snapToGrid w:val="0"/>
                <w:kern w:val="22"/>
                <w:lang w:eastAsia="zh-CN"/>
              </w:rPr>
              <w:t>​</w:t>
            </w:r>
            <w:r w:rsidRPr="00D14A7B">
              <w:rPr>
                <w:rFonts w:eastAsia="SimSun"/>
                <w:snapToGrid w:val="0"/>
                <w:kern w:val="22"/>
                <w:lang w:eastAsia="zh-CN"/>
              </w:rPr>
              <w:t>整</w:t>
            </w:r>
            <w:r w:rsidRPr="00D14A7B">
              <w:rPr>
                <w:rFonts w:eastAsia="SimSun"/>
                <w:snapToGrid w:val="0"/>
                <w:kern w:val="22"/>
                <w:lang w:eastAsia="zh-CN"/>
              </w:rPr>
              <w:t>​</w:t>
            </w:r>
            <w:r w:rsidRPr="00D14A7B">
              <w:rPr>
                <w:rFonts w:eastAsia="SimSun"/>
                <w:snapToGrid w:val="0"/>
                <w:kern w:val="22"/>
                <w:lang w:eastAsia="zh-CN"/>
              </w:rPr>
              <w:t>合</w:t>
            </w:r>
            <w:r>
              <w:rPr>
                <w:rFonts w:eastAsia="SimSun" w:hint="eastAsia"/>
                <w:snapToGrid w:val="0"/>
                <w:kern w:val="22"/>
                <w:lang w:eastAsia="zh-CN"/>
              </w:rPr>
              <w:t>，</w:t>
            </w:r>
            <w:r>
              <w:rPr>
                <w:rFonts w:eastAsia="SimSun"/>
                <w:snapToGrid w:val="0"/>
                <w:kern w:val="22"/>
                <w:lang w:eastAsia="zh-CN"/>
              </w:rPr>
              <w:t>包括在第</w:t>
            </w:r>
            <w:r w:rsidRPr="00D14A7B">
              <w:rPr>
                <w:rFonts w:eastAsia="SimSun"/>
                <w:snapToGrid w:val="0"/>
                <w:kern w:val="22"/>
                <w:lang w:eastAsia="zh-CN"/>
              </w:rPr>
              <w:t>​</w:t>
            </w:r>
            <w:r w:rsidR="00594C0B">
              <w:rPr>
                <w:kern w:val="22"/>
                <w:lang w:eastAsia="zh-CN"/>
              </w:rPr>
              <w:t>8(j)</w:t>
            </w:r>
            <w:r>
              <w:rPr>
                <w:rFonts w:hint="eastAsia"/>
                <w:kern w:val="22"/>
                <w:lang w:eastAsia="zh-CN"/>
              </w:rPr>
              <w:t>条</w:t>
            </w:r>
            <w:r>
              <w:rPr>
                <w:kern w:val="22"/>
                <w:lang w:eastAsia="zh-CN"/>
              </w:rPr>
              <w:t>和相关条款方面；</w:t>
            </w:r>
            <w:r>
              <w:rPr>
                <w:rFonts w:hint="eastAsia"/>
                <w:kern w:val="22"/>
                <w:lang w:eastAsia="zh-CN"/>
              </w:rPr>
              <w:t>能力建设；</w:t>
            </w:r>
            <w:r>
              <w:rPr>
                <w:kern w:val="22"/>
                <w:lang w:eastAsia="zh-CN"/>
              </w:rPr>
              <w:t>资源调动</w:t>
            </w:r>
            <w:r>
              <w:rPr>
                <w:rFonts w:hint="eastAsia"/>
                <w:kern w:val="22"/>
                <w:lang w:eastAsia="zh-CN"/>
              </w:rPr>
              <w:t>；</w:t>
            </w:r>
            <w:r>
              <w:rPr>
                <w:kern w:val="22"/>
                <w:lang w:eastAsia="zh-CN"/>
              </w:rPr>
              <w:t>报告和审查机制；以及合作。</w:t>
            </w:r>
            <w:r>
              <w:rPr>
                <w:rFonts w:hint="eastAsia"/>
                <w:kern w:val="22"/>
                <w:lang w:eastAsia="zh-CN"/>
              </w:rPr>
              <w:t>会议</w:t>
            </w:r>
            <w:r>
              <w:rPr>
                <w:kern w:val="22"/>
                <w:lang w:eastAsia="zh-CN"/>
              </w:rPr>
              <w:t>涉及了一系列技术性问题，包括：</w:t>
            </w:r>
            <w:r>
              <w:rPr>
                <w:rFonts w:hint="eastAsia"/>
                <w:kern w:val="22"/>
                <w:lang w:eastAsia="zh-CN"/>
              </w:rPr>
              <w:t>2050</w:t>
            </w:r>
            <w:r>
              <w:rPr>
                <w:rFonts w:hint="eastAsia"/>
                <w:kern w:val="22"/>
                <w:lang w:eastAsia="zh-CN"/>
              </w:rPr>
              <w:t>年</w:t>
            </w:r>
            <w:r>
              <w:rPr>
                <w:kern w:val="22"/>
                <w:lang w:eastAsia="zh-CN"/>
              </w:rPr>
              <w:t>愿景的设想；主流化；性别平等；</w:t>
            </w:r>
            <w:r>
              <w:rPr>
                <w:rFonts w:hint="eastAsia"/>
                <w:kern w:val="22"/>
                <w:lang w:eastAsia="zh-CN"/>
              </w:rPr>
              <w:t>与</w:t>
            </w:r>
            <w:r>
              <w:rPr>
                <w:kern w:val="22"/>
                <w:lang w:eastAsia="zh-CN"/>
              </w:rPr>
              <w:t>健康以及与气候变化的联系；授粉媒介；野生生物管理；保护区；海洋和沿海生物多样性；外来入侵物种；</w:t>
            </w:r>
            <w:r w:rsidR="00D47C56">
              <w:rPr>
                <w:rFonts w:eastAsia="SimSun" w:hint="eastAsia"/>
                <w:snapToGrid w:val="0"/>
                <w:kern w:val="22"/>
                <w:lang w:eastAsia="zh-CN"/>
              </w:rPr>
              <w:t>数字序列</w:t>
            </w:r>
            <w:r>
              <w:rPr>
                <w:rFonts w:eastAsia="SimSun"/>
                <w:snapToGrid w:val="0"/>
                <w:kern w:val="22"/>
                <w:lang w:eastAsia="zh-CN"/>
              </w:rPr>
              <w:t>信息</w:t>
            </w:r>
            <w:r>
              <w:rPr>
                <w:rFonts w:eastAsia="SimSun" w:hint="eastAsia"/>
                <w:snapToGrid w:val="0"/>
                <w:kern w:val="22"/>
                <w:lang w:eastAsia="zh-CN"/>
              </w:rPr>
              <w:t>；</w:t>
            </w:r>
            <w:r w:rsidR="00D47C56">
              <w:rPr>
                <w:rFonts w:eastAsia="SimSun"/>
                <w:snapToGrid w:val="0"/>
                <w:kern w:val="22"/>
                <w:lang w:eastAsia="zh-CN"/>
              </w:rPr>
              <w:t>合成生物学</w:t>
            </w:r>
            <w:r>
              <w:rPr>
                <w:rFonts w:eastAsia="SimSun" w:hint="eastAsia"/>
                <w:snapToGrid w:val="0"/>
                <w:kern w:val="22"/>
                <w:lang w:eastAsia="zh-CN"/>
              </w:rPr>
              <w:t>；</w:t>
            </w:r>
            <w:r>
              <w:rPr>
                <w:rFonts w:eastAsia="SimSun"/>
                <w:snapToGrid w:val="0"/>
                <w:kern w:val="22"/>
                <w:lang w:eastAsia="zh-CN"/>
              </w:rPr>
              <w:t>传统知识；以及</w:t>
            </w:r>
            <w:r w:rsidR="00D47C56">
              <w:rPr>
                <w:rFonts w:eastAsia="SimSun"/>
                <w:snapToGrid w:val="0"/>
                <w:kern w:val="22"/>
                <w:lang w:eastAsia="zh-CN"/>
              </w:rPr>
              <w:t>赔偿责任和补救</w:t>
            </w:r>
            <w:r>
              <w:rPr>
                <w:rFonts w:eastAsia="SimSun" w:hint="eastAsia"/>
                <w:snapToGrid w:val="0"/>
                <w:kern w:val="22"/>
                <w:lang w:eastAsia="zh-CN"/>
              </w:rPr>
              <w:t>。</w:t>
            </w:r>
            <w:r w:rsidR="00D47C56">
              <w:rPr>
                <w:rFonts w:eastAsia="SimSun"/>
                <w:snapToGrid w:val="0"/>
                <w:kern w:val="22"/>
                <w:lang w:eastAsia="zh-CN"/>
              </w:rPr>
              <w:t>最后</w:t>
            </w:r>
            <w:r w:rsidR="00D47C56">
              <w:rPr>
                <w:rFonts w:eastAsia="SimSun" w:hint="eastAsia"/>
                <w:snapToGrid w:val="0"/>
                <w:kern w:val="22"/>
                <w:lang w:eastAsia="zh-CN"/>
              </w:rPr>
              <w:t>，还</w:t>
            </w:r>
            <w:r w:rsidR="00D47C56">
              <w:rPr>
                <w:rFonts w:eastAsia="SimSun"/>
                <w:snapToGrid w:val="0"/>
                <w:kern w:val="22"/>
                <w:lang w:eastAsia="zh-CN"/>
              </w:rPr>
              <w:t>通过了</w:t>
            </w:r>
            <w:r w:rsidR="00D47C56">
              <w:rPr>
                <w:rFonts w:eastAsia="SimSun" w:hint="eastAsia"/>
                <w:snapToGrid w:val="0"/>
                <w:kern w:val="22"/>
                <w:lang w:eastAsia="zh-CN"/>
              </w:rPr>
              <w:t>程序</w:t>
            </w:r>
            <w:r w:rsidR="00D47C56">
              <w:rPr>
                <w:rFonts w:eastAsia="SimSun"/>
                <w:snapToGrid w:val="0"/>
                <w:kern w:val="22"/>
                <w:lang w:eastAsia="zh-CN"/>
              </w:rPr>
              <w:t>和组织事项方面的决定。</w:t>
            </w:r>
          </w:p>
          <w:p w:rsidR="00D47C56" w:rsidRDefault="00C32428" w:rsidP="00D47C56">
            <w:pPr>
              <w:ind w:firstLine="706"/>
              <w:rPr>
                <w:rFonts w:eastAsia="SimSun"/>
                <w:snapToGrid w:val="0"/>
                <w:kern w:val="22"/>
                <w:lang w:eastAsia="zh-CN"/>
              </w:rPr>
            </w:pPr>
            <w:r>
              <w:rPr>
                <w:rFonts w:eastAsia="SimSun" w:hint="eastAsia"/>
                <w:snapToGrid w:val="0"/>
                <w:kern w:val="22"/>
                <w:lang w:eastAsia="zh-CN"/>
              </w:rPr>
              <w:t>高级别部分</w:t>
            </w:r>
            <w:r w:rsidR="00D47C56">
              <w:rPr>
                <w:rFonts w:eastAsia="SimSun"/>
                <w:snapToGrid w:val="0"/>
                <w:kern w:val="22"/>
                <w:lang w:eastAsia="zh-CN"/>
              </w:rPr>
              <w:t>期间，负责基础设施、制造和加工、能源和采矿以及保健部门的各国部长，重点讨论了</w:t>
            </w:r>
            <w:r w:rsidR="00D47C56">
              <w:rPr>
                <w:rFonts w:eastAsia="SimSun" w:hint="eastAsia"/>
                <w:snapToGrid w:val="0"/>
                <w:kern w:val="22"/>
                <w:lang w:eastAsia="zh-CN"/>
              </w:rPr>
              <w:t>将</w:t>
            </w:r>
            <w:r w:rsidR="00D47C56">
              <w:rPr>
                <w:rFonts w:eastAsia="SimSun"/>
                <w:snapToGrid w:val="0"/>
                <w:kern w:val="22"/>
                <w:lang w:eastAsia="zh-CN"/>
              </w:rPr>
              <w:t>生物多样性的保护和可持续利用纳入这些部门的主流</w:t>
            </w:r>
            <w:r w:rsidR="00D47C56">
              <w:rPr>
                <w:rFonts w:eastAsia="SimSun" w:hint="eastAsia"/>
                <w:snapToGrid w:val="0"/>
                <w:kern w:val="22"/>
                <w:lang w:eastAsia="zh-CN"/>
              </w:rPr>
              <w:t>的</w:t>
            </w:r>
            <w:r w:rsidR="00D47C56">
              <w:rPr>
                <w:rFonts w:eastAsia="SimSun"/>
                <w:snapToGrid w:val="0"/>
                <w:kern w:val="22"/>
                <w:lang w:eastAsia="zh-CN"/>
              </w:rPr>
              <w:t>问题。</w:t>
            </w:r>
          </w:p>
          <w:p w:rsidR="00594C0B" w:rsidRPr="00BD40AD" w:rsidRDefault="00E32EC2" w:rsidP="00383DFC">
            <w:pPr>
              <w:spacing w:after="240"/>
              <w:ind w:firstLine="706"/>
              <w:rPr>
                <w:lang w:eastAsia="zh-CN"/>
              </w:rPr>
            </w:pPr>
            <w:r w:rsidRPr="00BD40AD">
              <w:rPr>
                <w:rFonts w:eastAsia="SimSun"/>
                <w:snapToGrid w:val="0"/>
                <w:kern w:val="22"/>
                <w:lang w:eastAsia="zh-CN"/>
              </w:rPr>
              <w:t>关于会议议事录的说明载于本报告</w:t>
            </w:r>
            <w:r w:rsidR="007F3708">
              <w:rPr>
                <w:rFonts w:eastAsia="SimSun" w:hint="eastAsia"/>
                <w:snapToGrid w:val="0"/>
                <w:kern w:val="22"/>
                <w:lang w:eastAsia="zh-CN"/>
              </w:rPr>
              <w:t>第二节</w:t>
            </w:r>
            <w:r w:rsidRPr="00BD40AD">
              <w:rPr>
                <w:rFonts w:eastAsia="SimSun"/>
                <w:snapToGrid w:val="0"/>
                <w:kern w:val="22"/>
                <w:lang w:eastAsia="zh-CN"/>
              </w:rPr>
              <w:t>。附件一载有</w:t>
            </w:r>
            <w:r w:rsidR="00594C0B">
              <w:rPr>
                <w:rFonts w:eastAsia="SimSun" w:hint="eastAsia"/>
                <w:snapToGrid w:val="0"/>
                <w:kern w:val="22"/>
                <w:lang w:eastAsia="zh-CN"/>
              </w:rPr>
              <w:t>派代表</w:t>
            </w:r>
            <w:r w:rsidR="00594C0B">
              <w:rPr>
                <w:rFonts w:eastAsia="SimSun"/>
                <w:snapToGrid w:val="0"/>
                <w:kern w:val="22"/>
                <w:lang w:eastAsia="zh-CN"/>
              </w:rPr>
              <w:t>出席</w:t>
            </w:r>
            <w:r w:rsidRPr="00BD40AD">
              <w:rPr>
                <w:rFonts w:eastAsia="SimSun"/>
                <w:snapToGrid w:val="0"/>
                <w:kern w:val="22"/>
                <w:lang w:eastAsia="zh-CN"/>
              </w:rPr>
              <w:t>会议</w:t>
            </w:r>
            <w:r w:rsidR="00594C0B">
              <w:rPr>
                <w:rFonts w:eastAsia="SimSun" w:hint="eastAsia"/>
                <w:snapToGrid w:val="0"/>
                <w:kern w:val="22"/>
                <w:lang w:eastAsia="zh-CN"/>
              </w:rPr>
              <w:t>的</w:t>
            </w:r>
            <w:r w:rsidR="00594C0B">
              <w:rPr>
                <w:rFonts w:eastAsia="SimSun"/>
                <w:snapToGrid w:val="0"/>
                <w:kern w:val="22"/>
                <w:lang w:eastAsia="zh-CN"/>
              </w:rPr>
              <w:t>组织的清单</w:t>
            </w:r>
            <w:r w:rsidRPr="00BD40AD">
              <w:rPr>
                <w:rFonts w:eastAsia="SimSun"/>
                <w:snapToGrid w:val="0"/>
                <w:kern w:val="22"/>
                <w:lang w:eastAsia="zh-CN"/>
              </w:rPr>
              <w:t>。</w:t>
            </w:r>
            <w:r>
              <w:rPr>
                <w:rFonts w:eastAsia="SimSun" w:hint="eastAsia"/>
                <w:snapToGrid w:val="0"/>
                <w:kern w:val="22"/>
                <w:lang w:eastAsia="zh-CN"/>
              </w:rPr>
              <w:t>附件二</w:t>
            </w:r>
            <w:r w:rsidRPr="00BD40AD">
              <w:rPr>
                <w:rFonts w:eastAsia="SimSun" w:hint="eastAsia"/>
                <w:snapToGrid w:val="0"/>
                <w:kern w:val="22"/>
                <w:lang w:eastAsia="zh-CN"/>
              </w:rPr>
              <w:t>载有</w:t>
            </w:r>
            <w:r w:rsidR="00383DFC">
              <w:rPr>
                <w:rFonts w:eastAsia="SimSun" w:hint="eastAsia"/>
                <w:snapToGrid w:val="0"/>
                <w:kern w:val="22"/>
                <w:lang w:eastAsia="zh-CN"/>
              </w:rPr>
              <w:t>会议开幕式</w:t>
            </w:r>
            <w:r w:rsidR="00383DFC">
              <w:rPr>
                <w:rFonts w:eastAsia="SimSun"/>
                <w:snapToGrid w:val="0"/>
                <w:kern w:val="22"/>
                <w:lang w:eastAsia="zh-CN"/>
              </w:rPr>
              <w:t>上发言</w:t>
            </w:r>
            <w:r w:rsidR="00383DFC">
              <w:rPr>
                <w:rFonts w:eastAsia="SimSun" w:hint="eastAsia"/>
                <w:snapToGrid w:val="0"/>
                <w:kern w:val="22"/>
                <w:lang w:eastAsia="zh-CN"/>
              </w:rPr>
              <w:t>的</w:t>
            </w:r>
            <w:r w:rsidR="00383DFC">
              <w:rPr>
                <w:rFonts w:eastAsia="SimSun"/>
                <w:snapToGrid w:val="0"/>
                <w:kern w:val="22"/>
                <w:lang w:eastAsia="zh-CN"/>
              </w:rPr>
              <w:t>概要</w:t>
            </w:r>
            <w:r w:rsidRPr="00BD40AD">
              <w:rPr>
                <w:rFonts w:eastAsia="SimSun"/>
                <w:snapToGrid w:val="0"/>
                <w:kern w:val="22"/>
                <w:lang w:eastAsia="zh-CN"/>
              </w:rPr>
              <w:t>。</w:t>
            </w:r>
            <w:r>
              <w:rPr>
                <w:rFonts w:eastAsia="SimSun" w:hint="eastAsia"/>
                <w:snapToGrid w:val="0"/>
                <w:kern w:val="22"/>
                <w:lang w:eastAsia="zh-CN"/>
              </w:rPr>
              <w:t>附件三</w:t>
            </w:r>
            <w:r w:rsidRPr="00BD40AD">
              <w:rPr>
                <w:rFonts w:eastAsia="SimSun"/>
                <w:snapToGrid w:val="0"/>
                <w:kern w:val="22"/>
                <w:lang w:eastAsia="zh-CN"/>
              </w:rPr>
              <w:t>载有</w:t>
            </w:r>
            <w:r w:rsidR="00383DFC">
              <w:rPr>
                <w:rFonts w:eastAsia="SimSun" w:hint="eastAsia"/>
                <w:snapToGrid w:val="0"/>
                <w:kern w:val="22"/>
                <w:lang w:eastAsia="zh-CN"/>
              </w:rPr>
              <w:t>互动式</w:t>
            </w:r>
            <w:r>
              <w:rPr>
                <w:rFonts w:eastAsia="SimSun"/>
                <w:snapToGrid w:val="0"/>
                <w:kern w:val="22"/>
                <w:lang w:eastAsia="zh-CN"/>
              </w:rPr>
              <w:t>对话</w:t>
            </w:r>
            <w:r w:rsidR="00383DFC">
              <w:rPr>
                <w:rFonts w:eastAsia="SimSun" w:hint="eastAsia"/>
                <w:snapToGrid w:val="0"/>
                <w:kern w:val="22"/>
                <w:lang w:eastAsia="zh-CN"/>
              </w:rPr>
              <w:t>的</w:t>
            </w:r>
            <w:r>
              <w:rPr>
                <w:rFonts w:eastAsia="SimSun"/>
                <w:snapToGrid w:val="0"/>
                <w:kern w:val="22"/>
                <w:lang w:eastAsia="zh-CN"/>
              </w:rPr>
              <w:t>概要</w:t>
            </w:r>
            <w:r w:rsidR="00383DFC">
              <w:rPr>
                <w:rFonts w:eastAsia="SimSun" w:hint="eastAsia"/>
                <w:snapToGrid w:val="0"/>
                <w:kern w:val="22"/>
                <w:lang w:eastAsia="zh-CN"/>
              </w:rPr>
              <w:t>，</w:t>
            </w:r>
            <w:r w:rsidR="00383DFC">
              <w:rPr>
                <w:rFonts w:eastAsia="SimSun"/>
                <w:snapToGrid w:val="0"/>
                <w:kern w:val="22"/>
                <w:lang w:eastAsia="zh-CN"/>
              </w:rPr>
              <w:t>附件四</w:t>
            </w:r>
            <w:r w:rsidR="00383DFC">
              <w:rPr>
                <w:rFonts w:eastAsia="SimSun" w:hint="eastAsia"/>
                <w:snapToGrid w:val="0"/>
                <w:kern w:val="22"/>
                <w:lang w:eastAsia="zh-CN"/>
              </w:rPr>
              <w:t>载有</w:t>
            </w:r>
            <w:r w:rsidR="003624D7">
              <w:rPr>
                <w:rFonts w:eastAsia="SimSun"/>
                <w:snapToGrid w:val="0"/>
                <w:kern w:val="22"/>
                <w:lang w:eastAsia="zh-CN"/>
              </w:rPr>
              <w:t>平行活动</w:t>
            </w:r>
            <w:r w:rsidR="00383DFC">
              <w:rPr>
                <w:rFonts w:eastAsia="SimSun"/>
                <w:snapToGrid w:val="0"/>
                <w:kern w:val="22"/>
                <w:lang w:eastAsia="zh-CN"/>
              </w:rPr>
              <w:t>的概要</w:t>
            </w:r>
            <w:r>
              <w:rPr>
                <w:rFonts w:eastAsia="SimSun"/>
                <w:snapToGrid w:val="0"/>
                <w:kern w:val="22"/>
                <w:lang w:eastAsia="zh-CN"/>
              </w:rPr>
              <w:t>。</w:t>
            </w:r>
          </w:p>
        </w:tc>
      </w:tr>
    </w:tbl>
    <w:p w:rsidR="00E32EC2" w:rsidRDefault="00E32EC2">
      <w:pPr>
        <w:rPr>
          <w:rFonts w:ascii="SimSun" w:eastAsia="SimSun" w:hAnsi="SimSun" w:cs="SimSun"/>
          <w:b/>
          <w:bCs/>
          <w:kern w:val="32"/>
          <w:sz w:val="28"/>
          <w:szCs w:val="32"/>
          <w:lang w:eastAsia="zh-CN"/>
        </w:rPr>
      </w:pPr>
    </w:p>
    <w:p w:rsidR="00C91F6F" w:rsidRDefault="00C91F6F">
      <w:pPr>
        <w:rPr>
          <w:rFonts w:ascii="SimSun" w:eastAsia="SimSun" w:hAnsi="SimSun" w:cs="SimSun"/>
          <w:b/>
          <w:bCs/>
          <w:kern w:val="32"/>
          <w:sz w:val="28"/>
          <w:szCs w:val="32"/>
          <w:lang w:eastAsia="zh-CN"/>
        </w:rPr>
      </w:pPr>
    </w:p>
    <w:p w:rsidR="00FB3D32" w:rsidRPr="007F3708" w:rsidRDefault="00FB3D32" w:rsidP="00F94A6D">
      <w:pPr>
        <w:ind w:firstLine="0"/>
        <w:rPr>
          <w:rFonts w:ascii="KaiTi" w:eastAsia="KaiTi" w:hAnsi="KaiTi" w:cs="SimSun"/>
          <w:b/>
          <w:bCs/>
          <w:kern w:val="32"/>
          <w:sz w:val="28"/>
          <w:szCs w:val="32"/>
          <w:lang w:eastAsia="zh-CN"/>
        </w:rPr>
      </w:pPr>
      <w:r>
        <w:rPr>
          <w:rFonts w:ascii="SimSun" w:eastAsia="SimSun" w:hAnsi="SimSun" w:cs="SimSun"/>
          <w:sz w:val="28"/>
          <w:lang w:eastAsia="zh-CN"/>
        </w:rPr>
        <w:br w:type="page"/>
      </w:r>
      <w:r w:rsidRPr="007F3708">
        <w:rPr>
          <w:rFonts w:ascii="KaiTi" w:eastAsia="KaiTi" w:hAnsi="KaiTi" w:cs="SimSun" w:hint="eastAsia"/>
          <w:b/>
          <w:sz w:val="28"/>
          <w:lang w:eastAsia="zh-CN"/>
        </w:rPr>
        <w:lastRenderedPageBreak/>
        <w:t>目录</w:t>
      </w:r>
    </w:p>
    <w:p w:rsidR="00FB3D32" w:rsidRDefault="00FB3D32" w:rsidP="00F94A6D">
      <w:pPr>
        <w:spacing w:before="60"/>
        <w:ind w:firstLine="0"/>
        <w:rPr>
          <w:rFonts w:ascii="SimSun" w:eastAsia="SimSun" w:hAnsi="SimSun" w:cs="SimSun"/>
          <w:b/>
          <w:lang w:eastAsia="zh-CN"/>
        </w:rPr>
      </w:pPr>
      <w:r w:rsidRPr="002F3D6F">
        <w:rPr>
          <w:rFonts w:ascii="SimSun" w:eastAsia="SimSun" w:hAnsi="SimSun" w:cs="SimSun" w:hint="eastAsia"/>
          <w:b/>
          <w:lang w:eastAsia="zh-CN"/>
        </w:rPr>
        <w:t>一. 决定</w:t>
      </w:r>
    </w:p>
    <w:sdt>
      <w:sdtPr>
        <w:id w:val="1403651439"/>
        <w:docPartObj>
          <w:docPartGallery w:val="Table of Contents"/>
          <w:docPartUnique/>
        </w:docPartObj>
      </w:sdtPr>
      <w:sdtEndPr>
        <w:rPr>
          <w:b/>
          <w:bCs/>
          <w:noProof/>
        </w:rPr>
      </w:sdtEndPr>
      <w:sdtContent>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lang w:eastAsia="zh-CN"/>
            </w:rPr>
          </w:pPr>
          <w:r>
            <w:rPr>
              <w:b/>
              <w:bCs/>
              <w:noProof/>
            </w:rPr>
            <w:fldChar w:fldCharType="begin"/>
          </w:r>
          <w:r w:rsidR="00D0359D">
            <w:rPr>
              <w:b/>
              <w:bCs/>
              <w:noProof/>
            </w:rPr>
            <w:instrText xml:space="preserve"> TOC \o "1-3" \h \z \u </w:instrText>
          </w:r>
          <w:r>
            <w:rPr>
              <w:b/>
              <w:bCs/>
              <w:noProof/>
            </w:rPr>
            <w:fldChar w:fldCharType="separate"/>
          </w:r>
          <w:hyperlink w:anchor="_Toc6243643" w:history="1">
            <w:r w:rsidR="00D0359D" w:rsidRPr="00D0359D">
              <w:rPr>
                <w:rStyle w:val="Hyperlink"/>
                <w:rFonts w:ascii="Times New Roman" w:hAnsi="Times New Roman"/>
                <w:noProof/>
                <w:color w:val="auto"/>
                <w:kern w:val="22"/>
                <w:sz w:val="24"/>
                <w:szCs w:val="24"/>
                <w:lang w:eastAsia="zh-CN"/>
              </w:rPr>
              <w:t>14/1.</w:t>
            </w:r>
            <w:r w:rsidR="00D0359D" w:rsidRPr="00D0359D">
              <w:rPr>
                <w:rStyle w:val="Hyperlink"/>
                <w:rFonts w:ascii="Times New Roman" w:hAnsi="Times New Roman"/>
                <w:noProof/>
                <w:color w:val="auto"/>
                <w:kern w:val="22"/>
                <w:sz w:val="24"/>
                <w:szCs w:val="24"/>
                <w:lang w:eastAsia="zh-CN"/>
              </w:rPr>
              <w:tab/>
            </w:r>
            <w:r w:rsidR="00D0359D" w:rsidRPr="00D0359D">
              <w:rPr>
                <w:rStyle w:val="Hyperlink"/>
                <w:rFonts w:ascii="Times New Roman" w:hAnsi="Times New Roman" w:hint="eastAsia"/>
                <w:noProof/>
                <w:color w:val="auto"/>
                <w:kern w:val="22"/>
                <w:sz w:val="24"/>
                <w:szCs w:val="24"/>
                <w:lang w:eastAsia="zh-CN"/>
              </w:rPr>
              <w:t>对特定爱知生物多样性指标进展情况的最新评估和加速进展的备选办法</w:t>
            </w:r>
            <w:r w:rsidR="003D3364">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_Toc6243643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5</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lang w:eastAsia="zh-CN"/>
            </w:rPr>
          </w:pPr>
          <w:hyperlink w:anchor="_Toc6243644" w:history="1">
            <w:r w:rsidR="00D0359D" w:rsidRPr="00D0359D">
              <w:rPr>
                <w:rStyle w:val="Hyperlink"/>
                <w:rFonts w:ascii="Times New Roman" w:hAnsi="Times New Roman"/>
                <w:noProof/>
                <w:color w:val="auto"/>
                <w:kern w:val="22"/>
                <w:sz w:val="24"/>
                <w:szCs w:val="24"/>
                <w:lang w:eastAsia="zh-CN"/>
              </w:rPr>
              <w:t>14/2.</w:t>
            </w:r>
            <w:r w:rsidR="00D0359D" w:rsidRPr="00D0359D">
              <w:rPr>
                <w:rStyle w:val="Hyperlink"/>
                <w:rFonts w:ascii="Times New Roman" w:hAnsi="Times New Roman"/>
                <w:noProof/>
                <w:color w:val="auto"/>
                <w:kern w:val="22"/>
                <w:sz w:val="24"/>
                <w:szCs w:val="24"/>
                <w:lang w:eastAsia="zh-CN"/>
              </w:rPr>
              <w:tab/>
            </w:r>
            <w:r w:rsidR="00D0359D" w:rsidRPr="00D0359D">
              <w:rPr>
                <w:rStyle w:val="Hyperlink"/>
                <w:rFonts w:ascii="Times New Roman" w:hAnsi="Times New Roman" w:hint="eastAsia"/>
                <w:noProof/>
                <w:color w:val="auto"/>
                <w:kern w:val="22"/>
                <w:sz w:val="24"/>
                <w:szCs w:val="24"/>
                <w:lang w:eastAsia="zh-CN"/>
              </w:rPr>
              <w:t>《</w:t>
            </w:r>
            <w:r w:rsidR="00D0359D" w:rsidRPr="00D0359D">
              <w:rPr>
                <w:rStyle w:val="Hyperlink"/>
                <w:rFonts w:ascii="Times New Roman" w:hAnsi="Times New Roman"/>
                <w:noProof/>
                <w:color w:val="auto"/>
                <w:kern w:val="22"/>
                <w:sz w:val="24"/>
                <w:szCs w:val="24"/>
                <w:lang w:eastAsia="zh-CN"/>
              </w:rPr>
              <w:t>2050</w:t>
            </w:r>
            <w:r w:rsidR="00D0359D" w:rsidRPr="00D0359D">
              <w:rPr>
                <w:rStyle w:val="Hyperlink"/>
                <w:rFonts w:ascii="Times New Roman" w:hAnsi="Times New Roman" w:hint="eastAsia"/>
                <w:noProof/>
                <w:color w:val="auto"/>
                <w:kern w:val="22"/>
                <w:sz w:val="24"/>
                <w:szCs w:val="24"/>
                <w:lang w:eastAsia="zh-CN"/>
              </w:rPr>
              <w:t>年生物多样性愿景》的情景设想</w:t>
            </w:r>
            <w:r w:rsidR="003D3364" w:rsidRPr="003D3364">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3D3364" w:rsidRPr="003D3364">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_Toc6243644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12</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lang w:eastAsia="zh-CN"/>
            </w:rPr>
          </w:pPr>
          <w:hyperlink w:anchor="_Toc6243645" w:history="1">
            <w:r w:rsidR="00D0359D" w:rsidRPr="00D0359D">
              <w:rPr>
                <w:rStyle w:val="Hyperlink"/>
                <w:rFonts w:ascii="Times New Roman" w:hAnsi="Times New Roman"/>
                <w:noProof/>
                <w:color w:val="auto"/>
                <w:kern w:val="22"/>
                <w:sz w:val="24"/>
                <w:szCs w:val="24"/>
                <w:lang w:eastAsia="zh-CN"/>
              </w:rPr>
              <w:t>14/3.</w:t>
            </w:r>
            <w:r w:rsidR="00D0359D" w:rsidRPr="00D0359D">
              <w:rPr>
                <w:rStyle w:val="Hyperlink"/>
                <w:rFonts w:ascii="Times New Roman" w:hAnsi="Times New Roman"/>
                <w:noProof/>
                <w:color w:val="auto"/>
                <w:kern w:val="22"/>
                <w:sz w:val="24"/>
                <w:szCs w:val="24"/>
                <w:lang w:eastAsia="zh-CN"/>
              </w:rPr>
              <w:tab/>
              <w:t xml:space="preserve"> </w:t>
            </w:r>
            <w:r w:rsidR="00D0359D" w:rsidRPr="00D0359D">
              <w:rPr>
                <w:rStyle w:val="Hyperlink"/>
                <w:rFonts w:ascii="Times New Roman" w:hAnsi="Times New Roman" w:hint="eastAsia"/>
                <w:noProof/>
                <w:color w:val="auto"/>
                <w:kern w:val="22"/>
                <w:sz w:val="24"/>
                <w:szCs w:val="24"/>
                <w:lang w:eastAsia="zh-CN"/>
              </w:rPr>
              <w:t>将生物多样性纳入能源和采矿、基础设施、制造和加工部门的主流</w:t>
            </w:r>
            <w:r w:rsidR="003D3364" w:rsidRPr="003D3364">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_Toc6243645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15</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lang w:eastAsia="zh-CN"/>
            </w:rPr>
          </w:pPr>
          <w:hyperlink w:anchor="_Toc6243650" w:history="1">
            <w:r w:rsidR="00D0359D" w:rsidRPr="00D0359D">
              <w:rPr>
                <w:rStyle w:val="Hyperlink"/>
                <w:rFonts w:ascii="Times New Roman" w:hAnsi="Times New Roman"/>
                <w:noProof/>
                <w:color w:val="auto"/>
                <w:kern w:val="22"/>
                <w:sz w:val="24"/>
                <w:szCs w:val="24"/>
                <w:lang w:eastAsia="zh-CN"/>
              </w:rPr>
              <w:t>14/4.</w:t>
            </w:r>
            <w:r w:rsidR="00D0359D" w:rsidRPr="00D0359D">
              <w:rPr>
                <w:rStyle w:val="Hyperlink"/>
                <w:rFonts w:ascii="Times New Roman" w:hAnsi="Times New Roman"/>
                <w:noProof/>
                <w:color w:val="auto"/>
                <w:kern w:val="22"/>
                <w:sz w:val="24"/>
                <w:szCs w:val="24"/>
                <w:lang w:eastAsia="zh-CN"/>
              </w:rPr>
              <w:tab/>
              <w:t xml:space="preserve"> </w:t>
            </w:r>
            <w:r w:rsidR="00D0359D" w:rsidRPr="00D0359D">
              <w:rPr>
                <w:rStyle w:val="Hyperlink"/>
                <w:rFonts w:ascii="Times New Roman" w:hAnsi="Times New Roman" w:hint="eastAsia"/>
                <w:noProof/>
                <w:color w:val="auto"/>
                <w:kern w:val="22"/>
                <w:sz w:val="24"/>
                <w:szCs w:val="24"/>
                <w:lang w:eastAsia="zh-CN"/>
              </w:rPr>
              <w:t>健康和生物多样性</w:t>
            </w:r>
            <w:r w:rsidR="003D3364" w:rsidRPr="003D3364">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3D3364" w:rsidRPr="003D3364">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_Toc6243650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24</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lang w:eastAsia="zh-CN"/>
            </w:rPr>
          </w:pPr>
          <w:hyperlink w:anchor="_Toc6243651" w:history="1">
            <w:r w:rsidR="00D0359D" w:rsidRPr="00D0359D">
              <w:rPr>
                <w:rStyle w:val="Hyperlink"/>
                <w:rFonts w:ascii="Times New Roman" w:hAnsi="Times New Roman"/>
                <w:noProof/>
                <w:color w:val="auto"/>
                <w:kern w:val="22"/>
                <w:sz w:val="24"/>
                <w:szCs w:val="24"/>
                <w:lang w:eastAsia="zh-CN"/>
              </w:rPr>
              <w:t>14/5.</w:t>
            </w:r>
            <w:r w:rsidR="00D0359D" w:rsidRPr="00D0359D">
              <w:rPr>
                <w:rStyle w:val="Hyperlink"/>
                <w:rFonts w:ascii="Times New Roman" w:hAnsi="Times New Roman"/>
                <w:noProof/>
                <w:color w:val="auto"/>
                <w:kern w:val="22"/>
                <w:sz w:val="24"/>
                <w:szCs w:val="24"/>
                <w:lang w:eastAsia="zh-CN"/>
              </w:rPr>
              <w:tab/>
              <w:t xml:space="preserve"> </w:t>
            </w:r>
            <w:r w:rsidR="00D0359D" w:rsidRPr="00D0359D">
              <w:rPr>
                <w:rStyle w:val="Hyperlink"/>
                <w:rFonts w:ascii="Times New Roman" w:hAnsi="Times New Roman" w:hint="eastAsia"/>
                <w:noProof/>
                <w:color w:val="auto"/>
                <w:kern w:val="22"/>
                <w:sz w:val="24"/>
                <w:szCs w:val="24"/>
                <w:lang w:eastAsia="zh-CN"/>
              </w:rPr>
              <w:t>生物多样性和气候变化</w:t>
            </w:r>
            <w:r w:rsidR="003D3364" w:rsidRPr="003D3364">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3D3364" w:rsidRPr="003D3364">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_Toc6243651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28</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D0359D"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u w:val="none"/>
              <w:lang w:eastAsia="zh-CN"/>
            </w:rPr>
          </w:pPr>
          <w:r w:rsidRPr="00D0359D">
            <w:rPr>
              <w:rStyle w:val="Hyperlink"/>
              <w:rFonts w:ascii="Times New Roman" w:hAnsi="Times New Roman"/>
              <w:noProof/>
              <w:color w:val="auto"/>
              <w:kern w:val="22"/>
              <w:sz w:val="24"/>
              <w:szCs w:val="24"/>
              <w:u w:val="none"/>
              <w:lang w:eastAsia="zh-CN"/>
            </w:rPr>
            <w:t>14/6.</w:t>
          </w:r>
          <w:r w:rsidRPr="00D0359D">
            <w:rPr>
              <w:rStyle w:val="Hyperlink"/>
              <w:rFonts w:ascii="Times New Roman" w:hAnsi="Times New Roman"/>
              <w:noProof/>
              <w:color w:val="auto"/>
              <w:kern w:val="22"/>
              <w:sz w:val="24"/>
              <w:szCs w:val="24"/>
              <w:u w:val="none"/>
              <w:lang w:eastAsia="zh-CN"/>
            </w:rPr>
            <w:tab/>
          </w:r>
          <w:r w:rsidRPr="00D0359D">
            <w:rPr>
              <w:rStyle w:val="Hyperlink"/>
              <w:rFonts w:ascii="Times New Roman" w:hAnsi="Times New Roman"/>
              <w:noProof/>
              <w:color w:val="auto"/>
              <w:kern w:val="22"/>
              <w:sz w:val="24"/>
              <w:szCs w:val="24"/>
              <w:u w:val="none"/>
              <w:lang w:eastAsia="zh-CN"/>
            </w:rPr>
            <w:t>保护和可持续利用授粉媒介</w:t>
          </w:r>
          <w:r w:rsidR="003D3364" w:rsidRPr="003D3364">
            <w:rPr>
              <w:rStyle w:val="Hyperlink"/>
              <w:rFonts w:ascii="Times New Roman" w:hAnsi="Times New Roman"/>
              <w:noProof/>
              <w:color w:val="auto"/>
              <w:kern w:val="22"/>
              <w:sz w:val="24"/>
              <w:szCs w:val="24"/>
              <w:u w:val="none"/>
              <w:lang w:eastAsia="zh-CN"/>
            </w:rPr>
            <w:t>………………………………………………………</w:t>
          </w:r>
          <w:r w:rsidR="009D1DAF">
            <w:rPr>
              <w:rStyle w:val="Hyperlink"/>
              <w:rFonts w:ascii="Times New Roman" w:hAnsi="Times New Roman"/>
              <w:noProof/>
              <w:color w:val="auto"/>
              <w:kern w:val="22"/>
              <w:sz w:val="24"/>
              <w:szCs w:val="24"/>
              <w:u w:val="none"/>
              <w:lang w:eastAsia="zh-CN"/>
            </w:rPr>
            <w:t>54</w:t>
          </w:r>
          <w:r w:rsidRPr="00D0359D">
            <w:rPr>
              <w:rStyle w:val="Hyperlink"/>
              <w:rFonts w:ascii="Times New Roman" w:hAnsi="Times New Roman"/>
              <w:noProof/>
              <w:color w:val="auto"/>
              <w:kern w:val="22"/>
              <w:sz w:val="24"/>
              <w:szCs w:val="24"/>
              <w:u w:val="none"/>
              <w:lang w:eastAsia="zh-CN"/>
            </w:rPr>
            <w:t xml:space="preserve"> </w:t>
          </w:r>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lang w:eastAsia="zh-CN"/>
            </w:rPr>
          </w:pPr>
          <w:hyperlink w:anchor="_Toc6243694" w:history="1">
            <w:r w:rsidR="00D0359D" w:rsidRPr="00D0359D">
              <w:rPr>
                <w:rStyle w:val="Hyperlink"/>
                <w:rFonts w:ascii="Times New Roman" w:hAnsi="Times New Roman"/>
                <w:noProof/>
                <w:color w:val="auto"/>
                <w:kern w:val="22"/>
                <w:sz w:val="24"/>
                <w:szCs w:val="24"/>
                <w:lang w:eastAsia="zh-CN"/>
              </w:rPr>
              <w:t>14/7.</w:t>
            </w:r>
            <w:r w:rsidR="00D0359D" w:rsidRPr="00D0359D">
              <w:rPr>
                <w:rStyle w:val="Hyperlink"/>
                <w:rFonts w:ascii="Times New Roman" w:hAnsi="Times New Roman"/>
                <w:noProof/>
                <w:color w:val="auto"/>
                <w:kern w:val="22"/>
                <w:sz w:val="24"/>
                <w:szCs w:val="24"/>
                <w:lang w:eastAsia="zh-CN"/>
              </w:rPr>
              <w:tab/>
            </w:r>
            <w:r w:rsidR="00D0359D" w:rsidRPr="00D0359D">
              <w:rPr>
                <w:rStyle w:val="Hyperlink"/>
                <w:rFonts w:ascii="Times New Roman" w:hAnsi="Times New Roman" w:hint="eastAsia"/>
                <w:noProof/>
                <w:color w:val="auto"/>
                <w:kern w:val="22"/>
                <w:sz w:val="24"/>
                <w:szCs w:val="24"/>
                <w:lang w:eastAsia="zh-CN"/>
              </w:rPr>
              <w:t>可持续野生动物管理</w:t>
            </w:r>
            <w:r w:rsidR="009D1DAF" w:rsidRPr="003D3364">
              <w:rPr>
                <w:rStyle w:val="Hyperlink"/>
                <w:rFonts w:ascii="Times New Roman" w:hAnsi="Times New Roman"/>
                <w:noProof/>
                <w:color w:val="auto"/>
                <w:kern w:val="22"/>
                <w:sz w:val="24"/>
                <w:szCs w:val="24"/>
                <w:u w:val="none"/>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_Toc6243694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72</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lang w:eastAsia="zh-CN"/>
            </w:rPr>
          </w:pPr>
          <w:hyperlink w:anchor="_Toc6243695" w:history="1">
            <w:r w:rsidR="00D0359D" w:rsidRPr="00D0359D">
              <w:rPr>
                <w:rStyle w:val="Hyperlink"/>
                <w:rFonts w:ascii="Times New Roman" w:hAnsi="Times New Roman"/>
                <w:noProof/>
                <w:color w:val="auto"/>
                <w:kern w:val="22"/>
                <w:sz w:val="24"/>
                <w:szCs w:val="24"/>
                <w:lang w:eastAsia="zh-CN"/>
              </w:rPr>
              <w:t>14/8.</w:t>
            </w:r>
            <w:r w:rsidR="00D0359D" w:rsidRPr="00D0359D">
              <w:rPr>
                <w:rStyle w:val="Hyperlink"/>
                <w:rFonts w:ascii="Times New Roman" w:hAnsi="Times New Roman"/>
                <w:noProof/>
                <w:color w:val="auto"/>
                <w:kern w:val="22"/>
                <w:sz w:val="24"/>
                <w:szCs w:val="24"/>
                <w:lang w:eastAsia="zh-CN"/>
              </w:rPr>
              <w:tab/>
            </w:r>
            <w:r w:rsidR="00D0359D" w:rsidRPr="00D0359D">
              <w:rPr>
                <w:rStyle w:val="Hyperlink"/>
                <w:rFonts w:ascii="Times New Roman" w:hAnsi="Times New Roman" w:hint="eastAsia"/>
                <w:noProof/>
                <w:color w:val="auto"/>
                <w:kern w:val="22"/>
                <w:sz w:val="24"/>
                <w:szCs w:val="24"/>
                <w:lang w:eastAsia="zh-CN"/>
              </w:rPr>
              <w:t>保护区和其他有效区域保护措施</w:t>
            </w:r>
            <w:r w:rsidR="009D1DAF" w:rsidRPr="003D3364">
              <w:rPr>
                <w:rStyle w:val="Hyperlink"/>
                <w:rFonts w:ascii="Times New Roman" w:hAnsi="Times New Roman"/>
                <w:noProof/>
                <w:color w:val="auto"/>
                <w:kern w:val="22"/>
                <w:sz w:val="24"/>
                <w:szCs w:val="24"/>
                <w:u w:val="none"/>
                <w:lang w:eastAsia="zh-CN"/>
              </w:rPr>
              <w:t>……………………………………………</w:t>
            </w:r>
            <w:r w:rsidR="009D1DAF">
              <w:rPr>
                <w:rStyle w:val="Hyperlink"/>
                <w:rFonts w:ascii="Times New Roman" w:hAnsi="Times New Roman"/>
                <w:noProof/>
                <w:color w:val="auto"/>
                <w:kern w:val="22"/>
                <w:sz w:val="24"/>
                <w:szCs w:val="24"/>
                <w:u w:val="none"/>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_Toc6243695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89</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lang w:eastAsia="zh-CN"/>
            </w:rPr>
          </w:pPr>
          <w:hyperlink w:anchor="_Toc6243724" w:history="1">
            <w:r w:rsidR="00D0359D" w:rsidRPr="00D0359D">
              <w:rPr>
                <w:rStyle w:val="Hyperlink"/>
                <w:rFonts w:ascii="Times New Roman" w:hAnsi="Times New Roman"/>
                <w:noProof/>
                <w:color w:val="auto"/>
                <w:kern w:val="22"/>
                <w:sz w:val="24"/>
                <w:szCs w:val="24"/>
                <w:lang w:eastAsia="zh-CN"/>
              </w:rPr>
              <w:t>14/9.</w:t>
            </w:r>
            <w:r w:rsidR="00D0359D" w:rsidRPr="00D0359D">
              <w:rPr>
                <w:rStyle w:val="Hyperlink"/>
                <w:rFonts w:ascii="Times New Roman" w:hAnsi="Times New Roman"/>
                <w:noProof/>
                <w:color w:val="auto"/>
                <w:kern w:val="22"/>
                <w:sz w:val="24"/>
                <w:szCs w:val="24"/>
                <w:lang w:eastAsia="zh-CN"/>
              </w:rPr>
              <w:tab/>
            </w:r>
            <w:r w:rsidR="00D0359D" w:rsidRPr="00D0359D">
              <w:rPr>
                <w:rStyle w:val="Hyperlink"/>
                <w:rFonts w:ascii="Times New Roman" w:hAnsi="Times New Roman" w:hint="eastAsia"/>
                <w:noProof/>
                <w:color w:val="auto"/>
                <w:kern w:val="22"/>
                <w:sz w:val="24"/>
                <w:szCs w:val="24"/>
                <w:lang w:eastAsia="zh-CN"/>
              </w:rPr>
              <w:t>海洋和沿海生物多样性：具有重要生态或生物意义的海洋区域</w:t>
            </w:r>
            <w:r w:rsidR="009D1DAF" w:rsidRPr="003D3364">
              <w:rPr>
                <w:rStyle w:val="Hyperlink"/>
                <w:rFonts w:ascii="Times New Roman" w:hAnsi="Times New Roman"/>
                <w:noProof/>
                <w:color w:val="auto"/>
                <w:kern w:val="22"/>
                <w:sz w:val="24"/>
                <w:szCs w:val="24"/>
                <w:u w:val="none"/>
                <w:lang w:eastAsia="zh-CN"/>
              </w:rPr>
              <w:t>……………</w:t>
            </w:r>
            <w:r w:rsidR="009D1DAF">
              <w:rPr>
                <w:rStyle w:val="Hyperlink"/>
                <w:rFonts w:ascii="Times New Roman" w:hAnsi="Times New Roman"/>
                <w:noProof/>
                <w:color w:val="auto"/>
                <w:kern w:val="22"/>
                <w:sz w:val="24"/>
                <w:szCs w:val="24"/>
                <w:u w:val="none"/>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_Toc6243724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110</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48" w:history="1">
            <w:r w:rsidR="00D0359D" w:rsidRPr="00D0359D">
              <w:rPr>
                <w:rStyle w:val="Hyperlink"/>
                <w:rFonts w:ascii="Times New Roman" w:hAnsi="Times New Roman"/>
                <w:noProof/>
                <w:color w:val="auto"/>
                <w:kern w:val="22"/>
                <w:sz w:val="24"/>
                <w:szCs w:val="24"/>
                <w:lang w:eastAsia="zh-CN"/>
              </w:rPr>
              <w:t>14/10.</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与海洋和沿海生物多样性相关的其他事项</w:t>
            </w:r>
            <w:r w:rsidR="009D1DAF" w:rsidRPr="003D3364">
              <w:rPr>
                <w:rStyle w:val="Hyperlink"/>
                <w:rFonts w:ascii="Times New Roman" w:hAnsi="Times New Roman"/>
                <w:noProof/>
                <w:color w:val="auto"/>
                <w:kern w:val="22"/>
                <w:sz w:val="24"/>
                <w:szCs w:val="24"/>
                <w:u w:val="none"/>
                <w:lang w:eastAsia="zh-CN"/>
              </w:rPr>
              <w:t>……………………………………</w:t>
            </w:r>
            <w:r w:rsidR="009D1DAF">
              <w:rPr>
                <w:rStyle w:val="Hyperlink"/>
                <w:rFonts w:ascii="Times New Roman" w:hAnsi="Times New Roman"/>
                <w:noProof/>
                <w:color w:val="auto"/>
                <w:kern w:val="22"/>
                <w:sz w:val="24"/>
                <w:szCs w:val="24"/>
                <w:u w:val="none"/>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_Toc6243748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133</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49" w:history="1">
            <w:r w:rsidR="00D0359D" w:rsidRPr="00D0359D">
              <w:rPr>
                <w:rStyle w:val="Hyperlink"/>
                <w:rFonts w:ascii="Times New Roman" w:hAnsi="Times New Roman"/>
                <w:noProof/>
                <w:color w:val="auto"/>
                <w:kern w:val="22"/>
                <w:sz w:val="24"/>
                <w:szCs w:val="24"/>
                <w:lang w:eastAsia="zh-CN"/>
              </w:rPr>
              <w:t>14/11.</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外来入侵物种</w:t>
            </w:r>
            <w:r w:rsidR="009D1DAF" w:rsidRPr="003D3364">
              <w:rPr>
                <w:rStyle w:val="Hyperlink"/>
                <w:rFonts w:ascii="Times New Roman" w:hAnsi="Times New Roman"/>
                <w:noProof/>
                <w:color w:val="auto"/>
                <w:kern w:val="22"/>
                <w:sz w:val="24"/>
                <w:szCs w:val="24"/>
                <w:u w:val="none"/>
                <w:lang w:eastAsia="zh-CN"/>
              </w:rPr>
              <w:t>……………………………………………………………………</w:t>
            </w:r>
            <w:r w:rsidR="009D1DAF">
              <w:rPr>
                <w:rStyle w:val="Hyperlink"/>
                <w:rFonts w:ascii="Times New Roman" w:hAnsi="Times New Roman"/>
                <w:noProof/>
                <w:color w:val="auto"/>
                <w:kern w:val="22"/>
                <w:sz w:val="24"/>
                <w:szCs w:val="24"/>
                <w:u w:val="none"/>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_Toc6243749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135</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63" w:history="1">
            <w:r w:rsidR="00D0359D" w:rsidRPr="00D0359D">
              <w:rPr>
                <w:rStyle w:val="Hyperlink"/>
                <w:rFonts w:ascii="Times New Roman" w:hAnsi="Times New Roman"/>
                <w:noProof/>
                <w:color w:val="auto"/>
                <w:kern w:val="22"/>
                <w:sz w:val="24"/>
                <w:szCs w:val="24"/>
                <w:lang w:eastAsia="zh-CN"/>
              </w:rPr>
              <w:t>14/12.</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hint="eastAsia"/>
                <w:noProof/>
                <w:color w:val="auto"/>
                <w:kern w:val="22"/>
                <w:sz w:val="24"/>
                <w:szCs w:val="24"/>
                <w:lang w:eastAsia="zh-CN"/>
              </w:rPr>
              <w:t>关于返还土著人民和地方社区与保护和可持续利用生物多样性相关传统知识的卢佐利希里沙希克自愿准则</w:t>
            </w:r>
            <w:r w:rsidR="00D0359D" w:rsidRPr="00D0359D">
              <w:rPr>
                <w:rStyle w:val="Hyperlink"/>
                <w:rFonts w:ascii="Times New Roman" w:hAnsi="Times New Roman"/>
                <w:noProof/>
                <w:webHidden/>
                <w:color w:val="auto"/>
                <w:kern w:val="22"/>
                <w:sz w:val="24"/>
                <w:szCs w:val="24"/>
                <w:lang w:eastAsia="zh-CN"/>
              </w:rPr>
              <w:tab/>
            </w:r>
            <w:r w:rsidR="009D1DAF" w:rsidRPr="003D3364">
              <w:rPr>
                <w:rStyle w:val="Hyperlink"/>
                <w:rFonts w:ascii="Times New Roman" w:hAnsi="Times New Roman"/>
                <w:noProof/>
                <w:color w:val="auto"/>
                <w:kern w:val="22"/>
                <w:sz w:val="24"/>
                <w:szCs w:val="24"/>
                <w:u w:val="none"/>
                <w:lang w:eastAsia="zh-CN"/>
              </w:rPr>
              <w:t>…………………………………………………</w:t>
            </w:r>
            <w:r w:rsidR="009D1DAF">
              <w:rPr>
                <w:rStyle w:val="Hyperlink"/>
                <w:rFonts w:ascii="Times New Roman" w:hAnsi="Times New Roman"/>
                <w:noProof/>
                <w:color w:val="auto"/>
                <w:kern w:val="22"/>
                <w:sz w:val="24"/>
                <w:szCs w:val="24"/>
                <w:u w:val="none"/>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_Toc6243763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143</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65" w:history="1">
            <w:r w:rsidR="00D0359D" w:rsidRPr="00D0359D">
              <w:rPr>
                <w:rStyle w:val="Hyperlink"/>
                <w:rFonts w:ascii="Times New Roman" w:hAnsi="Times New Roman"/>
                <w:noProof/>
                <w:color w:val="auto"/>
                <w:kern w:val="22"/>
                <w:sz w:val="24"/>
                <w:szCs w:val="24"/>
                <w:lang w:eastAsia="zh-CN"/>
              </w:rPr>
              <w:t>14/13.</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hint="eastAsia"/>
                <w:noProof/>
                <w:color w:val="auto"/>
                <w:kern w:val="22"/>
                <w:sz w:val="24"/>
                <w:szCs w:val="24"/>
                <w:lang w:eastAsia="zh-CN"/>
              </w:rPr>
              <w:t>第</w:t>
            </w:r>
            <w:r w:rsidR="00D0359D" w:rsidRPr="00D0359D">
              <w:rPr>
                <w:rStyle w:val="Hyperlink"/>
                <w:rFonts w:ascii="Times New Roman" w:hAnsi="Times New Roman"/>
                <w:noProof/>
                <w:color w:val="auto"/>
                <w:kern w:val="22"/>
                <w:sz w:val="24"/>
                <w:szCs w:val="24"/>
                <w:lang w:eastAsia="zh-CN"/>
              </w:rPr>
              <w:t>8(j)</w:t>
            </w:r>
            <w:r w:rsidR="00D0359D" w:rsidRPr="00D0359D">
              <w:rPr>
                <w:rStyle w:val="Hyperlink"/>
                <w:rFonts w:ascii="Times New Roman" w:hAnsi="Times New Roman" w:hint="eastAsia"/>
                <w:noProof/>
                <w:color w:val="auto"/>
                <w:kern w:val="22"/>
                <w:sz w:val="24"/>
                <w:szCs w:val="24"/>
                <w:lang w:eastAsia="zh-CN"/>
              </w:rPr>
              <w:t>条和相关条款范围内使用的有关关键术语和概念词汇表</w:t>
            </w:r>
            <w:r w:rsidR="009D1DAF" w:rsidRPr="003D3364">
              <w:rPr>
                <w:rStyle w:val="Hyperlink"/>
                <w:rFonts w:ascii="Times New Roman" w:hAnsi="Times New Roman"/>
                <w:noProof/>
                <w:color w:val="auto"/>
                <w:kern w:val="22"/>
                <w:sz w:val="24"/>
                <w:szCs w:val="24"/>
                <w:u w:val="none"/>
                <w:lang w:eastAsia="zh-CN"/>
              </w:rPr>
              <w:t>………</w:t>
            </w:r>
            <w:r w:rsidR="003E0D48">
              <w:rPr>
                <w:rStyle w:val="Hyperlink"/>
                <w:rFonts w:ascii="Times New Roman" w:hAnsi="Times New Roman"/>
                <w:noProof/>
                <w:color w:val="auto"/>
                <w:kern w:val="22"/>
                <w:sz w:val="24"/>
                <w:szCs w:val="24"/>
                <w:u w:val="none"/>
                <w:lang w:eastAsia="zh-CN"/>
              </w:rPr>
              <w:t>..</w:t>
            </w:r>
            <w:r w:rsidR="009D1DAF" w:rsidRPr="003D3364">
              <w:rPr>
                <w:rStyle w:val="Hyperlink"/>
                <w:rFonts w:ascii="Times New Roman" w:hAnsi="Times New Roman"/>
                <w:noProof/>
                <w:color w:val="auto"/>
                <w:kern w:val="22"/>
                <w:sz w:val="24"/>
                <w:szCs w:val="24"/>
                <w:u w:val="none"/>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_Toc6243765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155</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66" w:history="1">
            <w:r w:rsidR="00D0359D" w:rsidRPr="00D0359D">
              <w:rPr>
                <w:rStyle w:val="Hyperlink"/>
                <w:rFonts w:ascii="Times New Roman" w:hAnsi="Times New Roman"/>
                <w:noProof/>
                <w:color w:val="auto"/>
                <w:kern w:val="22"/>
                <w:sz w:val="24"/>
                <w:szCs w:val="24"/>
                <w:lang w:eastAsia="zh-CN"/>
              </w:rPr>
              <w:t xml:space="preserve">14/14.     </w:t>
            </w:r>
            <w:r w:rsidR="00D0359D" w:rsidRPr="00D0359D">
              <w:rPr>
                <w:rStyle w:val="Hyperlink"/>
                <w:rFonts w:ascii="Times New Roman" w:hAnsi="Times New Roman" w:hint="eastAsia"/>
                <w:noProof/>
                <w:color w:val="auto"/>
                <w:kern w:val="22"/>
                <w:sz w:val="24"/>
                <w:szCs w:val="24"/>
                <w:lang w:eastAsia="zh-CN"/>
              </w:rPr>
              <w:t>其他与第</w:t>
            </w:r>
            <w:r w:rsidR="00D0359D" w:rsidRPr="00D0359D">
              <w:rPr>
                <w:rStyle w:val="Hyperlink"/>
                <w:rFonts w:ascii="Times New Roman" w:hAnsi="Times New Roman"/>
                <w:noProof/>
                <w:color w:val="auto"/>
                <w:kern w:val="22"/>
                <w:sz w:val="24"/>
                <w:szCs w:val="24"/>
                <w:lang w:eastAsia="zh-CN"/>
              </w:rPr>
              <w:t>8(j)</w:t>
            </w:r>
            <w:r w:rsidR="00D0359D" w:rsidRPr="00D0359D">
              <w:rPr>
                <w:rStyle w:val="Hyperlink"/>
                <w:rFonts w:ascii="Times New Roman" w:hAnsi="Times New Roman" w:hint="eastAsia"/>
                <w:noProof/>
                <w:color w:val="auto"/>
                <w:kern w:val="22"/>
                <w:sz w:val="24"/>
                <w:szCs w:val="24"/>
                <w:lang w:eastAsia="zh-CN"/>
              </w:rPr>
              <w:t>条相关的事项</w:t>
            </w:r>
            <w:r w:rsidR="009D1DAF" w:rsidRPr="003D3364">
              <w:rPr>
                <w:rStyle w:val="Hyperlink"/>
                <w:rFonts w:ascii="Times New Roman" w:hAnsi="Times New Roman"/>
                <w:noProof/>
                <w:color w:val="auto"/>
                <w:kern w:val="22"/>
                <w:sz w:val="24"/>
                <w:szCs w:val="24"/>
                <w:u w:val="none"/>
                <w:lang w:eastAsia="zh-CN"/>
              </w:rPr>
              <w:t>…………………………………………………</w:t>
            </w:r>
            <w:r w:rsidR="003E0D48">
              <w:rPr>
                <w:rStyle w:val="Hyperlink"/>
                <w:rFonts w:ascii="Times New Roman" w:hAnsi="Times New Roman"/>
                <w:noProof/>
                <w:color w:val="auto"/>
                <w:kern w:val="22"/>
                <w:sz w:val="24"/>
                <w:szCs w:val="24"/>
                <w:u w:val="none"/>
                <w:lang w:eastAsia="zh-CN"/>
              </w:rPr>
              <w:t>..</w:t>
            </w:r>
            <w:r w:rsidR="009D1DAF" w:rsidRPr="003D3364">
              <w:rPr>
                <w:rStyle w:val="Hyperlink"/>
                <w:rFonts w:ascii="Times New Roman" w:hAnsi="Times New Roman"/>
                <w:noProof/>
                <w:color w:val="auto"/>
                <w:kern w:val="22"/>
                <w:sz w:val="24"/>
                <w:szCs w:val="24"/>
                <w:u w:val="none"/>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_Toc6243766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162</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67" w:history="1">
            <w:r w:rsidR="00D0359D" w:rsidRPr="00D0359D">
              <w:rPr>
                <w:rStyle w:val="Hyperlink"/>
                <w:rFonts w:ascii="Times New Roman" w:hAnsi="Times New Roman"/>
                <w:noProof/>
                <w:color w:val="auto"/>
                <w:kern w:val="22"/>
                <w:sz w:val="24"/>
                <w:szCs w:val="24"/>
                <w:lang w:eastAsia="zh-CN"/>
              </w:rPr>
              <w:t xml:space="preserve">14/15.     </w:t>
            </w:r>
            <w:r w:rsidR="00D0359D" w:rsidRPr="00D0359D">
              <w:rPr>
                <w:rStyle w:val="Hyperlink"/>
                <w:rFonts w:ascii="Times New Roman" w:hAnsi="Times New Roman" w:hint="eastAsia"/>
                <w:noProof/>
                <w:color w:val="auto"/>
                <w:kern w:val="22"/>
                <w:sz w:val="24"/>
                <w:szCs w:val="24"/>
                <w:lang w:eastAsia="zh-CN"/>
              </w:rPr>
              <w:t>生</w:t>
            </w:r>
            <w:r w:rsidR="00D0359D" w:rsidRPr="00D0359D">
              <w:rPr>
                <w:rStyle w:val="Hyperlink"/>
                <w:rFonts w:ascii="Times New Roman" w:hAnsi="Times New Roman"/>
                <w:noProof/>
                <w:color w:val="auto"/>
                <w:kern w:val="22"/>
                <w:sz w:val="24"/>
                <w:szCs w:val="24"/>
                <w:lang w:eastAsia="zh-CN"/>
              </w:rPr>
              <w:t>​</w:t>
            </w:r>
            <w:r w:rsidR="00D0359D" w:rsidRPr="00D0359D">
              <w:rPr>
                <w:rStyle w:val="Hyperlink"/>
                <w:rFonts w:ascii="Times New Roman" w:hAnsi="Times New Roman" w:hint="eastAsia"/>
                <w:noProof/>
                <w:color w:val="auto"/>
                <w:kern w:val="22"/>
                <w:sz w:val="24"/>
                <w:szCs w:val="24"/>
                <w:lang w:eastAsia="zh-CN"/>
              </w:rPr>
              <w:t>物</w:t>
            </w:r>
            <w:r w:rsidR="00D0359D" w:rsidRPr="00D0359D">
              <w:rPr>
                <w:rStyle w:val="Hyperlink"/>
                <w:rFonts w:ascii="Times New Roman" w:hAnsi="Times New Roman"/>
                <w:noProof/>
                <w:color w:val="auto"/>
                <w:kern w:val="22"/>
                <w:sz w:val="24"/>
                <w:szCs w:val="24"/>
                <w:lang w:eastAsia="zh-CN"/>
              </w:rPr>
              <w:t>​</w:t>
            </w:r>
            <w:r w:rsidR="00D0359D" w:rsidRPr="00D0359D">
              <w:rPr>
                <w:rStyle w:val="Hyperlink"/>
                <w:rFonts w:ascii="Times New Roman" w:hAnsi="Times New Roman" w:hint="eastAsia"/>
                <w:noProof/>
                <w:color w:val="auto"/>
                <w:kern w:val="22"/>
                <w:sz w:val="24"/>
                <w:szCs w:val="24"/>
                <w:lang w:eastAsia="zh-CN"/>
              </w:rPr>
              <w:t>多</w:t>
            </w:r>
            <w:r w:rsidR="00D0359D" w:rsidRPr="00D0359D">
              <w:rPr>
                <w:rStyle w:val="Hyperlink"/>
                <w:rFonts w:ascii="Times New Roman" w:hAnsi="Times New Roman"/>
                <w:noProof/>
                <w:color w:val="auto"/>
                <w:kern w:val="22"/>
                <w:sz w:val="24"/>
                <w:szCs w:val="24"/>
                <w:lang w:eastAsia="zh-CN"/>
              </w:rPr>
              <w:t>​</w:t>
            </w:r>
            <w:r w:rsidR="00D0359D" w:rsidRPr="00D0359D">
              <w:rPr>
                <w:rStyle w:val="Hyperlink"/>
                <w:rFonts w:ascii="Times New Roman" w:hAnsi="Times New Roman" w:hint="eastAsia"/>
                <w:noProof/>
                <w:color w:val="auto"/>
                <w:kern w:val="22"/>
                <w:sz w:val="24"/>
                <w:szCs w:val="24"/>
                <w:lang w:eastAsia="zh-CN"/>
              </w:rPr>
              <w:t>样</w:t>
            </w:r>
            <w:r w:rsidR="00D0359D" w:rsidRPr="00D0359D">
              <w:rPr>
                <w:rStyle w:val="Hyperlink"/>
                <w:rFonts w:ascii="Times New Roman" w:hAnsi="Times New Roman"/>
                <w:noProof/>
                <w:color w:val="auto"/>
                <w:kern w:val="22"/>
                <w:sz w:val="24"/>
                <w:szCs w:val="24"/>
                <w:lang w:eastAsia="zh-CN"/>
              </w:rPr>
              <w:t>​</w:t>
            </w:r>
            <w:r w:rsidR="00D0359D" w:rsidRPr="00D0359D">
              <w:rPr>
                <w:rStyle w:val="Hyperlink"/>
                <w:rFonts w:ascii="Times New Roman" w:hAnsi="Times New Roman" w:hint="eastAsia"/>
                <w:noProof/>
                <w:color w:val="auto"/>
                <w:kern w:val="22"/>
                <w:sz w:val="24"/>
                <w:szCs w:val="24"/>
                <w:lang w:eastAsia="zh-CN"/>
              </w:rPr>
              <w:t>性</w:t>
            </w:r>
            <w:r w:rsidR="00D0359D" w:rsidRPr="00D0359D">
              <w:rPr>
                <w:rStyle w:val="Hyperlink"/>
                <w:rFonts w:ascii="Times New Roman" w:hAnsi="Times New Roman"/>
                <w:noProof/>
                <w:color w:val="auto"/>
                <w:kern w:val="22"/>
                <w:sz w:val="24"/>
                <w:szCs w:val="24"/>
                <w:lang w:eastAsia="zh-CN"/>
              </w:rPr>
              <w:t>​</w:t>
            </w:r>
            <w:r w:rsidR="00D0359D" w:rsidRPr="00D0359D">
              <w:rPr>
                <w:rStyle w:val="Hyperlink"/>
                <w:rFonts w:ascii="Times New Roman" w:hAnsi="Times New Roman" w:hint="eastAsia"/>
                <w:noProof/>
                <w:color w:val="auto"/>
                <w:kern w:val="22"/>
                <w:sz w:val="24"/>
                <w:szCs w:val="24"/>
                <w:lang w:eastAsia="zh-CN"/>
              </w:rPr>
              <w:t>融</w:t>
            </w:r>
            <w:r w:rsidR="00D0359D" w:rsidRPr="00D0359D">
              <w:rPr>
                <w:rStyle w:val="Hyperlink"/>
                <w:rFonts w:ascii="Times New Roman" w:hAnsi="Times New Roman"/>
                <w:noProof/>
                <w:color w:val="auto"/>
                <w:kern w:val="22"/>
                <w:sz w:val="24"/>
                <w:szCs w:val="24"/>
                <w:lang w:eastAsia="zh-CN"/>
              </w:rPr>
              <w:t>​</w:t>
            </w:r>
            <w:r w:rsidR="00D0359D" w:rsidRPr="00D0359D">
              <w:rPr>
                <w:rStyle w:val="Hyperlink"/>
                <w:rFonts w:ascii="Times New Roman" w:hAnsi="Times New Roman" w:hint="eastAsia"/>
                <w:noProof/>
                <w:color w:val="auto"/>
                <w:kern w:val="22"/>
                <w:sz w:val="24"/>
                <w:szCs w:val="24"/>
                <w:lang w:eastAsia="zh-CN"/>
              </w:rPr>
              <w:t>资</w:t>
            </w:r>
            <w:r w:rsidR="00D0359D" w:rsidRPr="00D0359D">
              <w:rPr>
                <w:rStyle w:val="Hyperlink"/>
                <w:rFonts w:ascii="Times New Roman" w:hAnsi="Times New Roman"/>
                <w:noProof/>
                <w:color w:val="auto"/>
                <w:kern w:val="22"/>
                <w:sz w:val="24"/>
                <w:szCs w:val="24"/>
                <w:lang w:eastAsia="zh-CN"/>
              </w:rPr>
              <w:t>​</w:t>
            </w:r>
            <w:r w:rsidR="00D0359D" w:rsidRPr="00D0359D">
              <w:rPr>
                <w:rStyle w:val="Hyperlink"/>
                <w:rFonts w:ascii="Times New Roman" w:hAnsi="Times New Roman" w:hint="eastAsia"/>
                <w:noProof/>
                <w:color w:val="auto"/>
                <w:kern w:val="22"/>
                <w:sz w:val="24"/>
                <w:szCs w:val="24"/>
                <w:lang w:eastAsia="zh-CN"/>
              </w:rPr>
              <w:t>机</w:t>
            </w:r>
            <w:r w:rsidR="00D0359D" w:rsidRPr="00D0359D">
              <w:rPr>
                <w:rStyle w:val="Hyperlink"/>
                <w:rFonts w:ascii="Times New Roman" w:hAnsi="Times New Roman"/>
                <w:noProof/>
                <w:color w:val="auto"/>
                <w:kern w:val="22"/>
                <w:sz w:val="24"/>
                <w:szCs w:val="24"/>
                <w:lang w:eastAsia="zh-CN"/>
              </w:rPr>
              <w:t>​</w:t>
            </w:r>
            <w:r w:rsidR="00D0359D" w:rsidRPr="00D0359D">
              <w:rPr>
                <w:rStyle w:val="Hyperlink"/>
                <w:rFonts w:ascii="Times New Roman" w:hAnsi="Times New Roman" w:hint="eastAsia"/>
                <w:noProof/>
                <w:color w:val="auto"/>
                <w:kern w:val="22"/>
                <w:sz w:val="24"/>
                <w:szCs w:val="24"/>
                <w:lang w:eastAsia="zh-CN"/>
              </w:rPr>
              <w:t>制</w:t>
            </w:r>
            <w:r w:rsidR="00D0359D" w:rsidRPr="00D0359D">
              <w:rPr>
                <w:rStyle w:val="Hyperlink"/>
                <w:rFonts w:ascii="Times New Roman" w:hAnsi="Times New Roman"/>
                <w:noProof/>
                <w:color w:val="auto"/>
                <w:kern w:val="22"/>
                <w:sz w:val="24"/>
                <w:szCs w:val="24"/>
                <w:lang w:eastAsia="zh-CN"/>
              </w:rPr>
              <w:t>​</w:t>
            </w:r>
            <w:r w:rsidR="00D0359D" w:rsidRPr="00D0359D">
              <w:rPr>
                <w:rStyle w:val="Hyperlink"/>
                <w:rFonts w:ascii="Times New Roman" w:hAnsi="Times New Roman" w:hint="eastAsia"/>
                <w:noProof/>
                <w:color w:val="auto"/>
                <w:kern w:val="22"/>
                <w:sz w:val="24"/>
                <w:szCs w:val="24"/>
                <w:lang w:eastAsia="zh-CN"/>
              </w:rPr>
              <w:t>的</w:t>
            </w:r>
            <w:r w:rsidR="00D0359D" w:rsidRPr="00D0359D">
              <w:rPr>
                <w:rStyle w:val="Hyperlink"/>
                <w:rFonts w:ascii="Times New Roman" w:hAnsi="Times New Roman"/>
                <w:noProof/>
                <w:color w:val="auto"/>
                <w:kern w:val="22"/>
                <w:sz w:val="24"/>
                <w:szCs w:val="24"/>
                <w:lang w:eastAsia="zh-CN"/>
              </w:rPr>
              <w:t>​</w:t>
            </w:r>
            <w:r w:rsidR="00D0359D" w:rsidRPr="00D0359D">
              <w:rPr>
                <w:rStyle w:val="Hyperlink"/>
                <w:rFonts w:ascii="Times New Roman" w:hAnsi="Times New Roman" w:hint="eastAsia"/>
                <w:noProof/>
                <w:color w:val="auto"/>
                <w:kern w:val="22"/>
                <w:sz w:val="24"/>
                <w:szCs w:val="24"/>
                <w:lang w:eastAsia="zh-CN"/>
              </w:rPr>
              <w:t>保</w:t>
            </w:r>
            <w:r w:rsidR="00D0359D" w:rsidRPr="00D0359D">
              <w:rPr>
                <w:rStyle w:val="Hyperlink"/>
                <w:rFonts w:ascii="Times New Roman" w:hAnsi="Times New Roman"/>
                <w:noProof/>
                <w:color w:val="auto"/>
                <w:kern w:val="22"/>
                <w:sz w:val="24"/>
                <w:szCs w:val="24"/>
                <w:lang w:eastAsia="zh-CN"/>
              </w:rPr>
              <w:t>​</w:t>
            </w:r>
            <w:r w:rsidR="00D0359D" w:rsidRPr="00D0359D">
              <w:rPr>
                <w:rStyle w:val="Hyperlink"/>
                <w:rFonts w:ascii="Times New Roman" w:hAnsi="Times New Roman" w:hint="eastAsia"/>
                <w:noProof/>
                <w:color w:val="auto"/>
                <w:kern w:val="22"/>
                <w:sz w:val="24"/>
                <w:szCs w:val="24"/>
                <w:lang w:eastAsia="zh-CN"/>
              </w:rPr>
              <w:t>障</w:t>
            </w:r>
            <w:r w:rsidR="00D0359D" w:rsidRPr="00D0359D">
              <w:rPr>
                <w:rStyle w:val="Hyperlink"/>
                <w:rFonts w:ascii="Times New Roman" w:hAnsi="Times New Roman"/>
                <w:noProof/>
                <w:color w:val="auto"/>
                <w:kern w:val="22"/>
                <w:sz w:val="24"/>
                <w:szCs w:val="24"/>
                <w:lang w:eastAsia="zh-CN"/>
              </w:rPr>
              <w:t>​</w:t>
            </w:r>
            <w:r w:rsidR="00D0359D" w:rsidRPr="00D0359D">
              <w:rPr>
                <w:rStyle w:val="Hyperlink"/>
                <w:rFonts w:ascii="Times New Roman" w:hAnsi="Times New Roman" w:hint="eastAsia"/>
                <w:noProof/>
                <w:color w:val="auto"/>
                <w:kern w:val="22"/>
                <w:sz w:val="24"/>
                <w:szCs w:val="24"/>
                <w:lang w:eastAsia="zh-CN"/>
              </w:rPr>
              <w:t>措</w:t>
            </w:r>
            <w:r w:rsidR="00D0359D" w:rsidRPr="00D0359D">
              <w:rPr>
                <w:rStyle w:val="Hyperlink"/>
                <w:rFonts w:ascii="Times New Roman" w:hAnsi="Times New Roman"/>
                <w:noProof/>
                <w:color w:val="auto"/>
                <w:kern w:val="22"/>
                <w:sz w:val="24"/>
                <w:szCs w:val="24"/>
                <w:lang w:eastAsia="zh-CN"/>
              </w:rPr>
              <w:t>​</w:t>
            </w:r>
            <w:r w:rsidR="00D0359D" w:rsidRPr="00D0359D">
              <w:rPr>
                <w:rStyle w:val="Hyperlink"/>
                <w:rFonts w:ascii="Times New Roman" w:hAnsi="Times New Roman" w:hint="eastAsia"/>
                <w:noProof/>
                <w:color w:val="auto"/>
                <w:kern w:val="22"/>
                <w:sz w:val="24"/>
                <w:szCs w:val="24"/>
                <w:lang w:eastAsia="zh-CN"/>
              </w:rPr>
              <w:t>施</w:t>
            </w:r>
            <w:r w:rsidR="00D0359D" w:rsidRPr="00D0359D">
              <w:rPr>
                <w:rStyle w:val="Hyperlink"/>
                <w:rFonts w:ascii="Times New Roman" w:hAnsi="Times New Roman"/>
                <w:noProof/>
                <w:webHidden/>
                <w:color w:val="auto"/>
                <w:kern w:val="22"/>
                <w:sz w:val="24"/>
                <w:szCs w:val="24"/>
                <w:lang w:eastAsia="zh-CN"/>
              </w:rPr>
              <w:tab/>
            </w:r>
            <w:r w:rsidR="009D1DAF" w:rsidRPr="003D3364">
              <w:rPr>
                <w:rStyle w:val="Hyperlink"/>
                <w:rFonts w:ascii="Times New Roman" w:hAnsi="Times New Roman"/>
                <w:noProof/>
                <w:color w:val="auto"/>
                <w:kern w:val="22"/>
                <w:sz w:val="24"/>
                <w:szCs w:val="24"/>
                <w:u w:val="none"/>
                <w:lang w:eastAsia="zh-CN"/>
              </w:rPr>
              <w:t>…………………………………………</w:t>
            </w:r>
            <w:r w:rsidR="009D1DAF">
              <w:rPr>
                <w:rStyle w:val="Hyperlink"/>
                <w:rFonts w:ascii="Times New Roman" w:hAnsi="Times New Roman"/>
                <w:noProof/>
                <w:color w:val="auto"/>
                <w:kern w:val="22"/>
                <w:sz w:val="24"/>
                <w:szCs w:val="24"/>
                <w:u w:val="none"/>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_Toc6243767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163</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68" w:history="1">
            <w:r w:rsidR="00D0359D" w:rsidRPr="00D0359D">
              <w:rPr>
                <w:rStyle w:val="Hyperlink"/>
                <w:rFonts w:ascii="Times New Roman" w:hAnsi="Times New Roman"/>
                <w:noProof/>
                <w:color w:val="auto"/>
                <w:kern w:val="22"/>
                <w:sz w:val="24"/>
                <w:szCs w:val="24"/>
                <w:lang w:eastAsia="zh-CN"/>
              </w:rPr>
              <w:t xml:space="preserve">14/16.     </w:t>
            </w:r>
            <w:r w:rsidR="00D0359D" w:rsidRPr="00D0359D">
              <w:rPr>
                <w:rStyle w:val="Hyperlink"/>
                <w:rFonts w:ascii="Times New Roman" w:hAnsi="Times New Roman" w:hint="eastAsia"/>
                <w:noProof/>
                <w:color w:val="auto"/>
                <w:kern w:val="22"/>
                <w:sz w:val="24"/>
                <w:szCs w:val="24"/>
                <w:lang w:eastAsia="zh-CN"/>
              </w:rPr>
              <w:t>关于土著人民和地方社区的贡献的方法指导</w:t>
            </w:r>
            <w:r w:rsidR="009D1DAF" w:rsidRPr="003D3364">
              <w:rPr>
                <w:rStyle w:val="Hyperlink"/>
                <w:rFonts w:ascii="Times New Roman" w:hAnsi="Times New Roman"/>
                <w:noProof/>
                <w:color w:val="auto"/>
                <w:kern w:val="22"/>
                <w:sz w:val="24"/>
                <w:szCs w:val="24"/>
                <w:u w:val="none"/>
                <w:lang w:eastAsia="zh-CN"/>
              </w:rPr>
              <w:t>……………………………</w:t>
            </w:r>
            <w:r w:rsidR="003E0D48">
              <w:rPr>
                <w:rStyle w:val="Hyperlink"/>
                <w:rFonts w:ascii="Times New Roman" w:hAnsi="Times New Roman"/>
                <w:noProof/>
                <w:color w:val="auto"/>
                <w:kern w:val="22"/>
                <w:sz w:val="24"/>
                <w:szCs w:val="24"/>
                <w:u w:val="none"/>
                <w:lang w:eastAsia="zh-CN"/>
              </w:rPr>
              <w:t>..</w:t>
            </w:r>
            <w:r w:rsidR="009D1DAF" w:rsidRPr="003D3364">
              <w:rPr>
                <w:rStyle w:val="Hyperlink"/>
                <w:rFonts w:ascii="Times New Roman" w:hAnsi="Times New Roman"/>
                <w:noProof/>
                <w:color w:val="auto"/>
                <w:kern w:val="22"/>
                <w:sz w:val="24"/>
                <w:szCs w:val="24"/>
                <w:u w:val="none"/>
                <w:lang w:eastAsia="zh-CN"/>
              </w:rPr>
              <w:t>…</w:t>
            </w:r>
            <w:r w:rsidR="00D17508">
              <w:rPr>
                <w:rStyle w:val="Hyperlink"/>
                <w:rFonts w:ascii="Times New Roman" w:hAnsi="Times New Roman"/>
                <w:noProof/>
                <w:color w:val="auto"/>
                <w:kern w:val="22"/>
                <w:sz w:val="24"/>
                <w:szCs w:val="24"/>
                <w:u w:val="none"/>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_Toc6243768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166</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69" w:history="1">
            <w:r w:rsidR="00D0359D" w:rsidRPr="00D0359D">
              <w:rPr>
                <w:rStyle w:val="Hyperlink"/>
                <w:rFonts w:ascii="Times New Roman" w:hAnsi="Times New Roman"/>
                <w:noProof/>
                <w:color w:val="auto"/>
                <w:kern w:val="22"/>
                <w:sz w:val="24"/>
                <w:szCs w:val="24"/>
                <w:lang w:eastAsia="zh-CN"/>
              </w:rPr>
              <w:t xml:space="preserve">14/17.    </w:t>
            </w:r>
            <w:r w:rsidR="00C0019B">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将与土著人民和地方社区有关的第</w:t>
            </w:r>
            <w:r w:rsidR="00D0359D" w:rsidRPr="00D0359D">
              <w:rPr>
                <w:rStyle w:val="Hyperlink"/>
                <w:rFonts w:ascii="Times New Roman" w:hAnsi="Times New Roman"/>
                <w:noProof/>
                <w:color w:val="auto"/>
                <w:kern w:val="22"/>
                <w:sz w:val="24"/>
                <w:szCs w:val="24"/>
                <w:lang w:eastAsia="zh-CN"/>
              </w:rPr>
              <w:t>8(j)</w:t>
            </w:r>
            <w:r w:rsidR="00D0359D" w:rsidRPr="00D0359D">
              <w:rPr>
                <w:rStyle w:val="Hyperlink"/>
                <w:rFonts w:ascii="Times New Roman" w:hAnsi="Times New Roman" w:hint="eastAsia"/>
                <w:noProof/>
                <w:color w:val="auto"/>
                <w:kern w:val="22"/>
                <w:sz w:val="24"/>
                <w:szCs w:val="24"/>
                <w:lang w:eastAsia="zh-CN"/>
              </w:rPr>
              <w:t>条和相关条款纳入《公约》及其《议定书》的工作</w:t>
            </w:r>
            <w:r w:rsidR="009D1DAF" w:rsidRPr="003D3364">
              <w:rPr>
                <w:rStyle w:val="Hyperlink"/>
                <w:rFonts w:ascii="Times New Roman" w:hAnsi="Times New Roman"/>
                <w:noProof/>
                <w:color w:val="auto"/>
                <w:kern w:val="22"/>
                <w:sz w:val="24"/>
                <w:szCs w:val="24"/>
                <w:u w:val="none"/>
                <w:lang w:eastAsia="zh-CN"/>
              </w:rPr>
              <w:t>……………………………………………………………………</w:t>
            </w:r>
            <w:r w:rsidR="00D17508">
              <w:rPr>
                <w:rStyle w:val="Hyperlink"/>
                <w:rFonts w:ascii="Times New Roman" w:hAnsi="Times New Roman"/>
                <w:noProof/>
                <w:color w:val="auto"/>
                <w:kern w:val="22"/>
                <w:sz w:val="24"/>
                <w:szCs w:val="24"/>
                <w:u w:val="none"/>
                <w:lang w:eastAsia="zh-CN"/>
              </w:rPr>
              <w:t>..</w:t>
            </w:r>
            <w:r w:rsidR="00DD16A6">
              <w:rPr>
                <w:rStyle w:val="Hyperlink"/>
                <w:rFonts w:ascii="Times New Roman" w:hAnsi="Times New Roman"/>
                <w:noProof/>
                <w:color w:val="auto"/>
                <w:kern w:val="22"/>
                <w:sz w:val="24"/>
                <w:szCs w:val="24"/>
                <w:u w:val="none"/>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_Toc6243769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169</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70" w:history="1">
            <w:r w:rsidR="00D0359D" w:rsidRPr="00D0359D">
              <w:rPr>
                <w:rStyle w:val="Hyperlink"/>
                <w:rFonts w:ascii="Times New Roman" w:hAnsi="Times New Roman"/>
                <w:noProof/>
                <w:color w:val="auto"/>
                <w:kern w:val="22"/>
                <w:sz w:val="24"/>
                <w:szCs w:val="24"/>
                <w:lang w:eastAsia="zh-CN"/>
              </w:rPr>
              <w:t xml:space="preserve">14/18.     </w:t>
            </w:r>
            <w:r w:rsidR="00D0359D" w:rsidRPr="00D0359D">
              <w:rPr>
                <w:rStyle w:val="Hyperlink"/>
                <w:rFonts w:ascii="Times New Roman" w:hAnsi="Times New Roman" w:hint="eastAsia"/>
                <w:noProof/>
                <w:color w:val="auto"/>
                <w:kern w:val="22"/>
                <w:sz w:val="24"/>
                <w:szCs w:val="24"/>
                <w:lang w:eastAsia="zh-CN"/>
              </w:rPr>
              <w:t>性别平等行动计划</w:t>
            </w:r>
            <w:r w:rsidR="009D1DAF" w:rsidRPr="003D3364">
              <w:rPr>
                <w:rStyle w:val="Hyperlink"/>
                <w:rFonts w:ascii="Times New Roman" w:hAnsi="Times New Roman"/>
                <w:noProof/>
                <w:color w:val="auto"/>
                <w:kern w:val="22"/>
                <w:sz w:val="24"/>
                <w:szCs w:val="24"/>
                <w:u w:val="none"/>
                <w:lang w:eastAsia="zh-CN"/>
              </w:rPr>
              <w:t>……………………………………………………………</w:t>
            </w:r>
            <w:r w:rsidR="00D17508">
              <w:rPr>
                <w:rStyle w:val="Hyperlink"/>
                <w:rFonts w:ascii="Times New Roman" w:hAnsi="Times New Roman"/>
                <w:noProof/>
                <w:color w:val="auto"/>
                <w:kern w:val="22"/>
                <w:sz w:val="24"/>
                <w:szCs w:val="24"/>
                <w:u w:val="none"/>
                <w:lang w:eastAsia="zh-CN"/>
              </w:rPr>
              <w:t>..</w:t>
            </w:r>
            <w:r w:rsidR="00DD16A6">
              <w:rPr>
                <w:rStyle w:val="Hyperlink"/>
                <w:rFonts w:ascii="Times New Roman" w:hAnsi="Times New Roman"/>
                <w:noProof/>
                <w:color w:val="auto"/>
                <w:kern w:val="22"/>
                <w:sz w:val="24"/>
                <w:szCs w:val="24"/>
                <w:u w:val="none"/>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_Toc6243770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173</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71" w:history="1">
            <w:r w:rsidR="00D0359D" w:rsidRPr="00D0359D">
              <w:rPr>
                <w:rStyle w:val="Hyperlink"/>
                <w:rFonts w:ascii="Times New Roman" w:hAnsi="Times New Roman"/>
                <w:noProof/>
                <w:color w:val="auto"/>
                <w:kern w:val="22"/>
                <w:sz w:val="24"/>
                <w:szCs w:val="24"/>
                <w:lang w:eastAsia="zh-CN"/>
              </w:rPr>
              <w:t>14/19.</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合成生物学</w:t>
            </w:r>
            <w:r w:rsidR="009D1DAF" w:rsidRP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9D1DAF" w:rsidRPr="009D1DAF">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_Toc6243771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174</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72" w:history="1">
            <w:r w:rsidR="00D0359D" w:rsidRPr="00D0359D">
              <w:rPr>
                <w:rStyle w:val="Hyperlink"/>
                <w:rFonts w:ascii="Times New Roman" w:hAnsi="Times New Roman"/>
                <w:noProof/>
                <w:color w:val="auto"/>
                <w:kern w:val="22"/>
                <w:sz w:val="24"/>
                <w:szCs w:val="24"/>
                <w:lang w:eastAsia="zh-CN"/>
              </w:rPr>
              <w:t xml:space="preserve">14/20.     </w:t>
            </w:r>
            <w:r w:rsid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遗传资源数字序列信息</w:t>
            </w:r>
            <w:r w:rsidR="009D1DAF" w:rsidRPr="009D1DAF">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_Toc6243772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178</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73" w:history="1">
            <w:r w:rsidR="00D0359D" w:rsidRPr="00D0359D">
              <w:rPr>
                <w:rStyle w:val="Hyperlink"/>
                <w:rFonts w:ascii="Times New Roman" w:hAnsi="Times New Roman"/>
                <w:noProof/>
                <w:color w:val="auto"/>
                <w:kern w:val="22"/>
                <w:sz w:val="24"/>
                <w:szCs w:val="24"/>
                <w:lang w:eastAsia="zh-CN"/>
              </w:rPr>
              <w:t xml:space="preserve">14/21.    </w:t>
            </w:r>
            <w:r w:rsid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赔偿责任和补救（第</w:t>
            </w:r>
            <w:r w:rsidR="00D0359D" w:rsidRPr="00D0359D">
              <w:rPr>
                <w:rStyle w:val="Hyperlink"/>
                <w:rFonts w:ascii="Times New Roman" w:hAnsi="Times New Roman"/>
                <w:noProof/>
                <w:color w:val="auto"/>
                <w:kern w:val="22"/>
                <w:sz w:val="24"/>
                <w:szCs w:val="24"/>
                <w:lang w:eastAsia="zh-CN"/>
              </w:rPr>
              <w:t>14</w:t>
            </w:r>
            <w:r w:rsidR="00D0359D" w:rsidRPr="00D0359D">
              <w:rPr>
                <w:rStyle w:val="Hyperlink"/>
                <w:rFonts w:ascii="Times New Roman" w:hAnsi="Times New Roman" w:hint="eastAsia"/>
                <w:noProof/>
                <w:color w:val="auto"/>
                <w:kern w:val="22"/>
                <w:sz w:val="24"/>
                <w:szCs w:val="24"/>
                <w:lang w:eastAsia="zh-CN"/>
              </w:rPr>
              <w:t>条第</w:t>
            </w:r>
            <w:r w:rsidR="00D0359D" w:rsidRPr="00D0359D">
              <w:rPr>
                <w:rStyle w:val="Hyperlink"/>
                <w:rFonts w:ascii="Times New Roman" w:hAnsi="Times New Roman"/>
                <w:noProof/>
                <w:color w:val="auto"/>
                <w:kern w:val="22"/>
                <w:sz w:val="24"/>
                <w:szCs w:val="24"/>
                <w:lang w:eastAsia="zh-CN"/>
              </w:rPr>
              <w:t>2</w:t>
            </w:r>
            <w:r w:rsidR="00D0359D" w:rsidRPr="00D0359D">
              <w:rPr>
                <w:rStyle w:val="Hyperlink"/>
                <w:rFonts w:ascii="Times New Roman" w:hAnsi="Times New Roman" w:hint="eastAsia"/>
                <w:noProof/>
                <w:color w:val="auto"/>
                <w:kern w:val="22"/>
                <w:sz w:val="24"/>
                <w:szCs w:val="24"/>
                <w:lang w:eastAsia="zh-CN"/>
              </w:rPr>
              <w:t>款）</w:t>
            </w:r>
            <w:r w:rsidR="009D1DAF" w:rsidRP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9D1DAF" w:rsidRPr="009D1DAF">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_Toc6243773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181</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74" w:history="1">
            <w:r w:rsidR="00D0359D" w:rsidRPr="00D0359D">
              <w:rPr>
                <w:rStyle w:val="Hyperlink"/>
                <w:rFonts w:ascii="Times New Roman" w:hAnsi="Times New Roman"/>
                <w:noProof/>
                <w:color w:val="auto"/>
                <w:kern w:val="22"/>
                <w:sz w:val="24"/>
                <w:szCs w:val="24"/>
                <w:lang w:eastAsia="zh-CN"/>
              </w:rPr>
              <w:t>14/22.</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资源调动</w:t>
            </w:r>
            <w:r w:rsidR="009D1DAF" w:rsidRP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009D1DAF" w:rsidRPr="009D1DAF">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_Toc6243774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182</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75" w:history="1">
            <w:r w:rsidR="00D0359D" w:rsidRPr="00D0359D">
              <w:rPr>
                <w:rStyle w:val="Hyperlink"/>
                <w:rFonts w:ascii="Times New Roman" w:hAnsi="Times New Roman"/>
                <w:noProof/>
                <w:color w:val="auto"/>
                <w:kern w:val="22"/>
                <w:sz w:val="24"/>
                <w:szCs w:val="24"/>
                <w:lang w:eastAsia="zh-CN"/>
              </w:rPr>
              <w:t>14/23.</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财务机制</w:t>
            </w:r>
            <w:r w:rsidR="009D1DAF" w:rsidRP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9D1DAF" w:rsidRPr="009D1DAF">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_Toc6243775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185</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76" w:history="1">
            <w:r w:rsidR="00D0359D" w:rsidRPr="00D0359D">
              <w:rPr>
                <w:rStyle w:val="Hyperlink"/>
                <w:rFonts w:ascii="Times New Roman" w:hAnsi="Times New Roman"/>
                <w:noProof/>
                <w:color w:val="auto"/>
                <w:kern w:val="22"/>
                <w:sz w:val="24"/>
                <w:szCs w:val="24"/>
                <w:lang w:eastAsia="zh-CN"/>
              </w:rPr>
              <w:t>14/24.</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能力建设和科技合作</w:t>
            </w:r>
            <w:r w:rsidR="009D1DAF" w:rsidRP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D17508">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_Toc6243776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191</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84" w:history="1">
            <w:r w:rsidR="00D0359D" w:rsidRPr="00D0359D">
              <w:rPr>
                <w:rStyle w:val="Hyperlink"/>
                <w:rFonts w:ascii="Times New Roman" w:hAnsi="Times New Roman"/>
                <w:noProof/>
                <w:color w:val="auto"/>
                <w:kern w:val="22"/>
                <w:sz w:val="24"/>
                <w:szCs w:val="24"/>
                <w:lang w:eastAsia="zh-CN"/>
              </w:rPr>
              <w:t>14/25.</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《公约》及其《议定书》下的知识管理</w:t>
            </w:r>
            <w:r w:rsidR="009D1DAF" w:rsidRP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9D1DAF" w:rsidRPr="009D1DAF">
              <w:rPr>
                <w:rStyle w:val="Hyperlink"/>
                <w:rFonts w:ascii="Times New Roman" w:hAnsi="Times New Roman"/>
                <w:noProof/>
                <w:color w:val="auto"/>
                <w:kern w:val="22"/>
                <w:sz w:val="24"/>
                <w:szCs w:val="24"/>
                <w:lang w:eastAsia="zh-CN"/>
              </w:rPr>
              <w:t>…</w:t>
            </w:r>
            <w:r w:rsidR="00D17508">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_Toc6243784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199</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87" w:history="1">
            <w:r w:rsidR="00D0359D" w:rsidRPr="00D0359D">
              <w:rPr>
                <w:rStyle w:val="Hyperlink"/>
                <w:rFonts w:ascii="Times New Roman" w:hAnsi="Times New Roman"/>
                <w:noProof/>
                <w:color w:val="auto"/>
                <w:kern w:val="22"/>
                <w:sz w:val="24"/>
                <w:szCs w:val="24"/>
                <w:lang w:eastAsia="zh-CN"/>
              </w:rPr>
              <w:t>14/26.</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传播</w:t>
            </w:r>
            <w:r w:rsidR="009D1DAF" w:rsidRP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9D1DAF" w:rsidRPr="009D1DAF">
              <w:rPr>
                <w:rStyle w:val="Hyperlink"/>
                <w:rFonts w:ascii="Times New Roman" w:hAnsi="Times New Roman"/>
                <w:noProof/>
                <w:color w:val="auto"/>
                <w:kern w:val="22"/>
                <w:sz w:val="24"/>
                <w:szCs w:val="24"/>
                <w:lang w:eastAsia="zh-CN"/>
              </w:rPr>
              <w:t>…</w:t>
            </w:r>
            <w:r w:rsidR="00D17508">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_Toc6243787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203</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88" w:history="1">
            <w:r w:rsidR="00D0359D" w:rsidRPr="00D0359D">
              <w:rPr>
                <w:rStyle w:val="Hyperlink"/>
                <w:rFonts w:ascii="Times New Roman" w:hAnsi="Times New Roman"/>
                <w:noProof/>
                <w:color w:val="auto"/>
                <w:kern w:val="22"/>
                <w:sz w:val="24"/>
                <w:szCs w:val="24"/>
                <w:lang w:eastAsia="zh-CN"/>
              </w:rPr>
              <w:t>14/27.</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协调国家报告、评估和审查的进程</w:t>
            </w:r>
            <w:r w:rsidR="009D1DAF" w:rsidRP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9D1DAF" w:rsidRPr="009D1DAF">
              <w:rPr>
                <w:rStyle w:val="Hyperlink"/>
                <w:rFonts w:ascii="Times New Roman" w:hAnsi="Times New Roman"/>
                <w:noProof/>
                <w:color w:val="auto"/>
                <w:kern w:val="22"/>
                <w:sz w:val="24"/>
                <w:szCs w:val="24"/>
                <w:lang w:eastAsia="zh-CN"/>
              </w:rPr>
              <w:t>…</w:t>
            </w:r>
            <w:r w:rsidR="00D17508">
              <w:rPr>
                <w:rStyle w:val="Hyperlink"/>
                <w:rFonts w:ascii="Times New Roman" w:hAnsi="Times New Roman"/>
                <w:noProof/>
                <w:color w:val="auto"/>
                <w:kern w:val="22"/>
                <w:sz w:val="24"/>
                <w:szCs w:val="24"/>
                <w:lang w:eastAsia="zh-CN"/>
              </w:rPr>
              <w:t>..</w:t>
            </w:r>
            <w:r w:rsidR="00DD16A6">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_Toc6243788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204</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89" w:history="1">
            <w:r w:rsidR="00D0359D" w:rsidRPr="00D0359D">
              <w:rPr>
                <w:rStyle w:val="Hyperlink"/>
                <w:rFonts w:ascii="Times New Roman" w:hAnsi="Times New Roman"/>
                <w:noProof/>
                <w:color w:val="auto"/>
                <w:kern w:val="22"/>
                <w:sz w:val="24"/>
                <w:szCs w:val="24"/>
                <w:lang w:eastAsia="zh-CN"/>
              </w:rPr>
              <w:t>14/28.</w:t>
            </w:r>
            <w:r w:rsidR="00D0359D" w:rsidRPr="00D0359D">
              <w:rPr>
                <w:rStyle w:val="Hyperlink"/>
                <w:rFonts w:ascii="Times New Roman" w:hAnsi="Times New Roman"/>
                <w:noProof/>
                <w:color w:val="auto"/>
                <w:kern w:val="22"/>
                <w:sz w:val="24"/>
                <w:szCs w:val="24"/>
              </w:rPr>
              <w:tab/>
            </w:r>
            <w:r w:rsidR="003D3364">
              <w:rPr>
                <w:rStyle w:val="Hyperlink"/>
                <w:rFonts w:ascii="Times New Roman" w:hAnsi="Times New Roman"/>
                <w:noProof/>
                <w:color w:val="auto"/>
                <w:kern w:val="22"/>
                <w:sz w:val="24"/>
                <w:szCs w:val="24"/>
              </w:rPr>
              <w:t xml:space="preserve"> </w:t>
            </w:r>
            <w:r w:rsidR="00D0359D" w:rsidRPr="00D0359D">
              <w:rPr>
                <w:rStyle w:val="Hyperlink"/>
                <w:rFonts w:ascii="Times New Roman" w:hAnsi="Times New Roman" w:hint="eastAsia"/>
                <w:noProof/>
                <w:color w:val="auto"/>
                <w:kern w:val="22"/>
                <w:sz w:val="24"/>
                <w:szCs w:val="24"/>
                <w:lang w:eastAsia="zh-CN"/>
              </w:rPr>
              <w:t>评估执行《</w:t>
            </w:r>
            <w:r w:rsidR="00D0359D" w:rsidRPr="00D0359D">
              <w:rPr>
                <w:rStyle w:val="Hyperlink"/>
                <w:rFonts w:ascii="Times New Roman" w:hAnsi="Times New Roman"/>
                <w:noProof/>
                <w:color w:val="auto"/>
                <w:kern w:val="22"/>
                <w:sz w:val="24"/>
                <w:szCs w:val="24"/>
                <w:lang w:eastAsia="zh-CN"/>
              </w:rPr>
              <w:t>2011-2020</w:t>
            </w:r>
            <w:r w:rsidR="00D0359D" w:rsidRPr="00D0359D">
              <w:rPr>
                <w:rStyle w:val="Hyperlink"/>
                <w:rFonts w:ascii="Times New Roman" w:hAnsi="Times New Roman" w:hint="eastAsia"/>
                <w:noProof/>
                <w:color w:val="auto"/>
                <w:kern w:val="22"/>
                <w:sz w:val="24"/>
                <w:szCs w:val="24"/>
                <w:lang w:eastAsia="zh-CN"/>
              </w:rPr>
              <w:t>年生物多样性战略计划》的政策手段成效的工具</w:t>
            </w:r>
            <w:r w:rsidR="00D17508">
              <w:rPr>
                <w:rStyle w:val="Hyperlink"/>
                <w:rFonts w:ascii="Times New Roman" w:hAnsi="Times New Roman"/>
                <w:noProof/>
                <w:color w:val="auto"/>
                <w:kern w:val="22"/>
                <w:sz w:val="24"/>
                <w:szCs w:val="24"/>
                <w:lang w:eastAsia="zh-CN"/>
              </w:rPr>
              <w:t>…</w:t>
            </w:r>
            <w:r w:rsidR="003E0D48">
              <w:rPr>
                <w:rStyle w:val="Hyperlink"/>
                <w:rFonts w:ascii="Times New Roman" w:hAnsi="Times New Roman" w:hint="eastAsia"/>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_Toc6243789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206</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90" w:history="1">
            <w:r w:rsidR="00D0359D" w:rsidRPr="00D0359D">
              <w:rPr>
                <w:rStyle w:val="Hyperlink"/>
                <w:rFonts w:ascii="Times New Roman" w:hAnsi="Times New Roman"/>
                <w:noProof/>
                <w:color w:val="auto"/>
                <w:kern w:val="22"/>
                <w:sz w:val="24"/>
                <w:szCs w:val="24"/>
                <w:lang w:eastAsia="zh-CN"/>
              </w:rPr>
              <w:t>14/29.</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审查机制</w:t>
            </w:r>
            <w:r w:rsidR="009D1DAF" w:rsidRP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9D1DAF" w:rsidRPr="009D1DAF">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_Toc6243790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207</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91" w:history="1">
            <w:r w:rsidR="00D0359D" w:rsidRPr="00D0359D">
              <w:rPr>
                <w:rStyle w:val="Hyperlink"/>
                <w:rFonts w:ascii="Times New Roman" w:hAnsi="Times New Roman"/>
                <w:noProof/>
                <w:color w:val="auto"/>
                <w:kern w:val="22"/>
                <w:sz w:val="24"/>
                <w:szCs w:val="24"/>
                <w:lang w:eastAsia="zh-CN"/>
              </w:rPr>
              <w:t>14/30.</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与其他公约、国际组织和倡议的合作</w:t>
            </w:r>
            <w:r w:rsidR="009D1DAF" w:rsidRPr="009D1DAF">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DD16A6">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_Toc6243791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209</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92" w:history="1">
            <w:r w:rsidR="00D0359D" w:rsidRPr="00D0359D">
              <w:rPr>
                <w:rStyle w:val="Hyperlink"/>
                <w:rFonts w:ascii="Times New Roman" w:hAnsi="Times New Roman"/>
                <w:noProof/>
                <w:color w:val="auto"/>
                <w:kern w:val="22"/>
                <w:sz w:val="24"/>
                <w:szCs w:val="24"/>
                <w:lang w:eastAsia="zh-CN"/>
              </w:rPr>
              <w:t>14/31.</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hint="eastAsia"/>
                <w:noProof/>
                <w:color w:val="auto"/>
                <w:kern w:val="22"/>
                <w:sz w:val="24"/>
                <w:szCs w:val="24"/>
                <w:lang w:eastAsia="zh-CN"/>
              </w:rPr>
              <w:t>加强《公约》及其《议定书》有关生物安全条款和有关获取和惠益分享条款的一体化</w:t>
            </w:r>
            <w:r w:rsidR="00D0359D" w:rsidRPr="00D0359D">
              <w:rPr>
                <w:rStyle w:val="Hyperlink"/>
                <w:rFonts w:ascii="Times New Roman" w:hAnsi="Times New Roman"/>
                <w:noProof/>
                <w:webHidden/>
                <w:color w:val="auto"/>
                <w:kern w:val="22"/>
                <w:sz w:val="24"/>
                <w:szCs w:val="24"/>
                <w:lang w:eastAsia="zh-CN"/>
              </w:rPr>
              <w:tab/>
            </w:r>
            <w:r w:rsidR="009D1DAF" w:rsidRP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9D1DAF" w:rsidRPr="009D1DAF">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_Toc6243792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215</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93" w:history="1">
            <w:r w:rsidR="00D0359D" w:rsidRPr="00D0359D">
              <w:rPr>
                <w:rStyle w:val="Hyperlink"/>
                <w:rFonts w:ascii="Times New Roman" w:hAnsi="Times New Roman"/>
                <w:noProof/>
                <w:color w:val="auto"/>
                <w:kern w:val="22"/>
                <w:sz w:val="24"/>
                <w:szCs w:val="24"/>
                <w:lang w:eastAsia="zh-CN"/>
              </w:rPr>
              <w:t>14/32.</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hint="eastAsia"/>
                <w:noProof/>
                <w:color w:val="auto"/>
                <w:kern w:val="22"/>
                <w:sz w:val="24"/>
                <w:szCs w:val="24"/>
                <w:lang w:eastAsia="zh-CN"/>
              </w:rPr>
              <w:t>审查同时举行公约缔约方大会、作为卡塔赫纳议定书缔约方会议的缔约方大会和作为名古屋议定书缔约方会议的缔约方大会会议的经验</w:t>
            </w:r>
            <w:r w:rsidR="009D1DAF" w:rsidRPr="009D1DAF">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009D1DAF" w:rsidRPr="009D1DAF">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_Toc6243793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217</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94" w:history="1">
            <w:r w:rsidR="00D0359D" w:rsidRPr="00D0359D">
              <w:rPr>
                <w:rStyle w:val="Hyperlink"/>
                <w:rFonts w:ascii="Times New Roman" w:hAnsi="Times New Roman"/>
                <w:noProof/>
                <w:color w:val="auto"/>
                <w:kern w:val="22"/>
                <w:sz w:val="24"/>
                <w:szCs w:val="24"/>
                <w:lang w:eastAsia="zh-CN"/>
              </w:rPr>
              <w:t>14/33.</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规避或管理专家组利益冲突的程序</w:t>
            </w:r>
            <w:r w:rsidR="009D1DAF" w:rsidRP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9D1DAF" w:rsidRPr="009D1DAF">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_Toc6243794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218</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796" w:history="1">
            <w:r w:rsidR="00D0359D" w:rsidRPr="00D0359D">
              <w:rPr>
                <w:rStyle w:val="Hyperlink"/>
                <w:rFonts w:ascii="Times New Roman" w:hAnsi="Times New Roman"/>
                <w:noProof/>
                <w:color w:val="auto"/>
                <w:kern w:val="22"/>
                <w:sz w:val="24"/>
                <w:szCs w:val="24"/>
                <w:lang w:eastAsia="zh-CN"/>
              </w:rPr>
              <w:t>14/34.</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关于制定</w:t>
            </w:r>
            <w:r w:rsidR="00D0359D" w:rsidRPr="00D0359D">
              <w:rPr>
                <w:rStyle w:val="Hyperlink"/>
                <w:rFonts w:ascii="Times New Roman" w:hAnsi="Times New Roman"/>
                <w:noProof/>
                <w:color w:val="auto"/>
                <w:kern w:val="22"/>
                <w:sz w:val="24"/>
                <w:szCs w:val="24"/>
                <w:lang w:eastAsia="zh-CN"/>
              </w:rPr>
              <w:t>2020</w:t>
            </w:r>
            <w:r w:rsidR="00D0359D" w:rsidRPr="00D0359D">
              <w:rPr>
                <w:rStyle w:val="Hyperlink"/>
                <w:rFonts w:ascii="Times New Roman" w:hAnsi="Times New Roman" w:hint="eastAsia"/>
                <w:noProof/>
                <w:color w:val="auto"/>
                <w:kern w:val="22"/>
                <w:sz w:val="24"/>
                <w:szCs w:val="24"/>
                <w:lang w:eastAsia="zh-CN"/>
              </w:rPr>
              <w:t>年后全球生物多样性框架的全面和参与性筹备进程的提案</w:t>
            </w:r>
            <w:r w:rsidR="003E0D48">
              <w:rPr>
                <w:rStyle w:val="Hyperlink"/>
                <w:rFonts w:ascii="Times New Roman" w:hAnsi="Times New Roman" w:hint="eastAsia"/>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_Toc6243796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223</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803" w:history="1">
            <w:r w:rsidR="00D0359D" w:rsidRPr="00D0359D">
              <w:rPr>
                <w:rStyle w:val="Hyperlink"/>
                <w:rFonts w:ascii="Times New Roman" w:hAnsi="Times New Roman"/>
                <w:noProof/>
                <w:color w:val="auto"/>
                <w:kern w:val="22"/>
                <w:sz w:val="24"/>
                <w:szCs w:val="24"/>
                <w:lang w:eastAsia="zh-CN"/>
              </w:rPr>
              <w:t>14/35.</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全球生物多样性展望</w:t>
            </w:r>
            <w:r w:rsidR="009D1DAF" w:rsidRP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9D1DAF" w:rsidRPr="009D1DAF">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_Toc6243803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232</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805" w:history="1">
            <w:r w:rsidR="00D0359D" w:rsidRPr="00D0359D">
              <w:rPr>
                <w:rStyle w:val="Hyperlink"/>
                <w:rFonts w:ascii="Times New Roman" w:hAnsi="Times New Roman"/>
                <w:noProof/>
                <w:color w:val="auto"/>
                <w:kern w:val="22"/>
                <w:sz w:val="24"/>
                <w:szCs w:val="24"/>
                <w:lang w:eastAsia="zh-CN"/>
              </w:rPr>
              <w:t>14/36.</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生物多样性和生态系统服务政府间科学政策平台的第二个工作方案</w:t>
            </w:r>
            <w:r w:rsidR="009D1DAF" w:rsidRP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_Toc6243805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234</w:t>
            </w:r>
            <w:r w:rsidRPr="00D0359D">
              <w:rPr>
                <w:rStyle w:val="Hyperlink"/>
                <w:rFonts w:ascii="Times New Roman" w:hAnsi="Times New Roman"/>
                <w:noProof/>
                <w:webHidden/>
                <w:color w:val="auto"/>
                <w:kern w:val="22"/>
                <w:sz w:val="24"/>
                <w:szCs w:val="24"/>
                <w:lang w:eastAsia="zh-CN"/>
              </w:rPr>
              <w:fldChar w:fldCharType="end"/>
            </w:r>
          </w:hyperlink>
        </w:p>
        <w:p w:rsidR="00D0359D" w:rsidRPr="00D0359D" w:rsidRDefault="00FE18AA" w:rsidP="003E0D48">
          <w:pPr>
            <w:pStyle w:val="TOCHeading"/>
            <w:keepNext w:val="0"/>
            <w:keepLines w:val="0"/>
            <w:widowControl w:val="0"/>
            <w:tabs>
              <w:tab w:val="left" w:pos="1260"/>
            </w:tabs>
            <w:spacing w:before="0" w:after="60" w:line="240" w:lineRule="auto"/>
            <w:ind w:left="1260" w:hanging="900"/>
            <w:rPr>
              <w:rStyle w:val="Hyperlink"/>
              <w:rFonts w:ascii="Times New Roman" w:hAnsi="Times New Roman"/>
              <w:noProof/>
              <w:color w:val="auto"/>
              <w:kern w:val="22"/>
              <w:sz w:val="24"/>
              <w:szCs w:val="24"/>
            </w:rPr>
          </w:pPr>
          <w:hyperlink w:anchor="_Toc6243806" w:history="1">
            <w:r w:rsidR="00D0359D" w:rsidRPr="00D0359D">
              <w:rPr>
                <w:rStyle w:val="Hyperlink"/>
                <w:rFonts w:ascii="Times New Roman" w:hAnsi="Times New Roman"/>
                <w:noProof/>
                <w:color w:val="auto"/>
                <w:kern w:val="22"/>
                <w:sz w:val="24"/>
                <w:szCs w:val="24"/>
                <w:lang w:eastAsia="zh-CN"/>
              </w:rPr>
              <w:t>14/37.</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秘书处综合工作方案预算</w:t>
            </w:r>
            <w:r w:rsidR="009D1DAF" w:rsidRPr="009D1DAF">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00FE5FC3">
              <w:rPr>
                <w:rStyle w:val="Hyperlink"/>
                <w:rFonts w:ascii="Times New Roman" w:hAnsi="Times New Roman"/>
                <w:noProof/>
                <w:color w:val="auto"/>
                <w:kern w:val="22"/>
                <w:sz w:val="24"/>
                <w:szCs w:val="24"/>
                <w:lang w:eastAsia="zh-CN"/>
              </w:rPr>
              <w:t>.</w:t>
            </w:r>
            <w:r w:rsidR="009D1DAF">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_Toc6243806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237</w:t>
            </w:r>
            <w:r w:rsidRPr="00D0359D">
              <w:rPr>
                <w:rStyle w:val="Hyperlink"/>
                <w:rFonts w:ascii="Times New Roman" w:hAnsi="Times New Roman"/>
                <w:noProof/>
                <w:webHidden/>
                <w:color w:val="auto"/>
                <w:kern w:val="22"/>
                <w:sz w:val="24"/>
                <w:szCs w:val="24"/>
                <w:lang w:eastAsia="zh-CN"/>
              </w:rPr>
              <w:fldChar w:fldCharType="end"/>
            </w:r>
          </w:hyperlink>
        </w:p>
        <w:p w:rsidR="00D0359D" w:rsidRDefault="00FE18AA" w:rsidP="003E0D48">
          <w:pPr>
            <w:pStyle w:val="TOCHeading"/>
            <w:keepNext w:val="0"/>
            <w:keepLines w:val="0"/>
            <w:widowControl w:val="0"/>
            <w:tabs>
              <w:tab w:val="left" w:pos="1260"/>
            </w:tabs>
            <w:spacing w:before="0" w:after="60" w:line="240" w:lineRule="auto"/>
            <w:ind w:left="1260" w:hanging="900"/>
          </w:pPr>
          <w:hyperlink w:anchor="_Toc6243807" w:history="1">
            <w:r w:rsidR="00D0359D" w:rsidRPr="00D0359D">
              <w:rPr>
                <w:rStyle w:val="Hyperlink"/>
                <w:rFonts w:ascii="Times New Roman" w:hAnsi="Times New Roman"/>
                <w:noProof/>
                <w:color w:val="auto"/>
                <w:kern w:val="22"/>
                <w:sz w:val="24"/>
                <w:szCs w:val="24"/>
                <w:lang w:eastAsia="zh-CN"/>
              </w:rPr>
              <w:t>14/38.</w:t>
            </w:r>
            <w:r w:rsidR="00D0359D" w:rsidRPr="00D0359D">
              <w:rPr>
                <w:rStyle w:val="Hyperlink"/>
                <w:rFonts w:ascii="Times New Roman" w:hAnsi="Times New Roman"/>
                <w:noProof/>
                <w:color w:val="auto"/>
                <w:kern w:val="22"/>
                <w:sz w:val="24"/>
                <w:szCs w:val="24"/>
              </w:rPr>
              <w:tab/>
            </w:r>
            <w:r w:rsidR="00D0359D" w:rsidRPr="00D0359D">
              <w:rPr>
                <w:rStyle w:val="Hyperlink"/>
                <w:rFonts w:ascii="Times New Roman" w:hAnsi="Times New Roman"/>
                <w:noProof/>
                <w:color w:val="auto"/>
                <w:kern w:val="22"/>
                <w:sz w:val="24"/>
                <w:szCs w:val="24"/>
                <w:lang w:eastAsia="zh-CN"/>
              </w:rPr>
              <w:t xml:space="preserve"> </w:t>
            </w:r>
            <w:r w:rsidR="00D0359D" w:rsidRPr="00D0359D">
              <w:rPr>
                <w:rStyle w:val="Hyperlink"/>
                <w:rFonts w:ascii="Times New Roman" w:hAnsi="Times New Roman" w:hint="eastAsia"/>
                <w:noProof/>
                <w:color w:val="auto"/>
                <w:kern w:val="22"/>
                <w:sz w:val="24"/>
                <w:szCs w:val="24"/>
                <w:lang w:eastAsia="zh-CN"/>
              </w:rPr>
              <w:t>缔约方大会今后会议的日期和地点</w:t>
            </w:r>
            <w:r w:rsidR="009D1DAF" w:rsidRPr="009D1DAF">
              <w:rPr>
                <w:rStyle w:val="Hyperlink"/>
                <w:rFonts w:ascii="Times New Roman" w:hAnsi="Times New Roman"/>
                <w:noProof/>
                <w:color w:val="auto"/>
                <w:kern w:val="22"/>
                <w:sz w:val="24"/>
                <w:szCs w:val="24"/>
                <w:lang w:eastAsia="zh-CN"/>
              </w:rPr>
              <w:t>………………………………………</w:t>
            </w:r>
            <w:r w:rsidR="003E0D48">
              <w:rPr>
                <w:rStyle w:val="Hyperlink"/>
                <w:rFonts w:ascii="Times New Roman" w:hAnsi="Times New Roman"/>
                <w:noProof/>
                <w:color w:val="auto"/>
                <w:kern w:val="22"/>
                <w:sz w:val="24"/>
                <w:szCs w:val="24"/>
                <w:lang w:eastAsia="zh-CN"/>
              </w:rPr>
              <w:t>…</w:t>
            </w:r>
            <w:r w:rsidR="009D1DAF" w:rsidRPr="009D1DAF">
              <w:rPr>
                <w:rStyle w:val="Hyperlink"/>
                <w:rFonts w:ascii="Times New Roman" w:hAnsi="Times New Roman"/>
                <w:noProof/>
                <w:color w:val="auto"/>
                <w:kern w:val="22"/>
                <w:sz w:val="24"/>
                <w:szCs w:val="24"/>
                <w:lang w:eastAsia="zh-CN"/>
              </w:rPr>
              <w:t>…</w:t>
            </w:r>
            <w:r w:rsidRPr="00D0359D">
              <w:rPr>
                <w:rStyle w:val="Hyperlink"/>
                <w:rFonts w:ascii="Times New Roman" w:hAnsi="Times New Roman"/>
                <w:noProof/>
                <w:webHidden/>
                <w:color w:val="auto"/>
                <w:kern w:val="22"/>
                <w:sz w:val="24"/>
                <w:szCs w:val="24"/>
                <w:lang w:eastAsia="zh-CN"/>
              </w:rPr>
              <w:fldChar w:fldCharType="begin"/>
            </w:r>
            <w:r w:rsidR="00D0359D" w:rsidRPr="00D0359D">
              <w:rPr>
                <w:rStyle w:val="Hyperlink"/>
                <w:rFonts w:ascii="Times New Roman" w:hAnsi="Times New Roman"/>
                <w:noProof/>
                <w:webHidden/>
                <w:color w:val="auto"/>
                <w:kern w:val="22"/>
                <w:sz w:val="24"/>
                <w:szCs w:val="24"/>
                <w:lang w:eastAsia="zh-CN"/>
              </w:rPr>
              <w:instrText xml:space="preserve"> PAGEREF _Toc6243807 \h </w:instrText>
            </w:r>
            <w:r w:rsidRPr="00D0359D">
              <w:rPr>
                <w:rStyle w:val="Hyperlink"/>
                <w:rFonts w:ascii="Times New Roman" w:hAnsi="Times New Roman"/>
                <w:noProof/>
                <w:webHidden/>
                <w:color w:val="auto"/>
                <w:kern w:val="22"/>
                <w:sz w:val="24"/>
                <w:szCs w:val="24"/>
                <w:lang w:eastAsia="zh-CN"/>
              </w:rPr>
            </w:r>
            <w:r w:rsidRPr="00D0359D">
              <w:rPr>
                <w:rStyle w:val="Hyperlink"/>
                <w:rFonts w:ascii="Times New Roman" w:hAnsi="Times New Roman"/>
                <w:noProof/>
                <w:webHidden/>
                <w:color w:val="auto"/>
                <w:kern w:val="22"/>
                <w:sz w:val="24"/>
                <w:szCs w:val="24"/>
                <w:lang w:eastAsia="zh-CN"/>
              </w:rPr>
              <w:fldChar w:fldCharType="separate"/>
            </w:r>
            <w:r w:rsidR="0081545A">
              <w:rPr>
                <w:rStyle w:val="Hyperlink"/>
                <w:rFonts w:ascii="Times New Roman" w:hAnsi="Times New Roman"/>
                <w:noProof/>
                <w:webHidden/>
                <w:color w:val="auto"/>
                <w:kern w:val="22"/>
                <w:sz w:val="24"/>
                <w:szCs w:val="24"/>
                <w:lang w:eastAsia="zh-CN"/>
              </w:rPr>
              <w:t>260</w:t>
            </w:r>
            <w:r w:rsidRPr="00D0359D">
              <w:rPr>
                <w:rStyle w:val="Hyperlink"/>
                <w:rFonts w:ascii="Times New Roman" w:hAnsi="Times New Roman"/>
                <w:noProof/>
                <w:webHidden/>
                <w:color w:val="auto"/>
                <w:kern w:val="22"/>
                <w:sz w:val="24"/>
                <w:szCs w:val="24"/>
                <w:lang w:eastAsia="zh-CN"/>
              </w:rPr>
              <w:fldChar w:fldCharType="end"/>
            </w:r>
          </w:hyperlink>
          <w:r>
            <w:rPr>
              <w:b/>
              <w:bCs/>
              <w:noProof/>
            </w:rPr>
            <w:fldChar w:fldCharType="end"/>
          </w:r>
        </w:p>
      </w:sdtContent>
    </w:sdt>
    <w:p w:rsidR="00F94A6D" w:rsidRPr="002F3D6F" w:rsidRDefault="00F94A6D" w:rsidP="00F94A6D">
      <w:pPr>
        <w:spacing w:before="60"/>
        <w:ind w:firstLine="0"/>
        <w:rPr>
          <w:rFonts w:ascii="SimSun" w:eastAsia="SimSun" w:hAnsi="SimSun" w:cs="SimSun"/>
          <w:b/>
          <w:lang w:eastAsia="zh-CN"/>
        </w:rPr>
      </w:pPr>
      <w:r w:rsidRPr="002F3D6F">
        <w:rPr>
          <w:rFonts w:ascii="SimSun" w:eastAsia="SimSun" w:hAnsi="SimSun" w:cs="SimSun" w:hint="eastAsia"/>
          <w:b/>
          <w:lang w:eastAsia="zh-CN"/>
        </w:rPr>
        <w:t>二.</w:t>
      </w:r>
      <w:r w:rsidRPr="002F3D6F">
        <w:rPr>
          <w:rFonts w:ascii="SimSun" w:eastAsia="SimSun" w:hAnsi="SimSun" w:cs="SimSun"/>
          <w:b/>
          <w:lang w:eastAsia="zh-CN"/>
        </w:rPr>
        <w:t xml:space="preserve"> </w:t>
      </w:r>
      <w:r w:rsidRPr="002F3D6F">
        <w:rPr>
          <w:rFonts w:ascii="SimSun" w:eastAsia="SimSun" w:hAnsi="SimSun" w:cs="SimSun" w:hint="eastAsia"/>
          <w:b/>
          <w:lang w:eastAsia="zh-CN"/>
        </w:rPr>
        <w:t>会议纪要</w:t>
      </w:r>
    </w:p>
    <w:p w:rsidR="003E0D48" w:rsidRPr="005E25A7" w:rsidRDefault="003E0D48" w:rsidP="00C0019B">
      <w:pPr>
        <w:tabs>
          <w:tab w:val="left" w:pos="1350"/>
        </w:tabs>
        <w:snapToGrid w:val="0"/>
        <w:spacing w:before="0" w:after="60"/>
        <w:ind w:left="1350" w:hanging="990"/>
        <w:jc w:val="left"/>
        <w:rPr>
          <w:rFonts w:eastAsiaTheme="minorEastAsia"/>
          <w:lang w:eastAsia="zh-CN"/>
        </w:rPr>
      </w:pPr>
      <w:r w:rsidRPr="005E25A7">
        <w:rPr>
          <w:rFonts w:eastAsiaTheme="minorEastAsia"/>
          <w:lang w:eastAsia="zh-CN"/>
        </w:rPr>
        <w:t xml:space="preserve">A.    </w:t>
      </w:r>
      <w:r w:rsidR="00C0019B">
        <w:rPr>
          <w:rFonts w:eastAsiaTheme="minorEastAsia"/>
          <w:lang w:eastAsia="zh-CN"/>
        </w:rPr>
        <w:tab/>
      </w:r>
      <w:r w:rsidRPr="005E25A7">
        <w:rPr>
          <w:rFonts w:eastAsiaTheme="minorEastAsia"/>
          <w:lang w:eastAsia="zh-CN"/>
        </w:rPr>
        <w:t>背景</w:t>
      </w:r>
      <w:r w:rsidR="00C0019B" w:rsidRPr="00C0019B">
        <w:rPr>
          <w:rFonts w:eastAsiaTheme="minorEastAsia"/>
          <w:lang w:eastAsia="zh-CN"/>
        </w:rPr>
        <w:t>………………………………………………………………………………</w:t>
      </w:r>
      <w:r w:rsidR="00FD5978">
        <w:rPr>
          <w:rFonts w:eastAsiaTheme="minorEastAsia"/>
          <w:lang w:eastAsia="zh-CN"/>
        </w:rPr>
        <w:t>261</w:t>
      </w:r>
    </w:p>
    <w:p w:rsidR="003E0D48" w:rsidRPr="005E25A7" w:rsidRDefault="003E0D48" w:rsidP="00C0019B">
      <w:pPr>
        <w:tabs>
          <w:tab w:val="left" w:pos="1350"/>
        </w:tabs>
        <w:snapToGrid w:val="0"/>
        <w:spacing w:before="0" w:after="60"/>
        <w:ind w:left="1350" w:hanging="990"/>
        <w:jc w:val="left"/>
        <w:rPr>
          <w:rFonts w:eastAsiaTheme="minorEastAsia"/>
          <w:lang w:eastAsia="zh-CN"/>
        </w:rPr>
      </w:pPr>
      <w:r w:rsidRPr="005E25A7">
        <w:rPr>
          <w:rFonts w:eastAsiaTheme="minorEastAsia"/>
          <w:lang w:eastAsia="zh-CN"/>
        </w:rPr>
        <w:t xml:space="preserve">B.    </w:t>
      </w:r>
      <w:r w:rsidR="00C0019B">
        <w:rPr>
          <w:rFonts w:eastAsiaTheme="minorEastAsia"/>
          <w:lang w:eastAsia="zh-CN"/>
        </w:rPr>
        <w:tab/>
      </w:r>
      <w:r w:rsidRPr="005E25A7">
        <w:rPr>
          <w:rFonts w:eastAsiaTheme="minorEastAsia"/>
          <w:lang w:eastAsia="zh-CN"/>
        </w:rPr>
        <w:t>与会情况</w:t>
      </w:r>
      <w:r w:rsidR="00C0019B" w:rsidRPr="00C0019B">
        <w:rPr>
          <w:rFonts w:eastAsiaTheme="minorEastAsia"/>
          <w:lang w:eastAsia="zh-CN"/>
        </w:rPr>
        <w:t>…………………………………………………………………………</w:t>
      </w:r>
      <w:r w:rsidR="00FD5978">
        <w:rPr>
          <w:rFonts w:eastAsiaTheme="minorEastAsia"/>
          <w:lang w:eastAsia="zh-CN"/>
        </w:rPr>
        <w:t>261</w:t>
      </w:r>
    </w:p>
    <w:p w:rsidR="003E0D48" w:rsidRPr="005E25A7" w:rsidRDefault="003E0D48" w:rsidP="00C0019B">
      <w:pPr>
        <w:tabs>
          <w:tab w:val="left" w:pos="1350"/>
        </w:tabs>
        <w:snapToGrid w:val="0"/>
        <w:spacing w:before="0" w:after="60"/>
        <w:ind w:left="1350" w:hanging="990"/>
        <w:jc w:val="left"/>
        <w:rPr>
          <w:rFonts w:eastAsiaTheme="minorEastAsia"/>
          <w:lang w:eastAsia="zh-CN"/>
        </w:rPr>
      </w:pPr>
      <w:r w:rsidRPr="005E25A7">
        <w:rPr>
          <w:rFonts w:eastAsiaTheme="minorEastAsia"/>
          <w:lang w:eastAsia="zh-CN"/>
        </w:rPr>
        <w:t>C.</w:t>
      </w:r>
      <w:r w:rsidRPr="005E25A7">
        <w:rPr>
          <w:rFonts w:eastAsiaTheme="minorEastAsia"/>
          <w:lang w:eastAsia="zh-CN"/>
        </w:rPr>
        <w:tab/>
      </w:r>
      <w:r w:rsidRPr="005E25A7">
        <w:rPr>
          <w:rFonts w:eastAsiaTheme="minorEastAsia"/>
          <w:lang w:eastAsia="zh-CN"/>
        </w:rPr>
        <w:t>组织事项</w:t>
      </w:r>
      <w:r w:rsidR="00C0019B" w:rsidRPr="00C0019B">
        <w:rPr>
          <w:rFonts w:eastAsiaTheme="minorEastAsia"/>
          <w:lang w:eastAsia="zh-CN"/>
        </w:rPr>
        <w:t>…………………………………………………………………………</w:t>
      </w:r>
      <w:r w:rsidR="00FD5978">
        <w:rPr>
          <w:rFonts w:eastAsiaTheme="minorEastAsia"/>
          <w:lang w:eastAsia="zh-CN"/>
        </w:rPr>
        <w:t>26</w:t>
      </w:r>
      <w:r w:rsidR="00784258">
        <w:rPr>
          <w:rFonts w:eastAsiaTheme="minorEastAsia"/>
          <w:lang w:eastAsia="zh-CN"/>
        </w:rPr>
        <w:t>2</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1.    </w:t>
      </w:r>
      <w:r w:rsidRPr="005E25A7">
        <w:rPr>
          <w:rFonts w:eastAsiaTheme="minorEastAsia"/>
          <w:lang w:eastAsia="zh-CN"/>
        </w:rPr>
        <w:t>会议开幕</w:t>
      </w:r>
      <w:r w:rsidR="00C0019B" w:rsidRPr="00C0019B">
        <w:rPr>
          <w:rFonts w:eastAsiaTheme="minorEastAsia"/>
          <w:lang w:eastAsia="zh-CN"/>
        </w:rPr>
        <w:t>…………………………………………………………………………</w:t>
      </w:r>
      <w:r w:rsidR="00FD5978">
        <w:rPr>
          <w:rFonts w:eastAsiaTheme="minorEastAsia"/>
          <w:lang w:eastAsia="zh-CN"/>
        </w:rPr>
        <w:t>26</w:t>
      </w:r>
      <w:r w:rsidR="00784258">
        <w:rPr>
          <w:rFonts w:eastAsiaTheme="minorEastAsia"/>
          <w:lang w:eastAsia="zh-CN"/>
        </w:rPr>
        <w:t>2</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2.     </w:t>
      </w:r>
      <w:r w:rsidRPr="005E25A7">
        <w:rPr>
          <w:rFonts w:eastAsiaTheme="minorEastAsia"/>
          <w:lang w:eastAsia="zh-CN"/>
        </w:rPr>
        <w:t>通过议程和工作安排</w:t>
      </w:r>
      <w:r w:rsidR="00C0019B" w:rsidRPr="00C0019B">
        <w:rPr>
          <w:rFonts w:eastAsiaTheme="minorEastAsia"/>
          <w:lang w:eastAsia="zh-CN"/>
        </w:rPr>
        <w:t>……………………………………………………………</w:t>
      </w:r>
      <w:r w:rsidR="00FD5978">
        <w:rPr>
          <w:rFonts w:eastAsiaTheme="minorEastAsia"/>
          <w:lang w:eastAsia="zh-CN"/>
        </w:rPr>
        <w:t>26</w:t>
      </w:r>
      <w:r w:rsidR="00784258">
        <w:rPr>
          <w:rFonts w:eastAsiaTheme="minorEastAsia"/>
          <w:lang w:eastAsia="zh-CN"/>
        </w:rPr>
        <w:t>3</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3.     </w:t>
      </w:r>
      <w:r w:rsidRPr="005E25A7">
        <w:rPr>
          <w:rFonts w:eastAsiaTheme="minorEastAsia"/>
          <w:lang w:eastAsia="zh-CN"/>
        </w:rPr>
        <w:t>关于缔约方大会第十四届会议代表的全权证书的报告</w:t>
      </w:r>
      <w:r w:rsidR="00C0019B" w:rsidRPr="00C0019B">
        <w:rPr>
          <w:rFonts w:eastAsiaTheme="minorEastAsia"/>
          <w:lang w:eastAsia="zh-CN"/>
        </w:rPr>
        <w:t>………………………</w:t>
      </w:r>
      <w:r w:rsidR="006B4425">
        <w:rPr>
          <w:rFonts w:eastAsiaTheme="minorEastAsia"/>
          <w:lang w:eastAsia="zh-CN"/>
        </w:rPr>
        <w:t>266</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4.     </w:t>
      </w:r>
      <w:r w:rsidRPr="005E25A7">
        <w:rPr>
          <w:rFonts w:eastAsiaTheme="minorEastAsia"/>
          <w:lang w:eastAsia="zh-CN"/>
        </w:rPr>
        <w:t>未决问题</w:t>
      </w:r>
      <w:r w:rsidR="00C0019B" w:rsidRPr="00C0019B">
        <w:rPr>
          <w:rFonts w:eastAsiaTheme="minorEastAsia"/>
          <w:lang w:eastAsia="zh-CN"/>
        </w:rPr>
        <w:t>…………………………………………………………………………</w:t>
      </w:r>
      <w:r w:rsidR="006B4425">
        <w:rPr>
          <w:rFonts w:eastAsiaTheme="minorEastAsia"/>
          <w:lang w:eastAsia="zh-CN"/>
        </w:rPr>
        <w:t>267</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5.    </w:t>
      </w:r>
      <w:r w:rsidR="00FE5FC3">
        <w:rPr>
          <w:rFonts w:eastAsiaTheme="minorEastAsia"/>
          <w:lang w:eastAsia="zh-CN"/>
        </w:rPr>
        <w:t xml:space="preserve"> </w:t>
      </w:r>
      <w:r w:rsidRPr="005E25A7">
        <w:rPr>
          <w:rFonts w:eastAsiaTheme="minorEastAsia"/>
          <w:lang w:eastAsia="zh-CN"/>
        </w:rPr>
        <w:t>缔约方大会今后会议的日期和地点</w:t>
      </w:r>
      <w:r w:rsidR="00C0019B" w:rsidRPr="00C0019B">
        <w:rPr>
          <w:rFonts w:eastAsiaTheme="minorEastAsia"/>
          <w:lang w:eastAsia="zh-CN"/>
        </w:rPr>
        <w:t>……………………………………………</w:t>
      </w:r>
      <w:r w:rsidR="006B4425">
        <w:rPr>
          <w:rFonts w:eastAsiaTheme="minorEastAsia"/>
          <w:lang w:eastAsia="zh-CN"/>
        </w:rPr>
        <w:t>26</w:t>
      </w:r>
      <w:r w:rsidR="00784258">
        <w:rPr>
          <w:rFonts w:eastAsiaTheme="minorEastAsia"/>
          <w:lang w:eastAsia="zh-CN"/>
        </w:rPr>
        <w:t>7</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6.    </w:t>
      </w:r>
      <w:r w:rsidR="00FE5FC3">
        <w:rPr>
          <w:rFonts w:eastAsiaTheme="minorEastAsia"/>
          <w:lang w:eastAsia="zh-CN"/>
        </w:rPr>
        <w:t xml:space="preserve"> </w:t>
      </w:r>
      <w:r w:rsidRPr="005E25A7">
        <w:rPr>
          <w:rFonts w:eastAsiaTheme="minorEastAsia"/>
          <w:lang w:eastAsia="zh-CN"/>
        </w:rPr>
        <w:t>闭会期间会议和区域筹备会议的报告</w:t>
      </w:r>
      <w:r w:rsidR="00C0019B" w:rsidRPr="00C0019B">
        <w:rPr>
          <w:rFonts w:eastAsiaTheme="minorEastAsia"/>
          <w:lang w:eastAsia="zh-CN"/>
        </w:rPr>
        <w:t>…………………………………………</w:t>
      </w:r>
      <w:r w:rsidR="006B4425">
        <w:rPr>
          <w:rFonts w:eastAsiaTheme="minorEastAsia"/>
          <w:lang w:eastAsia="zh-CN"/>
        </w:rPr>
        <w:t>268</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7.     </w:t>
      </w:r>
      <w:r w:rsidRPr="005E25A7">
        <w:rPr>
          <w:rFonts w:eastAsiaTheme="minorEastAsia"/>
          <w:lang w:eastAsia="zh-CN"/>
        </w:rPr>
        <w:t>《公约》的行政管理和信托基金的预算</w:t>
      </w:r>
      <w:r w:rsidR="00C0019B" w:rsidRPr="00C0019B">
        <w:rPr>
          <w:rFonts w:eastAsiaTheme="minorEastAsia"/>
          <w:lang w:eastAsia="zh-CN"/>
        </w:rPr>
        <w:t>………………………………………</w:t>
      </w:r>
      <w:r w:rsidR="006B4425">
        <w:rPr>
          <w:rFonts w:eastAsiaTheme="minorEastAsia"/>
          <w:lang w:eastAsia="zh-CN"/>
        </w:rPr>
        <w:t>268</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8.     </w:t>
      </w:r>
      <w:r w:rsidR="00FE5FC3">
        <w:rPr>
          <w:rFonts w:eastAsiaTheme="minorEastAsia"/>
          <w:lang w:eastAsia="zh-CN"/>
        </w:rPr>
        <w:t xml:space="preserve"> </w:t>
      </w:r>
      <w:r w:rsidRPr="005E25A7">
        <w:rPr>
          <w:rFonts w:eastAsiaTheme="minorEastAsia"/>
          <w:lang w:eastAsia="zh-CN"/>
        </w:rPr>
        <w:t>审查《公约》和《</w:t>
      </w:r>
      <w:r w:rsidRPr="005E25A7">
        <w:rPr>
          <w:rFonts w:eastAsiaTheme="minorEastAsia"/>
          <w:lang w:eastAsia="zh-CN"/>
        </w:rPr>
        <w:t>2011-2020</w:t>
      </w:r>
      <w:r w:rsidRPr="005E25A7">
        <w:rPr>
          <w:rFonts w:eastAsiaTheme="minorEastAsia"/>
          <w:lang w:eastAsia="zh-CN"/>
        </w:rPr>
        <w:t>年生物多样性战略计划》的执行进展情况</w:t>
      </w:r>
      <w:r w:rsidR="006B4425" w:rsidRPr="00C0019B">
        <w:rPr>
          <w:rFonts w:eastAsiaTheme="minorEastAsia"/>
          <w:lang w:eastAsia="zh-CN"/>
        </w:rPr>
        <w:t>…………………………………………………………………………</w:t>
      </w:r>
      <w:r w:rsidR="00C0019B" w:rsidRPr="00C0019B">
        <w:rPr>
          <w:rFonts w:eastAsiaTheme="minorEastAsia"/>
          <w:lang w:eastAsia="zh-CN"/>
        </w:rPr>
        <w:t>…</w:t>
      </w:r>
      <w:r w:rsidR="006B4425">
        <w:rPr>
          <w:rFonts w:eastAsiaTheme="minorEastAsia"/>
          <w:lang w:eastAsia="zh-CN"/>
        </w:rPr>
        <w:t>..…269</w:t>
      </w:r>
    </w:p>
    <w:p w:rsidR="006B4425"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9.      </w:t>
      </w:r>
      <w:r w:rsidRPr="005E25A7">
        <w:rPr>
          <w:rFonts w:eastAsiaTheme="minorEastAsia"/>
          <w:lang w:eastAsia="zh-CN"/>
        </w:rPr>
        <w:t>资源调动和财务机制</w:t>
      </w:r>
      <w:r w:rsidR="00C0019B" w:rsidRPr="00C0019B">
        <w:rPr>
          <w:rFonts w:eastAsiaTheme="minorEastAsia"/>
          <w:lang w:eastAsia="zh-CN"/>
        </w:rPr>
        <w:t>…………………………………………………………</w:t>
      </w:r>
      <w:r w:rsidR="006B4425">
        <w:rPr>
          <w:rFonts w:eastAsiaTheme="minorEastAsia"/>
          <w:lang w:eastAsia="zh-CN"/>
        </w:rPr>
        <w:t>..27</w:t>
      </w:r>
      <w:r w:rsidR="00784258">
        <w:rPr>
          <w:rFonts w:eastAsiaTheme="minorEastAsia"/>
          <w:lang w:eastAsia="zh-CN"/>
        </w:rPr>
        <w:t>0</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10.     </w:t>
      </w:r>
      <w:r w:rsidRPr="005E25A7">
        <w:rPr>
          <w:rFonts w:eastAsiaTheme="minorEastAsia"/>
          <w:lang w:eastAsia="zh-CN"/>
        </w:rPr>
        <w:t>能力建设和科技合作</w:t>
      </w:r>
      <w:r w:rsidR="00C0019B" w:rsidRPr="00C0019B">
        <w:rPr>
          <w:rFonts w:eastAsiaTheme="minorEastAsia"/>
          <w:lang w:eastAsia="zh-CN"/>
        </w:rPr>
        <w:t>…………………………………………………………</w:t>
      </w:r>
      <w:r w:rsidR="006B4425">
        <w:rPr>
          <w:rFonts w:eastAsiaTheme="minorEastAsia"/>
          <w:lang w:eastAsia="zh-CN"/>
        </w:rPr>
        <w:t>.274</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11.     </w:t>
      </w:r>
      <w:r w:rsidRPr="005E25A7">
        <w:rPr>
          <w:rFonts w:eastAsiaTheme="minorEastAsia"/>
          <w:lang w:eastAsia="zh-CN"/>
        </w:rPr>
        <w:t>知识管理和传播</w:t>
      </w:r>
      <w:r w:rsidR="00C0019B" w:rsidRPr="00C0019B">
        <w:rPr>
          <w:rFonts w:eastAsiaTheme="minorEastAsia"/>
          <w:lang w:eastAsia="zh-CN"/>
        </w:rPr>
        <w:t>………………………………………………………………</w:t>
      </w:r>
      <w:r w:rsidR="006B4425">
        <w:rPr>
          <w:rFonts w:eastAsiaTheme="minorEastAsia"/>
          <w:lang w:eastAsia="zh-CN"/>
        </w:rPr>
        <w:t>.275</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12.     </w:t>
      </w:r>
      <w:r w:rsidRPr="005E25A7">
        <w:rPr>
          <w:rFonts w:eastAsiaTheme="minorEastAsia"/>
          <w:lang w:eastAsia="zh-CN"/>
        </w:rPr>
        <w:t>国家报告、评估和审查机制</w:t>
      </w:r>
      <w:r w:rsidR="00C0019B" w:rsidRPr="00C0019B">
        <w:rPr>
          <w:rFonts w:eastAsiaTheme="minorEastAsia"/>
          <w:lang w:eastAsia="zh-CN"/>
        </w:rPr>
        <w:t>…………………………………………………</w:t>
      </w:r>
      <w:r w:rsidR="006B4425">
        <w:rPr>
          <w:rFonts w:eastAsiaTheme="minorEastAsia"/>
          <w:lang w:eastAsia="zh-CN"/>
        </w:rPr>
        <w:t>.276</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13.     </w:t>
      </w:r>
      <w:r w:rsidRPr="005E25A7">
        <w:rPr>
          <w:rFonts w:eastAsiaTheme="minorEastAsia"/>
          <w:lang w:eastAsia="zh-CN"/>
        </w:rPr>
        <w:t>加强《公约》及其《议定书》有关获取和惠益分享条款、生物安全条款和第</w:t>
      </w:r>
      <w:r w:rsidRPr="005E25A7">
        <w:rPr>
          <w:rFonts w:eastAsiaTheme="minorEastAsia"/>
          <w:lang w:eastAsia="zh-CN"/>
        </w:rPr>
        <w:t>8(j)</w:t>
      </w:r>
      <w:r w:rsidRPr="005E25A7">
        <w:rPr>
          <w:rFonts w:eastAsiaTheme="minorEastAsia"/>
          <w:lang w:eastAsia="zh-CN"/>
        </w:rPr>
        <w:t>条和相关条款的一体化</w:t>
      </w:r>
      <w:r w:rsidR="00C0019B" w:rsidRPr="00C0019B">
        <w:rPr>
          <w:rFonts w:eastAsiaTheme="minorEastAsia"/>
          <w:lang w:eastAsia="zh-CN"/>
        </w:rPr>
        <w:t>……………………………………………………</w:t>
      </w:r>
      <w:r w:rsidR="006B4425">
        <w:rPr>
          <w:rFonts w:eastAsiaTheme="minorEastAsia"/>
          <w:lang w:eastAsia="zh-CN"/>
        </w:rPr>
        <w:t>27</w:t>
      </w:r>
      <w:r w:rsidR="00784258">
        <w:rPr>
          <w:rFonts w:eastAsiaTheme="minorEastAsia"/>
          <w:lang w:eastAsia="zh-CN"/>
        </w:rPr>
        <w:t>7</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14.     </w:t>
      </w:r>
      <w:r w:rsidRPr="005E25A7">
        <w:rPr>
          <w:rFonts w:eastAsiaTheme="minorEastAsia"/>
          <w:lang w:eastAsia="zh-CN"/>
        </w:rPr>
        <w:t>与其他公约、国际组织和倡议的合作</w:t>
      </w:r>
      <w:r w:rsidR="00C0019B" w:rsidRPr="00C0019B">
        <w:rPr>
          <w:rFonts w:eastAsiaTheme="minorEastAsia"/>
          <w:lang w:eastAsia="zh-CN"/>
        </w:rPr>
        <w:t>………………………………………</w:t>
      </w:r>
      <w:r w:rsidR="006B4425">
        <w:rPr>
          <w:rFonts w:eastAsiaTheme="minorEastAsia"/>
          <w:lang w:eastAsia="zh-CN"/>
        </w:rPr>
        <w:t>.279</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15.     </w:t>
      </w:r>
      <w:r w:rsidRPr="005E25A7">
        <w:rPr>
          <w:rFonts w:eastAsiaTheme="minorEastAsia"/>
          <w:lang w:eastAsia="zh-CN"/>
        </w:rPr>
        <w:t>审查《公约》及其《议定书》下各进程的成效</w:t>
      </w:r>
      <w:r w:rsidR="00C0019B" w:rsidRPr="00C0019B">
        <w:rPr>
          <w:rFonts w:eastAsiaTheme="minorEastAsia"/>
          <w:lang w:eastAsia="zh-CN"/>
        </w:rPr>
        <w:t>……………………………</w:t>
      </w:r>
      <w:r w:rsidR="006B4425">
        <w:rPr>
          <w:rFonts w:eastAsiaTheme="minorEastAsia"/>
          <w:lang w:eastAsia="zh-CN"/>
        </w:rPr>
        <w:t>.280</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16.     </w:t>
      </w:r>
      <w:r w:rsidRPr="005E25A7">
        <w:rPr>
          <w:rFonts w:eastAsiaTheme="minorEastAsia"/>
          <w:lang w:eastAsia="zh-CN"/>
        </w:rPr>
        <w:t>生物多样性和生态系统服务政府间科学政策平台的第二个工作方案</w:t>
      </w:r>
      <w:r w:rsidR="00C0019B" w:rsidRPr="00C0019B">
        <w:rPr>
          <w:rFonts w:eastAsiaTheme="minorEastAsia"/>
          <w:lang w:eastAsia="zh-CN"/>
        </w:rPr>
        <w:t>………………………………………………………………………………</w:t>
      </w:r>
      <w:r w:rsidR="006B4425">
        <w:rPr>
          <w:rFonts w:eastAsiaTheme="minorEastAsia"/>
          <w:lang w:eastAsia="zh-CN"/>
        </w:rPr>
        <w:t>.281</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17.     2050</w:t>
      </w:r>
      <w:r w:rsidRPr="005E25A7">
        <w:rPr>
          <w:rFonts w:eastAsiaTheme="minorEastAsia"/>
          <w:lang w:eastAsia="zh-CN"/>
        </w:rPr>
        <w:t>年生物多样性愿景的长期战略方向，与自然和谐共处的办法，制定</w:t>
      </w:r>
      <w:r w:rsidRPr="005E25A7">
        <w:rPr>
          <w:rFonts w:eastAsiaTheme="minorEastAsia"/>
          <w:lang w:eastAsia="zh-CN"/>
        </w:rPr>
        <w:t>2020</w:t>
      </w:r>
      <w:r w:rsidRPr="005E25A7">
        <w:rPr>
          <w:rFonts w:eastAsiaTheme="minorEastAsia"/>
          <w:lang w:eastAsia="zh-CN"/>
        </w:rPr>
        <w:t>年后全球生物多样性框架</w:t>
      </w:r>
      <w:r w:rsidR="00C0019B" w:rsidRPr="00C0019B">
        <w:rPr>
          <w:rFonts w:eastAsiaTheme="minorEastAsia"/>
          <w:lang w:eastAsia="zh-CN"/>
        </w:rPr>
        <w:t>………………………………………………</w:t>
      </w:r>
      <w:r w:rsidR="006B4425">
        <w:rPr>
          <w:rFonts w:eastAsiaTheme="minorEastAsia"/>
          <w:lang w:eastAsia="zh-CN"/>
        </w:rPr>
        <w:t>282</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lastRenderedPageBreak/>
        <w:t>项目</w:t>
      </w:r>
      <w:r w:rsidRPr="005E25A7">
        <w:rPr>
          <w:rFonts w:eastAsiaTheme="minorEastAsia"/>
          <w:lang w:eastAsia="zh-CN"/>
        </w:rPr>
        <w:t xml:space="preserve">18.     </w:t>
      </w:r>
      <w:r w:rsidRPr="005E25A7">
        <w:rPr>
          <w:rFonts w:eastAsiaTheme="minorEastAsia"/>
          <w:lang w:eastAsia="zh-CN"/>
        </w:rPr>
        <w:t>遗传资源数字序列信息</w:t>
      </w:r>
      <w:r w:rsidR="00C0019B" w:rsidRPr="00C0019B">
        <w:rPr>
          <w:rFonts w:eastAsiaTheme="minorEastAsia"/>
          <w:lang w:eastAsia="zh-CN"/>
        </w:rPr>
        <w:t>………………………………………………………</w:t>
      </w:r>
      <w:r w:rsidR="006B4425">
        <w:rPr>
          <w:rFonts w:eastAsiaTheme="minorEastAsia"/>
          <w:lang w:eastAsia="zh-CN"/>
        </w:rPr>
        <w:t>28</w:t>
      </w:r>
      <w:r w:rsidR="00784258">
        <w:rPr>
          <w:rFonts w:eastAsiaTheme="minorEastAsia"/>
          <w:lang w:eastAsia="zh-CN"/>
        </w:rPr>
        <w:t>5</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19.     </w:t>
      </w:r>
      <w:r w:rsidRPr="005E25A7">
        <w:rPr>
          <w:rFonts w:eastAsiaTheme="minorEastAsia"/>
          <w:lang w:eastAsia="zh-CN"/>
        </w:rPr>
        <w:t>第</w:t>
      </w:r>
      <w:r w:rsidRPr="005E25A7">
        <w:rPr>
          <w:rFonts w:eastAsiaTheme="minorEastAsia"/>
          <w:lang w:eastAsia="zh-CN"/>
        </w:rPr>
        <w:t>8(j)</w:t>
      </w:r>
      <w:r w:rsidRPr="005E25A7">
        <w:rPr>
          <w:rFonts w:eastAsiaTheme="minorEastAsia"/>
          <w:lang w:eastAsia="zh-CN"/>
        </w:rPr>
        <w:t>条和相关条款</w:t>
      </w:r>
      <w:r w:rsidR="00C0019B" w:rsidRPr="00C0019B">
        <w:rPr>
          <w:rFonts w:eastAsiaTheme="minorEastAsia"/>
          <w:lang w:eastAsia="zh-CN"/>
        </w:rPr>
        <w:t>…………………………………………………………</w:t>
      </w:r>
      <w:r w:rsidR="006B4425">
        <w:rPr>
          <w:rFonts w:eastAsiaTheme="minorEastAsia"/>
          <w:lang w:eastAsia="zh-CN"/>
        </w:rPr>
        <w:t>.28</w:t>
      </w:r>
      <w:r w:rsidR="00784258">
        <w:rPr>
          <w:rFonts w:eastAsiaTheme="minorEastAsia"/>
          <w:lang w:eastAsia="zh-CN"/>
        </w:rPr>
        <w:t>6</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20.     </w:t>
      </w:r>
      <w:r w:rsidRPr="005E25A7">
        <w:rPr>
          <w:rFonts w:eastAsiaTheme="minorEastAsia"/>
          <w:lang w:eastAsia="zh-CN"/>
        </w:rPr>
        <w:t>可持续野生动物管理</w:t>
      </w:r>
      <w:r w:rsidR="00C0019B" w:rsidRPr="00C0019B">
        <w:rPr>
          <w:rFonts w:eastAsiaTheme="minorEastAsia"/>
          <w:lang w:eastAsia="zh-CN"/>
        </w:rPr>
        <w:t>…………………………………………………………</w:t>
      </w:r>
      <w:r w:rsidR="00A50AF5">
        <w:rPr>
          <w:rFonts w:eastAsiaTheme="minorEastAsia"/>
          <w:lang w:eastAsia="zh-CN"/>
        </w:rPr>
        <w:t>288</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21.     </w:t>
      </w:r>
      <w:r w:rsidRPr="005E25A7">
        <w:rPr>
          <w:rFonts w:eastAsiaTheme="minorEastAsia"/>
          <w:lang w:eastAsia="zh-CN"/>
        </w:rPr>
        <w:t>生物多样性和气候变化</w:t>
      </w:r>
      <w:r w:rsidR="00C0019B" w:rsidRPr="00C0019B">
        <w:rPr>
          <w:rFonts w:eastAsiaTheme="minorEastAsia"/>
          <w:lang w:eastAsia="zh-CN"/>
        </w:rPr>
        <w:t>………………………………………………………</w:t>
      </w:r>
      <w:r w:rsidR="00A50AF5">
        <w:rPr>
          <w:rFonts w:eastAsiaTheme="minorEastAsia"/>
          <w:lang w:eastAsia="zh-CN"/>
        </w:rPr>
        <w:t>28</w:t>
      </w:r>
      <w:r w:rsidR="00784258">
        <w:rPr>
          <w:rFonts w:eastAsiaTheme="minorEastAsia"/>
          <w:lang w:eastAsia="zh-CN"/>
        </w:rPr>
        <w:t>8</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22.     </w:t>
      </w:r>
      <w:r w:rsidRPr="005E25A7">
        <w:rPr>
          <w:rFonts w:eastAsiaTheme="minorEastAsia"/>
          <w:lang w:eastAsia="zh-CN"/>
        </w:rPr>
        <w:t>将生物多样性纳入部门和跨部门主流</w:t>
      </w:r>
      <w:r w:rsidR="00C0019B" w:rsidRPr="00C0019B">
        <w:rPr>
          <w:rFonts w:eastAsiaTheme="minorEastAsia"/>
          <w:lang w:eastAsia="zh-CN"/>
        </w:rPr>
        <w:t>………………………………………</w:t>
      </w:r>
      <w:r w:rsidR="00A50AF5">
        <w:rPr>
          <w:rFonts w:eastAsiaTheme="minorEastAsia"/>
          <w:lang w:eastAsia="zh-CN"/>
        </w:rPr>
        <w:t>290</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23.     </w:t>
      </w:r>
      <w:r w:rsidRPr="005E25A7">
        <w:rPr>
          <w:rFonts w:eastAsiaTheme="minorEastAsia"/>
          <w:lang w:eastAsia="zh-CN"/>
        </w:rPr>
        <w:t>保护和可持续利用授粉媒介</w:t>
      </w:r>
      <w:r w:rsidR="00C0019B" w:rsidRPr="00C0019B">
        <w:rPr>
          <w:rFonts w:eastAsiaTheme="minorEastAsia"/>
          <w:lang w:eastAsia="zh-CN"/>
        </w:rPr>
        <w:t>…………………………………………………</w:t>
      </w:r>
      <w:r w:rsidR="00A50AF5">
        <w:rPr>
          <w:rFonts w:eastAsiaTheme="minorEastAsia"/>
          <w:lang w:eastAsia="zh-CN"/>
        </w:rPr>
        <w:t>292</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24.     </w:t>
      </w:r>
      <w:r w:rsidRPr="005E25A7">
        <w:rPr>
          <w:rFonts w:eastAsiaTheme="minorEastAsia"/>
          <w:lang w:eastAsia="zh-CN"/>
        </w:rPr>
        <w:t>空间规划、保护区和其他有效区域保护措施</w:t>
      </w:r>
      <w:r w:rsidR="00C0019B" w:rsidRPr="00C0019B">
        <w:rPr>
          <w:rFonts w:eastAsiaTheme="minorEastAsia"/>
          <w:lang w:eastAsia="zh-CN"/>
        </w:rPr>
        <w:t>………………………………</w:t>
      </w:r>
      <w:r w:rsidR="00A50AF5">
        <w:rPr>
          <w:rFonts w:eastAsiaTheme="minorEastAsia"/>
          <w:lang w:eastAsia="zh-CN"/>
        </w:rPr>
        <w:t>293</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25.     </w:t>
      </w:r>
      <w:r w:rsidRPr="005E25A7">
        <w:rPr>
          <w:rFonts w:eastAsiaTheme="minorEastAsia"/>
          <w:lang w:eastAsia="zh-CN"/>
        </w:rPr>
        <w:t>海洋和沿海生物多样性</w:t>
      </w:r>
      <w:r w:rsidR="00C0019B" w:rsidRPr="00C0019B">
        <w:rPr>
          <w:rFonts w:eastAsiaTheme="minorEastAsia"/>
          <w:lang w:eastAsia="zh-CN"/>
        </w:rPr>
        <w:t>………………………………………………………</w:t>
      </w:r>
      <w:r w:rsidR="00A50AF5">
        <w:rPr>
          <w:rFonts w:eastAsiaTheme="minorEastAsia"/>
          <w:lang w:eastAsia="zh-CN"/>
        </w:rPr>
        <w:t>29</w:t>
      </w:r>
      <w:r w:rsidR="00784258">
        <w:rPr>
          <w:rFonts w:eastAsiaTheme="minorEastAsia"/>
          <w:lang w:eastAsia="zh-CN"/>
        </w:rPr>
        <w:t>3</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26.     </w:t>
      </w:r>
      <w:r w:rsidRPr="005E25A7">
        <w:rPr>
          <w:rFonts w:eastAsiaTheme="minorEastAsia"/>
          <w:lang w:eastAsia="zh-CN"/>
        </w:rPr>
        <w:t>外来入侵物种</w:t>
      </w:r>
      <w:r w:rsidR="00C0019B" w:rsidRPr="00C0019B">
        <w:rPr>
          <w:rFonts w:eastAsiaTheme="minorEastAsia"/>
          <w:lang w:eastAsia="zh-CN"/>
        </w:rPr>
        <w:t>…………………………………………………………………</w:t>
      </w:r>
      <w:r w:rsidR="00A50AF5">
        <w:rPr>
          <w:rFonts w:eastAsiaTheme="minorEastAsia"/>
          <w:lang w:eastAsia="zh-CN"/>
        </w:rPr>
        <w:t>296</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27.     </w:t>
      </w:r>
      <w:r w:rsidRPr="005E25A7">
        <w:rPr>
          <w:rFonts w:eastAsiaTheme="minorEastAsia"/>
          <w:lang w:eastAsia="zh-CN"/>
        </w:rPr>
        <w:t>合成生物学</w:t>
      </w:r>
      <w:r w:rsidR="00C0019B" w:rsidRPr="00C0019B">
        <w:rPr>
          <w:rFonts w:eastAsiaTheme="minorEastAsia"/>
          <w:lang w:eastAsia="zh-CN"/>
        </w:rPr>
        <w:t>……………………………………………………………………</w:t>
      </w:r>
      <w:r w:rsidR="00A50AF5">
        <w:rPr>
          <w:rFonts w:eastAsiaTheme="minorEastAsia"/>
          <w:lang w:eastAsia="zh-CN"/>
        </w:rPr>
        <w:t>297</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28.     </w:t>
      </w:r>
      <w:r w:rsidRPr="005E25A7">
        <w:rPr>
          <w:rFonts w:eastAsiaTheme="minorEastAsia"/>
          <w:lang w:eastAsia="zh-CN"/>
        </w:rPr>
        <w:t>赔偿责任和补救（第</w:t>
      </w:r>
      <w:r w:rsidRPr="005E25A7">
        <w:rPr>
          <w:rFonts w:eastAsiaTheme="minorEastAsia"/>
          <w:lang w:eastAsia="zh-CN"/>
        </w:rPr>
        <w:t>14</w:t>
      </w:r>
      <w:r w:rsidRPr="005E25A7">
        <w:rPr>
          <w:rFonts w:eastAsiaTheme="minorEastAsia"/>
          <w:lang w:eastAsia="zh-CN"/>
        </w:rPr>
        <w:t>条第</w:t>
      </w:r>
      <w:r w:rsidRPr="005E25A7">
        <w:rPr>
          <w:rFonts w:eastAsiaTheme="minorEastAsia"/>
          <w:lang w:eastAsia="zh-CN"/>
        </w:rPr>
        <w:t>2</w:t>
      </w:r>
      <w:r w:rsidRPr="005E25A7">
        <w:rPr>
          <w:rFonts w:eastAsiaTheme="minorEastAsia"/>
          <w:lang w:eastAsia="zh-CN"/>
        </w:rPr>
        <w:t>款）</w:t>
      </w:r>
      <w:r w:rsidR="00C0019B" w:rsidRPr="00C0019B">
        <w:rPr>
          <w:rFonts w:eastAsiaTheme="minorEastAsia"/>
          <w:lang w:eastAsia="zh-CN"/>
        </w:rPr>
        <w:t>………………………………………</w:t>
      </w:r>
      <w:r w:rsidR="00A50AF5">
        <w:rPr>
          <w:rFonts w:eastAsiaTheme="minorEastAsia"/>
          <w:lang w:eastAsia="zh-CN"/>
        </w:rPr>
        <w:t>..298</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29.     </w:t>
      </w:r>
      <w:r w:rsidRPr="005E25A7">
        <w:rPr>
          <w:rFonts w:eastAsiaTheme="minorEastAsia"/>
          <w:lang w:eastAsia="zh-CN"/>
        </w:rPr>
        <w:t>其他事项</w:t>
      </w:r>
      <w:r w:rsidR="00C0019B" w:rsidRPr="00C0019B">
        <w:rPr>
          <w:rFonts w:eastAsiaTheme="minorEastAsia"/>
          <w:lang w:eastAsia="zh-CN"/>
        </w:rPr>
        <w:t>………………………………………………………………………</w:t>
      </w:r>
      <w:r w:rsidR="00A50AF5">
        <w:rPr>
          <w:rFonts w:eastAsiaTheme="minorEastAsia"/>
          <w:lang w:eastAsia="zh-CN"/>
        </w:rPr>
        <w:t>299</w:t>
      </w:r>
    </w:p>
    <w:p w:rsidR="003E0D48" w:rsidRPr="005E25A7" w:rsidRDefault="003E0D48" w:rsidP="00C0019B">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30.     </w:t>
      </w:r>
      <w:r w:rsidRPr="005E25A7">
        <w:rPr>
          <w:rFonts w:eastAsiaTheme="minorEastAsia"/>
          <w:lang w:eastAsia="zh-CN"/>
        </w:rPr>
        <w:t>通过报告</w:t>
      </w:r>
      <w:r w:rsidR="00C0019B" w:rsidRPr="00C0019B">
        <w:rPr>
          <w:rFonts w:eastAsiaTheme="minorEastAsia"/>
          <w:lang w:eastAsia="zh-CN"/>
        </w:rPr>
        <w:t>………………………………………………………………………</w:t>
      </w:r>
      <w:r w:rsidR="00A50AF5">
        <w:rPr>
          <w:rFonts w:eastAsiaTheme="minorEastAsia"/>
          <w:lang w:eastAsia="zh-CN"/>
        </w:rPr>
        <w:t>299</w:t>
      </w:r>
    </w:p>
    <w:p w:rsidR="003E0D48" w:rsidRPr="005E25A7" w:rsidRDefault="003E0D48" w:rsidP="00E77198">
      <w:pPr>
        <w:tabs>
          <w:tab w:val="left" w:pos="1440"/>
        </w:tabs>
        <w:snapToGrid w:val="0"/>
        <w:spacing w:before="0" w:after="60"/>
        <w:ind w:left="1440" w:hanging="1080"/>
        <w:jc w:val="left"/>
        <w:rPr>
          <w:rFonts w:eastAsiaTheme="minorEastAsia"/>
          <w:lang w:eastAsia="zh-CN"/>
        </w:rPr>
      </w:pPr>
      <w:r w:rsidRPr="005E25A7">
        <w:rPr>
          <w:rFonts w:eastAsiaTheme="minorEastAsia"/>
          <w:lang w:eastAsia="zh-CN"/>
        </w:rPr>
        <w:t>项目</w:t>
      </w:r>
      <w:r w:rsidRPr="005E25A7">
        <w:rPr>
          <w:rFonts w:eastAsiaTheme="minorEastAsia"/>
          <w:lang w:eastAsia="zh-CN"/>
        </w:rPr>
        <w:t xml:space="preserve">31.     </w:t>
      </w:r>
      <w:r w:rsidRPr="005E25A7">
        <w:rPr>
          <w:rFonts w:eastAsiaTheme="minorEastAsia"/>
          <w:lang w:eastAsia="zh-CN"/>
        </w:rPr>
        <w:t>会议闭</w:t>
      </w:r>
      <w:r w:rsidR="00A2527B" w:rsidRPr="005E25A7">
        <w:rPr>
          <w:rFonts w:eastAsiaTheme="minorEastAsia"/>
          <w:lang w:eastAsia="zh-CN"/>
        </w:rPr>
        <w:t>幕</w:t>
      </w:r>
      <w:r w:rsidR="00C0019B" w:rsidRPr="00C0019B">
        <w:rPr>
          <w:rFonts w:eastAsiaTheme="minorEastAsia"/>
          <w:lang w:eastAsia="zh-CN"/>
        </w:rPr>
        <w:t>……………………………………………………</w:t>
      </w:r>
      <w:r w:rsidR="00A2527B" w:rsidRPr="00C0019B">
        <w:rPr>
          <w:rFonts w:eastAsiaTheme="minorEastAsia"/>
          <w:lang w:eastAsia="zh-CN"/>
        </w:rPr>
        <w:t xml:space="preserve"> </w:t>
      </w:r>
      <w:r w:rsidR="00C0019B" w:rsidRPr="00C0019B">
        <w:rPr>
          <w:rFonts w:eastAsiaTheme="minorEastAsia"/>
          <w:lang w:eastAsia="zh-CN"/>
        </w:rPr>
        <w:t>………………</w:t>
      </w:r>
      <w:r w:rsidR="00A50AF5">
        <w:rPr>
          <w:rFonts w:eastAsiaTheme="minorEastAsia"/>
          <w:lang w:eastAsia="zh-CN"/>
        </w:rPr>
        <w:t>…</w:t>
      </w:r>
      <w:r w:rsidR="00784258">
        <w:rPr>
          <w:rFonts w:eastAsiaTheme="minorEastAsia"/>
          <w:lang w:eastAsia="zh-CN"/>
        </w:rPr>
        <w:t>299</w:t>
      </w:r>
    </w:p>
    <w:p w:rsidR="002F3D6F" w:rsidRPr="00D14A7B" w:rsidRDefault="00D14A7B" w:rsidP="00D14A7B">
      <w:pPr>
        <w:tabs>
          <w:tab w:val="left" w:pos="1440"/>
        </w:tabs>
        <w:snapToGrid w:val="0"/>
        <w:spacing w:before="0" w:after="60"/>
        <w:ind w:left="1440" w:hanging="1080"/>
        <w:jc w:val="left"/>
        <w:rPr>
          <w:rFonts w:eastAsiaTheme="minorEastAsia"/>
          <w:lang w:eastAsia="zh-CN"/>
        </w:rPr>
      </w:pPr>
      <w:r w:rsidRPr="00D14A7B">
        <w:rPr>
          <w:rFonts w:eastAsiaTheme="minorEastAsia" w:hint="eastAsia"/>
          <w:lang w:eastAsia="zh-CN"/>
        </w:rPr>
        <w:t>附件一</w:t>
      </w:r>
      <w:r w:rsidRPr="00D14A7B">
        <w:rPr>
          <w:rFonts w:eastAsiaTheme="minorEastAsia" w:hint="eastAsia"/>
          <w:lang w:eastAsia="zh-CN"/>
        </w:rPr>
        <w:t>.</w:t>
      </w:r>
      <w:r>
        <w:rPr>
          <w:rFonts w:eastAsiaTheme="minorEastAsia"/>
          <w:lang w:eastAsia="zh-CN"/>
        </w:rPr>
        <w:tab/>
      </w:r>
      <w:r w:rsidR="002F3D6F" w:rsidRPr="00D14A7B">
        <w:rPr>
          <w:rFonts w:eastAsiaTheme="minorEastAsia" w:hint="eastAsia"/>
          <w:lang w:eastAsia="zh-CN"/>
        </w:rPr>
        <w:t>派代表出席缔约方大会第十四届会议、作为卡塔赫纳生物安全议定书缔约方会议的缔约方大会第九次会议和作为获取和惠益分享名古屋议定书缔约方会议的</w:t>
      </w:r>
      <w:r>
        <w:rPr>
          <w:rFonts w:eastAsiaTheme="minorEastAsia" w:hint="eastAsia"/>
          <w:lang w:eastAsia="zh-CN"/>
        </w:rPr>
        <w:t>缔约方大会第三次会议的组织</w:t>
      </w:r>
      <w:r w:rsidR="00C0019B" w:rsidRPr="00A50AF5">
        <w:rPr>
          <w:rFonts w:eastAsiaTheme="minorEastAsia"/>
          <w:lang w:eastAsia="zh-CN"/>
        </w:rPr>
        <w:t>………</w:t>
      </w:r>
      <w:r w:rsidR="00A50AF5" w:rsidRPr="00A50AF5">
        <w:rPr>
          <w:rFonts w:eastAsiaTheme="minorEastAsia"/>
          <w:lang w:eastAsia="zh-CN"/>
        </w:rPr>
        <w:t>…</w:t>
      </w:r>
      <w:r w:rsidR="00C0019B" w:rsidRPr="00A50AF5">
        <w:rPr>
          <w:rFonts w:eastAsiaTheme="minorEastAsia"/>
          <w:lang w:eastAsia="zh-CN"/>
        </w:rPr>
        <w:t>………………………………</w:t>
      </w:r>
      <w:r w:rsidR="00A50AF5">
        <w:rPr>
          <w:rFonts w:eastAsiaTheme="minorEastAsia"/>
          <w:lang w:eastAsia="zh-CN"/>
        </w:rPr>
        <w:t>.</w:t>
      </w:r>
      <w:r w:rsidR="00A50AF5" w:rsidRPr="00D14A7B">
        <w:rPr>
          <w:rFonts w:eastAsiaTheme="minorEastAsia"/>
          <w:lang w:eastAsia="zh-CN"/>
        </w:rPr>
        <w:t>30</w:t>
      </w:r>
      <w:r w:rsidR="00784258" w:rsidRPr="00D14A7B">
        <w:rPr>
          <w:rFonts w:eastAsiaTheme="minorEastAsia"/>
          <w:lang w:eastAsia="zh-CN"/>
        </w:rPr>
        <w:t>0</w:t>
      </w:r>
    </w:p>
    <w:p w:rsidR="002F3D6F" w:rsidRPr="00D14A7B" w:rsidRDefault="00D14A7B" w:rsidP="00D14A7B">
      <w:pPr>
        <w:tabs>
          <w:tab w:val="left" w:pos="1440"/>
        </w:tabs>
        <w:snapToGrid w:val="0"/>
        <w:spacing w:before="0" w:after="60"/>
        <w:ind w:left="1440" w:hanging="1080"/>
        <w:jc w:val="left"/>
        <w:rPr>
          <w:rFonts w:eastAsiaTheme="minorEastAsia"/>
          <w:lang w:eastAsia="zh-CN"/>
        </w:rPr>
      </w:pPr>
      <w:r>
        <w:rPr>
          <w:rFonts w:eastAsiaTheme="minorEastAsia"/>
          <w:lang w:eastAsia="zh-CN"/>
        </w:rPr>
        <w:t>附件二</w:t>
      </w:r>
      <w:r>
        <w:rPr>
          <w:rFonts w:eastAsiaTheme="minorEastAsia" w:hint="eastAsia"/>
          <w:lang w:eastAsia="zh-CN"/>
        </w:rPr>
        <w:t>.</w:t>
      </w:r>
      <w:r>
        <w:rPr>
          <w:rFonts w:eastAsiaTheme="minorEastAsia"/>
          <w:lang w:eastAsia="zh-CN"/>
        </w:rPr>
        <w:tab/>
      </w:r>
      <w:r w:rsidR="002F3D6F" w:rsidRPr="00D14A7B">
        <w:rPr>
          <w:rFonts w:eastAsiaTheme="minorEastAsia" w:hint="eastAsia"/>
          <w:lang w:eastAsia="zh-CN"/>
        </w:rPr>
        <w:t>生物多样性公约缔约方大会第十四届会议开幕式上的发言</w:t>
      </w:r>
      <w:r w:rsidR="00C0019B" w:rsidRPr="00A50AF5">
        <w:rPr>
          <w:rFonts w:eastAsiaTheme="minorEastAsia"/>
          <w:lang w:eastAsia="zh-CN"/>
        </w:rPr>
        <w:t>………………</w:t>
      </w:r>
      <w:r w:rsidR="00A50AF5">
        <w:rPr>
          <w:rFonts w:eastAsiaTheme="minorEastAsia"/>
          <w:lang w:eastAsia="zh-CN"/>
        </w:rPr>
        <w:t>.30</w:t>
      </w:r>
      <w:r w:rsidR="0055168A">
        <w:rPr>
          <w:rFonts w:eastAsiaTheme="minorEastAsia"/>
          <w:lang w:eastAsia="zh-CN"/>
        </w:rPr>
        <w:t>8</w:t>
      </w:r>
    </w:p>
    <w:p w:rsidR="002F3D6F" w:rsidRPr="00D14A7B" w:rsidRDefault="00D14A7B" w:rsidP="00D14A7B">
      <w:pPr>
        <w:tabs>
          <w:tab w:val="left" w:pos="1440"/>
        </w:tabs>
        <w:snapToGrid w:val="0"/>
        <w:spacing w:before="0" w:after="60"/>
        <w:ind w:left="1440" w:hanging="1080"/>
        <w:jc w:val="left"/>
        <w:rPr>
          <w:rFonts w:eastAsiaTheme="minorEastAsia"/>
          <w:lang w:eastAsia="zh-CN"/>
        </w:rPr>
      </w:pPr>
      <w:r>
        <w:rPr>
          <w:rFonts w:eastAsiaTheme="minorEastAsia" w:hint="eastAsia"/>
          <w:lang w:eastAsia="zh-CN"/>
        </w:rPr>
        <w:t>附件三</w:t>
      </w:r>
      <w:r>
        <w:rPr>
          <w:rFonts w:eastAsiaTheme="minorEastAsia" w:hint="eastAsia"/>
          <w:lang w:eastAsia="zh-CN"/>
        </w:rPr>
        <w:t>.</w:t>
      </w:r>
      <w:r>
        <w:rPr>
          <w:rFonts w:eastAsiaTheme="minorEastAsia"/>
          <w:lang w:eastAsia="zh-CN"/>
        </w:rPr>
        <w:tab/>
      </w:r>
      <w:r w:rsidR="002F3D6F" w:rsidRPr="00D14A7B">
        <w:rPr>
          <w:rFonts w:eastAsiaTheme="minorEastAsia" w:hint="eastAsia"/>
          <w:lang w:eastAsia="zh-CN"/>
        </w:rPr>
        <w:t>关于</w:t>
      </w:r>
      <w:r w:rsidR="002F3D6F" w:rsidRPr="00D14A7B">
        <w:rPr>
          <w:rFonts w:asciiTheme="minorEastAsia" w:eastAsiaTheme="minorEastAsia" w:hAnsiTheme="minorEastAsia"/>
          <w:lang w:eastAsia="zh-CN"/>
        </w:rPr>
        <w:t>“</w:t>
      </w:r>
      <w:r w:rsidR="002F3D6F" w:rsidRPr="00D14A7B">
        <w:rPr>
          <w:rFonts w:asciiTheme="minorEastAsia" w:eastAsiaTheme="minorEastAsia" w:hAnsiTheme="minorEastAsia" w:hint="eastAsia"/>
          <w:lang w:eastAsia="zh-CN"/>
        </w:rPr>
        <w:t>与自然和谐相处的办法</w:t>
      </w:r>
      <w:r w:rsidR="002F3D6F" w:rsidRPr="00D14A7B">
        <w:rPr>
          <w:rFonts w:asciiTheme="minorEastAsia" w:eastAsiaTheme="minorEastAsia" w:hAnsiTheme="minorEastAsia"/>
          <w:lang w:eastAsia="zh-CN"/>
        </w:rPr>
        <w:t>”</w:t>
      </w:r>
      <w:r w:rsidR="002F3D6F" w:rsidRPr="00D14A7B">
        <w:rPr>
          <w:rFonts w:eastAsiaTheme="minorEastAsia" w:hint="eastAsia"/>
          <w:lang w:eastAsia="zh-CN"/>
        </w:rPr>
        <w:t>的互动对话</w:t>
      </w:r>
      <w:r w:rsidR="00C0019B" w:rsidRPr="00A50AF5">
        <w:rPr>
          <w:rFonts w:eastAsiaTheme="minorEastAsia"/>
          <w:lang w:eastAsia="zh-CN"/>
        </w:rPr>
        <w:t>………………………………</w:t>
      </w:r>
      <w:r w:rsidR="00A50AF5">
        <w:rPr>
          <w:rFonts w:eastAsiaTheme="minorEastAsia"/>
          <w:lang w:eastAsia="zh-CN"/>
        </w:rPr>
        <w:t>.31</w:t>
      </w:r>
      <w:r w:rsidR="0055168A">
        <w:rPr>
          <w:rFonts w:eastAsiaTheme="minorEastAsia"/>
          <w:lang w:eastAsia="zh-CN"/>
        </w:rPr>
        <w:t>4</w:t>
      </w:r>
    </w:p>
    <w:p w:rsidR="00F94A6D" w:rsidRPr="00D14A7B" w:rsidRDefault="00D14A7B" w:rsidP="00D14A7B">
      <w:pPr>
        <w:tabs>
          <w:tab w:val="left" w:pos="1440"/>
        </w:tabs>
        <w:snapToGrid w:val="0"/>
        <w:spacing w:before="0" w:after="60"/>
        <w:ind w:left="1440" w:hanging="1080"/>
        <w:jc w:val="left"/>
        <w:rPr>
          <w:rFonts w:eastAsiaTheme="minorEastAsia"/>
          <w:lang w:eastAsia="zh-CN"/>
        </w:rPr>
      </w:pPr>
      <w:r>
        <w:rPr>
          <w:rFonts w:eastAsiaTheme="minorEastAsia"/>
          <w:lang w:eastAsia="zh-CN"/>
        </w:rPr>
        <w:t>附件四</w:t>
      </w:r>
      <w:r>
        <w:rPr>
          <w:rFonts w:eastAsiaTheme="minorEastAsia" w:hint="eastAsia"/>
          <w:lang w:eastAsia="zh-CN"/>
        </w:rPr>
        <w:t>.</w:t>
      </w:r>
      <w:r>
        <w:rPr>
          <w:rFonts w:eastAsiaTheme="minorEastAsia"/>
          <w:lang w:eastAsia="zh-CN"/>
        </w:rPr>
        <w:tab/>
      </w:r>
      <w:r w:rsidR="003624D7">
        <w:rPr>
          <w:rFonts w:eastAsiaTheme="minorEastAsia" w:hint="eastAsia"/>
          <w:lang w:eastAsia="zh-CN"/>
        </w:rPr>
        <w:t>平行活动</w:t>
      </w:r>
      <w:r w:rsidR="002F3D6F" w:rsidRPr="00D14A7B">
        <w:rPr>
          <w:rFonts w:eastAsiaTheme="minorEastAsia" w:hint="eastAsia"/>
          <w:lang w:eastAsia="zh-CN"/>
        </w:rPr>
        <w:t>和颁奖</w:t>
      </w:r>
      <w:r w:rsidR="00C0019B" w:rsidRPr="00A50AF5">
        <w:rPr>
          <w:rFonts w:eastAsiaTheme="minorEastAsia"/>
          <w:lang w:eastAsia="zh-CN"/>
        </w:rPr>
        <w:t>………………………………………………………………</w:t>
      </w:r>
      <w:r w:rsidR="00A50AF5">
        <w:rPr>
          <w:rFonts w:eastAsiaTheme="minorEastAsia"/>
          <w:lang w:eastAsia="zh-CN"/>
        </w:rPr>
        <w:t>.</w:t>
      </w:r>
      <w:r w:rsidR="0055168A">
        <w:rPr>
          <w:rFonts w:eastAsiaTheme="minorEastAsia"/>
          <w:lang w:eastAsia="zh-CN"/>
        </w:rPr>
        <w:t>299</w:t>
      </w:r>
    </w:p>
    <w:p w:rsidR="00FB3D32" w:rsidRPr="00CD6958" w:rsidRDefault="00FB3D32" w:rsidP="00FF4964">
      <w:pPr>
        <w:spacing w:after="240"/>
        <w:ind w:firstLine="0"/>
        <w:jc w:val="center"/>
        <w:rPr>
          <w:rFonts w:ascii="SimHei" w:eastAsia="SimHei" w:hAnsi="SimHei" w:cs="SimSun"/>
          <w:sz w:val="28"/>
          <w:lang w:eastAsia="zh-CN"/>
        </w:rPr>
      </w:pPr>
      <w:r>
        <w:rPr>
          <w:rFonts w:ascii="SimSun" w:eastAsia="SimSun" w:hAnsi="SimSun" w:cs="SimSun"/>
          <w:sz w:val="28"/>
          <w:lang w:eastAsia="zh-CN"/>
        </w:rPr>
        <w:br w:type="page"/>
      </w:r>
      <w:r w:rsidR="008A6756" w:rsidRPr="00CD6958">
        <w:rPr>
          <w:rFonts w:ascii="SimHei" w:eastAsia="SimHei" w:hAnsi="SimHei" w:cs="SimSun" w:hint="eastAsia"/>
          <w:lang w:eastAsia="zh-CN"/>
        </w:rPr>
        <w:lastRenderedPageBreak/>
        <w:t>一.</w:t>
      </w:r>
      <w:r w:rsidR="008A6756" w:rsidRPr="00CD6958">
        <w:rPr>
          <w:rFonts w:ascii="SimHei" w:eastAsia="SimHei" w:hAnsi="SimHei" w:cs="SimSun"/>
          <w:lang w:eastAsia="zh-CN"/>
        </w:rPr>
        <w:tab/>
      </w:r>
      <w:r w:rsidR="008A6756" w:rsidRPr="00CD6958">
        <w:rPr>
          <w:rFonts w:ascii="SimHei" w:eastAsia="SimHei" w:hAnsi="SimHei" w:cs="SimSun" w:hint="eastAsia"/>
          <w:lang w:eastAsia="zh-CN"/>
        </w:rPr>
        <w:t>决定</w:t>
      </w:r>
    </w:p>
    <w:p w:rsidR="00EA2A06" w:rsidRPr="00EA2A06" w:rsidRDefault="00EA2A06" w:rsidP="001A2AC9">
      <w:pPr>
        <w:pStyle w:val="Heading1"/>
        <w:spacing w:before="120" w:after="120"/>
        <w:ind w:left="2347" w:right="1570" w:hanging="907"/>
        <w:jc w:val="left"/>
        <w:rPr>
          <w:rFonts w:eastAsiaTheme="minorEastAsia" w:cs="Times New Roman"/>
          <w:noProof/>
          <w:kern w:val="22"/>
          <w:sz w:val="24"/>
          <w:lang w:eastAsia="zh-CN"/>
        </w:rPr>
      </w:pPr>
      <w:bookmarkStart w:id="1" w:name="_Toc524194609"/>
      <w:bookmarkStart w:id="2" w:name="_Toc524194582"/>
      <w:bookmarkStart w:id="3" w:name="_Toc524194586"/>
      <w:bookmarkStart w:id="4" w:name="_Toc524194587"/>
      <w:bookmarkStart w:id="5" w:name="_Toc524194576"/>
      <w:bookmarkStart w:id="6" w:name="_Toc6243643"/>
      <w:r w:rsidRPr="00EA2A06">
        <w:rPr>
          <w:rFonts w:eastAsiaTheme="minorEastAsia" w:cs="Times New Roman"/>
          <w:noProof/>
          <w:kern w:val="22"/>
          <w:sz w:val="24"/>
          <w:lang w:eastAsia="zh-CN"/>
        </w:rPr>
        <w:t>14/1.</w:t>
      </w:r>
      <w:r w:rsidRPr="00EA2A06">
        <w:rPr>
          <w:rFonts w:eastAsiaTheme="minorEastAsia" w:cs="Times New Roman"/>
          <w:noProof/>
          <w:kern w:val="22"/>
          <w:sz w:val="24"/>
          <w:lang w:eastAsia="zh-CN"/>
        </w:rPr>
        <w:tab/>
      </w:r>
      <w:bookmarkEnd w:id="1"/>
      <w:bookmarkEnd w:id="2"/>
      <w:bookmarkEnd w:id="3"/>
      <w:bookmarkEnd w:id="4"/>
      <w:r w:rsidRPr="00EA2A06">
        <w:rPr>
          <w:rFonts w:eastAsiaTheme="minorEastAsia" w:cs="Times New Roman"/>
          <w:noProof/>
          <w:kern w:val="22"/>
          <w:sz w:val="24"/>
          <w:lang w:eastAsia="zh-CN"/>
        </w:rPr>
        <w:t>对特定爱知生物多样性指标进展情况的最新评估和加速进展的备选办法</w:t>
      </w:r>
      <w:bookmarkEnd w:id="5"/>
      <w:bookmarkEnd w:id="6"/>
    </w:p>
    <w:p w:rsidR="00EA2A06" w:rsidRPr="00285C41" w:rsidRDefault="00EA2A06" w:rsidP="000C6210">
      <w:pPr>
        <w:keepNext/>
        <w:keepLines/>
        <w:tabs>
          <w:tab w:val="left" w:pos="1440"/>
        </w:tabs>
        <w:snapToGrid w:val="0"/>
        <w:rPr>
          <w:rFonts w:ascii="KaiTi" w:eastAsia="KaiTi"/>
          <w:kern w:val="20"/>
          <w:lang w:val="en-GB" w:eastAsia="zh-CN"/>
        </w:rPr>
      </w:pPr>
      <w:r w:rsidRPr="00285C41">
        <w:rPr>
          <w:rFonts w:ascii="KaiTi" w:eastAsia="KaiTi" w:hint="eastAsia"/>
          <w:kern w:val="20"/>
          <w:lang w:val="en-GB" w:eastAsia="zh-CN"/>
        </w:rPr>
        <w:t>缔约方大会，</w:t>
      </w:r>
    </w:p>
    <w:p w:rsidR="00EA2A06" w:rsidRPr="00EA2A06" w:rsidRDefault="00EA2A06" w:rsidP="00EA2A06">
      <w:pPr>
        <w:tabs>
          <w:tab w:val="left" w:pos="1440"/>
        </w:tabs>
        <w:adjustRightInd w:val="0"/>
        <w:snapToGrid w:val="0"/>
        <w:rPr>
          <w:rFonts w:eastAsiaTheme="minorEastAsia"/>
          <w:snapToGrid w:val="0"/>
          <w:kern w:val="22"/>
          <w:lang w:val="en-GB" w:eastAsia="zh-CN"/>
        </w:rPr>
      </w:pPr>
      <w:r w:rsidRPr="007533F8">
        <w:rPr>
          <w:rFonts w:ascii="KaiTi" w:eastAsia="KaiTi"/>
          <w:kern w:val="20"/>
          <w:lang w:val="en-GB" w:eastAsia="zh-CN"/>
        </w:rPr>
        <w:t>回顾</w:t>
      </w:r>
      <w:r w:rsidRPr="00EA2A06">
        <w:rPr>
          <w:rFonts w:eastAsiaTheme="minorEastAsia"/>
          <w:snapToGrid w:val="0"/>
          <w:kern w:val="22"/>
          <w:lang w:val="en-GB" w:eastAsia="zh-CN"/>
        </w:rPr>
        <w:t>第</w:t>
      </w:r>
      <w:r w:rsidRPr="00EA2A06">
        <w:rPr>
          <w:rFonts w:eastAsiaTheme="minorEastAsia"/>
          <w:snapToGrid w:val="0"/>
          <w:kern w:val="22"/>
          <w:lang w:val="en-GB" w:eastAsia="zh-CN"/>
        </w:rPr>
        <w:t>XIII/5</w:t>
      </w:r>
      <w:r w:rsidRPr="00EA2A06">
        <w:rPr>
          <w:rFonts w:eastAsiaTheme="minorEastAsia"/>
          <w:snapToGrid w:val="0"/>
          <w:kern w:val="22"/>
          <w:lang w:val="en-GB" w:eastAsia="zh-CN"/>
        </w:rPr>
        <w:t>号、第</w:t>
      </w:r>
      <w:r w:rsidRPr="00EA2A06">
        <w:rPr>
          <w:rFonts w:eastAsiaTheme="minorEastAsia"/>
          <w:snapToGrid w:val="0"/>
          <w:kern w:val="22"/>
          <w:lang w:val="en-GB" w:eastAsia="zh-CN"/>
        </w:rPr>
        <w:t>XIII/28</w:t>
      </w:r>
      <w:r w:rsidRPr="00EA2A06">
        <w:rPr>
          <w:rFonts w:eastAsiaTheme="minorEastAsia"/>
          <w:snapToGrid w:val="0"/>
          <w:kern w:val="22"/>
          <w:lang w:val="en-GB" w:eastAsia="zh-CN"/>
        </w:rPr>
        <w:t>号和第</w:t>
      </w:r>
      <w:r w:rsidRPr="00EA2A06">
        <w:rPr>
          <w:rFonts w:eastAsiaTheme="minorEastAsia"/>
          <w:snapToGrid w:val="0"/>
          <w:kern w:val="22"/>
          <w:lang w:val="en-GB" w:eastAsia="zh-CN"/>
        </w:rPr>
        <w:t>XIII/29</w:t>
      </w:r>
      <w:r w:rsidRPr="00EA2A06">
        <w:rPr>
          <w:rFonts w:eastAsiaTheme="minorEastAsia"/>
          <w:snapToGrid w:val="0"/>
          <w:kern w:val="22"/>
          <w:lang w:val="en-GB" w:eastAsia="zh-CN"/>
        </w:rPr>
        <w:t>号决定，</w:t>
      </w:r>
    </w:p>
    <w:p w:rsidR="00EA2A06" w:rsidRPr="00EA2A06" w:rsidRDefault="00EA2A06" w:rsidP="00EA2A06">
      <w:pPr>
        <w:keepNext/>
        <w:keepLines/>
        <w:suppressLineNumbers/>
        <w:tabs>
          <w:tab w:val="left" w:pos="1440"/>
        </w:tabs>
        <w:suppressAutoHyphens/>
        <w:kinsoku w:val="0"/>
        <w:autoSpaceDE w:val="0"/>
        <w:autoSpaceDN w:val="0"/>
        <w:adjustRightInd w:val="0"/>
        <w:snapToGrid w:val="0"/>
        <w:rPr>
          <w:rFonts w:eastAsiaTheme="minorEastAsia"/>
          <w:kern w:val="22"/>
          <w:lang w:val="en-GB" w:eastAsia="zh-CN"/>
        </w:rPr>
      </w:pPr>
      <w:r w:rsidRPr="007533F8">
        <w:rPr>
          <w:rFonts w:ascii="KaiTi" w:eastAsia="KaiTi"/>
          <w:kern w:val="20"/>
          <w:lang w:val="en-GB" w:eastAsia="zh-CN"/>
        </w:rPr>
        <w:t>又回顾</w:t>
      </w:r>
      <w:r w:rsidRPr="00EA2A06">
        <w:rPr>
          <w:rFonts w:eastAsiaTheme="minorEastAsia"/>
          <w:kern w:val="22"/>
          <w:lang w:val="en-GB" w:eastAsia="zh-CN"/>
        </w:rPr>
        <w:t>第</w:t>
      </w:r>
      <w:r w:rsidRPr="00EA2A06">
        <w:rPr>
          <w:rFonts w:eastAsiaTheme="minorEastAsia"/>
          <w:kern w:val="22"/>
          <w:lang w:val="en-GB" w:eastAsia="zh-CN"/>
        </w:rPr>
        <w:t>XIII/1</w:t>
      </w:r>
      <w:r w:rsidRPr="00EA2A06">
        <w:rPr>
          <w:rFonts w:eastAsiaTheme="minorEastAsia"/>
          <w:kern w:val="22"/>
          <w:lang w:val="en-GB" w:eastAsia="zh-CN"/>
        </w:rPr>
        <w:t>号决定，特别是第</w:t>
      </w:r>
      <w:r w:rsidRPr="00EA2A06">
        <w:rPr>
          <w:rFonts w:eastAsiaTheme="minorEastAsia"/>
          <w:kern w:val="22"/>
          <w:lang w:val="en-GB" w:eastAsia="zh-CN"/>
        </w:rPr>
        <w:t>12</w:t>
      </w:r>
      <w:r w:rsidRPr="00EA2A06">
        <w:rPr>
          <w:rFonts w:eastAsiaTheme="minorEastAsia"/>
          <w:kern w:val="22"/>
          <w:lang w:val="en-GB" w:eastAsia="zh-CN"/>
        </w:rPr>
        <w:t>和第</w:t>
      </w:r>
      <w:r w:rsidRPr="00EA2A06">
        <w:rPr>
          <w:rFonts w:eastAsiaTheme="minorEastAsia"/>
          <w:kern w:val="22"/>
          <w:lang w:val="en-GB" w:eastAsia="zh-CN"/>
        </w:rPr>
        <w:t>19</w:t>
      </w:r>
      <w:r w:rsidRPr="00EA2A06">
        <w:rPr>
          <w:rFonts w:eastAsiaTheme="minorEastAsia"/>
          <w:kern w:val="22"/>
          <w:lang w:val="en-GB" w:eastAsia="zh-CN"/>
        </w:rPr>
        <w:t>段，</w:t>
      </w:r>
    </w:p>
    <w:p w:rsidR="00EA2A06" w:rsidRPr="00EA2A06" w:rsidRDefault="00EA2A06" w:rsidP="00EA2A06">
      <w:pPr>
        <w:keepNext/>
        <w:keepLines/>
        <w:suppressLineNumbers/>
        <w:tabs>
          <w:tab w:val="left" w:pos="1440"/>
        </w:tabs>
        <w:suppressAutoHyphens/>
        <w:kinsoku w:val="0"/>
        <w:autoSpaceDE w:val="0"/>
        <w:autoSpaceDN w:val="0"/>
        <w:adjustRightInd w:val="0"/>
        <w:snapToGrid w:val="0"/>
        <w:rPr>
          <w:rFonts w:eastAsiaTheme="minorEastAsia"/>
          <w:iCs/>
          <w:snapToGrid w:val="0"/>
          <w:kern w:val="22"/>
          <w:lang w:val="en-GB" w:eastAsia="zh-CN"/>
        </w:rPr>
      </w:pPr>
      <w:r w:rsidRPr="007533F8">
        <w:rPr>
          <w:rFonts w:ascii="KaiTi" w:eastAsia="KaiTi"/>
          <w:kern w:val="20"/>
          <w:lang w:val="en-GB" w:eastAsia="zh-CN"/>
        </w:rPr>
        <w:t>深切关注</w:t>
      </w:r>
      <w:r w:rsidRPr="00EA2A06">
        <w:rPr>
          <w:rFonts w:eastAsiaTheme="minorEastAsia"/>
          <w:iCs/>
          <w:snapToGrid w:val="0"/>
          <w:kern w:val="22"/>
          <w:lang w:val="en-GB" w:eastAsia="zh-CN"/>
        </w:rPr>
        <w:t>尽管缔约方和其他方面采取了很多积极行动，但大多数爱知生物多样性指标到</w:t>
      </w:r>
      <w:r w:rsidRPr="00EA2A06">
        <w:rPr>
          <w:rFonts w:eastAsiaTheme="minorEastAsia"/>
          <w:iCs/>
          <w:snapToGrid w:val="0"/>
          <w:kern w:val="22"/>
          <w:lang w:val="en-GB" w:eastAsia="zh-CN"/>
        </w:rPr>
        <w:t>2020</w:t>
      </w:r>
      <w:r w:rsidRPr="00EA2A06">
        <w:rPr>
          <w:rFonts w:eastAsiaTheme="minorEastAsia"/>
          <w:iCs/>
          <w:snapToGrid w:val="0"/>
          <w:kern w:val="22"/>
          <w:lang w:val="en-GB" w:eastAsia="zh-CN"/>
        </w:rPr>
        <w:t>年无法按时</w:t>
      </w:r>
      <w:r w:rsidRPr="00EA2A06">
        <w:rPr>
          <w:rFonts w:eastAsiaTheme="minorEastAsia"/>
          <w:kern w:val="22"/>
          <w:lang w:val="en-GB" w:eastAsia="zh-CN"/>
        </w:rPr>
        <w:t>实现</w:t>
      </w:r>
      <w:r w:rsidRPr="00EA2A06">
        <w:rPr>
          <w:rFonts w:eastAsiaTheme="minorEastAsia"/>
          <w:iCs/>
          <w:snapToGrid w:val="0"/>
          <w:kern w:val="22"/>
          <w:lang w:val="en-GB" w:eastAsia="zh-CN"/>
        </w:rPr>
        <w:t>，如不能进一步取得重大进展，势必会危及《</w:t>
      </w:r>
      <w:r w:rsidRPr="00EA2A06">
        <w:rPr>
          <w:rFonts w:eastAsiaTheme="minorEastAsia"/>
          <w:iCs/>
          <w:snapToGrid w:val="0"/>
          <w:kern w:val="22"/>
          <w:lang w:val="en-GB" w:eastAsia="zh-CN"/>
        </w:rPr>
        <w:t>2011-2020</w:t>
      </w:r>
      <w:r w:rsidRPr="00EA2A06">
        <w:rPr>
          <w:rFonts w:eastAsiaTheme="minorEastAsia"/>
          <w:iCs/>
          <w:snapToGrid w:val="0"/>
          <w:kern w:val="22"/>
          <w:lang w:val="en-GB" w:eastAsia="zh-CN"/>
        </w:rPr>
        <w:t>年生物多样性战略计划》</w:t>
      </w:r>
      <w:bookmarkStart w:id="7" w:name="_Ref521414078"/>
      <w:r w:rsidRPr="00EA2A06">
        <w:rPr>
          <w:rFonts w:eastAsiaTheme="minorEastAsia"/>
          <w:iCs/>
          <w:vertAlign w:val="superscript"/>
          <w:lang w:val="en-GB"/>
        </w:rPr>
        <w:footnoteReference w:id="1"/>
      </w:r>
      <w:bookmarkEnd w:id="7"/>
      <w:r w:rsidRPr="00EA2A06">
        <w:rPr>
          <w:rFonts w:eastAsiaTheme="minorEastAsia"/>
          <w:iCs/>
          <w:vertAlign w:val="superscript"/>
          <w:lang w:val="en-GB" w:eastAsia="zh-CN"/>
        </w:rPr>
        <w:t xml:space="preserve">  </w:t>
      </w:r>
      <w:r w:rsidRPr="00EA2A06">
        <w:rPr>
          <w:rFonts w:eastAsiaTheme="minorEastAsia"/>
          <w:iCs/>
          <w:snapToGrid w:val="0"/>
          <w:kern w:val="22"/>
          <w:lang w:val="en-GB" w:eastAsia="zh-CN"/>
        </w:rPr>
        <w:t>和可持续发展目标</w:t>
      </w:r>
      <w:r w:rsidRPr="00EA2A06">
        <w:rPr>
          <w:rFonts w:eastAsiaTheme="minorEastAsia"/>
          <w:iCs/>
          <w:vertAlign w:val="superscript"/>
          <w:lang w:val="en-GB"/>
        </w:rPr>
        <w:footnoteReference w:id="2"/>
      </w:r>
      <w:r w:rsidRPr="00EA2A06">
        <w:rPr>
          <w:rFonts w:eastAsiaTheme="minorEastAsia"/>
          <w:iCs/>
          <w:snapToGrid w:val="0"/>
          <w:kern w:val="22"/>
          <w:vertAlign w:val="superscript"/>
          <w:lang w:val="en-GB" w:eastAsia="zh-CN"/>
        </w:rPr>
        <w:t xml:space="preserve"> </w:t>
      </w:r>
      <w:r w:rsidRPr="00EA2A06">
        <w:rPr>
          <w:rFonts w:eastAsiaTheme="minorEastAsia"/>
          <w:iCs/>
          <w:snapToGrid w:val="0"/>
          <w:kern w:val="22"/>
          <w:lang w:val="en-GB" w:eastAsia="zh-CN"/>
        </w:rPr>
        <w:t>的使命和愿景的实现，并最终危及地球的生命支持系统；</w:t>
      </w:r>
      <w:r w:rsidRPr="00EA2A06">
        <w:rPr>
          <w:rFonts w:eastAsiaTheme="minorEastAsia"/>
          <w:iCs/>
          <w:snapToGrid w:val="0"/>
          <w:kern w:val="22"/>
          <w:lang w:val="en-GB" w:eastAsia="zh-CN"/>
        </w:rPr>
        <w:t xml:space="preserve"> </w:t>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kern w:val="22"/>
          <w:lang w:val="en-GB" w:eastAsia="zh-CN"/>
        </w:rPr>
      </w:pPr>
      <w:r w:rsidRPr="007533F8">
        <w:rPr>
          <w:rFonts w:ascii="KaiTi" w:eastAsia="KaiTi"/>
          <w:kern w:val="20"/>
          <w:lang w:val="en-GB" w:eastAsia="zh-CN"/>
        </w:rPr>
        <w:t>欢迎</w:t>
      </w:r>
      <w:r w:rsidRPr="00EA2A06">
        <w:rPr>
          <w:rFonts w:eastAsiaTheme="minorEastAsia"/>
          <w:kern w:val="22"/>
          <w:lang w:val="en-GB" w:eastAsia="zh-CN"/>
        </w:rPr>
        <w:t>关于执行《公约》和《</w:t>
      </w:r>
      <w:r w:rsidRPr="00EA2A06">
        <w:rPr>
          <w:rFonts w:eastAsiaTheme="minorEastAsia"/>
          <w:kern w:val="22"/>
          <w:lang w:val="en-GB" w:eastAsia="zh-CN"/>
        </w:rPr>
        <w:t>2011-2020</w:t>
      </w:r>
      <w:r w:rsidRPr="00EA2A06">
        <w:rPr>
          <w:rFonts w:eastAsiaTheme="minorEastAsia"/>
          <w:kern w:val="22"/>
          <w:lang w:val="en-GB" w:eastAsia="zh-CN"/>
        </w:rPr>
        <w:t>年生物多样性战略计划》和实现爱知生物多样性指标进展情况的最新分析，包括关于修订</w:t>
      </w:r>
      <w:r w:rsidRPr="00EA2A06">
        <w:rPr>
          <w:rFonts w:eastAsiaTheme="minorEastAsia"/>
          <w:kern w:val="22"/>
          <w:lang w:val="en-GB" w:eastAsia="zh-CN"/>
        </w:rPr>
        <w:t>/</w:t>
      </w:r>
      <w:r w:rsidRPr="00EA2A06">
        <w:rPr>
          <w:rFonts w:eastAsiaTheme="minorEastAsia"/>
          <w:kern w:val="22"/>
          <w:lang w:val="en-GB" w:eastAsia="zh-CN"/>
        </w:rPr>
        <w:t>更新和执行国家生物多样性战略和行动计划（包括指标和国家报告）的最新进展，以及对各缔约方所确定指标的贡献和实现爱知生物多样性指标进展情况的分析；</w:t>
      </w:r>
      <w:r w:rsidRPr="00EA2A06">
        <w:rPr>
          <w:rFonts w:eastAsiaTheme="minorEastAsia"/>
          <w:kern w:val="22"/>
          <w:vertAlign w:val="superscript"/>
          <w:lang w:val="en-GB" w:eastAsia="zh-CN"/>
        </w:rPr>
        <w:footnoteReference w:id="3"/>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kern w:val="22"/>
          <w:lang w:val="en-GB" w:eastAsia="zh-CN"/>
        </w:rPr>
      </w:pPr>
      <w:r w:rsidRPr="007533F8">
        <w:rPr>
          <w:rFonts w:ascii="KaiTi" w:eastAsia="KaiTi"/>
          <w:kern w:val="20"/>
          <w:lang w:val="en-GB" w:eastAsia="zh-CN"/>
        </w:rPr>
        <w:t>赞赏地欢迎</w:t>
      </w:r>
      <w:r w:rsidRPr="00EA2A06">
        <w:rPr>
          <w:rFonts w:eastAsiaTheme="minorEastAsia"/>
          <w:kern w:val="22"/>
          <w:lang w:val="en-GB" w:eastAsia="zh-CN"/>
        </w:rPr>
        <w:t>生物多样性和生态系统服务政府间科学政策平台关于非洲、美洲、亚洲和太平洋、欧洲和中亚生物多样性和生态系统服务的区域评估和关于土地退化和恢复的专题评估；</w:t>
      </w:r>
    </w:p>
    <w:p w:rsidR="00EA2A06" w:rsidRPr="00EA2A06" w:rsidRDefault="00EA2A06" w:rsidP="000A1A91">
      <w:pPr>
        <w:widowControl w:val="0"/>
        <w:numPr>
          <w:ilvl w:val="1"/>
          <w:numId w:val="13"/>
        </w:numPr>
        <w:suppressLineNumbers/>
        <w:tabs>
          <w:tab w:val="left" w:pos="1440"/>
        </w:tabs>
        <w:suppressAutoHyphens/>
        <w:kinsoku w:val="0"/>
        <w:autoSpaceDE w:val="0"/>
        <w:autoSpaceDN w:val="0"/>
        <w:adjustRightInd w:val="0"/>
        <w:snapToGrid w:val="0"/>
        <w:ind w:left="0" w:firstLine="720"/>
        <w:rPr>
          <w:rFonts w:eastAsiaTheme="minorEastAsia"/>
          <w:kern w:val="22"/>
          <w:lang w:val="en-GB" w:eastAsia="zh-CN"/>
        </w:rPr>
      </w:pPr>
      <w:r w:rsidRPr="007533F8">
        <w:rPr>
          <w:rFonts w:ascii="KaiTi" w:eastAsia="KaiTi"/>
          <w:kern w:val="20"/>
          <w:lang w:val="en-GB" w:eastAsia="zh-CN"/>
        </w:rPr>
        <w:t>欢迎</w:t>
      </w:r>
      <w:r w:rsidRPr="00EA2A06">
        <w:rPr>
          <w:rFonts w:eastAsiaTheme="minorEastAsia"/>
          <w:kern w:val="22"/>
          <w:lang w:val="en-GB" w:eastAsia="zh-CN"/>
        </w:rPr>
        <w:t>对本决定附件所载最新科学信息</w:t>
      </w:r>
      <w:r w:rsidRPr="00EA2A06">
        <w:rPr>
          <w:rFonts w:eastAsiaTheme="minorEastAsia"/>
          <w:kern w:val="22"/>
          <w:vertAlign w:val="superscript"/>
          <w:lang w:val="en-GB" w:eastAsia="zh-CN"/>
        </w:rPr>
        <w:footnoteReference w:id="4"/>
      </w:r>
      <w:r w:rsidRPr="00EA2A06">
        <w:rPr>
          <w:rFonts w:eastAsiaTheme="minorEastAsia"/>
          <w:kern w:val="22"/>
          <w:lang w:val="en-GB" w:eastAsia="zh-CN"/>
        </w:rPr>
        <w:t xml:space="preserve"> </w:t>
      </w:r>
      <w:r w:rsidRPr="00EA2A06">
        <w:rPr>
          <w:rFonts w:eastAsiaTheme="minorEastAsia"/>
          <w:kern w:val="22"/>
          <w:lang w:val="en-GB" w:eastAsia="zh-CN"/>
        </w:rPr>
        <w:t>包括其结论和所查明的信息空白以及加快实现爱知生物多样性指标的进展的可能备选方案的审查；</w:t>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kern w:val="22"/>
          <w:lang w:val="en-GB" w:eastAsia="zh-CN"/>
        </w:rPr>
      </w:pPr>
      <w:r w:rsidRPr="007533F8">
        <w:rPr>
          <w:rFonts w:ascii="KaiTi" w:eastAsia="KaiTi"/>
          <w:kern w:val="20"/>
          <w:lang w:val="en-GB" w:eastAsia="zh-CN"/>
        </w:rPr>
        <w:t>又欢迎</w:t>
      </w:r>
      <w:r w:rsidRPr="00EA2A06">
        <w:rPr>
          <w:rFonts w:eastAsiaTheme="minorEastAsia"/>
          <w:kern w:val="22"/>
          <w:lang w:val="en-GB" w:eastAsia="zh-CN"/>
        </w:rPr>
        <w:t>已确定的进一步指标以及具备了最新数据点</w:t>
      </w:r>
      <w:r w:rsidRPr="00EA2A06">
        <w:rPr>
          <w:rFonts w:eastAsiaTheme="minorEastAsia"/>
          <w:vertAlign w:val="superscript"/>
          <w:lang w:val="en-GB" w:eastAsia="zh-CN"/>
        </w:rPr>
        <w:footnoteReference w:id="5"/>
      </w:r>
      <w:r w:rsidRPr="00EA2A06">
        <w:rPr>
          <w:rFonts w:eastAsiaTheme="minorEastAsia"/>
          <w:kern w:val="22"/>
          <w:lang w:val="en-GB" w:eastAsia="zh-CN"/>
        </w:rPr>
        <w:t xml:space="preserve"> </w:t>
      </w:r>
      <w:r w:rsidRPr="00EA2A06">
        <w:rPr>
          <w:rFonts w:eastAsiaTheme="minorEastAsia"/>
          <w:kern w:val="22"/>
          <w:lang w:val="en-GB" w:eastAsia="zh-CN"/>
        </w:rPr>
        <w:t>的指标，并</w:t>
      </w:r>
      <w:r w:rsidRPr="00EA2A06">
        <w:rPr>
          <w:rFonts w:eastAsiaTheme="minorEastAsia"/>
          <w:kern w:val="20"/>
          <w:lang w:val="en-GB" w:eastAsia="zh-CN"/>
        </w:rPr>
        <w:t>确认</w:t>
      </w:r>
      <w:r w:rsidRPr="00EA2A06">
        <w:rPr>
          <w:rFonts w:eastAsiaTheme="minorEastAsia"/>
          <w:kern w:val="22"/>
          <w:lang w:val="en-GB" w:eastAsia="zh-CN"/>
        </w:rPr>
        <w:t>生物多样性指标伙伴关系在推动《</w:t>
      </w:r>
      <w:r w:rsidRPr="00EA2A06">
        <w:rPr>
          <w:rFonts w:eastAsiaTheme="minorEastAsia"/>
          <w:kern w:val="22"/>
          <w:lang w:val="en-GB" w:eastAsia="zh-CN"/>
        </w:rPr>
        <w:t>2011-2020</w:t>
      </w:r>
      <w:r w:rsidRPr="00EA2A06">
        <w:rPr>
          <w:rFonts w:eastAsiaTheme="minorEastAsia"/>
          <w:kern w:val="22"/>
          <w:lang w:val="en-GB" w:eastAsia="zh-CN"/>
        </w:rPr>
        <w:t>年生物多样性战略计划》的相关指标工作方面所做贡献；</w:t>
      </w:r>
    </w:p>
    <w:p w:rsidR="00EA2A06" w:rsidRPr="00EA2A06" w:rsidRDefault="00EA2A06" w:rsidP="001A2AC9">
      <w:pPr>
        <w:widowControl w:val="0"/>
        <w:numPr>
          <w:ilvl w:val="1"/>
          <w:numId w:val="13"/>
        </w:numPr>
        <w:suppressLineNumbers/>
        <w:tabs>
          <w:tab w:val="left" w:pos="1440"/>
        </w:tabs>
        <w:suppressAutoHyphens/>
        <w:kinsoku w:val="0"/>
        <w:autoSpaceDE w:val="0"/>
        <w:autoSpaceDN w:val="0"/>
        <w:adjustRightInd w:val="0"/>
        <w:snapToGrid w:val="0"/>
        <w:ind w:left="0" w:firstLine="720"/>
        <w:rPr>
          <w:rFonts w:eastAsiaTheme="minorEastAsia"/>
          <w:kern w:val="22"/>
          <w:lang w:val="en-GB" w:eastAsia="zh-CN"/>
        </w:rPr>
      </w:pPr>
      <w:r w:rsidRPr="007533F8">
        <w:rPr>
          <w:rFonts w:ascii="KaiTi" w:eastAsia="KaiTi"/>
          <w:kern w:val="20"/>
          <w:lang w:val="en-GB" w:eastAsia="zh-CN"/>
        </w:rPr>
        <w:t>确认</w:t>
      </w:r>
      <w:r w:rsidRPr="00EA2A06">
        <w:rPr>
          <w:rFonts w:eastAsiaTheme="minorEastAsia"/>
          <w:kern w:val="22"/>
          <w:lang w:val="en-GB" w:eastAsia="zh-CN"/>
        </w:rPr>
        <w:t>各缔约方为将爱知生物多样性指标变成国家承诺和行动所做的努力，但</w:t>
      </w:r>
      <w:r w:rsidRPr="00EA2A06">
        <w:rPr>
          <w:rFonts w:eastAsiaTheme="minorEastAsia"/>
          <w:kern w:val="20"/>
          <w:lang w:val="en-GB" w:eastAsia="zh-CN"/>
        </w:rPr>
        <w:t>关切地注意到</w:t>
      </w:r>
      <w:r w:rsidRPr="00EA2A06">
        <w:rPr>
          <w:rFonts w:eastAsiaTheme="minorEastAsia"/>
          <w:kern w:val="22"/>
          <w:lang w:val="en-GB" w:eastAsia="zh-CN"/>
        </w:rPr>
        <w:t>关于进展情况的最新评估的结论，</w:t>
      </w:r>
      <w:r w:rsidRPr="00EA2A06">
        <w:rPr>
          <w:rFonts w:eastAsiaTheme="minorEastAsia"/>
          <w:kern w:val="22"/>
          <w:vertAlign w:val="superscript"/>
          <w:lang w:val="en-GB"/>
        </w:rPr>
        <w:footnoteReference w:id="6"/>
      </w:r>
      <w:r w:rsidRPr="00EA2A06">
        <w:rPr>
          <w:rFonts w:eastAsiaTheme="minorEastAsia"/>
          <w:kern w:val="22"/>
          <w:lang w:val="en-GB" w:eastAsia="zh-CN"/>
        </w:rPr>
        <w:t xml:space="preserve"> </w:t>
      </w:r>
      <w:r w:rsidRPr="00EA2A06">
        <w:rPr>
          <w:rFonts w:eastAsiaTheme="minorEastAsia"/>
          <w:kern w:val="22"/>
          <w:lang w:val="en-GB" w:eastAsia="zh-CN"/>
        </w:rPr>
        <w:t>特别是：</w:t>
      </w:r>
    </w:p>
    <w:p w:rsidR="00EA2A06" w:rsidRPr="00EA2A06" w:rsidRDefault="00EA2A06" w:rsidP="000A1A91">
      <w:pPr>
        <w:numPr>
          <w:ilvl w:val="0"/>
          <w:numId w:val="14"/>
        </w:numPr>
        <w:suppressLineNumbers/>
        <w:tabs>
          <w:tab w:val="left" w:pos="1440"/>
        </w:tabs>
        <w:suppressAutoHyphens/>
        <w:kinsoku w:val="0"/>
        <w:autoSpaceDE w:val="0"/>
        <w:autoSpaceDN w:val="0"/>
        <w:adjustRightInd w:val="0"/>
        <w:snapToGrid w:val="0"/>
        <w:ind w:left="0" w:firstLine="720"/>
        <w:rPr>
          <w:rFonts w:eastAsiaTheme="minorEastAsia"/>
          <w:kern w:val="22"/>
          <w:lang w:val="en-GB" w:eastAsia="zh-CN"/>
        </w:rPr>
      </w:pPr>
      <w:r w:rsidRPr="00EA2A06">
        <w:rPr>
          <w:rFonts w:eastAsiaTheme="minorEastAsia"/>
          <w:kern w:val="22"/>
          <w:lang w:val="en-GB" w:eastAsia="zh-CN"/>
        </w:rPr>
        <w:lastRenderedPageBreak/>
        <w:t>就大多数爱知生物多样性指标而言，取得的进展有限，对若干目标而言，总体上未取得进展；</w:t>
      </w:r>
    </w:p>
    <w:p w:rsidR="00EA2A06" w:rsidRPr="00EA2A06" w:rsidRDefault="00EA2A06" w:rsidP="000A1A91">
      <w:pPr>
        <w:numPr>
          <w:ilvl w:val="0"/>
          <w:numId w:val="14"/>
        </w:numPr>
        <w:suppressLineNumbers/>
        <w:tabs>
          <w:tab w:val="left" w:pos="1440"/>
        </w:tabs>
        <w:suppressAutoHyphens/>
        <w:kinsoku w:val="0"/>
        <w:autoSpaceDE w:val="0"/>
        <w:autoSpaceDN w:val="0"/>
        <w:adjustRightInd w:val="0"/>
        <w:snapToGrid w:val="0"/>
        <w:ind w:left="0" w:firstLine="720"/>
        <w:rPr>
          <w:rFonts w:eastAsiaTheme="minorEastAsia"/>
          <w:kern w:val="22"/>
          <w:lang w:val="en-GB" w:eastAsia="zh-CN"/>
        </w:rPr>
      </w:pPr>
      <w:r w:rsidRPr="00EA2A06">
        <w:rPr>
          <w:rFonts w:eastAsiaTheme="minorEastAsia"/>
          <w:kern w:val="22"/>
          <w:lang w:val="en-GB" w:eastAsia="zh-CN"/>
        </w:rPr>
        <w:t>只有有限数量的缔约方作为</w:t>
      </w:r>
      <w:r w:rsidRPr="00EA2A06">
        <w:rPr>
          <w:rFonts w:eastAsiaTheme="minorEastAsia"/>
          <w:kern w:val="22"/>
          <w:lang w:val="en-GB" w:eastAsia="zh-CN"/>
        </w:rPr>
        <w:t>“</w:t>
      </w:r>
      <w:r w:rsidRPr="00EA2A06">
        <w:rPr>
          <w:rFonts w:eastAsiaTheme="minorEastAsia"/>
          <w:kern w:val="22"/>
          <w:lang w:val="en-GB" w:eastAsia="zh-CN"/>
        </w:rPr>
        <w:t>整个政府</w:t>
      </w:r>
      <w:r w:rsidRPr="00EA2A06">
        <w:rPr>
          <w:rFonts w:eastAsiaTheme="minorEastAsia"/>
          <w:kern w:val="22"/>
          <w:lang w:val="en-GB" w:eastAsia="zh-CN"/>
        </w:rPr>
        <w:t>”</w:t>
      </w:r>
      <w:r w:rsidRPr="00EA2A06">
        <w:rPr>
          <w:rFonts w:eastAsiaTheme="minorEastAsia"/>
          <w:kern w:val="22"/>
          <w:lang w:val="en-GB" w:eastAsia="zh-CN"/>
        </w:rPr>
        <w:t>的政策文书通过了本国的生物多样性战略和行动计划；</w:t>
      </w:r>
    </w:p>
    <w:p w:rsidR="00EA2A06" w:rsidRPr="00EA2A06" w:rsidRDefault="00EA2A06" w:rsidP="000A1A91">
      <w:pPr>
        <w:numPr>
          <w:ilvl w:val="0"/>
          <w:numId w:val="14"/>
        </w:numPr>
        <w:suppressLineNumbers/>
        <w:tabs>
          <w:tab w:val="left" w:pos="1440"/>
        </w:tabs>
        <w:suppressAutoHyphens/>
        <w:kinsoku w:val="0"/>
        <w:autoSpaceDE w:val="0"/>
        <w:autoSpaceDN w:val="0"/>
        <w:adjustRightInd w:val="0"/>
        <w:snapToGrid w:val="0"/>
        <w:ind w:left="0" w:firstLine="720"/>
        <w:rPr>
          <w:rFonts w:eastAsiaTheme="minorEastAsia"/>
          <w:kern w:val="22"/>
          <w:lang w:val="en-GB" w:eastAsia="zh-CN"/>
        </w:rPr>
      </w:pPr>
      <w:r w:rsidRPr="00EA2A06">
        <w:rPr>
          <w:rFonts w:eastAsiaTheme="minorEastAsia"/>
          <w:kern w:val="22"/>
          <w:lang w:val="en-GB" w:eastAsia="zh-CN"/>
        </w:rPr>
        <w:t>只有有限数量的国家生物多样性战略和行动计划一如关于国家生物多样性战略和行动计划的指导意见建议的那样，载列了资源调动战略、宣传和公众意识战略或能力发展战略；</w:t>
      </w:r>
    </w:p>
    <w:p w:rsidR="00EA2A06" w:rsidRPr="00EA2A06" w:rsidRDefault="00EA2A06" w:rsidP="000A1A91">
      <w:pPr>
        <w:numPr>
          <w:ilvl w:val="0"/>
          <w:numId w:val="14"/>
        </w:numPr>
        <w:suppressLineNumbers/>
        <w:tabs>
          <w:tab w:val="left" w:pos="1440"/>
        </w:tabs>
        <w:suppressAutoHyphens/>
        <w:kinsoku w:val="0"/>
        <w:autoSpaceDE w:val="0"/>
        <w:autoSpaceDN w:val="0"/>
        <w:adjustRightInd w:val="0"/>
        <w:snapToGrid w:val="0"/>
        <w:ind w:left="0" w:firstLine="720"/>
        <w:rPr>
          <w:rFonts w:eastAsiaTheme="minorEastAsia"/>
          <w:kern w:val="22"/>
          <w:lang w:val="en-GB" w:eastAsia="zh-CN"/>
        </w:rPr>
      </w:pPr>
      <w:r w:rsidRPr="00EA2A06">
        <w:rPr>
          <w:rFonts w:eastAsiaTheme="minorEastAsia"/>
          <w:kern w:val="22"/>
          <w:lang w:val="en-GB" w:eastAsia="zh-CN"/>
        </w:rPr>
        <w:t>只有有限数量的国家生物多样性战略和行动计划表明生物多样性正在被充分纳入跨部门计划和政策、消除贫困政策和（或）可持续发展计划的主流；</w:t>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kern w:val="22"/>
          <w:lang w:val="en-GB" w:eastAsia="zh-CN"/>
        </w:rPr>
      </w:pPr>
      <w:r w:rsidRPr="007533F8">
        <w:rPr>
          <w:rFonts w:ascii="KaiTi" w:eastAsia="KaiTi"/>
          <w:kern w:val="20"/>
          <w:lang w:val="en-GB" w:eastAsia="zh-CN"/>
        </w:rPr>
        <w:t>注意到</w:t>
      </w:r>
      <w:r w:rsidRPr="00EA2A06">
        <w:rPr>
          <w:rFonts w:eastAsiaTheme="minorEastAsia"/>
          <w:kern w:val="22"/>
          <w:lang w:val="en-GB" w:eastAsia="zh-CN"/>
        </w:rPr>
        <w:t>一些缔约方已将国家生物多样性战略和行动计划纳入本国国家环境和发展战略，这将有助于更有效地进行资源调动和宣传；</w:t>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kern w:val="22"/>
          <w:lang w:val="en-GB" w:eastAsia="zh-CN"/>
        </w:rPr>
      </w:pPr>
      <w:r w:rsidRPr="007533F8">
        <w:rPr>
          <w:rFonts w:ascii="KaiTi" w:eastAsia="KaiTi"/>
          <w:kern w:val="20"/>
          <w:lang w:val="en-GB" w:eastAsia="zh-CN"/>
        </w:rPr>
        <w:t>邀请</w:t>
      </w:r>
      <w:r w:rsidRPr="00EA2A06">
        <w:rPr>
          <w:rFonts w:eastAsiaTheme="minorEastAsia"/>
          <w:kern w:val="22"/>
          <w:lang w:val="en-GB" w:eastAsia="zh-CN"/>
        </w:rPr>
        <w:t>已作为</w:t>
      </w:r>
      <w:r w:rsidRPr="007533F8">
        <w:rPr>
          <w:rFonts w:asciiTheme="minorEastAsia" w:eastAsiaTheme="minorEastAsia" w:hAnsiTheme="minorEastAsia"/>
          <w:kern w:val="22"/>
          <w:lang w:val="en-GB" w:eastAsia="zh-CN"/>
        </w:rPr>
        <w:t>“整个政府”</w:t>
      </w:r>
      <w:r w:rsidRPr="00EA2A06">
        <w:rPr>
          <w:rFonts w:eastAsiaTheme="minorEastAsia"/>
          <w:kern w:val="22"/>
          <w:lang w:val="en-GB" w:eastAsia="zh-CN"/>
        </w:rPr>
        <w:t>政策文书通过国家生物多样性战略和行动计划的缔约方通过《公约》信息交换所机制等渠道分享经验和最佳做法，包括遇到的挑战；</w:t>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kern w:val="22"/>
          <w:lang w:val="en-GB" w:eastAsia="zh-CN"/>
        </w:rPr>
      </w:pPr>
      <w:r w:rsidRPr="007533F8">
        <w:rPr>
          <w:rFonts w:ascii="KaiTi" w:eastAsia="KaiTi"/>
          <w:kern w:val="20"/>
          <w:lang w:val="en-GB" w:eastAsia="zh-CN"/>
        </w:rPr>
        <w:t>敦促</w:t>
      </w:r>
      <w:r w:rsidRPr="00EA2A06">
        <w:rPr>
          <w:rFonts w:eastAsiaTheme="minorEastAsia"/>
          <w:kern w:val="22"/>
          <w:lang w:val="en-GB" w:eastAsia="zh-CN"/>
        </w:rPr>
        <w:t>各缔约方大幅加速执行《</w:t>
      </w:r>
      <w:r w:rsidRPr="00EA2A06">
        <w:rPr>
          <w:rFonts w:eastAsiaTheme="minorEastAsia"/>
          <w:kern w:val="22"/>
          <w:lang w:val="en-GB" w:eastAsia="zh-CN"/>
        </w:rPr>
        <w:t>2011-2020</w:t>
      </w:r>
      <w:r w:rsidRPr="00EA2A06">
        <w:rPr>
          <w:rFonts w:eastAsiaTheme="minorEastAsia"/>
          <w:kern w:val="22"/>
          <w:lang w:val="en-GB" w:eastAsia="zh-CN"/>
        </w:rPr>
        <w:t>年生物多样性战略计划》的工作，特别是解决国家生物多样性战略和行动计划中的愿望和为实现这些愿望而采取的行动之间的任何差距；</w:t>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kern w:val="22"/>
          <w:lang w:val="en-GB" w:eastAsia="zh-CN"/>
        </w:rPr>
      </w:pPr>
      <w:r w:rsidRPr="007533F8">
        <w:rPr>
          <w:rFonts w:ascii="KaiTi" w:eastAsia="KaiTi"/>
          <w:kern w:val="20"/>
          <w:lang w:val="en-GB" w:eastAsia="zh-CN"/>
        </w:rPr>
        <w:t>邀请</w:t>
      </w:r>
      <w:r w:rsidRPr="00EA2A06">
        <w:rPr>
          <w:rFonts w:eastAsiaTheme="minorEastAsia"/>
          <w:kern w:val="22"/>
          <w:lang w:val="en-GB" w:eastAsia="zh-CN"/>
        </w:rPr>
        <w:t>各缔约方加强与土著人民和地方社区、民间社会组织和妇女团体、青年以及其他相关利益攸关方（包括私营部门）的合作，以便有效地执行《</w:t>
      </w:r>
      <w:r w:rsidRPr="00EA2A06">
        <w:rPr>
          <w:rFonts w:eastAsiaTheme="minorEastAsia"/>
          <w:kern w:val="22"/>
          <w:lang w:val="en-GB" w:eastAsia="zh-CN"/>
        </w:rPr>
        <w:t>2011-2020</w:t>
      </w:r>
      <w:r w:rsidRPr="00EA2A06">
        <w:rPr>
          <w:rFonts w:eastAsiaTheme="minorEastAsia"/>
          <w:kern w:val="22"/>
          <w:lang w:val="en-GB" w:eastAsia="zh-CN"/>
        </w:rPr>
        <w:t>年生物多样性战略计划》；</w:t>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kern w:val="22"/>
          <w:lang w:val="en-GB" w:eastAsia="zh-CN"/>
        </w:rPr>
      </w:pPr>
      <w:r w:rsidRPr="007533F8">
        <w:rPr>
          <w:rFonts w:ascii="KaiTi" w:eastAsia="KaiTi"/>
          <w:kern w:val="20"/>
          <w:lang w:val="en-GB" w:eastAsia="zh-CN"/>
        </w:rPr>
        <w:t>邀请</w:t>
      </w:r>
      <w:r w:rsidRPr="00EA2A06">
        <w:rPr>
          <w:rFonts w:eastAsiaTheme="minorEastAsia"/>
          <w:kern w:val="22"/>
          <w:lang w:val="en-GB" w:eastAsia="zh-CN"/>
        </w:rPr>
        <w:t>各缔约方和其他各方加入和增进为支持执行《战略计划》和实现爱知生物多样性指标建立的伙伴关系、同盟和联盟；</w:t>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kern w:val="22"/>
          <w:lang w:val="en-GB" w:eastAsia="zh-CN"/>
        </w:rPr>
      </w:pPr>
      <w:r w:rsidRPr="007533F8">
        <w:rPr>
          <w:rFonts w:ascii="KaiTi" w:eastAsia="KaiTi"/>
          <w:kern w:val="20"/>
          <w:lang w:val="en-GB" w:eastAsia="zh-CN"/>
        </w:rPr>
        <w:t>鼓励</w:t>
      </w:r>
      <w:r w:rsidRPr="00EA2A06">
        <w:rPr>
          <w:rFonts w:eastAsiaTheme="minorEastAsia"/>
          <w:kern w:val="22"/>
          <w:lang w:val="en-GB" w:eastAsia="zh-CN"/>
        </w:rPr>
        <w:t>各缔约方并邀请其他国家政府酌情利用以下方面为国家一级的行动建言献策：</w:t>
      </w:r>
    </w:p>
    <w:p w:rsidR="00EA2A06" w:rsidRPr="00EA2A06" w:rsidRDefault="00EA2A06" w:rsidP="000A1A91">
      <w:pPr>
        <w:widowControl w:val="0"/>
        <w:numPr>
          <w:ilvl w:val="0"/>
          <w:numId w:val="15"/>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生物多样性和生态系统服务政府间科学政策平台关于非洲、美洲、亚洲及太平洋、欧洲和中亚生物多样性和生态系统功能和服务的区域评估以及土地退化和恢复的专题评估；</w:t>
      </w:r>
    </w:p>
    <w:p w:rsidR="00EA2A06" w:rsidRPr="00EA2A06" w:rsidRDefault="00EA2A06" w:rsidP="000A1A91">
      <w:pPr>
        <w:numPr>
          <w:ilvl w:val="0"/>
          <w:numId w:val="15"/>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最新科学信息审查报告，包括其结论、信息空白和可能加快实现爱知生物多样性指标进展的各种备选办法；</w:t>
      </w:r>
      <w:r w:rsidRPr="00EA2A06">
        <w:rPr>
          <w:rFonts w:eastAsiaTheme="minorEastAsia"/>
          <w:snapToGrid w:val="0"/>
          <w:kern w:val="22"/>
          <w:vertAlign w:val="superscript"/>
          <w:lang w:val="en-GB" w:eastAsia="zh-CN"/>
        </w:rPr>
        <w:footnoteReference w:id="7"/>
      </w:r>
    </w:p>
    <w:p w:rsidR="00EA2A06" w:rsidRPr="00EA2A06" w:rsidRDefault="00EA2A06" w:rsidP="003C3F9A">
      <w:pPr>
        <w:widowControl w:val="0"/>
        <w:numPr>
          <w:ilvl w:val="0"/>
          <w:numId w:val="15"/>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已确定的与《</w:t>
      </w:r>
      <w:r w:rsidRPr="00EA2A06">
        <w:rPr>
          <w:rFonts w:eastAsiaTheme="minorEastAsia"/>
          <w:snapToGrid w:val="0"/>
          <w:kern w:val="22"/>
          <w:lang w:val="en-GB" w:eastAsia="zh-CN"/>
        </w:rPr>
        <w:t>2011 - 2020</w:t>
      </w:r>
      <w:r w:rsidRPr="00EA2A06">
        <w:rPr>
          <w:rFonts w:eastAsiaTheme="minorEastAsia"/>
          <w:snapToGrid w:val="0"/>
          <w:kern w:val="22"/>
          <w:lang w:val="en-GB" w:eastAsia="zh-CN"/>
        </w:rPr>
        <w:t>年生物多样性战略计划》相关的其他指标和具有最</w:t>
      </w:r>
      <w:r w:rsidRPr="00EA2A06">
        <w:rPr>
          <w:rFonts w:eastAsiaTheme="minorEastAsia"/>
          <w:snapToGrid w:val="0"/>
          <w:kern w:val="22"/>
          <w:lang w:val="en-GB" w:eastAsia="zh-CN"/>
        </w:rPr>
        <w:lastRenderedPageBreak/>
        <w:t>新数据点的指标；</w:t>
      </w:r>
      <w:r w:rsidRPr="00EA2A06">
        <w:rPr>
          <w:rFonts w:eastAsiaTheme="minorEastAsia"/>
          <w:snapToGrid w:val="0"/>
          <w:kern w:val="22"/>
          <w:vertAlign w:val="superscript"/>
          <w:lang w:val="en-GB" w:eastAsia="zh-CN"/>
        </w:rPr>
        <w:footnoteReference w:id="8"/>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snapToGrid w:val="0"/>
          <w:color w:val="000000"/>
          <w:kern w:val="22"/>
          <w:lang w:eastAsia="zh-CN" w:bidi="th-TH"/>
        </w:rPr>
      </w:pPr>
      <w:r w:rsidRPr="007533F8">
        <w:rPr>
          <w:rFonts w:ascii="KaiTi" w:eastAsia="KaiTi"/>
          <w:kern w:val="20"/>
          <w:lang w:val="en-GB" w:eastAsia="zh-CN"/>
        </w:rPr>
        <w:t>敦促</w:t>
      </w:r>
      <w:r w:rsidRPr="00EA2A06">
        <w:rPr>
          <w:rFonts w:eastAsiaTheme="minorEastAsia"/>
          <w:snapToGrid w:val="0"/>
          <w:color w:val="000000"/>
          <w:kern w:val="22"/>
          <w:lang w:eastAsia="zh-CN" w:bidi="th-TH"/>
        </w:rPr>
        <w:t>各缔约方并酌情</w:t>
      </w:r>
      <w:r w:rsidRPr="007533F8">
        <w:rPr>
          <w:rFonts w:ascii="KaiTi" w:eastAsia="KaiTi"/>
          <w:kern w:val="20"/>
          <w:lang w:val="en-GB" w:eastAsia="zh-CN"/>
        </w:rPr>
        <w:t>邀请</w:t>
      </w:r>
      <w:r w:rsidRPr="00EA2A06">
        <w:rPr>
          <w:rFonts w:eastAsiaTheme="minorEastAsia"/>
          <w:snapToGrid w:val="0"/>
          <w:color w:val="000000"/>
          <w:kern w:val="22"/>
          <w:lang w:eastAsia="zh-CN" w:bidi="th-TH"/>
        </w:rPr>
        <w:t>其他国家政府考虑对生物多样性和生态系统功能和服务进行国家评估；</w:t>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snapToGrid w:val="0"/>
          <w:color w:val="000000"/>
          <w:kern w:val="22"/>
          <w:lang w:eastAsia="zh-CN" w:bidi="th-TH"/>
        </w:rPr>
      </w:pPr>
      <w:r w:rsidRPr="007533F8">
        <w:rPr>
          <w:rFonts w:ascii="KaiTi" w:eastAsia="KaiTi"/>
          <w:kern w:val="20"/>
          <w:lang w:val="en-GB" w:eastAsia="zh-CN"/>
        </w:rPr>
        <w:t>邀请</w:t>
      </w:r>
      <w:r w:rsidRPr="00EA2A06">
        <w:rPr>
          <w:rFonts w:eastAsiaTheme="minorEastAsia"/>
          <w:snapToGrid w:val="0"/>
          <w:color w:val="000000"/>
          <w:kern w:val="22"/>
          <w:lang w:eastAsia="zh-CN" w:bidi="th-TH"/>
        </w:rPr>
        <w:t>相关组织和发展伙伴支持各缔约方进行生物多样性和生态系统功能和服务国家评估，包括提供适当的技术和财务资源，同时注意到生物多样性和生态系统服务网络在</w:t>
      </w:r>
      <w:r w:rsidR="00780033">
        <w:rPr>
          <w:rFonts w:eastAsiaTheme="minorEastAsia"/>
          <w:snapToGrid w:val="0"/>
          <w:color w:val="000000"/>
          <w:kern w:val="22"/>
          <w:lang w:eastAsia="zh-CN" w:bidi="th-TH"/>
        </w:rPr>
        <w:t>联合国环境署</w:t>
      </w:r>
      <w:r w:rsidRPr="00EA2A06">
        <w:rPr>
          <w:rFonts w:eastAsiaTheme="minorEastAsia"/>
          <w:snapToGrid w:val="0"/>
          <w:color w:val="000000"/>
          <w:kern w:val="22"/>
          <w:lang w:eastAsia="zh-CN" w:bidi="th-TH"/>
        </w:rPr>
        <w:t>世界养护监测中心的技术支持下正在这方面进行的工作；</w:t>
      </w:r>
      <w:r w:rsidRPr="00EA2A06">
        <w:rPr>
          <w:rFonts w:eastAsiaTheme="minorEastAsia"/>
          <w:snapToGrid w:val="0"/>
          <w:color w:val="000000"/>
          <w:kern w:val="22"/>
          <w:vertAlign w:val="superscript"/>
          <w:lang w:eastAsia="zh-CN"/>
        </w:rPr>
        <w:footnoteReference w:id="9"/>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snapToGrid w:val="0"/>
          <w:color w:val="000000"/>
          <w:kern w:val="22"/>
          <w:lang w:eastAsia="zh-CN" w:bidi="th-TH"/>
        </w:rPr>
      </w:pPr>
      <w:r w:rsidRPr="007533F8">
        <w:rPr>
          <w:rFonts w:ascii="KaiTi" w:eastAsia="KaiTi"/>
          <w:kern w:val="20"/>
          <w:lang w:val="en-GB" w:eastAsia="zh-CN"/>
        </w:rPr>
        <w:t>注意到</w:t>
      </w:r>
      <w:r w:rsidRPr="00EA2A06">
        <w:rPr>
          <w:rFonts w:eastAsiaTheme="minorEastAsia"/>
          <w:snapToGrid w:val="0"/>
          <w:color w:val="000000"/>
          <w:kern w:val="22"/>
          <w:lang w:eastAsia="zh-CN" w:bidi="th-TH"/>
        </w:rPr>
        <w:t>需要加强政治、技术和财政支持、技术转让和能力建设，</w:t>
      </w:r>
      <w:r w:rsidRPr="00EA2A06">
        <w:rPr>
          <w:rFonts w:eastAsiaTheme="minorEastAsia"/>
          <w:kern w:val="20"/>
          <w:lang w:val="en-GB" w:eastAsia="zh-CN"/>
        </w:rPr>
        <w:t>敦促</w:t>
      </w:r>
      <w:r w:rsidRPr="00EA2A06">
        <w:rPr>
          <w:rFonts w:eastAsiaTheme="minorEastAsia"/>
          <w:snapToGrid w:val="0"/>
          <w:color w:val="000000"/>
          <w:kern w:val="22"/>
          <w:lang w:eastAsia="zh-CN" w:bidi="th-TH"/>
        </w:rPr>
        <w:t>各缔约方并</w:t>
      </w:r>
      <w:r w:rsidRPr="00EA2A06">
        <w:rPr>
          <w:rFonts w:eastAsiaTheme="minorEastAsia"/>
          <w:kern w:val="20"/>
          <w:lang w:val="en-GB" w:eastAsia="zh-CN"/>
        </w:rPr>
        <w:t>邀请</w:t>
      </w:r>
      <w:r w:rsidRPr="00EA2A06">
        <w:rPr>
          <w:rFonts w:eastAsiaTheme="minorEastAsia"/>
          <w:snapToGrid w:val="0"/>
          <w:color w:val="000000"/>
          <w:kern w:val="22"/>
          <w:lang w:eastAsia="zh-CN" w:bidi="th-TH"/>
        </w:rPr>
        <w:t>其他国家政府根据本国国情，并</w:t>
      </w:r>
      <w:r w:rsidRPr="00EA2A06">
        <w:rPr>
          <w:rFonts w:eastAsiaTheme="minorEastAsia"/>
          <w:kern w:val="20"/>
          <w:lang w:val="en-GB" w:eastAsia="zh-CN"/>
        </w:rPr>
        <w:t>邀请</w:t>
      </w:r>
      <w:r w:rsidRPr="00EA2A06">
        <w:rPr>
          <w:rFonts w:eastAsiaTheme="minorEastAsia"/>
          <w:snapToGrid w:val="0"/>
          <w:color w:val="000000"/>
          <w:kern w:val="22"/>
          <w:lang w:eastAsia="zh-CN" w:bidi="th-TH"/>
        </w:rPr>
        <w:t>土著人民和地方社区、相关组织，包括私有部门的相关组织及其他相关利益攸关方在</w:t>
      </w:r>
      <w:r w:rsidRPr="00EA2A06">
        <w:rPr>
          <w:rFonts w:eastAsiaTheme="minorEastAsia"/>
          <w:snapToGrid w:val="0"/>
          <w:color w:val="000000"/>
          <w:kern w:val="22"/>
          <w:lang w:eastAsia="zh-CN"/>
        </w:rPr>
        <w:t>2020</w:t>
      </w:r>
      <w:r w:rsidRPr="00EA2A06">
        <w:rPr>
          <w:rFonts w:eastAsiaTheme="minorEastAsia"/>
          <w:snapToGrid w:val="0"/>
          <w:color w:val="000000"/>
          <w:kern w:val="22"/>
          <w:lang w:eastAsia="zh-CN" w:bidi="th-TH"/>
        </w:rPr>
        <w:t>年之前就需要加快进展的爱知生物多样性指标或目标的组成部分采取紧急行动，行动可酌情包括以下方面：</w:t>
      </w:r>
    </w:p>
    <w:p w:rsidR="00EA2A06" w:rsidRPr="00EA2A06" w:rsidRDefault="00EA2A06" w:rsidP="000A1A91">
      <w:pPr>
        <w:numPr>
          <w:ilvl w:val="0"/>
          <w:numId w:val="16"/>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关于目标</w:t>
      </w:r>
      <w:r w:rsidRPr="00EA2A06">
        <w:rPr>
          <w:rFonts w:eastAsiaTheme="minorEastAsia"/>
          <w:snapToGrid w:val="0"/>
          <w:kern w:val="22"/>
          <w:lang w:val="en-GB" w:eastAsia="zh-CN"/>
        </w:rPr>
        <w:t>1</w:t>
      </w:r>
      <w:r w:rsidRPr="00EA2A06">
        <w:rPr>
          <w:rFonts w:eastAsiaTheme="minorEastAsia"/>
          <w:snapToGrid w:val="0"/>
          <w:kern w:val="22"/>
          <w:lang w:val="en-GB" w:eastAsia="zh-CN"/>
        </w:rPr>
        <w:t>：制定与生物多样性有关的教育和提高认识传播战略和工具，作为推动改变行为促进养护和可持续使用生物多样性包括可持续生产和消费的手段，同时注意到尽管与生物多样性有关的信息越来越多，但尚未传达到普通民众；</w:t>
      </w:r>
    </w:p>
    <w:p w:rsidR="00EA2A06" w:rsidRPr="00EA2A06" w:rsidRDefault="00EA2A06" w:rsidP="000A1A91">
      <w:pPr>
        <w:numPr>
          <w:ilvl w:val="0"/>
          <w:numId w:val="16"/>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关于目标</w:t>
      </w:r>
      <w:r w:rsidRPr="00EA2A06">
        <w:rPr>
          <w:rFonts w:eastAsiaTheme="minorEastAsia"/>
          <w:snapToGrid w:val="0"/>
          <w:kern w:val="22"/>
          <w:lang w:val="en-GB" w:eastAsia="zh-CN"/>
        </w:rPr>
        <w:t>3</w:t>
      </w:r>
      <w:r w:rsidRPr="00EA2A06">
        <w:rPr>
          <w:rFonts w:eastAsiaTheme="minorEastAsia"/>
          <w:snapToGrid w:val="0"/>
          <w:kern w:val="22"/>
          <w:lang w:val="en-GB" w:eastAsia="zh-CN"/>
        </w:rPr>
        <w:t>：消除、逐步淘汰或改革导致生物多样性退化的不当激励措施，制定和实施积极的激励措施，奖励采用符合《公约》和其他国际义务的可持续做法；</w:t>
      </w:r>
      <w:r w:rsidRPr="00EA2A06">
        <w:rPr>
          <w:rFonts w:eastAsiaTheme="minorEastAsia"/>
          <w:snapToGrid w:val="0"/>
          <w:kern w:val="22"/>
          <w:lang w:val="en-GB" w:eastAsia="zh-CN"/>
        </w:rPr>
        <w:t xml:space="preserve"> </w:t>
      </w:r>
    </w:p>
    <w:p w:rsidR="00EA2A06" w:rsidRPr="00EA2A06" w:rsidRDefault="00EA2A06" w:rsidP="000A1A91">
      <w:pPr>
        <w:numPr>
          <w:ilvl w:val="0"/>
          <w:numId w:val="16"/>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关于目标</w:t>
      </w:r>
      <w:r w:rsidRPr="00EA2A06">
        <w:rPr>
          <w:rFonts w:eastAsiaTheme="minorEastAsia"/>
          <w:snapToGrid w:val="0"/>
          <w:kern w:val="22"/>
          <w:lang w:val="en-GB" w:eastAsia="zh-CN"/>
        </w:rPr>
        <w:t>5</w:t>
      </w:r>
      <w:r w:rsidRPr="00EA2A06">
        <w:rPr>
          <w:rFonts w:eastAsiaTheme="minorEastAsia"/>
          <w:snapToGrid w:val="0"/>
          <w:kern w:val="22"/>
          <w:lang w:val="en-GB" w:eastAsia="zh-CN"/>
        </w:rPr>
        <w:t>：注意到虽然森林的年净损失率已经减半，但仍需进一步努力解决区域森林退化和毁林问题，并需为降低其他生态系统的丧失和退化作进一步的努力；</w:t>
      </w:r>
    </w:p>
    <w:p w:rsidR="00EA2A06" w:rsidRPr="00EA2A06" w:rsidRDefault="00EA2A06" w:rsidP="000A1A91">
      <w:pPr>
        <w:numPr>
          <w:ilvl w:val="0"/>
          <w:numId w:val="16"/>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关于目标</w:t>
      </w:r>
      <w:r w:rsidRPr="00EA2A06">
        <w:rPr>
          <w:rFonts w:eastAsiaTheme="minorEastAsia"/>
          <w:snapToGrid w:val="0"/>
          <w:kern w:val="22"/>
          <w:lang w:val="en-GB" w:eastAsia="zh-CN"/>
        </w:rPr>
        <w:t>6</w:t>
      </w:r>
      <w:r w:rsidRPr="00EA2A06">
        <w:rPr>
          <w:rFonts w:eastAsiaTheme="minorEastAsia"/>
          <w:snapToGrid w:val="0"/>
          <w:kern w:val="22"/>
          <w:lang w:val="en-GB" w:eastAsia="zh-CN"/>
        </w:rPr>
        <w:t>：加强努力扭转世界渔业可持续性减弱的趋势；</w:t>
      </w:r>
    </w:p>
    <w:p w:rsidR="00EA2A06" w:rsidRPr="00EA2A06" w:rsidRDefault="00EA2A06" w:rsidP="000A1A91">
      <w:pPr>
        <w:numPr>
          <w:ilvl w:val="0"/>
          <w:numId w:val="16"/>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关于目标</w:t>
      </w:r>
      <w:r w:rsidRPr="00EA2A06">
        <w:rPr>
          <w:rFonts w:eastAsiaTheme="minorEastAsia"/>
          <w:snapToGrid w:val="0"/>
          <w:kern w:val="22"/>
          <w:lang w:val="en-GB" w:eastAsia="zh-CN"/>
        </w:rPr>
        <w:t>7</w:t>
      </w:r>
      <w:r w:rsidRPr="00EA2A06">
        <w:rPr>
          <w:rFonts w:eastAsiaTheme="minorEastAsia"/>
          <w:snapToGrid w:val="0"/>
          <w:kern w:val="22"/>
          <w:lang w:val="en-GB" w:eastAsia="zh-CN"/>
        </w:rPr>
        <w:t>：促进土壤生物多样性的保护和可持续利用，例如为联合国粮食及农业组织所协调的保护和可持续利用土壤生物多样性国际倡议作出贡献，</w:t>
      </w:r>
      <w:r w:rsidRPr="00EA2A06">
        <w:rPr>
          <w:rFonts w:eastAsiaTheme="minorEastAsia"/>
          <w:snapToGrid w:val="0"/>
          <w:kern w:val="22"/>
          <w:vertAlign w:val="superscript"/>
          <w:lang w:val="en-GB" w:eastAsia="zh-CN"/>
        </w:rPr>
        <w:footnoteReference w:id="10"/>
      </w:r>
      <w:r w:rsidRPr="00EA2A06">
        <w:rPr>
          <w:rFonts w:eastAsiaTheme="minorEastAsia"/>
          <w:snapToGrid w:val="0"/>
          <w:kern w:val="22"/>
          <w:lang w:val="en-GB" w:eastAsia="zh-CN"/>
        </w:rPr>
        <w:t>并加强执行和监测可持续森林管理和木材贸易的可持续性，特别是在发展中国家和热带地区；</w:t>
      </w:r>
      <w:r w:rsidRPr="00EA2A06">
        <w:rPr>
          <w:rFonts w:eastAsiaTheme="minorEastAsia"/>
          <w:snapToGrid w:val="0"/>
          <w:kern w:val="22"/>
          <w:vertAlign w:val="superscript"/>
          <w:lang w:val="en-GB" w:eastAsia="zh-CN"/>
        </w:rPr>
        <w:t xml:space="preserve"> </w:t>
      </w:r>
    </w:p>
    <w:p w:rsidR="00EA2A06" w:rsidRPr="00EA2A06" w:rsidRDefault="00EA2A06" w:rsidP="000A1A91">
      <w:pPr>
        <w:numPr>
          <w:ilvl w:val="0"/>
          <w:numId w:val="16"/>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关于目标</w:t>
      </w:r>
      <w:r w:rsidRPr="00EA2A06">
        <w:rPr>
          <w:rFonts w:eastAsiaTheme="minorEastAsia"/>
          <w:snapToGrid w:val="0"/>
          <w:kern w:val="22"/>
          <w:lang w:val="en-GB" w:eastAsia="zh-CN"/>
        </w:rPr>
        <w:t>8</w:t>
      </w:r>
      <w:r w:rsidRPr="00EA2A06">
        <w:rPr>
          <w:rFonts w:eastAsiaTheme="minorEastAsia"/>
          <w:snapToGrid w:val="0"/>
          <w:kern w:val="22"/>
          <w:lang w:val="en-GB" w:eastAsia="zh-CN"/>
        </w:rPr>
        <w:t>：采取更多行动减少污染，包括富营养化造成的污染；</w:t>
      </w:r>
    </w:p>
    <w:p w:rsidR="00EA2A06" w:rsidRPr="00EA2A06" w:rsidRDefault="00EA2A06" w:rsidP="000A1A91">
      <w:pPr>
        <w:numPr>
          <w:ilvl w:val="0"/>
          <w:numId w:val="16"/>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关于目标</w:t>
      </w:r>
      <w:r w:rsidRPr="00EA2A06">
        <w:rPr>
          <w:rFonts w:eastAsiaTheme="minorEastAsia"/>
          <w:snapToGrid w:val="0"/>
          <w:kern w:val="22"/>
          <w:lang w:val="en-GB" w:eastAsia="zh-CN"/>
        </w:rPr>
        <w:t>9</w:t>
      </w:r>
      <w:r w:rsidRPr="00EA2A06">
        <w:rPr>
          <w:rFonts w:eastAsiaTheme="minorEastAsia"/>
          <w:snapToGrid w:val="0"/>
          <w:kern w:val="22"/>
          <w:lang w:val="en-GB" w:eastAsia="zh-CN"/>
        </w:rPr>
        <w:t>：进一步强调防止外来入侵物种的传播，并消除已存在的外来入侵物种；</w:t>
      </w:r>
    </w:p>
    <w:p w:rsidR="00EA2A06" w:rsidRPr="00EA2A06" w:rsidRDefault="00EA2A06" w:rsidP="000A1A91">
      <w:pPr>
        <w:numPr>
          <w:ilvl w:val="0"/>
          <w:numId w:val="16"/>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关于目标</w:t>
      </w:r>
      <w:r w:rsidRPr="00EA2A06">
        <w:rPr>
          <w:rFonts w:eastAsiaTheme="minorEastAsia"/>
          <w:snapToGrid w:val="0"/>
          <w:kern w:val="22"/>
          <w:lang w:val="en-GB" w:eastAsia="zh-CN"/>
        </w:rPr>
        <w:t>10</w:t>
      </w:r>
      <w:r w:rsidRPr="00EA2A06">
        <w:rPr>
          <w:rFonts w:eastAsiaTheme="minorEastAsia"/>
          <w:snapToGrid w:val="0"/>
          <w:kern w:val="22"/>
          <w:lang w:val="en-GB" w:eastAsia="zh-CN"/>
        </w:rPr>
        <w:t>：加强努力防止全世界活珊瑚覆盖层的持续减少；</w:t>
      </w:r>
    </w:p>
    <w:p w:rsidR="00EA2A06" w:rsidRPr="00EA2A06" w:rsidRDefault="00EA2A06" w:rsidP="000A1A91">
      <w:pPr>
        <w:numPr>
          <w:ilvl w:val="0"/>
          <w:numId w:val="16"/>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lastRenderedPageBreak/>
        <w:t>关于目标</w:t>
      </w:r>
      <w:r w:rsidRPr="00EA2A06">
        <w:rPr>
          <w:rFonts w:eastAsiaTheme="minorEastAsia"/>
          <w:snapToGrid w:val="0"/>
          <w:kern w:val="22"/>
          <w:lang w:val="en-GB" w:eastAsia="zh-CN"/>
        </w:rPr>
        <w:t>11</w:t>
      </w:r>
      <w:r w:rsidRPr="00EA2A06">
        <w:rPr>
          <w:rFonts w:eastAsiaTheme="minorEastAsia"/>
          <w:snapToGrid w:val="0"/>
          <w:kern w:val="22"/>
          <w:lang w:val="en-GB" w:eastAsia="zh-CN"/>
        </w:rPr>
        <w:t>和</w:t>
      </w:r>
      <w:r w:rsidRPr="00EA2A06">
        <w:rPr>
          <w:rFonts w:eastAsiaTheme="minorEastAsia"/>
          <w:snapToGrid w:val="0"/>
          <w:kern w:val="22"/>
          <w:lang w:val="en-GB" w:eastAsia="zh-CN"/>
        </w:rPr>
        <w:t>12</w:t>
      </w:r>
      <w:r w:rsidRPr="00EA2A06">
        <w:rPr>
          <w:rFonts w:eastAsiaTheme="minorEastAsia"/>
          <w:snapToGrid w:val="0"/>
          <w:kern w:val="22"/>
          <w:lang w:val="en-GB" w:eastAsia="zh-CN"/>
        </w:rPr>
        <w:t>：注意到世界上并非所有生态区都在保护区的充分覆盖之下，多数保护区没有很好地相互连接，大多数缔约方尚未对其大部分保护区的管理效率进行评估，全球防止物种损失的工作应该以世界上物种多样性最丰富和（或）它们受到的威胁最大的具体地区为重点，通过保护区、其他有效地区保护措施和特定物种保护措施，侧重保护、管理和养护最重要的生物多样性地域，例如通过零灭绝联盟等认可的举措；</w:t>
      </w:r>
      <w:r w:rsidRPr="00EA2A06">
        <w:rPr>
          <w:rFonts w:eastAsiaTheme="minorEastAsia"/>
          <w:snapToGrid w:val="0"/>
          <w:kern w:val="22"/>
          <w:vertAlign w:val="superscript"/>
          <w:lang w:val="en-GB" w:eastAsia="zh-CN"/>
        </w:rPr>
        <w:footnoteReference w:id="11"/>
      </w:r>
    </w:p>
    <w:p w:rsidR="00EA2A06" w:rsidRPr="00EA2A06" w:rsidRDefault="00EA2A06" w:rsidP="000A1A91">
      <w:pPr>
        <w:numPr>
          <w:ilvl w:val="0"/>
          <w:numId w:val="16"/>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关于目标</w:t>
      </w:r>
      <w:r w:rsidRPr="00EA2A06">
        <w:rPr>
          <w:rFonts w:eastAsiaTheme="minorEastAsia"/>
          <w:snapToGrid w:val="0"/>
          <w:kern w:val="22"/>
          <w:lang w:val="en-GB" w:eastAsia="zh-CN"/>
        </w:rPr>
        <w:t>13</w:t>
      </w:r>
      <w:r w:rsidRPr="00EA2A06">
        <w:rPr>
          <w:rFonts w:eastAsiaTheme="minorEastAsia"/>
          <w:snapToGrid w:val="0"/>
          <w:kern w:val="22"/>
          <w:lang w:val="en-GB" w:eastAsia="zh-CN"/>
        </w:rPr>
        <w:t>：注意到移地保护设施中保存的粮农植物遗传资源的数目有所增加，应加强行动避免养殖和驯养动物品种中的遗传变异进一步减少，并应促进起源中心和遗传多样性中心的就地保护；</w:t>
      </w:r>
    </w:p>
    <w:p w:rsidR="00EA2A06" w:rsidRPr="00EA2A06" w:rsidRDefault="00EA2A06" w:rsidP="000A1A91">
      <w:pPr>
        <w:numPr>
          <w:ilvl w:val="0"/>
          <w:numId w:val="16"/>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关于目标</w:t>
      </w:r>
      <w:r w:rsidRPr="00EA2A06">
        <w:rPr>
          <w:rFonts w:eastAsiaTheme="minorEastAsia"/>
          <w:snapToGrid w:val="0"/>
          <w:kern w:val="22"/>
          <w:lang w:val="en-GB" w:eastAsia="zh-CN"/>
        </w:rPr>
        <w:t>14</w:t>
      </w:r>
      <w:r w:rsidRPr="00EA2A06">
        <w:rPr>
          <w:rFonts w:eastAsiaTheme="minorEastAsia"/>
          <w:snapToGrid w:val="0"/>
          <w:kern w:val="22"/>
          <w:lang w:val="en-GB" w:eastAsia="zh-CN"/>
        </w:rPr>
        <w:t>和</w:t>
      </w:r>
      <w:r w:rsidRPr="00EA2A06">
        <w:rPr>
          <w:rFonts w:eastAsiaTheme="minorEastAsia"/>
          <w:snapToGrid w:val="0"/>
          <w:kern w:val="22"/>
          <w:lang w:val="en-GB" w:eastAsia="zh-CN"/>
        </w:rPr>
        <w:t>15</w:t>
      </w:r>
      <w:r w:rsidRPr="00EA2A06">
        <w:rPr>
          <w:rFonts w:eastAsiaTheme="minorEastAsia"/>
          <w:snapToGrid w:val="0"/>
          <w:kern w:val="22"/>
          <w:lang w:val="en-GB" w:eastAsia="zh-CN"/>
        </w:rPr>
        <w:t>：借鉴生物多样性和生态系统服务政府间科学政策平台关于土地退化和恢复专题评估的结论，加强生态系统恢复短期行动计划</w:t>
      </w:r>
      <w:r w:rsidRPr="00EA2A06">
        <w:rPr>
          <w:rFonts w:eastAsiaTheme="minorEastAsia"/>
          <w:snapToGrid w:val="0"/>
          <w:kern w:val="22"/>
          <w:vertAlign w:val="superscript"/>
          <w:lang w:val="en-GB" w:eastAsia="zh-CN"/>
        </w:rPr>
        <w:footnoteReference w:id="12"/>
      </w:r>
      <w:r w:rsidRPr="00EA2A06">
        <w:rPr>
          <w:rFonts w:eastAsiaTheme="minorEastAsia"/>
          <w:snapToGrid w:val="0"/>
          <w:kern w:val="22"/>
          <w:lang w:val="en-GB" w:eastAsia="zh-CN"/>
        </w:rPr>
        <w:t xml:space="preserve"> </w:t>
      </w:r>
      <w:r w:rsidRPr="00EA2A06">
        <w:rPr>
          <w:rFonts w:eastAsiaTheme="minorEastAsia"/>
          <w:snapToGrid w:val="0"/>
          <w:kern w:val="22"/>
          <w:lang w:val="en-GB" w:eastAsia="zh-CN"/>
        </w:rPr>
        <w:t>的实施，并注意到《恢复生态系统增强复原力泛非行动纲领》，</w:t>
      </w:r>
      <w:r w:rsidRPr="00EA2A06">
        <w:rPr>
          <w:rFonts w:eastAsiaTheme="minorEastAsia"/>
          <w:snapToGrid w:val="0"/>
          <w:kern w:val="22"/>
          <w:sz w:val="22"/>
          <w:vertAlign w:val="superscript"/>
          <w:lang w:val="en-GB" w:eastAsia="zh-CN"/>
        </w:rPr>
        <w:footnoteReference w:id="13"/>
      </w:r>
      <w:r w:rsidRPr="00EA2A06">
        <w:rPr>
          <w:rFonts w:eastAsiaTheme="minorEastAsia"/>
          <w:snapToGrid w:val="0"/>
          <w:kern w:val="22"/>
          <w:lang w:val="en-GB" w:eastAsia="zh-CN"/>
        </w:rPr>
        <w:t xml:space="preserve"> 2018</w:t>
      </w:r>
      <w:r w:rsidRPr="00EA2A06">
        <w:rPr>
          <w:rFonts w:eastAsiaTheme="minorEastAsia"/>
          <w:snapToGrid w:val="0"/>
          <w:kern w:val="22"/>
          <w:lang w:val="en-GB" w:eastAsia="zh-CN"/>
        </w:rPr>
        <w:t>年非洲生物多样性部长级峰会</w:t>
      </w:r>
      <w:r w:rsidRPr="00EA2A06">
        <w:rPr>
          <w:rFonts w:eastAsiaTheme="minorEastAsia"/>
          <w:snapToGrid w:val="0"/>
          <w:kern w:val="22"/>
          <w:sz w:val="22"/>
          <w:vertAlign w:val="superscript"/>
          <w:lang w:val="en-GB" w:eastAsia="zh-CN"/>
        </w:rPr>
        <w:footnoteReference w:id="14"/>
      </w:r>
      <w:r w:rsidRPr="00EA2A06">
        <w:rPr>
          <w:rFonts w:eastAsiaTheme="minorEastAsia"/>
          <w:snapToGrid w:val="0"/>
          <w:kern w:val="22"/>
          <w:lang w:val="en-GB" w:eastAsia="zh-CN"/>
        </w:rPr>
        <w:t xml:space="preserve"> </w:t>
      </w:r>
      <w:r w:rsidRPr="00EA2A06">
        <w:rPr>
          <w:rFonts w:eastAsiaTheme="minorEastAsia"/>
          <w:snapToGrid w:val="0"/>
          <w:kern w:val="22"/>
          <w:lang w:val="en-GB" w:eastAsia="zh-CN"/>
        </w:rPr>
        <w:t>核可了该行动纲领；</w:t>
      </w:r>
    </w:p>
    <w:p w:rsidR="00EA2A06" w:rsidRPr="00EA2A06" w:rsidRDefault="00EA2A06" w:rsidP="000A1A91">
      <w:pPr>
        <w:numPr>
          <w:ilvl w:val="0"/>
          <w:numId w:val="16"/>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关于目标</w:t>
      </w:r>
      <w:r w:rsidRPr="00EA2A06">
        <w:rPr>
          <w:rFonts w:eastAsiaTheme="minorEastAsia"/>
          <w:snapToGrid w:val="0"/>
          <w:kern w:val="22"/>
          <w:lang w:val="en-GB" w:eastAsia="zh-CN"/>
        </w:rPr>
        <w:t>18</w:t>
      </w:r>
      <w:r w:rsidRPr="00EA2A06">
        <w:rPr>
          <w:rFonts w:eastAsiaTheme="minorEastAsia"/>
          <w:snapToGrid w:val="0"/>
          <w:kern w:val="22"/>
          <w:lang w:val="en-GB" w:eastAsia="zh-CN"/>
        </w:rPr>
        <w:t>：加强努力保护和尊重传统知识，利用《地方生物多样性展望》</w:t>
      </w:r>
      <w:r w:rsidRPr="00EA2A06">
        <w:rPr>
          <w:rFonts w:eastAsiaTheme="minorEastAsia"/>
          <w:vertAlign w:val="superscript"/>
          <w:lang w:val="en-GB" w:eastAsia="zh-CN"/>
        </w:rPr>
        <w:footnoteReference w:id="15"/>
      </w:r>
      <w:r w:rsidRPr="00EA2A06">
        <w:rPr>
          <w:rFonts w:eastAsiaTheme="minorEastAsia"/>
          <w:snapToGrid w:val="0"/>
          <w:kern w:val="22"/>
          <w:vertAlign w:val="superscript"/>
          <w:lang w:val="en-GB" w:eastAsia="zh-CN"/>
        </w:rPr>
        <w:t xml:space="preserve"> </w:t>
      </w:r>
      <w:r w:rsidRPr="00EA2A06">
        <w:rPr>
          <w:rFonts w:eastAsiaTheme="minorEastAsia"/>
          <w:snapToGrid w:val="0"/>
          <w:kern w:val="22"/>
          <w:lang w:val="en-GB" w:eastAsia="zh-CN"/>
        </w:rPr>
        <w:t>等所载土著人民和地方社区的可持续习惯使用的信息，促进爱知生物多样性指标最新执行进展情况的报告；</w:t>
      </w:r>
    </w:p>
    <w:p w:rsidR="00EA2A06" w:rsidRPr="00EA2A06" w:rsidRDefault="00EA2A06" w:rsidP="000A1A91">
      <w:pPr>
        <w:numPr>
          <w:ilvl w:val="0"/>
          <w:numId w:val="16"/>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关于目标</w:t>
      </w:r>
      <w:r w:rsidRPr="00EA2A06">
        <w:rPr>
          <w:rFonts w:eastAsiaTheme="minorEastAsia"/>
          <w:snapToGrid w:val="0"/>
          <w:kern w:val="22"/>
          <w:lang w:val="en-GB" w:eastAsia="zh-CN"/>
        </w:rPr>
        <w:t>19</w:t>
      </w:r>
      <w:r w:rsidRPr="00EA2A06">
        <w:rPr>
          <w:rFonts w:eastAsiaTheme="minorEastAsia"/>
          <w:snapToGrid w:val="0"/>
          <w:kern w:val="22"/>
          <w:lang w:val="en-GB" w:eastAsia="zh-CN"/>
        </w:rPr>
        <w:t>：进一步推动和便利开放性生物多样性数据和信息的调动，同时考虑到加强生物多样性数据和信息可获性的自愿性准则；</w:t>
      </w:r>
      <w:r w:rsidRPr="00EA2A06">
        <w:rPr>
          <w:rFonts w:eastAsiaTheme="minorEastAsia"/>
          <w:snapToGrid w:val="0"/>
          <w:kern w:val="22"/>
          <w:sz w:val="22"/>
          <w:vertAlign w:val="superscript"/>
          <w:lang w:val="en-GB" w:eastAsia="zh-CN"/>
        </w:rPr>
        <w:footnoteReference w:id="16"/>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snapToGrid w:val="0"/>
          <w:color w:val="000000"/>
          <w:kern w:val="22"/>
          <w:lang w:eastAsia="zh-CN" w:bidi="th-TH"/>
        </w:rPr>
      </w:pPr>
      <w:r w:rsidRPr="007533F8">
        <w:rPr>
          <w:rFonts w:ascii="KaiTi" w:eastAsia="KaiTi"/>
          <w:kern w:val="20"/>
          <w:lang w:val="en-GB" w:eastAsia="zh-CN"/>
        </w:rPr>
        <w:t>敦促</w:t>
      </w:r>
      <w:r w:rsidRPr="00EA2A06">
        <w:rPr>
          <w:rFonts w:eastAsiaTheme="minorEastAsia"/>
          <w:snapToGrid w:val="0"/>
          <w:color w:val="000000"/>
          <w:kern w:val="22"/>
          <w:lang w:eastAsia="zh-CN" w:bidi="th-TH"/>
        </w:rPr>
        <w:t>各缔约方并</w:t>
      </w:r>
      <w:r w:rsidRPr="007533F8">
        <w:rPr>
          <w:rFonts w:ascii="KaiTi" w:eastAsia="KaiTi"/>
          <w:kern w:val="20"/>
          <w:lang w:val="en-GB" w:eastAsia="zh-CN"/>
        </w:rPr>
        <w:t>邀请</w:t>
      </w:r>
      <w:r w:rsidRPr="00EA2A06">
        <w:rPr>
          <w:rFonts w:eastAsiaTheme="minorEastAsia"/>
          <w:snapToGrid w:val="0"/>
          <w:color w:val="000000"/>
          <w:kern w:val="22"/>
          <w:lang w:eastAsia="zh-CN" w:bidi="th-TH"/>
        </w:rPr>
        <w:t>其他国家政府和相关组织：</w:t>
      </w:r>
    </w:p>
    <w:p w:rsidR="00EA2A06" w:rsidRPr="00EA2A06" w:rsidRDefault="00EA2A06" w:rsidP="000A1A91">
      <w:pPr>
        <w:numPr>
          <w:ilvl w:val="0"/>
          <w:numId w:val="17"/>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加强生物多样性公约国家联络点和决策者的能力，以有效利用生物多样性和生态系统服务政府间科学政策平台评估</w:t>
      </w:r>
      <w:r w:rsidRPr="00EA2A06">
        <w:rPr>
          <w:rFonts w:eastAsiaTheme="minorEastAsia"/>
          <w:snapToGrid w:val="0"/>
          <w:kern w:val="22"/>
          <w:lang w:eastAsia="zh-CN"/>
        </w:rPr>
        <w:t>的</w:t>
      </w:r>
      <w:r w:rsidRPr="00EA2A06">
        <w:rPr>
          <w:rFonts w:eastAsiaTheme="minorEastAsia"/>
          <w:snapToGrid w:val="0"/>
          <w:kern w:val="22"/>
          <w:lang w:val="en-GB" w:eastAsia="zh-CN"/>
        </w:rPr>
        <w:t>结论；</w:t>
      </w:r>
    </w:p>
    <w:p w:rsidR="00EA2A06" w:rsidRPr="00EA2A06" w:rsidRDefault="00EA2A06" w:rsidP="000A1A91">
      <w:pPr>
        <w:numPr>
          <w:ilvl w:val="0"/>
          <w:numId w:val="17"/>
        </w:numPr>
        <w:tabs>
          <w:tab w:val="left" w:pos="1440"/>
        </w:tabs>
        <w:adjustRightInd w:val="0"/>
        <w:snapToGrid w:val="0"/>
        <w:ind w:left="0" w:firstLine="720"/>
        <w:rPr>
          <w:rFonts w:eastAsiaTheme="minorEastAsia"/>
          <w:snapToGrid w:val="0"/>
          <w:kern w:val="22"/>
          <w:lang w:val="en-GB" w:eastAsia="zh-CN"/>
        </w:rPr>
      </w:pPr>
      <w:r w:rsidRPr="00EA2A06">
        <w:rPr>
          <w:rFonts w:eastAsiaTheme="minorEastAsia"/>
          <w:snapToGrid w:val="0"/>
          <w:kern w:val="22"/>
          <w:lang w:val="en-GB" w:eastAsia="zh-CN"/>
        </w:rPr>
        <w:t>促进生物多样性研究综合方法，包括生物多样性丧失的间接和直接驱动因素之间的相互作用及其对生物多样性、生态系统功能和服务以及人类福祉的影响；</w:t>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snapToGrid w:val="0"/>
          <w:color w:val="000000"/>
          <w:kern w:val="22"/>
          <w:lang w:eastAsia="zh-CN" w:bidi="th-TH"/>
        </w:rPr>
      </w:pPr>
      <w:r w:rsidRPr="007533F8">
        <w:rPr>
          <w:rFonts w:ascii="KaiTi" w:eastAsia="KaiTi"/>
          <w:kern w:val="20"/>
          <w:lang w:val="en-GB" w:eastAsia="zh-CN"/>
        </w:rPr>
        <w:t>确认</w:t>
      </w:r>
      <w:r w:rsidRPr="00EA2A06">
        <w:rPr>
          <w:rFonts w:eastAsiaTheme="minorEastAsia"/>
          <w:snapToGrid w:val="0"/>
          <w:color w:val="000000"/>
          <w:kern w:val="22"/>
          <w:lang w:eastAsia="zh-CN" w:bidi="th-TH"/>
        </w:rPr>
        <w:t>有必要更有效、更系统地利用《</w:t>
      </w:r>
      <w:r w:rsidRPr="00EA2A06">
        <w:rPr>
          <w:rFonts w:eastAsiaTheme="minorEastAsia"/>
          <w:snapToGrid w:val="0"/>
          <w:color w:val="000000"/>
          <w:kern w:val="22"/>
          <w:lang w:eastAsia="zh-CN"/>
        </w:rPr>
        <w:t>2011-2020</w:t>
      </w:r>
      <w:r w:rsidRPr="00EA2A06">
        <w:rPr>
          <w:rFonts w:eastAsiaTheme="minorEastAsia"/>
          <w:snapToGrid w:val="0"/>
          <w:color w:val="000000"/>
          <w:kern w:val="22"/>
          <w:lang w:eastAsia="zh-CN"/>
        </w:rPr>
        <w:t>年生物多样性战略计划》中确定的支持机制，</w:t>
      </w:r>
      <w:r w:rsidRPr="00EA2A06">
        <w:rPr>
          <w:rFonts w:eastAsiaTheme="minorEastAsia"/>
          <w:snapToGrid w:val="0"/>
          <w:color w:val="000000"/>
          <w:kern w:val="22"/>
          <w:vertAlign w:val="superscript"/>
          <w:lang w:eastAsia="zh-CN"/>
        </w:rPr>
        <w:footnoteReference w:id="17"/>
      </w:r>
      <w:r w:rsidRPr="00EA2A06">
        <w:rPr>
          <w:rFonts w:eastAsiaTheme="minorEastAsia"/>
          <w:snapToGrid w:val="0"/>
          <w:color w:val="000000"/>
          <w:kern w:val="22"/>
          <w:lang w:eastAsia="zh-CN"/>
        </w:rPr>
        <w:t xml:space="preserve"> </w:t>
      </w:r>
      <w:r w:rsidRPr="00EA2A06">
        <w:rPr>
          <w:rFonts w:eastAsiaTheme="minorEastAsia"/>
          <w:snapToGrid w:val="0"/>
          <w:color w:val="000000"/>
          <w:kern w:val="22"/>
          <w:lang w:eastAsia="zh-CN"/>
        </w:rPr>
        <w:t>促进就第</w:t>
      </w:r>
      <w:r w:rsidRPr="00EA2A06">
        <w:rPr>
          <w:rFonts w:eastAsiaTheme="minorEastAsia"/>
          <w:snapToGrid w:val="0"/>
          <w:color w:val="000000"/>
          <w:kern w:val="22"/>
          <w:lang w:eastAsia="zh-CN"/>
        </w:rPr>
        <w:t>11</w:t>
      </w:r>
      <w:r w:rsidRPr="00EA2A06">
        <w:rPr>
          <w:rFonts w:eastAsiaTheme="minorEastAsia"/>
          <w:snapToGrid w:val="0"/>
          <w:color w:val="000000"/>
          <w:kern w:val="22"/>
          <w:lang w:eastAsia="zh-CN"/>
        </w:rPr>
        <w:t>、</w:t>
      </w:r>
      <w:r w:rsidRPr="00EA2A06">
        <w:rPr>
          <w:rFonts w:eastAsiaTheme="minorEastAsia"/>
          <w:snapToGrid w:val="0"/>
          <w:color w:val="000000"/>
          <w:kern w:val="22"/>
          <w:lang w:eastAsia="zh-CN"/>
        </w:rPr>
        <w:t>12</w:t>
      </w:r>
      <w:r w:rsidRPr="00EA2A06">
        <w:rPr>
          <w:rFonts w:eastAsiaTheme="minorEastAsia"/>
          <w:snapToGrid w:val="0"/>
          <w:color w:val="000000"/>
          <w:kern w:val="22"/>
          <w:lang w:eastAsia="zh-CN"/>
        </w:rPr>
        <w:t>和</w:t>
      </w:r>
      <w:r w:rsidRPr="00EA2A06">
        <w:rPr>
          <w:rFonts w:eastAsiaTheme="minorEastAsia"/>
          <w:snapToGrid w:val="0"/>
          <w:color w:val="000000"/>
          <w:kern w:val="22"/>
          <w:lang w:eastAsia="zh-CN"/>
        </w:rPr>
        <w:t>13</w:t>
      </w:r>
      <w:r w:rsidRPr="00EA2A06">
        <w:rPr>
          <w:rFonts w:eastAsiaTheme="minorEastAsia"/>
          <w:snapToGrid w:val="0"/>
          <w:color w:val="000000"/>
          <w:kern w:val="22"/>
          <w:lang w:eastAsia="zh-CN"/>
        </w:rPr>
        <w:t>段所述问题采取行动</w:t>
      </w:r>
      <w:r w:rsidRPr="00EA2A06">
        <w:rPr>
          <w:rFonts w:eastAsiaTheme="minorEastAsia"/>
          <w:snapToGrid w:val="0"/>
          <w:color w:val="000000"/>
          <w:kern w:val="22"/>
          <w:lang w:eastAsia="zh-CN" w:bidi="th-TH"/>
        </w:rPr>
        <w:t>；</w:t>
      </w:r>
    </w:p>
    <w:p w:rsidR="00EA2A06" w:rsidRPr="00EA2A06" w:rsidRDefault="00EA2A06" w:rsidP="003C3F9A">
      <w:pPr>
        <w:widowControl w:val="0"/>
        <w:numPr>
          <w:ilvl w:val="1"/>
          <w:numId w:val="13"/>
        </w:numPr>
        <w:suppressLineNumbers/>
        <w:tabs>
          <w:tab w:val="left" w:pos="1440"/>
        </w:tabs>
        <w:suppressAutoHyphens/>
        <w:kinsoku w:val="0"/>
        <w:autoSpaceDE w:val="0"/>
        <w:autoSpaceDN w:val="0"/>
        <w:adjustRightInd w:val="0"/>
        <w:snapToGrid w:val="0"/>
        <w:ind w:left="0" w:firstLine="720"/>
        <w:rPr>
          <w:rFonts w:eastAsiaTheme="minorEastAsia"/>
          <w:snapToGrid w:val="0"/>
          <w:color w:val="000000"/>
          <w:kern w:val="22"/>
          <w:lang w:eastAsia="zh-CN"/>
        </w:rPr>
      </w:pPr>
      <w:r w:rsidRPr="007533F8">
        <w:rPr>
          <w:rFonts w:ascii="KaiTi" w:eastAsia="KaiTi"/>
          <w:kern w:val="20"/>
          <w:lang w:val="en-GB" w:eastAsia="zh-CN"/>
        </w:rPr>
        <w:lastRenderedPageBreak/>
        <w:t>敦促</w:t>
      </w:r>
      <w:r w:rsidRPr="00EA2A06">
        <w:rPr>
          <w:rFonts w:eastAsiaTheme="minorEastAsia"/>
          <w:snapToGrid w:val="0"/>
          <w:color w:val="000000"/>
          <w:kern w:val="22"/>
          <w:lang w:eastAsia="zh-CN"/>
        </w:rPr>
        <w:t>各缔约方并</w:t>
      </w:r>
      <w:r w:rsidRPr="003C3F9A">
        <w:rPr>
          <w:rFonts w:ascii="KaiTi" w:eastAsia="KaiTi"/>
          <w:kern w:val="20"/>
          <w:lang w:val="en-GB" w:eastAsia="zh-CN"/>
        </w:rPr>
        <w:t>邀请</w:t>
      </w:r>
      <w:r w:rsidRPr="00EA2A06">
        <w:rPr>
          <w:rFonts w:eastAsiaTheme="minorEastAsia"/>
          <w:snapToGrid w:val="0"/>
          <w:color w:val="000000"/>
          <w:kern w:val="22"/>
          <w:lang w:eastAsia="zh-CN"/>
        </w:rPr>
        <w:t>其他国家政府根据国情和优先事项并</w:t>
      </w:r>
      <w:r w:rsidRPr="00EA2A06">
        <w:rPr>
          <w:rFonts w:eastAsiaTheme="minorEastAsia"/>
          <w:kern w:val="20"/>
          <w:lang w:val="en-GB" w:eastAsia="zh-CN"/>
        </w:rPr>
        <w:t>邀请</w:t>
      </w:r>
      <w:r w:rsidRPr="00EA2A06">
        <w:rPr>
          <w:rFonts w:eastAsiaTheme="minorEastAsia"/>
          <w:snapToGrid w:val="0"/>
          <w:color w:val="000000"/>
          <w:kern w:val="22"/>
          <w:lang w:eastAsia="zh-CN"/>
        </w:rPr>
        <w:t>其他相关组织、土著人民和地方社区及利益攸关方酌情利用本决定附件所载备选办法；</w:t>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iCs/>
          <w:snapToGrid w:val="0"/>
          <w:color w:val="000000"/>
          <w:kern w:val="22"/>
          <w:lang w:eastAsia="zh-CN"/>
        </w:rPr>
      </w:pPr>
      <w:r w:rsidRPr="007533F8">
        <w:rPr>
          <w:rFonts w:ascii="KaiTi" w:eastAsia="KaiTi"/>
          <w:kern w:val="20"/>
          <w:lang w:val="en-GB" w:eastAsia="zh-CN"/>
        </w:rPr>
        <w:t>请</w:t>
      </w:r>
      <w:r w:rsidRPr="00EA2A06">
        <w:rPr>
          <w:rFonts w:eastAsiaTheme="minorEastAsia"/>
          <w:iCs/>
          <w:snapToGrid w:val="0"/>
          <w:color w:val="000000"/>
          <w:kern w:val="22"/>
          <w:lang w:eastAsia="zh-CN"/>
        </w:rPr>
        <w:t>执行秘书通过联合国系统包括可持续发展问题高级别政治论坛和相关多边环境协定进行宣传，《</w:t>
      </w:r>
      <w:r w:rsidRPr="00EA2A06">
        <w:rPr>
          <w:rFonts w:eastAsiaTheme="minorEastAsia"/>
          <w:iCs/>
          <w:snapToGrid w:val="0"/>
          <w:color w:val="000000"/>
          <w:kern w:val="22"/>
          <w:lang w:eastAsia="zh-CN"/>
        </w:rPr>
        <w:t>2011-2020</w:t>
      </w:r>
      <w:r w:rsidRPr="00EA2A06">
        <w:rPr>
          <w:rFonts w:eastAsiaTheme="minorEastAsia"/>
          <w:iCs/>
          <w:snapToGrid w:val="0"/>
          <w:color w:val="000000"/>
          <w:kern w:val="22"/>
          <w:lang w:eastAsia="zh-CN"/>
        </w:rPr>
        <w:t>年生物多样性战略计划》若不能实现势必危及《</w:t>
      </w:r>
      <w:r w:rsidRPr="00EA2A06">
        <w:rPr>
          <w:rFonts w:eastAsiaTheme="minorEastAsia"/>
          <w:iCs/>
          <w:snapToGrid w:val="0"/>
          <w:color w:val="000000"/>
          <w:kern w:val="22"/>
          <w:lang w:eastAsia="zh-CN"/>
        </w:rPr>
        <w:t>2030</w:t>
      </w:r>
      <w:r w:rsidRPr="00EA2A06">
        <w:rPr>
          <w:rFonts w:eastAsiaTheme="minorEastAsia"/>
          <w:iCs/>
          <w:snapToGrid w:val="0"/>
          <w:color w:val="000000"/>
          <w:kern w:val="22"/>
          <w:lang w:eastAsia="zh-CN"/>
        </w:rPr>
        <w:t>年可持续发展议程》的实现，因此需要采取紧急行动，特别是实现资源调动的各项目标，</w:t>
      </w:r>
      <w:r w:rsidRPr="003C3F9A">
        <w:rPr>
          <w:rStyle w:val="FootnoteReference"/>
          <w:rFonts w:eastAsiaTheme="minorEastAsia"/>
          <w:iCs/>
          <w:snapToGrid w:val="0"/>
          <w:color w:val="000000"/>
          <w:kern w:val="22"/>
          <w:sz w:val="24"/>
          <w:u w:val="none"/>
          <w:vertAlign w:val="superscript"/>
          <w:lang w:eastAsia="zh-CN"/>
        </w:rPr>
        <w:footnoteReference w:id="18"/>
      </w:r>
      <w:r w:rsidRPr="003C3F9A">
        <w:rPr>
          <w:rFonts w:eastAsiaTheme="minorEastAsia"/>
          <w:iCs/>
          <w:snapToGrid w:val="0"/>
          <w:color w:val="000000"/>
          <w:kern w:val="22"/>
          <w:sz w:val="36"/>
          <w:vertAlign w:val="superscript"/>
          <w:lang w:eastAsia="zh-CN"/>
        </w:rPr>
        <w:t xml:space="preserve"> </w:t>
      </w:r>
      <w:r w:rsidRPr="00EA2A06">
        <w:rPr>
          <w:rFonts w:eastAsiaTheme="minorEastAsia"/>
          <w:iCs/>
          <w:snapToGrid w:val="0"/>
          <w:color w:val="000000"/>
          <w:kern w:val="22"/>
          <w:lang w:eastAsia="zh-CN"/>
        </w:rPr>
        <w:t>以便实现爱知生物多样性指标和保护地球的生命支持系统；</w:t>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iCs/>
          <w:snapToGrid w:val="0"/>
          <w:color w:val="000000"/>
          <w:kern w:val="22"/>
          <w:lang w:eastAsia="zh-CN"/>
        </w:rPr>
      </w:pPr>
      <w:r w:rsidRPr="007533F8">
        <w:rPr>
          <w:rFonts w:ascii="KaiTi" w:eastAsia="KaiTi"/>
          <w:kern w:val="20"/>
          <w:lang w:val="en-GB" w:eastAsia="zh-CN"/>
        </w:rPr>
        <w:t>又请</w:t>
      </w:r>
      <w:r w:rsidRPr="00EA2A06">
        <w:rPr>
          <w:rFonts w:eastAsiaTheme="minorEastAsia"/>
          <w:iCs/>
          <w:snapToGrid w:val="0"/>
          <w:color w:val="000000"/>
          <w:kern w:val="22"/>
          <w:lang w:eastAsia="zh-CN"/>
        </w:rPr>
        <w:t>执行秘书在根据《公约》制定</w:t>
      </w:r>
      <w:r w:rsidRPr="00EA2A06">
        <w:rPr>
          <w:rFonts w:eastAsiaTheme="minorEastAsia"/>
          <w:iCs/>
          <w:snapToGrid w:val="0"/>
          <w:color w:val="000000"/>
          <w:kern w:val="22"/>
          <w:lang w:eastAsia="zh-CN"/>
        </w:rPr>
        <w:t>2020</w:t>
      </w:r>
      <w:r w:rsidRPr="00EA2A06">
        <w:rPr>
          <w:rFonts w:eastAsiaTheme="minorEastAsia"/>
          <w:iCs/>
          <w:snapToGrid w:val="0"/>
          <w:color w:val="000000"/>
          <w:kern w:val="22"/>
          <w:lang w:eastAsia="zh-CN"/>
        </w:rPr>
        <w:t>年后全球生物多样性框架时，在资源允许的情况下，利用和分析科学信息审查和政府间科学政策平台所有产品的成果，包括关于生物多样性和生态系统服务的区域评估以及关于土地退化和恢复的专题评估，并将这方面的审议结果提交缔约方大会第十五届会议之前举行的科学、技术和工艺咨询附属机构会议；</w:t>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iCs/>
          <w:snapToGrid w:val="0"/>
          <w:color w:val="000000"/>
          <w:kern w:val="22"/>
          <w:lang w:eastAsia="zh-CN"/>
        </w:rPr>
      </w:pPr>
      <w:r w:rsidRPr="007533F8">
        <w:rPr>
          <w:rFonts w:ascii="KaiTi" w:eastAsia="KaiTi"/>
          <w:kern w:val="20"/>
          <w:lang w:val="en-GB" w:eastAsia="zh-CN"/>
        </w:rPr>
        <w:t>还请</w:t>
      </w:r>
      <w:r w:rsidRPr="00EA2A06">
        <w:rPr>
          <w:rFonts w:eastAsiaTheme="minorEastAsia"/>
          <w:iCs/>
          <w:snapToGrid w:val="0"/>
          <w:color w:val="000000"/>
          <w:kern w:val="22"/>
          <w:lang w:eastAsia="zh-CN"/>
        </w:rPr>
        <w:t>执行秘书与各缔约方合作，不断更新国家生物多样性战略和行动计划及国家目标的分析，并通过《公约》信息交换所机制公布这些信息；</w:t>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iCs/>
          <w:snapToGrid w:val="0"/>
          <w:color w:val="000000"/>
          <w:kern w:val="22"/>
          <w:lang w:eastAsia="zh-CN"/>
        </w:rPr>
      </w:pPr>
      <w:r w:rsidRPr="007533F8">
        <w:rPr>
          <w:rFonts w:ascii="KaiTi" w:eastAsia="KaiTi"/>
          <w:kern w:val="20"/>
          <w:lang w:val="en-GB" w:eastAsia="zh-CN"/>
        </w:rPr>
        <w:t>鼓励</w:t>
      </w:r>
      <w:r w:rsidRPr="00EA2A06">
        <w:rPr>
          <w:rFonts w:eastAsiaTheme="minorEastAsia"/>
          <w:iCs/>
          <w:snapToGrid w:val="0"/>
          <w:color w:val="000000"/>
          <w:kern w:val="22"/>
          <w:lang w:eastAsia="zh-CN"/>
        </w:rPr>
        <w:t>各缔约方及时提交第六次国家报告，</w:t>
      </w:r>
      <w:r w:rsidRPr="007533F8">
        <w:rPr>
          <w:rFonts w:ascii="KaiTi" w:eastAsia="KaiTi"/>
          <w:kern w:val="20"/>
          <w:lang w:val="en-GB" w:eastAsia="zh-CN"/>
        </w:rPr>
        <w:t>请</w:t>
      </w:r>
      <w:r w:rsidRPr="00EA2A06">
        <w:rPr>
          <w:rFonts w:eastAsiaTheme="minorEastAsia"/>
          <w:iCs/>
          <w:snapToGrid w:val="0"/>
          <w:color w:val="000000"/>
          <w:kern w:val="22"/>
          <w:lang w:eastAsia="zh-CN"/>
        </w:rPr>
        <w:t>执行秘书根据第六次国家报告所载信息，继续更新关于《</w:t>
      </w:r>
      <w:r w:rsidRPr="00EA2A06">
        <w:rPr>
          <w:rFonts w:eastAsiaTheme="minorEastAsia"/>
          <w:iCs/>
          <w:snapToGrid w:val="0"/>
          <w:color w:val="000000"/>
          <w:kern w:val="22"/>
          <w:lang w:eastAsia="zh-CN"/>
        </w:rPr>
        <w:t>2011-2020</w:t>
      </w:r>
      <w:r w:rsidRPr="00EA2A06">
        <w:rPr>
          <w:rFonts w:eastAsiaTheme="minorEastAsia"/>
          <w:iCs/>
          <w:snapToGrid w:val="0"/>
          <w:color w:val="000000"/>
          <w:kern w:val="22"/>
          <w:lang w:eastAsia="zh-CN"/>
        </w:rPr>
        <w:t>年生物多样性战略计》执行进展情况的分析，并将最新分析提供执行问题附属机构第三次会议审议；</w:t>
      </w:r>
    </w:p>
    <w:p w:rsidR="00EA2A06" w:rsidRPr="00EA2A06" w:rsidRDefault="00EA2A06" w:rsidP="000A1A91">
      <w:pPr>
        <w:numPr>
          <w:ilvl w:val="1"/>
          <w:numId w:val="13"/>
        </w:numPr>
        <w:suppressLineNumbers/>
        <w:tabs>
          <w:tab w:val="left" w:pos="1440"/>
        </w:tabs>
        <w:suppressAutoHyphens/>
        <w:kinsoku w:val="0"/>
        <w:autoSpaceDE w:val="0"/>
        <w:autoSpaceDN w:val="0"/>
        <w:adjustRightInd w:val="0"/>
        <w:snapToGrid w:val="0"/>
        <w:ind w:left="0" w:firstLine="720"/>
        <w:rPr>
          <w:rFonts w:eastAsiaTheme="minorEastAsia"/>
          <w:iCs/>
          <w:snapToGrid w:val="0"/>
          <w:color w:val="000000"/>
          <w:kern w:val="22"/>
          <w:lang w:eastAsia="zh-CN"/>
        </w:rPr>
      </w:pPr>
      <w:r w:rsidRPr="007533F8">
        <w:rPr>
          <w:rFonts w:ascii="KaiTi" w:eastAsia="KaiTi"/>
          <w:kern w:val="20"/>
          <w:lang w:val="en-GB" w:eastAsia="zh-CN"/>
        </w:rPr>
        <w:t>请</w:t>
      </w:r>
      <w:r w:rsidRPr="00EA2A06">
        <w:rPr>
          <w:rFonts w:eastAsiaTheme="minorEastAsia"/>
          <w:iCs/>
          <w:snapToGrid w:val="0"/>
          <w:color w:val="000000"/>
          <w:kern w:val="22"/>
          <w:lang w:eastAsia="zh-CN"/>
        </w:rPr>
        <w:t>执行秘书与各缔约方、全球环境基金秘书处、联合国开发计划署和</w:t>
      </w:r>
      <w:r w:rsidR="00780033">
        <w:rPr>
          <w:rFonts w:eastAsiaTheme="minorEastAsia"/>
          <w:iCs/>
          <w:snapToGrid w:val="0"/>
          <w:color w:val="000000"/>
          <w:kern w:val="22"/>
          <w:lang w:eastAsia="zh-CN"/>
        </w:rPr>
        <w:t>联合国环境署</w:t>
      </w:r>
      <w:r w:rsidRPr="00EA2A06">
        <w:rPr>
          <w:rFonts w:eastAsiaTheme="minorEastAsia"/>
          <w:iCs/>
          <w:snapToGrid w:val="0"/>
          <w:color w:val="000000"/>
          <w:kern w:val="22"/>
          <w:lang w:eastAsia="zh-CN"/>
        </w:rPr>
        <w:t>协商，分析符合条件的缔约方通过国家生物多样性战略和行动计划的情况，并继续监测将生物多样性纳入可持续发展计划和消除贫穷战略的情况。</w:t>
      </w:r>
    </w:p>
    <w:p w:rsidR="00EA2A06" w:rsidRPr="007533F8" w:rsidRDefault="00EA2A06" w:rsidP="00FF4964">
      <w:pPr>
        <w:adjustRightInd w:val="0"/>
        <w:snapToGrid w:val="0"/>
        <w:ind w:firstLine="0"/>
        <w:jc w:val="center"/>
        <w:rPr>
          <w:rFonts w:ascii="KaiTi" w:eastAsia="KaiTi" w:hAnsi="KaiTi"/>
          <w:kern w:val="20"/>
          <w:lang w:val="en-GB" w:eastAsia="zh-CN"/>
        </w:rPr>
      </w:pPr>
      <w:r w:rsidRPr="007533F8">
        <w:rPr>
          <w:rFonts w:ascii="KaiTi" w:eastAsia="KaiTi" w:hAnsi="KaiTi"/>
          <w:kern w:val="20"/>
          <w:lang w:val="en-GB" w:eastAsia="zh-CN"/>
        </w:rPr>
        <w:t>附件</w:t>
      </w:r>
    </w:p>
    <w:p w:rsidR="00EA2A06" w:rsidRPr="00EA2A06" w:rsidRDefault="00EA2A06" w:rsidP="00FF4964">
      <w:pPr>
        <w:keepNext/>
        <w:adjustRightInd w:val="0"/>
        <w:snapToGrid w:val="0"/>
        <w:ind w:firstLine="0"/>
        <w:jc w:val="center"/>
        <w:rPr>
          <w:rFonts w:eastAsiaTheme="minorEastAsia"/>
          <w:b/>
          <w:bCs/>
          <w:caps/>
          <w:snapToGrid w:val="0"/>
          <w:kern w:val="22"/>
          <w:lang w:val="en-GB" w:eastAsia="zh-CN"/>
        </w:rPr>
      </w:pPr>
      <w:r w:rsidRPr="00EA2A06">
        <w:rPr>
          <w:rFonts w:eastAsiaTheme="minorEastAsia"/>
          <w:b/>
          <w:bCs/>
          <w:caps/>
          <w:snapToGrid w:val="0"/>
          <w:kern w:val="22"/>
          <w:lang w:val="en-GB" w:eastAsia="zh-CN"/>
        </w:rPr>
        <w:t>加快实现爱知生物多样性指标进展的可能备选办法</w:t>
      </w:r>
    </w:p>
    <w:p w:rsidR="00EA2A06" w:rsidRPr="00EA2A06" w:rsidRDefault="00EA2A06" w:rsidP="001A2AC9">
      <w:pPr>
        <w:numPr>
          <w:ilvl w:val="0"/>
          <w:numId w:val="8"/>
        </w:numPr>
        <w:tabs>
          <w:tab w:val="clear" w:pos="360"/>
        </w:tabs>
        <w:adjustRightInd w:val="0"/>
        <w:snapToGrid w:val="0"/>
        <w:ind w:firstLine="0"/>
        <w:rPr>
          <w:rFonts w:eastAsiaTheme="minorEastAsia"/>
          <w:lang w:val="en-GB" w:eastAsia="zh-CN"/>
        </w:rPr>
      </w:pPr>
      <w:r w:rsidRPr="00EA2A06">
        <w:rPr>
          <w:rFonts w:eastAsiaTheme="minorEastAsia"/>
          <w:lang w:val="en-GB" w:eastAsia="zh-CN"/>
        </w:rPr>
        <w:t>本附件载有根据国情和优先事项为促进实现爱知生物多样性指标可采取的可能行动的信息。</w:t>
      </w:r>
    </w:p>
    <w:p w:rsidR="00EA2A06" w:rsidRPr="00EA2A06" w:rsidRDefault="00EA2A06" w:rsidP="001A2AC9">
      <w:pPr>
        <w:numPr>
          <w:ilvl w:val="0"/>
          <w:numId w:val="8"/>
        </w:numPr>
        <w:tabs>
          <w:tab w:val="clear" w:pos="360"/>
        </w:tabs>
        <w:adjustRightInd w:val="0"/>
        <w:snapToGrid w:val="0"/>
        <w:ind w:firstLine="0"/>
        <w:rPr>
          <w:rFonts w:eastAsiaTheme="minorEastAsia"/>
          <w:kern w:val="22"/>
          <w:lang w:val="en-GB" w:eastAsia="zh-CN"/>
        </w:rPr>
      </w:pPr>
      <w:r w:rsidRPr="00EA2A06">
        <w:rPr>
          <w:rFonts w:eastAsiaTheme="minorEastAsia"/>
          <w:kern w:val="22"/>
          <w:lang w:val="en-GB" w:eastAsia="zh-CN"/>
        </w:rPr>
        <w:t>根据政府间科学政策平台区域和专题评估的结论和科学文献的结论</w:t>
      </w:r>
      <w:r w:rsidRPr="00EA2A06">
        <w:rPr>
          <w:rFonts w:eastAsiaTheme="minorEastAsia"/>
          <w:kern w:val="22"/>
          <w:vertAlign w:val="superscript"/>
          <w:lang w:val="en-GB" w:eastAsia="zh-CN"/>
        </w:rPr>
        <w:footnoteReference w:id="19"/>
      </w:r>
      <w:r w:rsidRPr="00EA2A06">
        <w:rPr>
          <w:rFonts w:eastAsiaTheme="minorEastAsia"/>
          <w:kern w:val="22"/>
          <w:lang w:val="en-GB" w:eastAsia="zh-CN"/>
        </w:rPr>
        <w:t xml:space="preserve"> </w:t>
      </w:r>
      <w:r w:rsidRPr="00EA2A06">
        <w:rPr>
          <w:rFonts w:eastAsiaTheme="minorEastAsia"/>
          <w:kern w:val="22"/>
          <w:lang w:val="en-GB" w:eastAsia="zh-CN"/>
        </w:rPr>
        <w:t>可采取的行动包括：</w:t>
      </w:r>
    </w:p>
    <w:p w:rsidR="00EA2A06" w:rsidRPr="00EA2A06" w:rsidRDefault="00EA2A06" w:rsidP="000A1A91">
      <w:pPr>
        <w:widowControl w:val="0"/>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更多地利用社会科学，同时考虑到不同的愿景和知识系统，促进关于文化问题以及关于与人们生活质量、生物多样性的非物质价值、土著人民和地方社区、妇女、青年和穷人及弱势群体的需要的相关问题的研究；</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lastRenderedPageBreak/>
        <w:t>更多地生成和获取生物多样性信息的途径，包括通过促进关于生物多样性和生态系统功能和服务的研究，建立可按不同生态系统和不同地理范围分列的数据组，并制定和推广更有效分享生物多样性信息的机制；</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加强对生物多样性和生态系统功能和服务所有方面的监测，包括更多利用远程观测和地理信息系统以及利用物种鉴别和生物多样性信息生成技术；</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促进利用和制订能够将生物多样性因素纳入包括消除贫困和减轻饥饿及适应和减缓气候变化在内的其他社会和文化目标相结合的情景设想，以及能够考虑到生物多样性丧失的多种直接和间接驱动因素和更好地反映生态系统功能和服务的情景设想；</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更好地将生物多样性问题纳入社会各部门和跨部门的主流，包括纳入国家规划和发展进程以及政策制定工作，以便更好地考虑到政策渗漏和决策外溢效应以及政策决定产生的意想不到的消极影响；</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更好地考虑政策以及生产和消费模式对生物多样性的直接和间接影响，以及远程地点和生态系统的因果互动和影响，并更好地处理政策决定和生产及消费对境内和境外生物多样性的影响；</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促进生物多样性保护和管理更多地利用空间规划技术；</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促进和制订能够以更协调一致的方式解决生物多样性问题和将全球生物多样性承诺更好地内在化的治理系统，办法包括加强将土著和地方知识及价值多样性纳入治理进程，更好地考虑在国家一级执行双边和多边协定、可持续发展目标以及其他国际和区域倡议的可能协同作用；</w:t>
      </w:r>
    </w:p>
    <w:p w:rsidR="00EA2A06" w:rsidRPr="00EA2A06" w:rsidRDefault="00EA2A06" w:rsidP="000A1A91">
      <w:pPr>
        <w:pStyle w:val="StylePara1HeadingsCSTimesNewRoman"/>
        <w:numPr>
          <w:ilvl w:val="0"/>
          <w:numId w:val="18"/>
        </w:numPr>
        <w:suppressLineNumbers/>
        <w:tabs>
          <w:tab w:val="clear" w:pos="360"/>
          <w:tab w:val="left" w:pos="1440"/>
        </w:tabs>
        <w:suppressAutoHyphens/>
        <w:kinsoku w:val="0"/>
        <w:overflowPunct w:val="0"/>
        <w:autoSpaceDE w:val="0"/>
        <w:autoSpaceDN w:val="0"/>
        <w:adjustRightInd w:val="0"/>
        <w:snapToGrid w:val="0"/>
        <w:rPr>
          <w:rFonts w:ascii="Times New Roman" w:eastAsiaTheme="minorEastAsia" w:hAnsi="Times New Roman"/>
          <w:kern w:val="22"/>
          <w:sz w:val="24"/>
          <w:szCs w:val="24"/>
          <w:lang w:eastAsia="zh-CN"/>
        </w:rPr>
      </w:pPr>
      <w:r w:rsidRPr="00EA2A06">
        <w:rPr>
          <w:rFonts w:ascii="Times New Roman" w:eastAsiaTheme="minorEastAsia" w:hAnsi="Times New Roman"/>
          <w:kern w:val="22"/>
          <w:sz w:val="24"/>
          <w:szCs w:val="24"/>
          <w:lang w:eastAsia="zh-CN"/>
        </w:rPr>
        <w:tab/>
      </w:r>
      <w:r w:rsidRPr="00EA2A06">
        <w:rPr>
          <w:rFonts w:ascii="Times New Roman" w:eastAsiaTheme="minorEastAsia" w:hAnsi="Times New Roman"/>
          <w:kern w:val="22"/>
          <w:sz w:val="24"/>
          <w:szCs w:val="24"/>
          <w:lang w:eastAsia="zh-CN"/>
        </w:rPr>
        <w:t>促进参与性生物多样性管理办法，包括通过土著人民和地方社区的有效参与，加强利益攸关方切实参与决策进程的能力；</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更有效地同小土地持有者合作以实行更高效和有利于生物多样性的可持续做法，加强与土著人民和地方社区、非政府组织、私营部门和个人的合作和伙伴关系；</w:t>
      </w:r>
      <w:r w:rsidRPr="00EA2A06">
        <w:rPr>
          <w:rFonts w:eastAsiaTheme="minorEastAsia"/>
          <w:kern w:val="22"/>
          <w:lang w:val="en-GB" w:eastAsia="zh-CN"/>
        </w:rPr>
        <w:t xml:space="preserve"> </w:t>
      </w:r>
    </w:p>
    <w:p w:rsidR="00EA2A06" w:rsidRPr="00EA2A06" w:rsidRDefault="00EA2A06" w:rsidP="000A1A91">
      <w:pPr>
        <w:widowControl w:val="0"/>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通过加强传播、教育和提高公众认识，更好地了解生物多样性，了解生物多样性丧失的直接和间接驱动因素的相互作用及其对生物多样性、生态系统功能和服务及人类福祉的影响，并采取行动实现行为和政策变化；</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改进用于保护和可持续利用生物多样性的资金和技术资源的流动情况和获得的机会；</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促进采取能够解决生物多样性丧失的根本原因和有助于实现多重爱知生物多样性指标的行动；</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推广生物多样性和生态系统功能和服务估值的多种方法，包括非货币方法；</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lastRenderedPageBreak/>
        <w:t>更好地考虑整个供应链和产品生命周期中的生产和消费过程对生物多样性的全面影响；</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废除导致生物多样性退化的不当激励措施，设计积极的激励措施，奖励采用可持续的做法；</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促进对开发和使用基于自然的解决办法的投资，通过生态系统恢复和农业系统的恢复、基于生态系统的适应和减缓、基于生态系统的减少灾害风险方法，应对社会挑战；</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采取适当措施保护和恢复授粉媒介的多样性、丰富性和健全性；</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降低可持续做法的认证成本和可持续生产产品营销的其他障碍；</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加强努力防止土地退化和恢复已退化土地；</w:t>
      </w:r>
    </w:p>
    <w:p w:rsidR="00EA2A06" w:rsidRPr="00EA2A06" w:rsidRDefault="00EA2A06" w:rsidP="000A1A91">
      <w:pPr>
        <w:numPr>
          <w:ilvl w:val="0"/>
          <w:numId w:val="18"/>
        </w:numPr>
        <w:tabs>
          <w:tab w:val="clear" w:pos="360"/>
          <w:tab w:val="left" w:pos="1440"/>
        </w:tabs>
        <w:adjustRightInd w:val="0"/>
        <w:snapToGrid w:val="0"/>
        <w:rPr>
          <w:rFonts w:eastAsiaTheme="minorEastAsia"/>
          <w:kern w:val="22"/>
          <w:lang w:val="en-GB" w:eastAsia="zh-CN"/>
        </w:rPr>
      </w:pPr>
      <w:r w:rsidRPr="00EA2A06">
        <w:rPr>
          <w:rFonts w:eastAsiaTheme="minorEastAsia"/>
          <w:kern w:val="22"/>
          <w:lang w:val="en-GB" w:eastAsia="zh-CN"/>
        </w:rPr>
        <w:t>进一步努力实现社会与生物多样性关系方面的转型改变。</w:t>
      </w:r>
      <w:r w:rsidRPr="00EA2A06">
        <w:rPr>
          <w:rFonts w:eastAsiaTheme="minorEastAsia"/>
          <w:kern w:val="22"/>
          <w:lang w:val="en-GB" w:eastAsia="zh-CN"/>
        </w:rPr>
        <w:t xml:space="preserve"> </w:t>
      </w:r>
    </w:p>
    <w:p w:rsidR="00CD6958" w:rsidRPr="00EA2A06" w:rsidRDefault="00CD6958" w:rsidP="00EA2A06">
      <w:pPr>
        <w:adjustRightInd w:val="0"/>
        <w:rPr>
          <w:rFonts w:eastAsiaTheme="minorEastAsia"/>
          <w:lang w:eastAsia="zh-CN"/>
        </w:rPr>
      </w:pPr>
    </w:p>
    <w:p w:rsidR="007533F8" w:rsidRPr="007533F8" w:rsidRDefault="007533F8" w:rsidP="00FF4964">
      <w:pPr>
        <w:pStyle w:val="Heading1"/>
        <w:spacing w:before="120" w:after="120"/>
        <w:ind w:firstLine="0"/>
        <w:rPr>
          <w:rFonts w:eastAsiaTheme="minorEastAsia" w:cs="Times New Roman"/>
          <w:caps/>
          <w:noProof/>
          <w:kern w:val="22"/>
          <w:sz w:val="24"/>
          <w:lang w:eastAsia="zh-CN"/>
        </w:rPr>
      </w:pPr>
      <w:r>
        <w:rPr>
          <w:rFonts w:ascii="SimHei" w:eastAsia="SimHei" w:hAnsi="SimHei" w:cs="SimSun"/>
          <w:lang w:eastAsia="zh-CN"/>
        </w:rPr>
        <w:br w:type="page"/>
      </w:r>
      <w:bookmarkStart w:id="8" w:name="_Toc6243644"/>
      <w:r w:rsidRPr="007533F8">
        <w:rPr>
          <w:rFonts w:eastAsiaTheme="minorEastAsia" w:cs="Times New Roman"/>
          <w:noProof/>
          <w:kern w:val="22"/>
          <w:sz w:val="24"/>
          <w:lang w:eastAsia="zh-CN"/>
        </w:rPr>
        <w:lastRenderedPageBreak/>
        <w:t>14/2.</w:t>
      </w:r>
      <w:r w:rsidRPr="007533F8">
        <w:rPr>
          <w:rFonts w:eastAsiaTheme="minorEastAsia" w:cs="Times New Roman"/>
          <w:noProof/>
          <w:kern w:val="22"/>
          <w:sz w:val="24"/>
          <w:lang w:eastAsia="zh-CN"/>
        </w:rPr>
        <w:tab/>
        <w:t xml:space="preserve">  </w:t>
      </w:r>
      <w:r w:rsidRPr="007533F8">
        <w:rPr>
          <w:rFonts w:eastAsiaTheme="minorEastAsia" w:cs="Times New Roman"/>
          <w:noProof/>
          <w:kern w:val="22"/>
          <w:sz w:val="24"/>
          <w:lang w:eastAsia="zh-CN"/>
        </w:rPr>
        <w:t>《</w:t>
      </w:r>
      <w:r w:rsidRPr="007533F8">
        <w:rPr>
          <w:rFonts w:eastAsiaTheme="minorEastAsia" w:cs="Times New Roman"/>
          <w:noProof/>
          <w:kern w:val="22"/>
          <w:sz w:val="24"/>
          <w:lang w:eastAsia="zh-CN"/>
        </w:rPr>
        <w:t>2050</w:t>
      </w:r>
      <w:r w:rsidRPr="007533F8">
        <w:rPr>
          <w:rFonts w:eastAsiaTheme="minorEastAsia" w:cs="Times New Roman"/>
          <w:noProof/>
          <w:kern w:val="22"/>
          <w:sz w:val="24"/>
          <w:lang w:eastAsia="zh-CN"/>
        </w:rPr>
        <w:t>年生物多样性愿景》的情景设想</w:t>
      </w:r>
      <w:bookmarkEnd w:id="8"/>
      <w:r w:rsidRPr="007533F8">
        <w:rPr>
          <w:rFonts w:eastAsiaTheme="minorEastAsia" w:cs="Times New Roman"/>
          <w:noProof/>
          <w:kern w:val="22"/>
          <w:sz w:val="24"/>
          <w:lang w:eastAsia="zh-CN"/>
        </w:rPr>
        <w:t xml:space="preserve"> </w:t>
      </w:r>
    </w:p>
    <w:p w:rsidR="007533F8" w:rsidRPr="00257741" w:rsidRDefault="007533F8" w:rsidP="007533F8">
      <w:pPr>
        <w:keepNext/>
        <w:ind w:firstLine="706"/>
        <w:rPr>
          <w:rFonts w:ascii="KaiTi" w:eastAsia="KaiTi" w:hAnsi="KaiTi"/>
          <w:kern w:val="22"/>
          <w:lang w:eastAsia="zh-CN" w:bidi="th-TH"/>
        </w:rPr>
      </w:pPr>
      <w:r w:rsidRPr="00257741">
        <w:rPr>
          <w:rFonts w:ascii="KaiTi" w:eastAsia="KaiTi" w:hAnsi="KaiTi" w:hint="eastAsia"/>
          <w:kern w:val="22"/>
          <w:lang w:bidi="th-TH"/>
        </w:rPr>
        <w:t>缔约方大会</w:t>
      </w:r>
      <w:r>
        <w:rPr>
          <w:rFonts w:ascii="KaiTi" w:eastAsia="KaiTi" w:hAnsi="KaiTi" w:hint="eastAsia"/>
          <w:kern w:val="22"/>
          <w:lang w:eastAsia="zh-CN" w:bidi="th-TH"/>
        </w:rPr>
        <w:t>，</w:t>
      </w:r>
    </w:p>
    <w:p w:rsidR="007533F8" w:rsidRPr="007533F8" w:rsidRDefault="007533F8" w:rsidP="000A1A91">
      <w:pPr>
        <w:pStyle w:val="ListParagraph"/>
        <w:numPr>
          <w:ilvl w:val="0"/>
          <w:numId w:val="20"/>
        </w:numPr>
        <w:tabs>
          <w:tab w:val="left" w:pos="1440"/>
        </w:tabs>
        <w:adjustRightInd w:val="0"/>
        <w:ind w:left="0" w:firstLine="720"/>
        <w:rPr>
          <w:rFonts w:eastAsiaTheme="minorEastAsia"/>
          <w:lang w:eastAsia="zh-CN" w:bidi="th-TH"/>
        </w:rPr>
      </w:pPr>
      <w:r w:rsidRPr="007533F8">
        <w:rPr>
          <w:rFonts w:ascii="KaiTi" w:eastAsia="KaiTi" w:hAnsi="KaiTi"/>
          <w:kern w:val="22"/>
          <w:lang w:eastAsia="zh-CN" w:bidi="th-TH"/>
        </w:rPr>
        <w:t>欢迎</w:t>
      </w:r>
      <w:r w:rsidRPr="007533F8">
        <w:rPr>
          <w:rFonts w:eastAsiaTheme="minorEastAsia"/>
          <w:lang w:eastAsia="zh-CN" w:bidi="th-TH"/>
        </w:rPr>
        <w:t>本决定附件所载科学、技术和工艺咨询附属机构关于《</w:t>
      </w:r>
      <w:r w:rsidRPr="007533F8">
        <w:rPr>
          <w:rFonts w:eastAsiaTheme="minorEastAsia"/>
          <w:lang w:eastAsia="zh-CN" w:bidi="th-TH"/>
        </w:rPr>
        <w:t>2050</w:t>
      </w:r>
      <w:r w:rsidRPr="007533F8">
        <w:rPr>
          <w:rFonts w:eastAsiaTheme="minorEastAsia"/>
          <w:lang w:eastAsia="zh-CN" w:bidi="th-TH"/>
        </w:rPr>
        <w:t>年生物多样性愿景》的情景设想的结论，并</w:t>
      </w:r>
      <w:r w:rsidRPr="007533F8">
        <w:rPr>
          <w:rFonts w:eastAsiaTheme="minorEastAsia"/>
          <w:bCs/>
          <w:lang w:eastAsia="zh-CN" w:bidi="th-TH"/>
        </w:rPr>
        <w:t>表示注意到</w:t>
      </w:r>
      <w:r w:rsidRPr="007533F8">
        <w:rPr>
          <w:rFonts w:eastAsiaTheme="minorEastAsia"/>
          <w:lang w:eastAsia="zh-CN" w:bidi="th-TH"/>
        </w:rPr>
        <w:t>执行秘书的说明和辅助信息文件</w:t>
      </w:r>
      <w:r w:rsidRPr="007533F8">
        <w:rPr>
          <w:rFonts w:eastAsiaTheme="minorEastAsia"/>
          <w:kern w:val="22"/>
          <w:vertAlign w:val="superscript"/>
          <w:lang w:bidi="th-TH"/>
        </w:rPr>
        <w:footnoteReference w:id="20"/>
      </w:r>
      <w:r w:rsidRPr="007533F8">
        <w:rPr>
          <w:rFonts w:eastAsiaTheme="minorEastAsia"/>
          <w:lang w:eastAsia="zh-CN" w:bidi="th-TH"/>
        </w:rPr>
        <w:t xml:space="preserve"> </w:t>
      </w:r>
      <w:r w:rsidRPr="007533F8">
        <w:rPr>
          <w:rFonts w:eastAsiaTheme="minorEastAsia"/>
          <w:lang w:eastAsia="zh-CN" w:bidi="th-TH"/>
        </w:rPr>
        <w:t>中所载信息，以及</w:t>
      </w:r>
      <w:r w:rsidRPr="007533F8">
        <w:rPr>
          <w:rFonts w:eastAsiaTheme="minorEastAsia"/>
          <w:color w:val="000000"/>
          <w:lang w:eastAsia="zh-CN" w:bidi="th-TH"/>
        </w:rPr>
        <w:t>生物多样性和生态系统服务政府间科学政策平台的《关于生物多样性和生态系统服务的情景设想和模式的评估报告》，</w:t>
      </w:r>
      <w:r w:rsidRPr="007533F8">
        <w:rPr>
          <w:rStyle w:val="FootnoteReference"/>
          <w:rFonts w:eastAsiaTheme="minorEastAsia"/>
          <w:color w:val="000000"/>
          <w:sz w:val="24"/>
          <w:u w:val="none"/>
          <w:vertAlign w:val="superscript"/>
        </w:rPr>
        <w:footnoteReference w:id="21"/>
      </w:r>
      <w:r w:rsidRPr="007533F8">
        <w:rPr>
          <w:rFonts w:eastAsiaTheme="minorEastAsia"/>
          <w:color w:val="000000"/>
          <w:sz w:val="36"/>
          <w:vertAlign w:val="superscript"/>
          <w:lang w:eastAsia="zh-CN" w:bidi="th-TH"/>
        </w:rPr>
        <w:t xml:space="preserve"> </w:t>
      </w:r>
      <w:r w:rsidRPr="007533F8">
        <w:rPr>
          <w:rFonts w:eastAsiaTheme="minorEastAsia"/>
          <w:lang w:eastAsia="zh-CN" w:bidi="th-TH"/>
        </w:rPr>
        <w:t>注意到它们涉及与</w:t>
      </w:r>
      <w:r w:rsidRPr="007533F8">
        <w:rPr>
          <w:rFonts w:eastAsiaTheme="minorEastAsia"/>
          <w:lang w:eastAsia="zh-CN" w:bidi="th-TH"/>
        </w:rPr>
        <w:t>2050</w:t>
      </w:r>
      <w:r w:rsidRPr="007533F8">
        <w:rPr>
          <w:rFonts w:eastAsiaTheme="minorEastAsia"/>
          <w:lang w:eastAsia="zh-CN" w:bidi="th-TH"/>
        </w:rPr>
        <w:t>年生物多样性愿景的长期战略方向、与自然和谐共处的方式以及制定</w:t>
      </w:r>
      <w:r w:rsidRPr="007533F8">
        <w:rPr>
          <w:rFonts w:eastAsiaTheme="minorEastAsia"/>
          <w:lang w:eastAsia="zh-CN" w:bidi="th-TH"/>
        </w:rPr>
        <w:t>2020</w:t>
      </w:r>
      <w:r w:rsidRPr="007533F8">
        <w:rPr>
          <w:rFonts w:eastAsiaTheme="minorEastAsia"/>
          <w:lang w:eastAsia="zh-CN" w:bidi="th-TH"/>
        </w:rPr>
        <w:t>年后全球生物多样性框架的进程有关的讨论；</w:t>
      </w:r>
    </w:p>
    <w:p w:rsidR="007533F8" w:rsidRPr="007533F8" w:rsidRDefault="007533F8" w:rsidP="000A1A91">
      <w:pPr>
        <w:pStyle w:val="ListParagraph"/>
        <w:numPr>
          <w:ilvl w:val="0"/>
          <w:numId w:val="20"/>
        </w:numPr>
        <w:tabs>
          <w:tab w:val="left" w:pos="1440"/>
        </w:tabs>
        <w:adjustRightInd w:val="0"/>
        <w:ind w:left="0" w:firstLine="720"/>
        <w:rPr>
          <w:rFonts w:eastAsiaTheme="minorEastAsia"/>
          <w:lang w:eastAsia="zh-CN" w:bidi="th-TH"/>
        </w:rPr>
      </w:pPr>
      <w:r w:rsidRPr="007533F8">
        <w:rPr>
          <w:rFonts w:ascii="KaiTi" w:eastAsia="KaiTi" w:hAnsi="KaiTi"/>
          <w:kern w:val="22"/>
          <w:lang w:eastAsia="zh-CN" w:bidi="th-TH"/>
        </w:rPr>
        <w:t>邀请</w:t>
      </w:r>
      <w:r w:rsidRPr="007533F8">
        <w:rPr>
          <w:rFonts w:eastAsiaTheme="minorEastAsia"/>
          <w:lang w:eastAsia="zh-CN" w:bidi="th-TH"/>
        </w:rPr>
        <w:t>从事情景设想和相关评估工作的科学界和其他有关各界考虑与制定</w:t>
      </w:r>
      <w:r w:rsidRPr="007533F8">
        <w:rPr>
          <w:rFonts w:eastAsiaTheme="minorEastAsia"/>
          <w:lang w:eastAsia="zh-CN" w:bidi="th-TH"/>
        </w:rPr>
        <w:t>2020</w:t>
      </w:r>
      <w:r w:rsidRPr="007533F8">
        <w:rPr>
          <w:rFonts w:eastAsiaTheme="minorEastAsia"/>
          <w:lang w:eastAsia="zh-CN" w:bidi="th-TH"/>
        </w:rPr>
        <w:t>年后全球生物多样性框架有关的以下问题</w:t>
      </w:r>
      <w:r w:rsidRPr="007533F8">
        <w:rPr>
          <w:rFonts w:eastAsiaTheme="minorEastAsia"/>
          <w:b/>
          <w:lang w:eastAsia="zh-CN" w:bidi="th-TH"/>
        </w:rPr>
        <w:t>：</w:t>
      </w:r>
    </w:p>
    <w:p w:rsidR="007533F8" w:rsidRPr="007533F8" w:rsidRDefault="007533F8" w:rsidP="000A1A91">
      <w:pPr>
        <w:pStyle w:val="ListParagraph"/>
        <w:numPr>
          <w:ilvl w:val="0"/>
          <w:numId w:val="21"/>
        </w:numPr>
        <w:tabs>
          <w:tab w:val="left" w:pos="1440"/>
        </w:tabs>
        <w:ind w:left="0" w:firstLine="720"/>
        <w:rPr>
          <w:rFonts w:eastAsiaTheme="minorEastAsia"/>
          <w:lang w:eastAsia="zh-CN" w:bidi="th-TH"/>
        </w:rPr>
      </w:pPr>
      <w:r w:rsidRPr="007533F8">
        <w:rPr>
          <w:rFonts w:eastAsiaTheme="minorEastAsia"/>
          <w:lang w:eastAsia="zh-CN" w:bidi="th-TH"/>
        </w:rPr>
        <w:t>与生物多样性丧失有关、涉及广泛的潜在驱动因素及系统性和结构性问题；</w:t>
      </w:r>
    </w:p>
    <w:p w:rsidR="007533F8" w:rsidRPr="007533F8" w:rsidRDefault="007533F8" w:rsidP="000A1A91">
      <w:pPr>
        <w:pStyle w:val="ListParagraph"/>
        <w:numPr>
          <w:ilvl w:val="0"/>
          <w:numId w:val="21"/>
        </w:numPr>
        <w:tabs>
          <w:tab w:val="left" w:pos="1440"/>
        </w:tabs>
        <w:ind w:left="0" w:firstLine="720"/>
        <w:rPr>
          <w:rFonts w:eastAsiaTheme="minorEastAsia"/>
          <w:lang w:eastAsia="zh-CN" w:bidi="th-TH"/>
        </w:rPr>
      </w:pPr>
      <w:r w:rsidRPr="007533F8">
        <w:rPr>
          <w:rFonts w:eastAsiaTheme="minorEastAsia"/>
          <w:lang w:eastAsia="zh-CN" w:bidi="th-TH"/>
        </w:rPr>
        <w:t>多种规模和不同情景设想下的政策办法组合；</w:t>
      </w:r>
    </w:p>
    <w:p w:rsidR="007533F8" w:rsidRPr="007533F8" w:rsidRDefault="007533F8" w:rsidP="000A1A91">
      <w:pPr>
        <w:pStyle w:val="ListParagraph"/>
        <w:numPr>
          <w:ilvl w:val="0"/>
          <w:numId w:val="21"/>
        </w:numPr>
        <w:tabs>
          <w:tab w:val="left" w:pos="1440"/>
        </w:tabs>
        <w:ind w:left="0" w:firstLine="720"/>
        <w:rPr>
          <w:rFonts w:eastAsiaTheme="minorEastAsia"/>
          <w:lang w:eastAsia="zh-CN" w:bidi="th-TH"/>
        </w:rPr>
      </w:pPr>
      <w:r w:rsidRPr="007533F8">
        <w:rPr>
          <w:rFonts w:eastAsiaTheme="minorEastAsia"/>
          <w:lang w:eastAsia="zh-CN" w:bidi="th-TH"/>
        </w:rPr>
        <w:t>确定应予考虑的与生物多样性有关的潜在协同增效作用、利弊因素和局限性，以便确定有助于实现《可持续发展目标》的有效政策和措施；</w:t>
      </w:r>
    </w:p>
    <w:p w:rsidR="007533F8" w:rsidRPr="007533F8" w:rsidRDefault="007533F8" w:rsidP="000A1A91">
      <w:pPr>
        <w:pStyle w:val="ListParagraph"/>
        <w:numPr>
          <w:ilvl w:val="0"/>
          <w:numId w:val="21"/>
        </w:numPr>
        <w:tabs>
          <w:tab w:val="left" w:pos="1440"/>
        </w:tabs>
        <w:ind w:left="0" w:firstLine="720"/>
        <w:rPr>
          <w:rFonts w:eastAsiaTheme="minorEastAsia"/>
          <w:lang w:eastAsia="zh-CN" w:bidi="th-TH"/>
        </w:rPr>
      </w:pPr>
      <w:r w:rsidRPr="007533F8">
        <w:rPr>
          <w:rFonts w:eastAsiaTheme="minorEastAsia"/>
          <w:lang w:eastAsia="zh-CN" w:bidi="th-TH"/>
        </w:rPr>
        <w:t>土著人民和地方社区的集体行动对于保护生物多样性和可持续利用其组成部分的贡献；</w:t>
      </w:r>
    </w:p>
    <w:p w:rsidR="007533F8" w:rsidRPr="007533F8" w:rsidRDefault="007533F8" w:rsidP="000A1A91">
      <w:pPr>
        <w:pStyle w:val="ListParagraph"/>
        <w:numPr>
          <w:ilvl w:val="0"/>
          <w:numId w:val="21"/>
        </w:numPr>
        <w:tabs>
          <w:tab w:val="left" w:pos="1440"/>
        </w:tabs>
        <w:ind w:left="0" w:firstLine="720"/>
        <w:rPr>
          <w:rFonts w:eastAsiaTheme="minorEastAsia"/>
          <w:lang w:eastAsia="zh-CN" w:bidi="th-TH"/>
        </w:rPr>
      </w:pPr>
      <w:r w:rsidRPr="007533F8">
        <w:rPr>
          <w:rFonts w:eastAsiaTheme="minorEastAsia"/>
          <w:lang w:eastAsia="zh-CN" w:bidi="th-TH"/>
        </w:rPr>
        <w:t>土著人民和地方社区的生物多样性可持续习惯使用替代情景设想的后果；</w:t>
      </w:r>
    </w:p>
    <w:p w:rsidR="007533F8" w:rsidRPr="007533F8" w:rsidRDefault="007533F8" w:rsidP="000A1A91">
      <w:pPr>
        <w:pStyle w:val="ListParagraph"/>
        <w:numPr>
          <w:ilvl w:val="0"/>
          <w:numId w:val="21"/>
        </w:numPr>
        <w:tabs>
          <w:tab w:val="left" w:pos="1440"/>
        </w:tabs>
        <w:ind w:left="0" w:firstLine="720"/>
        <w:rPr>
          <w:rFonts w:eastAsiaTheme="minorEastAsia"/>
          <w:lang w:eastAsia="zh-CN" w:bidi="th-TH"/>
        </w:rPr>
      </w:pPr>
      <w:r w:rsidRPr="007533F8">
        <w:rPr>
          <w:rFonts w:eastAsiaTheme="minorEastAsia"/>
          <w:lang w:eastAsia="zh-CN" w:bidi="th-TH"/>
        </w:rPr>
        <w:t>为</w:t>
      </w:r>
      <w:r w:rsidRPr="007533F8">
        <w:rPr>
          <w:rFonts w:eastAsiaTheme="minorEastAsia"/>
          <w:lang w:eastAsia="zh-CN" w:bidi="th-TH"/>
        </w:rPr>
        <w:t>2020</w:t>
      </w:r>
      <w:r w:rsidRPr="007533F8">
        <w:rPr>
          <w:rFonts w:eastAsiaTheme="minorEastAsia"/>
          <w:lang w:eastAsia="zh-CN" w:bidi="th-TH"/>
        </w:rPr>
        <w:t>年后全球生物多样性框架和实现</w:t>
      </w:r>
      <w:r w:rsidRPr="007533F8">
        <w:rPr>
          <w:rFonts w:eastAsiaTheme="minorEastAsia"/>
          <w:lang w:eastAsia="zh-CN" w:bidi="th-TH"/>
        </w:rPr>
        <w:t>2050</w:t>
      </w:r>
      <w:r w:rsidRPr="007533F8">
        <w:rPr>
          <w:rFonts w:eastAsiaTheme="minorEastAsia"/>
          <w:lang w:eastAsia="zh-CN" w:bidi="th-TH"/>
        </w:rPr>
        <w:t>年生物多样性愿景提供资金的情景设想分析，同时考虑到《公约》第</w:t>
      </w:r>
      <w:r w:rsidRPr="007533F8">
        <w:rPr>
          <w:rFonts w:eastAsiaTheme="minorEastAsia"/>
          <w:lang w:eastAsia="zh-CN" w:bidi="th-TH"/>
        </w:rPr>
        <w:t>20</w:t>
      </w:r>
      <w:r w:rsidRPr="007533F8">
        <w:rPr>
          <w:rFonts w:eastAsiaTheme="minorEastAsia"/>
          <w:lang w:eastAsia="zh-CN" w:bidi="th-TH"/>
        </w:rPr>
        <w:t>条；</w:t>
      </w:r>
    </w:p>
    <w:p w:rsidR="007533F8" w:rsidRPr="007533F8" w:rsidRDefault="007533F8" w:rsidP="000A1A91">
      <w:pPr>
        <w:pStyle w:val="ListParagraph"/>
        <w:widowControl w:val="0"/>
        <w:numPr>
          <w:ilvl w:val="0"/>
          <w:numId w:val="21"/>
        </w:numPr>
        <w:tabs>
          <w:tab w:val="left" w:pos="1440"/>
        </w:tabs>
        <w:ind w:left="0" w:firstLine="720"/>
        <w:rPr>
          <w:rFonts w:eastAsiaTheme="minorEastAsia"/>
          <w:lang w:eastAsia="zh-CN" w:bidi="th-TH"/>
        </w:rPr>
      </w:pPr>
      <w:r w:rsidRPr="007533F8">
        <w:rPr>
          <w:rFonts w:eastAsiaTheme="minorEastAsia"/>
          <w:lang w:eastAsia="zh-CN" w:bidi="th-TH"/>
        </w:rPr>
        <w:t>依照《公约》和《名古屋议定书》对公正和公平地分享利用遗传资源所产生的惠益的情景设想分析，包括从其非商业和商业利用得到的货币和非货币性惠益以及惠益分享的潜力，以促进生物多样性的保护和可持续利用；</w:t>
      </w:r>
    </w:p>
    <w:p w:rsidR="007533F8" w:rsidRPr="007533F8" w:rsidRDefault="007533F8" w:rsidP="000A1A91">
      <w:pPr>
        <w:pStyle w:val="ListParagraph"/>
        <w:numPr>
          <w:ilvl w:val="0"/>
          <w:numId w:val="21"/>
        </w:numPr>
        <w:tabs>
          <w:tab w:val="left" w:pos="1440"/>
        </w:tabs>
        <w:ind w:left="0" w:firstLine="720"/>
        <w:rPr>
          <w:rFonts w:eastAsiaTheme="minorEastAsia"/>
          <w:lang w:eastAsia="zh-CN" w:bidi="th-TH"/>
        </w:rPr>
      </w:pPr>
      <w:r w:rsidRPr="007533F8">
        <w:rPr>
          <w:rFonts w:eastAsiaTheme="minorEastAsia"/>
          <w:lang w:eastAsia="zh-CN" w:bidi="th-TH"/>
        </w:rPr>
        <w:t>在制定、实施和监测</w:t>
      </w:r>
      <w:r w:rsidRPr="007533F8">
        <w:rPr>
          <w:rFonts w:eastAsiaTheme="minorEastAsia"/>
          <w:lang w:eastAsia="zh-CN" w:bidi="th-TH"/>
        </w:rPr>
        <w:t>2020</w:t>
      </w:r>
      <w:r w:rsidRPr="007533F8">
        <w:rPr>
          <w:rFonts w:eastAsiaTheme="minorEastAsia"/>
          <w:lang w:eastAsia="zh-CN" w:bidi="th-TH"/>
        </w:rPr>
        <w:t>年后全球生物多样性框架中纳入性别平等观点；</w:t>
      </w:r>
    </w:p>
    <w:p w:rsidR="007533F8" w:rsidRPr="007533F8" w:rsidRDefault="007533F8" w:rsidP="000A1A91">
      <w:pPr>
        <w:pStyle w:val="ListParagraph"/>
        <w:numPr>
          <w:ilvl w:val="0"/>
          <w:numId w:val="21"/>
        </w:numPr>
        <w:tabs>
          <w:tab w:val="left" w:pos="1440"/>
        </w:tabs>
        <w:ind w:left="0" w:firstLine="720"/>
        <w:rPr>
          <w:rFonts w:eastAsiaTheme="minorEastAsia"/>
          <w:lang w:eastAsia="zh-CN" w:bidi="th-TH"/>
        </w:rPr>
      </w:pPr>
      <w:r w:rsidRPr="007533F8">
        <w:rPr>
          <w:rFonts w:eastAsiaTheme="minorEastAsia"/>
          <w:lang w:eastAsia="zh-CN" w:bidi="th-TH"/>
        </w:rPr>
        <w:t>农业</w:t>
      </w:r>
      <w:r w:rsidRPr="007533F8">
        <w:rPr>
          <w:rFonts w:eastAsiaTheme="minorEastAsia"/>
          <w:bCs/>
          <w:lang w:eastAsia="zh-CN" w:bidi="th-TH"/>
        </w:rPr>
        <w:t>、林业和渔业等生产部门的潜在积极和消极影响</w:t>
      </w:r>
      <w:r w:rsidRPr="007533F8">
        <w:rPr>
          <w:rFonts w:eastAsiaTheme="minorEastAsia"/>
          <w:lang w:eastAsia="zh-CN" w:bidi="th-TH"/>
        </w:rPr>
        <w:t>；</w:t>
      </w:r>
    </w:p>
    <w:p w:rsidR="007533F8" w:rsidRPr="007533F8" w:rsidRDefault="007533F8" w:rsidP="000A1A91">
      <w:pPr>
        <w:pStyle w:val="ListParagraph"/>
        <w:numPr>
          <w:ilvl w:val="0"/>
          <w:numId w:val="21"/>
        </w:numPr>
        <w:tabs>
          <w:tab w:val="left" w:pos="1440"/>
        </w:tabs>
        <w:ind w:left="0" w:firstLine="720"/>
        <w:rPr>
          <w:rFonts w:eastAsiaTheme="minorEastAsia"/>
          <w:lang w:eastAsia="zh-CN" w:bidi="th-TH"/>
        </w:rPr>
      </w:pPr>
      <w:r w:rsidRPr="007533F8">
        <w:rPr>
          <w:rFonts w:eastAsiaTheme="minorEastAsia"/>
          <w:lang w:eastAsia="zh-CN" w:bidi="th-TH"/>
        </w:rPr>
        <w:t>技术发展，如数据分析的进步、遗传资源的数字序列信息、新种类的改性活生物体和合成生物学，及其对实现《公约》三项目标以及土著人民和地方社区生活方式和传统知识的可能的积极或消极影响；</w:t>
      </w:r>
    </w:p>
    <w:p w:rsidR="007533F8" w:rsidRPr="007533F8" w:rsidRDefault="007533F8" w:rsidP="001A2AC9">
      <w:pPr>
        <w:pStyle w:val="ListParagraph"/>
        <w:widowControl w:val="0"/>
        <w:numPr>
          <w:ilvl w:val="0"/>
          <w:numId w:val="21"/>
        </w:numPr>
        <w:tabs>
          <w:tab w:val="left" w:pos="1440"/>
        </w:tabs>
        <w:ind w:left="0" w:firstLine="720"/>
        <w:rPr>
          <w:rFonts w:eastAsiaTheme="minorEastAsia"/>
          <w:lang w:eastAsia="zh-CN" w:bidi="th-TH"/>
        </w:rPr>
      </w:pPr>
      <w:r w:rsidRPr="007533F8">
        <w:rPr>
          <w:rFonts w:eastAsiaTheme="minorEastAsia"/>
          <w:lang w:eastAsia="zh-CN" w:bidi="th-TH"/>
        </w:rPr>
        <w:lastRenderedPageBreak/>
        <w:t>加强宣传以提高对生物多样性的多重价值和生物多样性丧失后果的认识的重要性；</w:t>
      </w:r>
    </w:p>
    <w:p w:rsidR="007533F8" w:rsidRPr="007533F8" w:rsidRDefault="007533F8" w:rsidP="000A1A91">
      <w:pPr>
        <w:pStyle w:val="ListParagraph"/>
        <w:numPr>
          <w:ilvl w:val="0"/>
          <w:numId w:val="21"/>
        </w:numPr>
        <w:tabs>
          <w:tab w:val="left" w:pos="1440"/>
        </w:tabs>
        <w:ind w:left="0" w:firstLine="720"/>
        <w:rPr>
          <w:rFonts w:eastAsiaTheme="minorEastAsia"/>
          <w:lang w:eastAsia="zh-CN" w:bidi="th-TH"/>
        </w:rPr>
      </w:pPr>
      <w:r w:rsidRPr="007533F8">
        <w:rPr>
          <w:rFonts w:eastAsiaTheme="minorEastAsia"/>
          <w:lang w:eastAsia="zh-CN" w:bidi="th-TH"/>
        </w:rPr>
        <w:t>各种情景设想和相关评估如何能说明已达成实现长期目标以及短期和长期的进度表；</w:t>
      </w:r>
    </w:p>
    <w:p w:rsidR="007533F8" w:rsidRPr="007533F8" w:rsidRDefault="007533F8" w:rsidP="000A1A91">
      <w:pPr>
        <w:pStyle w:val="ListParagraph"/>
        <w:numPr>
          <w:ilvl w:val="0"/>
          <w:numId w:val="20"/>
        </w:numPr>
        <w:tabs>
          <w:tab w:val="left" w:pos="1440"/>
        </w:tabs>
        <w:adjustRightInd w:val="0"/>
        <w:ind w:left="0" w:firstLine="720"/>
        <w:rPr>
          <w:rFonts w:eastAsiaTheme="minorEastAsia"/>
          <w:lang w:eastAsia="zh-CN" w:bidi="th-TH"/>
        </w:rPr>
      </w:pPr>
      <w:r w:rsidRPr="007533F8">
        <w:rPr>
          <w:rFonts w:ascii="KaiTi" w:eastAsia="KaiTi" w:hAnsi="KaiTi"/>
          <w:kern w:val="22"/>
          <w:lang w:eastAsia="zh-CN" w:bidi="th-TH"/>
        </w:rPr>
        <w:t>请</w:t>
      </w:r>
      <w:r w:rsidRPr="007533F8">
        <w:rPr>
          <w:rFonts w:eastAsiaTheme="minorEastAsia"/>
          <w:lang w:eastAsia="zh-CN" w:bidi="th-TH"/>
        </w:rPr>
        <w:t>执行秘书根据</w:t>
      </w:r>
      <w:hyperlink r:id="rId11" w:history="1">
        <w:r w:rsidRPr="007533F8">
          <w:rPr>
            <w:rStyle w:val="Hyperlink"/>
            <w:rFonts w:eastAsiaTheme="minorEastAsia"/>
            <w:lang w:eastAsia="zh-CN"/>
          </w:rPr>
          <w:t>第</w:t>
        </w:r>
        <w:r w:rsidRPr="007533F8">
          <w:rPr>
            <w:rStyle w:val="Hyperlink"/>
            <w:rFonts w:eastAsiaTheme="minorEastAsia"/>
            <w:lang w:eastAsia="zh-CN"/>
          </w:rPr>
          <w:t>XIII/23</w:t>
        </w:r>
        <w:r w:rsidRPr="007533F8">
          <w:rPr>
            <w:rStyle w:val="Hyperlink"/>
            <w:rFonts w:eastAsiaTheme="minorEastAsia"/>
            <w:lang w:eastAsia="zh-CN"/>
          </w:rPr>
          <w:t>号决定</w:t>
        </w:r>
      </w:hyperlink>
      <w:r w:rsidRPr="007533F8">
        <w:rPr>
          <w:rFonts w:eastAsiaTheme="minorEastAsia"/>
          <w:lang w:eastAsia="zh-CN" w:bidi="th-TH"/>
        </w:rPr>
        <w:t>与有关伙伴合作，促进尤其是发展中国家和经济转型国家、特别是最不发达国家和小岛屿发展中国家的能力建设活动，使所有国家都能参与情景设想的编制和应用；</w:t>
      </w:r>
    </w:p>
    <w:p w:rsidR="007533F8" w:rsidRPr="007533F8" w:rsidRDefault="007533F8" w:rsidP="000A1A91">
      <w:pPr>
        <w:pStyle w:val="ListParagraph"/>
        <w:numPr>
          <w:ilvl w:val="0"/>
          <w:numId w:val="20"/>
        </w:numPr>
        <w:tabs>
          <w:tab w:val="left" w:pos="1440"/>
        </w:tabs>
        <w:adjustRightInd w:val="0"/>
        <w:ind w:left="0" w:firstLine="720"/>
        <w:rPr>
          <w:rFonts w:eastAsiaTheme="minorEastAsia"/>
          <w:lang w:eastAsia="zh-CN" w:bidi="th-TH"/>
        </w:rPr>
      </w:pPr>
      <w:r w:rsidRPr="007533F8">
        <w:rPr>
          <w:rFonts w:ascii="KaiTi" w:eastAsia="KaiTi" w:hAnsi="KaiTi"/>
          <w:kern w:val="22"/>
          <w:lang w:eastAsia="zh-CN" w:bidi="th-TH"/>
        </w:rPr>
        <w:t>又请</w:t>
      </w:r>
      <w:r w:rsidRPr="007533F8">
        <w:rPr>
          <w:rFonts w:eastAsiaTheme="minorEastAsia"/>
          <w:lang w:eastAsia="zh-CN" w:bidi="th-TH"/>
        </w:rPr>
        <w:t>执行秘书依照关于传播战略框架的</w:t>
      </w:r>
      <w:hyperlink r:id="rId12" w:history="1">
        <w:r w:rsidRPr="007533F8">
          <w:rPr>
            <w:rStyle w:val="Hyperlink"/>
            <w:rFonts w:eastAsiaTheme="minorEastAsia"/>
            <w:lang w:eastAsia="zh-CN"/>
          </w:rPr>
          <w:t>第</w:t>
        </w:r>
        <w:r w:rsidRPr="007533F8">
          <w:rPr>
            <w:rStyle w:val="Hyperlink"/>
            <w:rFonts w:eastAsiaTheme="minorEastAsia"/>
            <w:lang w:eastAsia="zh-CN"/>
          </w:rPr>
          <w:t>XIII/22</w:t>
        </w:r>
        <w:r w:rsidRPr="007533F8">
          <w:rPr>
            <w:rStyle w:val="Hyperlink"/>
            <w:rFonts w:eastAsiaTheme="minorEastAsia"/>
            <w:lang w:eastAsia="zh-CN"/>
          </w:rPr>
          <w:t>号决定</w:t>
        </w:r>
      </w:hyperlink>
      <w:r w:rsidRPr="007533F8">
        <w:rPr>
          <w:rFonts w:eastAsiaTheme="minorEastAsia"/>
          <w:lang w:eastAsia="zh-CN" w:bidi="th-TH"/>
        </w:rPr>
        <w:t>，推动把情景设想的使用作为传播工具，以提高公众认识和促进所有利益攸关方特别是学术界和科学界的参与和投入，扩大全球对生物多样性问题的支持，包括让来自各区域的名人担任生物多样性大使，为生物多样性代言。</w:t>
      </w:r>
    </w:p>
    <w:p w:rsidR="007533F8" w:rsidRPr="00942952" w:rsidRDefault="007533F8" w:rsidP="00FF4964">
      <w:pPr>
        <w:spacing w:before="240"/>
        <w:ind w:firstLine="0"/>
        <w:jc w:val="center"/>
        <w:rPr>
          <w:rFonts w:ascii="KaiTi" w:eastAsia="KaiTi" w:hAnsi="KaiTi"/>
          <w:bCs/>
          <w:lang w:eastAsia="zh-CN" w:bidi="th-TH"/>
        </w:rPr>
      </w:pPr>
      <w:r w:rsidRPr="00942952">
        <w:rPr>
          <w:rFonts w:ascii="KaiTi" w:eastAsia="KaiTi" w:hAnsi="KaiTi" w:hint="eastAsia"/>
          <w:bCs/>
          <w:lang w:eastAsia="zh-CN" w:bidi="th-TH"/>
        </w:rPr>
        <w:t>附件</w:t>
      </w:r>
    </w:p>
    <w:p w:rsidR="007533F8" w:rsidRPr="007533F8" w:rsidRDefault="007533F8" w:rsidP="00FF4964">
      <w:pPr>
        <w:spacing w:line="240" w:lineRule="atLeast"/>
        <w:ind w:firstLine="0"/>
        <w:jc w:val="center"/>
        <w:rPr>
          <w:rFonts w:eastAsiaTheme="minorEastAsia"/>
          <w:b/>
          <w:lang w:eastAsia="zh-CN" w:bidi="th-TH"/>
        </w:rPr>
      </w:pPr>
      <w:r w:rsidRPr="007533F8">
        <w:rPr>
          <w:rFonts w:eastAsiaTheme="minorEastAsia"/>
          <w:b/>
          <w:lang w:eastAsia="zh-CN" w:bidi="th-TH"/>
        </w:rPr>
        <w:t>科学、技术和工艺咨询附属机构关于《</w:t>
      </w:r>
      <w:r w:rsidRPr="007533F8">
        <w:rPr>
          <w:rFonts w:eastAsiaTheme="minorEastAsia"/>
          <w:b/>
          <w:lang w:eastAsia="zh-CN" w:bidi="th-TH"/>
        </w:rPr>
        <w:t>2050</w:t>
      </w:r>
      <w:r w:rsidRPr="007533F8">
        <w:rPr>
          <w:rFonts w:eastAsiaTheme="minorEastAsia"/>
          <w:b/>
          <w:lang w:eastAsia="zh-CN"/>
        </w:rPr>
        <w:t>年生物多样性愿景》情景设想的结论</w:t>
      </w:r>
    </w:p>
    <w:p w:rsidR="007533F8" w:rsidRPr="00942952" w:rsidRDefault="007533F8" w:rsidP="000A1A91">
      <w:pPr>
        <w:pStyle w:val="BodyText"/>
        <w:numPr>
          <w:ilvl w:val="4"/>
          <w:numId w:val="19"/>
        </w:numPr>
        <w:suppressLineNumbers/>
        <w:tabs>
          <w:tab w:val="left" w:pos="720"/>
        </w:tabs>
        <w:suppressAutoHyphens/>
        <w:spacing w:line="240" w:lineRule="atLeast"/>
        <w:ind w:left="0" w:firstLine="0"/>
        <w:rPr>
          <w:rFonts w:hAnsi="SimSun"/>
          <w:snapToGrid w:val="0"/>
          <w:kern w:val="22"/>
          <w:lang w:eastAsia="zh-CN" w:bidi="th-TH"/>
        </w:rPr>
      </w:pPr>
      <w:r w:rsidRPr="00942952">
        <w:rPr>
          <w:rFonts w:ascii="KaiTi" w:eastAsia="KaiTi" w:hAnsi="KaiTi" w:hint="eastAsia"/>
          <w:bCs/>
          <w:lang w:eastAsia="zh-CN" w:bidi="th-TH"/>
        </w:rPr>
        <w:t>《战略计划》的</w:t>
      </w:r>
      <w:r w:rsidRPr="00ED3A0C">
        <w:rPr>
          <w:rFonts w:eastAsia="Times New Roman" w:hAnsi="SimSun"/>
          <w:snapToGrid w:val="0"/>
          <w:kern w:val="22"/>
          <w:lang w:eastAsia="zh-CN" w:bidi="th-TH"/>
        </w:rPr>
        <w:t>2050</w:t>
      </w:r>
      <w:r w:rsidRPr="00942952">
        <w:rPr>
          <w:rFonts w:ascii="KaiTi" w:eastAsia="KaiTi" w:hAnsi="KaiTi" w:hint="eastAsia"/>
          <w:bCs/>
          <w:lang w:eastAsia="zh-CN" w:bidi="th-TH"/>
        </w:rPr>
        <w:t>年愿景仍然具有实际意义，应在《</w:t>
      </w:r>
      <w:r w:rsidRPr="00ED3A0C">
        <w:rPr>
          <w:rFonts w:eastAsia="Times New Roman" w:hAnsi="SimSun"/>
          <w:snapToGrid w:val="0"/>
          <w:kern w:val="22"/>
          <w:lang w:eastAsia="zh-CN" w:bidi="th-TH"/>
        </w:rPr>
        <w:t>2011-2020</w:t>
      </w:r>
      <w:r w:rsidRPr="00942952">
        <w:rPr>
          <w:rFonts w:ascii="KaiTi" w:eastAsia="KaiTi" w:hAnsi="KaiTi" w:hint="eastAsia"/>
          <w:bCs/>
          <w:lang w:eastAsia="zh-CN" w:bidi="th-TH"/>
        </w:rPr>
        <w:t>年生物多样性战略计划》的任何后续行动中加以考虑</w:t>
      </w:r>
      <w:r w:rsidRPr="00942952">
        <w:rPr>
          <w:rFonts w:ascii="KaiTi" w:eastAsia="KaiTi" w:hAnsi="KaiTi" w:hint="eastAsia"/>
          <w:b/>
          <w:bCs/>
          <w:lang w:eastAsia="zh-CN" w:bidi="th-TH"/>
        </w:rPr>
        <w:t>。</w:t>
      </w:r>
      <w:r w:rsidRPr="00942952">
        <w:rPr>
          <w:rFonts w:eastAsia="Times New Roman" w:hAnsi="SimSun"/>
          <w:snapToGrid w:val="0"/>
          <w:kern w:val="22"/>
          <w:lang w:eastAsia="zh-CN" w:bidi="th-TH"/>
        </w:rPr>
        <w:t>2050年愿景（</w:t>
      </w:r>
      <w:r w:rsidRPr="00942952">
        <w:rPr>
          <w:rFonts w:eastAsia="Times New Roman" w:hAnsi="SimSun"/>
          <w:snapToGrid w:val="0"/>
          <w:kern w:val="22"/>
          <w:lang w:eastAsia="zh-CN" w:bidi="th-TH"/>
        </w:rPr>
        <w:t>“</w:t>
      </w:r>
      <w:r w:rsidRPr="00942952">
        <w:rPr>
          <w:rFonts w:eastAsia="Times New Roman" w:hAnsi="SimSun"/>
          <w:snapToGrid w:val="0"/>
          <w:kern w:val="22"/>
          <w:lang w:eastAsia="zh-CN" w:bidi="th-TH"/>
        </w:rPr>
        <w:t>与自然和谐相处</w:t>
      </w:r>
      <w:r w:rsidRPr="00942952">
        <w:rPr>
          <w:rFonts w:eastAsia="Times New Roman" w:hAnsi="SimSun"/>
          <w:snapToGrid w:val="0"/>
          <w:kern w:val="22"/>
          <w:lang w:eastAsia="zh-CN" w:bidi="th-TH"/>
        </w:rPr>
        <w:t>”</w:t>
      </w:r>
      <w:r w:rsidRPr="00942952">
        <w:rPr>
          <w:rFonts w:eastAsia="Times New Roman" w:hAnsi="SimSun"/>
          <w:snapToGrid w:val="0"/>
          <w:kern w:val="22"/>
          <w:lang w:eastAsia="zh-CN" w:bidi="th-TH"/>
        </w:rPr>
        <w:t>，其中</w:t>
      </w:r>
      <w:r w:rsidRPr="00942952">
        <w:rPr>
          <w:rFonts w:eastAsia="Times New Roman" w:hAnsi="SimSun"/>
          <w:snapToGrid w:val="0"/>
          <w:kern w:val="22"/>
          <w:lang w:eastAsia="zh-CN" w:bidi="th-TH"/>
        </w:rPr>
        <w:t>“</w:t>
      </w:r>
      <w:r w:rsidRPr="00942952">
        <w:rPr>
          <w:rFonts w:eastAsia="Times New Roman" w:hAnsi="SimSun"/>
          <w:snapToGrid w:val="0"/>
          <w:kern w:val="22"/>
          <w:lang w:eastAsia="zh-CN" w:bidi="th-TH"/>
        </w:rPr>
        <w:t>到2050年，生物多样性受到重视、得到保护、恢复和合理利用，维持生态系统服务，实现一个可持续的健康的地球，所有人民都能共享重要惠益</w:t>
      </w:r>
      <w:r w:rsidRPr="00942952">
        <w:rPr>
          <w:rFonts w:eastAsia="Times New Roman" w:hAnsi="SimSun"/>
          <w:snapToGrid w:val="0"/>
          <w:kern w:val="22"/>
          <w:lang w:eastAsia="zh-CN" w:bidi="th-TH"/>
        </w:rPr>
        <w:t>”</w:t>
      </w:r>
      <w:r w:rsidRPr="00942952">
        <w:rPr>
          <w:rFonts w:eastAsia="Times New Roman" w:hAnsi="SimSun"/>
          <w:snapToGrid w:val="0"/>
          <w:kern w:val="22"/>
          <w:lang w:eastAsia="zh-CN" w:bidi="th-TH"/>
        </w:rPr>
        <w:t>）包含可被转化为生物多样性长期目标的要素，并为讨论作为2020年后全球生物多样性框架一部分的2030年可能的生物多样性目标提供框架。</w:t>
      </w:r>
    </w:p>
    <w:p w:rsidR="007533F8" w:rsidRPr="00942952" w:rsidRDefault="007533F8" w:rsidP="000A1A91">
      <w:pPr>
        <w:pStyle w:val="BodyText"/>
        <w:numPr>
          <w:ilvl w:val="4"/>
          <w:numId w:val="19"/>
        </w:numPr>
        <w:suppressLineNumbers/>
        <w:tabs>
          <w:tab w:val="left" w:pos="720"/>
        </w:tabs>
        <w:suppressAutoHyphens/>
        <w:spacing w:line="240" w:lineRule="atLeast"/>
        <w:ind w:left="0" w:firstLine="0"/>
        <w:rPr>
          <w:rFonts w:hAnsi="SimSun"/>
          <w:snapToGrid w:val="0"/>
          <w:kern w:val="22"/>
          <w:lang w:eastAsia="zh-CN" w:bidi="th-TH"/>
        </w:rPr>
      </w:pPr>
      <w:r w:rsidRPr="00942952">
        <w:rPr>
          <w:rFonts w:ascii="KaiTi" w:eastAsia="KaiTi" w:hAnsi="KaiTi" w:hint="eastAsia"/>
          <w:bCs/>
          <w:lang w:eastAsia="zh-CN" w:bidi="th-TH"/>
        </w:rPr>
        <w:t>目前趋势或</w:t>
      </w:r>
      <w:r w:rsidRPr="00942952">
        <w:rPr>
          <w:rFonts w:ascii="KaiTi" w:eastAsia="KaiTi" w:hAnsi="KaiTi" w:hint="eastAsia"/>
          <w:snapToGrid w:val="0"/>
          <w:kern w:val="22"/>
          <w:lang w:eastAsia="zh-CN" w:bidi="th-TH"/>
        </w:rPr>
        <w:t>“一切照旧”</w:t>
      </w:r>
      <w:r>
        <w:rPr>
          <w:rFonts w:ascii="KaiTi" w:eastAsia="KaiTi" w:hAnsi="KaiTi" w:hint="eastAsia"/>
          <w:bCs/>
          <w:lang w:eastAsia="zh-CN" w:bidi="th-TH"/>
        </w:rPr>
        <w:t>的情景设想</w:t>
      </w:r>
      <w:r w:rsidRPr="00942952">
        <w:rPr>
          <w:rFonts w:ascii="KaiTi" w:eastAsia="KaiTi" w:hAnsi="KaiTi" w:hint="eastAsia"/>
          <w:bCs/>
          <w:lang w:eastAsia="zh-CN" w:bidi="th-TH"/>
        </w:rPr>
        <w:t>表明，生物多样性</w:t>
      </w:r>
      <w:r>
        <w:rPr>
          <w:rFonts w:ascii="KaiTi" w:eastAsia="KaiTi" w:hAnsi="KaiTi" w:hint="eastAsia"/>
          <w:bCs/>
          <w:lang w:eastAsia="zh-CN" w:bidi="th-TH"/>
        </w:rPr>
        <w:t>在</w:t>
      </w:r>
      <w:r w:rsidRPr="00942952">
        <w:rPr>
          <w:rFonts w:ascii="KaiTi" w:eastAsia="KaiTi" w:hAnsi="KaiTi" w:hint="eastAsia"/>
          <w:bCs/>
          <w:lang w:eastAsia="zh-CN" w:bidi="th-TH"/>
        </w:rPr>
        <w:t>不断丧失</w:t>
      </w:r>
      <w:r w:rsidRPr="00942952">
        <w:rPr>
          <w:rFonts w:eastAsia="Times New Roman" w:hAnsi="SimSun"/>
          <w:snapToGrid w:val="0"/>
          <w:kern w:val="22"/>
          <w:lang w:eastAsia="zh-CN" w:bidi="th-TH"/>
        </w:rPr>
        <w:t>，</w:t>
      </w:r>
      <w:r>
        <w:rPr>
          <w:rFonts w:eastAsiaTheme="minorEastAsia" w:hAnsi="SimSun" w:hint="eastAsia"/>
          <w:snapToGrid w:val="0"/>
          <w:kern w:val="22"/>
          <w:lang w:eastAsia="zh-CN" w:bidi="th-TH"/>
        </w:rPr>
        <w:t>给</w:t>
      </w:r>
      <w:r w:rsidRPr="00942952">
        <w:rPr>
          <w:rFonts w:eastAsia="Times New Roman" w:hAnsi="SimSun"/>
          <w:snapToGrid w:val="0"/>
          <w:kern w:val="22"/>
          <w:lang w:eastAsia="zh-CN" w:bidi="th-TH"/>
        </w:rPr>
        <w:t>人类福祉带来</w:t>
      </w:r>
      <w:r>
        <w:rPr>
          <w:rFonts w:eastAsiaTheme="minorEastAsia" w:hAnsi="SimSun" w:hint="eastAsia"/>
          <w:snapToGrid w:val="0"/>
          <w:kern w:val="22"/>
          <w:lang w:eastAsia="zh-CN" w:bidi="th-TH"/>
        </w:rPr>
        <w:t>重大</w:t>
      </w:r>
      <w:r>
        <w:rPr>
          <w:rFonts w:eastAsiaTheme="minorEastAsia" w:hAnsi="SimSun"/>
          <w:snapToGrid w:val="0"/>
          <w:kern w:val="22"/>
          <w:lang w:eastAsia="zh-CN" w:bidi="th-TH"/>
        </w:rPr>
        <w:t>不良后果</w:t>
      </w:r>
      <w:r w:rsidRPr="00942952">
        <w:rPr>
          <w:rFonts w:eastAsia="Times New Roman" w:hAnsi="SimSun"/>
          <w:snapToGrid w:val="0"/>
          <w:kern w:val="22"/>
          <w:lang w:eastAsia="zh-CN" w:bidi="th-TH"/>
        </w:rPr>
        <w:t>，包括导致</w:t>
      </w:r>
      <w:r>
        <w:rPr>
          <w:rFonts w:eastAsiaTheme="minorEastAsia" w:hAnsi="SimSun" w:hint="eastAsia"/>
          <w:bCs/>
          <w:lang w:eastAsia="zh-CN" w:bidi="th-TH"/>
        </w:rPr>
        <w:t>可能无法</w:t>
      </w:r>
      <w:r w:rsidRPr="00942952">
        <w:rPr>
          <w:rFonts w:eastAsia="Times New Roman" w:hAnsi="SimSun"/>
          <w:snapToGrid w:val="0"/>
          <w:kern w:val="22"/>
          <w:lang w:eastAsia="zh-CN" w:bidi="th-TH"/>
        </w:rPr>
        <w:t>逆转的变化。因此，</w:t>
      </w:r>
      <w:r>
        <w:rPr>
          <w:rFonts w:eastAsiaTheme="minorEastAsia" w:hAnsi="SimSun" w:hint="eastAsia"/>
          <w:snapToGrid w:val="0"/>
          <w:kern w:val="22"/>
          <w:lang w:eastAsia="zh-CN" w:bidi="th-TH"/>
        </w:rPr>
        <w:t>就</w:t>
      </w:r>
      <w:r w:rsidRPr="00942952">
        <w:rPr>
          <w:rFonts w:eastAsia="Times New Roman" w:hAnsi="SimSun"/>
          <w:snapToGrid w:val="0"/>
          <w:kern w:val="22"/>
          <w:lang w:eastAsia="zh-CN" w:bidi="th-TH"/>
        </w:rPr>
        <w:t>关生物多样性</w:t>
      </w:r>
      <w:r>
        <w:rPr>
          <w:rFonts w:eastAsiaTheme="minorEastAsia" w:hAnsi="SimSun" w:hint="eastAsia"/>
          <w:snapToGrid w:val="0"/>
          <w:kern w:val="22"/>
          <w:lang w:eastAsia="zh-CN" w:bidi="th-TH"/>
        </w:rPr>
        <w:t>采取</w:t>
      </w:r>
      <w:r w:rsidRPr="00942952">
        <w:rPr>
          <w:rFonts w:eastAsia="Times New Roman" w:hAnsi="SimSun"/>
          <w:snapToGrid w:val="0"/>
          <w:kern w:val="22"/>
          <w:lang w:eastAsia="zh-CN" w:bidi="th-TH"/>
        </w:rPr>
        <w:t>紧急行动仍然是全球性</w:t>
      </w:r>
      <w:r>
        <w:rPr>
          <w:rFonts w:eastAsiaTheme="minorEastAsia" w:hAnsi="SimSun" w:hint="eastAsia"/>
          <w:snapToGrid w:val="0"/>
          <w:kern w:val="22"/>
          <w:lang w:eastAsia="zh-CN" w:bidi="th-TH"/>
        </w:rPr>
        <w:t>的</w:t>
      </w:r>
      <w:r>
        <w:rPr>
          <w:rFonts w:eastAsiaTheme="minorEastAsia" w:hAnsi="SimSun"/>
          <w:snapToGrid w:val="0"/>
          <w:kern w:val="22"/>
          <w:lang w:eastAsia="zh-CN" w:bidi="th-TH"/>
        </w:rPr>
        <w:t>迫切</w:t>
      </w:r>
      <w:r w:rsidRPr="00942952">
        <w:rPr>
          <w:rFonts w:eastAsia="Times New Roman" w:hAnsi="SimSun"/>
          <w:snapToGrid w:val="0"/>
          <w:kern w:val="22"/>
          <w:lang w:eastAsia="zh-CN" w:bidi="th-TH"/>
        </w:rPr>
        <w:t>社会问题。</w:t>
      </w:r>
    </w:p>
    <w:p w:rsidR="007533F8" w:rsidRPr="00942952" w:rsidRDefault="007533F8" w:rsidP="000A1A91">
      <w:pPr>
        <w:pStyle w:val="BodyText"/>
        <w:numPr>
          <w:ilvl w:val="4"/>
          <w:numId w:val="19"/>
        </w:numPr>
        <w:suppressLineNumbers/>
        <w:tabs>
          <w:tab w:val="left" w:pos="720"/>
        </w:tabs>
        <w:suppressAutoHyphens/>
        <w:spacing w:line="240" w:lineRule="atLeast"/>
        <w:ind w:left="0" w:firstLine="0"/>
        <w:rPr>
          <w:rFonts w:hAnsi="SimSun"/>
          <w:lang w:eastAsia="zh-CN" w:bidi="th-TH"/>
        </w:rPr>
      </w:pPr>
      <w:r w:rsidRPr="00942952">
        <w:rPr>
          <w:rFonts w:ascii="KaiTi" w:eastAsia="KaiTi" w:hAnsi="KaiTi" w:hint="eastAsia"/>
          <w:bCs/>
          <w:lang w:eastAsia="zh-CN" w:bidi="th-TH"/>
        </w:rPr>
        <w:t>未来社会经济发展</w:t>
      </w:r>
      <w:r>
        <w:rPr>
          <w:rFonts w:ascii="KaiTi" w:eastAsia="KaiTi" w:hAnsi="KaiTi" w:hint="eastAsia"/>
          <w:bCs/>
          <w:lang w:eastAsia="zh-CN" w:bidi="th-TH"/>
        </w:rPr>
        <w:t>的情景设想</w:t>
      </w:r>
      <w:r w:rsidRPr="00942952">
        <w:rPr>
          <w:rFonts w:ascii="KaiTi" w:eastAsia="KaiTi" w:hAnsi="KaiTi" w:hint="eastAsia"/>
          <w:bCs/>
          <w:lang w:eastAsia="zh-CN" w:bidi="th-TH"/>
        </w:rPr>
        <w:t>表明</w:t>
      </w:r>
      <w:r w:rsidRPr="00942952">
        <w:rPr>
          <w:rFonts w:eastAsia="Times New Roman" w:hAnsi="SimSun"/>
          <w:snapToGrid w:val="0"/>
          <w:kern w:val="22"/>
          <w:lang w:eastAsia="zh-CN" w:bidi="th-TH"/>
        </w:rPr>
        <w:t>，在人口增长、教育、城市化、经济增长、技术发展和国际贸易</w:t>
      </w:r>
      <w:r>
        <w:rPr>
          <w:rFonts w:eastAsiaTheme="minorEastAsia" w:hAnsi="SimSun" w:hint="eastAsia"/>
          <w:snapToGrid w:val="0"/>
          <w:kern w:val="22"/>
          <w:lang w:eastAsia="zh-CN" w:bidi="th-TH"/>
        </w:rPr>
        <w:t>办法</w:t>
      </w:r>
      <w:r w:rsidRPr="00942952">
        <w:rPr>
          <w:rFonts w:eastAsia="Times New Roman" w:hAnsi="SimSun"/>
          <w:snapToGrid w:val="0"/>
          <w:kern w:val="22"/>
          <w:lang w:eastAsia="zh-CN" w:bidi="th-TH"/>
        </w:rPr>
        <w:t>及其他</w:t>
      </w:r>
      <w:r w:rsidRPr="00942952">
        <w:rPr>
          <w:rFonts w:eastAsia="Times New Roman" w:hAnsi="SimSun"/>
          <w:bCs/>
          <w:lang w:eastAsia="zh-CN" w:bidi="th-TH"/>
        </w:rPr>
        <w:t>因素</w:t>
      </w:r>
      <w:r w:rsidRPr="00942952">
        <w:rPr>
          <w:rFonts w:eastAsia="Times New Roman" w:hAnsi="SimSun"/>
          <w:snapToGrid w:val="0"/>
          <w:kern w:val="22"/>
          <w:lang w:eastAsia="zh-CN" w:bidi="th-TH"/>
        </w:rPr>
        <w:t>方面</w:t>
      </w:r>
      <w:r w:rsidRPr="00942952">
        <w:rPr>
          <w:rFonts w:ascii="KaiTi" w:eastAsia="KaiTi" w:hAnsi="KaiTi" w:hint="eastAsia"/>
          <w:bCs/>
          <w:lang w:eastAsia="zh-CN" w:bidi="th-TH"/>
        </w:rPr>
        <w:t>存在</w:t>
      </w:r>
      <w:r w:rsidRPr="002F2F3F">
        <w:rPr>
          <w:rFonts w:ascii="KaiTi" w:eastAsia="KaiTi" w:hAnsi="KaiTi"/>
          <w:bCs/>
          <w:lang w:eastAsia="zh-CN" w:bidi="th-TH"/>
        </w:rPr>
        <w:t>各种</w:t>
      </w:r>
      <w:r w:rsidRPr="00942952">
        <w:rPr>
          <w:rFonts w:ascii="KaiTi" w:eastAsia="KaiTi" w:hAnsi="KaiTi" w:hint="eastAsia"/>
          <w:bCs/>
          <w:lang w:eastAsia="zh-CN" w:bidi="th-TH"/>
        </w:rPr>
        <w:t>可能前景</w:t>
      </w:r>
      <w:r w:rsidRPr="00942952">
        <w:rPr>
          <w:rFonts w:eastAsia="Times New Roman" w:hAnsi="SimSun"/>
          <w:snapToGrid w:val="0"/>
          <w:kern w:val="22"/>
          <w:lang w:eastAsia="zh-CN" w:bidi="th-TH"/>
        </w:rPr>
        <w:t>，导致生态系统和生物多样性变化的驱动因素不同程度的变化</w:t>
      </w:r>
      <w:r w:rsidRPr="00942952">
        <w:rPr>
          <w:rFonts w:eastAsia="Times New Roman" w:hAnsi="SimSun" w:cs="Microsoft YaHei"/>
          <w:lang w:eastAsia="zh-CN"/>
        </w:rPr>
        <w:t>，如气候变化、过度开采、污染、外来入侵物种和</w:t>
      </w:r>
      <w:r>
        <w:rPr>
          <w:rFonts w:eastAsiaTheme="minorEastAsia" w:hAnsi="SimSun" w:cs="Microsoft YaHei" w:hint="eastAsia"/>
          <w:lang w:eastAsia="zh-CN"/>
        </w:rPr>
        <w:t>生境的</w:t>
      </w:r>
      <w:r w:rsidRPr="00942952">
        <w:rPr>
          <w:rFonts w:eastAsia="Times New Roman" w:hAnsi="SimSun" w:cs="Microsoft YaHei"/>
          <w:lang w:eastAsia="zh-CN"/>
        </w:rPr>
        <w:t>丧失，包括土地用途变化。</w:t>
      </w:r>
      <w:r>
        <w:rPr>
          <w:rFonts w:eastAsiaTheme="minorEastAsia" w:hAnsi="SimSun" w:cs="Microsoft YaHei" w:hint="eastAsia"/>
          <w:lang w:eastAsia="zh-CN"/>
        </w:rPr>
        <w:t>这些</w:t>
      </w:r>
      <w:r>
        <w:rPr>
          <w:rFonts w:eastAsiaTheme="minorEastAsia" w:hAnsi="SimSun" w:cs="Microsoft YaHei"/>
          <w:lang w:eastAsia="zh-CN"/>
        </w:rPr>
        <w:t>一系列合理的未来</w:t>
      </w:r>
      <w:r>
        <w:rPr>
          <w:rFonts w:eastAsiaTheme="minorEastAsia" w:hAnsi="SimSun" w:cs="Microsoft YaHei" w:hint="eastAsia"/>
          <w:lang w:eastAsia="zh-CN"/>
        </w:rPr>
        <w:t>为</w:t>
      </w:r>
      <w:r>
        <w:rPr>
          <w:rFonts w:eastAsiaTheme="minorEastAsia" w:hAnsi="SimSun" w:cs="Microsoft YaHei"/>
          <w:lang w:eastAsia="zh-CN"/>
        </w:rPr>
        <w:t>制定政策措施实现</w:t>
      </w:r>
      <w:r>
        <w:rPr>
          <w:rFonts w:eastAsiaTheme="minorEastAsia" w:hAnsi="SimSun" w:cs="Microsoft YaHei"/>
          <w:lang w:eastAsia="zh-CN"/>
        </w:rPr>
        <w:t>2050</w:t>
      </w:r>
      <w:r>
        <w:rPr>
          <w:rFonts w:eastAsiaTheme="minorEastAsia" w:hAnsi="SimSun" w:cs="Microsoft YaHei" w:hint="eastAsia"/>
          <w:lang w:eastAsia="zh-CN"/>
        </w:rPr>
        <w:t>年</w:t>
      </w:r>
      <w:r>
        <w:rPr>
          <w:rFonts w:eastAsiaTheme="minorEastAsia" w:hAnsi="SimSun" w:cs="Microsoft YaHei"/>
          <w:lang w:eastAsia="zh-CN"/>
        </w:rPr>
        <w:t>愿景和其他全球目标提供了空间。</w:t>
      </w:r>
    </w:p>
    <w:p w:rsidR="007533F8" w:rsidRPr="007533F8" w:rsidRDefault="007533F8" w:rsidP="000A1A91">
      <w:pPr>
        <w:pStyle w:val="BodyText"/>
        <w:numPr>
          <w:ilvl w:val="4"/>
          <w:numId w:val="19"/>
        </w:numPr>
        <w:suppressLineNumbers/>
        <w:tabs>
          <w:tab w:val="left" w:pos="720"/>
        </w:tabs>
        <w:suppressAutoHyphens/>
        <w:spacing w:line="240" w:lineRule="atLeast"/>
        <w:ind w:left="0" w:firstLine="0"/>
        <w:rPr>
          <w:rFonts w:hAnsi="SimSun"/>
          <w:snapToGrid w:val="0"/>
          <w:kern w:val="22"/>
          <w:lang w:eastAsia="zh-CN" w:bidi="th-TH"/>
        </w:rPr>
      </w:pPr>
      <w:r w:rsidRPr="007533F8">
        <w:rPr>
          <w:rFonts w:ascii="KaiTi" w:eastAsia="KaiTi" w:hAnsi="KaiTi" w:hint="eastAsia"/>
          <w:bCs/>
          <w:lang w:eastAsia="zh-CN" w:bidi="th-TH"/>
        </w:rPr>
        <w:t>在实现更广泛的社会经济目标的同时，也可以实现</w:t>
      </w:r>
      <w:r w:rsidRPr="007533F8">
        <w:rPr>
          <w:rFonts w:eastAsia="KaiTi"/>
          <w:bCs/>
          <w:lang w:eastAsia="zh-CN" w:bidi="th-TH"/>
        </w:rPr>
        <w:t>2050</w:t>
      </w:r>
      <w:r w:rsidRPr="007533F8">
        <w:rPr>
          <w:rFonts w:ascii="KaiTi" w:eastAsia="KaiTi" w:hAnsi="KaiTi" w:hint="eastAsia"/>
          <w:bCs/>
          <w:lang w:eastAsia="zh-CN" w:bidi="th-TH"/>
        </w:rPr>
        <w:t>年愿景中反映的生物多样性目标，这就需要采用一系列措施</w:t>
      </w:r>
      <w:r w:rsidRPr="007533F8">
        <w:rPr>
          <w:rFonts w:eastAsia="Times New Roman" w:hAnsi="SimSun"/>
          <w:snapToGrid w:val="0"/>
          <w:kern w:val="22"/>
          <w:lang w:eastAsia="zh-CN" w:bidi="th-TH"/>
        </w:rPr>
        <w:t>，</w:t>
      </w:r>
      <w:r w:rsidRPr="007533F8">
        <w:rPr>
          <w:rFonts w:ascii="KaiTi" w:eastAsia="KaiTi" w:hAnsi="KaiTi"/>
          <w:bCs/>
          <w:lang w:eastAsia="zh-CN" w:bidi="th-TH"/>
        </w:rPr>
        <w:t>包括</w:t>
      </w:r>
      <w:r w:rsidRPr="007533F8">
        <w:rPr>
          <w:rFonts w:eastAsia="Times New Roman" w:hAnsi="SimSun"/>
          <w:snapToGrid w:val="0"/>
          <w:kern w:val="22"/>
          <w:lang w:eastAsia="zh-CN" w:bidi="th-TH"/>
        </w:rPr>
        <w:t>：</w:t>
      </w:r>
      <w:r w:rsidRPr="007533F8">
        <w:rPr>
          <w:rFonts w:eastAsiaTheme="minorEastAsia"/>
          <w:bCs/>
          <w:lang w:eastAsia="zh-CN" w:bidi="th-TH"/>
        </w:rPr>
        <w:t>(a) </w:t>
      </w:r>
      <w:r w:rsidRPr="007533F8">
        <w:rPr>
          <w:rFonts w:eastAsiaTheme="minorEastAsia" w:hint="eastAsia"/>
          <w:bCs/>
          <w:lang w:eastAsia="zh-CN" w:bidi="th-TH"/>
        </w:rPr>
        <w:t>为</w:t>
      </w:r>
      <w:r w:rsidRPr="007533F8">
        <w:rPr>
          <w:rFonts w:eastAsia="Times New Roman" w:hAnsi="SimSun"/>
          <w:snapToGrid w:val="0"/>
          <w:kern w:val="22"/>
          <w:lang w:eastAsia="zh-CN" w:bidi="th-TH"/>
        </w:rPr>
        <w:t>提高农业可持续性和生产力</w:t>
      </w:r>
      <w:r w:rsidRPr="007533F8">
        <w:rPr>
          <w:rFonts w:eastAsiaTheme="minorEastAsia" w:hAnsi="SimSun" w:hint="eastAsia"/>
          <w:snapToGrid w:val="0"/>
          <w:kern w:val="22"/>
          <w:lang w:eastAsia="zh-CN" w:bidi="th-TH"/>
        </w:rPr>
        <w:t>，</w:t>
      </w:r>
      <w:r w:rsidRPr="007533F8">
        <w:rPr>
          <w:rFonts w:eastAsia="Times New Roman" w:hAnsi="SimSun"/>
          <w:snapToGrid w:val="0"/>
          <w:kern w:val="22"/>
          <w:lang w:eastAsia="zh-CN" w:bidi="th-TH"/>
        </w:rPr>
        <w:t>更多和更好地利用农业生态系统中</w:t>
      </w:r>
      <w:r w:rsidRPr="007533F8">
        <w:rPr>
          <w:rFonts w:eastAsiaTheme="minorEastAsia" w:hAnsi="SimSun" w:hint="eastAsia"/>
          <w:snapToGrid w:val="0"/>
          <w:kern w:val="22"/>
          <w:lang w:eastAsia="zh-CN" w:bidi="th-TH"/>
        </w:rPr>
        <w:t>的</w:t>
      </w:r>
      <w:r w:rsidRPr="007533F8">
        <w:rPr>
          <w:rFonts w:eastAsia="Times New Roman" w:hAnsi="SimSun"/>
          <w:snapToGrid w:val="0"/>
          <w:kern w:val="22"/>
          <w:lang w:eastAsia="zh-CN" w:bidi="th-TH"/>
        </w:rPr>
        <w:t>生物多样性</w:t>
      </w:r>
      <w:r w:rsidRPr="007533F8">
        <w:rPr>
          <w:rFonts w:eastAsiaTheme="minorEastAsia" w:hAnsi="SimSun" w:hint="eastAsia"/>
          <w:snapToGrid w:val="0"/>
          <w:kern w:val="22"/>
          <w:lang w:eastAsia="zh-CN" w:bidi="th-TH"/>
        </w:rPr>
        <w:t>以推动提高</w:t>
      </w:r>
      <w:r w:rsidRPr="007533F8">
        <w:rPr>
          <w:rFonts w:eastAsia="Times New Roman" w:hAnsi="SimSun"/>
          <w:snapToGrid w:val="0"/>
          <w:kern w:val="22"/>
          <w:lang w:eastAsia="zh-CN" w:bidi="th-TH"/>
        </w:rPr>
        <w:t xml:space="preserve">可持续生产；(b) 通过积极主动的空间规划、恢复退化土地和生态系统以及保护区战略性扩充等手段，减少生态系统退化和碎片化，维护生物多样性及生态系统功能和服务；(c) </w:t>
      </w:r>
      <w:r w:rsidRPr="007533F8">
        <w:rPr>
          <w:rFonts w:eastAsia="Times New Roman" w:hAnsi="SimSun"/>
          <w:snapToGrid w:val="0"/>
          <w:spacing w:val="-20"/>
          <w:kern w:val="22"/>
          <w:lang w:eastAsia="zh-CN" w:bidi="th-TH"/>
        </w:rPr>
        <w:t xml:space="preserve">减少渔业和其他生物资源的过度开发；(d) 控制外来入侵物种；(e) </w:t>
      </w:r>
      <w:r w:rsidRPr="007533F8">
        <w:rPr>
          <w:rFonts w:eastAsia="Times New Roman" w:hAnsi="SimSun"/>
          <w:snapToGrid w:val="0"/>
          <w:kern w:val="22"/>
          <w:lang w:eastAsia="zh-CN" w:bidi="th-TH"/>
        </w:rPr>
        <w:t>适应和减缓气候变化；(f) 减少浪费和过度消费。</w:t>
      </w:r>
    </w:p>
    <w:p w:rsidR="007533F8" w:rsidRPr="007533F8" w:rsidRDefault="007533F8" w:rsidP="000A1A91">
      <w:pPr>
        <w:pStyle w:val="BodyText"/>
        <w:numPr>
          <w:ilvl w:val="4"/>
          <w:numId w:val="19"/>
        </w:numPr>
        <w:suppressLineNumbers/>
        <w:tabs>
          <w:tab w:val="left" w:pos="720"/>
        </w:tabs>
        <w:suppressAutoHyphens/>
        <w:spacing w:line="240" w:lineRule="atLeast"/>
        <w:ind w:left="0" w:firstLine="0"/>
        <w:rPr>
          <w:rFonts w:hAnsi="SimSun"/>
          <w:snapToGrid w:val="0"/>
          <w:kern w:val="22"/>
          <w:lang w:eastAsia="zh-CN" w:bidi="th-TH"/>
        </w:rPr>
      </w:pPr>
      <w:r w:rsidRPr="007533F8">
        <w:rPr>
          <w:rFonts w:ascii="KaiTi" w:eastAsia="KaiTi" w:hAnsi="KaiTi" w:hint="eastAsia"/>
          <w:bCs/>
          <w:lang w:eastAsia="zh-CN" w:bidi="th-TH"/>
        </w:rPr>
        <w:lastRenderedPageBreak/>
        <w:t>这些措施可以根据各国和利益攸关方的需求和优先事项，在各种“政策组合”中制定。</w:t>
      </w:r>
      <w:r w:rsidRPr="007533F8">
        <w:rPr>
          <w:rFonts w:eastAsia="Times New Roman" w:hAnsi="SimSun"/>
          <w:snapToGrid w:val="0"/>
          <w:kern w:val="22"/>
          <w:lang w:eastAsia="zh-CN" w:bidi="th-TH"/>
        </w:rPr>
        <w:t>例如，上文第4段</w:t>
      </w:r>
      <w:r w:rsidRPr="007533F8">
        <w:rPr>
          <w:rFonts w:eastAsiaTheme="minorEastAsia" w:hAnsi="SimSun" w:hint="eastAsia"/>
          <w:snapToGrid w:val="0"/>
          <w:kern w:val="22"/>
          <w:lang w:eastAsia="zh-CN" w:bidi="th-TH"/>
        </w:rPr>
        <w:t>所述一系列</w:t>
      </w:r>
      <w:r w:rsidRPr="007533F8">
        <w:rPr>
          <w:rFonts w:eastAsia="Times New Roman" w:hAnsi="SimSun"/>
          <w:snapToGrid w:val="0"/>
          <w:kern w:val="22"/>
          <w:lang w:eastAsia="zh-CN" w:bidi="th-TH"/>
        </w:rPr>
        <w:t>政策措施在对改变生产和消费的重视程度</w:t>
      </w:r>
      <w:r w:rsidRPr="007533F8">
        <w:rPr>
          <w:rFonts w:eastAsiaTheme="minorEastAsia" w:hAnsi="SimSun" w:hint="eastAsia"/>
          <w:snapToGrid w:val="0"/>
          <w:kern w:val="22"/>
          <w:lang w:eastAsia="zh-CN" w:bidi="th-TH"/>
        </w:rPr>
        <w:t>、</w:t>
      </w:r>
      <w:r w:rsidRPr="007533F8">
        <w:rPr>
          <w:rFonts w:eastAsia="Times New Roman" w:hAnsi="SimSun"/>
          <w:snapToGrid w:val="0"/>
          <w:kern w:val="22"/>
          <w:lang w:eastAsia="zh-CN" w:bidi="th-TH"/>
        </w:rPr>
        <w:t>对新技术和国际贸易的依赖程度以及如第四版《全球生物多样性展望》中所列三大路径展示的全球和地方协调程度方面可以不尽相同</w:t>
      </w:r>
      <w:r w:rsidRPr="007533F8">
        <w:rPr>
          <w:rFonts w:ascii="SimSun" w:hAnsi="SimSun" w:cs="SimSun" w:hint="eastAsia"/>
          <w:snapToGrid w:val="0"/>
          <w:kern w:val="22"/>
          <w:lang w:eastAsia="zh-CN" w:bidi="th-TH"/>
        </w:rPr>
        <w:t>。</w:t>
      </w:r>
      <w:r w:rsidRPr="007533F8">
        <w:rPr>
          <w:rStyle w:val="FootnoteReference"/>
          <w:sz w:val="24"/>
          <w:u w:val="none"/>
          <w:vertAlign w:val="superscript"/>
        </w:rPr>
        <w:footnoteReference w:id="22"/>
      </w:r>
      <w:r w:rsidRPr="007533F8">
        <w:rPr>
          <w:rFonts w:ascii="SimSun" w:hAnsi="SimSun" w:cs="SimSun" w:hint="eastAsia"/>
          <w:snapToGrid w:val="0"/>
          <w:kern w:val="22"/>
          <w:sz w:val="36"/>
          <w:vertAlign w:val="superscript"/>
          <w:lang w:eastAsia="zh-CN" w:bidi="th-TH"/>
        </w:rPr>
        <w:t xml:space="preserve"> </w:t>
      </w:r>
      <w:r w:rsidRPr="007533F8">
        <w:rPr>
          <w:rFonts w:eastAsia="Times New Roman" w:hAnsi="SimSun"/>
          <w:snapToGrid w:val="0"/>
          <w:kern w:val="22"/>
          <w:lang w:eastAsia="zh-CN" w:bidi="th-TH"/>
        </w:rPr>
        <w:t>需要开展有利益攸关方积极参与的多层次愿景规划工作，以进一步确定</w:t>
      </w:r>
      <w:r w:rsidRPr="007533F8">
        <w:rPr>
          <w:rFonts w:eastAsiaTheme="minorEastAsia" w:hAnsi="SimSun" w:hint="eastAsia"/>
          <w:snapToGrid w:val="0"/>
          <w:kern w:val="22"/>
          <w:lang w:eastAsia="zh-CN" w:bidi="th-TH"/>
        </w:rPr>
        <w:t>备选方案</w:t>
      </w:r>
      <w:r w:rsidRPr="007533F8">
        <w:rPr>
          <w:rFonts w:eastAsia="Times New Roman" w:hAnsi="SimSun"/>
          <w:snapToGrid w:val="0"/>
          <w:kern w:val="22"/>
          <w:lang w:eastAsia="zh-CN" w:bidi="th-TH"/>
        </w:rPr>
        <w:t>和促进采取行动。</w:t>
      </w:r>
    </w:p>
    <w:p w:rsidR="007533F8" w:rsidRPr="00942952" w:rsidRDefault="007533F8" w:rsidP="000A1A91">
      <w:pPr>
        <w:pStyle w:val="BodyText"/>
        <w:numPr>
          <w:ilvl w:val="4"/>
          <w:numId w:val="19"/>
        </w:numPr>
        <w:suppressLineNumbers/>
        <w:tabs>
          <w:tab w:val="left" w:pos="720"/>
        </w:tabs>
        <w:suppressAutoHyphens/>
        <w:spacing w:line="240" w:lineRule="atLeast"/>
        <w:ind w:left="0" w:firstLine="0"/>
        <w:rPr>
          <w:rFonts w:hAnsi="SimSun"/>
          <w:snapToGrid w:val="0"/>
          <w:kern w:val="22"/>
          <w:lang w:eastAsia="zh-CN" w:bidi="th-TH"/>
        </w:rPr>
      </w:pPr>
      <w:r w:rsidRPr="00942952">
        <w:rPr>
          <w:rFonts w:ascii="KaiTi" w:eastAsia="KaiTi" w:hAnsi="KaiTi" w:hint="eastAsia"/>
          <w:bCs/>
          <w:lang w:eastAsia="zh-CN" w:bidi="th-TH"/>
        </w:rPr>
        <w:t>走向可持续未来的路径虽然</w:t>
      </w:r>
      <w:r>
        <w:rPr>
          <w:rFonts w:ascii="KaiTi" w:eastAsia="KaiTi" w:hAnsi="KaiTi" w:hint="eastAsia"/>
          <w:bCs/>
          <w:lang w:eastAsia="zh-CN" w:bidi="th-TH"/>
        </w:rPr>
        <w:t>可行</w:t>
      </w:r>
      <w:r w:rsidRPr="00942952">
        <w:rPr>
          <w:rFonts w:ascii="KaiTi" w:eastAsia="KaiTi" w:hAnsi="KaiTi" w:hint="eastAsia"/>
          <w:bCs/>
          <w:lang w:eastAsia="zh-CN" w:bidi="th-TH"/>
        </w:rPr>
        <w:t>，但需要进行转型变革</w:t>
      </w:r>
      <w:r w:rsidRPr="00942952">
        <w:rPr>
          <w:rFonts w:eastAsia="Times New Roman" w:hAnsi="SimSun"/>
          <w:snapToGrid w:val="0"/>
          <w:kern w:val="22"/>
          <w:lang w:eastAsia="zh-CN" w:bidi="th-TH"/>
        </w:rPr>
        <w:t>，包括生</w:t>
      </w:r>
      <w:r>
        <w:rPr>
          <w:rFonts w:eastAsia="Times New Roman" w:hAnsi="SimSun"/>
          <w:snapToGrid w:val="0"/>
          <w:kern w:val="22"/>
          <w:lang w:eastAsia="zh-CN" w:bidi="th-TH"/>
        </w:rPr>
        <w:t>产者和消费者、政府和企业各级的行为转变。需要进一步努力了解动机</w:t>
      </w:r>
      <w:r>
        <w:rPr>
          <w:rFonts w:eastAsiaTheme="minorEastAsia" w:hAnsi="SimSun" w:hint="eastAsia"/>
          <w:snapToGrid w:val="0"/>
          <w:kern w:val="22"/>
          <w:lang w:eastAsia="zh-CN" w:bidi="th-TH"/>
        </w:rPr>
        <w:t>和</w:t>
      </w:r>
      <w:r w:rsidRPr="00942952">
        <w:rPr>
          <w:rFonts w:eastAsia="Times New Roman" w:hAnsi="SimSun"/>
          <w:snapToGrid w:val="0"/>
          <w:kern w:val="22"/>
          <w:lang w:eastAsia="zh-CN" w:bidi="th-TH"/>
        </w:rPr>
        <w:t>促进变革。社会和破坏性技术发展导致的转型，</w:t>
      </w:r>
      <w:r>
        <w:rPr>
          <w:rFonts w:eastAsiaTheme="minorEastAsia" w:hAnsi="SimSun" w:hint="eastAsia"/>
          <w:snapToGrid w:val="0"/>
          <w:kern w:val="22"/>
          <w:lang w:eastAsia="zh-CN" w:bidi="th-TH"/>
        </w:rPr>
        <w:t>可能</w:t>
      </w:r>
      <w:r w:rsidRPr="00942952">
        <w:rPr>
          <w:rFonts w:eastAsia="Times New Roman" w:hAnsi="SimSun"/>
          <w:snapToGrid w:val="0"/>
          <w:kern w:val="22"/>
          <w:lang w:eastAsia="zh-CN" w:bidi="th-TH"/>
        </w:rPr>
        <w:t>促进或阻碍可持续性和实现《公约》三项目标。各国政府和国际机构在创造有利环境促进积极变革方面</w:t>
      </w:r>
      <w:r>
        <w:rPr>
          <w:rFonts w:eastAsiaTheme="minorEastAsia" w:hAnsi="SimSun" w:hint="eastAsia"/>
          <w:snapToGrid w:val="0"/>
          <w:kern w:val="22"/>
          <w:lang w:eastAsia="zh-CN" w:bidi="th-TH"/>
        </w:rPr>
        <w:t>可以</w:t>
      </w:r>
      <w:r w:rsidRPr="00942952">
        <w:rPr>
          <w:rFonts w:eastAsia="Times New Roman" w:hAnsi="SimSun"/>
          <w:snapToGrid w:val="0"/>
          <w:kern w:val="22"/>
          <w:lang w:eastAsia="zh-CN" w:bidi="th-TH"/>
        </w:rPr>
        <w:t>发挥关键作用。需要进一步开展工作来确定《公约》和2020年后全球生物多样性框架可以加强这种变革的方式方法。</w:t>
      </w:r>
    </w:p>
    <w:p w:rsidR="007533F8" w:rsidRPr="00942952" w:rsidRDefault="007533F8" w:rsidP="000A1A91">
      <w:pPr>
        <w:pStyle w:val="BodyText"/>
        <w:widowControl w:val="0"/>
        <w:numPr>
          <w:ilvl w:val="4"/>
          <w:numId w:val="19"/>
        </w:numPr>
        <w:suppressLineNumbers/>
        <w:tabs>
          <w:tab w:val="left" w:pos="720"/>
        </w:tabs>
        <w:suppressAutoHyphens/>
        <w:adjustRightInd w:val="0"/>
        <w:snapToGrid w:val="0"/>
        <w:spacing w:line="240" w:lineRule="atLeast"/>
        <w:ind w:left="0" w:firstLine="0"/>
        <w:rPr>
          <w:rFonts w:hAnsi="SimSun"/>
          <w:snapToGrid w:val="0"/>
          <w:kern w:val="22"/>
          <w:lang w:eastAsia="zh-CN" w:bidi="th-TH"/>
        </w:rPr>
      </w:pPr>
      <w:r w:rsidRPr="00942952">
        <w:rPr>
          <w:rFonts w:ascii="KaiTi" w:eastAsia="KaiTi" w:hAnsi="KaiTi" w:hint="eastAsia"/>
          <w:bCs/>
          <w:lang w:eastAsia="zh-CN" w:bidi="th-TH"/>
        </w:rPr>
        <w:t>需要对生物多样性和气候变化采取</w:t>
      </w:r>
      <w:r>
        <w:rPr>
          <w:rFonts w:ascii="KaiTi" w:eastAsia="KaiTi" w:hAnsi="KaiTi" w:hint="eastAsia"/>
          <w:bCs/>
          <w:lang w:eastAsia="zh-CN" w:bidi="th-TH"/>
        </w:rPr>
        <w:t>协调</w:t>
      </w:r>
      <w:r w:rsidRPr="00942952">
        <w:rPr>
          <w:rFonts w:ascii="KaiTi" w:eastAsia="KaiTi" w:hAnsi="KaiTi" w:hint="eastAsia"/>
          <w:bCs/>
          <w:lang w:eastAsia="zh-CN" w:bidi="th-TH"/>
        </w:rPr>
        <w:t>一致的做法</w:t>
      </w:r>
      <w:r w:rsidRPr="00942952">
        <w:rPr>
          <w:rFonts w:eastAsia="Times New Roman" w:hAnsi="SimSun"/>
          <w:snapToGrid w:val="0"/>
          <w:kern w:val="22"/>
          <w:lang w:eastAsia="zh-CN" w:bidi="th-TH"/>
        </w:rPr>
        <w:t>，确保减少气候变化对生物多样性的影响，生物多样性和生态系统可以促进与适应和减缓气候变化有关的解决方案，适应和减缓气候变化措施不会因为土地管理变化而对生物多样性产生负面影响。</w:t>
      </w:r>
    </w:p>
    <w:p w:rsidR="007533F8" w:rsidRPr="00942952" w:rsidRDefault="007533F8" w:rsidP="000A1A91">
      <w:pPr>
        <w:pStyle w:val="BodyText"/>
        <w:numPr>
          <w:ilvl w:val="4"/>
          <w:numId w:val="19"/>
        </w:numPr>
        <w:suppressLineNumbers/>
        <w:tabs>
          <w:tab w:val="left" w:pos="720"/>
        </w:tabs>
        <w:suppressAutoHyphens/>
        <w:ind w:left="0" w:firstLine="0"/>
        <w:rPr>
          <w:rFonts w:hAnsi="SimSun"/>
          <w:snapToGrid w:val="0"/>
          <w:kern w:val="22"/>
          <w:lang w:eastAsia="zh-CN" w:bidi="th-TH"/>
        </w:rPr>
      </w:pPr>
      <w:r w:rsidRPr="00322037">
        <w:rPr>
          <w:rFonts w:eastAsia="Times New Roman" w:hAnsi="SimSun"/>
          <w:snapToGrid w:val="0"/>
          <w:kern w:val="22"/>
          <w:lang w:eastAsia="zh-CN" w:bidi="th-TH"/>
        </w:rPr>
        <w:t>2050</w:t>
      </w:r>
      <w:r w:rsidRPr="00942952">
        <w:rPr>
          <w:rFonts w:ascii="KaiTi" w:eastAsia="KaiTi" w:hAnsi="KaiTi" w:hint="eastAsia"/>
          <w:bCs/>
          <w:lang w:eastAsia="zh-CN" w:bidi="th-TH"/>
        </w:rPr>
        <w:t>年愿景符合《</w:t>
      </w:r>
      <w:r w:rsidRPr="00322037">
        <w:rPr>
          <w:rFonts w:eastAsia="Times New Roman" w:hAnsi="SimSun"/>
          <w:snapToGrid w:val="0"/>
          <w:kern w:val="22"/>
          <w:lang w:eastAsia="zh-CN" w:bidi="th-TH"/>
        </w:rPr>
        <w:t>2030</w:t>
      </w:r>
      <w:r w:rsidRPr="00942952">
        <w:rPr>
          <w:rFonts w:ascii="KaiTi" w:eastAsia="KaiTi" w:hAnsi="KaiTi" w:hint="eastAsia"/>
          <w:bCs/>
          <w:lang w:eastAsia="zh-CN" w:bidi="th-TH"/>
        </w:rPr>
        <w:t>年可持续发展议程》和其他国际目标</w:t>
      </w:r>
      <w:r w:rsidRPr="00942952">
        <w:rPr>
          <w:rFonts w:eastAsia="Times New Roman" w:hAnsi="SimSun"/>
          <w:snapToGrid w:val="0"/>
          <w:kern w:val="22"/>
          <w:lang w:eastAsia="zh-CN" w:bidi="th-TH"/>
        </w:rPr>
        <w:t>。执行《2030年可持续发展议程》取得进展将有助于消除导致生物多样性丧失的许多因素，还可创造有利环境支持生物多样性目标。《2030年议程》的整体性和不可分割性意味着有必要实现所有目标，</w:t>
      </w:r>
      <w:r>
        <w:rPr>
          <w:rFonts w:eastAsiaTheme="minorEastAsia" w:hAnsi="SimSun" w:hint="eastAsia"/>
          <w:snapToGrid w:val="0"/>
          <w:kern w:val="22"/>
          <w:lang w:eastAsia="zh-CN" w:bidi="th-TH"/>
        </w:rPr>
        <w:t>情景设想</w:t>
      </w:r>
      <w:r w:rsidRPr="00942952">
        <w:rPr>
          <w:rFonts w:eastAsia="Times New Roman" w:hAnsi="SimSun"/>
          <w:snapToGrid w:val="0"/>
          <w:kern w:val="22"/>
          <w:lang w:eastAsia="zh-CN" w:bidi="th-TH"/>
        </w:rPr>
        <w:t>和模型可以指导我们选择政策和措施并了解其限制性，突出显示</w:t>
      </w:r>
      <w:r>
        <w:rPr>
          <w:rFonts w:eastAsiaTheme="minorEastAsia" w:hAnsi="SimSun" w:hint="eastAsia"/>
          <w:snapToGrid w:val="0"/>
          <w:kern w:val="22"/>
          <w:lang w:eastAsia="zh-CN" w:bidi="th-TH"/>
        </w:rPr>
        <w:t>需要</w:t>
      </w:r>
      <w:r w:rsidRPr="00942952">
        <w:rPr>
          <w:rFonts w:eastAsia="Times New Roman" w:hAnsi="SimSun"/>
          <w:snapToGrid w:val="0"/>
          <w:kern w:val="22"/>
          <w:lang w:eastAsia="zh-CN" w:bidi="th-TH"/>
        </w:rPr>
        <w:t>保持政策</w:t>
      </w:r>
      <w:r>
        <w:rPr>
          <w:rFonts w:eastAsiaTheme="minorEastAsia" w:hAnsi="SimSun" w:hint="eastAsia"/>
          <w:snapToGrid w:val="0"/>
          <w:kern w:val="22"/>
          <w:lang w:eastAsia="zh-CN" w:bidi="th-TH"/>
        </w:rPr>
        <w:t>一致性</w:t>
      </w:r>
      <w:r w:rsidRPr="00942952">
        <w:rPr>
          <w:rFonts w:eastAsia="Times New Roman" w:hAnsi="SimSun"/>
          <w:snapToGrid w:val="0"/>
          <w:kern w:val="22"/>
          <w:lang w:eastAsia="zh-CN" w:bidi="th-TH"/>
        </w:rPr>
        <w:t>。</w:t>
      </w:r>
    </w:p>
    <w:p w:rsidR="007533F8" w:rsidRPr="00942952" w:rsidRDefault="007533F8" w:rsidP="000A1A91">
      <w:pPr>
        <w:pStyle w:val="BodyText"/>
        <w:numPr>
          <w:ilvl w:val="4"/>
          <w:numId w:val="19"/>
        </w:numPr>
        <w:suppressLineNumbers/>
        <w:tabs>
          <w:tab w:val="left" w:pos="720"/>
        </w:tabs>
        <w:suppressAutoHyphens/>
        <w:ind w:left="0" w:firstLine="0"/>
        <w:rPr>
          <w:rFonts w:hAnsi="SimSun"/>
          <w:snapToGrid w:val="0"/>
          <w:kern w:val="22"/>
          <w:lang w:eastAsia="zh-CN" w:bidi="th-TH"/>
        </w:rPr>
      </w:pPr>
      <w:r>
        <w:rPr>
          <w:rFonts w:ascii="KaiTi" w:eastAsia="KaiTi" w:hAnsi="KaiTi" w:hint="eastAsia"/>
          <w:bCs/>
          <w:lang w:eastAsia="zh-CN" w:bidi="th-TH"/>
        </w:rPr>
        <w:t>情景设想</w:t>
      </w:r>
      <w:r w:rsidRPr="00942952">
        <w:rPr>
          <w:rFonts w:ascii="KaiTi" w:eastAsia="KaiTi" w:hAnsi="KaiTi" w:hint="eastAsia"/>
          <w:bCs/>
          <w:lang w:eastAsia="zh-CN" w:bidi="th-TH"/>
        </w:rPr>
        <w:t>和模型可能有助于为制定和实施</w:t>
      </w:r>
      <w:r w:rsidRPr="00322037">
        <w:rPr>
          <w:rFonts w:eastAsia="Times New Roman" w:hAnsi="SimSun"/>
          <w:snapToGrid w:val="0"/>
          <w:kern w:val="22"/>
          <w:lang w:eastAsia="zh-CN" w:bidi="th-TH"/>
        </w:rPr>
        <w:t>2020</w:t>
      </w:r>
      <w:r w:rsidRPr="00942952">
        <w:rPr>
          <w:rFonts w:ascii="KaiTi" w:eastAsia="KaiTi" w:hAnsi="KaiTi" w:hint="eastAsia"/>
          <w:bCs/>
          <w:lang w:eastAsia="zh-CN" w:bidi="th-TH"/>
        </w:rPr>
        <w:t>年后全球生物多样性框架提供参考</w:t>
      </w:r>
      <w:r w:rsidRPr="00942952">
        <w:rPr>
          <w:rFonts w:eastAsia="Times New Roman" w:hAnsi="SimSun"/>
          <w:snapToGrid w:val="0"/>
          <w:kern w:val="22"/>
          <w:lang w:eastAsia="zh-CN" w:bidi="th-TH"/>
        </w:rPr>
        <w:t>。生物多样性</w:t>
      </w:r>
      <w:r>
        <w:rPr>
          <w:rFonts w:eastAsiaTheme="minorEastAsia" w:hAnsi="SimSun" w:hint="eastAsia"/>
          <w:snapToGrid w:val="0"/>
          <w:kern w:val="22"/>
          <w:lang w:eastAsia="zh-CN" w:bidi="th-TH"/>
        </w:rPr>
        <w:t>情景设想</w:t>
      </w:r>
      <w:r w:rsidRPr="00942952">
        <w:rPr>
          <w:rFonts w:eastAsia="Times New Roman" w:hAnsi="SimSun"/>
          <w:snapToGrid w:val="0"/>
          <w:kern w:val="22"/>
          <w:lang w:eastAsia="zh-CN" w:bidi="th-TH"/>
        </w:rPr>
        <w:t>包括</w:t>
      </w:r>
      <w:r>
        <w:rPr>
          <w:rFonts w:eastAsiaTheme="minorEastAsia" w:hAnsi="SimSun" w:hint="eastAsia"/>
          <w:snapToGrid w:val="0"/>
          <w:kern w:val="22"/>
          <w:lang w:eastAsia="zh-CN" w:bidi="th-TH"/>
        </w:rPr>
        <w:t>了</w:t>
      </w:r>
      <w:r w:rsidRPr="00942952">
        <w:rPr>
          <w:rFonts w:eastAsia="Times New Roman" w:hAnsi="SimSun"/>
          <w:snapToGrid w:val="0"/>
          <w:kern w:val="22"/>
          <w:lang w:eastAsia="zh-CN" w:bidi="th-TH"/>
        </w:rPr>
        <w:t>为第三版《</w:t>
      </w:r>
      <w:r w:rsidRPr="00322037">
        <w:rPr>
          <w:rFonts w:ascii="KaiTi" w:eastAsia="KaiTi" w:hAnsi="KaiTi"/>
          <w:snapToGrid w:val="0"/>
          <w:kern w:val="22"/>
          <w:lang w:eastAsia="zh-CN" w:bidi="th-TH"/>
        </w:rPr>
        <w:t>全球生物多样性展望</w:t>
      </w:r>
      <w:r w:rsidRPr="00942952">
        <w:rPr>
          <w:rFonts w:eastAsia="Times New Roman" w:hAnsi="SimSun"/>
          <w:snapToGrid w:val="0"/>
          <w:kern w:val="22"/>
          <w:lang w:eastAsia="zh-CN" w:bidi="th-TH"/>
        </w:rPr>
        <w:t>》编制</w:t>
      </w:r>
      <w:r>
        <w:rPr>
          <w:rFonts w:eastAsiaTheme="minorEastAsia" w:hAnsi="SimSun" w:hint="eastAsia"/>
          <w:snapToGrid w:val="0"/>
          <w:kern w:val="22"/>
          <w:lang w:eastAsia="zh-CN" w:bidi="th-TH"/>
        </w:rPr>
        <w:t>的</w:t>
      </w:r>
      <w:r>
        <w:rPr>
          <w:rFonts w:eastAsiaTheme="minorEastAsia" w:hAnsi="SimSun"/>
          <w:snapToGrid w:val="0"/>
          <w:kern w:val="22"/>
          <w:lang w:eastAsia="zh-CN" w:bidi="th-TH"/>
        </w:rPr>
        <w:t>生物多样性情景</w:t>
      </w:r>
      <w:r>
        <w:rPr>
          <w:rFonts w:eastAsiaTheme="minorEastAsia" w:hAnsi="SimSun" w:hint="eastAsia"/>
          <w:snapToGrid w:val="0"/>
          <w:kern w:val="22"/>
          <w:lang w:eastAsia="zh-CN" w:bidi="th-TH"/>
        </w:rPr>
        <w:t>设想</w:t>
      </w:r>
      <w:r w:rsidRPr="00942952">
        <w:rPr>
          <w:rFonts w:eastAsia="Times New Roman" w:hAnsi="SimSun"/>
          <w:snapToGrid w:val="0"/>
          <w:kern w:val="22"/>
          <w:lang w:eastAsia="zh-CN" w:bidi="th-TH"/>
        </w:rPr>
        <w:t>，为制定目前的《2011-2020年生物多样性战略计划》提供了依据。还有可能在适当规模内编制</w:t>
      </w:r>
      <w:r>
        <w:rPr>
          <w:rFonts w:eastAsiaTheme="minorEastAsia" w:hAnsi="SimSun" w:hint="eastAsia"/>
          <w:snapToGrid w:val="0"/>
          <w:kern w:val="22"/>
          <w:lang w:eastAsia="zh-CN" w:bidi="th-TH"/>
        </w:rPr>
        <w:t>情景设想</w:t>
      </w:r>
      <w:r w:rsidRPr="00942952">
        <w:rPr>
          <w:rFonts w:eastAsia="Times New Roman" w:hAnsi="SimSun"/>
          <w:snapToGrid w:val="0"/>
          <w:kern w:val="22"/>
          <w:lang w:eastAsia="zh-CN" w:bidi="th-TH"/>
        </w:rPr>
        <w:t>，为在国家一级制定政策</w:t>
      </w:r>
      <w:r>
        <w:rPr>
          <w:rFonts w:eastAsiaTheme="minorEastAsia" w:hAnsi="SimSun" w:hint="eastAsia"/>
          <w:snapToGrid w:val="0"/>
          <w:kern w:val="22"/>
          <w:lang w:eastAsia="zh-CN" w:bidi="th-TH"/>
        </w:rPr>
        <w:t>和</w:t>
      </w:r>
      <w:r>
        <w:rPr>
          <w:rFonts w:eastAsiaTheme="minorEastAsia" w:hAnsi="SimSun"/>
          <w:snapToGrid w:val="0"/>
          <w:kern w:val="22"/>
          <w:lang w:eastAsia="zh-CN" w:bidi="th-TH"/>
        </w:rPr>
        <w:t>执行工作</w:t>
      </w:r>
      <w:r w:rsidRPr="00942952">
        <w:rPr>
          <w:rFonts w:eastAsia="Times New Roman" w:hAnsi="SimSun"/>
          <w:snapToGrid w:val="0"/>
          <w:kern w:val="22"/>
          <w:lang w:eastAsia="zh-CN" w:bidi="th-TH"/>
        </w:rPr>
        <w:t>提供依据。</w:t>
      </w:r>
    </w:p>
    <w:p w:rsidR="007533F8" w:rsidRPr="00942952" w:rsidRDefault="007533F8" w:rsidP="000A1A91">
      <w:pPr>
        <w:pStyle w:val="BodyText"/>
        <w:numPr>
          <w:ilvl w:val="4"/>
          <w:numId w:val="19"/>
        </w:numPr>
        <w:suppressLineNumbers/>
        <w:tabs>
          <w:tab w:val="left" w:pos="720"/>
        </w:tabs>
        <w:suppressAutoHyphens/>
        <w:ind w:left="0" w:firstLine="0"/>
        <w:rPr>
          <w:kern w:val="20"/>
          <w:lang w:eastAsia="zh-CN" w:bidi="th-TH"/>
        </w:rPr>
      </w:pPr>
      <w:r w:rsidRPr="00942952">
        <w:rPr>
          <w:rFonts w:ascii="KaiTi" w:eastAsia="KaiTi" w:hAnsi="KaiTi" w:hint="eastAsia"/>
          <w:bCs/>
          <w:lang w:eastAsia="zh-CN" w:bidi="th-TH"/>
        </w:rPr>
        <w:t>针对区域、国家或当地情况量身编制的</w:t>
      </w:r>
      <w:r>
        <w:rPr>
          <w:rFonts w:ascii="KaiTi" w:eastAsia="KaiTi" w:hAnsi="KaiTi" w:hint="eastAsia"/>
          <w:bCs/>
          <w:lang w:eastAsia="zh-CN" w:bidi="th-TH"/>
        </w:rPr>
        <w:t>情景设想</w:t>
      </w:r>
      <w:r w:rsidRPr="00942952">
        <w:rPr>
          <w:rFonts w:ascii="KaiTi" w:eastAsia="KaiTi" w:hAnsi="KaiTi" w:hint="eastAsia"/>
          <w:bCs/>
          <w:lang w:eastAsia="zh-CN" w:bidi="th-TH"/>
        </w:rPr>
        <w:t>分析提供信息，用于开展生物多样性保护和可持续利用的战略规划</w:t>
      </w:r>
      <w:r w:rsidRPr="00942952">
        <w:rPr>
          <w:rFonts w:eastAsia="Times New Roman" w:hAnsi="SimSun"/>
          <w:b/>
          <w:kern w:val="22"/>
          <w:lang w:eastAsia="zh-CN" w:bidi="th-TH"/>
        </w:rPr>
        <w:t>。</w:t>
      </w:r>
      <w:r w:rsidRPr="00942952">
        <w:rPr>
          <w:rFonts w:eastAsia="Times New Roman" w:hAnsi="SimSun"/>
          <w:kern w:val="22"/>
          <w:lang w:eastAsia="zh-CN" w:bidi="th-TH"/>
        </w:rPr>
        <w:t>因此，这些分析可以直接支持制定国家生物多样性战略和行动计划。此外，</w:t>
      </w:r>
      <w:r>
        <w:rPr>
          <w:rFonts w:eastAsiaTheme="minorEastAsia" w:hAnsi="SimSun" w:hint="eastAsia"/>
          <w:kern w:val="22"/>
          <w:lang w:eastAsia="zh-CN" w:bidi="th-TH"/>
        </w:rPr>
        <w:t>情景设想</w:t>
      </w:r>
      <w:r w:rsidRPr="00942952">
        <w:rPr>
          <w:rFonts w:eastAsia="Times New Roman" w:hAnsi="SimSun"/>
          <w:kern w:val="22"/>
          <w:lang w:eastAsia="zh-CN" w:bidi="th-TH"/>
        </w:rPr>
        <w:t>分析采用参与性方法，为建立保护和可持续利用生物多样性决策能力提供了宝贵工具，使利益攸关方认识到生物多样性与其他部门的关系，认识到</w:t>
      </w:r>
      <w:r>
        <w:rPr>
          <w:rFonts w:eastAsiaTheme="minorEastAsia" w:hAnsi="SimSun" w:hint="eastAsia"/>
          <w:kern w:val="22"/>
          <w:lang w:eastAsia="zh-CN" w:bidi="th-TH"/>
        </w:rPr>
        <w:t>增加</w:t>
      </w:r>
      <w:r w:rsidRPr="00942952">
        <w:rPr>
          <w:rFonts w:eastAsia="Times New Roman" w:hAnsi="SimSun"/>
          <w:kern w:val="22"/>
          <w:lang w:eastAsia="zh-CN" w:bidi="th-TH"/>
        </w:rPr>
        <w:t>惠益如何可以增进人类福祉。</w:t>
      </w:r>
    </w:p>
    <w:p w:rsidR="007533F8" w:rsidRDefault="007533F8">
      <w:pPr>
        <w:rPr>
          <w:rFonts w:eastAsia="Times New Roman"/>
          <w:kern w:val="22"/>
          <w:lang w:eastAsia="zh-CN"/>
        </w:rPr>
      </w:pPr>
      <w:r>
        <w:rPr>
          <w:rFonts w:eastAsia="Times New Roman"/>
          <w:kern w:val="22"/>
          <w:lang w:eastAsia="zh-CN"/>
        </w:rPr>
        <w:br w:type="page"/>
      </w:r>
    </w:p>
    <w:p w:rsidR="000A6F9D" w:rsidRPr="000A6F9D" w:rsidRDefault="000A6F9D" w:rsidP="00FF4964">
      <w:pPr>
        <w:pStyle w:val="Heading1"/>
        <w:spacing w:before="120" w:after="120"/>
        <w:ind w:firstLine="0"/>
        <w:rPr>
          <w:rFonts w:eastAsiaTheme="minorEastAsia" w:cs="Times New Roman"/>
          <w:caps/>
          <w:noProof/>
          <w:kern w:val="22"/>
          <w:sz w:val="24"/>
          <w:lang w:eastAsia="zh-CN"/>
        </w:rPr>
      </w:pPr>
      <w:bookmarkStart w:id="9" w:name="_Toc6243645"/>
      <w:r w:rsidRPr="000A6F9D">
        <w:rPr>
          <w:rFonts w:eastAsiaTheme="minorEastAsia" w:cs="Times New Roman"/>
          <w:noProof/>
          <w:kern w:val="22"/>
          <w:sz w:val="24"/>
          <w:lang w:eastAsia="zh-CN"/>
        </w:rPr>
        <w:lastRenderedPageBreak/>
        <w:t>14/3.</w:t>
      </w:r>
      <w:r w:rsidRPr="000A6F9D">
        <w:rPr>
          <w:rFonts w:eastAsiaTheme="minorEastAsia" w:cs="Times New Roman"/>
          <w:noProof/>
          <w:kern w:val="22"/>
          <w:sz w:val="24"/>
          <w:lang w:eastAsia="zh-CN"/>
        </w:rPr>
        <w:tab/>
        <w:t xml:space="preserve">  </w:t>
      </w:r>
      <w:r w:rsidRPr="000A6F9D">
        <w:rPr>
          <w:rFonts w:eastAsiaTheme="minorEastAsia" w:cs="Times New Roman"/>
          <w:noProof/>
          <w:kern w:val="22"/>
          <w:sz w:val="24"/>
          <w:lang w:eastAsia="zh-CN"/>
        </w:rPr>
        <w:t>将生物多样性纳入能源和采矿、基础设施、制造和加工部门的主流</w:t>
      </w:r>
      <w:bookmarkEnd w:id="9"/>
    </w:p>
    <w:p w:rsidR="000A6F9D" w:rsidRDefault="000A6F9D" w:rsidP="000C6210">
      <w:pPr>
        <w:suppressLineNumbers/>
        <w:suppressAutoHyphens/>
        <w:spacing w:before="240"/>
        <w:rPr>
          <w:rFonts w:ascii="KaiTi" w:eastAsia="KaiTi" w:hAnsi="KaiTi" w:cs="Batang"/>
          <w:iCs/>
          <w:color w:val="000000"/>
          <w:kern w:val="22"/>
          <w:lang w:eastAsia="zh-CN" w:bidi="th-TH"/>
        </w:rPr>
      </w:pPr>
      <w:r w:rsidRPr="00A57031">
        <w:rPr>
          <w:rFonts w:ascii="KaiTi" w:eastAsia="KaiTi" w:hAnsi="KaiTi" w:cs="SimSun" w:hint="eastAsia"/>
          <w:iCs/>
          <w:color w:val="000000"/>
          <w:kern w:val="22"/>
          <w:lang w:eastAsia="ja-JP" w:bidi="th-TH"/>
        </w:rPr>
        <w:t>缔约</w:t>
      </w:r>
      <w:r w:rsidRPr="00A57031">
        <w:rPr>
          <w:rFonts w:ascii="KaiTi" w:eastAsia="KaiTi" w:hAnsi="KaiTi" w:cs="Batang"/>
          <w:iCs/>
          <w:color w:val="000000"/>
          <w:kern w:val="22"/>
          <w:lang w:eastAsia="ja-JP" w:bidi="th-TH"/>
        </w:rPr>
        <w:t>方大</w:t>
      </w:r>
      <w:r w:rsidRPr="00A57031">
        <w:rPr>
          <w:rFonts w:ascii="KaiTi" w:eastAsia="KaiTi" w:hAnsi="KaiTi" w:cs="SimSun" w:hint="eastAsia"/>
          <w:iCs/>
          <w:color w:val="000000"/>
          <w:kern w:val="22"/>
          <w:lang w:eastAsia="ja-JP" w:bidi="th-TH"/>
        </w:rPr>
        <w:t>会</w:t>
      </w:r>
      <w:r w:rsidRPr="00A57031">
        <w:rPr>
          <w:rFonts w:ascii="KaiTi" w:eastAsia="KaiTi" w:hAnsi="KaiTi" w:cs="Batang"/>
          <w:iCs/>
          <w:color w:val="000000"/>
          <w:kern w:val="22"/>
          <w:lang w:eastAsia="ja-JP" w:bidi="th-TH"/>
        </w:rPr>
        <w:t>，</w:t>
      </w:r>
    </w:p>
    <w:p w:rsidR="000A6F9D" w:rsidRPr="000A6F9D" w:rsidRDefault="000A6F9D" w:rsidP="000C6210">
      <w:pPr>
        <w:pStyle w:val="ListParagraph"/>
        <w:suppressLineNumbers/>
        <w:suppressAutoHyphens/>
        <w:adjustRightInd w:val="0"/>
        <w:snapToGrid w:val="0"/>
        <w:ind w:left="0"/>
        <w:rPr>
          <w:rFonts w:eastAsiaTheme="minorEastAsia"/>
          <w:lang w:eastAsia="zh-CN"/>
        </w:rPr>
      </w:pPr>
      <w:r w:rsidRPr="000A6F9D">
        <w:rPr>
          <w:rFonts w:ascii="KaiTi" w:eastAsia="KaiTi" w:hAnsi="KaiTi" w:cs="SimSun"/>
          <w:iCs/>
          <w:color w:val="000000"/>
          <w:kern w:val="22"/>
          <w:lang w:eastAsia="ja-JP" w:bidi="th-TH"/>
        </w:rPr>
        <w:t>回顾</w:t>
      </w:r>
      <w:hyperlink r:id="rId13" w:history="1">
        <w:r w:rsidRPr="000A6F9D">
          <w:rPr>
            <w:rFonts w:eastAsiaTheme="minorEastAsia"/>
            <w:lang w:eastAsia="zh-CN"/>
          </w:rPr>
          <w:t>第</w:t>
        </w:r>
        <w:r w:rsidRPr="000A6F9D">
          <w:rPr>
            <w:rFonts w:eastAsiaTheme="minorEastAsia"/>
            <w:lang w:val="zh-CN" w:eastAsia="zh-CN"/>
          </w:rPr>
          <w:t>XIII/3</w:t>
        </w:r>
        <w:r w:rsidRPr="000A6F9D">
          <w:rPr>
            <w:rFonts w:eastAsiaTheme="minorEastAsia"/>
            <w:lang w:eastAsia="zh-CN"/>
          </w:rPr>
          <w:t>号决定</w:t>
        </w:r>
      </w:hyperlink>
      <w:r w:rsidRPr="000A6F9D">
        <w:rPr>
          <w:rFonts w:eastAsiaTheme="minorEastAsia"/>
          <w:lang w:eastAsia="zh-CN"/>
        </w:rPr>
        <w:t>，</w:t>
      </w:r>
      <w:r w:rsidRPr="000A6F9D">
        <w:rPr>
          <w:rFonts w:eastAsiaTheme="minorEastAsia"/>
          <w:lang w:val="zh-CN" w:eastAsia="zh-CN"/>
        </w:rPr>
        <w:t>其中审议了将生物多样性纳入农业、林业、渔业和水产养殖、和旅游业部门的主流以及贯穿各领域问题</w:t>
      </w:r>
      <w:r w:rsidRPr="000A6F9D">
        <w:rPr>
          <w:rFonts w:eastAsiaTheme="minorEastAsia"/>
          <w:lang w:eastAsia="zh-CN"/>
        </w:rPr>
        <w:t>，</w:t>
      </w:r>
      <w:r w:rsidRPr="000A6F9D">
        <w:rPr>
          <w:rFonts w:eastAsiaTheme="minorEastAsia"/>
          <w:lang w:val="zh-CN" w:eastAsia="zh-CN"/>
        </w:rPr>
        <w:t>并决定在第十四届会议上处理生物多样性纳入能源和采矿、基础设施、制造和加工业以及健康部门主流的问题</w:t>
      </w:r>
      <w:r w:rsidRPr="000A6F9D">
        <w:rPr>
          <w:rFonts w:eastAsiaTheme="minorEastAsia"/>
          <w:lang w:eastAsia="zh-CN"/>
        </w:rPr>
        <w:t>，</w:t>
      </w:r>
    </w:p>
    <w:p w:rsidR="000A6F9D" w:rsidRPr="000A6F9D" w:rsidRDefault="000A6F9D" w:rsidP="000A6F9D">
      <w:pPr>
        <w:suppressLineNumbers/>
        <w:suppressAutoHyphens/>
        <w:spacing w:before="240"/>
        <w:rPr>
          <w:rFonts w:eastAsiaTheme="minorEastAsia"/>
          <w:lang w:eastAsia="zh-CN"/>
        </w:rPr>
      </w:pPr>
      <w:r w:rsidRPr="000A6F9D">
        <w:rPr>
          <w:rFonts w:ascii="KaiTi" w:eastAsia="KaiTi" w:hAnsi="KaiTi" w:cs="SimSun"/>
          <w:iCs/>
          <w:color w:val="000000"/>
          <w:kern w:val="22"/>
          <w:lang w:eastAsia="ja-JP" w:bidi="th-TH"/>
        </w:rPr>
        <w:t>又回顾</w:t>
      </w:r>
      <w:r w:rsidRPr="000A6F9D">
        <w:rPr>
          <w:rFonts w:eastAsiaTheme="minorEastAsia"/>
          <w:lang w:eastAsia="zh-CN"/>
        </w:rPr>
        <w:t>2016</w:t>
      </w:r>
      <w:r w:rsidRPr="000A6F9D">
        <w:rPr>
          <w:rFonts w:eastAsiaTheme="minorEastAsia"/>
          <w:lang w:val="zh-CN" w:eastAsia="zh-CN"/>
        </w:rPr>
        <w:t>年</w:t>
      </w:r>
      <w:r w:rsidRPr="000A6F9D">
        <w:rPr>
          <w:rFonts w:eastAsiaTheme="minorEastAsia"/>
          <w:lang w:eastAsia="zh-CN"/>
        </w:rPr>
        <w:t>12</w:t>
      </w:r>
      <w:r w:rsidRPr="000A6F9D">
        <w:rPr>
          <w:rFonts w:eastAsiaTheme="minorEastAsia"/>
          <w:lang w:val="zh-CN" w:eastAsia="zh-CN"/>
        </w:rPr>
        <w:t>月</w:t>
      </w:r>
      <w:r w:rsidRPr="000A6F9D">
        <w:rPr>
          <w:rFonts w:eastAsiaTheme="minorEastAsia"/>
          <w:lang w:eastAsia="zh-CN"/>
        </w:rPr>
        <w:t>3</w:t>
      </w:r>
      <w:r w:rsidRPr="000A6F9D">
        <w:rPr>
          <w:rFonts w:eastAsiaTheme="minorEastAsia"/>
          <w:lang w:val="zh-CN" w:eastAsia="zh-CN"/>
        </w:rPr>
        <w:t>日在墨西哥坎昆举行的第十三届会议的</w:t>
      </w:r>
      <w:r w:rsidR="00BF79EE">
        <w:rPr>
          <w:rFonts w:eastAsiaTheme="minorEastAsia"/>
          <w:lang w:val="zh-CN" w:eastAsia="zh-CN"/>
        </w:rPr>
        <w:t>高级别部分</w:t>
      </w:r>
      <w:r w:rsidRPr="000A6F9D">
        <w:rPr>
          <w:rFonts w:eastAsiaTheme="minorEastAsia"/>
          <w:lang w:val="zh-CN" w:eastAsia="zh-CN"/>
        </w:rPr>
        <w:t>通过的《将养护和可持续利用生物多样性纳入主流以增进福祉的坎昆宣言》，</w:t>
      </w:r>
      <w:r w:rsidRPr="001D61EC">
        <w:rPr>
          <w:rStyle w:val="FootnoteReference"/>
          <w:color w:val="000000" w:themeColor="text1"/>
          <w:kern w:val="22"/>
          <w:sz w:val="24"/>
          <w:u w:val="none"/>
          <w:vertAlign w:val="superscript"/>
        </w:rPr>
        <w:footnoteReference w:id="23"/>
      </w:r>
      <w:r w:rsidRPr="001D61EC">
        <w:rPr>
          <w:rStyle w:val="FootnoteReference"/>
          <w:color w:val="000000" w:themeColor="text1"/>
          <w:kern w:val="22"/>
          <w:sz w:val="24"/>
          <w:u w:val="none"/>
          <w:vertAlign w:val="superscript"/>
          <w:lang w:eastAsia="zh-CN"/>
        </w:rPr>
        <w:t xml:space="preserve"> </w:t>
      </w:r>
      <w:r w:rsidRPr="000A6F9D">
        <w:rPr>
          <w:rFonts w:eastAsiaTheme="minorEastAsia"/>
          <w:lang w:eastAsia="zh-CN"/>
        </w:rPr>
        <w:t>以及</w:t>
      </w:r>
      <w:r w:rsidRPr="000A6F9D">
        <w:rPr>
          <w:rFonts w:eastAsiaTheme="minorEastAsia"/>
          <w:lang w:eastAsia="zh-CN"/>
        </w:rPr>
        <w:t>2018</w:t>
      </w:r>
      <w:r w:rsidRPr="000A6F9D">
        <w:rPr>
          <w:rFonts w:eastAsiaTheme="minorEastAsia"/>
          <w:lang w:eastAsia="zh-CN"/>
        </w:rPr>
        <w:t>年</w:t>
      </w:r>
      <w:r w:rsidRPr="000A6F9D">
        <w:rPr>
          <w:rFonts w:eastAsiaTheme="minorEastAsia"/>
          <w:lang w:eastAsia="zh-CN"/>
        </w:rPr>
        <w:t>11</w:t>
      </w:r>
      <w:r w:rsidRPr="000A6F9D">
        <w:rPr>
          <w:rFonts w:eastAsiaTheme="minorEastAsia"/>
          <w:lang w:eastAsia="zh-CN"/>
        </w:rPr>
        <w:t>月</w:t>
      </w:r>
      <w:r w:rsidRPr="000A6F9D">
        <w:rPr>
          <w:rFonts w:eastAsiaTheme="minorEastAsia"/>
          <w:lang w:eastAsia="zh-CN"/>
        </w:rPr>
        <w:t>15</w:t>
      </w:r>
      <w:r w:rsidRPr="000A6F9D">
        <w:rPr>
          <w:rFonts w:eastAsiaTheme="minorEastAsia"/>
          <w:lang w:eastAsia="zh-CN"/>
        </w:rPr>
        <w:t>日在埃及沙姆沙伊赫举行的第十四届会议的</w:t>
      </w:r>
      <w:r w:rsidR="00BF79EE">
        <w:rPr>
          <w:rFonts w:eastAsiaTheme="minorEastAsia"/>
          <w:lang w:eastAsia="zh-CN"/>
        </w:rPr>
        <w:t>高级别部分</w:t>
      </w:r>
      <w:r w:rsidRPr="000A6F9D">
        <w:rPr>
          <w:rFonts w:eastAsiaTheme="minorEastAsia"/>
          <w:lang w:eastAsia="zh-CN"/>
        </w:rPr>
        <w:t>上通过的《沙姆沙伊赫宣言》，</w:t>
      </w:r>
      <w:r w:rsidRPr="001D61EC">
        <w:rPr>
          <w:rStyle w:val="FootnoteReference"/>
          <w:rFonts w:eastAsiaTheme="minorEastAsia"/>
          <w:color w:val="000000" w:themeColor="text1"/>
          <w:kern w:val="22"/>
          <w:sz w:val="24"/>
          <w:u w:val="none"/>
          <w:vertAlign w:val="superscript"/>
          <w:lang w:val="zh-CN"/>
        </w:rPr>
        <w:footnoteReference w:id="24"/>
      </w:r>
    </w:p>
    <w:p w:rsidR="000A6F9D" w:rsidRPr="000A6F9D" w:rsidRDefault="000A6F9D" w:rsidP="000C6210">
      <w:pPr>
        <w:pStyle w:val="ListParagraph"/>
        <w:suppressLineNumbers/>
        <w:suppressAutoHyphens/>
        <w:adjustRightInd w:val="0"/>
        <w:snapToGrid w:val="0"/>
        <w:ind w:left="0"/>
        <w:rPr>
          <w:rFonts w:eastAsiaTheme="minorEastAsia"/>
          <w:lang w:eastAsia="zh-CN"/>
        </w:rPr>
      </w:pPr>
      <w:r w:rsidRPr="000A6F9D">
        <w:rPr>
          <w:rFonts w:ascii="KaiTi" w:eastAsia="KaiTi" w:hAnsi="KaiTi" w:cs="SimSun"/>
          <w:iCs/>
          <w:color w:val="000000"/>
          <w:kern w:val="22"/>
          <w:lang w:eastAsia="ja-JP" w:bidi="th-TH"/>
        </w:rPr>
        <w:t>还回顾</w:t>
      </w:r>
      <w:r w:rsidRPr="000A6F9D">
        <w:rPr>
          <w:rFonts w:eastAsiaTheme="minorEastAsia"/>
          <w:lang w:eastAsia="zh-CN"/>
        </w:rPr>
        <w:t>关于涵盖生物多样性各个方面的影响评估的自愿准则的第</w:t>
      </w:r>
      <w:r w:rsidRPr="000A6F9D">
        <w:rPr>
          <w:rFonts w:eastAsiaTheme="minorEastAsia"/>
          <w:lang w:eastAsia="zh-CN"/>
        </w:rPr>
        <w:t>VIII/28</w:t>
      </w:r>
      <w:r w:rsidRPr="000A6F9D">
        <w:rPr>
          <w:rFonts w:eastAsiaTheme="minorEastAsia"/>
          <w:lang w:eastAsia="zh-CN"/>
        </w:rPr>
        <w:t>号决定，</w:t>
      </w:r>
    </w:p>
    <w:p w:rsidR="000A6F9D" w:rsidRPr="000A6F9D" w:rsidRDefault="000A6F9D" w:rsidP="000C6210">
      <w:pPr>
        <w:pStyle w:val="ListParagraph"/>
        <w:widowControl w:val="0"/>
        <w:suppressLineNumbers/>
        <w:suppressAutoHyphens/>
        <w:adjustRightInd w:val="0"/>
        <w:snapToGrid w:val="0"/>
        <w:ind w:left="0"/>
        <w:rPr>
          <w:rFonts w:eastAsiaTheme="minorEastAsia"/>
          <w:kern w:val="22"/>
          <w:lang w:eastAsia="zh-CN"/>
        </w:rPr>
      </w:pPr>
      <w:bookmarkStart w:id="10" w:name="_Ref516589359"/>
      <w:bookmarkStart w:id="11" w:name="_Ref516653888"/>
      <w:r w:rsidRPr="001D61EC">
        <w:rPr>
          <w:rFonts w:ascii="KaiTi" w:eastAsia="KaiTi" w:hAnsi="KaiTi" w:cs="SimSun"/>
          <w:iCs/>
          <w:color w:val="000000"/>
          <w:kern w:val="22"/>
          <w:lang w:eastAsia="ja-JP" w:bidi="th-TH"/>
        </w:rPr>
        <w:t>认识到</w:t>
      </w:r>
      <w:r w:rsidRPr="000A6F9D">
        <w:rPr>
          <w:rFonts w:eastAsiaTheme="minorEastAsia"/>
          <w:kern w:val="22"/>
          <w:lang w:val="zh-CN" w:eastAsia="zh-CN"/>
        </w:rPr>
        <w:t>能源和采矿、基础设施、制造和加工业部门一方面依赖生物多样性和生物多样性支撑的生态系统功能和服务</w:t>
      </w:r>
      <w:r w:rsidRPr="000A6F9D">
        <w:rPr>
          <w:rFonts w:eastAsiaTheme="minorEastAsia"/>
          <w:kern w:val="22"/>
          <w:lang w:eastAsia="zh-CN"/>
        </w:rPr>
        <w:t>，</w:t>
      </w:r>
      <w:r w:rsidRPr="000A6F9D">
        <w:rPr>
          <w:rFonts w:eastAsiaTheme="minorEastAsia"/>
          <w:kern w:val="22"/>
          <w:lang w:val="zh-CN" w:eastAsia="zh-CN"/>
        </w:rPr>
        <w:t>生物多样性的丧失可对这些部门产生不利影响</w:t>
      </w:r>
      <w:r w:rsidRPr="000A6F9D">
        <w:rPr>
          <w:rFonts w:eastAsiaTheme="minorEastAsia"/>
          <w:kern w:val="22"/>
          <w:lang w:eastAsia="zh-CN"/>
        </w:rPr>
        <w:t>，</w:t>
      </w:r>
      <w:r w:rsidRPr="000A6F9D">
        <w:rPr>
          <w:rFonts w:eastAsiaTheme="minorEastAsia"/>
          <w:kern w:val="22"/>
          <w:lang w:val="zh-CN" w:eastAsia="zh-CN"/>
        </w:rPr>
        <w:t>另一方面又对生物多样性有潜在影响</w:t>
      </w:r>
      <w:r w:rsidRPr="000A6F9D">
        <w:rPr>
          <w:rFonts w:eastAsiaTheme="minorEastAsia"/>
          <w:kern w:val="22"/>
          <w:lang w:eastAsia="zh-CN"/>
        </w:rPr>
        <w:t>，</w:t>
      </w:r>
      <w:r w:rsidRPr="000A6F9D">
        <w:rPr>
          <w:rFonts w:eastAsiaTheme="minorEastAsia"/>
          <w:kern w:val="22"/>
          <w:lang w:val="zh-CN" w:eastAsia="zh-CN"/>
        </w:rPr>
        <w:t>可能威胁到对人类和地球生命至关重要的生态系统功能和服务的提供</w:t>
      </w:r>
      <w:r w:rsidRPr="000A6F9D">
        <w:rPr>
          <w:rFonts w:eastAsiaTheme="minorEastAsia"/>
          <w:kern w:val="22"/>
          <w:lang w:eastAsia="zh-CN"/>
        </w:rPr>
        <w:t>，</w:t>
      </w:r>
    </w:p>
    <w:bookmarkEnd w:id="10"/>
    <w:bookmarkEnd w:id="11"/>
    <w:p w:rsidR="000A6F9D" w:rsidRPr="000A6F9D" w:rsidRDefault="000A6F9D" w:rsidP="000C6210">
      <w:pPr>
        <w:pStyle w:val="ListParagraph"/>
        <w:widowControl w:val="0"/>
        <w:suppressLineNumbers/>
        <w:suppressAutoHyphens/>
        <w:adjustRightInd w:val="0"/>
        <w:snapToGrid w:val="0"/>
        <w:ind w:left="0"/>
        <w:rPr>
          <w:rFonts w:eastAsiaTheme="minorEastAsia"/>
          <w:kern w:val="22"/>
          <w:lang w:val="zh-CN" w:eastAsia="zh-CN"/>
        </w:rPr>
      </w:pPr>
      <w:r w:rsidRPr="001D61EC">
        <w:rPr>
          <w:rFonts w:ascii="KaiTi" w:eastAsia="KaiTi" w:hAnsi="KaiTi" w:cs="SimSun"/>
          <w:iCs/>
          <w:color w:val="000000"/>
          <w:kern w:val="22"/>
          <w:lang w:eastAsia="ja-JP" w:bidi="th-TH"/>
        </w:rPr>
        <w:t>强调</w:t>
      </w:r>
      <w:r w:rsidRPr="000A6F9D">
        <w:rPr>
          <w:rFonts w:eastAsiaTheme="minorEastAsia"/>
          <w:kern w:val="22"/>
          <w:lang w:val="zh-CN" w:eastAsia="zh-CN"/>
        </w:rPr>
        <w:t>将生物多样性纳入能源和采矿、基础设施、制造和加工业部门的主流对于遏制生物多样性丧失</w:t>
      </w:r>
      <w:r w:rsidRPr="000A6F9D">
        <w:rPr>
          <w:rFonts w:eastAsiaTheme="minorEastAsia"/>
          <w:kern w:val="22"/>
          <w:lang w:eastAsia="zh-CN"/>
        </w:rPr>
        <w:t>，</w:t>
      </w:r>
      <w:r w:rsidRPr="000A6F9D">
        <w:rPr>
          <w:rFonts w:eastAsiaTheme="minorEastAsia"/>
          <w:kern w:val="22"/>
          <w:lang w:val="zh-CN" w:eastAsia="zh-CN"/>
        </w:rPr>
        <w:t>实现《</w:t>
      </w:r>
      <w:r w:rsidRPr="000A6F9D">
        <w:rPr>
          <w:rFonts w:eastAsiaTheme="minorEastAsia"/>
          <w:kern w:val="22"/>
          <w:lang w:eastAsia="zh-CN"/>
        </w:rPr>
        <w:t>2011-2020</w:t>
      </w:r>
      <w:r w:rsidRPr="000A6F9D">
        <w:rPr>
          <w:rFonts w:eastAsiaTheme="minorEastAsia"/>
          <w:kern w:val="22"/>
          <w:lang w:val="zh-CN" w:eastAsia="zh-CN"/>
        </w:rPr>
        <w:t>年生物多样性战略计划》</w:t>
      </w:r>
      <w:r w:rsidRPr="001D61EC">
        <w:rPr>
          <w:rStyle w:val="FootnoteReference"/>
          <w:rFonts w:eastAsiaTheme="minorEastAsia"/>
          <w:color w:val="000000" w:themeColor="text1"/>
          <w:kern w:val="22"/>
          <w:sz w:val="24"/>
          <w:u w:val="none"/>
          <w:vertAlign w:val="superscript"/>
          <w:lang w:val="zh-CN"/>
        </w:rPr>
        <w:footnoteReference w:id="25"/>
      </w:r>
      <w:r w:rsidRPr="001D61EC">
        <w:rPr>
          <w:rStyle w:val="FootnoteReference"/>
          <w:rFonts w:hint="eastAsia"/>
          <w:color w:val="000000" w:themeColor="text1"/>
          <w:sz w:val="24"/>
          <w:u w:val="none"/>
          <w:vertAlign w:val="superscript"/>
          <w:lang w:eastAsia="zh-CN"/>
        </w:rPr>
        <w:t xml:space="preserve"> </w:t>
      </w:r>
      <w:r w:rsidRPr="000A6F9D">
        <w:rPr>
          <w:rFonts w:eastAsiaTheme="minorEastAsia"/>
          <w:kern w:val="22"/>
          <w:lang w:eastAsia="zh-CN"/>
        </w:rPr>
        <w:t>和</w:t>
      </w:r>
      <w:r w:rsidRPr="000A6F9D">
        <w:rPr>
          <w:rFonts w:eastAsiaTheme="minorEastAsia"/>
          <w:kern w:val="22"/>
          <w:lang w:val="zh-CN" w:eastAsia="zh-CN"/>
        </w:rPr>
        <w:t>《</w:t>
      </w:r>
      <w:r w:rsidRPr="000A6F9D">
        <w:rPr>
          <w:rFonts w:eastAsiaTheme="minorEastAsia"/>
          <w:kern w:val="22"/>
          <w:lang w:eastAsia="zh-CN"/>
        </w:rPr>
        <w:t>2030</w:t>
      </w:r>
      <w:r w:rsidRPr="000A6F9D">
        <w:rPr>
          <w:rFonts w:eastAsiaTheme="minorEastAsia"/>
          <w:kern w:val="22"/>
          <w:lang w:val="zh-CN" w:eastAsia="zh-CN"/>
        </w:rPr>
        <w:t>年可持续发展议程》、</w:t>
      </w:r>
      <w:r w:rsidRPr="001D61EC">
        <w:rPr>
          <w:rStyle w:val="FootnoteReference"/>
          <w:rFonts w:eastAsiaTheme="minorEastAsia"/>
          <w:color w:val="000000" w:themeColor="text1"/>
          <w:kern w:val="22"/>
          <w:sz w:val="24"/>
          <w:u w:val="none"/>
          <w:vertAlign w:val="superscript"/>
          <w:lang w:val="zh-CN"/>
        </w:rPr>
        <w:footnoteReference w:id="26"/>
      </w:r>
      <w:r w:rsidRPr="001D61EC">
        <w:rPr>
          <w:rStyle w:val="FootnoteReference"/>
          <w:rFonts w:hint="eastAsia"/>
          <w:color w:val="000000" w:themeColor="text1"/>
          <w:sz w:val="24"/>
          <w:u w:val="none"/>
          <w:vertAlign w:val="superscript"/>
          <w:lang w:eastAsia="zh-CN"/>
        </w:rPr>
        <w:t xml:space="preserve"> </w:t>
      </w:r>
      <w:r w:rsidRPr="000A6F9D">
        <w:rPr>
          <w:rFonts w:eastAsiaTheme="minorEastAsia"/>
          <w:kern w:val="22"/>
          <w:lang w:val="zh-CN" w:eastAsia="zh-CN"/>
        </w:rPr>
        <w:t>可持续发展目标和《巴黎协定》</w:t>
      </w:r>
      <w:r w:rsidRPr="001D61EC">
        <w:rPr>
          <w:rStyle w:val="FootnoteReference"/>
          <w:rFonts w:eastAsiaTheme="minorEastAsia"/>
          <w:color w:val="000000" w:themeColor="text1"/>
          <w:kern w:val="22"/>
          <w:sz w:val="24"/>
          <w:u w:val="none"/>
          <w:vertAlign w:val="superscript"/>
          <w:lang w:val="zh-CN"/>
        </w:rPr>
        <w:footnoteReference w:id="27"/>
      </w:r>
      <w:r w:rsidRPr="001D61EC">
        <w:rPr>
          <w:rStyle w:val="FootnoteReference"/>
          <w:rFonts w:hint="eastAsia"/>
          <w:color w:val="000000" w:themeColor="text1"/>
          <w:sz w:val="24"/>
          <w:u w:val="none"/>
          <w:vertAlign w:val="superscript"/>
          <w:lang w:eastAsia="zh-CN"/>
        </w:rPr>
        <w:t xml:space="preserve"> </w:t>
      </w:r>
      <w:r w:rsidRPr="000A6F9D">
        <w:rPr>
          <w:rFonts w:eastAsiaTheme="minorEastAsia"/>
          <w:kern w:val="22"/>
          <w:lang w:val="zh-CN" w:eastAsia="zh-CN"/>
        </w:rPr>
        <w:t>等多边协定和国际进程的目的和目标至关重要，</w:t>
      </w:r>
    </w:p>
    <w:p w:rsidR="000A6F9D" w:rsidRPr="000A6F9D" w:rsidRDefault="000A6F9D" w:rsidP="000C6210">
      <w:pPr>
        <w:pStyle w:val="ListParagraph"/>
        <w:suppressLineNumbers/>
        <w:suppressAutoHyphens/>
        <w:adjustRightInd w:val="0"/>
        <w:snapToGrid w:val="0"/>
        <w:ind w:left="0"/>
        <w:rPr>
          <w:rFonts w:eastAsiaTheme="minorEastAsia"/>
          <w:kern w:val="22"/>
          <w:lang w:eastAsia="zh-CN"/>
        </w:rPr>
      </w:pPr>
      <w:r w:rsidRPr="001D61EC">
        <w:rPr>
          <w:rFonts w:ascii="KaiTi" w:eastAsia="KaiTi" w:hAnsi="KaiTi" w:cs="SimSun"/>
          <w:iCs/>
          <w:color w:val="000000"/>
          <w:kern w:val="22"/>
          <w:lang w:eastAsia="ja-JP" w:bidi="th-TH"/>
        </w:rPr>
        <w:t>强调</w:t>
      </w:r>
      <w:r w:rsidRPr="000A6F9D">
        <w:rPr>
          <w:rFonts w:eastAsiaTheme="minorEastAsia"/>
          <w:kern w:val="22"/>
          <w:lang w:val="zh-CN" w:eastAsia="zh-CN"/>
        </w:rPr>
        <w:t>企业和金融部门、土著人民和地方社区、民间社会、地方和国家以下级政府、学术界以及妇女、青年和其他相关利益攸关方在促进和落实生物多样性主流化方面的重要作用</w:t>
      </w:r>
      <w:r w:rsidRPr="000A6F9D">
        <w:rPr>
          <w:rFonts w:eastAsiaTheme="minorEastAsia"/>
          <w:kern w:val="22"/>
          <w:lang w:eastAsia="zh-CN"/>
        </w:rPr>
        <w:t>,</w:t>
      </w:r>
    </w:p>
    <w:p w:rsidR="000A6F9D" w:rsidRPr="000A6F9D" w:rsidRDefault="000A6F9D" w:rsidP="000C6210">
      <w:pPr>
        <w:pStyle w:val="ListParagraph"/>
        <w:suppressLineNumbers/>
        <w:suppressAutoHyphens/>
        <w:adjustRightInd w:val="0"/>
        <w:snapToGrid w:val="0"/>
        <w:ind w:left="0"/>
        <w:rPr>
          <w:rFonts w:eastAsiaTheme="minorEastAsia"/>
          <w:lang w:eastAsia="zh-CN"/>
        </w:rPr>
      </w:pPr>
      <w:r w:rsidRPr="001D61EC">
        <w:rPr>
          <w:rFonts w:ascii="KaiTi" w:eastAsia="KaiTi" w:hAnsi="KaiTi" w:cs="SimSun"/>
          <w:iCs/>
          <w:color w:val="000000"/>
          <w:kern w:val="22"/>
          <w:lang w:eastAsia="ja-JP" w:bidi="th-TH"/>
        </w:rPr>
        <w:t>肯定</w:t>
      </w:r>
      <w:r w:rsidRPr="000A6F9D">
        <w:rPr>
          <w:rFonts w:eastAsiaTheme="minorEastAsia"/>
          <w:lang w:val="zh-CN" w:eastAsia="zh-CN"/>
        </w:rPr>
        <w:t>各国际组织、</w:t>
      </w:r>
      <w:r w:rsidRPr="000A6F9D">
        <w:rPr>
          <w:rFonts w:eastAsiaTheme="minorEastAsia"/>
          <w:kern w:val="22"/>
          <w:lang w:val="zh-CN" w:eastAsia="zh-CN"/>
        </w:rPr>
        <w:t>相关伙伴组织和倡议为推动企业界在生物多样性方面的实践所做的工作</w:t>
      </w:r>
      <w:r w:rsidRPr="000A6F9D">
        <w:rPr>
          <w:rFonts w:eastAsiaTheme="minorEastAsia"/>
          <w:kern w:val="22"/>
          <w:lang w:eastAsia="zh-CN"/>
        </w:rPr>
        <w:t>，</w:t>
      </w:r>
      <w:r w:rsidRPr="000A6F9D">
        <w:rPr>
          <w:rFonts w:eastAsiaTheme="minorEastAsia"/>
          <w:kern w:val="22"/>
          <w:lang w:val="zh-CN" w:eastAsia="zh-CN"/>
        </w:rPr>
        <w:t>例如</w:t>
      </w:r>
      <w:r w:rsidR="00780033">
        <w:rPr>
          <w:rFonts w:eastAsiaTheme="minorEastAsia"/>
          <w:kern w:val="22"/>
          <w:lang w:val="zh-CN" w:eastAsia="zh-CN"/>
        </w:rPr>
        <w:t>联合国环境署</w:t>
      </w:r>
      <w:r w:rsidRPr="000A6F9D">
        <w:rPr>
          <w:rFonts w:eastAsiaTheme="minorEastAsia"/>
          <w:kern w:val="22"/>
          <w:lang w:val="zh-CN" w:eastAsia="zh-CN"/>
        </w:rPr>
        <w:t>、一个地球网络、</w:t>
      </w:r>
      <w:r w:rsidRPr="000A6F9D">
        <w:rPr>
          <w:rFonts w:eastAsiaTheme="minorEastAsia"/>
          <w:lang w:val="zh-CN" w:eastAsia="zh-CN"/>
        </w:rPr>
        <w:t>联合国全球契约、联合国统计司、</w:t>
      </w:r>
      <w:r w:rsidRPr="000A6F9D">
        <w:rPr>
          <w:rFonts w:eastAsiaTheme="minorEastAsia"/>
          <w:lang w:eastAsia="zh-CN"/>
        </w:rPr>
        <w:t>移栖物种公约及其多利益攸关方能源问题工作队</w:t>
      </w:r>
      <w:r w:rsidRPr="000A6F9D">
        <w:rPr>
          <w:rFonts w:eastAsiaTheme="minorEastAsia"/>
          <w:lang w:val="zh-CN" w:eastAsia="zh-CN"/>
        </w:rPr>
        <w:t>、联合国贸易和发展会议及其</w:t>
      </w:r>
      <w:r w:rsidRPr="000A6F9D">
        <w:rPr>
          <w:rFonts w:eastAsiaTheme="minorEastAsia"/>
          <w:lang w:eastAsia="zh-CN"/>
        </w:rPr>
        <w:t>生物贸易倡议、</w:t>
      </w:r>
      <w:r w:rsidRPr="000A6F9D">
        <w:rPr>
          <w:rFonts w:eastAsiaTheme="minorEastAsia"/>
          <w:lang w:val="zh-CN" w:eastAsia="zh-CN"/>
        </w:rPr>
        <w:t>国际自然保护联盟、国际综合报告委员会、剑桥可持续领导力研究所、自然资本联盟及其生物多样性工作组、全球报告倡议等所做的工作，</w:t>
      </w:r>
    </w:p>
    <w:p w:rsidR="000A6F9D" w:rsidRPr="000A6F9D" w:rsidRDefault="000A6F9D" w:rsidP="000C6210">
      <w:pPr>
        <w:pStyle w:val="ListParagraph"/>
        <w:widowControl w:val="0"/>
        <w:suppressLineNumbers/>
        <w:suppressAutoHyphens/>
        <w:adjustRightInd w:val="0"/>
        <w:snapToGrid w:val="0"/>
        <w:ind w:left="0"/>
        <w:rPr>
          <w:rStyle w:val="StylePatternClearGray-15Kernat11pt"/>
          <w:rFonts w:eastAsiaTheme="minorEastAsia"/>
          <w:color w:val="000000" w:themeColor="text1"/>
          <w:lang w:eastAsia="zh-CN"/>
        </w:rPr>
      </w:pPr>
      <w:r w:rsidRPr="001D61EC">
        <w:rPr>
          <w:rFonts w:ascii="KaiTi" w:eastAsia="KaiTi" w:hAnsi="KaiTi" w:cs="SimSun"/>
          <w:iCs/>
          <w:color w:val="000000"/>
          <w:kern w:val="22"/>
          <w:lang w:eastAsia="ja-JP" w:bidi="th-TH"/>
        </w:rPr>
        <w:lastRenderedPageBreak/>
        <w:t>表示注意到</w:t>
      </w:r>
      <w:r w:rsidRPr="000A6F9D">
        <w:rPr>
          <w:rFonts w:eastAsiaTheme="minorEastAsia"/>
          <w:color w:val="000000" w:themeColor="text1"/>
          <w:kern w:val="22"/>
          <w:lang w:val="zh-CN" w:eastAsia="zh-CN"/>
        </w:rPr>
        <w:t>《城市与生物多样性展望》、</w:t>
      </w:r>
      <w:r w:rsidRPr="001D61EC">
        <w:rPr>
          <w:rStyle w:val="FootnoteReference"/>
          <w:rFonts w:eastAsiaTheme="minorEastAsia"/>
          <w:color w:val="000000" w:themeColor="text1"/>
          <w:kern w:val="22"/>
          <w:sz w:val="24"/>
          <w:u w:val="none"/>
          <w:vertAlign w:val="superscript"/>
          <w:lang w:val="zh-CN"/>
        </w:rPr>
        <w:footnoteReference w:id="28"/>
      </w:r>
      <w:r w:rsidRPr="000A6F9D">
        <w:rPr>
          <w:rFonts w:eastAsiaTheme="minorEastAsia"/>
          <w:color w:val="000000" w:themeColor="text1"/>
          <w:kern w:val="22"/>
          <w:lang w:val="zh-CN" w:eastAsia="zh-CN"/>
        </w:rPr>
        <w:t>《</w:t>
      </w:r>
      <w:r w:rsidRPr="000A6F9D">
        <w:rPr>
          <w:rFonts w:eastAsiaTheme="minorEastAsia"/>
          <w:color w:val="000000" w:themeColor="text1"/>
          <w:kern w:val="22"/>
          <w:lang w:eastAsia="zh-CN"/>
        </w:rPr>
        <w:t>为所有人建设可持续城市和人类住区基多宣言》</w:t>
      </w:r>
      <w:r w:rsidRPr="000A6F9D">
        <w:rPr>
          <w:rFonts w:eastAsiaTheme="minorEastAsia"/>
          <w:snapToGrid w:val="0"/>
          <w:color w:val="000000" w:themeColor="text1"/>
          <w:kern w:val="22"/>
          <w:vertAlign w:val="superscript"/>
        </w:rPr>
        <w:footnoteReference w:id="29"/>
      </w:r>
      <w:r w:rsidRPr="000A6F9D">
        <w:rPr>
          <w:rFonts w:eastAsiaTheme="minorEastAsia"/>
          <w:color w:val="000000" w:themeColor="text1"/>
          <w:kern w:val="22"/>
          <w:lang w:eastAsia="zh-CN"/>
        </w:rPr>
        <w:t xml:space="preserve"> </w:t>
      </w:r>
      <w:r w:rsidRPr="000A6F9D">
        <w:rPr>
          <w:rFonts w:eastAsiaTheme="minorEastAsia"/>
          <w:color w:val="000000" w:themeColor="text1"/>
          <w:kern w:val="22"/>
          <w:lang w:eastAsia="zh-CN"/>
        </w:rPr>
        <w:t>和国际资源小组的报告</w:t>
      </w:r>
      <w:r w:rsidRPr="001D61EC">
        <w:rPr>
          <w:rStyle w:val="FootnoteReference"/>
          <w:rFonts w:eastAsiaTheme="minorEastAsia"/>
          <w:color w:val="000000" w:themeColor="text1"/>
          <w:sz w:val="24"/>
          <w:u w:val="none"/>
          <w:vertAlign w:val="superscript"/>
        </w:rPr>
        <w:footnoteReference w:id="30"/>
      </w:r>
      <w:r w:rsidRPr="001D61EC">
        <w:rPr>
          <w:rStyle w:val="FootnoteReference"/>
          <w:sz w:val="24"/>
          <w:u w:val="none"/>
          <w:vertAlign w:val="superscript"/>
          <w:lang w:eastAsia="zh-CN"/>
        </w:rPr>
        <w:t xml:space="preserve"> </w:t>
      </w:r>
      <w:r w:rsidRPr="000A6F9D">
        <w:rPr>
          <w:rStyle w:val="StylePatternClearGray-15Kernat11pt"/>
          <w:rFonts w:eastAsiaTheme="minorEastAsia"/>
          <w:color w:val="000000" w:themeColor="text1"/>
          <w:lang w:val="zh-CN" w:eastAsia="zh-CN"/>
        </w:rPr>
        <w:t>及其有关需要在城市层面将生物多样性纳入主流的重要讯息</w:t>
      </w:r>
      <w:r w:rsidRPr="000A6F9D">
        <w:rPr>
          <w:rStyle w:val="StylePatternClearGray-15Kernat11pt"/>
          <w:rFonts w:eastAsiaTheme="minorEastAsia"/>
          <w:color w:val="000000" w:themeColor="text1"/>
          <w:lang w:eastAsia="zh-CN"/>
        </w:rPr>
        <w:t>，</w:t>
      </w:r>
    </w:p>
    <w:p w:rsidR="000A6F9D" w:rsidRPr="000A6F9D" w:rsidRDefault="000A6F9D" w:rsidP="000C6210">
      <w:pPr>
        <w:pStyle w:val="ListParagraph"/>
        <w:widowControl w:val="0"/>
        <w:suppressLineNumbers/>
        <w:suppressAutoHyphens/>
        <w:adjustRightInd w:val="0"/>
        <w:snapToGrid w:val="0"/>
        <w:ind w:left="0"/>
        <w:rPr>
          <w:rFonts w:eastAsiaTheme="minorEastAsia"/>
          <w:color w:val="000000" w:themeColor="text1"/>
          <w:kern w:val="22"/>
          <w:lang w:eastAsia="zh-CN"/>
        </w:rPr>
      </w:pPr>
      <w:r w:rsidRPr="001D61EC">
        <w:rPr>
          <w:rFonts w:ascii="KaiTi" w:eastAsia="KaiTi" w:hAnsi="KaiTi" w:cs="SimSun"/>
          <w:iCs/>
          <w:color w:val="000000"/>
          <w:kern w:val="22"/>
          <w:lang w:eastAsia="ja-JP" w:bidi="th-TH"/>
        </w:rPr>
        <w:t>认识到</w:t>
      </w:r>
      <w:r w:rsidRPr="000A6F9D">
        <w:rPr>
          <w:rFonts w:eastAsiaTheme="minorEastAsia"/>
          <w:color w:val="000000" w:themeColor="text1"/>
          <w:kern w:val="22"/>
          <w:lang w:eastAsia="zh-CN"/>
        </w:rPr>
        <w:t>主流化对于实现《公约》目标、《</w:t>
      </w:r>
      <w:r w:rsidRPr="000A6F9D">
        <w:rPr>
          <w:rFonts w:eastAsiaTheme="minorEastAsia"/>
          <w:color w:val="000000" w:themeColor="text1"/>
          <w:kern w:val="22"/>
          <w:lang w:eastAsia="zh-CN"/>
        </w:rPr>
        <w:t>2011-2020</w:t>
      </w:r>
      <w:r w:rsidRPr="000A6F9D">
        <w:rPr>
          <w:rFonts w:eastAsiaTheme="minorEastAsia"/>
          <w:color w:val="000000" w:themeColor="text1"/>
          <w:kern w:val="22"/>
          <w:lang w:eastAsia="zh-CN"/>
        </w:rPr>
        <w:t>年生物多样性战略计划》及其爱知生物多样性指标和</w:t>
      </w:r>
      <w:r w:rsidRPr="000A6F9D">
        <w:rPr>
          <w:rFonts w:eastAsiaTheme="minorEastAsia"/>
          <w:color w:val="000000" w:themeColor="text1"/>
          <w:kern w:val="22"/>
          <w:lang w:eastAsia="zh-CN"/>
        </w:rPr>
        <w:t>2050</w:t>
      </w:r>
      <w:r w:rsidRPr="000A6F9D">
        <w:rPr>
          <w:rFonts w:eastAsiaTheme="minorEastAsia"/>
          <w:color w:val="000000" w:themeColor="text1"/>
          <w:kern w:val="22"/>
          <w:lang w:eastAsia="zh-CN"/>
        </w:rPr>
        <w:t>年生物多样性愿景至关重要，并应成为</w:t>
      </w:r>
      <w:r w:rsidRPr="000A6F9D">
        <w:rPr>
          <w:rFonts w:eastAsiaTheme="minorEastAsia"/>
          <w:color w:val="000000" w:themeColor="text1"/>
          <w:kern w:val="22"/>
          <w:lang w:eastAsia="zh-CN"/>
        </w:rPr>
        <w:t>2020</w:t>
      </w:r>
      <w:r w:rsidRPr="000A6F9D">
        <w:rPr>
          <w:rFonts w:eastAsiaTheme="minorEastAsia"/>
          <w:color w:val="000000" w:themeColor="text1"/>
          <w:kern w:val="22"/>
          <w:lang w:eastAsia="zh-CN"/>
        </w:rPr>
        <w:t>年后全球生物多样性框架的关键要素之一，以便实现整个社会和经济实的必要转型变革，包括所有层面的行为和决策变革，</w:t>
      </w:r>
    </w:p>
    <w:p w:rsidR="000A6F9D" w:rsidRPr="000A6F9D" w:rsidRDefault="000A6F9D" w:rsidP="000A1A91">
      <w:pPr>
        <w:pStyle w:val="ListParagraph"/>
        <w:widowControl w:val="0"/>
        <w:numPr>
          <w:ilvl w:val="0"/>
          <w:numId w:val="22"/>
        </w:numPr>
        <w:suppressLineNumbers/>
        <w:suppressAutoHyphens/>
        <w:adjustRightInd w:val="0"/>
        <w:snapToGrid w:val="0"/>
        <w:ind w:left="0" w:firstLine="720"/>
        <w:rPr>
          <w:rFonts w:eastAsiaTheme="minorEastAsia"/>
          <w:color w:val="000000" w:themeColor="text1"/>
          <w:kern w:val="22"/>
          <w:lang w:eastAsia="zh-CN"/>
        </w:rPr>
      </w:pPr>
      <w:r w:rsidRPr="001D61EC">
        <w:rPr>
          <w:rFonts w:ascii="KaiTi" w:eastAsia="KaiTi" w:hAnsi="KaiTi" w:cs="SimSun"/>
          <w:iCs/>
          <w:color w:val="000000"/>
          <w:kern w:val="22"/>
          <w:lang w:eastAsia="ja-JP" w:bidi="th-TH"/>
        </w:rPr>
        <w:t>欢迎</w:t>
      </w:r>
      <w:r w:rsidRPr="000A6F9D">
        <w:rPr>
          <w:rFonts w:eastAsiaTheme="minorEastAsia"/>
          <w:color w:val="000000" w:themeColor="text1"/>
          <w:kern w:val="22"/>
          <w:lang w:eastAsia="zh-CN"/>
        </w:rPr>
        <w:t>生物多样性主流化问题国际专家讲习班题为</w:t>
      </w:r>
      <w:r w:rsidRPr="000A6F9D">
        <w:rPr>
          <w:rFonts w:eastAsiaTheme="minorEastAsia"/>
          <w:color w:val="000000" w:themeColor="text1"/>
          <w:kern w:val="22"/>
          <w:lang w:eastAsia="zh-CN"/>
        </w:rPr>
        <w:t>“</w:t>
      </w:r>
      <w:r w:rsidRPr="000A6F9D">
        <w:rPr>
          <w:rFonts w:eastAsiaTheme="minorEastAsia"/>
          <w:color w:val="000000" w:themeColor="text1"/>
          <w:kern w:val="22"/>
          <w:lang w:eastAsia="zh-CN"/>
        </w:rPr>
        <w:t>我们面临的道路：生物</w:t>
      </w:r>
      <w:r w:rsidRPr="000A6F9D">
        <w:rPr>
          <w:rFonts w:eastAsiaTheme="minorEastAsia"/>
          <w:color w:val="000000" w:themeColor="text1"/>
          <w:spacing w:val="20"/>
          <w:kern w:val="22"/>
          <w:lang w:eastAsia="zh-CN"/>
        </w:rPr>
        <w:t>多样性主流化促进福祉的</w:t>
      </w:r>
      <w:r w:rsidRPr="000A6F9D">
        <w:rPr>
          <w:rFonts w:eastAsiaTheme="minorEastAsia"/>
          <w:color w:val="000000" w:themeColor="text1"/>
          <w:kern w:val="22"/>
          <w:lang w:eastAsia="zh-CN"/>
        </w:rPr>
        <w:t>进展</w:t>
      </w:r>
      <w:r w:rsidRPr="000A6F9D">
        <w:rPr>
          <w:rFonts w:eastAsiaTheme="minorEastAsia"/>
          <w:color w:val="000000" w:themeColor="text1"/>
          <w:kern w:val="22"/>
          <w:lang w:eastAsia="zh-CN"/>
        </w:rPr>
        <w:t>”</w:t>
      </w:r>
      <w:r w:rsidRPr="000A6F9D">
        <w:rPr>
          <w:rFonts w:eastAsiaTheme="minorEastAsia"/>
          <w:color w:val="000000" w:themeColor="text1"/>
          <w:kern w:val="22"/>
          <w:lang w:eastAsia="zh-CN"/>
        </w:rPr>
        <w:t>的报告；</w:t>
      </w:r>
      <w:r w:rsidRPr="001D61EC">
        <w:rPr>
          <w:rStyle w:val="FootnoteReference"/>
          <w:rFonts w:eastAsiaTheme="minorEastAsia"/>
          <w:color w:val="000000" w:themeColor="text1"/>
          <w:sz w:val="24"/>
          <w:u w:val="none"/>
          <w:vertAlign w:val="superscript"/>
        </w:rPr>
        <w:footnoteReference w:id="31"/>
      </w:r>
    </w:p>
    <w:p w:rsidR="000A6F9D" w:rsidRPr="000A6F9D" w:rsidRDefault="000A6F9D" w:rsidP="000A1A91">
      <w:pPr>
        <w:pStyle w:val="ListParagraph"/>
        <w:widowControl w:val="0"/>
        <w:numPr>
          <w:ilvl w:val="0"/>
          <w:numId w:val="22"/>
        </w:numPr>
        <w:suppressLineNumbers/>
        <w:suppressAutoHyphens/>
        <w:adjustRightInd w:val="0"/>
        <w:snapToGrid w:val="0"/>
        <w:ind w:left="0" w:firstLine="720"/>
        <w:rPr>
          <w:rFonts w:eastAsiaTheme="minorEastAsia"/>
          <w:color w:val="000000" w:themeColor="text1"/>
          <w:kern w:val="22"/>
          <w:lang w:eastAsia="zh-CN"/>
        </w:rPr>
      </w:pPr>
      <w:r w:rsidRPr="001D61EC">
        <w:rPr>
          <w:rFonts w:ascii="KaiTi" w:eastAsia="KaiTi" w:hAnsi="KaiTi" w:cs="SimSun"/>
          <w:iCs/>
          <w:color w:val="000000"/>
          <w:kern w:val="22"/>
          <w:lang w:eastAsia="ja-JP" w:bidi="th-TH"/>
        </w:rPr>
        <w:t>又欢迎</w:t>
      </w:r>
      <w:r w:rsidRPr="000A6F9D">
        <w:rPr>
          <w:rFonts w:eastAsiaTheme="minorEastAsia"/>
          <w:color w:val="000000" w:themeColor="text1"/>
          <w:kern w:val="22"/>
          <w:lang w:eastAsia="zh-CN"/>
        </w:rPr>
        <w:t>能源和采矿、基础设施以及制造和加工业部门主流化问题国际专家讲习班报告的执行摘要；</w:t>
      </w:r>
      <w:r w:rsidRPr="001D61EC">
        <w:rPr>
          <w:rStyle w:val="FootnoteReference"/>
          <w:rFonts w:eastAsiaTheme="minorEastAsia"/>
          <w:color w:val="000000" w:themeColor="text1"/>
          <w:sz w:val="24"/>
          <w:u w:val="none"/>
          <w:vertAlign w:val="superscript"/>
        </w:rPr>
        <w:footnoteReference w:id="32"/>
      </w:r>
    </w:p>
    <w:p w:rsidR="000A6F9D" w:rsidRPr="000A6F9D" w:rsidRDefault="000A6F9D" w:rsidP="000A1A91">
      <w:pPr>
        <w:pStyle w:val="ListParagraph"/>
        <w:widowControl w:val="0"/>
        <w:numPr>
          <w:ilvl w:val="0"/>
          <w:numId w:val="22"/>
        </w:numPr>
        <w:suppressLineNumbers/>
        <w:suppressAutoHyphens/>
        <w:adjustRightInd w:val="0"/>
        <w:snapToGrid w:val="0"/>
        <w:ind w:left="0" w:firstLine="720"/>
        <w:rPr>
          <w:rFonts w:eastAsiaTheme="minorEastAsia"/>
          <w:color w:val="000000" w:themeColor="text1"/>
          <w:kern w:val="22"/>
          <w:lang w:eastAsia="zh-CN"/>
        </w:rPr>
      </w:pPr>
      <w:r w:rsidRPr="001D61EC">
        <w:rPr>
          <w:rFonts w:ascii="KaiTi" w:eastAsia="KaiTi" w:hAnsi="KaiTi" w:cs="SimSun"/>
          <w:iCs/>
          <w:color w:val="000000"/>
          <w:kern w:val="22"/>
          <w:lang w:eastAsia="ja-JP" w:bidi="th-TH"/>
        </w:rPr>
        <w:t>注意到</w:t>
      </w:r>
      <w:r w:rsidRPr="000A6F9D">
        <w:rPr>
          <w:rFonts w:eastAsiaTheme="minorEastAsia"/>
          <w:color w:val="000000" w:themeColor="text1"/>
          <w:kern w:val="22"/>
          <w:lang w:eastAsia="zh-CN"/>
        </w:rPr>
        <w:t>审查生物多样性主流化的成效以及查明其障碍和挑战的重要性，包括通过现有双边、区域和多边机制进行能力建设、技术转让、调动和提供资金的必要性；</w:t>
      </w:r>
    </w:p>
    <w:p w:rsidR="000A6F9D" w:rsidRPr="000A6F9D" w:rsidRDefault="000A6F9D" w:rsidP="000A1A91">
      <w:pPr>
        <w:pStyle w:val="ListParagraph"/>
        <w:widowControl w:val="0"/>
        <w:numPr>
          <w:ilvl w:val="0"/>
          <w:numId w:val="22"/>
        </w:numPr>
        <w:suppressLineNumbers/>
        <w:suppressAutoHyphens/>
        <w:adjustRightInd w:val="0"/>
        <w:snapToGrid w:val="0"/>
        <w:ind w:left="0" w:firstLine="720"/>
        <w:rPr>
          <w:rFonts w:eastAsiaTheme="minorEastAsia"/>
          <w:color w:val="000000" w:themeColor="text1"/>
          <w:kern w:val="22"/>
          <w:lang w:eastAsia="zh-CN"/>
        </w:rPr>
      </w:pPr>
      <w:r w:rsidRPr="001D61EC">
        <w:rPr>
          <w:rFonts w:ascii="KaiTi" w:eastAsia="KaiTi" w:hAnsi="KaiTi" w:cs="SimSun"/>
          <w:iCs/>
          <w:color w:val="000000"/>
          <w:kern w:val="22"/>
          <w:lang w:eastAsia="ja-JP" w:bidi="th-TH"/>
        </w:rPr>
        <w:t>又注意到</w:t>
      </w:r>
      <w:r w:rsidRPr="000A6F9D">
        <w:rPr>
          <w:rFonts w:eastAsiaTheme="minorEastAsia"/>
          <w:color w:val="000000" w:themeColor="text1"/>
          <w:kern w:val="22"/>
          <w:lang w:eastAsia="zh-CN"/>
        </w:rPr>
        <w:t>让企业项目有能力支持生物多样性主流化的重要性；</w:t>
      </w:r>
    </w:p>
    <w:p w:rsidR="000A6F9D" w:rsidRPr="000A6F9D" w:rsidRDefault="000A6F9D" w:rsidP="000A1A91">
      <w:pPr>
        <w:pStyle w:val="ListParagraph"/>
        <w:widowControl w:val="0"/>
        <w:numPr>
          <w:ilvl w:val="0"/>
          <w:numId w:val="22"/>
        </w:numPr>
        <w:suppressLineNumbers/>
        <w:suppressAutoHyphens/>
        <w:adjustRightInd w:val="0"/>
        <w:snapToGrid w:val="0"/>
        <w:ind w:left="0" w:firstLine="720"/>
        <w:rPr>
          <w:rFonts w:eastAsiaTheme="minorEastAsia"/>
          <w:color w:val="000000" w:themeColor="text1"/>
          <w:kern w:val="22"/>
          <w:lang w:eastAsia="zh-CN"/>
        </w:rPr>
      </w:pPr>
      <w:r w:rsidRPr="001D61EC">
        <w:rPr>
          <w:rFonts w:ascii="KaiTi" w:eastAsia="KaiTi" w:hAnsi="KaiTi" w:cs="SimSun"/>
          <w:iCs/>
          <w:color w:val="000000"/>
          <w:kern w:val="22"/>
          <w:lang w:eastAsia="ja-JP" w:bidi="th-TH"/>
        </w:rPr>
        <w:t>欢迎</w:t>
      </w:r>
      <w:r w:rsidRPr="000A6F9D">
        <w:rPr>
          <w:rFonts w:eastAsiaTheme="minorEastAsia"/>
          <w:color w:val="000000" w:themeColor="text1"/>
          <w:kern w:val="22"/>
          <w:lang w:eastAsia="zh-CN"/>
        </w:rPr>
        <w:t>执行秘书编写的生物多样性报告订正行动分类和相关指导意见；</w:t>
      </w:r>
      <w:r w:rsidRPr="001D61EC">
        <w:rPr>
          <w:rStyle w:val="FootnoteReference"/>
          <w:rFonts w:eastAsiaTheme="minorEastAsia"/>
          <w:color w:val="000000" w:themeColor="text1"/>
          <w:sz w:val="24"/>
          <w:u w:val="none"/>
          <w:vertAlign w:val="superscript"/>
        </w:rPr>
        <w:footnoteReference w:id="33"/>
      </w:r>
    </w:p>
    <w:p w:rsidR="000A6F9D" w:rsidRPr="000A6F9D" w:rsidRDefault="000A6F9D" w:rsidP="000A1A91">
      <w:pPr>
        <w:pStyle w:val="ListParagraph"/>
        <w:widowControl w:val="0"/>
        <w:numPr>
          <w:ilvl w:val="0"/>
          <w:numId w:val="22"/>
        </w:numPr>
        <w:suppressLineNumbers/>
        <w:suppressAutoHyphens/>
        <w:adjustRightInd w:val="0"/>
        <w:snapToGrid w:val="0"/>
        <w:ind w:left="0" w:firstLine="720"/>
        <w:rPr>
          <w:rFonts w:eastAsiaTheme="minorEastAsia"/>
          <w:color w:val="000000" w:themeColor="text1"/>
          <w:lang w:val="zh-CN" w:eastAsia="zh-CN"/>
        </w:rPr>
      </w:pPr>
      <w:r w:rsidRPr="001D61EC">
        <w:rPr>
          <w:rFonts w:ascii="KaiTi" w:eastAsia="KaiTi" w:hAnsi="KaiTi" w:cs="SimSun"/>
          <w:iCs/>
          <w:color w:val="000000"/>
          <w:kern w:val="22"/>
          <w:lang w:eastAsia="ja-JP" w:bidi="th-TH"/>
        </w:rPr>
        <w:t>确认</w:t>
      </w:r>
      <w:r w:rsidRPr="000A6F9D">
        <w:rPr>
          <w:rFonts w:eastAsiaTheme="minorEastAsia"/>
          <w:color w:val="000000" w:themeColor="text1"/>
          <w:kern w:val="22"/>
          <w:lang w:val="zh-CN" w:eastAsia="zh-CN"/>
        </w:rPr>
        <w:t>在存在解决</w:t>
      </w:r>
      <w:r w:rsidRPr="000A6F9D">
        <w:rPr>
          <w:rFonts w:eastAsiaTheme="minorEastAsia"/>
          <w:color w:val="000000" w:themeColor="text1"/>
          <w:lang w:val="zh-CN" w:eastAsia="zh-CN"/>
        </w:rPr>
        <w:t>保护和可持续利用生物多样性的政策和工具的同时，仍有机会将生物多样性纳入</w:t>
      </w:r>
      <w:r w:rsidRPr="000A6F9D">
        <w:rPr>
          <w:rFonts w:eastAsiaTheme="minorEastAsia"/>
          <w:color w:val="000000" w:themeColor="text1"/>
          <w:kern w:val="22"/>
          <w:lang w:val="zh-CN" w:eastAsia="zh-CN"/>
        </w:rPr>
        <w:t>能源和采矿</w:t>
      </w:r>
      <w:r w:rsidRPr="000A6F9D">
        <w:rPr>
          <w:rFonts w:eastAsiaTheme="minorEastAsia"/>
          <w:color w:val="000000" w:themeColor="text1"/>
          <w:lang w:val="zh-CN" w:eastAsia="zh-CN"/>
        </w:rPr>
        <w:t>、基础设施、制造和加工业等部门的主流</w:t>
      </w:r>
      <w:r w:rsidRPr="000A6F9D">
        <w:rPr>
          <w:rFonts w:eastAsiaTheme="minorEastAsia"/>
          <w:color w:val="000000" w:themeColor="text1"/>
          <w:lang w:eastAsia="zh-CN"/>
        </w:rPr>
        <w:t>，</w:t>
      </w:r>
      <w:r w:rsidRPr="000A6F9D">
        <w:rPr>
          <w:rFonts w:eastAsiaTheme="minorEastAsia"/>
          <w:color w:val="000000" w:themeColor="text1"/>
          <w:lang w:val="zh-CN" w:eastAsia="zh-CN"/>
        </w:rPr>
        <w:t>包括在综合空间和战略规划、项目设计、决策、全经济和全部门政策方面，包括按照</w:t>
      </w:r>
      <w:r w:rsidRPr="000A6F9D">
        <w:rPr>
          <w:rFonts w:eastAsiaTheme="minorEastAsia"/>
          <w:color w:val="000000" w:themeColor="text1"/>
          <w:lang w:eastAsia="zh-CN"/>
        </w:rPr>
        <w:t>爱知生物多样性目标</w:t>
      </w:r>
      <w:r w:rsidRPr="000A6F9D">
        <w:rPr>
          <w:rFonts w:eastAsiaTheme="minorEastAsia"/>
          <w:color w:val="000000" w:themeColor="text1"/>
          <w:lang w:eastAsia="zh-CN"/>
        </w:rPr>
        <w:t>3</w:t>
      </w:r>
      <w:r w:rsidRPr="000A6F9D">
        <w:rPr>
          <w:rFonts w:eastAsiaTheme="minorEastAsia"/>
          <w:color w:val="000000" w:themeColor="text1"/>
          <w:lang w:eastAsia="zh-CN"/>
        </w:rPr>
        <w:t>采取的激励措施</w:t>
      </w:r>
      <w:r w:rsidRPr="000A6F9D">
        <w:rPr>
          <w:rFonts w:eastAsiaTheme="minorEastAsia"/>
          <w:color w:val="000000" w:themeColor="text1"/>
          <w:lang w:val="zh-CN" w:eastAsia="zh-CN"/>
        </w:rPr>
        <w:t>；</w:t>
      </w:r>
    </w:p>
    <w:p w:rsidR="000A6F9D" w:rsidRPr="000A6F9D" w:rsidRDefault="000A6F9D" w:rsidP="000A1A91">
      <w:pPr>
        <w:pStyle w:val="ListParagraph"/>
        <w:widowControl w:val="0"/>
        <w:numPr>
          <w:ilvl w:val="0"/>
          <w:numId w:val="22"/>
        </w:numPr>
        <w:suppressLineNumbers/>
        <w:suppressAutoHyphens/>
        <w:adjustRightInd w:val="0"/>
        <w:snapToGrid w:val="0"/>
        <w:ind w:left="0" w:firstLine="720"/>
        <w:rPr>
          <w:rFonts w:eastAsiaTheme="minorEastAsia"/>
          <w:snapToGrid w:val="0"/>
          <w:color w:val="000000" w:themeColor="text1"/>
          <w:lang w:val="zh-CN" w:eastAsia="zh-CN"/>
        </w:rPr>
      </w:pPr>
      <w:r w:rsidRPr="001D61EC">
        <w:rPr>
          <w:rFonts w:ascii="KaiTi" w:eastAsia="KaiTi" w:hAnsi="KaiTi" w:cs="SimSun"/>
          <w:iCs/>
          <w:color w:val="000000"/>
          <w:kern w:val="22"/>
          <w:lang w:eastAsia="ja-JP" w:bidi="th-TH"/>
        </w:rPr>
        <w:t>确认</w:t>
      </w:r>
      <w:r w:rsidRPr="000A6F9D">
        <w:rPr>
          <w:rFonts w:eastAsiaTheme="minorEastAsia"/>
          <w:color w:val="000000" w:themeColor="text1"/>
          <w:lang w:val="zh-CN" w:eastAsia="zh-CN"/>
        </w:rPr>
        <w:t>多边开发银行、保险公司、工商界、金融机构和其他金融投资来源可发挥关键性作用，将环境和社会保障措施及最佳做法纳入主流，以避免对生物多样性和生态基础设施造成不可弥补的损害；</w:t>
      </w:r>
    </w:p>
    <w:p w:rsidR="000A6F9D" w:rsidRPr="00046F09" w:rsidRDefault="000A6F9D" w:rsidP="000A1A91">
      <w:pPr>
        <w:pStyle w:val="StylePara1Kernat11pt"/>
        <w:numPr>
          <w:ilvl w:val="0"/>
          <w:numId w:val="22"/>
        </w:numPr>
        <w:suppressLineNumbers/>
        <w:suppressAutoHyphens/>
        <w:adjustRightInd w:val="0"/>
        <w:snapToGrid w:val="0"/>
        <w:ind w:left="0" w:firstLine="720"/>
        <w:rPr>
          <w:rStyle w:val="style21"/>
          <w:rFonts w:eastAsia="SimSun"/>
          <w:color w:val="000000" w:themeColor="text1"/>
          <w:lang w:eastAsia="zh-CN"/>
        </w:rPr>
      </w:pPr>
      <w:r w:rsidRPr="00EA5FDE">
        <w:rPr>
          <w:rFonts w:ascii="KaiTi" w:eastAsia="KaiTi" w:hAnsi="KaiTi"/>
          <w:iCs/>
          <w:snapToGrid/>
          <w:color w:val="000000"/>
          <w:lang w:eastAsia="ja-JP" w:bidi="th-TH"/>
        </w:rPr>
        <w:t>又</w:t>
      </w:r>
      <w:r w:rsidRPr="00EA5FDE">
        <w:rPr>
          <w:rFonts w:ascii="KaiTi" w:eastAsia="KaiTi" w:hAnsi="KaiTi" w:hint="eastAsia"/>
          <w:iCs/>
          <w:snapToGrid/>
          <w:color w:val="000000"/>
          <w:lang w:eastAsia="ja-JP" w:bidi="th-TH"/>
        </w:rPr>
        <w:t>确认</w:t>
      </w:r>
      <w:r>
        <w:rPr>
          <w:rStyle w:val="style21"/>
          <w:rFonts w:eastAsia="SimSun" w:hint="eastAsia"/>
          <w:color w:val="000000" w:themeColor="text1"/>
          <w:lang w:eastAsia="zh-CN"/>
        </w:rPr>
        <w:t>当前</w:t>
      </w:r>
      <w:r w:rsidRPr="00210AD6">
        <w:rPr>
          <w:rStyle w:val="style21"/>
          <w:rFonts w:eastAsia="SimSun"/>
          <w:color w:val="000000" w:themeColor="text1"/>
          <w:lang w:eastAsia="zh-CN"/>
        </w:rPr>
        <w:t>有机会更广泛地应用涵盖生物多样性各个方面的影响评估</w:t>
      </w:r>
      <w:r w:rsidRPr="00046F09">
        <w:rPr>
          <w:rStyle w:val="style21"/>
          <w:rFonts w:eastAsia="SimSun"/>
          <w:color w:val="000000" w:themeColor="text1"/>
          <w:lang w:eastAsia="zh-CN"/>
        </w:rPr>
        <w:t>，将生物多样性</w:t>
      </w:r>
      <w:r>
        <w:rPr>
          <w:rStyle w:val="style21"/>
          <w:rFonts w:eastAsia="SimSun" w:hint="eastAsia"/>
          <w:color w:val="000000" w:themeColor="text1"/>
          <w:lang w:eastAsia="zh-CN"/>
        </w:rPr>
        <w:t>因素</w:t>
      </w:r>
      <w:r w:rsidRPr="00046F09">
        <w:rPr>
          <w:rStyle w:val="style21"/>
          <w:rFonts w:eastAsia="SimSun"/>
          <w:color w:val="000000" w:themeColor="text1"/>
          <w:lang w:eastAsia="zh-CN"/>
        </w:rPr>
        <w:t>纳入可行性研究</w:t>
      </w:r>
      <w:r>
        <w:rPr>
          <w:rStyle w:val="style21"/>
          <w:rFonts w:eastAsia="SimSun" w:hint="eastAsia"/>
          <w:color w:val="000000" w:themeColor="text1"/>
          <w:lang w:eastAsia="zh-CN"/>
        </w:rPr>
        <w:t>以及</w:t>
      </w:r>
      <w:r>
        <w:rPr>
          <w:rStyle w:val="style21"/>
          <w:rFonts w:eastAsia="SimSun"/>
          <w:color w:val="000000" w:themeColor="text1"/>
          <w:lang w:eastAsia="zh-CN"/>
        </w:rPr>
        <w:t>风险评估和风险通报，尤其是政策、计划和方案的战略</w:t>
      </w:r>
      <w:r w:rsidRPr="00046F09">
        <w:rPr>
          <w:rStyle w:val="style21"/>
          <w:rFonts w:eastAsia="SimSun"/>
          <w:color w:val="000000" w:themeColor="text1"/>
          <w:lang w:eastAsia="zh-CN"/>
        </w:rPr>
        <w:t>环境评估，在国家和区域层面利用空间规划，以及调整监管框架，以鼓励评估和披露与投资者和企业有关的生物多样性损失相关的金融风险；</w:t>
      </w:r>
    </w:p>
    <w:p w:rsidR="000A6F9D" w:rsidRPr="00210AD6" w:rsidRDefault="000A6F9D" w:rsidP="000A1A91">
      <w:pPr>
        <w:pStyle w:val="StylePara1Kernat11pt"/>
        <w:numPr>
          <w:ilvl w:val="0"/>
          <w:numId w:val="22"/>
        </w:numPr>
        <w:suppressLineNumbers/>
        <w:suppressAutoHyphens/>
        <w:adjustRightInd w:val="0"/>
        <w:snapToGrid w:val="0"/>
        <w:ind w:left="0" w:firstLine="720"/>
        <w:rPr>
          <w:rFonts w:eastAsia="SimSun"/>
          <w:color w:val="000000" w:themeColor="text1"/>
          <w:sz w:val="24"/>
          <w:szCs w:val="24"/>
          <w:lang w:val="zh-CN" w:eastAsia="zh-CN"/>
        </w:rPr>
      </w:pPr>
      <w:r w:rsidRPr="00210AD6">
        <w:rPr>
          <w:rFonts w:ascii="KaiTi" w:eastAsia="KaiTi" w:hAnsi="KaiTi"/>
          <w:iCs/>
          <w:snapToGrid/>
          <w:color w:val="000000"/>
          <w:sz w:val="24"/>
          <w:szCs w:val="24"/>
          <w:lang w:eastAsia="ja-JP" w:bidi="th-TH"/>
        </w:rPr>
        <w:lastRenderedPageBreak/>
        <w:t>欢迎</w:t>
      </w:r>
      <w:r w:rsidRPr="00210AD6">
        <w:rPr>
          <w:rStyle w:val="style21"/>
          <w:rFonts w:eastAsia="SimSun"/>
          <w:color w:val="000000" w:themeColor="text1"/>
          <w:lang w:val="zh-CN" w:eastAsia="zh-CN"/>
        </w:rPr>
        <w:t>联</w:t>
      </w:r>
      <w:r w:rsidRPr="00210AD6">
        <w:rPr>
          <w:rStyle w:val="style21"/>
          <w:rFonts w:eastAsia="SimSun"/>
          <w:color w:val="000000" w:themeColor="text1"/>
          <w:lang w:eastAsia="zh-CN"/>
        </w:rPr>
        <w:t>合国环境大会</w:t>
      </w:r>
      <w:r w:rsidRPr="00210AD6">
        <w:rPr>
          <w:rFonts w:eastAsia="SimSun"/>
          <w:color w:val="000000" w:themeColor="text1"/>
          <w:sz w:val="24"/>
          <w:szCs w:val="24"/>
          <w:lang w:eastAsia="zh-CN"/>
        </w:rPr>
        <w:t>关于将生物多样性纳入</w:t>
      </w:r>
      <w:r>
        <w:rPr>
          <w:rFonts w:eastAsia="SimSun" w:hint="eastAsia"/>
          <w:color w:val="000000" w:themeColor="text1"/>
          <w:sz w:val="24"/>
          <w:szCs w:val="24"/>
          <w:lang w:eastAsia="zh-CN"/>
        </w:rPr>
        <w:t>关键</w:t>
      </w:r>
      <w:r w:rsidRPr="00046F09">
        <w:rPr>
          <w:rStyle w:val="style21"/>
          <w:rFonts w:eastAsia="SimSun"/>
          <w:color w:val="000000" w:themeColor="text1"/>
          <w:lang w:eastAsia="zh-CN"/>
        </w:rPr>
        <w:t>部门</w:t>
      </w:r>
      <w:r>
        <w:rPr>
          <w:rStyle w:val="style21"/>
          <w:rFonts w:eastAsia="SimSun" w:hint="eastAsia"/>
          <w:color w:val="000000" w:themeColor="text1"/>
          <w:lang w:eastAsia="zh-CN"/>
        </w:rPr>
        <w:t>的</w:t>
      </w:r>
      <w:r w:rsidRPr="00046F09">
        <w:rPr>
          <w:rStyle w:val="style21"/>
          <w:rFonts w:eastAsia="SimSun"/>
          <w:color w:val="000000" w:themeColor="text1"/>
          <w:lang w:eastAsia="zh-CN"/>
        </w:rPr>
        <w:t>主流以减轻污染的</w:t>
      </w:r>
      <w:hyperlink r:id="rId14" w:history="1">
        <w:r w:rsidRPr="00046F09">
          <w:rPr>
            <w:rStyle w:val="style21"/>
            <w:rFonts w:eastAsia="SimSun"/>
            <w:color w:val="000000" w:themeColor="text1"/>
            <w:lang w:eastAsia="zh-CN"/>
          </w:rPr>
          <w:t>第</w:t>
        </w:r>
        <w:r w:rsidRPr="00046F09">
          <w:rPr>
            <w:rStyle w:val="style21"/>
            <w:rFonts w:eastAsia="SimSun"/>
            <w:color w:val="000000" w:themeColor="text1"/>
            <w:lang w:eastAsia="zh-CN"/>
          </w:rPr>
          <w:t>3/2</w:t>
        </w:r>
        <w:r w:rsidRPr="00046F09">
          <w:rPr>
            <w:rStyle w:val="style21"/>
            <w:rFonts w:eastAsia="SimSun"/>
            <w:color w:val="000000" w:themeColor="text1"/>
            <w:lang w:eastAsia="zh-CN"/>
          </w:rPr>
          <w:t>号决议</w:t>
        </w:r>
      </w:hyperlink>
      <w:r w:rsidRPr="00046F09">
        <w:rPr>
          <w:rStyle w:val="style21"/>
          <w:rFonts w:eastAsia="SimSun"/>
          <w:color w:val="000000" w:themeColor="text1"/>
          <w:lang w:eastAsia="zh-CN"/>
        </w:rPr>
        <w:t>；</w:t>
      </w:r>
    </w:p>
    <w:p w:rsidR="000A6F9D" w:rsidRPr="00210AD6" w:rsidRDefault="000A6F9D" w:rsidP="000A1A91">
      <w:pPr>
        <w:pStyle w:val="StylePara1Kernat11pt"/>
        <w:numPr>
          <w:ilvl w:val="0"/>
          <w:numId w:val="22"/>
        </w:numPr>
        <w:suppressLineNumbers/>
        <w:suppressAutoHyphens/>
        <w:adjustRightInd w:val="0"/>
        <w:snapToGrid w:val="0"/>
        <w:ind w:left="0" w:firstLine="720"/>
        <w:rPr>
          <w:rFonts w:eastAsia="SimSun"/>
          <w:color w:val="000000" w:themeColor="text1"/>
          <w:sz w:val="24"/>
          <w:szCs w:val="24"/>
          <w:lang w:eastAsia="zh-CN"/>
        </w:rPr>
      </w:pPr>
      <w:r w:rsidRPr="00210AD6">
        <w:rPr>
          <w:rFonts w:ascii="KaiTi" w:eastAsia="KaiTi" w:hAnsi="KaiTi"/>
          <w:iCs/>
          <w:snapToGrid/>
          <w:color w:val="000000"/>
          <w:sz w:val="24"/>
          <w:szCs w:val="24"/>
          <w:lang w:eastAsia="ja-JP" w:bidi="th-TH"/>
        </w:rPr>
        <w:t>又欢迎</w:t>
      </w:r>
      <w:r w:rsidRPr="00210AD6">
        <w:rPr>
          <w:rFonts w:eastAsia="SimSun"/>
          <w:color w:val="000000" w:themeColor="text1"/>
          <w:sz w:val="24"/>
          <w:szCs w:val="24"/>
          <w:lang w:eastAsia="zh-CN"/>
        </w:rPr>
        <w:t>2017</w:t>
      </w:r>
      <w:r w:rsidRPr="00210AD6">
        <w:rPr>
          <w:rFonts w:eastAsia="SimSun"/>
          <w:color w:val="000000" w:themeColor="text1"/>
          <w:sz w:val="24"/>
          <w:szCs w:val="24"/>
          <w:lang w:eastAsia="zh-CN"/>
        </w:rPr>
        <w:t>年联合国粮食及农业组织大会关于粮食及农业组织</w:t>
      </w:r>
      <w:r>
        <w:rPr>
          <w:rFonts w:eastAsia="SimSun" w:hint="eastAsia"/>
          <w:color w:val="000000" w:themeColor="text1"/>
          <w:sz w:val="24"/>
          <w:szCs w:val="24"/>
          <w:lang w:eastAsia="zh-CN"/>
        </w:rPr>
        <w:t>将作为</w:t>
      </w:r>
      <w:r w:rsidRPr="00210AD6">
        <w:rPr>
          <w:rFonts w:eastAsia="SimSun"/>
          <w:color w:val="000000" w:themeColor="text1"/>
          <w:sz w:val="24"/>
          <w:szCs w:val="24"/>
          <w:lang w:eastAsia="zh-CN"/>
        </w:rPr>
        <w:t>农业部门</w:t>
      </w:r>
      <w:r>
        <w:rPr>
          <w:rFonts w:eastAsia="SimSun" w:hint="eastAsia"/>
          <w:color w:val="000000" w:themeColor="text1"/>
          <w:sz w:val="24"/>
          <w:szCs w:val="24"/>
          <w:lang w:eastAsia="zh-CN"/>
        </w:rPr>
        <w:t>的</w:t>
      </w:r>
      <w:r>
        <w:rPr>
          <w:rFonts w:eastAsia="SimSun"/>
          <w:color w:val="000000" w:themeColor="text1"/>
          <w:sz w:val="24"/>
          <w:szCs w:val="24"/>
          <w:lang w:eastAsia="zh-CN"/>
        </w:rPr>
        <w:t>一个</w:t>
      </w:r>
      <w:r w:rsidRPr="00210AD6">
        <w:rPr>
          <w:rFonts w:eastAsia="SimSun"/>
          <w:color w:val="000000" w:themeColor="text1"/>
          <w:sz w:val="24"/>
          <w:szCs w:val="24"/>
          <w:lang w:eastAsia="zh-CN"/>
        </w:rPr>
        <w:t>生物多样性主流化平台的决定，以及</w:t>
      </w:r>
      <w:r w:rsidRPr="00210AD6">
        <w:rPr>
          <w:rFonts w:eastAsia="SimSun"/>
          <w:color w:val="000000" w:themeColor="text1"/>
          <w:sz w:val="24"/>
          <w:szCs w:val="24"/>
          <w:lang w:eastAsia="zh-CN"/>
        </w:rPr>
        <w:t>2018</w:t>
      </w:r>
      <w:r w:rsidRPr="00210AD6">
        <w:rPr>
          <w:rFonts w:eastAsia="SimSun"/>
          <w:color w:val="000000" w:themeColor="text1"/>
          <w:sz w:val="24"/>
          <w:szCs w:val="24"/>
          <w:lang w:eastAsia="zh-CN"/>
        </w:rPr>
        <w:t>年</w:t>
      </w:r>
      <w:r w:rsidRPr="00210AD6">
        <w:rPr>
          <w:rFonts w:eastAsia="SimSun"/>
          <w:color w:val="000000" w:themeColor="text1"/>
          <w:sz w:val="24"/>
          <w:szCs w:val="24"/>
          <w:lang w:eastAsia="zh-CN"/>
        </w:rPr>
        <w:t>5</w:t>
      </w:r>
      <w:r w:rsidRPr="00210AD6">
        <w:rPr>
          <w:rFonts w:eastAsia="SimSun"/>
          <w:color w:val="000000" w:themeColor="text1"/>
          <w:sz w:val="24"/>
          <w:szCs w:val="24"/>
          <w:lang w:eastAsia="zh-CN"/>
        </w:rPr>
        <w:t>月</w:t>
      </w:r>
      <w:r w:rsidRPr="00210AD6">
        <w:rPr>
          <w:rFonts w:eastAsia="SimSun"/>
          <w:color w:val="000000" w:themeColor="text1"/>
          <w:sz w:val="24"/>
          <w:szCs w:val="24"/>
          <w:lang w:eastAsia="zh-CN"/>
        </w:rPr>
        <w:t>29</w:t>
      </w:r>
      <w:r w:rsidRPr="00210AD6">
        <w:rPr>
          <w:rFonts w:eastAsia="SimSun"/>
          <w:color w:val="000000" w:themeColor="text1"/>
          <w:sz w:val="24"/>
          <w:szCs w:val="24"/>
          <w:lang w:eastAsia="zh-CN"/>
        </w:rPr>
        <w:t>日至</w:t>
      </w:r>
      <w:r w:rsidRPr="00210AD6">
        <w:rPr>
          <w:rFonts w:eastAsia="SimSun"/>
          <w:color w:val="000000" w:themeColor="text1"/>
          <w:sz w:val="24"/>
          <w:szCs w:val="24"/>
          <w:lang w:eastAsia="zh-CN"/>
        </w:rPr>
        <w:t>31</w:t>
      </w:r>
      <w:r w:rsidRPr="00210AD6">
        <w:rPr>
          <w:rFonts w:eastAsia="SimSun"/>
          <w:color w:val="000000" w:themeColor="text1"/>
          <w:sz w:val="24"/>
          <w:szCs w:val="24"/>
          <w:lang w:eastAsia="zh-CN"/>
        </w:rPr>
        <w:t>日粮食及农业组织和生物多样性公约秘书处举办的关于农业部门生物多样性主流化</w:t>
      </w:r>
      <w:r>
        <w:rPr>
          <w:rFonts w:eastAsia="SimSun" w:hint="eastAsia"/>
          <w:color w:val="000000" w:themeColor="text1"/>
          <w:sz w:val="24"/>
          <w:szCs w:val="24"/>
          <w:lang w:eastAsia="zh-CN"/>
        </w:rPr>
        <w:t>问题</w:t>
      </w:r>
      <w:r w:rsidRPr="00210AD6">
        <w:rPr>
          <w:rFonts w:eastAsia="SimSun"/>
          <w:color w:val="000000" w:themeColor="text1"/>
          <w:sz w:val="24"/>
          <w:szCs w:val="24"/>
          <w:lang w:eastAsia="zh-CN"/>
        </w:rPr>
        <w:t>多利益攸关方对话的成果；</w:t>
      </w:r>
      <w:r w:rsidRPr="00210AD6">
        <w:rPr>
          <w:rStyle w:val="FootnoteReference"/>
          <w:rFonts w:eastAsia="SimSun"/>
          <w:color w:val="000000" w:themeColor="text1"/>
          <w:szCs w:val="24"/>
        </w:rPr>
        <w:footnoteReference w:id="34"/>
      </w:r>
    </w:p>
    <w:p w:rsidR="000A6F9D" w:rsidRPr="00210AD6" w:rsidRDefault="000A6F9D" w:rsidP="000A1A91">
      <w:pPr>
        <w:pStyle w:val="StylePara1Kernat11pt"/>
        <w:numPr>
          <w:ilvl w:val="0"/>
          <w:numId w:val="22"/>
        </w:numPr>
        <w:suppressLineNumbers/>
        <w:suppressAutoHyphens/>
        <w:adjustRightInd w:val="0"/>
        <w:snapToGrid w:val="0"/>
        <w:ind w:left="0" w:firstLine="720"/>
        <w:rPr>
          <w:rFonts w:eastAsia="SimSun"/>
          <w:color w:val="000000" w:themeColor="text1"/>
          <w:sz w:val="24"/>
          <w:szCs w:val="24"/>
          <w:lang w:eastAsia="zh-CN"/>
        </w:rPr>
      </w:pPr>
      <w:r w:rsidRPr="00210AD6">
        <w:rPr>
          <w:rFonts w:ascii="KaiTi" w:eastAsia="KaiTi" w:hAnsi="KaiTi"/>
          <w:iCs/>
          <w:snapToGrid/>
          <w:color w:val="000000"/>
          <w:sz w:val="24"/>
          <w:szCs w:val="24"/>
          <w:lang w:eastAsia="ja-JP" w:bidi="th-TH"/>
        </w:rPr>
        <w:t>欢迎</w:t>
      </w:r>
      <w:r w:rsidRPr="00210AD6">
        <w:rPr>
          <w:rFonts w:eastAsia="SimSun"/>
          <w:color w:val="000000" w:themeColor="text1"/>
          <w:sz w:val="24"/>
          <w:szCs w:val="24"/>
          <w:lang w:eastAsia="zh-CN"/>
        </w:rPr>
        <w:t>养护野生动物移栖物种公约缔约方大会第十二届会议的决议，</w:t>
      </w:r>
      <w:r>
        <w:rPr>
          <w:rFonts w:eastAsia="SimSun" w:hint="eastAsia"/>
          <w:color w:val="000000" w:themeColor="text1"/>
          <w:sz w:val="24"/>
          <w:szCs w:val="24"/>
          <w:lang w:eastAsia="zh-CN"/>
        </w:rPr>
        <w:t>这些</w:t>
      </w:r>
      <w:r w:rsidRPr="00210AD6">
        <w:rPr>
          <w:rFonts w:eastAsia="SimSun"/>
          <w:color w:val="000000" w:themeColor="text1"/>
          <w:sz w:val="24"/>
          <w:szCs w:val="24"/>
          <w:lang w:eastAsia="zh-CN"/>
        </w:rPr>
        <w:t>决议支持将生物多样性纳入能源部门的主流，</w:t>
      </w:r>
      <w:r w:rsidRPr="005C1755">
        <w:rPr>
          <w:rStyle w:val="FootnoteReference"/>
          <w:rFonts w:eastAsia="SimSun"/>
          <w:sz w:val="24"/>
          <w:szCs w:val="24"/>
          <w:u w:val="none"/>
          <w:vertAlign w:val="superscript"/>
        </w:rPr>
        <w:footnoteReference w:id="35"/>
      </w:r>
      <w:r w:rsidRPr="005C1755">
        <w:rPr>
          <w:rFonts w:eastAsia="SimSun" w:hint="eastAsia"/>
          <w:color w:val="000000" w:themeColor="text1"/>
          <w:sz w:val="36"/>
          <w:szCs w:val="24"/>
          <w:vertAlign w:val="superscript"/>
          <w:lang w:eastAsia="zh-CN"/>
        </w:rPr>
        <w:t xml:space="preserve"> </w:t>
      </w:r>
      <w:r w:rsidRPr="00210AD6">
        <w:rPr>
          <w:rFonts w:eastAsia="SimSun"/>
          <w:color w:val="000000" w:themeColor="text1"/>
          <w:sz w:val="24"/>
          <w:szCs w:val="24"/>
          <w:lang w:eastAsia="zh-CN"/>
        </w:rPr>
        <w:t>特别是开发可再生能源时考虑到环境影响评估，监测出现的信息，交流来自更广泛空间规划进程的信息，</w:t>
      </w:r>
      <w:r w:rsidRPr="003D382D">
        <w:rPr>
          <w:rFonts w:ascii="KaiTi" w:eastAsia="KaiTi" w:hAnsi="KaiTi"/>
          <w:iCs/>
          <w:snapToGrid/>
          <w:color w:val="000000"/>
          <w:sz w:val="24"/>
          <w:szCs w:val="24"/>
          <w:lang w:eastAsia="ja-JP" w:bidi="th-TH"/>
        </w:rPr>
        <w:t>又欢迎</w:t>
      </w:r>
      <w:r w:rsidRPr="00210AD6">
        <w:rPr>
          <w:rFonts w:eastAsia="SimSun"/>
          <w:color w:val="000000" w:themeColor="text1"/>
          <w:sz w:val="24"/>
          <w:szCs w:val="24"/>
          <w:lang w:eastAsia="zh-CN"/>
        </w:rPr>
        <w:t>《移栖物种公约》及其多利益攸关方能源工作队为推动能源部门的生物多样性做法所做的工作；</w:t>
      </w:r>
    </w:p>
    <w:p w:rsidR="000A6F9D" w:rsidRPr="00210AD6" w:rsidRDefault="000A6F9D" w:rsidP="000A1A91">
      <w:pPr>
        <w:pStyle w:val="StylePara1Kernat11pt"/>
        <w:numPr>
          <w:ilvl w:val="0"/>
          <w:numId w:val="22"/>
        </w:numPr>
        <w:suppressLineNumbers/>
        <w:suppressAutoHyphens/>
        <w:adjustRightInd w:val="0"/>
        <w:snapToGrid w:val="0"/>
        <w:ind w:left="0" w:firstLine="720"/>
        <w:rPr>
          <w:rFonts w:eastAsia="SimSun"/>
          <w:color w:val="000000" w:themeColor="text1"/>
          <w:sz w:val="24"/>
          <w:szCs w:val="24"/>
          <w:lang w:eastAsia="zh-CN"/>
        </w:rPr>
      </w:pPr>
      <w:r w:rsidRPr="00210AD6">
        <w:rPr>
          <w:rFonts w:ascii="KaiTi" w:eastAsia="KaiTi" w:hAnsi="KaiTi"/>
          <w:iCs/>
          <w:snapToGrid/>
          <w:color w:val="000000"/>
          <w:sz w:val="24"/>
          <w:szCs w:val="24"/>
          <w:lang w:eastAsia="ja-JP" w:bidi="th-TH"/>
        </w:rPr>
        <w:t>敦促</w:t>
      </w:r>
      <w:r w:rsidRPr="00210AD6">
        <w:rPr>
          <w:rFonts w:eastAsia="SimSun"/>
          <w:color w:val="000000" w:themeColor="text1"/>
          <w:sz w:val="24"/>
          <w:szCs w:val="24"/>
          <w:lang w:val="zh-CN" w:eastAsia="zh-CN"/>
        </w:rPr>
        <w:t>各缔约方并</w:t>
      </w:r>
      <w:r w:rsidRPr="00EF2E5A">
        <w:rPr>
          <w:rFonts w:ascii="KaiTi" w:eastAsia="KaiTi" w:hAnsi="KaiTi"/>
          <w:iCs/>
          <w:snapToGrid/>
          <w:color w:val="000000"/>
          <w:sz w:val="24"/>
          <w:szCs w:val="24"/>
          <w:lang w:eastAsia="ja-JP" w:bidi="th-TH"/>
        </w:rPr>
        <w:t>邀请</w:t>
      </w:r>
      <w:r w:rsidRPr="00210AD6">
        <w:rPr>
          <w:rFonts w:eastAsia="SimSun"/>
          <w:color w:val="000000" w:themeColor="text1"/>
          <w:sz w:val="24"/>
          <w:szCs w:val="24"/>
          <w:lang w:val="zh-CN" w:eastAsia="zh-CN"/>
        </w:rPr>
        <w:t>其他国家政府、伙伴和相关利益攸关方执行缔约方大会以往</w:t>
      </w:r>
      <w:r>
        <w:rPr>
          <w:rFonts w:eastAsia="SimSun" w:hint="eastAsia"/>
          <w:color w:val="000000" w:themeColor="text1"/>
          <w:sz w:val="24"/>
          <w:szCs w:val="24"/>
          <w:lang w:val="zh-CN" w:eastAsia="zh-CN"/>
        </w:rPr>
        <w:t>与</w:t>
      </w:r>
      <w:r w:rsidRPr="00210AD6">
        <w:rPr>
          <w:rFonts w:eastAsia="SimSun"/>
          <w:color w:val="000000" w:themeColor="text1"/>
          <w:sz w:val="24"/>
          <w:szCs w:val="24"/>
          <w:lang w:val="zh-CN" w:eastAsia="zh-CN"/>
        </w:rPr>
        <w:t>生物多样性主流化</w:t>
      </w:r>
      <w:r>
        <w:rPr>
          <w:rFonts w:eastAsia="SimSun" w:hint="eastAsia"/>
          <w:color w:val="000000" w:themeColor="text1"/>
          <w:sz w:val="24"/>
          <w:szCs w:val="24"/>
          <w:lang w:val="zh-CN" w:eastAsia="zh-CN"/>
        </w:rPr>
        <w:t>相关</w:t>
      </w:r>
      <w:r>
        <w:rPr>
          <w:rFonts w:eastAsia="SimSun"/>
          <w:color w:val="000000" w:themeColor="text1"/>
          <w:sz w:val="24"/>
          <w:szCs w:val="24"/>
          <w:lang w:val="zh-CN" w:eastAsia="zh-CN"/>
        </w:rPr>
        <w:t>的各项</w:t>
      </w:r>
      <w:r w:rsidRPr="00210AD6">
        <w:rPr>
          <w:rFonts w:eastAsia="SimSun"/>
          <w:color w:val="000000" w:themeColor="text1"/>
          <w:sz w:val="24"/>
          <w:szCs w:val="24"/>
          <w:lang w:val="zh-CN" w:eastAsia="zh-CN"/>
        </w:rPr>
        <w:t>决定</w:t>
      </w:r>
      <w:r w:rsidRPr="00210AD6">
        <w:rPr>
          <w:rFonts w:eastAsia="SimSun"/>
          <w:color w:val="000000" w:themeColor="text1"/>
          <w:sz w:val="24"/>
          <w:szCs w:val="24"/>
          <w:lang w:eastAsia="zh-CN"/>
        </w:rPr>
        <w:t>；</w:t>
      </w:r>
    </w:p>
    <w:p w:rsidR="000A6F9D" w:rsidRPr="00210AD6" w:rsidRDefault="000A6F9D" w:rsidP="000A1A91">
      <w:pPr>
        <w:pStyle w:val="StylePara1Kernat11pt"/>
        <w:numPr>
          <w:ilvl w:val="0"/>
          <w:numId w:val="22"/>
        </w:numPr>
        <w:suppressLineNumbers/>
        <w:suppressAutoHyphens/>
        <w:adjustRightInd w:val="0"/>
        <w:snapToGrid w:val="0"/>
        <w:ind w:left="0" w:firstLine="720"/>
        <w:rPr>
          <w:rFonts w:eastAsia="SimSun"/>
          <w:color w:val="000000" w:themeColor="text1"/>
          <w:sz w:val="24"/>
          <w:szCs w:val="24"/>
          <w:lang w:val="zh-CN" w:eastAsia="zh-CN"/>
        </w:rPr>
      </w:pPr>
      <w:r w:rsidRPr="00210AD6">
        <w:rPr>
          <w:rFonts w:ascii="KaiTi" w:eastAsia="KaiTi" w:hAnsi="KaiTi"/>
          <w:iCs/>
          <w:snapToGrid/>
          <w:color w:val="000000"/>
          <w:sz w:val="24"/>
          <w:szCs w:val="24"/>
          <w:lang w:eastAsia="ja-JP" w:bidi="th-TH"/>
        </w:rPr>
        <w:t>鼓励</w:t>
      </w:r>
      <w:r w:rsidRPr="00210AD6">
        <w:rPr>
          <w:rFonts w:eastAsia="SimSun"/>
          <w:color w:val="000000" w:themeColor="text1"/>
          <w:sz w:val="24"/>
          <w:szCs w:val="24"/>
          <w:lang w:val="zh-CN" w:eastAsia="zh-CN"/>
        </w:rPr>
        <w:t>各缔约方并</w:t>
      </w:r>
      <w:r w:rsidRPr="00EF2E5A">
        <w:rPr>
          <w:rFonts w:ascii="KaiTi" w:eastAsia="KaiTi" w:hAnsi="KaiTi"/>
          <w:iCs/>
          <w:snapToGrid/>
          <w:color w:val="000000"/>
          <w:sz w:val="24"/>
          <w:szCs w:val="24"/>
          <w:lang w:eastAsia="ja-JP" w:bidi="th-TH"/>
        </w:rPr>
        <w:t>邀请</w:t>
      </w:r>
      <w:r w:rsidRPr="00210AD6">
        <w:rPr>
          <w:rFonts w:eastAsia="SimSun"/>
          <w:color w:val="000000" w:themeColor="text1"/>
          <w:sz w:val="24"/>
          <w:szCs w:val="24"/>
          <w:lang w:val="zh-CN" w:eastAsia="zh-CN"/>
        </w:rPr>
        <w:t>其他国家政府和相关利益攸关方，特别是参与能源和采矿、基础设施、制造和加工业部门的公共和私营实体，酌情根据其国家能力和国情、优先事项和法规：</w:t>
      </w:r>
    </w:p>
    <w:p w:rsidR="000A6F9D" w:rsidRPr="00210AD6" w:rsidRDefault="000A6F9D" w:rsidP="000A1A91">
      <w:pPr>
        <w:pStyle w:val="StylePara1Kernat11pt"/>
        <w:numPr>
          <w:ilvl w:val="0"/>
          <w:numId w:val="23"/>
        </w:numPr>
        <w:suppressLineNumbers/>
        <w:suppressAutoHyphens/>
        <w:adjustRightInd w:val="0"/>
        <w:snapToGrid w:val="0"/>
        <w:ind w:left="0" w:firstLine="720"/>
        <w:rPr>
          <w:rFonts w:eastAsia="SimSun"/>
          <w:color w:val="000000" w:themeColor="text1"/>
          <w:sz w:val="24"/>
          <w:szCs w:val="24"/>
          <w:lang w:val="zh-CN" w:eastAsia="zh-CN"/>
        </w:rPr>
      </w:pPr>
      <w:r w:rsidRPr="00210AD6">
        <w:rPr>
          <w:rFonts w:eastAsia="SimSun"/>
          <w:color w:val="000000" w:themeColor="text1"/>
          <w:sz w:val="24"/>
          <w:szCs w:val="24"/>
          <w:lang w:val="zh-CN" w:eastAsia="zh-CN"/>
        </w:rPr>
        <w:t>注意各部门内</w:t>
      </w:r>
      <w:r>
        <w:rPr>
          <w:rFonts w:eastAsia="SimSun" w:hint="eastAsia"/>
          <w:color w:val="000000" w:themeColor="text1"/>
          <w:sz w:val="24"/>
          <w:szCs w:val="24"/>
          <w:lang w:val="zh-CN" w:eastAsia="zh-CN"/>
        </w:rPr>
        <w:t>有关</w:t>
      </w:r>
      <w:r>
        <w:rPr>
          <w:rFonts w:eastAsia="SimSun"/>
          <w:color w:val="000000" w:themeColor="text1"/>
          <w:sz w:val="24"/>
          <w:szCs w:val="24"/>
          <w:lang w:val="zh-CN" w:eastAsia="zh-CN"/>
        </w:rPr>
        <w:t>其</w:t>
      </w:r>
      <w:r w:rsidRPr="00210AD6">
        <w:rPr>
          <w:rFonts w:eastAsia="SimSun"/>
          <w:color w:val="000000" w:themeColor="text1"/>
          <w:sz w:val="24"/>
          <w:szCs w:val="24"/>
          <w:lang w:val="zh-CN" w:eastAsia="zh-CN"/>
        </w:rPr>
        <w:t>对生物多样性的潜在影响</w:t>
      </w:r>
      <w:r>
        <w:rPr>
          <w:rFonts w:eastAsia="SimSun" w:hint="eastAsia"/>
          <w:color w:val="000000" w:themeColor="text1"/>
          <w:sz w:val="24"/>
          <w:szCs w:val="24"/>
          <w:lang w:val="zh-CN" w:eastAsia="zh-CN"/>
        </w:rPr>
        <w:t>以及</w:t>
      </w:r>
      <w:r>
        <w:rPr>
          <w:rFonts w:eastAsia="SimSun"/>
          <w:color w:val="000000" w:themeColor="text1"/>
          <w:sz w:val="24"/>
          <w:szCs w:val="24"/>
          <w:lang w:val="zh-CN" w:eastAsia="zh-CN"/>
        </w:rPr>
        <w:t>对生物多样性的</w:t>
      </w:r>
      <w:r w:rsidRPr="00210AD6">
        <w:rPr>
          <w:rFonts w:eastAsia="SimSun"/>
          <w:color w:val="000000" w:themeColor="text1"/>
          <w:sz w:val="24"/>
          <w:szCs w:val="24"/>
          <w:lang w:val="zh-CN" w:eastAsia="zh-CN"/>
        </w:rPr>
        <w:t>依赖性的趋势，以期确定将生物多样性纳入主流的机会；</w:t>
      </w:r>
    </w:p>
    <w:p w:rsidR="000A6F9D" w:rsidRPr="00210AD6" w:rsidRDefault="000A6F9D" w:rsidP="000A1A91">
      <w:pPr>
        <w:pStyle w:val="StylePara1Kernat11pt"/>
        <w:numPr>
          <w:ilvl w:val="0"/>
          <w:numId w:val="23"/>
        </w:numPr>
        <w:suppressLineNumbers/>
        <w:suppressAutoHyphens/>
        <w:adjustRightInd w:val="0"/>
        <w:snapToGrid w:val="0"/>
        <w:ind w:left="0" w:firstLine="720"/>
        <w:rPr>
          <w:rFonts w:eastAsia="SimSun"/>
          <w:color w:val="000000" w:themeColor="text1"/>
          <w:sz w:val="24"/>
          <w:szCs w:val="24"/>
          <w:lang w:val="zh-CN" w:eastAsia="zh-CN"/>
        </w:rPr>
      </w:pPr>
      <w:r w:rsidRPr="00210AD6">
        <w:rPr>
          <w:rFonts w:eastAsia="SimSun"/>
          <w:color w:val="000000" w:themeColor="text1"/>
          <w:sz w:val="24"/>
          <w:szCs w:val="24"/>
          <w:lang w:val="zh-CN" w:eastAsia="zh-CN"/>
        </w:rPr>
        <w:t>通过战略环境评估和综合空间规划等现有工具，包括</w:t>
      </w:r>
      <w:r>
        <w:rPr>
          <w:rFonts w:eastAsia="SimSun" w:hint="eastAsia"/>
          <w:color w:val="000000" w:themeColor="text1"/>
          <w:sz w:val="24"/>
          <w:szCs w:val="24"/>
          <w:lang w:val="zh-CN" w:eastAsia="zh-CN"/>
        </w:rPr>
        <w:t>对</w:t>
      </w:r>
      <w:r w:rsidRPr="00210AD6">
        <w:rPr>
          <w:rFonts w:eastAsia="SimSun"/>
          <w:color w:val="000000" w:themeColor="text1"/>
          <w:sz w:val="24"/>
          <w:szCs w:val="24"/>
          <w:lang w:val="zh-CN" w:eastAsia="zh-CN"/>
        </w:rPr>
        <w:t>此类投资替代办法</w:t>
      </w:r>
      <w:r>
        <w:rPr>
          <w:rFonts w:eastAsia="SimSun" w:hint="eastAsia"/>
          <w:color w:val="000000" w:themeColor="text1"/>
          <w:sz w:val="24"/>
          <w:szCs w:val="24"/>
          <w:lang w:val="zh-CN" w:eastAsia="zh-CN"/>
        </w:rPr>
        <w:t>的</w:t>
      </w:r>
      <w:r>
        <w:rPr>
          <w:rFonts w:eastAsia="SimSun"/>
          <w:color w:val="000000" w:themeColor="text1"/>
          <w:sz w:val="24"/>
          <w:szCs w:val="24"/>
          <w:lang w:val="zh-CN" w:eastAsia="zh-CN"/>
        </w:rPr>
        <w:t>评价</w:t>
      </w:r>
      <w:r w:rsidRPr="00210AD6">
        <w:rPr>
          <w:rFonts w:eastAsia="SimSun"/>
          <w:color w:val="000000" w:themeColor="text1"/>
          <w:sz w:val="24"/>
          <w:szCs w:val="24"/>
          <w:lang w:val="zh-CN" w:eastAsia="zh-CN"/>
        </w:rPr>
        <w:t>，将保护、加强和可持续利用生物多样性和生态系统功能和服务的</w:t>
      </w:r>
      <w:r>
        <w:rPr>
          <w:rFonts w:eastAsia="SimSun" w:hint="eastAsia"/>
          <w:color w:val="000000" w:themeColor="text1"/>
          <w:sz w:val="24"/>
          <w:szCs w:val="24"/>
          <w:lang w:val="zh-CN" w:eastAsia="zh-CN"/>
        </w:rPr>
        <w:t>办法</w:t>
      </w:r>
      <w:r w:rsidRPr="00210AD6">
        <w:rPr>
          <w:rFonts w:eastAsia="SimSun"/>
          <w:color w:val="000000" w:themeColor="text1"/>
          <w:sz w:val="24"/>
          <w:szCs w:val="24"/>
          <w:lang w:val="zh-CN" w:eastAsia="zh-CN"/>
        </w:rPr>
        <w:t>纳入这些部门投资的上游决定；</w:t>
      </w:r>
    </w:p>
    <w:p w:rsidR="000A6F9D" w:rsidRPr="00210AD6" w:rsidRDefault="000A6F9D" w:rsidP="000A1A91">
      <w:pPr>
        <w:pStyle w:val="StylePara1Kernat11pt"/>
        <w:numPr>
          <w:ilvl w:val="0"/>
          <w:numId w:val="23"/>
        </w:numPr>
        <w:suppressLineNumbers/>
        <w:suppressAutoHyphens/>
        <w:adjustRightInd w:val="0"/>
        <w:snapToGrid w:val="0"/>
        <w:ind w:left="0" w:firstLine="720"/>
        <w:rPr>
          <w:rFonts w:eastAsia="SimSun"/>
          <w:color w:val="000000" w:themeColor="text1"/>
          <w:sz w:val="24"/>
          <w:szCs w:val="24"/>
          <w:lang w:val="zh-CN" w:eastAsia="zh-CN"/>
        </w:rPr>
      </w:pPr>
      <w:r w:rsidRPr="00210AD6">
        <w:rPr>
          <w:rFonts w:eastAsia="SimSun"/>
          <w:color w:val="000000" w:themeColor="text1"/>
          <w:sz w:val="24"/>
          <w:szCs w:val="24"/>
          <w:lang w:val="zh-CN" w:eastAsia="zh-CN"/>
        </w:rPr>
        <w:t>将环境影响评估</w:t>
      </w:r>
      <w:r w:rsidRPr="005C1755">
        <w:rPr>
          <w:rStyle w:val="FootnoteReference"/>
          <w:rFonts w:eastAsia="SimSun"/>
          <w:sz w:val="24"/>
          <w:szCs w:val="24"/>
          <w:u w:val="none"/>
          <w:vertAlign w:val="superscript"/>
        </w:rPr>
        <w:footnoteReference w:id="36"/>
      </w:r>
      <w:r w:rsidRPr="005C1755">
        <w:rPr>
          <w:rStyle w:val="FootnoteReference"/>
          <w:rFonts w:eastAsia="SimSun" w:hint="eastAsia"/>
          <w:sz w:val="24"/>
          <w:u w:val="none"/>
          <w:vertAlign w:val="superscript"/>
          <w:lang w:eastAsia="zh-CN"/>
        </w:rPr>
        <w:t xml:space="preserve"> </w:t>
      </w:r>
      <w:r w:rsidRPr="00210AD6">
        <w:rPr>
          <w:rFonts w:eastAsia="SimSun"/>
          <w:color w:val="000000" w:themeColor="text1"/>
          <w:sz w:val="24"/>
          <w:szCs w:val="24"/>
          <w:lang w:val="zh-CN" w:eastAsia="zh-CN"/>
        </w:rPr>
        <w:t>和生物多样性主流化的最佳做法应用于</w:t>
      </w:r>
      <w:r>
        <w:rPr>
          <w:rFonts w:eastAsia="SimSun" w:hint="eastAsia"/>
          <w:color w:val="000000" w:themeColor="text1"/>
          <w:sz w:val="24"/>
          <w:szCs w:val="24"/>
          <w:lang w:val="zh-CN" w:eastAsia="zh-CN"/>
        </w:rPr>
        <w:t>各项决定</w:t>
      </w:r>
      <w:r>
        <w:rPr>
          <w:rFonts w:eastAsia="SimSun"/>
          <w:color w:val="000000" w:themeColor="text1"/>
          <w:sz w:val="24"/>
          <w:szCs w:val="24"/>
          <w:lang w:val="zh-CN" w:eastAsia="zh-CN"/>
        </w:rPr>
        <w:t>，包括</w:t>
      </w:r>
      <w:r w:rsidRPr="00210AD6">
        <w:rPr>
          <w:rFonts w:eastAsia="SimSun"/>
          <w:color w:val="000000" w:themeColor="text1"/>
          <w:sz w:val="24"/>
          <w:szCs w:val="24"/>
          <w:lang w:val="zh-CN" w:eastAsia="zh-CN"/>
        </w:rPr>
        <w:t>公共和私营金融机构</w:t>
      </w:r>
      <w:r>
        <w:rPr>
          <w:rFonts w:eastAsia="SimSun" w:hint="eastAsia"/>
          <w:color w:val="000000" w:themeColor="text1"/>
          <w:sz w:val="24"/>
          <w:szCs w:val="24"/>
          <w:lang w:val="zh-CN" w:eastAsia="zh-CN"/>
        </w:rPr>
        <w:t>与</w:t>
      </w:r>
      <w:r w:rsidRPr="00210AD6">
        <w:rPr>
          <w:rFonts w:eastAsia="SimSun"/>
          <w:color w:val="000000" w:themeColor="text1"/>
          <w:sz w:val="24"/>
          <w:szCs w:val="24"/>
          <w:lang w:val="zh-CN" w:eastAsia="zh-CN"/>
        </w:rPr>
        <w:t>批准</w:t>
      </w:r>
      <w:r>
        <w:rPr>
          <w:rFonts w:eastAsia="SimSun" w:hint="eastAsia"/>
          <w:color w:val="000000" w:themeColor="text1"/>
          <w:sz w:val="24"/>
          <w:szCs w:val="24"/>
          <w:lang w:val="zh-CN" w:eastAsia="zh-CN"/>
        </w:rPr>
        <w:t>这些</w:t>
      </w:r>
      <w:r>
        <w:rPr>
          <w:rFonts w:eastAsia="SimSun"/>
          <w:color w:val="000000" w:themeColor="text1"/>
          <w:sz w:val="24"/>
          <w:szCs w:val="24"/>
          <w:lang w:val="zh-CN" w:eastAsia="zh-CN"/>
        </w:rPr>
        <w:t>部门的</w:t>
      </w:r>
      <w:r w:rsidRPr="00210AD6">
        <w:rPr>
          <w:rFonts w:eastAsia="SimSun"/>
          <w:color w:val="000000" w:themeColor="text1"/>
          <w:sz w:val="24"/>
          <w:szCs w:val="24"/>
          <w:lang w:val="zh-CN" w:eastAsia="zh-CN"/>
        </w:rPr>
        <w:t>项目和投资的决定；</w:t>
      </w:r>
    </w:p>
    <w:p w:rsidR="000A6F9D" w:rsidRPr="00210AD6" w:rsidRDefault="000A6F9D" w:rsidP="000A1A91">
      <w:pPr>
        <w:pStyle w:val="StylePara1Kernat11pt"/>
        <w:numPr>
          <w:ilvl w:val="0"/>
          <w:numId w:val="23"/>
        </w:numPr>
        <w:suppressLineNumbers/>
        <w:suppressAutoHyphens/>
        <w:adjustRightInd w:val="0"/>
        <w:snapToGrid w:val="0"/>
        <w:ind w:left="0" w:firstLine="720"/>
        <w:rPr>
          <w:rFonts w:eastAsia="SimSun"/>
          <w:color w:val="000000" w:themeColor="text1"/>
          <w:sz w:val="24"/>
          <w:szCs w:val="24"/>
          <w:lang w:val="zh-CN" w:eastAsia="zh-CN"/>
        </w:rPr>
      </w:pPr>
      <w:r w:rsidRPr="00210AD6">
        <w:rPr>
          <w:rFonts w:eastAsia="SimSun"/>
          <w:color w:val="000000" w:themeColor="text1"/>
          <w:sz w:val="24"/>
          <w:szCs w:val="24"/>
          <w:lang w:val="zh-CN" w:eastAsia="zh-CN"/>
        </w:rPr>
        <w:t>在规划和设计新项目和计划时应用缓解层级；</w:t>
      </w:r>
    </w:p>
    <w:p w:rsidR="000A6F9D" w:rsidRDefault="000A6F9D" w:rsidP="000A1A91">
      <w:pPr>
        <w:pStyle w:val="StylePara1Kernat11pt"/>
        <w:numPr>
          <w:ilvl w:val="0"/>
          <w:numId w:val="23"/>
        </w:numPr>
        <w:suppressLineNumbers/>
        <w:suppressAutoHyphens/>
        <w:adjustRightInd w:val="0"/>
        <w:snapToGrid w:val="0"/>
        <w:ind w:left="0" w:firstLine="720"/>
        <w:rPr>
          <w:rFonts w:eastAsia="SimSun"/>
          <w:color w:val="000000" w:themeColor="text1"/>
          <w:sz w:val="24"/>
          <w:szCs w:val="24"/>
          <w:lang w:val="en-US" w:eastAsia="zh-CN"/>
        </w:rPr>
      </w:pPr>
      <w:r>
        <w:rPr>
          <w:rFonts w:ascii="SimSun" w:eastAsia="SimSun" w:hAnsi="SimSun" w:cs="SimSun" w:hint="eastAsia"/>
          <w:sz w:val="24"/>
          <w:szCs w:val="24"/>
          <w:lang w:eastAsia="zh-CN"/>
        </w:rPr>
        <w:t>审查并酌情更新法律框架</w:t>
      </w:r>
      <w:r>
        <w:rPr>
          <w:rFonts w:eastAsia="SimSun" w:hint="eastAsia"/>
          <w:sz w:val="24"/>
          <w:szCs w:val="24"/>
          <w:lang w:eastAsia="zh-CN"/>
        </w:rPr>
        <w:t>、</w:t>
      </w:r>
      <w:r>
        <w:rPr>
          <w:rFonts w:ascii="SimSun" w:eastAsia="SimSun" w:hAnsi="SimSun" w:cs="SimSun" w:hint="eastAsia"/>
          <w:sz w:val="24"/>
          <w:szCs w:val="24"/>
          <w:lang w:eastAsia="zh-CN"/>
        </w:rPr>
        <w:t>政策和做法</w:t>
      </w:r>
      <w:r>
        <w:rPr>
          <w:rFonts w:ascii="SimSun" w:eastAsia="SimSun" w:hAnsi="SimSun" w:cs="SimSun" w:hint="eastAsia"/>
          <w:color w:val="000000"/>
          <w:sz w:val="24"/>
          <w:szCs w:val="24"/>
          <w:lang w:eastAsia="zh-CN"/>
        </w:rPr>
        <w:t>，以促进把生物多样性纳入能源和采矿、基础设施和制造及加工部门的主流，包括通过保障、监测和监督措施，并促进有关部门、土著人民</w:t>
      </w:r>
      <w:r>
        <w:rPr>
          <w:rFonts w:ascii="SimSun" w:eastAsia="SimSun" w:hAnsi="SimSun" w:cs="SimSun"/>
          <w:color w:val="000000"/>
          <w:sz w:val="24"/>
          <w:szCs w:val="24"/>
          <w:lang w:eastAsia="zh-CN"/>
        </w:rPr>
        <w:t>和地方社区、</w:t>
      </w:r>
      <w:r>
        <w:rPr>
          <w:rFonts w:ascii="SimSun" w:eastAsia="SimSun" w:hAnsi="SimSun" w:cs="SimSun" w:hint="eastAsia"/>
          <w:color w:val="000000"/>
          <w:sz w:val="24"/>
          <w:szCs w:val="24"/>
          <w:lang w:eastAsia="zh-CN"/>
        </w:rPr>
        <w:t>学术界、妇女、青年和其他相关利益攸关方充分有效的参与，</w:t>
      </w:r>
      <w:r>
        <w:rPr>
          <w:rFonts w:ascii="SimSun" w:eastAsia="SimSun" w:hAnsi="SimSun" w:cs="SimSun" w:hint="eastAsia"/>
          <w:color w:val="000000"/>
          <w:sz w:val="24"/>
          <w:szCs w:val="24"/>
          <w:lang w:eastAsia="zh-CN"/>
        </w:rPr>
        <w:lastRenderedPageBreak/>
        <w:t>酌情与土著人民和地方社区进行协商，以期按照国际协定以及国家政策、法规和情况，获得自由、事先和知情同意；</w:t>
      </w:r>
    </w:p>
    <w:p w:rsidR="000A6F9D" w:rsidRDefault="000A6F9D" w:rsidP="000A1A91">
      <w:pPr>
        <w:pStyle w:val="StylePara1Kernat11pt"/>
        <w:numPr>
          <w:ilvl w:val="0"/>
          <w:numId w:val="23"/>
        </w:numPr>
        <w:suppressLineNumbers/>
        <w:suppressAutoHyphens/>
        <w:adjustRightInd w:val="0"/>
        <w:snapToGrid w:val="0"/>
        <w:ind w:left="0" w:firstLine="720"/>
        <w:rPr>
          <w:rFonts w:eastAsia="SimSun"/>
          <w:color w:val="000000" w:themeColor="text1"/>
          <w:sz w:val="24"/>
          <w:szCs w:val="24"/>
          <w:lang w:val="zh-CN" w:eastAsia="zh-CN"/>
        </w:rPr>
      </w:pPr>
      <w:r>
        <w:rPr>
          <w:rFonts w:eastAsia="SimSun" w:hint="eastAsia"/>
          <w:color w:val="000000" w:themeColor="text1"/>
          <w:sz w:val="24"/>
          <w:szCs w:val="24"/>
          <w:lang w:val="zh-CN" w:eastAsia="zh-CN"/>
        </w:rPr>
        <w:t>根据国际义务，酌情提供有效的激励措施和适当的治理机制，加强与可持续消费和生产有关的最佳做法和现有最佳</w:t>
      </w:r>
      <w:r w:rsidRPr="00D74D31">
        <w:rPr>
          <w:rFonts w:eastAsia="SimSun" w:hint="eastAsia"/>
          <w:color w:val="000000" w:themeColor="text1"/>
          <w:sz w:val="24"/>
          <w:szCs w:val="24"/>
          <w:lang w:val="zh-CN" w:eastAsia="zh-CN"/>
        </w:rPr>
        <w:t>创新</w:t>
      </w:r>
      <w:r>
        <w:rPr>
          <w:rFonts w:eastAsia="SimSun" w:hint="eastAsia"/>
          <w:color w:val="000000" w:themeColor="text1"/>
          <w:sz w:val="24"/>
          <w:szCs w:val="24"/>
          <w:lang w:val="zh-CN" w:eastAsia="zh-CN"/>
        </w:rPr>
        <w:t>技术，</w:t>
      </w:r>
      <w:r w:rsidRPr="00D74D31">
        <w:rPr>
          <w:rFonts w:eastAsia="SimSun" w:hint="eastAsia"/>
          <w:color w:val="000000" w:themeColor="text1"/>
          <w:sz w:val="24"/>
          <w:szCs w:val="24"/>
          <w:lang w:val="zh-CN" w:eastAsia="zh-CN"/>
        </w:rPr>
        <w:t>其中包括</w:t>
      </w:r>
      <w:r>
        <w:rPr>
          <w:rFonts w:eastAsia="SimSun" w:hint="eastAsia"/>
          <w:color w:val="000000" w:themeColor="text1"/>
          <w:sz w:val="24"/>
          <w:szCs w:val="24"/>
          <w:lang w:val="zh-CN" w:eastAsia="zh-CN"/>
        </w:rPr>
        <w:t>将生物多样性纳入能源和采矿、基础设施、制造和加工业部门的主流；</w:t>
      </w:r>
    </w:p>
    <w:p w:rsidR="000A6F9D" w:rsidRDefault="000A6F9D" w:rsidP="000A1A91">
      <w:pPr>
        <w:pStyle w:val="StylePara1Kernat11pt"/>
        <w:numPr>
          <w:ilvl w:val="0"/>
          <w:numId w:val="24"/>
        </w:numPr>
        <w:suppressLineNumbers/>
        <w:tabs>
          <w:tab w:val="left" w:pos="720"/>
        </w:tabs>
        <w:suppressAutoHyphens/>
        <w:adjustRightInd w:val="0"/>
        <w:snapToGrid w:val="0"/>
        <w:ind w:left="0" w:firstLine="720"/>
        <w:rPr>
          <w:rFonts w:eastAsia="SimSun"/>
          <w:color w:val="000000" w:themeColor="text1"/>
          <w:sz w:val="24"/>
          <w:szCs w:val="24"/>
          <w:lang w:val="zh-CN" w:eastAsia="zh-CN"/>
        </w:rPr>
      </w:pPr>
      <w:r>
        <w:rPr>
          <w:rFonts w:eastAsia="SimSun" w:hint="eastAsia"/>
          <w:color w:val="000000" w:themeColor="text1"/>
          <w:sz w:val="24"/>
          <w:szCs w:val="24"/>
          <w:lang w:val="zh-CN" w:eastAsia="zh-CN"/>
        </w:rPr>
        <w:t>促进和加强能源和采矿、基础设施、制造和加工业以及其他支持保护和可持续利用生物多样性的部门实施的可持续消费和生产最佳做法；</w:t>
      </w:r>
    </w:p>
    <w:p w:rsidR="000A6F9D" w:rsidRDefault="000A6F9D" w:rsidP="000A1A91">
      <w:pPr>
        <w:pStyle w:val="StylePara1Kernat11pt"/>
        <w:numPr>
          <w:ilvl w:val="0"/>
          <w:numId w:val="24"/>
        </w:numPr>
        <w:suppressLineNumbers/>
        <w:tabs>
          <w:tab w:val="left" w:pos="720"/>
        </w:tabs>
        <w:suppressAutoHyphens/>
        <w:adjustRightInd w:val="0"/>
        <w:snapToGrid w:val="0"/>
        <w:ind w:left="0" w:firstLine="720"/>
        <w:rPr>
          <w:rFonts w:eastAsia="SimSun"/>
          <w:color w:val="000000" w:themeColor="text1"/>
          <w:sz w:val="24"/>
          <w:szCs w:val="24"/>
          <w:lang w:val="zh-CN" w:eastAsia="zh-CN"/>
        </w:rPr>
      </w:pPr>
      <w:r>
        <w:rPr>
          <w:rFonts w:eastAsia="SimSun" w:hint="eastAsia"/>
          <w:color w:val="000000" w:themeColor="text1"/>
          <w:sz w:val="24"/>
          <w:szCs w:val="24"/>
          <w:lang w:val="zh-CN" w:eastAsia="zh-CN"/>
        </w:rPr>
        <w:t>酌情审查和使用现有工具，包括有关企业规划、设计、供应和价值链、可持续采购和消费的政策，促进能源和采矿、基础设施、制造和加工业部门在生物多样性方面的可持续消费和生产，使市场转向更可持续的消费、生产和创新，并继续开展合作制定和实施其他整体政策和措施；</w:t>
      </w:r>
    </w:p>
    <w:p w:rsidR="000A6F9D" w:rsidRDefault="000A6F9D" w:rsidP="000A1A91">
      <w:pPr>
        <w:pStyle w:val="StylePara1Kernat11pt"/>
        <w:numPr>
          <w:ilvl w:val="0"/>
          <w:numId w:val="24"/>
        </w:numPr>
        <w:suppressLineNumbers/>
        <w:tabs>
          <w:tab w:val="left" w:pos="720"/>
        </w:tabs>
        <w:suppressAutoHyphens/>
        <w:adjustRightInd w:val="0"/>
        <w:snapToGrid w:val="0"/>
        <w:ind w:left="0" w:firstLine="720"/>
        <w:rPr>
          <w:rFonts w:eastAsia="SimSun"/>
          <w:color w:val="000000" w:themeColor="text1"/>
          <w:sz w:val="24"/>
          <w:szCs w:val="24"/>
          <w:lang w:val="zh-CN" w:eastAsia="zh-CN"/>
        </w:rPr>
      </w:pPr>
      <w:r>
        <w:rPr>
          <w:rFonts w:eastAsia="SimSun" w:hint="eastAsia"/>
          <w:color w:val="000000" w:themeColor="text1"/>
          <w:sz w:val="24"/>
          <w:szCs w:val="24"/>
          <w:lang w:val="zh-CN" w:eastAsia="zh-CN"/>
        </w:rPr>
        <w:t>审查并酌情更新法律框架、政策和做法，以促进社会经济和企业政策和规划中生物多样性保护和可持续利用的主流化，包括通过供应链中的最佳做法激励措施，可持续生产和消费及场地或生产工厂规模措施，要求企业报告对生物多样性的依赖性和影响，强化自愿披露，制定或更新有关可持续采购的法律以及使市场转向更可持续的产品和技术的类似政策；</w:t>
      </w:r>
    </w:p>
    <w:p w:rsidR="000A6F9D" w:rsidRDefault="000A6F9D" w:rsidP="000A1A91">
      <w:pPr>
        <w:pStyle w:val="StylePara1Kernat11pt"/>
        <w:numPr>
          <w:ilvl w:val="0"/>
          <w:numId w:val="24"/>
        </w:numPr>
        <w:suppressLineNumbers/>
        <w:tabs>
          <w:tab w:val="left" w:pos="720"/>
        </w:tabs>
        <w:suppressAutoHyphens/>
        <w:adjustRightInd w:val="0"/>
        <w:snapToGrid w:val="0"/>
        <w:ind w:left="0" w:firstLine="720"/>
        <w:rPr>
          <w:rFonts w:eastAsia="SimSun"/>
          <w:color w:val="000000" w:themeColor="text1"/>
          <w:sz w:val="24"/>
          <w:szCs w:val="24"/>
          <w:lang w:val="zh-CN" w:eastAsia="zh-CN"/>
        </w:rPr>
      </w:pPr>
      <w:r>
        <w:rPr>
          <w:rFonts w:eastAsia="SimSun" w:hint="eastAsia"/>
          <w:color w:val="000000" w:themeColor="text1"/>
          <w:sz w:val="24"/>
          <w:szCs w:val="24"/>
          <w:lang w:val="zh-CN" w:eastAsia="zh-CN"/>
        </w:rPr>
        <w:t>设计和酌情实施鼓励商业和金融部门投资于将生物多样性纳入所有部门主流的措施，包括促进公开披露与生物多样性有关的公司活动的措施，并鼓励金融部门根据第</w:t>
      </w:r>
      <w:r>
        <w:rPr>
          <w:rFonts w:eastAsia="SimSun" w:hint="eastAsia"/>
          <w:color w:val="000000" w:themeColor="text1"/>
          <w:sz w:val="24"/>
          <w:szCs w:val="24"/>
          <w:lang w:val="zh-CN" w:eastAsia="zh-CN"/>
        </w:rPr>
        <w:t>X/3</w:t>
      </w:r>
      <w:r>
        <w:rPr>
          <w:rFonts w:eastAsia="SimSun" w:hint="eastAsia"/>
          <w:color w:val="000000" w:themeColor="text1"/>
          <w:sz w:val="24"/>
          <w:szCs w:val="24"/>
          <w:lang w:val="zh-CN" w:eastAsia="zh-CN"/>
        </w:rPr>
        <w:t>号决定第</w:t>
      </w:r>
      <w:r>
        <w:rPr>
          <w:rFonts w:eastAsia="SimSun" w:hint="eastAsia"/>
          <w:color w:val="000000" w:themeColor="text1"/>
          <w:sz w:val="24"/>
          <w:szCs w:val="24"/>
          <w:lang w:val="zh-CN" w:eastAsia="zh-CN"/>
        </w:rPr>
        <w:t>9(b)(</w:t>
      </w:r>
      <w:r>
        <w:rPr>
          <w:rFonts w:eastAsia="SimSun" w:hint="eastAsia"/>
          <w:color w:val="000000" w:themeColor="text1"/>
          <w:sz w:val="24"/>
          <w:szCs w:val="24"/>
          <w:lang w:val="zh-CN" w:eastAsia="zh-CN"/>
        </w:rPr>
        <w:t>二</w:t>
      </w:r>
      <w:r>
        <w:rPr>
          <w:rFonts w:eastAsia="SimSun" w:hint="eastAsia"/>
          <w:color w:val="000000" w:themeColor="text1"/>
          <w:sz w:val="24"/>
          <w:szCs w:val="24"/>
          <w:lang w:val="zh-CN" w:eastAsia="zh-CN"/>
        </w:rPr>
        <w:t>)</w:t>
      </w:r>
      <w:r>
        <w:rPr>
          <w:rFonts w:eastAsia="SimSun" w:hint="eastAsia"/>
          <w:color w:val="000000" w:themeColor="text1"/>
          <w:sz w:val="24"/>
          <w:szCs w:val="24"/>
          <w:lang w:val="zh-CN" w:eastAsia="zh-CN"/>
        </w:rPr>
        <w:t>段，制定在筹资和投资方面考虑到生物多样性和生态系统价值的办法；</w:t>
      </w:r>
    </w:p>
    <w:p w:rsidR="000A6F9D" w:rsidRDefault="000A6F9D" w:rsidP="000A1A91">
      <w:pPr>
        <w:pStyle w:val="StylePara1Kernat11pt"/>
        <w:numPr>
          <w:ilvl w:val="0"/>
          <w:numId w:val="24"/>
        </w:numPr>
        <w:suppressLineNumbers/>
        <w:tabs>
          <w:tab w:val="left" w:pos="720"/>
        </w:tabs>
        <w:suppressAutoHyphens/>
        <w:adjustRightInd w:val="0"/>
        <w:snapToGrid w:val="0"/>
        <w:ind w:left="0" w:firstLine="720"/>
        <w:rPr>
          <w:rFonts w:eastAsia="SimSun"/>
          <w:color w:val="000000" w:themeColor="text1"/>
          <w:sz w:val="24"/>
          <w:szCs w:val="24"/>
          <w:lang w:val="zh-CN" w:eastAsia="zh-CN"/>
        </w:rPr>
      </w:pPr>
      <w:r>
        <w:rPr>
          <w:rFonts w:eastAsia="SimSun" w:hint="eastAsia"/>
          <w:color w:val="000000" w:themeColor="text1"/>
          <w:sz w:val="24"/>
          <w:szCs w:val="24"/>
          <w:lang w:val="zh-CN" w:eastAsia="zh-CN"/>
        </w:rPr>
        <w:t>鼓励在能源和采矿、基础设施以及制造和加工业部门的生物多样性主流化方面应用技术、研发和创新；</w:t>
      </w:r>
    </w:p>
    <w:p w:rsidR="000A6F9D" w:rsidRDefault="000A6F9D" w:rsidP="000A1A91">
      <w:pPr>
        <w:pStyle w:val="StylePara1Kernat11pt"/>
        <w:numPr>
          <w:ilvl w:val="0"/>
          <w:numId w:val="24"/>
        </w:numPr>
        <w:suppressLineNumbers/>
        <w:tabs>
          <w:tab w:val="left" w:pos="720"/>
        </w:tabs>
        <w:suppressAutoHyphens/>
        <w:adjustRightInd w:val="0"/>
        <w:snapToGrid w:val="0"/>
        <w:ind w:left="0" w:firstLine="720"/>
        <w:rPr>
          <w:rFonts w:eastAsia="SimSun"/>
          <w:color w:val="000000" w:themeColor="text1"/>
          <w:sz w:val="24"/>
          <w:szCs w:val="24"/>
          <w:lang w:val="zh-CN" w:eastAsia="zh-CN"/>
        </w:rPr>
      </w:pPr>
      <w:r>
        <w:rPr>
          <w:rFonts w:eastAsia="SimSun" w:hint="eastAsia"/>
          <w:color w:val="000000" w:themeColor="text1"/>
          <w:sz w:val="24"/>
          <w:szCs w:val="24"/>
          <w:lang w:val="zh-CN" w:eastAsia="zh-CN"/>
        </w:rPr>
        <w:t>酌情评价和寻求在能源和采矿、基础设施以及制造和加工业部门利用基于生态系统的办法的机会；</w:t>
      </w:r>
    </w:p>
    <w:p w:rsidR="000A6F9D" w:rsidRPr="00A3113F" w:rsidRDefault="000A6F9D" w:rsidP="000A1A91">
      <w:pPr>
        <w:pStyle w:val="StylePara1Kernat11pt"/>
        <w:numPr>
          <w:ilvl w:val="0"/>
          <w:numId w:val="24"/>
        </w:numPr>
        <w:suppressLineNumbers/>
        <w:tabs>
          <w:tab w:val="left" w:pos="720"/>
        </w:tabs>
        <w:suppressAutoHyphens/>
        <w:adjustRightInd w:val="0"/>
        <w:snapToGrid w:val="0"/>
        <w:ind w:left="0" w:firstLine="720"/>
        <w:rPr>
          <w:rFonts w:eastAsia="SimSun"/>
          <w:color w:val="000000" w:themeColor="text1"/>
          <w:sz w:val="24"/>
          <w:szCs w:val="24"/>
          <w:lang w:val="zh-CN" w:eastAsia="zh-CN"/>
        </w:rPr>
      </w:pPr>
      <w:r w:rsidRPr="00A3113F">
        <w:rPr>
          <w:rFonts w:eastAsia="SimSun" w:hint="eastAsia"/>
          <w:color w:val="000000" w:themeColor="text1"/>
          <w:sz w:val="24"/>
          <w:szCs w:val="24"/>
          <w:lang w:val="zh-CN" w:eastAsia="zh-CN"/>
        </w:rPr>
        <w:t>将生物多样性和生态系统功能和服务纳入城市规划和发展，包括城市、陆地景观和海洋景观空间规划中的保护、加强、恢复和可持续利用生物多样性和生态系统功能和服务的办法；</w:t>
      </w:r>
    </w:p>
    <w:p w:rsidR="000A6F9D" w:rsidRDefault="000A6F9D" w:rsidP="000A1A91">
      <w:pPr>
        <w:pStyle w:val="StylePara1Kernat11pt"/>
        <w:numPr>
          <w:ilvl w:val="0"/>
          <w:numId w:val="24"/>
        </w:numPr>
        <w:suppressLineNumbers/>
        <w:tabs>
          <w:tab w:val="left" w:pos="720"/>
        </w:tabs>
        <w:suppressAutoHyphens/>
        <w:adjustRightInd w:val="0"/>
        <w:snapToGrid w:val="0"/>
        <w:ind w:left="0" w:firstLine="720"/>
        <w:rPr>
          <w:rFonts w:eastAsia="SimSun"/>
          <w:color w:val="000000" w:themeColor="text1"/>
          <w:sz w:val="24"/>
          <w:szCs w:val="24"/>
          <w:lang w:val="zh-CN" w:eastAsia="zh-CN"/>
        </w:rPr>
      </w:pPr>
      <w:r>
        <w:rPr>
          <w:rFonts w:eastAsia="SimSun" w:hint="eastAsia"/>
          <w:color w:val="000000" w:themeColor="text1"/>
          <w:sz w:val="24"/>
          <w:szCs w:val="24"/>
          <w:lang w:val="zh-CN" w:eastAsia="zh-CN"/>
        </w:rPr>
        <w:t>与土著人民和地方社区以及公共、私营和民间社会部门的所有相关利益攸关方合作，以建立和加强协调机制，促进解决生物多样性丧失的根本原因和促进所有部门的生物多样性主流化；</w:t>
      </w:r>
    </w:p>
    <w:p w:rsidR="000A6F9D" w:rsidRDefault="000A6F9D" w:rsidP="000A1A91">
      <w:pPr>
        <w:pStyle w:val="StylePara1Kernat11pt"/>
        <w:numPr>
          <w:ilvl w:val="0"/>
          <w:numId w:val="24"/>
        </w:numPr>
        <w:suppressLineNumbers/>
        <w:tabs>
          <w:tab w:val="left" w:pos="720"/>
        </w:tabs>
        <w:suppressAutoHyphens/>
        <w:adjustRightInd w:val="0"/>
        <w:snapToGrid w:val="0"/>
        <w:ind w:left="0" w:firstLine="720"/>
        <w:rPr>
          <w:rFonts w:eastAsia="SimSun"/>
          <w:color w:val="000000" w:themeColor="text1"/>
          <w:sz w:val="24"/>
          <w:szCs w:val="24"/>
          <w:lang w:val="zh-CN" w:eastAsia="zh-CN"/>
        </w:rPr>
      </w:pPr>
      <w:r>
        <w:rPr>
          <w:rFonts w:eastAsia="SimSun" w:hint="eastAsia"/>
          <w:color w:val="000000" w:themeColor="text1"/>
          <w:sz w:val="24"/>
          <w:szCs w:val="24"/>
          <w:lang w:val="zh-CN" w:eastAsia="zh-CN"/>
        </w:rPr>
        <w:t>发展政府协调机制、利益攸关方投入和参与机制、多利益攸关方知识平台以及独立政府审计或评价机构，以加强生物多样性主流化和加强国家一级的执行；</w:t>
      </w:r>
    </w:p>
    <w:p w:rsidR="000A6F9D" w:rsidRDefault="000A6F9D" w:rsidP="000A1A91">
      <w:pPr>
        <w:pStyle w:val="StylePara1Kernat11pt"/>
        <w:numPr>
          <w:ilvl w:val="0"/>
          <w:numId w:val="24"/>
        </w:numPr>
        <w:suppressLineNumbers/>
        <w:tabs>
          <w:tab w:val="left" w:pos="720"/>
        </w:tabs>
        <w:suppressAutoHyphens/>
        <w:adjustRightInd w:val="0"/>
        <w:snapToGrid w:val="0"/>
        <w:ind w:left="0" w:firstLine="720"/>
        <w:rPr>
          <w:rFonts w:eastAsia="SimSun"/>
          <w:color w:val="000000" w:themeColor="text1"/>
          <w:sz w:val="24"/>
          <w:szCs w:val="24"/>
          <w:lang w:val="zh-CN" w:eastAsia="zh-CN"/>
        </w:rPr>
      </w:pPr>
      <w:r>
        <w:rPr>
          <w:rFonts w:eastAsia="SimSun" w:hint="eastAsia"/>
          <w:color w:val="000000" w:themeColor="text1"/>
          <w:sz w:val="24"/>
          <w:szCs w:val="24"/>
          <w:lang w:val="zh-CN" w:eastAsia="zh-CN"/>
        </w:rPr>
        <w:lastRenderedPageBreak/>
        <w:t>建立知识平台，将各级政府机构、工商部门、土著人民和地方社区及利益攸关方聚集在一起，解决生物多样性主流化方面的技术问题，同时考虑到与环境管理和整体社会责任有关的事项；</w:t>
      </w:r>
    </w:p>
    <w:p w:rsidR="000A6F9D" w:rsidRDefault="000A6F9D" w:rsidP="000A1A91">
      <w:pPr>
        <w:pStyle w:val="StylePara1Kernat11pt"/>
        <w:numPr>
          <w:ilvl w:val="0"/>
          <w:numId w:val="24"/>
        </w:numPr>
        <w:suppressLineNumbers/>
        <w:tabs>
          <w:tab w:val="left" w:pos="720"/>
        </w:tabs>
        <w:suppressAutoHyphens/>
        <w:adjustRightInd w:val="0"/>
        <w:snapToGrid w:val="0"/>
        <w:ind w:left="0" w:firstLine="720"/>
        <w:rPr>
          <w:rFonts w:eastAsia="SimSun"/>
          <w:color w:val="000000" w:themeColor="text1"/>
          <w:sz w:val="24"/>
          <w:szCs w:val="24"/>
          <w:lang w:val="zh-CN" w:eastAsia="zh-CN"/>
        </w:rPr>
      </w:pPr>
      <w:r>
        <w:rPr>
          <w:rFonts w:eastAsia="SimSun" w:hint="eastAsia"/>
          <w:color w:val="000000" w:themeColor="text1"/>
          <w:sz w:val="24"/>
          <w:szCs w:val="24"/>
          <w:lang w:val="zh-CN" w:eastAsia="zh-CN"/>
        </w:rPr>
        <w:t>为卓有成效</w:t>
      </w:r>
      <w:r>
        <w:rPr>
          <w:rFonts w:eastAsia="SimSun"/>
          <w:color w:val="000000" w:themeColor="text1"/>
          <w:sz w:val="24"/>
          <w:szCs w:val="24"/>
          <w:lang w:val="zh-CN" w:eastAsia="zh-CN"/>
        </w:rPr>
        <w:t>的</w:t>
      </w:r>
      <w:r>
        <w:rPr>
          <w:rFonts w:eastAsia="SimSun" w:hint="eastAsia"/>
          <w:color w:val="000000" w:themeColor="text1"/>
          <w:sz w:val="24"/>
          <w:szCs w:val="24"/>
          <w:lang w:val="zh-CN" w:eastAsia="zh-CN"/>
        </w:rPr>
        <w:t>生物多样性主流化建设能力和促进能力建设；</w:t>
      </w:r>
    </w:p>
    <w:p w:rsidR="000A6F9D" w:rsidRDefault="000A6F9D" w:rsidP="000A1A91">
      <w:pPr>
        <w:pStyle w:val="StylePara1Kernat11pt"/>
        <w:numPr>
          <w:ilvl w:val="0"/>
          <w:numId w:val="24"/>
        </w:numPr>
        <w:suppressLineNumbers/>
        <w:tabs>
          <w:tab w:val="left" w:pos="720"/>
        </w:tabs>
        <w:suppressAutoHyphens/>
        <w:adjustRightInd w:val="0"/>
        <w:snapToGrid w:val="0"/>
        <w:ind w:left="0" w:firstLine="720"/>
        <w:rPr>
          <w:rFonts w:eastAsia="SimSun"/>
          <w:color w:val="000000" w:themeColor="text1"/>
          <w:sz w:val="24"/>
          <w:szCs w:val="24"/>
          <w:lang w:val="zh-CN" w:eastAsia="zh-CN"/>
        </w:rPr>
      </w:pPr>
      <w:r>
        <w:rPr>
          <w:rFonts w:eastAsia="SimSun" w:hint="eastAsia"/>
          <w:color w:val="000000" w:themeColor="text1"/>
          <w:sz w:val="24"/>
          <w:szCs w:val="24"/>
          <w:lang w:val="zh-CN" w:eastAsia="zh-CN"/>
        </w:rPr>
        <w:t>在《</w:t>
      </w:r>
      <w:r>
        <w:rPr>
          <w:rFonts w:eastAsia="SimSun" w:hint="eastAsia"/>
          <w:color w:val="000000" w:themeColor="text1"/>
          <w:sz w:val="24"/>
          <w:szCs w:val="24"/>
          <w:lang w:val="zh-CN" w:eastAsia="zh-CN"/>
        </w:rPr>
        <w:t>2011-2020</w:t>
      </w:r>
      <w:r>
        <w:rPr>
          <w:rFonts w:eastAsia="SimSun" w:hint="eastAsia"/>
          <w:color w:val="000000" w:themeColor="text1"/>
          <w:sz w:val="24"/>
          <w:szCs w:val="24"/>
          <w:lang w:val="zh-CN" w:eastAsia="zh-CN"/>
        </w:rPr>
        <w:t>年生物多样性战略计划》和《</w:t>
      </w:r>
      <w:r>
        <w:rPr>
          <w:rFonts w:eastAsia="SimSun" w:hint="eastAsia"/>
          <w:color w:val="000000" w:themeColor="text1"/>
          <w:sz w:val="24"/>
          <w:szCs w:val="24"/>
          <w:lang w:val="zh-CN" w:eastAsia="zh-CN"/>
        </w:rPr>
        <w:t>2030</w:t>
      </w:r>
      <w:r>
        <w:rPr>
          <w:rFonts w:eastAsia="SimSun" w:hint="eastAsia"/>
          <w:color w:val="000000" w:themeColor="text1"/>
          <w:sz w:val="24"/>
          <w:szCs w:val="24"/>
          <w:lang w:val="zh-CN" w:eastAsia="zh-CN"/>
        </w:rPr>
        <w:t>年可持续发展议程》</w:t>
      </w:r>
      <w:r>
        <w:rPr>
          <w:rFonts w:eastAsia="SimSun" w:hint="eastAsia"/>
          <w:color w:val="000000" w:themeColor="text1"/>
          <w:sz w:val="24"/>
          <w:szCs w:val="24"/>
          <w:vertAlign w:val="superscript"/>
          <w:lang w:val="zh-CN" w:eastAsia="zh-CN"/>
        </w:rPr>
        <w:t>4</w:t>
      </w:r>
      <w:r>
        <w:rPr>
          <w:rFonts w:eastAsia="SimSun" w:hint="eastAsia"/>
          <w:color w:val="000000" w:themeColor="text1"/>
          <w:sz w:val="24"/>
          <w:szCs w:val="24"/>
          <w:lang w:val="zh-CN" w:eastAsia="zh-CN"/>
        </w:rPr>
        <w:t>的框架内，促进负责生物多样性以及能源和采矿、基础设施、制造和加工部门的部委和其他机构的政策、工作计划和具体行动的</w:t>
      </w:r>
      <w:r>
        <w:rPr>
          <w:rFonts w:eastAsia="SimSun"/>
          <w:color w:val="000000" w:themeColor="text1"/>
          <w:sz w:val="24"/>
          <w:szCs w:val="24"/>
          <w:lang w:val="zh-CN" w:eastAsia="zh-CN"/>
        </w:rPr>
        <w:t>制定</w:t>
      </w:r>
      <w:r>
        <w:rPr>
          <w:rFonts w:eastAsia="SimSun" w:hint="eastAsia"/>
          <w:color w:val="000000" w:themeColor="text1"/>
          <w:sz w:val="24"/>
          <w:szCs w:val="24"/>
          <w:lang w:val="zh-CN" w:eastAsia="zh-CN"/>
        </w:rPr>
        <w:t>，促进将生物多样性纳入这些部门的主流，并酌情将这些政策、工作计划和具体行动纳入其国家生物多样性战略和行动计划；</w:t>
      </w:r>
    </w:p>
    <w:p w:rsidR="000A6F9D" w:rsidRPr="00A95621" w:rsidRDefault="000A6F9D" w:rsidP="000A1A91">
      <w:pPr>
        <w:pStyle w:val="StylePara1Kernat11pt"/>
        <w:numPr>
          <w:ilvl w:val="0"/>
          <w:numId w:val="22"/>
        </w:numPr>
        <w:suppressLineNumbers/>
        <w:suppressAutoHyphens/>
        <w:adjustRightInd w:val="0"/>
        <w:snapToGrid w:val="0"/>
        <w:ind w:left="0" w:firstLine="720"/>
        <w:rPr>
          <w:rFonts w:eastAsia="SimSun"/>
          <w:color w:val="000000" w:themeColor="text1"/>
          <w:sz w:val="24"/>
          <w:szCs w:val="24"/>
          <w:lang w:eastAsia="zh-CN"/>
        </w:rPr>
      </w:pPr>
      <w:r w:rsidRPr="00A95621">
        <w:rPr>
          <w:rFonts w:ascii="KaiTi" w:eastAsia="KaiTi" w:hAnsi="KaiTi" w:hint="eastAsia"/>
          <w:iCs/>
          <w:color w:val="000000"/>
          <w:sz w:val="24"/>
          <w:szCs w:val="24"/>
          <w:lang w:eastAsia="zh-CN" w:bidi="th-TH"/>
        </w:rPr>
        <w:t>促请</w:t>
      </w:r>
      <w:r w:rsidRPr="00A95621">
        <w:rPr>
          <w:rFonts w:eastAsia="SimSun" w:hint="eastAsia"/>
          <w:color w:val="000000" w:themeColor="text1"/>
          <w:sz w:val="24"/>
          <w:szCs w:val="24"/>
          <w:lang w:val="zh-CN" w:eastAsia="zh-CN"/>
        </w:rPr>
        <w:t>企业界使用执行秘书编制的企业报告生物多样性有关活动的订正行动类别和相关指导意见，包括为了所有</w:t>
      </w:r>
      <w:r w:rsidRPr="00A95621">
        <w:rPr>
          <w:rFonts w:eastAsia="SimSun"/>
          <w:color w:val="000000" w:themeColor="text1"/>
          <w:sz w:val="24"/>
          <w:szCs w:val="24"/>
          <w:lang w:val="zh-CN" w:eastAsia="zh-CN"/>
        </w:rPr>
        <w:t>利益攸关方，包括</w:t>
      </w:r>
      <w:r w:rsidRPr="00A95621">
        <w:rPr>
          <w:rFonts w:eastAsia="SimSun" w:hint="eastAsia"/>
          <w:color w:val="000000" w:themeColor="text1"/>
          <w:sz w:val="24"/>
          <w:szCs w:val="24"/>
          <w:lang w:val="zh-CN" w:eastAsia="zh-CN"/>
        </w:rPr>
        <w:t>投资者和民间社会改进关于整体生物多样性业绩可比信息的可</w:t>
      </w:r>
      <w:r w:rsidRPr="00A95621">
        <w:rPr>
          <w:rFonts w:eastAsia="SimSun"/>
          <w:color w:val="000000" w:themeColor="text1"/>
          <w:sz w:val="24"/>
          <w:szCs w:val="24"/>
          <w:lang w:val="zh-CN" w:eastAsia="zh-CN"/>
        </w:rPr>
        <w:t>取得性的目的</w:t>
      </w:r>
      <w:r w:rsidRPr="00A95621">
        <w:rPr>
          <w:rFonts w:eastAsia="SimSun" w:hint="eastAsia"/>
          <w:color w:val="000000" w:themeColor="text1"/>
          <w:sz w:val="24"/>
          <w:szCs w:val="24"/>
          <w:lang w:val="zh-CN" w:eastAsia="zh-CN"/>
        </w:rPr>
        <w:t>；</w:t>
      </w:r>
    </w:p>
    <w:p w:rsidR="000A6F9D" w:rsidRPr="00D74D31" w:rsidRDefault="000A6F9D" w:rsidP="000A1A91">
      <w:pPr>
        <w:pStyle w:val="StylePara1Kernat11pt"/>
        <w:numPr>
          <w:ilvl w:val="0"/>
          <w:numId w:val="22"/>
        </w:numPr>
        <w:suppressLineNumbers/>
        <w:suppressAutoHyphens/>
        <w:adjustRightInd w:val="0"/>
        <w:snapToGrid w:val="0"/>
        <w:ind w:left="0" w:firstLine="720"/>
        <w:rPr>
          <w:rFonts w:eastAsia="SimSun"/>
          <w:color w:val="000000" w:themeColor="text1"/>
          <w:sz w:val="24"/>
          <w:szCs w:val="24"/>
          <w:lang w:val="zh-CN" w:eastAsia="zh-CN"/>
        </w:rPr>
      </w:pPr>
      <w:r>
        <w:rPr>
          <w:rFonts w:ascii="KaiTi" w:eastAsia="KaiTi" w:hAnsi="KaiTi" w:hint="eastAsia"/>
          <w:iCs/>
          <w:color w:val="000000"/>
          <w:sz w:val="24"/>
          <w:szCs w:val="24"/>
          <w:lang w:eastAsia="ja-JP" w:bidi="th-TH"/>
        </w:rPr>
        <w:t>邀请</w:t>
      </w:r>
      <w:r w:rsidRPr="00A95621">
        <w:rPr>
          <w:rFonts w:eastAsia="SimSun" w:hint="eastAsia"/>
          <w:color w:val="000000" w:themeColor="text1"/>
          <w:sz w:val="24"/>
          <w:szCs w:val="24"/>
          <w:lang w:val="zh-CN" w:eastAsia="zh-CN"/>
        </w:rPr>
        <w:t>各</w:t>
      </w:r>
      <w:r>
        <w:rPr>
          <w:rFonts w:eastAsia="SimSun" w:hint="eastAsia"/>
          <w:color w:val="000000" w:themeColor="text1"/>
          <w:sz w:val="24"/>
          <w:szCs w:val="24"/>
          <w:lang w:val="zh-CN" w:eastAsia="zh-CN"/>
        </w:rPr>
        <w:t>多边开发银行、保险公司、工商部门、金融机构和其他金融投资方更多</w:t>
      </w:r>
      <w:r w:rsidRPr="00D74D31">
        <w:rPr>
          <w:rFonts w:eastAsia="SimSun" w:hint="eastAsia"/>
          <w:color w:val="000000" w:themeColor="text1"/>
          <w:sz w:val="24"/>
          <w:szCs w:val="24"/>
          <w:lang w:val="zh-CN" w:eastAsia="zh-CN"/>
        </w:rPr>
        <w:t>采用和酌情改进保护和可持续利用生物多样性的最佳做法以及有关</w:t>
      </w:r>
      <w:r>
        <w:rPr>
          <w:rFonts w:eastAsia="SimSun" w:hint="eastAsia"/>
          <w:color w:val="000000" w:themeColor="text1"/>
          <w:sz w:val="24"/>
          <w:szCs w:val="24"/>
          <w:lang w:val="zh-CN" w:eastAsia="zh-CN"/>
        </w:rPr>
        <w:t>这些部门投资决策的社会和环境保障措施，让他们</w:t>
      </w:r>
      <w:r w:rsidRPr="00D74D31">
        <w:rPr>
          <w:rFonts w:eastAsia="SimSun" w:hint="eastAsia"/>
          <w:color w:val="000000" w:themeColor="text1"/>
          <w:sz w:val="24"/>
          <w:szCs w:val="24"/>
          <w:lang w:val="zh-CN" w:eastAsia="zh-CN"/>
        </w:rPr>
        <w:t>知道和</w:t>
      </w:r>
      <w:r>
        <w:rPr>
          <w:rFonts w:eastAsia="SimSun" w:hint="eastAsia"/>
          <w:color w:val="000000" w:themeColor="text1"/>
          <w:sz w:val="24"/>
          <w:szCs w:val="24"/>
          <w:lang w:val="zh-CN" w:eastAsia="zh-CN"/>
        </w:rPr>
        <w:t>了解最好的科学知识和实践</w:t>
      </w:r>
      <w:r w:rsidRPr="00D74D31">
        <w:rPr>
          <w:rFonts w:eastAsia="SimSun" w:hint="eastAsia"/>
          <w:color w:val="000000" w:themeColor="text1"/>
          <w:sz w:val="24"/>
          <w:szCs w:val="24"/>
          <w:lang w:val="zh-CN" w:eastAsia="zh-CN"/>
        </w:rPr>
        <w:t>；</w:t>
      </w:r>
    </w:p>
    <w:p w:rsidR="000A6F9D" w:rsidRDefault="000A6F9D" w:rsidP="000A1A91">
      <w:pPr>
        <w:pStyle w:val="StylePara1Kernat11pt"/>
        <w:numPr>
          <w:ilvl w:val="0"/>
          <w:numId w:val="22"/>
        </w:numPr>
        <w:suppressLineNumbers/>
        <w:suppressAutoHyphens/>
        <w:adjustRightInd w:val="0"/>
        <w:snapToGrid w:val="0"/>
        <w:ind w:left="0" w:firstLine="720"/>
        <w:rPr>
          <w:rFonts w:eastAsia="SimSun"/>
          <w:color w:val="000000" w:themeColor="text1"/>
          <w:sz w:val="24"/>
          <w:szCs w:val="24"/>
          <w:lang w:eastAsia="zh-CN"/>
        </w:rPr>
      </w:pPr>
      <w:r>
        <w:rPr>
          <w:rFonts w:ascii="KaiTi" w:eastAsia="KaiTi" w:hAnsi="KaiTi" w:hint="eastAsia"/>
          <w:iCs/>
          <w:color w:val="000000"/>
          <w:sz w:val="24"/>
          <w:szCs w:val="24"/>
          <w:lang w:eastAsia="ja-JP" w:bidi="th-TH"/>
        </w:rPr>
        <w:t>邀请</w:t>
      </w:r>
      <w:r>
        <w:rPr>
          <w:rFonts w:eastAsia="SimSun" w:hint="eastAsia"/>
          <w:color w:val="000000" w:themeColor="text1"/>
          <w:sz w:val="24"/>
          <w:szCs w:val="24"/>
          <w:lang w:val="zh-CN" w:eastAsia="zh-CN"/>
        </w:rPr>
        <w:t>相关组织和倡议进一步加大工作力度</w:t>
      </w:r>
      <w:r>
        <w:rPr>
          <w:rFonts w:eastAsia="SimSun" w:hint="eastAsia"/>
          <w:color w:val="000000" w:themeColor="text1"/>
          <w:sz w:val="24"/>
          <w:szCs w:val="24"/>
          <w:lang w:eastAsia="zh-CN"/>
        </w:rPr>
        <w:t>，以确定</w:t>
      </w:r>
      <w:r>
        <w:rPr>
          <w:rFonts w:eastAsia="SimSun" w:hint="eastAsia"/>
          <w:color w:val="000000" w:themeColor="text1"/>
          <w:sz w:val="24"/>
          <w:szCs w:val="24"/>
          <w:lang w:val="zh-CN" w:eastAsia="zh-CN"/>
        </w:rPr>
        <w:t>企业和金融部门设计、宣传和实施</w:t>
      </w:r>
      <w:r>
        <w:rPr>
          <w:rFonts w:eastAsia="SimSun" w:hint="eastAsia"/>
          <w:color w:val="000000" w:themeColor="text1"/>
          <w:sz w:val="24"/>
          <w:szCs w:val="24"/>
          <w:lang w:eastAsia="zh-CN"/>
        </w:rPr>
        <w:t>生物多样性</w:t>
      </w:r>
      <w:r>
        <w:rPr>
          <w:rFonts w:eastAsia="SimSun" w:hint="eastAsia"/>
          <w:color w:val="000000" w:themeColor="text1"/>
          <w:sz w:val="24"/>
          <w:szCs w:val="24"/>
          <w:lang w:val="zh-CN" w:eastAsia="zh-CN"/>
        </w:rPr>
        <w:t>主流化的关键要素，并加强相互信息共享与协作</w:t>
      </w:r>
      <w:r>
        <w:rPr>
          <w:rFonts w:eastAsia="SimSun" w:hint="eastAsia"/>
          <w:color w:val="000000" w:themeColor="text1"/>
          <w:sz w:val="24"/>
          <w:szCs w:val="24"/>
          <w:lang w:eastAsia="zh-CN"/>
        </w:rPr>
        <w:t>，</w:t>
      </w:r>
      <w:r>
        <w:rPr>
          <w:rFonts w:eastAsia="SimSun" w:hint="eastAsia"/>
          <w:color w:val="000000" w:themeColor="text1"/>
          <w:sz w:val="24"/>
          <w:szCs w:val="24"/>
          <w:lang w:val="zh-CN" w:eastAsia="zh-CN"/>
        </w:rPr>
        <w:t>特别是</w:t>
      </w:r>
      <w:r>
        <w:rPr>
          <w:rFonts w:eastAsia="SimSun" w:hint="eastAsia"/>
          <w:color w:val="000000" w:themeColor="text1"/>
          <w:sz w:val="24"/>
          <w:szCs w:val="24"/>
          <w:lang w:eastAsia="zh-CN"/>
        </w:rPr>
        <w:t>：</w:t>
      </w:r>
    </w:p>
    <w:p w:rsidR="000A6F9D" w:rsidRPr="000A6F9D" w:rsidRDefault="000A6F9D" w:rsidP="000A1A91">
      <w:pPr>
        <w:pStyle w:val="ListParagraph"/>
        <w:numPr>
          <w:ilvl w:val="2"/>
          <w:numId w:val="25"/>
        </w:numPr>
        <w:suppressLineNumbers/>
        <w:suppressAutoHyphens/>
        <w:adjustRightInd w:val="0"/>
        <w:snapToGrid w:val="0"/>
        <w:ind w:left="0" w:firstLine="720"/>
        <w:rPr>
          <w:rFonts w:eastAsiaTheme="minorEastAsia"/>
          <w:color w:val="000000" w:themeColor="text1"/>
          <w:lang w:val="zh-CN" w:eastAsia="zh-CN"/>
        </w:rPr>
      </w:pPr>
      <w:r w:rsidRPr="000A6F9D">
        <w:rPr>
          <w:rFonts w:eastAsiaTheme="minorEastAsia"/>
          <w:color w:val="000000" w:themeColor="text1"/>
          <w:lang w:val="zh-CN" w:eastAsia="zh-CN"/>
        </w:rPr>
        <w:t>按上文第</w:t>
      </w:r>
      <w:r w:rsidRPr="000A6F9D">
        <w:rPr>
          <w:rFonts w:eastAsiaTheme="minorEastAsia"/>
          <w:color w:val="000000" w:themeColor="text1"/>
          <w:lang w:val="zh-CN" w:eastAsia="zh-CN"/>
        </w:rPr>
        <w:t>13(h)</w:t>
      </w:r>
      <w:r w:rsidRPr="000A6F9D">
        <w:rPr>
          <w:rFonts w:eastAsiaTheme="minorEastAsia"/>
          <w:color w:val="000000" w:themeColor="text1"/>
          <w:lang w:val="zh-CN" w:eastAsia="zh-CN"/>
        </w:rPr>
        <w:t>段所述，改善企业对这些部门生物多样性的重要性和价值的内化，并促进经验和良好做法的交流；</w:t>
      </w:r>
    </w:p>
    <w:p w:rsidR="000A6F9D" w:rsidRPr="000A6F9D" w:rsidRDefault="000A6F9D" w:rsidP="000A1A91">
      <w:pPr>
        <w:pStyle w:val="ListParagraph"/>
        <w:numPr>
          <w:ilvl w:val="2"/>
          <w:numId w:val="25"/>
        </w:numPr>
        <w:suppressLineNumbers/>
        <w:suppressAutoHyphens/>
        <w:adjustRightInd w:val="0"/>
        <w:snapToGrid w:val="0"/>
        <w:ind w:left="0" w:firstLine="720"/>
        <w:rPr>
          <w:rFonts w:eastAsiaTheme="minorEastAsia"/>
          <w:color w:val="000000" w:themeColor="text1"/>
          <w:kern w:val="22"/>
          <w:lang w:eastAsia="zh-CN"/>
        </w:rPr>
      </w:pPr>
      <w:r w:rsidRPr="000A6F9D">
        <w:rPr>
          <w:rFonts w:eastAsiaTheme="minorEastAsia"/>
          <w:color w:val="000000" w:themeColor="text1"/>
          <w:lang w:eastAsia="zh-CN"/>
        </w:rPr>
        <w:t>制定和改进标准、指标、基线和其他工具，以衡量这些部门的企业对生物多样性的依赖性和对生物多样性的影响，以便向企业管理者和投资者提供可靠、可信和可操作的信息，以改进决策，促进环境、社会和治理投资；</w:t>
      </w:r>
    </w:p>
    <w:p w:rsidR="000A6F9D" w:rsidRPr="000A6F9D" w:rsidRDefault="000A6F9D" w:rsidP="000A1A91">
      <w:pPr>
        <w:pStyle w:val="ListParagraph"/>
        <w:numPr>
          <w:ilvl w:val="2"/>
          <w:numId w:val="25"/>
        </w:numPr>
        <w:suppressLineNumbers/>
        <w:suppressAutoHyphens/>
        <w:adjustRightInd w:val="0"/>
        <w:snapToGrid w:val="0"/>
        <w:ind w:left="0" w:firstLine="720"/>
        <w:rPr>
          <w:rFonts w:eastAsiaTheme="minorEastAsia"/>
          <w:color w:val="000000" w:themeColor="text1"/>
          <w:kern w:val="22"/>
          <w:lang w:eastAsia="zh-CN"/>
        </w:rPr>
      </w:pPr>
      <w:r w:rsidRPr="000A6F9D">
        <w:rPr>
          <w:rFonts w:eastAsiaTheme="minorEastAsia"/>
          <w:color w:val="000000" w:themeColor="text1"/>
          <w:lang w:val="zh-CN" w:eastAsia="zh-CN"/>
        </w:rPr>
        <w:t>对照《</w:t>
      </w:r>
      <w:r w:rsidRPr="000A6F9D">
        <w:rPr>
          <w:rFonts w:eastAsiaTheme="minorEastAsia"/>
          <w:color w:val="000000" w:themeColor="text1"/>
          <w:lang w:eastAsia="zh-CN"/>
        </w:rPr>
        <w:t>2030</w:t>
      </w:r>
      <w:r w:rsidRPr="000A6F9D">
        <w:rPr>
          <w:rFonts w:eastAsiaTheme="minorEastAsia"/>
          <w:color w:val="000000" w:themeColor="text1"/>
          <w:lang w:val="zh-CN" w:eastAsia="zh-CN"/>
        </w:rPr>
        <w:t>年可持续发展议程》及其《可持续发展目标》</w:t>
      </w:r>
      <w:r w:rsidRPr="000A6F9D">
        <w:rPr>
          <w:rFonts w:eastAsiaTheme="minorEastAsia"/>
          <w:color w:val="000000" w:themeColor="text1"/>
          <w:lang w:eastAsia="zh-CN"/>
        </w:rPr>
        <w:t>，</w:t>
      </w:r>
      <w:r w:rsidRPr="000A6F9D">
        <w:rPr>
          <w:rFonts w:eastAsiaTheme="minorEastAsia"/>
          <w:color w:val="000000" w:themeColor="text1"/>
          <w:lang w:val="zh-CN" w:eastAsia="zh-CN"/>
        </w:rPr>
        <w:t>就如何加强企业报告中有关生态系统和生物多样性影响和依赖性的组成部分制定具体指导意见</w:t>
      </w:r>
      <w:r w:rsidRPr="000A6F9D">
        <w:rPr>
          <w:rFonts w:eastAsiaTheme="minorEastAsia"/>
          <w:color w:val="000000" w:themeColor="text1"/>
          <w:lang w:eastAsia="zh-CN"/>
        </w:rPr>
        <w:t>；</w:t>
      </w:r>
    </w:p>
    <w:p w:rsidR="000A6F9D" w:rsidRPr="000A6F9D" w:rsidRDefault="000A6F9D" w:rsidP="000A1A91">
      <w:pPr>
        <w:pStyle w:val="ListParagraph"/>
        <w:numPr>
          <w:ilvl w:val="2"/>
          <w:numId w:val="25"/>
        </w:numPr>
        <w:suppressLineNumbers/>
        <w:suppressAutoHyphens/>
        <w:adjustRightInd w:val="0"/>
        <w:snapToGrid w:val="0"/>
        <w:ind w:left="0" w:firstLine="720"/>
        <w:rPr>
          <w:rFonts w:eastAsiaTheme="minorEastAsia"/>
          <w:color w:val="000000" w:themeColor="text1"/>
          <w:kern w:val="22"/>
          <w:lang w:eastAsia="zh-CN"/>
        </w:rPr>
      </w:pPr>
      <w:r w:rsidRPr="000A6F9D">
        <w:rPr>
          <w:rFonts w:eastAsiaTheme="minorEastAsia"/>
          <w:color w:val="000000" w:themeColor="text1"/>
          <w:lang w:eastAsia="zh-CN"/>
        </w:rPr>
        <w:t>酌情加强联合国环境经济核算系统与工商和金融部门使用的生物多样性和生态系统核算框架之间的联系；</w:t>
      </w:r>
    </w:p>
    <w:p w:rsidR="000A6F9D" w:rsidRDefault="000A6F9D" w:rsidP="000A1A91">
      <w:pPr>
        <w:pStyle w:val="StylePara1Kernat11pt"/>
        <w:numPr>
          <w:ilvl w:val="0"/>
          <w:numId w:val="22"/>
        </w:numPr>
        <w:suppressLineNumbers/>
        <w:suppressAutoHyphens/>
        <w:adjustRightInd w:val="0"/>
        <w:snapToGrid w:val="0"/>
        <w:ind w:left="0" w:firstLine="720"/>
        <w:rPr>
          <w:rFonts w:eastAsia="SimSun"/>
          <w:color w:val="000000" w:themeColor="text1"/>
          <w:sz w:val="24"/>
          <w:szCs w:val="24"/>
          <w:lang w:eastAsia="zh-CN"/>
        </w:rPr>
      </w:pPr>
      <w:r>
        <w:rPr>
          <w:rFonts w:ascii="KaiTi" w:eastAsia="KaiTi" w:hAnsi="KaiTi" w:hint="eastAsia"/>
          <w:iCs/>
          <w:color w:val="000000"/>
          <w:sz w:val="24"/>
          <w:szCs w:val="24"/>
          <w:lang w:eastAsia="ja-JP" w:bidi="th-TH"/>
        </w:rPr>
        <w:t>决定</w:t>
      </w:r>
      <w:r>
        <w:rPr>
          <w:rFonts w:eastAsia="SimSun" w:hint="eastAsia"/>
          <w:color w:val="000000" w:themeColor="text1"/>
          <w:sz w:val="24"/>
          <w:szCs w:val="24"/>
          <w:lang w:val="zh-CN" w:eastAsia="zh-CN"/>
        </w:rPr>
        <w:t>制定生物多样性主流化长期战略办法</w:t>
      </w:r>
      <w:r>
        <w:rPr>
          <w:rFonts w:eastAsia="SimSun" w:hint="eastAsia"/>
          <w:color w:val="000000" w:themeColor="text1"/>
          <w:sz w:val="24"/>
          <w:szCs w:val="24"/>
          <w:lang w:eastAsia="zh-CN"/>
        </w:rPr>
        <w:t>；</w:t>
      </w:r>
    </w:p>
    <w:p w:rsidR="000A6F9D" w:rsidRDefault="000A6F9D" w:rsidP="000A1A91">
      <w:pPr>
        <w:pStyle w:val="StylePara1Kernat11pt"/>
        <w:numPr>
          <w:ilvl w:val="0"/>
          <w:numId w:val="22"/>
        </w:numPr>
        <w:suppressLineNumbers/>
        <w:suppressAutoHyphens/>
        <w:adjustRightInd w:val="0"/>
        <w:snapToGrid w:val="0"/>
        <w:ind w:left="0" w:firstLine="720"/>
        <w:rPr>
          <w:rFonts w:eastAsia="SimSun"/>
          <w:color w:val="000000" w:themeColor="text1"/>
          <w:sz w:val="24"/>
          <w:szCs w:val="24"/>
          <w:lang w:eastAsia="zh-CN"/>
        </w:rPr>
      </w:pPr>
      <w:r>
        <w:rPr>
          <w:rFonts w:ascii="KaiTi" w:eastAsia="KaiTi" w:hAnsi="KaiTi" w:hint="eastAsia"/>
          <w:iCs/>
          <w:color w:val="000000"/>
          <w:sz w:val="24"/>
          <w:szCs w:val="24"/>
          <w:lang w:eastAsia="ja-JP" w:bidi="th-TH"/>
        </w:rPr>
        <w:t>又决定</w:t>
      </w:r>
      <w:r>
        <w:rPr>
          <w:rFonts w:eastAsia="SimSun" w:hint="eastAsia"/>
          <w:color w:val="000000" w:themeColor="text1"/>
          <w:sz w:val="24"/>
          <w:szCs w:val="24"/>
          <w:lang w:val="zh-CN" w:eastAsia="zh-CN"/>
        </w:rPr>
        <w:t>设立一个生物多样性主流化问题非正式咨询小组</w:t>
      </w:r>
      <w:r>
        <w:rPr>
          <w:rFonts w:eastAsia="SimSun" w:hint="eastAsia"/>
          <w:color w:val="000000" w:themeColor="text1"/>
          <w:sz w:val="24"/>
          <w:szCs w:val="24"/>
          <w:lang w:eastAsia="zh-CN"/>
        </w:rPr>
        <w:t>，其任务范围载于附件二，就</w:t>
      </w:r>
      <w:r>
        <w:rPr>
          <w:rFonts w:eastAsia="SimSun" w:hint="eastAsia"/>
          <w:color w:val="000000" w:themeColor="text1"/>
          <w:sz w:val="24"/>
          <w:szCs w:val="24"/>
          <w:lang w:val="zh-CN" w:eastAsia="zh-CN"/>
        </w:rPr>
        <w:t>进一步制定推动生物多样性主流化的长期办法的提案向执行秘书和主席团提供咨询意见，包括关于适当将主流化纳入</w:t>
      </w:r>
      <w:r>
        <w:rPr>
          <w:rFonts w:eastAsia="SimSun" w:hint="eastAsia"/>
          <w:color w:val="000000" w:themeColor="text1"/>
          <w:sz w:val="24"/>
          <w:szCs w:val="24"/>
          <w:lang w:val="zh-CN" w:eastAsia="zh-CN"/>
        </w:rPr>
        <w:t>2020</w:t>
      </w:r>
      <w:r>
        <w:rPr>
          <w:rFonts w:eastAsia="SimSun" w:hint="eastAsia"/>
          <w:color w:val="000000" w:themeColor="text1"/>
          <w:sz w:val="24"/>
          <w:szCs w:val="24"/>
          <w:lang w:val="zh-CN" w:eastAsia="zh-CN"/>
        </w:rPr>
        <w:t>年后全球生物多样性框架的途径，提交执行问题附属机构第三次会议审议</w:t>
      </w:r>
      <w:r>
        <w:rPr>
          <w:rFonts w:eastAsia="SimSun" w:hint="eastAsia"/>
          <w:color w:val="000000" w:themeColor="text1"/>
          <w:sz w:val="24"/>
          <w:szCs w:val="24"/>
          <w:lang w:eastAsia="zh-CN"/>
        </w:rPr>
        <w:t>；</w:t>
      </w:r>
    </w:p>
    <w:p w:rsidR="000A6F9D" w:rsidRDefault="000A6F9D" w:rsidP="000A1A91">
      <w:pPr>
        <w:pStyle w:val="StylePara1Kernat11pt"/>
        <w:numPr>
          <w:ilvl w:val="0"/>
          <w:numId w:val="22"/>
        </w:numPr>
        <w:suppressLineNumbers/>
        <w:suppressAutoHyphens/>
        <w:adjustRightInd w:val="0"/>
        <w:snapToGrid w:val="0"/>
        <w:ind w:left="0" w:firstLine="720"/>
        <w:rPr>
          <w:rFonts w:eastAsia="SimSun"/>
          <w:color w:val="000000" w:themeColor="text1"/>
          <w:sz w:val="24"/>
          <w:szCs w:val="24"/>
          <w:lang w:eastAsia="zh-CN"/>
        </w:rPr>
      </w:pPr>
      <w:r>
        <w:rPr>
          <w:rFonts w:ascii="KaiTi" w:eastAsia="KaiTi" w:hAnsi="KaiTi" w:hint="eastAsia"/>
          <w:iCs/>
          <w:color w:val="000000"/>
          <w:sz w:val="24"/>
          <w:szCs w:val="24"/>
          <w:lang w:eastAsia="ja-JP" w:bidi="th-TH"/>
        </w:rPr>
        <w:t>请</w:t>
      </w:r>
      <w:r>
        <w:rPr>
          <w:rFonts w:eastAsia="SimSun" w:hint="eastAsia"/>
          <w:color w:val="000000" w:themeColor="text1"/>
          <w:sz w:val="24"/>
          <w:szCs w:val="24"/>
          <w:lang w:val="zh-CN" w:eastAsia="zh-CN"/>
        </w:rPr>
        <w:t>执行秘书在资金允许的情况下</w:t>
      </w:r>
      <w:r>
        <w:rPr>
          <w:rFonts w:eastAsia="SimSun" w:hint="eastAsia"/>
          <w:color w:val="000000" w:themeColor="text1"/>
          <w:sz w:val="24"/>
          <w:szCs w:val="24"/>
          <w:lang w:eastAsia="zh-CN"/>
        </w:rPr>
        <w:t>：</w:t>
      </w:r>
    </w:p>
    <w:p w:rsidR="000A6F9D" w:rsidRDefault="000A6F9D" w:rsidP="000A1A91">
      <w:pPr>
        <w:pStyle w:val="StylePara1Kernat11pt"/>
        <w:numPr>
          <w:ilvl w:val="0"/>
          <w:numId w:val="26"/>
        </w:numPr>
        <w:suppressLineNumbers/>
        <w:tabs>
          <w:tab w:val="clear" w:pos="360"/>
          <w:tab w:val="left" w:pos="1440"/>
        </w:tabs>
        <w:suppressAutoHyphens/>
        <w:adjustRightInd w:val="0"/>
        <w:snapToGrid w:val="0"/>
        <w:ind w:left="0" w:firstLine="720"/>
        <w:rPr>
          <w:rFonts w:eastAsia="SimSun"/>
          <w:color w:val="000000" w:themeColor="text1"/>
          <w:sz w:val="24"/>
          <w:szCs w:val="24"/>
          <w:lang w:eastAsia="zh-CN"/>
        </w:rPr>
      </w:pPr>
      <w:r>
        <w:rPr>
          <w:rFonts w:eastAsia="SimSun" w:hint="eastAsia"/>
          <w:color w:val="000000" w:themeColor="text1"/>
          <w:sz w:val="24"/>
          <w:szCs w:val="24"/>
          <w:lang w:val="zh-CN" w:eastAsia="zh-CN"/>
        </w:rPr>
        <w:lastRenderedPageBreak/>
        <w:t>开展支持执行本决定的活动</w:t>
      </w:r>
      <w:r>
        <w:rPr>
          <w:rFonts w:eastAsia="SimSun" w:hint="eastAsia"/>
          <w:color w:val="000000" w:themeColor="text1"/>
          <w:sz w:val="24"/>
          <w:szCs w:val="24"/>
          <w:lang w:eastAsia="zh-CN"/>
        </w:rPr>
        <w:t>，</w:t>
      </w:r>
      <w:r>
        <w:rPr>
          <w:rFonts w:eastAsia="SimSun" w:hint="eastAsia"/>
          <w:color w:val="000000" w:themeColor="text1"/>
          <w:sz w:val="24"/>
          <w:szCs w:val="24"/>
          <w:lang w:val="zh-CN" w:eastAsia="zh-CN"/>
        </w:rPr>
        <w:t>并按照缔约方大会以往决定的要求</w:t>
      </w:r>
      <w:r>
        <w:rPr>
          <w:rFonts w:eastAsia="SimSun" w:hint="eastAsia"/>
          <w:color w:val="000000" w:themeColor="text1"/>
          <w:sz w:val="24"/>
          <w:szCs w:val="24"/>
          <w:lang w:eastAsia="zh-CN"/>
        </w:rPr>
        <w:t>，</w:t>
      </w:r>
      <w:r>
        <w:rPr>
          <w:rFonts w:eastAsia="SimSun" w:hint="eastAsia"/>
          <w:color w:val="000000" w:themeColor="text1"/>
          <w:sz w:val="24"/>
          <w:szCs w:val="24"/>
          <w:lang w:val="zh-CN" w:eastAsia="zh-CN"/>
        </w:rPr>
        <w:t>继续支持与生物多样性主流化有关的工作</w:t>
      </w:r>
      <w:r>
        <w:rPr>
          <w:rFonts w:eastAsia="SimSun" w:hint="eastAsia"/>
          <w:color w:val="000000" w:themeColor="text1"/>
          <w:sz w:val="24"/>
          <w:szCs w:val="24"/>
          <w:lang w:eastAsia="zh-CN"/>
        </w:rPr>
        <w:t>；</w:t>
      </w:r>
    </w:p>
    <w:p w:rsidR="000A6F9D" w:rsidRDefault="000A6F9D" w:rsidP="000A1A91">
      <w:pPr>
        <w:pStyle w:val="StylePara1Kernat11pt"/>
        <w:numPr>
          <w:ilvl w:val="0"/>
          <w:numId w:val="26"/>
        </w:numPr>
        <w:suppressLineNumbers/>
        <w:tabs>
          <w:tab w:val="clear" w:pos="360"/>
          <w:tab w:val="left" w:pos="1440"/>
        </w:tabs>
        <w:suppressAutoHyphens/>
        <w:adjustRightInd w:val="0"/>
        <w:snapToGrid w:val="0"/>
        <w:ind w:left="0" w:firstLine="720"/>
        <w:rPr>
          <w:rFonts w:eastAsia="SimSun"/>
          <w:color w:val="000000" w:themeColor="text1"/>
          <w:sz w:val="24"/>
          <w:szCs w:val="24"/>
          <w:lang w:eastAsia="zh-CN"/>
        </w:rPr>
      </w:pPr>
      <w:r>
        <w:rPr>
          <w:rFonts w:eastAsia="SimSun" w:hint="eastAsia"/>
          <w:color w:val="000000" w:themeColor="text1"/>
          <w:sz w:val="24"/>
          <w:szCs w:val="24"/>
          <w:lang w:eastAsia="zh-CN"/>
        </w:rPr>
        <w:t>确保将关于生物多样性主流化的讨论和意见适当纳入</w:t>
      </w:r>
      <w:r>
        <w:rPr>
          <w:rFonts w:eastAsia="SimSun"/>
          <w:color w:val="000000" w:themeColor="text1"/>
          <w:sz w:val="24"/>
          <w:szCs w:val="24"/>
          <w:lang w:eastAsia="zh-CN"/>
        </w:rPr>
        <w:t>2020</w:t>
      </w:r>
      <w:r>
        <w:rPr>
          <w:rFonts w:eastAsia="SimSun" w:hint="eastAsia"/>
          <w:color w:val="000000" w:themeColor="text1"/>
          <w:sz w:val="24"/>
          <w:szCs w:val="24"/>
          <w:lang w:eastAsia="zh-CN"/>
        </w:rPr>
        <w:t>年后全球生物多样性框架的制定工作，包括技术和政策讨论以及各利益攸关方和合作伙伴的意见；</w:t>
      </w:r>
    </w:p>
    <w:p w:rsidR="000A6F9D" w:rsidRDefault="000A6F9D" w:rsidP="000A1A91">
      <w:pPr>
        <w:pStyle w:val="StylePara1Kernat11pt"/>
        <w:numPr>
          <w:ilvl w:val="0"/>
          <w:numId w:val="26"/>
        </w:numPr>
        <w:suppressLineNumbers/>
        <w:tabs>
          <w:tab w:val="clear" w:pos="360"/>
          <w:tab w:val="left" w:pos="1440"/>
        </w:tabs>
        <w:suppressAutoHyphens/>
        <w:adjustRightInd w:val="0"/>
        <w:snapToGrid w:val="0"/>
        <w:ind w:left="0" w:firstLine="720"/>
        <w:rPr>
          <w:rFonts w:eastAsia="SimSun"/>
          <w:color w:val="000000" w:themeColor="text1"/>
          <w:sz w:val="24"/>
          <w:szCs w:val="24"/>
          <w:lang w:eastAsia="zh-CN"/>
        </w:rPr>
      </w:pPr>
      <w:r>
        <w:rPr>
          <w:rFonts w:eastAsia="SimSun" w:hint="eastAsia"/>
          <w:color w:val="000000" w:themeColor="text1"/>
          <w:sz w:val="24"/>
          <w:szCs w:val="24"/>
          <w:lang w:val="zh-CN" w:eastAsia="zh-CN"/>
        </w:rPr>
        <w:t>根据本文件附件一所载提案并在上文第</w:t>
      </w:r>
      <w:r>
        <w:rPr>
          <w:rFonts w:eastAsia="SimSun" w:hint="eastAsia"/>
          <w:color w:val="000000" w:themeColor="text1"/>
          <w:sz w:val="24"/>
          <w:szCs w:val="24"/>
          <w:lang w:val="zh-CN" w:eastAsia="zh-CN"/>
        </w:rPr>
        <w:t>18</w:t>
      </w:r>
      <w:r>
        <w:rPr>
          <w:rFonts w:eastAsia="SimSun" w:hint="eastAsia"/>
          <w:color w:val="000000" w:themeColor="text1"/>
          <w:sz w:val="24"/>
          <w:szCs w:val="24"/>
          <w:lang w:val="zh-CN" w:eastAsia="zh-CN"/>
        </w:rPr>
        <w:t>段所述非正式咨询小组的支持下</w:t>
      </w:r>
      <w:r>
        <w:rPr>
          <w:rFonts w:eastAsia="SimSun" w:hint="eastAsia"/>
          <w:color w:val="000000" w:themeColor="text1"/>
          <w:sz w:val="24"/>
          <w:szCs w:val="24"/>
          <w:lang w:eastAsia="zh-CN"/>
        </w:rPr>
        <w:t>，与该段</w:t>
      </w:r>
      <w:r>
        <w:rPr>
          <w:rFonts w:eastAsia="SimSun"/>
          <w:color w:val="000000" w:themeColor="text1"/>
          <w:sz w:val="24"/>
          <w:szCs w:val="24"/>
          <w:lang w:eastAsia="zh-CN"/>
        </w:rPr>
        <w:t>所述</w:t>
      </w:r>
      <w:r>
        <w:rPr>
          <w:rFonts w:eastAsia="SimSun" w:hint="eastAsia"/>
          <w:color w:val="000000" w:themeColor="text1"/>
          <w:sz w:val="24"/>
          <w:szCs w:val="24"/>
          <w:lang w:val="zh-CN" w:eastAsia="zh-CN"/>
        </w:rPr>
        <w:t>非正式咨询小组和有关缔约方合作，进一步制定生物多样性主流化长期战略办法</w:t>
      </w:r>
      <w:r>
        <w:rPr>
          <w:rFonts w:eastAsia="SimSun" w:hint="eastAsia"/>
          <w:color w:val="000000" w:themeColor="text1"/>
          <w:sz w:val="24"/>
          <w:szCs w:val="24"/>
          <w:lang w:eastAsia="zh-CN"/>
        </w:rPr>
        <w:t>；</w:t>
      </w:r>
    </w:p>
    <w:p w:rsidR="000A6F9D" w:rsidRDefault="000A6F9D" w:rsidP="000A1A91">
      <w:pPr>
        <w:pStyle w:val="StylePara1Kernat11pt"/>
        <w:numPr>
          <w:ilvl w:val="0"/>
          <w:numId w:val="26"/>
        </w:numPr>
        <w:suppressLineNumbers/>
        <w:tabs>
          <w:tab w:val="clear" w:pos="360"/>
          <w:tab w:val="left" w:pos="1440"/>
        </w:tabs>
        <w:suppressAutoHyphens/>
        <w:adjustRightInd w:val="0"/>
        <w:snapToGrid w:val="0"/>
        <w:ind w:left="0" w:firstLine="720"/>
        <w:rPr>
          <w:rFonts w:eastAsia="SimSun"/>
          <w:color w:val="000000" w:themeColor="text1"/>
          <w:sz w:val="24"/>
          <w:szCs w:val="24"/>
          <w:lang w:eastAsia="zh-CN"/>
        </w:rPr>
      </w:pPr>
      <w:r>
        <w:rPr>
          <w:rFonts w:eastAsia="SimSun" w:hint="eastAsia"/>
          <w:color w:val="000000" w:themeColor="text1"/>
          <w:sz w:val="24"/>
          <w:szCs w:val="24"/>
          <w:lang w:val="zh-CN" w:eastAsia="zh-CN"/>
        </w:rPr>
        <w:t>与相关组织和倡议合作</w:t>
      </w:r>
      <w:r>
        <w:rPr>
          <w:rFonts w:eastAsia="SimSun" w:hint="eastAsia"/>
          <w:color w:val="000000" w:themeColor="text1"/>
          <w:sz w:val="24"/>
          <w:szCs w:val="24"/>
          <w:lang w:eastAsia="zh-CN"/>
        </w:rPr>
        <w:t>，开展额外工作，促进</w:t>
      </w:r>
      <w:r>
        <w:rPr>
          <w:rFonts w:eastAsia="SimSun" w:hint="eastAsia"/>
          <w:color w:val="000000" w:themeColor="text1"/>
          <w:sz w:val="24"/>
          <w:szCs w:val="24"/>
          <w:lang w:val="zh-CN" w:eastAsia="zh-CN"/>
        </w:rPr>
        <w:t>披露和报告企业对生物多样性的影响和依赖性</w:t>
      </w:r>
      <w:r>
        <w:rPr>
          <w:rFonts w:eastAsia="SimSun" w:hint="eastAsia"/>
          <w:color w:val="000000" w:themeColor="text1"/>
          <w:sz w:val="24"/>
          <w:szCs w:val="24"/>
          <w:lang w:eastAsia="zh-CN"/>
        </w:rPr>
        <w:t>，</w:t>
      </w:r>
      <w:r>
        <w:rPr>
          <w:rFonts w:eastAsia="SimSun" w:hint="eastAsia"/>
          <w:color w:val="000000" w:themeColor="text1"/>
          <w:sz w:val="24"/>
          <w:szCs w:val="24"/>
          <w:lang w:val="zh-CN" w:eastAsia="zh-CN"/>
        </w:rPr>
        <w:t>包括支持上文第</w:t>
      </w:r>
      <w:r>
        <w:rPr>
          <w:rFonts w:eastAsia="SimSun" w:hint="eastAsia"/>
          <w:color w:val="000000" w:themeColor="text1"/>
          <w:sz w:val="24"/>
          <w:szCs w:val="24"/>
          <w:lang w:val="zh-CN" w:eastAsia="zh-CN"/>
        </w:rPr>
        <w:t>16</w:t>
      </w:r>
      <w:r>
        <w:rPr>
          <w:rFonts w:eastAsia="SimSun" w:hint="eastAsia"/>
          <w:color w:val="000000" w:themeColor="text1"/>
          <w:sz w:val="24"/>
          <w:szCs w:val="24"/>
          <w:lang w:val="zh-CN" w:eastAsia="zh-CN"/>
        </w:rPr>
        <w:t>段所列各项目标</w:t>
      </w:r>
      <w:r>
        <w:rPr>
          <w:rFonts w:eastAsia="SimSun" w:hint="eastAsia"/>
          <w:color w:val="000000" w:themeColor="text1"/>
          <w:sz w:val="24"/>
          <w:szCs w:val="24"/>
          <w:lang w:eastAsia="zh-CN"/>
        </w:rPr>
        <w:t>；</w:t>
      </w:r>
    </w:p>
    <w:p w:rsidR="000A6F9D" w:rsidRDefault="000A6F9D" w:rsidP="000A1A91">
      <w:pPr>
        <w:pStyle w:val="StylePara1Kernat11pt"/>
        <w:numPr>
          <w:ilvl w:val="0"/>
          <w:numId w:val="26"/>
        </w:numPr>
        <w:suppressLineNumbers/>
        <w:tabs>
          <w:tab w:val="clear" w:pos="360"/>
          <w:tab w:val="left" w:pos="1440"/>
        </w:tabs>
        <w:suppressAutoHyphens/>
        <w:adjustRightInd w:val="0"/>
        <w:snapToGrid w:val="0"/>
        <w:ind w:left="0" w:firstLine="720"/>
        <w:rPr>
          <w:rFonts w:eastAsia="SimSun"/>
          <w:color w:val="000000" w:themeColor="text1"/>
          <w:sz w:val="24"/>
          <w:szCs w:val="24"/>
          <w:lang w:eastAsia="zh-CN"/>
        </w:rPr>
      </w:pPr>
      <w:r>
        <w:rPr>
          <w:rFonts w:eastAsia="SimSun" w:hint="eastAsia"/>
          <w:color w:val="000000" w:themeColor="text1"/>
          <w:sz w:val="24"/>
          <w:szCs w:val="24"/>
          <w:lang w:eastAsia="zh-CN"/>
        </w:rPr>
        <w:t>进行额外工作以审视土著人民和地方社区在生物多样性主流化方面的作用；</w:t>
      </w:r>
    </w:p>
    <w:p w:rsidR="000A6F9D" w:rsidRDefault="000A6F9D" w:rsidP="000A1A91">
      <w:pPr>
        <w:pStyle w:val="StylePara1Kernat11pt"/>
        <w:numPr>
          <w:ilvl w:val="0"/>
          <w:numId w:val="26"/>
        </w:numPr>
        <w:suppressLineNumbers/>
        <w:tabs>
          <w:tab w:val="clear" w:pos="360"/>
          <w:tab w:val="left" w:pos="1440"/>
        </w:tabs>
        <w:suppressAutoHyphens/>
        <w:adjustRightInd w:val="0"/>
        <w:snapToGrid w:val="0"/>
        <w:ind w:left="0" w:firstLine="720"/>
        <w:rPr>
          <w:rFonts w:eastAsia="SimSun"/>
          <w:color w:val="000000" w:themeColor="text1"/>
          <w:sz w:val="24"/>
          <w:szCs w:val="24"/>
          <w:lang w:eastAsia="zh-CN"/>
        </w:rPr>
      </w:pPr>
      <w:r>
        <w:rPr>
          <w:rFonts w:eastAsia="SimSun" w:hint="eastAsia"/>
          <w:color w:val="000000" w:themeColor="text1"/>
          <w:sz w:val="24"/>
          <w:szCs w:val="24"/>
          <w:lang w:eastAsia="zh-CN"/>
        </w:rPr>
        <w:t>向执行问题附属机构第三次会议报告上述行动的进展情况，随后</w:t>
      </w:r>
      <w:r>
        <w:rPr>
          <w:rFonts w:eastAsia="SimSun"/>
          <w:color w:val="000000" w:themeColor="text1"/>
          <w:sz w:val="24"/>
          <w:szCs w:val="24"/>
          <w:lang w:eastAsia="zh-CN"/>
        </w:rPr>
        <w:t>由</w:t>
      </w:r>
      <w:r>
        <w:rPr>
          <w:rFonts w:eastAsia="SimSun" w:hint="eastAsia"/>
          <w:color w:val="000000" w:themeColor="text1"/>
          <w:sz w:val="24"/>
          <w:szCs w:val="24"/>
          <w:lang w:eastAsia="zh-CN"/>
        </w:rPr>
        <w:t>缔约方大会第十五届会议审议；</w:t>
      </w:r>
    </w:p>
    <w:p w:rsidR="000A6F9D" w:rsidRDefault="000A6F9D" w:rsidP="000A1A91">
      <w:pPr>
        <w:pStyle w:val="StylePara1Kernat11pt"/>
        <w:numPr>
          <w:ilvl w:val="0"/>
          <w:numId w:val="26"/>
        </w:numPr>
        <w:suppressLineNumbers/>
        <w:tabs>
          <w:tab w:val="clear" w:pos="360"/>
          <w:tab w:val="left" w:pos="1440"/>
        </w:tabs>
        <w:suppressAutoHyphens/>
        <w:adjustRightInd w:val="0"/>
        <w:snapToGrid w:val="0"/>
        <w:ind w:left="0" w:firstLine="720"/>
        <w:rPr>
          <w:rFonts w:eastAsia="SimSun"/>
          <w:color w:val="000000" w:themeColor="text1"/>
          <w:sz w:val="24"/>
          <w:szCs w:val="24"/>
          <w:lang w:eastAsia="zh-CN"/>
        </w:rPr>
      </w:pPr>
      <w:r>
        <w:rPr>
          <w:rFonts w:eastAsia="SimSun" w:hint="eastAsia"/>
          <w:color w:val="000000" w:themeColor="text1"/>
          <w:sz w:val="24"/>
          <w:szCs w:val="24"/>
          <w:lang w:eastAsia="zh-CN"/>
        </w:rPr>
        <w:t>在进行其他能力建设活动的同时，与有关组织和利益攸关方合作，继续组织论坛，包括区域论坛，讨论和交流主要部门生物多样性主流化的经验；</w:t>
      </w:r>
    </w:p>
    <w:p w:rsidR="000A6F9D" w:rsidRDefault="000A6F9D" w:rsidP="000A1A91">
      <w:pPr>
        <w:pStyle w:val="StylePara1Kernat11pt"/>
        <w:numPr>
          <w:ilvl w:val="0"/>
          <w:numId w:val="26"/>
        </w:numPr>
        <w:suppressLineNumbers/>
        <w:tabs>
          <w:tab w:val="clear" w:pos="360"/>
          <w:tab w:val="left" w:pos="1440"/>
        </w:tabs>
        <w:suppressAutoHyphens/>
        <w:adjustRightInd w:val="0"/>
        <w:snapToGrid w:val="0"/>
        <w:ind w:left="0" w:firstLine="720"/>
        <w:rPr>
          <w:rFonts w:eastAsia="SimSun"/>
          <w:color w:val="000000" w:themeColor="text1"/>
          <w:sz w:val="24"/>
          <w:szCs w:val="24"/>
          <w:lang w:eastAsia="zh-CN"/>
        </w:rPr>
      </w:pPr>
      <w:r>
        <w:rPr>
          <w:rFonts w:eastAsia="SimSun" w:hint="eastAsia"/>
          <w:color w:val="000000" w:themeColor="text1"/>
          <w:sz w:val="24"/>
          <w:szCs w:val="24"/>
          <w:lang w:eastAsia="zh-CN"/>
        </w:rPr>
        <w:t>就生物多样性的主流化与相关多边协定和国际组织的秘书处发展合作和伙伴关系；</w:t>
      </w:r>
    </w:p>
    <w:p w:rsidR="000A6F9D" w:rsidRDefault="000A6F9D" w:rsidP="001A2AC9">
      <w:pPr>
        <w:pStyle w:val="StylePara1Kernat11pt"/>
        <w:numPr>
          <w:ilvl w:val="0"/>
          <w:numId w:val="26"/>
        </w:numPr>
        <w:suppressLineNumbers/>
        <w:tabs>
          <w:tab w:val="clear" w:pos="360"/>
          <w:tab w:val="left" w:pos="1440"/>
        </w:tabs>
        <w:suppressAutoHyphens/>
        <w:adjustRightInd w:val="0"/>
        <w:snapToGrid w:val="0"/>
        <w:ind w:left="0" w:firstLine="720"/>
        <w:rPr>
          <w:rFonts w:eastAsia="SimSun"/>
          <w:color w:val="000000" w:themeColor="text1"/>
          <w:sz w:val="24"/>
          <w:szCs w:val="24"/>
          <w:lang w:eastAsia="zh-CN"/>
        </w:rPr>
      </w:pPr>
      <w:r>
        <w:rPr>
          <w:rFonts w:eastAsia="SimSun" w:hint="eastAsia"/>
          <w:color w:val="000000" w:themeColor="text1"/>
          <w:sz w:val="24"/>
          <w:szCs w:val="24"/>
          <w:lang w:eastAsia="zh-CN"/>
        </w:rPr>
        <w:t>酌情继续与生物多样性指标伙伴关系和其他伙伴关系及利益攸关方合作，制定衡量主流化成功的指标，这将为将生物多样性主流化充分纳入</w:t>
      </w:r>
      <w:r>
        <w:rPr>
          <w:rFonts w:eastAsia="SimSun"/>
          <w:color w:val="000000" w:themeColor="text1"/>
          <w:sz w:val="24"/>
          <w:szCs w:val="24"/>
          <w:lang w:eastAsia="zh-CN"/>
        </w:rPr>
        <w:t>2020</w:t>
      </w:r>
      <w:r>
        <w:rPr>
          <w:rFonts w:eastAsia="SimSun" w:hint="eastAsia"/>
          <w:color w:val="000000" w:themeColor="text1"/>
          <w:sz w:val="24"/>
          <w:szCs w:val="24"/>
          <w:lang w:eastAsia="zh-CN"/>
        </w:rPr>
        <w:t>年后全球生物多样性框架奠定基础。</w:t>
      </w:r>
    </w:p>
    <w:p w:rsidR="000A6F9D" w:rsidRDefault="000A6F9D" w:rsidP="00FF4964">
      <w:pPr>
        <w:ind w:firstLine="0"/>
        <w:jc w:val="center"/>
        <w:rPr>
          <w:rFonts w:ascii="KaiTi" w:eastAsia="KaiTi" w:hAnsi="KaiTi"/>
          <w:kern w:val="22"/>
          <w:lang w:eastAsia="zh-CN"/>
        </w:rPr>
      </w:pPr>
      <w:r>
        <w:rPr>
          <w:rFonts w:ascii="KaiTi" w:eastAsia="KaiTi" w:hAnsi="KaiTi" w:hint="eastAsia"/>
          <w:kern w:val="22"/>
          <w:lang w:val="zh-CN" w:eastAsia="zh-CN"/>
        </w:rPr>
        <w:t>附件一</w:t>
      </w:r>
    </w:p>
    <w:p w:rsidR="000A6F9D" w:rsidRPr="000A6F9D" w:rsidRDefault="000A6F9D" w:rsidP="00FF4964">
      <w:pPr>
        <w:pStyle w:val="HEADINGNOTFORTOC"/>
        <w:keepNext w:val="0"/>
        <w:suppressLineNumbers/>
        <w:suppressAutoHyphens/>
        <w:adjustRightInd w:val="0"/>
        <w:snapToGrid w:val="0"/>
        <w:spacing w:before="120"/>
        <w:ind w:firstLine="0"/>
        <w:rPr>
          <w:rFonts w:asciiTheme="minorEastAsia" w:eastAsiaTheme="minorEastAsia" w:hAnsiTheme="minorEastAsia"/>
          <w:spacing w:val="-10"/>
          <w:kern w:val="22"/>
          <w:sz w:val="24"/>
          <w:lang w:eastAsia="zh-CN"/>
        </w:rPr>
      </w:pPr>
      <w:bookmarkStart w:id="12" w:name="_Toc6243646"/>
      <w:r w:rsidRPr="000A6F9D">
        <w:rPr>
          <w:rFonts w:asciiTheme="minorEastAsia" w:eastAsiaTheme="minorEastAsia" w:hAnsiTheme="minorEastAsia" w:hint="eastAsia"/>
          <w:spacing w:val="-10"/>
          <w:kern w:val="22"/>
          <w:sz w:val="24"/>
          <w:lang w:val="zh-CN" w:eastAsia="zh-CN"/>
        </w:rPr>
        <w:t>生物多样性主流化长期战略办法提案</w:t>
      </w:r>
      <w:bookmarkEnd w:id="12"/>
    </w:p>
    <w:p w:rsidR="000A6F9D" w:rsidRPr="0096709B" w:rsidRDefault="000A6F9D" w:rsidP="00FF4964">
      <w:pPr>
        <w:pStyle w:val="Heading1"/>
        <w:suppressLineNumbers/>
        <w:tabs>
          <w:tab w:val="left" w:pos="360"/>
        </w:tabs>
        <w:suppressAutoHyphens/>
        <w:adjustRightInd w:val="0"/>
        <w:snapToGrid w:val="0"/>
        <w:spacing w:before="120" w:after="120"/>
        <w:ind w:firstLine="0"/>
        <w:rPr>
          <w:rFonts w:asciiTheme="minorEastAsia" w:eastAsiaTheme="minorEastAsia" w:hAnsiTheme="minorEastAsia"/>
          <w:sz w:val="24"/>
        </w:rPr>
      </w:pPr>
      <w:bookmarkStart w:id="13" w:name="_Toc6243647"/>
      <w:r w:rsidRPr="0096709B">
        <w:rPr>
          <w:rFonts w:asciiTheme="minorEastAsia" w:eastAsiaTheme="minorEastAsia" w:hAnsiTheme="minorEastAsia" w:hint="eastAsia"/>
          <w:kern w:val="22"/>
          <w:sz w:val="24"/>
          <w:lang w:val="zh-CN"/>
        </w:rPr>
        <w:lastRenderedPageBreak/>
        <w:t>一.   导言</w:t>
      </w:r>
      <w:bookmarkEnd w:id="13"/>
    </w:p>
    <w:p w:rsidR="000A6F9D" w:rsidRPr="00D17508" w:rsidRDefault="000A6F9D" w:rsidP="00D17508">
      <w:pPr>
        <w:pStyle w:val="Para10"/>
        <w:numPr>
          <w:ilvl w:val="0"/>
          <w:numId w:val="27"/>
        </w:numPr>
        <w:ind w:left="0" w:firstLine="0"/>
        <w:jc w:val="both"/>
        <w:rPr>
          <w:rFonts w:ascii="Times New Roman" w:eastAsiaTheme="minorEastAsia" w:hAnsi="Times New Roman"/>
          <w:bCs/>
        </w:rPr>
      </w:pPr>
      <w:r w:rsidRPr="00D17508">
        <w:rPr>
          <w:rFonts w:ascii="Times New Roman" w:eastAsiaTheme="minorEastAsia" w:hAnsi="Times New Roman"/>
        </w:rPr>
        <w:t>生物多样性主流化是实现《公约》各项目标的主要办法之一。虽然采取了很多行动和决定，将生物多样性纳入各关键部门、特别是缔约方大会第十三届和第十四届会议上审议的各部门的主流，以及贯穿各领域政策的主流，但</w:t>
      </w:r>
      <w:r w:rsidRPr="00D17508">
        <w:rPr>
          <w:rFonts w:ascii="Times New Roman" w:eastAsiaTheme="minorEastAsia" w:hAnsi="Times New Roman"/>
        </w:rPr>
        <w:t>2020</w:t>
      </w:r>
      <w:r w:rsidRPr="00D17508">
        <w:rPr>
          <w:rFonts w:ascii="Times New Roman" w:eastAsiaTheme="minorEastAsia" w:hAnsi="Times New Roman"/>
        </w:rPr>
        <w:t>年后全球生物多样性框架内需要一项长期的战略办法，以便采取行动实现更有效的部门内和跨部门主流化和促进部门间的协调。</w:t>
      </w:r>
    </w:p>
    <w:p w:rsidR="000A6F9D" w:rsidRPr="00D17508" w:rsidRDefault="000A6F9D" w:rsidP="00D17508">
      <w:pPr>
        <w:pStyle w:val="Para10"/>
        <w:numPr>
          <w:ilvl w:val="0"/>
          <w:numId w:val="27"/>
        </w:numPr>
        <w:ind w:left="0" w:firstLine="0"/>
        <w:jc w:val="both"/>
        <w:rPr>
          <w:rFonts w:ascii="Times New Roman" w:eastAsiaTheme="minorEastAsia" w:hAnsi="Times New Roman"/>
          <w:bCs/>
        </w:rPr>
      </w:pPr>
      <w:r w:rsidRPr="00D17508">
        <w:rPr>
          <w:rFonts w:ascii="Times New Roman" w:eastAsiaTheme="minorEastAsia" w:hAnsi="Times New Roman"/>
        </w:rPr>
        <w:t>这一办法的目标应该是按照缔约方的国家能力和国情，根据可能的影响和惠益的科学证据，确定优先行动事项，并确定需要参与实施此类行动的关键行动者和适当的机制，首先注重执行缔约方大会以往与主流化有关的决定。该办法还应有助于评估和监测差距和进展情况。长期办法应由缔约方大会不断予以审查，并且高度灵活，能够应对相关的变化。</w:t>
      </w:r>
    </w:p>
    <w:p w:rsidR="000A6F9D" w:rsidRPr="00D17508" w:rsidRDefault="000A6F9D" w:rsidP="00D17508">
      <w:pPr>
        <w:pStyle w:val="Para10"/>
        <w:numPr>
          <w:ilvl w:val="0"/>
          <w:numId w:val="27"/>
        </w:numPr>
        <w:ind w:left="0" w:firstLine="0"/>
        <w:jc w:val="both"/>
        <w:rPr>
          <w:rFonts w:ascii="Times New Roman" w:eastAsiaTheme="minorEastAsia" w:hAnsi="Times New Roman"/>
          <w:bCs/>
        </w:rPr>
      </w:pPr>
      <w:r w:rsidRPr="00D17508">
        <w:rPr>
          <w:rFonts w:ascii="Times New Roman" w:eastAsiaTheme="minorEastAsia" w:hAnsi="Times New Roman"/>
        </w:rPr>
        <w:t>为了制定这一战略办法，执行秘书将参照非正式咨询小组和主席团的咨询意见，为进行技术和政策讨论及利益攸关方和伙伴的参与提供支持。</w:t>
      </w:r>
    </w:p>
    <w:p w:rsidR="000A6F9D" w:rsidRPr="00D17508" w:rsidRDefault="000A6F9D" w:rsidP="00974EAF">
      <w:pPr>
        <w:pStyle w:val="Heading1"/>
        <w:suppressLineNumbers/>
        <w:tabs>
          <w:tab w:val="left" w:pos="360"/>
        </w:tabs>
        <w:suppressAutoHyphens/>
        <w:adjustRightInd w:val="0"/>
        <w:snapToGrid w:val="0"/>
        <w:spacing w:before="120" w:after="120"/>
        <w:ind w:firstLine="0"/>
        <w:rPr>
          <w:rFonts w:eastAsiaTheme="minorEastAsia" w:cs="Times New Roman"/>
          <w:kern w:val="22"/>
          <w:sz w:val="24"/>
          <w:lang w:eastAsia="zh-CN"/>
        </w:rPr>
      </w:pPr>
      <w:bookmarkStart w:id="14" w:name="_Toc6243648"/>
      <w:r w:rsidRPr="00D17508">
        <w:rPr>
          <w:rFonts w:eastAsiaTheme="minorEastAsia" w:cs="Times New Roman"/>
          <w:kern w:val="22"/>
          <w:sz w:val="24"/>
          <w:lang w:val="zh-CN" w:eastAsia="zh-CN"/>
        </w:rPr>
        <w:t>二</w:t>
      </w:r>
      <w:r w:rsidRPr="00D17508">
        <w:rPr>
          <w:rFonts w:eastAsiaTheme="minorEastAsia" w:cs="Times New Roman"/>
          <w:kern w:val="22"/>
          <w:sz w:val="24"/>
          <w:lang w:val="zh-CN" w:eastAsia="zh-CN"/>
        </w:rPr>
        <w:t xml:space="preserve">.    </w:t>
      </w:r>
      <w:r w:rsidRPr="00974EAF">
        <w:rPr>
          <w:rFonts w:asciiTheme="minorEastAsia" w:eastAsiaTheme="minorEastAsia" w:hAnsiTheme="minorEastAsia"/>
          <w:kern w:val="22"/>
          <w:sz w:val="24"/>
          <w:lang w:val="zh-CN" w:eastAsia="zh-CN"/>
        </w:rPr>
        <w:t>需要制定长期生物多样性主流化战略办法的领域</w:t>
      </w:r>
      <w:bookmarkEnd w:id="14"/>
    </w:p>
    <w:p w:rsidR="000A6F9D" w:rsidRPr="00D17508" w:rsidRDefault="000A6F9D" w:rsidP="00D17508">
      <w:pPr>
        <w:pStyle w:val="Para10"/>
        <w:numPr>
          <w:ilvl w:val="0"/>
          <w:numId w:val="27"/>
        </w:numPr>
        <w:ind w:left="0" w:firstLine="0"/>
        <w:jc w:val="both"/>
        <w:rPr>
          <w:rFonts w:ascii="Times New Roman" w:eastAsiaTheme="minorEastAsia" w:hAnsi="Times New Roman"/>
        </w:rPr>
      </w:pPr>
      <w:r w:rsidRPr="00D17508">
        <w:rPr>
          <w:rFonts w:ascii="Times New Roman" w:eastAsiaTheme="minorEastAsia" w:hAnsi="Times New Roman"/>
        </w:rPr>
        <w:t>制定生物多样化主流化的长期办法必须采取一系列行动，包括各国政府、企业、土著人民和地方社区以及其他伙伴和利益相关方采取的行动。国际、国家、地方和次国家层面的活动也是必要的，还必须采取与具体部门或分部门密切相关、反映国家状况和国情的行动。</w:t>
      </w:r>
    </w:p>
    <w:p w:rsidR="000A6F9D" w:rsidRPr="00D17508" w:rsidRDefault="000A6F9D" w:rsidP="00D17508">
      <w:pPr>
        <w:pStyle w:val="Para10"/>
        <w:numPr>
          <w:ilvl w:val="0"/>
          <w:numId w:val="27"/>
        </w:numPr>
        <w:ind w:left="0" w:firstLine="0"/>
        <w:jc w:val="both"/>
        <w:rPr>
          <w:rFonts w:ascii="Times New Roman" w:eastAsiaTheme="minorEastAsia" w:hAnsi="Times New Roman"/>
        </w:rPr>
      </w:pPr>
      <w:r w:rsidRPr="00D17508">
        <w:rPr>
          <w:rFonts w:ascii="Times New Roman" w:eastAsiaTheme="minorEastAsia" w:hAnsi="Times New Roman"/>
        </w:rPr>
        <w:t>执行秘书应：</w:t>
      </w:r>
    </w:p>
    <w:p w:rsidR="000A6F9D" w:rsidRPr="000A6F9D" w:rsidRDefault="000A6F9D" w:rsidP="000A1A91">
      <w:pPr>
        <w:pStyle w:val="ListParagraph"/>
        <w:numPr>
          <w:ilvl w:val="0"/>
          <w:numId w:val="28"/>
        </w:numPr>
        <w:suppressLineNumbers/>
        <w:suppressAutoHyphens/>
        <w:adjustRightInd w:val="0"/>
        <w:ind w:left="0" w:firstLine="720"/>
        <w:rPr>
          <w:rFonts w:eastAsiaTheme="minorEastAsia"/>
          <w:lang w:val="zh-CN" w:eastAsia="zh-CN"/>
        </w:rPr>
      </w:pPr>
      <w:r w:rsidRPr="000A6F9D">
        <w:rPr>
          <w:rFonts w:eastAsiaTheme="minorEastAsia"/>
          <w:lang w:val="zh-CN" w:eastAsia="zh-CN"/>
        </w:rPr>
        <w:t>查明这些部门规划和决策所用，特别是《生物多样性公约》条款和决定所载的现行生物多样性主流化的做法、准则、方法、经验和工具以及其他战略行动；</w:t>
      </w:r>
    </w:p>
    <w:p w:rsidR="000A6F9D" w:rsidRPr="000A6F9D" w:rsidRDefault="000A6F9D" w:rsidP="000A1A91">
      <w:pPr>
        <w:pStyle w:val="ListParagraph"/>
        <w:numPr>
          <w:ilvl w:val="0"/>
          <w:numId w:val="28"/>
        </w:numPr>
        <w:suppressLineNumbers/>
        <w:suppressAutoHyphens/>
        <w:adjustRightInd w:val="0"/>
        <w:ind w:left="0" w:firstLine="720"/>
        <w:rPr>
          <w:rFonts w:eastAsiaTheme="minorEastAsia"/>
          <w:lang w:val="zh-CN" w:eastAsia="zh-CN"/>
        </w:rPr>
      </w:pPr>
      <w:r w:rsidRPr="000A6F9D">
        <w:rPr>
          <w:rFonts w:eastAsiaTheme="minorEastAsia"/>
          <w:lang w:val="zh-CN" w:eastAsia="zh-CN"/>
        </w:rPr>
        <w:t>考虑《生物多样性公约》的现有方案、相关伙伴组织和倡议的现有方案如何能够在能力建设等方面更好地为这种长期战略办法作出贡献，并查明对生物多样性主流化重要的工作领域存在的差距；</w:t>
      </w:r>
    </w:p>
    <w:p w:rsidR="000A6F9D" w:rsidRPr="000A6F9D" w:rsidRDefault="000A6F9D" w:rsidP="000A1A91">
      <w:pPr>
        <w:pStyle w:val="ListParagraph"/>
        <w:numPr>
          <w:ilvl w:val="0"/>
          <w:numId w:val="28"/>
        </w:numPr>
        <w:suppressLineNumbers/>
        <w:suppressAutoHyphens/>
        <w:adjustRightInd w:val="0"/>
        <w:ind w:left="0" w:firstLine="720"/>
        <w:rPr>
          <w:rFonts w:eastAsiaTheme="minorEastAsia"/>
          <w:lang w:val="zh-CN" w:eastAsia="zh-CN"/>
        </w:rPr>
      </w:pPr>
      <w:r w:rsidRPr="000A6F9D">
        <w:rPr>
          <w:rFonts w:eastAsiaTheme="minorEastAsia"/>
          <w:lang w:val="zh-CN" w:eastAsia="zh-CN"/>
        </w:rPr>
        <w:t>继续参与重要国际进程，包括《</w:t>
      </w:r>
      <w:r w:rsidRPr="000A6F9D">
        <w:rPr>
          <w:rFonts w:eastAsiaTheme="minorEastAsia"/>
          <w:lang w:val="zh-CN" w:eastAsia="zh-CN"/>
        </w:rPr>
        <w:t>2030</w:t>
      </w:r>
      <w:r w:rsidRPr="000A6F9D">
        <w:rPr>
          <w:rFonts w:eastAsiaTheme="minorEastAsia"/>
          <w:lang w:val="zh-CN" w:eastAsia="zh-CN"/>
        </w:rPr>
        <w:t>年可持续发展议程》；</w:t>
      </w:r>
    </w:p>
    <w:p w:rsidR="000A6F9D" w:rsidRPr="00974EAF" w:rsidRDefault="000A6F9D" w:rsidP="00974EAF">
      <w:pPr>
        <w:pStyle w:val="Para10"/>
        <w:numPr>
          <w:ilvl w:val="0"/>
          <w:numId w:val="27"/>
        </w:numPr>
        <w:ind w:left="0" w:firstLine="0"/>
        <w:jc w:val="both"/>
        <w:rPr>
          <w:rFonts w:ascii="Times New Roman" w:eastAsiaTheme="minorEastAsia" w:hAnsi="Times New Roman"/>
        </w:rPr>
      </w:pPr>
      <w:r w:rsidRPr="00974EAF">
        <w:rPr>
          <w:rFonts w:ascii="Times New Roman" w:eastAsiaTheme="minorEastAsia" w:hAnsi="Times New Roman"/>
        </w:rPr>
        <w:t>执行秘书还应在考虑到上文第</w:t>
      </w:r>
      <w:r w:rsidRPr="00974EAF">
        <w:rPr>
          <w:rFonts w:ascii="Times New Roman" w:eastAsiaTheme="minorEastAsia" w:hAnsi="Times New Roman"/>
        </w:rPr>
        <w:t>5</w:t>
      </w:r>
      <w:r w:rsidRPr="00974EAF">
        <w:rPr>
          <w:rFonts w:ascii="Times New Roman" w:eastAsiaTheme="minorEastAsia" w:hAnsi="Times New Roman"/>
        </w:rPr>
        <w:t>段以及生物多样性主流化非正式咨询小组和主席团咨询意见的基础上，设计这一生物多样性主流化长期战略办法，作为</w:t>
      </w:r>
      <w:r w:rsidRPr="00974EAF">
        <w:rPr>
          <w:rFonts w:ascii="Times New Roman" w:eastAsiaTheme="minorEastAsia" w:hAnsi="Times New Roman"/>
        </w:rPr>
        <w:t>2020</w:t>
      </w:r>
      <w:r w:rsidRPr="00974EAF">
        <w:rPr>
          <w:rFonts w:ascii="Times New Roman" w:eastAsiaTheme="minorEastAsia" w:hAnsi="Times New Roman"/>
        </w:rPr>
        <w:t>年后生物多样性框架的一个关键要素，其中包括以下领域和行动：</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lang w:val="zh-CN" w:eastAsia="zh-CN"/>
        </w:rPr>
      </w:pPr>
      <w:r w:rsidRPr="000A6F9D">
        <w:rPr>
          <w:rFonts w:eastAsiaTheme="minorEastAsia"/>
          <w:lang w:val="zh-CN" w:eastAsia="zh-CN"/>
        </w:rPr>
        <w:t>审查已在健康教育、国家立法和政策等战略工具中采用的不同主流化做法的有效性以及扩大其使用的必要步骤；</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lang w:val="zh-CN" w:eastAsia="zh-CN"/>
        </w:rPr>
      </w:pPr>
      <w:r w:rsidRPr="000A6F9D">
        <w:rPr>
          <w:rFonts w:eastAsiaTheme="minorEastAsia"/>
          <w:lang w:val="zh-CN" w:eastAsia="zh-CN"/>
        </w:rPr>
        <w:t>研究和分析缔约方使用主流化办法的程度，查明主要差距、障碍和挑战；</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lang w:val="zh-CN" w:eastAsia="zh-CN"/>
        </w:rPr>
      </w:pPr>
      <w:r w:rsidRPr="000A6F9D">
        <w:rPr>
          <w:rFonts w:eastAsiaTheme="minorEastAsia"/>
          <w:lang w:val="zh-CN" w:eastAsia="zh-CN"/>
        </w:rPr>
        <w:lastRenderedPageBreak/>
        <w:t>根据第</w:t>
      </w:r>
      <w:r w:rsidRPr="000A6F9D">
        <w:rPr>
          <w:rFonts w:eastAsiaTheme="minorEastAsia"/>
          <w:lang w:val="zh-CN" w:eastAsia="zh-CN"/>
        </w:rPr>
        <w:t>X/3</w:t>
      </w:r>
      <w:r w:rsidRPr="000A6F9D">
        <w:rPr>
          <w:rFonts w:eastAsiaTheme="minorEastAsia"/>
          <w:lang w:val="zh-CN" w:eastAsia="zh-CN"/>
        </w:rPr>
        <w:t>号决定第</w:t>
      </w:r>
      <w:r w:rsidRPr="000A6F9D">
        <w:rPr>
          <w:rFonts w:eastAsiaTheme="minorEastAsia"/>
          <w:lang w:val="zh-CN" w:eastAsia="zh-CN"/>
        </w:rPr>
        <w:t>9(b)(</w:t>
      </w:r>
      <w:r w:rsidRPr="000A6F9D">
        <w:rPr>
          <w:rFonts w:eastAsiaTheme="minorEastAsia"/>
          <w:lang w:val="zh-CN" w:eastAsia="zh-CN"/>
        </w:rPr>
        <w:t>二</w:t>
      </w:r>
      <w:r w:rsidRPr="000A6F9D">
        <w:rPr>
          <w:rFonts w:eastAsiaTheme="minorEastAsia"/>
          <w:lang w:val="zh-CN" w:eastAsia="zh-CN"/>
        </w:rPr>
        <w:t>)</w:t>
      </w:r>
      <w:r w:rsidRPr="000A6F9D">
        <w:rPr>
          <w:rFonts w:eastAsiaTheme="minorEastAsia"/>
          <w:lang w:val="zh-CN" w:eastAsia="zh-CN"/>
        </w:rPr>
        <w:t>段，促进有关生物多样性和生态系统功能和服务的重要性和价值内化的努力；</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lang w:val="zh-CN" w:eastAsia="zh-CN"/>
        </w:rPr>
      </w:pPr>
      <w:r w:rsidRPr="000A6F9D">
        <w:rPr>
          <w:rFonts w:eastAsiaTheme="minorEastAsia"/>
          <w:lang w:val="zh-CN" w:eastAsia="zh-CN"/>
        </w:rPr>
        <w:t>促进制定和应用主流化办法的科学指标的努力；</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lang w:val="zh-CN" w:eastAsia="zh-CN"/>
        </w:rPr>
      </w:pPr>
      <w:r w:rsidRPr="000A6F9D">
        <w:rPr>
          <w:rFonts w:eastAsiaTheme="minorEastAsia"/>
          <w:lang w:val="zh-CN" w:eastAsia="zh-CN"/>
        </w:rPr>
        <w:t>查明区域、次区域、国家、国家以下级和地方层级生物多样性主流化的能力建设和培训需求，以及与具体经济部门或次级部门有关的此类需求；</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lang w:val="zh-CN" w:eastAsia="zh-CN"/>
        </w:rPr>
      </w:pPr>
      <w:r w:rsidRPr="000A6F9D">
        <w:rPr>
          <w:rFonts w:eastAsiaTheme="minorEastAsia"/>
          <w:lang w:val="zh-CN" w:eastAsia="zh-CN"/>
        </w:rPr>
        <w:t>查明促进主流化的科技合作、财务支持和技术转让的机会；</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lang w:val="zh-CN" w:eastAsia="zh-CN"/>
        </w:rPr>
      </w:pPr>
      <w:r w:rsidRPr="000A6F9D">
        <w:rPr>
          <w:rFonts w:eastAsiaTheme="minorEastAsia"/>
          <w:lang w:val="zh-CN" w:eastAsia="zh-CN"/>
        </w:rPr>
        <w:t>查明发展新伙伴关系和加强现有伙伴关系，包括与城市和国家以下各级政府的此类关系的机会，以实现生物多样性主流化的进一步进展；</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lang w:val="zh-CN" w:eastAsia="zh-CN"/>
        </w:rPr>
      </w:pPr>
      <w:r w:rsidRPr="000A6F9D">
        <w:rPr>
          <w:rFonts w:eastAsiaTheme="minorEastAsia"/>
          <w:lang w:val="zh-CN" w:eastAsia="zh-CN"/>
        </w:rPr>
        <w:t>查明国家、国家以下级和地方层面生物多样性主流化行动执行情况的可能监测机制，例如地方一级的《城市生物多样性新加坡指数》；</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lang w:val="zh-CN" w:eastAsia="zh-CN"/>
        </w:rPr>
      </w:pPr>
      <w:r w:rsidRPr="000A6F9D">
        <w:rPr>
          <w:rFonts w:eastAsiaTheme="minorEastAsia"/>
          <w:lang w:val="zh-CN" w:eastAsia="zh-CN"/>
        </w:rPr>
        <w:t>设计促进企业和金融部门参与生物多样性主流化的战略；</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kern w:val="22"/>
          <w:lang w:eastAsia="zh-CN"/>
        </w:rPr>
      </w:pPr>
      <w:r w:rsidRPr="000A6F9D">
        <w:rPr>
          <w:rFonts w:eastAsiaTheme="minorEastAsia"/>
          <w:lang w:val="zh-CN" w:eastAsia="zh-CN"/>
        </w:rPr>
        <w:t>查明与生物多样性主流化有关的高成本效益做法、准则、方法、经验和工具以及其他战略行动</w:t>
      </w:r>
      <w:r w:rsidRPr="000A6F9D">
        <w:rPr>
          <w:rFonts w:eastAsiaTheme="minorEastAsia"/>
          <w:lang w:eastAsia="zh-CN"/>
        </w:rPr>
        <w:t>，</w:t>
      </w:r>
      <w:r w:rsidRPr="000A6F9D">
        <w:rPr>
          <w:rFonts w:eastAsiaTheme="minorEastAsia"/>
          <w:lang w:val="zh-CN" w:eastAsia="zh-CN"/>
        </w:rPr>
        <w:t>以加强《公约》的执行</w:t>
      </w:r>
      <w:r w:rsidRPr="000A6F9D">
        <w:rPr>
          <w:rFonts w:eastAsiaTheme="minorEastAsia"/>
          <w:lang w:eastAsia="zh-CN"/>
        </w:rPr>
        <w:t>；</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lang w:val="zh-CN" w:eastAsia="zh-CN"/>
        </w:rPr>
      </w:pPr>
      <w:r w:rsidRPr="000A6F9D">
        <w:rPr>
          <w:rFonts w:eastAsiaTheme="minorEastAsia"/>
          <w:lang w:val="zh-CN" w:eastAsia="zh-CN"/>
        </w:rPr>
        <w:t>查明国家、国家以下级和地方一级法规、进程、政策和方案中阻碍生物多样性主流化的障碍；</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lang w:val="zh-CN" w:eastAsia="zh-CN"/>
        </w:rPr>
      </w:pPr>
      <w:r w:rsidRPr="000A6F9D">
        <w:rPr>
          <w:rFonts w:eastAsiaTheme="minorEastAsia"/>
          <w:lang w:val="zh-CN" w:eastAsia="zh-CN"/>
        </w:rPr>
        <w:t>查明克服生物多样性主流化障碍的备选办法和解决办法；</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lang w:val="zh-CN" w:eastAsia="zh-CN"/>
        </w:rPr>
      </w:pPr>
      <w:r w:rsidRPr="000A6F9D">
        <w:rPr>
          <w:rFonts w:eastAsiaTheme="minorEastAsia"/>
          <w:lang w:val="zh-CN" w:eastAsia="zh-CN"/>
        </w:rPr>
        <w:t>查明落实这些行动的关键任务以及面临的挑战和差距；</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kern w:val="22"/>
          <w:lang w:eastAsia="zh-CN"/>
        </w:rPr>
      </w:pPr>
      <w:r w:rsidRPr="000A6F9D">
        <w:rPr>
          <w:rFonts w:eastAsiaTheme="minorEastAsia"/>
          <w:lang w:val="zh-CN" w:eastAsia="zh-CN"/>
        </w:rPr>
        <w:t>建议优先行动事项、时限和相关行为体；</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lang w:val="zh-CN" w:eastAsia="zh-CN"/>
        </w:rPr>
      </w:pPr>
      <w:r w:rsidRPr="000A6F9D">
        <w:rPr>
          <w:rFonts w:eastAsiaTheme="minorEastAsia"/>
          <w:lang w:val="zh-CN" w:eastAsia="zh-CN"/>
        </w:rPr>
        <w:t>查明可能需要作出额外努力以进一步推动《公约》下主流化工作的领域；</w:t>
      </w:r>
    </w:p>
    <w:p w:rsidR="000A6F9D" w:rsidRPr="000A6F9D" w:rsidRDefault="000A6F9D" w:rsidP="000A1A91">
      <w:pPr>
        <w:pStyle w:val="ListParagraph"/>
        <w:numPr>
          <w:ilvl w:val="0"/>
          <w:numId w:val="29"/>
        </w:numPr>
        <w:suppressLineNumbers/>
        <w:tabs>
          <w:tab w:val="left" w:pos="1440"/>
        </w:tabs>
        <w:suppressAutoHyphens/>
        <w:adjustRightInd w:val="0"/>
        <w:ind w:left="0" w:firstLine="720"/>
        <w:rPr>
          <w:rFonts w:eastAsiaTheme="minorEastAsia"/>
          <w:lang w:val="zh-CN" w:eastAsia="zh-CN"/>
        </w:rPr>
      </w:pPr>
      <w:r w:rsidRPr="000A6F9D">
        <w:rPr>
          <w:rFonts w:eastAsiaTheme="minorEastAsia"/>
          <w:lang w:val="zh-CN" w:eastAsia="zh-CN"/>
        </w:rPr>
        <w:t>提出任何其他相关建议，包括关于其他举措或事态发展、会议和其他机会的建议，以帮助推动这项工作。</w:t>
      </w:r>
    </w:p>
    <w:p w:rsidR="000A6F9D" w:rsidRPr="0063067B" w:rsidRDefault="000A6F9D" w:rsidP="001152C0">
      <w:pPr>
        <w:pStyle w:val="Para10"/>
      </w:pPr>
      <w:r w:rsidRPr="0063067B">
        <w:t>附件二</w:t>
      </w:r>
    </w:p>
    <w:p w:rsidR="000A6F9D" w:rsidRPr="0063067B" w:rsidRDefault="000A6F9D" w:rsidP="00FF4964">
      <w:pPr>
        <w:pStyle w:val="HEADINGNOTFORTOC"/>
        <w:suppressLineNumbers/>
        <w:suppressAutoHyphens/>
        <w:adjustRightInd w:val="0"/>
        <w:spacing w:before="120" w:line="240" w:lineRule="atLeast"/>
        <w:ind w:firstLine="0"/>
        <w:rPr>
          <w:rFonts w:eastAsiaTheme="minorEastAsia"/>
          <w:kern w:val="22"/>
          <w:sz w:val="24"/>
          <w:lang w:eastAsia="zh-CN"/>
        </w:rPr>
      </w:pPr>
      <w:bookmarkStart w:id="15" w:name="_Toc6243649"/>
      <w:r w:rsidRPr="0063067B">
        <w:rPr>
          <w:rFonts w:eastAsiaTheme="minorEastAsia"/>
          <w:kern w:val="22"/>
          <w:sz w:val="24"/>
          <w:lang w:val="zh-CN" w:eastAsia="zh-CN"/>
        </w:rPr>
        <w:t>生物多样性主流化问题非正式咨询小组任务范围</w:t>
      </w:r>
      <w:bookmarkEnd w:id="15"/>
    </w:p>
    <w:p w:rsidR="000A6F9D" w:rsidRPr="00974EAF" w:rsidRDefault="000A6F9D" w:rsidP="00974EAF">
      <w:pPr>
        <w:pStyle w:val="Para10"/>
        <w:numPr>
          <w:ilvl w:val="0"/>
          <w:numId w:val="30"/>
        </w:numPr>
        <w:ind w:left="0" w:firstLine="0"/>
        <w:jc w:val="both"/>
        <w:rPr>
          <w:rFonts w:ascii="Times New Roman" w:eastAsiaTheme="minorEastAsia" w:hAnsi="Times New Roman"/>
          <w:bCs/>
        </w:rPr>
      </w:pPr>
      <w:r w:rsidRPr="00974EAF">
        <w:rPr>
          <w:rFonts w:ascii="Times New Roman" w:eastAsiaTheme="minorEastAsia" w:hAnsi="Times New Roman"/>
        </w:rPr>
        <w:t>生物多样性主流化问题非正式咨询小组由缔约方提名的在生物多样性主流化相关领域学有专长的专家组成，同时适当顾及区域代表性、性别平衡和发展中国家特别是最不发达国家和小岛屿发展中国家以及经济转型国家的特殊情况，还应包括来自公私部门的专家，包括城市和国家以下级政府、民间社会、学术界的专家和商界领袖，以及来自土著人民和地方社区及相关组织包括相关国际组织、非政府组织和行业协会的专家。来自各组织的专</w:t>
      </w:r>
      <w:r w:rsidRPr="00974EAF">
        <w:rPr>
          <w:rFonts w:ascii="Times New Roman" w:eastAsiaTheme="minorEastAsia" w:hAnsi="Times New Roman"/>
        </w:rPr>
        <w:lastRenderedPageBreak/>
        <w:t>家数目不应超过缔约方提名的专家数目。</w:t>
      </w:r>
    </w:p>
    <w:p w:rsidR="000A6F9D" w:rsidRPr="00974EAF" w:rsidRDefault="000A6F9D" w:rsidP="00974EAF">
      <w:pPr>
        <w:pStyle w:val="Para10"/>
        <w:numPr>
          <w:ilvl w:val="0"/>
          <w:numId w:val="30"/>
        </w:numPr>
        <w:ind w:left="0" w:firstLine="0"/>
        <w:jc w:val="both"/>
        <w:rPr>
          <w:rFonts w:ascii="Times New Roman" w:eastAsiaTheme="minorEastAsia" w:hAnsi="Times New Roman"/>
        </w:rPr>
      </w:pPr>
      <w:r w:rsidRPr="00974EAF">
        <w:rPr>
          <w:rFonts w:ascii="Times New Roman" w:eastAsiaTheme="minorEastAsia" w:hAnsi="Times New Roman"/>
        </w:rPr>
        <w:t>考虑到缔约方大会关于部门和跨部门生物多样性主流化的决定以及其他相关国际进程和国际组织包括《</w:t>
      </w:r>
      <w:r w:rsidRPr="00974EAF">
        <w:rPr>
          <w:rFonts w:ascii="Times New Roman" w:eastAsiaTheme="minorEastAsia" w:hAnsi="Times New Roman"/>
        </w:rPr>
        <w:t>2030</w:t>
      </w:r>
      <w:r w:rsidRPr="00974EAF">
        <w:rPr>
          <w:rFonts w:ascii="Times New Roman" w:eastAsiaTheme="minorEastAsia" w:hAnsi="Times New Roman"/>
        </w:rPr>
        <w:t>年可持续发展议程》、联合国粮食及农业组织（粮农组织）、联合国开发计划署、</w:t>
      </w:r>
      <w:r w:rsidR="00780033" w:rsidRPr="00974EAF">
        <w:rPr>
          <w:rFonts w:ascii="Times New Roman" w:eastAsiaTheme="minorEastAsia" w:hAnsi="Times New Roman"/>
        </w:rPr>
        <w:t>联合国环境署</w:t>
      </w:r>
      <w:r w:rsidRPr="00974EAF">
        <w:rPr>
          <w:rFonts w:ascii="Times New Roman" w:eastAsiaTheme="minorEastAsia" w:hAnsi="Times New Roman"/>
        </w:rPr>
        <w:t>、联合国工业发展组织、世界贸易组织、世界银行、世界卫生组织、联合国贸易和发展会议和国际劳工组织的工作，并利用现有信息包括公约信息交换所机制的信息，非正式咨询小组应就制定生物多样性主流化的长期战略办法向执行秘书和主席团提供咨询意见。非正式咨询小组和主席团将就长期战略办法的所有方面提供咨询意见。</w:t>
      </w:r>
    </w:p>
    <w:p w:rsidR="000A6F9D" w:rsidRPr="00974EAF" w:rsidRDefault="000A6F9D" w:rsidP="00974EAF">
      <w:pPr>
        <w:pStyle w:val="Para10"/>
        <w:numPr>
          <w:ilvl w:val="0"/>
          <w:numId w:val="30"/>
        </w:numPr>
        <w:ind w:left="0" w:firstLine="0"/>
        <w:jc w:val="both"/>
        <w:rPr>
          <w:rFonts w:ascii="Times New Roman" w:eastAsiaTheme="minorEastAsia" w:hAnsi="Times New Roman"/>
          <w:bCs/>
        </w:rPr>
      </w:pPr>
      <w:r w:rsidRPr="00974EAF">
        <w:rPr>
          <w:rFonts w:ascii="Times New Roman" w:eastAsiaTheme="minorEastAsia" w:hAnsi="Times New Roman"/>
        </w:rPr>
        <w:t>执行秘书将支持非正式咨询小组的工作。</w:t>
      </w:r>
    </w:p>
    <w:p w:rsidR="000A6F9D" w:rsidRPr="00974EAF" w:rsidRDefault="000A6F9D" w:rsidP="00974EAF">
      <w:pPr>
        <w:pStyle w:val="HEADINGNOTFORTOC"/>
        <w:suppressLineNumbers/>
        <w:suppressAutoHyphens/>
        <w:adjustRightInd w:val="0"/>
        <w:spacing w:before="120" w:line="240" w:lineRule="atLeast"/>
        <w:ind w:firstLine="0"/>
        <w:rPr>
          <w:rFonts w:eastAsiaTheme="minorEastAsia"/>
          <w:b w:val="0"/>
          <w:kern w:val="22"/>
          <w:sz w:val="24"/>
          <w:lang w:val="zh-CN"/>
        </w:rPr>
      </w:pPr>
      <w:r w:rsidRPr="00974EAF">
        <w:rPr>
          <w:rFonts w:eastAsiaTheme="minorEastAsia"/>
          <w:kern w:val="22"/>
          <w:sz w:val="24"/>
          <w:lang w:val="zh-CN" w:eastAsia="zh-CN"/>
        </w:rPr>
        <w:t>工作模式</w:t>
      </w:r>
    </w:p>
    <w:p w:rsidR="000A6F9D" w:rsidRPr="00974EAF" w:rsidRDefault="000A6F9D" w:rsidP="00974EAF">
      <w:pPr>
        <w:pStyle w:val="Para10"/>
        <w:numPr>
          <w:ilvl w:val="0"/>
          <w:numId w:val="30"/>
        </w:numPr>
        <w:ind w:left="0" w:firstLine="0"/>
        <w:jc w:val="both"/>
        <w:rPr>
          <w:rFonts w:ascii="Times New Roman" w:eastAsiaTheme="minorEastAsia" w:hAnsi="Times New Roman"/>
        </w:rPr>
      </w:pPr>
      <w:r w:rsidRPr="00974EAF">
        <w:rPr>
          <w:rFonts w:ascii="Times New Roman" w:eastAsiaTheme="minorEastAsia" w:hAnsi="Times New Roman"/>
        </w:rPr>
        <w:t>非正式咨询小组将在可行时通过虚拟手段包括视频会议举行会议。在资源允许的情况下，每年至少举行一次现场会议。</w:t>
      </w:r>
    </w:p>
    <w:p w:rsidR="000A6F9D" w:rsidRPr="00974EAF" w:rsidRDefault="000A6F9D" w:rsidP="00974EAF">
      <w:pPr>
        <w:pStyle w:val="HEADINGNOTFORTOC"/>
        <w:suppressLineNumbers/>
        <w:suppressAutoHyphens/>
        <w:adjustRightInd w:val="0"/>
        <w:spacing w:before="120" w:line="240" w:lineRule="atLeast"/>
        <w:ind w:firstLine="0"/>
        <w:rPr>
          <w:rFonts w:eastAsiaTheme="minorEastAsia"/>
          <w:b w:val="0"/>
          <w:kern w:val="22"/>
          <w:sz w:val="24"/>
        </w:rPr>
      </w:pPr>
      <w:r w:rsidRPr="00974EAF">
        <w:rPr>
          <w:rFonts w:eastAsiaTheme="minorEastAsia"/>
          <w:kern w:val="22"/>
          <w:sz w:val="24"/>
          <w:lang w:val="zh-CN" w:eastAsia="zh-CN"/>
        </w:rPr>
        <w:t>工作的起始和审查</w:t>
      </w:r>
    </w:p>
    <w:p w:rsidR="000A6F9D" w:rsidRPr="00974EAF" w:rsidRDefault="000A6F9D" w:rsidP="00974EAF">
      <w:pPr>
        <w:pStyle w:val="Para10"/>
        <w:numPr>
          <w:ilvl w:val="0"/>
          <w:numId w:val="30"/>
        </w:numPr>
        <w:ind w:left="0" w:firstLine="0"/>
        <w:jc w:val="both"/>
        <w:rPr>
          <w:rFonts w:ascii="Times New Roman" w:eastAsiaTheme="minorEastAsia" w:hAnsi="Times New Roman"/>
        </w:rPr>
      </w:pPr>
      <w:r w:rsidRPr="00974EAF">
        <w:rPr>
          <w:rFonts w:ascii="Times New Roman" w:eastAsiaTheme="minorEastAsia" w:hAnsi="Times New Roman"/>
        </w:rPr>
        <w:t>非正式咨询小组应在缔约方大会第十四届会议批准其任务范围之后立即开始工作。</w:t>
      </w:r>
    </w:p>
    <w:p w:rsidR="000A6F9D" w:rsidRPr="00974EAF" w:rsidRDefault="000A6F9D" w:rsidP="00974EAF">
      <w:pPr>
        <w:pStyle w:val="Para10"/>
        <w:numPr>
          <w:ilvl w:val="0"/>
          <w:numId w:val="30"/>
        </w:numPr>
        <w:ind w:left="0" w:firstLine="0"/>
        <w:jc w:val="both"/>
        <w:rPr>
          <w:rFonts w:ascii="Times New Roman" w:eastAsiaTheme="minorEastAsia" w:hAnsi="Times New Roman"/>
        </w:rPr>
      </w:pPr>
      <w:r w:rsidRPr="00974EAF">
        <w:rPr>
          <w:rFonts w:ascii="Times New Roman" w:eastAsiaTheme="minorEastAsia" w:hAnsi="Times New Roman"/>
        </w:rPr>
        <w:t>执行问题附属机构第三次会议在审议执行秘书提交的进度报告后，将审查非正式咨询小组的任务和组成。</w:t>
      </w:r>
    </w:p>
    <w:p w:rsidR="000A6F9D" w:rsidRPr="0096709B" w:rsidRDefault="000A6F9D">
      <w:pPr>
        <w:rPr>
          <w:rFonts w:eastAsiaTheme="minorEastAsia"/>
          <w:spacing w:val="-1"/>
          <w:kern w:val="22"/>
          <w:sz w:val="22"/>
          <w:szCs w:val="22"/>
          <w:lang w:val="en-GB" w:eastAsia="zh-CN"/>
        </w:rPr>
      </w:pPr>
      <w:r w:rsidRPr="0096709B">
        <w:rPr>
          <w:rFonts w:eastAsiaTheme="minorEastAsia"/>
          <w:lang w:eastAsia="zh-CN"/>
        </w:rPr>
        <w:br w:type="page"/>
      </w:r>
    </w:p>
    <w:p w:rsidR="000C6210" w:rsidRPr="000C6210" w:rsidRDefault="000C6210" w:rsidP="00FF4964">
      <w:pPr>
        <w:pStyle w:val="Heading1"/>
        <w:spacing w:before="120" w:after="120"/>
        <w:ind w:firstLine="0"/>
        <w:rPr>
          <w:rFonts w:eastAsiaTheme="minorEastAsia" w:cs="Times New Roman"/>
          <w:caps/>
          <w:noProof/>
          <w:kern w:val="22"/>
          <w:sz w:val="24"/>
          <w:lang w:eastAsia="zh-CN"/>
        </w:rPr>
      </w:pPr>
      <w:bookmarkStart w:id="16" w:name="_Toc6243650"/>
      <w:r w:rsidRPr="000C6210">
        <w:rPr>
          <w:rFonts w:eastAsiaTheme="minorEastAsia" w:cs="Times New Roman"/>
          <w:noProof/>
          <w:kern w:val="22"/>
          <w:sz w:val="24"/>
          <w:lang w:eastAsia="zh-CN"/>
        </w:rPr>
        <w:lastRenderedPageBreak/>
        <w:t>14/4.</w:t>
      </w:r>
      <w:r w:rsidRPr="000C6210">
        <w:rPr>
          <w:rFonts w:eastAsiaTheme="minorEastAsia" w:cs="Times New Roman"/>
          <w:noProof/>
          <w:kern w:val="22"/>
          <w:sz w:val="24"/>
          <w:lang w:eastAsia="zh-CN"/>
        </w:rPr>
        <w:tab/>
        <w:t xml:space="preserve">  </w:t>
      </w:r>
      <w:r w:rsidRPr="000C6210">
        <w:rPr>
          <w:rFonts w:eastAsiaTheme="minorEastAsia" w:cs="Times New Roman"/>
          <w:noProof/>
          <w:kern w:val="22"/>
          <w:sz w:val="24"/>
          <w:lang w:eastAsia="zh-CN"/>
        </w:rPr>
        <w:t>健康和生物多样性</w:t>
      </w:r>
      <w:bookmarkEnd w:id="16"/>
      <w:r w:rsidRPr="000C6210">
        <w:rPr>
          <w:rFonts w:eastAsiaTheme="minorEastAsia" w:cs="Times New Roman"/>
          <w:noProof/>
          <w:kern w:val="22"/>
          <w:sz w:val="24"/>
          <w:lang w:eastAsia="zh-CN"/>
        </w:rPr>
        <w:t xml:space="preserve"> </w:t>
      </w:r>
    </w:p>
    <w:p w:rsidR="000C6210" w:rsidRPr="000C6210" w:rsidRDefault="000C6210" w:rsidP="000C6210">
      <w:pPr>
        <w:pStyle w:val="Para1"/>
        <w:tabs>
          <w:tab w:val="clear" w:pos="360"/>
        </w:tabs>
        <w:rPr>
          <w:rFonts w:eastAsiaTheme="minorEastAsia"/>
          <w:i/>
          <w:noProof/>
          <w:kern w:val="22"/>
          <w:sz w:val="24"/>
          <w:szCs w:val="24"/>
          <w:lang w:eastAsia="zh-CN"/>
        </w:rPr>
      </w:pPr>
      <w:r w:rsidRPr="000C6210">
        <w:rPr>
          <w:rFonts w:ascii="KaiTi" w:eastAsia="KaiTi" w:hAnsi="KaiTi"/>
          <w:kern w:val="22"/>
          <w:sz w:val="24"/>
          <w:szCs w:val="24"/>
          <w:lang w:val="zh-CN" w:eastAsia="zh-CN"/>
        </w:rPr>
        <w:t>缔约方大会</w:t>
      </w:r>
      <w:r w:rsidRPr="000C6210">
        <w:rPr>
          <w:rFonts w:eastAsiaTheme="minorEastAsia"/>
          <w:noProof/>
          <w:kern w:val="22"/>
          <w:sz w:val="24"/>
          <w:szCs w:val="24"/>
          <w:lang w:eastAsia="zh-CN"/>
        </w:rPr>
        <w:t>，</w:t>
      </w:r>
    </w:p>
    <w:p w:rsidR="000C6210" w:rsidRPr="000C6210" w:rsidRDefault="000C6210" w:rsidP="000C6210">
      <w:pPr>
        <w:suppressLineNumbers/>
        <w:suppressAutoHyphens/>
        <w:rPr>
          <w:rFonts w:eastAsiaTheme="minorEastAsia"/>
          <w:iCs/>
          <w:color w:val="000000"/>
          <w:kern w:val="22"/>
          <w:lang w:eastAsia="ja-JP" w:bidi="th-TH"/>
        </w:rPr>
      </w:pPr>
      <w:r w:rsidRPr="000C6210">
        <w:rPr>
          <w:rFonts w:ascii="KaiTi" w:eastAsia="KaiTi" w:hAnsi="KaiTi"/>
          <w:kern w:val="22"/>
          <w:lang w:val="zh-CN" w:eastAsia="zh-CN"/>
        </w:rPr>
        <w:t>回顾</w:t>
      </w:r>
      <w:r w:rsidRPr="000C6210">
        <w:rPr>
          <w:rFonts w:eastAsiaTheme="minorEastAsia"/>
          <w:lang w:eastAsia="zh-CN"/>
        </w:rPr>
        <w:t>关于健康和生物多样性的</w:t>
      </w:r>
      <w:hyperlink r:id="rId15" w:history="1">
        <w:r w:rsidRPr="000C6210">
          <w:rPr>
            <w:rFonts w:eastAsiaTheme="minorEastAsia"/>
            <w:lang w:eastAsia="zh-CN"/>
          </w:rPr>
          <w:t>第</w:t>
        </w:r>
        <w:r w:rsidRPr="000C6210">
          <w:rPr>
            <w:rFonts w:eastAsiaTheme="minorEastAsia"/>
            <w:lang w:eastAsia="zh-CN"/>
          </w:rPr>
          <w:t>XII/21</w:t>
        </w:r>
      </w:hyperlink>
      <w:hyperlink r:id="rId16" w:history="1">
        <w:r w:rsidRPr="000C6210">
          <w:rPr>
            <w:rFonts w:eastAsiaTheme="minorEastAsia"/>
            <w:lang w:eastAsia="zh-CN"/>
          </w:rPr>
          <w:t>号决定</w:t>
        </w:r>
      </w:hyperlink>
      <w:r w:rsidRPr="000C6210">
        <w:rPr>
          <w:rFonts w:eastAsiaTheme="minorEastAsia"/>
          <w:lang w:eastAsia="zh-CN"/>
        </w:rPr>
        <w:t>，</w:t>
      </w:r>
    </w:p>
    <w:p w:rsidR="000C6210" w:rsidRPr="000C6210" w:rsidRDefault="000C6210" w:rsidP="000C6210">
      <w:pPr>
        <w:pStyle w:val="ListParagraph"/>
        <w:suppressLineNumbers/>
        <w:suppressAutoHyphens/>
        <w:adjustRightInd w:val="0"/>
        <w:ind w:left="0"/>
        <w:rPr>
          <w:rFonts w:eastAsiaTheme="minorEastAsia"/>
          <w:lang w:eastAsia="zh-CN"/>
        </w:rPr>
      </w:pPr>
      <w:r w:rsidRPr="000C6210">
        <w:rPr>
          <w:rFonts w:ascii="KaiTi" w:eastAsia="KaiTi" w:hAnsi="KaiTi"/>
          <w:kern w:val="22"/>
          <w:lang w:val="zh-CN" w:eastAsia="zh-CN"/>
        </w:rPr>
        <w:t>回顾</w:t>
      </w:r>
      <w:hyperlink r:id="rId17" w:history="1">
        <w:r w:rsidRPr="000C6210">
          <w:rPr>
            <w:rFonts w:eastAsiaTheme="minorEastAsia"/>
            <w:lang w:eastAsia="zh-CN"/>
          </w:rPr>
          <w:t>第</w:t>
        </w:r>
        <w:r w:rsidRPr="000C6210">
          <w:rPr>
            <w:rFonts w:eastAsiaTheme="minorEastAsia"/>
            <w:lang w:eastAsia="zh-CN"/>
          </w:rPr>
          <w:t>XIII/3</w:t>
        </w:r>
        <w:r w:rsidRPr="000C6210">
          <w:rPr>
            <w:rFonts w:eastAsiaTheme="minorEastAsia"/>
            <w:lang w:eastAsia="zh-CN"/>
          </w:rPr>
          <w:t>号决定</w:t>
        </w:r>
      </w:hyperlink>
      <w:r w:rsidRPr="000C6210">
        <w:rPr>
          <w:rFonts w:eastAsiaTheme="minorEastAsia"/>
          <w:lang w:eastAsia="zh-CN"/>
        </w:rPr>
        <w:t>，</w:t>
      </w:r>
      <w:r w:rsidRPr="000C6210">
        <w:rPr>
          <w:rFonts w:eastAsiaTheme="minorEastAsia"/>
          <w:lang w:val="zh-CN" w:eastAsia="zh-CN"/>
        </w:rPr>
        <w:t>其中缔约方大会审议了将生物多样性纳入农业、林业、渔业、旅游业和各跨领域问题的主流的问题</w:t>
      </w:r>
      <w:r w:rsidRPr="000C6210">
        <w:rPr>
          <w:rFonts w:eastAsiaTheme="minorEastAsia"/>
          <w:lang w:eastAsia="zh-CN"/>
        </w:rPr>
        <w:t>，</w:t>
      </w:r>
      <w:r w:rsidRPr="000C6210">
        <w:rPr>
          <w:rFonts w:eastAsiaTheme="minorEastAsia"/>
          <w:lang w:val="zh-CN" w:eastAsia="zh-CN"/>
        </w:rPr>
        <w:t>并决定在其第十四届会议上处理将生物多样性纳入能源和采矿、基础设施、制造和加工业及健康部门的主流的问题</w:t>
      </w:r>
      <w:r w:rsidRPr="000C6210">
        <w:rPr>
          <w:rFonts w:eastAsiaTheme="minorEastAsia"/>
          <w:lang w:eastAsia="zh-CN"/>
        </w:rPr>
        <w:t>，</w:t>
      </w:r>
    </w:p>
    <w:p w:rsidR="000C6210" w:rsidRPr="00B16DE0" w:rsidRDefault="000C6210" w:rsidP="000C6210">
      <w:pPr>
        <w:pStyle w:val="ListParagraph"/>
        <w:suppressLineNumbers/>
        <w:suppressAutoHyphens/>
        <w:adjustRightInd w:val="0"/>
        <w:spacing w:line="240" w:lineRule="atLeast"/>
        <w:ind w:left="0"/>
        <w:rPr>
          <w:rFonts w:eastAsiaTheme="minorEastAsia"/>
          <w:kern w:val="22"/>
          <w:lang w:eastAsia="zh-CN"/>
        </w:rPr>
      </w:pPr>
      <w:r>
        <w:rPr>
          <w:rFonts w:ascii="KaiTi" w:eastAsia="KaiTi" w:hAnsi="KaiTi" w:hint="eastAsia"/>
          <w:lang w:eastAsia="zh-CN"/>
        </w:rPr>
        <w:t>认识到</w:t>
      </w:r>
      <w:r w:rsidRPr="00DD3C28">
        <w:rPr>
          <w:rFonts w:eastAsiaTheme="minorEastAsia" w:hint="eastAsia"/>
          <w:kern w:val="22"/>
          <w:lang w:val="zh-CN" w:eastAsia="zh-CN"/>
        </w:rPr>
        <w:t>健康</w:t>
      </w:r>
      <w:r w:rsidRPr="00DD3C28">
        <w:rPr>
          <w:rFonts w:eastAsiaTheme="minorEastAsia"/>
          <w:kern w:val="22"/>
          <w:lang w:val="zh-CN" w:eastAsia="zh-CN"/>
        </w:rPr>
        <w:t>部门</w:t>
      </w:r>
      <w:r w:rsidRPr="00B16DE0">
        <w:rPr>
          <w:rFonts w:eastAsiaTheme="minorEastAsia"/>
          <w:kern w:val="22"/>
          <w:lang w:val="zh-CN" w:eastAsia="zh-CN"/>
        </w:rPr>
        <w:t>一方面依赖生物多样性和生物多样性</w:t>
      </w:r>
      <w:r>
        <w:rPr>
          <w:rFonts w:eastAsiaTheme="minorEastAsia" w:hint="eastAsia"/>
          <w:kern w:val="22"/>
          <w:lang w:val="zh-CN" w:eastAsia="zh-CN"/>
        </w:rPr>
        <w:t>所</w:t>
      </w:r>
      <w:r w:rsidRPr="00B16DE0">
        <w:rPr>
          <w:rFonts w:eastAsiaTheme="minorEastAsia"/>
          <w:kern w:val="22"/>
          <w:lang w:val="zh-CN" w:eastAsia="zh-CN"/>
        </w:rPr>
        <w:t>支撑的生态系统功能和服务</w:t>
      </w:r>
      <w:r w:rsidRPr="00B16DE0">
        <w:rPr>
          <w:rFonts w:eastAsiaTheme="minorEastAsia"/>
          <w:kern w:val="22"/>
          <w:lang w:eastAsia="zh-CN"/>
        </w:rPr>
        <w:t>，</w:t>
      </w:r>
      <w:r>
        <w:rPr>
          <w:rFonts w:eastAsiaTheme="minorEastAsia"/>
          <w:kern w:val="22"/>
          <w:lang w:val="zh-CN" w:eastAsia="zh-CN"/>
        </w:rPr>
        <w:t>生物多样性的丧失</w:t>
      </w:r>
      <w:r>
        <w:rPr>
          <w:rFonts w:eastAsiaTheme="minorEastAsia" w:hint="eastAsia"/>
          <w:kern w:val="22"/>
          <w:lang w:val="zh-CN" w:eastAsia="zh-CN"/>
        </w:rPr>
        <w:t>可能</w:t>
      </w:r>
      <w:r>
        <w:rPr>
          <w:rFonts w:eastAsiaTheme="minorEastAsia"/>
          <w:kern w:val="22"/>
          <w:lang w:val="zh-CN" w:eastAsia="zh-CN"/>
        </w:rPr>
        <w:t>给</w:t>
      </w:r>
      <w:r w:rsidRPr="00B16DE0">
        <w:rPr>
          <w:rFonts w:eastAsiaTheme="minorEastAsia"/>
          <w:kern w:val="22"/>
          <w:lang w:val="zh-CN" w:eastAsia="zh-CN"/>
        </w:rPr>
        <w:t>这些部门</w:t>
      </w:r>
      <w:r>
        <w:rPr>
          <w:rFonts w:eastAsiaTheme="minorEastAsia" w:hint="eastAsia"/>
          <w:kern w:val="22"/>
          <w:lang w:val="zh-CN" w:eastAsia="zh-CN"/>
        </w:rPr>
        <w:t>带来</w:t>
      </w:r>
      <w:r w:rsidRPr="00B16DE0">
        <w:rPr>
          <w:rFonts w:eastAsiaTheme="minorEastAsia"/>
          <w:kern w:val="22"/>
          <w:lang w:val="zh-CN" w:eastAsia="zh-CN"/>
        </w:rPr>
        <w:t>不利影响</w:t>
      </w:r>
      <w:r w:rsidRPr="00B16DE0">
        <w:rPr>
          <w:rFonts w:eastAsiaTheme="minorEastAsia"/>
          <w:kern w:val="22"/>
          <w:lang w:eastAsia="zh-CN"/>
        </w:rPr>
        <w:t>，</w:t>
      </w:r>
      <w:r w:rsidRPr="00B16DE0">
        <w:rPr>
          <w:rFonts w:eastAsiaTheme="minorEastAsia"/>
          <w:kern w:val="22"/>
          <w:lang w:val="zh-CN" w:eastAsia="zh-CN"/>
        </w:rPr>
        <w:t>另一方面</w:t>
      </w:r>
      <w:r>
        <w:rPr>
          <w:rFonts w:eastAsiaTheme="minorEastAsia"/>
          <w:kern w:val="22"/>
          <w:lang w:val="zh-CN" w:eastAsia="zh-CN"/>
        </w:rPr>
        <w:t>健康部门</w:t>
      </w:r>
      <w:r w:rsidRPr="00B16DE0">
        <w:rPr>
          <w:rFonts w:eastAsiaTheme="minorEastAsia"/>
          <w:kern w:val="22"/>
          <w:lang w:val="zh-CN" w:eastAsia="zh-CN"/>
        </w:rPr>
        <w:t>又对生物多样性</w:t>
      </w:r>
      <w:r>
        <w:rPr>
          <w:rFonts w:eastAsiaTheme="minorEastAsia" w:hint="eastAsia"/>
          <w:kern w:val="22"/>
          <w:lang w:val="zh-CN" w:eastAsia="zh-CN"/>
        </w:rPr>
        <w:t>具有</w:t>
      </w:r>
      <w:r w:rsidRPr="00B16DE0">
        <w:rPr>
          <w:rFonts w:eastAsiaTheme="minorEastAsia"/>
          <w:kern w:val="22"/>
          <w:lang w:val="zh-CN" w:eastAsia="zh-CN"/>
        </w:rPr>
        <w:t>潜在</w:t>
      </w:r>
      <w:r>
        <w:rPr>
          <w:rFonts w:eastAsiaTheme="minorEastAsia" w:hint="eastAsia"/>
          <w:kern w:val="22"/>
          <w:lang w:val="zh-CN" w:eastAsia="zh-CN"/>
        </w:rPr>
        <w:t>的</w:t>
      </w:r>
      <w:r w:rsidRPr="00B16DE0">
        <w:rPr>
          <w:rFonts w:eastAsiaTheme="minorEastAsia"/>
          <w:kern w:val="22"/>
          <w:lang w:val="zh-CN" w:eastAsia="zh-CN"/>
        </w:rPr>
        <w:t>影响</w:t>
      </w:r>
      <w:r w:rsidRPr="00B16DE0">
        <w:rPr>
          <w:rFonts w:eastAsiaTheme="minorEastAsia"/>
          <w:kern w:val="22"/>
          <w:lang w:eastAsia="zh-CN"/>
        </w:rPr>
        <w:t>，</w:t>
      </w:r>
      <w:r>
        <w:rPr>
          <w:rFonts w:eastAsiaTheme="minorEastAsia" w:hint="eastAsia"/>
          <w:kern w:val="22"/>
          <w:lang w:eastAsia="zh-CN"/>
        </w:rPr>
        <w:t>有</w:t>
      </w:r>
      <w:r w:rsidRPr="00B16DE0">
        <w:rPr>
          <w:rFonts w:eastAsiaTheme="minorEastAsia"/>
          <w:kern w:val="22"/>
          <w:lang w:val="zh-CN" w:eastAsia="zh-CN"/>
        </w:rPr>
        <w:t>可能威胁到对人类至关重要的生态系统功能和服务的提供</w:t>
      </w:r>
      <w:r w:rsidRPr="00B16DE0">
        <w:rPr>
          <w:rFonts w:eastAsiaTheme="minorEastAsia"/>
          <w:kern w:val="22"/>
          <w:lang w:eastAsia="zh-CN"/>
        </w:rPr>
        <w:t>，</w:t>
      </w:r>
    </w:p>
    <w:p w:rsidR="000C6210" w:rsidRPr="00B16DE0" w:rsidRDefault="000C6210" w:rsidP="000C6210">
      <w:pPr>
        <w:pStyle w:val="ListParagraph"/>
        <w:widowControl w:val="0"/>
        <w:suppressLineNumbers/>
        <w:suppressAutoHyphens/>
        <w:adjustRightInd w:val="0"/>
        <w:spacing w:line="240" w:lineRule="atLeast"/>
        <w:ind w:left="0"/>
        <w:rPr>
          <w:rFonts w:eastAsiaTheme="minorEastAsia"/>
          <w:kern w:val="22"/>
          <w:lang w:val="zh-CN" w:eastAsia="zh-CN"/>
        </w:rPr>
      </w:pPr>
      <w:r w:rsidRPr="00DD3C28">
        <w:rPr>
          <w:rFonts w:ascii="KaiTi" w:eastAsia="KaiTi" w:hAnsi="KaiTi"/>
          <w:lang w:eastAsia="zh-CN"/>
        </w:rPr>
        <w:t>强调</w:t>
      </w:r>
      <w:r w:rsidRPr="00760DC2">
        <w:rPr>
          <w:rFonts w:eastAsiaTheme="minorEastAsia" w:hint="eastAsia"/>
          <w:kern w:val="22"/>
          <w:lang w:val="zh-CN" w:eastAsia="zh-CN"/>
        </w:rPr>
        <w:t>将</w:t>
      </w:r>
      <w:r w:rsidRPr="00B16DE0">
        <w:rPr>
          <w:rFonts w:eastAsiaTheme="minorEastAsia"/>
          <w:kern w:val="22"/>
          <w:lang w:val="zh-CN" w:eastAsia="zh-CN"/>
        </w:rPr>
        <w:t>生物多样性</w:t>
      </w:r>
      <w:r>
        <w:rPr>
          <w:rFonts w:eastAsiaTheme="minorEastAsia" w:hint="eastAsia"/>
          <w:kern w:val="22"/>
          <w:lang w:val="zh-CN" w:eastAsia="zh-CN"/>
        </w:rPr>
        <w:t>纳入</w:t>
      </w:r>
      <w:r>
        <w:rPr>
          <w:rFonts w:eastAsiaTheme="minorEastAsia"/>
          <w:kern w:val="22"/>
          <w:lang w:val="zh-CN" w:eastAsia="zh-CN"/>
        </w:rPr>
        <w:t>健康部门的</w:t>
      </w:r>
      <w:r>
        <w:rPr>
          <w:rFonts w:eastAsiaTheme="minorEastAsia" w:hint="eastAsia"/>
          <w:kern w:val="22"/>
          <w:lang w:val="zh-CN" w:eastAsia="zh-CN"/>
        </w:rPr>
        <w:t>主流</w:t>
      </w:r>
      <w:r w:rsidRPr="00B16DE0">
        <w:rPr>
          <w:rFonts w:eastAsiaTheme="minorEastAsia"/>
          <w:kern w:val="22"/>
          <w:lang w:val="zh-CN" w:eastAsia="zh-CN"/>
        </w:rPr>
        <w:t>对于</w:t>
      </w:r>
      <w:r>
        <w:rPr>
          <w:rFonts w:eastAsiaTheme="minorEastAsia" w:hint="eastAsia"/>
          <w:kern w:val="22"/>
          <w:lang w:val="zh-CN" w:eastAsia="zh-CN"/>
        </w:rPr>
        <w:t>遏制</w:t>
      </w:r>
      <w:r w:rsidRPr="00B16DE0">
        <w:rPr>
          <w:rFonts w:eastAsiaTheme="minorEastAsia"/>
          <w:kern w:val="22"/>
          <w:lang w:val="zh-CN" w:eastAsia="zh-CN"/>
        </w:rPr>
        <w:t>生物多样性</w:t>
      </w:r>
      <w:r>
        <w:rPr>
          <w:rFonts w:eastAsiaTheme="minorEastAsia" w:hint="eastAsia"/>
          <w:kern w:val="22"/>
          <w:lang w:val="zh-CN" w:eastAsia="zh-CN"/>
        </w:rPr>
        <w:t>的</w:t>
      </w:r>
      <w:r w:rsidRPr="00B16DE0">
        <w:rPr>
          <w:rFonts w:eastAsiaTheme="minorEastAsia"/>
          <w:kern w:val="22"/>
          <w:lang w:val="zh-CN" w:eastAsia="zh-CN"/>
        </w:rPr>
        <w:t>丧失</w:t>
      </w:r>
      <w:r>
        <w:rPr>
          <w:rFonts w:eastAsiaTheme="minorEastAsia" w:hint="eastAsia"/>
          <w:kern w:val="22"/>
          <w:lang w:val="zh-CN" w:eastAsia="zh-CN"/>
        </w:rPr>
        <w:t>和</w:t>
      </w:r>
      <w:r w:rsidRPr="00B16DE0">
        <w:rPr>
          <w:rFonts w:eastAsiaTheme="minorEastAsia"/>
          <w:kern w:val="22"/>
          <w:lang w:val="zh-CN" w:eastAsia="zh-CN"/>
        </w:rPr>
        <w:t>实现《</w:t>
      </w:r>
      <w:r w:rsidRPr="00B16DE0">
        <w:rPr>
          <w:rFonts w:eastAsiaTheme="minorEastAsia"/>
          <w:kern w:val="22"/>
          <w:lang w:eastAsia="zh-CN"/>
        </w:rPr>
        <w:t>2011-2020</w:t>
      </w:r>
      <w:r w:rsidRPr="00B16DE0">
        <w:rPr>
          <w:rFonts w:eastAsiaTheme="minorEastAsia"/>
          <w:kern w:val="22"/>
          <w:lang w:val="zh-CN" w:eastAsia="zh-CN"/>
        </w:rPr>
        <w:t>年生物多样性战略计划》</w:t>
      </w:r>
      <w:bookmarkStart w:id="17" w:name="_Ref530598454"/>
      <w:r w:rsidRPr="00974EAF">
        <w:rPr>
          <w:rStyle w:val="FootnoteReference"/>
          <w:sz w:val="24"/>
          <w:szCs w:val="22"/>
          <w:u w:val="none"/>
          <w:vertAlign w:val="superscript"/>
        </w:rPr>
        <w:footnoteReference w:id="37"/>
      </w:r>
      <w:bookmarkEnd w:id="17"/>
      <w:r w:rsidRPr="00974EAF">
        <w:rPr>
          <w:rFonts w:eastAsiaTheme="minorEastAsia" w:hint="eastAsia"/>
          <w:kern w:val="22"/>
          <w:sz w:val="44"/>
          <w:vertAlign w:val="superscript"/>
          <w:lang w:val="zh-CN" w:eastAsia="zh-CN"/>
        </w:rPr>
        <w:t xml:space="preserve"> </w:t>
      </w:r>
      <w:r>
        <w:rPr>
          <w:rFonts w:eastAsiaTheme="minorEastAsia" w:hint="eastAsia"/>
          <w:kern w:val="22"/>
          <w:lang w:eastAsia="zh-CN"/>
        </w:rPr>
        <w:t>以及</w:t>
      </w:r>
      <w:r>
        <w:rPr>
          <w:rFonts w:eastAsiaTheme="minorEastAsia"/>
          <w:kern w:val="22"/>
          <w:lang w:eastAsia="zh-CN"/>
        </w:rPr>
        <w:t>不同的多边协定和国际进程</w:t>
      </w:r>
      <w:r>
        <w:rPr>
          <w:rFonts w:eastAsiaTheme="minorEastAsia" w:hint="eastAsia"/>
          <w:kern w:val="22"/>
          <w:lang w:eastAsia="zh-CN"/>
        </w:rPr>
        <w:t>的</w:t>
      </w:r>
      <w:r>
        <w:rPr>
          <w:rFonts w:eastAsiaTheme="minorEastAsia"/>
          <w:kern w:val="22"/>
          <w:lang w:eastAsia="zh-CN"/>
        </w:rPr>
        <w:t>目的和目标，包括</w:t>
      </w:r>
      <w:r w:rsidRPr="00B16DE0">
        <w:rPr>
          <w:rFonts w:eastAsiaTheme="minorEastAsia"/>
          <w:kern w:val="22"/>
          <w:lang w:val="zh-CN" w:eastAsia="zh-CN"/>
        </w:rPr>
        <w:t>《</w:t>
      </w:r>
      <w:r w:rsidRPr="00B16DE0">
        <w:rPr>
          <w:rFonts w:eastAsiaTheme="minorEastAsia"/>
          <w:kern w:val="22"/>
          <w:lang w:eastAsia="zh-CN"/>
        </w:rPr>
        <w:t>2030</w:t>
      </w:r>
      <w:r w:rsidRPr="00B16DE0">
        <w:rPr>
          <w:rFonts w:eastAsiaTheme="minorEastAsia"/>
          <w:kern w:val="22"/>
          <w:lang w:val="zh-CN" w:eastAsia="zh-CN"/>
        </w:rPr>
        <w:t>年可持续发展议程》和</w:t>
      </w:r>
      <w:r>
        <w:rPr>
          <w:rFonts w:eastAsiaTheme="minorEastAsia" w:hint="eastAsia"/>
          <w:kern w:val="22"/>
          <w:lang w:val="zh-CN" w:eastAsia="zh-CN"/>
        </w:rPr>
        <w:t>《</w:t>
      </w:r>
      <w:r w:rsidRPr="00B16DE0">
        <w:rPr>
          <w:rFonts w:eastAsiaTheme="minorEastAsia"/>
          <w:kern w:val="22"/>
          <w:lang w:val="zh-CN" w:eastAsia="zh-CN"/>
        </w:rPr>
        <w:t>可持续发展目标</w:t>
      </w:r>
      <w:r>
        <w:rPr>
          <w:rFonts w:eastAsiaTheme="minorEastAsia" w:hint="eastAsia"/>
          <w:kern w:val="22"/>
          <w:lang w:val="zh-CN" w:eastAsia="zh-CN"/>
        </w:rPr>
        <w:t>》</w:t>
      </w:r>
      <w:r w:rsidRPr="00B16DE0">
        <w:rPr>
          <w:rFonts w:eastAsiaTheme="minorEastAsia"/>
          <w:kern w:val="22"/>
          <w:lang w:val="zh-CN" w:eastAsia="zh-CN"/>
        </w:rPr>
        <w:t>至关重要，</w:t>
      </w:r>
      <w:bookmarkStart w:id="18" w:name="_Ref530598355"/>
      <w:r w:rsidRPr="00974EAF">
        <w:rPr>
          <w:rStyle w:val="FootnoteReference"/>
          <w:sz w:val="24"/>
          <w:szCs w:val="22"/>
          <w:u w:val="none"/>
          <w:vertAlign w:val="superscript"/>
        </w:rPr>
        <w:footnoteReference w:id="38"/>
      </w:r>
      <w:bookmarkEnd w:id="18"/>
    </w:p>
    <w:p w:rsidR="000C6210" w:rsidRDefault="000C6210" w:rsidP="000C6210">
      <w:pPr>
        <w:suppressLineNumbers/>
        <w:suppressAutoHyphens/>
        <w:adjustRightInd w:val="0"/>
        <w:spacing w:line="240" w:lineRule="atLeast"/>
        <w:rPr>
          <w:rFonts w:eastAsiaTheme="minorEastAsia"/>
          <w:lang w:val="zh-CN" w:eastAsia="zh-CN"/>
        </w:rPr>
      </w:pPr>
      <w:r>
        <w:rPr>
          <w:rFonts w:ascii="KaiTi" w:eastAsia="KaiTi" w:hAnsi="KaiTi" w:hint="eastAsia"/>
          <w:lang w:eastAsia="zh-CN"/>
        </w:rPr>
        <w:t>认识到</w:t>
      </w:r>
      <w:r w:rsidRPr="00B16DE0">
        <w:rPr>
          <w:rFonts w:eastAsiaTheme="minorEastAsia"/>
          <w:lang w:val="zh-CN" w:eastAsia="zh-CN"/>
        </w:rPr>
        <w:t>虽然存在着解决生物多样性保护和可持续利用的</w:t>
      </w:r>
      <w:r>
        <w:rPr>
          <w:rFonts w:eastAsiaTheme="minorEastAsia" w:hint="eastAsia"/>
          <w:lang w:val="zh-CN" w:eastAsia="zh-CN"/>
        </w:rPr>
        <w:t>各种</w:t>
      </w:r>
      <w:r w:rsidRPr="00B16DE0">
        <w:rPr>
          <w:rFonts w:eastAsiaTheme="minorEastAsia"/>
          <w:lang w:val="zh-CN" w:eastAsia="zh-CN"/>
        </w:rPr>
        <w:t>政策和工具，但仍有机会将生物多样性纳入</w:t>
      </w:r>
      <w:r>
        <w:rPr>
          <w:rFonts w:eastAsiaTheme="minorEastAsia" w:hint="eastAsia"/>
          <w:lang w:val="zh-CN" w:eastAsia="zh-CN"/>
        </w:rPr>
        <w:t>健康</w:t>
      </w:r>
      <w:r w:rsidRPr="00B16DE0">
        <w:rPr>
          <w:rFonts w:eastAsiaTheme="minorEastAsia"/>
          <w:lang w:val="zh-CN" w:eastAsia="zh-CN"/>
        </w:rPr>
        <w:t>部门的主流，包括在战略规划、决策以及整个经济和整个部门政策方面，</w:t>
      </w:r>
    </w:p>
    <w:p w:rsidR="000C6210" w:rsidRDefault="000C6210" w:rsidP="000C6210">
      <w:pPr>
        <w:suppressLineNumbers/>
        <w:suppressAutoHyphens/>
        <w:adjustRightInd w:val="0"/>
        <w:spacing w:line="240" w:lineRule="atLeast"/>
        <w:rPr>
          <w:rFonts w:eastAsiaTheme="minorEastAsia"/>
          <w:lang w:eastAsia="zh-CN"/>
        </w:rPr>
      </w:pPr>
      <w:r w:rsidRPr="00DD3C28">
        <w:rPr>
          <w:rFonts w:ascii="KaiTi" w:eastAsia="KaiTi" w:hAnsi="KaiTi"/>
          <w:lang w:eastAsia="zh-CN"/>
        </w:rPr>
        <w:t>回顾</w:t>
      </w:r>
      <w:r w:rsidRPr="00B16DE0">
        <w:rPr>
          <w:rFonts w:eastAsiaTheme="minorEastAsia"/>
          <w:lang w:val="zh-CN" w:eastAsia="zh-CN"/>
        </w:rPr>
        <w:t>关于健康和生物多样性的</w:t>
      </w:r>
      <w:hyperlink r:id="rId18" w:history="1">
        <w:r w:rsidRPr="00B16DE0">
          <w:rPr>
            <w:rFonts w:eastAsiaTheme="minorEastAsia"/>
            <w:lang w:eastAsia="zh-CN"/>
          </w:rPr>
          <w:t>第</w:t>
        </w:r>
        <w:r w:rsidRPr="0096354F">
          <w:rPr>
            <w:lang w:eastAsia="zh-CN"/>
          </w:rPr>
          <w:t>XIII/6</w:t>
        </w:r>
        <w:r w:rsidRPr="00B16DE0">
          <w:rPr>
            <w:rFonts w:eastAsiaTheme="minorEastAsia"/>
            <w:lang w:eastAsia="zh-CN"/>
          </w:rPr>
          <w:t>号决定</w:t>
        </w:r>
      </w:hyperlink>
      <w:r w:rsidRPr="00B16DE0">
        <w:rPr>
          <w:rFonts w:eastAsiaTheme="minorEastAsia"/>
          <w:lang w:val="zh-CN" w:eastAsia="zh-CN"/>
        </w:rPr>
        <w:t>和该决定对执行《</w:t>
      </w:r>
      <w:r w:rsidRPr="00B16DE0">
        <w:rPr>
          <w:rFonts w:eastAsiaTheme="minorEastAsia"/>
          <w:lang w:eastAsia="zh-CN"/>
        </w:rPr>
        <w:t>2030</w:t>
      </w:r>
      <w:r w:rsidRPr="00B16DE0">
        <w:rPr>
          <w:rFonts w:eastAsiaTheme="minorEastAsia"/>
          <w:lang w:val="zh-CN" w:eastAsia="zh-CN"/>
        </w:rPr>
        <w:t>年可持续发展议程》和实现可持续发展目标的重要性</w:t>
      </w:r>
      <w:r w:rsidRPr="00B16DE0">
        <w:rPr>
          <w:rFonts w:eastAsiaTheme="minorEastAsia"/>
          <w:lang w:eastAsia="zh-CN"/>
        </w:rPr>
        <w:t>，</w:t>
      </w:r>
    </w:p>
    <w:p w:rsidR="000C6210" w:rsidRPr="007049C1" w:rsidRDefault="000C6210" w:rsidP="000C6210">
      <w:pPr>
        <w:suppressLineNumbers/>
        <w:suppressAutoHyphens/>
        <w:adjustRightInd w:val="0"/>
        <w:spacing w:line="240" w:lineRule="atLeast"/>
        <w:rPr>
          <w:rFonts w:eastAsiaTheme="minorEastAsia"/>
          <w:kern w:val="22"/>
          <w:lang w:eastAsia="zh-CN"/>
        </w:rPr>
      </w:pPr>
      <w:r w:rsidRPr="00EF08E7">
        <w:rPr>
          <w:rFonts w:ascii="KaiTi" w:eastAsia="KaiTi" w:hAnsi="KaiTi"/>
          <w:lang w:eastAsia="zh-CN"/>
        </w:rPr>
        <w:t>欢迎</w:t>
      </w:r>
      <w:r w:rsidRPr="00626D66">
        <w:rPr>
          <w:rFonts w:eastAsiaTheme="minorEastAsia"/>
          <w:lang w:eastAsia="zh-CN"/>
        </w:rPr>
        <w:t>联合国环境大会关于环境与健康的第</w:t>
      </w:r>
      <w:hyperlink r:id="rId19" w:history="1">
        <w:hyperlink r:id="rId20" w:history="1">
          <w:r w:rsidRPr="001A2AC9">
            <w:rPr>
              <w:rStyle w:val="Hyperlink"/>
              <w:rFonts w:eastAsiaTheme="minorEastAsia"/>
              <w:szCs w:val="22"/>
              <w:lang w:eastAsia="zh-CN"/>
            </w:rPr>
            <w:t>3/4</w:t>
          </w:r>
        </w:hyperlink>
        <w:r w:rsidRPr="001A2AC9">
          <w:rPr>
            <w:rFonts w:eastAsiaTheme="minorEastAsia"/>
            <w:lang w:eastAsia="zh-CN"/>
          </w:rPr>
          <w:t>号决议</w:t>
        </w:r>
      </w:hyperlink>
      <w:r w:rsidRPr="001A2AC9">
        <w:rPr>
          <w:rFonts w:eastAsiaTheme="minorEastAsia"/>
          <w:lang w:eastAsia="zh-CN"/>
        </w:rPr>
        <w:t>，</w:t>
      </w:r>
    </w:p>
    <w:p w:rsidR="000C6210" w:rsidRPr="001821FE" w:rsidRDefault="000C6210" w:rsidP="000C6210">
      <w:pPr>
        <w:pStyle w:val="bodytextnoindent"/>
        <w:tabs>
          <w:tab w:val="left" w:pos="1440"/>
        </w:tabs>
        <w:snapToGrid w:val="0"/>
        <w:rPr>
          <w:rFonts w:asciiTheme="minorEastAsia" w:eastAsiaTheme="minorEastAsia" w:hAnsiTheme="minorEastAsia"/>
          <w:snapToGrid w:val="0"/>
          <w:sz w:val="24"/>
        </w:rPr>
      </w:pPr>
      <w:r w:rsidRPr="00EF08E7">
        <w:rPr>
          <w:rFonts w:ascii="KaiTi" w:eastAsia="KaiTi" w:hAnsi="KaiTi"/>
          <w:sz w:val="24"/>
        </w:rPr>
        <w:t>注意到</w:t>
      </w:r>
      <w:r w:rsidRPr="00626D66">
        <w:rPr>
          <w:rFonts w:eastAsiaTheme="minorEastAsia"/>
          <w:sz w:val="24"/>
        </w:rPr>
        <w:t>世界卫生组织欧洲区域办事处发布的报告，分别题为</w:t>
      </w:r>
      <w:r>
        <w:rPr>
          <w:rFonts w:eastAsiaTheme="minorEastAsia" w:hint="eastAsia"/>
          <w:sz w:val="24"/>
        </w:rPr>
        <w:t>：</w:t>
      </w:r>
      <w:r w:rsidRPr="00E719BF">
        <w:rPr>
          <w:rFonts w:ascii="KaiTi" w:eastAsia="KaiTi" w:hAnsi="KaiTi"/>
          <w:sz w:val="24"/>
        </w:rPr>
        <w:t>城市绿色空间与健康：</w:t>
      </w:r>
      <w:r>
        <w:rPr>
          <w:rFonts w:ascii="KaiTi" w:eastAsia="KaiTi" w:hAnsi="KaiTi" w:hint="eastAsia"/>
          <w:sz w:val="24"/>
        </w:rPr>
        <w:t>对</w:t>
      </w:r>
      <w:r w:rsidRPr="00E719BF">
        <w:rPr>
          <w:rFonts w:ascii="KaiTi" w:eastAsia="KaiTi" w:hAnsi="KaiTi"/>
          <w:sz w:val="24"/>
        </w:rPr>
        <w:t>证据</w:t>
      </w:r>
      <w:r>
        <w:rPr>
          <w:rFonts w:ascii="KaiTi" w:eastAsia="KaiTi" w:hAnsi="KaiTi" w:hint="eastAsia"/>
          <w:sz w:val="24"/>
        </w:rPr>
        <w:t>的</w:t>
      </w:r>
      <w:r>
        <w:rPr>
          <w:rFonts w:ascii="KaiTi" w:eastAsia="KaiTi" w:hAnsi="KaiTi"/>
          <w:sz w:val="24"/>
        </w:rPr>
        <w:t>审查</w:t>
      </w:r>
      <w:r w:rsidRPr="00E719BF">
        <w:rPr>
          <w:rFonts w:ascii="KaiTi" w:eastAsia="KaiTi" w:hAnsi="KaiTi"/>
          <w:sz w:val="24"/>
        </w:rPr>
        <w:t>（</w:t>
      </w:r>
      <w:r w:rsidRPr="001A2AC9">
        <w:rPr>
          <w:rFonts w:eastAsiaTheme="minorEastAsia"/>
          <w:sz w:val="24"/>
        </w:rPr>
        <w:t>2016</w:t>
      </w:r>
      <w:r w:rsidRPr="00E719BF">
        <w:rPr>
          <w:rFonts w:ascii="KaiTi" w:eastAsia="KaiTi" w:hAnsi="KaiTi"/>
          <w:sz w:val="24"/>
        </w:rPr>
        <w:t>年）和城市绿色空间干预与健康：</w:t>
      </w:r>
      <w:r>
        <w:rPr>
          <w:rFonts w:ascii="KaiTi" w:eastAsia="KaiTi" w:hAnsi="KaiTi" w:hint="eastAsia"/>
          <w:sz w:val="24"/>
        </w:rPr>
        <w:t>对</w:t>
      </w:r>
      <w:r w:rsidRPr="00E719BF">
        <w:rPr>
          <w:rFonts w:ascii="KaiTi" w:eastAsia="KaiTi" w:hAnsi="KaiTi"/>
          <w:sz w:val="24"/>
        </w:rPr>
        <w:t>影响和有效性</w:t>
      </w:r>
      <w:r>
        <w:rPr>
          <w:rFonts w:ascii="KaiTi" w:eastAsia="KaiTi" w:hAnsi="KaiTi" w:hint="eastAsia"/>
          <w:sz w:val="24"/>
        </w:rPr>
        <w:t>的</w:t>
      </w:r>
      <w:r>
        <w:rPr>
          <w:rFonts w:ascii="KaiTi" w:eastAsia="KaiTi" w:hAnsi="KaiTi"/>
          <w:sz w:val="24"/>
        </w:rPr>
        <w:t>审查</w:t>
      </w:r>
      <w:r w:rsidRPr="00626D66">
        <w:rPr>
          <w:rFonts w:eastAsiaTheme="minorEastAsia"/>
          <w:sz w:val="24"/>
        </w:rPr>
        <w:t>（</w:t>
      </w:r>
      <w:r w:rsidRPr="00626D66">
        <w:rPr>
          <w:rFonts w:eastAsiaTheme="minorEastAsia"/>
          <w:sz w:val="24"/>
        </w:rPr>
        <w:t>2017</w:t>
      </w:r>
      <w:r>
        <w:rPr>
          <w:rFonts w:eastAsiaTheme="minorEastAsia" w:hint="eastAsia"/>
          <w:sz w:val="24"/>
        </w:rPr>
        <w:t>年）</w:t>
      </w:r>
      <w:r>
        <w:rPr>
          <w:rFonts w:eastAsiaTheme="minorEastAsia"/>
          <w:sz w:val="24"/>
        </w:rPr>
        <w:t>，</w:t>
      </w:r>
    </w:p>
    <w:p w:rsidR="000C6210" w:rsidRPr="00626D66" w:rsidRDefault="000C6210" w:rsidP="000C6210">
      <w:pPr>
        <w:pStyle w:val="bodytextnoindent"/>
        <w:tabs>
          <w:tab w:val="left" w:pos="1440"/>
        </w:tabs>
        <w:snapToGrid w:val="0"/>
        <w:rPr>
          <w:rFonts w:eastAsiaTheme="minorEastAsia"/>
          <w:sz w:val="24"/>
        </w:rPr>
      </w:pPr>
      <w:r w:rsidRPr="00EF08E7">
        <w:rPr>
          <w:rFonts w:ascii="KaiTi" w:eastAsia="KaiTi" w:hAnsi="KaiTi"/>
          <w:sz w:val="24"/>
        </w:rPr>
        <w:t>认识到</w:t>
      </w:r>
      <w:r w:rsidRPr="00626D66">
        <w:rPr>
          <w:rFonts w:eastAsiaTheme="minorEastAsia"/>
          <w:sz w:val="24"/>
        </w:rPr>
        <w:t>考虑健康与生物多样性之间的联系有助于从多</w:t>
      </w:r>
      <w:r>
        <w:rPr>
          <w:rFonts w:eastAsiaTheme="minorEastAsia"/>
          <w:sz w:val="24"/>
        </w:rPr>
        <w:t>方面改善人类健康和福祉，包括通过预防和减少传染性和非传染性疾病和</w:t>
      </w:r>
      <w:r w:rsidRPr="00626D66">
        <w:rPr>
          <w:rFonts w:eastAsiaTheme="minorEastAsia"/>
          <w:sz w:val="24"/>
        </w:rPr>
        <w:t>支持营养和健康饮食，</w:t>
      </w:r>
    </w:p>
    <w:p w:rsidR="000C6210" w:rsidRPr="00626D66" w:rsidRDefault="000C6210" w:rsidP="000C6210">
      <w:pPr>
        <w:pStyle w:val="bodytextnoindent"/>
        <w:tabs>
          <w:tab w:val="left" w:pos="1440"/>
        </w:tabs>
        <w:snapToGrid w:val="0"/>
        <w:rPr>
          <w:rFonts w:eastAsiaTheme="minorEastAsia"/>
          <w:sz w:val="24"/>
        </w:rPr>
      </w:pPr>
      <w:r w:rsidRPr="00EF08E7">
        <w:rPr>
          <w:rFonts w:ascii="KaiTi" w:eastAsia="KaiTi" w:hAnsi="KaiTi"/>
          <w:sz w:val="24"/>
        </w:rPr>
        <w:t>又认识到</w:t>
      </w:r>
      <w:r w:rsidRPr="00626D66">
        <w:rPr>
          <w:rFonts w:eastAsiaTheme="minorEastAsia"/>
          <w:sz w:val="24"/>
        </w:rPr>
        <w:t>保护和可持续利用生物多样性和传统知识对土著人民和地方社区健康的重要性，</w:t>
      </w:r>
    </w:p>
    <w:p w:rsidR="000C6210" w:rsidRPr="00626D66" w:rsidRDefault="000C6210" w:rsidP="000C6210">
      <w:pPr>
        <w:pStyle w:val="bodytextnoindent"/>
        <w:tabs>
          <w:tab w:val="left" w:pos="1440"/>
        </w:tabs>
        <w:snapToGrid w:val="0"/>
        <w:rPr>
          <w:rFonts w:eastAsiaTheme="minorEastAsia"/>
          <w:sz w:val="24"/>
        </w:rPr>
      </w:pPr>
      <w:r>
        <w:rPr>
          <w:rFonts w:ascii="KaiTi" w:eastAsia="KaiTi" w:hAnsi="KaiTi" w:hint="eastAsia"/>
          <w:sz w:val="24"/>
        </w:rPr>
        <w:t>认识到</w:t>
      </w:r>
      <w:r w:rsidRPr="00626D66">
        <w:rPr>
          <w:rFonts w:eastAsiaTheme="minorEastAsia"/>
          <w:sz w:val="24"/>
        </w:rPr>
        <w:t>人类微生物组对人类健康的重要性以及城市环境中生物多样性绿色空间、保护区及其生理和心理</w:t>
      </w:r>
      <w:r>
        <w:rPr>
          <w:rFonts w:eastAsiaTheme="minorEastAsia" w:hint="eastAsia"/>
          <w:sz w:val="24"/>
        </w:rPr>
        <w:t>惠益</w:t>
      </w:r>
      <w:r w:rsidRPr="00626D66">
        <w:rPr>
          <w:rFonts w:eastAsiaTheme="minorEastAsia"/>
          <w:sz w:val="24"/>
        </w:rPr>
        <w:t>的</w:t>
      </w:r>
      <w:r>
        <w:rPr>
          <w:rFonts w:eastAsiaTheme="minorEastAsia" w:hint="eastAsia"/>
          <w:sz w:val="24"/>
        </w:rPr>
        <w:t>重要性</w:t>
      </w:r>
      <w:r w:rsidRPr="00626D66">
        <w:rPr>
          <w:rFonts w:eastAsiaTheme="minorEastAsia"/>
          <w:sz w:val="24"/>
        </w:rPr>
        <w:t>，并进一步强调基于生态系统的</w:t>
      </w:r>
      <w:r>
        <w:rPr>
          <w:rFonts w:eastAsiaTheme="minorEastAsia" w:hint="eastAsia"/>
          <w:sz w:val="24"/>
        </w:rPr>
        <w:t>办法</w:t>
      </w:r>
      <w:r w:rsidRPr="00626D66">
        <w:rPr>
          <w:rFonts w:eastAsiaTheme="minorEastAsia"/>
          <w:sz w:val="24"/>
        </w:rPr>
        <w:t>对提供多重益处的重要性，</w:t>
      </w:r>
    </w:p>
    <w:p w:rsidR="000C6210" w:rsidRPr="00626D66" w:rsidRDefault="000C6210" w:rsidP="000C6210">
      <w:pPr>
        <w:pStyle w:val="bodytextnoindent"/>
        <w:tabs>
          <w:tab w:val="left" w:pos="1440"/>
        </w:tabs>
        <w:snapToGrid w:val="0"/>
        <w:rPr>
          <w:rFonts w:eastAsiaTheme="minorEastAsia"/>
          <w:sz w:val="24"/>
          <w:lang w:val="en-US"/>
        </w:rPr>
      </w:pPr>
      <w:r w:rsidRPr="00EF08E7">
        <w:rPr>
          <w:rFonts w:ascii="KaiTi" w:eastAsia="KaiTi" w:hAnsi="KaiTi"/>
          <w:sz w:val="24"/>
        </w:rPr>
        <w:lastRenderedPageBreak/>
        <w:t>认识到</w:t>
      </w:r>
      <w:r w:rsidRPr="00626D66">
        <w:rPr>
          <w:rFonts w:eastAsiaTheme="minorEastAsia"/>
          <w:sz w:val="24"/>
        </w:rPr>
        <w:t>生物多样性</w:t>
      </w:r>
      <w:r>
        <w:rPr>
          <w:rFonts w:eastAsiaTheme="minorEastAsia" w:hint="eastAsia"/>
          <w:sz w:val="24"/>
        </w:rPr>
        <w:t>公共</w:t>
      </w:r>
      <w:r w:rsidRPr="00626D66">
        <w:rPr>
          <w:rFonts w:eastAsiaTheme="minorEastAsia"/>
          <w:sz w:val="24"/>
        </w:rPr>
        <w:t>绿色空间能提供与大自然接触的机会，从而增强人们特别是儿童和老人的健康</w:t>
      </w:r>
      <w:r w:rsidRPr="00626D66">
        <w:rPr>
          <w:rFonts w:eastAsiaTheme="minorEastAsia"/>
          <w:sz w:val="24"/>
          <w:lang w:val="en-US"/>
        </w:rPr>
        <w:t>，</w:t>
      </w:r>
    </w:p>
    <w:p w:rsidR="000C6210" w:rsidRPr="00626D66" w:rsidRDefault="000C6210" w:rsidP="000C6210">
      <w:pPr>
        <w:pStyle w:val="bodytextnoindent"/>
        <w:tabs>
          <w:tab w:val="left" w:pos="1440"/>
        </w:tabs>
        <w:snapToGrid w:val="0"/>
        <w:rPr>
          <w:rFonts w:eastAsiaTheme="minorEastAsia"/>
          <w:sz w:val="24"/>
        </w:rPr>
      </w:pPr>
      <w:r w:rsidRPr="00EF08E7">
        <w:rPr>
          <w:rFonts w:ascii="KaiTi" w:eastAsia="KaiTi" w:hAnsi="KaiTi"/>
          <w:sz w:val="24"/>
        </w:rPr>
        <w:t>注意到</w:t>
      </w:r>
      <w:r w:rsidRPr="00626D66">
        <w:rPr>
          <w:rFonts w:eastAsiaTheme="minorEastAsia"/>
          <w:sz w:val="24"/>
        </w:rPr>
        <w:t>存在许多机会，通过将健康与生物多样性的联系纳入</w:t>
      </w:r>
      <w:r>
        <w:rPr>
          <w:rFonts w:eastAsiaTheme="minorEastAsia"/>
          <w:sz w:val="24"/>
        </w:rPr>
        <w:t>健康</w:t>
      </w:r>
      <w:r w:rsidRPr="00626D66">
        <w:rPr>
          <w:rFonts w:eastAsiaTheme="minorEastAsia"/>
          <w:sz w:val="24"/>
        </w:rPr>
        <w:t>、环境、农业、金融、营养与粮食安全、食品安全、规划（包括城市规划）、减缓和适应气候变化以及减少灾害风险等有关部门和举措</w:t>
      </w:r>
      <w:r>
        <w:rPr>
          <w:rFonts w:eastAsiaTheme="minorEastAsia"/>
          <w:sz w:val="24"/>
        </w:rPr>
        <w:t>的主流</w:t>
      </w:r>
      <w:r w:rsidRPr="00626D66">
        <w:rPr>
          <w:rFonts w:eastAsiaTheme="minorEastAsia"/>
          <w:sz w:val="24"/>
        </w:rPr>
        <w:t>，促进实现</w:t>
      </w:r>
      <w:r>
        <w:rPr>
          <w:rFonts w:eastAsiaTheme="minorEastAsia"/>
          <w:sz w:val="24"/>
        </w:rPr>
        <w:t>爱知生物多样性指</w:t>
      </w:r>
      <w:r>
        <w:rPr>
          <w:rFonts w:eastAsiaTheme="minorEastAsia" w:hint="eastAsia"/>
          <w:sz w:val="24"/>
        </w:rPr>
        <w:t>，</w:t>
      </w:r>
      <w:r>
        <w:rPr>
          <w:rFonts w:eastAsiaTheme="minorEastAsia"/>
          <w:sz w:val="24"/>
        </w:rPr>
        <w:t>标</w:t>
      </w:r>
      <w:r w:rsidRPr="00626D66">
        <w:rPr>
          <w:rFonts w:eastAsiaTheme="minorEastAsia"/>
          <w:sz w:val="24"/>
        </w:rPr>
        <w:t>特别是目标</w:t>
      </w:r>
      <w:r w:rsidRPr="00626D66">
        <w:rPr>
          <w:rFonts w:eastAsiaTheme="minorEastAsia"/>
          <w:sz w:val="24"/>
        </w:rPr>
        <w:t>14</w:t>
      </w:r>
      <w:r w:rsidRPr="00626D66">
        <w:rPr>
          <w:rFonts w:eastAsiaTheme="minorEastAsia"/>
          <w:sz w:val="24"/>
        </w:rPr>
        <w:t>以及《</w:t>
      </w:r>
      <w:r w:rsidRPr="00626D66">
        <w:rPr>
          <w:rFonts w:eastAsiaTheme="minorEastAsia"/>
          <w:sz w:val="24"/>
        </w:rPr>
        <w:t>2030</w:t>
      </w:r>
      <w:r w:rsidRPr="00626D66">
        <w:rPr>
          <w:rFonts w:eastAsiaTheme="minorEastAsia"/>
          <w:sz w:val="24"/>
        </w:rPr>
        <w:t>年可持续发展议程》和</w:t>
      </w:r>
      <w:r>
        <w:rPr>
          <w:rFonts w:eastAsiaTheme="minorEastAsia" w:hint="eastAsia"/>
          <w:sz w:val="24"/>
        </w:rPr>
        <w:t>《</w:t>
      </w:r>
      <w:r w:rsidRPr="00626D66">
        <w:rPr>
          <w:rFonts w:eastAsiaTheme="minorEastAsia"/>
          <w:sz w:val="24"/>
        </w:rPr>
        <w:t>可持续发展目标</w:t>
      </w:r>
      <w:r>
        <w:rPr>
          <w:rFonts w:eastAsiaTheme="minorEastAsia" w:hint="eastAsia"/>
          <w:sz w:val="24"/>
        </w:rPr>
        <w:t>》</w:t>
      </w:r>
      <w:r w:rsidRPr="00626D66">
        <w:rPr>
          <w:rFonts w:eastAsiaTheme="minorEastAsia"/>
          <w:sz w:val="24"/>
        </w:rPr>
        <w:t>，</w:t>
      </w:r>
    </w:p>
    <w:p w:rsidR="000C6210" w:rsidRPr="007075CF" w:rsidRDefault="000C6210" w:rsidP="000C6210">
      <w:pPr>
        <w:pStyle w:val="bodytextnoindent"/>
        <w:tabs>
          <w:tab w:val="left" w:pos="1440"/>
        </w:tabs>
        <w:snapToGrid w:val="0"/>
        <w:rPr>
          <w:rFonts w:eastAsiaTheme="minorEastAsia"/>
          <w:sz w:val="24"/>
        </w:rPr>
      </w:pPr>
      <w:r w:rsidRPr="00132712">
        <w:rPr>
          <w:rFonts w:eastAsiaTheme="minorEastAsia" w:hint="eastAsia"/>
          <w:sz w:val="24"/>
        </w:rPr>
        <w:t>就此</w:t>
      </w:r>
      <w:r>
        <w:rPr>
          <w:rFonts w:ascii="KaiTi" w:eastAsia="KaiTi" w:hAnsi="KaiTi"/>
          <w:sz w:val="24"/>
        </w:rPr>
        <w:t>强调</w:t>
      </w:r>
      <w:r w:rsidRPr="00626D66">
        <w:rPr>
          <w:rFonts w:eastAsiaTheme="minorEastAsia"/>
          <w:sz w:val="24"/>
        </w:rPr>
        <w:t>生物多样性所有层面和组成部分的重要性，包括植物、动物和微生物，它们之间的相互作用，</w:t>
      </w:r>
      <w:r>
        <w:rPr>
          <w:rFonts w:eastAsiaTheme="minorEastAsia" w:hint="eastAsia"/>
          <w:sz w:val="24"/>
        </w:rPr>
        <w:t>其</w:t>
      </w:r>
      <w:r w:rsidRPr="00626D66">
        <w:rPr>
          <w:rFonts w:eastAsiaTheme="minorEastAsia"/>
          <w:sz w:val="24"/>
        </w:rPr>
        <w:t>遗传资源</w:t>
      </w:r>
      <w:r>
        <w:rPr>
          <w:rFonts w:eastAsiaTheme="minorEastAsia" w:hint="eastAsia"/>
          <w:sz w:val="24"/>
        </w:rPr>
        <w:t>及其</w:t>
      </w:r>
      <w:r w:rsidRPr="00626D66">
        <w:rPr>
          <w:rFonts w:eastAsiaTheme="minorEastAsia"/>
          <w:sz w:val="24"/>
        </w:rPr>
        <w:t>所处生态系统</w:t>
      </w:r>
      <w:r>
        <w:rPr>
          <w:rFonts w:eastAsiaTheme="minorEastAsia" w:hint="eastAsia"/>
          <w:sz w:val="24"/>
        </w:rPr>
        <w:t>；</w:t>
      </w:r>
    </w:p>
    <w:p w:rsidR="000C6210" w:rsidRPr="000C6210" w:rsidRDefault="000C6210" w:rsidP="000A1A91">
      <w:pPr>
        <w:pStyle w:val="Para1"/>
        <w:numPr>
          <w:ilvl w:val="0"/>
          <w:numId w:val="32"/>
        </w:numPr>
        <w:suppressLineNumbers/>
        <w:shd w:val="clear" w:color="auto" w:fill="FFFFFF"/>
        <w:tabs>
          <w:tab w:val="left" w:pos="1440"/>
        </w:tabs>
        <w:suppressAutoHyphens/>
        <w:adjustRightInd w:val="0"/>
        <w:snapToGrid w:val="0"/>
        <w:ind w:left="0" w:firstLine="720"/>
        <w:rPr>
          <w:rFonts w:eastAsiaTheme="minorEastAsia"/>
          <w:sz w:val="24"/>
          <w:lang w:eastAsia="zh-CN"/>
        </w:rPr>
      </w:pPr>
      <w:r w:rsidRPr="000C6210">
        <w:rPr>
          <w:rFonts w:ascii="KaiTi" w:eastAsia="KaiTi" w:hAnsi="KaiTi" w:cs="Angsana New"/>
          <w:sz w:val="24"/>
          <w:szCs w:val="20"/>
          <w:lang w:eastAsia="zh-CN"/>
        </w:rPr>
        <w:t>欢迎</w:t>
      </w:r>
      <w:r w:rsidRPr="000C6210">
        <w:rPr>
          <w:rFonts w:eastAsiaTheme="minorEastAsia"/>
          <w:sz w:val="24"/>
          <w:lang w:val="zh-CN" w:eastAsia="zh-CN"/>
        </w:rPr>
        <w:t>世界卫生大会第七十一届会议审议人类健康与生物多样性之间的相互联系；</w:t>
      </w:r>
      <w:r w:rsidRPr="000C6210">
        <w:rPr>
          <w:rStyle w:val="FootnoteReference"/>
          <w:rFonts w:eastAsiaTheme="minorEastAsia"/>
          <w:sz w:val="24"/>
          <w:szCs w:val="22"/>
          <w:u w:val="none"/>
          <w:vertAlign w:val="superscript"/>
        </w:rPr>
        <w:footnoteReference w:id="39"/>
      </w:r>
    </w:p>
    <w:p w:rsidR="000C6210" w:rsidRPr="00626D66" w:rsidRDefault="000C6210" w:rsidP="000A1A91">
      <w:pPr>
        <w:pStyle w:val="Para1"/>
        <w:numPr>
          <w:ilvl w:val="0"/>
          <w:numId w:val="32"/>
        </w:numPr>
        <w:suppressLineNumbers/>
        <w:shd w:val="clear" w:color="auto" w:fill="FFFFFF"/>
        <w:tabs>
          <w:tab w:val="left" w:pos="1440"/>
        </w:tabs>
        <w:suppressAutoHyphens/>
        <w:adjustRightInd w:val="0"/>
        <w:snapToGrid w:val="0"/>
        <w:ind w:left="0" w:firstLine="720"/>
        <w:rPr>
          <w:rFonts w:eastAsiaTheme="minorEastAsia"/>
          <w:sz w:val="24"/>
          <w:szCs w:val="24"/>
          <w:lang w:eastAsia="zh-CN"/>
        </w:rPr>
      </w:pPr>
      <w:r w:rsidRPr="00EF08E7">
        <w:rPr>
          <w:rFonts w:ascii="KaiTi" w:eastAsia="KaiTi" w:hAnsi="KaiTi"/>
          <w:sz w:val="24"/>
          <w:szCs w:val="24"/>
          <w:lang w:eastAsia="zh-CN"/>
        </w:rPr>
        <w:t>欢迎</w:t>
      </w:r>
      <w:r w:rsidRPr="00626D66">
        <w:rPr>
          <w:rFonts w:eastAsiaTheme="minorEastAsia"/>
          <w:sz w:val="24"/>
          <w:szCs w:val="24"/>
          <w:lang w:eastAsia="zh-CN"/>
        </w:rPr>
        <w:t>将生物多样性考虑因素</w:t>
      </w:r>
      <w:r w:rsidRPr="00626D66">
        <w:rPr>
          <w:rFonts w:asciiTheme="minorEastAsia" w:eastAsiaTheme="minorEastAsia" w:hAnsiTheme="minorEastAsia"/>
          <w:sz w:val="24"/>
          <w:szCs w:val="24"/>
          <w:lang w:eastAsia="zh-CN"/>
        </w:rPr>
        <w:t>纳入</w:t>
      </w:r>
      <w:bookmarkStart w:id="19" w:name="_Hlk500892615"/>
      <w:r w:rsidRPr="00626D66">
        <w:rPr>
          <w:rFonts w:asciiTheme="minorEastAsia" w:eastAsiaTheme="minorEastAsia" w:hAnsiTheme="minorEastAsia"/>
          <w:sz w:val="24"/>
          <w:szCs w:val="24"/>
          <w:lang w:eastAsia="zh-CN"/>
        </w:rPr>
        <w:t>“一体健康”</w:t>
      </w:r>
      <w:bookmarkEnd w:id="19"/>
      <w:r w:rsidRPr="00626D66">
        <w:rPr>
          <w:rFonts w:eastAsiaTheme="minorEastAsia"/>
          <w:sz w:val="24"/>
          <w:szCs w:val="24"/>
          <w:lang w:eastAsia="zh-CN"/>
        </w:rPr>
        <w:t>办法</w:t>
      </w:r>
      <w:r>
        <w:rPr>
          <w:rFonts w:eastAsiaTheme="minorEastAsia" w:hint="eastAsia"/>
          <w:sz w:val="24"/>
          <w:szCs w:val="24"/>
          <w:lang w:eastAsia="zh-CN"/>
        </w:rPr>
        <w:t>和</w:t>
      </w:r>
      <w:r>
        <w:rPr>
          <w:rFonts w:eastAsiaTheme="minorEastAsia"/>
          <w:sz w:val="24"/>
          <w:szCs w:val="24"/>
          <w:lang w:eastAsia="zh-CN"/>
        </w:rPr>
        <w:t>其他整体性办法</w:t>
      </w:r>
      <w:r w:rsidRPr="00626D66">
        <w:rPr>
          <w:rFonts w:eastAsiaTheme="minorEastAsia"/>
          <w:sz w:val="24"/>
          <w:szCs w:val="24"/>
          <w:lang w:eastAsia="zh-CN"/>
        </w:rPr>
        <w:t>的指导</w:t>
      </w:r>
      <w:bookmarkStart w:id="20" w:name="_Hlk500892466"/>
      <w:r w:rsidRPr="00626D66">
        <w:rPr>
          <w:rFonts w:eastAsiaTheme="minorEastAsia"/>
          <w:sz w:val="24"/>
          <w:szCs w:val="24"/>
          <w:lang w:eastAsia="zh-CN"/>
        </w:rPr>
        <w:t>意见</w:t>
      </w:r>
      <w:bookmarkEnd w:id="20"/>
      <w:r>
        <w:rPr>
          <w:rFonts w:eastAsiaTheme="minorEastAsia" w:hint="eastAsia"/>
          <w:sz w:val="24"/>
          <w:szCs w:val="24"/>
          <w:lang w:eastAsia="zh-CN"/>
        </w:rPr>
        <w:t>，</w:t>
      </w:r>
      <w:r w:rsidRPr="00626D66">
        <w:rPr>
          <w:rFonts w:eastAsiaTheme="minorEastAsia"/>
          <w:sz w:val="24"/>
          <w:szCs w:val="24"/>
          <w:lang w:eastAsia="zh-CN"/>
        </w:rPr>
        <w:t>确认基于生态系统的解决办法对于实现健康和福祉多重益处的重要性，</w:t>
      </w:r>
      <w:r>
        <w:rPr>
          <w:rFonts w:eastAsiaTheme="minorEastAsia" w:hint="eastAsia"/>
          <w:sz w:val="24"/>
          <w:szCs w:val="24"/>
          <w:lang w:eastAsia="zh-CN"/>
        </w:rPr>
        <w:t>并</w:t>
      </w:r>
      <w:r w:rsidRPr="001A7E25">
        <w:rPr>
          <w:rFonts w:eastAsiaTheme="minorEastAsia"/>
          <w:sz w:val="24"/>
          <w:szCs w:val="24"/>
          <w:lang w:eastAsia="zh-CN"/>
        </w:rPr>
        <w:t>鼓励</w:t>
      </w:r>
      <w:r w:rsidRPr="00626D66">
        <w:rPr>
          <w:rFonts w:eastAsiaTheme="minorEastAsia"/>
          <w:sz w:val="24"/>
          <w:szCs w:val="24"/>
          <w:lang w:eastAsia="zh-CN"/>
        </w:rPr>
        <w:t>各缔约方</w:t>
      </w:r>
      <w:r>
        <w:rPr>
          <w:rFonts w:eastAsiaTheme="minorEastAsia" w:hint="eastAsia"/>
          <w:sz w:val="24"/>
          <w:szCs w:val="24"/>
          <w:lang w:eastAsia="zh-CN"/>
        </w:rPr>
        <w:t>和</w:t>
      </w:r>
      <w:r w:rsidRPr="00066F06">
        <w:rPr>
          <w:rFonts w:ascii="KaiTi" w:eastAsia="KaiTi" w:hAnsi="KaiTi"/>
          <w:sz w:val="24"/>
          <w:szCs w:val="24"/>
          <w:lang w:eastAsia="zh-CN"/>
        </w:rPr>
        <w:t>邀请</w:t>
      </w:r>
      <w:r w:rsidRPr="00626D66">
        <w:rPr>
          <w:rFonts w:eastAsiaTheme="minorEastAsia"/>
          <w:sz w:val="24"/>
          <w:szCs w:val="24"/>
          <w:lang w:eastAsia="zh-CN"/>
        </w:rPr>
        <w:t>其他国家政府和有关组织根据国情使用指导意见；</w:t>
      </w:r>
    </w:p>
    <w:p w:rsidR="000C6210" w:rsidRPr="00626D66" w:rsidRDefault="000C6210" w:rsidP="000A1A91">
      <w:pPr>
        <w:pStyle w:val="Para1"/>
        <w:numPr>
          <w:ilvl w:val="0"/>
          <w:numId w:val="32"/>
        </w:numPr>
        <w:suppressLineNumbers/>
        <w:shd w:val="clear" w:color="auto" w:fill="FFFFFF"/>
        <w:tabs>
          <w:tab w:val="left" w:pos="1440"/>
        </w:tabs>
        <w:suppressAutoHyphens/>
        <w:adjustRightInd w:val="0"/>
        <w:snapToGrid w:val="0"/>
        <w:ind w:left="0" w:firstLine="720"/>
        <w:rPr>
          <w:rFonts w:eastAsiaTheme="minorEastAsia"/>
          <w:sz w:val="24"/>
          <w:szCs w:val="24"/>
          <w:lang w:eastAsia="zh-CN"/>
        </w:rPr>
      </w:pPr>
      <w:r w:rsidRPr="00EF08E7">
        <w:rPr>
          <w:rFonts w:ascii="KaiTi" w:eastAsia="KaiTi" w:hAnsi="KaiTi"/>
          <w:sz w:val="24"/>
          <w:szCs w:val="24"/>
          <w:lang w:eastAsia="zh-CN"/>
        </w:rPr>
        <w:t>邀请</w:t>
      </w:r>
      <w:r w:rsidRPr="00626D66">
        <w:rPr>
          <w:rFonts w:eastAsiaTheme="minorEastAsia"/>
          <w:sz w:val="24"/>
          <w:szCs w:val="24"/>
          <w:lang w:eastAsia="zh-CN"/>
        </w:rPr>
        <w:t>各缔约方和其他国家政府</w:t>
      </w:r>
      <w:r w:rsidRPr="006C4373">
        <w:rPr>
          <w:rFonts w:asciiTheme="minorEastAsia" w:eastAsiaTheme="minorEastAsia" w:hAnsiTheme="minorEastAsia"/>
          <w:sz w:val="24"/>
          <w:szCs w:val="24"/>
          <w:lang w:eastAsia="zh-CN"/>
        </w:rPr>
        <w:t>考虑将“一体健康”</w:t>
      </w:r>
      <w:r w:rsidRPr="00626D66">
        <w:rPr>
          <w:rFonts w:eastAsiaTheme="minorEastAsia"/>
          <w:sz w:val="24"/>
          <w:szCs w:val="24"/>
          <w:lang w:eastAsia="zh-CN"/>
        </w:rPr>
        <w:t>政策、计划或项目</w:t>
      </w:r>
      <w:r>
        <w:rPr>
          <w:rFonts w:eastAsiaTheme="minorEastAsia" w:hint="eastAsia"/>
          <w:sz w:val="24"/>
          <w:szCs w:val="24"/>
          <w:lang w:eastAsia="zh-CN"/>
        </w:rPr>
        <w:t>以及</w:t>
      </w:r>
      <w:r>
        <w:rPr>
          <w:rFonts w:eastAsiaTheme="minorEastAsia"/>
          <w:sz w:val="24"/>
          <w:szCs w:val="24"/>
          <w:lang w:eastAsia="zh-CN"/>
        </w:rPr>
        <w:t>其他整体性办法</w:t>
      </w:r>
      <w:r w:rsidRPr="00626D66">
        <w:rPr>
          <w:rFonts w:eastAsiaTheme="minorEastAsia"/>
          <w:sz w:val="24"/>
          <w:szCs w:val="24"/>
          <w:lang w:eastAsia="zh-CN"/>
        </w:rPr>
        <w:t>纳入国家生物多样性战略和行动计划以及相关国家</w:t>
      </w:r>
      <w:r>
        <w:rPr>
          <w:rFonts w:eastAsiaTheme="minorEastAsia"/>
          <w:sz w:val="24"/>
          <w:szCs w:val="24"/>
          <w:lang w:eastAsia="zh-CN"/>
        </w:rPr>
        <w:t>保健</w:t>
      </w:r>
      <w:r w:rsidRPr="00626D66">
        <w:rPr>
          <w:rFonts w:eastAsiaTheme="minorEastAsia"/>
          <w:sz w:val="24"/>
          <w:szCs w:val="24"/>
          <w:lang w:eastAsia="zh-CN"/>
        </w:rPr>
        <w:t>计划和其他</w:t>
      </w:r>
      <w:bookmarkStart w:id="21" w:name="_Hlk500893034"/>
      <w:r w:rsidRPr="00626D66">
        <w:rPr>
          <w:rFonts w:eastAsiaTheme="minorEastAsia"/>
          <w:sz w:val="24"/>
          <w:szCs w:val="24"/>
          <w:lang w:eastAsia="zh-CN"/>
        </w:rPr>
        <w:t>文书</w:t>
      </w:r>
      <w:bookmarkEnd w:id="21"/>
      <w:r w:rsidRPr="00626D66">
        <w:rPr>
          <w:rFonts w:eastAsiaTheme="minorEastAsia"/>
          <w:sz w:val="24"/>
          <w:szCs w:val="24"/>
          <w:lang w:eastAsia="zh-CN"/>
        </w:rPr>
        <w:t>，包括《联合国气候变化框架公约》和《国际减少灾害风险战略》规定的计划和文书，以便共同支持执行《公约》</w:t>
      </w:r>
      <w:r>
        <w:rPr>
          <w:rFonts w:eastAsiaTheme="minorEastAsia" w:hint="eastAsia"/>
          <w:sz w:val="24"/>
          <w:szCs w:val="24"/>
          <w:lang w:eastAsia="zh-CN"/>
        </w:rPr>
        <w:t>、</w:t>
      </w:r>
      <w:r w:rsidRPr="00626D66">
        <w:rPr>
          <w:rFonts w:eastAsiaTheme="minorEastAsia"/>
          <w:sz w:val="24"/>
          <w:szCs w:val="24"/>
          <w:lang w:eastAsia="zh-CN"/>
        </w:rPr>
        <w:t>《</w:t>
      </w:r>
      <w:r w:rsidRPr="00626D66">
        <w:rPr>
          <w:rFonts w:eastAsiaTheme="minorEastAsia"/>
          <w:sz w:val="24"/>
          <w:szCs w:val="24"/>
          <w:lang w:eastAsia="zh-CN"/>
        </w:rPr>
        <w:t>2030</w:t>
      </w:r>
      <w:r w:rsidRPr="00626D66">
        <w:rPr>
          <w:rFonts w:eastAsiaTheme="minorEastAsia"/>
          <w:sz w:val="24"/>
          <w:szCs w:val="24"/>
          <w:lang w:eastAsia="zh-CN"/>
        </w:rPr>
        <w:t>年可持续发展议程》和其他相关全球承诺；</w:t>
      </w:r>
    </w:p>
    <w:p w:rsidR="000C6210" w:rsidRPr="00626D66" w:rsidRDefault="000C6210" w:rsidP="000A1A91">
      <w:pPr>
        <w:pStyle w:val="Para1"/>
        <w:numPr>
          <w:ilvl w:val="0"/>
          <w:numId w:val="32"/>
        </w:numPr>
        <w:suppressLineNumbers/>
        <w:shd w:val="clear" w:color="auto" w:fill="FFFFFF"/>
        <w:tabs>
          <w:tab w:val="left" w:pos="1440"/>
        </w:tabs>
        <w:suppressAutoHyphens/>
        <w:adjustRightInd w:val="0"/>
        <w:snapToGrid w:val="0"/>
        <w:ind w:left="0" w:firstLine="720"/>
        <w:rPr>
          <w:rFonts w:eastAsiaTheme="minorEastAsia"/>
          <w:sz w:val="24"/>
          <w:szCs w:val="24"/>
          <w:lang w:eastAsia="zh-CN"/>
        </w:rPr>
      </w:pPr>
      <w:r w:rsidRPr="00EF08E7">
        <w:rPr>
          <w:rFonts w:ascii="KaiTi" w:eastAsia="KaiTi" w:hAnsi="KaiTi"/>
          <w:sz w:val="24"/>
          <w:szCs w:val="24"/>
          <w:lang w:eastAsia="zh-CN"/>
        </w:rPr>
        <w:t>邀请</w:t>
      </w:r>
      <w:r w:rsidRPr="00626D66">
        <w:rPr>
          <w:rFonts w:eastAsiaTheme="minorEastAsia"/>
          <w:sz w:val="24"/>
          <w:szCs w:val="24"/>
          <w:lang w:val="en-US" w:eastAsia="zh-CN"/>
        </w:rPr>
        <w:t>各缔约方</w:t>
      </w:r>
      <w:r w:rsidRPr="00626D66">
        <w:rPr>
          <w:rFonts w:eastAsiaTheme="minorEastAsia"/>
          <w:sz w:val="24"/>
          <w:szCs w:val="24"/>
          <w:lang w:eastAsia="zh-CN"/>
        </w:rPr>
        <w:t>、其他国家政府和其他利益攸关方</w:t>
      </w:r>
      <w:r>
        <w:rPr>
          <w:rFonts w:eastAsiaTheme="minorEastAsia" w:hint="eastAsia"/>
          <w:sz w:val="24"/>
          <w:szCs w:val="24"/>
          <w:lang w:eastAsia="zh-CN"/>
        </w:rPr>
        <w:t>在</w:t>
      </w:r>
      <w:r w:rsidRPr="00626D66">
        <w:rPr>
          <w:rFonts w:eastAsiaTheme="minorEastAsia"/>
          <w:sz w:val="24"/>
          <w:szCs w:val="24"/>
          <w:lang w:eastAsia="zh-CN"/>
        </w:rPr>
        <w:t>将生物多样性和健康的联系纳入其政策、计划和行动时考虑对不同性别的影响以及对策；</w:t>
      </w:r>
    </w:p>
    <w:p w:rsidR="000C6210" w:rsidRPr="00626D66" w:rsidRDefault="000C6210" w:rsidP="000A1A91">
      <w:pPr>
        <w:pStyle w:val="Para1"/>
        <w:numPr>
          <w:ilvl w:val="0"/>
          <w:numId w:val="32"/>
        </w:numPr>
        <w:suppressLineNumbers/>
        <w:shd w:val="clear" w:color="auto" w:fill="FFFFFF"/>
        <w:tabs>
          <w:tab w:val="left" w:pos="1440"/>
        </w:tabs>
        <w:suppressAutoHyphens/>
        <w:adjustRightInd w:val="0"/>
        <w:snapToGrid w:val="0"/>
        <w:ind w:left="0" w:firstLine="720"/>
        <w:rPr>
          <w:rFonts w:eastAsiaTheme="minorEastAsia"/>
          <w:sz w:val="24"/>
          <w:szCs w:val="24"/>
          <w:lang w:eastAsia="zh-CN"/>
        </w:rPr>
      </w:pPr>
      <w:r w:rsidRPr="00EF08E7">
        <w:rPr>
          <w:rFonts w:ascii="KaiTi" w:eastAsia="KaiTi" w:hAnsi="KaiTi"/>
          <w:sz w:val="24"/>
          <w:szCs w:val="24"/>
          <w:lang w:eastAsia="zh-CN"/>
        </w:rPr>
        <w:t>邀请</w:t>
      </w:r>
      <w:r w:rsidRPr="00626D66">
        <w:rPr>
          <w:rFonts w:eastAsiaTheme="minorEastAsia"/>
          <w:sz w:val="24"/>
          <w:szCs w:val="24"/>
          <w:lang w:val="en-US" w:eastAsia="zh-CN"/>
        </w:rPr>
        <w:t>各</w:t>
      </w:r>
      <w:r w:rsidRPr="00626D66">
        <w:rPr>
          <w:rFonts w:eastAsiaTheme="minorEastAsia"/>
          <w:sz w:val="24"/>
          <w:szCs w:val="24"/>
          <w:lang w:eastAsia="zh-CN"/>
        </w:rPr>
        <w:t>缔约</w:t>
      </w:r>
      <w:r w:rsidRPr="00626D66">
        <w:rPr>
          <w:rFonts w:eastAsiaTheme="minorEastAsia"/>
          <w:sz w:val="24"/>
          <w:szCs w:val="24"/>
          <w:lang w:val="en-US" w:eastAsia="zh-CN"/>
        </w:rPr>
        <w:t>方</w:t>
      </w:r>
      <w:r w:rsidRPr="00626D66">
        <w:rPr>
          <w:rFonts w:eastAsiaTheme="minorEastAsia"/>
          <w:sz w:val="24"/>
          <w:szCs w:val="24"/>
          <w:lang w:eastAsia="zh-CN"/>
        </w:rPr>
        <w:t>、其他国家政府和</w:t>
      </w:r>
      <w:r>
        <w:rPr>
          <w:rFonts w:eastAsiaTheme="minorEastAsia" w:hint="eastAsia"/>
          <w:sz w:val="24"/>
          <w:szCs w:val="24"/>
          <w:lang w:eastAsia="zh-CN"/>
        </w:rPr>
        <w:t>相关</w:t>
      </w:r>
      <w:r w:rsidRPr="00626D66">
        <w:rPr>
          <w:rFonts w:eastAsiaTheme="minorEastAsia"/>
          <w:sz w:val="24"/>
          <w:szCs w:val="24"/>
          <w:lang w:eastAsia="zh-CN"/>
        </w:rPr>
        <w:t>组织及合作机构支持能力建设，以便高效</w:t>
      </w:r>
      <w:r>
        <w:rPr>
          <w:rFonts w:eastAsiaTheme="minorEastAsia" w:hint="eastAsia"/>
          <w:sz w:val="24"/>
          <w:szCs w:val="24"/>
          <w:lang w:eastAsia="zh-CN"/>
        </w:rPr>
        <w:t>和有效地</w:t>
      </w:r>
      <w:r w:rsidRPr="00626D66">
        <w:rPr>
          <w:rFonts w:eastAsiaTheme="minorEastAsia"/>
          <w:sz w:val="24"/>
          <w:szCs w:val="24"/>
          <w:lang w:eastAsia="zh-CN"/>
        </w:rPr>
        <w:t>使用</w:t>
      </w:r>
      <w:r>
        <w:rPr>
          <w:rFonts w:eastAsiaTheme="minorEastAsia" w:hint="eastAsia"/>
          <w:sz w:val="24"/>
          <w:szCs w:val="24"/>
          <w:lang w:eastAsia="zh-CN"/>
        </w:rPr>
        <w:t>关于将生物多样性纳入</w:t>
      </w:r>
      <w:r w:rsidRPr="006C4373">
        <w:rPr>
          <w:rFonts w:asciiTheme="minorEastAsia" w:eastAsiaTheme="minorEastAsia" w:hAnsiTheme="minorEastAsia"/>
          <w:sz w:val="24"/>
          <w:szCs w:val="24"/>
          <w:lang w:eastAsia="zh-CN"/>
        </w:rPr>
        <w:t>“一体健康”</w:t>
      </w:r>
      <w:r>
        <w:rPr>
          <w:rFonts w:asciiTheme="minorEastAsia" w:eastAsiaTheme="minorEastAsia" w:hAnsiTheme="minorEastAsia" w:hint="eastAsia"/>
          <w:sz w:val="24"/>
          <w:szCs w:val="24"/>
          <w:lang w:eastAsia="zh-CN"/>
        </w:rPr>
        <w:t>办法和其他整体性办法的</w:t>
      </w:r>
      <w:r w:rsidRPr="00626D66">
        <w:rPr>
          <w:rFonts w:eastAsiaTheme="minorEastAsia"/>
          <w:sz w:val="24"/>
          <w:szCs w:val="24"/>
          <w:lang w:eastAsia="zh-CN"/>
        </w:rPr>
        <w:t>指导意见；</w:t>
      </w:r>
    </w:p>
    <w:p w:rsidR="000C6210" w:rsidRPr="00A75A1A" w:rsidRDefault="000C6210" w:rsidP="000A1A91">
      <w:pPr>
        <w:pStyle w:val="Para1"/>
        <w:numPr>
          <w:ilvl w:val="0"/>
          <w:numId w:val="32"/>
        </w:numPr>
        <w:suppressLineNumbers/>
        <w:shd w:val="clear" w:color="auto" w:fill="FFFFFF"/>
        <w:tabs>
          <w:tab w:val="left" w:pos="1440"/>
        </w:tabs>
        <w:suppressAutoHyphens/>
        <w:adjustRightInd w:val="0"/>
        <w:snapToGrid w:val="0"/>
        <w:ind w:left="0" w:firstLine="720"/>
        <w:rPr>
          <w:rFonts w:eastAsiaTheme="minorEastAsia"/>
          <w:sz w:val="24"/>
          <w:szCs w:val="24"/>
          <w:lang w:val="en-US" w:eastAsia="zh-CN"/>
        </w:rPr>
      </w:pPr>
      <w:r w:rsidRPr="00EA2625">
        <w:rPr>
          <w:rFonts w:ascii="KaiTi" w:eastAsia="KaiTi" w:hAnsi="KaiTi"/>
          <w:sz w:val="24"/>
          <w:szCs w:val="24"/>
          <w:lang w:eastAsia="zh-CN"/>
        </w:rPr>
        <w:t>鼓励</w:t>
      </w:r>
      <w:r w:rsidRPr="00626D66">
        <w:rPr>
          <w:rFonts w:eastAsiaTheme="minorEastAsia"/>
          <w:sz w:val="24"/>
          <w:szCs w:val="24"/>
          <w:lang w:val="en-US" w:eastAsia="zh-CN"/>
        </w:rPr>
        <w:t>各缔约方促进健康（包括家畜和野生动物健康）、环境、污染（例如海洋塑料垃圾）、</w:t>
      </w:r>
      <w:r w:rsidRPr="00A75A1A">
        <w:rPr>
          <w:rFonts w:eastAsiaTheme="minorEastAsia"/>
          <w:sz w:val="24"/>
          <w:szCs w:val="24"/>
          <w:lang w:val="en-US" w:eastAsia="zh-CN"/>
        </w:rPr>
        <w:t>杀虫剂</w:t>
      </w:r>
      <w:r w:rsidRPr="00626D66">
        <w:rPr>
          <w:rFonts w:eastAsiaTheme="minorEastAsia"/>
          <w:sz w:val="24"/>
          <w:szCs w:val="24"/>
          <w:lang w:val="en-US" w:eastAsia="zh-CN"/>
        </w:rPr>
        <w:t>、抗</w:t>
      </w:r>
      <w:r>
        <w:rPr>
          <w:rFonts w:eastAsiaTheme="minorEastAsia" w:hint="eastAsia"/>
          <w:sz w:val="24"/>
          <w:szCs w:val="24"/>
          <w:lang w:val="en-US" w:eastAsia="zh-CN"/>
        </w:rPr>
        <w:t>菌素</w:t>
      </w:r>
      <w:r w:rsidRPr="00626D66">
        <w:rPr>
          <w:rFonts w:eastAsiaTheme="minorEastAsia"/>
          <w:sz w:val="24"/>
          <w:szCs w:val="24"/>
          <w:lang w:val="en-US" w:eastAsia="zh-CN"/>
        </w:rPr>
        <w:t>耐药性、农业、营养和粮食安全、食品安全、规划（包括城市规划）、适应和</w:t>
      </w:r>
      <w:r>
        <w:rPr>
          <w:rFonts w:eastAsiaTheme="minorEastAsia"/>
          <w:sz w:val="24"/>
          <w:szCs w:val="24"/>
          <w:lang w:val="en-US" w:eastAsia="zh-CN"/>
        </w:rPr>
        <w:t>减缓</w:t>
      </w:r>
      <w:r w:rsidRPr="00626D66">
        <w:rPr>
          <w:rFonts w:eastAsiaTheme="minorEastAsia"/>
          <w:sz w:val="24"/>
          <w:szCs w:val="24"/>
          <w:lang w:val="en-US" w:eastAsia="zh-CN"/>
        </w:rPr>
        <w:t>气候变化</w:t>
      </w:r>
      <w:r>
        <w:rPr>
          <w:rFonts w:eastAsiaTheme="minorEastAsia"/>
          <w:sz w:val="24"/>
          <w:szCs w:val="24"/>
          <w:lang w:val="en-US" w:eastAsia="zh-CN"/>
        </w:rPr>
        <w:t>以及</w:t>
      </w:r>
      <w:r w:rsidRPr="00626D66">
        <w:rPr>
          <w:rFonts w:eastAsiaTheme="minorEastAsia"/>
          <w:sz w:val="24"/>
          <w:szCs w:val="24"/>
          <w:lang w:val="en-US" w:eastAsia="zh-CN"/>
        </w:rPr>
        <w:t>减少灾害风险等部门的主管部委</w:t>
      </w:r>
      <w:r>
        <w:rPr>
          <w:rFonts w:eastAsiaTheme="minorEastAsia"/>
          <w:sz w:val="24"/>
          <w:szCs w:val="24"/>
          <w:lang w:val="en-US" w:eastAsia="zh-CN"/>
        </w:rPr>
        <w:t>和机构</w:t>
      </w:r>
      <w:r w:rsidRPr="00626D66">
        <w:rPr>
          <w:rFonts w:eastAsiaTheme="minorEastAsia"/>
          <w:sz w:val="24"/>
          <w:szCs w:val="24"/>
          <w:lang w:val="en-US" w:eastAsia="zh-CN"/>
        </w:rPr>
        <w:t>间的对话，促进统筹性办法，以期</w:t>
      </w:r>
      <w:r>
        <w:rPr>
          <w:rFonts w:eastAsiaTheme="minorEastAsia" w:hint="eastAsia"/>
          <w:sz w:val="24"/>
          <w:szCs w:val="24"/>
          <w:lang w:val="en-US" w:eastAsia="zh-CN"/>
        </w:rPr>
        <w:t>加大力度</w:t>
      </w:r>
      <w:r>
        <w:rPr>
          <w:rFonts w:eastAsiaTheme="minorEastAsia"/>
          <w:sz w:val="24"/>
          <w:szCs w:val="24"/>
          <w:lang w:val="en-US" w:eastAsia="zh-CN"/>
        </w:rPr>
        <w:t>执行</w:t>
      </w:r>
      <w:r w:rsidRPr="00626D66">
        <w:rPr>
          <w:rFonts w:eastAsiaTheme="minorEastAsia"/>
          <w:sz w:val="24"/>
          <w:szCs w:val="24"/>
          <w:lang w:val="en-US" w:eastAsia="zh-CN"/>
        </w:rPr>
        <w:t>《</w:t>
      </w:r>
      <w:r w:rsidRPr="00626D66">
        <w:rPr>
          <w:rFonts w:eastAsiaTheme="minorEastAsia"/>
          <w:sz w:val="24"/>
          <w:szCs w:val="24"/>
          <w:lang w:val="en-US" w:eastAsia="zh-CN"/>
        </w:rPr>
        <w:t>2011-2020</w:t>
      </w:r>
      <w:r w:rsidRPr="00626D66">
        <w:rPr>
          <w:rFonts w:eastAsiaTheme="minorEastAsia"/>
          <w:sz w:val="24"/>
          <w:szCs w:val="24"/>
          <w:lang w:val="en-US" w:eastAsia="zh-CN"/>
        </w:rPr>
        <w:t>年生物多样性战略计划》和《</w:t>
      </w:r>
      <w:r w:rsidRPr="00626D66">
        <w:rPr>
          <w:rFonts w:eastAsiaTheme="minorEastAsia"/>
          <w:sz w:val="24"/>
          <w:szCs w:val="24"/>
          <w:lang w:val="en-US" w:eastAsia="zh-CN"/>
        </w:rPr>
        <w:t>2030</w:t>
      </w:r>
      <w:r w:rsidRPr="00626D66">
        <w:rPr>
          <w:rFonts w:eastAsiaTheme="minorEastAsia"/>
          <w:sz w:val="24"/>
          <w:szCs w:val="24"/>
          <w:lang w:val="en-US" w:eastAsia="zh-CN"/>
        </w:rPr>
        <w:t>年可持续发展议程》，包括酌情将生物多样性与健康的联系</w:t>
      </w:r>
      <w:r>
        <w:rPr>
          <w:rFonts w:eastAsiaTheme="minorEastAsia" w:hint="eastAsia"/>
          <w:sz w:val="24"/>
          <w:szCs w:val="24"/>
          <w:lang w:val="en-US" w:eastAsia="zh-CN"/>
        </w:rPr>
        <w:t>，</w:t>
      </w:r>
      <w:r>
        <w:rPr>
          <w:rFonts w:eastAsiaTheme="minorEastAsia"/>
          <w:sz w:val="24"/>
          <w:szCs w:val="24"/>
          <w:lang w:val="en-US" w:eastAsia="zh-CN"/>
        </w:rPr>
        <w:t>比如第</w:t>
      </w:r>
      <w:r w:rsidRPr="00A75A1A">
        <w:rPr>
          <w:rFonts w:eastAsiaTheme="minorEastAsia"/>
          <w:sz w:val="24"/>
          <w:szCs w:val="24"/>
          <w:lang w:val="en-US" w:eastAsia="zh-CN"/>
        </w:rPr>
        <w:t>XIII/6</w:t>
      </w:r>
      <w:r w:rsidRPr="00A75A1A">
        <w:rPr>
          <w:rFonts w:eastAsiaTheme="minorEastAsia"/>
          <w:sz w:val="24"/>
          <w:szCs w:val="24"/>
          <w:lang w:val="en-US" w:eastAsia="zh-CN"/>
        </w:rPr>
        <w:t>号决定附件所载内容</w:t>
      </w:r>
      <w:r w:rsidRPr="00626D66">
        <w:rPr>
          <w:rFonts w:eastAsiaTheme="minorEastAsia"/>
          <w:sz w:val="24"/>
          <w:szCs w:val="24"/>
          <w:lang w:val="en-US" w:eastAsia="zh-CN"/>
        </w:rPr>
        <w:t>纳入现有和未来政策、计划和战略的主流；</w:t>
      </w:r>
    </w:p>
    <w:p w:rsidR="000C6210" w:rsidRPr="00626D66" w:rsidRDefault="000C6210" w:rsidP="000A1A91">
      <w:pPr>
        <w:pStyle w:val="Para1"/>
        <w:numPr>
          <w:ilvl w:val="0"/>
          <w:numId w:val="32"/>
        </w:numPr>
        <w:suppressLineNumbers/>
        <w:shd w:val="clear" w:color="auto" w:fill="FFFFFF"/>
        <w:tabs>
          <w:tab w:val="left" w:pos="1440"/>
        </w:tabs>
        <w:suppressAutoHyphens/>
        <w:adjustRightInd w:val="0"/>
        <w:snapToGrid w:val="0"/>
        <w:ind w:left="0" w:firstLine="720"/>
        <w:rPr>
          <w:rFonts w:eastAsiaTheme="minorEastAsia"/>
          <w:sz w:val="24"/>
          <w:szCs w:val="24"/>
          <w:lang w:val="en-US" w:eastAsia="zh-CN"/>
        </w:rPr>
      </w:pPr>
      <w:r w:rsidRPr="00EF08E7">
        <w:rPr>
          <w:rFonts w:ascii="KaiTi" w:eastAsia="KaiTi" w:hAnsi="KaiTi"/>
          <w:sz w:val="24"/>
          <w:szCs w:val="24"/>
          <w:lang w:eastAsia="zh-CN"/>
        </w:rPr>
        <w:t>鼓励</w:t>
      </w:r>
      <w:r w:rsidRPr="00626D66">
        <w:rPr>
          <w:rFonts w:eastAsiaTheme="minorEastAsia"/>
          <w:sz w:val="24"/>
          <w:szCs w:val="24"/>
          <w:lang w:val="en-US" w:eastAsia="zh-CN"/>
        </w:rPr>
        <w:t>各缔约方并</w:t>
      </w:r>
      <w:r w:rsidRPr="00127DDB">
        <w:rPr>
          <w:rFonts w:ascii="KaiTi" w:eastAsia="KaiTi" w:hAnsi="KaiTi"/>
          <w:sz w:val="24"/>
          <w:szCs w:val="24"/>
          <w:lang w:eastAsia="zh-CN"/>
        </w:rPr>
        <w:t>邀请</w:t>
      </w:r>
      <w:r w:rsidRPr="00626D66">
        <w:rPr>
          <w:rFonts w:eastAsiaTheme="minorEastAsia"/>
          <w:sz w:val="24"/>
          <w:szCs w:val="24"/>
          <w:lang w:val="en-US" w:eastAsia="zh-CN"/>
        </w:rPr>
        <w:t>其他国家政府和相关组织分享实施将生物多样性</w:t>
      </w:r>
      <w:r w:rsidRPr="00626D66">
        <w:rPr>
          <w:rFonts w:eastAsiaTheme="minorEastAsia"/>
          <w:sz w:val="24"/>
          <w:szCs w:val="24"/>
          <w:lang w:eastAsia="zh-CN"/>
        </w:rPr>
        <w:t>因素</w:t>
      </w:r>
      <w:r w:rsidRPr="00626D66">
        <w:rPr>
          <w:rFonts w:eastAsiaTheme="minorEastAsia"/>
          <w:sz w:val="24"/>
          <w:szCs w:val="24"/>
          <w:lang w:val="en-US" w:eastAsia="zh-CN"/>
        </w:rPr>
        <w:t>纳入</w:t>
      </w:r>
      <w:r w:rsidRPr="00626D66">
        <w:rPr>
          <w:rFonts w:asciiTheme="minorEastAsia" w:eastAsiaTheme="minorEastAsia" w:hAnsiTheme="minorEastAsia"/>
          <w:sz w:val="24"/>
          <w:szCs w:val="24"/>
          <w:lang w:eastAsia="zh-CN"/>
        </w:rPr>
        <w:t>“一体健康”</w:t>
      </w:r>
      <w:r w:rsidRPr="00626D66">
        <w:rPr>
          <w:rFonts w:eastAsiaTheme="minorEastAsia"/>
          <w:sz w:val="24"/>
          <w:szCs w:val="24"/>
          <w:lang w:val="en-US" w:eastAsia="zh-CN"/>
        </w:rPr>
        <w:t>办法</w:t>
      </w:r>
      <w:r>
        <w:rPr>
          <w:rFonts w:asciiTheme="minorEastAsia" w:eastAsiaTheme="minorEastAsia" w:hAnsiTheme="minorEastAsia" w:hint="eastAsia"/>
          <w:sz w:val="24"/>
          <w:szCs w:val="24"/>
          <w:lang w:eastAsia="zh-CN"/>
        </w:rPr>
        <w:t>和其他整体性办法</w:t>
      </w:r>
      <w:r w:rsidRPr="00626D66">
        <w:rPr>
          <w:rFonts w:eastAsiaTheme="minorEastAsia"/>
          <w:sz w:val="24"/>
          <w:szCs w:val="24"/>
          <w:lang w:val="en-US" w:eastAsia="zh-CN"/>
        </w:rPr>
        <w:t>的指导意见的经验</w:t>
      </w:r>
      <w:r>
        <w:rPr>
          <w:rFonts w:eastAsiaTheme="minorEastAsia" w:hint="eastAsia"/>
          <w:sz w:val="24"/>
          <w:szCs w:val="24"/>
          <w:lang w:val="en-US" w:eastAsia="zh-CN"/>
        </w:rPr>
        <w:t>，</w:t>
      </w:r>
      <w:r>
        <w:rPr>
          <w:rFonts w:eastAsiaTheme="minorEastAsia"/>
          <w:sz w:val="24"/>
          <w:szCs w:val="24"/>
          <w:lang w:val="en-US" w:eastAsia="zh-CN"/>
        </w:rPr>
        <w:t>包括</w:t>
      </w:r>
      <w:r w:rsidRPr="00626D66">
        <w:rPr>
          <w:rFonts w:eastAsiaTheme="minorEastAsia"/>
          <w:sz w:val="24"/>
          <w:szCs w:val="24"/>
          <w:lang w:val="en-US" w:eastAsia="zh-CN"/>
        </w:rPr>
        <w:t>通过信息交换所机制；</w:t>
      </w:r>
    </w:p>
    <w:p w:rsidR="000C6210" w:rsidRPr="00066F06" w:rsidRDefault="000C6210" w:rsidP="000A1A91">
      <w:pPr>
        <w:pStyle w:val="Para1"/>
        <w:numPr>
          <w:ilvl w:val="0"/>
          <w:numId w:val="32"/>
        </w:numPr>
        <w:suppressLineNumbers/>
        <w:shd w:val="clear" w:color="auto" w:fill="FFFFFF"/>
        <w:tabs>
          <w:tab w:val="left" w:pos="1440"/>
        </w:tabs>
        <w:suppressAutoHyphens/>
        <w:adjustRightInd w:val="0"/>
        <w:snapToGrid w:val="0"/>
        <w:ind w:left="0" w:firstLine="720"/>
        <w:rPr>
          <w:rFonts w:eastAsiaTheme="minorEastAsia"/>
          <w:sz w:val="24"/>
          <w:lang w:eastAsia="zh-CN"/>
        </w:rPr>
      </w:pPr>
      <w:r w:rsidRPr="00D3628D">
        <w:rPr>
          <w:rFonts w:ascii="KaiTi" w:eastAsia="KaiTi" w:hAnsi="KaiTi"/>
          <w:sz w:val="24"/>
          <w:szCs w:val="24"/>
          <w:lang w:eastAsia="zh-CN"/>
        </w:rPr>
        <w:t>邀请</w:t>
      </w:r>
      <w:r>
        <w:rPr>
          <w:rFonts w:eastAsiaTheme="minorEastAsia"/>
          <w:sz w:val="24"/>
          <w:lang w:val="zh-CN" w:eastAsia="zh-CN"/>
        </w:rPr>
        <w:t>各缔约方和其他国家政府及</w:t>
      </w:r>
      <w:r>
        <w:rPr>
          <w:rFonts w:eastAsiaTheme="minorEastAsia" w:hint="eastAsia"/>
          <w:sz w:val="24"/>
          <w:lang w:val="zh-CN" w:eastAsia="zh-CN"/>
        </w:rPr>
        <w:t>相关</w:t>
      </w:r>
      <w:r w:rsidRPr="00066F06">
        <w:rPr>
          <w:rFonts w:eastAsiaTheme="minorEastAsia"/>
          <w:sz w:val="24"/>
          <w:lang w:val="zh-CN" w:eastAsia="zh-CN"/>
        </w:rPr>
        <w:t>组织进一步</w:t>
      </w:r>
      <w:r>
        <w:rPr>
          <w:rFonts w:eastAsiaTheme="minorEastAsia" w:hint="eastAsia"/>
          <w:sz w:val="24"/>
          <w:lang w:val="zh-CN" w:eastAsia="zh-CN"/>
        </w:rPr>
        <w:t>开发</w:t>
      </w:r>
      <w:r w:rsidRPr="00066F06">
        <w:rPr>
          <w:rFonts w:eastAsiaTheme="minorEastAsia"/>
          <w:sz w:val="24"/>
          <w:lang w:val="zh-CN" w:eastAsia="zh-CN"/>
        </w:rPr>
        <w:t>关于保护和可持续利用生物多样性</w:t>
      </w:r>
      <w:r w:rsidRPr="00066F06">
        <w:rPr>
          <w:rFonts w:eastAsiaTheme="minorEastAsia"/>
          <w:sz w:val="24"/>
          <w:lang w:eastAsia="zh-CN"/>
        </w:rPr>
        <w:t>以及</w:t>
      </w:r>
      <w:r w:rsidRPr="00066F06">
        <w:rPr>
          <w:rFonts w:eastAsiaTheme="minorEastAsia"/>
          <w:sz w:val="24"/>
          <w:lang w:val="zh-CN" w:eastAsia="zh-CN"/>
        </w:rPr>
        <w:t>基于生态系统的办法对公共</w:t>
      </w:r>
      <w:r>
        <w:rPr>
          <w:rFonts w:eastAsiaTheme="minorEastAsia"/>
          <w:sz w:val="24"/>
          <w:lang w:val="zh-CN" w:eastAsia="zh-CN"/>
        </w:rPr>
        <w:t>健康</w:t>
      </w:r>
      <w:r w:rsidRPr="00066F06">
        <w:rPr>
          <w:rFonts w:eastAsiaTheme="minorEastAsia"/>
          <w:sz w:val="24"/>
          <w:lang w:val="zh-CN" w:eastAsia="zh-CN"/>
        </w:rPr>
        <w:t>的</w:t>
      </w:r>
      <w:r>
        <w:rPr>
          <w:rFonts w:eastAsiaTheme="minorEastAsia" w:hint="eastAsia"/>
          <w:sz w:val="24"/>
          <w:lang w:val="zh-CN" w:eastAsia="zh-CN"/>
        </w:rPr>
        <w:t>重要性</w:t>
      </w:r>
      <w:r w:rsidRPr="00066F06">
        <w:rPr>
          <w:rFonts w:eastAsiaTheme="minorEastAsia"/>
          <w:sz w:val="24"/>
          <w:lang w:val="zh-CN" w:eastAsia="zh-CN"/>
        </w:rPr>
        <w:t>的</w:t>
      </w:r>
      <w:r>
        <w:rPr>
          <w:rFonts w:eastAsiaTheme="minorEastAsia" w:hint="eastAsia"/>
          <w:sz w:val="24"/>
          <w:lang w:val="zh-CN" w:eastAsia="zh-CN"/>
        </w:rPr>
        <w:t>宣传</w:t>
      </w:r>
      <w:r w:rsidRPr="00066F06">
        <w:rPr>
          <w:rFonts w:eastAsiaTheme="minorEastAsia"/>
          <w:sz w:val="24"/>
          <w:lang w:val="zh-CN" w:eastAsia="zh-CN"/>
        </w:rPr>
        <w:t>、教育和</w:t>
      </w:r>
      <w:r>
        <w:rPr>
          <w:rFonts w:eastAsiaTheme="minorEastAsia" w:hint="eastAsia"/>
          <w:sz w:val="24"/>
          <w:lang w:val="zh-CN" w:eastAsia="zh-CN"/>
        </w:rPr>
        <w:t>提高公众</w:t>
      </w:r>
      <w:r>
        <w:rPr>
          <w:rFonts w:eastAsiaTheme="minorEastAsia"/>
          <w:sz w:val="24"/>
          <w:lang w:val="zh-CN" w:eastAsia="zh-CN"/>
        </w:rPr>
        <w:t>意识</w:t>
      </w:r>
      <w:r w:rsidRPr="00066F06">
        <w:rPr>
          <w:rFonts w:eastAsiaTheme="minorEastAsia"/>
          <w:sz w:val="24"/>
          <w:lang w:val="zh-CN" w:eastAsia="zh-CN"/>
        </w:rPr>
        <w:t>工</w:t>
      </w:r>
      <w:r w:rsidRPr="00066F06">
        <w:rPr>
          <w:rFonts w:eastAsiaTheme="minorEastAsia"/>
          <w:sz w:val="24"/>
          <w:lang w:val="zh-CN" w:eastAsia="zh-CN"/>
        </w:rPr>
        <w:lastRenderedPageBreak/>
        <w:t>具，</w:t>
      </w:r>
      <w:r>
        <w:rPr>
          <w:rFonts w:eastAsiaTheme="minorEastAsia"/>
          <w:sz w:val="24"/>
          <w:lang w:val="zh-CN" w:eastAsia="zh-CN"/>
        </w:rPr>
        <w:t>以期</w:t>
      </w:r>
      <w:r w:rsidRPr="00066F06">
        <w:rPr>
          <w:rFonts w:eastAsiaTheme="minorEastAsia"/>
          <w:sz w:val="24"/>
          <w:lang w:val="zh-CN" w:eastAsia="zh-CN"/>
        </w:rPr>
        <w:t>将生物多样化纳入主流</w:t>
      </w:r>
      <w:r>
        <w:rPr>
          <w:rFonts w:eastAsiaTheme="minorEastAsia"/>
          <w:sz w:val="24"/>
          <w:lang w:val="zh-CN" w:eastAsia="zh-CN"/>
        </w:rPr>
        <w:t>和</w:t>
      </w:r>
      <w:r w:rsidRPr="00066F06">
        <w:rPr>
          <w:rFonts w:eastAsiaTheme="minorEastAsia"/>
          <w:sz w:val="24"/>
          <w:lang w:val="zh-CN" w:eastAsia="zh-CN"/>
        </w:rPr>
        <w:t>制定符合《</w:t>
      </w:r>
      <w:r w:rsidRPr="00066F06">
        <w:rPr>
          <w:rFonts w:eastAsiaTheme="minorEastAsia"/>
          <w:sz w:val="24"/>
          <w:lang w:eastAsia="zh-CN"/>
        </w:rPr>
        <w:t>2030</w:t>
      </w:r>
      <w:r w:rsidRPr="00066F06">
        <w:rPr>
          <w:rFonts w:eastAsiaTheme="minorEastAsia"/>
          <w:sz w:val="24"/>
          <w:lang w:val="zh-CN" w:eastAsia="zh-CN"/>
        </w:rPr>
        <w:t>年可持续发展议程》的目标的涵盖生物多样性各个方面的</w:t>
      </w:r>
      <w:r w:rsidRPr="00D3628D">
        <w:rPr>
          <w:rFonts w:asciiTheme="minorEastAsia" w:eastAsiaTheme="minorEastAsia" w:hAnsiTheme="minorEastAsia"/>
          <w:sz w:val="24"/>
          <w:lang w:eastAsia="zh-CN"/>
        </w:rPr>
        <w:t>“</w:t>
      </w:r>
      <w:r w:rsidRPr="00D3628D">
        <w:rPr>
          <w:rFonts w:asciiTheme="minorEastAsia" w:eastAsiaTheme="minorEastAsia" w:hAnsiTheme="minorEastAsia"/>
          <w:sz w:val="24"/>
          <w:lang w:val="zh-CN" w:eastAsia="zh-CN"/>
        </w:rPr>
        <w:t>一体化健康</w:t>
      </w:r>
      <w:r w:rsidRPr="00D3628D">
        <w:rPr>
          <w:rFonts w:asciiTheme="minorEastAsia" w:eastAsiaTheme="minorEastAsia" w:hAnsiTheme="minorEastAsia"/>
          <w:sz w:val="24"/>
          <w:lang w:eastAsia="zh-CN"/>
        </w:rPr>
        <w:t>”</w:t>
      </w:r>
      <w:r w:rsidRPr="00066F06">
        <w:rPr>
          <w:rFonts w:eastAsiaTheme="minorEastAsia"/>
          <w:sz w:val="24"/>
          <w:lang w:val="zh-CN" w:eastAsia="zh-CN"/>
        </w:rPr>
        <w:t>政策、计划和方案</w:t>
      </w:r>
      <w:r>
        <w:rPr>
          <w:rFonts w:asciiTheme="minorEastAsia" w:eastAsiaTheme="minorEastAsia" w:hAnsiTheme="minorEastAsia" w:hint="eastAsia"/>
          <w:sz w:val="24"/>
          <w:szCs w:val="24"/>
          <w:lang w:eastAsia="zh-CN"/>
        </w:rPr>
        <w:t>和其他整体性办法</w:t>
      </w:r>
      <w:r w:rsidRPr="00066F06">
        <w:rPr>
          <w:rFonts w:eastAsiaTheme="minorEastAsia"/>
          <w:sz w:val="24"/>
          <w:lang w:eastAsia="zh-CN"/>
        </w:rPr>
        <w:t>；</w:t>
      </w:r>
    </w:p>
    <w:p w:rsidR="000C6210" w:rsidRPr="005B7DA1" w:rsidRDefault="000C6210" w:rsidP="000A1A91">
      <w:pPr>
        <w:pStyle w:val="Para1"/>
        <w:numPr>
          <w:ilvl w:val="0"/>
          <w:numId w:val="32"/>
        </w:numPr>
        <w:suppressLineNumbers/>
        <w:shd w:val="clear" w:color="auto" w:fill="FFFFFF"/>
        <w:tabs>
          <w:tab w:val="left" w:pos="1440"/>
        </w:tabs>
        <w:suppressAutoHyphens/>
        <w:adjustRightInd w:val="0"/>
        <w:snapToGrid w:val="0"/>
        <w:ind w:left="0" w:firstLine="720"/>
        <w:rPr>
          <w:rFonts w:eastAsiaTheme="minorEastAsia"/>
          <w:sz w:val="24"/>
          <w:szCs w:val="24"/>
          <w:lang w:eastAsia="zh-CN"/>
        </w:rPr>
      </w:pPr>
      <w:r w:rsidRPr="00D3628D">
        <w:rPr>
          <w:rFonts w:ascii="KaiTi" w:eastAsia="KaiTi" w:hAnsi="KaiTi"/>
          <w:sz w:val="24"/>
          <w:szCs w:val="24"/>
          <w:lang w:eastAsia="zh-CN"/>
        </w:rPr>
        <w:t>鼓励</w:t>
      </w:r>
      <w:r w:rsidRPr="00066F06">
        <w:rPr>
          <w:rFonts w:eastAsiaTheme="minorEastAsia"/>
          <w:sz w:val="24"/>
          <w:lang w:val="zh-CN" w:eastAsia="zh-CN"/>
        </w:rPr>
        <w:t>各</w:t>
      </w:r>
      <w:r>
        <w:rPr>
          <w:rFonts w:eastAsiaTheme="minorEastAsia"/>
          <w:sz w:val="24"/>
          <w:lang w:eastAsia="zh-CN"/>
        </w:rPr>
        <w:t>缔约方、其他国家政府和相关利益攸关方根据国家能力和国情</w:t>
      </w:r>
      <w:r>
        <w:rPr>
          <w:rFonts w:eastAsiaTheme="minorEastAsia" w:hint="eastAsia"/>
          <w:sz w:val="24"/>
          <w:lang w:eastAsia="zh-CN"/>
        </w:rPr>
        <w:t>、</w:t>
      </w:r>
      <w:r w:rsidRPr="005B7DA1">
        <w:rPr>
          <w:rFonts w:eastAsiaTheme="minorEastAsia"/>
          <w:sz w:val="24"/>
          <w:szCs w:val="24"/>
          <w:lang w:eastAsia="zh-CN"/>
        </w:rPr>
        <w:t>优先事项和规章：</w:t>
      </w:r>
    </w:p>
    <w:p w:rsidR="000C6210" w:rsidRPr="00066F06" w:rsidRDefault="000C6210" w:rsidP="000A1A91">
      <w:pPr>
        <w:pStyle w:val="ListParagraph"/>
        <w:numPr>
          <w:ilvl w:val="0"/>
          <w:numId w:val="33"/>
        </w:numPr>
        <w:suppressLineNumbers/>
        <w:suppressAutoHyphens/>
        <w:adjustRightInd w:val="0"/>
        <w:ind w:left="0" w:firstLine="720"/>
        <w:rPr>
          <w:rFonts w:eastAsiaTheme="minorEastAsia"/>
          <w:kern w:val="22"/>
          <w:lang w:eastAsia="zh-CN"/>
        </w:rPr>
      </w:pPr>
      <w:r w:rsidRPr="008D3E3A">
        <w:rPr>
          <w:rFonts w:eastAsiaTheme="minorEastAsia"/>
          <w:snapToGrid w:val="0"/>
          <w:kern w:val="22"/>
          <w:lang w:eastAsia="zh-CN"/>
        </w:rPr>
        <w:t>酌情提供有效的激励措施，根据国际义务将生物多样性纳入健康部门的主流，</w:t>
      </w:r>
    </w:p>
    <w:p w:rsidR="000C6210" w:rsidRDefault="000C6210" w:rsidP="000A1A91">
      <w:pPr>
        <w:pStyle w:val="ListParagraph"/>
        <w:numPr>
          <w:ilvl w:val="0"/>
          <w:numId w:val="33"/>
        </w:numPr>
        <w:suppressLineNumbers/>
        <w:suppressAutoHyphens/>
        <w:adjustRightInd w:val="0"/>
        <w:ind w:left="0" w:firstLine="720"/>
        <w:rPr>
          <w:rFonts w:eastAsiaTheme="minorEastAsia"/>
          <w:kern w:val="22"/>
          <w:lang w:eastAsia="zh-CN"/>
        </w:rPr>
      </w:pPr>
      <w:r w:rsidRPr="00066F06">
        <w:rPr>
          <w:rFonts w:eastAsiaTheme="minorEastAsia"/>
          <w:kern w:val="22"/>
          <w:lang w:eastAsia="zh-CN"/>
        </w:rPr>
        <w:t>促进和加强</w:t>
      </w:r>
      <w:r>
        <w:rPr>
          <w:rFonts w:eastAsiaTheme="minorEastAsia"/>
          <w:kern w:val="22"/>
          <w:lang w:eastAsia="zh-CN"/>
        </w:rPr>
        <w:t>健康</w:t>
      </w:r>
      <w:r w:rsidRPr="00066F06">
        <w:rPr>
          <w:rFonts w:eastAsiaTheme="minorEastAsia"/>
          <w:kern w:val="22"/>
          <w:lang w:eastAsia="zh-CN"/>
        </w:rPr>
        <w:t>部门实施有利于保护和可持续利用生物多样性的可持续消费和生产的最佳做法；</w:t>
      </w:r>
    </w:p>
    <w:p w:rsidR="000C6210" w:rsidRPr="00066F06" w:rsidRDefault="000C6210" w:rsidP="000A1A91">
      <w:pPr>
        <w:pStyle w:val="ListParagraph"/>
        <w:numPr>
          <w:ilvl w:val="0"/>
          <w:numId w:val="33"/>
        </w:numPr>
        <w:suppressLineNumbers/>
        <w:suppressAutoHyphens/>
        <w:adjustRightInd w:val="0"/>
        <w:ind w:left="0" w:firstLine="720"/>
        <w:rPr>
          <w:rFonts w:eastAsiaTheme="minorEastAsia"/>
          <w:kern w:val="22"/>
          <w:lang w:eastAsia="zh-CN"/>
        </w:rPr>
      </w:pPr>
      <w:r>
        <w:rPr>
          <w:rFonts w:eastAsiaTheme="minorEastAsia" w:hint="eastAsia"/>
          <w:kern w:val="22"/>
          <w:lang w:eastAsia="zh-CN"/>
        </w:rPr>
        <w:t>在相关项目的环境评估中努力审查、调整和改善生物多样性</w:t>
      </w:r>
      <w:r>
        <w:rPr>
          <w:rFonts w:eastAsiaTheme="minorEastAsia" w:hint="eastAsia"/>
          <w:kern w:val="22"/>
          <w:lang w:eastAsia="zh-CN"/>
        </w:rPr>
        <w:t>-</w:t>
      </w:r>
      <w:r>
        <w:rPr>
          <w:rFonts w:eastAsiaTheme="minorEastAsia" w:hint="eastAsia"/>
          <w:kern w:val="22"/>
          <w:lang w:eastAsia="zh-CN"/>
        </w:rPr>
        <w:t>健康的联系；</w:t>
      </w:r>
    </w:p>
    <w:p w:rsidR="000C6210" w:rsidRPr="00D3628D" w:rsidRDefault="000C6210" w:rsidP="000A1A91">
      <w:pPr>
        <w:pStyle w:val="Para1"/>
        <w:numPr>
          <w:ilvl w:val="0"/>
          <w:numId w:val="32"/>
        </w:numPr>
        <w:suppressLineNumbers/>
        <w:shd w:val="clear" w:color="auto" w:fill="FFFFFF"/>
        <w:tabs>
          <w:tab w:val="left" w:pos="1440"/>
        </w:tabs>
        <w:suppressAutoHyphens/>
        <w:adjustRightInd w:val="0"/>
        <w:snapToGrid w:val="0"/>
        <w:ind w:left="0" w:firstLine="720"/>
        <w:rPr>
          <w:rFonts w:eastAsiaTheme="minorEastAsia"/>
          <w:kern w:val="22"/>
          <w:sz w:val="24"/>
          <w:szCs w:val="24"/>
          <w:lang w:eastAsia="zh-CN"/>
        </w:rPr>
      </w:pPr>
      <w:r w:rsidRPr="00EF08E7">
        <w:rPr>
          <w:rFonts w:ascii="KaiTi" w:eastAsia="KaiTi" w:hAnsi="KaiTi"/>
          <w:sz w:val="24"/>
          <w:szCs w:val="24"/>
          <w:lang w:eastAsia="zh-CN"/>
        </w:rPr>
        <w:t>邀请</w:t>
      </w:r>
      <w:r w:rsidRPr="00626D66">
        <w:rPr>
          <w:rFonts w:eastAsiaTheme="minorEastAsia"/>
          <w:sz w:val="24"/>
          <w:szCs w:val="24"/>
          <w:lang w:eastAsia="zh-CN"/>
        </w:rPr>
        <w:t>世界卫生组织</w:t>
      </w:r>
      <w:r w:rsidRPr="00626D66">
        <w:rPr>
          <w:rFonts w:eastAsiaTheme="minorEastAsia"/>
          <w:sz w:val="24"/>
          <w:szCs w:val="24"/>
          <w:lang w:val="en-US" w:eastAsia="zh-CN"/>
        </w:rPr>
        <w:t>、</w:t>
      </w:r>
      <w:r w:rsidRPr="00626D66">
        <w:rPr>
          <w:rFonts w:eastAsiaTheme="minorEastAsia"/>
          <w:sz w:val="24"/>
          <w:szCs w:val="24"/>
          <w:lang w:eastAsia="zh-CN"/>
        </w:rPr>
        <w:t>世界动物卫生组织、联合国粮食及农业组织和其他相关组织</w:t>
      </w:r>
      <w:r w:rsidRPr="00626D66">
        <w:rPr>
          <w:rFonts w:eastAsiaTheme="minorEastAsia"/>
          <w:sz w:val="24"/>
          <w:szCs w:val="24"/>
          <w:lang w:val="en-US" w:eastAsia="zh-CN"/>
        </w:rPr>
        <w:t>在加强预防疾病的工作中考虑基于生态系统的办法；</w:t>
      </w:r>
    </w:p>
    <w:p w:rsidR="000C6210" w:rsidRPr="00236D85" w:rsidRDefault="000C6210" w:rsidP="000A1A91">
      <w:pPr>
        <w:pStyle w:val="Para1"/>
        <w:numPr>
          <w:ilvl w:val="0"/>
          <w:numId w:val="32"/>
        </w:numPr>
        <w:suppressLineNumbers/>
        <w:shd w:val="clear" w:color="auto" w:fill="FFFFFF"/>
        <w:tabs>
          <w:tab w:val="left" w:pos="1440"/>
        </w:tabs>
        <w:suppressAutoHyphens/>
        <w:adjustRightInd w:val="0"/>
        <w:snapToGrid w:val="0"/>
        <w:ind w:left="0" w:firstLine="720"/>
        <w:rPr>
          <w:rFonts w:eastAsiaTheme="minorEastAsia"/>
          <w:sz w:val="24"/>
          <w:szCs w:val="24"/>
          <w:lang w:val="en-US"/>
        </w:rPr>
      </w:pPr>
      <w:r w:rsidRPr="00236D85">
        <w:rPr>
          <w:rFonts w:ascii="KaiTi" w:eastAsia="KaiTi" w:hAnsi="KaiTi"/>
          <w:sz w:val="24"/>
          <w:szCs w:val="24"/>
        </w:rPr>
        <w:t>邀请</w:t>
      </w:r>
      <w:r w:rsidRPr="00236D85">
        <w:rPr>
          <w:rFonts w:eastAsiaTheme="minorEastAsia"/>
          <w:sz w:val="24"/>
          <w:szCs w:val="24"/>
          <w:lang w:val="zh-CN"/>
        </w:rPr>
        <w:t>世界卫生组织：</w:t>
      </w:r>
    </w:p>
    <w:p w:rsidR="000C6210" w:rsidRPr="00D3628D" w:rsidRDefault="000C6210" w:rsidP="000A1A91">
      <w:pPr>
        <w:pStyle w:val="StylePara1Kernat11pt"/>
        <w:numPr>
          <w:ilvl w:val="0"/>
          <w:numId w:val="35"/>
        </w:numPr>
        <w:suppressLineNumbers/>
        <w:tabs>
          <w:tab w:val="clear" w:pos="1260"/>
          <w:tab w:val="left" w:pos="1440"/>
        </w:tabs>
        <w:suppressAutoHyphens/>
        <w:adjustRightInd w:val="0"/>
        <w:snapToGrid w:val="0"/>
        <w:ind w:left="0" w:firstLine="720"/>
        <w:rPr>
          <w:rFonts w:eastAsiaTheme="minorEastAsia"/>
          <w:color w:val="000000" w:themeColor="text1"/>
          <w:sz w:val="24"/>
          <w:szCs w:val="24"/>
          <w:lang w:eastAsia="zh-CN"/>
        </w:rPr>
      </w:pPr>
      <w:r w:rsidRPr="00D3628D">
        <w:rPr>
          <w:rFonts w:eastAsiaTheme="minorEastAsia"/>
          <w:color w:val="000000" w:themeColor="text1"/>
          <w:sz w:val="24"/>
          <w:szCs w:val="24"/>
          <w:lang w:eastAsia="zh-CN"/>
        </w:rPr>
        <w:t>与其他相关伙伴合作，支持执行本决定和第</w:t>
      </w:r>
      <w:r w:rsidRPr="00D3628D">
        <w:rPr>
          <w:rFonts w:eastAsiaTheme="minorEastAsia"/>
          <w:color w:val="000000" w:themeColor="text1"/>
          <w:sz w:val="24"/>
          <w:szCs w:val="24"/>
          <w:lang w:eastAsia="zh-CN"/>
        </w:rPr>
        <w:t>XIII/6</w:t>
      </w:r>
      <w:r w:rsidRPr="00D3628D">
        <w:rPr>
          <w:rFonts w:eastAsiaTheme="minorEastAsia"/>
          <w:color w:val="000000" w:themeColor="text1"/>
          <w:sz w:val="24"/>
          <w:szCs w:val="24"/>
          <w:lang w:eastAsia="zh-CN"/>
        </w:rPr>
        <w:t>号决定；</w:t>
      </w:r>
    </w:p>
    <w:p w:rsidR="000C6210" w:rsidRPr="00D3628D" w:rsidRDefault="000C6210" w:rsidP="000A1A91">
      <w:pPr>
        <w:pStyle w:val="StylePara1Kernat11pt"/>
        <w:numPr>
          <w:ilvl w:val="0"/>
          <w:numId w:val="35"/>
        </w:numPr>
        <w:suppressLineNumbers/>
        <w:tabs>
          <w:tab w:val="clear" w:pos="1260"/>
          <w:tab w:val="left" w:pos="1440"/>
        </w:tabs>
        <w:suppressAutoHyphens/>
        <w:adjustRightInd w:val="0"/>
        <w:snapToGrid w:val="0"/>
        <w:spacing w:line="240" w:lineRule="atLeast"/>
        <w:ind w:left="0" w:firstLine="720"/>
        <w:rPr>
          <w:rFonts w:eastAsiaTheme="minorEastAsia"/>
          <w:color w:val="000000" w:themeColor="text1"/>
          <w:sz w:val="24"/>
          <w:szCs w:val="24"/>
          <w:lang w:eastAsia="zh-CN"/>
        </w:rPr>
      </w:pPr>
      <w:r w:rsidRPr="00D3628D">
        <w:rPr>
          <w:rFonts w:eastAsiaTheme="minorEastAsia"/>
          <w:color w:val="000000" w:themeColor="text1"/>
          <w:sz w:val="24"/>
          <w:szCs w:val="24"/>
          <w:lang w:eastAsia="zh-CN"/>
        </w:rPr>
        <w:t>进一步支持制定和执行</w:t>
      </w:r>
      <w:r>
        <w:rPr>
          <w:rFonts w:eastAsiaTheme="minorEastAsia" w:hint="eastAsia"/>
          <w:color w:val="000000" w:themeColor="text1"/>
          <w:sz w:val="24"/>
          <w:szCs w:val="24"/>
          <w:lang w:eastAsia="zh-CN"/>
        </w:rPr>
        <w:t>各项</w:t>
      </w:r>
      <w:r w:rsidRPr="00D3628D">
        <w:rPr>
          <w:rFonts w:eastAsiaTheme="minorEastAsia"/>
          <w:color w:val="000000" w:themeColor="text1"/>
          <w:sz w:val="24"/>
          <w:szCs w:val="24"/>
          <w:lang w:eastAsia="zh-CN"/>
        </w:rPr>
        <w:t>措施、指导意见和工具，</w:t>
      </w:r>
      <w:r>
        <w:rPr>
          <w:rFonts w:eastAsiaTheme="minorEastAsia"/>
          <w:color w:val="000000" w:themeColor="text1"/>
          <w:sz w:val="24"/>
          <w:szCs w:val="24"/>
          <w:lang w:eastAsia="zh-CN"/>
        </w:rPr>
        <w:t>以促进和支持</w:t>
      </w:r>
      <w:r w:rsidRPr="00D3628D">
        <w:rPr>
          <w:rFonts w:eastAsiaTheme="minorEastAsia"/>
          <w:color w:val="000000" w:themeColor="text1"/>
          <w:sz w:val="24"/>
          <w:szCs w:val="24"/>
          <w:lang w:eastAsia="zh-CN"/>
        </w:rPr>
        <w:t>将生物多样性和健康之间的联系纳入</w:t>
      </w:r>
      <w:r>
        <w:rPr>
          <w:rFonts w:eastAsiaTheme="minorEastAsia"/>
          <w:color w:val="000000" w:themeColor="text1"/>
          <w:sz w:val="24"/>
          <w:szCs w:val="24"/>
          <w:lang w:eastAsia="zh-CN"/>
        </w:rPr>
        <w:t>健康</w:t>
      </w:r>
      <w:r w:rsidRPr="00D3628D">
        <w:rPr>
          <w:rFonts w:eastAsiaTheme="minorEastAsia"/>
          <w:color w:val="000000" w:themeColor="text1"/>
          <w:sz w:val="24"/>
          <w:szCs w:val="24"/>
          <w:lang w:eastAsia="zh-CN"/>
        </w:rPr>
        <w:t>部门的主流，并考虑建立一个定期报告机制，报告《生物多样性公约》和世界卫生组织联合工作方案下生物多样性和健康活动的进展</w:t>
      </w:r>
      <w:r>
        <w:rPr>
          <w:rFonts w:eastAsiaTheme="minorEastAsia" w:hint="eastAsia"/>
          <w:color w:val="000000" w:themeColor="text1"/>
          <w:sz w:val="24"/>
          <w:szCs w:val="24"/>
          <w:lang w:eastAsia="zh-CN"/>
        </w:rPr>
        <w:t>情况</w:t>
      </w:r>
      <w:r w:rsidRPr="00D3628D">
        <w:rPr>
          <w:rFonts w:eastAsiaTheme="minorEastAsia"/>
          <w:color w:val="000000" w:themeColor="text1"/>
          <w:sz w:val="24"/>
          <w:szCs w:val="24"/>
          <w:lang w:eastAsia="zh-CN"/>
        </w:rPr>
        <w:t>；</w:t>
      </w:r>
    </w:p>
    <w:p w:rsidR="000C6210" w:rsidRPr="00D3628D" w:rsidRDefault="000C6210" w:rsidP="000A1A91">
      <w:pPr>
        <w:pStyle w:val="Para1"/>
        <w:numPr>
          <w:ilvl w:val="0"/>
          <w:numId w:val="32"/>
        </w:numPr>
        <w:suppressLineNumbers/>
        <w:shd w:val="clear" w:color="auto" w:fill="FFFFFF"/>
        <w:tabs>
          <w:tab w:val="left" w:pos="1440"/>
        </w:tabs>
        <w:suppressAutoHyphens/>
        <w:adjustRightInd w:val="0"/>
        <w:snapToGrid w:val="0"/>
        <w:ind w:left="0" w:firstLine="720"/>
        <w:rPr>
          <w:rFonts w:eastAsiaTheme="minorEastAsia"/>
          <w:sz w:val="24"/>
          <w:szCs w:val="24"/>
          <w:lang w:eastAsia="zh-CN"/>
        </w:rPr>
      </w:pPr>
      <w:r w:rsidRPr="00B32A81">
        <w:rPr>
          <w:rFonts w:ascii="KaiTi" w:eastAsia="KaiTi" w:hAnsi="KaiTi"/>
          <w:sz w:val="24"/>
          <w:szCs w:val="24"/>
          <w:lang w:eastAsia="zh-CN"/>
        </w:rPr>
        <w:t>邀请</w:t>
      </w:r>
      <w:r w:rsidRPr="00D3628D">
        <w:rPr>
          <w:rFonts w:eastAsiaTheme="minorEastAsia"/>
          <w:sz w:val="24"/>
          <w:szCs w:val="24"/>
          <w:lang w:val="zh-CN" w:eastAsia="zh-CN"/>
        </w:rPr>
        <w:t>有能力的捐助者和供资机构在发展中国家缔约方特别是其中的最不发达国家包括小岛屿发展中国家和经济转型国家提出请求时</w:t>
      </w:r>
      <w:r w:rsidRPr="00D3628D">
        <w:rPr>
          <w:rFonts w:eastAsiaTheme="minorEastAsia"/>
          <w:sz w:val="24"/>
          <w:szCs w:val="24"/>
          <w:lang w:eastAsia="zh-CN"/>
        </w:rPr>
        <w:t>，向</w:t>
      </w:r>
      <w:r w:rsidRPr="00D3628D">
        <w:rPr>
          <w:rFonts w:eastAsiaTheme="minorEastAsia"/>
          <w:sz w:val="24"/>
          <w:szCs w:val="24"/>
          <w:lang w:val="zh-CN" w:eastAsia="zh-CN"/>
        </w:rPr>
        <w:t>跨部门生物多样性和健康主流化的国家项目提供资金</w:t>
      </w:r>
      <w:r w:rsidRPr="00D3628D">
        <w:rPr>
          <w:rFonts w:eastAsiaTheme="minorEastAsia"/>
          <w:sz w:val="24"/>
          <w:szCs w:val="24"/>
          <w:lang w:eastAsia="zh-CN"/>
        </w:rPr>
        <w:t>；</w:t>
      </w:r>
    </w:p>
    <w:p w:rsidR="000C6210" w:rsidRPr="00D3628D" w:rsidRDefault="000C6210" w:rsidP="000A1A91">
      <w:pPr>
        <w:pStyle w:val="Para1"/>
        <w:numPr>
          <w:ilvl w:val="0"/>
          <w:numId w:val="32"/>
        </w:numPr>
        <w:suppressLineNumbers/>
        <w:shd w:val="clear" w:color="auto" w:fill="FFFFFF"/>
        <w:tabs>
          <w:tab w:val="left" w:pos="1440"/>
        </w:tabs>
        <w:suppressAutoHyphens/>
        <w:adjustRightInd w:val="0"/>
        <w:snapToGrid w:val="0"/>
        <w:ind w:left="0" w:firstLine="720"/>
        <w:rPr>
          <w:rFonts w:eastAsiaTheme="minorEastAsia"/>
          <w:sz w:val="24"/>
          <w:szCs w:val="24"/>
          <w:lang w:eastAsia="zh-CN"/>
        </w:rPr>
      </w:pPr>
      <w:r w:rsidRPr="00B32A81">
        <w:rPr>
          <w:rFonts w:ascii="KaiTi" w:eastAsia="KaiTi" w:hAnsi="KaiTi"/>
          <w:sz w:val="24"/>
          <w:szCs w:val="24"/>
          <w:lang w:eastAsia="zh-CN"/>
        </w:rPr>
        <w:t>请</w:t>
      </w:r>
      <w:r w:rsidRPr="00D3628D">
        <w:rPr>
          <w:rFonts w:eastAsiaTheme="minorEastAsia"/>
          <w:sz w:val="24"/>
          <w:szCs w:val="24"/>
          <w:lang w:val="zh-CN" w:eastAsia="zh-CN"/>
        </w:rPr>
        <w:t>执行秘书在资源允许的情况下</w:t>
      </w:r>
      <w:r w:rsidRPr="00D3628D">
        <w:rPr>
          <w:rFonts w:eastAsiaTheme="minorEastAsia"/>
          <w:sz w:val="24"/>
          <w:szCs w:val="24"/>
          <w:lang w:eastAsia="zh-CN"/>
        </w:rPr>
        <w:t>，</w:t>
      </w:r>
      <w:r>
        <w:rPr>
          <w:rFonts w:eastAsiaTheme="minorEastAsia" w:hint="eastAsia"/>
          <w:sz w:val="24"/>
          <w:szCs w:val="24"/>
          <w:lang w:eastAsia="zh-CN"/>
        </w:rPr>
        <w:t>并</w:t>
      </w:r>
      <w:r w:rsidRPr="00B32A81">
        <w:rPr>
          <w:rFonts w:ascii="KaiTi" w:eastAsia="KaiTi" w:hAnsi="KaiTi"/>
          <w:sz w:val="24"/>
          <w:szCs w:val="24"/>
          <w:lang w:eastAsia="zh-CN"/>
        </w:rPr>
        <w:t>邀请</w:t>
      </w:r>
      <w:r w:rsidRPr="00D3628D">
        <w:rPr>
          <w:rFonts w:eastAsiaTheme="minorEastAsia"/>
          <w:sz w:val="24"/>
          <w:szCs w:val="24"/>
          <w:lang w:eastAsia="zh-CN"/>
        </w:rPr>
        <w:t>世界卫生组织</w:t>
      </w:r>
      <w:r w:rsidRPr="00D3628D">
        <w:rPr>
          <w:rFonts w:eastAsiaTheme="minorEastAsia"/>
          <w:sz w:val="24"/>
          <w:szCs w:val="24"/>
          <w:lang w:val="zh-CN" w:eastAsia="zh-CN"/>
        </w:rPr>
        <w:t>酌情与生物多样性和健康问题联络小组其他成员及其他伙伴合作</w:t>
      </w:r>
      <w:r w:rsidRPr="00D3628D">
        <w:rPr>
          <w:rFonts w:eastAsiaTheme="minorEastAsia"/>
          <w:sz w:val="24"/>
          <w:szCs w:val="24"/>
          <w:lang w:eastAsia="zh-CN"/>
        </w:rPr>
        <w:t>：</w:t>
      </w:r>
    </w:p>
    <w:p w:rsidR="000C6210" w:rsidRPr="00D3628D" w:rsidRDefault="000C6210" w:rsidP="000A1A91">
      <w:pPr>
        <w:pStyle w:val="ListParagraph"/>
        <w:numPr>
          <w:ilvl w:val="0"/>
          <w:numId w:val="34"/>
        </w:numPr>
        <w:suppressLineNumbers/>
        <w:tabs>
          <w:tab w:val="left" w:pos="1440"/>
        </w:tabs>
        <w:suppressAutoHyphens/>
        <w:adjustRightInd w:val="0"/>
        <w:snapToGrid w:val="0"/>
        <w:spacing w:line="240" w:lineRule="atLeast"/>
        <w:ind w:left="0" w:firstLine="720"/>
        <w:rPr>
          <w:rFonts w:eastAsiaTheme="minorEastAsia"/>
          <w:kern w:val="22"/>
          <w:lang w:eastAsia="zh-CN"/>
        </w:rPr>
      </w:pPr>
      <w:r w:rsidRPr="00D3628D">
        <w:rPr>
          <w:rFonts w:eastAsiaTheme="minorEastAsia"/>
          <w:lang w:val="zh-CN" w:eastAsia="zh-CN"/>
        </w:rPr>
        <w:t>制定关于生物多样性和健康的科学综合指标</w:t>
      </w:r>
      <w:r>
        <w:rPr>
          <w:rFonts w:eastAsiaTheme="minorEastAsia" w:hint="eastAsia"/>
          <w:lang w:val="zh-CN" w:eastAsia="zh-CN"/>
        </w:rPr>
        <w:t>、</w:t>
      </w:r>
      <w:r w:rsidRPr="00D3628D">
        <w:rPr>
          <w:rFonts w:eastAsiaTheme="minorEastAsia"/>
          <w:color w:val="000000"/>
          <w:lang w:eastAsia="zh-CN"/>
        </w:rPr>
        <w:t>标尺</w:t>
      </w:r>
      <w:r>
        <w:rPr>
          <w:rFonts w:eastAsiaTheme="minorEastAsia"/>
          <w:color w:val="000000"/>
          <w:lang w:eastAsia="zh-CN"/>
        </w:rPr>
        <w:t>和</w:t>
      </w:r>
      <w:r w:rsidRPr="00D3628D">
        <w:rPr>
          <w:rFonts w:eastAsiaTheme="minorEastAsia"/>
          <w:color w:val="000000"/>
          <w:lang w:eastAsia="zh-CN"/>
        </w:rPr>
        <w:t>进展衡量工具</w:t>
      </w:r>
      <w:r w:rsidRPr="00D3628D">
        <w:rPr>
          <w:rFonts w:eastAsiaTheme="minorEastAsia"/>
          <w:lang w:eastAsia="zh-CN"/>
        </w:rPr>
        <w:t>；</w:t>
      </w:r>
    </w:p>
    <w:p w:rsidR="000C6210" w:rsidRPr="00D3628D" w:rsidRDefault="000C6210" w:rsidP="000A1A91">
      <w:pPr>
        <w:pStyle w:val="ListParagraph"/>
        <w:numPr>
          <w:ilvl w:val="0"/>
          <w:numId w:val="34"/>
        </w:numPr>
        <w:suppressLineNumbers/>
        <w:tabs>
          <w:tab w:val="left" w:pos="1440"/>
        </w:tabs>
        <w:suppressAutoHyphens/>
        <w:adjustRightInd w:val="0"/>
        <w:snapToGrid w:val="0"/>
        <w:spacing w:line="240" w:lineRule="atLeast"/>
        <w:ind w:left="0" w:firstLine="720"/>
        <w:rPr>
          <w:rFonts w:eastAsiaTheme="minorEastAsia"/>
          <w:kern w:val="22"/>
          <w:lang w:eastAsia="zh-CN"/>
        </w:rPr>
      </w:pPr>
      <w:r w:rsidRPr="00D3628D">
        <w:rPr>
          <w:rFonts w:eastAsiaTheme="minorEastAsia"/>
          <w:lang w:val="zh-CN" w:eastAsia="zh-CN"/>
        </w:rPr>
        <w:t>为</w:t>
      </w:r>
      <w:r>
        <w:rPr>
          <w:rFonts w:eastAsiaTheme="minorEastAsia"/>
          <w:lang w:val="zh-CN" w:eastAsia="zh-CN"/>
        </w:rPr>
        <w:t>健康</w:t>
      </w:r>
      <w:r w:rsidRPr="00D3628D">
        <w:rPr>
          <w:rFonts w:eastAsiaTheme="minorEastAsia"/>
          <w:lang w:val="zh-CN" w:eastAsia="zh-CN"/>
        </w:rPr>
        <w:t>部门制定关于生物多样性主流化的</w:t>
      </w:r>
      <w:r>
        <w:rPr>
          <w:rFonts w:eastAsiaTheme="minorEastAsia" w:hint="eastAsia"/>
          <w:lang w:val="zh-CN" w:eastAsia="zh-CN"/>
        </w:rPr>
        <w:t>有针对性的</w:t>
      </w:r>
      <w:r w:rsidRPr="00D3628D">
        <w:rPr>
          <w:rFonts w:eastAsiaTheme="minorEastAsia"/>
          <w:lang w:val="zh-CN" w:eastAsia="zh-CN"/>
        </w:rPr>
        <w:t>信息传递</w:t>
      </w:r>
      <w:r>
        <w:rPr>
          <w:rFonts w:eastAsiaTheme="minorEastAsia" w:hint="eastAsia"/>
          <w:lang w:val="zh-CN" w:eastAsia="zh-CN"/>
        </w:rPr>
        <w:t>办法</w:t>
      </w:r>
      <w:r w:rsidRPr="00D3628D">
        <w:rPr>
          <w:rFonts w:eastAsiaTheme="minorEastAsia"/>
          <w:lang w:eastAsia="zh-CN"/>
        </w:rPr>
        <w:t>，</w:t>
      </w:r>
      <w:r w:rsidRPr="00D3628D">
        <w:rPr>
          <w:rFonts w:eastAsiaTheme="minorEastAsia"/>
          <w:lang w:val="zh-CN" w:eastAsia="zh-CN"/>
        </w:rPr>
        <w:t>包括作为</w:t>
      </w:r>
      <w:hyperlink r:id="rId21" w:history="1">
        <w:r w:rsidRPr="000C6210">
          <w:rPr>
            <w:rFonts w:eastAsiaTheme="minorEastAsia"/>
            <w:lang w:val="zh-CN" w:eastAsia="zh-CN"/>
          </w:rPr>
          <w:t>第</w:t>
        </w:r>
        <w:r w:rsidRPr="00D3628D">
          <w:rPr>
            <w:rStyle w:val="Hyperlink"/>
            <w:rFonts w:eastAsiaTheme="minorEastAsia"/>
            <w:kern w:val="22"/>
            <w:lang w:eastAsia="zh-CN"/>
          </w:rPr>
          <w:t>XII/2</w:t>
        </w:r>
        <w:r w:rsidRPr="000C6210">
          <w:rPr>
            <w:rFonts w:eastAsiaTheme="minorEastAsia"/>
            <w:lang w:val="zh-CN" w:eastAsia="zh-CN"/>
          </w:rPr>
          <w:t>号决定</w:t>
        </w:r>
      </w:hyperlink>
      <w:r w:rsidRPr="00D3628D">
        <w:rPr>
          <w:rFonts w:eastAsiaTheme="minorEastAsia"/>
          <w:lang w:val="zh-CN" w:eastAsia="zh-CN"/>
        </w:rPr>
        <w:t>规定的全球传播战略和信息传递</w:t>
      </w:r>
      <w:r>
        <w:rPr>
          <w:rFonts w:eastAsiaTheme="minorEastAsia" w:hint="eastAsia"/>
          <w:lang w:val="zh-CN" w:eastAsia="zh-CN"/>
        </w:rPr>
        <w:t>办法</w:t>
      </w:r>
      <w:r w:rsidRPr="00D3628D">
        <w:rPr>
          <w:rFonts w:eastAsiaTheme="minorEastAsia"/>
          <w:lang w:val="zh-CN" w:eastAsia="zh-CN"/>
        </w:rPr>
        <w:t>的一部分</w:t>
      </w:r>
      <w:r w:rsidRPr="00D3628D">
        <w:rPr>
          <w:rFonts w:eastAsiaTheme="minorEastAsia"/>
          <w:lang w:eastAsia="zh-CN"/>
        </w:rPr>
        <w:t>；</w:t>
      </w:r>
    </w:p>
    <w:p w:rsidR="000C6210" w:rsidRPr="00D3628D" w:rsidRDefault="000C6210" w:rsidP="000A1A91">
      <w:pPr>
        <w:pStyle w:val="ListParagraph"/>
        <w:numPr>
          <w:ilvl w:val="0"/>
          <w:numId w:val="34"/>
        </w:numPr>
        <w:suppressLineNumbers/>
        <w:tabs>
          <w:tab w:val="left" w:pos="1440"/>
        </w:tabs>
        <w:suppressAutoHyphens/>
        <w:adjustRightInd w:val="0"/>
        <w:snapToGrid w:val="0"/>
        <w:spacing w:line="240" w:lineRule="atLeast"/>
        <w:ind w:left="0" w:firstLine="720"/>
        <w:rPr>
          <w:rFonts w:eastAsiaTheme="minorEastAsia"/>
          <w:kern w:val="22"/>
          <w:lang w:eastAsia="zh-CN"/>
        </w:rPr>
      </w:pPr>
      <w:r w:rsidRPr="00D3628D">
        <w:rPr>
          <w:rFonts w:eastAsiaTheme="minorEastAsia"/>
          <w:lang w:val="zh-CN" w:eastAsia="zh-CN"/>
        </w:rPr>
        <w:t>制定将生物多样性和健康的联系纳入国家政策、战略、方案和账户主流的全球行动计划草案</w:t>
      </w:r>
      <w:r w:rsidRPr="00D3628D">
        <w:rPr>
          <w:rFonts w:eastAsiaTheme="minorEastAsia"/>
          <w:lang w:eastAsia="zh-CN"/>
        </w:rPr>
        <w:t>，</w:t>
      </w:r>
      <w:r w:rsidRPr="00D3628D">
        <w:rPr>
          <w:rFonts w:eastAsiaTheme="minorEastAsia"/>
          <w:lang w:val="zh-CN" w:eastAsia="zh-CN"/>
        </w:rPr>
        <w:t>以便在第</w:t>
      </w:r>
      <w:r w:rsidRPr="00D3628D">
        <w:rPr>
          <w:rFonts w:eastAsiaTheme="minorEastAsia"/>
          <w:kern w:val="22"/>
          <w:lang w:eastAsia="zh-CN"/>
        </w:rPr>
        <w:t>XIII/6</w:t>
      </w:r>
      <w:r w:rsidRPr="00D3628D">
        <w:rPr>
          <w:rFonts w:eastAsiaTheme="minorEastAsia"/>
          <w:lang w:val="zh-CN" w:eastAsia="zh-CN"/>
        </w:rPr>
        <w:t>号决定和将生物多样性考虑纳入</w:t>
      </w:r>
      <w:r w:rsidRPr="00B32A81">
        <w:rPr>
          <w:rFonts w:ascii="SimSun" w:hAnsi="SimSun"/>
          <w:lang w:eastAsia="zh-CN"/>
        </w:rPr>
        <w:t>“</w:t>
      </w:r>
      <w:r w:rsidRPr="000C6210">
        <w:rPr>
          <w:rFonts w:eastAsiaTheme="minorEastAsia"/>
          <w:lang w:val="zh-CN" w:eastAsia="zh-CN"/>
        </w:rPr>
        <w:t>一体化健康</w:t>
      </w:r>
      <w:r w:rsidRPr="00B32A81">
        <w:rPr>
          <w:rFonts w:ascii="SimSun" w:hAnsi="SimSun"/>
          <w:lang w:eastAsia="zh-CN"/>
        </w:rPr>
        <w:t>”</w:t>
      </w:r>
      <w:r>
        <w:rPr>
          <w:rFonts w:eastAsiaTheme="minorEastAsia" w:hint="eastAsia"/>
          <w:lang w:val="zh-CN" w:eastAsia="zh-CN"/>
        </w:rPr>
        <w:t>办法</w:t>
      </w:r>
      <w:r>
        <w:rPr>
          <w:rFonts w:asciiTheme="minorEastAsia" w:eastAsiaTheme="minorEastAsia" w:hAnsiTheme="minorEastAsia" w:hint="eastAsia"/>
          <w:lang w:eastAsia="zh-CN"/>
        </w:rPr>
        <w:t>和其他整体性办法</w:t>
      </w:r>
      <w:r w:rsidRPr="00D3628D">
        <w:rPr>
          <w:rFonts w:eastAsiaTheme="minorEastAsia"/>
          <w:lang w:val="zh-CN" w:eastAsia="zh-CN"/>
        </w:rPr>
        <w:t>指导意见的基础上</w:t>
      </w:r>
      <w:r w:rsidRPr="00D3628D">
        <w:rPr>
          <w:rFonts w:eastAsiaTheme="minorEastAsia"/>
          <w:lang w:eastAsia="zh-CN"/>
        </w:rPr>
        <w:t>，</w:t>
      </w:r>
      <w:r w:rsidRPr="00D3628D">
        <w:rPr>
          <w:rFonts w:eastAsiaTheme="minorEastAsia"/>
          <w:lang w:val="zh-CN" w:eastAsia="zh-CN"/>
        </w:rPr>
        <w:t>进一步支持缔约方将生物多样性和健康的联系</w:t>
      </w:r>
      <w:r>
        <w:rPr>
          <w:rFonts w:eastAsiaTheme="minorEastAsia"/>
          <w:lang w:val="zh-CN" w:eastAsia="zh-CN"/>
        </w:rPr>
        <w:t>纳入</w:t>
      </w:r>
      <w:r w:rsidRPr="00D3628D">
        <w:rPr>
          <w:rFonts w:eastAsiaTheme="minorEastAsia"/>
          <w:lang w:val="zh-CN" w:eastAsia="zh-CN"/>
        </w:rPr>
        <w:t>主流</w:t>
      </w:r>
      <w:r>
        <w:rPr>
          <w:rFonts w:eastAsiaTheme="minorEastAsia" w:hint="eastAsia"/>
          <w:lang w:val="zh-CN" w:eastAsia="zh-CN"/>
        </w:rPr>
        <w:t>；</w:t>
      </w:r>
      <w:r w:rsidRPr="001A2AC9">
        <w:rPr>
          <w:rStyle w:val="FootnoteReference"/>
          <w:rFonts w:eastAsiaTheme="minorEastAsia"/>
          <w:kern w:val="22"/>
          <w:sz w:val="24"/>
          <w:u w:val="none"/>
          <w:vertAlign w:val="superscript"/>
          <w:lang w:val="zh-CN"/>
        </w:rPr>
        <w:footnoteReference w:id="40"/>
      </w:r>
    </w:p>
    <w:p w:rsidR="000C6210" w:rsidRPr="00626D66" w:rsidRDefault="000C6210" w:rsidP="000A1A91">
      <w:pPr>
        <w:pStyle w:val="Para1"/>
        <w:numPr>
          <w:ilvl w:val="0"/>
          <w:numId w:val="32"/>
        </w:numPr>
        <w:suppressLineNumbers/>
        <w:shd w:val="clear" w:color="auto" w:fill="FFFFFF"/>
        <w:tabs>
          <w:tab w:val="left" w:pos="1440"/>
        </w:tabs>
        <w:suppressAutoHyphens/>
        <w:adjustRightInd w:val="0"/>
        <w:snapToGrid w:val="0"/>
        <w:ind w:left="0" w:firstLine="720"/>
        <w:rPr>
          <w:rFonts w:eastAsiaTheme="minorEastAsia"/>
          <w:sz w:val="24"/>
          <w:szCs w:val="24"/>
          <w:lang w:eastAsia="zh-CN"/>
        </w:rPr>
      </w:pPr>
      <w:r w:rsidRPr="00EF08E7">
        <w:rPr>
          <w:rFonts w:ascii="KaiTi" w:eastAsia="KaiTi" w:hAnsi="KaiTi"/>
          <w:sz w:val="24"/>
          <w:szCs w:val="24"/>
          <w:lang w:eastAsia="zh-CN"/>
        </w:rPr>
        <w:lastRenderedPageBreak/>
        <w:t>请</w:t>
      </w:r>
      <w:r w:rsidRPr="00626D66">
        <w:rPr>
          <w:rFonts w:eastAsiaTheme="minorEastAsia"/>
          <w:sz w:val="24"/>
          <w:szCs w:val="24"/>
          <w:lang w:eastAsia="zh-CN"/>
        </w:rPr>
        <w:t>执行秘书在</w:t>
      </w:r>
      <w:r>
        <w:rPr>
          <w:rFonts w:eastAsiaTheme="minorEastAsia"/>
          <w:sz w:val="24"/>
          <w:szCs w:val="24"/>
          <w:lang w:eastAsia="zh-CN"/>
        </w:rPr>
        <w:t>资源允许</w:t>
      </w:r>
      <w:r w:rsidRPr="00626D66">
        <w:rPr>
          <w:rFonts w:eastAsiaTheme="minorEastAsia"/>
          <w:sz w:val="24"/>
          <w:szCs w:val="24"/>
          <w:lang w:eastAsia="zh-CN"/>
        </w:rPr>
        <w:t>的情况下</w:t>
      </w:r>
      <w:r>
        <w:rPr>
          <w:rFonts w:eastAsiaTheme="minorEastAsia" w:hint="eastAsia"/>
          <w:sz w:val="24"/>
          <w:szCs w:val="24"/>
          <w:lang w:eastAsia="zh-CN"/>
        </w:rPr>
        <w:t>，</w:t>
      </w:r>
      <w:r w:rsidRPr="00626D66">
        <w:rPr>
          <w:rFonts w:eastAsiaTheme="minorEastAsia"/>
          <w:sz w:val="24"/>
          <w:szCs w:val="24"/>
          <w:lang w:eastAsia="zh-CN"/>
        </w:rPr>
        <w:t>并</w:t>
      </w:r>
      <w:r w:rsidRPr="004C0B12">
        <w:rPr>
          <w:rFonts w:ascii="KaiTi" w:eastAsia="KaiTi" w:hAnsi="KaiTi"/>
          <w:sz w:val="24"/>
          <w:szCs w:val="24"/>
          <w:lang w:eastAsia="zh-CN"/>
        </w:rPr>
        <w:t>邀请</w:t>
      </w:r>
      <w:r w:rsidRPr="00626D66">
        <w:rPr>
          <w:rFonts w:eastAsiaTheme="minorEastAsia"/>
          <w:sz w:val="24"/>
          <w:szCs w:val="24"/>
          <w:lang w:eastAsia="zh-CN"/>
        </w:rPr>
        <w:t>世界卫生组织和生物多样性和健康问题机构间联络小组其他成员以及其他适当合作伙伴进行</w:t>
      </w:r>
      <w:r>
        <w:rPr>
          <w:rFonts w:eastAsiaTheme="minorEastAsia" w:hint="eastAsia"/>
          <w:sz w:val="24"/>
          <w:szCs w:val="24"/>
          <w:lang w:eastAsia="zh-CN"/>
        </w:rPr>
        <w:t>合作</w:t>
      </w:r>
      <w:r w:rsidRPr="00626D66">
        <w:rPr>
          <w:rFonts w:eastAsiaTheme="minorEastAsia"/>
          <w:sz w:val="24"/>
          <w:szCs w:val="24"/>
          <w:lang w:eastAsia="zh-CN"/>
        </w:rPr>
        <w:t>：</w:t>
      </w:r>
    </w:p>
    <w:p w:rsidR="000C6210" w:rsidRPr="00626D66" w:rsidRDefault="000C6210" w:rsidP="000A1A91">
      <w:pPr>
        <w:pStyle w:val="Para1"/>
        <w:numPr>
          <w:ilvl w:val="0"/>
          <w:numId w:val="31"/>
        </w:numPr>
        <w:suppressLineNumbers/>
        <w:shd w:val="clear" w:color="auto" w:fill="FFFFFF"/>
        <w:tabs>
          <w:tab w:val="left" w:pos="1440"/>
        </w:tabs>
        <w:suppressAutoHyphens/>
        <w:adjustRightInd w:val="0"/>
        <w:snapToGrid w:val="0"/>
        <w:ind w:left="0" w:firstLine="720"/>
        <w:rPr>
          <w:rFonts w:eastAsiaTheme="minorEastAsia"/>
          <w:sz w:val="24"/>
          <w:szCs w:val="24"/>
          <w:lang w:eastAsia="zh-CN"/>
        </w:rPr>
      </w:pPr>
      <w:r w:rsidRPr="00626D66">
        <w:rPr>
          <w:rFonts w:eastAsiaTheme="minorEastAsia"/>
          <w:sz w:val="24"/>
          <w:szCs w:val="24"/>
          <w:lang w:eastAsia="zh-CN"/>
        </w:rPr>
        <w:t>酌情推动和促进与有关国家、区域和次区域利益攸关方</w:t>
      </w:r>
      <w:r>
        <w:rPr>
          <w:rFonts w:eastAsiaTheme="minorEastAsia"/>
          <w:sz w:val="24"/>
          <w:szCs w:val="24"/>
          <w:lang w:eastAsia="zh-CN"/>
        </w:rPr>
        <w:t>和组织</w:t>
      </w:r>
      <w:r w:rsidRPr="00626D66">
        <w:rPr>
          <w:rFonts w:eastAsiaTheme="minorEastAsia"/>
          <w:sz w:val="24"/>
          <w:szCs w:val="24"/>
          <w:lang w:eastAsia="zh-CN"/>
        </w:rPr>
        <w:t>就生物多样性与健康办法进行对话，以</w:t>
      </w:r>
      <w:r>
        <w:rPr>
          <w:rFonts w:eastAsiaTheme="minorEastAsia"/>
          <w:sz w:val="24"/>
          <w:szCs w:val="24"/>
          <w:lang w:eastAsia="zh-CN"/>
        </w:rPr>
        <w:t>便</w:t>
      </w:r>
      <w:r w:rsidRPr="00626D66">
        <w:rPr>
          <w:rFonts w:eastAsiaTheme="minorEastAsia"/>
          <w:sz w:val="24"/>
          <w:szCs w:val="24"/>
          <w:lang w:eastAsia="zh-CN"/>
        </w:rPr>
        <w:t>协助缔约方制定战略，</w:t>
      </w:r>
      <w:r>
        <w:rPr>
          <w:rFonts w:eastAsiaTheme="minorEastAsia"/>
          <w:sz w:val="24"/>
          <w:szCs w:val="24"/>
          <w:lang w:eastAsia="zh-CN"/>
        </w:rPr>
        <w:t>通过整体性办法</w:t>
      </w:r>
      <w:r w:rsidRPr="00626D66">
        <w:rPr>
          <w:rFonts w:eastAsiaTheme="minorEastAsia"/>
          <w:sz w:val="24"/>
          <w:szCs w:val="24"/>
          <w:lang w:eastAsia="zh-CN"/>
        </w:rPr>
        <w:t>将生物多样性与健康的联系有效纳入主流；</w:t>
      </w:r>
    </w:p>
    <w:p w:rsidR="000C6210" w:rsidRPr="005B7DA1" w:rsidRDefault="000C6210" w:rsidP="000A1A91">
      <w:pPr>
        <w:pStyle w:val="Para1"/>
        <w:numPr>
          <w:ilvl w:val="0"/>
          <w:numId w:val="31"/>
        </w:numPr>
        <w:suppressLineNumbers/>
        <w:shd w:val="clear" w:color="auto" w:fill="FFFFFF"/>
        <w:tabs>
          <w:tab w:val="left" w:pos="1440"/>
        </w:tabs>
        <w:suppressAutoHyphens/>
        <w:adjustRightInd w:val="0"/>
        <w:snapToGrid w:val="0"/>
        <w:ind w:left="0" w:firstLine="720"/>
        <w:rPr>
          <w:rFonts w:eastAsiaTheme="minorEastAsia"/>
          <w:sz w:val="24"/>
          <w:szCs w:val="24"/>
          <w:lang w:val="en-US" w:eastAsia="zh-CN"/>
        </w:rPr>
      </w:pPr>
      <w:r w:rsidRPr="005B7DA1">
        <w:rPr>
          <w:rFonts w:eastAsiaTheme="minorEastAsia"/>
          <w:sz w:val="24"/>
          <w:szCs w:val="24"/>
          <w:lang w:val="en-US" w:eastAsia="zh-CN"/>
        </w:rPr>
        <w:t>在所有区域共同举办更多</w:t>
      </w:r>
      <w:r>
        <w:rPr>
          <w:rFonts w:eastAsiaTheme="minorEastAsia" w:hint="eastAsia"/>
          <w:sz w:val="24"/>
          <w:szCs w:val="24"/>
          <w:lang w:val="en-US" w:eastAsia="zh-CN"/>
        </w:rPr>
        <w:t>关于</w:t>
      </w:r>
      <w:r w:rsidRPr="005B7DA1">
        <w:rPr>
          <w:rFonts w:eastAsiaTheme="minorEastAsia"/>
          <w:sz w:val="24"/>
          <w:szCs w:val="24"/>
          <w:lang w:val="en-US" w:eastAsia="zh-CN"/>
        </w:rPr>
        <w:t>健康和生物多样性问题区域和次区域能力建设讲习班</w:t>
      </w:r>
      <w:r w:rsidRPr="00626D66">
        <w:rPr>
          <w:rFonts w:eastAsiaTheme="minorEastAsia"/>
          <w:sz w:val="24"/>
          <w:szCs w:val="24"/>
          <w:lang w:val="en-US" w:eastAsia="zh-CN"/>
        </w:rPr>
        <w:t>；</w:t>
      </w:r>
    </w:p>
    <w:p w:rsidR="000C6210" w:rsidRPr="005B7DA1" w:rsidRDefault="000C6210" w:rsidP="000A1A91">
      <w:pPr>
        <w:pStyle w:val="Para1"/>
        <w:numPr>
          <w:ilvl w:val="0"/>
          <w:numId w:val="31"/>
        </w:numPr>
        <w:suppressLineNumbers/>
        <w:shd w:val="clear" w:color="auto" w:fill="FFFFFF"/>
        <w:tabs>
          <w:tab w:val="left" w:pos="1440"/>
        </w:tabs>
        <w:suppressAutoHyphens/>
        <w:adjustRightInd w:val="0"/>
        <w:snapToGrid w:val="0"/>
        <w:ind w:left="0" w:firstLine="720"/>
        <w:rPr>
          <w:rFonts w:eastAsiaTheme="minorEastAsia"/>
          <w:sz w:val="24"/>
          <w:szCs w:val="24"/>
          <w:lang w:val="en-US" w:eastAsia="zh-CN"/>
        </w:rPr>
      </w:pPr>
      <w:r w:rsidRPr="005B7DA1">
        <w:rPr>
          <w:rFonts w:eastAsiaTheme="minorEastAsia"/>
          <w:sz w:val="24"/>
          <w:szCs w:val="24"/>
          <w:lang w:val="en-US" w:eastAsia="zh-CN"/>
        </w:rPr>
        <w:t>汇编资料，内容包括</w:t>
      </w:r>
      <w:r w:rsidRPr="00626D66">
        <w:rPr>
          <w:rFonts w:eastAsiaTheme="minorEastAsia"/>
          <w:sz w:val="24"/>
          <w:szCs w:val="24"/>
          <w:lang w:val="en-US" w:eastAsia="zh-CN"/>
        </w:rPr>
        <w:t>微生物组和人类健康的相关研究</w:t>
      </w:r>
      <w:r w:rsidRPr="005B7DA1">
        <w:rPr>
          <w:rFonts w:eastAsiaTheme="minorEastAsia"/>
          <w:sz w:val="24"/>
          <w:szCs w:val="24"/>
          <w:lang w:val="en-US" w:eastAsia="zh-CN"/>
        </w:rPr>
        <w:t>、</w:t>
      </w:r>
      <w:r w:rsidRPr="00626D66">
        <w:rPr>
          <w:rFonts w:eastAsiaTheme="minorEastAsia"/>
          <w:sz w:val="24"/>
          <w:szCs w:val="24"/>
          <w:lang w:val="en-US" w:eastAsia="zh-CN"/>
        </w:rPr>
        <w:t>经验和最佳做法，基于保护和可持续利用生物多样性和传统知识的生产系统的设计、管理和实施及其特别是但不限于对脆弱和边缘群体营养和健康饮食的相应益处；</w:t>
      </w:r>
    </w:p>
    <w:p w:rsidR="000C6210" w:rsidRPr="00626D66" w:rsidRDefault="000C6210" w:rsidP="000A1A91">
      <w:pPr>
        <w:pStyle w:val="Para1"/>
        <w:numPr>
          <w:ilvl w:val="0"/>
          <w:numId w:val="31"/>
        </w:numPr>
        <w:suppressLineNumbers/>
        <w:shd w:val="clear" w:color="auto" w:fill="FFFFFF"/>
        <w:tabs>
          <w:tab w:val="left" w:pos="1440"/>
        </w:tabs>
        <w:suppressAutoHyphens/>
        <w:adjustRightInd w:val="0"/>
        <w:snapToGrid w:val="0"/>
        <w:ind w:left="0" w:firstLine="720"/>
        <w:rPr>
          <w:rFonts w:eastAsiaTheme="minorEastAsia"/>
          <w:sz w:val="24"/>
          <w:szCs w:val="24"/>
          <w:lang w:eastAsia="zh-CN"/>
        </w:rPr>
      </w:pPr>
      <w:r w:rsidRPr="00626D66">
        <w:rPr>
          <w:rFonts w:eastAsiaTheme="minorEastAsia"/>
          <w:sz w:val="24"/>
          <w:szCs w:val="24"/>
          <w:lang w:val="en-US" w:eastAsia="zh-CN"/>
        </w:rPr>
        <w:t>探索</w:t>
      </w:r>
      <w:r w:rsidRPr="00626D66">
        <w:rPr>
          <w:rFonts w:eastAsiaTheme="minorEastAsia"/>
          <w:kern w:val="22"/>
          <w:sz w:val="24"/>
          <w:szCs w:val="24"/>
          <w:lang w:eastAsia="zh-CN"/>
        </w:rPr>
        <w:t>有助于取得、定期更新、综合和传播健康和生物多样性的科学文献和其他报告的机制，以期支持制定良好做法指导意见；</w:t>
      </w:r>
    </w:p>
    <w:p w:rsidR="000C6210" w:rsidRDefault="000C6210" w:rsidP="000A1A91">
      <w:pPr>
        <w:pStyle w:val="Para1"/>
        <w:numPr>
          <w:ilvl w:val="0"/>
          <w:numId w:val="32"/>
        </w:numPr>
        <w:suppressLineNumbers/>
        <w:shd w:val="clear" w:color="auto" w:fill="FFFFFF"/>
        <w:tabs>
          <w:tab w:val="left" w:pos="1440"/>
        </w:tabs>
        <w:suppressAutoHyphens/>
        <w:adjustRightInd w:val="0"/>
        <w:snapToGrid w:val="0"/>
        <w:ind w:left="0" w:firstLine="720"/>
        <w:rPr>
          <w:rFonts w:eastAsiaTheme="minorEastAsia"/>
          <w:sz w:val="24"/>
          <w:szCs w:val="24"/>
          <w:lang w:eastAsia="zh-CN"/>
        </w:rPr>
      </w:pPr>
      <w:r w:rsidRPr="00EF08E7">
        <w:rPr>
          <w:rFonts w:ascii="KaiTi" w:eastAsia="KaiTi" w:hAnsi="KaiTi"/>
          <w:sz w:val="24"/>
          <w:szCs w:val="24"/>
          <w:lang w:eastAsia="zh-CN"/>
        </w:rPr>
        <w:t>请</w:t>
      </w:r>
      <w:r w:rsidRPr="00626D66">
        <w:rPr>
          <w:rFonts w:eastAsiaTheme="minorEastAsia"/>
          <w:sz w:val="24"/>
          <w:szCs w:val="24"/>
          <w:lang w:eastAsia="zh-CN"/>
        </w:rPr>
        <w:t>执行秘书</w:t>
      </w:r>
      <w:r w:rsidRPr="00626D66">
        <w:rPr>
          <w:rFonts w:eastAsiaTheme="minorEastAsia"/>
          <w:kern w:val="22"/>
          <w:sz w:val="24"/>
          <w:szCs w:val="24"/>
          <w:lang w:eastAsia="zh-CN"/>
        </w:rPr>
        <w:t>向科学</w:t>
      </w:r>
      <w:r w:rsidRPr="00626D66">
        <w:rPr>
          <w:rFonts w:eastAsiaTheme="minorEastAsia"/>
          <w:sz w:val="24"/>
          <w:szCs w:val="24"/>
          <w:lang w:eastAsia="zh-CN"/>
        </w:rPr>
        <w:t>、技术和工艺咨询附属机构第二十三次会议和执行问题附属机构第三次会议报告进展情况。</w:t>
      </w:r>
    </w:p>
    <w:p w:rsidR="0032740B" w:rsidRDefault="0032740B">
      <w:pPr>
        <w:rPr>
          <w:rFonts w:eastAsiaTheme="minorEastAsia"/>
          <w:lang w:val="en-GB" w:eastAsia="zh-CN"/>
        </w:rPr>
      </w:pPr>
      <w:r>
        <w:rPr>
          <w:rFonts w:eastAsiaTheme="minorEastAsia"/>
          <w:lang w:eastAsia="zh-CN"/>
        </w:rPr>
        <w:br w:type="page"/>
      </w:r>
    </w:p>
    <w:p w:rsidR="00375FE8" w:rsidRPr="002A0DEA" w:rsidRDefault="00375FE8" w:rsidP="00FF4964">
      <w:pPr>
        <w:pStyle w:val="Heading1"/>
        <w:spacing w:before="120" w:after="120"/>
        <w:ind w:firstLine="0"/>
        <w:rPr>
          <w:rFonts w:eastAsiaTheme="minorEastAsia" w:cs="Times New Roman"/>
          <w:noProof/>
          <w:kern w:val="22"/>
          <w:sz w:val="24"/>
          <w:lang w:eastAsia="zh-CN"/>
        </w:rPr>
      </w:pPr>
      <w:bookmarkStart w:id="22" w:name="_Toc6243651"/>
      <w:r w:rsidRPr="002A0DEA">
        <w:rPr>
          <w:rFonts w:eastAsiaTheme="minorEastAsia" w:cs="Times New Roman"/>
          <w:noProof/>
          <w:kern w:val="22"/>
          <w:sz w:val="24"/>
          <w:lang w:eastAsia="zh-CN"/>
        </w:rPr>
        <w:lastRenderedPageBreak/>
        <w:t>14/5.</w:t>
      </w:r>
      <w:r w:rsidRPr="002A0DEA">
        <w:rPr>
          <w:rFonts w:eastAsiaTheme="minorEastAsia" w:cs="Times New Roman"/>
          <w:noProof/>
          <w:kern w:val="22"/>
          <w:sz w:val="24"/>
          <w:lang w:eastAsia="zh-CN"/>
        </w:rPr>
        <w:tab/>
        <w:t xml:space="preserve">   </w:t>
      </w:r>
      <w:r w:rsidRPr="002A0DEA">
        <w:rPr>
          <w:rFonts w:eastAsiaTheme="minorEastAsia" w:cs="Times New Roman"/>
          <w:noProof/>
          <w:kern w:val="22"/>
          <w:sz w:val="24"/>
          <w:lang w:eastAsia="zh-CN"/>
        </w:rPr>
        <w:t>生物多样性和气候变化</w:t>
      </w:r>
      <w:bookmarkEnd w:id="22"/>
    </w:p>
    <w:p w:rsidR="00375FE8" w:rsidRPr="00420B51" w:rsidRDefault="00375FE8" w:rsidP="002A0DEA">
      <w:pPr>
        <w:suppressLineNumbers/>
        <w:suppressAutoHyphens/>
        <w:kinsoku w:val="0"/>
        <w:overflowPunct w:val="0"/>
        <w:autoSpaceDE w:val="0"/>
        <w:autoSpaceDN w:val="0"/>
        <w:adjustRightInd w:val="0"/>
        <w:snapToGrid w:val="0"/>
        <w:rPr>
          <w:rFonts w:ascii="KaiTi" w:eastAsia="KaiTi" w:hAnsi="KaiTi" w:cs="Angsana New"/>
          <w:bCs/>
          <w:snapToGrid w:val="0"/>
          <w:kern w:val="22"/>
          <w:lang w:val="en-GB" w:eastAsia="zh-CN"/>
        </w:rPr>
      </w:pPr>
      <w:r w:rsidRPr="00420B51">
        <w:rPr>
          <w:rFonts w:ascii="KaiTi" w:eastAsia="KaiTi" w:hAnsi="KaiTi" w:cs="Microsoft YaHei" w:hint="eastAsia"/>
          <w:bCs/>
          <w:snapToGrid w:val="0"/>
          <w:kern w:val="22"/>
          <w:lang w:val="en-GB" w:eastAsia="zh-CN"/>
        </w:rPr>
        <w:t>缔约</w:t>
      </w:r>
      <w:r w:rsidRPr="00420B51">
        <w:rPr>
          <w:rFonts w:ascii="KaiTi" w:eastAsia="KaiTi" w:hAnsi="KaiTi" w:cs="MS Mincho"/>
          <w:bCs/>
          <w:snapToGrid w:val="0"/>
          <w:kern w:val="22"/>
          <w:lang w:val="en-GB" w:eastAsia="zh-CN"/>
        </w:rPr>
        <w:t>方大会，</w:t>
      </w:r>
    </w:p>
    <w:p w:rsidR="00375FE8" w:rsidRPr="002A0DEA" w:rsidRDefault="00375FE8" w:rsidP="002A0DEA">
      <w:pPr>
        <w:tabs>
          <w:tab w:val="left" w:pos="1440"/>
        </w:tabs>
        <w:rPr>
          <w:rFonts w:eastAsiaTheme="minorEastAsia"/>
          <w:bCs/>
          <w:szCs w:val="22"/>
          <w:lang w:val="en-GB" w:eastAsia="zh-CN"/>
        </w:rPr>
      </w:pPr>
      <w:r w:rsidRPr="002A0DEA">
        <w:rPr>
          <w:rFonts w:ascii="KaiTi" w:eastAsia="KaiTi" w:hAnsi="KaiTi"/>
          <w:bCs/>
          <w:szCs w:val="22"/>
          <w:lang w:val="en-GB" w:eastAsia="zh-CN"/>
        </w:rPr>
        <w:t>认识到</w:t>
      </w:r>
      <w:r w:rsidRPr="002A0DEA">
        <w:rPr>
          <w:rFonts w:eastAsiaTheme="minorEastAsia"/>
          <w:bCs/>
          <w:szCs w:val="22"/>
          <w:lang w:val="en-GB" w:eastAsia="zh-CN"/>
        </w:rPr>
        <w:t>生物多样性和生态系统功能和服务对于人类福祉的重要作用，</w:t>
      </w:r>
    </w:p>
    <w:p w:rsidR="00375FE8" w:rsidRPr="002A0DEA" w:rsidRDefault="00375FE8" w:rsidP="002A0DEA">
      <w:pPr>
        <w:tabs>
          <w:tab w:val="left" w:pos="1440"/>
        </w:tabs>
        <w:rPr>
          <w:rFonts w:eastAsiaTheme="minorEastAsia"/>
          <w:bCs/>
          <w:szCs w:val="22"/>
          <w:lang w:val="en-GB" w:eastAsia="zh-CN"/>
        </w:rPr>
      </w:pPr>
      <w:r w:rsidRPr="002A0DEA">
        <w:rPr>
          <w:rFonts w:ascii="KaiTi" w:eastAsia="KaiTi" w:hAnsi="KaiTi"/>
          <w:bCs/>
          <w:szCs w:val="22"/>
          <w:lang w:val="en-GB" w:eastAsia="zh-CN"/>
        </w:rPr>
        <w:t>回顾</w:t>
      </w:r>
      <w:r w:rsidRPr="002A0DEA">
        <w:rPr>
          <w:rFonts w:eastAsiaTheme="minorEastAsia"/>
          <w:bCs/>
          <w:szCs w:val="22"/>
          <w:lang w:val="en-GB" w:eastAsia="zh-CN"/>
        </w:rPr>
        <w:t>《巴黎协定》第</w:t>
      </w:r>
      <w:r w:rsidRPr="002A0DEA">
        <w:rPr>
          <w:rFonts w:eastAsiaTheme="minorEastAsia"/>
          <w:bCs/>
          <w:szCs w:val="22"/>
          <w:lang w:val="en-GB" w:eastAsia="zh-CN"/>
        </w:rPr>
        <w:t>2</w:t>
      </w:r>
      <w:r w:rsidRPr="002A0DEA">
        <w:rPr>
          <w:rFonts w:eastAsiaTheme="minorEastAsia"/>
          <w:bCs/>
          <w:szCs w:val="22"/>
          <w:lang w:val="en-GB" w:eastAsia="zh-CN"/>
        </w:rPr>
        <w:t>条，</w:t>
      </w:r>
      <w:r w:rsidRPr="002A0DEA">
        <w:rPr>
          <w:rFonts w:eastAsiaTheme="minorEastAsia"/>
          <w:bCs/>
          <w:szCs w:val="22"/>
          <w:vertAlign w:val="superscript"/>
          <w:lang w:val="en-GB" w:eastAsia="zh-CN"/>
        </w:rPr>
        <w:footnoteReference w:id="41"/>
      </w:r>
    </w:p>
    <w:p w:rsidR="00375FE8" w:rsidRPr="002A0DEA" w:rsidRDefault="00375FE8" w:rsidP="002A0DEA">
      <w:pPr>
        <w:tabs>
          <w:tab w:val="left" w:pos="1440"/>
        </w:tabs>
        <w:rPr>
          <w:rFonts w:eastAsiaTheme="minorEastAsia"/>
          <w:bCs/>
          <w:szCs w:val="22"/>
          <w:lang w:val="en-GB" w:eastAsia="zh-CN"/>
        </w:rPr>
      </w:pPr>
      <w:r w:rsidRPr="002A0DEA">
        <w:rPr>
          <w:rFonts w:ascii="KaiTi" w:eastAsia="KaiTi" w:hAnsi="KaiTi"/>
          <w:bCs/>
          <w:szCs w:val="22"/>
          <w:lang w:val="en-GB" w:eastAsia="zh-CN"/>
        </w:rPr>
        <w:t>深切关切</w:t>
      </w:r>
      <w:r w:rsidRPr="002A0DEA">
        <w:rPr>
          <w:rFonts w:eastAsiaTheme="minorEastAsia"/>
          <w:bCs/>
          <w:szCs w:val="22"/>
          <w:lang w:val="en-GB" w:eastAsia="zh-CN"/>
        </w:rPr>
        <w:t>无法将全球平均温度增幅维持在比工业化以前的水平高</w:t>
      </w:r>
      <w:r w:rsidRPr="002A0DEA">
        <w:rPr>
          <w:rFonts w:eastAsiaTheme="minorEastAsia"/>
          <w:bCs/>
          <w:szCs w:val="22"/>
          <w:lang w:val="en-GB" w:eastAsia="zh-CN"/>
        </w:rPr>
        <w:t>2</w:t>
      </w:r>
      <w:r w:rsidRPr="002A0DEA">
        <w:rPr>
          <w:rFonts w:eastAsiaTheme="minorEastAsia"/>
          <w:bCs/>
          <w:szCs w:val="22"/>
          <w:lang w:val="en-GB" w:eastAsia="zh-CN"/>
        </w:rPr>
        <w:t>摄氏度以下将使很多适应能力有限的物种和生态系统以及仰赖其功能和服务的人民尤其是土著人民和地方社区</w:t>
      </w:r>
      <w:bookmarkStart w:id="23" w:name="_Hlk530622702"/>
      <w:r w:rsidRPr="002A0DEA">
        <w:rPr>
          <w:rFonts w:eastAsiaTheme="minorEastAsia"/>
          <w:bCs/>
          <w:szCs w:val="22"/>
          <w:lang w:val="en-GB" w:eastAsia="zh-CN"/>
        </w:rPr>
        <w:t>及农村妇女</w:t>
      </w:r>
      <w:bookmarkEnd w:id="23"/>
      <w:r w:rsidRPr="002A0DEA">
        <w:rPr>
          <w:rFonts w:eastAsiaTheme="minorEastAsia"/>
          <w:bCs/>
          <w:szCs w:val="22"/>
          <w:lang w:val="en-GB" w:eastAsia="zh-CN"/>
        </w:rPr>
        <w:t>陷入高度风险中，</w:t>
      </w:r>
    </w:p>
    <w:p w:rsidR="00375FE8" w:rsidRPr="002A0DEA" w:rsidRDefault="00375FE8" w:rsidP="002A0DEA">
      <w:pPr>
        <w:tabs>
          <w:tab w:val="left" w:pos="1440"/>
        </w:tabs>
        <w:rPr>
          <w:rFonts w:eastAsiaTheme="minorEastAsia"/>
          <w:bCs/>
          <w:szCs w:val="22"/>
          <w:lang w:val="en-GB" w:eastAsia="zh-CN"/>
        </w:rPr>
      </w:pPr>
      <w:r w:rsidRPr="002A0DEA">
        <w:rPr>
          <w:rFonts w:ascii="KaiTi" w:eastAsia="KaiTi" w:hAnsi="KaiTi"/>
          <w:bCs/>
          <w:szCs w:val="22"/>
          <w:lang w:val="en-GB" w:eastAsia="zh-CN"/>
        </w:rPr>
        <w:t>又深切关切</w:t>
      </w:r>
      <w:r w:rsidRPr="002A0DEA">
        <w:rPr>
          <w:rFonts w:eastAsiaTheme="minorEastAsia"/>
          <w:bCs/>
          <w:szCs w:val="22"/>
          <w:lang w:val="en-GB" w:eastAsia="zh-CN"/>
        </w:rPr>
        <w:t>生态系统的破坏、退化和破碎化不断升级，将降低生态系统的碳储存能力，导致温室气体排放增加，降低生态系统的复原力和稳定性，使气候变化危机更具挑战性，</w:t>
      </w:r>
    </w:p>
    <w:p w:rsidR="00375FE8" w:rsidRPr="002A0DEA" w:rsidRDefault="00375FE8" w:rsidP="002A0DEA">
      <w:pPr>
        <w:tabs>
          <w:tab w:val="left" w:pos="1440"/>
        </w:tabs>
        <w:rPr>
          <w:rFonts w:eastAsiaTheme="minorEastAsia"/>
          <w:bCs/>
          <w:szCs w:val="22"/>
          <w:lang w:val="en-GB" w:eastAsia="zh-CN"/>
        </w:rPr>
      </w:pPr>
      <w:r w:rsidRPr="002A0DEA">
        <w:rPr>
          <w:rFonts w:ascii="KaiTi" w:eastAsia="KaiTi" w:hAnsi="KaiTi"/>
          <w:bCs/>
          <w:szCs w:val="22"/>
          <w:lang w:val="en-GB" w:eastAsia="zh-CN"/>
        </w:rPr>
        <w:t>认识到</w:t>
      </w:r>
      <w:r w:rsidRPr="002A0DEA">
        <w:rPr>
          <w:rFonts w:eastAsiaTheme="minorEastAsia"/>
          <w:bCs/>
          <w:szCs w:val="22"/>
          <w:lang w:val="en-GB" w:eastAsia="zh-CN"/>
        </w:rPr>
        <w:t>气候变化是生物多样性丧失的一个主要且不断增强的驱动因素，而生物多样性和生态系统</w:t>
      </w:r>
      <w:bookmarkStart w:id="24" w:name="_Hlk530622499"/>
      <w:r w:rsidRPr="002A0DEA">
        <w:rPr>
          <w:rFonts w:eastAsiaTheme="minorEastAsia"/>
          <w:bCs/>
          <w:szCs w:val="22"/>
          <w:lang w:val="en-GB" w:eastAsia="zh-CN"/>
        </w:rPr>
        <w:t>功能</w:t>
      </w:r>
      <w:bookmarkEnd w:id="24"/>
      <w:r w:rsidRPr="002A0DEA">
        <w:rPr>
          <w:rFonts w:eastAsiaTheme="minorEastAsia"/>
          <w:bCs/>
          <w:szCs w:val="22"/>
          <w:lang w:val="en-GB" w:eastAsia="zh-CN"/>
        </w:rPr>
        <w:t>和服务大大有助于适应和减缓气候变化，减少灾害风险，</w:t>
      </w:r>
    </w:p>
    <w:p w:rsidR="00375FE8" w:rsidRPr="002A0DEA" w:rsidRDefault="00375FE8" w:rsidP="002A0DEA">
      <w:pPr>
        <w:tabs>
          <w:tab w:val="left" w:pos="1440"/>
        </w:tabs>
        <w:rPr>
          <w:rFonts w:eastAsiaTheme="minorEastAsia"/>
          <w:bCs/>
          <w:szCs w:val="22"/>
          <w:lang w:val="en-GB" w:eastAsia="zh-CN"/>
        </w:rPr>
      </w:pPr>
      <w:r w:rsidRPr="002A0DEA">
        <w:rPr>
          <w:rFonts w:ascii="KaiTi" w:eastAsia="KaiTi" w:hAnsi="KaiTi"/>
          <w:bCs/>
          <w:szCs w:val="22"/>
          <w:lang w:val="en-GB" w:eastAsia="zh-CN"/>
        </w:rPr>
        <w:t>认识到</w:t>
      </w:r>
      <w:r w:rsidRPr="002A0DEA">
        <w:rPr>
          <w:rFonts w:eastAsiaTheme="minorEastAsia"/>
          <w:bCs/>
          <w:szCs w:val="22"/>
          <w:lang w:val="en-GB" w:eastAsia="zh-CN"/>
        </w:rPr>
        <w:t>将温度增幅限制在较工业化以前高</w:t>
      </w:r>
      <w:r w:rsidRPr="002A0DEA">
        <w:rPr>
          <w:rFonts w:eastAsiaTheme="minorEastAsia"/>
          <w:bCs/>
          <w:szCs w:val="22"/>
          <w:lang w:val="en-GB" w:eastAsia="zh-CN"/>
        </w:rPr>
        <w:t>1.5</w:t>
      </w:r>
      <w:r w:rsidRPr="002A0DEA">
        <w:rPr>
          <w:rFonts w:eastAsiaTheme="minorEastAsia"/>
          <w:bCs/>
          <w:szCs w:val="22"/>
          <w:lang w:val="en-GB" w:eastAsia="zh-CN"/>
        </w:rPr>
        <w:t>摄氏度而不是高</w:t>
      </w:r>
      <w:r w:rsidRPr="002A0DEA">
        <w:rPr>
          <w:rFonts w:eastAsiaTheme="minorEastAsia"/>
          <w:bCs/>
          <w:szCs w:val="22"/>
          <w:lang w:val="en-GB" w:eastAsia="zh-CN"/>
        </w:rPr>
        <w:t>2</w:t>
      </w:r>
      <w:r w:rsidRPr="002A0DEA">
        <w:rPr>
          <w:rFonts w:eastAsiaTheme="minorEastAsia"/>
          <w:bCs/>
          <w:szCs w:val="22"/>
          <w:lang w:val="en-GB" w:eastAsia="zh-CN"/>
        </w:rPr>
        <w:t>摄氏度以下，能够减少对生物多样性以及仰赖其功能和服务的人民尤其是土著人民和地方社区及农村妇女的消极影响，特别是在最脆弱的生态系统方面，例如湿地、小岛屿、沿海、海洋和北极等生态系统，</w:t>
      </w:r>
    </w:p>
    <w:p w:rsidR="00375FE8" w:rsidRPr="002A0DEA" w:rsidRDefault="00375FE8" w:rsidP="000A1A91">
      <w:pPr>
        <w:numPr>
          <w:ilvl w:val="0"/>
          <w:numId w:val="60"/>
        </w:numPr>
        <w:suppressLineNumbers/>
        <w:tabs>
          <w:tab w:val="left" w:pos="1440"/>
        </w:tabs>
        <w:suppressAutoHyphens/>
        <w:kinsoku w:val="0"/>
        <w:overflowPunct w:val="0"/>
        <w:autoSpaceDE w:val="0"/>
        <w:autoSpaceDN w:val="0"/>
        <w:adjustRightInd w:val="0"/>
        <w:snapToGrid w:val="0"/>
        <w:ind w:left="0" w:firstLine="720"/>
        <w:rPr>
          <w:rFonts w:eastAsiaTheme="minorEastAsia"/>
          <w:kern w:val="22"/>
          <w:lang w:val="en-GB" w:eastAsia="zh-CN"/>
        </w:rPr>
      </w:pPr>
      <w:r w:rsidRPr="002A0DEA">
        <w:rPr>
          <w:rFonts w:ascii="KaiTi" w:eastAsia="KaiTi" w:hAnsi="KaiTi"/>
          <w:bCs/>
          <w:szCs w:val="22"/>
          <w:lang w:val="en-GB" w:eastAsia="zh-CN"/>
        </w:rPr>
        <w:t>通过</w:t>
      </w:r>
      <w:r w:rsidRPr="002A0DEA">
        <w:rPr>
          <w:rFonts w:eastAsiaTheme="minorEastAsia"/>
          <w:kern w:val="22"/>
          <w:lang w:val="zh-CN" w:eastAsia="zh-CN"/>
        </w:rPr>
        <w:t>本决定附件所载关于设计和有效实施基于生态系统的适应气候变化和减少灾害风险的自愿准则</w:t>
      </w:r>
      <w:r w:rsidRPr="002A0DEA">
        <w:rPr>
          <w:rFonts w:eastAsiaTheme="minorEastAsia"/>
          <w:kern w:val="22"/>
          <w:lang w:val="en-GB" w:eastAsia="zh-CN"/>
        </w:rPr>
        <w:t>；</w:t>
      </w:r>
    </w:p>
    <w:p w:rsidR="00375FE8" w:rsidRPr="002A0DEA" w:rsidRDefault="00375FE8" w:rsidP="000A1A91">
      <w:pPr>
        <w:numPr>
          <w:ilvl w:val="0"/>
          <w:numId w:val="60"/>
        </w:numPr>
        <w:suppressLineNumbers/>
        <w:tabs>
          <w:tab w:val="left" w:pos="1440"/>
        </w:tabs>
        <w:suppressAutoHyphens/>
        <w:kinsoku w:val="0"/>
        <w:overflowPunct w:val="0"/>
        <w:autoSpaceDE w:val="0"/>
        <w:autoSpaceDN w:val="0"/>
        <w:adjustRightInd w:val="0"/>
        <w:snapToGrid w:val="0"/>
        <w:ind w:left="0" w:firstLine="720"/>
        <w:rPr>
          <w:rFonts w:eastAsiaTheme="minorEastAsia"/>
          <w:kern w:val="22"/>
          <w:lang w:val="en-GB" w:eastAsia="zh-CN"/>
        </w:rPr>
      </w:pPr>
      <w:r w:rsidRPr="002A0DEA">
        <w:rPr>
          <w:rFonts w:ascii="KaiTi" w:eastAsia="KaiTi" w:hAnsi="KaiTi"/>
          <w:bCs/>
          <w:szCs w:val="22"/>
          <w:lang w:val="en-GB" w:eastAsia="zh-CN"/>
        </w:rPr>
        <w:t>鼓励</w:t>
      </w:r>
      <w:r w:rsidRPr="002A0DEA">
        <w:rPr>
          <w:rFonts w:eastAsiaTheme="minorEastAsia"/>
          <w:kern w:val="22"/>
          <w:lang w:val="zh-CN" w:eastAsia="zh-CN"/>
        </w:rPr>
        <w:t>各缔约方、其他国家政府和相关组织</w:t>
      </w:r>
      <w:r w:rsidRPr="002A0DEA">
        <w:rPr>
          <w:rFonts w:eastAsiaTheme="minorEastAsia"/>
          <w:kern w:val="22"/>
          <w:lang w:eastAsia="zh-CN"/>
        </w:rPr>
        <w:t>在</w:t>
      </w:r>
      <w:r w:rsidRPr="002A0DEA">
        <w:rPr>
          <w:rFonts w:eastAsiaTheme="minorEastAsia"/>
          <w:kern w:val="22"/>
          <w:lang w:val="zh-CN" w:eastAsia="zh-CN"/>
        </w:rPr>
        <w:t>顾及国内优先事项、国情和能力的情况下，</w:t>
      </w:r>
      <w:r w:rsidRPr="002A0DEA">
        <w:rPr>
          <w:rFonts w:eastAsiaTheme="minorEastAsia"/>
          <w:spacing w:val="20"/>
          <w:kern w:val="22"/>
          <w:lang w:val="zh-CN" w:eastAsia="zh-CN"/>
        </w:rPr>
        <w:t>在设计和实施基于生态系统的适应气候变化和减少灾害风险时</w:t>
      </w:r>
      <w:r w:rsidRPr="002A0DEA">
        <w:rPr>
          <w:rFonts w:eastAsiaTheme="minorEastAsia"/>
          <w:kern w:val="22"/>
          <w:lang w:val="zh-CN" w:eastAsia="zh-CN"/>
        </w:rPr>
        <w:t>，根据生态系统办法，</w:t>
      </w:r>
      <w:r w:rsidRPr="002A0DEA">
        <w:rPr>
          <w:rFonts w:eastAsiaTheme="minorEastAsia"/>
          <w:bCs/>
          <w:snapToGrid w:val="0"/>
          <w:kern w:val="22"/>
          <w:vertAlign w:val="superscript"/>
          <w:lang w:val="en-GB" w:eastAsia="zh-CN"/>
        </w:rPr>
        <w:footnoteReference w:id="42"/>
      </w:r>
      <w:r w:rsidRPr="002A0DEA">
        <w:rPr>
          <w:rFonts w:eastAsiaTheme="minorEastAsia"/>
          <w:kern w:val="22"/>
          <w:lang w:val="zh-CN" w:eastAsia="zh-CN"/>
        </w:rPr>
        <w:t xml:space="preserve"> </w:t>
      </w:r>
      <w:r w:rsidRPr="002A0DEA">
        <w:rPr>
          <w:rFonts w:eastAsiaTheme="minorEastAsia"/>
          <w:kern w:val="22"/>
          <w:lang w:val="zh-CN" w:eastAsia="zh-CN"/>
        </w:rPr>
        <w:t>使用自愿准则，同时认识到这样做还有可能共同推动气候变化缓解</w:t>
      </w:r>
      <w:r w:rsidRPr="002A0DEA">
        <w:rPr>
          <w:rFonts w:eastAsiaTheme="minorEastAsia"/>
          <w:kern w:val="22"/>
          <w:lang w:val="en-GB" w:eastAsia="zh-CN"/>
        </w:rPr>
        <w:t>；</w:t>
      </w:r>
    </w:p>
    <w:p w:rsidR="00375FE8" w:rsidRPr="002A0DEA" w:rsidRDefault="00375FE8" w:rsidP="000A1A91">
      <w:pPr>
        <w:numPr>
          <w:ilvl w:val="0"/>
          <w:numId w:val="60"/>
        </w:numPr>
        <w:suppressLineNumbers/>
        <w:tabs>
          <w:tab w:val="left" w:pos="1440"/>
        </w:tabs>
        <w:suppressAutoHyphens/>
        <w:kinsoku w:val="0"/>
        <w:overflowPunct w:val="0"/>
        <w:autoSpaceDE w:val="0"/>
        <w:autoSpaceDN w:val="0"/>
        <w:adjustRightInd w:val="0"/>
        <w:snapToGrid w:val="0"/>
        <w:ind w:left="0" w:firstLine="720"/>
        <w:rPr>
          <w:rFonts w:eastAsiaTheme="minorEastAsia"/>
          <w:bCs/>
          <w:lang w:val="zh-CN" w:eastAsia="zh-CN"/>
        </w:rPr>
      </w:pPr>
      <w:r w:rsidRPr="002A0DEA">
        <w:rPr>
          <w:rFonts w:ascii="KaiTi" w:eastAsia="KaiTi" w:hAnsi="KaiTi"/>
          <w:bCs/>
          <w:szCs w:val="22"/>
          <w:lang w:val="en-GB" w:eastAsia="zh-CN"/>
        </w:rPr>
        <w:t>又鼓励</w:t>
      </w:r>
      <w:r w:rsidRPr="002A0DEA">
        <w:rPr>
          <w:rFonts w:eastAsiaTheme="minorEastAsia"/>
          <w:bCs/>
          <w:lang w:val="zh-CN" w:eastAsia="zh-CN"/>
        </w:rPr>
        <w:t>各缔约方、</w:t>
      </w:r>
      <w:r w:rsidRPr="002A0DEA">
        <w:rPr>
          <w:rFonts w:eastAsiaTheme="minorEastAsia"/>
          <w:kern w:val="22"/>
          <w:lang w:val="zh-CN" w:eastAsia="zh-CN"/>
        </w:rPr>
        <w:t>其他国家政府和相关组织在在设计、实施和监测基于生态系统的气候变化适应和减少灾害风险办法时：</w:t>
      </w:r>
    </w:p>
    <w:p w:rsidR="00375FE8" w:rsidRPr="002A0DEA" w:rsidRDefault="00375FE8" w:rsidP="001A2AC9">
      <w:pPr>
        <w:widowControl w:val="0"/>
        <w:numPr>
          <w:ilvl w:val="0"/>
          <w:numId w:val="58"/>
        </w:numPr>
        <w:suppressLineNumbers/>
        <w:tabs>
          <w:tab w:val="left" w:pos="1440"/>
        </w:tabs>
        <w:suppressAutoHyphens/>
        <w:ind w:left="0" w:firstLine="720"/>
        <w:rPr>
          <w:rFonts w:eastAsiaTheme="minorEastAsia"/>
          <w:iCs/>
          <w:snapToGrid w:val="0"/>
          <w:shd w:val="clear" w:color="auto" w:fill="FFFFFF"/>
          <w:lang w:val="en-GB" w:eastAsia="zh-CN"/>
        </w:rPr>
      </w:pPr>
      <w:r w:rsidRPr="002A0DEA">
        <w:rPr>
          <w:rFonts w:eastAsiaTheme="minorEastAsia"/>
          <w:iCs/>
          <w:snapToGrid w:val="0"/>
          <w:shd w:val="clear" w:color="auto" w:fill="FFFFFF"/>
          <w:lang w:val="en-GB" w:eastAsia="zh-CN"/>
        </w:rPr>
        <w:t>在土著人民和地方社区、妇女和青年的充分和有效参与下开展活动，确认气候变化的影响不成比例，适当确认并支持土著人民和</w:t>
      </w:r>
      <w:bookmarkStart w:id="25" w:name="_Hlk530623288"/>
      <w:r w:rsidRPr="002A0DEA">
        <w:rPr>
          <w:rFonts w:eastAsiaTheme="minorEastAsia"/>
          <w:iCs/>
          <w:snapToGrid w:val="0"/>
          <w:shd w:val="clear" w:color="auto" w:fill="FFFFFF"/>
          <w:lang w:val="en-GB" w:eastAsia="zh-CN"/>
        </w:rPr>
        <w:t>地方社区</w:t>
      </w:r>
      <w:bookmarkEnd w:id="25"/>
      <w:r w:rsidRPr="002A0DEA">
        <w:rPr>
          <w:rFonts w:eastAsiaTheme="minorEastAsia"/>
          <w:iCs/>
          <w:snapToGrid w:val="0"/>
          <w:shd w:val="clear" w:color="auto" w:fill="FFFFFF"/>
          <w:lang w:val="en-GB" w:eastAsia="zh-CN"/>
        </w:rPr>
        <w:t>领地和地区的治理、管理和养护，并酌情与地方社区和土著人民平台协调；</w:t>
      </w:r>
      <w:r w:rsidRPr="002A0DEA">
        <w:rPr>
          <w:rFonts w:eastAsiaTheme="minorEastAsia"/>
          <w:snapToGrid w:val="0"/>
          <w:shd w:val="clear" w:color="auto" w:fill="FFFFFF"/>
          <w:vertAlign w:val="superscript"/>
          <w:lang w:val="en-GB" w:eastAsia="zh-CN"/>
        </w:rPr>
        <w:footnoteReference w:id="43"/>
      </w:r>
    </w:p>
    <w:p w:rsidR="00375FE8" w:rsidRPr="002A0DEA" w:rsidRDefault="00375FE8" w:rsidP="001A2AC9">
      <w:pPr>
        <w:widowControl w:val="0"/>
        <w:numPr>
          <w:ilvl w:val="0"/>
          <w:numId w:val="58"/>
        </w:numPr>
        <w:suppressLineNumbers/>
        <w:tabs>
          <w:tab w:val="left" w:pos="1440"/>
        </w:tabs>
        <w:suppressAutoHyphens/>
        <w:ind w:left="0" w:firstLine="720"/>
        <w:rPr>
          <w:rFonts w:eastAsiaTheme="minorEastAsia"/>
          <w:iCs/>
          <w:snapToGrid w:val="0"/>
          <w:shd w:val="clear" w:color="auto" w:fill="FFFFFF"/>
          <w:lang w:val="en-GB" w:eastAsia="zh-CN"/>
        </w:rPr>
      </w:pPr>
      <w:r w:rsidRPr="002A0DEA">
        <w:rPr>
          <w:rFonts w:eastAsiaTheme="minorEastAsia"/>
          <w:iCs/>
          <w:snapToGrid w:val="0"/>
          <w:shd w:val="clear" w:color="auto" w:fill="FFFFFF"/>
          <w:lang w:val="en-GB" w:eastAsia="zh-CN"/>
        </w:rPr>
        <w:t>鼓励土</w:t>
      </w:r>
      <w:bookmarkStart w:id="26" w:name="_Hlk530623484"/>
      <w:r w:rsidRPr="002A0DEA">
        <w:rPr>
          <w:rFonts w:eastAsiaTheme="minorEastAsia"/>
          <w:iCs/>
          <w:snapToGrid w:val="0"/>
          <w:shd w:val="clear" w:color="auto" w:fill="FFFFFF"/>
          <w:lang w:val="en-GB" w:eastAsia="zh-CN"/>
        </w:rPr>
        <w:t>著</w:t>
      </w:r>
      <w:bookmarkEnd w:id="26"/>
      <w:r w:rsidRPr="002A0DEA">
        <w:rPr>
          <w:rFonts w:eastAsiaTheme="minorEastAsia"/>
          <w:iCs/>
          <w:snapToGrid w:val="0"/>
          <w:shd w:val="clear" w:color="auto" w:fill="FFFFFF"/>
          <w:lang w:val="en-GB" w:eastAsia="zh-CN"/>
        </w:rPr>
        <w:t>人民和</w:t>
      </w:r>
      <w:bookmarkStart w:id="27" w:name="_Hlk530623968"/>
      <w:r w:rsidRPr="002A0DEA">
        <w:rPr>
          <w:rFonts w:eastAsiaTheme="minorEastAsia"/>
          <w:iCs/>
          <w:snapToGrid w:val="0"/>
          <w:shd w:val="clear" w:color="auto" w:fill="FFFFFF"/>
          <w:lang w:val="en-GB" w:eastAsia="zh-CN"/>
        </w:rPr>
        <w:t>地方社区</w:t>
      </w:r>
      <w:bookmarkEnd w:id="27"/>
      <w:r w:rsidRPr="002A0DEA">
        <w:rPr>
          <w:rFonts w:eastAsiaTheme="minorEastAsia"/>
          <w:iCs/>
          <w:snapToGrid w:val="0"/>
          <w:shd w:val="clear" w:color="auto" w:fill="FFFFFF"/>
          <w:lang w:val="en-GB" w:eastAsia="zh-CN"/>
        </w:rPr>
        <w:t>领导地方一级的活动，包括在酌情得到土著人民和</w:t>
      </w:r>
      <w:r w:rsidRPr="002A0DEA">
        <w:rPr>
          <w:rFonts w:eastAsiaTheme="minorEastAsia"/>
          <w:iCs/>
          <w:snapToGrid w:val="0"/>
          <w:shd w:val="clear" w:color="auto" w:fill="FFFFFF"/>
          <w:lang w:val="en-GB" w:eastAsia="zh-CN"/>
        </w:rPr>
        <w:lastRenderedPageBreak/>
        <w:t>地方社区的自愿、事先和知情的同意并符合国家政策、法规和国情的情况下，审议和纳入土著和传统知识、做法、计划和机构；</w:t>
      </w:r>
    </w:p>
    <w:p w:rsidR="00375FE8" w:rsidRPr="002A0DEA" w:rsidRDefault="00375FE8" w:rsidP="000A1A91">
      <w:pPr>
        <w:numPr>
          <w:ilvl w:val="0"/>
          <w:numId w:val="58"/>
        </w:numPr>
        <w:suppressLineNumbers/>
        <w:tabs>
          <w:tab w:val="left" w:pos="1440"/>
        </w:tabs>
        <w:suppressAutoHyphens/>
        <w:ind w:left="0" w:firstLine="720"/>
        <w:rPr>
          <w:rFonts w:eastAsiaTheme="minorEastAsia"/>
          <w:iCs/>
          <w:snapToGrid w:val="0"/>
          <w:shd w:val="clear" w:color="auto" w:fill="FFFFFF"/>
          <w:lang w:val="en-GB" w:eastAsia="zh-CN"/>
        </w:rPr>
      </w:pPr>
      <w:r w:rsidRPr="002A0DEA">
        <w:rPr>
          <w:rFonts w:eastAsiaTheme="minorEastAsia"/>
          <w:iCs/>
          <w:snapToGrid w:val="0"/>
          <w:shd w:val="clear" w:color="auto" w:fill="FFFFFF"/>
          <w:lang w:val="en-GB" w:eastAsia="zh-CN"/>
        </w:rPr>
        <w:t>确保各项活动不会助长生物多样性丧失或生态系统损坏的驱动因素，不会给依赖生态系统</w:t>
      </w:r>
      <w:r w:rsidRPr="002A0DEA">
        <w:rPr>
          <w:rFonts w:eastAsiaTheme="minorEastAsia"/>
          <w:snapToGrid w:val="0"/>
          <w:szCs w:val="18"/>
          <w:lang w:val="en-GB" w:eastAsia="zh-CN"/>
        </w:rPr>
        <w:t>功能和服务的土著人民和</w:t>
      </w:r>
      <w:r w:rsidRPr="002A0DEA">
        <w:rPr>
          <w:rFonts w:eastAsiaTheme="minorEastAsia"/>
          <w:iCs/>
          <w:snapToGrid w:val="0"/>
          <w:shd w:val="clear" w:color="auto" w:fill="FFFFFF"/>
          <w:lang w:val="en-GB" w:eastAsia="zh-CN"/>
        </w:rPr>
        <w:t>地方社区造成负面影响；</w:t>
      </w:r>
    </w:p>
    <w:p w:rsidR="00375FE8" w:rsidRPr="002A0DEA" w:rsidRDefault="00375FE8" w:rsidP="000A1A91">
      <w:pPr>
        <w:numPr>
          <w:ilvl w:val="0"/>
          <w:numId w:val="58"/>
        </w:numPr>
        <w:suppressLineNumbers/>
        <w:tabs>
          <w:tab w:val="left" w:pos="1440"/>
        </w:tabs>
        <w:suppressAutoHyphens/>
        <w:ind w:left="0" w:firstLine="720"/>
        <w:rPr>
          <w:rFonts w:eastAsiaTheme="minorEastAsia"/>
          <w:iCs/>
          <w:snapToGrid w:val="0"/>
          <w:shd w:val="clear" w:color="auto" w:fill="FFFFFF"/>
          <w:lang w:val="en-GB" w:eastAsia="zh-CN"/>
        </w:rPr>
      </w:pPr>
      <w:r w:rsidRPr="002A0DEA">
        <w:rPr>
          <w:rFonts w:eastAsiaTheme="minorEastAsia"/>
          <w:iCs/>
          <w:snapToGrid w:val="0"/>
          <w:shd w:val="clear" w:color="auto" w:fill="FFFFFF"/>
          <w:lang w:val="en-GB" w:eastAsia="zh-CN"/>
        </w:rPr>
        <w:t>考虑到区域一级的跨界办法；</w:t>
      </w:r>
    </w:p>
    <w:p w:rsidR="00375FE8" w:rsidRPr="002A0DEA" w:rsidRDefault="00375FE8" w:rsidP="000A1A91">
      <w:pPr>
        <w:numPr>
          <w:ilvl w:val="0"/>
          <w:numId w:val="58"/>
        </w:numPr>
        <w:suppressLineNumbers/>
        <w:tabs>
          <w:tab w:val="left" w:pos="1440"/>
        </w:tabs>
        <w:suppressAutoHyphens/>
        <w:ind w:left="0" w:firstLine="720"/>
        <w:rPr>
          <w:rFonts w:eastAsiaTheme="minorEastAsia"/>
          <w:iCs/>
          <w:snapToGrid w:val="0"/>
          <w:shd w:val="clear" w:color="auto" w:fill="FFFFFF"/>
          <w:lang w:val="en-GB" w:eastAsia="zh-CN"/>
        </w:rPr>
      </w:pPr>
      <w:r w:rsidRPr="002A0DEA">
        <w:rPr>
          <w:rFonts w:eastAsiaTheme="minorEastAsia"/>
          <w:iCs/>
          <w:snapToGrid w:val="0"/>
          <w:shd w:val="clear" w:color="auto" w:fill="FFFFFF"/>
          <w:lang w:val="en-GB" w:eastAsia="zh-CN"/>
        </w:rPr>
        <w:t>加强不同政策和实施战略之间的协同作用；</w:t>
      </w:r>
    </w:p>
    <w:p w:rsidR="00375FE8" w:rsidRPr="002A0DEA" w:rsidRDefault="00375FE8" w:rsidP="000A1A91">
      <w:pPr>
        <w:numPr>
          <w:ilvl w:val="0"/>
          <w:numId w:val="58"/>
        </w:numPr>
        <w:suppressLineNumbers/>
        <w:tabs>
          <w:tab w:val="left" w:pos="1440"/>
        </w:tabs>
        <w:suppressAutoHyphens/>
        <w:ind w:left="0" w:firstLine="720"/>
        <w:rPr>
          <w:rFonts w:eastAsiaTheme="minorEastAsia"/>
          <w:iCs/>
          <w:snapToGrid w:val="0"/>
          <w:shd w:val="clear" w:color="auto" w:fill="FFFFFF"/>
          <w:lang w:val="en-GB" w:eastAsia="zh-CN"/>
        </w:rPr>
      </w:pPr>
      <w:r w:rsidRPr="002A0DEA">
        <w:rPr>
          <w:rFonts w:eastAsiaTheme="minorEastAsia"/>
          <w:iCs/>
          <w:snapToGrid w:val="0"/>
          <w:shd w:val="clear" w:color="auto" w:fill="FFFFFF"/>
          <w:lang w:val="en-GB" w:eastAsia="zh-CN"/>
        </w:rPr>
        <w:t>加强与民间社会组织、私人部门和其他主要行为方的广泛交往；</w:t>
      </w:r>
    </w:p>
    <w:p w:rsidR="00375FE8" w:rsidRPr="002A0DEA" w:rsidRDefault="00375FE8" w:rsidP="000A1A91">
      <w:pPr>
        <w:numPr>
          <w:ilvl w:val="0"/>
          <w:numId w:val="58"/>
        </w:numPr>
        <w:suppressLineNumbers/>
        <w:tabs>
          <w:tab w:val="left" w:pos="1440"/>
        </w:tabs>
        <w:suppressAutoHyphens/>
        <w:ind w:left="0" w:firstLine="720"/>
        <w:rPr>
          <w:rFonts w:eastAsiaTheme="minorEastAsia"/>
          <w:iCs/>
          <w:snapToGrid w:val="0"/>
          <w:shd w:val="clear" w:color="auto" w:fill="FFFFFF"/>
          <w:lang w:val="en-GB" w:eastAsia="zh-CN"/>
        </w:rPr>
      </w:pPr>
      <w:r w:rsidRPr="002A0DEA">
        <w:rPr>
          <w:rFonts w:eastAsiaTheme="minorEastAsia"/>
          <w:iCs/>
          <w:snapToGrid w:val="0"/>
          <w:shd w:val="clear" w:color="auto" w:fill="FFFFFF"/>
          <w:lang w:val="en-GB" w:eastAsia="zh-CN"/>
        </w:rPr>
        <w:t>在相关情况下，鼓励那些支持弱势群体包括妇女、青年和老年人的地方层面的活动；</w:t>
      </w:r>
    </w:p>
    <w:p w:rsidR="00375FE8" w:rsidRPr="002A0DEA" w:rsidRDefault="00375FE8" w:rsidP="000A1A91">
      <w:pPr>
        <w:numPr>
          <w:ilvl w:val="0"/>
          <w:numId w:val="58"/>
        </w:numPr>
        <w:suppressLineNumbers/>
        <w:tabs>
          <w:tab w:val="left" w:pos="1440"/>
        </w:tabs>
        <w:suppressAutoHyphens/>
        <w:ind w:left="0" w:firstLine="720"/>
        <w:rPr>
          <w:rFonts w:eastAsiaTheme="minorEastAsia"/>
          <w:iCs/>
          <w:snapToGrid w:val="0"/>
          <w:shd w:val="clear" w:color="auto" w:fill="FFFFFF"/>
          <w:lang w:val="en-GB" w:eastAsia="zh-CN"/>
        </w:rPr>
      </w:pPr>
      <w:r w:rsidRPr="002A0DEA">
        <w:rPr>
          <w:rFonts w:eastAsiaTheme="minorEastAsia"/>
          <w:iCs/>
          <w:snapToGrid w:val="0"/>
          <w:shd w:val="clear" w:color="auto" w:fill="FFFFFF"/>
          <w:lang w:val="en-GB" w:eastAsia="zh-CN"/>
        </w:rPr>
        <w:t>加强保护区管理的有效性和自然生态系统的保护，包括土著人民和地方社区生物多样性保护办法；</w:t>
      </w:r>
    </w:p>
    <w:p w:rsidR="00375FE8" w:rsidRPr="002A0DEA" w:rsidRDefault="00375FE8" w:rsidP="000A1A91">
      <w:pPr>
        <w:numPr>
          <w:ilvl w:val="0"/>
          <w:numId w:val="58"/>
        </w:numPr>
        <w:suppressLineNumbers/>
        <w:tabs>
          <w:tab w:val="left" w:pos="1440"/>
        </w:tabs>
        <w:suppressAutoHyphens/>
        <w:ind w:left="0" w:firstLine="720"/>
        <w:rPr>
          <w:rFonts w:eastAsiaTheme="minorEastAsia"/>
          <w:iCs/>
          <w:snapToGrid w:val="0"/>
          <w:shd w:val="clear" w:color="auto" w:fill="FFFFFF"/>
          <w:lang w:val="en-GB" w:eastAsia="zh-CN"/>
        </w:rPr>
      </w:pPr>
      <w:r w:rsidRPr="002A0DEA">
        <w:rPr>
          <w:rFonts w:eastAsiaTheme="minorEastAsia"/>
          <w:iCs/>
          <w:snapToGrid w:val="0"/>
          <w:shd w:val="clear" w:color="auto" w:fill="FFFFFF"/>
          <w:lang w:val="en-GB" w:eastAsia="zh-CN"/>
        </w:rPr>
        <w:t>考虑</w:t>
      </w:r>
      <w:r w:rsidRPr="00403EFA">
        <w:rPr>
          <w:rFonts w:asciiTheme="minorEastAsia" w:eastAsiaTheme="minorEastAsia" w:hAnsiTheme="minorEastAsia"/>
          <w:iCs/>
          <w:snapToGrid w:val="0"/>
          <w:shd w:val="clear" w:color="auto" w:fill="FFFFFF"/>
          <w:lang w:val="en-GB" w:eastAsia="zh-CN"/>
        </w:rPr>
        <w:t>“生物多样性与气候变化：综合科学促进连贯政策”</w:t>
      </w:r>
      <w:r w:rsidRPr="002A0DEA">
        <w:rPr>
          <w:rFonts w:eastAsiaTheme="minorEastAsia"/>
          <w:iCs/>
          <w:snapToGrid w:val="0"/>
          <w:shd w:val="clear" w:color="auto" w:fill="FFFFFF"/>
          <w:lang w:val="en-GB" w:eastAsia="zh-CN"/>
        </w:rPr>
        <w:t>研讨会报告附件一概述的关键信息；</w:t>
      </w:r>
      <w:r w:rsidRPr="002A0DEA">
        <w:rPr>
          <w:rFonts w:eastAsiaTheme="minorEastAsia"/>
          <w:snapToGrid w:val="0"/>
          <w:shd w:val="clear" w:color="auto" w:fill="FFFFFF"/>
          <w:vertAlign w:val="superscript"/>
          <w:lang w:val="en-GB" w:eastAsia="zh-CN"/>
        </w:rPr>
        <w:footnoteReference w:id="44"/>
      </w:r>
    </w:p>
    <w:p w:rsidR="00375FE8" w:rsidRPr="002A0DEA" w:rsidRDefault="00375FE8" w:rsidP="000A1A91">
      <w:pPr>
        <w:numPr>
          <w:ilvl w:val="0"/>
          <w:numId w:val="58"/>
        </w:numPr>
        <w:suppressLineNumbers/>
        <w:tabs>
          <w:tab w:val="left" w:pos="1440"/>
        </w:tabs>
        <w:suppressAutoHyphens/>
        <w:ind w:left="0" w:firstLine="720"/>
        <w:rPr>
          <w:rFonts w:eastAsiaTheme="minorEastAsia"/>
          <w:iCs/>
          <w:snapToGrid w:val="0"/>
          <w:shd w:val="clear" w:color="auto" w:fill="FFFFFF"/>
          <w:lang w:val="en-GB" w:eastAsia="zh-CN"/>
        </w:rPr>
      </w:pPr>
      <w:r w:rsidRPr="002A0DEA">
        <w:rPr>
          <w:rFonts w:eastAsiaTheme="minorEastAsia"/>
          <w:iCs/>
          <w:snapToGrid w:val="0"/>
          <w:shd w:val="clear" w:color="auto" w:fill="FFFFFF"/>
          <w:lang w:val="en-GB" w:eastAsia="zh-CN"/>
        </w:rPr>
        <w:t>加强生物系统的完整性以保护自然生物系统；</w:t>
      </w:r>
    </w:p>
    <w:p w:rsidR="00375FE8" w:rsidRPr="002A0DEA" w:rsidRDefault="00375FE8" w:rsidP="000A1A91">
      <w:pPr>
        <w:numPr>
          <w:ilvl w:val="0"/>
          <w:numId w:val="60"/>
        </w:numPr>
        <w:suppressLineNumbers/>
        <w:tabs>
          <w:tab w:val="left" w:pos="1440"/>
        </w:tabs>
        <w:suppressAutoHyphens/>
        <w:kinsoku w:val="0"/>
        <w:overflowPunct w:val="0"/>
        <w:autoSpaceDE w:val="0"/>
        <w:autoSpaceDN w:val="0"/>
        <w:adjustRightInd w:val="0"/>
        <w:snapToGrid w:val="0"/>
        <w:ind w:left="0" w:firstLine="720"/>
        <w:rPr>
          <w:rFonts w:eastAsiaTheme="minorEastAsia"/>
          <w:bCs/>
          <w:kern w:val="22"/>
          <w:lang w:val="en-GB" w:eastAsia="zh-CN"/>
        </w:rPr>
      </w:pPr>
      <w:r w:rsidRPr="002A0DEA">
        <w:rPr>
          <w:rFonts w:ascii="KaiTi" w:eastAsia="KaiTi" w:hAnsi="KaiTi"/>
          <w:bCs/>
          <w:szCs w:val="22"/>
          <w:lang w:val="en-GB" w:eastAsia="zh-CN"/>
        </w:rPr>
        <w:t>鼓励</w:t>
      </w:r>
      <w:r w:rsidRPr="002A0DEA">
        <w:rPr>
          <w:rFonts w:eastAsiaTheme="minorEastAsia"/>
          <w:iCs/>
          <w:snapToGrid w:val="0"/>
          <w:shd w:val="clear" w:color="auto" w:fill="FFFFFF"/>
          <w:lang w:val="en-GB" w:eastAsia="zh-CN"/>
        </w:rPr>
        <w:t>各缔约方依</w:t>
      </w:r>
      <w:r w:rsidRPr="002A0DEA">
        <w:rPr>
          <w:rFonts w:eastAsiaTheme="minorEastAsia"/>
          <w:bCs/>
          <w:lang w:val="zh-CN" w:eastAsia="zh-CN"/>
        </w:rPr>
        <w:t>照第</w:t>
      </w:r>
      <w:hyperlink r:id="rId22" w:history="1">
        <w:r w:rsidRPr="002A0DEA">
          <w:rPr>
            <w:rFonts w:eastAsiaTheme="minorEastAsia"/>
            <w:snapToGrid w:val="0"/>
            <w:color w:val="0000FF"/>
            <w:kern w:val="22"/>
            <w:szCs w:val="22"/>
            <w:u w:val="single"/>
            <w:lang w:eastAsia="zh-CN"/>
          </w:rPr>
          <w:t>IX/16</w:t>
        </w:r>
      </w:hyperlink>
      <w:r w:rsidRPr="002A0DEA">
        <w:rPr>
          <w:rFonts w:eastAsiaTheme="minorEastAsia"/>
          <w:bCs/>
          <w:lang w:val="zh-CN" w:eastAsia="zh-CN"/>
        </w:rPr>
        <w:t>号、</w:t>
      </w:r>
      <w:hyperlink r:id="rId23" w:history="1">
        <w:r w:rsidRPr="002A0DEA">
          <w:rPr>
            <w:rFonts w:eastAsiaTheme="minorEastAsia"/>
            <w:bCs/>
            <w:lang w:val="en-GB" w:eastAsia="zh-CN"/>
          </w:rPr>
          <w:t>第</w:t>
        </w:r>
        <w:r w:rsidRPr="002A0DEA">
          <w:rPr>
            <w:rFonts w:eastAsiaTheme="minorEastAsia"/>
            <w:snapToGrid w:val="0"/>
            <w:color w:val="0000FF"/>
            <w:kern w:val="22"/>
            <w:szCs w:val="22"/>
            <w:u w:val="single"/>
            <w:lang w:eastAsia="zh-CN"/>
          </w:rPr>
          <w:t>X/33</w:t>
        </w:r>
        <w:r w:rsidRPr="002A0DEA">
          <w:rPr>
            <w:rFonts w:eastAsiaTheme="minorEastAsia"/>
            <w:bCs/>
            <w:lang w:val="en-GB" w:eastAsia="zh-CN"/>
          </w:rPr>
          <w:t>号</w:t>
        </w:r>
      </w:hyperlink>
      <w:r w:rsidRPr="002A0DEA">
        <w:rPr>
          <w:rFonts w:eastAsiaTheme="minorEastAsia"/>
          <w:bCs/>
          <w:lang w:val="zh-CN" w:eastAsia="zh-CN"/>
        </w:rPr>
        <w:t>、第</w:t>
      </w:r>
      <w:hyperlink r:id="rId24" w:history="1">
        <w:r w:rsidRPr="002A0DEA">
          <w:rPr>
            <w:rFonts w:eastAsiaTheme="minorEastAsia"/>
            <w:snapToGrid w:val="0"/>
            <w:color w:val="0000FF"/>
            <w:kern w:val="22"/>
            <w:szCs w:val="22"/>
            <w:u w:val="single"/>
            <w:lang w:eastAsia="zh-CN"/>
          </w:rPr>
          <w:t>XII/20</w:t>
        </w:r>
      </w:hyperlink>
      <w:r w:rsidRPr="002A0DEA">
        <w:rPr>
          <w:rFonts w:eastAsiaTheme="minorEastAsia"/>
          <w:bCs/>
          <w:lang w:val="zh-CN" w:eastAsia="zh-CN"/>
        </w:rPr>
        <w:t>号、</w:t>
      </w:r>
      <w:hyperlink r:id="rId25" w:history="1">
        <w:r w:rsidRPr="002A0DEA">
          <w:rPr>
            <w:rFonts w:eastAsiaTheme="minorEastAsia"/>
            <w:bCs/>
            <w:lang w:val="en-GB" w:eastAsia="zh-CN"/>
          </w:rPr>
          <w:t>第</w:t>
        </w:r>
        <w:r w:rsidRPr="002A0DEA">
          <w:rPr>
            <w:rFonts w:eastAsiaTheme="minorEastAsia"/>
            <w:snapToGrid w:val="0"/>
            <w:color w:val="0000FF"/>
            <w:kern w:val="22"/>
            <w:szCs w:val="22"/>
            <w:u w:val="single"/>
            <w:lang w:eastAsia="zh-CN"/>
          </w:rPr>
          <w:t>XIII/4</w:t>
        </w:r>
        <w:r w:rsidRPr="002A0DEA">
          <w:rPr>
            <w:rFonts w:eastAsiaTheme="minorEastAsia"/>
            <w:bCs/>
            <w:lang w:val="zh-CN" w:eastAsia="zh-CN"/>
          </w:rPr>
          <w:t>号</w:t>
        </w:r>
      </w:hyperlink>
      <w:r w:rsidRPr="002A0DEA">
        <w:rPr>
          <w:rFonts w:eastAsiaTheme="minorEastAsia"/>
          <w:bCs/>
          <w:lang w:val="zh-CN" w:eastAsia="zh-CN"/>
        </w:rPr>
        <w:t>和第</w:t>
      </w:r>
      <w:hyperlink r:id="rId26" w:history="1">
        <w:r w:rsidRPr="002A0DEA">
          <w:rPr>
            <w:rFonts w:eastAsiaTheme="minorEastAsia"/>
            <w:snapToGrid w:val="0"/>
            <w:color w:val="0000FF"/>
            <w:kern w:val="22"/>
            <w:szCs w:val="22"/>
            <w:u w:val="single"/>
            <w:lang w:eastAsia="zh-CN"/>
          </w:rPr>
          <w:t>XIII/5</w:t>
        </w:r>
      </w:hyperlink>
      <w:r w:rsidRPr="002A0DEA">
        <w:rPr>
          <w:rFonts w:eastAsiaTheme="minorEastAsia"/>
          <w:bCs/>
          <w:lang w:val="zh-CN" w:eastAsia="zh-CN"/>
        </w:rPr>
        <w:t>号决定</w:t>
      </w:r>
      <w:r w:rsidRPr="002A0DEA">
        <w:rPr>
          <w:rFonts w:eastAsiaTheme="minorEastAsia"/>
          <w:iCs/>
          <w:snapToGrid w:val="0"/>
          <w:shd w:val="clear" w:color="auto" w:fill="FFFFFF"/>
          <w:lang w:val="en-GB" w:eastAsia="zh-CN"/>
        </w:rPr>
        <w:t>进一步加强努力：</w:t>
      </w:r>
    </w:p>
    <w:p w:rsidR="00375FE8" w:rsidRPr="002A0DEA" w:rsidRDefault="00375FE8" w:rsidP="000A1A91">
      <w:pPr>
        <w:widowControl w:val="0"/>
        <w:numPr>
          <w:ilvl w:val="0"/>
          <w:numId w:val="59"/>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shd w:val="clear" w:color="auto" w:fill="FFFFFF"/>
          <w:lang w:val="en-GB" w:eastAsia="zh-CN"/>
        </w:rPr>
        <w:t>查明易受或将要成为易受地理级气候变化影响的区域、生态系统和生物多样性的组成部分，并酌情利用生物多样性模型和设想评估气候变化带来的当前和未来对于生物多样性以及依赖生物多样性的生计的威胁和影响，同时顾及其对气候变化适应和减少灾害风险的重要贡献</w:t>
      </w:r>
      <w:r w:rsidRPr="002A0DEA">
        <w:rPr>
          <w:rFonts w:eastAsiaTheme="minorEastAsia"/>
          <w:iCs/>
          <w:snapToGrid w:val="0"/>
          <w:color w:val="333333"/>
          <w:shd w:val="clear" w:color="auto" w:fill="FFFFFF"/>
          <w:lang w:val="en-GB" w:eastAsia="zh-CN"/>
        </w:rPr>
        <w:t>；</w:t>
      </w:r>
    </w:p>
    <w:p w:rsidR="00375FE8" w:rsidRPr="002A0DEA" w:rsidRDefault="00375FE8" w:rsidP="000A1A91">
      <w:pPr>
        <w:numPr>
          <w:ilvl w:val="0"/>
          <w:numId w:val="59"/>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将气候变化问题和相关国家优先事项纳入国家生物多样性战略和行动计划，并将生物多样性和生态完整因素纳入国家气候变化政策、战略和计划，例如作为确定适应和缓解行动先后顺序的国家方针的本国自定贡献和国家气候变化适应规划；</w:t>
      </w:r>
    </w:p>
    <w:p w:rsidR="00375FE8" w:rsidRPr="002A0DEA" w:rsidRDefault="00375FE8" w:rsidP="000A1A91">
      <w:pPr>
        <w:numPr>
          <w:ilvl w:val="0"/>
          <w:numId w:val="59"/>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促进生态系统恢复和可持续管理后恢复；</w:t>
      </w:r>
    </w:p>
    <w:p w:rsidR="00375FE8" w:rsidRPr="002A0DEA" w:rsidRDefault="00375FE8" w:rsidP="000A1A91">
      <w:pPr>
        <w:numPr>
          <w:ilvl w:val="0"/>
          <w:numId w:val="59"/>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采取适当行动解决并减少气候变化的消极影响；</w:t>
      </w:r>
    </w:p>
    <w:p w:rsidR="00375FE8" w:rsidRPr="002A0DEA" w:rsidRDefault="00375FE8" w:rsidP="000A1A91">
      <w:pPr>
        <w:numPr>
          <w:ilvl w:val="0"/>
          <w:numId w:val="59"/>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加强气候变化适应和缓解活动对气候变化减缓和适应活动对生态系统功能和服务、生物多样性和基于生物多样性的生计的正面影响和最大限度地减少负面影响；</w:t>
      </w:r>
    </w:p>
    <w:p w:rsidR="00375FE8" w:rsidRPr="002A0DEA" w:rsidRDefault="00375FE8" w:rsidP="000A1A91">
      <w:pPr>
        <w:numPr>
          <w:ilvl w:val="0"/>
          <w:numId w:val="59"/>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lastRenderedPageBreak/>
        <w:t>制定各种系统和（或）工具，监测和评估气候变化对生物多样性和依赖生物多样性的生计特别是土著人民和地方社区的生计的影响，并评估基于生态系统的办法对于适应、缓解和减少灾害风险的有效性；</w:t>
      </w:r>
    </w:p>
    <w:p w:rsidR="00375FE8" w:rsidRPr="002A0DEA" w:rsidRDefault="00375FE8" w:rsidP="000A1A91">
      <w:pPr>
        <w:numPr>
          <w:ilvl w:val="0"/>
          <w:numId w:val="59"/>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在提交《公约》的报告中列入上述信息；</w:t>
      </w:r>
    </w:p>
    <w:p w:rsidR="00375FE8" w:rsidRPr="002A0DEA" w:rsidRDefault="00375FE8" w:rsidP="000A1A91">
      <w:pPr>
        <w:numPr>
          <w:ilvl w:val="0"/>
          <w:numId w:val="60"/>
        </w:numPr>
        <w:suppressLineNumbers/>
        <w:tabs>
          <w:tab w:val="left" w:pos="1440"/>
        </w:tabs>
        <w:suppressAutoHyphens/>
        <w:kinsoku w:val="0"/>
        <w:overflowPunct w:val="0"/>
        <w:autoSpaceDE w:val="0"/>
        <w:autoSpaceDN w:val="0"/>
        <w:adjustRightInd w:val="0"/>
        <w:snapToGrid w:val="0"/>
        <w:ind w:left="0" w:firstLine="720"/>
        <w:rPr>
          <w:rFonts w:eastAsiaTheme="minorEastAsia"/>
          <w:iCs/>
          <w:color w:val="333333"/>
          <w:shd w:val="clear" w:color="auto" w:fill="FFFFFF"/>
          <w:lang w:val="en-GB" w:eastAsia="zh-CN"/>
        </w:rPr>
      </w:pPr>
      <w:r w:rsidRPr="002A0DEA">
        <w:rPr>
          <w:rFonts w:ascii="KaiTi" w:eastAsia="KaiTi" w:hAnsi="KaiTi"/>
          <w:bCs/>
          <w:szCs w:val="22"/>
          <w:lang w:val="en-GB" w:eastAsia="zh-CN"/>
        </w:rPr>
        <w:t>又鼓励</w:t>
      </w:r>
      <w:r w:rsidRPr="002A0DEA">
        <w:rPr>
          <w:rFonts w:eastAsiaTheme="minorEastAsia"/>
          <w:bCs/>
          <w:iCs/>
          <w:color w:val="333333"/>
          <w:shd w:val="clear" w:color="auto" w:fill="FFFFFF"/>
          <w:lang w:val="en-GB" w:eastAsia="zh-CN"/>
        </w:rPr>
        <w:t>各缔约方和其他国家政府：</w:t>
      </w:r>
    </w:p>
    <w:p w:rsidR="00375FE8" w:rsidRPr="002A0DEA" w:rsidRDefault="00375FE8" w:rsidP="000A1A91">
      <w:pPr>
        <w:numPr>
          <w:ilvl w:val="0"/>
          <w:numId w:val="61"/>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酌情促进《联合国气候变化框架公约》及其《巴黎协定》、</w:t>
      </w:r>
      <w:r w:rsidRPr="002A0DEA">
        <w:rPr>
          <w:rFonts w:eastAsiaTheme="minorEastAsia"/>
          <w:iCs/>
          <w:snapToGrid w:val="0"/>
          <w:color w:val="333333"/>
          <w:shd w:val="clear" w:color="auto" w:fill="FFFFFF"/>
          <w:vertAlign w:val="superscript"/>
          <w:lang w:val="en-GB" w:eastAsia="zh-CN"/>
        </w:rPr>
        <w:footnoteReference w:id="45"/>
      </w:r>
      <w:r w:rsidRPr="002A0DEA">
        <w:rPr>
          <w:rFonts w:eastAsiaTheme="minorEastAsia"/>
          <w:iCs/>
          <w:snapToGrid w:val="0"/>
          <w:color w:val="333333"/>
          <w:shd w:val="clear" w:color="auto" w:fill="FFFFFF"/>
          <w:lang w:val="en-GB" w:eastAsia="zh-CN"/>
        </w:rPr>
        <w:t xml:space="preserve"> </w:t>
      </w:r>
      <w:r w:rsidRPr="002A0DEA">
        <w:rPr>
          <w:rFonts w:eastAsiaTheme="minorEastAsia"/>
          <w:iCs/>
          <w:snapToGrid w:val="0"/>
          <w:color w:val="333333"/>
          <w:shd w:val="clear" w:color="auto" w:fill="FFFFFF"/>
          <w:lang w:val="en-GB" w:eastAsia="zh-CN"/>
        </w:rPr>
        <w:t>《</w:t>
      </w:r>
      <w:r w:rsidRPr="002A0DEA">
        <w:rPr>
          <w:rFonts w:eastAsiaTheme="minorEastAsia"/>
          <w:iCs/>
          <w:snapToGrid w:val="0"/>
          <w:color w:val="333333"/>
          <w:shd w:val="clear" w:color="auto" w:fill="FFFFFF"/>
          <w:lang w:val="en-GB" w:eastAsia="zh-CN"/>
        </w:rPr>
        <w:t>2030</w:t>
      </w:r>
      <w:r w:rsidRPr="002A0DEA">
        <w:rPr>
          <w:rFonts w:eastAsiaTheme="minorEastAsia"/>
          <w:iCs/>
          <w:snapToGrid w:val="0"/>
          <w:color w:val="333333"/>
          <w:shd w:val="clear" w:color="auto" w:fill="FFFFFF"/>
          <w:lang w:val="en-GB" w:eastAsia="zh-CN"/>
        </w:rPr>
        <w:t>年可持续发展议程》、</w:t>
      </w:r>
      <w:r w:rsidRPr="002A0DEA">
        <w:rPr>
          <w:rFonts w:eastAsiaTheme="minorEastAsia"/>
          <w:iCs/>
          <w:snapToGrid w:val="0"/>
          <w:color w:val="333333"/>
          <w:shd w:val="clear" w:color="auto" w:fill="FFFFFF"/>
          <w:vertAlign w:val="superscript"/>
          <w:lang w:val="en-GB" w:eastAsia="zh-CN"/>
        </w:rPr>
        <w:footnoteReference w:id="46"/>
      </w:r>
      <w:r w:rsidRPr="002A0DEA">
        <w:rPr>
          <w:rFonts w:eastAsiaTheme="minorEastAsia"/>
          <w:iCs/>
          <w:snapToGrid w:val="0"/>
          <w:color w:val="333333"/>
          <w:shd w:val="clear" w:color="auto" w:fill="FFFFFF"/>
          <w:lang w:val="en-GB" w:eastAsia="zh-CN"/>
        </w:rPr>
        <w:t xml:space="preserve"> </w:t>
      </w:r>
      <w:r w:rsidRPr="002A0DEA">
        <w:rPr>
          <w:rFonts w:eastAsiaTheme="minorEastAsia"/>
          <w:iCs/>
          <w:snapToGrid w:val="0"/>
          <w:color w:val="333333"/>
          <w:shd w:val="clear" w:color="auto" w:fill="FFFFFF"/>
          <w:lang w:val="en-GB" w:eastAsia="zh-CN"/>
        </w:rPr>
        <w:t>《生物多样性公约》包括《</w:t>
      </w:r>
      <w:r w:rsidRPr="002A0DEA">
        <w:rPr>
          <w:rFonts w:eastAsiaTheme="minorEastAsia"/>
          <w:iCs/>
          <w:snapToGrid w:val="0"/>
          <w:color w:val="333333"/>
          <w:shd w:val="clear" w:color="auto" w:fill="FFFFFF"/>
          <w:lang w:val="en-GB" w:eastAsia="zh-CN"/>
        </w:rPr>
        <w:t>2011-2020</w:t>
      </w:r>
      <w:r w:rsidRPr="002A0DEA">
        <w:rPr>
          <w:rFonts w:eastAsiaTheme="minorEastAsia"/>
          <w:iCs/>
          <w:snapToGrid w:val="0"/>
          <w:color w:val="333333"/>
          <w:shd w:val="clear" w:color="auto" w:fill="FFFFFF"/>
          <w:lang w:val="en-GB" w:eastAsia="zh-CN"/>
        </w:rPr>
        <w:t>年生物多样性战略计划》</w:t>
      </w:r>
      <w:r w:rsidRPr="002A0DEA">
        <w:rPr>
          <w:rFonts w:eastAsiaTheme="minorEastAsia"/>
          <w:iCs/>
          <w:snapToGrid w:val="0"/>
          <w:color w:val="333333"/>
          <w:shd w:val="clear" w:color="auto" w:fill="FFFFFF"/>
          <w:vertAlign w:val="superscript"/>
          <w:lang w:val="en-GB" w:eastAsia="zh-CN"/>
        </w:rPr>
        <w:footnoteReference w:id="47"/>
      </w:r>
      <w:r w:rsidRPr="002A0DEA">
        <w:rPr>
          <w:rFonts w:eastAsiaTheme="minorEastAsia"/>
          <w:iCs/>
          <w:snapToGrid w:val="0"/>
          <w:color w:val="333333"/>
          <w:shd w:val="clear" w:color="auto" w:fill="FFFFFF"/>
          <w:lang w:val="en-GB" w:eastAsia="zh-CN"/>
        </w:rPr>
        <w:t xml:space="preserve"> </w:t>
      </w:r>
      <w:r w:rsidRPr="002A0DEA">
        <w:rPr>
          <w:rFonts w:eastAsiaTheme="minorEastAsia"/>
          <w:iCs/>
          <w:snapToGrid w:val="0"/>
          <w:color w:val="333333"/>
          <w:shd w:val="clear" w:color="auto" w:fill="FFFFFF"/>
          <w:lang w:val="en-GB" w:eastAsia="zh-CN"/>
        </w:rPr>
        <w:t>和</w:t>
      </w:r>
      <w:r w:rsidRPr="002A0DEA">
        <w:rPr>
          <w:rFonts w:eastAsiaTheme="minorEastAsia"/>
          <w:iCs/>
          <w:snapToGrid w:val="0"/>
          <w:color w:val="333333"/>
          <w:shd w:val="clear" w:color="auto" w:fill="FFFFFF"/>
          <w:lang w:val="en-GB" w:eastAsia="zh-CN"/>
        </w:rPr>
        <w:t>2020</w:t>
      </w:r>
      <w:r w:rsidRPr="002A0DEA">
        <w:rPr>
          <w:rFonts w:eastAsiaTheme="minorEastAsia"/>
          <w:iCs/>
          <w:snapToGrid w:val="0"/>
          <w:color w:val="333333"/>
          <w:shd w:val="clear" w:color="auto" w:fill="FFFFFF"/>
          <w:lang w:val="en-GB" w:eastAsia="zh-CN"/>
        </w:rPr>
        <w:t>年后全球生物多样性框架、《联合国防治荒漠化公约》和其他相关国际框架如</w:t>
      </w:r>
      <w:r w:rsidRPr="002A0DEA">
        <w:rPr>
          <w:rFonts w:eastAsiaTheme="minorEastAsia"/>
          <w:iCs/>
          <w:snapToGrid w:val="0"/>
          <w:color w:val="333333"/>
          <w:shd w:val="clear" w:color="auto" w:fill="FFFFFF"/>
          <w:lang w:val="en-GB" w:eastAsia="zh-CN"/>
        </w:rPr>
        <w:t>2015-2030</w:t>
      </w:r>
      <w:r w:rsidRPr="002A0DEA">
        <w:rPr>
          <w:rFonts w:eastAsiaTheme="minorEastAsia"/>
          <w:iCs/>
          <w:snapToGrid w:val="0"/>
          <w:color w:val="333333"/>
          <w:shd w:val="clear" w:color="auto" w:fill="FFFFFF"/>
          <w:lang w:val="en-GB" w:eastAsia="zh-CN"/>
        </w:rPr>
        <w:t>年仙台减少灾害风险框架</w:t>
      </w:r>
      <w:r w:rsidRPr="002A0DEA">
        <w:rPr>
          <w:rFonts w:eastAsiaTheme="minorEastAsia"/>
          <w:snapToGrid w:val="0"/>
          <w:color w:val="333333"/>
          <w:szCs w:val="28"/>
          <w:shd w:val="clear" w:color="auto" w:fill="FFFFFF"/>
          <w:vertAlign w:val="superscript"/>
          <w:lang w:val="en-GB" w:eastAsia="zh-CN"/>
        </w:rPr>
        <w:footnoteReference w:id="48"/>
      </w:r>
      <w:r w:rsidRPr="002A0DEA">
        <w:rPr>
          <w:rFonts w:eastAsiaTheme="minorEastAsia"/>
          <w:iCs/>
          <w:snapToGrid w:val="0"/>
          <w:color w:val="333333"/>
          <w:sz w:val="22"/>
          <w:shd w:val="clear" w:color="auto" w:fill="FFFFFF"/>
          <w:lang w:val="en-GB" w:eastAsia="zh-CN"/>
        </w:rPr>
        <w:t xml:space="preserve"> </w:t>
      </w:r>
      <w:r w:rsidRPr="002A0DEA">
        <w:rPr>
          <w:rFonts w:eastAsiaTheme="minorEastAsia"/>
          <w:iCs/>
          <w:snapToGrid w:val="0"/>
          <w:color w:val="333333"/>
          <w:shd w:val="clear" w:color="auto" w:fill="FFFFFF"/>
          <w:lang w:val="en-GB" w:eastAsia="zh-CN"/>
        </w:rPr>
        <w:t>的协调统一、综合和互惠的实施和行动；</w:t>
      </w:r>
    </w:p>
    <w:p w:rsidR="00375FE8" w:rsidRPr="002A0DEA" w:rsidRDefault="00375FE8" w:rsidP="000A1A91">
      <w:pPr>
        <w:numPr>
          <w:ilvl w:val="0"/>
          <w:numId w:val="61"/>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在</w:t>
      </w:r>
      <w:r w:rsidRPr="002A0DEA">
        <w:rPr>
          <w:rFonts w:eastAsiaTheme="minorEastAsia"/>
          <w:snapToGrid w:val="0"/>
          <w:lang w:val="en-GB" w:eastAsia="zh-CN"/>
        </w:rPr>
        <w:t>酌情</w:t>
      </w:r>
      <w:r w:rsidRPr="002A0DEA">
        <w:rPr>
          <w:rFonts w:eastAsiaTheme="minorEastAsia"/>
          <w:iCs/>
          <w:snapToGrid w:val="0"/>
          <w:color w:val="333333"/>
          <w:shd w:val="clear" w:color="auto" w:fill="FFFFFF"/>
          <w:lang w:val="en-GB" w:eastAsia="zh-CN"/>
        </w:rPr>
        <w:t>更新其</w:t>
      </w:r>
      <w:r w:rsidRPr="002A0DEA">
        <w:rPr>
          <w:rFonts w:eastAsiaTheme="minorEastAsia"/>
          <w:snapToGrid w:val="0"/>
          <w:lang w:val="en-GB" w:eastAsia="zh-CN"/>
        </w:rPr>
        <w:t>国家自主决定捐款和实施《巴黎协定》规定的国内气候行动时，纳入基于生态系统的办法，并考虑到确保所有生态系统（包括海洋）的完整性以及生物多样性的保护；</w:t>
      </w:r>
    </w:p>
    <w:p w:rsidR="00375FE8" w:rsidRPr="002A0DEA" w:rsidRDefault="00375FE8" w:rsidP="000A1A91">
      <w:pPr>
        <w:numPr>
          <w:ilvl w:val="0"/>
          <w:numId w:val="61"/>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在设计基于生态系统的适应工具和减灾计划时，考虑到妇女、老年人、土著人民和地方社区等弱势群体的需求和战略利益；</w:t>
      </w:r>
    </w:p>
    <w:p w:rsidR="00375FE8" w:rsidRPr="002A0DEA" w:rsidRDefault="00375FE8" w:rsidP="000A1A91">
      <w:pPr>
        <w:widowControl w:val="0"/>
        <w:numPr>
          <w:ilvl w:val="0"/>
          <w:numId w:val="60"/>
        </w:numPr>
        <w:suppressLineNumbers/>
        <w:tabs>
          <w:tab w:val="left" w:pos="1440"/>
        </w:tabs>
        <w:suppressAutoHyphens/>
        <w:kinsoku w:val="0"/>
        <w:overflowPunct w:val="0"/>
        <w:autoSpaceDE w:val="0"/>
        <w:autoSpaceDN w:val="0"/>
        <w:adjustRightInd w:val="0"/>
        <w:snapToGrid w:val="0"/>
        <w:ind w:left="0" w:firstLine="720"/>
        <w:rPr>
          <w:rFonts w:eastAsiaTheme="minorEastAsia"/>
          <w:bCs/>
          <w:snapToGrid w:val="0"/>
          <w:kern w:val="22"/>
          <w:szCs w:val="22"/>
          <w:lang w:val="en-GB" w:eastAsia="zh-CN"/>
        </w:rPr>
      </w:pPr>
      <w:r w:rsidRPr="002A0DEA">
        <w:rPr>
          <w:rFonts w:ascii="KaiTi" w:eastAsia="KaiTi" w:hAnsi="KaiTi"/>
          <w:bCs/>
          <w:szCs w:val="22"/>
          <w:lang w:val="en-GB" w:eastAsia="zh-CN"/>
        </w:rPr>
        <w:t>欢迎</w:t>
      </w:r>
      <w:r w:rsidRPr="002A0DEA">
        <w:rPr>
          <w:rFonts w:eastAsiaTheme="minorEastAsia"/>
          <w:snapToGrid w:val="0"/>
          <w:lang w:val="en-GB" w:eastAsia="zh-CN"/>
        </w:rPr>
        <w:t>生物多样性和生态系统服务政府间科学政策平台关于土地退化和恢复问题的评估以及生物多样性和生态系统服务区域评估，核可其主要信息，这些信息通过对气候变化适应、缓解和减少灾害风险及抗土壤退化采取基于生态系统的办法，支持实现可持续发展目标，清楚地表明可持续发展目标、《</w:t>
      </w:r>
      <w:r w:rsidRPr="002A0DEA">
        <w:rPr>
          <w:rFonts w:eastAsiaTheme="minorEastAsia"/>
          <w:snapToGrid w:val="0"/>
          <w:lang w:val="en-GB" w:eastAsia="zh-CN"/>
        </w:rPr>
        <w:t>2011-2020</w:t>
      </w:r>
      <w:r w:rsidRPr="002A0DEA">
        <w:rPr>
          <w:rFonts w:eastAsiaTheme="minorEastAsia"/>
          <w:snapToGrid w:val="0"/>
          <w:lang w:val="en-GB" w:eastAsia="zh-CN"/>
        </w:rPr>
        <w:t>年生物多样性战略计划》和《巴黎协定》的实现如何取决于环境的多样性和复杂性；</w:t>
      </w:r>
    </w:p>
    <w:p w:rsidR="00375FE8" w:rsidRPr="002A0DEA" w:rsidRDefault="00375FE8" w:rsidP="000A1A91">
      <w:pPr>
        <w:widowControl w:val="0"/>
        <w:numPr>
          <w:ilvl w:val="0"/>
          <w:numId w:val="60"/>
        </w:numPr>
        <w:suppressLineNumbers/>
        <w:tabs>
          <w:tab w:val="left" w:pos="1440"/>
        </w:tabs>
        <w:suppressAutoHyphens/>
        <w:kinsoku w:val="0"/>
        <w:overflowPunct w:val="0"/>
        <w:autoSpaceDE w:val="0"/>
        <w:autoSpaceDN w:val="0"/>
        <w:adjustRightInd w:val="0"/>
        <w:snapToGrid w:val="0"/>
        <w:ind w:left="0" w:firstLine="720"/>
        <w:rPr>
          <w:rFonts w:eastAsiaTheme="minorEastAsia"/>
          <w:bCs/>
          <w:snapToGrid w:val="0"/>
          <w:kern w:val="22"/>
          <w:szCs w:val="22"/>
          <w:lang w:val="en-GB" w:eastAsia="zh-CN"/>
        </w:rPr>
      </w:pPr>
      <w:r w:rsidRPr="002A0DEA">
        <w:rPr>
          <w:rFonts w:ascii="KaiTi" w:eastAsia="KaiTi" w:hAnsi="KaiTi"/>
          <w:bCs/>
          <w:szCs w:val="22"/>
          <w:lang w:val="en-GB" w:eastAsia="zh-CN"/>
        </w:rPr>
        <w:t>关切地注意到</w:t>
      </w:r>
      <w:r w:rsidRPr="002A0DEA">
        <w:rPr>
          <w:rFonts w:eastAsiaTheme="minorEastAsia"/>
          <w:bCs/>
          <w:snapToGrid w:val="0"/>
          <w:kern w:val="22"/>
          <w:szCs w:val="22"/>
          <w:lang w:val="en-GB" w:eastAsia="zh-CN"/>
        </w:rPr>
        <w:t>题为全球变暖</w:t>
      </w:r>
      <w:r w:rsidRPr="002A0DEA">
        <w:rPr>
          <w:rFonts w:eastAsiaTheme="minorEastAsia"/>
          <w:bCs/>
          <w:snapToGrid w:val="0"/>
          <w:kern w:val="22"/>
          <w:szCs w:val="22"/>
          <w:lang w:val="en-GB" w:eastAsia="zh-CN"/>
        </w:rPr>
        <w:t>1.5</w:t>
      </w:r>
      <w:r w:rsidRPr="002A0DEA">
        <w:rPr>
          <w:rFonts w:eastAsiaTheme="minorEastAsia"/>
          <w:bCs/>
          <w:snapToGrid w:val="0"/>
          <w:kern w:val="22"/>
          <w:szCs w:val="22"/>
          <w:lang w:val="en-GB" w:eastAsia="zh-CN"/>
        </w:rPr>
        <w:t>摄氏度的报告，这是一份</w:t>
      </w:r>
      <w:r w:rsidRPr="002A0DEA">
        <w:rPr>
          <w:rFonts w:eastAsiaTheme="minorEastAsia"/>
          <w:bCs/>
          <w:color w:val="222222"/>
          <w:shd w:val="clear" w:color="auto" w:fill="FCFDFD"/>
          <w:lang w:val="en-GB" w:eastAsia="zh-CN"/>
        </w:rPr>
        <w:t>政府间气候变化专门委员会</w:t>
      </w:r>
      <w:r w:rsidRPr="002A0DEA">
        <w:rPr>
          <w:rFonts w:eastAsiaTheme="minorEastAsia"/>
          <w:bCs/>
          <w:snapToGrid w:val="0"/>
          <w:kern w:val="22"/>
          <w:szCs w:val="22"/>
          <w:lang w:val="en-GB" w:eastAsia="zh-CN"/>
        </w:rPr>
        <w:t>关于全球变暖高于工业化前水平</w:t>
      </w:r>
      <w:r w:rsidRPr="002A0DEA">
        <w:rPr>
          <w:rFonts w:eastAsiaTheme="minorEastAsia"/>
          <w:bCs/>
          <w:snapToGrid w:val="0"/>
          <w:kern w:val="22"/>
          <w:szCs w:val="22"/>
          <w:lang w:val="en-GB" w:eastAsia="zh-CN"/>
        </w:rPr>
        <w:t>1.5</w:t>
      </w:r>
      <w:r w:rsidRPr="002A0DEA">
        <w:rPr>
          <w:rFonts w:eastAsiaTheme="minorEastAsia"/>
          <w:bCs/>
          <w:snapToGrid w:val="0"/>
          <w:kern w:val="22"/>
          <w:szCs w:val="22"/>
          <w:lang w:val="en-GB" w:eastAsia="zh-CN"/>
        </w:rPr>
        <w:t>摄氏度和相关的全球温室气体排放途径影响的特别报告，背景是加强全球应对气候变化威胁、可持续发展和消除贫困的努力，</w:t>
      </w:r>
      <w:bookmarkStart w:id="28" w:name="_Ref530629076"/>
      <w:r w:rsidRPr="002A0DEA">
        <w:rPr>
          <w:rFonts w:eastAsiaTheme="minorEastAsia"/>
          <w:bCs/>
          <w:snapToGrid w:val="0"/>
          <w:kern w:val="22"/>
          <w:vertAlign w:val="superscript"/>
          <w:lang w:val="en-GB" w:eastAsia="zh-CN"/>
        </w:rPr>
        <w:footnoteReference w:id="49"/>
      </w:r>
      <w:bookmarkEnd w:id="28"/>
      <w:r w:rsidRPr="002A0DEA">
        <w:rPr>
          <w:rFonts w:eastAsiaTheme="minorEastAsia"/>
          <w:bCs/>
          <w:snapToGrid w:val="0"/>
          <w:kern w:val="22"/>
          <w:szCs w:val="22"/>
          <w:lang w:val="en-GB" w:eastAsia="zh-CN"/>
        </w:rPr>
        <w:t xml:space="preserve"> </w:t>
      </w:r>
      <w:r w:rsidRPr="002A0DEA">
        <w:rPr>
          <w:rFonts w:eastAsiaTheme="minorEastAsia"/>
          <w:bCs/>
          <w:snapToGrid w:val="0"/>
          <w:kern w:val="22"/>
          <w:szCs w:val="22"/>
          <w:lang w:val="en-GB" w:eastAsia="zh-CN"/>
        </w:rPr>
        <w:t>并鼓励各缔约方考虑支持基于生态系统的气候变化适应、减缓和减少灾害风险方法的主要结论；</w:t>
      </w:r>
    </w:p>
    <w:p w:rsidR="00403EFA" w:rsidRPr="00403EFA" w:rsidRDefault="00375FE8" w:rsidP="00403EFA">
      <w:pPr>
        <w:widowControl w:val="0"/>
        <w:numPr>
          <w:ilvl w:val="0"/>
          <w:numId w:val="60"/>
        </w:numPr>
        <w:suppressLineNumbers/>
        <w:tabs>
          <w:tab w:val="left" w:pos="1440"/>
        </w:tabs>
        <w:suppressAutoHyphens/>
        <w:kinsoku w:val="0"/>
        <w:overflowPunct w:val="0"/>
        <w:autoSpaceDE w:val="0"/>
        <w:autoSpaceDN w:val="0"/>
        <w:adjustRightInd w:val="0"/>
        <w:snapToGrid w:val="0"/>
        <w:ind w:left="0" w:firstLine="720"/>
        <w:rPr>
          <w:rFonts w:eastAsiaTheme="minorEastAsia"/>
          <w:bCs/>
          <w:snapToGrid w:val="0"/>
          <w:kern w:val="22"/>
          <w:szCs w:val="22"/>
          <w:lang w:val="en-GB" w:eastAsia="zh-CN"/>
        </w:rPr>
      </w:pPr>
      <w:r w:rsidRPr="00403EFA">
        <w:rPr>
          <w:rFonts w:ascii="KaiTi" w:eastAsia="KaiTi" w:hAnsi="KaiTi"/>
          <w:bCs/>
          <w:szCs w:val="22"/>
          <w:lang w:val="en-GB" w:eastAsia="zh-CN"/>
        </w:rPr>
        <w:t>鼓励</w:t>
      </w:r>
      <w:r w:rsidRPr="00403EFA">
        <w:rPr>
          <w:rFonts w:eastAsiaTheme="minorEastAsia"/>
          <w:bCs/>
          <w:snapToGrid w:val="0"/>
          <w:kern w:val="22"/>
          <w:szCs w:val="22"/>
          <w:lang w:val="en-GB" w:eastAsia="zh-CN"/>
        </w:rPr>
        <w:t>各缔约方在</w:t>
      </w:r>
      <w:r w:rsidRPr="00403EFA">
        <w:rPr>
          <w:rFonts w:eastAsiaTheme="minorEastAsia"/>
          <w:bCs/>
          <w:snapToGrid w:val="0"/>
          <w:spacing w:val="-20"/>
          <w:kern w:val="22"/>
          <w:szCs w:val="22"/>
          <w:lang w:val="en-GB" w:eastAsia="zh-CN"/>
        </w:rPr>
        <w:t>湿地养护、</w:t>
      </w:r>
      <w:r w:rsidR="00403EFA" w:rsidRPr="00403EFA">
        <w:rPr>
          <w:rFonts w:eastAsiaTheme="minorEastAsia"/>
          <w:bCs/>
          <w:snapToGrid w:val="0"/>
          <w:kern w:val="22"/>
          <w:szCs w:val="22"/>
          <w:lang w:val="en-GB" w:eastAsia="zh-CN"/>
        </w:rPr>
        <w:t>恢复和（或）明智</w:t>
      </w:r>
      <w:r w:rsidR="00403EFA" w:rsidRPr="00403EFA">
        <w:rPr>
          <w:rFonts w:eastAsiaTheme="minorEastAsia"/>
          <w:bCs/>
          <w:snapToGrid w:val="0"/>
          <w:kern w:val="22"/>
          <w:szCs w:val="22"/>
          <w:lang w:val="en-GB" w:eastAsia="zh-CN"/>
        </w:rPr>
        <w:t>/</w:t>
      </w:r>
      <w:r w:rsidR="00403EFA" w:rsidRPr="00403EFA">
        <w:rPr>
          <w:rFonts w:eastAsiaTheme="minorEastAsia"/>
          <w:bCs/>
          <w:snapToGrid w:val="0"/>
          <w:kern w:val="22"/>
          <w:szCs w:val="22"/>
          <w:lang w:val="en-GB" w:eastAsia="zh-CN"/>
        </w:rPr>
        <w:t>可持续利用方面进行合作，使其在气候变化和减少灾害风险方面的重要性得到确认，并支持制定关于泥炭地保护、恢复和明智使用的多边环境协定联合声明的进程，从而保护泥炭地的多重效益，包括恢复的泥炭地，并促进可持续发展目标；</w:t>
      </w:r>
    </w:p>
    <w:p w:rsidR="00375FE8" w:rsidRPr="002A0DEA" w:rsidRDefault="00375FE8" w:rsidP="000A1A91">
      <w:pPr>
        <w:numPr>
          <w:ilvl w:val="0"/>
          <w:numId w:val="60"/>
        </w:numPr>
        <w:suppressLineNumbers/>
        <w:tabs>
          <w:tab w:val="left" w:pos="1440"/>
        </w:tabs>
        <w:suppressAutoHyphens/>
        <w:kinsoku w:val="0"/>
        <w:overflowPunct w:val="0"/>
        <w:autoSpaceDE w:val="0"/>
        <w:autoSpaceDN w:val="0"/>
        <w:adjustRightInd w:val="0"/>
        <w:snapToGrid w:val="0"/>
        <w:ind w:left="0" w:firstLine="720"/>
        <w:rPr>
          <w:rFonts w:eastAsiaTheme="minorEastAsia"/>
          <w:kern w:val="22"/>
          <w:lang w:val="en-GB" w:eastAsia="zh-CN"/>
        </w:rPr>
      </w:pPr>
      <w:r w:rsidRPr="002A0DEA">
        <w:rPr>
          <w:rFonts w:ascii="KaiTi" w:eastAsia="KaiTi" w:hAnsi="KaiTi"/>
          <w:bCs/>
          <w:szCs w:val="22"/>
          <w:lang w:val="en-GB" w:eastAsia="zh-CN"/>
        </w:rPr>
        <w:lastRenderedPageBreak/>
        <w:t>邀请</w:t>
      </w:r>
      <w:r w:rsidRPr="002A0DEA">
        <w:rPr>
          <w:rFonts w:eastAsiaTheme="minorEastAsia"/>
          <w:kern w:val="22"/>
          <w:lang w:val="zh-CN" w:eastAsia="zh-CN"/>
        </w:rPr>
        <w:t>各缔约方在自愿基础上提供关于为落实设计和有效实施基于生态系统的适应气候变化和减少灾害风险的自愿准则所开展的活动和所产生结果的信息，并通过信息交换所机制和其他相关平台提供这些信息</w:t>
      </w:r>
      <w:r w:rsidRPr="002A0DEA">
        <w:rPr>
          <w:rFonts w:eastAsiaTheme="minorEastAsia"/>
          <w:kern w:val="22"/>
          <w:lang w:val="en-GB" w:eastAsia="zh-CN"/>
        </w:rPr>
        <w:t>；</w:t>
      </w:r>
    </w:p>
    <w:p w:rsidR="00375FE8" w:rsidRPr="002A0DEA" w:rsidRDefault="00375FE8" w:rsidP="005B2709">
      <w:pPr>
        <w:widowControl w:val="0"/>
        <w:numPr>
          <w:ilvl w:val="0"/>
          <w:numId w:val="60"/>
        </w:numPr>
        <w:suppressLineNumbers/>
        <w:tabs>
          <w:tab w:val="left" w:pos="1440"/>
        </w:tabs>
        <w:suppressAutoHyphens/>
        <w:kinsoku w:val="0"/>
        <w:overflowPunct w:val="0"/>
        <w:autoSpaceDE w:val="0"/>
        <w:autoSpaceDN w:val="0"/>
        <w:adjustRightInd w:val="0"/>
        <w:snapToGrid w:val="0"/>
        <w:ind w:left="0" w:firstLine="720"/>
        <w:rPr>
          <w:rFonts w:eastAsiaTheme="minorEastAsia"/>
          <w:kern w:val="22"/>
          <w:lang w:val="en-GB" w:eastAsia="zh-CN"/>
        </w:rPr>
      </w:pPr>
      <w:r w:rsidRPr="000E76EC">
        <w:rPr>
          <w:rFonts w:ascii="KaiTi" w:eastAsia="KaiTi" w:hAnsi="KaiTi"/>
          <w:bCs/>
          <w:szCs w:val="22"/>
          <w:lang w:val="en-GB" w:eastAsia="zh-CN"/>
        </w:rPr>
        <w:t>邀请</w:t>
      </w:r>
      <w:r w:rsidRPr="002A0DEA">
        <w:rPr>
          <w:rFonts w:eastAsiaTheme="minorEastAsia"/>
          <w:kern w:val="22"/>
          <w:lang w:val="zh-CN" w:eastAsia="zh-CN"/>
        </w:rPr>
        <w:t>包括基于生态系统的适应之友小组和环境和减少灾害风险伙伴关系的组织及其成员，继续支持缔约方努力推动基于生态系统的适应气候变化和减少灾害风险的做法以及土著人民和地方社区适应气候变化和减少灾害风险的做法</w:t>
      </w:r>
      <w:r w:rsidRPr="002A0DEA">
        <w:rPr>
          <w:rFonts w:eastAsiaTheme="minorEastAsia"/>
          <w:kern w:val="22"/>
          <w:lang w:val="en-GB" w:eastAsia="zh-CN"/>
        </w:rPr>
        <w:t>；</w:t>
      </w:r>
    </w:p>
    <w:p w:rsidR="00375FE8" w:rsidRPr="002A0DEA" w:rsidRDefault="00375FE8" w:rsidP="000A1A91">
      <w:pPr>
        <w:numPr>
          <w:ilvl w:val="0"/>
          <w:numId w:val="60"/>
        </w:numPr>
        <w:suppressLineNumbers/>
        <w:tabs>
          <w:tab w:val="left" w:pos="1440"/>
        </w:tabs>
        <w:suppressAutoHyphens/>
        <w:kinsoku w:val="0"/>
        <w:overflowPunct w:val="0"/>
        <w:autoSpaceDE w:val="0"/>
        <w:autoSpaceDN w:val="0"/>
        <w:adjustRightInd w:val="0"/>
        <w:snapToGrid w:val="0"/>
        <w:ind w:left="0" w:firstLine="720"/>
        <w:rPr>
          <w:rFonts w:eastAsiaTheme="minorEastAsia"/>
          <w:kern w:val="22"/>
          <w:lang w:val="zh-CN" w:eastAsia="zh-CN"/>
        </w:rPr>
      </w:pPr>
      <w:r w:rsidRPr="000E76EC">
        <w:rPr>
          <w:rFonts w:ascii="KaiTi" w:eastAsia="KaiTi" w:hAnsi="KaiTi"/>
          <w:bCs/>
          <w:szCs w:val="22"/>
          <w:lang w:val="en-GB" w:eastAsia="zh-CN"/>
        </w:rPr>
        <w:t>请</w:t>
      </w:r>
      <w:r w:rsidRPr="002A0DEA">
        <w:rPr>
          <w:rFonts w:eastAsiaTheme="minorEastAsia"/>
          <w:kern w:val="22"/>
          <w:lang w:val="zh-CN" w:eastAsia="zh-CN"/>
        </w:rPr>
        <w:t>执行秘书在资源允许的情况下，并</w:t>
      </w:r>
      <w:r w:rsidRPr="000E76EC">
        <w:rPr>
          <w:rFonts w:ascii="KaiTi" w:eastAsia="KaiTi" w:hAnsi="KaiTi"/>
          <w:bCs/>
          <w:szCs w:val="22"/>
          <w:lang w:val="en-GB" w:eastAsia="zh-CN"/>
        </w:rPr>
        <w:t>邀请</w:t>
      </w:r>
      <w:r w:rsidRPr="002A0DEA">
        <w:rPr>
          <w:rFonts w:eastAsiaTheme="minorEastAsia"/>
          <w:kern w:val="22"/>
          <w:lang w:val="zh-CN" w:eastAsia="zh-CN"/>
        </w:rPr>
        <w:t>有能力的缔约方、其他国家政府和国际组织，支持缔约方采取基于生态系统的气候变化适应和减少灾害风险的办法，除其他外，还利用制设计和有效实施基于生态系统的气候变化适应和减少灾害风险办法的自愿准则，除其他外，还在所有相关层面：</w:t>
      </w:r>
    </w:p>
    <w:p w:rsidR="00375FE8" w:rsidRPr="002A0DEA" w:rsidRDefault="00375FE8" w:rsidP="000A1A91">
      <w:pPr>
        <w:numPr>
          <w:ilvl w:val="0"/>
          <w:numId w:val="62"/>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酌情提供能力建设，便利技术的获得；</w:t>
      </w:r>
    </w:p>
    <w:p w:rsidR="00375FE8" w:rsidRPr="002A0DEA" w:rsidRDefault="00375FE8" w:rsidP="000A1A91">
      <w:pPr>
        <w:numPr>
          <w:ilvl w:val="0"/>
          <w:numId w:val="62"/>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shd w:val="clear" w:color="auto" w:fill="FFFFFF"/>
          <w:lang w:val="en-GB" w:eastAsia="zh-CN"/>
        </w:rPr>
        <w:t>促进提高认识</w:t>
      </w:r>
      <w:r w:rsidRPr="002A0DEA">
        <w:rPr>
          <w:rFonts w:eastAsiaTheme="minorEastAsia"/>
          <w:iCs/>
          <w:snapToGrid w:val="0"/>
          <w:color w:val="333333"/>
          <w:shd w:val="clear" w:color="auto" w:fill="FFFFFF"/>
          <w:lang w:val="en-GB" w:eastAsia="zh-CN"/>
        </w:rPr>
        <w:t>；</w:t>
      </w:r>
    </w:p>
    <w:p w:rsidR="00375FE8" w:rsidRPr="002A0DEA" w:rsidRDefault="00375FE8" w:rsidP="000A1A91">
      <w:pPr>
        <w:numPr>
          <w:ilvl w:val="0"/>
          <w:numId w:val="62"/>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支持利用各种工具，包括土著人民和地方社区的社区性监测和信息系统；</w:t>
      </w:r>
    </w:p>
    <w:p w:rsidR="00375FE8" w:rsidRPr="002A0DEA" w:rsidRDefault="00375FE8" w:rsidP="000A1A91">
      <w:pPr>
        <w:numPr>
          <w:ilvl w:val="0"/>
          <w:numId w:val="62"/>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支持各国，特别是发展中国家，尤其是最不发达国家和小岛屿发展中国家，同时考虑到最易受气候变化影响的国家的需要；</w:t>
      </w:r>
    </w:p>
    <w:p w:rsidR="00375FE8" w:rsidRPr="002A0DEA" w:rsidRDefault="00375FE8" w:rsidP="000A1A91">
      <w:pPr>
        <w:numPr>
          <w:ilvl w:val="0"/>
          <w:numId w:val="62"/>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支持制定和执行试点项目并升级现有项目；</w:t>
      </w:r>
    </w:p>
    <w:p w:rsidR="00375FE8" w:rsidRPr="002A0DEA" w:rsidRDefault="00375FE8" w:rsidP="000A1A91">
      <w:pPr>
        <w:numPr>
          <w:ilvl w:val="0"/>
          <w:numId w:val="60"/>
        </w:numPr>
        <w:suppressLineNumbers/>
        <w:tabs>
          <w:tab w:val="left" w:pos="1440"/>
        </w:tabs>
        <w:suppressAutoHyphens/>
        <w:kinsoku w:val="0"/>
        <w:overflowPunct w:val="0"/>
        <w:autoSpaceDE w:val="0"/>
        <w:autoSpaceDN w:val="0"/>
        <w:adjustRightInd w:val="0"/>
        <w:snapToGrid w:val="0"/>
        <w:ind w:left="0" w:firstLine="720"/>
        <w:rPr>
          <w:rFonts w:eastAsiaTheme="minorEastAsia"/>
          <w:bCs/>
          <w:snapToGrid w:val="0"/>
          <w:kern w:val="22"/>
          <w:sz w:val="22"/>
          <w:szCs w:val="22"/>
          <w:lang w:val="en-GB" w:eastAsia="zh-CN"/>
        </w:rPr>
      </w:pPr>
      <w:r w:rsidRPr="000E76EC">
        <w:rPr>
          <w:rFonts w:ascii="KaiTi" w:eastAsia="KaiTi" w:hAnsi="KaiTi"/>
          <w:bCs/>
          <w:szCs w:val="22"/>
          <w:lang w:val="en-GB" w:eastAsia="zh-CN"/>
        </w:rPr>
        <w:t>请</w:t>
      </w:r>
      <w:r w:rsidRPr="002A0DEA">
        <w:rPr>
          <w:rFonts w:eastAsiaTheme="minorEastAsia"/>
          <w:kern w:val="22"/>
          <w:lang w:val="zh-CN" w:eastAsia="zh-CN"/>
        </w:rPr>
        <w:t>执行秘书与各缔约方、其他国家政府、相关多边环境协定秘书处以及其他组织合作</w:t>
      </w:r>
      <w:r w:rsidRPr="002A0DEA">
        <w:rPr>
          <w:rFonts w:eastAsiaTheme="minorEastAsia"/>
          <w:kern w:val="22"/>
          <w:lang w:val="en-GB" w:eastAsia="zh-CN"/>
        </w:rPr>
        <w:t>，</w:t>
      </w:r>
      <w:r w:rsidRPr="002A0DEA">
        <w:rPr>
          <w:rFonts w:eastAsiaTheme="minorEastAsia"/>
          <w:kern w:val="22"/>
          <w:lang w:val="zh-CN" w:eastAsia="zh-CN"/>
        </w:rPr>
        <w:t>以便</w:t>
      </w:r>
      <w:r w:rsidRPr="002A0DEA">
        <w:rPr>
          <w:rFonts w:eastAsiaTheme="minorEastAsia"/>
          <w:kern w:val="22"/>
          <w:lang w:val="en-GB" w:eastAsia="zh-CN"/>
        </w:rPr>
        <w:t>：</w:t>
      </w:r>
    </w:p>
    <w:p w:rsidR="00375FE8" w:rsidRPr="002A0DEA" w:rsidRDefault="00375FE8" w:rsidP="000A1A91">
      <w:pPr>
        <w:numPr>
          <w:ilvl w:val="0"/>
          <w:numId w:val="63"/>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视需要并根据各缔约方依照上文第</w:t>
      </w:r>
      <w:r w:rsidRPr="002A0DEA">
        <w:rPr>
          <w:rFonts w:eastAsiaTheme="minorEastAsia"/>
          <w:iCs/>
          <w:snapToGrid w:val="0"/>
          <w:color w:val="333333"/>
          <w:shd w:val="clear" w:color="auto" w:fill="FFFFFF"/>
          <w:lang w:val="en-GB" w:eastAsia="zh-CN"/>
        </w:rPr>
        <w:t>9</w:t>
      </w:r>
      <w:r w:rsidRPr="002A0DEA">
        <w:rPr>
          <w:rFonts w:eastAsiaTheme="minorEastAsia"/>
          <w:iCs/>
          <w:snapToGrid w:val="0"/>
          <w:color w:val="333333"/>
          <w:shd w:val="clear" w:color="auto" w:fill="FFFFFF"/>
          <w:lang w:val="en-GB" w:eastAsia="zh-CN"/>
        </w:rPr>
        <w:t>段提交的信息，更新关于</w:t>
      </w:r>
      <w:r w:rsidRPr="002A0DEA">
        <w:rPr>
          <w:rFonts w:eastAsiaTheme="minorEastAsia"/>
          <w:bCs/>
          <w:snapToGrid w:val="0"/>
          <w:kern w:val="22"/>
          <w:szCs w:val="18"/>
          <w:lang w:val="zh-CN" w:eastAsia="zh-CN"/>
        </w:rPr>
        <w:t>设计和有效实施基于生态系统的适应气候变化和减少灾害风险自愿准则中的现有指导意见、工具和举措的信息；</w:t>
      </w:r>
      <w:r w:rsidRPr="002A0DEA">
        <w:rPr>
          <w:rFonts w:eastAsiaTheme="minorEastAsia"/>
          <w:iCs/>
          <w:snapToGrid w:val="0"/>
          <w:color w:val="333333"/>
          <w:shd w:val="clear" w:color="auto" w:fill="FFFFFF"/>
          <w:vertAlign w:val="superscript"/>
          <w:lang w:val="en-GB" w:eastAsia="zh-CN"/>
        </w:rPr>
        <w:footnoteReference w:id="50"/>
      </w:r>
    </w:p>
    <w:p w:rsidR="00375FE8" w:rsidRPr="002A0DEA" w:rsidRDefault="00375FE8" w:rsidP="000A1A91">
      <w:pPr>
        <w:widowControl w:val="0"/>
        <w:numPr>
          <w:ilvl w:val="0"/>
          <w:numId w:val="63"/>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汇编国家、区域和国际各级关于实施基于生态系统的适应气候变化（</w:t>
      </w:r>
      <w:bookmarkStart w:id="29" w:name="hit3"/>
      <w:bookmarkEnd w:id="29"/>
      <w:r w:rsidRPr="002A0DEA">
        <w:rPr>
          <w:rFonts w:eastAsiaTheme="minorEastAsia"/>
          <w:iCs/>
          <w:snapToGrid w:val="0"/>
          <w:color w:val="333333"/>
          <w:shd w:val="clear" w:color="auto" w:fill="FFFFFF"/>
          <w:lang w:val="en-GB" w:eastAsia="zh-CN"/>
        </w:rPr>
        <w:t>EbA</w:t>
      </w:r>
      <w:r w:rsidRPr="002A0DEA">
        <w:rPr>
          <w:rFonts w:eastAsiaTheme="minorEastAsia"/>
          <w:iCs/>
          <w:snapToGrid w:val="0"/>
          <w:color w:val="333333"/>
          <w:shd w:val="clear" w:color="auto" w:fill="FFFFFF"/>
          <w:lang w:val="en-GB" w:eastAsia="zh-CN"/>
        </w:rPr>
        <w:t>）和减少灾害风险办法（</w:t>
      </w:r>
      <w:r w:rsidRPr="002A0DEA">
        <w:rPr>
          <w:rFonts w:eastAsiaTheme="minorEastAsia"/>
          <w:iCs/>
          <w:snapToGrid w:val="0"/>
          <w:color w:val="333333"/>
          <w:shd w:val="clear" w:color="auto" w:fill="FFFFFF"/>
          <w:lang w:val="en-GB" w:eastAsia="zh-CN"/>
        </w:rPr>
        <w:t>Eco-DRR</w:t>
      </w:r>
      <w:r w:rsidRPr="002A0DEA">
        <w:rPr>
          <w:rFonts w:eastAsiaTheme="minorEastAsia"/>
          <w:iCs/>
          <w:snapToGrid w:val="0"/>
          <w:color w:val="333333"/>
          <w:shd w:val="clear" w:color="auto" w:fill="FFFFFF"/>
          <w:lang w:val="en-GB" w:eastAsia="zh-CN"/>
        </w:rPr>
        <w:t>）的个</w:t>
      </w:r>
      <w:r w:rsidRPr="002A0DEA">
        <w:rPr>
          <w:rFonts w:eastAsiaTheme="minorEastAsia"/>
          <w:bCs/>
          <w:snapToGrid w:val="0"/>
          <w:kern w:val="22"/>
          <w:szCs w:val="18"/>
          <w:lang w:val="zh-CN" w:eastAsia="zh-CN"/>
        </w:rPr>
        <w:t>案研究；</w:t>
      </w:r>
    </w:p>
    <w:p w:rsidR="00375FE8" w:rsidRPr="002A0DEA" w:rsidRDefault="00375FE8" w:rsidP="000A1A91">
      <w:pPr>
        <w:numPr>
          <w:ilvl w:val="0"/>
          <w:numId w:val="63"/>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通过信息交换所机制公布上述资料；</w:t>
      </w:r>
    </w:p>
    <w:p w:rsidR="00375FE8" w:rsidRPr="002A0DEA" w:rsidRDefault="00375FE8" w:rsidP="000A1A91">
      <w:pPr>
        <w:numPr>
          <w:ilvl w:val="0"/>
          <w:numId w:val="60"/>
        </w:numPr>
        <w:suppressLineNumbers/>
        <w:tabs>
          <w:tab w:val="left" w:pos="1440"/>
        </w:tabs>
        <w:suppressAutoHyphens/>
        <w:kinsoku w:val="0"/>
        <w:overflowPunct w:val="0"/>
        <w:autoSpaceDE w:val="0"/>
        <w:autoSpaceDN w:val="0"/>
        <w:adjustRightInd w:val="0"/>
        <w:snapToGrid w:val="0"/>
        <w:ind w:left="0" w:firstLine="720"/>
        <w:rPr>
          <w:rFonts w:eastAsiaTheme="minorEastAsia"/>
          <w:bCs/>
          <w:snapToGrid w:val="0"/>
          <w:kern w:val="22"/>
          <w:lang w:val="en-GB" w:eastAsia="zh-CN"/>
        </w:rPr>
      </w:pPr>
      <w:r w:rsidRPr="000E76EC">
        <w:rPr>
          <w:rFonts w:ascii="KaiTi" w:eastAsia="KaiTi" w:hAnsi="KaiTi"/>
          <w:bCs/>
          <w:szCs w:val="22"/>
          <w:lang w:val="en-GB" w:eastAsia="zh-CN"/>
        </w:rPr>
        <w:t>又请</w:t>
      </w:r>
      <w:r w:rsidRPr="002A0DEA">
        <w:rPr>
          <w:rFonts w:eastAsiaTheme="minorEastAsia"/>
          <w:bCs/>
          <w:iCs/>
          <w:snapToGrid w:val="0"/>
          <w:kern w:val="22"/>
          <w:lang w:val="en-GB" w:eastAsia="zh-CN"/>
        </w:rPr>
        <w:t>执行秘书与政府间气候变化专门委员会协商，并在资源允许的情况下：</w:t>
      </w:r>
    </w:p>
    <w:p w:rsidR="00375FE8" w:rsidRPr="002A0DEA" w:rsidRDefault="00375FE8" w:rsidP="000A1A91">
      <w:pPr>
        <w:numPr>
          <w:ilvl w:val="0"/>
          <w:numId w:val="64"/>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审查新的科技信息，包括考虑传统知识和</w:t>
      </w:r>
      <w:r w:rsidRPr="002A0DEA">
        <w:rPr>
          <w:rFonts w:eastAsiaTheme="minorEastAsia"/>
          <w:snapToGrid w:val="0"/>
          <w:kern w:val="22"/>
          <w:szCs w:val="18"/>
          <w:lang w:val="en-GB" w:eastAsia="zh-CN"/>
        </w:rPr>
        <w:t>题为全球变暖</w:t>
      </w:r>
      <w:r w:rsidRPr="002A0DEA">
        <w:rPr>
          <w:rFonts w:eastAsiaTheme="minorEastAsia"/>
          <w:snapToGrid w:val="0"/>
          <w:kern w:val="22"/>
          <w:szCs w:val="18"/>
          <w:lang w:val="en-GB" w:eastAsia="zh-CN"/>
        </w:rPr>
        <w:t>1.5</w:t>
      </w:r>
      <w:r w:rsidRPr="002A0DEA">
        <w:rPr>
          <w:rFonts w:eastAsiaTheme="minorEastAsia"/>
          <w:snapToGrid w:val="0"/>
          <w:kern w:val="22"/>
          <w:szCs w:val="18"/>
          <w:lang w:val="en-GB" w:eastAsia="zh-CN"/>
        </w:rPr>
        <w:t>摄氏度的报告</w:t>
      </w:r>
      <w:fldSimple w:instr="NOTEREF _Ref530629076 \* MERGEFORMAT ">
        <w:r w:rsidR="0081545A">
          <w:rPr>
            <w:rFonts w:eastAsiaTheme="minorEastAsia"/>
            <w:snapToGrid w:val="0"/>
            <w:kern w:val="22"/>
            <w:szCs w:val="18"/>
            <w:vertAlign w:val="superscript"/>
            <w:lang w:val="en-GB" w:eastAsia="zh-CN"/>
          </w:rPr>
          <w:t>49</w:t>
        </w:r>
      </w:fldSimple>
      <w:r w:rsidRPr="002A0DEA">
        <w:rPr>
          <w:rFonts w:eastAsiaTheme="minorEastAsia"/>
          <w:snapToGrid w:val="0"/>
          <w:kern w:val="22"/>
          <w:szCs w:val="18"/>
          <w:lang w:val="en-GB" w:eastAsia="zh-CN"/>
        </w:rPr>
        <w:t>的结论，这是</w:t>
      </w:r>
      <w:r w:rsidRPr="002A0DEA">
        <w:rPr>
          <w:rFonts w:eastAsiaTheme="minorEastAsia"/>
          <w:snapToGrid w:val="0"/>
          <w:color w:val="222222"/>
          <w:shd w:val="clear" w:color="auto" w:fill="FCFDFD"/>
          <w:lang w:val="en-GB" w:eastAsia="zh-CN"/>
        </w:rPr>
        <w:t>政府间气候变化专门委员会</w:t>
      </w:r>
      <w:r w:rsidRPr="002A0DEA">
        <w:rPr>
          <w:rFonts w:eastAsiaTheme="minorEastAsia"/>
          <w:snapToGrid w:val="0"/>
          <w:kern w:val="22"/>
          <w:szCs w:val="18"/>
          <w:lang w:val="en-GB" w:eastAsia="zh-CN"/>
        </w:rPr>
        <w:t>关于全球变暖高于工业化前水平</w:t>
      </w:r>
      <w:r w:rsidRPr="002A0DEA">
        <w:rPr>
          <w:rFonts w:eastAsiaTheme="minorEastAsia"/>
          <w:snapToGrid w:val="0"/>
          <w:kern w:val="22"/>
          <w:szCs w:val="18"/>
          <w:lang w:val="en-GB" w:eastAsia="zh-CN"/>
        </w:rPr>
        <w:t>1.5</w:t>
      </w:r>
      <w:r w:rsidRPr="002A0DEA">
        <w:rPr>
          <w:rFonts w:eastAsiaTheme="minorEastAsia"/>
          <w:snapToGrid w:val="0"/>
          <w:kern w:val="22"/>
          <w:szCs w:val="18"/>
          <w:lang w:val="en-GB" w:eastAsia="zh-CN"/>
        </w:rPr>
        <w:t>摄氏度和相</w:t>
      </w:r>
      <w:r w:rsidRPr="002A0DEA">
        <w:rPr>
          <w:rFonts w:eastAsiaTheme="minorEastAsia"/>
          <w:snapToGrid w:val="0"/>
          <w:kern w:val="22"/>
          <w:szCs w:val="18"/>
          <w:lang w:val="en-GB" w:eastAsia="zh-CN"/>
        </w:rPr>
        <w:lastRenderedPageBreak/>
        <w:t>关的全球温室气体排放途径影响的一份特别报告，背景是加强全球应对气候变化威胁、可持续发展和消除贫困的努力，涉及：</w:t>
      </w:r>
    </w:p>
    <w:p w:rsidR="00375FE8" w:rsidRPr="002A0DEA" w:rsidRDefault="00375FE8" w:rsidP="000A1A91">
      <w:pPr>
        <w:pStyle w:val="ListParagraph"/>
        <w:numPr>
          <w:ilvl w:val="0"/>
          <w:numId w:val="72"/>
        </w:numPr>
        <w:suppressLineNumbers/>
        <w:tabs>
          <w:tab w:val="left" w:pos="2160"/>
        </w:tabs>
        <w:suppressAutoHyphens/>
        <w:ind w:left="2160" w:hanging="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气候变化对生物多样性和依赖生态系统服务和功能的社区特别是土著人民和地方社区的影响；</w:t>
      </w:r>
    </w:p>
    <w:p w:rsidR="00375FE8" w:rsidRPr="002A0DEA" w:rsidRDefault="00375FE8" w:rsidP="000A1A91">
      <w:pPr>
        <w:pStyle w:val="ListParagraph"/>
        <w:numPr>
          <w:ilvl w:val="0"/>
          <w:numId w:val="72"/>
        </w:numPr>
        <w:suppressLineNumbers/>
        <w:tabs>
          <w:tab w:val="left" w:pos="2160"/>
        </w:tabs>
        <w:suppressAutoHyphens/>
        <w:ind w:left="2160" w:hanging="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生态系统及其完整性在适应气候变化、缓解和减少灾害风险以及生态系统恢复和可持续土地管理方面的作用；</w:t>
      </w:r>
    </w:p>
    <w:p w:rsidR="00375FE8" w:rsidRPr="002A0DEA" w:rsidRDefault="00375FE8" w:rsidP="000A1A91">
      <w:pPr>
        <w:numPr>
          <w:ilvl w:val="0"/>
          <w:numId w:val="64"/>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编制一份关于上述问题对《公约》工作潜在影响的报告，供缔约方大会第十五届会议之前的一次科学、技术和工艺咨询附属机构的会议审议；</w:t>
      </w:r>
    </w:p>
    <w:p w:rsidR="00375FE8" w:rsidRPr="002A0DEA" w:rsidRDefault="00375FE8" w:rsidP="000A1A91">
      <w:pPr>
        <w:numPr>
          <w:ilvl w:val="0"/>
          <w:numId w:val="64"/>
        </w:numPr>
        <w:suppressLineNumbers/>
        <w:tabs>
          <w:tab w:val="left" w:pos="1440"/>
        </w:tabs>
        <w:suppressAutoHyphens/>
        <w:ind w:left="0" w:firstLine="720"/>
        <w:rPr>
          <w:rFonts w:eastAsiaTheme="minorEastAsia"/>
          <w:iCs/>
          <w:snapToGrid w:val="0"/>
          <w:color w:val="333333"/>
          <w:shd w:val="clear" w:color="auto" w:fill="FFFFFF"/>
          <w:lang w:val="en-GB" w:eastAsia="zh-CN"/>
        </w:rPr>
      </w:pPr>
      <w:r w:rsidRPr="002A0DEA">
        <w:rPr>
          <w:rFonts w:eastAsiaTheme="minorEastAsia"/>
          <w:iCs/>
          <w:snapToGrid w:val="0"/>
          <w:color w:val="333333"/>
          <w:shd w:val="clear" w:color="auto" w:fill="FFFFFF"/>
          <w:lang w:val="en-GB" w:eastAsia="zh-CN"/>
        </w:rPr>
        <w:t>编制有针对性的信息，讲述生物多样性和生态系统的完整性、功能和服务如何有助于应对气候变化挑战；</w:t>
      </w:r>
    </w:p>
    <w:p w:rsidR="00375FE8" w:rsidRPr="002A0DEA" w:rsidRDefault="00375FE8" w:rsidP="000A1A91">
      <w:pPr>
        <w:numPr>
          <w:ilvl w:val="0"/>
          <w:numId w:val="60"/>
        </w:numPr>
        <w:suppressLineNumbers/>
        <w:tabs>
          <w:tab w:val="left" w:pos="1440"/>
        </w:tabs>
        <w:suppressAutoHyphens/>
        <w:kinsoku w:val="0"/>
        <w:overflowPunct w:val="0"/>
        <w:autoSpaceDE w:val="0"/>
        <w:autoSpaceDN w:val="0"/>
        <w:adjustRightInd w:val="0"/>
        <w:snapToGrid w:val="0"/>
        <w:ind w:left="0" w:firstLine="720"/>
        <w:rPr>
          <w:rFonts w:eastAsiaTheme="minorEastAsia"/>
          <w:bCs/>
          <w:snapToGrid w:val="0"/>
          <w:kern w:val="22"/>
          <w:lang w:val="en-GB" w:eastAsia="zh-CN"/>
        </w:rPr>
      </w:pPr>
      <w:r w:rsidRPr="000E76EC">
        <w:rPr>
          <w:rFonts w:ascii="KaiTi" w:eastAsia="KaiTi" w:hAnsi="KaiTi"/>
          <w:bCs/>
          <w:szCs w:val="22"/>
          <w:lang w:val="en-GB" w:eastAsia="zh-CN"/>
        </w:rPr>
        <w:t>还请</w:t>
      </w:r>
      <w:r w:rsidRPr="002A0DEA">
        <w:rPr>
          <w:rFonts w:eastAsiaTheme="minorEastAsia"/>
          <w:bCs/>
          <w:iCs/>
          <w:snapToGrid w:val="0"/>
          <w:kern w:val="22"/>
          <w:lang w:val="en-GB" w:eastAsia="zh-CN"/>
        </w:rPr>
        <w:t>执行秘书：</w:t>
      </w:r>
    </w:p>
    <w:p w:rsidR="00375FE8" w:rsidRPr="002A0DEA" w:rsidRDefault="00375FE8" w:rsidP="000A1A91">
      <w:pPr>
        <w:pStyle w:val="ListParagraph"/>
        <w:numPr>
          <w:ilvl w:val="0"/>
          <w:numId w:val="73"/>
        </w:numPr>
        <w:suppressLineNumbers/>
        <w:suppressAutoHyphens/>
        <w:kinsoku w:val="0"/>
        <w:overflowPunct w:val="0"/>
        <w:autoSpaceDE w:val="0"/>
        <w:autoSpaceDN w:val="0"/>
        <w:adjustRightInd w:val="0"/>
        <w:snapToGrid w:val="0"/>
        <w:ind w:left="0" w:firstLine="720"/>
        <w:rPr>
          <w:rFonts w:eastAsiaTheme="minorEastAsia"/>
          <w:snapToGrid w:val="0"/>
          <w:kern w:val="22"/>
          <w:szCs w:val="22"/>
          <w:lang w:eastAsia="zh-CN"/>
        </w:rPr>
      </w:pPr>
      <w:r w:rsidRPr="002A0DEA">
        <w:rPr>
          <w:rFonts w:eastAsiaTheme="minorEastAsia"/>
          <w:bCs/>
          <w:snapToGrid w:val="0"/>
          <w:kern w:val="22"/>
          <w:lang w:val="en-GB" w:eastAsia="zh-CN"/>
        </w:rPr>
        <w:t>在基于政府间气候变化专门委员会和生物多样性与生态系统服务政府间科学政策平台的报告和评估，制定</w:t>
      </w:r>
      <w:r w:rsidRPr="002A0DEA">
        <w:rPr>
          <w:rFonts w:eastAsiaTheme="minorEastAsia"/>
          <w:bCs/>
          <w:snapToGrid w:val="0"/>
          <w:kern w:val="22"/>
          <w:lang w:val="en-GB" w:eastAsia="zh-CN"/>
        </w:rPr>
        <w:t>2020</w:t>
      </w:r>
      <w:r w:rsidRPr="002A0DEA">
        <w:rPr>
          <w:rFonts w:eastAsiaTheme="minorEastAsia"/>
          <w:bCs/>
          <w:snapToGrid w:val="0"/>
          <w:kern w:val="22"/>
          <w:lang w:val="en-GB" w:eastAsia="zh-CN"/>
        </w:rPr>
        <w:t>年后全球生物多样性框架时，考虑生物多样性与气候变化之间的联系和相互依赖关系，而又不妨碍</w:t>
      </w:r>
      <w:r w:rsidRPr="002A0DEA">
        <w:rPr>
          <w:rFonts w:eastAsiaTheme="minorEastAsia"/>
          <w:bCs/>
          <w:snapToGrid w:val="0"/>
          <w:kern w:val="22"/>
          <w:lang w:val="en-GB" w:eastAsia="zh-CN"/>
        </w:rPr>
        <w:t>2020</w:t>
      </w:r>
      <w:r w:rsidRPr="002A0DEA">
        <w:rPr>
          <w:rFonts w:eastAsiaTheme="minorEastAsia"/>
          <w:bCs/>
          <w:snapToGrid w:val="0"/>
          <w:kern w:val="22"/>
          <w:lang w:val="en-GB" w:eastAsia="zh-CN"/>
        </w:rPr>
        <w:t>年后全球生物多样性框架的制定进程，同时尊重《生物多样性公约》和《联合国气候变化框架公约》的任务；</w:t>
      </w:r>
    </w:p>
    <w:p w:rsidR="00375FE8" w:rsidRPr="002A0DEA" w:rsidRDefault="00375FE8" w:rsidP="000A1A91">
      <w:pPr>
        <w:pStyle w:val="ListParagraph"/>
        <w:numPr>
          <w:ilvl w:val="0"/>
          <w:numId w:val="73"/>
        </w:numPr>
        <w:suppressLineNumbers/>
        <w:suppressAutoHyphens/>
        <w:kinsoku w:val="0"/>
        <w:overflowPunct w:val="0"/>
        <w:autoSpaceDE w:val="0"/>
        <w:autoSpaceDN w:val="0"/>
        <w:adjustRightInd w:val="0"/>
        <w:snapToGrid w:val="0"/>
        <w:ind w:left="0" w:firstLine="720"/>
        <w:rPr>
          <w:rFonts w:eastAsiaTheme="minorEastAsia"/>
          <w:bCs/>
          <w:snapToGrid w:val="0"/>
          <w:kern w:val="22"/>
          <w:lang w:val="en-GB" w:eastAsia="zh-CN"/>
        </w:rPr>
      </w:pPr>
      <w:r w:rsidRPr="002A0DEA">
        <w:rPr>
          <w:rFonts w:eastAsiaTheme="minorEastAsia"/>
          <w:bCs/>
          <w:snapToGrid w:val="0"/>
          <w:kern w:val="22"/>
          <w:lang w:val="en-GB" w:eastAsia="zh-CN"/>
        </w:rPr>
        <w:t>联系相关多边环境协定的秘书处，包括相关多边融资机制、《里约公约》联合联络组以及生物多样性相关公约联络组，以促进协同作用和协调与气候变化适应和缓解及减少灾害风险相关的活动，例如酌情组织前后相衔接的会议和联合活动；</w:t>
      </w:r>
    </w:p>
    <w:p w:rsidR="00375FE8" w:rsidRPr="000E76EC" w:rsidRDefault="00375FE8" w:rsidP="000A1A91">
      <w:pPr>
        <w:numPr>
          <w:ilvl w:val="0"/>
          <w:numId w:val="60"/>
        </w:numPr>
        <w:suppressLineNumbers/>
        <w:tabs>
          <w:tab w:val="left" w:pos="1440"/>
        </w:tabs>
        <w:suppressAutoHyphens/>
        <w:kinsoku w:val="0"/>
        <w:overflowPunct w:val="0"/>
        <w:autoSpaceDE w:val="0"/>
        <w:autoSpaceDN w:val="0"/>
        <w:adjustRightInd w:val="0"/>
        <w:snapToGrid w:val="0"/>
        <w:ind w:left="0" w:firstLine="720"/>
        <w:rPr>
          <w:rFonts w:eastAsiaTheme="minorEastAsia"/>
          <w:kern w:val="22"/>
          <w:sz w:val="28"/>
          <w:lang w:val="en-GB" w:eastAsia="zh-CN"/>
        </w:rPr>
      </w:pPr>
      <w:r w:rsidRPr="000E76EC">
        <w:rPr>
          <w:rFonts w:ascii="KaiTi" w:eastAsia="KaiTi" w:hAnsi="KaiTi"/>
          <w:bCs/>
          <w:szCs w:val="22"/>
          <w:lang w:val="en-GB" w:eastAsia="zh-CN"/>
        </w:rPr>
        <w:t>邀请</w:t>
      </w:r>
      <w:r w:rsidRPr="002A0DEA">
        <w:rPr>
          <w:rFonts w:eastAsiaTheme="minorEastAsia"/>
          <w:bCs/>
          <w:snapToGrid w:val="0"/>
          <w:kern w:val="22"/>
          <w:szCs w:val="22"/>
          <w:lang w:val="en-GB" w:eastAsia="zh-CN"/>
        </w:rPr>
        <w:t>各缔约方、其他国家政府、融资组织和有能力的相关组织为与基于生态系统的气候变化</w:t>
      </w:r>
      <w:r w:rsidRPr="002A0DEA">
        <w:rPr>
          <w:rFonts w:eastAsiaTheme="minorEastAsia"/>
          <w:bCs/>
          <w:iCs/>
          <w:snapToGrid w:val="0"/>
          <w:kern w:val="22"/>
          <w:lang w:val="en-GB" w:eastAsia="zh-CN"/>
        </w:rPr>
        <w:t>适应</w:t>
      </w:r>
      <w:r w:rsidRPr="002A0DEA">
        <w:rPr>
          <w:rFonts w:eastAsiaTheme="minorEastAsia"/>
          <w:bCs/>
          <w:snapToGrid w:val="0"/>
          <w:kern w:val="22"/>
          <w:szCs w:val="22"/>
          <w:lang w:val="en-GB" w:eastAsia="zh-CN"/>
        </w:rPr>
        <w:t>和减少灾害风险的办法相关的活动提供支助。</w:t>
      </w:r>
    </w:p>
    <w:p w:rsidR="00375FE8" w:rsidRPr="000E76EC" w:rsidRDefault="00375FE8" w:rsidP="00FF4964">
      <w:pPr>
        <w:suppressLineNumbers/>
        <w:suppressAutoHyphens/>
        <w:kinsoku w:val="0"/>
        <w:overflowPunct w:val="0"/>
        <w:autoSpaceDE w:val="0"/>
        <w:autoSpaceDN w:val="0"/>
        <w:adjustRightInd w:val="0"/>
        <w:snapToGrid w:val="0"/>
        <w:ind w:firstLine="0"/>
        <w:jc w:val="center"/>
        <w:rPr>
          <w:rFonts w:ascii="KaiTi" w:eastAsia="KaiTi" w:hAnsi="KaiTi"/>
          <w:kern w:val="22"/>
          <w:lang w:eastAsia="zh-CN"/>
        </w:rPr>
      </w:pPr>
      <w:bookmarkStart w:id="30" w:name="Guidelines"/>
      <w:bookmarkStart w:id="31" w:name="_Toc504402382"/>
      <w:r w:rsidRPr="000E76EC">
        <w:rPr>
          <w:rFonts w:ascii="KaiTi" w:eastAsia="KaiTi" w:hAnsi="KaiTi"/>
          <w:kern w:val="22"/>
          <w:lang w:val="zh-CN" w:eastAsia="zh-CN"/>
        </w:rPr>
        <w:t>附件</w:t>
      </w:r>
    </w:p>
    <w:p w:rsidR="00375FE8" w:rsidRPr="002A0DEA" w:rsidRDefault="00375FE8" w:rsidP="00FF4964">
      <w:pPr>
        <w:pStyle w:val="Heading1"/>
        <w:keepNext w:val="0"/>
        <w:suppressLineNumbers/>
        <w:suppressAutoHyphens/>
        <w:kinsoku w:val="0"/>
        <w:overflowPunct w:val="0"/>
        <w:autoSpaceDE w:val="0"/>
        <w:autoSpaceDN w:val="0"/>
        <w:adjustRightInd w:val="0"/>
        <w:snapToGrid w:val="0"/>
        <w:spacing w:before="120" w:after="120"/>
        <w:ind w:firstLine="0"/>
        <w:rPr>
          <w:rFonts w:eastAsiaTheme="minorEastAsia" w:cs="Times New Roman"/>
          <w:kern w:val="22"/>
          <w:sz w:val="24"/>
          <w:lang w:val="zh-CN" w:eastAsia="zh-CN"/>
        </w:rPr>
      </w:pPr>
      <w:bookmarkStart w:id="32" w:name="_Toc6243652"/>
      <w:r w:rsidRPr="002A0DEA">
        <w:rPr>
          <w:rFonts w:eastAsiaTheme="minorEastAsia" w:cs="Times New Roman"/>
          <w:kern w:val="22"/>
          <w:sz w:val="24"/>
          <w:lang w:val="zh-CN" w:eastAsia="zh-CN"/>
        </w:rPr>
        <w:t>关于设计和有效实施基于生态系统的适应气候变化和减少灾害风险的自愿准则</w:t>
      </w:r>
      <w:bookmarkEnd w:id="32"/>
    </w:p>
    <w:p w:rsidR="00375FE8" w:rsidRPr="002A0DEA" w:rsidRDefault="00375FE8" w:rsidP="00FF4964">
      <w:pPr>
        <w:pStyle w:val="Heading1"/>
        <w:keepNext w:val="0"/>
        <w:suppressLineNumbers/>
        <w:suppressAutoHyphens/>
        <w:kinsoku w:val="0"/>
        <w:overflowPunct w:val="0"/>
        <w:autoSpaceDE w:val="0"/>
        <w:autoSpaceDN w:val="0"/>
        <w:adjustRightInd w:val="0"/>
        <w:snapToGrid w:val="0"/>
        <w:spacing w:before="120" w:after="120"/>
        <w:ind w:firstLine="0"/>
        <w:jc w:val="left"/>
        <w:rPr>
          <w:rFonts w:eastAsiaTheme="minorEastAsia" w:cs="Times New Roman"/>
          <w:snapToGrid w:val="0"/>
          <w:kern w:val="22"/>
          <w:sz w:val="24"/>
          <w:lang w:eastAsia="zh-CN"/>
        </w:rPr>
      </w:pPr>
      <w:bookmarkStart w:id="33" w:name="_Toc6243653"/>
      <w:r w:rsidRPr="002A0DEA">
        <w:rPr>
          <w:rFonts w:eastAsiaTheme="minorEastAsia" w:cs="Times New Roman"/>
          <w:snapToGrid w:val="0"/>
          <w:kern w:val="22"/>
          <w:sz w:val="24"/>
          <w:lang w:eastAsia="zh-CN"/>
        </w:rPr>
        <w:t>目录</w:t>
      </w:r>
      <w:bookmarkEnd w:id="33"/>
    </w:p>
    <w:p w:rsidR="00375FE8" w:rsidRPr="002A0DEA" w:rsidRDefault="00375FE8" w:rsidP="00FF4964">
      <w:pPr>
        <w:pStyle w:val="Heading2"/>
        <w:keepNext w:val="0"/>
        <w:widowControl w:val="0"/>
        <w:snapToGrid w:val="0"/>
        <w:spacing w:before="240"/>
        <w:ind w:firstLine="0"/>
        <w:jc w:val="left"/>
        <w:rPr>
          <w:rFonts w:eastAsiaTheme="minorEastAsia"/>
          <w:i/>
          <w:snapToGrid w:val="0"/>
          <w:kern w:val="22"/>
          <w:sz w:val="24"/>
          <w:lang w:eastAsia="zh-CN"/>
        </w:rPr>
      </w:pPr>
      <w:bookmarkStart w:id="34" w:name="_Toc6243654"/>
      <w:r w:rsidRPr="002A0DEA">
        <w:rPr>
          <w:rFonts w:eastAsiaTheme="minorEastAsia"/>
          <w:snapToGrid w:val="0"/>
          <w:kern w:val="22"/>
          <w:sz w:val="24"/>
          <w:lang w:eastAsia="zh-CN"/>
        </w:rPr>
        <w:t xml:space="preserve">1.  </w:t>
      </w:r>
      <w:r w:rsidRPr="002A0DEA">
        <w:rPr>
          <w:rFonts w:eastAsiaTheme="minorEastAsia"/>
          <w:snapToGrid w:val="0"/>
          <w:kern w:val="22"/>
          <w:sz w:val="24"/>
          <w:lang w:eastAsia="zh-CN"/>
        </w:rPr>
        <w:t>导言</w:t>
      </w:r>
      <w:bookmarkEnd w:id="34"/>
    </w:p>
    <w:p w:rsidR="00375FE8" w:rsidRPr="002A0DEA" w:rsidRDefault="00375FE8" w:rsidP="00403EFA">
      <w:pPr>
        <w:pStyle w:val="Heading2"/>
        <w:keepNext w:val="0"/>
        <w:widowControl w:val="0"/>
        <w:snapToGrid w:val="0"/>
        <w:ind w:left="720" w:firstLine="0"/>
        <w:jc w:val="left"/>
        <w:rPr>
          <w:rFonts w:eastAsiaTheme="minorEastAsia"/>
          <w:i/>
          <w:snapToGrid w:val="0"/>
          <w:kern w:val="22"/>
          <w:sz w:val="24"/>
          <w:lang w:eastAsia="zh-CN"/>
        </w:rPr>
      </w:pPr>
      <w:bookmarkStart w:id="35" w:name="_Toc6243655"/>
      <w:r w:rsidRPr="002A0DEA">
        <w:rPr>
          <w:rFonts w:eastAsiaTheme="minorEastAsia"/>
          <w:snapToGrid w:val="0"/>
          <w:kern w:val="22"/>
          <w:sz w:val="24"/>
          <w:lang w:eastAsia="zh-CN"/>
        </w:rPr>
        <w:t xml:space="preserve">1.1.  </w:t>
      </w:r>
      <w:r w:rsidRPr="002A0DEA">
        <w:rPr>
          <w:rFonts w:eastAsiaTheme="minorEastAsia"/>
          <w:snapToGrid w:val="0"/>
          <w:kern w:val="22"/>
          <w:sz w:val="24"/>
          <w:lang w:eastAsia="zh-CN"/>
        </w:rPr>
        <w:t>自愿准则概览</w:t>
      </w:r>
      <w:bookmarkEnd w:id="35"/>
    </w:p>
    <w:p w:rsidR="00375FE8" w:rsidRPr="002A0DEA" w:rsidRDefault="00375FE8" w:rsidP="00403EFA">
      <w:pPr>
        <w:pStyle w:val="Heading2"/>
        <w:keepNext w:val="0"/>
        <w:widowControl w:val="0"/>
        <w:snapToGrid w:val="0"/>
        <w:ind w:left="720" w:firstLine="0"/>
        <w:jc w:val="left"/>
        <w:rPr>
          <w:rFonts w:eastAsiaTheme="minorEastAsia"/>
          <w:i/>
          <w:snapToGrid w:val="0"/>
          <w:kern w:val="22"/>
          <w:sz w:val="24"/>
          <w:lang w:eastAsia="zh-CN"/>
        </w:rPr>
      </w:pPr>
      <w:bookmarkStart w:id="36" w:name="_Toc6243656"/>
      <w:r w:rsidRPr="002A0DEA">
        <w:rPr>
          <w:rFonts w:eastAsiaTheme="minorEastAsia"/>
          <w:snapToGrid w:val="0"/>
          <w:kern w:val="22"/>
          <w:sz w:val="24"/>
          <w:lang w:eastAsia="zh-CN"/>
        </w:rPr>
        <w:t xml:space="preserve">1.2.  </w:t>
      </w:r>
      <w:r w:rsidRPr="002A0DEA">
        <w:rPr>
          <w:rFonts w:eastAsiaTheme="minorEastAsia"/>
          <w:snapToGrid w:val="0"/>
          <w:kern w:val="22"/>
          <w:sz w:val="24"/>
          <w:lang w:eastAsia="zh-CN"/>
        </w:rPr>
        <w:t>何谓基于生态系统的适应气候变化和减少灾害风险？</w:t>
      </w:r>
      <w:bookmarkEnd w:id="36"/>
    </w:p>
    <w:p w:rsidR="00375FE8" w:rsidRPr="002A0DEA" w:rsidRDefault="00375FE8" w:rsidP="00FF4964">
      <w:pPr>
        <w:pStyle w:val="Heading2"/>
        <w:keepNext w:val="0"/>
        <w:widowControl w:val="0"/>
        <w:snapToGrid w:val="0"/>
        <w:ind w:firstLine="0"/>
        <w:jc w:val="left"/>
        <w:rPr>
          <w:rFonts w:eastAsiaTheme="minorEastAsia"/>
          <w:i/>
          <w:snapToGrid w:val="0"/>
          <w:kern w:val="22"/>
          <w:sz w:val="24"/>
          <w:lang w:eastAsia="zh-CN"/>
        </w:rPr>
      </w:pPr>
      <w:bookmarkStart w:id="37" w:name="_Toc6243657"/>
      <w:r w:rsidRPr="002A0DEA">
        <w:rPr>
          <w:rFonts w:eastAsiaTheme="minorEastAsia"/>
          <w:snapToGrid w:val="0"/>
          <w:kern w:val="22"/>
          <w:sz w:val="24"/>
          <w:lang w:eastAsia="zh-CN"/>
        </w:rPr>
        <w:t xml:space="preserve">2.  </w:t>
      </w:r>
      <w:r w:rsidRPr="002A0DEA">
        <w:rPr>
          <w:rFonts w:eastAsiaTheme="minorEastAsia"/>
          <w:snapToGrid w:val="0"/>
          <w:kern w:val="22"/>
          <w:sz w:val="24"/>
          <w:lang w:eastAsia="zh-CN"/>
        </w:rPr>
        <w:t>原则和保障措施</w:t>
      </w:r>
      <w:bookmarkEnd w:id="37"/>
    </w:p>
    <w:p w:rsidR="00375FE8" w:rsidRPr="002A0DEA" w:rsidRDefault="00375FE8" w:rsidP="00403EFA">
      <w:pPr>
        <w:pStyle w:val="Heading2"/>
        <w:keepNext w:val="0"/>
        <w:widowControl w:val="0"/>
        <w:snapToGrid w:val="0"/>
        <w:ind w:left="720" w:firstLine="0"/>
        <w:jc w:val="left"/>
        <w:rPr>
          <w:rFonts w:eastAsiaTheme="minorEastAsia"/>
          <w:snapToGrid w:val="0"/>
          <w:kern w:val="22"/>
          <w:sz w:val="24"/>
          <w:lang w:eastAsia="zh-CN"/>
        </w:rPr>
      </w:pPr>
      <w:bookmarkStart w:id="38" w:name="_Toc6243658"/>
      <w:r w:rsidRPr="002A0DEA">
        <w:rPr>
          <w:rFonts w:eastAsiaTheme="minorEastAsia"/>
          <w:snapToGrid w:val="0"/>
          <w:kern w:val="22"/>
          <w:sz w:val="24"/>
          <w:lang w:eastAsia="zh-CN"/>
        </w:rPr>
        <w:t xml:space="preserve">2.1.  </w:t>
      </w:r>
      <w:r w:rsidRPr="002A0DEA">
        <w:rPr>
          <w:rFonts w:eastAsiaTheme="minorEastAsia"/>
          <w:snapToGrid w:val="0"/>
          <w:kern w:val="22"/>
          <w:sz w:val="24"/>
          <w:lang w:eastAsia="zh-CN"/>
        </w:rPr>
        <w:t>原则</w:t>
      </w:r>
      <w:bookmarkEnd w:id="38"/>
    </w:p>
    <w:p w:rsidR="00375FE8" w:rsidRPr="002A0DEA" w:rsidRDefault="00375FE8" w:rsidP="00403EFA">
      <w:pPr>
        <w:pStyle w:val="Heading2"/>
        <w:keepNext w:val="0"/>
        <w:widowControl w:val="0"/>
        <w:snapToGrid w:val="0"/>
        <w:ind w:left="720" w:firstLine="0"/>
        <w:jc w:val="left"/>
        <w:rPr>
          <w:rFonts w:eastAsiaTheme="minorEastAsia"/>
          <w:snapToGrid w:val="0"/>
          <w:kern w:val="22"/>
          <w:sz w:val="24"/>
          <w:lang w:eastAsia="zh-CN"/>
        </w:rPr>
      </w:pPr>
      <w:bookmarkStart w:id="39" w:name="_Toc6243659"/>
      <w:r w:rsidRPr="002A0DEA">
        <w:rPr>
          <w:rFonts w:eastAsiaTheme="minorEastAsia"/>
          <w:snapToGrid w:val="0"/>
          <w:kern w:val="22"/>
          <w:sz w:val="24"/>
          <w:lang w:eastAsia="zh-CN"/>
        </w:rPr>
        <w:lastRenderedPageBreak/>
        <w:t xml:space="preserve">2.2   </w:t>
      </w:r>
      <w:r w:rsidRPr="002A0DEA">
        <w:rPr>
          <w:rFonts w:eastAsiaTheme="minorEastAsia"/>
          <w:snapToGrid w:val="0"/>
          <w:kern w:val="22"/>
          <w:sz w:val="24"/>
          <w:lang w:eastAsia="zh-CN"/>
        </w:rPr>
        <w:t>保障措施</w:t>
      </w:r>
      <w:bookmarkEnd w:id="39"/>
    </w:p>
    <w:p w:rsidR="00375FE8" w:rsidRPr="002A0DEA" w:rsidRDefault="00375FE8" w:rsidP="00FF4964">
      <w:pPr>
        <w:pStyle w:val="Heading2"/>
        <w:keepNext w:val="0"/>
        <w:widowControl w:val="0"/>
        <w:snapToGrid w:val="0"/>
        <w:ind w:firstLine="0"/>
        <w:jc w:val="left"/>
        <w:rPr>
          <w:rFonts w:eastAsiaTheme="minorEastAsia"/>
          <w:i/>
          <w:snapToGrid w:val="0"/>
          <w:kern w:val="22"/>
          <w:sz w:val="24"/>
          <w:lang w:eastAsia="zh-CN"/>
        </w:rPr>
      </w:pPr>
      <w:bookmarkStart w:id="40" w:name="_Toc6243660"/>
      <w:r w:rsidRPr="002A0DEA">
        <w:rPr>
          <w:rFonts w:eastAsiaTheme="minorEastAsia"/>
          <w:snapToGrid w:val="0"/>
          <w:kern w:val="22"/>
          <w:sz w:val="24"/>
          <w:lang w:eastAsia="zh-CN"/>
        </w:rPr>
        <w:t xml:space="preserve">3.  </w:t>
      </w:r>
      <w:r w:rsidRPr="002A0DEA">
        <w:rPr>
          <w:rFonts w:eastAsiaTheme="minorEastAsia"/>
          <w:snapToGrid w:val="0"/>
          <w:kern w:val="22"/>
          <w:sz w:val="24"/>
          <w:lang w:eastAsia="zh-CN"/>
        </w:rPr>
        <w:t>基于生态系统的适应气候变化（</w:t>
      </w:r>
      <w:r w:rsidRPr="002A0DEA">
        <w:rPr>
          <w:rFonts w:eastAsiaTheme="minorEastAsia"/>
          <w:snapToGrid w:val="0"/>
          <w:kern w:val="22"/>
          <w:sz w:val="24"/>
          <w:lang w:eastAsia="zh-CN"/>
        </w:rPr>
        <w:t>EbA</w:t>
      </w:r>
      <w:r w:rsidRPr="002A0DEA">
        <w:rPr>
          <w:rFonts w:eastAsiaTheme="minorEastAsia"/>
          <w:snapToGrid w:val="0"/>
          <w:kern w:val="22"/>
          <w:sz w:val="24"/>
          <w:lang w:eastAsia="zh-CN"/>
        </w:rPr>
        <w:t>）和减少灾害风险办法（</w:t>
      </w:r>
      <w:r w:rsidRPr="002A0DEA">
        <w:rPr>
          <w:rFonts w:eastAsiaTheme="minorEastAsia"/>
          <w:snapToGrid w:val="0"/>
          <w:kern w:val="22"/>
          <w:sz w:val="24"/>
          <w:lang w:eastAsia="zh-CN"/>
        </w:rPr>
        <w:t>Eco-DRR</w:t>
      </w:r>
      <w:r w:rsidRPr="002A0DEA">
        <w:rPr>
          <w:rFonts w:eastAsiaTheme="minorEastAsia"/>
          <w:snapToGrid w:val="0"/>
          <w:kern w:val="22"/>
          <w:sz w:val="24"/>
          <w:lang w:eastAsia="zh-CN"/>
        </w:rPr>
        <w:t>）设计和实施的总体考虑</w:t>
      </w:r>
      <w:bookmarkEnd w:id="40"/>
    </w:p>
    <w:p w:rsidR="00375FE8" w:rsidRPr="002A0DEA" w:rsidRDefault="00375FE8" w:rsidP="00403EFA">
      <w:pPr>
        <w:pStyle w:val="Heading2"/>
        <w:keepNext w:val="0"/>
        <w:widowControl w:val="0"/>
        <w:snapToGrid w:val="0"/>
        <w:ind w:left="720" w:firstLine="0"/>
        <w:jc w:val="left"/>
        <w:rPr>
          <w:rFonts w:eastAsiaTheme="minorEastAsia"/>
          <w:snapToGrid w:val="0"/>
          <w:kern w:val="22"/>
          <w:sz w:val="24"/>
          <w:lang w:eastAsia="zh-CN"/>
        </w:rPr>
      </w:pPr>
      <w:bookmarkStart w:id="41" w:name="_Toc6243661"/>
      <w:r w:rsidRPr="002A0DEA">
        <w:rPr>
          <w:rFonts w:eastAsiaTheme="minorEastAsia"/>
          <w:snapToGrid w:val="0"/>
          <w:kern w:val="22"/>
          <w:sz w:val="24"/>
          <w:lang w:eastAsia="zh-CN"/>
        </w:rPr>
        <w:t xml:space="preserve">3.1.  </w:t>
      </w:r>
      <w:r w:rsidRPr="002A0DEA">
        <w:rPr>
          <w:rFonts w:eastAsiaTheme="minorEastAsia"/>
          <w:snapToGrid w:val="0"/>
          <w:kern w:val="22"/>
          <w:sz w:val="24"/>
          <w:lang w:eastAsia="zh-CN"/>
        </w:rPr>
        <w:t>纳入土著人民和地方社区的知识、技术、做法和努力</w:t>
      </w:r>
      <w:bookmarkEnd w:id="41"/>
    </w:p>
    <w:p w:rsidR="00375FE8" w:rsidRPr="002A0DEA" w:rsidRDefault="00375FE8" w:rsidP="00403EFA">
      <w:pPr>
        <w:pStyle w:val="Heading2"/>
        <w:keepNext w:val="0"/>
        <w:widowControl w:val="0"/>
        <w:snapToGrid w:val="0"/>
        <w:ind w:left="720" w:firstLine="0"/>
        <w:jc w:val="left"/>
        <w:rPr>
          <w:rFonts w:eastAsiaTheme="minorEastAsia"/>
          <w:snapToGrid w:val="0"/>
          <w:kern w:val="22"/>
          <w:sz w:val="24"/>
          <w:lang w:eastAsia="zh-CN"/>
        </w:rPr>
      </w:pPr>
      <w:bookmarkStart w:id="42" w:name="_Toc6243662"/>
      <w:r w:rsidRPr="002A0DEA">
        <w:rPr>
          <w:rFonts w:eastAsiaTheme="minorEastAsia"/>
          <w:snapToGrid w:val="0"/>
          <w:kern w:val="22"/>
          <w:sz w:val="24"/>
          <w:lang w:eastAsia="zh-CN"/>
        </w:rPr>
        <w:t xml:space="preserve">3.2  </w:t>
      </w:r>
      <w:r w:rsidRPr="002A0DEA">
        <w:rPr>
          <w:rFonts w:eastAsiaTheme="minorEastAsia"/>
          <w:snapToGrid w:val="0"/>
          <w:kern w:val="22"/>
          <w:sz w:val="24"/>
          <w:lang w:eastAsia="zh-CN"/>
        </w:rPr>
        <w:t>适应气候变化和减少灾害风险办法的主流化</w:t>
      </w:r>
      <w:bookmarkEnd w:id="42"/>
    </w:p>
    <w:p w:rsidR="00375FE8" w:rsidRPr="002A0DEA" w:rsidRDefault="00375FE8" w:rsidP="00403EFA">
      <w:pPr>
        <w:pStyle w:val="Heading2"/>
        <w:keepNext w:val="0"/>
        <w:widowControl w:val="0"/>
        <w:snapToGrid w:val="0"/>
        <w:ind w:left="720" w:firstLine="0"/>
        <w:jc w:val="left"/>
        <w:rPr>
          <w:rFonts w:eastAsiaTheme="minorEastAsia"/>
          <w:snapToGrid w:val="0"/>
          <w:kern w:val="22"/>
          <w:sz w:val="24"/>
          <w:lang w:eastAsia="zh-CN"/>
        </w:rPr>
      </w:pPr>
      <w:bookmarkStart w:id="43" w:name="_Toc6243663"/>
      <w:r w:rsidRPr="002A0DEA">
        <w:rPr>
          <w:rFonts w:eastAsiaTheme="minorEastAsia"/>
          <w:snapToGrid w:val="0"/>
          <w:kern w:val="22"/>
          <w:sz w:val="24"/>
          <w:lang w:eastAsia="zh-CN"/>
        </w:rPr>
        <w:t xml:space="preserve">3.3.  </w:t>
      </w:r>
      <w:r w:rsidRPr="002A0DEA">
        <w:rPr>
          <w:rFonts w:eastAsiaTheme="minorEastAsia"/>
          <w:snapToGrid w:val="0"/>
          <w:kern w:val="22"/>
          <w:sz w:val="24"/>
          <w:lang w:eastAsia="zh-CN"/>
        </w:rPr>
        <w:t>提高认识和建设能力</w:t>
      </w:r>
      <w:bookmarkEnd w:id="43"/>
    </w:p>
    <w:p w:rsidR="00375FE8" w:rsidRPr="002A0DEA" w:rsidRDefault="00375FE8" w:rsidP="00FF4964">
      <w:pPr>
        <w:pStyle w:val="Heading2"/>
        <w:keepNext w:val="0"/>
        <w:widowControl w:val="0"/>
        <w:snapToGrid w:val="0"/>
        <w:ind w:firstLine="0"/>
        <w:jc w:val="left"/>
        <w:rPr>
          <w:rFonts w:eastAsiaTheme="minorEastAsia"/>
          <w:i/>
          <w:snapToGrid w:val="0"/>
          <w:kern w:val="22"/>
          <w:sz w:val="24"/>
          <w:lang w:eastAsia="zh-CN"/>
        </w:rPr>
      </w:pPr>
      <w:bookmarkStart w:id="44" w:name="_Toc6243664"/>
      <w:r w:rsidRPr="002A0DEA">
        <w:rPr>
          <w:rFonts w:eastAsiaTheme="minorEastAsia"/>
          <w:snapToGrid w:val="0"/>
          <w:kern w:val="22"/>
          <w:sz w:val="24"/>
          <w:lang w:eastAsia="zh-CN"/>
        </w:rPr>
        <w:t xml:space="preserve">4.  </w:t>
      </w:r>
      <w:r w:rsidRPr="002A0DEA">
        <w:rPr>
          <w:rFonts w:eastAsiaTheme="minorEastAsia"/>
          <w:snapToGrid w:val="0"/>
          <w:kern w:val="22"/>
          <w:sz w:val="24"/>
          <w:lang w:eastAsia="zh-CN"/>
        </w:rPr>
        <w:t>设计和实施基于生态系统的适应气候变化和减少灾害风险办法的循序渐进办法</w:t>
      </w:r>
      <w:bookmarkEnd w:id="44"/>
    </w:p>
    <w:p w:rsidR="00375FE8" w:rsidRPr="002A0DEA" w:rsidRDefault="00375FE8" w:rsidP="00403EFA">
      <w:pPr>
        <w:pStyle w:val="Heading2"/>
        <w:keepNext w:val="0"/>
        <w:widowControl w:val="0"/>
        <w:snapToGrid w:val="0"/>
        <w:ind w:left="1620" w:hanging="900"/>
        <w:jc w:val="left"/>
        <w:rPr>
          <w:rFonts w:eastAsiaTheme="minorEastAsia"/>
          <w:snapToGrid w:val="0"/>
          <w:kern w:val="22"/>
          <w:sz w:val="24"/>
          <w:lang w:eastAsia="zh-CN"/>
        </w:rPr>
      </w:pPr>
      <w:bookmarkStart w:id="45" w:name="_Toc6243665"/>
      <w:r w:rsidRPr="002A0DEA">
        <w:rPr>
          <w:rFonts w:eastAsiaTheme="minorEastAsia"/>
          <w:snapToGrid w:val="0"/>
          <w:kern w:val="22"/>
          <w:sz w:val="24"/>
          <w:lang w:eastAsia="zh-CN"/>
        </w:rPr>
        <w:t>步骤</w:t>
      </w:r>
      <w:r w:rsidRPr="002A0DEA">
        <w:rPr>
          <w:rFonts w:eastAsiaTheme="minorEastAsia"/>
          <w:snapToGrid w:val="0"/>
          <w:kern w:val="22"/>
          <w:sz w:val="24"/>
          <w:lang w:eastAsia="zh-CN"/>
        </w:rPr>
        <w:t xml:space="preserve"> A.  </w:t>
      </w:r>
      <w:r w:rsidRPr="002A0DEA">
        <w:rPr>
          <w:rFonts w:eastAsiaTheme="minorEastAsia"/>
          <w:snapToGrid w:val="0"/>
          <w:kern w:val="22"/>
          <w:sz w:val="24"/>
          <w:lang w:eastAsia="zh-CN"/>
        </w:rPr>
        <w:t>了解社会</w:t>
      </w:r>
      <w:r w:rsidRPr="002A0DEA">
        <w:rPr>
          <w:rFonts w:eastAsiaTheme="minorEastAsia"/>
          <w:snapToGrid w:val="0"/>
          <w:kern w:val="22"/>
          <w:sz w:val="24"/>
          <w:lang w:eastAsia="zh-CN"/>
        </w:rPr>
        <w:t>-</w:t>
      </w:r>
      <w:r w:rsidRPr="002A0DEA">
        <w:rPr>
          <w:rFonts w:eastAsiaTheme="minorEastAsia"/>
          <w:snapToGrid w:val="0"/>
          <w:kern w:val="22"/>
          <w:sz w:val="24"/>
          <w:lang w:eastAsia="zh-CN"/>
        </w:rPr>
        <w:t>生态系统</w:t>
      </w:r>
      <w:bookmarkEnd w:id="45"/>
    </w:p>
    <w:p w:rsidR="00375FE8" w:rsidRPr="002A0DEA" w:rsidRDefault="00375FE8" w:rsidP="00403EFA">
      <w:pPr>
        <w:pStyle w:val="Heading2"/>
        <w:keepNext w:val="0"/>
        <w:widowControl w:val="0"/>
        <w:snapToGrid w:val="0"/>
        <w:ind w:left="1620" w:hanging="900"/>
        <w:jc w:val="left"/>
        <w:rPr>
          <w:rFonts w:eastAsiaTheme="minorEastAsia"/>
          <w:snapToGrid w:val="0"/>
          <w:kern w:val="22"/>
          <w:sz w:val="24"/>
          <w:lang w:eastAsia="zh-CN"/>
        </w:rPr>
      </w:pPr>
      <w:bookmarkStart w:id="46" w:name="_Toc6243666"/>
      <w:r w:rsidRPr="002A0DEA">
        <w:rPr>
          <w:rFonts w:eastAsiaTheme="minorEastAsia"/>
          <w:snapToGrid w:val="0"/>
          <w:kern w:val="22"/>
          <w:sz w:val="24"/>
          <w:lang w:eastAsia="zh-CN"/>
        </w:rPr>
        <w:t>步骤</w:t>
      </w:r>
      <w:r w:rsidRPr="002A0DEA">
        <w:rPr>
          <w:rFonts w:eastAsiaTheme="minorEastAsia"/>
          <w:snapToGrid w:val="0"/>
          <w:kern w:val="22"/>
          <w:sz w:val="24"/>
          <w:lang w:eastAsia="zh-CN"/>
        </w:rPr>
        <w:t xml:space="preserve">B.  </w:t>
      </w:r>
      <w:r w:rsidRPr="002A0DEA">
        <w:rPr>
          <w:rFonts w:eastAsiaTheme="minorEastAsia"/>
          <w:snapToGrid w:val="0"/>
          <w:kern w:val="22"/>
          <w:sz w:val="24"/>
          <w:lang w:eastAsia="zh-CN"/>
        </w:rPr>
        <w:t>评估脆弱性和风险</w:t>
      </w:r>
      <w:bookmarkEnd w:id="46"/>
    </w:p>
    <w:p w:rsidR="00375FE8" w:rsidRPr="002A0DEA" w:rsidRDefault="00375FE8" w:rsidP="00403EFA">
      <w:pPr>
        <w:pStyle w:val="Heading2"/>
        <w:keepNext w:val="0"/>
        <w:widowControl w:val="0"/>
        <w:snapToGrid w:val="0"/>
        <w:ind w:left="1620" w:hanging="900"/>
        <w:jc w:val="left"/>
        <w:rPr>
          <w:rFonts w:eastAsiaTheme="minorEastAsia"/>
          <w:snapToGrid w:val="0"/>
          <w:kern w:val="22"/>
          <w:sz w:val="24"/>
          <w:lang w:eastAsia="zh-CN"/>
        </w:rPr>
      </w:pPr>
      <w:bookmarkStart w:id="47" w:name="_Toc6243667"/>
      <w:r w:rsidRPr="002A0DEA">
        <w:rPr>
          <w:rFonts w:eastAsiaTheme="minorEastAsia"/>
          <w:snapToGrid w:val="0"/>
          <w:kern w:val="22"/>
          <w:sz w:val="24"/>
          <w:lang w:eastAsia="zh-CN"/>
        </w:rPr>
        <w:t>步骤</w:t>
      </w:r>
      <w:r w:rsidRPr="002A0DEA">
        <w:rPr>
          <w:rFonts w:eastAsiaTheme="minorEastAsia"/>
          <w:snapToGrid w:val="0"/>
          <w:kern w:val="22"/>
          <w:sz w:val="24"/>
          <w:lang w:eastAsia="zh-CN"/>
        </w:rPr>
        <w:t xml:space="preserve"> C.  </w:t>
      </w:r>
      <w:r w:rsidRPr="002A0DEA">
        <w:rPr>
          <w:rFonts w:eastAsiaTheme="minorEastAsia"/>
          <w:snapToGrid w:val="0"/>
          <w:kern w:val="22"/>
          <w:sz w:val="24"/>
          <w:lang w:eastAsia="zh-CN"/>
        </w:rPr>
        <w:t>确定基于生态系统的适应气候变化和减少灾害风险备选办法</w:t>
      </w:r>
      <w:bookmarkEnd w:id="47"/>
    </w:p>
    <w:p w:rsidR="00375FE8" w:rsidRPr="002A0DEA" w:rsidRDefault="00375FE8" w:rsidP="00403EFA">
      <w:pPr>
        <w:pStyle w:val="Heading2"/>
        <w:keepNext w:val="0"/>
        <w:widowControl w:val="0"/>
        <w:snapToGrid w:val="0"/>
        <w:ind w:left="1620" w:hanging="900"/>
        <w:jc w:val="left"/>
        <w:rPr>
          <w:rFonts w:eastAsiaTheme="minorEastAsia"/>
          <w:snapToGrid w:val="0"/>
          <w:kern w:val="22"/>
          <w:sz w:val="24"/>
          <w:lang w:eastAsia="zh-CN"/>
        </w:rPr>
      </w:pPr>
      <w:bookmarkStart w:id="48" w:name="_Toc6243668"/>
      <w:r w:rsidRPr="002A0DEA">
        <w:rPr>
          <w:rFonts w:eastAsiaTheme="minorEastAsia"/>
          <w:snapToGrid w:val="0"/>
          <w:kern w:val="22"/>
          <w:sz w:val="24"/>
          <w:lang w:eastAsia="zh-CN"/>
        </w:rPr>
        <w:t>步骤</w:t>
      </w:r>
      <w:r w:rsidRPr="002A0DEA">
        <w:rPr>
          <w:rFonts w:eastAsiaTheme="minorEastAsia"/>
          <w:snapToGrid w:val="0"/>
          <w:kern w:val="22"/>
          <w:sz w:val="24"/>
          <w:lang w:eastAsia="zh-CN"/>
        </w:rPr>
        <w:t xml:space="preserve"> D.  </w:t>
      </w:r>
      <w:r w:rsidRPr="002A0DEA">
        <w:rPr>
          <w:rFonts w:eastAsiaTheme="minorEastAsia"/>
          <w:snapToGrid w:val="0"/>
          <w:kern w:val="22"/>
          <w:sz w:val="24"/>
          <w:lang w:eastAsia="zh-CN"/>
        </w:rPr>
        <w:t>确定基于生态系统的适应气候变化和减少灾害风险备选办法的优先排序并进行评价和选择</w:t>
      </w:r>
      <w:bookmarkEnd w:id="48"/>
    </w:p>
    <w:p w:rsidR="00375FE8" w:rsidRPr="002A0DEA" w:rsidRDefault="00375FE8" w:rsidP="00403EFA">
      <w:pPr>
        <w:pStyle w:val="Heading2"/>
        <w:keepNext w:val="0"/>
        <w:widowControl w:val="0"/>
        <w:snapToGrid w:val="0"/>
        <w:ind w:left="1620" w:hanging="900"/>
        <w:jc w:val="left"/>
        <w:rPr>
          <w:rFonts w:eastAsiaTheme="minorEastAsia"/>
          <w:snapToGrid w:val="0"/>
          <w:kern w:val="22"/>
          <w:sz w:val="24"/>
          <w:lang w:eastAsia="zh-CN"/>
        </w:rPr>
      </w:pPr>
      <w:bookmarkStart w:id="49" w:name="_Toc6243669"/>
      <w:r w:rsidRPr="002A0DEA">
        <w:rPr>
          <w:rFonts w:eastAsiaTheme="minorEastAsia"/>
          <w:snapToGrid w:val="0"/>
          <w:kern w:val="22"/>
          <w:sz w:val="24"/>
          <w:lang w:eastAsia="zh-CN"/>
        </w:rPr>
        <w:t>步骤</w:t>
      </w:r>
      <w:r w:rsidRPr="002A0DEA">
        <w:rPr>
          <w:rFonts w:eastAsiaTheme="minorEastAsia"/>
          <w:snapToGrid w:val="0"/>
          <w:kern w:val="22"/>
          <w:sz w:val="24"/>
          <w:lang w:eastAsia="zh-CN"/>
        </w:rPr>
        <w:t xml:space="preserve"> E.  </w:t>
      </w:r>
      <w:r w:rsidRPr="002A0DEA">
        <w:rPr>
          <w:rFonts w:eastAsiaTheme="minorEastAsia"/>
          <w:snapToGrid w:val="0"/>
          <w:kern w:val="22"/>
          <w:sz w:val="24"/>
          <w:lang w:eastAsia="zh-CN"/>
        </w:rPr>
        <w:t>项目设计和实施</w:t>
      </w:r>
      <w:bookmarkEnd w:id="49"/>
    </w:p>
    <w:p w:rsidR="00375FE8" w:rsidRPr="002A0DEA" w:rsidRDefault="00375FE8" w:rsidP="00403EFA">
      <w:pPr>
        <w:pStyle w:val="Heading2"/>
        <w:keepNext w:val="0"/>
        <w:widowControl w:val="0"/>
        <w:snapToGrid w:val="0"/>
        <w:ind w:left="1620" w:hanging="900"/>
        <w:jc w:val="left"/>
        <w:rPr>
          <w:rFonts w:eastAsiaTheme="minorEastAsia"/>
          <w:snapToGrid w:val="0"/>
          <w:kern w:val="22"/>
          <w:sz w:val="24"/>
          <w:lang w:eastAsia="zh-CN"/>
        </w:rPr>
      </w:pPr>
      <w:bookmarkStart w:id="50" w:name="_Toc6243670"/>
      <w:r w:rsidRPr="002A0DEA">
        <w:rPr>
          <w:rFonts w:eastAsiaTheme="minorEastAsia"/>
          <w:snapToGrid w:val="0"/>
          <w:kern w:val="22"/>
          <w:sz w:val="24"/>
          <w:lang w:eastAsia="zh-CN"/>
        </w:rPr>
        <w:t>步骤</w:t>
      </w:r>
      <w:r w:rsidRPr="002A0DEA">
        <w:rPr>
          <w:rFonts w:eastAsiaTheme="minorEastAsia"/>
          <w:snapToGrid w:val="0"/>
          <w:kern w:val="22"/>
          <w:sz w:val="24"/>
          <w:lang w:eastAsia="zh-CN"/>
        </w:rPr>
        <w:t xml:space="preserve">F.  </w:t>
      </w:r>
      <w:r w:rsidRPr="002A0DEA">
        <w:rPr>
          <w:rFonts w:eastAsiaTheme="minorEastAsia"/>
          <w:snapToGrid w:val="0"/>
          <w:kern w:val="22"/>
          <w:sz w:val="24"/>
          <w:lang w:eastAsia="zh-CN"/>
        </w:rPr>
        <w:t>监测和评价确定基于生态系统的适应气候变化和减少灾害风险办法</w:t>
      </w:r>
      <w:bookmarkEnd w:id="50"/>
    </w:p>
    <w:p w:rsidR="00375FE8" w:rsidRPr="002A0DEA" w:rsidRDefault="00375FE8" w:rsidP="000A1A91">
      <w:pPr>
        <w:pStyle w:val="ListParagraph"/>
        <w:numPr>
          <w:ilvl w:val="0"/>
          <w:numId w:val="56"/>
        </w:numPr>
        <w:suppressLineNumbers/>
        <w:suppressAutoHyphens/>
        <w:kinsoku w:val="0"/>
        <w:overflowPunct w:val="0"/>
        <w:autoSpaceDE w:val="0"/>
        <w:autoSpaceDN w:val="0"/>
        <w:adjustRightInd w:val="0"/>
        <w:snapToGrid w:val="0"/>
        <w:spacing w:before="240"/>
        <w:outlineLvl w:val="0"/>
        <w:rPr>
          <w:rFonts w:eastAsiaTheme="minorEastAsia"/>
          <w:b/>
          <w:kern w:val="22"/>
          <w:lang w:eastAsia="zh-CN"/>
        </w:rPr>
      </w:pPr>
      <w:bookmarkStart w:id="51" w:name="_Toc6243671"/>
      <w:r w:rsidRPr="002A0DEA">
        <w:rPr>
          <w:rFonts w:eastAsiaTheme="minorEastAsia"/>
          <w:b/>
          <w:kern w:val="22"/>
          <w:lang w:val="zh-CN" w:eastAsia="zh-CN"/>
        </w:rPr>
        <w:t>导言</w:t>
      </w:r>
      <w:bookmarkEnd w:id="51"/>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lang w:eastAsia="zh-CN"/>
        </w:rPr>
      </w:pPr>
      <w:r w:rsidRPr="002A0DEA">
        <w:rPr>
          <w:rFonts w:eastAsiaTheme="minorEastAsia"/>
          <w:kern w:val="22"/>
          <w:lang w:val="zh-CN" w:eastAsia="zh-CN"/>
        </w:rPr>
        <w:t>基于生态系统的适应气候变化和减少灾害风险是利用生物多样性和生态系统、功能和服务来管理与气候相关的影响和灾害的风险的整体方法。基于生态系统的适应是将生物多样性和生态系统功能和服务作为整体适应战略的一部分，为包括土著人民和地方社区在内的社会作出贡献，并帮助人们适应气候变化产生的不利影响。基于生态系统的适应旨在面对气候变化的不利影响时，保持和增强生态系统和人们的复原能力并降低脆弱性。</w:t>
      </w:r>
      <w:r w:rsidRPr="005F5897">
        <w:rPr>
          <w:rStyle w:val="FootnoteReference"/>
          <w:rFonts w:eastAsiaTheme="minorEastAsia"/>
          <w:kern w:val="22"/>
          <w:sz w:val="24"/>
          <w:u w:val="none"/>
          <w:vertAlign w:val="superscript"/>
          <w:lang w:val="zh-CN"/>
        </w:rPr>
        <w:footnoteReference w:id="51"/>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kern w:val="22"/>
          <w:lang w:eastAsia="zh-CN"/>
        </w:rPr>
      </w:pPr>
      <w:r w:rsidRPr="002A0DEA">
        <w:rPr>
          <w:rFonts w:eastAsiaTheme="minorEastAsia"/>
          <w:kern w:val="22"/>
          <w:lang w:val="zh-CN" w:eastAsia="zh-CN"/>
        </w:rPr>
        <w:t>基于生态系统的减少灾害风险是对生态系统进行全面和可持续的管理、养护和恢复以减少灾害风险</w:t>
      </w:r>
      <w:r w:rsidRPr="002A0DEA">
        <w:rPr>
          <w:rFonts w:eastAsiaTheme="minorEastAsia"/>
          <w:kern w:val="22"/>
          <w:lang w:eastAsia="zh-CN"/>
        </w:rPr>
        <w:t>，</w:t>
      </w:r>
      <w:r w:rsidRPr="002A0DEA">
        <w:rPr>
          <w:rFonts w:eastAsiaTheme="minorEastAsia"/>
          <w:kern w:val="22"/>
          <w:lang w:val="zh-CN" w:eastAsia="zh-CN"/>
        </w:rPr>
        <w:t>目的是实现可持续和具有复原能力的发展。</w:t>
      </w:r>
      <w:r w:rsidRPr="005F5897">
        <w:rPr>
          <w:rStyle w:val="FootnoteReference"/>
          <w:rFonts w:eastAsiaTheme="minorEastAsia"/>
          <w:kern w:val="22"/>
          <w:sz w:val="24"/>
          <w:u w:val="none"/>
          <w:vertAlign w:val="superscript"/>
          <w:lang w:val="zh-CN"/>
        </w:rPr>
        <w:footnoteReference w:id="52"/>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kern w:val="22"/>
          <w:sz w:val="28"/>
          <w:lang w:eastAsia="zh-CN"/>
        </w:rPr>
      </w:pPr>
      <w:r w:rsidRPr="002A0DEA">
        <w:rPr>
          <w:rFonts w:eastAsiaTheme="minorEastAsia"/>
          <w:kern w:val="22"/>
          <w:lang w:val="zh-CN" w:eastAsia="zh-CN"/>
        </w:rPr>
        <w:t>设计和有效实施基于生态系统的适应气候变化和减少灾害风险的自愿准则，系根据第</w:t>
      </w:r>
      <w:hyperlink r:id="rId27" w:history="1">
        <w:r w:rsidRPr="002A0DEA">
          <w:rPr>
            <w:rStyle w:val="Hyperlink"/>
            <w:rFonts w:eastAsiaTheme="minorEastAsia"/>
            <w:snapToGrid w:val="0"/>
            <w:kern w:val="22"/>
            <w:szCs w:val="22"/>
            <w:lang w:eastAsia="zh-CN"/>
          </w:rPr>
          <w:t>XIII/4</w:t>
        </w:r>
      </w:hyperlink>
      <w:r w:rsidRPr="002A0DEA">
        <w:rPr>
          <w:rFonts w:eastAsiaTheme="minorEastAsia"/>
          <w:kern w:val="22"/>
          <w:lang w:val="zh-CN" w:eastAsia="zh-CN"/>
        </w:rPr>
        <w:t>号决定第</w:t>
      </w:r>
      <w:r w:rsidRPr="002A0DEA">
        <w:rPr>
          <w:rFonts w:eastAsiaTheme="minorEastAsia"/>
          <w:kern w:val="22"/>
          <w:lang w:eastAsia="zh-CN"/>
        </w:rPr>
        <w:t>10</w:t>
      </w:r>
      <w:r w:rsidRPr="002A0DEA">
        <w:rPr>
          <w:rFonts w:eastAsiaTheme="minorEastAsia"/>
          <w:kern w:val="22"/>
          <w:lang w:val="zh-CN" w:eastAsia="zh-CN"/>
        </w:rPr>
        <w:t>段的要求编制。自愿准则旨在作为规划和实施基于生态系统的适应和</w:t>
      </w:r>
      <w:r w:rsidRPr="002A0DEA">
        <w:rPr>
          <w:rFonts w:eastAsiaTheme="minorEastAsia"/>
          <w:kern w:val="22"/>
          <w:lang w:val="zh-CN" w:eastAsia="zh-CN"/>
        </w:rPr>
        <w:lastRenderedPageBreak/>
        <w:t>减少灾害风险的一个灵活框架，供各缔约方、其他国家政府、相关组织以及土著人民和地方社区、企业界、私人部门和民间社会使用。自愿准则还可能有助于《联合国气候变化框架公约》提出的降低易受气候变化影响的脆弱性的国家适应计划准则的目标。</w:t>
      </w:r>
    </w:p>
    <w:p w:rsidR="00375FE8" w:rsidRPr="002A0DEA" w:rsidRDefault="00375FE8" w:rsidP="000A1A91">
      <w:pPr>
        <w:pStyle w:val="ListParagraph"/>
        <w:numPr>
          <w:ilvl w:val="1"/>
          <w:numId w:val="56"/>
        </w:numPr>
        <w:suppressLineNumbers/>
        <w:tabs>
          <w:tab w:val="left" w:pos="720"/>
        </w:tabs>
        <w:suppressAutoHyphens/>
        <w:kinsoku w:val="0"/>
        <w:overflowPunct w:val="0"/>
        <w:autoSpaceDE w:val="0"/>
        <w:autoSpaceDN w:val="0"/>
        <w:adjustRightInd w:val="0"/>
        <w:snapToGrid w:val="0"/>
        <w:ind w:left="922"/>
        <w:outlineLvl w:val="0"/>
        <w:rPr>
          <w:rFonts w:eastAsiaTheme="minorEastAsia"/>
          <w:b/>
          <w:kern w:val="22"/>
          <w:lang w:eastAsia="zh-CN"/>
        </w:rPr>
      </w:pPr>
      <w:r w:rsidRPr="002A0DEA">
        <w:rPr>
          <w:rFonts w:eastAsiaTheme="minorEastAsia"/>
          <w:b/>
          <w:kern w:val="22"/>
          <w:lang w:val="zh-CN" w:eastAsia="zh-CN"/>
        </w:rPr>
        <w:t xml:space="preserve"> </w:t>
      </w:r>
      <w:bookmarkStart w:id="52" w:name="_Toc6243672"/>
      <w:r w:rsidRPr="002A0DEA">
        <w:rPr>
          <w:rFonts w:eastAsiaTheme="minorEastAsia"/>
          <w:b/>
          <w:kern w:val="22"/>
          <w:lang w:val="zh-CN" w:eastAsia="zh-CN"/>
        </w:rPr>
        <w:t>自愿准则概述</w:t>
      </w:r>
      <w:bookmarkEnd w:id="52"/>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lang w:eastAsia="zh-CN"/>
        </w:rPr>
      </w:pPr>
      <w:r w:rsidRPr="002A0DEA">
        <w:rPr>
          <w:rFonts w:eastAsiaTheme="minorEastAsia"/>
          <w:kern w:val="22"/>
          <w:lang w:eastAsia="zh-CN"/>
        </w:rPr>
        <w:t>本</w:t>
      </w:r>
      <w:r w:rsidRPr="002A0DEA">
        <w:rPr>
          <w:rFonts w:eastAsiaTheme="minorEastAsia"/>
          <w:kern w:val="22"/>
          <w:lang w:val="zh-CN" w:eastAsia="zh-CN"/>
        </w:rPr>
        <w:t>准则首先总体介绍基于生态系统的适应和减少灾害风险的任务和基本术语。</w:t>
      </w:r>
      <w:r w:rsidRPr="002A0DEA">
        <w:rPr>
          <w:rFonts w:eastAsiaTheme="minorEastAsia"/>
          <w:lang w:val="zh-CN" w:eastAsia="zh-CN"/>
        </w:rPr>
        <w:t>第</w:t>
      </w:r>
      <w:r w:rsidRPr="002A0DEA">
        <w:rPr>
          <w:rFonts w:eastAsiaTheme="minorEastAsia"/>
          <w:lang w:eastAsia="zh-CN"/>
        </w:rPr>
        <w:t>2</w:t>
      </w:r>
      <w:r w:rsidRPr="002A0DEA">
        <w:rPr>
          <w:rFonts w:eastAsiaTheme="minorEastAsia"/>
          <w:lang w:val="zh-CN" w:eastAsia="zh-CN"/>
        </w:rPr>
        <w:t>节阐述各项原则和保障措施</w:t>
      </w:r>
      <w:r w:rsidRPr="002A0DEA">
        <w:rPr>
          <w:rFonts w:eastAsiaTheme="minorEastAsia"/>
          <w:lang w:eastAsia="zh-CN"/>
        </w:rPr>
        <w:t>，提供了实施</w:t>
      </w:r>
      <w:r w:rsidRPr="002A0DEA">
        <w:rPr>
          <w:rFonts w:eastAsiaTheme="minorEastAsia"/>
          <w:lang w:val="zh-CN" w:eastAsia="zh-CN"/>
        </w:rPr>
        <w:t>第</w:t>
      </w:r>
      <w:r w:rsidRPr="002A0DEA">
        <w:rPr>
          <w:rFonts w:eastAsiaTheme="minorEastAsia"/>
          <w:lang w:eastAsia="zh-CN"/>
        </w:rPr>
        <w:t>4</w:t>
      </w:r>
      <w:r w:rsidRPr="002A0DEA">
        <w:rPr>
          <w:rFonts w:eastAsiaTheme="minorEastAsia"/>
          <w:lang w:val="zh-CN" w:eastAsia="zh-CN"/>
        </w:rPr>
        <w:t>节所提所有规划和实施步骤时应铭记的标准和措施。第</w:t>
      </w:r>
      <w:r w:rsidRPr="002A0DEA">
        <w:rPr>
          <w:rFonts w:eastAsiaTheme="minorEastAsia"/>
          <w:lang w:val="zh-CN" w:eastAsia="zh-CN"/>
        </w:rPr>
        <w:t>3</w:t>
      </w:r>
      <w:r w:rsidRPr="002A0DEA">
        <w:rPr>
          <w:rFonts w:eastAsiaTheme="minorEastAsia"/>
          <w:lang w:val="zh-CN" w:eastAsia="zh-CN"/>
        </w:rPr>
        <w:t>节提出以下方面的其他重要总体考虑：</w:t>
      </w:r>
      <w:r w:rsidRPr="002A0DEA">
        <w:rPr>
          <w:rFonts w:eastAsiaTheme="minorEastAsia"/>
          <w:kern w:val="22"/>
          <w:lang w:val="zh-CN" w:eastAsia="zh-CN"/>
        </w:rPr>
        <w:t>纳入土著人民和地方社区的知识、技术、做法和努力，主流化以及提高认识和建立能力。</w:t>
      </w:r>
      <w:r w:rsidRPr="002A0DEA">
        <w:rPr>
          <w:rFonts w:eastAsiaTheme="minorEastAsia"/>
          <w:lang w:val="zh-CN" w:eastAsia="zh-CN"/>
        </w:rPr>
        <w:t>实施第</w:t>
      </w:r>
      <w:r w:rsidRPr="002A0DEA">
        <w:rPr>
          <w:rFonts w:eastAsiaTheme="minorEastAsia"/>
          <w:lang w:eastAsia="zh-CN"/>
        </w:rPr>
        <w:t>4</w:t>
      </w:r>
      <w:r w:rsidRPr="002A0DEA">
        <w:rPr>
          <w:rFonts w:eastAsiaTheme="minorEastAsia"/>
          <w:lang w:val="zh-CN" w:eastAsia="zh-CN"/>
        </w:rPr>
        <w:t>节规划和实施的步骤时</w:t>
      </w:r>
      <w:r w:rsidRPr="002A0DEA">
        <w:rPr>
          <w:rFonts w:eastAsiaTheme="minorEastAsia"/>
          <w:lang w:eastAsia="zh-CN"/>
        </w:rPr>
        <w:t>，</w:t>
      </w:r>
      <w:r w:rsidRPr="002A0DEA">
        <w:rPr>
          <w:rFonts w:eastAsiaTheme="minorEastAsia"/>
          <w:lang w:val="zh-CN" w:eastAsia="zh-CN"/>
        </w:rPr>
        <w:t>也应铭记这些总体考虑因素。第</w:t>
      </w:r>
      <w:r w:rsidRPr="002A0DEA">
        <w:rPr>
          <w:rFonts w:eastAsiaTheme="minorEastAsia"/>
          <w:lang w:val="zh-CN" w:eastAsia="zh-CN"/>
        </w:rPr>
        <w:t>4</w:t>
      </w:r>
      <w:r w:rsidRPr="002A0DEA">
        <w:rPr>
          <w:rFonts w:eastAsiaTheme="minorEastAsia"/>
          <w:lang w:val="zh-CN" w:eastAsia="zh-CN"/>
        </w:rPr>
        <w:t>节提出了逐步实施</w:t>
      </w:r>
      <w:r w:rsidRPr="002A0DEA">
        <w:rPr>
          <w:rFonts w:eastAsiaTheme="minorEastAsia"/>
          <w:kern w:val="22"/>
          <w:lang w:val="zh-CN" w:eastAsia="zh-CN"/>
        </w:rPr>
        <w:t>基于生态系统的适应和减少灾害风险的</w:t>
      </w:r>
      <w:r w:rsidRPr="002A0DEA">
        <w:rPr>
          <w:rFonts w:eastAsiaTheme="minorEastAsia"/>
          <w:lang w:val="zh-CN" w:eastAsia="zh-CN"/>
        </w:rPr>
        <w:t>规划和实施以及建议的实际行动的迭代方法。补充说明</w:t>
      </w:r>
      <w:r w:rsidRPr="000E76EC">
        <w:rPr>
          <w:rStyle w:val="FootnoteReference"/>
          <w:rFonts w:eastAsiaTheme="minorEastAsia"/>
          <w:snapToGrid w:val="0"/>
          <w:kern w:val="22"/>
          <w:sz w:val="24"/>
          <w:szCs w:val="22"/>
          <w:u w:val="none"/>
          <w:vertAlign w:val="superscript"/>
        </w:rPr>
        <w:footnoteReference w:id="53"/>
      </w:r>
      <w:r w:rsidRPr="000E76EC">
        <w:rPr>
          <w:rFonts w:eastAsiaTheme="minorEastAsia"/>
          <w:sz w:val="44"/>
          <w:vertAlign w:val="superscript"/>
          <w:lang w:val="zh-CN" w:eastAsia="zh-CN"/>
        </w:rPr>
        <w:t xml:space="preserve"> </w:t>
      </w:r>
      <w:r w:rsidRPr="002A0DEA">
        <w:rPr>
          <w:rFonts w:eastAsiaTheme="minorEastAsia"/>
          <w:lang w:val="zh-CN" w:eastAsia="zh-CN"/>
        </w:rPr>
        <w:t>中包括决策人员入门手册、与逐步过程相关的工具、进一步的详细行动、更有效地推广到部门的宣传摘要以及支助性参考资料、术语表和政策清单和其他相关准则等。补充说明还载有图和表，说明各项原则、总体考虑以及循序渐进的办法如何能够相辅相成。</w:t>
      </w:r>
    </w:p>
    <w:p w:rsidR="00375FE8" w:rsidRPr="002A0DEA" w:rsidRDefault="00375FE8" w:rsidP="000A1A91">
      <w:pPr>
        <w:pStyle w:val="ListParagraph"/>
        <w:numPr>
          <w:ilvl w:val="1"/>
          <w:numId w:val="56"/>
        </w:numPr>
        <w:suppressLineNumbers/>
        <w:tabs>
          <w:tab w:val="left" w:pos="720"/>
        </w:tabs>
        <w:suppressAutoHyphens/>
        <w:kinsoku w:val="0"/>
        <w:overflowPunct w:val="0"/>
        <w:autoSpaceDE w:val="0"/>
        <w:autoSpaceDN w:val="0"/>
        <w:adjustRightInd w:val="0"/>
        <w:snapToGrid w:val="0"/>
        <w:ind w:left="922"/>
        <w:outlineLvl w:val="0"/>
        <w:rPr>
          <w:rFonts w:eastAsiaTheme="minorEastAsia"/>
          <w:b/>
          <w:kern w:val="22"/>
          <w:lang w:eastAsia="zh-CN"/>
        </w:rPr>
      </w:pPr>
      <w:r w:rsidRPr="002A0DEA">
        <w:rPr>
          <w:rFonts w:eastAsiaTheme="minorEastAsia"/>
          <w:b/>
          <w:kern w:val="22"/>
          <w:lang w:val="zh-CN" w:eastAsia="zh-CN"/>
        </w:rPr>
        <w:t xml:space="preserve"> </w:t>
      </w:r>
      <w:bookmarkStart w:id="53" w:name="_Toc6243673"/>
      <w:r w:rsidRPr="002A0DEA">
        <w:rPr>
          <w:rFonts w:eastAsiaTheme="minorEastAsia"/>
          <w:b/>
          <w:kern w:val="22"/>
          <w:lang w:val="zh-CN" w:eastAsia="zh-CN"/>
        </w:rPr>
        <w:t>什么是基于生态系统的适应气候变化和减少灾害风险</w:t>
      </w:r>
      <w:r w:rsidRPr="002A0DEA">
        <w:rPr>
          <w:rFonts w:eastAsiaTheme="minorEastAsia"/>
          <w:b/>
          <w:kern w:val="22"/>
          <w:lang w:eastAsia="zh-CN"/>
        </w:rPr>
        <w:t>？</w:t>
      </w:r>
      <w:bookmarkEnd w:id="53"/>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lang w:eastAsia="zh-CN"/>
        </w:rPr>
      </w:pPr>
      <w:r w:rsidRPr="002A0DEA">
        <w:rPr>
          <w:rFonts w:eastAsiaTheme="minorEastAsia"/>
          <w:kern w:val="22"/>
          <w:lang w:val="zh-CN" w:eastAsia="zh-CN"/>
        </w:rPr>
        <w:t>《生物多样性公约》出版的技术丛书第</w:t>
      </w:r>
      <w:r w:rsidRPr="002A0DEA">
        <w:rPr>
          <w:rFonts w:eastAsiaTheme="minorEastAsia"/>
          <w:kern w:val="22"/>
          <w:lang w:eastAsia="zh-CN"/>
        </w:rPr>
        <w:t>85</w:t>
      </w:r>
      <w:r w:rsidRPr="002A0DEA">
        <w:rPr>
          <w:rFonts w:eastAsiaTheme="minorEastAsia"/>
          <w:kern w:val="22"/>
          <w:lang w:val="zh-CN" w:eastAsia="zh-CN"/>
        </w:rPr>
        <w:t>号</w:t>
      </w:r>
      <w:r w:rsidRPr="000E76EC">
        <w:rPr>
          <w:rStyle w:val="FootnoteReference"/>
          <w:rFonts w:eastAsiaTheme="minorEastAsia"/>
          <w:snapToGrid w:val="0"/>
          <w:kern w:val="22"/>
          <w:sz w:val="24"/>
          <w:szCs w:val="22"/>
          <w:u w:val="none"/>
          <w:vertAlign w:val="superscript"/>
        </w:rPr>
        <w:footnoteReference w:id="54"/>
      </w:r>
      <w:r w:rsidRPr="000E76EC">
        <w:rPr>
          <w:rStyle w:val="FootnoteReference"/>
          <w:snapToGrid w:val="0"/>
          <w:sz w:val="24"/>
          <w:szCs w:val="22"/>
          <w:u w:val="none"/>
          <w:vertAlign w:val="superscript"/>
          <w:lang w:eastAsia="zh-CN"/>
        </w:rPr>
        <w:t xml:space="preserve"> </w:t>
      </w:r>
      <w:r w:rsidRPr="002A0DEA">
        <w:rPr>
          <w:rFonts w:eastAsiaTheme="minorEastAsia"/>
          <w:kern w:val="22"/>
          <w:lang w:val="zh-CN" w:eastAsia="zh-CN"/>
        </w:rPr>
        <w:t>中载列了实施基于生态系统的适应和减少灾害风险的经验的综合报告。它提供了关于落实政策和法律框架的经验、主流化、纳入性别观点和土著人民和地方社区的贡献的详细信息。下表载列基于生态系统的适应和减少灾害风险活动的其他实例。</w:t>
      </w:r>
    </w:p>
    <w:p w:rsidR="00375FE8" w:rsidRPr="002A0DEA" w:rsidRDefault="00375FE8" w:rsidP="00BB6C4C">
      <w:pPr>
        <w:keepNext/>
        <w:suppressLineNumbers/>
        <w:suppressAutoHyphens/>
        <w:kinsoku w:val="0"/>
        <w:overflowPunct w:val="0"/>
        <w:autoSpaceDE w:val="0"/>
        <w:autoSpaceDN w:val="0"/>
        <w:adjustRightInd w:val="0"/>
        <w:snapToGrid w:val="0"/>
        <w:ind w:firstLine="180"/>
        <w:jc w:val="left"/>
        <w:rPr>
          <w:rFonts w:eastAsiaTheme="minorEastAsia"/>
          <w:b/>
          <w:bCs/>
          <w:lang w:eastAsia="zh-CN"/>
        </w:rPr>
      </w:pPr>
      <w:r w:rsidRPr="002A0DEA">
        <w:rPr>
          <w:rFonts w:eastAsiaTheme="minorEastAsia"/>
          <w:b/>
          <w:bCs/>
          <w:kern w:val="22"/>
          <w:lang w:val="zh-CN" w:eastAsia="zh-CN"/>
        </w:rPr>
        <w:t xml:space="preserve">   </w:t>
      </w:r>
      <w:r w:rsidRPr="002A0DEA">
        <w:rPr>
          <w:rFonts w:eastAsiaTheme="minorEastAsia"/>
          <w:b/>
          <w:bCs/>
          <w:kern w:val="22"/>
          <w:lang w:val="zh-CN" w:eastAsia="zh-CN"/>
        </w:rPr>
        <w:t>表</w:t>
      </w:r>
      <w:r w:rsidRPr="002A0DEA">
        <w:rPr>
          <w:rFonts w:eastAsiaTheme="minorEastAsia"/>
          <w:b/>
          <w:bCs/>
          <w:kern w:val="22"/>
          <w:lang w:val="zh-CN" w:eastAsia="zh-CN"/>
        </w:rPr>
        <w:t>.</w:t>
      </w:r>
      <w:r w:rsidR="005B2709">
        <w:rPr>
          <w:rFonts w:eastAsiaTheme="minorEastAsia"/>
          <w:b/>
          <w:bCs/>
          <w:kern w:val="22"/>
          <w:lang w:eastAsia="zh-CN"/>
        </w:rPr>
        <w:t xml:space="preserve"> </w:t>
      </w:r>
      <w:r w:rsidRPr="002A0DEA">
        <w:rPr>
          <w:rFonts w:eastAsiaTheme="minorEastAsia"/>
          <w:b/>
          <w:bCs/>
          <w:kern w:val="22"/>
          <w:lang w:val="zh-CN" w:eastAsia="zh-CN"/>
        </w:rPr>
        <w:t>使用基于生态系统的适应气候变化和减少灾害风险活动及其成果的实例</w:t>
      </w:r>
      <w:r w:rsidRPr="000E76EC">
        <w:rPr>
          <w:rStyle w:val="FootnoteReference"/>
          <w:rFonts w:eastAsiaTheme="minorEastAsia"/>
          <w:snapToGrid w:val="0"/>
          <w:kern w:val="22"/>
          <w:sz w:val="24"/>
          <w:szCs w:val="22"/>
          <w:u w:val="none"/>
          <w:vertAlign w:val="superscript"/>
        </w:rPr>
        <w:footnoteReference w:id="55"/>
      </w:r>
      <w:r w:rsidRPr="000E76EC">
        <w:rPr>
          <w:rStyle w:val="FootnoteReference"/>
          <w:snapToGrid w:val="0"/>
          <w:sz w:val="24"/>
          <w:szCs w:val="22"/>
          <w:u w:val="none"/>
          <w:vertAlign w:val="superscript"/>
          <w:lang w:eastAsia="zh-CN"/>
        </w:rPr>
        <w:t xml:space="preserve">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95"/>
        <w:gridCol w:w="1350"/>
        <w:gridCol w:w="3685"/>
        <w:gridCol w:w="2525"/>
      </w:tblGrid>
      <w:tr w:rsidR="00375FE8" w:rsidRPr="006B0B47" w:rsidTr="002A0DEA">
        <w:trPr>
          <w:cantSplit/>
          <w:jc w:val="center"/>
        </w:trPr>
        <w:tc>
          <w:tcPr>
            <w:tcW w:w="179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center"/>
              <w:rPr>
                <w:rFonts w:ascii="KaiTi" w:eastAsia="KaiTi" w:hAnsi="KaiTi"/>
                <w:bCs/>
                <w:lang w:eastAsia="zh-CN"/>
              </w:rPr>
            </w:pPr>
            <w:r w:rsidRPr="006B0B47">
              <w:rPr>
                <w:rFonts w:ascii="KaiTi" w:eastAsia="KaiTi" w:hAnsi="KaiTi"/>
                <w:bCs/>
                <w:kern w:val="22"/>
                <w:sz w:val="22"/>
                <w:szCs w:val="22"/>
                <w:lang w:val="zh-CN" w:eastAsia="zh-CN"/>
              </w:rPr>
              <w:t>灾害/气候变化的影响</w:t>
            </w:r>
          </w:p>
        </w:tc>
        <w:tc>
          <w:tcPr>
            <w:tcW w:w="1350" w:type="dxa"/>
          </w:tcPr>
          <w:p w:rsidR="00375FE8" w:rsidRPr="006B0B47" w:rsidRDefault="00375FE8" w:rsidP="00650F1F">
            <w:pPr>
              <w:suppressLineNumbers/>
              <w:suppressAutoHyphens/>
              <w:kinsoku w:val="0"/>
              <w:overflowPunct w:val="0"/>
              <w:autoSpaceDE w:val="0"/>
              <w:autoSpaceDN w:val="0"/>
              <w:adjustRightInd w:val="0"/>
              <w:snapToGrid w:val="0"/>
              <w:spacing w:before="0" w:after="0"/>
              <w:ind w:firstLine="67"/>
              <w:jc w:val="center"/>
              <w:rPr>
                <w:rFonts w:ascii="KaiTi" w:eastAsia="KaiTi" w:hAnsi="KaiTi"/>
                <w:bCs/>
                <w:kern w:val="22"/>
                <w:lang w:val="zh-CN" w:eastAsia="zh-CN"/>
              </w:rPr>
            </w:pPr>
            <w:r w:rsidRPr="006B0B47">
              <w:rPr>
                <w:rFonts w:ascii="KaiTi" w:eastAsia="KaiTi" w:hAnsi="KaiTi"/>
                <w:bCs/>
                <w:kern w:val="22"/>
                <w:sz w:val="22"/>
                <w:szCs w:val="22"/>
                <w:lang w:val="zh-CN" w:eastAsia="zh-CN"/>
              </w:rPr>
              <w:t>生态系统</w:t>
            </w:r>
            <w:r w:rsidRPr="006B0B47">
              <w:rPr>
                <w:rFonts w:ascii="KaiTi" w:eastAsia="KaiTi" w:hAnsi="KaiTi"/>
                <w:bCs/>
                <w:kern w:val="22"/>
                <w:sz w:val="22"/>
                <w:szCs w:val="22"/>
                <w:lang w:val="zh-CN" w:eastAsia="zh-CN"/>
              </w:rPr>
              <w:br/>
              <w:t>类型</w:t>
            </w:r>
          </w:p>
        </w:tc>
        <w:tc>
          <w:tcPr>
            <w:tcW w:w="3685" w:type="dxa"/>
          </w:tcPr>
          <w:p w:rsidR="00375FE8" w:rsidRPr="006B0B47" w:rsidRDefault="00375FE8" w:rsidP="00650F1F">
            <w:pPr>
              <w:suppressLineNumbers/>
              <w:suppressAutoHyphens/>
              <w:kinsoku w:val="0"/>
              <w:overflowPunct w:val="0"/>
              <w:autoSpaceDE w:val="0"/>
              <w:autoSpaceDN w:val="0"/>
              <w:adjustRightInd w:val="0"/>
              <w:snapToGrid w:val="0"/>
              <w:spacing w:before="0" w:after="0"/>
              <w:ind w:firstLine="67"/>
              <w:jc w:val="center"/>
              <w:rPr>
                <w:rFonts w:ascii="KaiTi" w:eastAsia="KaiTi" w:hAnsi="KaiTi"/>
                <w:bCs/>
                <w:kern w:val="22"/>
                <w:lang w:val="zh-CN" w:eastAsia="zh-CN"/>
              </w:rPr>
            </w:pPr>
            <w:r w:rsidRPr="006B0B47">
              <w:rPr>
                <w:rFonts w:ascii="KaiTi" w:eastAsia="KaiTi" w:hAnsi="KaiTi"/>
                <w:bCs/>
                <w:kern w:val="22"/>
                <w:sz w:val="22"/>
                <w:szCs w:val="22"/>
                <w:lang w:val="zh-CN" w:eastAsia="zh-CN"/>
              </w:rPr>
              <w:t>基于生态系统的适应气候变化和减少灾害风险活动的备选办法</w:t>
            </w:r>
          </w:p>
        </w:tc>
        <w:tc>
          <w:tcPr>
            <w:tcW w:w="2525" w:type="dxa"/>
          </w:tcPr>
          <w:p w:rsidR="00375FE8" w:rsidRPr="006B0B47" w:rsidRDefault="00375FE8" w:rsidP="00650F1F">
            <w:pPr>
              <w:suppressLineNumbers/>
              <w:suppressAutoHyphens/>
              <w:kinsoku w:val="0"/>
              <w:overflowPunct w:val="0"/>
              <w:autoSpaceDE w:val="0"/>
              <w:autoSpaceDN w:val="0"/>
              <w:adjustRightInd w:val="0"/>
              <w:snapToGrid w:val="0"/>
              <w:spacing w:before="0" w:after="0"/>
              <w:ind w:firstLine="67"/>
              <w:jc w:val="center"/>
              <w:rPr>
                <w:rFonts w:ascii="KaiTi" w:eastAsia="KaiTi" w:hAnsi="KaiTi"/>
                <w:bCs/>
                <w:kern w:val="22"/>
                <w:lang w:val="zh-CN" w:eastAsia="zh-CN"/>
              </w:rPr>
            </w:pPr>
            <w:r w:rsidRPr="006B0B47">
              <w:rPr>
                <w:rFonts w:ascii="KaiTi" w:eastAsia="KaiTi" w:hAnsi="KaiTi"/>
                <w:bCs/>
                <w:kern w:val="22"/>
                <w:sz w:val="22"/>
                <w:szCs w:val="22"/>
                <w:lang w:val="zh-CN" w:eastAsia="zh-CN"/>
              </w:rPr>
              <w:t>成果</w:t>
            </w:r>
          </w:p>
        </w:tc>
      </w:tr>
      <w:tr w:rsidR="00375FE8" w:rsidRPr="006B0B47" w:rsidTr="002A0DEA">
        <w:trPr>
          <w:cantSplit/>
          <w:jc w:val="center"/>
        </w:trPr>
        <w:tc>
          <w:tcPr>
            <w:tcW w:w="1795" w:type="dxa"/>
            <w:vMerge w:val="restart"/>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eastAsia="zh-CN"/>
              </w:rPr>
            </w:pPr>
            <w:r w:rsidRPr="006B0B47">
              <w:rPr>
                <w:rFonts w:eastAsiaTheme="minorEastAsia"/>
                <w:bCs/>
                <w:kern w:val="22"/>
                <w:sz w:val="22"/>
                <w:szCs w:val="22"/>
                <w:lang w:val="zh-CN" w:eastAsia="zh-CN"/>
              </w:rPr>
              <w:t>干旱</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eastAsia="zh-CN"/>
              </w:rPr>
            </w:pPr>
            <w:r w:rsidRPr="006B0B47">
              <w:rPr>
                <w:rFonts w:eastAsiaTheme="minorEastAsia"/>
                <w:bCs/>
                <w:kern w:val="22"/>
                <w:sz w:val="22"/>
                <w:szCs w:val="22"/>
                <w:lang w:val="zh-CN" w:eastAsia="zh-CN"/>
              </w:rPr>
              <w:t>土壤侵蚀</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lang w:eastAsia="zh-CN"/>
              </w:rPr>
            </w:pPr>
            <w:r w:rsidRPr="006B0B47">
              <w:rPr>
                <w:rFonts w:eastAsiaTheme="minorEastAsia"/>
                <w:bCs/>
                <w:sz w:val="22"/>
                <w:szCs w:val="22"/>
                <w:lang w:val="zh-CN" w:eastAsia="zh-CN"/>
              </w:rPr>
              <w:t>雨量不稳</w:t>
            </w:r>
          </w:p>
        </w:tc>
        <w:tc>
          <w:tcPr>
            <w:tcW w:w="1350" w:type="dxa"/>
            <w:vMerge w:val="restart"/>
          </w:tcPr>
          <w:p w:rsidR="00375FE8" w:rsidRPr="006B0B47" w:rsidRDefault="00375FE8" w:rsidP="00650F1F">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山地和森林</w:t>
            </w: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lang w:eastAsia="zh-CN"/>
              </w:rPr>
            </w:pPr>
            <w:r w:rsidRPr="006B0B47">
              <w:rPr>
                <w:rFonts w:eastAsiaTheme="minorEastAsia"/>
                <w:bCs/>
                <w:kern w:val="22"/>
                <w:sz w:val="22"/>
                <w:szCs w:val="22"/>
                <w:lang w:val="zh-CN" w:eastAsia="zh-CN"/>
              </w:rPr>
              <w:t>可持续的山林湿地管理</w:t>
            </w:r>
          </w:p>
        </w:tc>
        <w:tc>
          <w:tcPr>
            <w:tcW w:w="2525" w:type="dxa"/>
            <w:vMerge w:val="restart"/>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改善水事监管</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防止土壤侵蚀</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提高水储存能力</w:t>
            </w:r>
          </w:p>
        </w:tc>
      </w:tr>
      <w:tr w:rsidR="00375FE8" w:rsidRPr="006B0B47" w:rsidTr="002A0DEA">
        <w:trPr>
          <w:cantSplit/>
          <w:jc w:val="center"/>
        </w:trPr>
        <w:tc>
          <w:tcPr>
            <w:tcW w:w="179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eastAsia="zh-CN"/>
              </w:rPr>
            </w:pPr>
          </w:p>
        </w:tc>
        <w:tc>
          <w:tcPr>
            <w:tcW w:w="1350" w:type="dxa"/>
            <w:vMerge/>
          </w:tcPr>
          <w:p w:rsidR="00375FE8" w:rsidRPr="006B0B47" w:rsidRDefault="00375FE8" w:rsidP="00650F1F">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lang w:eastAsia="zh-CN"/>
              </w:rPr>
            </w:pPr>
            <w:r w:rsidRPr="006B0B47">
              <w:rPr>
                <w:rFonts w:eastAsiaTheme="minorEastAsia"/>
                <w:bCs/>
                <w:kern w:val="22"/>
                <w:sz w:val="22"/>
                <w:szCs w:val="22"/>
                <w:lang w:val="zh-CN" w:eastAsia="zh-CN"/>
              </w:rPr>
              <w:t>森林和草场恢复</w:t>
            </w:r>
          </w:p>
        </w:tc>
        <w:tc>
          <w:tcPr>
            <w:tcW w:w="252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p>
        </w:tc>
      </w:tr>
      <w:tr w:rsidR="00375FE8" w:rsidRPr="006B0B47" w:rsidTr="002A0DEA">
        <w:trPr>
          <w:cantSplit/>
          <w:jc w:val="center"/>
        </w:trPr>
        <w:tc>
          <w:tcPr>
            <w:tcW w:w="179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eastAsia="zh-CN"/>
              </w:rPr>
            </w:pPr>
          </w:p>
        </w:tc>
        <w:tc>
          <w:tcPr>
            <w:tcW w:w="1350" w:type="dxa"/>
            <w:vMerge/>
          </w:tcPr>
          <w:p w:rsidR="00375FE8" w:rsidRPr="006B0B47" w:rsidRDefault="00375FE8" w:rsidP="00650F1F">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lang w:eastAsia="zh-CN"/>
              </w:rPr>
            </w:pPr>
            <w:r w:rsidRPr="006B0B47">
              <w:rPr>
                <w:rFonts w:eastAsiaTheme="minorEastAsia"/>
                <w:bCs/>
                <w:kern w:val="22"/>
                <w:sz w:val="22"/>
                <w:szCs w:val="22"/>
                <w:lang w:val="zh-CN" w:eastAsia="zh-CN"/>
              </w:rPr>
              <w:t>草场恢复种植本地深根性物种</w:t>
            </w:r>
          </w:p>
        </w:tc>
        <w:tc>
          <w:tcPr>
            <w:tcW w:w="252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p>
        </w:tc>
      </w:tr>
      <w:tr w:rsidR="00375FE8" w:rsidRPr="006B0B47" w:rsidTr="002A0DEA">
        <w:trPr>
          <w:cantSplit/>
          <w:jc w:val="center"/>
        </w:trPr>
        <w:tc>
          <w:tcPr>
            <w:tcW w:w="1795" w:type="dxa"/>
            <w:vMerge w:val="restart"/>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eastAsia="zh-CN"/>
              </w:rPr>
            </w:pPr>
            <w:r w:rsidRPr="006B0B47">
              <w:rPr>
                <w:rFonts w:eastAsiaTheme="minorEastAsia"/>
                <w:bCs/>
                <w:kern w:val="22"/>
                <w:sz w:val="22"/>
                <w:szCs w:val="22"/>
                <w:lang w:val="zh-CN" w:eastAsia="zh-CN"/>
              </w:rPr>
              <w:t>雨量不稳</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eastAsia="zh-CN"/>
              </w:rPr>
            </w:pPr>
            <w:r w:rsidRPr="006B0B47">
              <w:rPr>
                <w:rFonts w:eastAsiaTheme="minorEastAsia"/>
                <w:bCs/>
                <w:kern w:val="22"/>
                <w:sz w:val="22"/>
                <w:szCs w:val="22"/>
                <w:lang w:val="zh-CN" w:eastAsia="zh-CN"/>
              </w:rPr>
              <w:t>洪水</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lang w:eastAsia="zh-CN"/>
              </w:rPr>
            </w:pPr>
            <w:r w:rsidRPr="006B0B47">
              <w:rPr>
                <w:rFonts w:eastAsiaTheme="minorEastAsia"/>
                <w:bCs/>
                <w:kern w:val="22"/>
                <w:sz w:val="22"/>
                <w:szCs w:val="22"/>
                <w:lang w:val="zh-CN" w:eastAsia="zh-CN"/>
              </w:rPr>
              <w:t>干旱</w:t>
            </w:r>
          </w:p>
        </w:tc>
        <w:tc>
          <w:tcPr>
            <w:tcW w:w="1350" w:type="dxa"/>
            <w:vMerge w:val="restart"/>
          </w:tcPr>
          <w:p w:rsidR="00375FE8" w:rsidRPr="006B0B47" w:rsidRDefault="00375FE8" w:rsidP="00650F1F">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内陆水域</w:t>
            </w: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lang w:eastAsia="zh-CN"/>
              </w:rPr>
            </w:pPr>
            <w:r w:rsidRPr="006B0B47">
              <w:rPr>
                <w:rFonts w:eastAsiaTheme="minorEastAsia"/>
                <w:bCs/>
                <w:kern w:val="22"/>
                <w:sz w:val="22"/>
                <w:szCs w:val="22"/>
                <w:lang w:val="zh-CN" w:eastAsia="zh-CN"/>
              </w:rPr>
              <w:t>湿地和泥炭地的养护</w:t>
            </w:r>
          </w:p>
        </w:tc>
        <w:tc>
          <w:tcPr>
            <w:tcW w:w="2525" w:type="dxa"/>
            <w:vMerge w:val="restart"/>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提高水储存能力</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降低洪水风险</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改善供水</w:t>
            </w:r>
          </w:p>
        </w:tc>
      </w:tr>
      <w:tr w:rsidR="00375FE8" w:rsidRPr="006B0B47" w:rsidTr="002A0DEA">
        <w:trPr>
          <w:cantSplit/>
          <w:jc w:val="center"/>
        </w:trPr>
        <w:tc>
          <w:tcPr>
            <w:tcW w:w="179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eastAsia="zh-CN"/>
              </w:rPr>
            </w:pPr>
          </w:p>
        </w:tc>
        <w:tc>
          <w:tcPr>
            <w:tcW w:w="1350" w:type="dxa"/>
            <w:vMerge/>
          </w:tcPr>
          <w:p w:rsidR="00375FE8" w:rsidRPr="006B0B47" w:rsidRDefault="00375FE8" w:rsidP="00650F1F">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lang w:eastAsia="zh-CN"/>
              </w:rPr>
            </w:pPr>
            <w:r w:rsidRPr="006B0B47">
              <w:rPr>
                <w:rFonts w:eastAsiaTheme="minorEastAsia"/>
                <w:bCs/>
                <w:kern w:val="22"/>
                <w:sz w:val="22"/>
                <w:szCs w:val="22"/>
                <w:lang w:val="zh-CN" w:eastAsia="zh-CN"/>
              </w:rPr>
              <w:t>河流流域生态的恢复</w:t>
            </w:r>
          </w:p>
        </w:tc>
        <w:tc>
          <w:tcPr>
            <w:tcW w:w="252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p>
        </w:tc>
      </w:tr>
      <w:tr w:rsidR="00375FE8" w:rsidRPr="006B0B47" w:rsidTr="002A0DEA">
        <w:trPr>
          <w:cantSplit/>
          <w:jc w:val="center"/>
        </w:trPr>
        <w:tc>
          <w:tcPr>
            <w:tcW w:w="179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eastAsia="zh-CN"/>
              </w:rPr>
            </w:pPr>
          </w:p>
        </w:tc>
        <w:tc>
          <w:tcPr>
            <w:tcW w:w="1350" w:type="dxa"/>
            <w:vMerge/>
          </w:tcPr>
          <w:p w:rsidR="00375FE8" w:rsidRPr="006B0B47" w:rsidRDefault="00375FE8" w:rsidP="00650F1F">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lang w:eastAsia="zh-CN"/>
              </w:rPr>
            </w:pPr>
            <w:r w:rsidRPr="006B0B47">
              <w:rPr>
                <w:rFonts w:eastAsiaTheme="minorEastAsia"/>
                <w:bCs/>
                <w:kern w:val="22"/>
                <w:sz w:val="22"/>
                <w:szCs w:val="22"/>
                <w:lang w:val="zh-CN" w:eastAsia="zh-CN"/>
              </w:rPr>
              <w:t>跨界水域治理和生态系统恢复</w:t>
            </w:r>
          </w:p>
        </w:tc>
        <w:tc>
          <w:tcPr>
            <w:tcW w:w="252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p>
        </w:tc>
      </w:tr>
      <w:tr w:rsidR="00375FE8" w:rsidRPr="006B0B47" w:rsidTr="002A0DEA">
        <w:trPr>
          <w:cantSplit/>
          <w:jc w:val="center"/>
        </w:trPr>
        <w:tc>
          <w:tcPr>
            <w:tcW w:w="1795" w:type="dxa"/>
            <w:vMerge w:val="restart"/>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eastAsia="zh-CN"/>
              </w:rPr>
            </w:pPr>
            <w:r w:rsidRPr="006B0B47">
              <w:rPr>
                <w:rFonts w:eastAsiaTheme="minorEastAsia"/>
                <w:bCs/>
                <w:kern w:val="22"/>
                <w:sz w:val="22"/>
                <w:szCs w:val="22"/>
                <w:lang w:val="zh-CN" w:eastAsia="zh-CN"/>
              </w:rPr>
              <w:t>雨量不稳</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eastAsia="zh-CN"/>
              </w:rPr>
            </w:pPr>
            <w:r w:rsidRPr="006B0B47">
              <w:rPr>
                <w:rFonts w:eastAsiaTheme="minorEastAsia"/>
                <w:bCs/>
                <w:kern w:val="22"/>
                <w:sz w:val="22"/>
                <w:szCs w:val="22"/>
                <w:lang w:val="zh-CN" w:eastAsia="zh-CN"/>
              </w:rPr>
              <w:t>温度上升</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eastAsia="zh-CN"/>
              </w:rPr>
            </w:pPr>
            <w:r w:rsidRPr="006B0B47">
              <w:rPr>
                <w:rFonts w:eastAsiaTheme="minorEastAsia"/>
                <w:bCs/>
                <w:kern w:val="22"/>
                <w:sz w:val="22"/>
                <w:szCs w:val="22"/>
                <w:lang w:val="zh-CN" w:eastAsia="zh-CN"/>
              </w:rPr>
              <w:t>季节转换</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lang w:eastAsia="zh-CN"/>
              </w:rPr>
            </w:pPr>
            <w:r w:rsidRPr="006B0B47">
              <w:rPr>
                <w:rFonts w:eastAsiaTheme="minorEastAsia"/>
                <w:bCs/>
                <w:kern w:val="22"/>
                <w:sz w:val="22"/>
                <w:szCs w:val="22"/>
                <w:lang w:val="zh-CN" w:eastAsia="zh-CN"/>
              </w:rPr>
              <w:t>干旱</w:t>
            </w:r>
          </w:p>
        </w:tc>
        <w:tc>
          <w:tcPr>
            <w:tcW w:w="1350" w:type="dxa"/>
            <w:vMerge w:val="restart"/>
          </w:tcPr>
          <w:p w:rsidR="00375FE8" w:rsidRPr="006B0B47" w:rsidRDefault="00375FE8" w:rsidP="00650F1F">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农业和旱地</w:t>
            </w: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lang w:eastAsia="zh-CN"/>
              </w:rPr>
            </w:pPr>
            <w:r w:rsidRPr="006B0B47">
              <w:rPr>
                <w:rFonts w:eastAsiaTheme="minorEastAsia"/>
                <w:bCs/>
                <w:kern w:val="22"/>
                <w:sz w:val="22"/>
                <w:szCs w:val="22"/>
                <w:lang w:val="zh-CN" w:eastAsia="zh-CN"/>
              </w:rPr>
              <w:t>生态系统的恢复和农林业</w:t>
            </w:r>
          </w:p>
        </w:tc>
        <w:tc>
          <w:tcPr>
            <w:tcW w:w="2525" w:type="dxa"/>
            <w:vMerge w:val="restart"/>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提高水储存能力</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适应高温</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适应季节转换</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改善供水</w:t>
            </w:r>
          </w:p>
        </w:tc>
      </w:tr>
      <w:tr w:rsidR="00375FE8" w:rsidRPr="006B0B47" w:rsidTr="002A0DEA">
        <w:trPr>
          <w:cantSplit/>
          <w:jc w:val="center"/>
        </w:trPr>
        <w:tc>
          <w:tcPr>
            <w:tcW w:w="179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eastAsia="zh-CN"/>
              </w:rPr>
            </w:pPr>
          </w:p>
        </w:tc>
        <w:tc>
          <w:tcPr>
            <w:tcW w:w="1350" w:type="dxa"/>
            <w:vMerge/>
          </w:tcPr>
          <w:p w:rsidR="00375FE8" w:rsidRPr="006B0B47" w:rsidRDefault="00375FE8" w:rsidP="00650F1F">
            <w:pPr>
              <w:suppressLineNumbers/>
              <w:suppressAutoHyphens/>
              <w:kinsoku w:val="0"/>
              <w:overflowPunct w:val="0"/>
              <w:autoSpaceDE w:val="0"/>
              <w:autoSpaceDN w:val="0"/>
              <w:adjustRightInd w:val="0"/>
              <w:snapToGrid w:val="0"/>
              <w:spacing w:before="0" w:after="0"/>
              <w:jc w:val="left"/>
              <w:rPr>
                <w:rFonts w:eastAsiaTheme="minorEastAsia"/>
                <w:bCs/>
                <w:kern w:val="22"/>
                <w:lang w:eastAsia="zh-CN"/>
              </w:rPr>
            </w:pP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lang w:eastAsia="zh-CN"/>
              </w:rPr>
            </w:pPr>
            <w:r w:rsidRPr="006B0B47">
              <w:rPr>
                <w:rFonts w:eastAsiaTheme="minorEastAsia"/>
                <w:bCs/>
                <w:sz w:val="22"/>
                <w:szCs w:val="22"/>
                <w:lang w:val="zh-CN" w:eastAsia="zh-CN"/>
              </w:rPr>
              <w:t>作物间作和适应的物种</w:t>
            </w:r>
          </w:p>
        </w:tc>
        <w:tc>
          <w:tcPr>
            <w:tcW w:w="252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eastAsia="zh-CN"/>
              </w:rPr>
            </w:pPr>
          </w:p>
        </w:tc>
      </w:tr>
      <w:tr w:rsidR="00375FE8" w:rsidRPr="006B0B47" w:rsidTr="002A0DEA">
        <w:trPr>
          <w:cantSplit/>
          <w:jc w:val="center"/>
        </w:trPr>
        <w:tc>
          <w:tcPr>
            <w:tcW w:w="179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eastAsia="zh-CN"/>
              </w:rPr>
            </w:pPr>
          </w:p>
        </w:tc>
        <w:tc>
          <w:tcPr>
            <w:tcW w:w="1350" w:type="dxa"/>
            <w:vMerge/>
          </w:tcPr>
          <w:p w:rsidR="00375FE8" w:rsidRPr="006B0B47" w:rsidRDefault="00375FE8" w:rsidP="00650F1F">
            <w:pPr>
              <w:suppressLineNumbers/>
              <w:suppressAutoHyphens/>
              <w:kinsoku w:val="0"/>
              <w:overflowPunct w:val="0"/>
              <w:autoSpaceDE w:val="0"/>
              <w:autoSpaceDN w:val="0"/>
              <w:adjustRightInd w:val="0"/>
              <w:snapToGrid w:val="0"/>
              <w:spacing w:before="0" w:after="0"/>
              <w:jc w:val="left"/>
              <w:rPr>
                <w:rFonts w:eastAsiaTheme="minorEastAsia"/>
                <w:bCs/>
                <w:kern w:val="22"/>
                <w:lang w:eastAsia="zh-CN"/>
              </w:rPr>
            </w:pP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lang w:eastAsia="zh-CN"/>
              </w:rPr>
            </w:pPr>
            <w:r w:rsidRPr="006B0B47">
              <w:rPr>
                <w:rFonts w:eastAsiaTheme="minorEastAsia"/>
                <w:bCs/>
                <w:kern w:val="22"/>
                <w:sz w:val="22"/>
                <w:szCs w:val="22"/>
                <w:lang w:val="zh-CN" w:eastAsia="zh-CN"/>
              </w:rPr>
              <w:t>使用树木适应变干的季节</w:t>
            </w:r>
          </w:p>
        </w:tc>
        <w:tc>
          <w:tcPr>
            <w:tcW w:w="252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eastAsia="zh-CN"/>
              </w:rPr>
            </w:pPr>
          </w:p>
        </w:tc>
      </w:tr>
      <w:tr w:rsidR="00375FE8" w:rsidRPr="006B0B47" w:rsidTr="002A0DEA">
        <w:trPr>
          <w:cantSplit/>
          <w:jc w:val="center"/>
        </w:trPr>
        <w:tc>
          <w:tcPr>
            <w:tcW w:w="179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eastAsia="zh-CN"/>
              </w:rPr>
            </w:pPr>
          </w:p>
        </w:tc>
        <w:tc>
          <w:tcPr>
            <w:tcW w:w="1350" w:type="dxa"/>
            <w:vMerge/>
          </w:tcPr>
          <w:p w:rsidR="00375FE8" w:rsidRPr="006B0B47" w:rsidRDefault="00375FE8" w:rsidP="00650F1F">
            <w:pPr>
              <w:suppressLineNumbers/>
              <w:suppressAutoHyphens/>
              <w:kinsoku w:val="0"/>
              <w:overflowPunct w:val="0"/>
              <w:autoSpaceDE w:val="0"/>
              <w:autoSpaceDN w:val="0"/>
              <w:adjustRightInd w:val="0"/>
              <w:snapToGrid w:val="0"/>
              <w:spacing w:before="0" w:after="0"/>
              <w:jc w:val="left"/>
              <w:rPr>
                <w:rFonts w:eastAsiaTheme="minorEastAsia"/>
                <w:bCs/>
                <w:kern w:val="22"/>
                <w:lang w:eastAsia="zh-CN"/>
              </w:rPr>
            </w:pP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lang w:eastAsia="zh-CN"/>
              </w:rPr>
            </w:pPr>
            <w:r w:rsidRPr="006B0B47">
              <w:rPr>
                <w:rFonts w:eastAsiaTheme="minorEastAsia"/>
                <w:bCs/>
                <w:kern w:val="22"/>
                <w:sz w:val="22"/>
                <w:szCs w:val="22"/>
                <w:lang w:val="zh-CN" w:eastAsia="zh-CN"/>
              </w:rPr>
              <w:t>可持续的牲畜管理和和草场恢复</w:t>
            </w:r>
          </w:p>
        </w:tc>
        <w:tc>
          <w:tcPr>
            <w:tcW w:w="252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eastAsia="zh-CN"/>
              </w:rPr>
            </w:pPr>
          </w:p>
        </w:tc>
      </w:tr>
      <w:tr w:rsidR="00375FE8" w:rsidRPr="006B0B47" w:rsidTr="002A0DEA">
        <w:trPr>
          <w:cantSplit/>
          <w:jc w:val="center"/>
        </w:trPr>
        <w:tc>
          <w:tcPr>
            <w:tcW w:w="179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eastAsia="zh-CN"/>
              </w:rPr>
            </w:pPr>
          </w:p>
        </w:tc>
        <w:tc>
          <w:tcPr>
            <w:tcW w:w="1350" w:type="dxa"/>
            <w:vMerge/>
          </w:tcPr>
          <w:p w:rsidR="00375FE8" w:rsidRPr="006B0B47" w:rsidRDefault="00375FE8" w:rsidP="00650F1F">
            <w:pPr>
              <w:suppressLineNumbers/>
              <w:suppressAutoHyphens/>
              <w:kinsoku w:val="0"/>
              <w:overflowPunct w:val="0"/>
              <w:autoSpaceDE w:val="0"/>
              <w:autoSpaceDN w:val="0"/>
              <w:adjustRightInd w:val="0"/>
              <w:snapToGrid w:val="0"/>
              <w:spacing w:before="0" w:after="0"/>
              <w:jc w:val="left"/>
              <w:rPr>
                <w:rFonts w:eastAsiaTheme="minorEastAsia"/>
                <w:bCs/>
                <w:kern w:val="22"/>
                <w:lang w:eastAsia="zh-CN"/>
              </w:rPr>
            </w:pP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通过旱地管理增进抗旱能力</w:t>
            </w:r>
          </w:p>
        </w:tc>
        <w:tc>
          <w:tcPr>
            <w:tcW w:w="252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eastAsia="zh-CN"/>
              </w:rPr>
            </w:pPr>
          </w:p>
        </w:tc>
      </w:tr>
      <w:tr w:rsidR="00375FE8" w:rsidRPr="006B0B47" w:rsidTr="002A0DEA">
        <w:trPr>
          <w:cantSplit/>
          <w:trHeight w:val="256"/>
          <w:jc w:val="center"/>
        </w:trPr>
        <w:tc>
          <w:tcPr>
            <w:tcW w:w="1795" w:type="dxa"/>
            <w:vMerge w:val="restart"/>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val="zh-CN" w:eastAsia="zh-CN"/>
              </w:rPr>
            </w:pPr>
            <w:r w:rsidRPr="006B0B47">
              <w:rPr>
                <w:rFonts w:eastAsiaTheme="minorEastAsia"/>
                <w:bCs/>
                <w:kern w:val="22"/>
                <w:sz w:val="22"/>
                <w:szCs w:val="22"/>
                <w:lang w:val="zh-CN" w:eastAsia="zh-CN"/>
              </w:rPr>
              <w:t>炎热气温</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val="zh-CN" w:eastAsia="zh-CN"/>
              </w:rPr>
            </w:pPr>
            <w:r w:rsidRPr="006B0B47">
              <w:rPr>
                <w:rFonts w:eastAsiaTheme="minorEastAsia"/>
                <w:bCs/>
                <w:kern w:val="22"/>
                <w:sz w:val="22"/>
                <w:szCs w:val="22"/>
                <w:lang w:val="zh-CN" w:eastAsia="zh-CN"/>
              </w:rPr>
              <w:t>温度上升</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val="zh-CN" w:eastAsia="zh-CN"/>
              </w:rPr>
            </w:pPr>
            <w:r w:rsidRPr="006B0B47">
              <w:rPr>
                <w:rFonts w:eastAsiaTheme="minorEastAsia"/>
                <w:bCs/>
                <w:kern w:val="22"/>
                <w:sz w:val="22"/>
                <w:szCs w:val="22"/>
                <w:lang w:val="zh-CN" w:eastAsia="zh-CN"/>
              </w:rPr>
              <w:t>洪水</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val="zh-CN" w:eastAsia="zh-CN"/>
              </w:rPr>
            </w:pPr>
            <w:r w:rsidRPr="006B0B47">
              <w:rPr>
                <w:rFonts w:eastAsiaTheme="minorEastAsia"/>
                <w:bCs/>
                <w:kern w:val="22"/>
                <w:sz w:val="22"/>
                <w:szCs w:val="22"/>
                <w:lang w:val="zh-CN" w:eastAsia="zh-CN"/>
              </w:rPr>
              <w:t>雨量不稳</w:t>
            </w:r>
          </w:p>
        </w:tc>
        <w:tc>
          <w:tcPr>
            <w:tcW w:w="1350" w:type="dxa"/>
            <w:vMerge w:val="restart"/>
          </w:tcPr>
          <w:p w:rsidR="00375FE8" w:rsidRPr="006B0B47" w:rsidRDefault="00375FE8" w:rsidP="00650F1F">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城市</w:t>
            </w: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建立绿色通风廊道</w:t>
            </w:r>
          </w:p>
        </w:tc>
        <w:tc>
          <w:tcPr>
            <w:tcW w:w="2525" w:type="dxa"/>
            <w:vMerge w:val="restart"/>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eastAsia="zh-CN"/>
              </w:rPr>
            </w:pPr>
            <w:r w:rsidRPr="006B0B47">
              <w:rPr>
                <w:rFonts w:eastAsiaTheme="minorEastAsia"/>
                <w:bCs/>
                <w:kern w:val="22"/>
                <w:sz w:val="22"/>
                <w:szCs w:val="22"/>
                <w:lang w:val="zh-CN" w:eastAsia="zh-CN"/>
              </w:rPr>
              <w:t>热浪缓冲</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eastAsia="zh-CN"/>
              </w:rPr>
            </w:pPr>
            <w:r w:rsidRPr="006B0B47">
              <w:rPr>
                <w:rFonts w:eastAsiaTheme="minorEastAsia"/>
                <w:bCs/>
                <w:kern w:val="22"/>
                <w:sz w:val="22"/>
                <w:szCs w:val="22"/>
                <w:lang w:val="zh-CN" w:eastAsia="zh-CN"/>
              </w:rPr>
              <w:t>适应高温</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eastAsia="zh-CN"/>
              </w:rPr>
            </w:pPr>
            <w:r w:rsidRPr="006B0B47">
              <w:rPr>
                <w:rFonts w:eastAsiaTheme="minorEastAsia"/>
                <w:bCs/>
                <w:kern w:val="22"/>
                <w:sz w:val="22"/>
                <w:szCs w:val="22"/>
                <w:lang w:val="zh-CN" w:eastAsia="zh-CN"/>
              </w:rPr>
              <w:t>降低洪水风险</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lang w:eastAsia="zh-CN"/>
              </w:rPr>
            </w:pPr>
            <w:r w:rsidRPr="006B0B47">
              <w:rPr>
                <w:rFonts w:eastAsiaTheme="minorEastAsia"/>
                <w:bCs/>
                <w:kern w:val="22"/>
                <w:sz w:val="22"/>
                <w:szCs w:val="22"/>
                <w:lang w:val="zh-CN" w:eastAsia="zh-CN"/>
              </w:rPr>
              <w:t>改善水事监管</w:t>
            </w:r>
          </w:p>
        </w:tc>
      </w:tr>
      <w:tr w:rsidR="00375FE8" w:rsidRPr="006B0B47" w:rsidTr="002A0DEA">
        <w:trPr>
          <w:cantSplit/>
          <w:trHeight w:val="107"/>
          <w:jc w:val="center"/>
        </w:trPr>
        <w:tc>
          <w:tcPr>
            <w:tcW w:w="179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val="zh-CN" w:eastAsia="zh-CN"/>
              </w:rPr>
            </w:pPr>
          </w:p>
        </w:tc>
        <w:tc>
          <w:tcPr>
            <w:tcW w:w="1350" w:type="dxa"/>
            <w:vMerge/>
          </w:tcPr>
          <w:p w:rsidR="00375FE8" w:rsidRPr="006B0B47" w:rsidRDefault="00375FE8" w:rsidP="00650F1F">
            <w:pPr>
              <w:suppressLineNumbers/>
              <w:suppressAutoHyphens/>
              <w:kinsoku w:val="0"/>
              <w:overflowPunct w:val="0"/>
              <w:autoSpaceDE w:val="0"/>
              <w:autoSpaceDN w:val="0"/>
              <w:adjustRightInd w:val="0"/>
              <w:snapToGrid w:val="0"/>
              <w:spacing w:before="0" w:after="0"/>
              <w:ind w:firstLine="157"/>
              <w:jc w:val="left"/>
              <w:rPr>
                <w:rFonts w:eastAsiaTheme="minorEastAsia"/>
                <w:bCs/>
                <w:kern w:val="22"/>
                <w:lang w:val="zh-CN" w:eastAsia="zh-CN"/>
              </w:rPr>
            </w:pP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建立绿色空间管理暴雨水量</w:t>
            </w:r>
          </w:p>
        </w:tc>
        <w:tc>
          <w:tcPr>
            <w:tcW w:w="252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eastAsia="zh-CN"/>
              </w:rPr>
            </w:pPr>
          </w:p>
        </w:tc>
      </w:tr>
      <w:tr w:rsidR="00375FE8" w:rsidRPr="006B0B47" w:rsidTr="002A0DEA">
        <w:trPr>
          <w:cantSplit/>
          <w:jc w:val="center"/>
        </w:trPr>
        <w:tc>
          <w:tcPr>
            <w:tcW w:w="179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val="zh-CN" w:eastAsia="zh-CN"/>
              </w:rPr>
            </w:pPr>
          </w:p>
        </w:tc>
        <w:tc>
          <w:tcPr>
            <w:tcW w:w="1350" w:type="dxa"/>
            <w:vMerge/>
          </w:tcPr>
          <w:p w:rsidR="00375FE8" w:rsidRPr="006B0B47" w:rsidRDefault="00375FE8" w:rsidP="00650F1F">
            <w:pPr>
              <w:suppressLineNumbers/>
              <w:suppressAutoHyphens/>
              <w:kinsoku w:val="0"/>
              <w:overflowPunct w:val="0"/>
              <w:autoSpaceDE w:val="0"/>
              <w:autoSpaceDN w:val="0"/>
              <w:adjustRightInd w:val="0"/>
              <w:snapToGrid w:val="0"/>
              <w:spacing w:before="0" w:after="0"/>
              <w:ind w:firstLine="157"/>
              <w:jc w:val="left"/>
              <w:rPr>
                <w:rFonts w:eastAsiaTheme="minorEastAsia"/>
                <w:bCs/>
                <w:kern w:val="22"/>
                <w:lang w:val="zh-CN" w:eastAsia="zh-CN"/>
              </w:rPr>
            </w:pP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恢复城市河流</w:t>
            </w:r>
          </w:p>
        </w:tc>
        <w:tc>
          <w:tcPr>
            <w:tcW w:w="252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eastAsia="zh-CN"/>
              </w:rPr>
            </w:pPr>
          </w:p>
        </w:tc>
      </w:tr>
      <w:tr w:rsidR="00375FE8" w:rsidRPr="006B0B47" w:rsidTr="002A0DEA">
        <w:trPr>
          <w:cantSplit/>
          <w:jc w:val="center"/>
        </w:trPr>
        <w:tc>
          <w:tcPr>
            <w:tcW w:w="179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val="zh-CN" w:eastAsia="zh-CN"/>
              </w:rPr>
            </w:pPr>
          </w:p>
        </w:tc>
        <w:tc>
          <w:tcPr>
            <w:tcW w:w="1350" w:type="dxa"/>
            <w:vMerge/>
          </w:tcPr>
          <w:p w:rsidR="00375FE8" w:rsidRPr="006B0B47" w:rsidRDefault="00375FE8" w:rsidP="00650F1F">
            <w:pPr>
              <w:suppressLineNumbers/>
              <w:suppressAutoHyphens/>
              <w:kinsoku w:val="0"/>
              <w:overflowPunct w:val="0"/>
              <w:autoSpaceDE w:val="0"/>
              <w:autoSpaceDN w:val="0"/>
              <w:adjustRightInd w:val="0"/>
              <w:snapToGrid w:val="0"/>
              <w:spacing w:before="0" w:after="0"/>
              <w:ind w:firstLine="157"/>
              <w:jc w:val="left"/>
              <w:rPr>
                <w:rFonts w:eastAsiaTheme="minorEastAsia"/>
                <w:bCs/>
                <w:kern w:val="22"/>
                <w:lang w:val="zh-CN" w:eastAsia="zh-CN"/>
              </w:rPr>
            </w:pP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建立建筑物绿色外墙</w:t>
            </w:r>
          </w:p>
        </w:tc>
        <w:tc>
          <w:tcPr>
            <w:tcW w:w="2525" w:type="dxa"/>
            <w:vMerge/>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eastAsia="zh-CN"/>
              </w:rPr>
            </w:pPr>
          </w:p>
        </w:tc>
      </w:tr>
      <w:tr w:rsidR="00375FE8" w:rsidRPr="006B0B47" w:rsidTr="002A0DEA">
        <w:trPr>
          <w:cantSplit/>
          <w:jc w:val="center"/>
        </w:trPr>
        <w:tc>
          <w:tcPr>
            <w:tcW w:w="1795" w:type="dxa"/>
            <w:vMerge w:val="restart"/>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val="zh-CN" w:eastAsia="zh-CN"/>
              </w:rPr>
            </w:pPr>
            <w:r w:rsidRPr="006B0B47">
              <w:rPr>
                <w:rFonts w:eastAsiaTheme="minorEastAsia"/>
                <w:bCs/>
                <w:kern w:val="22"/>
                <w:sz w:val="22"/>
                <w:szCs w:val="22"/>
                <w:lang w:val="zh-CN" w:eastAsia="zh-CN"/>
              </w:rPr>
              <w:t>暴雨肆虐</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val="zh-CN" w:eastAsia="zh-CN"/>
              </w:rPr>
            </w:pPr>
            <w:r w:rsidRPr="006B0B47">
              <w:rPr>
                <w:rFonts w:eastAsiaTheme="minorEastAsia"/>
                <w:bCs/>
                <w:kern w:val="22"/>
                <w:sz w:val="22"/>
                <w:szCs w:val="22"/>
                <w:lang w:val="zh-CN" w:eastAsia="zh-CN"/>
              </w:rPr>
              <w:t>气旋</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val="zh-CN" w:eastAsia="zh-CN"/>
              </w:rPr>
            </w:pPr>
            <w:r w:rsidRPr="006B0B47">
              <w:rPr>
                <w:rFonts w:eastAsiaTheme="minorEastAsia"/>
                <w:bCs/>
                <w:kern w:val="22"/>
                <w:sz w:val="22"/>
                <w:szCs w:val="22"/>
                <w:lang w:val="zh-CN" w:eastAsia="zh-CN"/>
              </w:rPr>
              <w:t>海平面上升</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val="zh-CN" w:eastAsia="zh-CN"/>
              </w:rPr>
            </w:pPr>
            <w:r w:rsidRPr="006B0B47">
              <w:rPr>
                <w:rFonts w:eastAsiaTheme="minorEastAsia"/>
                <w:bCs/>
                <w:kern w:val="22"/>
                <w:sz w:val="22"/>
                <w:szCs w:val="22"/>
                <w:lang w:val="zh-CN" w:eastAsia="zh-CN"/>
              </w:rPr>
              <w:t>盐碱化</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val="zh-CN" w:eastAsia="zh-CN"/>
              </w:rPr>
            </w:pPr>
            <w:r w:rsidRPr="006B0B47">
              <w:rPr>
                <w:rFonts w:eastAsiaTheme="minorEastAsia"/>
                <w:bCs/>
                <w:kern w:val="22"/>
                <w:sz w:val="22"/>
                <w:szCs w:val="22"/>
                <w:lang w:val="zh-CN" w:eastAsia="zh-CN"/>
              </w:rPr>
              <w:t>温度上升</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67"/>
              <w:jc w:val="left"/>
              <w:rPr>
                <w:rFonts w:eastAsiaTheme="minorEastAsia"/>
                <w:bCs/>
                <w:kern w:val="22"/>
                <w:lang w:val="zh-CN" w:eastAsia="zh-CN"/>
              </w:rPr>
            </w:pPr>
            <w:r w:rsidRPr="006B0B47">
              <w:rPr>
                <w:rFonts w:eastAsiaTheme="minorEastAsia"/>
                <w:bCs/>
                <w:kern w:val="22"/>
                <w:sz w:val="22"/>
                <w:szCs w:val="22"/>
                <w:lang w:val="zh-CN" w:eastAsia="zh-CN"/>
              </w:rPr>
              <w:t>海洋酸化</w:t>
            </w:r>
          </w:p>
        </w:tc>
        <w:tc>
          <w:tcPr>
            <w:tcW w:w="1350" w:type="dxa"/>
            <w:vMerge w:val="restart"/>
          </w:tcPr>
          <w:p w:rsidR="00375FE8" w:rsidRPr="006B0B47" w:rsidRDefault="00375FE8" w:rsidP="00650F1F">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海洋和沿海地区</w:t>
            </w: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val="zh-CN" w:eastAsia="zh-CN"/>
              </w:rPr>
            </w:pPr>
            <w:r w:rsidRPr="006B0B47">
              <w:rPr>
                <w:rFonts w:eastAsiaTheme="minorEastAsia"/>
                <w:bCs/>
                <w:kern w:val="22"/>
                <w:sz w:val="22"/>
                <w:szCs w:val="22"/>
                <w:lang w:val="zh-CN" w:eastAsia="zh-CN"/>
              </w:rPr>
              <w:t>红树林的恢复和保护沿岸地区</w:t>
            </w:r>
          </w:p>
        </w:tc>
        <w:tc>
          <w:tcPr>
            <w:tcW w:w="2525" w:type="dxa"/>
            <w:vMerge w:val="restart"/>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eastAsia="zh-CN"/>
              </w:rPr>
            </w:pPr>
            <w:r w:rsidRPr="006B0B47">
              <w:rPr>
                <w:rFonts w:eastAsiaTheme="minorEastAsia"/>
                <w:bCs/>
                <w:kern w:val="22"/>
                <w:sz w:val="22"/>
                <w:szCs w:val="22"/>
                <w:lang w:val="zh-CN" w:eastAsia="zh-CN"/>
              </w:rPr>
              <w:t>降低暴雨和旋风风险</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eastAsia="zh-CN"/>
              </w:rPr>
            </w:pPr>
            <w:r w:rsidRPr="006B0B47">
              <w:rPr>
                <w:rFonts w:eastAsiaTheme="minorEastAsia"/>
                <w:bCs/>
                <w:kern w:val="22"/>
                <w:sz w:val="22"/>
                <w:szCs w:val="22"/>
                <w:lang w:val="zh-CN" w:eastAsia="zh-CN"/>
              </w:rPr>
              <w:t>降低洪水风险</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kern w:val="22"/>
                <w:lang w:eastAsia="zh-CN"/>
              </w:rPr>
            </w:pPr>
            <w:r w:rsidRPr="006B0B47">
              <w:rPr>
                <w:rFonts w:eastAsiaTheme="minorEastAsia"/>
                <w:bCs/>
                <w:kern w:val="22"/>
                <w:sz w:val="22"/>
                <w:szCs w:val="22"/>
                <w:lang w:val="zh-CN" w:eastAsia="zh-CN"/>
              </w:rPr>
              <w:t>改善水质</w:t>
            </w:r>
          </w:p>
          <w:p w:rsidR="00375FE8" w:rsidRPr="006B0B47" w:rsidRDefault="00375FE8" w:rsidP="00BB6C4C">
            <w:pPr>
              <w:suppressLineNumbers/>
              <w:suppressAutoHyphens/>
              <w:kinsoku w:val="0"/>
              <w:overflowPunct w:val="0"/>
              <w:autoSpaceDE w:val="0"/>
              <w:autoSpaceDN w:val="0"/>
              <w:adjustRightInd w:val="0"/>
              <w:snapToGrid w:val="0"/>
              <w:spacing w:before="0" w:after="0"/>
              <w:ind w:firstLine="0"/>
              <w:jc w:val="left"/>
              <w:rPr>
                <w:rFonts w:eastAsiaTheme="minorEastAsia"/>
                <w:bCs/>
                <w:lang w:eastAsia="zh-CN"/>
              </w:rPr>
            </w:pPr>
            <w:r w:rsidRPr="006B0B47">
              <w:rPr>
                <w:rFonts w:eastAsiaTheme="minorEastAsia"/>
                <w:bCs/>
                <w:kern w:val="22"/>
                <w:sz w:val="22"/>
                <w:szCs w:val="22"/>
                <w:lang w:val="zh-CN" w:eastAsia="zh-CN"/>
              </w:rPr>
              <w:t>适应高温</w:t>
            </w:r>
          </w:p>
        </w:tc>
      </w:tr>
      <w:tr w:rsidR="00375FE8" w:rsidRPr="006B0B47" w:rsidTr="002A0DEA">
        <w:trPr>
          <w:cantSplit/>
          <w:trHeight w:val="268"/>
          <w:jc w:val="center"/>
        </w:trPr>
        <w:tc>
          <w:tcPr>
            <w:tcW w:w="1795" w:type="dxa"/>
            <w:vMerge/>
          </w:tcPr>
          <w:p w:rsidR="00375FE8" w:rsidRPr="006B0B47" w:rsidRDefault="00375FE8" w:rsidP="005F5897">
            <w:pPr>
              <w:suppressLineNumbers/>
              <w:suppressAutoHyphens/>
              <w:kinsoku w:val="0"/>
              <w:overflowPunct w:val="0"/>
              <w:autoSpaceDE w:val="0"/>
              <w:autoSpaceDN w:val="0"/>
              <w:adjustRightInd w:val="0"/>
              <w:snapToGrid w:val="0"/>
              <w:spacing w:before="0" w:after="0"/>
              <w:contextualSpacing/>
              <w:rPr>
                <w:rFonts w:eastAsiaTheme="minorEastAsia"/>
                <w:bCs/>
                <w:kern w:val="22"/>
                <w:lang w:eastAsia="zh-CN"/>
              </w:rPr>
            </w:pPr>
          </w:p>
        </w:tc>
        <w:tc>
          <w:tcPr>
            <w:tcW w:w="1350" w:type="dxa"/>
            <w:vMerge/>
          </w:tcPr>
          <w:p w:rsidR="00375FE8" w:rsidRPr="006B0B47" w:rsidRDefault="00375FE8" w:rsidP="005F5897">
            <w:pPr>
              <w:suppressLineNumbers/>
              <w:suppressAutoHyphens/>
              <w:kinsoku w:val="0"/>
              <w:overflowPunct w:val="0"/>
              <w:autoSpaceDE w:val="0"/>
              <w:autoSpaceDN w:val="0"/>
              <w:adjustRightInd w:val="0"/>
              <w:snapToGrid w:val="0"/>
              <w:spacing w:before="0" w:after="0"/>
              <w:contextualSpacing/>
              <w:rPr>
                <w:rFonts w:eastAsiaTheme="minorEastAsia"/>
                <w:bCs/>
                <w:kern w:val="22"/>
                <w:lang w:eastAsia="zh-CN"/>
              </w:rPr>
            </w:pP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contextualSpacing/>
              <w:jc w:val="left"/>
              <w:rPr>
                <w:rFonts w:eastAsiaTheme="minorEastAsia"/>
                <w:bCs/>
                <w:kern w:val="22"/>
                <w:lang w:val="zh-CN" w:eastAsia="zh-CN"/>
              </w:rPr>
            </w:pPr>
            <w:r w:rsidRPr="006B0B47">
              <w:rPr>
                <w:rFonts w:eastAsiaTheme="minorEastAsia"/>
                <w:bCs/>
                <w:kern w:val="22"/>
                <w:sz w:val="22"/>
                <w:szCs w:val="22"/>
                <w:lang w:val="zh-CN" w:eastAsia="zh-CN"/>
              </w:rPr>
              <w:t>调整沿海区域</w:t>
            </w:r>
          </w:p>
        </w:tc>
        <w:tc>
          <w:tcPr>
            <w:tcW w:w="2525" w:type="dxa"/>
            <w:vMerge/>
          </w:tcPr>
          <w:p w:rsidR="00375FE8" w:rsidRPr="006B0B47" w:rsidRDefault="00375FE8" w:rsidP="005F5897">
            <w:pPr>
              <w:suppressLineNumbers/>
              <w:suppressAutoHyphens/>
              <w:kinsoku w:val="0"/>
              <w:overflowPunct w:val="0"/>
              <w:autoSpaceDE w:val="0"/>
              <w:autoSpaceDN w:val="0"/>
              <w:adjustRightInd w:val="0"/>
              <w:snapToGrid w:val="0"/>
              <w:spacing w:before="0" w:after="0"/>
              <w:contextualSpacing/>
              <w:rPr>
                <w:rFonts w:eastAsiaTheme="minorEastAsia"/>
                <w:bCs/>
                <w:kern w:val="22"/>
                <w:lang w:eastAsia="zh-CN"/>
              </w:rPr>
            </w:pPr>
          </w:p>
        </w:tc>
      </w:tr>
      <w:tr w:rsidR="00375FE8" w:rsidRPr="006B0B47" w:rsidTr="002A0DEA">
        <w:trPr>
          <w:cantSplit/>
          <w:trHeight w:val="290"/>
          <w:jc w:val="center"/>
        </w:trPr>
        <w:tc>
          <w:tcPr>
            <w:tcW w:w="1795" w:type="dxa"/>
            <w:vMerge/>
          </w:tcPr>
          <w:p w:rsidR="00375FE8" w:rsidRPr="006B0B47" w:rsidRDefault="00375FE8" w:rsidP="005F5897">
            <w:pPr>
              <w:suppressLineNumbers/>
              <w:suppressAutoHyphens/>
              <w:kinsoku w:val="0"/>
              <w:overflowPunct w:val="0"/>
              <w:autoSpaceDE w:val="0"/>
              <w:autoSpaceDN w:val="0"/>
              <w:adjustRightInd w:val="0"/>
              <w:snapToGrid w:val="0"/>
              <w:spacing w:before="0" w:after="0"/>
              <w:contextualSpacing/>
              <w:rPr>
                <w:rFonts w:eastAsiaTheme="minorEastAsia"/>
                <w:bCs/>
                <w:kern w:val="22"/>
                <w:lang w:eastAsia="zh-CN"/>
              </w:rPr>
            </w:pPr>
          </w:p>
        </w:tc>
        <w:tc>
          <w:tcPr>
            <w:tcW w:w="1350" w:type="dxa"/>
            <w:vMerge/>
          </w:tcPr>
          <w:p w:rsidR="00375FE8" w:rsidRPr="006B0B47" w:rsidRDefault="00375FE8" w:rsidP="005F5897">
            <w:pPr>
              <w:suppressLineNumbers/>
              <w:suppressAutoHyphens/>
              <w:kinsoku w:val="0"/>
              <w:overflowPunct w:val="0"/>
              <w:autoSpaceDE w:val="0"/>
              <w:autoSpaceDN w:val="0"/>
              <w:adjustRightInd w:val="0"/>
              <w:snapToGrid w:val="0"/>
              <w:spacing w:before="0" w:after="0"/>
              <w:contextualSpacing/>
              <w:rPr>
                <w:rFonts w:eastAsiaTheme="minorEastAsia"/>
                <w:bCs/>
                <w:kern w:val="22"/>
                <w:lang w:eastAsia="zh-CN"/>
              </w:rPr>
            </w:pP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contextualSpacing/>
              <w:jc w:val="left"/>
              <w:rPr>
                <w:rFonts w:eastAsiaTheme="minorEastAsia"/>
                <w:bCs/>
                <w:kern w:val="22"/>
                <w:lang w:val="zh-CN" w:eastAsia="zh-CN"/>
              </w:rPr>
            </w:pPr>
            <w:r w:rsidRPr="006B0B47">
              <w:rPr>
                <w:rFonts w:eastAsiaTheme="minorEastAsia"/>
                <w:bCs/>
                <w:kern w:val="22"/>
                <w:sz w:val="22"/>
                <w:szCs w:val="22"/>
                <w:lang w:val="zh-CN" w:eastAsia="zh-CN"/>
              </w:rPr>
              <w:t>可持续渔捞和红树林复原</w:t>
            </w:r>
          </w:p>
        </w:tc>
        <w:tc>
          <w:tcPr>
            <w:tcW w:w="2525" w:type="dxa"/>
            <w:vMerge/>
          </w:tcPr>
          <w:p w:rsidR="00375FE8" w:rsidRPr="006B0B47" w:rsidRDefault="00375FE8" w:rsidP="005F5897">
            <w:pPr>
              <w:suppressLineNumbers/>
              <w:suppressAutoHyphens/>
              <w:kinsoku w:val="0"/>
              <w:overflowPunct w:val="0"/>
              <w:autoSpaceDE w:val="0"/>
              <w:autoSpaceDN w:val="0"/>
              <w:adjustRightInd w:val="0"/>
              <w:snapToGrid w:val="0"/>
              <w:spacing w:before="0" w:after="0"/>
              <w:contextualSpacing/>
              <w:rPr>
                <w:rFonts w:eastAsiaTheme="minorEastAsia"/>
                <w:bCs/>
                <w:kern w:val="22"/>
                <w:lang w:eastAsia="zh-CN"/>
              </w:rPr>
            </w:pPr>
          </w:p>
        </w:tc>
      </w:tr>
      <w:tr w:rsidR="00375FE8" w:rsidRPr="006B0B47" w:rsidTr="002A0DEA">
        <w:trPr>
          <w:cantSplit/>
          <w:jc w:val="center"/>
        </w:trPr>
        <w:tc>
          <w:tcPr>
            <w:tcW w:w="1795" w:type="dxa"/>
            <w:vMerge/>
          </w:tcPr>
          <w:p w:rsidR="00375FE8" w:rsidRPr="006B0B47" w:rsidRDefault="00375FE8" w:rsidP="005F5897">
            <w:pPr>
              <w:suppressLineNumbers/>
              <w:suppressAutoHyphens/>
              <w:kinsoku w:val="0"/>
              <w:overflowPunct w:val="0"/>
              <w:autoSpaceDE w:val="0"/>
              <w:autoSpaceDN w:val="0"/>
              <w:adjustRightInd w:val="0"/>
              <w:snapToGrid w:val="0"/>
              <w:spacing w:before="0" w:after="0"/>
              <w:contextualSpacing/>
              <w:rPr>
                <w:rFonts w:eastAsiaTheme="minorEastAsia"/>
                <w:bCs/>
                <w:kern w:val="22"/>
                <w:lang w:eastAsia="zh-CN"/>
              </w:rPr>
            </w:pPr>
          </w:p>
        </w:tc>
        <w:tc>
          <w:tcPr>
            <w:tcW w:w="1350" w:type="dxa"/>
            <w:vMerge/>
          </w:tcPr>
          <w:p w:rsidR="00375FE8" w:rsidRPr="006B0B47" w:rsidRDefault="00375FE8" w:rsidP="005F5897">
            <w:pPr>
              <w:suppressLineNumbers/>
              <w:suppressAutoHyphens/>
              <w:kinsoku w:val="0"/>
              <w:overflowPunct w:val="0"/>
              <w:autoSpaceDE w:val="0"/>
              <w:autoSpaceDN w:val="0"/>
              <w:adjustRightInd w:val="0"/>
              <w:snapToGrid w:val="0"/>
              <w:spacing w:before="0" w:after="0"/>
              <w:contextualSpacing/>
              <w:rPr>
                <w:rFonts w:eastAsiaTheme="minorEastAsia"/>
                <w:bCs/>
                <w:kern w:val="22"/>
                <w:lang w:eastAsia="zh-CN"/>
              </w:rPr>
            </w:pPr>
          </w:p>
        </w:tc>
        <w:tc>
          <w:tcPr>
            <w:tcW w:w="3685" w:type="dxa"/>
          </w:tcPr>
          <w:p w:rsidR="00375FE8" w:rsidRPr="006B0B47" w:rsidRDefault="00375FE8" w:rsidP="00BB6C4C">
            <w:pPr>
              <w:suppressLineNumbers/>
              <w:suppressAutoHyphens/>
              <w:kinsoku w:val="0"/>
              <w:overflowPunct w:val="0"/>
              <w:autoSpaceDE w:val="0"/>
              <w:autoSpaceDN w:val="0"/>
              <w:adjustRightInd w:val="0"/>
              <w:snapToGrid w:val="0"/>
              <w:spacing w:before="0" w:after="0"/>
              <w:ind w:firstLine="0"/>
              <w:contextualSpacing/>
              <w:jc w:val="left"/>
              <w:rPr>
                <w:rFonts w:eastAsiaTheme="minorEastAsia"/>
                <w:bCs/>
                <w:kern w:val="22"/>
                <w:lang w:val="zh-CN" w:eastAsia="zh-CN"/>
              </w:rPr>
            </w:pPr>
            <w:r w:rsidRPr="006B0B47">
              <w:rPr>
                <w:rFonts w:eastAsiaTheme="minorEastAsia"/>
                <w:bCs/>
                <w:kern w:val="22"/>
                <w:sz w:val="22"/>
                <w:szCs w:val="22"/>
                <w:lang w:val="zh-CN" w:eastAsia="zh-CN"/>
              </w:rPr>
              <w:t>珊瑚礁的恢复</w:t>
            </w:r>
          </w:p>
        </w:tc>
        <w:tc>
          <w:tcPr>
            <w:tcW w:w="2525" w:type="dxa"/>
            <w:vMerge/>
          </w:tcPr>
          <w:p w:rsidR="00375FE8" w:rsidRPr="006B0B47" w:rsidRDefault="00375FE8" w:rsidP="005F5897">
            <w:pPr>
              <w:suppressLineNumbers/>
              <w:suppressAutoHyphens/>
              <w:kinsoku w:val="0"/>
              <w:overflowPunct w:val="0"/>
              <w:autoSpaceDE w:val="0"/>
              <w:autoSpaceDN w:val="0"/>
              <w:adjustRightInd w:val="0"/>
              <w:snapToGrid w:val="0"/>
              <w:spacing w:before="0" w:after="0"/>
              <w:contextualSpacing/>
              <w:rPr>
                <w:rFonts w:eastAsiaTheme="minorEastAsia"/>
                <w:bCs/>
                <w:kern w:val="22"/>
                <w:lang w:eastAsia="zh-CN"/>
              </w:rPr>
            </w:pPr>
          </w:p>
        </w:tc>
      </w:tr>
    </w:tbl>
    <w:p w:rsidR="00375FE8" w:rsidRPr="002A0DEA" w:rsidRDefault="00375FE8" w:rsidP="005F5897">
      <w:pPr>
        <w:pStyle w:val="ListParagraph"/>
        <w:numPr>
          <w:ilvl w:val="0"/>
          <w:numId w:val="71"/>
        </w:numPr>
        <w:suppressLineNumbers/>
        <w:tabs>
          <w:tab w:val="left" w:pos="720"/>
        </w:tabs>
        <w:suppressAutoHyphens/>
        <w:kinsoku w:val="0"/>
        <w:overflowPunct w:val="0"/>
        <w:autoSpaceDE w:val="0"/>
        <w:autoSpaceDN w:val="0"/>
        <w:adjustRightInd w:val="0"/>
        <w:snapToGrid w:val="0"/>
        <w:spacing w:before="240"/>
        <w:ind w:left="0" w:firstLine="0"/>
        <w:contextualSpacing/>
        <w:rPr>
          <w:rFonts w:eastAsiaTheme="minorEastAsia"/>
          <w:kern w:val="22"/>
          <w:lang w:eastAsia="zh-CN"/>
        </w:rPr>
      </w:pPr>
      <w:r w:rsidRPr="002A0DEA">
        <w:rPr>
          <w:rFonts w:eastAsiaTheme="minorEastAsia"/>
          <w:kern w:val="22"/>
          <w:lang w:val="zh-CN" w:eastAsia="zh-CN"/>
        </w:rPr>
        <w:t>适应气候变化和减少灾害风险办法具有以下特性</w:t>
      </w:r>
      <w:r w:rsidRPr="002A0DEA">
        <w:rPr>
          <w:rFonts w:eastAsiaTheme="minorEastAsia"/>
          <w:kern w:val="22"/>
          <w:lang w:eastAsia="zh-CN"/>
        </w:rPr>
        <w:t>：</w:t>
      </w:r>
    </w:p>
    <w:p w:rsidR="00375FE8" w:rsidRPr="002A0DEA" w:rsidRDefault="00375FE8" w:rsidP="005B2709">
      <w:pPr>
        <w:widowControl w:val="0"/>
        <w:numPr>
          <w:ilvl w:val="0"/>
          <w:numId w:val="5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增强</w:t>
      </w:r>
      <w:r w:rsidRPr="002A0DEA">
        <w:rPr>
          <w:rFonts w:eastAsiaTheme="minorEastAsia"/>
          <w:bCs/>
          <w:kern w:val="22"/>
          <w:lang w:val="zh-CN" w:eastAsia="zh-CN"/>
        </w:rPr>
        <w:t>对于与气候变化影响相关的复原力和适应能力和降低对其的社会和环境脆弱性</w:t>
      </w:r>
      <w:r w:rsidRPr="002A0DEA">
        <w:rPr>
          <w:rFonts w:eastAsiaTheme="minorEastAsia"/>
          <w:bCs/>
          <w:kern w:val="22"/>
          <w:lang w:eastAsia="zh-CN"/>
        </w:rPr>
        <w:t>，</w:t>
      </w:r>
      <w:r w:rsidRPr="002A0DEA">
        <w:rPr>
          <w:rFonts w:eastAsiaTheme="minorEastAsia"/>
          <w:bCs/>
          <w:kern w:val="22"/>
          <w:lang w:val="zh-CN" w:eastAsia="zh-CN"/>
        </w:rPr>
        <w:t>促进逐步和变革性的适应和减少灾害风险；</w:t>
      </w:r>
    </w:p>
    <w:p w:rsidR="00375FE8" w:rsidRPr="002A0DEA" w:rsidRDefault="00375FE8" w:rsidP="000A1A91">
      <w:pPr>
        <w:numPr>
          <w:ilvl w:val="0"/>
          <w:numId w:val="5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val="zh-CN" w:eastAsia="zh-CN"/>
        </w:rPr>
        <w:t>利用公平、透明和参与性办法，推动可持续和具有复原力的发展</w:t>
      </w:r>
      <w:r w:rsidRPr="002A0DEA">
        <w:rPr>
          <w:rFonts w:eastAsiaTheme="minorEastAsia"/>
          <w:bCs/>
          <w:kern w:val="22"/>
          <w:lang w:eastAsia="zh-CN"/>
        </w:rPr>
        <w:t>，以期</w:t>
      </w:r>
      <w:r w:rsidRPr="002A0DEA">
        <w:rPr>
          <w:rFonts w:eastAsiaTheme="minorEastAsia"/>
          <w:bCs/>
          <w:kern w:val="22"/>
          <w:lang w:val="zh-CN" w:eastAsia="zh-CN"/>
        </w:rPr>
        <w:t>产生社会惠益</w:t>
      </w:r>
      <w:r w:rsidRPr="002A0DEA">
        <w:rPr>
          <w:rFonts w:eastAsiaTheme="minorEastAsia"/>
          <w:bCs/>
          <w:kern w:val="22"/>
          <w:lang w:eastAsia="zh-CN"/>
        </w:rPr>
        <w:t>；</w:t>
      </w:r>
    </w:p>
    <w:p w:rsidR="00375FE8" w:rsidRPr="002A0DEA" w:rsidRDefault="00375FE8" w:rsidP="000A1A91">
      <w:pPr>
        <w:numPr>
          <w:ilvl w:val="0"/>
          <w:numId w:val="5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val="zh-CN" w:eastAsia="zh-CN"/>
        </w:rPr>
        <w:t>通过可持续管理、养护和恢复生态系统，利用生物多样性和生态系统的功能和服务</w:t>
      </w:r>
      <w:r w:rsidRPr="002A0DEA">
        <w:rPr>
          <w:rFonts w:eastAsiaTheme="minorEastAsia"/>
          <w:bCs/>
          <w:kern w:val="22"/>
          <w:lang w:eastAsia="zh-CN"/>
        </w:rPr>
        <w:t>；</w:t>
      </w:r>
    </w:p>
    <w:p w:rsidR="00375FE8" w:rsidRPr="002A0DEA" w:rsidRDefault="00375FE8" w:rsidP="000A1A91">
      <w:pPr>
        <w:numPr>
          <w:ilvl w:val="0"/>
          <w:numId w:val="5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val="zh-CN" w:eastAsia="zh-CN"/>
        </w:rPr>
        <w:t>成为促进适应和减少风险总体战略的一部分</w:t>
      </w:r>
      <w:r w:rsidRPr="002A0DEA">
        <w:rPr>
          <w:rFonts w:eastAsiaTheme="minorEastAsia"/>
          <w:bCs/>
          <w:kern w:val="22"/>
          <w:lang w:eastAsia="zh-CN"/>
        </w:rPr>
        <w:t>，</w:t>
      </w:r>
      <w:r w:rsidRPr="002A0DEA">
        <w:rPr>
          <w:rFonts w:eastAsiaTheme="minorEastAsia"/>
          <w:bCs/>
          <w:kern w:val="22"/>
          <w:lang w:val="zh-CN" w:eastAsia="zh-CN"/>
        </w:rPr>
        <w:t>这些战略受到各个层级的政策的支持，并鼓励在提高能力的同时实行公平治理。</w:t>
      </w:r>
    </w:p>
    <w:p w:rsidR="00375FE8" w:rsidRPr="002A0DEA" w:rsidRDefault="00375FE8" w:rsidP="000A1A91">
      <w:pPr>
        <w:pStyle w:val="ListParagraph"/>
        <w:widowControl w:val="0"/>
        <w:numPr>
          <w:ilvl w:val="0"/>
          <w:numId w:val="56"/>
        </w:numPr>
        <w:suppressLineNumbers/>
        <w:suppressAutoHyphens/>
        <w:kinsoku w:val="0"/>
        <w:overflowPunct w:val="0"/>
        <w:autoSpaceDE w:val="0"/>
        <w:autoSpaceDN w:val="0"/>
        <w:adjustRightInd w:val="0"/>
        <w:snapToGrid w:val="0"/>
        <w:spacing w:before="240"/>
        <w:outlineLvl w:val="0"/>
        <w:rPr>
          <w:rFonts w:eastAsiaTheme="minorEastAsia"/>
          <w:b/>
          <w:kern w:val="22"/>
        </w:rPr>
      </w:pPr>
      <w:bookmarkStart w:id="54" w:name="_Toc6243674"/>
      <w:r w:rsidRPr="002A0DEA">
        <w:rPr>
          <w:rFonts w:eastAsiaTheme="minorEastAsia"/>
          <w:b/>
          <w:kern w:val="22"/>
          <w:lang w:val="zh-CN"/>
        </w:rPr>
        <w:t>原则和保障措施</w:t>
      </w:r>
      <w:bookmarkEnd w:id="54"/>
    </w:p>
    <w:p w:rsidR="00375FE8" w:rsidRPr="002A0DEA" w:rsidRDefault="00375FE8" w:rsidP="000A1A91">
      <w:pPr>
        <w:pStyle w:val="ListParagraph"/>
        <w:widowControl w:val="0"/>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lang w:eastAsia="zh-CN"/>
        </w:rPr>
      </w:pPr>
      <w:r w:rsidRPr="002A0DEA">
        <w:rPr>
          <w:rFonts w:eastAsiaTheme="minorEastAsia"/>
          <w:kern w:val="22"/>
          <w:lang w:val="zh-CN" w:eastAsia="zh-CN"/>
        </w:rPr>
        <w:t>自愿准则的基础是通过审查基于生态系统的适应和减少灾害风险的现有文献得出的原则和保障措施，</w:t>
      </w:r>
      <w:r w:rsidRPr="00BC1E75">
        <w:rPr>
          <w:rStyle w:val="FootnoteReference"/>
          <w:rFonts w:eastAsiaTheme="minorEastAsia"/>
          <w:kern w:val="22"/>
          <w:sz w:val="24"/>
          <w:u w:val="none"/>
          <w:vertAlign w:val="superscript"/>
          <w:lang w:val="zh-CN"/>
        </w:rPr>
        <w:footnoteReference w:id="56"/>
      </w:r>
      <w:r w:rsidRPr="00BC1E75">
        <w:rPr>
          <w:rFonts w:eastAsiaTheme="minorEastAsia"/>
          <w:kern w:val="22"/>
          <w:sz w:val="36"/>
          <w:vertAlign w:val="superscript"/>
          <w:lang w:val="zh-CN" w:eastAsia="zh-CN"/>
        </w:rPr>
        <w:t xml:space="preserve"> </w:t>
      </w:r>
      <w:r w:rsidRPr="002A0DEA">
        <w:rPr>
          <w:rFonts w:eastAsiaTheme="minorEastAsia"/>
          <w:kern w:val="22"/>
          <w:lang w:val="zh-CN" w:eastAsia="zh-CN"/>
        </w:rPr>
        <w:t>同时补充根据《公约》或其他机构通过的其他原则和准则。</w:t>
      </w:r>
      <w:r w:rsidRPr="002A0DEA">
        <w:rPr>
          <w:rFonts w:eastAsiaTheme="minorEastAsia"/>
          <w:kern w:val="22"/>
          <w:vertAlign w:val="superscript"/>
          <w:lang w:val="zh-CN"/>
        </w:rPr>
        <w:footnoteReference w:id="57"/>
      </w:r>
      <w:r w:rsidRPr="002A0DEA">
        <w:rPr>
          <w:rFonts w:eastAsiaTheme="minorEastAsia"/>
          <w:kern w:val="22"/>
          <w:lang w:val="zh-CN" w:eastAsia="zh-CN"/>
        </w:rPr>
        <w:t xml:space="preserve"> </w:t>
      </w:r>
      <w:r w:rsidRPr="002A0DEA">
        <w:rPr>
          <w:rFonts w:eastAsiaTheme="minorEastAsia"/>
          <w:kern w:val="22"/>
          <w:lang w:val="zh-CN" w:eastAsia="zh-CN"/>
        </w:rPr>
        <w:t>保障措施是避免基于生态系统的适应</w:t>
      </w:r>
      <w:r w:rsidRPr="002A0DEA">
        <w:rPr>
          <w:rFonts w:eastAsiaTheme="minorEastAsia"/>
          <w:kern w:val="22"/>
          <w:lang w:eastAsia="zh-CN"/>
        </w:rPr>
        <w:t>（</w:t>
      </w:r>
      <w:r w:rsidRPr="002A0DEA">
        <w:rPr>
          <w:rFonts w:eastAsiaTheme="minorEastAsia"/>
          <w:kern w:val="22"/>
          <w:lang w:eastAsia="zh-CN"/>
        </w:rPr>
        <w:t>EbA</w:t>
      </w:r>
      <w:r w:rsidRPr="002A0DEA">
        <w:rPr>
          <w:rFonts w:eastAsiaTheme="minorEastAsia"/>
          <w:kern w:val="22"/>
          <w:lang w:eastAsia="zh-CN"/>
        </w:rPr>
        <w:t>）</w:t>
      </w:r>
      <w:r w:rsidRPr="002A0DEA">
        <w:rPr>
          <w:rFonts w:eastAsiaTheme="minorEastAsia"/>
          <w:kern w:val="22"/>
          <w:lang w:val="zh-CN" w:eastAsia="zh-CN"/>
        </w:rPr>
        <w:t>和减少灾害风险</w:t>
      </w:r>
      <w:r w:rsidRPr="002A0DEA">
        <w:rPr>
          <w:rFonts w:eastAsiaTheme="minorEastAsia"/>
          <w:kern w:val="22"/>
          <w:lang w:eastAsia="zh-CN"/>
        </w:rPr>
        <w:t>（</w:t>
      </w:r>
      <w:r w:rsidRPr="002A0DEA">
        <w:rPr>
          <w:rFonts w:eastAsiaTheme="minorEastAsia"/>
          <w:kern w:val="22"/>
          <w:lang w:eastAsia="zh-CN"/>
        </w:rPr>
        <w:t>Eco-DRR</w:t>
      </w:r>
      <w:r w:rsidRPr="002A0DEA">
        <w:rPr>
          <w:rFonts w:eastAsiaTheme="minorEastAsia"/>
          <w:kern w:val="22"/>
          <w:lang w:eastAsia="zh-CN"/>
        </w:rPr>
        <w:t>）</w:t>
      </w:r>
      <w:r w:rsidRPr="002A0DEA">
        <w:rPr>
          <w:rFonts w:eastAsiaTheme="minorEastAsia"/>
          <w:kern w:val="22"/>
          <w:lang w:val="zh-CN" w:eastAsia="zh-CN"/>
        </w:rPr>
        <w:t>对人们、生态系统和生物多样性造成意外后果所采取的社会和环境措施</w:t>
      </w:r>
      <w:r w:rsidRPr="002A0DEA">
        <w:rPr>
          <w:rFonts w:eastAsiaTheme="minorEastAsia"/>
          <w:kern w:val="22"/>
          <w:lang w:eastAsia="zh-CN"/>
        </w:rPr>
        <w:t>；</w:t>
      </w:r>
      <w:r w:rsidRPr="002A0DEA">
        <w:rPr>
          <w:rFonts w:eastAsiaTheme="minorEastAsia"/>
          <w:kern w:val="22"/>
          <w:lang w:val="zh-CN" w:eastAsia="zh-CN"/>
        </w:rPr>
        <w:t>它们还在规划和实施的所有阶段促进透明度和实现惠益。</w:t>
      </w:r>
    </w:p>
    <w:p w:rsidR="00375FE8" w:rsidRPr="002A0DEA" w:rsidRDefault="00375FE8" w:rsidP="00BC1E75">
      <w:pPr>
        <w:pStyle w:val="ListParagraph"/>
        <w:widowControl w:val="0"/>
        <w:numPr>
          <w:ilvl w:val="1"/>
          <w:numId w:val="56"/>
        </w:numPr>
        <w:suppressLineNumbers/>
        <w:tabs>
          <w:tab w:val="left" w:pos="1170"/>
        </w:tabs>
        <w:suppressAutoHyphens/>
        <w:kinsoku w:val="0"/>
        <w:overflowPunct w:val="0"/>
        <w:autoSpaceDE w:val="0"/>
        <w:autoSpaceDN w:val="0"/>
        <w:adjustRightInd w:val="0"/>
        <w:snapToGrid w:val="0"/>
        <w:ind w:left="270" w:firstLine="270"/>
        <w:outlineLvl w:val="0"/>
        <w:rPr>
          <w:rFonts w:eastAsiaTheme="minorEastAsia"/>
          <w:b/>
          <w:kern w:val="22"/>
          <w:lang w:eastAsia="zh-CN"/>
        </w:rPr>
      </w:pPr>
      <w:bookmarkStart w:id="55" w:name="_Toc6243675"/>
      <w:r w:rsidRPr="002A0DEA">
        <w:rPr>
          <w:rFonts w:eastAsiaTheme="minorEastAsia"/>
          <w:b/>
          <w:kern w:val="22"/>
          <w:lang w:val="zh-CN" w:eastAsia="zh-CN"/>
        </w:rPr>
        <w:t>原则</w:t>
      </w:r>
      <w:bookmarkEnd w:id="55"/>
    </w:p>
    <w:p w:rsidR="00375FE8" w:rsidRPr="006B0B47" w:rsidRDefault="00375FE8" w:rsidP="000A1A91">
      <w:pPr>
        <w:pStyle w:val="ListParagraph"/>
        <w:widowControl w:val="0"/>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lang w:eastAsia="zh-CN"/>
        </w:rPr>
      </w:pPr>
      <w:r w:rsidRPr="002A0DEA">
        <w:rPr>
          <w:rFonts w:eastAsiaTheme="minorEastAsia"/>
          <w:kern w:val="22"/>
          <w:lang w:val="zh-CN" w:eastAsia="zh-CN"/>
        </w:rPr>
        <w:t>原则纳入了基于生态系统适应和减少灾害风险的做法的各项要素，并作为指导规划和实施的高级别标准。这些原则环绕以下主题：建立复原能力和增进适应能力、包容性及</w:t>
      </w:r>
      <w:r w:rsidRPr="002A0DEA">
        <w:rPr>
          <w:rFonts w:eastAsiaTheme="minorEastAsia"/>
          <w:kern w:val="22"/>
          <w:lang w:val="zh-CN" w:eastAsia="zh-CN"/>
        </w:rPr>
        <w:lastRenderedPageBreak/>
        <w:t>公平性、考虑多重规模和提高效用及效率。第</w:t>
      </w:r>
      <w:r w:rsidRPr="002A0DEA">
        <w:rPr>
          <w:rFonts w:eastAsiaTheme="minorEastAsia"/>
          <w:kern w:val="22"/>
          <w:lang w:val="zh-CN" w:eastAsia="zh-CN"/>
        </w:rPr>
        <w:t>3</w:t>
      </w:r>
      <w:r w:rsidRPr="002A0DEA">
        <w:rPr>
          <w:rFonts w:eastAsiaTheme="minorEastAsia"/>
          <w:kern w:val="22"/>
          <w:lang w:val="zh-CN" w:eastAsia="zh-CN"/>
        </w:rPr>
        <w:t>节所载这项准则提供了依照这些原则和保障措施落实有关实施基于生态系统的适应气候变化和减少灾害风险所采取的行动的建议步骤、方法和相关工具。</w:t>
      </w:r>
    </w:p>
    <w:tbl>
      <w:tblPr>
        <w:tblStyle w:val="TableGrid"/>
        <w:tblW w:w="0" w:type="auto"/>
        <w:tblLook w:val="04A0"/>
      </w:tblPr>
      <w:tblGrid>
        <w:gridCol w:w="9452"/>
      </w:tblGrid>
      <w:tr w:rsidR="00BC1E75" w:rsidTr="00BC1E75">
        <w:tc>
          <w:tcPr>
            <w:tcW w:w="9452" w:type="dxa"/>
          </w:tcPr>
          <w:p w:rsidR="00BC1E75" w:rsidRPr="0037203F" w:rsidRDefault="00BC1E75" w:rsidP="00BC1E75">
            <w:pPr>
              <w:ind w:firstLine="0"/>
              <w:rPr>
                <w:rFonts w:eastAsiaTheme="minorEastAsia"/>
                <w:b/>
                <w:bCs/>
                <w:kern w:val="22"/>
                <w:sz w:val="22"/>
                <w:szCs w:val="20"/>
                <w:lang w:val="zh-CN" w:eastAsia="zh-CN"/>
              </w:rPr>
            </w:pPr>
            <w:r w:rsidRPr="0037203F">
              <w:rPr>
                <w:rFonts w:eastAsiaTheme="minorEastAsia"/>
                <w:b/>
                <w:bCs/>
                <w:kern w:val="22"/>
                <w:sz w:val="22"/>
                <w:szCs w:val="20"/>
                <w:lang w:val="zh-CN" w:eastAsia="zh-CN"/>
              </w:rPr>
              <w:t>通过基于生态系统适应气候变化和减少灾害风险的办法建立复原力和增进适应能力的原则</w:t>
            </w:r>
          </w:p>
          <w:p w:rsidR="00BC1E75" w:rsidRPr="0037203F" w:rsidRDefault="00BC1E75" w:rsidP="001A42F8">
            <w:pPr>
              <w:pStyle w:val="ListParagraph"/>
              <w:numPr>
                <w:ilvl w:val="0"/>
                <w:numId w:val="226"/>
              </w:numPr>
              <w:spacing w:before="0" w:after="0"/>
              <w:ind w:left="517"/>
              <w:contextualSpacing/>
              <w:rPr>
                <w:rFonts w:eastAsiaTheme="minorEastAsia"/>
                <w:bCs/>
                <w:sz w:val="22"/>
                <w:szCs w:val="20"/>
                <w:lang w:val="zh-CN" w:eastAsia="zh-CN"/>
              </w:rPr>
            </w:pPr>
            <w:r w:rsidRPr="0037203F">
              <w:rPr>
                <w:rFonts w:eastAsiaTheme="minorEastAsia"/>
                <w:bCs/>
                <w:sz w:val="22"/>
                <w:szCs w:val="20"/>
                <w:lang w:val="zh-CN" w:eastAsia="zh-CN"/>
              </w:rPr>
              <w:t>作为整体适应和减少灾害风险战略的一部分</w:t>
            </w:r>
            <w:r w:rsidRPr="0037203F">
              <w:rPr>
                <w:rFonts w:eastAsiaTheme="minorEastAsia"/>
                <w:bCs/>
                <w:sz w:val="22"/>
                <w:szCs w:val="20"/>
                <w:lang w:eastAsia="zh-CN"/>
              </w:rPr>
              <w:t>，</w:t>
            </w:r>
            <w:r w:rsidRPr="0037203F">
              <w:rPr>
                <w:rFonts w:eastAsiaTheme="minorEastAsia"/>
                <w:bCs/>
                <w:sz w:val="22"/>
                <w:szCs w:val="20"/>
                <w:lang w:val="zh-CN" w:eastAsia="zh-CN"/>
              </w:rPr>
              <w:t>考虑一系列基于生态系统的办法</w:t>
            </w:r>
            <w:r w:rsidRPr="0037203F">
              <w:rPr>
                <w:rFonts w:eastAsiaTheme="minorEastAsia"/>
                <w:bCs/>
                <w:sz w:val="22"/>
                <w:szCs w:val="20"/>
                <w:lang w:eastAsia="zh-CN"/>
              </w:rPr>
              <w:t>，</w:t>
            </w:r>
            <w:r w:rsidRPr="0037203F">
              <w:rPr>
                <w:rFonts w:eastAsiaTheme="minorEastAsia"/>
                <w:bCs/>
                <w:sz w:val="22"/>
                <w:szCs w:val="20"/>
                <w:lang w:val="zh-CN" w:eastAsia="zh-CN"/>
              </w:rPr>
              <w:t>以提高社会</w:t>
            </w:r>
            <w:r w:rsidRPr="0037203F">
              <w:rPr>
                <w:rFonts w:eastAsiaTheme="minorEastAsia"/>
                <w:bCs/>
                <w:sz w:val="22"/>
                <w:szCs w:val="20"/>
                <w:lang w:eastAsia="zh-CN"/>
              </w:rPr>
              <w:t xml:space="preserve"> - </w:t>
            </w:r>
            <w:r w:rsidRPr="0037203F">
              <w:rPr>
                <w:rFonts w:eastAsiaTheme="minorEastAsia"/>
                <w:bCs/>
                <w:sz w:val="22"/>
                <w:szCs w:val="20"/>
                <w:lang w:val="zh-CN" w:eastAsia="zh-CN"/>
              </w:rPr>
              <w:t>生态系统的复原能力。</w:t>
            </w:r>
          </w:p>
          <w:p w:rsidR="00BC1E75" w:rsidRPr="0037203F" w:rsidRDefault="00BC1E75" w:rsidP="001A42F8">
            <w:pPr>
              <w:pStyle w:val="ListParagraph"/>
              <w:numPr>
                <w:ilvl w:val="0"/>
                <w:numId w:val="226"/>
              </w:numPr>
              <w:spacing w:before="0" w:after="0"/>
              <w:ind w:left="517"/>
              <w:contextualSpacing/>
              <w:rPr>
                <w:rFonts w:eastAsiaTheme="minorEastAsia"/>
                <w:bCs/>
                <w:kern w:val="22"/>
                <w:sz w:val="22"/>
                <w:szCs w:val="20"/>
                <w:lang w:val="zh-CN" w:eastAsia="zh-CN"/>
              </w:rPr>
            </w:pPr>
            <w:r w:rsidRPr="0037203F">
              <w:rPr>
                <w:rFonts w:eastAsiaTheme="minorEastAsia"/>
                <w:bCs/>
                <w:kern w:val="22"/>
                <w:sz w:val="22"/>
                <w:szCs w:val="20"/>
                <w:lang w:val="zh-CN" w:eastAsia="zh-CN"/>
              </w:rPr>
              <w:t>在灾害管理的所有阶段</w:t>
            </w:r>
            <w:r w:rsidRPr="0037203F">
              <w:rPr>
                <w:rFonts w:eastAsiaTheme="minorEastAsia"/>
                <w:bCs/>
                <w:kern w:val="22"/>
                <w:sz w:val="22"/>
                <w:szCs w:val="20"/>
                <w:lang w:eastAsia="zh-CN"/>
              </w:rPr>
              <w:t>，</w:t>
            </w:r>
            <w:r w:rsidRPr="0037203F">
              <w:rPr>
                <w:rFonts w:eastAsiaTheme="minorEastAsia"/>
                <w:bCs/>
                <w:kern w:val="22"/>
                <w:sz w:val="22"/>
                <w:szCs w:val="20"/>
                <w:lang w:val="zh-CN" w:eastAsia="zh-CN"/>
              </w:rPr>
              <w:t>使用灾害应对办法作为重建更好的增强适应能力和复原力</w:t>
            </w:r>
            <w:r w:rsidRPr="0037203F">
              <w:rPr>
                <w:rFonts w:eastAsiaTheme="minorEastAsia"/>
                <w:bCs/>
                <w:kern w:val="22"/>
                <w:sz w:val="22"/>
                <w:szCs w:val="20"/>
                <w:vertAlign w:val="superscript"/>
                <w:lang w:val="zh-CN"/>
              </w:rPr>
              <w:footnoteReference w:id="58"/>
            </w:r>
            <w:r w:rsidRPr="0037203F">
              <w:rPr>
                <w:rFonts w:eastAsiaTheme="minorEastAsia"/>
                <w:bCs/>
                <w:kern w:val="22"/>
                <w:sz w:val="22"/>
                <w:szCs w:val="20"/>
                <w:lang w:val="zh-CN" w:eastAsia="zh-CN"/>
              </w:rPr>
              <w:t xml:space="preserve"> </w:t>
            </w:r>
            <w:r w:rsidRPr="0037203F">
              <w:rPr>
                <w:rFonts w:eastAsiaTheme="minorEastAsia"/>
                <w:bCs/>
                <w:kern w:val="22"/>
                <w:sz w:val="22"/>
                <w:szCs w:val="20"/>
                <w:lang w:val="zh-CN" w:eastAsia="zh-CN"/>
              </w:rPr>
              <w:t>以及结合生态系统的各项考虑因素。</w:t>
            </w:r>
          </w:p>
          <w:p w:rsidR="00BC1E75" w:rsidRPr="0037203F" w:rsidRDefault="00BC1E75" w:rsidP="001A42F8">
            <w:pPr>
              <w:pStyle w:val="ListParagraph"/>
              <w:numPr>
                <w:ilvl w:val="0"/>
                <w:numId w:val="226"/>
              </w:numPr>
              <w:spacing w:before="0" w:after="0"/>
              <w:ind w:left="517"/>
              <w:contextualSpacing/>
              <w:rPr>
                <w:rFonts w:eastAsiaTheme="minorEastAsia"/>
                <w:bCs/>
                <w:kern w:val="22"/>
                <w:sz w:val="22"/>
                <w:szCs w:val="20"/>
                <w:lang w:val="zh-CN" w:eastAsia="zh-CN"/>
              </w:rPr>
            </w:pPr>
            <w:r w:rsidRPr="0037203F">
              <w:rPr>
                <w:rFonts w:eastAsiaTheme="minorEastAsia"/>
                <w:bCs/>
                <w:kern w:val="22"/>
                <w:sz w:val="22"/>
                <w:szCs w:val="20"/>
                <w:lang w:val="zh-CN" w:eastAsia="zh-CN"/>
              </w:rPr>
              <w:t>规划和实施基于生态系统适应气候变化和减少灾害风险活动中采用预防性办法。</w:t>
            </w:r>
            <w:r w:rsidRPr="0037203F">
              <w:rPr>
                <w:rFonts w:eastAsiaTheme="minorEastAsia"/>
                <w:bCs/>
                <w:kern w:val="22"/>
                <w:sz w:val="22"/>
                <w:szCs w:val="20"/>
                <w:vertAlign w:val="superscript"/>
                <w:lang w:val="zh-CN"/>
              </w:rPr>
              <w:footnoteReference w:id="59"/>
            </w:r>
          </w:p>
          <w:p w:rsidR="00BC1E75" w:rsidRPr="0037203F" w:rsidRDefault="00BC1E75" w:rsidP="00BC1E75">
            <w:pPr>
              <w:spacing w:before="0" w:after="0"/>
              <w:ind w:left="157" w:hanging="90"/>
              <w:rPr>
                <w:rFonts w:eastAsiaTheme="minorEastAsia"/>
                <w:bCs/>
                <w:kern w:val="22"/>
                <w:sz w:val="22"/>
                <w:szCs w:val="20"/>
                <w:lang w:val="zh-CN" w:eastAsia="zh-CN"/>
              </w:rPr>
            </w:pPr>
            <w:r w:rsidRPr="0037203F">
              <w:rPr>
                <w:rFonts w:eastAsiaTheme="minorEastAsia"/>
                <w:b/>
                <w:bCs/>
                <w:kern w:val="22"/>
                <w:sz w:val="22"/>
                <w:szCs w:val="20"/>
                <w:lang w:val="zh-CN" w:eastAsia="zh-CN"/>
              </w:rPr>
              <w:t>确保规划和实施的包容性和公平性的原则</w:t>
            </w:r>
          </w:p>
          <w:p w:rsidR="00BC1E75" w:rsidRPr="0037203F" w:rsidRDefault="00BC1E75" w:rsidP="001A42F8">
            <w:pPr>
              <w:pStyle w:val="ListParagraph"/>
              <w:numPr>
                <w:ilvl w:val="0"/>
                <w:numId w:val="226"/>
              </w:numPr>
              <w:spacing w:before="0" w:after="0"/>
              <w:ind w:left="517"/>
              <w:contextualSpacing/>
              <w:rPr>
                <w:rFonts w:eastAsiaTheme="minorEastAsia"/>
                <w:bCs/>
                <w:kern w:val="22"/>
                <w:sz w:val="22"/>
                <w:szCs w:val="20"/>
                <w:lang w:val="zh-CN" w:eastAsia="zh-CN"/>
              </w:rPr>
            </w:pPr>
            <w:r w:rsidRPr="0037203F">
              <w:rPr>
                <w:rFonts w:eastAsiaTheme="minorEastAsia"/>
                <w:bCs/>
                <w:kern w:val="22"/>
                <w:sz w:val="22"/>
                <w:szCs w:val="20"/>
                <w:lang w:val="zh-CN" w:eastAsia="zh-CN"/>
              </w:rPr>
              <w:t>通过规划和实施适应气候变化和减少灾害风险措施</w:t>
            </w:r>
            <w:r w:rsidRPr="0037203F">
              <w:rPr>
                <w:rFonts w:eastAsiaTheme="minorEastAsia"/>
                <w:bCs/>
                <w:kern w:val="22"/>
                <w:sz w:val="22"/>
                <w:szCs w:val="20"/>
                <w:lang w:eastAsia="zh-CN"/>
              </w:rPr>
              <w:t>，</w:t>
            </w:r>
            <w:r w:rsidRPr="0037203F">
              <w:rPr>
                <w:rFonts w:eastAsiaTheme="minorEastAsia"/>
                <w:bCs/>
                <w:kern w:val="22"/>
                <w:sz w:val="22"/>
                <w:szCs w:val="20"/>
                <w:lang w:val="zh-CN" w:eastAsia="zh-CN"/>
              </w:rPr>
              <w:t>防止和避免气候变化和灾害风险对生态系统和脆弱群体、土著人民和地方社区妇女和女童产生特别严重的影响。</w:t>
            </w:r>
          </w:p>
          <w:p w:rsidR="00BC1E75" w:rsidRPr="0037203F" w:rsidRDefault="00BC1E75" w:rsidP="00BC1E75">
            <w:pPr>
              <w:ind w:firstLine="0"/>
              <w:rPr>
                <w:rFonts w:eastAsiaTheme="minorEastAsia"/>
                <w:b/>
                <w:bCs/>
                <w:kern w:val="22"/>
                <w:sz w:val="22"/>
                <w:szCs w:val="20"/>
                <w:lang w:val="zh-CN" w:eastAsia="zh-CN"/>
              </w:rPr>
            </w:pPr>
            <w:r w:rsidRPr="0037203F">
              <w:rPr>
                <w:rFonts w:eastAsiaTheme="minorEastAsia"/>
                <w:b/>
                <w:bCs/>
                <w:kern w:val="22"/>
                <w:sz w:val="22"/>
                <w:szCs w:val="20"/>
                <w:lang w:val="zh-CN" w:eastAsia="zh-CN"/>
              </w:rPr>
              <w:t>实现多重规模基于生态系统的适应气候变化和减少灾害风险的原则</w:t>
            </w:r>
          </w:p>
          <w:p w:rsidR="00BC1E75" w:rsidRPr="0037203F" w:rsidRDefault="00BC1E75" w:rsidP="001A42F8">
            <w:pPr>
              <w:pStyle w:val="ListParagraph"/>
              <w:numPr>
                <w:ilvl w:val="0"/>
                <w:numId w:val="226"/>
              </w:numPr>
              <w:spacing w:before="0" w:after="0"/>
              <w:ind w:left="517"/>
              <w:contextualSpacing/>
              <w:rPr>
                <w:rFonts w:eastAsiaTheme="minorEastAsia"/>
                <w:bCs/>
                <w:kern w:val="22"/>
                <w:sz w:val="22"/>
                <w:szCs w:val="20"/>
                <w:lang w:val="zh-CN" w:eastAsia="zh-CN"/>
              </w:rPr>
            </w:pPr>
            <w:r w:rsidRPr="0037203F">
              <w:rPr>
                <w:rFonts w:eastAsiaTheme="minorEastAsia"/>
                <w:bCs/>
                <w:kern w:val="22"/>
                <w:sz w:val="22"/>
                <w:szCs w:val="20"/>
                <w:lang w:val="zh-CN" w:eastAsia="zh-CN"/>
              </w:rPr>
              <w:t>认识到一些基于生态系统的适应气候变化和减少灾害风险的效益只有在较大时空规模下才明显</w:t>
            </w:r>
            <w:r w:rsidRPr="0037203F">
              <w:rPr>
                <w:rFonts w:eastAsiaTheme="minorEastAsia"/>
                <w:bCs/>
                <w:kern w:val="22"/>
                <w:sz w:val="22"/>
                <w:szCs w:val="20"/>
                <w:lang w:eastAsia="zh-CN"/>
              </w:rPr>
              <w:t>，</w:t>
            </w:r>
            <w:r w:rsidRPr="0037203F">
              <w:rPr>
                <w:rFonts w:eastAsiaTheme="minorEastAsia"/>
                <w:bCs/>
                <w:kern w:val="22"/>
                <w:sz w:val="22"/>
                <w:szCs w:val="20"/>
                <w:lang w:val="zh-CN" w:eastAsia="zh-CN"/>
              </w:rPr>
              <w:t>因此应设计适当规模的基于生态系统的适应气候变化和减少灾害风险的活动。</w:t>
            </w:r>
          </w:p>
          <w:p w:rsidR="00BC1E75" w:rsidRPr="0037203F" w:rsidRDefault="00BC1E75" w:rsidP="001A42F8">
            <w:pPr>
              <w:pStyle w:val="ListParagraph"/>
              <w:numPr>
                <w:ilvl w:val="0"/>
                <w:numId w:val="226"/>
              </w:numPr>
              <w:spacing w:before="0" w:after="0"/>
              <w:ind w:left="517"/>
              <w:contextualSpacing/>
              <w:rPr>
                <w:sz w:val="22"/>
                <w:lang w:eastAsia="zh-CN"/>
              </w:rPr>
            </w:pPr>
            <w:r w:rsidRPr="0037203F">
              <w:rPr>
                <w:rFonts w:eastAsiaTheme="minorEastAsia"/>
                <w:bCs/>
                <w:kern w:val="22"/>
                <w:sz w:val="22"/>
                <w:szCs w:val="20"/>
                <w:lang w:val="zh-CN" w:eastAsia="zh-CN"/>
              </w:rPr>
              <w:t>确保基于生态系统的适应气候变化和减少灾害风险的活动跨越各个领域并有利益攸关方和权利拥有者的协作、协调和合作。</w:t>
            </w:r>
          </w:p>
          <w:p w:rsidR="00BC1E75" w:rsidRPr="0037203F" w:rsidRDefault="00BC1E75" w:rsidP="00BC1E75">
            <w:pPr>
              <w:ind w:firstLine="0"/>
              <w:rPr>
                <w:rFonts w:eastAsiaTheme="minorEastAsia"/>
                <w:b/>
                <w:bCs/>
                <w:kern w:val="22"/>
                <w:sz w:val="22"/>
                <w:szCs w:val="20"/>
                <w:lang w:val="zh-CN" w:eastAsia="zh-CN"/>
              </w:rPr>
            </w:pPr>
            <w:r w:rsidRPr="0037203F">
              <w:rPr>
                <w:rFonts w:eastAsiaTheme="minorEastAsia"/>
                <w:b/>
                <w:bCs/>
                <w:kern w:val="22"/>
                <w:sz w:val="22"/>
                <w:szCs w:val="20"/>
                <w:lang w:val="zh-CN" w:eastAsia="zh-CN"/>
              </w:rPr>
              <w:t>基于生态系统的适应气候变化和减少灾害风险的有效性和效率原则</w:t>
            </w:r>
          </w:p>
          <w:p w:rsidR="00BC1E75" w:rsidRPr="0037203F" w:rsidRDefault="00BC1E75" w:rsidP="001A42F8">
            <w:pPr>
              <w:pStyle w:val="ListParagraph"/>
              <w:numPr>
                <w:ilvl w:val="0"/>
                <w:numId w:val="226"/>
              </w:numPr>
              <w:spacing w:before="0" w:after="0"/>
              <w:ind w:left="517"/>
              <w:contextualSpacing/>
              <w:rPr>
                <w:rFonts w:eastAsiaTheme="minorEastAsia"/>
                <w:bCs/>
                <w:kern w:val="22"/>
                <w:sz w:val="22"/>
                <w:szCs w:val="20"/>
                <w:lang w:val="zh-CN" w:eastAsia="zh-CN"/>
              </w:rPr>
            </w:pPr>
            <w:r w:rsidRPr="0037203F">
              <w:rPr>
                <w:rFonts w:eastAsiaTheme="minorEastAsia"/>
                <w:bCs/>
                <w:kern w:val="22"/>
                <w:sz w:val="22"/>
                <w:szCs w:val="20"/>
                <w:lang w:val="zh-CN" w:eastAsia="zh-CN"/>
              </w:rPr>
              <w:t>确保基于生态系统适应气候变化和减少灾害风险的干预措施以证据为基础</w:t>
            </w:r>
            <w:r w:rsidRPr="0037203F">
              <w:rPr>
                <w:rFonts w:eastAsiaTheme="minorEastAsia"/>
                <w:bCs/>
                <w:kern w:val="22"/>
                <w:sz w:val="22"/>
                <w:szCs w:val="20"/>
                <w:lang w:eastAsia="zh-CN"/>
              </w:rPr>
              <w:t>，</w:t>
            </w:r>
            <w:r w:rsidRPr="0037203F">
              <w:rPr>
                <w:rFonts w:eastAsiaTheme="minorEastAsia"/>
                <w:bCs/>
                <w:kern w:val="22"/>
                <w:sz w:val="22"/>
                <w:szCs w:val="20"/>
                <w:lang w:val="zh-CN" w:eastAsia="zh-CN"/>
              </w:rPr>
              <w:t>可行时纳入土著和传统知识</w:t>
            </w:r>
            <w:r w:rsidRPr="0037203F">
              <w:rPr>
                <w:rFonts w:eastAsiaTheme="minorEastAsia"/>
                <w:bCs/>
                <w:kern w:val="22"/>
                <w:sz w:val="22"/>
                <w:szCs w:val="20"/>
                <w:lang w:eastAsia="zh-CN"/>
              </w:rPr>
              <w:t>，</w:t>
            </w:r>
            <w:r w:rsidRPr="0037203F">
              <w:rPr>
                <w:rFonts w:eastAsiaTheme="minorEastAsia"/>
                <w:bCs/>
                <w:kern w:val="22"/>
                <w:sz w:val="22"/>
                <w:szCs w:val="20"/>
                <w:lang w:val="zh-CN" w:eastAsia="zh-CN"/>
              </w:rPr>
              <w:t>并得到现有最佳科学、研究、数据、实践经验和各种知识系统的支持。</w:t>
            </w:r>
          </w:p>
          <w:p w:rsidR="00BC1E75" w:rsidRPr="0037203F" w:rsidRDefault="00BC1E75" w:rsidP="001A42F8">
            <w:pPr>
              <w:pStyle w:val="ListParagraph"/>
              <w:numPr>
                <w:ilvl w:val="0"/>
                <w:numId w:val="226"/>
              </w:numPr>
              <w:spacing w:before="0" w:after="0"/>
              <w:ind w:left="517"/>
              <w:contextualSpacing/>
              <w:rPr>
                <w:rFonts w:eastAsiaTheme="minorEastAsia"/>
                <w:bCs/>
                <w:kern w:val="22"/>
                <w:sz w:val="22"/>
                <w:szCs w:val="20"/>
                <w:lang w:val="zh-CN" w:eastAsia="zh-CN"/>
              </w:rPr>
            </w:pPr>
            <w:r w:rsidRPr="0037203F">
              <w:rPr>
                <w:rFonts w:eastAsiaTheme="minorEastAsia"/>
                <w:bCs/>
                <w:kern w:val="22"/>
                <w:sz w:val="22"/>
                <w:szCs w:val="20"/>
                <w:lang w:val="zh-CN" w:eastAsia="zh-CN"/>
              </w:rPr>
              <w:t>将促进适应管理和积极学习的机制纳入基于生态系统适应气候变化和减少灾害风险活动</w:t>
            </w:r>
            <w:r w:rsidRPr="0037203F">
              <w:rPr>
                <w:rFonts w:eastAsiaTheme="minorEastAsia"/>
                <w:bCs/>
                <w:kern w:val="22"/>
                <w:sz w:val="22"/>
                <w:szCs w:val="20"/>
                <w:lang w:eastAsia="zh-CN"/>
              </w:rPr>
              <w:t>，</w:t>
            </w:r>
            <w:r w:rsidRPr="0037203F">
              <w:rPr>
                <w:rFonts w:eastAsiaTheme="minorEastAsia"/>
                <w:bCs/>
                <w:kern w:val="22"/>
                <w:sz w:val="22"/>
                <w:szCs w:val="20"/>
                <w:lang w:val="zh-CN" w:eastAsia="zh-CN"/>
              </w:rPr>
              <w:t>包括持续监测和评价规划和实施的所有阶段。</w:t>
            </w:r>
          </w:p>
          <w:p w:rsidR="00BC1E75" w:rsidRPr="0037203F" w:rsidRDefault="00BC1E75" w:rsidP="001A42F8">
            <w:pPr>
              <w:pStyle w:val="ListParagraph"/>
              <w:numPr>
                <w:ilvl w:val="0"/>
                <w:numId w:val="226"/>
              </w:numPr>
              <w:spacing w:before="0" w:after="0"/>
              <w:ind w:left="517"/>
              <w:contextualSpacing/>
              <w:rPr>
                <w:rFonts w:eastAsiaTheme="minorEastAsia"/>
                <w:bCs/>
                <w:kern w:val="22"/>
                <w:sz w:val="22"/>
                <w:szCs w:val="20"/>
                <w:lang w:val="zh-CN" w:eastAsia="zh-CN"/>
              </w:rPr>
            </w:pPr>
            <w:r w:rsidRPr="0037203F">
              <w:rPr>
                <w:rFonts w:eastAsiaTheme="minorEastAsia"/>
                <w:bCs/>
                <w:kern w:val="22"/>
                <w:sz w:val="22"/>
                <w:szCs w:val="20"/>
                <w:lang w:val="zh-CN" w:eastAsia="zh-CN"/>
              </w:rPr>
              <w:t>查明和评估基于生态系统适应气候变化和减少灾害风险活动的限度和尽可能减少可能的取舍。</w:t>
            </w:r>
          </w:p>
          <w:p w:rsidR="00BC1E75" w:rsidRDefault="00BC1E75" w:rsidP="001A42F8">
            <w:pPr>
              <w:pStyle w:val="ListParagraph"/>
              <w:numPr>
                <w:ilvl w:val="0"/>
                <w:numId w:val="226"/>
              </w:numPr>
              <w:spacing w:before="0" w:after="0"/>
              <w:ind w:left="517"/>
              <w:contextualSpacing/>
              <w:rPr>
                <w:rFonts w:eastAsiaTheme="minorEastAsia"/>
                <w:lang w:eastAsia="zh-CN"/>
              </w:rPr>
            </w:pPr>
            <w:r w:rsidRPr="0037203F">
              <w:rPr>
                <w:rFonts w:eastAsiaTheme="minorEastAsia"/>
                <w:bCs/>
                <w:kern w:val="22"/>
                <w:sz w:val="22"/>
                <w:szCs w:val="20"/>
                <w:lang w:val="zh-CN" w:eastAsia="zh-CN"/>
              </w:rPr>
              <w:t>尽最大可能实现多重效益的协同作用</w:t>
            </w:r>
            <w:r w:rsidRPr="0037203F">
              <w:rPr>
                <w:rFonts w:eastAsiaTheme="minorEastAsia"/>
                <w:bCs/>
                <w:spacing w:val="-20"/>
                <w:kern w:val="22"/>
                <w:sz w:val="22"/>
                <w:szCs w:val="20"/>
                <w:lang w:eastAsia="zh-CN"/>
              </w:rPr>
              <w:t>，</w:t>
            </w:r>
            <w:r w:rsidRPr="0037203F">
              <w:rPr>
                <w:rFonts w:eastAsiaTheme="minorEastAsia"/>
                <w:bCs/>
                <w:spacing w:val="-20"/>
                <w:kern w:val="22"/>
                <w:sz w:val="22"/>
                <w:szCs w:val="20"/>
                <w:lang w:val="zh-CN" w:eastAsia="zh-CN"/>
              </w:rPr>
              <w:t>包括推动生物多样性、养护、可持续发展、性别平等</w:t>
            </w:r>
            <w:r w:rsidRPr="0037203F">
              <w:rPr>
                <w:rFonts w:eastAsiaTheme="minorEastAsia"/>
                <w:bCs/>
                <w:kern w:val="22"/>
                <w:sz w:val="22"/>
                <w:szCs w:val="20"/>
                <w:lang w:val="zh-CN" w:eastAsia="zh-CN"/>
              </w:rPr>
              <w:t>、健康、适应气候变化和减少风险的协同作用。</w:t>
            </w:r>
          </w:p>
        </w:tc>
      </w:tr>
    </w:tbl>
    <w:p w:rsidR="00375FE8" w:rsidRPr="002A0DEA" w:rsidRDefault="00375FE8" w:rsidP="002A0DEA">
      <w:pPr>
        <w:suppressLineNumbers/>
        <w:suppressAutoHyphens/>
        <w:kinsoku w:val="0"/>
        <w:overflowPunct w:val="0"/>
        <w:autoSpaceDE w:val="0"/>
        <w:autoSpaceDN w:val="0"/>
        <w:adjustRightInd w:val="0"/>
        <w:snapToGrid w:val="0"/>
        <w:rPr>
          <w:rFonts w:eastAsiaTheme="minorEastAsia"/>
          <w:bCs/>
          <w:kern w:val="22"/>
          <w:lang w:eastAsia="zh-CN"/>
        </w:rPr>
      </w:pPr>
    </w:p>
    <w:p w:rsidR="00BC1E75" w:rsidRDefault="00375FE8" w:rsidP="002A0DEA">
      <w:pPr>
        <w:suppressLineNumbers/>
        <w:suppressAutoHyphens/>
        <w:kinsoku w:val="0"/>
        <w:overflowPunct w:val="0"/>
        <w:autoSpaceDE w:val="0"/>
        <w:autoSpaceDN w:val="0"/>
        <w:adjustRightInd w:val="0"/>
        <w:snapToGrid w:val="0"/>
        <w:rPr>
          <w:rFonts w:eastAsiaTheme="minorEastAsia"/>
          <w:b/>
          <w:bCs/>
          <w:kern w:val="22"/>
          <w:lang w:eastAsia="zh-CN"/>
        </w:rPr>
      </w:pPr>
      <w:r w:rsidRPr="002A0DEA">
        <w:rPr>
          <w:rFonts w:eastAsiaTheme="minorEastAsia"/>
          <w:b/>
          <w:bCs/>
          <w:kern w:val="22"/>
          <w:lang w:eastAsia="zh-CN"/>
        </w:rPr>
        <w:t xml:space="preserve">        </w:t>
      </w:r>
    </w:p>
    <w:p w:rsidR="00BC1E75" w:rsidRDefault="00BC1E75">
      <w:pPr>
        <w:rPr>
          <w:rFonts w:eastAsiaTheme="minorEastAsia"/>
          <w:b/>
          <w:bCs/>
          <w:kern w:val="22"/>
          <w:lang w:eastAsia="zh-CN"/>
        </w:rPr>
      </w:pPr>
      <w:r>
        <w:rPr>
          <w:rFonts w:eastAsiaTheme="minorEastAsia"/>
          <w:b/>
          <w:bCs/>
          <w:kern w:val="22"/>
          <w:lang w:eastAsia="zh-CN"/>
        </w:rPr>
        <w:br w:type="page"/>
      </w:r>
    </w:p>
    <w:p w:rsidR="00375FE8" w:rsidRPr="002A0DEA" w:rsidRDefault="00375FE8" w:rsidP="00BC1E75">
      <w:pPr>
        <w:suppressLineNumbers/>
        <w:suppressAutoHyphens/>
        <w:kinsoku w:val="0"/>
        <w:overflowPunct w:val="0"/>
        <w:autoSpaceDE w:val="0"/>
        <w:autoSpaceDN w:val="0"/>
        <w:adjustRightInd w:val="0"/>
        <w:snapToGrid w:val="0"/>
        <w:ind w:firstLine="360"/>
        <w:rPr>
          <w:rFonts w:eastAsiaTheme="minorEastAsia"/>
          <w:b/>
          <w:bCs/>
          <w:kern w:val="22"/>
          <w:lang w:eastAsia="zh-CN"/>
        </w:rPr>
      </w:pPr>
      <w:r w:rsidRPr="002A0DEA">
        <w:rPr>
          <w:rFonts w:eastAsiaTheme="minorEastAsia"/>
          <w:b/>
          <w:bCs/>
          <w:kern w:val="22"/>
          <w:lang w:eastAsia="zh-CN"/>
        </w:rPr>
        <w:lastRenderedPageBreak/>
        <w:t xml:space="preserve">2.2    </w:t>
      </w:r>
      <w:r w:rsidRPr="002A0DEA">
        <w:rPr>
          <w:rFonts w:eastAsiaTheme="minorEastAsia"/>
          <w:b/>
          <w:bCs/>
          <w:kern w:val="22"/>
          <w:lang w:eastAsia="zh-CN"/>
        </w:rPr>
        <w:t>保障措施</w:t>
      </w:r>
    </w:p>
    <w:tbl>
      <w:tblPr>
        <w:tblW w:w="9350" w:type="dxa"/>
        <w:jc w:val="center"/>
        <w:tblBorders>
          <w:top w:val="single" w:sz="6" w:space="0" w:color="auto"/>
          <w:left w:val="single" w:sz="6" w:space="0" w:color="auto"/>
          <w:bottom w:val="single" w:sz="6" w:space="0" w:color="auto"/>
          <w:right w:val="single" w:sz="6" w:space="0" w:color="auto"/>
        </w:tblBorders>
        <w:tblLayout w:type="fixed"/>
        <w:tblLook w:val="00A0"/>
      </w:tblPr>
      <w:tblGrid>
        <w:gridCol w:w="2268"/>
        <w:gridCol w:w="7082"/>
      </w:tblGrid>
      <w:tr w:rsidR="00375FE8" w:rsidRPr="002A0DEA" w:rsidTr="002A0DEA">
        <w:trPr>
          <w:cantSplit/>
          <w:jc w:val="center"/>
        </w:trPr>
        <w:tc>
          <w:tcPr>
            <w:tcW w:w="9350" w:type="dxa"/>
            <w:gridSpan w:val="2"/>
            <w:tcBorders>
              <w:top w:val="single" w:sz="6" w:space="0" w:color="auto"/>
            </w:tcBorders>
          </w:tcPr>
          <w:p w:rsidR="00375FE8" w:rsidRPr="002A0DEA" w:rsidRDefault="00375FE8" w:rsidP="002A0DEA">
            <w:pPr>
              <w:keepNext/>
              <w:suppressLineNumbers/>
              <w:suppressAutoHyphens/>
              <w:kinsoku w:val="0"/>
              <w:overflowPunct w:val="0"/>
              <w:autoSpaceDE w:val="0"/>
              <w:autoSpaceDN w:val="0"/>
              <w:adjustRightInd w:val="0"/>
              <w:snapToGrid w:val="0"/>
              <w:spacing w:before="40" w:after="40"/>
              <w:jc w:val="center"/>
              <w:rPr>
                <w:rFonts w:eastAsiaTheme="minorEastAsia"/>
                <w:b/>
                <w:bCs/>
                <w:lang w:eastAsia="zh-CN"/>
              </w:rPr>
            </w:pPr>
            <w:r w:rsidRPr="002A0DEA">
              <w:rPr>
                <w:rFonts w:eastAsiaTheme="minorEastAsia"/>
                <w:b/>
                <w:bCs/>
                <w:kern w:val="22"/>
                <w:sz w:val="22"/>
                <w:lang w:val="zh-CN" w:eastAsia="zh-CN"/>
              </w:rPr>
              <w:t>规划和有效实施基于生态系统的适应气候变化</w:t>
            </w:r>
            <w:r w:rsidRPr="002A0DEA">
              <w:rPr>
                <w:rFonts w:eastAsiaTheme="minorEastAsia"/>
                <w:b/>
                <w:bCs/>
                <w:kern w:val="22"/>
                <w:sz w:val="22"/>
                <w:lang w:eastAsia="zh-CN"/>
              </w:rPr>
              <w:br/>
            </w:r>
            <w:r w:rsidRPr="002A0DEA">
              <w:rPr>
                <w:rFonts w:eastAsiaTheme="minorEastAsia"/>
                <w:b/>
                <w:bCs/>
                <w:kern w:val="22"/>
                <w:sz w:val="22"/>
                <w:lang w:val="zh-CN" w:eastAsia="zh-CN"/>
              </w:rPr>
              <w:t>和减少灾害风险的保障措施</w:t>
            </w:r>
          </w:p>
        </w:tc>
      </w:tr>
      <w:tr w:rsidR="00375FE8" w:rsidRPr="002A0DEA" w:rsidTr="002A0DEA">
        <w:trPr>
          <w:cantSplit/>
          <w:jc w:val="center"/>
        </w:trPr>
        <w:tc>
          <w:tcPr>
            <w:tcW w:w="2268" w:type="dxa"/>
          </w:tcPr>
          <w:p w:rsidR="00375FE8" w:rsidRPr="00BC1E75" w:rsidRDefault="00375FE8" w:rsidP="00BC1E75">
            <w:pPr>
              <w:suppressLineNumbers/>
              <w:suppressAutoHyphens/>
              <w:kinsoku w:val="0"/>
              <w:overflowPunct w:val="0"/>
              <w:autoSpaceDE w:val="0"/>
              <w:autoSpaceDN w:val="0"/>
              <w:adjustRightInd w:val="0"/>
              <w:snapToGrid w:val="0"/>
              <w:spacing w:before="40" w:after="40"/>
              <w:ind w:firstLine="0"/>
              <w:rPr>
                <w:rFonts w:ascii="KaiTi" w:eastAsia="KaiTi" w:hAnsi="KaiTi"/>
                <w:bCs/>
                <w:lang w:eastAsia="zh-CN"/>
              </w:rPr>
            </w:pPr>
            <w:r w:rsidRPr="00BC1E75">
              <w:rPr>
                <w:rFonts w:ascii="KaiTi" w:eastAsia="KaiTi" w:hAnsi="KaiTi"/>
                <w:bCs/>
                <w:kern w:val="22"/>
                <w:sz w:val="22"/>
                <w:lang w:val="zh-CN" w:eastAsia="zh-CN"/>
              </w:rPr>
              <w:t>适用环境影响评估和进行有力监测和评价</w:t>
            </w:r>
          </w:p>
        </w:tc>
        <w:tc>
          <w:tcPr>
            <w:tcW w:w="7082" w:type="dxa"/>
          </w:tcPr>
          <w:p w:rsidR="00375FE8" w:rsidRPr="002A0DEA" w:rsidRDefault="00375FE8" w:rsidP="000A1A91">
            <w:pPr>
              <w:numPr>
                <w:ilvl w:val="0"/>
                <w:numId w:val="55"/>
              </w:numPr>
              <w:suppressLineNumbers/>
              <w:tabs>
                <w:tab w:val="left" w:pos="417"/>
              </w:tabs>
              <w:suppressAutoHyphens/>
              <w:kinsoku w:val="0"/>
              <w:overflowPunct w:val="0"/>
              <w:autoSpaceDE w:val="0"/>
              <w:autoSpaceDN w:val="0"/>
              <w:adjustRightInd w:val="0"/>
              <w:snapToGrid w:val="0"/>
              <w:spacing w:before="40" w:after="40"/>
              <w:ind w:left="0" w:firstLine="0"/>
              <w:rPr>
                <w:rFonts w:eastAsiaTheme="minorEastAsia"/>
                <w:bCs/>
                <w:lang w:eastAsia="zh-CN"/>
              </w:rPr>
            </w:pPr>
            <w:r w:rsidRPr="002A0DEA">
              <w:rPr>
                <w:rFonts w:eastAsiaTheme="minorEastAsia"/>
                <w:bCs/>
                <w:kern w:val="22"/>
                <w:sz w:val="22"/>
                <w:lang w:val="zh-CN" w:eastAsia="zh-CN"/>
              </w:rPr>
              <w:t>对基于生态系统适应气候变化和减少灾害风险的活动应酌情进行环境影响评估</w:t>
            </w:r>
            <w:r w:rsidRPr="002A0DEA">
              <w:rPr>
                <w:rFonts w:eastAsiaTheme="minorEastAsia"/>
                <w:bCs/>
                <w:kern w:val="22"/>
                <w:sz w:val="22"/>
                <w:lang w:eastAsia="zh-CN"/>
              </w:rPr>
              <w:t>，</w:t>
            </w:r>
            <w:r w:rsidRPr="002A0DEA">
              <w:rPr>
                <w:rFonts w:eastAsiaTheme="minorEastAsia"/>
                <w:bCs/>
                <w:kern w:val="22"/>
                <w:sz w:val="22"/>
                <w:lang w:val="zh-CN" w:eastAsia="zh-CN"/>
              </w:rPr>
              <w:t>包括在项目设计的最初阶段进行社会和文化影响评估</w:t>
            </w:r>
            <w:r w:rsidRPr="002A0DEA">
              <w:rPr>
                <w:rFonts w:eastAsiaTheme="minorEastAsia"/>
                <w:bCs/>
                <w:kern w:val="22"/>
                <w:sz w:val="22"/>
                <w:lang w:eastAsia="zh-CN"/>
              </w:rPr>
              <w:t>（</w:t>
            </w:r>
            <w:r w:rsidRPr="002A0DEA">
              <w:rPr>
                <w:rFonts w:eastAsiaTheme="minorEastAsia"/>
                <w:bCs/>
                <w:kern w:val="22"/>
                <w:sz w:val="22"/>
                <w:lang w:val="zh-CN" w:eastAsia="zh-CN"/>
              </w:rPr>
              <w:t>见《阿格维古准则》</w:t>
            </w:r>
            <w:r w:rsidRPr="002A0DEA">
              <w:rPr>
                <w:rFonts w:eastAsiaTheme="minorEastAsia"/>
                <w:bCs/>
                <w:kern w:val="22"/>
                <w:sz w:val="22"/>
                <w:lang w:eastAsia="zh-CN"/>
              </w:rPr>
              <w:t>），</w:t>
            </w:r>
            <w:r w:rsidRPr="002A0DEA">
              <w:rPr>
                <w:rFonts w:eastAsiaTheme="minorEastAsia"/>
                <w:bCs/>
                <w:kern w:val="22"/>
                <w:sz w:val="22"/>
                <w:lang w:val="zh-CN" w:eastAsia="zh-CN"/>
              </w:rPr>
              <w:t>并应受到有力的监测和评价系统的监管。</w:t>
            </w:r>
          </w:p>
        </w:tc>
      </w:tr>
      <w:tr w:rsidR="00375FE8" w:rsidRPr="002A0DEA" w:rsidTr="002A0DEA">
        <w:trPr>
          <w:cantSplit/>
          <w:jc w:val="center"/>
        </w:trPr>
        <w:tc>
          <w:tcPr>
            <w:tcW w:w="2268" w:type="dxa"/>
          </w:tcPr>
          <w:p w:rsidR="00375FE8" w:rsidRPr="00BC1E75" w:rsidRDefault="00375FE8" w:rsidP="00BC1E75">
            <w:pPr>
              <w:suppressLineNumbers/>
              <w:suppressAutoHyphens/>
              <w:kinsoku w:val="0"/>
              <w:overflowPunct w:val="0"/>
              <w:autoSpaceDE w:val="0"/>
              <w:autoSpaceDN w:val="0"/>
              <w:adjustRightInd w:val="0"/>
              <w:snapToGrid w:val="0"/>
              <w:spacing w:before="40" w:after="40"/>
              <w:ind w:firstLine="0"/>
              <w:rPr>
                <w:rFonts w:ascii="KaiTi" w:eastAsia="KaiTi" w:hAnsi="KaiTi"/>
                <w:bCs/>
                <w:lang w:eastAsia="zh-CN"/>
              </w:rPr>
            </w:pPr>
            <w:r w:rsidRPr="00BC1E75">
              <w:rPr>
                <w:rFonts w:ascii="KaiTi" w:eastAsia="KaiTi" w:hAnsi="KaiTi"/>
                <w:bCs/>
                <w:kern w:val="22"/>
                <w:sz w:val="22"/>
                <w:lang w:val="zh-CN" w:eastAsia="zh-CN"/>
              </w:rPr>
              <w:t>防止风险和影响的转移</w:t>
            </w:r>
          </w:p>
        </w:tc>
        <w:tc>
          <w:tcPr>
            <w:tcW w:w="7082" w:type="dxa"/>
          </w:tcPr>
          <w:p w:rsidR="00375FE8" w:rsidRPr="002A0DEA" w:rsidRDefault="00375FE8" w:rsidP="000A1A91">
            <w:pPr>
              <w:numPr>
                <w:ilvl w:val="0"/>
                <w:numId w:val="55"/>
              </w:numPr>
              <w:suppressLineNumbers/>
              <w:tabs>
                <w:tab w:val="left" w:pos="417"/>
              </w:tabs>
              <w:suppressAutoHyphens/>
              <w:kinsoku w:val="0"/>
              <w:overflowPunct w:val="0"/>
              <w:autoSpaceDE w:val="0"/>
              <w:autoSpaceDN w:val="0"/>
              <w:adjustRightInd w:val="0"/>
              <w:snapToGrid w:val="0"/>
              <w:spacing w:before="40" w:after="40"/>
              <w:ind w:left="0" w:firstLine="0"/>
              <w:rPr>
                <w:rFonts w:eastAsiaTheme="minorEastAsia"/>
                <w:bCs/>
                <w:lang w:eastAsia="zh-CN"/>
              </w:rPr>
            </w:pPr>
            <w:r w:rsidRPr="002A0DEA">
              <w:rPr>
                <w:rFonts w:eastAsiaTheme="minorEastAsia"/>
                <w:bCs/>
                <w:kern w:val="22"/>
                <w:sz w:val="22"/>
                <w:lang w:val="zh-CN" w:eastAsia="zh-CN"/>
              </w:rPr>
              <w:t>基于生态系统适应气候变化和减少灾害风险的活动应避免给生物多样性或人民造成不利影响</w:t>
            </w:r>
            <w:r w:rsidRPr="002A0DEA">
              <w:rPr>
                <w:rFonts w:eastAsiaTheme="minorEastAsia"/>
                <w:bCs/>
                <w:kern w:val="22"/>
                <w:sz w:val="22"/>
                <w:lang w:eastAsia="zh-CN"/>
              </w:rPr>
              <w:t>，</w:t>
            </w:r>
            <w:r w:rsidRPr="002A0DEA">
              <w:rPr>
                <w:rFonts w:eastAsiaTheme="minorEastAsia"/>
                <w:bCs/>
                <w:kern w:val="22"/>
                <w:sz w:val="22"/>
                <w:lang w:val="zh-CN" w:eastAsia="zh-CN"/>
              </w:rPr>
              <w:t>也不应导致将风险或影响从一个地区或族群转移到另一个地区或族群。</w:t>
            </w:r>
          </w:p>
        </w:tc>
      </w:tr>
      <w:tr w:rsidR="00375FE8" w:rsidRPr="002A0DEA" w:rsidTr="002A0DEA">
        <w:trPr>
          <w:cantSplit/>
          <w:jc w:val="center"/>
        </w:trPr>
        <w:tc>
          <w:tcPr>
            <w:tcW w:w="2268" w:type="dxa"/>
          </w:tcPr>
          <w:p w:rsidR="00375FE8" w:rsidRPr="00BC1E75" w:rsidRDefault="00375FE8" w:rsidP="00BC1E75">
            <w:pPr>
              <w:suppressLineNumbers/>
              <w:suppressAutoHyphens/>
              <w:kinsoku w:val="0"/>
              <w:overflowPunct w:val="0"/>
              <w:autoSpaceDE w:val="0"/>
              <w:autoSpaceDN w:val="0"/>
              <w:adjustRightInd w:val="0"/>
              <w:snapToGrid w:val="0"/>
              <w:spacing w:before="40" w:after="40"/>
              <w:ind w:firstLine="0"/>
              <w:rPr>
                <w:rFonts w:ascii="KaiTi" w:eastAsia="KaiTi" w:hAnsi="KaiTi"/>
                <w:bCs/>
                <w:lang w:eastAsia="zh-CN"/>
              </w:rPr>
            </w:pPr>
            <w:r w:rsidRPr="00BC1E75">
              <w:rPr>
                <w:rFonts w:ascii="KaiTi" w:eastAsia="KaiTi" w:hAnsi="KaiTi"/>
                <w:bCs/>
                <w:kern w:val="22"/>
                <w:sz w:val="22"/>
                <w:lang w:eastAsia="zh-CN"/>
              </w:rPr>
              <w:t>预防对</w:t>
            </w:r>
            <w:r w:rsidRPr="00BC1E75">
              <w:rPr>
                <w:rFonts w:ascii="KaiTi" w:eastAsia="KaiTi" w:hAnsi="KaiTi"/>
                <w:bCs/>
                <w:kern w:val="22"/>
                <w:sz w:val="22"/>
                <w:lang w:val="zh-CN" w:eastAsia="zh-CN"/>
              </w:rPr>
              <w:t>生物多样性、生态系统和生态系统功能和服务的损害</w:t>
            </w:r>
          </w:p>
        </w:tc>
        <w:tc>
          <w:tcPr>
            <w:tcW w:w="7082" w:type="dxa"/>
          </w:tcPr>
          <w:p w:rsidR="00375FE8" w:rsidRPr="002A0DEA" w:rsidRDefault="00375FE8" w:rsidP="000A1A91">
            <w:pPr>
              <w:numPr>
                <w:ilvl w:val="0"/>
                <w:numId w:val="55"/>
              </w:numPr>
              <w:suppressLineNumbers/>
              <w:tabs>
                <w:tab w:val="left" w:pos="417"/>
              </w:tabs>
              <w:suppressAutoHyphens/>
              <w:kinsoku w:val="0"/>
              <w:overflowPunct w:val="0"/>
              <w:autoSpaceDE w:val="0"/>
              <w:autoSpaceDN w:val="0"/>
              <w:adjustRightInd w:val="0"/>
              <w:snapToGrid w:val="0"/>
              <w:spacing w:before="40" w:after="40"/>
              <w:ind w:left="0" w:firstLine="0"/>
              <w:rPr>
                <w:rFonts w:eastAsiaTheme="minorEastAsia"/>
                <w:bCs/>
                <w:kern w:val="22"/>
                <w:lang w:eastAsia="zh-CN"/>
              </w:rPr>
            </w:pPr>
            <w:r w:rsidRPr="002A0DEA">
              <w:rPr>
                <w:rFonts w:eastAsiaTheme="minorEastAsia"/>
                <w:bCs/>
                <w:kern w:val="22"/>
                <w:sz w:val="22"/>
                <w:lang w:val="zh-CN" w:eastAsia="zh-CN"/>
              </w:rPr>
              <w:t>基于生态系统应适应气候变化和减少灾害风险的活动</w:t>
            </w:r>
            <w:r w:rsidRPr="002A0DEA">
              <w:rPr>
                <w:rFonts w:eastAsiaTheme="minorEastAsia"/>
                <w:bCs/>
                <w:kern w:val="22"/>
                <w:sz w:val="22"/>
                <w:lang w:eastAsia="zh-CN"/>
              </w:rPr>
              <w:t>，</w:t>
            </w:r>
            <w:r w:rsidRPr="002A0DEA">
              <w:rPr>
                <w:rFonts w:eastAsiaTheme="minorEastAsia"/>
                <w:bCs/>
                <w:kern w:val="22"/>
                <w:sz w:val="22"/>
                <w:lang w:val="zh-CN" w:eastAsia="zh-CN"/>
              </w:rPr>
              <w:t>包括灾害的应对、恢复和重建措施</w:t>
            </w:r>
            <w:r w:rsidRPr="002A0DEA">
              <w:rPr>
                <w:rFonts w:eastAsiaTheme="minorEastAsia"/>
                <w:bCs/>
                <w:kern w:val="22"/>
                <w:sz w:val="22"/>
                <w:lang w:eastAsia="zh-CN"/>
              </w:rPr>
              <w:t>，</w:t>
            </w:r>
            <w:r w:rsidRPr="002A0DEA">
              <w:rPr>
                <w:rFonts w:eastAsiaTheme="minorEastAsia"/>
                <w:bCs/>
                <w:kern w:val="22"/>
                <w:sz w:val="22"/>
                <w:lang w:val="zh-CN" w:eastAsia="zh-CN"/>
              </w:rPr>
              <w:t>都不应造成自然生境的退化、生物多样性的丧失或入侵物种的引进</w:t>
            </w:r>
            <w:r w:rsidRPr="002A0DEA">
              <w:rPr>
                <w:rFonts w:eastAsiaTheme="minorEastAsia"/>
                <w:bCs/>
                <w:kern w:val="22"/>
                <w:sz w:val="22"/>
                <w:lang w:eastAsia="zh-CN"/>
              </w:rPr>
              <w:t>，</w:t>
            </w:r>
            <w:r w:rsidRPr="002A0DEA">
              <w:rPr>
                <w:rFonts w:eastAsiaTheme="minorEastAsia"/>
                <w:bCs/>
                <w:kern w:val="22"/>
                <w:sz w:val="22"/>
                <w:lang w:val="zh-CN" w:eastAsia="zh-CN"/>
              </w:rPr>
              <w:t>也不应使未来易于产生灾害或加剧这种灾害。</w:t>
            </w:r>
          </w:p>
          <w:p w:rsidR="00375FE8" w:rsidRPr="002A0DEA" w:rsidRDefault="00375FE8" w:rsidP="000A1A91">
            <w:pPr>
              <w:numPr>
                <w:ilvl w:val="0"/>
                <w:numId w:val="55"/>
              </w:numPr>
              <w:suppressLineNumbers/>
              <w:tabs>
                <w:tab w:val="left" w:pos="417"/>
              </w:tabs>
              <w:suppressAutoHyphens/>
              <w:kinsoku w:val="0"/>
              <w:overflowPunct w:val="0"/>
              <w:autoSpaceDE w:val="0"/>
              <w:autoSpaceDN w:val="0"/>
              <w:adjustRightInd w:val="0"/>
              <w:snapToGrid w:val="0"/>
              <w:spacing w:before="40" w:after="40"/>
              <w:ind w:left="0" w:firstLine="0"/>
              <w:rPr>
                <w:rFonts w:eastAsiaTheme="minorEastAsia"/>
                <w:bCs/>
                <w:lang w:eastAsia="zh-CN"/>
              </w:rPr>
            </w:pPr>
            <w:r w:rsidRPr="002A0DEA">
              <w:rPr>
                <w:rFonts w:eastAsiaTheme="minorEastAsia"/>
                <w:bCs/>
                <w:kern w:val="22"/>
                <w:sz w:val="22"/>
                <w:lang w:val="zh-CN" w:eastAsia="zh-CN"/>
              </w:rPr>
              <w:t>基于生态系统适应气候变化和减少灾害风险的活动应促进和加强生物多样性和生态系统功能和服务</w:t>
            </w:r>
            <w:r w:rsidRPr="002A0DEA">
              <w:rPr>
                <w:rFonts w:eastAsiaTheme="minorEastAsia"/>
                <w:bCs/>
                <w:kern w:val="22"/>
                <w:sz w:val="22"/>
                <w:lang w:eastAsia="zh-CN"/>
              </w:rPr>
              <w:t>，</w:t>
            </w:r>
            <w:r w:rsidRPr="002A0DEA">
              <w:rPr>
                <w:rFonts w:eastAsiaTheme="minorEastAsia"/>
                <w:bCs/>
                <w:kern w:val="22"/>
                <w:sz w:val="22"/>
                <w:lang w:val="zh-CN" w:eastAsia="zh-CN"/>
              </w:rPr>
              <w:t>其中包括通过作为灾后需求评估和恢复及重建计划的一部分的复原</w:t>
            </w:r>
            <w:r w:rsidRPr="002A0DEA">
              <w:rPr>
                <w:rFonts w:eastAsiaTheme="minorEastAsia"/>
                <w:bCs/>
                <w:kern w:val="22"/>
                <w:sz w:val="22"/>
                <w:lang w:eastAsia="zh-CN"/>
              </w:rPr>
              <w:t>/</w:t>
            </w:r>
            <w:r w:rsidRPr="002A0DEA">
              <w:rPr>
                <w:rFonts w:eastAsiaTheme="minorEastAsia"/>
                <w:bCs/>
                <w:kern w:val="22"/>
                <w:sz w:val="22"/>
                <w:lang w:val="zh-CN" w:eastAsia="zh-CN"/>
              </w:rPr>
              <w:t>恢复和养护措施。</w:t>
            </w:r>
          </w:p>
        </w:tc>
      </w:tr>
      <w:tr w:rsidR="00375FE8" w:rsidRPr="002A0DEA" w:rsidTr="002A0DEA">
        <w:trPr>
          <w:cantSplit/>
          <w:jc w:val="center"/>
        </w:trPr>
        <w:tc>
          <w:tcPr>
            <w:tcW w:w="2268" w:type="dxa"/>
          </w:tcPr>
          <w:p w:rsidR="00375FE8" w:rsidRPr="00BC1E75" w:rsidRDefault="00375FE8" w:rsidP="00BC1E75">
            <w:pPr>
              <w:suppressLineNumbers/>
              <w:suppressAutoHyphens/>
              <w:kinsoku w:val="0"/>
              <w:overflowPunct w:val="0"/>
              <w:autoSpaceDE w:val="0"/>
              <w:autoSpaceDN w:val="0"/>
              <w:adjustRightInd w:val="0"/>
              <w:snapToGrid w:val="0"/>
              <w:spacing w:before="40" w:after="40"/>
              <w:ind w:firstLine="0"/>
              <w:rPr>
                <w:rFonts w:ascii="KaiTi" w:eastAsia="KaiTi" w:hAnsi="KaiTi"/>
                <w:bCs/>
                <w:lang w:eastAsia="zh-CN"/>
              </w:rPr>
            </w:pPr>
            <w:r w:rsidRPr="00BC1E75">
              <w:rPr>
                <w:rFonts w:ascii="KaiTi" w:eastAsia="KaiTi" w:hAnsi="KaiTi"/>
                <w:bCs/>
                <w:kern w:val="22"/>
                <w:sz w:val="22"/>
                <w:lang w:val="zh-CN" w:eastAsia="zh-CN"/>
              </w:rPr>
              <w:t>可持续的资源利用</w:t>
            </w:r>
          </w:p>
        </w:tc>
        <w:tc>
          <w:tcPr>
            <w:tcW w:w="7082" w:type="dxa"/>
          </w:tcPr>
          <w:p w:rsidR="00375FE8" w:rsidRPr="002A0DEA" w:rsidRDefault="00375FE8" w:rsidP="000A1A91">
            <w:pPr>
              <w:numPr>
                <w:ilvl w:val="0"/>
                <w:numId w:val="55"/>
              </w:numPr>
              <w:suppressLineNumbers/>
              <w:tabs>
                <w:tab w:val="left" w:pos="417"/>
              </w:tabs>
              <w:suppressAutoHyphens/>
              <w:kinsoku w:val="0"/>
              <w:overflowPunct w:val="0"/>
              <w:autoSpaceDE w:val="0"/>
              <w:autoSpaceDN w:val="0"/>
              <w:adjustRightInd w:val="0"/>
              <w:snapToGrid w:val="0"/>
              <w:spacing w:before="40" w:after="40"/>
              <w:ind w:left="0" w:firstLine="0"/>
              <w:rPr>
                <w:rFonts w:eastAsiaTheme="minorEastAsia"/>
                <w:bCs/>
                <w:lang w:eastAsia="zh-CN"/>
              </w:rPr>
            </w:pPr>
            <w:r w:rsidRPr="002A0DEA">
              <w:rPr>
                <w:rFonts w:eastAsiaTheme="minorEastAsia"/>
                <w:bCs/>
                <w:kern w:val="22"/>
                <w:sz w:val="22"/>
                <w:lang w:val="zh-CN" w:eastAsia="zh-CN"/>
              </w:rPr>
              <w:t>基于生态系统适应气候变化和减少灾害风险的活动不应造成不可持续的资源使用</w:t>
            </w:r>
            <w:r w:rsidRPr="002A0DEA">
              <w:rPr>
                <w:rFonts w:eastAsiaTheme="minorEastAsia"/>
                <w:bCs/>
                <w:kern w:val="22"/>
                <w:sz w:val="22"/>
                <w:lang w:eastAsia="zh-CN"/>
              </w:rPr>
              <w:t>，</w:t>
            </w:r>
            <w:r w:rsidRPr="002A0DEA">
              <w:rPr>
                <w:rFonts w:eastAsiaTheme="minorEastAsia"/>
                <w:bCs/>
                <w:kern w:val="22"/>
                <w:sz w:val="22"/>
                <w:lang w:val="zh-CN" w:eastAsia="zh-CN"/>
              </w:rPr>
              <w:t>也不应加大导致气候变化和灾害风险的驱动因素</w:t>
            </w:r>
            <w:r w:rsidRPr="002A0DEA">
              <w:rPr>
                <w:rFonts w:eastAsiaTheme="minorEastAsia"/>
                <w:bCs/>
                <w:kern w:val="22"/>
                <w:sz w:val="22"/>
                <w:lang w:eastAsia="zh-CN"/>
              </w:rPr>
              <w:t>，</w:t>
            </w:r>
            <w:r w:rsidRPr="002A0DEA">
              <w:rPr>
                <w:rFonts w:eastAsiaTheme="minorEastAsia"/>
                <w:bCs/>
                <w:kern w:val="22"/>
                <w:sz w:val="22"/>
                <w:lang w:val="zh-CN" w:eastAsia="zh-CN"/>
              </w:rPr>
              <w:t>应致力于使能源效率最大化和尽可能减少物质资源使用。</w:t>
            </w:r>
          </w:p>
        </w:tc>
      </w:tr>
      <w:tr w:rsidR="00375FE8" w:rsidRPr="002A0DEA" w:rsidTr="002A0DEA">
        <w:trPr>
          <w:cantSplit/>
          <w:jc w:val="center"/>
        </w:trPr>
        <w:tc>
          <w:tcPr>
            <w:tcW w:w="2268" w:type="dxa"/>
          </w:tcPr>
          <w:p w:rsidR="00375FE8" w:rsidRPr="00BC1E75" w:rsidRDefault="00375FE8" w:rsidP="00BC1E75">
            <w:pPr>
              <w:suppressLineNumbers/>
              <w:suppressAutoHyphens/>
              <w:kinsoku w:val="0"/>
              <w:overflowPunct w:val="0"/>
              <w:autoSpaceDE w:val="0"/>
              <w:autoSpaceDN w:val="0"/>
              <w:adjustRightInd w:val="0"/>
              <w:snapToGrid w:val="0"/>
              <w:spacing w:before="40" w:after="40"/>
              <w:ind w:firstLine="0"/>
              <w:rPr>
                <w:rFonts w:ascii="KaiTi" w:eastAsia="KaiTi" w:hAnsi="KaiTi"/>
                <w:bCs/>
                <w:lang w:eastAsia="zh-CN"/>
              </w:rPr>
            </w:pPr>
            <w:r w:rsidRPr="00BC1E75">
              <w:rPr>
                <w:rFonts w:ascii="KaiTi" w:eastAsia="KaiTi" w:hAnsi="KaiTi"/>
                <w:bCs/>
                <w:kern w:val="22"/>
                <w:sz w:val="22"/>
                <w:lang w:val="zh-CN" w:eastAsia="zh-CN"/>
              </w:rPr>
              <w:t>推动全面、有效和包容的参与</w:t>
            </w:r>
          </w:p>
        </w:tc>
        <w:tc>
          <w:tcPr>
            <w:tcW w:w="7082" w:type="dxa"/>
          </w:tcPr>
          <w:p w:rsidR="00375FE8" w:rsidRPr="002A0DEA" w:rsidRDefault="00375FE8" w:rsidP="000A1A91">
            <w:pPr>
              <w:numPr>
                <w:ilvl w:val="0"/>
                <w:numId w:val="55"/>
              </w:numPr>
              <w:suppressLineNumbers/>
              <w:tabs>
                <w:tab w:val="left" w:pos="417"/>
              </w:tabs>
              <w:suppressAutoHyphens/>
              <w:kinsoku w:val="0"/>
              <w:overflowPunct w:val="0"/>
              <w:autoSpaceDE w:val="0"/>
              <w:autoSpaceDN w:val="0"/>
              <w:adjustRightInd w:val="0"/>
              <w:snapToGrid w:val="0"/>
              <w:spacing w:before="40" w:after="40"/>
              <w:ind w:left="0" w:firstLine="0"/>
              <w:rPr>
                <w:rFonts w:eastAsiaTheme="minorEastAsia"/>
                <w:bCs/>
                <w:lang w:eastAsia="zh-CN"/>
              </w:rPr>
            </w:pPr>
            <w:r w:rsidRPr="002A0DEA">
              <w:rPr>
                <w:rFonts w:eastAsiaTheme="minorEastAsia"/>
                <w:bCs/>
                <w:kern w:val="22"/>
                <w:sz w:val="22"/>
                <w:lang w:val="zh-CN" w:eastAsia="zh-CN"/>
              </w:rPr>
              <w:t>基于生态系统适应气候变化和减少灾害风险活动应确保有关人民，包括土著人民和地方社区、妇女、少数族群和最脆弱群体的全面和有效参与</w:t>
            </w:r>
            <w:r w:rsidRPr="002A0DEA">
              <w:rPr>
                <w:rFonts w:eastAsiaTheme="minorEastAsia"/>
                <w:bCs/>
                <w:kern w:val="22"/>
                <w:sz w:val="22"/>
                <w:lang w:eastAsia="zh-CN"/>
              </w:rPr>
              <w:t>，</w:t>
            </w:r>
            <w:r w:rsidRPr="002A0DEA">
              <w:rPr>
                <w:rFonts w:eastAsiaTheme="minorEastAsia"/>
                <w:bCs/>
                <w:kern w:val="22"/>
                <w:sz w:val="22"/>
                <w:lang w:val="zh-CN" w:eastAsia="zh-CN"/>
              </w:rPr>
              <w:t>包括提供知情参与的适当机会。</w:t>
            </w:r>
          </w:p>
        </w:tc>
      </w:tr>
      <w:tr w:rsidR="00375FE8" w:rsidRPr="002A0DEA" w:rsidTr="002A0DEA">
        <w:trPr>
          <w:cantSplit/>
          <w:jc w:val="center"/>
        </w:trPr>
        <w:tc>
          <w:tcPr>
            <w:tcW w:w="2268" w:type="dxa"/>
          </w:tcPr>
          <w:p w:rsidR="00375FE8" w:rsidRPr="00BC1E75" w:rsidRDefault="00375FE8" w:rsidP="00BC1E75">
            <w:pPr>
              <w:suppressLineNumbers/>
              <w:suppressAutoHyphens/>
              <w:kinsoku w:val="0"/>
              <w:overflowPunct w:val="0"/>
              <w:autoSpaceDE w:val="0"/>
              <w:autoSpaceDN w:val="0"/>
              <w:adjustRightInd w:val="0"/>
              <w:snapToGrid w:val="0"/>
              <w:spacing w:before="40" w:after="40"/>
              <w:ind w:firstLine="0"/>
              <w:rPr>
                <w:rFonts w:ascii="KaiTi" w:eastAsia="KaiTi" w:hAnsi="KaiTi"/>
                <w:bCs/>
                <w:lang w:eastAsia="zh-CN"/>
              </w:rPr>
            </w:pPr>
            <w:r w:rsidRPr="00BC1E75">
              <w:rPr>
                <w:rFonts w:ascii="KaiTi" w:eastAsia="KaiTi" w:hAnsi="KaiTi"/>
                <w:bCs/>
                <w:kern w:val="22"/>
                <w:sz w:val="22"/>
                <w:lang w:val="zh-CN" w:eastAsia="zh-CN"/>
              </w:rPr>
              <w:t>公正和公平地获得惠益</w:t>
            </w:r>
          </w:p>
        </w:tc>
        <w:tc>
          <w:tcPr>
            <w:tcW w:w="7082" w:type="dxa"/>
          </w:tcPr>
          <w:p w:rsidR="00375FE8" w:rsidRPr="002A0DEA" w:rsidRDefault="00375FE8" w:rsidP="000A1A91">
            <w:pPr>
              <w:numPr>
                <w:ilvl w:val="0"/>
                <w:numId w:val="55"/>
              </w:numPr>
              <w:suppressLineNumbers/>
              <w:tabs>
                <w:tab w:val="left" w:pos="417"/>
              </w:tabs>
              <w:suppressAutoHyphens/>
              <w:kinsoku w:val="0"/>
              <w:overflowPunct w:val="0"/>
              <w:autoSpaceDE w:val="0"/>
              <w:autoSpaceDN w:val="0"/>
              <w:adjustRightInd w:val="0"/>
              <w:snapToGrid w:val="0"/>
              <w:spacing w:before="40" w:after="40"/>
              <w:ind w:left="0" w:firstLine="0"/>
              <w:rPr>
                <w:rFonts w:eastAsiaTheme="minorEastAsia"/>
                <w:bCs/>
                <w:lang w:eastAsia="zh-CN"/>
              </w:rPr>
            </w:pPr>
            <w:r w:rsidRPr="002A0DEA">
              <w:rPr>
                <w:rFonts w:eastAsiaTheme="minorEastAsia"/>
                <w:bCs/>
                <w:kern w:val="22"/>
                <w:sz w:val="22"/>
                <w:lang w:val="zh-CN" w:eastAsia="zh-CN"/>
              </w:rPr>
              <w:t>基于生态系统适应气候变化和减少灾害风险的活动促进公正和公平地获得惠益并且不加剧现有的不平等状况</w:t>
            </w:r>
            <w:r w:rsidRPr="002A0DEA">
              <w:rPr>
                <w:rFonts w:eastAsiaTheme="minorEastAsia"/>
                <w:bCs/>
                <w:kern w:val="22"/>
                <w:sz w:val="22"/>
                <w:lang w:eastAsia="zh-CN"/>
              </w:rPr>
              <w:t>，</w:t>
            </w:r>
            <w:r w:rsidRPr="002A0DEA">
              <w:rPr>
                <w:rFonts w:eastAsiaTheme="minorEastAsia"/>
                <w:bCs/>
                <w:kern w:val="22"/>
                <w:sz w:val="22"/>
                <w:lang w:val="zh-CN" w:eastAsia="zh-CN"/>
              </w:rPr>
              <w:t>特别是对处于边缘化或处境脆弱的群体。基于生态系统适应气候变化和减少灾害风险的活动应达到国家劳工标准，保护参与者不受剥削、歧视和从事有害其福祉的工作。</w:t>
            </w:r>
            <w:r w:rsidRPr="002A0DEA">
              <w:rPr>
                <w:rFonts w:eastAsiaTheme="minorEastAsia"/>
                <w:bCs/>
                <w:kern w:val="22"/>
                <w:sz w:val="22"/>
                <w:lang w:eastAsia="zh-CN"/>
              </w:rPr>
              <w:t xml:space="preserve"> </w:t>
            </w:r>
          </w:p>
        </w:tc>
      </w:tr>
      <w:tr w:rsidR="00375FE8" w:rsidRPr="002A0DEA" w:rsidTr="002A0DEA">
        <w:trPr>
          <w:cantSplit/>
          <w:jc w:val="center"/>
        </w:trPr>
        <w:tc>
          <w:tcPr>
            <w:tcW w:w="2268" w:type="dxa"/>
          </w:tcPr>
          <w:p w:rsidR="00375FE8" w:rsidRPr="00BC1E75" w:rsidRDefault="00375FE8" w:rsidP="00BC1E75">
            <w:pPr>
              <w:suppressLineNumbers/>
              <w:suppressAutoHyphens/>
              <w:kinsoku w:val="0"/>
              <w:overflowPunct w:val="0"/>
              <w:autoSpaceDE w:val="0"/>
              <w:autoSpaceDN w:val="0"/>
              <w:adjustRightInd w:val="0"/>
              <w:snapToGrid w:val="0"/>
              <w:spacing w:before="40" w:after="40"/>
              <w:ind w:firstLine="0"/>
              <w:rPr>
                <w:rFonts w:ascii="KaiTi" w:eastAsia="KaiTi" w:hAnsi="KaiTi"/>
                <w:bCs/>
                <w:lang w:eastAsia="zh-CN"/>
              </w:rPr>
            </w:pPr>
            <w:r w:rsidRPr="00BC1E75">
              <w:rPr>
                <w:rFonts w:ascii="KaiTi" w:eastAsia="KaiTi" w:hAnsi="KaiTi"/>
                <w:bCs/>
                <w:kern w:val="22"/>
                <w:sz w:val="22"/>
                <w:lang w:val="zh-CN" w:eastAsia="zh-CN"/>
              </w:rPr>
              <w:t>透明治理和获得信息</w:t>
            </w:r>
          </w:p>
        </w:tc>
        <w:tc>
          <w:tcPr>
            <w:tcW w:w="7082" w:type="dxa"/>
          </w:tcPr>
          <w:p w:rsidR="00375FE8" w:rsidRPr="002A0DEA" w:rsidRDefault="00375FE8" w:rsidP="000A1A91">
            <w:pPr>
              <w:numPr>
                <w:ilvl w:val="0"/>
                <w:numId w:val="55"/>
              </w:numPr>
              <w:suppressLineNumbers/>
              <w:tabs>
                <w:tab w:val="left" w:pos="417"/>
              </w:tabs>
              <w:suppressAutoHyphens/>
              <w:kinsoku w:val="0"/>
              <w:overflowPunct w:val="0"/>
              <w:autoSpaceDE w:val="0"/>
              <w:autoSpaceDN w:val="0"/>
              <w:adjustRightInd w:val="0"/>
              <w:snapToGrid w:val="0"/>
              <w:spacing w:before="40" w:after="40"/>
              <w:ind w:left="0" w:firstLine="0"/>
              <w:rPr>
                <w:rFonts w:eastAsiaTheme="minorEastAsia"/>
                <w:bCs/>
                <w:lang w:eastAsia="zh-CN"/>
              </w:rPr>
            </w:pPr>
            <w:r w:rsidRPr="002A0DEA">
              <w:rPr>
                <w:rFonts w:eastAsiaTheme="minorEastAsia"/>
                <w:bCs/>
                <w:kern w:val="22"/>
                <w:sz w:val="22"/>
                <w:lang w:val="zh-CN" w:eastAsia="zh-CN"/>
              </w:rPr>
              <w:t>基于生态系统适应气候变化和减少灾害风险活动应推动透明治理</w:t>
            </w:r>
            <w:r w:rsidRPr="002A0DEA">
              <w:rPr>
                <w:rFonts w:eastAsiaTheme="minorEastAsia"/>
                <w:bCs/>
                <w:kern w:val="22"/>
                <w:sz w:val="22"/>
                <w:lang w:eastAsia="zh-CN"/>
              </w:rPr>
              <w:t>，</w:t>
            </w:r>
            <w:r w:rsidRPr="002A0DEA">
              <w:rPr>
                <w:rFonts w:eastAsiaTheme="minorEastAsia"/>
                <w:bCs/>
                <w:kern w:val="22"/>
                <w:sz w:val="22"/>
                <w:lang w:val="zh-CN" w:eastAsia="zh-CN"/>
              </w:rPr>
              <w:t>办法是支持获得信息的权利、向所有利益攸关方和权利拥有者特别是土著人民和地方社区及时提供信息</w:t>
            </w:r>
            <w:r w:rsidRPr="002A0DEA">
              <w:rPr>
                <w:rFonts w:eastAsiaTheme="minorEastAsia"/>
                <w:bCs/>
                <w:kern w:val="22"/>
                <w:sz w:val="22"/>
                <w:lang w:eastAsia="zh-CN"/>
              </w:rPr>
              <w:t>，</w:t>
            </w:r>
            <w:r w:rsidRPr="002A0DEA">
              <w:rPr>
                <w:rFonts w:eastAsiaTheme="minorEastAsia"/>
                <w:bCs/>
                <w:kern w:val="22"/>
                <w:sz w:val="22"/>
                <w:lang w:val="zh-CN" w:eastAsia="zh-CN"/>
              </w:rPr>
              <w:t>并支持进一步收集和传播知识。</w:t>
            </w:r>
          </w:p>
        </w:tc>
      </w:tr>
      <w:tr w:rsidR="00375FE8" w:rsidRPr="002A0DEA" w:rsidTr="002A0DEA">
        <w:trPr>
          <w:cantSplit/>
          <w:jc w:val="center"/>
        </w:trPr>
        <w:tc>
          <w:tcPr>
            <w:tcW w:w="2268" w:type="dxa"/>
            <w:tcBorders>
              <w:bottom w:val="single" w:sz="6" w:space="0" w:color="auto"/>
            </w:tcBorders>
          </w:tcPr>
          <w:p w:rsidR="00375FE8" w:rsidRPr="00BC1E75" w:rsidRDefault="00375FE8" w:rsidP="00BC1E75">
            <w:pPr>
              <w:suppressLineNumbers/>
              <w:suppressAutoHyphens/>
              <w:kinsoku w:val="0"/>
              <w:overflowPunct w:val="0"/>
              <w:autoSpaceDE w:val="0"/>
              <w:autoSpaceDN w:val="0"/>
              <w:adjustRightInd w:val="0"/>
              <w:snapToGrid w:val="0"/>
              <w:spacing w:before="40" w:after="40"/>
              <w:ind w:firstLine="0"/>
              <w:rPr>
                <w:rFonts w:ascii="KaiTi" w:eastAsia="KaiTi" w:hAnsi="KaiTi"/>
                <w:bCs/>
                <w:lang w:eastAsia="zh-CN"/>
              </w:rPr>
            </w:pPr>
            <w:r w:rsidRPr="00BC1E75">
              <w:rPr>
                <w:rFonts w:ascii="KaiTi" w:eastAsia="KaiTi" w:hAnsi="KaiTi"/>
                <w:bCs/>
                <w:kern w:val="22"/>
                <w:sz w:val="22"/>
                <w:lang w:val="zh-CN" w:eastAsia="zh-CN"/>
              </w:rPr>
              <w:t>尊重土著人民和地方社区的妇女和男性的权利</w:t>
            </w:r>
          </w:p>
        </w:tc>
        <w:tc>
          <w:tcPr>
            <w:tcW w:w="7082" w:type="dxa"/>
            <w:tcBorders>
              <w:bottom w:val="single" w:sz="6" w:space="0" w:color="auto"/>
            </w:tcBorders>
          </w:tcPr>
          <w:p w:rsidR="00375FE8" w:rsidRPr="002A0DEA" w:rsidRDefault="00375FE8" w:rsidP="000A1A91">
            <w:pPr>
              <w:numPr>
                <w:ilvl w:val="0"/>
                <w:numId w:val="55"/>
              </w:numPr>
              <w:suppressLineNumbers/>
              <w:tabs>
                <w:tab w:val="left" w:pos="417"/>
              </w:tabs>
              <w:suppressAutoHyphens/>
              <w:kinsoku w:val="0"/>
              <w:overflowPunct w:val="0"/>
              <w:autoSpaceDE w:val="0"/>
              <w:autoSpaceDN w:val="0"/>
              <w:adjustRightInd w:val="0"/>
              <w:snapToGrid w:val="0"/>
              <w:spacing w:before="40" w:after="40"/>
              <w:ind w:left="0" w:firstLine="0"/>
              <w:rPr>
                <w:rFonts w:eastAsiaTheme="minorEastAsia"/>
                <w:bCs/>
                <w:lang w:eastAsia="zh-CN"/>
              </w:rPr>
            </w:pPr>
            <w:r w:rsidRPr="002A0DEA">
              <w:rPr>
                <w:rFonts w:eastAsiaTheme="minorEastAsia"/>
                <w:bCs/>
                <w:kern w:val="22"/>
                <w:sz w:val="22"/>
                <w:lang w:val="zh-CN" w:eastAsia="zh-CN"/>
              </w:rPr>
              <w:t>基于生态系统适应气候变化和减少灾害风险措施应尊重来自土著人民和地方社区的男子和妇女的权利</w:t>
            </w:r>
            <w:r w:rsidRPr="002A0DEA">
              <w:rPr>
                <w:rFonts w:eastAsiaTheme="minorEastAsia"/>
                <w:bCs/>
                <w:kern w:val="22"/>
                <w:sz w:val="22"/>
                <w:lang w:eastAsia="zh-CN"/>
              </w:rPr>
              <w:t>，</w:t>
            </w:r>
            <w:r w:rsidRPr="002A0DEA">
              <w:rPr>
                <w:rFonts w:eastAsiaTheme="minorEastAsia"/>
                <w:bCs/>
                <w:kern w:val="22"/>
                <w:sz w:val="22"/>
                <w:lang w:val="zh-CN" w:eastAsia="zh-CN"/>
              </w:rPr>
              <w:t>包括准入和使用有形遗产和文化遗产。</w:t>
            </w:r>
          </w:p>
        </w:tc>
      </w:tr>
    </w:tbl>
    <w:p w:rsidR="00375FE8" w:rsidRPr="002A0DEA" w:rsidRDefault="00375FE8" w:rsidP="000A1A91">
      <w:pPr>
        <w:pStyle w:val="ListParagraph"/>
        <w:keepNext/>
        <w:numPr>
          <w:ilvl w:val="0"/>
          <w:numId w:val="56"/>
        </w:numPr>
        <w:suppressLineNumbers/>
        <w:suppressAutoHyphens/>
        <w:kinsoku w:val="0"/>
        <w:overflowPunct w:val="0"/>
        <w:autoSpaceDE w:val="0"/>
        <w:autoSpaceDN w:val="0"/>
        <w:adjustRightInd w:val="0"/>
        <w:snapToGrid w:val="0"/>
        <w:spacing w:before="240"/>
        <w:outlineLvl w:val="0"/>
        <w:rPr>
          <w:rFonts w:eastAsiaTheme="minorEastAsia"/>
          <w:b/>
          <w:kern w:val="22"/>
          <w:lang w:eastAsia="zh-CN"/>
        </w:rPr>
      </w:pPr>
      <w:bookmarkStart w:id="56" w:name="_Toc6243676"/>
      <w:r w:rsidRPr="002A0DEA">
        <w:rPr>
          <w:rFonts w:eastAsiaTheme="minorEastAsia"/>
          <w:b/>
          <w:kern w:val="22"/>
          <w:lang w:val="zh-CN" w:eastAsia="zh-CN"/>
        </w:rPr>
        <w:t>设计和实施基于生态系统的适应气候变化和减少灾害风险的主要考虑因素</w:t>
      </w:r>
      <w:bookmarkEnd w:id="56"/>
    </w:p>
    <w:p w:rsidR="004B7DAB" w:rsidRPr="004B7DAB" w:rsidRDefault="00375FE8" w:rsidP="000A2C72">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lang w:eastAsia="zh-CN"/>
        </w:rPr>
      </w:pPr>
      <w:r w:rsidRPr="004B7DAB">
        <w:rPr>
          <w:rFonts w:eastAsiaTheme="minorEastAsia"/>
          <w:kern w:val="22"/>
          <w:lang w:val="zh-CN" w:eastAsia="zh-CN"/>
        </w:rPr>
        <w:t>在采取逐步措施规划和实施第四节提供的基于生态系统适应气候变化</w:t>
      </w:r>
      <w:r w:rsidR="004B7DAB" w:rsidRPr="004B7DAB">
        <w:rPr>
          <w:rFonts w:eastAsiaTheme="minorEastAsia"/>
          <w:kern w:val="22"/>
          <w:lang w:val="zh-CN" w:eastAsia="zh-CN"/>
        </w:rPr>
        <w:t>和减少灾害风险办法时</w:t>
      </w:r>
      <w:r w:rsidR="004B7DAB" w:rsidRPr="004B7DAB">
        <w:rPr>
          <w:rFonts w:eastAsiaTheme="minorEastAsia"/>
          <w:spacing w:val="-20"/>
          <w:kern w:val="22"/>
          <w:lang w:val="zh-CN" w:eastAsia="zh-CN"/>
        </w:rPr>
        <w:t>，每一步骤都需铭记三项主要考虑因素：纳入土著人民和地方社区的知识、技术、做法和努力；</w:t>
      </w:r>
      <w:r w:rsidR="004B7DAB" w:rsidRPr="004B7DAB">
        <w:rPr>
          <w:rFonts w:eastAsiaTheme="minorEastAsia"/>
          <w:kern w:val="22"/>
          <w:lang w:val="zh-CN" w:eastAsia="zh-CN"/>
        </w:rPr>
        <w:t>将基于生态系统适应气候变化和减少灾害风险主流化；提高认识和建立能力。将这些行动纳入考虑能强化基于生态系统适应气候变化和减少灾害风险的实施及提高效用和效率，并能从这些行动取得更多更好的成果。</w:t>
      </w:r>
    </w:p>
    <w:p w:rsidR="00375FE8" w:rsidRPr="002A0DEA" w:rsidRDefault="00375FE8" w:rsidP="00BC1E75">
      <w:pPr>
        <w:pStyle w:val="ListParagraph"/>
        <w:keepNext/>
        <w:suppressLineNumbers/>
        <w:suppressAutoHyphens/>
        <w:kinsoku w:val="0"/>
        <w:overflowPunct w:val="0"/>
        <w:autoSpaceDE w:val="0"/>
        <w:autoSpaceDN w:val="0"/>
        <w:adjustRightInd w:val="0"/>
        <w:ind w:left="490" w:firstLine="230"/>
        <w:outlineLvl w:val="0"/>
        <w:rPr>
          <w:rFonts w:eastAsiaTheme="minorEastAsia"/>
          <w:b/>
          <w:snapToGrid w:val="0"/>
          <w:color w:val="000000"/>
          <w:kern w:val="22"/>
          <w:lang w:eastAsia="zh-CN"/>
        </w:rPr>
      </w:pPr>
      <w:bookmarkStart w:id="57" w:name="_Toc6243677"/>
      <w:r w:rsidRPr="002A0DEA">
        <w:rPr>
          <w:rFonts w:eastAsiaTheme="minorEastAsia"/>
          <w:b/>
          <w:snapToGrid w:val="0"/>
          <w:color w:val="000000"/>
          <w:kern w:val="22"/>
          <w:lang w:eastAsia="zh-CN"/>
        </w:rPr>
        <w:lastRenderedPageBreak/>
        <w:t xml:space="preserve">3.1  </w:t>
      </w:r>
      <w:r w:rsidRPr="002A0DEA">
        <w:rPr>
          <w:rFonts w:eastAsiaTheme="minorEastAsia"/>
          <w:b/>
          <w:snapToGrid w:val="0"/>
          <w:color w:val="000000"/>
          <w:kern w:val="22"/>
          <w:lang w:eastAsia="zh-CN"/>
        </w:rPr>
        <w:t>纳入土著人民和地方社区的知识、技术、做法和努力</w:t>
      </w:r>
      <w:bookmarkEnd w:id="57"/>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kern w:val="22"/>
          <w:lang w:val="zh-CN" w:eastAsia="zh-CN"/>
        </w:rPr>
      </w:pPr>
      <w:r w:rsidRPr="002A0DEA">
        <w:rPr>
          <w:rFonts w:eastAsiaTheme="minorEastAsia"/>
          <w:kern w:val="22"/>
          <w:lang w:val="zh-CN" w:eastAsia="zh-CN"/>
        </w:rPr>
        <w:t>土著人民和地方社区通过几代人与环境相互作用的历史来管理多变性、不确定性和变化。因此，土著和传统知识以及应对战略可以补充已有证据、弥合信息差距，为应对气候变化和减少灾害风险奠定重要基础。土著、传统和地方知识体系</w:t>
      </w:r>
      <w:r w:rsidRPr="002A0DEA">
        <w:rPr>
          <w:rFonts w:eastAsiaTheme="minorEastAsia"/>
          <w:kern w:val="22"/>
          <w:lang w:val="zh-CN" w:eastAsia="zh-CN"/>
        </w:rPr>
        <w:t>——</w:t>
      </w:r>
      <w:r w:rsidRPr="002A0DEA">
        <w:rPr>
          <w:rFonts w:eastAsiaTheme="minorEastAsia"/>
          <w:kern w:val="22"/>
          <w:lang w:val="zh-CN" w:eastAsia="zh-CN"/>
        </w:rPr>
        <w:t>以及分析和文件编制（如社区制图）</w:t>
      </w:r>
      <w:r w:rsidRPr="002A0DEA">
        <w:rPr>
          <w:rFonts w:eastAsiaTheme="minorEastAsia"/>
          <w:kern w:val="22"/>
          <w:lang w:val="zh-CN" w:eastAsia="zh-CN"/>
        </w:rPr>
        <w:t>——</w:t>
      </w:r>
      <w:r w:rsidRPr="002A0DEA">
        <w:rPr>
          <w:rFonts w:eastAsiaTheme="minorEastAsia"/>
          <w:kern w:val="22"/>
          <w:lang w:val="zh-CN" w:eastAsia="zh-CN"/>
        </w:rPr>
        <w:t>类似于预警系统，可以在识别和监测气候、天气、生物多样性变化和即将发生的自然灾害方面发挥重要作用。基于生态系统办法也能够有助于恢复已摒弃的做法，例如土著和传统农业做法。纳入土著人民和地方社区的知识也需要了解他们的世界观，</w:t>
      </w:r>
      <w:r w:rsidRPr="002A0DEA">
        <w:rPr>
          <w:rFonts w:eastAsiaTheme="minorEastAsia"/>
          <w:kern w:val="22"/>
          <w:vertAlign w:val="superscript"/>
          <w:lang w:val="zh-CN" w:eastAsia="zh-CN"/>
        </w:rPr>
        <w:footnoteReference w:id="60"/>
      </w:r>
      <w:r w:rsidRPr="002A0DEA">
        <w:rPr>
          <w:rFonts w:eastAsiaTheme="minorEastAsia"/>
          <w:kern w:val="22"/>
          <w:vertAlign w:val="superscript"/>
          <w:lang w:val="zh-CN" w:eastAsia="zh-CN"/>
        </w:rPr>
        <w:t xml:space="preserve"> </w:t>
      </w:r>
      <w:r w:rsidRPr="002A0DEA">
        <w:rPr>
          <w:rFonts w:eastAsiaTheme="minorEastAsia"/>
          <w:kern w:val="22"/>
          <w:lang w:val="zh-CN" w:eastAsia="zh-CN"/>
        </w:rPr>
        <w:t>并承认他们作为知识持有人和权利持有人的作用。在所有规划和实施阶段始终都将土著和传统知识和做法纳入基于生态系统的适应气候变化和减少灾害风险的规划和实施的方法如下：</w:t>
      </w:r>
    </w:p>
    <w:p w:rsidR="00375FE8" w:rsidRPr="002A0DEA" w:rsidRDefault="00375FE8" w:rsidP="002A0DEA">
      <w:pPr>
        <w:keepNext/>
        <w:suppressLineNumbers/>
        <w:suppressAutoHyphens/>
        <w:kinsoku w:val="0"/>
        <w:overflowPunct w:val="0"/>
        <w:autoSpaceDE w:val="0"/>
        <w:autoSpaceDN w:val="0"/>
        <w:adjustRightInd w:val="0"/>
        <w:outlineLvl w:val="0"/>
        <w:rPr>
          <w:rFonts w:eastAsiaTheme="minorEastAsia"/>
          <w:b/>
          <w:snapToGrid w:val="0"/>
          <w:kern w:val="22"/>
        </w:rPr>
      </w:pPr>
      <w:bookmarkStart w:id="58" w:name="_Toc6243678"/>
      <w:r w:rsidRPr="002A0DEA">
        <w:rPr>
          <w:rFonts w:eastAsiaTheme="minorEastAsia"/>
          <w:b/>
          <w:snapToGrid w:val="0"/>
          <w:kern w:val="22"/>
          <w:lang w:eastAsia="zh-CN"/>
        </w:rPr>
        <w:t>关键行动</w:t>
      </w:r>
      <w:bookmarkEnd w:id="58"/>
    </w:p>
    <w:p w:rsidR="00375FE8" w:rsidRPr="002A0DEA" w:rsidRDefault="00375FE8" w:rsidP="00894C42">
      <w:pPr>
        <w:numPr>
          <w:ilvl w:val="0"/>
          <w:numId w:val="65"/>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发现并记载地方、土著和传统知识和做法与适应气候变化和减少灾害风险各项大小目标之间的联系；</w:t>
      </w:r>
    </w:p>
    <w:p w:rsidR="00375FE8" w:rsidRPr="002A0DEA" w:rsidRDefault="00375FE8" w:rsidP="00894C42">
      <w:pPr>
        <w:numPr>
          <w:ilvl w:val="0"/>
          <w:numId w:val="65"/>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与各个多利益攸关方工作组特别是土著人民和地方社区协商，促进跨部门知识分享，了解生态系统在适应变化和减少灾害风险方面的作用；</w:t>
      </w:r>
    </w:p>
    <w:p w:rsidR="00375FE8" w:rsidRPr="002A0DEA" w:rsidRDefault="00375FE8" w:rsidP="00894C42">
      <w:pPr>
        <w:numPr>
          <w:ilvl w:val="0"/>
          <w:numId w:val="65"/>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为寻找现有的最佳证据，建立具有有效参与性和透明度的机制；</w:t>
      </w:r>
    </w:p>
    <w:p w:rsidR="00375FE8" w:rsidRPr="004B7DAB" w:rsidRDefault="00375FE8" w:rsidP="00894C42">
      <w:pPr>
        <w:numPr>
          <w:ilvl w:val="0"/>
          <w:numId w:val="65"/>
        </w:numPr>
        <w:suppressLineNumbers/>
        <w:suppressAutoHyphens/>
        <w:kinsoku w:val="0"/>
        <w:overflowPunct w:val="0"/>
        <w:autoSpaceDE w:val="0"/>
        <w:autoSpaceDN w:val="0"/>
        <w:adjustRightInd w:val="0"/>
        <w:snapToGrid w:val="0"/>
        <w:ind w:left="0" w:firstLine="720"/>
        <w:rPr>
          <w:rFonts w:eastAsiaTheme="minorEastAsia"/>
          <w:bCs/>
          <w:spacing w:val="-20"/>
          <w:kern w:val="22"/>
          <w:lang w:eastAsia="zh-CN"/>
        </w:rPr>
      </w:pPr>
      <w:r w:rsidRPr="002A0DEA">
        <w:rPr>
          <w:rFonts w:eastAsiaTheme="minorEastAsia"/>
          <w:bCs/>
          <w:kern w:val="22"/>
          <w:lang w:eastAsia="zh-CN"/>
        </w:rPr>
        <w:t>在获得自由、</w:t>
      </w:r>
      <w:r w:rsidRPr="004B7DAB">
        <w:rPr>
          <w:rFonts w:eastAsiaTheme="minorEastAsia"/>
          <w:bCs/>
          <w:spacing w:val="-20"/>
          <w:kern w:val="22"/>
          <w:lang w:eastAsia="zh-CN"/>
        </w:rPr>
        <w:t>事先知情同意后，将土著人民和地方社区的知识纳入评估工作。</w:t>
      </w:r>
    </w:p>
    <w:p w:rsidR="00375FE8" w:rsidRPr="002A0DEA" w:rsidRDefault="00375FE8" w:rsidP="002A0DEA">
      <w:pPr>
        <w:widowControl w:val="0"/>
        <w:suppressLineNumbers/>
        <w:suppressAutoHyphens/>
        <w:kinsoku w:val="0"/>
        <w:overflowPunct w:val="0"/>
        <w:autoSpaceDE w:val="0"/>
        <w:autoSpaceDN w:val="0"/>
        <w:adjustRightInd w:val="0"/>
        <w:ind w:firstLine="490"/>
        <w:outlineLvl w:val="0"/>
        <w:rPr>
          <w:rFonts w:eastAsiaTheme="minorEastAsia"/>
          <w:b/>
          <w:snapToGrid w:val="0"/>
          <w:kern w:val="22"/>
          <w:lang w:eastAsia="zh-CN"/>
        </w:rPr>
      </w:pPr>
      <w:bookmarkStart w:id="59" w:name="_Toc6243679"/>
      <w:r w:rsidRPr="002A0DEA">
        <w:rPr>
          <w:rFonts w:eastAsiaTheme="minorEastAsia"/>
          <w:b/>
          <w:snapToGrid w:val="0"/>
          <w:kern w:val="22"/>
          <w:lang w:eastAsia="zh-CN"/>
        </w:rPr>
        <w:t xml:space="preserve">3.2  </w:t>
      </w:r>
      <w:r w:rsidRPr="002A0DEA">
        <w:rPr>
          <w:rFonts w:eastAsiaTheme="minorEastAsia"/>
          <w:b/>
          <w:snapToGrid w:val="0"/>
          <w:kern w:val="22"/>
          <w:lang w:eastAsia="zh-CN"/>
        </w:rPr>
        <w:t>基于生态系统的适应气候变化和减少灾害风险的主流化</w:t>
      </w:r>
      <w:bookmarkEnd w:id="59"/>
    </w:p>
    <w:p w:rsidR="00375FE8" w:rsidRPr="002A0DEA" w:rsidRDefault="00375FE8" w:rsidP="00BC1E75">
      <w:pPr>
        <w:widowControl w:val="0"/>
        <w:suppressLineNumbers/>
        <w:suppressAutoHyphens/>
        <w:kinsoku w:val="0"/>
        <w:overflowPunct w:val="0"/>
        <w:autoSpaceDE w:val="0"/>
        <w:autoSpaceDN w:val="0"/>
        <w:adjustRightInd w:val="0"/>
        <w:ind w:firstLine="0"/>
        <w:outlineLvl w:val="0"/>
        <w:rPr>
          <w:rFonts w:eastAsiaTheme="minorEastAsia"/>
          <w:b/>
          <w:snapToGrid w:val="0"/>
          <w:kern w:val="22"/>
          <w:lang w:eastAsia="zh-CN"/>
        </w:rPr>
      </w:pPr>
      <w:bookmarkStart w:id="60" w:name="_Toc6243680"/>
      <w:r w:rsidRPr="002A0DEA">
        <w:rPr>
          <w:rFonts w:eastAsiaTheme="minorEastAsia"/>
          <w:b/>
          <w:snapToGrid w:val="0"/>
          <w:kern w:val="22"/>
          <w:lang w:eastAsia="zh-CN"/>
        </w:rPr>
        <w:t>目的</w:t>
      </w:r>
      <w:bookmarkEnd w:id="60"/>
    </w:p>
    <w:p w:rsidR="00375FE8" w:rsidRPr="00894C42" w:rsidRDefault="00375FE8" w:rsidP="000A1A91">
      <w:pPr>
        <w:pStyle w:val="ListParagraph"/>
        <w:widowControl w:val="0"/>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894C42">
        <w:rPr>
          <w:rFonts w:eastAsiaTheme="minorEastAsia"/>
          <w:snapToGrid w:val="0"/>
          <w:kern w:val="22"/>
          <w:lang w:eastAsia="zh-CN"/>
        </w:rPr>
        <w:t>基本生态系统的办法适应气候变化和减少灾害风险主流化是把基于生态系统的办法纳入各级对气候和灾害敏感的规划和决策进程。主流化可以先将生态系统考虑因素纳入适应气候变化和减少灾害风险的目标、战略、政策、措施或行动，使之成为国家和区域各级和各阶段发展政策、进程和预算的一部分。主流化把基于生态系统的适应气候变化和减少灾害风险原则融入地方、市政和国家政策、规划、评估、筹资、培训和提高认识活动等政策工具中，从而提高这一基于生态系统办法的举措的有效性、效用和寿命。总体目标是加大对证明有效的基于生态系统的适应气候变化和减少灾害风险的支持和实施力度。</w:t>
      </w:r>
    </w:p>
    <w:p w:rsidR="00375FE8" w:rsidRPr="00894C42" w:rsidRDefault="00375FE8" w:rsidP="00894C42">
      <w:pPr>
        <w:pStyle w:val="ListParagraph"/>
        <w:widowControl w:val="0"/>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894C42">
        <w:rPr>
          <w:rFonts w:eastAsiaTheme="minorEastAsia"/>
          <w:snapToGrid w:val="0"/>
          <w:kern w:val="22"/>
          <w:lang w:eastAsia="zh-CN"/>
        </w:rPr>
        <w:t>主流化在基于生态系统的适应气候变化和减少灾害风险</w:t>
      </w:r>
      <w:r w:rsidRPr="004B7DAB">
        <w:rPr>
          <w:rFonts w:eastAsiaTheme="minorEastAsia"/>
          <w:snapToGrid w:val="0"/>
          <w:spacing w:val="-20"/>
          <w:kern w:val="22"/>
          <w:lang w:eastAsia="zh-CN"/>
        </w:rPr>
        <w:t>规划和实施过程中不断发生。该过程始于步骤</w:t>
      </w:r>
      <w:r w:rsidRPr="004B7DAB">
        <w:rPr>
          <w:rFonts w:eastAsiaTheme="minorEastAsia"/>
          <w:snapToGrid w:val="0"/>
          <w:spacing w:val="-20"/>
          <w:kern w:val="22"/>
          <w:lang w:eastAsia="zh-CN"/>
        </w:rPr>
        <w:t>A</w:t>
      </w:r>
      <w:r w:rsidRPr="004B7DAB">
        <w:rPr>
          <w:rFonts w:eastAsiaTheme="minorEastAsia"/>
          <w:snapToGrid w:val="0"/>
          <w:spacing w:val="-20"/>
          <w:kern w:val="22"/>
          <w:lang w:eastAsia="zh-CN"/>
        </w:rPr>
        <w:t>，</w:t>
      </w:r>
      <w:r w:rsidRPr="00894C42">
        <w:rPr>
          <w:rFonts w:eastAsiaTheme="minorEastAsia"/>
          <w:snapToGrid w:val="0"/>
          <w:kern w:val="22"/>
          <w:lang w:eastAsia="zh-CN"/>
        </w:rPr>
        <w:t>对目标系统的政治和体制设置有了广泛的了解，从而能够找到主流化的潜在切入点。主流化的其他关键组成部分包括加强部门外联、提高认识和进行能力建设。</w:t>
      </w:r>
    </w:p>
    <w:p w:rsidR="00375FE8" w:rsidRPr="002A0DEA" w:rsidRDefault="00375FE8" w:rsidP="00894C42">
      <w:pPr>
        <w:pStyle w:val="ListParagraph"/>
        <w:widowControl w:val="0"/>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2A0DEA">
        <w:rPr>
          <w:rFonts w:eastAsiaTheme="minorEastAsia"/>
          <w:snapToGrid w:val="0"/>
          <w:kern w:val="22"/>
          <w:lang w:eastAsia="zh-CN"/>
        </w:rPr>
        <w:t>在将基于生态系统的适应气候变化和减少灾害风险纳入主流时，必须与国家和国家</w:t>
      </w:r>
      <w:r w:rsidRPr="002A0DEA">
        <w:rPr>
          <w:rFonts w:eastAsiaTheme="minorEastAsia"/>
          <w:snapToGrid w:val="0"/>
          <w:kern w:val="22"/>
          <w:lang w:eastAsia="zh-CN"/>
        </w:rPr>
        <w:lastRenderedPageBreak/>
        <w:t>以下级发展框架保持一致，并将其纳入多种规模的相关计划、政策和实践中，以提高供资的长期可持续性和可能性（图</w:t>
      </w:r>
      <w:r w:rsidRPr="002A0DEA">
        <w:rPr>
          <w:rFonts w:eastAsiaTheme="minorEastAsia"/>
          <w:snapToGrid w:val="0"/>
          <w:kern w:val="22"/>
          <w:lang w:eastAsia="zh-CN"/>
        </w:rPr>
        <w:t>1</w:t>
      </w:r>
      <w:r w:rsidRPr="002A0DEA">
        <w:rPr>
          <w:rFonts w:eastAsiaTheme="minorEastAsia"/>
          <w:snapToGrid w:val="0"/>
          <w:kern w:val="22"/>
          <w:lang w:eastAsia="zh-CN"/>
        </w:rPr>
        <w:t>和方框</w:t>
      </w:r>
      <w:r w:rsidRPr="002A0DEA">
        <w:rPr>
          <w:rFonts w:eastAsiaTheme="minorEastAsia"/>
          <w:snapToGrid w:val="0"/>
          <w:kern w:val="22"/>
          <w:lang w:eastAsia="zh-CN"/>
        </w:rPr>
        <w:t>1</w:t>
      </w:r>
      <w:r w:rsidRPr="002A0DEA">
        <w:rPr>
          <w:rFonts w:eastAsiaTheme="minorEastAsia"/>
          <w:snapToGrid w:val="0"/>
          <w:kern w:val="22"/>
          <w:lang w:eastAsia="zh-CN"/>
        </w:rPr>
        <w:t>）。与可持续发展目标和《</w:t>
      </w:r>
      <w:r w:rsidRPr="00894C42">
        <w:rPr>
          <w:rFonts w:eastAsiaTheme="minorEastAsia"/>
          <w:snapToGrid w:val="0"/>
          <w:kern w:val="22"/>
          <w:lang w:eastAsia="zh-CN"/>
        </w:rPr>
        <w:t>2011-2020</w:t>
      </w:r>
      <w:r w:rsidRPr="00894C42">
        <w:rPr>
          <w:rFonts w:eastAsiaTheme="minorEastAsia"/>
          <w:snapToGrid w:val="0"/>
          <w:kern w:val="22"/>
          <w:lang w:eastAsia="zh-CN"/>
        </w:rPr>
        <w:t>年生物多样性战略计划</w:t>
      </w:r>
      <w:r w:rsidRPr="002A0DEA">
        <w:rPr>
          <w:rFonts w:eastAsiaTheme="minorEastAsia"/>
          <w:snapToGrid w:val="0"/>
          <w:kern w:val="22"/>
          <w:lang w:eastAsia="zh-CN"/>
        </w:rPr>
        <w:t>》等国际框架和公约保持一致也同样重要</w:t>
      </w:r>
      <w:r w:rsidRPr="004B7DAB">
        <w:rPr>
          <w:rFonts w:eastAsiaTheme="minorEastAsia"/>
          <w:snapToGrid w:val="0"/>
          <w:spacing w:val="-20"/>
          <w:kern w:val="22"/>
          <w:lang w:eastAsia="zh-CN"/>
        </w:rPr>
        <w:t>。进行环境影响评估和战略环境评估时，</w:t>
      </w:r>
      <w:r w:rsidRPr="002A0DEA">
        <w:rPr>
          <w:rFonts w:eastAsiaTheme="minorEastAsia"/>
          <w:snapToGrid w:val="0"/>
          <w:kern w:val="22"/>
          <w:lang w:eastAsia="zh-CN"/>
        </w:rPr>
        <w:t>纳入气候和减少灾害风险视角，防止产生可能加剧风险的意想不到的影响和促进基于生态系统的适应气候变化和减少灾害风险措施，同样十分重要。</w:t>
      </w:r>
    </w:p>
    <w:p w:rsidR="00375FE8" w:rsidRPr="002A0DEA" w:rsidRDefault="00375FE8" w:rsidP="00894C42">
      <w:pPr>
        <w:pStyle w:val="ListParagraph"/>
        <w:widowControl w:val="0"/>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2A0DEA">
        <w:rPr>
          <w:rFonts w:eastAsiaTheme="minorEastAsia"/>
          <w:snapToGrid w:val="0"/>
          <w:kern w:val="22"/>
          <w:lang w:eastAsia="zh-CN"/>
        </w:rPr>
        <w:t>主流化的示范框架如图</w:t>
      </w:r>
      <w:r w:rsidRPr="002A0DEA">
        <w:rPr>
          <w:rFonts w:eastAsiaTheme="minorEastAsia"/>
          <w:snapToGrid w:val="0"/>
          <w:kern w:val="22"/>
          <w:lang w:eastAsia="zh-CN"/>
        </w:rPr>
        <w:t>1</w:t>
      </w:r>
      <w:r w:rsidRPr="002A0DEA">
        <w:rPr>
          <w:rFonts w:eastAsiaTheme="minorEastAsia"/>
          <w:snapToGrid w:val="0"/>
          <w:kern w:val="22"/>
          <w:lang w:eastAsia="zh-CN"/>
        </w:rPr>
        <w:t>所示。关于配合此步骤的各种工具和更详细行动的补充信息载于</w:t>
      </w:r>
      <w:r w:rsidRPr="00B6762D">
        <w:rPr>
          <w:rFonts w:asciiTheme="minorEastAsia" w:eastAsiaTheme="minorEastAsia" w:hAnsiTheme="minorEastAsia"/>
          <w:snapToGrid w:val="0"/>
          <w:kern w:val="22"/>
          <w:lang w:eastAsia="zh-CN"/>
        </w:rPr>
        <w:t>“适应气候变化和减少灾害风险主流化工具箱”</w:t>
      </w:r>
      <w:r w:rsidRPr="002A0DEA">
        <w:rPr>
          <w:rFonts w:eastAsiaTheme="minorEastAsia"/>
          <w:snapToGrid w:val="0"/>
          <w:kern w:val="22"/>
          <w:lang w:eastAsia="zh-CN"/>
        </w:rPr>
        <w:t>。</w:t>
      </w:r>
      <w:r w:rsidRPr="00894C42">
        <w:rPr>
          <w:vertAlign w:val="superscript"/>
          <w:lang w:eastAsia="zh-CN"/>
        </w:rPr>
        <w:footnoteReference w:id="61"/>
      </w:r>
      <w:r w:rsidRPr="00894C42">
        <w:rPr>
          <w:rFonts w:eastAsiaTheme="minorEastAsia"/>
          <w:snapToGrid w:val="0"/>
          <w:kern w:val="22"/>
          <w:vertAlign w:val="superscript"/>
          <w:lang w:eastAsia="zh-CN"/>
        </w:rPr>
        <w:t xml:space="preserve"> </w:t>
      </w:r>
    </w:p>
    <w:p w:rsidR="00375FE8" w:rsidRPr="002A0DEA" w:rsidRDefault="00375FE8" w:rsidP="002A0DEA">
      <w:pPr>
        <w:keepNext/>
        <w:keepLines/>
        <w:suppressLineNumbers/>
        <w:suppressAutoHyphens/>
        <w:kinsoku w:val="0"/>
        <w:overflowPunct w:val="0"/>
        <w:autoSpaceDE w:val="0"/>
        <w:autoSpaceDN w:val="0"/>
        <w:adjustRightInd w:val="0"/>
        <w:rPr>
          <w:rFonts w:eastAsiaTheme="minorEastAsia"/>
          <w:snapToGrid w:val="0"/>
          <w:kern w:val="22"/>
          <w:lang w:eastAsia="zh-CN"/>
        </w:rPr>
      </w:pPr>
      <w:r w:rsidRPr="002A0DEA">
        <w:rPr>
          <w:rFonts w:eastAsiaTheme="minorEastAsia"/>
          <w:b/>
          <w:snapToGrid w:val="0"/>
          <w:kern w:val="22"/>
          <w:lang w:eastAsia="zh-CN"/>
        </w:rPr>
        <w:t>图</w:t>
      </w:r>
      <w:r w:rsidRPr="002A0DEA">
        <w:rPr>
          <w:rFonts w:eastAsiaTheme="minorEastAsia"/>
          <w:b/>
          <w:snapToGrid w:val="0"/>
          <w:kern w:val="22"/>
          <w:lang w:eastAsia="zh-CN"/>
        </w:rPr>
        <w:t xml:space="preserve"> 1. </w:t>
      </w:r>
      <w:r w:rsidRPr="002A0DEA">
        <w:rPr>
          <w:rFonts w:eastAsiaTheme="minorEastAsia"/>
          <w:b/>
          <w:snapToGrid w:val="0"/>
          <w:kern w:val="22"/>
          <w:lang w:eastAsia="zh-CN"/>
        </w:rPr>
        <w:t>将基于生态系统的适应气候变化和减少灾害风险纳入发展规划主流的示范框架</w:t>
      </w:r>
    </w:p>
    <w:p w:rsidR="00375FE8" w:rsidRPr="002A0DEA" w:rsidRDefault="00FE18AA" w:rsidP="002A0DEA">
      <w:pPr>
        <w:keepLines/>
        <w:suppressLineNumbers/>
        <w:suppressAutoHyphens/>
        <w:kinsoku w:val="0"/>
        <w:overflowPunct w:val="0"/>
        <w:autoSpaceDE w:val="0"/>
        <w:autoSpaceDN w:val="0"/>
        <w:adjustRightInd w:val="0"/>
        <w:rPr>
          <w:rFonts w:eastAsiaTheme="minorEastAsia"/>
          <w:bCs/>
          <w:iCs/>
          <w:snapToGrid w:val="0"/>
          <w:kern w:val="22"/>
          <w:lang w:eastAsia="zh-CN"/>
        </w:rPr>
      </w:pPr>
      <w:r w:rsidRPr="00FE18AA">
        <w:rPr>
          <w:rFonts w:eastAsiaTheme="minorEastAsia"/>
          <w:bCs/>
          <w:iCs/>
          <w:noProof/>
          <w:snapToGrid w:val="0"/>
          <w:kern w:val="22"/>
          <w:lang w:eastAsia="zh-CN"/>
        </w:rPr>
        <w:pict>
          <v:shapetype id="_x0000_t202" coordsize="21600,21600" o:spt="202" path="m,l,21600r21600,l21600,xe">
            <v:stroke joinstyle="miter"/>
            <v:path gradientshapeok="t" o:connecttype="rect"/>
          </v:shapetype>
          <v:shape id="Text Box 2" o:spid="_x0000_s1026" type="#_x0000_t202" style="position:absolute;left:0;text-align:left;margin-left:130.95pt;margin-top:235.55pt;width:278.05pt;height:31.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" filled="f" stroked="f">
            <v:textbox>
              <w:txbxContent>
                <w:p w:rsidR="00594C0B" w:rsidRPr="00DB192A" w:rsidRDefault="00594C0B" w:rsidP="00894C42">
                  <w:pPr>
                    <w:spacing w:before="0"/>
                    <w:rPr>
                      <w:b/>
                      <w:szCs w:val="28"/>
                      <w:lang w:eastAsia="zh-CN"/>
                    </w:rPr>
                  </w:pPr>
                  <w:r w:rsidRPr="00DB192A">
                    <w:rPr>
                      <w:rFonts w:ascii="SimSun" w:hAnsi="SimSun" w:cs="SimSun" w:hint="eastAsia"/>
                      <w:b/>
                      <w:szCs w:val="28"/>
                      <w:lang w:eastAsia="zh-CN"/>
                    </w:rPr>
                    <w:t>多利益攸关方和多部门参与</w:t>
                  </w:r>
                </w:p>
                <w:p w:rsidR="00594C0B" w:rsidRPr="00A07B71" w:rsidRDefault="00594C0B" w:rsidP="002A0DEA">
                  <w:pPr>
                    <w:rPr>
                      <w:b/>
                      <w:sz w:val="28"/>
                      <w:szCs w:val="28"/>
                      <w:lang w:eastAsia="zh-CN"/>
                    </w:rPr>
                  </w:pPr>
                </w:p>
              </w:txbxContent>
            </v:textbox>
          </v:shape>
        </w:pict>
      </w:r>
      <w:r w:rsidRPr="00FE18AA">
        <w:rPr>
          <w:rFonts w:eastAsiaTheme="minorEastAsia"/>
          <w:bCs/>
          <w:iCs/>
          <w:noProof/>
          <w:snapToGrid w:val="0"/>
          <w:kern w:val="22"/>
          <w:lang w:eastAsia="zh-CN"/>
        </w:rPr>
        <w:pict>
          <v:shape id="_x0000_s1027" type="#_x0000_t202" style="position:absolute;left:0;text-align:left;margin-left:319.65pt;margin-top:13.2pt;width:140.85pt;height:155.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" filled="f" stroked="f">
            <v:textbox>
              <w:txbxContent>
                <w:p w:rsidR="00594C0B" w:rsidRPr="00894C42" w:rsidRDefault="00594C0B" w:rsidP="000A1A91">
                  <w:pPr>
                    <w:pStyle w:val="ListParagraph"/>
                    <w:numPr>
                      <w:ilvl w:val="0"/>
                      <w:numId w:val="54"/>
                    </w:numPr>
                    <w:ind w:left="288" w:hanging="288"/>
                    <w:contextualSpacing/>
                    <w:rPr>
                      <w:rFonts w:asciiTheme="minorEastAsia" w:eastAsiaTheme="minorEastAsia" w:hAnsiTheme="minorEastAsia"/>
                      <w:sz w:val="20"/>
                      <w:szCs w:val="20"/>
                      <w:lang w:eastAsia="zh-CN"/>
                    </w:rPr>
                  </w:pPr>
                  <w:r w:rsidRPr="00894C42">
                    <w:rPr>
                      <w:rFonts w:asciiTheme="minorEastAsia" w:eastAsiaTheme="minorEastAsia" w:hAnsiTheme="minorEastAsia" w:cs="SimSun" w:hint="eastAsia"/>
                      <w:sz w:val="20"/>
                      <w:szCs w:val="20"/>
                      <w:lang w:eastAsia="zh-CN"/>
                    </w:rPr>
                    <w:t>加强基于生态系统的办法适应气候变化和减少灾害风险的监测系统</w:t>
                  </w:r>
                  <w:r w:rsidRPr="00894C42">
                    <w:rPr>
                      <w:rFonts w:asciiTheme="minorEastAsia" w:eastAsiaTheme="minorEastAsia" w:hAnsiTheme="minorEastAsia" w:hint="eastAsia"/>
                      <w:b/>
                      <w:color w:val="ED7D31"/>
                      <w:sz w:val="20"/>
                      <w:szCs w:val="20"/>
                      <w:lang w:eastAsia="zh-CN"/>
                    </w:rPr>
                    <w:t xml:space="preserve"> </w:t>
                  </w:r>
                  <w:r w:rsidRPr="00894C42">
                    <w:rPr>
                      <w:rFonts w:asciiTheme="minorEastAsia" w:eastAsiaTheme="minorEastAsia" w:hAnsiTheme="minorEastAsia"/>
                      <w:b/>
                      <w:color w:val="ED7D31"/>
                      <w:sz w:val="20"/>
                      <w:szCs w:val="20"/>
                      <w:lang w:eastAsia="zh-CN"/>
                    </w:rPr>
                    <w:t xml:space="preserve"> </w:t>
                  </w:r>
                </w:p>
                <w:p w:rsidR="00594C0B" w:rsidRPr="00894C42" w:rsidRDefault="00594C0B" w:rsidP="000A1A91">
                  <w:pPr>
                    <w:pStyle w:val="ListParagraph"/>
                    <w:numPr>
                      <w:ilvl w:val="0"/>
                      <w:numId w:val="54"/>
                    </w:numPr>
                    <w:ind w:left="288" w:hanging="288"/>
                    <w:contextualSpacing/>
                    <w:rPr>
                      <w:rFonts w:asciiTheme="minorEastAsia" w:eastAsiaTheme="minorEastAsia" w:hAnsiTheme="minorEastAsia"/>
                      <w:sz w:val="20"/>
                      <w:szCs w:val="20"/>
                      <w:lang w:eastAsia="zh-CN"/>
                    </w:rPr>
                  </w:pPr>
                  <w:r w:rsidRPr="00894C42">
                    <w:rPr>
                      <w:rFonts w:asciiTheme="minorEastAsia" w:eastAsiaTheme="minorEastAsia" w:hAnsiTheme="minorEastAsia" w:cs="SimSun" w:hint="eastAsia"/>
                      <w:sz w:val="20"/>
                      <w:szCs w:val="20"/>
                      <w:lang w:eastAsia="zh-CN"/>
                    </w:rPr>
                    <w:t>促进对基于生态系统的办法适应气候变化和减少灾害风险的投资</w:t>
                  </w:r>
                </w:p>
                <w:p w:rsidR="00594C0B" w:rsidRPr="00894C42" w:rsidRDefault="00594C0B" w:rsidP="000A1A91">
                  <w:pPr>
                    <w:pStyle w:val="ListParagraph"/>
                    <w:numPr>
                      <w:ilvl w:val="0"/>
                      <w:numId w:val="54"/>
                    </w:numPr>
                    <w:ind w:left="288" w:hanging="288"/>
                    <w:contextualSpacing/>
                    <w:rPr>
                      <w:rFonts w:asciiTheme="minorEastAsia" w:eastAsiaTheme="minorEastAsia" w:hAnsiTheme="minorEastAsia"/>
                      <w:sz w:val="20"/>
                      <w:szCs w:val="20"/>
                      <w:lang w:eastAsia="zh-CN"/>
                    </w:rPr>
                  </w:pPr>
                  <w:r w:rsidRPr="00894C42">
                    <w:rPr>
                      <w:rFonts w:asciiTheme="minorEastAsia" w:eastAsiaTheme="minorEastAsia" w:hAnsiTheme="minorEastAsia" w:cs="SimSun" w:hint="eastAsia"/>
                      <w:sz w:val="20"/>
                      <w:szCs w:val="20"/>
                      <w:lang w:eastAsia="zh-CN"/>
                    </w:rPr>
                    <w:t>加大力度支持国家、国家以下级和部门政策措施</w:t>
                  </w:r>
                </w:p>
                <w:p w:rsidR="00594C0B" w:rsidRPr="00894C42" w:rsidRDefault="00594C0B" w:rsidP="000A1A91">
                  <w:pPr>
                    <w:pStyle w:val="ListParagraph"/>
                    <w:numPr>
                      <w:ilvl w:val="0"/>
                      <w:numId w:val="54"/>
                    </w:numPr>
                    <w:spacing w:after="160" w:line="259" w:lineRule="auto"/>
                    <w:ind w:left="284" w:hanging="284"/>
                    <w:contextualSpacing/>
                    <w:rPr>
                      <w:rFonts w:asciiTheme="minorEastAsia" w:eastAsiaTheme="minorEastAsia" w:hAnsiTheme="minorEastAsia"/>
                      <w:sz w:val="20"/>
                      <w:szCs w:val="20"/>
                      <w:lang w:eastAsia="zh-CN"/>
                    </w:rPr>
                  </w:pPr>
                  <w:r w:rsidRPr="00894C42">
                    <w:rPr>
                      <w:rFonts w:asciiTheme="minorEastAsia" w:eastAsiaTheme="minorEastAsia" w:hAnsiTheme="minorEastAsia" w:cs="SimSun" w:hint="eastAsia"/>
                      <w:sz w:val="20"/>
                      <w:szCs w:val="20"/>
                      <w:lang w:eastAsia="zh-CN"/>
                    </w:rPr>
                    <w:t>加强机构和能力：主流化为标准做法</w:t>
                  </w:r>
                </w:p>
              </w:txbxContent>
            </v:textbox>
          </v:shape>
        </w:pict>
      </w:r>
      <w:r w:rsidRPr="00FE18AA">
        <w:rPr>
          <w:rFonts w:eastAsiaTheme="minorEastAsia"/>
          <w:bCs/>
          <w:iCs/>
          <w:noProof/>
          <w:snapToGrid w:val="0"/>
          <w:kern w:val="22"/>
          <w:lang w:eastAsia="zh-CN"/>
        </w:rPr>
        <w:pict>
          <v:roundrect id="Rectangle: Rounded Corners 12" o:spid="_x0000_s1037" style="position:absolute;left:0;text-align:left;margin-left:320.25pt;margin-top:9pt;width:140.85pt;height:15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" fillcolor="white [3201]" strokecolor="#8064a2 [3207]" strokeweight="2pt"/>
        </w:pict>
      </w:r>
      <w:r w:rsidRPr="00FE18AA">
        <w:rPr>
          <w:rFonts w:eastAsiaTheme="minorEastAsia"/>
          <w:bCs/>
          <w:iCs/>
          <w:noProof/>
          <w:snapToGrid w:val="0"/>
          <w:kern w:val="22"/>
          <w:lang w:eastAsia="zh-CN"/>
        </w:rPr>
        <w:pict>
          <v:roundrect id="Rectangle: Rounded Corners 11" o:spid="_x0000_s1036" style="position:absolute;left:0;text-align:left;margin-left:165.75pt;margin-top:9.05pt;width:140.85pt;height:15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" fillcolor="white [3201]" strokecolor="#8064a2 [3207]" strokeweight="2pt"/>
        </w:pict>
      </w:r>
      <w:r w:rsidRPr="00FE18AA">
        <w:rPr>
          <w:rFonts w:eastAsiaTheme="minorEastAsia"/>
          <w:bCs/>
          <w:iCs/>
          <w:noProof/>
          <w:snapToGrid w:val="0"/>
          <w:kern w:val="22"/>
          <w:lang w:eastAsia="zh-CN"/>
        </w:rPr>
        <w:pict>
          <v:roundrect id="Rectangle: Rounded Corners 10" o:spid="_x0000_s1035" style="position:absolute;left:0;text-align:left;margin-left:7.5pt;margin-top:6.8pt;width:140.85pt;height:15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" fillcolor="white [3201]" strokecolor="#8064a2 [3207]" strokeweight="2pt"/>
        </w:pict>
      </w:r>
      <w:r w:rsidRPr="00FE18AA">
        <w:rPr>
          <w:rFonts w:eastAsiaTheme="minorEastAsia"/>
          <w:bCs/>
          <w:iCs/>
          <w:noProof/>
          <w:snapToGrid w:val="0"/>
          <w:kern w:val="22"/>
          <w:lang w:eastAsia="zh-CN"/>
        </w:rPr>
        <w:pict>
          <v:shape id="_x0000_s1028" type="#_x0000_t202" style="position:absolute;left:0;text-align:left;margin-left:7.5pt;margin-top:9.05pt;width:140.85pt;height:15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" filled="f" stroked="f" strokeweight="2pt">
            <v:textbox>
              <w:txbxContent>
                <w:p w:rsidR="00594C0B" w:rsidRPr="00894C42" w:rsidRDefault="00594C0B" w:rsidP="000A1A91">
                  <w:pPr>
                    <w:pStyle w:val="ListParagraph"/>
                    <w:numPr>
                      <w:ilvl w:val="0"/>
                      <w:numId w:val="54"/>
                    </w:numPr>
                    <w:spacing w:after="160"/>
                    <w:ind w:left="288" w:hanging="288"/>
                    <w:contextualSpacing/>
                    <w:rPr>
                      <w:rFonts w:asciiTheme="minorEastAsia" w:eastAsiaTheme="minorEastAsia" w:hAnsiTheme="minorEastAsia"/>
                      <w:sz w:val="20"/>
                      <w:szCs w:val="20"/>
                      <w:lang w:eastAsia="zh-CN"/>
                    </w:rPr>
                  </w:pPr>
                  <w:r w:rsidRPr="00894C42">
                    <w:rPr>
                      <w:rFonts w:asciiTheme="minorEastAsia" w:eastAsiaTheme="minorEastAsia" w:hAnsiTheme="minorEastAsia" w:cs="SimSun" w:hint="eastAsia"/>
                      <w:sz w:val="20"/>
                      <w:szCs w:val="20"/>
                      <w:lang w:eastAsia="zh-CN"/>
                    </w:rPr>
                    <w:t>了解社会-生态系统，纳入土著人民和地方社区的知识、技术、做法和努力</w:t>
                  </w:r>
                  <w:r w:rsidRPr="00894C42">
                    <w:rPr>
                      <w:rFonts w:asciiTheme="minorEastAsia" w:eastAsiaTheme="minorEastAsia" w:hAnsiTheme="minorEastAsia"/>
                      <w:sz w:val="20"/>
                      <w:szCs w:val="20"/>
                      <w:lang w:eastAsia="zh-CN"/>
                    </w:rPr>
                    <w:t xml:space="preserve"> </w:t>
                  </w:r>
                </w:p>
                <w:p w:rsidR="00594C0B" w:rsidRPr="00894C42" w:rsidRDefault="00594C0B" w:rsidP="000A1A91">
                  <w:pPr>
                    <w:pStyle w:val="ListParagraph"/>
                    <w:numPr>
                      <w:ilvl w:val="0"/>
                      <w:numId w:val="54"/>
                    </w:numPr>
                    <w:ind w:left="288" w:hanging="288"/>
                    <w:contextualSpacing/>
                    <w:rPr>
                      <w:rFonts w:asciiTheme="minorEastAsia" w:eastAsiaTheme="minorEastAsia" w:hAnsiTheme="minorEastAsia"/>
                      <w:sz w:val="20"/>
                      <w:szCs w:val="20"/>
                    </w:rPr>
                  </w:pPr>
                  <w:r w:rsidRPr="00894C42">
                    <w:rPr>
                      <w:rFonts w:asciiTheme="minorEastAsia" w:eastAsiaTheme="minorEastAsia" w:hAnsiTheme="minorEastAsia" w:cs="SimSun" w:hint="eastAsia"/>
                      <w:sz w:val="20"/>
                      <w:szCs w:val="20"/>
                      <w:lang w:eastAsia="zh-CN"/>
                    </w:rPr>
                    <w:t>了解政治、政府和体制背景</w:t>
                  </w:r>
                </w:p>
                <w:p w:rsidR="00594C0B" w:rsidRPr="00894C42" w:rsidRDefault="00594C0B" w:rsidP="000A1A91">
                  <w:pPr>
                    <w:pStyle w:val="ListParagraph"/>
                    <w:numPr>
                      <w:ilvl w:val="0"/>
                      <w:numId w:val="54"/>
                    </w:numPr>
                    <w:spacing w:after="160"/>
                    <w:ind w:left="288" w:hanging="288"/>
                    <w:contextualSpacing/>
                    <w:rPr>
                      <w:rFonts w:asciiTheme="minorEastAsia" w:eastAsiaTheme="minorEastAsia" w:hAnsiTheme="minorEastAsia"/>
                      <w:sz w:val="20"/>
                      <w:szCs w:val="20"/>
                      <w:lang w:eastAsia="zh-CN"/>
                    </w:rPr>
                  </w:pPr>
                  <w:r w:rsidRPr="00894C42">
                    <w:rPr>
                      <w:rFonts w:asciiTheme="minorEastAsia" w:eastAsiaTheme="minorEastAsia" w:hAnsiTheme="minorEastAsia" w:cs="SimSun" w:hint="eastAsia"/>
                      <w:sz w:val="20"/>
                      <w:szCs w:val="20"/>
                      <w:lang w:eastAsia="zh-CN"/>
                    </w:rPr>
                    <w:t>提高认识和建立伙伴关系</w:t>
                  </w:r>
                </w:p>
                <w:p w:rsidR="00594C0B" w:rsidRPr="00894C42" w:rsidRDefault="00594C0B" w:rsidP="000A1A91">
                  <w:pPr>
                    <w:pStyle w:val="ListParagraph"/>
                    <w:numPr>
                      <w:ilvl w:val="0"/>
                      <w:numId w:val="54"/>
                    </w:numPr>
                    <w:ind w:left="288" w:hanging="288"/>
                    <w:contextualSpacing/>
                    <w:rPr>
                      <w:rFonts w:asciiTheme="minorEastAsia" w:eastAsiaTheme="minorEastAsia" w:hAnsiTheme="minorEastAsia"/>
                      <w:sz w:val="20"/>
                      <w:szCs w:val="20"/>
                      <w:lang w:eastAsia="zh-CN"/>
                    </w:rPr>
                  </w:pPr>
                  <w:r w:rsidRPr="00894C42">
                    <w:rPr>
                      <w:rFonts w:asciiTheme="minorEastAsia" w:eastAsiaTheme="minorEastAsia" w:hAnsiTheme="minorEastAsia" w:cs="SimSun" w:hint="eastAsia"/>
                      <w:sz w:val="20"/>
                      <w:szCs w:val="20"/>
                      <w:lang w:eastAsia="zh-CN"/>
                    </w:rPr>
                    <w:t>评估机构需求和能力需求</w:t>
                  </w:r>
                </w:p>
                <w:p w:rsidR="00594C0B" w:rsidRPr="00894C42" w:rsidRDefault="00594C0B" w:rsidP="002A0DEA">
                  <w:pPr>
                    <w:contextualSpacing/>
                    <w:jc w:val="center"/>
                    <w:rPr>
                      <w:rFonts w:asciiTheme="minorEastAsia" w:eastAsiaTheme="minorEastAsia" w:hAnsiTheme="minorEastAsia"/>
                      <w:b/>
                      <w:color w:val="ED7D31"/>
                      <w:sz w:val="18"/>
                      <w:szCs w:val="18"/>
                      <w:lang w:eastAsia="zh-CN"/>
                    </w:rPr>
                  </w:pPr>
                </w:p>
                <w:p w:rsidR="00594C0B" w:rsidRPr="006D025C" w:rsidRDefault="00594C0B" w:rsidP="002A0DEA">
                  <w:pPr>
                    <w:jc w:val="center"/>
                    <w:rPr>
                      <w:sz w:val="18"/>
                      <w:szCs w:val="18"/>
                      <w:lang w:eastAsia="zh-CN"/>
                    </w:rPr>
                  </w:pPr>
                </w:p>
              </w:txbxContent>
            </v:textbox>
          </v:shape>
        </w:pict>
      </w:r>
      <w:r w:rsidRPr="00FE18AA">
        <w:rPr>
          <w:rFonts w:eastAsiaTheme="minorEastAsia"/>
          <w:bCs/>
          <w:iCs/>
          <w:noProof/>
          <w:snapToGrid w:val="0"/>
          <w:kern w:val="22"/>
          <w:lang w:eastAsia="zh-CN"/>
        </w:rPr>
        <w:pict>
          <v:shape id="_x0000_s1029" type="#_x0000_t202" style="position:absolute;left:0;text-align:left;margin-left:165.75pt;margin-top:9.05pt;width:140.85pt;height:1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" filled="f" stroked="f">
            <v:textbox>
              <w:txbxContent>
                <w:p w:rsidR="00594C0B" w:rsidRPr="00894C42" w:rsidRDefault="00594C0B" w:rsidP="000A1A91">
                  <w:pPr>
                    <w:pStyle w:val="ListParagraph"/>
                    <w:numPr>
                      <w:ilvl w:val="0"/>
                      <w:numId w:val="54"/>
                    </w:numPr>
                    <w:ind w:left="288" w:hanging="288"/>
                    <w:contextualSpacing/>
                    <w:rPr>
                      <w:rFonts w:asciiTheme="minorEastAsia" w:eastAsiaTheme="minorEastAsia" w:hAnsiTheme="minorEastAsia"/>
                      <w:sz w:val="20"/>
                      <w:szCs w:val="20"/>
                      <w:lang w:eastAsia="zh-CN"/>
                    </w:rPr>
                  </w:pPr>
                  <w:r w:rsidRPr="00894C42">
                    <w:rPr>
                      <w:rFonts w:asciiTheme="minorEastAsia" w:eastAsiaTheme="minorEastAsia" w:hAnsiTheme="minorEastAsia" w:cs="SimSun" w:hint="eastAsia"/>
                      <w:sz w:val="20"/>
                      <w:szCs w:val="20"/>
                      <w:lang w:eastAsia="zh-CN"/>
                    </w:rPr>
                    <w:t>风险和脆弱性评估，社会经济分析</w:t>
                  </w:r>
                  <w:r w:rsidRPr="00894C42">
                    <w:rPr>
                      <w:rFonts w:asciiTheme="minorEastAsia" w:eastAsiaTheme="minorEastAsia" w:hAnsiTheme="minorEastAsia"/>
                      <w:b/>
                      <w:color w:val="ED7D31"/>
                      <w:sz w:val="20"/>
                      <w:szCs w:val="20"/>
                      <w:lang w:eastAsia="zh-CN"/>
                    </w:rPr>
                    <w:t xml:space="preserve"> </w:t>
                  </w:r>
                </w:p>
                <w:p w:rsidR="00594C0B" w:rsidRPr="00894C42" w:rsidRDefault="00594C0B" w:rsidP="000A1A91">
                  <w:pPr>
                    <w:pStyle w:val="ListParagraph"/>
                    <w:numPr>
                      <w:ilvl w:val="0"/>
                      <w:numId w:val="54"/>
                    </w:numPr>
                    <w:ind w:left="288" w:hanging="288"/>
                    <w:contextualSpacing/>
                    <w:rPr>
                      <w:rFonts w:asciiTheme="minorEastAsia" w:eastAsiaTheme="minorEastAsia" w:hAnsiTheme="minorEastAsia"/>
                      <w:sz w:val="20"/>
                      <w:szCs w:val="20"/>
                      <w:lang w:eastAsia="zh-CN"/>
                    </w:rPr>
                  </w:pPr>
                  <w:r w:rsidRPr="00894C42">
                    <w:rPr>
                      <w:rFonts w:asciiTheme="minorEastAsia" w:eastAsiaTheme="minorEastAsia" w:hAnsiTheme="minorEastAsia" w:cs="SimSun" w:hint="eastAsia"/>
                      <w:sz w:val="20"/>
                      <w:szCs w:val="20"/>
                      <w:lang w:eastAsia="zh-CN"/>
                    </w:rPr>
                    <w:t>影响国家、国家以下级和部门的政策规划和流程</w:t>
                  </w:r>
                </w:p>
                <w:p w:rsidR="00594C0B" w:rsidRPr="00894C42" w:rsidRDefault="00594C0B" w:rsidP="000A1A91">
                  <w:pPr>
                    <w:pStyle w:val="ListParagraph"/>
                    <w:numPr>
                      <w:ilvl w:val="0"/>
                      <w:numId w:val="54"/>
                    </w:numPr>
                    <w:ind w:left="288" w:hanging="288"/>
                    <w:contextualSpacing/>
                    <w:rPr>
                      <w:rFonts w:asciiTheme="minorEastAsia" w:eastAsiaTheme="minorEastAsia" w:hAnsiTheme="minorEastAsia"/>
                      <w:sz w:val="20"/>
                      <w:szCs w:val="20"/>
                      <w:lang w:eastAsia="zh-CN"/>
                    </w:rPr>
                  </w:pPr>
                  <w:r w:rsidRPr="00894C42">
                    <w:rPr>
                      <w:rFonts w:asciiTheme="minorEastAsia" w:eastAsiaTheme="minorEastAsia" w:hAnsiTheme="minorEastAsia" w:cs="SimSun" w:hint="eastAsia"/>
                      <w:sz w:val="20"/>
                      <w:szCs w:val="20"/>
                      <w:lang w:eastAsia="zh-CN"/>
                    </w:rPr>
                    <w:t>制定基于生态系统的办法适应气候变化和减少灾害风险的扶持性政策措施</w:t>
                  </w:r>
                </w:p>
                <w:p w:rsidR="00594C0B" w:rsidRPr="00894C42" w:rsidRDefault="00594C0B" w:rsidP="000A1A91">
                  <w:pPr>
                    <w:pStyle w:val="ListParagraph"/>
                    <w:numPr>
                      <w:ilvl w:val="0"/>
                      <w:numId w:val="54"/>
                    </w:numPr>
                    <w:ind w:left="288" w:hanging="288"/>
                    <w:contextualSpacing/>
                    <w:rPr>
                      <w:rFonts w:asciiTheme="minorEastAsia" w:eastAsiaTheme="minorEastAsia" w:hAnsiTheme="minorEastAsia"/>
                      <w:sz w:val="20"/>
                      <w:szCs w:val="20"/>
                      <w:lang w:eastAsia="zh-CN"/>
                    </w:rPr>
                  </w:pPr>
                  <w:r w:rsidRPr="00894C42">
                    <w:rPr>
                      <w:rFonts w:asciiTheme="minorEastAsia" w:eastAsiaTheme="minorEastAsia" w:hAnsiTheme="minorEastAsia" w:cs="SimSun" w:hint="eastAsia"/>
                      <w:sz w:val="20"/>
                      <w:szCs w:val="20"/>
                      <w:lang w:eastAsia="zh-CN"/>
                    </w:rPr>
                    <w:t>加强机构和能力：边做边学</w:t>
                  </w:r>
                </w:p>
                <w:p w:rsidR="00594C0B" w:rsidRPr="00A944C4" w:rsidRDefault="00594C0B" w:rsidP="002A0DEA">
                  <w:pPr>
                    <w:spacing w:after="160" w:line="259" w:lineRule="auto"/>
                    <w:rPr>
                      <w:sz w:val="18"/>
                      <w:szCs w:val="18"/>
                      <w:lang w:eastAsia="zh-CN"/>
                    </w:rPr>
                  </w:pPr>
                </w:p>
              </w:txbxContent>
            </v:textbox>
          </v:shape>
        </w:pict>
      </w:r>
      <w:r w:rsidR="00375FE8" w:rsidRPr="002A0DEA">
        <w:rPr>
          <w:rFonts w:eastAsiaTheme="minorEastAsia"/>
          <w:bCs/>
          <w:iCs/>
          <w:noProof/>
          <w:snapToGrid w:val="0"/>
          <w:kern w:val="22"/>
          <w:lang w:eastAsia="zh-CN"/>
        </w:rPr>
        <w:drawing>
          <wp:inline distT="0" distB="0" distL="0" distR="0">
            <wp:extent cx="5924550" cy="3514725"/>
            <wp:effectExtent l="19050" t="0" r="19050" b="9525"/>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375FE8" w:rsidRPr="00894C42" w:rsidRDefault="00375FE8" w:rsidP="00894C42">
      <w:pPr>
        <w:keepLines/>
        <w:suppressLineNumbers/>
        <w:suppressAutoHyphens/>
        <w:kinsoku w:val="0"/>
        <w:overflowPunct w:val="0"/>
        <w:autoSpaceDE w:val="0"/>
        <w:autoSpaceDN w:val="0"/>
        <w:adjustRightInd w:val="0"/>
        <w:ind w:right="-618" w:firstLine="0"/>
        <w:rPr>
          <w:rFonts w:ascii="KaiTi" w:eastAsia="KaiTi" w:hAnsi="KaiTi"/>
          <w:snapToGrid w:val="0"/>
          <w:kern w:val="22"/>
          <w:sz w:val="20"/>
          <w:lang w:eastAsia="zh-CN"/>
        </w:rPr>
      </w:pPr>
      <w:r w:rsidRPr="00894C42">
        <w:rPr>
          <w:rFonts w:ascii="KaiTi" w:eastAsia="KaiTi" w:hAnsi="KaiTi"/>
          <w:bCs/>
          <w:iCs/>
          <w:snapToGrid w:val="0"/>
          <w:kern w:val="22"/>
          <w:sz w:val="20"/>
          <w:lang w:eastAsia="zh-CN"/>
        </w:rPr>
        <w:t>注</w:t>
      </w:r>
      <w:r w:rsidRPr="00894C42">
        <w:rPr>
          <w:rFonts w:ascii="KaiTi" w:eastAsia="KaiTi" w:hAnsi="KaiTi"/>
          <w:bCs/>
          <w:snapToGrid w:val="0"/>
          <w:kern w:val="22"/>
          <w:sz w:val="20"/>
          <w:lang w:eastAsia="zh-CN"/>
        </w:rPr>
        <w:t>: 改编自：</w:t>
      </w:r>
      <w:r w:rsidRPr="00894C42">
        <w:rPr>
          <w:rStyle w:val="ng-binding"/>
          <w:rFonts w:ascii="KaiTi" w:eastAsia="KaiTi" w:hAnsi="KaiTi"/>
          <w:sz w:val="20"/>
          <w:lang w:eastAsia="zh-CN"/>
        </w:rPr>
        <w:t>世界自然基金会（</w:t>
      </w:r>
      <w:r w:rsidRPr="00894C42">
        <w:rPr>
          <w:rFonts w:ascii="KaiTi" w:eastAsia="KaiTi" w:hAnsi="KaiTi"/>
          <w:bCs/>
          <w:snapToGrid w:val="0"/>
          <w:kern w:val="22"/>
          <w:sz w:val="20"/>
          <w:lang w:eastAsia="zh-CN"/>
        </w:rPr>
        <w:t>2013年</w:t>
      </w:r>
      <w:r w:rsidRPr="00894C42">
        <w:rPr>
          <w:rFonts w:ascii="KaiTi" w:eastAsia="KaiTi" w:hAnsi="KaiTi"/>
          <w:sz w:val="20"/>
          <w:lang w:eastAsia="zh-CN"/>
        </w:rPr>
        <w:t>）,</w:t>
      </w:r>
      <w:r w:rsidRPr="00894C42">
        <w:rPr>
          <w:rFonts w:ascii="KaiTi" w:eastAsia="KaiTi" w:hAnsi="KaiTi"/>
          <w:bCs/>
          <w:snapToGrid w:val="0"/>
          <w:kern w:val="22"/>
          <w:sz w:val="20"/>
          <w:lang w:eastAsia="zh-CN"/>
        </w:rPr>
        <w:t xml:space="preserve"> </w:t>
      </w:r>
      <w:hyperlink r:id="rId33" w:history="1">
        <w:r w:rsidRPr="00894C42">
          <w:rPr>
            <w:rStyle w:val="Hyperlink"/>
            <w:rFonts w:ascii="KaiTi" w:eastAsia="KaiTi" w:hAnsi="KaiTi"/>
            <w:snapToGrid w:val="0"/>
            <w:kern w:val="22"/>
            <w:sz w:val="18"/>
            <w:szCs w:val="22"/>
            <w:lang w:val="en-GB" w:eastAsia="zh-CN"/>
          </w:rPr>
          <w:t>基于生态系统适应办法行动框架</w:t>
        </w:r>
      </w:hyperlink>
      <w:r w:rsidRPr="00894C42">
        <w:rPr>
          <w:rStyle w:val="Hyperlink"/>
          <w:rFonts w:ascii="KaiTi" w:eastAsia="KaiTi" w:hAnsi="KaiTi"/>
          <w:snapToGrid w:val="0"/>
          <w:kern w:val="22"/>
          <w:sz w:val="18"/>
          <w:szCs w:val="22"/>
          <w:lang w:val="en-GB" w:eastAsia="zh-CN"/>
        </w:rPr>
        <w:t>：在大湄公河次区域实施基于生态系统的适应对策并将其主流化</w:t>
      </w:r>
      <w:r w:rsidRPr="00894C42">
        <w:rPr>
          <w:rStyle w:val="Hyperlink"/>
          <w:rFonts w:ascii="KaiTi" w:eastAsia="KaiTi" w:hAnsi="KaiTi"/>
          <w:sz w:val="18"/>
          <w:szCs w:val="22"/>
          <w:lang w:val="en-GB" w:eastAsia="zh-CN"/>
        </w:rPr>
        <w:t>；</w:t>
      </w:r>
      <w:r w:rsidRPr="00894C42">
        <w:rPr>
          <w:rFonts w:ascii="KaiTi" w:eastAsia="KaiTi" w:hAnsi="KaiTi"/>
          <w:snapToGrid w:val="0"/>
          <w:kern w:val="22"/>
          <w:sz w:val="20"/>
          <w:lang w:eastAsia="zh-CN"/>
        </w:rPr>
        <w:t>开发计划署-</w:t>
      </w:r>
      <w:r w:rsidR="00780033">
        <w:rPr>
          <w:rFonts w:ascii="KaiTi" w:eastAsia="KaiTi" w:hAnsi="KaiTi"/>
          <w:snapToGrid w:val="0"/>
          <w:kern w:val="22"/>
          <w:sz w:val="20"/>
          <w:lang w:eastAsia="zh-CN"/>
        </w:rPr>
        <w:t>环境署</w:t>
      </w:r>
      <w:r w:rsidRPr="00894C42">
        <w:rPr>
          <w:rFonts w:ascii="KaiTi" w:eastAsia="KaiTi" w:hAnsi="KaiTi"/>
          <w:snapToGrid w:val="0"/>
          <w:kern w:val="22"/>
          <w:sz w:val="20"/>
          <w:lang w:eastAsia="zh-CN"/>
        </w:rPr>
        <w:t>（</w:t>
      </w:r>
      <w:r w:rsidRPr="00894C42">
        <w:rPr>
          <w:rFonts w:ascii="KaiTi" w:eastAsia="KaiTi" w:hAnsi="KaiTi"/>
          <w:bCs/>
          <w:snapToGrid w:val="0"/>
          <w:kern w:val="22"/>
          <w:sz w:val="20"/>
          <w:lang w:eastAsia="zh-CN"/>
        </w:rPr>
        <w:t>2011</w:t>
      </w:r>
      <w:r w:rsidRPr="00894C42">
        <w:rPr>
          <w:rFonts w:ascii="KaiTi" w:eastAsia="KaiTi" w:hAnsi="KaiTi"/>
          <w:snapToGrid w:val="0"/>
          <w:kern w:val="22"/>
          <w:sz w:val="20"/>
          <w:lang w:eastAsia="zh-CN"/>
        </w:rPr>
        <w:t>年），</w:t>
      </w:r>
      <w:hyperlink r:id="rId34" w:history="1">
        <w:r w:rsidRPr="00894C42">
          <w:rPr>
            <w:rStyle w:val="Hyperlink"/>
            <w:rFonts w:ascii="KaiTi" w:eastAsia="KaiTi" w:hAnsi="KaiTi"/>
            <w:sz w:val="18"/>
            <w:szCs w:val="22"/>
            <w:lang w:val="en-GB" w:eastAsia="zh-CN"/>
          </w:rPr>
          <w:t>将适应气候变化办法纳入发展规划的主流</w:t>
        </w:r>
      </w:hyperlink>
      <w:r w:rsidRPr="00894C42">
        <w:rPr>
          <w:rStyle w:val="Hyperlink"/>
          <w:rFonts w:ascii="KaiTi" w:eastAsia="KaiTi" w:hAnsi="KaiTi"/>
          <w:sz w:val="18"/>
          <w:szCs w:val="22"/>
          <w:lang w:val="en-GB" w:eastAsia="zh-CN"/>
        </w:rPr>
        <w:t>：从业者指南</w:t>
      </w:r>
      <w:r w:rsidRPr="00894C42">
        <w:rPr>
          <w:rFonts w:ascii="KaiTi" w:eastAsia="KaiTi" w:hAnsi="KaiTi"/>
          <w:snapToGrid w:val="0"/>
          <w:kern w:val="22"/>
          <w:sz w:val="20"/>
          <w:lang w:eastAsia="zh-CN"/>
        </w:rPr>
        <w:t>。</w:t>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2A0DEA">
        <w:rPr>
          <w:rFonts w:eastAsiaTheme="minorEastAsia"/>
          <w:snapToGrid w:val="0"/>
          <w:kern w:val="22"/>
          <w:lang w:eastAsia="zh-CN"/>
        </w:rPr>
        <w:t>主流化的关键方面是找到合适的切入点，把基于生态系统的适应气候变化和减少灾害风险纳入具体但往往又是复杂的政策和规划框架以及决策过程。切入点可以是动态的，取决于三个关键方面：</w:t>
      </w:r>
    </w:p>
    <w:p w:rsidR="00375FE8" w:rsidRPr="002A0DEA" w:rsidRDefault="00375FE8" w:rsidP="000A1A91">
      <w:pPr>
        <w:numPr>
          <w:ilvl w:val="0"/>
          <w:numId w:val="66"/>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提高利益攸关方对现有问题、挑战和风险的认识；</w:t>
      </w:r>
    </w:p>
    <w:p w:rsidR="00375FE8" w:rsidRPr="002A0DEA" w:rsidRDefault="00375FE8" w:rsidP="000A1A91">
      <w:pPr>
        <w:numPr>
          <w:ilvl w:val="0"/>
          <w:numId w:val="66"/>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有现成的解决方案、建议、工具和知识；</w:t>
      </w:r>
    </w:p>
    <w:p w:rsidR="00375FE8" w:rsidRPr="002A0DEA" w:rsidRDefault="00375FE8" w:rsidP="000A1A91">
      <w:pPr>
        <w:numPr>
          <w:ilvl w:val="0"/>
          <w:numId w:val="66"/>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lastRenderedPageBreak/>
        <w:t>有行动、授权和发挥作用的政治意愿。</w:t>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2A0DEA">
        <w:rPr>
          <w:rFonts w:eastAsiaTheme="minorEastAsia"/>
          <w:snapToGrid w:val="0"/>
          <w:kern w:val="22"/>
          <w:lang w:eastAsia="zh-CN"/>
        </w:rPr>
        <w:t>如果能够把这三方面有利地结合在一起，就形成了一个政策变化的</w:t>
      </w:r>
      <w:r w:rsidRPr="002A0DEA">
        <w:rPr>
          <w:rFonts w:eastAsiaTheme="minorEastAsia"/>
          <w:snapToGrid w:val="0"/>
          <w:kern w:val="22"/>
          <w:lang w:eastAsia="zh-CN"/>
        </w:rPr>
        <w:t>“</w:t>
      </w:r>
      <w:r w:rsidRPr="002A0DEA">
        <w:rPr>
          <w:rFonts w:eastAsiaTheme="minorEastAsia"/>
          <w:snapToGrid w:val="0"/>
          <w:kern w:val="22"/>
          <w:lang w:eastAsia="zh-CN"/>
        </w:rPr>
        <w:t>势头</w:t>
      </w:r>
      <w:r w:rsidRPr="002A0DEA">
        <w:rPr>
          <w:rFonts w:eastAsiaTheme="minorEastAsia"/>
          <w:snapToGrid w:val="0"/>
          <w:kern w:val="22"/>
          <w:lang w:eastAsia="zh-CN"/>
        </w:rPr>
        <w:t>”</w:t>
      </w:r>
      <w:r w:rsidRPr="002A0DEA">
        <w:rPr>
          <w:rFonts w:eastAsiaTheme="minorEastAsia"/>
          <w:snapToGrid w:val="0"/>
          <w:kern w:val="22"/>
          <w:lang w:eastAsia="zh-CN"/>
        </w:rPr>
        <w:t>。在发生灾害和经济状况时，通常会以开放的态度对待利益攸关方的需求、创新工具和方法、联合搜寻可用的最佳解决方案以及愿意更好地进行投资和（重新）建设。这些是采纳基于生态系统的适应气候变化和减少灾害风险的重要机会。各级政府都存在切入点，可能意味着不同级别的治理或与私营部门的合作。</w:t>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2A0DEA">
        <w:rPr>
          <w:rFonts w:eastAsiaTheme="minorEastAsia"/>
          <w:snapToGrid w:val="0"/>
          <w:kern w:val="22"/>
          <w:lang w:eastAsia="zh-CN"/>
        </w:rPr>
        <w:t>一般可以在下面找到主流化的切入点：</w:t>
      </w:r>
    </w:p>
    <w:p w:rsidR="00375FE8" w:rsidRPr="002A0DEA" w:rsidRDefault="00375FE8" w:rsidP="000A1A91">
      <w:pPr>
        <w:numPr>
          <w:ilvl w:val="0"/>
          <w:numId w:val="6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制定或修订政策和计划，例如，发展或部门计划、国家自主贡献（酌情）、国家适应计划、国家生物多样性战略和行动计划、战略环境评估、土地使用计划；</w:t>
      </w:r>
    </w:p>
    <w:p w:rsidR="00375FE8" w:rsidRPr="002A0DEA" w:rsidRDefault="00375FE8" w:rsidP="000A1A91">
      <w:pPr>
        <w:numPr>
          <w:ilvl w:val="0"/>
          <w:numId w:val="6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指挥和控制手段，例如，气候变化和环境法、标准、环境影响评估以及灾害风险管理；</w:t>
      </w:r>
    </w:p>
    <w:p w:rsidR="00375FE8" w:rsidRPr="002A0DEA" w:rsidRDefault="00375FE8" w:rsidP="000A1A91">
      <w:pPr>
        <w:numPr>
          <w:ilvl w:val="0"/>
          <w:numId w:val="6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经济和财政手段，例如，投资方案、基金、补贴、税收和费用；</w:t>
      </w:r>
    </w:p>
    <w:p w:rsidR="00375FE8" w:rsidRPr="002A0DEA" w:rsidRDefault="00375FE8" w:rsidP="000A1A91">
      <w:pPr>
        <w:numPr>
          <w:ilvl w:val="0"/>
          <w:numId w:val="6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spacing w:val="20"/>
          <w:kern w:val="22"/>
          <w:lang w:eastAsia="zh-CN"/>
        </w:rPr>
        <w:t>教育和提高认识措施，例如，环境教育、推广方案、技术职业和大学课程</w:t>
      </w:r>
      <w:r w:rsidRPr="002A0DEA">
        <w:rPr>
          <w:rFonts w:eastAsiaTheme="minorEastAsia"/>
          <w:bCs/>
          <w:kern w:val="22"/>
          <w:lang w:eastAsia="zh-CN"/>
        </w:rPr>
        <w:t>；</w:t>
      </w:r>
    </w:p>
    <w:p w:rsidR="00375FE8" w:rsidRPr="002A0DEA" w:rsidRDefault="00375FE8" w:rsidP="000A1A91">
      <w:pPr>
        <w:numPr>
          <w:ilvl w:val="0"/>
          <w:numId w:val="6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自愿性措施，例如，与私人土地所有者达成的环境协定，或标准的定义；</w:t>
      </w:r>
    </w:p>
    <w:p w:rsidR="00375FE8" w:rsidRPr="002A0DEA" w:rsidRDefault="00375FE8" w:rsidP="000A1A91">
      <w:pPr>
        <w:numPr>
          <w:ilvl w:val="0"/>
          <w:numId w:val="6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酌情保证土著人民的自由、事先知情同意的措施；</w:t>
      </w:r>
    </w:p>
    <w:p w:rsidR="00375FE8" w:rsidRPr="002A0DEA" w:rsidRDefault="00375FE8" w:rsidP="000A1A91">
      <w:pPr>
        <w:numPr>
          <w:ilvl w:val="0"/>
          <w:numId w:val="6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确保民间社会组织、土著人民和地方社区、妇女和青年充分有效参与的伙伴关系。</w:t>
      </w:r>
    </w:p>
    <w:p w:rsidR="00375FE8"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2A0DEA">
        <w:rPr>
          <w:rFonts w:eastAsiaTheme="minorEastAsia"/>
          <w:snapToGrid w:val="0"/>
          <w:kern w:val="22"/>
          <w:lang w:eastAsia="zh-CN"/>
        </w:rPr>
        <w:t>正如在基于生态系统的适应气候变化和减少灾害风险规划</w:t>
      </w:r>
      <w:r w:rsidRPr="004B7DAB">
        <w:rPr>
          <w:rFonts w:eastAsiaTheme="minorEastAsia"/>
          <w:snapToGrid w:val="0"/>
          <w:spacing w:val="-20"/>
          <w:kern w:val="22"/>
          <w:lang w:eastAsia="zh-CN"/>
        </w:rPr>
        <w:t>和实施过程中强调的那样，</w:t>
      </w:r>
      <w:r w:rsidRPr="002A0DEA">
        <w:rPr>
          <w:rFonts w:eastAsiaTheme="minorEastAsia"/>
          <w:snapToGrid w:val="0"/>
          <w:kern w:val="22"/>
          <w:lang w:eastAsia="zh-CN"/>
        </w:rPr>
        <w:t>深入各行业是提高对该办法的认识和将其纳入部门计划和国家级规划以及鼓励跨部门合作共同开展实施工作的关键。</w:t>
      </w:r>
    </w:p>
    <w:p w:rsidR="00375FE8" w:rsidRPr="002A0DEA" w:rsidRDefault="00FE18AA" w:rsidP="00B9542F">
      <w:pPr>
        <w:suppressLineNumbers/>
        <w:suppressAutoHyphens/>
        <w:kinsoku w:val="0"/>
        <w:overflowPunct w:val="0"/>
        <w:autoSpaceDE w:val="0"/>
        <w:autoSpaceDN w:val="0"/>
        <w:adjustRightInd w:val="0"/>
        <w:ind w:firstLine="0"/>
        <w:rPr>
          <w:rFonts w:eastAsiaTheme="minorEastAsia"/>
          <w:snapToGrid w:val="0"/>
          <w:kern w:val="22"/>
        </w:rPr>
      </w:pPr>
      <w:r w:rsidRPr="00FE18AA">
        <w:rPr>
          <w:rFonts w:eastAsiaTheme="minorEastAsia"/>
          <w:noProof/>
          <w:lang w:eastAsia="zh-CN"/>
        </w:rPr>
      </w:r>
      <w:r w:rsidRPr="00FE18AA">
        <w:rPr>
          <w:rFonts w:eastAsiaTheme="minorEastAsia"/>
          <w:noProof/>
          <w:lang w:eastAsia="zh-CN"/>
        </w:rPr>
        <w:pict>
          <v:shape id="Text Box 7" o:spid="_x0000_s1034" type="#_x0000_t202" style="width:496.2pt;height:483.6pt;visibility:visible;mso-wrap-style:square;mso-left-percent:-10001;mso-top-percent:-10001;mso-position-horizontal:absolute;mso-position-horizontal-relative:char;mso-position-vertical:absolute;mso-position-vertical-relative:line;mso-left-percent:-10001;mso-top-percent:-10001;v-text-anchor:top" filled="f" strokecolor="#595959">
            <v:textbox>
              <w:txbxContent>
                <w:p w:rsidR="00594C0B" w:rsidRPr="00B9542F" w:rsidRDefault="00594C0B" w:rsidP="002A0DEA">
                  <w:pPr>
                    <w:tabs>
                      <w:tab w:val="left" w:pos="7740"/>
                    </w:tabs>
                    <w:ind w:left="990" w:right="1200"/>
                    <w:jc w:val="center"/>
                    <w:rPr>
                      <w:rFonts w:eastAsiaTheme="minorEastAsia"/>
                      <w:b/>
                      <w:bCs/>
                      <w:color w:val="4F81BD"/>
                      <w:lang w:eastAsia="zh-CN"/>
                    </w:rPr>
                  </w:pPr>
                  <w:r w:rsidRPr="00B9542F">
                    <w:rPr>
                      <w:rFonts w:eastAsiaTheme="minorEastAsia"/>
                      <w:b/>
                      <w:bCs/>
                      <w:color w:val="4F81BD"/>
                      <w:lang w:eastAsia="zh-CN"/>
                    </w:rPr>
                    <w:t>方框</w:t>
                  </w:r>
                  <w:r w:rsidRPr="00B9542F">
                    <w:rPr>
                      <w:rFonts w:eastAsiaTheme="minorEastAsia"/>
                      <w:b/>
                      <w:bCs/>
                      <w:color w:val="4F81BD"/>
                      <w:lang w:eastAsia="zh-CN"/>
                    </w:rPr>
                    <w:t>1</w:t>
                  </w:r>
                  <w:r w:rsidRPr="00B9542F">
                    <w:rPr>
                      <w:rFonts w:eastAsiaTheme="minorEastAsia"/>
                      <w:b/>
                      <w:color w:val="4F81BD"/>
                      <w:lang w:eastAsia="zh-CN"/>
                    </w:rPr>
                    <w:t xml:space="preserve">. </w:t>
                  </w:r>
                  <w:r w:rsidRPr="00B9542F">
                    <w:rPr>
                      <w:rFonts w:eastAsiaTheme="minorEastAsia"/>
                      <w:b/>
                      <w:color w:val="4F81BD"/>
                      <w:lang w:eastAsia="zh-CN"/>
                    </w:rPr>
                    <w:t>将基于生态系统办法适应气候变化和减少灾害风险纳入供资优先事项的机会</w:t>
                  </w:r>
                </w:p>
                <w:p w:rsidR="00594C0B" w:rsidRPr="00B9542F" w:rsidRDefault="00594C0B" w:rsidP="00B9542F">
                  <w:pPr>
                    <w:spacing w:after="60"/>
                    <w:ind w:firstLine="0"/>
                    <w:rPr>
                      <w:rFonts w:eastAsiaTheme="minorEastAsia"/>
                      <w:lang w:eastAsia="zh-CN"/>
                    </w:rPr>
                  </w:pPr>
                  <w:r w:rsidRPr="00B9542F">
                    <w:rPr>
                      <w:rFonts w:eastAsiaTheme="minorEastAsia"/>
                      <w:lang w:eastAsia="zh-CN"/>
                    </w:rPr>
                    <w:t>采用基于生态系统的办法适应气候变化和减少灾害风险，有助于实现包括发展、适应、减缓灾害和减少灾害风险、粮食和水安全等多种目标，同时确保进行顾及风险的投资。基于生态系统的办法适应气候变化和减少灾害风险的跨部门和跨学科方法以及可能实现的多种效益，为吸引</w:t>
                  </w:r>
                  <w:r w:rsidRPr="00B9542F">
                    <w:rPr>
                      <w:rFonts w:eastAsiaTheme="minorEastAsia"/>
                      <w:lang w:eastAsia="zh-CN"/>
                    </w:rPr>
                    <w:t>/</w:t>
                  </w:r>
                  <w:r w:rsidRPr="00B9542F">
                    <w:rPr>
                      <w:rFonts w:eastAsiaTheme="minorEastAsia"/>
                      <w:lang w:eastAsia="zh-CN"/>
                    </w:rPr>
                    <w:t>增加资金提供了多种机会。</w:t>
                  </w:r>
                </w:p>
                <w:p w:rsidR="00594C0B" w:rsidRPr="00B9542F" w:rsidRDefault="00594C0B" w:rsidP="000A1A91">
                  <w:pPr>
                    <w:pStyle w:val="ListParagraph"/>
                    <w:numPr>
                      <w:ilvl w:val="0"/>
                      <w:numId w:val="38"/>
                    </w:numPr>
                    <w:snapToGrid w:val="0"/>
                    <w:spacing w:before="60" w:after="60"/>
                    <w:ind w:left="778" w:hanging="288"/>
                    <w:rPr>
                      <w:rFonts w:eastAsiaTheme="minorEastAsia"/>
                      <w:szCs w:val="22"/>
                      <w:lang w:eastAsia="zh-CN"/>
                    </w:rPr>
                  </w:pPr>
                  <w:r w:rsidRPr="00B9542F">
                    <w:rPr>
                      <w:rFonts w:eastAsiaTheme="minorEastAsia"/>
                      <w:szCs w:val="22"/>
                      <w:lang w:eastAsia="zh-CN"/>
                    </w:rPr>
                    <w:t>鼓励对可持续生态系统管行投资的新的财政激励措施，这种投资中强调将生态系统作为适应气候变化和减少灾害风险规划的一部分。这方面的例子包括制定激励方案，鼓励农民实施有助于维持有复原力的生态系统的做法，如复合农林业和保护性耕作。</w:t>
                  </w:r>
                </w:p>
                <w:p w:rsidR="00594C0B" w:rsidRPr="00B9542F" w:rsidRDefault="00594C0B" w:rsidP="000A1A91">
                  <w:pPr>
                    <w:pStyle w:val="ListParagraph"/>
                    <w:numPr>
                      <w:ilvl w:val="0"/>
                      <w:numId w:val="38"/>
                    </w:numPr>
                    <w:snapToGrid w:val="0"/>
                    <w:spacing w:before="60" w:after="60"/>
                    <w:ind w:left="778" w:hanging="288"/>
                    <w:rPr>
                      <w:rFonts w:eastAsiaTheme="minorEastAsia"/>
                      <w:szCs w:val="22"/>
                      <w:lang w:eastAsia="zh-CN"/>
                    </w:rPr>
                  </w:pPr>
                  <w:r w:rsidRPr="00B9542F">
                    <w:rPr>
                      <w:rFonts w:eastAsiaTheme="minorEastAsia"/>
                      <w:szCs w:val="22"/>
                      <w:lang w:eastAsia="zh-CN"/>
                    </w:rPr>
                    <w:t>实现现有投资组合</w:t>
                  </w:r>
                  <w:r w:rsidRPr="00B9542F">
                    <w:rPr>
                      <w:rStyle w:val="ng-binding"/>
                      <w:rFonts w:eastAsiaTheme="minorEastAsia"/>
                      <w:szCs w:val="22"/>
                      <w:lang w:eastAsia="zh-CN"/>
                    </w:rPr>
                    <w:t>不受气候变化的影响</w:t>
                  </w:r>
                  <w:r w:rsidRPr="00B9542F">
                    <w:rPr>
                      <w:rFonts w:eastAsiaTheme="minorEastAsia"/>
                      <w:szCs w:val="22"/>
                      <w:lang w:eastAsia="zh-CN"/>
                    </w:rPr>
                    <w:t>，放开对基于生态系统的办法适应气候变化和减少灾害风险的新投资。</w:t>
                  </w:r>
                </w:p>
                <w:p w:rsidR="00594C0B" w:rsidRPr="00B9542F" w:rsidRDefault="00594C0B" w:rsidP="000A1A91">
                  <w:pPr>
                    <w:pStyle w:val="ListParagraph"/>
                    <w:numPr>
                      <w:ilvl w:val="0"/>
                      <w:numId w:val="38"/>
                    </w:numPr>
                    <w:snapToGrid w:val="0"/>
                    <w:spacing w:before="60" w:after="60"/>
                    <w:ind w:left="778" w:hanging="288"/>
                    <w:rPr>
                      <w:rFonts w:eastAsiaTheme="minorEastAsia"/>
                      <w:szCs w:val="22"/>
                      <w:lang w:eastAsia="zh-CN"/>
                    </w:rPr>
                  </w:pPr>
                  <w:r w:rsidRPr="00B9542F">
                    <w:rPr>
                      <w:rFonts w:eastAsiaTheme="minorEastAsia"/>
                      <w:szCs w:val="22"/>
                      <w:lang w:eastAsia="zh-CN"/>
                    </w:rPr>
                    <w:t>与私营部门（包括保险、旅游、农业和水务部门）合作，利用其专业知识、资源和网络。这有助于鼓励和扩大对基于生态系统的办法适应气候变化和减少灾害风险的投资，同时确定公私合作伙伴关系。</w:t>
                  </w:r>
                </w:p>
                <w:p w:rsidR="00594C0B" w:rsidRPr="00B9542F" w:rsidRDefault="00594C0B" w:rsidP="000A1A91">
                  <w:pPr>
                    <w:pStyle w:val="ListParagraph"/>
                    <w:numPr>
                      <w:ilvl w:val="0"/>
                      <w:numId w:val="38"/>
                    </w:numPr>
                    <w:snapToGrid w:val="0"/>
                    <w:spacing w:before="60" w:after="60"/>
                    <w:ind w:left="778" w:hanging="288"/>
                    <w:rPr>
                      <w:rFonts w:eastAsiaTheme="minorEastAsia"/>
                      <w:szCs w:val="22"/>
                      <w:lang w:eastAsia="zh-CN"/>
                    </w:rPr>
                  </w:pPr>
                  <w:r w:rsidRPr="00B9542F">
                    <w:rPr>
                      <w:rFonts w:eastAsiaTheme="minorEastAsia"/>
                      <w:szCs w:val="22"/>
                      <w:lang w:eastAsia="zh-CN"/>
                    </w:rPr>
                    <w:t>促使政府监管机构支持和核可私营部门对自然基础设施和基于生态系统的办法适应气候变化和减少灾害风险的投资。</w:t>
                  </w:r>
                </w:p>
                <w:p w:rsidR="00594C0B" w:rsidRPr="00B9542F" w:rsidRDefault="00594C0B" w:rsidP="000A1A91">
                  <w:pPr>
                    <w:pStyle w:val="ListParagraph"/>
                    <w:numPr>
                      <w:ilvl w:val="0"/>
                      <w:numId w:val="38"/>
                    </w:numPr>
                    <w:snapToGrid w:val="0"/>
                    <w:spacing w:before="60" w:after="60"/>
                    <w:ind w:left="778" w:hanging="288"/>
                    <w:rPr>
                      <w:rFonts w:ascii="SimSun" w:hAnsi="SimSun"/>
                      <w:szCs w:val="22"/>
                      <w:lang w:eastAsia="zh-CN"/>
                    </w:rPr>
                  </w:pPr>
                  <w:r w:rsidRPr="00B9542F">
                    <w:rPr>
                      <w:rFonts w:eastAsiaTheme="minorEastAsia"/>
                      <w:szCs w:val="22"/>
                      <w:lang w:eastAsia="zh-CN"/>
                    </w:rPr>
                    <w:t>确定与可以帮助识别气候风险、影响和适应战略的行业协会之间的伙伴关系。这方面的例子包括开发供私营部门投资者和保险公司使用的气候风险评估工具，利用水文气象和气候信息服务，与开发商合作改善土地使用规划，包括恢复生态系统等基于生态系统的办法适应气候变化和减少灾害风险活动</w:t>
                  </w:r>
                  <w:r w:rsidRPr="00B9542F">
                    <w:rPr>
                      <w:rFonts w:ascii="SimSun" w:hAnsi="SimSun" w:cs="Microsoft YaHei" w:hint="eastAsia"/>
                      <w:szCs w:val="22"/>
                      <w:lang w:eastAsia="zh-CN"/>
                    </w:rPr>
                    <w:t>。</w:t>
                  </w:r>
                  <w:r w:rsidRPr="00B9542F">
                    <w:rPr>
                      <w:rFonts w:ascii="SimSun" w:hAnsi="SimSun"/>
                      <w:szCs w:val="22"/>
                      <w:lang w:eastAsia="zh-CN"/>
                    </w:rPr>
                    <w:t xml:space="preserve"> </w:t>
                  </w:r>
                </w:p>
                <w:p w:rsidR="00594C0B" w:rsidRPr="00B9542F" w:rsidRDefault="00594C0B" w:rsidP="000A1A91">
                  <w:pPr>
                    <w:pStyle w:val="ListParagraph"/>
                    <w:numPr>
                      <w:ilvl w:val="0"/>
                      <w:numId w:val="38"/>
                    </w:numPr>
                    <w:snapToGrid w:val="0"/>
                    <w:spacing w:before="60" w:after="60"/>
                    <w:ind w:left="778" w:hanging="288"/>
                    <w:rPr>
                      <w:rFonts w:eastAsiaTheme="minorEastAsia"/>
                      <w:szCs w:val="22"/>
                      <w:lang w:eastAsia="zh-CN"/>
                    </w:rPr>
                  </w:pPr>
                  <w:r w:rsidRPr="00B9542F">
                    <w:rPr>
                      <w:rFonts w:eastAsiaTheme="minorEastAsia"/>
                      <w:szCs w:val="22"/>
                      <w:lang w:eastAsia="zh-CN"/>
                    </w:rPr>
                    <w:t>为基于生态系统的办法适应气候变化和减少灾害风险尤其是私人土地所有者和公司创建国家级的激励结构。</w:t>
                  </w:r>
                </w:p>
                <w:p w:rsidR="00594C0B" w:rsidRPr="00B9542F" w:rsidRDefault="00594C0B" w:rsidP="00B9542F">
                  <w:pPr>
                    <w:spacing w:after="60"/>
                    <w:ind w:firstLine="0"/>
                    <w:rPr>
                      <w:rFonts w:eastAsiaTheme="minorEastAsia"/>
                      <w:lang w:eastAsia="zh-CN"/>
                    </w:rPr>
                  </w:pPr>
                  <w:r w:rsidRPr="00B9542F">
                    <w:rPr>
                      <w:rFonts w:eastAsiaTheme="minorEastAsia"/>
                      <w:lang w:eastAsia="zh-CN"/>
                    </w:rPr>
                    <w:t>将基于生态系统的办法适应气候变化和减少灾害风险纳入筹资重点的主流，应确保各项举措遵守基于生态系统的办法适应气候变化和减少灾害风险原则和保障措施，同时具有提高应对气候变化影响和灾害的社会生态能力的明确意图。</w:t>
                  </w:r>
                </w:p>
              </w:txbxContent>
            </v:textbox>
            <w10:wrap type="none"/>
            <w10:anchorlock/>
          </v:shape>
        </w:pict>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spacing w:before="240"/>
        <w:ind w:left="0" w:firstLine="0"/>
        <w:rPr>
          <w:rFonts w:eastAsiaTheme="minorEastAsia"/>
          <w:snapToGrid w:val="0"/>
          <w:kern w:val="22"/>
          <w:lang w:eastAsia="zh-CN"/>
        </w:rPr>
      </w:pPr>
      <w:r w:rsidRPr="002A0DEA">
        <w:rPr>
          <w:rFonts w:eastAsiaTheme="minorEastAsia"/>
          <w:snapToGrid w:val="0"/>
          <w:kern w:val="22"/>
          <w:lang w:eastAsia="zh-CN"/>
        </w:rPr>
        <w:t>这方面的一个关键行动是考虑将基于生态系统的适应气候变化和减少灾害风险纳入地方、国家和区域范围的部门发展计划，如农村和城市的土地利用和水资源管理。更多详细的行动以及支持基于生态系统的适应气候变化和减少灾害风险从业人员深入各部门的外展工作简报作为补充信息工具提供。</w:t>
      </w:r>
      <w:r w:rsidRPr="002A0DEA">
        <w:rPr>
          <w:rFonts w:eastAsiaTheme="minorEastAsia"/>
          <w:snapToGrid w:val="0"/>
          <w:kern w:val="22"/>
          <w:vertAlign w:val="superscript"/>
        </w:rPr>
        <w:footnoteReference w:id="62"/>
      </w:r>
      <w:r w:rsidRPr="002A0DEA">
        <w:rPr>
          <w:rFonts w:eastAsiaTheme="minorEastAsia"/>
          <w:snapToGrid w:val="0"/>
          <w:kern w:val="22"/>
          <w:lang w:eastAsia="zh-CN"/>
        </w:rPr>
        <w:t xml:space="preserve"> </w:t>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2A0DEA">
        <w:rPr>
          <w:rFonts w:eastAsiaTheme="minorEastAsia"/>
          <w:snapToGrid w:val="0"/>
          <w:kern w:val="22"/>
          <w:lang w:eastAsia="zh-CN"/>
        </w:rPr>
        <w:lastRenderedPageBreak/>
        <w:t>考虑到以上所提信息，作为补充信息，图</w:t>
      </w:r>
      <w:r w:rsidRPr="002A0DEA">
        <w:rPr>
          <w:rFonts w:eastAsiaTheme="minorEastAsia"/>
          <w:snapToGrid w:val="0"/>
          <w:kern w:val="22"/>
          <w:lang w:eastAsia="zh-CN"/>
        </w:rPr>
        <w:t>2</w:t>
      </w:r>
      <w:r w:rsidRPr="002A0DEA">
        <w:rPr>
          <w:rFonts w:eastAsiaTheme="minorEastAsia"/>
          <w:snapToGrid w:val="0"/>
          <w:kern w:val="22"/>
          <w:lang w:eastAsia="zh-CN"/>
        </w:rPr>
        <w:t>载有将基于生态系统的适应气候变化和减少灾害风险纳入发展和部门计划主流的简单框架。</w:t>
      </w:r>
      <w:r w:rsidRPr="005B2709">
        <w:rPr>
          <w:rStyle w:val="FootnoteReference"/>
          <w:rFonts w:eastAsiaTheme="minorEastAsia"/>
          <w:snapToGrid w:val="0"/>
          <w:kern w:val="22"/>
          <w:sz w:val="24"/>
          <w:u w:val="none"/>
          <w:vertAlign w:val="superscript"/>
        </w:rPr>
        <w:footnoteReference w:id="63"/>
      </w:r>
    </w:p>
    <w:p w:rsidR="00375FE8" w:rsidRPr="002A0DEA" w:rsidRDefault="00375FE8" w:rsidP="00B6209F">
      <w:pPr>
        <w:keepNext/>
        <w:suppressLineNumbers/>
        <w:suppressAutoHyphens/>
        <w:kinsoku w:val="0"/>
        <w:overflowPunct w:val="0"/>
        <w:autoSpaceDE w:val="0"/>
        <w:autoSpaceDN w:val="0"/>
        <w:adjustRightInd w:val="0"/>
        <w:ind w:left="720" w:hanging="720"/>
        <w:rPr>
          <w:rFonts w:eastAsiaTheme="minorEastAsia"/>
          <w:b/>
          <w:bCs/>
          <w:snapToGrid w:val="0"/>
          <w:kern w:val="22"/>
          <w:lang w:eastAsia="zh-CN"/>
        </w:rPr>
      </w:pPr>
      <w:r w:rsidRPr="002A0DEA">
        <w:rPr>
          <w:rFonts w:eastAsiaTheme="minorEastAsia"/>
          <w:b/>
          <w:bCs/>
          <w:snapToGrid w:val="0"/>
          <w:kern w:val="22"/>
          <w:lang w:eastAsia="zh-CN"/>
        </w:rPr>
        <w:t>图</w:t>
      </w:r>
      <w:r w:rsidRPr="002A0DEA">
        <w:rPr>
          <w:rFonts w:eastAsiaTheme="minorEastAsia"/>
          <w:b/>
          <w:bCs/>
          <w:snapToGrid w:val="0"/>
          <w:kern w:val="22"/>
          <w:lang w:eastAsia="zh-CN"/>
        </w:rPr>
        <w:t xml:space="preserve"> 2.</w:t>
      </w:r>
      <w:r w:rsidRPr="002A0DEA">
        <w:rPr>
          <w:rFonts w:eastAsiaTheme="minorEastAsia"/>
          <w:b/>
          <w:bCs/>
          <w:snapToGrid w:val="0"/>
          <w:kern w:val="22"/>
          <w:lang w:eastAsia="zh-CN"/>
        </w:rPr>
        <w:tab/>
      </w:r>
      <w:r w:rsidRPr="002A0DEA">
        <w:rPr>
          <w:rFonts w:eastAsiaTheme="minorEastAsia"/>
          <w:b/>
          <w:bCs/>
          <w:snapToGrid w:val="0"/>
          <w:kern w:val="22"/>
          <w:lang w:eastAsia="zh-CN"/>
        </w:rPr>
        <w:t>通过将基于生态系统的方法融入现有手段和方法工具，挑选适当监测和评价指标，通过制定变革理论确保施加成功的影响，找到将基于生态系统的适应气候变化和减少灾害风险纳入关键的发展和部门战略的切入点</w:t>
      </w:r>
    </w:p>
    <w:p w:rsidR="00375FE8" w:rsidRPr="002A0DEA" w:rsidRDefault="00375FE8" w:rsidP="002A0DEA">
      <w:pPr>
        <w:suppressLineNumbers/>
        <w:suppressAutoHyphens/>
        <w:kinsoku w:val="0"/>
        <w:overflowPunct w:val="0"/>
        <w:autoSpaceDE w:val="0"/>
        <w:autoSpaceDN w:val="0"/>
        <w:adjustRightInd w:val="0"/>
        <w:ind w:left="1470"/>
        <w:rPr>
          <w:rFonts w:eastAsiaTheme="minorEastAsia"/>
          <w:snapToGrid w:val="0"/>
          <w:kern w:val="22"/>
          <w:lang w:eastAsia="zh-CN"/>
        </w:rPr>
      </w:pPr>
      <w:r w:rsidRPr="002A0DEA">
        <w:rPr>
          <w:rFonts w:eastAsiaTheme="minorEastAsia"/>
          <w:noProof/>
          <w:snapToGrid w:val="0"/>
          <w:kern w:val="22"/>
          <w:lang w:eastAsia="zh-CN"/>
        </w:rPr>
        <w:drawing>
          <wp:inline distT="0" distB="0" distL="0" distR="0">
            <wp:extent cx="3917907" cy="375808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2538" cy="3829670"/>
                    </a:xfrm>
                    <a:prstGeom prst="rect">
                      <a:avLst/>
                    </a:prstGeom>
                    <a:noFill/>
                  </pic:spPr>
                </pic:pic>
              </a:graphicData>
            </a:graphic>
          </wp:inline>
        </w:drawing>
      </w:r>
    </w:p>
    <w:p w:rsidR="00375FE8" w:rsidRPr="002A0DEA" w:rsidRDefault="00375FE8" w:rsidP="002A0DEA">
      <w:pPr>
        <w:keepNext/>
        <w:suppressLineNumbers/>
        <w:suppressAutoHyphens/>
        <w:kinsoku w:val="0"/>
        <w:overflowPunct w:val="0"/>
        <w:autoSpaceDE w:val="0"/>
        <w:autoSpaceDN w:val="0"/>
        <w:adjustRightInd w:val="0"/>
        <w:ind w:firstLine="490"/>
        <w:outlineLvl w:val="0"/>
        <w:rPr>
          <w:rFonts w:eastAsiaTheme="minorEastAsia"/>
          <w:b/>
          <w:snapToGrid w:val="0"/>
          <w:kern w:val="22"/>
          <w:lang w:eastAsia="zh-CN"/>
        </w:rPr>
      </w:pPr>
      <w:bookmarkStart w:id="61" w:name="_Toc6243681"/>
      <w:r w:rsidRPr="002A0DEA">
        <w:rPr>
          <w:rFonts w:eastAsiaTheme="minorEastAsia"/>
          <w:b/>
          <w:snapToGrid w:val="0"/>
          <w:kern w:val="22"/>
          <w:lang w:eastAsia="zh-CN"/>
        </w:rPr>
        <w:t xml:space="preserve">3.3. </w:t>
      </w:r>
      <w:r w:rsidRPr="002A0DEA">
        <w:rPr>
          <w:rFonts w:eastAsiaTheme="minorEastAsia"/>
          <w:b/>
          <w:snapToGrid w:val="0"/>
          <w:kern w:val="22"/>
          <w:lang w:eastAsia="zh-CN"/>
        </w:rPr>
        <w:t>提高认识和建立能力</w:t>
      </w:r>
      <w:bookmarkEnd w:id="61"/>
    </w:p>
    <w:p w:rsidR="00375FE8" w:rsidRPr="0046165D"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ascii="SimSun" w:eastAsia="SimSun" w:hAnsi="SimSun" w:cs="SimSun"/>
          <w:snapToGrid w:val="0"/>
          <w:kern w:val="22"/>
          <w:lang w:eastAsia="zh-CN"/>
        </w:rPr>
      </w:pPr>
      <w:r w:rsidRPr="0046165D">
        <w:rPr>
          <w:rFonts w:ascii="SimSun" w:eastAsia="SimSun" w:hAnsi="SimSun" w:cs="SimSun"/>
          <w:snapToGrid w:val="0"/>
          <w:kern w:val="22"/>
          <w:lang w:eastAsia="zh-CN"/>
        </w:rPr>
        <w:t>在跨部门、实践社区和学科传播基于生态系统的适应气候变化和减少灾害风险的多重益处对于加强各项倡议的采纳和可持续性至关重要，也为筹资开辟了途径。国家和国际政策协议为弥合各实践社区之间的差距提供了机会。生态系统管理、气候变化和减少灾害风险之间的相互联系体现在可持续发展目标、《仙台减少灾害风险框架》，《关于气候变化的巴黎协定》、里约各公约缔约方的各项决定和《拉姆萨尔公约》缔约方的各项决议之中。</w:t>
      </w:r>
      <w:r w:rsidRPr="0046165D">
        <w:rPr>
          <w:rFonts w:eastAsia="SimSun"/>
          <w:snapToGrid w:val="0"/>
          <w:kern w:val="22"/>
          <w:vertAlign w:val="superscript"/>
          <w:lang w:eastAsia="zh-CN"/>
        </w:rPr>
        <w:footnoteReference w:id="64"/>
      </w:r>
      <w:r w:rsidRPr="0046165D">
        <w:rPr>
          <w:rFonts w:eastAsia="SimSun"/>
          <w:snapToGrid w:val="0"/>
          <w:kern w:val="22"/>
          <w:vertAlign w:val="superscript"/>
          <w:lang w:eastAsia="zh-CN"/>
        </w:rPr>
        <w:t xml:space="preserve"> </w:t>
      </w:r>
    </w:p>
    <w:p w:rsidR="00375FE8" w:rsidRPr="002A0DEA" w:rsidRDefault="00375FE8" w:rsidP="000A1A91">
      <w:pPr>
        <w:pStyle w:val="ListParagraph"/>
        <w:widowControl w:val="0"/>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2A0DEA">
        <w:rPr>
          <w:rFonts w:eastAsiaTheme="minorEastAsia"/>
          <w:snapToGrid w:val="0"/>
          <w:kern w:val="22"/>
          <w:lang w:eastAsia="zh-CN"/>
        </w:rPr>
        <w:t>作为补充信息，提供了提高认识和建立能力的建议行动详细清单。</w:t>
      </w:r>
      <w:r w:rsidRPr="002A0DEA">
        <w:rPr>
          <w:rFonts w:eastAsiaTheme="minorEastAsia"/>
          <w:vertAlign w:val="superscript"/>
        </w:rPr>
        <w:footnoteReference w:id="65"/>
      </w:r>
      <w:r w:rsidRPr="002A0DEA">
        <w:rPr>
          <w:rFonts w:eastAsiaTheme="minorEastAsia"/>
          <w:snapToGrid w:val="0"/>
          <w:kern w:val="22"/>
          <w:lang w:eastAsia="zh-CN"/>
        </w:rPr>
        <w:t xml:space="preserve"> </w:t>
      </w:r>
      <w:r w:rsidRPr="002A0DEA">
        <w:rPr>
          <w:rFonts w:eastAsiaTheme="minorEastAsia"/>
          <w:snapToGrid w:val="0"/>
          <w:kern w:val="22"/>
          <w:lang w:eastAsia="zh-CN"/>
        </w:rPr>
        <w:t>一些关键行动</w:t>
      </w:r>
      <w:r w:rsidRPr="002A0DEA">
        <w:rPr>
          <w:rFonts w:eastAsiaTheme="minorEastAsia"/>
          <w:snapToGrid w:val="0"/>
          <w:kern w:val="22"/>
          <w:lang w:eastAsia="zh-CN"/>
        </w:rPr>
        <w:lastRenderedPageBreak/>
        <w:t>包括对以下方面进行基线评估：</w:t>
      </w:r>
      <w:r w:rsidRPr="002A0DEA">
        <w:rPr>
          <w:rFonts w:eastAsiaTheme="minorEastAsia"/>
          <w:snapToGrid w:val="0"/>
          <w:kern w:val="22"/>
          <w:lang w:eastAsia="zh-CN"/>
        </w:rPr>
        <w:t xml:space="preserve">(a) </w:t>
      </w:r>
      <w:r w:rsidRPr="002A0DEA">
        <w:rPr>
          <w:rFonts w:eastAsiaTheme="minorEastAsia"/>
          <w:snapToGrid w:val="0"/>
          <w:kern w:val="22"/>
          <w:lang w:eastAsia="zh-CN"/>
        </w:rPr>
        <w:t>决策者处理差距和需求问题的现有技能和能力；</w:t>
      </w:r>
      <w:r w:rsidRPr="002A0DEA">
        <w:rPr>
          <w:rFonts w:eastAsiaTheme="minorEastAsia"/>
          <w:snapToGrid w:val="0"/>
          <w:kern w:val="22"/>
          <w:lang w:eastAsia="zh-CN"/>
        </w:rPr>
        <w:t xml:space="preserve">(b) </w:t>
      </w:r>
      <w:r w:rsidRPr="002A0DEA">
        <w:rPr>
          <w:rFonts w:eastAsiaTheme="minorEastAsia"/>
          <w:snapToGrid w:val="0"/>
          <w:kern w:val="22"/>
          <w:lang w:eastAsia="zh-CN"/>
        </w:rPr>
        <w:t>查明基于生态系统的适应气候变化和减少灾害风险的可持续主流化和实施的必要性机构能力和现有协调机制。还应考虑不同利益攸关方群体的不同信息和沟通需求，以便进行有效的外联，建立共同知识库，并寻求在利益攸关方之间找到共同语言，以支持他们的合作。有许多网络可以支持这些努力，并为分享信息和经验提供平台。</w:t>
      </w:r>
      <w:r w:rsidRPr="005B2709">
        <w:rPr>
          <w:rStyle w:val="FootnoteReference"/>
          <w:rFonts w:eastAsiaTheme="minorEastAsia"/>
          <w:snapToGrid w:val="0"/>
          <w:kern w:val="22"/>
          <w:sz w:val="24"/>
          <w:u w:val="none"/>
          <w:vertAlign w:val="superscript"/>
        </w:rPr>
        <w:footnoteReference w:id="66"/>
      </w:r>
      <w:r w:rsidRPr="005B2709">
        <w:rPr>
          <w:rFonts w:eastAsiaTheme="minorEastAsia"/>
          <w:snapToGrid w:val="0"/>
          <w:kern w:val="22"/>
          <w:sz w:val="44"/>
          <w:vertAlign w:val="superscript"/>
          <w:lang w:eastAsia="zh-CN"/>
        </w:rPr>
        <w:t xml:space="preserve"> </w:t>
      </w:r>
    </w:p>
    <w:p w:rsidR="00375FE8" w:rsidRPr="002A0DEA" w:rsidRDefault="00375FE8" w:rsidP="00B9542F">
      <w:pPr>
        <w:keepNext/>
        <w:suppressLineNumbers/>
        <w:suppressAutoHyphens/>
        <w:kinsoku w:val="0"/>
        <w:overflowPunct w:val="0"/>
        <w:autoSpaceDE w:val="0"/>
        <w:autoSpaceDN w:val="0"/>
        <w:adjustRightInd w:val="0"/>
        <w:ind w:firstLine="0"/>
        <w:outlineLvl w:val="0"/>
        <w:rPr>
          <w:rFonts w:eastAsiaTheme="minorEastAsia"/>
          <w:b/>
          <w:snapToGrid w:val="0"/>
          <w:kern w:val="22"/>
          <w:lang w:eastAsia="zh-CN"/>
        </w:rPr>
      </w:pPr>
      <w:bookmarkStart w:id="62" w:name="_Toc6243682"/>
      <w:r w:rsidRPr="002A0DEA">
        <w:rPr>
          <w:rFonts w:eastAsiaTheme="minorEastAsia"/>
          <w:b/>
          <w:snapToGrid w:val="0"/>
          <w:kern w:val="22"/>
          <w:lang w:eastAsia="zh-CN"/>
        </w:rPr>
        <w:t xml:space="preserve">4. </w:t>
      </w:r>
      <w:r w:rsidRPr="002A0DEA">
        <w:rPr>
          <w:rFonts w:eastAsiaTheme="minorEastAsia"/>
          <w:b/>
          <w:snapToGrid w:val="0"/>
          <w:kern w:val="22"/>
          <w:lang w:eastAsia="zh-CN"/>
        </w:rPr>
        <w:t>采取循序渐进的方法制定和实施有效的基于生态系统的适应气候变化和减少灾害风险</w:t>
      </w:r>
      <w:bookmarkEnd w:id="62"/>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2A0DEA">
        <w:rPr>
          <w:rFonts w:eastAsiaTheme="minorEastAsia"/>
          <w:snapToGrid w:val="0"/>
          <w:kern w:val="22"/>
          <w:lang w:eastAsia="zh-CN"/>
        </w:rPr>
        <w:t>在制定这些准则的概念框架时，除了更广泛的解决问题方法，例如景观和系统方法框架外，</w:t>
      </w:r>
      <w:r w:rsidRPr="0046165D">
        <w:rPr>
          <w:rFonts w:eastAsiaTheme="minorEastAsia"/>
          <w:snapToGrid w:val="0"/>
          <w:kern w:val="22"/>
          <w:vertAlign w:val="superscript"/>
        </w:rPr>
        <w:footnoteReference w:id="67"/>
      </w:r>
      <w:r w:rsidRPr="0046165D">
        <w:rPr>
          <w:rFonts w:eastAsiaTheme="minorEastAsia"/>
          <w:snapToGrid w:val="0"/>
          <w:kern w:val="22"/>
          <w:vertAlign w:val="superscript"/>
          <w:lang w:eastAsia="zh-CN"/>
        </w:rPr>
        <w:t>,</w:t>
      </w:r>
      <w:r w:rsidRPr="0046165D">
        <w:rPr>
          <w:vertAlign w:val="superscript"/>
        </w:rPr>
        <w:footnoteReference w:id="68"/>
      </w:r>
      <w:r w:rsidRPr="0046165D">
        <w:rPr>
          <w:rFonts w:eastAsiaTheme="minorEastAsia"/>
          <w:snapToGrid w:val="0"/>
          <w:kern w:val="22"/>
          <w:vertAlign w:val="superscript"/>
          <w:lang w:eastAsia="zh-CN"/>
        </w:rPr>
        <w:t xml:space="preserve"> </w:t>
      </w:r>
      <w:r w:rsidRPr="002A0DEA">
        <w:rPr>
          <w:rFonts w:eastAsiaTheme="minorEastAsia"/>
          <w:snapToGrid w:val="0"/>
          <w:kern w:val="22"/>
          <w:lang w:eastAsia="zh-CN"/>
        </w:rPr>
        <w:t>还审议了各种适应气候变化和减少灾害风险的流程。这些准则从宽广的视角看待所有</w:t>
      </w:r>
      <w:r w:rsidRPr="002A0DEA">
        <w:rPr>
          <w:rFonts w:eastAsiaTheme="minorEastAsia"/>
          <w:snapToGrid w:val="0"/>
          <w:spacing w:val="20"/>
          <w:kern w:val="22"/>
          <w:lang w:eastAsia="zh-CN"/>
        </w:rPr>
        <w:t>生态系统，包括考虑将基于生态系统的适应气候变化和减少灾害风险纳入</w:t>
      </w:r>
      <w:r w:rsidRPr="002A0DEA">
        <w:rPr>
          <w:rFonts w:eastAsiaTheme="minorEastAsia"/>
          <w:snapToGrid w:val="0"/>
          <w:kern w:val="22"/>
          <w:lang w:eastAsia="zh-CN"/>
        </w:rPr>
        <w:t>主流。准则将这些方法融入一系列迭代步骤中</w:t>
      </w:r>
      <w:r w:rsidRPr="004B7DAB">
        <w:rPr>
          <w:rFonts w:eastAsiaTheme="minorEastAsia"/>
          <w:snapToGrid w:val="0"/>
          <w:spacing w:val="-20"/>
          <w:kern w:val="22"/>
          <w:lang w:eastAsia="zh-CN"/>
        </w:rPr>
        <w:t>。各项流程应具有灵活性，旨在适应项目、</w:t>
      </w:r>
      <w:r w:rsidRPr="002A0DEA">
        <w:rPr>
          <w:rFonts w:eastAsiaTheme="minorEastAsia"/>
          <w:snapToGrid w:val="0"/>
          <w:kern w:val="22"/>
          <w:lang w:eastAsia="zh-CN"/>
        </w:rPr>
        <w:t>方案或国家、区域或景观</w:t>
      </w:r>
      <w:r w:rsidRPr="002A0DEA">
        <w:rPr>
          <w:rFonts w:eastAsiaTheme="minorEastAsia"/>
          <w:snapToGrid w:val="0"/>
          <w:kern w:val="22"/>
          <w:lang w:eastAsia="zh-CN"/>
        </w:rPr>
        <w:t>/</w:t>
      </w:r>
      <w:r w:rsidRPr="002A0DEA">
        <w:rPr>
          <w:rFonts w:eastAsiaTheme="minorEastAsia"/>
          <w:snapToGrid w:val="0"/>
          <w:kern w:val="22"/>
          <w:lang w:eastAsia="zh-CN"/>
        </w:rPr>
        <w:t>海景的需求。基于生态系统的适应气候变化和减少灾害风险原则和保障措施是规划和实施过程的核心，并为提高效能和效率作出总体考虑。步骤与工具箱相链接，对作为补充信息提供的进一步指导和工具进行非详尽选择。</w:t>
      </w:r>
      <w:r w:rsidRPr="0046165D">
        <w:rPr>
          <w:rStyle w:val="FootnoteReference"/>
          <w:rFonts w:eastAsiaTheme="minorEastAsia"/>
          <w:snapToGrid w:val="0"/>
          <w:kern w:val="22"/>
          <w:sz w:val="24"/>
          <w:u w:val="none"/>
          <w:vertAlign w:val="superscript"/>
        </w:rPr>
        <w:footnoteReference w:id="69"/>
      </w:r>
      <w:r w:rsidRPr="0046165D">
        <w:rPr>
          <w:rFonts w:eastAsiaTheme="minorEastAsia"/>
          <w:snapToGrid w:val="0"/>
          <w:kern w:val="22"/>
          <w:sz w:val="44"/>
          <w:vertAlign w:val="superscript"/>
          <w:lang w:eastAsia="zh-CN"/>
        </w:rPr>
        <w:t xml:space="preserve"> </w:t>
      </w:r>
      <w:r w:rsidRPr="002A0DEA">
        <w:rPr>
          <w:rFonts w:eastAsiaTheme="minorEastAsia"/>
          <w:snapToGrid w:val="0"/>
          <w:kern w:val="22"/>
          <w:lang w:eastAsia="zh-CN"/>
        </w:rPr>
        <w:t>利益攸关方的参与、主流化、能力建设和监督应贯穿整个过程。</w:t>
      </w:r>
    </w:p>
    <w:p w:rsidR="00375FE8" w:rsidRPr="002A0DEA" w:rsidRDefault="00375FE8" w:rsidP="00B9542F">
      <w:pPr>
        <w:keepNext/>
        <w:suppressLineNumbers/>
        <w:suppressAutoHyphens/>
        <w:kinsoku w:val="0"/>
        <w:overflowPunct w:val="0"/>
        <w:autoSpaceDE w:val="0"/>
        <w:autoSpaceDN w:val="0"/>
        <w:adjustRightInd w:val="0"/>
        <w:ind w:firstLine="0"/>
        <w:outlineLvl w:val="1"/>
        <w:rPr>
          <w:rFonts w:eastAsiaTheme="minorEastAsia"/>
          <w:b/>
          <w:snapToGrid w:val="0"/>
          <w:kern w:val="22"/>
          <w:lang w:eastAsia="zh-CN"/>
        </w:rPr>
      </w:pPr>
      <w:bookmarkStart w:id="63" w:name="_Toc6243683"/>
      <w:r w:rsidRPr="002A0DEA">
        <w:rPr>
          <w:rFonts w:eastAsiaTheme="minorEastAsia"/>
          <w:b/>
          <w:snapToGrid w:val="0"/>
          <w:kern w:val="22"/>
          <w:lang w:eastAsia="zh-CN"/>
        </w:rPr>
        <w:t>步骤</w:t>
      </w:r>
      <w:r w:rsidRPr="002A0DEA">
        <w:rPr>
          <w:rFonts w:eastAsiaTheme="minorEastAsia"/>
          <w:b/>
          <w:snapToGrid w:val="0"/>
          <w:kern w:val="22"/>
          <w:lang w:eastAsia="zh-CN"/>
        </w:rPr>
        <w:t xml:space="preserve"> A. </w:t>
      </w:r>
      <w:r w:rsidRPr="002A0DEA">
        <w:rPr>
          <w:rFonts w:eastAsiaTheme="minorEastAsia"/>
          <w:b/>
          <w:snapToGrid w:val="0"/>
          <w:kern w:val="22"/>
          <w:lang w:eastAsia="zh-CN"/>
        </w:rPr>
        <w:t>了解社会</w:t>
      </w:r>
      <w:r w:rsidRPr="002A0DEA">
        <w:rPr>
          <w:rFonts w:eastAsiaTheme="minorEastAsia"/>
          <w:b/>
          <w:snapToGrid w:val="0"/>
          <w:kern w:val="22"/>
          <w:lang w:eastAsia="zh-CN"/>
        </w:rPr>
        <w:t>-</w:t>
      </w:r>
      <w:r w:rsidRPr="002A0DEA">
        <w:rPr>
          <w:rFonts w:eastAsiaTheme="minorEastAsia"/>
          <w:b/>
          <w:snapToGrid w:val="0"/>
          <w:kern w:val="22"/>
          <w:lang w:eastAsia="zh-CN"/>
        </w:rPr>
        <w:t>生态系统</w:t>
      </w:r>
      <w:bookmarkEnd w:id="63"/>
    </w:p>
    <w:p w:rsidR="00375FE8" w:rsidRPr="002A0DEA" w:rsidRDefault="00375FE8" w:rsidP="00B9542F">
      <w:pPr>
        <w:keepNext/>
        <w:suppressLineNumbers/>
        <w:suppressAutoHyphens/>
        <w:kinsoku w:val="0"/>
        <w:overflowPunct w:val="0"/>
        <w:autoSpaceDE w:val="0"/>
        <w:autoSpaceDN w:val="0"/>
        <w:adjustRightInd w:val="0"/>
        <w:ind w:firstLine="0"/>
        <w:rPr>
          <w:rFonts w:eastAsiaTheme="minorEastAsia"/>
          <w:b/>
          <w:snapToGrid w:val="0"/>
          <w:kern w:val="22"/>
          <w:lang w:eastAsia="zh-CN"/>
        </w:rPr>
      </w:pPr>
      <w:r w:rsidRPr="002A0DEA">
        <w:rPr>
          <w:rFonts w:eastAsiaTheme="minorEastAsia"/>
          <w:b/>
          <w:snapToGrid w:val="0"/>
          <w:kern w:val="22"/>
          <w:lang w:eastAsia="zh-CN"/>
        </w:rPr>
        <w:t>目的</w:t>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color w:val="212121"/>
          <w:lang w:eastAsia="zh-CN"/>
        </w:rPr>
      </w:pPr>
      <w:r w:rsidRPr="002A0DEA">
        <w:rPr>
          <w:rFonts w:eastAsiaTheme="minorEastAsia"/>
          <w:snapToGrid w:val="0"/>
          <w:kern w:val="22"/>
          <w:lang w:eastAsia="zh-CN"/>
        </w:rPr>
        <w:t>采取</w:t>
      </w:r>
      <w:r w:rsidRPr="002A0DEA">
        <w:rPr>
          <w:rFonts w:eastAsiaTheme="minorEastAsia"/>
          <w:color w:val="212121"/>
          <w:lang w:eastAsia="zh-CN"/>
        </w:rPr>
        <w:t>这一探索性步骤是为了加深了解以适应气候变化和灾害风险管理干预措施为目标的社会</w:t>
      </w:r>
      <w:r w:rsidRPr="002A0DEA">
        <w:rPr>
          <w:rFonts w:eastAsiaTheme="minorEastAsia"/>
          <w:color w:val="212121"/>
          <w:lang w:eastAsia="zh-CN"/>
        </w:rPr>
        <w:t>-</w:t>
      </w:r>
      <w:r w:rsidRPr="002A0DEA">
        <w:rPr>
          <w:rFonts w:eastAsiaTheme="minorEastAsia"/>
          <w:color w:val="212121"/>
          <w:lang w:eastAsia="zh-CN"/>
        </w:rPr>
        <w:t>生态系统。这包括确定生态系统</w:t>
      </w:r>
      <w:r w:rsidRPr="002A0DEA">
        <w:rPr>
          <w:rFonts w:eastAsiaTheme="minorEastAsia"/>
          <w:color w:val="212121"/>
          <w:lang w:eastAsia="zh-CN"/>
        </w:rPr>
        <w:t>/</w:t>
      </w:r>
      <w:r w:rsidRPr="002A0DEA">
        <w:rPr>
          <w:rFonts w:eastAsiaTheme="minorEastAsia"/>
          <w:color w:val="212121"/>
          <w:lang w:eastAsia="zh-CN"/>
        </w:rPr>
        <w:t>景观的关键特征，包括生物多样性和生态系统功能和服务以及与人的相互关系。通过步骤</w:t>
      </w:r>
      <w:r w:rsidRPr="002A0DEA">
        <w:rPr>
          <w:rFonts w:eastAsiaTheme="minorEastAsia"/>
          <w:color w:val="212121"/>
          <w:lang w:eastAsia="zh-CN"/>
        </w:rPr>
        <w:t>A</w:t>
      </w:r>
      <w:r w:rsidRPr="002A0DEA">
        <w:rPr>
          <w:rFonts w:eastAsiaTheme="minorEastAsia"/>
          <w:color w:val="212121"/>
          <w:lang w:eastAsia="zh-CN"/>
        </w:rPr>
        <w:t>，可以在应对当前和未来的气候变化影响时解决风险的根源问题。此外，它还生成基准信息，确保基于生态系统的适应气候变化</w:t>
      </w:r>
      <w:r w:rsidRPr="002A0DEA">
        <w:rPr>
          <w:rFonts w:eastAsiaTheme="minorEastAsia"/>
          <w:color w:val="212121"/>
          <w:lang w:eastAsia="zh-CN"/>
        </w:rPr>
        <w:t>/</w:t>
      </w:r>
      <w:r w:rsidRPr="002A0DEA">
        <w:rPr>
          <w:rFonts w:eastAsiaTheme="minorEastAsia"/>
          <w:color w:val="212121"/>
          <w:lang w:eastAsia="zh-CN"/>
        </w:rPr>
        <w:t>减少灾害风险措施符合保护和发展需求，不会伤害生物多样性、文化多样性或生态系统功能和服务或依赖此类功能和服务的人民和生计，并符合各项原则和保障措施。</w:t>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2A0DEA">
        <w:rPr>
          <w:rFonts w:eastAsiaTheme="minorEastAsia"/>
          <w:color w:val="212121"/>
          <w:lang w:eastAsia="zh-CN"/>
        </w:rPr>
        <w:t>此外，步骤</w:t>
      </w:r>
      <w:r w:rsidRPr="002A0DEA">
        <w:rPr>
          <w:rFonts w:eastAsiaTheme="minorEastAsia"/>
          <w:color w:val="212121"/>
          <w:lang w:eastAsia="zh-CN"/>
        </w:rPr>
        <w:t>A</w:t>
      </w:r>
      <w:r w:rsidRPr="002A0DEA">
        <w:rPr>
          <w:rFonts w:eastAsiaTheme="minorEastAsia"/>
          <w:color w:val="212121"/>
          <w:lang w:eastAsia="zh-CN"/>
        </w:rPr>
        <w:t>还包括深入的利益攸关方分析以及将要编入嗣后步骤的多利益攸关方的参与进程，因此，为这些分析提出了更详细的行动（方框</w:t>
      </w:r>
      <w:r w:rsidRPr="002A0DEA">
        <w:rPr>
          <w:rFonts w:eastAsiaTheme="minorEastAsia"/>
          <w:color w:val="212121"/>
          <w:lang w:eastAsia="zh-CN"/>
        </w:rPr>
        <w:t>2</w:t>
      </w:r>
      <w:r w:rsidRPr="002A0DEA">
        <w:rPr>
          <w:rFonts w:eastAsiaTheme="minorEastAsia"/>
          <w:snapToGrid w:val="0"/>
          <w:kern w:val="22"/>
          <w:lang w:eastAsia="zh-CN"/>
        </w:rPr>
        <w:t>）。</w:t>
      </w:r>
      <w:r w:rsidRPr="002A0DEA">
        <w:rPr>
          <w:rFonts w:eastAsiaTheme="minorEastAsia"/>
          <w:snapToGrid w:val="0"/>
          <w:kern w:val="22"/>
          <w:lang w:eastAsia="zh-CN"/>
        </w:rPr>
        <w:t xml:space="preserve"> </w:t>
      </w:r>
    </w:p>
    <w:p w:rsidR="00375FE8" w:rsidRPr="002A0DEA" w:rsidRDefault="00375FE8" w:rsidP="000606E1">
      <w:pPr>
        <w:widowControl w:val="0"/>
        <w:suppressLineNumbers/>
        <w:suppressAutoHyphens/>
        <w:kinsoku w:val="0"/>
        <w:overflowPunct w:val="0"/>
        <w:autoSpaceDE w:val="0"/>
        <w:autoSpaceDN w:val="0"/>
        <w:adjustRightInd w:val="0"/>
        <w:ind w:firstLine="0"/>
        <w:rPr>
          <w:rFonts w:eastAsiaTheme="minorEastAsia"/>
          <w:b/>
          <w:snapToGrid w:val="0"/>
          <w:kern w:val="22"/>
        </w:rPr>
      </w:pPr>
      <w:r w:rsidRPr="002A0DEA">
        <w:rPr>
          <w:rFonts w:eastAsiaTheme="minorEastAsia"/>
          <w:b/>
          <w:snapToGrid w:val="0"/>
          <w:kern w:val="22"/>
          <w:lang w:eastAsia="zh-CN"/>
        </w:rPr>
        <w:t>成果</w:t>
      </w:r>
    </w:p>
    <w:p w:rsidR="00375FE8" w:rsidRPr="002A0DEA" w:rsidRDefault="00375FE8" w:rsidP="000606E1">
      <w:pPr>
        <w:widowControl w:val="0"/>
        <w:numPr>
          <w:ilvl w:val="0"/>
          <w:numId w:val="42"/>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lastRenderedPageBreak/>
        <w:t>经界定的相关社会生态系统（生物多样性、生态系统和服务、社会经济特征和依赖性）以及相关的适应气候变化和减少灾害风险大小目标；</w:t>
      </w:r>
    </w:p>
    <w:p w:rsidR="00375FE8" w:rsidRPr="002A0DEA" w:rsidRDefault="00375FE8" w:rsidP="000A1A91">
      <w:pPr>
        <w:numPr>
          <w:ilvl w:val="0"/>
          <w:numId w:val="42"/>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经界定的利益攸关方和权利持有人；</w:t>
      </w:r>
    </w:p>
    <w:p w:rsidR="00375FE8" w:rsidRPr="002A0DEA" w:rsidRDefault="00375FE8" w:rsidP="005B2709">
      <w:pPr>
        <w:widowControl w:val="0"/>
        <w:numPr>
          <w:ilvl w:val="0"/>
          <w:numId w:val="42"/>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经界定的系统内基于生态系统</w:t>
      </w:r>
      <w:r w:rsidRPr="004B7DAB">
        <w:rPr>
          <w:rFonts w:eastAsiaTheme="minorEastAsia"/>
          <w:bCs/>
          <w:spacing w:val="20"/>
          <w:kern w:val="22"/>
          <w:lang w:eastAsia="zh-CN"/>
        </w:rPr>
        <w:t>适</w:t>
      </w:r>
      <w:r w:rsidRPr="004B7DAB">
        <w:rPr>
          <w:rFonts w:eastAsiaTheme="minorEastAsia"/>
          <w:bCs/>
          <w:spacing w:val="-20"/>
          <w:kern w:val="22"/>
          <w:lang w:eastAsia="zh-CN"/>
        </w:rPr>
        <w:t>应气候变化</w:t>
      </w:r>
      <w:r w:rsidRPr="004B7DAB">
        <w:rPr>
          <w:rFonts w:eastAsiaTheme="minorEastAsia"/>
          <w:bCs/>
          <w:spacing w:val="-20"/>
          <w:kern w:val="22"/>
          <w:lang w:eastAsia="zh-CN"/>
        </w:rPr>
        <w:t>/</w:t>
      </w:r>
      <w:r w:rsidRPr="004B7DAB">
        <w:rPr>
          <w:rFonts w:eastAsiaTheme="minorEastAsia"/>
          <w:bCs/>
          <w:spacing w:val="-20"/>
          <w:kern w:val="22"/>
          <w:lang w:eastAsia="zh-CN"/>
        </w:rPr>
        <w:t>减少灾害风险政治和机构切入点。</w:t>
      </w:r>
      <w:r w:rsidRPr="004B7DAB">
        <w:rPr>
          <w:rFonts w:eastAsiaTheme="minorEastAsia"/>
          <w:bCs/>
          <w:spacing w:val="-20"/>
          <w:kern w:val="22"/>
          <w:lang w:eastAsia="zh-CN"/>
        </w:rPr>
        <w:t xml:space="preserve"> </w:t>
      </w:r>
    </w:p>
    <w:p w:rsidR="00375FE8" w:rsidRPr="002A0DEA" w:rsidRDefault="00375FE8" w:rsidP="00B9542F">
      <w:pPr>
        <w:keepNext/>
        <w:suppressLineNumbers/>
        <w:suppressAutoHyphens/>
        <w:kinsoku w:val="0"/>
        <w:overflowPunct w:val="0"/>
        <w:autoSpaceDE w:val="0"/>
        <w:autoSpaceDN w:val="0"/>
        <w:adjustRightInd w:val="0"/>
        <w:ind w:firstLine="0"/>
        <w:rPr>
          <w:rFonts w:eastAsiaTheme="minorEastAsia"/>
          <w:b/>
          <w:snapToGrid w:val="0"/>
          <w:kern w:val="22"/>
        </w:rPr>
      </w:pPr>
      <w:r w:rsidRPr="002A0DEA">
        <w:rPr>
          <w:rFonts w:eastAsiaTheme="minorEastAsia"/>
          <w:b/>
          <w:snapToGrid w:val="0"/>
          <w:kern w:val="22"/>
          <w:lang w:eastAsia="zh-CN"/>
        </w:rPr>
        <w:t>关键行动</w:t>
      </w:r>
    </w:p>
    <w:p w:rsidR="00375FE8" w:rsidRPr="002A0DEA" w:rsidRDefault="00375FE8" w:rsidP="000A1A91">
      <w:pPr>
        <w:numPr>
          <w:ilvl w:val="0"/>
          <w:numId w:val="43"/>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进行有组织的自我评估，了解有关基于生态系统的适应气候变化和减少灾害风险的优势、弱点、能力（包括技术和财政的）及合作机会。在此基础上，设立多学科小组（包括但不限于土著人民、地方社区、其他来自相关部门和政府机构的专家、代表），负责规划和实施基于生态系统的适应气候变化和减少灾害风险；</w:t>
      </w:r>
    </w:p>
    <w:p w:rsidR="00375FE8" w:rsidRPr="002A0DEA" w:rsidRDefault="00375FE8" w:rsidP="000A1A91">
      <w:pPr>
        <w:numPr>
          <w:ilvl w:val="0"/>
          <w:numId w:val="43"/>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确定并界定相关社会生态系统（例如，流域、部门或政策）；</w:t>
      </w:r>
    </w:p>
    <w:p w:rsidR="00375FE8" w:rsidRPr="002A0DEA" w:rsidRDefault="00375FE8" w:rsidP="000A1A91">
      <w:pPr>
        <w:numPr>
          <w:ilvl w:val="0"/>
          <w:numId w:val="43"/>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利用多学科小组进行分析和协商，以便了解风险的诱发因素，社区、社会和经济体的能力和资产，以及更广泛的社会和自然环境；</w:t>
      </w:r>
    </w:p>
    <w:p w:rsidR="00375FE8" w:rsidRPr="002A0DEA" w:rsidRDefault="00375FE8" w:rsidP="000A1A91">
      <w:pPr>
        <w:numPr>
          <w:ilvl w:val="0"/>
          <w:numId w:val="43"/>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分析问题，通过界定系统的界限（见相关工具箱内的支助性指南</w:t>
      </w:r>
      <w:r w:rsidRPr="002A0DEA">
        <w:rPr>
          <w:rFonts w:eastAsiaTheme="minorEastAsia"/>
          <w:bCs/>
          <w:vertAlign w:val="superscript"/>
          <w:lang w:eastAsia="zh-CN"/>
        </w:rPr>
        <w:footnoteReference w:id="70"/>
      </w:r>
      <w:r w:rsidRPr="002A0DEA">
        <w:rPr>
          <w:rFonts w:eastAsiaTheme="minorEastAsia"/>
          <w:bCs/>
          <w:kern w:val="22"/>
          <w:lang w:eastAsia="zh-CN"/>
        </w:rPr>
        <w:t>），确定问题的范围（地理和时间），制定适应气候变化和减少灾害风险的大小目标，同时又不损害生物多样性和生态系统功能和服务。与气候变化影响相关的风险管理的空间尺度要宽到能够处理风险根源，为有着不同利益的利益攸关方提供多种功能，也要小到可以执行；</w:t>
      </w:r>
    </w:p>
    <w:p w:rsidR="00375FE8" w:rsidRPr="002A0DEA" w:rsidRDefault="00375FE8" w:rsidP="000A1A91">
      <w:pPr>
        <w:numPr>
          <w:ilvl w:val="0"/>
          <w:numId w:val="43"/>
        </w:numPr>
        <w:suppressLineNumbers/>
        <w:tabs>
          <w:tab w:val="left" w:pos="1440"/>
        </w:tab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确定并绘制系统中能够促进复原力的关键的供应、管理、支助和文化服务。由于</w:t>
      </w:r>
      <w:r w:rsidRPr="002A0DEA">
        <w:rPr>
          <w:rFonts w:eastAsiaTheme="minorEastAsia"/>
          <w:bCs/>
          <w:kern w:val="22"/>
          <w:lang w:eastAsia="zh-CN"/>
        </w:rPr>
        <w:t>90%</w:t>
      </w:r>
      <w:r w:rsidRPr="002A0DEA">
        <w:rPr>
          <w:rFonts w:eastAsiaTheme="minorEastAsia"/>
          <w:bCs/>
          <w:kern w:val="22"/>
          <w:lang w:eastAsia="zh-CN"/>
        </w:rPr>
        <w:t>的灾害与水有关，包括干旱和洪水，因此，了解景观的水文情况对确定和制定基于生态系统的适应气候变化和减少灾害风险干预措施至关重要；</w:t>
      </w:r>
    </w:p>
    <w:p w:rsidR="00375FE8" w:rsidRPr="002A0DEA" w:rsidRDefault="00375FE8" w:rsidP="000A1A91">
      <w:pPr>
        <w:numPr>
          <w:ilvl w:val="0"/>
          <w:numId w:val="43"/>
        </w:numPr>
        <w:suppressLineNumbers/>
        <w:tabs>
          <w:tab w:val="left" w:pos="1440"/>
        </w:tab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阐明基于生态系统的适应气候变化和减少灾害风险干预措施的最初切入点；</w:t>
      </w:r>
    </w:p>
    <w:p w:rsidR="00375FE8" w:rsidRPr="002A0DEA" w:rsidRDefault="00375FE8" w:rsidP="000A1A91">
      <w:pPr>
        <w:numPr>
          <w:ilvl w:val="0"/>
          <w:numId w:val="43"/>
        </w:numPr>
        <w:suppressLineNumbers/>
        <w:tabs>
          <w:tab w:val="left" w:pos="1440"/>
        </w:tab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检查基于生态系统的适应气候变化和减少灾害风险的相关切入点，特别是在可纳入减少气候变化风险和适应气候变化考虑因素的政策、规划或预算周期；</w:t>
      </w:r>
    </w:p>
    <w:p w:rsidR="00375FE8" w:rsidRPr="002A0DEA" w:rsidRDefault="00375FE8" w:rsidP="000A1A91">
      <w:pPr>
        <w:numPr>
          <w:ilvl w:val="0"/>
          <w:numId w:val="43"/>
        </w:numPr>
        <w:suppressLineNumbers/>
        <w:tabs>
          <w:tab w:val="left" w:pos="1440"/>
        </w:tab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规定发展、保护、减少灾害风险和适应气候变化的交叉领域，包括有关部门的机构职责；</w:t>
      </w:r>
    </w:p>
    <w:p w:rsidR="00375FE8" w:rsidRPr="002A0DEA" w:rsidRDefault="00375FE8" w:rsidP="000A1A91">
      <w:pPr>
        <w:numPr>
          <w:ilvl w:val="0"/>
          <w:numId w:val="43"/>
        </w:numPr>
        <w:suppressLineNumbers/>
        <w:tabs>
          <w:tab w:val="left" w:pos="1440"/>
        </w:tab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进行深入的利益攸关方分析（方框</w:t>
      </w:r>
      <w:r w:rsidRPr="002A0DEA">
        <w:rPr>
          <w:rFonts w:eastAsiaTheme="minorEastAsia"/>
          <w:bCs/>
          <w:kern w:val="22"/>
          <w:lang w:eastAsia="zh-CN"/>
        </w:rPr>
        <w:t>2</w:t>
      </w:r>
      <w:r w:rsidRPr="002A0DEA">
        <w:rPr>
          <w:rFonts w:eastAsiaTheme="minorEastAsia"/>
          <w:bCs/>
          <w:kern w:val="22"/>
          <w:lang w:eastAsia="zh-CN"/>
        </w:rPr>
        <w:t>）；</w:t>
      </w:r>
    </w:p>
    <w:p w:rsidR="00375FE8" w:rsidRPr="002A0DEA" w:rsidRDefault="00FE18AA" w:rsidP="00B9542F">
      <w:pPr>
        <w:suppressLineNumbers/>
        <w:suppressAutoHyphens/>
        <w:kinsoku w:val="0"/>
        <w:overflowPunct w:val="0"/>
        <w:autoSpaceDE w:val="0"/>
        <w:autoSpaceDN w:val="0"/>
        <w:adjustRightInd w:val="0"/>
        <w:ind w:firstLine="0"/>
        <w:rPr>
          <w:rFonts w:eastAsiaTheme="minorEastAsia"/>
          <w:snapToGrid w:val="0"/>
          <w:kern w:val="22"/>
        </w:rPr>
      </w:pPr>
      <w:r w:rsidRPr="00FE18AA">
        <w:rPr>
          <w:rFonts w:eastAsiaTheme="minorEastAsia"/>
          <w:noProof/>
          <w:lang w:eastAsia="zh-CN"/>
        </w:rPr>
      </w:r>
      <w:r w:rsidRPr="00FE18AA">
        <w:rPr>
          <w:rFonts w:eastAsiaTheme="minorEastAsia"/>
          <w:noProof/>
          <w:lang w:eastAsia="zh-CN"/>
        </w:rPr>
        <w:pict>
          <v:shape id="Text Box 4" o:spid="_x0000_s1033" type="#_x0000_t202" style="width:467.4pt;height:307.1pt;visibility:visible;mso-wrap-style:square;mso-left-percent:-10001;mso-top-percent:-10001;mso-position-horizontal:absolute;mso-position-horizontal-relative:char;mso-position-vertical:absolute;mso-position-vertical-relative:line;mso-left-percent:-10001;mso-top-percent:-10001;v-text-anchor:top">
            <v:textbox>
              <w:txbxContent>
                <w:p w:rsidR="00594C0B" w:rsidRPr="00246A48" w:rsidRDefault="00594C0B" w:rsidP="002A0DEA">
                  <w:pPr>
                    <w:jc w:val="center"/>
                    <w:rPr>
                      <w:rFonts w:eastAsiaTheme="minorEastAsia"/>
                      <w:b/>
                      <w:bCs/>
                      <w:color w:val="4F81BD"/>
                      <w:sz w:val="22"/>
                      <w:lang w:eastAsia="zh-CN"/>
                    </w:rPr>
                  </w:pPr>
                  <w:r w:rsidRPr="00246A48">
                    <w:rPr>
                      <w:rFonts w:eastAsiaTheme="minorEastAsia"/>
                      <w:b/>
                      <w:bCs/>
                      <w:color w:val="4F81BD"/>
                      <w:sz w:val="22"/>
                      <w:lang w:eastAsia="zh-CN"/>
                    </w:rPr>
                    <w:t>方框</w:t>
                  </w:r>
                  <w:r w:rsidRPr="00246A48">
                    <w:rPr>
                      <w:rFonts w:eastAsiaTheme="minorEastAsia"/>
                      <w:b/>
                      <w:bCs/>
                      <w:color w:val="4F81BD"/>
                      <w:sz w:val="22"/>
                      <w:lang w:eastAsia="zh-CN"/>
                    </w:rPr>
                    <w:t xml:space="preserve">2. </w:t>
                  </w:r>
                  <w:r w:rsidRPr="00246A48">
                    <w:rPr>
                      <w:rFonts w:eastAsiaTheme="minorEastAsia"/>
                      <w:b/>
                      <w:bCs/>
                      <w:color w:val="4F81BD"/>
                      <w:sz w:val="22"/>
                      <w:lang w:eastAsia="zh-CN"/>
                    </w:rPr>
                    <w:t>利益攸关方和权利持有人分析以及建立参与机制</w:t>
                  </w:r>
                </w:p>
                <w:p w:rsidR="00594C0B" w:rsidRPr="00246A48" w:rsidRDefault="00594C0B" w:rsidP="00962533">
                  <w:pPr>
                    <w:spacing w:before="40" w:after="40"/>
                    <w:ind w:firstLine="0"/>
                    <w:rPr>
                      <w:rFonts w:eastAsiaTheme="minorEastAsia"/>
                      <w:sz w:val="22"/>
                      <w:lang w:eastAsia="zh-CN"/>
                    </w:rPr>
                  </w:pPr>
                  <w:r w:rsidRPr="00246A48">
                    <w:rPr>
                      <w:rFonts w:eastAsiaTheme="minorEastAsia"/>
                      <w:sz w:val="22"/>
                      <w:lang w:eastAsia="zh-CN"/>
                    </w:rPr>
                    <w:t>对系统或景观的评估有助于分析问题、界定适应气候变化和减少灾害风险干预措施的界限，并检查基于生态系统的办法适应气候变化和减少灾害风险的切入点。应在促使利益攸关方参与适应气候变化</w:t>
                  </w:r>
                  <w:r w:rsidRPr="00246A48">
                    <w:rPr>
                      <w:rFonts w:eastAsiaTheme="minorEastAsia"/>
                      <w:sz w:val="22"/>
                      <w:lang w:eastAsia="zh-CN"/>
                    </w:rPr>
                    <w:t>/</w:t>
                  </w:r>
                  <w:r w:rsidRPr="00246A48">
                    <w:rPr>
                      <w:rFonts w:eastAsiaTheme="minorEastAsia"/>
                      <w:sz w:val="22"/>
                      <w:lang w:eastAsia="zh-CN"/>
                    </w:rPr>
                    <w:t>减少灾害风险整个过程之前，将这些信息纳入深入的利益攸关方分析，这些信息也不断得益于来自利益攸关方的信息。利益攸关方和权利持有人的参与将增强自主权，并更有可能成功地实施任何适应气候变化</w:t>
                  </w:r>
                  <w:r w:rsidRPr="00246A48">
                    <w:rPr>
                      <w:rFonts w:eastAsiaTheme="minorEastAsia"/>
                      <w:sz w:val="22"/>
                      <w:lang w:eastAsia="zh-CN"/>
                    </w:rPr>
                    <w:t>/</w:t>
                  </w:r>
                  <w:r w:rsidRPr="00246A48">
                    <w:rPr>
                      <w:rFonts w:eastAsiaTheme="minorEastAsia"/>
                      <w:sz w:val="22"/>
                      <w:lang w:eastAsia="zh-CN"/>
                    </w:rPr>
                    <w:t>减少灾害风险的干预措施。进行深入的利益攸关方分析、制定多利益攸关方进程及参与机制，是遵守公平和包容性原则以及相关保障措施的关键。《阿格维古自愿准则》（</w:t>
                  </w:r>
                  <w:hyperlink r:id="rId36" w:history="1">
                    <w:r w:rsidRPr="00246A48">
                      <w:rPr>
                        <w:rStyle w:val="Hyperlink"/>
                        <w:rFonts w:eastAsiaTheme="minorEastAsia"/>
                        <w:sz w:val="22"/>
                        <w:lang w:eastAsia="zh-CN"/>
                      </w:rPr>
                      <w:t>https://www.cbd.int/traditional/guidelines.shtml</w:t>
                    </w:r>
                  </w:hyperlink>
                  <w:r w:rsidRPr="00246A48">
                    <w:rPr>
                      <w:rFonts w:eastAsiaTheme="minorEastAsia"/>
                      <w:sz w:val="22"/>
                      <w:lang w:eastAsia="zh-CN"/>
                    </w:rPr>
                    <w:t>）概述了进行文化、环境和社会影响评估的程序考虑因素，这些也广泛适用于基于生态系统的办法适应气候变化和减少灾害风险。</w:t>
                  </w:r>
                </w:p>
                <w:p w:rsidR="00594C0B" w:rsidRPr="00246A48" w:rsidRDefault="00594C0B" w:rsidP="002A0DEA">
                  <w:pPr>
                    <w:spacing w:before="40" w:after="40"/>
                    <w:rPr>
                      <w:rFonts w:eastAsiaTheme="minorEastAsia"/>
                      <w:b/>
                      <w:bCs/>
                      <w:color w:val="4F81BD"/>
                      <w:sz w:val="22"/>
                      <w:lang w:eastAsia="zh-CN"/>
                    </w:rPr>
                  </w:pPr>
                  <w:r w:rsidRPr="00246A48">
                    <w:rPr>
                      <w:rFonts w:eastAsiaTheme="minorEastAsia"/>
                      <w:b/>
                      <w:bCs/>
                      <w:color w:val="4F81BD"/>
                      <w:sz w:val="22"/>
                      <w:lang w:eastAsia="zh-CN"/>
                    </w:rPr>
                    <w:t>关键行动</w:t>
                  </w:r>
                </w:p>
                <w:p w:rsidR="00594C0B" w:rsidRPr="00246A48" w:rsidRDefault="00594C0B" w:rsidP="000A1A91">
                  <w:pPr>
                    <w:pStyle w:val="ListParagraph"/>
                    <w:numPr>
                      <w:ilvl w:val="0"/>
                      <w:numId w:val="38"/>
                    </w:numPr>
                    <w:spacing w:before="40" w:after="40"/>
                    <w:ind w:left="778" w:hanging="288"/>
                    <w:contextualSpacing/>
                    <w:rPr>
                      <w:rFonts w:eastAsiaTheme="minorEastAsia"/>
                      <w:sz w:val="22"/>
                      <w:szCs w:val="22"/>
                      <w:lang w:eastAsia="zh-CN"/>
                    </w:rPr>
                  </w:pPr>
                  <w:r w:rsidRPr="00246A48">
                    <w:rPr>
                      <w:rFonts w:eastAsiaTheme="minorEastAsia"/>
                      <w:sz w:val="22"/>
                      <w:szCs w:val="22"/>
                      <w:lang w:eastAsia="zh-CN"/>
                    </w:rPr>
                    <w:t>查明可能受到基于生态系统的办法适应气候变化和减少灾害风险干预措施影响的土著人民和当地社区、利益攸关方和权利持有人，利用透明的参与进程，确定对规划和执行工作有影响的人员、组织和部门。</w:t>
                  </w:r>
                </w:p>
                <w:p w:rsidR="00594C0B" w:rsidRPr="00246A48" w:rsidRDefault="00594C0B" w:rsidP="000A1A91">
                  <w:pPr>
                    <w:pStyle w:val="ListParagraph"/>
                    <w:numPr>
                      <w:ilvl w:val="0"/>
                      <w:numId w:val="38"/>
                    </w:numPr>
                    <w:spacing w:after="160" w:line="256" w:lineRule="auto"/>
                    <w:ind w:left="778" w:hanging="288"/>
                    <w:contextualSpacing/>
                    <w:rPr>
                      <w:rFonts w:eastAsiaTheme="minorEastAsia"/>
                      <w:sz w:val="22"/>
                      <w:szCs w:val="22"/>
                      <w:lang w:eastAsia="zh-CN"/>
                    </w:rPr>
                  </w:pPr>
                  <w:r w:rsidRPr="00246A48">
                    <w:rPr>
                      <w:rFonts w:eastAsiaTheme="minorEastAsia"/>
                      <w:sz w:val="22"/>
                      <w:szCs w:val="22"/>
                      <w:lang w:eastAsia="zh-CN"/>
                    </w:rPr>
                    <w:t>确保所有相关利益攸关方和权利持有人充分有效地参与，包括土著人民和地方社区、穷人、妇女、青年和老年人，确保他们拥有这样做的能力和足够人力、技术、财政和法律资源（符合保障措施）。</w:t>
                  </w:r>
                </w:p>
                <w:p w:rsidR="00594C0B" w:rsidRPr="00246A48" w:rsidRDefault="00594C0B" w:rsidP="000A1A91">
                  <w:pPr>
                    <w:pStyle w:val="ListParagraph"/>
                    <w:numPr>
                      <w:ilvl w:val="0"/>
                      <w:numId w:val="38"/>
                    </w:numPr>
                    <w:spacing w:after="160" w:line="256" w:lineRule="auto"/>
                    <w:ind w:left="778" w:hanging="288"/>
                    <w:contextualSpacing/>
                    <w:rPr>
                      <w:rFonts w:eastAsiaTheme="minorEastAsia"/>
                      <w:sz w:val="22"/>
                      <w:szCs w:val="22"/>
                      <w:lang w:eastAsia="zh-CN"/>
                    </w:rPr>
                  </w:pPr>
                  <w:r w:rsidRPr="00246A48">
                    <w:rPr>
                      <w:rFonts w:eastAsiaTheme="minorEastAsia"/>
                      <w:sz w:val="22"/>
                      <w:szCs w:val="22"/>
                      <w:lang w:eastAsia="zh-CN"/>
                    </w:rPr>
                    <w:t>与民间社会组织和</w:t>
                  </w:r>
                  <w:r w:rsidRPr="00246A48">
                    <w:rPr>
                      <w:rFonts w:eastAsiaTheme="minorEastAsia"/>
                      <w:sz w:val="22"/>
                      <w:szCs w:val="22"/>
                      <w:lang w:eastAsia="zh-CN"/>
                    </w:rPr>
                    <w:t>/</w:t>
                  </w:r>
                  <w:r w:rsidRPr="00246A48">
                    <w:rPr>
                      <w:rFonts w:eastAsiaTheme="minorEastAsia"/>
                      <w:sz w:val="22"/>
                      <w:szCs w:val="22"/>
                      <w:lang w:eastAsia="zh-CN"/>
                    </w:rPr>
                    <w:t>或社区组织进行接触，使其能够有效参与。</w:t>
                  </w:r>
                </w:p>
                <w:p w:rsidR="00594C0B" w:rsidRPr="00246A48" w:rsidRDefault="00594C0B" w:rsidP="000A1A91">
                  <w:pPr>
                    <w:pStyle w:val="ListParagraph"/>
                    <w:numPr>
                      <w:ilvl w:val="0"/>
                      <w:numId w:val="38"/>
                    </w:numPr>
                    <w:spacing w:after="160" w:line="256" w:lineRule="auto"/>
                    <w:ind w:left="778" w:hanging="288"/>
                    <w:contextualSpacing/>
                    <w:rPr>
                      <w:rFonts w:eastAsiaTheme="minorEastAsia"/>
                      <w:sz w:val="22"/>
                      <w:szCs w:val="22"/>
                      <w:lang w:eastAsia="zh-CN"/>
                    </w:rPr>
                  </w:pPr>
                  <w:r w:rsidRPr="00246A48">
                    <w:rPr>
                      <w:rFonts w:eastAsiaTheme="minorEastAsia"/>
                      <w:sz w:val="22"/>
                      <w:szCs w:val="22"/>
                      <w:lang w:eastAsia="zh-CN"/>
                    </w:rPr>
                    <w:t>在适当情况下，确定和保护生物资源使用区域的所有权和使用权。</w:t>
                  </w:r>
                </w:p>
              </w:txbxContent>
            </v:textbox>
            <w10:wrap type="none"/>
            <w10:anchorlock/>
          </v:shape>
        </w:pict>
      </w:r>
    </w:p>
    <w:p w:rsidR="00375FE8" w:rsidRPr="002A0DEA" w:rsidRDefault="00375FE8" w:rsidP="00B9542F">
      <w:pPr>
        <w:keepNext/>
        <w:suppressLineNumbers/>
        <w:suppressAutoHyphens/>
        <w:kinsoku w:val="0"/>
        <w:overflowPunct w:val="0"/>
        <w:autoSpaceDE w:val="0"/>
        <w:autoSpaceDN w:val="0"/>
        <w:adjustRightInd w:val="0"/>
        <w:spacing w:before="240"/>
        <w:ind w:firstLine="0"/>
        <w:outlineLvl w:val="1"/>
        <w:rPr>
          <w:rFonts w:eastAsiaTheme="minorEastAsia"/>
          <w:b/>
          <w:snapToGrid w:val="0"/>
          <w:kern w:val="22"/>
          <w:lang w:eastAsia="zh-CN"/>
        </w:rPr>
      </w:pPr>
      <w:bookmarkStart w:id="64" w:name="_Toc6243684"/>
      <w:r w:rsidRPr="002A0DEA">
        <w:rPr>
          <w:rFonts w:eastAsiaTheme="minorEastAsia"/>
          <w:b/>
          <w:snapToGrid w:val="0"/>
          <w:kern w:val="22"/>
          <w:lang w:eastAsia="zh-CN"/>
        </w:rPr>
        <w:t>步骤</w:t>
      </w:r>
      <w:r w:rsidRPr="002A0DEA">
        <w:rPr>
          <w:rFonts w:eastAsiaTheme="minorEastAsia"/>
          <w:b/>
          <w:snapToGrid w:val="0"/>
          <w:kern w:val="22"/>
          <w:lang w:eastAsia="zh-CN"/>
        </w:rPr>
        <w:t xml:space="preserve"> B. </w:t>
      </w:r>
      <w:r w:rsidRPr="002A0DEA">
        <w:rPr>
          <w:rFonts w:eastAsiaTheme="minorEastAsia"/>
          <w:b/>
          <w:snapToGrid w:val="0"/>
          <w:kern w:val="22"/>
          <w:lang w:eastAsia="zh-CN"/>
        </w:rPr>
        <w:t>评估脆弱性和风险</w:t>
      </w:r>
      <w:bookmarkEnd w:id="64"/>
    </w:p>
    <w:p w:rsidR="00375FE8" w:rsidRPr="002A0DEA" w:rsidRDefault="00375FE8" w:rsidP="00B9542F">
      <w:pPr>
        <w:keepNext/>
        <w:suppressLineNumbers/>
        <w:suppressAutoHyphens/>
        <w:kinsoku w:val="0"/>
        <w:overflowPunct w:val="0"/>
        <w:autoSpaceDE w:val="0"/>
        <w:autoSpaceDN w:val="0"/>
        <w:adjustRightInd w:val="0"/>
        <w:ind w:firstLine="0"/>
        <w:rPr>
          <w:rFonts w:eastAsiaTheme="minorEastAsia"/>
          <w:b/>
          <w:snapToGrid w:val="0"/>
          <w:kern w:val="22"/>
          <w:lang w:eastAsia="zh-CN"/>
        </w:rPr>
      </w:pPr>
      <w:r w:rsidRPr="002A0DEA">
        <w:rPr>
          <w:rFonts w:eastAsiaTheme="minorEastAsia"/>
          <w:b/>
          <w:snapToGrid w:val="0"/>
          <w:kern w:val="22"/>
          <w:lang w:eastAsia="zh-CN"/>
        </w:rPr>
        <w:t>目的</w:t>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2A0DEA">
        <w:rPr>
          <w:rFonts w:eastAsiaTheme="minorEastAsia"/>
          <w:snapToGrid w:val="0"/>
          <w:kern w:val="22"/>
          <w:lang w:eastAsia="zh-CN"/>
        </w:rPr>
        <w:t>进行脆弱性和风险评估，以查明主要气候变化和灾害风险以及对相关社会</w:t>
      </w:r>
      <w:r w:rsidRPr="002A0DEA">
        <w:rPr>
          <w:rFonts w:eastAsiaTheme="minorEastAsia"/>
          <w:snapToGrid w:val="0"/>
          <w:kern w:val="22"/>
          <w:lang w:eastAsia="zh-CN"/>
        </w:rPr>
        <w:t>-</w:t>
      </w:r>
      <w:r w:rsidRPr="002A0DEA">
        <w:rPr>
          <w:rFonts w:eastAsiaTheme="minorEastAsia"/>
          <w:snapToGrid w:val="0"/>
          <w:kern w:val="22"/>
          <w:lang w:eastAsia="zh-CN"/>
        </w:rPr>
        <w:t>生态系统的影响，例如，评估生物多样性和生态系统服务信息，查明特别容易受到气候变化不利影响的物种或生态系统。随后利用评估来确定、评价和选择规划和设计中有针对性的适应气候变化和减少灾害风险干预措施。风险和脆弱性评估还有助于最需要的地方分配资源，并制定监测干预措施成功与否的基线。</w:t>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2A0DEA">
        <w:rPr>
          <w:rFonts w:eastAsiaTheme="minorEastAsia"/>
          <w:snapToGrid w:val="0"/>
          <w:kern w:val="22"/>
          <w:lang w:eastAsia="zh-CN"/>
        </w:rPr>
        <w:t>脆弱性被界定为受不利影响的倾向性或天性。脆弱性包括各种概念和要素，包括容易受到影响和容易受到伤害以及缺少应对和适应的能力。</w:t>
      </w:r>
      <w:r w:rsidRPr="002A0DEA">
        <w:rPr>
          <w:rStyle w:val="ng-binding"/>
          <w:rFonts w:eastAsiaTheme="minorEastAsia"/>
          <w:vertAlign w:val="superscript"/>
          <w:lang w:eastAsia="zh-CN"/>
        </w:rPr>
        <w:footnoteReference w:id="71"/>
      </w:r>
      <w:r w:rsidRPr="002A0DEA">
        <w:rPr>
          <w:rFonts w:eastAsiaTheme="minorEastAsia"/>
          <w:snapToGrid w:val="0"/>
          <w:kern w:val="22"/>
          <w:vertAlign w:val="superscript"/>
          <w:lang w:eastAsia="zh-CN"/>
        </w:rPr>
        <w:t xml:space="preserve"> </w:t>
      </w:r>
      <w:r w:rsidRPr="002A0DEA">
        <w:rPr>
          <w:rFonts w:eastAsiaTheme="minorEastAsia"/>
          <w:snapToGrid w:val="0"/>
          <w:kern w:val="22"/>
          <w:lang w:eastAsia="zh-CN"/>
        </w:rPr>
        <w:t xml:space="preserve"> </w:t>
      </w:r>
      <w:r w:rsidRPr="002A0DEA">
        <w:rPr>
          <w:rFonts w:eastAsiaTheme="minorEastAsia"/>
          <w:snapToGrid w:val="0"/>
          <w:kern w:val="22"/>
          <w:lang w:eastAsia="zh-CN"/>
        </w:rPr>
        <w:t>脆弱性、接触和危险共同决定了与气候相关的风险（图</w:t>
      </w:r>
      <w:r w:rsidRPr="002A0DEA">
        <w:rPr>
          <w:rFonts w:eastAsiaTheme="minorEastAsia"/>
          <w:snapToGrid w:val="0"/>
          <w:kern w:val="22"/>
          <w:lang w:eastAsia="zh-CN"/>
        </w:rPr>
        <w:t>3</w:t>
      </w:r>
      <w:r w:rsidRPr="002A0DEA">
        <w:rPr>
          <w:rFonts w:eastAsiaTheme="minorEastAsia"/>
          <w:snapToGrid w:val="0"/>
          <w:kern w:val="22"/>
          <w:lang w:eastAsia="zh-CN"/>
        </w:rPr>
        <w:t>）。虽然对风险和脆弱性有着不同的定义和基本假设，但两者的评估则遵循类似的逻辑。</w:t>
      </w:r>
    </w:p>
    <w:p w:rsidR="00375FE8" w:rsidRPr="002A0DEA" w:rsidRDefault="00375FE8" w:rsidP="002A0DEA">
      <w:pPr>
        <w:keepNext/>
        <w:suppressLineNumbers/>
        <w:suppressAutoHyphens/>
        <w:kinsoku w:val="0"/>
        <w:overflowPunct w:val="0"/>
        <w:autoSpaceDE w:val="0"/>
        <w:autoSpaceDN w:val="0"/>
        <w:adjustRightInd w:val="0"/>
        <w:ind w:left="1008" w:hanging="1008"/>
        <w:rPr>
          <w:rFonts w:eastAsiaTheme="minorEastAsia"/>
          <w:b/>
          <w:bCs/>
          <w:snapToGrid w:val="0"/>
          <w:kern w:val="22"/>
          <w:lang w:eastAsia="zh-CN"/>
        </w:rPr>
      </w:pPr>
      <w:r w:rsidRPr="002A0DEA">
        <w:rPr>
          <w:rFonts w:eastAsiaTheme="minorEastAsia"/>
          <w:b/>
          <w:bCs/>
          <w:snapToGrid w:val="0"/>
          <w:kern w:val="22"/>
          <w:lang w:eastAsia="zh-CN"/>
        </w:rPr>
        <w:lastRenderedPageBreak/>
        <w:t>图</w:t>
      </w:r>
      <w:r w:rsidRPr="002A0DEA">
        <w:rPr>
          <w:rFonts w:eastAsiaTheme="minorEastAsia"/>
          <w:b/>
          <w:bCs/>
          <w:snapToGrid w:val="0"/>
          <w:kern w:val="22"/>
          <w:lang w:eastAsia="zh-CN"/>
        </w:rPr>
        <w:t xml:space="preserve"> 3.</w:t>
      </w:r>
      <w:r w:rsidRPr="002A0DEA">
        <w:rPr>
          <w:rFonts w:eastAsiaTheme="minorEastAsia"/>
          <w:b/>
          <w:bCs/>
          <w:snapToGrid w:val="0"/>
          <w:kern w:val="22"/>
          <w:lang w:eastAsia="zh-CN"/>
        </w:rPr>
        <w:tab/>
      </w:r>
      <w:r w:rsidRPr="002A0DEA">
        <w:rPr>
          <w:rFonts w:eastAsiaTheme="minorEastAsia"/>
          <w:b/>
          <w:bCs/>
          <w:snapToGrid w:val="0"/>
          <w:kern w:val="22"/>
          <w:lang w:eastAsia="zh-CN"/>
        </w:rPr>
        <w:t>关于第二工作组对政府间气候变化专门委员会第五次评估报告所作贡献的核心概念的说明</w:t>
      </w:r>
    </w:p>
    <w:p w:rsidR="00375FE8" w:rsidRPr="002A0DEA" w:rsidRDefault="00375FE8" w:rsidP="002A0DEA">
      <w:pPr>
        <w:suppressLineNumbers/>
        <w:suppressAutoHyphens/>
        <w:kinsoku w:val="0"/>
        <w:overflowPunct w:val="0"/>
        <w:autoSpaceDE w:val="0"/>
        <w:autoSpaceDN w:val="0"/>
        <w:adjustRightInd w:val="0"/>
        <w:jc w:val="center"/>
        <w:rPr>
          <w:rFonts w:eastAsiaTheme="minorEastAsia"/>
          <w:snapToGrid w:val="0"/>
          <w:kern w:val="22"/>
        </w:rPr>
      </w:pPr>
      <w:r w:rsidRPr="002A0DEA">
        <w:rPr>
          <w:rFonts w:eastAsiaTheme="minorEastAsia"/>
          <w:noProof/>
          <w:snapToGrid w:val="0"/>
          <w:kern w:val="22"/>
          <w:lang w:eastAsia="zh-CN"/>
        </w:rPr>
        <w:drawing>
          <wp:inline distT="0" distB="0" distL="0" distR="0">
            <wp:extent cx="5708660" cy="35242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0167" cy="3531354"/>
                    </a:xfrm>
                    <a:prstGeom prst="rect">
                      <a:avLst/>
                    </a:prstGeom>
                    <a:noFill/>
                    <a:ln>
                      <a:noFill/>
                    </a:ln>
                  </pic:spPr>
                </pic:pic>
              </a:graphicData>
            </a:graphic>
          </wp:inline>
        </w:drawing>
      </w:r>
    </w:p>
    <w:p w:rsidR="00375FE8" w:rsidRPr="00246A48" w:rsidRDefault="00375FE8" w:rsidP="00962533">
      <w:pPr>
        <w:suppressLineNumbers/>
        <w:suppressAutoHyphens/>
        <w:kinsoku w:val="0"/>
        <w:overflowPunct w:val="0"/>
        <w:autoSpaceDE w:val="0"/>
        <w:autoSpaceDN w:val="0"/>
        <w:adjustRightInd w:val="0"/>
        <w:ind w:firstLine="0"/>
        <w:rPr>
          <w:rFonts w:eastAsiaTheme="minorEastAsia"/>
          <w:snapToGrid w:val="0"/>
          <w:kern w:val="22"/>
          <w:sz w:val="20"/>
          <w:szCs w:val="20"/>
          <w:lang w:eastAsia="zh-CN"/>
        </w:rPr>
      </w:pPr>
      <w:r w:rsidRPr="00246A48">
        <w:rPr>
          <w:rFonts w:eastAsiaTheme="minorEastAsia"/>
          <w:iCs/>
          <w:snapToGrid w:val="0"/>
          <w:kern w:val="22"/>
          <w:sz w:val="20"/>
          <w:szCs w:val="20"/>
          <w:lang w:eastAsia="zh-CN"/>
        </w:rPr>
        <w:t>注：与气候有关的危害（包括危害性事件和趋势）与人类和自然系统的暴露度和脆弱性相互作用导致了与气候相关影响的风险。气候系统的变化（左）和包括适应和减缓在内的社会经济过程的变化（右）是危害、暴露度和脆弱性的驱动因子（政府间气候变化专门委员会，</w:t>
      </w:r>
      <w:hyperlink r:id="rId38" w:history="1">
        <w:r w:rsidRPr="00B9542F">
          <w:rPr>
            <w:rStyle w:val="Hyperlink"/>
            <w:rFonts w:ascii="KaiTi" w:eastAsia="KaiTi" w:hAnsi="KaiTi"/>
            <w:snapToGrid w:val="0"/>
            <w:kern w:val="22"/>
            <w:sz w:val="20"/>
            <w:szCs w:val="20"/>
            <w:lang w:val="en-GB" w:eastAsia="zh-CN"/>
          </w:rPr>
          <w:t>气候变化2014：影响、适应和脆弱性</w:t>
        </w:r>
      </w:hyperlink>
      <w:r w:rsidRPr="00246A48">
        <w:rPr>
          <w:rFonts w:eastAsiaTheme="minorEastAsia"/>
          <w:iCs/>
          <w:snapToGrid w:val="0"/>
          <w:kern w:val="22"/>
          <w:sz w:val="20"/>
          <w:szCs w:val="20"/>
          <w:lang w:eastAsia="zh-CN"/>
        </w:rPr>
        <w:t>，</w:t>
      </w:r>
      <w:r w:rsidRPr="00246A48">
        <w:rPr>
          <w:rFonts w:eastAsiaTheme="minorEastAsia"/>
          <w:iCs/>
          <w:snapToGrid w:val="0"/>
          <w:kern w:val="22"/>
          <w:sz w:val="20"/>
          <w:szCs w:val="20"/>
          <w:lang w:eastAsia="zh-CN"/>
        </w:rPr>
        <w:t>2014</w:t>
      </w:r>
      <w:r w:rsidRPr="00246A48">
        <w:rPr>
          <w:rFonts w:eastAsiaTheme="minorEastAsia"/>
          <w:iCs/>
          <w:snapToGrid w:val="0"/>
          <w:kern w:val="22"/>
          <w:sz w:val="20"/>
          <w:szCs w:val="20"/>
          <w:lang w:eastAsia="zh-CN"/>
        </w:rPr>
        <w:t>年）。</w:t>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2A0DEA">
        <w:rPr>
          <w:rFonts w:eastAsiaTheme="minorEastAsia"/>
          <w:snapToGrid w:val="0"/>
          <w:kern w:val="22"/>
          <w:lang w:eastAsia="zh-CN"/>
        </w:rPr>
        <w:t>风险评估通常包括三个步骤：风险识别（发现、确认和描述风险）；风险分析（估计风险发生的可能性和潜在影响严重程度）；和风险评估（将风险程度与风险标准进行比较，以确定风险和</w:t>
      </w:r>
      <w:r w:rsidRPr="002A0DEA">
        <w:rPr>
          <w:rFonts w:eastAsiaTheme="minorEastAsia"/>
          <w:snapToGrid w:val="0"/>
          <w:kern w:val="22"/>
          <w:lang w:eastAsia="zh-CN"/>
        </w:rPr>
        <w:t>/</w:t>
      </w:r>
      <w:r w:rsidRPr="002A0DEA">
        <w:rPr>
          <w:rFonts w:eastAsiaTheme="minorEastAsia"/>
          <w:snapToGrid w:val="0"/>
          <w:kern w:val="22"/>
          <w:lang w:eastAsia="zh-CN"/>
        </w:rPr>
        <w:t>或其规模是否可以承受）。这些步骤考虑了产生气候或灾害风险的气候和非气候因素。</w:t>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2A0DEA">
        <w:rPr>
          <w:rFonts w:eastAsiaTheme="minorEastAsia"/>
          <w:snapToGrid w:val="0"/>
          <w:kern w:val="22"/>
          <w:lang w:eastAsia="zh-CN"/>
        </w:rPr>
        <w:t>与仅评估脆弱性相比，综合风险和脆弱性评估方法的优势是触及了由灾害事件造成的很大一部分影响，并融入了适应气候变化和减少灾害风险的方法。一种相对较新的做法是，放弃单一灾害方法转而进行多灾害</w:t>
      </w:r>
      <w:r w:rsidRPr="002A0DEA">
        <w:rPr>
          <w:rFonts w:eastAsiaTheme="minorEastAsia"/>
          <w:snapToGrid w:val="0"/>
          <w:kern w:val="22"/>
          <w:lang w:eastAsia="zh-CN"/>
        </w:rPr>
        <w:t>/</w:t>
      </w:r>
      <w:r w:rsidRPr="002A0DEA">
        <w:rPr>
          <w:rFonts w:eastAsiaTheme="minorEastAsia"/>
          <w:snapToGrid w:val="0"/>
          <w:kern w:val="22"/>
          <w:lang w:eastAsia="zh-CN"/>
        </w:rPr>
        <w:t>多风险评估。这种办法可以说明暴露于多种灾害（如暴风雨和洪水）的物体的各种区域或类别，也可以说明一种灾害触发另一灾害的级联效应。</w:t>
      </w:r>
    </w:p>
    <w:p w:rsidR="00375FE8" w:rsidRPr="002A0DEA" w:rsidRDefault="00375FE8" w:rsidP="00B9542F">
      <w:pPr>
        <w:pStyle w:val="ListParagraph"/>
        <w:widowControl w:val="0"/>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2A0DEA">
        <w:rPr>
          <w:rFonts w:eastAsiaTheme="minorEastAsia"/>
          <w:snapToGrid w:val="0"/>
          <w:kern w:val="22"/>
          <w:lang w:eastAsia="zh-CN"/>
        </w:rPr>
        <w:t>下文讨论了进行风险和脆弱性评估的主要考虑因素和一般性活动。作为补充信息，步骤</w:t>
      </w:r>
      <w:r w:rsidRPr="002A0DEA">
        <w:rPr>
          <w:rFonts w:eastAsiaTheme="minorEastAsia"/>
          <w:snapToGrid w:val="0"/>
          <w:kern w:val="22"/>
          <w:lang w:eastAsia="zh-CN"/>
        </w:rPr>
        <w:t>B</w:t>
      </w:r>
      <w:r w:rsidRPr="00410B69">
        <w:rPr>
          <w:rFonts w:asciiTheme="minorEastAsia" w:eastAsiaTheme="minorEastAsia" w:hAnsiTheme="minorEastAsia"/>
          <w:snapToGrid w:val="0"/>
          <w:kern w:val="22"/>
          <w:lang w:eastAsia="zh-CN"/>
        </w:rPr>
        <w:t>“</w:t>
      </w:r>
      <w:r w:rsidRPr="002A0DEA">
        <w:rPr>
          <w:rFonts w:eastAsiaTheme="minorEastAsia"/>
          <w:snapToGrid w:val="0"/>
          <w:kern w:val="22"/>
          <w:lang w:eastAsia="zh-CN"/>
        </w:rPr>
        <w:t>工具箱：进行风险和脆弱性评估</w:t>
      </w:r>
      <w:r w:rsidRPr="00410B69">
        <w:rPr>
          <w:rFonts w:asciiTheme="minorEastAsia" w:eastAsiaTheme="minorEastAsia" w:hAnsiTheme="minorEastAsia"/>
          <w:snapToGrid w:val="0"/>
          <w:kern w:val="22"/>
          <w:lang w:eastAsia="zh-CN"/>
        </w:rPr>
        <w:t>”</w:t>
      </w:r>
      <w:r w:rsidRPr="002A0DEA">
        <w:rPr>
          <w:rFonts w:eastAsiaTheme="minorEastAsia"/>
          <w:snapToGrid w:val="0"/>
          <w:kern w:val="22"/>
          <w:lang w:eastAsia="zh-CN"/>
        </w:rPr>
        <w:t>中提供了相关工具和实例以及更详细的循序渐进导则。</w:t>
      </w:r>
      <w:r w:rsidRPr="002A0DEA">
        <w:rPr>
          <w:rFonts w:eastAsiaTheme="minorEastAsia"/>
          <w:vertAlign w:val="superscript"/>
        </w:rPr>
        <w:footnoteReference w:id="72"/>
      </w:r>
    </w:p>
    <w:p w:rsidR="00375FE8" w:rsidRPr="002A0DEA" w:rsidRDefault="00375FE8" w:rsidP="00B9542F">
      <w:pPr>
        <w:widowControl w:val="0"/>
        <w:suppressLineNumbers/>
        <w:suppressAutoHyphens/>
        <w:kinsoku w:val="0"/>
        <w:overflowPunct w:val="0"/>
        <w:autoSpaceDE w:val="0"/>
        <w:autoSpaceDN w:val="0"/>
        <w:adjustRightInd w:val="0"/>
        <w:ind w:firstLine="0"/>
        <w:rPr>
          <w:rFonts w:eastAsiaTheme="minorEastAsia"/>
          <w:b/>
          <w:snapToGrid w:val="0"/>
          <w:kern w:val="22"/>
        </w:rPr>
      </w:pPr>
      <w:r w:rsidRPr="002A0DEA">
        <w:rPr>
          <w:rFonts w:eastAsiaTheme="minorEastAsia"/>
          <w:b/>
          <w:snapToGrid w:val="0"/>
          <w:kern w:val="22"/>
          <w:lang w:eastAsia="zh-CN"/>
        </w:rPr>
        <w:lastRenderedPageBreak/>
        <w:t>成果</w:t>
      </w:r>
    </w:p>
    <w:p w:rsidR="00375FE8" w:rsidRPr="002A0DEA" w:rsidRDefault="00375FE8" w:rsidP="00B9542F">
      <w:pPr>
        <w:widowControl w:val="0"/>
        <w:numPr>
          <w:ilvl w:val="0"/>
          <w:numId w:val="44"/>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涉及灾害、受灾、脆弱性（包括敏感性和适应能力）的社会</w:t>
      </w:r>
      <w:r w:rsidRPr="002A0DEA">
        <w:rPr>
          <w:rFonts w:eastAsiaTheme="minorEastAsia"/>
          <w:bCs/>
          <w:kern w:val="22"/>
          <w:lang w:eastAsia="zh-CN"/>
        </w:rPr>
        <w:t>-</w:t>
      </w:r>
      <w:r w:rsidRPr="002A0DEA">
        <w:rPr>
          <w:rFonts w:eastAsiaTheme="minorEastAsia"/>
          <w:bCs/>
          <w:kern w:val="22"/>
          <w:lang w:eastAsia="zh-CN"/>
        </w:rPr>
        <w:t>生态系统当前和未来气候情景设想中的风险和脆弱性概况；</w:t>
      </w:r>
    </w:p>
    <w:p w:rsidR="00375FE8" w:rsidRPr="002A0DEA" w:rsidRDefault="00375FE8" w:rsidP="000A1A91">
      <w:pPr>
        <w:widowControl w:val="0"/>
        <w:numPr>
          <w:ilvl w:val="0"/>
          <w:numId w:val="44"/>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风险的主要诱发因素和根本原因。</w:t>
      </w:r>
    </w:p>
    <w:p w:rsidR="00375FE8" w:rsidRPr="002A0DEA" w:rsidRDefault="00375FE8" w:rsidP="00B9542F">
      <w:pPr>
        <w:keepNext/>
        <w:suppressLineNumbers/>
        <w:suppressAutoHyphens/>
        <w:kinsoku w:val="0"/>
        <w:overflowPunct w:val="0"/>
        <w:autoSpaceDE w:val="0"/>
        <w:autoSpaceDN w:val="0"/>
        <w:adjustRightInd w:val="0"/>
        <w:ind w:firstLine="0"/>
        <w:rPr>
          <w:rFonts w:eastAsiaTheme="minorEastAsia"/>
          <w:b/>
          <w:snapToGrid w:val="0"/>
          <w:kern w:val="22"/>
        </w:rPr>
      </w:pPr>
      <w:r w:rsidRPr="002A0DEA">
        <w:rPr>
          <w:rFonts w:eastAsiaTheme="minorEastAsia"/>
          <w:b/>
          <w:snapToGrid w:val="0"/>
          <w:kern w:val="22"/>
          <w:lang w:eastAsia="zh-CN"/>
        </w:rPr>
        <w:t>关键行动</w:t>
      </w:r>
    </w:p>
    <w:p w:rsidR="00375FE8" w:rsidRPr="002A0DEA" w:rsidRDefault="00375FE8" w:rsidP="000A1A91">
      <w:pPr>
        <w:numPr>
          <w:ilvl w:val="0"/>
          <w:numId w:val="45"/>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制定或利用框架和概念，承认人与生态系统之间的关系是一体化的社会</w:t>
      </w:r>
      <w:r w:rsidRPr="002A0DEA">
        <w:rPr>
          <w:rFonts w:eastAsiaTheme="minorEastAsia"/>
          <w:bCs/>
          <w:kern w:val="22"/>
          <w:lang w:eastAsia="zh-CN"/>
        </w:rPr>
        <w:t>-</w:t>
      </w:r>
      <w:r w:rsidRPr="002A0DEA">
        <w:rPr>
          <w:rFonts w:eastAsiaTheme="minorEastAsia"/>
          <w:bCs/>
          <w:kern w:val="22"/>
          <w:lang w:eastAsia="zh-CN"/>
        </w:rPr>
        <w:t>生态系统，而不只是通过人的视角看待适应气候变化和减少风险问题；</w:t>
      </w:r>
    </w:p>
    <w:p w:rsidR="00375FE8" w:rsidRPr="002A0DEA" w:rsidRDefault="00375FE8" w:rsidP="000A1A91">
      <w:pPr>
        <w:numPr>
          <w:ilvl w:val="0"/>
          <w:numId w:val="45"/>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用灵活标准评估过去和当前社会</w:t>
      </w:r>
      <w:r w:rsidRPr="002A0DEA">
        <w:rPr>
          <w:rFonts w:eastAsiaTheme="minorEastAsia"/>
          <w:bCs/>
          <w:kern w:val="22"/>
          <w:lang w:eastAsia="zh-CN"/>
        </w:rPr>
        <w:t>-</w:t>
      </w:r>
      <w:r w:rsidRPr="002A0DEA">
        <w:rPr>
          <w:rFonts w:eastAsiaTheme="minorEastAsia"/>
          <w:bCs/>
          <w:kern w:val="22"/>
          <w:lang w:eastAsia="zh-CN"/>
        </w:rPr>
        <w:t>生态系统承受的气候和非气候风险，以处理人与环境系统之间的联系：</w:t>
      </w:r>
    </w:p>
    <w:p w:rsidR="004B7DAB" w:rsidRPr="004B7DAB" w:rsidRDefault="00375FE8" w:rsidP="000A2C72">
      <w:pPr>
        <w:pStyle w:val="ListParagraph"/>
        <w:numPr>
          <w:ilvl w:val="0"/>
          <w:numId w:val="46"/>
        </w:numPr>
        <w:suppressLineNumbers/>
        <w:tabs>
          <w:tab w:val="left" w:pos="2160"/>
        </w:tabs>
        <w:suppressAutoHyphens/>
        <w:kinsoku w:val="0"/>
        <w:overflowPunct w:val="0"/>
        <w:autoSpaceDE w:val="0"/>
        <w:autoSpaceDN w:val="0"/>
        <w:adjustRightInd w:val="0"/>
        <w:snapToGrid w:val="0"/>
        <w:ind w:left="2160"/>
        <w:rPr>
          <w:rFonts w:eastAsiaTheme="minorEastAsia"/>
          <w:snapToGrid w:val="0"/>
          <w:kern w:val="22"/>
          <w:lang w:eastAsia="zh-CN"/>
        </w:rPr>
      </w:pPr>
      <w:r w:rsidRPr="004B7DAB">
        <w:rPr>
          <w:rFonts w:eastAsiaTheme="minorEastAsia"/>
          <w:snapToGrid w:val="0"/>
          <w:kern w:val="22"/>
          <w:lang w:eastAsia="zh-CN"/>
        </w:rPr>
        <w:t>参考关于气候变化对生物多样性和</w:t>
      </w:r>
      <w:r w:rsidR="004B7DAB" w:rsidRPr="004B7DAB">
        <w:rPr>
          <w:rFonts w:eastAsiaTheme="minorEastAsia"/>
          <w:snapToGrid w:val="0"/>
          <w:kern w:val="22"/>
          <w:lang w:eastAsia="zh-CN"/>
        </w:rPr>
        <w:t>生态系统功能和服务</w:t>
      </w:r>
      <w:r w:rsidR="004B7DAB" w:rsidRPr="004B7DAB">
        <w:rPr>
          <w:rFonts w:eastAsiaTheme="minorEastAsia"/>
          <w:snapToGrid w:val="0"/>
          <w:spacing w:val="-20"/>
          <w:kern w:val="22"/>
          <w:lang w:eastAsia="zh-CN"/>
        </w:rPr>
        <w:t>的影响的评估；</w:t>
      </w:r>
      <w:r w:rsidR="004B7DAB" w:rsidRPr="004B7DAB">
        <w:rPr>
          <w:rFonts w:eastAsiaTheme="minorEastAsia"/>
          <w:snapToGrid w:val="0"/>
          <w:kern w:val="22"/>
          <w:lang w:eastAsia="zh-CN"/>
        </w:rPr>
        <w:t>如，为</w:t>
      </w:r>
      <w:r w:rsidR="004B7DAB" w:rsidRPr="004B7DAB">
        <w:rPr>
          <w:rStyle w:val="ng-binding"/>
          <w:rFonts w:eastAsiaTheme="minorEastAsia"/>
          <w:lang w:eastAsia="zh-CN"/>
        </w:rPr>
        <w:t>《气候变化框架公约》</w:t>
      </w:r>
      <w:r w:rsidR="004B7DAB" w:rsidRPr="004B7DAB">
        <w:rPr>
          <w:rFonts w:eastAsiaTheme="minorEastAsia"/>
          <w:snapToGrid w:val="0"/>
          <w:kern w:val="22"/>
          <w:lang w:eastAsia="zh-CN"/>
        </w:rPr>
        <w:t>编制的国家影响和脆弱性评估，或林业、农业、渔业或其他相关部门脆弱性的评估；</w:t>
      </w:r>
    </w:p>
    <w:p w:rsidR="00375FE8" w:rsidRPr="002A0DEA" w:rsidRDefault="00375FE8" w:rsidP="000A1A91">
      <w:pPr>
        <w:pStyle w:val="ListParagraph"/>
        <w:numPr>
          <w:ilvl w:val="0"/>
          <w:numId w:val="46"/>
        </w:numPr>
        <w:suppressLineNumbers/>
        <w:suppressAutoHyphens/>
        <w:kinsoku w:val="0"/>
        <w:overflowPunct w:val="0"/>
        <w:autoSpaceDE w:val="0"/>
        <w:autoSpaceDN w:val="0"/>
        <w:adjustRightInd w:val="0"/>
        <w:snapToGrid w:val="0"/>
        <w:ind w:left="2160"/>
        <w:rPr>
          <w:rFonts w:eastAsiaTheme="minorEastAsia"/>
          <w:snapToGrid w:val="0"/>
          <w:kern w:val="22"/>
          <w:lang w:eastAsia="zh-CN"/>
        </w:rPr>
      </w:pPr>
      <w:r w:rsidRPr="002A0DEA">
        <w:rPr>
          <w:rFonts w:eastAsiaTheme="minorEastAsia"/>
          <w:snapToGrid w:val="0"/>
          <w:kern w:val="22"/>
          <w:lang w:eastAsia="zh-CN"/>
        </w:rPr>
        <w:t>开展社会经济和生态实地调查，查明社区和生态系统（包括为适应气候变化或减少灾害风险提供重要功能和服务的生态系统）的脆弱性（更多详情见补充信息</w:t>
      </w:r>
      <w:r w:rsidRPr="002A0DEA">
        <w:rPr>
          <w:rFonts w:eastAsiaTheme="minorEastAsia"/>
          <w:vertAlign w:val="superscript"/>
          <w:lang w:eastAsia="zh-CN"/>
        </w:rPr>
        <w:footnoteReference w:id="73"/>
      </w:r>
      <w:r w:rsidRPr="002A0DEA">
        <w:rPr>
          <w:rFonts w:eastAsiaTheme="minorEastAsia"/>
          <w:snapToGrid w:val="0"/>
          <w:kern w:val="22"/>
          <w:lang w:eastAsia="zh-CN"/>
        </w:rPr>
        <w:t>）；</w:t>
      </w:r>
    </w:p>
    <w:p w:rsidR="00375FE8" w:rsidRPr="002A0DEA" w:rsidRDefault="00375FE8" w:rsidP="000A1A91">
      <w:pPr>
        <w:pStyle w:val="ListParagraph"/>
        <w:numPr>
          <w:ilvl w:val="0"/>
          <w:numId w:val="46"/>
        </w:numPr>
        <w:suppressLineNumbers/>
        <w:suppressAutoHyphens/>
        <w:kinsoku w:val="0"/>
        <w:overflowPunct w:val="0"/>
        <w:autoSpaceDE w:val="0"/>
        <w:autoSpaceDN w:val="0"/>
        <w:adjustRightInd w:val="0"/>
        <w:snapToGrid w:val="0"/>
        <w:ind w:left="2160"/>
        <w:rPr>
          <w:rFonts w:eastAsiaTheme="minorEastAsia"/>
          <w:snapToGrid w:val="0"/>
          <w:kern w:val="22"/>
          <w:lang w:eastAsia="zh-CN"/>
        </w:rPr>
      </w:pPr>
      <w:r w:rsidRPr="002A0DEA">
        <w:rPr>
          <w:rFonts w:eastAsiaTheme="minorEastAsia"/>
          <w:snapToGrid w:val="0"/>
          <w:kern w:val="22"/>
          <w:lang w:eastAsia="zh-CN"/>
        </w:rPr>
        <w:t>评估当前风险的驱动因素和脆弱性，并酌情在适当规模（例如缩小到地方一级）的气候变化预测或情景设想基础上评估未来风险；</w:t>
      </w:r>
    </w:p>
    <w:p w:rsidR="00375FE8" w:rsidRPr="002A0DEA" w:rsidRDefault="00375FE8" w:rsidP="000A1A91">
      <w:pPr>
        <w:numPr>
          <w:ilvl w:val="0"/>
          <w:numId w:val="45"/>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纳入基于专家判断和土著和传统知识的定量方法（根据科学模型）和定性方法（更多细节见下文）。例如，利用参与式农村评估了解当地的看法和以往经验；</w:t>
      </w:r>
    </w:p>
    <w:p w:rsidR="00375FE8" w:rsidRPr="002A0DEA" w:rsidRDefault="00375FE8" w:rsidP="000A1A91">
      <w:pPr>
        <w:numPr>
          <w:ilvl w:val="0"/>
          <w:numId w:val="45"/>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利用参与式三维风险模型等方式，绘制灾害和风险图。</w:t>
      </w:r>
    </w:p>
    <w:p w:rsidR="00375FE8" w:rsidRPr="002A0DEA" w:rsidRDefault="00375FE8" w:rsidP="00B9542F">
      <w:pPr>
        <w:keepNext/>
        <w:suppressLineNumbers/>
        <w:suppressAutoHyphens/>
        <w:kinsoku w:val="0"/>
        <w:overflowPunct w:val="0"/>
        <w:autoSpaceDE w:val="0"/>
        <w:autoSpaceDN w:val="0"/>
        <w:adjustRightInd w:val="0"/>
        <w:ind w:firstLine="0"/>
        <w:outlineLvl w:val="1"/>
        <w:rPr>
          <w:rFonts w:eastAsiaTheme="minorEastAsia"/>
          <w:b/>
          <w:snapToGrid w:val="0"/>
          <w:kern w:val="22"/>
          <w:lang w:eastAsia="zh-CN"/>
        </w:rPr>
      </w:pPr>
      <w:bookmarkStart w:id="65" w:name="_Toc6243685"/>
      <w:r w:rsidRPr="002A0DEA">
        <w:rPr>
          <w:rFonts w:eastAsiaTheme="minorEastAsia"/>
          <w:b/>
          <w:snapToGrid w:val="0"/>
          <w:kern w:val="22"/>
          <w:lang w:eastAsia="zh-CN"/>
        </w:rPr>
        <w:t>步骤</w:t>
      </w:r>
      <w:r w:rsidRPr="002A0DEA">
        <w:rPr>
          <w:rFonts w:eastAsiaTheme="minorEastAsia"/>
          <w:b/>
          <w:snapToGrid w:val="0"/>
          <w:kern w:val="22"/>
          <w:lang w:eastAsia="zh-CN"/>
        </w:rPr>
        <w:t xml:space="preserve"> C. </w:t>
      </w:r>
      <w:r w:rsidRPr="002A0DEA">
        <w:rPr>
          <w:rFonts w:eastAsiaTheme="minorEastAsia"/>
          <w:b/>
          <w:snapToGrid w:val="0"/>
          <w:kern w:val="22"/>
          <w:lang w:eastAsia="zh-CN"/>
        </w:rPr>
        <w:t>确定基于生态系统的适应气候变化和减少灾害风险的备选办法</w:t>
      </w:r>
      <w:bookmarkEnd w:id="65"/>
    </w:p>
    <w:p w:rsidR="00375FE8" w:rsidRPr="002A0DEA" w:rsidRDefault="00375FE8" w:rsidP="00B9542F">
      <w:pPr>
        <w:keepNext/>
        <w:suppressLineNumbers/>
        <w:suppressAutoHyphens/>
        <w:kinsoku w:val="0"/>
        <w:overflowPunct w:val="0"/>
        <w:autoSpaceDE w:val="0"/>
        <w:autoSpaceDN w:val="0"/>
        <w:adjustRightInd w:val="0"/>
        <w:ind w:firstLine="0"/>
        <w:rPr>
          <w:rFonts w:eastAsiaTheme="minorEastAsia"/>
          <w:b/>
          <w:snapToGrid w:val="0"/>
          <w:kern w:val="22"/>
          <w:lang w:eastAsia="zh-CN"/>
        </w:rPr>
      </w:pPr>
      <w:r w:rsidRPr="002A0DEA">
        <w:rPr>
          <w:rFonts w:eastAsiaTheme="minorEastAsia"/>
          <w:b/>
          <w:snapToGrid w:val="0"/>
          <w:kern w:val="22"/>
          <w:lang w:eastAsia="zh-CN"/>
        </w:rPr>
        <w:t>目的</w:t>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color w:val="242021"/>
          <w:kern w:val="22"/>
          <w:lang w:eastAsia="zh-CN"/>
        </w:rPr>
      </w:pPr>
      <w:r w:rsidRPr="002A0DEA">
        <w:rPr>
          <w:rFonts w:eastAsiaTheme="minorEastAsia"/>
          <w:snapToGrid w:val="0"/>
          <w:color w:val="242021"/>
          <w:kern w:val="22"/>
          <w:lang w:eastAsia="zh-CN"/>
        </w:rPr>
        <w:t>在界定社会</w:t>
      </w:r>
      <w:r w:rsidRPr="002A0DEA">
        <w:rPr>
          <w:rFonts w:eastAsiaTheme="minorEastAsia"/>
          <w:snapToGrid w:val="0"/>
          <w:color w:val="242021"/>
          <w:kern w:val="22"/>
          <w:lang w:eastAsia="zh-CN"/>
        </w:rPr>
        <w:t>-</w:t>
      </w:r>
      <w:r w:rsidRPr="002A0DEA">
        <w:rPr>
          <w:rFonts w:eastAsiaTheme="minorEastAsia"/>
          <w:snapToGrid w:val="0"/>
          <w:color w:val="242021"/>
          <w:kern w:val="22"/>
          <w:lang w:eastAsia="zh-CN"/>
        </w:rPr>
        <w:t>生态系统</w:t>
      </w:r>
      <w:r w:rsidRPr="002A0DEA">
        <w:rPr>
          <w:rFonts w:eastAsiaTheme="minorEastAsia"/>
          <w:snapToGrid w:val="0"/>
          <w:color w:val="242021"/>
          <w:kern w:val="22"/>
          <w:lang w:eastAsia="zh-CN"/>
        </w:rPr>
        <w:t>/</w:t>
      </w:r>
      <w:r w:rsidRPr="002A0DEA">
        <w:rPr>
          <w:rFonts w:eastAsiaTheme="minorEastAsia"/>
          <w:snapToGrid w:val="0"/>
          <w:color w:val="242021"/>
          <w:kern w:val="22"/>
          <w:lang w:eastAsia="zh-CN"/>
        </w:rPr>
        <w:t>景观界限，以及查明基于生态系统的适应气候变化和减少灾害风险的最初切入点和脆弱性和风险之后（步骤</w:t>
      </w:r>
      <w:r w:rsidRPr="002A0DEA">
        <w:rPr>
          <w:rFonts w:eastAsiaTheme="minorEastAsia"/>
          <w:snapToGrid w:val="0"/>
          <w:color w:val="242021"/>
          <w:kern w:val="22"/>
          <w:lang w:eastAsia="zh-CN"/>
        </w:rPr>
        <w:t>A</w:t>
      </w:r>
      <w:r w:rsidRPr="002A0DEA">
        <w:rPr>
          <w:rFonts w:eastAsiaTheme="minorEastAsia"/>
          <w:snapToGrid w:val="0"/>
          <w:color w:val="242021"/>
          <w:kern w:val="22"/>
          <w:lang w:eastAsia="zh-CN"/>
        </w:rPr>
        <w:t>），多利益相关方群体在适应气候变化和减少灾害风险总体战略中确定可能的备选办法。作为补充信息，步骤</w:t>
      </w:r>
      <w:r w:rsidRPr="002A0DEA">
        <w:rPr>
          <w:rFonts w:eastAsiaTheme="minorEastAsia"/>
          <w:snapToGrid w:val="0"/>
          <w:color w:val="242021"/>
          <w:kern w:val="22"/>
          <w:lang w:eastAsia="zh-CN"/>
        </w:rPr>
        <w:t>C</w:t>
      </w:r>
      <w:r w:rsidRPr="00246A48">
        <w:rPr>
          <w:rFonts w:asciiTheme="minorEastAsia" w:eastAsiaTheme="minorEastAsia" w:hAnsiTheme="minorEastAsia"/>
          <w:snapToGrid w:val="0"/>
          <w:color w:val="242021"/>
          <w:kern w:val="22"/>
          <w:lang w:eastAsia="zh-CN"/>
        </w:rPr>
        <w:t>“</w:t>
      </w:r>
      <w:r w:rsidRPr="002A0DEA">
        <w:rPr>
          <w:rFonts w:eastAsiaTheme="minorEastAsia"/>
          <w:snapToGrid w:val="0"/>
          <w:color w:val="242021"/>
          <w:kern w:val="22"/>
          <w:lang w:eastAsia="zh-CN"/>
        </w:rPr>
        <w:t>工具箱：确定基于生态系统的适应气候变化和减少灾害风险战略</w:t>
      </w:r>
      <w:r w:rsidRPr="00246A48">
        <w:rPr>
          <w:rFonts w:asciiTheme="minorEastAsia" w:eastAsiaTheme="minorEastAsia" w:hAnsiTheme="minorEastAsia"/>
          <w:snapToGrid w:val="0"/>
          <w:color w:val="242021"/>
          <w:kern w:val="22"/>
          <w:lang w:eastAsia="zh-CN"/>
        </w:rPr>
        <w:t>”</w:t>
      </w:r>
      <w:r w:rsidRPr="002A0DEA">
        <w:rPr>
          <w:rFonts w:eastAsiaTheme="minorEastAsia"/>
          <w:snapToGrid w:val="0"/>
          <w:color w:val="242021"/>
          <w:kern w:val="22"/>
          <w:lang w:eastAsia="zh-CN"/>
        </w:rPr>
        <w:t>中提供了与此步骤相关的相关工具清单。</w:t>
      </w:r>
      <w:r w:rsidRPr="00246A48">
        <w:rPr>
          <w:rStyle w:val="FootnoteReference"/>
          <w:rFonts w:eastAsiaTheme="minorEastAsia"/>
          <w:snapToGrid w:val="0"/>
          <w:color w:val="242021"/>
          <w:kern w:val="22"/>
          <w:sz w:val="24"/>
          <w:u w:val="none"/>
          <w:vertAlign w:val="superscript"/>
        </w:rPr>
        <w:footnoteReference w:id="74"/>
      </w:r>
      <w:r w:rsidRPr="00246A48">
        <w:rPr>
          <w:rFonts w:eastAsiaTheme="minorEastAsia"/>
          <w:snapToGrid w:val="0"/>
          <w:color w:val="242021"/>
          <w:kern w:val="22"/>
          <w:sz w:val="36"/>
          <w:vertAlign w:val="superscript"/>
          <w:lang w:eastAsia="zh-CN"/>
        </w:rPr>
        <w:t xml:space="preserve"> </w:t>
      </w:r>
    </w:p>
    <w:p w:rsidR="00375FE8" w:rsidRPr="002A0DEA" w:rsidRDefault="00375FE8" w:rsidP="00B9542F">
      <w:pPr>
        <w:suppressLineNumbers/>
        <w:suppressAutoHyphens/>
        <w:kinsoku w:val="0"/>
        <w:overflowPunct w:val="0"/>
        <w:autoSpaceDE w:val="0"/>
        <w:autoSpaceDN w:val="0"/>
        <w:adjustRightInd w:val="0"/>
        <w:ind w:firstLine="0"/>
        <w:rPr>
          <w:rFonts w:eastAsiaTheme="minorEastAsia"/>
          <w:b/>
          <w:snapToGrid w:val="0"/>
          <w:color w:val="242021"/>
          <w:kern w:val="22"/>
          <w:lang w:eastAsia="zh-CN"/>
        </w:rPr>
      </w:pPr>
      <w:r w:rsidRPr="002A0DEA">
        <w:rPr>
          <w:rFonts w:eastAsiaTheme="minorEastAsia"/>
          <w:b/>
          <w:snapToGrid w:val="0"/>
          <w:color w:val="242021"/>
          <w:kern w:val="22"/>
          <w:lang w:eastAsia="zh-CN"/>
        </w:rPr>
        <w:lastRenderedPageBreak/>
        <w:t>成果</w:t>
      </w:r>
    </w:p>
    <w:p w:rsidR="00375FE8" w:rsidRPr="002A0DEA" w:rsidRDefault="00375FE8" w:rsidP="002A0DEA">
      <w:pPr>
        <w:pStyle w:val="ListParagraph"/>
        <w:suppressLineNumbers/>
        <w:tabs>
          <w:tab w:val="left" w:pos="720"/>
        </w:tabs>
        <w:suppressAutoHyphens/>
        <w:kinsoku w:val="0"/>
        <w:overflowPunct w:val="0"/>
        <w:autoSpaceDE w:val="0"/>
        <w:autoSpaceDN w:val="0"/>
        <w:adjustRightInd w:val="0"/>
        <w:snapToGrid w:val="0"/>
        <w:ind w:left="0"/>
        <w:rPr>
          <w:rFonts w:eastAsiaTheme="minorEastAsia"/>
          <w:snapToGrid w:val="0"/>
          <w:color w:val="242021"/>
          <w:kern w:val="22"/>
          <w:lang w:eastAsia="zh-CN"/>
        </w:rPr>
      </w:pPr>
      <w:r w:rsidRPr="002A0DEA">
        <w:rPr>
          <w:rFonts w:eastAsiaTheme="minorEastAsia"/>
          <w:snapToGrid w:val="0"/>
          <w:color w:val="242021"/>
          <w:kern w:val="22"/>
          <w:lang w:eastAsia="zh-CN"/>
        </w:rPr>
        <w:t>减少社会</w:t>
      </w:r>
      <w:r w:rsidRPr="002A0DEA">
        <w:rPr>
          <w:rFonts w:eastAsiaTheme="minorEastAsia"/>
          <w:snapToGrid w:val="0"/>
          <w:color w:val="242021"/>
          <w:kern w:val="22"/>
          <w:lang w:eastAsia="zh-CN"/>
        </w:rPr>
        <w:t>-</w:t>
      </w:r>
      <w:r w:rsidRPr="002A0DEA">
        <w:rPr>
          <w:rFonts w:eastAsiaTheme="minorEastAsia"/>
          <w:snapToGrid w:val="0"/>
          <w:color w:val="242021"/>
          <w:kern w:val="22"/>
          <w:lang w:eastAsia="zh-CN"/>
        </w:rPr>
        <w:t>生态系统遭受和易受气候灾害以及提高适应能力的已有战略和备选办法清单</w:t>
      </w:r>
    </w:p>
    <w:p w:rsidR="00375FE8" w:rsidRPr="002A0DEA" w:rsidRDefault="00375FE8" w:rsidP="00B9542F">
      <w:pPr>
        <w:widowControl w:val="0"/>
        <w:suppressLineNumbers/>
        <w:suppressAutoHyphens/>
        <w:kinsoku w:val="0"/>
        <w:overflowPunct w:val="0"/>
        <w:autoSpaceDE w:val="0"/>
        <w:autoSpaceDN w:val="0"/>
        <w:adjustRightInd w:val="0"/>
        <w:ind w:firstLine="0"/>
        <w:rPr>
          <w:rFonts w:eastAsiaTheme="minorEastAsia"/>
          <w:b/>
          <w:snapToGrid w:val="0"/>
          <w:kern w:val="22"/>
        </w:rPr>
      </w:pPr>
      <w:r w:rsidRPr="002A0DEA">
        <w:rPr>
          <w:rFonts w:eastAsiaTheme="minorEastAsia"/>
          <w:b/>
          <w:snapToGrid w:val="0"/>
          <w:kern w:val="22"/>
          <w:lang w:eastAsia="zh-CN"/>
        </w:rPr>
        <w:t>关键行动</w:t>
      </w:r>
    </w:p>
    <w:p w:rsidR="00375FE8" w:rsidRPr="002A0DEA" w:rsidRDefault="00375FE8" w:rsidP="000A1A91">
      <w:pPr>
        <w:widowControl w:val="0"/>
        <w:numPr>
          <w:ilvl w:val="0"/>
          <w:numId w:val="4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查明解决气候变化影响和灾害风险的现有战略和对策和（或）用于解决当前气候脆弱性和对生态系统和社会的社会经济压力的现有战略和对策，并分析应对未来气候影响和风险的可行性；</w:t>
      </w:r>
    </w:p>
    <w:p w:rsidR="00375FE8" w:rsidRPr="002A0DEA" w:rsidRDefault="00375FE8" w:rsidP="000A1A91">
      <w:pPr>
        <w:numPr>
          <w:ilvl w:val="0"/>
          <w:numId w:val="4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完善为基于生态系统的适应气候变化</w:t>
      </w:r>
      <w:r w:rsidRPr="002A0DEA">
        <w:rPr>
          <w:rFonts w:eastAsiaTheme="minorEastAsia"/>
          <w:bCs/>
          <w:kern w:val="22"/>
          <w:lang w:eastAsia="zh-CN"/>
        </w:rPr>
        <w:t>/</w:t>
      </w:r>
      <w:r w:rsidRPr="002A0DEA">
        <w:rPr>
          <w:rFonts w:eastAsiaTheme="minorEastAsia"/>
          <w:bCs/>
          <w:kern w:val="22"/>
          <w:lang w:eastAsia="zh-CN"/>
        </w:rPr>
        <w:t>减少灾害风险确定的最初切入点。选择切入点的标准可包括：</w:t>
      </w:r>
    </w:p>
    <w:p w:rsidR="00375FE8" w:rsidRPr="002A0DEA" w:rsidRDefault="00375FE8" w:rsidP="000A1A91">
      <w:pPr>
        <w:pStyle w:val="ListParagraph"/>
        <w:numPr>
          <w:ilvl w:val="0"/>
          <w:numId w:val="48"/>
        </w:numPr>
        <w:suppressLineNumbers/>
        <w:suppressAutoHyphens/>
        <w:kinsoku w:val="0"/>
        <w:overflowPunct w:val="0"/>
        <w:autoSpaceDE w:val="0"/>
        <w:autoSpaceDN w:val="0"/>
        <w:adjustRightInd w:val="0"/>
        <w:snapToGrid w:val="0"/>
        <w:ind w:left="2160"/>
        <w:rPr>
          <w:rFonts w:eastAsiaTheme="minorEastAsia"/>
          <w:snapToGrid w:val="0"/>
          <w:kern w:val="22"/>
          <w:lang w:eastAsia="zh-CN"/>
        </w:rPr>
      </w:pPr>
      <w:r w:rsidRPr="002A0DEA">
        <w:rPr>
          <w:rFonts w:eastAsiaTheme="minorEastAsia"/>
          <w:snapToGrid w:val="0"/>
          <w:kern w:val="22"/>
          <w:lang w:eastAsia="zh-CN"/>
        </w:rPr>
        <w:t>从以往类似社会</w:t>
      </w:r>
      <w:r w:rsidRPr="002A0DEA">
        <w:rPr>
          <w:rFonts w:eastAsiaTheme="minorEastAsia"/>
          <w:snapToGrid w:val="0"/>
          <w:kern w:val="22"/>
          <w:lang w:eastAsia="zh-CN"/>
        </w:rPr>
        <w:t>-</w:t>
      </w:r>
      <w:r w:rsidRPr="002A0DEA">
        <w:rPr>
          <w:rFonts w:eastAsiaTheme="minorEastAsia"/>
          <w:snapToGrid w:val="0"/>
          <w:kern w:val="22"/>
          <w:lang w:eastAsia="zh-CN"/>
        </w:rPr>
        <w:t>生态背景下的经验中产生实效的概率较高；</w:t>
      </w:r>
    </w:p>
    <w:p w:rsidR="00375FE8" w:rsidRPr="002A0DEA" w:rsidRDefault="00375FE8" w:rsidP="000A1A91">
      <w:pPr>
        <w:pStyle w:val="ListParagraph"/>
        <w:numPr>
          <w:ilvl w:val="0"/>
          <w:numId w:val="48"/>
        </w:numPr>
        <w:suppressLineNumbers/>
        <w:suppressAutoHyphens/>
        <w:kinsoku w:val="0"/>
        <w:overflowPunct w:val="0"/>
        <w:autoSpaceDE w:val="0"/>
        <w:autoSpaceDN w:val="0"/>
        <w:adjustRightInd w:val="0"/>
        <w:snapToGrid w:val="0"/>
        <w:ind w:left="2160"/>
        <w:rPr>
          <w:rFonts w:eastAsiaTheme="minorEastAsia"/>
          <w:snapToGrid w:val="0"/>
          <w:kern w:val="22"/>
          <w:lang w:eastAsia="zh-CN"/>
        </w:rPr>
      </w:pPr>
      <w:r w:rsidRPr="002A0DEA">
        <w:rPr>
          <w:rFonts w:eastAsiaTheme="minorEastAsia"/>
          <w:snapToGrid w:val="0"/>
          <w:kern w:val="22"/>
          <w:lang w:eastAsia="zh-CN"/>
        </w:rPr>
        <w:t>得到利益攸关方的大力支持；</w:t>
      </w:r>
    </w:p>
    <w:p w:rsidR="00375FE8" w:rsidRPr="002A0DEA" w:rsidRDefault="00375FE8" w:rsidP="000A1A91">
      <w:pPr>
        <w:numPr>
          <w:ilvl w:val="0"/>
          <w:numId w:val="4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与多利益攸关方群体，包括利益攸关方、权利持有人和专家合作，在总体适应气候变化战略中拟定适当战略，应对步骤</w:t>
      </w:r>
      <w:r w:rsidRPr="002A0DEA">
        <w:rPr>
          <w:rFonts w:eastAsiaTheme="minorEastAsia"/>
          <w:bCs/>
          <w:kern w:val="22"/>
          <w:lang w:eastAsia="zh-CN"/>
        </w:rPr>
        <w:t>B</w:t>
      </w:r>
      <w:r w:rsidRPr="002A0DEA">
        <w:rPr>
          <w:rFonts w:eastAsiaTheme="minorEastAsia"/>
          <w:bCs/>
          <w:kern w:val="22"/>
          <w:lang w:eastAsia="zh-CN"/>
        </w:rPr>
        <w:t>中确定的风险和脆弱性；</w:t>
      </w:r>
      <w:r w:rsidRPr="002A0DEA">
        <w:rPr>
          <w:rFonts w:eastAsiaTheme="minorEastAsia"/>
          <w:bCs/>
          <w:kern w:val="22"/>
          <w:lang w:eastAsia="zh-CN"/>
        </w:rPr>
        <w:t xml:space="preserve"> </w:t>
      </w:r>
    </w:p>
    <w:p w:rsidR="00375FE8" w:rsidRPr="002A0DEA" w:rsidRDefault="00375FE8" w:rsidP="000A1A91">
      <w:pPr>
        <w:numPr>
          <w:ilvl w:val="0"/>
          <w:numId w:val="4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评估弱势群体、部门和生态系统的具体问题和优先事项；</w:t>
      </w:r>
    </w:p>
    <w:p w:rsidR="00375FE8" w:rsidRPr="002A0DEA" w:rsidRDefault="00375FE8" w:rsidP="000A1A91">
      <w:pPr>
        <w:numPr>
          <w:ilvl w:val="0"/>
          <w:numId w:val="4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确保在当地、社区和家庭一级，并酌情在景观或流域一级，制定基于生态系统的适应气候变化和减少灾害风险的计划；</w:t>
      </w:r>
    </w:p>
    <w:p w:rsidR="00375FE8" w:rsidRPr="002A0DEA" w:rsidRDefault="00375FE8" w:rsidP="000A1A91">
      <w:pPr>
        <w:numPr>
          <w:ilvl w:val="0"/>
          <w:numId w:val="47"/>
        </w:numPr>
        <w:suppressLineNumbers/>
        <w:tabs>
          <w:tab w:val="left" w:pos="1440"/>
        </w:tab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确定符合步骤</w:t>
      </w:r>
      <w:r w:rsidRPr="002A0DEA">
        <w:rPr>
          <w:rFonts w:eastAsiaTheme="minorEastAsia"/>
          <w:bCs/>
          <w:kern w:val="22"/>
          <w:lang w:eastAsia="zh-CN"/>
        </w:rPr>
        <w:t>A</w:t>
      </w:r>
      <w:r w:rsidRPr="002A0DEA">
        <w:rPr>
          <w:rFonts w:eastAsiaTheme="minorEastAsia"/>
          <w:bCs/>
          <w:kern w:val="22"/>
          <w:lang w:eastAsia="zh-CN"/>
        </w:rPr>
        <w:t>定义的目标并坚持其重大要素的基于生态系统的适应气候变化和减少灾害风险战略；</w:t>
      </w:r>
    </w:p>
    <w:p w:rsidR="00375FE8" w:rsidRPr="002A0DEA" w:rsidRDefault="00375FE8" w:rsidP="000A1A91">
      <w:pPr>
        <w:numPr>
          <w:ilvl w:val="0"/>
          <w:numId w:val="47"/>
        </w:numPr>
        <w:suppressLineNumbers/>
        <w:suppressAutoHyphens/>
        <w:kinsoku w:val="0"/>
        <w:overflowPunct w:val="0"/>
        <w:autoSpaceDE w:val="0"/>
        <w:autoSpaceDN w:val="0"/>
        <w:adjustRightInd w:val="0"/>
        <w:snapToGrid w:val="0"/>
        <w:ind w:left="0" w:firstLine="720"/>
        <w:rPr>
          <w:rFonts w:eastAsiaTheme="minorEastAsia"/>
          <w:bCs/>
          <w:kern w:val="22"/>
          <w:lang w:eastAsia="zh-CN"/>
        </w:rPr>
      </w:pPr>
      <w:r w:rsidRPr="002A0DEA">
        <w:rPr>
          <w:rFonts w:eastAsiaTheme="minorEastAsia"/>
          <w:bCs/>
          <w:kern w:val="22"/>
          <w:lang w:eastAsia="zh-CN"/>
        </w:rPr>
        <w:t>审议采用基于生态系统的适应气候变化的合格准则和标准。</w:t>
      </w:r>
      <w:r w:rsidRPr="002A0DEA">
        <w:rPr>
          <w:rFonts w:eastAsiaTheme="minorEastAsia"/>
          <w:bCs/>
          <w:kern w:val="22"/>
          <w:vertAlign w:val="superscript"/>
          <w:lang w:eastAsia="zh-CN"/>
        </w:rPr>
        <w:footnoteReference w:id="75"/>
      </w:r>
      <w:r w:rsidRPr="002A0DEA">
        <w:rPr>
          <w:rFonts w:eastAsiaTheme="minorEastAsia"/>
          <w:bCs/>
          <w:kern w:val="22"/>
          <w:lang w:eastAsia="zh-CN"/>
        </w:rPr>
        <w:t xml:space="preserve"> </w:t>
      </w:r>
    </w:p>
    <w:p w:rsidR="00375FE8" w:rsidRPr="002A0DEA" w:rsidRDefault="00375FE8" w:rsidP="0046165D">
      <w:pPr>
        <w:keepNext/>
        <w:suppressLineNumbers/>
        <w:suppressAutoHyphens/>
        <w:kinsoku w:val="0"/>
        <w:overflowPunct w:val="0"/>
        <w:autoSpaceDE w:val="0"/>
        <w:autoSpaceDN w:val="0"/>
        <w:adjustRightInd w:val="0"/>
        <w:ind w:firstLine="0"/>
        <w:rPr>
          <w:rFonts w:eastAsiaTheme="minorEastAsia"/>
          <w:b/>
          <w:snapToGrid w:val="0"/>
          <w:kern w:val="22"/>
          <w:lang w:eastAsia="zh-CN"/>
        </w:rPr>
      </w:pPr>
      <w:r w:rsidRPr="002A0DEA">
        <w:rPr>
          <w:rFonts w:eastAsiaTheme="minorEastAsia"/>
          <w:b/>
          <w:snapToGrid w:val="0"/>
          <w:kern w:val="22"/>
          <w:lang w:eastAsia="zh-CN"/>
        </w:rPr>
        <w:t>步骤</w:t>
      </w:r>
      <w:r w:rsidRPr="002A0DEA">
        <w:rPr>
          <w:rFonts w:eastAsiaTheme="minorEastAsia"/>
          <w:b/>
          <w:snapToGrid w:val="0"/>
          <w:kern w:val="22"/>
          <w:lang w:eastAsia="zh-CN"/>
        </w:rPr>
        <w:t xml:space="preserve"> D. </w:t>
      </w:r>
      <w:r w:rsidRPr="002A0DEA">
        <w:rPr>
          <w:rFonts w:eastAsiaTheme="minorEastAsia"/>
          <w:b/>
          <w:snapToGrid w:val="0"/>
          <w:kern w:val="22"/>
          <w:lang w:eastAsia="zh-CN"/>
        </w:rPr>
        <w:t>优先考虑、评估和甄选基于生态系统的适应气候变化和减少灾害风险的备选办法</w:t>
      </w:r>
    </w:p>
    <w:p w:rsidR="00375FE8" w:rsidRPr="002A0DEA" w:rsidRDefault="00375FE8" w:rsidP="0046165D">
      <w:pPr>
        <w:keepNext/>
        <w:suppressLineNumbers/>
        <w:suppressAutoHyphens/>
        <w:kinsoku w:val="0"/>
        <w:overflowPunct w:val="0"/>
        <w:autoSpaceDE w:val="0"/>
        <w:autoSpaceDN w:val="0"/>
        <w:adjustRightInd w:val="0"/>
        <w:ind w:firstLine="0"/>
        <w:rPr>
          <w:rFonts w:eastAsiaTheme="minorEastAsia"/>
          <w:b/>
          <w:snapToGrid w:val="0"/>
          <w:kern w:val="22"/>
          <w:lang w:eastAsia="zh-CN"/>
        </w:rPr>
      </w:pPr>
      <w:r w:rsidRPr="002A0DEA">
        <w:rPr>
          <w:rFonts w:eastAsiaTheme="minorEastAsia"/>
          <w:b/>
          <w:snapToGrid w:val="0"/>
          <w:kern w:val="22"/>
          <w:lang w:eastAsia="zh-CN"/>
        </w:rPr>
        <w:t>目的</w:t>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color w:val="242021"/>
          <w:kern w:val="22"/>
          <w:lang w:eastAsia="zh-CN"/>
        </w:rPr>
      </w:pPr>
      <w:r w:rsidRPr="002A0DEA">
        <w:rPr>
          <w:rFonts w:eastAsiaTheme="minorEastAsia"/>
          <w:snapToGrid w:val="0"/>
          <w:color w:val="242021"/>
          <w:kern w:val="22"/>
          <w:lang w:eastAsia="zh-CN"/>
        </w:rPr>
        <w:t>此步骤将</w:t>
      </w:r>
      <w:r w:rsidRPr="002A0DEA">
        <w:rPr>
          <w:rFonts w:eastAsiaTheme="minorEastAsia"/>
          <w:snapToGrid w:val="0"/>
          <w:kern w:val="22"/>
          <w:lang w:eastAsia="zh-CN"/>
        </w:rPr>
        <w:t>优先考虑、评价和甄选</w:t>
      </w:r>
      <w:r w:rsidRPr="002A0DEA">
        <w:rPr>
          <w:rFonts w:eastAsiaTheme="minorEastAsia"/>
          <w:snapToGrid w:val="0"/>
          <w:color w:val="242021"/>
          <w:kern w:val="22"/>
          <w:lang w:eastAsia="zh-CN"/>
        </w:rPr>
        <w:t>步骤</w:t>
      </w:r>
      <w:r w:rsidRPr="002A0DEA">
        <w:rPr>
          <w:rFonts w:eastAsiaTheme="minorEastAsia"/>
          <w:snapToGrid w:val="0"/>
          <w:color w:val="242021"/>
          <w:kern w:val="22"/>
          <w:lang w:eastAsia="zh-CN"/>
        </w:rPr>
        <w:t>C</w:t>
      </w:r>
      <w:r w:rsidRPr="002A0DEA">
        <w:rPr>
          <w:rFonts w:eastAsiaTheme="minorEastAsia"/>
          <w:snapToGrid w:val="0"/>
          <w:color w:val="242021"/>
          <w:kern w:val="22"/>
          <w:lang w:eastAsia="zh-CN"/>
        </w:rPr>
        <w:t>中确定的</w:t>
      </w:r>
      <w:r w:rsidRPr="002A0DEA">
        <w:rPr>
          <w:rFonts w:eastAsiaTheme="minorEastAsia"/>
          <w:snapToGrid w:val="0"/>
          <w:kern w:val="22"/>
          <w:lang w:eastAsia="zh-CN"/>
        </w:rPr>
        <w:t>基于生态系统的适应气候变化和减少灾害风险的备选办法</w:t>
      </w:r>
      <w:r w:rsidRPr="002A0DEA">
        <w:rPr>
          <w:rFonts w:eastAsiaTheme="minorEastAsia"/>
          <w:snapToGrid w:val="0"/>
          <w:color w:val="242021"/>
          <w:kern w:val="22"/>
          <w:lang w:eastAsia="zh-CN"/>
        </w:rPr>
        <w:t>，从而实现步骤</w:t>
      </w:r>
      <w:r w:rsidRPr="002A0DEA">
        <w:rPr>
          <w:rFonts w:eastAsiaTheme="minorEastAsia"/>
          <w:snapToGrid w:val="0"/>
          <w:color w:val="242021"/>
          <w:kern w:val="22"/>
          <w:lang w:eastAsia="zh-CN"/>
        </w:rPr>
        <w:t>A</w:t>
      </w:r>
      <w:r w:rsidRPr="002A0DEA">
        <w:rPr>
          <w:rFonts w:eastAsiaTheme="minorEastAsia"/>
          <w:snapToGrid w:val="0"/>
          <w:color w:val="242021"/>
          <w:kern w:val="22"/>
          <w:lang w:eastAsia="zh-CN"/>
        </w:rPr>
        <w:t>中定义的目标，作为相关系统适应气候变化和减少灾害风险总体战略的一部分。与此相关的工具清单作为补充信息，</w:t>
      </w:r>
      <w:r w:rsidRPr="002A0DEA">
        <w:rPr>
          <w:rFonts w:eastAsiaTheme="minorEastAsia"/>
          <w:color w:val="242021"/>
          <w:vertAlign w:val="superscript"/>
        </w:rPr>
        <w:footnoteReference w:id="76"/>
      </w:r>
      <w:r w:rsidRPr="002A0DEA">
        <w:rPr>
          <w:rFonts w:eastAsiaTheme="minorEastAsia"/>
          <w:snapToGrid w:val="0"/>
          <w:color w:val="242021"/>
          <w:kern w:val="22"/>
          <w:lang w:eastAsia="zh-CN"/>
        </w:rPr>
        <w:t xml:space="preserve"> </w:t>
      </w:r>
      <w:r w:rsidRPr="002A0DEA">
        <w:rPr>
          <w:rFonts w:eastAsiaTheme="minorEastAsia"/>
          <w:snapToGrid w:val="0"/>
          <w:color w:val="242021"/>
          <w:kern w:val="22"/>
          <w:lang w:eastAsia="zh-CN"/>
        </w:rPr>
        <w:t>步骤</w:t>
      </w:r>
      <w:r w:rsidRPr="002A0DEA">
        <w:rPr>
          <w:rFonts w:eastAsiaTheme="minorEastAsia"/>
          <w:snapToGrid w:val="0"/>
          <w:color w:val="242021"/>
          <w:kern w:val="22"/>
          <w:lang w:eastAsia="zh-CN"/>
        </w:rPr>
        <w:t>D</w:t>
      </w:r>
      <w:r w:rsidRPr="002A0DEA">
        <w:rPr>
          <w:rFonts w:eastAsiaTheme="minorEastAsia"/>
          <w:snapToGrid w:val="0"/>
          <w:color w:val="242021"/>
          <w:kern w:val="22"/>
          <w:lang w:eastAsia="zh-CN"/>
        </w:rPr>
        <w:t>中所载的工具箱：</w:t>
      </w:r>
      <w:r w:rsidRPr="002A0DEA">
        <w:rPr>
          <w:rFonts w:eastAsiaTheme="minorEastAsia"/>
          <w:snapToGrid w:val="0"/>
          <w:kern w:val="22"/>
          <w:lang w:eastAsia="zh-CN"/>
        </w:rPr>
        <w:t>优先考虑、评估和甄选基于生态系统的适应气候变化和减少灾害风险的备选办法</w:t>
      </w:r>
      <w:r w:rsidRPr="002A0DEA">
        <w:rPr>
          <w:rFonts w:eastAsiaTheme="minorEastAsia"/>
          <w:snapToGrid w:val="0"/>
          <w:color w:val="242021"/>
          <w:kern w:val="22"/>
          <w:lang w:eastAsia="zh-CN"/>
        </w:rPr>
        <w:t>。</w:t>
      </w:r>
    </w:p>
    <w:p w:rsidR="00375FE8" w:rsidRPr="002A0DEA" w:rsidRDefault="00375FE8" w:rsidP="000A1A91">
      <w:pPr>
        <w:pStyle w:val="ListParagraph"/>
        <w:widowControl w:val="0"/>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color w:val="242021"/>
          <w:kern w:val="22"/>
          <w:lang w:eastAsia="zh-CN"/>
        </w:rPr>
      </w:pPr>
      <w:r w:rsidRPr="002A0DEA">
        <w:rPr>
          <w:rFonts w:eastAsiaTheme="minorEastAsia"/>
          <w:snapToGrid w:val="0"/>
          <w:color w:val="242021"/>
          <w:kern w:val="22"/>
          <w:lang w:eastAsia="zh-CN"/>
        </w:rPr>
        <w:lastRenderedPageBreak/>
        <w:t>鉴于评估利弊得失和局限性问题的重要性，提供了更详细的行动（方框</w:t>
      </w:r>
      <w:r w:rsidRPr="002A0DEA">
        <w:rPr>
          <w:rFonts w:eastAsiaTheme="minorEastAsia"/>
          <w:snapToGrid w:val="0"/>
          <w:color w:val="242021"/>
          <w:kern w:val="22"/>
          <w:lang w:eastAsia="zh-CN"/>
        </w:rPr>
        <w:t>3</w:t>
      </w:r>
      <w:r w:rsidRPr="002A0DEA">
        <w:rPr>
          <w:rFonts w:eastAsiaTheme="minorEastAsia"/>
          <w:snapToGrid w:val="0"/>
          <w:color w:val="242021"/>
          <w:kern w:val="22"/>
          <w:lang w:eastAsia="zh-CN"/>
        </w:rPr>
        <w:t>）。相关工具载于步骤</w:t>
      </w:r>
      <w:r w:rsidRPr="002A0DEA">
        <w:rPr>
          <w:rFonts w:eastAsiaTheme="minorEastAsia"/>
          <w:snapToGrid w:val="0"/>
          <w:color w:val="242021"/>
          <w:kern w:val="22"/>
          <w:lang w:eastAsia="zh-CN"/>
        </w:rPr>
        <w:t>D</w:t>
      </w:r>
      <w:r w:rsidRPr="002A0DEA">
        <w:rPr>
          <w:rFonts w:eastAsiaTheme="minorEastAsia"/>
          <w:snapToGrid w:val="0"/>
          <w:color w:val="242021"/>
          <w:kern w:val="22"/>
          <w:lang w:eastAsia="zh-CN"/>
        </w:rPr>
        <w:t>工具箱：优先考虑、</w:t>
      </w:r>
      <w:r w:rsidRPr="002A0DEA">
        <w:rPr>
          <w:rFonts w:eastAsiaTheme="minorEastAsia"/>
          <w:snapToGrid w:val="0"/>
          <w:kern w:val="22"/>
          <w:lang w:eastAsia="zh-CN"/>
        </w:rPr>
        <w:t>评估和甄选基于生态系统的适应气候变化和减少灾害风险的备选办法</w:t>
      </w:r>
      <w:r w:rsidRPr="002A0DEA">
        <w:rPr>
          <w:rFonts w:eastAsiaTheme="minorEastAsia"/>
          <w:snapToGrid w:val="0"/>
          <w:color w:val="242021"/>
          <w:kern w:val="22"/>
          <w:lang w:eastAsia="zh-CN"/>
        </w:rPr>
        <w:t>，并将确定利弊得失作为补充信息</w:t>
      </w:r>
      <w:r w:rsidRPr="002A0DEA">
        <w:rPr>
          <w:rFonts w:eastAsiaTheme="minorEastAsia"/>
          <w:color w:val="242021"/>
          <w:vertAlign w:val="superscript"/>
        </w:rPr>
        <w:footnoteReference w:id="77"/>
      </w:r>
      <w:r w:rsidRPr="002A0DEA">
        <w:rPr>
          <w:rFonts w:eastAsiaTheme="minorEastAsia"/>
          <w:snapToGrid w:val="0"/>
          <w:color w:val="242021"/>
          <w:kern w:val="22"/>
          <w:lang w:eastAsia="zh-CN"/>
        </w:rPr>
        <w:t xml:space="preserve"> </w:t>
      </w:r>
      <w:r w:rsidRPr="002A0DEA">
        <w:rPr>
          <w:rFonts w:eastAsiaTheme="minorEastAsia"/>
          <w:snapToGrid w:val="0"/>
          <w:color w:val="242021"/>
          <w:kern w:val="22"/>
          <w:lang w:eastAsia="zh-CN"/>
        </w:rPr>
        <w:t>提供。补充信息</w:t>
      </w:r>
      <w:r w:rsidRPr="002A0DEA">
        <w:rPr>
          <w:rFonts w:eastAsiaTheme="minorEastAsia"/>
          <w:color w:val="242021"/>
          <w:vertAlign w:val="superscript"/>
        </w:rPr>
        <w:footnoteReference w:id="78"/>
      </w:r>
      <w:r w:rsidRPr="002A0DEA">
        <w:rPr>
          <w:rFonts w:eastAsiaTheme="minorEastAsia"/>
          <w:snapToGrid w:val="0"/>
          <w:color w:val="242021"/>
          <w:kern w:val="22"/>
          <w:lang w:eastAsia="zh-CN"/>
        </w:rPr>
        <w:t xml:space="preserve"> </w:t>
      </w:r>
      <w:r w:rsidRPr="002A0DEA">
        <w:rPr>
          <w:rFonts w:eastAsiaTheme="minorEastAsia"/>
          <w:snapToGrid w:val="0"/>
          <w:color w:val="242021"/>
          <w:kern w:val="22"/>
          <w:lang w:eastAsia="zh-CN"/>
        </w:rPr>
        <w:t>中还详细阐述了如何加强有关</w:t>
      </w:r>
      <w:r w:rsidRPr="002A0DEA">
        <w:rPr>
          <w:rFonts w:eastAsiaTheme="minorEastAsia"/>
          <w:snapToGrid w:val="0"/>
          <w:kern w:val="22"/>
          <w:lang w:eastAsia="zh-CN"/>
        </w:rPr>
        <w:t>基于生态系统的适应气候变化和减少灾害风险的</w:t>
      </w:r>
      <w:r w:rsidRPr="002A0DEA">
        <w:rPr>
          <w:rFonts w:eastAsiaTheme="minorEastAsia"/>
          <w:snapToGrid w:val="0"/>
          <w:color w:val="242021"/>
          <w:kern w:val="22"/>
          <w:lang w:eastAsia="zh-CN"/>
        </w:rPr>
        <w:t>科学和技术知识。</w:t>
      </w:r>
    </w:p>
    <w:p w:rsidR="00375FE8" w:rsidRPr="002A0DEA" w:rsidRDefault="00375FE8" w:rsidP="0046165D">
      <w:pPr>
        <w:suppressLineNumbers/>
        <w:suppressAutoHyphens/>
        <w:kinsoku w:val="0"/>
        <w:overflowPunct w:val="0"/>
        <w:autoSpaceDE w:val="0"/>
        <w:autoSpaceDN w:val="0"/>
        <w:adjustRightInd w:val="0"/>
        <w:ind w:firstLine="0"/>
        <w:rPr>
          <w:rFonts w:eastAsiaTheme="minorEastAsia"/>
          <w:b/>
          <w:snapToGrid w:val="0"/>
          <w:kern w:val="22"/>
        </w:rPr>
      </w:pPr>
      <w:r w:rsidRPr="002A0DEA">
        <w:rPr>
          <w:rFonts w:eastAsiaTheme="minorEastAsia"/>
          <w:b/>
          <w:snapToGrid w:val="0"/>
          <w:kern w:val="22"/>
          <w:lang w:eastAsia="zh-CN"/>
        </w:rPr>
        <w:t>成果</w:t>
      </w:r>
    </w:p>
    <w:p w:rsidR="00375FE8" w:rsidRPr="002A0DEA" w:rsidRDefault="00375FE8" w:rsidP="000A1A91">
      <w:pPr>
        <w:numPr>
          <w:ilvl w:val="0"/>
          <w:numId w:val="40"/>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根据选定标准开列的优先备选办法清单；</w:t>
      </w:r>
    </w:p>
    <w:p w:rsidR="00375FE8" w:rsidRPr="002A0DEA" w:rsidRDefault="00375FE8" w:rsidP="000A1A91">
      <w:pPr>
        <w:numPr>
          <w:ilvl w:val="0"/>
          <w:numId w:val="40"/>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甄选供实施的最后备选办法。</w:t>
      </w:r>
    </w:p>
    <w:p w:rsidR="00375FE8" w:rsidRPr="002A0DEA" w:rsidRDefault="00375FE8" w:rsidP="0046165D">
      <w:pPr>
        <w:ind w:firstLine="0"/>
        <w:rPr>
          <w:rFonts w:eastAsiaTheme="minorEastAsia"/>
          <w:b/>
          <w:snapToGrid w:val="0"/>
          <w:kern w:val="22"/>
        </w:rPr>
      </w:pPr>
      <w:r w:rsidRPr="002A0DEA">
        <w:rPr>
          <w:rFonts w:eastAsiaTheme="minorEastAsia"/>
          <w:b/>
          <w:snapToGrid w:val="0"/>
          <w:kern w:val="22"/>
          <w:lang w:eastAsia="zh-CN"/>
        </w:rPr>
        <w:t>关键行动</w:t>
      </w:r>
    </w:p>
    <w:p w:rsidR="00375FE8" w:rsidRPr="002A0DEA" w:rsidRDefault="00375FE8" w:rsidP="000A1A91">
      <w:pPr>
        <w:widowControl w:val="0"/>
        <w:numPr>
          <w:ilvl w:val="0"/>
          <w:numId w:val="41"/>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使用参与性办法（步骤</w:t>
      </w:r>
      <w:r w:rsidRPr="002A0DEA">
        <w:rPr>
          <w:rFonts w:eastAsiaTheme="minorEastAsia"/>
          <w:snapToGrid w:val="0"/>
          <w:kern w:val="22"/>
          <w:lang w:eastAsia="zh-CN"/>
        </w:rPr>
        <w:t xml:space="preserve"> A</w:t>
      </w:r>
      <w:r w:rsidRPr="002A0DEA">
        <w:rPr>
          <w:rFonts w:eastAsiaTheme="minorEastAsia"/>
          <w:snapToGrid w:val="0"/>
          <w:kern w:val="22"/>
          <w:lang w:eastAsia="zh-CN"/>
        </w:rPr>
        <w:t>），确定用于优先考虑和评估步骤</w:t>
      </w:r>
      <w:r w:rsidRPr="002A0DEA">
        <w:rPr>
          <w:rFonts w:eastAsiaTheme="minorEastAsia"/>
          <w:snapToGrid w:val="0"/>
          <w:kern w:val="22"/>
          <w:lang w:eastAsia="zh-CN"/>
        </w:rPr>
        <w:t>C</w:t>
      </w:r>
      <w:r w:rsidRPr="002A0DEA">
        <w:rPr>
          <w:rFonts w:eastAsiaTheme="minorEastAsia"/>
          <w:snapToGrid w:val="0"/>
          <w:kern w:val="22"/>
          <w:lang w:eastAsia="zh-CN"/>
        </w:rPr>
        <w:t>中认定的适应气候变化和减少灾害风险备选办法的标准</w:t>
      </w:r>
      <w:r w:rsidRPr="002A0DEA">
        <w:rPr>
          <w:rFonts w:eastAsiaTheme="minorEastAsia"/>
          <w:snapToGrid w:val="0"/>
          <w:kern w:val="22"/>
          <w:lang w:eastAsia="zh-CN"/>
        </w:rPr>
        <w:t>/</w:t>
      </w:r>
      <w:r w:rsidRPr="002A0DEA">
        <w:rPr>
          <w:rFonts w:eastAsiaTheme="minorEastAsia"/>
          <w:snapToGrid w:val="0"/>
          <w:kern w:val="22"/>
          <w:lang w:eastAsia="zh-CN"/>
        </w:rPr>
        <w:t>指标。例如，使用多标准分析或成本效益方式评估适应气候变化备选办法；</w:t>
      </w:r>
      <w:r w:rsidRPr="002A0DEA">
        <w:rPr>
          <w:rFonts w:eastAsiaTheme="minorEastAsia"/>
          <w:snapToGrid w:val="0"/>
          <w:kern w:val="22"/>
          <w:vertAlign w:val="superscript"/>
        </w:rPr>
        <w:footnoteReference w:id="79"/>
      </w:r>
      <w:r w:rsidRPr="002A0DEA">
        <w:rPr>
          <w:rFonts w:eastAsiaTheme="minorEastAsia"/>
          <w:snapToGrid w:val="0"/>
          <w:kern w:val="22"/>
          <w:lang w:eastAsia="zh-CN"/>
        </w:rPr>
        <w:t xml:space="preserve"> </w:t>
      </w:r>
    </w:p>
    <w:p w:rsidR="00375FE8" w:rsidRPr="002A0DEA" w:rsidRDefault="00375FE8" w:rsidP="000A1A91">
      <w:pPr>
        <w:widowControl w:val="0"/>
        <w:numPr>
          <w:ilvl w:val="0"/>
          <w:numId w:val="41"/>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确保备选办法所涉利弊得失和局限性问题是评估过程的一部分（方框</w:t>
      </w:r>
      <w:r w:rsidRPr="002A0DEA">
        <w:rPr>
          <w:rFonts w:eastAsiaTheme="minorEastAsia"/>
          <w:snapToGrid w:val="0"/>
          <w:kern w:val="22"/>
          <w:lang w:eastAsia="zh-CN"/>
        </w:rPr>
        <w:t>3</w:t>
      </w:r>
      <w:r w:rsidRPr="002A0DEA">
        <w:rPr>
          <w:rFonts w:eastAsiaTheme="minorEastAsia"/>
          <w:snapToGrid w:val="0"/>
          <w:kern w:val="22"/>
          <w:lang w:eastAsia="zh-CN"/>
        </w:rPr>
        <w:t>），包括在更有效的情况下考虑先采用绿色或混合解决方案，而不是灰色解决方案；</w:t>
      </w:r>
    </w:p>
    <w:p w:rsidR="00375FE8" w:rsidRPr="002A0DEA" w:rsidRDefault="00375FE8" w:rsidP="000A1A91">
      <w:pPr>
        <w:widowControl w:val="0"/>
        <w:numPr>
          <w:ilvl w:val="0"/>
          <w:numId w:val="41"/>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审议包括非货币性的价值和收益，以获取适应气候变化和减少灾害风险不同备选办法的充分价值；</w:t>
      </w:r>
    </w:p>
    <w:p w:rsidR="00375FE8" w:rsidRPr="002A0DEA" w:rsidRDefault="00375FE8" w:rsidP="000A1A91">
      <w:pPr>
        <w:widowControl w:val="0"/>
        <w:numPr>
          <w:ilvl w:val="0"/>
          <w:numId w:val="41"/>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增加拟定标准的权重，利用此项标准对适应气候变化和减少灾害风险的备选办法进行排序；</w:t>
      </w:r>
    </w:p>
    <w:p w:rsidR="00375FE8" w:rsidRPr="002A0DEA" w:rsidRDefault="00375FE8" w:rsidP="000A1A91">
      <w:pPr>
        <w:numPr>
          <w:ilvl w:val="0"/>
          <w:numId w:val="41"/>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根据商定的标准确定适应气候变化和减少灾害风险备选办法的优先顺序，并列入短名单；</w:t>
      </w:r>
    </w:p>
    <w:p w:rsidR="00375FE8" w:rsidRPr="002A0DEA" w:rsidRDefault="00375FE8" w:rsidP="000A1A91">
      <w:pPr>
        <w:numPr>
          <w:ilvl w:val="0"/>
          <w:numId w:val="41"/>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利用多利益攸关方群体，并与其他权利持有人进行协商，确定最佳备选办法和制定企划案；</w:t>
      </w:r>
    </w:p>
    <w:p w:rsidR="00375FE8" w:rsidRPr="002A0DEA" w:rsidRDefault="00375FE8" w:rsidP="0046165D">
      <w:pPr>
        <w:widowControl w:val="0"/>
        <w:numPr>
          <w:ilvl w:val="0"/>
          <w:numId w:val="41"/>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分析不同风险管理情景设想的成本、收益、影响和利弊得失问题以及不作为的代价，以获取对适应气候变化和减少灾害风险以及复原力产生影响的生态系统功能和服务供应的损益（例如，湿地的因素）；</w:t>
      </w:r>
    </w:p>
    <w:p w:rsidR="00375FE8" w:rsidRPr="002A0DEA" w:rsidRDefault="00375FE8" w:rsidP="000A1A91">
      <w:pPr>
        <w:numPr>
          <w:ilvl w:val="0"/>
          <w:numId w:val="41"/>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lastRenderedPageBreak/>
        <w:t>考虑可持续利用基于生态系统适应气候变化</w:t>
      </w:r>
      <w:r w:rsidRPr="002A0DEA">
        <w:rPr>
          <w:rFonts w:eastAsiaTheme="minorEastAsia"/>
          <w:snapToGrid w:val="0"/>
          <w:kern w:val="22"/>
          <w:lang w:eastAsia="zh-CN"/>
        </w:rPr>
        <w:t>/</w:t>
      </w:r>
      <w:r w:rsidRPr="002A0DEA">
        <w:rPr>
          <w:rFonts w:eastAsiaTheme="minorEastAsia"/>
          <w:snapToGrid w:val="0"/>
          <w:kern w:val="22"/>
          <w:lang w:eastAsia="zh-CN"/>
        </w:rPr>
        <w:t>减少灾害风险备选办法中的当地生态系统、服务和</w:t>
      </w:r>
      <w:r w:rsidRPr="002A0DEA">
        <w:rPr>
          <w:rFonts w:eastAsiaTheme="minorEastAsia"/>
          <w:snapToGrid w:val="0"/>
          <w:kern w:val="22"/>
          <w:lang w:eastAsia="zh-CN"/>
        </w:rPr>
        <w:t>/</w:t>
      </w:r>
      <w:r w:rsidRPr="002A0DEA">
        <w:rPr>
          <w:rFonts w:eastAsiaTheme="minorEastAsia"/>
          <w:snapToGrid w:val="0"/>
          <w:kern w:val="22"/>
          <w:lang w:eastAsia="zh-CN"/>
        </w:rPr>
        <w:t>或材料，可比外包劳务和材料带来更多当地效益和减少运输产生的碳排放；</w:t>
      </w:r>
    </w:p>
    <w:p w:rsidR="00375FE8" w:rsidRPr="002A0DEA" w:rsidRDefault="00375FE8" w:rsidP="000A1A91">
      <w:pPr>
        <w:numPr>
          <w:ilvl w:val="0"/>
          <w:numId w:val="41"/>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在评估备选办法时，考虑长期干预措施的成本和收益，因为在进行各种备选办法的经济对比时，期限是重要因素，并考虑前期资本和更长期的维护成本。例如，像堤坝这样的工程结构就投资水平而言，可能花费相对较小，但维护成本高昂，而基于生态系统的办法（如湿地恢复）从长期来看可能比较便宜，并能提供多重惠益；</w:t>
      </w:r>
    </w:p>
    <w:p w:rsidR="00375FE8" w:rsidRPr="002A0DEA" w:rsidRDefault="00375FE8" w:rsidP="000A1A91">
      <w:pPr>
        <w:numPr>
          <w:ilvl w:val="0"/>
          <w:numId w:val="41"/>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在考虑利用已有资格准则和标准的情况下，评估拟议基于生态系统的适应气候变化和减少灾害风险措施的优势，方法是审查它们如何遵守各项要</w:t>
      </w:r>
      <w:r w:rsidRPr="004B7DAB">
        <w:rPr>
          <w:rFonts w:eastAsiaTheme="minorEastAsia"/>
          <w:snapToGrid w:val="0"/>
          <w:spacing w:val="-20"/>
          <w:kern w:val="22"/>
          <w:lang w:eastAsia="zh-CN"/>
        </w:rPr>
        <w:t>素、原则和保障措施；</w:t>
      </w:r>
      <w:r w:rsidRPr="004B7DAB">
        <w:rPr>
          <w:rFonts w:eastAsiaTheme="minorEastAsia"/>
          <w:snapToGrid w:val="0"/>
          <w:spacing w:val="-20"/>
          <w:kern w:val="22"/>
          <w:lang w:eastAsia="zh-CN"/>
        </w:rPr>
        <w:t xml:space="preserve"> </w:t>
      </w:r>
    </w:p>
    <w:p w:rsidR="00375FE8" w:rsidRPr="002A0DEA" w:rsidRDefault="00375FE8" w:rsidP="000A1A91">
      <w:pPr>
        <w:numPr>
          <w:ilvl w:val="0"/>
          <w:numId w:val="41"/>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在设计和实施选定项目（步骤</w:t>
      </w:r>
      <w:r w:rsidRPr="002A0DEA">
        <w:rPr>
          <w:rFonts w:eastAsiaTheme="minorEastAsia"/>
          <w:snapToGrid w:val="0"/>
          <w:kern w:val="22"/>
          <w:lang w:eastAsia="zh-CN"/>
        </w:rPr>
        <w:t>E</w:t>
      </w:r>
      <w:r w:rsidRPr="002A0DEA">
        <w:rPr>
          <w:rFonts w:eastAsiaTheme="minorEastAsia"/>
          <w:snapToGrid w:val="0"/>
          <w:kern w:val="22"/>
          <w:lang w:eastAsia="zh-CN"/>
        </w:rPr>
        <w:t>）之前，对推荐的备选办法进行环境影响评估，确保：</w:t>
      </w:r>
      <w:r w:rsidRPr="002A0DEA">
        <w:rPr>
          <w:rFonts w:eastAsiaTheme="minorEastAsia"/>
          <w:snapToGrid w:val="0"/>
          <w:kern w:val="22"/>
          <w:lang w:eastAsia="zh-CN"/>
        </w:rPr>
        <w:t>(</w:t>
      </w:r>
      <w:r w:rsidRPr="002A0DEA">
        <w:rPr>
          <w:rFonts w:eastAsiaTheme="minorEastAsia"/>
          <w:snapToGrid w:val="0"/>
          <w:kern w:val="22"/>
          <w:lang w:eastAsia="zh-CN"/>
        </w:rPr>
        <w:t>一</w:t>
      </w:r>
      <w:r w:rsidRPr="002A0DEA">
        <w:rPr>
          <w:rFonts w:eastAsiaTheme="minorEastAsia"/>
          <w:snapToGrid w:val="0"/>
          <w:kern w:val="22"/>
          <w:lang w:eastAsia="zh-CN"/>
        </w:rPr>
        <w:t xml:space="preserve">) </w:t>
      </w:r>
      <w:r w:rsidRPr="002A0DEA">
        <w:rPr>
          <w:rFonts w:eastAsiaTheme="minorEastAsia"/>
          <w:snapToGrid w:val="0"/>
          <w:kern w:val="22"/>
          <w:lang w:eastAsia="zh-CN"/>
        </w:rPr>
        <w:t>已明确识别和评估可能的社会和环境影响</w:t>
      </w:r>
      <w:r w:rsidRPr="00E21FF4">
        <w:rPr>
          <w:rFonts w:eastAsiaTheme="minorEastAsia"/>
          <w:snapToGrid w:val="0"/>
          <w:spacing w:val="-20"/>
          <w:kern w:val="22"/>
          <w:lang w:eastAsia="zh-CN"/>
        </w:rPr>
        <w:t>；</w:t>
      </w:r>
      <w:r w:rsidRPr="00E21FF4">
        <w:rPr>
          <w:rFonts w:eastAsiaTheme="minorEastAsia"/>
          <w:snapToGrid w:val="0"/>
          <w:spacing w:val="-20"/>
          <w:kern w:val="22"/>
          <w:lang w:eastAsia="zh-CN"/>
        </w:rPr>
        <w:t>(</w:t>
      </w:r>
      <w:r w:rsidRPr="00E21FF4">
        <w:rPr>
          <w:rFonts w:eastAsiaTheme="minorEastAsia"/>
          <w:snapToGrid w:val="0"/>
          <w:spacing w:val="-20"/>
          <w:kern w:val="22"/>
          <w:lang w:eastAsia="zh-CN"/>
        </w:rPr>
        <w:t>二</w:t>
      </w:r>
      <w:r w:rsidRPr="00E21FF4">
        <w:rPr>
          <w:rFonts w:eastAsiaTheme="minorEastAsia"/>
          <w:snapToGrid w:val="0"/>
          <w:spacing w:val="-20"/>
          <w:kern w:val="22"/>
          <w:lang w:eastAsia="zh-CN"/>
        </w:rPr>
        <w:t xml:space="preserve">) </w:t>
      </w:r>
      <w:r w:rsidRPr="00E21FF4">
        <w:rPr>
          <w:rFonts w:eastAsiaTheme="minorEastAsia"/>
          <w:snapToGrid w:val="0"/>
          <w:spacing w:val="-20"/>
          <w:kern w:val="22"/>
          <w:lang w:eastAsia="zh-CN"/>
        </w:rPr>
        <w:t>已采取适当措施规避风险。如无法规避，则减少风险；</w:t>
      </w:r>
      <w:r w:rsidRPr="00E21FF4">
        <w:rPr>
          <w:rFonts w:eastAsiaTheme="minorEastAsia"/>
          <w:snapToGrid w:val="0"/>
          <w:spacing w:val="-20"/>
          <w:kern w:val="22"/>
          <w:lang w:eastAsia="zh-CN"/>
        </w:rPr>
        <w:t>(</w:t>
      </w:r>
      <w:r w:rsidRPr="00E21FF4">
        <w:rPr>
          <w:rFonts w:eastAsiaTheme="minorEastAsia"/>
          <w:snapToGrid w:val="0"/>
          <w:spacing w:val="-20"/>
          <w:kern w:val="22"/>
          <w:lang w:eastAsia="zh-CN"/>
        </w:rPr>
        <w:t>三</w:t>
      </w:r>
      <w:r w:rsidRPr="00E21FF4">
        <w:rPr>
          <w:rFonts w:eastAsiaTheme="minorEastAsia"/>
          <w:snapToGrid w:val="0"/>
          <w:spacing w:val="-20"/>
          <w:kern w:val="22"/>
          <w:lang w:eastAsia="zh-CN"/>
        </w:rPr>
        <w:t xml:space="preserve">) </w:t>
      </w:r>
      <w:r w:rsidRPr="00E21FF4">
        <w:rPr>
          <w:rFonts w:eastAsiaTheme="minorEastAsia"/>
          <w:snapToGrid w:val="0"/>
          <w:spacing w:val="-20"/>
          <w:kern w:val="22"/>
          <w:lang w:eastAsia="zh-CN"/>
        </w:rPr>
        <w:t>为规避</w:t>
      </w:r>
      <w:r w:rsidRPr="002A0DEA">
        <w:rPr>
          <w:rFonts w:eastAsiaTheme="minorEastAsia"/>
          <w:snapToGrid w:val="0"/>
          <w:kern w:val="22"/>
          <w:lang w:eastAsia="zh-CN"/>
        </w:rPr>
        <w:t>/</w:t>
      </w:r>
      <w:r w:rsidRPr="002A0DEA">
        <w:rPr>
          <w:rFonts w:eastAsiaTheme="minorEastAsia"/>
          <w:snapToGrid w:val="0"/>
          <w:kern w:val="22"/>
          <w:lang w:eastAsia="zh-CN"/>
        </w:rPr>
        <w:t>减少风险采取的措施本身在整个项目生命周期得到监督和报告。应在环境影响评估中纳入来自相关地理辖区内过去、正在进行的和计划中的项目和方案的建议摘要。</w:t>
      </w:r>
    </w:p>
    <w:tbl>
      <w:tblPr>
        <w:tblStyle w:val="TableGrid"/>
        <w:tblW w:w="0" w:type="auto"/>
        <w:tblLook w:val="04A0"/>
      </w:tblPr>
      <w:tblGrid>
        <w:gridCol w:w="9678"/>
      </w:tblGrid>
      <w:tr w:rsidR="003C53C2" w:rsidTr="003C53C2">
        <w:tc>
          <w:tcPr>
            <w:tcW w:w="9749" w:type="dxa"/>
          </w:tcPr>
          <w:p w:rsidR="003C53C2" w:rsidRPr="00246A48" w:rsidRDefault="003C53C2" w:rsidP="003C53C2">
            <w:pPr>
              <w:jc w:val="center"/>
              <w:rPr>
                <w:rFonts w:eastAsiaTheme="minorEastAsia"/>
                <w:b/>
                <w:bCs/>
                <w:color w:val="4F81BD"/>
                <w:kern w:val="20"/>
                <w:sz w:val="22"/>
                <w:szCs w:val="20"/>
                <w:lang w:eastAsia="zh-CN"/>
              </w:rPr>
            </w:pPr>
            <w:r w:rsidRPr="00246A48">
              <w:rPr>
                <w:rFonts w:eastAsiaTheme="minorEastAsia"/>
                <w:b/>
                <w:bCs/>
                <w:color w:val="4F81BD"/>
                <w:kern w:val="20"/>
                <w:sz w:val="22"/>
                <w:szCs w:val="20"/>
                <w:lang w:eastAsia="zh-CN"/>
              </w:rPr>
              <w:t>方框</w:t>
            </w:r>
            <w:r w:rsidRPr="00246A48">
              <w:rPr>
                <w:rFonts w:eastAsiaTheme="minorEastAsia"/>
                <w:b/>
                <w:bCs/>
                <w:color w:val="4F81BD"/>
                <w:kern w:val="20"/>
                <w:sz w:val="22"/>
                <w:szCs w:val="20"/>
                <w:lang w:eastAsia="zh-CN"/>
              </w:rPr>
              <w:t xml:space="preserve">3. </w:t>
            </w:r>
            <w:r w:rsidRPr="00246A48">
              <w:rPr>
                <w:rFonts w:eastAsiaTheme="minorEastAsia"/>
                <w:b/>
                <w:bCs/>
                <w:color w:val="4F81BD"/>
                <w:kern w:val="20"/>
                <w:sz w:val="22"/>
                <w:szCs w:val="20"/>
                <w:lang w:eastAsia="zh-CN"/>
              </w:rPr>
              <w:t>评估利弊得失和局限性问题</w:t>
            </w:r>
          </w:p>
          <w:p w:rsidR="003C53C2" w:rsidRPr="00246A48" w:rsidRDefault="003C53C2" w:rsidP="0046165D">
            <w:pPr>
              <w:ind w:firstLine="0"/>
              <w:rPr>
                <w:rFonts w:eastAsiaTheme="minorEastAsia"/>
                <w:kern w:val="20"/>
                <w:sz w:val="22"/>
                <w:szCs w:val="20"/>
                <w:lang w:eastAsia="zh-CN"/>
              </w:rPr>
            </w:pPr>
            <w:r w:rsidRPr="00246A48">
              <w:rPr>
                <w:rFonts w:eastAsiaTheme="minorEastAsia"/>
                <w:kern w:val="20"/>
                <w:sz w:val="22"/>
                <w:szCs w:val="20"/>
                <w:lang w:eastAsia="zh-CN"/>
              </w:rPr>
              <w:t>在优先考虑、评价和甄选适应气候变化</w:t>
            </w:r>
            <w:r w:rsidRPr="00246A48">
              <w:rPr>
                <w:rFonts w:eastAsiaTheme="minorEastAsia"/>
                <w:kern w:val="20"/>
                <w:sz w:val="22"/>
                <w:szCs w:val="20"/>
                <w:lang w:eastAsia="zh-CN"/>
              </w:rPr>
              <w:t>/</w:t>
            </w:r>
            <w:r w:rsidRPr="00246A48">
              <w:rPr>
                <w:rFonts w:eastAsiaTheme="minorEastAsia"/>
                <w:kern w:val="20"/>
                <w:sz w:val="22"/>
                <w:szCs w:val="20"/>
                <w:lang w:eastAsia="zh-CN"/>
              </w:rPr>
              <w:t>减少灾害风险备选方案的过程中，需要确定和评估可能的利弊得失。如果一项活动保护一群人是以牺牲另一群人的利益为代价，或者有利于某种特定的生态系统服务而不利于另一种，则可能出现利弊得失的问题。有些利弊的权衡是周密决定的结果；另一些则是在不知晓或无意识的情况下发生。例如，上游适应气候变化行动的实施可能会对下游社区产生影响，并在不同的时间内。生态系统受气候变化的影响，因此，应该设计利用基于生态系统的方法适应气候变化、减少灾害风险和和其他做法，以便在面对当前和预测的气候变化影响时，具有抗风险能力。必须考虑利弊得失和局限性问题，将其纳入适应气候变化和减少灾害风险的总体规划，并与国家政策和战略保持一致。还应该将它们与其他减少风险措施一起实施，包括规避高风险区域，改进建筑规范、预警和撤离程序。跨尺度并考虑多种益处的利弊分析可有助于支持基于生态系统的办法适应气候变化和减少灾害风险备选办法。</w:t>
            </w:r>
          </w:p>
          <w:p w:rsidR="003C53C2" w:rsidRPr="00246A48" w:rsidRDefault="003C53C2" w:rsidP="0046165D">
            <w:pPr>
              <w:ind w:firstLine="0"/>
              <w:rPr>
                <w:rFonts w:eastAsiaTheme="minorEastAsia"/>
                <w:b/>
                <w:bCs/>
                <w:color w:val="4F81BD"/>
                <w:kern w:val="20"/>
                <w:sz w:val="22"/>
                <w:szCs w:val="20"/>
                <w:lang w:eastAsia="zh-CN"/>
              </w:rPr>
            </w:pPr>
            <w:r w:rsidRPr="00246A48">
              <w:rPr>
                <w:rFonts w:eastAsiaTheme="minorEastAsia"/>
                <w:b/>
                <w:bCs/>
                <w:color w:val="4F81BD"/>
                <w:kern w:val="20"/>
                <w:sz w:val="22"/>
                <w:szCs w:val="20"/>
                <w:lang w:eastAsia="zh-CN"/>
              </w:rPr>
              <w:t>关键行动</w:t>
            </w:r>
          </w:p>
          <w:p w:rsidR="003C53C2" w:rsidRPr="00246A48" w:rsidRDefault="003C53C2" w:rsidP="000A1A91">
            <w:pPr>
              <w:numPr>
                <w:ilvl w:val="0"/>
                <w:numId w:val="39"/>
              </w:numPr>
              <w:ind w:left="778" w:hanging="288"/>
              <w:rPr>
                <w:rFonts w:eastAsiaTheme="minorEastAsia"/>
                <w:kern w:val="20"/>
                <w:sz w:val="22"/>
                <w:szCs w:val="20"/>
                <w:lang w:eastAsia="zh-CN"/>
              </w:rPr>
            </w:pPr>
            <w:r w:rsidRPr="00246A48">
              <w:rPr>
                <w:rFonts w:eastAsiaTheme="minorEastAsia"/>
                <w:kern w:val="20"/>
                <w:sz w:val="22"/>
                <w:szCs w:val="20"/>
                <w:lang w:eastAsia="zh-CN"/>
              </w:rPr>
              <w:t>制定不同空间尺度的短期和长期变化指标，以发现在基于生态系统的办法适应气候变化和减少灾害风险方面可能出现的利弊得失和局限性问题（更多细节参见步骤</w:t>
            </w:r>
            <w:r w:rsidRPr="00246A48">
              <w:rPr>
                <w:rFonts w:eastAsiaTheme="minorEastAsia"/>
                <w:kern w:val="20"/>
                <w:sz w:val="22"/>
                <w:szCs w:val="20"/>
                <w:lang w:eastAsia="zh-CN"/>
              </w:rPr>
              <w:t>F</w:t>
            </w:r>
            <w:r w:rsidRPr="00246A48">
              <w:rPr>
                <w:rFonts w:eastAsiaTheme="minorEastAsia"/>
                <w:kern w:val="20"/>
                <w:sz w:val="22"/>
                <w:szCs w:val="20"/>
                <w:lang w:eastAsia="zh-CN"/>
              </w:rPr>
              <w:t>）。</w:t>
            </w:r>
          </w:p>
          <w:p w:rsidR="003C53C2" w:rsidRPr="00246A48" w:rsidRDefault="003C53C2" w:rsidP="000A1A91">
            <w:pPr>
              <w:numPr>
                <w:ilvl w:val="0"/>
                <w:numId w:val="39"/>
              </w:numPr>
              <w:ind w:left="778" w:hanging="288"/>
              <w:rPr>
                <w:rFonts w:eastAsiaTheme="minorEastAsia"/>
                <w:kern w:val="20"/>
                <w:sz w:val="22"/>
                <w:szCs w:val="20"/>
              </w:rPr>
            </w:pPr>
            <w:r w:rsidRPr="00246A48">
              <w:rPr>
                <w:rFonts w:eastAsiaTheme="minorEastAsia"/>
                <w:spacing w:val="-8"/>
                <w:kern w:val="20"/>
                <w:sz w:val="22"/>
                <w:szCs w:val="20"/>
                <w:lang w:eastAsia="zh-CN"/>
              </w:rPr>
              <w:t>利用地理空间数据和模型（例如</w:t>
            </w:r>
            <w:r w:rsidRPr="00246A48">
              <w:rPr>
                <w:rFonts w:eastAsiaTheme="minorEastAsia"/>
                <w:spacing w:val="-8"/>
                <w:kern w:val="20"/>
                <w:sz w:val="22"/>
                <w:szCs w:val="20"/>
                <w:lang w:eastAsia="zh-CN"/>
              </w:rPr>
              <w:t>InVEST</w:t>
            </w:r>
            <w:r w:rsidRPr="00246A48">
              <w:rPr>
                <w:rFonts w:eastAsiaTheme="minorEastAsia"/>
                <w:spacing w:val="-8"/>
                <w:kern w:val="20"/>
                <w:sz w:val="22"/>
                <w:szCs w:val="20"/>
                <w:lang w:eastAsia="zh-CN"/>
              </w:rPr>
              <w:t>（</w:t>
            </w:r>
            <w:hyperlink r:id="rId39" w:history="1">
              <w:r w:rsidRPr="00246A48">
                <w:rPr>
                  <w:rStyle w:val="Hyperlink"/>
                  <w:rFonts w:eastAsiaTheme="minorEastAsia"/>
                  <w:spacing w:val="-8"/>
                  <w:kern w:val="20"/>
                  <w:sz w:val="22"/>
                  <w:lang w:eastAsia="zh-CN"/>
                </w:rPr>
                <w:t>https://www.naturalcapitalproject.org/invest</w:t>
              </w:r>
            </w:hyperlink>
            <w:r w:rsidRPr="00246A48">
              <w:rPr>
                <w:rFonts w:eastAsiaTheme="minorEastAsia"/>
                <w:spacing w:val="-8"/>
                <w:kern w:val="20"/>
                <w:sz w:val="22"/>
                <w:szCs w:val="20"/>
                <w:lang w:eastAsia="zh-CN"/>
              </w:rPr>
              <w:t>）中提供的数据和模型），来了解适应气候变化和减少灾害风险干预措施导致的生态系统结构和功能变化如何影响陆地上或海景的生态系统功能和服务。</w:t>
            </w:r>
          </w:p>
          <w:p w:rsidR="003C53C2" w:rsidRPr="00246A48" w:rsidRDefault="003C53C2" w:rsidP="000A1A91">
            <w:pPr>
              <w:numPr>
                <w:ilvl w:val="0"/>
                <w:numId w:val="39"/>
              </w:numPr>
              <w:ind w:left="778" w:hanging="288"/>
              <w:rPr>
                <w:rFonts w:eastAsiaTheme="minorEastAsia"/>
                <w:kern w:val="20"/>
                <w:sz w:val="22"/>
                <w:szCs w:val="20"/>
                <w:lang w:eastAsia="zh-CN"/>
              </w:rPr>
            </w:pPr>
            <w:r w:rsidRPr="00246A48">
              <w:rPr>
                <w:rFonts w:eastAsiaTheme="minorEastAsia"/>
                <w:kern w:val="20"/>
                <w:sz w:val="22"/>
                <w:szCs w:val="20"/>
                <w:lang w:eastAsia="zh-CN"/>
              </w:rPr>
              <w:t>认识到在不同情况下需要不同的组合，审议从</w:t>
            </w:r>
            <w:r w:rsidRPr="00246A48">
              <w:rPr>
                <w:rFonts w:eastAsiaTheme="minorEastAsia"/>
                <w:kern w:val="20"/>
                <w:sz w:val="22"/>
                <w:szCs w:val="20"/>
                <w:lang w:eastAsia="zh-CN"/>
              </w:rPr>
              <w:t>“</w:t>
            </w:r>
            <w:r w:rsidRPr="00246A48">
              <w:rPr>
                <w:rFonts w:eastAsiaTheme="minorEastAsia"/>
                <w:kern w:val="20"/>
                <w:sz w:val="22"/>
                <w:szCs w:val="20"/>
                <w:lang w:eastAsia="zh-CN"/>
              </w:rPr>
              <w:t>绿色</w:t>
            </w:r>
            <w:r w:rsidRPr="00246A48">
              <w:rPr>
                <w:rFonts w:eastAsiaTheme="minorEastAsia"/>
                <w:kern w:val="20"/>
                <w:sz w:val="22"/>
                <w:szCs w:val="20"/>
                <w:lang w:eastAsia="zh-CN"/>
              </w:rPr>
              <w:t>”</w:t>
            </w:r>
            <w:r w:rsidRPr="00246A48">
              <w:rPr>
                <w:rFonts w:eastAsiaTheme="minorEastAsia"/>
                <w:kern w:val="20"/>
                <w:sz w:val="22"/>
                <w:szCs w:val="20"/>
                <w:lang w:eastAsia="zh-CN"/>
              </w:rPr>
              <w:t>到</w:t>
            </w:r>
            <w:r w:rsidRPr="00246A48">
              <w:rPr>
                <w:rFonts w:eastAsiaTheme="minorEastAsia"/>
                <w:kern w:val="20"/>
                <w:sz w:val="22"/>
                <w:szCs w:val="20"/>
                <w:lang w:eastAsia="zh-CN"/>
              </w:rPr>
              <w:t>“</w:t>
            </w:r>
            <w:r w:rsidRPr="00246A48">
              <w:rPr>
                <w:rFonts w:eastAsiaTheme="minorEastAsia"/>
                <w:kern w:val="20"/>
                <w:sz w:val="22"/>
                <w:szCs w:val="20"/>
                <w:lang w:eastAsia="zh-CN"/>
              </w:rPr>
              <w:t>混合</w:t>
            </w:r>
            <w:r w:rsidRPr="00246A48">
              <w:rPr>
                <w:rFonts w:eastAsiaTheme="minorEastAsia"/>
                <w:kern w:val="20"/>
                <w:sz w:val="22"/>
                <w:szCs w:val="20"/>
                <w:lang w:eastAsia="zh-CN"/>
              </w:rPr>
              <w:t>”</w:t>
            </w:r>
            <w:r w:rsidRPr="00246A48">
              <w:rPr>
                <w:rFonts w:eastAsiaTheme="minorEastAsia"/>
                <w:kern w:val="20"/>
                <w:sz w:val="22"/>
                <w:szCs w:val="20"/>
                <w:lang w:eastAsia="zh-CN"/>
              </w:rPr>
              <w:t>到</w:t>
            </w:r>
            <w:r w:rsidRPr="00246A48">
              <w:rPr>
                <w:rFonts w:eastAsiaTheme="minorEastAsia"/>
                <w:kern w:val="20"/>
                <w:sz w:val="22"/>
                <w:szCs w:val="20"/>
                <w:lang w:eastAsia="zh-CN"/>
              </w:rPr>
              <w:t>“</w:t>
            </w:r>
            <w:r w:rsidRPr="00246A48">
              <w:rPr>
                <w:rFonts w:eastAsiaTheme="minorEastAsia"/>
                <w:kern w:val="20"/>
                <w:sz w:val="22"/>
                <w:szCs w:val="20"/>
                <w:lang w:eastAsia="zh-CN"/>
              </w:rPr>
              <w:t>硬性</w:t>
            </w:r>
            <w:r w:rsidRPr="00246A48">
              <w:rPr>
                <w:rFonts w:eastAsiaTheme="minorEastAsia"/>
                <w:kern w:val="20"/>
                <w:sz w:val="22"/>
                <w:szCs w:val="20"/>
                <w:lang w:eastAsia="zh-CN"/>
              </w:rPr>
              <w:t>”</w:t>
            </w:r>
            <w:r w:rsidRPr="00246A48">
              <w:rPr>
                <w:rFonts w:eastAsiaTheme="minorEastAsia"/>
                <w:kern w:val="20"/>
                <w:sz w:val="22"/>
                <w:szCs w:val="20"/>
                <w:lang w:eastAsia="zh-CN"/>
              </w:rPr>
              <w:t>及其兼容性的全套基础设施备选方案。</w:t>
            </w:r>
          </w:p>
          <w:p w:rsidR="003C53C2" w:rsidRPr="00246A48" w:rsidRDefault="003C53C2" w:rsidP="000A1A91">
            <w:pPr>
              <w:numPr>
                <w:ilvl w:val="0"/>
                <w:numId w:val="39"/>
              </w:numPr>
              <w:ind w:left="778" w:hanging="288"/>
              <w:rPr>
                <w:rFonts w:eastAsiaTheme="minorEastAsia"/>
                <w:kern w:val="20"/>
                <w:sz w:val="22"/>
                <w:szCs w:val="20"/>
                <w:lang w:eastAsia="zh-CN"/>
              </w:rPr>
            </w:pPr>
            <w:r w:rsidRPr="00246A48">
              <w:rPr>
                <w:rFonts w:eastAsiaTheme="minorEastAsia"/>
                <w:kern w:val="20"/>
                <w:sz w:val="22"/>
                <w:szCs w:val="20"/>
                <w:lang w:eastAsia="zh-CN"/>
              </w:rPr>
              <w:t>确保基于生态系统的办法适应气候变化和减少灾害风险获得已有的最佳科学、土著和传统</w:t>
            </w:r>
            <w:r w:rsidRPr="00246A48">
              <w:rPr>
                <w:rFonts w:eastAsiaTheme="minorEastAsia"/>
                <w:kern w:val="20"/>
                <w:sz w:val="22"/>
                <w:szCs w:val="20"/>
                <w:lang w:eastAsia="zh-CN"/>
              </w:rPr>
              <w:lastRenderedPageBreak/>
              <w:t>知识信息，以充分考虑到多重惠益和可能的利弊得失和局限性问题。</w:t>
            </w:r>
          </w:p>
          <w:p w:rsidR="003C53C2" w:rsidRPr="00246A48" w:rsidRDefault="003C53C2" w:rsidP="000A1A91">
            <w:pPr>
              <w:numPr>
                <w:ilvl w:val="0"/>
                <w:numId w:val="39"/>
              </w:numPr>
              <w:ind w:left="778" w:hanging="288"/>
              <w:rPr>
                <w:rFonts w:eastAsiaTheme="minorEastAsia"/>
                <w:kern w:val="20"/>
                <w:sz w:val="22"/>
                <w:szCs w:val="20"/>
                <w:lang w:eastAsia="zh-CN"/>
              </w:rPr>
            </w:pPr>
            <w:r w:rsidRPr="00246A48">
              <w:rPr>
                <w:rFonts w:eastAsiaTheme="minorEastAsia"/>
                <w:kern w:val="20"/>
                <w:sz w:val="22"/>
                <w:szCs w:val="20"/>
                <w:lang w:eastAsia="zh-CN"/>
              </w:rPr>
              <w:t>认识到基于生态系统方法的潜在局限性，确保将基于生态系统的办法适应气候变化和减少灾害风险纳入适应气候变化或减少灾害风险的整体战略中。</w:t>
            </w:r>
          </w:p>
          <w:p w:rsidR="003C53C2" w:rsidRDefault="003C53C2" w:rsidP="000A1A91">
            <w:pPr>
              <w:numPr>
                <w:ilvl w:val="0"/>
                <w:numId w:val="39"/>
              </w:numPr>
              <w:ind w:left="778" w:hanging="288"/>
              <w:rPr>
                <w:rFonts w:eastAsiaTheme="minorEastAsia"/>
                <w:b/>
                <w:snapToGrid w:val="0"/>
                <w:kern w:val="22"/>
                <w:lang w:eastAsia="zh-CN"/>
              </w:rPr>
            </w:pPr>
            <w:r w:rsidRPr="003C53C2">
              <w:rPr>
                <w:rFonts w:eastAsiaTheme="minorEastAsia"/>
                <w:kern w:val="20"/>
                <w:sz w:val="22"/>
                <w:szCs w:val="20"/>
                <w:lang w:eastAsia="zh-CN"/>
              </w:rPr>
              <w:t>在规划和实施的各个阶段考虑并最大限度地减少基于生态系统的办法适应气候变化和减少灾害风险的利弊得失问题或意想不到的后果，包括考虑到气候预测和不同情景设想的不确定性</w:t>
            </w:r>
            <w:r>
              <w:rPr>
                <w:rFonts w:eastAsiaTheme="minorEastAsia" w:hint="eastAsia"/>
                <w:kern w:val="20"/>
                <w:sz w:val="22"/>
                <w:szCs w:val="20"/>
                <w:lang w:eastAsia="zh-CN"/>
              </w:rPr>
              <w:t>。</w:t>
            </w:r>
          </w:p>
        </w:tc>
      </w:tr>
    </w:tbl>
    <w:p w:rsidR="00375FE8" w:rsidRPr="002A0DEA" w:rsidRDefault="00375FE8" w:rsidP="0046165D">
      <w:pPr>
        <w:spacing w:before="240"/>
        <w:ind w:firstLine="0"/>
        <w:rPr>
          <w:rFonts w:eastAsiaTheme="minorEastAsia"/>
          <w:b/>
          <w:snapToGrid w:val="0"/>
          <w:kern w:val="22"/>
          <w:lang w:eastAsia="zh-CN"/>
        </w:rPr>
      </w:pPr>
      <w:r w:rsidRPr="002A0DEA">
        <w:rPr>
          <w:rFonts w:eastAsiaTheme="minorEastAsia"/>
          <w:b/>
          <w:snapToGrid w:val="0"/>
          <w:kern w:val="22"/>
          <w:lang w:eastAsia="zh-CN"/>
        </w:rPr>
        <w:lastRenderedPageBreak/>
        <w:t>步骤</w:t>
      </w:r>
      <w:r w:rsidRPr="002A0DEA">
        <w:rPr>
          <w:rFonts w:eastAsiaTheme="minorEastAsia"/>
          <w:b/>
          <w:snapToGrid w:val="0"/>
          <w:kern w:val="22"/>
          <w:lang w:eastAsia="zh-CN"/>
        </w:rPr>
        <w:t xml:space="preserve">. </w:t>
      </w:r>
      <w:r w:rsidRPr="002A0DEA">
        <w:rPr>
          <w:rFonts w:eastAsiaTheme="minorEastAsia"/>
          <w:b/>
          <w:snapToGrid w:val="0"/>
          <w:kern w:val="22"/>
          <w:lang w:eastAsia="zh-CN"/>
        </w:rPr>
        <w:t>项目设计和实施</w:t>
      </w:r>
    </w:p>
    <w:p w:rsidR="00375FE8" w:rsidRPr="002A0DEA" w:rsidRDefault="00375FE8" w:rsidP="0046165D">
      <w:pPr>
        <w:widowControl w:val="0"/>
        <w:suppressLineNumbers/>
        <w:suppressAutoHyphens/>
        <w:kinsoku w:val="0"/>
        <w:overflowPunct w:val="0"/>
        <w:autoSpaceDE w:val="0"/>
        <w:autoSpaceDN w:val="0"/>
        <w:adjustRightInd w:val="0"/>
        <w:spacing w:before="240"/>
        <w:ind w:firstLine="0"/>
        <w:rPr>
          <w:rFonts w:eastAsiaTheme="minorEastAsia"/>
          <w:b/>
          <w:snapToGrid w:val="0"/>
          <w:kern w:val="22"/>
          <w:lang w:eastAsia="zh-CN"/>
        </w:rPr>
      </w:pPr>
      <w:r w:rsidRPr="002A0DEA">
        <w:rPr>
          <w:rFonts w:eastAsiaTheme="minorEastAsia"/>
          <w:b/>
          <w:snapToGrid w:val="0"/>
          <w:kern w:val="22"/>
          <w:lang w:eastAsia="zh-CN"/>
        </w:rPr>
        <w:t>目的</w:t>
      </w:r>
    </w:p>
    <w:p w:rsidR="00375FE8" w:rsidRPr="002A0DEA" w:rsidRDefault="00375FE8" w:rsidP="000A1A91">
      <w:pPr>
        <w:pStyle w:val="ListParagraph"/>
        <w:widowControl w:val="0"/>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color w:val="242021"/>
          <w:kern w:val="22"/>
          <w:lang w:eastAsia="zh-CN"/>
        </w:rPr>
      </w:pPr>
      <w:r w:rsidRPr="002A0DEA">
        <w:rPr>
          <w:rFonts w:eastAsiaTheme="minorEastAsia"/>
          <w:snapToGrid w:val="0"/>
          <w:color w:val="242021"/>
          <w:kern w:val="22"/>
          <w:lang w:eastAsia="zh-CN"/>
        </w:rPr>
        <w:t>在这一步骤中，步骤</w:t>
      </w:r>
      <w:r w:rsidRPr="002A0DEA">
        <w:rPr>
          <w:rFonts w:eastAsiaTheme="minorEastAsia"/>
          <w:snapToGrid w:val="0"/>
          <w:color w:val="242021"/>
          <w:kern w:val="22"/>
          <w:lang w:eastAsia="zh-CN"/>
        </w:rPr>
        <w:t>D</w:t>
      </w:r>
      <w:r w:rsidRPr="002A0DEA">
        <w:rPr>
          <w:rFonts w:eastAsiaTheme="minorEastAsia"/>
          <w:snapToGrid w:val="0"/>
          <w:color w:val="242021"/>
          <w:kern w:val="22"/>
          <w:lang w:eastAsia="zh-CN"/>
        </w:rPr>
        <w:t>选定的干预措施是根据各项原则和保障措施设计和实施的。在整个设计和实施过程中，必须不断重新审视这些原则和保障措施，确保利益攸关方的持续参与、能力建设、主流化和监督。</w:t>
      </w:r>
    </w:p>
    <w:p w:rsidR="00375FE8" w:rsidRPr="002A0DEA"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color w:val="242021"/>
          <w:kern w:val="22"/>
          <w:lang w:eastAsia="zh-CN"/>
        </w:rPr>
      </w:pPr>
      <w:r w:rsidRPr="002A0DEA">
        <w:rPr>
          <w:rFonts w:eastAsiaTheme="minorEastAsia"/>
          <w:snapToGrid w:val="0"/>
          <w:color w:val="242021"/>
          <w:kern w:val="22"/>
          <w:lang w:eastAsia="zh-CN"/>
        </w:rPr>
        <w:t>鉴于跨界和跨部门合作、协调和政策具有额外的重要意义，提供了更详细的行动（</w:t>
      </w:r>
      <w:r w:rsidRPr="0046165D">
        <w:rPr>
          <w:rFonts w:eastAsiaTheme="minorEastAsia"/>
          <w:snapToGrid w:val="0"/>
          <w:color w:val="242021"/>
          <w:spacing w:val="-20"/>
          <w:kern w:val="22"/>
          <w:lang w:eastAsia="zh-CN"/>
        </w:rPr>
        <w:t>见方框</w:t>
      </w:r>
      <w:r w:rsidRPr="0046165D">
        <w:rPr>
          <w:rFonts w:eastAsiaTheme="minorEastAsia"/>
          <w:snapToGrid w:val="0"/>
          <w:color w:val="242021"/>
          <w:spacing w:val="-20"/>
          <w:kern w:val="22"/>
          <w:lang w:eastAsia="zh-CN"/>
        </w:rPr>
        <w:t>4</w:t>
      </w:r>
      <w:r w:rsidRPr="0046165D">
        <w:rPr>
          <w:rFonts w:eastAsiaTheme="minorEastAsia"/>
          <w:snapToGrid w:val="0"/>
          <w:color w:val="242021"/>
          <w:spacing w:val="-20"/>
          <w:kern w:val="22"/>
          <w:lang w:eastAsia="zh-CN"/>
        </w:rPr>
        <w:t>）。作为补充信息，步骤</w:t>
      </w:r>
      <w:r w:rsidRPr="0046165D">
        <w:rPr>
          <w:rFonts w:eastAsiaTheme="minorEastAsia"/>
          <w:snapToGrid w:val="0"/>
          <w:color w:val="242021"/>
          <w:spacing w:val="-20"/>
          <w:kern w:val="22"/>
          <w:lang w:eastAsia="zh-CN"/>
        </w:rPr>
        <w:t>E</w:t>
      </w:r>
      <w:r w:rsidRPr="0046165D">
        <w:rPr>
          <w:rFonts w:asciiTheme="minorEastAsia" w:eastAsiaTheme="minorEastAsia" w:hAnsiTheme="minorEastAsia"/>
          <w:snapToGrid w:val="0"/>
          <w:color w:val="242021"/>
          <w:spacing w:val="-20"/>
          <w:kern w:val="22"/>
          <w:lang w:eastAsia="zh-CN"/>
        </w:rPr>
        <w:t>“工具箱：项目设计和实施”</w:t>
      </w:r>
      <w:r w:rsidRPr="0046165D">
        <w:rPr>
          <w:rFonts w:eastAsiaTheme="minorEastAsia"/>
          <w:snapToGrid w:val="0"/>
          <w:color w:val="242021"/>
          <w:spacing w:val="-20"/>
          <w:kern w:val="22"/>
          <w:lang w:eastAsia="zh-CN"/>
        </w:rPr>
        <w:t>中提供了各种相关的工具。</w:t>
      </w:r>
      <w:r w:rsidRPr="0046165D">
        <w:rPr>
          <w:rFonts w:eastAsiaTheme="minorEastAsia"/>
          <w:color w:val="242021"/>
          <w:spacing w:val="-20"/>
          <w:vertAlign w:val="superscript"/>
        </w:rPr>
        <w:footnoteReference w:id="80"/>
      </w:r>
    </w:p>
    <w:p w:rsidR="00375FE8" w:rsidRPr="002A0DEA" w:rsidRDefault="00375FE8" w:rsidP="0046165D">
      <w:pPr>
        <w:keepNext/>
        <w:suppressLineNumbers/>
        <w:suppressAutoHyphens/>
        <w:kinsoku w:val="0"/>
        <w:overflowPunct w:val="0"/>
        <w:autoSpaceDE w:val="0"/>
        <w:autoSpaceDN w:val="0"/>
        <w:adjustRightInd w:val="0"/>
        <w:ind w:firstLine="0"/>
        <w:rPr>
          <w:rFonts w:eastAsiaTheme="minorEastAsia"/>
          <w:b/>
          <w:snapToGrid w:val="0"/>
          <w:kern w:val="22"/>
          <w:lang w:eastAsia="zh-CN"/>
        </w:rPr>
      </w:pPr>
      <w:r w:rsidRPr="002A0DEA">
        <w:rPr>
          <w:rFonts w:eastAsiaTheme="minorEastAsia"/>
          <w:b/>
          <w:snapToGrid w:val="0"/>
          <w:kern w:val="22"/>
          <w:lang w:eastAsia="zh-CN"/>
        </w:rPr>
        <w:t>成果</w:t>
      </w:r>
    </w:p>
    <w:p w:rsidR="00375FE8" w:rsidRPr="002A0DEA" w:rsidRDefault="00375FE8" w:rsidP="002A0DEA">
      <w:pPr>
        <w:suppressLineNumbers/>
        <w:suppressAutoHyphens/>
        <w:kinsoku w:val="0"/>
        <w:overflowPunct w:val="0"/>
        <w:autoSpaceDE w:val="0"/>
        <w:autoSpaceDN w:val="0"/>
        <w:adjustRightInd w:val="0"/>
        <w:rPr>
          <w:rFonts w:eastAsiaTheme="minorEastAsia"/>
          <w:snapToGrid w:val="0"/>
          <w:kern w:val="22"/>
          <w:lang w:eastAsia="zh-CN"/>
        </w:rPr>
      </w:pPr>
      <w:r w:rsidRPr="002A0DEA">
        <w:rPr>
          <w:rFonts w:eastAsiaTheme="minorEastAsia"/>
          <w:snapToGrid w:val="0"/>
          <w:kern w:val="22"/>
          <w:lang w:eastAsia="zh-CN"/>
        </w:rPr>
        <w:t>项目设计和实施计划（包括筹资战略、能力发展战略、为机构和技术支持措施采取的明确行动）</w:t>
      </w:r>
    </w:p>
    <w:p w:rsidR="00375FE8" w:rsidRPr="002A0DEA" w:rsidRDefault="00375FE8" w:rsidP="0046165D">
      <w:pPr>
        <w:keepNext/>
        <w:suppressLineNumbers/>
        <w:suppressAutoHyphens/>
        <w:kinsoku w:val="0"/>
        <w:overflowPunct w:val="0"/>
        <w:autoSpaceDE w:val="0"/>
        <w:autoSpaceDN w:val="0"/>
        <w:adjustRightInd w:val="0"/>
        <w:ind w:firstLine="0"/>
        <w:rPr>
          <w:rFonts w:eastAsiaTheme="minorEastAsia"/>
          <w:b/>
          <w:snapToGrid w:val="0"/>
          <w:kern w:val="22"/>
        </w:rPr>
      </w:pPr>
      <w:r w:rsidRPr="002A0DEA">
        <w:rPr>
          <w:rFonts w:eastAsiaTheme="minorEastAsia"/>
          <w:b/>
          <w:snapToGrid w:val="0"/>
          <w:kern w:val="22"/>
          <w:lang w:eastAsia="zh-CN"/>
        </w:rPr>
        <w:t>关键行动</w:t>
      </w:r>
    </w:p>
    <w:p w:rsidR="00375FE8" w:rsidRPr="002A0DEA" w:rsidRDefault="00375FE8" w:rsidP="000A1A91">
      <w:pPr>
        <w:numPr>
          <w:ilvl w:val="0"/>
          <w:numId w:val="49"/>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在整个设计和实施过程中审议基于生态系统的适应气候变化和减少灾害风险的各项要素、原则和保障措施（见步骤</w:t>
      </w:r>
      <w:r w:rsidRPr="002A0DEA">
        <w:rPr>
          <w:rFonts w:eastAsiaTheme="minorEastAsia"/>
          <w:snapToGrid w:val="0"/>
          <w:kern w:val="22"/>
          <w:lang w:eastAsia="zh-CN"/>
        </w:rPr>
        <w:t>B</w:t>
      </w:r>
      <w:r w:rsidRPr="002A0DEA">
        <w:rPr>
          <w:rFonts w:eastAsiaTheme="minorEastAsia"/>
          <w:snapToGrid w:val="0"/>
          <w:kern w:val="22"/>
          <w:lang w:eastAsia="zh-CN"/>
        </w:rPr>
        <w:t>）；</w:t>
      </w:r>
    </w:p>
    <w:p w:rsidR="00375FE8" w:rsidRPr="002A0DEA" w:rsidRDefault="00375FE8" w:rsidP="000A1A91">
      <w:pPr>
        <w:numPr>
          <w:ilvl w:val="0"/>
          <w:numId w:val="49"/>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审议基于生态系统的适应气候变化的合格准则和标准；</w:t>
      </w:r>
    </w:p>
    <w:p w:rsidR="00375FE8" w:rsidRPr="002A0DEA" w:rsidRDefault="00375FE8" w:rsidP="000A1A91">
      <w:pPr>
        <w:numPr>
          <w:ilvl w:val="0"/>
          <w:numId w:val="49"/>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制定适当规模的干预措施，以实现步骤</w:t>
      </w:r>
      <w:r w:rsidRPr="002A0DEA">
        <w:rPr>
          <w:rFonts w:eastAsiaTheme="minorEastAsia"/>
          <w:snapToGrid w:val="0"/>
          <w:kern w:val="22"/>
          <w:lang w:eastAsia="zh-CN"/>
        </w:rPr>
        <w:t>A</w:t>
      </w:r>
      <w:r w:rsidRPr="002A0DEA">
        <w:rPr>
          <w:rFonts w:eastAsiaTheme="minorEastAsia"/>
          <w:snapToGrid w:val="0"/>
          <w:kern w:val="22"/>
          <w:lang w:eastAsia="zh-CN"/>
        </w:rPr>
        <w:t>中提出的各项目标；</w:t>
      </w:r>
    </w:p>
    <w:p w:rsidR="00375FE8" w:rsidRPr="002A0DEA" w:rsidRDefault="00375FE8" w:rsidP="000A1A91">
      <w:pPr>
        <w:numPr>
          <w:ilvl w:val="0"/>
          <w:numId w:val="49"/>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与有关专家接触，并加强科学界和项目执行人之间的联系，确保为适应气候变化和减少灾害风险优化和适当利用生态系统；</w:t>
      </w:r>
    </w:p>
    <w:p w:rsidR="00375FE8" w:rsidRPr="002A0DEA" w:rsidRDefault="00375FE8" w:rsidP="000A1A91">
      <w:pPr>
        <w:numPr>
          <w:ilvl w:val="0"/>
          <w:numId w:val="49"/>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挑选适当工具，必要时对新方法的制订作出规划；</w:t>
      </w:r>
    </w:p>
    <w:p w:rsidR="00375FE8" w:rsidRPr="002A0DEA" w:rsidRDefault="00375FE8" w:rsidP="000A1A91">
      <w:pPr>
        <w:numPr>
          <w:ilvl w:val="0"/>
          <w:numId w:val="49"/>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确定技术和资金需求，拟定相应的预算；</w:t>
      </w:r>
    </w:p>
    <w:p w:rsidR="00375FE8" w:rsidRPr="002A0DEA" w:rsidRDefault="00375FE8" w:rsidP="000A1A91">
      <w:pPr>
        <w:numPr>
          <w:ilvl w:val="0"/>
          <w:numId w:val="49"/>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lastRenderedPageBreak/>
        <w:t>制定工作计划，包括活动时间表、需要实现的里程碑、必要的多利益攸关方协商、以及任务和职责的分配；</w:t>
      </w:r>
    </w:p>
    <w:p w:rsidR="00375FE8" w:rsidRPr="002A0DEA" w:rsidRDefault="00375FE8" w:rsidP="000A1A91">
      <w:pPr>
        <w:numPr>
          <w:ilvl w:val="0"/>
          <w:numId w:val="49"/>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2A0DEA">
        <w:rPr>
          <w:rFonts w:eastAsiaTheme="minorEastAsia"/>
          <w:snapToGrid w:val="0"/>
          <w:kern w:val="22"/>
          <w:lang w:eastAsia="zh-CN"/>
        </w:rPr>
        <w:t>制定战略以减少已查明的风险和利弊得失和加强协同作用（见步骤</w:t>
      </w:r>
      <w:r w:rsidRPr="002A0DEA">
        <w:rPr>
          <w:rFonts w:eastAsiaTheme="minorEastAsia"/>
          <w:snapToGrid w:val="0"/>
          <w:kern w:val="22"/>
          <w:lang w:eastAsia="zh-CN"/>
        </w:rPr>
        <w:t>D</w:t>
      </w:r>
      <w:r w:rsidRPr="002A0DEA">
        <w:rPr>
          <w:rFonts w:eastAsiaTheme="minorEastAsia"/>
          <w:snapToGrid w:val="0"/>
          <w:kern w:val="22"/>
          <w:lang w:eastAsia="zh-CN"/>
        </w:rPr>
        <w:t>）；</w:t>
      </w:r>
    </w:p>
    <w:p w:rsidR="00375FE8" w:rsidRPr="0046165D" w:rsidRDefault="00375FE8" w:rsidP="000A1A91">
      <w:pPr>
        <w:numPr>
          <w:ilvl w:val="0"/>
          <w:numId w:val="49"/>
        </w:numPr>
        <w:suppressLineNumbers/>
        <w:tabs>
          <w:tab w:val="left" w:pos="1440"/>
        </w:tabs>
        <w:suppressAutoHyphens/>
        <w:kinsoku w:val="0"/>
        <w:overflowPunct w:val="0"/>
        <w:autoSpaceDE w:val="0"/>
        <w:autoSpaceDN w:val="0"/>
        <w:adjustRightInd w:val="0"/>
        <w:ind w:left="0" w:firstLine="720"/>
        <w:rPr>
          <w:rFonts w:eastAsiaTheme="minorEastAsia"/>
          <w:snapToGrid w:val="0"/>
          <w:spacing w:val="-20"/>
          <w:kern w:val="22"/>
          <w:lang w:eastAsia="zh-CN"/>
        </w:rPr>
      </w:pPr>
      <w:r w:rsidRPr="0046165D">
        <w:rPr>
          <w:rFonts w:eastAsiaTheme="minorEastAsia"/>
          <w:snapToGrid w:val="0"/>
          <w:spacing w:val="-20"/>
          <w:kern w:val="22"/>
          <w:lang w:eastAsia="zh-CN"/>
        </w:rPr>
        <w:t>在项目与国家、国家以下级别和</w:t>
      </w:r>
      <w:r w:rsidRPr="0046165D">
        <w:rPr>
          <w:rFonts w:eastAsiaTheme="minorEastAsia"/>
          <w:snapToGrid w:val="0"/>
          <w:spacing w:val="-20"/>
          <w:kern w:val="22"/>
          <w:lang w:eastAsia="zh-CN"/>
        </w:rPr>
        <w:t>/</w:t>
      </w:r>
      <w:r w:rsidRPr="0046165D">
        <w:rPr>
          <w:rFonts w:eastAsiaTheme="minorEastAsia"/>
          <w:snapToGrid w:val="0"/>
          <w:spacing w:val="-20"/>
          <w:kern w:val="22"/>
          <w:lang w:eastAsia="zh-CN"/>
        </w:rPr>
        <w:t>或地方发展计划、战略和政策之间建立联系；</w:t>
      </w:r>
    </w:p>
    <w:p w:rsidR="00375FE8" w:rsidRPr="00A62C57" w:rsidRDefault="00FE18AA" w:rsidP="00A62C57">
      <w:pPr>
        <w:numPr>
          <w:ilvl w:val="0"/>
          <w:numId w:val="49"/>
        </w:numPr>
        <w:suppressLineNumbers/>
        <w:tabs>
          <w:tab w:val="left" w:pos="1440"/>
        </w:tabs>
        <w:suppressAutoHyphens/>
        <w:kinsoku w:val="0"/>
        <w:overflowPunct w:val="0"/>
        <w:autoSpaceDE w:val="0"/>
        <w:autoSpaceDN w:val="0"/>
        <w:adjustRightInd w:val="0"/>
        <w:ind w:left="0" w:firstLine="720"/>
        <w:rPr>
          <w:rFonts w:ascii="SimSun" w:hAnsi="SimSun" w:cs="SimSun"/>
          <w:b/>
          <w:snapToGrid w:val="0"/>
          <w:kern w:val="22"/>
          <w:lang w:eastAsia="zh-CN"/>
        </w:rPr>
      </w:pPr>
      <w:r w:rsidRPr="00FE18AA">
        <w:rPr>
          <w:rFonts w:eastAsiaTheme="minorEastAsia"/>
          <w:noProof/>
          <w:lang w:eastAsia="zh-CN"/>
        </w:rPr>
        <w:pict>
          <v:shape id="Text Box 19" o:spid="_x0000_s1032" type="#_x0000_t202" style="position:absolute;left:0;text-align:left;margin-left:.55pt;margin-top:32.15pt;width:488.25pt;height:441.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CcKQIAAE4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">
            <v:textbox>
              <w:txbxContent>
                <w:p w:rsidR="00594C0B" w:rsidRDefault="00594C0B" w:rsidP="00375FE8">
                  <w:pPr>
                    <w:jc w:val="center"/>
                    <w:rPr>
                      <w:rFonts w:eastAsiaTheme="minorEastAsia"/>
                      <w:b/>
                      <w:bCs/>
                      <w:color w:val="4F81BD"/>
                      <w:sz w:val="22"/>
                      <w:lang w:eastAsia="zh-CN"/>
                    </w:rPr>
                  </w:pPr>
                  <w:r w:rsidRPr="00375FE8">
                    <w:rPr>
                      <w:rFonts w:eastAsiaTheme="minorEastAsia"/>
                      <w:b/>
                      <w:bCs/>
                      <w:color w:val="4F81BD"/>
                      <w:sz w:val="22"/>
                      <w:lang w:eastAsia="zh-CN"/>
                    </w:rPr>
                    <w:t>方框</w:t>
                  </w:r>
                  <w:r w:rsidRPr="00375FE8">
                    <w:rPr>
                      <w:rFonts w:eastAsiaTheme="minorEastAsia"/>
                      <w:b/>
                      <w:bCs/>
                      <w:color w:val="4F81BD"/>
                      <w:sz w:val="22"/>
                      <w:lang w:eastAsia="zh-CN"/>
                    </w:rPr>
                    <w:t xml:space="preserve"> 4. </w:t>
                  </w:r>
                  <w:r>
                    <w:rPr>
                      <w:rFonts w:eastAsiaTheme="minorEastAsia"/>
                      <w:b/>
                      <w:bCs/>
                      <w:color w:val="4F81BD"/>
                      <w:sz w:val="22"/>
                      <w:lang w:eastAsia="zh-CN"/>
                    </w:rPr>
                    <w:t xml:space="preserve">  </w:t>
                  </w:r>
                  <w:r w:rsidRPr="00375FE8">
                    <w:rPr>
                      <w:rFonts w:eastAsiaTheme="minorEastAsia"/>
                      <w:b/>
                      <w:bCs/>
                      <w:color w:val="4F81BD"/>
                      <w:sz w:val="22"/>
                      <w:lang w:eastAsia="zh-CN"/>
                    </w:rPr>
                    <w:t>跨界和跨部门合作、协调和政策</w:t>
                  </w:r>
                </w:p>
                <w:p w:rsidR="00594C0B" w:rsidRPr="00375FE8" w:rsidRDefault="00594C0B" w:rsidP="0046165D">
                  <w:pPr>
                    <w:ind w:firstLine="0"/>
                    <w:rPr>
                      <w:rFonts w:eastAsiaTheme="minorEastAsia"/>
                      <w:kern w:val="20"/>
                      <w:sz w:val="22"/>
                      <w:szCs w:val="20"/>
                      <w:lang w:eastAsia="zh-CN"/>
                    </w:rPr>
                  </w:pPr>
                  <w:r w:rsidRPr="00375FE8">
                    <w:rPr>
                      <w:rFonts w:eastAsiaTheme="minorEastAsia"/>
                      <w:kern w:val="20"/>
                      <w:sz w:val="22"/>
                      <w:szCs w:val="20"/>
                      <w:lang w:eastAsia="zh-CN"/>
                    </w:rPr>
                    <w:t>气候变化的影响和灾害风险超越政治界限；因此，综合性景观或系统方法有助于解决跨部门和跨界问题。跨界合作可以分摊成本和收益，防止单方面采取的措施可能产生的负面影响。跨界合作还可以提供机会促进社会经济发展以及在适当的生态系统范围内管理问题。</w:t>
                  </w:r>
                </w:p>
                <w:p w:rsidR="00594C0B" w:rsidRPr="00375FE8" w:rsidRDefault="00594C0B" w:rsidP="0046165D">
                  <w:pPr>
                    <w:ind w:firstLine="0"/>
                    <w:rPr>
                      <w:rFonts w:eastAsiaTheme="minorEastAsia"/>
                      <w:kern w:val="20"/>
                      <w:sz w:val="22"/>
                      <w:szCs w:val="20"/>
                      <w:lang w:eastAsia="zh-CN"/>
                    </w:rPr>
                  </w:pPr>
                  <w:r w:rsidRPr="00375FE8">
                    <w:rPr>
                      <w:rFonts w:eastAsiaTheme="minorEastAsia"/>
                      <w:kern w:val="20"/>
                      <w:sz w:val="22"/>
                      <w:szCs w:val="20"/>
                      <w:lang w:eastAsia="zh-CN"/>
                    </w:rPr>
                    <w:t>采取基于生态系统的办法适应气候变化和减少灾害风险干预措施越来越需要与农业、水务、城市发展和基础设施等其他部门进行合作。</w:t>
                  </w:r>
                </w:p>
                <w:p w:rsidR="00594C0B" w:rsidRPr="00375FE8" w:rsidRDefault="00594C0B" w:rsidP="0046165D">
                  <w:pPr>
                    <w:ind w:firstLine="0"/>
                    <w:rPr>
                      <w:rFonts w:eastAsiaTheme="minorEastAsia"/>
                      <w:kern w:val="20"/>
                      <w:sz w:val="22"/>
                      <w:szCs w:val="20"/>
                      <w:lang w:eastAsia="zh-CN"/>
                    </w:rPr>
                  </w:pPr>
                  <w:r w:rsidRPr="00375FE8">
                    <w:rPr>
                      <w:rFonts w:eastAsiaTheme="minorEastAsia"/>
                      <w:kern w:val="20"/>
                      <w:sz w:val="22"/>
                      <w:szCs w:val="20"/>
                      <w:lang w:eastAsia="zh-CN"/>
                    </w:rPr>
                    <w:t>可将跨界和跨部门考虑因素纳入基于生态系统的办法适应气候变化和减少灾害风险措施之中，方法如下：</w:t>
                  </w:r>
                </w:p>
                <w:p w:rsidR="00594C0B" w:rsidRPr="00375FE8" w:rsidRDefault="00594C0B" w:rsidP="000A1A91">
                  <w:pPr>
                    <w:numPr>
                      <w:ilvl w:val="0"/>
                      <w:numId w:val="50"/>
                    </w:numPr>
                    <w:ind w:left="778" w:hanging="288"/>
                    <w:rPr>
                      <w:rFonts w:eastAsiaTheme="minorEastAsia"/>
                      <w:kern w:val="20"/>
                      <w:sz w:val="22"/>
                      <w:szCs w:val="20"/>
                      <w:lang w:eastAsia="zh-CN"/>
                    </w:rPr>
                  </w:pPr>
                  <w:r w:rsidRPr="00375FE8">
                    <w:rPr>
                      <w:rFonts w:eastAsiaTheme="minorEastAsia"/>
                      <w:kern w:val="20"/>
                      <w:sz w:val="22"/>
                      <w:szCs w:val="20"/>
                      <w:lang w:eastAsia="zh-CN"/>
                    </w:rPr>
                    <w:t>纳入基于生态系统的办法适应气候变化和减少灾害风险中促进适应气候变化和减少灾害风险措施所需不同规模的重大生态系统功能；</w:t>
                  </w:r>
                </w:p>
                <w:p w:rsidR="00594C0B" w:rsidRPr="00375FE8" w:rsidRDefault="00594C0B" w:rsidP="000A1A91">
                  <w:pPr>
                    <w:numPr>
                      <w:ilvl w:val="0"/>
                      <w:numId w:val="50"/>
                    </w:numPr>
                    <w:ind w:left="778" w:hanging="288"/>
                    <w:rPr>
                      <w:rFonts w:eastAsiaTheme="minorEastAsia"/>
                      <w:kern w:val="20"/>
                      <w:sz w:val="22"/>
                      <w:szCs w:val="20"/>
                      <w:lang w:eastAsia="zh-CN"/>
                    </w:rPr>
                  </w:pPr>
                  <w:r w:rsidRPr="00375FE8">
                    <w:rPr>
                      <w:rFonts w:eastAsiaTheme="minorEastAsia"/>
                      <w:kern w:val="20"/>
                      <w:sz w:val="22"/>
                      <w:szCs w:val="20"/>
                      <w:lang w:eastAsia="zh-CN"/>
                    </w:rPr>
                    <w:t>加强区域</w:t>
                  </w:r>
                  <w:r w:rsidRPr="00375FE8">
                    <w:rPr>
                      <w:rFonts w:eastAsiaTheme="minorEastAsia"/>
                      <w:kern w:val="20"/>
                      <w:sz w:val="22"/>
                      <w:szCs w:val="20"/>
                      <w:lang w:eastAsia="zh-CN"/>
                    </w:rPr>
                    <w:t>/</w:t>
                  </w:r>
                  <w:r w:rsidRPr="00375FE8">
                    <w:rPr>
                      <w:rFonts w:eastAsiaTheme="minorEastAsia"/>
                      <w:kern w:val="20"/>
                      <w:sz w:val="22"/>
                      <w:szCs w:val="20"/>
                      <w:lang w:eastAsia="zh-CN"/>
                    </w:rPr>
                    <w:t>跨界基于生态系统的办法适应气候变化和减少灾害风险战略和政策之间的一致性有助于提高行动效率；</w:t>
                  </w:r>
                </w:p>
                <w:p w:rsidR="00594C0B" w:rsidRPr="00375FE8" w:rsidRDefault="00594C0B" w:rsidP="000A1A91">
                  <w:pPr>
                    <w:numPr>
                      <w:ilvl w:val="0"/>
                      <w:numId w:val="50"/>
                    </w:numPr>
                    <w:ind w:left="778" w:hanging="288"/>
                    <w:rPr>
                      <w:rFonts w:eastAsiaTheme="minorEastAsia"/>
                      <w:kern w:val="20"/>
                      <w:sz w:val="22"/>
                      <w:szCs w:val="20"/>
                      <w:lang w:eastAsia="zh-CN"/>
                    </w:rPr>
                  </w:pPr>
                  <w:r w:rsidRPr="00375FE8">
                    <w:rPr>
                      <w:rFonts w:eastAsiaTheme="minorEastAsia"/>
                      <w:kern w:val="20"/>
                      <w:sz w:val="22"/>
                      <w:szCs w:val="20"/>
                      <w:lang w:eastAsia="zh-CN"/>
                    </w:rPr>
                    <w:t>学习水资源综合管理、沿海区综合管理和土地利用规划等成熟的跨部门规划机制的经验，加强跨部门合作，将基于生态系统的办法适应气候变化和减少灾害风险进一步纳入相关的部门框架（也适用于将其纳入主流）；</w:t>
                  </w:r>
                </w:p>
                <w:p w:rsidR="00594C0B" w:rsidRPr="00375FE8" w:rsidRDefault="00594C0B" w:rsidP="000A1A91">
                  <w:pPr>
                    <w:numPr>
                      <w:ilvl w:val="0"/>
                      <w:numId w:val="50"/>
                    </w:numPr>
                    <w:ind w:left="778" w:hanging="288"/>
                    <w:rPr>
                      <w:rFonts w:eastAsiaTheme="minorEastAsia"/>
                      <w:kern w:val="20"/>
                      <w:sz w:val="22"/>
                      <w:szCs w:val="20"/>
                      <w:lang w:eastAsia="zh-CN"/>
                    </w:rPr>
                  </w:pPr>
                  <w:r w:rsidRPr="00375FE8">
                    <w:rPr>
                      <w:rFonts w:eastAsiaTheme="minorEastAsia"/>
                      <w:kern w:val="20"/>
                      <w:sz w:val="22"/>
                      <w:szCs w:val="20"/>
                      <w:lang w:eastAsia="zh-CN"/>
                    </w:rPr>
                    <w:t>与跨界合作伙伴、部门和代表组成委员会或任务组，制定基于生态系统的办法适应气候变化和减少灾害风险的共同愿景和大小目标；</w:t>
                  </w:r>
                </w:p>
                <w:p w:rsidR="00594C0B" w:rsidRPr="00375FE8" w:rsidRDefault="00594C0B" w:rsidP="000A1A91">
                  <w:pPr>
                    <w:numPr>
                      <w:ilvl w:val="0"/>
                      <w:numId w:val="50"/>
                    </w:numPr>
                    <w:ind w:left="778" w:hanging="288"/>
                    <w:rPr>
                      <w:rFonts w:eastAsiaTheme="minorEastAsia"/>
                      <w:kern w:val="20"/>
                      <w:sz w:val="22"/>
                      <w:szCs w:val="20"/>
                      <w:lang w:eastAsia="zh-CN"/>
                    </w:rPr>
                  </w:pPr>
                  <w:r w:rsidRPr="00375FE8">
                    <w:rPr>
                      <w:rFonts w:eastAsiaTheme="minorEastAsia"/>
                      <w:kern w:val="20"/>
                      <w:sz w:val="22"/>
                      <w:szCs w:val="20"/>
                      <w:lang w:eastAsia="zh-CN"/>
                    </w:rPr>
                    <w:t>通过利用共同模式和情景设想以及商定的方法和信息来源，对跨界范围和不同部门的脆弱性形成共识；</w:t>
                  </w:r>
                </w:p>
                <w:p w:rsidR="00594C0B" w:rsidRPr="00375FE8" w:rsidRDefault="00594C0B" w:rsidP="000A1A91">
                  <w:pPr>
                    <w:numPr>
                      <w:ilvl w:val="0"/>
                      <w:numId w:val="50"/>
                    </w:numPr>
                    <w:ind w:left="778" w:hanging="288"/>
                    <w:rPr>
                      <w:rFonts w:eastAsiaTheme="minorEastAsia"/>
                      <w:kern w:val="20"/>
                      <w:sz w:val="22"/>
                      <w:szCs w:val="20"/>
                      <w:lang w:eastAsia="zh-CN"/>
                    </w:rPr>
                  </w:pPr>
                  <w:r w:rsidRPr="00375FE8">
                    <w:rPr>
                      <w:rFonts w:eastAsiaTheme="minorEastAsia"/>
                      <w:kern w:val="20"/>
                      <w:sz w:val="22"/>
                      <w:szCs w:val="20"/>
                      <w:lang w:eastAsia="zh-CN"/>
                    </w:rPr>
                    <w:t>采用反复监测和评估流程（见步骤</w:t>
                  </w:r>
                  <w:r w:rsidRPr="00375FE8">
                    <w:rPr>
                      <w:rFonts w:eastAsiaTheme="minorEastAsia"/>
                      <w:kern w:val="20"/>
                      <w:sz w:val="22"/>
                      <w:szCs w:val="20"/>
                      <w:lang w:eastAsia="zh-CN"/>
                    </w:rPr>
                    <w:t>F</w:t>
                  </w:r>
                  <w:r w:rsidRPr="00375FE8">
                    <w:rPr>
                      <w:rFonts w:eastAsiaTheme="minorEastAsia"/>
                      <w:kern w:val="20"/>
                      <w:sz w:val="22"/>
                      <w:szCs w:val="20"/>
                      <w:lang w:eastAsia="zh-CN"/>
                    </w:rPr>
                    <w:t>），确保跨界和跨部门的基于生态系统的办法适应气候变化和减少灾害风险战略继续符合国家适应适应气候变化和减少灾害风险目标，并最大限度地发掘多重效益的潜力。</w:t>
                  </w:r>
                </w:p>
              </w:txbxContent>
            </v:textbox>
            <w10:wrap type="square"/>
          </v:shape>
        </w:pict>
      </w:r>
      <w:r w:rsidR="00410B69" w:rsidRPr="00A62C57">
        <w:rPr>
          <w:rFonts w:eastAsiaTheme="minorEastAsia"/>
          <w:snapToGrid w:val="0"/>
          <w:kern w:val="22"/>
          <w:lang w:eastAsia="zh-CN"/>
        </w:rPr>
        <w:t>审议在社会</w:t>
      </w:r>
      <w:r w:rsidR="00410B69" w:rsidRPr="00A62C57">
        <w:rPr>
          <w:rFonts w:eastAsiaTheme="minorEastAsia"/>
          <w:snapToGrid w:val="0"/>
          <w:kern w:val="22"/>
          <w:lang w:eastAsia="zh-CN"/>
        </w:rPr>
        <w:t>-</w:t>
      </w:r>
      <w:r w:rsidR="00410B69" w:rsidRPr="00A62C57">
        <w:rPr>
          <w:rFonts w:eastAsiaTheme="minorEastAsia"/>
          <w:snapToGrid w:val="0"/>
          <w:kern w:val="22"/>
          <w:lang w:eastAsia="zh-CN"/>
        </w:rPr>
        <w:t>生态系统中建立抗灾和适应能力的原则（见方框</w:t>
      </w:r>
      <w:r w:rsidR="00410B69" w:rsidRPr="00A62C57">
        <w:rPr>
          <w:rFonts w:eastAsiaTheme="minorEastAsia"/>
          <w:snapToGrid w:val="0"/>
          <w:kern w:val="22"/>
          <w:lang w:eastAsia="zh-CN"/>
        </w:rPr>
        <w:t>5</w:t>
      </w:r>
      <w:r w:rsidR="00410B69" w:rsidRPr="00A62C57">
        <w:rPr>
          <w:rFonts w:eastAsiaTheme="minorEastAsia"/>
          <w:snapToGrid w:val="0"/>
          <w:kern w:val="22"/>
          <w:lang w:eastAsia="zh-CN"/>
        </w:rPr>
        <w:t>）</w:t>
      </w:r>
      <w:r w:rsidR="00410B69" w:rsidRPr="00A62C57">
        <w:rPr>
          <w:rFonts w:eastAsiaTheme="minorEastAsia" w:hint="eastAsia"/>
          <w:snapToGrid w:val="0"/>
          <w:kern w:val="22"/>
          <w:lang w:eastAsia="zh-CN"/>
        </w:rPr>
        <w:t>。</w:t>
      </w:r>
      <w:r w:rsidR="00375FE8" w:rsidRPr="00A62C57">
        <w:rPr>
          <w:rFonts w:ascii="SimSun" w:hAnsi="SimSun" w:cs="SimSun"/>
          <w:b/>
          <w:snapToGrid w:val="0"/>
          <w:kern w:val="22"/>
          <w:lang w:eastAsia="zh-CN"/>
        </w:rPr>
        <w:br w:type="page"/>
      </w:r>
    </w:p>
    <w:tbl>
      <w:tblPr>
        <w:tblW w:w="0" w:type="auto"/>
        <w:tblLook w:val="04A0"/>
      </w:tblPr>
      <w:tblGrid>
        <w:gridCol w:w="9350"/>
      </w:tblGrid>
      <w:tr w:rsidR="00375FE8" w:rsidTr="002A0DEA">
        <w:trPr>
          <w:trHeight w:val="5834"/>
        </w:trPr>
        <w:tc>
          <w:tcPr>
            <w:tcW w:w="9350" w:type="dxa"/>
            <w:tcBorders>
              <w:top w:val="single" w:sz="4" w:space="0" w:color="auto"/>
              <w:left w:val="single" w:sz="4" w:space="0" w:color="auto"/>
              <w:bottom w:val="single" w:sz="4" w:space="0" w:color="auto"/>
              <w:right w:val="single" w:sz="4" w:space="0" w:color="auto"/>
            </w:tcBorders>
          </w:tcPr>
          <w:p w:rsidR="00375FE8" w:rsidRPr="00375FE8" w:rsidRDefault="00375FE8" w:rsidP="002A0DEA">
            <w:pPr>
              <w:jc w:val="center"/>
              <w:rPr>
                <w:rFonts w:eastAsiaTheme="minorEastAsia"/>
                <w:b/>
                <w:bCs/>
                <w:color w:val="4F81BD"/>
                <w:lang w:eastAsia="zh-CN"/>
              </w:rPr>
            </w:pPr>
            <w:r w:rsidRPr="00375FE8">
              <w:rPr>
                <w:rFonts w:eastAsiaTheme="minorEastAsia"/>
                <w:b/>
                <w:bCs/>
                <w:color w:val="4F81BD"/>
                <w:sz w:val="22"/>
                <w:lang w:eastAsia="zh-CN"/>
              </w:rPr>
              <w:lastRenderedPageBreak/>
              <w:t>方框</w:t>
            </w:r>
            <w:r w:rsidRPr="00375FE8">
              <w:rPr>
                <w:rFonts w:eastAsiaTheme="minorEastAsia"/>
                <w:b/>
                <w:bCs/>
                <w:color w:val="4F81BD"/>
                <w:sz w:val="22"/>
                <w:lang w:eastAsia="zh-CN"/>
              </w:rPr>
              <w:t xml:space="preserve"> 5. </w:t>
            </w:r>
            <w:r w:rsidRPr="00375FE8">
              <w:rPr>
                <w:rFonts w:eastAsiaTheme="minorEastAsia"/>
                <w:b/>
                <w:bCs/>
                <w:color w:val="4F81BD"/>
                <w:sz w:val="22"/>
                <w:lang w:eastAsia="zh-CN"/>
              </w:rPr>
              <w:t>将复原力思维融入基于生态系统的办法适应气候变化和减少灾害风险的设计中</w:t>
            </w:r>
          </w:p>
          <w:p w:rsidR="00375FE8" w:rsidRPr="00375FE8" w:rsidRDefault="00375FE8" w:rsidP="00A62C57">
            <w:pPr>
              <w:ind w:firstLine="0"/>
              <w:rPr>
                <w:rFonts w:eastAsiaTheme="minorEastAsia"/>
                <w:kern w:val="20"/>
                <w:szCs w:val="20"/>
                <w:lang w:eastAsia="zh-CN"/>
              </w:rPr>
            </w:pPr>
            <w:r w:rsidRPr="00375FE8">
              <w:rPr>
                <w:rFonts w:eastAsiaTheme="minorEastAsia"/>
                <w:kern w:val="20"/>
                <w:sz w:val="22"/>
                <w:szCs w:val="20"/>
                <w:lang w:eastAsia="zh-CN"/>
              </w:rPr>
              <w:t>对可持续性采用复原力办法，重点是建立能力以应对意外变化，如气候变化的影响和灾难风险。从复原力视角设计基于生态系统的办法适应气候变化和减少灾害风险的措施，需要将人与自然之间的相互作用作为社会</w:t>
            </w:r>
            <w:r w:rsidRPr="00375FE8">
              <w:rPr>
                <w:rFonts w:eastAsiaTheme="minorEastAsia"/>
                <w:kern w:val="20"/>
                <w:sz w:val="22"/>
                <w:szCs w:val="20"/>
                <w:lang w:eastAsia="zh-CN"/>
              </w:rPr>
              <w:t>-</w:t>
            </w:r>
            <w:r w:rsidRPr="00375FE8">
              <w:rPr>
                <w:rFonts w:eastAsiaTheme="minorEastAsia"/>
                <w:kern w:val="20"/>
                <w:sz w:val="22"/>
                <w:szCs w:val="20"/>
                <w:lang w:eastAsia="zh-CN"/>
              </w:rPr>
              <w:t>生态系统进行管理，以确保持续和坚韧地提供具有适应气候变化和减少灾害风险功能的基本生态系统功能和服务。在采用复原力思维方面有七大关键原则，它们产生于对不同社会和生态因素的综合审查，这些因素增强社会</w:t>
            </w:r>
            <w:r w:rsidRPr="00375FE8">
              <w:rPr>
                <w:rFonts w:eastAsiaTheme="minorEastAsia"/>
                <w:kern w:val="20"/>
                <w:sz w:val="22"/>
                <w:szCs w:val="20"/>
                <w:lang w:eastAsia="zh-CN"/>
              </w:rPr>
              <w:t>-</w:t>
            </w:r>
            <w:r w:rsidRPr="00375FE8">
              <w:rPr>
                <w:rFonts w:eastAsiaTheme="minorEastAsia"/>
                <w:kern w:val="20"/>
                <w:sz w:val="22"/>
                <w:szCs w:val="20"/>
                <w:lang w:eastAsia="zh-CN"/>
              </w:rPr>
              <w:t>生态系统及其所提供的生态系统功能和服务的复原力（斯德哥尔摩复原力中心，</w:t>
            </w:r>
            <w:r w:rsidRPr="00375FE8">
              <w:rPr>
                <w:rFonts w:eastAsiaTheme="minorEastAsia"/>
                <w:kern w:val="20"/>
                <w:sz w:val="22"/>
                <w:szCs w:val="20"/>
                <w:lang w:eastAsia="zh-CN"/>
              </w:rPr>
              <w:t>2014</w:t>
            </w:r>
            <w:r w:rsidRPr="00375FE8">
              <w:rPr>
                <w:rFonts w:eastAsiaTheme="minorEastAsia"/>
                <w:kern w:val="20"/>
                <w:sz w:val="22"/>
                <w:szCs w:val="20"/>
                <w:lang w:eastAsia="zh-CN"/>
              </w:rPr>
              <w:t>年）：</w:t>
            </w:r>
          </w:p>
          <w:p w:rsidR="00375FE8" w:rsidRPr="00375FE8" w:rsidRDefault="00375FE8" w:rsidP="000A1A91">
            <w:pPr>
              <w:pStyle w:val="ListParagraph"/>
              <w:numPr>
                <w:ilvl w:val="0"/>
                <w:numId w:val="51"/>
              </w:numPr>
              <w:spacing w:after="160" w:line="256" w:lineRule="auto"/>
              <w:contextualSpacing/>
              <w:rPr>
                <w:rFonts w:eastAsiaTheme="minorEastAsia"/>
                <w:kern w:val="20"/>
                <w:szCs w:val="20"/>
                <w:lang w:eastAsia="zh-CN"/>
              </w:rPr>
            </w:pPr>
            <w:r w:rsidRPr="00375FE8">
              <w:rPr>
                <w:rFonts w:eastAsiaTheme="minorEastAsia"/>
                <w:kern w:val="20"/>
                <w:sz w:val="22"/>
                <w:szCs w:val="20"/>
                <w:lang w:eastAsia="zh-CN"/>
              </w:rPr>
              <w:t>维护多样性和冗余，例如，通过维护生物和生态多样性等方式这样做。冗余是指存在可以执行同一功能的多个构件，能够用某些构件弥补其他构件的丧失或故障，在系统内提供</w:t>
            </w:r>
            <w:r w:rsidRPr="00375FE8">
              <w:rPr>
                <w:rFonts w:asciiTheme="minorEastAsia" w:eastAsiaTheme="minorEastAsia" w:hAnsiTheme="minorEastAsia"/>
                <w:kern w:val="20"/>
                <w:sz w:val="22"/>
                <w:szCs w:val="20"/>
                <w:lang w:eastAsia="zh-CN"/>
              </w:rPr>
              <w:t>“保险”</w:t>
            </w:r>
            <w:r w:rsidRPr="00375FE8">
              <w:rPr>
                <w:rFonts w:eastAsiaTheme="minorEastAsia"/>
                <w:kern w:val="20"/>
                <w:sz w:val="22"/>
                <w:szCs w:val="20"/>
                <w:lang w:eastAsia="zh-CN"/>
              </w:rPr>
              <w:t>。</w:t>
            </w:r>
          </w:p>
          <w:p w:rsidR="00375FE8" w:rsidRPr="00375FE8" w:rsidRDefault="00375FE8" w:rsidP="000A1A91">
            <w:pPr>
              <w:pStyle w:val="ListParagraph"/>
              <w:numPr>
                <w:ilvl w:val="0"/>
                <w:numId w:val="51"/>
              </w:numPr>
              <w:spacing w:after="160" w:line="256" w:lineRule="auto"/>
              <w:contextualSpacing/>
              <w:rPr>
                <w:rFonts w:eastAsiaTheme="minorEastAsia"/>
                <w:kern w:val="20"/>
                <w:szCs w:val="20"/>
                <w:lang w:eastAsia="zh-CN"/>
              </w:rPr>
            </w:pPr>
            <w:r w:rsidRPr="00375FE8">
              <w:rPr>
                <w:rFonts w:eastAsiaTheme="minorEastAsia"/>
                <w:kern w:val="20"/>
                <w:sz w:val="22"/>
                <w:szCs w:val="20"/>
                <w:lang w:eastAsia="zh-CN"/>
              </w:rPr>
              <w:t>通过加强景观连通性支持有助于适应气候变化和减少灾害风险的生物多样性和生态系统功能和服务等方式，管理连通性（资源、物种或行为体在社会生态系统中跨地带、跨生境或跨社会领域的扩散，迁移或相互作用的结构和实力）。</w:t>
            </w:r>
          </w:p>
          <w:p w:rsidR="00375FE8" w:rsidRPr="00375FE8" w:rsidRDefault="00375FE8" w:rsidP="000A1A91">
            <w:pPr>
              <w:pStyle w:val="ListParagraph"/>
              <w:numPr>
                <w:ilvl w:val="0"/>
                <w:numId w:val="51"/>
              </w:numPr>
              <w:spacing w:after="160" w:line="256" w:lineRule="auto"/>
              <w:contextualSpacing/>
              <w:rPr>
                <w:rFonts w:eastAsiaTheme="minorEastAsia"/>
                <w:kern w:val="20"/>
                <w:szCs w:val="20"/>
                <w:lang w:eastAsia="zh-CN"/>
              </w:rPr>
            </w:pPr>
            <w:r w:rsidRPr="00375FE8">
              <w:rPr>
                <w:rFonts w:eastAsiaTheme="minorEastAsia"/>
                <w:kern w:val="20"/>
                <w:sz w:val="22"/>
                <w:szCs w:val="20"/>
                <w:lang w:eastAsia="zh-CN"/>
              </w:rPr>
              <w:t>管理缓慢变化的变量和反馈（可以增强（正反馈）或抑制（负反馈）变化的变量之间的双向</w:t>
            </w:r>
            <w:r w:rsidRPr="00375FE8">
              <w:rPr>
                <w:rFonts w:asciiTheme="minorEastAsia" w:eastAsiaTheme="minorEastAsia" w:hAnsiTheme="minorEastAsia"/>
                <w:kern w:val="20"/>
                <w:sz w:val="22"/>
                <w:szCs w:val="20"/>
                <w:lang w:eastAsia="zh-CN"/>
              </w:rPr>
              <w:t>“连接器”</w:t>
            </w:r>
            <w:r w:rsidRPr="00375FE8">
              <w:rPr>
                <w:rFonts w:eastAsiaTheme="minorEastAsia"/>
                <w:kern w:val="20"/>
                <w:sz w:val="22"/>
                <w:szCs w:val="20"/>
                <w:lang w:eastAsia="zh-CN"/>
              </w:rPr>
              <w:t>）。</w:t>
            </w:r>
          </w:p>
          <w:p w:rsidR="00375FE8" w:rsidRPr="00375FE8" w:rsidRDefault="00375FE8" w:rsidP="000A1A91">
            <w:pPr>
              <w:pStyle w:val="ListParagraph"/>
              <w:numPr>
                <w:ilvl w:val="0"/>
                <w:numId w:val="51"/>
              </w:numPr>
              <w:spacing w:after="160" w:line="256" w:lineRule="auto"/>
              <w:contextualSpacing/>
              <w:rPr>
                <w:rFonts w:eastAsiaTheme="minorEastAsia"/>
                <w:kern w:val="20"/>
                <w:szCs w:val="20"/>
                <w:lang w:eastAsia="zh-CN"/>
              </w:rPr>
            </w:pPr>
            <w:r w:rsidRPr="00375FE8">
              <w:rPr>
                <w:rFonts w:eastAsiaTheme="minorEastAsia"/>
                <w:kern w:val="20"/>
                <w:sz w:val="22"/>
                <w:szCs w:val="20"/>
                <w:lang w:eastAsia="zh-CN"/>
              </w:rPr>
              <w:t>采用系统框架方法，养成复杂的适应系统思维（步骤</w:t>
            </w:r>
            <w:r w:rsidRPr="00375FE8">
              <w:rPr>
                <w:rFonts w:eastAsiaTheme="minorEastAsia"/>
                <w:kern w:val="20"/>
                <w:sz w:val="22"/>
                <w:szCs w:val="20"/>
                <w:lang w:eastAsia="zh-CN"/>
              </w:rPr>
              <w:t>A</w:t>
            </w:r>
            <w:r w:rsidRPr="00375FE8">
              <w:rPr>
                <w:rFonts w:eastAsiaTheme="minorEastAsia"/>
                <w:kern w:val="20"/>
                <w:sz w:val="22"/>
                <w:szCs w:val="20"/>
                <w:lang w:eastAsia="zh-CN"/>
              </w:rPr>
              <w:t>）。</w:t>
            </w:r>
          </w:p>
          <w:p w:rsidR="00375FE8" w:rsidRPr="00375FE8" w:rsidRDefault="00375FE8" w:rsidP="000A1A91">
            <w:pPr>
              <w:pStyle w:val="ListParagraph"/>
              <w:numPr>
                <w:ilvl w:val="0"/>
                <w:numId w:val="51"/>
              </w:numPr>
              <w:spacing w:after="160" w:line="256" w:lineRule="auto"/>
              <w:contextualSpacing/>
              <w:rPr>
                <w:rFonts w:eastAsiaTheme="minorEastAsia"/>
                <w:spacing w:val="-2"/>
                <w:kern w:val="20"/>
                <w:szCs w:val="20"/>
                <w:lang w:eastAsia="zh-CN"/>
              </w:rPr>
            </w:pPr>
            <w:r w:rsidRPr="00375FE8">
              <w:rPr>
                <w:rFonts w:eastAsiaTheme="minorEastAsia"/>
                <w:spacing w:val="-2"/>
                <w:kern w:val="20"/>
                <w:sz w:val="22"/>
                <w:szCs w:val="20"/>
                <w:lang w:eastAsia="zh-CN"/>
              </w:rPr>
              <w:t>鼓励学习，例如探索不同和有效的沟通模式。</w:t>
            </w:r>
          </w:p>
          <w:p w:rsidR="00375FE8" w:rsidRPr="00375FE8" w:rsidRDefault="00375FE8" w:rsidP="000A1A91">
            <w:pPr>
              <w:pStyle w:val="ListParagraph"/>
              <w:numPr>
                <w:ilvl w:val="0"/>
                <w:numId w:val="51"/>
              </w:numPr>
              <w:spacing w:after="160" w:line="256" w:lineRule="auto"/>
              <w:contextualSpacing/>
              <w:rPr>
                <w:rFonts w:eastAsiaTheme="minorEastAsia"/>
                <w:kern w:val="20"/>
                <w:szCs w:val="20"/>
                <w:lang w:eastAsia="zh-CN"/>
              </w:rPr>
            </w:pPr>
            <w:r w:rsidRPr="00375FE8">
              <w:rPr>
                <w:rFonts w:eastAsiaTheme="minorEastAsia"/>
                <w:kern w:val="20"/>
                <w:sz w:val="22"/>
                <w:szCs w:val="20"/>
                <w:lang w:eastAsia="zh-CN"/>
              </w:rPr>
              <w:t>扩大参与，例如通过投入资源实现有效参与。</w:t>
            </w:r>
          </w:p>
          <w:p w:rsidR="00375FE8" w:rsidRPr="00E36A42" w:rsidRDefault="00375FE8" w:rsidP="000A1A91">
            <w:pPr>
              <w:pStyle w:val="ListParagraph"/>
              <w:numPr>
                <w:ilvl w:val="0"/>
                <w:numId w:val="51"/>
              </w:numPr>
              <w:spacing w:after="160" w:line="256" w:lineRule="auto"/>
              <w:contextualSpacing/>
              <w:rPr>
                <w:rFonts w:ascii="SimSun" w:hAnsi="SimSun" w:cs="SimSun"/>
                <w:b/>
                <w:snapToGrid w:val="0"/>
                <w:kern w:val="22"/>
                <w:lang w:eastAsia="zh-CN"/>
              </w:rPr>
            </w:pPr>
            <w:r w:rsidRPr="00375FE8">
              <w:rPr>
                <w:rFonts w:eastAsiaTheme="minorEastAsia"/>
                <w:kern w:val="20"/>
                <w:sz w:val="22"/>
                <w:szCs w:val="20"/>
                <w:lang w:eastAsia="zh-CN"/>
              </w:rPr>
              <w:t>推动建立多中心治理制度，包括不同规模和文化的多机构合作。</w:t>
            </w:r>
          </w:p>
        </w:tc>
      </w:tr>
    </w:tbl>
    <w:p w:rsidR="00375FE8" w:rsidRPr="00375FE8" w:rsidRDefault="00375FE8" w:rsidP="00A62C57">
      <w:pPr>
        <w:suppressLineNumbers/>
        <w:suppressAutoHyphens/>
        <w:kinsoku w:val="0"/>
        <w:overflowPunct w:val="0"/>
        <w:autoSpaceDE w:val="0"/>
        <w:autoSpaceDN w:val="0"/>
        <w:adjustRightInd w:val="0"/>
        <w:ind w:firstLine="0"/>
        <w:rPr>
          <w:rFonts w:eastAsiaTheme="minorEastAsia"/>
          <w:b/>
          <w:snapToGrid w:val="0"/>
          <w:kern w:val="22"/>
          <w:lang w:eastAsia="zh-CN"/>
        </w:rPr>
      </w:pPr>
      <w:r w:rsidRPr="00375FE8">
        <w:rPr>
          <w:rFonts w:eastAsiaTheme="minorEastAsia"/>
          <w:b/>
          <w:snapToGrid w:val="0"/>
          <w:kern w:val="22"/>
          <w:lang w:eastAsia="zh-CN"/>
        </w:rPr>
        <w:t>步骤</w:t>
      </w:r>
      <w:r w:rsidRPr="00375FE8">
        <w:rPr>
          <w:rFonts w:eastAsiaTheme="minorEastAsia"/>
          <w:b/>
          <w:snapToGrid w:val="0"/>
          <w:kern w:val="22"/>
          <w:lang w:eastAsia="zh-CN"/>
        </w:rPr>
        <w:t xml:space="preserve"> F</w:t>
      </w:r>
      <w:r w:rsidRPr="00375FE8">
        <w:rPr>
          <w:rFonts w:eastAsiaTheme="minorEastAsia"/>
          <w:b/>
          <w:snapToGrid w:val="0"/>
          <w:kern w:val="22"/>
          <w:lang w:eastAsia="zh-CN"/>
        </w:rPr>
        <w:t>：监测和评估</w:t>
      </w:r>
      <w:r w:rsidRPr="00375FE8">
        <w:rPr>
          <w:rFonts w:eastAsiaTheme="minorEastAsia"/>
          <w:b/>
          <w:kern w:val="20"/>
          <w:lang w:eastAsia="zh-CN"/>
        </w:rPr>
        <w:t>基于生态系统的适应气候变化和减少灾害风险</w:t>
      </w:r>
    </w:p>
    <w:p w:rsidR="00375FE8" w:rsidRPr="00375FE8" w:rsidRDefault="00375FE8" w:rsidP="00A62C57">
      <w:pPr>
        <w:keepNext/>
        <w:suppressLineNumbers/>
        <w:suppressAutoHyphens/>
        <w:kinsoku w:val="0"/>
        <w:overflowPunct w:val="0"/>
        <w:autoSpaceDE w:val="0"/>
        <w:autoSpaceDN w:val="0"/>
        <w:adjustRightInd w:val="0"/>
        <w:ind w:firstLine="0"/>
        <w:rPr>
          <w:rFonts w:eastAsiaTheme="minorEastAsia"/>
          <w:b/>
          <w:snapToGrid w:val="0"/>
          <w:kern w:val="22"/>
          <w:lang w:eastAsia="zh-CN"/>
        </w:rPr>
      </w:pPr>
      <w:r w:rsidRPr="00375FE8">
        <w:rPr>
          <w:rFonts w:eastAsiaTheme="minorEastAsia"/>
          <w:b/>
          <w:snapToGrid w:val="0"/>
          <w:kern w:val="22"/>
          <w:lang w:eastAsia="zh-CN"/>
        </w:rPr>
        <w:t>目的</w:t>
      </w:r>
    </w:p>
    <w:p w:rsidR="00375FE8" w:rsidRPr="00375FE8"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color w:val="242021"/>
          <w:kern w:val="22"/>
          <w:lang w:eastAsia="zh-CN"/>
        </w:rPr>
      </w:pPr>
      <w:r w:rsidRPr="00375FE8">
        <w:rPr>
          <w:rFonts w:eastAsiaTheme="minorEastAsia"/>
          <w:snapToGrid w:val="0"/>
          <w:color w:val="242021"/>
          <w:kern w:val="22"/>
          <w:lang w:eastAsia="zh-CN"/>
        </w:rPr>
        <w:t>基于生态系统的适应气候变化和减少灾害风险的监测和评价工作，对于评估干预措施的进展以及效益和效率至关重要。监测使适应性管理成为可能，最好在整个干预措施的生命周期都得到执行。评价将对正在进行或完成的项目、方案或政策、其设计、实施和结果进行评估。可以通过监测和评价鼓励不断学习，帮助为未来的政策和实践提供信息，并作出相应的调整。</w:t>
      </w:r>
    </w:p>
    <w:p w:rsidR="00375FE8" w:rsidRPr="00375FE8" w:rsidRDefault="00375FE8" w:rsidP="000A1A91">
      <w:pPr>
        <w:pStyle w:val="ListParagraph"/>
        <w:numPr>
          <w:ilvl w:val="0"/>
          <w:numId w:val="71"/>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color w:val="242021"/>
          <w:kern w:val="22"/>
          <w:lang w:eastAsia="zh-CN"/>
        </w:rPr>
      </w:pPr>
      <w:r w:rsidRPr="00375FE8">
        <w:rPr>
          <w:rFonts w:eastAsiaTheme="minorEastAsia"/>
          <w:snapToGrid w:val="0"/>
          <w:color w:val="242021"/>
          <w:kern w:val="22"/>
          <w:lang w:eastAsia="zh-CN"/>
        </w:rPr>
        <w:t>正在从适应气候变化和减少灾害风险领域着手，推动纳入各种监测和评价方法。已经制定了多种办法和框架，</w:t>
      </w:r>
      <w:r w:rsidRPr="00375FE8">
        <w:rPr>
          <w:rFonts w:eastAsiaTheme="minorEastAsia"/>
          <w:snapToGrid w:val="0"/>
          <w:color w:val="242021"/>
          <w:spacing w:val="20"/>
          <w:kern w:val="22"/>
          <w:lang w:eastAsia="zh-CN"/>
        </w:rPr>
        <w:t>包括逻辑框架和成果管理制。下文概述与监测和评价有关的关键行动和考虑因素。</w:t>
      </w:r>
      <w:r w:rsidRPr="00375FE8">
        <w:rPr>
          <w:rFonts w:eastAsiaTheme="minorEastAsia"/>
          <w:snapToGrid w:val="0"/>
          <w:color w:val="242021"/>
          <w:kern w:val="22"/>
          <w:vertAlign w:val="superscript"/>
        </w:rPr>
        <w:footnoteReference w:id="81"/>
      </w:r>
      <w:r w:rsidRPr="00375FE8">
        <w:rPr>
          <w:rFonts w:eastAsiaTheme="minorEastAsia"/>
          <w:snapToGrid w:val="0"/>
          <w:color w:val="242021"/>
          <w:spacing w:val="20"/>
          <w:kern w:val="22"/>
          <w:vertAlign w:val="superscript"/>
          <w:lang w:eastAsia="zh-CN"/>
        </w:rPr>
        <w:t xml:space="preserve"> </w:t>
      </w:r>
      <w:r w:rsidRPr="00375FE8">
        <w:rPr>
          <w:rFonts w:eastAsiaTheme="minorEastAsia"/>
          <w:snapToGrid w:val="0"/>
          <w:color w:val="242021"/>
          <w:kern w:val="22"/>
          <w:lang w:eastAsia="zh-CN"/>
        </w:rPr>
        <w:t>作为补充信息，步骤</w:t>
      </w:r>
      <w:r w:rsidRPr="00375FE8">
        <w:rPr>
          <w:rFonts w:eastAsiaTheme="minorEastAsia"/>
          <w:snapToGrid w:val="0"/>
          <w:color w:val="242021"/>
          <w:kern w:val="22"/>
          <w:lang w:eastAsia="zh-CN"/>
        </w:rPr>
        <w:t>E</w:t>
      </w:r>
      <w:r w:rsidRPr="00410B69">
        <w:rPr>
          <w:rFonts w:asciiTheme="minorEastAsia" w:eastAsiaTheme="minorEastAsia" w:hAnsiTheme="minorEastAsia"/>
          <w:snapToGrid w:val="0"/>
          <w:color w:val="242021"/>
          <w:kern w:val="22"/>
          <w:lang w:eastAsia="zh-CN"/>
        </w:rPr>
        <w:t>“</w:t>
      </w:r>
      <w:r w:rsidRPr="00375FE8">
        <w:rPr>
          <w:rFonts w:eastAsiaTheme="minorEastAsia"/>
          <w:snapToGrid w:val="0"/>
          <w:color w:val="242021"/>
          <w:kern w:val="22"/>
          <w:lang w:eastAsia="zh-CN"/>
        </w:rPr>
        <w:t>工具箱：监测和评价</w:t>
      </w:r>
      <w:r w:rsidRPr="00375FE8">
        <w:rPr>
          <w:rFonts w:eastAsiaTheme="minorEastAsia"/>
          <w:snapToGrid w:val="0"/>
          <w:kern w:val="22"/>
          <w:lang w:eastAsia="zh-CN"/>
        </w:rPr>
        <w:t>基于生态系统的适应气候变化和减少灾害风险</w:t>
      </w:r>
      <w:r w:rsidRPr="00410B69">
        <w:rPr>
          <w:rFonts w:asciiTheme="minorEastAsia" w:eastAsiaTheme="minorEastAsia" w:hAnsiTheme="minorEastAsia"/>
          <w:snapToGrid w:val="0"/>
          <w:color w:val="242021"/>
          <w:kern w:val="22"/>
          <w:lang w:eastAsia="zh-CN"/>
        </w:rPr>
        <w:t>”</w:t>
      </w:r>
      <w:r w:rsidRPr="00375FE8">
        <w:rPr>
          <w:rFonts w:eastAsiaTheme="minorEastAsia"/>
          <w:snapToGrid w:val="0"/>
          <w:kern w:val="22"/>
          <w:lang w:eastAsia="zh-CN"/>
        </w:rPr>
        <w:t>中提供了与此步骤相关的各种工具</w:t>
      </w:r>
      <w:r w:rsidRPr="00375FE8">
        <w:rPr>
          <w:rFonts w:eastAsiaTheme="minorEastAsia"/>
          <w:snapToGrid w:val="0"/>
          <w:color w:val="242021"/>
          <w:kern w:val="22"/>
          <w:lang w:eastAsia="zh-CN"/>
        </w:rPr>
        <w:t>。</w:t>
      </w:r>
      <w:r w:rsidRPr="00375FE8">
        <w:rPr>
          <w:rFonts w:eastAsiaTheme="minorEastAsia"/>
          <w:color w:val="242021"/>
          <w:vertAlign w:val="superscript"/>
        </w:rPr>
        <w:footnoteReference w:id="82"/>
      </w:r>
    </w:p>
    <w:p w:rsidR="00375FE8" w:rsidRPr="00375FE8" w:rsidRDefault="00375FE8" w:rsidP="00A62C57">
      <w:pPr>
        <w:widowControl w:val="0"/>
        <w:suppressLineNumbers/>
        <w:suppressAutoHyphens/>
        <w:kinsoku w:val="0"/>
        <w:overflowPunct w:val="0"/>
        <w:autoSpaceDE w:val="0"/>
        <w:autoSpaceDN w:val="0"/>
        <w:adjustRightInd w:val="0"/>
        <w:ind w:firstLine="0"/>
        <w:rPr>
          <w:rFonts w:eastAsiaTheme="minorEastAsia"/>
          <w:b/>
          <w:snapToGrid w:val="0"/>
          <w:kern w:val="22"/>
          <w:lang w:eastAsia="zh-CN"/>
        </w:rPr>
      </w:pPr>
      <w:r w:rsidRPr="00375FE8">
        <w:rPr>
          <w:rFonts w:eastAsiaTheme="minorEastAsia"/>
          <w:b/>
          <w:snapToGrid w:val="0"/>
          <w:kern w:val="22"/>
          <w:lang w:eastAsia="zh-CN"/>
        </w:rPr>
        <w:t>成果</w:t>
      </w:r>
    </w:p>
    <w:p w:rsidR="00375FE8" w:rsidRPr="00375FE8" w:rsidRDefault="00375FE8" w:rsidP="00375FE8">
      <w:pPr>
        <w:widowControl w:val="0"/>
        <w:suppressLineNumbers/>
        <w:suppressAutoHyphens/>
        <w:kinsoku w:val="0"/>
        <w:overflowPunct w:val="0"/>
        <w:autoSpaceDE w:val="0"/>
        <w:autoSpaceDN w:val="0"/>
        <w:adjustRightInd w:val="0"/>
        <w:rPr>
          <w:rFonts w:eastAsiaTheme="minorEastAsia"/>
          <w:snapToGrid w:val="0"/>
          <w:kern w:val="22"/>
          <w:lang w:eastAsia="zh-CN"/>
        </w:rPr>
      </w:pPr>
      <w:r w:rsidRPr="00375FE8">
        <w:rPr>
          <w:rFonts w:eastAsiaTheme="minorEastAsia"/>
          <w:snapToGrid w:val="0"/>
          <w:kern w:val="22"/>
          <w:lang w:eastAsia="zh-CN"/>
        </w:rPr>
        <w:lastRenderedPageBreak/>
        <w:t>实际、实用和迭代式的监测和评价框架，包括数据收集和评估规程以及关于干预措施成果和影响的信息</w:t>
      </w:r>
    </w:p>
    <w:p w:rsidR="00375FE8" w:rsidRPr="00375FE8" w:rsidRDefault="00375FE8" w:rsidP="00A62C57">
      <w:pPr>
        <w:keepNext/>
        <w:suppressLineNumbers/>
        <w:suppressAutoHyphens/>
        <w:kinsoku w:val="0"/>
        <w:overflowPunct w:val="0"/>
        <w:autoSpaceDE w:val="0"/>
        <w:autoSpaceDN w:val="0"/>
        <w:adjustRightInd w:val="0"/>
        <w:ind w:firstLine="0"/>
        <w:rPr>
          <w:rFonts w:eastAsiaTheme="minorEastAsia"/>
          <w:b/>
          <w:snapToGrid w:val="0"/>
          <w:kern w:val="22"/>
        </w:rPr>
      </w:pPr>
      <w:r w:rsidRPr="00375FE8">
        <w:rPr>
          <w:rFonts w:eastAsiaTheme="minorEastAsia"/>
          <w:b/>
          <w:snapToGrid w:val="0"/>
          <w:kern w:val="22"/>
          <w:lang w:eastAsia="zh-CN"/>
        </w:rPr>
        <w:t>关键行动</w:t>
      </w:r>
    </w:p>
    <w:p w:rsidR="00375FE8" w:rsidRPr="00375FE8" w:rsidRDefault="00375FE8" w:rsidP="000A1A91">
      <w:pPr>
        <w:numPr>
          <w:ilvl w:val="0"/>
          <w:numId w:val="52"/>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375FE8">
        <w:rPr>
          <w:rFonts w:eastAsiaTheme="minorEastAsia"/>
          <w:snapToGrid w:val="0"/>
          <w:kern w:val="22"/>
          <w:lang w:eastAsia="zh-CN"/>
        </w:rPr>
        <w:t>建立监测和评价框架，确定其</w:t>
      </w:r>
      <w:r w:rsidRPr="00E21FF4">
        <w:rPr>
          <w:rFonts w:eastAsiaTheme="minorEastAsia"/>
          <w:snapToGrid w:val="0"/>
          <w:spacing w:val="20"/>
          <w:kern w:val="22"/>
          <w:lang w:eastAsia="zh-CN"/>
        </w:rPr>
        <w:t>目标、受众（利用监测和评价的评估信息者）、数据收集、信息传播模式、现有技术和财政能力；</w:t>
      </w:r>
    </w:p>
    <w:p w:rsidR="00375FE8" w:rsidRPr="00375FE8" w:rsidRDefault="00375FE8" w:rsidP="000A1A91">
      <w:pPr>
        <w:numPr>
          <w:ilvl w:val="0"/>
          <w:numId w:val="52"/>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375FE8">
        <w:rPr>
          <w:rFonts w:eastAsiaTheme="minorEastAsia"/>
          <w:snapToGrid w:val="0"/>
          <w:kern w:val="22"/>
          <w:lang w:eastAsia="zh-CN"/>
        </w:rPr>
        <w:t>在监测和评价框架内制定结果</w:t>
      </w:r>
      <w:r w:rsidRPr="00375FE8">
        <w:rPr>
          <w:rFonts w:eastAsiaTheme="minorEastAsia"/>
          <w:snapToGrid w:val="0"/>
          <w:kern w:val="22"/>
          <w:lang w:eastAsia="zh-CN"/>
        </w:rPr>
        <w:t>/</w:t>
      </w:r>
      <w:r w:rsidRPr="00375FE8">
        <w:rPr>
          <w:rFonts w:eastAsiaTheme="minorEastAsia"/>
          <w:snapToGrid w:val="0"/>
          <w:kern w:val="22"/>
          <w:lang w:eastAsia="zh-CN"/>
        </w:rPr>
        <w:t>成果框架，详细说明基于生态系统的适应气候变化和减少灾害风险干预措施，包括中短期结果和长期成果；</w:t>
      </w:r>
    </w:p>
    <w:p w:rsidR="00375FE8" w:rsidRPr="00375FE8" w:rsidRDefault="00375FE8" w:rsidP="000A1A91">
      <w:pPr>
        <w:numPr>
          <w:ilvl w:val="0"/>
          <w:numId w:val="52"/>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375FE8">
        <w:rPr>
          <w:rFonts w:eastAsiaTheme="minorEastAsia"/>
          <w:snapToGrid w:val="0"/>
          <w:kern w:val="22"/>
          <w:lang w:eastAsia="zh-CN"/>
        </w:rPr>
        <w:t>在适当的时间和空间尺度内制定各项指标，监测变化的数量和质量：</w:t>
      </w:r>
    </w:p>
    <w:p w:rsidR="00375FE8" w:rsidRPr="00375FE8" w:rsidRDefault="00375FE8" w:rsidP="000A1A91">
      <w:pPr>
        <w:pStyle w:val="ListParagraph"/>
        <w:numPr>
          <w:ilvl w:val="2"/>
          <w:numId w:val="52"/>
        </w:numPr>
        <w:suppressLineNumbers/>
        <w:tabs>
          <w:tab w:val="left" w:pos="2160"/>
        </w:tabs>
        <w:suppressAutoHyphens/>
        <w:kinsoku w:val="0"/>
        <w:overflowPunct w:val="0"/>
        <w:autoSpaceDE w:val="0"/>
        <w:autoSpaceDN w:val="0"/>
        <w:adjustRightInd w:val="0"/>
        <w:ind w:left="2160" w:hanging="720"/>
        <w:rPr>
          <w:rFonts w:eastAsiaTheme="minorEastAsia"/>
          <w:snapToGrid w:val="0"/>
          <w:kern w:val="22"/>
          <w:lang w:eastAsia="zh-CN"/>
        </w:rPr>
      </w:pPr>
      <w:r w:rsidRPr="00375FE8">
        <w:rPr>
          <w:rFonts w:eastAsiaTheme="minorEastAsia"/>
          <w:snapToGrid w:val="0"/>
          <w:kern w:val="22"/>
          <w:lang w:eastAsia="zh-CN"/>
        </w:rPr>
        <w:t>确保监测和评价包含了符合</w:t>
      </w:r>
      <w:r w:rsidRPr="00375FE8">
        <w:rPr>
          <w:rFonts w:eastAsiaTheme="minorEastAsia"/>
          <w:snapToGrid w:val="0"/>
          <w:kern w:val="22"/>
          <w:lang w:eastAsia="zh-CN"/>
        </w:rPr>
        <w:t>SMART</w:t>
      </w:r>
      <w:r w:rsidRPr="00375FE8">
        <w:rPr>
          <w:rFonts w:eastAsiaTheme="minorEastAsia"/>
          <w:snapToGrid w:val="0"/>
          <w:kern w:val="22"/>
          <w:lang w:eastAsia="zh-CN"/>
        </w:rPr>
        <w:t>标准（具体、可衡量、可实现和可归属、相关和现实、有时限、及时、可跟踪和有针对性）和</w:t>
      </w:r>
      <w:r w:rsidRPr="00375FE8">
        <w:rPr>
          <w:rFonts w:eastAsiaTheme="minorEastAsia"/>
          <w:snapToGrid w:val="0"/>
          <w:kern w:val="22"/>
          <w:lang w:eastAsia="zh-CN"/>
        </w:rPr>
        <w:t>/</w:t>
      </w:r>
      <w:r w:rsidRPr="00375FE8">
        <w:rPr>
          <w:rFonts w:eastAsiaTheme="minorEastAsia"/>
          <w:snapToGrid w:val="0"/>
          <w:kern w:val="22"/>
          <w:lang w:eastAsia="zh-CN"/>
        </w:rPr>
        <w:t>或</w:t>
      </w:r>
      <w:r w:rsidRPr="00375FE8">
        <w:rPr>
          <w:rFonts w:eastAsiaTheme="minorEastAsia"/>
          <w:snapToGrid w:val="0"/>
          <w:kern w:val="22"/>
          <w:lang w:eastAsia="zh-CN"/>
        </w:rPr>
        <w:t>ADAPT</w:t>
      </w:r>
      <w:r w:rsidRPr="00375FE8">
        <w:rPr>
          <w:rFonts w:eastAsiaTheme="minorEastAsia"/>
          <w:snapToGrid w:val="0"/>
          <w:kern w:val="22"/>
          <w:lang w:eastAsia="zh-CN"/>
        </w:rPr>
        <w:t>原则（</w:t>
      </w:r>
      <w:r w:rsidRPr="00E21FF4">
        <w:rPr>
          <w:rFonts w:eastAsiaTheme="minorEastAsia"/>
          <w:snapToGrid w:val="0"/>
          <w:spacing w:val="20"/>
          <w:kern w:val="22"/>
          <w:lang w:eastAsia="zh-CN"/>
        </w:rPr>
        <w:t>适应性、动态性、主动性、参与性、周密性</w:t>
      </w:r>
      <w:r w:rsidRPr="00375FE8">
        <w:rPr>
          <w:rFonts w:eastAsiaTheme="minorEastAsia"/>
          <w:snapToGrid w:val="0"/>
          <w:kern w:val="22"/>
          <w:lang w:eastAsia="zh-CN"/>
        </w:rPr>
        <w:t>）的指标；</w:t>
      </w:r>
      <w:r w:rsidRPr="00D86654">
        <w:rPr>
          <w:rStyle w:val="FootnoteReference"/>
          <w:rFonts w:eastAsiaTheme="minorEastAsia"/>
          <w:snapToGrid w:val="0"/>
          <w:kern w:val="22"/>
          <w:sz w:val="24"/>
          <w:u w:val="none"/>
          <w:vertAlign w:val="superscript"/>
        </w:rPr>
        <w:footnoteReference w:id="83"/>
      </w:r>
    </w:p>
    <w:p w:rsidR="00375FE8" w:rsidRPr="00375FE8" w:rsidRDefault="00375FE8" w:rsidP="000A1A91">
      <w:pPr>
        <w:pStyle w:val="ListParagraph"/>
        <w:numPr>
          <w:ilvl w:val="2"/>
          <w:numId w:val="52"/>
        </w:numPr>
        <w:suppressLineNumbers/>
        <w:tabs>
          <w:tab w:val="left" w:pos="2160"/>
        </w:tabs>
        <w:suppressAutoHyphens/>
        <w:kinsoku w:val="0"/>
        <w:overflowPunct w:val="0"/>
        <w:autoSpaceDE w:val="0"/>
        <w:autoSpaceDN w:val="0"/>
        <w:adjustRightInd w:val="0"/>
        <w:ind w:left="2160" w:hanging="720"/>
        <w:rPr>
          <w:rFonts w:eastAsiaTheme="minorEastAsia"/>
          <w:snapToGrid w:val="0"/>
          <w:kern w:val="22"/>
          <w:lang w:eastAsia="zh-CN"/>
        </w:rPr>
      </w:pPr>
      <w:r w:rsidRPr="00375FE8">
        <w:rPr>
          <w:rFonts w:eastAsiaTheme="minorEastAsia"/>
          <w:snapToGrid w:val="0"/>
          <w:kern w:val="22"/>
          <w:lang w:eastAsia="zh-CN"/>
        </w:rPr>
        <w:t>确保指标以脆弱性和风险为导向和重点，并能测量高风险与低风险以及基于生态系统的适应气候变化和减少灾害风险干预措施如何随着时间的推移减少风险。必须定义</w:t>
      </w:r>
      <w:r w:rsidRPr="00375FE8">
        <w:rPr>
          <w:rFonts w:eastAsiaTheme="minorEastAsia"/>
          <w:snapToGrid w:val="0"/>
          <w:kern w:val="22"/>
          <w:lang w:eastAsia="zh-CN"/>
        </w:rPr>
        <w:t>“</w:t>
      </w:r>
      <w:r w:rsidRPr="00375FE8">
        <w:rPr>
          <w:rFonts w:eastAsiaTheme="minorEastAsia"/>
          <w:snapToGrid w:val="0"/>
          <w:kern w:val="22"/>
          <w:lang w:eastAsia="zh-CN"/>
        </w:rPr>
        <w:t>风险层次</w:t>
      </w:r>
      <w:r w:rsidRPr="00375FE8">
        <w:rPr>
          <w:rFonts w:eastAsiaTheme="minorEastAsia"/>
          <w:snapToGrid w:val="0"/>
          <w:kern w:val="22"/>
          <w:lang w:eastAsia="zh-CN"/>
        </w:rPr>
        <w:t>”</w:t>
      </w:r>
      <w:r w:rsidRPr="00375FE8">
        <w:rPr>
          <w:rFonts w:eastAsiaTheme="minorEastAsia"/>
          <w:snapToGrid w:val="0"/>
          <w:kern w:val="22"/>
          <w:lang w:eastAsia="zh-CN"/>
        </w:rPr>
        <w:t>，并确定哪些风险应优先利用指标进行衡量；</w:t>
      </w:r>
    </w:p>
    <w:p w:rsidR="00375FE8" w:rsidRPr="00375FE8" w:rsidRDefault="00375FE8" w:rsidP="000A1A91">
      <w:pPr>
        <w:pStyle w:val="ListParagraph"/>
        <w:numPr>
          <w:ilvl w:val="2"/>
          <w:numId w:val="52"/>
        </w:numPr>
        <w:suppressLineNumbers/>
        <w:tabs>
          <w:tab w:val="left" w:pos="2160"/>
        </w:tabs>
        <w:suppressAutoHyphens/>
        <w:kinsoku w:val="0"/>
        <w:overflowPunct w:val="0"/>
        <w:autoSpaceDE w:val="0"/>
        <w:autoSpaceDN w:val="0"/>
        <w:adjustRightInd w:val="0"/>
        <w:ind w:left="2160" w:hanging="720"/>
        <w:rPr>
          <w:rFonts w:eastAsiaTheme="minorEastAsia"/>
          <w:snapToGrid w:val="0"/>
          <w:kern w:val="22"/>
          <w:lang w:eastAsia="zh-CN"/>
        </w:rPr>
      </w:pPr>
      <w:r w:rsidRPr="00375FE8">
        <w:rPr>
          <w:rFonts w:eastAsiaTheme="minorEastAsia"/>
          <w:snapToGrid w:val="0"/>
          <w:kern w:val="22"/>
          <w:lang w:eastAsia="zh-CN"/>
        </w:rPr>
        <w:t>利用可持续发展目标、爱知生物多样性指标和其他相关框架下的各项目标和指标追踪可持续生态系统管理和加强生物多样性的进展情况，这些目标和指标也将用来加强对气候变化影响和灾害的抗击能力；</w:t>
      </w:r>
    </w:p>
    <w:p w:rsidR="00375FE8" w:rsidRPr="00375FE8" w:rsidRDefault="00375FE8" w:rsidP="000A1A91">
      <w:pPr>
        <w:pStyle w:val="ListParagraph"/>
        <w:numPr>
          <w:ilvl w:val="2"/>
          <w:numId w:val="52"/>
        </w:numPr>
        <w:suppressLineNumbers/>
        <w:tabs>
          <w:tab w:val="left" w:pos="2160"/>
        </w:tabs>
        <w:suppressAutoHyphens/>
        <w:kinsoku w:val="0"/>
        <w:overflowPunct w:val="0"/>
        <w:autoSpaceDE w:val="0"/>
        <w:autoSpaceDN w:val="0"/>
        <w:adjustRightInd w:val="0"/>
        <w:ind w:left="2160" w:hanging="720"/>
        <w:rPr>
          <w:rFonts w:eastAsiaTheme="minorEastAsia"/>
          <w:snapToGrid w:val="0"/>
          <w:kern w:val="22"/>
          <w:lang w:eastAsia="zh-CN"/>
        </w:rPr>
      </w:pPr>
      <w:r w:rsidRPr="00375FE8">
        <w:rPr>
          <w:rFonts w:eastAsiaTheme="minorEastAsia"/>
          <w:snapToGrid w:val="0"/>
          <w:kern w:val="22"/>
          <w:lang w:eastAsia="zh-CN"/>
        </w:rPr>
        <w:t>尽可能使指标与现有的监测和评价框架保持一致；</w:t>
      </w:r>
    </w:p>
    <w:p w:rsidR="00375FE8" w:rsidRPr="00375FE8" w:rsidRDefault="00375FE8" w:rsidP="000A1A91">
      <w:pPr>
        <w:numPr>
          <w:ilvl w:val="0"/>
          <w:numId w:val="52"/>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375FE8">
        <w:rPr>
          <w:rFonts w:eastAsiaTheme="minorEastAsia"/>
          <w:snapToGrid w:val="0"/>
          <w:kern w:val="22"/>
          <w:lang w:eastAsia="zh-CN"/>
        </w:rPr>
        <w:t>确定评估有效性的基线；</w:t>
      </w:r>
    </w:p>
    <w:p w:rsidR="00375FE8" w:rsidRPr="00375FE8" w:rsidRDefault="00375FE8" w:rsidP="000A1A91">
      <w:pPr>
        <w:numPr>
          <w:ilvl w:val="0"/>
          <w:numId w:val="52"/>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375FE8">
        <w:rPr>
          <w:rFonts w:eastAsiaTheme="minorEastAsia"/>
          <w:snapToGrid w:val="0"/>
          <w:kern w:val="22"/>
          <w:lang w:eastAsia="zh-CN"/>
        </w:rPr>
        <w:t>利用适当的参与性和包容性工具监测和评价基于生态系统的适应气候变化和减少灾害风险，确保地方社区、利益攸关方和权利持有人参与。</w:t>
      </w:r>
      <w:r w:rsidRPr="00D86654">
        <w:rPr>
          <w:rStyle w:val="FootnoteReference"/>
          <w:rFonts w:eastAsiaTheme="minorEastAsia"/>
          <w:snapToGrid w:val="0"/>
          <w:kern w:val="22"/>
          <w:sz w:val="24"/>
          <w:u w:val="none"/>
          <w:vertAlign w:val="superscript"/>
        </w:rPr>
        <w:footnoteReference w:id="84"/>
      </w:r>
      <w:r w:rsidRPr="00D86654">
        <w:rPr>
          <w:rStyle w:val="FootnoteReference"/>
          <w:sz w:val="24"/>
          <w:u w:val="none"/>
          <w:vertAlign w:val="superscript"/>
          <w:lang w:eastAsia="zh-CN"/>
        </w:rPr>
        <w:t xml:space="preserve"> </w:t>
      </w:r>
      <w:r w:rsidRPr="00375FE8">
        <w:rPr>
          <w:rFonts w:eastAsiaTheme="minorEastAsia"/>
          <w:snapToGrid w:val="0"/>
          <w:kern w:val="22"/>
          <w:lang w:eastAsia="zh-CN"/>
        </w:rPr>
        <w:t>确保有关专家的参与，如生态系统</w:t>
      </w:r>
      <w:r w:rsidRPr="00375FE8">
        <w:rPr>
          <w:rFonts w:eastAsiaTheme="minorEastAsia"/>
          <w:snapToGrid w:val="0"/>
          <w:kern w:val="22"/>
          <w:lang w:eastAsia="zh-CN"/>
        </w:rPr>
        <w:t>/</w:t>
      </w:r>
      <w:r w:rsidRPr="00375FE8">
        <w:rPr>
          <w:rFonts w:eastAsiaTheme="minorEastAsia"/>
          <w:snapToGrid w:val="0"/>
          <w:kern w:val="22"/>
          <w:lang w:eastAsia="zh-CN"/>
        </w:rPr>
        <w:t>物种状态和生态系统职能方面的专家；</w:t>
      </w:r>
    </w:p>
    <w:p w:rsidR="00375FE8" w:rsidRPr="00375FE8" w:rsidRDefault="00375FE8" w:rsidP="000A1A91">
      <w:pPr>
        <w:numPr>
          <w:ilvl w:val="0"/>
          <w:numId w:val="52"/>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375FE8">
        <w:rPr>
          <w:rFonts w:eastAsiaTheme="minorEastAsia"/>
          <w:snapToGrid w:val="0"/>
          <w:kern w:val="22"/>
          <w:lang w:eastAsia="zh-CN"/>
        </w:rPr>
        <w:t>测试</w:t>
      </w:r>
      <w:r w:rsidRPr="00375FE8">
        <w:rPr>
          <w:rFonts w:eastAsiaTheme="minorEastAsia"/>
          <w:snapToGrid w:val="0"/>
          <w:spacing w:val="20"/>
          <w:kern w:val="22"/>
          <w:lang w:eastAsia="zh-CN"/>
        </w:rPr>
        <w:t>与地方相关的基于生态系统的适应气候变化和减少灾害风险的有关指标</w:t>
      </w:r>
      <w:r w:rsidRPr="00375FE8">
        <w:rPr>
          <w:rFonts w:eastAsiaTheme="minorEastAsia"/>
          <w:snapToGrid w:val="0"/>
          <w:kern w:val="22"/>
          <w:lang w:eastAsia="zh-CN"/>
        </w:rPr>
        <w:t>。</w:t>
      </w:r>
    </w:p>
    <w:p w:rsidR="008F12F5" w:rsidRPr="00707179" w:rsidRDefault="008F12F5" w:rsidP="00FF4964">
      <w:pPr>
        <w:pStyle w:val="Heading1"/>
        <w:spacing w:before="120" w:after="120"/>
        <w:ind w:firstLine="0"/>
        <w:rPr>
          <w:rFonts w:eastAsiaTheme="minorEastAsia" w:cs="Times New Roman"/>
          <w:caps/>
          <w:noProof/>
          <w:kern w:val="22"/>
          <w:sz w:val="24"/>
          <w:lang w:eastAsia="zh-CN"/>
        </w:rPr>
      </w:pPr>
      <w:bookmarkStart w:id="66" w:name="_Toc6243686"/>
      <w:bookmarkEnd w:id="30"/>
      <w:bookmarkEnd w:id="31"/>
      <w:r w:rsidRPr="00707179">
        <w:rPr>
          <w:rFonts w:eastAsiaTheme="minorEastAsia" w:cs="Times New Roman"/>
          <w:noProof/>
          <w:kern w:val="22"/>
          <w:sz w:val="24"/>
          <w:lang w:eastAsia="zh-CN"/>
        </w:rPr>
        <w:lastRenderedPageBreak/>
        <w:t>14/6.</w:t>
      </w:r>
      <w:r w:rsidRPr="00707179">
        <w:rPr>
          <w:rFonts w:eastAsiaTheme="minorEastAsia" w:cs="Times New Roman"/>
          <w:noProof/>
          <w:kern w:val="22"/>
          <w:sz w:val="24"/>
          <w:lang w:eastAsia="zh-CN"/>
        </w:rPr>
        <w:tab/>
      </w:r>
      <w:r w:rsidRPr="00707179">
        <w:rPr>
          <w:rFonts w:eastAsiaTheme="minorEastAsia" w:cs="Times New Roman"/>
          <w:noProof/>
          <w:kern w:val="22"/>
          <w:sz w:val="24"/>
          <w:lang w:eastAsia="zh-CN"/>
        </w:rPr>
        <w:t>保护和可持续利用授粉媒介</w:t>
      </w:r>
      <w:bookmarkEnd w:id="66"/>
      <w:r w:rsidRPr="00707179">
        <w:rPr>
          <w:rFonts w:eastAsiaTheme="minorEastAsia" w:cs="Times New Roman"/>
          <w:noProof/>
          <w:kern w:val="22"/>
          <w:sz w:val="24"/>
          <w:lang w:eastAsia="zh-CN"/>
        </w:rPr>
        <w:t xml:space="preserve"> </w:t>
      </w:r>
    </w:p>
    <w:p w:rsidR="008F12F5" w:rsidRDefault="008F12F5" w:rsidP="008F12F5">
      <w:pPr>
        <w:pStyle w:val="Para1"/>
        <w:tabs>
          <w:tab w:val="clear" w:pos="360"/>
        </w:tabs>
        <w:adjustRightInd w:val="0"/>
        <w:rPr>
          <w:rFonts w:hAnsi="SimSun"/>
          <w:i/>
          <w:noProof/>
          <w:kern w:val="22"/>
          <w:sz w:val="24"/>
          <w:szCs w:val="24"/>
          <w:lang w:eastAsia="zh-CN"/>
        </w:rPr>
      </w:pPr>
      <w:r w:rsidRPr="004C4203">
        <w:rPr>
          <w:rFonts w:ascii="KaiTi" w:eastAsia="KaiTi" w:hAnsi="KaiTi"/>
          <w:kern w:val="22"/>
          <w:sz w:val="24"/>
          <w:szCs w:val="24"/>
          <w:lang w:val="zh-CN" w:eastAsia="zh-CN"/>
        </w:rPr>
        <w:t>缔约方大会</w:t>
      </w:r>
      <w:r w:rsidRPr="004C4203">
        <w:rPr>
          <w:rFonts w:hAnsi="SimSun"/>
          <w:noProof/>
          <w:kern w:val="22"/>
          <w:sz w:val="24"/>
          <w:szCs w:val="24"/>
          <w:lang w:eastAsia="zh-CN"/>
        </w:rPr>
        <w:t>，</w:t>
      </w:r>
    </w:p>
    <w:p w:rsidR="008F12F5" w:rsidRPr="00226587" w:rsidRDefault="008F12F5" w:rsidP="008F12F5">
      <w:pPr>
        <w:suppressLineNumbers/>
        <w:tabs>
          <w:tab w:val="left" w:pos="1440"/>
        </w:tabs>
        <w:suppressAutoHyphens/>
        <w:adjustRightInd w:val="0"/>
        <w:snapToGrid w:val="0"/>
        <w:rPr>
          <w:rStyle w:val="Hyperlink"/>
          <w:rFonts w:eastAsiaTheme="minorEastAsia"/>
          <w:lang w:eastAsia="zh-CN"/>
        </w:rPr>
      </w:pPr>
      <w:r w:rsidRPr="00226587">
        <w:rPr>
          <w:rFonts w:ascii="KaiTi" w:eastAsia="KaiTi" w:hAnsi="KaiTi" w:cs="SimSun"/>
          <w:kern w:val="22"/>
          <w:lang w:eastAsia="zh-CN"/>
        </w:rPr>
        <w:t>回顾</w:t>
      </w:r>
      <w:r w:rsidRPr="00226587">
        <w:rPr>
          <w:rFonts w:eastAsiaTheme="minorEastAsia"/>
          <w:snapToGrid w:val="0"/>
          <w:kern w:val="22"/>
          <w:lang w:eastAsia="zh-CN"/>
        </w:rPr>
        <w:t>第</w:t>
      </w:r>
      <w:hyperlink r:id="rId40" w:history="1">
        <w:r w:rsidRPr="00226587">
          <w:rPr>
            <w:rStyle w:val="Hyperlink"/>
            <w:rFonts w:eastAsiaTheme="minorEastAsia"/>
            <w:spacing w:val="-4"/>
            <w:kern w:val="22"/>
            <w:lang w:eastAsia="zh-CN"/>
          </w:rPr>
          <w:t>III/11</w:t>
        </w:r>
      </w:hyperlink>
      <w:r w:rsidRPr="00226587">
        <w:rPr>
          <w:rFonts w:eastAsiaTheme="minorEastAsia"/>
          <w:snapToGrid w:val="0"/>
          <w:kern w:val="22"/>
          <w:lang w:eastAsia="zh-CN"/>
        </w:rPr>
        <w:t>号决定附件三、第</w:t>
      </w:r>
      <w:hyperlink r:id="rId41" w:history="1">
        <w:r w:rsidRPr="00226587">
          <w:rPr>
            <w:rStyle w:val="Hyperlink"/>
            <w:rFonts w:eastAsiaTheme="minorEastAsia"/>
            <w:lang w:eastAsia="zh-CN"/>
          </w:rPr>
          <w:t>V/5</w:t>
        </w:r>
      </w:hyperlink>
      <w:r w:rsidRPr="00226587">
        <w:rPr>
          <w:rFonts w:eastAsiaTheme="minorEastAsia"/>
          <w:snapToGrid w:val="0"/>
          <w:kern w:val="22"/>
          <w:lang w:eastAsia="zh-CN"/>
        </w:rPr>
        <w:t>号决定、第</w:t>
      </w:r>
      <w:hyperlink r:id="rId42" w:history="1">
        <w:r w:rsidRPr="00226587">
          <w:rPr>
            <w:rStyle w:val="Hyperlink"/>
            <w:rFonts w:eastAsiaTheme="minorEastAsia"/>
            <w:snapToGrid w:val="0"/>
            <w:kern w:val="22"/>
            <w:lang w:eastAsia="zh-CN"/>
          </w:rPr>
          <w:t>VI/5</w:t>
        </w:r>
      </w:hyperlink>
      <w:r w:rsidRPr="00226587">
        <w:rPr>
          <w:rFonts w:eastAsiaTheme="minorEastAsia"/>
          <w:snapToGrid w:val="0"/>
          <w:kern w:val="22"/>
          <w:lang w:eastAsia="zh-CN"/>
        </w:rPr>
        <w:t>号决定和第</w:t>
      </w:r>
      <w:hyperlink r:id="rId43" w:history="1">
        <w:r w:rsidRPr="00226587">
          <w:rPr>
            <w:rStyle w:val="Hyperlink"/>
            <w:rFonts w:eastAsiaTheme="minorEastAsia"/>
            <w:snapToGrid w:val="0"/>
            <w:kern w:val="22"/>
            <w:lang w:eastAsia="zh-CN"/>
          </w:rPr>
          <w:t>XIII/15</w:t>
        </w:r>
      </w:hyperlink>
      <w:r w:rsidRPr="00226587">
        <w:rPr>
          <w:rFonts w:eastAsiaTheme="minorEastAsia"/>
          <w:snapToGrid w:val="0"/>
          <w:kern w:val="22"/>
          <w:lang w:eastAsia="zh-CN"/>
        </w:rPr>
        <w:t>号决定，</w:t>
      </w:r>
    </w:p>
    <w:p w:rsidR="008F12F5" w:rsidRPr="00226587" w:rsidRDefault="008F12F5" w:rsidP="008F12F5">
      <w:pPr>
        <w:suppressLineNumbers/>
        <w:tabs>
          <w:tab w:val="left" w:pos="1440"/>
        </w:tabs>
        <w:suppressAutoHyphens/>
        <w:adjustRightInd w:val="0"/>
        <w:snapToGrid w:val="0"/>
        <w:rPr>
          <w:rFonts w:eastAsiaTheme="minorEastAsia"/>
          <w:i/>
          <w:lang w:eastAsia="zh-CN"/>
        </w:rPr>
      </w:pPr>
      <w:r w:rsidRPr="00226587">
        <w:rPr>
          <w:rFonts w:ascii="KaiTi" w:eastAsia="KaiTi" w:hAnsi="KaiTi" w:cs="SimSun"/>
          <w:kern w:val="22"/>
          <w:lang w:eastAsia="zh-CN"/>
        </w:rPr>
        <w:t>注意到</w:t>
      </w:r>
      <w:r w:rsidRPr="00226587">
        <w:rPr>
          <w:rFonts w:eastAsiaTheme="minorEastAsia"/>
          <w:snapToGrid w:val="0"/>
          <w:kern w:val="22"/>
          <w:lang w:eastAsia="zh-CN"/>
        </w:rPr>
        <w:t>授粉媒介和授粉对所有生态系统，包括农业和粮食生产系统以外的生态系统的重要性，特别是对土著人民和地方社区生计和文化的重要性，并</w:t>
      </w:r>
      <w:r w:rsidRPr="009040A6">
        <w:rPr>
          <w:rFonts w:ascii="KaiTi" w:eastAsia="KaiTi" w:hAnsi="KaiTi" w:cs="SimSun"/>
          <w:kern w:val="22"/>
          <w:lang w:eastAsia="zh-CN"/>
        </w:rPr>
        <w:t>认识到</w:t>
      </w:r>
      <w:r w:rsidRPr="00226587">
        <w:rPr>
          <w:rFonts w:eastAsiaTheme="minorEastAsia"/>
          <w:snapToGrid w:val="0"/>
          <w:kern w:val="22"/>
          <w:lang w:eastAsia="zh-CN"/>
        </w:rPr>
        <w:t>促进保护和可持续利用授粉媒介及授粉功能和服务的各项活动对</w:t>
      </w:r>
      <w:r>
        <w:rPr>
          <w:rFonts w:eastAsiaTheme="minorEastAsia" w:hint="eastAsia"/>
          <w:snapToGrid w:val="0"/>
          <w:kern w:val="22"/>
          <w:lang w:eastAsia="zh-CN"/>
        </w:rPr>
        <w:t>实现</w:t>
      </w:r>
      <w:r>
        <w:rPr>
          <w:rFonts w:eastAsiaTheme="minorEastAsia"/>
          <w:snapToGrid w:val="0"/>
          <w:kern w:val="22"/>
          <w:lang w:eastAsia="zh-CN"/>
        </w:rPr>
        <w:t>《爱知生物多样性指标》</w:t>
      </w:r>
      <w:r w:rsidRPr="00226587">
        <w:rPr>
          <w:rFonts w:eastAsiaTheme="minorEastAsia"/>
          <w:snapToGrid w:val="0"/>
          <w:kern w:val="22"/>
          <w:lang w:eastAsia="zh-CN"/>
        </w:rPr>
        <w:t>和</w:t>
      </w:r>
      <w:r>
        <w:rPr>
          <w:rFonts w:eastAsiaTheme="minorEastAsia" w:hint="eastAsia"/>
          <w:snapToGrid w:val="0"/>
          <w:kern w:val="22"/>
          <w:lang w:eastAsia="zh-CN"/>
        </w:rPr>
        <w:t>《</w:t>
      </w:r>
      <w:r w:rsidRPr="00226587">
        <w:rPr>
          <w:rFonts w:eastAsiaTheme="minorEastAsia"/>
          <w:snapToGrid w:val="0"/>
          <w:kern w:val="22"/>
          <w:lang w:eastAsia="zh-CN"/>
        </w:rPr>
        <w:t>可持续发展目标</w:t>
      </w:r>
      <w:r>
        <w:rPr>
          <w:rFonts w:eastAsiaTheme="minorEastAsia" w:hint="eastAsia"/>
          <w:snapToGrid w:val="0"/>
          <w:kern w:val="22"/>
          <w:lang w:eastAsia="zh-CN"/>
        </w:rPr>
        <w:t>》</w:t>
      </w:r>
      <w:r w:rsidRPr="00226587">
        <w:rPr>
          <w:rFonts w:eastAsiaTheme="minorEastAsia"/>
          <w:snapToGrid w:val="0"/>
          <w:kern w:val="22"/>
          <w:lang w:eastAsia="zh-CN"/>
        </w:rPr>
        <w:t>的重要贡献，</w:t>
      </w:r>
    </w:p>
    <w:p w:rsidR="008F12F5" w:rsidRPr="00226587" w:rsidRDefault="008F12F5" w:rsidP="008F12F5">
      <w:pPr>
        <w:suppressLineNumbers/>
        <w:tabs>
          <w:tab w:val="left" w:pos="1440"/>
        </w:tabs>
        <w:suppressAutoHyphens/>
        <w:adjustRightInd w:val="0"/>
        <w:snapToGrid w:val="0"/>
        <w:rPr>
          <w:rFonts w:eastAsiaTheme="minorEastAsia"/>
          <w:snapToGrid w:val="0"/>
          <w:kern w:val="22"/>
          <w:lang w:eastAsia="zh-CN"/>
        </w:rPr>
      </w:pPr>
      <w:r>
        <w:rPr>
          <w:rFonts w:ascii="KaiTi" w:eastAsia="KaiTi" w:hAnsi="KaiTi" w:cs="SimSun" w:hint="eastAsia"/>
          <w:kern w:val="22"/>
          <w:lang w:eastAsia="zh-CN"/>
        </w:rPr>
        <w:t>深信</w:t>
      </w:r>
      <w:r w:rsidRPr="00226587">
        <w:rPr>
          <w:rFonts w:eastAsiaTheme="minorEastAsia"/>
          <w:lang w:eastAsia="zh-CN"/>
        </w:rPr>
        <w:t>促进保护和可持续利用授粉媒介及授粉功能和服务的活动是通过促进农业部门和各部门采用更可持续的做法向建立更可持续的粮食系统过渡的关键要素</w:t>
      </w:r>
      <w:r w:rsidRPr="00226587">
        <w:rPr>
          <w:rFonts w:eastAsiaTheme="minorEastAsia"/>
          <w:snapToGrid w:val="0"/>
          <w:kern w:val="22"/>
          <w:lang w:eastAsia="zh-CN"/>
        </w:rPr>
        <w:t>，</w:t>
      </w:r>
    </w:p>
    <w:p w:rsidR="008F12F5" w:rsidRPr="00226587" w:rsidRDefault="008F12F5" w:rsidP="0069685F">
      <w:pPr>
        <w:pStyle w:val="Para1"/>
        <w:numPr>
          <w:ilvl w:val="0"/>
          <w:numId w:val="77"/>
        </w:numPr>
        <w:tabs>
          <w:tab w:val="left" w:pos="1440"/>
        </w:tabs>
        <w:adjustRightInd w:val="0"/>
        <w:snapToGrid w:val="0"/>
        <w:ind w:left="0" w:firstLine="720"/>
        <w:rPr>
          <w:rFonts w:eastAsiaTheme="minorEastAsia"/>
          <w:kern w:val="22"/>
          <w:sz w:val="24"/>
          <w:szCs w:val="24"/>
          <w:lang w:eastAsia="zh-CN"/>
        </w:rPr>
      </w:pPr>
      <w:r w:rsidRPr="00724A92">
        <w:rPr>
          <w:rFonts w:ascii="KaiTi" w:eastAsia="KaiTi" w:hAnsi="KaiTi" w:cs="SimSun"/>
          <w:kern w:val="22"/>
          <w:sz w:val="24"/>
          <w:szCs w:val="24"/>
          <w:lang w:eastAsia="zh-CN"/>
        </w:rPr>
        <w:t>通过</w:t>
      </w:r>
      <w:r w:rsidRPr="00226587">
        <w:rPr>
          <w:rFonts w:eastAsiaTheme="minorEastAsia"/>
          <w:kern w:val="22"/>
          <w:sz w:val="24"/>
          <w:szCs w:val="24"/>
          <w:lang w:eastAsia="zh-CN"/>
        </w:rPr>
        <w:t>本决定附件一所载《保护与可持续利用授粉媒介国际倡议</w:t>
      </w:r>
      <w:r w:rsidRPr="00226587">
        <w:rPr>
          <w:rFonts w:eastAsiaTheme="minorEastAsia"/>
          <w:kern w:val="22"/>
          <w:sz w:val="24"/>
          <w:szCs w:val="24"/>
          <w:lang w:eastAsia="zh-CN"/>
        </w:rPr>
        <w:t>2018-2030</w:t>
      </w:r>
      <w:r>
        <w:rPr>
          <w:rFonts w:eastAsiaTheme="minorEastAsia"/>
          <w:kern w:val="22"/>
          <w:sz w:val="24"/>
          <w:szCs w:val="24"/>
          <w:lang w:eastAsia="zh-CN"/>
        </w:rPr>
        <w:t>年行动计划》，</w:t>
      </w:r>
      <w:r>
        <w:rPr>
          <w:rFonts w:eastAsiaTheme="minorEastAsia" w:hint="eastAsia"/>
          <w:kern w:val="22"/>
          <w:sz w:val="24"/>
          <w:szCs w:val="24"/>
          <w:lang w:eastAsia="zh-CN"/>
        </w:rPr>
        <w:t>以便根据</w:t>
      </w:r>
      <w:r>
        <w:rPr>
          <w:rFonts w:eastAsiaTheme="minorEastAsia"/>
          <w:kern w:val="22"/>
          <w:sz w:val="24"/>
          <w:szCs w:val="24"/>
          <w:lang w:eastAsia="zh-CN"/>
        </w:rPr>
        <w:t>国家立法和</w:t>
      </w:r>
      <w:r w:rsidRPr="00226587">
        <w:rPr>
          <w:rFonts w:eastAsiaTheme="minorEastAsia"/>
          <w:kern w:val="22"/>
          <w:sz w:val="24"/>
          <w:szCs w:val="24"/>
          <w:lang w:eastAsia="zh-CN"/>
        </w:rPr>
        <w:t>国情付诸实施；</w:t>
      </w:r>
    </w:p>
    <w:p w:rsidR="008F12F5" w:rsidRPr="00226587" w:rsidRDefault="008F12F5" w:rsidP="0069685F">
      <w:pPr>
        <w:pStyle w:val="Para1"/>
        <w:numPr>
          <w:ilvl w:val="0"/>
          <w:numId w:val="77"/>
        </w:numPr>
        <w:tabs>
          <w:tab w:val="left" w:pos="1440"/>
        </w:tabs>
        <w:adjustRightInd w:val="0"/>
        <w:snapToGrid w:val="0"/>
        <w:ind w:left="0" w:firstLine="720"/>
        <w:rPr>
          <w:rFonts w:eastAsiaTheme="minorEastAsia"/>
          <w:kern w:val="22"/>
          <w:sz w:val="24"/>
          <w:szCs w:val="24"/>
          <w:lang w:eastAsia="zh-CN"/>
        </w:rPr>
      </w:pPr>
      <w:r w:rsidRPr="009040A6">
        <w:rPr>
          <w:rFonts w:ascii="KaiTi" w:eastAsia="KaiTi" w:hAnsi="KaiTi" w:cs="SimSun" w:hint="eastAsia"/>
          <w:kern w:val="22"/>
          <w:sz w:val="24"/>
          <w:szCs w:val="24"/>
          <w:lang w:eastAsia="zh-CN"/>
        </w:rPr>
        <w:t>赞赏地</w:t>
      </w:r>
      <w:r w:rsidRPr="00226587">
        <w:rPr>
          <w:rFonts w:ascii="KaiTi" w:eastAsia="KaiTi" w:hAnsi="KaiTi" w:cs="SimSun"/>
          <w:kern w:val="22"/>
          <w:sz w:val="24"/>
          <w:szCs w:val="24"/>
          <w:lang w:eastAsia="zh-CN"/>
        </w:rPr>
        <w:t>注意到</w:t>
      </w:r>
      <w:r w:rsidRPr="00226587">
        <w:rPr>
          <w:rFonts w:eastAsiaTheme="minorEastAsia"/>
          <w:kern w:val="22"/>
          <w:sz w:val="24"/>
          <w:szCs w:val="24"/>
          <w:lang w:eastAsia="zh-CN"/>
        </w:rPr>
        <w:t>本决定附件二所载</w:t>
      </w:r>
      <w:r w:rsidRPr="00226587">
        <w:rPr>
          <w:rFonts w:eastAsiaTheme="minorEastAsia"/>
          <w:sz w:val="24"/>
          <w:szCs w:val="24"/>
          <w:lang w:eastAsia="zh-CN"/>
        </w:rPr>
        <w:t>关于授粉媒介和授粉在农业和粮食生产中的作用外与所有生态系统中保护和可持续利用生物多样性相关的信息摘要</w:t>
      </w:r>
      <w:r w:rsidRPr="00226587">
        <w:rPr>
          <w:rFonts w:eastAsiaTheme="minorEastAsia"/>
          <w:kern w:val="22"/>
          <w:sz w:val="24"/>
          <w:szCs w:val="24"/>
          <w:lang w:eastAsia="zh-CN"/>
        </w:rPr>
        <w:t>；</w:t>
      </w:r>
    </w:p>
    <w:p w:rsidR="008F12F5" w:rsidRPr="00226587" w:rsidRDefault="008F12F5" w:rsidP="0069685F">
      <w:pPr>
        <w:pStyle w:val="Para1"/>
        <w:numPr>
          <w:ilvl w:val="0"/>
          <w:numId w:val="77"/>
        </w:numPr>
        <w:tabs>
          <w:tab w:val="left" w:pos="1440"/>
        </w:tabs>
        <w:adjustRightInd w:val="0"/>
        <w:snapToGrid w:val="0"/>
        <w:ind w:left="0" w:firstLine="720"/>
        <w:rPr>
          <w:rFonts w:eastAsiaTheme="minorEastAsia"/>
          <w:kern w:val="22"/>
          <w:sz w:val="24"/>
          <w:szCs w:val="24"/>
          <w:lang w:eastAsia="zh-CN"/>
        </w:rPr>
      </w:pPr>
      <w:r w:rsidRPr="00226587">
        <w:rPr>
          <w:rFonts w:ascii="KaiTi" w:eastAsia="KaiTi" w:hAnsi="KaiTi" w:cs="SimSun"/>
          <w:kern w:val="22"/>
          <w:sz w:val="24"/>
          <w:szCs w:val="24"/>
          <w:lang w:eastAsia="zh-CN"/>
        </w:rPr>
        <w:t>鼓励</w:t>
      </w:r>
      <w:r w:rsidRPr="00226587">
        <w:rPr>
          <w:rFonts w:eastAsiaTheme="minorEastAsia"/>
          <w:sz w:val="24"/>
          <w:szCs w:val="24"/>
          <w:lang w:eastAsia="zh-CN"/>
        </w:rPr>
        <w:t>各缔约方、其他</w:t>
      </w:r>
      <w:r w:rsidRPr="00226587">
        <w:rPr>
          <w:rFonts w:eastAsiaTheme="minorEastAsia"/>
          <w:kern w:val="22"/>
          <w:sz w:val="24"/>
          <w:szCs w:val="24"/>
          <w:lang w:eastAsia="zh-CN"/>
        </w:rPr>
        <w:t>国家</w:t>
      </w:r>
      <w:r w:rsidRPr="00226587">
        <w:rPr>
          <w:rFonts w:eastAsiaTheme="minorEastAsia"/>
          <w:sz w:val="24"/>
          <w:szCs w:val="24"/>
          <w:lang w:eastAsia="zh-CN"/>
        </w:rPr>
        <w:t>政府</w:t>
      </w:r>
      <w:r>
        <w:rPr>
          <w:rFonts w:eastAsiaTheme="minorEastAsia" w:hint="eastAsia"/>
          <w:sz w:val="24"/>
          <w:szCs w:val="24"/>
          <w:lang w:eastAsia="zh-CN"/>
        </w:rPr>
        <w:t>和</w:t>
      </w:r>
      <w:r>
        <w:rPr>
          <w:rFonts w:eastAsiaTheme="minorEastAsia"/>
          <w:sz w:val="24"/>
          <w:szCs w:val="24"/>
          <w:lang w:eastAsia="zh-CN"/>
        </w:rPr>
        <w:t>相关</w:t>
      </w:r>
      <w:r w:rsidRPr="00226587">
        <w:rPr>
          <w:rFonts w:eastAsiaTheme="minorEastAsia"/>
          <w:sz w:val="24"/>
          <w:szCs w:val="24"/>
          <w:lang w:eastAsia="zh-CN"/>
        </w:rPr>
        <w:t>组织和网络，除其他外，通过将适当措施纳入国家生物多样性战略和行动计划</w:t>
      </w:r>
      <w:r>
        <w:rPr>
          <w:rFonts w:eastAsiaTheme="minorEastAsia" w:hint="eastAsia"/>
          <w:sz w:val="24"/>
          <w:szCs w:val="24"/>
          <w:lang w:eastAsia="zh-CN"/>
        </w:rPr>
        <w:t>以及</w:t>
      </w:r>
      <w:r w:rsidRPr="00226587">
        <w:rPr>
          <w:rFonts w:eastAsiaTheme="minorEastAsia"/>
          <w:sz w:val="24"/>
          <w:szCs w:val="24"/>
          <w:lang w:eastAsia="zh-CN"/>
        </w:rPr>
        <w:t>酌情纳入国家以下级和地方生物多样性战略和行动计划，以及相关政策、立法和方案的执行工作中，支持和</w:t>
      </w:r>
      <w:r>
        <w:rPr>
          <w:rFonts w:eastAsiaTheme="minorEastAsia" w:hint="eastAsia"/>
          <w:sz w:val="24"/>
          <w:szCs w:val="24"/>
          <w:lang w:eastAsia="zh-CN"/>
        </w:rPr>
        <w:t>实施与</w:t>
      </w:r>
      <w:r w:rsidRPr="00226587">
        <w:rPr>
          <w:rFonts w:eastAsiaTheme="minorEastAsia"/>
          <w:sz w:val="24"/>
          <w:szCs w:val="24"/>
          <w:lang w:eastAsia="zh-CN"/>
        </w:rPr>
        <w:t>《保护与可持续利用授粉媒介国际倡议》相关</w:t>
      </w:r>
      <w:r>
        <w:rPr>
          <w:rFonts w:eastAsiaTheme="minorEastAsia" w:hint="eastAsia"/>
          <w:sz w:val="24"/>
          <w:szCs w:val="24"/>
          <w:lang w:eastAsia="zh-CN"/>
        </w:rPr>
        <w:t>的</w:t>
      </w:r>
      <w:r w:rsidRPr="00226587">
        <w:rPr>
          <w:rFonts w:eastAsiaTheme="minorEastAsia"/>
          <w:sz w:val="24"/>
          <w:szCs w:val="24"/>
          <w:lang w:eastAsia="zh-CN"/>
        </w:rPr>
        <w:t>活动；</w:t>
      </w:r>
    </w:p>
    <w:p w:rsidR="008F12F5" w:rsidRPr="00226587" w:rsidRDefault="008F12F5" w:rsidP="0069685F">
      <w:pPr>
        <w:pStyle w:val="Para1"/>
        <w:numPr>
          <w:ilvl w:val="0"/>
          <w:numId w:val="77"/>
        </w:numPr>
        <w:tabs>
          <w:tab w:val="left" w:pos="1440"/>
        </w:tabs>
        <w:adjustRightInd w:val="0"/>
        <w:snapToGrid w:val="0"/>
        <w:ind w:left="0" w:firstLine="720"/>
        <w:rPr>
          <w:rFonts w:eastAsiaTheme="minorEastAsia"/>
          <w:kern w:val="22"/>
          <w:sz w:val="24"/>
          <w:szCs w:val="24"/>
          <w:lang w:eastAsia="zh-CN"/>
        </w:rPr>
      </w:pPr>
      <w:r w:rsidRPr="00226587">
        <w:rPr>
          <w:rFonts w:ascii="KaiTi" w:eastAsia="KaiTi" w:hAnsi="KaiTi" w:cs="SimSun"/>
          <w:kern w:val="22"/>
          <w:sz w:val="24"/>
          <w:szCs w:val="24"/>
          <w:lang w:eastAsia="zh-CN"/>
        </w:rPr>
        <w:t>敦促</w:t>
      </w:r>
      <w:r w:rsidRPr="00226587">
        <w:rPr>
          <w:rFonts w:eastAsiaTheme="minorEastAsia"/>
          <w:sz w:val="24"/>
          <w:szCs w:val="24"/>
          <w:lang w:eastAsia="zh-CN"/>
        </w:rPr>
        <w:t>各缔约方并</w:t>
      </w:r>
      <w:r w:rsidRPr="00FA727E">
        <w:rPr>
          <w:rFonts w:ascii="KaiTi" w:eastAsia="KaiTi" w:hAnsi="KaiTi" w:cs="SimSun"/>
          <w:kern w:val="22"/>
          <w:sz w:val="24"/>
          <w:szCs w:val="24"/>
          <w:lang w:eastAsia="zh-CN"/>
        </w:rPr>
        <w:t>邀请</w:t>
      </w:r>
      <w:r w:rsidRPr="00226587">
        <w:rPr>
          <w:rFonts w:eastAsiaTheme="minorEastAsia"/>
          <w:sz w:val="24"/>
          <w:szCs w:val="24"/>
          <w:lang w:eastAsia="zh-CN"/>
        </w:rPr>
        <w:t>其他国家政府处理在所有生态系统，包括最脆弱的生物群落和农业系统中</w:t>
      </w:r>
      <w:r>
        <w:rPr>
          <w:rFonts w:eastAsiaTheme="minorEastAsia" w:hint="eastAsia"/>
          <w:sz w:val="24"/>
          <w:szCs w:val="24"/>
          <w:lang w:eastAsia="zh-CN"/>
        </w:rPr>
        <w:t>造成</w:t>
      </w:r>
      <w:r>
        <w:rPr>
          <w:rFonts w:eastAsiaTheme="minorEastAsia"/>
          <w:sz w:val="24"/>
          <w:szCs w:val="24"/>
          <w:lang w:eastAsia="zh-CN"/>
        </w:rPr>
        <w:t>的</w:t>
      </w:r>
      <w:r w:rsidRPr="00226587">
        <w:rPr>
          <w:rFonts w:eastAsiaTheme="minorEastAsia"/>
          <w:sz w:val="24"/>
          <w:szCs w:val="24"/>
          <w:lang w:eastAsia="zh-CN"/>
        </w:rPr>
        <w:t>野生和受管理的授粉媒介减少的驱动因素，并如本决定附件二</w:t>
      </w:r>
      <w:r>
        <w:rPr>
          <w:rFonts w:eastAsiaTheme="minorEastAsia" w:hint="eastAsia"/>
          <w:sz w:val="24"/>
          <w:szCs w:val="24"/>
          <w:lang w:eastAsia="zh-CN"/>
        </w:rPr>
        <w:t>中</w:t>
      </w:r>
      <w:r w:rsidRPr="00226587">
        <w:rPr>
          <w:rFonts w:eastAsiaTheme="minorEastAsia"/>
          <w:sz w:val="24"/>
          <w:szCs w:val="24"/>
          <w:lang w:eastAsia="zh-CN"/>
        </w:rPr>
        <w:t>确定</w:t>
      </w:r>
      <w:r>
        <w:rPr>
          <w:rFonts w:eastAsiaTheme="minorEastAsia" w:hint="eastAsia"/>
          <w:sz w:val="24"/>
          <w:szCs w:val="24"/>
          <w:lang w:eastAsia="zh-CN"/>
        </w:rPr>
        <w:t>的</w:t>
      </w:r>
      <w:r w:rsidRPr="00226587">
        <w:rPr>
          <w:rFonts w:eastAsiaTheme="minorEastAsia"/>
          <w:sz w:val="24"/>
          <w:szCs w:val="24"/>
          <w:lang w:eastAsia="zh-CN"/>
        </w:rPr>
        <w:t>，在地方和区域范围特别密切注意引入</w:t>
      </w:r>
      <w:r>
        <w:rPr>
          <w:rFonts w:eastAsiaTheme="minorEastAsia" w:hint="eastAsia"/>
          <w:sz w:val="24"/>
          <w:szCs w:val="24"/>
          <w:lang w:eastAsia="zh-CN"/>
        </w:rPr>
        <w:t>和</w:t>
      </w:r>
      <w:r>
        <w:rPr>
          <w:rFonts w:eastAsiaTheme="minorEastAsia"/>
          <w:sz w:val="24"/>
          <w:szCs w:val="24"/>
          <w:lang w:eastAsia="zh-CN"/>
        </w:rPr>
        <w:t>传播</w:t>
      </w:r>
      <w:r w:rsidRPr="00226587">
        <w:rPr>
          <w:rFonts w:eastAsiaTheme="minorEastAsia"/>
          <w:sz w:val="24"/>
          <w:szCs w:val="24"/>
          <w:lang w:eastAsia="zh-CN"/>
        </w:rPr>
        <w:t>对授粉媒介及其赖以生存的植物资源有害的外来入侵物种（植物、授粉媒介、肉食动物、害虫和病原体）所带来的风险，以及除了解决</w:t>
      </w:r>
      <w:r w:rsidRPr="00226587">
        <w:rPr>
          <w:rFonts w:eastAsiaTheme="minorEastAsia"/>
          <w:kern w:val="22"/>
          <w:sz w:val="24"/>
          <w:szCs w:val="24"/>
          <w:lang w:eastAsia="zh-CN"/>
        </w:rPr>
        <w:t>第</w:t>
      </w:r>
      <w:r w:rsidRPr="00226587">
        <w:rPr>
          <w:rFonts w:eastAsiaTheme="minorEastAsia"/>
          <w:kern w:val="22"/>
          <w:sz w:val="24"/>
          <w:szCs w:val="24"/>
          <w:lang w:eastAsia="zh-CN"/>
        </w:rPr>
        <w:t>XII/15</w:t>
      </w:r>
      <w:r w:rsidRPr="00226587">
        <w:rPr>
          <w:rFonts w:eastAsiaTheme="minorEastAsia"/>
          <w:sz w:val="24"/>
          <w:szCs w:val="24"/>
          <w:lang w:eastAsia="zh-CN"/>
        </w:rPr>
        <w:t>号决定所确定的驱动因素，避免或扭转土地退化并恢复</w:t>
      </w:r>
      <w:r>
        <w:rPr>
          <w:rFonts w:eastAsiaTheme="minorEastAsia" w:hint="eastAsia"/>
          <w:sz w:val="24"/>
          <w:szCs w:val="24"/>
          <w:lang w:eastAsia="zh-CN"/>
        </w:rPr>
        <w:t>丧失或</w:t>
      </w:r>
      <w:r>
        <w:rPr>
          <w:rFonts w:eastAsiaTheme="minorEastAsia"/>
          <w:sz w:val="24"/>
          <w:szCs w:val="24"/>
          <w:lang w:eastAsia="zh-CN"/>
        </w:rPr>
        <w:t>破碎化的</w:t>
      </w:r>
      <w:r w:rsidRPr="00226587">
        <w:rPr>
          <w:rFonts w:eastAsiaTheme="minorEastAsia"/>
          <w:sz w:val="24"/>
          <w:szCs w:val="24"/>
          <w:lang w:eastAsia="zh-CN"/>
        </w:rPr>
        <w:t>授粉媒介生境；</w:t>
      </w:r>
    </w:p>
    <w:p w:rsidR="008F12F5" w:rsidRPr="00226587" w:rsidRDefault="008F12F5" w:rsidP="0069685F">
      <w:pPr>
        <w:pStyle w:val="Para1"/>
        <w:numPr>
          <w:ilvl w:val="0"/>
          <w:numId w:val="77"/>
        </w:numPr>
        <w:tabs>
          <w:tab w:val="left" w:pos="1440"/>
        </w:tabs>
        <w:adjustRightInd w:val="0"/>
        <w:snapToGrid w:val="0"/>
        <w:ind w:left="0" w:firstLine="720"/>
        <w:rPr>
          <w:rFonts w:eastAsiaTheme="minorEastAsia"/>
          <w:kern w:val="22"/>
          <w:sz w:val="24"/>
          <w:szCs w:val="24"/>
          <w:lang w:eastAsia="zh-CN"/>
        </w:rPr>
      </w:pPr>
      <w:r w:rsidRPr="00226587">
        <w:rPr>
          <w:rFonts w:ascii="KaiTi" w:eastAsia="KaiTi" w:hAnsi="KaiTi" w:cs="SimSun"/>
          <w:kern w:val="22"/>
          <w:sz w:val="24"/>
          <w:szCs w:val="24"/>
          <w:lang w:eastAsia="zh-CN"/>
        </w:rPr>
        <w:t>鼓励</w:t>
      </w:r>
      <w:r w:rsidRPr="00226587">
        <w:rPr>
          <w:rFonts w:eastAsiaTheme="minorEastAsia"/>
          <w:sz w:val="24"/>
          <w:szCs w:val="24"/>
          <w:lang w:eastAsia="zh-CN"/>
        </w:rPr>
        <w:t>各缔约方并</w:t>
      </w:r>
      <w:r w:rsidRPr="003358BC">
        <w:rPr>
          <w:rFonts w:ascii="KaiTi" w:eastAsia="KaiTi" w:hAnsi="KaiTi" w:cs="SimSun"/>
          <w:kern w:val="22"/>
          <w:sz w:val="24"/>
          <w:szCs w:val="24"/>
          <w:lang w:eastAsia="zh-CN"/>
        </w:rPr>
        <w:t>邀请</w:t>
      </w:r>
      <w:r w:rsidRPr="00226587">
        <w:rPr>
          <w:rFonts w:eastAsiaTheme="minorEastAsia"/>
          <w:sz w:val="24"/>
          <w:szCs w:val="24"/>
          <w:lang w:eastAsia="zh-CN"/>
        </w:rPr>
        <w:t>其他国家政府将保护和可持续利用野生和受管理的授粉媒介及其生境纳入土地管理和保护区以及其他有效地区保护政策；</w:t>
      </w:r>
    </w:p>
    <w:p w:rsidR="008F12F5" w:rsidRPr="00226587" w:rsidRDefault="008F12F5" w:rsidP="0069685F">
      <w:pPr>
        <w:pStyle w:val="Para1"/>
        <w:numPr>
          <w:ilvl w:val="0"/>
          <w:numId w:val="77"/>
        </w:numPr>
        <w:tabs>
          <w:tab w:val="left" w:pos="1440"/>
        </w:tabs>
        <w:adjustRightInd w:val="0"/>
        <w:snapToGrid w:val="0"/>
        <w:ind w:left="0" w:firstLine="720"/>
        <w:rPr>
          <w:rFonts w:eastAsiaTheme="minorEastAsia"/>
          <w:kern w:val="22"/>
          <w:sz w:val="24"/>
          <w:szCs w:val="24"/>
          <w:lang w:eastAsia="zh-CN"/>
        </w:rPr>
      </w:pPr>
      <w:r w:rsidRPr="00226587">
        <w:rPr>
          <w:rFonts w:ascii="KaiTi" w:eastAsia="KaiTi" w:hAnsi="KaiTi" w:cs="SimSun"/>
          <w:kern w:val="22"/>
          <w:sz w:val="24"/>
          <w:szCs w:val="24"/>
          <w:lang w:eastAsia="zh-CN"/>
        </w:rPr>
        <w:t>鼓励</w:t>
      </w:r>
      <w:r w:rsidRPr="00226587">
        <w:rPr>
          <w:rFonts w:eastAsiaTheme="minorEastAsia"/>
          <w:sz w:val="24"/>
          <w:szCs w:val="24"/>
          <w:lang w:eastAsia="zh-CN"/>
        </w:rPr>
        <w:t>各缔约方并</w:t>
      </w:r>
      <w:r w:rsidRPr="003358BC">
        <w:rPr>
          <w:rFonts w:ascii="KaiTi" w:eastAsia="KaiTi" w:hAnsi="KaiTi" w:cs="SimSun"/>
          <w:kern w:val="22"/>
          <w:sz w:val="24"/>
          <w:szCs w:val="24"/>
          <w:lang w:eastAsia="zh-CN"/>
        </w:rPr>
        <w:t>邀请</w:t>
      </w:r>
      <w:r w:rsidRPr="00226587">
        <w:rPr>
          <w:rFonts w:eastAsiaTheme="minorEastAsia"/>
          <w:sz w:val="24"/>
          <w:szCs w:val="24"/>
          <w:lang w:eastAsia="zh-CN"/>
        </w:rPr>
        <w:t>其他国家政府：</w:t>
      </w:r>
    </w:p>
    <w:p w:rsidR="008F12F5" w:rsidRPr="00226587" w:rsidRDefault="008F12F5" w:rsidP="0069685F">
      <w:pPr>
        <w:pStyle w:val="Para1"/>
        <w:numPr>
          <w:ilvl w:val="1"/>
          <w:numId w:val="78"/>
        </w:numPr>
        <w:tabs>
          <w:tab w:val="left" w:pos="1440"/>
        </w:tabs>
        <w:adjustRightInd w:val="0"/>
        <w:snapToGrid w:val="0"/>
        <w:ind w:left="0" w:firstLine="720"/>
        <w:rPr>
          <w:rFonts w:eastAsiaTheme="minorEastAsia"/>
          <w:kern w:val="22"/>
          <w:sz w:val="24"/>
          <w:szCs w:val="24"/>
          <w:lang w:eastAsia="zh-CN"/>
        </w:rPr>
      </w:pPr>
      <w:r w:rsidRPr="003358BC">
        <w:rPr>
          <w:rFonts w:eastAsiaTheme="minorEastAsia"/>
          <w:kern w:val="22"/>
          <w:sz w:val="24"/>
          <w:szCs w:val="24"/>
          <w:lang w:eastAsia="zh-CN"/>
        </w:rPr>
        <w:t>鼓励</w:t>
      </w:r>
      <w:r w:rsidRPr="00226587">
        <w:rPr>
          <w:rFonts w:eastAsiaTheme="minorEastAsia"/>
          <w:kern w:val="22"/>
          <w:sz w:val="24"/>
          <w:szCs w:val="24"/>
          <w:lang w:eastAsia="zh-CN"/>
        </w:rPr>
        <w:t>私营部门考虑《行动计划》中所列各项活动，</w:t>
      </w:r>
      <w:r>
        <w:rPr>
          <w:rFonts w:eastAsiaTheme="minorEastAsia" w:hint="eastAsia"/>
          <w:kern w:val="22"/>
          <w:sz w:val="24"/>
          <w:szCs w:val="24"/>
          <w:lang w:eastAsia="zh-CN"/>
        </w:rPr>
        <w:t>并</w:t>
      </w:r>
      <w:r w:rsidRPr="00226587">
        <w:rPr>
          <w:rFonts w:eastAsiaTheme="minorEastAsia"/>
          <w:kern w:val="22"/>
          <w:sz w:val="24"/>
          <w:szCs w:val="24"/>
          <w:lang w:eastAsia="zh-CN"/>
        </w:rPr>
        <w:t>努力</w:t>
      </w:r>
      <w:r>
        <w:rPr>
          <w:rFonts w:eastAsiaTheme="minorEastAsia" w:hint="eastAsia"/>
          <w:kern w:val="22"/>
          <w:sz w:val="24"/>
          <w:szCs w:val="24"/>
          <w:lang w:eastAsia="zh-CN"/>
        </w:rPr>
        <w:t>实现</w:t>
      </w:r>
      <w:r w:rsidRPr="00226587">
        <w:rPr>
          <w:rFonts w:eastAsiaTheme="minorEastAsia"/>
          <w:kern w:val="22"/>
          <w:sz w:val="24"/>
          <w:szCs w:val="24"/>
          <w:lang w:eastAsia="zh-CN"/>
        </w:rPr>
        <w:t>更可持续的生产和消费系统；</w:t>
      </w:r>
    </w:p>
    <w:p w:rsidR="008F12F5" w:rsidRPr="00226587" w:rsidRDefault="008F12F5" w:rsidP="0069685F">
      <w:pPr>
        <w:pStyle w:val="Para1"/>
        <w:numPr>
          <w:ilvl w:val="1"/>
          <w:numId w:val="78"/>
        </w:numPr>
        <w:tabs>
          <w:tab w:val="left" w:pos="1440"/>
        </w:tabs>
        <w:adjustRightInd w:val="0"/>
        <w:snapToGrid w:val="0"/>
        <w:ind w:left="0" w:firstLine="720"/>
        <w:rPr>
          <w:rFonts w:eastAsiaTheme="minorEastAsia"/>
          <w:kern w:val="22"/>
          <w:sz w:val="24"/>
          <w:szCs w:val="24"/>
          <w:lang w:eastAsia="zh-CN"/>
        </w:rPr>
      </w:pPr>
      <w:r w:rsidRPr="003358BC">
        <w:rPr>
          <w:rFonts w:eastAsiaTheme="minorEastAsia"/>
          <w:kern w:val="22"/>
          <w:sz w:val="24"/>
          <w:szCs w:val="24"/>
          <w:lang w:eastAsia="zh-CN"/>
        </w:rPr>
        <w:lastRenderedPageBreak/>
        <w:t>鼓励</w:t>
      </w:r>
      <w:r w:rsidRPr="00226587">
        <w:rPr>
          <w:rFonts w:eastAsiaTheme="minorEastAsia"/>
          <w:kern w:val="22"/>
          <w:sz w:val="24"/>
          <w:szCs w:val="24"/>
          <w:lang w:eastAsia="zh-CN"/>
        </w:rPr>
        <w:t>学术和研究机构及有关国家、区域和国际组织和网络开展进一步研究，</w:t>
      </w:r>
      <w:r>
        <w:rPr>
          <w:rFonts w:eastAsiaTheme="minorEastAsia" w:hint="eastAsia"/>
          <w:kern w:val="22"/>
          <w:sz w:val="24"/>
          <w:szCs w:val="24"/>
          <w:lang w:eastAsia="zh-CN"/>
        </w:rPr>
        <w:t>解决</w:t>
      </w:r>
      <w:r w:rsidRPr="00226587">
        <w:rPr>
          <w:rFonts w:eastAsiaTheme="minorEastAsia"/>
          <w:kern w:val="22"/>
          <w:sz w:val="24"/>
          <w:szCs w:val="24"/>
          <w:lang w:eastAsia="zh-CN"/>
        </w:rPr>
        <w:t>《行动计划》中</w:t>
      </w:r>
      <w:r>
        <w:rPr>
          <w:rFonts w:eastAsiaTheme="minorEastAsia" w:hint="eastAsia"/>
          <w:kern w:val="22"/>
          <w:sz w:val="24"/>
          <w:szCs w:val="24"/>
          <w:lang w:eastAsia="zh-CN"/>
        </w:rPr>
        <w:t>确定</w:t>
      </w:r>
      <w:r w:rsidRPr="00226587">
        <w:rPr>
          <w:rFonts w:eastAsiaTheme="minorEastAsia"/>
          <w:kern w:val="22"/>
          <w:sz w:val="24"/>
          <w:szCs w:val="24"/>
          <w:lang w:eastAsia="zh-CN"/>
        </w:rPr>
        <w:t>的各项差距</w:t>
      </w:r>
      <w:r>
        <w:rPr>
          <w:rFonts w:eastAsiaTheme="minorEastAsia" w:hint="eastAsia"/>
          <w:kern w:val="22"/>
          <w:sz w:val="24"/>
          <w:szCs w:val="24"/>
          <w:lang w:eastAsia="zh-CN"/>
        </w:rPr>
        <w:t>，</w:t>
      </w:r>
      <w:r w:rsidRPr="007A0797">
        <w:rPr>
          <w:rFonts w:eastAsiaTheme="minorEastAsia"/>
          <w:kern w:val="22"/>
          <w:sz w:val="24"/>
          <w:szCs w:val="24"/>
          <w:vertAlign w:val="superscript"/>
        </w:rPr>
        <w:footnoteReference w:id="85"/>
      </w:r>
      <w:r w:rsidRPr="007A0797">
        <w:rPr>
          <w:rFonts w:eastAsiaTheme="minorEastAsia"/>
          <w:kern w:val="22"/>
          <w:sz w:val="24"/>
          <w:szCs w:val="24"/>
          <w:vertAlign w:val="superscript"/>
          <w:lang w:eastAsia="zh-CN"/>
        </w:rPr>
        <w:t xml:space="preserve"> </w:t>
      </w:r>
      <w:r w:rsidRPr="00226587">
        <w:rPr>
          <w:rFonts w:eastAsiaTheme="minorEastAsia"/>
          <w:kern w:val="22"/>
          <w:sz w:val="24"/>
          <w:szCs w:val="24"/>
          <w:lang w:eastAsia="zh-CN"/>
        </w:rPr>
        <w:t>通过适当渠道综合</w:t>
      </w:r>
      <w:r>
        <w:rPr>
          <w:rFonts w:eastAsiaTheme="minorEastAsia" w:hint="eastAsia"/>
          <w:kern w:val="22"/>
          <w:sz w:val="24"/>
          <w:szCs w:val="24"/>
          <w:lang w:eastAsia="zh-CN"/>
        </w:rPr>
        <w:t>和</w:t>
      </w:r>
      <w:r w:rsidRPr="00226587">
        <w:rPr>
          <w:rFonts w:eastAsiaTheme="minorEastAsia"/>
          <w:kern w:val="22"/>
          <w:sz w:val="24"/>
          <w:szCs w:val="24"/>
          <w:lang w:eastAsia="zh-CN"/>
        </w:rPr>
        <w:t>传播信息，支持执行工作；</w:t>
      </w:r>
    </w:p>
    <w:p w:rsidR="008F12F5" w:rsidRPr="00226587" w:rsidRDefault="008F12F5" w:rsidP="0069685F">
      <w:pPr>
        <w:pStyle w:val="Para1"/>
        <w:numPr>
          <w:ilvl w:val="1"/>
          <w:numId w:val="78"/>
        </w:numPr>
        <w:tabs>
          <w:tab w:val="left" w:pos="1440"/>
        </w:tabs>
        <w:adjustRightInd w:val="0"/>
        <w:snapToGrid w:val="0"/>
        <w:ind w:left="0" w:firstLine="720"/>
        <w:rPr>
          <w:rFonts w:eastAsiaTheme="minorEastAsia"/>
          <w:kern w:val="22"/>
          <w:sz w:val="24"/>
          <w:szCs w:val="24"/>
          <w:lang w:eastAsia="zh-CN"/>
        </w:rPr>
      </w:pPr>
      <w:r w:rsidRPr="00226587">
        <w:rPr>
          <w:rFonts w:eastAsiaTheme="minorEastAsia"/>
          <w:kern w:val="22"/>
          <w:sz w:val="24"/>
          <w:szCs w:val="24"/>
          <w:lang w:eastAsia="zh-CN"/>
        </w:rPr>
        <w:t>鼓励农民、养蜂人、土地管理者、城市社区、土著人民</w:t>
      </w:r>
      <w:r>
        <w:rPr>
          <w:rFonts w:eastAsiaTheme="minorEastAsia" w:hint="eastAsia"/>
          <w:kern w:val="22"/>
          <w:sz w:val="24"/>
          <w:szCs w:val="24"/>
          <w:lang w:eastAsia="zh-CN"/>
        </w:rPr>
        <w:t>和</w:t>
      </w:r>
      <w:r>
        <w:rPr>
          <w:rFonts w:eastAsiaTheme="minorEastAsia"/>
          <w:kern w:val="22"/>
          <w:sz w:val="24"/>
          <w:szCs w:val="24"/>
          <w:lang w:eastAsia="zh-CN"/>
        </w:rPr>
        <w:t>当地社区</w:t>
      </w:r>
      <w:r>
        <w:rPr>
          <w:rFonts w:eastAsiaTheme="minorEastAsia" w:hint="eastAsia"/>
          <w:kern w:val="22"/>
          <w:sz w:val="24"/>
          <w:szCs w:val="24"/>
          <w:lang w:eastAsia="zh-CN"/>
        </w:rPr>
        <w:t>以及</w:t>
      </w:r>
      <w:r w:rsidRPr="00226587">
        <w:rPr>
          <w:rFonts w:eastAsiaTheme="minorEastAsia"/>
          <w:kern w:val="22"/>
          <w:sz w:val="24"/>
          <w:szCs w:val="24"/>
          <w:lang w:eastAsia="zh-CN"/>
        </w:rPr>
        <w:t>其他利益攸关方采取</w:t>
      </w:r>
      <w:r>
        <w:rPr>
          <w:rFonts w:eastAsiaTheme="minorEastAsia" w:hint="eastAsia"/>
          <w:kern w:val="22"/>
          <w:sz w:val="24"/>
          <w:szCs w:val="24"/>
          <w:lang w:eastAsia="zh-CN"/>
        </w:rPr>
        <w:t>有利于</w:t>
      </w:r>
      <w:r w:rsidRPr="00226587">
        <w:rPr>
          <w:rFonts w:eastAsiaTheme="minorEastAsia"/>
          <w:kern w:val="22"/>
          <w:sz w:val="24"/>
          <w:szCs w:val="24"/>
          <w:lang w:val="en-US" w:eastAsia="zh-CN"/>
        </w:rPr>
        <w:t>授粉媒介</w:t>
      </w:r>
      <w:r>
        <w:rPr>
          <w:rFonts w:eastAsiaTheme="minorEastAsia" w:hint="eastAsia"/>
          <w:kern w:val="22"/>
          <w:sz w:val="24"/>
          <w:szCs w:val="24"/>
          <w:lang w:val="en-US" w:eastAsia="zh-CN"/>
        </w:rPr>
        <w:t>的</w:t>
      </w:r>
      <w:r w:rsidRPr="00226587">
        <w:rPr>
          <w:rFonts w:eastAsiaTheme="minorEastAsia"/>
          <w:kern w:val="22"/>
          <w:sz w:val="24"/>
          <w:szCs w:val="24"/>
          <w:lang w:eastAsia="zh-CN"/>
        </w:rPr>
        <w:t>做法，并在实地和地方一级解决导致授粉媒介减少的间接和直接因素；</w:t>
      </w:r>
    </w:p>
    <w:p w:rsidR="008F12F5" w:rsidRPr="00226587" w:rsidRDefault="008F12F5" w:rsidP="0069685F">
      <w:pPr>
        <w:pStyle w:val="Para1"/>
        <w:numPr>
          <w:ilvl w:val="1"/>
          <w:numId w:val="78"/>
        </w:numPr>
        <w:tabs>
          <w:tab w:val="left" w:pos="1440"/>
        </w:tabs>
        <w:adjustRightInd w:val="0"/>
        <w:snapToGrid w:val="0"/>
        <w:ind w:left="0" w:firstLine="720"/>
        <w:rPr>
          <w:rFonts w:eastAsiaTheme="minorEastAsia"/>
          <w:kern w:val="22"/>
          <w:sz w:val="24"/>
          <w:szCs w:val="24"/>
          <w:lang w:eastAsia="zh-CN"/>
        </w:rPr>
      </w:pPr>
      <w:r w:rsidRPr="00226587">
        <w:rPr>
          <w:rFonts w:eastAsiaTheme="minorEastAsia"/>
          <w:kern w:val="22"/>
          <w:sz w:val="24"/>
          <w:szCs w:val="24"/>
          <w:lang w:eastAsia="zh-CN"/>
        </w:rPr>
        <w:t>拟订和实施</w:t>
      </w:r>
      <w:r>
        <w:rPr>
          <w:rFonts w:eastAsiaTheme="minorEastAsia" w:hint="eastAsia"/>
          <w:kern w:val="22"/>
          <w:sz w:val="24"/>
          <w:szCs w:val="24"/>
          <w:lang w:eastAsia="zh-CN"/>
        </w:rPr>
        <w:t>对</w:t>
      </w:r>
      <w:r w:rsidRPr="00226587">
        <w:rPr>
          <w:rFonts w:eastAsiaTheme="minorEastAsia"/>
          <w:kern w:val="22"/>
          <w:sz w:val="24"/>
          <w:szCs w:val="24"/>
          <w:lang w:eastAsia="zh-CN"/>
        </w:rPr>
        <w:t>野生和受管理的授粉媒介的监测，</w:t>
      </w:r>
      <w:r>
        <w:rPr>
          <w:rFonts w:eastAsiaTheme="minorEastAsia" w:hint="eastAsia"/>
          <w:kern w:val="22"/>
          <w:sz w:val="24"/>
          <w:szCs w:val="24"/>
          <w:lang w:eastAsia="zh-CN"/>
        </w:rPr>
        <w:t>并</w:t>
      </w:r>
      <w:r w:rsidRPr="00226587">
        <w:rPr>
          <w:rFonts w:eastAsiaTheme="minorEastAsia"/>
          <w:kern w:val="22"/>
          <w:sz w:val="24"/>
          <w:szCs w:val="24"/>
          <w:lang w:eastAsia="zh-CN"/>
        </w:rPr>
        <w:t>评估减少的程度并评价所实施减缓行动的影响；</w:t>
      </w:r>
    </w:p>
    <w:p w:rsidR="008F12F5" w:rsidRPr="00226587" w:rsidRDefault="008F12F5" w:rsidP="0069685F">
      <w:pPr>
        <w:pStyle w:val="Para1"/>
        <w:numPr>
          <w:ilvl w:val="0"/>
          <w:numId w:val="77"/>
        </w:numPr>
        <w:tabs>
          <w:tab w:val="left" w:pos="1440"/>
        </w:tabs>
        <w:adjustRightInd w:val="0"/>
        <w:snapToGrid w:val="0"/>
        <w:ind w:left="0" w:firstLine="720"/>
        <w:rPr>
          <w:rFonts w:eastAsiaTheme="minorEastAsia"/>
          <w:kern w:val="22"/>
          <w:sz w:val="24"/>
          <w:szCs w:val="24"/>
          <w:lang w:eastAsia="zh-CN"/>
        </w:rPr>
      </w:pPr>
      <w:r w:rsidRPr="00226587">
        <w:rPr>
          <w:rFonts w:ascii="KaiTi" w:eastAsia="KaiTi" w:hAnsi="KaiTi" w:cs="SimSun"/>
          <w:kern w:val="22"/>
          <w:sz w:val="24"/>
          <w:szCs w:val="24"/>
          <w:lang w:eastAsia="zh-CN"/>
        </w:rPr>
        <w:t>鼓励</w:t>
      </w:r>
      <w:r w:rsidRPr="00226587">
        <w:rPr>
          <w:rFonts w:eastAsiaTheme="minorEastAsia"/>
          <w:kern w:val="22"/>
          <w:sz w:val="24"/>
          <w:szCs w:val="24"/>
          <w:lang w:eastAsia="zh-CN"/>
        </w:rPr>
        <w:t>全球环境基金和其他捐助方和供资机构为负责可持续利用和保护授粉媒介《行动计划》执行工作的国家和区域项目提供财政援助</w:t>
      </w:r>
      <w:r>
        <w:rPr>
          <w:rFonts w:eastAsiaTheme="minorEastAsia" w:hint="eastAsia"/>
          <w:kern w:val="22"/>
          <w:sz w:val="24"/>
          <w:szCs w:val="24"/>
          <w:lang w:eastAsia="zh-CN"/>
        </w:rPr>
        <w:t>，</w:t>
      </w:r>
      <w:r>
        <w:rPr>
          <w:rFonts w:eastAsiaTheme="minorEastAsia"/>
          <w:kern w:val="22"/>
          <w:sz w:val="24"/>
          <w:szCs w:val="24"/>
          <w:lang w:eastAsia="zh-CN"/>
        </w:rPr>
        <w:t>包括能力建设活动</w:t>
      </w:r>
      <w:r w:rsidRPr="00226587">
        <w:rPr>
          <w:rFonts w:eastAsiaTheme="minorEastAsia"/>
          <w:kern w:val="22"/>
          <w:sz w:val="24"/>
          <w:szCs w:val="24"/>
          <w:lang w:eastAsia="zh-CN"/>
        </w:rPr>
        <w:t>；</w:t>
      </w:r>
    </w:p>
    <w:p w:rsidR="008F12F5" w:rsidRPr="00226587" w:rsidRDefault="008F12F5" w:rsidP="0069685F">
      <w:pPr>
        <w:pStyle w:val="Para1"/>
        <w:numPr>
          <w:ilvl w:val="0"/>
          <w:numId w:val="77"/>
        </w:numPr>
        <w:tabs>
          <w:tab w:val="left" w:pos="1440"/>
        </w:tabs>
        <w:adjustRightInd w:val="0"/>
        <w:snapToGrid w:val="0"/>
        <w:ind w:left="0" w:firstLine="720"/>
        <w:rPr>
          <w:rFonts w:eastAsiaTheme="minorEastAsia"/>
          <w:kern w:val="22"/>
          <w:sz w:val="24"/>
          <w:szCs w:val="24"/>
          <w:lang w:eastAsia="zh-CN"/>
        </w:rPr>
      </w:pPr>
      <w:r w:rsidRPr="00226587">
        <w:rPr>
          <w:rFonts w:ascii="KaiTi" w:eastAsia="KaiTi" w:hAnsi="KaiTi" w:cs="SimSun"/>
          <w:kern w:val="22"/>
          <w:sz w:val="24"/>
          <w:szCs w:val="24"/>
          <w:lang w:eastAsia="zh-CN"/>
        </w:rPr>
        <w:t>请</w:t>
      </w:r>
      <w:r w:rsidRPr="00226587">
        <w:rPr>
          <w:rFonts w:eastAsiaTheme="minorEastAsia"/>
          <w:kern w:val="22"/>
          <w:sz w:val="24"/>
          <w:szCs w:val="24"/>
          <w:lang w:eastAsia="zh-CN"/>
        </w:rPr>
        <w:t>执行秘书提请联合国粮食及农业组织及其林业委员会、农业委员会、粮食和农业遗传资源委员会、世界粮食安全委员会以及《国际植物保护公约》和《</w:t>
      </w:r>
      <w:r w:rsidRPr="00226587">
        <w:rPr>
          <w:rStyle w:val="ng-binding"/>
          <w:rFonts w:eastAsiaTheme="minorEastAsia"/>
          <w:sz w:val="24"/>
          <w:szCs w:val="24"/>
          <w:lang w:eastAsia="zh-CN"/>
        </w:rPr>
        <w:t>粮食和农业植物遗传资源国际条约</w:t>
      </w:r>
      <w:r w:rsidRPr="00226587">
        <w:rPr>
          <w:rFonts w:eastAsiaTheme="minorEastAsia"/>
          <w:kern w:val="22"/>
          <w:sz w:val="24"/>
          <w:szCs w:val="24"/>
          <w:lang w:eastAsia="zh-CN"/>
        </w:rPr>
        <w:t>》秘书处、《巴塞尔公约》、《鹿特丹公约》和《斯德哥尔摩公约》秘书处注意本建议</w:t>
      </w:r>
      <w:r w:rsidRPr="00226587">
        <w:rPr>
          <w:rFonts w:eastAsiaTheme="minorEastAsia"/>
          <w:sz w:val="24"/>
          <w:szCs w:val="24"/>
          <w:lang w:eastAsia="zh-CN"/>
        </w:rPr>
        <w:t>；</w:t>
      </w:r>
    </w:p>
    <w:p w:rsidR="008F12F5" w:rsidRPr="00226587" w:rsidRDefault="008F12F5" w:rsidP="0069685F">
      <w:pPr>
        <w:pStyle w:val="Para1"/>
        <w:numPr>
          <w:ilvl w:val="0"/>
          <w:numId w:val="77"/>
        </w:numPr>
        <w:tabs>
          <w:tab w:val="left" w:pos="1440"/>
        </w:tabs>
        <w:adjustRightInd w:val="0"/>
        <w:snapToGrid w:val="0"/>
        <w:ind w:left="0" w:firstLine="720"/>
        <w:rPr>
          <w:rFonts w:eastAsiaTheme="minorEastAsia"/>
          <w:kern w:val="22"/>
          <w:sz w:val="24"/>
          <w:szCs w:val="24"/>
          <w:lang w:eastAsia="zh-CN"/>
        </w:rPr>
      </w:pPr>
      <w:r w:rsidRPr="00226587">
        <w:rPr>
          <w:rFonts w:ascii="KaiTi" w:eastAsia="KaiTi" w:hAnsi="KaiTi" w:cs="SimSun"/>
          <w:kern w:val="22"/>
          <w:sz w:val="24"/>
          <w:szCs w:val="24"/>
          <w:lang w:eastAsia="zh-CN"/>
        </w:rPr>
        <w:t>邀请</w:t>
      </w:r>
      <w:r w:rsidRPr="00226587">
        <w:rPr>
          <w:rFonts w:eastAsiaTheme="minorEastAsia"/>
          <w:kern w:val="22"/>
          <w:sz w:val="24"/>
          <w:szCs w:val="24"/>
          <w:lang w:eastAsia="zh-CN"/>
        </w:rPr>
        <w:t>联合国粮食及农业组</w:t>
      </w:r>
      <w:r>
        <w:rPr>
          <w:rFonts w:eastAsiaTheme="minorEastAsia" w:hint="eastAsia"/>
          <w:kern w:val="22"/>
          <w:sz w:val="24"/>
          <w:szCs w:val="24"/>
          <w:lang w:eastAsia="zh-CN"/>
        </w:rPr>
        <w:t>依照</w:t>
      </w:r>
      <w:r w:rsidRPr="00226587">
        <w:rPr>
          <w:rFonts w:eastAsiaTheme="minorEastAsia"/>
          <w:kern w:val="22"/>
          <w:sz w:val="24"/>
          <w:szCs w:val="24"/>
          <w:lang w:eastAsia="zh-CN"/>
        </w:rPr>
        <w:t>先前由国家一级农业和环境部参与计划的成功</w:t>
      </w:r>
      <w:r>
        <w:rPr>
          <w:rFonts w:eastAsiaTheme="minorEastAsia" w:hint="eastAsia"/>
          <w:kern w:val="22"/>
          <w:sz w:val="24"/>
          <w:szCs w:val="24"/>
          <w:lang w:eastAsia="zh-CN"/>
        </w:rPr>
        <w:t>办法</w:t>
      </w:r>
      <w:r w:rsidRPr="00226587">
        <w:rPr>
          <w:rFonts w:eastAsiaTheme="minorEastAsia"/>
          <w:kern w:val="22"/>
          <w:sz w:val="24"/>
          <w:szCs w:val="24"/>
          <w:lang w:eastAsia="zh-CN"/>
        </w:rPr>
        <w:t>，促进《行动计划》的执行</w:t>
      </w:r>
      <w:r w:rsidRPr="00226587">
        <w:rPr>
          <w:rFonts w:eastAsiaTheme="minorEastAsia"/>
          <w:sz w:val="24"/>
          <w:szCs w:val="24"/>
          <w:lang w:eastAsia="zh-CN"/>
        </w:rPr>
        <w:t>；</w:t>
      </w:r>
    </w:p>
    <w:p w:rsidR="008F12F5" w:rsidRPr="00226587" w:rsidRDefault="008F12F5" w:rsidP="0069685F">
      <w:pPr>
        <w:pStyle w:val="Para1"/>
        <w:numPr>
          <w:ilvl w:val="0"/>
          <w:numId w:val="77"/>
        </w:numPr>
        <w:tabs>
          <w:tab w:val="left" w:pos="1440"/>
        </w:tabs>
        <w:adjustRightInd w:val="0"/>
        <w:snapToGrid w:val="0"/>
        <w:ind w:left="0" w:firstLine="720"/>
        <w:rPr>
          <w:rFonts w:eastAsiaTheme="minorEastAsia"/>
          <w:kern w:val="22"/>
          <w:sz w:val="24"/>
          <w:szCs w:val="24"/>
          <w:lang w:eastAsia="zh-CN"/>
        </w:rPr>
      </w:pPr>
      <w:r w:rsidRPr="00226587">
        <w:rPr>
          <w:rFonts w:ascii="KaiTi" w:eastAsia="KaiTi" w:hAnsi="KaiTi" w:cs="SimSun"/>
          <w:kern w:val="22"/>
          <w:sz w:val="24"/>
          <w:szCs w:val="24"/>
          <w:lang w:eastAsia="zh-CN"/>
        </w:rPr>
        <w:t>又请</w:t>
      </w:r>
      <w:r w:rsidRPr="00226587">
        <w:rPr>
          <w:rFonts w:eastAsiaTheme="minorEastAsia"/>
          <w:kern w:val="22"/>
          <w:sz w:val="24"/>
          <w:szCs w:val="24"/>
          <w:lang w:eastAsia="zh-CN"/>
        </w:rPr>
        <w:t>执行秘书在资源允许的情况下</w:t>
      </w:r>
      <w:r w:rsidRPr="00226587">
        <w:rPr>
          <w:rFonts w:eastAsiaTheme="minorEastAsia"/>
          <w:i/>
          <w:sz w:val="24"/>
          <w:szCs w:val="24"/>
          <w:lang w:eastAsia="zh-CN"/>
        </w:rPr>
        <w:t>，</w:t>
      </w:r>
      <w:r w:rsidRPr="00226587">
        <w:rPr>
          <w:rFonts w:eastAsiaTheme="minorEastAsia"/>
          <w:sz w:val="24"/>
          <w:szCs w:val="24"/>
          <w:lang w:eastAsia="zh-CN"/>
        </w:rPr>
        <w:t>与联合国粮食及农业组织、</w:t>
      </w:r>
      <w:r>
        <w:rPr>
          <w:rFonts w:eastAsiaTheme="minorEastAsia" w:hint="eastAsia"/>
          <w:sz w:val="24"/>
          <w:szCs w:val="24"/>
          <w:lang w:eastAsia="zh-CN"/>
        </w:rPr>
        <w:t>《</w:t>
      </w:r>
      <w:r w:rsidRPr="00226587">
        <w:rPr>
          <w:rFonts w:eastAsiaTheme="minorEastAsia"/>
          <w:sz w:val="24"/>
          <w:szCs w:val="24"/>
          <w:lang w:eastAsia="zh-CN"/>
        </w:rPr>
        <w:t>巴塞尔</w:t>
      </w:r>
      <w:r>
        <w:rPr>
          <w:rFonts w:eastAsiaTheme="minorEastAsia" w:hint="eastAsia"/>
          <w:sz w:val="24"/>
          <w:szCs w:val="24"/>
          <w:lang w:eastAsia="zh-CN"/>
        </w:rPr>
        <w:t>公约》</w:t>
      </w:r>
      <w:r w:rsidRPr="00226587">
        <w:rPr>
          <w:rFonts w:eastAsiaTheme="minorEastAsia"/>
          <w:sz w:val="24"/>
          <w:szCs w:val="24"/>
          <w:lang w:eastAsia="zh-CN"/>
        </w:rPr>
        <w:t>、</w:t>
      </w:r>
      <w:r>
        <w:rPr>
          <w:rFonts w:eastAsiaTheme="minorEastAsia" w:hint="eastAsia"/>
          <w:sz w:val="24"/>
          <w:szCs w:val="24"/>
          <w:lang w:eastAsia="zh-CN"/>
        </w:rPr>
        <w:t>《</w:t>
      </w:r>
      <w:r w:rsidRPr="00226587">
        <w:rPr>
          <w:rFonts w:eastAsiaTheme="minorEastAsia"/>
          <w:sz w:val="24"/>
          <w:szCs w:val="24"/>
          <w:lang w:eastAsia="zh-CN"/>
        </w:rPr>
        <w:t>鹿特丹</w:t>
      </w:r>
      <w:r>
        <w:rPr>
          <w:rFonts w:eastAsiaTheme="minorEastAsia" w:hint="eastAsia"/>
          <w:sz w:val="24"/>
          <w:szCs w:val="24"/>
          <w:lang w:eastAsia="zh-CN"/>
        </w:rPr>
        <w:t>公约</w:t>
      </w:r>
      <w:r>
        <w:rPr>
          <w:rFonts w:eastAsiaTheme="minorEastAsia"/>
          <w:sz w:val="24"/>
          <w:szCs w:val="24"/>
          <w:lang w:eastAsia="zh-CN"/>
        </w:rPr>
        <w:t>》</w:t>
      </w:r>
      <w:r w:rsidRPr="00226587">
        <w:rPr>
          <w:rFonts w:eastAsiaTheme="minorEastAsia"/>
          <w:sz w:val="24"/>
          <w:szCs w:val="24"/>
          <w:lang w:eastAsia="zh-CN"/>
        </w:rPr>
        <w:t>和</w:t>
      </w:r>
      <w:r>
        <w:rPr>
          <w:rFonts w:eastAsiaTheme="minorEastAsia" w:hint="eastAsia"/>
          <w:sz w:val="24"/>
          <w:szCs w:val="24"/>
          <w:lang w:eastAsia="zh-CN"/>
        </w:rPr>
        <w:t>《</w:t>
      </w:r>
      <w:r w:rsidRPr="00226587">
        <w:rPr>
          <w:rFonts w:eastAsiaTheme="minorEastAsia"/>
          <w:sz w:val="24"/>
          <w:szCs w:val="24"/>
          <w:lang w:eastAsia="zh-CN"/>
        </w:rPr>
        <w:t>斯德哥尔摩公约</w:t>
      </w:r>
      <w:r>
        <w:rPr>
          <w:rFonts w:eastAsiaTheme="minorEastAsia" w:hint="eastAsia"/>
          <w:sz w:val="24"/>
          <w:szCs w:val="24"/>
          <w:lang w:eastAsia="zh-CN"/>
        </w:rPr>
        <w:t>》</w:t>
      </w:r>
      <w:r w:rsidRPr="00226587">
        <w:rPr>
          <w:rFonts w:eastAsiaTheme="minorEastAsia"/>
          <w:sz w:val="24"/>
          <w:szCs w:val="24"/>
          <w:lang w:eastAsia="zh-CN"/>
        </w:rPr>
        <w:t>秘书处和其他相关利益攸关方合作，制定根据优先程度确定的与《行动计划》执行工作有关的领域的准则和最佳做法，例如化学品在农业中的使用，对自然生态系统中本地授粉媒介的保护计划，推广生物多样性生产系统、作物轮作、对本地授粉媒介的监测，以及环境教育；</w:t>
      </w:r>
    </w:p>
    <w:p w:rsidR="008F12F5" w:rsidRPr="00226587" w:rsidRDefault="008F12F5" w:rsidP="0069685F">
      <w:pPr>
        <w:pStyle w:val="Para1"/>
        <w:numPr>
          <w:ilvl w:val="0"/>
          <w:numId w:val="77"/>
        </w:numPr>
        <w:tabs>
          <w:tab w:val="left" w:pos="1440"/>
        </w:tabs>
        <w:adjustRightInd w:val="0"/>
        <w:snapToGrid w:val="0"/>
        <w:ind w:left="0" w:firstLine="720"/>
        <w:rPr>
          <w:rFonts w:eastAsiaTheme="minorEastAsia"/>
          <w:sz w:val="24"/>
          <w:szCs w:val="24"/>
          <w:lang w:eastAsia="zh-CN"/>
        </w:rPr>
      </w:pPr>
      <w:r w:rsidRPr="00226587">
        <w:rPr>
          <w:rFonts w:ascii="KaiTi" w:eastAsia="KaiTi" w:hAnsi="KaiTi" w:cs="SimSun"/>
          <w:kern w:val="22"/>
          <w:sz w:val="24"/>
          <w:szCs w:val="24"/>
          <w:lang w:eastAsia="zh-CN"/>
        </w:rPr>
        <w:t>请</w:t>
      </w:r>
      <w:r w:rsidRPr="00226587">
        <w:rPr>
          <w:rFonts w:eastAsiaTheme="minorEastAsia"/>
          <w:sz w:val="24"/>
          <w:szCs w:val="24"/>
          <w:lang w:eastAsia="zh-CN"/>
        </w:rPr>
        <w:t>执行秘书在制定</w:t>
      </w:r>
      <w:r w:rsidRPr="00226587">
        <w:rPr>
          <w:rFonts w:eastAsiaTheme="minorEastAsia"/>
          <w:sz w:val="24"/>
          <w:szCs w:val="24"/>
          <w:lang w:eastAsia="zh-CN"/>
        </w:rPr>
        <w:t>2020</w:t>
      </w:r>
      <w:r w:rsidRPr="00226587">
        <w:rPr>
          <w:rFonts w:eastAsiaTheme="minorEastAsia"/>
          <w:sz w:val="24"/>
          <w:szCs w:val="24"/>
          <w:lang w:eastAsia="zh-CN"/>
        </w:rPr>
        <w:t>年后全球生物多样性框架时考虑野生和受管理的授粉媒介的保护和可持续利用问题；</w:t>
      </w:r>
    </w:p>
    <w:p w:rsidR="008F12F5" w:rsidRPr="00226587" w:rsidRDefault="008F12F5" w:rsidP="0069685F">
      <w:pPr>
        <w:pStyle w:val="Para1"/>
        <w:numPr>
          <w:ilvl w:val="0"/>
          <w:numId w:val="77"/>
        </w:numPr>
        <w:tabs>
          <w:tab w:val="left" w:pos="1440"/>
        </w:tabs>
        <w:adjustRightInd w:val="0"/>
        <w:snapToGrid w:val="0"/>
        <w:ind w:left="0" w:firstLine="720"/>
        <w:rPr>
          <w:rFonts w:eastAsiaTheme="minorEastAsia"/>
          <w:kern w:val="22"/>
          <w:sz w:val="24"/>
          <w:szCs w:val="24"/>
          <w:lang w:eastAsia="zh-CN"/>
        </w:rPr>
      </w:pPr>
      <w:r w:rsidRPr="00226587">
        <w:rPr>
          <w:rFonts w:ascii="KaiTi" w:eastAsia="KaiTi" w:hAnsi="KaiTi" w:cs="SimSun"/>
          <w:kern w:val="22"/>
          <w:sz w:val="24"/>
          <w:szCs w:val="24"/>
          <w:lang w:eastAsia="zh-CN"/>
        </w:rPr>
        <w:t>邀请</w:t>
      </w:r>
      <w:r w:rsidRPr="00226587">
        <w:rPr>
          <w:rFonts w:eastAsiaTheme="minorEastAsia"/>
          <w:kern w:val="22"/>
          <w:sz w:val="24"/>
          <w:szCs w:val="24"/>
          <w:lang w:eastAsia="zh-CN"/>
        </w:rPr>
        <w:t>有能力的缔约方</w:t>
      </w:r>
      <w:r w:rsidRPr="00226587">
        <w:rPr>
          <w:rFonts w:eastAsiaTheme="minorEastAsia"/>
          <w:sz w:val="24"/>
          <w:szCs w:val="24"/>
          <w:lang w:eastAsia="zh-CN"/>
        </w:rPr>
        <w:t>、其他国家政府、研究机构和组织支持有下列需求的国家：</w:t>
      </w:r>
      <w:r w:rsidRPr="00226587">
        <w:rPr>
          <w:rFonts w:eastAsiaTheme="minorEastAsia"/>
          <w:sz w:val="24"/>
          <w:szCs w:val="24"/>
          <w:lang w:val="en-US" w:eastAsia="zh-CN"/>
        </w:rPr>
        <w:t>(</w:t>
      </w:r>
      <w:r w:rsidRPr="00226587">
        <w:rPr>
          <w:rFonts w:eastAsiaTheme="minorEastAsia"/>
          <w:sz w:val="24"/>
          <w:szCs w:val="24"/>
          <w:lang w:eastAsia="zh-CN"/>
        </w:rPr>
        <w:t xml:space="preserve">a) </w:t>
      </w:r>
      <w:r w:rsidRPr="00226587">
        <w:rPr>
          <w:rFonts w:eastAsiaTheme="minorEastAsia"/>
          <w:sz w:val="24"/>
          <w:szCs w:val="24"/>
          <w:lang w:eastAsia="zh-CN"/>
        </w:rPr>
        <w:t>提高生物分类能力以增长有关授粉媒介及其现况和趋势的知识；</w:t>
      </w:r>
      <w:r w:rsidRPr="00226587">
        <w:rPr>
          <w:rFonts w:eastAsiaTheme="minorEastAsia"/>
          <w:sz w:val="24"/>
          <w:szCs w:val="24"/>
          <w:lang w:val="en-US" w:eastAsia="zh-CN"/>
        </w:rPr>
        <w:t xml:space="preserve">(b) </w:t>
      </w:r>
      <w:r w:rsidRPr="00226587">
        <w:rPr>
          <w:rFonts w:eastAsiaTheme="minorEastAsia"/>
          <w:sz w:val="24"/>
          <w:szCs w:val="24"/>
          <w:lang w:eastAsia="zh-CN"/>
        </w:rPr>
        <w:t>找到其种群变化的驱动因素；和</w:t>
      </w:r>
      <w:r w:rsidRPr="00226587">
        <w:rPr>
          <w:rFonts w:eastAsiaTheme="minorEastAsia"/>
          <w:sz w:val="24"/>
          <w:szCs w:val="24"/>
          <w:lang w:eastAsia="zh-CN"/>
        </w:rPr>
        <w:t xml:space="preserve"> </w:t>
      </w:r>
      <w:r w:rsidRPr="00226587">
        <w:rPr>
          <w:rFonts w:eastAsiaTheme="minorEastAsia"/>
          <w:sz w:val="24"/>
          <w:szCs w:val="24"/>
          <w:lang w:val="en-US" w:eastAsia="zh-CN"/>
        </w:rPr>
        <w:t xml:space="preserve">(c) </w:t>
      </w:r>
      <w:r w:rsidRPr="00226587">
        <w:rPr>
          <w:rFonts w:eastAsiaTheme="minorEastAsia"/>
          <w:sz w:val="24"/>
          <w:szCs w:val="24"/>
          <w:lang w:eastAsia="zh-CN"/>
        </w:rPr>
        <w:t>制定适当解决方案</w:t>
      </w:r>
      <w:r>
        <w:rPr>
          <w:rFonts w:eastAsiaTheme="minorEastAsia" w:hint="eastAsia"/>
          <w:sz w:val="24"/>
          <w:szCs w:val="24"/>
          <w:lang w:eastAsia="zh-CN"/>
        </w:rPr>
        <w:t>以确保</w:t>
      </w:r>
      <w:r w:rsidRPr="00226587">
        <w:rPr>
          <w:rFonts w:eastAsiaTheme="minorEastAsia"/>
          <w:sz w:val="24"/>
          <w:szCs w:val="24"/>
          <w:lang w:eastAsia="zh-CN"/>
        </w:rPr>
        <w:t>有效通过和执行拟议的行动计划。</w:t>
      </w:r>
    </w:p>
    <w:p w:rsidR="008F12F5" w:rsidRPr="000E18E5" w:rsidRDefault="008F12F5" w:rsidP="00FF4964">
      <w:pPr>
        <w:adjustRightInd w:val="0"/>
        <w:ind w:firstLine="0"/>
        <w:jc w:val="center"/>
        <w:rPr>
          <w:rFonts w:ascii="KaiTi" w:eastAsia="KaiTi" w:hAnsi="KaiTi"/>
          <w:lang w:eastAsia="zh-CN"/>
        </w:rPr>
      </w:pPr>
      <w:r w:rsidRPr="000E18E5">
        <w:rPr>
          <w:rFonts w:ascii="KaiTi" w:eastAsia="KaiTi" w:hAnsi="KaiTi" w:hint="eastAsia"/>
          <w:lang w:eastAsia="zh-CN"/>
        </w:rPr>
        <w:t>附件一</w:t>
      </w:r>
    </w:p>
    <w:p w:rsidR="008F12F5" w:rsidRPr="008F12F5" w:rsidRDefault="008F12F5" w:rsidP="00FF4964">
      <w:pPr>
        <w:pStyle w:val="Heading1"/>
        <w:keepNext w:val="0"/>
        <w:widowControl w:val="0"/>
        <w:adjustRightInd w:val="0"/>
        <w:spacing w:before="120" w:after="120"/>
        <w:ind w:firstLine="0"/>
        <w:rPr>
          <w:rFonts w:eastAsiaTheme="minorEastAsia" w:cs="Times New Roman"/>
          <w:kern w:val="22"/>
          <w:sz w:val="24"/>
          <w:lang w:eastAsia="zh-CN"/>
        </w:rPr>
      </w:pPr>
      <w:bookmarkStart w:id="67" w:name="_Toc6243687"/>
      <w:r w:rsidRPr="008F12F5">
        <w:rPr>
          <w:rFonts w:eastAsiaTheme="minorEastAsia" w:cs="Times New Roman"/>
          <w:kern w:val="22"/>
          <w:sz w:val="24"/>
          <w:lang w:eastAsia="zh-CN"/>
        </w:rPr>
        <w:t>更新的《保护与可持续利用授粉媒介国际倡议</w:t>
      </w:r>
      <w:r w:rsidRPr="008F12F5">
        <w:rPr>
          <w:rFonts w:eastAsiaTheme="minorEastAsia" w:cs="Times New Roman"/>
          <w:kern w:val="22"/>
          <w:sz w:val="24"/>
          <w:lang w:eastAsia="zh-CN"/>
        </w:rPr>
        <w:t>2018-2030</w:t>
      </w:r>
      <w:r w:rsidRPr="008F12F5">
        <w:rPr>
          <w:rFonts w:eastAsiaTheme="minorEastAsia" w:cs="Times New Roman"/>
          <w:kern w:val="22"/>
          <w:sz w:val="24"/>
          <w:lang w:eastAsia="zh-CN"/>
        </w:rPr>
        <w:t>年行动计划</w:t>
      </w:r>
      <w:r w:rsidRPr="008F12F5">
        <w:rPr>
          <w:rFonts w:eastAsiaTheme="minorEastAsia" w:cs="Times New Roman"/>
          <w:sz w:val="24"/>
          <w:lang w:eastAsia="zh-CN"/>
        </w:rPr>
        <w:t>》</w:t>
      </w:r>
      <w:bookmarkEnd w:id="67"/>
    </w:p>
    <w:p w:rsidR="008F12F5" w:rsidRPr="008F12F5" w:rsidRDefault="008F12F5" w:rsidP="00FF4964">
      <w:pPr>
        <w:pStyle w:val="Heading1"/>
        <w:keepNext w:val="0"/>
        <w:widowControl w:val="0"/>
        <w:adjustRightInd w:val="0"/>
        <w:spacing w:before="120" w:after="120"/>
        <w:ind w:firstLine="0"/>
        <w:rPr>
          <w:rFonts w:eastAsiaTheme="minorEastAsia" w:cs="Times New Roman"/>
          <w:sz w:val="24"/>
        </w:rPr>
      </w:pPr>
      <w:bookmarkStart w:id="68" w:name="_Toc6243688"/>
      <w:r w:rsidRPr="008F12F5">
        <w:rPr>
          <w:rFonts w:eastAsiaTheme="minorEastAsia" w:cs="Times New Roman"/>
          <w:sz w:val="24"/>
        </w:rPr>
        <w:t>导言</w:t>
      </w:r>
      <w:bookmarkEnd w:id="68"/>
    </w:p>
    <w:p w:rsidR="008F12F5" w:rsidRPr="00226587" w:rsidRDefault="008F12F5" w:rsidP="0069685F">
      <w:pPr>
        <w:pStyle w:val="Para1"/>
        <w:widowControl w:val="0"/>
        <w:numPr>
          <w:ilvl w:val="0"/>
          <w:numId w:val="76"/>
        </w:numPr>
        <w:tabs>
          <w:tab w:val="left" w:pos="720"/>
        </w:tabs>
        <w:adjustRightInd w:val="0"/>
        <w:ind w:left="0" w:firstLine="0"/>
        <w:rPr>
          <w:rFonts w:eastAsiaTheme="minorEastAsia"/>
          <w:sz w:val="24"/>
          <w:szCs w:val="24"/>
          <w:lang w:eastAsia="zh-CN"/>
        </w:rPr>
      </w:pPr>
      <w:r w:rsidRPr="00226587">
        <w:rPr>
          <w:rFonts w:eastAsiaTheme="minorEastAsia"/>
          <w:sz w:val="24"/>
          <w:szCs w:val="24"/>
          <w:lang w:eastAsia="zh-CN"/>
        </w:rPr>
        <w:t>生物多样性公约缔约方大会在其</w:t>
      </w:r>
      <w:r w:rsidRPr="00226587">
        <w:rPr>
          <w:rFonts w:eastAsiaTheme="minorEastAsia"/>
          <w:sz w:val="24"/>
          <w:szCs w:val="24"/>
          <w:lang w:eastAsia="zh-CN"/>
        </w:rPr>
        <w:t>1996</w:t>
      </w:r>
      <w:r w:rsidRPr="00226587">
        <w:rPr>
          <w:rFonts w:eastAsiaTheme="minorEastAsia"/>
          <w:sz w:val="24"/>
          <w:szCs w:val="24"/>
          <w:lang w:eastAsia="zh-CN"/>
        </w:rPr>
        <w:t>年第三届会议上确认授粉媒介的重要性及消</w:t>
      </w:r>
      <w:r w:rsidRPr="00226587">
        <w:rPr>
          <w:rFonts w:eastAsiaTheme="minorEastAsia"/>
          <w:sz w:val="24"/>
          <w:szCs w:val="24"/>
          <w:lang w:eastAsia="zh-CN"/>
        </w:rPr>
        <w:lastRenderedPageBreak/>
        <w:t>除授粉媒介减少的根源的必要性</w:t>
      </w:r>
      <w:r>
        <w:rPr>
          <w:rFonts w:eastAsiaTheme="minorEastAsia" w:hint="eastAsia"/>
          <w:sz w:val="24"/>
          <w:szCs w:val="24"/>
          <w:lang w:eastAsia="zh-CN"/>
        </w:rPr>
        <w:t>（</w:t>
      </w:r>
      <w:r w:rsidRPr="00226587">
        <w:rPr>
          <w:rFonts w:eastAsiaTheme="minorEastAsia"/>
          <w:sz w:val="24"/>
          <w:szCs w:val="24"/>
          <w:lang w:val="en-US" w:eastAsia="zh-CN"/>
        </w:rPr>
        <w:t>第</w:t>
      </w:r>
      <w:hyperlink r:id="rId44" w:history="1">
        <w:r w:rsidRPr="00226587">
          <w:rPr>
            <w:rStyle w:val="Hyperlink"/>
            <w:rFonts w:eastAsiaTheme="minorEastAsia"/>
            <w:kern w:val="22"/>
            <w:sz w:val="24"/>
            <w:szCs w:val="22"/>
            <w:lang w:eastAsia="zh-CN"/>
          </w:rPr>
          <w:t>III/11</w:t>
        </w:r>
      </w:hyperlink>
      <w:r w:rsidRPr="00226587">
        <w:rPr>
          <w:rFonts w:eastAsiaTheme="minorEastAsia"/>
          <w:sz w:val="24"/>
          <w:szCs w:val="24"/>
          <w:lang w:val="en-US" w:eastAsia="zh-CN"/>
        </w:rPr>
        <w:t>号决定</w:t>
      </w:r>
      <w:r>
        <w:rPr>
          <w:rFonts w:eastAsiaTheme="minorEastAsia" w:hint="eastAsia"/>
          <w:sz w:val="24"/>
          <w:szCs w:val="24"/>
          <w:lang w:val="en-US" w:eastAsia="zh-CN"/>
        </w:rPr>
        <w:t>）</w:t>
      </w:r>
      <w:r w:rsidRPr="00226587">
        <w:rPr>
          <w:rFonts w:eastAsiaTheme="minorEastAsia"/>
          <w:sz w:val="24"/>
          <w:szCs w:val="24"/>
          <w:lang w:eastAsia="zh-CN"/>
        </w:rPr>
        <w:t>。缔约方大会在第</w:t>
      </w:r>
      <w:r w:rsidRPr="00226587">
        <w:rPr>
          <w:rFonts w:eastAsiaTheme="minorEastAsia"/>
          <w:sz w:val="24"/>
          <w:szCs w:val="24"/>
          <w:lang w:eastAsia="zh-CN"/>
        </w:rPr>
        <w:t>V/5</w:t>
      </w:r>
      <w:r w:rsidRPr="00226587">
        <w:rPr>
          <w:rFonts w:eastAsiaTheme="minorEastAsia"/>
          <w:sz w:val="24"/>
          <w:szCs w:val="24"/>
          <w:lang w:eastAsia="zh-CN"/>
        </w:rPr>
        <w:t>号决定中决定制定《保护与可持续利用授粉媒介国际倡议》，作为农业生物多样性工作方案中促进世界各地协调行动的一项跨领域倡议，并随后在第</w:t>
      </w:r>
      <w:r w:rsidRPr="00226587">
        <w:rPr>
          <w:rFonts w:eastAsiaTheme="minorEastAsia"/>
          <w:sz w:val="24"/>
          <w:szCs w:val="24"/>
          <w:lang w:eastAsia="zh-CN"/>
        </w:rPr>
        <w:t>VI/5</w:t>
      </w:r>
      <w:r w:rsidRPr="00226587">
        <w:rPr>
          <w:rFonts w:eastAsiaTheme="minorEastAsia"/>
          <w:sz w:val="24"/>
          <w:szCs w:val="24"/>
          <w:lang w:eastAsia="zh-CN"/>
        </w:rPr>
        <w:t>号决定中通过了一项行动计划。联合国粮食及农业组织（粮农组织）一直在领导和推动该《行动计划》</w:t>
      </w:r>
      <w:r>
        <w:rPr>
          <w:rFonts w:eastAsiaTheme="minorEastAsia" w:hint="eastAsia"/>
          <w:sz w:val="24"/>
          <w:szCs w:val="24"/>
          <w:lang w:eastAsia="zh-CN"/>
        </w:rPr>
        <w:t>的</w:t>
      </w:r>
      <w:r>
        <w:rPr>
          <w:rFonts w:eastAsiaTheme="minorEastAsia"/>
          <w:sz w:val="24"/>
          <w:szCs w:val="24"/>
          <w:lang w:eastAsia="zh-CN"/>
        </w:rPr>
        <w:t>执行</w:t>
      </w:r>
      <w:r w:rsidRPr="00226587">
        <w:rPr>
          <w:rFonts w:eastAsiaTheme="minorEastAsia"/>
          <w:sz w:val="24"/>
          <w:szCs w:val="24"/>
          <w:lang w:val="en-US" w:eastAsia="zh-CN"/>
        </w:rPr>
        <w:t>。</w:t>
      </w:r>
    </w:p>
    <w:p w:rsidR="008F12F5" w:rsidRPr="00226587" w:rsidRDefault="008F12F5" w:rsidP="0069685F">
      <w:pPr>
        <w:pStyle w:val="Para1"/>
        <w:numPr>
          <w:ilvl w:val="0"/>
          <w:numId w:val="76"/>
        </w:numPr>
        <w:tabs>
          <w:tab w:val="left" w:pos="720"/>
        </w:tabs>
        <w:adjustRightInd w:val="0"/>
        <w:ind w:left="0" w:firstLine="0"/>
        <w:rPr>
          <w:rFonts w:eastAsiaTheme="minorEastAsia"/>
          <w:sz w:val="24"/>
          <w:szCs w:val="24"/>
          <w:lang w:eastAsia="de-DE"/>
        </w:rPr>
      </w:pPr>
      <w:r w:rsidRPr="00226587">
        <w:rPr>
          <w:rFonts w:eastAsiaTheme="minorEastAsia"/>
          <w:kern w:val="22"/>
          <w:sz w:val="24"/>
          <w:szCs w:val="24"/>
          <w:lang w:eastAsia="zh-CN"/>
        </w:rPr>
        <w:t>根据第</w:t>
      </w:r>
      <w:hyperlink r:id="rId45" w:history="1">
        <w:r w:rsidRPr="00226587">
          <w:rPr>
            <w:rStyle w:val="Hyperlink"/>
            <w:rFonts w:eastAsiaTheme="minorEastAsia"/>
            <w:sz w:val="24"/>
            <w:szCs w:val="24"/>
            <w:lang w:eastAsia="zh-CN"/>
          </w:rPr>
          <w:t>XIII/15</w:t>
        </w:r>
      </w:hyperlink>
      <w:r w:rsidRPr="00226587">
        <w:rPr>
          <w:rFonts w:eastAsiaTheme="minorEastAsia"/>
          <w:kern w:val="22"/>
          <w:sz w:val="24"/>
          <w:szCs w:val="24"/>
          <w:lang w:eastAsia="zh-CN"/>
        </w:rPr>
        <w:t>号决定（第</w:t>
      </w:r>
      <w:r w:rsidRPr="00226587">
        <w:rPr>
          <w:rFonts w:eastAsiaTheme="minorEastAsia"/>
          <w:kern w:val="22"/>
          <w:sz w:val="24"/>
          <w:szCs w:val="24"/>
          <w:lang w:eastAsia="zh-CN"/>
        </w:rPr>
        <w:t>10</w:t>
      </w:r>
      <w:r w:rsidRPr="00226587">
        <w:rPr>
          <w:rFonts w:eastAsiaTheme="minorEastAsia"/>
          <w:kern w:val="22"/>
          <w:sz w:val="24"/>
          <w:szCs w:val="24"/>
          <w:lang w:eastAsia="zh-CN"/>
        </w:rPr>
        <w:t>段），《行动计划》由粮农组织和生物多样性公约秘书处与其他伙伴和有关专家协商，联合编写。</w:t>
      </w:r>
    </w:p>
    <w:p w:rsidR="008F12F5" w:rsidRPr="00226587" w:rsidRDefault="008F12F5" w:rsidP="00FF4964">
      <w:pPr>
        <w:pStyle w:val="Heading1"/>
        <w:adjustRightInd w:val="0"/>
        <w:spacing w:before="120"/>
        <w:ind w:firstLine="0"/>
        <w:rPr>
          <w:rFonts w:eastAsiaTheme="minorEastAsia"/>
          <w:sz w:val="24"/>
        </w:rPr>
      </w:pPr>
      <w:bookmarkStart w:id="69" w:name="_Toc6243689"/>
      <w:r w:rsidRPr="00226587">
        <w:rPr>
          <w:rFonts w:eastAsiaTheme="minorEastAsia"/>
          <w:sz w:val="24"/>
        </w:rPr>
        <w:t>一</w:t>
      </w:r>
      <w:r w:rsidRPr="00226587">
        <w:rPr>
          <w:rFonts w:eastAsiaTheme="minorEastAsia"/>
          <w:sz w:val="24"/>
        </w:rPr>
        <w:t>.</w:t>
      </w:r>
      <w:r w:rsidRPr="00226587">
        <w:rPr>
          <w:rFonts w:eastAsiaTheme="minorEastAsia"/>
          <w:sz w:val="24"/>
        </w:rPr>
        <w:tab/>
      </w:r>
      <w:r w:rsidRPr="00226587">
        <w:rPr>
          <w:rFonts w:eastAsiaTheme="minorEastAsia"/>
          <w:sz w:val="24"/>
        </w:rPr>
        <w:t>目标</w:t>
      </w:r>
      <w:r>
        <w:rPr>
          <w:rFonts w:eastAsiaTheme="minorEastAsia" w:hint="eastAsia"/>
          <w:sz w:val="24"/>
        </w:rPr>
        <w:t>、</w:t>
      </w:r>
      <w:r w:rsidRPr="00226587">
        <w:rPr>
          <w:rFonts w:eastAsiaTheme="minorEastAsia"/>
          <w:sz w:val="24"/>
        </w:rPr>
        <w:t>宗旨和范围</w:t>
      </w:r>
      <w:bookmarkEnd w:id="69"/>
    </w:p>
    <w:p w:rsidR="008F12F5" w:rsidRPr="00226587" w:rsidRDefault="008F12F5" w:rsidP="0069685F">
      <w:pPr>
        <w:pStyle w:val="Para1"/>
        <w:numPr>
          <w:ilvl w:val="0"/>
          <w:numId w:val="76"/>
        </w:numPr>
        <w:tabs>
          <w:tab w:val="left" w:pos="720"/>
        </w:tabs>
        <w:adjustRightInd w:val="0"/>
        <w:ind w:left="0" w:firstLine="0"/>
        <w:rPr>
          <w:rFonts w:eastAsiaTheme="minorEastAsia"/>
          <w:sz w:val="24"/>
          <w:lang w:eastAsia="de-DE"/>
        </w:rPr>
      </w:pPr>
      <w:r w:rsidRPr="00226587">
        <w:rPr>
          <w:rFonts w:eastAsiaTheme="minorEastAsia"/>
          <w:sz w:val="24"/>
          <w:lang w:eastAsia="zh-CN"/>
        </w:rPr>
        <w:t>《行动计划》的总体目标是促进世界范围的协调行动，保护野生和受管理的授粉媒介，促进可持续利用授粉功能和服务，这是一项公认的促进农业和</w:t>
      </w:r>
      <w:r>
        <w:rPr>
          <w:rFonts w:eastAsiaTheme="minorEastAsia" w:hint="eastAsia"/>
          <w:sz w:val="24"/>
          <w:lang w:eastAsia="zh-CN"/>
        </w:rPr>
        <w:t>促进生态系统</w:t>
      </w:r>
      <w:r>
        <w:rPr>
          <w:rFonts w:eastAsiaTheme="minorEastAsia"/>
          <w:sz w:val="24"/>
          <w:lang w:eastAsia="zh-CN"/>
        </w:rPr>
        <w:t>的</w:t>
      </w:r>
      <w:r w:rsidRPr="00226587">
        <w:rPr>
          <w:rFonts w:eastAsiaTheme="minorEastAsia"/>
          <w:sz w:val="24"/>
          <w:lang w:eastAsia="zh-CN"/>
        </w:rPr>
        <w:t>运作</w:t>
      </w:r>
      <w:r>
        <w:rPr>
          <w:rFonts w:eastAsiaTheme="minorEastAsia" w:hint="eastAsia"/>
          <w:sz w:val="24"/>
          <w:lang w:eastAsia="zh-CN"/>
        </w:rPr>
        <w:t>和</w:t>
      </w:r>
      <w:r w:rsidRPr="00226587">
        <w:rPr>
          <w:rFonts w:eastAsiaTheme="minorEastAsia"/>
          <w:sz w:val="24"/>
          <w:lang w:eastAsia="zh-CN"/>
        </w:rPr>
        <w:t>健康的重要生态系统服务。</w:t>
      </w:r>
    </w:p>
    <w:p w:rsidR="008F12F5" w:rsidRPr="00226587" w:rsidRDefault="008F12F5" w:rsidP="0069685F">
      <w:pPr>
        <w:pStyle w:val="Para1"/>
        <w:numPr>
          <w:ilvl w:val="0"/>
          <w:numId w:val="76"/>
        </w:numPr>
        <w:tabs>
          <w:tab w:val="left" w:pos="720"/>
        </w:tabs>
        <w:adjustRightInd w:val="0"/>
        <w:ind w:left="0" w:firstLine="0"/>
        <w:rPr>
          <w:rFonts w:eastAsiaTheme="minorEastAsia"/>
          <w:sz w:val="24"/>
          <w:lang w:eastAsia="zh-CN"/>
        </w:rPr>
      </w:pPr>
      <w:r w:rsidRPr="00226587">
        <w:rPr>
          <w:rFonts w:eastAsiaTheme="minorEastAsia"/>
          <w:sz w:val="24"/>
          <w:lang w:eastAsia="zh-CN"/>
        </w:rPr>
        <w:t>《</w:t>
      </w:r>
      <w:r w:rsidRPr="00226587">
        <w:rPr>
          <w:rFonts w:eastAsiaTheme="minorEastAsia"/>
          <w:sz w:val="24"/>
          <w:lang w:eastAsia="de-CH"/>
        </w:rPr>
        <w:t>行动计划</w:t>
      </w:r>
      <w:r w:rsidRPr="00226587">
        <w:rPr>
          <w:rFonts w:eastAsiaTheme="minorEastAsia"/>
          <w:sz w:val="24"/>
          <w:lang w:eastAsia="zh-CN"/>
        </w:rPr>
        <w:t>》</w:t>
      </w:r>
      <w:r w:rsidRPr="00226587">
        <w:rPr>
          <w:rFonts w:eastAsiaTheme="minorEastAsia"/>
          <w:sz w:val="24"/>
          <w:lang w:eastAsia="de-CH"/>
        </w:rPr>
        <w:t>的目的是</w:t>
      </w:r>
      <w:r w:rsidRPr="00226587">
        <w:rPr>
          <w:rFonts w:eastAsiaTheme="minorEastAsia"/>
          <w:sz w:val="24"/>
          <w:lang w:eastAsia="zh-CN"/>
        </w:rPr>
        <w:t>结合《</w:t>
      </w:r>
      <w:r w:rsidRPr="00226587">
        <w:rPr>
          <w:rFonts w:eastAsiaTheme="minorEastAsia"/>
          <w:sz w:val="24"/>
          <w:lang w:eastAsia="de-CH"/>
        </w:rPr>
        <w:t>2011-2020</w:t>
      </w:r>
      <w:r w:rsidRPr="00226587">
        <w:rPr>
          <w:rFonts w:eastAsiaTheme="minorEastAsia"/>
          <w:sz w:val="24"/>
          <w:lang w:eastAsia="de-CH"/>
        </w:rPr>
        <w:t>年生物多样性战略计划</w:t>
      </w:r>
      <w:r w:rsidRPr="00226587">
        <w:rPr>
          <w:rFonts w:eastAsiaTheme="minorEastAsia"/>
          <w:sz w:val="24"/>
          <w:lang w:eastAsia="zh-CN"/>
        </w:rPr>
        <w:t>》</w:t>
      </w:r>
      <w:r w:rsidRPr="00226587">
        <w:rPr>
          <w:rFonts w:eastAsiaTheme="minorEastAsia"/>
          <w:sz w:val="24"/>
          <w:lang w:eastAsia="de-CH"/>
        </w:rPr>
        <w:t>及其</w:t>
      </w:r>
      <w:r>
        <w:rPr>
          <w:rFonts w:eastAsiaTheme="minorEastAsia"/>
          <w:sz w:val="24"/>
          <w:lang w:eastAsia="de-CH"/>
        </w:rPr>
        <w:t>《爱知生物多样性指标》</w:t>
      </w:r>
      <w:r w:rsidRPr="00226587">
        <w:rPr>
          <w:rFonts w:eastAsiaTheme="minorEastAsia"/>
          <w:sz w:val="24"/>
          <w:lang w:eastAsia="de-CH"/>
        </w:rPr>
        <w:t>和</w:t>
      </w:r>
      <w:r w:rsidRPr="00226587">
        <w:rPr>
          <w:rFonts w:eastAsiaTheme="minorEastAsia"/>
          <w:sz w:val="24"/>
          <w:lang w:eastAsia="de-CH"/>
        </w:rPr>
        <w:t>2050</w:t>
      </w:r>
      <w:r w:rsidRPr="00226587">
        <w:rPr>
          <w:rFonts w:eastAsiaTheme="minorEastAsia"/>
          <w:sz w:val="24"/>
          <w:lang w:eastAsia="zh-CN"/>
        </w:rPr>
        <w:t>年生物多样性愿景、</w:t>
      </w:r>
      <w:r w:rsidRPr="00226587">
        <w:rPr>
          <w:rFonts w:eastAsiaTheme="minorEastAsia"/>
          <w:sz w:val="24"/>
          <w:lang w:eastAsia="de-CH"/>
        </w:rPr>
        <w:t>粮农组织</w:t>
      </w:r>
      <w:r w:rsidRPr="00226587">
        <w:rPr>
          <w:rFonts w:eastAsiaTheme="minorEastAsia"/>
          <w:sz w:val="24"/>
          <w:lang w:eastAsia="zh-CN"/>
        </w:rPr>
        <w:t>《</w:t>
      </w:r>
      <w:r w:rsidRPr="00226587">
        <w:rPr>
          <w:rFonts w:eastAsiaTheme="minorEastAsia"/>
          <w:sz w:val="24"/>
          <w:lang w:eastAsia="de-CH"/>
        </w:rPr>
        <w:t>2010-2019</w:t>
      </w:r>
      <w:r w:rsidRPr="00226587">
        <w:rPr>
          <w:rFonts w:eastAsiaTheme="minorEastAsia"/>
          <w:sz w:val="24"/>
          <w:lang w:eastAsia="de-CH"/>
        </w:rPr>
        <w:t>年战略框架</w:t>
      </w:r>
      <w:r w:rsidRPr="00226587">
        <w:rPr>
          <w:rFonts w:eastAsiaTheme="minorEastAsia"/>
          <w:sz w:val="24"/>
          <w:lang w:eastAsia="zh-CN"/>
        </w:rPr>
        <w:t>》</w:t>
      </w:r>
      <w:r>
        <w:rPr>
          <w:rFonts w:eastAsiaTheme="minorEastAsia"/>
          <w:sz w:val="24"/>
          <w:lang w:eastAsia="de-CH"/>
        </w:rPr>
        <w:t>和相关后续框架</w:t>
      </w:r>
      <w:r w:rsidRPr="00226587">
        <w:rPr>
          <w:rFonts w:eastAsiaTheme="minorEastAsia"/>
          <w:sz w:val="24"/>
          <w:lang w:eastAsia="de-CH"/>
        </w:rPr>
        <w:t>以及</w:t>
      </w:r>
      <w:r w:rsidRPr="00226587">
        <w:rPr>
          <w:rFonts w:eastAsiaTheme="minorEastAsia"/>
          <w:sz w:val="24"/>
          <w:lang w:eastAsia="zh-CN"/>
        </w:rPr>
        <w:t>《</w:t>
      </w:r>
      <w:r w:rsidRPr="00226587">
        <w:rPr>
          <w:rFonts w:eastAsiaTheme="minorEastAsia"/>
          <w:sz w:val="24"/>
          <w:lang w:eastAsia="de-CH"/>
        </w:rPr>
        <w:t>2030</w:t>
      </w:r>
      <w:r w:rsidRPr="00226587">
        <w:rPr>
          <w:rFonts w:eastAsiaTheme="minorEastAsia"/>
          <w:sz w:val="24"/>
          <w:lang w:eastAsia="de-CH"/>
        </w:rPr>
        <w:t>年可持续发展议程</w:t>
      </w:r>
      <w:r w:rsidRPr="00226587">
        <w:rPr>
          <w:rFonts w:eastAsiaTheme="minorEastAsia"/>
          <w:sz w:val="24"/>
          <w:lang w:eastAsia="zh-CN"/>
        </w:rPr>
        <w:t>》，包括</w:t>
      </w:r>
      <w:r w:rsidRPr="00226587">
        <w:rPr>
          <w:rFonts w:eastAsiaTheme="minorEastAsia"/>
          <w:sz w:val="24"/>
          <w:lang w:eastAsia="de-CH"/>
        </w:rPr>
        <w:t>可持续发展目标</w:t>
      </w:r>
      <w:r w:rsidRPr="00226587">
        <w:rPr>
          <w:rFonts w:eastAsiaTheme="minorEastAsia"/>
          <w:sz w:val="24"/>
          <w:lang w:eastAsia="zh-CN"/>
        </w:rPr>
        <w:t>，</w:t>
      </w:r>
      <w:r w:rsidRPr="00226587">
        <w:rPr>
          <w:rFonts w:eastAsiaTheme="minorEastAsia"/>
          <w:sz w:val="24"/>
          <w:lang w:eastAsia="de-CH"/>
        </w:rPr>
        <w:t>协助各缔约方</w:t>
      </w:r>
      <w:r w:rsidRPr="00226587">
        <w:rPr>
          <w:rFonts w:eastAsiaTheme="minorEastAsia"/>
          <w:sz w:val="24"/>
          <w:lang w:eastAsia="zh-CN"/>
        </w:rPr>
        <w:t>、</w:t>
      </w:r>
      <w:r w:rsidRPr="00226587">
        <w:rPr>
          <w:rFonts w:eastAsiaTheme="minorEastAsia"/>
          <w:sz w:val="24"/>
          <w:lang w:eastAsia="de-CH"/>
        </w:rPr>
        <w:t>其他国家政府</w:t>
      </w:r>
      <w:r w:rsidRPr="00226587">
        <w:rPr>
          <w:rFonts w:eastAsiaTheme="minorEastAsia"/>
          <w:sz w:val="24"/>
          <w:lang w:eastAsia="zh-CN"/>
        </w:rPr>
        <w:t>、</w:t>
      </w:r>
      <w:r>
        <w:rPr>
          <w:rFonts w:eastAsiaTheme="minorEastAsia"/>
          <w:sz w:val="24"/>
          <w:lang w:eastAsia="zh-CN"/>
        </w:rPr>
        <w:t>土著人民和地方社区</w:t>
      </w:r>
      <w:r w:rsidRPr="00226587">
        <w:rPr>
          <w:rFonts w:eastAsiaTheme="minorEastAsia"/>
          <w:sz w:val="24"/>
          <w:lang w:eastAsia="zh-CN"/>
        </w:rPr>
        <w:t>、相关</w:t>
      </w:r>
      <w:r w:rsidRPr="00226587">
        <w:rPr>
          <w:rFonts w:eastAsiaTheme="minorEastAsia"/>
          <w:sz w:val="24"/>
          <w:lang w:eastAsia="de-CH"/>
        </w:rPr>
        <w:t>组织和倡议执行第</w:t>
      </w:r>
      <w:r w:rsidRPr="00226587">
        <w:rPr>
          <w:rFonts w:eastAsiaTheme="minorEastAsia"/>
          <w:sz w:val="24"/>
          <w:lang w:eastAsia="de-CH"/>
        </w:rPr>
        <w:t>XIII</w:t>
      </w:r>
      <w:r w:rsidRPr="00226587">
        <w:rPr>
          <w:rFonts w:eastAsiaTheme="minorEastAsia"/>
          <w:sz w:val="24"/>
          <w:lang w:eastAsia="zh-CN"/>
        </w:rPr>
        <w:t>/</w:t>
      </w:r>
      <w:r w:rsidRPr="00226587">
        <w:rPr>
          <w:rFonts w:eastAsiaTheme="minorEastAsia"/>
          <w:sz w:val="24"/>
          <w:lang w:eastAsia="de-CH"/>
        </w:rPr>
        <w:t>15</w:t>
      </w:r>
      <w:r w:rsidRPr="00226587">
        <w:rPr>
          <w:rFonts w:eastAsiaTheme="minorEastAsia"/>
          <w:sz w:val="24"/>
          <w:lang w:eastAsia="de-CH"/>
        </w:rPr>
        <w:t>号决定。</w:t>
      </w:r>
    </w:p>
    <w:p w:rsidR="008F12F5" w:rsidRPr="00226587" w:rsidRDefault="008F12F5" w:rsidP="0069685F">
      <w:pPr>
        <w:pStyle w:val="Para1"/>
        <w:numPr>
          <w:ilvl w:val="0"/>
          <w:numId w:val="76"/>
        </w:numPr>
        <w:tabs>
          <w:tab w:val="left" w:pos="720"/>
        </w:tabs>
        <w:adjustRightInd w:val="0"/>
        <w:ind w:left="0" w:firstLine="0"/>
        <w:rPr>
          <w:rFonts w:eastAsiaTheme="minorEastAsia"/>
          <w:sz w:val="24"/>
          <w:lang w:eastAsia="de-CH"/>
        </w:rPr>
      </w:pPr>
      <w:r w:rsidRPr="00226587">
        <w:rPr>
          <w:rFonts w:eastAsiaTheme="minorEastAsia"/>
          <w:sz w:val="24"/>
          <w:lang w:eastAsia="zh-CN"/>
        </w:rPr>
        <w:t>《行动计划》的</w:t>
      </w:r>
      <w:r w:rsidRPr="00226587">
        <w:rPr>
          <w:rFonts w:eastAsiaTheme="minorEastAsia"/>
          <w:sz w:val="24"/>
          <w:lang w:eastAsia="de-CH"/>
        </w:rPr>
        <w:t>业务</w:t>
      </w:r>
      <w:r w:rsidRPr="00226587">
        <w:rPr>
          <w:rFonts w:eastAsiaTheme="minorEastAsia"/>
          <w:sz w:val="24"/>
          <w:lang w:eastAsia="zh-CN"/>
        </w:rPr>
        <w:t>目标是</w:t>
      </w:r>
      <w:r>
        <w:rPr>
          <w:rFonts w:eastAsiaTheme="minorEastAsia" w:hint="eastAsia"/>
          <w:sz w:val="24"/>
          <w:lang w:eastAsia="zh-CN"/>
        </w:rPr>
        <w:t>支持</w:t>
      </w:r>
      <w:r w:rsidRPr="00226587">
        <w:rPr>
          <w:rFonts w:eastAsiaTheme="minorEastAsia"/>
          <w:sz w:val="24"/>
          <w:lang w:eastAsia="zh-CN"/>
        </w:rPr>
        <w:t>各缔约方、其他国家政府、土著人民和地方社区、相关组织和倡议：</w:t>
      </w:r>
    </w:p>
    <w:p w:rsidR="008F12F5" w:rsidRPr="00226587" w:rsidRDefault="008F12F5" w:rsidP="0069685F">
      <w:pPr>
        <w:pStyle w:val="ListParagraph"/>
        <w:numPr>
          <w:ilvl w:val="0"/>
          <w:numId w:val="74"/>
        </w:numPr>
        <w:tabs>
          <w:tab w:val="left" w:pos="720"/>
          <w:tab w:val="left" w:pos="1440"/>
        </w:tabs>
        <w:suppressAutoHyphens/>
        <w:adjustRightInd w:val="0"/>
        <w:snapToGrid w:val="0"/>
        <w:ind w:left="0" w:firstLine="720"/>
        <w:rPr>
          <w:rFonts w:eastAsiaTheme="minorEastAsia"/>
          <w:lang w:eastAsia="zh-CN"/>
        </w:rPr>
      </w:pPr>
      <w:r w:rsidRPr="00226587">
        <w:rPr>
          <w:rFonts w:eastAsiaTheme="minorEastAsia"/>
          <w:snapToGrid w:val="0"/>
          <w:kern w:val="22"/>
          <w:lang w:eastAsia="zh-CN"/>
        </w:rPr>
        <w:t>在地方、国家以下、国家、区域和全球各级执行保护和可持续利用授粉媒介的全面而一致的政策，推动将其纳入部门和跨部门计划、方案和战略</w:t>
      </w:r>
      <w:r w:rsidRPr="00226587">
        <w:rPr>
          <w:rFonts w:eastAsiaTheme="minorEastAsia"/>
          <w:lang w:eastAsia="zh-CN"/>
        </w:rPr>
        <w:t>；</w:t>
      </w:r>
    </w:p>
    <w:p w:rsidR="008F12F5" w:rsidRPr="00226587" w:rsidRDefault="008F12F5" w:rsidP="0069685F">
      <w:pPr>
        <w:pStyle w:val="ListParagraph"/>
        <w:numPr>
          <w:ilvl w:val="0"/>
          <w:numId w:val="74"/>
        </w:numPr>
        <w:tabs>
          <w:tab w:val="left" w:pos="720"/>
        </w:tabs>
        <w:suppressAutoHyphens/>
        <w:adjustRightInd w:val="0"/>
        <w:snapToGrid w:val="0"/>
        <w:ind w:left="0" w:firstLine="720"/>
        <w:rPr>
          <w:rFonts w:eastAsiaTheme="minorEastAsia"/>
          <w:lang w:eastAsia="zh-CN"/>
        </w:rPr>
      </w:pPr>
      <w:r w:rsidRPr="00226587">
        <w:rPr>
          <w:rFonts w:eastAsiaTheme="minorEastAsia"/>
          <w:lang w:eastAsia="zh-CN"/>
        </w:rPr>
        <w:t>加强和贯彻维护健康授粉媒介区系的管理做法，使农民、养蜂人、林务员、土地管理者和城市社区能够利用授粉的收益，提高其生产力和改善生计</w:t>
      </w:r>
      <w:r w:rsidRPr="00226587">
        <w:rPr>
          <w:rFonts w:eastAsiaTheme="minorEastAsia"/>
          <w:snapToGrid w:val="0"/>
          <w:kern w:val="22"/>
          <w:lang w:eastAsia="zh-CN"/>
        </w:rPr>
        <w:t>；</w:t>
      </w:r>
    </w:p>
    <w:p w:rsidR="008F12F5" w:rsidRPr="00226587" w:rsidRDefault="008F12F5" w:rsidP="0069685F">
      <w:pPr>
        <w:pStyle w:val="ListParagraph"/>
        <w:numPr>
          <w:ilvl w:val="0"/>
          <w:numId w:val="74"/>
        </w:numPr>
        <w:tabs>
          <w:tab w:val="left" w:pos="720"/>
        </w:tabs>
        <w:suppressAutoHyphens/>
        <w:adjustRightInd w:val="0"/>
        <w:snapToGrid w:val="0"/>
        <w:ind w:left="0" w:firstLine="720"/>
        <w:rPr>
          <w:rFonts w:eastAsiaTheme="minorEastAsia"/>
          <w:lang w:eastAsia="zh-CN"/>
        </w:rPr>
      </w:pPr>
      <w:r w:rsidRPr="00226587">
        <w:rPr>
          <w:rFonts w:eastAsiaTheme="minorEastAsia"/>
          <w:snapToGrid w:val="0"/>
          <w:kern w:val="22"/>
          <w:lang w:eastAsia="zh-CN"/>
        </w:rPr>
        <w:t>促进民众和私营部门</w:t>
      </w:r>
      <w:r>
        <w:rPr>
          <w:rFonts w:eastAsiaTheme="minorEastAsia" w:hint="eastAsia"/>
          <w:snapToGrid w:val="0"/>
          <w:kern w:val="22"/>
          <w:lang w:eastAsia="zh-CN"/>
        </w:rPr>
        <w:t>关于</w:t>
      </w:r>
      <w:r w:rsidRPr="00226587">
        <w:rPr>
          <w:rFonts w:eastAsiaTheme="minorEastAsia"/>
          <w:snapToGrid w:val="0"/>
          <w:kern w:val="22"/>
          <w:lang w:eastAsia="zh-CN"/>
        </w:rPr>
        <w:t>授粉媒介及其生境价值的</w:t>
      </w:r>
      <w:r>
        <w:rPr>
          <w:rFonts w:eastAsiaTheme="minorEastAsia" w:hint="eastAsia"/>
          <w:snapToGrid w:val="0"/>
          <w:kern w:val="22"/>
          <w:lang w:eastAsia="zh-CN"/>
        </w:rPr>
        <w:t>教育</w:t>
      </w:r>
      <w:r>
        <w:rPr>
          <w:rFonts w:eastAsiaTheme="minorEastAsia"/>
          <w:snapToGrid w:val="0"/>
          <w:kern w:val="22"/>
          <w:lang w:eastAsia="zh-CN"/>
        </w:rPr>
        <w:t>和</w:t>
      </w:r>
      <w:r w:rsidRPr="00226587">
        <w:rPr>
          <w:rFonts w:eastAsiaTheme="minorEastAsia"/>
          <w:snapToGrid w:val="0"/>
          <w:kern w:val="22"/>
          <w:lang w:eastAsia="zh-CN"/>
        </w:rPr>
        <w:t>认识；改进决策工具；采取切实行动降低和防止授粉媒介减少的现象；</w:t>
      </w:r>
    </w:p>
    <w:p w:rsidR="008F12F5" w:rsidRPr="00226587" w:rsidRDefault="008F12F5" w:rsidP="0069685F">
      <w:pPr>
        <w:pStyle w:val="ListParagraph"/>
        <w:numPr>
          <w:ilvl w:val="0"/>
          <w:numId w:val="74"/>
        </w:numPr>
        <w:tabs>
          <w:tab w:val="left" w:pos="720"/>
        </w:tabs>
        <w:suppressAutoHyphens/>
        <w:adjustRightInd w:val="0"/>
        <w:snapToGrid w:val="0"/>
        <w:ind w:left="0" w:firstLine="720"/>
        <w:rPr>
          <w:rFonts w:eastAsiaTheme="minorEastAsia"/>
          <w:lang w:eastAsia="zh-CN"/>
        </w:rPr>
      </w:pPr>
      <w:r w:rsidRPr="00226587">
        <w:rPr>
          <w:rFonts w:eastAsiaTheme="minorEastAsia"/>
          <w:snapToGrid w:val="0"/>
          <w:lang w:eastAsia="zh-CN"/>
        </w:rPr>
        <w:t>监测和评估各区域</w:t>
      </w:r>
      <w:r>
        <w:rPr>
          <w:rFonts w:eastAsiaTheme="minorEastAsia" w:hint="eastAsia"/>
          <w:snapToGrid w:val="0"/>
          <w:lang w:eastAsia="zh-CN"/>
        </w:rPr>
        <w:t>的</w:t>
      </w:r>
      <w:r w:rsidRPr="00226587">
        <w:rPr>
          <w:rFonts w:eastAsiaTheme="minorEastAsia"/>
          <w:snapToGrid w:val="0"/>
          <w:lang w:eastAsia="zh-CN"/>
        </w:rPr>
        <w:t>授粉媒介、授粉及其生境的现况和趋势，通过促进相关研究等方式，</w:t>
      </w:r>
      <w:r w:rsidRPr="008F12F5">
        <w:rPr>
          <w:rFonts w:eastAsiaTheme="minorEastAsia" w:hint="eastAsia"/>
          <w:snapToGrid w:val="0"/>
          <w:kern w:val="22"/>
          <w:lang w:eastAsia="zh-CN"/>
        </w:rPr>
        <w:t>弥补知识方面的</w:t>
      </w:r>
      <w:r w:rsidRPr="008F12F5">
        <w:rPr>
          <w:rFonts w:eastAsiaTheme="minorEastAsia"/>
          <w:snapToGrid w:val="0"/>
          <w:kern w:val="22"/>
          <w:lang w:eastAsia="zh-CN"/>
        </w:rPr>
        <w:t>不足。</w:t>
      </w:r>
    </w:p>
    <w:p w:rsidR="008F12F5" w:rsidRPr="00226587" w:rsidRDefault="008F12F5" w:rsidP="0069685F">
      <w:pPr>
        <w:pStyle w:val="Para1"/>
        <w:numPr>
          <w:ilvl w:val="0"/>
          <w:numId w:val="76"/>
        </w:numPr>
        <w:tabs>
          <w:tab w:val="left" w:pos="720"/>
        </w:tabs>
        <w:adjustRightInd w:val="0"/>
        <w:ind w:left="0" w:firstLine="0"/>
        <w:rPr>
          <w:rFonts w:eastAsiaTheme="minorEastAsia"/>
          <w:sz w:val="24"/>
          <w:lang w:eastAsia="zh-CN"/>
        </w:rPr>
      </w:pPr>
      <w:r w:rsidRPr="00226587">
        <w:rPr>
          <w:rFonts w:eastAsiaTheme="minorEastAsia"/>
          <w:sz w:val="24"/>
          <w:lang w:eastAsia="zh-CN"/>
        </w:rPr>
        <w:t>《行动计划》旨在推动落实行动，在农业景观和相关生态系统，包括森林、草原、农田、湿地、热带草原、沿海地区和城市环境中，保护和促进授粉媒介及授粉功能和服务。可在区域、国家、国家以下和地方各级推行这些活动。</w:t>
      </w:r>
    </w:p>
    <w:p w:rsidR="008F12F5" w:rsidRPr="00226587" w:rsidRDefault="008F12F5" w:rsidP="00FF4964">
      <w:pPr>
        <w:pStyle w:val="Heading1"/>
        <w:adjustRightInd w:val="0"/>
        <w:spacing w:before="120"/>
        <w:ind w:firstLine="0"/>
        <w:rPr>
          <w:rFonts w:eastAsiaTheme="minorEastAsia"/>
          <w:sz w:val="24"/>
        </w:rPr>
      </w:pPr>
      <w:bookmarkStart w:id="70" w:name="_Toc6243690"/>
      <w:r w:rsidRPr="00226587">
        <w:rPr>
          <w:rFonts w:eastAsiaTheme="minorEastAsia"/>
          <w:sz w:val="24"/>
        </w:rPr>
        <w:t>二</w:t>
      </w:r>
      <w:r w:rsidRPr="00226587">
        <w:rPr>
          <w:rFonts w:eastAsiaTheme="minorEastAsia"/>
          <w:sz w:val="24"/>
        </w:rPr>
        <w:t>.</w:t>
      </w:r>
      <w:r w:rsidRPr="00226587">
        <w:rPr>
          <w:rFonts w:eastAsiaTheme="minorEastAsia"/>
          <w:sz w:val="24"/>
        </w:rPr>
        <w:tab/>
      </w:r>
      <w:r w:rsidRPr="00226587">
        <w:rPr>
          <w:rFonts w:eastAsiaTheme="minorEastAsia"/>
          <w:sz w:val="24"/>
        </w:rPr>
        <w:t>背景和总体理论依据</w:t>
      </w:r>
      <w:bookmarkEnd w:id="70"/>
    </w:p>
    <w:p w:rsidR="008F12F5" w:rsidRPr="009B2CCA" w:rsidRDefault="008F12F5" w:rsidP="0069685F">
      <w:pPr>
        <w:pStyle w:val="Para1"/>
        <w:numPr>
          <w:ilvl w:val="0"/>
          <w:numId w:val="76"/>
        </w:numPr>
        <w:tabs>
          <w:tab w:val="left" w:pos="720"/>
        </w:tabs>
        <w:adjustRightInd w:val="0"/>
        <w:ind w:left="0" w:firstLine="0"/>
        <w:rPr>
          <w:rFonts w:eastAsiaTheme="minorEastAsia"/>
          <w:sz w:val="24"/>
          <w:lang w:eastAsia="de-DE"/>
        </w:rPr>
      </w:pPr>
      <w:r w:rsidRPr="009B2CCA">
        <w:rPr>
          <w:rFonts w:eastAsiaTheme="minorEastAsia"/>
          <w:sz w:val="24"/>
          <w:lang w:eastAsia="zh-CN"/>
        </w:rPr>
        <w:t>动物介导的授粉是对自然界、农业和人类福祉至关重要的调节生态系统服务。这项服务的提供者是授粉媒介，即受管理的蜜蜂</w:t>
      </w:r>
      <w:r w:rsidRPr="009B2CCA">
        <w:rPr>
          <w:rFonts w:eastAsiaTheme="minorEastAsia" w:hint="eastAsia"/>
          <w:sz w:val="24"/>
          <w:lang w:eastAsia="zh-CN"/>
        </w:rPr>
        <w:t>、</w:t>
      </w:r>
      <w:r w:rsidRPr="009B2CCA">
        <w:rPr>
          <w:rFonts w:eastAsiaTheme="minorEastAsia"/>
          <w:sz w:val="24"/>
          <w:lang w:eastAsia="zh-CN"/>
        </w:rPr>
        <w:t>野蜂</w:t>
      </w:r>
      <w:r w:rsidRPr="009B2CCA">
        <w:rPr>
          <w:rFonts w:eastAsiaTheme="minorEastAsia" w:hint="eastAsia"/>
          <w:sz w:val="24"/>
          <w:lang w:eastAsia="zh-CN"/>
        </w:rPr>
        <w:t>以及</w:t>
      </w:r>
      <w:r w:rsidRPr="009B2CCA">
        <w:rPr>
          <w:rFonts w:eastAsiaTheme="minorEastAsia"/>
          <w:sz w:val="24"/>
          <w:lang w:eastAsia="zh-CN"/>
        </w:rPr>
        <w:t>苍蝇、蝴蝶和甲虫等其他昆虫；以及蝙蝠、鸟类和一些灵长类动物等脊椎动物。生物多样性和生态系统服务政府间科学政策</w:t>
      </w:r>
      <w:r w:rsidRPr="009B2CCA">
        <w:rPr>
          <w:rFonts w:eastAsiaTheme="minorEastAsia"/>
          <w:sz w:val="24"/>
          <w:lang w:eastAsia="zh-CN"/>
        </w:rPr>
        <w:lastRenderedPageBreak/>
        <w:t>平台（政府间科学政策平台）发布的关于授粉媒介、授粉和粮食生产的评估报告</w:t>
      </w:r>
      <w:r w:rsidRPr="00EC5351">
        <w:rPr>
          <w:rStyle w:val="FootnoteReference"/>
          <w:rFonts w:eastAsiaTheme="minorEastAsia"/>
          <w:sz w:val="24"/>
          <w:vertAlign w:val="superscript"/>
          <w:lang w:eastAsia="de-DE"/>
        </w:rPr>
        <w:footnoteReference w:id="86"/>
      </w:r>
      <w:r w:rsidRPr="009B2CCA">
        <w:rPr>
          <w:rFonts w:eastAsiaTheme="minorEastAsia" w:hint="eastAsia"/>
          <w:sz w:val="24"/>
          <w:vertAlign w:val="superscript"/>
          <w:lang w:eastAsia="zh-CN"/>
        </w:rPr>
        <w:t xml:space="preserve"> </w:t>
      </w:r>
      <w:r w:rsidRPr="009B2CCA">
        <w:rPr>
          <w:rFonts w:eastAsiaTheme="minorEastAsia"/>
          <w:sz w:val="24"/>
          <w:lang w:eastAsia="zh-CN"/>
        </w:rPr>
        <w:t>强调了授粉媒介在多方面的作用。世界上近</w:t>
      </w:r>
      <w:r w:rsidRPr="009B2CCA">
        <w:rPr>
          <w:rFonts w:eastAsiaTheme="minorEastAsia"/>
          <w:sz w:val="24"/>
          <w:lang w:val="de-DE" w:eastAsia="de-DE"/>
        </w:rPr>
        <w:t>90</w:t>
      </w:r>
      <w:r w:rsidRPr="009B2CCA">
        <w:rPr>
          <w:rFonts w:eastAsiaTheme="minorEastAsia"/>
          <w:sz w:val="24"/>
          <w:lang w:val="de-DE" w:eastAsia="de-DE"/>
        </w:rPr>
        <w:t>％</w:t>
      </w:r>
      <w:r w:rsidRPr="009B2CCA">
        <w:rPr>
          <w:rFonts w:eastAsiaTheme="minorEastAsia"/>
          <w:sz w:val="24"/>
          <w:lang w:eastAsia="zh-CN"/>
        </w:rPr>
        <w:t>的野花植物物种完全或至少部分依赖动物授粉。这些植物向其他物种提供食物、生境和其他资源，对生态系统的运作至关重要。此外，一些自花授粉作物如大豆也可以受益于通过动物授粉媒介提高生产力。</w:t>
      </w:r>
    </w:p>
    <w:p w:rsidR="008F12F5" w:rsidRPr="00226587" w:rsidRDefault="008F12F5" w:rsidP="0069685F">
      <w:pPr>
        <w:pStyle w:val="Para1"/>
        <w:numPr>
          <w:ilvl w:val="0"/>
          <w:numId w:val="76"/>
        </w:numPr>
        <w:tabs>
          <w:tab w:val="left" w:pos="720"/>
        </w:tabs>
        <w:adjustRightInd w:val="0"/>
        <w:ind w:left="0" w:firstLine="0"/>
        <w:rPr>
          <w:rFonts w:eastAsiaTheme="minorEastAsia"/>
          <w:sz w:val="24"/>
          <w:lang w:eastAsia="de-DE"/>
        </w:rPr>
      </w:pPr>
      <w:r w:rsidRPr="00226587">
        <w:rPr>
          <w:rFonts w:eastAsiaTheme="minorEastAsia"/>
          <w:sz w:val="24"/>
          <w:lang w:eastAsia="zh-CN"/>
        </w:rPr>
        <w:t>尽管有关野生授粉媒介现状和趋势的数据有限</w:t>
      </w:r>
      <w:r w:rsidRPr="00226587">
        <w:rPr>
          <w:rFonts w:eastAsiaTheme="minorEastAsia"/>
          <w:sz w:val="24"/>
          <w:lang w:eastAsia="de-DE"/>
        </w:rPr>
        <w:t>，</w:t>
      </w:r>
      <w:r w:rsidRPr="00226587">
        <w:rPr>
          <w:rFonts w:eastAsiaTheme="minorEastAsia"/>
          <w:sz w:val="24"/>
          <w:lang w:eastAsia="zh-CN"/>
        </w:rPr>
        <w:t>而且基本上只有</w:t>
      </w:r>
      <w:r w:rsidRPr="00226587">
        <w:rPr>
          <w:rFonts w:eastAsiaTheme="minorEastAsia"/>
          <w:sz w:val="24"/>
          <w:lang w:eastAsia="de-DE"/>
        </w:rPr>
        <w:t>欧洲和美洲一些地区</w:t>
      </w:r>
      <w:r w:rsidRPr="00226587">
        <w:rPr>
          <w:rFonts w:eastAsiaTheme="minorEastAsia"/>
          <w:sz w:val="24"/>
          <w:lang w:eastAsia="zh-CN"/>
        </w:rPr>
        <w:t>才有这些数据</w:t>
      </w:r>
      <w:r w:rsidRPr="00226587">
        <w:rPr>
          <w:rFonts w:eastAsiaTheme="minorEastAsia"/>
          <w:sz w:val="24"/>
          <w:lang w:eastAsia="de-DE"/>
        </w:rPr>
        <w:t>，但</w:t>
      </w:r>
      <w:r w:rsidRPr="00226587">
        <w:rPr>
          <w:rFonts w:eastAsiaTheme="minorEastAsia"/>
          <w:sz w:val="24"/>
          <w:lang w:eastAsia="zh-CN"/>
        </w:rPr>
        <w:t>据观察，最近</w:t>
      </w:r>
      <w:r w:rsidRPr="00226587">
        <w:rPr>
          <w:rFonts w:eastAsiaTheme="minorEastAsia"/>
          <w:sz w:val="24"/>
          <w:lang w:eastAsia="de-DE"/>
        </w:rPr>
        <w:t>几十年一些授粉</w:t>
      </w:r>
      <w:r w:rsidRPr="00226587">
        <w:rPr>
          <w:rFonts w:eastAsiaTheme="minorEastAsia"/>
          <w:sz w:val="24"/>
          <w:lang w:eastAsia="zh-CN"/>
        </w:rPr>
        <w:t>媒介</w:t>
      </w:r>
      <w:r w:rsidRPr="00226587">
        <w:rPr>
          <w:rFonts w:eastAsiaTheme="minorEastAsia"/>
          <w:sz w:val="24"/>
          <w:lang w:eastAsia="de-DE"/>
        </w:rPr>
        <w:t>类群</w:t>
      </w:r>
      <w:r w:rsidRPr="00226587">
        <w:rPr>
          <w:rFonts w:eastAsiaTheme="minorEastAsia"/>
          <w:sz w:val="24"/>
          <w:lang w:eastAsia="zh-CN"/>
        </w:rPr>
        <w:t>已经骤减</w:t>
      </w:r>
      <w:r w:rsidRPr="00226587">
        <w:rPr>
          <w:rFonts w:eastAsiaTheme="minorEastAsia"/>
          <w:sz w:val="24"/>
          <w:lang w:eastAsia="de-DE"/>
        </w:rPr>
        <w:t>。对野生蜜蜂和蝴蝶等野生昆虫</w:t>
      </w:r>
      <w:r w:rsidRPr="00226587">
        <w:rPr>
          <w:rFonts w:eastAsiaTheme="minorEastAsia"/>
          <w:sz w:val="24"/>
          <w:lang w:eastAsia="zh-CN"/>
        </w:rPr>
        <w:t>授粉媒介现状</w:t>
      </w:r>
      <w:r w:rsidRPr="00226587">
        <w:rPr>
          <w:rFonts w:eastAsiaTheme="minorEastAsia"/>
          <w:sz w:val="24"/>
          <w:lang w:eastAsia="de-DE"/>
        </w:rPr>
        <w:t>的风险评估</w:t>
      </w:r>
      <w:r w:rsidRPr="00226587">
        <w:rPr>
          <w:rFonts w:eastAsiaTheme="minorEastAsia"/>
          <w:sz w:val="24"/>
          <w:lang w:eastAsia="zh-CN"/>
        </w:rPr>
        <w:t>也同样具有</w:t>
      </w:r>
      <w:r w:rsidRPr="00226587">
        <w:rPr>
          <w:rFonts w:eastAsiaTheme="minorEastAsia"/>
          <w:sz w:val="24"/>
          <w:lang w:eastAsia="de-DE"/>
        </w:rPr>
        <w:t>地理上</w:t>
      </w:r>
      <w:r w:rsidRPr="00226587">
        <w:rPr>
          <w:rFonts w:eastAsiaTheme="minorEastAsia"/>
          <w:sz w:val="24"/>
          <w:lang w:eastAsia="zh-CN"/>
        </w:rPr>
        <w:t>的局限性</w:t>
      </w:r>
      <w:r w:rsidRPr="00226587">
        <w:rPr>
          <w:rFonts w:eastAsiaTheme="minorEastAsia"/>
          <w:sz w:val="24"/>
          <w:lang w:val="de-DE" w:eastAsia="de-DE"/>
        </w:rPr>
        <w:t>，</w:t>
      </w:r>
      <w:r w:rsidRPr="00226587">
        <w:rPr>
          <w:rFonts w:eastAsiaTheme="minorEastAsia"/>
          <w:sz w:val="24"/>
          <w:lang w:eastAsia="de-DE"/>
        </w:rPr>
        <w:t>但</w:t>
      </w:r>
      <w:r w:rsidRPr="00226587">
        <w:rPr>
          <w:rFonts w:eastAsiaTheme="minorEastAsia"/>
          <w:sz w:val="24"/>
          <w:lang w:eastAsia="zh-CN"/>
        </w:rPr>
        <w:t>评估</w:t>
      </w:r>
      <w:r w:rsidRPr="00226587">
        <w:rPr>
          <w:rFonts w:eastAsiaTheme="minorEastAsia"/>
          <w:sz w:val="24"/>
          <w:lang w:eastAsia="de-DE"/>
        </w:rPr>
        <w:t>表明受威胁程度很高</w:t>
      </w:r>
      <w:r w:rsidRPr="00226587">
        <w:rPr>
          <w:rFonts w:eastAsiaTheme="minorEastAsia"/>
          <w:sz w:val="24"/>
          <w:lang w:val="de-DE" w:eastAsia="de-DE"/>
        </w:rPr>
        <w:t>，</w:t>
      </w:r>
      <w:r w:rsidRPr="00226587">
        <w:rPr>
          <w:rFonts w:eastAsiaTheme="minorEastAsia"/>
          <w:sz w:val="24"/>
          <w:lang w:eastAsia="de-DE"/>
        </w:rPr>
        <w:t>通常</w:t>
      </w:r>
      <w:r w:rsidRPr="00226587">
        <w:rPr>
          <w:rFonts w:eastAsiaTheme="minorEastAsia"/>
          <w:sz w:val="24"/>
          <w:lang w:eastAsia="zh-CN"/>
        </w:rPr>
        <w:t>受到威胁的物种</w:t>
      </w:r>
      <w:r w:rsidRPr="00226587">
        <w:rPr>
          <w:rFonts w:eastAsiaTheme="minorEastAsia"/>
          <w:sz w:val="24"/>
          <w:lang w:eastAsia="de-DE"/>
        </w:rPr>
        <w:t>超过</w:t>
      </w:r>
      <w:r w:rsidRPr="00226587">
        <w:rPr>
          <w:rFonts w:eastAsiaTheme="minorEastAsia"/>
          <w:sz w:val="24"/>
          <w:lang w:val="de-DE" w:eastAsia="de-DE"/>
        </w:rPr>
        <w:t>40%</w:t>
      </w:r>
      <w:r w:rsidRPr="00226587">
        <w:rPr>
          <w:rFonts w:eastAsiaTheme="minorEastAsia"/>
          <w:sz w:val="24"/>
          <w:lang w:val="de-DE" w:eastAsia="zh-CN"/>
        </w:rPr>
        <w:t>。</w:t>
      </w:r>
    </w:p>
    <w:p w:rsidR="008F12F5" w:rsidRPr="00E21FF4" w:rsidRDefault="008F12F5" w:rsidP="0069685F">
      <w:pPr>
        <w:pStyle w:val="Para1"/>
        <w:numPr>
          <w:ilvl w:val="0"/>
          <w:numId w:val="76"/>
        </w:numPr>
        <w:tabs>
          <w:tab w:val="left" w:pos="720"/>
        </w:tabs>
        <w:adjustRightInd w:val="0"/>
        <w:ind w:left="0" w:firstLine="0"/>
        <w:rPr>
          <w:rFonts w:eastAsiaTheme="minorEastAsia"/>
          <w:spacing w:val="-20"/>
          <w:sz w:val="24"/>
          <w:lang w:eastAsia="de-DE"/>
        </w:rPr>
      </w:pPr>
      <w:r w:rsidRPr="00E21FF4">
        <w:rPr>
          <w:rFonts w:eastAsiaTheme="minorEastAsia" w:hint="eastAsia"/>
          <w:spacing w:val="-20"/>
          <w:sz w:val="24"/>
          <w:lang w:eastAsia="zh-CN"/>
        </w:rPr>
        <w:t>与此同时</w:t>
      </w:r>
      <w:r w:rsidRPr="00E21FF4">
        <w:rPr>
          <w:rFonts w:eastAsiaTheme="minorEastAsia"/>
          <w:spacing w:val="-20"/>
          <w:sz w:val="24"/>
          <w:lang w:eastAsia="zh-CN"/>
        </w:rPr>
        <w:t>，由于全球农业</w:t>
      </w:r>
      <w:r w:rsidRPr="00E21FF4">
        <w:rPr>
          <w:rFonts w:eastAsiaTheme="minorEastAsia" w:hint="eastAsia"/>
          <w:spacing w:val="-20"/>
          <w:sz w:val="24"/>
          <w:lang w:eastAsia="zh-CN"/>
        </w:rPr>
        <w:t>越来越</w:t>
      </w:r>
      <w:r w:rsidRPr="00E21FF4">
        <w:rPr>
          <w:rFonts w:eastAsiaTheme="minorEastAsia"/>
          <w:spacing w:val="-20"/>
          <w:sz w:val="24"/>
          <w:lang w:eastAsia="zh-CN"/>
        </w:rPr>
        <w:t>依赖授粉媒介</w:t>
      </w:r>
      <w:r w:rsidRPr="00E21FF4">
        <w:rPr>
          <w:rFonts w:eastAsiaTheme="minorEastAsia"/>
          <w:spacing w:val="-20"/>
          <w:sz w:val="24"/>
          <w:lang w:eastAsia="de-DE"/>
        </w:rPr>
        <w:t>，这种依赖</w:t>
      </w:r>
      <w:r w:rsidRPr="00E21FF4">
        <w:rPr>
          <w:rFonts w:eastAsiaTheme="minorEastAsia"/>
          <w:spacing w:val="-20"/>
          <w:sz w:val="24"/>
          <w:lang w:eastAsia="zh-CN"/>
        </w:rPr>
        <w:t>大多</w:t>
      </w:r>
      <w:r w:rsidRPr="00E21FF4">
        <w:rPr>
          <w:rFonts w:eastAsiaTheme="minorEastAsia"/>
          <w:spacing w:val="-20"/>
          <w:sz w:val="24"/>
          <w:lang w:eastAsia="de-DE"/>
        </w:rPr>
        <w:t>与野生授粉媒介有关</w:t>
      </w:r>
      <w:r w:rsidRPr="00E21FF4">
        <w:rPr>
          <w:rFonts w:eastAsiaTheme="minorEastAsia"/>
          <w:spacing w:val="-20"/>
          <w:sz w:val="24"/>
          <w:lang w:eastAsia="zh-CN"/>
        </w:rPr>
        <w:t xml:space="preserve"> </w:t>
      </w:r>
      <w:r w:rsidRPr="00E21FF4">
        <w:rPr>
          <w:rFonts w:eastAsiaTheme="minorEastAsia"/>
          <w:spacing w:val="-20"/>
          <w:sz w:val="24"/>
          <w:lang w:val="en-US" w:eastAsia="zh-CN"/>
        </w:rPr>
        <w:t>。</w:t>
      </w:r>
      <w:r w:rsidRPr="00E21FF4">
        <w:rPr>
          <w:rStyle w:val="FootnoteReference"/>
          <w:rFonts w:eastAsiaTheme="minorEastAsia"/>
          <w:spacing w:val="-20"/>
          <w:sz w:val="24"/>
          <w:u w:val="none"/>
          <w:vertAlign w:val="superscript"/>
          <w:lang w:eastAsia="de-DE"/>
        </w:rPr>
        <w:footnoteReference w:id="87"/>
      </w:r>
      <w:r w:rsidRPr="00E21FF4">
        <w:rPr>
          <w:rFonts w:eastAsiaTheme="minorEastAsia"/>
          <w:spacing w:val="-20"/>
          <w:sz w:val="24"/>
          <w:vertAlign w:val="superscript"/>
          <w:lang w:val="en-US" w:eastAsia="zh-CN"/>
        </w:rPr>
        <w:t xml:space="preserve"> </w:t>
      </w:r>
      <w:r w:rsidRPr="00E21FF4">
        <w:rPr>
          <w:rFonts w:eastAsiaTheme="minorEastAsia"/>
          <w:sz w:val="24"/>
          <w:lang w:eastAsia="de-DE"/>
        </w:rPr>
        <w:t>除了</w:t>
      </w:r>
      <w:r w:rsidRPr="00E21FF4">
        <w:rPr>
          <w:rFonts w:eastAsiaTheme="minorEastAsia"/>
          <w:sz w:val="24"/>
          <w:lang w:eastAsia="zh-CN"/>
        </w:rPr>
        <w:t>通过授粉产生的多样化和营养丰富的饮食带来的</w:t>
      </w:r>
      <w:r w:rsidRPr="00E21FF4">
        <w:rPr>
          <w:rFonts w:eastAsiaTheme="minorEastAsia"/>
          <w:sz w:val="24"/>
          <w:lang w:eastAsia="de-DE"/>
        </w:rPr>
        <w:t>适销产品</w:t>
      </w:r>
      <w:r w:rsidRPr="00E21FF4">
        <w:rPr>
          <w:rFonts w:eastAsiaTheme="minorEastAsia"/>
          <w:sz w:val="24"/>
          <w:lang w:eastAsia="zh-CN"/>
        </w:rPr>
        <w:t>和健康好处</w:t>
      </w:r>
      <w:r w:rsidRPr="00E21FF4">
        <w:rPr>
          <w:rFonts w:eastAsiaTheme="minorEastAsia"/>
          <w:sz w:val="24"/>
          <w:lang w:eastAsia="de-DE"/>
        </w:rPr>
        <w:t>，</w:t>
      </w:r>
      <w:r w:rsidRPr="00E21FF4">
        <w:rPr>
          <w:rFonts w:eastAsiaTheme="minorEastAsia"/>
          <w:sz w:val="24"/>
          <w:lang w:eastAsia="zh-CN"/>
        </w:rPr>
        <w:t>授粉媒介还是</w:t>
      </w:r>
      <w:r w:rsidRPr="00E21FF4">
        <w:rPr>
          <w:rFonts w:eastAsiaTheme="minorEastAsia"/>
          <w:sz w:val="24"/>
          <w:lang w:eastAsia="de-DE"/>
        </w:rPr>
        <w:t>艺术和手工艺</w:t>
      </w:r>
      <w:r w:rsidRPr="00E21FF4">
        <w:rPr>
          <w:rFonts w:eastAsiaTheme="minorEastAsia"/>
          <w:sz w:val="24"/>
          <w:lang w:eastAsia="zh-CN"/>
        </w:rPr>
        <w:t>、</w:t>
      </w:r>
      <w:r w:rsidRPr="00E21FF4">
        <w:rPr>
          <w:rFonts w:eastAsiaTheme="minorEastAsia"/>
          <w:sz w:val="24"/>
          <w:lang w:eastAsia="de-DE"/>
        </w:rPr>
        <w:t>宗教</w:t>
      </w:r>
      <w:r w:rsidRPr="00E21FF4">
        <w:rPr>
          <w:rFonts w:eastAsiaTheme="minorEastAsia"/>
          <w:sz w:val="24"/>
          <w:lang w:eastAsia="zh-CN"/>
        </w:rPr>
        <w:t>、</w:t>
      </w:r>
      <w:r w:rsidRPr="00E21FF4">
        <w:rPr>
          <w:rFonts w:eastAsiaTheme="minorEastAsia"/>
          <w:sz w:val="24"/>
          <w:lang w:eastAsia="de-DE"/>
        </w:rPr>
        <w:t>传统或娱乐活动的灵感来源</w:t>
      </w:r>
      <w:r w:rsidRPr="00E21FF4">
        <w:rPr>
          <w:rFonts w:eastAsiaTheme="minorEastAsia"/>
          <w:sz w:val="24"/>
          <w:lang w:eastAsia="zh-CN"/>
        </w:rPr>
        <w:t>，</w:t>
      </w:r>
      <w:r w:rsidRPr="00E21FF4">
        <w:rPr>
          <w:rFonts w:eastAsiaTheme="minorEastAsia"/>
          <w:sz w:val="24"/>
          <w:lang w:eastAsia="de-DE"/>
        </w:rPr>
        <w:t>为人类福祉提供非</w:t>
      </w:r>
      <w:r w:rsidRPr="00E21FF4">
        <w:rPr>
          <w:rFonts w:eastAsiaTheme="minorEastAsia" w:hint="eastAsia"/>
          <w:sz w:val="24"/>
          <w:lang w:eastAsia="zh-CN"/>
        </w:rPr>
        <w:t>货币</w:t>
      </w:r>
      <w:r w:rsidRPr="00E21FF4">
        <w:rPr>
          <w:rFonts w:eastAsiaTheme="minorEastAsia"/>
          <w:sz w:val="24"/>
          <w:lang w:eastAsia="de-DE"/>
        </w:rPr>
        <w:t>利益</w:t>
      </w:r>
      <w:r w:rsidRPr="00E21FF4">
        <w:rPr>
          <w:rFonts w:eastAsiaTheme="minorEastAsia"/>
          <w:sz w:val="24"/>
          <w:lang w:eastAsia="zh-CN"/>
        </w:rPr>
        <w:t>。</w:t>
      </w:r>
    </w:p>
    <w:p w:rsidR="008F12F5" w:rsidRPr="00226587" w:rsidRDefault="008F12F5" w:rsidP="0069685F">
      <w:pPr>
        <w:pStyle w:val="Para1"/>
        <w:numPr>
          <w:ilvl w:val="0"/>
          <w:numId w:val="76"/>
        </w:numPr>
        <w:tabs>
          <w:tab w:val="left" w:pos="720"/>
        </w:tabs>
        <w:adjustRightInd w:val="0"/>
        <w:ind w:left="0" w:firstLine="0"/>
        <w:rPr>
          <w:rFonts w:eastAsiaTheme="minorEastAsia"/>
          <w:sz w:val="24"/>
          <w:lang w:val="de-DE" w:eastAsia="de-DE"/>
        </w:rPr>
      </w:pPr>
      <w:r w:rsidRPr="00226587">
        <w:rPr>
          <w:rFonts w:eastAsiaTheme="minorEastAsia"/>
          <w:sz w:val="24"/>
          <w:lang w:eastAsia="zh-CN"/>
        </w:rPr>
        <w:t>很多导致授粉</w:t>
      </w:r>
      <w:r w:rsidRPr="00226587">
        <w:rPr>
          <w:rFonts w:eastAsiaTheme="minorEastAsia"/>
          <w:sz w:val="24"/>
          <w:lang w:eastAsia="de-DE"/>
        </w:rPr>
        <w:t>媒介</w:t>
      </w:r>
      <w:r w:rsidRPr="00226587">
        <w:rPr>
          <w:rFonts w:eastAsiaTheme="minorEastAsia"/>
          <w:sz w:val="24"/>
          <w:lang w:val="de-DE" w:eastAsia="zh-CN"/>
        </w:rPr>
        <w:t>丧失</w:t>
      </w:r>
      <w:r w:rsidRPr="00226587">
        <w:rPr>
          <w:rFonts w:eastAsiaTheme="minorEastAsia"/>
          <w:sz w:val="24"/>
          <w:lang w:eastAsia="de-DE"/>
        </w:rPr>
        <w:t>的主要</w:t>
      </w:r>
      <w:r w:rsidRPr="00226587">
        <w:rPr>
          <w:rFonts w:eastAsiaTheme="minorEastAsia"/>
          <w:sz w:val="24"/>
          <w:lang w:eastAsia="zh-CN"/>
        </w:rPr>
        <w:t>直接驱动因素仍然是《</w:t>
      </w:r>
      <w:r w:rsidRPr="00226587">
        <w:rPr>
          <w:rFonts w:eastAsiaTheme="minorEastAsia"/>
          <w:sz w:val="24"/>
          <w:lang w:eastAsia="de-DE"/>
        </w:rPr>
        <w:t>生物多样性公约</w:t>
      </w:r>
      <w:r w:rsidRPr="00226587">
        <w:rPr>
          <w:rFonts w:eastAsiaTheme="minorEastAsia"/>
          <w:sz w:val="24"/>
          <w:lang w:eastAsia="zh-CN"/>
        </w:rPr>
        <w:t>》最初关于授粉</w:t>
      </w:r>
      <w:r w:rsidRPr="00226587">
        <w:rPr>
          <w:rFonts w:eastAsiaTheme="minorEastAsia"/>
          <w:sz w:val="24"/>
          <w:lang w:eastAsia="de-DE"/>
        </w:rPr>
        <w:t>媒介</w:t>
      </w:r>
      <w:r w:rsidRPr="00226587">
        <w:rPr>
          <w:rFonts w:eastAsiaTheme="minorEastAsia"/>
          <w:sz w:val="24"/>
          <w:lang w:val="de-DE" w:eastAsia="zh-CN"/>
        </w:rPr>
        <w:t>的第一项决定</w:t>
      </w:r>
      <w:r w:rsidRPr="00E21FF4">
        <w:rPr>
          <w:rStyle w:val="FootnoteReference"/>
          <w:rFonts w:eastAsiaTheme="minorEastAsia"/>
          <w:sz w:val="24"/>
          <w:u w:val="none"/>
          <w:vertAlign w:val="superscript"/>
          <w:lang w:eastAsia="de-DE"/>
        </w:rPr>
        <w:footnoteReference w:id="88"/>
      </w:r>
      <w:r w:rsidRPr="00E21FF4">
        <w:rPr>
          <w:rFonts w:eastAsiaTheme="minorEastAsia"/>
          <w:sz w:val="24"/>
          <w:vertAlign w:val="superscript"/>
          <w:lang w:val="de-DE" w:eastAsia="zh-CN"/>
        </w:rPr>
        <w:t xml:space="preserve"> </w:t>
      </w:r>
      <w:r w:rsidRPr="00226587">
        <w:rPr>
          <w:rFonts w:eastAsiaTheme="minorEastAsia"/>
          <w:sz w:val="24"/>
          <w:lang w:eastAsia="zh-CN"/>
        </w:rPr>
        <w:t>所确认的那些因素：</w:t>
      </w:r>
      <w:r w:rsidRPr="00226587">
        <w:rPr>
          <w:rFonts w:eastAsiaTheme="minorEastAsia"/>
          <w:sz w:val="24"/>
          <w:lang w:eastAsia="de-DE"/>
        </w:rPr>
        <w:t>生境</w:t>
      </w:r>
      <w:r w:rsidRPr="00226587">
        <w:rPr>
          <w:rFonts w:eastAsiaTheme="minorEastAsia"/>
          <w:sz w:val="24"/>
          <w:lang w:eastAsia="zh-CN"/>
        </w:rPr>
        <w:t>破碎化</w:t>
      </w:r>
      <w:r w:rsidRPr="00226587">
        <w:rPr>
          <w:rFonts w:eastAsiaTheme="minorEastAsia"/>
          <w:sz w:val="24"/>
          <w:lang w:eastAsia="de-DE"/>
        </w:rPr>
        <w:t>和土地</w:t>
      </w:r>
      <w:r w:rsidRPr="00226587">
        <w:rPr>
          <w:rFonts w:eastAsiaTheme="minorEastAsia"/>
          <w:sz w:val="24"/>
          <w:lang w:eastAsia="zh-CN"/>
        </w:rPr>
        <w:t>用途改变、</w:t>
      </w:r>
      <w:r w:rsidRPr="00226587">
        <w:rPr>
          <w:rFonts w:eastAsiaTheme="minorEastAsia"/>
          <w:sz w:val="24"/>
          <w:lang w:eastAsia="de-DE"/>
        </w:rPr>
        <w:t>农业和工业化学品</w:t>
      </w:r>
      <w:r w:rsidRPr="00226587">
        <w:rPr>
          <w:rFonts w:eastAsiaTheme="minorEastAsia"/>
          <w:sz w:val="24"/>
          <w:lang w:eastAsia="zh-CN"/>
        </w:rPr>
        <w:t>、</w:t>
      </w:r>
      <w:r w:rsidRPr="00226587">
        <w:rPr>
          <w:rFonts w:eastAsiaTheme="minorEastAsia"/>
          <w:sz w:val="24"/>
          <w:lang w:eastAsia="de-DE"/>
        </w:rPr>
        <w:t>寄生虫和疾病以及外来入侵物种。此外</w:t>
      </w:r>
      <w:r w:rsidRPr="00226587">
        <w:rPr>
          <w:rFonts w:eastAsiaTheme="minorEastAsia"/>
          <w:sz w:val="24"/>
          <w:lang w:val="de-DE" w:eastAsia="de-DE"/>
        </w:rPr>
        <w:t>，</w:t>
      </w:r>
      <w:r w:rsidRPr="00226587">
        <w:rPr>
          <w:rFonts w:eastAsiaTheme="minorEastAsia"/>
          <w:sz w:val="24"/>
          <w:lang w:val="de-DE" w:eastAsia="zh-CN"/>
        </w:rPr>
        <w:t>还出现了</w:t>
      </w:r>
      <w:r w:rsidRPr="00226587">
        <w:rPr>
          <w:rFonts w:eastAsiaTheme="minorEastAsia"/>
          <w:sz w:val="24"/>
          <w:lang w:eastAsia="de-DE"/>
        </w:rPr>
        <w:t>气候变化等其他</w:t>
      </w:r>
      <w:r w:rsidRPr="00226587">
        <w:rPr>
          <w:rFonts w:eastAsiaTheme="minorEastAsia"/>
          <w:sz w:val="24"/>
          <w:lang w:eastAsia="zh-CN"/>
        </w:rPr>
        <w:t>重大的</w:t>
      </w:r>
      <w:r w:rsidRPr="00226587">
        <w:rPr>
          <w:rFonts w:eastAsiaTheme="minorEastAsia"/>
          <w:sz w:val="24"/>
          <w:lang w:eastAsia="de-DE"/>
        </w:rPr>
        <w:t>直接</w:t>
      </w:r>
      <w:r w:rsidRPr="00226587">
        <w:rPr>
          <w:rFonts w:eastAsiaTheme="minorEastAsia"/>
          <w:sz w:val="24"/>
          <w:lang w:eastAsia="zh-CN"/>
        </w:rPr>
        <w:t>驱动因素</w:t>
      </w:r>
      <w:r w:rsidRPr="00226587">
        <w:rPr>
          <w:rFonts w:eastAsiaTheme="minorEastAsia"/>
          <w:sz w:val="24"/>
          <w:lang w:val="de-DE" w:eastAsia="de-DE"/>
        </w:rPr>
        <w:t>，</w:t>
      </w:r>
      <w:r>
        <w:rPr>
          <w:rFonts w:eastAsiaTheme="minorEastAsia" w:hint="eastAsia"/>
          <w:sz w:val="24"/>
          <w:lang w:val="de-DE" w:eastAsia="zh-CN"/>
        </w:rPr>
        <w:t>而且</w:t>
      </w:r>
      <w:r>
        <w:rPr>
          <w:rFonts w:eastAsiaTheme="minorEastAsia"/>
          <w:sz w:val="24"/>
          <w:lang w:val="de-DE" w:eastAsia="zh-CN"/>
        </w:rPr>
        <w:t>，人们越来越</w:t>
      </w:r>
      <w:r w:rsidRPr="00226587">
        <w:rPr>
          <w:rFonts w:eastAsiaTheme="minorEastAsia"/>
          <w:sz w:val="24"/>
          <w:lang w:eastAsia="de-DE"/>
        </w:rPr>
        <w:t>关注与</w:t>
      </w:r>
      <w:r w:rsidRPr="00226587">
        <w:rPr>
          <w:rStyle w:val="ng-binding"/>
          <w:rFonts w:eastAsiaTheme="minorEastAsia"/>
          <w:sz w:val="24"/>
          <w:lang w:eastAsia="zh-CN"/>
        </w:rPr>
        <w:t>单作物制</w:t>
      </w:r>
      <w:r>
        <w:rPr>
          <w:rFonts w:eastAsiaTheme="minorEastAsia" w:hint="eastAsia"/>
          <w:sz w:val="24"/>
          <w:lang w:eastAsia="zh-CN"/>
        </w:rPr>
        <w:t>以及</w:t>
      </w:r>
      <w:r w:rsidRPr="00226587">
        <w:rPr>
          <w:rFonts w:eastAsiaTheme="minorEastAsia"/>
          <w:sz w:val="24"/>
          <w:lang w:eastAsia="de-DE"/>
        </w:rPr>
        <w:t>使用</w:t>
      </w:r>
      <w:r w:rsidRPr="00226587">
        <w:rPr>
          <w:rFonts w:eastAsiaTheme="minorEastAsia"/>
          <w:sz w:val="24"/>
          <w:lang w:eastAsia="zh-CN"/>
        </w:rPr>
        <w:t>农药</w:t>
      </w:r>
      <w:r w:rsidRPr="00226587">
        <w:rPr>
          <w:rFonts w:eastAsiaTheme="minorEastAsia"/>
          <w:sz w:val="24"/>
          <w:lang w:eastAsia="de-DE"/>
        </w:rPr>
        <w:t>等</w:t>
      </w:r>
      <w:r w:rsidRPr="00226587">
        <w:rPr>
          <w:rFonts w:eastAsiaTheme="minorEastAsia"/>
          <w:sz w:val="24"/>
          <w:lang w:eastAsia="zh-CN"/>
        </w:rPr>
        <w:t>密集型农作</w:t>
      </w:r>
      <w:r w:rsidRPr="00226587">
        <w:rPr>
          <w:rFonts w:eastAsiaTheme="minorEastAsia"/>
          <w:sz w:val="24"/>
          <w:lang w:eastAsia="de-DE"/>
        </w:rPr>
        <w:t>有关的</w:t>
      </w:r>
      <w:r w:rsidRPr="00226587">
        <w:rPr>
          <w:rFonts w:eastAsiaTheme="minorEastAsia"/>
          <w:sz w:val="24"/>
          <w:lang w:eastAsia="zh-CN"/>
        </w:rPr>
        <w:t>驱动因素</w:t>
      </w:r>
      <w:r w:rsidRPr="00226587">
        <w:rPr>
          <w:rFonts w:eastAsiaTheme="minorEastAsia"/>
          <w:sz w:val="24"/>
          <w:lang w:val="de-DE" w:eastAsia="de-DE"/>
        </w:rPr>
        <w:t>，</w:t>
      </w:r>
      <w:r w:rsidRPr="00226587">
        <w:rPr>
          <w:rFonts w:eastAsiaTheme="minorEastAsia"/>
          <w:sz w:val="24"/>
          <w:lang w:val="de-DE" w:eastAsia="zh-CN"/>
        </w:rPr>
        <w:t>有更多证据表明农药对蜜蜂造成致命和亚致死后果，</w:t>
      </w:r>
      <w:r>
        <w:rPr>
          <w:rFonts w:eastAsiaTheme="minorEastAsia" w:hint="eastAsia"/>
          <w:sz w:val="24"/>
          <w:lang w:val="de-DE" w:eastAsia="zh-CN"/>
        </w:rPr>
        <w:t>同时</w:t>
      </w:r>
      <w:r>
        <w:rPr>
          <w:rFonts w:eastAsiaTheme="minorEastAsia"/>
          <w:sz w:val="24"/>
          <w:lang w:val="de-DE" w:eastAsia="zh-CN"/>
        </w:rPr>
        <w:t>还认识到，</w:t>
      </w:r>
      <w:r w:rsidRPr="00226587">
        <w:rPr>
          <w:rFonts w:eastAsiaTheme="minorEastAsia"/>
          <w:sz w:val="24"/>
          <w:lang w:eastAsia="zh-CN"/>
        </w:rPr>
        <w:t>各种不同的驱动因素合在一起可</w:t>
      </w:r>
      <w:r w:rsidRPr="00226587">
        <w:rPr>
          <w:rFonts w:eastAsiaTheme="minorEastAsia"/>
          <w:sz w:val="24"/>
          <w:lang w:eastAsia="de-DE"/>
        </w:rPr>
        <w:t>增加</w:t>
      </w:r>
      <w:r>
        <w:rPr>
          <w:rFonts w:eastAsiaTheme="minorEastAsia" w:hint="eastAsia"/>
          <w:sz w:val="24"/>
          <w:lang w:eastAsia="zh-CN"/>
        </w:rPr>
        <w:t>对</w:t>
      </w:r>
      <w:r w:rsidRPr="00226587">
        <w:rPr>
          <w:rFonts w:eastAsiaTheme="minorEastAsia"/>
          <w:sz w:val="24"/>
          <w:lang w:eastAsia="zh-CN"/>
        </w:rPr>
        <w:t>授</w:t>
      </w:r>
      <w:r w:rsidRPr="00226587">
        <w:rPr>
          <w:rFonts w:eastAsiaTheme="minorEastAsia"/>
          <w:sz w:val="24"/>
          <w:lang w:eastAsia="de-DE"/>
        </w:rPr>
        <w:t>粉媒介的整体压力</w:t>
      </w:r>
      <w:r w:rsidRPr="00226587">
        <w:rPr>
          <w:rFonts w:eastAsiaTheme="minorEastAsia"/>
          <w:sz w:val="24"/>
          <w:lang w:val="de-DE" w:eastAsia="zh-CN"/>
        </w:rPr>
        <w:t>。</w:t>
      </w:r>
    </w:p>
    <w:p w:rsidR="008F12F5" w:rsidRPr="0093150D" w:rsidRDefault="008F12F5" w:rsidP="0069685F">
      <w:pPr>
        <w:pStyle w:val="Para1"/>
        <w:numPr>
          <w:ilvl w:val="0"/>
          <w:numId w:val="76"/>
        </w:numPr>
        <w:tabs>
          <w:tab w:val="left" w:pos="720"/>
        </w:tabs>
        <w:adjustRightInd w:val="0"/>
        <w:ind w:left="0" w:firstLine="0"/>
        <w:rPr>
          <w:rFonts w:eastAsiaTheme="minorEastAsia"/>
          <w:sz w:val="24"/>
          <w:lang w:val="de-DE" w:eastAsia="de-DE"/>
        </w:rPr>
      </w:pPr>
      <w:r w:rsidRPr="00226587">
        <w:rPr>
          <w:rFonts w:eastAsiaTheme="minorEastAsia"/>
          <w:sz w:val="24"/>
          <w:lang w:eastAsia="zh-CN"/>
        </w:rPr>
        <w:t>更广义而言</w:t>
      </w:r>
      <w:r w:rsidRPr="0093150D">
        <w:rPr>
          <w:rFonts w:eastAsiaTheme="minorEastAsia"/>
          <w:sz w:val="24"/>
          <w:lang w:val="de-DE" w:eastAsia="de-DE"/>
        </w:rPr>
        <w:t>，</w:t>
      </w:r>
      <w:r w:rsidRPr="00226587">
        <w:rPr>
          <w:rFonts w:eastAsiaTheme="minorEastAsia"/>
          <w:sz w:val="24"/>
          <w:lang w:eastAsia="zh-CN"/>
        </w:rPr>
        <w:t>授粉</w:t>
      </w:r>
      <w:r w:rsidRPr="00226587">
        <w:rPr>
          <w:rFonts w:eastAsiaTheme="minorEastAsia"/>
          <w:sz w:val="24"/>
          <w:lang w:eastAsia="de-DE"/>
        </w:rPr>
        <w:t>媒介可</w:t>
      </w:r>
      <w:r w:rsidRPr="00226587">
        <w:rPr>
          <w:rFonts w:eastAsiaTheme="minorEastAsia"/>
          <w:sz w:val="24"/>
          <w:lang w:eastAsia="zh-CN"/>
        </w:rPr>
        <w:t>被视为</w:t>
      </w:r>
      <w:r w:rsidRPr="00226587">
        <w:rPr>
          <w:rFonts w:eastAsiaTheme="minorEastAsia"/>
          <w:sz w:val="24"/>
          <w:lang w:eastAsia="de-DE"/>
        </w:rPr>
        <w:t>农业</w:t>
      </w:r>
      <w:r w:rsidRPr="00226587">
        <w:rPr>
          <w:rFonts w:eastAsiaTheme="minorEastAsia"/>
          <w:sz w:val="24"/>
          <w:lang w:eastAsia="zh-CN"/>
        </w:rPr>
        <w:t>、</w:t>
      </w:r>
      <w:r w:rsidRPr="00226587">
        <w:rPr>
          <w:rFonts w:eastAsiaTheme="minorEastAsia"/>
          <w:sz w:val="24"/>
          <w:lang w:eastAsia="de-DE"/>
        </w:rPr>
        <w:t>林业</w:t>
      </w:r>
      <w:r w:rsidRPr="00226587">
        <w:rPr>
          <w:rFonts w:eastAsiaTheme="minorEastAsia"/>
          <w:sz w:val="24"/>
          <w:lang w:eastAsia="zh-CN"/>
        </w:rPr>
        <w:t>、</w:t>
      </w:r>
      <w:r w:rsidRPr="00226587">
        <w:rPr>
          <w:rFonts w:eastAsiaTheme="minorEastAsia"/>
          <w:sz w:val="24"/>
          <w:lang w:eastAsia="de-DE"/>
        </w:rPr>
        <w:t>生物多样性</w:t>
      </w:r>
      <w:r w:rsidRPr="00226587">
        <w:rPr>
          <w:rFonts w:eastAsiaTheme="minorEastAsia"/>
          <w:sz w:val="24"/>
          <w:lang w:eastAsia="zh-CN"/>
        </w:rPr>
        <w:t>、健康、粮食</w:t>
      </w:r>
      <w:r w:rsidRPr="00226587">
        <w:rPr>
          <w:rFonts w:eastAsiaTheme="minorEastAsia"/>
          <w:sz w:val="24"/>
          <w:lang w:eastAsia="de-DE"/>
        </w:rPr>
        <w:t>安全</w:t>
      </w:r>
      <w:r w:rsidRPr="00226587">
        <w:rPr>
          <w:rFonts w:eastAsiaTheme="minorEastAsia"/>
          <w:sz w:val="24"/>
          <w:lang w:eastAsia="zh-CN"/>
        </w:rPr>
        <w:t>、食物</w:t>
      </w:r>
      <w:r w:rsidRPr="00226587">
        <w:rPr>
          <w:rFonts w:eastAsiaTheme="minorEastAsia"/>
          <w:sz w:val="24"/>
          <w:lang w:eastAsia="de-DE"/>
        </w:rPr>
        <w:t>安全和营养的重要纽带。</w:t>
      </w:r>
      <w:r>
        <w:rPr>
          <w:rFonts w:eastAsiaTheme="minorEastAsia" w:hint="eastAsia"/>
          <w:sz w:val="24"/>
          <w:lang w:eastAsia="zh-CN"/>
        </w:rPr>
        <w:t>有利于</w:t>
      </w:r>
      <w:r w:rsidRPr="00226587">
        <w:rPr>
          <w:rFonts w:eastAsiaTheme="minorEastAsia"/>
          <w:sz w:val="24"/>
          <w:lang w:eastAsia="de-DE"/>
        </w:rPr>
        <w:t>授粉</w:t>
      </w:r>
      <w:r w:rsidRPr="00226587">
        <w:rPr>
          <w:rFonts w:eastAsiaTheme="minorEastAsia"/>
          <w:sz w:val="24"/>
          <w:lang w:eastAsia="zh-CN"/>
        </w:rPr>
        <w:t>媒介</w:t>
      </w:r>
      <w:r>
        <w:rPr>
          <w:rFonts w:eastAsiaTheme="minorEastAsia" w:hint="eastAsia"/>
          <w:sz w:val="24"/>
          <w:lang w:eastAsia="zh-CN"/>
        </w:rPr>
        <w:t>的</w:t>
      </w:r>
      <w:r w:rsidRPr="00226587">
        <w:rPr>
          <w:rFonts w:eastAsiaTheme="minorEastAsia"/>
          <w:sz w:val="24"/>
          <w:lang w:eastAsia="de-DE"/>
        </w:rPr>
        <w:t>措施</w:t>
      </w:r>
      <w:r w:rsidRPr="00226587">
        <w:rPr>
          <w:rFonts w:eastAsiaTheme="minorEastAsia"/>
          <w:sz w:val="24"/>
          <w:lang w:eastAsia="zh-CN"/>
        </w:rPr>
        <w:t>具有</w:t>
      </w:r>
      <w:r w:rsidRPr="00226587">
        <w:rPr>
          <w:rFonts w:eastAsiaTheme="minorEastAsia"/>
          <w:sz w:val="24"/>
          <w:lang w:eastAsia="de-DE"/>
        </w:rPr>
        <w:t>提高生产力和可持续性</w:t>
      </w:r>
      <w:r w:rsidRPr="00226587">
        <w:rPr>
          <w:rFonts w:eastAsiaTheme="minorEastAsia"/>
          <w:sz w:val="24"/>
          <w:lang w:eastAsia="zh-CN"/>
        </w:rPr>
        <w:t>的潜力</w:t>
      </w:r>
      <w:r w:rsidRPr="0093150D">
        <w:rPr>
          <w:rFonts w:eastAsiaTheme="minorEastAsia"/>
          <w:sz w:val="24"/>
          <w:lang w:val="de-DE" w:eastAsia="de-DE"/>
        </w:rPr>
        <w:t>，</w:t>
      </w:r>
      <w:r w:rsidRPr="00226587">
        <w:rPr>
          <w:rFonts w:eastAsiaTheme="minorEastAsia"/>
          <w:sz w:val="24"/>
          <w:lang w:eastAsia="de-DE"/>
        </w:rPr>
        <w:t>并有助于</w:t>
      </w:r>
      <w:r w:rsidRPr="00226587">
        <w:rPr>
          <w:rFonts w:eastAsiaTheme="minorEastAsia"/>
          <w:sz w:val="24"/>
          <w:lang w:eastAsia="zh-CN"/>
        </w:rPr>
        <w:t>粮食</w:t>
      </w:r>
      <w:r w:rsidRPr="00226587">
        <w:rPr>
          <w:rFonts w:eastAsiaTheme="minorEastAsia"/>
          <w:sz w:val="24"/>
          <w:lang w:eastAsia="de-DE"/>
        </w:rPr>
        <w:t>生产系统的长期生存和盈利</w:t>
      </w:r>
      <w:r>
        <w:rPr>
          <w:rFonts w:eastAsiaTheme="minorEastAsia" w:hint="eastAsia"/>
          <w:sz w:val="24"/>
          <w:lang w:eastAsia="zh-CN"/>
        </w:rPr>
        <w:t>能力</w:t>
      </w:r>
      <w:r w:rsidRPr="00226587">
        <w:rPr>
          <w:rFonts w:eastAsiaTheme="minorEastAsia"/>
          <w:sz w:val="24"/>
          <w:lang w:eastAsia="de-DE"/>
        </w:rPr>
        <w:t>。</w:t>
      </w:r>
      <w:r w:rsidRPr="00226587">
        <w:rPr>
          <w:rFonts w:eastAsiaTheme="minorEastAsia"/>
          <w:sz w:val="24"/>
          <w:lang w:eastAsia="zh-CN"/>
        </w:rPr>
        <w:t>更广泛地采用这些措施可</w:t>
      </w:r>
      <w:r w:rsidRPr="00226587">
        <w:rPr>
          <w:rFonts w:eastAsiaTheme="minorEastAsia"/>
          <w:sz w:val="24"/>
          <w:lang w:eastAsia="de-DE"/>
        </w:rPr>
        <w:t>促进农业部门的可持续</w:t>
      </w:r>
      <w:r w:rsidRPr="00226587">
        <w:rPr>
          <w:rFonts w:eastAsiaTheme="minorEastAsia"/>
          <w:sz w:val="24"/>
          <w:lang w:eastAsia="zh-CN"/>
        </w:rPr>
        <w:t>做法</w:t>
      </w:r>
      <w:r w:rsidRPr="00226587">
        <w:rPr>
          <w:rFonts w:eastAsiaTheme="minorEastAsia"/>
          <w:sz w:val="24"/>
          <w:lang w:val="de-DE" w:eastAsia="zh-CN"/>
        </w:rPr>
        <w:t>，使其成为</w:t>
      </w:r>
      <w:r w:rsidRPr="00226587">
        <w:rPr>
          <w:rFonts w:eastAsiaTheme="minorEastAsia"/>
          <w:sz w:val="24"/>
          <w:lang w:eastAsia="zh-CN"/>
        </w:rPr>
        <w:t>转型媒介</w:t>
      </w:r>
      <w:r w:rsidRPr="00226587">
        <w:rPr>
          <w:rFonts w:eastAsiaTheme="minorEastAsia"/>
          <w:sz w:val="24"/>
          <w:lang w:val="de-DE" w:eastAsia="zh-CN"/>
        </w:rPr>
        <w:t>。</w:t>
      </w:r>
    </w:p>
    <w:p w:rsidR="008F12F5" w:rsidRPr="00226587" w:rsidRDefault="008F12F5" w:rsidP="0069685F">
      <w:pPr>
        <w:pStyle w:val="Para1"/>
        <w:numPr>
          <w:ilvl w:val="0"/>
          <w:numId w:val="76"/>
        </w:numPr>
        <w:tabs>
          <w:tab w:val="left" w:pos="720"/>
        </w:tabs>
        <w:adjustRightInd w:val="0"/>
        <w:ind w:left="0" w:firstLine="0"/>
        <w:rPr>
          <w:rFonts w:eastAsiaTheme="minorEastAsia"/>
          <w:sz w:val="24"/>
          <w:lang w:eastAsia="zh-CN"/>
        </w:rPr>
      </w:pPr>
      <w:r w:rsidRPr="00226587">
        <w:rPr>
          <w:rFonts w:eastAsiaTheme="minorEastAsia"/>
          <w:sz w:val="24"/>
          <w:lang w:eastAsia="zh-CN"/>
        </w:rPr>
        <w:t>国际授粉媒介倡议第一阶段</w:t>
      </w:r>
      <w:r w:rsidRPr="0093150D">
        <w:rPr>
          <w:rFonts w:eastAsiaTheme="minorEastAsia"/>
          <w:sz w:val="24"/>
          <w:lang w:val="de-DE" w:eastAsia="zh-CN"/>
        </w:rPr>
        <w:t>（</w:t>
      </w:r>
      <w:r w:rsidRPr="0093150D">
        <w:rPr>
          <w:rFonts w:eastAsiaTheme="minorEastAsia"/>
          <w:sz w:val="24"/>
          <w:lang w:val="de-DE" w:eastAsia="zh-CN"/>
        </w:rPr>
        <w:t>2000-2017</w:t>
      </w:r>
      <w:r w:rsidRPr="00226587">
        <w:rPr>
          <w:rFonts w:eastAsiaTheme="minorEastAsia"/>
          <w:sz w:val="24"/>
          <w:lang w:eastAsia="zh-CN"/>
        </w:rPr>
        <w:t>年</w:t>
      </w:r>
      <w:r w:rsidRPr="0093150D">
        <w:rPr>
          <w:rFonts w:eastAsiaTheme="minorEastAsia"/>
          <w:sz w:val="24"/>
          <w:lang w:val="de-DE" w:eastAsia="zh-CN"/>
        </w:rPr>
        <w:t>）</w:t>
      </w:r>
      <w:r w:rsidRPr="00226587">
        <w:rPr>
          <w:rFonts w:eastAsiaTheme="minorEastAsia"/>
          <w:sz w:val="24"/>
          <w:lang w:eastAsia="zh-CN"/>
        </w:rPr>
        <w:t>帮助查明了导致授粉媒介减少的主要威胁和根源以及授粉服务和授粉减少对粮食生产的影响。此外，有关授粉媒介的分类学信息及其在各国和不同作物中体现的经济价值评估，不仅是加强研究和监测的重要步骤，也是促进保护、恢复和可持续利用授粉媒介的重要步骤。开发了一些相关工具，并进行了许多研究，包括政府间科学政策平台评估和</w:t>
      </w:r>
      <w:r>
        <w:rPr>
          <w:rFonts w:eastAsiaTheme="minorEastAsia" w:hint="eastAsia"/>
          <w:sz w:val="24"/>
          <w:lang w:eastAsia="zh-CN"/>
        </w:rPr>
        <w:t>辅助性</w:t>
      </w:r>
      <w:r w:rsidRPr="00226587">
        <w:rPr>
          <w:rFonts w:eastAsiaTheme="minorEastAsia"/>
          <w:sz w:val="24"/>
          <w:lang w:eastAsia="zh-CN"/>
        </w:rPr>
        <w:t>研究。</w:t>
      </w:r>
    </w:p>
    <w:p w:rsidR="008F12F5" w:rsidRPr="00226587" w:rsidRDefault="008F12F5" w:rsidP="0069685F">
      <w:pPr>
        <w:pStyle w:val="Para1"/>
        <w:numPr>
          <w:ilvl w:val="0"/>
          <w:numId w:val="76"/>
        </w:numPr>
        <w:tabs>
          <w:tab w:val="left" w:pos="720"/>
        </w:tabs>
        <w:adjustRightInd w:val="0"/>
        <w:ind w:left="0" w:firstLine="0"/>
        <w:rPr>
          <w:rFonts w:eastAsiaTheme="minorEastAsia"/>
          <w:sz w:val="24"/>
          <w:lang w:eastAsia="zh-CN"/>
        </w:rPr>
      </w:pPr>
      <w:r w:rsidRPr="00226587">
        <w:rPr>
          <w:rFonts w:eastAsiaTheme="minorEastAsia"/>
          <w:sz w:val="24"/>
          <w:lang w:eastAsia="zh-CN"/>
        </w:rPr>
        <w:t>人们</w:t>
      </w:r>
      <w:r>
        <w:rPr>
          <w:rFonts w:eastAsiaTheme="minorEastAsia"/>
          <w:sz w:val="24"/>
          <w:lang w:eastAsia="zh-CN"/>
        </w:rPr>
        <w:t>现</w:t>
      </w:r>
      <w:r w:rsidRPr="00226587">
        <w:rPr>
          <w:rFonts w:eastAsiaTheme="minorEastAsia"/>
          <w:sz w:val="24"/>
          <w:lang w:eastAsia="zh-CN"/>
        </w:rPr>
        <w:t>已充分认识到授粉媒介在粮食生产中的重要作用</w:t>
      </w:r>
      <w:r>
        <w:rPr>
          <w:rFonts w:eastAsiaTheme="minorEastAsia" w:hint="eastAsia"/>
          <w:sz w:val="24"/>
          <w:lang w:eastAsia="zh-CN"/>
        </w:rPr>
        <w:t>及其</w:t>
      </w:r>
      <w:r w:rsidRPr="00226587">
        <w:rPr>
          <w:rFonts w:eastAsiaTheme="minorEastAsia"/>
          <w:sz w:val="24"/>
          <w:lang w:eastAsia="zh-CN"/>
        </w:rPr>
        <w:t>在农业景观和相关生态系统中保持多样性和丰富性的重大意义。更新</w:t>
      </w:r>
      <w:r>
        <w:rPr>
          <w:rFonts w:eastAsiaTheme="minorEastAsia" w:hint="eastAsia"/>
          <w:sz w:val="24"/>
          <w:lang w:eastAsia="zh-CN"/>
        </w:rPr>
        <w:t>后</w:t>
      </w:r>
      <w:r w:rsidRPr="00226587">
        <w:rPr>
          <w:rFonts w:eastAsiaTheme="minorEastAsia"/>
          <w:sz w:val="24"/>
          <w:lang w:eastAsia="zh-CN"/>
        </w:rPr>
        <w:t>的《行动计划》以第一阶段为基础，并考虑到第</w:t>
      </w:r>
      <w:r w:rsidRPr="00226587">
        <w:rPr>
          <w:rFonts w:eastAsiaTheme="minorEastAsia"/>
          <w:sz w:val="24"/>
          <w:lang w:eastAsia="zh-CN"/>
        </w:rPr>
        <w:t>XIII/15</w:t>
      </w:r>
      <w:r w:rsidRPr="00226587">
        <w:rPr>
          <w:rFonts w:eastAsiaTheme="minorEastAsia"/>
          <w:sz w:val="24"/>
          <w:lang w:eastAsia="zh-CN"/>
        </w:rPr>
        <w:t>号决定，强调将授粉问题纳入政策主流，在实地制定和实施支持保护和可持续利用授粉媒介的措施，处理风险，在多个层面进行能力建设和共享知识，将授粉问题</w:t>
      </w:r>
      <w:r w:rsidRPr="00226587">
        <w:rPr>
          <w:rFonts w:eastAsiaTheme="minorEastAsia"/>
          <w:sz w:val="24"/>
          <w:lang w:eastAsia="zh-CN"/>
        </w:rPr>
        <w:lastRenderedPageBreak/>
        <w:t>纳入农业、土地利用和其他管理决策，并将合作研究的重点放在新出现的问题和普遍需求上。</w:t>
      </w:r>
    </w:p>
    <w:p w:rsidR="008F12F5" w:rsidRPr="00703807" w:rsidRDefault="008F12F5" w:rsidP="00FF4964">
      <w:pPr>
        <w:widowControl w:val="0"/>
        <w:suppressAutoHyphens/>
        <w:adjustRightInd w:val="0"/>
        <w:snapToGrid w:val="0"/>
        <w:ind w:firstLine="0"/>
        <w:jc w:val="center"/>
        <w:rPr>
          <w:rFonts w:eastAsiaTheme="minorEastAsia"/>
          <w:b/>
          <w:snapToGrid w:val="0"/>
          <w:lang w:eastAsia="zh-CN"/>
        </w:rPr>
      </w:pPr>
      <w:r w:rsidRPr="00703807">
        <w:rPr>
          <w:rFonts w:eastAsiaTheme="minorEastAsia"/>
          <w:b/>
          <w:snapToGrid w:val="0"/>
          <w:lang w:eastAsia="zh-CN"/>
        </w:rPr>
        <w:t>三</w:t>
      </w:r>
      <w:r w:rsidRPr="00703807">
        <w:rPr>
          <w:rFonts w:eastAsiaTheme="minorEastAsia"/>
          <w:b/>
          <w:snapToGrid w:val="0"/>
          <w:lang w:eastAsia="zh-CN"/>
        </w:rPr>
        <w:t>.</w:t>
      </w:r>
      <w:r w:rsidRPr="00703807">
        <w:rPr>
          <w:rFonts w:eastAsiaTheme="minorEastAsia"/>
          <w:b/>
          <w:snapToGrid w:val="0"/>
          <w:lang w:eastAsia="zh-CN"/>
        </w:rPr>
        <w:tab/>
        <w:t xml:space="preserve"> </w:t>
      </w:r>
      <w:r w:rsidRPr="00703807">
        <w:rPr>
          <w:rFonts w:eastAsiaTheme="minorEastAsia"/>
          <w:b/>
          <w:snapToGrid w:val="0"/>
          <w:lang w:eastAsia="zh-CN"/>
        </w:rPr>
        <w:t>构成部分</w:t>
      </w:r>
    </w:p>
    <w:p w:rsidR="008F12F5" w:rsidRPr="00703807" w:rsidRDefault="008F12F5" w:rsidP="00FF4964">
      <w:pPr>
        <w:widowControl w:val="0"/>
        <w:suppressAutoHyphens/>
        <w:adjustRightInd w:val="0"/>
        <w:snapToGrid w:val="0"/>
        <w:ind w:firstLine="0"/>
        <w:jc w:val="center"/>
        <w:rPr>
          <w:rFonts w:eastAsiaTheme="minorEastAsia"/>
          <w:b/>
          <w:snapToGrid w:val="0"/>
          <w:lang w:eastAsia="zh-CN"/>
        </w:rPr>
      </w:pPr>
      <w:r w:rsidRPr="00703807">
        <w:rPr>
          <w:rFonts w:eastAsiaTheme="minorEastAsia"/>
          <w:b/>
          <w:snapToGrid w:val="0"/>
          <w:lang w:eastAsia="zh-CN"/>
        </w:rPr>
        <w:t>构成部分</w:t>
      </w:r>
      <w:r w:rsidRPr="00703807">
        <w:rPr>
          <w:rFonts w:eastAsiaTheme="minorEastAsia"/>
          <w:b/>
          <w:snapToGrid w:val="0"/>
          <w:lang w:eastAsia="zh-CN"/>
        </w:rPr>
        <w:t xml:space="preserve">1: </w:t>
      </w:r>
      <w:r w:rsidR="00703807">
        <w:rPr>
          <w:rFonts w:eastAsiaTheme="minorEastAsia"/>
          <w:b/>
          <w:snapToGrid w:val="0"/>
          <w:lang w:eastAsia="zh-CN"/>
        </w:rPr>
        <w:t xml:space="preserve"> </w:t>
      </w:r>
      <w:r w:rsidRPr="00703807">
        <w:rPr>
          <w:rFonts w:eastAsiaTheme="minorEastAsia"/>
          <w:b/>
          <w:snapToGrid w:val="0"/>
          <w:lang w:eastAsia="zh-CN"/>
        </w:rPr>
        <w:t>扶持政策和战略</w:t>
      </w:r>
    </w:p>
    <w:p w:rsidR="008F12F5" w:rsidRPr="002226DA" w:rsidRDefault="008F12F5" w:rsidP="00703807">
      <w:pPr>
        <w:widowControl w:val="0"/>
        <w:suppressAutoHyphens/>
        <w:adjustRightInd w:val="0"/>
        <w:snapToGrid w:val="0"/>
        <w:ind w:firstLine="0"/>
        <w:rPr>
          <w:rFonts w:ascii="KaiTi" w:eastAsia="KaiTi" w:hAnsi="KaiTi"/>
          <w:snapToGrid w:val="0"/>
          <w:lang w:eastAsia="zh-CN"/>
        </w:rPr>
      </w:pPr>
      <w:r w:rsidRPr="002226DA">
        <w:rPr>
          <w:rFonts w:ascii="KaiTi" w:eastAsia="KaiTi" w:hAnsi="KaiTi" w:hint="eastAsia"/>
          <w:snapToGrid w:val="0"/>
          <w:lang w:eastAsia="zh-CN"/>
        </w:rPr>
        <w:t>业务目标</w:t>
      </w:r>
    </w:p>
    <w:p w:rsidR="008F12F5" w:rsidRPr="008F12F5" w:rsidRDefault="008F12F5" w:rsidP="00703807">
      <w:pPr>
        <w:widowControl w:val="0"/>
        <w:suppressAutoHyphens/>
        <w:adjustRightInd w:val="0"/>
        <w:snapToGrid w:val="0"/>
        <w:ind w:firstLine="0"/>
        <w:rPr>
          <w:rFonts w:eastAsiaTheme="minorEastAsia"/>
          <w:snapToGrid w:val="0"/>
          <w:kern w:val="22"/>
          <w:lang w:eastAsia="zh-CN"/>
        </w:rPr>
      </w:pPr>
      <w:r w:rsidRPr="008F12F5">
        <w:rPr>
          <w:rFonts w:eastAsiaTheme="minorEastAsia" w:hint="eastAsia"/>
          <w:snapToGrid w:val="0"/>
          <w:kern w:val="22"/>
          <w:lang w:eastAsia="zh-CN"/>
        </w:rPr>
        <w:t>支持在地方、国家以下、国家、区域和全球各级执行保护和可持续利用授粉媒介的全面而一致的政策，推动将其纳入部门和跨部门计划、方案和战略。</w:t>
      </w:r>
    </w:p>
    <w:p w:rsidR="008F12F5" w:rsidRPr="002226DA" w:rsidRDefault="008F12F5" w:rsidP="00703807">
      <w:pPr>
        <w:widowControl w:val="0"/>
        <w:suppressAutoHyphens/>
        <w:adjustRightInd w:val="0"/>
        <w:snapToGrid w:val="0"/>
        <w:ind w:firstLine="0"/>
        <w:rPr>
          <w:rFonts w:ascii="KaiTi" w:eastAsia="KaiTi" w:hAnsi="KaiTi"/>
          <w:snapToGrid w:val="0"/>
          <w:lang w:eastAsia="zh-CN"/>
        </w:rPr>
      </w:pPr>
      <w:r w:rsidRPr="002226DA">
        <w:rPr>
          <w:rFonts w:ascii="KaiTi" w:eastAsia="KaiTi" w:hAnsi="KaiTi" w:hint="eastAsia"/>
          <w:snapToGrid w:val="0"/>
          <w:lang w:eastAsia="zh-CN"/>
        </w:rPr>
        <w:t>理论依据</w:t>
      </w:r>
    </w:p>
    <w:p w:rsidR="008F12F5" w:rsidRPr="008F12F5" w:rsidRDefault="008F12F5" w:rsidP="00703807">
      <w:pPr>
        <w:widowControl w:val="0"/>
        <w:suppressAutoHyphens/>
        <w:adjustRightInd w:val="0"/>
        <w:snapToGrid w:val="0"/>
        <w:ind w:firstLine="0"/>
        <w:rPr>
          <w:rFonts w:eastAsiaTheme="minorEastAsia"/>
          <w:snapToGrid w:val="0"/>
          <w:kern w:val="22"/>
          <w:lang w:eastAsia="zh-CN"/>
        </w:rPr>
      </w:pPr>
      <w:r w:rsidRPr="008F12F5">
        <w:rPr>
          <w:rFonts w:eastAsiaTheme="minorEastAsia"/>
          <w:snapToGrid w:val="0"/>
          <w:kern w:val="22"/>
          <w:lang w:eastAsia="zh-CN"/>
        </w:rPr>
        <w:t>需要采取适当的国家政策，为支持农民、土地管理者、养蜂人、私营部门和民间社会的活动提供有效的扶持环境。授粉问题往往是一个跨领域问题，应制定政策，不仅将授粉媒介和授粉问题纳入可持续农业转型的范畴，而且也纳入各个部门（例如，林业和卫生）。</w:t>
      </w:r>
    </w:p>
    <w:p w:rsidR="008F12F5" w:rsidRPr="002226DA" w:rsidRDefault="008F12F5" w:rsidP="00703807">
      <w:pPr>
        <w:widowControl w:val="0"/>
        <w:suppressAutoHyphens/>
        <w:adjustRightInd w:val="0"/>
        <w:snapToGrid w:val="0"/>
        <w:ind w:firstLine="0"/>
        <w:rPr>
          <w:rFonts w:ascii="KaiTi" w:eastAsia="KaiTi" w:hAnsi="KaiTi"/>
          <w:snapToGrid w:val="0"/>
          <w:lang w:eastAsia="zh-CN"/>
        </w:rPr>
      </w:pPr>
      <w:r w:rsidRPr="002226DA">
        <w:rPr>
          <w:rFonts w:ascii="KaiTi" w:eastAsia="KaiTi" w:hAnsi="KaiTi" w:hint="eastAsia"/>
          <w:snapToGrid w:val="0"/>
          <w:lang w:eastAsia="zh-CN"/>
        </w:rPr>
        <w:t>活动</w:t>
      </w:r>
    </w:p>
    <w:p w:rsidR="008F12F5" w:rsidRPr="0043772A" w:rsidRDefault="008F12F5" w:rsidP="00703807">
      <w:pPr>
        <w:widowControl w:val="0"/>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A1.1</w:t>
      </w:r>
      <w:r w:rsidRPr="0043772A">
        <w:rPr>
          <w:rFonts w:eastAsiaTheme="minorEastAsia"/>
          <w:b/>
          <w:snapToGrid w:val="0"/>
          <w:kern w:val="22"/>
          <w:lang w:eastAsia="zh-CN"/>
        </w:rPr>
        <w:t>制定和实施协调一致的综合政策，以扶持和促进保护和拓展野生和受管理的传粉媒介的活动，并将这些政策纳入更广泛的可持续发展政策议程</w:t>
      </w:r>
    </w:p>
    <w:p w:rsidR="008F12F5" w:rsidRPr="0043772A" w:rsidRDefault="008F12F5" w:rsidP="00703807">
      <w:pPr>
        <w:widowControl w:val="0"/>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A.1.1.1</w:t>
      </w:r>
      <w:r w:rsidRPr="0043772A">
        <w:rPr>
          <w:rFonts w:eastAsiaTheme="minorEastAsia"/>
          <w:snapToGrid w:val="0"/>
          <w:kern w:val="22"/>
          <w:lang w:eastAsia="zh-CN"/>
        </w:rPr>
        <w:t>促进在跨部门和跨领域问题（如生物多样性、粮食安全、化学品和污染、减贫、气候变化、减少灾害风险和防治荒漠化）上采取协调一致的政策；</w:t>
      </w:r>
    </w:p>
    <w:p w:rsidR="008F12F5" w:rsidRPr="0043772A" w:rsidRDefault="008F12F5" w:rsidP="00703807">
      <w:pPr>
        <w:widowControl w:val="0"/>
        <w:suppressAutoHyphens/>
        <w:adjustRightInd w:val="0"/>
        <w:snapToGrid w:val="0"/>
        <w:ind w:firstLine="0"/>
        <w:rPr>
          <w:rFonts w:eastAsiaTheme="minorEastAsia"/>
          <w:lang w:eastAsia="zh-CN"/>
        </w:rPr>
      </w:pPr>
      <w:r w:rsidRPr="0043772A">
        <w:rPr>
          <w:rFonts w:eastAsiaTheme="minorEastAsia"/>
          <w:b/>
          <w:snapToGrid w:val="0"/>
          <w:kern w:val="22"/>
          <w:lang w:eastAsia="zh-CN"/>
        </w:rPr>
        <w:t>A.1.1.2</w:t>
      </w:r>
      <w:r w:rsidRPr="0043772A">
        <w:rPr>
          <w:rFonts w:eastAsiaTheme="minorEastAsia"/>
          <w:snapToGrid w:val="0"/>
          <w:kern w:val="22"/>
          <w:lang w:eastAsia="zh-CN"/>
        </w:rPr>
        <w:t>处理授粉媒介与人类健康</w:t>
      </w:r>
      <w:r w:rsidRPr="0043772A">
        <w:rPr>
          <w:rFonts w:eastAsiaTheme="minorEastAsia"/>
          <w:lang w:eastAsia="zh-CN"/>
        </w:rPr>
        <w:t>、营养饮食和接触农药之间的联系；</w:t>
      </w:r>
    </w:p>
    <w:p w:rsidR="008F12F5" w:rsidRPr="0043772A" w:rsidRDefault="008F12F5" w:rsidP="00703807">
      <w:pPr>
        <w:widowControl w:val="0"/>
        <w:suppressAutoHyphens/>
        <w:adjustRightInd w:val="0"/>
        <w:snapToGrid w:val="0"/>
        <w:ind w:firstLine="0"/>
        <w:rPr>
          <w:rFonts w:eastAsiaTheme="minorEastAsia"/>
          <w:lang w:eastAsia="zh-CN"/>
        </w:rPr>
      </w:pPr>
      <w:r w:rsidRPr="0043772A">
        <w:rPr>
          <w:rFonts w:eastAsiaTheme="minorEastAsia"/>
          <w:b/>
          <w:snapToGrid w:val="0"/>
          <w:kern w:val="22"/>
          <w:lang w:eastAsia="zh-CN"/>
        </w:rPr>
        <w:t>A.1.1.3</w:t>
      </w:r>
      <w:r w:rsidRPr="0043772A">
        <w:rPr>
          <w:rFonts w:eastAsiaTheme="minorEastAsia"/>
          <w:snapToGrid w:val="0"/>
          <w:kern w:val="22"/>
          <w:lang w:eastAsia="zh-CN"/>
        </w:rPr>
        <w:t>处理粮食生产之外授粉媒介与提供生态系统功能和服务之间的联系；</w:t>
      </w:r>
    </w:p>
    <w:p w:rsidR="008F12F5" w:rsidRPr="0043772A" w:rsidRDefault="008F12F5" w:rsidP="00703807">
      <w:pPr>
        <w:widowControl w:val="0"/>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A.1.1.4</w:t>
      </w:r>
      <w:r w:rsidRPr="0043772A">
        <w:rPr>
          <w:rFonts w:eastAsiaTheme="minorEastAsia"/>
          <w:snapToGrid w:val="0"/>
          <w:kern w:val="22"/>
          <w:lang w:eastAsia="zh-CN"/>
        </w:rPr>
        <w:t>确认授粉媒介和授粉是整体农作制度的一部分，是重要的农业投入；</w:t>
      </w:r>
    </w:p>
    <w:p w:rsidR="008F12F5" w:rsidRPr="0043772A" w:rsidRDefault="008F12F5" w:rsidP="00703807">
      <w:pPr>
        <w:widowControl w:val="0"/>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 xml:space="preserve">A.1.1.5 </w:t>
      </w:r>
      <w:r w:rsidRPr="0043772A">
        <w:rPr>
          <w:rFonts w:eastAsiaTheme="minorEastAsia"/>
          <w:snapToGrid w:val="0"/>
          <w:kern w:val="22"/>
          <w:lang w:eastAsia="zh-CN"/>
        </w:rPr>
        <w:t>确认授粉媒介和授粉是生态系统完整性及其维护的重要组成部分；</w:t>
      </w:r>
    </w:p>
    <w:p w:rsidR="008F12F5" w:rsidRPr="0043772A" w:rsidRDefault="008F12F5" w:rsidP="00703807">
      <w:pPr>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A.1.1.6</w:t>
      </w:r>
      <w:r w:rsidRPr="0043772A">
        <w:rPr>
          <w:rFonts w:eastAsiaTheme="minorEastAsia"/>
          <w:snapToGrid w:val="0"/>
          <w:kern w:val="22"/>
          <w:lang w:eastAsia="zh-CN"/>
        </w:rPr>
        <w:t>应用基于自然的解决</w:t>
      </w:r>
      <w:r>
        <w:rPr>
          <w:rFonts w:eastAsiaTheme="minorEastAsia" w:hint="eastAsia"/>
          <w:snapToGrid w:val="0"/>
          <w:kern w:val="22"/>
          <w:lang w:eastAsia="zh-CN"/>
        </w:rPr>
        <w:t>办法</w:t>
      </w:r>
      <w:r w:rsidRPr="0043772A">
        <w:rPr>
          <w:rFonts w:eastAsiaTheme="minorEastAsia"/>
          <w:snapToGrid w:val="0"/>
          <w:kern w:val="22"/>
          <w:lang w:eastAsia="zh-CN"/>
        </w:rPr>
        <w:t>，</w:t>
      </w:r>
      <w:r>
        <w:rPr>
          <w:rFonts w:eastAsiaTheme="minorEastAsia" w:hint="eastAsia"/>
          <w:snapToGrid w:val="0"/>
          <w:kern w:val="22"/>
          <w:lang w:eastAsia="zh-CN"/>
        </w:rPr>
        <w:t>强化</w:t>
      </w:r>
      <w:r w:rsidRPr="0043772A">
        <w:rPr>
          <w:rFonts w:eastAsiaTheme="minorEastAsia"/>
          <w:snapToGrid w:val="0"/>
          <w:kern w:val="22"/>
          <w:lang w:eastAsia="zh-CN"/>
        </w:rPr>
        <w:t>积极的相互作用（如病虫害综合管理、农耕生产多样化、生态集约化和恢复，以加强景观的连通性）；</w:t>
      </w:r>
    </w:p>
    <w:p w:rsidR="008F12F5" w:rsidRPr="0043772A" w:rsidRDefault="008F12F5" w:rsidP="00703807">
      <w:pPr>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A.1.1.7</w:t>
      </w:r>
      <w:r w:rsidRPr="0043772A">
        <w:rPr>
          <w:rFonts w:eastAsiaTheme="minorEastAsia"/>
          <w:snapToGrid w:val="0"/>
          <w:kern w:val="22"/>
          <w:lang w:eastAsia="zh-CN"/>
        </w:rPr>
        <w:t>支持获取数据和使用决策辅助工具，包括土地用途规划和分区，以便在农民和当地社区的参与下，扩大景观中授粉媒介生境</w:t>
      </w:r>
      <w:r w:rsidRPr="0043772A">
        <w:rPr>
          <w:rStyle w:val="StyleFootnoteReferencenumberFootnoteReferenceSuperscript-EF1"/>
          <w:rFonts w:eastAsiaTheme="minorEastAsia"/>
        </w:rPr>
        <w:footnoteReference w:id="89"/>
      </w:r>
      <w:r w:rsidRPr="0043772A">
        <w:rPr>
          <w:rFonts w:eastAsiaTheme="minorEastAsia"/>
          <w:snapToGrid w:val="0"/>
          <w:kern w:val="22"/>
          <w:lang w:eastAsia="zh-CN"/>
        </w:rPr>
        <w:t xml:space="preserve"> </w:t>
      </w:r>
      <w:r w:rsidRPr="0043772A">
        <w:rPr>
          <w:rFonts w:eastAsiaTheme="minorEastAsia"/>
          <w:snapToGrid w:val="0"/>
          <w:kern w:val="22"/>
          <w:lang w:eastAsia="zh-CN"/>
        </w:rPr>
        <w:t>的范围和连通性；</w:t>
      </w:r>
    </w:p>
    <w:p w:rsidR="008F12F5" w:rsidRPr="0043772A" w:rsidRDefault="008F12F5" w:rsidP="00703807">
      <w:pPr>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 xml:space="preserve">A.1.1.8 </w:t>
      </w:r>
      <w:r w:rsidRPr="0043772A">
        <w:rPr>
          <w:rFonts w:eastAsiaTheme="minorEastAsia"/>
          <w:snapToGrid w:val="0"/>
          <w:kern w:val="22"/>
          <w:lang w:eastAsia="zh-CN"/>
        </w:rPr>
        <w:t>帮助将基于自然的解决方案纳入推广服务、农民之间的分享和农民研究人员网络，以支持能力开发，为授粉媒介和授粉管理最佳做法提供指导；</w:t>
      </w:r>
    </w:p>
    <w:p w:rsidR="008F12F5" w:rsidRPr="0043772A" w:rsidRDefault="008F12F5" w:rsidP="00703807">
      <w:pPr>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lastRenderedPageBreak/>
        <w:t>A.1.1.9</w:t>
      </w:r>
      <w:r w:rsidRPr="0043772A">
        <w:rPr>
          <w:rFonts w:eastAsiaTheme="minorEastAsia"/>
          <w:snapToGrid w:val="0"/>
          <w:kern w:val="22"/>
          <w:lang w:eastAsia="zh-CN"/>
        </w:rPr>
        <w:t>制定和执行与国际义务协调一致的针对农民和粮食供应商的</w:t>
      </w:r>
      <w:r>
        <w:rPr>
          <w:rFonts w:eastAsiaTheme="minorEastAsia"/>
          <w:snapToGrid w:val="0"/>
          <w:kern w:val="22"/>
          <w:lang w:eastAsia="zh-CN"/>
        </w:rPr>
        <w:t>激励措施</w:t>
      </w:r>
      <w:r w:rsidRPr="0043772A">
        <w:rPr>
          <w:rFonts w:eastAsiaTheme="minorEastAsia"/>
          <w:snapToGrid w:val="0"/>
          <w:kern w:val="22"/>
          <w:lang w:eastAsia="zh-CN"/>
        </w:rPr>
        <w:t>，</w:t>
      </w:r>
      <w:r>
        <w:rPr>
          <w:rFonts w:eastAsiaTheme="minorEastAsia" w:hint="eastAsia"/>
          <w:snapToGrid w:val="0"/>
          <w:kern w:val="22"/>
          <w:lang w:eastAsia="zh-CN"/>
        </w:rPr>
        <w:t>以便</w:t>
      </w:r>
      <w:r w:rsidRPr="0043772A">
        <w:rPr>
          <w:rFonts w:eastAsiaTheme="minorEastAsia"/>
          <w:snapToGrid w:val="0"/>
          <w:kern w:val="22"/>
          <w:lang w:eastAsia="zh-CN"/>
        </w:rPr>
        <w:t>鼓励采取</w:t>
      </w:r>
      <w:r>
        <w:rPr>
          <w:rFonts w:eastAsiaTheme="minorEastAsia" w:hint="eastAsia"/>
          <w:snapToGrid w:val="0"/>
          <w:kern w:val="22"/>
          <w:lang w:eastAsia="zh-CN"/>
        </w:rPr>
        <w:t>有利于</w:t>
      </w:r>
      <w:r w:rsidRPr="0043772A">
        <w:rPr>
          <w:rFonts w:eastAsiaTheme="minorEastAsia"/>
          <w:snapToGrid w:val="0"/>
          <w:kern w:val="22"/>
          <w:lang w:eastAsia="zh-CN"/>
        </w:rPr>
        <w:t>授粉媒介</w:t>
      </w:r>
      <w:r>
        <w:rPr>
          <w:rFonts w:eastAsiaTheme="minorEastAsia" w:hint="eastAsia"/>
          <w:snapToGrid w:val="0"/>
          <w:kern w:val="22"/>
          <w:lang w:eastAsia="zh-CN"/>
        </w:rPr>
        <w:t>的</w:t>
      </w:r>
      <w:r w:rsidRPr="0043772A">
        <w:rPr>
          <w:rFonts w:eastAsiaTheme="minorEastAsia"/>
          <w:snapToGrid w:val="0"/>
          <w:kern w:val="22"/>
          <w:lang w:eastAsia="zh-CN"/>
        </w:rPr>
        <w:t>做法（例如，采取</w:t>
      </w:r>
      <w:r>
        <w:rPr>
          <w:rStyle w:val="ng-binding"/>
          <w:rFonts w:eastAsiaTheme="minorEastAsia"/>
          <w:lang w:eastAsia="zh-CN"/>
        </w:rPr>
        <w:t>碳固存</w:t>
      </w:r>
      <w:r w:rsidRPr="0043772A">
        <w:rPr>
          <w:rFonts w:eastAsiaTheme="minorEastAsia"/>
          <w:snapToGrid w:val="0"/>
          <w:kern w:val="22"/>
          <w:lang w:eastAsia="zh-CN"/>
        </w:rPr>
        <w:t>措施扩大授粉媒介生境；保护授粉媒介觅食的未开垦地区），取消或减少对授粉媒介及其生境有害的不正当</w:t>
      </w:r>
      <w:r>
        <w:rPr>
          <w:rFonts w:eastAsiaTheme="minorEastAsia"/>
          <w:snapToGrid w:val="0"/>
          <w:kern w:val="22"/>
          <w:lang w:eastAsia="zh-CN"/>
        </w:rPr>
        <w:t>激励措施</w:t>
      </w:r>
      <w:r w:rsidRPr="0043772A">
        <w:rPr>
          <w:rFonts w:eastAsiaTheme="minorEastAsia"/>
          <w:snapToGrid w:val="0"/>
          <w:kern w:val="22"/>
          <w:lang w:eastAsia="zh-CN"/>
        </w:rPr>
        <w:t>（例如，农药补贴；奖励使用农药作为银行的信贷要求），同时考虑到农民、城市和农村养蜂人、土地管理人员、土著人民和当地社区以及其他</w:t>
      </w:r>
      <w:r>
        <w:rPr>
          <w:rFonts w:eastAsiaTheme="minorEastAsia"/>
          <w:snapToGrid w:val="0"/>
          <w:kern w:val="22"/>
          <w:lang w:eastAsia="zh-CN"/>
        </w:rPr>
        <w:t>利益攸关方</w:t>
      </w:r>
      <w:r w:rsidRPr="0043772A">
        <w:rPr>
          <w:rFonts w:eastAsiaTheme="minorEastAsia"/>
          <w:snapToGrid w:val="0"/>
          <w:kern w:val="22"/>
          <w:lang w:eastAsia="zh-CN"/>
        </w:rPr>
        <w:t>的需求；</w:t>
      </w:r>
    </w:p>
    <w:p w:rsidR="008F12F5" w:rsidRPr="0043772A" w:rsidRDefault="008F12F5" w:rsidP="00703807">
      <w:pPr>
        <w:suppressAutoHyphens/>
        <w:adjustRightInd w:val="0"/>
        <w:snapToGrid w:val="0"/>
        <w:ind w:firstLine="0"/>
        <w:rPr>
          <w:rFonts w:eastAsiaTheme="minorEastAsia"/>
          <w:b/>
          <w:snapToGrid w:val="0"/>
          <w:kern w:val="22"/>
          <w:lang w:eastAsia="zh-CN"/>
        </w:rPr>
      </w:pPr>
      <w:r w:rsidRPr="0043772A">
        <w:rPr>
          <w:rFonts w:eastAsiaTheme="minorEastAsia"/>
          <w:b/>
          <w:snapToGrid w:val="0"/>
          <w:kern w:val="22"/>
          <w:lang w:eastAsia="zh-CN"/>
        </w:rPr>
        <w:t>A.1.1</w:t>
      </w:r>
      <w:r>
        <w:rPr>
          <w:rFonts w:eastAsiaTheme="minorEastAsia"/>
          <w:b/>
          <w:snapToGrid w:val="0"/>
          <w:kern w:val="22"/>
          <w:lang w:eastAsia="zh-CN"/>
        </w:rPr>
        <w:t>.</w:t>
      </w:r>
      <w:r w:rsidRPr="0043772A">
        <w:rPr>
          <w:rFonts w:eastAsiaTheme="minorEastAsia"/>
          <w:b/>
          <w:snapToGrid w:val="0"/>
          <w:kern w:val="22"/>
          <w:lang w:eastAsia="zh-CN"/>
        </w:rPr>
        <w:t xml:space="preserve">10 </w:t>
      </w:r>
      <w:r w:rsidRPr="0043772A">
        <w:rPr>
          <w:rFonts w:eastAsiaTheme="minorEastAsia"/>
          <w:snapToGrid w:val="0"/>
          <w:kern w:val="22"/>
          <w:lang w:eastAsia="zh-CN"/>
        </w:rPr>
        <w:t>在现有认证计划中促进承认</w:t>
      </w:r>
      <w:r>
        <w:rPr>
          <w:rFonts w:eastAsiaTheme="minorEastAsia" w:hint="eastAsia"/>
          <w:snapToGrid w:val="0"/>
          <w:kern w:val="22"/>
          <w:lang w:eastAsia="zh-CN"/>
        </w:rPr>
        <w:t>有利于</w:t>
      </w:r>
      <w:r w:rsidRPr="0043772A">
        <w:rPr>
          <w:rFonts w:eastAsiaTheme="minorEastAsia"/>
          <w:snapToGrid w:val="0"/>
          <w:kern w:val="22"/>
          <w:lang w:eastAsia="zh-CN"/>
        </w:rPr>
        <w:t>授粉媒介</w:t>
      </w:r>
      <w:r>
        <w:rPr>
          <w:rFonts w:eastAsiaTheme="minorEastAsia" w:hint="eastAsia"/>
          <w:snapToGrid w:val="0"/>
          <w:kern w:val="22"/>
          <w:lang w:eastAsia="zh-CN"/>
        </w:rPr>
        <w:t>的</w:t>
      </w:r>
      <w:r w:rsidRPr="0043772A">
        <w:rPr>
          <w:rFonts w:eastAsiaTheme="minorEastAsia"/>
          <w:snapToGrid w:val="0"/>
          <w:kern w:val="22"/>
          <w:lang w:eastAsia="zh-CN"/>
        </w:rPr>
        <w:t>做法和对授粉功能和服务产生的结果</w:t>
      </w:r>
      <w:r w:rsidRPr="0043772A">
        <w:rPr>
          <w:rFonts w:eastAsiaTheme="minorEastAsia"/>
          <w:b/>
          <w:snapToGrid w:val="0"/>
          <w:kern w:val="22"/>
          <w:lang w:eastAsia="zh-CN"/>
        </w:rPr>
        <w:t>；</w:t>
      </w:r>
    </w:p>
    <w:p w:rsidR="008F12F5" w:rsidRPr="0043772A" w:rsidRDefault="008F12F5" w:rsidP="00703807">
      <w:pPr>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A.1.1</w:t>
      </w:r>
      <w:r>
        <w:rPr>
          <w:rFonts w:eastAsiaTheme="minorEastAsia"/>
          <w:b/>
          <w:snapToGrid w:val="0"/>
          <w:kern w:val="22"/>
          <w:lang w:eastAsia="zh-CN"/>
        </w:rPr>
        <w:t>.</w:t>
      </w:r>
      <w:r w:rsidRPr="0043772A">
        <w:rPr>
          <w:rFonts w:eastAsiaTheme="minorEastAsia"/>
          <w:b/>
          <w:snapToGrid w:val="0"/>
          <w:kern w:val="22"/>
          <w:lang w:eastAsia="zh-CN"/>
        </w:rPr>
        <w:t xml:space="preserve">11 </w:t>
      </w:r>
      <w:r w:rsidRPr="0043772A">
        <w:rPr>
          <w:rFonts w:eastAsiaTheme="minorEastAsia"/>
          <w:snapToGrid w:val="0"/>
          <w:kern w:val="22"/>
          <w:lang w:eastAsia="zh-CN"/>
        </w:rPr>
        <w:t>保护和养护濒危授粉媒介物种及其自然环境。</w:t>
      </w:r>
    </w:p>
    <w:p w:rsidR="008F12F5" w:rsidRPr="007E192A" w:rsidRDefault="008F12F5" w:rsidP="00703807">
      <w:pPr>
        <w:suppressAutoHyphens/>
        <w:adjustRightInd w:val="0"/>
        <w:snapToGrid w:val="0"/>
        <w:ind w:firstLine="0"/>
        <w:rPr>
          <w:rFonts w:eastAsiaTheme="minorEastAsia"/>
          <w:vertAlign w:val="superscript"/>
          <w:lang w:eastAsia="de-DE"/>
        </w:rPr>
      </w:pPr>
      <w:r w:rsidRPr="0043772A">
        <w:rPr>
          <w:rFonts w:eastAsiaTheme="minorEastAsia"/>
          <w:b/>
          <w:snapToGrid w:val="0"/>
          <w:kern w:val="22"/>
          <w:lang w:eastAsia="zh-CN"/>
        </w:rPr>
        <w:t>A1.2</w:t>
      </w:r>
      <w:r w:rsidRPr="0043772A">
        <w:rPr>
          <w:rFonts w:eastAsiaTheme="minorEastAsia"/>
          <w:b/>
          <w:snapToGrid w:val="0"/>
          <w:kern w:val="22"/>
          <w:lang w:eastAsia="zh-CN"/>
        </w:rPr>
        <w:t>实施有效的农药监管</w:t>
      </w:r>
      <w:r w:rsidRPr="008F12F5">
        <w:rPr>
          <w:rStyle w:val="FootnoteReference"/>
          <w:rFonts w:eastAsiaTheme="minorEastAsia"/>
          <w:snapToGrid w:val="0"/>
          <w:kern w:val="22"/>
          <w:sz w:val="24"/>
          <w:u w:val="none"/>
          <w:vertAlign w:val="superscript"/>
        </w:rPr>
        <w:footnoteReference w:id="90"/>
      </w:r>
    </w:p>
    <w:p w:rsidR="008F12F5" w:rsidRPr="0043772A" w:rsidRDefault="008F12F5" w:rsidP="00703807">
      <w:pPr>
        <w:suppressAutoHyphens/>
        <w:adjustRightInd w:val="0"/>
        <w:snapToGrid w:val="0"/>
        <w:ind w:firstLine="0"/>
        <w:rPr>
          <w:rFonts w:eastAsiaTheme="minorEastAsia"/>
          <w:lang w:eastAsia="de-DE"/>
        </w:rPr>
      </w:pPr>
      <w:r w:rsidRPr="0043772A">
        <w:rPr>
          <w:rFonts w:eastAsiaTheme="minorEastAsia"/>
          <w:b/>
          <w:snapToGrid w:val="0"/>
          <w:kern w:val="22"/>
          <w:lang w:eastAsia="zh-CN"/>
        </w:rPr>
        <w:t>A.1.2.1</w:t>
      </w:r>
      <w:r w:rsidRPr="0043772A">
        <w:rPr>
          <w:rFonts w:eastAsiaTheme="minorEastAsia"/>
          <w:snapToGrid w:val="0"/>
          <w:kern w:val="22"/>
          <w:lang w:eastAsia="zh-CN"/>
        </w:rPr>
        <w:t>减少使用并逐步淘汰对授粉媒介造成危害或带来不可接受风险的现有农药，包括化妆品农药和农用化学品，避免注册那些对授粉媒介造成危害或带来不可接受风险的产品</w:t>
      </w:r>
      <w:r w:rsidRPr="0043772A">
        <w:rPr>
          <w:rFonts w:eastAsiaTheme="minorEastAsia"/>
          <w:b/>
          <w:snapToGrid w:val="0"/>
          <w:kern w:val="22"/>
          <w:lang w:eastAsia="zh-CN"/>
        </w:rPr>
        <w:t>；</w:t>
      </w:r>
    </w:p>
    <w:p w:rsidR="008F12F5" w:rsidRPr="0043772A" w:rsidRDefault="008F12F5" w:rsidP="00703807">
      <w:pPr>
        <w:suppressAutoHyphens/>
        <w:adjustRightInd w:val="0"/>
        <w:snapToGrid w:val="0"/>
        <w:ind w:firstLine="0"/>
        <w:rPr>
          <w:rFonts w:eastAsiaTheme="minorEastAsia"/>
          <w:lang w:eastAsia="de-DE"/>
        </w:rPr>
      </w:pPr>
      <w:r w:rsidRPr="0043772A">
        <w:rPr>
          <w:rFonts w:eastAsiaTheme="minorEastAsia"/>
          <w:b/>
          <w:snapToGrid w:val="0"/>
          <w:kern w:val="22"/>
          <w:lang w:eastAsia="zh-CN"/>
        </w:rPr>
        <w:t>A.1.2.2</w:t>
      </w:r>
      <w:r w:rsidRPr="0043772A">
        <w:rPr>
          <w:rFonts w:eastAsiaTheme="minorEastAsia"/>
          <w:snapToGrid w:val="0"/>
          <w:kern w:val="22"/>
          <w:lang w:eastAsia="zh-CN"/>
        </w:rPr>
        <w:t>定期制定、加强和实施农药、杀虫剂涂层种子和改性活生物体的风险评估程序（考虑现场的实际暴露情况和长期影响），以考虑到对野生和受管理授粉媒介（包括卵、幼虫、蛹和成虫期）以及其他非目标物种的可能影响和累积效应，包括亚致死和间接效应</w:t>
      </w:r>
      <w:r w:rsidRPr="0043772A">
        <w:rPr>
          <w:rFonts w:eastAsiaTheme="minorEastAsia"/>
          <w:b/>
          <w:lang w:eastAsia="zh-CN"/>
        </w:rPr>
        <w:t>；</w:t>
      </w:r>
    </w:p>
    <w:p w:rsidR="008F12F5" w:rsidRPr="0043772A" w:rsidRDefault="008F12F5" w:rsidP="00703807">
      <w:pPr>
        <w:pStyle w:val="p1"/>
        <w:suppressAutoHyphens/>
        <w:adjustRightInd w:val="0"/>
        <w:snapToGrid w:val="0"/>
        <w:ind w:firstLine="0"/>
        <w:rPr>
          <w:rFonts w:ascii="Times New Roman" w:eastAsiaTheme="minorEastAsia" w:hAnsi="Times New Roman"/>
          <w:color w:val="auto"/>
          <w:sz w:val="24"/>
          <w:szCs w:val="24"/>
          <w:lang w:val="en-GB" w:eastAsia="de-DE"/>
        </w:rPr>
      </w:pPr>
      <w:r w:rsidRPr="0043772A">
        <w:rPr>
          <w:rFonts w:ascii="Times New Roman" w:eastAsiaTheme="minorEastAsia" w:hAnsi="Times New Roman"/>
          <w:b/>
          <w:snapToGrid w:val="0"/>
          <w:color w:val="auto"/>
          <w:kern w:val="22"/>
          <w:sz w:val="24"/>
          <w:szCs w:val="24"/>
          <w:lang w:val="en-GB"/>
        </w:rPr>
        <w:t>A.1.2.3</w:t>
      </w:r>
      <w:r w:rsidRPr="0043772A">
        <w:rPr>
          <w:rFonts w:ascii="Times New Roman" w:eastAsiaTheme="minorEastAsia" w:hAnsi="Times New Roman"/>
          <w:color w:val="auto"/>
          <w:sz w:val="24"/>
          <w:szCs w:val="24"/>
          <w:lang w:val="en-GB" w:eastAsia="de-DE"/>
        </w:rPr>
        <w:t>与监管机构合作</w:t>
      </w:r>
      <w:r w:rsidRPr="0043772A">
        <w:rPr>
          <w:rFonts w:ascii="Times New Roman" w:eastAsiaTheme="minorEastAsia" w:hAnsi="Times New Roman"/>
          <w:color w:val="auto"/>
          <w:sz w:val="24"/>
          <w:szCs w:val="24"/>
          <w:lang w:val="en-GB"/>
        </w:rPr>
        <w:t>使用</w:t>
      </w:r>
      <w:r w:rsidRPr="0043772A">
        <w:rPr>
          <w:rFonts w:ascii="Times New Roman" w:eastAsiaTheme="minorEastAsia" w:hAnsi="Times New Roman"/>
          <w:color w:val="auto"/>
          <w:sz w:val="24"/>
          <w:szCs w:val="24"/>
          <w:lang w:val="en-GB" w:eastAsia="de-DE"/>
        </w:rPr>
        <w:t>诸如粮农组织</w:t>
      </w:r>
      <w:r>
        <w:rPr>
          <w:rFonts w:ascii="Times New Roman" w:eastAsiaTheme="minorEastAsia" w:hAnsi="Times New Roman" w:hint="eastAsia"/>
          <w:color w:val="auto"/>
          <w:sz w:val="24"/>
          <w:szCs w:val="24"/>
          <w:lang w:val="en-GB"/>
        </w:rPr>
        <w:t>《</w:t>
      </w:r>
      <w:r w:rsidRPr="0043772A">
        <w:rPr>
          <w:rFonts w:ascii="Times New Roman" w:eastAsiaTheme="minorEastAsia" w:hAnsi="Times New Roman"/>
          <w:color w:val="auto"/>
          <w:sz w:val="24"/>
          <w:szCs w:val="24"/>
          <w:lang w:val="en-GB" w:eastAsia="de-DE"/>
        </w:rPr>
        <w:t>农药登记工具包</w:t>
      </w:r>
      <w:r>
        <w:rPr>
          <w:rFonts w:ascii="Times New Roman" w:eastAsiaTheme="minorEastAsia" w:hAnsi="Times New Roman" w:hint="eastAsia"/>
          <w:color w:val="auto"/>
          <w:sz w:val="24"/>
          <w:szCs w:val="24"/>
          <w:lang w:val="en-GB"/>
        </w:rPr>
        <w:t>》</w:t>
      </w:r>
      <w:r w:rsidRPr="0043772A">
        <w:rPr>
          <w:rFonts w:ascii="Times New Roman" w:eastAsiaTheme="minorEastAsia" w:hAnsi="Times New Roman"/>
          <w:color w:val="auto"/>
          <w:sz w:val="24"/>
          <w:szCs w:val="24"/>
          <w:lang w:val="en-GB" w:eastAsia="de-DE"/>
        </w:rPr>
        <w:t>等工具</w:t>
      </w:r>
      <w:r w:rsidRPr="0043772A">
        <w:rPr>
          <w:rFonts w:ascii="Times New Roman" w:eastAsiaTheme="minorEastAsia" w:hAnsi="Times New Roman"/>
          <w:color w:val="auto"/>
          <w:sz w:val="24"/>
          <w:szCs w:val="24"/>
          <w:lang w:val="en-GB"/>
        </w:rPr>
        <w:t>；</w:t>
      </w:r>
    </w:p>
    <w:p w:rsidR="008F12F5" w:rsidRPr="0043772A" w:rsidRDefault="008F12F5" w:rsidP="00703807">
      <w:pPr>
        <w:pStyle w:val="p1"/>
        <w:suppressAutoHyphens/>
        <w:adjustRightInd w:val="0"/>
        <w:snapToGrid w:val="0"/>
        <w:ind w:firstLine="0"/>
        <w:rPr>
          <w:rFonts w:ascii="Times New Roman" w:eastAsiaTheme="minorEastAsia" w:hAnsi="Times New Roman"/>
          <w:b/>
          <w:snapToGrid w:val="0"/>
          <w:color w:val="auto"/>
          <w:kern w:val="22"/>
          <w:sz w:val="24"/>
          <w:szCs w:val="24"/>
          <w:lang w:val="en-GB"/>
        </w:rPr>
      </w:pPr>
      <w:r w:rsidRPr="0043772A">
        <w:rPr>
          <w:rFonts w:ascii="Times New Roman" w:eastAsiaTheme="minorEastAsia" w:hAnsi="Times New Roman"/>
          <w:b/>
          <w:snapToGrid w:val="0"/>
          <w:color w:val="auto"/>
          <w:kern w:val="22"/>
          <w:sz w:val="24"/>
          <w:szCs w:val="24"/>
          <w:lang w:val="en-GB"/>
        </w:rPr>
        <w:t>A.1.2.4</w:t>
      </w:r>
      <w:r w:rsidRPr="0043772A">
        <w:rPr>
          <w:rFonts w:ascii="Times New Roman" w:eastAsiaTheme="minorEastAsia" w:hAnsi="Times New Roman"/>
          <w:snapToGrid w:val="0"/>
          <w:color w:val="auto"/>
          <w:kern w:val="22"/>
          <w:sz w:val="24"/>
          <w:szCs w:val="24"/>
          <w:lang w:val="en-GB"/>
        </w:rPr>
        <w:t>加强农药监管当局的能力，保护授粉媒介免受化学品的侵害；</w:t>
      </w:r>
    </w:p>
    <w:p w:rsidR="008F12F5" w:rsidRPr="0043772A" w:rsidRDefault="008F12F5" w:rsidP="00703807">
      <w:pPr>
        <w:pStyle w:val="p1"/>
        <w:suppressAutoHyphens/>
        <w:adjustRightInd w:val="0"/>
        <w:snapToGrid w:val="0"/>
        <w:ind w:firstLine="0"/>
        <w:rPr>
          <w:rFonts w:ascii="Times New Roman" w:eastAsiaTheme="minorEastAsia" w:hAnsi="Times New Roman"/>
          <w:color w:val="auto"/>
          <w:sz w:val="24"/>
          <w:szCs w:val="24"/>
          <w:lang w:val="en-GB" w:eastAsia="de-DE"/>
        </w:rPr>
      </w:pPr>
      <w:r w:rsidRPr="0043772A">
        <w:rPr>
          <w:rFonts w:ascii="Times New Roman" w:eastAsiaTheme="minorEastAsia" w:hAnsi="Times New Roman"/>
          <w:b/>
          <w:color w:val="auto"/>
          <w:sz w:val="24"/>
          <w:szCs w:val="24"/>
          <w:lang w:val="en-GB" w:eastAsia="de-DE"/>
        </w:rPr>
        <w:t>A</w:t>
      </w:r>
      <w:r w:rsidRPr="0043772A">
        <w:rPr>
          <w:rFonts w:ascii="Times New Roman" w:eastAsiaTheme="minorEastAsia" w:hAnsi="Times New Roman"/>
          <w:b/>
          <w:snapToGrid w:val="0"/>
          <w:color w:val="auto"/>
          <w:kern w:val="22"/>
          <w:sz w:val="24"/>
          <w:szCs w:val="24"/>
          <w:lang w:val="en-GB"/>
        </w:rPr>
        <w:t>.1.2.5</w:t>
      </w:r>
      <w:r w:rsidRPr="0043772A">
        <w:rPr>
          <w:rFonts w:ascii="Times New Roman" w:eastAsiaTheme="minorEastAsia" w:hAnsi="Times New Roman"/>
          <w:color w:val="auto"/>
          <w:sz w:val="24"/>
          <w:szCs w:val="24"/>
          <w:lang w:val="en-GB" w:eastAsia="de-DE"/>
        </w:rPr>
        <w:t>根据粮农组织和世界卫生组织</w:t>
      </w:r>
      <w:r w:rsidRPr="0043772A">
        <w:rPr>
          <w:rFonts w:ascii="Times New Roman" w:eastAsiaTheme="minorEastAsia" w:hAnsi="Times New Roman"/>
          <w:color w:val="auto"/>
          <w:sz w:val="24"/>
          <w:szCs w:val="24"/>
          <w:lang w:val="en-GB"/>
        </w:rPr>
        <w:t>《</w:t>
      </w:r>
      <w:r w:rsidRPr="0043772A">
        <w:rPr>
          <w:rFonts w:ascii="Times New Roman" w:eastAsiaTheme="minorEastAsia" w:hAnsi="Times New Roman"/>
          <w:color w:val="auto"/>
          <w:sz w:val="24"/>
          <w:szCs w:val="24"/>
          <w:lang w:val="en-GB" w:eastAsia="de-DE"/>
        </w:rPr>
        <w:t>国际农药管理行为守则</w:t>
      </w:r>
      <w:r w:rsidRPr="0043772A">
        <w:rPr>
          <w:rFonts w:ascii="Times New Roman" w:eastAsiaTheme="minorEastAsia" w:hAnsi="Times New Roman"/>
          <w:color w:val="auto"/>
          <w:sz w:val="24"/>
          <w:szCs w:val="24"/>
          <w:lang w:val="en-GB"/>
        </w:rPr>
        <w:t>》</w:t>
      </w:r>
      <w:r w:rsidRPr="0043772A">
        <w:rPr>
          <w:rFonts w:ascii="Times New Roman" w:eastAsiaTheme="minorEastAsia" w:hAnsi="Times New Roman"/>
          <w:color w:val="auto"/>
          <w:sz w:val="24"/>
          <w:szCs w:val="24"/>
          <w:lang w:val="en-GB" w:eastAsia="de-DE"/>
        </w:rPr>
        <w:t>，制定和</w:t>
      </w:r>
      <w:r w:rsidRPr="0043772A">
        <w:rPr>
          <w:rFonts w:ascii="Times New Roman" w:eastAsiaTheme="minorEastAsia" w:hAnsi="Times New Roman"/>
          <w:color w:val="auto"/>
          <w:sz w:val="24"/>
          <w:szCs w:val="24"/>
          <w:lang w:val="de-DE"/>
        </w:rPr>
        <w:t>推广</w:t>
      </w:r>
      <w:r w:rsidRPr="0043772A">
        <w:rPr>
          <w:rFonts w:ascii="Times New Roman" w:eastAsiaTheme="minorEastAsia" w:hAnsi="Times New Roman"/>
          <w:color w:val="auto"/>
          <w:sz w:val="24"/>
          <w:szCs w:val="24"/>
          <w:lang w:val="en-GB" w:eastAsia="de-DE"/>
        </w:rPr>
        <w:t>关于农药使用最佳</w:t>
      </w:r>
      <w:r w:rsidRPr="0043772A">
        <w:rPr>
          <w:rFonts w:ascii="Times New Roman" w:eastAsiaTheme="minorEastAsia" w:hAnsi="Times New Roman"/>
          <w:color w:val="auto"/>
          <w:sz w:val="24"/>
          <w:szCs w:val="24"/>
          <w:lang w:val="en-GB"/>
        </w:rPr>
        <w:t>做法</w:t>
      </w:r>
      <w:r w:rsidRPr="0043772A">
        <w:rPr>
          <w:rFonts w:ascii="Times New Roman" w:eastAsiaTheme="minorEastAsia" w:hAnsi="Times New Roman"/>
          <w:color w:val="auto"/>
          <w:sz w:val="24"/>
          <w:szCs w:val="24"/>
          <w:lang w:val="en-GB" w:eastAsia="de-DE"/>
        </w:rPr>
        <w:t>（如</w:t>
      </w:r>
      <w:r w:rsidRPr="0043772A">
        <w:rPr>
          <w:rFonts w:ascii="Times New Roman" w:eastAsiaTheme="minorEastAsia" w:hAnsi="Times New Roman"/>
          <w:color w:val="auto"/>
          <w:sz w:val="24"/>
          <w:szCs w:val="24"/>
          <w:lang w:val="de-DE"/>
        </w:rPr>
        <w:t>技术方法</w:t>
      </w:r>
      <w:r w:rsidRPr="0043772A">
        <w:rPr>
          <w:rFonts w:ascii="Times New Roman" w:eastAsiaTheme="minorEastAsia" w:hAnsi="Times New Roman"/>
          <w:color w:val="auto"/>
          <w:sz w:val="24"/>
          <w:szCs w:val="24"/>
          <w:lang w:val="en-GB"/>
        </w:rPr>
        <w:t>、</w:t>
      </w:r>
      <w:r w:rsidRPr="0043772A">
        <w:rPr>
          <w:rFonts w:ascii="Times New Roman" w:eastAsiaTheme="minorEastAsia" w:hAnsi="Times New Roman"/>
          <w:color w:val="auto"/>
          <w:sz w:val="24"/>
          <w:szCs w:val="24"/>
          <w:lang w:val="en-GB" w:eastAsia="de-DE"/>
        </w:rPr>
        <w:t>技术</w:t>
      </w:r>
      <w:r w:rsidRPr="0043772A">
        <w:rPr>
          <w:rFonts w:ascii="Times New Roman" w:eastAsiaTheme="minorEastAsia" w:hAnsi="Times New Roman"/>
          <w:color w:val="auto"/>
          <w:sz w:val="24"/>
          <w:szCs w:val="24"/>
          <w:lang w:val="en-GB"/>
        </w:rPr>
        <w:t>、</w:t>
      </w:r>
      <w:r w:rsidRPr="0043772A">
        <w:rPr>
          <w:rFonts w:ascii="Times New Roman" w:eastAsiaTheme="minorEastAsia" w:hAnsi="Times New Roman"/>
          <w:color w:val="auto"/>
          <w:sz w:val="24"/>
          <w:szCs w:val="24"/>
          <w:lang w:val="en-GB" w:eastAsia="de-DE"/>
        </w:rPr>
        <w:t>时间</w:t>
      </w:r>
      <w:r w:rsidRPr="0043772A">
        <w:rPr>
          <w:rFonts w:ascii="Times New Roman" w:eastAsiaTheme="minorEastAsia" w:hAnsi="Times New Roman"/>
          <w:color w:val="auto"/>
          <w:sz w:val="24"/>
          <w:szCs w:val="24"/>
          <w:lang w:val="en-GB"/>
        </w:rPr>
        <w:t>、</w:t>
      </w:r>
      <w:r w:rsidRPr="0043772A">
        <w:rPr>
          <w:rFonts w:ascii="Times New Roman" w:eastAsiaTheme="minorEastAsia" w:hAnsi="Times New Roman"/>
          <w:color w:val="auto"/>
          <w:sz w:val="24"/>
          <w:szCs w:val="24"/>
          <w:lang w:val="en-GB" w:eastAsia="de-DE"/>
        </w:rPr>
        <w:t>非开花作物</w:t>
      </w:r>
      <w:r w:rsidRPr="0043772A">
        <w:rPr>
          <w:rFonts w:ascii="Times New Roman" w:eastAsiaTheme="minorEastAsia" w:hAnsi="Times New Roman"/>
          <w:color w:val="auto"/>
          <w:sz w:val="24"/>
          <w:szCs w:val="24"/>
          <w:lang w:val="en-GB"/>
        </w:rPr>
        <w:t>、气候</w:t>
      </w:r>
      <w:r w:rsidRPr="0043772A">
        <w:rPr>
          <w:rFonts w:ascii="Times New Roman" w:eastAsiaTheme="minorEastAsia" w:hAnsi="Times New Roman"/>
          <w:color w:val="auto"/>
          <w:sz w:val="24"/>
          <w:szCs w:val="24"/>
          <w:lang w:val="en-GB" w:eastAsia="de-DE"/>
        </w:rPr>
        <w:t>条件）的</w:t>
      </w:r>
      <w:r>
        <w:rPr>
          <w:rFonts w:ascii="Times New Roman" w:eastAsiaTheme="minorEastAsia" w:hAnsi="Times New Roman" w:hint="eastAsia"/>
          <w:color w:val="auto"/>
          <w:sz w:val="24"/>
          <w:szCs w:val="24"/>
          <w:lang w:val="en-GB"/>
        </w:rPr>
        <w:t>指导意见</w:t>
      </w:r>
      <w:r w:rsidRPr="0043772A">
        <w:rPr>
          <w:rFonts w:ascii="Times New Roman" w:eastAsiaTheme="minorEastAsia" w:hAnsi="Times New Roman"/>
          <w:color w:val="auto"/>
          <w:sz w:val="24"/>
          <w:szCs w:val="24"/>
          <w:lang w:val="en-GB" w:eastAsia="de-DE"/>
        </w:rPr>
        <w:t>和培训</w:t>
      </w:r>
      <w:r w:rsidRPr="0043772A">
        <w:rPr>
          <w:rFonts w:ascii="Times New Roman" w:eastAsiaTheme="minorEastAsia" w:hAnsi="Times New Roman"/>
          <w:color w:val="auto"/>
          <w:sz w:val="24"/>
          <w:szCs w:val="24"/>
          <w:lang w:val="en-GB"/>
        </w:rPr>
        <w:t>；</w:t>
      </w:r>
    </w:p>
    <w:p w:rsidR="008F12F5" w:rsidRPr="0043772A" w:rsidRDefault="008F12F5" w:rsidP="00703807">
      <w:pPr>
        <w:pStyle w:val="p1"/>
        <w:suppressAutoHyphens/>
        <w:adjustRightInd w:val="0"/>
        <w:snapToGrid w:val="0"/>
        <w:ind w:firstLine="0"/>
        <w:rPr>
          <w:rFonts w:ascii="Times New Roman" w:eastAsiaTheme="minorEastAsia" w:hAnsi="Times New Roman"/>
          <w:b/>
          <w:snapToGrid w:val="0"/>
          <w:color w:val="auto"/>
          <w:kern w:val="22"/>
          <w:sz w:val="24"/>
          <w:szCs w:val="24"/>
          <w:lang w:val="en-GB"/>
        </w:rPr>
      </w:pPr>
      <w:r w:rsidRPr="0043772A">
        <w:rPr>
          <w:rFonts w:ascii="Times New Roman" w:eastAsiaTheme="minorEastAsia" w:hAnsi="Times New Roman"/>
          <w:b/>
          <w:color w:val="auto"/>
          <w:sz w:val="24"/>
          <w:szCs w:val="24"/>
          <w:lang w:val="en-GB" w:eastAsia="de-DE"/>
        </w:rPr>
        <w:t>A</w:t>
      </w:r>
      <w:r w:rsidRPr="0043772A">
        <w:rPr>
          <w:rFonts w:ascii="Times New Roman" w:eastAsiaTheme="minorEastAsia" w:hAnsi="Times New Roman"/>
          <w:b/>
          <w:snapToGrid w:val="0"/>
          <w:color w:val="auto"/>
          <w:kern w:val="22"/>
          <w:sz w:val="24"/>
          <w:szCs w:val="24"/>
          <w:lang w:val="en-GB"/>
        </w:rPr>
        <w:t>.1.2.6</w:t>
      </w:r>
      <w:r w:rsidRPr="0043772A">
        <w:rPr>
          <w:rFonts w:ascii="Times New Roman" w:eastAsiaTheme="minorEastAsia" w:hAnsi="Times New Roman"/>
          <w:color w:val="auto"/>
          <w:sz w:val="24"/>
          <w:szCs w:val="24"/>
          <w:lang w:val="en-GB" w:eastAsia="de-DE"/>
        </w:rPr>
        <w:t>制定</w:t>
      </w:r>
      <w:r w:rsidRPr="0043772A">
        <w:rPr>
          <w:rFonts w:ascii="Times New Roman" w:eastAsiaTheme="minorEastAsia" w:hAnsi="Times New Roman"/>
          <w:color w:val="auto"/>
          <w:sz w:val="24"/>
          <w:szCs w:val="24"/>
          <w:lang w:val="en-GB"/>
        </w:rPr>
        <w:t>和</w:t>
      </w:r>
      <w:r w:rsidRPr="0043772A">
        <w:rPr>
          <w:rFonts w:ascii="Times New Roman" w:eastAsiaTheme="minorEastAsia" w:hAnsi="Times New Roman"/>
          <w:color w:val="auto"/>
          <w:sz w:val="24"/>
          <w:szCs w:val="24"/>
          <w:lang w:val="en-GB" w:eastAsia="de-DE"/>
        </w:rPr>
        <w:t>实施国家和</w:t>
      </w:r>
      <w:r w:rsidRPr="0043772A">
        <w:rPr>
          <w:rFonts w:ascii="Times New Roman" w:eastAsiaTheme="minorEastAsia" w:hAnsi="Times New Roman"/>
          <w:color w:val="auto"/>
          <w:sz w:val="24"/>
          <w:szCs w:val="24"/>
          <w:lang w:val="en-GB"/>
        </w:rPr>
        <w:t>区域</w:t>
      </w:r>
      <w:r w:rsidRPr="0043772A">
        <w:rPr>
          <w:rFonts w:ascii="Times New Roman" w:eastAsiaTheme="minorEastAsia" w:hAnsi="Times New Roman"/>
          <w:color w:val="auto"/>
          <w:sz w:val="24"/>
          <w:szCs w:val="24"/>
          <w:lang w:val="en-GB" w:eastAsia="de-DE"/>
        </w:rPr>
        <w:t>降低</w:t>
      </w:r>
      <w:r w:rsidRPr="0043772A">
        <w:rPr>
          <w:rFonts w:ascii="Times New Roman" w:eastAsiaTheme="minorEastAsia" w:hAnsi="Times New Roman"/>
          <w:color w:val="auto"/>
          <w:sz w:val="24"/>
          <w:szCs w:val="24"/>
          <w:lang w:val="en-GB"/>
        </w:rPr>
        <w:t>农药</w:t>
      </w:r>
      <w:r w:rsidRPr="0043772A">
        <w:rPr>
          <w:rFonts w:ascii="Times New Roman" w:eastAsiaTheme="minorEastAsia" w:hAnsi="Times New Roman"/>
          <w:color w:val="auto"/>
          <w:sz w:val="24"/>
          <w:szCs w:val="24"/>
          <w:lang w:val="en-GB" w:eastAsia="de-DE"/>
        </w:rPr>
        <w:t>风险战略</w:t>
      </w:r>
      <w:r w:rsidRPr="0043772A">
        <w:rPr>
          <w:rFonts w:ascii="Times New Roman" w:eastAsiaTheme="minorEastAsia" w:hAnsi="Times New Roman"/>
          <w:color w:val="auto"/>
          <w:sz w:val="24"/>
          <w:szCs w:val="24"/>
          <w:lang w:val="en-GB"/>
        </w:rPr>
        <w:t>，</w:t>
      </w:r>
      <w:r w:rsidRPr="0043772A">
        <w:rPr>
          <w:rFonts w:ascii="Times New Roman" w:eastAsiaTheme="minorEastAsia" w:hAnsi="Times New Roman"/>
          <w:color w:val="auto"/>
          <w:sz w:val="24"/>
          <w:szCs w:val="24"/>
          <w:lang w:val="en-GB" w:eastAsia="de-DE"/>
        </w:rPr>
        <w:t>推广替代方法（例如</w:t>
      </w:r>
      <w:r w:rsidRPr="0043772A">
        <w:rPr>
          <w:rFonts w:ascii="Times New Roman" w:eastAsiaTheme="minorEastAsia" w:hAnsi="Times New Roman"/>
          <w:color w:val="auto"/>
          <w:sz w:val="24"/>
          <w:szCs w:val="24"/>
          <w:lang w:val="en-GB"/>
        </w:rPr>
        <w:t>，</w:t>
      </w:r>
      <w:r w:rsidRPr="0043772A">
        <w:rPr>
          <w:rFonts w:ascii="Times New Roman" w:eastAsiaTheme="minorEastAsia" w:hAnsi="Times New Roman"/>
          <w:color w:val="auto"/>
          <w:sz w:val="24"/>
          <w:szCs w:val="24"/>
          <w:lang w:val="en-GB" w:eastAsia="de-DE"/>
        </w:rPr>
        <w:t>病虫害综合</w:t>
      </w:r>
      <w:r w:rsidRPr="0043772A">
        <w:rPr>
          <w:rFonts w:ascii="Times New Roman" w:eastAsiaTheme="minorEastAsia" w:hAnsi="Times New Roman"/>
          <w:color w:val="auto"/>
          <w:sz w:val="24"/>
          <w:szCs w:val="24"/>
          <w:lang w:val="en-GB"/>
        </w:rPr>
        <w:t>管理做法</w:t>
      </w:r>
      <w:r w:rsidRPr="0043772A">
        <w:rPr>
          <w:rFonts w:ascii="Times New Roman" w:eastAsiaTheme="minorEastAsia" w:hAnsi="Times New Roman"/>
          <w:color w:val="auto"/>
          <w:sz w:val="24"/>
          <w:szCs w:val="24"/>
          <w:lang w:val="en-GB" w:eastAsia="de-DE"/>
        </w:rPr>
        <w:t>和生物防治）</w:t>
      </w:r>
      <w:r w:rsidRPr="0043772A">
        <w:rPr>
          <w:rFonts w:ascii="Times New Roman" w:eastAsiaTheme="minorEastAsia" w:hAnsi="Times New Roman"/>
          <w:color w:val="auto"/>
          <w:sz w:val="24"/>
          <w:szCs w:val="24"/>
          <w:lang w:val="en-GB"/>
        </w:rPr>
        <w:t>，</w:t>
      </w:r>
      <w:r w:rsidRPr="0043772A">
        <w:rPr>
          <w:rFonts w:ascii="Times New Roman" w:eastAsiaTheme="minorEastAsia" w:hAnsi="Times New Roman"/>
          <w:color w:val="auto"/>
          <w:sz w:val="24"/>
          <w:szCs w:val="24"/>
          <w:lang w:val="en-GB" w:eastAsia="de-DE"/>
        </w:rPr>
        <w:t>以减少或消除传粉媒介</w:t>
      </w:r>
      <w:r w:rsidRPr="0043772A">
        <w:rPr>
          <w:rFonts w:ascii="Times New Roman" w:eastAsiaTheme="minorEastAsia" w:hAnsi="Times New Roman"/>
          <w:color w:val="auto"/>
          <w:sz w:val="24"/>
          <w:szCs w:val="24"/>
          <w:lang w:val="en-GB"/>
        </w:rPr>
        <w:t>接触</w:t>
      </w:r>
      <w:r w:rsidRPr="0043772A">
        <w:rPr>
          <w:rFonts w:ascii="Times New Roman" w:eastAsiaTheme="minorEastAsia" w:hAnsi="Times New Roman"/>
          <w:color w:val="auto"/>
          <w:sz w:val="24"/>
          <w:szCs w:val="24"/>
          <w:lang w:val="en-GB" w:eastAsia="de-DE"/>
        </w:rPr>
        <w:t>有害农药的</w:t>
      </w:r>
      <w:r w:rsidRPr="0043772A">
        <w:rPr>
          <w:rFonts w:ascii="Times New Roman" w:eastAsiaTheme="minorEastAsia" w:hAnsi="Times New Roman"/>
          <w:color w:val="auto"/>
          <w:sz w:val="24"/>
          <w:szCs w:val="24"/>
          <w:lang w:val="en-GB"/>
        </w:rPr>
        <w:t>机会</w:t>
      </w:r>
      <w:r w:rsidRPr="0043772A">
        <w:rPr>
          <w:rFonts w:ascii="Times New Roman" w:eastAsiaTheme="minorEastAsia" w:hAnsi="Times New Roman"/>
          <w:b/>
          <w:snapToGrid w:val="0"/>
          <w:color w:val="auto"/>
          <w:kern w:val="22"/>
          <w:sz w:val="24"/>
          <w:szCs w:val="24"/>
          <w:lang w:val="en-GB"/>
        </w:rPr>
        <w:t>；</w:t>
      </w:r>
    </w:p>
    <w:p w:rsidR="008F12F5" w:rsidRPr="0043772A" w:rsidRDefault="008F12F5" w:rsidP="00703807">
      <w:pPr>
        <w:pStyle w:val="p1"/>
        <w:suppressAutoHyphens/>
        <w:adjustRightInd w:val="0"/>
        <w:snapToGrid w:val="0"/>
        <w:ind w:firstLine="0"/>
        <w:rPr>
          <w:rFonts w:ascii="Times New Roman" w:eastAsiaTheme="minorEastAsia" w:hAnsi="Times New Roman"/>
          <w:color w:val="auto"/>
          <w:sz w:val="24"/>
          <w:szCs w:val="24"/>
          <w:lang w:val="en-GB" w:eastAsia="de-DE"/>
        </w:rPr>
      </w:pPr>
      <w:r w:rsidRPr="0043772A">
        <w:rPr>
          <w:rFonts w:ascii="Times New Roman" w:eastAsiaTheme="minorEastAsia" w:hAnsi="Times New Roman"/>
          <w:b/>
          <w:color w:val="auto"/>
          <w:sz w:val="24"/>
          <w:szCs w:val="24"/>
          <w:lang w:val="en-GB" w:eastAsia="de-DE"/>
        </w:rPr>
        <w:t>A</w:t>
      </w:r>
      <w:r w:rsidRPr="0043772A">
        <w:rPr>
          <w:rFonts w:ascii="Times New Roman" w:eastAsiaTheme="minorEastAsia" w:hAnsi="Times New Roman"/>
          <w:b/>
          <w:snapToGrid w:val="0"/>
          <w:color w:val="auto"/>
          <w:kern w:val="22"/>
          <w:sz w:val="24"/>
          <w:szCs w:val="24"/>
          <w:lang w:val="en-GB"/>
        </w:rPr>
        <w:t>.1.2.7</w:t>
      </w:r>
      <w:r w:rsidRPr="0043772A">
        <w:rPr>
          <w:rFonts w:ascii="Times New Roman" w:eastAsiaTheme="minorEastAsia" w:hAnsi="Times New Roman"/>
          <w:snapToGrid w:val="0"/>
          <w:color w:val="auto"/>
          <w:kern w:val="22"/>
          <w:sz w:val="24"/>
          <w:szCs w:val="24"/>
          <w:lang w:val="en-GB"/>
        </w:rPr>
        <w:t>酌情制定和实施国家农药及其转化产品的</w:t>
      </w:r>
      <w:r>
        <w:rPr>
          <w:rFonts w:ascii="Times New Roman" w:eastAsiaTheme="minorEastAsia" w:hAnsi="Times New Roman" w:hint="eastAsia"/>
          <w:snapToGrid w:val="0"/>
          <w:color w:val="auto"/>
          <w:kern w:val="22"/>
          <w:sz w:val="24"/>
          <w:szCs w:val="24"/>
          <w:lang w:val="en-GB"/>
        </w:rPr>
        <w:t>监测</w:t>
      </w:r>
      <w:r>
        <w:rPr>
          <w:rFonts w:ascii="Times New Roman" w:eastAsiaTheme="minorEastAsia" w:hAnsi="Times New Roman"/>
          <w:snapToGrid w:val="0"/>
          <w:color w:val="auto"/>
          <w:kern w:val="22"/>
          <w:sz w:val="24"/>
          <w:szCs w:val="24"/>
          <w:lang w:val="en-GB"/>
        </w:rPr>
        <w:t>、监督</w:t>
      </w:r>
      <w:r w:rsidRPr="0043772A">
        <w:rPr>
          <w:rFonts w:ascii="Times New Roman" w:eastAsiaTheme="minorEastAsia" w:hAnsi="Times New Roman"/>
          <w:snapToGrid w:val="0"/>
          <w:color w:val="auto"/>
          <w:kern w:val="22"/>
          <w:sz w:val="24"/>
          <w:szCs w:val="24"/>
          <w:lang w:val="en-GB"/>
        </w:rPr>
        <w:t>和登记方案。</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A1.3</w:t>
      </w:r>
      <w:r w:rsidRPr="0043772A">
        <w:rPr>
          <w:rFonts w:eastAsiaTheme="minorEastAsia"/>
          <w:b/>
          <w:snapToGrid w:val="0"/>
          <w:kern w:val="22"/>
          <w:lang w:eastAsia="zh-CN"/>
        </w:rPr>
        <w:t>保护和推广土著和传统知识</w:t>
      </w:r>
    </w:p>
    <w:p w:rsidR="008F12F5" w:rsidRPr="0043772A" w:rsidRDefault="008F12F5" w:rsidP="00703807">
      <w:pPr>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A.1.3.1</w:t>
      </w:r>
      <w:r w:rsidRPr="0043772A">
        <w:rPr>
          <w:rFonts w:eastAsiaTheme="minorEastAsia"/>
          <w:snapToGrid w:val="0"/>
          <w:kern w:val="22"/>
          <w:lang w:eastAsia="zh-CN"/>
        </w:rPr>
        <w:t>保护和推广与授粉媒介和授粉</w:t>
      </w:r>
      <w:r>
        <w:rPr>
          <w:rFonts w:eastAsiaTheme="minorEastAsia" w:hint="eastAsia"/>
          <w:snapToGrid w:val="0"/>
          <w:kern w:val="22"/>
          <w:lang w:eastAsia="zh-CN"/>
        </w:rPr>
        <w:t>相关</w:t>
      </w:r>
      <w:r w:rsidRPr="0043772A">
        <w:rPr>
          <w:rFonts w:eastAsiaTheme="minorEastAsia"/>
          <w:snapToGrid w:val="0"/>
          <w:kern w:val="22"/>
          <w:lang w:eastAsia="zh-CN"/>
        </w:rPr>
        <w:t>的土著和传统知识、创新和做法（例如，蜂房设计；授粉媒介资源管理；了解寄生虫影响的传统方式），</w:t>
      </w:r>
      <w:r>
        <w:rPr>
          <w:rFonts w:eastAsiaTheme="minorEastAsia" w:hint="eastAsia"/>
          <w:snapToGrid w:val="0"/>
          <w:kern w:val="22"/>
          <w:lang w:eastAsia="zh-CN"/>
        </w:rPr>
        <w:t>并</w:t>
      </w:r>
      <w:r w:rsidRPr="0043772A">
        <w:rPr>
          <w:rFonts w:eastAsiaTheme="minorEastAsia"/>
          <w:snapToGrid w:val="0"/>
          <w:kern w:val="22"/>
          <w:lang w:eastAsia="zh-CN"/>
        </w:rPr>
        <w:t>支持以参与性</w:t>
      </w:r>
      <w:r>
        <w:rPr>
          <w:rFonts w:eastAsiaTheme="minorEastAsia" w:hint="eastAsia"/>
          <w:snapToGrid w:val="0"/>
          <w:kern w:val="22"/>
          <w:lang w:eastAsia="zh-CN"/>
        </w:rPr>
        <w:t>方式</w:t>
      </w:r>
      <w:r w:rsidRPr="0043772A">
        <w:rPr>
          <w:rFonts w:eastAsiaTheme="minorEastAsia"/>
          <w:snapToGrid w:val="0"/>
          <w:kern w:val="22"/>
          <w:lang w:eastAsia="zh-CN"/>
        </w:rPr>
        <w:t>鉴定新物种的鉴别特征并进行监测；</w:t>
      </w:r>
    </w:p>
    <w:p w:rsidR="008F12F5" w:rsidRPr="0043772A" w:rsidRDefault="008F12F5" w:rsidP="00703807">
      <w:pPr>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A.1.3.2</w:t>
      </w:r>
      <w:r w:rsidRPr="0043772A">
        <w:rPr>
          <w:rFonts w:eastAsiaTheme="minorEastAsia"/>
          <w:snapToGrid w:val="0"/>
          <w:kern w:val="22"/>
          <w:lang w:eastAsia="zh-CN"/>
        </w:rPr>
        <w:t>保护既有土地权和保有权，以促进保护和可持续利用授粉媒介。</w:t>
      </w:r>
    </w:p>
    <w:p w:rsidR="008F12F5" w:rsidRPr="0043772A" w:rsidRDefault="008F12F5" w:rsidP="00703807">
      <w:pPr>
        <w:widowControl w:val="0"/>
        <w:suppressLineNumbers/>
        <w:suppressAutoHyphens/>
        <w:adjustRightInd w:val="0"/>
        <w:snapToGrid w:val="0"/>
        <w:ind w:firstLine="0"/>
        <w:rPr>
          <w:rFonts w:eastAsiaTheme="minorEastAsia"/>
          <w:b/>
          <w:snapToGrid w:val="0"/>
          <w:kern w:val="22"/>
          <w:lang w:eastAsia="zh-CN"/>
        </w:rPr>
      </w:pPr>
      <w:r w:rsidRPr="0043772A">
        <w:rPr>
          <w:rFonts w:eastAsiaTheme="minorEastAsia"/>
          <w:b/>
          <w:snapToGrid w:val="0"/>
          <w:kern w:val="22"/>
          <w:lang w:eastAsia="zh-CN"/>
        </w:rPr>
        <w:lastRenderedPageBreak/>
        <w:t>A1.4</w:t>
      </w:r>
      <w:r w:rsidRPr="0043772A">
        <w:rPr>
          <w:rFonts w:eastAsiaTheme="minorEastAsia"/>
          <w:b/>
          <w:snapToGrid w:val="0"/>
          <w:kern w:val="22"/>
          <w:lang w:eastAsia="zh-CN"/>
        </w:rPr>
        <w:t>控制受管理授粉媒介的贸易和流动以及其他与贸易有关的影响</w:t>
      </w:r>
    </w:p>
    <w:p w:rsidR="008F12F5" w:rsidRPr="0043772A" w:rsidRDefault="008F12F5" w:rsidP="00703807">
      <w:pPr>
        <w:widowControl w:val="0"/>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A.1.4.1</w:t>
      </w:r>
      <w:r w:rsidRPr="0043772A">
        <w:rPr>
          <w:rFonts w:eastAsiaTheme="minorEastAsia"/>
          <w:snapToGrid w:val="0"/>
          <w:kern w:val="22"/>
          <w:lang w:eastAsia="zh-CN"/>
        </w:rPr>
        <w:t>监测国家间和国家内部受管理的传粉媒介物种、亚种和品种的流动和贸易情况；</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A.1.4.2</w:t>
      </w:r>
      <w:r w:rsidRPr="0043772A">
        <w:rPr>
          <w:rFonts w:eastAsiaTheme="minorEastAsia"/>
          <w:snapToGrid w:val="0"/>
          <w:kern w:val="22"/>
          <w:lang w:eastAsia="zh-CN"/>
        </w:rPr>
        <w:t>制定和推广限制寄生虫和病原体向受管理的和野生授粉媒介种群传播的机制；</w:t>
      </w:r>
    </w:p>
    <w:p w:rsidR="008F12F5" w:rsidRPr="0043772A" w:rsidRDefault="008F12F5" w:rsidP="00703807">
      <w:pPr>
        <w:widowControl w:val="0"/>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A.1.4.3</w:t>
      </w:r>
      <w:r w:rsidRPr="0043772A">
        <w:rPr>
          <w:rFonts w:eastAsiaTheme="minorEastAsia"/>
          <w:snapToGrid w:val="0"/>
          <w:kern w:val="22"/>
          <w:lang w:eastAsia="zh-CN"/>
        </w:rPr>
        <w:t>防止并最大限度地降低</w:t>
      </w:r>
      <w:r w:rsidRPr="0043772A">
        <w:rPr>
          <w:rFonts w:eastAsiaTheme="minorEastAsia"/>
          <w:lang w:eastAsia="zh-CN"/>
        </w:rPr>
        <w:t>引入</w:t>
      </w:r>
      <w:r>
        <w:rPr>
          <w:rFonts w:eastAsiaTheme="minorEastAsia" w:hint="eastAsia"/>
          <w:lang w:eastAsia="zh-CN"/>
        </w:rPr>
        <w:t>和</w:t>
      </w:r>
      <w:r>
        <w:rPr>
          <w:rFonts w:eastAsiaTheme="minorEastAsia"/>
          <w:lang w:eastAsia="zh-CN"/>
        </w:rPr>
        <w:t>传播</w:t>
      </w:r>
      <w:r w:rsidRPr="0043772A">
        <w:rPr>
          <w:rFonts w:eastAsiaTheme="minorEastAsia"/>
          <w:lang w:eastAsia="zh-CN"/>
        </w:rPr>
        <w:t>对授粉媒介及其赖以生存的植物资源造成不可接受风险的外来入侵物种（植物、授粉媒介、肉食动物、害虫和病原体）所带来的风险</w:t>
      </w:r>
      <w:r w:rsidRPr="0043772A">
        <w:rPr>
          <w:rFonts w:eastAsiaTheme="minorEastAsia"/>
          <w:snapToGrid w:val="0"/>
          <w:kern w:val="22"/>
          <w:lang w:eastAsia="zh-CN"/>
        </w:rPr>
        <w:t>，并对分散已经引入物种（例如欧洲熊蜂）的风险进行监控。</w:t>
      </w:r>
    </w:p>
    <w:p w:rsidR="008F12F5" w:rsidRPr="008F12F5" w:rsidRDefault="008F12F5" w:rsidP="00703807">
      <w:pPr>
        <w:widowControl w:val="0"/>
        <w:suppressAutoHyphens/>
        <w:adjustRightInd w:val="0"/>
        <w:snapToGrid w:val="0"/>
        <w:ind w:firstLine="0"/>
        <w:jc w:val="center"/>
        <w:rPr>
          <w:rFonts w:eastAsiaTheme="minorEastAsia"/>
          <w:b/>
          <w:snapToGrid w:val="0"/>
          <w:lang w:eastAsia="zh-CN"/>
        </w:rPr>
      </w:pPr>
      <w:r w:rsidRPr="008F12F5">
        <w:rPr>
          <w:rFonts w:eastAsiaTheme="minorEastAsia"/>
          <w:b/>
          <w:snapToGrid w:val="0"/>
          <w:lang w:eastAsia="zh-CN"/>
        </w:rPr>
        <w:t>构成部分</w:t>
      </w:r>
      <w:r w:rsidRPr="008F12F5">
        <w:rPr>
          <w:rFonts w:eastAsiaTheme="minorEastAsia"/>
          <w:b/>
          <w:snapToGrid w:val="0"/>
          <w:lang w:eastAsia="zh-CN"/>
        </w:rPr>
        <w:t xml:space="preserve">2: </w:t>
      </w:r>
      <w:r w:rsidRPr="008F12F5">
        <w:rPr>
          <w:rFonts w:eastAsiaTheme="minorEastAsia"/>
          <w:b/>
          <w:snapToGrid w:val="0"/>
          <w:lang w:eastAsia="zh-CN"/>
        </w:rPr>
        <w:t>实地一级的执行工作</w:t>
      </w:r>
    </w:p>
    <w:p w:rsidR="008F12F5" w:rsidRPr="008F12F5" w:rsidRDefault="008F12F5" w:rsidP="00703807">
      <w:pPr>
        <w:widowControl w:val="0"/>
        <w:suppressAutoHyphens/>
        <w:autoSpaceDE w:val="0"/>
        <w:autoSpaceDN w:val="0"/>
        <w:adjustRightInd w:val="0"/>
        <w:snapToGrid w:val="0"/>
        <w:ind w:firstLine="0"/>
        <w:rPr>
          <w:rFonts w:ascii="KaiTi" w:eastAsia="KaiTi" w:hAnsi="KaiTi"/>
          <w:snapToGrid w:val="0"/>
          <w:lang w:eastAsia="zh-CN"/>
        </w:rPr>
      </w:pPr>
      <w:r w:rsidRPr="008F12F5">
        <w:rPr>
          <w:rFonts w:ascii="KaiTi" w:eastAsia="KaiTi" w:hAnsi="KaiTi"/>
          <w:snapToGrid w:val="0"/>
          <w:lang w:eastAsia="zh-CN"/>
        </w:rPr>
        <w:t>业务目标</w:t>
      </w:r>
    </w:p>
    <w:p w:rsidR="008F12F5" w:rsidRPr="008F12F5" w:rsidRDefault="008F12F5" w:rsidP="00703807">
      <w:pPr>
        <w:widowControl w:val="0"/>
        <w:suppressAutoHyphens/>
        <w:autoSpaceDE w:val="0"/>
        <w:autoSpaceDN w:val="0"/>
        <w:adjustRightInd w:val="0"/>
        <w:snapToGrid w:val="0"/>
        <w:ind w:firstLine="0"/>
        <w:rPr>
          <w:rFonts w:eastAsiaTheme="minorEastAsia"/>
          <w:lang w:eastAsia="zh-CN"/>
        </w:rPr>
      </w:pPr>
      <w:r w:rsidRPr="008F12F5">
        <w:rPr>
          <w:rFonts w:eastAsiaTheme="minorEastAsia"/>
          <w:lang w:eastAsia="zh-CN"/>
        </w:rPr>
        <w:t>加强和实施维护健康授粉媒介区系的管理做法，并使农民、养蜂人、林务员、土地管理者和城市社区能够利用授粉功能和服务的收益，提高其生产力和改善生计</w:t>
      </w:r>
      <w:r w:rsidRPr="008F12F5">
        <w:rPr>
          <w:rFonts w:eastAsiaTheme="minorEastAsia"/>
          <w:i/>
          <w:snapToGrid w:val="0"/>
          <w:lang w:eastAsia="zh-CN"/>
        </w:rPr>
        <w:t>。</w:t>
      </w:r>
    </w:p>
    <w:p w:rsidR="008F12F5" w:rsidRPr="008F12F5" w:rsidRDefault="008F12F5" w:rsidP="00703807">
      <w:pPr>
        <w:widowControl w:val="0"/>
        <w:suppressAutoHyphens/>
        <w:autoSpaceDE w:val="0"/>
        <w:autoSpaceDN w:val="0"/>
        <w:adjustRightInd w:val="0"/>
        <w:snapToGrid w:val="0"/>
        <w:ind w:firstLine="0"/>
        <w:rPr>
          <w:rFonts w:ascii="KaiTi" w:eastAsia="KaiTi" w:hAnsi="KaiTi"/>
          <w:snapToGrid w:val="0"/>
          <w:lang w:eastAsia="zh-CN"/>
        </w:rPr>
      </w:pPr>
      <w:r w:rsidRPr="008F12F5">
        <w:rPr>
          <w:rFonts w:ascii="KaiTi" w:eastAsia="KaiTi" w:hAnsi="KaiTi"/>
          <w:snapToGrid w:val="0"/>
          <w:lang w:eastAsia="zh-CN"/>
        </w:rPr>
        <w:t>理论依据</w:t>
      </w:r>
    </w:p>
    <w:p w:rsidR="008F12F5" w:rsidRPr="008F12F5" w:rsidRDefault="008F12F5" w:rsidP="00703807">
      <w:pPr>
        <w:widowControl w:val="0"/>
        <w:suppressAutoHyphens/>
        <w:autoSpaceDE w:val="0"/>
        <w:autoSpaceDN w:val="0"/>
        <w:adjustRightInd w:val="0"/>
        <w:snapToGrid w:val="0"/>
        <w:ind w:firstLine="0"/>
        <w:rPr>
          <w:rFonts w:eastAsiaTheme="minorEastAsia"/>
          <w:lang w:eastAsia="zh-CN"/>
        </w:rPr>
      </w:pPr>
      <w:r w:rsidRPr="008F12F5">
        <w:rPr>
          <w:rFonts w:eastAsiaTheme="minorEastAsia"/>
          <w:lang w:eastAsia="zh-CN"/>
        </w:rPr>
        <w:t>为了确保有利于授粉媒介的生境，促进可持续农业生态系统和授粉媒介饲养，需要在实地处理授粉媒介减少的直接和间接驱动因素。需要关注农田和整个生态系统。景观层面的措施可以解决跨景观和部门管理的连通性和价值问题。改进的授粉媒介管理措施包括重视对蜜蜂和其他传粉媒介的饲养</w:t>
      </w:r>
      <w:r w:rsidRPr="008F12F5">
        <w:rPr>
          <w:rFonts w:eastAsiaTheme="minorEastAsia"/>
          <w:i/>
          <w:snapToGrid w:val="0"/>
          <w:lang w:eastAsia="zh-CN"/>
        </w:rPr>
        <w:t>。</w:t>
      </w:r>
    </w:p>
    <w:p w:rsidR="008F12F5" w:rsidRPr="008F12F5" w:rsidRDefault="008F12F5" w:rsidP="00703807">
      <w:pPr>
        <w:widowControl w:val="0"/>
        <w:suppressAutoHyphens/>
        <w:autoSpaceDE w:val="0"/>
        <w:autoSpaceDN w:val="0"/>
        <w:adjustRightInd w:val="0"/>
        <w:snapToGrid w:val="0"/>
        <w:ind w:firstLine="0"/>
        <w:rPr>
          <w:rFonts w:ascii="KaiTi" w:eastAsia="KaiTi" w:hAnsi="KaiTi"/>
          <w:snapToGrid w:val="0"/>
          <w:lang w:eastAsia="zh-CN"/>
        </w:rPr>
      </w:pPr>
      <w:r w:rsidRPr="008F12F5">
        <w:rPr>
          <w:rFonts w:ascii="KaiTi" w:eastAsia="KaiTi" w:hAnsi="KaiTi"/>
          <w:snapToGrid w:val="0"/>
          <w:lang w:eastAsia="zh-CN"/>
        </w:rPr>
        <w:t>活动</w:t>
      </w:r>
    </w:p>
    <w:p w:rsidR="008F12F5" w:rsidRPr="008F12F5" w:rsidRDefault="008F12F5" w:rsidP="00703807">
      <w:pPr>
        <w:widowControl w:val="0"/>
        <w:suppressAutoHyphens/>
        <w:adjustRightInd w:val="0"/>
        <w:snapToGrid w:val="0"/>
        <w:ind w:firstLine="0"/>
        <w:rPr>
          <w:rFonts w:eastAsiaTheme="minorEastAsia"/>
          <w:b/>
          <w:snapToGrid w:val="0"/>
          <w:kern w:val="22"/>
          <w:lang w:eastAsia="zh-CN"/>
        </w:rPr>
      </w:pPr>
      <w:r w:rsidRPr="008F12F5">
        <w:rPr>
          <w:rFonts w:eastAsiaTheme="minorEastAsia"/>
          <w:b/>
          <w:snapToGrid w:val="0"/>
          <w:kern w:val="22"/>
          <w:lang w:eastAsia="zh-CN"/>
        </w:rPr>
        <w:t>A2.1</w:t>
      </w:r>
      <w:r w:rsidRPr="008F12F5">
        <w:rPr>
          <w:rFonts w:eastAsiaTheme="minorEastAsia"/>
          <w:b/>
          <w:snapToGrid w:val="0"/>
          <w:kern w:val="22"/>
          <w:lang w:eastAsia="zh-CN"/>
        </w:rPr>
        <w:t>与农民、城市和农村养蜂人、土地管理人员、土著人民和当地社区共同设计并在农场和城市地区草场推行有利于授粉媒介的做法</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A.2.1.1</w:t>
      </w:r>
      <w:r>
        <w:rPr>
          <w:rFonts w:eastAsiaTheme="minorEastAsia"/>
          <w:snapToGrid w:val="0"/>
          <w:kern w:val="22"/>
          <w:lang w:eastAsia="zh-CN"/>
        </w:rPr>
        <w:t>酌情</w:t>
      </w:r>
      <w:r>
        <w:rPr>
          <w:rFonts w:eastAsiaTheme="minorEastAsia" w:hint="eastAsia"/>
          <w:snapToGrid w:val="0"/>
          <w:kern w:val="22"/>
          <w:lang w:eastAsia="zh-CN"/>
        </w:rPr>
        <w:t>设置</w:t>
      </w:r>
      <w:r w:rsidRPr="0043772A">
        <w:rPr>
          <w:rFonts w:eastAsiaTheme="minorEastAsia"/>
          <w:snapToGrid w:val="0"/>
          <w:kern w:val="22"/>
          <w:lang w:eastAsia="zh-CN"/>
        </w:rPr>
        <w:t>未开垦</w:t>
      </w:r>
      <w:r>
        <w:rPr>
          <w:rFonts w:eastAsiaTheme="minorEastAsia" w:hint="eastAsia"/>
          <w:snapToGrid w:val="0"/>
          <w:kern w:val="22"/>
          <w:lang w:eastAsia="zh-CN"/>
        </w:rPr>
        <w:t>的</w:t>
      </w:r>
      <w:r w:rsidRPr="0043772A">
        <w:rPr>
          <w:rFonts w:eastAsiaTheme="minorEastAsia"/>
          <w:snapToGrid w:val="0"/>
          <w:kern w:val="22"/>
          <w:lang w:eastAsia="zh-CN"/>
        </w:rPr>
        <w:t>植被</w:t>
      </w:r>
      <w:r>
        <w:rPr>
          <w:rFonts w:eastAsiaTheme="minorEastAsia" w:hint="eastAsia"/>
          <w:snapToGrid w:val="0"/>
          <w:kern w:val="22"/>
          <w:lang w:eastAsia="zh-CN"/>
        </w:rPr>
        <w:t>区块</w:t>
      </w:r>
      <w:r w:rsidRPr="0043772A">
        <w:rPr>
          <w:rFonts w:eastAsiaTheme="minorEastAsia"/>
          <w:snapToGrid w:val="0"/>
          <w:kern w:val="22"/>
          <w:lang w:eastAsia="zh-CN"/>
        </w:rPr>
        <w:t>，并主要利用本地物种和延长花期，扩大花卉多样性，以确保授粉媒介的多样性、丰富性和持续不断的花卉资源；</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A.2.1.2</w:t>
      </w:r>
      <w:r w:rsidRPr="0043772A">
        <w:rPr>
          <w:rFonts w:eastAsiaTheme="minorEastAsia"/>
          <w:snapToGrid w:val="0"/>
          <w:kern w:val="22"/>
          <w:lang w:eastAsia="zh-CN"/>
        </w:rPr>
        <w:t>管理大量开花作物的花期，使授粉媒介受益；</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A.2.1.3</w:t>
      </w:r>
      <w:r w:rsidRPr="0043772A">
        <w:rPr>
          <w:rFonts w:eastAsiaTheme="minorEastAsia"/>
          <w:snapToGrid w:val="0"/>
          <w:kern w:val="22"/>
          <w:lang w:eastAsia="zh-CN"/>
        </w:rPr>
        <w:t>促进交换本地种子的网络；</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A.2.1.4</w:t>
      </w:r>
      <w:r w:rsidRPr="0043772A">
        <w:rPr>
          <w:rFonts w:eastAsiaTheme="minorEastAsia"/>
          <w:snapToGrid w:val="0"/>
          <w:kern w:val="22"/>
          <w:lang w:eastAsia="zh-CN"/>
        </w:rPr>
        <w:t>促进受管理授粉媒介种群内的遗传多样性及其保护；</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A.2.1.5</w:t>
      </w:r>
      <w:r w:rsidRPr="0043772A">
        <w:rPr>
          <w:rFonts w:eastAsiaTheme="minorEastAsia"/>
          <w:snapToGrid w:val="0"/>
          <w:kern w:val="22"/>
          <w:lang w:eastAsia="zh-CN"/>
        </w:rPr>
        <w:t>促进推广服务、农民之间共享</w:t>
      </w:r>
      <w:r>
        <w:rPr>
          <w:rFonts w:eastAsiaTheme="minorEastAsia" w:hint="eastAsia"/>
          <w:snapToGrid w:val="0"/>
          <w:kern w:val="22"/>
          <w:lang w:eastAsia="zh-CN"/>
        </w:rPr>
        <w:t>办法</w:t>
      </w:r>
      <w:r w:rsidRPr="0043772A">
        <w:rPr>
          <w:rFonts w:eastAsiaTheme="minorEastAsia"/>
          <w:snapToGrid w:val="0"/>
          <w:kern w:val="22"/>
          <w:lang w:eastAsia="zh-CN"/>
        </w:rPr>
        <w:t>和农民田间学校，以交流知识</w:t>
      </w:r>
      <w:r>
        <w:rPr>
          <w:rFonts w:eastAsiaTheme="minorEastAsia" w:hint="eastAsia"/>
          <w:snapToGrid w:val="0"/>
          <w:kern w:val="22"/>
          <w:lang w:eastAsia="zh-CN"/>
        </w:rPr>
        <w:t>和</w:t>
      </w:r>
      <w:r>
        <w:rPr>
          <w:rFonts w:eastAsiaTheme="minorEastAsia"/>
          <w:snapToGrid w:val="0"/>
          <w:kern w:val="22"/>
          <w:lang w:eastAsia="zh-CN"/>
        </w:rPr>
        <w:t>为当地农业社区提供实务教育</w:t>
      </w:r>
      <w:r>
        <w:rPr>
          <w:rFonts w:eastAsiaTheme="minorEastAsia" w:hint="eastAsia"/>
          <w:snapToGrid w:val="0"/>
          <w:kern w:val="22"/>
          <w:lang w:eastAsia="zh-CN"/>
        </w:rPr>
        <w:t>和</w:t>
      </w:r>
      <w:r w:rsidRPr="0043772A">
        <w:rPr>
          <w:rFonts w:eastAsiaTheme="minorEastAsia"/>
          <w:snapToGrid w:val="0"/>
          <w:kern w:val="22"/>
          <w:lang w:eastAsia="zh-CN"/>
        </w:rPr>
        <w:t>增强权能；</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A.2.1.6</w:t>
      </w:r>
      <w:r w:rsidRPr="0043772A">
        <w:rPr>
          <w:rFonts w:eastAsiaTheme="minorEastAsia"/>
          <w:snapToGrid w:val="0"/>
          <w:kern w:val="22"/>
          <w:lang w:eastAsia="zh-CN"/>
        </w:rPr>
        <w:t>通过作物轮作、间套作、</w:t>
      </w:r>
      <w:r w:rsidRPr="0043772A">
        <w:rPr>
          <w:rStyle w:val="ng-binding"/>
          <w:rFonts w:eastAsiaTheme="minorEastAsia"/>
          <w:lang w:eastAsia="zh-CN"/>
        </w:rPr>
        <w:t>复合农林业</w:t>
      </w:r>
      <w:r w:rsidRPr="0043772A">
        <w:rPr>
          <w:rFonts w:eastAsiaTheme="minorEastAsia"/>
          <w:snapToGrid w:val="0"/>
          <w:kern w:val="22"/>
          <w:lang w:eastAsia="zh-CN"/>
        </w:rPr>
        <w:t>、综合虫害管理、有机农业和生态集约化等家庭园圃和生态农业方法，实现农作制度及其产生的授粉媒介食物资源和生境</w:t>
      </w:r>
      <w:r>
        <w:rPr>
          <w:rFonts w:eastAsiaTheme="minorEastAsia" w:hint="eastAsia"/>
          <w:snapToGrid w:val="0"/>
          <w:kern w:val="22"/>
          <w:lang w:eastAsia="zh-CN"/>
        </w:rPr>
        <w:t>的</w:t>
      </w:r>
      <w:r w:rsidRPr="0043772A">
        <w:rPr>
          <w:rFonts w:eastAsiaTheme="minorEastAsia"/>
          <w:snapToGrid w:val="0"/>
          <w:kern w:val="22"/>
          <w:lang w:eastAsia="zh-CN"/>
        </w:rPr>
        <w:t>多样化；</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lastRenderedPageBreak/>
        <w:t>A.2.1.7</w:t>
      </w:r>
      <w:r w:rsidRPr="0043772A">
        <w:rPr>
          <w:rFonts w:eastAsiaTheme="minorEastAsia"/>
          <w:snapToGrid w:val="0"/>
          <w:kern w:val="22"/>
          <w:lang w:eastAsia="zh-CN"/>
        </w:rPr>
        <w:t>在农耕授粉媒介管理范围内（例如，农药施用时机、气候条件和设备校准，以减少喷雾飘洒到场外地区），推广对综合农药管理（包括杂草管理策略和生物防治）和必要时有关农药使用的认识、培训和采用最佳做法，并避免或最大限度地减少已证明对授粉媒介造成严重或不可逆转损害的农药与其他驱动因素的协同</w:t>
      </w:r>
      <w:r>
        <w:rPr>
          <w:rFonts w:eastAsiaTheme="minorEastAsia" w:hint="eastAsia"/>
          <w:snapToGrid w:val="0"/>
          <w:kern w:val="22"/>
          <w:lang w:eastAsia="zh-CN"/>
        </w:rPr>
        <w:t>效应</w:t>
      </w:r>
      <w:r w:rsidRPr="0043772A">
        <w:rPr>
          <w:rFonts w:eastAsiaTheme="minorEastAsia"/>
          <w:snapToGrid w:val="0"/>
          <w:kern w:val="22"/>
          <w:lang w:eastAsia="zh-CN"/>
        </w:rPr>
        <w:t>；</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A.2.1.8</w:t>
      </w:r>
      <w:r w:rsidRPr="0043772A">
        <w:rPr>
          <w:rFonts w:eastAsiaTheme="minorEastAsia"/>
          <w:snapToGrid w:val="0"/>
          <w:kern w:val="22"/>
          <w:lang w:eastAsia="zh-CN"/>
        </w:rPr>
        <w:t>推广</w:t>
      </w:r>
      <w:r>
        <w:rPr>
          <w:rFonts w:eastAsiaTheme="minorEastAsia" w:hint="eastAsia"/>
          <w:snapToGrid w:val="0"/>
          <w:kern w:val="22"/>
          <w:lang w:eastAsia="zh-CN"/>
        </w:rPr>
        <w:t>具有</w:t>
      </w:r>
      <w:r w:rsidRPr="0043772A">
        <w:rPr>
          <w:rFonts w:eastAsiaTheme="minorEastAsia"/>
          <w:snapToGrid w:val="0"/>
          <w:kern w:val="22"/>
          <w:lang w:eastAsia="zh-CN"/>
        </w:rPr>
        <w:t>气候</w:t>
      </w:r>
      <w:r>
        <w:rPr>
          <w:rFonts w:eastAsiaTheme="minorEastAsia" w:hint="eastAsia"/>
          <w:snapToGrid w:val="0"/>
          <w:kern w:val="22"/>
          <w:lang w:eastAsia="zh-CN"/>
        </w:rPr>
        <w:t>复原力</w:t>
      </w:r>
      <w:r>
        <w:rPr>
          <w:rFonts w:eastAsiaTheme="minorEastAsia"/>
          <w:snapToGrid w:val="0"/>
          <w:kern w:val="22"/>
          <w:lang w:eastAsia="zh-CN"/>
        </w:rPr>
        <w:t>的</w:t>
      </w:r>
      <w:r w:rsidRPr="0043772A">
        <w:rPr>
          <w:rFonts w:eastAsiaTheme="minorEastAsia"/>
          <w:snapToGrid w:val="0"/>
          <w:kern w:val="22"/>
          <w:lang w:eastAsia="zh-CN"/>
        </w:rPr>
        <w:t>农业最佳做法，使授粉媒介受益；</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A.2.1.9</w:t>
      </w:r>
      <w:r w:rsidRPr="0043772A">
        <w:rPr>
          <w:rFonts w:eastAsiaTheme="minorEastAsia"/>
          <w:snapToGrid w:val="0"/>
          <w:kern w:val="22"/>
          <w:lang w:eastAsia="zh-CN"/>
        </w:rPr>
        <w:t>将</w:t>
      </w:r>
      <w:r>
        <w:rPr>
          <w:rFonts w:eastAsiaTheme="minorEastAsia"/>
          <w:snapToGrid w:val="0"/>
          <w:kern w:val="22"/>
          <w:lang w:eastAsia="zh-CN"/>
        </w:rPr>
        <w:t>有利于授粉媒介的</w:t>
      </w:r>
      <w:r w:rsidRPr="0043772A">
        <w:rPr>
          <w:rFonts w:eastAsiaTheme="minorEastAsia"/>
          <w:snapToGrid w:val="0"/>
          <w:kern w:val="22"/>
          <w:lang w:eastAsia="zh-CN"/>
        </w:rPr>
        <w:t>做法纳入相关部门的现有实践中，包括农业和粮食生产的认证计划。</w:t>
      </w:r>
    </w:p>
    <w:p w:rsidR="008F12F5" w:rsidRPr="0043772A" w:rsidRDefault="008F12F5" w:rsidP="00703807">
      <w:pPr>
        <w:suppressAutoHyphens/>
        <w:adjustRightInd w:val="0"/>
        <w:snapToGrid w:val="0"/>
        <w:ind w:firstLine="0"/>
        <w:rPr>
          <w:rFonts w:eastAsiaTheme="minorEastAsia"/>
          <w:b/>
          <w:snapToGrid w:val="0"/>
          <w:kern w:val="22"/>
          <w:lang w:eastAsia="zh-CN"/>
        </w:rPr>
      </w:pPr>
      <w:r w:rsidRPr="0043772A">
        <w:rPr>
          <w:rFonts w:eastAsiaTheme="minorEastAsia"/>
          <w:b/>
          <w:snapToGrid w:val="0"/>
          <w:kern w:val="22"/>
          <w:lang w:eastAsia="zh-CN"/>
        </w:rPr>
        <w:t>A2.2</w:t>
      </w:r>
      <w:r w:rsidRPr="0043772A">
        <w:rPr>
          <w:rFonts w:eastAsiaTheme="minorEastAsia"/>
          <w:b/>
          <w:snapToGrid w:val="0"/>
          <w:kern w:val="22"/>
          <w:lang w:eastAsia="zh-CN"/>
        </w:rPr>
        <w:t>处理林业中</w:t>
      </w:r>
      <w:r>
        <w:rPr>
          <w:rFonts w:eastAsiaTheme="minorEastAsia"/>
          <w:b/>
          <w:snapToGrid w:val="0"/>
          <w:kern w:val="22"/>
          <w:lang w:eastAsia="zh-CN"/>
        </w:rPr>
        <w:t>有利于授粉媒介的</w:t>
      </w:r>
      <w:r w:rsidRPr="0043772A">
        <w:rPr>
          <w:rFonts w:eastAsiaTheme="minorEastAsia"/>
          <w:b/>
          <w:snapToGrid w:val="0"/>
          <w:kern w:val="22"/>
          <w:lang w:eastAsia="zh-CN"/>
        </w:rPr>
        <w:t>管理和授粉媒介的需求问题</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A.2.2.1</w:t>
      </w:r>
      <w:r w:rsidRPr="0043772A">
        <w:rPr>
          <w:rFonts w:eastAsiaTheme="minorEastAsia"/>
          <w:snapToGrid w:val="0"/>
          <w:kern w:val="22"/>
          <w:lang w:eastAsia="zh-CN"/>
        </w:rPr>
        <w:t>避免或尽量减少</w:t>
      </w:r>
      <w:r>
        <w:rPr>
          <w:rFonts w:eastAsiaTheme="minorEastAsia"/>
          <w:snapToGrid w:val="0"/>
          <w:kern w:val="22"/>
          <w:lang w:eastAsia="zh-CN"/>
        </w:rPr>
        <w:t>毁林</w:t>
      </w:r>
      <w:r w:rsidRPr="0043772A">
        <w:rPr>
          <w:rFonts w:eastAsiaTheme="minorEastAsia"/>
          <w:snapToGrid w:val="0"/>
          <w:kern w:val="22"/>
          <w:lang w:eastAsia="zh-CN"/>
        </w:rPr>
        <w:t>、有害的森林管理</w:t>
      </w:r>
      <w:r>
        <w:rPr>
          <w:rFonts w:eastAsiaTheme="minorEastAsia" w:hint="eastAsia"/>
          <w:snapToGrid w:val="0"/>
          <w:kern w:val="22"/>
          <w:lang w:eastAsia="zh-CN"/>
        </w:rPr>
        <w:t>做法</w:t>
      </w:r>
      <w:r>
        <w:rPr>
          <w:rFonts w:eastAsiaTheme="minorEastAsia"/>
          <w:snapToGrid w:val="0"/>
          <w:kern w:val="22"/>
          <w:lang w:eastAsia="zh-CN"/>
        </w:rPr>
        <w:t>以及对野生授粉媒介和传统养蜂</w:t>
      </w:r>
      <w:r>
        <w:rPr>
          <w:rFonts w:eastAsiaTheme="minorEastAsia" w:hint="eastAsia"/>
          <w:snapToGrid w:val="0"/>
          <w:kern w:val="22"/>
          <w:lang w:eastAsia="zh-CN"/>
        </w:rPr>
        <w:t>到来</w:t>
      </w:r>
      <w:r w:rsidRPr="0043772A">
        <w:rPr>
          <w:rFonts w:eastAsiaTheme="minorEastAsia"/>
          <w:snapToGrid w:val="0"/>
          <w:kern w:val="22"/>
          <w:lang w:eastAsia="zh-CN"/>
        </w:rPr>
        <w:t>消极影响的其他威胁；</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A.2.2.2</w:t>
      </w:r>
      <w:r w:rsidRPr="0043772A">
        <w:rPr>
          <w:rFonts w:eastAsiaTheme="minorEastAsia"/>
          <w:snapToGrid w:val="0"/>
          <w:kern w:val="22"/>
          <w:lang w:eastAsia="zh-CN"/>
        </w:rPr>
        <w:t>提供和推广措施，以捕获、保护和运输原木内发现的蜂巢；</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A.2.2.3</w:t>
      </w:r>
      <w:r w:rsidRPr="0043772A">
        <w:rPr>
          <w:rFonts w:eastAsiaTheme="minorEastAsia"/>
          <w:snapToGrid w:val="0"/>
          <w:kern w:val="22"/>
          <w:lang w:eastAsia="zh-CN"/>
        </w:rPr>
        <w:t>促进复合农林业和林业系统，确保本地物种形成的异质生境，为授粉媒介提供多样化的花卉和筑巢资源；</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A.2.2.4</w:t>
      </w:r>
      <w:r w:rsidRPr="0043772A">
        <w:rPr>
          <w:rFonts w:eastAsiaTheme="minorEastAsia"/>
          <w:snapToGrid w:val="0"/>
          <w:kern w:val="22"/>
          <w:lang w:eastAsia="zh-CN"/>
        </w:rPr>
        <w:t>将有关授粉媒介的考虑因素纳入可持续林业管理认证系统规则。</w:t>
      </w:r>
    </w:p>
    <w:p w:rsidR="008F12F5" w:rsidRPr="0043772A" w:rsidRDefault="008F12F5" w:rsidP="00703807">
      <w:pPr>
        <w:keepNext/>
        <w:suppressAutoHyphens/>
        <w:adjustRightInd w:val="0"/>
        <w:snapToGrid w:val="0"/>
        <w:ind w:firstLine="0"/>
        <w:rPr>
          <w:rFonts w:eastAsiaTheme="minorEastAsia"/>
          <w:b/>
          <w:snapToGrid w:val="0"/>
          <w:kern w:val="22"/>
          <w:lang w:eastAsia="zh-CN"/>
        </w:rPr>
      </w:pPr>
      <w:r w:rsidRPr="0043772A">
        <w:rPr>
          <w:rFonts w:eastAsiaTheme="minorEastAsia"/>
          <w:b/>
          <w:snapToGrid w:val="0"/>
          <w:kern w:val="22"/>
          <w:lang w:eastAsia="zh-CN"/>
        </w:rPr>
        <w:t>A2.3</w:t>
      </w:r>
      <w:r w:rsidRPr="0043772A">
        <w:rPr>
          <w:rFonts w:eastAsiaTheme="minorEastAsia"/>
          <w:b/>
          <w:snapToGrid w:val="0"/>
          <w:kern w:val="22"/>
          <w:lang w:eastAsia="zh-CN"/>
        </w:rPr>
        <w:t>促进授粉媒介生境的连通性、保护、管理和恢复</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 xml:space="preserve">A.2.3.1 </w:t>
      </w:r>
      <w:r w:rsidRPr="0043772A">
        <w:rPr>
          <w:rFonts w:eastAsiaTheme="minorEastAsia"/>
          <w:snapToGrid w:val="0"/>
          <w:kern w:val="22"/>
          <w:lang w:eastAsia="zh-CN"/>
        </w:rPr>
        <w:t>保护或恢复分布在森林、草场</w:t>
      </w:r>
      <w:r>
        <w:rPr>
          <w:rFonts w:eastAsiaTheme="minorEastAsia" w:hint="eastAsia"/>
          <w:snapToGrid w:val="0"/>
          <w:kern w:val="22"/>
          <w:lang w:eastAsia="zh-CN"/>
        </w:rPr>
        <w:t>和</w:t>
      </w:r>
      <w:r w:rsidRPr="0043772A">
        <w:rPr>
          <w:rFonts w:eastAsiaTheme="minorEastAsia"/>
          <w:snapToGrid w:val="0"/>
          <w:kern w:val="22"/>
          <w:lang w:eastAsia="zh-CN"/>
        </w:rPr>
        <w:t>农田、城市地区和自然</w:t>
      </w:r>
      <w:r>
        <w:rPr>
          <w:rFonts w:eastAsiaTheme="minorEastAsia"/>
          <w:snapToGrid w:val="0"/>
          <w:kern w:val="22"/>
          <w:lang w:eastAsia="zh-CN"/>
        </w:rPr>
        <w:t>走廊</w:t>
      </w:r>
      <w:r w:rsidRPr="0043772A">
        <w:rPr>
          <w:rFonts w:eastAsiaTheme="minorEastAsia"/>
          <w:snapToGrid w:val="0"/>
          <w:kern w:val="22"/>
          <w:lang w:eastAsia="zh-CN"/>
        </w:rPr>
        <w:t>等自然地区的授粉媒介和生境，因时因地地提供更多花卉资源和筑巢地；</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A.2.3.2</w:t>
      </w:r>
      <w:r>
        <w:rPr>
          <w:rFonts w:eastAsiaTheme="minorEastAsia" w:hint="eastAsia"/>
          <w:snapToGrid w:val="0"/>
          <w:kern w:val="22"/>
          <w:lang w:eastAsia="zh-CN"/>
        </w:rPr>
        <w:t>确定</w:t>
      </w:r>
      <w:r w:rsidRPr="0043772A">
        <w:rPr>
          <w:rFonts w:eastAsiaTheme="minorEastAsia"/>
          <w:snapToGrid w:val="0"/>
          <w:kern w:val="22"/>
          <w:lang w:eastAsia="zh-CN"/>
        </w:rPr>
        <w:t>在全球、区域、国家和地方各级保护珍稀和濒危授粉媒介物种的重点领域和措施</w:t>
      </w:r>
      <w:r w:rsidRPr="0043772A">
        <w:rPr>
          <w:rFonts w:eastAsiaTheme="minorEastAsia"/>
          <w:b/>
          <w:snapToGrid w:val="0"/>
          <w:kern w:val="22"/>
          <w:lang w:eastAsia="zh-CN"/>
        </w:rPr>
        <w:t>；</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A.2.3.3</w:t>
      </w:r>
      <w:r w:rsidRPr="0043772A">
        <w:rPr>
          <w:rFonts w:eastAsiaTheme="minorEastAsia"/>
          <w:snapToGrid w:val="0"/>
          <w:kern w:val="22"/>
          <w:lang w:eastAsia="zh-CN"/>
        </w:rPr>
        <w:t>促进建立自然保护区和半自然区，并对其进行</w:t>
      </w:r>
      <w:r>
        <w:rPr>
          <w:rFonts w:eastAsiaTheme="minorEastAsia"/>
          <w:snapToGrid w:val="0"/>
          <w:kern w:val="22"/>
          <w:lang w:eastAsia="zh-CN"/>
        </w:rPr>
        <w:t>有利于授粉媒介的</w:t>
      </w:r>
      <w:r w:rsidRPr="0043772A">
        <w:rPr>
          <w:rFonts w:eastAsiaTheme="minorEastAsia"/>
          <w:snapToGrid w:val="0"/>
          <w:kern w:val="22"/>
          <w:lang w:eastAsia="zh-CN"/>
        </w:rPr>
        <w:t>管理，以及促进粮农组织</w:t>
      </w:r>
      <w:r w:rsidRPr="0043772A">
        <w:rPr>
          <w:rStyle w:val="ng-binding"/>
          <w:rFonts w:eastAsiaTheme="minorEastAsia"/>
          <w:lang w:eastAsia="zh-CN"/>
        </w:rPr>
        <w:t>全球重要农业传统体系等</w:t>
      </w:r>
      <w:r w:rsidRPr="0043772A">
        <w:rPr>
          <w:rFonts w:eastAsiaTheme="minorEastAsia"/>
          <w:snapToGrid w:val="0"/>
          <w:kern w:val="22"/>
          <w:lang w:eastAsia="zh-CN"/>
        </w:rPr>
        <w:t>其他现场选项；</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A.2.3.4</w:t>
      </w:r>
      <w:r w:rsidRPr="0043772A">
        <w:rPr>
          <w:rFonts w:eastAsiaTheme="minorEastAsia"/>
          <w:snapToGrid w:val="0"/>
          <w:kern w:val="22"/>
          <w:lang w:eastAsia="zh-CN"/>
        </w:rPr>
        <w:t>推动公路和铁路沿线城市地区和服务用地倡议，开辟和维护绿地和空地，为授粉媒介提供花卉和筑巢资源，通过提高公众对授粉媒介对人们日常生活具有重要意义的认识，改善人与授粉媒介之间的关系；</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A.2.3.5</w:t>
      </w:r>
      <w:r w:rsidRPr="0043772A">
        <w:rPr>
          <w:rFonts w:eastAsiaTheme="minorEastAsia"/>
          <w:snapToGrid w:val="0"/>
          <w:kern w:val="22"/>
          <w:lang w:eastAsia="zh-CN"/>
        </w:rPr>
        <w:t>管理火的使用和火灾控制措施，以减少火灾对授粉媒介和相关生态系统的负面影响</w:t>
      </w:r>
      <w:r w:rsidRPr="0043772A">
        <w:rPr>
          <w:rFonts w:eastAsiaTheme="minorEastAsia"/>
          <w:b/>
          <w:snapToGrid w:val="0"/>
          <w:kern w:val="22"/>
          <w:lang w:eastAsia="zh-CN"/>
        </w:rPr>
        <w:t>。</w:t>
      </w:r>
    </w:p>
    <w:p w:rsidR="008F12F5" w:rsidRPr="0043772A" w:rsidRDefault="008F12F5" w:rsidP="00703807">
      <w:pPr>
        <w:suppressLineNumbers/>
        <w:suppressAutoHyphens/>
        <w:adjustRightInd w:val="0"/>
        <w:snapToGrid w:val="0"/>
        <w:ind w:firstLine="0"/>
        <w:rPr>
          <w:rFonts w:eastAsiaTheme="minorEastAsia"/>
          <w:b/>
          <w:snapToGrid w:val="0"/>
          <w:kern w:val="22"/>
          <w:lang w:eastAsia="zh-CN"/>
        </w:rPr>
      </w:pPr>
      <w:r w:rsidRPr="0043772A">
        <w:rPr>
          <w:rFonts w:eastAsiaTheme="minorEastAsia"/>
          <w:b/>
          <w:snapToGrid w:val="0"/>
          <w:kern w:val="22"/>
          <w:lang w:eastAsia="zh-CN"/>
        </w:rPr>
        <w:t>A2.4</w:t>
      </w:r>
      <w:r w:rsidRPr="0043772A">
        <w:rPr>
          <w:rFonts w:eastAsiaTheme="minorEastAsia"/>
          <w:b/>
          <w:snapToGrid w:val="0"/>
          <w:kern w:val="22"/>
          <w:lang w:eastAsia="zh-CN"/>
        </w:rPr>
        <w:t>促进可持续养蜂和蜜蜂健康</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A.2.4.1</w:t>
      </w:r>
      <w:r w:rsidRPr="0043772A">
        <w:rPr>
          <w:rFonts w:eastAsiaTheme="minorEastAsia"/>
          <w:snapToGrid w:val="0"/>
          <w:kern w:val="22"/>
          <w:lang w:eastAsia="zh-CN"/>
        </w:rPr>
        <w:t>通过促进花卉资源更好地利用和饲养，</w:t>
      </w:r>
      <w:r w:rsidRPr="0043772A">
        <w:rPr>
          <w:rFonts w:eastAsiaTheme="minorEastAsia"/>
          <w:lang w:eastAsia="zh-CN"/>
        </w:rPr>
        <w:t>减少受管理的授粉媒介对甘露和花粉替代品的依赖，增进授粉媒介的营养素和对病虫害的免疫力</w:t>
      </w:r>
      <w:r w:rsidRPr="0043772A">
        <w:rPr>
          <w:rFonts w:eastAsiaTheme="minorEastAsia"/>
          <w:b/>
          <w:snapToGrid w:val="0"/>
          <w:kern w:val="22"/>
          <w:lang w:eastAsia="zh-CN"/>
        </w:rPr>
        <w:t>；</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lastRenderedPageBreak/>
        <w:t>A.2.4.2</w:t>
      </w:r>
      <w:r w:rsidRPr="0043772A">
        <w:rPr>
          <w:rFonts w:eastAsiaTheme="minorEastAsia"/>
          <w:snapToGrid w:val="0"/>
          <w:kern w:val="22"/>
          <w:lang w:eastAsia="zh-CN"/>
        </w:rPr>
        <w:t>最大限度减少感染和病原体传播、疾病和外来入侵物种的风险，尽可能减少因蜂巢运输而使受管理授粉媒介承受的压力</w:t>
      </w:r>
      <w:r w:rsidRPr="0043772A">
        <w:rPr>
          <w:rFonts w:eastAsiaTheme="minorEastAsia"/>
          <w:b/>
          <w:snapToGrid w:val="0"/>
          <w:kern w:val="22"/>
          <w:lang w:eastAsia="zh-CN"/>
        </w:rPr>
        <w:t>；</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A.2.4.3</w:t>
      </w:r>
      <w:r w:rsidRPr="0043772A">
        <w:rPr>
          <w:rFonts w:eastAsiaTheme="minorEastAsia"/>
          <w:snapToGrid w:val="0"/>
          <w:kern w:val="22"/>
          <w:lang w:eastAsia="zh-CN"/>
        </w:rPr>
        <w:t>规范受管理的授粉媒介的市场；</w:t>
      </w:r>
    </w:p>
    <w:p w:rsidR="008F12F5" w:rsidRPr="0043772A" w:rsidRDefault="008F12F5" w:rsidP="00703807">
      <w:pPr>
        <w:suppressLineNumbers/>
        <w:suppressAutoHyphens/>
        <w:adjustRightInd w:val="0"/>
        <w:snapToGrid w:val="0"/>
        <w:ind w:firstLine="0"/>
        <w:rPr>
          <w:rFonts w:eastAsiaTheme="minorEastAsia"/>
          <w:b/>
          <w:snapToGrid w:val="0"/>
          <w:kern w:val="22"/>
          <w:lang w:eastAsia="zh-CN"/>
        </w:rPr>
      </w:pPr>
      <w:r w:rsidRPr="0043772A">
        <w:rPr>
          <w:rFonts w:eastAsiaTheme="minorEastAsia"/>
          <w:b/>
          <w:snapToGrid w:val="0"/>
          <w:kern w:val="22"/>
          <w:lang w:eastAsia="zh-CN"/>
        </w:rPr>
        <w:t xml:space="preserve">A.2.4.4 </w:t>
      </w:r>
      <w:r w:rsidRPr="0043772A">
        <w:rPr>
          <w:rFonts w:eastAsiaTheme="minorEastAsia"/>
          <w:snapToGrid w:val="0"/>
          <w:kern w:val="22"/>
          <w:lang w:eastAsia="zh-CN"/>
        </w:rPr>
        <w:t>制定保护受管理授粉媒介的遗传多样性</w:t>
      </w:r>
      <w:r>
        <w:rPr>
          <w:rFonts w:eastAsiaTheme="minorEastAsia" w:hint="eastAsia"/>
          <w:snapToGrid w:val="0"/>
          <w:kern w:val="22"/>
          <w:lang w:eastAsia="zh-CN"/>
        </w:rPr>
        <w:t>的</w:t>
      </w:r>
      <w:r>
        <w:rPr>
          <w:rFonts w:eastAsiaTheme="minorEastAsia"/>
          <w:snapToGrid w:val="0"/>
          <w:kern w:val="22"/>
          <w:lang w:eastAsia="zh-CN"/>
        </w:rPr>
        <w:t>措施</w:t>
      </w:r>
      <w:r w:rsidRPr="0043772A">
        <w:rPr>
          <w:rFonts w:eastAsiaTheme="minorEastAsia"/>
          <w:snapToGrid w:val="0"/>
          <w:kern w:val="22"/>
          <w:lang w:eastAsia="zh-CN"/>
        </w:rPr>
        <w:t>；</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A.2.4.5</w:t>
      </w:r>
      <w:r w:rsidRPr="0043772A">
        <w:rPr>
          <w:rFonts w:eastAsiaTheme="minorEastAsia"/>
          <w:snapToGrid w:val="0"/>
          <w:kern w:val="22"/>
          <w:lang w:eastAsia="zh-CN"/>
        </w:rPr>
        <w:t>推广与蜜蜂、无刺蜜蜂和其他受管理的授粉媒介管理创新做法</w:t>
      </w:r>
      <w:r>
        <w:rPr>
          <w:rFonts w:eastAsiaTheme="minorEastAsia" w:hint="eastAsia"/>
          <w:snapToGrid w:val="0"/>
          <w:kern w:val="22"/>
          <w:lang w:eastAsia="zh-CN"/>
        </w:rPr>
        <w:t>相关</w:t>
      </w:r>
      <w:r w:rsidRPr="0043772A">
        <w:rPr>
          <w:rFonts w:eastAsiaTheme="minorEastAsia"/>
          <w:snapToGrid w:val="0"/>
          <w:kern w:val="22"/>
          <w:lang w:eastAsia="zh-CN"/>
        </w:rPr>
        <w:t>的当地和传统知识</w:t>
      </w:r>
      <w:r w:rsidRPr="0043772A">
        <w:rPr>
          <w:rFonts w:eastAsiaTheme="minorEastAsia"/>
          <w:b/>
          <w:snapToGrid w:val="0"/>
          <w:lang w:eastAsia="zh-CN"/>
        </w:rPr>
        <w:t>。</w:t>
      </w:r>
    </w:p>
    <w:p w:rsidR="008F12F5" w:rsidRPr="008F12F5" w:rsidRDefault="008F12F5" w:rsidP="00703807">
      <w:pPr>
        <w:suppressAutoHyphens/>
        <w:adjustRightInd w:val="0"/>
        <w:snapToGrid w:val="0"/>
        <w:ind w:firstLine="0"/>
        <w:jc w:val="center"/>
        <w:rPr>
          <w:rFonts w:eastAsiaTheme="minorEastAsia"/>
          <w:b/>
          <w:snapToGrid w:val="0"/>
          <w:lang w:eastAsia="zh-CN"/>
        </w:rPr>
      </w:pPr>
      <w:r w:rsidRPr="008F12F5">
        <w:rPr>
          <w:rFonts w:eastAsiaTheme="minorEastAsia"/>
          <w:b/>
          <w:snapToGrid w:val="0"/>
          <w:lang w:eastAsia="zh-CN"/>
        </w:rPr>
        <w:t>构成部分</w:t>
      </w:r>
      <w:r w:rsidRPr="008F12F5">
        <w:rPr>
          <w:rFonts w:eastAsiaTheme="minorEastAsia"/>
          <w:b/>
          <w:snapToGrid w:val="0"/>
          <w:lang w:eastAsia="zh-CN"/>
        </w:rPr>
        <w:t xml:space="preserve"> 3: </w:t>
      </w:r>
      <w:r w:rsidRPr="008F12F5">
        <w:rPr>
          <w:rFonts w:eastAsiaTheme="minorEastAsia"/>
          <w:b/>
          <w:snapToGrid w:val="0"/>
          <w:lang w:eastAsia="zh-CN"/>
        </w:rPr>
        <w:t>民间社会和私营部门的参与</w:t>
      </w:r>
    </w:p>
    <w:p w:rsidR="008F12F5" w:rsidRPr="00707179" w:rsidRDefault="008F12F5" w:rsidP="00703807">
      <w:pPr>
        <w:suppressLineNumbers/>
        <w:tabs>
          <w:tab w:val="left" w:pos="1440"/>
        </w:tabs>
        <w:suppressAutoHyphens/>
        <w:adjustRightInd w:val="0"/>
        <w:snapToGrid w:val="0"/>
        <w:ind w:firstLine="0"/>
        <w:rPr>
          <w:rFonts w:ascii="KaiTi" w:eastAsia="KaiTi" w:hAnsi="KaiTi" w:cs="SimSun"/>
          <w:kern w:val="22"/>
          <w:lang w:eastAsia="zh-CN"/>
        </w:rPr>
      </w:pPr>
      <w:r w:rsidRPr="00707179">
        <w:rPr>
          <w:rFonts w:ascii="KaiTi" w:eastAsia="KaiTi" w:hAnsi="KaiTi" w:cs="SimSun"/>
          <w:kern w:val="22"/>
          <w:lang w:eastAsia="zh-CN"/>
        </w:rPr>
        <w:t>业务目标</w:t>
      </w:r>
    </w:p>
    <w:p w:rsidR="008F12F5" w:rsidRPr="008F12F5" w:rsidRDefault="008F12F5" w:rsidP="00703807">
      <w:pPr>
        <w:suppressAutoHyphens/>
        <w:adjustRightInd w:val="0"/>
        <w:snapToGrid w:val="0"/>
        <w:ind w:firstLine="0"/>
        <w:rPr>
          <w:rFonts w:eastAsiaTheme="minorEastAsia"/>
          <w:snapToGrid w:val="0"/>
          <w:lang w:eastAsia="zh-CN"/>
        </w:rPr>
      </w:pPr>
      <w:r w:rsidRPr="008F12F5">
        <w:rPr>
          <w:rFonts w:eastAsiaTheme="minorEastAsia"/>
          <w:snapToGrid w:val="0"/>
          <w:kern w:val="22"/>
          <w:lang w:eastAsia="zh-CN"/>
        </w:rPr>
        <w:t>促进公共和私营部门教育，提高这些部门对授粉媒介及其生境价值的认识，改进决策工具，采取实际行动降低和防止授粉媒介的减少。</w:t>
      </w:r>
    </w:p>
    <w:p w:rsidR="008F12F5" w:rsidRPr="00707179" w:rsidRDefault="008F12F5" w:rsidP="00703807">
      <w:pPr>
        <w:suppressLineNumbers/>
        <w:tabs>
          <w:tab w:val="left" w:pos="1440"/>
        </w:tabs>
        <w:suppressAutoHyphens/>
        <w:adjustRightInd w:val="0"/>
        <w:snapToGrid w:val="0"/>
        <w:ind w:firstLine="0"/>
        <w:rPr>
          <w:rFonts w:ascii="KaiTi" w:eastAsia="KaiTi" w:hAnsi="KaiTi" w:cs="SimSun"/>
          <w:kern w:val="22"/>
          <w:lang w:eastAsia="zh-CN"/>
        </w:rPr>
      </w:pPr>
      <w:r w:rsidRPr="00707179">
        <w:rPr>
          <w:rFonts w:ascii="KaiTi" w:eastAsia="KaiTi" w:hAnsi="KaiTi" w:cs="SimSun"/>
          <w:kern w:val="22"/>
          <w:lang w:eastAsia="zh-CN"/>
        </w:rPr>
        <w:t>理论依据</w:t>
      </w:r>
    </w:p>
    <w:p w:rsidR="008F12F5" w:rsidRPr="008F12F5" w:rsidRDefault="008F12F5" w:rsidP="00703807">
      <w:pPr>
        <w:suppressLineNumbers/>
        <w:suppressAutoHyphens/>
        <w:adjustRightInd w:val="0"/>
        <w:snapToGrid w:val="0"/>
        <w:ind w:firstLine="0"/>
        <w:rPr>
          <w:rFonts w:eastAsiaTheme="minorEastAsia"/>
          <w:snapToGrid w:val="0"/>
          <w:kern w:val="22"/>
          <w:lang w:eastAsia="zh-CN"/>
        </w:rPr>
      </w:pPr>
      <w:r w:rsidRPr="008F12F5">
        <w:rPr>
          <w:rFonts w:eastAsiaTheme="minorEastAsia"/>
          <w:snapToGrid w:val="0"/>
          <w:lang w:eastAsia="zh-CN"/>
        </w:rPr>
        <w:t>全球农业越来越依赖授粉媒介，这种依赖大多与野生授粉媒介有关。大众和私营部门，包括食品和化妆品行业以及供应</w:t>
      </w:r>
      <w:r w:rsidRPr="008F12F5">
        <w:rPr>
          <w:rFonts w:eastAsiaTheme="minorEastAsia"/>
          <w:snapToGrid w:val="0"/>
          <w:spacing w:val="-20"/>
          <w:lang w:eastAsia="zh-CN"/>
        </w:rPr>
        <w:t>链管理部门，对保护授粉媒介表现出越来越大的兴趣。在此基础上</w:t>
      </w:r>
      <w:r w:rsidRPr="008F12F5">
        <w:rPr>
          <w:rFonts w:eastAsiaTheme="minorEastAsia"/>
          <w:snapToGrid w:val="0"/>
          <w:lang w:eastAsia="zh-CN"/>
        </w:rPr>
        <w:t>，需要为民间社会和私营部门详细设计保护授粉媒介及其生境的具有针对性的行动。加深对授粉服务易受损失以及对这些功能和服务的价值的了解，将有助于推动此类举措</w:t>
      </w:r>
      <w:r w:rsidRPr="008F12F5">
        <w:rPr>
          <w:rFonts w:eastAsiaTheme="minorEastAsia"/>
          <w:lang w:eastAsia="zh-CN"/>
        </w:rPr>
        <w:t>。</w:t>
      </w:r>
    </w:p>
    <w:p w:rsidR="008F12F5" w:rsidRPr="002922B2" w:rsidRDefault="008F12F5" w:rsidP="00703807">
      <w:pPr>
        <w:suppressAutoHyphens/>
        <w:adjustRightInd w:val="0"/>
        <w:snapToGrid w:val="0"/>
        <w:ind w:firstLine="0"/>
        <w:rPr>
          <w:rFonts w:ascii="KaiTi" w:eastAsia="KaiTi" w:hAnsi="KaiTi"/>
          <w:snapToGrid w:val="0"/>
          <w:lang w:eastAsia="zh-CN"/>
        </w:rPr>
      </w:pPr>
      <w:r w:rsidRPr="002922B2">
        <w:rPr>
          <w:rFonts w:ascii="KaiTi" w:eastAsia="KaiTi" w:hAnsi="KaiTi" w:hint="eastAsia"/>
          <w:snapToGrid w:val="0"/>
          <w:lang w:eastAsia="zh-CN"/>
        </w:rPr>
        <w:t>活动</w:t>
      </w:r>
    </w:p>
    <w:p w:rsidR="008F12F5" w:rsidRPr="0043772A" w:rsidRDefault="008F12F5" w:rsidP="00703807">
      <w:pPr>
        <w:suppressAutoHyphens/>
        <w:adjustRightInd w:val="0"/>
        <w:snapToGrid w:val="0"/>
        <w:ind w:firstLine="0"/>
        <w:rPr>
          <w:rFonts w:eastAsiaTheme="minorEastAsia"/>
          <w:b/>
          <w:lang w:eastAsia="de-DE"/>
        </w:rPr>
      </w:pPr>
      <w:r w:rsidRPr="0043772A">
        <w:rPr>
          <w:rFonts w:eastAsiaTheme="minorEastAsia"/>
          <w:b/>
          <w:lang w:eastAsia="de-DE"/>
        </w:rPr>
        <w:t>A3.1</w:t>
      </w:r>
      <w:r w:rsidRPr="0043772A">
        <w:rPr>
          <w:rFonts w:eastAsiaTheme="minorEastAsia"/>
          <w:b/>
          <w:lang w:eastAsia="de-DE"/>
        </w:rPr>
        <w:t>提高公众</w:t>
      </w:r>
      <w:r w:rsidRPr="0043772A">
        <w:rPr>
          <w:rFonts w:eastAsiaTheme="minorEastAsia"/>
          <w:b/>
          <w:lang w:eastAsia="zh-CN"/>
        </w:rPr>
        <w:t>认识</w:t>
      </w:r>
    </w:p>
    <w:p w:rsidR="008F12F5" w:rsidRPr="0043772A" w:rsidRDefault="008F12F5" w:rsidP="00703807">
      <w:pPr>
        <w:suppressAutoHyphens/>
        <w:adjustRightInd w:val="0"/>
        <w:snapToGrid w:val="0"/>
        <w:ind w:firstLine="0"/>
        <w:rPr>
          <w:rFonts w:eastAsiaTheme="minorEastAsia"/>
          <w:lang w:eastAsia="zh-CN"/>
        </w:rPr>
      </w:pPr>
      <w:r w:rsidRPr="0043772A">
        <w:rPr>
          <w:rFonts w:eastAsiaTheme="minorEastAsia"/>
          <w:b/>
          <w:lang w:eastAsia="de-DE"/>
        </w:rPr>
        <w:t>A.3.1.1</w:t>
      </w:r>
      <w:r w:rsidRPr="0043772A">
        <w:rPr>
          <w:rFonts w:eastAsiaTheme="minorEastAsia"/>
          <w:snapToGrid w:val="0"/>
          <w:kern w:val="22"/>
          <w:lang w:eastAsia="zh-CN"/>
        </w:rPr>
        <w:t>促使农民、</w:t>
      </w:r>
      <w:r>
        <w:rPr>
          <w:rFonts w:eastAsiaTheme="minorEastAsia"/>
          <w:snapToGrid w:val="0"/>
          <w:kern w:val="22"/>
          <w:lang w:eastAsia="zh-CN"/>
        </w:rPr>
        <w:t>推广人员、养蜂人、非政府组织、学校、大众媒体和消费者组织等特定</w:t>
      </w:r>
      <w:r w:rsidRPr="0043772A">
        <w:rPr>
          <w:rFonts w:eastAsiaTheme="minorEastAsia"/>
          <w:snapToGrid w:val="0"/>
          <w:kern w:val="22"/>
          <w:lang w:eastAsia="zh-CN"/>
        </w:rPr>
        <w:t>主要利益相关群体参与提高认识活动，了解授粉媒介和授粉对健康、福祉和生计的价值</w:t>
      </w:r>
      <w:r w:rsidRPr="0043772A">
        <w:rPr>
          <w:rFonts w:eastAsiaTheme="minorEastAsia"/>
          <w:lang w:eastAsia="zh-CN"/>
        </w:rPr>
        <w:t>；</w:t>
      </w:r>
    </w:p>
    <w:p w:rsidR="008F12F5" w:rsidRPr="0043772A" w:rsidRDefault="008F12F5" w:rsidP="00703807">
      <w:pPr>
        <w:suppressAutoHyphens/>
        <w:adjustRightInd w:val="0"/>
        <w:snapToGrid w:val="0"/>
        <w:ind w:firstLine="0"/>
        <w:rPr>
          <w:rFonts w:eastAsiaTheme="minorEastAsia"/>
          <w:lang w:eastAsia="zh-CN"/>
        </w:rPr>
      </w:pPr>
      <w:r w:rsidRPr="0043772A">
        <w:rPr>
          <w:rFonts w:eastAsiaTheme="minorEastAsia"/>
          <w:b/>
          <w:lang w:eastAsia="de-DE"/>
        </w:rPr>
        <w:t>A.3.1.2</w:t>
      </w:r>
      <w:r w:rsidRPr="0043772A">
        <w:rPr>
          <w:rFonts w:eastAsiaTheme="minorEastAsia"/>
          <w:snapToGrid w:val="0"/>
          <w:kern w:val="22"/>
          <w:lang w:eastAsia="zh-CN"/>
        </w:rPr>
        <w:t>提高</w:t>
      </w:r>
      <w:r>
        <w:rPr>
          <w:rFonts w:eastAsiaTheme="minorEastAsia" w:hint="eastAsia"/>
          <w:snapToGrid w:val="0"/>
          <w:kern w:val="22"/>
          <w:lang w:eastAsia="zh-CN"/>
        </w:rPr>
        <w:t>私人部门</w:t>
      </w:r>
      <w:r>
        <w:rPr>
          <w:rFonts w:eastAsiaTheme="minorEastAsia"/>
          <w:snapToGrid w:val="0"/>
          <w:kern w:val="22"/>
          <w:lang w:eastAsia="zh-CN"/>
        </w:rPr>
        <w:t>包括</w:t>
      </w:r>
      <w:r w:rsidRPr="0043772A">
        <w:rPr>
          <w:rFonts w:eastAsiaTheme="minorEastAsia"/>
          <w:snapToGrid w:val="0"/>
          <w:kern w:val="22"/>
          <w:lang w:eastAsia="zh-CN"/>
        </w:rPr>
        <w:t>食品公司、化妆品制造商和供应链管理部门对授粉功能和服务减少对其业务带来的风险以及保护授粉媒介产生的价值的认识</w:t>
      </w:r>
      <w:r w:rsidRPr="0043772A">
        <w:rPr>
          <w:rFonts w:eastAsiaTheme="minorEastAsia"/>
          <w:lang w:eastAsia="zh-CN"/>
        </w:rPr>
        <w:t>；</w:t>
      </w:r>
    </w:p>
    <w:p w:rsidR="008F12F5" w:rsidRPr="0043772A" w:rsidRDefault="008F12F5" w:rsidP="00703807">
      <w:pPr>
        <w:suppressAutoHyphens/>
        <w:adjustRightInd w:val="0"/>
        <w:snapToGrid w:val="0"/>
        <w:ind w:firstLine="0"/>
        <w:rPr>
          <w:rFonts w:eastAsiaTheme="minorEastAsia"/>
          <w:b/>
          <w:lang w:eastAsia="de-DE"/>
        </w:rPr>
      </w:pPr>
      <w:r w:rsidRPr="0043772A">
        <w:rPr>
          <w:rFonts w:eastAsiaTheme="minorEastAsia"/>
          <w:b/>
          <w:lang w:eastAsia="de-DE"/>
        </w:rPr>
        <w:t>A.3.1.3</w:t>
      </w:r>
      <w:r w:rsidRPr="0043772A">
        <w:rPr>
          <w:rFonts w:eastAsiaTheme="minorEastAsia"/>
          <w:snapToGrid w:val="0"/>
          <w:kern w:val="22"/>
          <w:lang w:eastAsia="zh-CN"/>
        </w:rPr>
        <w:t>促进大众包括农民和养蜂人应用技术和建立生物分类能力，以识别和区分授粉媒介和有害生物，最终有助于授粉媒介的数据收集</w:t>
      </w:r>
      <w:r w:rsidRPr="0043772A">
        <w:rPr>
          <w:rFonts w:eastAsiaTheme="minorEastAsia"/>
          <w:lang w:eastAsia="zh-CN"/>
        </w:rPr>
        <w:t>；</w:t>
      </w:r>
    </w:p>
    <w:p w:rsidR="008F12F5" w:rsidRPr="0043772A" w:rsidRDefault="008F12F5" w:rsidP="00703807">
      <w:pPr>
        <w:suppressAutoHyphens/>
        <w:adjustRightInd w:val="0"/>
        <w:snapToGrid w:val="0"/>
        <w:ind w:firstLine="0"/>
        <w:rPr>
          <w:rFonts w:eastAsiaTheme="minorEastAsia"/>
          <w:lang w:eastAsia="de-DE"/>
        </w:rPr>
      </w:pPr>
      <w:r w:rsidRPr="0043772A">
        <w:rPr>
          <w:rFonts w:eastAsiaTheme="minorEastAsia"/>
          <w:b/>
          <w:lang w:eastAsia="de-DE"/>
        </w:rPr>
        <w:t xml:space="preserve">A.3.1.4 </w:t>
      </w:r>
      <w:r w:rsidRPr="0043772A">
        <w:rPr>
          <w:rFonts w:eastAsiaTheme="minorEastAsia"/>
          <w:lang w:eastAsia="de-DE"/>
        </w:rPr>
        <w:t>支持促进</w:t>
      </w:r>
      <w:r>
        <w:rPr>
          <w:rFonts w:eastAsiaTheme="minorEastAsia"/>
          <w:lang w:eastAsia="de-DE"/>
        </w:rPr>
        <w:t>利益攸关方</w:t>
      </w:r>
      <w:r w:rsidRPr="0043772A">
        <w:rPr>
          <w:rFonts w:eastAsiaTheme="minorEastAsia"/>
          <w:lang w:eastAsia="de-DE"/>
        </w:rPr>
        <w:t>参与保护和可持续利用授粉媒介的运动和活动，包括联合</w:t>
      </w:r>
      <w:r w:rsidRPr="0043772A">
        <w:rPr>
          <w:rFonts w:eastAsiaTheme="minorEastAsia"/>
          <w:snapToGrid w:val="0"/>
          <w:kern w:val="22"/>
          <w:lang w:eastAsia="zh-CN"/>
        </w:rPr>
        <w:t>国大会规定的</w:t>
      </w:r>
      <w:r w:rsidRPr="0043772A">
        <w:rPr>
          <w:rFonts w:eastAsiaTheme="minorEastAsia"/>
          <w:snapToGrid w:val="0"/>
          <w:kern w:val="22"/>
          <w:lang w:eastAsia="zh-CN"/>
        </w:rPr>
        <w:t>5</w:t>
      </w:r>
      <w:r w:rsidRPr="0043772A">
        <w:rPr>
          <w:rFonts w:eastAsiaTheme="minorEastAsia"/>
          <w:snapToGrid w:val="0"/>
          <w:kern w:val="22"/>
          <w:lang w:eastAsia="zh-CN"/>
        </w:rPr>
        <w:t>月</w:t>
      </w:r>
      <w:r w:rsidRPr="0043772A">
        <w:rPr>
          <w:rFonts w:eastAsiaTheme="minorEastAsia"/>
          <w:snapToGrid w:val="0"/>
          <w:kern w:val="22"/>
          <w:lang w:eastAsia="zh-CN"/>
        </w:rPr>
        <w:t>20</w:t>
      </w:r>
      <w:r w:rsidRPr="0043772A">
        <w:rPr>
          <w:rFonts w:eastAsiaTheme="minorEastAsia"/>
          <w:snapToGrid w:val="0"/>
          <w:kern w:val="22"/>
          <w:lang w:eastAsia="zh-CN"/>
        </w:rPr>
        <w:t>日世界蜜蜂日的纪念活动。</w:t>
      </w:r>
      <w:r w:rsidRPr="007E192A">
        <w:rPr>
          <w:rStyle w:val="FootnoteReference"/>
          <w:rFonts w:eastAsiaTheme="minorEastAsia"/>
          <w:vertAlign w:val="superscript"/>
          <w:lang w:eastAsia="de-DE"/>
        </w:rPr>
        <w:footnoteReference w:id="91"/>
      </w:r>
      <w:r w:rsidRPr="007E192A">
        <w:rPr>
          <w:rFonts w:eastAsiaTheme="minorEastAsia"/>
          <w:snapToGrid w:val="0"/>
          <w:kern w:val="22"/>
          <w:vertAlign w:val="superscript"/>
          <w:lang w:eastAsia="zh-CN"/>
        </w:rPr>
        <w:t xml:space="preserve"> </w:t>
      </w:r>
    </w:p>
    <w:p w:rsidR="008F12F5" w:rsidRPr="0043772A" w:rsidRDefault="008F12F5" w:rsidP="00703807">
      <w:pPr>
        <w:suppressAutoHyphens/>
        <w:adjustRightInd w:val="0"/>
        <w:snapToGrid w:val="0"/>
        <w:ind w:firstLine="0"/>
        <w:rPr>
          <w:rFonts w:eastAsiaTheme="minorEastAsia"/>
          <w:b/>
          <w:lang w:eastAsia="de-DE"/>
        </w:rPr>
      </w:pPr>
      <w:r w:rsidRPr="0043772A">
        <w:rPr>
          <w:rFonts w:eastAsiaTheme="minorEastAsia"/>
          <w:b/>
          <w:lang w:eastAsia="de-DE"/>
        </w:rPr>
        <w:t>A3.2</w:t>
      </w:r>
      <w:r>
        <w:rPr>
          <w:rFonts w:eastAsiaTheme="minorEastAsia" w:hint="eastAsia"/>
          <w:b/>
          <w:lang w:eastAsia="zh-CN"/>
        </w:rPr>
        <w:t>公众</w:t>
      </w:r>
      <w:r w:rsidRPr="0043772A">
        <w:rPr>
          <w:rFonts w:eastAsiaTheme="minorEastAsia"/>
          <w:b/>
          <w:lang w:eastAsia="zh-CN"/>
        </w:rPr>
        <w:t>行动</w:t>
      </w:r>
    </w:p>
    <w:p w:rsidR="008F12F5" w:rsidRPr="0043772A" w:rsidRDefault="008F12F5" w:rsidP="00703807">
      <w:pPr>
        <w:suppressAutoHyphens/>
        <w:adjustRightInd w:val="0"/>
        <w:snapToGrid w:val="0"/>
        <w:ind w:firstLine="0"/>
        <w:rPr>
          <w:rFonts w:eastAsiaTheme="minorEastAsia"/>
          <w:lang w:eastAsia="zh-CN"/>
        </w:rPr>
      </w:pPr>
      <w:r w:rsidRPr="0043772A">
        <w:rPr>
          <w:rFonts w:eastAsiaTheme="minorEastAsia"/>
          <w:b/>
          <w:lang w:eastAsia="de-DE"/>
        </w:rPr>
        <w:lastRenderedPageBreak/>
        <w:t>A.3.2.1</w:t>
      </w:r>
      <w:r w:rsidRPr="0043772A">
        <w:rPr>
          <w:rFonts w:eastAsiaTheme="minorEastAsia"/>
          <w:snapToGrid w:val="0"/>
          <w:kern w:val="22"/>
          <w:lang w:eastAsia="zh-CN"/>
        </w:rPr>
        <w:t>促进儿童和学生的教育活动，使其认识授粉媒介和生态系统功能及服务在日常生活中的重要性，并提出促进保护授粉媒介的方法；</w:t>
      </w:r>
    </w:p>
    <w:p w:rsidR="008F12F5" w:rsidRPr="0043772A" w:rsidRDefault="008F12F5" w:rsidP="00703807">
      <w:pPr>
        <w:suppressAutoHyphens/>
        <w:adjustRightInd w:val="0"/>
        <w:snapToGrid w:val="0"/>
        <w:ind w:firstLine="0"/>
        <w:rPr>
          <w:rFonts w:eastAsiaTheme="minorEastAsia"/>
          <w:lang w:eastAsia="zh-CN"/>
        </w:rPr>
      </w:pPr>
      <w:r w:rsidRPr="0043772A">
        <w:rPr>
          <w:rFonts w:eastAsiaTheme="minorEastAsia"/>
          <w:b/>
          <w:lang w:eastAsia="de-DE"/>
        </w:rPr>
        <w:t>A.3.2.2</w:t>
      </w:r>
      <w:r w:rsidRPr="0043772A">
        <w:rPr>
          <w:rFonts w:eastAsiaTheme="minorEastAsia"/>
          <w:snapToGrid w:val="0"/>
          <w:kern w:val="22"/>
          <w:lang w:eastAsia="zh-CN"/>
        </w:rPr>
        <w:t>将授粉媒介及生态系统功能和服务主题纳入农业、环境和经济课程；</w:t>
      </w:r>
    </w:p>
    <w:p w:rsidR="008F12F5" w:rsidRPr="0043772A" w:rsidRDefault="008F12F5" w:rsidP="00703807">
      <w:pPr>
        <w:suppressAutoHyphens/>
        <w:adjustRightInd w:val="0"/>
        <w:snapToGrid w:val="0"/>
        <w:ind w:firstLine="0"/>
        <w:rPr>
          <w:rFonts w:eastAsiaTheme="minorEastAsia"/>
          <w:lang w:eastAsia="zh-CN"/>
        </w:rPr>
      </w:pPr>
      <w:r w:rsidRPr="0043772A">
        <w:rPr>
          <w:rFonts w:eastAsiaTheme="minorEastAsia"/>
          <w:b/>
          <w:lang w:eastAsia="de-DE"/>
        </w:rPr>
        <w:t>A.3.2.3</w:t>
      </w:r>
      <w:r w:rsidRPr="0043772A">
        <w:rPr>
          <w:rFonts w:eastAsiaTheme="minorEastAsia"/>
          <w:snapToGrid w:val="0"/>
          <w:kern w:val="22"/>
          <w:lang w:eastAsia="zh-CN"/>
        </w:rPr>
        <w:t>支持公民科学项目，以生成授粉媒介和授粉数据并提高民间社会组织对授粉媒介作用的认识</w:t>
      </w:r>
      <w:r w:rsidRPr="0043772A">
        <w:rPr>
          <w:rFonts w:eastAsiaTheme="minorEastAsia"/>
          <w:lang w:eastAsia="zh-CN"/>
        </w:rPr>
        <w:t>；</w:t>
      </w:r>
    </w:p>
    <w:p w:rsidR="008F12F5" w:rsidRPr="0043772A" w:rsidRDefault="008F12F5" w:rsidP="00703807">
      <w:pPr>
        <w:suppressAutoHyphens/>
        <w:adjustRightInd w:val="0"/>
        <w:snapToGrid w:val="0"/>
        <w:ind w:firstLine="0"/>
        <w:rPr>
          <w:rFonts w:eastAsiaTheme="minorEastAsia"/>
          <w:lang w:eastAsia="zh-CN"/>
        </w:rPr>
      </w:pPr>
      <w:r w:rsidRPr="0043772A">
        <w:rPr>
          <w:rFonts w:eastAsiaTheme="minorEastAsia"/>
          <w:b/>
          <w:lang w:eastAsia="de-DE"/>
        </w:rPr>
        <w:t>A.3.2.4</w:t>
      </w:r>
      <w:r w:rsidRPr="0043772A">
        <w:rPr>
          <w:rFonts w:eastAsiaTheme="minorEastAsia"/>
          <w:snapToGrid w:val="0"/>
          <w:kern w:val="22"/>
          <w:lang w:eastAsia="zh-CN"/>
        </w:rPr>
        <w:t>鼓励开展网络建设活动，包括举行会议、</w:t>
      </w:r>
      <w:r w:rsidRPr="007E192A">
        <w:rPr>
          <w:rStyle w:val="FootnoteReference"/>
          <w:rFonts w:eastAsiaTheme="minorEastAsia"/>
          <w:vertAlign w:val="superscript"/>
          <w:lang w:eastAsia="de-DE"/>
        </w:rPr>
        <w:footnoteReference w:id="92"/>
      </w:r>
      <w:r w:rsidRPr="007E192A">
        <w:rPr>
          <w:rStyle w:val="FootnoteReference"/>
          <w:vertAlign w:val="superscript"/>
          <w:lang w:eastAsia="de-DE"/>
        </w:rPr>
        <w:t xml:space="preserve"> </w:t>
      </w:r>
      <w:r>
        <w:rPr>
          <w:rFonts w:eastAsiaTheme="minorEastAsia"/>
          <w:snapToGrid w:val="0"/>
          <w:kern w:val="22"/>
          <w:lang w:eastAsia="zh-CN"/>
        </w:rPr>
        <w:t>通过</w:t>
      </w:r>
      <w:r>
        <w:rPr>
          <w:rFonts w:eastAsiaTheme="minorEastAsia" w:hint="eastAsia"/>
          <w:snapToGrid w:val="0"/>
          <w:kern w:val="22"/>
          <w:lang w:eastAsia="zh-CN"/>
        </w:rPr>
        <w:t>有助于影响</w:t>
      </w:r>
      <w:r>
        <w:rPr>
          <w:rFonts w:eastAsiaTheme="minorEastAsia"/>
          <w:snapToGrid w:val="0"/>
          <w:kern w:val="22"/>
          <w:lang w:eastAsia="zh-CN"/>
        </w:rPr>
        <w:t>所有相关利益攸关的公共</w:t>
      </w:r>
      <w:r>
        <w:rPr>
          <w:rFonts w:eastAsiaTheme="minorEastAsia" w:hint="eastAsia"/>
          <w:snapToGrid w:val="0"/>
          <w:kern w:val="22"/>
          <w:lang w:eastAsia="zh-CN"/>
        </w:rPr>
        <w:t>数据库</w:t>
      </w:r>
      <w:r w:rsidRPr="0043772A">
        <w:rPr>
          <w:rFonts w:eastAsiaTheme="minorEastAsia"/>
          <w:snapToGrid w:val="0"/>
          <w:kern w:val="22"/>
          <w:lang w:eastAsia="zh-CN"/>
        </w:rPr>
        <w:t>、门户网站、社交媒体和信息网，传播有关授粉媒介和授粉的信息</w:t>
      </w:r>
      <w:r w:rsidRPr="0043772A">
        <w:rPr>
          <w:rFonts w:eastAsiaTheme="minorEastAsia"/>
          <w:b/>
          <w:lang w:eastAsia="zh-CN"/>
        </w:rPr>
        <w:t>。</w:t>
      </w:r>
    </w:p>
    <w:p w:rsidR="008F12F5" w:rsidRPr="0043772A" w:rsidRDefault="008F12F5" w:rsidP="00703807">
      <w:pPr>
        <w:suppressAutoHyphens/>
        <w:adjustRightInd w:val="0"/>
        <w:snapToGrid w:val="0"/>
        <w:ind w:firstLine="0"/>
        <w:rPr>
          <w:rFonts w:eastAsiaTheme="minorEastAsia"/>
          <w:b/>
          <w:lang w:eastAsia="de-DE"/>
        </w:rPr>
      </w:pPr>
      <w:r w:rsidRPr="0043772A">
        <w:rPr>
          <w:rFonts w:eastAsiaTheme="minorEastAsia"/>
          <w:b/>
          <w:lang w:eastAsia="de-DE"/>
        </w:rPr>
        <w:t>A3.3</w:t>
      </w:r>
      <w:r w:rsidRPr="0043772A">
        <w:rPr>
          <w:rFonts w:eastAsiaTheme="minorEastAsia"/>
          <w:b/>
          <w:lang w:eastAsia="zh-CN"/>
        </w:rPr>
        <w:t>企业</w:t>
      </w:r>
      <w:r w:rsidRPr="0043772A">
        <w:rPr>
          <w:rFonts w:eastAsiaTheme="minorEastAsia"/>
          <w:b/>
          <w:lang w:eastAsia="de-DE"/>
        </w:rPr>
        <w:t>和供应链</w:t>
      </w:r>
      <w:r>
        <w:rPr>
          <w:rFonts w:eastAsiaTheme="minorEastAsia" w:hint="eastAsia"/>
          <w:b/>
          <w:lang w:eastAsia="zh-CN"/>
        </w:rPr>
        <w:t>的</w:t>
      </w:r>
      <w:r w:rsidRPr="0043772A">
        <w:rPr>
          <w:rFonts w:eastAsiaTheme="minorEastAsia"/>
          <w:b/>
          <w:lang w:eastAsia="de-DE"/>
        </w:rPr>
        <w:t>参与</w:t>
      </w:r>
    </w:p>
    <w:p w:rsidR="008F12F5" w:rsidRPr="0043772A" w:rsidRDefault="008F12F5" w:rsidP="00703807">
      <w:pPr>
        <w:suppressAutoHyphens/>
        <w:adjustRightInd w:val="0"/>
        <w:snapToGrid w:val="0"/>
        <w:ind w:firstLine="0"/>
        <w:rPr>
          <w:rFonts w:eastAsiaTheme="minorEastAsia"/>
          <w:lang w:eastAsia="zh-CN"/>
        </w:rPr>
      </w:pPr>
      <w:r w:rsidRPr="0043772A">
        <w:rPr>
          <w:rFonts w:eastAsiaTheme="minorEastAsia"/>
          <w:b/>
          <w:lang w:eastAsia="de-DE"/>
        </w:rPr>
        <w:t>A.3.3.1</w:t>
      </w:r>
      <w:r w:rsidRPr="0043772A">
        <w:rPr>
          <w:rFonts w:eastAsiaTheme="minorEastAsia"/>
          <w:snapToGrid w:val="0"/>
          <w:kern w:val="22"/>
          <w:lang w:eastAsia="zh-CN"/>
        </w:rPr>
        <w:t>提供决策工具协助不同</w:t>
      </w:r>
      <w:r>
        <w:rPr>
          <w:rFonts w:eastAsiaTheme="minorEastAsia"/>
          <w:snapToGrid w:val="0"/>
          <w:kern w:val="22"/>
          <w:lang w:eastAsia="zh-CN"/>
        </w:rPr>
        <w:t>利益攸关方</w:t>
      </w:r>
      <w:r>
        <w:rPr>
          <w:rFonts w:eastAsiaTheme="minorEastAsia" w:hint="eastAsia"/>
          <w:snapToGrid w:val="0"/>
          <w:kern w:val="22"/>
          <w:lang w:eastAsia="zh-CN"/>
        </w:rPr>
        <w:t>定出</w:t>
      </w:r>
      <w:r w:rsidRPr="0043772A">
        <w:rPr>
          <w:rFonts w:eastAsiaTheme="minorEastAsia"/>
          <w:snapToGrid w:val="0"/>
          <w:kern w:val="22"/>
          <w:lang w:eastAsia="zh-CN"/>
        </w:rPr>
        <w:t>授粉媒介和授粉</w:t>
      </w:r>
      <w:r>
        <w:rPr>
          <w:rFonts w:eastAsiaTheme="minorEastAsia" w:hint="eastAsia"/>
          <w:snapToGrid w:val="0"/>
          <w:kern w:val="22"/>
          <w:lang w:eastAsia="zh-CN"/>
        </w:rPr>
        <w:t>的</w:t>
      </w:r>
      <w:r w:rsidRPr="0043772A">
        <w:rPr>
          <w:rFonts w:eastAsiaTheme="minorEastAsia"/>
          <w:snapToGrid w:val="0"/>
          <w:kern w:val="22"/>
          <w:lang w:eastAsia="zh-CN"/>
        </w:rPr>
        <w:t>价值，包括非货币价值；</w:t>
      </w:r>
    </w:p>
    <w:p w:rsidR="008F12F5" w:rsidRPr="0043772A" w:rsidRDefault="008F12F5" w:rsidP="00703807">
      <w:pPr>
        <w:suppressAutoHyphens/>
        <w:adjustRightInd w:val="0"/>
        <w:snapToGrid w:val="0"/>
        <w:ind w:firstLine="0"/>
        <w:rPr>
          <w:rFonts w:eastAsiaTheme="minorEastAsia"/>
          <w:lang w:eastAsia="de-DE"/>
        </w:rPr>
      </w:pPr>
      <w:r w:rsidRPr="0043772A">
        <w:rPr>
          <w:rFonts w:eastAsiaTheme="minorEastAsia"/>
          <w:b/>
          <w:lang w:eastAsia="de-DE"/>
        </w:rPr>
        <w:t>A.3.3.2</w:t>
      </w:r>
      <w:r w:rsidRPr="0043772A">
        <w:rPr>
          <w:rFonts w:eastAsiaTheme="minorEastAsia"/>
          <w:snapToGrid w:val="0"/>
          <w:kern w:val="22"/>
          <w:lang w:eastAsia="zh-CN"/>
        </w:rPr>
        <w:t>制定将授粉媒介和授粉纳入农业和粮食生产的实际成本核算</w:t>
      </w:r>
      <w:r>
        <w:rPr>
          <w:rFonts w:eastAsiaTheme="minorEastAsia" w:hint="eastAsia"/>
          <w:snapToGrid w:val="0"/>
          <w:kern w:val="22"/>
          <w:lang w:eastAsia="zh-CN"/>
        </w:rPr>
        <w:t>的</w:t>
      </w:r>
      <w:r>
        <w:rPr>
          <w:rFonts w:eastAsiaTheme="minorEastAsia"/>
          <w:snapToGrid w:val="0"/>
          <w:kern w:val="22"/>
          <w:lang w:eastAsia="zh-CN"/>
        </w:rPr>
        <w:t>模式</w:t>
      </w:r>
      <w:r w:rsidRPr="0043772A">
        <w:rPr>
          <w:rFonts w:eastAsiaTheme="minorEastAsia"/>
          <w:bCs/>
          <w:lang w:eastAsia="zh-CN"/>
        </w:rPr>
        <w:t>；</w:t>
      </w:r>
    </w:p>
    <w:p w:rsidR="008F12F5" w:rsidRPr="00226587" w:rsidRDefault="008F12F5" w:rsidP="00703807">
      <w:pPr>
        <w:suppressAutoHyphens/>
        <w:adjustRightInd w:val="0"/>
        <w:snapToGrid w:val="0"/>
        <w:ind w:firstLine="0"/>
        <w:rPr>
          <w:rFonts w:eastAsiaTheme="minorEastAsia"/>
          <w:lang w:eastAsia="de-DE"/>
        </w:rPr>
      </w:pPr>
      <w:r w:rsidRPr="0043772A">
        <w:rPr>
          <w:rFonts w:eastAsiaTheme="minorEastAsia"/>
          <w:b/>
          <w:snapToGrid w:val="0"/>
          <w:kern w:val="22"/>
          <w:lang w:eastAsia="zh-CN"/>
        </w:rPr>
        <w:t>A.3.3.3</w:t>
      </w:r>
      <w:r w:rsidRPr="00226587">
        <w:rPr>
          <w:rFonts w:eastAsiaTheme="minorEastAsia"/>
          <w:snapToGrid w:val="0"/>
          <w:kern w:val="22"/>
          <w:lang w:eastAsia="zh-CN"/>
        </w:rPr>
        <w:t>加深私营部门对商品和商品对各种授粉媒介</w:t>
      </w:r>
      <w:r>
        <w:rPr>
          <w:rFonts w:eastAsiaTheme="minorEastAsia" w:hint="eastAsia"/>
          <w:snapToGrid w:val="0"/>
          <w:kern w:val="22"/>
          <w:lang w:eastAsia="zh-CN"/>
        </w:rPr>
        <w:t>的</w:t>
      </w:r>
      <w:r w:rsidRPr="00226587">
        <w:rPr>
          <w:rFonts w:eastAsiaTheme="minorEastAsia"/>
          <w:snapToGrid w:val="0"/>
          <w:kern w:val="22"/>
          <w:lang w:eastAsia="zh-CN"/>
        </w:rPr>
        <w:t>依赖性（农作物产量和质量）之间的联系的了解；</w:t>
      </w:r>
    </w:p>
    <w:p w:rsidR="008F12F5" w:rsidRPr="00226587" w:rsidRDefault="008F12F5" w:rsidP="00703807">
      <w:pPr>
        <w:suppressAutoHyphens/>
        <w:adjustRightInd w:val="0"/>
        <w:snapToGrid w:val="0"/>
        <w:ind w:firstLine="0"/>
        <w:rPr>
          <w:rFonts w:eastAsiaTheme="minorEastAsia"/>
          <w:lang w:eastAsia="de-DE"/>
        </w:rPr>
      </w:pPr>
      <w:r w:rsidRPr="00226587">
        <w:rPr>
          <w:rFonts w:eastAsiaTheme="minorEastAsia"/>
          <w:b/>
          <w:snapToGrid w:val="0"/>
          <w:kern w:val="22"/>
          <w:lang w:eastAsia="zh-CN"/>
        </w:rPr>
        <w:t>A.3.3.4</w:t>
      </w:r>
      <w:r w:rsidRPr="00226587">
        <w:rPr>
          <w:rFonts w:eastAsiaTheme="minorEastAsia"/>
          <w:snapToGrid w:val="0"/>
          <w:kern w:val="22"/>
          <w:lang w:eastAsia="zh-CN"/>
        </w:rPr>
        <w:t>分享授粉缺失的证据、经济影响和对生计的影响，</w:t>
      </w:r>
      <w:r>
        <w:rPr>
          <w:rFonts w:eastAsiaTheme="minorEastAsia" w:hint="eastAsia"/>
          <w:snapToGrid w:val="0"/>
          <w:kern w:val="22"/>
          <w:lang w:eastAsia="zh-CN"/>
        </w:rPr>
        <w:t>以</w:t>
      </w:r>
      <w:r w:rsidRPr="00226587">
        <w:rPr>
          <w:rFonts w:eastAsiaTheme="minorEastAsia"/>
          <w:snapToGrid w:val="0"/>
          <w:kern w:val="22"/>
          <w:lang w:eastAsia="zh-CN"/>
        </w:rPr>
        <w:t>支持企业识别潜在风险，开展脆弱性评估，并采取</w:t>
      </w:r>
      <w:r>
        <w:rPr>
          <w:rFonts w:eastAsiaTheme="minorEastAsia"/>
          <w:snapToGrid w:val="0"/>
          <w:kern w:val="22"/>
          <w:lang w:eastAsia="zh-CN"/>
        </w:rPr>
        <w:t>有利于授粉媒介的</w:t>
      </w:r>
      <w:r w:rsidRPr="00226587">
        <w:rPr>
          <w:rFonts w:eastAsiaTheme="minorEastAsia"/>
          <w:snapToGrid w:val="0"/>
          <w:kern w:val="22"/>
          <w:lang w:eastAsia="zh-CN"/>
        </w:rPr>
        <w:t>措施</w:t>
      </w:r>
      <w:r w:rsidRPr="00226587">
        <w:rPr>
          <w:rFonts w:eastAsiaTheme="minorEastAsia"/>
          <w:b/>
          <w:snapToGrid w:val="0"/>
          <w:kern w:val="22"/>
          <w:lang w:eastAsia="zh-CN"/>
        </w:rPr>
        <w:t>；</w:t>
      </w:r>
    </w:p>
    <w:p w:rsidR="008F12F5" w:rsidRPr="00226587" w:rsidRDefault="008F12F5" w:rsidP="00703807">
      <w:pPr>
        <w:suppressAutoHyphens/>
        <w:adjustRightInd w:val="0"/>
        <w:snapToGrid w:val="0"/>
        <w:ind w:firstLine="0"/>
        <w:rPr>
          <w:rFonts w:eastAsiaTheme="minorEastAsia"/>
          <w:lang w:eastAsia="zh-CN"/>
        </w:rPr>
      </w:pPr>
      <w:r w:rsidRPr="00226587">
        <w:rPr>
          <w:rFonts w:eastAsiaTheme="minorEastAsia"/>
          <w:b/>
          <w:snapToGrid w:val="0"/>
          <w:kern w:val="22"/>
          <w:lang w:eastAsia="zh-CN"/>
        </w:rPr>
        <w:t>A.3.3.5</w:t>
      </w:r>
      <w:r w:rsidRPr="00226587">
        <w:rPr>
          <w:rFonts w:eastAsiaTheme="minorEastAsia"/>
          <w:snapToGrid w:val="0"/>
          <w:kern w:val="22"/>
          <w:lang w:eastAsia="zh-CN"/>
        </w:rPr>
        <w:t>开发和分享</w:t>
      </w:r>
      <w:r>
        <w:rPr>
          <w:rFonts w:eastAsiaTheme="minorEastAsia"/>
          <w:snapToGrid w:val="0"/>
          <w:kern w:val="22"/>
          <w:lang w:eastAsia="zh-CN"/>
        </w:rPr>
        <w:t>有利于授粉媒介的</w:t>
      </w:r>
      <w:r w:rsidRPr="00226587">
        <w:rPr>
          <w:rFonts w:eastAsiaTheme="minorEastAsia"/>
          <w:snapToGrid w:val="0"/>
          <w:kern w:val="22"/>
          <w:lang w:eastAsia="zh-CN"/>
        </w:rPr>
        <w:t>业务案例，供采取行动</w:t>
      </w:r>
      <w:r w:rsidRPr="00226587">
        <w:rPr>
          <w:rFonts w:eastAsiaTheme="minorEastAsia"/>
          <w:lang w:eastAsia="zh-CN"/>
        </w:rPr>
        <w:t>；</w:t>
      </w:r>
    </w:p>
    <w:p w:rsidR="008F12F5" w:rsidRPr="00226587" w:rsidRDefault="008F12F5" w:rsidP="00703807">
      <w:pPr>
        <w:suppressAutoHyphens/>
        <w:adjustRightInd w:val="0"/>
        <w:snapToGrid w:val="0"/>
        <w:ind w:firstLine="0"/>
        <w:rPr>
          <w:rFonts w:eastAsiaTheme="minorEastAsia"/>
          <w:b/>
          <w:snapToGrid w:val="0"/>
          <w:kern w:val="22"/>
          <w:lang w:eastAsia="zh-CN"/>
        </w:rPr>
      </w:pPr>
      <w:r w:rsidRPr="00226587">
        <w:rPr>
          <w:rFonts w:eastAsiaTheme="minorEastAsia"/>
          <w:b/>
          <w:snapToGrid w:val="0"/>
          <w:kern w:val="22"/>
          <w:lang w:eastAsia="zh-CN"/>
        </w:rPr>
        <w:t>A.3.3.6</w:t>
      </w:r>
      <w:r>
        <w:rPr>
          <w:rFonts w:eastAsiaTheme="minorEastAsia" w:hint="eastAsia"/>
          <w:snapToGrid w:val="0"/>
          <w:kern w:val="22"/>
          <w:lang w:eastAsia="zh-CN"/>
        </w:rPr>
        <w:t>宣传</w:t>
      </w:r>
      <w:r w:rsidRPr="00226587">
        <w:rPr>
          <w:rFonts w:eastAsiaTheme="minorEastAsia"/>
          <w:snapToGrid w:val="0"/>
          <w:kern w:val="22"/>
          <w:lang w:eastAsia="zh-CN"/>
        </w:rPr>
        <w:t>生态标签</w:t>
      </w:r>
      <w:r>
        <w:rPr>
          <w:rFonts w:eastAsiaTheme="minorEastAsia" w:hint="eastAsia"/>
          <w:snapToGrid w:val="0"/>
          <w:kern w:val="22"/>
          <w:lang w:eastAsia="zh-CN"/>
        </w:rPr>
        <w:t>的</w:t>
      </w:r>
      <w:r>
        <w:rPr>
          <w:rFonts w:eastAsiaTheme="minorEastAsia"/>
          <w:snapToGrid w:val="0"/>
          <w:kern w:val="22"/>
          <w:lang w:eastAsia="zh-CN"/>
        </w:rPr>
        <w:t>使用</w:t>
      </w:r>
      <w:r w:rsidRPr="00226587">
        <w:rPr>
          <w:rFonts w:eastAsiaTheme="minorEastAsia"/>
          <w:snapToGrid w:val="0"/>
          <w:kern w:val="22"/>
          <w:lang w:eastAsia="zh-CN"/>
        </w:rPr>
        <w:t>、标准和消费者作出可能有利于授粉媒介的选择的重要性。</w:t>
      </w:r>
    </w:p>
    <w:p w:rsidR="008F12F5" w:rsidRPr="008F12F5" w:rsidRDefault="008F12F5" w:rsidP="00703807">
      <w:pPr>
        <w:adjustRightInd w:val="0"/>
        <w:ind w:firstLine="0"/>
        <w:jc w:val="center"/>
        <w:rPr>
          <w:rFonts w:eastAsiaTheme="minorEastAsia"/>
          <w:snapToGrid w:val="0"/>
          <w:lang w:eastAsia="zh-CN"/>
        </w:rPr>
      </w:pPr>
      <w:r w:rsidRPr="008F12F5">
        <w:rPr>
          <w:rFonts w:eastAsiaTheme="minorEastAsia"/>
          <w:b/>
          <w:snapToGrid w:val="0"/>
          <w:lang w:eastAsia="zh-CN"/>
        </w:rPr>
        <w:t>构成部分</w:t>
      </w:r>
      <w:r w:rsidRPr="008F12F5">
        <w:rPr>
          <w:rFonts w:eastAsiaTheme="minorEastAsia"/>
          <w:b/>
          <w:snapToGrid w:val="0"/>
          <w:lang w:eastAsia="zh-CN"/>
        </w:rPr>
        <w:t xml:space="preserve">4: </w:t>
      </w:r>
      <w:r w:rsidRPr="008F12F5">
        <w:rPr>
          <w:rFonts w:eastAsiaTheme="minorEastAsia"/>
          <w:b/>
          <w:snapToGrid w:val="0"/>
          <w:lang w:eastAsia="zh-CN"/>
        </w:rPr>
        <w:t>监测、研究和评估</w:t>
      </w:r>
    </w:p>
    <w:p w:rsidR="008F12F5" w:rsidRPr="00707179" w:rsidRDefault="008F12F5" w:rsidP="00703807">
      <w:pPr>
        <w:suppressLineNumbers/>
        <w:tabs>
          <w:tab w:val="left" w:pos="1440"/>
        </w:tabs>
        <w:suppressAutoHyphens/>
        <w:adjustRightInd w:val="0"/>
        <w:snapToGrid w:val="0"/>
        <w:ind w:firstLine="0"/>
        <w:rPr>
          <w:rFonts w:ascii="KaiTi" w:eastAsia="KaiTi" w:hAnsi="KaiTi" w:cs="SimSun"/>
          <w:kern w:val="22"/>
          <w:lang w:eastAsia="zh-CN"/>
        </w:rPr>
      </w:pPr>
      <w:r w:rsidRPr="00707179">
        <w:rPr>
          <w:rFonts w:ascii="KaiTi" w:eastAsia="KaiTi" w:hAnsi="KaiTi" w:cs="SimSun"/>
          <w:kern w:val="22"/>
          <w:lang w:eastAsia="zh-CN"/>
        </w:rPr>
        <w:t>业务目标</w:t>
      </w:r>
    </w:p>
    <w:p w:rsidR="008F12F5" w:rsidRPr="008F12F5" w:rsidRDefault="008F12F5" w:rsidP="00703807">
      <w:pPr>
        <w:widowControl w:val="0"/>
        <w:suppressAutoHyphens/>
        <w:adjustRightInd w:val="0"/>
        <w:snapToGrid w:val="0"/>
        <w:ind w:firstLine="0"/>
        <w:rPr>
          <w:rFonts w:eastAsiaTheme="minorEastAsia"/>
          <w:b/>
          <w:snapToGrid w:val="0"/>
          <w:lang w:eastAsia="zh-CN"/>
        </w:rPr>
      </w:pPr>
      <w:r w:rsidRPr="008F12F5">
        <w:rPr>
          <w:rFonts w:eastAsiaTheme="minorEastAsia"/>
          <w:snapToGrid w:val="0"/>
          <w:lang w:eastAsia="zh-CN"/>
        </w:rPr>
        <w:t>监测和评估各区域授粉媒介、授粉及其生境的现况和趋势，并通过包括促进相关研究等方式弥补知识方面的不足</w:t>
      </w:r>
      <w:r w:rsidRPr="008F12F5">
        <w:rPr>
          <w:rFonts w:eastAsiaTheme="minorEastAsia"/>
          <w:lang w:eastAsia="zh-CN"/>
        </w:rPr>
        <w:t>。</w:t>
      </w:r>
    </w:p>
    <w:p w:rsidR="008F12F5" w:rsidRPr="00707179" w:rsidRDefault="008F12F5" w:rsidP="00703807">
      <w:pPr>
        <w:suppressLineNumbers/>
        <w:tabs>
          <w:tab w:val="left" w:pos="1440"/>
        </w:tabs>
        <w:suppressAutoHyphens/>
        <w:adjustRightInd w:val="0"/>
        <w:snapToGrid w:val="0"/>
        <w:ind w:firstLine="0"/>
        <w:rPr>
          <w:rFonts w:ascii="KaiTi" w:eastAsia="KaiTi" w:hAnsi="KaiTi" w:cs="SimSun"/>
          <w:kern w:val="22"/>
          <w:lang w:eastAsia="zh-CN"/>
        </w:rPr>
      </w:pPr>
      <w:r w:rsidRPr="00707179">
        <w:rPr>
          <w:rFonts w:ascii="KaiTi" w:eastAsia="KaiTi" w:hAnsi="KaiTi" w:cs="SimSun"/>
          <w:kern w:val="22"/>
          <w:lang w:eastAsia="zh-CN"/>
        </w:rPr>
        <w:t>理论依据</w:t>
      </w:r>
    </w:p>
    <w:p w:rsidR="008F12F5" w:rsidRPr="008F12F5" w:rsidRDefault="008F12F5" w:rsidP="00703807">
      <w:pPr>
        <w:widowControl w:val="0"/>
        <w:suppressAutoHyphens/>
        <w:adjustRightInd w:val="0"/>
        <w:snapToGrid w:val="0"/>
        <w:ind w:firstLine="0"/>
        <w:rPr>
          <w:rFonts w:eastAsiaTheme="minorEastAsia"/>
          <w:snapToGrid w:val="0"/>
          <w:lang w:eastAsia="zh-CN"/>
        </w:rPr>
      </w:pPr>
      <w:r w:rsidRPr="008F12F5">
        <w:rPr>
          <w:rFonts w:eastAsiaTheme="minorEastAsia"/>
          <w:bCs/>
          <w:snapToGrid w:val="0"/>
          <w:lang w:eastAsia="zh-CN"/>
        </w:rPr>
        <w:t>有必要对授粉媒介及授粉功能和服务的现状和趋势、保护和可持续利用授粉媒介的措施以及这些措施的成果进行监测和评估，以便为适应性管理提供信息。应鼓励学术和研究机构、相关国际组织和网络在考虑到传统知识的同时，进行进一步研究，</w:t>
      </w:r>
      <w:r w:rsidRPr="008F12F5">
        <w:rPr>
          <w:rFonts w:eastAsiaTheme="minorEastAsia"/>
          <w:snapToGrid w:val="0"/>
          <w:lang w:eastAsia="zh-CN"/>
        </w:rPr>
        <w:t>弥补知识方面的不足</w:t>
      </w:r>
      <w:r w:rsidRPr="008F12F5">
        <w:rPr>
          <w:rFonts w:eastAsiaTheme="minorEastAsia"/>
          <w:bCs/>
          <w:snapToGrid w:val="0"/>
          <w:lang w:eastAsia="zh-CN"/>
        </w:rPr>
        <w:t>和扩大研究范围，把更多种类的授粉媒介涵盖在内，支持全球、区域、国家、国家以下和地方各级进行协调一致的监测工作，并进行相关的能力建设，特别是发展中国家，这些国家</w:t>
      </w:r>
      <w:r w:rsidRPr="008F12F5">
        <w:rPr>
          <w:rFonts w:eastAsiaTheme="minorEastAsia"/>
          <w:bCs/>
          <w:snapToGrid w:val="0"/>
          <w:lang w:eastAsia="zh-CN"/>
        </w:rPr>
        <w:lastRenderedPageBreak/>
        <w:t>迄今很少开展研究和监测方面的工作</w:t>
      </w:r>
      <w:r w:rsidRPr="008F12F5">
        <w:rPr>
          <w:rFonts w:eastAsiaTheme="minorEastAsia"/>
          <w:snapToGrid w:val="0"/>
          <w:lang w:eastAsia="zh-CN"/>
        </w:rPr>
        <w:t>。</w:t>
      </w:r>
    </w:p>
    <w:p w:rsidR="008F12F5" w:rsidRPr="000100AB" w:rsidRDefault="008F12F5" w:rsidP="00703807">
      <w:pPr>
        <w:widowControl w:val="0"/>
        <w:suppressAutoHyphens/>
        <w:adjustRightInd w:val="0"/>
        <w:snapToGrid w:val="0"/>
        <w:ind w:firstLine="0"/>
        <w:rPr>
          <w:rFonts w:ascii="KaiTi" w:eastAsia="KaiTi" w:hAnsi="KaiTi"/>
          <w:snapToGrid w:val="0"/>
          <w:lang w:eastAsia="zh-CN"/>
        </w:rPr>
      </w:pPr>
      <w:r w:rsidRPr="000100AB">
        <w:rPr>
          <w:rFonts w:ascii="KaiTi" w:eastAsia="KaiTi" w:hAnsi="KaiTi" w:hint="eastAsia"/>
          <w:snapToGrid w:val="0"/>
          <w:lang w:eastAsia="zh-CN"/>
        </w:rPr>
        <w:t>活动</w:t>
      </w:r>
    </w:p>
    <w:p w:rsidR="008F12F5" w:rsidRPr="0043772A" w:rsidRDefault="008F12F5" w:rsidP="00703807">
      <w:pPr>
        <w:widowControl w:val="0"/>
        <w:suppressLineNumbers/>
        <w:suppressAutoHyphens/>
        <w:adjustRightInd w:val="0"/>
        <w:snapToGrid w:val="0"/>
        <w:ind w:firstLine="0"/>
        <w:rPr>
          <w:rFonts w:eastAsiaTheme="minorEastAsia"/>
          <w:b/>
          <w:lang w:eastAsia="de-DE"/>
        </w:rPr>
      </w:pPr>
      <w:r w:rsidRPr="0043772A">
        <w:rPr>
          <w:rFonts w:eastAsiaTheme="minorEastAsia"/>
          <w:b/>
          <w:snapToGrid w:val="0"/>
          <w:kern w:val="22"/>
          <w:lang w:eastAsia="zh-CN"/>
        </w:rPr>
        <w:t>A4.1</w:t>
      </w:r>
      <w:r w:rsidRPr="0043772A">
        <w:rPr>
          <w:rFonts w:eastAsiaTheme="minorEastAsia"/>
          <w:b/>
          <w:lang w:eastAsia="zh-CN"/>
        </w:rPr>
        <w:t>监测</w:t>
      </w:r>
    </w:p>
    <w:p w:rsidR="008F12F5" w:rsidRPr="0043772A" w:rsidRDefault="008F12F5" w:rsidP="00703807">
      <w:pPr>
        <w:widowControl w:val="0"/>
        <w:suppressLineNumbers/>
        <w:suppressAutoHyphens/>
        <w:adjustRightInd w:val="0"/>
        <w:snapToGrid w:val="0"/>
        <w:ind w:firstLine="0"/>
        <w:rPr>
          <w:rFonts w:eastAsiaTheme="minorEastAsia"/>
          <w:b/>
          <w:snapToGrid w:val="0"/>
          <w:kern w:val="22"/>
          <w:lang w:eastAsia="zh-CN"/>
        </w:rPr>
      </w:pPr>
      <w:r w:rsidRPr="0043772A">
        <w:rPr>
          <w:rFonts w:eastAsiaTheme="minorEastAsia"/>
          <w:b/>
          <w:snapToGrid w:val="0"/>
          <w:kern w:val="22"/>
          <w:lang w:eastAsia="zh-CN"/>
        </w:rPr>
        <w:t>A.4.1.1</w:t>
      </w:r>
      <w:r w:rsidRPr="0043772A">
        <w:rPr>
          <w:rFonts w:eastAsiaTheme="minorEastAsia"/>
          <w:snapToGrid w:val="0"/>
          <w:kern w:val="22"/>
          <w:lang w:eastAsia="zh-CN"/>
        </w:rPr>
        <w:t>监测授粉媒介的现状和趋势，特别关注目前缺乏数据的那些地区；</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A.4.1.2</w:t>
      </w:r>
      <w:r w:rsidRPr="0043772A">
        <w:rPr>
          <w:rFonts w:eastAsiaTheme="minorEastAsia"/>
          <w:snapToGrid w:val="0"/>
          <w:kern w:val="22"/>
          <w:lang w:eastAsia="zh-CN"/>
        </w:rPr>
        <w:t>量化作物和自然生态系统中授粉缺失的情况，在可行的情况下，特别关注目前缺乏数据的那些地区和农业系统，并应用一致和可比较的规程来确定最有效的干预措施；</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A.4.1.3</w:t>
      </w:r>
      <w:r w:rsidRPr="0043772A">
        <w:rPr>
          <w:rFonts w:eastAsiaTheme="minorEastAsia"/>
          <w:snapToGrid w:val="0"/>
          <w:kern w:val="22"/>
          <w:lang w:eastAsia="zh-CN"/>
        </w:rPr>
        <w:t>监测授粉媒介减少的驱动因素和威胁，以及它们的现况和趋势，以确定授粉媒介减少的可能原因；</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A.4.1.4</w:t>
      </w:r>
      <w:r w:rsidRPr="0043772A">
        <w:rPr>
          <w:rFonts w:eastAsiaTheme="minorEastAsia"/>
          <w:snapToGrid w:val="0"/>
          <w:kern w:val="22"/>
          <w:lang w:eastAsia="zh-CN"/>
        </w:rPr>
        <w:t>监测干预措施对保护授粉媒介及管理授粉功能和服务的</w:t>
      </w:r>
      <w:r>
        <w:rPr>
          <w:rFonts w:eastAsiaTheme="minorEastAsia" w:hint="eastAsia"/>
          <w:snapToGrid w:val="0"/>
          <w:kern w:val="22"/>
          <w:lang w:eastAsia="zh-CN"/>
        </w:rPr>
        <w:t>成效</w:t>
      </w:r>
      <w:r w:rsidRPr="0043772A">
        <w:rPr>
          <w:rFonts w:eastAsiaTheme="minorEastAsia"/>
          <w:snapToGrid w:val="0"/>
          <w:kern w:val="22"/>
          <w:lang w:eastAsia="zh-CN"/>
        </w:rPr>
        <w:t>；</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A.4.1.5</w:t>
      </w:r>
      <w:r w:rsidRPr="0043772A">
        <w:rPr>
          <w:rFonts w:eastAsiaTheme="minorEastAsia"/>
          <w:snapToGrid w:val="0"/>
          <w:kern w:val="22"/>
          <w:lang w:eastAsia="zh-CN"/>
        </w:rPr>
        <w:t>支持使用技术和开发方便用户的工具，如移动应用程序，通过公民科学促进对授粉媒介的监测；</w:t>
      </w:r>
    </w:p>
    <w:p w:rsidR="008F12F5" w:rsidRPr="0043772A" w:rsidRDefault="008F12F5" w:rsidP="00703807">
      <w:pPr>
        <w:suppressLineNumbers/>
        <w:suppressAutoHyphens/>
        <w:adjustRightInd w:val="0"/>
        <w:snapToGrid w:val="0"/>
        <w:ind w:firstLine="0"/>
        <w:rPr>
          <w:rFonts w:eastAsiaTheme="minorEastAsia"/>
          <w:lang w:eastAsia="zh-CN"/>
        </w:rPr>
      </w:pPr>
      <w:r w:rsidRPr="0043772A">
        <w:rPr>
          <w:rFonts w:eastAsiaTheme="minorEastAsia"/>
          <w:b/>
          <w:snapToGrid w:val="0"/>
          <w:kern w:val="22"/>
          <w:lang w:eastAsia="zh-CN"/>
        </w:rPr>
        <w:t>A.4.1.6</w:t>
      </w:r>
      <w:r>
        <w:rPr>
          <w:rFonts w:eastAsiaTheme="minorEastAsia"/>
          <w:snapToGrid w:val="0"/>
          <w:kern w:val="22"/>
          <w:lang w:eastAsia="zh-CN"/>
        </w:rPr>
        <w:t>推动</w:t>
      </w:r>
      <w:r>
        <w:rPr>
          <w:rFonts w:eastAsiaTheme="minorEastAsia" w:hint="eastAsia"/>
          <w:snapToGrid w:val="0"/>
          <w:kern w:val="22"/>
          <w:lang w:eastAsia="zh-CN"/>
        </w:rPr>
        <w:t>将</w:t>
      </w:r>
      <w:r w:rsidRPr="0043772A">
        <w:rPr>
          <w:rFonts w:eastAsiaTheme="minorEastAsia"/>
          <w:snapToGrid w:val="0"/>
          <w:kern w:val="22"/>
          <w:lang w:eastAsia="zh-CN"/>
        </w:rPr>
        <w:t>授粉媒介和授粉作为生物多样性现状、生态系统健康、农业生产力和可持续发展的指标</w:t>
      </w:r>
      <w:r w:rsidRPr="0043772A">
        <w:rPr>
          <w:rFonts w:eastAsiaTheme="minorEastAsia"/>
          <w:lang w:eastAsia="zh-CN"/>
        </w:rPr>
        <w:t>。</w:t>
      </w:r>
    </w:p>
    <w:p w:rsidR="008F12F5" w:rsidRPr="0043772A" w:rsidRDefault="008F12F5" w:rsidP="00703807">
      <w:pPr>
        <w:suppressLineNumbers/>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 xml:space="preserve">A.4.1.7  </w:t>
      </w:r>
      <w:r w:rsidRPr="003628EA">
        <w:rPr>
          <w:rFonts w:eastAsiaTheme="minorEastAsia"/>
          <w:snapToGrid w:val="0"/>
          <w:kern w:val="22"/>
          <w:lang w:eastAsia="zh-CN"/>
        </w:rPr>
        <w:t>促进制定自然生态系统中系统监测授粉媒介的方法，特别是在保护区或对保护和生产性生态系统具有重要意义的地点，以促进在当地一级制定详细的视觉地图</w:t>
      </w:r>
      <w:r>
        <w:rPr>
          <w:rFonts w:eastAsiaTheme="minorEastAsia" w:hint="eastAsia"/>
          <w:snapToGrid w:val="0"/>
          <w:kern w:val="22"/>
          <w:lang w:eastAsia="zh-CN"/>
        </w:rPr>
        <w:t>和随后</w:t>
      </w:r>
      <w:r w:rsidRPr="003628EA">
        <w:rPr>
          <w:rFonts w:eastAsiaTheme="minorEastAsia"/>
          <w:snapToGrid w:val="0"/>
          <w:kern w:val="22"/>
          <w:lang w:eastAsia="zh-CN"/>
        </w:rPr>
        <w:t>进行决策。</w:t>
      </w:r>
    </w:p>
    <w:p w:rsidR="008F12F5" w:rsidRPr="0043772A" w:rsidRDefault="008F12F5" w:rsidP="00703807">
      <w:pPr>
        <w:keepNext/>
        <w:suppressAutoHyphens/>
        <w:adjustRightInd w:val="0"/>
        <w:snapToGrid w:val="0"/>
        <w:ind w:firstLine="0"/>
        <w:rPr>
          <w:rFonts w:eastAsiaTheme="minorEastAsia"/>
          <w:b/>
          <w:lang w:eastAsia="de-DE"/>
        </w:rPr>
      </w:pPr>
      <w:r w:rsidRPr="0043772A">
        <w:rPr>
          <w:rFonts w:eastAsiaTheme="minorEastAsia"/>
          <w:b/>
          <w:snapToGrid w:val="0"/>
          <w:kern w:val="22"/>
          <w:lang w:eastAsia="zh-CN"/>
        </w:rPr>
        <w:t>A4.2</w:t>
      </w:r>
      <w:r w:rsidRPr="0043772A">
        <w:rPr>
          <w:rFonts w:eastAsiaTheme="minorEastAsia"/>
          <w:b/>
          <w:lang w:eastAsia="zh-CN"/>
        </w:rPr>
        <w:t>研究</w:t>
      </w:r>
    </w:p>
    <w:p w:rsidR="008F12F5" w:rsidRPr="0043772A" w:rsidRDefault="008F12F5" w:rsidP="00703807">
      <w:pPr>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A.4.2.1</w:t>
      </w:r>
      <w:r w:rsidRPr="0043772A">
        <w:rPr>
          <w:rFonts w:eastAsiaTheme="minorEastAsia"/>
          <w:snapToGrid w:val="0"/>
          <w:kern w:val="22"/>
          <w:lang w:eastAsia="zh-CN"/>
        </w:rPr>
        <w:t>促进研究自然生态系统中非蜂类群和其他野生授粉媒介物种及其提供的生态系统功能和服务，以便制定适当的管理政策和保护措施；</w:t>
      </w:r>
    </w:p>
    <w:p w:rsidR="008F12F5" w:rsidRPr="0043772A" w:rsidRDefault="008F12F5" w:rsidP="00703807">
      <w:pPr>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A.4.2.2</w:t>
      </w:r>
      <w:r w:rsidRPr="0043772A">
        <w:rPr>
          <w:rFonts w:eastAsiaTheme="minorEastAsia"/>
          <w:snapToGrid w:val="0"/>
          <w:kern w:val="22"/>
          <w:lang w:eastAsia="zh-CN"/>
        </w:rPr>
        <w:t>在农业部门和相关企业进行关于授粉媒介减少造成的社会经济和环境影响的研究，包括参与式研究；</w:t>
      </w:r>
    </w:p>
    <w:p w:rsidR="008F12F5" w:rsidRPr="0043772A" w:rsidRDefault="008F12F5" w:rsidP="00703807">
      <w:pPr>
        <w:suppressAutoHyphens/>
        <w:adjustRightInd w:val="0"/>
        <w:snapToGrid w:val="0"/>
        <w:ind w:firstLine="0"/>
        <w:rPr>
          <w:rFonts w:eastAsiaTheme="minorEastAsia"/>
          <w:snapToGrid w:val="0"/>
          <w:kern w:val="22"/>
          <w:lang w:eastAsia="zh-CN"/>
        </w:rPr>
      </w:pPr>
      <w:r w:rsidRPr="0043772A">
        <w:rPr>
          <w:rFonts w:eastAsiaTheme="minorEastAsia"/>
          <w:b/>
          <w:snapToGrid w:val="0"/>
          <w:kern w:val="22"/>
          <w:lang w:eastAsia="zh-CN"/>
        </w:rPr>
        <w:t>A.4.2.3</w:t>
      </w:r>
      <w:r w:rsidRPr="0043772A">
        <w:rPr>
          <w:rFonts w:eastAsiaTheme="minorEastAsia"/>
          <w:snapToGrid w:val="0"/>
          <w:kern w:val="22"/>
          <w:lang w:eastAsia="zh-CN"/>
        </w:rPr>
        <w:t>促进授粉媒介</w:t>
      </w:r>
      <w:r>
        <w:rPr>
          <w:rFonts w:eastAsiaTheme="minorEastAsia" w:hint="eastAsia"/>
          <w:snapToGrid w:val="0"/>
          <w:kern w:val="22"/>
          <w:lang w:eastAsia="zh-CN"/>
        </w:rPr>
        <w:t>的</w:t>
      </w:r>
      <w:r w:rsidRPr="0043772A">
        <w:rPr>
          <w:rFonts w:eastAsiaTheme="minorEastAsia"/>
          <w:snapToGrid w:val="0"/>
          <w:kern w:val="22"/>
          <w:lang w:eastAsia="zh-CN"/>
        </w:rPr>
        <w:t>样本研究、数据收集、管理和分析、储存和归纳整理规程</w:t>
      </w:r>
      <w:r>
        <w:rPr>
          <w:rFonts w:eastAsiaTheme="minorEastAsia" w:hint="eastAsia"/>
          <w:snapToGrid w:val="0"/>
          <w:kern w:val="22"/>
          <w:lang w:eastAsia="zh-CN"/>
        </w:rPr>
        <w:t>的</w:t>
      </w:r>
      <w:r>
        <w:rPr>
          <w:rFonts w:eastAsiaTheme="minorEastAsia"/>
          <w:snapToGrid w:val="0"/>
          <w:kern w:val="22"/>
          <w:lang w:eastAsia="zh-CN"/>
        </w:rPr>
        <w:t>统一</w:t>
      </w:r>
      <w:r w:rsidRPr="0043772A">
        <w:rPr>
          <w:rFonts w:eastAsiaTheme="minorEastAsia"/>
          <w:snapToGrid w:val="0"/>
          <w:kern w:val="22"/>
          <w:lang w:eastAsia="zh-CN"/>
        </w:rPr>
        <w:t>，包括合作研究模式的统一；</w:t>
      </w:r>
    </w:p>
    <w:p w:rsidR="008F12F5" w:rsidRPr="00226587" w:rsidRDefault="008F12F5" w:rsidP="00703807">
      <w:pPr>
        <w:suppressLineNumbers/>
        <w:suppressAutoHyphens/>
        <w:adjustRightInd w:val="0"/>
        <w:snapToGrid w:val="0"/>
        <w:ind w:firstLine="0"/>
        <w:rPr>
          <w:rFonts w:eastAsiaTheme="minorEastAsia"/>
          <w:snapToGrid w:val="0"/>
          <w:kern w:val="22"/>
          <w:lang w:eastAsia="zh-CN"/>
        </w:rPr>
      </w:pPr>
      <w:r w:rsidRPr="00226587">
        <w:rPr>
          <w:rFonts w:eastAsiaTheme="minorEastAsia"/>
          <w:b/>
          <w:snapToGrid w:val="0"/>
          <w:kern w:val="22"/>
          <w:lang w:eastAsia="zh-CN"/>
        </w:rPr>
        <w:t>A.4.2.4</w:t>
      </w:r>
      <w:r w:rsidRPr="00226587">
        <w:rPr>
          <w:rFonts w:eastAsiaTheme="minorEastAsia"/>
          <w:snapToGrid w:val="0"/>
          <w:kern w:val="22"/>
          <w:lang w:eastAsia="zh-CN"/>
        </w:rPr>
        <w:t>促进和分享进一步的研究，以</w:t>
      </w:r>
      <w:r>
        <w:rPr>
          <w:rFonts w:ascii="SimSun" w:hAnsi="SimSun" w:hint="eastAsia"/>
          <w:snapToGrid w:val="0"/>
          <w:lang w:eastAsia="zh-CN"/>
        </w:rPr>
        <w:t>弥补</w:t>
      </w:r>
      <w:r w:rsidRPr="00413272">
        <w:rPr>
          <w:rFonts w:ascii="SimSun" w:hAnsi="SimSun" w:hint="eastAsia"/>
          <w:snapToGrid w:val="0"/>
          <w:lang w:eastAsia="zh-CN"/>
        </w:rPr>
        <w:t>知识</w:t>
      </w:r>
      <w:r>
        <w:rPr>
          <w:rFonts w:ascii="SimSun" w:hAnsi="SimSun" w:hint="eastAsia"/>
          <w:snapToGrid w:val="0"/>
          <w:lang w:eastAsia="zh-CN"/>
        </w:rPr>
        <w:t>方面的</w:t>
      </w:r>
      <w:r>
        <w:rPr>
          <w:rFonts w:ascii="SimSun" w:hAnsi="SimSun"/>
          <w:snapToGrid w:val="0"/>
          <w:lang w:eastAsia="zh-CN"/>
        </w:rPr>
        <w:t>不足</w:t>
      </w:r>
      <w:r w:rsidRPr="00226587">
        <w:rPr>
          <w:rFonts w:eastAsiaTheme="minorEastAsia"/>
          <w:snapToGrid w:val="0"/>
          <w:kern w:val="22"/>
          <w:lang w:eastAsia="zh-CN"/>
        </w:rPr>
        <w:t>，包括了解传粉媒介部分丧失对作物生产的影响，处理农药（考虑到其可能的累积效应）、改性活生物体在实地条件下的潜在影响，包括对受管理和野生授粉媒介以及对群体和孤立的授粉媒介的不同影响，在不同气候条件下对农作物和非农作物授粉的短期和长期影响，以及授粉媒介损失对生态系统完整性及其维护的影响；</w:t>
      </w:r>
    </w:p>
    <w:p w:rsidR="008F12F5" w:rsidRPr="00226587" w:rsidRDefault="008F12F5" w:rsidP="00703807">
      <w:pPr>
        <w:suppressLineNumbers/>
        <w:suppressAutoHyphens/>
        <w:adjustRightInd w:val="0"/>
        <w:snapToGrid w:val="0"/>
        <w:ind w:firstLine="0"/>
        <w:rPr>
          <w:rFonts w:eastAsiaTheme="minorEastAsia"/>
          <w:snapToGrid w:val="0"/>
          <w:kern w:val="22"/>
          <w:lang w:eastAsia="zh-CN"/>
        </w:rPr>
      </w:pPr>
      <w:r w:rsidRPr="00226587">
        <w:rPr>
          <w:rFonts w:eastAsiaTheme="minorEastAsia"/>
          <w:b/>
          <w:snapToGrid w:val="0"/>
          <w:kern w:val="22"/>
          <w:lang w:eastAsia="zh-CN"/>
        </w:rPr>
        <w:lastRenderedPageBreak/>
        <w:t>A.4.2.5</w:t>
      </w:r>
      <w:r w:rsidRPr="00226587">
        <w:rPr>
          <w:rFonts w:eastAsiaTheme="minorEastAsia"/>
          <w:snapToGrid w:val="0"/>
          <w:kern w:val="22"/>
          <w:lang w:eastAsia="zh-CN"/>
        </w:rPr>
        <w:t>促进</w:t>
      </w:r>
      <w:r>
        <w:rPr>
          <w:rFonts w:eastAsiaTheme="minorEastAsia" w:hint="eastAsia"/>
          <w:snapToGrid w:val="0"/>
          <w:kern w:val="22"/>
          <w:lang w:eastAsia="zh-CN"/>
        </w:rPr>
        <w:t>通过</w:t>
      </w:r>
      <w:r w:rsidRPr="00226587">
        <w:rPr>
          <w:rFonts w:eastAsiaTheme="minorEastAsia"/>
          <w:snapToGrid w:val="0"/>
          <w:kern w:val="22"/>
          <w:lang w:eastAsia="zh-CN"/>
        </w:rPr>
        <w:t>进一步的研究</w:t>
      </w:r>
      <w:r>
        <w:rPr>
          <w:rFonts w:eastAsiaTheme="minorEastAsia" w:hint="eastAsia"/>
          <w:snapToGrid w:val="0"/>
          <w:kern w:val="22"/>
          <w:lang w:eastAsia="zh-CN"/>
        </w:rPr>
        <w:t>，</w:t>
      </w:r>
      <w:r w:rsidRPr="00226587">
        <w:rPr>
          <w:rFonts w:eastAsiaTheme="minorEastAsia"/>
          <w:snapToGrid w:val="0"/>
          <w:kern w:val="22"/>
          <w:lang w:eastAsia="zh-CN"/>
        </w:rPr>
        <w:t>确定如何将</w:t>
      </w:r>
      <w:r>
        <w:rPr>
          <w:rFonts w:eastAsiaTheme="minorEastAsia"/>
          <w:snapToGrid w:val="0"/>
          <w:kern w:val="22"/>
          <w:lang w:eastAsia="zh-CN"/>
        </w:rPr>
        <w:t>有利于授粉媒介的</w:t>
      </w:r>
      <w:r w:rsidRPr="00226587">
        <w:rPr>
          <w:rFonts w:eastAsiaTheme="minorEastAsia"/>
          <w:snapToGrid w:val="0"/>
          <w:kern w:val="22"/>
          <w:lang w:eastAsia="zh-CN"/>
        </w:rPr>
        <w:t>做法纳入农耕制度，作为提高产量和质量以及将生物多样性纳入农业系统主流的努力的一部分；</w:t>
      </w:r>
    </w:p>
    <w:p w:rsidR="008F12F5" w:rsidRPr="00226587" w:rsidRDefault="008F12F5" w:rsidP="00703807">
      <w:pPr>
        <w:suppressLineNumbers/>
        <w:suppressAutoHyphens/>
        <w:adjustRightInd w:val="0"/>
        <w:snapToGrid w:val="0"/>
        <w:ind w:firstLine="0"/>
        <w:rPr>
          <w:rFonts w:eastAsiaTheme="minorEastAsia"/>
          <w:snapToGrid w:val="0"/>
          <w:kern w:val="22"/>
          <w:lang w:eastAsia="zh-CN"/>
        </w:rPr>
      </w:pPr>
      <w:r w:rsidRPr="00226587">
        <w:rPr>
          <w:rFonts w:eastAsiaTheme="minorEastAsia"/>
          <w:b/>
          <w:snapToGrid w:val="0"/>
          <w:kern w:val="22"/>
          <w:lang w:eastAsia="zh-CN"/>
        </w:rPr>
        <w:t>A.4.2.6</w:t>
      </w:r>
      <w:r w:rsidRPr="00226587">
        <w:rPr>
          <w:rFonts w:eastAsiaTheme="minorEastAsia"/>
          <w:snapToGrid w:val="0"/>
          <w:kern w:val="22"/>
          <w:lang w:eastAsia="zh-CN"/>
        </w:rPr>
        <w:t>促进</w:t>
      </w:r>
      <w:r>
        <w:rPr>
          <w:rFonts w:eastAsiaTheme="minorEastAsia" w:hint="eastAsia"/>
          <w:snapToGrid w:val="0"/>
          <w:kern w:val="22"/>
          <w:lang w:eastAsia="zh-CN"/>
        </w:rPr>
        <w:t>通过</w:t>
      </w:r>
      <w:r w:rsidRPr="00226587">
        <w:rPr>
          <w:rFonts w:eastAsiaTheme="minorEastAsia"/>
          <w:snapToGrid w:val="0"/>
          <w:kern w:val="22"/>
          <w:lang w:eastAsia="zh-CN"/>
        </w:rPr>
        <w:t>进一步的研究</w:t>
      </w:r>
      <w:r>
        <w:rPr>
          <w:rFonts w:eastAsiaTheme="minorEastAsia" w:hint="eastAsia"/>
          <w:snapToGrid w:val="0"/>
          <w:kern w:val="22"/>
          <w:lang w:eastAsia="zh-CN"/>
        </w:rPr>
        <w:t>，</w:t>
      </w:r>
      <w:r w:rsidRPr="00226587">
        <w:rPr>
          <w:rFonts w:eastAsiaTheme="minorEastAsia"/>
          <w:snapToGrid w:val="0"/>
          <w:kern w:val="22"/>
          <w:lang w:eastAsia="zh-CN"/>
        </w:rPr>
        <w:t>确定气候变化下授粉的风险和潜在适应措施和缓解工具，包括关键物种及其生境的可能丧失，以及授粉在更广泛的生态系统复原力和恢复方面发挥的作用；</w:t>
      </w:r>
    </w:p>
    <w:p w:rsidR="008F12F5" w:rsidRPr="00226587" w:rsidRDefault="008F12F5" w:rsidP="00703807">
      <w:pPr>
        <w:suppressLineNumbers/>
        <w:suppressAutoHyphens/>
        <w:adjustRightInd w:val="0"/>
        <w:snapToGrid w:val="0"/>
        <w:ind w:firstLine="0"/>
        <w:rPr>
          <w:rFonts w:eastAsiaTheme="minorEastAsia"/>
          <w:color w:val="000080"/>
          <w:lang w:eastAsia="zh-CN"/>
        </w:rPr>
      </w:pPr>
      <w:r w:rsidRPr="00226587">
        <w:rPr>
          <w:rFonts w:eastAsiaTheme="minorEastAsia"/>
          <w:b/>
          <w:snapToGrid w:val="0"/>
          <w:kern w:val="22"/>
          <w:lang w:eastAsia="zh-CN"/>
        </w:rPr>
        <w:t>A.4.2.7</w:t>
      </w:r>
      <w:r>
        <w:rPr>
          <w:rFonts w:eastAsiaTheme="minorEastAsia" w:hint="eastAsia"/>
          <w:snapToGrid w:val="0"/>
          <w:kern w:val="22"/>
          <w:lang w:eastAsia="zh-CN"/>
        </w:rPr>
        <w:t>推动</w:t>
      </w:r>
      <w:r w:rsidRPr="00226587">
        <w:rPr>
          <w:rFonts w:eastAsiaTheme="minorEastAsia"/>
          <w:snapToGrid w:val="0"/>
          <w:kern w:val="22"/>
          <w:lang w:eastAsia="zh-CN"/>
        </w:rPr>
        <w:t>进一步研究和分析虫害管理及其与授粉功能和服务的相互作用，同时考虑到导致授粉媒介减少的驱动因素的影响，支持制定更可行和更可持续的替代办法</w:t>
      </w:r>
      <w:r w:rsidRPr="00226587">
        <w:rPr>
          <w:rFonts w:eastAsiaTheme="minorEastAsia"/>
          <w:color w:val="000080"/>
          <w:lang w:eastAsia="zh-CN"/>
        </w:rPr>
        <w:t>；</w:t>
      </w:r>
    </w:p>
    <w:p w:rsidR="008F12F5" w:rsidRPr="00226587" w:rsidRDefault="008F12F5" w:rsidP="00703807">
      <w:pPr>
        <w:suppressLineNumbers/>
        <w:suppressAutoHyphens/>
        <w:adjustRightInd w:val="0"/>
        <w:snapToGrid w:val="0"/>
        <w:ind w:firstLine="0"/>
        <w:rPr>
          <w:rFonts w:eastAsiaTheme="minorEastAsia"/>
          <w:snapToGrid w:val="0"/>
          <w:kern w:val="22"/>
          <w:lang w:eastAsia="zh-CN"/>
        </w:rPr>
      </w:pPr>
      <w:r w:rsidRPr="00226587">
        <w:rPr>
          <w:rFonts w:eastAsiaTheme="minorEastAsia"/>
          <w:b/>
          <w:snapToGrid w:val="0"/>
          <w:kern w:val="22"/>
          <w:lang w:eastAsia="zh-CN"/>
        </w:rPr>
        <w:t xml:space="preserve">A.4.2.8 </w:t>
      </w:r>
      <w:r w:rsidRPr="00226587">
        <w:rPr>
          <w:rFonts w:eastAsiaTheme="minorEastAsia"/>
          <w:snapToGrid w:val="0"/>
          <w:kern w:val="22"/>
          <w:lang w:eastAsia="zh-CN"/>
        </w:rPr>
        <w:t>促进</w:t>
      </w:r>
      <w:r>
        <w:rPr>
          <w:rFonts w:eastAsiaTheme="minorEastAsia" w:hint="eastAsia"/>
          <w:snapToGrid w:val="0"/>
          <w:kern w:val="22"/>
          <w:lang w:eastAsia="zh-CN"/>
        </w:rPr>
        <w:t>通过</w:t>
      </w:r>
      <w:r w:rsidRPr="00226587">
        <w:rPr>
          <w:rFonts w:eastAsiaTheme="minorEastAsia"/>
          <w:snapToGrid w:val="0"/>
          <w:kern w:val="22"/>
          <w:lang w:eastAsia="zh-CN"/>
        </w:rPr>
        <w:t>进一步的研究和分析，确定在粮食生产之外综合提供生态系统功能和服务以及授粉媒介保护的方法</w:t>
      </w:r>
      <w:r w:rsidRPr="00226587">
        <w:rPr>
          <w:rFonts w:eastAsiaTheme="minorEastAsia"/>
          <w:b/>
          <w:snapToGrid w:val="0"/>
          <w:kern w:val="22"/>
          <w:lang w:eastAsia="zh-CN"/>
        </w:rPr>
        <w:t>；</w:t>
      </w:r>
    </w:p>
    <w:p w:rsidR="008F12F5" w:rsidRPr="00226587" w:rsidRDefault="008F12F5" w:rsidP="00703807">
      <w:pPr>
        <w:suppressAutoHyphens/>
        <w:adjustRightInd w:val="0"/>
        <w:snapToGrid w:val="0"/>
        <w:ind w:firstLine="0"/>
        <w:rPr>
          <w:rFonts w:eastAsiaTheme="minorEastAsia"/>
          <w:snapToGrid w:val="0"/>
          <w:kern w:val="22"/>
          <w:lang w:eastAsia="zh-CN"/>
        </w:rPr>
      </w:pPr>
      <w:r w:rsidRPr="00226587">
        <w:rPr>
          <w:rFonts w:eastAsiaTheme="minorEastAsia"/>
          <w:b/>
          <w:snapToGrid w:val="0"/>
          <w:kern w:val="22"/>
          <w:lang w:eastAsia="zh-CN"/>
        </w:rPr>
        <w:t xml:space="preserve">A.4.29 </w:t>
      </w:r>
      <w:r w:rsidRPr="00226587">
        <w:rPr>
          <w:rFonts w:eastAsiaTheme="minorEastAsia"/>
          <w:snapToGrid w:val="0"/>
          <w:kern w:val="22"/>
          <w:lang w:eastAsia="zh-CN"/>
        </w:rPr>
        <w:t>将授粉媒介研究和调查结果转化为专门为广大</w:t>
      </w:r>
      <w:r>
        <w:rPr>
          <w:rFonts w:eastAsiaTheme="minorEastAsia"/>
          <w:snapToGrid w:val="0"/>
          <w:kern w:val="22"/>
          <w:lang w:eastAsia="zh-CN"/>
        </w:rPr>
        <w:t>利益攸关方</w:t>
      </w:r>
      <w:r w:rsidRPr="00226587">
        <w:rPr>
          <w:rFonts w:eastAsiaTheme="minorEastAsia"/>
          <w:snapToGrid w:val="0"/>
          <w:kern w:val="22"/>
          <w:lang w:eastAsia="zh-CN"/>
        </w:rPr>
        <w:t>群体制定的建议和最佳做法；</w:t>
      </w:r>
    </w:p>
    <w:p w:rsidR="008F12F5" w:rsidRPr="00226587" w:rsidRDefault="008F12F5" w:rsidP="00703807">
      <w:pPr>
        <w:suppressLineNumbers/>
        <w:suppressAutoHyphens/>
        <w:adjustRightInd w:val="0"/>
        <w:snapToGrid w:val="0"/>
        <w:ind w:firstLine="0"/>
        <w:rPr>
          <w:rFonts w:eastAsiaTheme="minorEastAsia"/>
          <w:snapToGrid w:val="0"/>
          <w:kern w:val="22"/>
          <w:lang w:eastAsia="zh-CN"/>
        </w:rPr>
      </w:pPr>
      <w:r w:rsidRPr="00226587">
        <w:rPr>
          <w:rFonts w:eastAsiaTheme="minorEastAsia"/>
          <w:b/>
          <w:snapToGrid w:val="0"/>
          <w:kern w:val="22"/>
          <w:lang w:eastAsia="zh-CN"/>
        </w:rPr>
        <w:t>A.4.2.10</w:t>
      </w:r>
      <w:r w:rsidRPr="00226587">
        <w:rPr>
          <w:rFonts w:eastAsiaTheme="minorEastAsia"/>
          <w:snapToGrid w:val="0"/>
          <w:kern w:val="22"/>
          <w:lang w:eastAsia="zh-CN"/>
        </w:rPr>
        <w:t>加强科学证据、保护做法和农民研究者社区实践与传统知识之间的协同作用，以更好地支持行动</w:t>
      </w:r>
      <w:r w:rsidRPr="00226587">
        <w:rPr>
          <w:rFonts w:eastAsiaTheme="minorEastAsia"/>
          <w:b/>
          <w:lang w:eastAsia="zh-CN"/>
        </w:rPr>
        <w:t>。</w:t>
      </w:r>
    </w:p>
    <w:p w:rsidR="008F12F5" w:rsidRPr="00226587" w:rsidRDefault="008F12F5" w:rsidP="00703807">
      <w:pPr>
        <w:suppressAutoHyphens/>
        <w:adjustRightInd w:val="0"/>
        <w:snapToGrid w:val="0"/>
        <w:ind w:firstLine="0"/>
        <w:rPr>
          <w:rFonts w:eastAsiaTheme="minorEastAsia"/>
          <w:b/>
          <w:lang w:eastAsia="de-DE"/>
        </w:rPr>
      </w:pPr>
      <w:r w:rsidRPr="00226587">
        <w:rPr>
          <w:rFonts w:eastAsiaTheme="minorEastAsia"/>
          <w:b/>
          <w:snapToGrid w:val="0"/>
          <w:kern w:val="22"/>
          <w:lang w:eastAsia="zh-CN"/>
        </w:rPr>
        <w:t>A4.3</w:t>
      </w:r>
      <w:r w:rsidRPr="00226587">
        <w:rPr>
          <w:rFonts w:eastAsiaTheme="minorEastAsia"/>
          <w:b/>
          <w:lang w:eastAsia="zh-CN"/>
        </w:rPr>
        <w:t>评估</w:t>
      </w:r>
    </w:p>
    <w:p w:rsidR="008F12F5" w:rsidRPr="00226587" w:rsidRDefault="008F12F5" w:rsidP="00703807">
      <w:pPr>
        <w:suppressLineNumbers/>
        <w:suppressAutoHyphens/>
        <w:adjustRightInd w:val="0"/>
        <w:snapToGrid w:val="0"/>
        <w:ind w:firstLine="0"/>
        <w:rPr>
          <w:rFonts w:eastAsiaTheme="minorEastAsia"/>
          <w:snapToGrid w:val="0"/>
          <w:kern w:val="22"/>
          <w:lang w:eastAsia="zh-CN"/>
        </w:rPr>
      </w:pPr>
      <w:r w:rsidRPr="00226587">
        <w:rPr>
          <w:rFonts w:eastAsiaTheme="minorEastAsia"/>
          <w:b/>
          <w:snapToGrid w:val="0"/>
          <w:kern w:val="22"/>
          <w:lang w:eastAsia="zh-CN"/>
        </w:rPr>
        <w:t>A.4.3.1</w:t>
      </w:r>
      <w:r w:rsidRPr="003D0585">
        <w:rPr>
          <w:rFonts w:eastAsiaTheme="minorEastAsia"/>
          <w:snapToGrid w:val="0"/>
          <w:kern w:val="22"/>
          <w:lang w:eastAsia="zh-CN"/>
        </w:rPr>
        <w:t>通过永久性授粉媒介监测过程生成数据集，创建能显示授粉媒介和授粉的现况以及特定作物脆弱性的区域</w:t>
      </w:r>
      <w:r w:rsidRPr="00226587">
        <w:rPr>
          <w:rFonts w:eastAsiaTheme="minorEastAsia"/>
          <w:snapToGrid w:val="0"/>
          <w:kern w:val="22"/>
          <w:lang w:eastAsia="zh-CN"/>
        </w:rPr>
        <w:t>/</w:t>
      </w:r>
      <w:r w:rsidRPr="00226587">
        <w:rPr>
          <w:rFonts w:eastAsiaTheme="minorEastAsia"/>
          <w:snapToGrid w:val="0"/>
          <w:kern w:val="22"/>
          <w:lang w:eastAsia="zh-CN"/>
        </w:rPr>
        <w:t>国家</w:t>
      </w:r>
      <w:r w:rsidRPr="00226587">
        <w:rPr>
          <w:rFonts w:eastAsiaTheme="minorEastAsia"/>
          <w:snapToGrid w:val="0"/>
          <w:kern w:val="22"/>
          <w:lang w:eastAsia="zh-CN"/>
        </w:rPr>
        <w:t>/</w:t>
      </w:r>
      <w:r w:rsidRPr="00226587">
        <w:rPr>
          <w:rFonts w:eastAsiaTheme="minorEastAsia"/>
          <w:snapToGrid w:val="0"/>
          <w:kern w:val="22"/>
          <w:lang w:eastAsia="zh-CN"/>
        </w:rPr>
        <w:t>国家以下和地方的详细视觉地图，以支持决策；</w:t>
      </w:r>
    </w:p>
    <w:p w:rsidR="008F12F5" w:rsidRPr="00226587" w:rsidRDefault="008F12F5" w:rsidP="00703807">
      <w:pPr>
        <w:suppressLineNumbers/>
        <w:suppressAutoHyphens/>
        <w:adjustRightInd w:val="0"/>
        <w:snapToGrid w:val="0"/>
        <w:ind w:firstLine="0"/>
        <w:rPr>
          <w:rFonts w:eastAsiaTheme="minorEastAsia"/>
          <w:snapToGrid w:val="0"/>
          <w:kern w:val="22"/>
          <w:lang w:eastAsia="zh-CN"/>
        </w:rPr>
      </w:pPr>
      <w:r w:rsidRPr="00226587">
        <w:rPr>
          <w:rFonts w:eastAsiaTheme="minorEastAsia"/>
          <w:b/>
          <w:snapToGrid w:val="0"/>
          <w:kern w:val="22"/>
          <w:lang w:eastAsia="zh-CN"/>
        </w:rPr>
        <w:t>A.4.3.2</w:t>
      </w:r>
      <w:r w:rsidRPr="00226587">
        <w:rPr>
          <w:rFonts w:eastAsiaTheme="minorEastAsia"/>
          <w:snapToGrid w:val="0"/>
          <w:kern w:val="22"/>
          <w:lang w:eastAsia="zh-CN"/>
        </w:rPr>
        <w:t>评估授粉媒介和授粉的益处，同时考虑到为农业和私营部门，包括食品公司、化妆品制造商和供应链带来的经济价值和其他价值；</w:t>
      </w:r>
    </w:p>
    <w:p w:rsidR="008F12F5" w:rsidRPr="00226587" w:rsidRDefault="008F12F5" w:rsidP="00703807">
      <w:pPr>
        <w:suppressLineNumbers/>
        <w:suppressAutoHyphens/>
        <w:adjustRightInd w:val="0"/>
        <w:snapToGrid w:val="0"/>
        <w:ind w:firstLine="0"/>
        <w:rPr>
          <w:rFonts w:eastAsiaTheme="minorEastAsia"/>
          <w:snapToGrid w:val="0"/>
          <w:kern w:val="22"/>
          <w:lang w:eastAsia="zh-CN"/>
        </w:rPr>
      </w:pPr>
      <w:r w:rsidRPr="00226587">
        <w:rPr>
          <w:rFonts w:eastAsiaTheme="minorEastAsia"/>
          <w:b/>
          <w:snapToGrid w:val="0"/>
          <w:kern w:val="22"/>
          <w:lang w:eastAsia="zh-CN"/>
        </w:rPr>
        <w:t>A.4.3.3</w:t>
      </w:r>
      <w:r w:rsidRPr="00226587">
        <w:rPr>
          <w:rFonts w:eastAsiaTheme="minorEastAsia"/>
          <w:snapToGrid w:val="0"/>
          <w:kern w:val="22"/>
          <w:lang w:eastAsia="zh-CN"/>
        </w:rPr>
        <w:t>评估</w:t>
      </w:r>
      <w:r>
        <w:rPr>
          <w:rFonts w:eastAsiaTheme="minorEastAsia"/>
          <w:snapToGrid w:val="0"/>
          <w:kern w:val="22"/>
          <w:lang w:eastAsia="zh-CN"/>
        </w:rPr>
        <w:t>有利于授粉媒介的</w:t>
      </w:r>
      <w:r w:rsidRPr="00226587">
        <w:rPr>
          <w:rFonts w:eastAsiaTheme="minorEastAsia"/>
          <w:snapToGrid w:val="0"/>
          <w:kern w:val="22"/>
          <w:lang w:eastAsia="zh-CN"/>
        </w:rPr>
        <w:t>做法，包括保护农耕地未开垦地区的好处，并提出砍伐森林的替代方案</w:t>
      </w:r>
      <w:r w:rsidRPr="00226587">
        <w:rPr>
          <w:rFonts w:eastAsiaTheme="minorEastAsia"/>
          <w:b/>
          <w:snapToGrid w:val="0"/>
          <w:kern w:val="22"/>
          <w:lang w:eastAsia="zh-CN"/>
        </w:rPr>
        <w:t>；</w:t>
      </w:r>
    </w:p>
    <w:p w:rsidR="008F12F5" w:rsidRPr="00226587" w:rsidRDefault="008F12F5" w:rsidP="00703807">
      <w:pPr>
        <w:suppressAutoHyphens/>
        <w:adjustRightInd w:val="0"/>
        <w:snapToGrid w:val="0"/>
        <w:ind w:firstLine="0"/>
        <w:rPr>
          <w:rFonts w:eastAsiaTheme="minorEastAsia"/>
          <w:lang w:eastAsia="de-DE"/>
        </w:rPr>
      </w:pPr>
      <w:r w:rsidRPr="00226587">
        <w:rPr>
          <w:rFonts w:eastAsiaTheme="minorEastAsia"/>
          <w:b/>
          <w:snapToGrid w:val="0"/>
          <w:kern w:val="22"/>
          <w:lang w:eastAsia="zh-CN"/>
        </w:rPr>
        <w:t>A.4.3.4</w:t>
      </w:r>
      <w:r w:rsidRPr="00226587">
        <w:rPr>
          <w:rFonts w:eastAsiaTheme="minorEastAsia"/>
          <w:snapToGrid w:val="0"/>
          <w:kern w:val="22"/>
          <w:lang w:eastAsia="zh-CN"/>
        </w:rPr>
        <w:t>加深对特定作物、农业生态系统和自然环境中传粉媒介减少的后果的了解</w:t>
      </w:r>
      <w:r w:rsidRPr="00226587">
        <w:rPr>
          <w:rFonts w:eastAsiaTheme="minorEastAsia"/>
          <w:lang w:eastAsia="zh-CN"/>
        </w:rPr>
        <w:t>；</w:t>
      </w:r>
    </w:p>
    <w:p w:rsidR="008F12F5" w:rsidRPr="00226587" w:rsidRDefault="008F12F5" w:rsidP="00703807">
      <w:pPr>
        <w:suppressAutoHyphens/>
        <w:adjustRightInd w:val="0"/>
        <w:snapToGrid w:val="0"/>
        <w:ind w:firstLine="0"/>
        <w:rPr>
          <w:rFonts w:eastAsiaTheme="minorEastAsia"/>
          <w:lang w:eastAsia="de-DE"/>
        </w:rPr>
      </w:pPr>
      <w:r w:rsidRPr="00226587">
        <w:rPr>
          <w:rFonts w:eastAsiaTheme="minorEastAsia"/>
          <w:b/>
          <w:snapToGrid w:val="0"/>
          <w:kern w:val="22"/>
          <w:lang w:eastAsia="zh-CN"/>
        </w:rPr>
        <w:t>A.4.3.5</w:t>
      </w:r>
      <w:r w:rsidRPr="00226587">
        <w:rPr>
          <w:rFonts w:eastAsiaTheme="minorEastAsia"/>
          <w:snapToGrid w:val="0"/>
          <w:kern w:val="22"/>
          <w:lang w:eastAsia="zh-CN"/>
        </w:rPr>
        <w:t>支持</w:t>
      </w:r>
      <w:r>
        <w:rPr>
          <w:rFonts w:eastAsiaTheme="minorEastAsia" w:hint="eastAsia"/>
          <w:snapToGrid w:val="0"/>
          <w:kern w:val="22"/>
          <w:lang w:eastAsia="zh-CN"/>
        </w:rPr>
        <w:t>确定</w:t>
      </w:r>
      <w:r w:rsidRPr="00226587">
        <w:rPr>
          <w:rFonts w:eastAsiaTheme="minorEastAsia"/>
          <w:snapToGrid w:val="0"/>
          <w:kern w:val="22"/>
          <w:lang w:eastAsia="zh-CN"/>
        </w:rPr>
        <w:t>自然和林业及农业系统等受管理区域的授粉媒介，以及授粉媒介与植物之间的相互作用和人类活动在生态系统中的影响</w:t>
      </w:r>
      <w:r w:rsidRPr="00226587">
        <w:rPr>
          <w:rFonts w:eastAsiaTheme="minorEastAsia"/>
          <w:b/>
          <w:snapToGrid w:val="0"/>
          <w:kern w:val="22"/>
          <w:lang w:eastAsia="zh-CN"/>
        </w:rPr>
        <w:t>；</w:t>
      </w:r>
    </w:p>
    <w:p w:rsidR="008F12F5" w:rsidRPr="00226587" w:rsidRDefault="008F12F5" w:rsidP="00703807">
      <w:pPr>
        <w:tabs>
          <w:tab w:val="left" w:pos="720"/>
        </w:tabs>
        <w:suppressAutoHyphens/>
        <w:adjustRightInd w:val="0"/>
        <w:snapToGrid w:val="0"/>
        <w:ind w:firstLine="0"/>
        <w:rPr>
          <w:rFonts w:eastAsiaTheme="minorEastAsia"/>
          <w:lang w:eastAsia="zh-CN"/>
        </w:rPr>
      </w:pPr>
      <w:r w:rsidRPr="00226587">
        <w:rPr>
          <w:rFonts w:eastAsiaTheme="minorEastAsia"/>
          <w:b/>
          <w:snapToGrid w:val="0"/>
          <w:kern w:val="22"/>
          <w:lang w:eastAsia="zh-CN"/>
        </w:rPr>
        <w:t>A.4.3.6</w:t>
      </w:r>
      <w:r>
        <w:rPr>
          <w:rFonts w:eastAsiaTheme="minorEastAsia" w:hint="eastAsia"/>
          <w:snapToGrid w:val="0"/>
          <w:kern w:val="22"/>
          <w:lang w:eastAsia="zh-CN"/>
        </w:rPr>
        <w:t>解决</w:t>
      </w:r>
      <w:r w:rsidRPr="00226587">
        <w:rPr>
          <w:rFonts w:eastAsiaTheme="minorEastAsia"/>
          <w:snapToGrid w:val="0"/>
          <w:kern w:val="22"/>
          <w:lang w:eastAsia="zh-CN"/>
        </w:rPr>
        <w:t>不同地区的生物分类评估需求，制定弥补现有</w:t>
      </w:r>
      <w:r>
        <w:rPr>
          <w:rFonts w:eastAsiaTheme="minorEastAsia" w:hint="eastAsia"/>
          <w:snapToGrid w:val="0"/>
          <w:kern w:val="22"/>
          <w:lang w:eastAsia="zh-CN"/>
        </w:rPr>
        <w:t>不足</w:t>
      </w:r>
      <w:r w:rsidRPr="00226587">
        <w:rPr>
          <w:rFonts w:eastAsiaTheme="minorEastAsia"/>
          <w:snapToGrid w:val="0"/>
          <w:kern w:val="22"/>
          <w:lang w:eastAsia="zh-CN"/>
        </w:rPr>
        <w:t>的具有针对性的战略；</w:t>
      </w:r>
    </w:p>
    <w:p w:rsidR="008F12F5" w:rsidRPr="00226587" w:rsidRDefault="008F12F5" w:rsidP="00703807">
      <w:pPr>
        <w:tabs>
          <w:tab w:val="left" w:pos="720"/>
        </w:tabs>
        <w:suppressAutoHyphens/>
        <w:adjustRightInd w:val="0"/>
        <w:snapToGrid w:val="0"/>
        <w:ind w:firstLine="0"/>
        <w:rPr>
          <w:rFonts w:eastAsiaTheme="minorEastAsia"/>
          <w:lang w:eastAsia="zh-CN"/>
        </w:rPr>
      </w:pPr>
      <w:r w:rsidRPr="00226587">
        <w:rPr>
          <w:rFonts w:eastAsiaTheme="minorEastAsia"/>
          <w:b/>
          <w:snapToGrid w:val="0"/>
          <w:kern w:val="22"/>
          <w:lang w:eastAsia="zh-CN"/>
        </w:rPr>
        <w:t>A.4.3.7</w:t>
      </w:r>
      <w:r w:rsidRPr="00226587">
        <w:rPr>
          <w:rFonts w:eastAsiaTheme="minorEastAsia"/>
          <w:snapToGrid w:val="0"/>
          <w:kern w:val="22"/>
          <w:lang w:eastAsia="zh-CN"/>
        </w:rPr>
        <w:t>增加生物分类能力以增强有关授</w:t>
      </w:r>
      <w:r>
        <w:rPr>
          <w:rFonts w:eastAsiaTheme="minorEastAsia"/>
          <w:snapToGrid w:val="0"/>
          <w:kern w:val="22"/>
          <w:lang w:eastAsia="zh-CN"/>
        </w:rPr>
        <w:t>粉媒介及其现况和趋势的知识；查明其种群变化的驱动因素；制定适当</w:t>
      </w:r>
      <w:r w:rsidRPr="00226587">
        <w:rPr>
          <w:rFonts w:eastAsiaTheme="minorEastAsia"/>
          <w:snapToGrid w:val="0"/>
          <w:kern w:val="22"/>
          <w:lang w:eastAsia="zh-CN"/>
        </w:rPr>
        <w:t>解决</w:t>
      </w:r>
      <w:r>
        <w:rPr>
          <w:rFonts w:eastAsiaTheme="minorEastAsia" w:hint="eastAsia"/>
          <w:snapToGrid w:val="0"/>
          <w:kern w:val="22"/>
          <w:lang w:eastAsia="zh-CN"/>
        </w:rPr>
        <w:t>办法</w:t>
      </w:r>
      <w:r w:rsidRPr="00226587">
        <w:rPr>
          <w:rFonts w:eastAsiaTheme="minorEastAsia"/>
          <w:lang w:eastAsia="zh-CN"/>
        </w:rPr>
        <w:t>；</w:t>
      </w:r>
    </w:p>
    <w:p w:rsidR="008F12F5" w:rsidRPr="00226587" w:rsidRDefault="008F12F5" w:rsidP="00703807">
      <w:pPr>
        <w:tabs>
          <w:tab w:val="left" w:pos="720"/>
        </w:tabs>
        <w:suppressAutoHyphens/>
        <w:adjustRightInd w:val="0"/>
        <w:snapToGrid w:val="0"/>
        <w:ind w:firstLine="0"/>
        <w:rPr>
          <w:rFonts w:eastAsiaTheme="minorEastAsia"/>
          <w:lang w:eastAsia="zh-CN"/>
        </w:rPr>
      </w:pPr>
      <w:r w:rsidRPr="00226587">
        <w:rPr>
          <w:rFonts w:eastAsiaTheme="minorEastAsia"/>
          <w:b/>
          <w:snapToGrid w:val="0"/>
          <w:kern w:val="22"/>
          <w:lang w:eastAsia="zh-CN"/>
        </w:rPr>
        <w:t>A.4.3.8</w:t>
      </w:r>
      <w:r w:rsidRPr="00226587">
        <w:rPr>
          <w:rFonts w:eastAsiaTheme="minorEastAsia"/>
          <w:snapToGrid w:val="0"/>
          <w:kern w:val="22"/>
          <w:lang w:eastAsia="zh-CN"/>
        </w:rPr>
        <w:t>促进定期评估来自不同生物分类群组的授粉媒介物种的保护现况，定期更新国家、区域和全球红色数据手册和红色名录，制定保护和恢复濒危授粉媒介物种的行动计划。</w:t>
      </w:r>
    </w:p>
    <w:p w:rsidR="008F12F5" w:rsidRPr="00BD5340" w:rsidRDefault="008F12F5" w:rsidP="00703807">
      <w:pPr>
        <w:pStyle w:val="Heading1"/>
        <w:numPr>
          <w:ilvl w:val="1"/>
          <w:numId w:val="0"/>
        </w:numPr>
        <w:suppressAutoHyphens/>
        <w:adjustRightInd w:val="0"/>
        <w:snapToGrid w:val="0"/>
        <w:spacing w:before="120"/>
        <w:jc w:val="both"/>
        <w:rPr>
          <w:rFonts w:ascii="KaiTi" w:eastAsia="KaiTi" w:hAnsi="KaiTi"/>
          <w:b w:val="0"/>
          <w:caps/>
          <w:snapToGrid w:val="0"/>
          <w:kern w:val="22"/>
          <w:sz w:val="24"/>
          <w:lang w:eastAsia="zh-CN"/>
        </w:rPr>
      </w:pPr>
      <w:bookmarkStart w:id="71" w:name="_Toc6243691"/>
      <w:r w:rsidRPr="00BD5340">
        <w:rPr>
          <w:rFonts w:ascii="KaiTi" w:eastAsia="KaiTi" w:hAnsi="KaiTi"/>
          <w:b w:val="0"/>
          <w:snapToGrid w:val="0"/>
          <w:kern w:val="22"/>
          <w:sz w:val="24"/>
          <w:lang w:eastAsia="zh-CN"/>
        </w:rPr>
        <w:lastRenderedPageBreak/>
        <w:t>行为体</w:t>
      </w:r>
      <w:bookmarkEnd w:id="71"/>
    </w:p>
    <w:p w:rsidR="008F12F5" w:rsidRPr="00226587" w:rsidRDefault="008F12F5" w:rsidP="00703807">
      <w:pPr>
        <w:tabs>
          <w:tab w:val="left" w:pos="720"/>
        </w:tabs>
        <w:suppressAutoHyphens/>
        <w:adjustRightInd w:val="0"/>
        <w:snapToGrid w:val="0"/>
        <w:ind w:firstLine="0"/>
        <w:rPr>
          <w:rFonts w:eastAsiaTheme="minorEastAsia"/>
          <w:lang w:eastAsia="zh-CN"/>
        </w:rPr>
      </w:pPr>
      <w:r w:rsidRPr="00226587">
        <w:rPr>
          <w:rFonts w:eastAsiaTheme="minorEastAsia"/>
          <w:lang w:eastAsia="zh-CN"/>
        </w:rPr>
        <w:t>《行动计划》针对所有相关利益攸关方，包括《里约公约》和其他多边环境协定</w:t>
      </w:r>
      <w:r>
        <w:rPr>
          <w:rFonts w:eastAsiaTheme="minorEastAsia" w:hint="eastAsia"/>
          <w:lang w:eastAsia="zh-CN"/>
        </w:rPr>
        <w:t>的</w:t>
      </w:r>
      <w:r w:rsidRPr="00226587">
        <w:rPr>
          <w:rFonts w:eastAsiaTheme="minorEastAsia"/>
          <w:lang w:eastAsia="zh-CN"/>
        </w:rPr>
        <w:t>缔约方、国家、国家以下级和市政府、捐助机构、包括全球环境基金、世界银行、区域和国家开发银行、为农村发展提供重要贷款组合的银行、私人和企业捐助者以及其他相关机构和组织、土地所有者和土地管理者、农民、养蜂人、土著人民和当地社区、私营部门和民间社会。</w:t>
      </w:r>
    </w:p>
    <w:p w:rsidR="008F12F5" w:rsidRPr="00226587" w:rsidRDefault="008F12F5" w:rsidP="00703807">
      <w:pPr>
        <w:suppressAutoHyphens/>
        <w:adjustRightInd w:val="0"/>
        <w:snapToGrid w:val="0"/>
        <w:ind w:firstLine="0"/>
        <w:rPr>
          <w:rFonts w:eastAsiaTheme="minorEastAsia"/>
          <w:lang w:eastAsia="zh-CN"/>
        </w:rPr>
      </w:pPr>
      <w:r w:rsidRPr="00226587">
        <w:rPr>
          <w:rFonts w:eastAsiaTheme="minorEastAsia"/>
          <w:lang w:eastAsia="zh-CN"/>
        </w:rPr>
        <w:t>粮农组织将采用先前计划的成功办法，促进《行动计划》的实施。这一新阶段还旨在使有关授粉和授粉媒介的活动与粮农组织区域和国家办事处更紧密地结合在一起，以产生协同效应和提供更广泛的支持。在国家和区域一级充分执行《行动计划》第二阶段将取决于能否得到资源。</w:t>
      </w:r>
    </w:p>
    <w:p w:rsidR="008F12F5" w:rsidRPr="00707179" w:rsidRDefault="008F12F5" w:rsidP="00FF4964">
      <w:pPr>
        <w:pStyle w:val="Heading1"/>
        <w:adjustRightInd w:val="0"/>
        <w:snapToGrid w:val="0"/>
        <w:spacing w:before="120" w:after="120"/>
        <w:ind w:firstLine="0"/>
        <w:rPr>
          <w:rFonts w:eastAsiaTheme="minorEastAsia" w:cs="Times New Roman"/>
          <w:sz w:val="24"/>
          <w:lang w:eastAsia="zh-CN"/>
        </w:rPr>
      </w:pPr>
      <w:bookmarkStart w:id="72" w:name="_Toc6243692"/>
      <w:r w:rsidRPr="00707179">
        <w:rPr>
          <w:rFonts w:eastAsiaTheme="minorEastAsia" w:cs="Times New Roman"/>
          <w:sz w:val="24"/>
          <w:lang w:eastAsia="zh-CN"/>
        </w:rPr>
        <w:t>四</w:t>
      </w:r>
      <w:r w:rsidRPr="00707179">
        <w:rPr>
          <w:rFonts w:eastAsiaTheme="minorEastAsia" w:cs="Times New Roman"/>
          <w:sz w:val="24"/>
          <w:lang w:eastAsia="zh-CN"/>
        </w:rPr>
        <w:t>.</w:t>
      </w:r>
      <w:r w:rsidRPr="00707179">
        <w:rPr>
          <w:rFonts w:eastAsiaTheme="minorEastAsia" w:cs="Times New Roman"/>
          <w:sz w:val="24"/>
          <w:lang w:eastAsia="zh-CN"/>
        </w:rPr>
        <w:tab/>
      </w:r>
      <w:r w:rsidRPr="00707179">
        <w:rPr>
          <w:rFonts w:eastAsiaTheme="minorEastAsia" w:cs="Times New Roman"/>
          <w:sz w:val="24"/>
          <w:lang w:eastAsia="zh-CN"/>
        </w:rPr>
        <w:t>支助准则和工具</w:t>
      </w:r>
      <w:bookmarkEnd w:id="72"/>
    </w:p>
    <w:p w:rsidR="008F12F5" w:rsidRPr="00707179" w:rsidRDefault="008F12F5" w:rsidP="00703807">
      <w:pPr>
        <w:suppressAutoHyphens/>
        <w:adjustRightInd w:val="0"/>
        <w:snapToGrid w:val="0"/>
        <w:ind w:firstLine="0"/>
        <w:rPr>
          <w:rFonts w:eastAsiaTheme="minorEastAsia"/>
          <w:lang w:eastAsia="zh-CN"/>
        </w:rPr>
      </w:pPr>
      <w:r w:rsidRPr="00707179">
        <w:rPr>
          <w:rFonts w:eastAsiaTheme="minorEastAsia"/>
          <w:lang w:eastAsia="zh-CN"/>
        </w:rPr>
        <w:t>支助准则和工具清单载于一份信息说明</w:t>
      </w:r>
      <w:r w:rsidR="00707179">
        <w:rPr>
          <w:rFonts w:eastAsiaTheme="minorEastAsia" w:hint="eastAsia"/>
          <w:lang w:eastAsia="zh-CN"/>
        </w:rPr>
        <w:t>（</w:t>
      </w:r>
      <w:r w:rsidRPr="00707179">
        <w:rPr>
          <w:rFonts w:eastAsiaTheme="minorEastAsia"/>
          <w:lang w:eastAsia="zh-CN"/>
        </w:rPr>
        <w:t>CBD/SBSTTA/22/INF/20</w:t>
      </w:r>
      <w:r w:rsidR="00707179">
        <w:rPr>
          <w:rFonts w:eastAsiaTheme="minorEastAsia" w:hint="eastAsia"/>
          <w:lang w:eastAsia="zh-CN"/>
        </w:rPr>
        <w:t>）</w:t>
      </w:r>
      <w:r w:rsidRPr="00707179">
        <w:rPr>
          <w:rFonts w:eastAsiaTheme="minorEastAsia"/>
          <w:lang w:eastAsia="zh-CN"/>
        </w:rPr>
        <w:t>。</w:t>
      </w:r>
    </w:p>
    <w:p w:rsidR="008F12F5" w:rsidRPr="00707179" w:rsidRDefault="008F12F5" w:rsidP="00FF4964">
      <w:pPr>
        <w:ind w:firstLine="0"/>
        <w:jc w:val="center"/>
        <w:rPr>
          <w:rFonts w:ascii="KaiTi" w:eastAsia="KaiTi" w:hAnsi="KaiTi"/>
          <w:lang w:eastAsia="zh-CN"/>
        </w:rPr>
      </w:pPr>
      <w:r w:rsidRPr="00707179">
        <w:rPr>
          <w:rFonts w:ascii="KaiTi" w:eastAsia="KaiTi" w:hAnsi="KaiTi"/>
          <w:lang w:eastAsia="zh-CN"/>
        </w:rPr>
        <w:t>附件二</w:t>
      </w:r>
    </w:p>
    <w:p w:rsidR="008F12F5" w:rsidRPr="00707179" w:rsidRDefault="008F12F5" w:rsidP="00FF4964">
      <w:pPr>
        <w:pStyle w:val="Heading1"/>
        <w:keepNext w:val="0"/>
        <w:widowControl w:val="0"/>
        <w:adjustRightInd w:val="0"/>
        <w:snapToGrid w:val="0"/>
        <w:spacing w:before="120" w:after="120"/>
        <w:ind w:left="1170" w:right="990" w:firstLine="0"/>
        <w:rPr>
          <w:rFonts w:eastAsiaTheme="minorEastAsia" w:cs="Times New Roman"/>
          <w:kern w:val="22"/>
          <w:sz w:val="24"/>
          <w:lang w:eastAsia="zh-CN"/>
        </w:rPr>
      </w:pPr>
      <w:bookmarkStart w:id="73" w:name="_Toc6243693"/>
      <w:r w:rsidRPr="00707179">
        <w:rPr>
          <w:rFonts w:eastAsiaTheme="minorEastAsia" w:cs="Times New Roman"/>
          <w:kern w:val="22"/>
          <w:sz w:val="24"/>
          <w:lang w:eastAsia="zh-CN"/>
        </w:rPr>
        <w:t>概要</w:t>
      </w:r>
      <w:r w:rsidRPr="00707179">
        <w:rPr>
          <w:rFonts w:eastAsiaTheme="minorEastAsia" w:cs="Times New Roman"/>
          <w:kern w:val="22"/>
          <w:sz w:val="24"/>
          <w:lang w:eastAsia="zh-CN"/>
        </w:rPr>
        <w:t xml:space="preserve"> - </w:t>
      </w:r>
      <w:r w:rsidRPr="00707179">
        <w:rPr>
          <w:rFonts w:eastAsiaTheme="minorEastAsia" w:cs="Times New Roman"/>
          <w:sz w:val="24"/>
          <w:lang w:eastAsia="zh-CN"/>
        </w:rPr>
        <w:t>审查授粉媒介和授粉在农业和粮食生产中的作用外与所有生态系统中保护和可持续利用生物多样性的相关性</w:t>
      </w:r>
      <w:bookmarkEnd w:id="73"/>
    </w:p>
    <w:p w:rsidR="008F12F5" w:rsidRPr="00707179" w:rsidRDefault="008F12F5" w:rsidP="00FF4964">
      <w:pPr>
        <w:widowControl w:val="0"/>
        <w:suppressAutoHyphens/>
        <w:autoSpaceDE w:val="0"/>
        <w:autoSpaceDN w:val="0"/>
        <w:adjustRightInd w:val="0"/>
        <w:snapToGrid w:val="0"/>
        <w:ind w:firstLine="0"/>
        <w:jc w:val="center"/>
        <w:rPr>
          <w:rFonts w:eastAsiaTheme="minorEastAsia"/>
          <w:b/>
          <w:bCs/>
        </w:rPr>
      </w:pPr>
      <w:r w:rsidRPr="00707179">
        <w:rPr>
          <w:rFonts w:eastAsiaTheme="minorEastAsia"/>
          <w:b/>
          <w:bCs/>
        </w:rPr>
        <w:t>A.</w:t>
      </w:r>
      <w:r w:rsidRPr="00707179">
        <w:rPr>
          <w:rFonts w:eastAsiaTheme="minorEastAsia"/>
          <w:b/>
          <w:bCs/>
        </w:rPr>
        <w:tab/>
      </w:r>
      <w:r w:rsidRPr="00707179">
        <w:rPr>
          <w:rFonts w:eastAsiaTheme="minorEastAsia"/>
          <w:b/>
          <w:bCs/>
        </w:rPr>
        <w:t>导言</w:t>
      </w:r>
    </w:p>
    <w:p w:rsidR="008F12F5" w:rsidRPr="0043772A" w:rsidRDefault="008F12F5" w:rsidP="0069685F">
      <w:pPr>
        <w:pStyle w:val="ListParagraph"/>
        <w:widowControl w:val="0"/>
        <w:numPr>
          <w:ilvl w:val="1"/>
          <w:numId w:val="74"/>
        </w:numPr>
        <w:tabs>
          <w:tab w:val="left" w:pos="720"/>
        </w:tabs>
        <w:suppressAutoHyphens/>
        <w:adjustRightInd w:val="0"/>
        <w:snapToGrid w:val="0"/>
        <w:ind w:left="0" w:firstLine="0"/>
        <w:rPr>
          <w:rFonts w:eastAsiaTheme="minorEastAsia"/>
          <w:lang w:eastAsia="de-DE"/>
        </w:rPr>
      </w:pPr>
      <w:r w:rsidRPr="0043772A">
        <w:rPr>
          <w:rFonts w:eastAsiaTheme="minorEastAsia"/>
          <w:lang w:eastAsia="zh-CN"/>
        </w:rPr>
        <w:t>完整报告</w:t>
      </w:r>
      <w:r w:rsidRPr="00707179">
        <w:rPr>
          <w:rStyle w:val="FootnoteReference"/>
          <w:rFonts w:eastAsiaTheme="minorEastAsia"/>
          <w:sz w:val="24"/>
          <w:u w:val="none"/>
          <w:vertAlign w:val="superscript"/>
          <w:lang w:eastAsia="de-DE"/>
        </w:rPr>
        <w:footnoteReference w:id="93"/>
      </w:r>
      <w:r w:rsidRPr="00707179">
        <w:rPr>
          <w:rStyle w:val="FootnoteReference"/>
          <w:sz w:val="24"/>
          <w:u w:val="none"/>
          <w:vertAlign w:val="superscript"/>
          <w:lang w:eastAsia="de-DE"/>
        </w:rPr>
        <w:t xml:space="preserve"> </w:t>
      </w:r>
      <w:r w:rsidRPr="0043772A">
        <w:rPr>
          <w:rFonts w:eastAsiaTheme="minorEastAsia"/>
          <w:lang w:eastAsia="zh-CN"/>
        </w:rPr>
        <w:t>和本概要系根据第</w:t>
      </w:r>
      <w:hyperlink r:id="rId46" w:history="1">
        <w:r w:rsidRPr="0043772A">
          <w:rPr>
            <w:rStyle w:val="Hyperlink"/>
            <w:rFonts w:eastAsiaTheme="minorEastAsia"/>
            <w:lang w:eastAsia="de-DE"/>
          </w:rPr>
          <w:t>XIII/15</w:t>
        </w:r>
      </w:hyperlink>
      <w:r w:rsidRPr="0043772A">
        <w:rPr>
          <w:rFonts w:eastAsiaTheme="minorEastAsia"/>
          <w:lang w:eastAsia="zh-CN"/>
        </w:rPr>
        <w:t>号决定编制。报告借鉴了世界各地许多研究人员和合作伙伴提供的资料。</w:t>
      </w:r>
      <w:r w:rsidRPr="008F12F5">
        <w:rPr>
          <w:rStyle w:val="FootnoteReference"/>
          <w:rFonts w:eastAsiaTheme="minorEastAsia"/>
          <w:sz w:val="24"/>
          <w:u w:val="none"/>
          <w:vertAlign w:val="superscript"/>
          <w:lang w:eastAsia="de-DE"/>
        </w:rPr>
        <w:footnoteReference w:id="94"/>
      </w:r>
      <w:r w:rsidRPr="008F12F5">
        <w:rPr>
          <w:rStyle w:val="FootnoteReference"/>
          <w:sz w:val="24"/>
          <w:u w:val="none"/>
          <w:vertAlign w:val="superscript"/>
          <w:lang w:eastAsia="de-DE"/>
        </w:rPr>
        <w:t xml:space="preserve"> </w:t>
      </w:r>
    </w:p>
    <w:p w:rsidR="008F12F5" w:rsidRPr="008F12F5" w:rsidRDefault="008F12F5" w:rsidP="00FF4964">
      <w:pPr>
        <w:widowControl w:val="0"/>
        <w:tabs>
          <w:tab w:val="left" w:pos="720"/>
        </w:tabs>
        <w:suppressAutoHyphens/>
        <w:autoSpaceDE w:val="0"/>
        <w:autoSpaceDN w:val="0"/>
        <w:adjustRightInd w:val="0"/>
        <w:snapToGrid w:val="0"/>
        <w:ind w:firstLine="0"/>
        <w:jc w:val="center"/>
        <w:rPr>
          <w:rFonts w:eastAsiaTheme="minorEastAsia"/>
          <w:b/>
          <w:bCs/>
          <w:lang w:eastAsia="zh-CN"/>
        </w:rPr>
      </w:pPr>
      <w:r w:rsidRPr="008F12F5">
        <w:rPr>
          <w:rFonts w:eastAsiaTheme="minorEastAsia"/>
          <w:b/>
          <w:bCs/>
          <w:lang w:eastAsia="zh-CN"/>
        </w:rPr>
        <w:t>B.</w:t>
      </w:r>
      <w:r w:rsidRPr="008F12F5">
        <w:rPr>
          <w:rFonts w:eastAsiaTheme="minorEastAsia"/>
          <w:b/>
          <w:bCs/>
          <w:lang w:eastAsia="zh-CN"/>
        </w:rPr>
        <w:tab/>
      </w:r>
      <w:r w:rsidRPr="008F12F5">
        <w:rPr>
          <w:rFonts w:eastAsiaTheme="minorEastAsia"/>
          <w:b/>
          <w:bCs/>
          <w:lang w:eastAsia="zh-CN"/>
        </w:rPr>
        <w:t>授粉媒介和授粉媒介依赖植物在农业领域之外的作用和价值</w:t>
      </w:r>
    </w:p>
    <w:p w:rsidR="008F12F5" w:rsidRPr="008F12F5" w:rsidRDefault="008F12F5" w:rsidP="0069685F">
      <w:pPr>
        <w:pStyle w:val="ListParagraph"/>
        <w:widowControl w:val="0"/>
        <w:numPr>
          <w:ilvl w:val="1"/>
          <w:numId w:val="74"/>
        </w:numPr>
        <w:tabs>
          <w:tab w:val="left" w:pos="720"/>
        </w:tabs>
        <w:suppressAutoHyphens/>
        <w:adjustRightInd w:val="0"/>
        <w:snapToGrid w:val="0"/>
        <w:ind w:left="0" w:firstLine="0"/>
        <w:rPr>
          <w:rFonts w:eastAsiaTheme="minorEastAsia"/>
          <w:bCs/>
          <w:lang w:eastAsia="zh-CN"/>
        </w:rPr>
      </w:pPr>
      <w:r w:rsidRPr="008F12F5">
        <w:rPr>
          <w:rFonts w:eastAsiaTheme="minorEastAsia"/>
          <w:lang w:eastAsia="de-DE"/>
        </w:rPr>
        <w:t>除农业和粮食生产之外，</w:t>
      </w:r>
      <w:r w:rsidRPr="008F12F5">
        <w:rPr>
          <w:rFonts w:eastAsiaTheme="minorEastAsia"/>
          <w:lang w:eastAsia="zh-CN"/>
        </w:rPr>
        <w:t>与授粉</w:t>
      </w:r>
      <w:r w:rsidRPr="008F12F5">
        <w:rPr>
          <w:rFonts w:eastAsiaTheme="minorEastAsia"/>
          <w:lang w:eastAsia="de-DE"/>
        </w:rPr>
        <w:t>媒介和</w:t>
      </w:r>
      <w:r w:rsidRPr="008F12F5">
        <w:rPr>
          <w:rFonts w:eastAsiaTheme="minorEastAsia"/>
          <w:lang w:eastAsia="zh-CN"/>
        </w:rPr>
        <w:t>授粉有关</w:t>
      </w:r>
      <w:r w:rsidRPr="008F12F5">
        <w:rPr>
          <w:rFonts w:eastAsiaTheme="minorEastAsia"/>
          <w:lang w:eastAsia="de-DE"/>
        </w:rPr>
        <w:t>的价值</w:t>
      </w:r>
      <w:r w:rsidRPr="008F12F5">
        <w:rPr>
          <w:rFonts w:eastAsiaTheme="minorEastAsia"/>
          <w:lang w:eastAsia="zh-CN"/>
        </w:rPr>
        <w:t>很多，范围很广，</w:t>
      </w:r>
      <w:r w:rsidRPr="008F12F5">
        <w:rPr>
          <w:rFonts w:eastAsiaTheme="minorEastAsia"/>
          <w:lang w:eastAsia="de-DE"/>
        </w:rPr>
        <w:t>其中包括生态</w:t>
      </w:r>
      <w:r w:rsidRPr="008F12F5">
        <w:rPr>
          <w:rFonts w:eastAsiaTheme="minorEastAsia"/>
          <w:lang w:eastAsia="zh-CN"/>
        </w:rPr>
        <w:t>、</w:t>
      </w:r>
      <w:r w:rsidRPr="008F12F5">
        <w:rPr>
          <w:rFonts w:eastAsiaTheme="minorEastAsia"/>
          <w:lang w:eastAsia="de-DE"/>
        </w:rPr>
        <w:t>文化</w:t>
      </w:r>
      <w:r w:rsidRPr="008F12F5">
        <w:rPr>
          <w:rFonts w:eastAsiaTheme="minorEastAsia"/>
          <w:lang w:eastAsia="zh-CN"/>
        </w:rPr>
        <w:t>、</w:t>
      </w:r>
      <w:r w:rsidRPr="008F12F5">
        <w:rPr>
          <w:rFonts w:eastAsiaTheme="minorEastAsia"/>
          <w:lang w:eastAsia="de-DE"/>
        </w:rPr>
        <w:t>财政</w:t>
      </w:r>
      <w:r w:rsidRPr="008F12F5">
        <w:rPr>
          <w:rFonts w:eastAsiaTheme="minorEastAsia"/>
          <w:lang w:eastAsia="zh-CN"/>
        </w:rPr>
        <w:t>、卫生、</w:t>
      </w:r>
      <w:r w:rsidRPr="008F12F5">
        <w:rPr>
          <w:rFonts w:eastAsiaTheme="minorEastAsia"/>
          <w:lang w:eastAsia="de-DE"/>
        </w:rPr>
        <w:t>人类和社会价值</w:t>
      </w:r>
      <w:r w:rsidRPr="008F12F5">
        <w:rPr>
          <w:rFonts w:eastAsiaTheme="minorEastAsia"/>
          <w:lang w:eastAsia="zh-CN"/>
        </w:rPr>
        <w:t>。</w:t>
      </w:r>
    </w:p>
    <w:p w:rsidR="008F12F5" w:rsidRPr="008F12F5" w:rsidRDefault="008F12F5" w:rsidP="0069685F">
      <w:pPr>
        <w:pStyle w:val="ListParagraph"/>
        <w:widowControl w:val="0"/>
        <w:numPr>
          <w:ilvl w:val="1"/>
          <w:numId w:val="74"/>
        </w:numPr>
        <w:tabs>
          <w:tab w:val="left" w:pos="720"/>
        </w:tabs>
        <w:suppressAutoHyphens/>
        <w:autoSpaceDE w:val="0"/>
        <w:autoSpaceDN w:val="0"/>
        <w:adjustRightInd w:val="0"/>
        <w:snapToGrid w:val="0"/>
        <w:ind w:left="0" w:firstLine="0"/>
        <w:rPr>
          <w:rFonts w:eastAsiaTheme="minorEastAsia"/>
          <w:lang w:eastAsia="de-DE"/>
        </w:rPr>
      </w:pPr>
      <w:r w:rsidRPr="008F12F5">
        <w:rPr>
          <w:rFonts w:eastAsiaTheme="minorEastAsia"/>
          <w:lang w:eastAsia="de-DE"/>
        </w:rPr>
        <w:t>授粉媒介增强绝大多数植物物种（约</w:t>
      </w:r>
      <w:r w:rsidRPr="008F12F5">
        <w:rPr>
          <w:rFonts w:eastAsiaTheme="minorEastAsia"/>
          <w:lang w:eastAsia="de-DE"/>
        </w:rPr>
        <w:t>87.5</w:t>
      </w:r>
      <w:r w:rsidRPr="008F12F5">
        <w:rPr>
          <w:rFonts w:eastAsiaTheme="minorEastAsia"/>
          <w:lang w:eastAsia="de-DE"/>
        </w:rPr>
        <w:t>％）的繁殖和遗传多样性。大约一半的植物物种完全依赖动物介导的授粉。动物介导的授粉通常会导致一定程度的异花授粉，从而促进和维持种群的遗传变异，</w:t>
      </w:r>
      <w:r w:rsidRPr="008F12F5">
        <w:rPr>
          <w:rFonts w:eastAsiaTheme="minorEastAsia"/>
          <w:lang w:eastAsia="zh-CN"/>
        </w:rPr>
        <w:t>并</w:t>
      </w:r>
      <w:r w:rsidRPr="008F12F5">
        <w:rPr>
          <w:rFonts w:eastAsiaTheme="minorEastAsia"/>
          <w:lang w:eastAsia="de-DE"/>
        </w:rPr>
        <w:t>使</w:t>
      </w:r>
      <w:r w:rsidRPr="008F12F5">
        <w:rPr>
          <w:rFonts w:eastAsiaTheme="minorEastAsia"/>
          <w:lang w:eastAsia="zh-CN"/>
        </w:rPr>
        <w:t>植物</w:t>
      </w:r>
      <w:r w:rsidRPr="008F12F5">
        <w:rPr>
          <w:rFonts w:eastAsiaTheme="minorEastAsia"/>
          <w:lang w:eastAsia="de-DE"/>
        </w:rPr>
        <w:t>物种</w:t>
      </w:r>
      <w:r w:rsidRPr="008F12F5">
        <w:rPr>
          <w:rFonts w:eastAsiaTheme="minorEastAsia"/>
          <w:lang w:eastAsia="zh-CN"/>
        </w:rPr>
        <w:t>能够</w:t>
      </w:r>
      <w:r w:rsidRPr="008F12F5">
        <w:rPr>
          <w:rFonts w:eastAsiaTheme="minorEastAsia"/>
          <w:lang w:eastAsia="de-DE"/>
        </w:rPr>
        <w:t>适应新的变化的环境。异花授粉也会导致</w:t>
      </w:r>
      <w:r w:rsidRPr="008F12F5">
        <w:rPr>
          <w:rFonts w:eastAsiaTheme="minorEastAsia"/>
          <w:lang w:eastAsia="de-DE"/>
        </w:rPr>
        <w:lastRenderedPageBreak/>
        <w:t>更高的种子产量。</w:t>
      </w:r>
      <w:r w:rsidRPr="008F12F5">
        <w:rPr>
          <w:rFonts w:eastAsiaTheme="minorEastAsia"/>
          <w:lang w:eastAsia="zh-CN"/>
        </w:rPr>
        <w:t>授粉</w:t>
      </w:r>
      <w:r w:rsidRPr="008F12F5">
        <w:rPr>
          <w:rFonts w:eastAsiaTheme="minorEastAsia"/>
          <w:lang w:eastAsia="de-DE"/>
        </w:rPr>
        <w:t>媒介</w:t>
      </w:r>
      <w:r w:rsidRPr="008F12F5">
        <w:rPr>
          <w:rFonts w:eastAsiaTheme="minorEastAsia"/>
          <w:lang w:eastAsia="zh-CN"/>
        </w:rPr>
        <w:t>能够</w:t>
      </w:r>
      <w:r w:rsidRPr="008F12F5">
        <w:rPr>
          <w:rFonts w:eastAsiaTheme="minorEastAsia"/>
          <w:lang w:eastAsia="de-DE"/>
        </w:rPr>
        <w:t>确保种子繁殖体</w:t>
      </w:r>
      <w:r w:rsidRPr="008F12F5">
        <w:rPr>
          <w:rFonts w:eastAsiaTheme="minorEastAsia"/>
          <w:lang w:eastAsia="zh-CN"/>
        </w:rPr>
        <w:t>的供应</w:t>
      </w:r>
      <w:r w:rsidRPr="008F12F5">
        <w:rPr>
          <w:rFonts w:eastAsiaTheme="minorEastAsia"/>
          <w:lang w:eastAsia="de-DE"/>
        </w:rPr>
        <w:t>和促进遗传变异</w:t>
      </w:r>
      <w:r w:rsidRPr="008F12F5">
        <w:rPr>
          <w:rFonts w:eastAsiaTheme="minorEastAsia"/>
          <w:lang w:val="de-DE" w:eastAsia="de-DE"/>
        </w:rPr>
        <w:t>，</w:t>
      </w:r>
      <w:r w:rsidRPr="008F12F5">
        <w:rPr>
          <w:rFonts w:eastAsiaTheme="minorEastAsia"/>
          <w:lang w:eastAsia="de-DE"/>
        </w:rPr>
        <w:t>被认为对维持植物多样性和生态系统功能具有根本重要性</w:t>
      </w:r>
      <w:r w:rsidRPr="008F12F5">
        <w:rPr>
          <w:rFonts w:eastAsiaTheme="minorEastAsia"/>
          <w:lang w:eastAsia="zh-CN"/>
        </w:rPr>
        <w:t>。</w:t>
      </w:r>
    </w:p>
    <w:p w:rsidR="008F12F5" w:rsidRPr="008F12F5" w:rsidRDefault="008F12F5" w:rsidP="0069685F">
      <w:pPr>
        <w:pStyle w:val="ListParagraph"/>
        <w:widowControl w:val="0"/>
        <w:numPr>
          <w:ilvl w:val="1"/>
          <w:numId w:val="74"/>
        </w:numPr>
        <w:tabs>
          <w:tab w:val="left" w:pos="720"/>
        </w:tabs>
        <w:suppressAutoHyphens/>
        <w:autoSpaceDE w:val="0"/>
        <w:autoSpaceDN w:val="0"/>
        <w:adjustRightInd w:val="0"/>
        <w:snapToGrid w:val="0"/>
        <w:ind w:left="0" w:firstLine="0"/>
        <w:rPr>
          <w:rFonts w:eastAsiaTheme="minorEastAsia"/>
          <w:bCs/>
          <w:lang w:eastAsia="zh-CN"/>
        </w:rPr>
      </w:pPr>
      <w:r w:rsidRPr="008F12F5">
        <w:rPr>
          <w:rFonts w:eastAsiaTheme="minorEastAsia"/>
          <w:lang w:eastAsia="de-DE"/>
        </w:rPr>
        <w:t>植物和</w:t>
      </w:r>
      <w:r w:rsidRPr="008F12F5">
        <w:rPr>
          <w:rFonts w:eastAsiaTheme="minorEastAsia"/>
          <w:lang w:eastAsia="zh-CN"/>
        </w:rPr>
        <w:t>授粉媒介</w:t>
      </w:r>
      <w:r w:rsidRPr="008F12F5">
        <w:rPr>
          <w:rFonts w:eastAsiaTheme="minorEastAsia"/>
          <w:lang w:eastAsia="de-DE"/>
        </w:rPr>
        <w:t>对于生态系统的持续运作至关重要，</w:t>
      </w:r>
      <w:r w:rsidRPr="008F12F5">
        <w:rPr>
          <w:rFonts w:eastAsiaTheme="minorEastAsia"/>
          <w:lang w:eastAsia="zh-CN"/>
        </w:rPr>
        <w:t>除其他功能和服务外，</w:t>
      </w:r>
      <w:r w:rsidRPr="008F12F5">
        <w:rPr>
          <w:rFonts w:eastAsiaTheme="minorEastAsia"/>
          <w:lang w:eastAsia="de-DE"/>
        </w:rPr>
        <w:t>有助于调节气候</w:t>
      </w:r>
      <w:r w:rsidRPr="008F12F5">
        <w:rPr>
          <w:rFonts w:eastAsiaTheme="minorEastAsia"/>
          <w:lang w:eastAsia="zh-CN"/>
        </w:rPr>
        <w:t>、</w:t>
      </w:r>
      <w:r w:rsidRPr="008F12F5">
        <w:rPr>
          <w:rFonts w:eastAsiaTheme="minorEastAsia"/>
          <w:lang w:eastAsia="de-DE"/>
        </w:rPr>
        <w:t>提供支持许多其他物种</w:t>
      </w:r>
      <w:r w:rsidRPr="008F12F5">
        <w:rPr>
          <w:rFonts w:eastAsiaTheme="minorEastAsia"/>
          <w:lang w:eastAsia="zh-CN"/>
        </w:rPr>
        <w:t>的</w:t>
      </w:r>
      <w:r w:rsidRPr="008F12F5">
        <w:rPr>
          <w:rFonts w:eastAsiaTheme="minorEastAsia"/>
          <w:lang w:eastAsia="de-DE"/>
        </w:rPr>
        <w:t>野生肉类</w:t>
      </w:r>
      <w:r w:rsidRPr="008F12F5">
        <w:rPr>
          <w:rFonts w:eastAsiaTheme="minorEastAsia"/>
          <w:lang w:eastAsia="zh-CN"/>
        </w:rPr>
        <w:t>、</w:t>
      </w:r>
      <w:r w:rsidRPr="008F12F5">
        <w:rPr>
          <w:rFonts w:eastAsiaTheme="minorEastAsia"/>
          <w:lang w:eastAsia="de-DE"/>
        </w:rPr>
        <w:t>水果和种子</w:t>
      </w:r>
      <w:r w:rsidRPr="008F12F5">
        <w:rPr>
          <w:rFonts w:eastAsiaTheme="minorEastAsia"/>
          <w:lang w:eastAsia="zh-CN"/>
        </w:rPr>
        <w:t>、防治</w:t>
      </w:r>
      <w:r w:rsidRPr="008F12F5">
        <w:rPr>
          <w:rFonts w:eastAsiaTheme="minorEastAsia"/>
          <w:lang w:eastAsia="de-DE"/>
        </w:rPr>
        <w:t>疟疾和其他疾病。</w:t>
      </w:r>
      <w:r w:rsidRPr="008F12F5">
        <w:rPr>
          <w:rFonts w:eastAsiaTheme="minorEastAsia"/>
          <w:lang w:eastAsia="zh-CN"/>
        </w:rPr>
        <w:t>吸纳</w:t>
      </w:r>
      <w:r w:rsidRPr="008F12F5">
        <w:rPr>
          <w:rFonts w:eastAsiaTheme="minorEastAsia"/>
          <w:lang w:eastAsia="de-DE"/>
        </w:rPr>
        <w:t>高比例雌雄异</w:t>
      </w:r>
      <w:r w:rsidRPr="008F12F5">
        <w:rPr>
          <w:rFonts w:eastAsiaTheme="minorEastAsia"/>
          <w:lang w:eastAsia="zh-CN"/>
        </w:rPr>
        <w:t>体</w:t>
      </w:r>
      <w:r w:rsidRPr="008F12F5">
        <w:rPr>
          <w:rFonts w:eastAsiaTheme="minorEastAsia"/>
          <w:lang w:eastAsia="de-DE"/>
        </w:rPr>
        <w:t>的热带森林特别依赖授粉。另一个例子是</w:t>
      </w:r>
      <w:r w:rsidRPr="008F12F5">
        <w:rPr>
          <w:rFonts w:eastAsiaTheme="minorEastAsia"/>
          <w:lang w:val="de-DE" w:eastAsia="zh-CN"/>
        </w:rPr>
        <w:t>遍地都是</w:t>
      </w:r>
      <w:r w:rsidRPr="008F12F5">
        <w:rPr>
          <w:rFonts w:eastAsiaTheme="minorEastAsia"/>
          <w:lang w:eastAsia="zh-CN"/>
        </w:rPr>
        <w:t>专性远系繁殖植物的</w:t>
      </w:r>
      <w:r w:rsidRPr="008F12F5">
        <w:rPr>
          <w:rFonts w:eastAsiaTheme="minorEastAsia"/>
          <w:lang w:eastAsia="de-DE"/>
        </w:rPr>
        <w:t>红树林，</w:t>
      </w:r>
      <w:r w:rsidRPr="008F12F5">
        <w:rPr>
          <w:rFonts w:eastAsiaTheme="minorEastAsia"/>
          <w:lang w:eastAsia="zh-CN"/>
        </w:rPr>
        <w:t>它们</w:t>
      </w:r>
      <w:r w:rsidRPr="008F12F5">
        <w:rPr>
          <w:rFonts w:eastAsiaTheme="minorEastAsia"/>
          <w:lang w:eastAsia="de-DE"/>
        </w:rPr>
        <w:t>提供重要的</w:t>
      </w:r>
      <w:r w:rsidRPr="008F12F5">
        <w:rPr>
          <w:rFonts w:eastAsiaTheme="minorEastAsia"/>
          <w:lang w:eastAsia="zh-CN"/>
        </w:rPr>
        <w:t>功能和</w:t>
      </w:r>
      <w:r w:rsidRPr="008F12F5">
        <w:rPr>
          <w:rFonts w:eastAsiaTheme="minorEastAsia"/>
          <w:lang w:eastAsia="de-DE"/>
        </w:rPr>
        <w:t>服务，如防止海岸侵蚀</w:t>
      </w:r>
      <w:r w:rsidRPr="008F12F5">
        <w:rPr>
          <w:rFonts w:eastAsiaTheme="minorEastAsia"/>
          <w:lang w:eastAsia="zh-CN"/>
        </w:rPr>
        <w:t>、</w:t>
      </w:r>
      <w:r w:rsidRPr="008F12F5">
        <w:rPr>
          <w:rFonts w:eastAsiaTheme="minorEastAsia"/>
          <w:lang w:eastAsia="de-DE"/>
        </w:rPr>
        <w:t>防止洪水和盐</w:t>
      </w:r>
      <w:r w:rsidRPr="008F12F5">
        <w:rPr>
          <w:rFonts w:eastAsiaTheme="minorEastAsia"/>
          <w:lang w:eastAsia="zh-CN"/>
        </w:rPr>
        <w:t>水入侵、</w:t>
      </w:r>
      <w:r w:rsidRPr="008F12F5">
        <w:rPr>
          <w:rFonts w:eastAsiaTheme="minorEastAsia"/>
          <w:lang w:eastAsia="de-DE"/>
        </w:rPr>
        <w:t>提供木材燃料和木材</w:t>
      </w:r>
      <w:r w:rsidRPr="008F12F5">
        <w:rPr>
          <w:rFonts w:eastAsiaTheme="minorEastAsia"/>
          <w:lang w:eastAsia="zh-CN"/>
        </w:rPr>
        <w:t>、</w:t>
      </w:r>
      <w:r w:rsidRPr="008F12F5">
        <w:rPr>
          <w:rFonts w:eastAsiaTheme="minorEastAsia"/>
          <w:lang w:eastAsia="de-DE"/>
        </w:rPr>
        <w:t>支持渔业，</w:t>
      </w:r>
      <w:r w:rsidRPr="008F12F5">
        <w:rPr>
          <w:rFonts w:eastAsiaTheme="minorEastAsia"/>
          <w:lang w:eastAsia="zh-CN"/>
        </w:rPr>
        <w:t>并</w:t>
      </w:r>
      <w:r w:rsidRPr="008F12F5">
        <w:rPr>
          <w:rFonts w:eastAsiaTheme="minorEastAsia"/>
          <w:lang w:eastAsia="de-DE"/>
        </w:rPr>
        <w:t>为蜜蜂</w:t>
      </w:r>
      <w:r w:rsidRPr="008F12F5">
        <w:rPr>
          <w:rFonts w:eastAsiaTheme="minorEastAsia"/>
          <w:lang w:eastAsia="zh-CN"/>
        </w:rPr>
        <w:t>和其他许多物种提供生境和食物供应。</w:t>
      </w:r>
    </w:p>
    <w:p w:rsidR="008F12F5" w:rsidRPr="008F12F5" w:rsidRDefault="008F12F5" w:rsidP="0069685F">
      <w:pPr>
        <w:pStyle w:val="ListParagraph"/>
        <w:widowControl w:val="0"/>
        <w:numPr>
          <w:ilvl w:val="1"/>
          <w:numId w:val="74"/>
        </w:numPr>
        <w:tabs>
          <w:tab w:val="left" w:pos="720"/>
        </w:tabs>
        <w:suppressAutoHyphens/>
        <w:autoSpaceDE w:val="0"/>
        <w:autoSpaceDN w:val="0"/>
        <w:adjustRightInd w:val="0"/>
        <w:snapToGrid w:val="0"/>
        <w:ind w:left="0" w:firstLine="0"/>
        <w:rPr>
          <w:rFonts w:eastAsiaTheme="minorEastAsia"/>
          <w:lang w:eastAsia="de-DE"/>
        </w:rPr>
      </w:pPr>
      <w:r w:rsidRPr="008F12F5">
        <w:rPr>
          <w:rFonts w:eastAsiaTheme="minorEastAsia"/>
          <w:lang w:eastAsia="de-DE"/>
        </w:rPr>
        <w:t>植物与其花卉参观者之间的相互作用不仅能维持植物多样性，还能维持大约</w:t>
      </w:r>
      <w:r w:rsidRPr="008F12F5">
        <w:rPr>
          <w:rFonts w:eastAsiaTheme="minorEastAsia"/>
          <w:lang w:eastAsia="de-DE"/>
        </w:rPr>
        <w:t>35</w:t>
      </w:r>
      <w:r w:rsidRPr="008F12F5">
        <w:rPr>
          <w:rFonts w:eastAsiaTheme="minorEastAsia"/>
          <w:lang w:eastAsia="de-DE"/>
        </w:rPr>
        <w:t>万种动物的多样性。虽然有强有力的证据表明，由于缺乏花卉资源而导致授粉媒介种群局部灭绝，但是，没有提出过关于缺乏花卉资源导致动物物种灭绝的报告。然而，考虑到生境破碎化程度、在过去</w:t>
      </w:r>
      <w:r w:rsidRPr="008F12F5">
        <w:rPr>
          <w:rFonts w:eastAsiaTheme="minorEastAsia"/>
          <w:lang w:eastAsia="de-DE"/>
        </w:rPr>
        <w:t>100</w:t>
      </w:r>
      <w:r w:rsidRPr="008F12F5">
        <w:rPr>
          <w:rFonts w:eastAsiaTheme="minorEastAsia"/>
          <w:lang w:eastAsia="de-DE"/>
        </w:rPr>
        <w:t>年里已经灭绝或近乎灭绝的大量植物物种，以及有关访花动物利用寄主植物方面知识的缺失，这种情况实际发生却没得到记录的可能性是真实存在的。关于野生访花动物群落变化的数据是非常难以获取的</w:t>
      </w:r>
      <w:r w:rsidRPr="008F12F5">
        <w:rPr>
          <w:rFonts w:eastAsiaTheme="minorEastAsia"/>
          <w:bCs/>
          <w:lang w:eastAsia="zh-CN"/>
        </w:rPr>
        <w:t>，而这些变化的根源更是难以查明。</w:t>
      </w:r>
    </w:p>
    <w:p w:rsidR="008F12F5" w:rsidRPr="008F12F5" w:rsidRDefault="008F12F5" w:rsidP="0069685F">
      <w:pPr>
        <w:pStyle w:val="ListParagraph"/>
        <w:widowControl w:val="0"/>
        <w:numPr>
          <w:ilvl w:val="1"/>
          <w:numId w:val="74"/>
        </w:numPr>
        <w:tabs>
          <w:tab w:val="left" w:pos="720"/>
        </w:tabs>
        <w:suppressAutoHyphens/>
        <w:autoSpaceDE w:val="0"/>
        <w:autoSpaceDN w:val="0"/>
        <w:adjustRightInd w:val="0"/>
        <w:snapToGrid w:val="0"/>
        <w:ind w:left="0" w:firstLine="0"/>
        <w:rPr>
          <w:rFonts w:eastAsiaTheme="minorEastAsia"/>
          <w:lang w:eastAsia="de-DE"/>
        </w:rPr>
      </w:pPr>
      <w:r w:rsidRPr="008F12F5">
        <w:rPr>
          <w:rFonts w:eastAsiaTheme="minorEastAsia"/>
          <w:lang w:eastAsia="de-DE"/>
        </w:rPr>
        <w:t>授粉媒介</w:t>
      </w:r>
      <w:r w:rsidRPr="008F12F5">
        <w:rPr>
          <w:rFonts w:eastAsiaTheme="minorEastAsia"/>
          <w:lang w:eastAsia="zh-CN"/>
        </w:rPr>
        <w:t>、</w:t>
      </w:r>
      <w:r w:rsidRPr="008F12F5">
        <w:rPr>
          <w:rFonts w:eastAsiaTheme="minorEastAsia"/>
          <w:lang w:eastAsia="de-DE"/>
        </w:rPr>
        <w:t>授粉媒介</w:t>
      </w:r>
      <w:r w:rsidRPr="008F12F5">
        <w:rPr>
          <w:rFonts w:eastAsiaTheme="minorEastAsia"/>
          <w:lang w:eastAsia="zh-CN"/>
        </w:rPr>
        <w:t>生境</w:t>
      </w:r>
      <w:r w:rsidRPr="008F12F5">
        <w:rPr>
          <w:rFonts w:eastAsiaTheme="minorEastAsia"/>
          <w:lang w:eastAsia="de-DE"/>
        </w:rPr>
        <w:t>和传粉媒介产品是艺术</w:t>
      </w:r>
      <w:r w:rsidRPr="008F12F5">
        <w:rPr>
          <w:rFonts w:eastAsiaTheme="minorEastAsia"/>
          <w:lang w:eastAsia="zh-CN"/>
        </w:rPr>
        <w:t>、</w:t>
      </w:r>
      <w:r w:rsidRPr="008F12F5">
        <w:rPr>
          <w:rFonts w:eastAsiaTheme="minorEastAsia"/>
          <w:lang w:eastAsia="de-DE"/>
        </w:rPr>
        <w:t>教育</w:t>
      </w:r>
      <w:r w:rsidRPr="008F12F5">
        <w:rPr>
          <w:rFonts w:eastAsiaTheme="minorEastAsia"/>
          <w:lang w:eastAsia="zh-CN"/>
        </w:rPr>
        <w:t>、</w:t>
      </w:r>
      <w:r w:rsidRPr="008F12F5">
        <w:rPr>
          <w:rFonts w:eastAsiaTheme="minorEastAsia"/>
          <w:lang w:eastAsia="de-DE"/>
        </w:rPr>
        <w:t>文学</w:t>
      </w:r>
      <w:r w:rsidRPr="008F12F5">
        <w:rPr>
          <w:rFonts w:eastAsiaTheme="minorEastAsia"/>
          <w:lang w:eastAsia="zh-CN"/>
        </w:rPr>
        <w:t>、</w:t>
      </w:r>
      <w:r w:rsidRPr="008F12F5">
        <w:rPr>
          <w:rFonts w:eastAsiaTheme="minorEastAsia"/>
          <w:lang w:eastAsia="de-DE"/>
        </w:rPr>
        <w:t>音乐</w:t>
      </w:r>
      <w:r w:rsidRPr="008F12F5">
        <w:rPr>
          <w:rFonts w:eastAsiaTheme="minorEastAsia"/>
          <w:lang w:eastAsia="zh-CN"/>
        </w:rPr>
        <w:t>、</w:t>
      </w:r>
      <w:r w:rsidRPr="008F12F5">
        <w:rPr>
          <w:rFonts w:eastAsiaTheme="minorEastAsia"/>
          <w:lang w:eastAsia="de-DE"/>
        </w:rPr>
        <w:t>宗教</w:t>
      </w:r>
      <w:r w:rsidRPr="008F12F5">
        <w:rPr>
          <w:rFonts w:eastAsiaTheme="minorEastAsia"/>
          <w:lang w:eastAsia="zh-CN"/>
        </w:rPr>
        <w:t>、</w:t>
      </w:r>
      <w:r w:rsidRPr="008F12F5">
        <w:rPr>
          <w:rFonts w:eastAsiaTheme="minorEastAsia"/>
          <w:lang w:eastAsia="de-DE"/>
        </w:rPr>
        <w:t>传统和技术的灵感来源。</w:t>
      </w:r>
      <w:r w:rsidRPr="008F12F5">
        <w:rPr>
          <w:rFonts w:eastAsiaTheme="minorEastAsia"/>
          <w:bCs/>
          <w:lang w:eastAsia="zh-CN"/>
        </w:rPr>
        <w:t>50</w:t>
      </w:r>
      <w:r w:rsidRPr="008F12F5">
        <w:rPr>
          <w:rFonts w:eastAsiaTheme="minorEastAsia"/>
          <w:lang w:eastAsia="de-DE"/>
        </w:rPr>
        <w:t>多个国家</w:t>
      </w:r>
      <w:r w:rsidRPr="008F12F5">
        <w:rPr>
          <w:rFonts w:eastAsiaTheme="minorEastAsia"/>
          <w:lang w:eastAsia="zh-CN"/>
        </w:rPr>
        <w:t>记录了建立在土著</w:t>
      </w:r>
      <w:r w:rsidRPr="008F12F5">
        <w:rPr>
          <w:rFonts w:eastAsiaTheme="minorEastAsia"/>
          <w:lang w:eastAsia="de-DE"/>
        </w:rPr>
        <w:t>和传统知识</w:t>
      </w:r>
      <w:r w:rsidRPr="008F12F5">
        <w:rPr>
          <w:rFonts w:eastAsiaTheme="minorEastAsia"/>
          <w:lang w:eastAsia="zh-CN"/>
        </w:rPr>
        <w:t>基础上</w:t>
      </w:r>
      <w:r w:rsidRPr="008F12F5">
        <w:rPr>
          <w:rFonts w:eastAsiaTheme="minorEastAsia"/>
          <w:lang w:eastAsia="de-DE"/>
        </w:rPr>
        <w:t>的</w:t>
      </w:r>
      <w:r w:rsidRPr="008F12F5">
        <w:rPr>
          <w:rFonts w:eastAsiaTheme="minorEastAsia"/>
          <w:lang w:eastAsia="zh-CN"/>
        </w:rPr>
        <w:t>采蜜</w:t>
      </w:r>
      <w:r w:rsidRPr="008F12F5">
        <w:rPr>
          <w:rFonts w:eastAsiaTheme="minorEastAsia"/>
          <w:lang w:eastAsia="de-DE"/>
        </w:rPr>
        <w:t>和养蜂实践。蜜蜂</w:t>
      </w:r>
      <w:r w:rsidRPr="008F12F5">
        <w:rPr>
          <w:rFonts w:eastAsiaTheme="minorEastAsia"/>
          <w:lang w:eastAsia="zh-CN"/>
        </w:rPr>
        <w:t>为</w:t>
      </w:r>
      <w:r w:rsidRPr="008F12F5">
        <w:rPr>
          <w:rFonts w:eastAsiaTheme="minorEastAsia"/>
          <w:lang w:eastAsia="de-DE"/>
        </w:rPr>
        <w:t>世界各地的宗教图像和文本</w:t>
      </w:r>
      <w:r w:rsidRPr="008F12F5">
        <w:rPr>
          <w:rFonts w:eastAsiaTheme="minorEastAsia"/>
          <w:lang w:eastAsia="zh-CN"/>
        </w:rPr>
        <w:t>提供了灵感</w:t>
      </w:r>
      <w:r w:rsidRPr="008F12F5">
        <w:rPr>
          <w:rFonts w:eastAsiaTheme="minorEastAsia"/>
          <w:lang w:eastAsia="de-DE"/>
        </w:rPr>
        <w:t>，其他传粉</w:t>
      </w:r>
      <w:r w:rsidRPr="008F12F5">
        <w:rPr>
          <w:rFonts w:eastAsiaTheme="minorEastAsia"/>
          <w:lang w:eastAsia="zh-CN"/>
        </w:rPr>
        <w:t>媒介</w:t>
      </w:r>
      <w:r w:rsidRPr="008F12F5">
        <w:rPr>
          <w:rFonts w:eastAsiaTheme="minorEastAsia"/>
          <w:lang w:eastAsia="de-DE"/>
        </w:rPr>
        <w:t>（如蜂鸟）</w:t>
      </w:r>
      <w:r w:rsidRPr="008F12F5">
        <w:rPr>
          <w:rFonts w:eastAsiaTheme="minorEastAsia"/>
          <w:lang w:eastAsia="zh-CN"/>
        </w:rPr>
        <w:t>为</w:t>
      </w:r>
      <w:r w:rsidRPr="008F12F5">
        <w:rPr>
          <w:rFonts w:eastAsiaTheme="minorEastAsia"/>
          <w:lang w:eastAsia="de-DE"/>
        </w:rPr>
        <w:t>牙买加和新加坡等国</w:t>
      </w:r>
      <w:r w:rsidRPr="008F12F5">
        <w:rPr>
          <w:rFonts w:eastAsiaTheme="minorEastAsia"/>
          <w:lang w:eastAsia="zh-CN"/>
        </w:rPr>
        <w:t>确认民族特征作出了贡献</w:t>
      </w:r>
      <w:r w:rsidRPr="008F12F5">
        <w:rPr>
          <w:rFonts w:eastAsiaTheme="minorEastAsia"/>
          <w:lang w:eastAsia="de-DE"/>
        </w:rPr>
        <w:t>。</w:t>
      </w:r>
      <w:r w:rsidRPr="008F12F5">
        <w:rPr>
          <w:rFonts w:eastAsiaTheme="minorEastAsia"/>
          <w:lang w:eastAsia="zh-CN"/>
        </w:rPr>
        <w:t>授粉</w:t>
      </w:r>
      <w:r w:rsidRPr="008F12F5">
        <w:rPr>
          <w:rFonts w:eastAsiaTheme="minorEastAsia"/>
          <w:lang w:eastAsia="de-DE"/>
        </w:rPr>
        <w:t>媒介和</w:t>
      </w:r>
      <w:r w:rsidRPr="008F12F5">
        <w:rPr>
          <w:rFonts w:eastAsiaTheme="minorEastAsia"/>
          <w:lang w:eastAsia="zh-CN"/>
        </w:rPr>
        <w:t>授粉</w:t>
      </w:r>
      <w:r w:rsidRPr="008F12F5">
        <w:rPr>
          <w:rFonts w:eastAsiaTheme="minorEastAsia"/>
          <w:lang w:eastAsia="de-DE"/>
        </w:rPr>
        <w:t>媒介依赖</w:t>
      </w:r>
      <w:r w:rsidRPr="008F12F5">
        <w:rPr>
          <w:rFonts w:eastAsiaTheme="minorEastAsia"/>
          <w:lang w:eastAsia="zh-CN"/>
        </w:rPr>
        <w:t>型</w:t>
      </w:r>
      <w:r w:rsidRPr="008F12F5">
        <w:rPr>
          <w:rFonts w:eastAsiaTheme="minorEastAsia"/>
          <w:lang w:eastAsia="de-DE"/>
        </w:rPr>
        <w:t>植物通过将其生物学启发和应用到人类创新</w:t>
      </w:r>
      <w:r w:rsidRPr="008F12F5">
        <w:rPr>
          <w:rFonts w:eastAsiaTheme="minorEastAsia"/>
          <w:lang w:eastAsia="zh-CN"/>
        </w:rPr>
        <w:t>中，例如机器人视觉导航，</w:t>
      </w:r>
      <w:r w:rsidRPr="008F12F5">
        <w:rPr>
          <w:rFonts w:eastAsiaTheme="minorEastAsia"/>
          <w:lang w:eastAsia="de-DE"/>
        </w:rPr>
        <w:t>来支持技术和知识的进步</w:t>
      </w:r>
      <w:r w:rsidRPr="008F12F5">
        <w:rPr>
          <w:rFonts w:eastAsiaTheme="minorEastAsia"/>
          <w:lang w:eastAsia="zh-CN"/>
        </w:rPr>
        <w:t>。</w:t>
      </w:r>
    </w:p>
    <w:p w:rsidR="008F12F5" w:rsidRPr="008F12F5" w:rsidRDefault="008F12F5" w:rsidP="0069685F">
      <w:pPr>
        <w:pStyle w:val="ListParagraph"/>
        <w:numPr>
          <w:ilvl w:val="1"/>
          <w:numId w:val="74"/>
        </w:numPr>
        <w:tabs>
          <w:tab w:val="left" w:pos="720"/>
        </w:tabs>
        <w:suppressAutoHyphens/>
        <w:autoSpaceDE w:val="0"/>
        <w:autoSpaceDN w:val="0"/>
        <w:adjustRightInd w:val="0"/>
        <w:snapToGrid w:val="0"/>
        <w:ind w:left="0" w:firstLine="0"/>
        <w:rPr>
          <w:rFonts w:eastAsiaTheme="minorEastAsia"/>
          <w:lang w:eastAsia="de-DE"/>
        </w:rPr>
      </w:pPr>
      <w:r w:rsidRPr="008F12F5">
        <w:rPr>
          <w:rFonts w:eastAsiaTheme="minorEastAsia"/>
          <w:lang w:eastAsia="de-DE"/>
        </w:rPr>
        <w:t>蜜蜂产品促进全球养蜂人的收入。通过</w:t>
      </w:r>
      <w:r w:rsidRPr="008F12F5">
        <w:rPr>
          <w:rFonts w:eastAsiaTheme="minorEastAsia"/>
          <w:lang w:eastAsia="zh-CN"/>
        </w:rPr>
        <w:t>有利于蜜蜂的</w:t>
      </w:r>
      <w:r w:rsidRPr="008F12F5">
        <w:rPr>
          <w:rFonts w:eastAsiaTheme="minorEastAsia"/>
          <w:lang w:eastAsia="de-DE"/>
        </w:rPr>
        <w:t>行动，养蜂业</w:t>
      </w:r>
      <w:r w:rsidRPr="008F12F5">
        <w:rPr>
          <w:rFonts w:eastAsiaTheme="minorEastAsia"/>
          <w:lang w:eastAsia="zh-CN"/>
        </w:rPr>
        <w:t>有可能</w:t>
      </w:r>
      <w:r w:rsidRPr="008F12F5">
        <w:rPr>
          <w:rFonts w:eastAsiaTheme="minorEastAsia"/>
          <w:lang w:eastAsia="de-DE"/>
        </w:rPr>
        <w:t>成为减少贫</w:t>
      </w:r>
      <w:r w:rsidRPr="008F12F5">
        <w:rPr>
          <w:rFonts w:eastAsiaTheme="minorEastAsia"/>
          <w:lang w:eastAsia="zh-CN"/>
        </w:rPr>
        <w:t>穷、</w:t>
      </w:r>
      <w:r w:rsidRPr="008F12F5">
        <w:rPr>
          <w:rFonts w:eastAsiaTheme="minorEastAsia"/>
          <w:lang w:eastAsia="de-DE"/>
        </w:rPr>
        <w:t>赋予青年权</w:t>
      </w:r>
      <w:r w:rsidRPr="008F12F5">
        <w:rPr>
          <w:rFonts w:eastAsiaTheme="minorEastAsia"/>
          <w:lang w:eastAsia="zh-CN"/>
        </w:rPr>
        <w:t>能和</w:t>
      </w:r>
      <w:r w:rsidRPr="008F12F5">
        <w:rPr>
          <w:rFonts w:eastAsiaTheme="minorEastAsia"/>
          <w:lang w:eastAsia="de-DE"/>
        </w:rPr>
        <w:t>为保护生物多样性创造机会</w:t>
      </w:r>
      <w:r w:rsidRPr="008F12F5">
        <w:rPr>
          <w:rFonts w:eastAsiaTheme="minorEastAsia"/>
          <w:lang w:eastAsia="zh-CN"/>
        </w:rPr>
        <w:t>的有效工具</w:t>
      </w:r>
      <w:r w:rsidRPr="008F12F5">
        <w:rPr>
          <w:rFonts w:eastAsiaTheme="minorEastAsia"/>
          <w:lang w:eastAsia="de-DE"/>
        </w:rPr>
        <w:t>。</w:t>
      </w:r>
    </w:p>
    <w:p w:rsidR="008F12F5" w:rsidRPr="008F12F5" w:rsidRDefault="008F12F5" w:rsidP="0069685F">
      <w:pPr>
        <w:pStyle w:val="ListParagraph"/>
        <w:numPr>
          <w:ilvl w:val="1"/>
          <w:numId w:val="74"/>
        </w:numPr>
        <w:tabs>
          <w:tab w:val="left" w:pos="720"/>
        </w:tabs>
        <w:suppressAutoHyphens/>
        <w:autoSpaceDE w:val="0"/>
        <w:autoSpaceDN w:val="0"/>
        <w:adjustRightInd w:val="0"/>
        <w:snapToGrid w:val="0"/>
        <w:ind w:left="0" w:firstLine="0"/>
        <w:rPr>
          <w:rFonts w:eastAsiaTheme="minorEastAsia"/>
          <w:lang w:eastAsia="de-DE"/>
        </w:rPr>
      </w:pPr>
      <w:r w:rsidRPr="008F12F5">
        <w:rPr>
          <w:rFonts w:eastAsiaTheme="minorEastAsia"/>
          <w:lang w:eastAsia="de-DE"/>
        </w:rPr>
        <w:t>除作物外还有一系列具有重要经济意义的植物依赖动物授粉媒介，其中包括</w:t>
      </w:r>
      <w:r w:rsidRPr="008F12F5">
        <w:rPr>
          <w:rFonts w:eastAsiaTheme="minorEastAsia"/>
          <w:lang w:eastAsia="zh-CN"/>
        </w:rPr>
        <w:t>多种药用</w:t>
      </w:r>
      <w:r w:rsidRPr="008F12F5">
        <w:rPr>
          <w:rFonts w:eastAsiaTheme="minorEastAsia"/>
          <w:lang w:eastAsia="de-DE"/>
        </w:rPr>
        <w:t>植物物种。其他</w:t>
      </w:r>
      <w:r w:rsidRPr="008F12F5">
        <w:rPr>
          <w:rFonts w:eastAsiaTheme="minorEastAsia"/>
          <w:lang w:eastAsia="zh-CN"/>
        </w:rPr>
        <w:t>授粉</w:t>
      </w:r>
      <w:r w:rsidRPr="008F12F5">
        <w:rPr>
          <w:rFonts w:eastAsiaTheme="minorEastAsia"/>
          <w:lang w:eastAsia="de-DE"/>
        </w:rPr>
        <w:t>媒介</w:t>
      </w:r>
      <w:r w:rsidRPr="008F12F5">
        <w:rPr>
          <w:rFonts w:eastAsiaTheme="minorEastAsia"/>
          <w:lang w:eastAsia="zh-CN"/>
        </w:rPr>
        <w:t>依赖型</w:t>
      </w:r>
      <w:r w:rsidRPr="008F12F5">
        <w:rPr>
          <w:rFonts w:eastAsiaTheme="minorEastAsia"/>
          <w:lang w:eastAsia="de-DE"/>
        </w:rPr>
        <w:t>植物可提供有价值的</w:t>
      </w:r>
      <w:r w:rsidRPr="008F12F5">
        <w:rPr>
          <w:rFonts w:eastAsiaTheme="minorEastAsia"/>
          <w:lang w:eastAsia="zh-CN"/>
        </w:rPr>
        <w:t>功能和</w:t>
      </w:r>
      <w:r w:rsidRPr="008F12F5">
        <w:rPr>
          <w:rFonts w:eastAsiaTheme="minorEastAsia"/>
          <w:lang w:eastAsia="de-DE"/>
        </w:rPr>
        <w:t>服务，如观赏植物</w:t>
      </w:r>
      <w:r w:rsidRPr="008F12F5">
        <w:rPr>
          <w:rFonts w:eastAsiaTheme="minorEastAsia"/>
          <w:lang w:eastAsia="zh-CN"/>
        </w:rPr>
        <w:t>、</w:t>
      </w:r>
      <w:r w:rsidRPr="008F12F5">
        <w:rPr>
          <w:rFonts w:eastAsiaTheme="minorEastAsia"/>
          <w:lang w:eastAsia="de-DE"/>
        </w:rPr>
        <w:t>生物燃料</w:t>
      </w:r>
      <w:r w:rsidRPr="008F12F5">
        <w:rPr>
          <w:rFonts w:eastAsiaTheme="minorEastAsia"/>
          <w:lang w:eastAsia="zh-CN"/>
        </w:rPr>
        <w:t>、</w:t>
      </w:r>
      <w:r w:rsidRPr="008F12F5">
        <w:rPr>
          <w:rFonts w:eastAsiaTheme="minorEastAsia"/>
          <w:lang w:eastAsia="de-DE"/>
        </w:rPr>
        <w:t>纤维</w:t>
      </w:r>
      <w:r w:rsidRPr="008F12F5">
        <w:rPr>
          <w:rFonts w:eastAsiaTheme="minorEastAsia"/>
          <w:lang w:eastAsia="zh-CN"/>
        </w:rPr>
        <w:t>、</w:t>
      </w:r>
      <w:r w:rsidRPr="008F12F5">
        <w:rPr>
          <w:rFonts w:eastAsiaTheme="minorEastAsia"/>
          <w:lang w:eastAsia="de-DE"/>
        </w:rPr>
        <w:t>建筑材料</w:t>
      </w:r>
      <w:r w:rsidRPr="008F12F5">
        <w:rPr>
          <w:rFonts w:eastAsiaTheme="minorEastAsia"/>
          <w:lang w:eastAsia="zh-CN"/>
        </w:rPr>
        <w:t>、</w:t>
      </w:r>
      <w:r w:rsidRPr="008F12F5">
        <w:rPr>
          <w:rFonts w:eastAsiaTheme="minorEastAsia"/>
          <w:lang w:eastAsia="de-DE"/>
        </w:rPr>
        <w:t>乐器</w:t>
      </w:r>
      <w:r w:rsidRPr="008F12F5">
        <w:rPr>
          <w:rFonts w:eastAsiaTheme="minorEastAsia"/>
          <w:lang w:eastAsia="zh-CN"/>
        </w:rPr>
        <w:t>、</w:t>
      </w:r>
      <w:r w:rsidRPr="008F12F5">
        <w:rPr>
          <w:rFonts w:eastAsiaTheme="minorEastAsia"/>
          <w:lang w:eastAsia="de-DE"/>
        </w:rPr>
        <w:t>艺术</w:t>
      </w:r>
      <w:r w:rsidRPr="008F12F5">
        <w:rPr>
          <w:rFonts w:eastAsiaTheme="minorEastAsia"/>
          <w:lang w:eastAsia="zh-CN"/>
        </w:rPr>
        <w:t>、</w:t>
      </w:r>
      <w:r w:rsidRPr="008F12F5">
        <w:rPr>
          <w:rFonts w:eastAsiaTheme="minorEastAsia"/>
          <w:lang w:eastAsia="de-DE"/>
        </w:rPr>
        <w:t>手工艺和娱乐活动。</w:t>
      </w:r>
      <w:r w:rsidRPr="008F12F5">
        <w:rPr>
          <w:rFonts w:eastAsiaTheme="minorEastAsia"/>
          <w:lang w:eastAsia="zh-CN"/>
        </w:rPr>
        <w:t>授粉</w:t>
      </w:r>
      <w:r w:rsidRPr="008F12F5">
        <w:rPr>
          <w:rFonts w:eastAsiaTheme="minorEastAsia"/>
          <w:lang w:eastAsia="de-DE"/>
        </w:rPr>
        <w:t>媒介依赖</w:t>
      </w:r>
      <w:r w:rsidRPr="008F12F5">
        <w:rPr>
          <w:rFonts w:eastAsiaTheme="minorEastAsia"/>
          <w:lang w:eastAsia="zh-CN"/>
        </w:rPr>
        <w:t>型</w:t>
      </w:r>
      <w:r w:rsidRPr="008F12F5">
        <w:rPr>
          <w:rFonts w:eastAsiaTheme="minorEastAsia"/>
          <w:lang w:eastAsia="de-DE"/>
        </w:rPr>
        <w:t>植物</w:t>
      </w:r>
      <w:r w:rsidRPr="008F12F5">
        <w:rPr>
          <w:rFonts w:eastAsiaTheme="minorEastAsia"/>
          <w:lang w:eastAsia="zh-CN"/>
        </w:rPr>
        <w:t>还</w:t>
      </w:r>
      <w:r w:rsidRPr="008F12F5">
        <w:rPr>
          <w:rFonts w:eastAsiaTheme="minorEastAsia"/>
          <w:lang w:eastAsia="de-DE"/>
        </w:rPr>
        <w:t>回收二氧化碳</w:t>
      </w:r>
      <w:r w:rsidRPr="008F12F5">
        <w:rPr>
          <w:rFonts w:eastAsiaTheme="minorEastAsia"/>
          <w:lang w:eastAsia="zh-CN"/>
        </w:rPr>
        <w:t>，</w:t>
      </w:r>
      <w:r w:rsidRPr="008F12F5">
        <w:rPr>
          <w:rFonts w:eastAsiaTheme="minorEastAsia"/>
          <w:lang w:eastAsia="de-DE"/>
        </w:rPr>
        <w:t>调节气候</w:t>
      </w:r>
      <w:r w:rsidRPr="008F12F5">
        <w:rPr>
          <w:rFonts w:eastAsiaTheme="minorEastAsia"/>
          <w:lang w:eastAsia="zh-CN"/>
        </w:rPr>
        <w:t>，</w:t>
      </w:r>
      <w:r w:rsidRPr="008F12F5">
        <w:rPr>
          <w:rFonts w:eastAsiaTheme="minorEastAsia"/>
          <w:lang w:eastAsia="de-DE"/>
        </w:rPr>
        <w:t>改善空气和水质</w:t>
      </w:r>
      <w:r w:rsidRPr="008F12F5">
        <w:rPr>
          <w:rFonts w:eastAsiaTheme="minorEastAsia"/>
          <w:lang w:eastAsia="zh-CN"/>
        </w:rPr>
        <w:t>。</w:t>
      </w:r>
      <w:r w:rsidRPr="008F12F5">
        <w:rPr>
          <w:rFonts w:eastAsiaTheme="minorEastAsia"/>
          <w:lang w:eastAsia="de-DE"/>
        </w:rPr>
        <w:t>包括维生素</w:t>
      </w:r>
      <w:r w:rsidRPr="008F12F5">
        <w:rPr>
          <w:rFonts w:eastAsiaTheme="minorEastAsia"/>
          <w:lang w:eastAsia="de-DE"/>
        </w:rPr>
        <w:t>A</w:t>
      </w:r>
      <w:r w:rsidRPr="008F12F5">
        <w:rPr>
          <w:rFonts w:eastAsiaTheme="minorEastAsia"/>
          <w:lang w:eastAsia="de-DE"/>
        </w:rPr>
        <w:t>和</w:t>
      </w:r>
      <w:r w:rsidRPr="008F12F5">
        <w:rPr>
          <w:rFonts w:eastAsiaTheme="minorEastAsia"/>
          <w:lang w:eastAsia="de-DE"/>
        </w:rPr>
        <w:t>C</w:t>
      </w:r>
      <w:r w:rsidRPr="008F12F5">
        <w:rPr>
          <w:rFonts w:eastAsiaTheme="minorEastAsia"/>
          <w:lang w:eastAsia="zh-CN"/>
        </w:rPr>
        <w:t>、</w:t>
      </w:r>
      <w:r w:rsidRPr="008F12F5">
        <w:rPr>
          <w:rFonts w:eastAsiaTheme="minorEastAsia"/>
          <w:lang w:eastAsia="de-DE"/>
        </w:rPr>
        <w:t>钙</w:t>
      </w:r>
      <w:r w:rsidRPr="008F12F5">
        <w:rPr>
          <w:rFonts w:eastAsiaTheme="minorEastAsia"/>
          <w:lang w:eastAsia="zh-CN"/>
        </w:rPr>
        <w:t>、</w:t>
      </w:r>
      <w:r w:rsidRPr="008F12F5">
        <w:rPr>
          <w:rFonts w:eastAsiaTheme="minorEastAsia"/>
          <w:lang w:eastAsia="de-DE"/>
        </w:rPr>
        <w:t>氟和叶酸</w:t>
      </w:r>
      <w:r w:rsidRPr="008F12F5">
        <w:rPr>
          <w:rFonts w:eastAsiaTheme="minorEastAsia"/>
          <w:lang w:eastAsia="zh-CN"/>
        </w:rPr>
        <w:t>等在内的</w:t>
      </w:r>
      <w:r w:rsidRPr="008F12F5">
        <w:rPr>
          <w:rFonts w:eastAsiaTheme="minorEastAsia"/>
          <w:lang w:eastAsia="de-DE"/>
        </w:rPr>
        <w:t>几种微量营养素</w:t>
      </w:r>
      <w:r w:rsidRPr="008F12F5">
        <w:rPr>
          <w:rFonts w:eastAsiaTheme="minorEastAsia"/>
          <w:lang w:eastAsia="zh-CN"/>
        </w:rPr>
        <w:t>也</w:t>
      </w:r>
      <w:r w:rsidRPr="008F12F5">
        <w:rPr>
          <w:rFonts w:eastAsiaTheme="minorEastAsia"/>
          <w:lang w:eastAsia="de-DE"/>
        </w:rPr>
        <w:t>主要</w:t>
      </w:r>
      <w:r w:rsidRPr="008F12F5">
        <w:rPr>
          <w:rFonts w:eastAsiaTheme="minorEastAsia"/>
          <w:lang w:eastAsia="zh-CN"/>
        </w:rPr>
        <w:t>取</w:t>
      </w:r>
      <w:r w:rsidRPr="008F12F5">
        <w:rPr>
          <w:rFonts w:eastAsiaTheme="minorEastAsia"/>
          <w:lang w:eastAsia="de-DE"/>
        </w:rPr>
        <w:t>自</w:t>
      </w:r>
      <w:r w:rsidRPr="008F12F5">
        <w:rPr>
          <w:rFonts w:eastAsiaTheme="minorEastAsia"/>
          <w:lang w:eastAsia="zh-CN"/>
        </w:rPr>
        <w:t>授粉</w:t>
      </w:r>
      <w:r w:rsidRPr="008F12F5">
        <w:rPr>
          <w:rFonts w:eastAsiaTheme="minorEastAsia"/>
          <w:lang w:eastAsia="de-DE"/>
        </w:rPr>
        <w:t>媒介依赖</w:t>
      </w:r>
      <w:r w:rsidRPr="008F12F5">
        <w:rPr>
          <w:rFonts w:eastAsiaTheme="minorEastAsia"/>
          <w:lang w:eastAsia="zh-CN"/>
        </w:rPr>
        <w:t>型</w:t>
      </w:r>
      <w:r w:rsidRPr="008F12F5">
        <w:rPr>
          <w:rFonts w:eastAsiaTheme="minorEastAsia"/>
          <w:lang w:eastAsia="de-DE"/>
        </w:rPr>
        <w:t>植物。此外，</w:t>
      </w:r>
      <w:r w:rsidRPr="008F12F5">
        <w:rPr>
          <w:rFonts w:eastAsiaTheme="minorEastAsia"/>
          <w:lang w:eastAsia="zh-CN"/>
        </w:rPr>
        <w:t>授粉媒介</w:t>
      </w:r>
      <w:r w:rsidRPr="008F12F5">
        <w:rPr>
          <w:rFonts w:eastAsiaTheme="minorEastAsia"/>
          <w:lang w:eastAsia="de-DE"/>
        </w:rPr>
        <w:t>产品也用于改善健康，如</w:t>
      </w:r>
      <w:r w:rsidRPr="008F12F5">
        <w:rPr>
          <w:rFonts w:eastAsiaTheme="minorEastAsia"/>
          <w:lang w:eastAsia="zh-CN"/>
        </w:rPr>
        <w:t>用于</w:t>
      </w:r>
      <w:r w:rsidRPr="008F12F5">
        <w:rPr>
          <w:rFonts w:eastAsiaTheme="minorEastAsia"/>
          <w:lang w:eastAsia="de-DE"/>
        </w:rPr>
        <w:t>抗菌</w:t>
      </w:r>
      <w:r w:rsidRPr="008F12F5">
        <w:rPr>
          <w:rFonts w:eastAsiaTheme="minorEastAsia"/>
          <w:lang w:eastAsia="zh-CN"/>
        </w:rPr>
        <w:t>剂、</w:t>
      </w:r>
      <w:r w:rsidRPr="008F12F5">
        <w:rPr>
          <w:rFonts w:eastAsiaTheme="minorEastAsia"/>
          <w:lang w:eastAsia="de-DE"/>
        </w:rPr>
        <w:t>抗真菌</w:t>
      </w:r>
      <w:r w:rsidRPr="008F12F5">
        <w:rPr>
          <w:rFonts w:eastAsiaTheme="minorEastAsia"/>
          <w:lang w:eastAsia="zh-CN"/>
        </w:rPr>
        <w:t>剂</w:t>
      </w:r>
      <w:r w:rsidRPr="008F12F5">
        <w:rPr>
          <w:rFonts w:eastAsiaTheme="minorEastAsia"/>
          <w:lang w:eastAsia="de-DE"/>
        </w:rPr>
        <w:t>和</w:t>
      </w:r>
      <w:r w:rsidRPr="008F12F5">
        <w:rPr>
          <w:rFonts w:eastAsiaTheme="minorEastAsia"/>
          <w:lang w:eastAsia="zh-CN"/>
        </w:rPr>
        <w:t>防治</w:t>
      </w:r>
      <w:r w:rsidRPr="008F12F5">
        <w:rPr>
          <w:rFonts w:eastAsiaTheme="minorEastAsia"/>
          <w:lang w:eastAsia="de-DE"/>
        </w:rPr>
        <w:t>糖尿病药物。</w:t>
      </w:r>
      <w:r w:rsidRPr="008F12F5">
        <w:rPr>
          <w:rFonts w:eastAsiaTheme="minorEastAsia"/>
          <w:lang w:eastAsia="zh-CN"/>
        </w:rPr>
        <w:t>包括</w:t>
      </w:r>
      <w:r w:rsidRPr="008F12F5">
        <w:rPr>
          <w:rFonts w:eastAsiaTheme="minorEastAsia"/>
          <w:lang w:eastAsia="de-DE"/>
        </w:rPr>
        <w:t>蜜蜂</w:t>
      </w:r>
      <w:r w:rsidRPr="008F12F5">
        <w:rPr>
          <w:rFonts w:eastAsiaTheme="minorEastAsia"/>
          <w:lang w:eastAsia="zh-CN"/>
        </w:rPr>
        <w:t>幼虫、</w:t>
      </w:r>
      <w:r w:rsidRPr="008F12F5">
        <w:rPr>
          <w:rFonts w:eastAsiaTheme="minorEastAsia"/>
          <w:lang w:eastAsia="de-DE"/>
        </w:rPr>
        <w:t>甲虫和棕榈象鼻虫在内的</w:t>
      </w:r>
      <w:r w:rsidRPr="008F12F5">
        <w:rPr>
          <w:rFonts w:eastAsiaTheme="minorEastAsia"/>
          <w:lang w:eastAsia="zh-CN"/>
        </w:rPr>
        <w:t>授粉</w:t>
      </w:r>
      <w:r w:rsidRPr="008F12F5">
        <w:rPr>
          <w:rFonts w:eastAsiaTheme="minorEastAsia"/>
          <w:lang w:eastAsia="de-DE"/>
        </w:rPr>
        <w:t>昆虫</w:t>
      </w:r>
      <w:r w:rsidRPr="008F12F5">
        <w:rPr>
          <w:rFonts w:eastAsiaTheme="minorEastAsia"/>
          <w:lang w:eastAsia="zh-CN"/>
        </w:rPr>
        <w:t>在</w:t>
      </w:r>
      <w:r w:rsidRPr="008F12F5">
        <w:rPr>
          <w:rFonts w:eastAsiaTheme="minorEastAsia"/>
          <w:lang w:eastAsia="de-DE"/>
        </w:rPr>
        <w:t>全球</w:t>
      </w:r>
      <w:r w:rsidRPr="008F12F5">
        <w:rPr>
          <w:rFonts w:eastAsiaTheme="minorEastAsia"/>
          <w:lang w:eastAsia="zh-CN"/>
        </w:rPr>
        <w:t>消费的</w:t>
      </w:r>
      <w:r w:rsidRPr="008F12F5">
        <w:rPr>
          <w:rFonts w:eastAsiaTheme="minorEastAsia"/>
          <w:lang w:eastAsia="de-DE"/>
        </w:rPr>
        <w:t>约</w:t>
      </w:r>
      <w:r w:rsidRPr="008F12F5">
        <w:rPr>
          <w:rFonts w:eastAsiaTheme="minorEastAsia"/>
          <w:lang w:eastAsia="de-DE"/>
        </w:rPr>
        <w:t>2,000</w:t>
      </w:r>
      <w:r w:rsidRPr="008F12F5">
        <w:rPr>
          <w:rFonts w:eastAsiaTheme="minorEastAsia"/>
          <w:lang w:eastAsia="de-DE"/>
        </w:rPr>
        <w:t>种昆虫</w:t>
      </w:r>
      <w:r w:rsidRPr="008F12F5">
        <w:rPr>
          <w:rFonts w:eastAsiaTheme="minorEastAsia"/>
          <w:lang w:eastAsia="zh-CN"/>
        </w:rPr>
        <w:t>中占有</w:t>
      </w:r>
      <w:r w:rsidRPr="008F12F5">
        <w:rPr>
          <w:rFonts w:eastAsiaTheme="minorEastAsia"/>
          <w:lang w:eastAsia="de-DE"/>
        </w:rPr>
        <w:t>重</w:t>
      </w:r>
      <w:r w:rsidRPr="008F12F5">
        <w:rPr>
          <w:rFonts w:eastAsiaTheme="minorEastAsia"/>
          <w:lang w:eastAsia="zh-CN"/>
        </w:rPr>
        <w:t>大</w:t>
      </w:r>
      <w:r w:rsidRPr="008F12F5">
        <w:rPr>
          <w:rFonts w:eastAsiaTheme="minorEastAsia"/>
          <w:lang w:eastAsia="de-DE"/>
        </w:rPr>
        <w:t>比例</w:t>
      </w:r>
      <w:r w:rsidRPr="008F12F5">
        <w:rPr>
          <w:rFonts w:eastAsiaTheme="minorEastAsia"/>
          <w:lang w:eastAsia="zh-CN"/>
        </w:rPr>
        <w:t>，它们含有丰富的</w:t>
      </w:r>
      <w:r w:rsidRPr="008F12F5">
        <w:rPr>
          <w:rFonts w:eastAsiaTheme="minorEastAsia"/>
          <w:lang w:eastAsia="de-DE"/>
        </w:rPr>
        <w:t>蛋白质</w:t>
      </w:r>
      <w:r w:rsidRPr="008F12F5">
        <w:rPr>
          <w:rFonts w:eastAsiaTheme="minorEastAsia"/>
          <w:lang w:eastAsia="zh-CN"/>
        </w:rPr>
        <w:t>、</w:t>
      </w:r>
      <w:r w:rsidRPr="008F12F5">
        <w:rPr>
          <w:rFonts w:eastAsiaTheme="minorEastAsia"/>
          <w:lang w:eastAsia="de-DE"/>
        </w:rPr>
        <w:t>维生素和矿物质。</w:t>
      </w:r>
    </w:p>
    <w:p w:rsidR="008F12F5" w:rsidRPr="008F12F5" w:rsidRDefault="008F12F5" w:rsidP="00FF4964">
      <w:pPr>
        <w:suppressAutoHyphens/>
        <w:autoSpaceDE w:val="0"/>
        <w:autoSpaceDN w:val="0"/>
        <w:adjustRightInd w:val="0"/>
        <w:snapToGrid w:val="0"/>
        <w:ind w:firstLine="0"/>
        <w:jc w:val="center"/>
        <w:rPr>
          <w:rFonts w:eastAsiaTheme="minorEastAsia"/>
          <w:b/>
          <w:bCs/>
          <w:lang w:eastAsia="zh-CN"/>
        </w:rPr>
      </w:pPr>
      <w:r w:rsidRPr="008F12F5">
        <w:rPr>
          <w:rFonts w:eastAsiaTheme="minorEastAsia"/>
          <w:b/>
          <w:bCs/>
          <w:lang w:eastAsia="zh-CN"/>
        </w:rPr>
        <w:t>C.</w:t>
      </w:r>
      <w:r w:rsidRPr="008F12F5">
        <w:rPr>
          <w:rFonts w:eastAsiaTheme="minorEastAsia"/>
          <w:b/>
          <w:bCs/>
          <w:lang w:eastAsia="zh-CN"/>
        </w:rPr>
        <w:tab/>
      </w:r>
      <w:r w:rsidRPr="008F12F5">
        <w:rPr>
          <w:rFonts w:eastAsiaTheme="minorEastAsia"/>
          <w:b/>
          <w:bCs/>
          <w:lang w:eastAsia="zh-CN"/>
        </w:rPr>
        <w:t>在所有生态系统中授粉媒介和授粉媒介依赖型植物的现状和趋势</w:t>
      </w:r>
    </w:p>
    <w:p w:rsidR="008F12F5" w:rsidRPr="0043772A" w:rsidRDefault="008F12F5" w:rsidP="0069685F">
      <w:pPr>
        <w:pStyle w:val="ListParagraph"/>
        <w:widowControl w:val="0"/>
        <w:numPr>
          <w:ilvl w:val="1"/>
          <w:numId w:val="74"/>
        </w:numPr>
        <w:tabs>
          <w:tab w:val="left" w:pos="720"/>
        </w:tabs>
        <w:suppressAutoHyphens/>
        <w:autoSpaceDE w:val="0"/>
        <w:autoSpaceDN w:val="0"/>
        <w:adjustRightInd w:val="0"/>
        <w:snapToGrid w:val="0"/>
        <w:ind w:left="0" w:firstLine="0"/>
        <w:rPr>
          <w:rFonts w:eastAsiaTheme="minorEastAsia"/>
          <w:color w:val="000000" w:themeColor="text1"/>
          <w:kern w:val="24"/>
          <w:lang w:eastAsia="ja-JP"/>
        </w:rPr>
      </w:pPr>
      <w:r w:rsidRPr="0043772A">
        <w:rPr>
          <w:rFonts w:eastAsiaTheme="minorEastAsia"/>
          <w:bCs/>
          <w:lang w:eastAsia="zh-CN"/>
        </w:rPr>
        <w:t>在地方和区域层面，许多昆虫授粉媒介（例如野生蜜蜂、蝴蝶、黄蜂和甲虫）和脊椎动物授粉媒介（例如，鸟类、有袋动物、啮齿类动物和蝙蝠）的丰富性、蕴蓄率和多样性都在下降。与自花授粉植物或风媒授粉植物相比，依赖授粉媒介的植物种类数量在减少</w:t>
      </w:r>
      <w:r w:rsidRPr="0043772A">
        <w:rPr>
          <w:rFonts w:eastAsiaTheme="minorEastAsia"/>
          <w:color w:val="000000" w:themeColor="text1"/>
          <w:kern w:val="24"/>
          <w:lang w:eastAsia="zh-CN"/>
        </w:rPr>
        <w:t>。</w:t>
      </w:r>
    </w:p>
    <w:p w:rsidR="008F12F5" w:rsidRPr="0043772A" w:rsidRDefault="008F12F5" w:rsidP="0069685F">
      <w:pPr>
        <w:pStyle w:val="ListParagraph"/>
        <w:numPr>
          <w:ilvl w:val="1"/>
          <w:numId w:val="74"/>
        </w:numPr>
        <w:tabs>
          <w:tab w:val="left" w:pos="720"/>
        </w:tabs>
        <w:suppressAutoHyphens/>
        <w:autoSpaceDE w:val="0"/>
        <w:autoSpaceDN w:val="0"/>
        <w:adjustRightInd w:val="0"/>
        <w:snapToGrid w:val="0"/>
        <w:ind w:left="0" w:firstLine="0"/>
        <w:rPr>
          <w:rFonts w:eastAsiaTheme="minorEastAsia"/>
          <w:color w:val="231F20"/>
          <w:lang w:eastAsia="pt-BR"/>
        </w:rPr>
      </w:pPr>
      <w:r w:rsidRPr="0043772A">
        <w:rPr>
          <w:rFonts w:eastAsiaTheme="minorEastAsia"/>
          <w:color w:val="000000" w:themeColor="text1"/>
          <w:kern w:val="24"/>
          <w:lang w:eastAsia="ja-JP"/>
        </w:rPr>
        <w:t>据报道</w:t>
      </w:r>
      <w:r w:rsidRPr="0043772A">
        <w:rPr>
          <w:rFonts w:eastAsiaTheme="minorEastAsia"/>
          <w:color w:val="000000" w:themeColor="text1"/>
          <w:kern w:val="24"/>
          <w:lang w:eastAsia="zh-CN"/>
        </w:rPr>
        <w:t>，在</w:t>
      </w:r>
      <w:r w:rsidRPr="0043772A">
        <w:rPr>
          <w:rFonts w:eastAsiaTheme="minorEastAsia"/>
          <w:color w:val="000000" w:themeColor="text1"/>
          <w:kern w:val="24"/>
          <w:lang w:eastAsia="ja-JP"/>
        </w:rPr>
        <w:t>所有地区</w:t>
      </w:r>
      <w:r w:rsidRPr="0043772A">
        <w:rPr>
          <w:rFonts w:eastAsiaTheme="minorEastAsia"/>
          <w:color w:val="000000" w:themeColor="text1"/>
          <w:kern w:val="24"/>
          <w:lang w:eastAsia="zh-CN"/>
        </w:rPr>
        <w:t>，</w:t>
      </w:r>
      <w:r w:rsidRPr="0043772A">
        <w:rPr>
          <w:rFonts w:eastAsiaTheme="minorEastAsia"/>
          <w:color w:val="000000" w:themeColor="text1"/>
          <w:kern w:val="24"/>
          <w:lang w:eastAsia="ja-JP"/>
        </w:rPr>
        <w:t>土地</w:t>
      </w:r>
      <w:r w:rsidRPr="0043772A">
        <w:rPr>
          <w:rFonts w:eastAsiaTheme="minorEastAsia"/>
          <w:color w:val="000000" w:themeColor="text1"/>
          <w:kern w:val="24"/>
          <w:lang w:eastAsia="zh-CN"/>
        </w:rPr>
        <w:t>用途改变</w:t>
      </w:r>
      <w:r w:rsidRPr="0043772A">
        <w:rPr>
          <w:rFonts w:eastAsiaTheme="minorEastAsia"/>
          <w:color w:val="000000" w:themeColor="text1"/>
          <w:kern w:val="24"/>
          <w:lang w:eastAsia="ja-JP"/>
        </w:rPr>
        <w:t>是</w:t>
      </w:r>
      <w:r w:rsidRPr="0043772A">
        <w:rPr>
          <w:rFonts w:eastAsiaTheme="minorEastAsia"/>
          <w:color w:val="000000" w:themeColor="text1"/>
          <w:kern w:val="24"/>
          <w:lang w:eastAsia="zh-CN"/>
        </w:rPr>
        <w:t>授粉</w:t>
      </w:r>
      <w:r w:rsidRPr="0043772A">
        <w:rPr>
          <w:rFonts w:eastAsiaTheme="minorEastAsia"/>
          <w:color w:val="000000" w:themeColor="text1"/>
          <w:kern w:val="24"/>
          <w:lang w:eastAsia="ja-JP"/>
        </w:rPr>
        <w:t>媒介</w:t>
      </w:r>
      <w:r w:rsidRPr="0043772A">
        <w:rPr>
          <w:rFonts w:eastAsiaTheme="minorEastAsia"/>
          <w:color w:val="000000" w:themeColor="text1"/>
          <w:kern w:val="24"/>
          <w:lang w:eastAsia="zh-CN"/>
        </w:rPr>
        <w:t>减少</w:t>
      </w:r>
      <w:r w:rsidRPr="0043772A">
        <w:rPr>
          <w:rFonts w:eastAsiaTheme="minorEastAsia"/>
          <w:color w:val="000000" w:themeColor="text1"/>
          <w:kern w:val="24"/>
          <w:lang w:eastAsia="ja-JP"/>
        </w:rPr>
        <w:t>的主要驱动</w:t>
      </w:r>
      <w:r w:rsidRPr="0043772A">
        <w:rPr>
          <w:rFonts w:eastAsiaTheme="minorEastAsia"/>
          <w:color w:val="000000" w:themeColor="text1"/>
          <w:kern w:val="24"/>
          <w:lang w:eastAsia="zh-CN"/>
        </w:rPr>
        <w:t>因素</w:t>
      </w:r>
      <w:r w:rsidRPr="0043772A">
        <w:rPr>
          <w:rFonts w:eastAsiaTheme="minorEastAsia"/>
          <w:color w:val="000000" w:themeColor="text1"/>
          <w:kern w:val="24"/>
          <w:lang w:eastAsia="ja-JP"/>
        </w:rPr>
        <w:t>。在非洲，</w:t>
      </w:r>
      <w:r w:rsidRPr="0043772A">
        <w:rPr>
          <w:rFonts w:eastAsiaTheme="minorEastAsia"/>
          <w:bCs/>
          <w:lang w:eastAsia="zh-CN"/>
        </w:rPr>
        <w:t>由于农业土地转用和把木材用于建筑和燃料</w:t>
      </w:r>
      <w:r w:rsidRPr="0043772A">
        <w:rPr>
          <w:rFonts w:eastAsiaTheme="minorEastAsia"/>
          <w:color w:val="000000" w:themeColor="text1"/>
          <w:kern w:val="24"/>
          <w:lang w:eastAsia="ja-JP"/>
        </w:rPr>
        <w:t>，毁林</w:t>
      </w:r>
      <w:r w:rsidRPr="0043772A">
        <w:rPr>
          <w:rFonts w:eastAsiaTheme="minorEastAsia"/>
          <w:color w:val="000000" w:themeColor="text1"/>
          <w:kern w:val="24"/>
          <w:lang w:eastAsia="zh-CN"/>
        </w:rPr>
        <w:t>现象仍在</w:t>
      </w:r>
      <w:r w:rsidRPr="0043772A">
        <w:rPr>
          <w:rFonts w:eastAsiaTheme="minorEastAsia"/>
          <w:color w:val="000000" w:themeColor="text1"/>
          <w:kern w:val="24"/>
          <w:lang w:eastAsia="ja-JP"/>
        </w:rPr>
        <w:t>发生。拉丁美洲、亚洲和太平洋地区大豆种植和油棕榈种植面积不断扩大，也对各自</w:t>
      </w:r>
      <w:r w:rsidRPr="0043772A">
        <w:rPr>
          <w:rFonts w:eastAsiaTheme="minorEastAsia"/>
          <w:color w:val="000000" w:themeColor="text1"/>
          <w:kern w:val="24"/>
          <w:lang w:eastAsia="zh-CN"/>
        </w:rPr>
        <w:t>许多</w:t>
      </w:r>
      <w:r w:rsidRPr="0043772A">
        <w:rPr>
          <w:rFonts w:eastAsiaTheme="minorEastAsia"/>
          <w:color w:val="000000" w:themeColor="text1"/>
          <w:kern w:val="24"/>
          <w:lang w:eastAsia="ja-JP"/>
        </w:rPr>
        <w:t>重要的生物群落</w:t>
      </w:r>
      <w:r w:rsidRPr="0043772A">
        <w:rPr>
          <w:rFonts w:eastAsiaTheme="minorEastAsia"/>
          <w:color w:val="000000" w:themeColor="text1"/>
          <w:kern w:val="24"/>
          <w:lang w:eastAsia="zh-CN"/>
        </w:rPr>
        <w:t>产生</w:t>
      </w:r>
      <w:r w:rsidRPr="0043772A">
        <w:rPr>
          <w:rFonts w:eastAsiaTheme="minorEastAsia"/>
          <w:color w:val="000000" w:themeColor="text1"/>
          <w:kern w:val="24"/>
          <w:lang w:eastAsia="ja-JP"/>
        </w:rPr>
        <w:t>影响</w:t>
      </w:r>
      <w:r w:rsidRPr="0043772A">
        <w:rPr>
          <w:rFonts w:eastAsiaTheme="minorEastAsia"/>
          <w:color w:val="000000" w:themeColor="text1"/>
          <w:kern w:val="24"/>
          <w:lang w:eastAsia="zh-CN"/>
        </w:rPr>
        <w:t>。</w:t>
      </w:r>
    </w:p>
    <w:p w:rsidR="008F12F5" w:rsidRPr="0043772A" w:rsidRDefault="008F12F5" w:rsidP="0069685F">
      <w:pPr>
        <w:pStyle w:val="ListParagraph"/>
        <w:numPr>
          <w:ilvl w:val="1"/>
          <w:numId w:val="74"/>
        </w:numPr>
        <w:tabs>
          <w:tab w:val="left" w:pos="720"/>
        </w:tabs>
        <w:suppressAutoHyphens/>
        <w:autoSpaceDE w:val="0"/>
        <w:autoSpaceDN w:val="0"/>
        <w:adjustRightInd w:val="0"/>
        <w:snapToGrid w:val="0"/>
        <w:ind w:left="0" w:firstLine="0"/>
        <w:rPr>
          <w:rFonts w:eastAsiaTheme="minorEastAsia"/>
          <w:spacing w:val="2"/>
          <w:shd w:val="clear" w:color="auto" w:fill="FCFCFC"/>
          <w:lang w:eastAsia="zh-CN"/>
        </w:rPr>
      </w:pPr>
      <w:r w:rsidRPr="0043772A">
        <w:rPr>
          <w:rFonts w:eastAsiaTheme="minorEastAsia"/>
          <w:lang w:eastAsia="zh-CN"/>
        </w:rPr>
        <w:lastRenderedPageBreak/>
        <w:t>伐木行为导致大自然中的野生蜂巢有可能绝迹。在马来西亚和巴西，现已表明伐木行为减少了野生蜂巢的数量，也导致授粉媒介的减少，对森林恢复或</w:t>
      </w:r>
      <w:r>
        <w:rPr>
          <w:rFonts w:eastAsiaTheme="minorEastAsia" w:hint="eastAsia"/>
          <w:lang w:eastAsia="zh-CN"/>
        </w:rPr>
        <w:t>恢复</w:t>
      </w:r>
      <w:r w:rsidRPr="0043772A">
        <w:rPr>
          <w:rFonts w:eastAsiaTheme="minorEastAsia"/>
          <w:lang w:eastAsia="zh-CN"/>
        </w:rPr>
        <w:t>产生影响。伐木还会减少拥有合适的未占用巢穴的森林栖息地。即使考虑到现行的认证木材管理规则，授粉媒介也会丧失。</w:t>
      </w:r>
    </w:p>
    <w:p w:rsidR="008F12F5" w:rsidRPr="0043772A" w:rsidRDefault="008F12F5" w:rsidP="0069685F">
      <w:pPr>
        <w:pStyle w:val="ListParagraph"/>
        <w:numPr>
          <w:ilvl w:val="1"/>
          <w:numId w:val="74"/>
        </w:numPr>
        <w:tabs>
          <w:tab w:val="left" w:pos="720"/>
        </w:tabs>
        <w:suppressAutoHyphens/>
        <w:autoSpaceDE w:val="0"/>
        <w:autoSpaceDN w:val="0"/>
        <w:adjustRightInd w:val="0"/>
        <w:snapToGrid w:val="0"/>
        <w:ind w:left="0" w:firstLine="0"/>
        <w:rPr>
          <w:rFonts w:eastAsiaTheme="minorEastAsia"/>
          <w:lang w:eastAsia="zh-CN"/>
        </w:rPr>
      </w:pPr>
      <w:r w:rsidRPr="0043772A">
        <w:rPr>
          <w:rFonts w:eastAsiaTheme="minorEastAsia"/>
          <w:lang w:eastAsia="zh-CN"/>
        </w:rPr>
        <w:t>此外，在非洲，火灾频发</w:t>
      </w:r>
      <w:r>
        <w:rPr>
          <w:rFonts w:eastAsiaTheme="minorEastAsia" w:hint="eastAsia"/>
          <w:lang w:eastAsia="zh-CN"/>
        </w:rPr>
        <w:t>和</w:t>
      </w:r>
      <w:r w:rsidRPr="0043772A">
        <w:rPr>
          <w:rFonts w:eastAsiaTheme="minorEastAsia"/>
          <w:lang w:eastAsia="zh-CN"/>
        </w:rPr>
        <w:t>火势凶猛</w:t>
      </w:r>
      <w:r>
        <w:rPr>
          <w:rFonts w:eastAsiaTheme="minorEastAsia" w:hint="eastAsia"/>
          <w:lang w:eastAsia="zh-CN"/>
        </w:rPr>
        <w:t>都</w:t>
      </w:r>
      <w:r w:rsidRPr="0043772A">
        <w:rPr>
          <w:rFonts w:eastAsiaTheme="minorEastAsia"/>
          <w:lang w:eastAsia="zh-CN"/>
        </w:rPr>
        <w:t>而影响了植物的重播和再发芽，由于授粉媒介</w:t>
      </w:r>
      <w:r w:rsidRPr="0043772A">
        <w:rPr>
          <w:rFonts w:eastAsiaTheme="minorEastAsia"/>
          <w:lang w:eastAsia="zh-CN"/>
        </w:rPr>
        <w:t>-</w:t>
      </w:r>
      <w:r w:rsidRPr="0043772A">
        <w:rPr>
          <w:rFonts w:eastAsiaTheme="minorEastAsia"/>
          <w:lang w:eastAsia="zh-CN"/>
        </w:rPr>
        <w:t>植物特性化程度高，凶猛的火灾</w:t>
      </w:r>
      <w:r>
        <w:rPr>
          <w:rFonts w:eastAsiaTheme="minorEastAsia" w:hint="eastAsia"/>
          <w:lang w:eastAsia="zh-CN"/>
        </w:rPr>
        <w:t>频仍</w:t>
      </w:r>
      <w:r w:rsidRPr="0043772A">
        <w:rPr>
          <w:rFonts w:eastAsiaTheme="minorEastAsia"/>
          <w:lang w:eastAsia="zh-CN"/>
        </w:rPr>
        <w:t>对不同的生态系统造成影响。这种特性化表明，授粉媒介明显易受减损，面对全球变化，对单一授粉媒介种类的依赖具有潜在风险。气候变化模型表明，由于火灾季节期将延长，火灾发生的频率可能也会增加。</w:t>
      </w:r>
    </w:p>
    <w:p w:rsidR="008F12F5" w:rsidRPr="0043772A" w:rsidRDefault="008F12F5" w:rsidP="0069685F">
      <w:pPr>
        <w:pStyle w:val="ListParagraph"/>
        <w:numPr>
          <w:ilvl w:val="1"/>
          <w:numId w:val="74"/>
        </w:numPr>
        <w:tabs>
          <w:tab w:val="left" w:pos="720"/>
        </w:tabs>
        <w:suppressAutoHyphens/>
        <w:autoSpaceDE w:val="0"/>
        <w:autoSpaceDN w:val="0"/>
        <w:adjustRightInd w:val="0"/>
        <w:snapToGrid w:val="0"/>
        <w:ind w:left="0" w:firstLine="0"/>
        <w:rPr>
          <w:rFonts w:eastAsiaTheme="minorEastAsia"/>
          <w:lang w:eastAsia="zh-CN"/>
        </w:rPr>
      </w:pPr>
      <w:r w:rsidRPr="0043772A">
        <w:rPr>
          <w:rFonts w:eastAsiaTheme="minorEastAsia"/>
          <w:lang w:eastAsia="zh-CN"/>
        </w:rPr>
        <w:t>据报道，在拉丁美洲，外来蜜蜂入侵是本地蜜蜂减少的第二大驱动因素。引进蜜蜂品种也令人担忧，例如，在日本，这有可能破坏原生授粉网络。在亚洲，传统知识包括本土蜜蜂管理削弱，可能导致当地授粉媒介减少。对欧洲、加拿大、美国、澳大利亚和新西兰来说，农药以及病原体和寄生虫传播为授粉媒介带来的风险是一个重大关切问题</w:t>
      </w:r>
      <w:r w:rsidRPr="0043772A">
        <w:rPr>
          <w:rFonts w:eastAsiaTheme="minorEastAsia"/>
          <w:bCs/>
          <w:iCs/>
          <w:lang w:eastAsia="zh-CN"/>
        </w:rPr>
        <w:t>。</w:t>
      </w:r>
    </w:p>
    <w:p w:rsidR="008F12F5" w:rsidRPr="0043772A" w:rsidRDefault="008F12F5" w:rsidP="0069685F">
      <w:pPr>
        <w:pStyle w:val="ListParagraph"/>
        <w:numPr>
          <w:ilvl w:val="1"/>
          <w:numId w:val="74"/>
        </w:numPr>
        <w:tabs>
          <w:tab w:val="left" w:pos="720"/>
        </w:tabs>
        <w:suppressAutoHyphens/>
        <w:autoSpaceDE w:val="0"/>
        <w:autoSpaceDN w:val="0"/>
        <w:adjustRightInd w:val="0"/>
        <w:snapToGrid w:val="0"/>
        <w:ind w:left="0" w:firstLine="0"/>
        <w:rPr>
          <w:rFonts w:eastAsiaTheme="minorEastAsia"/>
          <w:lang w:eastAsia="zh-CN"/>
        </w:rPr>
      </w:pPr>
      <w:r w:rsidRPr="0043772A">
        <w:rPr>
          <w:rFonts w:eastAsiaTheme="minorEastAsia"/>
          <w:lang w:eastAsia="zh-CN"/>
        </w:rPr>
        <w:t>许多地区的野生授粉媒介缺乏时空变化，加之已知的生物分类很少，妨碍了对授粉媒介现状和趋势的评估。此外，由于</w:t>
      </w:r>
      <w:r>
        <w:rPr>
          <w:rFonts w:eastAsiaTheme="minorEastAsia" w:hint="eastAsia"/>
          <w:lang w:eastAsia="zh-CN"/>
        </w:rPr>
        <w:t>没有</w:t>
      </w:r>
      <w:r w:rsidRPr="0043772A">
        <w:rPr>
          <w:rFonts w:eastAsiaTheme="minorEastAsia"/>
          <w:lang w:eastAsia="zh-CN"/>
        </w:rPr>
        <w:t>专门针对昆虫授粉媒介的全球红色名录评估，以及世界大部分地区缺乏种群的长期数据或基准数据，无法对野生授粉媒介种群的现状进行比较，因此</w:t>
      </w:r>
      <w:r>
        <w:rPr>
          <w:rFonts w:eastAsiaTheme="minorEastAsia" w:hint="eastAsia"/>
          <w:lang w:eastAsia="zh-CN"/>
        </w:rPr>
        <w:t>也</w:t>
      </w:r>
      <w:r w:rsidRPr="0043772A">
        <w:rPr>
          <w:rFonts w:eastAsiaTheme="minorEastAsia"/>
          <w:lang w:eastAsia="zh-CN"/>
        </w:rPr>
        <w:t>很难确认任何时间趋势。</w:t>
      </w:r>
    </w:p>
    <w:p w:rsidR="008F12F5" w:rsidRPr="0043772A" w:rsidRDefault="008F12F5" w:rsidP="0069685F">
      <w:pPr>
        <w:pStyle w:val="ListParagraph"/>
        <w:numPr>
          <w:ilvl w:val="1"/>
          <w:numId w:val="74"/>
        </w:numPr>
        <w:tabs>
          <w:tab w:val="left" w:pos="720"/>
        </w:tabs>
        <w:suppressAutoHyphens/>
        <w:autoSpaceDE w:val="0"/>
        <w:autoSpaceDN w:val="0"/>
        <w:adjustRightInd w:val="0"/>
        <w:snapToGrid w:val="0"/>
        <w:ind w:left="0" w:firstLine="0"/>
        <w:rPr>
          <w:rFonts w:eastAsiaTheme="minorEastAsia"/>
          <w:lang w:eastAsia="de-DE"/>
        </w:rPr>
      </w:pPr>
      <w:r w:rsidRPr="0043772A">
        <w:rPr>
          <w:rFonts w:eastAsiaTheme="minorEastAsia"/>
          <w:lang w:eastAsia="zh-CN"/>
        </w:rPr>
        <w:t>按地区划分，</w:t>
      </w:r>
      <w:r w:rsidRPr="0043772A">
        <w:rPr>
          <w:rFonts w:eastAsiaTheme="minorEastAsia"/>
          <w:lang w:eastAsia="de-DE"/>
        </w:rPr>
        <w:t>被确定为</w:t>
      </w:r>
      <w:r w:rsidRPr="0043772A">
        <w:rPr>
          <w:rFonts w:eastAsiaTheme="minorEastAsia"/>
          <w:lang w:eastAsia="zh-CN"/>
        </w:rPr>
        <w:t>授粉媒介</w:t>
      </w:r>
      <w:r w:rsidRPr="0043772A">
        <w:rPr>
          <w:rFonts w:eastAsiaTheme="minorEastAsia"/>
          <w:lang w:eastAsia="de-DE"/>
        </w:rPr>
        <w:t>最</w:t>
      </w:r>
      <w:r w:rsidRPr="0043772A">
        <w:rPr>
          <w:rFonts w:eastAsiaTheme="minorEastAsia"/>
          <w:lang w:eastAsia="zh-CN"/>
        </w:rPr>
        <w:t>容易减少</w:t>
      </w:r>
      <w:r w:rsidRPr="0043772A">
        <w:rPr>
          <w:rFonts w:eastAsiaTheme="minorEastAsia"/>
          <w:lang w:eastAsia="de-DE"/>
        </w:rPr>
        <w:t>的</w:t>
      </w:r>
      <w:r w:rsidRPr="0043772A">
        <w:rPr>
          <w:rFonts w:eastAsiaTheme="minorEastAsia"/>
          <w:lang w:eastAsia="zh-CN"/>
        </w:rPr>
        <w:t>生境</w:t>
      </w:r>
      <w:r w:rsidRPr="0043772A">
        <w:rPr>
          <w:rFonts w:eastAsiaTheme="minorEastAsia"/>
          <w:lang w:eastAsia="de-DE"/>
        </w:rPr>
        <w:t>和生物群落是：</w:t>
      </w:r>
    </w:p>
    <w:p w:rsidR="008F12F5" w:rsidRPr="0043772A" w:rsidRDefault="008F12F5" w:rsidP="0069685F">
      <w:pPr>
        <w:pStyle w:val="Default"/>
        <w:numPr>
          <w:ilvl w:val="0"/>
          <w:numId w:val="75"/>
        </w:numPr>
        <w:tabs>
          <w:tab w:val="left" w:pos="1440"/>
        </w:tabs>
        <w:suppressAutoHyphens/>
        <w:snapToGrid w:val="0"/>
        <w:ind w:left="0" w:firstLine="720"/>
        <w:rPr>
          <w:rFonts w:eastAsiaTheme="minorEastAsia"/>
          <w:lang w:eastAsia="zh-CN"/>
        </w:rPr>
      </w:pPr>
      <w:r w:rsidRPr="00703807">
        <w:rPr>
          <w:rFonts w:ascii="KaiTi" w:eastAsia="KaiTi" w:hAnsi="KaiTi"/>
          <w:color w:val="auto"/>
          <w:lang w:val="en-GB" w:eastAsia="zh-CN"/>
        </w:rPr>
        <w:t>非洲</w:t>
      </w:r>
      <w:r w:rsidRPr="00703807">
        <w:rPr>
          <w:rFonts w:ascii="KaiTi" w:eastAsia="KaiTi" w:hAnsi="KaiTi"/>
          <w:b/>
          <w:lang w:eastAsia="zh-CN"/>
        </w:rPr>
        <w:t>：</w:t>
      </w:r>
      <w:r w:rsidRPr="0043772A">
        <w:rPr>
          <w:rFonts w:eastAsiaTheme="minorEastAsia"/>
          <w:lang w:eastAsia="zh-CN"/>
        </w:rPr>
        <w:t>热带森林、干旱落叶林、亚热带森林、地中海、山地草原、热带和亚热带草原和草场、旱地和沙漠、湿地和坦泊、城市和近郊区、沿海地区；</w:t>
      </w:r>
    </w:p>
    <w:p w:rsidR="008F12F5" w:rsidRPr="0043772A" w:rsidRDefault="008F12F5" w:rsidP="0069685F">
      <w:pPr>
        <w:pStyle w:val="ListParagraph"/>
        <w:numPr>
          <w:ilvl w:val="0"/>
          <w:numId w:val="75"/>
        </w:numPr>
        <w:tabs>
          <w:tab w:val="left" w:pos="1440"/>
        </w:tabs>
        <w:suppressAutoHyphens/>
        <w:adjustRightInd w:val="0"/>
        <w:snapToGrid w:val="0"/>
        <w:ind w:left="0" w:firstLine="720"/>
        <w:rPr>
          <w:rFonts w:eastAsiaTheme="minorEastAsia"/>
          <w:lang w:eastAsia="zh-CN"/>
        </w:rPr>
      </w:pPr>
      <w:r w:rsidRPr="00703807">
        <w:rPr>
          <w:rFonts w:ascii="KaiTi" w:eastAsia="KaiTi" w:hAnsi="KaiTi"/>
          <w:lang w:val="en-GB" w:eastAsia="zh-CN"/>
        </w:rPr>
        <w:t>亚洲和太平洋：</w:t>
      </w:r>
      <w:r w:rsidRPr="0043772A">
        <w:rPr>
          <w:rFonts w:eastAsiaTheme="minorEastAsia"/>
          <w:lang w:eastAsia="zh-CN"/>
        </w:rPr>
        <w:t>热带干旱常绿森林；</w:t>
      </w:r>
    </w:p>
    <w:p w:rsidR="008F12F5" w:rsidRPr="0043772A" w:rsidRDefault="008F12F5" w:rsidP="0069685F">
      <w:pPr>
        <w:pStyle w:val="ListParagraph"/>
        <w:numPr>
          <w:ilvl w:val="0"/>
          <w:numId w:val="75"/>
        </w:numPr>
        <w:tabs>
          <w:tab w:val="left" w:pos="1440"/>
        </w:tabs>
        <w:suppressAutoHyphens/>
        <w:autoSpaceDE w:val="0"/>
        <w:autoSpaceDN w:val="0"/>
        <w:adjustRightInd w:val="0"/>
        <w:snapToGrid w:val="0"/>
        <w:ind w:left="0" w:firstLine="720"/>
        <w:rPr>
          <w:rFonts w:eastAsiaTheme="minorEastAsia"/>
          <w:lang w:eastAsia="zh-CN"/>
        </w:rPr>
      </w:pPr>
      <w:r w:rsidRPr="00703807">
        <w:rPr>
          <w:rFonts w:ascii="KaiTi" w:eastAsia="KaiTi" w:hAnsi="KaiTi"/>
          <w:lang w:val="en-GB" w:eastAsia="zh-CN"/>
        </w:rPr>
        <w:t>拉丁美洲：</w:t>
      </w:r>
      <w:r w:rsidRPr="0043772A">
        <w:rPr>
          <w:rFonts w:eastAsiaTheme="minorEastAsia"/>
          <w:lang w:eastAsia="zh-CN"/>
        </w:rPr>
        <w:t>安第斯山脉</w:t>
      </w:r>
      <w:r w:rsidRPr="0043772A">
        <w:rPr>
          <w:rFonts w:eastAsiaTheme="minorEastAsia"/>
          <w:color w:val="222222"/>
          <w:shd w:val="clear" w:color="auto" w:fill="FFFFFF"/>
          <w:lang w:eastAsia="zh-CN"/>
        </w:rPr>
        <w:t>、中美洲山脉</w:t>
      </w:r>
      <w:r>
        <w:rPr>
          <w:rFonts w:eastAsiaTheme="minorEastAsia" w:hint="eastAsia"/>
          <w:color w:val="222222"/>
          <w:shd w:val="clear" w:color="auto" w:fill="FFFFFF"/>
          <w:lang w:eastAsia="zh-CN"/>
        </w:rPr>
        <w:t>和</w:t>
      </w:r>
      <w:r w:rsidRPr="0043772A">
        <w:rPr>
          <w:rFonts w:eastAsiaTheme="minorEastAsia"/>
          <w:color w:val="222222"/>
          <w:shd w:val="clear" w:color="auto" w:fill="FFFFFF"/>
          <w:lang w:eastAsia="zh-CN"/>
        </w:rPr>
        <w:t>高海拔地区、亚热带查科森林、塞拉多草原、</w:t>
      </w:r>
      <w:r w:rsidRPr="0043772A">
        <w:rPr>
          <w:rStyle w:val="st"/>
          <w:rFonts w:eastAsiaTheme="minorEastAsia"/>
          <w:lang w:eastAsia="zh-CN"/>
        </w:rPr>
        <w:t>潘塔纳尔湿地</w:t>
      </w:r>
      <w:r w:rsidRPr="0043772A">
        <w:rPr>
          <w:rFonts w:eastAsiaTheme="minorEastAsia"/>
          <w:color w:val="222222"/>
          <w:shd w:val="clear" w:color="auto" w:fill="FFFFFF"/>
          <w:lang w:eastAsia="zh-CN"/>
        </w:rPr>
        <w:t>、亚马逊森林</w:t>
      </w:r>
      <w:r>
        <w:rPr>
          <w:rFonts w:eastAsiaTheme="minorEastAsia" w:hint="eastAsia"/>
          <w:color w:val="222222"/>
          <w:shd w:val="clear" w:color="auto" w:fill="FFFFFF"/>
          <w:lang w:eastAsia="zh-CN"/>
        </w:rPr>
        <w:t>、</w:t>
      </w:r>
      <w:r w:rsidRPr="0043772A">
        <w:rPr>
          <w:rFonts w:eastAsiaTheme="minorEastAsia"/>
          <w:color w:val="222222"/>
          <w:shd w:val="clear" w:color="auto" w:fill="FFFFFF"/>
          <w:lang w:eastAsia="zh-CN"/>
        </w:rPr>
        <w:t>大西洋森林</w:t>
      </w:r>
      <w:r>
        <w:rPr>
          <w:rFonts w:eastAsiaTheme="minorEastAsia" w:hint="eastAsia"/>
          <w:color w:val="222222"/>
          <w:shd w:val="clear" w:color="auto" w:fill="FFFFFF"/>
          <w:lang w:eastAsia="zh-CN"/>
        </w:rPr>
        <w:t>等</w:t>
      </w:r>
      <w:r w:rsidRPr="0043772A">
        <w:rPr>
          <w:rFonts w:eastAsiaTheme="minorEastAsia"/>
          <w:color w:val="222222"/>
          <w:shd w:val="clear" w:color="auto" w:fill="FFFFFF"/>
          <w:lang w:eastAsia="zh-CN"/>
        </w:rPr>
        <w:t>；</w:t>
      </w:r>
    </w:p>
    <w:p w:rsidR="008F12F5" w:rsidRPr="0043772A" w:rsidRDefault="008F12F5" w:rsidP="0069685F">
      <w:pPr>
        <w:pStyle w:val="ListParagraph"/>
        <w:numPr>
          <w:ilvl w:val="0"/>
          <w:numId w:val="75"/>
        </w:numPr>
        <w:tabs>
          <w:tab w:val="left" w:pos="1440"/>
        </w:tabs>
        <w:suppressAutoHyphens/>
        <w:autoSpaceDE w:val="0"/>
        <w:autoSpaceDN w:val="0"/>
        <w:adjustRightInd w:val="0"/>
        <w:snapToGrid w:val="0"/>
        <w:ind w:left="0" w:firstLine="720"/>
        <w:rPr>
          <w:rFonts w:eastAsiaTheme="minorEastAsia"/>
          <w:lang w:eastAsia="zh-CN"/>
        </w:rPr>
      </w:pPr>
      <w:r w:rsidRPr="00703807">
        <w:rPr>
          <w:rFonts w:ascii="KaiTi" w:eastAsia="KaiTi" w:hAnsi="KaiTi"/>
          <w:lang w:val="en-GB" w:eastAsia="zh-CN"/>
        </w:rPr>
        <w:t>欧洲、加拿大、美国、澳大利亚和新西兰：</w:t>
      </w:r>
      <w:r w:rsidRPr="0043772A">
        <w:rPr>
          <w:rFonts w:eastAsiaTheme="minorEastAsia"/>
          <w:lang w:eastAsia="zh-CN"/>
        </w:rPr>
        <w:t>泥泞沼泽地、草原、荒野和</w:t>
      </w:r>
      <w:r w:rsidRPr="0043772A">
        <w:rPr>
          <w:rStyle w:val="ng-binding"/>
          <w:rFonts w:eastAsiaTheme="minorEastAsia"/>
          <w:lang w:eastAsia="zh-CN"/>
        </w:rPr>
        <w:t>灌木丛</w:t>
      </w:r>
      <w:r w:rsidRPr="0043772A">
        <w:rPr>
          <w:rFonts w:eastAsiaTheme="minorEastAsia"/>
          <w:lang w:eastAsia="zh-CN"/>
        </w:rPr>
        <w:t>。</w:t>
      </w:r>
    </w:p>
    <w:p w:rsidR="008F12F5" w:rsidRPr="0043772A" w:rsidRDefault="008F12F5" w:rsidP="0069685F">
      <w:pPr>
        <w:pStyle w:val="ListParagraph"/>
        <w:widowControl w:val="0"/>
        <w:numPr>
          <w:ilvl w:val="1"/>
          <w:numId w:val="74"/>
        </w:numPr>
        <w:tabs>
          <w:tab w:val="left" w:pos="720"/>
        </w:tabs>
        <w:suppressAutoHyphens/>
        <w:autoSpaceDE w:val="0"/>
        <w:autoSpaceDN w:val="0"/>
        <w:adjustRightInd w:val="0"/>
        <w:snapToGrid w:val="0"/>
        <w:ind w:left="0" w:firstLine="0"/>
        <w:rPr>
          <w:rFonts w:eastAsiaTheme="minorEastAsia"/>
          <w:color w:val="000000" w:themeColor="text1"/>
          <w:lang w:eastAsia="zh-CN"/>
        </w:rPr>
      </w:pPr>
      <w:r w:rsidRPr="0043772A">
        <w:rPr>
          <w:rFonts w:eastAsiaTheme="minorEastAsia"/>
          <w:lang w:eastAsia="zh-CN"/>
        </w:rPr>
        <w:t>大西洋</w:t>
      </w:r>
      <w:r w:rsidRPr="0043772A">
        <w:rPr>
          <w:rFonts w:eastAsiaTheme="minorEastAsia"/>
          <w:color w:val="000000" w:themeColor="text1"/>
          <w:lang w:eastAsia="zh-CN"/>
        </w:rPr>
        <w:t>森林是一个植物</w:t>
      </w:r>
      <w:r w:rsidRPr="0043772A">
        <w:rPr>
          <w:rFonts w:eastAsiaTheme="minorEastAsia"/>
          <w:color w:val="000000" w:themeColor="text1"/>
          <w:lang w:eastAsia="zh-CN"/>
        </w:rPr>
        <w:t>-</w:t>
      </w:r>
      <w:r w:rsidRPr="0043772A">
        <w:rPr>
          <w:rFonts w:eastAsiaTheme="minorEastAsia"/>
          <w:color w:val="000000" w:themeColor="text1"/>
          <w:lang w:eastAsia="zh-CN"/>
        </w:rPr>
        <w:t>授粉媒介相互作用密切的生物群落，它仅占其原始森林覆盖率的</w:t>
      </w:r>
      <w:r w:rsidRPr="0043772A">
        <w:rPr>
          <w:rFonts w:eastAsiaTheme="minorEastAsia"/>
          <w:color w:val="000000" w:themeColor="text1"/>
          <w:lang w:eastAsia="zh-CN"/>
        </w:rPr>
        <w:t>29</w:t>
      </w:r>
      <w:r>
        <w:rPr>
          <w:rFonts w:eastAsiaTheme="minorEastAsia" w:hint="eastAsia"/>
          <w:color w:val="000000" w:themeColor="text1"/>
          <w:lang w:eastAsia="zh-CN"/>
        </w:rPr>
        <w:t>%</w:t>
      </w:r>
      <w:r w:rsidRPr="0043772A">
        <w:rPr>
          <w:rFonts w:eastAsiaTheme="minorEastAsia"/>
          <w:color w:val="000000" w:themeColor="text1"/>
          <w:lang w:eastAsia="zh-CN"/>
        </w:rPr>
        <w:t>，</w:t>
      </w:r>
      <w:r w:rsidRPr="008F12F5">
        <w:rPr>
          <w:rStyle w:val="FootnoteReference"/>
          <w:rFonts w:eastAsiaTheme="minorEastAsia"/>
          <w:color w:val="000000" w:themeColor="text1"/>
          <w:sz w:val="24"/>
          <w:u w:val="none"/>
          <w:vertAlign w:val="superscript"/>
        </w:rPr>
        <w:footnoteReference w:id="95"/>
      </w:r>
      <w:r w:rsidRPr="008F12F5">
        <w:rPr>
          <w:rFonts w:eastAsiaTheme="minorEastAsia"/>
          <w:color w:val="000000" w:themeColor="text1"/>
          <w:sz w:val="36"/>
          <w:vertAlign w:val="superscript"/>
          <w:lang w:eastAsia="zh-CN"/>
        </w:rPr>
        <w:t xml:space="preserve"> </w:t>
      </w:r>
      <w:r w:rsidRPr="0043772A">
        <w:rPr>
          <w:rFonts w:eastAsiaTheme="minorEastAsia"/>
          <w:color w:val="000000" w:themeColor="text1"/>
          <w:lang w:eastAsia="zh-CN"/>
        </w:rPr>
        <w:t>因生境丧失和破碎化而受到</w:t>
      </w:r>
      <w:r>
        <w:rPr>
          <w:rFonts w:eastAsiaTheme="minorEastAsia" w:hint="eastAsia"/>
          <w:color w:val="000000" w:themeColor="text1"/>
          <w:lang w:eastAsia="zh-CN"/>
        </w:rPr>
        <w:t>严重</w:t>
      </w:r>
      <w:r w:rsidRPr="0043772A">
        <w:rPr>
          <w:rFonts w:eastAsiaTheme="minorEastAsia"/>
          <w:color w:val="000000" w:themeColor="text1"/>
          <w:lang w:eastAsia="zh-CN"/>
        </w:rPr>
        <w:t>威胁。该生物群落的极端破碎化意味着，只能在大型残留物内生存且有着相对特化的授粉和性别决定系统的植物物种存在差异减损。有人认为，查科干旱森林中自交（自花授粉）增加可能与非洲蜂入侵有关。</w:t>
      </w:r>
    </w:p>
    <w:p w:rsidR="008F12F5" w:rsidRPr="0043772A" w:rsidRDefault="008F12F5" w:rsidP="0069685F">
      <w:pPr>
        <w:pStyle w:val="ListParagraph"/>
        <w:numPr>
          <w:ilvl w:val="1"/>
          <w:numId w:val="74"/>
        </w:numPr>
        <w:tabs>
          <w:tab w:val="left" w:pos="720"/>
        </w:tabs>
        <w:suppressAutoHyphens/>
        <w:autoSpaceDE w:val="0"/>
        <w:autoSpaceDN w:val="0"/>
        <w:adjustRightInd w:val="0"/>
        <w:snapToGrid w:val="0"/>
        <w:ind w:left="0" w:firstLine="0"/>
        <w:rPr>
          <w:rFonts w:eastAsiaTheme="minorEastAsia"/>
        </w:rPr>
      </w:pPr>
      <w:r w:rsidRPr="0043772A">
        <w:rPr>
          <w:rFonts w:eastAsiaTheme="minorEastAsia"/>
          <w:lang w:eastAsia="zh-CN"/>
        </w:rPr>
        <w:t>在欧洲和北美，气候变化被认为是一个重大的潜在威胁。熊蜂由于在其历来势力范围以北拓殖新的栖息地，而无法追踪气候变暖现象。同时，它们正在从其势力范围的南部消失。</w:t>
      </w:r>
      <w:r w:rsidRPr="0043772A">
        <w:rPr>
          <w:rFonts w:eastAsiaTheme="minorEastAsia"/>
        </w:rPr>
        <w:t>有些物种已严重减少。</w:t>
      </w:r>
    </w:p>
    <w:p w:rsidR="008F12F5" w:rsidRPr="0043772A" w:rsidRDefault="008F12F5" w:rsidP="0069685F">
      <w:pPr>
        <w:pStyle w:val="ListParagraph"/>
        <w:numPr>
          <w:ilvl w:val="1"/>
          <w:numId w:val="74"/>
        </w:numPr>
        <w:tabs>
          <w:tab w:val="left" w:pos="720"/>
        </w:tabs>
        <w:suppressAutoHyphens/>
        <w:autoSpaceDE w:val="0"/>
        <w:autoSpaceDN w:val="0"/>
        <w:adjustRightInd w:val="0"/>
        <w:snapToGrid w:val="0"/>
        <w:ind w:left="0" w:firstLine="0"/>
        <w:rPr>
          <w:rFonts w:eastAsiaTheme="minorEastAsia"/>
          <w:color w:val="000000" w:themeColor="text1"/>
          <w:kern w:val="24"/>
          <w:lang w:eastAsia="ja-JP"/>
        </w:rPr>
      </w:pPr>
      <w:r w:rsidRPr="0043772A">
        <w:rPr>
          <w:rFonts w:eastAsiaTheme="minorEastAsia"/>
          <w:lang w:eastAsia="zh-CN"/>
        </w:rPr>
        <w:lastRenderedPageBreak/>
        <w:t>银蜂养殖</w:t>
      </w:r>
      <w:r w:rsidRPr="0043772A">
        <w:rPr>
          <w:rFonts w:eastAsiaTheme="minorEastAsia"/>
          <w:color w:val="000000" w:themeColor="text1"/>
          <w:kern w:val="24"/>
          <w:lang w:eastAsia="ja-JP"/>
        </w:rPr>
        <w:t>–</w:t>
      </w:r>
      <w:r w:rsidRPr="0043772A">
        <w:rPr>
          <w:rFonts w:eastAsiaTheme="minorEastAsia"/>
          <w:color w:val="000000" w:themeColor="text1"/>
          <w:kern w:val="24"/>
          <w:lang w:eastAsia="ja-JP"/>
        </w:rPr>
        <w:t>无刺蜜蜂（</w:t>
      </w:r>
      <w:r w:rsidRPr="0043772A">
        <w:rPr>
          <w:rFonts w:eastAsiaTheme="minorEastAsia"/>
          <w:color w:val="000000" w:themeColor="text1"/>
          <w:kern w:val="24"/>
          <w:lang w:eastAsia="zh-CN"/>
        </w:rPr>
        <w:t>银蜂</w:t>
      </w:r>
      <w:r w:rsidRPr="0043772A">
        <w:rPr>
          <w:rFonts w:eastAsiaTheme="minorEastAsia"/>
          <w:color w:val="000000" w:themeColor="text1"/>
          <w:kern w:val="24"/>
          <w:lang w:eastAsia="ja-JP"/>
        </w:rPr>
        <w:t>）养</w:t>
      </w:r>
      <w:r w:rsidRPr="0043772A">
        <w:rPr>
          <w:rFonts w:eastAsiaTheme="minorEastAsia"/>
          <w:color w:val="000000" w:themeColor="text1"/>
          <w:kern w:val="24"/>
          <w:lang w:eastAsia="zh-CN"/>
        </w:rPr>
        <w:t>殖</w:t>
      </w:r>
      <w:r w:rsidRPr="0043772A">
        <w:rPr>
          <w:rFonts w:eastAsiaTheme="minorEastAsia"/>
          <w:color w:val="000000" w:themeColor="text1"/>
          <w:kern w:val="24"/>
          <w:lang w:eastAsia="ja-JP"/>
        </w:rPr>
        <w:t>–</w:t>
      </w:r>
      <w:r w:rsidRPr="0043772A">
        <w:rPr>
          <w:rFonts w:eastAsiaTheme="minorEastAsia"/>
          <w:color w:val="000000" w:themeColor="text1"/>
          <w:kern w:val="24"/>
          <w:lang w:eastAsia="zh-CN"/>
        </w:rPr>
        <w:t>普遍由土著人民和当地社区承担，养蜂</w:t>
      </w:r>
      <w:r w:rsidRPr="0043772A">
        <w:rPr>
          <w:rFonts w:eastAsiaTheme="minorEastAsia"/>
          <w:color w:val="000000" w:themeColor="text1"/>
          <w:kern w:val="24"/>
          <w:lang w:eastAsia="ja-JP"/>
        </w:rPr>
        <w:t>知识</w:t>
      </w:r>
      <w:r w:rsidRPr="0043772A">
        <w:rPr>
          <w:rFonts w:eastAsiaTheme="minorEastAsia"/>
          <w:color w:val="000000" w:themeColor="text1"/>
          <w:kern w:val="24"/>
          <w:lang w:eastAsia="zh-CN"/>
        </w:rPr>
        <w:t>则通过口头</w:t>
      </w:r>
      <w:r w:rsidRPr="0043772A">
        <w:rPr>
          <w:rFonts w:eastAsiaTheme="minorEastAsia"/>
          <w:color w:val="000000" w:themeColor="text1"/>
          <w:kern w:val="24"/>
          <w:lang w:eastAsia="ja-JP"/>
        </w:rPr>
        <w:t>世代传承</w:t>
      </w:r>
      <w:r w:rsidRPr="0043772A">
        <w:rPr>
          <w:rFonts w:eastAsiaTheme="minorEastAsia"/>
          <w:color w:val="000000" w:themeColor="text1"/>
          <w:kern w:val="24"/>
          <w:lang w:eastAsia="zh-CN"/>
        </w:rPr>
        <w:t>。</w:t>
      </w:r>
      <w:r w:rsidRPr="0043772A">
        <w:rPr>
          <w:rFonts w:eastAsiaTheme="minorEastAsia"/>
          <w:color w:val="000000" w:themeColor="text1"/>
          <w:kern w:val="24"/>
          <w:lang w:eastAsia="ja-JP"/>
        </w:rPr>
        <w:t>无刺蜜蜂是</w:t>
      </w:r>
      <w:r w:rsidRPr="0043772A">
        <w:rPr>
          <w:rFonts w:eastAsiaTheme="minorEastAsia"/>
          <w:color w:val="000000" w:themeColor="text1"/>
          <w:kern w:val="24"/>
          <w:lang w:eastAsia="zh-CN"/>
        </w:rPr>
        <w:t>作物</w:t>
      </w:r>
      <w:r w:rsidRPr="0043772A">
        <w:rPr>
          <w:rFonts w:eastAsiaTheme="minorEastAsia"/>
          <w:color w:val="000000" w:themeColor="text1"/>
          <w:kern w:val="24"/>
          <w:lang w:eastAsia="ja-JP"/>
        </w:rPr>
        <w:t>和野果的有用授粉</w:t>
      </w:r>
      <w:r w:rsidRPr="0043772A">
        <w:rPr>
          <w:rFonts w:eastAsiaTheme="minorEastAsia"/>
          <w:color w:val="000000" w:themeColor="text1"/>
          <w:kern w:val="24"/>
          <w:lang w:eastAsia="zh-CN"/>
        </w:rPr>
        <w:t>媒介</w:t>
      </w:r>
      <w:r w:rsidRPr="0043772A">
        <w:rPr>
          <w:rFonts w:eastAsiaTheme="minorEastAsia"/>
          <w:color w:val="000000" w:themeColor="text1"/>
          <w:kern w:val="24"/>
          <w:lang w:eastAsia="ja-JP"/>
        </w:rPr>
        <w:t>，其中大多数产蜜，用于医药目的。虽然银蜂养殖为热带国家</w:t>
      </w:r>
      <w:r w:rsidRPr="0043772A">
        <w:rPr>
          <w:rFonts w:eastAsiaTheme="minorEastAsia"/>
          <w:color w:val="000000" w:themeColor="text1"/>
          <w:kern w:val="24"/>
          <w:lang w:eastAsia="zh-CN"/>
        </w:rPr>
        <w:t>带来</w:t>
      </w:r>
      <w:r w:rsidRPr="0043772A">
        <w:rPr>
          <w:rFonts w:eastAsiaTheme="minorEastAsia"/>
          <w:color w:val="000000" w:themeColor="text1"/>
          <w:kern w:val="24"/>
          <w:lang w:eastAsia="ja-JP"/>
        </w:rPr>
        <w:t>了经济机会，但是</w:t>
      </w:r>
      <w:r w:rsidRPr="0043772A">
        <w:rPr>
          <w:rFonts w:eastAsiaTheme="minorEastAsia"/>
          <w:color w:val="000000" w:themeColor="text1"/>
          <w:kern w:val="24"/>
          <w:lang w:eastAsia="zh-CN"/>
        </w:rPr>
        <w:t>，</w:t>
      </w:r>
      <w:r w:rsidRPr="0043772A">
        <w:rPr>
          <w:rFonts w:eastAsiaTheme="minorEastAsia"/>
          <w:color w:val="000000" w:themeColor="text1"/>
          <w:kern w:val="24"/>
          <w:lang w:eastAsia="ja-JP"/>
        </w:rPr>
        <w:t>无刺蜂的大规模饲养可能会产生负面影响，</w:t>
      </w:r>
      <w:r w:rsidRPr="0043772A">
        <w:rPr>
          <w:rFonts w:eastAsiaTheme="minorEastAsia"/>
          <w:color w:val="000000" w:themeColor="text1"/>
          <w:kern w:val="24"/>
          <w:lang w:eastAsia="zh-CN"/>
        </w:rPr>
        <w:t>在当前</w:t>
      </w:r>
      <w:r w:rsidRPr="0043772A">
        <w:rPr>
          <w:rFonts w:eastAsiaTheme="minorEastAsia"/>
          <w:color w:val="000000" w:themeColor="text1"/>
          <w:kern w:val="24"/>
          <w:lang w:eastAsia="ja-JP"/>
        </w:rPr>
        <w:t>被认为是</w:t>
      </w:r>
      <w:r w:rsidRPr="0043772A">
        <w:rPr>
          <w:rFonts w:eastAsiaTheme="minorEastAsia"/>
          <w:color w:val="000000" w:themeColor="text1"/>
          <w:kern w:val="24"/>
          <w:lang w:eastAsia="zh-CN"/>
        </w:rPr>
        <w:t>一项</w:t>
      </w:r>
      <w:r w:rsidRPr="0043772A">
        <w:rPr>
          <w:rFonts w:eastAsiaTheme="minorEastAsia"/>
          <w:color w:val="000000" w:themeColor="text1"/>
          <w:kern w:val="24"/>
          <w:lang w:eastAsia="ja-JP"/>
        </w:rPr>
        <w:t>挑战</w:t>
      </w:r>
      <w:r w:rsidRPr="0043772A">
        <w:rPr>
          <w:rFonts w:eastAsiaTheme="minorEastAsia"/>
          <w:lang w:eastAsia="zh-CN"/>
        </w:rPr>
        <w:t>。</w:t>
      </w:r>
    </w:p>
    <w:p w:rsidR="008F12F5" w:rsidRPr="0043772A" w:rsidRDefault="008F12F5" w:rsidP="0069685F">
      <w:pPr>
        <w:pStyle w:val="ListParagraph"/>
        <w:numPr>
          <w:ilvl w:val="1"/>
          <w:numId w:val="74"/>
        </w:numPr>
        <w:tabs>
          <w:tab w:val="left" w:pos="720"/>
        </w:tabs>
        <w:suppressAutoHyphens/>
        <w:autoSpaceDE w:val="0"/>
        <w:autoSpaceDN w:val="0"/>
        <w:adjustRightInd w:val="0"/>
        <w:snapToGrid w:val="0"/>
        <w:ind w:left="0" w:firstLine="0"/>
        <w:rPr>
          <w:rFonts w:eastAsiaTheme="minorEastAsia"/>
          <w:color w:val="000000" w:themeColor="text1"/>
          <w:lang w:eastAsia="zh-CN"/>
        </w:rPr>
      </w:pPr>
      <w:r w:rsidRPr="0043772A">
        <w:rPr>
          <w:rFonts w:eastAsiaTheme="minorEastAsia"/>
          <w:color w:val="000000" w:themeColor="text1"/>
          <w:kern w:val="24"/>
          <w:lang w:eastAsia="ja-JP"/>
        </w:rPr>
        <w:t>中国</w:t>
      </w:r>
      <w:r w:rsidRPr="0043772A">
        <w:rPr>
          <w:rFonts w:eastAsiaTheme="minorEastAsia"/>
          <w:color w:val="000000" w:themeColor="text1"/>
          <w:kern w:val="24"/>
          <w:lang w:eastAsia="zh-CN"/>
        </w:rPr>
        <w:t>、</w:t>
      </w:r>
      <w:r w:rsidRPr="0043772A">
        <w:rPr>
          <w:rFonts w:eastAsiaTheme="minorEastAsia"/>
          <w:color w:val="000000" w:themeColor="text1"/>
          <w:kern w:val="24"/>
          <w:lang w:eastAsia="ja-JP"/>
        </w:rPr>
        <w:t>古巴</w:t>
      </w:r>
      <w:r w:rsidRPr="0043772A">
        <w:rPr>
          <w:rFonts w:eastAsiaTheme="minorEastAsia"/>
          <w:color w:val="000000" w:themeColor="text1"/>
          <w:kern w:val="24"/>
          <w:lang w:eastAsia="zh-CN"/>
        </w:rPr>
        <w:t>、</w:t>
      </w:r>
      <w:r w:rsidRPr="0043772A">
        <w:rPr>
          <w:rFonts w:eastAsiaTheme="minorEastAsia"/>
          <w:color w:val="000000" w:themeColor="text1"/>
          <w:kern w:val="24"/>
          <w:lang w:eastAsia="ja-JP"/>
        </w:rPr>
        <w:t>印度和美国等许多国家</w:t>
      </w:r>
      <w:r w:rsidRPr="0043772A">
        <w:rPr>
          <w:rFonts w:eastAsiaTheme="minorEastAsia"/>
          <w:color w:val="000000" w:themeColor="text1"/>
          <w:kern w:val="24"/>
          <w:lang w:eastAsia="zh-CN"/>
        </w:rPr>
        <w:t>一直在探讨把</w:t>
      </w:r>
      <w:r w:rsidRPr="0043772A">
        <w:rPr>
          <w:rFonts w:eastAsiaTheme="minorEastAsia"/>
          <w:color w:val="000000" w:themeColor="text1"/>
          <w:kern w:val="24"/>
          <w:lang w:eastAsia="ja-JP"/>
        </w:rPr>
        <w:t>蜜蜂（</w:t>
      </w:r>
      <w:r w:rsidRPr="0043772A">
        <w:rPr>
          <w:rFonts w:eastAsiaTheme="minorEastAsia"/>
          <w:color w:val="000000" w:themeColor="text1"/>
          <w:kern w:val="24"/>
          <w:lang w:eastAsia="zh-CN"/>
        </w:rPr>
        <w:t>西方蜂蜜</w:t>
      </w:r>
      <w:r w:rsidRPr="0043772A">
        <w:rPr>
          <w:rFonts w:eastAsiaTheme="minorEastAsia"/>
          <w:color w:val="000000" w:themeColor="text1"/>
          <w:kern w:val="24"/>
          <w:lang w:eastAsia="ja-JP"/>
        </w:rPr>
        <w:t>）物种</w:t>
      </w:r>
      <w:r w:rsidRPr="0043772A">
        <w:rPr>
          <w:rFonts w:eastAsiaTheme="minorEastAsia"/>
          <w:color w:val="000000" w:themeColor="text1"/>
          <w:kern w:val="24"/>
          <w:lang w:eastAsia="zh-CN"/>
        </w:rPr>
        <w:t>引入</w:t>
      </w:r>
      <w:r w:rsidRPr="0043772A">
        <w:rPr>
          <w:rFonts w:eastAsiaTheme="minorEastAsia"/>
          <w:color w:val="000000" w:themeColor="text1"/>
          <w:kern w:val="24"/>
          <w:lang w:eastAsia="ja-JP"/>
        </w:rPr>
        <w:t>红树林</w:t>
      </w:r>
      <w:r w:rsidRPr="0043772A">
        <w:rPr>
          <w:rFonts w:eastAsiaTheme="minorEastAsia"/>
          <w:color w:val="000000" w:themeColor="text1"/>
          <w:kern w:val="24"/>
          <w:lang w:eastAsia="zh-CN"/>
        </w:rPr>
        <w:t>的问题</w:t>
      </w:r>
      <w:r w:rsidRPr="0043772A">
        <w:rPr>
          <w:rFonts w:eastAsiaTheme="minorEastAsia"/>
          <w:color w:val="000000" w:themeColor="text1"/>
          <w:kern w:val="24"/>
          <w:lang w:eastAsia="ja-JP"/>
        </w:rPr>
        <w:t>，泰国和巴西</w:t>
      </w:r>
      <w:r w:rsidRPr="0043772A">
        <w:rPr>
          <w:rFonts w:eastAsiaTheme="minorEastAsia"/>
          <w:color w:val="000000" w:themeColor="text1"/>
          <w:kern w:val="24"/>
          <w:lang w:eastAsia="zh-CN"/>
        </w:rPr>
        <w:t>也不断增加对此问题的探讨</w:t>
      </w:r>
      <w:r w:rsidRPr="0043772A">
        <w:rPr>
          <w:rFonts w:eastAsiaTheme="minorEastAsia"/>
          <w:color w:val="000000" w:themeColor="text1"/>
          <w:kern w:val="24"/>
          <w:lang w:eastAsia="ja-JP"/>
        </w:rPr>
        <w:t>。这项活动可能有助于红树林系统</w:t>
      </w:r>
      <w:r w:rsidRPr="0043772A">
        <w:rPr>
          <w:rFonts w:eastAsiaTheme="minorEastAsia"/>
          <w:color w:val="000000" w:themeColor="text1"/>
          <w:kern w:val="24"/>
          <w:lang w:eastAsia="zh-CN"/>
        </w:rPr>
        <w:t>的</w:t>
      </w:r>
      <w:r w:rsidRPr="0043772A">
        <w:rPr>
          <w:rFonts w:eastAsiaTheme="minorEastAsia"/>
          <w:color w:val="000000" w:themeColor="text1"/>
          <w:kern w:val="24"/>
          <w:lang w:eastAsia="ja-JP"/>
        </w:rPr>
        <w:t>养护，但</w:t>
      </w:r>
      <w:r w:rsidRPr="0043772A">
        <w:rPr>
          <w:rFonts w:eastAsiaTheme="minorEastAsia"/>
          <w:color w:val="000000" w:themeColor="text1"/>
          <w:kern w:val="24"/>
          <w:lang w:eastAsia="zh-CN"/>
        </w:rPr>
        <w:t>需要对</w:t>
      </w:r>
      <w:r w:rsidRPr="0043772A">
        <w:rPr>
          <w:rFonts w:eastAsiaTheme="minorEastAsia"/>
          <w:color w:val="000000" w:themeColor="text1"/>
          <w:kern w:val="24"/>
          <w:lang w:eastAsia="ja-JP"/>
        </w:rPr>
        <w:t>影响</w:t>
      </w:r>
      <w:r w:rsidRPr="0043772A">
        <w:rPr>
          <w:rFonts w:eastAsiaTheme="minorEastAsia"/>
          <w:color w:val="000000" w:themeColor="text1"/>
          <w:kern w:val="24"/>
          <w:lang w:eastAsia="zh-CN"/>
        </w:rPr>
        <w:t>作出</w:t>
      </w:r>
      <w:r w:rsidRPr="0043772A">
        <w:rPr>
          <w:rFonts w:eastAsiaTheme="minorEastAsia"/>
          <w:color w:val="000000" w:themeColor="text1"/>
          <w:kern w:val="24"/>
          <w:lang w:eastAsia="ja-JP"/>
        </w:rPr>
        <w:t>进一步评估。为了以可持续</w:t>
      </w:r>
      <w:r w:rsidRPr="0043772A">
        <w:rPr>
          <w:rFonts w:eastAsiaTheme="minorEastAsia"/>
          <w:color w:val="000000" w:themeColor="text1"/>
          <w:kern w:val="24"/>
          <w:lang w:eastAsia="zh-CN"/>
        </w:rPr>
        <w:t>地</w:t>
      </w:r>
      <w:r w:rsidRPr="0043772A">
        <w:rPr>
          <w:rFonts w:eastAsiaTheme="minorEastAsia"/>
          <w:color w:val="000000" w:themeColor="text1"/>
          <w:kern w:val="24"/>
          <w:lang w:eastAsia="ja-JP"/>
        </w:rPr>
        <w:t>利用自然资源，需要</w:t>
      </w:r>
      <w:r w:rsidRPr="0043772A">
        <w:rPr>
          <w:rFonts w:eastAsiaTheme="minorEastAsia"/>
          <w:color w:val="000000" w:themeColor="text1"/>
          <w:kern w:val="24"/>
          <w:lang w:eastAsia="zh-CN"/>
        </w:rPr>
        <w:t>加强对拓殖地</w:t>
      </w:r>
      <w:r w:rsidRPr="0043772A">
        <w:rPr>
          <w:rFonts w:eastAsiaTheme="minorEastAsia"/>
          <w:color w:val="000000" w:themeColor="text1"/>
          <w:kern w:val="24"/>
          <w:lang w:eastAsia="ja-JP"/>
        </w:rPr>
        <w:t>的管理，包括人工繁殖和</w:t>
      </w:r>
      <w:r w:rsidRPr="0043772A">
        <w:rPr>
          <w:rFonts w:eastAsiaTheme="minorEastAsia"/>
          <w:color w:val="000000" w:themeColor="text1"/>
          <w:kern w:val="24"/>
          <w:lang w:eastAsia="zh-CN"/>
        </w:rPr>
        <w:t>人工</w:t>
      </w:r>
      <w:r w:rsidRPr="0043772A">
        <w:rPr>
          <w:rFonts w:eastAsiaTheme="minorEastAsia"/>
          <w:color w:val="000000" w:themeColor="text1"/>
          <w:kern w:val="24"/>
          <w:lang w:eastAsia="ja-JP"/>
        </w:rPr>
        <w:t>育王</w:t>
      </w:r>
      <w:r w:rsidRPr="0043772A">
        <w:rPr>
          <w:rFonts w:eastAsiaTheme="minorEastAsia"/>
          <w:color w:val="000000" w:themeColor="text1"/>
          <w:kern w:val="24"/>
          <w:lang w:eastAsia="zh-CN"/>
        </w:rPr>
        <w:t>。</w:t>
      </w:r>
    </w:p>
    <w:p w:rsidR="008F12F5" w:rsidRPr="0043772A" w:rsidRDefault="008F12F5" w:rsidP="0069685F">
      <w:pPr>
        <w:pStyle w:val="ListParagraph"/>
        <w:numPr>
          <w:ilvl w:val="1"/>
          <w:numId w:val="74"/>
        </w:numPr>
        <w:tabs>
          <w:tab w:val="left" w:pos="720"/>
        </w:tabs>
        <w:suppressAutoHyphens/>
        <w:autoSpaceDE w:val="0"/>
        <w:autoSpaceDN w:val="0"/>
        <w:adjustRightInd w:val="0"/>
        <w:snapToGrid w:val="0"/>
        <w:ind w:left="0" w:firstLine="0"/>
        <w:rPr>
          <w:rFonts w:eastAsiaTheme="minorEastAsia"/>
          <w:color w:val="000000" w:themeColor="text1"/>
          <w:kern w:val="24"/>
          <w:lang w:eastAsia="ja-JP"/>
        </w:rPr>
      </w:pPr>
      <w:r w:rsidRPr="0043772A">
        <w:rPr>
          <w:rFonts w:eastAsiaTheme="minorEastAsia"/>
          <w:color w:val="000000" w:themeColor="text1"/>
          <w:kern w:val="24"/>
          <w:lang w:eastAsia="ja-JP"/>
        </w:rPr>
        <w:t>关于</w:t>
      </w:r>
      <w:r w:rsidRPr="0043772A">
        <w:rPr>
          <w:rFonts w:eastAsiaTheme="minorEastAsia"/>
          <w:color w:val="000000" w:themeColor="text1"/>
          <w:kern w:val="24"/>
          <w:lang w:eastAsia="zh-CN"/>
        </w:rPr>
        <w:t>农药</w:t>
      </w:r>
      <w:r w:rsidRPr="0043772A">
        <w:rPr>
          <w:rFonts w:eastAsiaTheme="minorEastAsia"/>
          <w:color w:val="000000" w:themeColor="text1"/>
          <w:kern w:val="24"/>
          <w:lang w:eastAsia="ja-JP"/>
        </w:rPr>
        <w:t>对非目标物种的影响，最近的一项</w:t>
      </w:r>
      <w:r w:rsidRPr="0043772A">
        <w:rPr>
          <w:rStyle w:val="ng-binding"/>
          <w:rFonts w:eastAsiaTheme="minorEastAsia"/>
          <w:lang w:eastAsia="zh-CN"/>
        </w:rPr>
        <w:t>整合</w:t>
      </w:r>
      <w:r w:rsidRPr="0043772A">
        <w:rPr>
          <w:rFonts w:eastAsia="MS Mincho"/>
          <w:color w:val="000000" w:themeColor="text1"/>
          <w:kern w:val="24"/>
          <w:lang w:eastAsia="ja-JP"/>
        </w:rPr>
        <w:t>​​</w:t>
      </w:r>
      <w:r w:rsidRPr="0043772A">
        <w:rPr>
          <w:rFonts w:eastAsiaTheme="minorEastAsia"/>
          <w:color w:val="000000" w:themeColor="text1"/>
          <w:kern w:val="24"/>
          <w:lang w:eastAsia="ja-JP"/>
        </w:rPr>
        <w:t>分析表明，与蜜蜂相比，无刺蜜蜂对各种</w:t>
      </w:r>
      <w:r w:rsidRPr="0043772A">
        <w:rPr>
          <w:rFonts w:eastAsiaTheme="minorEastAsia"/>
          <w:color w:val="000000" w:themeColor="text1"/>
          <w:kern w:val="24"/>
          <w:lang w:eastAsia="zh-CN"/>
        </w:rPr>
        <w:t>农药</w:t>
      </w:r>
      <w:r w:rsidRPr="0043772A">
        <w:rPr>
          <w:rFonts w:eastAsiaTheme="minorEastAsia"/>
          <w:color w:val="000000" w:themeColor="text1"/>
          <w:kern w:val="24"/>
          <w:lang w:eastAsia="ja-JP"/>
        </w:rPr>
        <w:t>更为敏感。</w:t>
      </w:r>
      <w:r w:rsidRPr="0043772A">
        <w:rPr>
          <w:rFonts w:eastAsiaTheme="minorEastAsia"/>
          <w:color w:val="000000" w:themeColor="text1"/>
          <w:kern w:val="24"/>
          <w:lang w:eastAsia="zh-CN"/>
        </w:rPr>
        <w:t>对巴西</w:t>
      </w:r>
      <w:r w:rsidRPr="0043772A">
        <w:rPr>
          <w:rFonts w:eastAsiaTheme="minorEastAsia"/>
          <w:color w:val="000000" w:themeColor="text1"/>
          <w:kern w:val="24"/>
          <w:lang w:eastAsia="ja-JP"/>
        </w:rPr>
        <w:t>大果蝠</w:t>
      </w:r>
      <w:r w:rsidRPr="0043772A">
        <w:rPr>
          <w:rFonts w:eastAsiaTheme="minorEastAsia"/>
          <w:color w:val="000000" w:themeColor="text1"/>
          <w:kern w:val="24"/>
          <w:lang w:eastAsia="zh-CN"/>
        </w:rPr>
        <w:t>（</w:t>
      </w:r>
      <w:r w:rsidRPr="0043772A">
        <w:rPr>
          <w:rStyle w:val="st"/>
          <w:rFonts w:eastAsiaTheme="minorEastAsia"/>
          <w:lang w:eastAsia="zh-CN"/>
        </w:rPr>
        <w:t>叶口蝠科</w:t>
      </w:r>
      <w:r w:rsidRPr="0043772A">
        <w:rPr>
          <w:rFonts w:eastAsiaTheme="minorEastAsia"/>
          <w:color w:val="000000" w:themeColor="text1"/>
          <w:kern w:val="24"/>
          <w:lang w:eastAsia="zh-CN"/>
        </w:rPr>
        <w:t>）等</w:t>
      </w:r>
      <w:r w:rsidRPr="0043772A">
        <w:rPr>
          <w:rFonts w:eastAsiaTheme="minorEastAsia"/>
          <w:color w:val="000000" w:themeColor="text1"/>
          <w:kern w:val="24"/>
          <w:lang w:eastAsia="ja-JP"/>
        </w:rPr>
        <w:t>其他</w:t>
      </w:r>
      <w:r w:rsidRPr="0043772A">
        <w:rPr>
          <w:rFonts w:eastAsiaTheme="minorEastAsia"/>
          <w:color w:val="000000" w:themeColor="text1"/>
          <w:kern w:val="24"/>
          <w:lang w:eastAsia="zh-CN"/>
        </w:rPr>
        <w:t>授粉媒介</w:t>
      </w:r>
      <w:r w:rsidRPr="0043772A">
        <w:rPr>
          <w:rFonts w:eastAsiaTheme="minorEastAsia"/>
          <w:color w:val="000000" w:themeColor="text1"/>
          <w:kern w:val="24"/>
          <w:lang w:eastAsia="ja-JP"/>
        </w:rPr>
        <w:t>进行的实验研究表明，果蝠长期接触浓度</w:t>
      </w:r>
      <w:r w:rsidRPr="0043772A">
        <w:rPr>
          <w:rFonts w:eastAsiaTheme="minorEastAsia"/>
          <w:color w:val="000000" w:themeColor="text1"/>
          <w:kern w:val="24"/>
          <w:lang w:eastAsia="zh-CN"/>
        </w:rPr>
        <w:t>相对高</w:t>
      </w:r>
      <w:r w:rsidRPr="0043772A">
        <w:rPr>
          <w:rFonts w:eastAsiaTheme="minorEastAsia"/>
          <w:color w:val="000000" w:themeColor="text1"/>
          <w:kern w:val="24"/>
          <w:lang w:eastAsia="ja-JP"/>
        </w:rPr>
        <w:t>的硫丹会导致</w:t>
      </w:r>
      <w:r w:rsidRPr="0043772A">
        <w:rPr>
          <w:rFonts w:eastAsiaTheme="minorEastAsia"/>
          <w:color w:val="000000" w:themeColor="text1"/>
          <w:kern w:val="24"/>
          <w:lang w:eastAsia="zh-CN"/>
        </w:rPr>
        <w:t>显著</w:t>
      </w:r>
      <w:r w:rsidRPr="0043772A">
        <w:rPr>
          <w:rFonts w:eastAsiaTheme="minorEastAsia"/>
          <w:color w:val="000000" w:themeColor="text1"/>
          <w:kern w:val="24"/>
          <w:lang w:eastAsia="ja-JP"/>
        </w:rPr>
        <w:t>的生物</w:t>
      </w:r>
      <w:r w:rsidRPr="0043772A">
        <w:rPr>
          <w:rFonts w:eastAsiaTheme="minorEastAsia"/>
          <w:color w:val="000000" w:themeColor="text1"/>
          <w:kern w:val="24"/>
          <w:lang w:eastAsia="zh-CN"/>
        </w:rPr>
        <w:t>累积</w:t>
      </w:r>
      <w:r w:rsidRPr="0043772A">
        <w:rPr>
          <w:rFonts w:eastAsiaTheme="minorEastAsia"/>
          <w:color w:val="000000" w:themeColor="text1"/>
          <w:kern w:val="24"/>
          <w:lang w:eastAsia="ja-JP"/>
        </w:rPr>
        <w:t>，可能会影响新热带</w:t>
      </w:r>
      <w:r w:rsidRPr="0043772A">
        <w:rPr>
          <w:rFonts w:eastAsiaTheme="minorEastAsia"/>
          <w:color w:val="000000" w:themeColor="text1"/>
          <w:kern w:val="24"/>
          <w:lang w:eastAsia="zh-CN"/>
        </w:rPr>
        <w:t>林区</w:t>
      </w:r>
      <w:r w:rsidRPr="0043772A">
        <w:rPr>
          <w:rFonts w:eastAsiaTheme="minorEastAsia"/>
          <w:color w:val="000000" w:themeColor="text1"/>
          <w:kern w:val="24"/>
          <w:lang w:eastAsia="ja-JP"/>
        </w:rPr>
        <w:t>这</w:t>
      </w:r>
      <w:r w:rsidRPr="0043772A">
        <w:rPr>
          <w:rFonts w:eastAsiaTheme="minorEastAsia"/>
          <w:color w:val="000000" w:themeColor="text1"/>
          <w:kern w:val="24"/>
          <w:lang w:eastAsia="zh-CN"/>
        </w:rPr>
        <w:t>一</w:t>
      </w:r>
      <w:r w:rsidRPr="0043772A">
        <w:rPr>
          <w:rFonts w:eastAsiaTheme="minorEastAsia"/>
          <w:color w:val="000000" w:themeColor="text1"/>
          <w:kern w:val="24"/>
          <w:lang w:eastAsia="ja-JP"/>
        </w:rPr>
        <w:t>重要种子传播者的健康。同样，</w:t>
      </w:r>
      <w:r w:rsidRPr="0043772A">
        <w:rPr>
          <w:rFonts w:eastAsiaTheme="minorEastAsia"/>
          <w:color w:val="000000" w:themeColor="text1"/>
          <w:kern w:val="24"/>
          <w:lang w:eastAsia="zh-CN"/>
        </w:rPr>
        <w:t>对</w:t>
      </w:r>
      <w:r w:rsidRPr="0043772A">
        <w:rPr>
          <w:rFonts w:eastAsiaTheme="minorEastAsia"/>
          <w:color w:val="000000" w:themeColor="text1"/>
          <w:kern w:val="24"/>
          <w:lang w:eastAsia="ja-JP"/>
        </w:rPr>
        <w:t>北加利福尼亚州蝴蝶种群的长期数据分析显示</w:t>
      </w:r>
      <w:r w:rsidRPr="0043772A">
        <w:rPr>
          <w:rFonts w:eastAsiaTheme="minorEastAsia"/>
          <w:color w:val="000000" w:themeColor="text1"/>
          <w:kern w:val="24"/>
          <w:lang w:eastAsia="zh-CN"/>
        </w:rPr>
        <w:t>，</w:t>
      </w:r>
      <w:r w:rsidRPr="0043772A">
        <w:rPr>
          <w:rFonts w:eastAsiaTheme="minorEastAsia"/>
          <w:color w:val="000000" w:themeColor="text1"/>
          <w:kern w:val="24"/>
          <w:lang w:eastAsia="ja-JP"/>
        </w:rPr>
        <w:t>蝴蝶种群与日益增加的新烟碱类</w:t>
      </w:r>
      <w:r w:rsidRPr="0043772A">
        <w:rPr>
          <w:rFonts w:eastAsiaTheme="minorEastAsia"/>
          <w:color w:val="000000" w:themeColor="text1"/>
          <w:kern w:val="24"/>
          <w:lang w:eastAsia="zh-CN"/>
        </w:rPr>
        <w:t>的</w:t>
      </w:r>
      <w:r w:rsidRPr="0043772A">
        <w:rPr>
          <w:rFonts w:eastAsiaTheme="minorEastAsia"/>
          <w:color w:val="000000" w:themeColor="text1"/>
          <w:kern w:val="24"/>
          <w:lang w:eastAsia="ja-JP"/>
        </w:rPr>
        <w:t>应用之间存在</w:t>
      </w:r>
      <w:r w:rsidRPr="0043772A">
        <w:rPr>
          <w:rFonts w:eastAsiaTheme="minorEastAsia"/>
          <w:color w:val="000000" w:themeColor="text1"/>
          <w:kern w:val="24"/>
          <w:lang w:eastAsia="zh-CN"/>
        </w:rPr>
        <w:t>着</w:t>
      </w:r>
      <w:r w:rsidRPr="0043772A">
        <w:rPr>
          <w:rFonts w:eastAsiaTheme="minorEastAsia"/>
          <w:color w:val="000000" w:themeColor="text1"/>
          <w:kern w:val="24"/>
          <w:lang w:eastAsia="ja-JP"/>
        </w:rPr>
        <w:t>负相关</w:t>
      </w:r>
      <w:r>
        <w:rPr>
          <w:rFonts w:eastAsiaTheme="minorEastAsia"/>
          <w:color w:val="000000" w:themeColor="text1"/>
          <w:kern w:val="24"/>
          <w:lang w:eastAsia="zh-CN"/>
        </w:rPr>
        <w:t xml:space="preserve"> </w:t>
      </w:r>
      <w:r>
        <w:rPr>
          <w:rFonts w:eastAsiaTheme="minorEastAsia" w:hint="eastAsia"/>
          <w:color w:val="000000" w:themeColor="text1"/>
          <w:kern w:val="24"/>
          <w:lang w:eastAsia="zh-CN"/>
        </w:rPr>
        <w:t>关系</w:t>
      </w:r>
      <w:r>
        <w:rPr>
          <w:rFonts w:eastAsiaTheme="minorEastAsia" w:hint="eastAsia"/>
          <w:color w:val="000000" w:themeColor="text1"/>
          <w:kern w:val="24"/>
          <w:lang w:eastAsia="zh-CN"/>
        </w:rPr>
        <w:t xml:space="preserve"> </w:t>
      </w:r>
      <w:r w:rsidRPr="0043772A">
        <w:rPr>
          <w:rFonts w:eastAsiaTheme="minorEastAsia"/>
          <w:color w:val="000000" w:themeColor="text1"/>
          <w:kern w:val="24"/>
          <w:lang w:eastAsia="ja-JP"/>
        </w:rPr>
        <w:t>。在三个国家（匈牙利、德国和</w:t>
      </w:r>
      <w:r w:rsidRPr="0043772A">
        <w:rPr>
          <w:rFonts w:eastAsiaTheme="minorEastAsia"/>
          <w:color w:val="000000" w:themeColor="text1"/>
          <w:kern w:val="24"/>
          <w:lang w:eastAsia="zh-CN"/>
        </w:rPr>
        <w:t>联合王国</w:t>
      </w:r>
      <w:r w:rsidRPr="0043772A">
        <w:rPr>
          <w:rFonts w:eastAsiaTheme="minorEastAsia"/>
          <w:color w:val="000000" w:themeColor="text1"/>
          <w:kern w:val="24"/>
          <w:lang w:eastAsia="ja-JP"/>
        </w:rPr>
        <w:t>）对利用新烟碱类（噻虫胺或噻虫嗪）处理油菜籽（</w:t>
      </w:r>
      <w:r w:rsidRPr="0043772A">
        <w:rPr>
          <w:rStyle w:val="st"/>
          <w:rFonts w:eastAsiaTheme="minorEastAsia"/>
          <w:lang w:eastAsia="zh-CN"/>
        </w:rPr>
        <w:t>芥花油</w:t>
      </w:r>
      <w:r w:rsidRPr="0043772A">
        <w:rPr>
          <w:rFonts w:eastAsiaTheme="minorEastAsia"/>
          <w:color w:val="000000" w:themeColor="text1"/>
          <w:kern w:val="24"/>
          <w:lang w:eastAsia="ja-JP"/>
        </w:rPr>
        <w:t>）进行的对照景观试验显示，野生蜂（</w:t>
      </w:r>
      <w:r w:rsidRPr="0043772A">
        <w:rPr>
          <w:rFonts w:eastAsiaTheme="minorEastAsia"/>
          <w:color w:val="000000" w:themeColor="text1"/>
          <w:kern w:val="24"/>
          <w:lang w:eastAsia="ja-JP"/>
        </w:rPr>
        <w:t>B.terrestris</w:t>
      </w:r>
      <w:r w:rsidRPr="0043772A">
        <w:rPr>
          <w:rFonts w:eastAsiaTheme="minorEastAsia"/>
          <w:color w:val="000000" w:themeColor="text1"/>
          <w:kern w:val="24"/>
          <w:lang w:eastAsia="ja-JP"/>
        </w:rPr>
        <w:t>和</w:t>
      </w:r>
      <w:r w:rsidRPr="0043772A">
        <w:rPr>
          <w:rFonts w:eastAsiaTheme="minorEastAsia"/>
          <w:color w:val="000000" w:themeColor="text1"/>
          <w:kern w:val="24"/>
          <w:lang w:eastAsia="ja-JP"/>
        </w:rPr>
        <w:t>Osmiabicornis</w:t>
      </w:r>
      <w:r w:rsidRPr="0043772A">
        <w:rPr>
          <w:rFonts w:eastAsiaTheme="minorEastAsia"/>
          <w:color w:val="000000" w:themeColor="text1"/>
          <w:kern w:val="24"/>
          <w:lang w:eastAsia="ja-JP"/>
        </w:rPr>
        <w:t>）</w:t>
      </w:r>
      <w:r w:rsidRPr="0043772A">
        <w:rPr>
          <w:rFonts w:eastAsiaTheme="minorEastAsia"/>
          <w:color w:val="000000" w:themeColor="text1"/>
          <w:kern w:val="24"/>
          <w:lang w:eastAsia="zh-CN"/>
        </w:rPr>
        <w:t>的</w:t>
      </w:r>
      <w:r w:rsidRPr="0043772A">
        <w:rPr>
          <w:rFonts w:eastAsiaTheme="minorEastAsia"/>
          <w:color w:val="000000" w:themeColor="text1"/>
          <w:kern w:val="24"/>
          <w:lang w:eastAsia="ja-JP"/>
        </w:rPr>
        <w:t>繁殖与蜂巢中的新烟碱类残留物呈</w:t>
      </w:r>
      <w:r>
        <w:rPr>
          <w:rFonts w:eastAsiaTheme="minorEastAsia"/>
          <w:color w:val="000000" w:themeColor="text1"/>
          <w:kern w:val="24"/>
          <w:lang w:eastAsia="ja-JP"/>
        </w:rPr>
        <w:t>负相关关系</w:t>
      </w:r>
      <w:r w:rsidRPr="0043772A">
        <w:rPr>
          <w:rFonts w:eastAsiaTheme="minorEastAsia"/>
          <w:color w:val="000000" w:themeColor="text1"/>
          <w:kern w:val="24"/>
          <w:lang w:eastAsia="zh-CN"/>
        </w:rPr>
        <w:t>。</w:t>
      </w:r>
    </w:p>
    <w:p w:rsidR="008F12F5" w:rsidRPr="00DE4FF8" w:rsidRDefault="008F12F5" w:rsidP="0069685F">
      <w:pPr>
        <w:pStyle w:val="ListParagraph"/>
        <w:numPr>
          <w:ilvl w:val="1"/>
          <w:numId w:val="74"/>
        </w:numPr>
        <w:tabs>
          <w:tab w:val="left" w:pos="720"/>
        </w:tabs>
        <w:suppressAutoHyphens/>
        <w:autoSpaceDE w:val="0"/>
        <w:autoSpaceDN w:val="0"/>
        <w:adjustRightInd w:val="0"/>
        <w:snapToGrid w:val="0"/>
        <w:ind w:left="0" w:firstLine="0"/>
        <w:rPr>
          <w:rFonts w:eastAsiaTheme="minorEastAsia"/>
          <w:lang w:eastAsia="zh-CN"/>
        </w:rPr>
      </w:pPr>
      <w:r w:rsidRPr="00DE4FF8">
        <w:rPr>
          <w:rFonts w:eastAsiaTheme="minorEastAsia" w:hint="eastAsia"/>
          <w:lang w:eastAsia="zh-CN"/>
        </w:rPr>
        <w:t>对于有可能</w:t>
      </w:r>
      <w:r w:rsidRPr="00DE4FF8">
        <w:rPr>
          <w:rFonts w:eastAsiaTheme="minorEastAsia"/>
          <w:lang w:eastAsia="zh-CN"/>
        </w:rPr>
        <w:t>影响非目标</w:t>
      </w:r>
      <w:r w:rsidRPr="00DE4FF8">
        <w:rPr>
          <w:rFonts w:eastAsiaTheme="minorEastAsia" w:hint="eastAsia"/>
          <w:lang w:eastAsia="zh-CN"/>
        </w:rPr>
        <w:t>有机物</w:t>
      </w:r>
      <w:r w:rsidRPr="00DE4FF8">
        <w:rPr>
          <w:rFonts w:eastAsiaTheme="minorEastAsia"/>
          <w:lang w:eastAsia="zh-CN"/>
        </w:rPr>
        <w:t>的改性活生物体</w:t>
      </w:r>
      <w:r w:rsidRPr="00DE4FF8">
        <w:rPr>
          <w:rFonts w:eastAsiaTheme="minorEastAsia" w:hint="eastAsia"/>
          <w:lang w:eastAsia="zh-CN"/>
        </w:rPr>
        <w:t>，</w:t>
      </w:r>
      <w:r w:rsidRPr="00DE4FF8">
        <w:rPr>
          <w:rFonts w:eastAsiaTheme="minorEastAsia"/>
          <w:lang w:eastAsia="zh-CN"/>
        </w:rPr>
        <w:t>应</w:t>
      </w:r>
      <w:r w:rsidRPr="00DE4FF8">
        <w:rPr>
          <w:rFonts w:eastAsiaTheme="minorEastAsia" w:hint="eastAsia"/>
          <w:lang w:eastAsia="zh-CN"/>
        </w:rPr>
        <w:t>进行</w:t>
      </w:r>
      <w:r w:rsidRPr="00DE4FF8">
        <w:rPr>
          <w:rFonts w:eastAsiaTheme="minorEastAsia"/>
          <w:lang w:eastAsia="zh-CN"/>
        </w:rPr>
        <w:t>有关蜜蜂和驯化和野生授粉媒介的逐案风险评估，</w:t>
      </w:r>
      <w:r w:rsidRPr="00DE4FF8">
        <w:rPr>
          <w:rFonts w:eastAsiaTheme="minorEastAsia" w:hint="eastAsia"/>
          <w:lang w:eastAsia="zh-CN"/>
        </w:rPr>
        <w:t>同时</w:t>
      </w:r>
      <w:r w:rsidRPr="00DE4FF8">
        <w:rPr>
          <w:rFonts w:eastAsiaTheme="minorEastAsia"/>
          <w:lang w:eastAsia="zh-CN"/>
        </w:rPr>
        <w:t>考虑到改性活生物体的物种以及接受环境。</w:t>
      </w:r>
      <w:r w:rsidRPr="00DE4FF8">
        <w:rPr>
          <w:rFonts w:eastAsiaTheme="minorEastAsia" w:hint="eastAsia"/>
          <w:lang w:eastAsia="zh-CN"/>
        </w:rPr>
        <w:t>风险评估应</w:t>
      </w:r>
      <w:r w:rsidRPr="00DE4FF8">
        <w:rPr>
          <w:rFonts w:eastAsiaTheme="minorEastAsia"/>
          <w:lang w:eastAsia="zh-CN"/>
        </w:rPr>
        <w:t>考虑到</w:t>
      </w:r>
      <w:r w:rsidRPr="00DE4FF8">
        <w:rPr>
          <w:rFonts w:eastAsiaTheme="minorEastAsia" w:hint="eastAsia"/>
          <w:lang w:eastAsia="zh-CN"/>
        </w:rPr>
        <w:t>不同</w:t>
      </w:r>
      <w:r w:rsidRPr="00DE4FF8">
        <w:rPr>
          <w:rFonts w:eastAsiaTheme="minorEastAsia"/>
          <w:lang w:eastAsia="zh-CN"/>
        </w:rPr>
        <w:t>的发展阶段以及</w:t>
      </w:r>
      <w:r w:rsidRPr="00DE4FF8">
        <w:rPr>
          <w:rFonts w:eastAsiaTheme="minorEastAsia" w:hint="eastAsia"/>
          <w:lang w:eastAsia="zh-CN"/>
        </w:rPr>
        <w:t>致死和</w:t>
      </w:r>
      <w:r w:rsidRPr="00DE4FF8">
        <w:rPr>
          <w:rFonts w:eastAsiaTheme="minorEastAsia"/>
          <w:lang w:eastAsia="zh-CN"/>
        </w:rPr>
        <w:t>亚致死效应二者</w:t>
      </w:r>
      <w:r w:rsidRPr="00DE4FF8">
        <w:rPr>
          <w:rFonts w:eastAsiaTheme="minorEastAsia" w:hint="eastAsia"/>
          <w:lang w:eastAsia="zh-CN"/>
        </w:rPr>
        <w:t>和</w:t>
      </w:r>
      <w:r w:rsidRPr="00DE4FF8">
        <w:rPr>
          <w:rFonts w:eastAsiaTheme="minorEastAsia"/>
          <w:lang w:eastAsia="zh-CN"/>
        </w:rPr>
        <w:t>其他相关方面</w:t>
      </w:r>
      <w:r w:rsidRPr="00DE4FF8">
        <w:rPr>
          <w:rFonts w:eastAsiaTheme="minorEastAsia" w:hint="eastAsia"/>
          <w:lang w:eastAsia="zh-CN"/>
        </w:rPr>
        <w:t>的</w:t>
      </w:r>
      <w:r w:rsidRPr="00DE4FF8">
        <w:rPr>
          <w:rFonts w:eastAsiaTheme="minorEastAsia"/>
          <w:lang w:eastAsia="zh-CN"/>
        </w:rPr>
        <w:t>可能性</w:t>
      </w:r>
      <w:r w:rsidRPr="00DE4FF8">
        <w:rPr>
          <w:rFonts w:eastAsiaTheme="minorEastAsia" w:hint="eastAsia"/>
          <w:lang w:eastAsia="zh-CN"/>
        </w:rPr>
        <w:t>。近期的</w:t>
      </w:r>
      <w:r w:rsidRPr="00DE4FF8">
        <w:rPr>
          <w:rFonts w:eastAsiaTheme="minorEastAsia"/>
          <w:lang w:eastAsia="zh-CN"/>
        </w:rPr>
        <w:t>审查没有显示改性活生物体对蜜蜂</w:t>
      </w:r>
      <w:r w:rsidRPr="00DE4FF8">
        <w:rPr>
          <w:rFonts w:eastAsiaTheme="minorEastAsia" w:hint="eastAsia"/>
          <w:lang w:eastAsia="zh-CN"/>
        </w:rPr>
        <w:t>以及驯化</w:t>
      </w:r>
      <w:r w:rsidRPr="00DE4FF8">
        <w:rPr>
          <w:rFonts w:eastAsiaTheme="minorEastAsia"/>
          <w:lang w:eastAsia="zh-CN"/>
        </w:rPr>
        <w:t>和野生</w:t>
      </w:r>
      <w:r w:rsidRPr="00DE4FF8">
        <w:rPr>
          <w:rFonts w:eastAsiaTheme="minorEastAsia" w:hint="eastAsia"/>
          <w:lang w:eastAsia="zh-CN"/>
        </w:rPr>
        <w:t>授粉媒介</w:t>
      </w:r>
      <w:r w:rsidRPr="00DE4FF8">
        <w:rPr>
          <w:rFonts w:eastAsiaTheme="minorEastAsia"/>
          <w:lang w:eastAsia="zh-CN"/>
        </w:rPr>
        <w:t>的直接消极影响；</w:t>
      </w:r>
      <w:r w:rsidRPr="00DE4FF8">
        <w:rPr>
          <w:rFonts w:eastAsiaTheme="minorEastAsia" w:hint="eastAsia"/>
          <w:lang w:eastAsia="zh-CN"/>
        </w:rPr>
        <w:t>不过，上述</w:t>
      </w:r>
      <w:r>
        <w:rPr>
          <w:rFonts w:eastAsiaTheme="minorEastAsia"/>
          <w:lang w:eastAsia="zh-CN"/>
        </w:rPr>
        <w:t>关于</w:t>
      </w:r>
      <w:r w:rsidRPr="00DE4FF8">
        <w:rPr>
          <w:rFonts w:eastAsiaTheme="minorEastAsia"/>
          <w:lang w:eastAsia="zh-CN"/>
        </w:rPr>
        <w:t>改性活生物体潜在影响</w:t>
      </w:r>
      <w:r w:rsidRPr="00DE4FF8">
        <w:rPr>
          <w:rFonts w:eastAsiaTheme="minorEastAsia" w:hint="eastAsia"/>
          <w:lang w:eastAsia="zh-CN"/>
        </w:rPr>
        <w:t>的</w:t>
      </w:r>
      <w:r w:rsidRPr="00DE4FF8">
        <w:rPr>
          <w:rFonts w:eastAsiaTheme="minorEastAsia"/>
          <w:lang w:eastAsia="zh-CN"/>
        </w:rPr>
        <w:t>各方面的科学研究</w:t>
      </w:r>
      <w:r>
        <w:rPr>
          <w:rFonts w:eastAsiaTheme="minorEastAsia"/>
          <w:lang w:eastAsia="zh-CN"/>
        </w:rPr>
        <w:t>值得关注</w:t>
      </w:r>
      <w:r w:rsidRPr="00DE4FF8">
        <w:rPr>
          <w:rFonts w:eastAsiaTheme="minorEastAsia"/>
          <w:lang w:eastAsia="zh-CN"/>
        </w:rPr>
        <w:t>。</w:t>
      </w:r>
      <w:r w:rsidRPr="00DE4FF8">
        <w:rPr>
          <w:rFonts w:eastAsiaTheme="minorEastAsia"/>
          <w:lang w:eastAsia="zh-CN"/>
        </w:rPr>
        <w:t xml:space="preserve"> </w:t>
      </w:r>
    </w:p>
    <w:p w:rsidR="008F12F5" w:rsidRPr="00226587" w:rsidRDefault="008F12F5" w:rsidP="0069685F">
      <w:pPr>
        <w:pStyle w:val="ListParagraph"/>
        <w:widowControl w:val="0"/>
        <w:numPr>
          <w:ilvl w:val="1"/>
          <w:numId w:val="74"/>
        </w:numPr>
        <w:tabs>
          <w:tab w:val="left" w:pos="720"/>
        </w:tabs>
        <w:suppressAutoHyphens/>
        <w:autoSpaceDE w:val="0"/>
        <w:autoSpaceDN w:val="0"/>
        <w:adjustRightInd w:val="0"/>
        <w:snapToGrid w:val="0"/>
        <w:ind w:left="0" w:firstLine="0"/>
        <w:rPr>
          <w:rFonts w:eastAsiaTheme="minorEastAsia"/>
          <w:color w:val="000000" w:themeColor="text1"/>
          <w:kern w:val="24"/>
          <w:lang w:eastAsia="ja-JP"/>
        </w:rPr>
      </w:pPr>
      <w:r w:rsidRPr="00226587">
        <w:rPr>
          <w:rFonts w:eastAsiaTheme="minorEastAsia"/>
          <w:color w:val="000000" w:themeColor="text1"/>
          <w:kern w:val="24"/>
          <w:lang w:eastAsia="ja-JP"/>
        </w:rPr>
        <w:t>拉丁美洲</w:t>
      </w:r>
      <w:r w:rsidRPr="00226587">
        <w:rPr>
          <w:rFonts w:eastAsiaTheme="minorEastAsia"/>
          <w:color w:val="000000" w:themeColor="text1"/>
          <w:kern w:val="24"/>
          <w:lang w:eastAsia="zh-CN"/>
        </w:rPr>
        <w:t>有</w:t>
      </w:r>
      <w:r w:rsidRPr="00226587">
        <w:rPr>
          <w:rFonts w:eastAsiaTheme="minorEastAsia"/>
          <w:color w:val="000000" w:themeColor="text1"/>
          <w:kern w:val="24"/>
          <w:lang w:eastAsia="ja-JP"/>
        </w:rPr>
        <w:t>许多直接或间接依赖</w:t>
      </w:r>
      <w:r w:rsidRPr="00226587">
        <w:rPr>
          <w:rFonts w:eastAsiaTheme="minorEastAsia"/>
          <w:color w:val="000000" w:themeColor="text1"/>
          <w:kern w:val="24"/>
          <w:lang w:eastAsia="zh-CN"/>
        </w:rPr>
        <w:t>授粉</w:t>
      </w:r>
      <w:r w:rsidRPr="00226587">
        <w:rPr>
          <w:rFonts w:eastAsiaTheme="minorEastAsia"/>
          <w:color w:val="000000" w:themeColor="text1"/>
          <w:kern w:val="24"/>
          <w:lang w:eastAsia="ja-JP"/>
        </w:rPr>
        <w:t>媒介获得高产</w:t>
      </w:r>
      <w:r w:rsidRPr="00226587">
        <w:rPr>
          <w:rFonts w:eastAsiaTheme="minorEastAsia"/>
          <w:color w:val="000000" w:themeColor="text1"/>
          <w:kern w:val="24"/>
          <w:lang w:eastAsia="zh-CN"/>
        </w:rPr>
        <w:t>的</w:t>
      </w:r>
      <w:r w:rsidRPr="00226587">
        <w:rPr>
          <w:rFonts w:eastAsiaTheme="minorEastAsia"/>
          <w:color w:val="000000" w:themeColor="text1"/>
          <w:kern w:val="24"/>
          <w:lang w:eastAsia="ja-JP"/>
        </w:rPr>
        <w:t>粮食作物</w:t>
      </w:r>
      <w:r w:rsidRPr="007E192A">
        <w:rPr>
          <w:rStyle w:val="FootnoteReference"/>
          <w:rFonts w:eastAsiaTheme="minorEastAsia"/>
          <w:color w:val="000000" w:themeColor="text1"/>
          <w:vertAlign w:val="superscript"/>
        </w:rPr>
        <w:footnoteReference w:id="96"/>
      </w:r>
      <w:r w:rsidRPr="007E192A">
        <w:rPr>
          <w:rStyle w:val="FootnoteReference"/>
          <w:vertAlign w:val="superscript"/>
          <w:lang w:eastAsia="zh-CN"/>
        </w:rPr>
        <w:t xml:space="preserve"> </w:t>
      </w:r>
      <w:r w:rsidRPr="00226587">
        <w:rPr>
          <w:rFonts w:eastAsiaTheme="minorEastAsia"/>
          <w:color w:val="000000" w:themeColor="text1"/>
          <w:kern w:val="24"/>
          <w:lang w:eastAsia="ja-JP"/>
        </w:rPr>
        <w:t>的野生</w:t>
      </w:r>
      <w:r w:rsidRPr="00226587">
        <w:rPr>
          <w:rFonts w:eastAsiaTheme="minorEastAsia"/>
          <w:color w:val="000000" w:themeColor="text1"/>
          <w:kern w:val="24"/>
          <w:lang w:eastAsia="zh-CN"/>
        </w:rPr>
        <w:t>生物</w:t>
      </w:r>
      <w:r w:rsidRPr="00226587">
        <w:rPr>
          <w:rFonts w:eastAsiaTheme="minorEastAsia"/>
          <w:color w:val="000000" w:themeColor="text1"/>
          <w:kern w:val="24"/>
          <w:lang w:eastAsia="ja-JP"/>
        </w:rPr>
        <w:t>种质。这些</w:t>
      </w:r>
      <w:r w:rsidRPr="00226587">
        <w:rPr>
          <w:rFonts w:eastAsiaTheme="minorEastAsia"/>
          <w:color w:val="000000" w:themeColor="text1"/>
          <w:kern w:val="24"/>
          <w:lang w:eastAsia="zh-CN"/>
        </w:rPr>
        <w:t>作物种质以及可能还有其他</w:t>
      </w:r>
      <w:r w:rsidRPr="00226587">
        <w:rPr>
          <w:rFonts w:eastAsiaTheme="minorEastAsia"/>
          <w:color w:val="000000" w:themeColor="text1"/>
          <w:kern w:val="24"/>
          <w:lang w:eastAsia="ja-JP"/>
        </w:rPr>
        <w:t>数百种具有农业潜力的野生物种</w:t>
      </w:r>
      <w:r w:rsidRPr="00226587">
        <w:rPr>
          <w:rFonts w:eastAsiaTheme="minorEastAsia"/>
          <w:color w:val="000000" w:themeColor="text1"/>
          <w:kern w:val="24"/>
          <w:lang w:eastAsia="zh-CN"/>
        </w:rPr>
        <w:t>种质</w:t>
      </w:r>
      <w:r w:rsidRPr="00226587">
        <w:rPr>
          <w:rFonts w:eastAsiaTheme="minorEastAsia"/>
          <w:color w:val="000000" w:themeColor="text1"/>
          <w:kern w:val="24"/>
          <w:lang w:eastAsia="ja-JP"/>
        </w:rPr>
        <w:t>，存在于自然和半自然</w:t>
      </w:r>
      <w:r w:rsidRPr="00226587">
        <w:rPr>
          <w:rFonts w:eastAsiaTheme="minorEastAsia"/>
          <w:color w:val="000000" w:themeColor="text1"/>
          <w:kern w:val="24"/>
          <w:lang w:eastAsia="zh-CN"/>
        </w:rPr>
        <w:t>生境</w:t>
      </w:r>
      <w:r w:rsidRPr="00226587">
        <w:rPr>
          <w:rFonts w:eastAsiaTheme="minorEastAsia"/>
          <w:color w:val="000000" w:themeColor="text1"/>
          <w:kern w:val="24"/>
          <w:lang w:eastAsia="ja-JP"/>
        </w:rPr>
        <w:t>的残</w:t>
      </w:r>
      <w:r w:rsidRPr="00226587">
        <w:rPr>
          <w:rFonts w:eastAsiaTheme="minorEastAsia"/>
          <w:color w:val="000000" w:themeColor="text1"/>
          <w:kern w:val="24"/>
          <w:lang w:eastAsia="zh-CN"/>
        </w:rPr>
        <w:t>留</w:t>
      </w:r>
      <w:r w:rsidRPr="00226587">
        <w:rPr>
          <w:rFonts w:eastAsiaTheme="minorEastAsia"/>
          <w:color w:val="000000" w:themeColor="text1"/>
          <w:kern w:val="24"/>
          <w:lang w:eastAsia="ja-JP"/>
        </w:rPr>
        <w:t>物中，并</w:t>
      </w:r>
      <w:r w:rsidRPr="00226587">
        <w:rPr>
          <w:rFonts w:eastAsiaTheme="minorEastAsia"/>
          <w:color w:val="000000" w:themeColor="text1"/>
          <w:kern w:val="24"/>
          <w:lang w:eastAsia="zh-CN"/>
        </w:rPr>
        <w:t>在</w:t>
      </w:r>
      <w:r w:rsidRPr="00226587">
        <w:rPr>
          <w:rFonts w:eastAsiaTheme="minorEastAsia"/>
          <w:color w:val="000000" w:themeColor="text1"/>
          <w:kern w:val="24"/>
          <w:lang w:eastAsia="ja-JP"/>
        </w:rPr>
        <w:t>该</w:t>
      </w:r>
      <w:r w:rsidRPr="00226587">
        <w:rPr>
          <w:rFonts w:eastAsiaTheme="minorEastAsia"/>
          <w:color w:val="000000" w:themeColor="text1"/>
          <w:kern w:val="24"/>
          <w:lang w:eastAsia="zh-CN"/>
        </w:rPr>
        <w:t>区域</w:t>
      </w:r>
      <w:r w:rsidRPr="00226587">
        <w:rPr>
          <w:rFonts w:eastAsiaTheme="minorEastAsia"/>
          <w:color w:val="000000" w:themeColor="text1"/>
          <w:kern w:val="24"/>
          <w:lang w:eastAsia="ja-JP"/>
        </w:rPr>
        <w:t>当地</w:t>
      </w:r>
      <w:r w:rsidRPr="00226587">
        <w:rPr>
          <w:rFonts w:eastAsiaTheme="minorEastAsia"/>
          <w:color w:val="000000" w:themeColor="text1"/>
          <w:kern w:val="24"/>
          <w:lang w:eastAsia="zh-CN"/>
        </w:rPr>
        <w:t>土著</w:t>
      </w:r>
      <w:r w:rsidRPr="00226587">
        <w:rPr>
          <w:rFonts w:eastAsiaTheme="minorEastAsia"/>
          <w:color w:val="000000" w:themeColor="text1"/>
          <w:kern w:val="24"/>
          <w:lang w:eastAsia="ja-JP"/>
        </w:rPr>
        <w:t>社区</w:t>
      </w:r>
      <w:r w:rsidRPr="00226587">
        <w:rPr>
          <w:rFonts w:eastAsiaTheme="minorEastAsia"/>
          <w:color w:val="000000" w:themeColor="text1"/>
          <w:kern w:val="24"/>
          <w:lang w:eastAsia="zh-CN"/>
        </w:rPr>
        <w:t>的</w:t>
      </w:r>
      <w:r w:rsidRPr="00226587">
        <w:rPr>
          <w:rFonts w:eastAsiaTheme="minorEastAsia"/>
          <w:color w:val="000000" w:themeColor="text1"/>
          <w:kern w:val="24"/>
          <w:lang w:eastAsia="ja-JP"/>
        </w:rPr>
        <w:t>管理</w:t>
      </w:r>
      <w:r w:rsidRPr="00226587">
        <w:rPr>
          <w:rFonts w:eastAsiaTheme="minorEastAsia"/>
          <w:color w:val="000000" w:themeColor="text1"/>
          <w:kern w:val="24"/>
          <w:lang w:eastAsia="zh-CN"/>
        </w:rPr>
        <w:t>之下</w:t>
      </w:r>
      <w:r w:rsidRPr="00226587">
        <w:rPr>
          <w:rFonts w:eastAsiaTheme="minorEastAsia"/>
          <w:color w:val="000000" w:themeColor="text1"/>
          <w:kern w:val="24"/>
          <w:lang w:eastAsia="ja-JP"/>
        </w:rPr>
        <w:t>。因此</w:t>
      </w:r>
      <w:r w:rsidRPr="00226587">
        <w:rPr>
          <w:rFonts w:eastAsiaTheme="minorEastAsia"/>
          <w:color w:val="000000" w:themeColor="text1"/>
          <w:kern w:val="24"/>
          <w:lang w:eastAsia="zh-CN"/>
        </w:rPr>
        <w:t>，</w:t>
      </w:r>
      <w:r w:rsidRPr="00226587">
        <w:rPr>
          <w:rFonts w:eastAsiaTheme="minorEastAsia"/>
          <w:color w:val="000000" w:themeColor="text1"/>
          <w:kern w:val="24"/>
          <w:lang w:eastAsia="ja-JP"/>
        </w:rPr>
        <w:t>不同</w:t>
      </w:r>
      <w:r w:rsidRPr="00226587">
        <w:rPr>
          <w:rFonts w:eastAsiaTheme="minorEastAsia"/>
          <w:color w:val="000000" w:themeColor="text1"/>
          <w:kern w:val="24"/>
          <w:lang w:eastAsia="zh-CN"/>
        </w:rPr>
        <w:t>授粉媒介</w:t>
      </w:r>
      <w:r w:rsidRPr="00226587">
        <w:rPr>
          <w:rFonts w:eastAsiaTheme="minorEastAsia"/>
          <w:color w:val="000000" w:themeColor="text1"/>
          <w:kern w:val="24"/>
          <w:lang w:eastAsia="ja-JP"/>
        </w:rPr>
        <w:t>组合不仅对确保</w:t>
      </w:r>
      <w:r w:rsidRPr="00226587">
        <w:rPr>
          <w:rFonts w:eastAsiaTheme="minorEastAsia"/>
          <w:color w:val="000000" w:themeColor="text1"/>
          <w:kern w:val="24"/>
          <w:lang w:eastAsia="zh-CN"/>
        </w:rPr>
        <w:t>一般</w:t>
      </w:r>
      <w:r w:rsidRPr="00226587">
        <w:rPr>
          <w:rFonts w:eastAsiaTheme="minorEastAsia"/>
          <w:color w:val="000000" w:themeColor="text1"/>
          <w:kern w:val="24"/>
          <w:lang w:eastAsia="ja-JP"/>
        </w:rPr>
        <w:t>野生植物繁殖</w:t>
      </w:r>
      <w:r w:rsidRPr="00226587">
        <w:rPr>
          <w:rFonts w:eastAsiaTheme="minorEastAsia"/>
          <w:color w:val="000000" w:themeColor="text1"/>
          <w:kern w:val="24"/>
          <w:lang w:eastAsia="zh-CN"/>
        </w:rPr>
        <w:t>，也对</w:t>
      </w:r>
      <w:r w:rsidRPr="00226587">
        <w:rPr>
          <w:rFonts w:eastAsiaTheme="minorEastAsia"/>
          <w:color w:val="000000" w:themeColor="text1"/>
          <w:kern w:val="24"/>
          <w:lang w:eastAsia="ja-JP"/>
        </w:rPr>
        <w:t>该种质的持久性</w:t>
      </w:r>
      <w:r w:rsidRPr="00226587">
        <w:rPr>
          <w:rFonts w:eastAsiaTheme="minorEastAsia"/>
          <w:color w:val="000000" w:themeColor="text1"/>
          <w:kern w:val="24"/>
          <w:lang w:eastAsia="zh-CN"/>
        </w:rPr>
        <w:t>至关重要</w:t>
      </w:r>
      <w:r w:rsidRPr="00226587">
        <w:rPr>
          <w:rFonts w:eastAsiaTheme="minorEastAsia"/>
          <w:color w:val="000000" w:themeColor="text1"/>
          <w:kern w:val="24"/>
          <w:lang w:eastAsia="ja-JP"/>
        </w:rPr>
        <w:t>。然而，</w:t>
      </w:r>
      <w:r>
        <w:rPr>
          <w:rFonts w:eastAsiaTheme="minorEastAsia" w:hint="eastAsia"/>
          <w:color w:val="000000" w:themeColor="text1"/>
          <w:kern w:val="24"/>
          <w:lang w:eastAsia="zh-CN"/>
        </w:rPr>
        <w:t>除实施情况外</w:t>
      </w:r>
      <w:r>
        <w:rPr>
          <w:rFonts w:eastAsiaTheme="minorEastAsia"/>
          <w:color w:val="000000" w:themeColor="text1"/>
          <w:kern w:val="24"/>
          <w:lang w:eastAsia="zh-CN"/>
        </w:rPr>
        <w:t>，</w:t>
      </w:r>
      <w:r w:rsidRPr="00226587">
        <w:rPr>
          <w:rFonts w:eastAsiaTheme="minorEastAsia"/>
          <w:color w:val="000000" w:themeColor="text1"/>
          <w:kern w:val="24"/>
          <w:lang w:eastAsia="zh-CN"/>
        </w:rPr>
        <w:t>人们也许还不了解</w:t>
      </w:r>
      <w:r w:rsidRPr="00226587">
        <w:rPr>
          <w:rFonts w:eastAsiaTheme="minorEastAsia"/>
          <w:color w:val="000000" w:themeColor="text1"/>
          <w:kern w:val="24"/>
          <w:lang w:eastAsia="ja-JP"/>
        </w:rPr>
        <w:t>这种种质的</w:t>
      </w:r>
      <w:r w:rsidRPr="00226587">
        <w:rPr>
          <w:rFonts w:eastAsiaTheme="minorEastAsia"/>
          <w:color w:val="000000" w:themeColor="text1"/>
          <w:kern w:val="24"/>
          <w:lang w:eastAsia="zh-CN"/>
        </w:rPr>
        <w:t>存在</w:t>
      </w:r>
      <w:r w:rsidRPr="00226587">
        <w:rPr>
          <w:rFonts w:eastAsiaTheme="minorEastAsia"/>
          <w:color w:val="000000" w:themeColor="text1"/>
          <w:kern w:val="24"/>
          <w:lang w:eastAsia="ja-JP"/>
        </w:rPr>
        <w:t>和多样性及其当前的养护现状</w:t>
      </w:r>
      <w:r w:rsidRPr="00226587">
        <w:rPr>
          <w:rFonts w:eastAsiaTheme="minorEastAsia"/>
          <w:color w:val="000000" w:themeColor="text1"/>
          <w:kern w:val="24"/>
          <w:lang w:eastAsia="zh-CN"/>
        </w:rPr>
        <w:t>。</w:t>
      </w:r>
    </w:p>
    <w:p w:rsidR="008F12F5" w:rsidRPr="008F12F5" w:rsidRDefault="008F12F5" w:rsidP="00FF4964">
      <w:pPr>
        <w:tabs>
          <w:tab w:val="left" w:pos="720"/>
        </w:tabs>
        <w:suppressAutoHyphens/>
        <w:autoSpaceDE w:val="0"/>
        <w:autoSpaceDN w:val="0"/>
        <w:adjustRightInd w:val="0"/>
        <w:snapToGrid w:val="0"/>
        <w:ind w:firstLine="0"/>
        <w:jc w:val="center"/>
        <w:rPr>
          <w:rFonts w:eastAsiaTheme="minorEastAsia"/>
          <w:b/>
          <w:bCs/>
          <w:lang w:eastAsia="zh-CN"/>
        </w:rPr>
      </w:pPr>
      <w:r w:rsidRPr="008F12F5">
        <w:rPr>
          <w:rFonts w:eastAsiaTheme="minorEastAsia"/>
          <w:b/>
          <w:bCs/>
          <w:lang w:eastAsia="zh-CN"/>
        </w:rPr>
        <w:t>D.</w:t>
      </w:r>
      <w:r w:rsidRPr="008F12F5">
        <w:rPr>
          <w:rFonts w:eastAsiaTheme="minorEastAsia"/>
          <w:b/>
          <w:bCs/>
          <w:lang w:eastAsia="zh-CN"/>
        </w:rPr>
        <w:tab/>
      </w:r>
      <w:r w:rsidRPr="008F12F5">
        <w:rPr>
          <w:rFonts w:eastAsiaTheme="minorEastAsia"/>
          <w:b/>
          <w:bCs/>
          <w:lang w:eastAsia="zh-CN"/>
        </w:rPr>
        <w:t>保护和可持续利用授粉媒介及其生境的应对选择</w:t>
      </w:r>
    </w:p>
    <w:p w:rsidR="008F12F5" w:rsidRPr="008F12F5" w:rsidRDefault="008F12F5" w:rsidP="0069685F">
      <w:pPr>
        <w:pStyle w:val="ListParagraph"/>
        <w:widowControl w:val="0"/>
        <w:numPr>
          <w:ilvl w:val="1"/>
          <w:numId w:val="74"/>
        </w:numPr>
        <w:tabs>
          <w:tab w:val="left" w:pos="720"/>
        </w:tabs>
        <w:suppressAutoHyphens/>
        <w:autoSpaceDE w:val="0"/>
        <w:autoSpaceDN w:val="0"/>
        <w:adjustRightInd w:val="0"/>
        <w:snapToGrid w:val="0"/>
        <w:ind w:left="0" w:firstLine="0"/>
        <w:rPr>
          <w:rFonts w:eastAsiaTheme="minorEastAsia"/>
          <w:color w:val="000000" w:themeColor="text1"/>
          <w:kern w:val="24"/>
          <w:lang w:eastAsia="ja-JP"/>
        </w:rPr>
      </w:pPr>
      <w:r w:rsidRPr="008F12F5">
        <w:rPr>
          <w:rFonts w:eastAsiaTheme="minorEastAsia"/>
          <w:color w:val="000000" w:themeColor="text1"/>
          <w:kern w:val="24"/>
          <w:lang w:eastAsia="ja-JP"/>
        </w:rPr>
        <w:t>经政府间科学政策平台评估确认</w:t>
      </w:r>
      <w:r w:rsidRPr="008F12F5">
        <w:rPr>
          <w:rFonts w:eastAsiaTheme="minorEastAsia"/>
          <w:color w:val="000000" w:themeColor="text1"/>
          <w:kern w:val="24"/>
          <w:lang w:eastAsia="zh-CN"/>
        </w:rPr>
        <w:t>并反映在</w:t>
      </w:r>
      <w:r w:rsidRPr="008F12F5">
        <w:rPr>
          <w:rFonts w:eastAsiaTheme="minorEastAsia"/>
          <w:color w:val="000000" w:themeColor="text1"/>
          <w:kern w:val="24"/>
          <w:lang w:eastAsia="ja-JP"/>
        </w:rPr>
        <w:t>第</w:t>
      </w:r>
      <w:r w:rsidRPr="008F12F5">
        <w:rPr>
          <w:rFonts w:eastAsiaTheme="minorEastAsia"/>
          <w:color w:val="000000" w:themeColor="text1"/>
          <w:kern w:val="24"/>
          <w:lang w:eastAsia="ja-JP"/>
        </w:rPr>
        <w:t>XIII/15</w:t>
      </w:r>
      <w:r w:rsidRPr="008F12F5">
        <w:rPr>
          <w:rFonts w:eastAsiaTheme="minorEastAsia"/>
          <w:color w:val="000000" w:themeColor="text1"/>
          <w:kern w:val="24"/>
          <w:lang w:eastAsia="ja-JP"/>
        </w:rPr>
        <w:t>号决定</w:t>
      </w:r>
      <w:r w:rsidRPr="008F12F5">
        <w:rPr>
          <w:rFonts w:eastAsiaTheme="minorEastAsia"/>
          <w:color w:val="000000" w:themeColor="text1"/>
          <w:kern w:val="24"/>
          <w:lang w:eastAsia="zh-CN"/>
        </w:rPr>
        <w:t>中的很多</w:t>
      </w:r>
      <w:r w:rsidRPr="008F12F5">
        <w:rPr>
          <w:rFonts w:eastAsiaTheme="minorEastAsia"/>
          <w:color w:val="000000" w:themeColor="text1"/>
          <w:kern w:val="24"/>
          <w:lang w:eastAsia="ja-JP"/>
        </w:rPr>
        <w:t>活动</w:t>
      </w:r>
      <w:r w:rsidRPr="008F12F5">
        <w:rPr>
          <w:rFonts w:eastAsiaTheme="minorEastAsia"/>
          <w:color w:val="000000" w:themeColor="text1"/>
          <w:kern w:val="24"/>
          <w:lang w:eastAsia="zh-CN"/>
        </w:rPr>
        <w:t>，都</w:t>
      </w:r>
      <w:r w:rsidRPr="008F12F5">
        <w:rPr>
          <w:rFonts w:eastAsiaTheme="minorEastAsia"/>
          <w:color w:val="000000" w:themeColor="text1"/>
          <w:kern w:val="24"/>
          <w:lang w:eastAsia="ja-JP"/>
        </w:rPr>
        <w:t>将促进保护和可持续利用授粉媒介及其生境，</w:t>
      </w:r>
      <w:r w:rsidRPr="008F12F5">
        <w:rPr>
          <w:rFonts w:eastAsiaTheme="minorEastAsia"/>
          <w:color w:val="000000" w:themeColor="text1"/>
          <w:kern w:val="24"/>
          <w:lang w:eastAsia="zh-CN"/>
        </w:rPr>
        <w:t>因而</w:t>
      </w:r>
      <w:r w:rsidRPr="008F12F5">
        <w:rPr>
          <w:rFonts w:eastAsiaTheme="minorEastAsia"/>
          <w:color w:val="000000" w:themeColor="text1"/>
          <w:kern w:val="24"/>
          <w:lang w:eastAsia="ja-JP"/>
        </w:rPr>
        <w:t>有助于维持农业系统和粮食生产以外的生态系统中的授粉功能。</w:t>
      </w:r>
    </w:p>
    <w:p w:rsidR="008F12F5" w:rsidRPr="008F12F5" w:rsidRDefault="008F12F5" w:rsidP="0069685F">
      <w:pPr>
        <w:pStyle w:val="ListParagraph"/>
        <w:widowControl w:val="0"/>
        <w:numPr>
          <w:ilvl w:val="1"/>
          <w:numId w:val="74"/>
        </w:numPr>
        <w:tabs>
          <w:tab w:val="left" w:pos="720"/>
        </w:tabs>
        <w:suppressAutoHyphens/>
        <w:autoSpaceDE w:val="0"/>
        <w:autoSpaceDN w:val="0"/>
        <w:adjustRightInd w:val="0"/>
        <w:snapToGrid w:val="0"/>
        <w:ind w:left="0" w:firstLine="0"/>
        <w:rPr>
          <w:rFonts w:eastAsiaTheme="minorEastAsia"/>
          <w:color w:val="000000" w:themeColor="text1"/>
          <w:kern w:val="24"/>
          <w:lang w:eastAsia="ja-JP"/>
        </w:rPr>
      </w:pPr>
      <w:r w:rsidRPr="008F12F5">
        <w:rPr>
          <w:rFonts w:eastAsiaTheme="minorEastAsia"/>
          <w:color w:val="000000" w:themeColor="text1"/>
          <w:kern w:val="24"/>
          <w:lang w:eastAsia="ja-JP"/>
        </w:rPr>
        <w:t>全景观方法特别适用于保护和可持续利用授粉媒介及其生境，维持农业系统和粮食生产之外的生态系统中的授粉功能。这包括维护自然植被走廊、恢复退化的土地和利用</w:t>
      </w:r>
      <w:r w:rsidRPr="008F12F5">
        <w:rPr>
          <w:rFonts w:eastAsiaTheme="minorEastAsia"/>
          <w:color w:val="000000" w:themeColor="text1"/>
          <w:kern w:val="24"/>
          <w:lang w:eastAsia="zh-CN"/>
        </w:rPr>
        <w:t>有利于</w:t>
      </w:r>
      <w:r w:rsidRPr="008F12F5">
        <w:rPr>
          <w:rFonts w:eastAsiaTheme="minorEastAsia"/>
          <w:color w:val="000000" w:themeColor="text1"/>
          <w:kern w:val="24"/>
          <w:lang w:eastAsia="ja-JP"/>
        </w:rPr>
        <w:t>授粉</w:t>
      </w:r>
      <w:r w:rsidRPr="008F12F5">
        <w:rPr>
          <w:rFonts w:eastAsiaTheme="minorEastAsia"/>
          <w:color w:val="000000" w:themeColor="text1"/>
          <w:kern w:val="24"/>
          <w:lang w:eastAsia="zh-CN"/>
        </w:rPr>
        <w:t>的</w:t>
      </w:r>
      <w:r w:rsidRPr="008F12F5">
        <w:rPr>
          <w:rFonts w:eastAsiaTheme="minorEastAsia"/>
          <w:color w:val="000000" w:themeColor="text1"/>
          <w:kern w:val="24"/>
          <w:lang w:eastAsia="ja-JP"/>
        </w:rPr>
        <w:t>耕作。需要特别注意减少所有生物群落中的毁林、生境丧失和退化现象。消防</w:t>
      </w:r>
      <w:r w:rsidRPr="008F12F5">
        <w:rPr>
          <w:rFonts w:eastAsiaTheme="minorEastAsia"/>
          <w:color w:val="000000" w:themeColor="text1"/>
          <w:kern w:val="24"/>
          <w:lang w:eastAsia="ja-JP"/>
        </w:rPr>
        <w:lastRenderedPageBreak/>
        <w:t>管理制度应考虑到对授粉媒介和相关植被的影响。恢复土地可以增强</w:t>
      </w:r>
      <w:r w:rsidRPr="008F12F5">
        <w:rPr>
          <w:rFonts w:eastAsiaTheme="minorEastAsia"/>
          <w:color w:val="000000" w:themeColor="text1"/>
          <w:kern w:val="24"/>
          <w:lang w:eastAsia="zh-CN"/>
        </w:rPr>
        <w:t>有利于</w:t>
      </w:r>
      <w:r w:rsidRPr="008F12F5">
        <w:rPr>
          <w:rFonts w:eastAsiaTheme="minorEastAsia"/>
          <w:color w:val="000000" w:themeColor="text1"/>
          <w:kern w:val="24"/>
          <w:lang w:eastAsia="ja-JP"/>
        </w:rPr>
        <w:t>授粉</w:t>
      </w:r>
      <w:r w:rsidRPr="008F12F5">
        <w:rPr>
          <w:rFonts w:eastAsiaTheme="minorEastAsia"/>
          <w:color w:val="000000" w:themeColor="text1"/>
          <w:kern w:val="24"/>
          <w:lang w:eastAsia="zh-CN"/>
        </w:rPr>
        <w:t>的</w:t>
      </w:r>
      <w:r w:rsidRPr="008F12F5">
        <w:rPr>
          <w:rFonts w:eastAsiaTheme="minorEastAsia"/>
          <w:color w:val="000000" w:themeColor="text1"/>
          <w:kern w:val="24"/>
          <w:lang w:eastAsia="ja-JP"/>
        </w:rPr>
        <w:t>生境的连通性，并支持物种扩散和基因流动。这些措施还可以促进适应和缓解气候变化以及减少灾害风险。</w:t>
      </w:r>
    </w:p>
    <w:p w:rsidR="008F12F5" w:rsidRPr="008F12F5" w:rsidRDefault="008F12F5" w:rsidP="0069685F">
      <w:pPr>
        <w:pStyle w:val="ListParagraph"/>
        <w:widowControl w:val="0"/>
        <w:numPr>
          <w:ilvl w:val="1"/>
          <w:numId w:val="74"/>
        </w:numPr>
        <w:tabs>
          <w:tab w:val="left" w:pos="720"/>
        </w:tabs>
        <w:suppressAutoHyphens/>
        <w:autoSpaceDE w:val="0"/>
        <w:autoSpaceDN w:val="0"/>
        <w:adjustRightInd w:val="0"/>
        <w:snapToGrid w:val="0"/>
        <w:ind w:left="0" w:firstLine="0"/>
        <w:rPr>
          <w:rFonts w:eastAsiaTheme="minorEastAsia"/>
          <w:color w:val="000000" w:themeColor="text1"/>
          <w:kern w:val="24"/>
          <w:lang w:eastAsia="ja-JP"/>
        </w:rPr>
      </w:pPr>
      <w:r w:rsidRPr="008F12F5">
        <w:rPr>
          <w:rFonts w:eastAsiaTheme="minorEastAsia"/>
          <w:color w:val="000000" w:themeColor="text1"/>
          <w:kern w:val="24"/>
          <w:lang w:eastAsia="ja-JP"/>
        </w:rPr>
        <w:t>可采取下列行动支持景观方法：</w:t>
      </w:r>
    </w:p>
    <w:p w:rsidR="008F12F5" w:rsidRPr="008F12F5" w:rsidRDefault="008F12F5" w:rsidP="0069685F">
      <w:pPr>
        <w:pStyle w:val="ListParagraph"/>
        <w:widowControl w:val="0"/>
        <w:numPr>
          <w:ilvl w:val="0"/>
          <w:numId w:val="79"/>
        </w:numPr>
        <w:tabs>
          <w:tab w:val="left" w:pos="1440"/>
        </w:tabs>
        <w:suppressAutoHyphens/>
        <w:adjustRightInd w:val="0"/>
        <w:snapToGrid w:val="0"/>
        <w:ind w:left="0" w:firstLine="720"/>
        <w:rPr>
          <w:rFonts w:eastAsiaTheme="minorEastAsia"/>
          <w:lang w:eastAsia="zh-CN"/>
        </w:rPr>
      </w:pPr>
      <w:r w:rsidRPr="008F12F5">
        <w:rPr>
          <w:rFonts w:eastAsiaTheme="minorEastAsia"/>
          <w:lang w:eastAsia="zh-CN"/>
        </w:rPr>
        <w:t>土著人民和当地社区管理的地区对保护生物多样性非常重要；</w:t>
      </w:r>
    </w:p>
    <w:p w:rsidR="008F12F5" w:rsidRPr="008F12F5" w:rsidRDefault="008F12F5" w:rsidP="0069685F">
      <w:pPr>
        <w:pStyle w:val="ListParagraph"/>
        <w:widowControl w:val="0"/>
        <w:numPr>
          <w:ilvl w:val="0"/>
          <w:numId w:val="79"/>
        </w:numPr>
        <w:tabs>
          <w:tab w:val="left" w:pos="1440"/>
        </w:tabs>
        <w:suppressAutoHyphens/>
        <w:adjustRightInd w:val="0"/>
        <w:snapToGrid w:val="0"/>
        <w:ind w:left="0" w:firstLine="720"/>
        <w:rPr>
          <w:rFonts w:eastAsiaTheme="minorEastAsia"/>
          <w:lang w:eastAsia="zh-CN"/>
        </w:rPr>
      </w:pPr>
      <w:r w:rsidRPr="008F12F5">
        <w:rPr>
          <w:rFonts w:eastAsiaTheme="minorEastAsia"/>
          <w:lang w:eastAsia="zh-CN"/>
        </w:rPr>
        <w:t>土地用途的重大改变与作物造成的毁林有关。提高这些商品买家的认识可以增加推动实现可持续生产的压力；</w:t>
      </w:r>
    </w:p>
    <w:p w:rsidR="008F12F5" w:rsidRPr="008F12F5" w:rsidRDefault="008F12F5" w:rsidP="0069685F">
      <w:pPr>
        <w:pStyle w:val="ListParagraph"/>
        <w:widowControl w:val="0"/>
        <w:numPr>
          <w:ilvl w:val="0"/>
          <w:numId w:val="79"/>
        </w:numPr>
        <w:tabs>
          <w:tab w:val="left" w:pos="1440"/>
        </w:tabs>
        <w:suppressAutoHyphens/>
        <w:adjustRightInd w:val="0"/>
        <w:snapToGrid w:val="0"/>
        <w:ind w:left="0" w:firstLine="720"/>
        <w:rPr>
          <w:rFonts w:eastAsiaTheme="minorEastAsia"/>
          <w:lang w:eastAsia="zh-CN"/>
        </w:rPr>
      </w:pPr>
      <w:r w:rsidRPr="008F12F5">
        <w:rPr>
          <w:rFonts w:eastAsiaTheme="minorEastAsia"/>
          <w:lang w:eastAsia="zh-CN"/>
        </w:rPr>
        <w:t>数据收集、地图和建模是预测全球变化的影响和支持自然生境保护、恢复和再生政策的重要工具；</w:t>
      </w:r>
    </w:p>
    <w:p w:rsidR="008F12F5" w:rsidRPr="008F12F5" w:rsidRDefault="008F12F5" w:rsidP="0069685F">
      <w:pPr>
        <w:pStyle w:val="ListParagraph"/>
        <w:widowControl w:val="0"/>
        <w:numPr>
          <w:ilvl w:val="0"/>
          <w:numId w:val="79"/>
        </w:numPr>
        <w:tabs>
          <w:tab w:val="left" w:pos="1440"/>
        </w:tabs>
        <w:suppressAutoHyphens/>
        <w:adjustRightInd w:val="0"/>
        <w:snapToGrid w:val="0"/>
        <w:ind w:left="0" w:firstLine="720"/>
        <w:rPr>
          <w:rFonts w:eastAsiaTheme="minorEastAsia"/>
          <w:lang w:eastAsia="zh-CN"/>
        </w:rPr>
      </w:pPr>
      <w:r w:rsidRPr="008F12F5">
        <w:rPr>
          <w:rFonts w:eastAsiaTheme="minorEastAsia"/>
          <w:lang w:eastAsia="zh-CN"/>
        </w:rPr>
        <w:t>景观遗传学是在授粉媒介分布区内外确定其种群特征和广大地区蜜蜂管理遗传后果的一个工具。</w:t>
      </w:r>
    </w:p>
    <w:p w:rsidR="008F12F5" w:rsidRPr="008F12F5" w:rsidRDefault="008F12F5" w:rsidP="0069685F">
      <w:pPr>
        <w:pStyle w:val="ListParagraph"/>
        <w:widowControl w:val="0"/>
        <w:numPr>
          <w:ilvl w:val="1"/>
          <w:numId w:val="74"/>
        </w:numPr>
        <w:tabs>
          <w:tab w:val="left" w:pos="720"/>
        </w:tabs>
        <w:suppressAutoHyphens/>
        <w:autoSpaceDE w:val="0"/>
        <w:autoSpaceDN w:val="0"/>
        <w:adjustRightInd w:val="0"/>
        <w:snapToGrid w:val="0"/>
        <w:ind w:left="0" w:firstLine="0"/>
        <w:rPr>
          <w:rFonts w:eastAsiaTheme="minorEastAsia"/>
          <w:color w:val="000000" w:themeColor="text1"/>
          <w:kern w:val="24"/>
          <w:lang w:eastAsia="ja-JP"/>
        </w:rPr>
      </w:pPr>
      <w:r w:rsidRPr="008F12F5">
        <w:rPr>
          <w:rFonts w:eastAsiaTheme="minorEastAsia"/>
          <w:color w:val="000000" w:themeColor="text1"/>
          <w:kern w:val="24"/>
          <w:lang w:eastAsia="ja-JP"/>
        </w:rPr>
        <w:t>迫切需要建立和统一受管理的授粉媒介的贸易条例（最佳管理做法、风险管理和预防风险监测、统一报告程序、数据管理策略），以便能够近实时和跨边界检测当前和新出现的风险和威胁，</w:t>
      </w:r>
      <w:r w:rsidRPr="008F12F5">
        <w:rPr>
          <w:rFonts w:eastAsiaTheme="minorEastAsia"/>
          <w:color w:val="000000" w:themeColor="text1"/>
          <w:kern w:val="24"/>
          <w:lang w:eastAsia="zh-CN"/>
        </w:rPr>
        <w:t>因此</w:t>
      </w:r>
      <w:r w:rsidRPr="008F12F5">
        <w:rPr>
          <w:rFonts w:eastAsiaTheme="minorEastAsia"/>
          <w:color w:val="000000" w:themeColor="text1"/>
          <w:kern w:val="24"/>
          <w:lang w:eastAsia="ja-JP"/>
        </w:rPr>
        <w:t>可以采取应对措施。</w:t>
      </w:r>
    </w:p>
    <w:p w:rsidR="008F12F5" w:rsidRPr="008F12F5" w:rsidRDefault="008F12F5" w:rsidP="0069685F">
      <w:pPr>
        <w:pStyle w:val="ListParagraph"/>
        <w:widowControl w:val="0"/>
        <w:numPr>
          <w:ilvl w:val="1"/>
          <w:numId w:val="74"/>
        </w:numPr>
        <w:tabs>
          <w:tab w:val="left" w:pos="720"/>
        </w:tabs>
        <w:suppressAutoHyphens/>
        <w:autoSpaceDE w:val="0"/>
        <w:autoSpaceDN w:val="0"/>
        <w:adjustRightInd w:val="0"/>
        <w:snapToGrid w:val="0"/>
        <w:ind w:left="0" w:firstLine="0"/>
        <w:rPr>
          <w:rFonts w:eastAsiaTheme="minorEastAsia"/>
          <w:color w:val="000000" w:themeColor="text1"/>
          <w:kern w:val="24"/>
          <w:lang w:eastAsia="ja-JP"/>
        </w:rPr>
      </w:pPr>
      <w:r w:rsidRPr="008F12F5">
        <w:rPr>
          <w:rFonts w:eastAsiaTheme="minorEastAsia"/>
          <w:color w:val="000000" w:themeColor="text1"/>
          <w:kern w:val="24"/>
          <w:lang w:eastAsia="ja-JP"/>
        </w:rPr>
        <w:t>可持续木材管理和认证规则应顾及捕获、运输和保护林业产品中发现的蜂巢等措施。</w:t>
      </w:r>
    </w:p>
    <w:p w:rsidR="008F12F5" w:rsidRPr="008F12F5" w:rsidRDefault="008F12F5" w:rsidP="0069685F">
      <w:pPr>
        <w:pStyle w:val="ListParagraph"/>
        <w:widowControl w:val="0"/>
        <w:numPr>
          <w:ilvl w:val="1"/>
          <w:numId w:val="74"/>
        </w:numPr>
        <w:tabs>
          <w:tab w:val="left" w:pos="720"/>
        </w:tabs>
        <w:suppressAutoHyphens/>
        <w:autoSpaceDE w:val="0"/>
        <w:autoSpaceDN w:val="0"/>
        <w:adjustRightInd w:val="0"/>
        <w:snapToGrid w:val="0"/>
        <w:ind w:left="0" w:firstLine="0"/>
        <w:rPr>
          <w:rFonts w:eastAsiaTheme="minorEastAsia"/>
          <w:color w:val="000000" w:themeColor="text1"/>
          <w:kern w:val="24"/>
          <w:lang w:eastAsia="ja-JP"/>
        </w:rPr>
      </w:pPr>
      <w:r w:rsidRPr="008F12F5">
        <w:rPr>
          <w:rFonts w:eastAsiaTheme="minorEastAsia"/>
          <w:color w:val="000000" w:themeColor="text1"/>
          <w:kern w:val="24"/>
          <w:lang w:eastAsia="ja-JP"/>
        </w:rPr>
        <w:t>有必要加深关于授粉媒介和授粉的知识，了解它们在维持农业和粮食生产以外的生态系统健康和完整性方面的作用。现有的大多数文献都把重点放在特定的膜翅目昆虫组群上。缺乏有关景观变化或农药对非蜂类群造成的影响的信息。</w:t>
      </w:r>
    </w:p>
    <w:p w:rsidR="008F12F5" w:rsidRPr="008F12F5" w:rsidRDefault="008F12F5" w:rsidP="0069685F">
      <w:pPr>
        <w:pStyle w:val="ListParagraph"/>
        <w:widowControl w:val="0"/>
        <w:numPr>
          <w:ilvl w:val="1"/>
          <w:numId w:val="74"/>
        </w:numPr>
        <w:tabs>
          <w:tab w:val="left" w:pos="720"/>
        </w:tabs>
        <w:suppressAutoHyphens/>
        <w:autoSpaceDE w:val="0"/>
        <w:autoSpaceDN w:val="0"/>
        <w:adjustRightInd w:val="0"/>
        <w:snapToGrid w:val="0"/>
        <w:ind w:left="0" w:firstLine="0"/>
        <w:rPr>
          <w:rFonts w:eastAsiaTheme="minorEastAsia"/>
          <w:color w:val="000000" w:themeColor="text1"/>
          <w:kern w:val="24"/>
          <w:lang w:eastAsia="ja-JP"/>
        </w:rPr>
      </w:pPr>
      <w:r w:rsidRPr="008F12F5">
        <w:rPr>
          <w:rFonts w:eastAsiaTheme="minorEastAsia"/>
          <w:color w:val="000000" w:themeColor="text1"/>
          <w:kern w:val="24"/>
          <w:lang w:eastAsia="ja-JP"/>
        </w:rPr>
        <w:t>可采取下列行动支持增加知识：</w:t>
      </w:r>
    </w:p>
    <w:p w:rsidR="008F12F5" w:rsidRPr="008F12F5" w:rsidRDefault="008F12F5" w:rsidP="0069685F">
      <w:pPr>
        <w:pStyle w:val="ListParagraph"/>
        <w:widowControl w:val="0"/>
        <w:numPr>
          <w:ilvl w:val="0"/>
          <w:numId w:val="80"/>
        </w:numPr>
        <w:tabs>
          <w:tab w:val="left" w:pos="1440"/>
        </w:tabs>
        <w:suppressAutoHyphens/>
        <w:adjustRightInd w:val="0"/>
        <w:snapToGrid w:val="0"/>
        <w:ind w:left="0" w:firstLine="720"/>
        <w:rPr>
          <w:rFonts w:eastAsiaTheme="minorEastAsia"/>
          <w:lang w:eastAsia="zh-CN"/>
        </w:rPr>
      </w:pPr>
      <w:r w:rsidRPr="008F12F5">
        <w:rPr>
          <w:rFonts w:eastAsiaTheme="minorEastAsia"/>
          <w:lang w:eastAsia="zh-CN"/>
        </w:rPr>
        <w:t>改进知识管理，包括通过生物分类学、志愿者记录、</w:t>
      </w:r>
      <w:r w:rsidRPr="008F12F5">
        <w:rPr>
          <w:rFonts w:eastAsiaTheme="minorEastAsia"/>
          <w:lang w:eastAsia="zh-CN"/>
        </w:rPr>
        <w:t>DNA</w:t>
      </w:r>
      <w:r w:rsidRPr="008F12F5">
        <w:rPr>
          <w:rFonts w:eastAsiaTheme="minorEastAsia"/>
          <w:lang w:eastAsia="zh-CN"/>
        </w:rPr>
        <w:t>条形码、生物多样性信息学工具、为博物馆标本提供的地理参考资料，授粉媒介及授粉功能和服务的标准化长期监测</w:t>
      </w:r>
      <w:r w:rsidRPr="008F12F5">
        <w:rPr>
          <w:rFonts w:eastAsiaTheme="minorEastAsia"/>
          <w:spacing w:val="2"/>
          <w:shd w:val="clear" w:color="auto" w:fill="FCFCFC"/>
          <w:lang w:eastAsia="zh-CN"/>
        </w:rPr>
        <w:t>；</w:t>
      </w:r>
    </w:p>
    <w:p w:rsidR="008F12F5" w:rsidRDefault="008F12F5" w:rsidP="0069685F">
      <w:pPr>
        <w:pStyle w:val="ListParagraph"/>
        <w:numPr>
          <w:ilvl w:val="0"/>
          <w:numId w:val="80"/>
        </w:numPr>
        <w:tabs>
          <w:tab w:val="left" w:pos="1440"/>
        </w:tabs>
        <w:suppressAutoHyphens/>
        <w:adjustRightInd w:val="0"/>
        <w:snapToGrid w:val="0"/>
        <w:ind w:left="0" w:firstLine="720"/>
        <w:rPr>
          <w:rFonts w:eastAsiaTheme="minorEastAsia"/>
          <w:lang w:eastAsia="zh-CN"/>
        </w:rPr>
      </w:pPr>
      <w:r w:rsidRPr="008F12F5">
        <w:rPr>
          <w:rFonts w:eastAsiaTheme="minorEastAsia"/>
          <w:lang w:eastAsia="zh-CN"/>
        </w:rPr>
        <w:t>注重传统知识和经验知识，注意到常规知识合成方法不一定适用于综合其他形式的知识，如土著和地方知识或诸如土地管理者和自然保护主义者等从业人员所拥有的隐性知识。</w:t>
      </w:r>
    </w:p>
    <w:p w:rsidR="00707179" w:rsidRDefault="00707179">
      <w:pPr>
        <w:rPr>
          <w:rFonts w:eastAsiaTheme="minorEastAsia"/>
          <w:lang w:eastAsia="zh-CN"/>
        </w:rPr>
      </w:pPr>
      <w:r>
        <w:rPr>
          <w:rFonts w:eastAsiaTheme="minorEastAsia"/>
          <w:lang w:eastAsia="zh-CN"/>
        </w:rPr>
        <w:br w:type="page"/>
      </w:r>
    </w:p>
    <w:p w:rsidR="00807594" w:rsidRPr="00807594" w:rsidRDefault="00807594" w:rsidP="00FF4964">
      <w:pPr>
        <w:pStyle w:val="Heading1"/>
        <w:spacing w:before="120" w:after="120"/>
        <w:ind w:firstLine="0"/>
        <w:rPr>
          <w:rFonts w:eastAsiaTheme="minorEastAsia" w:cs="Times New Roman"/>
          <w:noProof/>
          <w:kern w:val="22"/>
          <w:sz w:val="24"/>
          <w:lang w:eastAsia="zh-CN"/>
        </w:rPr>
      </w:pPr>
      <w:bookmarkStart w:id="74" w:name="_Toc6243694"/>
      <w:r w:rsidRPr="00807594">
        <w:rPr>
          <w:rFonts w:eastAsiaTheme="minorEastAsia" w:cs="Times New Roman"/>
          <w:noProof/>
          <w:kern w:val="22"/>
          <w:sz w:val="24"/>
          <w:lang w:eastAsia="zh-CN"/>
        </w:rPr>
        <w:lastRenderedPageBreak/>
        <w:t>14/7.</w:t>
      </w:r>
      <w:r w:rsidRPr="00807594">
        <w:rPr>
          <w:rFonts w:eastAsiaTheme="minorEastAsia" w:cs="Times New Roman"/>
          <w:noProof/>
          <w:kern w:val="22"/>
          <w:sz w:val="24"/>
          <w:lang w:eastAsia="zh-CN"/>
        </w:rPr>
        <w:tab/>
      </w:r>
      <w:r w:rsidRPr="00807594">
        <w:rPr>
          <w:rFonts w:eastAsiaTheme="minorEastAsia" w:cs="Times New Roman"/>
          <w:noProof/>
          <w:kern w:val="22"/>
          <w:sz w:val="24"/>
          <w:lang w:eastAsia="zh-CN"/>
        </w:rPr>
        <w:t>可持续野生动物管理</w:t>
      </w:r>
      <w:bookmarkEnd w:id="74"/>
    </w:p>
    <w:p w:rsidR="00807594" w:rsidRPr="00807594" w:rsidRDefault="00807594" w:rsidP="00807594">
      <w:pPr>
        <w:suppressLineNumbers/>
        <w:suppressAutoHyphens/>
        <w:adjustRightInd w:val="0"/>
        <w:snapToGrid w:val="0"/>
        <w:rPr>
          <w:rFonts w:eastAsiaTheme="minorEastAsia"/>
          <w:iCs/>
          <w:color w:val="000000"/>
          <w:kern w:val="22"/>
          <w:lang w:val="en-CA" w:eastAsia="ja-JP" w:bidi="th-TH"/>
        </w:rPr>
      </w:pPr>
      <w:r w:rsidRPr="00807594">
        <w:rPr>
          <w:rFonts w:ascii="KaiTi" w:eastAsia="KaiTi" w:hAnsi="KaiTi"/>
          <w:iCs/>
          <w:color w:val="000000"/>
          <w:kern w:val="22"/>
          <w:lang w:val="en-CA" w:eastAsia="ja-JP" w:bidi="th-TH"/>
        </w:rPr>
        <w:t>缔约方大会</w:t>
      </w:r>
      <w:r w:rsidRPr="00807594">
        <w:rPr>
          <w:rFonts w:eastAsiaTheme="minorEastAsia"/>
          <w:iCs/>
          <w:color w:val="000000"/>
          <w:kern w:val="22"/>
          <w:lang w:val="en-CA" w:eastAsia="ja-JP" w:bidi="th-TH"/>
        </w:rPr>
        <w:t>，</w:t>
      </w:r>
    </w:p>
    <w:p w:rsidR="00807594" w:rsidRPr="00807594" w:rsidRDefault="00807594" w:rsidP="00807594">
      <w:pPr>
        <w:widowControl w:val="0"/>
        <w:overflowPunct w:val="0"/>
        <w:autoSpaceDE w:val="0"/>
        <w:autoSpaceDN w:val="0"/>
        <w:adjustRightInd w:val="0"/>
        <w:snapToGrid w:val="0"/>
        <w:textAlignment w:val="baseline"/>
        <w:rPr>
          <w:rFonts w:eastAsiaTheme="minorEastAsia"/>
          <w:lang w:val="zh-CN" w:eastAsia="zh-CN" w:bidi="th-TH"/>
        </w:rPr>
      </w:pPr>
      <w:r w:rsidRPr="00807594">
        <w:rPr>
          <w:rFonts w:ascii="KaiTi" w:eastAsia="KaiTi" w:hAnsi="KaiTi"/>
          <w:iCs/>
          <w:color w:val="000000"/>
          <w:kern w:val="22"/>
          <w:lang w:val="en-CA" w:eastAsia="ja-JP" w:bidi="th-TH"/>
        </w:rPr>
        <w:t>回顾</w:t>
      </w:r>
      <w:r w:rsidRPr="00807594">
        <w:rPr>
          <w:rFonts w:eastAsiaTheme="minorEastAsia"/>
          <w:lang w:val="zh-CN" w:eastAsia="zh-CN" w:bidi="th-TH"/>
        </w:rPr>
        <w:t>第</w:t>
      </w:r>
      <w:r w:rsidRPr="00807594">
        <w:rPr>
          <w:rFonts w:eastAsiaTheme="minorEastAsia"/>
          <w:lang w:val="zh-CN" w:eastAsia="zh-CN" w:bidi="th-TH"/>
        </w:rPr>
        <w:t>XIII/8</w:t>
      </w:r>
      <w:r w:rsidRPr="00807594">
        <w:rPr>
          <w:rFonts w:eastAsiaTheme="minorEastAsia"/>
          <w:lang w:val="zh-CN" w:eastAsia="zh-CN" w:bidi="th-TH"/>
        </w:rPr>
        <w:t>号</w:t>
      </w:r>
      <w:r w:rsidRPr="00807594">
        <w:rPr>
          <w:rFonts w:eastAsiaTheme="minorEastAsia"/>
          <w:lang w:val="en-CA" w:eastAsia="zh-CN"/>
        </w:rPr>
        <w:t>决定</w:t>
      </w:r>
      <w:r w:rsidRPr="00807594">
        <w:rPr>
          <w:rFonts w:eastAsiaTheme="minorEastAsia"/>
          <w:lang w:val="zh-CN" w:eastAsia="zh-CN" w:bidi="th-TH"/>
        </w:rPr>
        <w:t>，</w:t>
      </w:r>
      <w:bookmarkStart w:id="75" w:name="_Hlk500901399"/>
    </w:p>
    <w:p w:rsidR="00807594" w:rsidRPr="00807594" w:rsidRDefault="00807594" w:rsidP="00807594">
      <w:pPr>
        <w:widowControl w:val="0"/>
        <w:overflowPunct w:val="0"/>
        <w:autoSpaceDE w:val="0"/>
        <w:autoSpaceDN w:val="0"/>
        <w:adjustRightInd w:val="0"/>
        <w:snapToGrid w:val="0"/>
        <w:textAlignment w:val="baseline"/>
        <w:rPr>
          <w:rFonts w:eastAsiaTheme="minorEastAsia"/>
          <w:iCs/>
          <w:snapToGrid w:val="0"/>
          <w:color w:val="000000"/>
          <w:kern w:val="22"/>
          <w:lang w:val="en-CA" w:eastAsia="zh-CN" w:bidi="th-TH"/>
        </w:rPr>
      </w:pPr>
      <w:r w:rsidRPr="00807594">
        <w:rPr>
          <w:rFonts w:eastAsiaTheme="minorEastAsia"/>
          <w:iCs/>
          <w:color w:val="000000"/>
          <w:kern w:val="22"/>
          <w:lang w:val="en-CA" w:eastAsia="zh-CN" w:bidi="th-TH"/>
        </w:rPr>
        <w:t xml:space="preserve"> </w:t>
      </w:r>
      <w:r w:rsidRPr="00807594">
        <w:rPr>
          <w:rFonts w:ascii="KaiTi" w:eastAsia="KaiTi" w:hAnsi="KaiTi"/>
          <w:iCs/>
          <w:color w:val="000000"/>
          <w:kern w:val="22"/>
          <w:lang w:val="en-CA" w:eastAsia="ja-JP" w:bidi="th-TH"/>
        </w:rPr>
        <w:t>认识到</w:t>
      </w:r>
      <w:r w:rsidRPr="00807594">
        <w:rPr>
          <w:rFonts w:eastAsiaTheme="minorEastAsia"/>
          <w:lang w:val="zh-CN" w:eastAsia="zh-CN" w:bidi="th-TH"/>
        </w:rPr>
        <w:t>生物多样性</w:t>
      </w:r>
      <w:r w:rsidRPr="00807594">
        <w:rPr>
          <w:rFonts w:eastAsiaTheme="minorEastAsia"/>
          <w:iCs/>
          <w:snapToGrid w:val="0"/>
          <w:color w:val="000000"/>
          <w:kern w:val="22"/>
          <w:lang w:val="en-CA" w:eastAsia="zh-CN" w:bidi="th-TH"/>
        </w:rPr>
        <w:t>的</w:t>
      </w:r>
      <w:bookmarkEnd w:id="75"/>
      <w:r w:rsidRPr="00807594">
        <w:rPr>
          <w:rFonts w:eastAsiaTheme="minorEastAsia"/>
          <w:iCs/>
          <w:snapToGrid w:val="0"/>
          <w:color w:val="000000"/>
          <w:kern w:val="22"/>
          <w:lang w:val="en-CA" w:eastAsia="zh-CN" w:bidi="th-TH"/>
        </w:rPr>
        <w:t>可持续利用，包括野生动物物种的管理，有助于实现数项</w:t>
      </w:r>
      <w:r w:rsidRPr="00807594">
        <w:rPr>
          <w:rFonts w:eastAsiaTheme="minorEastAsia"/>
          <w:iCs/>
          <w:snapToGrid w:val="0"/>
          <w:color w:val="000000"/>
          <w:kern w:val="22"/>
          <w:lang w:eastAsia="zh-CN" w:bidi="th-TH"/>
        </w:rPr>
        <w:t>《</w:t>
      </w:r>
      <w:r w:rsidRPr="00807594">
        <w:rPr>
          <w:rFonts w:eastAsiaTheme="minorEastAsia"/>
          <w:iCs/>
          <w:snapToGrid w:val="0"/>
          <w:color w:val="000000"/>
          <w:kern w:val="22"/>
          <w:lang w:val="en-CA" w:eastAsia="zh-CN" w:bidi="th-TH"/>
        </w:rPr>
        <w:t>《爱知生物多样性指标》》和《可持续发展目标》，</w:t>
      </w:r>
    </w:p>
    <w:p w:rsidR="00807594" w:rsidRPr="00807594" w:rsidRDefault="00807594" w:rsidP="00807594">
      <w:pPr>
        <w:widowControl w:val="0"/>
        <w:overflowPunct w:val="0"/>
        <w:autoSpaceDE w:val="0"/>
        <w:autoSpaceDN w:val="0"/>
        <w:adjustRightInd w:val="0"/>
        <w:snapToGrid w:val="0"/>
        <w:textAlignment w:val="baseline"/>
        <w:rPr>
          <w:rFonts w:eastAsiaTheme="minorEastAsia"/>
          <w:lang w:val="zh-CN" w:eastAsia="zh-CN" w:bidi="th-TH"/>
        </w:rPr>
      </w:pPr>
      <w:r w:rsidRPr="00807594">
        <w:rPr>
          <w:rFonts w:ascii="KaiTi" w:eastAsia="KaiTi" w:hAnsi="KaiTi"/>
          <w:iCs/>
          <w:color w:val="000000"/>
          <w:kern w:val="22"/>
          <w:lang w:val="en-CA" w:eastAsia="ja-JP" w:bidi="th-TH"/>
        </w:rPr>
        <w:t>又认识到</w:t>
      </w:r>
      <w:r w:rsidRPr="00807594">
        <w:rPr>
          <w:rFonts w:eastAsiaTheme="minorEastAsia"/>
          <w:lang w:val="zh-CN" w:eastAsia="zh-CN" w:bidi="th-TH"/>
        </w:rPr>
        <w:t>人口增长、无法持续的资源消费和城市化对生物多样性保护和土地管理的影响，</w:t>
      </w:r>
    </w:p>
    <w:p w:rsidR="00807594" w:rsidRPr="00807594" w:rsidRDefault="00807594" w:rsidP="00807594">
      <w:pPr>
        <w:widowControl w:val="0"/>
        <w:overflowPunct w:val="0"/>
        <w:autoSpaceDE w:val="0"/>
        <w:autoSpaceDN w:val="0"/>
        <w:adjustRightInd w:val="0"/>
        <w:snapToGrid w:val="0"/>
        <w:textAlignment w:val="baseline"/>
        <w:rPr>
          <w:rFonts w:eastAsiaTheme="minorEastAsia"/>
          <w:lang w:val="zh-CN" w:eastAsia="zh-CN" w:bidi="th-TH"/>
        </w:rPr>
      </w:pPr>
      <w:r w:rsidRPr="00807594">
        <w:rPr>
          <w:rFonts w:ascii="KaiTi" w:eastAsia="KaiTi" w:hAnsi="KaiTi"/>
          <w:iCs/>
          <w:color w:val="000000"/>
          <w:kern w:val="22"/>
          <w:lang w:val="en-CA" w:eastAsia="ja-JP" w:bidi="th-TH"/>
        </w:rPr>
        <w:t>意识到</w:t>
      </w:r>
      <w:r w:rsidRPr="00807594">
        <w:rPr>
          <w:rFonts w:eastAsiaTheme="minorEastAsia"/>
          <w:lang w:val="zh-CN" w:eastAsia="zh-CN" w:bidi="th-TH"/>
        </w:rPr>
        <w:t>各缔约方在其国家生物多样性战略和行动计划以及其他国家、区域和全球战略和计划中确定了野生动物管理的需要，在各国政府和组织的支助下，正在开展一系列可持续的野生动物管理活动，</w:t>
      </w:r>
      <w:r w:rsidRPr="00807594">
        <w:rPr>
          <w:rFonts w:eastAsiaTheme="minorEastAsia"/>
          <w:vertAlign w:val="superscript"/>
          <w:lang w:val="zh-CN" w:eastAsia="en-CA" w:bidi="th-TH"/>
        </w:rPr>
        <w:footnoteReference w:id="97"/>
      </w:r>
      <w:r w:rsidRPr="00807594">
        <w:rPr>
          <w:rFonts w:eastAsiaTheme="minorEastAsia"/>
          <w:lang w:val="zh-CN" w:eastAsia="zh-CN" w:bidi="th-TH"/>
        </w:rPr>
        <w:t xml:space="preserve"> </w:t>
      </w:r>
      <w:r w:rsidRPr="00807594">
        <w:rPr>
          <w:rFonts w:eastAsiaTheme="minorEastAsia"/>
          <w:lang w:val="zh-CN" w:eastAsia="zh-CN" w:bidi="th-TH"/>
        </w:rPr>
        <w:t>并注意到仍需对很多野生动物物种采取紧迫的养护措施，包括保护、可持续利用和种群恢复，</w:t>
      </w:r>
    </w:p>
    <w:p w:rsidR="00807594" w:rsidRPr="00807594" w:rsidRDefault="00807594" w:rsidP="00807594">
      <w:pPr>
        <w:widowControl w:val="0"/>
        <w:suppressLineNumbers/>
        <w:suppressAutoHyphens/>
        <w:adjustRightInd w:val="0"/>
        <w:snapToGrid w:val="0"/>
        <w:rPr>
          <w:rFonts w:eastAsiaTheme="minorEastAsia"/>
          <w:snapToGrid w:val="0"/>
          <w:color w:val="000000"/>
          <w:kern w:val="22"/>
          <w:lang w:val="en-CA" w:eastAsia="zh-CN"/>
        </w:rPr>
      </w:pPr>
      <w:r w:rsidRPr="00807594">
        <w:rPr>
          <w:rFonts w:ascii="KaiTi" w:eastAsia="KaiTi" w:hAnsi="KaiTi"/>
          <w:iCs/>
          <w:color w:val="000000"/>
          <w:kern w:val="22"/>
          <w:lang w:val="en-CA" w:eastAsia="ja-JP" w:bidi="th-TH"/>
        </w:rPr>
        <w:t>欢迎</w:t>
      </w:r>
      <w:r w:rsidRPr="00807594">
        <w:rPr>
          <w:rFonts w:eastAsiaTheme="minorEastAsia"/>
          <w:lang w:val="en-CA" w:eastAsia="zh-CN" w:bidi="th-TH"/>
        </w:rPr>
        <w:t>野生动物可持续管理合作伙伴关</w:t>
      </w:r>
      <w:r w:rsidRPr="00807594">
        <w:rPr>
          <w:rFonts w:eastAsiaTheme="minorEastAsia"/>
          <w:lang w:val="en-CA" w:eastAsia="zh-CN"/>
        </w:rPr>
        <w:t>系</w:t>
      </w:r>
      <w:r w:rsidRPr="00807594">
        <w:rPr>
          <w:rFonts w:eastAsiaTheme="minorEastAsia"/>
          <w:iCs/>
          <w:snapToGrid w:val="0"/>
          <w:color w:val="000000"/>
          <w:kern w:val="22"/>
          <w:lang w:val="en-CA" w:eastAsia="zh-CN" w:bidi="th-TH"/>
        </w:rPr>
        <w:t>所取得的进展，</w:t>
      </w:r>
    </w:p>
    <w:p w:rsidR="00807594" w:rsidRPr="00807594" w:rsidRDefault="00807594" w:rsidP="00807594">
      <w:pPr>
        <w:widowControl w:val="0"/>
        <w:suppressLineNumbers/>
        <w:suppressAutoHyphens/>
        <w:adjustRightInd w:val="0"/>
        <w:snapToGrid w:val="0"/>
        <w:rPr>
          <w:rFonts w:eastAsiaTheme="minorEastAsia"/>
          <w:lang w:val="en-CA" w:eastAsia="zh-CN" w:bidi="th-TH"/>
        </w:rPr>
      </w:pPr>
      <w:r w:rsidRPr="00807594">
        <w:rPr>
          <w:rFonts w:ascii="KaiTi" w:eastAsia="KaiTi" w:hAnsi="KaiTi"/>
          <w:iCs/>
          <w:color w:val="000000"/>
          <w:kern w:val="22"/>
          <w:lang w:val="en-CA" w:eastAsia="ja-JP" w:bidi="th-TH"/>
        </w:rPr>
        <w:t>认识到</w:t>
      </w:r>
      <w:r w:rsidRPr="00807594">
        <w:rPr>
          <w:rFonts w:eastAsiaTheme="minorEastAsia"/>
          <w:lang w:val="en-CA" w:eastAsia="zh-CN" w:bidi="th-TH"/>
        </w:rPr>
        <w:t>按传统做法习惯使用生物资源的权利，以及土著人民和地方社区根据国家立法充分有效参与有关可持续野生动物管理决策进程的重要性，</w:t>
      </w:r>
    </w:p>
    <w:p w:rsidR="00807594" w:rsidRPr="00807594" w:rsidRDefault="00807594" w:rsidP="00807594">
      <w:pPr>
        <w:widowControl w:val="0"/>
        <w:suppressLineNumbers/>
        <w:suppressAutoHyphens/>
        <w:adjustRightInd w:val="0"/>
        <w:snapToGrid w:val="0"/>
        <w:rPr>
          <w:rFonts w:eastAsiaTheme="minorEastAsia"/>
          <w:lang w:val="en-CA" w:eastAsia="zh-CN" w:bidi="th-TH"/>
        </w:rPr>
      </w:pPr>
      <w:r w:rsidRPr="00807594">
        <w:rPr>
          <w:rFonts w:ascii="KaiTi" w:eastAsia="KaiTi" w:hAnsi="KaiTi"/>
          <w:iCs/>
          <w:color w:val="000000"/>
          <w:kern w:val="22"/>
          <w:lang w:val="en-CA" w:eastAsia="ja-JP" w:bidi="th-TH"/>
        </w:rPr>
        <w:t>又认识到</w:t>
      </w:r>
      <w:r w:rsidRPr="00807594">
        <w:rPr>
          <w:rFonts w:eastAsiaTheme="minorEastAsia"/>
          <w:lang w:val="zh-CN" w:eastAsia="zh-CN" w:bidi="th-TH"/>
        </w:rPr>
        <w:t>土著</w:t>
      </w:r>
      <w:r w:rsidRPr="00807594">
        <w:rPr>
          <w:rFonts w:eastAsiaTheme="minorEastAsia"/>
          <w:lang w:val="en-CA" w:eastAsia="zh-CN" w:bidi="th-TH"/>
        </w:rPr>
        <w:t>人民</w:t>
      </w:r>
      <w:r w:rsidRPr="00807594">
        <w:rPr>
          <w:rFonts w:eastAsiaTheme="minorEastAsia"/>
          <w:lang w:val="zh-CN" w:eastAsia="zh-CN" w:bidi="th-TH"/>
        </w:rPr>
        <w:t>和地方社区在野生动物肉可持续利用和管理中发挥的重要</w:t>
      </w:r>
      <w:r w:rsidRPr="00807594">
        <w:rPr>
          <w:rFonts w:eastAsiaTheme="minorEastAsia"/>
          <w:lang w:val="en-CA" w:eastAsia="zh-CN"/>
        </w:rPr>
        <w:t>作用</w:t>
      </w:r>
      <w:r w:rsidRPr="00807594">
        <w:rPr>
          <w:rFonts w:eastAsiaTheme="minorEastAsia"/>
          <w:lang w:val="zh-CN" w:eastAsia="zh-CN" w:bidi="th-TH"/>
        </w:rPr>
        <w:t>，</w:t>
      </w:r>
    </w:p>
    <w:p w:rsidR="00807594" w:rsidRPr="00807594" w:rsidRDefault="00807594" w:rsidP="00807594">
      <w:pPr>
        <w:widowControl w:val="0"/>
        <w:suppressLineNumbers/>
        <w:suppressAutoHyphens/>
        <w:adjustRightInd w:val="0"/>
        <w:snapToGrid w:val="0"/>
        <w:rPr>
          <w:rFonts w:eastAsiaTheme="minorEastAsia"/>
          <w:spacing w:val="10"/>
          <w:lang w:val="zh-CN" w:eastAsia="zh-CN" w:bidi="th-TH"/>
        </w:rPr>
      </w:pPr>
      <w:r w:rsidRPr="00807594">
        <w:rPr>
          <w:rFonts w:ascii="KaiTi" w:eastAsia="KaiTi" w:hAnsi="KaiTi"/>
          <w:iCs/>
          <w:color w:val="000000"/>
          <w:kern w:val="22"/>
          <w:lang w:val="en-CA" w:eastAsia="ja-JP" w:bidi="th-TH"/>
        </w:rPr>
        <w:t>借鉴</w:t>
      </w:r>
      <w:r w:rsidRPr="00807594">
        <w:rPr>
          <w:rFonts w:eastAsiaTheme="minorEastAsia"/>
          <w:lang w:val="zh-CN" w:eastAsia="zh-CN" w:bidi="th-TH"/>
        </w:rPr>
        <w:t>缔约方</w:t>
      </w:r>
      <w:r w:rsidRPr="00807594">
        <w:rPr>
          <w:rFonts w:eastAsiaTheme="minorEastAsia"/>
          <w:lang w:val="en-CA" w:eastAsia="zh-CN" w:bidi="th-TH"/>
        </w:rPr>
        <w:t>大会</w:t>
      </w:r>
      <w:r w:rsidRPr="00807594">
        <w:rPr>
          <w:rFonts w:eastAsiaTheme="minorEastAsia"/>
          <w:lang w:val="zh-CN" w:eastAsia="zh-CN" w:bidi="th-TH"/>
        </w:rPr>
        <w:t>第十二届会议</w:t>
      </w:r>
      <w:r w:rsidRPr="00807594">
        <w:rPr>
          <w:rFonts w:eastAsiaTheme="minorEastAsia"/>
          <w:spacing w:val="10"/>
          <w:lang w:val="zh-CN" w:eastAsia="zh-CN" w:bidi="th-TH"/>
        </w:rPr>
        <w:t>批准</w:t>
      </w:r>
      <w:r w:rsidRPr="00807594">
        <w:rPr>
          <w:rFonts w:eastAsiaTheme="minorEastAsia"/>
          <w:lang w:val="zh-CN" w:eastAsia="zh-CN" w:bidi="th-TH"/>
        </w:rPr>
        <w:t>的《生物多样性可持续习惯使用行动计划》</w:t>
      </w:r>
      <w:r w:rsidRPr="00807594">
        <w:rPr>
          <w:rFonts w:eastAsiaTheme="minorEastAsia"/>
          <w:vertAlign w:val="superscript"/>
          <w:lang w:val="zh-CN" w:eastAsia="en-CA" w:bidi="th-TH"/>
        </w:rPr>
        <w:footnoteReference w:id="98"/>
      </w:r>
      <w:r w:rsidRPr="00807594">
        <w:rPr>
          <w:rFonts w:eastAsiaTheme="minorEastAsia"/>
          <w:spacing w:val="10"/>
          <w:lang w:val="zh-CN" w:eastAsia="zh-CN" w:bidi="th-TH"/>
        </w:rPr>
        <w:t>，</w:t>
      </w:r>
    </w:p>
    <w:p w:rsidR="00807594" w:rsidRPr="00807594" w:rsidRDefault="00807594" w:rsidP="00807594">
      <w:pPr>
        <w:widowControl w:val="0"/>
        <w:suppressLineNumbers/>
        <w:suppressAutoHyphens/>
        <w:adjustRightInd w:val="0"/>
        <w:snapToGrid w:val="0"/>
        <w:rPr>
          <w:rFonts w:eastAsiaTheme="minorEastAsia"/>
          <w:lang w:val="zh-CN" w:eastAsia="zh-CN" w:bidi="th-TH"/>
        </w:rPr>
      </w:pPr>
      <w:r w:rsidRPr="00807594">
        <w:rPr>
          <w:rFonts w:ascii="KaiTi" w:eastAsia="KaiTi" w:hAnsi="KaiTi"/>
          <w:iCs/>
          <w:color w:val="000000"/>
          <w:kern w:val="22"/>
          <w:lang w:val="en-CA" w:eastAsia="ja-JP" w:bidi="th-TH"/>
        </w:rPr>
        <w:t>回顾</w:t>
      </w:r>
      <w:r w:rsidRPr="00807594">
        <w:rPr>
          <w:rFonts w:eastAsiaTheme="minorEastAsia"/>
          <w:lang w:val="zh-CN" w:eastAsia="zh-CN" w:bidi="th-TH"/>
        </w:rPr>
        <w:t>迫切需要减少</w:t>
      </w:r>
      <w:r w:rsidRPr="00807594">
        <w:rPr>
          <w:rFonts w:eastAsiaTheme="minorEastAsia"/>
          <w:iCs/>
          <w:snapToGrid w:val="0"/>
          <w:color w:val="000000"/>
          <w:kern w:val="22"/>
          <w:lang w:val="en-CA" w:eastAsia="zh-CN" w:bidi="th-TH"/>
        </w:rPr>
        <w:t>生物多样性的损失，包括</w:t>
      </w:r>
      <w:r w:rsidRPr="00807594">
        <w:rPr>
          <w:rFonts w:eastAsiaTheme="minorEastAsia"/>
          <w:lang w:val="zh-CN" w:eastAsia="zh-CN" w:bidi="th-TH"/>
        </w:rPr>
        <w:t>防止受威胁物种灭绝，以改善和维持其养护状况，恢复和保护提供必要功能和服务（包括与水、健康、生计和福祉相关的服务）的生态系统，</w:t>
      </w:r>
    </w:p>
    <w:p w:rsidR="00807594" w:rsidRPr="00807594" w:rsidRDefault="00807594" w:rsidP="00807594">
      <w:pPr>
        <w:widowControl w:val="0"/>
        <w:suppressLineNumbers/>
        <w:suppressAutoHyphens/>
        <w:adjustRightInd w:val="0"/>
        <w:snapToGrid w:val="0"/>
        <w:rPr>
          <w:rFonts w:eastAsiaTheme="minorEastAsia"/>
          <w:lang w:val="en-CA" w:eastAsia="zh-CN"/>
        </w:rPr>
      </w:pPr>
      <w:r w:rsidRPr="00807594">
        <w:rPr>
          <w:rFonts w:ascii="KaiTi" w:eastAsia="KaiTi" w:hAnsi="KaiTi"/>
          <w:iCs/>
          <w:color w:val="000000"/>
          <w:kern w:val="22"/>
          <w:lang w:val="en-CA" w:eastAsia="ja-JP" w:bidi="th-TH"/>
        </w:rPr>
        <w:t>审议了</w:t>
      </w:r>
      <w:r w:rsidRPr="00807594">
        <w:rPr>
          <w:rFonts w:eastAsiaTheme="minorEastAsia"/>
          <w:iCs/>
          <w:snapToGrid w:val="0"/>
          <w:color w:val="000000"/>
          <w:kern w:val="22"/>
          <w:lang w:val="en-CA" w:eastAsia="zh-CN"/>
        </w:rPr>
        <w:t>根据科学、技术和工艺咨询附属机构关于</w:t>
      </w:r>
      <w:r w:rsidRPr="00807594">
        <w:rPr>
          <w:rFonts w:eastAsiaTheme="minorEastAsia"/>
          <w:lang w:val="en-CA" w:eastAsia="zh-CN"/>
        </w:rPr>
        <w:t>可</w:t>
      </w:r>
      <w:r w:rsidRPr="00807594">
        <w:rPr>
          <w:rFonts w:eastAsiaTheme="minorEastAsia"/>
          <w:iCs/>
          <w:snapToGrid w:val="0"/>
          <w:color w:val="000000"/>
          <w:kern w:val="22"/>
          <w:lang w:val="en-CA" w:eastAsia="zh-CN" w:bidi="th-TH"/>
        </w:rPr>
        <w:t>持续</w:t>
      </w:r>
      <w:r w:rsidRPr="00807594">
        <w:rPr>
          <w:rFonts w:eastAsiaTheme="minorEastAsia"/>
          <w:lang w:val="en-CA" w:eastAsia="zh-CN"/>
        </w:rPr>
        <w:t>野生动物管理：对可持续野生动物肉部门的指导意见的第</w:t>
      </w:r>
      <w:r w:rsidRPr="00807594">
        <w:rPr>
          <w:rFonts w:eastAsiaTheme="minorEastAsia"/>
          <w:lang w:val="en-CA" w:eastAsia="zh-CN"/>
        </w:rPr>
        <w:t>XXI/2</w:t>
      </w:r>
      <w:r w:rsidRPr="00807594">
        <w:rPr>
          <w:rFonts w:eastAsiaTheme="minorEastAsia"/>
          <w:lang w:val="en-CA" w:eastAsia="zh-CN"/>
        </w:rPr>
        <w:t>号建议编制的进展报告，</w:t>
      </w:r>
    </w:p>
    <w:p w:rsidR="00807594" w:rsidRPr="00807594" w:rsidRDefault="00807594" w:rsidP="0069685F">
      <w:pPr>
        <w:widowControl w:val="0"/>
        <w:numPr>
          <w:ilvl w:val="6"/>
          <w:numId w:val="81"/>
        </w:numPr>
        <w:suppressLineNumbers/>
        <w:tabs>
          <w:tab w:val="clear" w:pos="360"/>
          <w:tab w:val="left" w:pos="1440"/>
        </w:tabs>
        <w:suppressAutoHyphens/>
        <w:adjustRightInd w:val="0"/>
        <w:snapToGrid w:val="0"/>
        <w:ind w:left="0" w:firstLine="720"/>
        <w:rPr>
          <w:rFonts w:eastAsiaTheme="minorEastAsia"/>
          <w:bCs/>
          <w:iCs/>
          <w:snapToGrid w:val="0"/>
          <w:color w:val="000000"/>
          <w:kern w:val="22"/>
          <w:lang w:val="en-CA" w:eastAsia="ja-JP" w:bidi="th-TH"/>
        </w:rPr>
      </w:pPr>
      <w:r w:rsidRPr="00807594">
        <w:rPr>
          <w:rFonts w:ascii="KaiTi" w:eastAsia="KaiTi" w:hAnsi="KaiTi"/>
          <w:iCs/>
          <w:color w:val="000000"/>
          <w:kern w:val="22"/>
          <w:lang w:val="en-CA" w:eastAsia="ja-JP" w:bidi="th-TH"/>
        </w:rPr>
        <w:t>欢迎</w:t>
      </w:r>
      <w:r w:rsidRPr="00807594">
        <w:rPr>
          <w:rFonts w:eastAsiaTheme="minorEastAsia"/>
          <w:bCs/>
          <w:iCs/>
          <w:snapToGrid w:val="0"/>
          <w:color w:val="000000"/>
          <w:kern w:val="22"/>
          <w:lang w:val="en-CA" w:eastAsia="ja-JP" w:bidi="th-TH"/>
        </w:rPr>
        <w:t>本决定附件所载</w:t>
      </w:r>
      <w:r w:rsidRPr="00807594">
        <w:rPr>
          <w:rFonts w:eastAsiaTheme="minorEastAsia"/>
          <w:bCs/>
          <w:iCs/>
          <w:snapToGrid w:val="0"/>
          <w:color w:val="000000"/>
          <w:kern w:val="22"/>
          <w:lang w:val="en-CA" w:eastAsia="zh-CN" w:bidi="th-TH"/>
        </w:rPr>
        <w:t>对</w:t>
      </w:r>
      <w:r w:rsidRPr="00807594">
        <w:rPr>
          <w:rFonts w:eastAsiaTheme="minorEastAsia"/>
          <w:bCs/>
          <w:iCs/>
          <w:snapToGrid w:val="0"/>
          <w:color w:val="000000"/>
          <w:kern w:val="22"/>
          <w:lang w:val="en-CA" w:eastAsia="ja-JP" w:bidi="th-TH"/>
        </w:rPr>
        <w:t>可持续野生</w:t>
      </w:r>
      <w:r w:rsidRPr="00807594">
        <w:rPr>
          <w:rFonts w:eastAsiaTheme="minorEastAsia"/>
          <w:bCs/>
          <w:iCs/>
          <w:snapToGrid w:val="0"/>
          <w:color w:val="000000"/>
          <w:kern w:val="22"/>
          <w:lang w:val="en-CA" w:eastAsia="zh-CN" w:bidi="th-TH"/>
        </w:rPr>
        <w:t>动物</w:t>
      </w:r>
      <w:r w:rsidRPr="00807594">
        <w:rPr>
          <w:rFonts w:eastAsiaTheme="minorEastAsia"/>
          <w:bCs/>
          <w:iCs/>
          <w:snapToGrid w:val="0"/>
          <w:color w:val="000000"/>
          <w:kern w:val="22"/>
          <w:lang w:val="en-CA" w:eastAsia="ja-JP" w:bidi="th-TH"/>
        </w:rPr>
        <w:t>肉</w:t>
      </w:r>
      <w:r w:rsidRPr="00807594">
        <w:rPr>
          <w:rFonts w:eastAsiaTheme="minorEastAsia"/>
          <w:bCs/>
          <w:iCs/>
          <w:snapToGrid w:val="0"/>
          <w:color w:val="000000"/>
          <w:kern w:val="22"/>
          <w:lang w:val="en-CA" w:eastAsia="zh-CN" w:bidi="th-TH"/>
        </w:rPr>
        <w:t>部门的</w:t>
      </w:r>
      <w:r w:rsidRPr="00807594">
        <w:rPr>
          <w:rFonts w:eastAsiaTheme="minorEastAsia"/>
          <w:bCs/>
          <w:iCs/>
          <w:snapToGrid w:val="0"/>
          <w:color w:val="000000"/>
          <w:kern w:val="22"/>
          <w:lang w:val="en-CA" w:eastAsia="ja-JP" w:bidi="th-TH"/>
        </w:rPr>
        <w:t>自愿指导意见</w:t>
      </w:r>
      <w:r w:rsidRPr="00807594">
        <w:rPr>
          <w:rFonts w:eastAsiaTheme="minorEastAsia"/>
          <w:bCs/>
          <w:iCs/>
          <w:snapToGrid w:val="0"/>
          <w:color w:val="000000"/>
          <w:kern w:val="22"/>
          <w:lang w:val="en-CA" w:eastAsia="zh-CN" w:bidi="th-TH"/>
        </w:rPr>
        <w:t>，认识到该指导意见不一定适用于所有缔约方</w:t>
      </w:r>
      <w:r w:rsidRPr="00807594">
        <w:rPr>
          <w:rFonts w:eastAsiaTheme="minorEastAsia"/>
          <w:bCs/>
          <w:iCs/>
          <w:snapToGrid w:val="0"/>
          <w:color w:val="000000"/>
          <w:kern w:val="22"/>
          <w:lang w:val="en-CA" w:eastAsia="ja-JP" w:bidi="th-TH"/>
        </w:rPr>
        <w:t>，</w:t>
      </w:r>
      <w:r w:rsidRPr="00807594">
        <w:rPr>
          <w:rFonts w:eastAsiaTheme="minorEastAsia"/>
          <w:lang w:val="zh-CN" w:eastAsia="zh-CN" w:bidi="th-TH"/>
        </w:rPr>
        <w:t>其</w:t>
      </w:r>
      <w:r w:rsidRPr="00807594">
        <w:rPr>
          <w:rFonts w:eastAsiaTheme="minorEastAsia"/>
          <w:lang w:val="zh-CN" w:eastAsia="ja-JP" w:bidi="th-TH"/>
        </w:rPr>
        <w:t>目的是促进源头供应的可持续性</w:t>
      </w:r>
      <w:r w:rsidRPr="00807594">
        <w:rPr>
          <w:rFonts w:eastAsiaTheme="minorEastAsia"/>
          <w:bCs/>
          <w:iCs/>
          <w:snapToGrid w:val="0"/>
          <w:color w:val="000000"/>
          <w:kern w:val="22"/>
          <w:lang w:val="en-CA" w:eastAsia="ja-JP" w:bidi="th-TH"/>
        </w:rPr>
        <w:t>，管理整个价值链的需求，</w:t>
      </w:r>
      <w:r w:rsidRPr="00807594">
        <w:rPr>
          <w:rFonts w:eastAsiaTheme="minorEastAsia"/>
          <w:bCs/>
          <w:iCs/>
          <w:snapToGrid w:val="0"/>
          <w:color w:val="000000"/>
          <w:kern w:val="22"/>
          <w:lang w:val="en-CA" w:eastAsia="zh-CN" w:bidi="th-TH"/>
        </w:rPr>
        <w:t>并创造有利条件，合法、</w:t>
      </w:r>
      <w:r w:rsidRPr="00807594">
        <w:rPr>
          <w:rFonts w:eastAsiaTheme="minorEastAsia"/>
          <w:bCs/>
          <w:iCs/>
          <w:snapToGrid w:val="0"/>
          <w:color w:val="000000"/>
          <w:kern w:val="22"/>
          <w:lang w:val="en-CA" w:eastAsia="ja-JP" w:bidi="th-TH"/>
        </w:rPr>
        <w:t>可持续</w:t>
      </w:r>
      <w:r w:rsidRPr="00807594">
        <w:rPr>
          <w:rFonts w:eastAsiaTheme="minorEastAsia"/>
          <w:bCs/>
          <w:iCs/>
          <w:snapToGrid w:val="0"/>
          <w:color w:val="000000"/>
          <w:kern w:val="22"/>
          <w:lang w:val="en-CA" w:eastAsia="zh-CN" w:bidi="th-TH"/>
        </w:rPr>
        <w:t>地</w:t>
      </w:r>
      <w:r w:rsidRPr="00807594">
        <w:rPr>
          <w:rFonts w:eastAsiaTheme="minorEastAsia"/>
          <w:bCs/>
          <w:iCs/>
          <w:snapToGrid w:val="0"/>
          <w:color w:val="000000"/>
          <w:kern w:val="22"/>
          <w:lang w:val="en-CA" w:eastAsia="ja-JP" w:bidi="th-TH"/>
        </w:rPr>
        <w:t>管理热带和亚热带</w:t>
      </w:r>
      <w:r w:rsidRPr="00807594">
        <w:rPr>
          <w:rFonts w:eastAsiaTheme="minorEastAsia"/>
          <w:bCs/>
          <w:iCs/>
          <w:snapToGrid w:val="0"/>
          <w:color w:val="000000"/>
          <w:kern w:val="22"/>
          <w:lang w:val="en-CA" w:eastAsia="zh-CN" w:bidi="th-TH"/>
        </w:rPr>
        <w:t>生境</w:t>
      </w:r>
      <w:r w:rsidRPr="00807594">
        <w:rPr>
          <w:rFonts w:eastAsiaTheme="minorEastAsia"/>
          <w:bCs/>
          <w:iCs/>
          <w:snapToGrid w:val="0"/>
          <w:color w:val="000000"/>
          <w:kern w:val="22"/>
          <w:lang w:val="en-CA" w:eastAsia="ja-JP" w:bidi="th-TH"/>
        </w:rPr>
        <w:t>的陆地野生肉类</w:t>
      </w:r>
      <w:r w:rsidRPr="00807594">
        <w:rPr>
          <w:rFonts w:eastAsiaTheme="minorEastAsia"/>
          <w:bCs/>
          <w:iCs/>
          <w:snapToGrid w:val="0"/>
          <w:color w:val="000000"/>
          <w:kern w:val="22"/>
          <w:lang w:val="en-CA" w:eastAsia="zh-CN" w:bidi="th-TH"/>
        </w:rPr>
        <w:t>，同时顾及土著</w:t>
      </w:r>
      <w:r w:rsidRPr="00807594">
        <w:rPr>
          <w:rFonts w:eastAsiaTheme="minorEastAsia"/>
          <w:bCs/>
          <w:iCs/>
          <w:snapToGrid w:val="0"/>
          <w:color w:val="000000"/>
          <w:kern w:val="22"/>
          <w:lang w:val="en-CA" w:eastAsia="ja-JP" w:bidi="th-TH"/>
        </w:rPr>
        <w:t>人民和</w:t>
      </w:r>
      <w:r w:rsidRPr="00807594">
        <w:rPr>
          <w:rFonts w:eastAsiaTheme="minorEastAsia"/>
          <w:bCs/>
          <w:iCs/>
          <w:snapToGrid w:val="0"/>
          <w:color w:val="000000"/>
          <w:kern w:val="22"/>
          <w:lang w:val="en-CA" w:eastAsia="zh-CN" w:bidi="th-TH"/>
        </w:rPr>
        <w:t>地方</w:t>
      </w:r>
      <w:r w:rsidRPr="00807594">
        <w:rPr>
          <w:rFonts w:eastAsiaTheme="minorEastAsia"/>
          <w:bCs/>
          <w:iCs/>
          <w:snapToGrid w:val="0"/>
          <w:color w:val="000000"/>
          <w:kern w:val="22"/>
          <w:lang w:val="en-CA" w:eastAsia="ja-JP" w:bidi="th-TH"/>
        </w:rPr>
        <w:t>社区</w:t>
      </w:r>
      <w:r w:rsidRPr="00807594">
        <w:rPr>
          <w:rFonts w:eastAsiaTheme="minorEastAsia"/>
          <w:bCs/>
          <w:iCs/>
          <w:snapToGrid w:val="0"/>
          <w:color w:val="000000"/>
          <w:kern w:val="22"/>
          <w:lang w:val="en-CA" w:eastAsia="zh-CN" w:bidi="th-TH"/>
        </w:rPr>
        <w:t>保护自身</w:t>
      </w:r>
      <w:r w:rsidRPr="00807594">
        <w:rPr>
          <w:rFonts w:eastAsiaTheme="minorEastAsia"/>
          <w:bCs/>
          <w:iCs/>
          <w:snapToGrid w:val="0"/>
          <w:color w:val="000000"/>
          <w:kern w:val="22"/>
          <w:lang w:val="en-CA" w:eastAsia="ja-JP" w:bidi="th-TH"/>
        </w:rPr>
        <w:t>生计</w:t>
      </w:r>
      <w:r w:rsidRPr="00807594">
        <w:rPr>
          <w:rFonts w:eastAsiaTheme="minorEastAsia"/>
          <w:bCs/>
          <w:iCs/>
          <w:snapToGrid w:val="0"/>
          <w:color w:val="000000"/>
          <w:kern w:val="22"/>
          <w:lang w:val="en-CA" w:eastAsia="zh-CN" w:bidi="th-TH"/>
        </w:rPr>
        <w:t>和使生计受到不利</w:t>
      </w:r>
      <w:r w:rsidRPr="00807594">
        <w:rPr>
          <w:rFonts w:eastAsiaTheme="minorEastAsia"/>
          <w:bCs/>
          <w:iCs/>
          <w:snapToGrid w:val="0"/>
          <w:color w:val="000000"/>
          <w:kern w:val="22"/>
          <w:lang w:val="en-CA" w:eastAsia="ja-JP" w:bidi="th-TH"/>
        </w:rPr>
        <w:t>影响</w:t>
      </w:r>
      <w:r w:rsidRPr="00807594">
        <w:rPr>
          <w:rFonts w:eastAsiaTheme="minorEastAsia"/>
          <w:bCs/>
          <w:iCs/>
          <w:snapToGrid w:val="0"/>
          <w:color w:val="000000"/>
          <w:kern w:val="22"/>
          <w:lang w:val="en-CA" w:eastAsia="zh-CN" w:bidi="th-TH"/>
        </w:rPr>
        <w:t>的传统用途；</w:t>
      </w:r>
    </w:p>
    <w:p w:rsidR="00807594" w:rsidRPr="00807594" w:rsidRDefault="00807594" w:rsidP="0069685F">
      <w:pPr>
        <w:widowControl w:val="0"/>
        <w:numPr>
          <w:ilvl w:val="6"/>
          <w:numId w:val="81"/>
        </w:numPr>
        <w:suppressLineNumbers/>
        <w:tabs>
          <w:tab w:val="clear" w:pos="360"/>
          <w:tab w:val="left" w:pos="1440"/>
        </w:tabs>
        <w:suppressAutoHyphens/>
        <w:adjustRightInd w:val="0"/>
        <w:snapToGrid w:val="0"/>
        <w:ind w:left="0" w:firstLine="720"/>
        <w:rPr>
          <w:rFonts w:eastAsiaTheme="minorEastAsia"/>
          <w:snapToGrid w:val="0"/>
          <w:lang w:val="en-CA" w:eastAsia="zh-CN" w:bidi="th-TH"/>
        </w:rPr>
      </w:pPr>
      <w:r w:rsidRPr="00807594">
        <w:rPr>
          <w:rFonts w:ascii="KaiTi" w:eastAsia="KaiTi" w:hAnsi="KaiTi"/>
          <w:iCs/>
          <w:color w:val="000000"/>
          <w:kern w:val="22"/>
          <w:lang w:val="en-CA" w:eastAsia="ja-JP" w:bidi="th-TH"/>
        </w:rPr>
        <w:lastRenderedPageBreak/>
        <w:t>注意到</w:t>
      </w:r>
      <w:r w:rsidRPr="00807594">
        <w:rPr>
          <w:rFonts w:eastAsiaTheme="minorEastAsia"/>
          <w:snapToGrid w:val="0"/>
          <w:lang w:val="en-CA" w:eastAsia="zh-CN" w:bidi="th-TH"/>
        </w:rPr>
        <w:t>对可持续野生动物肉</w:t>
      </w:r>
      <w:r w:rsidRPr="00807594">
        <w:rPr>
          <w:rFonts w:eastAsiaTheme="minorEastAsia"/>
          <w:bCs/>
          <w:snapToGrid w:val="0"/>
          <w:lang w:val="en-CA" w:eastAsia="ja-JP" w:bidi="th-TH"/>
        </w:rPr>
        <w:t>部门</w:t>
      </w:r>
      <w:r w:rsidRPr="00807594">
        <w:rPr>
          <w:rFonts w:eastAsiaTheme="minorEastAsia"/>
          <w:snapToGrid w:val="0"/>
          <w:lang w:val="en-CA" w:eastAsia="zh-CN" w:bidi="th-TH"/>
        </w:rPr>
        <w:t>的自愿指导意见有助于改善可持续发展目标</w:t>
      </w:r>
      <w:r w:rsidRPr="00807594">
        <w:rPr>
          <w:rFonts w:eastAsiaTheme="minorEastAsia"/>
          <w:snapToGrid w:val="0"/>
          <w:lang w:val="en-CA" w:eastAsia="zh-CN" w:bidi="th-TH"/>
        </w:rPr>
        <w:t>2</w:t>
      </w:r>
      <w:r w:rsidRPr="00807594">
        <w:rPr>
          <w:rFonts w:eastAsiaTheme="minorEastAsia"/>
          <w:snapToGrid w:val="0"/>
          <w:lang w:val="en-CA" w:eastAsia="zh-CN" w:bidi="th-TH"/>
        </w:rPr>
        <w:t>和</w:t>
      </w:r>
      <w:r w:rsidRPr="00807594">
        <w:rPr>
          <w:rFonts w:eastAsiaTheme="minorEastAsia"/>
          <w:snapToGrid w:val="0"/>
          <w:lang w:val="en-CA" w:eastAsia="zh-CN" w:bidi="th-TH"/>
        </w:rPr>
        <w:t>15</w:t>
      </w:r>
      <w:r w:rsidRPr="00807594">
        <w:rPr>
          <w:rFonts w:eastAsiaTheme="minorEastAsia"/>
          <w:iCs/>
          <w:snapToGrid w:val="0"/>
          <w:color w:val="000000"/>
          <w:kern w:val="22"/>
          <w:vertAlign w:val="superscript"/>
          <w:lang w:val="en-CA" w:eastAsia="en-CA" w:bidi="th-TH"/>
        </w:rPr>
        <w:footnoteReference w:id="99"/>
      </w:r>
      <w:r w:rsidRPr="00807594">
        <w:rPr>
          <w:rFonts w:eastAsiaTheme="minorEastAsia"/>
          <w:snapToGrid w:val="0"/>
          <w:lang w:val="en-CA" w:eastAsia="zh-CN" w:bidi="th-TH"/>
        </w:rPr>
        <w:t xml:space="preserve"> </w:t>
      </w:r>
      <w:r w:rsidRPr="00807594">
        <w:rPr>
          <w:rFonts w:eastAsiaTheme="minorEastAsia"/>
          <w:snapToGrid w:val="0"/>
          <w:lang w:val="en-CA" w:eastAsia="zh-CN" w:bidi="th-TH"/>
        </w:rPr>
        <w:t>中体现的陆地野生动物的综合管理内容，以期加强与生物多样性</w:t>
      </w:r>
      <w:r w:rsidRPr="00807594">
        <w:rPr>
          <w:rFonts w:eastAsiaTheme="minorEastAsia"/>
          <w:bCs/>
          <w:snapToGrid w:val="0"/>
          <w:lang w:val="en-CA" w:eastAsia="zh-CN" w:bidi="th-TH"/>
        </w:rPr>
        <w:t>相关</w:t>
      </w:r>
      <w:r w:rsidRPr="00807594">
        <w:rPr>
          <w:rFonts w:eastAsiaTheme="minorEastAsia"/>
          <w:snapToGrid w:val="0"/>
          <w:lang w:val="en-CA" w:eastAsia="zh-CN" w:bidi="th-TH"/>
        </w:rPr>
        <w:t>公约</w:t>
      </w:r>
      <w:r w:rsidRPr="00807594">
        <w:rPr>
          <w:rFonts w:eastAsiaTheme="minorEastAsia"/>
          <w:iCs/>
          <w:snapToGrid w:val="0"/>
          <w:color w:val="000000"/>
          <w:kern w:val="22"/>
          <w:vertAlign w:val="superscript"/>
          <w:lang w:val="en-CA" w:eastAsia="en-CA" w:bidi="th-TH"/>
        </w:rPr>
        <w:footnoteReference w:id="100"/>
      </w:r>
      <w:r w:rsidRPr="00807594">
        <w:rPr>
          <w:rFonts w:eastAsiaTheme="minorEastAsia"/>
          <w:snapToGrid w:val="0"/>
          <w:lang w:val="en-CA" w:eastAsia="zh-CN" w:bidi="th-TH"/>
        </w:rPr>
        <w:t xml:space="preserve"> </w:t>
      </w:r>
      <w:r w:rsidRPr="00807594">
        <w:rPr>
          <w:rFonts w:eastAsiaTheme="minorEastAsia"/>
          <w:snapToGrid w:val="0"/>
          <w:lang w:val="en-CA" w:eastAsia="zh-CN" w:bidi="th-TH"/>
        </w:rPr>
        <w:t>和其他保护协定的政策一致性；</w:t>
      </w:r>
    </w:p>
    <w:p w:rsidR="00807594" w:rsidRPr="00807594" w:rsidRDefault="00807594" w:rsidP="0069685F">
      <w:pPr>
        <w:widowControl w:val="0"/>
        <w:numPr>
          <w:ilvl w:val="6"/>
          <w:numId w:val="81"/>
        </w:numPr>
        <w:suppressLineNumbers/>
        <w:tabs>
          <w:tab w:val="clear" w:pos="360"/>
          <w:tab w:val="left" w:pos="1440"/>
        </w:tabs>
        <w:suppressAutoHyphens/>
        <w:adjustRightInd w:val="0"/>
        <w:snapToGrid w:val="0"/>
        <w:ind w:left="0" w:firstLine="720"/>
        <w:rPr>
          <w:rFonts w:eastAsiaTheme="minorEastAsia"/>
          <w:lang w:val="en-CA" w:eastAsia="zh-CN"/>
        </w:rPr>
      </w:pPr>
      <w:r w:rsidRPr="00807594">
        <w:rPr>
          <w:rFonts w:ascii="KaiTi" w:eastAsia="KaiTi" w:hAnsi="KaiTi"/>
          <w:iCs/>
          <w:color w:val="000000"/>
          <w:kern w:val="22"/>
          <w:lang w:val="en-CA" w:eastAsia="ja-JP" w:bidi="th-TH"/>
        </w:rPr>
        <w:t>鼓励</w:t>
      </w:r>
      <w:r w:rsidRPr="00807594">
        <w:rPr>
          <w:rFonts w:eastAsiaTheme="minorEastAsia"/>
          <w:lang w:val="en-CA" w:eastAsia="zh-CN"/>
        </w:rPr>
        <w:t>各缔约方、其他国家政府和相关组织以及其他生物多样性相关公约和保护协定，在适用情况下并根据国情和国家法律，在制定、修订和实施野生动物治理方法以及在制定和更新国家发展计划和国家生物多样性战略和行动计划时，采用对可持续野生动物肉部门的自愿指导意见以及《生物多样性可持续习惯使用行动计划》和《可持续发展目标》；</w:t>
      </w:r>
      <w:r w:rsidRPr="00807594">
        <w:rPr>
          <w:rFonts w:eastAsiaTheme="minorEastAsia"/>
          <w:vertAlign w:val="superscript"/>
          <w:lang w:val="en-CA" w:eastAsia="zh-CN"/>
        </w:rPr>
        <w:t xml:space="preserve">2 </w:t>
      </w:r>
    </w:p>
    <w:p w:rsidR="00807594" w:rsidRPr="00807594" w:rsidRDefault="00807594" w:rsidP="0069685F">
      <w:pPr>
        <w:widowControl w:val="0"/>
        <w:numPr>
          <w:ilvl w:val="6"/>
          <w:numId w:val="81"/>
        </w:numPr>
        <w:suppressLineNumbers/>
        <w:tabs>
          <w:tab w:val="clear" w:pos="360"/>
          <w:tab w:val="left" w:pos="1440"/>
        </w:tabs>
        <w:suppressAutoHyphens/>
        <w:adjustRightInd w:val="0"/>
        <w:snapToGrid w:val="0"/>
        <w:ind w:left="0" w:firstLine="720"/>
        <w:rPr>
          <w:rFonts w:eastAsiaTheme="minorEastAsia"/>
          <w:lang w:val="en-CA" w:eastAsia="zh-CN"/>
        </w:rPr>
      </w:pPr>
      <w:r w:rsidRPr="00807594">
        <w:rPr>
          <w:rFonts w:ascii="KaiTi" w:eastAsia="KaiTi" w:hAnsi="KaiTi"/>
          <w:iCs/>
          <w:color w:val="000000"/>
          <w:kern w:val="22"/>
          <w:lang w:val="en-CA" w:eastAsia="ja-JP" w:bidi="th-TH"/>
        </w:rPr>
        <w:t>邀请</w:t>
      </w:r>
      <w:r w:rsidRPr="00807594">
        <w:rPr>
          <w:rFonts w:eastAsiaTheme="minorEastAsia"/>
          <w:lang w:val="en-CA" w:eastAsia="zh-CN"/>
        </w:rPr>
        <w:t>各缔约方自愿提供本国国家方案中根据《可持续发展目标》和生物多样性可持续利用而促进可持续野生动物管理同时又可促进减贫、粮食安全和就业的最佳做法；</w:t>
      </w:r>
    </w:p>
    <w:p w:rsidR="00807594" w:rsidRPr="00807594" w:rsidRDefault="00807594" w:rsidP="0069685F">
      <w:pPr>
        <w:widowControl w:val="0"/>
        <w:numPr>
          <w:ilvl w:val="6"/>
          <w:numId w:val="81"/>
        </w:numPr>
        <w:suppressLineNumbers/>
        <w:tabs>
          <w:tab w:val="clear" w:pos="360"/>
          <w:tab w:val="left" w:pos="1440"/>
        </w:tabs>
        <w:suppressAutoHyphens/>
        <w:adjustRightInd w:val="0"/>
        <w:snapToGrid w:val="0"/>
        <w:ind w:left="0" w:firstLine="720"/>
        <w:rPr>
          <w:rFonts w:eastAsiaTheme="minorEastAsia"/>
          <w:lang w:val="en-CA" w:eastAsia="zh-CN"/>
        </w:rPr>
      </w:pPr>
      <w:r w:rsidRPr="00807594">
        <w:rPr>
          <w:rFonts w:ascii="KaiTi" w:eastAsia="KaiTi" w:hAnsi="KaiTi"/>
          <w:iCs/>
          <w:color w:val="000000"/>
          <w:kern w:val="22"/>
          <w:lang w:val="en-CA" w:eastAsia="ja-JP" w:bidi="th-TH"/>
        </w:rPr>
        <w:t>又邀请</w:t>
      </w:r>
      <w:r w:rsidRPr="00807594">
        <w:rPr>
          <w:rFonts w:eastAsiaTheme="minorEastAsia"/>
          <w:lang w:val="en-CA" w:eastAsia="zh-CN"/>
        </w:rPr>
        <w:t>各缔约方自愿提供资料，说明因考虑到对可持续野生动物肉部门的自愿指导意见而开展的活动和取得的结果；</w:t>
      </w:r>
    </w:p>
    <w:p w:rsidR="00807594" w:rsidRPr="00807594" w:rsidRDefault="00807594" w:rsidP="0069685F">
      <w:pPr>
        <w:widowControl w:val="0"/>
        <w:numPr>
          <w:ilvl w:val="6"/>
          <w:numId w:val="81"/>
        </w:numPr>
        <w:suppressLineNumbers/>
        <w:tabs>
          <w:tab w:val="clear" w:pos="360"/>
          <w:tab w:val="left" w:pos="1440"/>
        </w:tabs>
        <w:suppressAutoHyphens/>
        <w:adjustRightInd w:val="0"/>
        <w:snapToGrid w:val="0"/>
        <w:ind w:left="0" w:firstLine="720"/>
        <w:rPr>
          <w:rFonts w:eastAsiaTheme="minorEastAsia"/>
          <w:lang w:val="en-CA" w:eastAsia="zh-CN"/>
        </w:rPr>
      </w:pPr>
      <w:r w:rsidRPr="00807594">
        <w:rPr>
          <w:rFonts w:ascii="KaiTi" w:eastAsia="KaiTi" w:hAnsi="KaiTi"/>
          <w:iCs/>
          <w:color w:val="000000"/>
          <w:kern w:val="22"/>
          <w:lang w:val="en-CA" w:eastAsia="ja-JP" w:bidi="th-TH"/>
        </w:rPr>
        <w:t>鼓励</w:t>
      </w:r>
      <w:r w:rsidRPr="00807594">
        <w:rPr>
          <w:rFonts w:eastAsiaTheme="minorEastAsia"/>
          <w:lang w:val="en-CA" w:eastAsia="zh-CN"/>
        </w:rPr>
        <w:t>各缔约方在相关部门，包括在林业、农业、兽医和公共健康、自然资源、财政、农村发展、教育、法律和私营部门、食品加工和贸易等部门之间，并在土著人民和地方社区以及其他相关利益攸关方之间，开展关于可持续野生动物管理的跨部门对话和联合培训，以期根据国情促进实施对可持续野生动物肉部门的自愿指导意见；</w:t>
      </w:r>
    </w:p>
    <w:p w:rsidR="00807594" w:rsidRPr="00807594" w:rsidRDefault="00807594" w:rsidP="0069685F">
      <w:pPr>
        <w:widowControl w:val="0"/>
        <w:numPr>
          <w:ilvl w:val="6"/>
          <w:numId w:val="81"/>
        </w:numPr>
        <w:suppressLineNumbers/>
        <w:tabs>
          <w:tab w:val="clear" w:pos="360"/>
          <w:tab w:val="left" w:pos="1440"/>
        </w:tabs>
        <w:suppressAutoHyphens/>
        <w:adjustRightInd w:val="0"/>
        <w:snapToGrid w:val="0"/>
        <w:ind w:left="0" w:firstLine="720"/>
        <w:rPr>
          <w:rFonts w:eastAsiaTheme="minorEastAsia"/>
          <w:lang w:val="en-CA" w:eastAsia="zh-CN"/>
        </w:rPr>
      </w:pPr>
      <w:r w:rsidRPr="00807594">
        <w:rPr>
          <w:rFonts w:ascii="KaiTi" w:eastAsia="KaiTi" w:hAnsi="KaiTi"/>
          <w:iCs/>
          <w:color w:val="000000"/>
          <w:kern w:val="22"/>
          <w:lang w:val="en-CA" w:eastAsia="ja-JP" w:bidi="th-TH"/>
        </w:rPr>
        <w:t>邀请</w:t>
      </w:r>
      <w:r w:rsidRPr="00807594">
        <w:rPr>
          <w:rFonts w:eastAsiaTheme="minorEastAsia"/>
          <w:lang w:val="en-CA" w:eastAsia="zh-CN"/>
        </w:rPr>
        <w:t>各缔约方并鼓励有能力的其他国家政府和其他有关组织支持发展中国家的能力建设举措，以加强实施对可持续野生动物肉部门的自愿指导意见；</w:t>
      </w:r>
    </w:p>
    <w:p w:rsidR="00807594" w:rsidRPr="00807594" w:rsidRDefault="00807594" w:rsidP="0069685F">
      <w:pPr>
        <w:widowControl w:val="0"/>
        <w:numPr>
          <w:ilvl w:val="6"/>
          <w:numId w:val="81"/>
        </w:numPr>
        <w:suppressLineNumbers/>
        <w:tabs>
          <w:tab w:val="clear" w:pos="360"/>
          <w:tab w:val="left" w:pos="1440"/>
        </w:tabs>
        <w:suppressAutoHyphens/>
        <w:adjustRightInd w:val="0"/>
        <w:snapToGrid w:val="0"/>
        <w:ind w:left="0" w:firstLine="720"/>
        <w:rPr>
          <w:rFonts w:eastAsiaTheme="minorEastAsia"/>
          <w:lang w:val="en-CA" w:eastAsia="zh-CN"/>
        </w:rPr>
      </w:pPr>
      <w:r w:rsidRPr="00807594">
        <w:rPr>
          <w:rFonts w:ascii="KaiTi" w:eastAsia="KaiTi" w:hAnsi="KaiTi"/>
          <w:iCs/>
          <w:color w:val="000000"/>
          <w:kern w:val="22"/>
          <w:lang w:val="en-CA" w:eastAsia="ja-JP" w:bidi="th-TH"/>
        </w:rPr>
        <w:t>请</w:t>
      </w:r>
      <w:r w:rsidRPr="00807594">
        <w:rPr>
          <w:rFonts w:eastAsiaTheme="minorEastAsia"/>
          <w:lang w:val="en-CA" w:eastAsia="zh-CN"/>
        </w:rPr>
        <w:t>执行秘书汇编上文第</w:t>
      </w:r>
      <w:r w:rsidRPr="00807594">
        <w:rPr>
          <w:rFonts w:eastAsiaTheme="minorEastAsia"/>
          <w:lang w:val="en-CA" w:eastAsia="zh-CN"/>
        </w:rPr>
        <w:t>5</w:t>
      </w:r>
      <w:r w:rsidRPr="00807594">
        <w:rPr>
          <w:rFonts w:eastAsiaTheme="minorEastAsia"/>
          <w:lang w:val="en-CA" w:eastAsia="zh-CN"/>
        </w:rPr>
        <w:t>段所述来文，并通过信息交换所机制公布这些材料；</w:t>
      </w:r>
    </w:p>
    <w:p w:rsidR="00807594" w:rsidRPr="00807594" w:rsidRDefault="00807594" w:rsidP="0069685F">
      <w:pPr>
        <w:widowControl w:val="0"/>
        <w:numPr>
          <w:ilvl w:val="6"/>
          <w:numId w:val="81"/>
        </w:numPr>
        <w:suppressLineNumbers/>
        <w:tabs>
          <w:tab w:val="clear" w:pos="360"/>
          <w:tab w:val="left" w:pos="1440"/>
        </w:tabs>
        <w:suppressAutoHyphens/>
        <w:adjustRightInd w:val="0"/>
        <w:snapToGrid w:val="0"/>
        <w:ind w:left="0" w:firstLine="720"/>
        <w:rPr>
          <w:rFonts w:eastAsiaTheme="minorEastAsia"/>
          <w:lang w:val="en-CA" w:eastAsia="zh-CN"/>
        </w:rPr>
      </w:pPr>
      <w:r w:rsidRPr="00807594">
        <w:rPr>
          <w:rFonts w:ascii="KaiTi" w:eastAsia="KaiTi" w:hAnsi="KaiTi"/>
          <w:iCs/>
          <w:color w:val="000000"/>
          <w:kern w:val="22"/>
          <w:lang w:val="en-CA" w:eastAsia="ja-JP" w:bidi="th-TH"/>
        </w:rPr>
        <w:t>又请</w:t>
      </w:r>
      <w:r w:rsidRPr="00807594">
        <w:rPr>
          <w:rFonts w:eastAsiaTheme="minorEastAsia"/>
          <w:lang w:val="en-CA" w:eastAsia="zh-CN"/>
        </w:rPr>
        <w:t>执行秘书与相关缔约方、其他国家政府、土著人民和地方社区以及野生动物可持续管理合作伙伴关系的其他成员协商，在资源允许的情况下：</w:t>
      </w:r>
    </w:p>
    <w:p w:rsidR="00807594" w:rsidRPr="00807594" w:rsidRDefault="00807594" w:rsidP="0069685F">
      <w:pPr>
        <w:widowControl w:val="0"/>
        <w:numPr>
          <w:ilvl w:val="1"/>
          <w:numId w:val="96"/>
        </w:numPr>
        <w:suppressLineNumbers/>
        <w:tabs>
          <w:tab w:val="left" w:pos="1440"/>
        </w:tabs>
        <w:suppressAutoHyphens/>
        <w:adjustRightInd w:val="0"/>
        <w:snapToGrid w:val="0"/>
        <w:ind w:left="0" w:firstLine="720"/>
        <w:rPr>
          <w:rFonts w:eastAsiaTheme="minorEastAsia"/>
          <w:snapToGrid w:val="0"/>
          <w:color w:val="000000"/>
          <w:kern w:val="22"/>
          <w:lang w:val="en-CA" w:eastAsia="zh-CN"/>
        </w:rPr>
      </w:pPr>
      <w:r w:rsidRPr="00807594">
        <w:rPr>
          <w:rFonts w:eastAsiaTheme="minorEastAsia"/>
          <w:snapToGrid w:val="0"/>
          <w:color w:val="000000"/>
          <w:kern w:val="22"/>
          <w:lang w:val="en-CA" w:eastAsia="zh-CN"/>
        </w:rPr>
        <w:t>根据对可持续野生动物肉部门的自愿指导意见仅适用于陆地热带和亚热带生境、生物群落和生态系统的一些地区的情况，确定需要为哪些领域制定补充指导意见和探索如何将指导意见运用到其他地理区域</w:t>
      </w:r>
      <w:r w:rsidRPr="00807594">
        <w:rPr>
          <w:rFonts w:eastAsiaTheme="minorEastAsia"/>
          <w:lang w:val="en-CA" w:eastAsia="zh-CN"/>
        </w:rPr>
        <w:t>、其他物种和其他用途；</w:t>
      </w:r>
    </w:p>
    <w:p w:rsidR="00807594" w:rsidRPr="00807594" w:rsidRDefault="00807594" w:rsidP="0069685F">
      <w:pPr>
        <w:widowControl w:val="0"/>
        <w:numPr>
          <w:ilvl w:val="1"/>
          <w:numId w:val="96"/>
        </w:numPr>
        <w:suppressLineNumbers/>
        <w:tabs>
          <w:tab w:val="left" w:pos="1440"/>
        </w:tabs>
        <w:suppressAutoHyphens/>
        <w:adjustRightInd w:val="0"/>
        <w:snapToGrid w:val="0"/>
        <w:ind w:left="0" w:firstLine="720"/>
        <w:rPr>
          <w:rFonts w:eastAsiaTheme="minorEastAsia"/>
          <w:snapToGrid w:val="0"/>
          <w:color w:val="000000"/>
          <w:kern w:val="22"/>
          <w:lang w:val="en-CA" w:eastAsia="zh-CN"/>
        </w:rPr>
      </w:pPr>
      <w:r w:rsidRPr="00807594">
        <w:rPr>
          <w:rFonts w:eastAsiaTheme="minorEastAsia"/>
          <w:snapToGrid w:val="0"/>
          <w:color w:val="000000"/>
          <w:kern w:val="22"/>
          <w:lang w:val="en-CA" w:eastAsia="zh-CN"/>
        </w:rPr>
        <w:t>通过各缔约方、其他国家政府和有关组织之间交流最佳做法和吸取的教训，促进和便利使用监测工具和数据库，以期改进关于可持续野生动物的利用，包括野生动物肉的猎获、消费、贸易和销售及合法性问题的信息；</w:t>
      </w:r>
    </w:p>
    <w:p w:rsidR="00807594" w:rsidRPr="00807594" w:rsidRDefault="00807594" w:rsidP="0069685F">
      <w:pPr>
        <w:widowControl w:val="0"/>
        <w:numPr>
          <w:ilvl w:val="1"/>
          <w:numId w:val="96"/>
        </w:numPr>
        <w:suppressLineNumbers/>
        <w:tabs>
          <w:tab w:val="left" w:pos="1440"/>
        </w:tabs>
        <w:suppressAutoHyphens/>
        <w:adjustRightInd w:val="0"/>
        <w:snapToGrid w:val="0"/>
        <w:ind w:left="0" w:firstLine="720"/>
        <w:rPr>
          <w:rFonts w:eastAsiaTheme="minorEastAsia"/>
          <w:iCs/>
          <w:snapToGrid w:val="0"/>
          <w:color w:val="000000"/>
          <w:kern w:val="22"/>
          <w:lang w:val="en-CA" w:eastAsia="zh-CN" w:bidi="th-TH"/>
        </w:rPr>
      </w:pPr>
      <w:r w:rsidRPr="00807594">
        <w:rPr>
          <w:rFonts w:eastAsiaTheme="minorEastAsia"/>
          <w:iCs/>
          <w:snapToGrid w:val="0"/>
          <w:color w:val="000000"/>
          <w:kern w:val="22"/>
          <w:lang w:val="en-CA" w:eastAsia="zh-CN" w:bidi="th-TH"/>
        </w:rPr>
        <w:t>进一步</w:t>
      </w:r>
      <w:r w:rsidRPr="00807594">
        <w:rPr>
          <w:rFonts w:eastAsiaTheme="minorEastAsia"/>
          <w:snapToGrid w:val="0"/>
          <w:color w:val="000000"/>
          <w:kern w:val="22"/>
          <w:lang w:val="en-CA" w:eastAsia="zh-CN"/>
        </w:rPr>
        <w:t>评估</w:t>
      </w:r>
      <w:r w:rsidRPr="00807594">
        <w:rPr>
          <w:rFonts w:eastAsiaTheme="minorEastAsia"/>
          <w:iCs/>
          <w:snapToGrid w:val="0"/>
          <w:color w:val="000000"/>
          <w:kern w:val="22"/>
          <w:lang w:val="en-CA" w:eastAsia="zh-CN" w:bidi="th-TH"/>
        </w:rPr>
        <w:t>将野生动物的利用和贸易的更好知识结合起来的多学科办法，同时顾及土著人民和地方社区的知识、创新和做法以及野生动物可持续习惯使用的生计替代</w:t>
      </w:r>
      <w:r w:rsidRPr="00807594">
        <w:rPr>
          <w:rFonts w:eastAsiaTheme="minorEastAsia"/>
          <w:iCs/>
          <w:snapToGrid w:val="0"/>
          <w:color w:val="000000"/>
          <w:kern w:val="22"/>
          <w:lang w:val="en-CA" w:eastAsia="zh-CN" w:bidi="th-TH"/>
        </w:rPr>
        <w:lastRenderedPageBreak/>
        <w:t>办法，其中可能包括了解所涉物种的分类和生态，审查和加强法律框架，确定和推广可持续管理和利用野生动物的最佳做法，审查与野生动物的可持续习惯使用相关的粮食和生计替代办法的规定，其中包括审查与伙伴关系相关的现有各项活动；</w:t>
      </w:r>
    </w:p>
    <w:p w:rsidR="00807594" w:rsidRPr="00807594" w:rsidRDefault="00807594" w:rsidP="0069685F">
      <w:pPr>
        <w:widowControl w:val="0"/>
        <w:numPr>
          <w:ilvl w:val="1"/>
          <w:numId w:val="96"/>
        </w:numPr>
        <w:suppressLineNumbers/>
        <w:tabs>
          <w:tab w:val="left" w:pos="1440"/>
        </w:tabs>
        <w:suppressAutoHyphens/>
        <w:adjustRightInd w:val="0"/>
        <w:snapToGrid w:val="0"/>
        <w:ind w:left="0" w:firstLine="720"/>
        <w:rPr>
          <w:rFonts w:eastAsiaTheme="minorEastAsia"/>
          <w:iCs/>
          <w:snapToGrid w:val="0"/>
          <w:color w:val="000000"/>
          <w:kern w:val="22"/>
          <w:lang w:val="en-CA" w:eastAsia="zh-CN" w:bidi="th-TH"/>
        </w:rPr>
      </w:pPr>
      <w:r w:rsidRPr="00807594">
        <w:rPr>
          <w:rFonts w:eastAsiaTheme="minorEastAsia"/>
          <w:iCs/>
          <w:snapToGrid w:val="0"/>
          <w:color w:val="000000"/>
          <w:kern w:val="22"/>
          <w:lang w:val="en-CA" w:eastAsia="zh-CN" w:bidi="th-TH"/>
        </w:rPr>
        <w:t>向生物多样性和生态系统服务政府间科学政策平台执行秘书通报情况，以期促进广泛传播关于生物多样性可持续利用和保护的评估成果，帮助加强能力和工具；</w:t>
      </w:r>
    </w:p>
    <w:p w:rsidR="00807594" w:rsidRPr="00807594" w:rsidRDefault="00807594" w:rsidP="0069685F">
      <w:pPr>
        <w:widowControl w:val="0"/>
        <w:numPr>
          <w:ilvl w:val="1"/>
          <w:numId w:val="96"/>
        </w:numPr>
        <w:suppressLineNumbers/>
        <w:tabs>
          <w:tab w:val="left" w:pos="1440"/>
        </w:tabs>
        <w:suppressAutoHyphens/>
        <w:adjustRightInd w:val="0"/>
        <w:snapToGrid w:val="0"/>
        <w:ind w:left="0" w:firstLine="720"/>
        <w:rPr>
          <w:rFonts w:eastAsiaTheme="minorEastAsia"/>
          <w:iCs/>
          <w:snapToGrid w:val="0"/>
          <w:color w:val="000000"/>
          <w:kern w:val="22"/>
          <w:lang w:val="en-CA" w:eastAsia="zh-CN" w:bidi="th-TH"/>
        </w:rPr>
      </w:pPr>
      <w:r w:rsidRPr="00807594">
        <w:rPr>
          <w:rFonts w:eastAsiaTheme="minorEastAsia"/>
          <w:iCs/>
          <w:snapToGrid w:val="0"/>
          <w:color w:val="000000"/>
          <w:kern w:val="22"/>
          <w:lang w:val="en-CA" w:eastAsia="zh-CN" w:bidi="th-TH"/>
        </w:rPr>
        <w:t>向缔约方大会第十五届会议之前举行的科学、技术和工艺咨询附属机构会议报告上文第</w:t>
      </w:r>
      <w:r w:rsidRPr="00807594">
        <w:rPr>
          <w:rFonts w:eastAsiaTheme="minorEastAsia"/>
          <w:iCs/>
          <w:snapToGrid w:val="0"/>
          <w:color w:val="000000"/>
          <w:kern w:val="22"/>
          <w:lang w:val="en-CA" w:eastAsia="zh-CN" w:bidi="th-TH"/>
        </w:rPr>
        <w:t>9(a)</w:t>
      </w:r>
      <w:r w:rsidRPr="00807594">
        <w:rPr>
          <w:rFonts w:eastAsiaTheme="minorEastAsia"/>
          <w:iCs/>
          <w:snapToGrid w:val="0"/>
          <w:color w:val="000000"/>
          <w:kern w:val="22"/>
          <w:lang w:val="en-CA" w:eastAsia="zh-CN" w:bidi="th-TH"/>
        </w:rPr>
        <w:t>至</w:t>
      </w:r>
      <w:r w:rsidRPr="00807594">
        <w:rPr>
          <w:rFonts w:eastAsiaTheme="minorEastAsia"/>
          <w:iCs/>
          <w:snapToGrid w:val="0"/>
          <w:color w:val="000000"/>
          <w:kern w:val="22"/>
          <w:lang w:val="en-CA" w:eastAsia="zh-CN" w:bidi="th-TH"/>
        </w:rPr>
        <w:t>(d)</w:t>
      </w:r>
      <w:r w:rsidRPr="00807594">
        <w:rPr>
          <w:rFonts w:eastAsiaTheme="minorEastAsia"/>
          <w:iCs/>
          <w:snapToGrid w:val="0"/>
          <w:color w:val="000000"/>
          <w:kern w:val="22"/>
          <w:lang w:val="en-CA" w:eastAsia="zh-CN" w:bidi="th-TH"/>
        </w:rPr>
        <w:t>段所列活动的进展情况。</w:t>
      </w:r>
    </w:p>
    <w:p w:rsidR="00807594" w:rsidRPr="00FF4964" w:rsidRDefault="00807594" w:rsidP="00FF4964">
      <w:pPr>
        <w:adjustRightInd w:val="0"/>
        <w:snapToGrid w:val="0"/>
        <w:ind w:firstLine="0"/>
        <w:jc w:val="center"/>
        <w:rPr>
          <w:rFonts w:ascii="KaiTi" w:eastAsia="KaiTi" w:hAnsi="KaiTi"/>
          <w:i/>
          <w:lang w:val="en-CA" w:eastAsia="zh-CN"/>
        </w:rPr>
      </w:pPr>
      <w:r w:rsidRPr="00FF4964">
        <w:rPr>
          <w:rFonts w:ascii="KaiTi" w:eastAsia="KaiTi" w:hAnsi="KaiTi"/>
          <w:lang w:val="en-CA" w:eastAsia="zh-CN"/>
        </w:rPr>
        <w:t>附件</w:t>
      </w:r>
    </w:p>
    <w:p w:rsidR="00807594" w:rsidRPr="00807594" w:rsidRDefault="00807594" w:rsidP="00FF4964">
      <w:pPr>
        <w:adjustRightInd w:val="0"/>
        <w:snapToGrid w:val="0"/>
        <w:ind w:firstLine="0"/>
        <w:jc w:val="center"/>
        <w:rPr>
          <w:rFonts w:eastAsiaTheme="minorEastAsia"/>
          <w:b/>
          <w:lang w:val="en-CA" w:eastAsia="zh-CN"/>
        </w:rPr>
      </w:pPr>
      <w:r w:rsidRPr="00807594">
        <w:rPr>
          <w:rFonts w:eastAsiaTheme="minorEastAsia"/>
          <w:b/>
          <w:lang w:val="en-CA" w:eastAsia="zh-CN"/>
        </w:rPr>
        <w:t>对可持续野生动物肉部门的自愿指导意见</w:t>
      </w:r>
      <w:r w:rsidRPr="00807594">
        <w:rPr>
          <w:rFonts w:eastAsiaTheme="minorEastAsia"/>
          <w:vertAlign w:val="superscript"/>
          <w:lang w:val="en-CA" w:eastAsia="en-CA"/>
        </w:rPr>
        <w:footnoteReference w:id="101"/>
      </w:r>
    </w:p>
    <w:p w:rsidR="00807594" w:rsidRPr="00807594" w:rsidRDefault="00807594" w:rsidP="00FF4964">
      <w:pPr>
        <w:adjustRightInd w:val="0"/>
        <w:snapToGrid w:val="0"/>
        <w:ind w:firstLine="0"/>
        <w:jc w:val="center"/>
        <w:rPr>
          <w:rFonts w:eastAsiaTheme="minorEastAsia"/>
          <w:b/>
          <w:lang w:val="en-CA" w:eastAsia="zh-CN"/>
        </w:rPr>
      </w:pPr>
      <w:r w:rsidRPr="00807594">
        <w:rPr>
          <w:rFonts w:eastAsiaTheme="minorEastAsia"/>
          <w:b/>
          <w:lang w:val="en-CA" w:eastAsia="zh-CN"/>
        </w:rPr>
        <w:t>一</w:t>
      </w:r>
      <w:r w:rsidRPr="00807594">
        <w:rPr>
          <w:rFonts w:eastAsiaTheme="minorEastAsia"/>
          <w:b/>
          <w:lang w:val="en-CA" w:eastAsia="zh-CN"/>
        </w:rPr>
        <w:t xml:space="preserve">.    </w:t>
      </w:r>
      <w:r w:rsidRPr="00807594">
        <w:rPr>
          <w:rFonts w:eastAsiaTheme="minorEastAsia"/>
          <w:b/>
          <w:lang w:val="en-CA" w:eastAsia="zh-CN"/>
        </w:rPr>
        <w:t>背景：野生动物肉、粮食安全和生计</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lang w:val="en-CA" w:eastAsia="zh-CN"/>
        </w:rPr>
        <w:t>进行</w:t>
      </w:r>
      <w:r w:rsidRPr="00807594">
        <w:rPr>
          <w:rFonts w:eastAsiaTheme="minorEastAsia"/>
          <w:bCs/>
          <w:lang w:eastAsia="zh-CN"/>
        </w:rPr>
        <w:t>狩猎可能有维生、商业和娱乐等目的。在维生目的的猎获中，从野生动物身上获取的惠益（特别是食物）直接被捕获者及其家庭消费或使用。此外，热带和亚热带许多农村人口的粮食安全和维生依赖于野生动物的利用和贸易。</w:t>
      </w:r>
      <w:r w:rsidRPr="00807594">
        <w:rPr>
          <w:rFonts w:eastAsiaTheme="minorEastAsia"/>
          <w:snapToGrid w:val="0"/>
          <w:kern w:val="22"/>
          <w:vertAlign w:val="superscript"/>
          <w:lang w:eastAsia="ja-JP" w:bidi="th-TH"/>
        </w:rPr>
        <w:footnoteReference w:id="102"/>
      </w:r>
      <w:r w:rsidRPr="00807594">
        <w:rPr>
          <w:rFonts w:eastAsiaTheme="minorEastAsia"/>
          <w:bCs/>
          <w:lang w:eastAsia="zh-CN"/>
        </w:rPr>
        <w:t xml:space="preserve"> </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lang w:eastAsia="zh-CN"/>
        </w:rPr>
        <w:t>长期以来，野生动物肉是世界许多地区发达国家和发展中国家千百万人的蛋白质来源。例如，在热带发展中国家的一些农村社区，野生动物肉提供饮食中几乎绝大多数的蛋白质。在中部非洲，</w:t>
      </w:r>
      <w:r w:rsidRPr="00E21FF4">
        <w:rPr>
          <w:rFonts w:eastAsiaTheme="minorEastAsia"/>
          <w:bCs/>
          <w:spacing w:val="-20"/>
          <w:lang w:eastAsia="zh-CN"/>
        </w:rPr>
        <w:t>估计每年消费超过</w:t>
      </w:r>
      <w:r w:rsidRPr="00E21FF4">
        <w:rPr>
          <w:rFonts w:eastAsiaTheme="minorEastAsia"/>
          <w:bCs/>
          <w:spacing w:val="-20"/>
          <w:lang w:eastAsia="zh-CN" w:bidi="th-TH"/>
        </w:rPr>
        <w:t>400</w:t>
      </w:r>
      <w:r w:rsidRPr="00E21FF4">
        <w:rPr>
          <w:rFonts w:eastAsiaTheme="minorEastAsia"/>
          <w:bCs/>
          <w:spacing w:val="-20"/>
          <w:lang w:eastAsia="zh-CN"/>
        </w:rPr>
        <w:t>万吨野生动物肉，其中绝大多数供应城市地区</w:t>
      </w:r>
      <w:r w:rsidR="009E27B3" w:rsidRPr="00E21FF4">
        <w:rPr>
          <w:rFonts w:eastAsiaTheme="minorEastAsia"/>
          <w:bCs/>
          <w:spacing w:val="-20"/>
          <w:lang w:eastAsia="zh-CN"/>
        </w:rPr>
        <w:t>。</w:t>
      </w:r>
      <w:r w:rsidRPr="00807594">
        <w:rPr>
          <w:rFonts w:eastAsiaTheme="minorEastAsia"/>
          <w:snapToGrid w:val="0"/>
          <w:kern w:val="22"/>
          <w:vertAlign w:val="superscript"/>
          <w:lang w:eastAsia="ja-JP" w:bidi="th-TH"/>
        </w:rPr>
        <w:footnoteReference w:id="103"/>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lang w:eastAsia="zh-CN"/>
        </w:rPr>
        <w:t>人口数量的增加，猎获技术的发展以及兴旺的商业野生动物肉贸易的出现，导致资源开采的加剧。史无前例的猎捕率导致大量野生动物种群减少，并危及对于生态系统功能至关重要的基础物种。非法、无管制狩猎、捕获压力的增加以及生境遭受平衡的速度加快和热带森林地带转作他用，使得一些热带和亚热带国家的野生动物肉供应很有可能丧失殆尽。</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lang w:eastAsia="zh-CN"/>
        </w:rPr>
        <w:t>野生动物丧失将影响不计其数的人获得动物蛋白质和脂肪来源，并且开始逐级改变生态系统，因为过度狩猎使发挥重要生态系统职能（例如种子扩散、种子捕食、捕食物种控制）的物种都已消失。这种生态上相互作用的丧失造成生态系统一种内在的不平衡，又</w:t>
      </w:r>
      <w:r w:rsidRPr="00807594">
        <w:rPr>
          <w:rFonts w:eastAsiaTheme="minorEastAsia"/>
          <w:bCs/>
          <w:lang w:eastAsia="zh-CN"/>
        </w:rPr>
        <w:lastRenderedPageBreak/>
        <w:t>大幅减少</w:t>
      </w:r>
      <w:r w:rsidRPr="00807594">
        <w:rPr>
          <w:rFonts w:eastAsiaTheme="minorEastAsia"/>
          <w:bCs/>
          <w:spacing w:val="-20"/>
          <w:lang w:eastAsia="zh-CN"/>
        </w:rPr>
        <w:t>了生态系统功能和服务，包括制药混合物、生物控制剂、粮食资源和疾病</w:t>
      </w:r>
      <w:r w:rsidRPr="00807594">
        <w:rPr>
          <w:rFonts w:eastAsiaTheme="minorEastAsia"/>
          <w:bCs/>
          <w:lang w:eastAsia="zh-CN"/>
        </w:rPr>
        <w:t>控制。</w:t>
      </w:r>
      <w:r w:rsidRPr="00807594">
        <w:rPr>
          <w:rFonts w:eastAsiaTheme="minorEastAsia"/>
          <w:snapToGrid w:val="0"/>
          <w:kern w:val="22"/>
          <w:vertAlign w:val="superscript"/>
          <w:lang w:eastAsia="ja-JP" w:bidi="th-TH"/>
        </w:rPr>
        <w:footnoteReference w:id="104"/>
      </w:r>
      <w:r w:rsidRPr="00807594">
        <w:rPr>
          <w:rFonts w:eastAsiaTheme="minorEastAsia"/>
          <w:bCs/>
          <w:lang w:eastAsia="zh-CN"/>
        </w:rPr>
        <w:t xml:space="preserve"> </w:t>
      </w:r>
      <w:r w:rsidRPr="00807594">
        <w:rPr>
          <w:rFonts w:eastAsiaTheme="minorEastAsia"/>
          <w:bCs/>
          <w:lang w:eastAsia="zh-CN"/>
        </w:rPr>
        <w:t>此外，用于食物和医药的</w:t>
      </w:r>
      <w:r w:rsidRPr="00807594">
        <w:rPr>
          <w:rFonts w:eastAsiaTheme="minorEastAsia"/>
          <w:bCs/>
          <w:lang w:eastAsia="zh-CN" w:bidi="th-TH"/>
        </w:rPr>
        <w:t>23%</w:t>
      </w:r>
      <w:r w:rsidRPr="00807594">
        <w:rPr>
          <w:rFonts w:eastAsiaTheme="minorEastAsia"/>
          <w:bCs/>
          <w:lang w:eastAsia="zh-CN"/>
        </w:rPr>
        <w:t>到</w:t>
      </w:r>
      <w:r w:rsidRPr="00807594">
        <w:rPr>
          <w:rFonts w:eastAsiaTheme="minorEastAsia"/>
          <w:bCs/>
          <w:lang w:eastAsia="zh-CN" w:bidi="th-TH"/>
        </w:rPr>
        <w:t>36%</w:t>
      </w:r>
      <w:r w:rsidRPr="00807594">
        <w:rPr>
          <w:rFonts w:eastAsiaTheme="minorEastAsia"/>
          <w:bCs/>
          <w:lang w:eastAsia="zh-CN"/>
        </w:rPr>
        <w:t>的鸟类、哺乳类和两栖动物目前面临灭绝的危险。</w:t>
      </w:r>
      <w:r w:rsidRPr="00807594">
        <w:rPr>
          <w:rFonts w:eastAsiaTheme="minorEastAsia"/>
          <w:snapToGrid w:val="0"/>
          <w:kern w:val="22"/>
          <w:vertAlign w:val="superscript"/>
          <w:lang w:eastAsia="ja-JP" w:bidi="th-TH"/>
        </w:rPr>
        <w:footnoteReference w:id="105"/>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lang w:eastAsia="zh-CN"/>
        </w:rPr>
        <w:t>越来越多的人口和贸易从农村地区转移至城市地区，加上一些国家缺乏能够替代野生动物肉的大规模饲养动物肉部门，是狩猎程度不可持续的主要驱动因素。即使省级城镇消费者能够获得驯化动物肉源，这种肉一般也都是进口的，而且（或者）较贵，野生动物肉仍然是其食谱上的重要内容。在远离野生动物来源的大都市地区，野生动物肉不再是家庭食谱上的必备食材，但在一些传统和文化背景下，仍然是一种具有文化重要性的奢侈品，或者是偶尔烹调的消费品。</w:t>
      </w:r>
      <w:r w:rsidRPr="00807594">
        <w:rPr>
          <w:rFonts w:eastAsiaTheme="minorEastAsia"/>
          <w:bCs/>
          <w:snapToGrid w:val="0"/>
          <w:kern w:val="22"/>
          <w:lang w:eastAsia="ja-JP" w:bidi="th-TH"/>
        </w:rPr>
        <w:t xml:space="preserve"> </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lang w:eastAsia="zh-CN"/>
        </w:rPr>
        <w:t>与此同时，由于土地转为农用以便满足人口日益增加的需要（例如牛肉、大豆、棕榈油），自然资源的采掘（例如木材、采矿）以及人类住区的扩展，野生动物的生境正在减少。土地用途的转变还减少了土著人民和地方社区习惯狩猎区域的面积，给日益缩小的领地上的剩余野生动物资源造成越来越大的压力，同时还常常影响习惯狩猎法的合法性和有效性。不过，应更加注意与生计惠益、地方经济增长和适应气候变化有关的积极贡献，这些贡献能促进改善对野生动物资源的管理。</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snapToGrid w:val="0"/>
          <w:color w:val="000000"/>
          <w:kern w:val="22"/>
          <w:lang w:eastAsia="zh-CN" w:bidi="th-TH"/>
        </w:rPr>
      </w:pPr>
      <w:r w:rsidRPr="00807594">
        <w:rPr>
          <w:rFonts w:eastAsiaTheme="minorEastAsia"/>
          <w:bCs/>
          <w:lang w:eastAsia="zh-CN"/>
        </w:rPr>
        <w:t>野生动物物种的繁育和数量一般都不如驯养动物，其价值常常被低估。不过，某些情况下野生动物较牲畜具有很强的竞争力，特别是在考虑到生态旅游、狩猎、肉食等不同用途和其他生态系统惠益时。</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lang w:eastAsia="zh-CN"/>
        </w:rPr>
        <w:t>鉴于野生动物肉的不可持续的猎获被视为热带和亚热带</w:t>
      </w:r>
      <w:bookmarkStart w:id="76" w:name="_Hlk500901382"/>
      <w:r w:rsidRPr="00807594">
        <w:rPr>
          <w:rFonts w:eastAsiaTheme="minorEastAsia"/>
          <w:bCs/>
          <w:lang w:eastAsia="zh-CN"/>
        </w:rPr>
        <w:t>生态系统</w:t>
      </w:r>
      <w:bookmarkEnd w:id="76"/>
      <w:r w:rsidRPr="00807594">
        <w:rPr>
          <w:rFonts w:eastAsiaTheme="minorEastAsia"/>
          <w:bCs/>
          <w:lang w:eastAsia="zh-CN"/>
        </w:rPr>
        <w:t>和濒危物种生态的一个主要威胁，直接影响很多濒危物种以及土著人民和地方社区的生计、粮食安全和健康，迫切需要在更加综合的社会经济、文化、生态和公共健康框架内加强公共政策。</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lang w:eastAsia="zh-CN"/>
        </w:rPr>
      </w:pPr>
      <w:r w:rsidRPr="00807594">
        <w:rPr>
          <w:rFonts w:eastAsiaTheme="minorEastAsia"/>
          <w:bCs/>
          <w:lang w:eastAsia="zh-CN"/>
        </w:rPr>
        <w:t>缓解过度狩猎的影响是一项复杂问题。野生动物肉过度利用的原因有很多，不同区域之间可能各异。通常，助长对野生动物肉的需求加大并由此导致资源过度利用存在各种错综复杂的原因。这些因素可能包括提供就业机会、知识产权问题、体制结构的角色、缺乏管理资源可持续性的激励措施、移徙、作物收成不佳以及家畜食物提供、天气模式和气候变化、伐木和资源采掘、过度放牧、城市无计划扩展、自然灾害、流离失所、偷猎、非法贸易战争与冲突。为农业和工业需要改变土地用途也对野生动物的生境和野生动物的行为有重大影响。</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snapToGrid w:val="0"/>
          <w:kern w:val="22"/>
          <w:lang w:eastAsia="zh-CN" w:bidi="th-TH"/>
        </w:rPr>
      </w:pPr>
      <w:r w:rsidRPr="00807594">
        <w:rPr>
          <w:rFonts w:eastAsiaTheme="minorEastAsia"/>
          <w:bCs/>
          <w:lang w:eastAsia="zh-CN"/>
        </w:rPr>
        <w:t>动物病原体蔓延的风险依然存在。人类和野生动物之间可能会出现卫生和流行病学问题。人们对宿主生态学、动态变化和与被猎获野生动物接触的个人患病风险了解相对很少，而有足够证据说明野生动物是重要的动物病原体库，显然具有流行病这一公共健康风险。</w:t>
      </w:r>
      <w:r w:rsidRPr="00807594">
        <w:rPr>
          <w:rFonts w:eastAsiaTheme="minorEastAsia"/>
          <w:snapToGrid w:val="0"/>
          <w:kern w:val="22"/>
          <w:vertAlign w:val="superscript"/>
          <w:lang w:eastAsia="ja-JP" w:bidi="th-TH"/>
        </w:rPr>
        <w:footnoteReference w:id="106"/>
      </w:r>
      <w:r w:rsidRPr="00807594">
        <w:rPr>
          <w:rFonts w:eastAsiaTheme="minorEastAsia"/>
          <w:bCs/>
          <w:lang w:eastAsia="zh-CN"/>
        </w:rPr>
        <w:t xml:space="preserve"> </w:t>
      </w:r>
      <w:r w:rsidRPr="00807594">
        <w:rPr>
          <w:rFonts w:eastAsiaTheme="minorEastAsia"/>
          <w:bCs/>
          <w:lang w:eastAsia="zh-CN"/>
        </w:rPr>
        <w:t>某些野生动物肉物种可能将病原体传染给人类和牲畜，而食用野生动物的无管理和</w:t>
      </w:r>
      <w:r w:rsidRPr="00807594">
        <w:rPr>
          <w:rFonts w:eastAsiaTheme="minorEastAsia"/>
          <w:bCs/>
          <w:lang w:eastAsia="zh-CN"/>
        </w:rPr>
        <w:lastRenderedPageBreak/>
        <w:t>无控制屠宰和剥皮有可能专家这一风险。因此，可持续野生动物管理要取得成功，要求采用多学科办法，将农业、生物多样性、粮食安全、健康、基础设施、采矿和伐木等部门的适当政策机制结合起来。</w:t>
      </w:r>
      <w:r w:rsidRPr="00807594">
        <w:rPr>
          <w:rFonts w:eastAsiaTheme="minorEastAsia"/>
          <w:bCs/>
          <w:snapToGrid w:val="0"/>
          <w:kern w:val="22"/>
          <w:lang w:eastAsia="zh-CN" w:bidi="th-TH"/>
        </w:rPr>
        <w:t xml:space="preserve"> </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snapToGrid w:val="0"/>
          <w:kern w:val="22"/>
          <w:lang w:eastAsia="zh-CN" w:bidi="th-TH"/>
        </w:rPr>
      </w:pPr>
      <w:r w:rsidRPr="00807594">
        <w:rPr>
          <w:rFonts w:eastAsiaTheme="minorEastAsia"/>
          <w:bCs/>
          <w:lang w:eastAsia="zh-CN"/>
        </w:rPr>
        <w:t>可持续野生动物管理办法应包括：</w:t>
      </w:r>
      <w:r w:rsidRPr="00807594">
        <w:rPr>
          <w:rFonts w:eastAsiaTheme="minorEastAsia"/>
          <w:bCs/>
          <w:lang w:eastAsia="zh-CN"/>
        </w:rPr>
        <w:t>(</w:t>
      </w:r>
      <w:r w:rsidRPr="00807594">
        <w:rPr>
          <w:rFonts w:eastAsiaTheme="minorEastAsia"/>
          <w:bCs/>
          <w:lang w:eastAsia="zh-CN" w:bidi="th-TH"/>
        </w:rPr>
        <w:t xml:space="preserve">a) </w:t>
      </w:r>
      <w:r w:rsidRPr="00807594">
        <w:rPr>
          <w:rFonts w:eastAsiaTheme="minorEastAsia"/>
          <w:bCs/>
          <w:lang w:eastAsia="zh-CN" w:bidi="th-TH"/>
        </w:rPr>
        <w:t>分析</w:t>
      </w:r>
      <w:r w:rsidRPr="00807594">
        <w:rPr>
          <w:rFonts w:eastAsiaTheme="minorEastAsia"/>
          <w:bCs/>
          <w:lang w:eastAsia="zh-CN"/>
        </w:rPr>
        <w:t>国家政策；</w:t>
      </w:r>
      <w:r w:rsidRPr="00807594">
        <w:rPr>
          <w:rFonts w:eastAsiaTheme="minorEastAsia"/>
          <w:bCs/>
          <w:lang w:eastAsia="zh-CN"/>
        </w:rPr>
        <w:t>(b)</w:t>
      </w:r>
      <w:r w:rsidRPr="00807594">
        <w:rPr>
          <w:rFonts w:eastAsiaTheme="minorEastAsia"/>
          <w:bCs/>
          <w:lang w:eastAsia="zh-CN" w:bidi="th-TH"/>
        </w:rPr>
        <w:t xml:space="preserve"> </w:t>
      </w:r>
      <w:r w:rsidRPr="00807594">
        <w:rPr>
          <w:rFonts w:eastAsiaTheme="minorEastAsia"/>
          <w:bCs/>
          <w:lang w:eastAsia="zh-CN"/>
        </w:rPr>
        <w:t>完善野生动物肉物种的利用和贸易的知识和加强对所涉物种生态的了解；</w:t>
      </w:r>
      <w:r w:rsidRPr="00807594">
        <w:rPr>
          <w:rFonts w:eastAsiaTheme="minorEastAsia"/>
          <w:bCs/>
          <w:lang w:eastAsia="zh-CN"/>
        </w:rPr>
        <w:t xml:space="preserve">(c) </w:t>
      </w:r>
      <w:r w:rsidRPr="00807594">
        <w:rPr>
          <w:rFonts w:eastAsiaTheme="minorEastAsia"/>
          <w:bCs/>
          <w:lang w:eastAsia="zh-CN" w:bidi="th-TH"/>
        </w:rPr>
        <w:t xml:space="preserve"> </w:t>
      </w:r>
      <w:r w:rsidRPr="00807594">
        <w:rPr>
          <w:rFonts w:eastAsiaTheme="minorEastAsia"/>
          <w:bCs/>
          <w:lang w:eastAsia="zh-CN"/>
        </w:rPr>
        <w:t>审查和加强法律框架，以便设计激励和确保可持续管理的政策和管理框架；</w:t>
      </w:r>
      <w:r w:rsidRPr="00807594">
        <w:rPr>
          <w:rFonts w:eastAsiaTheme="minorEastAsia"/>
          <w:bCs/>
          <w:lang w:eastAsia="zh-CN"/>
        </w:rPr>
        <w:t>(d)</w:t>
      </w:r>
      <w:r w:rsidRPr="00807594">
        <w:rPr>
          <w:rFonts w:eastAsiaTheme="minorEastAsia"/>
          <w:bCs/>
          <w:lang w:eastAsia="zh-CN" w:bidi="th-TH"/>
        </w:rPr>
        <w:t xml:space="preserve"> </w:t>
      </w:r>
      <w:r w:rsidRPr="00807594">
        <w:rPr>
          <w:rFonts w:eastAsiaTheme="minorEastAsia"/>
          <w:bCs/>
          <w:lang w:eastAsia="zh-CN"/>
        </w:rPr>
        <w:t>查明提供可持续生产的粮食和维生替代办法的机会和障碍；</w:t>
      </w:r>
      <w:r w:rsidRPr="00807594">
        <w:rPr>
          <w:rFonts w:eastAsiaTheme="minorEastAsia"/>
          <w:bCs/>
          <w:lang w:eastAsia="zh-CN"/>
        </w:rPr>
        <w:t xml:space="preserve">(e) </w:t>
      </w:r>
      <w:r w:rsidRPr="00807594">
        <w:rPr>
          <w:rFonts w:eastAsiaTheme="minorEastAsia"/>
          <w:bCs/>
          <w:lang w:eastAsia="zh-CN"/>
        </w:rPr>
        <w:t>考虑土著人民和地方社区的使用和传统；</w:t>
      </w:r>
      <w:r w:rsidRPr="00807594">
        <w:rPr>
          <w:rFonts w:eastAsiaTheme="minorEastAsia"/>
          <w:bCs/>
          <w:lang w:eastAsia="zh-CN"/>
        </w:rPr>
        <w:t xml:space="preserve">(f) </w:t>
      </w:r>
      <w:r w:rsidRPr="00807594">
        <w:rPr>
          <w:rFonts w:eastAsiaTheme="minorEastAsia"/>
          <w:bCs/>
          <w:lang w:eastAsia="zh-CN"/>
        </w:rPr>
        <w:t>适当的执法能力。如能将这些办法结合起来并纳入健全的国家和区域野生动物肉战略，便有可能实现粮食用途的野生动物的更持续的利用。</w:t>
      </w:r>
    </w:p>
    <w:p w:rsidR="00807594" w:rsidRPr="00807594" w:rsidRDefault="00807594" w:rsidP="00FF4964">
      <w:pPr>
        <w:adjustRightInd w:val="0"/>
        <w:snapToGrid w:val="0"/>
        <w:ind w:firstLine="0"/>
        <w:jc w:val="center"/>
        <w:rPr>
          <w:rFonts w:eastAsiaTheme="minorEastAsia"/>
          <w:b/>
          <w:lang w:val="en-CA"/>
        </w:rPr>
      </w:pPr>
      <w:r w:rsidRPr="00807594">
        <w:rPr>
          <w:rFonts w:eastAsiaTheme="minorEastAsia"/>
          <w:b/>
          <w:lang w:val="en-CA"/>
        </w:rPr>
        <w:t>二</w:t>
      </w:r>
      <w:r w:rsidRPr="00807594">
        <w:rPr>
          <w:rFonts w:eastAsiaTheme="minorEastAsia"/>
          <w:b/>
          <w:lang w:val="en-CA"/>
        </w:rPr>
        <w:t>.</w:t>
      </w:r>
      <w:r w:rsidRPr="00807594">
        <w:rPr>
          <w:rFonts w:eastAsiaTheme="minorEastAsia"/>
          <w:b/>
          <w:lang w:val="en-CA"/>
        </w:rPr>
        <w:tab/>
      </w:r>
      <w:r w:rsidRPr="00807594">
        <w:rPr>
          <w:rFonts w:eastAsiaTheme="minorEastAsia"/>
          <w:b/>
          <w:lang w:val="en-CA"/>
        </w:rPr>
        <w:t>范围和目的</w:t>
      </w:r>
    </w:p>
    <w:p w:rsidR="00807594" w:rsidRPr="00807594" w:rsidRDefault="00807594" w:rsidP="00FF4964">
      <w:pPr>
        <w:adjustRightInd w:val="0"/>
        <w:snapToGrid w:val="0"/>
        <w:ind w:firstLine="0"/>
        <w:jc w:val="center"/>
        <w:rPr>
          <w:rFonts w:eastAsiaTheme="minorEastAsia"/>
          <w:b/>
          <w:lang w:val="en-CA"/>
        </w:rPr>
      </w:pPr>
      <w:r w:rsidRPr="00807594">
        <w:rPr>
          <w:rFonts w:eastAsiaTheme="minorEastAsia"/>
          <w:b/>
          <w:lang w:val="en-CA"/>
        </w:rPr>
        <w:t xml:space="preserve">A. </w:t>
      </w:r>
      <w:r w:rsidRPr="00807594">
        <w:rPr>
          <w:rFonts w:eastAsiaTheme="minorEastAsia"/>
          <w:b/>
          <w:lang w:val="en-CA" w:eastAsia="zh-CN"/>
        </w:rPr>
        <w:t xml:space="preserve">  </w:t>
      </w:r>
      <w:r w:rsidRPr="00807594">
        <w:rPr>
          <w:rFonts w:eastAsiaTheme="minorEastAsia"/>
          <w:b/>
          <w:lang w:val="en-CA"/>
        </w:rPr>
        <w:t>范围</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snapToGrid w:val="0"/>
          <w:kern w:val="22"/>
          <w:lang w:eastAsia="ja-JP" w:bidi="th-TH"/>
        </w:rPr>
      </w:pPr>
      <w:r w:rsidRPr="00807594">
        <w:rPr>
          <w:rFonts w:eastAsiaTheme="minorEastAsia"/>
          <w:bCs/>
          <w:lang w:eastAsia="zh-CN"/>
        </w:rPr>
        <w:t>可持续野生动物管理是指合理管理野生动物物种，以随着时间的推移维持其种群和生境，同时考虑到人口的社会经济需要。野生动物如果得到可持续管理，能够向土著人民和地方社区提供长期营养和持久收入，从而极大地促进地方生计和维护人类健康和环境健康。</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lang w:eastAsia="zh-CN"/>
        </w:rPr>
        <w:t>本</w:t>
      </w:r>
      <w:r w:rsidRPr="00807594">
        <w:rPr>
          <w:rFonts w:eastAsiaTheme="minorEastAsia"/>
          <w:bCs/>
          <w:spacing w:val="20"/>
          <w:lang w:eastAsia="zh-CN"/>
        </w:rPr>
        <w:t>指导意见的重点是野生动物肉</w:t>
      </w:r>
      <w:r w:rsidRPr="00807594">
        <w:rPr>
          <w:rFonts w:eastAsiaTheme="minorEastAsia"/>
          <w:bCs/>
          <w:spacing w:val="20"/>
          <w:lang w:eastAsia="zh-CN"/>
        </w:rPr>
        <w:t>——</w:t>
      </w:r>
      <w:r w:rsidRPr="00807594">
        <w:rPr>
          <w:rFonts w:eastAsiaTheme="minorEastAsia"/>
          <w:bCs/>
          <w:spacing w:val="20"/>
          <w:lang w:eastAsia="zh-CN"/>
        </w:rPr>
        <w:t>为本指导意见的目的，被界定为热带和亚热带生境、生物群和生态系统中被当作食物的陆地脊椎动物中的肉食</w:t>
      </w:r>
      <w:r w:rsidRPr="00807594">
        <w:rPr>
          <w:rFonts w:eastAsiaTheme="minorEastAsia"/>
          <w:bCs/>
          <w:lang w:eastAsia="zh-CN"/>
        </w:rPr>
        <w:t>。</w:t>
      </w:r>
      <w:r w:rsidRPr="00807594">
        <w:rPr>
          <w:rFonts w:eastAsiaTheme="minorEastAsia"/>
          <w:bCs/>
          <w:iCs/>
          <w:snapToGrid w:val="0"/>
          <w:color w:val="000000"/>
          <w:kern w:val="22"/>
          <w:vertAlign w:val="superscript"/>
          <w:lang w:eastAsia="ja-JP" w:bidi="th-TH"/>
        </w:rPr>
        <w:footnoteReference w:id="107"/>
      </w:r>
      <w:r w:rsidRPr="00807594">
        <w:rPr>
          <w:rFonts w:eastAsiaTheme="minorEastAsia"/>
          <w:bCs/>
          <w:lang w:eastAsia="zh-CN"/>
        </w:rPr>
        <w:t xml:space="preserve"> </w:t>
      </w:r>
      <w:r w:rsidRPr="00807594">
        <w:rPr>
          <w:rFonts w:eastAsiaTheme="minorEastAsia"/>
          <w:bCs/>
          <w:lang w:eastAsia="zh-CN"/>
        </w:rPr>
        <w:t>它很可能被视为</w:t>
      </w:r>
      <w:r w:rsidRPr="009E27B3">
        <w:rPr>
          <w:rFonts w:asciiTheme="minorEastAsia" w:eastAsiaTheme="minorEastAsia" w:hAnsiTheme="minorEastAsia"/>
          <w:snapToGrid w:val="0"/>
          <w:kern w:val="18"/>
          <w:szCs w:val="20"/>
          <w:lang w:val="en-GB" w:eastAsia="zh-CN"/>
        </w:rPr>
        <w:t>“</w:t>
      </w:r>
      <w:r w:rsidRPr="00807594">
        <w:rPr>
          <w:rFonts w:eastAsiaTheme="minorEastAsia"/>
          <w:bCs/>
          <w:lang w:eastAsia="zh-CN"/>
        </w:rPr>
        <w:t>食用森林猎物</w:t>
      </w:r>
      <w:r w:rsidRPr="009E27B3">
        <w:rPr>
          <w:rFonts w:asciiTheme="minorEastAsia" w:eastAsiaTheme="minorEastAsia" w:hAnsiTheme="minorEastAsia"/>
          <w:snapToGrid w:val="0"/>
          <w:kern w:val="18"/>
          <w:szCs w:val="20"/>
          <w:lang w:val="en-GB" w:eastAsia="zh-CN"/>
        </w:rPr>
        <w:t>”</w:t>
      </w:r>
      <w:r w:rsidRPr="00807594">
        <w:rPr>
          <w:rFonts w:eastAsiaTheme="minorEastAsia"/>
          <w:bCs/>
          <w:lang w:eastAsia="zh-CN"/>
        </w:rPr>
        <w:t>的同义词。淡水鱼和海水鱼以及在某些情况下无脊椎动物也是重要的蛋白质来源，但是不在本说明涵盖的范围内。</w:t>
      </w:r>
    </w:p>
    <w:p w:rsidR="00807594" w:rsidRPr="00807594" w:rsidRDefault="00807594" w:rsidP="00FF4964">
      <w:pPr>
        <w:tabs>
          <w:tab w:val="left" w:pos="720"/>
        </w:tabs>
        <w:adjustRightInd w:val="0"/>
        <w:snapToGrid w:val="0"/>
        <w:ind w:firstLine="0"/>
        <w:jc w:val="center"/>
        <w:rPr>
          <w:rFonts w:eastAsiaTheme="minorEastAsia"/>
          <w:b/>
          <w:lang w:val="en-CA"/>
        </w:rPr>
      </w:pPr>
      <w:r w:rsidRPr="00807594">
        <w:rPr>
          <w:rFonts w:eastAsiaTheme="minorEastAsia"/>
          <w:b/>
          <w:lang w:val="en-CA"/>
        </w:rPr>
        <w:t xml:space="preserve">B. </w:t>
      </w:r>
      <w:r w:rsidRPr="00807594">
        <w:rPr>
          <w:rFonts w:eastAsiaTheme="minorEastAsia"/>
          <w:b/>
          <w:lang w:val="en-CA" w:eastAsia="zh-CN"/>
        </w:rPr>
        <w:t xml:space="preserve"> </w:t>
      </w:r>
      <w:r w:rsidR="00FF4964">
        <w:rPr>
          <w:rFonts w:eastAsiaTheme="minorEastAsia"/>
          <w:b/>
          <w:lang w:val="en-CA" w:eastAsia="zh-CN"/>
        </w:rPr>
        <w:t xml:space="preserve"> </w:t>
      </w:r>
      <w:r w:rsidRPr="00807594">
        <w:rPr>
          <w:rFonts w:eastAsiaTheme="minorEastAsia"/>
          <w:b/>
          <w:lang w:val="en-CA"/>
        </w:rPr>
        <w:t>目标和目的</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snapToGrid w:val="0"/>
          <w:kern w:val="22"/>
          <w:lang w:eastAsia="ja-JP" w:bidi="th-TH"/>
        </w:rPr>
      </w:pPr>
      <w:r w:rsidRPr="00807594">
        <w:rPr>
          <w:rFonts w:eastAsiaTheme="minorEastAsia"/>
          <w:bCs/>
          <w:lang w:eastAsia="zh-CN"/>
        </w:rPr>
        <w:t>本指导意见提供旨在加强对热带和亚热带的可持续性、参与性和包容性野生动物肉部门治理的技术性指导。其中提出的针对农村、城市和国际环境的各种干预措施，为的是帮助减少生物多样性丧失，特别是用作食物的野生物种的生物多样性，并为了人类福祉而改善对野生动物肉的可持续利用。</w:t>
      </w:r>
    </w:p>
    <w:p w:rsidR="00807594" w:rsidRPr="00807594" w:rsidRDefault="00807594" w:rsidP="00E21FF4">
      <w:pPr>
        <w:pStyle w:val="ListParagraph"/>
        <w:widowControl w:val="0"/>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lang w:eastAsia="zh-CN"/>
        </w:rPr>
        <w:t>本指导意见的总目标是促进制定综合性政策措施，纳入旨在增强野生动物资源可持续性的行动并将其列为优先事项，以及进一步执行《</w:t>
      </w:r>
      <w:r w:rsidRPr="00807594">
        <w:rPr>
          <w:rFonts w:eastAsiaTheme="minorEastAsia"/>
          <w:bCs/>
          <w:lang w:eastAsia="zh-CN"/>
        </w:rPr>
        <w:t>2011-2020</w:t>
      </w:r>
      <w:r w:rsidRPr="00807594">
        <w:rPr>
          <w:rFonts w:eastAsiaTheme="minorEastAsia"/>
          <w:bCs/>
          <w:lang w:eastAsia="zh-CN" w:bidi="th-TH"/>
        </w:rPr>
        <w:t>年生物多样性战略计划》</w:t>
      </w:r>
      <w:r w:rsidRPr="00807594">
        <w:rPr>
          <w:rFonts w:eastAsiaTheme="minorEastAsia"/>
          <w:bCs/>
          <w:lang w:eastAsia="zh-CN"/>
        </w:rPr>
        <w:t>，</w:t>
      </w:r>
      <w:r w:rsidRPr="00807594">
        <w:rPr>
          <w:rFonts w:eastAsiaTheme="minorEastAsia"/>
          <w:bCs/>
          <w:lang w:eastAsia="zh-CN"/>
        </w:rPr>
        <w:lastRenderedPageBreak/>
        <w:t>特别是《爱知生物多样性指标》</w:t>
      </w:r>
      <w:r w:rsidRPr="00807594">
        <w:rPr>
          <w:rFonts w:eastAsiaTheme="minorEastAsia"/>
          <w:bCs/>
          <w:lang w:eastAsia="zh-CN" w:bidi="th-TH"/>
        </w:rPr>
        <w:t>4</w:t>
      </w:r>
      <w:r w:rsidRPr="00807594">
        <w:rPr>
          <w:rFonts w:eastAsiaTheme="minorEastAsia"/>
          <w:bCs/>
          <w:lang w:eastAsia="zh-CN"/>
        </w:rPr>
        <w:t>、</w:t>
      </w:r>
      <w:r w:rsidRPr="00807594">
        <w:rPr>
          <w:rFonts w:eastAsiaTheme="minorEastAsia"/>
          <w:bCs/>
          <w:lang w:eastAsia="zh-CN" w:bidi="th-TH"/>
        </w:rPr>
        <w:t>7</w:t>
      </w:r>
      <w:r w:rsidRPr="00807594">
        <w:rPr>
          <w:rFonts w:eastAsiaTheme="minorEastAsia"/>
          <w:bCs/>
          <w:lang w:eastAsia="zh-CN"/>
        </w:rPr>
        <w:t>、</w:t>
      </w:r>
      <w:r w:rsidRPr="00807594">
        <w:rPr>
          <w:rFonts w:eastAsiaTheme="minorEastAsia"/>
          <w:bCs/>
          <w:lang w:eastAsia="zh-CN" w:bidi="th-TH"/>
        </w:rPr>
        <w:t>12</w:t>
      </w:r>
      <w:r w:rsidRPr="00807594">
        <w:rPr>
          <w:rFonts w:eastAsiaTheme="minorEastAsia"/>
          <w:bCs/>
          <w:lang w:eastAsia="zh-CN"/>
        </w:rPr>
        <w:t>和</w:t>
      </w:r>
      <w:r w:rsidRPr="00807594">
        <w:rPr>
          <w:rFonts w:eastAsiaTheme="minorEastAsia"/>
          <w:bCs/>
          <w:snapToGrid w:val="0"/>
          <w:kern w:val="22"/>
          <w:lang w:eastAsia="ja-JP" w:bidi="th-TH"/>
        </w:rPr>
        <w:t>18</w:t>
      </w:r>
      <w:r w:rsidRPr="00807594">
        <w:rPr>
          <w:rFonts w:eastAsiaTheme="minorEastAsia"/>
          <w:bCs/>
          <w:lang w:eastAsia="zh-CN"/>
        </w:rPr>
        <w:t>。</w:t>
      </w:r>
      <w:r w:rsidRPr="00807594">
        <w:rPr>
          <w:rFonts w:eastAsiaTheme="minorEastAsia"/>
          <w:bCs/>
          <w:snapToGrid w:val="0"/>
          <w:kern w:val="22"/>
          <w:vertAlign w:val="superscript"/>
          <w:lang w:eastAsia="ja-JP" w:bidi="th-TH"/>
        </w:rPr>
        <w:footnoteReference w:id="108"/>
      </w:r>
    </w:p>
    <w:p w:rsidR="00807594" w:rsidRPr="00807594" w:rsidRDefault="00807594" w:rsidP="0069685F">
      <w:pPr>
        <w:pStyle w:val="ListParagraph"/>
        <w:widowControl w:val="0"/>
        <w:numPr>
          <w:ilvl w:val="0"/>
          <w:numId w:val="98"/>
        </w:numPr>
        <w:suppressLineNumbers/>
        <w:suppressAutoHyphens/>
        <w:adjustRightInd w:val="0"/>
        <w:snapToGrid w:val="0"/>
        <w:ind w:left="0" w:firstLine="0"/>
        <w:rPr>
          <w:rFonts w:eastAsiaTheme="minorEastAsia"/>
          <w:bCs/>
          <w:snapToGrid w:val="0"/>
          <w:kern w:val="22"/>
          <w:lang w:eastAsia="ja-JP" w:bidi="th-TH"/>
        </w:rPr>
      </w:pPr>
      <w:r w:rsidRPr="00807594">
        <w:rPr>
          <w:rFonts w:eastAsiaTheme="minorEastAsia"/>
          <w:bCs/>
          <w:lang w:eastAsia="zh-CN"/>
        </w:rPr>
        <w:t>本指导意见所载的信息有助于实现《生物多样性公约》</w:t>
      </w:r>
      <w:r w:rsidRPr="00807594">
        <w:rPr>
          <w:rFonts w:eastAsiaTheme="minorEastAsia"/>
          <w:bCs/>
          <w:vertAlign w:val="superscript"/>
        </w:rPr>
        <w:footnoteReference w:id="109"/>
      </w:r>
      <w:r w:rsidRPr="00807594">
        <w:rPr>
          <w:rFonts w:eastAsiaTheme="minorEastAsia"/>
          <w:bCs/>
          <w:lang w:eastAsia="zh-CN"/>
        </w:rPr>
        <w:t xml:space="preserve"> </w:t>
      </w:r>
      <w:r w:rsidRPr="00807594">
        <w:rPr>
          <w:rFonts w:eastAsiaTheme="minorEastAsia"/>
          <w:bCs/>
          <w:lang w:eastAsia="zh-CN"/>
        </w:rPr>
        <w:t>及其他公约下的目标和承诺，包括《养护野生动物移栖物种公约》、《濒危野生动植物种国际贸易公约》和《</w:t>
      </w:r>
      <w:r w:rsidRPr="00807594">
        <w:rPr>
          <w:rFonts w:eastAsiaTheme="minorEastAsia"/>
          <w:bCs/>
          <w:lang w:eastAsia="zh-CN" w:bidi="th-TH"/>
        </w:rPr>
        <w:t>2030</w:t>
      </w:r>
      <w:r w:rsidRPr="00807594">
        <w:rPr>
          <w:rFonts w:eastAsiaTheme="minorEastAsia"/>
          <w:bCs/>
          <w:lang w:eastAsia="zh-CN"/>
        </w:rPr>
        <w:t>年可持续发展议程》。</w:t>
      </w:r>
      <w:r w:rsidRPr="00807594">
        <w:rPr>
          <w:rFonts w:eastAsiaTheme="minorEastAsia"/>
          <w:bCs/>
          <w:vertAlign w:val="superscript"/>
        </w:rPr>
        <w:footnoteReference w:id="110"/>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snapToGrid w:val="0"/>
          <w:kern w:val="22"/>
          <w:lang w:eastAsia="ja-JP" w:bidi="th-TH"/>
        </w:rPr>
      </w:pPr>
      <w:r w:rsidRPr="00807594">
        <w:rPr>
          <w:rFonts w:eastAsiaTheme="minorEastAsia"/>
          <w:bCs/>
          <w:lang w:eastAsia="zh-CN"/>
        </w:rPr>
        <w:t>尽管短期内可采取本指导意见中建议的各类行动，但可持续的野生动物管理涉及中长期的持久活动。因此，本指导意见中确认的行动应在《生物多样性战略计划</w:t>
      </w:r>
      <w:r w:rsidRPr="00807594">
        <w:rPr>
          <w:rFonts w:eastAsiaTheme="minorEastAsia"/>
          <w:bCs/>
          <w:lang w:eastAsia="zh-CN"/>
        </w:rPr>
        <w:t>2050</w:t>
      </w:r>
      <w:r w:rsidRPr="00807594">
        <w:rPr>
          <w:rFonts w:eastAsiaTheme="minorEastAsia"/>
          <w:bCs/>
          <w:lang w:eastAsia="zh-CN"/>
        </w:rPr>
        <w:t>年愿景》和《</w:t>
      </w:r>
      <w:r w:rsidRPr="00807594">
        <w:rPr>
          <w:rFonts w:eastAsiaTheme="minorEastAsia"/>
          <w:bCs/>
          <w:lang w:eastAsia="zh-CN"/>
        </w:rPr>
        <w:t>2030</w:t>
      </w:r>
      <w:r w:rsidRPr="00807594">
        <w:rPr>
          <w:rFonts w:eastAsiaTheme="minorEastAsia"/>
          <w:bCs/>
          <w:lang w:eastAsia="zh-CN"/>
        </w:rPr>
        <w:t>年可持续发展议程》背景下开展。</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lang w:eastAsia="zh-CN"/>
        </w:rPr>
        <w:t>更具体而言，本指导意见旨在支持各缔约方以及相关组织和倡议促进、实施和加快综合行动的工作的指导意见，目的是：</w:t>
      </w:r>
    </w:p>
    <w:p w:rsidR="00807594" w:rsidRPr="00807594" w:rsidRDefault="00807594" w:rsidP="0069685F">
      <w:pPr>
        <w:numPr>
          <w:ilvl w:val="0"/>
          <w:numId w:val="90"/>
        </w:numPr>
        <w:suppressLineNumbers/>
        <w:suppressAutoHyphens/>
        <w:adjustRightInd w:val="0"/>
        <w:snapToGrid w:val="0"/>
        <w:ind w:left="1440" w:hanging="720"/>
        <w:rPr>
          <w:rFonts w:eastAsiaTheme="minorEastAsia"/>
          <w:bCs/>
          <w:iCs/>
          <w:snapToGrid w:val="0"/>
          <w:color w:val="000000"/>
          <w:kern w:val="22"/>
          <w:lang w:val="en-CA" w:eastAsia="ja-JP" w:bidi="th-TH"/>
        </w:rPr>
      </w:pPr>
      <w:r w:rsidRPr="00807594">
        <w:rPr>
          <w:rFonts w:eastAsiaTheme="minorEastAsia"/>
          <w:lang w:val="en-CA" w:eastAsia="zh-CN"/>
        </w:rPr>
        <w:t>确保野生动物肉供应从来源得到可持续的合法管理；</w:t>
      </w:r>
    </w:p>
    <w:p w:rsidR="00807594" w:rsidRPr="00807594" w:rsidRDefault="00807594" w:rsidP="0069685F">
      <w:pPr>
        <w:numPr>
          <w:ilvl w:val="0"/>
          <w:numId w:val="90"/>
        </w:numPr>
        <w:suppressLineNumbers/>
        <w:suppressAutoHyphens/>
        <w:adjustRightInd w:val="0"/>
        <w:snapToGrid w:val="0"/>
        <w:ind w:left="1440" w:hanging="720"/>
        <w:rPr>
          <w:rFonts w:eastAsiaTheme="minorEastAsia"/>
          <w:bCs/>
          <w:iCs/>
          <w:snapToGrid w:val="0"/>
          <w:color w:val="000000"/>
          <w:kern w:val="22"/>
          <w:lang w:val="en-CA" w:eastAsia="ja-JP" w:bidi="th-TH"/>
        </w:rPr>
      </w:pPr>
      <w:r w:rsidRPr="00807594">
        <w:rPr>
          <w:rFonts w:eastAsiaTheme="minorEastAsia"/>
          <w:lang w:val="en-CA" w:eastAsia="zh-CN"/>
        </w:rPr>
        <w:t>减少城镇对不可持续管理和（或）非法野生动物肉的需求；</w:t>
      </w:r>
    </w:p>
    <w:p w:rsidR="00807594" w:rsidRPr="00807594" w:rsidRDefault="00807594" w:rsidP="0069685F">
      <w:pPr>
        <w:numPr>
          <w:ilvl w:val="0"/>
          <w:numId w:val="90"/>
        </w:numPr>
        <w:suppressLineNumbers/>
        <w:suppressAutoHyphens/>
        <w:adjustRightInd w:val="0"/>
        <w:snapToGrid w:val="0"/>
        <w:ind w:left="1440" w:hanging="720"/>
        <w:rPr>
          <w:rFonts w:eastAsiaTheme="minorEastAsia"/>
          <w:bCs/>
          <w:iCs/>
          <w:snapToGrid w:val="0"/>
          <w:color w:val="000000"/>
          <w:kern w:val="22"/>
          <w:lang w:val="en-CA" w:eastAsia="ja-JP" w:bidi="th-TH"/>
        </w:rPr>
      </w:pPr>
      <w:r w:rsidRPr="00807594">
        <w:rPr>
          <w:rFonts w:eastAsiaTheme="minorEastAsia"/>
          <w:lang w:val="en-CA" w:eastAsia="zh-CN"/>
        </w:rPr>
        <w:t>创造野生动物肉可持续管理的有利环境。</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snapToGrid w:val="0"/>
          <w:kern w:val="22"/>
          <w:lang w:eastAsia="ja-JP" w:bidi="th-TH"/>
        </w:rPr>
      </w:pPr>
      <w:r w:rsidRPr="00807594">
        <w:rPr>
          <w:rFonts w:eastAsiaTheme="minorEastAsia"/>
          <w:bCs/>
          <w:lang w:eastAsia="zh-CN"/>
        </w:rPr>
        <w:t>本说明的技术指导意见可供各部委、决策者以及国家一级的规划和执行机构使用。由于该问题的复杂性及其许多跨部门性问题，本说明提出了实现野生动物肉的可持续利用可适用的联合办法。其中所载的信息支持就森林、农业、自然资源、兽医、公共健康、财政、农村发展和法律部门的可持续野生动物管理开展持续对话、学习和方法交流。</w:t>
      </w:r>
    </w:p>
    <w:p w:rsidR="00807594" w:rsidRPr="00807594" w:rsidRDefault="00807594" w:rsidP="00807594">
      <w:pPr>
        <w:tabs>
          <w:tab w:val="left" w:pos="720"/>
        </w:tabs>
        <w:adjustRightInd w:val="0"/>
        <w:snapToGrid w:val="0"/>
        <w:jc w:val="center"/>
        <w:rPr>
          <w:rFonts w:eastAsiaTheme="minorEastAsia"/>
          <w:b/>
          <w:lang w:val="en-CA" w:eastAsia="zh-CN"/>
        </w:rPr>
      </w:pPr>
      <w:r w:rsidRPr="00807594">
        <w:rPr>
          <w:rFonts w:eastAsiaTheme="minorEastAsia"/>
          <w:b/>
          <w:lang w:val="en-CA" w:eastAsia="zh-CN"/>
        </w:rPr>
        <w:t>三</w:t>
      </w:r>
      <w:r w:rsidRPr="00807594">
        <w:rPr>
          <w:rFonts w:eastAsiaTheme="minorEastAsia"/>
          <w:b/>
          <w:lang w:val="en-CA" w:eastAsia="zh-CN"/>
        </w:rPr>
        <w:t xml:space="preserve">.  </w:t>
      </w:r>
      <w:r w:rsidRPr="00807594">
        <w:rPr>
          <w:rFonts w:eastAsiaTheme="minorEastAsia"/>
          <w:b/>
          <w:lang w:val="en-CA" w:eastAsia="zh-CN"/>
        </w:rPr>
        <w:t>关于实现可持续野生动物肉部门的技术指导意见</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
          <w:lang w:val="en-GB" w:eastAsia="zh-CN"/>
        </w:rPr>
      </w:pPr>
      <w:r w:rsidRPr="00807594">
        <w:rPr>
          <w:rFonts w:eastAsiaTheme="minorEastAsia"/>
          <w:bCs/>
          <w:lang w:eastAsia="zh-CN"/>
        </w:rPr>
        <w:t>指导意见包含一套实现可持续的野生动物肉部门的综合建议，其重点是：如何与行为者合作以改善供应的可持续性（</w:t>
      </w:r>
      <w:r w:rsidRPr="00807594">
        <w:rPr>
          <w:rFonts w:eastAsiaTheme="minorEastAsia"/>
          <w:bCs/>
          <w:lang w:eastAsia="zh-CN" w:bidi="th-TH"/>
        </w:rPr>
        <w:t>A</w:t>
      </w:r>
      <w:r w:rsidRPr="00807594">
        <w:rPr>
          <w:rFonts w:eastAsiaTheme="minorEastAsia"/>
          <w:bCs/>
          <w:lang w:eastAsia="zh-CN" w:bidi="th-TH"/>
        </w:rPr>
        <w:t>分</w:t>
      </w:r>
      <w:r w:rsidRPr="00807594">
        <w:rPr>
          <w:rFonts w:eastAsiaTheme="minorEastAsia"/>
          <w:bCs/>
          <w:lang w:eastAsia="zh-CN"/>
        </w:rPr>
        <w:t>节）；如何减少整个价值链</w:t>
      </w:r>
      <w:bookmarkStart w:id="77" w:name="_Hlk500907960"/>
      <w:r w:rsidRPr="00807594">
        <w:rPr>
          <w:rFonts w:eastAsiaTheme="minorEastAsia"/>
          <w:bCs/>
          <w:lang w:eastAsia="zh-CN"/>
        </w:rPr>
        <w:t>对可持续的野生动物肉的管理的需求</w:t>
      </w:r>
      <w:bookmarkEnd w:id="77"/>
      <w:r w:rsidRPr="00807594">
        <w:rPr>
          <w:rFonts w:eastAsiaTheme="minorEastAsia"/>
          <w:bCs/>
          <w:lang w:eastAsia="zh-CN"/>
        </w:rPr>
        <w:t>（</w:t>
      </w:r>
      <w:r w:rsidRPr="00807594">
        <w:rPr>
          <w:rFonts w:eastAsiaTheme="minorEastAsia"/>
          <w:bCs/>
          <w:lang w:eastAsia="zh-CN" w:bidi="th-TH"/>
        </w:rPr>
        <w:t>B</w:t>
      </w:r>
      <w:r w:rsidRPr="00807594">
        <w:rPr>
          <w:rFonts w:eastAsiaTheme="minorEastAsia"/>
          <w:bCs/>
          <w:lang w:eastAsia="zh-CN" w:bidi="th-TH"/>
        </w:rPr>
        <w:t>分</w:t>
      </w:r>
      <w:r w:rsidRPr="00807594">
        <w:rPr>
          <w:rFonts w:eastAsiaTheme="minorEastAsia"/>
          <w:bCs/>
          <w:lang w:eastAsia="zh-CN"/>
        </w:rPr>
        <w:t>节）；以及如何对野生动物肉实行法律、监管下的可持续管理创造有利条件（</w:t>
      </w:r>
      <w:r w:rsidRPr="00807594">
        <w:rPr>
          <w:rFonts w:eastAsiaTheme="minorEastAsia"/>
          <w:bCs/>
          <w:lang w:eastAsia="zh-CN" w:bidi="th-TH"/>
        </w:rPr>
        <w:t>C</w:t>
      </w:r>
      <w:r w:rsidRPr="00807594">
        <w:rPr>
          <w:rFonts w:eastAsiaTheme="minorEastAsia"/>
          <w:bCs/>
          <w:lang w:eastAsia="zh-CN" w:bidi="th-TH"/>
        </w:rPr>
        <w:t>分</w:t>
      </w:r>
      <w:r w:rsidRPr="00807594">
        <w:rPr>
          <w:rFonts w:eastAsiaTheme="minorEastAsia"/>
          <w:bCs/>
          <w:lang w:eastAsia="zh-CN"/>
        </w:rPr>
        <w:t>节）</w:t>
      </w:r>
      <w:r w:rsidRPr="00807594">
        <w:rPr>
          <w:rFonts w:eastAsiaTheme="minorEastAsia"/>
          <w:bCs/>
          <w:color w:val="212121"/>
          <w:shd w:val="clear" w:color="auto" w:fill="FFFFFF"/>
          <w:lang w:eastAsia="zh-CN"/>
        </w:rPr>
        <w:t>。</w:t>
      </w:r>
      <w:r w:rsidRPr="00807594">
        <w:rPr>
          <w:rFonts w:eastAsiaTheme="minorEastAsia"/>
          <w:bCs/>
          <w:lang w:eastAsia="zh-CN"/>
        </w:rPr>
        <w:t>指导意见还提出了缔约方和其他国家政府与相关组织协作，以第</w:t>
      </w:r>
      <w:r w:rsidRPr="00807594">
        <w:rPr>
          <w:rFonts w:eastAsiaTheme="minorEastAsia"/>
          <w:bCs/>
          <w:lang w:eastAsia="zh-CN" w:bidi="th-TH"/>
        </w:rPr>
        <w:t>XI/25</w:t>
      </w:r>
      <w:r w:rsidRPr="00807594">
        <w:rPr>
          <w:rFonts w:eastAsiaTheme="minorEastAsia"/>
          <w:bCs/>
          <w:lang w:eastAsia="zh-CN"/>
        </w:rPr>
        <w:t>号决定为基础并根据国家法律、国情和优先事项可采取的步骤和办法。</w:t>
      </w:r>
    </w:p>
    <w:p w:rsidR="00807594" w:rsidRPr="00807594" w:rsidRDefault="00807594" w:rsidP="00807594">
      <w:pPr>
        <w:rPr>
          <w:rFonts w:eastAsiaTheme="minorEastAsia"/>
          <w:b/>
          <w:lang w:val="en-CA" w:eastAsia="zh-CN"/>
        </w:rPr>
      </w:pPr>
      <w:r w:rsidRPr="00807594">
        <w:rPr>
          <w:rFonts w:eastAsiaTheme="minorEastAsia"/>
          <w:b/>
          <w:lang w:val="en-CA" w:eastAsia="zh-CN"/>
        </w:rPr>
        <w:br w:type="page"/>
      </w:r>
    </w:p>
    <w:p w:rsidR="00807594" w:rsidRPr="00807594" w:rsidRDefault="00807594" w:rsidP="0069685F">
      <w:pPr>
        <w:numPr>
          <w:ilvl w:val="0"/>
          <w:numId w:val="95"/>
        </w:numPr>
        <w:tabs>
          <w:tab w:val="left" w:pos="720"/>
        </w:tabs>
        <w:adjustRightInd w:val="0"/>
        <w:snapToGrid w:val="0"/>
        <w:jc w:val="center"/>
        <w:rPr>
          <w:rFonts w:eastAsiaTheme="minorEastAsia"/>
          <w:b/>
          <w:lang w:val="en-CA" w:eastAsia="zh-CN"/>
        </w:rPr>
      </w:pPr>
      <w:r w:rsidRPr="00807594">
        <w:rPr>
          <w:rFonts w:eastAsiaTheme="minorEastAsia"/>
          <w:b/>
          <w:lang w:val="en-CA" w:eastAsia="zh-CN"/>
        </w:rPr>
        <w:lastRenderedPageBreak/>
        <w:t xml:space="preserve"> </w:t>
      </w:r>
      <w:r w:rsidRPr="00807594">
        <w:rPr>
          <w:rFonts w:eastAsiaTheme="minorEastAsia"/>
          <w:b/>
          <w:lang w:val="en-CA" w:eastAsia="zh-CN"/>
        </w:rPr>
        <w:t>从源头管理和改善野生动物肉供应的可持续性</w:t>
      </w:r>
    </w:p>
    <w:p w:rsidR="00807594" w:rsidRPr="00807594" w:rsidRDefault="00807594" w:rsidP="0069685F">
      <w:pPr>
        <w:pStyle w:val="ListParagraph"/>
        <w:widowControl w:val="0"/>
        <w:numPr>
          <w:ilvl w:val="0"/>
          <w:numId w:val="98"/>
        </w:numPr>
        <w:suppressLineNumbers/>
        <w:suppressAutoHyphens/>
        <w:adjustRightInd w:val="0"/>
        <w:snapToGrid w:val="0"/>
        <w:ind w:left="0" w:firstLine="0"/>
        <w:rPr>
          <w:rFonts w:eastAsiaTheme="minorEastAsia"/>
          <w:bCs/>
          <w:snapToGrid w:val="0"/>
          <w:kern w:val="22"/>
          <w:lang w:eastAsia="zh-CN" w:bidi="th-TH"/>
        </w:rPr>
      </w:pPr>
      <w:r w:rsidRPr="00807594">
        <w:rPr>
          <w:rFonts w:eastAsiaTheme="minorEastAsia"/>
          <w:bCs/>
          <w:lang w:eastAsia="zh-CN"/>
        </w:rPr>
        <w:t>共用土地上的狩猎常常由当地以及通常非正规的规则治理，这些规则决定什么人可以狩猎以及在何处狩猎。执行这些规则常常带来挑战，因为没有赋予当地领导人对外来狩猎者进入其土地进行管控的权力，狩猎者失去其合法狩猎或参与野生动物管理的权利，或地方社区的社会结构由于几种外来历史因素（例如殖民主义、输入移民）的侵蚀。在这种情况下，个别狩猎者（地方社区内以及外来的）往往与其他狩猎者为了这一有限资源进行竞争。这种竞争有可能促进以尽可能快的速度猎获野生物种，从而让当地的物种趋于灭绝。因此，管理食用目的地野生动物的规则必须承认维生目的的狩猎权，规定对野生动物进行管理以及确定哪些活动为合法或非法。被动反应性执法是这种规则的一个组成部分。从程序上说，需要采取包括土著人民和地方社区的参与的双向协商的参与进程。</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snapToGrid w:val="0"/>
          <w:kern w:val="22"/>
          <w:lang w:eastAsia="zh-CN" w:bidi="th-TH"/>
        </w:rPr>
      </w:pPr>
      <w:r w:rsidRPr="00807594">
        <w:rPr>
          <w:rFonts w:eastAsiaTheme="minorEastAsia"/>
          <w:bCs/>
          <w:snapToGrid w:val="0"/>
          <w:kern w:val="22"/>
          <w:lang w:eastAsia="zh-CN" w:bidi="th-TH"/>
        </w:rPr>
        <w:t>有人建议并测试了在社区一级管理野生动物资源的几种模式。这些模式是作为可能采取方法的示例，但可能并不适用于所有国家或地区。一般来说，这些模式代表社区与国家和（或）参与伐木和采矿等采掘业的私营部门实体之间的共同管理模式。社区与国家和（或）私人公司之间的共同管理模式包括：</w:t>
      </w:r>
    </w:p>
    <w:p w:rsidR="00807594" w:rsidRPr="00807594" w:rsidRDefault="00807594" w:rsidP="0069685F">
      <w:pPr>
        <w:numPr>
          <w:ilvl w:val="0"/>
          <w:numId w:val="91"/>
        </w:numPr>
        <w:suppressLineNumbers/>
        <w:tabs>
          <w:tab w:val="left" w:pos="1440"/>
        </w:tabs>
        <w:suppressAutoHyphens/>
        <w:adjustRightInd w:val="0"/>
        <w:snapToGrid w:val="0"/>
        <w:ind w:left="0" w:firstLine="720"/>
        <w:rPr>
          <w:rFonts w:eastAsiaTheme="minorEastAsia"/>
          <w:bCs/>
          <w:iCs/>
          <w:snapToGrid w:val="0"/>
          <w:color w:val="000000"/>
          <w:kern w:val="22"/>
          <w:lang w:val="en-CA" w:eastAsia="ja-JP" w:bidi="th-TH"/>
        </w:rPr>
      </w:pPr>
      <w:r w:rsidRPr="00807594">
        <w:rPr>
          <w:rFonts w:eastAsiaTheme="minorEastAsia"/>
          <w:bCs/>
          <w:iCs/>
          <w:snapToGrid w:val="0"/>
          <w:color w:val="000000"/>
          <w:kern w:val="22"/>
          <w:lang w:val="en-CA" w:eastAsia="zh-CN" w:bidi="th-TH"/>
        </w:rPr>
        <w:t>社区狩猎区，可用于监管与住区或工业特许区接壤的保护区的狩猎。允许社区成员在划定的狩猎区内狩猎，通常使用配额制和狩猎区与保护区轮换制，以便让野生动物重新繁衍。采掘特许权所有者和基础设施开发商也可以为工人提供替代的动物蛋白源，例如可持续提供和</w:t>
      </w:r>
      <w:r w:rsidRPr="00807594">
        <w:rPr>
          <w:rFonts w:eastAsiaTheme="minorEastAsia"/>
          <w:bCs/>
          <w:iCs/>
          <w:snapToGrid w:val="0"/>
          <w:color w:val="000000"/>
          <w:kern w:val="22"/>
          <w:lang w:val="en-CA" w:eastAsia="zh-CN" w:bidi="th-TH"/>
        </w:rPr>
        <w:t>/</w:t>
      </w:r>
      <w:r w:rsidRPr="00807594">
        <w:rPr>
          <w:rFonts w:eastAsiaTheme="minorEastAsia"/>
          <w:bCs/>
          <w:iCs/>
          <w:snapToGrid w:val="0"/>
          <w:color w:val="000000"/>
          <w:kern w:val="22"/>
          <w:lang w:val="en-CA" w:eastAsia="zh-CN" w:bidi="th-TH"/>
        </w:rPr>
        <w:t>或饲养的鸡或鱼，以便代替所用的野生动物肉，而当前或预计对野生动物肉的需求水平已超过其繁殖能力；</w:t>
      </w:r>
    </w:p>
    <w:p w:rsidR="00807594" w:rsidRPr="00807594" w:rsidRDefault="00807594" w:rsidP="0069685F">
      <w:pPr>
        <w:numPr>
          <w:ilvl w:val="0"/>
          <w:numId w:val="91"/>
        </w:numPr>
        <w:suppressLineNumbers/>
        <w:tabs>
          <w:tab w:val="left" w:pos="1440"/>
        </w:tabs>
        <w:suppressAutoHyphens/>
        <w:adjustRightInd w:val="0"/>
        <w:snapToGrid w:val="0"/>
        <w:ind w:left="0" w:firstLine="720"/>
        <w:rPr>
          <w:rFonts w:eastAsiaTheme="minorEastAsia"/>
          <w:bCs/>
          <w:iCs/>
          <w:snapToGrid w:val="0"/>
          <w:color w:val="000000"/>
          <w:kern w:val="22"/>
          <w:lang w:val="en-CA" w:eastAsia="ja-JP" w:bidi="th-TH"/>
        </w:rPr>
      </w:pPr>
      <w:r w:rsidRPr="00807594">
        <w:rPr>
          <w:rFonts w:eastAsiaTheme="minorEastAsia"/>
          <w:bCs/>
          <w:iCs/>
          <w:snapToGrid w:val="0"/>
          <w:color w:val="000000"/>
          <w:kern w:val="22"/>
          <w:lang w:val="en-CA" w:eastAsia="ja-JP" w:bidi="th-TH"/>
        </w:rPr>
        <w:t>社区</w:t>
      </w:r>
      <w:r w:rsidRPr="00807594">
        <w:rPr>
          <w:rFonts w:eastAsiaTheme="minorEastAsia"/>
          <w:bCs/>
          <w:iCs/>
          <w:snapToGrid w:val="0"/>
          <w:color w:val="000000"/>
          <w:kern w:val="22"/>
          <w:lang w:val="en-CA" w:eastAsia="zh-CN" w:bidi="th-TH"/>
        </w:rPr>
        <w:t>保护协会。国家根据每年的狩猎活动次数确定狩猎配额。保护协会由社区来管理，他们有权依照国家法律建立旅游企业并拍卖大型狩猎活动</w:t>
      </w:r>
      <w:r w:rsidRPr="00807594">
        <w:rPr>
          <w:rFonts w:eastAsiaTheme="minorEastAsia"/>
          <w:bCs/>
          <w:iCs/>
          <w:snapToGrid w:val="0"/>
          <w:color w:val="000000"/>
          <w:spacing w:val="10"/>
          <w:kern w:val="22"/>
          <w:lang w:val="en-CA" w:eastAsia="zh-CN" w:bidi="th-TH"/>
        </w:rPr>
        <w:t>许可证。保护协会得到执法机构的支持，警方根据保护协会的情报抓捕和逮捕偷猎者；</w:t>
      </w:r>
      <w:r w:rsidRPr="00807594">
        <w:rPr>
          <w:rFonts w:eastAsiaTheme="minorEastAsia"/>
          <w:bCs/>
          <w:iCs/>
          <w:snapToGrid w:val="0"/>
          <w:color w:val="000000"/>
          <w:kern w:val="22"/>
          <w:lang w:val="en-CA" w:eastAsia="zh-CN" w:bidi="th-TH"/>
        </w:rPr>
        <w:t xml:space="preserve"> </w:t>
      </w:r>
    </w:p>
    <w:p w:rsidR="00807594" w:rsidRPr="00807594" w:rsidRDefault="00807594" w:rsidP="0069685F">
      <w:pPr>
        <w:numPr>
          <w:ilvl w:val="0"/>
          <w:numId w:val="91"/>
        </w:numPr>
        <w:suppressLineNumbers/>
        <w:tabs>
          <w:tab w:val="left" w:pos="1440"/>
        </w:tabs>
        <w:suppressAutoHyphens/>
        <w:adjustRightInd w:val="0"/>
        <w:snapToGrid w:val="0"/>
        <w:ind w:left="0" w:firstLine="720"/>
        <w:rPr>
          <w:rFonts w:eastAsiaTheme="minorEastAsia"/>
          <w:bCs/>
          <w:iCs/>
          <w:snapToGrid w:val="0"/>
          <w:color w:val="000000"/>
          <w:kern w:val="22"/>
          <w:lang w:val="en-CA" w:eastAsia="ja-JP" w:bidi="th-TH"/>
        </w:rPr>
      </w:pPr>
      <w:r w:rsidRPr="00807594">
        <w:rPr>
          <w:rFonts w:eastAsiaTheme="minorEastAsia"/>
          <w:bCs/>
          <w:iCs/>
          <w:snapToGrid w:val="0"/>
          <w:color w:val="000000"/>
          <w:kern w:val="22"/>
          <w:lang w:val="en-CA" w:eastAsia="zh-CN" w:bidi="th-TH"/>
        </w:rPr>
        <w:t>野生动物（或猎物）猎场包括在由围栏围起的划定地区内饲养野生动物。它的形式与养牛场的畜牧业相类似，动物通过自然植被进行管理，但可在国家法律框架内对生境实行控制以便提高生产效率；</w:t>
      </w:r>
    </w:p>
    <w:p w:rsidR="00807594" w:rsidRPr="00807594" w:rsidRDefault="00807594" w:rsidP="0069685F">
      <w:pPr>
        <w:numPr>
          <w:ilvl w:val="0"/>
          <w:numId w:val="91"/>
        </w:numPr>
        <w:suppressLineNumbers/>
        <w:tabs>
          <w:tab w:val="left" w:pos="1440"/>
        </w:tabs>
        <w:suppressAutoHyphens/>
        <w:adjustRightInd w:val="0"/>
        <w:snapToGrid w:val="0"/>
        <w:ind w:left="0" w:firstLine="720"/>
        <w:rPr>
          <w:rFonts w:eastAsiaTheme="minorEastAsia"/>
          <w:bCs/>
          <w:iCs/>
          <w:snapToGrid w:val="0"/>
          <w:color w:val="000000"/>
          <w:kern w:val="22"/>
          <w:lang w:val="en-CA" w:eastAsia="ja-JP" w:bidi="th-TH"/>
        </w:rPr>
      </w:pPr>
      <w:r w:rsidRPr="00807594">
        <w:rPr>
          <w:rFonts w:eastAsiaTheme="minorEastAsia"/>
          <w:bCs/>
          <w:iCs/>
          <w:snapToGrid w:val="0"/>
          <w:color w:val="000000"/>
          <w:kern w:val="22"/>
          <w:lang w:val="en-CA" w:eastAsia="zh-CN" w:bidi="th-TH"/>
        </w:rPr>
        <w:t>生态系统服务付费制度。向社区支付生态系统服务提供的费用。在此情况下，可以为社区管理</w:t>
      </w:r>
      <w:r w:rsidRPr="00807594">
        <w:rPr>
          <w:rFonts w:eastAsiaTheme="minorEastAsia"/>
          <w:bCs/>
          <w:iCs/>
          <w:snapToGrid w:val="0"/>
          <w:color w:val="000000"/>
          <w:kern w:val="22"/>
          <w:lang w:val="en-CA" w:eastAsia="zh-CN" w:bidi="th-TH"/>
        </w:rPr>
        <w:t>“</w:t>
      </w:r>
      <w:r w:rsidRPr="00807594">
        <w:rPr>
          <w:rFonts w:eastAsiaTheme="minorEastAsia"/>
          <w:bCs/>
          <w:iCs/>
          <w:snapToGrid w:val="0"/>
          <w:color w:val="000000"/>
          <w:kern w:val="22"/>
          <w:lang w:val="en-CA" w:eastAsia="zh-CN" w:bidi="th-TH"/>
        </w:rPr>
        <w:t>粮食储备</w:t>
      </w:r>
      <w:r w:rsidRPr="00807594">
        <w:rPr>
          <w:rFonts w:eastAsiaTheme="minorEastAsia"/>
          <w:bCs/>
          <w:iCs/>
          <w:snapToGrid w:val="0"/>
          <w:color w:val="000000"/>
          <w:kern w:val="22"/>
          <w:lang w:val="en-CA" w:eastAsia="zh-CN" w:bidi="th-TH"/>
        </w:rPr>
        <w:t>”</w:t>
      </w:r>
      <w:r w:rsidRPr="00807594">
        <w:rPr>
          <w:rFonts w:eastAsiaTheme="minorEastAsia"/>
          <w:bCs/>
          <w:iCs/>
          <w:snapToGrid w:val="0"/>
          <w:color w:val="000000"/>
          <w:kern w:val="22"/>
          <w:lang w:val="en-CA" w:eastAsia="zh-CN" w:bidi="th-TH"/>
        </w:rPr>
        <w:t>而付给相当数量的费用，甚至是为可持续的狩猎或严格地养护主要树木种子的传播而付给其费用。由民众对目标物种实行监测，以衡量服务的提供情况；</w:t>
      </w:r>
    </w:p>
    <w:p w:rsidR="00807594" w:rsidRPr="00807594" w:rsidRDefault="00807594" w:rsidP="0069685F">
      <w:pPr>
        <w:numPr>
          <w:ilvl w:val="0"/>
          <w:numId w:val="82"/>
        </w:numPr>
        <w:suppressLineNumbers/>
        <w:tabs>
          <w:tab w:val="left" w:pos="1440"/>
        </w:tabs>
        <w:suppressAutoHyphens/>
        <w:adjustRightInd w:val="0"/>
        <w:snapToGrid w:val="0"/>
        <w:ind w:left="0" w:firstLine="720"/>
        <w:rPr>
          <w:rFonts w:eastAsiaTheme="minorEastAsia"/>
          <w:bCs/>
          <w:iCs/>
          <w:snapToGrid w:val="0"/>
          <w:color w:val="000000"/>
          <w:kern w:val="22"/>
          <w:lang w:eastAsia="ja-JP" w:bidi="th-TH"/>
        </w:rPr>
      </w:pPr>
      <w:r w:rsidRPr="00807594">
        <w:rPr>
          <w:rFonts w:eastAsiaTheme="minorEastAsia"/>
          <w:bCs/>
          <w:iCs/>
          <w:snapToGrid w:val="0"/>
          <w:color w:val="000000"/>
          <w:kern w:val="22"/>
          <w:lang w:eastAsia="zh-CN" w:bidi="th-TH"/>
        </w:rPr>
        <w:t>认证制度。认证有可能通过影响消费者选择来源可持续的产品，促进野生物种发养护和可持续利用。虽然大多数认证制度认证的是经驯化、猎获或生产的产品，没有影响野生动物种群的野生动物生境（例如对野生动物友好的木材；对野生动物友好的可可）的产品，但也有少数认证</w:t>
      </w:r>
      <w:r w:rsidRPr="00084B39">
        <w:rPr>
          <w:rFonts w:asciiTheme="minorEastAsia" w:eastAsiaTheme="minorEastAsia" w:hAnsiTheme="minorEastAsia"/>
          <w:bCs/>
          <w:iCs/>
          <w:snapToGrid w:val="0"/>
          <w:color w:val="000000"/>
          <w:kern w:val="22"/>
          <w:lang w:eastAsia="zh-CN" w:bidi="th-TH"/>
        </w:rPr>
        <w:t>“基于野生动物的”</w:t>
      </w:r>
      <w:r w:rsidRPr="00807594">
        <w:rPr>
          <w:rFonts w:eastAsiaTheme="minorEastAsia"/>
          <w:bCs/>
          <w:iCs/>
          <w:snapToGrid w:val="0"/>
          <w:color w:val="000000"/>
          <w:kern w:val="22"/>
          <w:lang w:eastAsia="zh-CN" w:bidi="th-TH"/>
        </w:rPr>
        <w:t>产品为可持续猎获产品（例如野猪皮、经认证的肉）的实例。这种认证制度也可以包含保障措施，</w:t>
      </w:r>
      <w:r w:rsidRPr="00807594">
        <w:rPr>
          <w:rFonts w:eastAsiaTheme="minorEastAsia"/>
          <w:bCs/>
          <w:iCs/>
          <w:snapToGrid w:val="0"/>
          <w:color w:val="000000"/>
          <w:kern w:val="22"/>
          <w:lang w:eastAsia="zh-CN" w:bidi="th-TH"/>
        </w:rPr>
        <w:t xml:space="preserve"> </w:t>
      </w:r>
      <w:r w:rsidRPr="00807594">
        <w:rPr>
          <w:rFonts w:eastAsiaTheme="minorEastAsia"/>
          <w:bCs/>
          <w:iCs/>
          <w:snapToGrid w:val="0"/>
          <w:color w:val="000000"/>
          <w:kern w:val="22"/>
          <w:lang w:eastAsia="zh-CN" w:bidi="th-TH"/>
        </w:rPr>
        <w:t>保证消费者食用的野生动物肉品符合卫生标准。在愿意为符合其消费者道德的产品支付高价的国家，认证制度实施的效果很好。生产者（猎户或社区）收到的高价应包括认证费用，而认证的费用常常很高。</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iCs/>
          <w:snapToGrid w:val="0"/>
          <w:color w:val="000000"/>
          <w:kern w:val="22"/>
          <w:lang w:eastAsia="zh-CN" w:bidi="th-TH"/>
        </w:rPr>
        <w:lastRenderedPageBreak/>
        <w:t>能够为地方</w:t>
      </w:r>
      <w:r w:rsidRPr="00807594">
        <w:rPr>
          <w:rFonts w:eastAsiaTheme="minorEastAsia"/>
          <w:bCs/>
          <w:snapToGrid w:val="0"/>
          <w:kern w:val="22"/>
          <w:lang w:eastAsia="zh-CN" w:bidi="th-TH"/>
        </w:rPr>
        <w:t>社区</w:t>
      </w:r>
      <w:r w:rsidRPr="00807594">
        <w:rPr>
          <w:rFonts w:eastAsiaTheme="minorEastAsia"/>
          <w:bCs/>
          <w:iCs/>
          <w:snapToGrid w:val="0"/>
          <w:color w:val="000000"/>
          <w:kern w:val="22"/>
          <w:lang w:eastAsia="zh-CN" w:bidi="th-TH"/>
        </w:rPr>
        <w:t>管理创造有利条件的行之有效、可持续的基于社区（或区域合作社）的</w:t>
      </w:r>
      <w:r w:rsidRPr="00807594">
        <w:rPr>
          <w:rFonts w:eastAsiaTheme="minorEastAsia"/>
          <w:bCs/>
          <w:snapToGrid w:val="0"/>
          <w:kern w:val="22"/>
          <w:lang w:eastAsia="zh-CN" w:bidi="th-TH"/>
        </w:rPr>
        <w:t>野生动物管理</w:t>
      </w:r>
      <w:r w:rsidRPr="00807594">
        <w:rPr>
          <w:rFonts w:eastAsiaTheme="minorEastAsia"/>
          <w:bCs/>
          <w:iCs/>
          <w:snapToGrid w:val="0"/>
          <w:color w:val="000000"/>
          <w:kern w:val="22"/>
          <w:lang w:eastAsia="zh-CN" w:bidi="th-TH"/>
        </w:rPr>
        <w:t>的要素可根据国家立法包括：</w:t>
      </w:r>
    </w:p>
    <w:p w:rsidR="00807594" w:rsidRPr="00807594" w:rsidRDefault="00807594" w:rsidP="0069685F">
      <w:pPr>
        <w:numPr>
          <w:ilvl w:val="0"/>
          <w:numId w:val="89"/>
        </w:numPr>
        <w:suppressLineNumbers/>
        <w:tabs>
          <w:tab w:val="left" w:pos="1440"/>
        </w:tabs>
        <w:suppressAutoHyphens/>
        <w:adjustRightInd w:val="0"/>
        <w:snapToGrid w:val="0"/>
        <w:ind w:left="0" w:firstLine="720"/>
        <w:rPr>
          <w:rFonts w:eastAsiaTheme="minorEastAsia"/>
          <w:bCs/>
          <w:iCs/>
          <w:snapToGrid w:val="0"/>
          <w:color w:val="000000"/>
          <w:kern w:val="22"/>
          <w:lang w:eastAsia="ja-JP" w:bidi="th-TH"/>
        </w:rPr>
      </w:pPr>
      <w:r w:rsidRPr="00807594">
        <w:rPr>
          <w:rFonts w:eastAsiaTheme="minorEastAsia"/>
          <w:bCs/>
          <w:iCs/>
          <w:snapToGrid w:val="0"/>
          <w:color w:val="000000"/>
          <w:kern w:val="22"/>
          <w:lang w:eastAsia="zh-CN" w:bidi="th-TH"/>
        </w:rPr>
        <w:t>社区具有社会凝聚力（即彼此信任并且感受到与其社区邻里的亲切感），因此能够采取集体行动解决共同的问题；</w:t>
      </w:r>
    </w:p>
    <w:p w:rsidR="00807594" w:rsidRPr="00807594" w:rsidRDefault="00807594" w:rsidP="0069685F">
      <w:pPr>
        <w:numPr>
          <w:ilvl w:val="0"/>
          <w:numId w:val="89"/>
        </w:numPr>
        <w:suppressLineNumbers/>
        <w:tabs>
          <w:tab w:val="left" w:pos="1440"/>
        </w:tabs>
        <w:suppressAutoHyphens/>
        <w:adjustRightInd w:val="0"/>
        <w:snapToGrid w:val="0"/>
        <w:ind w:left="0" w:firstLine="720"/>
        <w:rPr>
          <w:rFonts w:eastAsiaTheme="minorEastAsia"/>
          <w:bCs/>
          <w:iCs/>
          <w:snapToGrid w:val="0"/>
          <w:color w:val="000000"/>
          <w:kern w:val="22"/>
          <w:lang w:eastAsia="zh-CN" w:bidi="th-TH"/>
        </w:rPr>
      </w:pPr>
      <w:r w:rsidRPr="00807594">
        <w:rPr>
          <w:rFonts w:eastAsiaTheme="minorEastAsia"/>
          <w:bCs/>
          <w:iCs/>
          <w:snapToGrid w:val="0"/>
          <w:color w:val="000000"/>
          <w:kern w:val="22"/>
          <w:lang w:eastAsia="zh-CN" w:bidi="th-TH"/>
        </w:rPr>
        <w:t>社区建立或在他方帮助下建立其拥有传统和合法诉求的可持续野生动物的惠益分享机制。惠益权下放至社区的最低层级，在国家的支持下确保社区能够在野生动物的利用中享有一份公平的惠益；</w:t>
      </w:r>
    </w:p>
    <w:p w:rsidR="00807594" w:rsidRPr="00807594" w:rsidRDefault="00807594" w:rsidP="0069685F">
      <w:pPr>
        <w:numPr>
          <w:ilvl w:val="0"/>
          <w:numId w:val="89"/>
        </w:numPr>
        <w:suppressLineNumbers/>
        <w:tabs>
          <w:tab w:val="left" w:pos="1440"/>
        </w:tabs>
        <w:suppressAutoHyphens/>
        <w:adjustRightInd w:val="0"/>
        <w:snapToGrid w:val="0"/>
        <w:ind w:left="0" w:firstLine="720"/>
        <w:rPr>
          <w:rFonts w:eastAsiaTheme="minorEastAsia"/>
          <w:bCs/>
          <w:iCs/>
          <w:snapToGrid w:val="0"/>
          <w:color w:val="000000"/>
          <w:kern w:val="22"/>
          <w:lang w:val="en-CA" w:eastAsia="ja-JP" w:bidi="th-TH"/>
        </w:rPr>
      </w:pPr>
      <w:r w:rsidRPr="00807594">
        <w:rPr>
          <w:rFonts w:eastAsiaTheme="minorEastAsia"/>
          <w:bCs/>
          <w:iCs/>
          <w:snapToGrid w:val="0"/>
          <w:color w:val="000000"/>
          <w:kern w:val="22"/>
          <w:lang w:val="en-CA" w:eastAsia="zh-CN" w:bidi="th-TH"/>
        </w:rPr>
        <w:t>土地权和管理来自野生动物的惠益的权利由国家明确界定，并予以承认和捍卫。相应权利的持有人得到确定和正式地承认，以防止非权利持有人（非法用户）滥用野生动物资源的用途；</w:t>
      </w:r>
    </w:p>
    <w:p w:rsidR="00807594" w:rsidRPr="00807594" w:rsidRDefault="00807594" w:rsidP="0069685F">
      <w:pPr>
        <w:numPr>
          <w:ilvl w:val="0"/>
          <w:numId w:val="89"/>
        </w:numPr>
        <w:suppressLineNumbers/>
        <w:tabs>
          <w:tab w:val="left" w:pos="1440"/>
        </w:tabs>
        <w:suppressAutoHyphens/>
        <w:adjustRightInd w:val="0"/>
        <w:snapToGrid w:val="0"/>
        <w:ind w:left="0" w:firstLine="720"/>
        <w:rPr>
          <w:rFonts w:eastAsiaTheme="minorEastAsia"/>
          <w:lang w:val="en-CA" w:eastAsia="zh-CN"/>
        </w:rPr>
      </w:pPr>
      <w:r w:rsidRPr="00807594">
        <w:rPr>
          <w:rFonts w:eastAsiaTheme="minorEastAsia"/>
          <w:bCs/>
          <w:iCs/>
          <w:snapToGrid w:val="0"/>
          <w:color w:val="000000"/>
          <w:kern w:val="22"/>
          <w:lang w:val="en-CA" w:eastAsia="zh-CN" w:bidi="th-TH"/>
        </w:rPr>
        <w:t>在考虑到其习惯法的情况下，由国家法律确定</w:t>
      </w:r>
      <w:r w:rsidRPr="00807594">
        <w:rPr>
          <w:rFonts w:eastAsiaTheme="minorEastAsia"/>
          <w:lang w:val="en-CA" w:eastAsia="zh-CN"/>
        </w:rPr>
        <w:t>社区权利所有人采集野生动物肉类的地区的地理界限的定义；</w:t>
      </w:r>
    </w:p>
    <w:p w:rsidR="00807594" w:rsidRPr="00807594" w:rsidRDefault="00807594" w:rsidP="0069685F">
      <w:pPr>
        <w:numPr>
          <w:ilvl w:val="0"/>
          <w:numId w:val="89"/>
        </w:numPr>
        <w:suppressLineNumbers/>
        <w:tabs>
          <w:tab w:val="left" w:pos="1440"/>
        </w:tabs>
        <w:suppressAutoHyphens/>
        <w:adjustRightInd w:val="0"/>
        <w:snapToGrid w:val="0"/>
        <w:ind w:left="0" w:firstLine="720"/>
        <w:rPr>
          <w:rFonts w:eastAsiaTheme="minorEastAsia"/>
          <w:bCs/>
          <w:iCs/>
          <w:snapToGrid w:val="0"/>
          <w:color w:val="000000"/>
          <w:kern w:val="22"/>
          <w:lang w:eastAsia="ja-JP" w:bidi="th-TH"/>
        </w:rPr>
      </w:pPr>
      <w:r w:rsidRPr="00807594">
        <w:rPr>
          <w:rFonts w:eastAsiaTheme="minorEastAsia"/>
          <w:bCs/>
          <w:iCs/>
          <w:snapToGrid w:val="0"/>
          <w:color w:val="000000"/>
          <w:kern w:val="22"/>
          <w:lang w:eastAsia="zh-CN" w:bidi="th-TH"/>
        </w:rPr>
        <w:t>地方社区和狩猎者明确地对于从利用野生动物的权利（包括习惯权利）中获益感兴趣，而且承担了对野生动物可持续性和生境保护负责的责任。各社区拥有明确而公认的程序解决社区或团体内部的政策和做法分歧；</w:t>
      </w:r>
    </w:p>
    <w:p w:rsidR="00807594" w:rsidRPr="00807594" w:rsidRDefault="00807594" w:rsidP="0069685F">
      <w:pPr>
        <w:numPr>
          <w:ilvl w:val="0"/>
          <w:numId w:val="89"/>
        </w:numPr>
        <w:suppressLineNumbers/>
        <w:tabs>
          <w:tab w:val="left" w:pos="1440"/>
        </w:tabs>
        <w:suppressAutoHyphens/>
        <w:adjustRightInd w:val="0"/>
        <w:snapToGrid w:val="0"/>
        <w:ind w:left="0" w:firstLine="720"/>
        <w:rPr>
          <w:rFonts w:eastAsiaTheme="minorEastAsia"/>
          <w:bCs/>
          <w:iCs/>
          <w:snapToGrid w:val="0"/>
          <w:color w:val="000000"/>
          <w:kern w:val="22"/>
          <w:lang w:eastAsia="ja-JP" w:bidi="th-TH"/>
        </w:rPr>
      </w:pPr>
      <w:r w:rsidRPr="00807594">
        <w:rPr>
          <w:rFonts w:eastAsiaTheme="minorEastAsia"/>
          <w:bCs/>
          <w:iCs/>
          <w:snapToGrid w:val="0"/>
          <w:color w:val="000000"/>
          <w:kern w:val="22"/>
          <w:lang w:eastAsia="zh-CN" w:bidi="th-TH"/>
        </w:rPr>
        <w:t>存在或创建了明确的监管框架，以保证地方社区成员或成员团体对野生动物可持续地利用，包括确定和执行对团体成员或必要时对整个社区的处罚措施；</w:t>
      </w:r>
    </w:p>
    <w:p w:rsidR="00807594" w:rsidRPr="00807594" w:rsidRDefault="00807594" w:rsidP="0069685F">
      <w:pPr>
        <w:numPr>
          <w:ilvl w:val="0"/>
          <w:numId w:val="89"/>
        </w:numPr>
        <w:suppressLineNumbers/>
        <w:tabs>
          <w:tab w:val="left" w:pos="1440"/>
        </w:tabs>
        <w:suppressAutoHyphens/>
        <w:adjustRightInd w:val="0"/>
        <w:snapToGrid w:val="0"/>
        <w:ind w:left="0" w:firstLine="720"/>
        <w:rPr>
          <w:rFonts w:eastAsiaTheme="minorEastAsia"/>
          <w:bCs/>
          <w:iCs/>
          <w:snapToGrid w:val="0"/>
          <w:color w:val="000000"/>
          <w:kern w:val="22"/>
          <w:lang w:eastAsia="ja-JP" w:bidi="th-TH"/>
        </w:rPr>
      </w:pPr>
      <w:r w:rsidRPr="00807594">
        <w:rPr>
          <w:rFonts w:eastAsiaTheme="minorEastAsia"/>
          <w:bCs/>
          <w:iCs/>
          <w:snapToGrid w:val="0"/>
          <w:color w:val="000000"/>
          <w:kern w:val="22"/>
          <w:lang w:eastAsia="zh-CN" w:bidi="th-TH"/>
        </w:rPr>
        <w:t>调整负责野生动物的政府机构的结构、能力和预算，使其在设计和促进可持续利用活动中发挥重要作用；</w:t>
      </w:r>
    </w:p>
    <w:p w:rsidR="00807594" w:rsidRPr="00807594" w:rsidRDefault="00807594" w:rsidP="0069685F">
      <w:pPr>
        <w:numPr>
          <w:ilvl w:val="0"/>
          <w:numId w:val="89"/>
        </w:numPr>
        <w:suppressLineNumbers/>
        <w:tabs>
          <w:tab w:val="left" w:pos="1440"/>
        </w:tabs>
        <w:suppressAutoHyphens/>
        <w:adjustRightInd w:val="0"/>
        <w:snapToGrid w:val="0"/>
        <w:ind w:left="0" w:firstLine="720"/>
        <w:rPr>
          <w:rFonts w:eastAsiaTheme="minorEastAsia"/>
          <w:bCs/>
          <w:iCs/>
          <w:snapToGrid w:val="0"/>
          <w:color w:val="000000"/>
          <w:kern w:val="22"/>
          <w:lang w:eastAsia="ja-JP" w:bidi="th-TH"/>
        </w:rPr>
      </w:pPr>
      <w:r w:rsidRPr="00807594">
        <w:rPr>
          <w:rFonts w:eastAsiaTheme="minorEastAsia"/>
          <w:bCs/>
          <w:iCs/>
          <w:snapToGrid w:val="0"/>
          <w:color w:val="000000"/>
          <w:kern w:val="22"/>
          <w:lang w:eastAsia="zh-CN" w:bidi="th-TH"/>
        </w:rPr>
        <w:t>拥有明确的国家狩猎立法，并且有效执行该立法，以防止社区外的行为者破坏每个监管机关的合法权力和效力；</w:t>
      </w:r>
    </w:p>
    <w:p w:rsidR="00807594" w:rsidRPr="00807594" w:rsidRDefault="00807594" w:rsidP="0069685F">
      <w:pPr>
        <w:numPr>
          <w:ilvl w:val="0"/>
          <w:numId w:val="89"/>
        </w:numPr>
        <w:suppressLineNumbers/>
        <w:tabs>
          <w:tab w:val="left" w:pos="1440"/>
        </w:tabs>
        <w:suppressAutoHyphens/>
        <w:adjustRightInd w:val="0"/>
        <w:snapToGrid w:val="0"/>
        <w:ind w:left="0" w:firstLine="720"/>
        <w:rPr>
          <w:rFonts w:eastAsiaTheme="minorEastAsia"/>
          <w:bCs/>
          <w:iCs/>
          <w:snapToGrid w:val="0"/>
          <w:color w:val="000000"/>
          <w:kern w:val="22"/>
          <w:lang w:eastAsia="ja-JP" w:bidi="th-TH"/>
        </w:rPr>
      </w:pPr>
      <w:r w:rsidRPr="00807594">
        <w:rPr>
          <w:rFonts w:eastAsiaTheme="minorEastAsia"/>
          <w:bCs/>
          <w:iCs/>
          <w:snapToGrid w:val="0"/>
          <w:color w:val="000000"/>
          <w:kern w:val="22"/>
          <w:lang w:eastAsia="zh-CN" w:bidi="th-TH"/>
        </w:rPr>
        <w:t>行政程序简化并以当地语言提供，追踪系统获得加强，地方领导能力得到发展；</w:t>
      </w:r>
    </w:p>
    <w:p w:rsidR="00807594" w:rsidRPr="00807594" w:rsidRDefault="00807594" w:rsidP="0069685F">
      <w:pPr>
        <w:widowControl w:val="0"/>
        <w:numPr>
          <w:ilvl w:val="0"/>
          <w:numId w:val="89"/>
        </w:numPr>
        <w:suppressLineNumbers/>
        <w:tabs>
          <w:tab w:val="left" w:pos="1440"/>
        </w:tabs>
        <w:suppressAutoHyphens/>
        <w:adjustRightInd w:val="0"/>
        <w:snapToGrid w:val="0"/>
        <w:ind w:left="0" w:firstLine="720"/>
        <w:rPr>
          <w:rFonts w:eastAsiaTheme="minorEastAsia"/>
          <w:bCs/>
          <w:iCs/>
          <w:snapToGrid w:val="0"/>
          <w:color w:val="000000"/>
          <w:kern w:val="22"/>
          <w:lang w:eastAsia="ja-JP" w:bidi="th-TH"/>
        </w:rPr>
      </w:pPr>
      <w:r w:rsidRPr="00807594">
        <w:rPr>
          <w:rFonts w:eastAsiaTheme="minorEastAsia"/>
          <w:bCs/>
          <w:iCs/>
          <w:snapToGrid w:val="0"/>
          <w:color w:val="000000"/>
          <w:kern w:val="22"/>
          <w:lang w:eastAsia="zh-CN" w:bidi="th-TH"/>
        </w:rPr>
        <w:t>明确界定保护区内外的社区狩猎区</w:t>
      </w:r>
      <w:r w:rsidRPr="00807594">
        <w:rPr>
          <w:rFonts w:eastAsiaTheme="minorEastAsia"/>
          <w:iCs/>
          <w:snapToGrid w:val="0"/>
          <w:color w:val="000000"/>
          <w:kern w:val="22"/>
          <w:vertAlign w:val="superscript"/>
          <w:lang w:eastAsia="ja-JP" w:bidi="th-TH"/>
        </w:rPr>
        <w:footnoteReference w:id="111"/>
      </w:r>
      <w:r w:rsidRPr="00807594">
        <w:rPr>
          <w:rFonts w:eastAsiaTheme="minorEastAsia"/>
          <w:bCs/>
          <w:iCs/>
          <w:snapToGrid w:val="0"/>
          <w:color w:val="000000"/>
          <w:kern w:val="22"/>
          <w:lang w:eastAsia="zh-CN" w:bidi="th-TH"/>
        </w:rPr>
        <w:t>，遵守特定的土地用途，并尊重保护区的管理计划和养护参数；</w:t>
      </w:r>
    </w:p>
    <w:p w:rsidR="00807594" w:rsidRPr="00807594" w:rsidRDefault="00807594" w:rsidP="0069685F">
      <w:pPr>
        <w:widowControl w:val="0"/>
        <w:numPr>
          <w:ilvl w:val="0"/>
          <w:numId w:val="89"/>
        </w:numPr>
        <w:suppressLineNumbers/>
        <w:tabs>
          <w:tab w:val="left" w:pos="1440"/>
        </w:tabs>
        <w:suppressAutoHyphens/>
        <w:adjustRightInd w:val="0"/>
        <w:snapToGrid w:val="0"/>
        <w:ind w:left="0" w:firstLine="720"/>
        <w:rPr>
          <w:rFonts w:eastAsiaTheme="minorEastAsia"/>
          <w:bCs/>
          <w:iCs/>
          <w:snapToGrid w:val="0"/>
          <w:color w:val="000000"/>
          <w:kern w:val="22"/>
          <w:lang w:eastAsia="ja-JP" w:bidi="th-TH"/>
        </w:rPr>
      </w:pPr>
      <w:r w:rsidRPr="00807594">
        <w:rPr>
          <w:rFonts w:eastAsiaTheme="minorEastAsia"/>
          <w:bCs/>
          <w:iCs/>
          <w:snapToGrid w:val="0"/>
          <w:color w:val="000000"/>
          <w:kern w:val="22"/>
          <w:lang w:eastAsia="zh-CN" w:bidi="th-TH"/>
        </w:rPr>
        <w:t>让地方管理机关对每个土地利用区负责。如果国家不将全部控制权移交给地方机关（即，当国家保留对保护区、物种或地方粮食安全的责任时），则应必须明确规定评估良好的地方治理和治理不善后果的标准。在土地利用区产生税收或其他形式收入的情</w:t>
      </w:r>
      <w:r w:rsidRPr="00807594">
        <w:rPr>
          <w:rFonts w:eastAsiaTheme="minorEastAsia"/>
          <w:bCs/>
          <w:iCs/>
          <w:snapToGrid w:val="0"/>
          <w:color w:val="000000"/>
          <w:kern w:val="22"/>
          <w:lang w:eastAsia="zh-CN" w:bidi="th-TH"/>
        </w:rPr>
        <w:lastRenderedPageBreak/>
        <w:t>况下，还必须确定明确的财务管理框架，包括对不当行为的处罚；</w:t>
      </w:r>
    </w:p>
    <w:p w:rsidR="00807594" w:rsidRPr="00807594" w:rsidRDefault="00807594" w:rsidP="0069685F">
      <w:pPr>
        <w:widowControl w:val="0"/>
        <w:numPr>
          <w:ilvl w:val="0"/>
          <w:numId w:val="89"/>
        </w:numPr>
        <w:suppressLineNumbers/>
        <w:tabs>
          <w:tab w:val="left" w:pos="1440"/>
        </w:tabs>
        <w:suppressAutoHyphens/>
        <w:adjustRightInd w:val="0"/>
        <w:snapToGrid w:val="0"/>
        <w:ind w:left="0" w:firstLine="720"/>
        <w:rPr>
          <w:rFonts w:eastAsiaTheme="minorEastAsia"/>
          <w:lang w:eastAsia="zh-CN"/>
        </w:rPr>
      </w:pPr>
      <w:r w:rsidRPr="00807594">
        <w:rPr>
          <w:rFonts w:eastAsiaTheme="minorEastAsia"/>
          <w:bCs/>
          <w:kern w:val="22"/>
          <w:lang w:val="zh-CN" w:eastAsia="zh-CN"/>
        </w:rPr>
        <w:t>政府官员和地方当局拥有制定可持续野生动物管理计划的技能和知识。这种知识应包括传统和可持续习惯使用</w:t>
      </w:r>
      <w:r w:rsidRPr="00807594">
        <w:rPr>
          <w:rFonts w:eastAsiaTheme="minorEastAsia"/>
          <w:bCs/>
          <w:kern w:val="22"/>
          <w:lang w:eastAsia="zh-CN"/>
        </w:rPr>
        <w:t>；</w:t>
      </w:r>
    </w:p>
    <w:p w:rsidR="00807594" w:rsidRPr="00807594" w:rsidRDefault="00807594" w:rsidP="0069685F">
      <w:pPr>
        <w:widowControl w:val="0"/>
        <w:numPr>
          <w:ilvl w:val="0"/>
          <w:numId w:val="89"/>
        </w:numPr>
        <w:suppressLineNumbers/>
        <w:tabs>
          <w:tab w:val="left" w:pos="1440"/>
        </w:tabs>
        <w:suppressAutoHyphens/>
        <w:adjustRightInd w:val="0"/>
        <w:snapToGrid w:val="0"/>
        <w:ind w:left="0" w:firstLine="720"/>
        <w:rPr>
          <w:rFonts w:eastAsiaTheme="minorEastAsia"/>
          <w:bCs/>
          <w:lang w:eastAsia="zh-CN"/>
        </w:rPr>
      </w:pPr>
      <w:r w:rsidRPr="00807594">
        <w:rPr>
          <w:rFonts w:eastAsiaTheme="minorEastAsia"/>
          <w:bCs/>
          <w:kern w:val="22"/>
          <w:lang w:val="zh-CN" w:eastAsia="zh-CN"/>
        </w:rPr>
        <w:t>确认能够或不能经得起捕获的物种。在能够可持续地猎获的物种中</w:t>
      </w:r>
      <w:r w:rsidRPr="00807594">
        <w:rPr>
          <w:rFonts w:eastAsiaTheme="minorEastAsia"/>
          <w:bCs/>
          <w:kern w:val="22"/>
          <w:lang w:eastAsia="zh-CN"/>
        </w:rPr>
        <w:t>，</w:t>
      </w:r>
      <w:r w:rsidRPr="00807594">
        <w:rPr>
          <w:rFonts w:eastAsiaTheme="minorEastAsia"/>
          <w:bCs/>
          <w:kern w:val="22"/>
          <w:lang w:val="zh-CN" w:eastAsia="zh-CN"/>
        </w:rPr>
        <w:t>应将根据现有的最佳科技信息和方法所了解的需要尽可能大的猎获配额的物种</w:t>
      </w:r>
      <w:r w:rsidRPr="00807594">
        <w:rPr>
          <w:rFonts w:eastAsiaTheme="minorEastAsia"/>
          <w:bCs/>
          <w:kern w:val="22"/>
          <w:lang w:eastAsia="zh-CN"/>
        </w:rPr>
        <w:t>（</w:t>
      </w:r>
      <w:r w:rsidRPr="00807594">
        <w:rPr>
          <w:rFonts w:eastAsiaTheme="minorEastAsia"/>
          <w:bCs/>
          <w:kern w:val="22"/>
          <w:lang w:val="zh-CN" w:eastAsia="zh-CN"/>
        </w:rPr>
        <w:t>以及诸如需要尽可能少的猎获配额的害虫等物种</w:t>
      </w:r>
      <w:r w:rsidRPr="00807594">
        <w:rPr>
          <w:rFonts w:eastAsiaTheme="minorEastAsia"/>
          <w:bCs/>
          <w:kern w:val="22"/>
          <w:lang w:eastAsia="zh-CN"/>
        </w:rPr>
        <w:t>）</w:t>
      </w:r>
      <w:r w:rsidRPr="00807594">
        <w:rPr>
          <w:rFonts w:eastAsiaTheme="minorEastAsia"/>
          <w:bCs/>
          <w:kern w:val="22"/>
          <w:lang w:val="zh-CN" w:eastAsia="zh-CN"/>
        </w:rPr>
        <w:t>与不需要确定配额的物种区别开来。对于需要尽可能大的猎获配额的物种</w:t>
      </w:r>
      <w:r w:rsidRPr="00807594">
        <w:rPr>
          <w:rFonts w:eastAsiaTheme="minorEastAsia"/>
          <w:bCs/>
          <w:kern w:val="22"/>
          <w:lang w:eastAsia="zh-CN"/>
        </w:rPr>
        <w:t>，</w:t>
      </w:r>
      <w:r w:rsidRPr="00807594">
        <w:rPr>
          <w:rFonts w:eastAsiaTheme="minorEastAsia"/>
          <w:bCs/>
          <w:kern w:val="22"/>
          <w:lang w:val="zh-CN" w:eastAsia="zh-CN"/>
        </w:rPr>
        <w:t>应定期精确计算和调整可持续的消费率</w:t>
      </w:r>
      <w:r w:rsidRPr="00807594">
        <w:rPr>
          <w:rFonts w:eastAsiaTheme="minorEastAsia"/>
          <w:bCs/>
          <w:kern w:val="22"/>
          <w:lang w:eastAsia="zh-CN"/>
        </w:rPr>
        <w:t>；</w:t>
      </w:r>
    </w:p>
    <w:p w:rsidR="00807594" w:rsidRPr="00807594" w:rsidRDefault="00807594" w:rsidP="0069685F">
      <w:pPr>
        <w:widowControl w:val="0"/>
        <w:numPr>
          <w:ilvl w:val="0"/>
          <w:numId w:val="89"/>
        </w:numPr>
        <w:suppressLineNumbers/>
        <w:tabs>
          <w:tab w:val="left" w:pos="1440"/>
        </w:tabs>
        <w:suppressAutoHyphens/>
        <w:adjustRightInd w:val="0"/>
        <w:snapToGrid w:val="0"/>
        <w:ind w:left="0" w:firstLine="720"/>
        <w:rPr>
          <w:rFonts w:eastAsiaTheme="minorEastAsia"/>
          <w:bCs/>
          <w:color w:val="000000"/>
          <w:kern w:val="22"/>
          <w:lang w:eastAsia="zh-CN"/>
        </w:rPr>
      </w:pPr>
      <w:r w:rsidRPr="00807594">
        <w:rPr>
          <w:rFonts w:eastAsiaTheme="minorEastAsia"/>
          <w:bCs/>
          <w:kern w:val="22"/>
          <w:lang w:val="zh-CN" w:eastAsia="zh-CN"/>
        </w:rPr>
        <w:t>建立制定可持续配额和监测</w:t>
      </w:r>
      <w:r w:rsidRPr="00807594">
        <w:rPr>
          <w:rFonts w:eastAsiaTheme="minorEastAsia"/>
          <w:bCs/>
          <w:kern w:val="22"/>
          <w:lang w:eastAsia="zh-CN"/>
        </w:rPr>
        <w:t>（</w:t>
      </w:r>
      <w:r w:rsidRPr="00807594">
        <w:rPr>
          <w:rFonts w:eastAsiaTheme="minorEastAsia"/>
          <w:bCs/>
          <w:kern w:val="22"/>
          <w:lang w:val="zh-CN" w:eastAsia="zh-CN"/>
        </w:rPr>
        <w:t>由社区监测和与社区一起监测</w:t>
      </w:r>
      <w:r w:rsidRPr="00807594">
        <w:rPr>
          <w:rFonts w:eastAsiaTheme="minorEastAsia"/>
          <w:bCs/>
          <w:kern w:val="22"/>
          <w:lang w:eastAsia="zh-CN"/>
        </w:rPr>
        <w:t>）</w:t>
      </w:r>
      <w:r w:rsidRPr="00807594">
        <w:rPr>
          <w:rFonts w:eastAsiaTheme="minorEastAsia"/>
          <w:bCs/>
          <w:kern w:val="22"/>
          <w:lang w:val="zh-CN" w:eastAsia="zh-CN"/>
        </w:rPr>
        <w:t>目标野生动物物种的制度</w:t>
      </w:r>
      <w:r w:rsidRPr="00807594">
        <w:rPr>
          <w:rFonts w:eastAsiaTheme="minorEastAsia"/>
          <w:bCs/>
          <w:kern w:val="22"/>
          <w:lang w:eastAsia="zh-CN"/>
        </w:rPr>
        <w:t>，</w:t>
      </w:r>
      <w:r w:rsidRPr="00807594">
        <w:rPr>
          <w:rFonts w:eastAsiaTheme="minorEastAsia"/>
          <w:bCs/>
          <w:kern w:val="22"/>
          <w:lang w:val="zh-CN" w:eastAsia="zh-CN"/>
        </w:rPr>
        <w:t>并明确制定消费调整规则以及实施责任和对不当行为的处罚。</w:t>
      </w:r>
    </w:p>
    <w:p w:rsidR="00807594" w:rsidRPr="00807594" w:rsidRDefault="00807594" w:rsidP="0069685F">
      <w:pPr>
        <w:widowControl w:val="0"/>
        <w:numPr>
          <w:ilvl w:val="0"/>
          <w:numId w:val="89"/>
        </w:numPr>
        <w:suppressLineNumbers/>
        <w:tabs>
          <w:tab w:val="left" w:pos="1440"/>
        </w:tabs>
        <w:suppressAutoHyphens/>
        <w:adjustRightInd w:val="0"/>
        <w:snapToGrid w:val="0"/>
        <w:ind w:left="0" w:firstLine="720"/>
        <w:rPr>
          <w:rFonts w:eastAsiaTheme="minorEastAsia"/>
          <w:bCs/>
          <w:color w:val="000000"/>
          <w:kern w:val="22"/>
          <w:lang w:eastAsia="zh-CN"/>
        </w:rPr>
      </w:pPr>
      <w:r w:rsidRPr="00807594">
        <w:rPr>
          <w:rFonts w:eastAsiaTheme="minorEastAsia"/>
          <w:bCs/>
          <w:kern w:val="22"/>
          <w:lang w:val="zh-CN" w:eastAsia="zh-CN"/>
        </w:rPr>
        <w:t>土著人民和地方社区的程序权利应当得到保障</w:t>
      </w:r>
      <w:r w:rsidRPr="00807594">
        <w:rPr>
          <w:rFonts w:eastAsiaTheme="minorEastAsia"/>
          <w:bCs/>
          <w:kern w:val="22"/>
          <w:lang w:eastAsia="zh-CN"/>
        </w:rPr>
        <w:t>，</w:t>
      </w:r>
      <w:r w:rsidRPr="00807594">
        <w:rPr>
          <w:rFonts w:eastAsiaTheme="minorEastAsia"/>
          <w:bCs/>
          <w:kern w:val="22"/>
          <w:lang w:val="zh-CN" w:eastAsia="zh-CN"/>
        </w:rPr>
        <w:t>例如获取信息</w:t>
      </w:r>
      <w:r w:rsidRPr="00807594">
        <w:rPr>
          <w:rFonts w:eastAsiaTheme="minorEastAsia"/>
          <w:bCs/>
          <w:kern w:val="22"/>
          <w:lang w:eastAsia="zh-CN"/>
        </w:rPr>
        <w:t>，</w:t>
      </w:r>
      <w:r w:rsidRPr="00807594">
        <w:rPr>
          <w:rFonts w:eastAsiaTheme="minorEastAsia"/>
          <w:bCs/>
          <w:kern w:val="22"/>
          <w:lang w:val="zh-CN" w:eastAsia="zh-CN"/>
        </w:rPr>
        <w:t>参与决策和诉诸司法。</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color w:val="000000"/>
          <w:lang w:eastAsia="zh-CN" w:bidi="th-TH"/>
        </w:rPr>
      </w:pPr>
      <w:r w:rsidRPr="00807594">
        <w:rPr>
          <w:rFonts w:eastAsiaTheme="minorEastAsia"/>
          <w:bCs/>
          <w:kern w:val="22"/>
          <w:lang w:val="zh-CN" w:eastAsia="zh-CN"/>
        </w:rPr>
        <w:t>一些野生动物物种销售的合法化和征税能够有助于确保社区从野生动物中受益。对于没有必要的基础设施和能力</w:t>
      </w:r>
      <w:r w:rsidRPr="00807594">
        <w:rPr>
          <w:rFonts w:eastAsiaTheme="minorEastAsia"/>
          <w:bCs/>
          <w:kern w:val="22"/>
          <w:lang w:eastAsia="zh-CN"/>
        </w:rPr>
        <w:t>，</w:t>
      </w:r>
      <w:r w:rsidRPr="00807594">
        <w:rPr>
          <w:rFonts w:eastAsiaTheme="minorEastAsia"/>
          <w:bCs/>
          <w:kern w:val="22"/>
          <w:lang w:val="zh-CN" w:eastAsia="zh-CN"/>
        </w:rPr>
        <w:t>以及没有能够遵守法律规定的平等权利和平等适用法律的原则的有效司法制度的国家来说</w:t>
      </w:r>
      <w:r w:rsidRPr="00807594">
        <w:rPr>
          <w:rFonts w:eastAsiaTheme="minorEastAsia"/>
          <w:bCs/>
          <w:kern w:val="22"/>
          <w:lang w:eastAsia="zh-CN"/>
        </w:rPr>
        <w:t>，</w:t>
      </w:r>
      <w:r w:rsidRPr="00807594">
        <w:rPr>
          <w:rFonts w:eastAsiaTheme="minorEastAsia"/>
          <w:bCs/>
          <w:kern w:val="22"/>
          <w:lang w:val="zh-CN" w:eastAsia="zh-CN"/>
        </w:rPr>
        <w:t>这种情况可能行不通。在这方面</w:t>
      </w:r>
      <w:r w:rsidRPr="00807594">
        <w:rPr>
          <w:rFonts w:eastAsiaTheme="minorEastAsia"/>
          <w:bCs/>
          <w:kern w:val="22"/>
          <w:lang w:eastAsia="zh-CN"/>
        </w:rPr>
        <w:t>，</w:t>
      </w:r>
      <w:r w:rsidRPr="00807594">
        <w:rPr>
          <w:rFonts w:eastAsiaTheme="minorEastAsia"/>
          <w:bCs/>
          <w:kern w:val="22"/>
          <w:lang w:val="zh-CN" w:eastAsia="zh-CN"/>
        </w:rPr>
        <w:t>国际打击野生动物犯罪联盟的相关组织也可对国家执法、司法、起诉的能力建设和防止非法狩猎的立法提供进一步支持。</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color w:val="000000"/>
          <w:lang w:eastAsia="zh-CN" w:bidi="th-TH"/>
        </w:rPr>
      </w:pPr>
      <w:r w:rsidRPr="00807594">
        <w:rPr>
          <w:rFonts w:eastAsiaTheme="minorEastAsia"/>
          <w:bCs/>
          <w:kern w:val="22"/>
          <w:lang w:val="zh-CN" w:eastAsia="zh-CN"/>
        </w:rPr>
        <w:t>许多国家需要更新狩猎监管框架</w:t>
      </w:r>
      <w:r w:rsidRPr="00807594">
        <w:rPr>
          <w:rFonts w:eastAsiaTheme="minorEastAsia"/>
          <w:bCs/>
          <w:kern w:val="22"/>
          <w:lang w:eastAsia="zh-CN"/>
        </w:rPr>
        <w:t>，</w:t>
      </w:r>
      <w:r w:rsidRPr="00807594">
        <w:rPr>
          <w:rFonts w:eastAsiaTheme="minorEastAsia"/>
          <w:bCs/>
          <w:kern w:val="22"/>
          <w:lang w:val="zh-CN" w:eastAsia="zh-CN"/>
        </w:rPr>
        <w:t>使其符合目前状况和国家现实。否则</w:t>
      </w:r>
      <w:r w:rsidRPr="00807594">
        <w:rPr>
          <w:rFonts w:eastAsiaTheme="minorEastAsia"/>
          <w:bCs/>
          <w:kern w:val="22"/>
          <w:lang w:eastAsia="zh-CN"/>
        </w:rPr>
        <w:t>，</w:t>
      </w:r>
      <w:r w:rsidRPr="00807594">
        <w:rPr>
          <w:rFonts w:eastAsiaTheme="minorEastAsia"/>
          <w:bCs/>
          <w:kern w:val="22"/>
          <w:lang w:val="zh-CN" w:eastAsia="zh-CN"/>
        </w:rPr>
        <w:t>野生动物法律将难以适用和执行</w:t>
      </w:r>
      <w:r w:rsidRPr="00807594">
        <w:rPr>
          <w:rFonts w:eastAsiaTheme="minorEastAsia"/>
          <w:bCs/>
          <w:kern w:val="22"/>
          <w:lang w:eastAsia="zh-CN"/>
        </w:rPr>
        <w:t>，</w:t>
      </w:r>
      <w:r w:rsidRPr="00807594">
        <w:rPr>
          <w:rFonts w:eastAsiaTheme="minorEastAsia"/>
          <w:bCs/>
          <w:kern w:val="22"/>
          <w:lang w:val="zh-CN" w:eastAsia="zh-CN"/>
        </w:rPr>
        <w:t>并且不太可能在在减少狩猎对于关键物种和生态系统的压力方面取得成效。此外</w:t>
      </w:r>
      <w:r w:rsidRPr="00807594">
        <w:rPr>
          <w:rFonts w:eastAsiaTheme="minorEastAsia"/>
          <w:bCs/>
          <w:kern w:val="22"/>
          <w:lang w:eastAsia="zh-CN"/>
        </w:rPr>
        <w:t>，</w:t>
      </w:r>
      <w:r w:rsidRPr="00807594">
        <w:rPr>
          <w:rFonts w:eastAsiaTheme="minorEastAsia"/>
          <w:bCs/>
          <w:kern w:val="22"/>
          <w:lang w:val="zh-CN" w:eastAsia="zh-CN"/>
        </w:rPr>
        <w:t>遵守过时的法规意味着高额成本</w:t>
      </w:r>
      <w:r w:rsidRPr="00807594">
        <w:rPr>
          <w:rFonts w:eastAsiaTheme="minorEastAsia"/>
          <w:bCs/>
          <w:kern w:val="22"/>
          <w:lang w:eastAsia="zh-CN"/>
        </w:rPr>
        <w:t>，</w:t>
      </w:r>
      <w:r w:rsidRPr="00807594">
        <w:rPr>
          <w:rFonts w:eastAsiaTheme="minorEastAsia"/>
          <w:bCs/>
          <w:kern w:val="22"/>
          <w:lang w:val="zh-CN" w:eastAsia="zh-CN"/>
        </w:rPr>
        <w:t>在没有补偿措施的情况下</w:t>
      </w:r>
      <w:r w:rsidRPr="00807594">
        <w:rPr>
          <w:rFonts w:eastAsiaTheme="minorEastAsia"/>
          <w:bCs/>
          <w:kern w:val="22"/>
          <w:lang w:eastAsia="zh-CN"/>
        </w:rPr>
        <w:t>，</w:t>
      </w:r>
      <w:r w:rsidRPr="00807594">
        <w:rPr>
          <w:rFonts w:eastAsiaTheme="minorEastAsia"/>
          <w:bCs/>
          <w:kern w:val="22"/>
          <w:lang w:val="zh-CN" w:eastAsia="zh-CN"/>
        </w:rPr>
        <w:t>土著人民和地方社区无法负担这种费用。</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color w:val="000000"/>
          <w:lang w:eastAsia="zh-CN" w:bidi="th-TH"/>
        </w:rPr>
      </w:pPr>
      <w:r w:rsidRPr="00807594">
        <w:rPr>
          <w:rFonts w:eastAsiaTheme="minorEastAsia"/>
          <w:bCs/>
          <w:lang w:val="zh-CN" w:eastAsia="zh-CN"/>
        </w:rPr>
        <w:t>国家法律执行不力导致土著人民和地方社区野生动物的传统权利被没有传统土地上狩猎合法权利的外来狩猎者非法侵占。当土著人民和地方社区从自身土地上的野生动物的狩猎、消费和贸易中获得惠益时</w:t>
      </w:r>
      <w:r w:rsidRPr="00807594">
        <w:rPr>
          <w:rFonts w:eastAsiaTheme="minorEastAsia"/>
          <w:bCs/>
          <w:lang w:eastAsia="zh-CN"/>
        </w:rPr>
        <w:t>，</w:t>
      </w:r>
      <w:r w:rsidRPr="00807594">
        <w:rPr>
          <w:rFonts w:eastAsiaTheme="minorEastAsia"/>
          <w:bCs/>
          <w:lang w:val="zh-CN" w:eastAsia="zh-CN"/>
        </w:rPr>
        <w:t>他们将偷猎视为对他们进行偷窃</w:t>
      </w:r>
      <w:r w:rsidRPr="00807594">
        <w:rPr>
          <w:rFonts w:eastAsiaTheme="minorEastAsia"/>
          <w:bCs/>
          <w:lang w:eastAsia="zh-CN"/>
        </w:rPr>
        <w:t>，</w:t>
      </w:r>
      <w:r w:rsidRPr="00807594">
        <w:rPr>
          <w:rFonts w:eastAsiaTheme="minorEastAsia"/>
          <w:bCs/>
          <w:lang w:val="zh-CN" w:eastAsia="zh-CN"/>
        </w:rPr>
        <w:t>因此</w:t>
      </w:r>
      <w:r w:rsidRPr="00807594">
        <w:rPr>
          <w:rFonts w:eastAsiaTheme="minorEastAsia"/>
          <w:bCs/>
          <w:lang w:eastAsia="zh-CN"/>
        </w:rPr>
        <w:t>，</w:t>
      </w:r>
      <w:r w:rsidRPr="00807594">
        <w:rPr>
          <w:rFonts w:eastAsiaTheme="minorEastAsia"/>
          <w:bCs/>
          <w:lang w:val="zh-CN" w:eastAsia="zh-CN"/>
        </w:rPr>
        <w:t>他们对阻止不合法或非法地使用其野生动物的积极性很高。</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color w:val="000000"/>
          <w:lang w:eastAsia="zh-CN" w:bidi="th-TH"/>
        </w:rPr>
      </w:pPr>
      <w:r w:rsidRPr="00807594">
        <w:rPr>
          <w:rFonts w:eastAsiaTheme="minorEastAsia"/>
          <w:bCs/>
          <w:kern w:val="22"/>
          <w:lang w:val="zh-CN" w:eastAsia="zh-CN"/>
        </w:rPr>
        <w:t>有充分的证据显示</w:t>
      </w:r>
      <w:r w:rsidRPr="00807594">
        <w:rPr>
          <w:rFonts w:eastAsiaTheme="minorEastAsia"/>
          <w:bCs/>
          <w:kern w:val="22"/>
          <w:lang w:eastAsia="zh-CN"/>
        </w:rPr>
        <w:t>，</w:t>
      </w:r>
      <w:r w:rsidRPr="00807594">
        <w:rPr>
          <w:rFonts w:eastAsiaTheme="minorEastAsia"/>
          <w:bCs/>
          <w:kern w:val="22"/>
          <w:lang w:val="zh-CN" w:eastAsia="zh-CN"/>
        </w:rPr>
        <w:t>如果社区和当局长期合作</w:t>
      </w:r>
      <w:r w:rsidRPr="00807594">
        <w:rPr>
          <w:rFonts w:eastAsiaTheme="minorEastAsia"/>
          <w:bCs/>
          <w:kern w:val="22"/>
          <w:lang w:eastAsia="zh-CN"/>
        </w:rPr>
        <w:t>，</w:t>
      </w:r>
      <w:r w:rsidRPr="00807594">
        <w:rPr>
          <w:rFonts w:eastAsiaTheme="minorEastAsia"/>
          <w:bCs/>
          <w:kern w:val="22"/>
          <w:lang w:val="zh-CN" w:eastAsia="zh-CN"/>
        </w:rPr>
        <w:t>狩猎管控、执法和预防犯罪就会更加行之有效。经试行并得到证明的有效战略</w:t>
      </w:r>
      <w:r w:rsidRPr="00807594">
        <w:rPr>
          <w:rFonts w:eastAsiaTheme="minorEastAsia"/>
          <w:bCs/>
          <w:kern w:val="22"/>
          <w:lang w:eastAsia="zh-CN"/>
        </w:rPr>
        <w:t>，</w:t>
      </w:r>
      <w:r w:rsidRPr="00807594">
        <w:rPr>
          <w:rFonts w:eastAsiaTheme="minorEastAsia"/>
          <w:bCs/>
          <w:kern w:val="22"/>
          <w:lang w:val="zh-CN" w:eastAsia="zh-CN"/>
        </w:rPr>
        <w:t>是哪些需要双方长期参与的战略</w:t>
      </w:r>
      <w:r w:rsidRPr="00807594">
        <w:rPr>
          <w:rFonts w:eastAsiaTheme="minorEastAsia"/>
          <w:bCs/>
          <w:kern w:val="22"/>
          <w:lang w:eastAsia="zh-CN"/>
        </w:rPr>
        <w:t>，</w:t>
      </w:r>
      <w:r w:rsidRPr="00807594">
        <w:rPr>
          <w:rFonts w:eastAsiaTheme="minorEastAsia"/>
          <w:bCs/>
          <w:kern w:val="22"/>
          <w:lang w:val="zh-CN" w:eastAsia="zh-CN"/>
        </w:rPr>
        <w:t>在对狩猎进行监管的同时</w:t>
      </w:r>
      <w:r w:rsidRPr="00807594">
        <w:rPr>
          <w:rFonts w:eastAsiaTheme="minorEastAsia"/>
          <w:bCs/>
          <w:kern w:val="22"/>
          <w:lang w:eastAsia="zh-CN"/>
        </w:rPr>
        <w:t>，</w:t>
      </w:r>
      <w:r w:rsidRPr="00807594">
        <w:rPr>
          <w:rFonts w:eastAsiaTheme="minorEastAsia"/>
          <w:bCs/>
          <w:kern w:val="22"/>
          <w:lang w:val="zh-CN" w:eastAsia="zh-CN"/>
        </w:rPr>
        <w:t>还尊重与野生动物一起生活的土著人民和地方社区的合法传统权利</w:t>
      </w:r>
      <w:r w:rsidRPr="00807594">
        <w:rPr>
          <w:rFonts w:eastAsiaTheme="minorEastAsia"/>
          <w:bCs/>
          <w:kern w:val="22"/>
          <w:lang w:eastAsia="zh-CN"/>
        </w:rPr>
        <w:t>，</w:t>
      </w:r>
      <w:r w:rsidRPr="00807594">
        <w:rPr>
          <w:rFonts w:eastAsiaTheme="minorEastAsia"/>
          <w:bCs/>
          <w:kern w:val="22"/>
          <w:lang w:val="zh-CN" w:eastAsia="zh-CN"/>
        </w:rPr>
        <w:t>捍卫社区的资产</w:t>
      </w:r>
      <w:r w:rsidRPr="00807594">
        <w:rPr>
          <w:rFonts w:eastAsiaTheme="minorEastAsia"/>
          <w:bCs/>
          <w:kern w:val="22"/>
          <w:lang w:eastAsia="zh-CN"/>
        </w:rPr>
        <w:t>，</w:t>
      </w:r>
      <w:r w:rsidRPr="00807594">
        <w:rPr>
          <w:rFonts w:eastAsiaTheme="minorEastAsia"/>
          <w:bCs/>
          <w:kern w:val="22"/>
          <w:lang w:val="zh-CN" w:eastAsia="zh-CN"/>
        </w:rPr>
        <w:t>确保地方社区可持续地管理和从野生动物的利用和养护中受益。社区可以称为执法的</w:t>
      </w:r>
      <w:r w:rsidRPr="00807594">
        <w:rPr>
          <w:rFonts w:eastAsiaTheme="minorEastAsia"/>
          <w:bCs/>
          <w:kern w:val="22"/>
          <w:lang w:eastAsia="zh-CN" w:bidi="th-TH"/>
        </w:rPr>
        <w:t>“</w:t>
      </w:r>
      <w:r w:rsidRPr="00807594">
        <w:rPr>
          <w:rFonts w:eastAsiaTheme="minorEastAsia"/>
          <w:bCs/>
          <w:kern w:val="22"/>
          <w:lang w:val="zh-CN" w:eastAsia="zh-CN"/>
        </w:rPr>
        <w:t>耳目</w:t>
      </w:r>
      <w:r w:rsidRPr="00807594">
        <w:rPr>
          <w:rFonts w:eastAsiaTheme="minorEastAsia"/>
          <w:bCs/>
          <w:kern w:val="22"/>
          <w:lang w:eastAsia="zh-CN" w:bidi="th-TH"/>
        </w:rPr>
        <w:t>”</w:t>
      </w:r>
      <w:r w:rsidRPr="00807594">
        <w:rPr>
          <w:rFonts w:eastAsiaTheme="minorEastAsia"/>
          <w:bCs/>
          <w:kern w:val="22"/>
          <w:lang w:eastAsia="zh-CN"/>
        </w:rPr>
        <w:t>，</w:t>
      </w:r>
      <w:r w:rsidRPr="00807594">
        <w:rPr>
          <w:rFonts w:eastAsiaTheme="minorEastAsia"/>
          <w:bCs/>
          <w:kern w:val="22"/>
          <w:lang w:val="zh-CN" w:eastAsia="zh-CN"/>
        </w:rPr>
        <w:t>向警察和国家森林局等缉捕当局提供信息。这些当局将为通风报信人保密，减少遭受报复的风险。</w:t>
      </w:r>
      <w:r w:rsidRPr="00807594">
        <w:rPr>
          <w:rFonts w:eastAsiaTheme="minorEastAsia"/>
          <w:bCs/>
          <w:kern w:val="22"/>
          <w:lang w:eastAsia="zh-CN" w:bidi="th-TH"/>
        </w:rPr>
        <w:t>还可进一步采取行动对土著人民和地方社区进行培训，以便发挥安全执法和国家公园官员的角色。</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iCs/>
          <w:snapToGrid w:val="0"/>
          <w:color w:val="000000"/>
          <w:kern w:val="22"/>
          <w:lang w:eastAsia="zh-CN" w:bidi="th-TH"/>
        </w:rPr>
      </w:pPr>
      <w:r w:rsidRPr="00807594">
        <w:rPr>
          <w:rFonts w:eastAsiaTheme="minorEastAsia"/>
          <w:bCs/>
          <w:iCs/>
          <w:snapToGrid w:val="0"/>
          <w:color w:val="000000"/>
          <w:kern w:val="22"/>
          <w:lang w:eastAsia="zh-CN" w:bidi="th-TH"/>
        </w:rPr>
        <w:t>建议采取</w:t>
      </w:r>
      <w:r w:rsidRPr="00807594">
        <w:rPr>
          <w:rFonts w:eastAsiaTheme="minorEastAsia"/>
          <w:bCs/>
          <w:kern w:val="22"/>
          <w:lang w:val="zh-CN" w:eastAsia="zh-CN"/>
        </w:rPr>
        <w:t>步骤</w:t>
      </w:r>
      <w:r w:rsidRPr="00807594">
        <w:rPr>
          <w:rFonts w:eastAsiaTheme="minorEastAsia"/>
          <w:bCs/>
          <w:iCs/>
          <w:snapToGrid w:val="0"/>
          <w:color w:val="000000"/>
          <w:kern w:val="22"/>
          <w:lang w:eastAsia="zh-CN" w:bidi="th-TH"/>
        </w:rPr>
        <w:t>从源头管理和改善野生动物肉供应的可持续性：</w:t>
      </w:r>
    </w:p>
    <w:p w:rsidR="00807594" w:rsidRPr="00807594" w:rsidRDefault="00807594" w:rsidP="0069685F">
      <w:pPr>
        <w:widowControl w:val="0"/>
        <w:numPr>
          <w:ilvl w:val="0"/>
          <w:numId w:val="97"/>
        </w:numPr>
        <w:suppressLineNumbers/>
        <w:tabs>
          <w:tab w:val="left" w:pos="1440"/>
        </w:tabs>
        <w:suppressAutoHyphens/>
        <w:adjustRightInd w:val="0"/>
        <w:snapToGrid w:val="0"/>
        <w:ind w:left="0" w:firstLine="720"/>
        <w:rPr>
          <w:rFonts w:eastAsiaTheme="minorEastAsia"/>
          <w:bCs/>
          <w:iCs/>
          <w:snapToGrid w:val="0"/>
          <w:color w:val="000000"/>
          <w:kern w:val="22"/>
          <w:lang w:eastAsia="zh-CN" w:bidi="th-TH"/>
        </w:rPr>
      </w:pPr>
      <w:r w:rsidRPr="00807594">
        <w:rPr>
          <w:rFonts w:eastAsiaTheme="minorEastAsia"/>
          <w:iCs/>
          <w:snapToGrid w:val="0"/>
          <w:color w:val="000000"/>
          <w:kern w:val="22"/>
          <w:lang w:eastAsia="zh-CN" w:bidi="th-TH"/>
        </w:rPr>
        <w:lastRenderedPageBreak/>
        <w:t>审查现行政策和法律框架；</w:t>
      </w:r>
      <w:r w:rsidRPr="00807594">
        <w:rPr>
          <w:rFonts w:eastAsiaTheme="minorEastAsia"/>
          <w:snapToGrid w:val="0"/>
          <w:kern w:val="22"/>
          <w:vertAlign w:val="superscript"/>
          <w:lang w:bidi="th-TH"/>
        </w:rPr>
        <w:footnoteReference w:id="112"/>
      </w:r>
      <w:r w:rsidRPr="00807594">
        <w:rPr>
          <w:rFonts w:eastAsiaTheme="minorEastAsia"/>
          <w:iCs/>
          <w:snapToGrid w:val="0"/>
          <w:color w:val="000000"/>
          <w:kern w:val="22"/>
          <w:lang w:eastAsia="zh-CN" w:bidi="th-TH"/>
        </w:rPr>
        <w:t xml:space="preserve"> </w:t>
      </w:r>
      <w:r w:rsidRPr="00807594">
        <w:rPr>
          <w:rFonts w:eastAsiaTheme="minorEastAsia"/>
          <w:iCs/>
          <w:snapToGrid w:val="0"/>
          <w:color w:val="000000"/>
          <w:kern w:val="22"/>
          <w:lang w:eastAsia="zh-CN" w:bidi="th-TH"/>
        </w:rPr>
        <w:t>大力鼓励经常使用野生动物肉的国家依照国情和国家相关立法审查与野生动物养护和可持续利用有关的现行政策和法律框架（包括野生动物肉管理），包括：</w:t>
      </w:r>
    </w:p>
    <w:p w:rsidR="00807594" w:rsidRPr="00807594" w:rsidRDefault="00807594" w:rsidP="0069685F">
      <w:pPr>
        <w:numPr>
          <w:ilvl w:val="0"/>
          <w:numId w:val="92"/>
        </w:numPr>
        <w:suppressLineNumbers/>
        <w:suppressAutoHyphens/>
        <w:adjustRightInd w:val="0"/>
        <w:snapToGrid w:val="0"/>
        <w:ind w:left="1728" w:hanging="720"/>
        <w:rPr>
          <w:rFonts w:eastAsiaTheme="minorEastAsia"/>
          <w:snapToGrid w:val="0"/>
          <w:color w:val="000000"/>
          <w:kern w:val="22"/>
          <w:lang w:val="en-CA" w:eastAsia="zh-CN"/>
        </w:rPr>
      </w:pPr>
      <w:r w:rsidRPr="00807594">
        <w:rPr>
          <w:rFonts w:eastAsiaTheme="minorEastAsia"/>
          <w:snapToGrid w:val="0"/>
          <w:color w:val="000000"/>
          <w:kern w:val="22"/>
          <w:lang w:val="en-CA" w:eastAsia="zh-CN"/>
        </w:rPr>
        <w:t>野生动物法律合理化，重点是可持续性，确保这些法律符合用途，并能够适当应用和执行，同时充分顾及粮食安全和养护问题；</w:t>
      </w:r>
    </w:p>
    <w:p w:rsidR="00807594" w:rsidRPr="00807594" w:rsidRDefault="00807594" w:rsidP="0069685F">
      <w:pPr>
        <w:numPr>
          <w:ilvl w:val="0"/>
          <w:numId w:val="92"/>
        </w:numPr>
        <w:suppressLineNumbers/>
        <w:suppressAutoHyphens/>
        <w:adjustRightInd w:val="0"/>
        <w:snapToGrid w:val="0"/>
        <w:ind w:left="1728" w:hanging="720"/>
        <w:rPr>
          <w:rFonts w:eastAsiaTheme="minorEastAsia"/>
          <w:snapToGrid w:val="0"/>
          <w:color w:val="000000"/>
          <w:kern w:val="22"/>
          <w:lang w:val="en-CA" w:eastAsia="zh-CN"/>
        </w:rPr>
      </w:pPr>
      <w:r w:rsidRPr="00807594">
        <w:rPr>
          <w:rFonts w:eastAsiaTheme="minorEastAsia"/>
          <w:snapToGrid w:val="0"/>
          <w:color w:val="000000"/>
          <w:kern w:val="22"/>
          <w:lang w:val="en-CA" w:eastAsia="zh-CN"/>
        </w:rPr>
        <w:t>根据《公约》的《生物多样性可持续习惯使用行动计划》，酌情将野生动物权利移交给当地居民，并加强适当形式的土地保有权，包括所有权，以加强其激励措施，可持续地管理资源并对外部行为者强制执行。在这一点上，应由一个拥有逮捕和起诉违法者权力的受到信任的国家主管机构及时支助各社区；</w:t>
      </w:r>
      <w:r w:rsidRPr="00807594">
        <w:rPr>
          <w:rFonts w:eastAsiaTheme="minorEastAsia"/>
          <w:snapToGrid w:val="0"/>
          <w:color w:val="000000"/>
          <w:kern w:val="22"/>
          <w:vertAlign w:val="superscript"/>
          <w:lang w:val="en-CA" w:eastAsia="en-CA"/>
        </w:rPr>
        <w:footnoteReference w:id="113"/>
      </w:r>
      <w:r w:rsidRPr="00807594">
        <w:rPr>
          <w:rFonts w:eastAsiaTheme="minorEastAsia"/>
          <w:snapToGrid w:val="0"/>
          <w:color w:val="000000"/>
          <w:kern w:val="22"/>
          <w:lang w:val="en-CA" w:eastAsia="zh-CN"/>
        </w:rPr>
        <w:t xml:space="preserve"> </w:t>
      </w:r>
    </w:p>
    <w:p w:rsidR="00807594" w:rsidRPr="00807594" w:rsidRDefault="00807594" w:rsidP="0069685F">
      <w:pPr>
        <w:numPr>
          <w:ilvl w:val="0"/>
          <w:numId w:val="92"/>
        </w:numPr>
        <w:suppressLineNumbers/>
        <w:suppressAutoHyphens/>
        <w:adjustRightInd w:val="0"/>
        <w:snapToGrid w:val="0"/>
        <w:ind w:left="1728" w:hanging="720"/>
        <w:rPr>
          <w:rFonts w:eastAsiaTheme="minorEastAsia"/>
          <w:snapToGrid w:val="0"/>
          <w:color w:val="000000"/>
          <w:kern w:val="22"/>
          <w:lang w:val="en-CA" w:eastAsia="zh-CN"/>
        </w:rPr>
      </w:pPr>
      <w:r w:rsidRPr="00807594">
        <w:rPr>
          <w:rFonts w:eastAsiaTheme="minorEastAsia"/>
          <w:snapToGrid w:val="0"/>
          <w:color w:val="000000"/>
          <w:kern w:val="22"/>
          <w:lang w:val="en-CA" w:eastAsia="zh-CN"/>
        </w:rPr>
        <w:t>制定区别对狩猎有复原力和没有复原力的物种的指导意见，以便提供有关可以可持续地猎获的物种的利用和贸易的信息。管制狩猎和贸易的法律应区别那些能迅速繁殖（例如鼠类和猪）的野生动物物种和与此相反的野生动物物种（灵长目动物和大多数体型大的哺乳动物）。立法应有充分针对性，以确保适应性管理，同时实行配额或能够意识到物种对猎获的复原力的其他管制办法；</w:t>
      </w:r>
    </w:p>
    <w:p w:rsidR="00807594" w:rsidRPr="00807594" w:rsidRDefault="00807594" w:rsidP="0069685F">
      <w:pPr>
        <w:numPr>
          <w:ilvl w:val="0"/>
          <w:numId w:val="92"/>
        </w:numPr>
        <w:suppressLineNumbers/>
        <w:suppressAutoHyphens/>
        <w:adjustRightInd w:val="0"/>
        <w:snapToGrid w:val="0"/>
        <w:ind w:left="1728" w:hanging="720"/>
        <w:rPr>
          <w:rFonts w:eastAsiaTheme="minorEastAsia"/>
          <w:snapToGrid w:val="0"/>
          <w:color w:val="000000"/>
          <w:kern w:val="22"/>
          <w:lang w:val="en-CA" w:eastAsia="zh-CN"/>
        </w:rPr>
      </w:pPr>
      <w:r w:rsidRPr="00807594">
        <w:rPr>
          <w:rFonts w:eastAsiaTheme="minorEastAsia"/>
          <w:snapToGrid w:val="0"/>
          <w:color w:val="000000"/>
          <w:kern w:val="22"/>
          <w:lang w:val="en-CA" w:eastAsia="zh-CN"/>
        </w:rPr>
        <w:t>如果正在审议税收制度，则对现有的必备能力和税收制度的可持续性（即收入能够承担费用）进行充分调查；</w:t>
      </w:r>
    </w:p>
    <w:p w:rsidR="00807594" w:rsidRPr="00807594" w:rsidRDefault="00807594" w:rsidP="0069685F">
      <w:pPr>
        <w:widowControl w:val="0"/>
        <w:numPr>
          <w:ilvl w:val="0"/>
          <w:numId w:val="97"/>
        </w:numPr>
        <w:suppressLineNumbers/>
        <w:tabs>
          <w:tab w:val="left" w:pos="1440"/>
        </w:tabs>
        <w:suppressAutoHyphens/>
        <w:adjustRightInd w:val="0"/>
        <w:snapToGrid w:val="0"/>
        <w:ind w:left="0" w:firstLine="720"/>
        <w:rPr>
          <w:rFonts w:eastAsiaTheme="minorEastAsia"/>
          <w:bCs/>
          <w:iCs/>
          <w:snapToGrid w:val="0"/>
          <w:color w:val="000000"/>
          <w:kern w:val="22"/>
          <w:lang w:eastAsia="ja-JP" w:bidi="th-TH"/>
        </w:rPr>
      </w:pPr>
      <w:r w:rsidRPr="00807594">
        <w:rPr>
          <w:rFonts w:eastAsiaTheme="minorEastAsia"/>
          <w:iCs/>
          <w:snapToGrid w:val="0"/>
          <w:color w:val="000000"/>
          <w:kern w:val="22"/>
          <w:lang w:bidi="th-TH"/>
        </w:rPr>
        <w:t>加强执行能力：</w:t>
      </w:r>
    </w:p>
    <w:p w:rsidR="00807594" w:rsidRPr="00807594" w:rsidRDefault="00807594" w:rsidP="0069685F">
      <w:pPr>
        <w:widowControl w:val="0"/>
        <w:numPr>
          <w:ilvl w:val="0"/>
          <w:numId w:val="83"/>
        </w:numPr>
        <w:suppressLineNumbers/>
        <w:suppressAutoHyphens/>
        <w:adjustRightInd w:val="0"/>
        <w:snapToGrid w:val="0"/>
        <w:ind w:left="1728" w:hanging="720"/>
        <w:rPr>
          <w:rFonts w:eastAsiaTheme="minorEastAsia"/>
          <w:bCs/>
          <w:iCs/>
          <w:snapToGrid w:val="0"/>
          <w:color w:val="000000"/>
          <w:kern w:val="22"/>
          <w:lang w:val="en-CA" w:eastAsia="zh-CN" w:bidi="th-TH"/>
        </w:rPr>
      </w:pPr>
      <w:r w:rsidRPr="00807594">
        <w:rPr>
          <w:rFonts w:eastAsiaTheme="minorEastAsia"/>
          <w:bCs/>
          <w:iCs/>
          <w:snapToGrid w:val="0"/>
          <w:color w:val="000000"/>
          <w:kern w:val="22"/>
          <w:lang w:val="en-CA" w:eastAsia="zh-CN" w:bidi="th-TH"/>
        </w:rPr>
        <w:t>国家和地方当局之间合作执行国家野生动物法，通过生物多样性的惠益激励社区合作和支持养护和可持续利用目标；</w:t>
      </w:r>
    </w:p>
    <w:p w:rsidR="00807594" w:rsidRPr="00807594" w:rsidRDefault="00807594" w:rsidP="0069685F">
      <w:pPr>
        <w:widowControl w:val="0"/>
        <w:numPr>
          <w:ilvl w:val="0"/>
          <w:numId w:val="83"/>
        </w:numPr>
        <w:suppressLineNumbers/>
        <w:suppressAutoHyphens/>
        <w:adjustRightInd w:val="0"/>
        <w:snapToGrid w:val="0"/>
        <w:ind w:left="1728" w:hanging="720"/>
        <w:rPr>
          <w:rFonts w:eastAsiaTheme="minorEastAsia"/>
          <w:snapToGrid w:val="0"/>
          <w:color w:val="000000"/>
          <w:kern w:val="22"/>
          <w:lang w:val="en-CA" w:eastAsia="zh-CN"/>
        </w:rPr>
      </w:pPr>
      <w:r w:rsidRPr="00807594">
        <w:rPr>
          <w:rFonts w:eastAsiaTheme="minorEastAsia"/>
          <w:bCs/>
          <w:iCs/>
          <w:snapToGrid w:val="0"/>
          <w:color w:val="000000"/>
          <w:kern w:val="22"/>
          <w:lang w:val="en-CA" w:eastAsia="zh-CN" w:bidi="th-TH"/>
        </w:rPr>
        <w:t>增强调查能力，加强控制、视察和逮捕程序及方法，以及培训和雇用土著人民和地方社区，包括在国内和过境点</w:t>
      </w:r>
      <w:r w:rsidR="009E27B3" w:rsidRPr="00807594">
        <w:rPr>
          <w:rFonts w:eastAsiaTheme="minorEastAsia"/>
          <w:bCs/>
          <w:iCs/>
          <w:snapToGrid w:val="0"/>
          <w:color w:val="000000"/>
          <w:kern w:val="22"/>
          <w:lang w:val="en-CA" w:eastAsia="zh-CN" w:bidi="th-TH"/>
        </w:rPr>
        <w:t>；</w:t>
      </w:r>
      <w:r w:rsidRPr="00807594">
        <w:rPr>
          <w:rFonts w:eastAsiaTheme="minorEastAsia"/>
          <w:iCs/>
          <w:snapToGrid w:val="0"/>
          <w:color w:val="000000"/>
          <w:kern w:val="22"/>
          <w:vertAlign w:val="superscript"/>
          <w:lang w:val="en-CA" w:eastAsia="ja-JP" w:bidi="th-TH"/>
        </w:rPr>
        <w:footnoteReference w:id="114"/>
      </w:r>
    </w:p>
    <w:p w:rsidR="00807594" w:rsidRPr="00807594" w:rsidRDefault="00807594" w:rsidP="0069685F">
      <w:pPr>
        <w:widowControl w:val="0"/>
        <w:numPr>
          <w:ilvl w:val="0"/>
          <w:numId w:val="83"/>
        </w:numPr>
        <w:suppressLineNumbers/>
        <w:suppressAutoHyphens/>
        <w:adjustRightInd w:val="0"/>
        <w:snapToGrid w:val="0"/>
        <w:ind w:left="1728" w:hanging="720"/>
        <w:rPr>
          <w:rFonts w:eastAsiaTheme="minorEastAsia"/>
          <w:bCs/>
          <w:iCs/>
          <w:snapToGrid w:val="0"/>
          <w:color w:val="000000"/>
          <w:kern w:val="22"/>
          <w:lang w:val="en-CA" w:eastAsia="zh-CN" w:bidi="th-TH"/>
        </w:rPr>
      </w:pPr>
      <w:r w:rsidRPr="00807594">
        <w:rPr>
          <w:rFonts w:eastAsiaTheme="minorEastAsia"/>
          <w:bCs/>
          <w:iCs/>
          <w:snapToGrid w:val="0"/>
          <w:color w:val="000000"/>
          <w:kern w:val="22"/>
          <w:lang w:val="en-CA" w:eastAsia="zh-CN" w:bidi="th-TH"/>
        </w:rPr>
        <w:t>加强措施以保护土著人民和地方社区在执法活动中的权利，并尽可能遏制偷猎；</w:t>
      </w:r>
    </w:p>
    <w:p w:rsidR="00807594" w:rsidRPr="00807594" w:rsidRDefault="00807594" w:rsidP="0069685F">
      <w:pPr>
        <w:widowControl w:val="0"/>
        <w:numPr>
          <w:ilvl w:val="0"/>
          <w:numId w:val="83"/>
        </w:numPr>
        <w:suppressLineNumbers/>
        <w:suppressAutoHyphens/>
        <w:adjustRightInd w:val="0"/>
        <w:snapToGrid w:val="0"/>
        <w:ind w:left="1728" w:hanging="720"/>
        <w:rPr>
          <w:rFonts w:eastAsiaTheme="minorEastAsia"/>
          <w:bCs/>
          <w:iCs/>
          <w:snapToGrid w:val="0"/>
          <w:color w:val="000000"/>
          <w:kern w:val="22"/>
          <w:lang w:val="en-CA" w:eastAsia="ja-JP" w:bidi="th-TH"/>
        </w:rPr>
      </w:pPr>
      <w:r w:rsidRPr="00807594">
        <w:rPr>
          <w:rFonts w:eastAsiaTheme="minorEastAsia"/>
          <w:bCs/>
          <w:iCs/>
          <w:snapToGrid w:val="0"/>
          <w:color w:val="000000"/>
          <w:kern w:val="22"/>
          <w:lang w:val="en-CA" w:eastAsia="zh-CN" w:bidi="th-TH"/>
        </w:rPr>
        <w:t>加强野生动物贸易执法官员、检察官和法官及执行各自法律中的其他相关</w:t>
      </w:r>
      <w:r w:rsidRPr="00807594">
        <w:rPr>
          <w:rFonts w:eastAsiaTheme="minorEastAsia"/>
          <w:bCs/>
          <w:iCs/>
          <w:snapToGrid w:val="0"/>
          <w:color w:val="000000"/>
          <w:kern w:val="22"/>
          <w:lang w:val="en-CA" w:eastAsia="zh-CN" w:bidi="th-TH"/>
        </w:rPr>
        <w:lastRenderedPageBreak/>
        <w:t>工作人员之间的合作与协作，并让检察官和法官有能力起诉和判罚野生动物肉非法猎获和贸易的案件；</w:t>
      </w:r>
    </w:p>
    <w:p w:rsidR="00807594" w:rsidRPr="00807594" w:rsidRDefault="00807594" w:rsidP="0069685F">
      <w:pPr>
        <w:widowControl w:val="0"/>
        <w:numPr>
          <w:ilvl w:val="0"/>
          <w:numId w:val="83"/>
        </w:numPr>
        <w:suppressLineNumbers/>
        <w:suppressAutoHyphens/>
        <w:adjustRightInd w:val="0"/>
        <w:snapToGrid w:val="0"/>
        <w:ind w:left="1728" w:hanging="720"/>
        <w:rPr>
          <w:rFonts w:eastAsiaTheme="minorEastAsia"/>
          <w:lang w:val="en-CA" w:eastAsia="zh-CN"/>
        </w:rPr>
      </w:pPr>
      <w:r w:rsidRPr="00807594">
        <w:rPr>
          <w:rFonts w:eastAsiaTheme="minorEastAsia"/>
          <w:lang w:val="en-CA" w:eastAsia="zh-CN"/>
        </w:rPr>
        <w:t>加强财政、法律和司法人员的环境法律和政策的能力，提高他们处理</w:t>
      </w:r>
      <w:r w:rsidRPr="00807594">
        <w:rPr>
          <w:rFonts w:eastAsiaTheme="minorEastAsia"/>
          <w:bCs/>
          <w:iCs/>
          <w:snapToGrid w:val="0"/>
          <w:color w:val="000000"/>
          <w:kern w:val="22"/>
          <w:lang w:val="en-CA" w:eastAsia="zh-CN" w:bidi="th-TH"/>
        </w:rPr>
        <w:t>野生动物犯罪的认识和效力；</w:t>
      </w:r>
    </w:p>
    <w:p w:rsidR="00807594" w:rsidRPr="00807594" w:rsidRDefault="00807594" w:rsidP="0069685F">
      <w:pPr>
        <w:widowControl w:val="0"/>
        <w:numPr>
          <w:ilvl w:val="0"/>
          <w:numId w:val="83"/>
        </w:numPr>
        <w:suppressLineNumbers/>
        <w:suppressAutoHyphens/>
        <w:adjustRightInd w:val="0"/>
        <w:snapToGrid w:val="0"/>
        <w:ind w:left="1728" w:hanging="720"/>
        <w:rPr>
          <w:rFonts w:eastAsiaTheme="minorEastAsia"/>
          <w:bCs/>
          <w:iCs/>
          <w:snapToGrid w:val="0"/>
          <w:color w:val="000000"/>
          <w:kern w:val="22"/>
          <w:lang w:val="en-CA" w:eastAsia="ja-JP" w:bidi="th-TH"/>
        </w:rPr>
      </w:pPr>
      <w:r w:rsidRPr="00807594">
        <w:rPr>
          <w:rFonts w:eastAsiaTheme="minorEastAsia"/>
          <w:bCs/>
          <w:iCs/>
          <w:snapToGrid w:val="0"/>
          <w:color w:val="000000"/>
          <w:kern w:val="22"/>
          <w:lang w:val="en-CA" w:eastAsia="zh-CN" w:bidi="th-TH"/>
        </w:rPr>
        <w:t>促进公民（包括土著人民和地方社区）了解国家和地方法律和规章的提高认识活动。</w:t>
      </w:r>
    </w:p>
    <w:p w:rsidR="00807594" w:rsidRPr="00807594" w:rsidRDefault="00807594" w:rsidP="0069685F">
      <w:pPr>
        <w:widowControl w:val="0"/>
        <w:numPr>
          <w:ilvl w:val="0"/>
          <w:numId w:val="97"/>
        </w:numPr>
        <w:suppressLineNumbers/>
        <w:tabs>
          <w:tab w:val="left" w:pos="1440"/>
        </w:tabs>
        <w:suppressAutoHyphens/>
        <w:adjustRightInd w:val="0"/>
        <w:snapToGrid w:val="0"/>
        <w:ind w:left="0" w:firstLine="720"/>
        <w:rPr>
          <w:rFonts w:eastAsiaTheme="minorEastAsia"/>
          <w:bCs/>
          <w:iCs/>
          <w:snapToGrid w:val="0"/>
          <w:color w:val="000000"/>
          <w:kern w:val="22"/>
          <w:lang w:eastAsia="ja-JP" w:bidi="th-TH"/>
        </w:rPr>
      </w:pPr>
      <w:r w:rsidRPr="00807594">
        <w:rPr>
          <w:rFonts w:eastAsiaTheme="minorEastAsia"/>
          <w:iCs/>
          <w:snapToGrid w:val="0"/>
          <w:color w:val="000000"/>
          <w:kern w:val="22"/>
          <w:lang w:eastAsia="zh-CN" w:bidi="th-TH"/>
        </w:rPr>
        <w:t>在制定和执行野生动物（包括野生动物肉物种）的可持续管理和猎获方面建立和加强参与式进程，并让土著人民和地方社区、非政府组织、私营部门和其他有关利益攸关方参与其中：</w:t>
      </w:r>
    </w:p>
    <w:p w:rsidR="00807594" w:rsidRPr="00807594" w:rsidRDefault="00807594" w:rsidP="0069685F">
      <w:pPr>
        <w:numPr>
          <w:ilvl w:val="0"/>
          <w:numId w:val="93"/>
        </w:numPr>
        <w:suppressLineNumbers/>
        <w:suppressAutoHyphens/>
        <w:adjustRightInd w:val="0"/>
        <w:snapToGrid w:val="0"/>
        <w:ind w:left="1728" w:hanging="720"/>
        <w:rPr>
          <w:rFonts w:eastAsiaTheme="minorEastAsia"/>
          <w:bCs/>
          <w:iCs/>
          <w:snapToGrid w:val="0"/>
          <w:color w:val="000000"/>
          <w:kern w:val="22"/>
          <w:lang w:eastAsia="ja-JP" w:bidi="th-TH"/>
        </w:rPr>
      </w:pPr>
      <w:r w:rsidRPr="00807594">
        <w:rPr>
          <w:rFonts w:eastAsiaTheme="minorEastAsia"/>
          <w:snapToGrid w:val="0"/>
          <w:color w:val="000000"/>
          <w:kern w:val="22"/>
          <w:lang w:eastAsia="zh-CN"/>
        </w:rPr>
        <w:t>应酌情让社区参与地方野生动物资源的可持续管理。通过承认和支持土著人民和地方社区养护的领地和地区和采用一系列管理模式，包括社区狩猎区、社区保护协会、生态系统服务付费和认证制度以及对生物多样性友好的管理模式可以实现；</w:t>
      </w:r>
    </w:p>
    <w:p w:rsidR="00807594" w:rsidRPr="00807594" w:rsidRDefault="00807594" w:rsidP="0069685F">
      <w:pPr>
        <w:numPr>
          <w:ilvl w:val="0"/>
          <w:numId w:val="93"/>
        </w:numPr>
        <w:suppressLineNumbers/>
        <w:suppressAutoHyphens/>
        <w:adjustRightInd w:val="0"/>
        <w:snapToGrid w:val="0"/>
        <w:ind w:left="1728" w:hanging="720"/>
        <w:rPr>
          <w:rFonts w:eastAsiaTheme="minorEastAsia"/>
          <w:bCs/>
          <w:iCs/>
          <w:snapToGrid w:val="0"/>
          <w:color w:val="000000"/>
          <w:kern w:val="22"/>
          <w:lang w:eastAsia="ja-JP" w:bidi="th-TH"/>
        </w:rPr>
      </w:pPr>
      <w:r w:rsidRPr="00807594">
        <w:rPr>
          <w:rFonts w:eastAsiaTheme="minorEastAsia"/>
          <w:bCs/>
          <w:iCs/>
          <w:snapToGrid w:val="0"/>
          <w:color w:val="000000"/>
          <w:kern w:val="22"/>
          <w:lang w:eastAsia="zh-CN" w:bidi="th-TH"/>
        </w:rPr>
        <w:t>野生动物管理，包括野生动物肉物种管理，应成为在热带和亚热带生态系统中开展业务的采掘业（石油、天然气、矿产、木材等）管理或业务计划的重要组成部分。在有关情况下，如果需求超出或预计超出可持续的产量，政府与基础设施、采掘业之间的合同应为在这些特许行业中的工作人员提供以粮食替代野生动物肉的办法；</w:t>
      </w:r>
    </w:p>
    <w:p w:rsidR="00807594" w:rsidRPr="00807594" w:rsidRDefault="00807594" w:rsidP="0069685F">
      <w:pPr>
        <w:numPr>
          <w:ilvl w:val="0"/>
          <w:numId w:val="93"/>
        </w:numPr>
        <w:suppressLineNumbers/>
        <w:suppressAutoHyphens/>
        <w:adjustRightInd w:val="0"/>
        <w:snapToGrid w:val="0"/>
        <w:ind w:left="1728" w:hanging="720"/>
        <w:rPr>
          <w:rFonts w:eastAsiaTheme="minorEastAsia"/>
          <w:bCs/>
          <w:iCs/>
          <w:snapToGrid w:val="0"/>
          <w:color w:val="000000"/>
          <w:kern w:val="22"/>
          <w:lang w:eastAsia="ja-JP" w:bidi="th-TH"/>
        </w:rPr>
      </w:pPr>
      <w:r w:rsidRPr="00807594">
        <w:rPr>
          <w:rFonts w:eastAsiaTheme="minorEastAsia"/>
          <w:bCs/>
          <w:iCs/>
          <w:snapToGrid w:val="0"/>
          <w:color w:val="000000"/>
          <w:kern w:val="22"/>
          <w:lang w:eastAsia="zh-CN" w:bidi="th-TH"/>
        </w:rPr>
        <w:t>应确认、视需要扩大、适用和监测采掘业准则和政策中现有的生物多样性保障措施和标准。如公司不履行这些保障措施和标准，应对其实施罚款和赔偿措施；</w:t>
      </w:r>
    </w:p>
    <w:p w:rsidR="00807594" w:rsidRPr="00807594" w:rsidRDefault="00807594" w:rsidP="0069685F">
      <w:pPr>
        <w:numPr>
          <w:ilvl w:val="0"/>
          <w:numId w:val="93"/>
        </w:numPr>
        <w:suppressLineNumbers/>
        <w:suppressAutoHyphens/>
        <w:adjustRightInd w:val="0"/>
        <w:snapToGrid w:val="0"/>
        <w:ind w:left="1728" w:hanging="720"/>
        <w:rPr>
          <w:rFonts w:eastAsiaTheme="minorEastAsia"/>
          <w:bCs/>
          <w:iCs/>
          <w:snapToGrid w:val="0"/>
          <w:color w:val="000000"/>
          <w:kern w:val="22"/>
          <w:lang w:eastAsia="zh-CN" w:bidi="th-TH"/>
        </w:rPr>
      </w:pPr>
      <w:r w:rsidRPr="00807594">
        <w:rPr>
          <w:rFonts w:eastAsiaTheme="minorEastAsia"/>
          <w:bCs/>
          <w:iCs/>
          <w:snapToGrid w:val="0"/>
          <w:color w:val="000000"/>
          <w:kern w:val="22"/>
          <w:lang w:eastAsia="zh-CN" w:bidi="th-TH"/>
        </w:rPr>
        <w:t>可进一步将可持续野生动物肉管理因素纳入森林认证制度计划方案</w:t>
      </w:r>
      <w:r w:rsidRPr="00807594">
        <w:rPr>
          <w:rFonts w:eastAsiaTheme="minorEastAsia"/>
          <w:vertAlign w:val="superscript"/>
        </w:rPr>
        <w:footnoteReference w:id="115"/>
      </w:r>
      <w:r w:rsidRPr="00807594">
        <w:rPr>
          <w:rFonts w:eastAsiaTheme="minorEastAsia"/>
          <w:bCs/>
          <w:iCs/>
          <w:snapToGrid w:val="0"/>
          <w:color w:val="000000"/>
          <w:kern w:val="22"/>
          <w:lang w:eastAsia="zh-CN" w:bidi="th-TH"/>
        </w:rPr>
        <w:t>以及可持续森林管理标准和指标进程，以便缓解人类活动对野生动物的影响，办法是酌情纳入关于替代、可持续食物来源和生计的规定和支持合法和可持续狩猎的能力建设和和管理系统的规定，有效管制对受保护物种的猎获。</w:t>
      </w:r>
    </w:p>
    <w:p w:rsidR="00807594" w:rsidRPr="00807594" w:rsidRDefault="00807594" w:rsidP="0069685F">
      <w:pPr>
        <w:widowControl w:val="0"/>
        <w:numPr>
          <w:ilvl w:val="0"/>
          <w:numId w:val="97"/>
        </w:numPr>
        <w:suppressLineNumbers/>
        <w:tabs>
          <w:tab w:val="left" w:pos="1440"/>
        </w:tabs>
        <w:suppressAutoHyphens/>
        <w:adjustRightInd w:val="0"/>
        <w:snapToGrid w:val="0"/>
        <w:ind w:left="0" w:firstLine="720"/>
        <w:rPr>
          <w:rFonts w:eastAsiaTheme="minorEastAsia"/>
          <w:bCs/>
          <w:iCs/>
          <w:snapToGrid w:val="0"/>
          <w:color w:val="000000"/>
          <w:kern w:val="22"/>
          <w:lang w:bidi="th-TH"/>
        </w:rPr>
      </w:pPr>
      <w:r w:rsidRPr="00807594">
        <w:rPr>
          <w:rFonts w:eastAsiaTheme="minorEastAsia"/>
          <w:iCs/>
          <w:snapToGrid w:val="0"/>
          <w:color w:val="000000"/>
          <w:kern w:val="22"/>
          <w:lang w:bidi="th-TH"/>
        </w:rPr>
        <w:t>替代和其他缓解措施：</w:t>
      </w:r>
    </w:p>
    <w:p w:rsidR="00807594" w:rsidRPr="00807594" w:rsidRDefault="00807594" w:rsidP="00807594">
      <w:pPr>
        <w:suppressLineNumbers/>
        <w:suppressAutoHyphens/>
        <w:adjustRightInd w:val="0"/>
        <w:snapToGrid w:val="0"/>
        <w:ind w:left="1440"/>
        <w:rPr>
          <w:rFonts w:eastAsiaTheme="minorEastAsia"/>
          <w:iCs/>
          <w:snapToGrid w:val="0"/>
          <w:color w:val="000000"/>
          <w:kern w:val="22"/>
          <w:lang w:eastAsia="zh-CN" w:bidi="th-TH"/>
        </w:rPr>
      </w:pPr>
      <w:r w:rsidRPr="00807594">
        <w:rPr>
          <w:rFonts w:eastAsiaTheme="minorEastAsia"/>
          <w:bCs/>
          <w:iCs/>
          <w:snapToGrid w:val="0"/>
          <w:color w:val="000000"/>
          <w:kern w:val="22"/>
          <w:lang w:eastAsia="zh-CN" w:bidi="th-TH"/>
        </w:rPr>
        <w:t>开发文化上可接受和经济上可实施的粮食和收入替代来源，是单凭野生动物无法持续支持目前和未来生计需要的地区的关键。不过，各种粮食和收入替代来源都需要考虑到地方现实状况、文化和偏好，并应配合土著人民和地方社区进行开发和落实或支持基于社区的收入项目。减缓措施（农耕、畜牧、圈养繁殖等）可在养护野生动物资源方面发挥作用。</w:t>
      </w:r>
      <w:r w:rsidRPr="00807594">
        <w:rPr>
          <w:rFonts w:eastAsiaTheme="minorEastAsia"/>
          <w:bCs/>
          <w:iCs/>
          <w:snapToGrid w:val="0"/>
          <w:color w:val="000000"/>
          <w:kern w:val="22"/>
          <w:lang w:eastAsia="zh-CN" w:bidi="th-TH"/>
        </w:rPr>
        <w:t xml:space="preserve"> </w:t>
      </w:r>
    </w:p>
    <w:p w:rsidR="00807594" w:rsidRPr="00807594" w:rsidRDefault="00807594" w:rsidP="00807594">
      <w:pPr>
        <w:tabs>
          <w:tab w:val="left" w:pos="720"/>
        </w:tabs>
        <w:adjustRightInd w:val="0"/>
        <w:snapToGrid w:val="0"/>
        <w:jc w:val="center"/>
        <w:rPr>
          <w:rFonts w:eastAsiaTheme="minorEastAsia"/>
          <w:b/>
          <w:lang w:val="zh-CN" w:eastAsia="zh-CN"/>
        </w:rPr>
      </w:pPr>
      <w:r w:rsidRPr="00807594">
        <w:rPr>
          <w:rFonts w:eastAsiaTheme="minorEastAsia"/>
          <w:b/>
          <w:lang w:val="zh-CN" w:eastAsia="zh-CN"/>
        </w:rPr>
        <w:lastRenderedPageBreak/>
        <w:t xml:space="preserve">B.    </w:t>
      </w:r>
      <w:r w:rsidRPr="00807594">
        <w:rPr>
          <w:rFonts w:eastAsiaTheme="minorEastAsia"/>
          <w:b/>
          <w:lang w:val="zh-CN" w:eastAsia="zh-CN"/>
        </w:rPr>
        <w:t>减少城镇对不可持续管理和（或）非法野生动物肉的需求</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
          <w:iCs/>
          <w:snapToGrid w:val="0"/>
          <w:color w:val="000000"/>
          <w:kern w:val="22"/>
          <w:lang w:eastAsia="ja-JP" w:bidi="th-TH"/>
        </w:rPr>
      </w:pPr>
      <w:bookmarkStart w:id="78" w:name="_Hlk500908204"/>
      <w:r w:rsidRPr="00807594">
        <w:rPr>
          <w:rFonts w:eastAsiaTheme="minorEastAsia"/>
          <w:bCs/>
          <w:kern w:val="22"/>
          <w:lang w:val="zh-CN" w:eastAsia="zh-CN"/>
        </w:rPr>
        <w:t>人口数量快速增加</w:t>
      </w:r>
      <w:r w:rsidRPr="00807594">
        <w:rPr>
          <w:rFonts w:eastAsiaTheme="minorEastAsia"/>
          <w:bCs/>
          <w:lang w:val="zh-CN" w:eastAsia="zh-CN" w:bidi="th-TH"/>
        </w:rPr>
        <w:t>、城市化和越来越成功的缓解贫穷全球努力，致使全球对动物蛋白的需求在增长。这种情况推动了对野生动物（包括陆地和水生）需求的急剧增加，而预计这一需求在未来几十年将会加快。对野生动物肉的需求，与对其他消费品的需求一样，受价格、消费者财富、文化、替代品供应和非价格因素影响，如消费者偏好，以及货物由谁支付。</w:t>
      </w:r>
    </w:p>
    <w:bookmarkEnd w:id="78"/>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lang w:val="zh-CN" w:eastAsia="zh-CN" w:bidi="th-TH"/>
        </w:rPr>
      </w:pPr>
      <w:r w:rsidRPr="00807594">
        <w:rPr>
          <w:rFonts w:eastAsiaTheme="minorEastAsia"/>
          <w:bCs/>
          <w:lang w:val="zh-CN" w:eastAsia="zh-CN"/>
        </w:rPr>
        <w:t>在</w:t>
      </w:r>
      <w:r w:rsidRPr="00807594">
        <w:rPr>
          <w:rFonts w:eastAsiaTheme="minorEastAsia"/>
          <w:bCs/>
          <w:kern w:val="22"/>
          <w:lang w:val="zh-CN" w:eastAsia="zh-CN"/>
        </w:rPr>
        <w:t>大多数</w:t>
      </w:r>
      <w:r w:rsidRPr="00807594">
        <w:rPr>
          <w:rFonts w:eastAsiaTheme="minorEastAsia"/>
          <w:bCs/>
          <w:lang w:val="zh-CN" w:eastAsia="zh-CN"/>
        </w:rPr>
        <w:t>收入水平上，当野生动物肉与其替代品相比价格上升时，消费者往往会减少野生动物肉的消费。不过如果野生动物肉的消费赋予了消费者以声望，那么富裕的家庭有可能更热衷于在价格上升时费更多的野生动物肉。关于野生动物肉价格需要上升多少，以及现有替代品价格需要下降多少才能使对野生动物肉的需求大幅减少的信息很少。这一信息在制定减少需求战略时至关重要。</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lang w:val="zh-CN" w:eastAsia="zh-CN" w:bidi="th-TH"/>
        </w:rPr>
      </w:pPr>
      <w:r w:rsidRPr="00807594">
        <w:rPr>
          <w:rFonts w:eastAsiaTheme="minorEastAsia"/>
          <w:bCs/>
          <w:lang w:val="zh-CN" w:eastAsia="zh-CN" w:bidi="th-TH"/>
        </w:rPr>
        <w:t>可通过加强执行野生动物法（对非法的野生动物狩猎和交易有效征税）</w:t>
      </w:r>
      <w:r w:rsidRPr="00807594">
        <w:rPr>
          <w:rFonts w:eastAsiaTheme="minorEastAsia"/>
          <w:bCs/>
          <w:lang w:val="zh-CN" w:eastAsia="zh-CN"/>
        </w:rPr>
        <w:t>或通过对野生动物销售和消费征税</w:t>
      </w:r>
      <w:r w:rsidRPr="00807594">
        <w:rPr>
          <w:rFonts w:eastAsiaTheme="minorEastAsia"/>
          <w:bCs/>
          <w:lang w:val="zh-CN" w:eastAsia="zh-CN" w:bidi="th-TH"/>
        </w:rPr>
        <w:t>，提高野生动物肉的价格。</w:t>
      </w:r>
      <w:r w:rsidRPr="00807594">
        <w:rPr>
          <w:rFonts w:eastAsiaTheme="minorEastAsia"/>
          <w:bCs/>
          <w:snapToGrid w:val="0"/>
          <w:kern w:val="22"/>
          <w:vertAlign w:val="superscript"/>
          <w:lang w:eastAsia="ja-JP" w:bidi="th-TH"/>
        </w:rPr>
        <w:footnoteReference w:id="116"/>
      </w:r>
      <w:r w:rsidRPr="00807594">
        <w:rPr>
          <w:rFonts w:eastAsiaTheme="minorEastAsia"/>
          <w:bCs/>
          <w:lang w:eastAsia="zh-CN" w:bidi="th-TH"/>
        </w:rPr>
        <w:t xml:space="preserve"> </w:t>
      </w:r>
      <w:r w:rsidRPr="00807594">
        <w:rPr>
          <w:rFonts w:eastAsiaTheme="minorEastAsia"/>
          <w:bCs/>
          <w:lang w:eastAsia="zh-CN" w:bidi="th-TH"/>
        </w:rPr>
        <w:t>但</w:t>
      </w:r>
      <w:r w:rsidRPr="00807594">
        <w:rPr>
          <w:rFonts w:eastAsiaTheme="minorEastAsia"/>
          <w:bCs/>
          <w:lang w:val="zh-CN" w:eastAsia="zh-CN" w:bidi="th-TH"/>
        </w:rPr>
        <w:t>如上文所述，如果野生动物肉是出于</w:t>
      </w:r>
      <w:r w:rsidRPr="00807594">
        <w:rPr>
          <w:rFonts w:eastAsiaTheme="minorEastAsia"/>
          <w:bCs/>
          <w:lang w:val="zh-CN" w:eastAsia="zh-CN"/>
        </w:rPr>
        <w:t>声望</w:t>
      </w:r>
      <w:r w:rsidRPr="00807594">
        <w:rPr>
          <w:rFonts w:eastAsiaTheme="minorEastAsia"/>
          <w:bCs/>
          <w:lang w:val="zh-CN" w:eastAsia="zh-CN" w:bidi="th-TH"/>
        </w:rPr>
        <w:t>的原因被消费，则上述办法无法奏效。如果市场的高价位和社会声望是消费的驱动因素，价格上涨可能会提高某些奢侈品市场的需求，这也可能导致非法肉类混进合法市场。</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snapToGrid w:val="0"/>
          <w:kern w:val="22"/>
          <w:lang w:eastAsia="zh-CN" w:bidi="th-TH"/>
        </w:rPr>
      </w:pPr>
      <w:r w:rsidRPr="00807594">
        <w:rPr>
          <w:rFonts w:eastAsiaTheme="minorEastAsia"/>
          <w:bCs/>
          <w:snapToGrid w:val="0"/>
          <w:kern w:val="22"/>
          <w:lang w:eastAsia="zh-CN" w:bidi="th-TH"/>
        </w:rPr>
        <w:t>为确保</w:t>
      </w:r>
      <w:r w:rsidRPr="00807594">
        <w:rPr>
          <w:rFonts w:eastAsiaTheme="minorEastAsia"/>
          <w:bCs/>
          <w:lang w:val="zh-CN" w:eastAsia="zh-CN"/>
        </w:rPr>
        <w:t>野生动物</w:t>
      </w:r>
      <w:r w:rsidRPr="00807594">
        <w:rPr>
          <w:rFonts w:eastAsiaTheme="minorEastAsia"/>
          <w:bCs/>
          <w:snapToGrid w:val="0"/>
          <w:kern w:val="22"/>
          <w:lang w:eastAsia="zh-CN" w:bidi="th-TH"/>
        </w:rPr>
        <w:t>种群得到养护和确保消费者不断获得食物来源，很多情况下</w:t>
      </w:r>
      <w:r w:rsidRPr="00807594">
        <w:rPr>
          <w:rFonts w:eastAsiaTheme="minorEastAsia"/>
          <w:bCs/>
          <w:lang w:val="zh-CN" w:eastAsia="zh-CN" w:bidi="th-TH"/>
        </w:rPr>
        <w:t>需要开</w:t>
      </w:r>
      <w:r w:rsidRPr="00807594">
        <w:rPr>
          <w:rFonts w:eastAsiaTheme="minorEastAsia"/>
          <w:bCs/>
          <w:lang w:val="zh-CN" w:eastAsia="zh-CN"/>
        </w:rPr>
        <w:t>发</w:t>
      </w:r>
      <w:r w:rsidRPr="00807594">
        <w:rPr>
          <w:rFonts w:eastAsiaTheme="minorEastAsia"/>
          <w:bCs/>
          <w:lang w:val="zh-CN" w:eastAsia="zh-CN" w:bidi="th-TH"/>
        </w:rPr>
        <w:t>和生</w:t>
      </w:r>
      <w:r w:rsidRPr="00807594">
        <w:rPr>
          <w:rFonts w:eastAsiaTheme="minorEastAsia"/>
          <w:bCs/>
          <w:lang w:val="zh-CN" w:eastAsia="zh-CN"/>
        </w:rPr>
        <w:t>产足够数量的野生动物肉的替代品</w:t>
      </w:r>
      <w:r w:rsidRPr="00807594">
        <w:rPr>
          <w:rFonts w:eastAsiaTheme="minorEastAsia"/>
          <w:bCs/>
          <w:snapToGrid w:val="0"/>
          <w:kern w:val="22"/>
          <w:lang w:eastAsia="zh-CN" w:bidi="th-TH"/>
        </w:rPr>
        <w:t>。牲畜肉和鱼类可作为野生动物肉的替代品。但在野生动物肉作为农村社区饮食的重要部分，且可通过监管确保其可持续性的情况下，野生动物肉事实上可以成为比牲畜更好的替代品</w:t>
      </w:r>
      <w:r w:rsidRPr="00807594">
        <w:rPr>
          <w:rFonts w:eastAsiaTheme="minorEastAsia"/>
          <w:bCs/>
          <w:snapToGrid w:val="0"/>
          <w:kern w:val="22"/>
          <w:lang w:eastAsia="zh-CN" w:bidi="th-TH"/>
        </w:rPr>
        <w:t xml:space="preserve">, </w:t>
      </w:r>
      <w:r w:rsidRPr="00807594">
        <w:rPr>
          <w:rFonts w:eastAsiaTheme="minorEastAsia"/>
          <w:bCs/>
          <w:snapToGrid w:val="0"/>
          <w:kern w:val="22"/>
          <w:lang w:eastAsia="zh-CN" w:bidi="th-TH"/>
        </w:rPr>
        <w:t>后者的影响会改变土地用途。此外，还必须进行评估以确保畜牧业和渔业生产的增长任何情况下都不会对生物多样性和环境产生不利影响，并以可持续的方式进行。</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iCs/>
          <w:snapToGrid w:val="0"/>
          <w:color w:val="000000"/>
          <w:kern w:val="22"/>
          <w:lang w:eastAsia="zh-CN" w:bidi="th-TH"/>
        </w:rPr>
      </w:pPr>
      <w:r w:rsidRPr="00807594">
        <w:rPr>
          <w:rFonts w:eastAsiaTheme="minorEastAsia"/>
          <w:bCs/>
          <w:lang w:val="zh-CN" w:eastAsia="zh-CN"/>
        </w:rPr>
        <w:t>野生动物肉的可持续管理要取得相较于替代品的相对成功</w:t>
      </w:r>
      <w:r w:rsidRPr="00807594">
        <w:rPr>
          <w:rFonts w:eastAsiaTheme="minorEastAsia"/>
          <w:bCs/>
          <w:snapToGrid w:val="0"/>
          <w:kern w:val="22"/>
          <w:lang w:eastAsia="zh-CN" w:bidi="th-TH"/>
        </w:rPr>
        <w:t>，还将取决于具体的环境，对于替代品的选择同样也取决于具体环境。在中部非洲，后院禽类生产可能提供一种适当的替代品，而在南美洲，淡水鱼是饮食的重要组成部分，可持续的渔业生产可能较为合适。在稀树草原或草地生态系统（例如东非和南部非洲），</w:t>
      </w:r>
      <w:r w:rsidRPr="00807594">
        <w:rPr>
          <w:rFonts w:eastAsiaTheme="minorEastAsia"/>
          <w:bCs/>
          <w:iCs/>
          <w:snapToGrid w:val="0"/>
          <w:color w:val="000000"/>
          <w:kern w:val="22"/>
          <w:lang w:eastAsia="zh-CN" w:bidi="th-TH"/>
        </w:rPr>
        <w:t>情况却不同，那里的野生动物和驯化牲畜千百年来一直共用相同的草场。</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lang w:val="zh-CN" w:eastAsia="zh-CN" w:bidi="th-TH"/>
        </w:rPr>
      </w:pPr>
      <w:r w:rsidRPr="00807594">
        <w:rPr>
          <w:rFonts w:eastAsiaTheme="minorEastAsia"/>
          <w:bCs/>
          <w:snapToGrid w:val="0"/>
          <w:kern w:val="22"/>
          <w:lang w:eastAsia="zh-CN" w:bidi="th-TH"/>
        </w:rPr>
        <w:t>之前开展的生产野生动物肉的食物和收入替代品的尝试，通常是农村社区小规模</w:t>
      </w:r>
      <w:r w:rsidRPr="00E21FF4">
        <w:rPr>
          <w:rFonts w:asciiTheme="minorEastAsia" w:eastAsiaTheme="minorEastAsia" w:hAnsiTheme="minorEastAsia"/>
          <w:bCs/>
          <w:lang w:val="zh-CN" w:eastAsia="zh-CN" w:bidi="th-TH"/>
        </w:rPr>
        <w:t>“替代生计”</w:t>
      </w:r>
      <w:r w:rsidRPr="00807594">
        <w:rPr>
          <w:rFonts w:eastAsiaTheme="minorEastAsia"/>
          <w:bCs/>
          <w:lang w:val="zh-CN" w:eastAsia="zh-CN" w:bidi="th-TH"/>
        </w:rPr>
        <w:t>项目的一部分。不过，这些项目无法提供能够满足对替代品的日益增长的需求，特别是城市地区的需求。查明影响这些项目成败的各种因素，就能够恰当地评估替代生计项目的潜力，制定最佳做法准则。</w:t>
      </w:r>
      <w:r w:rsidRPr="00807594">
        <w:rPr>
          <w:rFonts w:eastAsiaTheme="minorEastAsia"/>
          <w:bCs/>
          <w:snapToGrid w:val="0"/>
          <w:kern w:val="22"/>
          <w:vertAlign w:val="superscript"/>
          <w:lang w:eastAsia="ja-JP" w:bidi="th-TH"/>
        </w:rPr>
        <w:footnoteReference w:id="117"/>
      </w:r>
      <w:r w:rsidRPr="00807594">
        <w:rPr>
          <w:rFonts w:eastAsiaTheme="minorEastAsia"/>
          <w:bCs/>
          <w:lang w:val="zh-CN" w:eastAsia="zh-CN" w:bidi="th-TH"/>
        </w:rPr>
        <w:t xml:space="preserve"> </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lang w:val="zh-CN" w:eastAsia="zh-CN" w:bidi="th-TH"/>
        </w:rPr>
      </w:pPr>
      <w:r w:rsidRPr="00807594">
        <w:rPr>
          <w:rFonts w:eastAsiaTheme="minorEastAsia"/>
          <w:bCs/>
          <w:lang w:val="zh-CN" w:eastAsia="zh-CN" w:bidi="th-TH"/>
        </w:rPr>
        <w:t>行为变化干预措施旨在影响消费者的选择和决定，以便对肉食替代品供应作出快速的反应。长远而言，干预措施可力求减少肉类的总消费量，改用植物替代品。</w:t>
      </w:r>
      <w:r w:rsidRPr="00807594">
        <w:rPr>
          <w:rFonts w:eastAsiaTheme="minorEastAsia"/>
          <w:bCs/>
          <w:snapToGrid w:val="0"/>
          <w:kern w:val="22"/>
          <w:lang w:eastAsia="zh-CN" w:bidi="th-TH"/>
        </w:rPr>
        <w:t>媒体运动通</w:t>
      </w:r>
      <w:r w:rsidRPr="00807594">
        <w:rPr>
          <w:rFonts w:eastAsiaTheme="minorEastAsia"/>
          <w:bCs/>
          <w:snapToGrid w:val="0"/>
          <w:kern w:val="22"/>
          <w:lang w:eastAsia="zh-CN" w:bidi="th-TH"/>
        </w:rPr>
        <w:lastRenderedPageBreak/>
        <w:t>常以广播剧或电视连续剧的形式进行传播</w:t>
      </w:r>
      <w:r w:rsidRPr="00807594">
        <w:rPr>
          <w:rFonts w:eastAsiaTheme="minorEastAsia"/>
          <w:bCs/>
          <w:lang w:val="zh-CN" w:eastAsia="zh-CN" w:bidi="th-TH"/>
        </w:rPr>
        <w:t>，试图触及城乡地区的广大受众，向消费者提供特定信息，鼓励他们将肉类消费转向替代品，并在相关情况下促进经认证的野生动物肉产品。在年轻的城市居民已经将其偏好从野生动物肉转向替代品的情况下，媒体运动可帮助推动这一改变。</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lang w:val="zh-CN" w:eastAsia="zh-CN" w:bidi="th-TH"/>
        </w:rPr>
      </w:pPr>
      <w:r w:rsidRPr="00807594">
        <w:rPr>
          <w:rFonts w:eastAsiaTheme="minorEastAsia"/>
          <w:bCs/>
          <w:lang w:val="zh-CN" w:eastAsia="zh-CN" w:bidi="th-TH"/>
        </w:rPr>
        <w:t>因采掘业（伐木、采矿、石油）而创建的省级城镇或偏远城市住区在快速发展，这对于管理野生动物肉贸易而言是个重要的切入点。许多居民仍然经常食用野生动物肉，原因在于他们靠近这一资源，且其他动物源蛋白的供应十分有限，而他们的生计并不完全依赖野生动物肉。对于拥有在其传统领地内管理和获益于野生动物可持续利用的合法权利主张的农村而言，解决当前开放式狩猎问题的一个重要解决办法是，协助权利持有人保障其权力，同时获得能力，以控制和管理其土地上的狩猎水平，这些都在</w:t>
      </w:r>
      <w:r w:rsidRPr="00807594">
        <w:rPr>
          <w:rFonts w:eastAsiaTheme="minorEastAsia"/>
          <w:bCs/>
          <w:lang w:val="zh-CN" w:eastAsia="zh-CN" w:bidi="th-TH"/>
        </w:rPr>
        <w:t>A</w:t>
      </w:r>
      <w:r w:rsidRPr="00807594">
        <w:rPr>
          <w:rFonts w:eastAsiaTheme="minorEastAsia"/>
          <w:bCs/>
          <w:lang w:val="zh-CN" w:eastAsia="zh-CN" w:bidi="th-TH"/>
        </w:rPr>
        <w:t>小节作了讨论。自然资源开采活动可能伴随工人大量流入，从而可能造成狩猎压力增加，或改变该区域的食物供应：各公司应当确保可靠的蛋白来源，同时制定和执行雇员的可持续猎获和（或）消费野生动物肉的管理条例。</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lang w:val="zh-CN" w:eastAsia="zh-CN" w:bidi="th-TH"/>
        </w:rPr>
      </w:pPr>
      <w:r w:rsidRPr="00807594">
        <w:rPr>
          <w:rFonts w:eastAsiaTheme="minorEastAsia"/>
          <w:bCs/>
          <w:lang w:val="zh-CN" w:eastAsia="zh-CN" w:bidi="th-TH"/>
        </w:rPr>
        <w:t>随着人口的迅速增长和城市化，某些国家的大型城市中心是消费野生动物肉的重要力量，且所占比例越来越大。通过当地生产和进口，提供更便宜且更可持续的替代品，既是一种可能，也是一个优先事项。不过这种做法应当与批发、零售和消费者层面对野生动物利用的适当管制结合起来使用。</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lang w:val="zh-CN" w:eastAsia="zh-CN" w:bidi="th-TH"/>
        </w:rPr>
      </w:pPr>
      <w:r w:rsidRPr="00807594">
        <w:rPr>
          <w:rFonts w:eastAsiaTheme="minorEastAsia"/>
          <w:bCs/>
          <w:lang w:val="zh-CN" w:eastAsia="zh-CN" w:bidi="th-TH"/>
        </w:rPr>
        <w:t>建议采取步骤减少城镇对不可持续管理和（或）非法野生动物肉的需求：</w:t>
      </w:r>
    </w:p>
    <w:p w:rsidR="00807594" w:rsidRPr="00807594" w:rsidRDefault="00807594" w:rsidP="0069685F">
      <w:pPr>
        <w:numPr>
          <w:ilvl w:val="4"/>
          <w:numId w:val="84"/>
        </w:numPr>
        <w:suppressLineNumbers/>
        <w:suppressAutoHyphens/>
        <w:adjustRightInd w:val="0"/>
        <w:snapToGrid w:val="0"/>
        <w:ind w:left="0" w:firstLine="720"/>
        <w:rPr>
          <w:rFonts w:eastAsiaTheme="minorEastAsia"/>
          <w:bCs/>
          <w:iCs/>
          <w:snapToGrid w:val="0"/>
          <w:color w:val="000000"/>
          <w:kern w:val="22"/>
          <w:lang w:val="en-CA" w:eastAsia="ja-JP" w:bidi="th-TH"/>
        </w:rPr>
      </w:pPr>
      <w:r w:rsidRPr="00807594">
        <w:rPr>
          <w:rFonts w:eastAsiaTheme="minorEastAsia"/>
          <w:lang w:val="zh-CN" w:eastAsia="zh-CN" w:bidi="th-TH"/>
        </w:rPr>
        <w:t>必要时</w:t>
      </w:r>
      <w:r w:rsidRPr="00807594">
        <w:rPr>
          <w:rFonts w:eastAsiaTheme="minorEastAsia"/>
          <w:lang w:val="zh-CN" w:eastAsia="zh-CN" w:bidi="th-TH"/>
        </w:rPr>
        <w:t xml:space="preserve">, </w:t>
      </w:r>
      <w:r w:rsidRPr="00807594">
        <w:rPr>
          <w:rFonts w:eastAsiaTheme="minorEastAsia"/>
          <w:lang w:val="zh-CN" w:eastAsia="zh-CN" w:bidi="th-TH"/>
        </w:rPr>
        <w:t>依照国情和国家适用法律制定减少不可持续管理</w:t>
      </w:r>
      <w:r w:rsidRPr="00807594">
        <w:rPr>
          <w:rFonts w:eastAsiaTheme="minorEastAsia"/>
          <w:lang w:val="zh-CN" w:eastAsia="zh-CN"/>
        </w:rPr>
        <w:t>野生动物肉</w:t>
      </w:r>
      <w:r w:rsidRPr="00807594">
        <w:rPr>
          <w:rFonts w:eastAsiaTheme="minorEastAsia"/>
          <w:lang w:val="zh-CN" w:eastAsia="zh-CN" w:bidi="th-TH"/>
        </w:rPr>
        <w:t>的需求战略，重点是城镇和城市，并采用跨部门办法：</w:t>
      </w:r>
    </w:p>
    <w:p w:rsidR="00807594" w:rsidRPr="00807594" w:rsidRDefault="00807594" w:rsidP="0069685F">
      <w:pPr>
        <w:numPr>
          <w:ilvl w:val="6"/>
          <w:numId w:val="84"/>
        </w:numPr>
        <w:suppressLineNumbers/>
        <w:suppressAutoHyphens/>
        <w:adjustRightInd w:val="0"/>
        <w:snapToGrid w:val="0"/>
        <w:ind w:left="2160" w:hanging="720"/>
        <w:rPr>
          <w:rFonts w:eastAsiaTheme="minorEastAsia"/>
          <w:lang w:val="zh-CN" w:eastAsia="zh-CN" w:bidi="th-TH"/>
        </w:rPr>
      </w:pPr>
      <w:r w:rsidRPr="00807594">
        <w:rPr>
          <w:rFonts w:eastAsiaTheme="minorEastAsia"/>
          <w:lang w:val="zh-CN" w:eastAsia="zh-CN" w:bidi="th-TH"/>
        </w:rPr>
        <w:t>对野生动物肉的需求不是一个孤立的环境问题，因此，减少需求战略应以跨部门方式制定，负责卫生、食品、农业、商业、发展、经济、金融、基础设施和教育的政府部委以及负责环境的部委应参与其中</w:t>
      </w:r>
      <w:r w:rsidRPr="00807594">
        <w:rPr>
          <w:rFonts w:eastAsiaTheme="minorEastAsia"/>
          <w:lang w:val="zh-CN" w:eastAsia="zh-CN" w:bidi="th-TH"/>
        </w:rPr>
        <w:t xml:space="preserve">, </w:t>
      </w:r>
      <w:r w:rsidRPr="00807594">
        <w:rPr>
          <w:rFonts w:eastAsiaTheme="minorEastAsia"/>
          <w:lang w:val="zh-CN" w:eastAsia="zh-CN" w:bidi="th-TH"/>
        </w:rPr>
        <w:t>消费者行为变化领域的相关专家</w:t>
      </w:r>
      <w:r w:rsidRPr="00807594">
        <w:rPr>
          <w:rFonts w:eastAsiaTheme="minorEastAsia"/>
          <w:lang w:val="zh-CN" w:eastAsia="zh-CN" w:bidi="th-TH"/>
        </w:rPr>
        <w:t xml:space="preserve">, </w:t>
      </w:r>
      <w:r w:rsidRPr="00807594">
        <w:rPr>
          <w:rFonts w:eastAsiaTheme="minorEastAsia"/>
          <w:lang w:val="zh-CN" w:eastAsia="zh-CN" w:bidi="th-TH"/>
        </w:rPr>
        <w:t>包括社会营销和行为经济学家，连同私营部门和保护领域以外的专家也应参与；</w:t>
      </w:r>
    </w:p>
    <w:p w:rsidR="00807594" w:rsidRPr="00807594" w:rsidRDefault="00807594" w:rsidP="0069685F">
      <w:pPr>
        <w:numPr>
          <w:ilvl w:val="6"/>
          <w:numId w:val="84"/>
        </w:numPr>
        <w:suppressLineNumbers/>
        <w:suppressAutoHyphens/>
        <w:adjustRightInd w:val="0"/>
        <w:snapToGrid w:val="0"/>
        <w:ind w:left="2160" w:hanging="720"/>
        <w:rPr>
          <w:rFonts w:eastAsiaTheme="minorEastAsia"/>
          <w:lang w:val="zh-CN" w:eastAsia="zh-CN" w:bidi="th-TH"/>
        </w:rPr>
      </w:pPr>
      <w:r w:rsidRPr="00807594">
        <w:rPr>
          <w:rFonts w:eastAsiaTheme="minorEastAsia"/>
          <w:lang w:val="zh-CN" w:eastAsia="zh-CN" w:bidi="th-TH"/>
        </w:rPr>
        <w:t>有效减少需求战略的制定还必须包括消费者行为变化领域的相关专家包括社会营销学家和行为经济学家的积极参与</w:t>
      </w:r>
      <w:r w:rsidRPr="00807594">
        <w:rPr>
          <w:rFonts w:eastAsiaTheme="minorEastAsia"/>
          <w:lang w:val="zh-CN" w:eastAsia="zh-CN" w:bidi="th-TH"/>
        </w:rPr>
        <w:t>;</w:t>
      </w:r>
    </w:p>
    <w:p w:rsidR="00807594" w:rsidRPr="00807594" w:rsidRDefault="00807594" w:rsidP="0069685F">
      <w:pPr>
        <w:numPr>
          <w:ilvl w:val="6"/>
          <w:numId w:val="84"/>
        </w:numPr>
        <w:suppressLineNumbers/>
        <w:suppressAutoHyphens/>
        <w:adjustRightInd w:val="0"/>
        <w:snapToGrid w:val="0"/>
        <w:ind w:left="2160" w:hanging="720"/>
        <w:rPr>
          <w:rFonts w:eastAsiaTheme="minorEastAsia"/>
          <w:lang w:val="zh-CN" w:eastAsia="zh-CN" w:bidi="th-TH"/>
        </w:rPr>
      </w:pPr>
      <w:r w:rsidRPr="00807594">
        <w:rPr>
          <w:rFonts w:eastAsiaTheme="minorEastAsia"/>
          <w:lang w:val="zh-CN" w:eastAsia="zh-CN" w:bidi="th-TH"/>
        </w:rPr>
        <w:t>减少需求战略应主要侧重于省级城镇和都会城市的消费者，因为在这些地方减少对野生动物肉的消费可能不影响生计或土地权利。对于靠近野生动物来源的省级城镇而言，基于狩猎具有复原力的物种的各种短期价值链正规化做法，应与严格执法相结合，特别是针对受保护</w:t>
      </w:r>
      <w:r w:rsidRPr="00807594">
        <w:rPr>
          <w:rFonts w:eastAsiaTheme="minorEastAsia"/>
          <w:lang w:val="zh-CN" w:eastAsia="zh-CN" w:bidi="th-TH"/>
        </w:rPr>
        <w:t>/</w:t>
      </w:r>
      <w:r w:rsidRPr="00807594">
        <w:rPr>
          <w:rFonts w:eastAsiaTheme="minorEastAsia"/>
          <w:lang w:val="zh-CN" w:eastAsia="zh-CN" w:bidi="th-TH"/>
        </w:rPr>
        <w:t>脆弱物种，以及发展当地生产的替代品。对于远离野生动物来源的都会城市而言，消费是消费者的选择问题，解决这一问题的最佳办法可能是开展具有针对性的社会营销，以鼓励行为改变；</w:t>
      </w:r>
    </w:p>
    <w:p w:rsidR="00807594" w:rsidRPr="00807594" w:rsidRDefault="00807594" w:rsidP="0069685F">
      <w:pPr>
        <w:numPr>
          <w:ilvl w:val="6"/>
          <w:numId w:val="84"/>
        </w:numPr>
        <w:suppressLineNumbers/>
        <w:suppressAutoHyphens/>
        <w:adjustRightInd w:val="0"/>
        <w:snapToGrid w:val="0"/>
        <w:ind w:left="2160" w:hanging="720"/>
        <w:rPr>
          <w:rFonts w:eastAsiaTheme="minorEastAsia"/>
          <w:lang w:val="zh-CN" w:eastAsia="zh-CN" w:bidi="th-TH"/>
        </w:rPr>
      </w:pPr>
      <w:r w:rsidRPr="00807594">
        <w:rPr>
          <w:rFonts w:eastAsiaTheme="minorEastAsia"/>
          <w:lang w:val="zh-CN" w:eastAsia="zh-CN" w:bidi="th-TH"/>
        </w:rPr>
        <w:lastRenderedPageBreak/>
        <w:t>减少需求战略应通过研究形成，研究应着重查明影响野生肉类消费的环境、经济和文化驱动因素、态度和动机，这样制定的战略也可解决这些重要驱动因素；</w:t>
      </w:r>
    </w:p>
    <w:p w:rsidR="00807594" w:rsidRPr="00807594" w:rsidRDefault="00807594" w:rsidP="0069685F">
      <w:pPr>
        <w:numPr>
          <w:ilvl w:val="4"/>
          <w:numId w:val="84"/>
        </w:numPr>
        <w:suppressLineNumbers/>
        <w:suppressAutoHyphens/>
        <w:adjustRightInd w:val="0"/>
        <w:snapToGrid w:val="0"/>
        <w:ind w:left="0" w:firstLine="720"/>
        <w:rPr>
          <w:rFonts w:eastAsiaTheme="minorEastAsia"/>
          <w:bCs/>
          <w:iCs/>
          <w:snapToGrid w:val="0"/>
          <w:color w:val="000000"/>
          <w:kern w:val="22"/>
          <w:lang w:val="en-CA" w:eastAsia="ja-JP" w:bidi="th-TH"/>
        </w:rPr>
      </w:pPr>
      <w:r w:rsidRPr="00807594">
        <w:rPr>
          <w:rFonts w:eastAsiaTheme="minorEastAsia"/>
          <w:lang w:val="zh-CN" w:eastAsia="zh-CN" w:bidi="th-TH"/>
        </w:rPr>
        <w:t>酌情加强可持续生产和可持续获取的替代品的供应：</w:t>
      </w:r>
    </w:p>
    <w:p w:rsidR="00807594" w:rsidRPr="00807594" w:rsidRDefault="00807594" w:rsidP="0069685F">
      <w:pPr>
        <w:numPr>
          <w:ilvl w:val="6"/>
          <w:numId w:val="85"/>
        </w:numPr>
        <w:suppressLineNumbers/>
        <w:suppressAutoHyphens/>
        <w:adjustRightInd w:val="0"/>
        <w:snapToGrid w:val="0"/>
        <w:ind w:left="2160" w:hanging="720"/>
        <w:rPr>
          <w:rFonts w:eastAsiaTheme="minorEastAsia"/>
          <w:lang w:val="zh-CN" w:eastAsia="zh-CN"/>
        </w:rPr>
      </w:pPr>
      <w:r w:rsidRPr="00807594">
        <w:rPr>
          <w:rFonts w:eastAsiaTheme="minorEastAsia"/>
          <w:lang w:val="zh-CN" w:eastAsia="zh-CN"/>
        </w:rPr>
        <w:t>应创造一种有利的环境了提供激励措施，以鼓励发展自给自足的私营企业和公私伙伴关系，以便在足够大（且拥有足够大的客户基础）的城市住区供应替代品，如</w:t>
      </w:r>
      <w:r w:rsidRPr="00807594">
        <w:rPr>
          <w:rFonts w:eastAsiaTheme="minorEastAsia"/>
          <w:lang w:val="zh-CN" w:eastAsia="zh-CN" w:bidi="th-TH"/>
        </w:rPr>
        <w:t>可持续生产和可持续</w:t>
      </w:r>
      <w:r w:rsidRPr="00807594">
        <w:rPr>
          <w:rFonts w:eastAsiaTheme="minorEastAsia"/>
          <w:lang w:val="zh-CN" w:eastAsia="zh-CN"/>
        </w:rPr>
        <w:t>获取</w:t>
      </w:r>
      <w:r w:rsidRPr="00807594">
        <w:rPr>
          <w:rFonts w:eastAsiaTheme="minorEastAsia"/>
          <w:lang w:val="zh-CN" w:eastAsia="zh-CN" w:bidi="th-TH"/>
        </w:rPr>
        <w:t>的</w:t>
      </w:r>
      <w:r w:rsidRPr="00807594">
        <w:rPr>
          <w:rFonts w:eastAsiaTheme="minorEastAsia"/>
          <w:lang w:val="zh-CN" w:eastAsia="zh-CN"/>
        </w:rPr>
        <w:t>鸡、鱼和其他牲畜。必须通过进行评估确保畜牧业和渔业生产的增长不会对生物多样性和环境产生不利影响，且生产可以持续；</w:t>
      </w:r>
    </w:p>
    <w:p w:rsidR="00807594" w:rsidRPr="00807594" w:rsidRDefault="00807594" w:rsidP="0069685F">
      <w:pPr>
        <w:numPr>
          <w:ilvl w:val="6"/>
          <w:numId w:val="85"/>
        </w:numPr>
        <w:suppressLineNumbers/>
        <w:suppressAutoHyphens/>
        <w:adjustRightInd w:val="0"/>
        <w:snapToGrid w:val="0"/>
        <w:ind w:left="2160" w:hanging="720"/>
        <w:rPr>
          <w:rFonts w:eastAsiaTheme="minorEastAsia"/>
          <w:lang w:val="zh-CN" w:eastAsia="zh-CN"/>
        </w:rPr>
      </w:pPr>
      <w:r w:rsidRPr="00807594">
        <w:rPr>
          <w:rFonts w:eastAsiaTheme="minorEastAsia"/>
          <w:lang w:val="zh-CN" w:eastAsia="zh-CN"/>
        </w:rPr>
        <w:t>在靠近野生动物来源的地方为雇员安排住处的采掘业和基础设施业必须确保其雇员遵守狩猎野生动物肉种的适用规则，可能时他们也能够获得负担得起的产自牲畜或可持续系统作物的</w:t>
      </w:r>
      <w:r w:rsidRPr="00807594">
        <w:rPr>
          <w:rFonts w:eastAsiaTheme="minorEastAsia"/>
          <w:lang w:val="zh-CN" w:eastAsia="zh-CN" w:bidi="th-TH"/>
        </w:rPr>
        <w:t>可持续生产和可持续获取的</w:t>
      </w:r>
      <w:r w:rsidRPr="00807594">
        <w:rPr>
          <w:rFonts w:eastAsiaTheme="minorEastAsia"/>
          <w:lang w:val="zh-CN" w:eastAsia="zh-CN"/>
        </w:rPr>
        <w:t>蛋白来源，这些蛋白源应可持续，最好由家庭饲养；</w:t>
      </w:r>
    </w:p>
    <w:p w:rsidR="00807594" w:rsidRPr="00807594" w:rsidRDefault="00807594" w:rsidP="0069685F">
      <w:pPr>
        <w:numPr>
          <w:ilvl w:val="4"/>
          <w:numId w:val="84"/>
        </w:numPr>
        <w:suppressLineNumbers/>
        <w:suppressAutoHyphens/>
        <w:adjustRightInd w:val="0"/>
        <w:snapToGrid w:val="0"/>
        <w:ind w:left="0" w:firstLine="720"/>
        <w:rPr>
          <w:rFonts w:eastAsiaTheme="minorEastAsia"/>
          <w:bCs/>
          <w:iCs/>
          <w:snapToGrid w:val="0"/>
          <w:color w:val="000000"/>
          <w:kern w:val="22"/>
          <w:lang w:val="en-CA" w:eastAsia="ja-JP" w:bidi="th-TH"/>
        </w:rPr>
      </w:pPr>
      <w:r w:rsidRPr="00807594">
        <w:rPr>
          <w:rFonts w:eastAsiaTheme="minorEastAsia"/>
          <w:lang w:val="zh-CN" w:eastAsia="zh-CN" w:bidi="th-TH"/>
        </w:rPr>
        <w:t>减少以不可持续方式生产的野生动物肉的供应和需求：</w:t>
      </w:r>
    </w:p>
    <w:p w:rsidR="00807594" w:rsidRPr="00807594" w:rsidRDefault="00807594" w:rsidP="0069685F">
      <w:pPr>
        <w:numPr>
          <w:ilvl w:val="6"/>
          <w:numId w:val="86"/>
        </w:numPr>
        <w:suppressLineNumbers/>
        <w:suppressAutoHyphens/>
        <w:adjustRightInd w:val="0"/>
        <w:snapToGrid w:val="0"/>
        <w:ind w:left="2160" w:hanging="720"/>
        <w:rPr>
          <w:rFonts w:eastAsiaTheme="minorEastAsia"/>
          <w:lang w:val="zh-CN" w:eastAsia="zh-CN" w:bidi="th-TH"/>
        </w:rPr>
      </w:pPr>
      <w:r w:rsidRPr="00807594">
        <w:rPr>
          <w:rFonts w:eastAsiaTheme="minorEastAsia"/>
          <w:lang w:val="zh-CN" w:eastAsia="zh-CN" w:bidi="th-TH"/>
        </w:rPr>
        <w:t>应利用在市镇开展的有针对性的媒体宣传运动（基于对消费驱动因素和相关替代品的</w:t>
      </w:r>
      <w:r w:rsidRPr="00807594">
        <w:rPr>
          <w:rFonts w:eastAsiaTheme="minorEastAsia"/>
          <w:spacing w:val="-20"/>
          <w:lang w:val="zh-CN" w:eastAsia="zh-CN" w:bidi="th-TH"/>
        </w:rPr>
        <w:t>了解），包括利用社交媒体，让</w:t>
      </w:r>
      <w:r w:rsidRPr="00807594">
        <w:rPr>
          <w:rFonts w:eastAsiaTheme="minorEastAsia"/>
          <w:lang w:val="zh-CN" w:eastAsia="zh-CN" w:bidi="th-TH"/>
        </w:rPr>
        <w:t>公民了解与野生动物肉消费有关的</w:t>
      </w:r>
      <w:r w:rsidRPr="00807594">
        <w:rPr>
          <w:rFonts w:eastAsiaTheme="minorEastAsia"/>
          <w:spacing w:val="-20"/>
          <w:lang w:val="zh-CN" w:eastAsia="zh-CN" w:bidi="th-TH"/>
        </w:rPr>
        <w:t>问题，包括野生动物保护、人类健康问题、对保护</w:t>
      </w:r>
      <w:r w:rsidRPr="00807594">
        <w:rPr>
          <w:rFonts w:eastAsiaTheme="minorEastAsia"/>
          <w:lang w:val="zh-CN" w:eastAsia="zh-CN" w:bidi="th-TH"/>
        </w:rPr>
        <w:t>的影响、野生动物法和可取得的可持续生产</w:t>
      </w:r>
      <w:r w:rsidRPr="00807594">
        <w:rPr>
          <w:rFonts w:eastAsiaTheme="minorEastAsia"/>
          <w:lang w:val="zh-CN" w:eastAsia="zh-CN" w:bidi="th-TH"/>
        </w:rPr>
        <w:t>/</w:t>
      </w:r>
      <w:r w:rsidRPr="00807594">
        <w:rPr>
          <w:rFonts w:eastAsiaTheme="minorEastAsia"/>
          <w:lang w:val="zh-CN" w:eastAsia="zh-CN" w:bidi="th-TH"/>
        </w:rPr>
        <w:t>可持续获取的替代品，目的是改变消费者的行为。宣传运动的设计应当基于对目标地区的消费者、驱动因素和替代品的清楚了解；</w:t>
      </w:r>
    </w:p>
    <w:p w:rsidR="00807594" w:rsidRPr="00807594" w:rsidRDefault="00807594" w:rsidP="0069685F">
      <w:pPr>
        <w:numPr>
          <w:ilvl w:val="6"/>
          <w:numId w:val="86"/>
        </w:numPr>
        <w:suppressLineNumbers/>
        <w:suppressAutoHyphens/>
        <w:adjustRightInd w:val="0"/>
        <w:snapToGrid w:val="0"/>
        <w:ind w:left="2160" w:hanging="720"/>
        <w:rPr>
          <w:rFonts w:eastAsiaTheme="minorEastAsia"/>
          <w:lang w:val="zh-CN" w:eastAsia="zh-CN" w:bidi="th-TH"/>
        </w:rPr>
      </w:pPr>
      <w:r w:rsidRPr="00807594">
        <w:rPr>
          <w:rFonts w:eastAsiaTheme="minorEastAsia"/>
          <w:spacing w:val="-20"/>
          <w:lang w:val="zh-CN" w:eastAsia="zh-CN" w:bidi="th-TH"/>
        </w:rPr>
        <w:t>应制定管制野生动物肉的贸易和销售的野生动物法（这些法律是相关的、易于理解和可执行的），并将其适用于省级</w:t>
      </w:r>
      <w:r w:rsidRPr="00807594">
        <w:rPr>
          <w:rFonts w:eastAsiaTheme="minorEastAsia"/>
          <w:lang w:val="zh-CN" w:eastAsia="zh-CN" w:bidi="th-TH"/>
        </w:rPr>
        <w:t>城镇、城市和乡镇，以便鼓励合法、可持续和可追踪的交易，阻止非法商人，并提高城市野生动物肉的价格。应进行事先评估以确定价格上涨是否会增加某些奢侈品市场的需求和（或）导致非法贸易增加；</w:t>
      </w:r>
      <w:r w:rsidRPr="00807594">
        <w:rPr>
          <w:rFonts w:eastAsiaTheme="minorEastAsia"/>
          <w:lang w:val="zh-CN" w:eastAsia="zh-CN" w:bidi="th-TH"/>
        </w:rPr>
        <w:t xml:space="preserve"> </w:t>
      </w:r>
    </w:p>
    <w:p w:rsidR="00807594" w:rsidRPr="00807594" w:rsidRDefault="00807594" w:rsidP="0069685F">
      <w:pPr>
        <w:numPr>
          <w:ilvl w:val="4"/>
          <w:numId w:val="84"/>
        </w:numPr>
        <w:suppressLineNumbers/>
        <w:suppressAutoHyphens/>
        <w:adjustRightInd w:val="0"/>
        <w:snapToGrid w:val="0"/>
        <w:ind w:left="0" w:firstLine="720"/>
        <w:rPr>
          <w:rFonts w:eastAsiaTheme="minorEastAsia"/>
          <w:b/>
          <w:bCs/>
          <w:iCs/>
          <w:snapToGrid w:val="0"/>
          <w:color w:val="000000"/>
          <w:kern w:val="22"/>
          <w:lang w:val="en-CA" w:eastAsia="zh-CN" w:bidi="th-TH"/>
        </w:rPr>
      </w:pPr>
      <w:r w:rsidRPr="00807594">
        <w:rPr>
          <w:rFonts w:eastAsiaTheme="minorEastAsia"/>
          <w:lang w:val="zh-CN" w:eastAsia="zh-CN" w:bidi="th-TH"/>
        </w:rPr>
        <w:t>认证有可能通过影响消费者选择来源可持续的产品，从而有助于野生物种的保护和可持续利用，因此应促进负责任地消费经认证的来源可持续的野生肉。可通过开发认证制度来证明野生肉产品系以可持续的方式收获和证明其达到良好卫生标准。这种经认证的产品可强调可持续性、当地社区生计、养护影响和健康等惠益。</w:t>
      </w:r>
    </w:p>
    <w:p w:rsidR="00807594" w:rsidRPr="00807594" w:rsidRDefault="00807594" w:rsidP="00807594">
      <w:pPr>
        <w:adjustRightInd w:val="0"/>
        <w:snapToGrid w:val="0"/>
        <w:ind w:firstLine="490"/>
        <w:jc w:val="center"/>
        <w:rPr>
          <w:rFonts w:eastAsiaTheme="minorEastAsia"/>
          <w:b/>
          <w:snapToGrid w:val="0"/>
          <w:kern w:val="22"/>
          <w:lang w:val="en-CA" w:eastAsia="zh-CN" w:bidi="th-TH"/>
        </w:rPr>
      </w:pPr>
      <w:r w:rsidRPr="00807594">
        <w:rPr>
          <w:rFonts w:eastAsiaTheme="minorEastAsia"/>
          <w:b/>
          <w:snapToGrid w:val="0"/>
          <w:kern w:val="22"/>
          <w:lang w:val="en-CA" w:eastAsia="ja-JP" w:bidi="th-TH"/>
        </w:rPr>
        <w:t xml:space="preserve">C. </w:t>
      </w:r>
      <w:r>
        <w:rPr>
          <w:rFonts w:eastAsiaTheme="minorEastAsia"/>
          <w:b/>
          <w:snapToGrid w:val="0"/>
          <w:kern w:val="22"/>
          <w:lang w:val="en-CA" w:eastAsia="ja-JP" w:bidi="th-TH"/>
        </w:rPr>
        <w:t xml:space="preserve">  </w:t>
      </w:r>
      <w:r w:rsidRPr="00807594">
        <w:rPr>
          <w:rFonts w:eastAsiaTheme="minorEastAsia"/>
          <w:b/>
          <w:lang w:val="zh-CN" w:eastAsia="zh-CN"/>
        </w:rPr>
        <w:t>为实现合法、受控且可持续的野生动物肉部门创造有利条件</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lang w:eastAsia="zh-CN"/>
        </w:rPr>
        <w:t>在国际一级，野生动物肉问题主要通过两类机构来审议：国际公约和平台（《生物多样性公约》、《濒危物种公约》、《养护野生动物移栖物种公约》、生物多样性和生态系统服务政府间科学政策平台（政府间科学政策平台）），以及有助于支持或执行各项公约决定的其他相关组织（可持续野生动物管理协作伙伴关系、国际刑警组织、毒品和犯罪</w:t>
      </w:r>
      <w:r w:rsidRPr="00807594">
        <w:rPr>
          <w:rFonts w:eastAsiaTheme="minorEastAsia"/>
          <w:bCs/>
          <w:lang w:eastAsia="zh-CN"/>
        </w:rPr>
        <w:lastRenderedPageBreak/>
        <w:t>问题办公室、国际打击野生动物犯罪问题集团组织、野生物贸易研究组织、贸发会议、粮农组织、自然保护联盟、开发规划署）以及区域合作或经济一体化机构（欧盟、非盟、中非经共体）和其他相关的多边机构（欧委会、中部非洲森林委员会等）。</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lang w:val="zh-CN" w:eastAsia="zh-CN"/>
        </w:rPr>
        <w:t>在野生动物问题中，野生动物非法贸易是人们最为关切的问题，而可持续野生动物管理和野生动物肉问题往往</w:t>
      </w:r>
      <w:r w:rsidRPr="00807594">
        <w:rPr>
          <w:rFonts w:eastAsiaTheme="minorEastAsia"/>
          <w:bCs/>
          <w:lang w:eastAsia="zh-CN"/>
        </w:rPr>
        <w:t>受到</w:t>
      </w:r>
      <w:r w:rsidRPr="00807594">
        <w:rPr>
          <w:rFonts w:eastAsiaTheme="minorEastAsia"/>
          <w:bCs/>
          <w:lang w:val="zh-CN" w:eastAsia="zh-CN"/>
        </w:rPr>
        <w:t>忽视，或被视为就野生动物非法贸易开展工作中的副产品。一些公约</w:t>
      </w:r>
      <w:r w:rsidRPr="00807594">
        <w:rPr>
          <w:rFonts w:eastAsiaTheme="minorEastAsia"/>
          <w:bCs/>
          <w:vertAlign w:val="superscript"/>
          <w:lang w:val="zh-CN" w:bidi="th-TH"/>
        </w:rPr>
        <w:footnoteReference w:id="118"/>
      </w:r>
      <w:r w:rsidRPr="00807594">
        <w:rPr>
          <w:rFonts w:eastAsiaTheme="minorEastAsia"/>
          <w:bCs/>
          <w:lang w:val="zh-CN" w:eastAsia="zh-CN"/>
        </w:rPr>
        <w:t xml:space="preserve"> </w:t>
      </w:r>
      <w:r w:rsidRPr="00807594">
        <w:rPr>
          <w:rFonts w:eastAsiaTheme="minorEastAsia"/>
          <w:bCs/>
          <w:lang w:val="zh-CN" w:eastAsia="zh-CN"/>
        </w:rPr>
        <w:t>通过试图创建一种对于野生动物养护和可持续利用更加有力的环境，明确考虑野生动物肉的不可持续利用问题并就此采取行动。</w:t>
      </w:r>
    </w:p>
    <w:p w:rsidR="00807594" w:rsidRPr="00807594" w:rsidRDefault="00807594" w:rsidP="0069685F">
      <w:pPr>
        <w:pStyle w:val="ListParagraph"/>
        <w:widowControl w:val="0"/>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lang w:val="zh-CN" w:eastAsia="zh-CN"/>
        </w:rPr>
        <w:t>管理野生动物肉部门必须摈弃临时性且互不关联的缓解措施，这种措施旨在缓解野生动物狩猎</w:t>
      </w:r>
      <w:r w:rsidRPr="00807594">
        <w:rPr>
          <w:rFonts w:eastAsiaTheme="minorEastAsia"/>
          <w:bCs/>
          <w:lang w:val="zh-CN" w:eastAsia="zh-CN" w:bidi="th-TH"/>
        </w:rPr>
        <w:t>造成</w:t>
      </w:r>
      <w:r w:rsidRPr="00807594">
        <w:rPr>
          <w:rFonts w:eastAsiaTheme="minorEastAsia"/>
          <w:bCs/>
          <w:lang w:val="zh-CN" w:eastAsia="zh-CN"/>
        </w:rPr>
        <w:t>的影响（例如狩猎禁令、野生物种圈养繁殖和小规模的替代蛋白或生计备选办法）。应当在整个野生动物肉价值源头上制定一种整体方法，将重点放在养护和可持续利用上游资源（农村地区）以及减少城市中心的需求上。</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lang w:val="zh-CN" w:eastAsia="zh-CN"/>
        </w:rPr>
        <w:t>这将需要一种有益和全面的有利环境（特别是在设计有关野生动物狩猎的国家政策和法律框架和野生动物肉贸易和销售方面），大多数发展中国家目前不存在这种环境。创建这样一种有利环境已经成为必要条件，以建成或逐步发展一个更加受控、更加可持续的野生动物肉部门。国际和国家两级都需要协调一致且重点明确的治理框架，以支持针对更好地管理资源和（或）大幅减少需求的干预措施。</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lang w:val="zh-CN" w:eastAsia="zh-CN" w:bidi="th-TH"/>
        </w:rPr>
      </w:pPr>
      <w:r w:rsidRPr="00807594">
        <w:rPr>
          <w:rFonts w:eastAsiaTheme="minorEastAsia"/>
          <w:bCs/>
          <w:lang w:val="zh-CN" w:eastAsia="zh-CN"/>
        </w:rPr>
        <w:t>这种框架的复杂性可能需要开发一种</w:t>
      </w:r>
      <w:r w:rsidRPr="009E27B3">
        <w:rPr>
          <w:rFonts w:asciiTheme="minorEastAsia" w:eastAsiaTheme="minorEastAsia" w:hAnsiTheme="minorEastAsia"/>
          <w:bCs/>
          <w:lang w:val="zh-CN" w:eastAsia="zh-CN"/>
        </w:rPr>
        <w:t>“</w:t>
      </w:r>
      <w:r w:rsidRPr="0052581D">
        <w:rPr>
          <w:rFonts w:asciiTheme="minorEastAsia" w:eastAsiaTheme="minorEastAsia" w:hAnsiTheme="minorEastAsia"/>
          <w:bCs/>
          <w:lang w:val="zh-CN" w:eastAsia="zh-CN"/>
        </w:rPr>
        <w:t>变革理论</w:t>
      </w:r>
      <w:r w:rsidRPr="009E27B3">
        <w:rPr>
          <w:rFonts w:asciiTheme="minorEastAsia" w:eastAsiaTheme="minorEastAsia" w:hAnsiTheme="minorEastAsia"/>
          <w:bCs/>
          <w:lang w:val="zh-CN" w:eastAsia="zh-CN"/>
        </w:rPr>
        <w:t>”</w:t>
      </w:r>
      <w:r w:rsidRPr="00807594">
        <w:rPr>
          <w:rFonts w:eastAsiaTheme="minorEastAsia"/>
          <w:bCs/>
          <w:lang w:val="zh-CN" w:eastAsia="zh-CN"/>
        </w:rPr>
        <w:t>，借以思考和规划出处理具体社会或生物多样性问题的行动和干预措施。</w:t>
      </w:r>
      <w:r w:rsidRPr="0052581D">
        <w:rPr>
          <w:rFonts w:asciiTheme="minorEastAsia" w:eastAsiaTheme="minorEastAsia" w:hAnsiTheme="minorEastAsia"/>
          <w:bCs/>
          <w:lang w:val="zh-CN" w:eastAsia="zh-CN"/>
        </w:rPr>
        <w:t>“变革理论”</w:t>
      </w:r>
      <w:r w:rsidRPr="00807594">
        <w:rPr>
          <w:rFonts w:eastAsiaTheme="minorEastAsia"/>
          <w:bCs/>
          <w:lang w:val="zh-CN" w:eastAsia="zh-CN"/>
        </w:rPr>
        <w:t>列出了干预所需的合理步骤，以达到期望的结果，并最终实现更广泛的社会和保护影响。</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Cs/>
          <w:iCs/>
          <w:snapToGrid w:val="0"/>
          <w:color w:val="000000"/>
          <w:kern w:val="22"/>
          <w:lang w:eastAsia="ja-JP" w:bidi="th-TH"/>
        </w:rPr>
      </w:pPr>
      <w:r w:rsidRPr="00807594">
        <w:rPr>
          <w:rFonts w:eastAsiaTheme="minorEastAsia"/>
          <w:bCs/>
          <w:snapToGrid w:val="0"/>
          <w:kern w:val="22"/>
          <w:lang w:eastAsia="zh-CN" w:bidi="th-TH"/>
        </w:rPr>
        <w:t>目前的</w:t>
      </w:r>
      <w:r w:rsidRPr="00807594">
        <w:rPr>
          <w:rFonts w:eastAsiaTheme="minorEastAsia"/>
          <w:bCs/>
          <w:lang w:val="zh-CN" w:eastAsia="zh-CN"/>
        </w:rPr>
        <w:t>野生动物肉贸易大多并不合法，这种情况有可能破坏政策进程，阻止对管理要求进行合理评估。迫切需要将野生动物肉部门正式纳入系统性的国民财产核算制度和国内总产值估算。</w:t>
      </w:r>
      <w:r w:rsidRPr="00807594">
        <w:rPr>
          <w:rFonts w:eastAsiaTheme="minorEastAsia"/>
          <w:bCs/>
          <w:lang w:val="zh-CN" w:eastAsia="zh-CN"/>
        </w:rPr>
        <w:t xml:space="preserve"> </w:t>
      </w:r>
    </w:p>
    <w:p w:rsidR="00807594" w:rsidRPr="00807594" w:rsidRDefault="00807594" w:rsidP="0069685F">
      <w:pPr>
        <w:pStyle w:val="ListParagraph"/>
        <w:numPr>
          <w:ilvl w:val="0"/>
          <w:numId w:val="98"/>
        </w:numPr>
        <w:suppressLineNumbers/>
        <w:suppressAutoHyphens/>
        <w:adjustRightInd w:val="0"/>
        <w:snapToGrid w:val="0"/>
        <w:ind w:left="0" w:firstLine="0"/>
        <w:rPr>
          <w:rFonts w:eastAsiaTheme="minorEastAsia"/>
          <w:b/>
          <w:bCs/>
          <w:snapToGrid w:val="0"/>
          <w:color w:val="000000"/>
          <w:kern w:val="22"/>
          <w:lang w:eastAsia="ja-JP" w:bidi="th-TH"/>
        </w:rPr>
      </w:pPr>
      <w:r w:rsidRPr="00807594">
        <w:rPr>
          <w:rFonts w:eastAsiaTheme="minorEastAsia"/>
          <w:bCs/>
          <w:snapToGrid w:val="0"/>
          <w:kern w:val="22"/>
          <w:lang w:eastAsia="zh-CN" w:bidi="th-TH"/>
        </w:rPr>
        <w:t>建议</w:t>
      </w:r>
      <w:r w:rsidRPr="00807594">
        <w:rPr>
          <w:rFonts w:eastAsiaTheme="minorEastAsia"/>
          <w:bCs/>
          <w:lang w:val="zh-CN" w:eastAsia="zh-CN"/>
        </w:rPr>
        <w:t>采取</w:t>
      </w:r>
      <w:r w:rsidRPr="00807594">
        <w:rPr>
          <w:rFonts w:eastAsiaTheme="minorEastAsia"/>
          <w:bCs/>
          <w:snapToGrid w:val="0"/>
          <w:kern w:val="22"/>
          <w:lang w:eastAsia="zh-CN" w:bidi="th-TH"/>
        </w:rPr>
        <w:t>步骤为实现合法</w:t>
      </w:r>
      <w:r w:rsidRPr="00807594">
        <w:rPr>
          <w:rFonts w:eastAsiaTheme="minorEastAsia"/>
          <w:bCs/>
          <w:lang w:val="zh-CN" w:eastAsia="zh-CN" w:bidi="th-TH"/>
        </w:rPr>
        <w:t>、有管制且可持续的野生动物肉部门创造有利条件：</w:t>
      </w:r>
    </w:p>
    <w:p w:rsidR="00807594" w:rsidRPr="00807594" w:rsidRDefault="00807594" w:rsidP="0069685F">
      <w:pPr>
        <w:numPr>
          <w:ilvl w:val="4"/>
          <w:numId w:val="88"/>
        </w:numPr>
        <w:suppressLineNumbers/>
        <w:tabs>
          <w:tab w:val="left" w:pos="1440"/>
        </w:tabs>
        <w:suppressAutoHyphens/>
        <w:adjustRightInd w:val="0"/>
        <w:snapToGrid w:val="0"/>
        <w:ind w:left="0" w:firstLine="720"/>
        <w:rPr>
          <w:rFonts w:eastAsiaTheme="minorEastAsia"/>
          <w:snapToGrid w:val="0"/>
          <w:color w:val="000000"/>
          <w:kern w:val="22"/>
          <w:lang w:val="en-CA"/>
        </w:rPr>
      </w:pPr>
      <w:r w:rsidRPr="00807594">
        <w:rPr>
          <w:rFonts w:eastAsiaTheme="minorEastAsia"/>
          <w:lang w:val="zh-CN"/>
        </w:rPr>
        <w:t>加强国际协作：</w:t>
      </w:r>
    </w:p>
    <w:p w:rsidR="00807594" w:rsidRPr="00807594" w:rsidRDefault="00807594" w:rsidP="0069685F">
      <w:pPr>
        <w:numPr>
          <w:ilvl w:val="6"/>
          <w:numId w:val="88"/>
        </w:numPr>
        <w:suppressLineNumbers/>
        <w:suppressAutoHyphens/>
        <w:adjustRightInd w:val="0"/>
        <w:snapToGrid w:val="0"/>
        <w:ind w:left="2160" w:hanging="720"/>
        <w:rPr>
          <w:rFonts w:eastAsiaTheme="minorEastAsia"/>
          <w:bCs/>
          <w:snapToGrid w:val="0"/>
          <w:color w:val="000000"/>
          <w:kern w:val="22"/>
          <w:lang w:eastAsia="ja-JP" w:bidi="th-TH"/>
        </w:rPr>
      </w:pPr>
      <w:r w:rsidRPr="00807594">
        <w:rPr>
          <w:rFonts w:eastAsiaTheme="minorEastAsia"/>
          <w:lang w:val="zh-CN" w:eastAsia="zh-CN" w:bidi="th-TH"/>
        </w:rPr>
        <w:t>进一步加强相关公约、平台和组织之间的合作（特别是《生物多样性公约》、《濒危野生动植物种国际贸易公约》、《养护野生动物移栖物种公约》、</w:t>
      </w:r>
      <w:r w:rsidRPr="00807594">
        <w:rPr>
          <w:rFonts w:eastAsiaTheme="minorEastAsia"/>
          <w:lang w:eastAsia="zh-CN" w:bidi="th-TH"/>
        </w:rPr>
        <w:t>政府</w:t>
      </w:r>
      <w:r w:rsidRPr="00807594">
        <w:rPr>
          <w:rFonts w:eastAsiaTheme="minorEastAsia"/>
          <w:lang w:eastAsia="zh-CN"/>
        </w:rPr>
        <w:t>间</w:t>
      </w:r>
      <w:r w:rsidRPr="00807594">
        <w:rPr>
          <w:rFonts w:eastAsiaTheme="minorEastAsia"/>
          <w:lang w:eastAsia="zh-CN" w:bidi="th-TH"/>
        </w:rPr>
        <w:t>科学政策平台、</w:t>
      </w:r>
      <w:r w:rsidRPr="00807594">
        <w:rPr>
          <w:rFonts w:eastAsiaTheme="minorEastAsia"/>
          <w:lang w:val="zh-CN" w:eastAsia="zh-CN" w:bidi="th-TH"/>
        </w:rPr>
        <w:t>世界卫生组织（世卫组织）、世界动物卫生组织、联合国粮食及农业组织（粮农组织）、国际打击野生生物犯罪联盟间的合作），宣传《生物多样性公约》的野生动物肉问题联络小组提出的建议；</w:t>
      </w:r>
      <w:r w:rsidRPr="00807594">
        <w:rPr>
          <w:rFonts w:eastAsiaTheme="minorEastAsia"/>
          <w:iCs/>
          <w:snapToGrid w:val="0"/>
          <w:color w:val="000000"/>
          <w:kern w:val="22"/>
          <w:vertAlign w:val="superscript"/>
          <w:lang w:eastAsia="ja-JP" w:bidi="th-TH"/>
        </w:rPr>
        <w:footnoteReference w:id="119"/>
      </w:r>
    </w:p>
    <w:p w:rsidR="00807594" w:rsidRPr="00807594" w:rsidRDefault="00807594" w:rsidP="0069685F">
      <w:pPr>
        <w:numPr>
          <w:ilvl w:val="6"/>
          <w:numId w:val="88"/>
        </w:numPr>
        <w:suppressLineNumbers/>
        <w:suppressAutoHyphens/>
        <w:adjustRightInd w:val="0"/>
        <w:snapToGrid w:val="0"/>
        <w:ind w:left="2160" w:hanging="720"/>
        <w:rPr>
          <w:rFonts w:eastAsiaTheme="minorEastAsia"/>
          <w:lang w:val="zh-CN" w:eastAsia="zh-CN" w:bidi="th-TH"/>
        </w:rPr>
      </w:pPr>
      <w:r w:rsidRPr="00807594">
        <w:rPr>
          <w:rFonts w:eastAsiaTheme="minorEastAsia"/>
          <w:lang w:val="zh-CN" w:eastAsia="zh-CN" w:bidi="th-TH"/>
        </w:rPr>
        <w:lastRenderedPageBreak/>
        <w:t>需要采取综合办法，同时解决偷猎和非法野生动物贸易以及粮食安全、生计和可持续利用野生动物等同等重要的问题。旨在解决偷猎和非法野生动物贸易的努力要长期有效并可持续，就必须同时努力确保野生动物物种的养护和健全管理顾及当地社区的社会经济需求，包括对野生动物肉的可持续利用；</w:t>
      </w:r>
    </w:p>
    <w:p w:rsidR="00807594" w:rsidRPr="00807594" w:rsidRDefault="00807594" w:rsidP="0069685F">
      <w:pPr>
        <w:numPr>
          <w:ilvl w:val="6"/>
          <w:numId w:val="88"/>
        </w:numPr>
        <w:suppressLineNumbers/>
        <w:suppressAutoHyphens/>
        <w:adjustRightInd w:val="0"/>
        <w:snapToGrid w:val="0"/>
        <w:ind w:left="2160" w:hanging="720"/>
        <w:rPr>
          <w:rFonts w:eastAsiaTheme="minorEastAsia"/>
          <w:bCs/>
          <w:iCs/>
          <w:snapToGrid w:val="0"/>
          <w:color w:val="000000"/>
          <w:kern w:val="22"/>
          <w:lang w:eastAsia="ja-JP" w:bidi="th-TH"/>
        </w:rPr>
      </w:pPr>
      <w:r w:rsidRPr="00807594">
        <w:rPr>
          <w:rFonts w:eastAsiaTheme="minorEastAsia"/>
          <w:lang w:val="zh-CN" w:eastAsia="zh-CN" w:bidi="th-TH"/>
        </w:rPr>
        <w:t>支持地方、国家和跨界综合行动，在相关组织、机构和其他相关利益攸关方之间建立伙伴关系，以便：建设执行和监测能力；制定和采用营养和生计替代办法；以及在野生动物肉狩猎和贸易方面增强认识、开展研究交流和教育活动。此外，应采取有针对性的行动，推动《可持续习惯使用行动计划》和支持修改政策和法律框架以支持和确保野生动物物种的养护和可持续利用的国家进程；</w:t>
      </w:r>
    </w:p>
    <w:p w:rsidR="00807594" w:rsidRPr="00807594" w:rsidRDefault="00807594" w:rsidP="0069685F">
      <w:pPr>
        <w:numPr>
          <w:ilvl w:val="4"/>
          <w:numId w:val="88"/>
        </w:numPr>
        <w:suppressLineNumbers/>
        <w:tabs>
          <w:tab w:val="left" w:pos="1440"/>
        </w:tabs>
        <w:suppressAutoHyphens/>
        <w:adjustRightInd w:val="0"/>
        <w:snapToGrid w:val="0"/>
        <w:ind w:left="0" w:firstLine="720"/>
        <w:rPr>
          <w:rFonts w:eastAsiaTheme="minorEastAsia"/>
          <w:bCs/>
          <w:iCs/>
          <w:snapToGrid w:val="0"/>
          <w:color w:val="000000"/>
          <w:kern w:val="22"/>
          <w:lang w:val="en-CA" w:eastAsia="ja-JP" w:bidi="th-TH"/>
        </w:rPr>
      </w:pPr>
      <w:r w:rsidRPr="00807594">
        <w:rPr>
          <w:rFonts w:eastAsiaTheme="minorEastAsia"/>
          <w:lang w:val="zh-CN" w:eastAsia="zh-CN"/>
        </w:rPr>
        <w:t>承认合法情况下野生动物肉的作用，并相应地调整国家政策和法律框架：</w:t>
      </w:r>
    </w:p>
    <w:p w:rsidR="00807594" w:rsidRPr="00807594" w:rsidRDefault="00807594" w:rsidP="0069685F">
      <w:pPr>
        <w:numPr>
          <w:ilvl w:val="6"/>
          <w:numId w:val="87"/>
        </w:numPr>
        <w:suppressLineNumbers/>
        <w:suppressAutoHyphens/>
        <w:adjustRightInd w:val="0"/>
        <w:snapToGrid w:val="0"/>
        <w:ind w:left="2160" w:hanging="720"/>
        <w:rPr>
          <w:rFonts w:eastAsiaTheme="minorEastAsia"/>
          <w:bCs/>
          <w:iCs/>
          <w:snapToGrid w:val="0"/>
          <w:color w:val="000000"/>
          <w:kern w:val="22"/>
          <w:lang w:eastAsia="ja-JP" w:bidi="th-TH"/>
        </w:rPr>
      </w:pPr>
      <w:r w:rsidRPr="00807594">
        <w:rPr>
          <w:rFonts w:eastAsiaTheme="minorEastAsia"/>
          <w:lang w:val="zh-CN" w:eastAsia="zh-CN" w:bidi="th-TH"/>
        </w:rPr>
        <w:t>承认现有野生动物肉贸易的现实，作为让野生动物管理的基础更加稳健的一个必要前提；</w:t>
      </w:r>
      <w:r w:rsidRPr="00807594">
        <w:rPr>
          <w:rFonts w:eastAsiaTheme="minorEastAsia"/>
          <w:lang w:val="zh-CN" w:eastAsia="zh-CN" w:bidi="th-TH"/>
        </w:rPr>
        <w:t xml:space="preserve"> </w:t>
      </w:r>
    </w:p>
    <w:p w:rsidR="00807594" w:rsidRPr="00807594" w:rsidRDefault="00807594" w:rsidP="0069685F">
      <w:pPr>
        <w:numPr>
          <w:ilvl w:val="6"/>
          <w:numId w:val="87"/>
        </w:numPr>
        <w:suppressLineNumbers/>
        <w:suppressAutoHyphens/>
        <w:adjustRightInd w:val="0"/>
        <w:snapToGrid w:val="0"/>
        <w:ind w:left="2160" w:hanging="720"/>
        <w:rPr>
          <w:rFonts w:eastAsiaTheme="minorEastAsia"/>
          <w:bCs/>
          <w:iCs/>
          <w:snapToGrid w:val="0"/>
          <w:color w:val="000000"/>
          <w:kern w:val="22"/>
          <w:lang w:eastAsia="ja-JP" w:bidi="th-TH"/>
        </w:rPr>
      </w:pPr>
      <w:r w:rsidRPr="00807594">
        <w:rPr>
          <w:rFonts w:eastAsiaTheme="minorEastAsia"/>
          <w:lang w:val="zh-CN" w:eastAsia="zh-CN" w:bidi="th-TH"/>
        </w:rPr>
        <w:t>将现有野生动物肉消费水平记入国家统计数据，将此作为估算资源价值和承认其合法可持续利用惠益的手段，并在公共政策和规划中给予其适当的重视；</w:t>
      </w:r>
    </w:p>
    <w:p w:rsidR="00807594" w:rsidRPr="00807594" w:rsidRDefault="00807594" w:rsidP="0069685F">
      <w:pPr>
        <w:numPr>
          <w:ilvl w:val="6"/>
          <w:numId w:val="87"/>
        </w:numPr>
        <w:suppressLineNumbers/>
        <w:suppressAutoHyphens/>
        <w:adjustRightInd w:val="0"/>
        <w:snapToGrid w:val="0"/>
        <w:ind w:left="2160" w:hanging="720"/>
        <w:rPr>
          <w:rFonts w:eastAsiaTheme="minorEastAsia"/>
          <w:bCs/>
          <w:iCs/>
          <w:snapToGrid w:val="0"/>
          <w:color w:val="000000"/>
          <w:kern w:val="22"/>
          <w:lang w:eastAsia="ja-JP" w:bidi="th-TH"/>
        </w:rPr>
      </w:pPr>
      <w:r w:rsidRPr="00807594">
        <w:rPr>
          <w:rFonts w:eastAsiaTheme="minorEastAsia"/>
          <w:lang w:val="zh-CN" w:eastAsia="zh-CN" w:bidi="th-TH"/>
        </w:rPr>
        <w:t>评估野生动物消费在生计中的作用，并考虑将此问题纳入国家资源评估和主要政策规</w:t>
      </w:r>
      <w:r w:rsidRPr="00807594">
        <w:rPr>
          <w:rFonts w:eastAsiaTheme="minorEastAsia"/>
          <w:spacing w:val="10"/>
          <w:lang w:val="zh-CN" w:eastAsia="zh-CN" w:bidi="th-TH"/>
        </w:rPr>
        <w:t>划文件，例如国家发展和减贫战略；</w:t>
      </w:r>
    </w:p>
    <w:p w:rsidR="00807594" w:rsidRPr="00807594" w:rsidRDefault="00807594" w:rsidP="0069685F">
      <w:pPr>
        <w:numPr>
          <w:ilvl w:val="6"/>
          <w:numId w:val="87"/>
        </w:numPr>
        <w:suppressLineNumbers/>
        <w:suppressAutoHyphens/>
        <w:adjustRightInd w:val="0"/>
        <w:snapToGrid w:val="0"/>
        <w:ind w:left="2160" w:hanging="720"/>
        <w:rPr>
          <w:rFonts w:eastAsiaTheme="minorEastAsia"/>
          <w:bCs/>
          <w:iCs/>
          <w:snapToGrid w:val="0"/>
          <w:color w:val="000000"/>
          <w:kern w:val="22"/>
          <w:lang w:eastAsia="ja-JP" w:bidi="th-TH"/>
        </w:rPr>
      </w:pPr>
      <w:r w:rsidRPr="00807594">
        <w:rPr>
          <w:rFonts w:eastAsiaTheme="minorEastAsia"/>
          <w:lang w:val="zh-CN" w:eastAsia="zh-CN" w:bidi="th-TH"/>
        </w:rPr>
        <w:t>将野生动物肉</w:t>
      </w:r>
      <w:r w:rsidRPr="00807594">
        <w:rPr>
          <w:rFonts w:eastAsiaTheme="minorEastAsia"/>
          <w:lang w:val="zh-CN" w:eastAsia="zh-CN" w:bidi="th-TH"/>
        </w:rPr>
        <w:t>/</w:t>
      </w:r>
      <w:r w:rsidRPr="00807594">
        <w:rPr>
          <w:rFonts w:eastAsiaTheme="minorEastAsia"/>
          <w:spacing w:val="10"/>
          <w:lang w:val="zh-CN" w:eastAsia="zh-CN" w:bidi="th-TH"/>
        </w:rPr>
        <w:t>野生动物</w:t>
      </w:r>
      <w:r w:rsidRPr="00807594">
        <w:rPr>
          <w:rFonts w:eastAsiaTheme="minorEastAsia"/>
          <w:lang w:val="zh-CN" w:eastAsia="zh-CN" w:bidi="th-TH"/>
        </w:rPr>
        <w:t>问题纳入相关教育课程（例如高等教育、政府培训）；</w:t>
      </w:r>
    </w:p>
    <w:p w:rsidR="00807594" w:rsidRPr="00807594" w:rsidRDefault="00807594" w:rsidP="0069685F">
      <w:pPr>
        <w:numPr>
          <w:ilvl w:val="6"/>
          <w:numId w:val="87"/>
        </w:numPr>
        <w:suppressLineNumbers/>
        <w:suppressAutoHyphens/>
        <w:adjustRightInd w:val="0"/>
        <w:snapToGrid w:val="0"/>
        <w:ind w:left="2160" w:hanging="720"/>
        <w:rPr>
          <w:rFonts w:eastAsiaTheme="minorEastAsia"/>
          <w:bCs/>
          <w:iCs/>
          <w:snapToGrid w:val="0"/>
          <w:color w:val="000000"/>
          <w:kern w:val="22"/>
          <w:lang w:eastAsia="ja-JP" w:bidi="th-TH"/>
        </w:rPr>
      </w:pPr>
      <w:r w:rsidRPr="00807594">
        <w:rPr>
          <w:rFonts w:eastAsiaTheme="minorEastAsia"/>
          <w:spacing w:val="10"/>
          <w:lang w:val="zh-CN" w:eastAsia="zh-CN" w:bidi="th-TH"/>
        </w:rPr>
        <w:t>承认</w:t>
      </w:r>
      <w:r w:rsidRPr="00807594">
        <w:rPr>
          <w:rFonts w:eastAsiaTheme="minorEastAsia"/>
          <w:spacing w:val="10"/>
          <w:lang w:val="zh-CN" w:eastAsia="ja-JP" w:bidi="th-TH"/>
        </w:rPr>
        <w:t>妇女在加工和销售野生</w:t>
      </w:r>
      <w:r w:rsidRPr="00807594">
        <w:rPr>
          <w:rFonts w:eastAsiaTheme="minorEastAsia"/>
          <w:spacing w:val="10"/>
          <w:lang w:val="zh-CN" w:eastAsia="zh-CN" w:bidi="th-TH"/>
        </w:rPr>
        <w:t>动物</w:t>
      </w:r>
      <w:r w:rsidRPr="00807594">
        <w:rPr>
          <w:rFonts w:eastAsiaTheme="minorEastAsia"/>
          <w:spacing w:val="10"/>
          <w:lang w:val="zh-CN" w:eastAsia="ja-JP" w:bidi="th-TH"/>
        </w:rPr>
        <w:t>肉方面的重要作用</w:t>
      </w:r>
      <w:r w:rsidRPr="00807594">
        <w:rPr>
          <w:rFonts w:eastAsiaTheme="minorEastAsia"/>
          <w:bCs/>
          <w:iCs/>
          <w:snapToGrid w:val="0"/>
          <w:color w:val="000000"/>
          <w:kern w:val="22"/>
          <w:lang w:eastAsia="ja-JP" w:bidi="th-TH"/>
        </w:rPr>
        <w:t>，同时</w:t>
      </w:r>
      <w:r w:rsidRPr="00807594">
        <w:rPr>
          <w:rFonts w:eastAsiaTheme="minorEastAsia"/>
          <w:bCs/>
          <w:iCs/>
          <w:snapToGrid w:val="0"/>
          <w:color w:val="000000"/>
          <w:kern w:val="22"/>
          <w:lang w:eastAsia="zh-CN" w:bidi="th-TH"/>
        </w:rPr>
        <w:t>顾及</w:t>
      </w:r>
      <w:r w:rsidRPr="00807594">
        <w:rPr>
          <w:rFonts w:eastAsiaTheme="minorEastAsia"/>
          <w:bCs/>
          <w:iCs/>
          <w:snapToGrid w:val="0"/>
          <w:color w:val="000000"/>
          <w:kern w:val="22"/>
          <w:lang w:eastAsia="ja-JP" w:bidi="th-TH"/>
        </w:rPr>
        <w:t>妇女和男子的需要</w:t>
      </w:r>
      <w:r w:rsidRPr="00807594">
        <w:rPr>
          <w:rFonts w:eastAsiaTheme="minorEastAsia"/>
          <w:bCs/>
          <w:iCs/>
          <w:snapToGrid w:val="0"/>
          <w:color w:val="000000"/>
          <w:kern w:val="22"/>
          <w:lang w:eastAsia="zh-CN" w:bidi="th-TH"/>
        </w:rPr>
        <w:t>、</w:t>
      </w:r>
      <w:r w:rsidRPr="00807594">
        <w:rPr>
          <w:rFonts w:eastAsiaTheme="minorEastAsia"/>
          <w:bCs/>
          <w:iCs/>
          <w:snapToGrid w:val="0"/>
          <w:color w:val="000000"/>
          <w:kern w:val="22"/>
          <w:lang w:eastAsia="ja-JP" w:bidi="th-TH"/>
        </w:rPr>
        <w:t>优先事项和能力</w:t>
      </w:r>
      <w:r w:rsidRPr="00807594">
        <w:rPr>
          <w:rFonts w:eastAsiaTheme="minorEastAsia"/>
          <w:bCs/>
          <w:iCs/>
          <w:snapToGrid w:val="0"/>
          <w:color w:val="000000"/>
          <w:kern w:val="22"/>
          <w:lang w:eastAsia="zh-CN" w:bidi="th-TH"/>
        </w:rPr>
        <w:t>；</w:t>
      </w:r>
    </w:p>
    <w:p w:rsidR="00807594" w:rsidRPr="00807594" w:rsidRDefault="00807594" w:rsidP="0069685F">
      <w:pPr>
        <w:numPr>
          <w:ilvl w:val="4"/>
          <w:numId w:val="88"/>
        </w:numPr>
        <w:suppressLineNumbers/>
        <w:tabs>
          <w:tab w:val="left" w:pos="1440"/>
        </w:tabs>
        <w:suppressAutoHyphens/>
        <w:adjustRightInd w:val="0"/>
        <w:snapToGrid w:val="0"/>
        <w:ind w:left="0" w:firstLine="720"/>
        <w:rPr>
          <w:rFonts w:eastAsiaTheme="minorEastAsia"/>
          <w:lang w:val="zh-CN" w:eastAsia="zh-CN"/>
        </w:rPr>
      </w:pPr>
      <w:r w:rsidRPr="00807594">
        <w:rPr>
          <w:rFonts w:eastAsiaTheme="minorEastAsia"/>
          <w:lang w:val="zh-CN" w:eastAsia="zh-CN"/>
        </w:rPr>
        <w:t>建立野生动物肉区域和国家监测框架，以制定政策和合法干预措施，其中包括：</w:t>
      </w:r>
    </w:p>
    <w:p w:rsidR="00807594" w:rsidRPr="00807594" w:rsidRDefault="00807594" w:rsidP="0069685F">
      <w:pPr>
        <w:numPr>
          <w:ilvl w:val="6"/>
          <w:numId w:val="94"/>
        </w:numPr>
        <w:suppressLineNumbers/>
        <w:suppressAutoHyphens/>
        <w:adjustRightInd w:val="0"/>
        <w:snapToGrid w:val="0"/>
        <w:ind w:left="2160" w:hanging="720"/>
        <w:rPr>
          <w:rFonts w:eastAsiaTheme="minorEastAsia"/>
          <w:bCs/>
          <w:iCs/>
          <w:snapToGrid w:val="0"/>
          <w:color w:val="000000"/>
          <w:kern w:val="22"/>
          <w:lang w:eastAsia="ja-JP" w:bidi="th-TH"/>
        </w:rPr>
      </w:pPr>
      <w:r w:rsidRPr="00807594">
        <w:rPr>
          <w:rFonts w:eastAsiaTheme="minorEastAsia"/>
          <w:lang w:val="zh-CN" w:eastAsia="zh-CN" w:bidi="th-TH"/>
        </w:rPr>
        <w:t>对野生动物肉的消费者、消费驱动因素和在需求超过可持续产量时对潜在替代品</w:t>
      </w:r>
      <w:r w:rsidRPr="00807594">
        <w:rPr>
          <w:rFonts w:eastAsiaTheme="minorEastAsia"/>
          <w:lang w:val="zh-CN" w:eastAsia="ja-JP" w:bidi="th-TH"/>
        </w:rPr>
        <w:t>进行</w:t>
      </w:r>
      <w:r w:rsidRPr="00807594">
        <w:rPr>
          <w:rFonts w:eastAsiaTheme="minorEastAsia"/>
          <w:lang w:val="zh-CN" w:eastAsia="zh-CN" w:bidi="th-TH"/>
        </w:rPr>
        <w:t>评价，并计算需求的弹性。需要这种知识以便设计和瞄准减少需求战略，包括制定改变行为战略以处理可持续的野生动物肉消费做法，包括可持续替代品的消费；</w:t>
      </w:r>
    </w:p>
    <w:p w:rsidR="00807594" w:rsidRPr="00807594" w:rsidRDefault="00807594" w:rsidP="0069685F">
      <w:pPr>
        <w:numPr>
          <w:ilvl w:val="6"/>
          <w:numId w:val="94"/>
        </w:numPr>
        <w:suppressLineNumbers/>
        <w:suppressAutoHyphens/>
        <w:adjustRightInd w:val="0"/>
        <w:snapToGrid w:val="0"/>
        <w:ind w:left="2160" w:hanging="720"/>
        <w:rPr>
          <w:rFonts w:eastAsiaTheme="minorEastAsia"/>
          <w:bCs/>
          <w:iCs/>
          <w:snapToGrid w:val="0"/>
          <w:color w:val="000000"/>
          <w:kern w:val="22"/>
          <w:lang w:eastAsia="ja-JP" w:bidi="th-TH"/>
        </w:rPr>
      </w:pPr>
      <w:r w:rsidRPr="00807594">
        <w:rPr>
          <w:rFonts w:eastAsiaTheme="minorEastAsia"/>
          <w:lang w:val="zh-CN" w:eastAsia="zh-CN" w:bidi="th-TH"/>
        </w:rPr>
        <w:t>对野生动物肉供应商进行评价，包括利用野生动物肉获得蛋白和收入、狩猎者和猎户的特点、利用蛋白和收入的替代来源以及狩猎对当地生计的影响；</w:t>
      </w:r>
    </w:p>
    <w:p w:rsidR="00807594" w:rsidRPr="00807594" w:rsidRDefault="00807594" w:rsidP="0069685F">
      <w:pPr>
        <w:numPr>
          <w:ilvl w:val="6"/>
          <w:numId w:val="94"/>
        </w:numPr>
        <w:suppressLineNumbers/>
        <w:suppressAutoHyphens/>
        <w:adjustRightInd w:val="0"/>
        <w:snapToGrid w:val="0"/>
        <w:ind w:left="2160" w:hanging="720"/>
        <w:rPr>
          <w:rFonts w:eastAsiaTheme="minorEastAsia"/>
          <w:lang w:val="zh-CN" w:eastAsia="zh-CN" w:bidi="th-TH"/>
        </w:rPr>
      </w:pPr>
      <w:r w:rsidRPr="00807594">
        <w:rPr>
          <w:rFonts w:eastAsiaTheme="minorEastAsia"/>
          <w:lang w:val="zh-CN" w:eastAsia="zh-CN" w:bidi="th-TH"/>
        </w:rPr>
        <w:lastRenderedPageBreak/>
        <w:t>描述野生动物肉的商品链，以查明商品链上的关键行为体和位置，从而有针对性地实施干预措施；</w:t>
      </w:r>
    </w:p>
    <w:p w:rsidR="00807594" w:rsidRPr="00807594" w:rsidRDefault="00807594" w:rsidP="0069685F">
      <w:pPr>
        <w:numPr>
          <w:ilvl w:val="6"/>
          <w:numId w:val="94"/>
        </w:numPr>
        <w:suppressLineNumbers/>
        <w:suppressAutoHyphens/>
        <w:adjustRightInd w:val="0"/>
        <w:snapToGrid w:val="0"/>
        <w:ind w:left="2160" w:hanging="720"/>
        <w:rPr>
          <w:rFonts w:eastAsiaTheme="minorEastAsia"/>
          <w:lang w:val="zh-CN" w:eastAsia="zh-CN" w:bidi="th-TH"/>
        </w:rPr>
      </w:pPr>
      <w:r w:rsidRPr="00807594">
        <w:rPr>
          <w:rFonts w:eastAsiaTheme="minorEastAsia"/>
          <w:lang w:val="zh-CN" w:eastAsia="zh-CN" w:bidi="th-TH"/>
        </w:rPr>
        <w:t>在全国的关键场所设计生态监测平台，以确定和跟踪野生动物肉狩猎的影响和政策执行的影响；</w:t>
      </w:r>
    </w:p>
    <w:p w:rsidR="00807594" w:rsidRPr="00807594" w:rsidRDefault="00807594" w:rsidP="0069685F">
      <w:pPr>
        <w:numPr>
          <w:ilvl w:val="6"/>
          <w:numId w:val="94"/>
        </w:numPr>
        <w:suppressLineNumbers/>
        <w:suppressAutoHyphens/>
        <w:adjustRightInd w:val="0"/>
        <w:snapToGrid w:val="0"/>
        <w:ind w:left="2160" w:hanging="720"/>
        <w:rPr>
          <w:rFonts w:eastAsiaTheme="minorEastAsia"/>
          <w:lang w:val="zh-CN" w:eastAsia="zh-CN" w:bidi="th-TH"/>
        </w:rPr>
      </w:pPr>
      <w:r w:rsidRPr="00807594">
        <w:rPr>
          <w:rFonts w:eastAsiaTheme="minorEastAsia"/>
          <w:lang w:val="zh-CN" w:eastAsia="zh-CN" w:bidi="th-TH"/>
        </w:rPr>
        <w:t>在发展规划工作（例如采掘业的业务活动）中评估野生动物肉和替代品的相对健康惠益与风险，包括营养含量和传染病风险，以便为供应选择提供信息；</w:t>
      </w:r>
    </w:p>
    <w:p w:rsidR="00807594" w:rsidRPr="00807594" w:rsidRDefault="00807594" w:rsidP="0069685F">
      <w:pPr>
        <w:numPr>
          <w:ilvl w:val="6"/>
          <w:numId w:val="94"/>
        </w:numPr>
        <w:suppressLineNumbers/>
        <w:suppressAutoHyphens/>
        <w:adjustRightInd w:val="0"/>
        <w:snapToGrid w:val="0"/>
        <w:ind w:left="2160" w:hanging="720"/>
        <w:rPr>
          <w:rFonts w:eastAsiaTheme="minorEastAsia"/>
          <w:lang w:val="zh-CN" w:eastAsia="zh-CN" w:bidi="th-TH"/>
        </w:rPr>
      </w:pPr>
      <w:r w:rsidRPr="00807594">
        <w:rPr>
          <w:rFonts w:eastAsiaTheme="minorEastAsia"/>
          <w:lang w:val="zh-CN" w:eastAsia="zh-CN" w:bidi="th-TH"/>
        </w:rPr>
        <w:t>核对整理过去和当前旨在增强野生动物肉利用的可持续性的干预措施及其影响的任何证据，以建立成功和失败的证据基础，借此更好地设计未来的干预措施；</w:t>
      </w:r>
      <w:r w:rsidRPr="00807594">
        <w:rPr>
          <w:rFonts w:eastAsiaTheme="minorEastAsia"/>
          <w:lang w:val="zh-CN" w:eastAsia="zh-CN" w:bidi="th-TH"/>
        </w:rPr>
        <w:t xml:space="preserve"> </w:t>
      </w:r>
    </w:p>
    <w:p w:rsidR="00807594" w:rsidRPr="00807594" w:rsidRDefault="00807594" w:rsidP="0069685F">
      <w:pPr>
        <w:numPr>
          <w:ilvl w:val="6"/>
          <w:numId w:val="94"/>
        </w:numPr>
        <w:suppressLineNumbers/>
        <w:suppressAutoHyphens/>
        <w:adjustRightInd w:val="0"/>
        <w:snapToGrid w:val="0"/>
        <w:ind w:left="2160" w:hanging="720"/>
        <w:rPr>
          <w:rFonts w:eastAsiaTheme="minorEastAsia"/>
          <w:color w:val="000000"/>
          <w:lang w:eastAsia="zh-CN"/>
        </w:rPr>
      </w:pPr>
      <w:r w:rsidRPr="00807594">
        <w:rPr>
          <w:rFonts w:eastAsiaTheme="minorEastAsia"/>
          <w:lang w:val="zh-CN" w:eastAsia="zh-CN" w:bidi="th-TH"/>
        </w:rPr>
        <w:t>利用现有相关数据平台更加深入地了解所需的干预措施类型，包括其可能的设计以及不同利益攸关方促进数据收集工作的机会。</w:t>
      </w:r>
    </w:p>
    <w:p w:rsidR="00807594" w:rsidRPr="00807594" w:rsidRDefault="00807594" w:rsidP="00807594">
      <w:pPr>
        <w:widowControl w:val="0"/>
        <w:jc w:val="center"/>
        <w:rPr>
          <w:rFonts w:eastAsiaTheme="minorEastAsia"/>
          <w:snapToGrid w:val="0"/>
          <w:kern w:val="22"/>
          <w:lang w:val="en-GB" w:eastAsia="zh-CN"/>
        </w:rPr>
      </w:pPr>
      <w:r w:rsidRPr="00807594">
        <w:rPr>
          <w:rFonts w:eastAsiaTheme="minorEastAsia"/>
          <w:snapToGrid w:val="0"/>
          <w:kern w:val="22"/>
          <w:lang w:val="en-GB" w:eastAsia="zh-CN"/>
        </w:rPr>
        <w:t xml:space="preserve"> </w:t>
      </w:r>
    </w:p>
    <w:p w:rsidR="0063067B" w:rsidRDefault="0063067B">
      <w:pPr>
        <w:rPr>
          <w:rFonts w:eastAsiaTheme="minorEastAsia"/>
          <w:b/>
          <w:bCs/>
          <w:noProof/>
          <w:kern w:val="22"/>
          <w:szCs w:val="32"/>
          <w:lang w:eastAsia="zh-CN"/>
        </w:rPr>
      </w:pPr>
      <w:r>
        <w:rPr>
          <w:rFonts w:eastAsiaTheme="minorEastAsia"/>
          <w:noProof/>
          <w:kern w:val="22"/>
          <w:lang w:eastAsia="zh-CN"/>
        </w:rPr>
        <w:br w:type="page"/>
      </w:r>
    </w:p>
    <w:p w:rsidR="005B4DE3" w:rsidRPr="0063067B" w:rsidRDefault="005B4DE3" w:rsidP="0063067B">
      <w:pPr>
        <w:pStyle w:val="Heading1"/>
        <w:spacing w:before="120" w:after="120"/>
        <w:rPr>
          <w:rFonts w:eastAsiaTheme="minorEastAsia" w:cs="Times New Roman"/>
          <w:noProof/>
          <w:kern w:val="22"/>
          <w:sz w:val="24"/>
          <w:lang w:eastAsia="zh-CN"/>
        </w:rPr>
      </w:pPr>
      <w:bookmarkStart w:id="79" w:name="_Toc6243695"/>
      <w:r w:rsidRPr="0063067B">
        <w:rPr>
          <w:rFonts w:eastAsiaTheme="minorEastAsia" w:cs="Times New Roman"/>
          <w:noProof/>
          <w:kern w:val="22"/>
          <w:sz w:val="24"/>
          <w:lang w:eastAsia="zh-CN"/>
        </w:rPr>
        <w:lastRenderedPageBreak/>
        <w:t>14/8.</w:t>
      </w:r>
      <w:r w:rsidRPr="0063067B">
        <w:rPr>
          <w:rFonts w:eastAsiaTheme="minorEastAsia" w:cs="Times New Roman"/>
          <w:noProof/>
          <w:kern w:val="22"/>
          <w:sz w:val="24"/>
          <w:lang w:eastAsia="zh-CN"/>
        </w:rPr>
        <w:tab/>
      </w:r>
      <w:r w:rsidRPr="0063067B">
        <w:rPr>
          <w:rFonts w:eastAsiaTheme="minorEastAsia" w:cs="Times New Roman"/>
          <w:noProof/>
          <w:kern w:val="22"/>
          <w:sz w:val="24"/>
          <w:lang w:eastAsia="zh-CN"/>
        </w:rPr>
        <w:t>保护区和其他有效区域保护措施</w:t>
      </w:r>
      <w:bookmarkEnd w:id="79"/>
    </w:p>
    <w:p w:rsidR="005B4DE3" w:rsidRDefault="005B4DE3" w:rsidP="005B4DE3">
      <w:pPr>
        <w:suppressLineNumbers/>
        <w:suppressAutoHyphens/>
        <w:kinsoku w:val="0"/>
        <w:overflowPunct w:val="0"/>
        <w:autoSpaceDE w:val="0"/>
        <w:autoSpaceDN w:val="0"/>
        <w:adjustRightInd w:val="0"/>
        <w:snapToGrid w:val="0"/>
        <w:ind w:firstLine="706"/>
        <w:rPr>
          <w:rFonts w:ascii="KaiTi" w:eastAsia="KaiTi" w:hAnsi="KaiTi" w:cs="SimSun"/>
          <w:kern w:val="22"/>
          <w:lang w:val="en-CA" w:eastAsia="zh-CN"/>
        </w:rPr>
      </w:pPr>
      <w:r w:rsidRPr="0043005D">
        <w:rPr>
          <w:rFonts w:ascii="KaiTi" w:eastAsia="KaiTi" w:hAnsi="KaiTi" w:cs="SimSun" w:hint="eastAsia"/>
          <w:kern w:val="22"/>
          <w:lang w:val="en-CA" w:eastAsia="zh-CN"/>
        </w:rPr>
        <w:t>缔约方大会，</w:t>
      </w:r>
    </w:p>
    <w:p w:rsidR="005B4DE3" w:rsidRPr="0052581D" w:rsidRDefault="005B4DE3" w:rsidP="00403B4F">
      <w:pPr>
        <w:suppressLineNumbers/>
        <w:suppressAutoHyphens/>
        <w:kinsoku w:val="0"/>
        <w:overflowPunct w:val="0"/>
        <w:autoSpaceDE w:val="0"/>
        <w:autoSpaceDN w:val="0"/>
        <w:adjustRightInd w:val="0"/>
        <w:snapToGrid w:val="0"/>
        <w:ind w:firstLine="706"/>
        <w:rPr>
          <w:rFonts w:eastAsiaTheme="minorEastAsia"/>
          <w:spacing w:val="20"/>
          <w:kern w:val="22"/>
          <w:lang w:val="en-CA" w:eastAsia="zh-CN"/>
        </w:rPr>
      </w:pPr>
      <w:r w:rsidRPr="0052581D">
        <w:rPr>
          <w:rFonts w:eastAsiaTheme="minorEastAsia"/>
          <w:spacing w:val="20"/>
          <w:kern w:val="22"/>
          <w:lang w:val="en-CA" w:eastAsia="zh-CN"/>
        </w:rPr>
        <w:t>认识到拉丁美洲国家公园、其他保护区和野生生物技术合作网络（</w:t>
      </w:r>
      <w:r w:rsidRPr="0052581D">
        <w:rPr>
          <w:rFonts w:eastAsiaTheme="minorEastAsia"/>
          <w:bCs/>
          <w:spacing w:val="20"/>
          <w:kern w:val="20"/>
          <w:szCs w:val="22"/>
          <w:lang w:eastAsia="zh-CN"/>
        </w:rPr>
        <w:t>REDPARQUES</w:t>
      </w:r>
      <w:r w:rsidRPr="0052581D">
        <w:rPr>
          <w:rFonts w:eastAsiaTheme="minorEastAsia"/>
          <w:spacing w:val="20"/>
          <w:kern w:val="22"/>
          <w:lang w:val="en-CA" w:eastAsia="zh-CN"/>
        </w:rPr>
        <w:t>）和联合国教育、科学及文化组织人与生物圈方案及其世界生物圈保护区网络等国际倡议、经验和活动有其相关意义，推动了保护区</w:t>
      </w:r>
      <w:bookmarkStart w:id="80" w:name="_Hlk531067793"/>
      <w:r w:rsidRPr="0052581D">
        <w:rPr>
          <w:rFonts w:eastAsiaTheme="minorEastAsia"/>
          <w:spacing w:val="20"/>
          <w:kern w:val="22"/>
          <w:lang w:val="en-CA" w:eastAsia="zh-CN"/>
        </w:rPr>
        <w:t>和其他有效区域保护措施</w:t>
      </w:r>
      <w:bookmarkEnd w:id="80"/>
      <w:r w:rsidRPr="0052581D">
        <w:rPr>
          <w:rFonts w:eastAsiaTheme="minorEastAsia"/>
          <w:spacing w:val="20"/>
          <w:kern w:val="22"/>
          <w:lang w:val="en-CA" w:eastAsia="zh-CN"/>
        </w:rPr>
        <w:t>，</w:t>
      </w:r>
    </w:p>
    <w:p w:rsidR="005B4DE3" w:rsidRPr="00403B4F" w:rsidRDefault="005B4DE3" w:rsidP="00403B4F">
      <w:pPr>
        <w:suppressLineNumbers/>
        <w:suppressAutoHyphens/>
        <w:kinsoku w:val="0"/>
        <w:overflowPunct w:val="0"/>
        <w:autoSpaceDE w:val="0"/>
        <w:autoSpaceDN w:val="0"/>
        <w:adjustRightInd w:val="0"/>
        <w:snapToGrid w:val="0"/>
        <w:ind w:firstLine="706"/>
        <w:rPr>
          <w:rFonts w:eastAsiaTheme="minorEastAsia"/>
          <w:kern w:val="22"/>
          <w:lang w:val="en-CA" w:eastAsia="zh-CN"/>
        </w:rPr>
      </w:pPr>
      <w:r w:rsidRPr="00403B4F">
        <w:rPr>
          <w:rFonts w:eastAsiaTheme="minorEastAsia"/>
          <w:kern w:val="22"/>
          <w:lang w:val="en-CA" w:eastAsia="zh-CN"/>
        </w:rPr>
        <w:t>欢迎即将举行的第三届拉丁美洲和加勒比保护区大会（</w:t>
      </w:r>
      <w:r w:rsidRPr="00403B4F">
        <w:rPr>
          <w:rFonts w:eastAsiaTheme="minorEastAsia"/>
          <w:kern w:val="22"/>
          <w:lang w:val="en-CA" w:eastAsia="zh-CN"/>
        </w:rPr>
        <w:t>2019</w:t>
      </w:r>
      <w:r w:rsidRPr="00403B4F">
        <w:rPr>
          <w:rFonts w:eastAsiaTheme="minorEastAsia"/>
          <w:kern w:val="22"/>
          <w:lang w:val="en-CA" w:eastAsia="zh-CN"/>
        </w:rPr>
        <w:t>年</w:t>
      </w:r>
      <w:r w:rsidRPr="00403B4F">
        <w:rPr>
          <w:rFonts w:eastAsiaTheme="minorEastAsia"/>
          <w:kern w:val="22"/>
          <w:lang w:val="en-CA" w:eastAsia="zh-CN"/>
        </w:rPr>
        <w:t>3</w:t>
      </w:r>
      <w:r w:rsidRPr="00403B4F">
        <w:rPr>
          <w:rFonts w:eastAsiaTheme="minorEastAsia"/>
          <w:kern w:val="22"/>
          <w:lang w:val="en-CA" w:eastAsia="zh-CN"/>
        </w:rPr>
        <w:t>月，利马），</w:t>
      </w:r>
    </w:p>
    <w:p w:rsidR="005B4DE3" w:rsidRPr="00403B4F" w:rsidRDefault="005B4DE3" w:rsidP="00403B4F">
      <w:pPr>
        <w:suppressLineNumbers/>
        <w:suppressAutoHyphens/>
        <w:kinsoku w:val="0"/>
        <w:overflowPunct w:val="0"/>
        <w:autoSpaceDE w:val="0"/>
        <w:autoSpaceDN w:val="0"/>
        <w:adjustRightInd w:val="0"/>
        <w:snapToGrid w:val="0"/>
        <w:ind w:firstLine="706"/>
        <w:rPr>
          <w:rFonts w:eastAsiaTheme="minorEastAsia"/>
          <w:kern w:val="22"/>
          <w:lang w:val="en-CA" w:eastAsia="zh-CN"/>
        </w:rPr>
      </w:pPr>
      <w:r w:rsidRPr="00403B4F">
        <w:rPr>
          <w:rFonts w:eastAsiaTheme="minorEastAsia"/>
          <w:kern w:val="22"/>
          <w:lang w:val="en-CA" w:eastAsia="zh-CN"/>
        </w:rPr>
        <w:t>认识到《里山倡议》下与社会生态生产景观相关的工作，</w:t>
      </w:r>
    </w:p>
    <w:p w:rsidR="005B4DE3" w:rsidRPr="00403B4F" w:rsidRDefault="005B4DE3" w:rsidP="00403B4F">
      <w:pPr>
        <w:numPr>
          <w:ilvl w:val="0"/>
          <w:numId w:val="10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lang w:val="en-CA" w:eastAsia="zh-CN"/>
        </w:rPr>
      </w:pPr>
      <w:r w:rsidRPr="00403B4F">
        <w:rPr>
          <w:rFonts w:eastAsiaTheme="minorEastAsia"/>
          <w:snapToGrid w:val="0"/>
          <w:lang w:val="en-CA" w:eastAsia="zh-CN"/>
        </w:rPr>
        <w:t>欢迎本决定附件一和附件二分别所载关于将保护区和</w:t>
      </w:r>
      <w:r w:rsidRPr="00403B4F">
        <w:rPr>
          <w:rFonts w:eastAsiaTheme="minorEastAsia"/>
          <w:snapToGrid w:val="0"/>
          <w:kern w:val="22"/>
          <w:lang w:val="en-CA" w:eastAsia="zh-CN"/>
        </w:rPr>
        <w:t>其他有效的地区保护措施</w:t>
      </w:r>
      <w:r w:rsidRPr="00403B4F">
        <w:rPr>
          <w:rFonts w:eastAsiaTheme="minorEastAsia"/>
          <w:snapToGrid w:val="0"/>
          <w:lang w:val="en-CA" w:eastAsia="zh-CN"/>
        </w:rPr>
        <w:t>纳入更广泛的陆地和海洋景观及各部门主流的自愿指导意见和关于治理和公平性的自愿指导意见</w:t>
      </w:r>
      <w:r w:rsidRPr="00403B4F">
        <w:rPr>
          <w:rFonts w:eastAsiaTheme="minorEastAsia"/>
          <w:snapToGrid w:val="0"/>
          <w:kern w:val="22"/>
          <w:lang w:val="en-CA" w:eastAsia="zh-CN"/>
        </w:rPr>
        <w:t>；</w:t>
      </w:r>
    </w:p>
    <w:p w:rsidR="005B4DE3" w:rsidRPr="00403B4F" w:rsidRDefault="005B4DE3" w:rsidP="00403B4F">
      <w:pPr>
        <w:numPr>
          <w:ilvl w:val="0"/>
          <w:numId w:val="102"/>
        </w:numPr>
        <w:suppressLineNumbers/>
        <w:tabs>
          <w:tab w:val="left" w:pos="1440"/>
        </w:tabs>
        <w:suppressAutoHyphens/>
        <w:kinsoku w:val="0"/>
        <w:overflowPunct w:val="0"/>
        <w:autoSpaceDE w:val="0"/>
        <w:autoSpaceDN w:val="0"/>
        <w:adjustRightInd w:val="0"/>
        <w:snapToGrid w:val="0"/>
        <w:ind w:left="0" w:firstLine="720"/>
        <w:rPr>
          <w:rFonts w:eastAsiaTheme="minorEastAsia"/>
          <w:i/>
          <w:snapToGrid w:val="0"/>
          <w:kern w:val="22"/>
          <w:lang w:val="en-CA" w:eastAsia="zh-CN"/>
        </w:rPr>
      </w:pPr>
      <w:r w:rsidRPr="00403B4F">
        <w:rPr>
          <w:rFonts w:eastAsiaTheme="minorEastAsia"/>
          <w:snapToGrid w:val="0"/>
          <w:kern w:val="22"/>
          <w:lang w:val="en-CA" w:eastAsia="zh-CN"/>
        </w:rPr>
        <w:t>通过</w:t>
      </w:r>
      <w:r w:rsidRPr="0052581D">
        <w:rPr>
          <w:rFonts w:asciiTheme="minorEastAsia" w:eastAsiaTheme="minorEastAsia" w:hAnsiTheme="minorEastAsia"/>
          <w:snapToGrid w:val="0"/>
          <w:kern w:val="22"/>
          <w:lang w:val="en-CA" w:eastAsia="zh-CN"/>
        </w:rPr>
        <w:t>“其他有效的地区保护措施”</w:t>
      </w:r>
      <w:r w:rsidRPr="00403B4F">
        <w:rPr>
          <w:rFonts w:eastAsiaTheme="minorEastAsia"/>
          <w:snapToGrid w:val="0"/>
          <w:kern w:val="22"/>
          <w:lang w:val="en-CA" w:eastAsia="zh-CN"/>
        </w:rPr>
        <w:t>定义如下：</w:t>
      </w:r>
    </w:p>
    <w:p w:rsidR="005B4DE3" w:rsidRPr="00403B4F" w:rsidRDefault="005B4DE3" w:rsidP="00403B4F">
      <w:pPr>
        <w:suppressLineNumbers/>
        <w:suppressAutoHyphens/>
        <w:kinsoku w:val="0"/>
        <w:overflowPunct w:val="0"/>
        <w:autoSpaceDE w:val="0"/>
        <w:autoSpaceDN w:val="0"/>
        <w:adjustRightInd w:val="0"/>
        <w:snapToGrid w:val="0"/>
        <w:rPr>
          <w:rFonts w:eastAsiaTheme="minorEastAsia"/>
          <w:snapToGrid w:val="0"/>
          <w:spacing w:val="-20"/>
          <w:kern w:val="22"/>
          <w:lang w:val="en-CA" w:eastAsia="zh-CN"/>
        </w:rPr>
      </w:pPr>
      <w:r w:rsidRPr="0052581D">
        <w:rPr>
          <w:rFonts w:asciiTheme="minorEastAsia" w:eastAsiaTheme="minorEastAsia" w:hAnsiTheme="minorEastAsia"/>
          <w:snapToGrid w:val="0"/>
          <w:kern w:val="22"/>
          <w:lang w:val="en-CA" w:eastAsia="zh-CN"/>
        </w:rPr>
        <w:t>“</w:t>
      </w:r>
      <w:r w:rsidRPr="00403B4F">
        <w:rPr>
          <w:rFonts w:eastAsiaTheme="minorEastAsia"/>
          <w:snapToGrid w:val="0"/>
          <w:kern w:val="22"/>
          <w:lang w:val="en-CA" w:eastAsia="zh-CN"/>
        </w:rPr>
        <w:t>其他有效的地区保护措施</w:t>
      </w:r>
      <w:r w:rsidRPr="0052581D">
        <w:rPr>
          <w:rFonts w:asciiTheme="minorEastAsia" w:eastAsiaTheme="minorEastAsia" w:hAnsiTheme="minorEastAsia"/>
          <w:snapToGrid w:val="0"/>
          <w:kern w:val="22"/>
          <w:lang w:val="en-CA" w:eastAsia="zh-CN"/>
        </w:rPr>
        <w:t>”是指“保护区以外的地理定义地区</w:t>
      </w:r>
      <w:r w:rsidRPr="00403B4F">
        <w:rPr>
          <w:rFonts w:eastAsiaTheme="minorEastAsia"/>
          <w:snapToGrid w:val="0"/>
          <w:color w:val="000000"/>
          <w:kern w:val="22"/>
          <w:lang w:val="en-CA" w:eastAsia="zh-CN"/>
        </w:rPr>
        <w:t>，对其治理和管理是为了实现生物多样性就地养护的积极、持续的长期成果，</w:t>
      </w:r>
      <w:r w:rsidRPr="00403B4F">
        <w:rPr>
          <w:rFonts w:eastAsiaTheme="minorEastAsia"/>
          <w:snapToGrid w:val="0"/>
          <w:vertAlign w:val="superscript"/>
          <w:lang w:val="en-CA"/>
        </w:rPr>
        <w:footnoteReference w:id="120"/>
      </w:r>
      <w:r w:rsidRPr="00403B4F">
        <w:rPr>
          <w:rFonts w:eastAsiaTheme="minorEastAsia"/>
          <w:snapToGrid w:val="0"/>
          <w:color w:val="000000"/>
          <w:kern w:val="22"/>
          <w:sz w:val="28"/>
          <w:lang w:val="en-CA" w:eastAsia="zh-CN"/>
        </w:rPr>
        <w:t xml:space="preserve"> </w:t>
      </w:r>
      <w:r w:rsidRPr="00403B4F">
        <w:rPr>
          <w:rFonts w:eastAsiaTheme="minorEastAsia"/>
          <w:snapToGrid w:val="0"/>
          <w:color w:val="000000"/>
          <w:kern w:val="22"/>
          <w:lang w:val="en-CA" w:eastAsia="zh-CN"/>
        </w:rPr>
        <w:t>并取得相关的生态系统功能和服务，以及在</w:t>
      </w:r>
      <w:r w:rsidRPr="00403B4F">
        <w:rPr>
          <w:rFonts w:eastAsiaTheme="minorEastAsia"/>
          <w:snapToGrid w:val="0"/>
          <w:color w:val="000000"/>
          <w:spacing w:val="-20"/>
          <w:kern w:val="22"/>
          <w:lang w:val="en-CA" w:eastAsia="zh-CN"/>
        </w:rPr>
        <w:t>适用情况下实现文化、精神、社会经济价值和其他与当地相关的价值</w:t>
      </w:r>
      <w:r w:rsidRPr="0052581D">
        <w:rPr>
          <w:rFonts w:asciiTheme="minorEastAsia" w:eastAsiaTheme="minorEastAsia" w:hAnsiTheme="minorEastAsia"/>
          <w:snapToGrid w:val="0"/>
          <w:kern w:val="22"/>
          <w:lang w:val="en-CA" w:eastAsia="zh-CN"/>
        </w:rPr>
        <w:t>”</w:t>
      </w:r>
      <w:r w:rsidRPr="00403B4F">
        <w:rPr>
          <w:rFonts w:eastAsiaTheme="minorEastAsia"/>
          <w:snapToGrid w:val="0"/>
          <w:color w:val="000000"/>
          <w:spacing w:val="-20"/>
          <w:kern w:val="22"/>
          <w:lang w:val="en-CA" w:eastAsia="zh-CN"/>
        </w:rPr>
        <w:t>；</w:t>
      </w:r>
    </w:p>
    <w:p w:rsidR="005B4DE3" w:rsidRPr="00403B4F" w:rsidRDefault="005B4DE3" w:rsidP="00403B4F">
      <w:pPr>
        <w:numPr>
          <w:ilvl w:val="0"/>
          <w:numId w:val="10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lang w:val="en-CA" w:eastAsia="zh-CN"/>
        </w:rPr>
      </w:pPr>
      <w:r w:rsidRPr="00403B4F">
        <w:rPr>
          <w:rFonts w:eastAsiaTheme="minorEastAsia"/>
          <w:snapToGrid w:val="0"/>
          <w:kern w:val="22"/>
          <w:lang w:val="en-CA" w:eastAsia="zh-CN"/>
        </w:rPr>
        <w:t>欢迎本决定附件三所载关于将以灵活的方式逐案加以实施的其他有效的地区保护措施的科学和技术咨询意见；</w:t>
      </w:r>
    </w:p>
    <w:p w:rsidR="005B4DE3" w:rsidRPr="00403B4F" w:rsidRDefault="005B4DE3" w:rsidP="00403B4F">
      <w:pPr>
        <w:numPr>
          <w:ilvl w:val="0"/>
          <w:numId w:val="10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lang w:val="en-CA" w:eastAsia="zh-CN"/>
        </w:rPr>
      </w:pPr>
      <w:r w:rsidRPr="00403B4F">
        <w:rPr>
          <w:rFonts w:eastAsiaTheme="minorEastAsia"/>
          <w:snapToGrid w:val="0"/>
          <w:kern w:val="22"/>
          <w:lang w:val="en-CA" w:eastAsia="zh-CN"/>
        </w:rPr>
        <w:t>鼓励各缔约方并邀请其他国家政府</w:t>
      </w:r>
      <w:r w:rsidRPr="00403B4F">
        <w:rPr>
          <w:rFonts w:eastAsiaTheme="minorEastAsia"/>
          <w:snapToGrid w:val="0"/>
          <w:kern w:val="22"/>
          <w:lang w:eastAsia="zh-CN"/>
        </w:rPr>
        <w:t>和</w:t>
      </w:r>
      <w:r w:rsidRPr="00403B4F">
        <w:rPr>
          <w:rFonts w:eastAsiaTheme="minorEastAsia"/>
          <w:snapToGrid w:val="0"/>
          <w:kern w:val="22"/>
          <w:lang w:val="en-CA" w:eastAsia="zh-CN"/>
        </w:rPr>
        <w:t>相关组织与土著人民和地方社区</w:t>
      </w:r>
      <w:r w:rsidRPr="00403B4F">
        <w:rPr>
          <w:rFonts w:eastAsiaTheme="minorEastAsia"/>
          <w:snapToGrid w:val="0"/>
          <w:spacing w:val="-20"/>
          <w:kern w:val="22"/>
          <w:lang w:val="en-CA" w:eastAsia="zh-CN"/>
        </w:rPr>
        <w:t>合作</w:t>
      </w:r>
      <w:r w:rsidRPr="00403B4F">
        <w:rPr>
          <w:rFonts w:eastAsiaTheme="minorEastAsia"/>
          <w:i/>
          <w:snapToGrid w:val="0"/>
          <w:spacing w:val="-20"/>
          <w:kern w:val="22"/>
          <w:lang w:val="en-CA" w:eastAsia="zh-CN"/>
        </w:rPr>
        <w:t>，</w:t>
      </w:r>
      <w:r w:rsidRPr="00403B4F">
        <w:rPr>
          <w:rFonts w:eastAsiaTheme="minorEastAsia"/>
          <w:snapToGrid w:val="0"/>
          <w:spacing w:val="-20"/>
          <w:lang w:val="en-CA" w:eastAsia="zh-CN"/>
        </w:rPr>
        <w:t>根据国情和立法，</w:t>
      </w:r>
      <w:r w:rsidRPr="00403B4F">
        <w:rPr>
          <w:rFonts w:eastAsia="MS Mincho"/>
          <w:color w:val="000080"/>
          <w:spacing w:val="-20"/>
          <w:szCs w:val="18"/>
          <w:lang w:val="en-CA" w:eastAsia="zh-CN"/>
        </w:rPr>
        <w:t>​</w:t>
      </w:r>
      <w:r w:rsidRPr="00403B4F">
        <w:rPr>
          <w:rFonts w:eastAsiaTheme="minorEastAsia"/>
          <w:spacing w:val="-20"/>
          <w:szCs w:val="18"/>
          <w:lang w:val="en-CA" w:eastAsia="zh-CN"/>
        </w:rPr>
        <w:t>并</w:t>
      </w:r>
      <w:r w:rsidRPr="00403B4F">
        <w:rPr>
          <w:rFonts w:eastAsiaTheme="minorEastAsia"/>
          <w:szCs w:val="18"/>
          <w:lang w:val="en-CA" w:eastAsia="zh-CN"/>
        </w:rPr>
        <w:t>以</w:t>
      </w:r>
      <w:r w:rsidRPr="00403B4F">
        <w:rPr>
          <w:rFonts w:eastAsia="MS Mincho"/>
          <w:szCs w:val="18"/>
          <w:lang w:val="en-CA" w:eastAsia="zh-CN"/>
        </w:rPr>
        <w:t>​</w:t>
      </w:r>
      <w:r w:rsidRPr="00403B4F">
        <w:rPr>
          <w:rFonts w:eastAsiaTheme="minorEastAsia"/>
          <w:szCs w:val="18"/>
          <w:lang w:val="en-CA" w:eastAsia="zh-CN"/>
        </w:rPr>
        <w:t>同</w:t>
      </w:r>
      <w:r w:rsidRPr="00403B4F">
        <w:rPr>
          <w:rFonts w:eastAsia="MS Mincho"/>
          <w:szCs w:val="18"/>
          <w:lang w:val="en-CA" w:eastAsia="zh-CN"/>
        </w:rPr>
        <w:t>​</w:t>
      </w:r>
      <w:r w:rsidRPr="00403B4F">
        <w:rPr>
          <w:rFonts w:eastAsiaTheme="minorEastAsia"/>
          <w:szCs w:val="18"/>
          <w:lang w:val="en-CA" w:eastAsia="zh-CN"/>
        </w:rPr>
        <w:t>《</w:t>
      </w:r>
      <w:r w:rsidRPr="00403B4F">
        <w:rPr>
          <w:rFonts w:eastAsia="MS Mincho"/>
          <w:szCs w:val="18"/>
          <w:lang w:val="en-CA" w:eastAsia="zh-CN"/>
        </w:rPr>
        <w:t>​</w:t>
      </w:r>
      <w:r w:rsidRPr="00403B4F">
        <w:rPr>
          <w:rFonts w:eastAsiaTheme="minorEastAsia"/>
          <w:szCs w:val="18"/>
          <w:lang w:val="en-CA" w:eastAsia="zh-CN"/>
        </w:rPr>
        <w:t>公</w:t>
      </w:r>
      <w:r w:rsidRPr="00403B4F">
        <w:rPr>
          <w:rFonts w:eastAsia="MS Mincho"/>
          <w:szCs w:val="18"/>
          <w:lang w:val="en-CA" w:eastAsia="zh-CN"/>
        </w:rPr>
        <w:t>​</w:t>
      </w:r>
      <w:r w:rsidRPr="00403B4F">
        <w:rPr>
          <w:rFonts w:eastAsiaTheme="minorEastAsia"/>
          <w:szCs w:val="18"/>
          <w:lang w:val="en-CA" w:eastAsia="zh-CN"/>
        </w:rPr>
        <w:t>约</w:t>
      </w:r>
      <w:r w:rsidRPr="00403B4F">
        <w:rPr>
          <w:rFonts w:eastAsia="MS Mincho"/>
          <w:szCs w:val="18"/>
          <w:lang w:val="en-CA" w:eastAsia="zh-CN"/>
        </w:rPr>
        <w:t>​</w:t>
      </w:r>
      <w:r w:rsidRPr="00403B4F">
        <w:rPr>
          <w:rFonts w:eastAsiaTheme="minorEastAsia"/>
          <w:szCs w:val="18"/>
          <w:lang w:val="en-CA" w:eastAsia="zh-CN"/>
        </w:rPr>
        <w:t>》</w:t>
      </w:r>
      <w:r w:rsidRPr="00403B4F">
        <w:rPr>
          <w:rFonts w:eastAsia="MS Mincho"/>
          <w:szCs w:val="18"/>
          <w:lang w:val="en-CA" w:eastAsia="zh-CN"/>
        </w:rPr>
        <w:t>​</w:t>
      </w:r>
      <w:r w:rsidRPr="00403B4F">
        <w:rPr>
          <w:rFonts w:eastAsiaTheme="minorEastAsia"/>
          <w:szCs w:val="18"/>
          <w:lang w:val="en-CA" w:eastAsia="zh-CN"/>
        </w:rPr>
        <w:t>和</w:t>
      </w:r>
      <w:r w:rsidRPr="00403B4F">
        <w:rPr>
          <w:rFonts w:eastAsia="MS Mincho"/>
          <w:szCs w:val="18"/>
          <w:lang w:val="en-CA" w:eastAsia="zh-CN"/>
        </w:rPr>
        <w:t>​</w:t>
      </w:r>
      <w:r w:rsidRPr="00403B4F">
        <w:rPr>
          <w:rFonts w:eastAsiaTheme="minorEastAsia"/>
          <w:szCs w:val="18"/>
          <w:lang w:val="en-CA" w:eastAsia="zh-CN"/>
        </w:rPr>
        <w:t>其</w:t>
      </w:r>
      <w:r w:rsidRPr="00403B4F">
        <w:rPr>
          <w:rFonts w:eastAsia="MS Mincho"/>
          <w:szCs w:val="18"/>
          <w:lang w:val="en-CA" w:eastAsia="zh-CN"/>
        </w:rPr>
        <w:t>​</w:t>
      </w:r>
      <w:r w:rsidRPr="00403B4F">
        <w:rPr>
          <w:rFonts w:eastAsiaTheme="minorEastAsia"/>
          <w:szCs w:val="18"/>
          <w:lang w:val="en-CA" w:eastAsia="zh-CN"/>
        </w:rPr>
        <w:t>他</w:t>
      </w:r>
      <w:r w:rsidRPr="00403B4F">
        <w:rPr>
          <w:rFonts w:eastAsia="MS Mincho"/>
          <w:szCs w:val="18"/>
          <w:lang w:val="en-CA" w:eastAsia="zh-CN"/>
        </w:rPr>
        <w:t>​</w:t>
      </w:r>
      <w:r w:rsidRPr="00403B4F">
        <w:rPr>
          <w:rFonts w:eastAsiaTheme="minorEastAsia"/>
          <w:szCs w:val="18"/>
          <w:lang w:val="en-CA" w:eastAsia="zh-CN"/>
        </w:rPr>
        <w:t>相</w:t>
      </w:r>
      <w:r w:rsidRPr="00403B4F">
        <w:rPr>
          <w:rFonts w:eastAsia="MS Mincho"/>
          <w:szCs w:val="18"/>
          <w:lang w:val="en-CA" w:eastAsia="zh-CN"/>
        </w:rPr>
        <w:t>​</w:t>
      </w:r>
      <w:r w:rsidRPr="00403B4F">
        <w:rPr>
          <w:rFonts w:eastAsiaTheme="minorEastAsia"/>
          <w:szCs w:val="18"/>
          <w:lang w:val="en-CA" w:eastAsia="zh-CN"/>
        </w:rPr>
        <w:t>关</w:t>
      </w:r>
      <w:r w:rsidRPr="00403B4F">
        <w:rPr>
          <w:rFonts w:eastAsia="MS Mincho"/>
          <w:szCs w:val="18"/>
          <w:lang w:val="en-CA" w:eastAsia="zh-CN"/>
        </w:rPr>
        <w:t>​</w:t>
      </w:r>
      <w:r w:rsidRPr="00403B4F">
        <w:rPr>
          <w:rFonts w:eastAsiaTheme="minorEastAsia"/>
          <w:szCs w:val="18"/>
          <w:lang w:val="en-CA" w:eastAsia="zh-CN"/>
        </w:rPr>
        <w:t>国</w:t>
      </w:r>
      <w:r w:rsidRPr="00403B4F">
        <w:rPr>
          <w:rFonts w:eastAsia="MS Mincho"/>
          <w:szCs w:val="18"/>
          <w:lang w:val="en-CA" w:eastAsia="zh-CN"/>
        </w:rPr>
        <w:t>​</w:t>
      </w:r>
      <w:r w:rsidRPr="00403B4F">
        <w:rPr>
          <w:rFonts w:eastAsiaTheme="minorEastAsia"/>
          <w:szCs w:val="18"/>
          <w:lang w:val="en-CA" w:eastAsia="zh-CN"/>
        </w:rPr>
        <w:t>际</w:t>
      </w:r>
      <w:r w:rsidRPr="00403B4F">
        <w:rPr>
          <w:rFonts w:eastAsia="MS Mincho"/>
          <w:szCs w:val="18"/>
          <w:lang w:val="en-CA" w:eastAsia="zh-CN"/>
        </w:rPr>
        <w:t>​</w:t>
      </w:r>
      <w:r w:rsidRPr="00403B4F">
        <w:rPr>
          <w:rFonts w:eastAsiaTheme="minorEastAsia"/>
          <w:szCs w:val="18"/>
          <w:lang w:val="en-CA" w:eastAsia="zh-CN"/>
        </w:rPr>
        <w:t>义</w:t>
      </w:r>
      <w:r w:rsidRPr="00403B4F">
        <w:rPr>
          <w:rFonts w:eastAsia="MS Mincho"/>
          <w:szCs w:val="18"/>
          <w:lang w:val="en-CA" w:eastAsia="zh-CN"/>
        </w:rPr>
        <w:t>​</w:t>
      </w:r>
      <w:r w:rsidRPr="00403B4F">
        <w:rPr>
          <w:rFonts w:eastAsiaTheme="minorEastAsia"/>
          <w:szCs w:val="18"/>
          <w:lang w:val="en-CA" w:eastAsia="zh-CN"/>
        </w:rPr>
        <w:t>务</w:t>
      </w:r>
      <w:r w:rsidRPr="00403B4F">
        <w:rPr>
          <w:rFonts w:eastAsia="MS Mincho"/>
          <w:szCs w:val="18"/>
          <w:lang w:val="en-CA" w:eastAsia="zh-CN"/>
        </w:rPr>
        <w:t>​</w:t>
      </w:r>
      <w:r w:rsidRPr="00403B4F">
        <w:rPr>
          <w:rFonts w:eastAsiaTheme="minorEastAsia"/>
          <w:szCs w:val="18"/>
          <w:lang w:val="en-CA" w:eastAsia="zh-CN"/>
        </w:rPr>
        <w:t>协调一</w:t>
      </w:r>
      <w:r w:rsidRPr="00403B4F">
        <w:rPr>
          <w:rFonts w:eastAsia="MS Mincho"/>
          <w:szCs w:val="18"/>
          <w:lang w:val="en-CA" w:eastAsia="zh-CN"/>
        </w:rPr>
        <w:t>​</w:t>
      </w:r>
      <w:r w:rsidRPr="00403B4F">
        <w:rPr>
          <w:rFonts w:eastAsiaTheme="minorEastAsia"/>
          <w:szCs w:val="18"/>
          <w:lang w:val="en-CA" w:eastAsia="zh-CN"/>
        </w:rPr>
        <w:t>致</w:t>
      </w:r>
      <w:r w:rsidRPr="00403B4F">
        <w:rPr>
          <w:rFonts w:eastAsia="MS Mincho"/>
          <w:szCs w:val="18"/>
          <w:lang w:val="en-CA" w:eastAsia="zh-CN"/>
        </w:rPr>
        <w:t>​</w:t>
      </w:r>
      <w:r w:rsidRPr="00403B4F">
        <w:rPr>
          <w:rFonts w:eastAsiaTheme="minorEastAsia"/>
          <w:szCs w:val="18"/>
          <w:lang w:val="en-CA" w:eastAsia="zh-CN"/>
        </w:rPr>
        <w:t>的</w:t>
      </w:r>
      <w:r w:rsidRPr="00403B4F">
        <w:rPr>
          <w:rFonts w:eastAsia="MS Mincho"/>
          <w:szCs w:val="18"/>
          <w:lang w:val="en-CA" w:eastAsia="zh-CN"/>
        </w:rPr>
        <w:t>​</w:t>
      </w:r>
      <w:r w:rsidRPr="00403B4F">
        <w:rPr>
          <w:rFonts w:eastAsiaTheme="minorEastAsia"/>
          <w:szCs w:val="18"/>
          <w:lang w:val="en-CA" w:eastAsia="zh-CN"/>
        </w:rPr>
        <w:t>方</w:t>
      </w:r>
      <w:r w:rsidRPr="00403B4F">
        <w:rPr>
          <w:rFonts w:eastAsia="MS Mincho"/>
          <w:szCs w:val="18"/>
          <w:lang w:val="en-CA" w:eastAsia="zh-CN"/>
        </w:rPr>
        <w:t>​</w:t>
      </w:r>
      <w:r w:rsidRPr="00403B4F">
        <w:rPr>
          <w:rFonts w:eastAsiaTheme="minorEastAsia"/>
          <w:szCs w:val="18"/>
          <w:lang w:val="en-CA" w:eastAsia="zh-CN"/>
        </w:rPr>
        <w:t>式</w:t>
      </w:r>
      <w:r w:rsidRPr="00403B4F">
        <w:rPr>
          <w:rFonts w:eastAsiaTheme="minorEastAsia"/>
          <w:snapToGrid w:val="0"/>
          <w:lang w:val="en-CA" w:eastAsia="zh-CN"/>
        </w:rPr>
        <w:t>，酌情适用附件一和附件二所载关于保护区和</w:t>
      </w:r>
      <w:r w:rsidRPr="00403B4F">
        <w:rPr>
          <w:rFonts w:eastAsiaTheme="minorEastAsia"/>
          <w:snapToGrid w:val="0"/>
          <w:kern w:val="22"/>
          <w:lang w:val="en-CA" w:eastAsia="zh-CN"/>
        </w:rPr>
        <w:t>其他有效的地区保护措施</w:t>
      </w:r>
      <w:r w:rsidRPr="00403B4F">
        <w:rPr>
          <w:rFonts w:eastAsiaTheme="minorEastAsia"/>
          <w:snapToGrid w:val="0"/>
          <w:lang w:val="en-CA" w:eastAsia="zh-CN"/>
        </w:rPr>
        <w:t>一体化、主流化以及治理和公平性的自愿指导意见；</w:t>
      </w:r>
    </w:p>
    <w:p w:rsidR="005B4DE3" w:rsidRPr="00403B4F" w:rsidRDefault="005B4DE3" w:rsidP="00403B4F">
      <w:pPr>
        <w:numPr>
          <w:ilvl w:val="0"/>
          <w:numId w:val="10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lang w:val="en-CA" w:eastAsia="zh-CN"/>
        </w:rPr>
      </w:pPr>
      <w:r w:rsidRPr="00403B4F">
        <w:rPr>
          <w:rFonts w:eastAsiaTheme="minorEastAsia"/>
          <w:snapToGrid w:val="0"/>
          <w:kern w:val="22"/>
          <w:lang w:val="en-CA" w:eastAsia="zh-CN"/>
        </w:rPr>
        <w:t>鼓励各缔约方并邀请其他国家政府</w:t>
      </w:r>
      <w:r w:rsidRPr="00403B4F">
        <w:rPr>
          <w:rFonts w:eastAsiaTheme="minorEastAsia"/>
          <w:snapToGrid w:val="0"/>
          <w:kern w:val="22"/>
          <w:lang w:eastAsia="zh-CN"/>
        </w:rPr>
        <w:t>和</w:t>
      </w:r>
      <w:r w:rsidRPr="00403B4F">
        <w:rPr>
          <w:rFonts w:eastAsiaTheme="minorEastAsia"/>
          <w:snapToGrid w:val="0"/>
          <w:kern w:val="22"/>
          <w:lang w:val="en-CA" w:eastAsia="zh-CN"/>
        </w:rPr>
        <w:t>相关组织与土著人民和地方社区合作</w:t>
      </w:r>
      <w:r w:rsidRPr="00403B4F">
        <w:rPr>
          <w:rFonts w:eastAsiaTheme="minorEastAsia"/>
          <w:snapToGrid w:val="0"/>
          <w:kern w:val="22"/>
          <w:lang w:val="en-CA" w:eastAsia="zh-CN"/>
        </w:rPr>
        <w:t xml:space="preserve">, </w:t>
      </w:r>
      <w:r w:rsidRPr="00403B4F">
        <w:rPr>
          <w:rFonts w:eastAsiaTheme="minorEastAsia"/>
          <w:snapToGrid w:val="0"/>
          <w:kern w:val="22"/>
          <w:lang w:val="en-CA" w:eastAsia="zh-CN"/>
        </w:rPr>
        <w:t>实施附件三所载关于其他有效的地区保护措施的科学和技术咨询意见，并酌情顾及</w:t>
      </w:r>
      <w:r w:rsidRPr="00403B4F">
        <w:rPr>
          <w:rFonts w:eastAsiaTheme="minorEastAsia"/>
          <w:snapToGrid w:val="0"/>
          <w:kern w:val="22"/>
          <w:lang w:val="en-CA" w:eastAsia="zh-CN"/>
        </w:rPr>
        <w:t>2016</w:t>
      </w:r>
      <w:r w:rsidRPr="00403B4F">
        <w:rPr>
          <w:rFonts w:eastAsiaTheme="minorEastAsia"/>
          <w:snapToGrid w:val="0"/>
          <w:kern w:val="22"/>
          <w:lang w:val="en-CA" w:eastAsia="zh-CN"/>
        </w:rPr>
        <w:t>年联合国</w:t>
      </w:r>
      <w:r w:rsidRPr="00403B4F">
        <w:rPr>
          <w:rFonts w:eastAsiaTheme="minorEastAsia"/>
          <w:snapToGrid w:val="0"/>
          <w:color w:val="000000"/>
          <w:lang w:val="en-CA" w:eastAsia="zh-CN"/>
        </w:rPr>
        <w:t>土著人民权利问题特别报告员关于</w:t>
      </w:r>
      <w:r w:rsidRPr="0052581D">
        <w:rPr>
          <w:rFonts w:asciiTheme="minorEastAsia" w:eastAsiaTheme="minorEastAsia" w:hAnsiTheme="minorEastAsia"/>
          <w:snapToGrid w:val="0"/>
          <w:kern w:val="22"/>
          <w:lang w:val="en-CA" w:eastAsia="zh-CN"/>
        </w:rPr>
        <w:t>“</w:t>
      </w:r>
      <w:r w:rsidRPr="00403B4F">
        <w:rPr>
          <w:rFonts w:eastAsiaTheme="minorEastAsia"/>
          <w:snapToGrid w:val="0"/>
          <w:kern w:val="22"/>
          <w:lang w:val="en-CA" w:eastAsia="zh-CN"/>
        </w:rPr>
        <w:t>土著人民与养护</w:t>
      </w:r>
      <w:r w:rsidRPr="0052581D">
        <w:rPr>
          <w:rFonts w:asciiTheme="minorEastAsia" w:eastAsiaTheme="minorEastAsia" w:hAnsiTheme="minorEastAsia"/>
          <w:snapToGrid w:val="0"/>
          <w:kern w:val="22"/>
          <w:lang w:val="en-CA" w:eastAsia="zh-CN"/>
        </w:rPr>
        <w:t>”</w:t>
      </w:r>
      <w:r w:rsidRPr="00403B4F">
        <w:rPr>
          <w:rFonts w:eastAsiaTheme="minorEastAsia"/>
          <w:snapToGrid w:val="0"/>
          <w:kern w:val="22"/>
          <w:lang w:val="en-CA" w:eastAsia="zh-CN"/>
        </w:rPr>
        <w:t>这一专题的报告</w:t>
      </w:r>
      <w:r w:rsidRPr="00403B4F">
        <w:rPr>
          <w:rFonts w:eastAsiaTheme="minorEastAsia"/>
          <w:snapToGrid w:val="0"/>
          <w:vertAlign w:val="superscript"/>
          <w:lang w:val="en-CA"/>
        </w:rPr>
        <w:footnoteReference w:id="121"/>
      </w:r>
      <w:r w:rsidRPr="00403B4F">
        <w:rPr>
          <w:rFonts w:eastAsiaTheme="minorEastAsia"/>
          <w:snapToGrid w:val="0"/>
          <w:szCs w:val="18"/>
          <w:vertAlign w:val="superscript"/>
          <w:lang w:val="en-CA" w:eastAsia="zh-CN"/>
        </w:rPr>
        <w:t xml:space="preserve"> </w:t>
      </w:r>
      <w:r w:rsidRPr="00403B4F">
        <w:rPr>
          <w:rFonts w:eastAsiaTheme="minorEastAsia"/>
          <w:snapToGrid w:val="0"/>
          <w:kern w:val="22"/>
          <w:lang w:val="en-CA" w:eastAsia="zh-CN"/>
        </w:rPr>
        <w:t>以及</w:t>
      </w:r>
      <w:r w:rsidRPr="00403B4F">
        <w:rPr>
          <w:rFonts w:eastAsiaTheme="minorEastAsia"/>
          <w:snapToGrid w:val="0"/>
          <w:kern w:val="22"/>
          <w:lang w:val="en-CA" w:eastAsia="zh-CN"/>
        </w:rPr>
        <w:t>2017</w:t>
      </w:r>
      <w:r w:rsidRPr="00403B4F">
        <w:rPr>
          <w:rFonts w:eastAsiaTheme="minorEastAsia"/>
          <w:snapToGrid w:val="0"/>
          <w:kern w:val="22"/>
          <w:lang w:val="en-CA" w:eastAsia="zh-CN"/>
        </w:rPr>
        <w:t>年联合国</w:t>
      </w:r>
      <w:r w:rsidRPr="00403B4F">
        <w:rPr>
          <w:rFonts w:eastAsiaTheme="minorEastAsia"/>
          <w:snapToGrid w:val="0"/>
          <w:lang w:val="en-CA" w:eastAsia="zh-CN"/>
        </w:rPr>
        <w:t>人权与环境问题特别报告员的报告，</w:t>
      </w:r>
      <w:r w:rsidRPr="00403B4F">
        <w:rPr>
          <w:rFonts w:eastAsiaTheme="minorEastAsia"/>
          <w:snapToGrid w:val="0"/>
          <w:vertAlign w:val="superscript"/>
          <w:lang w:val="en-CA"/>
        </w:rPr>
        <w:footnoteReference w:id="122"/>
      </w:r>
      <w:r w:rsidRPr="00403B4F">
        <w:rPr>
          <w:rFonts w:eastAsiaTheme="minorEastAsia"/>
          <w:snapToGrid w:val="0"/>
          <w:sz w:val="28"/>
          <w:lang w:val="en-CA" w:eastAsia="zh-CN"/>
        </w:rPr>
        <w:t xml:space="preserve"> </w:t>
      </w:r>
      <w:r w:rsidRPr="00403B4F">
        <w:rPr>
          <w:rFonts w:eastAsiaTheme="minorEastAsia"/>
          <w:snapToGrid w:val="0"/>
          <w:kern w:val="22"/>
          <w:lang w:val="en-CA" w:eastAsia="zh-CN"/>
        </w:rPr>
        <w:t>包括：</w:t>
      </w:r>
    </w:p>
    <w:p w:rsidR="005B4DE3" w:rsidRPr="00403B4F" w:rsidRDefault="005B4DE3" w:rsidP="00403B4F">
      <w:pPr>
        <w:numPr>
          <w:ilvl w:val="0"/>
          <w:numId w:val="107"/>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lang w:val="en-CA" w:eastAsia="zh-CN"/>
        </w:rPr>
      </w:pPr>
      <w:r w:rsidRPr="00403B4F">
        <w:rPr>
          <w:rFonts w:eastAsiaTheme="minorEastAsia"/>
          <w:snapToGrid w:val="0"/>
          <w:lang w:val="en-CA" w:eastAsia="zh-CN"/>
        </w:rPr>
        <w:t>确定其管辖范围内的</w:t>
      </w:r>
      <w:r w:rsidRPr="00403B4F">
        <w:rPr>
          <w:rFonts w:eastAsiaTheme="minorEastAsia"/>
          <w:snapToGrid w:val="0"/>
          <w:kern w:val="22"/>
          <w:lang w:val="en-CA" w:eastAsia="zh-CN"/>
        </w:rPr>
        <w:t>其他有效的地区保护措施</w:t>
      </w:r>
      <w:r w:rsidRPr="00403B4F">
        <w:rPr>
          <w:rFonts w:eastAsiaTheme="minorEastAsia"/>
          <w:snapToGrid w:val="0"/>
          <w:lang w:val="en-CA" w:eastAsia="zh-CN"/>
        </w:rPr>
        <w:t>及其各种备选办法</w:t>
      </w:r>
      <w:r w:rsidRPr="00403B4F">
        <w:rPr>
          <w:rFonts w:eastAsiaTheme="minorEastAsia"/>
          <w:snapToGrid w:val="0"/>
          <w:kern w:val="22"/>
          <w:lang w:val="en-CA" w:eastAsia="zh-CN"/>
        </w:rPr>
        <w:t>；</w:t>
      </w:r>
    </w:p>
    <w:p w:rsidR="005B4DE3" w:rsidRPr="00403B4F" w:rsidRDefault="005B4DE3" w:rsidP="00403B4F">
      <w:pPr>
        <w:numPr>
          <w:ilvl w:val="0"/>
          <w:numId w:val="107"/>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lang w:val="en-CA" w:eastAsia="zh-CN"/>
        </w:rPr>
      </w:pPr>
      <w:r w:rsidRPr="00403B4F">
        <w:rPr>
          <w:rFonts w:eastAsiaTheme="minorEastAsia"/>
          <w:snapToGrid w:val="0"/>
          <w:lang w:val="en-CA" w:eastAsia="zh-CN"/>
        </w:rPr>
        <w:lastRenderedPageBreak/>
        <w:t>向</w:t>
      </w:r>
      <w:r w:rsidR="00780033">
        <w:rPr>
          <w:rFonts w:eastAsiaTheme="minorEastAsia"/>
          <w:snapToGrid w:val="0"/>
          <w:lang w:val="en-CA" w:eastAsia="zh-CN"/>
        </w:rPr>
        <w:t>联合国环境署</w:t>
      </w:r>
      <w:r w:rsidRPr="00403B4F">
        <w:rPr>
          <w:rFonts w:eastAsiaTheme="minorEastAsia"/>
          <w:snapToGrid w:val="0"/>
          <w:lang w:val="en-CA" w:eastAsia="zh-CN"/>
        </w:rPr>
        <w:t>世界养护监测中心提交关</w:t>
      </w:r>
      <w:r w:rsidRPr="00ED5046">
        <w:rPr>
          <w:rFonts w:eastAsiaTheme="minorEastAsia"/>
          <w:snapToGrid w:val="0"/>
          <w:spacing w:val="-20"/>
          <w:lang w:val="en-CA" w:eastAsia="zh-CN"/>
        </w:rPr>
        <w:t>于</w:t>
      </w:r>
      <w:r w:rsidRPr="00ED5046">
        <w:rPr>
          <w:rFonts w:eastAsiaTheme="minorEastAsia"/>
          <w:snapToGrid w:val="0"/>
          <w:spacing w:val="-20"/>
          <w:kern w:val="22"/>
          <w:lang w:val="en-CA" w:eastAsia="zh-CN"/>
        </w:rPr>
        <w:t>其他有效的地区保护措施</w:t>
      </w:r>
      <w:r w:rsidRPr="00ED5046">
        <w:rPr>
          <w:rFonts w:eastAsiaTheme="minorEastAsia"/>
          <w:snapToGrid w:val="0"/>
          <w:spacing w:val="-20"/>
          <w:lang w:val="en-CA" w:eastAsia="zh-CN"/>
        </w:rPr>
        <w:t>的数据，以纳入</w:t>
      </w:r>
      <w:r w:rsidRPr="00403B4F">
        <w:rPr>
          <w:rFonts w:eastAsiaTheme="minorEastAsia"/>
          <w:snapToGrid w:val="0"/>
          <w:lang w:val="en-CA" w:eastAsia="zh-CN"/>
        </w:rPr>
        <w:t>《世界保护区数据库》；</w:t>
      </w:r>
    </w:p>
    <w:p w:rsidR="005B4DE3" w:rsidRPr="00403B4F" w:rsidRDefault="005B4DE3" w:rsidP="00403B4F">
      <w:pPr>
        <w:numPr>
          <w:ilvl w:val="0"/>
          <w:numId w:val="10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pacing w:val="-3"/>
          <w:kern w:val="22"/>
          <w:lang w:val="en-CA" w:eastAsia="zh-CN"/>
        </w:rPr>
      </w:pPr>
      <w:r w:rsidRPr="00403B4F">
        <w:rPr>
          <w:rFonts w:eastAsiaTheme="minorEastAsia"/>
          <w:snapToGrid w:val="0"/>
          <w:lang w:val="en-CA" w:eastAsia="zh-CN"/>
        </w:rPr>
        <w:t>鼓励各缔约方并邀请其他国家政府、相关组织以及土著人民和地方社区在海洋和沿海地区实现爱知生物多样性指标</w:t>
      </w:r>
      <w:r w:rsidRPr="00403B4F">
        <w:rPr>
          <w:rFonts w:eastAsiaTheme="minorEastAsia"/>
          <w:snapToGrid w:val="0"/>
          <w:lang w:val="en-CA" w:eastAsia="zh-CN"/>
        </w:rPr>
        <w:t>11</w:t>
      </w:r>
      <w:r w:rsidRPr="00403B4F">
        <w:rPr>
          <w:rFonts w:eastAsiaTheme="minorEastAsia"/>
          <w:snapToGrid w:val="0"/>
          <w:lang w:val="en-CA" w:eastAsia="zh-CN"/>
        </w:rPr>
        <w:t>所有要素的工作中，考虑到本决定附件四所载关于在海洋和沿海地区实现爱知生物多样性指标</w:t>
      </w:r>
      <w:r w:rsidRPr="00403B4F">
        <w:rPr>
          <w:rFonts w:eastAsiaTheme="minorEastAsia"/>
          <w:snapToGrid w:val="0"/>
          <w:lang w:val="en-CA" w:eastAsia="zh-CN"/>
        </w:rPr>
        <w:t>11</w:t>
      </w:r>
      <w:r w:rsidRPr="00403B4F">
        <w:rPr>
          <w:rFonts w:eastAsiaTheme="minorEastAsia"/>
          <w:snapToGrid w:val="0"/>
          <w:lang w:val="en-CA" w:eastAsia="zh-CN"/>
        </w:rPr>
        <w:t>的考虑</w:t>
      </w:r>
      <w:r w:rsidRPr="00403B4F">
        <w:rPr>
          <w:rFonts w:eastAsiaTheme="minorEastAsia"/>
          <w:bCs/>
          <w:snapToGrid w:val="0"/>
          <w:kern w:val="22"/>
          <w:lang w:val="en-CA" w:eastAsia="zh-CN"/>
        </w:rPr>
        <w:t>；</w:t>
      </w:r>
    </w:p>
    <w:p w:rsidR="005B4DE3" w:rsidRPr="00403B4F" w:rsidRDefault="005B4DE3" w:rsidP="00403B4F">
      <w:pPr>
        <w:numPr>
          <w:ilvl w:val="0"/>
          <w:numId w:val="10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lang w:val="en-CA" w:eastAsia="zh-CN"/>
        </w:rPr>
      </w:pPr>
      <w:r w:rsidRPr="00403B4F">
        <w:rPr>
          <w:rFonts w:eastAsiaTheme="minorEastAsia"/>
          <w:snapToGrid w:val="0"/>
          <w:lang w:val="en-CA" w:eastAsia="zh-CN"/>
        </w:rPr>
        <w:t>又鼓励各缔约方并邀请其他国家政府、相关组织以及土著人民和地方社区分享其他有效的地区保护措施有关的管理办法、治理类型和有效性的案例研究</w:t>
      </w:r>
      <w:r w:rsidRPr="00403B4F">
        <w:rPr>
          <w:rFonts w:eastAsiaTheme="minorEastAsia"/>
          <w:snapToGrid w:val="0"/>
          <w:lang w:val="en-CA" w:eastAsia="zh-CN"/>
        </w:rPr>
        <w:t>/</w:t>
      </w:r>
      <w:r w:rsidRPr="00403B4F">
        <w:rPr>
          <w:rFonts w:eastAsiaTheme="minorEastAsia"/>
          <w:snapToGrid w:val="0"/>
          <w:lang w:val="en-CA" w:eastAsia="zh-CN"/>
        </w:rPr>
        <w:t>最佳做法和实例，包括通过《公约》信息交换所机制和其他手段应用指导意见的经验；</w:t>
      </w:r>
    </w:p>
    <w:p w:rsidR="005B4DE3" w:rsidRPr="00403B4F" w:rsidRDefault="005B4DE3" w:rsidP="00403B4F">
      <w:pPr>
        <w:numPr>
          <w:ilvl w:val="0"/>
          <w:numId w:val="102"/>
        </w:numPr>
        <w:suppressLineNumbers/>
        <w:tabs>
          <w:tab w:val="left" w:pos="1440"/>
        </w:tabs>
        <w:suppressAutoHyphens/>
        <w:kinsoku w:val="0"/>
        <w:overflowPunct w:val="0"/>
        <w:autoSpaceDE w:val="0"/>
        <w:autoSpaceDN w:val="0"/>
        <w:adjustRightInd w:val="0"/>
        <w:snapToGrid w:val="0"/>
        <w:ind w:left="0" w:firstLine="720"/>
        <w:rPr>
          <w:rFonts w:eastAsiaTheme="minorEastAsia"/>
          <w:bCs/>
          <w:snapToGrid w:val="0"/>
          <w:kern w:val="22"/>
          <w:lang w:val="en-CA" w:eastAsia="zh-CN"/>
        </w:rPr>
      </w:pPr>
      <w:r w:rsidRPr="00403B4F">
        <w:rPr>
          <w:rFonts w:eastAsiaTheme="minorEastAsia"/>
          <w:bCs/>
          <w:snapToGrid w:val="0"/>
          <w:kern w:val="22"/>
          <w:lang w:val="en-CA" w:eastAsia="zh-CN"/>
        </w:rPr>
        <w:t>邀请</w:t>
      </w:r>
      <w:r w:rsidRPr="00403B4F">
        <w:rPr>
          <w:rFonts w:eastAsiaTheme="minorEastAsia"/>
          <w:bCs/>
          <w:snapToGrid w:val="0"/>
          <w:spacing w:val="-20"/>
          <w:kern w:val="22"/>
          <w:lang w:val="en-CA" w:eastAsia="zh-CN"/>
        </w:rPr>
        <w:t>国际自然保护联盟和</w:t>
      </w:r>
      <w:r w:rsidR="00780033">
        <w:rPr>
          <w:rFonts w:eastAsiaTheme="minorEastAsia"/>
          <w:bCs/>
          <w:snapToGrid w:val="0"/>
          <w:kern w:val="22"/>
          <w:lang w:val="en-CA" w:eastAsia="zh-CN"/>
        </w:rPr>
        <w:t>联合国环境署</w:t>
      </w:r>
      <w:r w:rsidRPr="00403B4F">
        <w:rPr>
          <w:rFonts w:eastAsiaTheme="minorEastAsia"/>
          <w:bCs/>
          <w:snapToGrid w:val="0"/>
          <w:spacing w:val="-20"/>
          <w:kern w:val="22"/>
          <w:lang w:val="en-CA" w:eastAsia="zh-CN"/>
        </w:rPr>
        <w:t>世界养护监测中心扩大《世界保护区数据库》，</w:t>
      </w:r>
      <w:r w:rsidRPr="00403B4F">
        <w:rPr>
          <w:rFonts w:eastAsiaTheme="minorEastAsia"/>
          <w:bCs/>
          <w:snapToGrid w:val="0"/>
          <w:kern w:val="22"/>
          <w:lang w:val="en-CA" w:eastAsia="zh-CN"/>
        </w:rPr>
        <w:t>提供关于</w:t>
      </w:r>
      <w:r w:rsidRPr="00403B4F">
        <w:rPr>
          <w:rFonts w:eastAsiaTheme="minorEastAsia"/>
          <w:snapToGrid w:val="0"/>
          <w:kern w:val="22"/>
          <w:lang w:val="en-CA" w:eastAsia="zh-CN"/>
        </w:rPr>
        <w:t>其他有效的地区保护措施</w:t>
      </w:r>
      <w:r w:rsidRPr="00403B4F">
        <w:rPr>
          <w:rFonts w:eastAsiaTheme="minorEastAsia"/>
          <w:bCs/>
          <w:snapToGrid w:val="0"/>
          <w:kern w:val="22"/>
          <w:lang w:val="en-CA" w:eastAsia="zh-CN"/>
        </w:rPr>
        <w:t>的</w:t>
      </w:r>
      <w:r w:rsidRPr="00403B4F">
        <w:rPr>
          <w:rFonts w:eastAsiaTheme="minorEastAsia"/>
          <w:bCs/>
          <w:snapToGrid w:val="0"/>
          <w:kern w:val="22"/>
          <w:lang w:eastAsia="zh-CN"/>
        </w:rPr>
        <w:t>一个章节</w:t>
      </w:r>
      <w:r w:rsidRPr="00403B4F">
        <w:rPr>
          <w:rFonts w:eastAsiaTheme="minorEastAsia"/>
          <w:bCs/>
          <w:iCs/>
          <w:snapToGrid w:val="0"/>
          <w:kern w:val="22"/>
          <w:lang w:val="en-CA" w:eastAsia="zh-CN"/>
        </w:rPr>
        <w:t>；</w:t>
      </w:r>
    </w:p>
    <w:p w:rsidR="005B4DE3" w:rsidRPr="00403B4F" w:rsidRDefault="005B4DE3" w:rsidP="00403B4F">
      <w:pPr>
        <w:numPr>
          <w:ilvl w:val="0"/>
          <w:numId w:val="102"/>
        </w:numPr>
        <w:suppressLineNumbers/>
        <w:tabs>
          <w:tab w:val="left" w:pos="1440"/>
        </w:tabs>
        <w:suppressAutoHyphens/>
        <w:kinsoku w:val="0"/>
        <w:overflowPunct w:val="0"/>
        <w:autoSpaceDE w:val="0"/>
        <w:autoSpaceDN w:val="0"/>
        <w:adjustRightInd w:val="0"/>
        <w:snapToGrid w:val="0"/>
        <w:ind w:left="0" w:firstLine="720"/>
        <w:rPr>
          <w:rFonts w:eastAsiaTheme="minorEastAsia"/>
          <w:bCs/>
          <w:snapToGrid w:val="0"/>
          <w:kern w:val="22"/>
          <w:lang w:val="en-CA" w:eastAsia="zh-CN"/>
        </w:rPr>
      </w:pPr>
      <w:r w:rsidRPr="00403B4F">
        <w:rPr>
          <w:rFonts w:eastAsiaTheme="minorEastAsia"/>
          <w:bCs/>
          <w:snapToGrid w:val="0"/>
          <w:kern w:val="22"/>
          <w:lang w:val="en-CA" w:eastAsia="zh-CN"/>
        </w:rPr>
        <w:t>邀请国际自然保护联盟、联合国粮食及农业组织和其他专家机构继续协助各缔约方确定</w:t>
      </w:r>
      <w:r w:rsidRPr="00403B4F">
        <w:rPr>
          <w:rFonts w:eastAsiaTheme="minorEastAsia"/>
          <w:snapToGrid w:val="0"/>
          <w:kern w:val="22"/>
          <w:lang w:val="en-CA" w:eastAsia="zh-CN"/>
        </w:rPr>
        <w:t>其他有效的地区保护措施和实施</w:t>
      </w:r>
      <w:r w:rsidRPr="00403B4F">
        <w:rPr>
          <w:rFonts w:eastAsiaTheme="minorEastAsia"/>
          <w:bCs/>
          <w:snapToGrid w:val="0"/>
          <w:kern w:val="22"/>
          <w:lang w:val="en-CA" w:eastAsia="zh-CN"/>
        </w:rPr>
        <w:t>科学和技术咨询意见</w:t>
      </w:r>
      <w:r w:rsidRPr="00403B4F">
        <w:rPr>
          <w:rFonts w:eastAsiaTheme="minorEastAsia"/>
          <w:iCs/>
          <w:snapToGrid w:val="0"/>
          <w:kern w:val="22"/>
          <w:lang w:val="en-CA" w:eastAsia="zh-CN"/>
        </w:rPr>
        <w:t>；</w:t>
      </w:r>
    </w:p>
    <w:p w:rsidR="005B4DE3" w:rsidRPr="00403B4F" w:rsidRDefault="005B4DE3" w:rsidP="00403B4F">
      <w:pPr>
        <w:numPr>
          <w:ilvl w:val="0"/>
          <w:numId w:val="10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lang w:val="en-CA" w:eastAsia="zh-CN"/>
        </w:rPr>
      </w:pPr>
      <w:r w:rsidRPr="00403B4F">
        <w:rPr>
          <w:rFonts w:eastAsiaTheme="minorEastAsia"/>
          <w:bCs/>
          <w:snapToGrid w:val="0"/>
          <w:kern w:val="22"/>
          <w:lang w:val="en-CA" w:eastAsia="zh-CN"/>
        </w:rPr>
        <w:t>请</w:t>
      </w:r>
      <w:r w:rsidRPr="00403B4F">
        <w:rPr>
          <w:rFonts w:eastAsiaTheme="minorEastAsia"/>
          <w:iCs/>
          <w:snapToGrid w:val="0"/>
          <w:kern w:val="22"/>
          <w:lang w:val="en-CA" w:eastAsia="zh-CN"/>
        </w:rPr>
        <w:t>执行</w:t>
      </w:r>
      <w:r w:rsidRPr="00403B4F">
        <w:rPr>
          <w:rFonts w:eastAsiaTheme="minorEastAsia"/>
          <w:bCs/>
          <w:snapToGrid w:val="0"/>
          <w:kern w:val="22"/>
          <w:lang w:val="en-CA" w:eastAsia="zh-CN"/>
        </w:rPr>
        <w:t>秘书</w:t>
      </w:r>
      <w:r w:rsidRPr="00403B4F">
        <w:rPr>
          <w:rFonts w:eastAsiaTheme="minorEastAsia"/>
          <w:iCs/>
          <w:snapToGrid w:val="0"/>
          <w:kern w:val="22"/>
          <w:lang w:val="en-CA" w:eastAsia="zh-CN"/>
        </w:rPr>
        <w:t>在资源允许的</w:t>
      </w:r>
      <w:r w:rsidRPr="00403B4F">
        <w:rPr>
          <w:rFonts w:eastAsiaTheme="minorEastAsia"/>
          <w:iCs/>
          <w:snapToGrid w:val="0"/>
          <w:spacing w:val="-20"/>
          <w:kern w:val="22"/>
          <w:lang w:val="en-CA" w:eastAsia="zh-CN"/>
        </w:rPr>
        <w:t>情况下，并与各合作伙伴、缔约方、其他国家政府</w:t>
      </w:r>
      <w:r w:rsidRPr="00403B4F">
        <w:rPr>
          <w:rFonts w:eastAsiaTheme="minorEastAsia"/>
          <w:iCs/>
          <w:snapToGrid w:val="0"/>
          <w:kern w:val="22"/>
          <w:lang w:val="en-CA" w:eastAsia="zh-CN"/>
        </w:rPr>
        <w:t>、相关组织以及土著人民和地方社区合作，提供能力建设，包括培训讲习班，以确保实施本决定附件中所载的科学和技术咨询和指导意见</w:t>
      </w:r>
      <w:r w:rsidRPr="00403B4F">
        <w:rPr>
          <w:rFonts w:eastAsiaTheme="minorEastAsia"/>
          <w:snapToGrid w:val="0"/>
          <w:kern w:val="22"/>
          <w:lang w:val="en-CA" w:eastAsia="zh-CN"/>
        </w:rPr>
        <w:t>；</w:t>
      </w:r>
    </w:p>
    <w:p w:rsidR="005B4DE3" w:rsidRPr="00403B4F" w:rsidRDefault="005B4DE3" w:rsidP="00403B4F">
      <w:pPr>
        <w:numPr>
          <w:ilvl w:val="0"/>
          <w:numId w:val="10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lang w:val="en-CA" w:eastAsia="zh-CN"/>
        </w:rPr>
      </w:pPr>
      <w:r w:rsidRPr="00403B4F">
        <w:rPr>
          <w:rFonts w:eastAsiaTheme="minorEastAsia"/>
          <w:bCs/>
          <w:snapToGrid w:val="0"/>
          <w:kern w:val="22"/>
          <w:lang w:val="en-CA" w:eastAsia="zh-CN"/>
        </w:rPr>
        <w:t>敦促</w:t>
      </w:r>
      <w:r w:rsidRPr="00403B4F">
        <w:rPr>
          <w:rFonts w:eastAsiaTheme="minorEastAsia"/>
          <w:snapToGrid w:val="0"/>
          <w:kern w:val="22"/>
          <w:lang w:val="en-CA" w:eastAsia="zh-CN"/>
        </w:rPr>
        <w:t>各缔约方并</w:t>
      </w:r>
      <w:r w:rsidRPr="00403B4F">
        <w:rPr>
          <w:rFonts w:eastAsiaTheme="minorEastAsia"/>
          <w:bCs/>
          <w:snapToGrid w:val="0"/>
          <w:kern w:val="22"/>
          <w:lang w:val="en-CA" w:eastAsia="zh-CN"/>
        </w:rPr>
        <w:t>邀请</w:t>
      </w:r>
      <w:r w:rsidRPr="00403B4F">
        <w:rPr>
          <w:rFonts w:eastAsiaTheme="minorEastAsia"/>
          <w:snapToGrid w:val="0"/>
          <w:kern w:val="22"/>
          <w:lang w:val="en-CA" w:eastAsia="zh-CN"/>
        </w:rPr>
        <w:t>有能力的其他国家政府、相关组织和捐助方为能力建设和技术转让提供资源，并支持各缔约方以及土著人民和地方社区确定其他有效的地区保护措施和实施科学和技术咨询和指导意见</w:t>
      </w:r>
      <w:r w:rsidRPr="00403B4F">
        <w:rPr>
          <w:rFonts w:eastAsiaTheme="minorEastAsia"/>
          <w:iCs/>
          <w:snapToGrid w:val="0"/>
          <w:lang w:val="en-CA" w:eastAsia="zh-CN" w:bidi="th-TH"/>
        </w:rPr>
        <w:t>；</w:t>
      </w:r>
    </w:p>
    <w:p w:rsidR="005B4DE3" w:rsidRPr="00403B4F" w:rsidRDefault="005B4DE3" w:rsidP="00403B4F">
      <w:pPr>
        <w:numPr>
          <w:ilvl w:val="0"/>
          <w:numId w:val="10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lang w:val="en-CA" w:eastAsia="zh-CN"/>
        </w:rPr>
      </w:pPr>
      <w:r w:rsidRPr="00403B4F">
        <w:rPr>
          <w:rFonts w:eastAsiaTheme="minorEastAsia"/>
          <w:snapToGrid w:val="0"/>
          <w:kern w:val="22"/>
          <w:lang w:val="en-CA" w:eastAsia="zh-CN"/>
        </w:rPr>
        <w:t>敦促各缔约方按照</w:t>
      </w:r>
      <w:r w:rsidRPr="00403B4F">
        <w:rPr>
          <w:rFonts w:eastAsiaTheme="minorEastAsia"/>
          <w:snapToGrid w:val="0"/>
          <w:spacing w:val="20"/>
          <w:kern w:val="22"/>
          <w:lang w:val="en-CA" w:eastAsia="zh-CN"/>
        </w:rPr>
        <w:t>附件一促进将保护区和其他有效的地区保护措施纳入</w:t>
      </w:r>
      <w:r w:rsidRPr="00403B4F">
        <w:rPr>
          <w:rFonts w:eastAsiaTheme="minorEastAsia"/>
          <w:snapToGrid w:val="0"/>
          <w:kern w:val="22"/>
          <w:lang w:val="en-CA" w:eastAsia="zh-CN"/>
        </w:rPr>
        <w:t>农业、渔业、林业、采矿、能源、旅游和运输等关键部门的主流。</w:t>
      </w:r>
    </w:p>
    <w:p w:rsidR="005B4DE3" w:rsidRPr="00403B4F" w:rsidRDefault="005B4DE3" w:rsidP="00403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eastAsiaTheme="minorEastAsia"/>
          <w:lang w:val="en-CA" w:eastAsia="zh-CN"/>
        </w:rPr>
      </w:pPr>
      <w:r w:rsidRPr="00403B4F">
        <w:rPr>
          <w:rFonts w:eastAsiaTheme="minorEastAsia"/>
          <w:lang w:val="en-CA" w:eastAsia="zh-CN"/>
        </w:rPr>
        <w:t>附件一</w:t>
      </w:r>
    </w:p>
    <w:p w:rsidR="005B4DE3" w:rsidRPr="00403B4F" w:rsidRDefault="005B4DE3" w:rsidP="00403B4F">
      <w:pPr>
        <w:tabs>
          <w:tab w:val="left" w:pos="10992"/>
          <w:tab w:val="left" w:pos="11908"/>
          <w:tab w:val="left" w:pos="12824"/>
          <w:tab w:val="left" w:pos="13740"/>
          <w:tab w:val="left" w:pos="14656"/>
        </w:tabs>
        <w:adjustRightInd w:val="0"/>
        <w:snapToGrid w:val="0"/>
        <w:ind w:left="1170" w:right="1182"/>
        <w:jc w:val="center"/>
        <w:rPr>
          <w:rFonts w:eastAsiaTheme="minorEastAsia"/>
          <w:b/>
          <w:lang w:val="en-CA" w:eastAsia="zh-CN"/>
        </w:rPr>
      </w:pPr>
      <w:r w:rsidRPr="00403B4F">
        <w:rPr>
          <w:rFonts w:eastAsiaTheme="minorEastAsia"/>
          <w:b/>
          <w:lang w:val="en-CA" w:eastAsia="zh-CN"/>
        </w:rPr>
        <w:t>关于将保护区和其他有效的地区保护措施纳入更广泛的陆地和海洋景观及各部门主流以促进可持续发展目标的自愿指导意见</w:t>
      </w:r>
    </w:p>
    <w:p w:rsidR="005B4DE3" w:rsidRPr="00403B4F" w:rsidRDefault="005B4DE3" w:rsidP="00403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eastAsiaTheme="minorEastAsia"/>
          <w:b/>
          <w:lang w:val="en-CA"/>
        </w:rPr>
      </w:pPr>
      <w:r w:rsidRPr="00403B4F">
        <w:rPr>
          <w:rFonts w:eastAsiaTheme="minorEastAsia"/>
          <w:b/>
          <w:lang w:val="en-CA"/>
        </w:rPr>
        <w:t>一</w:t>
      </w:r>
      <w:r w:rsidRPr="00403B4F">
        <w:rPr>
          <w:rFonts w:eastAsiaTheme="minorEastAsia"/>
          <w:b/>
          <w:lang w:val="en-CA"/>
        </w:rPr>
        <w:t xml:space="preserve">.  </w:t>
      </w:r>
      <w:r w:rsidRPr="00403B4F">
        <w:rPr>
          <w:rFonts w:eastAsiaTheme="minorEastAsia"/>
          <w:b/>
          <w:lang w:val="en-CA"/>
        </w:rPr>
        <w:t>背景</w:t>
      </w:r>
    </w:p>
    <w:p w:rsidR="005B4DE3" w:rsidRPr="00403B4F" w:rsidRDefault="005B4DE3" w:rsidP="00403B4F">
      <w:pPr>
        <w:numPr>
          <w:ilvl w:val="1"/>
          <w:numId w:val="101"/>
        </w:numPr>
        <w:tabs>
          <w:tab w:val="clear" w:pos="1440"/>
          <w:tab w:val="left" w:pos="720"/>
        </w:tabs>
        <w:adjustRightInd w:val="0"/>
        <w:snapToGrid w:val="0"/>
        <w:ind w:firstLine="0"/>
        <w:rPr>
          <w:rFonts w:eastAsiaTheme="minorEastAsia"/>
          <w:lang w:val="en-CA" w:eastAsia="zh-CN"/>
        </w:rPr>
      </w:pPr>
      <w:r w:rsidRPr="00403B4F">
        <w:rPr>
          <w:rFonts w:eastAsiaTheme="minorEastAsia"/>
          <w:lang w:val="en-CA" w:eastAsia="zh-CN"/>
        </w:rPr>
        <w:t>将保护区纳入更广泛的陆地景观、海洋景观和各部门包括几个组成部分。生境破碎化可对复杂生态系统的功能和完整性带来深远的影响。破碎化的速度和程度，尤其是森林破碎化的速度和程度是十分巨大。</w:t>
      </w:r>
      <w:r w:rsidRPr="00403B4F">
        <w:rPr>
          <w:rFonts w:eastAsiaTheme="minorEastAsia"/>
          <w:lang w:val="en-CA" w:eastAsia="zh-CN"/>
        </w:rPr>
        <w:t>2018</w:t>
      </w:r>
      <w:r w:rsidRPr="00403B4F">
        <w:rPr>
          <w:rFonts w:eastAsiaTheme="minorEastAsia"/>
          <w:lang w:val="en-CA" w:eastAsia="zh-CN"/>
        </w:rPr>
        <w:t>年的一项研究表明，全球森林覆盖有</w:t>
      </w:r>
      <w:r w:rsidRPr="00403B4F">
        <w:rPr>
          <w:rFonts w:eastAsiaTheme="minorEastAsia"/>
          <w:lang w:val="en-CA" w:eastAsia="zh-CN"/>
        </w:rPr>
        <w:t>70</w:t>
      </w:r>
      <w:r w:rsidRPr="00403B4F">
        <w:rPr>
          <w:rFonts w:eastAsiaTheme="minorEastAsia"/>
          <w:lang w:val="en-CA" w:eastAsia="zh-CN"/>
        </w:rPr>
        <w:t>％距森林边缘（如道路或变更用途的土地如农用地）只有一公里，生物多样性减少了</w:t>
      </w:r>
      <w:r w:rsidRPr="00403B4F">
        <w:rPr>
          <w:rFonts w:eastAsiaTheme="minorEastAsia"/>
          <w:lang w:val="en-CA" w:eastAsia="zh-CN"/>
        </w:rPr>
        <w:t>75</w:t>
      </w:r>
      <w:r w:rsidRPr="00403B4F">
        <w:rPr>
          <w:rFonts w:eastAsiaTheme="minorEastAsia"/>
          <w:lang w:val="en-CA" w:eastAsia="zh-CN"/>
        </w:rPr>
        <w:t>％，危及生</w:t>
      </w:r>
      <w:r w:rsidRPr="00403B4F">
        <w:rPr>
          <w:rFonts w:eastAsiaTheme="minorEastAsia"/>
          <w:lang w:val="en-CA" w:eastAsia="zh-CN"/>
        </w:rPr>
        <w:lastRenderedPageBreak/>
        <w:t>态系统的运行。</w:t>
      </w:r>
      <w:r w:rsidRPr="00403B4F">
        <w:rPr>
          <w:rFonts w:eastAsiaTheme="minorEastAsia"/>
          <w:vertAlign w:val="superscript"/>
          <w:lang w:val="en-CA"/>
        </w:rPr>
        <w:footnoteReference w:id="123"/>
      </w:r>
      <w:r w:rsidRPr="00403B4F">
        <w:rPr>
          <w:rFonts w:eastAsiaTheme="minorEastAsia"/>
          <w:sz w:val="28"/>
          <w:lang w:val="en-CA" w:eastAsia="zh-CN"/>
        </w:rPr>
        <w:t xml:space="preserve"> </w:t>
      </w:r>
      <w:r w:rsidRPr="00403B4F">
        <w:rPr>
          <w:rFonts w:eastAsiaTheme="minorEastAsia"/>
          <w:lang w:val="en-CA" w:eastAsia="zh-CN"/>
        </w:rPr>
        <w:t>人们愈加认识到，完整的生境对大型生态系统的运行以及生态系统功能和服务包括水和碳循环以及人类健康至关重要。</w:t>
      </w:r>
      <w:r w:rsidRPr="00403B4F">
        <w:rPr>
          <w:rFonts w:eastAsiaTheme="minorEastAsia"/>
          <w:vertAlign w:val="superscript"/>
          <w:lang w:val="en-CA"/>
        </w:rPr>
        <w:footnoteReference w:id="124"/>
      </w:r>
      <w:r w:rsidRPr="00403B4F">
        <w:rPr>
          <w:rFonts w:eastAsiaTheme="minorEastAsia"/>
          <w:sz w:val="28"/>
          <w:lang w:val="en-CA" w:eastAsia="zh-CN"/>
        </w:rPr>
        <w:t xml:space="preserve"> </w:t>
      </w:r>
    </w:p>
    <w:p w:rsidR="005B4DE3" w:rsidRPr="00403B4F" w:rsidRDefault="005B4DE3" w:rsidP="00403B4F">
      <w:pPr>
        <w:numPr>
          <w:ilvl w:val="1"/>
          <w:numId w:val="101"/>
        </w:numPr>
        <w:tabs>
          <w:tab w:val="clear" w:pos="1440"/>
          <w:tab w:val="left" w:pos="720"/>
        </w:tabs>
        <w:adjustRightInd w:val="0"/>
        <w:snapToGrid w:val="0"/>
        <w:ind w:firstLine="0"/>
        <w:rPr>
          <w:rFonts w:eastAsiaTheme="minorEastAsia"/>
          <w:lang w:val="en-CA" w:eastAsia="zh-CN"/>
        </w:rPr>
      </w:pPr>
      <w:r w:rsidRPr="00403B4F">
        <w:rPr>
          <w:rFonts w:eastAsiaTheme="minorEastAsia"/>
          <w:lang w:val="en-CA" w:eastAsia="zh-CN"/>
        </w:rPr>
        <w:t>关于保护区的工作方案目标</w:t>
      </w:r>
      <w:r w:rsidRPr="00403B4F">
        <w:rPr>
          <w:rFonts w:eastAsiaTheme="minorEastAsia"/>
          <w:lang w:val="en-CA" w:eastAsia="zh-CN"/>
        </w:rPr>
        <w:t>1.2</w:t>
      </w:r>
      <w:r w:rsidRPr="00403B4F">
        <w:rPr>
          <w:rFonts w:eastAsiaTheme="minorEastAsia"/>
          <w:lang w:val="en-CA" w:eastAsia="zh-CN"/>
        </w:rPr>
        <w:t>规定：</w:t>
      </w:r>
      <w:r w:rsidRPr="0052581D">
        <w:rPr>
          <w:rFonts w:asciiTheme="minorEastAsia" w:eastAsiaTheme="minorEastAsia" w:hAnsiTheme="minorEastAsia"/>
          <w:lang w:val="en-CA" w:eastAsia="zh-CN"/>
        </w:rPr>
        <w:t>“应</w:t>
      </w:r>
      <w:r w:rsidRPr="00403B4F">
        <w:rPr>
          <w:rFonts w:eastAsiaTheme="minorEastAsia"/>
          <w:lang w:val="en-CA" w:eastAsia="zh-CN"/>
        </w:rPr>
        <w:t>用生态系统办法，到</w:t>
      </w:r>
      <w:r w:rsidRPr="00403B4F">
        <w:rPr>
          <w:rFonts w:eastAsiaTheme="minorEastAsia"/>
          <w:lang w:val="en-CA" w:eastAsia="zh-CN"/>
        </w:rPr>
        <w:t>2015</w:t>
      </w:r>
      <w:r w:rsidRPr="00403B4F">
        <w:rPr>
          <w:rFonts w:eastAsiaTheme="minorEastAsia"/>
          <w:lang w:val="en-CA" w:eastAsia="zh-CN"/>
        </w:rPr>
        <w:t>年将所有保护区和保护区系统纳入更广泛的陆地和海洋景观及有关部门，同时顾及生态连通性和生态网络的概念。</w:t>
      </w:r>
      <w:r w:rsidRPr="0052581D">
        <w:rPr>
          <w:rFonts w:asciiTheme="minorEastAsia" w:eastAsiaTheme="minorEastAsia" w:hAnsiTheme="minorEastAsia"/>
          <w:lang w:val="en-CA" w:eastAsia="zh-CN"/>
        </w:rPr>
        <w:t>”</w:t>
      </w:r>
      <w:r w:rsidRPr="00403B4F">
        <w:rPr>
          <w:rFonts w:eastAsiaTheme="minorEastAsia"/>
          <w:lang w:val="en-CA" w:eastAsia="zh-CN"/>
        </w:rPr>
        <w:t>缔约方大会第</w:t>
      </w:r>
      <w:hyperlink r:id="rId47" w:history="1">
        <w:r w:rsidRPr="00403B4F">
          <w:rPr>
            <w:rFonts w:eastAsiaTheme="minorEastAsia"/>
            <w:color w:val="0000FF"/>
            <w:u w:val="single"/>
            <w:lang w:val="en-CA" w:eastAsia="zh-CN"/>
          </w:rPr>
          <w:t>X/6</w:t>
        </w:r>
      </w:hyperlink>
      <w:r w:rsidRPr="00403B4F">
        <w:rPr>
          <w:rFonts w:eastAsiaTheme="minorEastAsia"/>
          <w:lang w:val="en-CA" w:eastAsia="zh-CN"/>
        </w:rPr>
        <w:t>号决定除其他外向各缔约方强调了将生物多样性纳入消除贫困和发展的重要性，第</w:t>
      </w:r>
      <w:hyperlink r:id="rId48" w:history="1">
        <w:r w:rsidRPr="00403B4F">
          <w:rPr>
            <w:rFonts w:eastAsiaTheme="minorEastAsia"/>
            <w:color w:val="0000FF"/>
            <w:u w:val="single"/>
            <w:lang w:val="en-CA" w:eastAsia="zh-CN"/>
          </w:rPr>
          <w:t>XIII/3</w:t>
        </w:r>
      </w:hyperlink>
      <w:r w:rsidRPr="00403B4F">
        <w:rPr>
          <w:rFonts w:eastAsiaTheme="minorEastAsia"/>
          <w:lang w:val="en-CA" w:eastAsia="zh-CN"/>
        </w:rPr>
        <w:t>号决定除其他外强调了将生物多样性纳入各部门和跨部门主流的重要性。第</w:t>
      </w:r>
      <w:hyperlink r:id="rId49" w:history="1">
        <w:r w:rsidRPr="00403B4F">
          <w:rPr>
            <w:rFonts w:eastAsiaTheme="minorEastAsia"/>
            <w:color w:val="0000FF"/>
            <w:u w:val="single"/>
            <w:lang w:val="en-CA" w:eastAsia="zh-CN"/>
          </w:rPr>
          <w:t>X/31</w:t>
        </w:r>
      </w:hyperlink>
      <w:r w:rsidRPr="00403B4F">
        <w:rPr>
          <w:rFonts w:eastAsiaTheme="minorEastAsia"/>
          <w:lang w:val="en-CA" w:eastAsia="zh-CN"/>
        </w:rPr>
        <w:t>号决定除其他外请缔约方为将保护区纳入已存在的国家和经济发展计划提供便利。</w:t>
      </w:r>
    </w:p>
    <w:p w:rsidR="005B4DE3" w:rsidRPr="00403B4F" w:rsidRDefault="005B4DE3" w:rsidP="00403B4F">
      <w:pPr>
        <w:numPr>
          <w:ilvl w:val="1"/>
          <w:numId w:val="101"/>
        </w:numPr>
        <w:tabs>
          <w:tab w:val="clear" w:pos="1440"/>
          <w:tab w:val="left" w:pos="720"/>
        </w:tabs>
        <w:adjustRightInd w:val="0"/>
        <w:snapToGrid w:val="0"/>
        <w:ind w:firstLine="0"/>
        <w:rPr>
          <w:rFonts w:eastAsiaTheme="minorEastAsia"/>
          <w:lang w:val="en-CA" w:eastAsia="zh-CN"/>
        </w:rPr>
      </w:pPr>
      <w:r w:rsidRPr="00403B4F">
        <w:rPr>
          <w:rFonts w:eastAsiaTheme="minorEastAsia"/>
          <w:lang w:val="en-CA" w:eastAsia="zh-CN"/>
        </w:rPr>
        <w:t>保护区一体化可以界定为</w:t>
      </w:r>
      <w:r w:rsidRPr="00403B4F">
        <w:rPr>
          <w:rFonts w:eastAsiaTheme="minorEastAsia"/>
          <w:lang w:val="en-CA" w:eastAsia="zh-CN"/>
        </w:rPr>
        <w:t>“</w:t>
      </w:r>
      <w:r w:rsidRPr="00403B4F">
        <w:rPr>
          <w:rFonts w:eastAsiaTheme="minorEastAsia"/>
          <w:lang w:val="en-CA" w:eastAsia="zh-CN"/>
        </w:rPr>
        <w:t>确保保护区、走廊和周围环境的设计和管理促成连通性、功能性的生态网络的过程</w:t>
      </w:r>
      <w:r w:rsidRPr="00403B4F">
        <w:rPr>
          <w:rFonts w:eastAsiaTheme="minorEastAsia"/>
          <w:lang w:val="en-CA" w:eastAsia="zh-CN"/>
        </w:rPr>
        <w:t>”</w:t>
      </w:r>
      <w:r w:rsidRPr="00403B4F">
        <w:rPr>
          <w:rFonts w:eastAsiaTheme="minorEastAsia"/>
          <w:lang w:val="en-CA" w:eastAsia="zh-CN"/>
        </w:rPr>
        <w:t>。</w:t>
      </w:r>
      <w:r w:rsidRPr="00403B4F">
        <w:rPr>
          <w:rFonts w:eastAsiaTheme="minorEastAsia"/>
          <w:vertAlign w:val="superscript"/>
          <w:lang w:val="en-CA"/>
        </w:rPr>
        <w:footnoteReference w:id="125"/>
      </w:r>
      <w:r w:rsidRPr="00403B4F">
        <w:rPr>
          <w:rFonts w:eastAsiaTheme="minorEastAsia"/>
          <w:sz w:val="28"/>
          <w:lang w:val="en-CA" w:eastAsia="zh-CN"/>
        </w:rPr>
        <w:t xml:space="preserve"> </w:t>
      </w:r>
      <w:r w:rsidRPr="00403B4F">
        <w:rPr>
          <w:rFonts w:eastAsiaTheme="minorEastAsia"/>
          <w:lang w:val="en-CA" w:eastAsia="zh-CN"/>
        </w:rPr>
        <w:t>保护区主流化可以界定为将生物多样性的价值、影响、依赖性和保护区提供的生态系统功能和服务纳入主要部门，例如农业、渔业、林业、采矿、能源、旅游、交通、教育和健康等。</w:t>
      </w:r>
    </w:p>
    <w:p w:rsidR="005B4DE3" w:rsidRPr="00403B4F" w:rsidRDefault="005B4DE3" w:rsidP="00403B4F">
      <w:pPr>
        <w:numPr>
          <w:ilvl w:val="1"/>
          <w:numId w:val="101"/>
        </w:numPr>
        <w:tabs>
          <w:tab w:val="clear" w:pos="1440"/>
          <w:tab w:val="left" w:pos="720"/>
        </w:tabs>
        <w:adjustRightInd w:val="0"/>
        <w:snapToGrid w:val="0"/>
        <w:ind w:firstLine="0"/>
        <w:rPr>
          <w:rFonts w:eastAsiaTheme="minorEastAsia"/>
          <w:lang w:val="en-CA" w:eastAsia="zh-CN"/>
        </w:rPr>
      </w:pPr>
      <w:r w:rsidRPr="00403B4F">
        <w:rPr>
          <w:rFonts w:eastAsiaTheme="minorEastAsia"/>
          <w:lang w:val="en-CA" w:eastAsia="zh-CN"/>
        </w:rPr>
        <w:t>保护区保护着生物多样性和生态系统，而生物多样性和生态系统支撑着可持续发展目标。</w:t>
      </w:r>
      <w:r w:rsidRPr="00403B4F">
        <w:rPr>
          <w:rFonts w:eastAsiaTheme="minorEastAsia"/>
          <w:vertAlign w:val="superscript"/>
          <w:lang w:val="en-CA"/>
        </w:rPr>
        <w:footnoteReference w:id="126"/>
      </w:r>
      <w:r w:rsidRPr="00403B4F">
        <w:rPr>
          <w:rFonts w:eastAsiaTheme="minorEastAsia"/>
          <w:vertAlign w:val="superscript"/>
          <w:lang w:val="en-CA" w:eastAsia="zh-CN"/>
        </w:rPr>
        <w:t xml:space="preserve"> </w:t>
      </w:r>
      <w:r w:rsidRPr="00403B4F">
        <w:rPr>
          <w:rFonts w:eastAsiaTheme="minorEastAsia"/>
          <w:lang w:val="en-CA" w:eastAsia="zh-CN"/>
        </w:rPr>
        <w:t>保护区对于实现减贫、水安全、碳固存，适应气候变化、经济发展和减灾等目标尤为重要。保护区是以自然办法应对各种全球挑战（例如水安全）这一新兴领域的一项基本战略。</w:t>
      </w:r>
      <w:r w:rsidRPr="00403B4F">
        <w:rPr>
          <w:rFonts w:eastAsiaTheme="minorEastAsia"/>
          <w:vertAlign w:val="superscript"/>
          <w:lang w:val="en-CA"/>
        </w:rPr>
        <w:footnoteReference w:id="127"/>
      </w:r>
      <w:r w:rsidRPr="00403B4F">
        <w:rPr>
          <w:rFonts w:eastAsiaTheme="minorEastAsia"/>
          <w:sz w:val="28"/>
          <w:lang w:val="en-CA" w:eastAsia="zh-CN"/>
        </w:rPr>
        <w:t xml:space="preserve"> </w:t>
      </w:r>
      <w:r w:rsidRPr="00403B4F">
        <w:rPr>
          <w:rFonts w:eastAsiaTheme="minorEastAsia"/>
          <w:lang w:val="en-CA" w:eastAsia="zh-CN"/>
        </w:rPr>
        <w:t>保护区作为一种自然解决办法，对于减缓</w:t>
      </w:r>
      <w:r w:rsidRPr="00403B4F">
        <w:rPr>
          <w:rFonts w:eastAsiaTheme="minorEastAsia"/>
          <w:vertAlign w:val="superscript"/>
          <w:lang w:val="en-CA"/>
        </w:rPr>
        <w:footnoteReference w:id="128"/>
      </w:r>
      <w:r w:rsidRPr="00403B4F">
        <w:rPr>
          <w:rFonts w:eastAsiaTheme="minorEastAsia"/>
          <w:vertAlign w:val="superscript"/>
          <w:lang w:val="en-CA" w:eastAsia="zh-CN"/>
        </w:rPr>
        <w:t xml:space="preserve"> </w:t>
      </w:r>
      <w:r w:rsidRPr="00403B4F">
        <w:rPr>
          <w:rFonts w:eastAsiaTheme="minorEastAsia"/>
          <w:lang w:val="en-CA" w:eastAsia="zh-CN"/>
        </w:rPr>
        <w:t>和适应</w:t>
      </w:r>
      <w:r w:rsidRPr="00403B4F">
        <w:rPr>
          <w:rFonts w:eastAsiaTheme="minorEastAsia"/>
          <w:vertAlign w:val="superscript"/>
          <w:lang w:val="en-CA"/>
        </w:rPr>
        <w:footnoteReference w:id="129"/>
      </w:r>
      <w:r w:rsidRPr="00403B4F">
        <w:rPr>
          <w:rFonts w:eastAsiaTheme="minorEastAsia"/>
          <w:sz w:val="28"/>
          <w:lang w:val="en-CA" w:eastAsia="zh-CN"/>
        </w:rPr>
        <w:t xml:space="preserve"> </w:t>
      </w:r>
      <w:r w:rsidRPr="00403B4F">
        <w:rPr>
          <w:rFonts w:eastAsiaTheme="minorEastAsia"/>
          <w:lang w:val="en-CA" w:eastAsia="zh-CN"/>
        </w:rPr>
        <w:t>气候变化特别重要。如果要将地球温升保持在</w:t>
      </w:r>
      <w:r w:rsidRPr="00403B4F">
        <w:rPr>
          <w:rFonts w:eastAsiaTheme="minorEastAsia"/>
          <w:lang w:val="en-CA" w:eastAsia="zh-CN"/>
        </w:rPr>
        <w:t>1.5</w:t>
      </w:r>
      <w:r w:rsidRPr="00403B4F">
        <w:rPr>
          <w:rFonts w:eastAsiaTheme="minorEastAsia"/>
          <w:lang w:val="en-CA" w:eastAsia="zh-CN"/>
        </w:rPr>
        <w:t>摄氏度以下，至少三分之一的办法可来自大自然，而保护区是实现这一目标的重要战略。</w:t>
      </w:r>
    </w:p>
    <w:p w:rsidR="005B4DE3" w:rsidRPr="00403B4F" w:rsidRDefault="005B4DE3" w:rsidP="00166D58">
      <w:pPr>
        <w:widowControl w:val="0"/>
        <w:numPr>
          <w:ilvl w:val="1"/>
          <w:numId w:val="101"/>
        </w:numPr>
        <w:suppressLineNumbers/>
        <w:tabs>
          <w:tab w:val="clear" w:pos="1440"/>
          <w:tab w:val="left" w:pos="720"/>
        </w:tabs>
        <w:suppressAutoHyphens/>
        <w:kinsoku w:val="0"/>
        <w:overflowPunct w:val="0"/>
        <w:autoSpaceDE w:val="0"/>
        <w:autoSpaceDN w:val="0"/>
        <w:adjustRightInd w:val="0"/>
        <w:snapToGrid w:val="0"/>
        <w:ind w:firstLine="0"/>
        <w:rPr>
          <w:rFonts w:eastAsiaTheme="minorEastAsia"/>
          <w:lang w:val="en-CA" w:eastAsia="zh-CN"/>
        </w:rPr>
      </w:pPr>
      <w:r w:rsidRPr="00403B4F">
        <w:rPr>
          <w:rFonts w:eastAsiaTheme="minorEastAsia"/>
          <w:lang w:val="en-CA" w:eastAsia="zh-CN"/>
        </w:rPr>
        <w:t>尽管如此，出于缺乏足够的人力、财力和行政资源等原因，保护区一体化和主流化的进展仍然缓慢，在其国家生物多样性战略和行动计划中确定了具体战略的国家很少。</w:t>
      </w:r>
      <w:r w:rsidRPr="00403B4F">
        <w:rPr>
          <w:rFonts w:eastAsiaTheme="minorEastAsia"/>
          <w:vertAlign w:val="superscript"/>
          <w:lang w:val="en-CA"/>
        </w:rPr>
        <w:footnoteReference w:id="130"/>
      </w:r>
      <w:r w:rsidRPr="00403B4F">
        <w:rPr>
          <w:rFonts w:eastAsiaTheme="minorEastAsia"/>
          <w:sz w:val="28"/>
          <w:lang w:val="en-CA" w:eastAsia="zh-CN"/>
        </w:rPr>
        <w:t xml:space="preserve"> </w:t>
      </w:r>
      <w:r w:rsidRPr="00403B4F">
        <w:rPr>
          <w:rFonts w:eastAsiaTheme="minorEastAsia"/>
          <w:lang w:val="en-CA" w:eastAsia="zh-CN"/>
        </w:rPr>
        <w:lastRenderedPageBreak/>
        <w:t>各缔约方需采取紧急行动在这两个目标上取得进展。</w:t>
      </w:r>
    </w:p>
    <w:p w:rsidR="005B4DE3" w:rsidRPr="00403B4F" w:rsidRDefault="005B4DE3" w:rsidP="00403B4F">
      <w:pPr>
        <w:jc w:val="center"/>
        <w:rPr>
          <w:rFonts w:eastAsiaTheme="minorEastAsia"/>
          <w:b/>
          <w:lang w:val="en-CA" w:eastAsia="zh-CN"/>
        </w:rPr>
      </w:pPr>
      <w:r w:rsidRPr="00403B4F">
        <w:rPr>
          <w:rFonts w:eastAsiaTheme="minorEastAsia"/>
          <w:b/>
          <w:lang w:val="en-CA" w:eastAsia="zh-CN"/>
        </w:rPr>
        <w:t>二</w:t>
      </w:r>
      <w:r w:rsidRPr="00403B4F">
        <w:rPr>
          <w:rFonts w:eastAsiaTheme="minorEastAsia"/>
          <w:b/>
          <w:lang w:val="en-CA" w:eastAsia="zh-CN"/>
        </w:rPr>
        <w:t xml:space="preserve">.  </w:t>
      </w:r>
      <w:r w:rsidRPr="00403B4F">
        <w:rPr>
          <w:rFonts w:eastAsiaTheme="minorEastAsia"/>
          <w:b/>
          <w:lang w:val="en-CA" w:eastAsia="zh-CN"/>
        </w:rPr>
        <w:t>自愿指导意见</w:t>
      </w:r>
    </w:p>
    <w:p w:rsidR="005B4DE3" w:rsidRPr="00403B4F" w:rsidRDefault="005B4DE3" w:rsidP="00403B4F">
      <w:pPr>
        <w:keepNext/>
        <w:suppressLineNumbers/>
        <w:suppressAutoHyphens/>
        <w:kinsoku w:val="0"/>
        <w:overflowPunct w:val="0"/>
        <w:autoSpaceDE w:val="0"/>
        <w:autoSpaceDN w:val="0"/>
        <w:adjustRightInd w:val="0"/>
        <w:snapToGrid w:val="0"/>
        <w:ind w:left="720" w:hanging="360"/>
        <w:jc w:val="center"/>
        <w:rPr>
          <w:rFonts w:eastAsiaTheme="minorEastAsia"/>
          <w:b/>
          <w:iCs/>
          <w:kern w:val="22"/>
          <w:lang w:eastAsia="ja-JP" w:bidi="th-TH"/>
        </w:rPr>
      </w:pPr>
      <w:r w:rsidRPr="00403B4F">
        <w:rPr>
          <w:rFonts w:eastAsiaTheme="minorEastAsia"/>
          <w:b/>
          <w:bCs/>
          <w:szCs w:val="22"/>
          <w:lang w:eastAsia="zh-CN"/>
        </w:rPr>
        <w:t xml:space="preserve">A.   </w:t>
      </w:r>
      <w:r w:rsidRPr="00403B4F">
        <w:rPr>
          <w:rFonts w:eastAsiaTheme="minorEastAsia"/>
          <w:b/>
          <w:bCs/>
          <w:szCs w:val="22"/>
          <w:lang w:eastAsia="zh-CN"/>
        </w:rPr>
        <w:t>加强和支持纳入陆地景观和海洋景观及各部门的拟议措施</w:t>
      </w:r>
    </w:p>
    <w:p w:rsidR="005B4DE3" w:rsidRPr="00403B4F" w:rsidRDefault="005B4DE3" w:rsidP="00403B4F">
      <w:pPr>
        <w:numPr>
          <w:ilvl w:val="0"/>
          <w:numId w:val="103"/>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lang w:val="en-CA" w:eastAsia="zh-CN"/>
        </w:rPr>
      </w:pPr>
      <w:r w:rsidRPr="00403B4F">
        <w:rPr>
          <w:rFonts w:eastAsiaTheme="minorEastAsia"/>
          <w:snapToGrid w:val="0"/>
          <w:lang w:val="en-CA" w:eastAsia="zh-CN"/>
        </w:rPr>
        <w:t>审查国家愿景、目标和指标，确保这些愿景、目标和指标中包括了保护区一体化和</w:t>
      </w:r>
      <w:r w:rsidRPr="00403B4F">
        <w:rPr>
          <w:rFonts w:eastAsiaTheme="minorEastAsia"/>
          <w:snapToGrid w:val="0"/>
          <w:kern w:val="22"/>
          <w:lang w:val="en-CA" w:eastAsia="zh-CN"/>
        </w:rPr>
        <w:t>其他有效的地区保护措施</w:t>
      </w:r>
      <w:r w:rsidRPr="00403B4F">
        <w:rPr>
          <w:rFonts w:eastAsiaTheme="minorEastAsia"/>
          <w:snapToGrid w:val="0"/>
          <w:lang w:val="en-CA" w:eastAsia="zh-CN"/>
        </w:rPr>
        <w:t>的要素，以增加生境的连通性和减少陆地景观和海洋景观规模上的生境破碎化</w:t>
      </w:r>
      <w:r w:rsidRPr="00403B4F">
        <w:rPr>
          <w:rFonts w:eastAsiaTheme="minorEastAsia"/>
          <w:bCs/>
          <w:iCs/>
          <w:snapToGrid w:val="0"/>
          <w:kern w:val="22"/>
          <w:lang w:val="en-CA" w:eastAsia="zh-CN"/>
        </w:rPr>
        <w:t>；</w:t>
      </w:r>
    </w:p>
    <w:p w:rsidR="005B4DE3" w:rsidRPr="00403B4F" w:rsidRDefault="005B4DE3" w:rsidP="00403B4F">
      <w:pPr>
        <w:numPr>
          <w:ilvl w:val="0"/>
          <w:numId w:val="103"/>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确定那些破碎化是其面临的主要问题并可从改善连通性中受益的</w:t>
      </w:r>
      <w:r w:rsidRPr="00403B4F">
        <w:rPr>
          <w:rFonts w:eastAsiaTheme="minorEastAsia"/>
          <w:snapToGrid w:val="0"/>
          <w:spacing w:val="-20"/>
          <w:szCs w:val="18"/>
          <w:lang w:val="en-CA" w:eastAsia="zh-CN"/>
        </w:rPr>
        <w:t>关键物种、生态系统和生态过程，包</w:t>
      </w:r>
      <w:r w:rsidRPr="00403B4F">
        <w:rPr>
          <w:rFonts w:eastAsiaTheme="minorEastAsia"/>
          <w:snapToGrid w:val="0"/>
          <w:szCs w:val="18"/>
          <w:lang w:val="en-CA" w:eastAsia="zh-CN"/>
        </w:rPr>
        <w:t>括易受气候变化影响的物种、生态系统和生态过程以及分布范围随气候变化影响而改变的物种；</w:t>
      </w:r>
    </w:p>
    <w:p w:rsidR="005B4DE3" w:rsidRPr="00403B4F" w:rsidRDefault="005B4DE3" w:rsidP="00403B4F">
      <w:pPr>
        <w:numPr>
          <w:ilvl w:val="0"/>
          <w:numId w:val="103"/>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确定重要地区并进行优先排序，以改善其连通性，缓解陆地景观和海洋景观破碎化的影响，包括给物种年度和季节性迁徙、各生命阶段以及气候适应造成障碍和瓶颈的地区以及对维持生态系统运行（例如沿河洪泛平原）非常重要的地区；</w:t>
      </w:r>
    </w:p>
    <w:p w:rsidR="005B4DE3" w:rsidRPr="00403B4F" w:rsidRDefault="005B4DE3" w:rsidP="00403B4F">
      <w:pPr>
        <w:numPr>
          <w:ilvl w:val="0"/>
          <w:numId w:val="103"/>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lang w:val="en-CA" w:eastAsia="zh-CN"/>
        </w:rPr>
      </w:pPr>
      <w:r w:rsidRPr="00403B4F">
        <w:rPr>
          <w:rFonts w:eastAsiaTheme="minorEastAsia"/>
          <w:snapToGrid w:val="0"/>
          <w:lang w:val="en-CA" w:eastAsia="zh-CN"/>
        </w:rPr>
        <w:t>进行一次国家审查，查明重要物种、生态系统和生态过程的陆地景观和海洋景观生境破碎化和连通性的现状和趋势，包括审查保护区和</w:t>
      </w:r>
      <w:r w:rsidRPr="00403B4F">
        <w:rPr>
          <w:rFonts w:eastAsiaTheme="minorEastAsia"/>
          <w:snapToGrid w:val="0"/>
          <w:kern w:val="22"/>
          <w:lang w:val="en-CA" w:eastAsia="zh-CN"/>
        </w:rPr>
        <w:t>其他有效的地区保护措施</w:t>
      </w:r>
      <w:r w:rsidRPr="00403B4F">
        <w:rPr>
          <w:rFonts w:eastAsiaTheme="minorEastAsia"/>
          <w:snapToGrid w:val="0"/>
          <w:lang w:val="en-CA" w:eastAsia="zh-CN"/>
        </w:rPr>
        <w:t>对保持陆地景观和海洋景观连通性的作用以及存在的主要差距</w:t>
      </w:r>
      <w:r w:rsidRPr="00403B4F">
        <w:rPr>
          <w:rFonts w:eastAsiaTheme="minorEastAsia"/>
          <w:bCs/>
          <w:i/>
          <w:iCs/>
          <w:snapToGrid w:val="0"/>
          <w:kern w:val="22"/>
          <w:lang w:val="en-CA" w:eastAsia="zh-CN"/>
        </w:rPr>
        <w:t>；</w:t>
      </w:r>
    </w:p>
    <w:p w:rsidR="005B4DE3" w:rsidRPr="00403B4F" w:rsidRDefault="005B4DE3" w:rsidP="00403B4F">
      <w:pPr>
        <w:numPr>
          <w:ilvl w:val="0"/>
          <w:numId w:val="103"/>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lang w:val="en-CA" w:eastAsia="zh-CN"/>
        </w:rPr>
      </w:pPr>
      <w:r w:rsidRPr="00403B4F">
        <w:rPr>
          <w:rFonts w:eastAsiaTheme="minorEastAsia"/>
          <w:snapToGrid w:val="0"/>
          <w:lang w:val="en-CA" w:eastAsia="zh-CN"/>
        </w:rPr>
        <w:t>确定对生境破碎化负最大责任的部门并进行优先排序，包括交通、农业、渔业、林业、采矿、旅游、能源、基础设施和城市发展，并拟定办法使这些部门参与制定战略，减少对保护区和保护区网络的影响，包括</w:t>
      </w:r>
      <w:r w:rsidRPr="00403B4F">
        <w:rPr>
          <w:rFonts w:eastAsiaTheme="minorEastAsia"/>
          <w:snapToGrid w:val="0"/>
          <w:kern w:val="22"/>
          <w:lang w:val="en-CA" w:eastAsia="zh-CN"/>
        </w:rPr>
        <w:t>其他有效的地区保护措施，以及对正在开展恢复方案地区</w:t>
      </w:r>
      <w:r w:rsidRPr="00403B4F">
        <w:rPr>
          <w:rFonts w:eastAsiaTheme="minorEastAsia"/>
          <w:snapToGrid w:val="0"/>
          <w:lang w:val="en-CA" w:eastAsia="zh-CN"/>
        </w:rPr>
        <w:t>的影响</w:t>
      </w:r>
      <w:r w:rsidRPr="00403B4F">
        <w:rPr>
          <w:rFonts w:eastAsiaTheme="minorEastAsia"/>
          <w:bCs/>
          <w:i/>
          <w:iCs/>
          <w:snapToGrid w:val="0"/>
          <w:kern w:val="22"/>
          <w:lang w:val="en-CA" w:eastAsia="zh-CN"/>
        </w:rPr>
        <w:t>；</w:t>
      </w:r>
    </w:p>
    <w:p w:rsidR="005B4DE3" w:rsidRPr="00403B4F" w:rsidRDefault="005B4DE3" w:rsidP="00403B4F">
      <w:pPr>
        <w:numPr>
          <w:ilvl w:val="0"/>
          <w:numId w:val="103"/>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审查和修改陆地景观和海洋景观计划和框架（包括部门内和部门间），包括土地使用和海洋空间计划以及部门计划，例如国家以下级土地使用计划、综合流域计划、综合海洋和沿海地区管理计划、运输计划和与水有关的计划，以改善连通性和互补性，减少破碎化和影响；</w:t>
      </w:r>
    </w:p>
    <w:p w:rsidR="005B4DE3" w:rsidRPr="00403B4F" w:rsidRDefault="005B4DE3" w:rsidP="00403B4F">
      <w:pPr>
        <w:numPr>
          <w:ilvl w:val="0"/>
          <w:numId w:val="103"/>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排定措施的先后次序并加以执行，减少陆地景观和海洋景观的生境破碎化，提高连通性，包括建立新的保护区和找出能够在生境之间起垫脚石作用的其他有效地区保护措</w:t>
      </w:r>
      <w:r w:rsidRPr="00403B4F">
        <w:rPr>
          <w:rFonts w:eastAsia="MS Mincho"/>
          <w:snapToGrid w:val="0"/>
          <w:szCs w:val="18"/>
          <w:lang w:val="en-CA" w:eastAsia="zh-CN"/>
        </w:rPr>
        <w:t>​​</w:t>
      </w:r>
      <w:r w:rsidRPr="00403B4F">
        <w:rPr>
          <w:rFonts w:eastAsiaTheme="minorEastAsia"/>
          <w:snapToGrid w:val="0"/>
          <w:szCs w:val="18"/>
          <w:lang w:val="en-CA" w:eastAsia="zh-CN"/>
        </w:rPr>
        <w:t>施以及土著和社区保护区，建立保护走廊以连接主要生境，建立缓冲区以减轻各部门的影响，加强保护区和养护区，推动能够减少减轻对生物多样性影响的部门做法，如有机农业和长轮伐林业。</w:t>
      </w:r>
    </w:p>
    <w:p w:rsidR="005B4DE3" w:rsidRPr="00403B4F" w:rsidRDefault="005B4DE3" w:rsidP="00403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490"/>
        <w:jc w:val="center"/>
        <w:rPr>
          <w:rFonts w:eastAsiaTheme="minorEastAsia"/>
          <w:lang w:val="en-CA" w:eastAsia="zh-CN"/>
        </w:rPr>
      </w:pPr>
      <w:r w:rsidRPr="00403B4F">
        <w:rPr>
          <w:rFonts w:eastAsiaTheme="minorEastAsia"/>
          <w:b/>
          <w:lang w:val="en-CA" w:eastAsia="zh-CN"/>
        </w:rPr>
        <w:t xml:space="preserve">B.  </w:t>
      </w:r>
      <w:r w:rsidRPr="00403B4F">
        <w:rPr>
          <w:rFonts w:eastAsiaTheme="minorEastAsia"/>
          <w:b/>
          <w:lang w:val="en-CA" w:eastAsia="zh-CN"/>
        </w:rPr>
        <w:t>加强和支持将保护区和其他有效的地区保护措施纳入各部门主流的建议措施</w:t>
      </w:r>
    </w:p>
    <w:p w:rsidR="005B4DE3" w:rsidRPr="00403B4F" w:rsidRDefault="005B4DE3" w:rsidP="00403B4F">
      <w:pPr>
        <w:numPr>
          <w:ilvl w:val="0"/>
          <w:numId w:val="108"/>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lang w:val="en-CA" w:eastAsia="zh-CN"/>
        </w:rPr>
      </w:pPr>
      <w:r w:rsidRPr="00403B4F">
        <w:rPr>
          <w:rFonts w:eastAsiaTheme="minorEastAsia"/>
          <w:snapToGrid w:val="0"/>
          <w:lang w:val="en-CA" w:eastAsia="zh-CN"/>
        </w:rPr>
        <w:t>确定、描绘对重要的生态系统功能和服务非常重要的地区并</w:t>
      </w:r>
      <w:r w:rsidRPr="00403B4F">
        <w:rPr>
          <w:rFonts w:eastAsiaTheme="minorEastAsia"/>
          <w:snapToGrid w:val="0"/>
          <w:szCs w:val="18"/>
          <w:lang w:val="en-CA" w:eastAsia="zh-CN"/>
        </w:rPr>
        <w:t>进行优先排序</w:t>
      </w:r>
      <w:r w:rsidRPr="00403B4F">
        <w:rPr>
          <w:rFonts w:eastAsiaTheme="minorEastAsia"/>
          <w:snapToGrid w:val="0"/>
          <w:lang w:val="en-CA" w:eastAsia="zh-CN"/>
        </w:rPr>
        <w:t>，包括对以下方面非常重要的生态系统：粮食（如渔业依赖的红树林）、减缓气候变化（如森林、泥炭地、红树林等碳密集的生态系统）、水安全（如提供地表水和地下水的山地、</w:t>
      </w:r>
      <w:r w:rsidRPr="00403B4F">
        <w:rPr>
          <w:rFonts w:eastAsiaTheme="minorEastAsia"/>
          <w:snapToGrid w:val="0"/>
          <w:lang w:val="en-CA" w:eastAsia="zh-CN"/>
        </w:rPr>
        <w:lastRenderedPageBreak/>
        <w:t>森林、湿地、草地）、减贫（如维生、提供生计和就业的生态系统）以及减灾（如缓冲海岸风暴的生态系统，包括珊瑚礁、海草床、洪泛平原）；</w:t>
      </w:r>
    </w:p>
    <w:p w:rsidR="005B4DE3" w:rsidRPr="00403B4F" w:rsidRDefault="005B4DE3" w:rsidP="00403B4F">
      <w:pPr>
        <w:numPr>
          <w:ilvl w:val="0"/>
          <w:numId w:val="108"/>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pacing w:val="-2"/>
          <w:kern w:val="22"/>
          <w:lang w:val="en-CA" w:eastAsia="zh-CN"/>
        </w:rPr>
      </w:pPr>
      <w:r w:rsidRPr="00403B4F">
        <w:rPr>
          <w:rFonts w:eastAsiaTheme="minorEastAsia"/>
          <w:snapToGrid w:val="0"/>
          <w:lang w:val="en-CA" w:eastAsia="zh-CN"/>
        </w:rPr>
        <w:t>审查和更新部门计划，确保保护区和</w:t>
      </w:r>
      <w:r w:rsidRPr="00403B4F">
        <w:rPr>
          <w:rFonts w:eastAsiaTheme="minorEastAsia"/>
          <w:snapToGrid w:val="0"/>
          <w:kern w:val="22"/>
          <w:lang w:val="en-CA" w:eastAsia="zh-CN"/>
        </w:rPr>
        <w:t>其他有效的地区保护措施</w:t>
      </w:r>
      <w:r w:rsidRPr="00403B4F">
        <w:rPr>
          <w:rFonts w:eastAsiaTheme="minorEastAsia"/>
          <w:snapToGrid w:val="0"/>
          <w:lang w:val="en-CA" w:eastAsia="zh-CN"/>
        </w:rPr>
        <w:t>提供的许多价值得到承认并纳入部门计划</w:t>
      </w:r>
      <w:r w:rsidRPr="00403B4F">
        <w:rPr>
          <w:rFonts w:eastAsiaTheme="minorEastAsia"/>
          <w:bCs/>
          <w:iCs/>
          <w:snapToGrid w:val="0"/>
          <w:spacing w:val="-2"/>
          <w:kern w:val="22"/>
          <w:lang w:val="en-CA" w:eastAsia="zh-CN"/>
        </w:rPr>
        <w:t>；</w:t>
      </w:r>
    </w:p>
    <w:p w:rsidR="005B4DE3" w:rsidRPr="00403B4F" w:rsidRDefault="005B4DE3" w:rsidP="00403B4F">
      <w:pPr>
        <w:numPr>
          <w:ilvl w:val="0"/>
          <w:numId w:val="108"/>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lang w:val="en-CA" w:eastAsia="zh-CN"/>
        </w:rPr>
      </w:pPr>
      <w:r w:rsidRPr="00403B4F">
        <w:rPr>
          <w:rFonts w:eastAsiaTheme="minorEastAsia"/>
          <w:snapToGrid w:val="0"/>
          <w:lang w:val="en-CA" w:eastAsia="zh-CN"/>
        </w:rPr>
        <w:t>拟定有针对性的宣传活动，目标是那些依赖保护区和</w:t>
      </w:r>
      <w:r w:rsidRPr="00403B4F">
        <w:rPr>
          <w:rFonts w:eastAsiaTheme="minorEastAsia"/>
          <w:snapToGrid w:val="0"/>
          <w:kern w:val="22"/>
          <w:lang w:val="en-CA" w:eastAsia="zh-CN"/>
        </w:rPr>
        <w:t>其他有效的地区保护措施</w:t>
      </w:r>
      <w:r w:rsidRPr="00403B4F">
        <w:rPr>
          <w:rFonts w:eastAsiaTheme="minorEastAsia"/>
          <w:snapToGrid w:val="0"/>
          <w:lang w:val="en-CA" w:eastAsia="zh-CN"/>
        </w:rPr>
        <w:t>所提供生物多样性和生态系统功能和服务的政府和私营部门，包括农业、渔业、林业、水、旅游业、国家和国家以下级安全、发展、气候变化，目的是使其更加认识到自然对其部门的价值</w:t>
      </w:r>
      <w:r w:rsidRPr="00403B4F">
        <w:rPr>
          <w:rFonts w:eastAsiaTheme="minorEastAsia"/>
          <w:b/>
          <w:caps/>
          <w:kern w:val="22"/>
          <w:lang w:val="en-CA" w:eastAsia="zh-CN"/>
        </w:rPr>
        <w:t>；</w:t>
      </w:r>
    </w:p>
    <w:p w:rsidR="005B4DE3" w:rsidRPr="00403B4F" w:rsidRDefault="005B4DE3" w:rsidP="00403B4F">
      <w:pPr>
        <w:numPr>
          <w:ilvl w:val="0"/>
          <w:numId w:val="108"/>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审查和修订现有政策和融资框架，以便寻找机会改善扶持政策和融资环境，促进部门主流化；</w:t>
      </w:r>
    </w:p>
    <w:p w:rsidR="005B4DE3" w:rsidRPr="00403B4F" w:rsidRDefault="005B4DE3" w:rsidP="00403B4F">
      <w:pPr>
        <w:numPr>
          <w:ilvl w:val="0"/>
          <w:numId w:val="108"/>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鼓励创新性融资，包括投资者、保险公司和其他机构，找出和资助新旧保护区</w:t>
      </w:r>
      <w:r w:rsidRPr="00403B4F">
        <w:rPr>
          <w:rFonts w:eastAsiaTheme="minorEastAsia"/>
          <w:kern w:val="22"/>
          <w:lang w:val="en-CA" w:eastAsia="zh-CN"/>
        </w:rPr>
        <w:t>和其他有效区域保护措施</w:t>
      </w:r>
      <w:r w:rsidRPr="00403B4F">
        <w:rPr>
          <w:rFonts w:eastAsiaTheme="minorEastAsia"/>
          <w:snapToGrid w:val="0"/>
          <w:szCs w:val="18"/>
          <w:lang w:val="en-CA" w:eastAsia="zh-CN"/>
        </w:rPr>
        <w:t>，恢复重要退化保护区，以提供重要生态系统功能和服务，推广增进长期保护区系统可持续性的融资模式；</w:t>
      </w:r>
    </w:p>
    <w:p w:rsidR="005B4DE3" w:rsidRPr="00403B4F" w:rsidRDefault="005B4DE3" w:rsidP="00403B4F">
      <w:pPr>
        <w:numPr>
          <w:ilvl w:val="0"/>
          <w:numId w:val="108"/>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lang w:val="en-CA" w:eastAsia="zh-CN"/>
        </w:rPr>
      </w:pPr>
      <w:r w:rsidRPr="00403B4F">
        <w:rPr>
          <w:rFonts w:eastAsiaTheme="minorEastAsia"/>
          <w:snapToGrid w:val="0"/>
          <w:lang w:val="en-CA" w:eastAsia="zh-CN"/>
        </w:rPr>
        <w:t>评估和更新改进保护区</w:t>
      </w:r>
      <w:r w:rsidRPr="00403B4F">
        <w:rPr>
          <w:rFonts w:eastAsiaTheme="minorEastAsia"/>
          <w:kern w:val="22"/>
          <w:lang w:val="en-CA" w:eastAsia="zh-CN"/>
        </w:rPr>
        <w:t>和其他有效区域保护措施</w:t>
      </w:r>
      <w:r w:rsidRPr="00403B4F">
        <w:rPr>
          <w:rFonts w:eastAsiaTheme="minorEastAsia"/>
          <w:snapToGrid w:val="0"/>
          <w:lang w:val="en-CA" w:eastAsia="zh-CN"/>
        </w:rPr>
        <w:t>主流化所需能力，包括创造有利政策环境的能力，为重要生态系统功能和服务进行空间测绘的能力，评估生态系统功能和服务的多重价值的能力</w:t>
      </w:r>
      <w:r w:rsidRPr="00403B4F">
        <w:rPr>
          <w:rFonts w:eastAsiaTheme="minorEastAsia"/>
          <w:b/>
          <w:caps/>
          <w:kern w:val="22"/>
          <w:lang w:val="en-CA" w:eastAsia="zh-CN"/>
        </w:rPr>
        <w:t>。</w:t>
      </w:r>
    </w:p>
    <w:p w:rsidR="005B4DE3" w:rsidRPr="00171125" w:rsidRDefault="005B4DE3" w:rsidP="00171125">
      <w:pPr>
        <w:adjustRightInd w:val="0"/>
        <w:snapToGrid w:val="0"/>
        <w:ind w:firstLine="0"/>
        <w:jc w:val="center"/>
        <w:rPr>
          <w:rFonts w:ascii="KaiTi" w:eastAsia="KaiTi" w:hAnsi="KaiTi"/>
          <w:lang w:eastAsia="zh-CN"/>
        </w:rPr>
      </w:pPr>
      <w:r w:rsidRPr="00171125">
        <w:rPr>
          <w:rFonts w:ascii="KaiTi" w:eastAsia="KaiTi" w:hAnsi="KaiTi"/>
          <w:lang w:eastAsia="zh-CN"/>
        </w:rPr>
        <w:t>附件二</w:t>
      </w:r>
    </w:p>
    <w:p w:rsidR="005B4DE3" w:rsidRPr="00403B4F" w:rsidRDefault="005B4DE3" w:rsidP="00171125">
      <w:pPr>
        <w:adjustRightInd w:val="0"/>
        <w:snapToGrid w:val="0"/>
        <w:ind w:left="1080" w:right="1080" w:firstLine="0"/>
        <w:jc w:val="center"/>
        <w:rPr>
          <w:rFonts w:eastAsiaTheme="minorEastAsia"/>
          <w:b/>
          <w:lang w:eastAsia="zh-CN"/>
        </w:rPr>
      </w:pPr>
      <w:r w:rsidRPr="00403B4F">
        <w:rPr>
          <w:rFonts w:eastAsiaTheme="minorEastAsia"/>
          <w:b/>
          <w:lang w:eastAsia="zh-CN"/>
        </w:rPr>
        <w:t>关于保护区管理的有效治理模式</w:t>
      </w:r>
      <w:r w:rsidRPr="00403B4F">
        <w:rPr>
          <w:rFonts w:eastAsiaTheme="minorEastAsia"/>
          <w:b/>
          <w:color w:val="000000"/>
          <w:lang w:eastAsia="zh-CN"/>
        </w:rPr>
        <w:t>包括公平性</w:t>
      </w:r>
      <w:r w:rsidRPr="00403B4F">
        <w:rPr>
          <w:rFonts w:eastAsiaTheme="minorEastAsia"/>
          <w:b/>
          <w:lang w:eastAsia="zh-CN"/>
        </w:rPr>
        <w:t>并同时考虑到第</w:t>
      </w:r>
      <w:r w:rsidRPr="00403B4F">
        <w:rPr>
          <w:rFonts w:eastAsiaTheme="minorEastAsia"/>
          <w:b/>
          <w:lang w:eastAsia="zh-CN"/>
        </w:rPr>
        <w:t>8(j)</w:t>
      </w:r>
      <w:r w:rsidRPr="00403B4F">
        <w:rPr>
          <w:rFonts w:eastAsiaTheme="minorEastAsia"/>
          <w:b/>
          <w:lang w:eastAsia="zh-CN"/>
        </w:rPr>
        <w:t>条和相关条款下开展的工作的自愿指导意见</w:t>
      </w:r>
    </w:p>
    <w:p w:rsidR="005B4DE3" w:rsidRPr="00403B4F" w:rsidRDefault="005B4DE3" w:rsidP="00171125">
      <w:pPr>
        <w:numPr>
          <w:ilvl w:val="0"/>
          <w:numId w:val="105"/>
        </w:numPr>
        <w:adjustRightInd w:val="0"/>
        <w:snapToGrid w:val="0"/>
        <w:ind w:left="475" w:firstLine="0"/>
        <w:jc w:val="center"/>
        <w:rPr>
          <w:rFonts w:eastAsiaTheme="minorEastAsia"/>
          <w:b/>
          <w:lang w:val="en-CA"/>
        </w:rPr>
      </w:pPr>
      <w:r w:rsidRPr="00403B4F">
        <w:rPr>
          <w:rFonts w:eastAsiaTheme="minorEastAsia"/>
          <w:b/>
          <w:lang w:val="en-CA" w:eastAsia="zh-CN"/>
        </w:rPr>
        <w:t xml:space="preserve"> </w:t>
      </w:r>
      <w:r w:rsidRPr="00403B4F">
        <w:rPr>
          <w:rFonts w:eastAsiaTheme="minorEastAsia"/>
          <w:b/>
          <w:lang w:val="en-CA"/>
        </w:rPr>
        <w:t>背景</w:t>
      </w:r>
    </w:p>
    <w:p w:rsidR="005B4DE3" w:rsidRPr="00403B4F" w:rsidRDefault="005B4DE3" w:rsidP="00403B4F">
      <w:pPr>
        <w:numPr>
          <w:ilvl w:val="0"/>
          <w:numId w:val="106"/>
        </w:numPr>
        <w:tabs>
          <w:tab w:val="clear" w:pos="360"/>
          <w:tab w:val="num" w:pos="720"/>
        </w:tabs>
        <w:adjustRightInd w:val="0"/>
        <w:snapToGrid w:val="0"/>
        <w:rPr>
          <w:rFonts w:eastAsiaTheme="minorEastAsia"/>
          <w:lang w:val="en-CA" w:eastAsia="zh-CN"/>
        </w:rPr>
      </w:pPr>
      <w:r w:rsidRPr="00403B4F">
        <w:rPr>
          <w:rFonts w:eastAsiaTheme="minorEastAsia"/>
          <w:lang w:val="en-CA" w:eastAsia="zh-CN"/>
        </w:rPr>
        <w:t>要使保护区成功保护生物多样性并支持可持续生计，治理是一个关键因素。从多样性、质量、有效性和公平性等方面加强保护区治理，有助于实现爱知生物多样性指标</w:t>
      </w:r>
      <w:r w:rsidRPr="00403B4F">
        <w:rPr>
          <w:rFonts w:eastAsiaTheme="minorEastAsia"/>
          <w:lang w:val="en-CA" w:eastAsia="zh-CN"/>
        </w:rPr>
        <w:t>11</w:t>
      </w:r>
      <w:r w:rsidRPr="00403B4F">
        <w:rPr>
          <w:rFonts w:eastAsiaTheme="minorEastAsia"/>
          <w:lang w:val="en-CA" w:eastAsia="zh-CN"/>
        </w:rPr>
        <w:t>和应对地方和全球面临的持续挑战。</w:t>
      </w:r>
      <w:r w:rsidRPr="00403B4F">
        <w:rPr>
          <w:rFonts w:eastAsiaTheme="minorEastAsia"/>
          <w:vertAlign w:val="superscript"/>
          <w:lang w:val="en-CA"/>
        </w:rPr>
        <w:footnoteReference w:id="131"/>
      </w:r>
      <w:r w:rsidRPr="00403B4F">
        <w:rPr>
          <w:rFonts w:eastAsiaTheme="minorEastAsia"/>
          <w:lang w:val="en-CA" w:eastAsia="zh-CN"/>
        </w:rPr>
        <w:t xml:space="preserve"> </w:t>
      </w:r>
      <w:r w:rsidRPr="00403B4F">
        <w:rPr>
          <w:rFonts w:eastAsiaTheme="minorEastAsia"/>
          <w:lang w:val="en-CA" w:eastAsia="zh-CN"/>
        </w:rPr>
        <w:t>承认地区保护工作中各种行为者和各种办法的作用和贡献，有助于实现目标</w:t>
      </w:r>
      <w:r w:rsidRPr="00403B4F">
        <w:rPr>
          <w:rFonts w:eastAsiaTheme="minorEastAsia"/>
          <w:lang w:val="en-CA" w:eastAsia="zh-CN"/>
        </w:rPr>
        <w:t>11</w:t>
      </w:r>
      <w:r w:rsidRPr="00403B4F">
        <w:rPr>
          <w:rFonts w:eastAsiaTheme="minorEastAsia"/>
          <w:lang w:val="en-CA" w:eastAsia="zh-CN"/>
        </w:rPr>
        <w:t>的覆盖面、代表性、连通性和定性要素。这种多样性可扩大自主权，并有可能推动合作，减少冲突和促进发生变化时的复原力。</w:t>
      </w:r>
    </w:p>
    <w:p w:rsidR="005B4DE3" w:rsidRPr="00403B4F" w:rsidRDefault="005B4DE3" w:rsidP="00403B4F">
      <w:pPr>
        <w:numPr>
          <w:ilvl w:val="0"/>
          <w:numId w:val="106"/>
        </w:numPr>
        <w:tabs>
          <w:tab w:val="clear" w:pos="360"/>
          <w:tab w:val="num" w:pos="720"/>
        </w:tabs>
        <w:adjustRightInd w:val="0"/>
        <w:snapToGrid w:val="0"/>
        <w:rPr>
          <w:rFonts w:eastAsiaTheme="minorEastAsia"/>
          <w:lang w:val="en-CA" w:eastAsia="zh-CN"/>
        </w:rPr>
      </w:pPr>
      <w:r w:rsidRPr="00403B4F">
        <w:rPr>
          <w:rFonts w:eastAsiaTheme="minorEastAsia"/>
          <w:lang w:val="en-CA" w:eastAsia="zh-CN"/>
        </w:rPr>
        <w:t>符合具体情况，具有社会包容性，尊重权利，能有效提供保护和生计成果的保护区和养护区治理安排，往往能够在土著人民和地方社区乃至全社会提升保护区和养护区的合法性。</w:t>
      </w:r>
    </w:p>
    <w:p w:rsidR="005B4DE3" w:rsidRPr="00403B4F" w:rsidRDefault="005B4DE3" w:rsidP="00403B4F">
      <w:pPr>
        <w:numPr>
          <w:ilvl w:val="0"/>
          <w:numId w:val="106"/>
        </w:numPr>
        <w:tabs>
          <w:tab w:val="clear" w:pos="360"/>
          <w:tab w:val="num" w:pos="720"/>
        </w:tabs>
        <w:adjustRightInd w:val="0"/>
        <w:snapToGrid w:val="0"/>
        <w:rPr>
          <w:rFonts w:eastAsiaTheme="minorEastAsia"/>
          <w:lang w:val="en-CA" w:eastAsia="zh-CN"/>
        </w:rPr>
      </w:pPr>
      <w:r w:rsidRPr="00403B4F">
        <w:rPr>
          <w:rFonts w:eastAsiaTheme="minorEastAsia"/>
          <w:lang w:val="en-CA" w:eastAsia="zh-CN"/>
        </w:rPr>
        <w:lastRenderedPageBreak/>
        <w:t>缔约方大会第</w:t>
      </w:r>
      <w:hyperlink r:id="rId50" w:history="1">
        <w:r w:rsidRPr="00403B4F">
          <w:rPr>
            <w:rStyle w:val="Hyperlink"/>
            <w:rFonts w:eastAsiaTheme="minorEastAsia"/>
            <w:lang w:val="en-CA" w:eastAsia="zh-CN"/>
          </w:rPr>
          <w:t>X/31</w:t>
        </w:r>
      </w:hyperlink>
      <w:r w:rsidRPr="00403B4F">
        <w:rPr>
          <w:rFonts w:eastAsiaTheme="minorEastAsia"/>
          <w:lang w:val="en-CA" w:eastAsia="zh-CN"/>
        </w:rPr>
        <w:t>号决定除其他外确认保护区工作方案关于治理、参与、公平和惠益分享的组成部分</w:t>
      </w:r>
      <w:r w:rsidRPr="00403B4F">
        <w:rPr>
          <w:rFonts w:eastAsiaTheme="minorEastAsia"/>
          <w:lang w:val="en-CA" w:eastAsia="zh-CN"/>
        </w:rPr>
        <w:t>2</w:t>
      </w:r>
      <w:r w:rsidRPr="00403B4F">
        <w:rPr>
          <w:rFonts w:eastAsiaTheme="minorEastAsia"/>
          <w:lang w:val="en-CA" w:eastAsia="zh-CN"/>
        </w:rPr>
        <w:t>是一个需要加强重视的优先问题。</w:t>
      </w:r>
      <w:r w:rsidRPr="00403B4F">
        <w:rPr>
          <w:rFonts w:eastAsiaTheme="minorEastAsia"/>
          <w:vertAlign w:val="superscript"/>
          <w:lang w:val="en-CA"/>
        </w:rPr>
        <w:footnoteReference w:id="132"/>
      </w:r>
      <w:r w:rsidRPr="00403B4F">
        <w:rPr>
          <w:rFonts w:eastAsiaTheme="minorEastAsia"/>
          <w:lang w:val="en-CA" w:eastAsia="zh-CN"/>
        </w:rPr>
        <w:t xml:space="preserve"> </w:t>
      </w:r>
      <w:r w:rsidRPr="00403B4F">
        <w:rPr>
          <w:rFonts w:eastAsiaTheme="minorEastAsia"/>
          <w:lang w:val="en-CA" w:eastAsia="zh-CN"/>
        </w:rPr>
        <w:t>此后缔约方取得了经验，制定了方法和工具用于评估治理情况和设计行动计划。这增加了对基本概念的理解，特别是公平性。</w:t>
      </w:r>
      <w:r w:rsidRPr="00403B4F">
        <w:rPr>
          <w:rFonts w:eastAsiaTheme="minorEastAsia"/>
          <w:vertAlign w:val="superscript"/>
          <w:lang w:val="en-CA"/>
        </w:rPr>
        <w:footnoteReference w:id="133"/>
      </w:r>
      <w:r w:rsidRPr="00403B4F">
        <w:rPr>
          <w:rFonts w:eastAsiaTheme="minorEastAsia"/>
          <w:lang w:val="en-CA" w:eastAsia="zh-CN"/>
        </w:rPr>
        <w:t xml:space="preserve"> </w:t>
      </w:r>
    </w:p>
    <w:p w:rsidR="005B4DE3" w:rsidRPr="00403B4F" w:rsidRDefault="005B4DE3" w:rsidP="00B63A75">
      <w:pPr>
        <w:numPr>
          <w:ilvl w:val="0"/>
          <w:numId w:val="124"/>
        </w:numPr>
        <w:tabs>
          <w:tab w:val="num" w:pos="720"/>
        </w:tabs>
        <w:adjustRightInd w:val="0"/>
        <w:snapToGrid w:val="0"/>
        <w:jc w:val="center"/>
        <w:rPr>
          <w:rFonts w:eastAsiaTheme="minorEastAsia"/>
          <w:b/>
          <w:lang w:eastAsia="zh-CN"/>
        </w:rPr>
      </w:pPr>
      <w:r w:rsidRPr="00403B4F">
        <w:rPr>
          <w:rFonts w:eastAsiaTheme="minorEastAsia"/>
          <w:b/>
          <w:lang w:eastAsia="zh-CN"/>
        </w:rPr>
        <w:t>关于治理多样性的自愿指导意见</w:t>
      </w:r>
    </w:p>
    <w:p w:rsidR="005B4DE3" w:rsidRPr="00403B4F" w:rsidRDefault="005B4DE3" w:rsidP="00403B4F">
      <w:pPr>
        <w:widowControl w:val="0"/>
        <w:numPr>
          <w:ilvl w:val="0"/>
          <w:numId w:val="106"/>
        </w:numPr>
        <w:tabs>
          <w:tab w:val="clear" w:pos="360"/>
          <w:tab w:val="num" w:pos="720"/>
        </w:tabs>
        <w:adjustRightInd w:val="0"/>
        <w:snapToGrid w:val="0"/>
        <w:rPr>
          <w:rFonts w:eastAsiaTheme="minorEastAsia"/>
          <w:lang w:val="en-CA" w:eastAsia="zh-CN"/>
        </w:rPr>
      </w:pPr>
      <w:r w:rsidRPr="00403B4F">
        <w:rPr>
          <w:rFonts w:eastAsiaTheme="minorEastAsia"/>
          <w:lang w:val="en-CA" w:eastAsia="zh-CN"/>
        </w:rPr>
        <w:t>《生物多样性公约》和国际自然保护联盟（自然保护联盟）按照谁有权责制定并执行决定，将保护区和养护区的治理分为四大类型：</w:t>
      </w:r>
      <w:r w:rsidRPr="00403B4F">
        <w:rPr>
          <w:rFonts w:eastAsiaTheme="minorEastAsia"/>
          <w:lang w:val="en-CA" w:eastAsia="zh-CN"/>
        </w:rPr>
        <w:t xml:space="preserve">(a) </w:t>
      </w:r>
      <w:r w:rsidRPr="00403B4F">
        <w:rPr>
          <w:rFonts w:eastAsiaTheme="minorEastAsia"/>
          <w:lang w:val="en-CA" w:eastAsia="zh-CN"/>
        </w:rPr>
        <w:t>政府治理；</w:t>
      </w:r>
      <w:r w:rsidRPr="00403B4F">
        <w:rPr>
          <w:rFonts w:eastAsiaTheme="minorEastAsia"/>
          <w:lang w:val="en-CA" w:eastAsia="zh-CN"/>
        </w:rPr>
        <w:t xml:space="preserve">(b) </w:t>
      </w:r>
      <w:r w:rsidRPr="00403B4F">
        <w:rPr>
          <w:rFonts w:eastAsiaTheme="minorEastAsia"/>
          <w:lang w:val="en-CA" w:eastAsia="zh-CN"/>
        </w:rPr>
        <w:t>共同治理（各方共同参与</w:t>
      </w:r>
      <w:r w:rsidRPr="00403B4F">
        <w:rPr>
          <w:rFonts w:eastAsiaTheme="minorEastAsia"/>
          <w:vertAlign w:val="superscript"/>
          <w:lang w:val="en-CA"/>
        </w:rPr>
        <w:footnoteReference w:id="134"/>
      </w:r>
      <w:r w:rsidRPr="00403B4F">
        <w:rPr>
          <w:rFonts w:eastAsiaTheme="minorEastAsia"/>
          <w:lang w:val="en-CA" w:eastAsia="zh-CN"/>
        </w:rPr>
        <w:t>）；</w:t>
      </w:r>
      <w:r w:rsidRPr="00403B4F">
        <w:rPr>
          <w:rFonts w:eastAsiaTheme="minorEastAsia"/>
          <w:lang w:val="en-CA" w:eastAsia="zh-CN"/>
        </w:rPr>
        <w:t xml:space="preserve">(c) </w:t>
      </w:r>
      <w:r w:rsidRPr="00403B4F">
        <w:rPr>
          <w:rFonts w:eastAsiaTheme="minorEastAsia"/>
          <w:lang w:val="en-CA" w:eastAsia="zh-CN"/>
        </w:rPr>
        <w:t>个人或组织治理（通常是土地所有者通过私人保护区方式）；</w:t>
      </w:r>
      <w:r w:rsidRPr="00403B4F">
        <w:rPr>
          <w:rFonts w:eastAsiaTheme="minorEastAsia"/>
          <w:lang w:val="en-CA" w:eastAsia="zh-CN"/>
        </w:rPr>
        <w:t xml:space="preserve">(d) </w:t>
      </w:r>
      <w:r w:rsidRPr="00403B4F">
        <w:rPr>
          <w:rFonts w:eastAsiaTheme="minorEastAsia"/>
          <w:lang w:val="en-CA" w:eastAsia="zh-CN"/>
        </w:rPr>
        <w:t>土著人民和（或）地方社区治理（通常称土著和社区保护区</w:t>
      </w:r>
      <w:r w:rsidRPr="00403B4F">
        <w:rPr>
          <w:rFonts w:eastAsiaTheme="minorEastAsia"/>
          <w:lang w:eastAsia="zh-CN"/>
        </w:rPr>
        <w:t>(</w:t>
      </w:r>
      <w:r w:rsidRPr="00403B4F">
        <w:rPr>
          <w:rFonts w:eastAsiaTheme="minorEastAsia"/>
          <w:kern w:val="22"/>
          <w:szCs w:val="22"/>
          <w:lang w:val="en-CA" w:eastAsia="ja-JP" w:bidi="th-TH"/>
        </w:rPr>
        <w:t>ICCAs</w:t>
      </w:r>
      <w:r w:rsidRPr="00403B4F">
        <w:rPr>
          <w:rFonts w:eastAsiaTheme="minorEastAsia"/>
          <w:lang w:eastAsia="zh-CN"/>
        </w:rPr>
        <w:t>)</w:t>
      </w:r>
      <w:r w:rsidRPr="00403B4F">
        <w:rPr>
          <w:rFonts w:eastAsiaTheme="minorEastAsia"/>
          <w:lang w:val="en-CA" w:eastAsia="zh-CN"/>
        </w:rPr>
        <w:t>或土著保护区）。</w:t>
      </w:r>
    </w:p>
    <w:p w:rsidR="005B4DE3" w:rsidRPr="00403B4F" w:rsidRDefault="005B4DE3" w:rsidP="00403B4F">
      <w:pPr>
        <w:widowControl w:val="0"/>
        <w:numPr>
          <w:ilvl w:val="0"/>
          <w:numId w:val="106"/>
        </w:numPr>
        <w:tabs>
          <w:tab w:val="clear" w:pos="360"/>
          <w:tab w:val="num" w:pos="720"/>
        </w:tabs>
        <w:adjustRightInd w:val="0"/>
        <w:snapToGrid w:val="0"/>
        <w:rPr>
          <w:rFonts w:eastAsiaTheme="minorEastAsia"/>
          <w:lang w:val="en-CA" w:eastAsia="zh-CN"/>
        </w:rPr>
      </w:pPr>
      <w:r w:rsidRPr="00403B4F">
        <w:rPr>
          <w:rFonts w:eastAsiaTheme="minorEastAsia"/>
          <w:lang w:val="en-CA" w:eastAsia="zh-CN"/>
        </w:rPr>
        <w:t>治理的多样性主要涉及现有的从法律规定和实践上一系列不同的治理类型和子类型，以及它们在实现就地保护方面的互补性。治理类型的概念还关系到一个特定类型是否符合特定情况。</w:t>
      </w:r>
      <w:r w:rsidRPr="00403B4F">
        <w:rPr>
          <w:rFonts w:eastAsiaTheme="minorEastAsia"/>
          <w:vertAlign w:val="superscript"/>
          <w:lang w:val="en-CA"/>
        </w:rPr>
        <w:footnoteReference w:id="135"/>
      </w:r>
      <w:r w:rsidRPr="00403B4F">
        <w:rPr>
          <w:rFonts w:eastAsiaTheme="minorEastAsia"/>
          <w:lang w:val="en-CA" w:eastAsia="zh-CN"/>
        </w:rPr>
        <w:t xml:space="preserve"> </w:t>
      </w:r>
    </w:p>
    <w:p w:rsidR="005B4DE3" w:rsidRPr="00403B4F" w:rsidRDefault="005B4DE3" w:rsidP="00403B4F">
      <w:pPr>
        <w:numPr>
          <w:ilvl w:val="0"/>
          <w:numId w:val="106"/>
        </w:numPr>
        <w:tabs>
          <w:tab w:val="clear" w:pos="360"/>
          <w:tab w:val="num" w:pos="720"/>
        </w:tabs>
        <w:adjustRightInd w:val="0"/>
        <w:snapToGrid w:val="0"/>
        <w:rPr>
          <w:rFonts w:eastAsiaTheme="minorEastAsia"/>
          <w:lang w:val="en-CA" w:eastAsia="zh-CN"/>
        </w:rPr>
      </w:pPr>
      <w:r w:rsidRPr="00403B4F">
        <w:rPr>
          <w:rFonts w:eastAsiaTheme="minorEastAsia"/>
          <w:lang w:val="en-CA" w:eastAsia="zh-CN"/>
        </w:rPr>
        <w:t>根据第</w:t>
      </w:r>
      <w:hyperlink r:id="rId51" w:history="1">
        <w:r w:rsidRPr="00403B4F">
          <w:rPr>
            <w:rFonts w:eastAsiaTheme="minorEastAsia"/>
            <w:color w:val="0000FF"/>
            <w:u w:val="single"/>
            <w:lang w:val="en-CA" w:eastAsia="zh-CN"/>
          </w:rPr>
          <w:t>VII/28</w:t>
        </w:r>
      </w:hyperlink>
      <w:r w:rsidRPr="00403B4F">
        <w:rPr>
          <w:rFonts w:eastAsiaTheme="minorEastAsia"/>
          <w:lang w:val="en-CA" w:eastAsia="zh-CN"/>
        </w:rPr>
        <w:t>号和第</w:t>
      </w:r>
      <w:hyperlink r:id="rId52" w:history="1">
        <w:r w:rsidRPr="00403B4F">
          <w:rPr>
            <w:rFonts w:eastAsiaTheme="minorEastAsia"/>
            <w:color w:val="0000FF"/>
            <w:spacing w:val="-1"/>
            <w:kern w:val="22"/>
            <w:u w:val="single"/>
            <w:lang w:val="en-CA" w:eastAsia="zh-CN"/>
          </w:rPr>
          <w:t>X/31</w:t>
        </w:r>
      </w:hyperlink>
      <w:r w:rsidRPr="00403B4F">
        <w:rPr>
          <w:rFonts w:eastAsiaTheme="minorEastAsia"/>
          <w:lang w:val="en-CA" w:eastAsia="zh-CN"/>
        </w:rPr>
        <w:t>号决定，本自愿指导意见提出在承认、支持、核实和协调、跟踪、监测和报告土著人民和地方社区、私人土地所有者和其他行为者自愿保护区方面可采取的措施。特别是在由土著人民和地方社区管理的领地和地区，应在获得土著人民和地方社区的</w:t>
      </w:r>
      <w:bookmarkStart w:id="81" w:name="_Hlk531069137"/>
      <w:r w:rsidRPr="00403B4F">
        <w:rPr>
          <w:rFonts w:eastAsiaTheme="minorEastAsia"/>
          <w:lang w:val="en-CA" w:eastAsia="zh-CN"/>
        </w:rPr>
        <w:t>自由、事先和知情同意，依照国家政策、规章和国情</w:t>
      </w:r>
      <w:bookmarkEnd w:id="81"/>
      <w:r w:rsidRPr="00403B4F">
        <w:rPr>
          <w:rFonts w:eastAsiaTheme="minorEastAsia"/>
          <w:lang w:val="en-CA" w:eastAsia="zh-CN"/>
        </w:rPr>
        <w:t>及适用国际义务和在尊重其权利、知识和制度的基础上，采取这些措施。此外，对于私人土地所有者的保护区，应经其批准并在尊重所有者权利和知识的基础上采取这些措施。</w:t>
      </w:r>
      <w:r w:rsidRPr="00403B4F">
        <w:rPr>
          <w:rFonts w:eastAsiaTheme="minorEastAsia"/>
          <w:vertAlign w:val="superscript"/>
          <w:lang w:val="en-CA"/>
        </w:rPr>
        <w:footnoteReference w:id="136"/>
      </w:r>
      <w:r w:rsidRPr="00403B4F">
        <w:rPr>
          <w:rFonts w:eastAsiaTheme="minorEastAsia"/>
          <w:lang w:val="en-CA" w:eastAsia="zh-CN"/>
        </w:rPr>
        <w:t xml:space="preserve"> </w:t>
      </w:r>
    </w:p>
    <w:p w:rsidR="005B4DE3" w:rsidRPr="00403B4F" w:rsidRDefault="005B4DE3" w:rsidP="00403B4F">
      <w:pPr>
        <w:numPr>
          <w:ilvl w:val="0"/>
          <w:numId w:val="106"/>
        </w:numPr>
        <w:tabs>
          <w:tab w:val="clear" w:pos="360"/>
          <w:tab w:val="num" w:pos="720"/>
        </w:tabs>
        <w:adjustRightInd w:val="0"/>
        <w:snapToGrid w:val="0"/>
        <w:rPr>
          <w:rFonts w:eastAsiaTheme="minorEastAsia"/>
          <w:lang w:val="en-CA" w:eastAsia="zh-CN"/>
        </w:rPr>
      </w:pPr>
      <w:r w:rsidRPr="00403B4F">
        <w:rPr>
          <w:rFonts w:eastAsiaTheme="minorEastAsia"/>
          <w:lang w:val="en-CA" w:eastAsia="zh-CN"/>
        </w:rPr>
        <w:t>建议采取以下措施加强和支持国家或国家以下级保护区和养护区系统的治理多样性：</w:t>
      </w:r>
    </w:p>
    <w:p w:rsidR="005B4DE3" w:rsidRPr="00403B4F" w:rsidRDefault="005B4DE3" w:rsidP="00B63A75">
      <w:pPr>
        <w:numPr>
          <w:ilvl w:val="0"/>
          <w:numId w:val="125"/>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与各利益攸关方协商制定高层政策或愿景声明，承认多样化的保护行为者及其对国家或国家以下级保护区系统的贡献。此种声明有助于为随后的立法调整建立框架，还可鼓励行为者采取就地保护举措；</w:t>
      </w:r>
      <w:r w:rsidRPr="00403B4F">
        <w:rPr>
          <w:rFonts w:eastAsiaTheme="minorEastAsia"/>
          <w:snapToGrid w:val="0"/>
          <w:szCs w:val="18"/>
          <w:vertAlign w:val="superscript"/>
          <w:lang w:val="en-CA"/>
        </w:rPr>
        <w:footnoteReference w:id="137"/>
      </w:r>
      <w:r w:rsidRPr="00403B4F">
        <w:rPr>
          <w:rFonts w:eastAsiaTheme="minorEastAsia"/>
          <w:snapToGrid w:val="0"/>
          <w:szCs w:val="18"/>
          <w:lang w:val="en-CA" w:eastAsia="zh-CN"/>
        </w:rPr>
        <w:t xml:space="preserve"> </w:t>
      </w:r>
    </w:p>
    <w:p w:rsidR="005B4DE3" w:rsidRPr="00403B4F" w:rsidRDefault="005B4DE3" w:rsidP="00B63A75">
      <w:pPr>
        <w:numPr>
          <w:ilvl w:val="0"/>
          <w:numId w:val="125"/>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lastRenderedPageBreak/>
        <w:t>促进不同治理类型的多点协调管理，以适当方式在较大规模陆地景观和海洋景观实现保护目标；</w:t>
      </w:r>
    </w:p>
    <w:p w:rsidR="005B4DE3" w:rsidRPr="00403B4F" w:rsidRDefault="005B4DE3" w:rsidP="00B63A75">
      <w:pPr>
        <w:numPr>
          <w:ilvl w:val="0"/>
          <w:numId w:val="125"/>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color w:val="000000"/>
          <w:szCs w:val="18"/>
          <w:lang w:val="en-CA" w:eastAsia="zh-CN"/>
        </w:rPr>
        <w:t>酌情与其他（国家以下级、部门）当局协调</w:t>
      </w:r>
      <w:r w:rsidRPr="00403B4F">
        <w:rPr>
          <w:rFonts w:eastAsiaTheme="minorEastAsia"/>
          <w:snapToGrid w:val="0"/>
          <w:szCs w:val="18"/>
          <w:lang w:val="en-CA" w:eastAsia="zh-CN"/>
        </w:rPr>
        <w:t>，澄清和确定国家或国家以下级保护区和养护区系统承认的所有相关国家和非国家行为者的体制任务、作用和责任；</w:t>
      </w:r>
    </w:p>
    <w:p w:rsidR="005B4DE3" w:rsidRPr="00403B4F" w:rsidRDefault="005B4DE3" w:rsidP="00B63A75">
      <w:pPr>
        <w:numPr>
          <w:ilvl w:val="0"/>
          <w:numId w:val="125"/>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以多利益攸关方协作方式开展一次系统级治理评估。这一评估</w:t>
      </w:r>
      <w:r w:rsidRPr="00403B4F">
        <w:rPr>
          <w:rFonts w:eastAsiaTheme="minorEastAsia"/>
          <w:snapToGrid w:val="0"/>
          <w:color w:val="000000"/>
          <w:szCs w:val="18"/>
          <w:lang w:val="en-CA" w:eastAsia="zh-CN"/>
        </w:rPr>
        <w:t>很大程度上是对</w:t>
      </w:r>
      <w:r w:rsidRPr="00403B4F">
        <w:rPr>
          <w:rFonts w:eastAsiaTheme="minorEastAsia"/>
          <w:snapToGrid w:val="0"/>
          <w:szCs w:val="18"/>
          <w:lang w:val="en-CA" w:eastAsia="zh-CN"/>
        </w:rPr>
        <w:t>现有国家或国家以下级保护区网络与潜在的可实现地区保护之间的差距进行一次分析，如果由各类行为者和办法实际保护或养护和养护的地区得到承认并被</w:t>
      </w:r>
      <w:r w:rsidRPr="00403B4F">
        <w:rPr>
          <w:rFonts w:eastAsiaTheme="minorEastAsia"/>
          <w:snapToGrid w:val="0"/>
          <w:color w:val="000000"/>
          <w:szCs w:val="18"/>
          <w:lang w:val="en-CA" w:eastAsia="zh-CN"/>
        </w:rPr>
        <w:t>鼓励和支持承担或分担责任</w:t>
      </w:r>
      <w:r w:rsidRPr="00403B4F">
        <w:rPr>
          <w:rFonts w:eastAsiaTheme="minorEastAsia"/>
          <w:snapToGrid w:val="0"/>
          <w:szCs w:val="18"/>
          <w:lang w:val="en-CA" w:eastAsia="zh-CN"/>
        </w:rPr>
        <w:t>；</w:t>
      </w:r>
      <w:r w:rsidRPr="00403B4F">
        <w:rPr>
          <w:rFonts w:eastAsiaTheme="minorEastAsia"/>
          <w:snapToGrid w:val="0"/>
          <w:color w:val="000000"/>
          <w:szCs w:val="18"/>
          <w:vertAlign w:val="superscript"/>
          <w:lang w:val="en-CA"/>
        </w:rPr>
        <w:footnoteReference w:id="138"/>
      </w:r>
      <w:r w:rsidRPr="00403B4F">
        <w:rPr>
          <w:rFonts w:eastAsiaTheme="minorEastAsia"/>
          <w:snapToGrid w:val="0"/>
          <w:szCs w:val="18"/>
          <w:vertAlign w:val="superscript"/>
          <w:lang w:val="en-CA" w:eastAsia="zh-CN"/>
        </w:rPr>
        <w:t>,</w:t>
      </w:r>
      <w:r w:rsidRPr="00403B4F">
        <w:rPr>
          <w:rFonts w:eastAsiaTheme="minorEastAsia"/>
          <w:snapToGrid w:val="0"/>
          <w:color w:val="000000"/>
          <w:szCs w:val="18"/>
          <w:vertAlign w:val="superscript"/>
          <w:lang w:val="en-CA"/>
        </w:rPr>
        <w:footnoteReference w:id="139"/>
      </w:r>
    </w:p>
    <w:p w:rsidR="005B4DE3" w:rsidRPr="00403B4F" w:rsidRDefault="005B4DE3" w:rsidP="00B63A75">
      <w:pPr>
        <w:numPr>
          <w:ilvl w:val="0"/>
          <w:numId w:val="125"/>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通过适当手段并根据国家法律，促进对不同治理类型的保护区和养护区的协调监测和报告</w:t>
      </w:r>
      <w:r w:rsidRPr="00403B4F">
        <w:rPr>
          <w:rFonts w:eastAsiaTheme="minorEastAsia"/>
          <w:snapToGrid w:val="0"/>
          <w:spacing w:val="-20"/>
          <w:szCs w:val="18"/>
          <w:lang w:val="en-CA" w:eastAsia="zh-CN"/>
        </w:rPr>
        <w:t>，包括向《世界保护区数据库》报告，同时适当考虑其对目标</w:t>
      </w:r>
      <w:r w:rsidRPr="00403B4F">
        <w:rPr>
          <w:rFonts w:eastAsiaTheme="minorEastAsia"/>
          <w:snapToGrid w:val="0"/>
          <w:szCs w:val="18"/>
          <w:lang w:val="en-CA" w:eastAsia="zh-CN"/>
        </w:rPr>
        <w:t>11</w:t>
      </w:r>
      <w:r w:rsidRPr="00403B4F">
        <w:rPr>
          <w:rFonts w:eastAsiaTheme="minorEastAsia"/>
          <w:snapToGrid w:val="0"/>
          <w:szCs w:val="18"/>
          <w:lang w:val="en-CA" w:eastAsia="zh-CN"/>
        </w:rPr>
        <w:t>要素的贡献；</w:t>
      </w:r>
    </w:p>
    <w:p w:rsidR="005B4DE3" w:rsidRPr="00403B4F" w:rsidRDefault="005B4DE3" w:rsidP="00B63A75">
      <w:pPr>
        <w:widowControl w:val="0"/>
        <w:numPr>
          <w:ilvl w:val="0"/>
          <w:numId w:val="125"/>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根据评估中找到的机会并根据第</w:t>
      </w:r>
      <w:r w:rsidRPr="00403B4F">
        <w:rPr>
          <w:rFonts w:eastAsiaTheme="minorEastAsia"/>
          <w:snapToGrid w:val="0"/>
          <w:szCs w:val="18"/>
          <w:lang w:val="en-CA" w:eastAsia="zh-CN"/>
        </w:rPr>
        <w:t>X/31</w:t>
      </w:r>
      <w:r w:rsidRPr="00403B4F">
        <w:rPr>
          <w:rFonts w:eastAsiaTheme="minorEastAsia"/>
          <w:snapToGrid w:val="0"/>
          <w:szCs w:val="18"/>
          <w:lang w:val="en-CA" w:eastAsia="zh-CN"/>
        </w:rPr>
        <w:t>号决定，审查和修订保护区和养护区政策、法律和监管框架，以激励和从法律上承认不同的治理类型；</w:t>
      </w:r>
      <w:r w:rsidRPr="00403B4F">
        <w:rPr>
          <w:rFonts w:eastAsiaTheme="minorEastAsia"/>
          <w:snapToGrid w:val="0"/>
          <w:szCs w:val="18"/>
          <w:vertAlign w:val="superscript"/>
          <w:lang w:val="en-CA"/>
        </w:rPr>
        <w:footnoteReference w:id="140"/>
      </w:r>
      <w:r w:rsidRPr="00403B4F">
        <w:rPr>
          <w:rFonts w:eastAsiaTheme="minorEastAsia"/>
          <w:snapToGrid w:val="0"/>
          <w:szCs w:val="18"/>
          <w:lang w:val="en-CA" w:eastAsia="zh-CN"/>
        </w:rPr>
        <w:t xml:space="preserve"> </w:t>
      </w:r>
    </w:p>
    <w:p w:rsidR="005B4DE3" w:rsidRPr="00403B4F" w:rsidRDefault="005B4DE3" w:rsidP="00B63A75">
      <w:pPr>
        <w:widowControl w:val="0"/>
        <w:numPr>
          <w:ilvl w:val="0"/>
          <w:numId w:val="125"/>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通过适当手段支持和确保所有</w:t>
      </w:r>
      <w:bookmarkStart w:id="82" w:name="_Hlk531068467"/>
      <w:r w:rsidRPr="00403B4F">
        <w:rPr>
          <w:rFonts w:eastAsiaTheme="minorEastAsia"/>
          <w:snapToGrid w:val="0"/>
          <w:szCs w:val="18"/>
          <w:lang w:val="en-CA" w:eastAsia="zh-CN"/>
        </w:rPr>
        <w:t>治理类型</w:t>
      </w:r>
      <w:bookmarkEnd w:id="82"/>
      <w:r w:rsidRPr="00403B4F">
        <w:rPr>
          <w:rFonts w:eastAsiaTheme="minorEastAsia"/>
          <w:snapToGrid w:val="0"/>
          <w:szCs w:val="18"/>
          <w:lang w:val="en-CA" w:eastAsia="zh-CN"/>
        </w:rPr>
        <w:t>的保护区和养护区的保护地位并加强这些治理类型的管理；</w:t>
      </w:r>
    </w:p>
    <w:p w:rsidR="005B4DE3" w:rsidRPr="00403B4F" w:rsidRDefault="005B4DE3" w:rsidP="00B63A75">
      <w:pPr>
        <w:numPr>
          <w:ilvl w:val="0"/>
          <w:numId w:val="125"/>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支持按治理类型成立国家保护区和养护区协会或联盟（如土著和社区养护区联盟、私有保护区协会），以提供同行支持机制；</w:t>
      </w:r>
    </w:p>
    <w:p w:rsidR="005B4DE3" w:rsidRPr="00403B4F" w:rsidRDefault="005B4DE3" w:rsidP="00B63A75">
      <w:pPr>
        <w:numPr>
          <w:ilvl w:val="0"/>
          <w:numId w:val="125"/>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通过测绘和其他适当手段，核实这些地区在覆盖面和保护状况方面对全面实现国家保护区系统的贡献。</w:t>
      </w:r>
    </w:p>
    <w:p w:rsidR="005B4DE3" w:rsidRPr="00403B4F" w:rsidRDefault="005B4DE3" w:rsidP="00B63A75">
      <w:pPr>
        <w:numPr>
          <w:ilvl w:val="0"/>
          <w:numId w:val="124"/>
        </w:numPr>
        <w:adjustRightInd w:val="0"/>
        <w:snapToGrid w:val="0"/>
        <w:jc w:val="center"/>
        <w:rPr>
          <w:rFonts w:eastAsiaTheme="minorEastAsia"/>
          <w:b/>
          <w:lang w:eastAsia="zh-CN"/>
        </w:rPr>
      </w:pPr>
      <w:r w:rsidRPr="00403B4F">
        <w:rPr>
          <w:rFonts w:eastAsiaTheme="minorEastAsia"/>
          <w:b/>
          <w:lang w:eastAsia="zh-CN"/>
        </w:rPr>
        <w:t xml:space="preserve"> </w:t>
      </w:r>
      <w:r w:rsidRPr="00403B4F">
        <w:rPr>
          <w:rFonts w:eastAsiaTheme="minorEastAsia"/>
          <w:b/>
          <w:lang w:eastAsia="zh-CN"/>
        </w:rPr>
        <w:t>关于有效和公平治理模式的自愿指导意见</w:t>
      </w:r>
    </w:p>
    <w:p w:rsidR="005B4DE3" w:rsidRPr="00403B4F" w:rsidRDefault="005B4DE3" w:rsidP="00403B4F">
      <w:pPr>
        <w:numPr>
          <w:ilvl w:val="0"/>
          <w:numId w:val="106"/>
        </w:numPr>
        <w:tabs>
          <w:tab w:val="clear" w:pos="360"/>
          <w:tab w:val="num" w:pos="720"/>
        </w:tabs>
        <w:adjustRightInd w:val="0"/>
        <w:snapToGrid w:val="0"/>
        <w:rPr>
          <w:rFonts w:eastAsiaTheme="minorEastAsia"/>
          <w:lang w:val="en-CA" w:eastAsia="zh-CN"/>
        </w:rPr>
      </w:pPr>
      <w:r w:rsidRPr="00403B4F">
        <w:rPr>
          <w:rFonts w:eastAsiaTheme="minorEastAsia"/>
          <w:lang w:val="en-CA" w:eastAsia="zh-CN"/>
        </w:rPr>
        <w:t>保护区和养护区的有效和公平治理模式是决策和执行决策的安排，通过这种安排使</w:t>
      </w:r>
      <w:r w:rsidRPr="00084B39">
        <w:rPr>
          <w:rFonts w:asciiTheme="minorEastAsia" w:eastAsiaTheme="minorEastAsia" w:hAnsiTheme="minorEastAsia"/>
          <w:lang w:val="en-CA" w:eastAsia="zh-CN"/>
        </w:rPr>
        <w:t>“善治”</w:t>
      </w:r>
      <w:r w:rsidRPr="00403B4F">
        <w:rPr>
          <w:rFonts w:eastAsiaTheme="minorEastAsia"/>
          <w:lang w:val="en-CA" w:eastAsia="zh-CN"/>
        </w:rPr>
        <w:t>原则获得采用和实施。应实施善治原则，而不论治理属于何种类型。根据联合国机构和其他组织制定的善治原则，自然保护联盟提出了关于保护区和养护区的治理原则和考虑因素，作为合法、胜任、包容、公正、有远见、负责任和在尊重权利的前提下进行决策和执行决策的指南。</w:t>
      </w:r>
      <w:r w:rsidRPr="00403B4F">
        <w:rPr>
          <w:rFonts w:eastAsiaTheme="minorEastAsia"/>
          <w:vertAlign w:val="superscript"/>
          <w:lang w:val="en-CA"/>
        </w:rPr>
        <w:footnoteReference w:id="141"/>
      </w:r>
      <w:r w:rsidRPr="00403B4F">
        <w:rPr>
          <w:rFonts w:eastAsiaTheme="minorEastAsia"/>
          <w:lang w:val="en-CA" w:eastAsia="zh-CN"/>
        </w:rPr>
        <w:t xml:space="preserve"> </w:t>
      </w:r>
    </w:p>
    <w:p w:rsidR="005B4DE3" w:rsidRPr="00403B4F" w:rsidRDefault="005B4DE3" w:rsidP="00403B4F">
      <w:pPr>
        <w:numPr>
          <w:ilvl w:val="0"/>
          <w:numId w:val="106"/>
        </w:numPr>
        <w:tabs>
          <w:tab w:val="clear" w:pos="360"/>
          <w:tab w:val="num" w:pos="720"/>
        </w:tabs>
        <w:adjustRightInd w:val="0"/>
        <w:snapToGrid w:val="0"/>
        <w:rPr>
          <w:rFonts w:eastAsiaTheme="minorEastAsia"/>
          <w:lang w:val="en-CA" w:eastAsia="zh-CN"/>
        </w:rPr>
      </w:pPr>
      <w:r w:rsidRPr="00403B4F">
        <w:rPr>
          <w:rFonts w:eastAsiaTheme="minorEastAsia"/>
          <w:lang w:val="en-CA" w:eastAsia="zh-CN"/>
        </w:rPr>
        <w:lastRenderedPageBreak/>
        <w:t>公平概念是善治的要素之一。公平可分为三个维度：承认、程序和分配。</w:t>
      </w:r>
      <w:r w:rsidRPr="00084B39">
        <w:rPr>
          <w:rFonts w:asciiTheme="minorEastAsia" w:eastAsiaTheme="minorEastAsia" w:hAnsiTheme="minorEastAsia"/>
          <w:lang w:val="en-CA" w:eastAsia="zh-CN"/>
        </w:rPr>
        <w:t>“承认”是指承认并尊重权利持有人</w:t>
      </w:r>
      <w:r w:rsidRPr="00403B4F">
        <w:rPr>
          <w:rFonts w:eastAsiaTheme="minorEastAsia"/>
          <w:vertAlign w:val="superscript"/>
          <w:lang w:val="en-CA"/>
        </w:rPr>
        <w:footnoteReference w:id="142"/>
      </w:r>
      <w:r w:rsidRPr="00403B4F">
        <w:rPr>
          <w:rFonts w:eastAsiaTheme="minorEastAsia"/>
          <w:lang w:val="en-CA" w:eastAsia="zh-CN"/>
        </w:rPr>
        <w:t xml:space="preserve"> </w:t>
      </w:r>
      <w:r w:rsidRPr="00403B4F">
        <w:rPr>
          <w:rFonts w:eastAsiaTheme="minorEastAsia"/>
          <w:lang w:val="en-CA" w:eastAsia="zh-CN"/>
        </w:rPr>
        <w:t>和利益攸关方的权利及权利持有人和利益攸关方身份、价值观、知识体系和制度的多样性；</w:t>
      </w:r>
      <w:r w:rsidRPr="00084B39">
        <w:rPr>
          <w:rFonts w:asciiTheme="minorEastAsia" w:eastAsiaTheme="minorEastAsia" w:hAnsiTheme="minorEastAsia"/>
          <w:lang w:val="en-CA" w:eastAsia="zh-CN"/>
        </w:rPr>
        <w:t>“程序”指规则和决策的包容性；“分配”</w:t>
      </w:r>
      <w:r w:rsidRPr="00403B4F">
        <w:rPr>
          <w:rFonts w:eastAsiaTheme="minorEastAsia"/>
          <w:lang w:val="en-CA" w:eastAsia="zh-CN"/>
        </w:rPr>
        <w:t>意味着保护区管理所产生的成本和惠益必须在不同行为者之间公平分享。下图显示了这三个维度。最近制定的旨在促进保护区公平性的框架</w:t>
      </w:r>
      <w:r w:rsidRPr="00403B4F">
        <w:rPr>
          <w:rFonts w:eastAsiaTheme="minorEastAsia"/>
          <w:vertAlign w:val="superscript"/>
          <w:lang w:val="en-CA"/>
        </w:rPr>
        <w:footnoteReference w:id="143"/>
      </w:r>
      <w:r w:rsidRPr="00403B4F">
        <w:rPr>
          <w:rFonts w:eastAsiaTheme="minorEastAsia"/>
          <w:vertAlign w:val="superscript"/>
          <w:lang w:val="en-CA" w:eastAsia="zh-CN"/>
        </w:rPr>
        <w:t>,</w:t>
      </w:r>
      <w:r w:rsidRPr="00403B4F">
        <w:rPr>
          <w:rFonts w:eastAsiaTheme="minorEastAsia"/>
          <w:vertAlign w:val="superscript"/>
          <w:lang w:val="en-CA"/>
        </w:rPr>
        <w:footnoteReference w:id="144"/>
      </w:r>
      <w:r w:rsidRPr="00403B4F">
        <w:rPr>
          <w:rFonts w:eastAsiaTheme="minorEastAsia"/>
          <w:vertAlign w:val="superscript"/>
          <w:lang w:val="en-CA" w:eastAsia="zh-CN"/>
        </w:rPr>
        <w:t xml:space="preserve"> </w:t>
      </w:r>
      <w:r w:rsidRPr="00403B4F">
        <w:rPr>
          <w:rFonts w:eastAsiaTheme="minorEastAsia"/>
          <w:lang w:val="en-CA" w:eastAsia="zh-CN"/>
        </w:rPr>
        <w:t>提出了一套原则，用于评估这三个维度。</w:t>
      </w:r>
    </w:p>
    <w:p w:rsidR="005B4DE3" w:rsidRPr="00403B4F" w:rsidRDefault="005B4DE3" w:rsidP="00403B4F">
      <w:pPr>
        <w:adjustRightInd w:val="0"/>
        <w:snapToGrid w:val="0"/>
        <w:rPr>
          <w:rFonts w:eastAsiaTheme="minorEastAsia"/>
          <w:b/>
          <w:lang w:eastAsia="zh-CN"/>
        </w:rPr>
      </w:pPr>
      <w:r w:rsidRPr="00403B4F">
        <w:rPr>
          <w:rFonts w:eastAsiaTheme="minorEastAsia"/>
          <w:b/>
          <w:lang w:eastAsia="zh-CN"/>
        </w:rPr>
        <w:t>图</w:t>
      </w:r>
      <w:r w:rsidRPr="00403B4F">
        <w:rPr>
          <w:rFonts w:eastAsiaTheme="minorEastAsia"/>
          <w:b/>
          <w:lang w:eastAsia="zh-CN"/>
        </w:rPr>
        <w:t>.</w:t>
      </w:r>
      <w:r w:rsidRPr="00403B4F">
        <w:rPr>
          <w:rFonts w:eastAsiaTheme="minorEastAsia"/>
          <w:b/>
          <w:lang w:eastAsia="zh-CN"/>
        </w:rPr>
        <w:t>公平性的三个维度及其有利条件</w:t>
      </w:r>
    </w:p>
    <w:p w:rsidR="005B4DE3" w:rsidRPr="0043005D" w:rsidRDefault="005B4DE3" w:rsidP="005B4DE3">
      <w:pPr>
        <w:adjustRightInd w:val="0"/>
        <w:snapToGrid w:val="0"/>
        <w:ind w:left="1960"/>
        <w:rPr>
          <w:rFonts w:ascii="SimSun" w:hAnsi="SimSun" w:cs="Courier New"/>
        </w:rPr>
      </w:pPr>
      <w:r w:rsidRPr="0043005D">
        <w:rPr>
          <w:rFonts w:eastAsia="Times New Roman"/>
          <w:noProof/>
          <w:kern w:val="22"/>
          <w:lang w:eastAsia="zh-CN"/>
        </w:rPr>
        <w:drawing>
          <wp:inline distT="0" distB="0" distL="0" distR="0">
            <wp:extent cx="2571750" cy="2049624"/>
            <wp:effectExtent l="0" t="0" r="0" b="8255"/>
            <wp:docPr id="5" name="Picture 5" descr="cid:image002.png@01D3C061.9532E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2.png@01D3C061.9532EE20"/>
                    <pic:cNvPicPr>
                      <a:picLocks noChangeAspect="1" noChangeArrowheads="1"/>
                    </pic:cNvPicPr>
                  </pic:nvPicPr>
                  <pic:blipFill>
                    <a:blip r:embed="rId53" r:link="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049624"/>
                    </a:xfrm>
                    <a:prstGeom prst="rect">
                      <a:avLst/>
                    </a:prstGeom>
                    <a:noFill/>
                    <a:ln>
                      <a:noFill/>
                    </a:ln>
                  </pic:spPr>
                </pic:pic>
              </a:graphicData>
            </a:graphic>
          </wp:inline>
        </w:drawing>
      </w:r>
    </w:p>
    <w:p w:rsidR="005B4DE3" w:rsidRPr="00403B4F" w:rsidRDefault="005B4DE3" w:rsidP="005B4DE3">
      <w:pPr>
        <w:adjustRightInd w:val="0"/>
        <w:snapToGrid w:val="0"/>
        <w:rPr>
          <w:rFonts w:ascii="KaiTi" w:eastAsia="KaiTi" w:hAnsi="KaiTi" w:cs="Courier New"/>
          <w:szCs w:val="20"/>
        </w:rPr>
      </w:pPr>
      <w:r w:rsidRPr="00403B4F">
        <w:rPr>
          <w:rFonts w:ascii="KaiTi" w:eastAsia="KaiTi" w:hAnsi="KaiTi" w:cs="Microsoft YaHei" w:hint="eastAsia"/>
          <w:szCs w:val="20"/>
          <w:lang w:eastAsia="zh-CN"/>
        </w:rPr>
        <w:t>来源：改编自</w:t>
      </w:r>
      <w:r w:rsidRPr="00403B4F">
        <w:rPr>
          <w:rFonts w:ascii="KaiTi" w:eastAsia="KaiTi" w:hAnsi="KaiTi"/>
          <w:szCs w:val="20"/>
          <w:lang w:eastAsia="zh-CN"/>
        </w:rPr>
        <w:t>McDermott</w:t>
      </w:r>
      <w:r w:rsidRPr="00403B4F">
        <w:rPr>
          <w:rFonts w:ascii="KaiTi" w:eastAsia="KaiTi" w:hAnsi="KaiTi" w:cs="Microsoft YaHei" w:hint="eastAsia"/>
          <w:szCs w:val="20"/>
          <w:lang w:eastAsia="zh-CN"/>
        </w:rPr>
        <w:t>等</w:t>
      </w:r>
      <w:r w:rsidRPr="00403B4F">
        <w:rPr>
          <w:rFonts w:ascii="KaiTi" w:eastAsia="KaiTi" w:hAnsi="KaiTi"/>
          <w:szCs w:val="20"/>
          <w:lang w:eastAsia="zh-CN"/>
        </w:rPr>
        <w:t>（2013），</w:t>
      </w:r>
      <w:r w:rsidRPr="00403B4F">
        <w:rPr>
          <w:rFonts w:ascii="KaiTi" w:eastAsia="KaiTi" w:hAnsi="KaiTi" w:cs="Microsoft YaHei" w:hint="eastAsia"/>
          <w:szCs w:val="20"/>
          <w:lang w:eastAsia="zh-CN"/>
        </w:rPr>
        <w:t>“检查公平性：评估生态系统服务费用支付公平性的多维框架”，《环境科学与政策》</w:t>
      </w:r>
      <w:r w:rsidRPr="00403B4F">
        <w:rPr>
          <w:rFonts w:ascii="KaiTi" w:eastAsia="KaiTi" w:hAnsi="KaiTi"/>
          <w:szCs w:val="20"/>
          <w:lang w:eastAsia="zh-CN"/>
        </w:rPr>
        <w:t>33：416-427</w:t>
      </w:r>
      <w:r w:rsidRPr="00403B4F">
        <w:rPr>
          <w:rFonts w:ascii="KaiTi" w:eastAsia="KaiTi" w:hAnsi="KaiTi" w:hint="eastAsia"/>
          <w:szCs w:val="20"/>
          <w:lang w:eastAsia="zh-CN"/>
        </w:rPr>
        <w:t>，</w:t>
      </w:r>
      <w:r w:rsidRPr="00403B4F">
        <w:rPr>
          <w:rFonts w:ascii="KaiTi" w:eastAsia="KaiTi" w:hAnsi="KaiTi"/>
          <w:szCs w:val="20"/>
          <w:lang w:eastAsia="zh-CN"/>
        </w:rPr>
        <w:t>Pascual等（2014</w:t>
      </w:r>
      <w:r w:rsidRPr="00403B4F">
        <w:rPr>
          <w:rFonts w:ascii="KaiTi" w:eastAsia="KaiTi" w:hAnsi="KaiTi" w:hint="eastAsia"/>
          <w:szCs w:val="20"/>
          <w:lang w:eastAsia="zh-CN"/>
        </w:rPr>
        <w:t>年</w:t>
      </w:r>
      <w:r w:rsidRPr="00403B4F">
        <w:rPr>
          <w:rFonts w:ascii="KaiTi" w:eastAsia="KaiTi" w:hAnsi="KaiTi"/>
          <w:szCs w:val="20"/>
          <w:lang w:eastAsia="zh-CN"/>
        </w:rPr>
        <w:t>），</w:t>
      </w:r>
      <w:r w:rsidRPr="00403B4F">
        <w:rPr>
          <w:rFonts w:ascii="KaiTi" w:eastAsia="KaiTi" w:hAnsi="KaiTi" w:cs="Microsoft YaHei" w:hint="eastAsia"/>
          <w:szCs w:val="20"/>
          <w:lang w:eastAsia="zh-CN"/>
        </w:rPr>
        <w:t>“生态系统服务费用支付中的社会公平很重要”。</w:t>
      </w:r>
      <w:r w:rsidRPr="00403B4F">
        <w:rPr>
          <w:rFonts w:ascii="KaiTi" w:eastAsia="KaiTi" w:hAnsi="KaiTi" w:cs="Microsoft YaHei" w:hint="eastAsia"/>
          <w:szCs w:val="20"/>
        </w:rPr>
        <w:t>《生物科学》</w:t>
      </w:r>
      <w:r w:rsidRPr="00403B4F">
        <w:rPr>
          <w:rFonts w:ascii="KaiTi" w:eastAsia="KaiTi" w:hAnsi="KaiTi"/>
          <w:szCs w:val="20"/>
        </w:rPr>
        <w:t>64（11）1027-1036</w:t>
      </w:r>
      <w:r w:rsidRPr="00403B4F">
        <w:rPr>
          <w:rFonts w:ascii="KaiTi" w:eastAsia="KaiTi" w:hAnsi="KaiTi" w:cs="Microsoft YaHei" w:hint="eastAsia"/>
          <w:szCs w:val="20"/>
        </w:rPr>
        <w:t>。</w:t>
      </w:r>
    </w:p>
    <w:p w:rsidR="005B4DE3" w:rsidRPr="00403B4F" w:rsidRDefault="005B4DE3" w:rsidP="0069530A">
      <w:pPr>
        <w:widowControl w:val="0"/>
        <w:numPr>
          <w:ilvl w:val="0"/>
          <w:numId w:val="106"/>
        </w:numPr>
        <w:tabs>
          <w:tab w:val="clear" w:pos="360"/>
          <w:tab w:val="num" w:pos="720"/>
        </w:tabs>
        <w:adjustRightInd w:val="0"/>
        <w:snapToGrid w:val="0"/>
        <w:rPr>
          <w:rFonts w:eastAsiaTheme="minorEastAsia"/>
          <w:lang w:val="en-CA" w:eastAsia="zh-CN"/>
        </w:rPr>
      </w:pPr>
      <w:r w:rsidRPr="00403B4F">
        <w:rPr>
          <w:rFonts w:eastAsiaTheme="minorEastAsia"/>
          <w:lang w:val="en-CA" w:eastAsia="zh-CN"/>
        </w:rPr>
        <w:t>善治意味着可能的负面影响，特别是对弱势和靠自然资源维生的群体的福祉的负面影响得到评估、监测和避免，而正面影响得到加强。治理类型以及决策和执行决策的安排要符合具体情况，确保受保护区影响的权利持有人和利益攸关方能够有效参与。</w:t>
      </w:r>
    </w:p>
    <w:p w:rsidR="005B4DE3" w:rsidRPr="00403B4F" w:rsidRDefault="005B4DE3" w:rsidP="0069530A">
      <w:pPr>
        <w:numPr>
          <w:ilvl w:val="0"/>
          <w:numId w:val="106"/>
        </w:numPr>
        <w:tabs>
          <w:tab w:val="clear" w:pos="360"/>
          <w:tab w:val="num" w:pos="720"/>
        </w:tabs>
        <w:adjustRightInd w:val="0"/>
        <w:snapToGrid w:val="0"/>
        <w:rPr>
          <w:rFonts w:eastAsiaTheme="minorEastAsia"/>
          <w:lang w:val="en-CA" w:eastAsia="zh-CN"/>
        </w:rPr>
      </w:pPr>
      <w:r w:rsidRPr="00403B4F">
        <w:rPr>
          <w:rFonts w:eastAsiaTheme="minorEastAsia"/>
          <w:lang w:val="en-CA" w:eastAsia="zh-CN"/>
        </w:rPr>
        <w:t>保护区和养护区有效和公平管理模式的要素包括：</w:t>
      </w:r>
    </w:p>
    <w:p w:rsidR="005B4DE3" w:rsidRPr="00403B4F" w:rsidRDefault="005B4DE3" w:rsidP="0069530A">
      <w:pPr>
        <w:numPr>
          <w:ilvl w:val="0"/>
          <w:numId w:val="109"/>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土著人民和地方社区根据国家立法和顺应监管体制，充分和有效参与的适当程序和机制，</w:t>
      </w:r>
      <w:r w:rsidRPr="00403B4F">
        <w:rPr>
          <w:rFonts w:eastAsiaTheme="minorEastAsia"/>
          <w:snapToGrid w:val="0"/>
          <w:szCs w:val="18"/>
          <w:vertAlign w:val="superscript"/>
          <w:lang w:val="en-CA"/>
        </w:rPr>
        <w:footnoteReference w:id="145"/>
      </w:r>
      <w:r w:rsidRPr="00403B4F">
        <w:rPr>
          <w:rFonts w:eastAsiaTheme="minorEastAsia"/>
          <w:snapToGrid w:val="0"/>
          <w:szCs w:val="18"/>
          <w:vertAlign w:val="superscript"/>
          <w:lang w:val="en-CA" w:eastAsia="zh-CN"/>
        </w:rPr>
        <w:t xml:space="preserve"> </w:t>
      </w:r>
      <w:r w:rsidRPr="00403B4F">
        <w:rPr>
          <w:rFonts w:eastAsiaTheme="minorEastAsia"/>
          <w:snapToGrid w:val="0"/>
          <w:szCs w:val="18"/>
          <w:lang w:val="en-CA" w:eastAsia="zh-CN"/>
        </w:rPr>
        <w:t>确保性别平等，充分尊重其权利并承认其责任，并确保其合法代表性，包括在其传统领地（土地和水域）建立、治理、规划、监测和报告保护区和养护区方面；</w:t>
      </w:r>
      <w:r w:rsidRPr="00403B4F">
        <w:rPr>
          <w:rFonts w:eastAsiaTheme="minorEastAsia"/>
          <w:snapToGrid w:val="0"/>
          <w:szCs w:val="18"/>
          <w:vertAlign w:val="superscript"/>
          <w:lang w:val="en-CA"/>
        </w:rPr>
        <w:footnoteReference w:id="146"/>
      </w:r>
      <w:r w:rsidRPr="00403B4F">
        <w:rPr>
          <w:rFonts w:eastAsiaTheme="minorEastAsia"/>
          <w:snapToGrid w:val="0"/>
          <w:szCs w:val="18"/>
          <w:vertAlign w:val="superscript"/>
          <w:lang w:val="en-CA" w:eastAsia="zh-CN"/>
        </w:rPr>
        <w:t xml:space="preserve"> </w:t>
      </w:r>
    </w:p>
    <w:p w:rsidR="005B4DE3" w:rsidRPr="00403B4F" w:rsidRDefault="005B4DE3" w:rsidP="0069530A">
      <w:pPr>
        <w:numPr>
          <w:ilvl w:val="0"/>
          <w:numId w:val="109"/>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lastRenderedPageBreak/>
        <w:t>其他利益攸关方有效参与和（或）协调的适当程序和机制；</w:t>
      </w:r>
    </w:p>
    <w:p w:rsidR="005B4DE3" w:rsidRPr="00403B4F" w:rsidRDefault="005B4DE3" w:rsidP="0069530A">
      <w:pPr>
        <w:numPr>
          <w:ilvl w:val="0"/>
          <w:numId w:val="109"/>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承认和容许保护区习惯保有权和治理制度的适当程序和机制，</w:t>
      </w:r>
      <w:r w:rsidRPr="00403B4F">
        <w:rPr>
          <w:rFonts w:eastAsiaTheme="minorEastAsia"/>
          <w:snapToGrid w:val="0"/>
          <w:szCs w:val="18"/>
          <w:vertAlign w:val="superscript"/>
          <w:lang w:val="en-CA"/>
        </w:rPr>
        <w:footnoteReference w:id="147"/>
      </w:r>
      <w:r w:rsidRPr="00403B4F">
        <w:rPr>
          <w:rFonts w:eastAsiaTheme="minorEastAsia"/>
          <w:snapToGrid w:val="0"/>
          <w:szCs w:val="18"/>
          <w:vertAlign w:val="superscript"/>
          <w:lang w:val="en-CA" w:eastAsia="zh-CN"/>
        </w:rPr>
        <w:t xml:space="preserve"> </w:t>
      </w:r>
      <w:r w:rsidRPr="00403B4F">
        <w:rPr>
          <w:rFonts w:eastAsiaTheme="minorEastAsia"/>
          <w:snapToGrid w:val="0"/>
          <w:szCs w:val="18"/>
          <w:lang w:val="en-CA" w:eastAsia="zh-CN"/>
        </w:rPr>
        <w:t>包括符合《可持续习惯使用行动计划》的习惯做法和可持续习惯使用；</w:t>
      </w:r>
      <w:r w:rsidRPr="00403B4F">
        <w:rPr>
          <w:rFonts w:eastAsiaTheme="minorEastAsia"/>
          <w:snapToGrid w:val="0"/>
          <w:szCs w:val="18"/>
          <w:vertAlign w:val="superscript"/>
          <w:lang w:val="en-CA"/>
        </w:rPr>
        <w:footnoteReference w:id="148"/>
      </w:r>
      <w:r w:rsidRPr="00403B4F">
        <w:rPr>
          <w:rFonts w:eastAsiaTheme="minorEastAsia"/>
          <w:snapToGrid w:val="0"/>
          <w:szCs w:val="18"/>
          <w:vertAlign w:val="superscript"/>
          <w:lang w:val="en-CA" w:eastAsia="zh-CN"/>
        </w:rPr>
        <w:t xml:space="preserve"> </w:t>
      </w:r>
    </w:p>
    <w:p w:rsidR="005B4DE3" w:rsidRPr="00403B4F" w:rsidRDefault="005B4DE3" w:rsidP="0069530A">
      <w:pPr>
        <w:numPr>
          <w:ilvl w:val="0"/>
          <w:numId w:val="109"/>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透明度和问责制的适当机制，同时考虑到国际商定的标准和最佳做法；</w:t>
      </w:r>
      <w:r w:rsidRPr="00403B4F">
        <w:rPr>
          <w:rFonts w:eastAsiaTheme="minorEastAsia"/>
          <w:snapToGrid w:val="0"/>
          <w:szCs w:val="18"/>
          <w:vertAlign w:val="superscript"/>
          <w:lang w:val="en-CA"/>
        </w:rPr>
        <w:footnoteReference w:id="149"/>
      </w:r>
      <w:r w:rsidRPr="00403B4F">
        <w:rPr>
          <w:rFonts w:eastAsiaTheme="minorEastAsia"/>
          <w:snapToGrid w:val="0"/>
          <w:szCs w:val="18"/>
          <w:vertAlign w:val="superscript"/>
          <w:lang w:val="en-CA" w:eastAsia="zh-CN"/>
        </w:rPr>
        <w:t xml:space="preserve"> </w:t>
      </w:r>
    </w:p>
    <w:p w:rsidR="005B4DE3" w:rsidRPr="00403B4F" w:rsidRDefault="005B4DE3" w:rsidP="0069530A">
      <w:pPr>
        <w:numPr>
          <w:ilvl w:val="0"/>
          <w:numId w:val="109"/>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公平解决争端或冲突的适当程序和机制；</w:t>
      </w:r>
    </w:p>
    <w:p w:rsidR="005B4DE3" w:rsidRPr="00403B4F" w:rsidRDefault="005B4DE3" w:rsidP="0069530A">
      <w:pPr>
        <w:widowControl w:val="0"/>
        <w:numPr>
          <w:ilvl w:val="0"/>
          <w:numId w:val="109"/>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val="en-CA" w:eastAsia="zh-CN"/>
        </w:rPr>
      </w:pPr>
      <w:r w:rsidRPr="00403B4F">
        <w:rPr>
          <w:rFonts w:eastAsiaTheme="minorEastAsia"/>
          <w:snapToGrid w:val="0"/>
          <w:szCs w:val="18"/>
          <w:lang w:val="en-CA" w:eastAsia="zh-CN"/>
        </w:rPr>
        <w:t>公平分享惠益和成本的规定，包括：</w:t>
      </w:r>
    </w:p>
    <w:p w:rsidR="005B4DE3" w:rsidRPr="00403B4F" w:rsidRDefault="005B4DE3" w:rsidP="005B4DE3">
      <w:pPr>
        <w:widowControl w:val="0"/>
        <w:suppressLineNumbers/>
        <w:tabs>
          <w:tab w:val="left" w:pos="2160"/>
        </w:tabs>
        <w:suppressAutoHyphens/>
        <w:kinsoku w:val="0"/>
        <w:overflowPunct w:val="0"/>
        <w:autoSpaceDE w:val="0"/>
        <w:autoSpaceDN w:val="0"/>
        <w:adjustRightInd w:val="0"/>
        <w:snapToGrid w:val="0"/>
        <w:ind w:left="2160" w:hanging="720"/>
        <w:rPr>
          <w:rFonts w:eastAsiaTheme="minorEastAsia"/>
          <w:snapToGrid w:val="0"/>
          <w:szCs w:val="18"/>
          <w:lang w:val="en-CA" w:eastAsia="zh-CN"/>
        </w:rPr>
      </w:pPr>
      <w:r w:rsidRPr="00403B4F">
        <w:rPr>
          <w:rFonts w:eastAsiaTheme="minorEastAsia"/>
          <w:snapToGrid w:val="0"/>
          <w:szCs w:val="18"/>
          <w:lang w:val="en-CA" w:eastAsia="zh-CN"/>
        </w:rPr>
        <w:t>(</w:t>
      </w:r>
      <w:r w:rsidRPr="00403B4F">
        <w:rPr>
          <w:rFonts w:eastAsiaTheme="minorEastAsia"/>
          <w:snapToGrid w:val="0"/>
          <w:szCs w:val="18"/>
          <w:lang w:val="en-CA" w:eastAsia="zh-CN"/>
        </w:rPr>
        <w:t>一</w:t>
      </w:r>
      <w:r w:rsidRPr="00403B4F">
        <w:rPr>
          <w:rFonts w:eastAsiaTheme="minorEastAsia"/>
          <w:snapToGrid w:val="0"/>
          <w:szCs w:val="18"/>
          <w:lang w:val="en-CA" w:eastAsia="zh-CN"/>
        </w:rPr>
        <w:t>)</w:t>
      </w:r>
      <w:r w:rsidRPr="00403B4F">
        <w:rPr>
          <w:rFonts w:eastAsiaTheme="minorEastAsia"/>
          <w:snapToGrid w:val="0"/>
          <w:szCs w:val="18"/>
          <w:lang w:val="en-CA" w:eastAsia="zh-CN"/>
        </w:rPr>
        <w:tab/>
      </w:r>
      <w:r w:rsidRPr="00403B4F">
        <w:rPr>
          <w:rFonts w:eastAsiaTheme="minorEastAsia"/>
          <w:snapToGrid w:val="0"/>
          <w:szCs w:val="18"/>
          <w:lang w:val="en-CA" w:eastAsia="zh-CN"/>
        </w:rPr>
        <w:t>评估建立和管理保护区所涉经济、社会文化成本和惠益；</w:t>
      </w:r>
    </w:p>
    <w:p w:rsidR="005B4DE3" w:rsidRPr="00403B4F" w:rsidRDefault="005B4DE3" w:rsidP="005B4DE3">
      <w:pPr>
        <w:widowControl w:val="0"/>
        <w:suppressLineNumbers/>
        <w:tabs>
          <w:tab w:val="left" w:pos="2160"/>
        </w:tabs>
        <w:suppressAutoHyphens/>
        <w:kinsoku w:val="0"/>
        <w:overflowPunct w:val="0"/>
        <w:autoSpaceDE w:val="0"/>
        <w:autoSpaceDN w:val="0"/>
        <w:adjustRightInd w:val="0"/>
        <w:snapToGrid w:val="0"/>
        <w:ind w:left="2160" w:hanging="720"/>
        <w:rPr>
          <w:rFonts w:eastAsiaTheme="minorEastAsia"/>
          <w:snapToGrid w:val="0"/>
          <w:szCs w:val="18"/>
          <w:lang w:val="en-CA" w:eastAsia="zh-CN"/>
        </w:rPr>
      </w:pPr>
      <w:r w:rsidRPr="00403B4F">
        <w:rPr>
          <w:rFonts w:eastAsiaTheme="minorEastAsia"/>
          <w:snapToGrid w:val="0"/>
          <w:szCs w:val="18"/>
          <w:lang w:val="en-CA" w:eastAsia="zh-CN"/>
        </w:rPr>
        <w:t>(</w:t>
      </w:r>
      <w:r w:rsidRPr="00403B4F">
        <w:rPr>
          <w:rFonts w:eastAsiaTheme="minorEastAsia"/>
          <w:snapToGrid w:val="0"/>
          <w:szCs w:val="18"/>
          <w:lang w:val="en-CA" w:eastAsia="zh-CN"/>
        </w:rPr>
        <w:t>二</w:t>
      </w:r>
      <w:r w:rsidRPr="00403B4F">
        <w:rPr>
          <w:rFonts w:eastAsiaTheme="minorEastAsia"/>
          <w:snapToGrid w:val="0"/>
          <w:szCs w:val="18"/>
          <w:lang w:val="en-CA" w:eastAsia="zh-CN"/>
        </w:rPr>
        <w:t>)</w:t>
      </w:r>
      <w:r w:rsidRPr="00403B4F">
        <w:rPr>
          <w:rFonts w:eastAsiaTheme="minorEastAsia"/>
          <w:snapToGrid w:val="0"/>
          <w:szCs w:val="18"/>
          <w:lang w:val="en-CA" w:eastAsia="zh-CN"/>
        </w:rPr>
        <w:tab/>
      </w:r>
      <w:r w:rsidRPr="00403B4F">
        <w:rPr>
          <w:rFonts w:eastAsiaTheme="minorEastAsia"/>
          <w:snapToGrid w:val="0"/>
          <w:szCs w:val="18"/>
          <w:lang w:val="en-CA" w:eastAsia="zh-CN"/>
        </w:rPr>
        <w:t>减少、避免或补偿成本；</w:t>
      </w:r>
    </w:p>
    <w:p w:rsidR="005B4DE3" w:rsidRPr="00403B4F" w:rsidRDefault="005B4DE3" w:rsidP="005B4DE3">
      <w:pPr>
        <w:widowControl w:val="0"/>
        <w:suppressLineNumbers/>
        <w:tabs>
          <w:tab w:val="left" w:pos="2160"/>
        </w:tabs>
        <w:suppressAutoHyphens/>
        <w:kinsoku w:val="0"/>
        <w:overflowPunct w:val="0"/>
        <w:autoSpaceDE w:val="0"/>
        <w:autoSpaceDN w:val="0"/>
        <w:adjustRightInd w:val="0"/>
        <w:snapToGrid w:val="0"/>
        <w:ind w:left="2160" w:hanging="720"/>
        <w:rPr>
          <w:rFonts w:eastAsiaTheme="minorEastAsia"/>
          <w:snapToGrid w:val="0"/>
          <w:szCs w:val="18"/>
          <w:lang w:val="en-CA" w:eastAsia="zh-CN"/>
        </w:rPr>
      </w:pPr>
      <w:r w:rsidRPr="00403B4F">
        <w:rPr>
          <w:rFonts w:eastAsiaTheme="minorEastAsia"/>
          <w:snapToGrid w:val="0"/>
          <w:szCs w:val="18"/>
          <w:lang w:val="en-CA" w:eastAsia="zh-CN"/>
        </w:rPr>
        <w:t>(</w:t>
      </w:r>
      <w:r w:rsidRPr="00403B4F">
        <w:rPr>
          <w:rFonts w:eastAsiaTheme="minorEastAsia"/>
          <w:snapToGrid w:val="0"/>
          <w:szCs w:val="18"/>
          <w:lang w:val="en-CA" w:eastAsia="zh-CN"/>
        </w:rPr>
        <w:t>三</w:t>
      </w:r>
      <w:r w:rsidRPr="00403B4F">
        <w:rPr>
          <w:rFonts w:eastAsiaTheme="minorEastAsia"/>
          <w:snapToGrid w:val="0"/>
          <w:szCs w:val="18"/>
          <w:lang w:val="en-CA" w:eastAsia="zh-CN"/>
        </w:rPr>
        <w:t>)</w:t>
      </w:r>
      <w:r w:rsidRPr="00403B4F">
        <w:rPr>
          <w:rFonts w:eastAsiaTheme="minorEastAsia"/>
          <w:snapToGrid w:val="0"/>
          <w:szCs w:val="18"/>
          <w:lang w:val="en-CA" w:eastAsia="zh-CN"/>
        </w:rPr>
        <w:tab/>
      </w:r>
      <w:r w:rsidRPr="00403B4F">
        <w:rPr>
          <w:rFonts w:eastAsiaTheme="minorEastAsia"/>
          <w:snapToGrid w:val="0"/>
          <w:szCs w:val="18"/>
          <w:lang w:val="en-CA" w:eastAsia="zh-CN"/>
        </w:rPr>
        <w:t>根据权利持有人和利益攸关方商定的标准</w:t>
      </w:r>
      <w:r w:rsidRPr="00403B4F">
        <w:rPr>
          <w:rFonts w:eastAsiaTheme="minorEastAsia"/>
          <w:snapToGrid w:val="0"/>
          <w:szCs w:val="18"/>
          <w:vertAlign w:val="superscript"/>
          <w:lang w:val="en-CA"/>
        </w:rPr>
        <w:footnoteReference w:id="150"/>
      </w:r>
      <w:r w:rsidRPr="00403B4F">
        <w:rPr>
          <w:rFonts w:eastAsiaTheme="minorEastAsia"/>
          <w:snapToGrid w:val="0"/>
          <w:szCs w:val="18"/>
          <w:vertAlign w:val="superscript"/>
          <w:lang w:val="en-CA" w:eastAsia="zh-CN"/>
        </w:rPr>
        <w:t xml:space="preserve"> </w:t>
      </w:r>
      <w:r w:rsidRPr="00403B4F">
        <w:rPr>
          <w:rFonts w:eastAsiaTheme="minorEastAsia"/>
          <w:snapToGrid w:val="0"/>
          <w:szCs w:val="18"/>
          <w:lang w:val="en-CA" w:eastAsia="zh-CN"/>
        </w:rPr>
        <w:t>公平分享惠益；</w:t>
      </w:r>
      <w:r w:rsidRPr="00403B4F">
        <w:rPr>
          <w:rFonts w:eastAsiaTheme="minorEastAsia"/>
          <w:snapToGrid w:val="0"/>
          <w:szCs w:val="18"/>
          <w:vertAlign w:val="superscript"/>
          <w:lang w:val="en-CA"/>
        </w:rPr>
        <w:footnoteReference w:id="151"/>
      </w:r>
      <w:r w:rsidRPr="00403B4F">
        <w:rPr>
          <w:rFonts w:eastAsiaTheme="minorEastAsia"/>
          <w:snapToGrid w:val="0"/>
          <w:szCs w:val="18"/>
          <w:lang w:val="en-CA" w:eastAsia="zh-CN"/>
        </w:rPr>
        <w:t xml:space="preserve"> </w:t>
      </w:r>
    </w:p>
    <w:p w:rsidR="005B4DE3" w:rsidRPr="00403B4F" w:rsidRDefault="005B4DE3" w:rsidP="0069530A">
      <w:pPr>
        <w:numPr>
          <w:ilvl w:val="0"/>
          <w:numId w:val="109"/>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eastAsia="zh-CN"/>
        </w:rPr>
      </w:pPr>
      <w:r w:rsidRPr="00403B4F">
        <w:rPr>
          <w:rFonts w:eastAsiaTheme="minorEastAsia"/>
          <w:snapToGrid w:val="0"/>
          <w:szCs w:val="18"/>
          <w:lang w:eastAsia="zh-CN"/>
        </w:rPr>
        <w:t>公正和有效实施法治的保障措施；</w:t>
      </w:r>
    </w:p>
    <w:p w:rsidR="005B4DE3" w:rsidRPr="00403B4F" w:rsidRDefault="005B4DE3" w:rsidP="0069530A">
      <w:pPr>
        <w:numPr>
          <w:ilvl w:val="0"/>
          <w:numId w:val="109"/>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eastAsia="zh-CN"/>
        </w:rPr>
      </w:pPr>
      <w:r w:rsidRPr="00403B4F">
        <w:rPr>
          <w:rFonts w:eastAsiaTheme="minorEastAsia"/>
          <w:snapToGrid w:val="0"/>
          <w:szCs w:val="18"/>
          <w:lang w:eastAsia="zh-CN"/>
        </w:rPr>
        <w:t>涵盖治理问题包括对土著人民和地方社区福祉的影响的监测系统；</w:t>
      </w:r>
    </w:p>
    <w:p w:rsidR="005B4DE3" w:rsidRPr="00403B4F" w:rsidRDefault="005B4DE3" w:rsidP="0069530A">
      <w:pPr>
        <w:widowControl w:val="0"/>
        <w:numPr>
          <w:ilvl w:val="0"/>
          <w:numId w:val="109"/>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eastAsia="zh-CN"/>
        </w:rPr>
      </w:pPr>
      <w:r w:rsidRPr="00403B4F">
        <w:rPr>
          <w:rFonts w:eastAsiaTheme="minorEastAsia"/>
          <w:snapToGrid w:val="0"/>
          <w:szCs w:val="18"/>
          <w:lang w:eastAsia="zh-CN"/>
        </w:rPr>
        <w:t>与第</w:t>
      </w:r>
      <w:r w:rsidRPr="00403B4F">
        <w:rPr>
          <w:rFonts w:eastAsiaTheme="minorEastAsia"/>
          <w:snapToGrid w:val="0"/>
          <w:szCs w:val="18"/>
          <w:lang w:eastAsia="zh-CN"/>
        </w:rPr>
        <w:t>8(j)</w:t>
      </w:r>
      <w:r w:rsidRPr="00403B4F">
        <w:rPr>
          <w:rFonts w:eastAsiaTheme="minorEastAsia"/>
          <w:snapToGrid w:val="0"/>
          <w:szCs w:val="18"/>
          <w:lang w:eastAsia="zh-CN"/>
        </w:rPr>
        <w:t>和</w:t>
      </w:r>
      <w:r w:rsidRPr="00403B4F">
        <w:rPr>
          <w:rFonts w:eastAsiaTheme="minorEastAsia"/>
          <w:snapToGrid w:val="0"/>
          <w:szCs w:val="18"/>
          <w:lang w:eastAsia="zh-CN"/>
        </w:rPr>
        <w:t>10(c)</w:t>
      </w:r>
      <w:r w:rsidRPr="00403B4F">
        <w:rPr>
          <w:rFonts w:eastAsiaTheme="minorEastAsia"/>
          <w:snapToGrid w:val="0"/>
          <w:szCs w:val="18"/>
          <w:lang w:eastAsia="zh-CN"/>
        </w:rPr>
        <w:t>条及相关条款</w:t>
      </w:r>
      <w:r w:rsidRPr="00403B4F">
        <w:rPr>
          <w:rFonts w:eastAsiaTheme="minorEastAsia"/>
          <w:snapToGrid w:val="0"/>
          <w:spacing w:val="-20"/>
          <w:szCs w:val="18"/>
          <w:lang w:eastAsia="zh-CN"/>
        </w:rPr>
        <w:t>、原则和准则保持一致，包括征得</w:t>
      </w:r>
      <w:r w:rsidRPr="00403B4F">
        <w:rPr>
          <w:rFonts w:eastAsiaTheme="minorEastAsia"/>
          <w:lang w:val="en-CA" w:eastAsia="zh-CN"/>
        </w:rPr>
        <w:t>自由、事先和知情的同意，依照国家政策、规章和国情，</w:t>
      </w:r>
      <w:r w:rsidRPr="00403B4F">
        <w:rPr>
          <w:rFonts w:eastAsiaTheme="minorEastAsia"/>
          <w:snapToGrid w:val="0"/>
          <w:spacing w:val="-20"/>
          <w:szCs w:val="18"/>
          <w:lang w:eastAsia="zh-CN"/>
        </w:rPr>
        <w:t>尊重、保持和维护土著人民和地方社区的传统知识，</w:t>
      </w:r>
      <w:r w:rsidRPr="00403B4F">
        <w:rPr>
          <w:rFonts w:eastAsiaTheme="minorEastAsia"/>
          <w:snapToGrid w:val="0"/>
          <w:spacing w:val="-20"/>
          <w:szCs w:val="18"/>
          <w:vertAlign w:val="superscript"/>
        </w:rPr>
        <w:footnoteReference w:id="152"/>
      </w:r>
      <w:r w:rsidRPr="00403B4F">
        <w:rPr>
          <w:rFonts w:eastAsiaTheme="minorEastAsia"/>
          <w:snapToGrid w:val="0"/>
          <w:spacing w:val="-20"/>
          <w:szCs w:val="18"/>
          <w:lang w:eastAsia="zh-CN"/>
        </w:rPr>
        <w:t xml:space="preserve"> </w:t>
      </w:r>
      <w:r w:rsidRPr="00403B4F">
        <w:rPr>
          <w:rFonts w:eastAsiaTheme="minorEastAsia"/>
          <w:snapToGrid w:val="0"/>
          <w:spacing w:val="-20"/>
          <w:szCs w:val="18"/>
          <w:lang w:eastAsia="zh-CN"/>
        </w:rPr>
        <w:t>对其生物多样性可</w:t>
      </w:r>
      <w:r w:rsidRPr="00403B4F">
        <w:rPr>
          <w:rFonts w:eastAsiaTheme="minorEastAsia"/>
          <w:snapToGrid w:val="0"/>
          <w:szCs w:val="18"/>
          <w:lang w:eastAsia="zh-CN"/>
        </w:rPr>
        <w:t>持续习惯利用给予应有的尊重。</w:t>
      </w:r>
      <w:r w:rsidRPr="00403B4F">
        <w:rPr>
          <w:rFonts w:eastAsiaTheme="minorEastAsia"/>
          <w:snapToGrid w:val="0"/>
          <w:color w:val="000080"/>
          <w:szCs w:val="18"/>
          <w:lang w:val="en-CA" w:eastAsia="zh-CN"/>
        </w:rPr>
        <w:t xml:space="preserve"> </w:t>
      </w:r>
    </w:p>
    <w:p w:rsidR="005B4DE3" w:rsidRPr="00403B4F" w:rsidRDefault="005B4DE3" w:rsidP="0069530A">
      <w:pPr>
        <w:numPr>
          <w:ilvl w:val="0"/>
          <w:numId w:val="106"/>
        </w:numPr>
        <w:tabs>
          <w:tab w:val="clear" w:pos="360"/>
          <w:tab w:val="num" w:pos="720"/>
        </w:tabs>
        <w:adjustRightInd w:val="0"/>
        <w:snapToGrid w:val="0"/>
        <w:rPr>
          <w:rFonts w:eastAsiaTheme="minorEastAsia"/>
          <w:lang w:val="en-CA" w:eastAsia="zh-CN"/>
        </w:rPr>
      </w:pPr>
      <w:r w:rsidRPr="00403B4F">
        <w:rPr>
          <w:rFonts w:eastAsiaTheme="minorEastAsia"/>
          <w:lang w:val="en-CA" w:eastAsia="zh-CN"/>
        </w:rPr>
        <w:t>建议缔约方可采取的支持根据其所管保护区情况所设立的有效和公平治理模式的行动包括：</w:t>
      </w:r>
    </w:p>
    <w:p w:rsidR="005B4DE3" w:rsidRPr="00403B4F" w:rsidRDefault="005B4DE3" w:rsidP="0069530A">
      <w:pPr>
        <w:widowControl w:val="0"/>
        <w:numPr>
          <w:ilvl w:val="0"/>
          <w:numId w:val="110"/>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rPr>
      </w:pPr>
      <w:r w:rsidRPr="00403B4F">
        <w:rPr>
          <w:rFonts w:eastAsiaTheme="minorEastAsia"/>
          <w:snapToGrid w:val="0"/>
          <w:szCs w:val="18"/>
          <w:lang w:eastAsia="zh-CN"/>
        </w:rPr>
        <w:t>与有关权利持有人和利益攸关方协商，对照包括公平在内的善治原则，对保护区政策和立法进行一次审查，同时考虑到国际商定的相关标准和指导意见。</w:t>
      </w:r>
      <w:r w:rsidRPr="00403B4F">
        <w:rPr>
          <w:rFonts w:eastAsiaTheme="minorEastAsia"/>
          <w:snapToGrid w:val="0"/>
          <w:szCs w:val="18"/>
          <w:vertAlign w:val="superscript"/>
        </w:rPr>
        <w:footnoteReference w:id="153"/>
      </w:r>
      <w:r w:rsidRPr="00403B4F">
        <w:rPr>
          <w:rFonts w:eastAsiaTheme="minorEastAsia"/>
          <w:snapToGrid w:val="0"/>
          <w:szCs w:val="18"/>
          <w:vertAlign w:val="superscript"/>
          <w:lang w:eastAsia="zh-CN"/>
        </w:rPr>
        <w:t xml:space="preserve"> </w:t>
      </w:r>
      <w:r w:rsidRPr="00403B4F">
        <w:rPr>
          <w:rFonts w:eastAsiaTheme="minorEastAsia"/>
          <w:snapToGrid w:val="0"/>
          <w:szCs w:val="18"/>
        </w:rPr>
        <w:t>审查可以</w:t>
      </w:r>
      <w:r w:rsidRPr="00403B4F">
        <w:rPr>
          <w:rFonts w:eastAsiaTheme="minorEastAsia"/>
          <w:snapToGrid w:val="0"/>
          <w:szCs w:val="18"/>
        </w:rPr>
        <w:lastRenderedPageBreak/>
        <w:t>作为系统级治理评估的一部分进行；</w:t>
      </w:r>
    </w:p>
    <w:p w:rsidR="005B4DE3" w:rsidRPr="00403B4F" w:rsidRDefault="005B4DE3" w:rsidP="0069530A">
      <w:pPr>
        <w:widowControl w:val="0"/>
        <w:numPr>
          <w:ilvl w:val="0"/>
          <w:numId w:val="110"/>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eastAsia="zh-CN"/>
        </w:rPr>
      </w:pPr>
      <w:r w:rsidRPr="00403B4F">
        <w:rPr>
          <w:rFonts w:eastAsiaTheme="minorEastAsia"/>
          <w:snapToGrid w:val="0"/>
          <w:szCs w:val="18"/>
          <w:lang w:eastAsia="zh-CN"/>
        </w:rPr>
        <w:t>推动和参加参与式多利益攸关方进程的定点治理评估，定点采取改进措施，为政策层面汲取经验教训；</w:t>
      </w:r>
      <w:r w:rsidRPr="00403B4F">
        <w:rPr>
          <w:rFonts w:eastAsiaTheme="minorEastAsia"/>
          <w:snapToGrid w:val="0"/>
          <w:szCs w:val="18"/>
          <w:vertAlign w:val="superscript"/>
        </w:rPr>
        <w:footnoteReference w:id="154"/>
      </w:r>
      <w:r w:rsidRPr="00403B4F">
        <w:rPr>
          <w:rFonts w:eastAsiaTheme="minorEastAsia"/>
          <w:snapToGrid w:val="0"/>
          <w:szCs w:val="18"/>
          <w:vertAlign w:val="superscript"/>
          <w:lang w:eastAsia="zh-CN"/>
        </w:rPr>
        <w:t xml:space="preserve"> </w:t>
      </w:r>
    </w:p>
    <w:p w:rsidR="005B4DE3" w:rsidRPr="00403B4F" w:rsidRDefault="005B4DE3" w:rsidP="0069530A">
      <w:pPr>
        <w:numPr>
          <w:ilvl w:val="0"/>
          <w:numId w:val="110"/>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eastAsia="zh-CN"/>
        </w:rPr>
      </w:pPr>
      <w:r w:rsidRPr="00403B4F">
        <w:rPr>
          <w:rFonts w:eastAsiaTheme="minorEastAsia"/>
          <w:snapToGrid w:val="0"/>
          <w:szCs w:val="18"/>
          <w:lang w:eastAsia="zh-CN"/>
        </w:rPr>
        <w:t>酌情在审查和审查结果基础上修改关于保护区的建立、治理、规划、管理和报告的政策和立法，同时考虑到上文第</w:t>
      </w:r>
      <w:r w:rsidRPr="00403B4F">
        <w:rPr>
          <w:rFonts w:eastAsiaTheme="minorEastAsia"/>
          <w:snapToGrid w:val="0"/>
          <w:szCs w:val="18"/>
          <w:lang w:eastAsia="zh-CN"/>
        </w:rPr>
        <w:t>11</w:t>
      </w:r>
      <w:r w:rsidRPr="00403B4F">
        <w:rPr>
          <w:rFonts w:eastAsiaTheme="minorEastAsia"/>
          <w:snapToGrid w:val="0"/>
          <w:szCs w:val="18"/>
          <w:lang w:eastAsia="zh-CN"/>
        </w:rPr>
        <w:t>段所述各项要素；</w:t>
      </w:r>
    </w:p>
    <w:p w:rsidR="005B4DE3" w:rsidRPr="00403B4F" w:rsidRDefault="005B4DE3" w:rsidP="0069530A">
      <w:pPr>
        <w:numPr>
          <w:ilvl w:val="0"/>
          <w:numId w:val="110"/>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vertAlign w:val="superscript"/>
          <w:lang w:eastAsia="zh-CN"/>
        </w:rPr>
      </w:pPr>
      <w:r w:rsidRPr="00403B4F">
        <w:rPr>
          <w:rFonts w:eastAsiaTheme="minorEastAsia"/>
          <w:snapToGrid w:val="0"/>
          <w:szCs w:val="18"/>
          <w:lang w:eastAsia="zh-CN"/>
        </w:rPr>
        <w:t>促进评估和监测保护区的建立和管理所</w:t>
      </w:r>
      <w:r w:rsidRPr="00403B4F">
        <w:rPr>
          <w:rFonts w:eastAsiaTheme="minorEastAsia"/>
          <w:snapToGrid w:val="0"/>
          <w:spacing w:val="-20"/>
          <w:szCs w:val="18"/>
          <w:lang w:eastAsia="zh-CN"/>
        </w:rPr>
        <w:t>涉经济、社会文化成本和惠益，避免、</w:t>
      </w:r>
      <w:r w:rsidRPr="00403B4F">
        <w:rPr>
          <w:rFonts w:eastAsiaTheme="minorEastAsia"/>
          <w:snapToGrid w:val="0"/>
          <w:szCs w:val="18"/>
          <w:lang w:eastAsia="zh-CN"/>
        </w:rPr>
        <w:t>减少或补偿成本，同时加强和公平分配惠益；</w:t>
      </w:r>
      <w:r w:rsidRPr="00403B4F">
        <w:rPr>
          <w:rFonts w:eastAsiaTheme="minorEastAsia"/>
          <w:snapToGrid w:val="0"/>
          <w:szCs w:val="18"/>
          <w:vertAlign w:val="superscript"/>
        </w:rPr>
        <w:footnoteReference w:id="155"/>
      </w:r>
    </w:p>
    <w:p w:rsidR="005B4DE3" w:rsidRPr="00403B4F" w:rsidRDefault="005B4DE3" w:rsidP="0069530A">
      <w:pPr>
        <w:numPr>
          <w:ilvl w:val="0"/>
          <w:numId w:val="110"/>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eastAsia="zh-CN"/>
        </w:rPr>
      </w:pPr>
      <w:r w:rsidRPr="00403B4F">
        <w:rPr>
          <w:rFonts w:eastAsiaTheme="minorEastAsia"/>
          <w:snapToGrid w:val="0"/>
          <w:szCs w:val="18"/>
          <w:lang w:eastAsia="zh-CN"/>
        </w:rPr>
        <w:t>制定或加强关于获取保护区遗传资源和公平和公正分享其利用所产生惠益的国家政策；</w:t>
      </w:r>
      <w:r w:rsidRPr="00403B4F">
        <w:rPr>
          <w:rFonts w:eastAsiaTheme="minorEastAsia"/>
          <w:snapToGrid w:val="0"/>
          <w:szCs w:val="18"/>
          <w:vertAlign w:val="superscript"/>
        </w:rPr>
        <w:footnoteReference w:id="156"/>
      </w:r>
    </w:p>
    <w:p w:rsidR="005B4DE3" w:rsidRPr="00403B4F" w:rsidRDefault="005B4DE3" w:rsidP="0069530A">
      <w:pPr>
        <w:numPr>
          <w:ilvl w:val="0"/>
          <w:numId w:val="110"/>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eastAsia="zh-CN"/>
        </w:rPr>
      </w:pPr>
      <w:r w:rsidRPr="00403B4F">
        <w:rPr>
          <w:rFonts w:eastAsiaTheme="minorEastAsia"/>
          <w:snapToGrid w:val="0"/>
          <w:szCs w:val="18"/>
          <w:lang w:eastAsia="zh-CN"/>
        </w:rPr>
        <w:t>推动参与有关保护区治理和公平性的能力建设举措；</w:t>
      </w:r>
    </w:p>
    <w:p w:rsidR="005B4DE3" w:rsidRPr="00403B4F" w:rsidRDefault="005B4DE3" w:rsidP="0069530A">
      <w:pPr>
        <w:numPr>
          <w:ilvl w:val="0"/>
          <w:numId w:val="110"/>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eastAsia="zh-CN"/>
        </w:rPr>
      </w:pPr>
      <w:r w:rsidRPr="00403B4F">
        <w:rPr>
          <w:rFonts w:eastAsiaTheme="minorEastAsia"/>
          <w:snapToGrid w:val="0"/>
          <w:szCs w:val="18"/>
          <w:lang w:eastAsia="zh-CN"/>
        </w:rPr>
        <w:t>适当提供资金以确保所有权利持有人和利益攸关方的有效参与。</w:t>
      </w:r>
    </w:p>
    <w:p w:rsidR="005B4DE3" w:rsidRPr="00403B4F" w:rsidRDefault="005B4DE3" w:rsidP="0069530A">
      <w:pPr>
        <w:numPr>
          <w:ilvl w:val="0"/>
          <w:numId w:val="106"/>
        </w:numPr>
        <w:tabs>
          <w:tab w:val="clear" w:pos="360"/>
          <w:tab w:val="num" w:pos="720"/>
        </w:tabs>
        <w:adjustRightInd w:val="0"/>
        <w:snapToGrid w:val="0"/>
        <w:rPr>
          <w:rFonts w:eastAsiaTheme="minorEastAsia"/>
          <w:lang w:val="en-CA" w:eastAsia="zh-CN"/>
        </w:rPr>
      </w:pPr>
      <w:r w:rsidRPr="00403B4F">
        <w:rPr>
          <w:rFonts w:eastAsiaTheme="minorEastAsia"/>
          <w:lang w:val="en-CA" w:eastAsia="zh-CN"/>
        </w:rPr>
        <w:t>建议管理保护区的其他行为者采取提高治理的有效性和公平性的行动包括：</w:t>
      </w:r>
    </w:p>
    <w:p w:rsidR="005B4DE3" w:rsidRPr="00403B4F" w:rsidRDefault="005B4DE3" w:rsidP="0069530A">
      <w:pPr>
        <w:numPr>
          <w:ilvl w:val="0"/>
          <w:numId w:val="111"/>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eastAsia="zh-CN"/>
        </w:rPr>
      </w:pPr>
      <w:r w:rsidRPr="00403B4F">
        <w:rPr>
          <w:rFonts w:eastAsiaTheme="minorEastAsia"/>
          <w:snapToGrid w:val="0"/>
          <w:szCs w:val="18"/>
          <w:lang w:eastAsia="zh-CN"/>
        </w:rPr>
        <w:t>在权利持有人和利益攸关方参与下进行定点治理和公平性评估并采取改进措施；</w:t>
      </w:r>
    </w:p>
    <w:p w:rsidR="005B4DE3" w:rsidRPr="00403B4F" w:rsidRDefault="005B4DE3" w:rsidP="0069530A">
      <w:pPr>
        <w:widowControl w:val="0"/>
        <w:numPr>
          <w:ilvl w:val="0"/>
          <w:numId w:val="111"/>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eastAsia="zh-CN"/>
        </w:rPr>
      </w:pPr>
      <w:r w:rsidRPr="00403B4F">
        <w:rPr>
          <w:rFonts w:eastAsiaTheme="minorEastAsia"/>
          <w:snapToGrid w:val="0"/>
          <w:szCs w:val="18"/>
          <w:lang w:eastAsia="zh-CN"/>
        </w:rPr>
        <w:t>评估、监测和减轻保护或养护区的建立和（或）维护所带来的负面影响，加强正面影响；</w:t>
      </w:r>
      <w:r w:rsidRPr="00403B4F">
        <w:rPr>
          <w:rFonts w:eastAsiaTheme="minorEastAsia"/>
          <w:snapToGrid w:val="0"/>
          <w:szCs w:val="18"/>
          <w:vertAlign w:val="superscript"/>
        </w:rPr>
        <w:footnoteReference w:id="157"/>
      </w:r>
    </w:p>
    <w:p w:rsidR="005B4DE3" w:rsidRPr="00403B4F" w:rsidRDefault="005B4DE3" w:rsidP="0069530A">
      <w:pPr>
        <w:numPr>
          <w:ilvl w:val="0"/>
          <w:numId w:val="111"/>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zCs w:val="18"/>
          <w:lang w:eastAsia="zh-CN"/>
        </w:rPr>
      </w:pPr>
      <w:r w:rsidRPr="00403B4F">
        <w:rPr>
          <w:rFonts w:eastAsiaTheme="minorEastAsia"/>
          <w:snapToGrid w:val="0"/>
          <w:szCs w:val="18"/>
          <w:lang w:eastAsia="zh-CN"/>
        </w:rPr>
        <w:t>参与有关保护和养护区治理和公平性的能力建设举措。</w:t>
      </w:r>
    </w:p>
    <w:p w:rsidR="005B4DE3" w:rsidRPr="00171125" w:rsidRDefault="005B4DE3" w:rsidP="00171125">
      <w:pPr>
        <w:adjustRightInd w:val="0"/>
        <w:snapToGrid w:val="0"/>
        <w:ind w:firstLine="0"/>
        <w:jc w:val="center"/>
        <w:rPr>
          <w:rFonts w:ascii="KaiTi" w:eastAsia="KaiTi" w:hAnsi="KaiTi"/>
          <w:lang w:eastAsia="zh-CN"/>
        </w:rPr>
      </w:pPr>
      <w:r w:rsidRPr="00171125">
        <w:rPr>
          <w:rFonts w:ascii="KaiTi" w:eastAsia="KaiTi" w:hAnsi="KaiTi"/>
          <w:lang w:eastAsia="zh-CN"/>
        </w:rPr>
        <w:t>附件三</w:t>
      </w:r>
    </w:p>
    <w:p w:rsidR="005B4DE3" w:rsidRPr="00403B4F" w:rsidRDefault="005B4DE3" w:rsidP="00171125">
      <w:pPr>
        <w:adjustRightInd w:val="0"/>
        <w:snapToGrid w:val="0"/>
        <w:ind w:left="1260" w:right="1362" w:firstLine="0"/>
        <w:jc w:val="center"/>
        <w:rPr>
          <w:rFonts w:eastAsiaTheme="minorEastAsia"/>
          <w:b/>
          <w:lang w:eastAsia="zh-CN"/>
        </w:rPr>
      </w:pPr>
      <w:r w:rsidRPr="00403B4F">
        <w:rPr>
          <w:rFonts w:eastAsiaTheme="minorEastAsia"/>
          <w:b/>
          <w:lang w:eastAsia="zh-CN"/>
        </w:rPr>
        <w:t>关于其他有效的地区保护措施的科学和技术咨询意见</w:t>
      </w:r>
    </w:p>
    <w:p w:rsidR="005B4DE3" w:rsidRPr="00403B4F" w:rsidRDefault="005B4DE3" w:rsidP="005B4DE3">
      <w:pPr>
        <w:adjustRightInd w:val="0"/>
        <w:snapToGrid w:val="0"/>
        <w:rPr>
          <w:rFonts w:eastAsiaTheme="minorEastAsia"/>
          <w:lang w:eastAsia="zh-CN"/>
        </w:rPr>
      </w:pPr>
      <w:r w:rsidRPr="00403B4F">
        <w:rPr>
          <w:rFonts w:eastAsiaTheme="minorEastAsia"/>
          <w:lang w:eastAsia="zh-CN"/>
        </w:rPr>
        <w:t>确定其他有效的地区保护措施的指导原则和共同特点及标准适用于目前或可能对生物多样性至关重要的所有生态系统，并应以灵活的方式逐案应用。</w:t>
      </w:r>
    </w:p>
    <w:p w:rsidR="005B4DE3" w:rsidRPr="00403B4F" w:rsidRDefault="005B4DE3" w:rsidP="00171125">
      <w:pPr>
        <w:adjustRightInd w:val="0"/>
        <w:snapToGrid w:val="0"/>
        <w:ind w:firstLine="0"/>
        <w:jc w:val="center"/>
        <w:rPr>
          <w:rFonts w:eastAsiaTheme="minorEastAsia"/>
          <w:b/>
          <w:lang w:eastAsia="zh-CN"/>
        </w:rPr>
      </w:pPr>
      <w:r w:rsidRPr="00403B4F">
        <w:rPr>
          <w:rFonts w:eastAsiaTheme="minorEastAsia"/>
          <w:b/>
          <w:lang w:eastAsia="zh-CN"/>
        </w:rPr>
        <w:t xml:space="preserve">A.   </w:t>
      </w:r>
      <w:r w:rsidR="00171125">
        <w:rPr>
          <w:rFonts w:eastAsiaTheme="minorEastAsia"/>
          <w:b/>
          <w:lang w:eastAsia="zh-CN"/>
        </w:rPr>
        <w:t xml:space="preserve"> </w:t>
      </w:r>
      <w:r w:rsidRPr="00403B4F">
        <w:rPr>
          <w:rFonts w:eastAsiaTheme="minorEastAsia"/>
          <w:b/>
          <w:lang w:eastAsia="zh-CN"/>
        </w:rPr>
        <w:t>指导原则和共同特点</w:t>
      </w:r>
    </w:p>
    <w:p w:rsidR="005B4DE3" w:rsidRPr="00403B4F" w:rsidRDefault="005B4DE3" w:rsidP="0069530A">
      <w:pPr>
        <w:numPr>
          <w:ilvl w:val="0"/>
          <w:numId w:val="11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lang w:eastAsia="zh-CN"/>
        </w:rPr>
      </w:pPr>
      <w:r w:rsidRPr="00403B4F">
        <w:rPr>
          <w:rFonts w:eastAsiaTheme="minorEastAsia"/>
          <w:snapToGrid w:val="0"/>
          <w:lang w:eastAsia="zh-CN"/>
        </w:rPr>
        <w:lastRenderedPageBreak/>
        <w:t>其他有效的地区保护措施具有重要生物多样性价值，或包含实现这一点的目标，这是为实现《</w:t>
      </w:r>
      <w:r w:rsidRPr="00403B4F">
        <w:rPr>
          <w:rFonts w:eastAsiaTheme="minorEastAsia"/>
          <w:snapToGrid w:val="0"/>
          <w:lang w:eastAsia="zh-CN"/>
        </w:rPr>
        <w:t>2011-2020</w:t>
      </w:r>
      <w:r w:rsidRPr="00403B4F">
        <w:rPr>
          <w:rFonts w:eastAsiaTheme="minorEastAsia"/>
          <w:snapToGrid w:val="0"/>
          <w:lang w:eastAsia="zh-CN"/>
        </w:rPr>
        <w:t>年生物多样性战略计划》战略目标</w:t>
      </w:r>
      <w:r w:rsidRPr="00403B4F">
        <w:rPr>
          <w:rFonts w:eastAsiaTheme="minorEastAsia"/>
          <w:snapToGrid w:val="0"/>
          <w:lang w:eastAsia="zh-CN"/>
        </w:rPr>
        <w:t>C</w:t>
      </w:r>
      <w:r w:rsidRPr="00403B4F">
        <w:rPr>
          <w:rFonts w:eastAsiaTheme="minorEastAsia"/>
          <w:snapToGrid w:val="0"/>
          <w:lang w:eastAsia="zh-CN"/>
        </w:rPr>
        <w:t>目标</w:t>
      </w:r>
      <w:r w:rsidRPr="00403B4F">
        <w:rPr>
          <w:rFonts w:eastAsiaTheme="minorEastAsia"/>
          <w:snapToGrid w:val="0"/>
          <w:lang w:eastAsia="zh-CN"/>
        </w:rPr>
        <w:t>11</w:t>
      </w:r>
      <w:r w:rsidRPr="00403B4F">
        <w:rPr>
          <w:rFonts w:eastAsiaTheme="minorEastAsia"/>
          <w:snapToGrid w:val="0"/>
          <w:lang w:eastAsia="zh-CN"/>
        </w:rPr>
        <w:t>对其加以考虑的依据；</w:t>
      </w:r>
    </w:p>
    <w:p w:rsidR="005B4DE3" w:rsidRPr="00403B4F" w:rsidRDefault="005B4DE3" w:rsidP="0069530A">
      <w:pPr>
        <w:numPr>
          <w:ilvl w:val="0"/>
          <w:numId w:val="11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lang w:eastAsia="zh-CN"/>
        </w:rPr>
      </w:pPr>
      <w:r w:rsidRPr="00403B4F">
        <w:rPr>
          <w:rFonts w:eastAsiaTheme="minorEastAsia"/>
          <w:snapToGrid w:val="0"/>
          <w:lang w:eastAsia="zh-CN"/>
        </w:rPr>
        <w:t>其他有效的地区保护措施在保护生物多样性和生态系统功能和服务方面具有重要的作用，与保护区互补并有助于保护区网络的一致性和连通性，在将生物多样性纳入其他陆地和海洋及跨部门用途的主流方面也具有重要作用。因此，其他有效的地区保护措施应酌情加强现有的保护区网络；</w:t>
      </w:r>
    </w:p>
    <w:p w:rsidR="005B4DE3" w:rsidRPr="00403B4F" w:rsidRDefault="005B4DE3" w:rsidP="0069530A">
      <w:pPr>
        <w:numPr>
          <w:ilvl w:val="0"/>
          <w:numId w:val="11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lang w:eastAsia="zh-CN"/>
        </w:rPr>
      </w:pPr>
      <w:r w:rsidRPr="00403B4F">
        <w:rPr>
          <w:rFonts w:eastAsiaTheme="minorEastAsia"/>
          <w:snapToGrid w:val="0"/>
          <w:lang w:eastAsia="zh-CN"/>
        </w:rPr>
        <w:t>其他有效的地区保护措施为长期就地保护海洋、陆地和淡水生态系统生物多样性提供了机会。有可能既允许进行可持续的人类活动，同时又明显有助于保护生物多样性。确定这样一个地区，可对维持现有生物多样性价值和改善生物多样性保护成果产生激励作用；</w:t>
      </w:r>
    </w:p>
    <w:p w:rsidR="005B4DE3" w:rsidRPr="00403B4F" w:rsidRDefault="005B4DE3" w:rsidP="0069530A">
      <w:pPr>
        <w:numPr>
          <w:ilvl w:val="0"/>
          <w:numId w:val="11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lang w:eastAsia="zh-CN"/>
        </w:rPr>
      </w:pPr>
      <w:r w:rsidRPr="00403B4F">
        <w:rPr>
          <w:rFonts w:eastAsiaTheme="minorEastAsia"/>
          <w:snapToGrid w:val="0"/>
          <w:lang w:eastAsia="zh-CN"/>
        </w:rPr>
        <w:t>其他有效的地区保护措施能够带来具有与其他保护区的可比意义和互补性的生物多样性成果；这包括它们对代表性、对生物多样性和相关生态系统功能和服务重要领域的覆盖、对更广泛的陆地景观和海洋景观中的连接和一体化以及对管理的有效性和公平性的要求的贡献；</w:t>
      </w:r>
    </w:p>
    <w:p w:rsidR="005B4DE3" w:rsidRPr="00403B4F" w:rsidRDefault="005B4DE3" w:rsidP="0069530A">
      <w:pPr>
        <w:numPr>
          <w:ilvl w:val="0"/>
          <w:numId w:val="11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lang w:eastAsia="zh-CN"/>
        </w:rPr>
      </w:pPr>
      <w:r w:rsidRPr="00403B4F">
        <w:rPr>
          <w:rFonts w:eastAsiaTheme="minorEastAsia"/>
          <w:snapToGrid w:val="0"/>
          <w:lang w:eastAsia="zh-CN"/>
        </w:rPr>
        <w:t>其他有效的地区保护措施具有相关科学和技术信息和知识，有可能通过成功保护原生物种、栖息地和生态系统以及相关生态系统功能和服务，通过防止、减少或消除现有的或潜在得到威胁和加强复原力来展示积极的生物多样性成果。其他有效的地区保护措施管理符合生态系统办法和预防性办法，提供为实现生物多样性成果（包括长期成果）而进行调整的能力，包括管理新威胁的能力；</w:t>
      </w:r>
    </w:p>
    <w:p w:rsidR="005B4DE3" w:rsidRPr="00403B4F" w:rsidRDefault="005B4DE3" w:rsidP="0069530A">
      <w:pPr>
        <w:numPr>
          <w:ilvl w:val="0"/>
          <w:numId w:val="11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lang w:eastAsia="zh-CN"/>
        </w:rPr>
      </w:pPr>
      <w:r w:rsidRPr="00403B4F">
        <w:rPr>
          <w:rFonts w:eastAsiaTheme="minorEastAsia"/>
          <w:snapToGrid w:val="0"/>
          <w:lang w:eastAsia="zh-CN"/>
        </w:rPr>
        <w:t>其他有效的地区保护措施能够帮助提高保护区系统的代表性和连通性，从而有助于解决对生物多样性构成部分和生态系统功能和服务更广泛和更普遍的威胁，并提高复原力，包括在气候变化方面；</w:t>
      </w:r>
    </w:p>
    <w:p w:rsidR="005B4DE3" w:rsidRPr="00403B4F" w:rsidRDefault="005B4DE3" w:rsidP="0069530A">
      <w:pPr>
        <w:numPr>
          <w:ilvl w:val="0"/>
          <w:numId w:val="11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lang w:eastAsia="zh-CN"/>
        </w:rPr>
      </w:pPr>
      <w:r w:rsidRPr="00403B4F">
        <w:rPr>
          <w:rFonts w:eastAsiaTheme="minorEastAsia"/>
          <w:snapToGrid w:val="0"/>
          <w:lang w:eastAsia="zh-CN"/>
        </w:rPr>
        <w:t>对其他有效的地区保护措施给予承认后，</w:t>
      </w:r>
      <w:r w:rsidRPr="00403B4F">
        <w:rPr>
          <w:rFonts w:eastAsiaTheme="minorEastAsia"/>
          <w:snapToGrid w:val="0"/>
          <w:spacing w:val="-20"/>
          <w:lang w:eastAsia="zh-CN"/>
        </w:rPr>
        <w:t>应与有关治理当局、土地所有人和权利所有人、</w:t>
      </w:r>
      <w:r w:rsidRPr="00403B4F">
        <w:rPr>
          <w:rFonts w:eastAsiaTheme="minorEastAsia"/>
          <w:snapToGrid w:val="0"/>
          <w:lang w:eastAsia="zh-CN"/>
        </w:rPr>
        <w:t>利益攸关方和公众进行适当的协商；</w:t>
      </w:r>
    </w:p>
    <w:p w:rsidR="005B4DE3" w:rsidRPr="00403B4F" w:rsidRDefault="005B4DE3" w:rsidP="0069530A">
      <w:pPr>
        <w:numPr>
          <w:ilvl w:val="0"/>
          <w:numId w:val="11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lang w:eastAsia="zh-CN"/>
        </w:rPr>
      </w:pPr>
      <w:r w:rsidRPr="00403B4F">
        <w:rPr>
          <w:rFonts w:eastAsiaTheme="minorEastAsia"/>
          <w:snapToGrid w:val="0"/>
          <w:lang w:eastAsia="zh-CN"/>
        </w:rPr>
        <w:t>对其他有效的地区保护措施给予承认后，还应采取措施加强其合法当局的治理能力，确保其对生物多样性的积极而持续的长期成果，包括预防和应对威胁的政策框架和法规；</w:t>
      </w:r>
    </w:p>
    <w:p w:rsidR="005B4DE3" w:rsidRPr="00403B4F" w:rsidRDefault="005B4DE3" w:rsidP="0069530A">
      <w:pPr>
        <w:numPr>
          <w:ilvl w:val="0"/>
          <w:numId w:val="11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lang w:eastAsia="zh-CN"/>
        </w:rPr>
      </w:pPr>
      <w:r w:rsidRPr="00403B4F">
        <w:rPr>
          <w:rFonts w:eastAsiaTheme="minorEastAsia"/>
          <w:snapToGrid w:val="0"/>
          <w:lang w:eastAsia="zh-CN"/>
        </w:rPr>
        <w:t>对土著人民和地方社区领地内的其他有效的地区保护措施的承认，应以自我识别为基础，并酌情获得其自由、事先和知情同意，并符合国家政策、规章和国情以及适用的国际义务；</w:t>
      </w:r>
    </w:p>
    <w:p w:rsidR="005B4DE3" w:rsidRPr="00403B4F" w:rsidRDefault="005B4DE3" w:rsidP="0069530A">
      <w:pPr>
        <w:numPr>
          <w:ilvl w:val="0"/>
          <w:numId w:val="11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lang w:eastAsia="zh-CN"/>
        </w:rPr>
      </w:pPr>
      <w:r w:rsidRPr="00403B4F">
        <w:rPr>
          <w:rFonts w:eastAsiaTheme="minorEastAsia"/>
          <w:snapToGrid w:val="0"/>
          <w:lang w:eastAsia="zh-CN"/>
        </w:rPr>
        <w:t>因其文化和精神价值而进行保护的地区，以及尊重文化精神价值并以其为导向的治理和管理，通常会产生积极的生物多样性成果；</w:t>
      </w:r>
    </w:p>
    <w:p w:rsidR="005B4DE3" w:rsidRPr="00403B4F" w:rsidRDefault="005B4DE3" w:rsidP="0069530A">
      <w:pPr>
        <w:numPr>
          <w:ilvl w:val="0"/>
          <w:numId w:val="11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lang w:eastAsia="zh-CN"/>
        </w:rPr>
      </w:pPr>
      <w:r w:rsidRPr="00403B4F">
        <w:rPr>
          <w:rFonts w:eastAsiaTheme="minorEastAsia"/>
          <w:snapToGrid w:val="0"/>
          <w:lang w:eastAsia="zh-CN"/>
        </w:rPr>
        <w:lastRenderedPageBreak/>
        <w:t>其他有效的地区保护措施承认、促进和凸显不同治理制度和行为者在生物多样性保护中的作用；确保成效的激励措施可包括一系列社会和生态惠益，包括赋予土著人民和地方社区权能；</w:t>
      </w:r>
    </w:p>
    <w:p w:rsidR="005B4DE3" w:rsidRPr="00403B4F" w:rsidRDefault="005B4DE3" w:rsidP="0069530A">
      <w:pPr>
        <w:numPr>
          <w:ilvl w:val="0"/>
          <w:numId w:val="11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lang w:eastAsia="zh-CN"/>
        </w:rPr>
      </w:pPr>
      <w:r w:rsidRPr="00403B4F">
        <w:rPr>
          <w:rFonts w:eastAsiaTheme="minorEastAsia"/>
          <w:snapToGrid w:val="0"/>
          <w:lang w:eastAsia="zh-CN"/>
        </w:rPr>
        <w:t>应根据国际义务和框架，例如《联合国土著人民权利宣言》和《生物多样性公约》的文书、决定和准则，使用现有最佳科学信息、土著和地方知识，承认其他有效的地区保护措施，确定其位置和面积，通报管理办法和衡量绩效；</w:t>
      </w:r>
    </w:p>
    <w:p w:rsidR="005B4DE3" w:rsidRPr="00403B4F" w:rsidRDefault="005B4DE3" w:rsidP="0069530A">
      <w:pPr>
        <w:numPr>
          <w:ilvl w:val="0"/>
          <w:numId w:val="112"/>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lang w:eastAsia="zh-CN"/>
        </w:rPr>
      </w:pPr>
      <w:r w:rsidRPr="00403B4F">
        <w:rPr>
          <w:rFonts w:eastAsiaTheme="minorEastAsia"/>
          <w:snapToGrid w:val="0"/>
          <w:lang w:eastAsia="zh-CN"/>
        </w:rPr>
        <w:t>必须透明方式记录其他有效的地区保护措施，以便对目标</w:t>
      </w:r>
      <w:r w:rsidRPr="00403B4F">
        <w:rPr>
          <w:rFonts w:eastAsiaTheme="minorEastAsia"/>
          <w:snapToGrid w:val="0"/>
          <w:lang w:eastAsia="zh-CN"/>
        </w:rPr>
        <w:t>11</w:t>
      </w:r>
      <w:r w:rsidRPr="00403B4F">
        <w:rPr>
          <w:rFonts w:eastAsiaTheme="minorEastAsia"/>
          <w:snapToGrid w:val="0"/>
          <w:lang w:eastAsia="zh-CN"/>
        </w:rPr>
        <w:t>方面的有效性、功能和相关性进行相关评估。</w:t>
      </w:r>
    </w:p>
    <w:p w:rsidR="005B4DE3" w:rsidRPr="00403B4F" w:rsidRDefault="005B4DE3" w:rsidP="00084B39">
      <w:pPr>
        <w:ind w:firstLine="0"/>
        <w:jc w:val="center"/>
        <w:rPr>
          <w:rFonts w:eastAsiaTheme="minorEastAsia"/>
          <w:b/>
        </w:rPr>
      </w:pPr>
      <w:r>
        <w:rPr>
          <w:b/>
          <w:lang w:eastAsia="zh-CN"/>
        </w:rPr>
        <w:br w:type="page"/>
      </w:r>
      <w:r w:rsidRPr="00403B4F">
        <w:rPr>
          <w:rFonts w:eastAsiaTheme="minorEastAsia"/>
          <w:b/>
        </w:rPr>
        <w:lastRenderedPageBreak/>
        <w:t xml:space="preserve">B.  </w:t>
      </w:r>
      <w:r w:rsidR="00084B39">
        <w:rPr>
          <w:rFonts w:eastAsiaTheme="minorEastAsia"/>
          <w:b/>
        </w:rPr>
        <w:t xml:space="preserve">  </w:t>
      </w:r>
      <w:r w:rsidRPr="00403B4F">
        <w:rPr>
          <w:rFonts w:eastAsiaTheme="minorEastAsia"/>
          <w:b/>
        </w:rPr>
        <w:t>识别标准</w:t>
      </w:r>
    </w:p>
    <w:tbl>
      <w:tblPr>
        <w:tblStyle w:val="TableGrid1"/>
        <w:tblW w:w="9331" w:type="dxa"/>
        <w:jc w:val="center"/>
        <w:tblLook w:val="04A0"/>
      </w:tblPr>
      <w:tblGrid>
        <w:gridCol w:w="1611"/>
        <w:gridCol w:w="7720"/>
      </w:tblGrid>
      <w:tr w:rsidR="005B4DE3" w:rsidRPr="00403B4F" w:rsidTr="005B4DE3">
        <w:trPr>
          <w:cantSplit/>
          <w:jc w:val="center"/>
        </w:trPr>
        <w:tc>
          <w:tcPr>
            <w:tcW w:w="9331" w:type="dxa"/>
            <w:gridSpan w:val="2"/>
            <w:shd w:val="clear" w:color="auto" w:fill="BFBFBF"/>
          </w:tcPr>
          <w:p w:rsidR="005B4DE3" w:rsidRPr="00403B4F" w:rsidRDefault="005B4DE3" w:rsidP="00084B39">
            <w:pPr>
              <w:suppressLineNumbers/>
              <w:suppressAutoHyphens/>
              <w:kinsoku w:val="0"/>
              <w:overflowPunct w:val="0"/>
              <w:autoSpaceDE w:val="0"/>
              <w:autoSpaceDN w:val="0"/>
              <w:spacing w:before="0" w:after="0"/>
              <w:rPr>
                <w:rFonts w:ascii="Times New Roman" w:eastAsiaTheme="minorEastAsia" w:hAnsi="Times New Roman"/>
                <w:b/>
                <w:kern w:val="22"/>
                <w:lang w:eastAsia="zh-CN"/>
              </w:rPr>
            </w:pPr>
            <w:r w:rsidRPr="00403B4F">
              <w:rPr>
                <w:rFonts w:ascii="Times New Roman" w:eastAsiaTheme="minorEastAsia" w:hAnsi="Times New Roman"/>
                <w:b/>
                <w:kern w:val="22"/>
                <w:lang w:eastAsia="zh-CN"/>
              </w:rPr>
              <w:t>标准</w:t>
            </w:r>
            <w:r w:rsidRPr="00403B4F">
              <w:rPr>
                <w:rFonts w:ascii="Times New Roman" w:eastAsiaTheme="minorEastAsia" w:hAnsi="Times New Roman"/>
                <w:b/>
                <w:kern w:val="22"/>
                <w:lang w:eastAsia="zh-CN"/>
              </w:rPr>
              <w:t xml:space="preserve">A: </w:t>
            </w:r>
            <w:r w:rsidRPr="00403B4F">
              <w:rPr>
                <w:rFonts w:ascii="Times New Roman" w:eastAsiaTheme="minorEastAsia" w:hAnsi="Times New Roman"/>
                <w:b/>
                <w:kern w:val="22"/>
                <w:lang w:eastAsia="zh-CN"/>
              </w:rPr>
              <w:t>地区目前未被确认为保护区</w:t>
            </w:r>
          </w:p>
        </w:tc>
      </w:tr>
      <w:tr w:rsidR="005B4DE3" w:rsidRPr="00403B4F" w:rsidTr="005B4DE3">
        <w:trPr>
          <w:cantSplit/>
          <w:trHeight w:val="800"/>
          <w:jc w:val="center"/>
        </w:trPr>
        <w:tc>
          <w:tcPr>
            <w:tcW w:w="1611" w:type="dxa"/>
          </w:tcPr>
          <w:p w:rsidR="005B4DE3" w:rsidRPr="00403B4F" w:rsidRDefault="005B4DE3" w:rsidP="00084B39">
            <w:pPr>
              <w:suppressLineNumbers/>
              <w:suppressAutoHyphens/>
              <w:kinsoku w:val="0"/>
              <w:overflowPunct w:val="0"/>
              <w:autoSpaceDE w:val="0"/>
              <w:autoSpaceDN w:val="0"/>
              <w:spacing w:before="0" w:after="0"/>
              <w:ind w:firstLine="0"/>
              <w:outlineLvl w:val="2"/>
              <w:rPr>
                <w:rFonts w:ascii="Times New Roman" w:eastAsiaTheme="minorEastAsia" w:hAnsi="Times New Roman"/>
                <w:b/>
                <w:bCs/>
                <w:iCs/>
                <w:kern w:val="22"/>
                <w:lang w:val="en-CA" w:eastAsia="zh-CN"/>
              </w:rPr>
            </w:pPr>
            <w:bookmarkStart w:id="83" w:name="_Toc6243696"/>
            <w:r w:rsidRPr="00403B4F">
              <w:rPr>
                <w:rFonts w:ascii="Times New Roman" w:eastAsiaTheme="minorEastAsia" w:hAnsi="Times New Roman"/>
                <w:b/>
                <w:bCs/>
                <w:iCs/>
                <w:kern w:val="22"/>
                <w:lang w:val="en-CA" w:eastAsia="zh-CN"/>
              </w:rPr>
              <w:t>不是保护区</w:t>
            </w:r>
            <w:bookmarkEnd w:id="83"/>
          </w:p>
        </w:tc>
        <w:tc>
          <w:tcPr>
            <w:tcW w:w="7720" w:type="dxa"/>
          </w:tcPr>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Cs/>
                <w:kern w:val="22"/>
                <w:lang w:val="en-CA" w:eastAsia="zh-CN"/>
              </w:rPr>
            </w:pPr>
            <w:bookmarkStart w:id="84" w:name="_Toc6243697"/>
            <w:r w:rsidRPr="00403B4F">
              <w:rPr>
                <w:rFonts w:ascii="Times New Roman" w:eastAsiaTheme="minorEastAsia" w:hAnsi="Times New Roman"/>
                <w:iCs/>
                <w:kern w:val="22"/>
                <w:lang w:val="en-CA" w:eastAsia="zh-CN"/>
              </w:rPr>
              <w:t>目前不是确认或报告的保护区或保护区的一部分；可能是为其他功能而设立的地区。</w:t>
            </w:r>
            <w:bookmarkEnd w:id="84"/>
          </w:p>
        </w:tc>
      </w:tr>
      <w:tr w:rsidR="005B4DE3" w:rsidRPr="00403B4F" w:rsidTr="005B4DE3">
        <w:trPr>
          <w:cantSplit/>
          <w:jc w:val="center"/>
        </w:trPr>
        <w:tc>
          <w:tcPr>
            <w:tcW w:w="9331" w:type="dxa"/>
            <w:gridSpan w:val="2"/>
            <w:shd w:val="clear" w:color="auto" w:fill="BFBFBF"/>
          </w:tcPr>
          <w:p w:rsidR="005B4DE3" w:rsidRPr="00403B4F" w:rsidRDefault="005B4DE3" w:rsidP="00084B39">
            <w:pPr>
              <w:suppressLineNumbers/>
              <w:suppressAutoHyphens/>
              <w:kinsoku w:val="0"/>
              <w:overflowPunct w:val="0"/>
              <w:autoSpaceDE w:val="0"/>
              <w:autoSpaceDN w:val="0"/>
              <w:spacing w:before="0" w:after="0"/>
              <w:ind w:left="162" w:firstLine="0"/>
              <w:rPr>
                <w:rFonts w:ascii="Times New Roman" w:eastAsiaTheme="minorEastAsia" w:hAnsi="Times New Roman"/>
                <w:b/>
                <w:kern w:val="22"/>
                <w:lang w:eastAsia="zh-CN"/>
              </w:rPr>
            </w:pPr>
            <w:r w:rsidRPr="00403B4F">
              <w:rPr>
                <w:rFonts w:ascii="Times New Roman" w:eastAsiaTheme="minorEastAsia" w:hAnsi="Times New Roman"/>
                <w:b/>
                <w:kern w:val="22"/>
                <w:lang w:eastAsia="zh-CN"/>
              </w:rPr>
              <w:t>标准</w:t>
            </w:r>
            <w:r w:rsidRPr="00403B4F">
              <w:rPr>
                <w:rFonts w:ascii="Times New Roman" w:eastAsiaTheme="minorEastAsia" w:hAnsi="Times New Roman"/>
                <w:b/>
                <w:kern w:val="22"/>
                <w:lang w:eastAsia="zh-CN"/>
              </w:rPr>
              <w:t xml:space="preserve">B: </w:t>
            </w:r>
            <w:r w:rsidRPr="00403B4F">
              <w:rPr>
                <w:rFonts w:ascii="Times New Roman" w:eastAsiaTheme="minorEastAsia" w:hAnsi="Times New Roman"/>
                <w:b/>
                <w:kern w:val="22"/>
                <w:lang w:eastAsia="zh-CN"/>
              </w:rPr>
              <w:t>地区受治理和管理</w:t>
            </w:r>
          </w:p>
        </w:tc>
      </w:tr>
      <w:tr w:rsidR="005B4DE3" w:rsidRPr="00403B4F" w:rsidTr="005B4DE3">
        <w:trPr>
          <w:cantSplit/>
          <w:jc w:val="center"/>
        </w:trPr>
        <w:tc>
          <w:tcPr>
            <w:tcW w:w="1611" w:type="dxa"/>
          </w:tcPr>
          <w:p w:rsidR="005B4DE3" w:rsidRPr="00403B4F" w:rsidRDefault="005B4DE3" w:rsidP="00084B39">
            <w:pPr>
              <w:suppressLineNumbers/>
              <w:suppressAutoHyphens/>
              <w:kinsoku w:val="0"/>
              <w:overflowPunct w:val="0"/>
              <w:autoSpaceDE w:val="0"/>
              <w:autoSpaceDN w:val="0"/>
              <w:spacing w:before="0" w:after="0"/>
              <w:ind w:firstLine="0"/>
              <w:rPr>
                <w:rFonts w:ascii="Times New Roman" w:eastAsiaTheme="minorEastAsia" w:hAnsi="Times New Roman"/>
                <w:b/>
                <w:kern w:val="22"/>
                <w:lang w:eastAsia="zh-CN"/>
              </w:rPr>
            </w:pPr>
            <w:r w:rsidRPr="00403B4F">
              <w:rPr>
                <w:rFonts w:ascii="Times New Roman" w:eastAsiaTheme="minorEastAsia" w:hAnsi="Times New Roman"/>
                <w:b/>
                <w:kern w:val="22"/>
                <w:lang w:eastAsia="zh-CN"/>
              </w:rPr>
              <w:t>划定的地理空间</w:t>
            </w:r>
          </w:p>
        </w:tc>
        <w:tc>
          <w:tcPr>
            <w:tcW w:w="7720" w:type="dxa"/>
          </w:tcPr>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Cs/>
                <w:kern w:val="22"/>
                <w:lang w:val="en-CA" w:eastAsia="zh-CN"/>
              </w:rPr>
            </w:pPr>
            <w:bookmarkStart w:id="85" w:name="_Toc6243698"/>
            <w:r w:rsidRPr="00403B4F">
              <w:rPr>
                <w:rFonts w:ascii="Times New Roman" w:eastAsiaTheme="minorEastAsia" w:hAnsi="Times New Roman"/>
                <w:iCs/>
                <w:lang w:val="en-CA" w:eastAsia="zh-CN"/>
              </w:rPr>
              <w:t>规模和面积经过描述，必要时包括三维描述。</w:t>
            </w:r>
            <w:bookmarkEnd w:id="85"/>
          </w:p>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
                <w:iCs/>
                <w:kern w:val="22"/>
                <w:lang w:val="en-CA" w:eastAsia="zh-CN"/>
              </w:rPr>
            </w:pPr>
            <w:bookmarkStart w:id="86" w:name="_Toc6243699"/>
            <w:r w:rsidRPr="00403B4F">
              <w:rPr>
                <w:rFonts w:ascii="Times New Roman" w:eastAsiaTheme="minorEastAsia" w:hAnsi="Times New Roman"/>
                <w:iCs/>
                <w:kern w:val="22"/>
                <w:lang w:val="en-CA" w:eastAsia="zh-CN"/>
              </w:rPr>
              <w:t>界限经过地理划定。</w:t>
            </w:r>
            <w:bookmarkEnd w:id="86"/>
          </w:p>
        </w:tc>
      </w:tr>
      <w:tr w:rsidR="005B4DE3" w:rsidRPr="00403B4F" w:rsidTr="005B4DE3">
        <w:trPr>
          <w:cantSplit/>
          <w:jc w:val="center"/>
        </w:trPr>
        <w:tc>
          <w:tcPr>
            <w:tcW w:w="1611" w:type="dxa"/>
          </w:tcPr>
          <w:p w:rsidR="005B4DE3" w:rsidRPr="00403B4F" w:rsidRDefault="005B4DE3" w:rsidP="00084B39">
            <w:pPr>
              <w:suppressLineNumbers/>
              <w:suppressAutoHyphens/>
              <w:kinsoku w:val="0"/>
              <w:overflowPunct w:val="0"/>
              <w:autoSpaceDE w:val="0"/>
              <w:autoSpaceDN w:val="0"/>
              <w:spacing w:before="0" w:after="0"/>
              <w:ind w:firstLine="0"/>
              <w:rPr>
                <w:rFonts w:ascii="Times New Roman" w:eastAsiaTheme="minorEastAsia" w:hAnsi="Times New Roman"/>
                <w:b/>
                <w:kern w:val="22"/>
                <w:lang w:eastAsia="zh-CN"/>
              </w:rPr>
            </w:pPr>
            <w:r w:rsidRPr="00403B4F">
              <w:rPr>
                <w:rFonts w:ascii="Times New Roman" w:eastAsiaTheme="minorEastAsia" w:hAnsi="Times New Roman"/>
                <w:b/>
                <w:kern w:val="22"/>
                <w:lang w:eastAsia="zh-CN"/>
              </w:rPr>
              <w:t>合法治理当局</w:t>
            </w:r>
          </w:p>
        </w:tc>
        <w:tc>
          <w:tcPr>
            <w:tcW w:w="7720" w:type="dxa"/>
          </w:tcPr>
          <w:p w:rsidR="005B4DE3" w:rsidRPr="00403B4F" w:rsidRDefault="005B4DE3" w:rsidP="00084B39">
            <w:pPr>
              <w:numPr>
                <w:ilvl w:val="0"/>
                <w:numId w:val="100"/>
              </w:numPr>
              <w:suppressLineNumbers/>
              <w:suppressAutoHyphens/>
              <w:kinsoku w:val="0"/>
              <w:overflowPunct w:val="0"/>
              <w:autoSpaceDE w:val="0"/>
              <w:autoSpaceDN w:val="0"/>
              <w:spacing w:before="0" w:after="0"/>
              <w:ind w:left="403"/>
              <w:rPr>
                <w:rFonts w:ascii="Times New Roman" w:eastAsiaTheme="minorEastAsia" w:hAnsi="Times New Roman"/>
                <w:kern w:val="22"/>
                <w:lang w:eastAsia="zh-CN"/>
              </w:rPr>
            </w:pPr>
            <w:r w:rsidRPr="00403B4F">
              <w:rPr>
                <w:rFonts w:ascii="Times New Roman" w:eastAsiaTheme="minorEastAsia" w:hAnsi="Times New Roman"/>
                <w:kern w:val="22"/>
                <w:lang w:val="en-CA" w:eastAsia="zh-CN"/>
              </w:rPr>
              <w:t>治理具有合法当局</w:t>
            </w:r>
            <w:r w:rsidRPr="00403B4F">
              <w:rPr>
                <w:rFonts w:ascii="Times New Roman" w:eastAsiaTheme="minorEastAsia" w:hAnsi="Times New Roman"/>
                <w:kern w:val="22"/>
                <w:lang w:eastAsia="zh-CN"/>
              </w:rPr>
              <w:t>，</w:t>
            </w:r>
            <w:r w:rsidRPr="00403B4F">
              <w:rPr>
                <w:rFonts w:ascii="Times New Roman" w:eastAsiaTheme="minorEastAsia" w:hAnsi="Times New Roman"/>
                <w:kern w:val="22"/>
                <w:lang w:val="en-CA" w:eastAsia="zh-CN"/>
              </w:rPr>
              <w:t>适合实现区内生物多样性就地保护。</w:t>
            </w:r>
          </w:p>
          <w:p w:rsidR="005B4DE3" w:rsidRPr="00403B4F" w:rsidRDefault="005B4DE3" w:rsidP="00084B39">
            <w:pPr>
              <w:numPr>
                <w:ilvl w:val="0"/>
                <w:numId w:val="100"/>
              </w:numPr>
              <w:suppressLineNumbers/>
              <w:suppressAutoHyphens/>
              <w:kinsoku w:val="0"/>
              <w:overflowPunct w:val="0"/>
              <w:autoSpaceDE w:val="0"/>
              <w:autoSpaceDN w:val="0"/>
              <w:spacing w:before="0" w:after="0"/>
              <w:ind w:left="403"/>
              <w:rPr>
                <w:rFonts w:ascii="Times New Roman" w:eastAsiaTheme="minorEastAsia" w:hAnsi="Times New Roman"/>
                <w:kern w:val="22"/>
                <w:lang w:val="en-CA" w:eastAsia="zh-CN"/>
              </w:rPr>
            </w:pPr>
            <w:r w:rsidRPr="00403B4F">
              <w:rPr>
                <w:rFonts w:ascii="Times New Roman" w:eastAsiaTheme="minorEastAsia" w:hAnsi="Times New Roman"/>
                <w:kern w:val="22"/>
                <w:lang w:eastAsia="zh-CN"/>
              </w:rPr>
              <w:t>土著人民和地方社区进行治理根据国家立法和适用的国际义务自我识别。</w:t>
            </w:r>
          </w:p>
          <w:p w:rsidR="005B4DE3" w:rsidRPr="00403B4F" w:rsidRDefault="005B4DE3" w:rsidP="00084B39">
            <w:pPr>
              <w:numPr>
                <w:ilvl w:val="0"/>
                <w:numId w:val="100"/>
              </w:numPr>
              <w:suppressLineNumbers/>
              <w:suppressAutoHyphens/>
              <w:kinsoku w:val="0"/>
              <w:overflowPunct w:val="0"/>
              <w:autoSpaceDE w:val="0"/>
              <w:autoSpaceDN w:val="0"/>
              <w:spacing w:before="0" w:after="0"/>
              <w:ind w:left="403"/>
              <w:rPr>
                <w:rFonts w:ascii="Times New Roman" w:eastAsiaTheme="minorEastAsia" w:hAnsi="Times New Roman"/>
                <w:kern w:val="22"/>
                <w:lang w:val="en-CA" w:eastAsia="zh-CN"/>
              </w:rPr>
            </w:pPr>
            <w:r w:rsidRPr="00403B4F">
              <w:rPr>
                <w:rFonts w:ascii="Times New Roman" w:eastAsiaTheme="minorEastAsia" w:hAnsi="Times New Roman"/>
                <w:kern w:val="22"/>
                <w:lang w:val="en-CA" w:eastAsia="zh-CN"/>
              </w:rPr>
              <w:t>治理反映《公约》通过的公平考虑。</w:t>
            </w:r>
          </w:p>
          <w:p w:rsidR="005B4DE3" w:rsidRPr="00403B4F" w:rsidRDefault="005B4DE3" w:rsidP="00084B39">
            <w:pPr>
              <w:numPr>
                <w:ilvl w:val="0"/>
                <w:numId w:val="100"/>
              </w:numPr>
              <w:suppressLineNumbers/>
              <w:suppressAutoHyphens/>
              <w:kinsoku w:val="0"/>
              <w:overflowPunct w:val="0"/>
              <w:autoSpaceDE w:val="0"/>
              <w:autoSpaceDN w:val="0"/>
              <w:spacing w:before="0" w:after="0"/>
              <w:ind w:left="403"/>
              <w:rPr>
                <w:rFonts w:ascii="Times New Roman" w:eastAsiaTheme="minorEastAsia" w:hAnsi="Times New Roman"/>
                <w:kern w:val="22"/>
                <w:lang w:val="en-CA" w:eastAsia="zh-CN"/>
              </w:rPr>
            </w:pPr>
            <w:r w:rsidRPr="00403B4F">
              <w:rPr>
                <w:rFonts w:ascii="Times New Roman" w:eastAsiaTheme="minorEastAsia" w:hAnsi="Times New Roman"/>
                <w:kern w:val="22"/>
                <w:lang w:val="en-CA" w:eastAsia="zh-CN"/>
              </w:rPr>
              <w:t>单一当局和</w:t>
            </w:r>
            <w:r w:rsidRPr="00403B4F">
              <w:rPr>
                <w:rFonts w:ascii="Times New Roman" w:eastAsiaTheme="minorEastAsia" w:hAnsi="Times New Roman"/>
                <w:kern w:val="22"/>
                <w:lang w:val="en-CA" w:eastAsia="zh-CN"/>
              </w:rPr>
              <w:t>(</w:t>
            </w:r>
            <w:r w:rsidRPr="00403B4F">
              <w:rPr>
                <w:rFonts w:ascii="Times New Roman" w:eastAsiaTheme="minorEastAsia" w:hAnsi="Times New Roman"/>
                <w:kern w:val="22"/>
                <w:lang w:val="en-CA" w:eastAsia="zh-CN"/>
              </w:rPr>
              <w:t>或</w:t>
            </w:r>
            <w:r w:rsidRPr="00403B4F">
              <w:rPr>
                <w:rFonts w:ascii="Times New Roman" w:eastAsiaTheme="minorEastAsia" w:hAnsi="Times New Roman"/>
                <w:kern w:val="22"/>
                <w:lang w:val="en-CA" w:eastAsia="zh-CN"/>
              </w:rPr>
              <w:t>)</w:t>
            </w:r>
            <w:r w:rsidRPr="00403B4F">
              <w:rPr>
                <w:rFonts w:ascii="Times New Roman" w:eastAsiaTheme="minorEastAsia" w:hAnsi="Times New Roman"/>
                <w:kern w:val="22"/>
                <w:lang w:val="en-CA" w:eastAsia="zh-CN"/>
              </w:rPr>
              <w:t>组织治理或多个主管当局协作治理共同应对威胁。</w:t>
            </w:r>
          </w:p>
        </w:tc>
      </w:tr>
      <w:tr w:rsidR="005B4DE3" w:rsidRPr="00403B4F" w:rsidTr="005B4DE3">
        <w:trPr>
          <w:cantSplit/>
          <w:jc w:val="center"/>
        </w:trPr>
        <w:tc>
          <w:tcPr>
            <w:tcW w:w="1611" w:type="dxa"/>
          </w:tcPr>
          <w:p w:rsidR="005B4DE3" w:rsidRPr="00403B4F" w:rsidRDefault="005B4DE3" w:rsidP="00084B39">
            <w:pPr>
              <w:suppressLineNumbers/>
              <w:suppressAutoHyphens/>
              <w:kinsoku w:val="0"/>
              <w:overflowPunct w:val="0"/>
              <w:autoSpaceDE w:val="0"/>
              <w:autoSpaceDN w:val="0"/>
              <w:spacing w:before="0" w:after="0"/>
              <w:ind w:firstLine="0"/>
              <w:rPr>
                <w:rFonts w:ascii="Times New Roman" w:eastAsiaTheme="minorEastAsia" w:hAnsi="Times New Roman"/>
                <w:b/>
                <w:kern w:val="22"/>
                <w:lang w:eastAsia="zh-CN"/>
              </w:rPr>
            </w:pPr>
            <w:r w:rsidRPr="00403B4F">
              <w:rPr>
                <w:rFonts w:ascii="Times New Roman" w:eastAsiaTheme="minorEastAsia" w:hAnsi="Times New Roman"/>
                <w:b/>
                <w:kern w:val="22"/>
                <w:lang w:eastAsia="zh-CN"/>
              </w:rPr>
              <w:t>管理下的</w:t>
            </w:r>
          </w:p>
        </w:tc>
        <w:tc>
          <w:tcPr>
            <w:tcW w:w="7720" w:type="dxa"/>
          </w:tcPr>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
                <w:kern w:val="22"/>
                <w:lang w:val="en-CA" w:eastAsia="zh-CN"/>
              </w:rPr>
            </w:pPr>
            <w:bookmarkStart w:id="87" w:name="_Toc6243700"/>
            <w:r w:rsidRPr="00403B4F">
              <w:rPr>
                <w:rFonts w:ascii="Times New Roman" w:eastAsiaTheme="minorEastAsia" w:hAnsi="Times New Roman"/>
                <w:kern w:val="22"/>
                <w:lang w:val="en-CA" w:eastAsia="zh-CN"/>
              </w:rPr>
              <w:t>管理方式有助于在保护生物多样性中实现积极和持续成果。</w:t>
            </w:r>
            <w:bookmarkEnd w:id="87"/>
          </w:p>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
                <w:kern w:val="22"/>
                <w:lang w:val="en-CA" w:eastAsia="zh-CN"/>
              </w:rPr>
            </w:pPr>
            <w:bookmarkStart w:id="88" w:name="_Toc6243701"/>
            <w:r w:rsidRPr="00403B4F">
              <w:rPr>
                <w:rFonts w:ascii="Times New Roman" w:eastAsiaTheme="minorEastAsia" w:hAnsi="Times New Roman"/>
                <w:iCs/>
                <w:kern w:val="22"/>
                <w:lang w:val="en-CA" w:eastAsia="zh-CN"/>
              </w:rPr>
              <w:t>列明参与管理的有关当局和利益攸关方。</w:t>
            </w:r>
            <w:bookmarkEnd w:id="88"/>
          </w:p>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
                <w:kern w:val="22"/>
                <w:lang w:val="en-CA" w:eastAsia="zh-CN"/>
              </w:rPr>
            </w:pPr>
            <w:bookmarkStart w:id="89" w:name="_Toc6243702"/>
            <w:r w:rsidRPr="00403B4F">
              <w:rPr>
                <w:rFonts w:ascii="Times New Roman" w:eastAsiaTheme="minorEastAsia" w:hAnsi="Times New Roman"/>
                <w:iCs/>
                <w:kern w:val="22"/>
                <w:lang w:val="en-CA" w:eastAsia="zh-CN"/>
              </w:rPr>
              <w:t>设有有助于维持生物多样性就地保护的管理系统。</w:t>
            </w:r>
            <w:bookmarkEnd w:id="89"/>
          </w:p>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
                <w:iCs/>
                <w:kern w:val="22"/>
                <w:lang w:val="en-CA" w:eastAsia="zh-CN"/>
              </w:rPr>
            </w:pPr>
            <w:bookmarkStart w:id="90" w:name="_Toc6243703"/>
            <w:r w:rsidRPr="00403B4F">
              <w:rPr>
                <w:rFonts w:ascii="Times New Roman" w:eastAsiaTheme="minorEastAsia" w:hAnsi="Times New Roman"/>
                <w:iCs/>
                <w:kern w:val="22"/>
                <w:lang w:val="en-CA" w:eastAsia="zh-CN"/>
              </w:rPr>
              <w:t>管理符合生态系统办法，具有实现预期生物多样性保护成果包括长期成果的调整能力，包括管理新威胁的能力。</w:t>
            </w:r>
            <w:bookmarkEnd w:id="90"/>
          </w:p>
        </w:tc>
      </w:tr>
      <w:tr w:rsidR="005B4DE3" w:rsidRPr="00403B4F" w:rsidTr="005B4DE3">
        <w:trPr>
          <w:cantSplit/>
          <w:jc w:val="center"/>
        </w:trPr>
        <w:tc>
          <w:tcPr>
            <w:tcW w:w="9331" w:type="dxa"/>
            <w:gridSpan w:val="2"/>
            <w:shd w:val="clear" w:color="auto" w:fill="BFBFBF"/>
          </w:tcPr>
          <w:p w:rsidR="005B4DE3" w:rsidRPr="00403B4F" w:rsidRDefault="005B4DE3" w:rsidP="00084B39">
            <w:pPr>
              <w:suppressLineNumbers/>
              <w:suppressAutoHyphens/>
              <w:kinsoku w:val="0"/>
              <w:overflowPunct w:val="0"/>
              <w:autoSpaceDE w:val="0"/>
              <w:autoSpaceDN w:val="0"/>
              <w:spacing w:before="0" w:after="0"/>
              <w:ind w:left="162" w:hanging="162"/>
              <w:rPr>
                <w:rFonts w:ascii="Times New Roman" w:eastAsiaTheme="minorEastAsia" w:hAnsi="Times New Roman"/>
                <w:b/>
                <w:bCs/>
                <w:kern w:val="22"/>
                <w:lang w:eastAsia="zh-CN"/>
              </w:rPr>
            </w:pPr>
            <w:r w:rsidRPr="00403B4F">
              <w:rPr>
                <w:rFonts w:ascii="Times New Roman" w:eastAsiaTheme="minorEastAsia" w:hAnsi="Times New Roman"/>
                <w:b/>
                <w:kern w:val="22"/>
                <w:lang w:eastAsia="zh-CN"/>
              </w:rPr>
              <w:t>标准</w:t>
            </w:r>
            <w:r w:rsidRPr="00403B4F">
              <w:rPr>
                <w:rFonts w:ascii="Times New Roman" w:eastAsiaTheme="minorEastAsia" w:hAnsi="Times New Roman"/>
                <w:b/>
                <w:kern w:val="22"/>
                <w:lang w:eastAsia="zh-CN"/>
              </w:rPr>
              <w:t xml:space="preserve">C: </w:t>
            </w:r>
            <w:r w:rsidRPr="00403B4F">
              <w:rPr>
                <w:rFonts w:ascii="Times New Roman" w:eastAsiaTheme="minorEastAsia" w:hAnsi="Times New Roman"/>
                <w:b/>
                <w:kern w:val="22"/>
                <w:lang w:eastAsia="zh-CN"/>
              </w:rPr>
              <w:t>持续和有效促进就地保护生物多样性</w:t>
            </w:r>
          </w:p>
        </w:tc>
      </w:tr>
      <w:tr w:rsidR="005B4DE3" w:rsidRPr="00403B4F" w:rsidTr="005B4DE3">
        <w:trPr>
          <w:cantSplit/>
          <w:trHeight w:val="2029"/>
          <w:jc w:val="center"/>
        </w:trPr>
        <w:tc>
          <w:tcPr>
            <w:tcW w:w="1611" w:type="dxa"/>
          </w:tcPr>
          <w:p w:rsidR="005B4DE3" w:rsidRPr="00403B4F" w:rsidRDefault="005B4DE3" w:rsidP="00084B39">
            <w:pPr>
              <w:suppressLineNumbers/>
              <w:suppressAutoHyphens/>
              <w:kinsoku w:val="0"/>
              <w:overflowPunct w:val="0"/>
              <w:autoSpaceDE w:val="0"/>
              <w:autoSpaceDN w:val="0"/>
              <w:spacing w:before="0" w:after="0"/>
              <w:ind w:firstLine="0"/>
              <w:outlineLvl w:val="2"/>
              <w:rPr>
                <w:rFonts w:ascii="Times New Roman" w:eastAsiaTheme="minorEastAsia" w:hAnsi="Times New Roman"/>
                <w:b/>
                <w:bCs/>
                <w:iCs/>
                <w:kern w:val="22"/>
                <w:lang w:val="en-CA" w:eastAsia="zh-CN"/>
              </w:rPr>
            </w:pPr>
            <w:bookmarkStart w:id="91" w:name="_Toc6243704"/>
            <w:r w:rsidRPr="00403B4F">
              <w:rPr>
                <w:rFonts w:ascii="Times New Roman" w:eastAsiaTheme="minorEastAsia" w:hAnsi="Times New Roman"/>
                <w:b/>
                <w:bCs/>
                <w:iCs/>
                <w:kern w:val="22"/>
                <w:lang w:val="en-CA" w:eastAsia="zh-CN"/>
              </w:rPr>
              <w:t>有效</w:t>
            </w:r>
            <w:bookmarkEnd w:id="91"/>
          </w:p>
        </w:tc>
        <w:tc>
          <w:tcPr>
            <w:tcW w:w="7720" w:type="dxa"/>
          </w:tcPr>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Cs/>
                <w:kern w:val="22"/>
                <w:lang w:val="en-CA" w:eastAsia="zh-CN"/>
              </w:rPr>
            </w:pPr>
            <w:bookmarkStart w:id="92" w:name="_Toc6243705"/>
            <w:r w:rsidRPr="00403B4F">
              <w:rPr>
                <w:rFonts w:ascii="Times New Roman" w:eastAsiaTheme="minorEastAsia" w:hAnsi="Times New Roman"/>
                <w:iCs/>
                <w:kern w:val="22"/>
                <w:lang w:val="en-CA" w:eastAsia="zh-CN"/>
              </w:rPr>
              <w:t>在就地保护生物多样性方面实现或有望实现积极而持续的成果。</w:t>
            </w:r>
            <w:bookmarkEnd w:id="92"/>
          </w:p>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Cs/>
                <w:kern w:val="22"/>
                <w:lang w:val="en-CA" w:eastAsia="zh-CN"/>
              </w:rPr>
            </w:pPr>
            <w:bookmarkStart w:id="93" w:name="_Toc6243706"/>
            <w:r w:rsidRPr="00403B4F">
              <w:rPr>
                <w:rFonts w:ascii="Times New Roman" w:eastAsiaTheme="minorEastAsia" w:hAnsi="Times New Roman"/>
                <w:iCs/>
                <w:kern w:val="22"/>
                <w:lang w:val="en-CA" w:eastAsia="zh-CN"/>
              </w:rPr>
              <w:t>有效处理现有和合理预期的威胁，对其进行预防、大幅度减少或消除，并恢复退化的生态系统。</w:t>
            </w:r>
            <w:bookmarkEnd w:id="93"/>
          </w:p>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Cs/>
                <w:kern w:val="22"/>
                <w:lang w:val="en-CA" w:eastAsia="zh-CN"/>
              </w:rPr>
            </w:pPr>
            <w:bookmarkStart w:id="94" w:name="_Toc6243707"/>
            <w:r w:rsidRPr="00403B4F">
              <w:rPr>
                <w:rFonts w:ascii="Times New Roman" w:eastAsiaTheme="minorEastAsia" w:hAnsi="Times New Roman"/>
                <w:iCs/>
                <w:kern w:val="22"/>
                <w:lang w:val="en-CA" w:eastAsia="zh-CN"/>
              </w:rPr>
              <w:t>建立了政策框架和规章等机制，以便确认和应对新威胁。</w:t>
            </w:r>
            <w:bookmarkEnd w:id="94"/>
          </w:p>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Cs/>
                <w:kern w:val="22"/>
                <w:lang w:val="en-CA" w:eastAsia="zh-CN"/>
              </w:rPr>
            </w:pPr>
            <w:bookmarkStart w:id="95" w:name="_Toc6243708"/>
            <w:r w:rsidRPr="00403B4F">
              <w:rPr>
                <w:rFonts w:ascii="Times New Roman" w:eastAsiaTheme="minorEastAsia" w:hAnsi="Times New Roman"/>
                <w:iCs/>
                <w:kern w:val="22"/>
                <w:lang w:val="en-CA" w:eastAsia="zh-CN"/>
              </w:rPr>
              <w:t>在相关和可能的情况下，整合其他的有效的地区保护措施内外的管理。</w:t>
            </w:r>
            <w:bookmarkEnd w:id="95"/>
          </w:p>
        </w:tc>
      </w:tr>
      <w:tr w:rsidR="005B4DE3" w:rsidRPr="00403B4F" w:rsidTr="005B4DE3">
        <w:trPr>
          <w:cantSplit/>
          <w:jc w:val="center"/>
        </w:trPr>
        <w:tc>
          <w:tcPr>
            <w:tcW w:w="1611" w:type="dxa"/>
          </w:tcPr>
          <w:p w:rsidR="005B4DE3" w:rsidRPr="00403B4F" w:rsidRDefault="005B4DE3" w:rsidP="00084B39">
            <w:pPr>
              <w:suppressLineNumbers/>
              <w:suppressAutoHyphens/>
              <w:kinsoku w:val="0"/>
              <w:overflowPunct w:val="0"/>
              <w:autoSpaceDE w:val="0"/>
              <w:autoSpaceDN w:val="0"/>
              <w:spacing w:before="0" w:after="0"/>
              <w:ind w:firstLine="0"/>
              <w:outlineLvl w:val="2"/>
              <w:rPr>
                <w:rFonts w:ascii="Times New Roman" w:eastAsiaTheme="minorEastAsia" w:hAnsi="Times New Roman"/>
                <w:b/>
                <w:bCs/>
                <w:iCs/>
                <w:kern w:val="22"/>
                <w:lang w:val="en-CA" w:eastAsia="zh-CN"/>
              </w:rPr>
            </w:pPr>
            <w:bookmarkStart w:id="96" w:name="_Toc6243709"/>
            <w:r w:rsidRPr="00403B4F">
              <w:rPr>
                <w:rFonts w:ascii="Times New Roman" w:eastAsiaTheme="minorEastAsia" w:hAnsi="Times New Roman"/>
                <w:b/>
                <w:bCs/>
                <w:iCs/>
                <w:kern w:val="22"/>
                <w:lang w:val="en-CA" w:eastAsia="zh-CN"/>
              </w:rPr>
              <w:t>持续与长期</w:t>
            </w:r>
            <w:bookmarkEnd w:id="96"/>
          </w:p>
        </w:tc>
        <w:tc>
          <w:tcPr>
            <w:tcW w:w="7720" w:type="dxa"/>
          </w:tcPr>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Cs/>
                <w:kern w:val="22"/>
                <w:lang w:val="en-CA" w:eastAsia="zh-CN"/>
              </w:rPr>
            </w:pPr>
            <w:bookmarkStart w:id="97" w:name="_Toc6243710"/>
            <w:r w:rsidRPr="00403B4F">
              <w:rPr>
                <w:rFonts w:ascii="Times New Roman" w:eastAsiaTheme="minorEastAsia" w:hAnsi="Times New Roman"/>
                <w:iCs/>
                <w:lang w:val="en-CA" w:eastAsia="zh-CN"/>
              </w:rPr>
              <w:t>其他有效的地区保护措施是长期的或可能是长期的。</w:t>
            </w:r>
            <w:bookmarkEnd w:id="97"/>
          </w:p>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Cs/>
                <w:kern w:val="22"/>
                <w:lang w:val="en-CA" w:eastAsia="zh-CN"/>
              </w:rPr>
            </w:pPr>
            <w:bookmarkStart w:id="98" w:name="_Toc6243711"/>
            <w:r w:rsidRPr="00084B39">
              <w:rPr>
                <w:rFonts w:asciiTheme="minorEastAsia" w:eastAsiaTheme="minorEastAsia" w:hAnsiTheme="minorEastAsia"/>
                <w:iCs/>
                <w:kern w:val="22"/>
                <w:lang w:val="en-CA" w:eastAsia="zh-CN"/>
              </w:rPr>
              <w:t>“持续”</w:t>
            </w:r>
            <w:r w:rsidRPr="00403B4F">
              <w:rPr>
                <w:rFonts w:ascii="Times New Roman" w:eastAsiaTheme="minorEastAsia" w:hAnsi="Times New Roman"/>
                <w:iCs/>
                <w:kern w:val="22"/>
                <w:lang w:val="en-CA" w:eastAsia="zh-CN"/>
              </w:rPr>
              <w:t>指治理和管理的连续性，</w:t>
            </w:r>
            <w:r w:rsidRPr="00403B4F">
              <w:rPr>
                <w:rFonts w:ascii="Times New Roman" w:eastAsiaTheme="minorEastAsia" w:hAnsi="Times New Roman"/>
                <w:iCs/>
                <w:kern w:val="22"/>
                <w:lang w:val="en-CA" w:eastAsia="zh-CN"/>
              </w:rPr>
              <w:t>“</w:t>
            </w:r>
            <w:r w:rsidRPr="00403B4F">
              <w:rPr>
                <w:rFonts w:ascii="Times New Roman" w:eastAsiaTheme="minorEastAsia" w:hAnsi="Times New Roman"/>
                <w:iCs/>
                <w:kern w:val="22"/>
                <w:lang w:val="en-CA" w:eastAsia="zh-CN"/>
              </w:rPr>
              <w:t>长期</w:t>
            </w:r>
            <w:r w:rsidRPr="00403B4F">
              <w:rPr>
                <w:rFonts w:ascii="Times New Roman" w:eastAsiaTheme="minorEastAsia" w:hAnsi="Times New Roman"/>
                <w:iCs/>
                <w:kern w:val="22"/>
                <w:lang w:val="en-CA" w:eastAsia="zh-CN"/>
              </w:rPr>
              <w:t>”</w:t>
            </w:r>
            <w:r w:rsidRPr="00403B4F">
              <w:rPr>
                <w:rFonts w:ascii="Times New Roman" w:eastAsiaTheme="minorEastAsia" w:hAnsi="Times New Roman"/>
                <w:iCs/>
                <w:kern w:val="22"/>
                <w:lang w:val="en-CA" w:eastAsia="zh-CN"/>
              </w:rPr>
              <w:t>指生物多样性成果。</w:t>
            </w:r>
            <w:bookmarkEnd w:id="98"/>
          </w:p>
        </w:tc>
      </w:tr>
      <w:tr w:rsidR="005B4DE3" w:rsidRPr="00403B4F" w:rsidTr="005B4DE3">
        <w:trPr>
          <w:cantSplit/>
          <w:jc w:val="center"/>
        </w:trPr>
        <w:tc>
          <w:tcPr>
            <w:tcW w:w="1611" w:type="dxa"/>
          </w:tcPr>
          <w:p w:rsidR="005B4DE3" w:rsidRPr="00403B4F" w:rsidRDefault="005B4DE3" w:rsidP="00084B39">
            <w:pPr>
              <w:suppressLineNumbers/>
              <w:suppressAutoHyphens/>
              <w:kinsoku w:val="0"/>
              <w:overflowPunct w:val="0"/>
              <w:autoSpaceDE w:val="0"/>
              <w:autoSpaceDN w:val="0"/>
              <w:spacing w:before="0" w:after="0"/>
              <w:ind w:firstLine="0"/>
              <w:outlineLvl w:val="2"/>
              <w:rPr>
                <w:rFonts w:ascii="Times New Roman" w:eastAsiaTheme="minorEastAsia" w:hAnsi="Times New Roman"/>
                <w:b/>
                <w:bCs/>
                <w:iCs/>
                <w:kern w:val="22"/>
                <w:lang w:val="en-CA" w:eastAsia="zh-CN"/>
              </w:rPr>
            </w:pPr>
            <w:bookmarkStart w:id="99" w:name="_Toc6243712"/>
            <w:r w:rsidRPr="00403B4F">
              <w:rPr>
                <w:rFonts w:ascii="Times New Roman" w:eastAsiaTheme="minorEastAsia" w:hAnsi="Times New Roman"/>
                <w:b/>
                <w:bCs/>
                <w:iCs/>
                <w:kern w:val="22"/>
                <w:lang w:val="en-CA" w:eastAsia="zh-CN"/>
              </w:rPr>
              <w:t>就地保护生物多样性</w:t>
            </w:r>
            <w:bookmarkEnd w:id="99"/>
          </w:p>
        </w:tc>
        <w:tc>
          <w:tcPr>
            <w:tcW w:w="7720" w:type="dxa"/>
          </w:tcPr>
          <w:p w:rsidR="005B4DE3" w:rsidRPr="00403B4F" w:rsidRDefault="005B4DE3" w:rsidP="00084B39">
            <w:pPr>
              <w:numPr>
                <w:ilvl w:val="0"/>
                <w:numId w:val="99"/>
              </w:numPr>
              <w:suppressLineNumbers/>
              <w:suppressAutoHyphens/>
              <w:kinsoku w:val="0"/>
              <w:overflowPunct w:val="0"/>
              <w:autoSpaceDE w:val="0"/>
              <w:autoSpaceDN w:val="0"/>
              <w:spacing w:before="0" w:after="0"/>
              <w:outlineLvl w:val="2"/>
              <w:rPr>
                <w:rFonts w:ascii="Times New Roman" w:eastAsiaTheme="minorEastAsia" w:hAnsi="Times New Roman"/>
                <w:iCs/>
                <w:lang w:val="en-CA" w:eastAsia="zh-CN"/>
              </w:rPr>
            </w:pPr>
            <w:bookmarkStart w:id="100" w:name="_Toc6243713"/>
            <w:r w:rsidRPr="00403B4F">
              <w:rPr>
                <w:rFonts w:ascii="Times New Roman" w:eastAsiaTheme="minorEastAsia" w:hAnsi="Times New Roman"/>
                <w:iCs/>
                <w:lang w:val="en-CA" w:eastAsia="zh-CN"/>
              </w:rPr>
              <w:t>确认其他有效的地区保护措施预计将包括查明生物多样性属性范围，而地点对这此十分重要（例如稀有、受威胁或濒危物种群落、有代表性自然生态系统、范围受限物种、关键生物多样性地区、提供关键生态系统功能和服务的地区、生态连接地区）。</w:t>
            </w:r>
            <w:bookmarkEnd w:id="100"/>
          </w:p>
        </w:tc>
      </w:tr>
      <w:tr w:rsidR="005B4DE3" w:rsidRPr="00403B4F" w:rsidTr="005B4DE3">
        <w:trPr>
          <w:cantSplit/>
          <w:jc w:val="center"/>
        </w:trPr>
        <w:tc>
          <w:tcPr>
            <w:tcW w:w="1611" w:type="dxa"/>
          </w:tcPr>
          <w:p w:rsidR="005B4DE3" w:rsidRPr="00403B4F" w:rsidRDefault="005B4DE3" w:rsidP="00084B39">
            <w:pPr>
              <w:suppressLineNumbers/>
              <w:suppressAutoHyphens/>
              <w:kinsoku w:val="0"/>
              <w:overflowPunct w:val="0"/>
              <w:autoSpaceDE w:val="0"/>
              <w:autoSpaceDN w:val="0"/>
              <w:spacing w:before="0" w:after="0"/>
              <w:ind w:firstLine="0"/>
              <w:rPr>
                <w:rFonts w:ascii="Times New Roman" w:eastAsiaTheme="minorEastAsia" w:hAnsi="Times New Roman"/>
                <w:b/>
                <w:kern w:val="22"/>
                <w:lang w:eastAsia="zh-CN"/>
              </w:rPr>
            </w:pPr>
            <w:r w:rsidRPr="00403B4F">
              <w:rPr>
                <w:rFonts w:ascii="Times New Roman" w:eastAsiaTheme="minorEastAsia" w:hAnsi="Times New Roman"/>
                <w:b/>
                <w:kern w:val="22"/>
                <w:lang w:eastAsia="zh-CN"/>
              </w:rPr>
              <w:t>信息和监测</w:t>
            </w:r>
          </w:p>
        </w:tc>
        <w:tc>
          <w:tcPr>
            <w:tcW w:w="7720" w:type="dxa"/>
          </w:tcPr>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
                <w:iCs/>
                <w:kern w:val="22"/>
                <w:lang w:eastAsia="zh-CN"/>
              </w:rPr>
            </w:pPr>
            <w:bookmarkStart w:id="101" w:name="_Toc6243714"/>
            <w:r w:rsidRPr="00403B4F">
              <w:rPr>
                <w:rFonts w:ascii="Times New Roman" w:eastAsiaTheme="minorEastAsia" w:hAnsi="Times New Roman"/>
                <w:iCs/>
                <w:lang w:val="en-CA" w:eastAsia="zh-CN"/>
              </w:rPr>
              <w:t>识别其他有效的地区保护措施时应尽可能记录地区的已知生物多样性属性</w:t>
            </w:r>
            <w:r w:rsidRPr="00403B4F">
              <w:rPr>
                <w:rFonts w:ascii="Times New Roman" w:eastAsiaTheme="minorEastAsia" w:hAnsi="Times New Roman"/>
                <w:iCs/>
                <w:lang w:eastAsia="zh-CN"/>
              </w:rPr>
              <w:t>，</w:t>
            </w:r>
            <w:r w:rsidRPr="00403B4F">
              <w:rPr>
                <w:rFonts w:ascii="Times New Roman" w:eastAsiaTheme="minorEastAsia" w:hAnsi="Times New Roman"/>
                <w:iCs/>
                <w:lang w:val="en-CA" w:eastAsia="zh-CN"/>
              </w:rPr>
              <w:t>包括酌情记录文化和</w:t>
            </w:r>
            <w:r w:rsidRPr="00403B4F">
              <w:rPr>
                <w:rFonts w:ascii="Times New Roman" w:eastAsiaTheme="minorEastAsia" w:hAnsi="Times New Roman"/>
                <w:iCs/>
                <w:lang w:eastAsia="zh-CN"/>
              </w:rPr>
              <w:t>（</w:t>
            </w:r>
            <w:r w:rsidRPr="00403B4F">
              <w:rPr>
                <w:rFonts w:ascii="Times New Roman" w:eastAsiaTheme="minorEastAsia" w:hAnsi="Times New Roman"/>
                <w:iCs/>
                <w:lang w:val="en-CA" w:eastAsia="zh-CN"/>
              </w:rPr>
              <w:t>或</w:t>
            </w:r>
            <w:r w:rsidRPr="00403B4F">
              <w:rPr>
                <w:rFonts w:ascii="Times New Roman" w:eastAsiaTheme="minorEastAsia" w:hAnsi="Times New Roman"/>
                <w:iCs/>
                <w:lang w:eastAsia="zh-CN"/>
              </w:rPr>
              <w:t>）</w:t>
            </w:r>
            <w:r w:rsidRPr="00403B4F">
              <w:rPr>
                <w:rFonts w:ascii="Times New Roman" w:eastAsiaTheme="minorEastAsia" w:hAnsi="Times New Roman"/>
                <w:iCs/>
                <w:lang w:val="en-CA" w:eastAsia="zh-CN"/>
              </w:rPr>
              <w:t>精神价值</w:t>
            </w:r>
            <w:r w:rsidRPr="00403B4F">
              <w:rPr>
                <w:rFonts w:ascii="Times New Roman" w:eastAsiaTheme="minorEastAsia" w:hAnsi="Times New Roman"/>
                <w:iCs/>
                <w:lang w:eastAsia="zh-CN"/>
              </w:rPr>
              <w:t>，</w:t>
            </w:r>
            <w:r w:rsidRPr="00403B4F">
              <w:rPr>
                <w:rFonts w:ascii="Times New Roman" w:eastAsiaTheme="minorEastAsia" w:hAnsi="Times New Roman"/>
                <w:iCs/>
                <w:lang w:val="en-CA" w:eastAsia="zh-CN"/>
              </w:rPr>
              <w:t>以及现行治理和管理情况</w:t>
            </w:r>
            <w:r w:rsidRPr="00403B4F">
              <w:rPr>
                <w:rFonts w:ascii="Times New Roman" w:eastAsiaTheme="minorEastAsia" w:hAnsi="Times New Roman"/>
                <w:iCs/>
                <w:lang w:eastAsia="zh-CN"/>
              </w:rPr>
              <w:t>，用作</w:t>
            </w:r>
            <w:r w:rsidRPr="00403B4F">
              <w:rPr>
                <w:rFonts w:ascii="Times New Roman" w:eastAsiaTheme="minorEastAsia" w:hAnsi="Times New Roman"/>
                <w:iCs/>
                <w:lang w:val="en-CA" w:eastAsia="zh-CN"/>
              </w:rPr>
              <w:t>评估有效性的基线。</w:t>
            </w:r>
            <w:bookmarkEnd w:id="101"/>
          </w:p>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Cs/>
                <w:kern w:val="22"/>
                <w:lang w:val="en-CA" w:eastAsia="zh-CN"/>
              </w:rPr>
            </w:pPr>
            <w:bookmarkStart w:id="102" w:name="_Toc6243715"/>
            <w:r w:rsidRPr="00403B4F">
              <w:rPr>
                <w:rFonts w:ascii="Times New Roman" w:eastAsiaTheme="minorEastAsia" w:hAnsi="Times New Roman"/>
                <w:iCs/>
                <w:kern w:val="22"/>
                <w:lang w:eastAsia="zh-CN"/>
              </w:rPr>
              <w:t>监测系统帮助管理层了解生物多样性措施的有效性，包括健康的生态系统。</w:t>
            </w:r>
            <w:bookmarkEnd w:id="102"/>
          </w:p>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Cs/>
                <w:kern w:val="22"/>
                <w:lang w:val="en-CA" w:eastAsia="zh-CN"/>
              </w:rPr>
            </w:pPr>
            <w:bookmarkStart w:id="103" w:name="_Toc6243716"/>
            <w:r w:rsidRPr="00403B4F">
              <w:rPr>
                <w:rFonts w:ascii="Times New Roman" w:eastAsiaTheme="minorEastAsia" w:hAnsi="Times New Roman"/>
                <w:iCs/>
                <w:kern w:val="22"/>
                <w:lang w:val="en-CA" w:eastAsia="zh-CN"/>
              </w:rPr>
              <w:t>应设有程序用于评估治理和管理的有效性，包括公平性。</w:t>
            </w:r>
            <w:bookmarkEnd w:id="103"/>
          </w:p>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Cs/>
                <w:kern w:val="22"/>
                <w:lang w:val="en-CA" w:eastAsia="zh-CN"/>
              </w:rPr>
            </w:pPr>
            <w:bookmarkStart w:id="104" w:name="_Toc6243717"/>
            <w:r w:rsidRPr="00403B4F">
              <w:rPr>
                <w:rFonts w:ascii="Times New Roman" w:eastAsiaTheme="minorEastAsia" w:hAnsi="Times New Roman"/>
                <w:iCs/>
                <w:kern w:val="22"/>
                <w:lang w:val="en-CA" w:eastAsia="zh-CN"/>
              </w:rPr>
              <w:t>界线、目标和治理等该地区等一般数据是可提供的信息。</w:t>
            </w:r>
            <w:bookmarkEnd w:id="104"/>
          </w:p>
        </w:tc>
      </w:tr>
      <w:tr w:rsidR="005B4DE3" w:rsidRPr="00403B4F" w:rsidTr="005B4DE3">
        <w:trPr>
          <w:cantSplit/>
          <w:jc w:val="center"/>
        </w:trPr>
        <w:tc>
          <w:tcPr>
            <w:tcW w:w="9331" w:type="dxa"/>
            <w:gridSpan w:val="2"/>
            <w:shd w:val="clear" w:color="auto" w:fill="BFBFBF"/>
          </w:tcPr>
          <w:p w:rsidR="005B4DE3" w:rsidRPr="00403B4F" w:rsidRDefault="005B4DE3" w:rsidP="00084B39">
            <w:pPr>
              <w:keepNext/>
              <w:suppressLineNumbers/>
              <w:tabs>
                <w:tab w:val="left" w:pos="567"/>
              </w:tabs>
              <w:suppressAutoHyphens/>
              <w:kinsoku w:val="0"/>
              <w:overflowPunct w:val="0"/>
              <w:autoSpaceDE w:val="0"/>
              <w:autoSpaceDN w:val="0"/>
              <w:spacing w:before="0" w:after="0"/>
              <w:ind w:left="259" w:hanging="259"/>
              <w:outlineLvl w:val="2"/>
              <w:rPr>
                <w:rFonts w:ascii="Times New Roman" w:eastAsiaTheme="minorEastAsia" w:hAnsi="Times New Roman"/>
                <w:b/>
                <w:bCs/>
                <w:iCs/>
                <w:kern w:val="22"/>
                <w:lang w:val="en-CA" w:eastAsia="zh-CN"/>
              </w:rPr>
            </w:pPr>
            <w:bookmarkStart w:id="105" w:name="_Toc6243718"/>
            <w:r w:rsidRPr="00403B4F">
              <w:rPr>
                <w:rFonts w:ascii="Times New Roman" w:eastAsiaTheme="minorEastAsia" w:hAnsi="Times New Roman"/>
                <w:b/>
                <w:iCs/>
                <w:kern w:val="22"/>
                <w:lang w:val="en-CA" w:eastAsia="zh-CN"/>
              </w:rPr>
              <w:lastRenderedPageBreak/>
              <w:t>标准</w:t>
            </w:r>
            <w:r w:rsidRPr="00403B4F">
              <w:rPr>
                <w:rFonts w:ascii="Times New Roman" w:eastAsiaTheme="minorEastAsia" w:hAnsi="Times New Roman"/>
                <w:b/>
                <w:iCs/>
                <w:kern w:val="22"/>
                <w:lang w:val="en-CA" w:eastAsia="zh-CN"/>
              </w:rPr>
              <w:t xml:space="preserve">D: </w:t>
            </w:r>
            <w:r w:rsidRPr="00403B4F">
              <w:rPr>
                <w:rFonts w:ascii="Times New Roman" w:eastAsiaTheme="minorEastAsia" w:hAnsi="Times New Roman"/>
                <w:b/>
                <w:iCs/>
                <w:kern w:val="22"/>
                <w:lang w:val="en-CA" w:eastAsia="zh-CN"/>
              </w:rPr>
              <w:t>相关生态系统功能和服务和文化、精神、社会经济及其他与当地有关的价值</w:t>
            </w:r>
            <w:bookmarkEnd w:id="105"/>
          </w:p>
        </w:tc>
      </w:tr>
      <w:tr w:rsidR="005B4DE3" w:rsidRPr="00403B4F" w:rsidTr="005B4DE3">
        <w:trPr>
          <w:cantSplit/>
          <w:jc w:val="center"/>
        </w:trPr>
        <w:tc>
          <w:tcPr>
            <w:tcW w:w="1611" w:type="dxa"/>
          </w:tcPr>
          <w:p w:rsidR="005B4DE3" w:rsidRPr="00403B4F" w:rsidRDefault="005B4DE3" w:rsidP="00084B39">
            <w:pPr>
              <w:suppressLineNumbers/>
              <w:suppressAutoHyphens/>
              <w:kinsoku w:val="0"/>
              <w:overflowPunct w:val="0"/>
              <w:autoSpaceDE w:val="0"/>
              <w:autoSpaceDN w:val="0"/>
              <w:spacing w:before="0" w:after="0"/>
              <w:ind w:firstLine="0"/>
              <w:outlineLvl w:val="2"/>
              <w:rPr>
                <w:rFonts w:ascii="Times New Roman" w:eastAsiaTheme="minorEastAsia" w:hAnsi="Times New Roman"/>
                <w:b/>
                <w:bCs/>
                <w:iCs/>
                <w:kern w:val="22"/>
                <w:lang w:val="en-CA" w:eastAsia="zh-CN"/>
              </w:rPr>
            </w:pPr>
            <w:bookmarkStart w:id="106" w:name="_Toc6243719"/>
            <w:r w:rsidRPr="00403B4F">
              <w:rPr>
                <w:rFonts w:ascii="Times New Roman" w:eastAsiaTheme="minorEastAsia" w:hAnsi="Times New Roman"/>
                <w:b/>
                <w:bCs/>
                <w:iCs/>
                <w:kern w:val="22"/>
                <w:lang w:val="en-CA" w:eastAsia="zh-CN"/>
              </w:rPr>
              <w:t>生态系统</w:t>
            </w:r>
            <w:r w:rsidRPr="00403B4F">
              <w:rPr>
                <w:rFonts w:ascii="Times New Roman" w:eastAsiaTheme="minorEastAsia" w:hAnsi="Times New Roman"/>
                <w:b/>
                <w:iCs/>
                <w:kern w:val="22"/>
                <w:lang w:val="en-CA" w:eastAsia="zh-CN"/>
              </w:rPr>
              <w:t>功能和</w:t>
            </w:r>
            <w:r w:rsidRPr="00403B4F">
              <w:rPr>
                <w:rFonts w:ascii="Times New Roman" w:eastAsiaTheme="minorEastAsia" w:hAnsi="Times New Roman"/>
                <w:b/>
                <w:bCs/>
                <w:iCs/>
                <w:kern w:val="22"/>
                <w:lang w:val="en-CA" w:eastAsia="zh-CN"/>
              </w:rPr>
              <w:t>服务</w:t>
            </w:r>
            <w:bookmarkEnd w:id="106"/>
          </w:p>
        </w:tc>
        <w:tc>
          <w:tcPr>
            <w:tcW w:w="7720" w:type="dxa"/>
          </w:tcPr>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Cs/>
                <w:lang w:val="en-CA" w:eastAsia="zh-CN"/>
              </w:rPr>
            </w:pPr>
            <w:bookmarkStart w:id="107" w:name="_Toc6243720"/>
            <w:r w:rsidRPr="00403B4F">
              <w:rPr>
                <w:rFonts w:ascii="Times New Roman" w:eastAsiaTheme="minorEastAsia" w:hAnsi="Times New Roman"/>
                <w:iCs/>
                <w:lang w:val="en-CA" w:eastAsia="zh-CN"/>
              </w:rPr>
              <w:t>支持其他有效的地区保护措施的生态系统</w:t>
            </w:r>
            <w:r w:rsidRPr="00403B4F">
              <w:rPr>
                <w:rFonts w:ascii="Times New Roman" w:eastAsiaTheme="minorEastAsia" w:hAnsi="Times New Roman"/>
                <w:iCs/>
                <w:kern w:val="22"/>
                <w:lang w:val="en-CA" w:eastAsia="zh-CN"/>
              </w:rPr>
              <w:t>功能和</w:t>
            </w:r>
            <w:r w:rsidRPr="00403B4F">
              <w:rPr>
                <w:rFonts w:ascii="Times New Roman" w:eastAsiaTheme="minorEastAsia" w:hAnsi="Times New Roman"/>
                <w:iCs/>
                <w:lang w:val="en-CA" w:eastAsia="zh-CN"/>
              </w:rPr>
              <w:t>服务，包括那些对土著人民和地方社区具有重要意义的服务，同时考虑到生态系统</w:t>
            </w:r>
            <w:r w:rsidRPr="00403B4F">
              <w:rPr>
                <w:rFonts w:ascii="Times New Roman" w:eastAsiaTheme="minorEastAsia" w:hAnsi="Times New Roman"/>
                <w:iCs/>
                <w:kern w:val="22"/>
                <w:lang w:val="en-CA" w:eastAsia="zh-CN"/>
              </w:rPr>
              <w:t>功能和</w:t>
            </w:r>
            <w:r w:rsidRPr="00403B4F">
              <w:rPr>
                <w:rFonts w:ascii="Times New Roman" w:eastAsiaTheme="minorEastAsia" w:hAnsi="Times New Roman"/>
                <w:iCs/>
                <w:lang w:val="en-CA" w:eastAsia="zh-CN"/>
              </w:rPr>
              <w:t>服务之间的相互作用和取舍，以确保生物多样性的积极成果和公平。</w:t>
            </w:r>
            <w:bookmarkEnd w:id="107"/>
          </w:p>
          <w:p w:rsidR="005B4DE3" w:rsidRPr="00403B4F" w:rsidRDefault="005B4DE3" w:rsidP="00084B39">
            <w:pPr>
              <w:numPr>
                <w:ilvl w:val="0"/>
                <w:numId w:val="99"/>
              </w:numPr>
              <w:suppressLineNumbers/>
              <w:suppressAutoHyphens/>
              <w:kinsoku w:val="0"/>
              <w:overflowPunct w:val="0"/>
              <w:autoSpaceDE w:val="0"/>
              <w:autoSpaceDN w:val="0"/>
              <w:spacing w:before="0" w:after="0"/>
              <w:ind w:left="403"/>
              <w:outlineLvl w:val="2"/>
              <w:rPr>
                <w:rFonts w:ascii="Times New Roman" w:eastAsiaTheme="minorEastAsia" w:hAnsi="Times New Roman"/>
                <w:i/>
                <w:iCs/>
                <w:lang w:val="en-CA" w:eastAsia="zh-CN"/>
              </w:rPr>
            </w:pPr>
            <w:bookmarkStart w:id="108" w:name="_Toc6243721"/>
            <w:r w:rsidRPr="00403B4F">
              <w:rPr>
                <w:rFonts w:ascii="Times New Roman" w:eastAsiaTheme="minorEastAsia" w:hAnsi="Times New Roman"/>
                <w:iCs/>
                <w:lang w:val="en-CA" w:eastAsia="zh-CN"/>
              </w:rPr>
              <w:t>加强某一生态系统</w:t>
            </w:r>
            <w:r w:rsidRPr="00403B4F">
              <w:rPr>
                <w:rFonts w:ascii="Times New Roman" w:eastAsiaTheme="minorEastAsia" w:hAnsi="Times New Roman"/>
                <w:iCs/>
                <w:kern w:val="22"/>
                <w:lang w:val="en-CA" w:eastAsia="zh-CN"/>
              </w:rPr>
              <w:t>功能和</w:t>
            </w:r>
            <w:r w:rsidRPr="00403B4F">
              <w:rPr>
                <w:rFonts w:ascii="Times New Roman" w:eastAsiaTheme="minorEastAsia" w:hAnsi="Times New Roman"/>
                <w:iCs/>
                <w:lang w:val="en-CA" w:eastAsia="zh-CN"/>
              </w:rPr>
              <w:t>服务的管理工作不应对该地整体生物多样性产生负面影响。</w:t>
            </w:r>
            <w:bookmarkEnd w:id="108"/>
          </w:p>
        </w:tc>
      </w:tr>
      <w:tr w:rsidR="005B4DE3" w:rsidRPr="00403B4F" w:rsidTr="005B4DE3">
        <w:trPr>
          <w:cantSplit/>
          <w:jc w:val="center"/>
        </w:trPr>
        <w:tc>
          <w:tcPr>
            <w:tcW w:w="1611" w:type="dxa"/>
          </w:tcPr>
          <w:p w:rsidR="005B4DE3" w:rsidRPr="00403B4F" w:rsidRDefault="005B4DE3" w:rsidP="00084B39">
            <w:pPr>
              <w:suppressLineNumbers/>
              <w:suppressAutoHyphens/>
              <w:kinsoku w:val="0"/>
              <w:overflowPunct w:val="0"/>
              <w:autoSpaceDE w:val="0"/>
              <w:autoSpaceDN w:val="0"/>
              <w:spacing w:before="0" w:after="0"/>
              <w:ind w:firstLine="0"/>
              <w:outlineLvl w:val="2"/>
              <w:rPr>
                <w:rFonts w:ascii="Times New Roman" w:eastAsiaTheme="minorEastAsia" w:hAnsi="Times New Roman"/>
                <w:b/>
                <w:bCs/>
                <w:iCs/>
                <w:kern w:val="22"/>
                <w:lang w:val="en-CA" w:eastAsia="zh-CN"/>
              </w:rPr>
            </w:pPr>
            <w:bookmarkStart w:id="109" w:name="_Toc6243722"/>
            <w:r w:rsidRPr="00403B4F">
              <w:rPr>
                <w:rFonts w:ascii="Times New Roman" w:eastAsiaTheme="minorEastAsia" w:hAnsi="Times New Roman"/>
                <w:b/>
                <w:iCs/>
                <w:kern w:val="22"/>
                <w:lang w:val="en-CA" w:eastAsia="zh-CN"/>
              </w:rPr>
              <w:t>文化、精神、社会经济及其他与当地有关的价值</w:t>
            </w:r>
            <w:bookmarkEnd w:id="109"/>
          </w:p>
        </w:tc>
        <w:tc>
          <w:tcPr>
            <w:tcW w:w="7720" w:type="dxa"/>
          </w:tcPr>
          <w:p w:rsidR="005B4DE3" w:rsidRPr="00403B4F" w:rsidRDefault="005B4DE3" w:rsidP="00084B39">
            <w:pPr>
              <w:numPr>
                <w:ilvl w:val="0"/>
                <w:numId w:val="99"/>
              </w:numPr>
              <w:suppressLineNumbers/>
              <w:suppressAutoHyphens/>
              <w:kinsoku w:val="0"/>
              <w:overflowPunct w:val="0"/>
              <w:autoSpaceDE w:val="0"/>
              <w:autoSpaceDN w:val="0"/>
              <w:spacing w:before="0" w:after="0"/>
              <w:outlineLvl w:val="2"/>
              <w:rPr>
                <w:rFonts w:ascii="Times New Roman" w:eastAsiaTheme="minorEastAsia" w:hAnsi="Times New Roman"/>
                <w:iCs/>
                <w:lang w:val="en-CA" w:eastAsia="zh-CN"/>
              </w:rPr>
            </w:pPr>
            <w:bookmarkStart w:id="110" w:name="_Toc6243723"/>
            <w:r w:rsidRPr="00403B4F">
              <w:rPr>
                <w:rFonts w:ascii="Times New Roman" w:eastAsiaTheme="minorEastAsia" w:hAnsi="Times New Roman"/>
                <w:iCs/>
                <w:lang w:val="en-CA" w:eastAsia="zh-CN"/>
              </w:rPr>
              <w:t>在存在文化、精神、社会经济及其他与当地有关价值的地方，治理和管理措施酌情确定、尊重和维护地区的这些价值。</w:t>
            </w:r>
            <w:bookmarkEnd w:id="110"/>
          </w:p>
          <w:p w:rsidR="005B4DE3" w:rsidRPr="00403B4F" w:rsidRDefault="005B4DE3" w:rsidP="00084B39">
            <w:pPr>
              <w:numPr>
                <w:ilvl w:val="0"/>
                <w:numId w:val="99"/>
              </w:numPr>
              <w:spacing w:before="0" w:after="0"/>
              <w:rPr>
                <w:rFonts w:ascii="Times New Roman" w:eastAsiaTheme="minorEastAsia" w:hAnsi="Times New Roman"/>
                <w:lang w:val="en-CA" w:eastAsia="zh-CN"/>
              </w:rPr>
            </w:pPr>
            <w:r w:rsidRPr="00403B4F">
              <w:rPr>
                <w:rFonts w:ascii="Times New Roman" w:eastAsiaTheme="minorEastAsia" w:hAnsi="Times New Roman"/>
                <w:lang w:eastAsia="zh-CN"/>
              </w:rPr>
              <w:t>治理和管理措施尊重和维护对就地保护生物多样性至关重要的知识、做法和制度。</w:t>
            </w:r>
          </w:p>
        </w:tc>
      </w:tr>
    </w:tbl>
    <w:p w:rsidR="005B4DE3" w:rsidRPr="00084B39" w:rsidRDefault="005B4DE3" w:rsidP="00084B39">
      <w:pPr>
        <w:adjustRightInd w:val="0"/>
        <w:snapToGrid w:val="0"/>
        <w:spacing w:before="240"/>
        <w:ind w:firstLine="0"/>
        <w:jc w:val="center"/>
        <w:rPr>
          <w:rFonts w:asciiTheme="minorEastAsia" w:eastAsiaTheme="minorEastAsia" w:hAnsiTheme="minorEastAsia"/>
          <w:b/>
        </w:rPr>
      </w:pPr>
      <w:r w:rsidRPr="00084B39">
        <w:rPr>
          <w:rFonts w:asciiTheme="minorEastAsia" w:eastAsiaTheme="minorEastAsia" w:hAnsiTheme="minorEastAsia"/>
          <w:b/>
        </w:rPr>
        <w:t xml:space="preserve">C. </w:t>
      </w:r>
      <w:r w:rsidRPr="00084B39">
        <w:rPr>
          <w:rFonts w:asciiTheme="minorEastAsia" w:eastAsiaTheme="minorEastAsia" w:hAnsiTheme="minorEastAsia" w:hint="eastAsia"/>
          <w:b/>
        </w:rPr>
        <w:t>其他考虑</w:t>
      </w:r>
    </w:p>
    <w:p w:rsidR="005B4DE3" w:rsidRPr="00830755" w:rsidRDefault="005B4DE3" w:rsidP="00084B39">
      <w:pPr>
        <w:adjustRightInd w:val="0"/>
        <w:snapToGrid w:val="0"/>
        <w:ind w:firstLine="0"/>
        <w:jc w:val="center"/>
        <w:rPr>
          <w:rFonts w:ascii="KaiTi" w:eastAsia="KaiTi" w:hAnsi="KaiTi"/>
        </w:rPr>
      </w:pPr>
      <w:r w:rsidRPr="00830755">
        <w:rPr>
          <w:rFonts w:ascii="KaiTi" w:eastAsia="KaiTi" w:hAnsi="KaiTi" w:hint="eastAsia"/>
        </w:rPr>
        <w:t>1.  管理</w:t>
      </w:r>
      <w:r>
        <w:rPr>
          <w:rFonts w:ascii="KaiTi" w:eastAsia="KaiTi" w:hAnsi="KaiTi" w:hint="eastAsia"/>
        </w:rPr>
        <w:t>办法</w:t>
      </w:r>
    </w:p>
    <w:p w:rsidR="005B4DE3" w:rsidRPr="00403B4F" w:rsidRDefault="005B4DE3" w:rsidP="0069530A">
      <w:pPr>
        <w:numPr>
          <w:ilvl w:val="4"/>
          <w:numId w:val="106"/>
        </w:numPr>
        <w:tabs>
          <w:tab w:val="left" w:pos="1440"/>
        </w:tabs>
        <w:adjustRightInd w:val="0"/>
        <w:snapToGrid w:val="0"/>
        <w:ind w:left="0" w:firstLine="720"/>
        <w:rPr>
          <w:rFonts w:eastAsiaTheme="minorEastAsia"/>
          <w:lang w:eastAsia="zh-CN"/>
        </w:rPr>
      </w:pPr>
      <w:r w:rsidRPr="00403B4F">
        <w:rPr>
          <w:rFonts w:eastAsiaTheme="minorEastAsia"/>
          <w:lang w:eastAsia="zh-CN"/>
        </w:rPr>
        <w:t>其他有效的地区保护措施在目的、设计、管理、参与者和管理方面各不相同，尤其是考虑到相关文化</w:t>
      </w:r>
      <w:r w:rsidRPr="00403B4F">
        <w:rPr>
          <w:rFonts w:eastAsiaTheme="minorEastAsia"/>
          <w:iCs/>
          <w:kern w:val="22"/>
          <w:lang w:val="en-CA" w:eastAsia="zh-CN"/>
        </w:rPr>
        <w:t>、精神、社会经济及其他与当地有关的</w:t>
      </w:r>
      <w:r w:rsidRPr="00403B4F">
        <w:rPr>
          <w:rFonts w:eastAsiaTheme="minorEastAsia"/>
          <w:lang w:eastAsia="zh-CN"/>
        </w:rPr>
        <w:t>价值更是如此。因此，其他有效的地区保护措施的管理办法目前而且将来也是多样化的；</w:t>
      </w:r>
    </w:p>
    <w:p w:rsidR="005B4DE3" w:rsidRPr="00403B4F" w:rsidRDefault="005B4DE3" w:rsidP="0069530A">
      <w:pPr>
        <w:numPr>
          <w:ilvl w:val="4"/>
          <w:numId w:val="106"/>
        </w:numPr>
        <w:tabs>
          <w:tab w:val="left" w:pos="1440"/>
        </w:tabs>
        <w:adjustRightInd w:val="0"/>
        <w:snapToGrid w:val="0"/>
        <w:ind w:left="0" w:firstLine="720"/>
        <w:rPr>
          <w:rFonts w:eastAsiaTheme="minorEastAsia"/>
          <w:lang w:eastAsia="zh-CN"/>
        </w:rPr>
      </w:pPr>
      <w:r w:rsidRPr="00403B4F">
        <w:rPr>
          <w:rFonts w:eastAsiaTheme="minorEastAsia"/>
          <w:lang w:eastAsia="zh-CN"/>
        </w:rPr>
        <w:t>根据国家法律和国情，并符合国家政策和法规，管理办法应考虑：</w:t>
      </w:r>
    </w:p>
    <w:p w:rsidR="005B4DE3" w:rsidRPr="00084B39" w:rsidRDefault="005B4DE3" w:rsidP="00084B39">
      <w:pPr>
        <w:pStyle w:val="ListParagraph"/>
        <w:numPr>
          <w:ilvl w:val="1"/>
          <w:numId w:val="100"/>
        </w:numPr>
        <w:adjustRightInd w:val="0"/>
        <w:snapToGrid w:val="0"/>
        <w:ind w:left="2160"/>
        <w:rPr>
          <w:rFonts w:eastAsiaTheme="minorEastAsia"/>
          <w:lang w:eastAsia="zh-CN"/>
        </w:rPr>
      </w:pPr>
      <w:r w:rsidRPr="00084B39">
        <w:rPr>
          <w:rFonts w:eastAsiaTheme="minorEastAsia"/>
          <w:kern w:val="22"/>
          <w:lang w:val="fr-CA" w:eastAsia="zh-CN"/>
        </w:rPr>
        <w:t>土著人民和地方社区</w:t>
      </w:r>
      <w:r w:rsidRPr="00084B39">
        <w:rPr>
          <w:rFonts w:eastAsiaTheme="minorEastAsia"/>
          <w:lang w:eastAsia="zh-CN"/>
        </w:rPr>
        <w:t>与生活在保护区的野生生物之间关系的任何不稳定性；</w:t>
      </w:r>
    </w:p>
    <w:p w:rsidR="005B4DE3" w:rsidRPr="00084B39" w:rsidRDefault="005B4DE3" w:rsidP="00084B39">
      <w:pPr>
        <w:pStyle w:val="ListParagraph"/>
        <w:numPr>
          <w:ilvl w:val="1"/>
          <w:numId w:val="100"/>
        </w:numPr>
        <w:adjustRightInd w:val="0"/>
        <w:snapToGrid w:val="0"/>
        <w:ind w:left="2160"/>
        <w:rPr>
          <w:rFonts w:eastAsiaTheme="minorEastAsia"/>
          <w:kern w:val="22"/>
          <w:lang w:val="fr-CA" w:eastAsia="zh-CN"/>
        </w:rPr>
      </w:pPr>
      <w:r w:rsidRPr="00403B4F">
        <w:rPr>
          <w:rFonts w:eastAsiaTheme="minorEastAsia"/>
          <w:kern w:val="22"/>
          <w:lang w:val="fr-CA" w:eastAsia="zh-CN"/>
        </w:rPr>
        <w:t>土著人民和地方社区</w:t>
      </w:r>
      <w:r w:rsidRPr="00084B39">
        <w:rPr>
          <w:rFonts w:eastAsiaTheme="minorEastAsia"/>
          <w:kern w:val="22"/>
          <w:lang w:val="fr-CA" w:eastAsia="zh-CN"/>
        </w:rPr>
        <w:t>在跨界保护区和保护走廊方面的现有治理和公平制度；</w:t>
      </w:r>
    </w:p>
    <w:p w:rsidR="005B4DE3" w:rsidRPr="00084B39" w:rsidRDefault="005B4DE3" w:rsidP="00084B39">
      <w:pPr>
        <w:pStyle w:val="ListParagraph"/>
        <w:numPr>
          <w:ilvl w:val="1"/>
          <w:numId w:val="100"/>
        </w:numPr>
        <w:adjustRightInd w:val="0"/>
        <w:snapToGrid w:val="0"/>
        <w:ind w:left="2160"/>
        <w:rPr>
          <w:rFonts w:eastAsiaTheme="minorEastAsia"/>
          <w:kern w:val="22"/>
          <w:lang w:val="fr-CA" w:eastAsia="zh-CN"/>
        </w:rPr>
      </w:pPr>
      <w:r w:rsidRPr="00084B39">
        <w:rPr>
          <w:rFonts w:eastAsiaTheme="minorEastAsia"/>
          <w:kern w:val="22"/>
          <w:lang w:val="fr-CA" w:eastAsia="zh-CN"/>
        </w:rPr>
        <w:t>其他有效地区保护措施与土著人民和地方社区保护的现有领土和地区之间存在任何重叠冲突，包括其治理系统，同时适当考虑到自由、事先和知情同意；</w:t>
      </w:r>
    </w:p>
    <w:p w:rsidR="005B4DE3" w:rsidRPr="00403B4F" w:rsidRDefault="005B4DE3" w:rsidP="0069530A">
      <w:pPr>
        <w:numPr>
          <w:ilvl w:val="4"/>
          <w:numId w:val="106"/>
        </w:numPr>
        <w:tabs>
          <w:tab w:val="left" w:pos="1440"/>
        </w:tabs>
        <w:adjustRightInd w:val="0"/>
        <w:snapToGrid w:val="0"/>
        <w:ind w:left="0" w:firstLine="720"/>
        <w:rPr>
          <w:rFonts w:eastAsiaTheme="minorEastAsia"/>
          <w:lang w:eastAsia="zh-CN"/>
        </w:rPr>
      </w:pPr>
      <w:r w:rsidRPr="00403B4F">
        <w:rPr>
          <w:rFonts w:eastAsiaTheme="minorEastAsia"/>
          <w:lang w:eastAsia="zh-CN"/>
        </w:rPr>
        <w:t>一些其他有效的地区保护措施主要为维持生物多样性就地保护而建立、承认或管理。这个目的或是主要管理目标，或是一组预定管理目标的一部分；</w:t>
      </w:r>
    </w:p>
    <w:p w:rsidR="005B4DE3" w:rsidRPr="00403B4F" w:rsidRDefault="005B4DE3" w:rsidP="0069530A">
      <w:pPr>
        <w:numPr>
          <w:ilvl w:val="4"/>
          <w:numId w:val="106"/>
        </w:numPr>
        <w:tabs>
          <w:tab w:val="left" w:pos="1440"/>
        </w:tabs>
        <w:adjustRightInd w:val="0"/>
        <w:snapToGrid w:val="0"/>
        <w:ind w:left="0" w:firstLine="720"/>
        <w:rPr>
          <w:rFonts w:eastAsiaTheme="minorEastAsia"/>
          <w:lang w:eastAsia="zh-CN"/>
        </w:rPr>
      </w:pPr>
      <w:r w:rsidRPr="00403B4F">
        <w:rPr>
          <w:rFonts w:eastAsiaTheme="minorEastAsia"/>
          <w:lang w:eastAsia="zh-CN"/>
        </w:rPr>
        <w:t>一些其他有效的地区保护措施可能不是主要为就地保护生物多样性目的而建立、承认或管理。因此，它们对就地保护生物多样性的贡献属于其主要预期管理目标或目的的附带惠益。最好将这种贡献明确列为该其他有效的地区保护措施的管理目标；</w:t>
      </w:r>
    </w:p>
    <w:p w:rsidR="005B4DE3" w:rsidRPr="00403B4F" w:rsidRDefault="005B4DE3" w:rsidP="0069530A">
      <w:pPr>
        <w:numPr>
          <w:ilvl w:val="4"/>
          <w:numId w:val="106"/>
        </w:numPr>
        <w:tabs>
          <w:tab w:val="left" w:pos="1440"/>
        </w:tabs>
        <w:adjustRightInd w:val="0"/>
        <w:snapToGrid w:val="0"/>
        <w:ind w:left="0" w:firstLine="720"/>
        <w:rPr>
          <w:rFonts w:eastAsiaTheme="minorEastAsia"/>
          <w:lang w:eastAsia="zh-CN"/>
        </w:rPr>
      </w:pPr>
      <w:r w:rsidRPr="00403B4F">
        <w:rPr>
          <w:rFonts w:eastAsiaTheme="minorEastAsia"/>
          <w:lang w:eastAsia="zh-CN"/>
        </w:rPr>
        <w:t>在所有将就地保护生物多样性确定为管理目标的情况下，应明确具体管理措施并予以实施。</w:t>
      </w:r>
    </w:p>
    <w:p w:rsidR="005B4DE3" w:rsidRPr="00403B4F" w:rsidRDefault="005B4DE3" w:rsidP="0069530A">
      <w:pPr>
        <w:numPr>
          <w:ilvl w:val="4"/>
          <w:numId w:val="106"/>
        </w:numPr>
        <w:tabs>
          <w:tab w:val="left" w:pos="1440"/>
        </w:tabs>
        <w:adjustRightInd w:val="0"/>
        <w:snapToGrid w:val="0"/>
        <w:ind w:left="0" w:firstLine="720"/>
        <w:rPr>
          <w:rFonts w:eastAsiaTheme="minorEastAsia"/>
          <w:lang w:eastAsia="zh-CN"/>
        </w:rPr>
      </w:pPr>
      <w:r w:rsidRPr="00403B4F">
        <w:rPr>
          <w:rFonts w:eastAsiaTheme="minorEastAsia"/>
          <w:lang w:eastAsia="zh-CN"/>
        </w:rPr>
        <w:lastRenderedPageBreak/>
        <w:t>需要监测其他有效的地区保护措施的有效性，这应包括：</w:t>
      </w:r>
      <w:r w:rsidRPr="00403B4F">
        <w:rPr>
          <w:rFonts w:eastAsiaTheme="minorEastAsia"/>
          <w:lang w:eastAsia="zh-CN"/>
        </w:rPr>
        <w:t>(</w:t>
      </w:r>
      <w:r w:rsidRPr="00403B4F">
        <w:rPr>
          <w:rFonts w:eastAsiaTheme="minorEastAsia"/>
          <w:lang w:eastAsia="zh-CN"/>
        </w:rPr>
        <w:t>一</w:t>
      </w:r>
      <w:r w:rsidRPr="00403B4F">
        <w:rPr>
          <w:rFonts w:eastAsiaTheme="minorEastAsia"/>
          <w:lang w:eastAsia="zh-CN"/>
        </w:rPr>
        <w:t>)</w:t>
      </w:r>
      <w:r w:rsidR="00084B39">
        <w:rPr>
          <w:rFonts w:eastAsiaTheme="minorEastAsia"/>
          <w:lang w:eastAsia="zh-CN"/>
        </w:rPr>
        <w:t xml:space="preserve"> </w:t>
      </w:r>
      <w:r w:rsidRPr="00403B4F">
        <w:rPr>
          <w:rFonts w:eastAsiaTheme="minorEastAsia"/>
          <w:lang w:eastAsia="zh-CN"/>
        </w:rPr>
        <w:t>基准数据，如生物多样性价值和要素的记录；</w:t>
      </w:r>
      <w:r w:rsidRPr="00403B4F">
        <w:rPr>
          <w:rFonts w:eastAsiaTheme="minorEastAsia"/>
          <w:lang w:eastAsia="zh-CN"/>
        </w:rPr>
        <w:t>(</w:t>
      </w:r>
      <w:r w:rsidRPr="00403B4F">
        <w:rPr>
          <w:rFonts w:eastAsiaTheme="minorEastAsia"/>
          <w:lang w:eastAsia="zh-CN"/>
        </w:rPr>
        <w:t>二</w:t>
      </w:r>
      <w:r w:rsidRPr="00403B4F">
        <w:rPr>
          <w:rFonts w:eastAsiaTheme="minorEastAsia"/>
          <w:lang w:eastAsia="zh-CN"/>
        </w:rPr>
        <w:t>)</w:t>
      </w:r>
      <w:r w:rsidR="00084B39">
        <w:rPr>
          <w:rFonts w:eastAsiaTheme="minorEastAsia"/>
          <w:lang w:eastAsia="zh-CN"/>
        </w:rPr>
        <w:t xml:space="preserve"> </w:t>
      </w:r>
      <w:r w:rsidRPr="00403B4F">
        <w:rPr>
          <w:rFonts w:eastAsiaTheme="minorEastAsia"/>
          <w:lang w:eastAsia="zh-CN"/>
        </w:rPr>
        <w:t>酌情进行持续的社区监测和纳入传统知识；</w:t>
      </w:r>
      <w:r w:rsidRPr="00403B4F">
        <w:rPr>
          <w:rFonts w:eastAsiaTheme="minorEastAsia"/>
          <w:lang w:eastAsia="zh-CN"/>
        </w:rPr>
        <w:t>(</w:t>
      </w:r>
      <w:r w:rsidRPr="00403B4F">
        <w:rPr>
          <w:rFonts w:eastAsiaTheme="minorEastAsia"/>
          <w:lang w:eastAsia="zh-CN"/>
        </w:rPr>
        <w:t>三</w:t>
      </w:r>
      <w:r w:rsidRPr="00403B4F">
        <w:rPr>
          <w:rFonts w:eastAsiaTheme="minorEastAsia"/>
          <w:lang w:eastAsia="zh-CN"/>
        </w:rPr>
        <w:t>)</w:t>
      </w:r>
      <w:r w:rsidR="00084B39">
        <w:rPr>
          <w:rFonts w:eastAsiaTheme="minorEastAsia"/>
          <w:lang w:eastAsia="zh-CN"/>
        </w:rPr>
        <w:t xml:space="preserve"> </w:t>
      </w:r>
      <w:r w:rsidRPr="00403B4F">
        <w:rPr>
          <w:rFonts w:eastAsiaTheme="minorEastAsia"/>
          <w:lang w:eastAsia="zh-CN"/>
        </w:rPr>
        <w:t>长期监测，包括如何维持生物多样性，改进就地保护；</w:t>
      </w:r>
      <w:r w:rsidRPr="00403B4F">
        <w:rPr>
          <w:rFonts w:eastAsiaTheme="minorEastAsia"/>
          <w:lang w:eastAsia="zh-CN"/>
        </w:rPr>
        <w:t>(</w:t>
      </w:r>
      <w:r w:rsidRPr="00403B4F">
        <w:rPr>
          <w:rFonts w:eastAsiaTheme="minorEastAsia"/>
          <w:lang w:eastAsia="zh-CN"/>
        </w:rPr>
        <w:t>四</w:t>
      </w:r>
      <w:r w:rsidRPr="00403B4F">
        <w:rPr>
          <w:rFonts w:eastAsiaTheme="minorEastAsia"/>
          <w:lang w:eastAsia="zh-CN"/>
        </w:rPr>
        <w:t>)</w:t>
      </w:r>
      <w:r w:rsidR="00084B39">
        <w:rPr>
          <w:rFonts w:eastAsiaTheme="minorEastAsia"/>
          <w:lang w:eastAsia="zh-CN"/>
        </w:rPr>
        <w:t xml:space="preserve"> </w:t>
      </w:r>
      <w:r w:rsidRPr="00403B4F">
        <w:rPr>
          <w:rFonts w:eastAsiaTheme="minorEastAsia"/>
          <w:lang w:eastAsia="zh-CN"/>
        </w:rPr>
        <w:t>监测有助于实现生物多样性成果的治理和管理系统；</w:t>
      </w:r>
    </w:p>
    <w:p w:rsidR="005B4DE3" w:rsidRPr="00830755" w:rsidRDefault="005B4DE3" w:rsidP="00403B4F">
      <w:pPr>
        <w:spacing w:before="0" w:after="0"/>
        <w:ind w:firstLine="0"/>
        <w:jc w:val="center"/>
        <w:rPr>
          <w:rFonts w:ascii="KaiTi" w:eastAsia="KaiTi" w:hAnsi="KaiTi"/>
          <w:lang w:eastAsia="zh-CN"/>
        </w:rPr>
      </w:pPr>
      <w:r w:rsidRPr="00830755">
        <w:rPr>
          <w:rFonts w:ascii="KaiTi" w:eastAsia="KaiTi" w:hAnsi="KaiTi" w:hint="eastAsia"/>
          <w:lang w:eastAsia="zh-CN"/>
        </w:rPr>
        <w:t>2.  对实现爱知生物多样性指标11的作用</w:t>
      </w:r>
    </w:p>
    <w:p w:rsidR="005B4DE3" w:rsidRPr="00403B4F" w:rsidRDefault="00A8359F" w:rsidP="00A8359F">
      <w:pPr>
        <w:tabs>
          <w:tab w:val="left" w:pos="1440"/>
        </w:tabs>
        <w:adjustRightInd w:val="0"/>
        <w:snapToGrid w:val="0"/>
        <w:rPr>
          <w:rFonts w:eastAsiaTheme="minorEastAsia"/>
          <w:lang w:eastAsia="zh-CN"/>
        </w:rPr>
      </w:pPr>
      <w:r>
        <w:rPr>
          <w:rFonts w:eastAsiaTheme="minorEastAsia"/>
          <w:lang w:val="fr-CA" w:eastAsia="zh-CN"/>
        </w:rPr>
        <w:t xml:space="preserve">(a)   </w:t>
      </w:r>
      <w:r w:rsidR="005B4DE3" w:rsidRPr="00403B4F">
        <w:rPr>
          <w:rFonts w:eastAsiaTheme="minorEastAsia" w:hint="eastAsia"/>
          <w:lang w:eastAsia="zh-CN"/>
        </w:rPr>
        <w:t>根据其定义，符合</w:t>
      </w:r>
      <w:r w:rsidR="005B4DE3" w:rsidRPr="00403B4F">
        <w:rPr>
          <w:rFonts w:eastAsiaTheme="minorEastAsia"/>
          <w:lang w:eastAsia="zh-CN"/>
        </w:rPr>
        <w:t>B</w:t>
      </w:r>
      <w:r w:rsidR="005B4DE3" w:rsidRPr="00403B4F">
        <w:rPr>
          <w:rFonts w:eastAsiaTheme="minorEastAsia" w:hint="eastAsia"/>
          <w:lang w:eastAsia="zh-CN"/>
        </w:rPr>
        <w:t>节标准的其他有效地区保护措施有助于爱知生物多样性指标</w:t>
      </w:r>
      <w:r w:rsidR="005B4DE3" w:rsidRPr="00403B4F">
        <w:rPr>
          <w:rFonts w:eastAsiaTheme="minorEastAsia" w:hint="eastAsia"/>
          <w:lang w:eastAsia="zh-CN"/>
        </w:rPr>
        <w:t>11</w:t>
      </w:r>
      <w:r w:rsidR="005B4DE3" w:rsidRPr="00403B4F">
        <w:rPr>
          <w:rFonts w:eastAsiaTheme="minorEastAsia" w:hint="eastAsia"/>
          <w:lang w:eastAsia="zh-CN"/>
        </w:rPr>
        <w:t>的定量要素（即</w:t>
      </w:r>
      <w:r w:rsidR="005B4DE3" w:rsidRPr="00403B4F">
        <w:rPr>
          <w:rFonts w:eastAsiaTheme="minorEastAsia"/>
          <w:lang w:eastAsia="zh-CN"/>
        </w:rPr>
        <w:t>17</w:t>
      </w:r>
      <w:r w:rsidR="005B4DE3" w:rsidRPr="00403B4F">
        <w:rPr>
          <w:rFonts w:eastAsiaTheme="minorEastAsia"/>
          <w:lang w:eastAsia="zh-CN"/>
        </w:rPr>
        <w:t>％和</w:t>
      </w:r>
      <w:r w:rsidR="005B4DE3" w:rsidRPr="00403B4F">
        <w:rPr>
          <w:rFonts w:eastAsiaTheme="minorEastAsia"/>
          <w:lang w:eastAsia="zh-CN"/>
        </w:rPr>
        <w:t>10</w:t>
      </w:r>
      <w:r w:rsidR="005B4DE3" w:rsidRPr="00403B4F">
        <w:rPr>
          <w:rFonts w:eastAsiaTheme="minorEastAsia"/>
          <w:lang w:eastAsia="zh-CN"/>
        </w:rPr>
        <w:t>％</w:t>
      </w:r>
      <w:r w:rsidR="005B4DE3" w:rsidRPr="00403B4F">
        <w:rPr>
          <w:rFonts w:eastAsiaTheme="minorEastAsia" w:hint="eastAsia"/>
          <w:lang w:eastAsia="zh-CN"/>
        </w:rPr>
        <w:t>的覆盖）和定性要素（即代表性、对生物多样性非常重要的地区的覆盖、连通性、纳入更广泛陆地景观和海洋景观、管理效力、公平性）；</w:t>
      </w:r>
    </w:p>
    <w:p w:rsidR="005B4DE3" w:rsidRPr="00A8359F" w:rsidRDefault="00A8359F" w:rsidP="00A8359F">
      <w:pPr>
        <w:tabs>
          <w:tab w:val="left" w:pos="1440"/>
        </w:tabs>
        <w:adjustRightInd w:val="0"/>
        <w:snapToGrid w:val="0"/>
        <w:rPr>
          <w:rFonts w:eastAsiaTheme="minorEastAsia"/>
          <w:lang w:eastAsia="zh-CN"/>
        </w:rPr>
      </w:pPr>
      <w:r>
        <w:rPr>
          <w:rFonts w:eastAsiaTheme="minorEastAsia"/>
          <w:lang w:eastAsia="zh-CN"/>
        </w:rPr>
        <w:t>(</w:t>
      </w:r>
      <w:r>
        <w:rPr>
          <w:rFonts w:eastAsiaTheme="minorEastAsia"/>
          <w:lang w:val="fr-CA" w:eastAsia="zh-CN"/>
        </w:rPr>
        <w:t xml:space="preserve">b)     </w:t>
      </w:r>
      <w:r w:rsidR="005B4DE3" w:rsidRPr="00A8359F">
        <w:rPr>
          <w:rFonts w:eastAsiaTheme="minorEastAsia" w:hint="eastAsia"/>
          <w:lang w:eastAsia="zh-CN"/>
        </w:rPr>
        <w:t>由于其他有效的地区保护措施在目的、设计、治理、利益攸关方和管理方面各不相同，通常也将有助于实现爱知生物多样性其他目标、《</w:t>
      </w:r>
      <w:r w:rsidR="005B4DE3" w:rsidRPr="00A8359F">
        <w:rPr>
          <w:rFonts w:eastAsiaTheme="minorEastAsia"/>
          <w:lang w:eastAsia="zh-CN"/>
        </w:rPr>
        <w:t>2030</w:t>
      </w:r>
      <w:r w:rsidR="005B4DE3" w:rsidRPr="00A8359F">
        <w:rPr>
          <w:rFonts w:eastAsiaTheme="minorEastAsia" w:hint="eastAsia"/>
          <w:lang w:eastAsia="zh-CN"/>
        </w:rPr>
        <w:t>年可持续发展议程》目标以及其他多边环境协定的目的或目标。</w:t>
      </w:r>
      <w:r w:rsidR="005B4DE3" w:rsidRPr="00403B4F">
        <w:rPr>
          <w:lang w:eastAsia="zh-CN"/>
        </w:rPr>
        <w:footnoteReference w:id="158"/>
      </w:r>
    </w:p>
    <w:p w:rsidR="005B4DE3" w:rsidRPr="00830755" w:rsidRDefault="005B4DE3" w:rsidP="00084B39">
      <w:pPr>
        <w:adjustRightInd w:val="0"/>
        <w:snapToGrid w:val="0"/>
        <w:ind w:firstLine="0"/>
        <w:jc w:val="center"/>
        <w:rPr>
          <w:rFonts w:ascii="KaiTi" w:eastAsia="KaiTi" w:hAnsi="KaiTi"/>
          <w:lang w:eastAsia="zh-CN"/>
        </w:rPr>
      </w:pPr>
      <w:r w:rsidRPr="00830755">
        <w:rPr>
          <w:rFonts w:ascii="KaiTi" w:eastAsia="KaiTi" w:hAnsi="KaiTi" w:hint="eastAsia"/>
          <w:lang w:eastAsia="zh-CN"/>
        </w:rPr>
        <w:t>附件四</w:t>
      </w:r>
    </w:p>
    <w:p w:rsidR="005B4DE3" w:rsidRPr="00403B4F" w:rsidRDefault="005B4DE3" w:rsidP="00084B39">
      <w:pPr>
        <w:adjustRightInd w:val="0"/>
        <w:snapToGrid w:val="0"/>
        <w:ind w:firstLine="0"/>
        <w:jc w:val="center"/>
        <w:rPr>
          <w:rFonts w:eastAsiaTheme="minorEastAsia"/>
          <w:b/>
          <w:lang w:eastAsia="zh-CN"/>
        </w:rPr>
      </w:pPr>
      <w:r w:rsidRPr="00403B4F">
        <w:rPr>
          <w:rFonts w:eastAsiaTheme="minorEastAsia"/>
          <w:b/>
          <w:lang w:eastAsia="zh-CN"/>
        </w:rPr>
        <w:t>在海洋和沿海地区实现爱知生物多样性指标</w:t>
      </w:r>
      <w:r w:rsidRPr="00403B4F">
        <w:rPr>
          <w:rFonts w:eastAsiaTheme="minorEastAsia"/>
          <w:b/>
          <w:lang w:eastAsia="zh-CN"/>
        </w:rPr>
        <w:t>11</w:t>
      </w:r>
      <w:r w:rsidRPr="00403B4F">
        <w:rPr>
          <w:rFonts w:eastAsiaTheme="minorEastAsia"/>
          <w:b/>
          <w:lang w:eastAsia="zh-CN"/>
        </w:rPr>
        <w:t>的考虑</w:t>
      </w:r>
    </w:p>
    <w:p w:rsidR="005B4DE3" w:rsidRPr="00403B4F" w:rsidRDefault="005B4DE3" w:rsidP="00403B4F">
      <w:pPr>
        <w:suppressLineNumbers/>
        <w:suppressAutoHyphens/>
        <w:kinsoku w:val="0"/>
        <w:overflowPunct w:val="0"/>
        <w:autoSpaceDE w:val="0"/>
        <w:autoSpaceDN w:val="0"/>
        <w:adjustRightInd w:val="0"/>
        <w:snapToGrid w:val="0"/>
        <w:rPr>
          <w:rFonts w:eastAsiaTheme="minorEastAsia"/>
          <w:bCs/>
          <w:iCs/>
          <w:kern w:val="22"/>
          <w:lang w:val="en-CA" w:eastAsia="zh-CN"/>
        </w:rPr>
      </w:pPr>
      <w:r w:rsidRPr="00403B4F">
        <w:rPr>
          <w:rFonts w:eastAsiaTheme="minorEastAsia"/>
          <w:bCs/>
          <w:iCs/>
          <w:kern w:val="22"/>
          <w:lang w:val="en-CA" w:eastAsia="zh-CN"/>
        </w:rPr>
        <w:t>这些因素系基于海洋保护区和其他有效的地区保护措施问题专家讲习班关于在海洋和沿海地区实现爱知生物多样性指标</w:t>
      </w:r>
      <w:r w:rsidRPr="00403B4F">
        <w:rPr>
          <w:rFonts w:eastAsiaTheme="minorEastAsia"/>
          <w:bCs/>
          <w:iCs/>
          <w:kern w:val="22"/>
          <w:lang w:val="en-CA" w:eastAsia="zh-CN"/>
        </w:rPr>
        <w:t>11</w:t>
      </w:r>
      <w:r w:rsidRPr="00403B4F">
        <w:rPr>
          <w:rFonts w:eastAsiaTheme="minorEastAsia"/>
          <w:bCs/>
          <w:iCs/>
          <w:kern w:val="22"/>
          <w:lang w:val="en-CA" w:eastAsia="zh-CN"/>
        </w:rPr>
        <w:t>的讨论以及为该讲习班编制的背景材料（见</w:t>
      </w:r>
      <w:r w:rsidRPr="00403B4F">
        <w:rPr>
          <w:rFonts w:eastAsiaTheme="minorEastAsia"/>
          <w:bCs/>
          <w:iCs/>
          <w:kern w:val="22"/>
          <w:lang w:val="en-CA" w:eastAsia="zh-CN"/>
        </w:rPr>
        <w:t>CBD/MCB/EM/2018/1/3</w:t>
      </w:r>
      <w:r w:rsidRPr="00403B4F">
        <w:rPr>
          <w:rFonts w:eastAsiaTheme="minorEastAsia"/>
          <w:bCs/>
          <w:iCs/>
          <w:kern w:val="22"/>
          <w:lang w:val="en-CA" w:eastAsia="zh-CN"/>
        </w:rPr>
        <w:t>）。</w:t>
      </w:r>
    </w:p>
    <w:p w:rsidR="005B4DE3" w:rsidRPr="00403B4F" w:rsidRDefault="005B4DE3" w:rsidP="00084B39">
      <w:pPr>
        <w:numPr>
          <w:ilvl w:val="0"/>
          <w:numId w:val="126"/>
        </w:numPr>
        <w:adjustRightInd w:val="0"/>
        <w:snapToGrid w:val="0"/>
        <w:ind w:left="0" w:firstLine="0"/>
        <w:jc w:val="center"/>
        <w:rPr>
          <w:rFonts w:eastAsiaTheme="minorEastAsia"/>
          <w:b/>
          <w:lang w:eastAsia="zh-CN"/>
        </w:rPr>
      </w:pPr>
      <w:r w:rsidRPr="00403B4F">
        <w:rPr>
          <w:rFonts w:eastAsiaTheme="minorEastAsia"/>
          <w:b/>
          <w:lang w:eastAsia="zh-CN"/>
        </w:rPr>
        <w:t xml:space="preserve"> </w:t>
      </w:r>
      <w:r w:rsidRPr="00403B4F">
        <w:rPr>
          <w:rFonts w:eastAsiaTheme="minorEastAsia"/>
          <w:b/>
          <w:lang w:eastAsia="zh-CN"/>
        </w:rPr>
        <w:t>与地区保护</w:t>
      </w:r>
      <w:r w:rsidRPr="00403B4F">
        <w:rPr>
          <w:rFonts w:eastAsiaTheme="minorEastAsia"/>
          <w:b/>
          <w:lang w:eastAsia="zh-CN"/>
        </w:rPr>
        <w:t>/</w:t>
      </w:r>
      <w:r w:rsidRPr="00403B4F">
        <w:rPr>
          <w:rFonts w:eastAsiaTheme="minorEastAsia"/>
          <w:b/>
          <w:lang w:eastAsia="zh-CN"/>
        </w:rPr>
        <w:t>管理措施相关的海洋环境的独特方面</w:t>
      </w:r>
    </w:p>
    <w:p w:rsidR="005B4DE3" w:rsidRPr="00403B4F" w:rsidRDefault="005B4DE3" w:rsidP="00403B4F">
      <w:pPr>
        <w:numPr>
          <w:ilvl w:val="0"/>
          <w:numId w:val="104"/>
        </w:numPr>
        <w:suppressLineNumbers/>
        <w:suppressAutoHyphens/>
        <w:kinsoku w:val="0"/>
        <w:overflowPunct w:val="0"/>
        <w:autoSpaceDE w:val="0"/>
        <w:autoSpaceDN w:val="0"/>
        <w:adjustRightInd w:val="0"/>
        <w:snapToGrid w:val="0"/>
        <w:ind w:left="0" w:firstLine="0"/>
        <w:rPr>
          <w:rFonts w:eastAsiaTheme="minorEastAsia"/>
          <w:lang w:val="en-CA"/>
        </w:rPr>
      </w:pPr>
      <w:r w:rsidRPr="00403B4F">
        <w:rPr>
          <w:rFonts w:eastAsiaTheme="minorEastAsia"/>
          <w:lang w:val="en-CA" w:eastAsia="zh-CN"/>
        </w:rPr>
        <w:t>在海区和陆上进行地区保护</w:t>
      </w:r>
      <w:r w:rsidRPr="00403B4F">
        <w:rPr>
          <w:rFonts w:eastAsiaTheme="minorEastAsia"/>
          <w:lang w:val="en-CA" w:eastAsia="zh-CN"/>
        </w:rPr>
        <w:t>/</w:t>
      </w:r>
      <w:r w:rsidRPr="00403B4F">
        <w:rPr>
          <w:rFonts w:eastAsiaTheme="minorEastAsia"/>
          <w:lang w:val="en-CA" w:eastAsia="zh-CN"/>
        </w:rPr>
        <w:t>管理所用工具和办法相似，但海洋和陆地环境之间存在着一些固有的差异，这些差异影响到地区保护措施的应用。</w:t>
      </w:r>
      <w:r w:rsidRPr="00403B4F">
        <w:rPr>
          <w:rFonts w:eastAsiaTheme="minorEastAsia"/>
          <w:lang w:val="en-CA"/>
        </w:rPr>
        <w:t>这些独特方面包括：</w:t>
      </w:r>
    </w:p>
    <w:p w:rsidR="005B4DE3" w:rsidRPr="00403B4F" w:rsidRDefault="005B4DE3" w:rsidP="00B63A75">
      <w:pPr>
        <w:numPr>
          <w:ilvl w:val="4"/>
          <w:numId w:val="113"/>
        </w:numPr>
        <w:tabs>
          <w:tab w:val="left" w:pos="1440"/>
        </w:tabs>
        <w:adjustRightInd w:val="0"/>
        <w:snapToGrid w:val="0"/>
        <w:ind w:left="0" w:firstLine="720"/>
        <w:rPr>
          <w:rFonts w:eastAsiaTheme="minorEastAsia"/>
          <w:lang w:eastAsia="zh-CN"/>
        </w:rPr>
      </w:pPr>
      <w:r w:rsidRPr="00403B4F">
        <w:rPr>
          <w:rFonts w:eastAsiaTheme="minorEastAsia"/>
          <w:lang w:eastAsia="zh-CN"/>
        </w:rPr>
        <w:t>海洋环境的三维性质（深海最大深度接近</w:t>
      </w:r>
      <w:r w:rsidRPr="00403B4F">
        <w:rPr>
          <w:rFonts w:eastAsiaTheme="minorEastAsia"/>
          <w:lang w:eastAsia="zh-CN"/>
        </w:rPr>
        <w:t>11</w:t>
      </w:r>
      <w:r w:rsidRPr="00403B4F">
        <w:rPr>
          <w:rFonts w:eastAsiaTheme="minorEastAsia"/>
          <w:lang w:eastAsia="zh-CN"/>
        </w:rPr>
        <w:t>公里），受物理化学性质包括压力、盐度和光照变化的严重影响；</w:t>
      </w:r>
    </w:p>
    <w:p w:rsidR="005B4DE3" w:rsidRPr="00403B4F" w:rsidRDefault="005B4DE3" w:rsidP="00B63A75">
      <w:pPr>
        <w:numPr>
          <w:ilvl w:val="4"/>
          <w:numId w:val="113"/>
        </w:numPr>
        <w:tabs>
          <w:tab w:val="left" w:pos="1440"/>
        </w:tabs>
        <w:adjustRightInd w:val="0"/>
        <w:snapToGrid w:val="0"/>
        <w:ind w:left="0" w:firstLine="720"/>
        <w:rPr>
          <w:rFonts w:eastAsiaTheme="minorEastAsia"/>
          <w:lang w:eastAsia="zh-CN"/>
        </w:rPr>
      </w:pPr>
      <w:r w:rsidRPr="00403B4F">
        <w:rPr>
          <w:rFonts w:eastAsiaTheme="minorEastAsia"/>
          <w:lang w:eastAsia="zh-CN"/>
        </w:rPr>
        <w:t>海洋环境的动态性质，受海流和潮汐影响并促进生态系统和生境之间的连通性；</w:t>
      </w:r>
    </w:p>
    <w:p w:rsidR="005B4DE3" w:rsidRPr="00403B4F" w:rsidRDefault="005B4DE3" w:rsidP="00B63A75">
      <w:pPr>
        <w:numPr>
          <w:ilvl w:val="4"/>
          <w:numId w:val="113"/>
        </w:numPr>
        <w:tabs>
          <w:tab w:val="left" w:pos="1440"/>
        </w:tabs>
        <w:adjustRightInd w:val="0"/>
        <w:snapToGrid w:val="0"/>
        <w:ind w:left="0" w:firstLine="720"/>
        <w:rPr>
          <w:rFonts w:eastAsiaTheme="minorEastAsia"/>
          <w:lang w:eastAsia="zh-CN"/>
        </w:rPr>
      </w:pPr>
      <w:r w:rsidRPr="00403B4F">
        <w:rPr>
          <w:rFonts w:eastAsiaTheme="minorEastAsia"/>
          <w:lang w:eastAsia="zh-CN"/>
        </w:rPr>
        <w:t>海洋环境中生境破碎化和连通性的性质；</w:t>
      </w:r>
    </w:p>
    <w:p w:rsidR="005B4DE3" w:rsidRPr="00403B4F" w:rsidRDefault="005B4DE3" w:rsidP="00B63A75">
      <w:pPr>
        <w:numPr>
          <w:ilvl w:val="4"/>
          <w:numId w:val="113"/>
        </w:numPr>
        <w:tabs>
          <w:tab w:val="left" w:pos="1440"/>
        </w:tabs>
        <w:adjustRightInd w:val="0"/>
        <w:snapToGrid w:val="0"/>
        <w:ind w:left="0" w:firstLine="720"/>
        <w:rPr>
          <w:rFonts w:eastAsiaTheme="minorEastAsia"/>
          <w:lang w:eastAsia="zh-CN"/>
        </w:rPr>
      </w:pPr>
      <w:r w:rsidRPr="00403B4F">
        <w:rPr>
          <w:rFonts w:eastAsiaTheme="minorEastAsia"/>
          <w:lang w:eastAsia="zh-CN"/>
        </w:rPr>
        <w:t>保护的地物位置遥远，缺少可见性；</w:t>
      </w:r>
    </w:p>
    <w:p w:rsidR="005B4DE3" w:rsidRPr="00403B4F" w:rsidRDefault="005B4DE3" w:rsidP="00B63A75">
      <w:pPr>
        <w:numPr>
          <w:ilvl w:val="4"/>
          <w:numId w:val="113"/>
        </w:numPr>
        <w:tabs>
          <w:tab w:val="left" w:pos="1440"/>
        </w:tabs>
        <w:adjustRightInd w:val="0"/>
        <w:snapToGrid w:val="0"/>
        <w:ind w:left="0" w:firstLine="720"/>
        <w:rPr>
          <w:rFonts w:eastAsiaTheme="minorEastAsia"/>
          <w:lang w:eastAsia="zh-CN"/>
        </w:rPr>
      </w:pPr>
      <w:r w:rsidRPr="00403B4F">
        <w:rPr>
          <w:rFonts w:eastAsiaTheme="minorEastAsia"/>
          <w:lang w:eastAsia="zh-CN"/>
        </w:rPr>
        <w:t>海洋环境初级生产常限于沿海地区的生境形成物种，浮游植物分布于上层的光带，而陆地环境中的生物现存量则广泛而有结构性。海洋环境初级生产还有较高的周转率，随年度温度和水流周期而变化；</w:t>
      </w:r>
    </w:p>
    <w:p w:rsidR="005B4DE3" w:rsidRPr="00403B4F" w:rsidRDefault="005B4DE3" w:rsidP="00B63A75">
      <w:pPr>
        <w:numPr>
          <w:ilvl w:val="4"/>
          <w:numId w:val="113"/>
        </w:numPr>
        <w:tabs>
          <w:tab w:val="left" w:pos="1440"/>
        </w:tabs>
        <w:adjustRightInd w:val="0"/>
        <w:snapToGrid w:val="0"/>
        <w:ind w:left="0" w:firstLine="720"/>
        <w:rPr>
          <w:rFonts w:eastAsiaTheme="minorEastAsia"/>
          <w:lang w:eastAsia="zh-CN"/>
        </w:rPr>
      </w:pPr>
      <w:r w:rsidRPr="00403B4F">
        <w:rPr>
          <w:rFonts w:eastAsiaTheme="minorEastAsia"/>
          <w:lang w:eastAsia="zh-CN"/>
        </w:rPr>
        <w:lastRenderedPageBreak/>
        <w:t>在陆地环境中大气混合的范围更广，而在海洋环境中混合变化发生在小得多的范围内；</w:t>
      </w:r>
    </w:p>
    <w:p w:rsidR="005B4DE3" w:rsidRPr="00403B4F" w:rsidRDefault="005B4DE3" w:rsidP="00B63A75">
      <w:pPr>
        <w:numPr>
          <w:ilvl w:val="4"/>
          <w:numId w:val="113"/>
        </w:numPr>
        <w:tabs>
          <w:tab w:val="left" w:pos="1440"/>
        </w:tabs>
        <w:adjustRightInd w:val="0"/>
        <w:snapToGrid w:val="0"/>
        <w:ind w:left="0" w:firstLine="720"/>
        <w:rPr>
          <w:rFonts w:eastAsiaTheme="minorEastAsia"/>
          <w:lang w:eastAsia="zh-CN"/>
        </w:rPr>
      </w:pPr>
      <w:r w:rsidRPr="00403B4F">
        <w:rPr>
          <w:rFonts w:eastAsiaTheme="minorEastAsia"/>
          <w:lang w:eastAsia="zh-CN"/>
        </w:rPr>
        <w:t>气候变化将对海区和陆区产生非常不同的影响，沿海地区受到侵蚀和风暴潮的侵袭，一次大型天气事件就可能使保护工作损失殆尽。海洋酸化蔓延可能影响一个海域初级生产的生物现存量，并在整个食物网中产生连锁效应；</w:t>
      </w:r>
    </w:p>
    <w:p w:rsidR="005B4DE3" w:rsidRPr="00403B4F" w:rsidRDefault="005B4DE3" w:rsidP="00B63A75">
      <w:pPr>
        <w:numPr>
          <w:ilvl w:val="4"/>
          <w:numId w:val="113"/>
        </w:numPr>
        <w:tabs>
          <w:tab w:val="left" w:pos="1440"/>
        </w:tabs>
        <w:adjustRightInd w:val="0"/>
        <w:snapToGrid w:val="0"/>
        <w:ind w:left="0" w:firstLine="720"/>
        <w:rPr>
          <w:rFonts w:eastAsiaTheme="minorEastAsia"/>
          <w:lang w:eastAsia="zh-CN"/>
        </w:rPr>
      </w:pPr>
      <w:r w:rsidRPr="00403B4F">
        <w:rPr>
          <w:rFonts w:eastAsiaTheme="minorEastAsia"/>
          <w:lang w:eastAsia="zh-CN"/>
        </w:rPr>
        <w:t>生物多样性和生态系统复原力和复原速度的差异；</w:t>
      </w:r>
    </w:p>
    <w:p w:rsidR="005B4DE3" w:rsidRPr="00403B4F" w:rsidRDefault="005B4DE3" w:rsidP="00B63A75">
      <w:pPr>
        <w:numPr>
          <w:ilvl w:val="4"/>
          <w:numId w:val="113"/>
        </w:numPr>
        <w:tabs>
          <w:tab w:val="left" w:pos="1440"/>
        </w:tabs>
        <w:adjustRightInd w:val="0"/>
        <w:snapToGrid w:val="0"/>
        <w:ind w:left="0" w:firstLine="720"/>
        <w:rPr>
          <w:rFonts w:eastAsiaTheme="minorEastAsia"/>
          <w:lang w:eastAsia="zh-CN"/>
        </w:rPr>
      </w:pPr>
      <w:r w:rsidRPr="00403B4F">
        <w:rPr>
          <w:rFonts w:eastAsiaTheme="minorEastAsia"/>
          <w:lang w:eastAsia="zh-CN"/>
        </w:rPr>
        <w:t>监测和数据收集办法和难度的差异；</w:t>
      </w:r>
    </w:p>
    <w:p w:rsidR="005B4DE3" w:rsidRPr="00403B4F" w:rsidRDefault="005B4DE3" w:rsidP="00B63A75">
      <w:pPr>
        <w:numPr>
          <w:ilvl w:val="4"/>
          <w:numId w:val="113"/>
        </w:numPr>
        <w:tabs>
          <w:tab w:val="left" w:pos="1440"/>
        </w:tabs>
        <w:adjustRightInd w:val="0"/>
        <w:snapToGrid w:val="0"/>
        <w:ind w:left="0" w:firstLine="720"/>
        <w:rPr>
          <w:rFonts w:eastAsiaTheme="minorEastAsia"/>
          <w:lang w:eastAsia="zh-CN"/>
        </w:rPr>
      </w:pPr>
      <w:r w:rsidRPr="00403B4F">
        <w:rPr>
          <w:rFonts w:eastAsiaTheme="minorEastAsia"/>
          <w:lang w:eastAsia="zh-CN"/>
        </w:rPr>
        <w:t>相同海区的不同部分可能实行不同的法律制度（例如国家管辖范围以外海域的海床和水柱）；</w:t>
      </w:r>
    </w:p>
    <w:p w:rsidR="005B4DE3" w:rsidRPr="00403B4F" w:rsidRDefault="005B4DE3" w:rsidP="00B63A75">
      <w:pPr>
        <w:widowControl w:val="0"/>
        <w:numPr>
          <w:ilvl w:val="4"/>
          <w:numId w:val="113"/>
        </w:numPr>
        <w:tabs>
          <w:tab w:val="left" w:pos="1440"/>
        </w:tabs>
        <w:adjustRightInd w:val="0"/>
        <w:snapToGrid w:val="0"/>
        <w:ind w:left="0" w:firstLine="720"/>
        <w:rPr>
          <w:rFonts w:eastAsiaTheme="minorEastAsia"/>
          <w:lang w:eastAsia="zh-CN"/>
        </w:rPr>
      </w:pPr>
      <w:r w:rsidRPr="00403B4F">
        <w:rPr>
          <w:rFonts w:eastAsiaTheme="minorEastAsia"/>
          <w:lang w:eastAsia="zh-CN"/>
        </w:rPr>
        <w:t>海洋环境中特定领域往往缺少清晰的所有权，存在多个使用方和利益攸关方，利益上往往有重叠甚至相互冲突；</w:t>
      </w:r>
    </w:p>
    <w:p w:rsidR="005B4DE3" w:rsidRPr="00403B4F" w:rsidRDefault="005B4DE3" w:rsidP="00B63A75">
      <w:pPr>
        <w:numPr>
          <w:ilvl w:val="4"/>
          <w:numId w:val="113"/>
        </w:numPr>
        <w:tabs>
          <w:tab w:val="left" w:pos="1440"/>
        </w:tabs>
        <w:adjustRightInd w:val="0"/>
        <w:snapToGrid w:val="0"/>
        <w:ind w:left="0" w:firstLine="720"/>
        <w:rPr>
          <w:rFonts w:eastAsiaTheme="minorEastAsia"/>
          <w:lang w:eastAsia="zh-CN"/>
        </w:rPr>
      </w:pPr>
      <w:r w:rsidRPr="00403B4F">
        <w:rPr>
          <w:rFonts w:eastAsiaTheme="minorEastAsia"/>
          <w:lang w:eastAsia="zh-CN"/>
        </w:rPr>
        <w:t>一个领域常有几个具有管辖权的监管当局；</w:t>
      </w:r>
    </w:p>
    <w:p w:rsidR="005B4DE3" w:rsidRPr="00403B4F" w:rsidRDefault="005B4DE3" w:rsidP="00B63A75">
      <w:pPr>
        <w:numPr>
          <w:ilvl w:val="4"/>
          <w:numId w:val="113"/>
        </w:numPr>
        <w:tabs>
          <w:tab w:val="left" w:pos="1440"/>
        </w:tabs>
        <w:adjustRightInd w:val="0"/>
        <w:snapToGrid w:val="0"/>
        <w:ind w:left="0" w:firstLine="720"/>
        <w:rPr>
          <w:rFonts w:eastAsiaTheme="minorEastAsia"/>
          <w:lang w:eastAsia="zh-CN"/>
        </w:rPr>
      </w:pPr>
      <w:r w:rsidRPr="00403B4F">
        <w:rPr>
          <w:rFonts w:eastAsiaTheme="minorEastAsia"/>
          <w:lang w:eastAsia="zh-CN"/>
        </w:rPr>
        <w:t>对基于资源的</w:t>
      </w:r>
      <w:r w:rsidRPr="00084B39">
        <w:rPr>
          <w:rFonts w:asciiTheme="minorEastAsia" w:eastAsiaTheme="minorEastAsia" w:hAnsiTheme="minorEastAsia"/>
          <w:lang w:eastAsia="zh-CN"/>
        </w:rPr>
        <w:t>“成果”的期望</w:t>
      </w:r>
      <w:r w:rsidRPr="00403B4F">
        <w:rPr>
          <w:rFonts w:eastAsiaTheme="minorEastAsia"/>
          <w:lang w:eastAsia="zh-CN"/>
        </w:rPr>
        <w:t>：从经济角度而言，在许多情况下，人们期望海洋环境下的地区保护措施可以改善渔业资源，恢复产量。在陆地环境下重点是保护动物，而不是期望种群增加后就可以捕获。</w:t>
      </w:r>
    </w:p>
    <w:p w:rsidR="005B4DE3" w:rsidRPr="00403B4F" w:rsidRDefault="005B4DE3" w:rsidP="00084B39">
      <w:pPr>
        <w:numPr>
          <w:ilvl w:val="0"/>
          <w:numId w:val="126"/>
        </w:numPr>
        <w:adjustRightInd w:val="0"/>
        <w:snapToGrid w:val="0"/>
        <w:ind w:left="0" w:firstLine="0"/>
        <w:jc w:val="center"/>
        <w:rPr>
          <w:rFonts w:eastAsiaTheme="minorEastAsia"/>
          <w:b/>
          <w:lang w:eastAsia="zh-CN"/>
        </w:rPr>
      </w:pPr>
      <w:r w:rsidRPr="00403B4F">
        <w:rPr>
          <w:rFonts w:eastAsiaTheme="minorEastAsia"/>
          <w:b/>
          <w:lang w:eastAsia="zh-CN"/>
        </w:rPr>
        <w:t xml:space="preserve"> </w:t>
      </w:r>
      <w:r w:rsidRPr="00403B4F">
        <w:rPr>
          <w:rFonts w:eastAsiaTheme="minorEastAsia"/>
          <w:b/>
          <w:lang w:eastAsia="zh-CN"/>
        </w:rPr>
        <w:t>海洋和沿海地区主要类型的地区保护措施</w:t>
      </w:r>
    </w:p>
    <w:p w:rsidR="005B4DE3" w:rsidRPr="00403B4F" w:rsidRDefault="005B4DE3" w:rsidP="00403B4F">
      <w:pPr>
        <w:numPr>
          <w:ilvl w:val="0"/>
          <w:numId w:val="104"/>
        </w:numPr>
        <w:suppressLineNumbers/>
        <w:suppressAutoHyphens/>
        <w:kinsoku w:val="0"/>
        <w:overflowPunct w:val="0"/>
        <w:autoSpaceDE w:val="0"/>
        <w:autoSpaceDN w:val="0"/>
        <w:adjustRightInd w:val="0"/>
        <w:snapToGrid w:val="0"/>
        <w:ind w:left="0" w:firstLine="0"/>
        <w:rPr>
          <w:rFonts w:eastAsiaTheme="minorEastAsia"/>
          <w:lang w:val="en-CA" w:eastAsia="zh-CN"/>
        </w:rPr>
      </w:pPr>
      <w:r w:rsidRPr="00403B4F">
        <w:rPr>
          <w:rFonts w:eastAsiaTheme="minorEastAsia"/>
          <w:lang w:val="en-CA" w:eastAsia="zh-CN"/>
        </w:rPr>
        <w:t>在海洋和沿海地区实施了许多不同类型的地区保护</w:t>
      </w:r>
      <w:r w:rsidRPr="00403B4F">
        <w:rPr>
          <w:rFonts w:eastAsiaTheme="minorEastAsia"/>
          <w:lang w:val="en-CA" w:eastAsia="zh-CN"/>
        </w:rPr>
        <w:t>/</w:t>
      </w:r>
      <w:r w:rsidRPr="00403B4F">
        <w:rPr>
          <w:rFonts w:eastAsiaTheme="minorEastAsia"/>
          <w:lang w:val="en-CA" w:eastAsia="zh-CN"/>
        </w:rPr>
        <w:t>管理措施。这些措施可以按不同的方式分类，不一定相互排斥。这些地区保护</w:t>
      </w:r>
      <w:r w:rsidRPr="00403B4F">
        <w:rPr>
          <w:rFonts w:eastAsiaTheme="minorEastAsia"/>
          <w:lang w:val="en-CA" w:eastAsia="zh-CN"/>
        </w:rPr>
        <w:t>/</w:t>
      </w:r>
      <w:r w:rsidRPr="00403B4F">
        <w:rPr>
          <w:rFonts w:eastAsiaTheme="minorEastAsia"/>
          <w:lang w:val="en-CA" w:eastAsia="zh-CN"/>
        </w:rPr>
        <w:t>管理措施一般可以分为：</w:t>
      </w:r>
    </w:p>
    <w:p w:rsidR="005B4DE3" w:rsidRPr="00403B4F" w:rsidRDefault="005B4DE3" w:rsidP="00B63A75">
      <w:pPr>
        <w:numPr>
          <w:ilvl w:val="4"/>
          <w:numId w:val="114"/>
        </w:numPr>
        <w:tabs>
          <w:tab w:val="left" w:pos="1440"/>
        </w:tabs>
        <w:adjustRightInd w:val="0"/>
        <w:snapToGrid w:val="0"/>
        <w:ind w:left="0" w:firstLine="720"/>
        <w:rPr>
          <w:rFonts w:eastAsiaTheme="minorEastAsia"/>
          <w:lang w:eastAsia="zh-CN"/>
        </w:rPr>
      </w:pPr>
      <w:r w:rsidRPr="00403B4F">
        <w:rPr>
          <w:rFonts w:eastAsiaTheme="minorEastAsia"/>
          <w:lang w:eastAsia="zh-CN"/>
        </w:rPr>
        <w:t>海洋和沿海保护区：《公约》第</w:t>
      </w:r>
      <w:r w:rsidRPr="00403B4F">
        <w:rPr>
          <w:rFonts w:eastAsiaTheme="minorEastAsia"/>
          <w:lang w:eastAsia="zh-CN"/>
        </w:rPr>
        <w:t>2</w:t>
      </w:r>
      <w:r w:rsidRPr="00403B4F">
        <w:rPr>
          <w:rFonts w:eastAsiaTheme="minorEastAsia"/>
          <w:lang w:eastAsia="zh-CN"/>
        </w:rPr>
        <w:t>条将</w:t>
      </w:r>
      <w:r w:rsidRPr="00084B39">
        <w:rPr>
          <w:rFonts w:asciiTheme="minorEastAsia" w:eastAsiaTheme="minorEastAsia" w:hAnsiTheme="minorEastAsia"/>
          <w:lang w:eastAsia="zh-CN"/>
        </w:rPr>
        <w:t>“保护区”</w:t>
      </w:r>
      <w:r w:rsidRPr="00403B4F">
        <w:rPr>
          <w:rFonts w:eastAsiaTheme="minorEastAsia"/>
          <w:lang w:eastAsia="zh-CN"/>
        </w:rPr>
        <w:t>界定为一个划定地理界限，为达到特定保护目标而指定或实行管制和管理的地区；</w:t>
      </w:r>
    </w:p>
    <w:p w:rsidR="005B4DE3" w:rsidRPr="00403B4F" w:rsidRDefault="005B4DE3" w:rsidP="00B63A75">
      <w:pPr>
        <w:numPr>
          <w:ilvl w:val="4"/>
          <w:numId w:val="114"/>
        </w:numPr>
        <w:tabs>
          <w:tab w:val="left" w:pos="1440"/>
        </w:tabs>
        <w:adjustRightInd w:val="0"/>
        <w:snapToGrid w:val="0"/>
        <w:ind w:left="0" w:firstLine="720"/>
        <w:rPr>
          <w:rFonts w:eastAsiaTheme="minorEastAsia"/>
          <w:lang w:eastAsia="zh-CN"/>
        </w:rPr>
      </w:pPr>
      <w:r w:rsidRPr="00403B4F">
        <w:rPr>
          <w:rFonts w:eastAsiaTheme="minorEastAsia"/>
          <w:lang w:eastAsia="zh-CN"/>
        </w:rPr>
        <w:t>土著人民和地方社区治理和管理的地区：在这类办法中，往往将部分或全部治理和（或）管理权力交给土著人民和地方社区，且保护目标往往与土著人民和地方社区的粮食安全和获得资源挂钩；</w:t>
      </w:r>
    </w:p>
    <w:p w:rsidR="005B4DE3" w:rsidRPr="00403B4F" w:rsidRDefault="005B4DE3" w:rsidP="00B63A75">
      <w:pPr>
        <w:numPr>
          <w:ilvl w:val="4"/>
          <w:numId w:val="114"/>
        </w:numPr>
        <w:tabs>
          <w:tab w:val="left" w:pos="1440"/>
        </w:tabs>
        <w:adjustRightInd w:val="0"/>
        <w:snapToGrid w:val="0"/>
        <w:ind w:left="0" w:firstLine="720"/>
        <w:rPr>
          <w:rFonts w:eastAsiaTheme="minorEastAsia"/>
          <w:lang w:eastAsia="zh-CN"/>
        </w:rPr>
      </w:pPr>
      <w:r w:rsidRPr="00403B4F">
        <w:rPr>
          <w:rFonts w:eastAsiaTheme="minorEastAsia"/>
          <w:lang w:eastAsia="zh-CN"/>
        </w:rPr>
        <w:t>地区渔业管理措施：是正式建立且划定空间的渔业管理和</w:t>
      </w:r>
      <w:r w:rsidRPr="00403B4F">
        <w:rPr>
          <w:rFonts w:eastAsiaTheme="minorEastAsia"/>
          <w:lang w:eastAsia="zh-CN"/>
        </w:rPr>
        <w:t>(</w:t>
      </w:r>
      <w:r w:rsidRPr="00403B4F">
        <w:rPr>
          <w:rFonts w:eastAsiaTheme="minorEastAsia"/>
          <w:lang w:eastAsia="zh-CN"/>
        </w:rPr>
        <w:t>或</w:t>
      </w:r>
      <w:r w:rsidRPr="00403B4F">
        <w:rPr>
          <w:rFonts w:eastAsiaTheme="minorEastAsia"/>
          <w:lang w:eastAsia="zh-CN"/>
        </w:rPr>
        <w:t>)</w:t>
      </w:r>
      <w:r w:rsidRPr="00403B4F">
        <w:rPr>
          <w:rFonts w:eastAsiaTheme="minorEastAsia"/>
          <w:lang w:eastAsia="zh-CN"/>
        </w:rPr>
        <w:t>养护措施，用于实现一项或多项预定的渔业成果。这些措施的成果通常与渔业的可持续利用有关。但也往往包括保护生物多样性、生境或生态系统结构和功能，减少对其影响；</w:t>
      </w:r>
    </w:p>
    <w:p w:rsidR="005B4DE3" w:rsidRPr="00403B4F" w:rsidRDefault="005B4DE3" w:rsidP="00B63A75">
      <w:pPr>
        <w:numPr>
          <w:ilvl w:val="4"/>
          <w:numId w:val="114"/>
        </w:numPr>
        <w:tabs>
          <w:tab w:val="left" w:pos="1440"/>
        </w:tabs>
        <w:adjustRightInd w:val="0"/>
        <w:snapToGrid w:val="0"/>
        <w:ind w:left="0" w:firstLine="720"/>
        <w:rPr>
          <w:rFonts w:eastAsiaTheme="minorEastAsia"/>
          <w:lang w:eastAsia="zh-CN"/>
        </w:rPr>
      </w:pPr>
      <w:r w:rsidRPr="00403B4F">
        <w:rPr>
          <w:rFonts w:eastAsiaTheme="minorEastAsia"/>
          <w:lang w:eastAsia="zh-CN"/>
        </w:rPr>
        <w:t>其他部门性地区管理办法：其他部门在不同规模上为不同目的实施的一系列地区措施。其中包括特别敏感的海区（因具有生态、社会经济或科学意义而由国际海事组织指定以免受国际海事活动损害的区域）、特别环境利益区（因其生物多样性和生态系统结构和功能由国际海底管理局指定以免受深海海底采矿损害的海底区域），国家海洋空间规划工作范围内的办法，以及其他部门的保护措施。</w:t>
      </w:r>
    </w:p>
    <w:p w:rsidR="005B4DE3" w:rsidRPr="00403B4F" w:rsidRDefault="005B4DE3" w:rsidP="00084B39">
      <w:pPr>
        <w:numPr>
          <w:ilvl w:val="0"/>
          <w:numId w:val="126"/>
        </w:numPr>
        <w:adjustRightInd w:val="0"/>
        <w:snapToGrid w:val="0"/>
        <w:ind w:left="0" w:firstLine="0"/>
        <w:jc w:val="center"/>
        <w:rPr>
          <w:rFonts w:eastAsiaTheme="minorEastAsia"/>
          <w:b/>
          <w:lang w:eastAsia="zh-CN"/>
        </w:rPr>
      </w:pPr>
      <w:r w:rsidRPr="00403B4F">
        <w:rPr>
          <w:rFonts w:eastAsiaTheme="minorEastAsia"/>
          <w:b/>
          <w:lang w:eastAsia="zh-CN"/>
        </w:rPr>
        <w:lastRenderedPageBreak/>
        <w:t xml:space="preserve"> </w:t>
      </w:r>
      <w:r w:rsidRPr="00403B4F">
        <w:rPr>
          <w:rFonts w:eastAsiaTheme="minorEastAsia"/>
          <w:b/>
          <w:lang w:eastAsia="zh-CN"/>
        </w:rPr>
        <w:t>加快在海洋和沿海地区实现爱知生物多样性指标</w:t>
      </w:r>
      <w:r w:rsidRPr="00403B4F">
        <w:rPr>
          <w:rFonts w:eastAsiaTheme="minorEastAsia"/>
          <w:b/>
          <w:lang w:eastAsia="zh-CN"/>
        </w:rPr>
        <w:t>11</w:t>
      </w:r>
      <w:r w:rsidRPr="00403B4F">
        <w:rPr>
          <w:rFonts w:eastAsiaTheme="minorEastAsia"/>
          <w:b/>
          <w:lang w:eastAsia="zh-CN"/>
        </w:rPr>
        <w:t>的办法</w:t>
      </w:r>
    </w:p>
    <w:p w:rsidR="005B4DE3" w:rsidRPr="00403B4F" w:rsidRDefault="005B4DE3" w:rsidP="00403B4F">
      <w:pPr>
        <w:numPr>
          <w:ilvl w:val="0"/>
          <w:numId w:val="104"/>
        </w:numPr>
        <w:suppressLineNumbers/>
        <w:suppressAutoHyphens/>
        <w:kinsoku w:val="0"/>
        <w:overflowPunct w:val="0"/>
        <w:autoSpaceDE w:val="0"/>
        <w:autoSpaceDN w:val="0"/>
        <w:adjustRightInd w:val="0"/>
        <w:snapToGrid w:val="0"/>
        <w:ind w:left="0" w:firstLine="0"/>
        <w:rPr>
          <w:rFonts w:eastAsiaTheme="minorEastAsia"/>
          <w:lang w:val="en-CA" w:eastAsia="zh-CN"/>
        </w:rPr>
      </w:pPr>
      <w:r w:rsidRPr="00403B4F">
        <w:rPr>
          <w:rFonts w:eastAsiaTheme="minorEastAsia"/>
          <w:lang w:val="en-CA" w:eastAsia="zh-CN"/>
        </w:rPr>
        <w:t>以下办法能加快国家在海洋和沿海地区实现爱知生物多样性指标</w:t>
      </w:r>
      <w:r w:rsidRPr="00403B4F">
        <w:rPr>
          <w:rFonts w:eastAsiaTheme="minorEastAsia"/>
          <w:lang w:val="en-CA" w:eastAsia="zh-CN"/>
        </w:rPr>
        <w:t>11</w:t>
      </w:r>
      <w:r w:rsidRPr="00403B4F">
        <w:rPr>
          <w:rFonts w:eastAsiaTheme="minorEastAsia"/>
          <w:lang w:val="en-CA" w:eastAsia="zh-CN"/>
        </w:rPr>
        <w:t>方面取得进展，同时认识到这些方法并不完全，在这些问题上可从其他来源获得指南：</w:t>
      </w:r>
    </w:p>
    <w:p w:rsidR="005B4DE3" w:rsidRPr="00C9773D" w:rsidRDefault="005B4DE3" w:rsidP="00B63A75">
      <w:pPr>
        <w:numPr>
          <w:ilvl w:val="0"/>
          <w:numId w:val="115"/>
        </w:numPr>
        <w:adjustRightInd w:val="0"/>
        <w:snapToGrid w:val="0"/>
        <w:jc w:val="center"/>
        <w:rPr>
          <w:rFonts w:ascii="KaiTi" w:eastAsia="KaiTi" w:hAnsi="KaiTi"/>
          <w:lang w:val="en-CA"/>
        </w:rPr>
      </w:pPr>
      <w:r w:rsidRPr="00C9773D">
        <w:rPr>
          <w:rFonts w:ascii="KaiTi" w:eastAsia="KaiTi" w:hAnsi="KaiTi"/>
          <w:lang w:val="en-CA" w:eastAsia="zh-CN"/>
        </w:rPr>
        <w:t xml:space="preserve"> </w:t>
      </w:r>
      <w:r w:rsidRPr="00C9773D">
        <w:rPr>
          <w:rFonts w:ascii="KaiTi" w:eastAsia="KaiTi" w:hAnsi="KaiTi"/>
          <w:lang w:val="en-CA"/>
        </w:rPr>
        <w:t>提供足够的信息基础</w:t>
      </w:r>
    </w:p>
    <w:p w:rsidR="005B4DE3" w:rsidRPr="00403B4F" w:rsidRDefault="005B4DE3" w:rsidP="00B63A75">
      <w:pPr>
        <w:numPr>
          <w:ilvl w:val="4"/>
          <w:numId w:val="115"/>
        </w:numPr>
        <w:tabs>
          <w:tab w:val="left" w:pos="1440"/>
        </w:tabs>
        <w:adjustRightInd w:val="0"/>
        <w:snapToGrid w:val="0"/>
        <w:ind w:left="0" w:firstLine="720"/>
        <w:rPr>
          <w:rFonts w:eastAsiaTheme="minorEastAsia"/>
          <w:lang w:eastAsia="zh-CN"/>
        </w:rPr>
      </w:pPr>
      <w:r w:rsidRPr="00403B4F">
        <w:rPr>
          <w:rFonts w:eastAsiaTheme="minorEastAsia"/>
          <w:lang w:eastAsia="zh-CN"/>
        </w:rPr>
        <w:t>确定处理定量要素所需的信息，包括关于生物多样性、生态系统和生物地理的信息以及生物多样性当前面临的威胁以及新的和正在出现的压力可能造成的威胁的信息；</w:t>
      </w:r>
    </w:p>
    <w:p w:rsidR="005B4DE3" w:rsidRPr="00403B4F" w:rsidRDefault="005B4DE3" w:rsidP="00B63A75">
      <w:pPr>
        <w:numPr>
          <w:ilvl w:val="4"/>
          <w:numId w:val="115"/>
        </w:numPr>
        <w:tabs>
          <w:tab w:val="left" w:pos="1440"/>
        </w:tabs>
        <w:adjustRightInd w:val="0"/>
        <w:snapToGrid w:val="0"/>
        <w:ind w:left="0" w:firstLine="720"/>
        <w:rPr>
          <w:rFonts w:eastAsiaTheme="minorEastAsia"/>
          <w:lang w:eastAsia="zh-CN"/>
        </w:rPr>
      </w:pPr>
      <w:r w:rsidRPr="00403B4F">
        <w:rPr>
          <w:rFonts w:eastAsiaTheme="minorEastAsia"/>
          <w:lang w:eastAsia="zh-CN"/>
        </w:rPr>
        <w:t>在酌情适用于土著人民的知识并符合国家政策、规章和国情以及适用的国际义务的情况下，在获得自由、事先和知情同意的情况下，综合融汇各类信息，包括关于具有重要生态或生物意义的海洋区域、生物多样性重要区域、脆弱海洋生态系统、特别敏感海区、重要海洋哺乳动物区等；</w:t>
      </w:r>
    </w:p>
    <w:p w:rsidR="005B4DE3" w:rsidRPr="00403B4F" w:rsidRDefault="005B4DE3" w:rsidP="00B63A75">
      <w:pPr>
        <w:numPr>
          <w:ilvl w:val="4"/>
          <w:numId w:val="115"/>
        </w:numPr>
        <w:tabs>
          <w:tab w:val="left" w:pos="1440"/>
        </w:tabs>
        <w:adjustRightInd w:val="0"/>
        <w:snapToGrid w:val="0"/>
        <w:ind w:left="0" w:firstLine="720"/>
        <w:rPr>
          <w:rFonts w:eastAsiaTheme="minorEastAsia"/>
          <w:lang w:eastAsia="zh-CN"/>
        </w:rPr>
      </w:pPr>
      <w:r w:rsidRPr="00403B4F">
        <w:rPr>
          <w:rFonts w:eastAsiaTheme="minorEastAsia"/>
          <w:lang w:eastAsia="zh-CN"/>
        </w:rPr>
        <w:t>制定和（或）改进信息标准化、交换和整合机制（例如信息交换所机制、全球海洋观测系统和其他监测系统）。</w:t>
      </w:r>
    </w:p>
    <w:p w:rsidR="005B4DE3" w:rsidRPr="00C9773D" w:rsidRDefault="005B4DE3" w:rsidP="00B63A75">
      <w:pPr>
        <w:numPr>
          <w:ilvl w:val="0"/>
          <w:numId w:val="115"/>
        </w:numPr>
        <w:adjustRightInd w:val="0"/>
        <w:snapToGrid w:val="0"/>
        <w:jc w:val="center"/>
        <w:rPr>
          <w:rFonts w:ascii="KaiTi" w:eastAsia="KaiTi" w:hAnsi="KaiTi"/>
          <w:lang w:val="en-CA" w:eastAsia="zh-CN"/>
        </w:rPr>
      </w:pPr>
      <w:r w:rsidRPr="00C9773D">
        <w:rPr>
          <w:rFonts w:ascii="KaiTi" w:eastAsia="KaiTi" w:hAnsi="KaiTi"/>
          <w:lang w:val="en-CA" w:eastAsia="zh-CN"/>
        </w:rPr>
        <w:t xml:space="preserve"> 权利所有人和利益攸关方的参与</w:t>
      </w:r>
    </w:p>
    <w:p w:rsidR="005B4DE3" w:rsidRPr="00403B4F" w:rsidRDefault="005B4DE3" w:rsidP="00B63A75">
      <w:pPr>
        <w:widowControl w:val="0"/>
        <w:numPr>
          <w:ilvl w:val="4"/>
          <w:numId w:val="116"/>
        </w:numPr>
        <w:tabs>
          <w:tab w:val="left" w:pos="1440"/>
        </w:tabs>
        <w:adjustRightInd w:val="0"/>
        <w:snapToGrid w:val="0"/>
        <w:ind w:left="0" w:firstLine="720"/>
        <w:rPr>
          <w:rFonts w:eastAsiaTheme="minorEastAsia"/>
          <w:lang w:eastAsia="zh-CN"/>
        </w:rPr>
      </w:pPr>
      <w:r w:rsidRPr="00403B4F">
        <w:rPr>
          <w:rFonts w:eastAsiaTheme="minorEastAsia"/>
          <w:lang w:eastAsia="zh-CN"/>
        </w:rPr>
        <w:t>确定相关权利所有人和利益攸关方，考虑不同规模的生计、文化和精神特点；</w:t>
      </w:r>
    </w:p>
    <w:p w:rsidR="005B4DE3" w:rsidRPr="00403B4F" w:rsidRDefault="005B4DE3" w:rsidP="00B63A75">
      <w:pPr>
        <w:numPr>
          <w:ilvl w:val="4"/>
          <w:numId w:val="116"/>
        </w:numPr>
        <w:tabs>
          <w:tab w:val="left" w:pos="1440"/>
        </w:tabs>
        <w:adjustRightInd w:val="0"/>
        <w:snapToGrid w:val="0"/>
        <w:ind w:left="0" w:firstLine="720"/>
        <w:rPr>
          <w:rFonts w:eastAsiaTheme="minorEastAsia"/>
          <w:lang w:eastAsia="zh-CN"/>
        </w:rPr>
      </w:pPr>
      <w:r w:rsidRPr="00403B4F">
        <w:rPr>
          <w:rFonts w:eastAsiaTheme="minorEastAsia"/>
          <w:lang w:eastAsia="zh-CN"/>
        </w:rPr>
        <w:t>发展和促进同业交流群和权利所有人和利益攸关方网络，促进相互学习和交流，支持治理、监测、执行、报告和评估工作；</w:t>
      </w:r>
    </w:p>
    <w:p w:rsidR="005B4DE3" w:rsidRPr="00403B4F" w:rsidRDefault="005B4DE3" w:rsidP="00B63A75">
      <w:pPr>
        <w:numPr>
          <w:ilvl w:val="4"/>
          <w:numId w:val="116"/>
        </w:numPr>
        <w:tabs>
          <w:tab w:val="left" w:pos="1440"/>
        </w:tabs>
        <w:adjustRightInd w:val="0"/>
        <w:snapToGrid w:val="0"/>
        <w:ind w:left="0" w:firstLine="720"/>
        <w:rPr>
          <w:rFonts w:eastAsiaTheme="minorEastAsia"/>
          <w:lang w:eastAsia="zh-CN"/>
        </w:rPr>
      </w:pPr>
      <w:r w:rsidRPr="00403B4F">
        <w:rPr>
          <w:rFonts w:eastAsiaTheme="minorEastAsia"/>
          <w:lang w:eastAsia="zh-CN"/>
        </w:rPr>
        <w:t>各权利所有人和利益攸关方就目标和预期成果达成共识；</w:t>
      </w:r>
    </w:p>
    <w:p w:rsidR="005B4DE3" w:rsidRPr="00403B4F" w:rsidRDefault="005B4DE3" w:rsidP="00B63A75">
      <w:pPr>
        <w:numPr>
          <w:ilvl w:val="4"/>
          <w:numId w:val="116"/>
        </w:numPr>
        <w:tabs>
          <w:tab w:val="left" w:pos="1440"/>
        </w:tabs>
        <w:adjustRightInd w:val="0"/>
        <w:snapToGrid w:val="0"/>
        <w:ind w:left="0" w:firstLine="720"/>
        <w:rPr>
          <w:rFonts w:eastAsiaTheme="minorEastAsia"/>
          <w:lang w:eastAsia="zh-CN"/>
        </w:rPr>
      </w:pPr>
      <w:r w:rsidRPr="00403B4F">
        <w:rPr>
          <w:rFonts w:eastAsiaTheme="minorEastAsia"/>
          <w:lang w:eastAsia="zh-CN"/>
        </w:rPr>
        <w:t>培养和加强海洋保护区和其他有效的地区保护措施管理和从业人员的社交和沟通技巧。</w:t>
      </w:r>
    </w:p>
    <w:p w:rsidR="005B4DE3" w:rsidRPr="00C9773D" w:rsidRDefault="005B4DE3" w:rsidP="00B63A75">
      <w:pPr>
        <w:numPr>
          <w:ilvl w:val="0"/>
          <w:numId w:val="115"/>
        </w:numPr>
        <w:adjustRightInd w:val="0"/>
        <w:snapToGrid w:val="0"/>
        <w:jc w:val="center"/>
        <w:rPr>
          <w:rFonts w:ascii="KaiTi" w:eastAsia="KaiTi" w:hAnsi="KaiTi"/>
          <w:lang w:val="en-CA"/>
        </w:rPr>
      </w:pPr>
      <w:r w:rsidRPr="00C9773D">
        <w:rPr>
          <w:rFonts w:ascii="KaiTi" w:eastAsia="KaiTi" w:hAnsi="KaiTi"/>
          <w:lang w:val="en-CA"/>
        </w:rPr>
        <w:t>治理、监督和执法</w:t>
      </w:r>
    </w:p>
    <w:p w:rsidR="005B4DE3" w:rsidRPr="00403B4F" w:rsidRDefault="005B4DE3" w:rsidP="00B63A75">
      <w:pPr>
        <w:numPr>
          <w:ilvl w:val="4"/>
          <w:numId w:val="117"/>
        </w:numPr>
        <w:tabs>
          <w:tab w:val="left" w:pos="1440"/>
        </w:tabs>
        <w:adjustRightInd w:val="0"/>
        <w:snapToGrid w:val="0"/>
        <w:ind w:left="0" w:firstLine="720"/>
        <w:rPr>
          <w:rFonts w:eastAsiaTheme="minorEastAsia"/>
          <w:lang w:eastAsia="zh-CN"/>
        </w:rPr>
      </w:pPr>
      <w:r w:rsidRPr="00403B4F">
        <w:rPr>
          <w:rFonts w:eastAsiaTheme="minorEastAsia"/>
          <w:lang w:eastAsia="zh-CN"/>
        </w:rPr>
        <w:t>查明实施中的政策和管理措施，包括保护区外的政策和管理措施；</w:t>
      </w:r>
    </w:p>
    <w:p w:rsidR="005B4DE3" w:rsidRPr="00403B4F" w:rsidRDefault="005B4DE3" w:rsidP="00B63A75">
      <w:pPr>
        <w:numPr>
          <w:ilvl w:val="4"/>
          <w:numId w:val="117"/>
        </w:numPr>
        <w:tabs>
          <w:tab w:val="left" w:pos="1440"/>
        </w:tabs>
        <w:adjustRightInd w:val="0"/>
        <w:snapToGrid w:val="0"/>
        <w:ind w:left="0" w:firstLine="720"/>
        <w:rPr>
          <w:rFonts w:eastAsiaTheme="minorEastAsia"/>
          <w:lang w:eastAsia="zh-CN"/>
        </w:rPr>
      </w:pPr>
      <w:r w:rsidRPr="00403B4F">
        <w:rPr>
          <w:rFonts w:eastAsiaTheme="minorEastAsia"/>
          <w:lang w:eastAsia="zh-CN"/>
        </w:rPr>
        <w:t>根据国家立法更好地利用开源数据方面的新发展（例如卫星信息）；</w:t>
      </w:r>
    </w:p>
    <w:p w:rsidR="005B4DE3" w:rsidRPr="00403B4F" w:rsidRDefault="005B4DE3" w:rsidP="00B63A75">
      <w:pPr>
        <w:numPr>
          <w:ilvl w:val="4"/>
          <w:numId w:val="117"/>
        </w:numPr>
        <w:tabs>
          <w:tab w:val="left" w:pos="1440"/>
        </w:tabs>
        <w:adjustRightInd w:val="0"/>
        <w:snapToGrid w:val="0"/>
        <w:ind w:left="0" w:firstLine="720"/>
        <w:rPr>
          <w:rFonts w:eastAsiaTheme="minorEastAsia"/>
          <w:lang w:eastAsia="zh-CN"/>
        </w:rPr>
      </w:pPr>
      <w:r w:rsidRPr="00403B4F">
        <w:rPr>
          <w:rFonts w:eastAsiaTheme="minorEastAsia"/>
          <w:lang w:eastAsia="zh-CN"/>
        </w:rPr>
        <w:t>建立和（或）加强全球监测机制和伙伴关系，降低监测的总成本；</w:t>
      </w:r>
    </w:p>
    <w:p w:rsidR="005B4DE3" w:rsidRPr="00403B4F" w:rsidRDefault="005B4DE3" w:rsidP="00B63A75">
      <w:pPr>
        <w:numPr>
          <w:ilvl w:val="4"/>
          <w:numId w:val="117"/>
        </w:numPr>
        <w:tabs>
          <w:tab w:val="left" w:pos="1440"/>
        </w:tabs>
        <w:adjustRightInd w:val="0"/>
        <w:snapToGrid w:val="0"/>
        <w:ind w:left="0" w:firstLine="720"/>
        <w:rPr>
          <w:rFonts w:eastAsiaTheme="minorEastAsia"/>
          <w:lang w:eastAsia="zh-CN"/>
        </w:rPr>
      </w:pPr>
      <w:r w:rsidRPr="00403B4F">
        <w:rPr>
          <w:rFonts w:eastAsiaTheme="minorEastAsia"/>
          <w:lang w:eastAsia="zh-CN"/>
        </w:rPr>
        <w:t>根据国家立法发动土著人民和地方社区以及德高望重的地方领袖参与监测和执法，提高地方社区的监测能力；</w:t>
      </w:r>
    </w:p>
    <w:p w:rsidR="005B4DE3" w:rsidRPr="00403B4F" w:rsidRDefault="005B4DE3" w:rsidP="00B63A75">
      <w:pPr>
        <w:numPr>
          <w:ilvl w:val="4"/>
          <w:numId w:val="117"/>
        </w:numPr>
        <w:tabs>
          <w:tab w:val="left" w:pos="1440"/>
        </w:tabs>
        <w:adjustRightInd w:val="0"/>
        <w:snapToGrid w:val="0"/>
        <w:ind w:left="0" w:firstLine="720"/>
        <w:rPr>
          <w:rFonts w:eastAsiaTheme="minorEastAsia"/>
          <w:lang w:eastAsia="zh-CN"/>
        </w:rPr>
      </w:pPr>
      <w:r w:rsidRPr="00403B4F">
        <w:rPr>
          <w:rFonts w:eastAsiaTheme="minorEastAsia"/>
          <w:lang w:eastAsia="zh-CN"/>
        </w:rPr>
        <w:t>加强科学家使用土著和地方知识的能力，尊重有关文化背景；</w:t>
      </w:r>
    </w:p>
    <w:p w:rsidR="005B4DE3" w:rsidRPr="00403B4F" w:rsidRDefault="005B4DE3" w:rsidP="00B63A75">
      <w:pPr>
        <w:numPr>
          <w:ilvl w:val="4"/>
          <w:numId w:val="117"/>
        </w:numPr>
        <w:tabs>
          <w:tab w:val="left" w:pos="1440"/>
        </w:tabs>
        <w:adjustRightInd w:val="0"/>
        <w:snapToGrid w:val="0"/>
        <w:ind w:left="0" w:firstLine="720"/>
        <w:rPr>
          <w:rFonts w:eastAsiaTheme="minorEastAsia"/>
          <w:lang w:eastAsia="zh-CN"/>
        </w:rPr>
      </w:pPr>
      <w:r w:rsidRPr="00403B4F">
        <w:rPr>
          <w:rFonts w:eastAsiaTheme="minorEastAsia"/>
          <w:lang w:eastAsia="zh-CN"/>
        </w:rPr>
        <w:t>建设管理和从业人员的能力；</w:t>
      </w:r>
    </w:p>
    <w:p w:rsidR="005B4DE3" w:rsidRPr="00403B4F" w:rsidRDefault="005B4DE3" w:rsidP="00B63A75">
      <w:pPr>
        <w:numPr>
          <w:ilvl w:val="4"/>
          <w:numId w:val="117"/>
        </w:numPr>
        <w:tabs>
          <w:tab w:val="left" w:pos="1440"/>
        </w:tabs>
        <w:adjustRightInd w:val="0"/>
        <w:snapToGrid w:val="0"/>
        <w:ind w:left="0" w:firstLine="720"/>
        <w:rPr>
          <w:rFonts w:eastAsiaTheme="minorEastAsia"/>
          <w:lang w:eastAsia="zh-CN"/>
        </w:rPr>
      </w:pPr>
      <w:r w:rsidRPr="00403B4F">
        <w:rPr>
          <w:rFonts w:eastAsiaTheme="minorEastAsia"/>
          <w:lang w:eastAsia="zh-CN"/>
        </w:rPr>
        <w:lastRenderedPageBreak/>
        <w:t>促进管理和从业人员之间合作、沟通和交流最佳做法；</w:t>
      </w:r>
    </w:p>
    <w:p w:rsidR="005B4DE3" w:rsidRPr="00403B4F" w:rsidRDefault="005B4DE3" w:rsidP="00B63A75">
      <w:pPr>
        <w:numPr>
          <w:ilvl w:val="4"/>
          <w:numId w:val="117"/>
        </w:numPr>
        <w:tabs>
          <w:tab w:val="left" w:pos="1440"/>
        </w:tabs>
        <w:adjustRightInd w:val="0"/>
        <w:snapToGrid w:val="0"/>
        <w:ind w:left="0" w:firstLine="720"/>
        <w:rPr>
          <w:rFonts w:eastAsiaTheme="minorEastAsia"/>
          <w:lang w:eastAsia="zh-CN"/>
        </w:rPr>
      </w:pPr>
      <w:r w:rsidRPr="00403B4F">
        <w:rPr>
          <w:rFonts w:eastAsiaTheme="minorEastAsia"/>
          <w:lang w:eastAsia="zh-CN"/>
        </w:rPr>
        <w:t>查明有效治理和履约方面的差距和障碍；</w:t>
      </w:r>
    </w:p>
    <w:p w:rsidR="005B4DE3" w:rsidRPr="00403B4F" w:rsidRDefault="005B4DE3" w:rsidP="00B63A75">
      <w:pPr>
        <w:numPr>
          <w:ilvl w:val="4"/>
          <w:numId w:val="117"/>
        </w:numPr>
        <w:tabs>
          <w:tab w:val="left" w:pos="1440"/>
        </w:tabs>
        <w:adjustRightInd w:val="0"/>
        <w:snapToGrid w:val="0"/>
        <w:ind w:left="0" w:firstLine="720"/>
        <w:rPr>
          <w:rFonts w:eastAsiaTheme="minorEastAsia"/>
          <w:lang w:eastAsia="zh-CN"/>
        </w:rPr>
      </w:pPr>
      <w:r w:rsidRPr="00403B4F">
        <w:rPr>
          <w:rFonts w:eastAsiaTheme="minorEastAsia"/>
          <w:lang w:eastAsia="zh-CN"/>
        </w:rPr>
        <w:t>利用现有标准和指标，提高各项全球和区域标准的可见性和吸收度，促进不同规模的共同办法；</w:t>
      </w:r>
    </w:p>
    <w:p w:rsidR="005B4DE3" w:rsidRPr="00403B4F" w:rsidRDefault="005B4DE3" w:rsidP="00B63A75">
      <w:pPr>
        <w:numPr>
          <w:ilvl w:val="4"/>
          <w:numId w:val="117"/>
        </w:numPr>
        <w:tabs>
          <w:tab w:val="left" w:pos="1440"/>
        </w:tabs>
        <w:adjustRightInd w:val="0"/>
        <w:snapToGrid w:val="0"/>
        <w:ind w:left="0" w:firstLine="720"/>
        <w:rPr>
          <w:rFonts w:eastAsiaTheme="minorEastAsia"/>
          <w:lang w:eastAsia="zh-CN"/>
        </w:rPr>
      </w:pPr>
      <w:r w:rsidRPr="00403B4F">
        <w:rPr>
          <w:rFonts w:eastAsiaTheme="minorEastAsia"/>
          <w:lang w:eastAsia="zh-CN"/>
        </w:rPr>
        <w:t>根据国家立法，承认并支持土著人民和地方社区在治理、监测和执法方面的作用。</w:t>
      </w:r>
    </w:p>
    <w:p w:rsidR="005B4DE3" w:rsidRPr="00403B4F" w:rsidRDefault="005B4DE3" w:rsidP="00B63A75">
      <w:pPr>
        <w:numPr>
          <w:ilvl w:val="0"/>
          <w:numId w:val="115"/>
        </w:numPr>
        <w:adjustRightInd w:val="0"/>
        <w:snapToGrid w:val="0"/>
        <w:jc w:val="center"/>
        <w:rPr>
          <w:rFonts w:eastAsiaTheme="minorEastAsia"/>
          <w:lang w:eastAsia="zh-CN"/>
        </w:rPr>
      </w:pPr>
      <w:r w:rsidRPr="00403B4F">
        <w:rPr>
          <w:rFonts w:eastAsiaTheme="minorEastAsia"/>
          <w:lang w:eastAsia="zh-CN"/>
        </w:rPr>
        <w:t>评估和报告实现爱知生物多样性指标</w:t>
      </w:r>
      <w:r w:rsidRPr="00403B4F">
        <w:rPr>
          <w:rFonts w:eastAsiaTheme="minorEastAsia"/>
          <w:lang w:eastAsia="zh-CN"/>
        </w:rPr>
        <w:t>11</w:t>
      </w:r>
      <w:r w:rsidRPr="00403B4F">
        <w:rPr>
          <w:rFonts w:eastAsiaTheme="minorEastAsia"/>
          <w:lang w:eastAsia="zh-CN"/>
        </w:rPr>
        <w:t>定性要素方面的进展情况</w:t>
      </w:r>
    </w:p>
    <w:p w:rsidR="005B4DE3" w:rsidRPr="00403B4F" w:rsidRDefault="005B4DE3" w:rsidP="00403B4F">
      <w:pPr>
        <w:adjustRightInd w:val="0"/>
        <w:snapToGrid w:val="0"/>
        <w:rPr>
          <w:rFonts w:eastAsiaTheme="minorEastAsia"/>
        </w:rPr>
      </w:pPr>
      <w:r w:rsidRPr="00403B4F">
        <w:rPr>
          <w:rFonts w:eastAsiaTheme="minorEastAsia"/>
        </w:rPr>
        <w:t>评估</w:t>
      </w:r>
    </w:p>
    <w:p w:rsidR="005B4DE3" w:rsidRPr="00403B4F" w:rsidRDefault="005B4DE3" w:rsidP="00B63A75">
      <w:pPr>
        <w:numPr>
          <w:ilvl w:val="4"/>
          <w:numId w:val="118"/>
        </w:numPr>
        <w:tabs>
          <w:tab w:val="left" w:pos="1440"/>
        </w:tabs>
        <w:adjustRightInd w:val="0"/>
        <w:snapToGrid w:val="0"/>
        <w:ind w:left="0" w:firstLine="720"/>
        <w:rPr>
          <w:rFonts w:eastAsiaTheme="minorEastAsia"/>
          <w:lang w:eastAsia="zh-CN"/>
        </w:rPr>
      </w:pPr>
      <w:r w:rsidRPr="00403B4F">
        <w:rPr>
          <w:rFonts w:eastAsiaTheme="minorEastAsia"/>
          <w:lang w:eastAsia="zh-CN"/>
        </w:rPr>
        <w:t>确保具有适当条件以便进行评估和分析（例如法律依据、政策、保护目标和专门知识）；</w:t>
      </w:r>
    </w:p>
    <w:p w:rsidR="005B4DE3" w:rsidRPr="00403B4F" w:rsidRDefault="005B4DE3" w:rsidP="00B63A75">
      <w:pPr>
        <w:numPr>
          <w:ilvl w:val="4"/>
          <w:numId w:val="118"/>
        </w:numPr>
        <w:tabs>
          <w:tab w:val="left" w:pos="1440"/>
        </w:tabs>
        <w:adjustRightInd w:val="0"/>
        <w:snapToGrid w:val="0"/>
        <w:ind w:left="0" w:firstLine="720"/>
        <w:rPr>
          <w:rFonts w:eastAsiaTheme="minorEastAsia"/>
          <w:lang w:eastAsia="zh-CN"/>
        </w:rPr>
      </w:pPr>
      <w:r w:rsidRPr="00403B4F">
        <w:rPr>
          <w:rFonts w:eastAsiaTheme="minorEastAsia"/>
          <w:lang w:eastAsia="zh-CN"/>
        </w:rPr>
        <w:t>各利益攸关方群体根据保护区的目标就有效性的含义达成共识；</w:t>
      </w:r>
    </w:p>
    <w:p w:rsidR="005B4DE3" w:rsidRPr="00403B4F" w:rsidRDefault="005B4DE3" w:rsidP="00B63A75">
      <w:pPr>
        <w:numPr>
          <w:ilvl w:val="4"/>
          <w:numId w:val="118"/>
        </w:numPr>
        <w:tabs>
          <w:tab w:val="left" w:pos="1440"/>
        </w:tabs>
        <w:adjustRightInd w:val="0"/>
        <w:snapToGrid w:val="0"/>
        <w:ind w:left="0" w:firstLine="720"/>
        <w:rPr>
          <w:rFonts w:eastAsiaTheme="minorEastAsia"/>
          <w:lang w:eastAsia="zh-CN"/>
        </w:rPr>
      </w:pPr>
      <w:r w:rsidRPr="00403B4F">
        <w:rPr>
          <w:rFonts w:eastAsiaTheme="minorEastAsia"/>
          <w:lang w:eastAsia="zh-CN"/>
        </w:rPr>
        <w:t>制定明确、可靠和可计量的指标，用于评估保护区在实现目标方面的有效性；</w:t>
      </w:r>
    </w:p>
    <w:p w:rsidR="005B4DE3" w:rsidRPr="00403B4F" w:rsidRDefault="005B4DE3" w:rsidP="00B63A75">
      <w:pPr>
        <w:numPr>
          <w:ilvl w:val="4"/>
          <w:numId w:val="118"/>
        </w:numPr>
        <w:tabs>
          <w:tab w:val="left" w:pos="1440"/>
        </w:tabs>
        <w:adjustRightInd w:val="0"/>
        <w:snapToGrid w:val="0"/>
        <w:ind w:left="0" w:firstLine="720"/>
        <w:rPr>
          <w:rFonts w:eastAsiaTheme="minorEastAsia"/>
          <w:lang w:eastAsia="zh-CN"/>
        </w:rPr>
      </w:pPr>
      <w:r w:rsidRPr="00403B4F">
        <w:rPr>
          <w:rFonts w:eastAsiaTheme="minorEastAsia"/>
          <w:lang w:eastAsia="zh-CN"/>
        </w:rPr>
        <w:t>制定标准化办法进行跨机制</w:t>
      </w:r>
      <w:r w:rsidRPr="00403B4F">
        <w:rPr>
          <w:rFonts w:eastAsiaTheme="minorEastAsia"/>
          <w:lang w:eastAsia="zh-CN"/>
        </w:rPr>
        <w:t>/</w:t>
      </w:r>
      <w:r w:rsidRPr="00403B4F">
        <w:rPr>
          <w:rFonts w:eastAsiaTheme="minorEastAsia"/>
          <w:lang w:eastAsia="zh-CN"/>
        </w:rPr>
        <w:t>程序评估；</w:t>
      </w:r>
    </w:p>
    <w:p w:rsidR="005B4DE3" w:rsidRPr="00403B4F" w:rsidRDefault="005B4DE3" w:rsidP="00B63A75">
      <w:pPr>
        <w:numPr>
          <w:ilvl w:val="4"/>
          <w:numId w:val="118"/>
        </w:numPr>
        <w:tabs>
          <w:tab w:val="left" w:pos="1440"/>
        </w:tabs>
        <w:adjustRightInd w:val="0"/>
        <w:snapToGrid w:val="0"/>
        <w:ind w:left="0" w:firstLine="720"/>
        <w:rPr>
          <w:rFonts w:eastAsiaTheme="minorEastAsia"/>
          <w:lang w:eastAsia="zh-CN"/>
        </w:rPr>
      </w:pPr>
      <w:r w:rsidRPr="00403B4F">
        <w:rPr>
          <w:rFonts w:eastAsiaTheme="minorEastAsia"/>
          <w:lang w:eastAsia="zh-CN"/>
        </w:rPr>
        <w:t>既评估整个保护区网络，也评估单个保护区；</w:t>
      </w:r>
    </w:p>
    <w:p w:rsidR="005B4DE3" w:rsidRPr="00403B4F" w:rsidRDefault="005B4DE3" w:rsidP="00B63A75">
      <w:pPr>
        <w:numPr>
          <w:ilvl w:val="4"/>
          <w:numId w:val="118"/>
        </w:numPr>
        <w:tabs>
          <w:tab w:val="left" w:pos="1440"/>
        </w:tabs>
        <w:adjustRightInd w:val="0"/>
        <w:snapToGrid w:val="0"/>
        <w:ind w:left="0" w:firstLine="720"/>
        <w:rPr>
          <w:rFonts w:eastAsiaTheme="minorEastAsia"/>
          <w:lang w:eastAsia="zh-CN"/>
        </w:rPr>
      </w:pPr>
      <w:r w:rsidRPr="00403B4F">
        <w:rPr>
          <w:rFonts w:eastAsiaTheme="minorEastAsia"/>
          <w:lang w:eastAsia="zh-CN"/>
        </w:rPr>
        <w:t>发展和促进同业交流群以支持评估；</w:t>
      </w:r>
    </w:p>
    <w:p w:rsidR="005B4DE3" w:rsidRPr="00403B4F" w:rsidRDefault="005B4DE3" w:rsidP="00403B4F">
      <w:pPr>
        <w:adjustRightInd w:val="0"/>
        <w:snapToGrid w:val="0"/>
        <w:rPr>
          <w:rFonts w:eastAsiaTheme="minorEastAsia"/>
        </w:rPr>
      </w:pPr>
      <w:r w:rsidRPr="00403B4F">
        <w:rPr>
          <w:rFonts w:eastAsiaTheme="minorEastAsia"/>
        </w:rPr>
        <w:t>报告</w:t>
      </w:r>
    </w:p>
    <w:p w:rsidR="005B4DE3" w:rsidRPr="00403B4F" w:rsidRDefault="005B4DE3" w:rsidP="00B63A75">
      <w:pPr>
        <w:numPr>
          <w:ilvl w:val="4"/>
          <w:numId w:val="119"/>
        </w:numPr>
        <w:tabs>
          <w:tab w:val="left" w:pos="1440"/>
        </w:tabs>
        <w:adjustRightInd w:val="0"/>
        <w:snapToGrid w:val="0"/>
        <w:ind w:left="0" w:firstLine="720"/>
        <w:rPr>
          <w:rFonts w:eastAsiaTheme="minorEastAsia"/>
          <w:lang w:eastAsia="zh-CN"/>
        </w:rPr>
      </w:pPr>
      <w:r w:rsidRPr="00403B4F">
        <w:rPr>
          <w:rFonts w:eastAsiaTheme="minorEastAsia"/>
          <w:lang w:eastAsia="zh-CN"/>
        </w:rPr>
        <w:t>提高报告的频率和准确性，包括最大限度地利用现有报告机制；</w:t>
      </w:r>
    </w:p>
    <w:p w:rsidR="005B4DE3" w:rsidRPr="00403B4F" w:rsidRDefault="005B4DE3" w:rsidP="00B63A75">
      <w:pPr>
        <w:numPr>
          <w:ilvl w:val="4"/>
          <w:numId w:val="119"/>
        </w:numPr>
        <w:tabs>
          <w:tab w:val="left" w:pos="1440"/>
        </w:tabs>
        <w:adjustRightInd w:val="0"/>
        <w:snapToGrid w:val="0"/>
        <w:ind w:left="0" w:firstLine="720"/>
        <w:rPr>
          <w:rFonts w:eastAsiaTheme="minorEastAsia"/>
          <w:lang w:eastAsia="zh-CN"/>
        </w:rPr>
      </w:pPr>
      <w:r w:rsidRPr="00403B4F">
        <w:rPr>
          <w:rFonts w:eastAsiaTheme="minorEastAsia"/>
          <w:lang w:eastAsia="zh-CN"/>
        </w:rPr>
        <w:t>提高报告的可见度，鼓励各学科专家进行分析；</w:t>
      </w:r>
    </w:p>
    <w:p w:rsidR="005B4DE3" w:rsidRPr="00403B4F" w:rsidRDefault="005B4DE3" w:rsidP="00B63A75">
      <w:pPr>
        <w:numPr>
          <w:ilvl w:val="4"/>
          <w:numId w:val="119"/>
        </w:numPr>
        <w:tabs>
          <w:tab w:val="left" w:pos="1440"/>
        </w:tabs>
        <w:adjustRightInd w:val="0"/>
        <w:snapToGrid w:val="0"/>
        <w:ind w:left="0" w:firstLine="720"/>
        <w:rPr>
          <w:rFonts w:eastAsiaTheme="minorEastAsia"/>
          <w:lang w:eastAsia="zh-CN"/>
        </w:rPr>
      </w:pPr>
      <w:r w:rsidRPr="00403B4F">
        <w:rPr>
          <w:rFonts w:eastAsiaTheme="minorEastAsia"/>
          <w:lang w:eastAsia="zh-CN"/>
        </w:rPr>
        <w:t>通过适当的反馈机制，确保报告和分析能够有效地指导管理，促进适应性管理；</w:t>
      </w:r>
    </w:p>
    <w:p w:rsidR="005B4DE3" w:rsidRPr="00403B4F" w:rsidRDefault="005B4DE3" w:rsidP="00B63A75">
      <w:pPr>
        <w:numPr>
          <w:ilvl w:val="4"/>
          <w:numId w:val="119"/>
        </w:numPr>
        <w:tabs>
          <w:tab w:val="left" w:pos="1440"/>
        </w:tabs>
        <w:adjustRightInd w:val="0"/>
        <w:snapToGrid w:val="0"/>
        <w:ind w:left="0" w:firstLine="720"/>
        <w:rPr>
          <w:rFonts w:eastAsiaTheme="minorEastAsia"/>
          <w:lang w:eastAsia="zh-CN"/>
        </w:rPr>
      </w:pPr>
      <w:r w:rsidRPr="00403B4F">
        <w:rPr>
          <w:rFonts w:eastAsiaTheme="minorEastAsia"/>
          <w:lang w:eastAsia="zh-CN"/>
        </w:rPr>
        <w:t>建设发展中国家进行报告和管理效力分析的能力；</w:t>
      </w:r>
    </w:p>
    <w:p w:rsidR="005B4DE3" w:rsidRPr="00403B4F" w:rsidRDefault="005B4DE3" w:rsidP="00B63A75">
      <w:pPr>
        <w:numPr>
          <w:ilvl w:val="4"/>
          <w:numId w:val="119"/>
        </w:numPr>
        <w:tabs>
          <w:tab w:val="left" w:pos="1440"/>
        </w:tabs>
        <w:adjustRightInd w:val="0"/>
        <w:snapToGrid w:val="0"/>
        <w:ind w:left="0" w:firstLine="720"/>
        <w:rPr>
          <w:rFonts w:eastAsiaTheme="minorEastAsia"/>
          <w:lang w:eastAsia="zh-CN"/>
        </w:rPr>
      </w:pPr>
      <w:r w:rsidRPr="00403B4F">
        <w:rPr>
          <w:rFonts w:eastAsiaTheme="minorEastAsia"/>
          <w:lang w:eastAsia="zh-CN"/>
        </w:rPr>
        <w:t>建立政治意愿，支持及时和有效报告，包括政府承诺进行定期和适当报告；</w:t>
      </w:r>
    </w:p>
    <w:p w:rsidR="005B4DE3" w:rsidRPr="00403B4F" w:rsidRDefault="005B4DE3" w:rsidP="00B63A75">
      <w:pPr>
        <w:numPr>
          <w:ilvl w:val="4"/>
          <w:numId w:val="119"/>
        </w:numPr>
        <w:tabs>
          <w:tab w:val="left" w:pos="1440"/>
        </w:tabs>
        <w:adjustRightInd w:val="0"/>
        <w:snapToGrid w:val="0"/>
        <w:ind w:left="0" w:firstLine="720"/>
        <w:rPr>
          <w:rFonts w:eastAsiaTheme="minorEastAsia"/>
          <w:lang w:eastAsia="zh-CN"/>
        </w:rPr>
      </w:pPr>
      <w:r w:rsidRPr="00403B4F">
        <w:rPr>
          <w:rFonts w:eastAsiaTheme="minorEastAsia"/>
          <w:lang w:eastAsia="zh-CN"/>
        </w:rPr>
        <w:t>让土著人民和地方社区参与报告和评估工作；</w:t>
      </w:r>
    </w:p>
    <w:p w:rsidR="005B4DE3" w:rsidRPr="00403B4F" w:rsidRDefault="005B4DE3" w:rsidP="00B63A75">
      <w:pPr>
        <w:numPr>
          <w:ilvl w:val="4"/>
          <w:numId w:val="119"/>
        </w:numPr>
        <w:tabs>
          <w:tab w:val="left" w:pos="1440"/>
        </w:tabs>
        <w:adjustRightInd w:val="0"/>
        <w:snapToGrid w:val="0"/>
        <w:ind w:left="0" w:firstLine="720"/>
        <w:rPr>
          <w:rFonts w:eastAsiaTheme="minorEastAsia"/>
          <w:lang w:eastAsia="zh-CN"/>
        </w:rPr>
      </w:pPr>
      <w:r w:rsidRPr="00403B4F">
        <w:rPr>
          <w:rFonts w:eastAsiaTheme="minorEastAsia"/>
          <w:lang w:eastAsia="zh-CN"/>
        </w:rPr>
        <w:t>制定跨机制</w:t>
      </w:r>
      <w:r w:rsidRPr="00403B4F">
        <w:rPr>
          <w:rFonts w:eastAsiaTheme="minorEastAsia"/>
          <w:lang w:eastAsia="zh-CN"/>
        </w:rPr>
        <w:t>/</w:t>
      </w:r>
      <w:r w:rsidRPr="00403B4F">
        <w:rPr>
          <w:rFonts w:eastAsiaTheme="minorEastAsia"/>
          <w:lang w:eastAsia="zh-CN"/>
        </w:rPr>
        <w:t>程序进行报告的标准办法；</w:t>
      </w:r>
    </w:p>
    <w:p w:rsidR="005B4DE3" w:rsidRPr="00403B4F" w:rsidRDefault="005B4DE3" w:rsidP="00B63A75">
      <w:pPr>
        <w:numPr>
          <w:ilvl w:val="4"/>
          <w:numId w:val="119"/>
        </w:numPr>
        <w:tabs>
          <w:tab w:val="left" w:pos="1440"/>
        </w:tabs>
        <w:adjustRightInd w:val="0"/>
        <w:snapToGrid w:val="0"/>
        <w:ind w:left="0" w:firstLine="720"/>
        <w:rPr>
          <w:rFonts w:eastAsiaTheme="minorEastAsia"/>
          <w:lang w:eastAsia="zh-CN"/>
        </w:rPr>
      </w:pPr>
      <w:r w:rsidRPr="00403B4F">
        <w:rPr>
          <w:rFonts w:eastAsiaTheme="minorEastAsia"/>
          <w:lang w:eastAsia="zh-CN"/>
        </w:rPr>
        <w:t>发展和促进同行交流群以支持报告。</w:t>
      </w:r>
    </w:p>
    <w:p w:rsidR="005B4DE3" w:rsidRPr="00403B4F" w:rsidRDefault="005B4DE3" w:rsidP="00403B4F">
      <w:pPr>
        <w:numPr>
          <w:ilvl w:val="0"/>
          <w:numId w:val="104"/>
        </w:numPr>
        <w:suppressLineNumbers/>
        <w:suppressAutoHyphens/>
        <w:kinsoku w:val="0"/>
        <w:overflowPunct w:val="0"/>
        <w:autoSpaceDE w:val="0"/>
        <w:autoSpaceDN w:val="0"/>
        <w:adjustRightInd w:val="0"/>
        <w:snapToGrid w:val="0"/>
        <w:ind w:left="0" w:firstLine="0"/>
        <w:rPr>
          <w:rFonts w:eastAsiaTheme="minorEastAsia"/>
          <w:lang w:val="en-CA" w:eastAsia="zh-CN"/>
        </w:rPr>
      </w:pPr>
      <w:r w:rsidRPr="00403B4F">
        <w:rPr>
          <w:rFonts w:eastAsiaTheme="minorEastAsia"/>
          <w:lang w:val="en-CA" w:eastAsia="zh-CN"/>
        </w:rPr>
        <w:lastRenderedPageBreak/>
        <w:t>以下办法能够加快国家在海洋和沿海地区实现爱知目标</w:t>
      </w:r>
      <w:r w:rsidRPr="00403B4F">
        <w:rPr>
          <w:rFonts w:eastAsiaTheme="minorEastAsia"/>
          <w:lang w:val="en-CA" w:eastAsia="zh-CN"/>
        </w:rPr>
        <w:t>11</w:t>
      </w:r>
      <w:r w:rsidRPr="00403B4F">
        <w:rPr>
          <w:rFonts w:eastAsiaTheme="minorEastAsia"/>
          <w:lang w:val="en-CA" w:eastAsia="zh-CN"/>
        </w:rPr>
        <w:t>，特别是确保将海洋保护区和其他有效的地区保护措施有效纳入更广泛的陆地景观和海洋景观海景，同时认识到这些办法并不完全，在这些问题上还可从其他来源获得指导：</w:t>
      </w:r>
    </w:p>
    <w:p w:rsidR="005B4DE3" w:rsidRPr="00403B4F" w:rsidRDefault="005B4DE3" w:rsidP="00B63A75">
      <w:pPr>
        <w:numPr>
          <w:ilvl w:val="4"/>
          <w:numId w:val="120"/>
        </w:numPr>
        <w:tabs>
          <w:tab w:val="left" w:pos="1440"/>
        </w:tabs>
        <w:adjustRightInd w:val="0"/>
        <w:snapToGrid w:val="0"/>
        <w:ind w:left="0" w:firstLine="720"/>
        <w:rPr>
          <w:rFonts w:eastAsiaTheme="minorEastAsia"/>
          <w:lang w:eastAsia="zh-CN"/>
        </w:rPr>
      </w:pPr>
      <w:r w:rsidRPr="00403B4F">
        <w:rPr>
          <w:rFonts w:eastAsiaTheme="minorEastAsia"/>
          <w:lang w:eastAsia="zh-CN"/>
        </w:rPr>
        <w:t>查明海洋保护区和其他有效的地区保护措施如何纳入和加强陆地景观和海洋景观规划框架，包括海洋空间规划、综合沿海管理和系统性保护规划；</w:t>
      </w:r>
    </w:p>
    <w:p w:rsidR="005B4DE3" w:rsidRPr="00403B4F" w:rsidRDefault="005B4DE3" w:rsidP="00B63A75">
      <w:pPr>
        <w:numPr>
          <w:ilvl w:val="4"/>
          <w:numId w:val="120"/>
        </w:numPr>
        <w:tabs>
          <w:tab w:val="left" w:pos="1440"/>
        </w:tabs>
        <w:adjustRightInd w:val="0"/>
        <w:snapToGrid w:val="0"/>
        <w:ind w:left="0" w:firstLine="720"/>
        <w:rPr>
          <w:rFonts w:eastAsiaTheme="minorEastAsia"/>
          <w:lang w:eastAsia="zh-CN"/>
        </w:rPr>
      </w:pPr>
      <w:r w:rsidRPr="00403B4F">
        <w:rPr>
          <w:rFonts w:eastAsiaTheme="minorEastAsia"/>
          <w:lang w:eastAsia="zh-CN"/>
        </w:rPr>
        <w:t>评估需要哪些信息并确定收集信息的最佳规模，包括现有的法律和政策框架；生态和生物特征以及具有特定保护重要性的地区；在更广泛的陆地景观和海洋景观以及特定保护重要性地区的使用和活动，在更广泛的陆地景观和海洋景观中活跃或有利益的相关利益攸关方，以及人类使用的潜在相互作用；在各空间范围内的累积影响，系统对更多人类使用和自然力量的反应和复原力</w:t>
      </w:r>
      <w:r w:rsidRPr="00403B4F">
        <w:rPr>
          <w:rFonts w:eastAsiaTheme="minorEastAsia"/>
          <w:lang w:eastAsia="zh-CN"/>
        </w:rPr>
        <w:t>/</w:t>
      </w:r>
      <w:r w:rsidRPr="00403B4F">
        <w:rPr>
          <w:rFonts w:eastAsiaTheme="minorEastAsia"/>
          <w:lang w:eastAsia="zh-CN"/>
        </w:rPr>
        <w:t>脆弱性；陆地景观和海洋景观内外的连通性；</w:t>
      </w:r>
    </w:p>
    <w:p w:rsidR="005B4DE3" w:rsidRPr="00403B4F" w:rsidRDefault="005B4DE3" w:rsidP="00B63A75">
      <w:pPr>
        <w:numPr>
          <w:ilvl w:val="4"/>
          <w:numId w:val="120"/>
        </w:numPr>
        <w:tabs>
          <w:tab w:val="left" w:pos="1440"/>
        </w:tabs>
        <w:adjustRightInd w:val="0"/>
        <w:snapToGrid w:val="0"/>
        <w:ind w:left="0" w:firstLine="720"/>
        <w:rPr>
          <w:rFonts w:eastAsiaTheme="minorEastAsia"/>
          <w:lang w:eastAsia="zh-CN"/>
        </w:rPr>
      </w:pPr>
      <w:r w:rsidRPr="00403B4F">
        <w:rPr>
          <w:rFonts w:eastAsiaTheme="minorEastAsia"/>
          <w:lang w:eastAsia="zh-CN"/>
        </w:rPr>
        <w:t>查明现有的数据和信息来源（包括传统和地方知识），确定信息差距，汇总现有数据、模型和其他相关信息，开发和（或）改进用户友好型、开源、高效和透明的数据可视化和集成工具；</w:t>
      </w:r>
    </w:p>
    <w:p w:rsidR="005B4DE3" w:rsidRPr="00403B4F" w:rsidRDefault="005B4DE3" w:rsidP="00B63A75">
      <w:pPr>
        <w:numPr>
          <w:ilvl w:val="4"/>
          <w:numId w:val="120"/>
        </w:numPr>
        <w:tabs>
          <w:tab w:val="left" w:pos="1440"/>
        </w:tabs>
        <w:adjustRightInd w:val="0"/>
        <w:snapToGrid w:val="0"/>
        <w:ind w:left="0" w:firstLine="720"/>
        <w:rPr>
          <w:rFonts w:eastAsiaTheme="minorEastAsia"/>
          <w:lang w:eastAsia="zh-CN"/>
        </w:rPr>
      </w:pPr>
      <w:r w:rsidRPr="00403B4F">
        <w:rPr>
          <w:rFonts w:eastAsiaTheme="minorEastAsia"/>
          <w:lang w:eastAsia="zh-CN"/>
        </w:rPr>
        <w:t>认识和了解不同的价值体系；</w:t>
      </w:r>
    </w:p>
    <w:p w:rsidR="005B4DE3" w:rsidRPr="00403B4F" w:rsidRDefault="005B4DE3" w:rsidP="00B63A75">
      <w:pPr>
        <w:numPr>
          <w:ilvl w:val="4"/>
          <w:numId w:val="120"/>
        </w:numPr>
        <w:tabs>
          <w:tab w:val="left" w:pos="1440"/>
        </w:tabs>
        <w:adjustRightInd w:val="0"/>
        <w:snapToGrid w:val="0"/>
        <w:ind w:left="0" w:firstLine="720"/>
        <w:rPr>
          <w:rFonts w:eastAsiaTheme="minorEastAsia"/>
          <w:lang w:eastAsia="zh-CN"/>
        </w:rPr>
      </w:pPr>
      <w:r w:rsidRPr="00403B4F">
        <w:rPr>
          <w:rFonts w:eastAsiaTheme="minorEastAsia"/>
          <w:lang w:eastAsia="zh-CN"/>
        </w:rPr>
        <w:t>确保土著人民和地方社区充分和有效参与；</w:t>
      </w:r>
    </w:p>
    <w:p w:rsidR="005B4DE3" w:rsidRPr="00403B4F" w:rsidRDefault="005B4DE3" w:rsidP="00B63A75">
      <w:pPr>
        <w:numPr>
          <w:ilvl w:val="4"/>
          <w:numId w:val="120"/>
        </w:numPr>
        <w:tabs>
          <w:tab w:val="left" w:pos="1440"/>
        </w:tabs>
        <w:adjustRightInd w:val="0"/>
        <w:snapToGrid w:val="0"/>
        <w:ind w:left="0" w:firstLine="720"/>
        <w:rPr>
          <w:rFonts w:eastAsiaTheme="minorEastAsia"/>
          <w:lang w:eastAsia="zh-CN"/>
        </w:rPr>
      </w:pPr>
      <w:r w:rsidRPr="00403B4F">
        <w:rPr>
          <w:rFonts w:eastAsiaTheme="minorEastAsia"/>
          <w:lang w:eastAsia="zh-CN"/>
        </w:rPr>
        <w:t>各利益攸关方就将海洋保护区和其他有效的地区保护措施纳入更广泛的陆地景观和海洋景观的目标达成共识；</w:t>
      </w:r>
    </w:p>
    <w:p w:rsidR="005B4DE3" w:rsidRPr="00403B4F" w:rsidRDefault="005B4DE3" w:rsidP="00B63A75">
      <w:pPr>
        <w:numPr>
          <w:ilvl w:val="4"/>
          <w:numId w:val="120"/>
        </w:numPr>
        <w:tabs>
          <w:tab w:val="left" w:pos="1440"/>
        </w:tabs>
        <w:adjustRightInd w:val="0"/>
        <w:snapToGrid w:val="0"/>
        <w:ind w:left="0" w:firstLine="720"/>
        <w:rPr>
          <w:rFonts w:eastAsiaTheme="minorEastAsia"/>
          <w:lang w:eastAsia="zh-CN"/>
        </w:rPr>
      </w:pPr>
      <w:r w:rsidRPr="00403B4F">
        <w:rPr>
          <w:rFonts w:eastAsiaTheme="minorEastAsia"/>
          <w:lang w:eastAsia="zh-CN"/>
        </w:rPr>
        <w:t>确保对在海洋保护区和其他有效的地区保护措施内外造成影响的所有活动问责；</w:t>
      </w:r>
    </w:p>
    <w:p w:rsidR="005B4DE3" w:rsidRPr="00403B4F" w:rsidRDefault="005B4DE3" w:rsidP="00B63A75">
      <w:pPr>
        <w:numPr>
          <w:ilvl w:val="4"/>
          <w:numId w:val="120"/>
        </w:numPr>
        <w:tabs>
          <w:tab w:val="left" w:pos="1440"/>
        </w:tabs>
        <w:adjustRightInd w:val="0"/>
        <w:snapToGrid w:val="0"/>
        <w:ind w:left="0" w:firstLine="720"/>
        <w:rPr>
          <w:rFonts w:eastAsiaTheme="minorEastAsia"/>
          <w:lang w:eastAsia="zh-CN"/>
        </w:rPr>
      </w:pPr>
      <w:r w:rsidRPr="00403B4F">
        <w:rPr>
          <w:rFonts w:eastAsiaTheme="minorEastAsia"/>
          <w:lang w:eastAsia="zh-CN"/>
        </w:rPr>
        <w:t>制定明确、可靠和可计量的指标，用于评估海洋保护区和其他有效的地区保护措施在实现其目标方面的有效性，评估更广泛的陆地景观和海洋景观的状况；</w:t>
      </w:r>
    </w:p>
    <w:p w:rsidR="005B4DE3" w:rsidRPr="00403B4F" w:rsidRDefault="005B4DE3" w:rsidP="00403B4F">
      <w:pPr>
        <w:numPr>
          <w:ilvl w:val="0"/>
          <w:numId w:val="104"/>
        </w:numPr>
        <w:tabs>
          <w:tab w:val="left" w:pos="720"/>
        </w:tabs>
        <w:adjustRightInd w:val="0"/>
        <w:snapToGrid w:val="0"/>
        <w:ind w:left="0" w:firstLine="0"/>
        <w:rPr>
          <w:rFonts w:eastAsiaTheme="minorEastAsia"/>
          <w:lang w:val="en-CA" w:eastAsia="zh-CN"/>
        </w:rPr>
      </w:pPr>
      <w:r w:rsidRPr="00403B4F">
        <w:rPr>
          <w:rFonts w:eastAsiaTheme="minorEastAsia"/>
          <w:lang w:val="en-CA" w:eastAsia="zh-CN"/>
        </w:rPr>
        <w:t>以下是管理更广泛的陆地景观和海洋景观以确保海洋保护区和其他有效的地区保护措施的有效性的办法，同时认识到这些办法并不完全，在这些问题上还可从其他来源获得指导：</w:t>
      </w:r>
    </w:p>
    <w:p w:rsidR="005B4DE3" w:rsidRPr="00403B4F" w:rsidRDefault="005B4DE3" w:rsidP="00B63A75">
      <w:pPr>
        <w:numPr>
          <w:ilvl w:val="4"/>
          <w:numId w:val="121"/>
        </w:numPr>
        <w:tabs>
          <w:tab w:val="left" w:pos="1440"/>
        </w:tabs>
        <w:adjustRightInd w:val="0"/>
        <w:snapToGrid w:val="0"/>
        <w:ind w:left="0" w:firstLine="720"/>
        <w:rPr>
          <w:rFonts w:eastAsiaTheme="minorEastAsia"/>
          <w:lang w:eastAsia="zh-CN"/>
        </w:rPr>
      </w:pPr>
      <w:r w:rsidRPr="00403B4F">
        <w:rPr>
          <w:rFonts w:eastAsiaTheme="minorEastAsia"/>
          <w:lang w:val="en-CA" w:eastAsia="zh-CN"/>
        </w:rPr>
        <w:t>建立</w:t>
      </w:r>
      <w:r w:rsidRPr="00403B4F">
        <w:rPr>
          <w:rFonts w:eastAsiaTheme="minorEastAsia"/>
          <w:lang w:eastAsia="zh-CN"/>
        </w:rPr>
        <w:t>（或）加强综合治理和管理，以支持陆地景观和海洋景观规划，协调跨地理范围的规划、目标设定和治理；</w:t>
      </w:r>
    </w:p>
    <w:p w:rsidR="005B4DE3" w:rsidRPr="00403B4F" w:rsidRDefault="005B4DE3" w:rsidP="00B63A75">
      <w:pPr>
        <w:numPr>
          <w:ilvl w:val="4"/>
          <w:numId w:val="121"/>
        </w:numPr>
        <w:tabs>
          <w:tab w:val="left" w:pos="1440"/>
        </w:tabs>
        <w:adjustRightInd w:val="0"/>
        <w:snapToGrid w:val="0"/>
        <w:ind w:left="0" w:firstLine="720"/>
        <w:rPr>
          <w:rFonts w:eastAsiaTheme="minorEastAsia"/>
          <w:lang w:eastAsia="zh-CN"/>
        </w:rPr>
      </w:pPr>
      <w:r w:rsidRPr="00403B4F">
        <w:rPr>
          <w:rFonts w:eastAsiaTheme="minorEastAsia"/>
          <w:lang w:eastAsia="zh-CN"/>
        </w:rPr>
        <w:t>开发和（或）完善陆地景观和海洋景观规划的决策支持工具；</w:t>
      </w:r>
    </w:p>
    <w:p w:rsidR="005B4DE3" w:rsidRPr="00403B4F" w:rsidRDefault="005B4DE3" w:rsidP="00B63A75">
      <w:pPr>
        <w:numPr>
          <w:ilvl w:val="4"/>
          <w:numId w:val="121"/>
        </w:numPr>
        <w:tabs>
          <w:tab w:val="left" w:pos="1440"/>
        </w:tabs>
        <w:adjustRightInd w:val="0"/>
        <w:snapToGrid w:val="0"/>
        <w:ind w:left="0" w:firstLine="720"/>
        <w:rPr>
          <w:rFonts w:eastAsiaTheme="minorEastAsia"/>
          <w:lang w:eastAsia="zh-CN"/>
        </w:rPr>
      </w:pPr>
      <w:r w:rsidRPr="00403B4F">
        <w:rPr>
          <w:rFonts w:eastAsiaTheme="minorEastAsia"/>
          <w:lang w:eastAsia="zh-CN"/>
        </w:rPr>
        <w:t>确保制定和执行相关立法；</w:t>
      </w:r>
    </w:p>
    <w:p w:rsidR="005B4DE3" w:rsidRPr="00403B4F" w:rsidRDefault="005B4DE3" w:rsidP="00B63A75">
      <w:pPr>
        <w:numPr>
          <w:ilvl w:val="4"/>
          <w:numId w:val="121"/>
        </w:numPr>
        <w:tabs>
          <w:tab w:val="left" w:pos="1440"/>
        </w:tabs>
        <w:adjustRightInd w:val="0"/>
        <w:snapToGrid w:val="0"/>
        <w:ind w:left="0" w:firstLine="720"/>
        <w:rPr>
          <w:rFonts w:eastAsiaTheme="minorEastAsia"/>
          <w:lang w:eastAsia="zh-CN"/>
        </w:rPr>
      </w:pPr>
      <w:r w:rsidRPr="00403B4F">
        <w:rPr>
          <w:rFonts w:eastAsiaTheme="minorEastAsia"/>
          <w:lang w:eastAsia="zh-CN"/>
        </w:rPr>
        <w:t>了解和评估更广泛陆地景观和海洋景观的使用和管理状况，查明需要加强保护的地区；</w:t>
      </w:r>
    </w:p>
    <w:p w:rsidR="005B4DE3" w:rsidRPr="00403B4F" w:rsidRDefault="005B4DE3" w:rsidP="00B63A75">
      <w:pPr>
        <w:numPr>
          <w:ilvl w:val="4"/>
          <w:numId w:val="121"/>
        </w:numPr>
        <w:tabs>
          <w:tab w:val="left" w:pos="1440"/>
        </w:tabs>
        <w:adjustRightInd w:val="0"/>
        <w:snapToGrid w:val="0"/>
        <w:ind w:left="0" w:firstLine="720"/>
        <w:rPr>
          <w:rFonts w:eastAsiaTheme="minorEastAsia"/>
          <w:lang w:eastAsia="zh-CN"/>
        </w:rPr>
      </w:pPr>
      <w:r w:rsidRPr="00403B4F">
        <w:rPr>
          <w:rFonts w:eastAsiaTheme="minorEastAsia"/>
          <w:lang w:eastAsia="zh-CN"/>
        </w:rPr>
        <w:lastRenderedPageBreak/>
        <w:t>开展威胁评估，使用减缓层级；</w:t>
      </w:r>
    </w:p>
    <w:p w:rsidR="005B4DE3" w:rsidRPr="00403B4F" w:rsidRDefault="005B4DE3" w:rsidP="00B63A75">
      <w:pPr>
        <w:numPr>
          <w:ilvl w:val="4"/>
          <w:numId w:val="121"/>
        </w:numPr>
        <w:tabs>
          <w:tab w:val="left" w:pos="1440"/>
        </w:tabs>
        <w:adjustRightInd w:val="0"/>
        <w:snapToGrid w:val="0"/>
        <w:ind w:left="0" w:firstLine="720"/>
        <w:rPr>
          <w:rFonts w:eastAsiaTheme="minorEastAsia"/>
          <w:lang w:eastAsia="zh-CN"/>
        </w:rPr>
      </w:pPr>
      <w:r w:rsidRPr="00403B4F">
        <w:rPr>
          <w:rFonts w:eastAsiaTheme="minorEastAsia"/>
          <w:lang w:eastAsia="zh-CN"/>
        </w:rPr>
        <w:t>评估现有和拟议用途的相对兼容性和（或）不兼容性以及更广泛的环境变化（如气候变化）的相互作用和影响；</w:t>
      </w:r>
    </w:p>
    <w:p w:rsidR="005B4DE3" w:rsidRPr="00403B4F" w:rsidRDefault="005B4DE3" w:rsidP="00B63A75">
      <w:pPr>
        <w:numPr>
          <w:ilvl w:val="4"/>
          <w:numId w:val="121"/>
        </w:numPr>
        <w:tabs>
          <w:tab w:val="left" w:pos="1440"/>
        </w:tabs>
        <w:adjustRightInd w:val="0"/>
        <w:snapToGrid w:val="0"/>
        <w:ind w:left="0" w:firstLine="720"/>
        <w:rPr>
          <w:rFonts w:eastAsiaTheme="minorEastAsia"/>
          <w:lang w:eastAsia="zh-CN"/>
        </w:rPr>
      </w:pPr>
      <w:r w:rsidRPr="00403B4F">
        <w:rPr>
          <w:rFonts w:eastAsiaTheme="minorEastAsia"/>
          <w:lang w:eastAsia="zh-CN"/>
        </w:rPr>
        <w:t>了解生计冲突和丧失生计情况，找出适当办法提供替代生计和补偿；</w:t>
      </w:r>
    </w:p>
    <w:p w:rsidR="005B4DE3" w:rsidRPr="00403B4F" w:rsidRDefault="005B4DE3" w:rsidP="00B63A75">
      <w:pPr>
        <w:numPr>
          <w:ilvl w:val="4"/>
          <w:numId w:val="121"/>
        </w:numPr>
        <w:tabs>
          <w:tab w:val="left" w:pos="1440"/>
        </w:tabs>
        <w:adjustRightInd w:val="0"/>
        <w:snapToGrid w:val="0"/>
        <w:ind w:left="0" w:firstLine="720"/>
        <w:rPr>
          <w:rFonts w:eastAsiaTheme="minorEastAsia"/>
          <w:lang w:eastAsia="zh-CN"/>
        </w:rPr>
      </w:pPr>
      <w:r w:rsidRPr="00403B4F">
        <w:rPr>
          <w:rFonts w:eastAsiaTheme="minorEastAsia"/>
          <w:lang w:eastAsia="zh-CN"/>
        </w:rPr>
        <w:t>以可及、有效和适当的方式与更广泛陆地景观和海洋景观的相关利益攸关方进行沟通并让其参与；</w:t>
      </w:r>
    </w:p>
    <w:p w:rsidR="005B4DE3" w:rsidRPr="00403B4F" w:rsidRDefault="005B4DE3" w:rsidP="00B63A75">
      <w:pPr>
        <w:numPr>
          <w:ilvl w:val="4"/>
          <w:numId w:val="121"/>
        </w:numPr>
        <w:tabs>
          <w:tab w:val="left" w:pos="1440"/>
        </w:tabs>
        <w:adjustRightInd w:val="0"/>
        <w:snapToGrid w:val="0"/>
        <w:ind w:left="0" w:firstLine="720"/>
        <w:rPr>
          <w:rFonts w:eastAsiaTheme="minorEastAsia"/>
          <w:lang w:eastAsia="zh-CN"/>
        </w:rPr>
      </w:pPr>
      <w:r w:rsidRPr="00403B4F">
        <w:rPr>
          <w:rFonts w:eastAsiaTheme="minorEastAsia"/>
          <w:lang w:eastAsia="zh-CN"/>
        </w:rPr>
        <w:t>确保规划和管理符合更广泛陆地景观和海洋景观的文化和价值体系；</w:t>
      </w:r>
    </w:p>
    <w:p w:rsidR="005B4DE3" w:rsidRPr="00403B4F" w:rsidRDefault="005B4DE3" w:rsidP="00B63A75">
      <w:pPr>
        <w:numPr>
          <w:ilvl w:val="4"/>
          <w:numId w:val="121"/>
        </w:numPr>
        <w:tabs>
          <w:tab w:val="left" w:pos="1440"/>
        </w:tabs>
        <w:adjustRightInd w:val="0"/>
        <w:snapToGrid w:val="0"/>
        <w:ind w:left="0" w:firstLine="720"/>
        <w:rPr>
          <w:rFonts w:eastAsiaTheme="minorEastAsia"/>
          <w:lang w:eastAsia="zh-CN"/>
        </w:rPr>
      </w:pPr>
      <w:r w:rsidRPr="00403B4F">
        <w:rPr>
          <w:rFonts w:eastAsiaTheme="minorEastAsia"/>
          <w:lang w:eastAsia="zh-CN"/>
        </w:rPr>
        <w:t>查明地方</w:t>
      </w:r>
      <w:r w:rsidRPr="00403B4F">
        <w:rPr>
          <w:rFonts w:eastAsiaTheme="minorEastAsia"/>
          <w:lang w:eastAsia="zh-CN"/>
        </w:rPr>
        <w:t>/</w:t>
      </w:r>
      <w:r w:rsidRPr="00403B4F">
        <w:rPr>
          <w:rFonts w:eastAsiaTheme="minorEastAsia"/>
          <w:lang w:eastAsia="zh-CN"/>
        </w:rPr>
        <w:t>国家领袖和卫士并与其协作；</w:t>
      </w:r>
    </w:p>
    <w:p w:rsidR="005B4DE3" w:rsidRPr="00403B4F" w:rsidRDefault="005B4DE3" w:rsidP="00B63A75">
      <w:pPr>
        <w:numPr>
          <w:ilvl w:val="4"/>
          <w:numId w:val="121"/>
        </w:numPr>
        <w:tabs>
          <w:tab w:val="left" w:pos="1440"/>
        </w:tabs>
        <w:adjustRightInd w:val="0"/>
        <w:snapToGrid w:val="0"/>
        <w:ind w:left="0" w:firstLine="720"/>
        <w:rPr>
          <w:rFonts w:eastAsiaTheme="minorEastAsia"/>
          <w:lang w:eastAsia="zh-CN"/>
        </w:rPr>
      </w:pPr>
      <w:r w:rsidRPr="00403B4F">
        <w:rPr>
          <w:rFonts w:eastAsiaTheme="minorEastAsia"/>
          <w:lang w:eastAsia="zh-CN"/>
        </w:rPr>
        <w:t>建立和（或）增强能力支持更广泛陆地景观和海洋景观的规划。</w:t>
      </w:r>
    </w:p>
    <w:p w:rsidR="005B4DE3" w:rsidRPr="00403B4F" w:rsidRDefault="005B4DE3" w:rsidP="00C9773D">
      <w:pPr>
        <w:numPr>
          <w:ilvl w:val="0"/>
          <w:numId w:val="126"/>
        </w:numPr>
        <w:adjustRightInd w:val="0"/>
        <w:snapToGrid w:val="0"/>
        <w:ind w:left="0" w:firstLine="0"/>
        <w:jc w:val="center"/>
        <w:rPr>
          <w:rFonts w:eastAsiaTheme="minorEastAsia"/>
          <w:b/>
          <w:lang w:eastAsia="zh-CN"/>
        </w:rPr>
      </w:pPr>
      <w:r w:rsidRPr="00403B4F">
        <w:rPr>
          <w:rFonts w:eastAsiaTheme="minorEastAsia"/>
          <w:b/>
          <w:lang w:eastAsia="zh-CN"/>
        </w:rPr>
        <w:t xml:space="preserve"> </w:t>
      </w:r>
      <w:r w:rsidRPr="00403B4F">
        <w:rPr>
          <w:rFonts w:eastAsiaTheme="minorEastAsia"/>
          <w:b/>
          <w:lang w:eastAsia="zh-CN"/>
        </w:rPr>
        <w:t>海洋和沿海地区使用各类区域保护</w:t>
      </w:r>
      <w:r w:rsidRPr="00403B4F">
        <w:rPr>
          <w:rFonts w:eastAsiaTheme="minorEastAsia"/>
          <w:b/>
          <w:lang w:eastAsia="zh-CN"/>
        </w:rPr>
        <w:t>/</w:t>
      </w:r>
      <w:r w:rsidRPr="00403B4F">
        <w:rPr>
          <w:rFonts w:eastAsiaTheme="minorEastAsia"/>
          <w:b/>
          <w:lang w:eastAsia="zh-CN"/>
        </w:rPr>
        <w:t>管理措施的经验教训</w:t>
      </w:r>
    </w:p>
    <w:p w:rsidR="005B4DE3" w:rsidRPr="00403B4F" w:rsidRDefault="005B4DE3" w:rsidP="00403B4F">
      <w:pPr>
        <w:numPr>
          <w:ilvl w:val="0"/>
          <w:numId w:val="104"/>
        </w:numPr>
        <w:tabs>
          <w:tab w:val="left" w:pos="720"/>
        </w:tabs>
        <w:adjustRightInd w:val="0"/>
        <w:snapToGrid w:val="0"/>
        <w:ind w:left="0" w:firstLine="0"/>
        <w:rPr>
          <w:rFonts w:eastAsiaTheme="minorEastAsia"/>
          <w:lang w:val="en-CA" w:eastAsia="zh-CN"/>
        </w:rPr>
      </w:pPr>
      <w:r w:rsidRPr="00403B4F">
        <w:rPr>
          <w:rFonts w:eastAsiaTheme="minorEastAsia"/>
          <w:lang w:val="en-CA" w:eastAsia="zh-CN"/>
        </w:rPr>
        <w:t>强调了以下来自海洋和沿海地区内的各类地区保护</w:t>
      </w:r>
      <w:r w:rsidRPr="00403B4F">
        <w:rPr>
          <w:rFonts w:eastAsiaTheme="minorEastAsia"/>
          <w:lang w:val="en-CA" w:eastAsia="zh-CN"/>
        </w:rPr>
        <w:t>/</w:t>
      </w:r>
      <w:r w:rsidRPr="00403B4F">
        <w:rPr>
          <w:rFonts w:eastAsiaTheme="minorEastAsia"/>
          <w:lang w:val="en-CA" w:eastAsia="zh-CN"/>
        </w:rPr>
        <w:t>管理措施的经验教训：</w:t>
      </w:r>
    </w:p>
    <w:p w:rsidR="005B4DE3" w:rsidRPr="00403B4F" w:rsidRDefault="005B4DE3" w:rsidP="00B63A75">
      <w:pPr>
        <w:numPr>
          <w:ilvl w:val="4"/>
          <w:numId w:val="122"/>
        </w:numPr>
        <w:tabs>
          <w:tab w:val="left" w:pos="1440"/>
        </w:tabs>
        <w:adjustRightInd w:val="0"/>
        <w:snapToGrid w:val="0"/>
        <w:ind w:left="0" w:firstLine="720"/>
        <w:rPr>
          <w:rFonts w:eastAsiaTheme="minorEastAsia"/>
          <w:lang w:eastAsia="zh-CN"/>
        </w:rPr>
      </w:pPr>
      <w:r w:rsidRPr="00403B4F">
        <w:rPr>
          <w:rFonts w:eastAsiaTheme="minorEastAsia"/>
          <w:lang w:eastAsia="zh-CN"/>
        </w:rPr>
        <w:t>对各类地区保护</w:t>
      </w:r>
      <w:r w:rsidRPr="00403B4F">
        <w:rPr>
          <w:rFonts w:eastAsiaTheme="minorEastAsia"/>
          <w:lang w:eastAsia="zh-CN"/>
        </w:rPr>
        <w:t>/</w:t>
      </w:r>
      <w:r w:rsidRPr="00403B4F">
        <w:rPr>
          <w:rFonts w:eastAsiaTheme="minorEastAsia"/>
          <w:lang w:eastAsia="zh-CN"/>
        </w:rPr>
        <w:t>管理措施（不同面积、持续时间和限制程度）而言，保护生物多样性的业绩可能大不相同，这往往取决于地区的生态、社会经济和治理环境以及措施的执行性质；</w:t>
      </w:r>
    </w:p>
    <w:p w:rsidR="005B4DE3" w:rsidRPr="00403B4F" w:rsidRDefault="005B4DE3" w:rsidP="00B63A75">
      <w:pPr>
        <w:numPr>
          <w:ilvl w:val="4"/>
          <w:numId w:val="122"/>
        </w:numPr>
        <w:tabs>
          <w:tab w:val="left" w:pos="1440"/>
        </w:tabs>
        <w:adjustRightInd w:val="0"/>
        <w:snapToGrid w:val="0"/>
        <w:ind w:left="0" w:firstLine="720"/>
        <w:rPr>
          <w:rFonts w:eastAsiaTheme="minorEastAsia"/>
        </w:rPr>
      </w:pPr>
      <w:r w:rsidRPr="00403B4F">
        <w:rPr>
          <w:rFonts w:eastAsiaTheme="minorEastAsia"/>
          <w:lang w:eastAsia="zh-CN"/>
        </w:rPr>
        <w:t>虽然增加面积、持续时间和限制程度通常会增加对许多生物多样性组成部分的保护，但在这些活动持续存在的地区，被禁止的人类活动对生态系统的影响也可能会增加。</w:t>
      </w:r>
      <w:r w:rsidRPr="00403B4F">
        <w:rPr>
          <w:rFonts w:eastAsiaTheme="minorEastAsia"/>
        </w:rPr>
        <w:t>有效的总体保护规划需要考虑所有这些因素；</w:t>
      </w:r>
    </w:p>
    <w:p w:rsidR="005B4DE3" w:rsidRPr="00403B4F" w:rsidRDefault="005B4DE3" w:rsidP="00B63A75">
      <w:pPr>
        <w:numPr>
          <w:ilvl w:val="4"/>
          <w:numId w:val="122"/>
        </w:numPr>
        <w:tabs>
          <w:tab w:val="left" w:pos="1440"/>
        </w:tabs>
        <w:adjustRightInd w:val="0"/>
        <w:snapToGrid w:val="0"/>
        <w:ind w:left="0" w:firstLine="720"/>
        <w:rPr>
          <w:rFonts w:eastAsiaTheme="minorEastAsia"/>
          <w:lang w:eastAsia="zh-CN"/>
        </w:rPr>
      </w:pPr>
      <w:r w:rsidRPr="00403B4F">
        <w:rPr>
          <w:rFonts w:eastAsiaTheme="minorEastAsia"/>
          <w:lang w:eastAsia="zh-CN"/>
        </w:rPr>
        <w:t>即使面积不大且不进行永久性限制，精心设计和执行的措施也可能有效力，而设计或执行不当的措施可能无效力，无论其规模如何；</w:t>
      </w:r>
    </w:p>
    <w:p w:rsidR="005B4DE3" w:rsidRPr="00403B4F" w:rsidRDefault="005B4DE3" w:rsidP="00B63A75">
      <w:pPr>
        <w:numPr>
          <w:ilvl w:val="4"/>
          <w:numId w:val="122"/>
        </w:numPr>
        <w:tabs>
          <w:tab w:val="left" w:pos="1440"/>
        </w:tabs>
        <w:adjustRightInd w:val="0"/>
        <w:snapToGrid w:val="0"/>
        <w:ind w:left="0" w:firstLine="720"/>
        <w:rPr>
          <w:rFonts w:eastAsiaTheme="minorEastAsia"/>
          <w:lang w:eastAsia="zh-CN"/>
        </w:rPr>
      </w:pPr>
      <w:r w:rsidRPr="00403B4F">
        <w:rPr>
          <w:rFonts w:eastAsiaTheme="minorEastAsia"/>
          <w:lang w:eastAsia="zh-CN"/>
        </w:rPr>
        <w:t>应逐案评估地区保护措施的有效性，同时考虑到正在执行的措施的特点和执行的环境，共同承担责任；</w:t>
      </w:r>
    </w:p>
    <w:p w:rsidR="005B4DE3" w:rsidRPr="00403B4F" w:rsidRDefault="005B4DE3" w:rsidP="00B63A75">
      <w:pPr>
        <w:numPr>
          <w:ilvl w:val="4"/>
          <w:numId w:val="122"/>
        </w:numPr>
        <w:tabs>
          <w:tab w:val="left" w:pos="1440"/>
        </w:tabs>
        <w:adjustRightInd w:val="0"/>
        <w:snapToGrid w:val="0"/>
        <w:ind w:left="0" w:firstLine="720"/>
        <w:rPr>
          <w:rFonts w:eastAsiaTheme="minorEastAsia"/>
          <w:lang w:eastAsia="zh-CN"/>
        </w:rPr>
      </w:pPr>
      <w:r w:rsidRPr="00403B4F">
        <w:rPr>
          <w:rFonts w:eastAsiaTheme="minorEastAsia"/>
          <w:lang w:eastAsia="zh-CN"/>
        </w:rPr>
        <w:t>评估地区保护</w:t>
      </w:r>
      <w:r w:rsidRPr="00403B4F">
        <w:rPr>
          <w:rFonts w:eastAsiaTheme="minorEastAsia"/>
          <w:lang w:eastAsia="zh-CN"/>
        </w:rPr>
        <w:t>/</w:t>
      </w:r>
      <w:r w:rsidRPr="00403B4F">
        <w:rPr>
          <w:rFonts w:eastAsiaTheme="minorEastAsia"/>
          <w:lang w:eastAsia="zh-CN"/>
        </w:rPr>
        <w:t>管理措施的具体应用情况时需要考虑的主要地区特点包括：</w:t>
      </w:r>
    </w:p>
    <w:p w:rsidR="005B4DE3" w:rsidRPr="00403B4F" w:rsidRDefault="005B4DE3" w:rsidP="00403B4F">
      <w:pPr>
        <w:numPr>
          <w:ilvl w:val="1"/>
          <w:numId w:val="104"/>
        </w:numPr>
        <w:adjustRightInd w:val="0"/>
        <w:snapToGrid w:val="0"/>
        <w:ind w:left="2160" w:hanging="720"/>
        <w:rPr>
          <w:rFonts w:eastAsiaTheme="minorEastAsia"/>
          <w:lang w:val="en-CA" w:eastAsia="zh-CN"/>
        </w:rPr>
      </w:pPr>
      <w:r w:rsidRPr="00403B4F">
        <w:rPr>
          <w:rFonts w:eastAsiaTheme="minorEastAsia"/>
          <w:lang w:val="en-CA" w:eastAsia="zh-CN"/>
        </w:rPr>
        <w:t>特定地区和更大区域涉及毗邻生态系统的特别保护问题的生态组成部分，以及该措施如何促进其保护；</w:t>
      </w:r>
    </w:p>
    <w:p w:rsidR="005B4DE3" w:rsidRPr="00403B4F" w:rsidRDefault="005B4DE3" w:rsidP="00403B4F">
      <w:pPr>
        <w:numPr>
          <w:ilvl w:val="1"/>
          <w:numId w:val="104"/>
        </w:numPr>
        <w:adjustRightInd w:val="0"/>
        <w:snapToGrid w:val="0"/>
        <w:ind w:left="2160" w:hanging="720"/>
        <w:rPr>
          <w:rFonts w:eastAsiaTheme="minorEastAsia"/>
          <w:lang w:val="en-CA" w:eastAsia="zh-CN"/>
        </w:rPr>
      </w:pPr>
      <w:r w:rsidRPr="00403B4F">
        <w:rPr>
          <w:rFonts w:eastAsiaTheme="minorEastAsia"/>
          <w:lang w:val="en-CA" w:eastAsia="zh-CN"/>
        </w:rPr>
        <w:t>该地区的大小、持续时间、限制和置放的范围；</w:t>
      </w:r>
    </w:p>
    <w:p w:rsidR="005B4DE3" w:rsidRPr="00403B4F" w:rsidRDefault="005B4DE3" w:rsidP="00403B4F">
      <w:pPr>
        <w:numPr>
          <w:ilvl w:val="1"/>
          <w:numId w:val="104"/>
        </w:numPr>
        <w:adjustRightInd w:val="0"/>
        <w:snapToGrid w:val="0"/>
        <w:ind w:left="2160" w:hanging="720"/>
        <w:rPr>
          <w:rFonts w:eastAsiaTheme="minorEastAsia"/>
          <w:lang w:val="en-CA" w:eastAsia="zh-CN"/>
        </w:rPr>
      </w:pPr>
      <w:r w:rsidRPr="00403B4F">
        <w:rPr>
          <w:rFonts w:eastAsiaTheme="minorEastAsia"/>
          <w:lang w:val="en-CA" w:eastAsia="zh-CN"/>
        </w:rPr>
        <w:t>措施通过后管理当局的执行能力，措施建立后管理当局的监测和执法能力；</w:t>
      </w:r>
    </w:p>
    <w:p w:rsidR="005B4DE3" w:rsidRPr="00403B4F" w:rsidRDefault="005B4DE3" w:rsidP="00403B4F">
      <w:pPr>
        <w:numPr>
          <w:ilvl w:val="1"/>
          <w:numId w:val="104"/>
        </w:numPr>
        <w:adjustRightInd w:val="0"/>
        <w:snapToGrid w:val="0"/>
        <w:ind w:left="2160" w:hanging="720"/>
        <w:rPr>
          <w:rFonts w:eastAsiaTheme="minorEastAsia"/>
          <w:lang w:val="en-CA" w:eastAsia="zh-CN"/>
        </w:rPr>
      </w:pPr>
      <w:r w:rsidRPr="00403B4F">
        <w:rPr>
          <w:rFonts w:eastAsiaTheme="minorEastAsia"/>
          <w:lang w:val="en-CA" w:eastAsia="zh-CN"/>
        </w:rPr>
        <w:t>除保护外，该措施可能对当地人口和可持续利用能够作出的贡献；</w:t>
      </w:r>
    </w:p>
    <w:p w:rsidR="005B4DE3" w:rsidRPr="00403B4F" w:rsidRDefault="005B4DE3" w:rsidP="00B63A75">
      <w:pPr>
        <w:numPr>
          <w:ilvl w:val="4"/>
          <w:numId w:val="122"/>
        </w:numPr>
        <w:tabs>
          <w:tab w:val="left" w:pos="1440"/>
        </w:tabs>
        <w:adjustRightInd w:val="0"/>
        <w:snapToGrid w:val="0"/>
        <w:ind w:left="0" w:firstLine="720"/>
        <w:rPr>
          <w:rFonts w:eastAsiaTheme="minorEastAsia"/>
          <w:lang w:eastAsia="zh-CN"/>
        </w:rPr>
      </w:pPr>
      <w:r w:rsidRPr="00403B4F">
        <w:rPr>
          <w:rFonts w:eastAsiaTheme="minorEastAsia"/>
          <w:lang w:eastAsia="zh-CN"/>
        </w:rPr>
        <w:lastRenderedPageBreak/>
        <w:t>逐案评估中还应考虑采取措施的重要背景特征，包括：</w:t>
      </w:r>
    </w:p>
    <w:p w:rsidR="005B4DE3" w:rsidRPr="00403B4F" w:rsidRDefault="005B4DE3" w:rsidP="00B63A75">
      <w:pPr>
        <w:numPr>
          <w:ilvl w:val="0"/>
          <w:numId w:val="123"/>
        </w:numPr>
        <w:adjustRightInd w:val="0"/>
        <w:snapToGrid w:val="0"/>
        <w:ind w:left="2160" w:hanging="720"/>
        <w:rPr>
          <w:rFonts w:eastAsiaTheme="minorEastAsia"/>
          <w:lang w:val="en-CA" w:eastAsia="zh-CN"/>
        </w:rPr>
      </w:pPr>
      <w:r w:rsidRPr="00403B4F">
        <w:rPr>
          <w:rFonts w:eastAsiaTheme="minorEastAsia"/>
          <w:lang w:val="en-CA" w:eastAsia="zh-CN"/>
        </w:rPr>
        <w:t>措施在多大程度上是在生态系统办法内制定并与其他使用中的措施很好地结合；</w:t>
      </w:r>
    </w:p>
    <w:p w:rsidR="005B4DE3" w:rsidRPr="00403B4F" w:rsidRDefault="005B4DE3" w:rsidP="00B63A75">
      <w:pPr>
        <w:numPr>
          <w:ilvl w:val="0"/>
          <w:numId w:val="123"/>
        </w:numPr>
        <w:adjustRightInd w:val="0"/>
        <w:snapToGrid w:val="0"/>
        <w:ind w:left="2160" w:hanging="720"/>
        <w:rPr>
          <w:rFonts w:eastAsiaTheme="minorEastAsia"/>
          <w:lang w:val="en-CA" w:eastAsia="zh-CN"/>
        </w:rPr>
      </w:pPr>
      <w:r w:rsidRPr="00403B4F">
        <w:rPr>
          <w:rFonts w:eastAsiaTheme="minorEastAsia"/>
          <w:lang w:val="en-CA" w:eastAsia="zh-CN"/>
        </w:rPr>
        <w:t>制定措施时在多大程度上利用了现有最佳科学信息及土著和地方知识并适当采用审慎做法；</w:t>
      </w:r>
    </w:p>
    <w:p w:rsidR="005B4DE3" w:rsidRPr="00403B4F" w:rsidRDefault="005B4DE3" w:rsidP="00B63A75">
      <w:pPr>
        <w:numPr>
          <w:ilvl w:val="0"/>
          <w:numId w:val="123"/>
        </w:numPr>
        <w:adjustRightInd w:val="0"/>
        <w:snapToGrid w:val="0"/>
        <w:ind w:left="2160" w:hanging="720"/>
        <w:rPr>
          <w:rFonts w:eastAsiaTheme="minorEastAsia"/>
          <w:lang w:val="en-CA" w:eastAsia="zh-CN"/>
        </w:rPr>
      </w:pPr>
      <w:r w:rsidRPr="00403B4F">
        <w:rPr>
          <w:rFonts w:eastAsiaTheme="minorEastAsia"/>
          <w:lang w:val="en-CA" w:eastAsia="zh-CN"/>
        </w:rPr>
        <w:t>措施对高度优先生物多样性组成部分的保护程度，同时考虑到同一地区（并酌情考虑地区之外）的其他实际或潜在威胁；</w:t>
      </w:r>
    </w:p>
    <w:p w:rsidR="005B4DE3" w:rsidRPr="00403B4F" w:rsidRDefault="005B4DE3" w:rsidP="00B63A75">
      <w:pPr>
        <w:numPr>
          <w:ilvl w:val="0"/>
          <w:numId w:val="123"/>
        </w:numPr>
        <w:adjustRightInd w:val="0"/>
        <w:snapToGrid w:val="0"/>
        <w:ind w:left="2160" w:hanging="720"/>
        <w:rPr>
          <w:rFonts w:eastAsiaTheme="minorEastAsia"/>
          <w:lang w:val="en-CA" w:eastAsia="zh-CN"/>
        </w:rPr>
      </w:pPr>
      <w:r w:rsidRPr="00403B4F">
        <w:rPr>
          <w:rFonts w:eastAsiaTheme="minorEastAsia"/>
          <w:lang w:val="en-CA" w:eastAsia="zh-CN"/>
        </w:rPr>
        <w:t>导致制定和通过措施的治理程序，此程序所涉遵守措施并与之合作问题。</w:t>
      </w:r>
    </w:p>
    <w:p w:rsidR="005B4DE3" w:rsidRPr="00403B4F" w:rsidRDefault="005B4DE3" w:rsidP="00B63A75">
      <w:pPr>
        <w:numPr>
          <w:ilvl w:val="4"/>
          <w:numId w:val="122"/>
        </w:numPr>
        <w:tabs>
          <w:tab w:val="left" w:pos="1440"/>
        </w:tabs>
        <w:adjustRightInd w:val="0"/>
        <w:snapToGrid w:val="0"/>
        <w:ind w:left="0" w:firstLine="720"/>
        <w:rPr>
          <w:rFonts w:eastAsiaTheme="minorEastAsia"/>
          <w:lang w:eastAsia="zh-CN"/>
        </w:rPr>
      </w:pPr>
      <w:r w:rsidRPr="00403B4F">
        <w:rPr>
          <w:rFonts w:eastAsiaTheme="minorEastAsia"/>
          <w:lang w:eastAsia="zh-CN"/>
        </w:rPr>
        <w:t>必须提供灵活性，以便能够设计出涉及多个成果目标的针对具体情况的措施，而不是依赖规定性投入要求；</w:t>
      </w:r>
    </w:p>
    <w:p w:rsidR="005B4DE3" w:rsidRPr="00403B4F" w:rsidRDefault="005B4DE3" w:rsidP="00B63A75">
      <w:pPr>
        <w:numPr>
          <w:ilvl w:val="4"/>
          <w:numId w:val="122"/>
        </w:numPr>
        <w:tabs>
          <w:tab w:val="left" w:pos="1440"/>
        </w:tabs>
        <w:adjustRightInd w:val="0"/>
        <w:snapToGrid w:val="0"/>
        <w:ind w:left="0" w:firstLine="720"/>
        <w:rPr>
          <w:rFonts w:eastAsiaTheme="minorEastAsia"/>
          <w:color w:val="000000"/>
          <w:lang w:eastAsia="zh-CN"/>
        </w:rPr>
      </w:pPr>
      <w:r w:rsidRPr="00403B4F">
        <w:rPr>
          <w:rFonts w:eastAsiaTheme="minorEastAsia"/>
          <w:lang w:eastAsia="zh-CN"/>
        </w:rPr>
        <w:t>保护成果必须得到强有力的科学证据的支持，因此在设计区域保护</w:t>
      </w:r>
      <w:r w:rsidRPr="00403B4F">
        <w:rPr>
          <w:rFonts w:eastAsiaTheme="minorEastAsia"/>
          <w:lang w:eastAsia="zh-CN"/>
        </w:rPr>
        <w:t>/</w:t>
      </w:r>
      <w:r w:rsidRPr="00403B4F">
        <w:rPr>
          <w:rFonts w:eastAsiaTheme="minorEastAsia"/>
          <w:lang w:eastAsia="zh-CN"/>
        </w:rPr>
        <w:t>管理措施时应建立适当的监测和评价框架，以便建立可靠的证据，证明这些措施正在实现保护成果。</w:t>
      </w:r>
    </w:p>
    <w:p w:rsidR="005B4DE3" w:rsidRPr="00830755" w:rsidRDefault="005B4DE3" w:rsidP="005B4DE3">
      <w:pPr>
        <w:suppressLineNumbers/>
        <w:suppressAutoHyphens/>
        <w:spacing w:after="200"/>
        <w:ind w:firstLine="360"/>
        <w:jc w:val="center"/>
        <w:rPr>
          <w:snapToGrid w:val="0"/>
          <w:kern w:val="22"/>
          <w:lang w:eastAsia="zh-CN"/>
        </w:rPr>
      </w:pPr>
    </w:p>
    <w:p w:rsidR="005B4DE3" w:rsidRDefault="005B4DE3">
      <w:pPr>
        <w:rPr>
          <w:rFonts w:eastAsiaTheme="minorEastAsia"/>
          <w:lang w:eastAsia="zh-CN"/>
        </w:rPr>
      </w:pPr>
      <w:r>
        <w:rPr>
          <w:rFonts w:eastAsiaTheme="minorEastAsia"/>
          <w:lang w:eastAsia="zh-CN"/>
        </w:rPr>
        <w:br w:type="page"/>
      </w:r>
    </w:p>
    <w:p w:rsidR="00772406" w:rsidRPr="00403B4F" w:rsidRDefault="00772406" w:rsidP="00C9773D">
      <w:pPr>
        <w:pStyle w:val="Heading1"/>
        <w:spacing w:before="120" w:after="120"/>
        <w:ind w:firstLine="0"/>
        <w:rPr>
          <w:rFonts w:eastAsiaTheme="minorEastAsia" w:cs="Times New Roman"/>
          <w:noProof/>
          <w:kern w:val="22"/>
          <w:sz w:val="24"/>
          <w:lang w:eastAsia="zh-CN"/>
        </w:rPr>
      </w:pPr>
      <w:bookmarkStart w:id="111" w:name="_Toc6243724"/>
      <w:r w:rsidRPr="00403B4F">
        <w:rPr>
          <w:rFonts w:eastAsiaTheme="minorEastAsia" w:cs="Times New Roman"/>
          <w:noProof/>
          <w:kern w:val="22"/>
          <w:sz w:val="24"/>
          <w:lang w:eastAsia="zh-CN"/>
        </w:rPr>
        <w:lastRenderedPageBreak/>
        <w:t>14/9.</w:t>
      </w:r>
      <w:r w:rsidRPr="00403B4F">
        <w:rPr>
          <w:rFonts w:eastAsiaTheme="minorEastAsia" w:cs="Times New Roman"/>
          <w:noProof/>
          <w:kern w:val="22"/>
          <w:sz w:val="24"/>
          <w:lang w:eastAsia="zh-CN"/>
        </w:rPr>
        <w:tab/>
      </w:r>
      <w:r w:rsidRPr="00403B4F">
        <w:rPr>
          <w:rFonts w:eastAsiaTheme="minorEastAsia" w:cs="Times New Roman"/>
          <w:noProof/>
          <w:kern w:val="22"/>
          <w:sz w:val="24"/>
          <w:lang w:eastAsia="zh-CN"/>
        </w:rPr>
        <w:t>海洋和沿海生物多样性：具有重要生态或生物意义的海洋区域</w:t>
      </w:r>
      <w:bookmarkEnd w:id="111"/>
      <w:r w:rsidRPr="00403B4F">
        <w:rPr>
          <w:rFonts w:eastAsiaTheme="minorEastAsia" w:cs="Times New Roman"/>
          <w:noProof/>
          <w:kern w:val="22"/>
          <w:sz w:val="24"/>
          <w:lang w:eastAsia="zh-CN"/>
        </w:rPr>
        <w:t xml:space="preserve"> </w:t>
      </w:r>
    </w:p>
    <w:p w:rsidR="00772406" w:rsidRPr="006374DD" w:rsidRDefault="00772406" w:rsidP="00772406">
      <w:pPr>
        <w:pStyle w:val="Para1"/>
        <w:suppressLineNumbers/>
        <w:tabs>
          <w:tab w:val="clear" w:pos="360"/>
        </w:tabs>
        <w:suppressAutoHyphens/>
        <w:kinsoku w:val="0"/>
        <w:overflowPunct w:val="0"/>
        <w:autoSpaceDE w:val="0"/>
        <w:autoSpaceDN w:val="0"/>
        <w:adjustRightInd w:val="0"/>
        <w:snapToGrid w:val="0"/>
        <w:spacing w:before="240"/>
        <w:ind w:firstLine="706"/>
        <w:rPr>
          <w:rFonts w:ascii="KaiTi" w:eastAsia="KaiTi" w:hAnsi="KaiTi"/>
          <w:kern w:val="22"/>
          <w:sz w:val="24"/>
          <w:szCs w:val="24"/>
          <w:lang w:eastAsia="zh-CN"/>
        </w:rPr>
      </w:pPr>
      <w:r w:rsidRPr="006374DD">
        <w:rPr>
          <w:rFonts w:ascii="KaiTi" w:eastAsia="KaiTi" w:hAnsi="KaiTi" w:cs="SimSun" w:hint="eastAsia"/>
          <w:kern w:val="22"/>
          <w:sz w:val="24"/>
          <w:szCs w:val="24"/>
          <w:lang w:eastAsia="zh-CN"/>
        </w:rPr>
        <w:t>缔约方大会，</w:t>
      </w:r>
    </w:p>
    <w:p w:rsidR="00772406" w:rsidRPr="00403B4F" w:rsidRDefault="00772406" w:rsidP="00403B4F">
      <w:pPr>
        <w:pStyle w:val="Para1"/>
        <w:tabs>
          <w:tab w:val="clear" w:pos="360"/>
          <w:tab w:val="left" w:pos="1440"/>
        </w:tabs>
        <w:rPr>
          <w:rFonts w:eastAsiaTheme="minorEastAsia"/>
          <w:kern w:val="22"/>
          <w:sz w:val="24"/>
          <w:szCs w:val="24"/>
          <w:lang w:eastAsia="zh-CN"/>
        </w:rPr>
      </w:pPr>
      <w:r w:rsidRPr="00403B4F">
        <w:rPr>
          <w:rFonts w:eastAsiaTheme="minorEastAsia"/>
          <w:bCs/>
          <w:kern w:val="22"/>
          <w:sz w:val="24"/>
          <w:szCs w:val="24"/>
          <w:lang w:eastAsia="zh-CN"/>
        </w:rPr>
        <w:t>重申</w:t>
      </w:r>
      <w:r w:rsidRPr="00403B4F">
        <w:rPr>
          <w:rFonts w:eastAsiaTheme="minorEastAsia"/>
          <w:kern w:val="22"/>
          <w:sz w:val="24"/>
          <w:szCs w:val="24"/>
          <w:lang w:eastAsia="zh-CN"/>
        </w:rPr>
        <w:t>关于具有重要生态或生物意义的海洋区域的第</w:t>
      </w:r>
      <w:r w:rsidRPr="00403B4F">
        <w:rPr>
          <w:rFonts w:eastAsiaTheme="minorEastAsia"/>
          <w:kern w:val="22"/>
          <w:sz w:val="24"/>
          <w:szCs w:val="24"/>
          <w:lang w:eastAsia="zh-CN"/>
        </w:rPr>
        <w:t>X/29</w:t>
      </w:r>
      <w:r w:rsidRPr="00403B4F">
        <w:rPr>
          <w:rFonts w:eastAsiaTheme="minorEastAsia"/>
          <w:kern w:val="22"/>
          <w:sz w:val="24"/>
          <w:szCs w:val="24"/>
          <w:lang w:eastAsia="zh-CN"/>
        </w:rPr>
        <w:t>号、第</w:t>
      </w:r>
      <w:r w:rsidRPr="00403B4F">
        <w:rPr>
          <w:rFonts w:eastAsiaTheme="minorEastAsia"/>
          <w:kern w:val="22"/>
          <w:sz w:val="24"/>
          <w:szCs w:val="24"/>
          <w:lang w:eastAsia="zh-CN"/>
        </w:rPr>
        <w:t>XI/17</w:t>
      </w:r>
      <w:r w:rsidRPr="00403B4F">
        <w:rPr>
          <w:rFonts w:eastAsiaTheme="minorEastAsia"/>
          <w:kern w:val="22"/>
          <w:sz w:val="24"/>
          <w:szCs w:val="24"/>
          <w:lang w:eastAsia="zh-CN"/>
        </w:rPr>
        <w:t>号、第</w:t>
      </w:r>
      <w:r w:rsidRPr="00403B4F">
        <w:rPr>
          <w:rFonts w:eastAsiaTheme="minorEastAsia"/>
          <w:kern w:val="22"/>
          <w:sz w:val="24"/>
          <w:szCs w:val="24"/>
          <w:lang w:eastAsia="zh-CN"/>
        </w:rPr>
        <w:t>XII/22</w:t>
      </w:r>
      <w:r w:rsidRPr="00403B4F">
        <w:rPr>
          <w:rFonts w:eastAsiaTheme="minorEastAsia"/>
          <w:kern w:val="22"/>
          <w:sz w:val="24"/>
          <w:szCs w:val="24"/>
          <w:lang w:eastAsia="zh-CN"/>
        </w:rPr>
        <w:t>号和第</w:t>
      </w:r>
      <w:r w:rsidRPr="00403B4F">
        <w:rPr>
          <w:rFonts w:eastAsiaTheme="minorEastAsia"/>
          <w:kern w:val="22"/>
          <w:sz w:val="24"/>
          <w:szCs w:val="24"/>
          <w:lang w:eastAsia="zh-CN"/>
        </w:rPr>
        <w:t xml:space="preserve"> XIII/12</w:t>
      </w:r>
      <w:r w:rsidRPr="00403B4F">
        <w:rPr>
          <w:rFonts w:eastAsiaTheme="minorEastAsia"/>
          <w:kern w:val="22"/>
          <w:sz w:val="24"/>
          <w:szCs w:val="24"/>
          <w:lang w:eastAsia="zh-CN"/>
        </w:rPr>
        <w:t>号决定，包括该决定的第</w:t>
      </w:r>
      <w:r w:rsidRPr="00403B4F">
        <w:rPr>
          <w:rFonts w:eastAsiaTheme="minorEastAsia"/>
          <w:kern w:val="22"/>
          <w:sz w:val="24"/>
          <w:szCs w:val="24"/>
          <w:lang w:eastAsia="zh-CN"/>
        </w:rPr>
        <w:t>3</w:t>
      </w:r>
      <w:r w:rsidRPr="00403B4F">
        <w:rPr>
          <w:rFonts w:eastAsiaTheme="minorEastAsia"/>
          <w:kern w:val="22"/>
          <w:sz w:val="24"/>
          <w:szCs w:val="24"/>
          <w:lang w:eastAsia="zh-CN"/>
        </w:rPr>
        <w:t>段，</w:t>
      </w:r>
      <w:r w:rsidRPr="00403B4F">
        <w:rPr>
          <w:rFonts w:eastAsiaTheme="minorEastAsia"/>
          <w:kern w:val="22"/>
          <w:sz w:val="24"/>
          <w:szCs w:val="24"/>
          <w:lang w:eastAsia="zh-CN"/>
        </w:rPr>
        <w:t xml:space="preserve"> </w:t>
      </w:r>
    </w:p>
    <w:p w:rsidR="00772406" w:rsidRPr="00403B4F" w:rsidRDefault="00772406" w:rsidP="00403B4F">
      <w:pPr>
        <w:pStyle w:val="Para1"/>
        <w:tabs>
          <w:tab w:val="clear" w:pos="360"/>
          <w:tab w:val="left" w:pos="1440"/>
        </w:tabs>
        <w:rPr>
          <w:rFonts w:eastAsiaTheme="minorEastAsia"/>
          <w:kern w:val="22"/>
          <w:sz w:val="24"/>
          <w:lang w:eastAsia="zh-CN"/>
        </w:rPr>
      </w:pPr>
      <w:r w:rsidRPr="00403B4F">
        <w:rPr>
          <w:rFonts w:eastAsiaTheme="minorEastAsia"/>
          <w:bCs/>
          <w:kern w:val="22"/>
          <w:sz w:val="24"/>
          <w:lang w:eastAsia="zh-CN"/>
        </w:rPr>
        <w:t>重申</w:t>
      </w:r>
      <w:r w:rsidRPr="00403B4F">
        <w:rPr>
          <w:rFonts w:eastAsiaTheme="minorEastAsia"/>
          <w:kern w:val="22"/>
          <w:sz w:val="24"/>
          <w:szCs w:val="24"/>
          <w:lang w:eastAsia="zh-CN"/>
        </w:rPr>
        <w:t>联合国大会</w:t>
      </w:r>
      <w:r w:rsidRPr="00403B4F">
        <w:rPr>
          <w:rFonts w:eastAsiaTheme="minorEastAsia"/>
          <w:kern w:val="22"/>
          <w:sz w:val="24"/>
          <w:lang w:eastAsia="zh-CN"/>
        </w:rPr>
        <w:t>在解决涉及国家管辖范围以外海洋区域生物多样性的保护和可持续利用问题方面的关键</w:t>
      </w:r>
      <w:r w:rsidRPr="00403B4F">
        <w:rPr>
          <w:rFonts w:eastAsiaTheme="minorEastAsia"/>
          <w:kern w:val="22"/>
          <w:sz w:val="24"/>
          <w:szCs w:val="24"/>
          <w:lang w:eastAsia="zh-CN"/>
        </w:rPr>
        <w:t>作用</w:t>
      </w:r>
      <w:r w:rsidRPr="00403B4F">
        <w:rPr>
          <w:rFonts w:eastAsiaTheme="minorEastAsia"/>
          <w:kern w:val="22"/>
          <w:sz w:val="24"/>
          <w:lang w:eastAsia="zh-CN"/>
        </w:rPr>
        <w:t>，</w:t>
      </w:r>
    </w:p>
    <w:p w:rsidR="00772406" w:rsidRPr="00403B4F" w:rsidRDefault="00772406" w:rsidP="00403B4F">
      <w:pPr>
        <w:pStyle w:val="Para1"/>
        <w:tabs>
          <w:tab w:val="clear" w:pos="360"/>
          <w:tab w:val="left" w:pos="1440"/>
        </w:tabs>
        <w:rPr>
          <w:rFonts w:eastAsiaTheme="minorEastAsia"/>
          <w:kern w:val="22"/>
          <w:sz w:val="24"/>
          <w:lang w:eastAsia="zh-CN"/>
        </w:rPr>
      </w:pPr>
      <w:r w:rsidRPr="00403B4F">
        <w:rPr>
          <w:rFonts w:eastAsiaTheme="minorEastAsia"/>
          <w:bCs/>
          <w:kern w:val="22"/>
          <w:sz w:val="24"/>
          <w:szCs w:val="24"/>
          <w:lang w:eastAsia="zh-CN"/>
        </w:rPr>
        <w:t>回顾</w:t>
      </w:r>
      <w:r w:rsidRPr="00403B4F">
        <w:rPr>
          <w:rFonts w:eastAsiaTheme="minorEastAsia"/>
          <w:kern w:val="22"/>
          <w:sz w:val="24"/>
          <w:lang w:eastAsia="zh-CN"/>
        </w:rPr>
        <w:t>联合国大会关于海洋和海洋法的</w:t>
      </w:r>
      <w:r w:rsidRPr="00403B4F">
        <w:rPr>
          <w:rFonts w:eastAsiaTheme="minorEastAsia"/>
          <w:kern w:val="22"/>
          <w:sz w:val="24"/>
          <w:szCs w:val="24"/>
          <w:lang w:eastAsia="zh-CN"/>
        </w:rPr>
        <w:t>第</w:t>
      </w:r>
      <w:r w:rsidRPr="00403B4F">
        <w:rPr>
          <w:rFonts w:eastAsiaTheme="minorEastAsia"/>
          <w:kern w:val="22"/>
          <w:sz w:val="24"/>
          <w:szCs w:val="24"/>
          <w:lang w:eastAsia="zh-CN"/>
        </w:rPr>
        <w:t>72/73</w:t>
      </w:r>
      <w:r w:rsidRPr="00403B4F">
        <w:rPr>
          <w:rFonts w:eastAsiaTheme="minorEastAsia"/>
          <w:kern w:val="22"/>
          <w:sz w:val="24"/>
          <w:lang w:eastAsia="zh-CN"/>
        </w:rPr>
        <w:t>号决议及其关于《联合国海洋法公约》的序言段，</w:t>
      </w:r>
      <w:r w:rsidRPr="00403B4F">
        <w:rPr>
          <w:rStyle w:val="FootnoteReference"/>
          <w:rFonts w:eastAsiaTheme="minorEastAsia"/>
          <w:iCs/>
          <w:kern w:val="22"/>
          <w:sz w:val="24"/>
          <w:szCs w:val="20"/>
          <w:u w:val="none"/>
          <w:vertAlign w:val="superscript"/>
        </w:rPr>
        <w:footnoteReference w:id="159"/>
      </w:r>
      <w:r w:rsidRPr="00403B4F">
        <w:rPr>
          <w:rFonts w:eastAsiaTheme="minorEastAsia"/>
          <w:iCs/>
          <w:kern w:val="22"/>
          <w:sz w:val="24"/>
          <w:szCs w:val="20"/>
          <w:vertAlign w:val="superscript"/>
          <w:lang w:eastAsia="zh-CN"/>
        </w:rPr>
        <w:t>,</w:t>
      </w:r>
      <w:r w:rsidRPr="00403B4F">
        <w:rPr>
          <w:rStyle w:val="FootnoteReference"/>
          <w:rFonts w:eastAsiaTheme="minorEastAsia"/>
          <w:iCs/>
          <w:kern w:val="22"/>
          <w:sz w:val="24"/>
          <w:szCs w:val="20"/>
          <w:u w:val="none"/>
          <w:vertAlign w:val="superscript"/>
        </w:rPr>
        <w:footnoteReference w:id="160"/>
      </w:r>
      <w:r w:rsidRPr="00403B4F">
        <w:rPr>
          <w:rFonts w:eastAsiaTheme="minorEastAsia"/>
          <w:iCs/>
          <w:kern w:val="22"/>
          <w:sz w:val="24"/>
          <w:szCs w:val="20"/>
          <w:vertAlign w:val="superscript"/>
          <w:lang w:eastAsia="zh-CN"/>
        </w:rPr>
        <w:t>,</w:t>
      </w:r>
      <w:r w:rsidRPr="00403B4F">
        <w:rPr>
          <w:rStyle w:val="FootnoteReference"/>
          <w:rFonts w:eastAsiaTheme="minorEastAsia"/>
          <w:iCs/>
          <w:kern w:val="22"/>
          <w:sz w:val="24"/>
          <w:szCs w:val="20"/>
          <w:u w:val="none"/>
          <w:vertAlign w:val="superscript"/>
        </w:rPr>
        <w:footnoteReference w:id="161"/>
      </w:r>
    </w:p>
    <w:p w:rsidR="00772406" w:rsidRPr="00403B4F" w:rsidRDefault="00772406" w:rsidP="00403B4F">
      <w:pPr>
        <w:pStyle w:val="Para1"/>
        <w:tabs>
          <w:tab w:val="clear" w:pos="360"/>
          <w:tab w:val="left" w:pos="1440"/>
        </w:tabs>
        <w:rPr>
          <w:rFonts w:eastAsiaTheme="minorEastAsia"/>
          <w:kern w:val="22"/>
          <w:sz w:val="24"/>
          <w:lang w:eastAsia="zh-CN"/>
        </w:rPr>
      </w:pPr>
      <w:r w:rsidRPr="00403B4F">
        <w:rPr>
          <w:rFonts w:eastAsiaTheme="minorEastAsia"/>
          <w:kern w:val="22"/>
          <w:sz w:val="24"/>
          <w:lang w:eastAsia="zh-CN"/>
        </w:rPr>
        <w:t>注意到继联合国大会</w:t>
      </w:r>
      <w:r w:rsidRPr="00403B4F">
        <w:rPr>
          <w:rFonts w:eastAsiaTheme="minorEastAsia"/>
          <w:kern w:val="22"/>
          <w:sz w:val="24"/>
          <w:szCs w:val="24"/>
          <w:lang w:eastAsia="zh-CN"/>
        </w:rPr>
        <w:t>第</w:t>
      </w:r>
      <w:r w:rsidRPr="00403B4F">
        <w:rPr>
          <w:rFonts w:eastAsiaTheme="minorEastAsia"/>
          <w:kern w:val="22"/>
          <w:sz w:val="24"/>
          <w:szCs w:val="24"/>
          <w:lang w:eastAsia="zh-CN"/>
        </w:rPr>
        <w:t>72/249</w:t>
      </w:r>
      <w:r w:rsidRPr="00403B4F">
        <w:rPr>
          <w:rFonts w:eastAsiaTheme="minorEastAsia"/>
          <w:kern w:val="22"/>
          <w:sz w:val="24"/>
          <w:lang w:eastAsia="zh-CN"/>
        </w:rPr>
        <w:t>号决议后，根据《联合国海洋法公约》的规定，就国家管辖范围以外区域海洋生物多样性的保护和可持续利用问题拟订一份具有法律约束力的国际文书政府间会议进行的谈判，</w:t>
      </w:r>
    </w:p>
    <w:p w:rsidR="00772406" w:rsidRPr="00403B4F" w:rsidRDefault="00772406" w:rsidP="001A42F8">
      <w:pPr>
        <w:pStyle w:val="Para1"/>
        <w:numPr>
          <w:ilvl w:val="0"/>
          <w:numId w:val="138"/>
        </w:numPr>
        <w:tabs>
          <w:tab w:val="left" w:pos="1440"/>
          <w:tab w:val="left" w:pos="2160"/>
        </w:tabs>
        <w:ind w:left="0" w:firstLine="720"/>
        <w:rPr>
          <w:rFonts w:eastAsiaTheme="minorEastAsia"/>
          <w:kern w:val="22"/>
          <w:sz w:val="24"/>
          <w:lang w:eastAsia="zh-CN"/>
        </w:rPr>
      </w:pPr>
      <w:r w:rsidRPr="00403B4F">
        <w:rPr>
          <w:rFonts w:eastAsiaTheme="minorEastAsia"/>
          <w:bCs/>
          <w:kern w:val="22"/>
          <w:sz w:val="24"/>
          <w:lang w:eastAsia="zh-CN"/>
        </w:rPr>
        <w:t>欢迎本决定所载的</w:t>
      </w:r>
      <w:r w:rsidRPr="00403B4F">
        <w:rPr>
          <w:rFonts w:eastAsiaTheme="minorEastAsia"/>
          <w:bCs/>
          <w:kern w:val="22"/>
          <w:sz w:val="24"/>
          <w:lang w:eastAsia="ko-KR"/>
        </w:rPr>
        <w:t>科学</w:t>
      </w:r>
      <w:r w:rsidRPr="00403B4F">
        <w:rPr>
          <w:rFonts w:eastAsiaTheme="minorEastAsia"/>
          <w:bCs/>
          <w:kern w:val="22"/>
          <w:sz w:val="24"/>
          <w:lang w:eastAsia="zh-CN"/>
        </w:rPr>
        <w:t>、</w:t>
      </w:r>
      <w:r w:rsidRPr="00403B4F">
        <w:rPr>
          <w:rFonts w:eastAsiaTheme="minorEastAsia"/>
          <w:bCs/>
          <w:kern w:val="22"/>
          <w:sz w:val="24"/>
          <w:lang w:eastAsia="ko-KR"/>
        </w:rPr>
        <w:t>技术和工艺咨询附属机构</w:t>
      </w:r>
      <w:r w:rsidRPr="00403B4F">
        <w:rPr>
          <w:rFonts w:eastAsiaTheme="minorEastAsia"/>
          <w:bCs/>
          <w:kern w:val="22"/>
          <w:sz w:val="24"/>
          <w:lang w:eastAsia="zh-CN"/>
        </w:rPr>
        <w:t>第二十二次会议编制的总结报告中所载科学和技术信息，总结报告依据的是描述黑海和里海以及描述波罗的海的具有重要生态或生物意义的海洋区域两个区域讲习班的报告，</w:t>
      </w:r>
      <w:r w:rsidRPr="00403B4F">
        <w:rPr>
          <w:rStyle w:val="FootnoteReference"/>
          <w:rFonts w:eastAsiaTheme="minorEastAsia"/>
          <w:bCs/>
          <w:kern w:val="22"/>
          <w:sz w:val="24"/>
          <w:u w:val="none"/>
          <w:vertAlign w:val="superscript"/>
        </w:rPr>
        <w:footnoteReference w:id="162"/>
      </w:r>
      <w:r w:rsidRPr="00403B4F">
        <w:rPr>
          <w:rFonts w:eastAsiaTheme="minorEastAsia"/>
          <w:bCs/>
          <w:kern w:val="22"/>
          <w:sz w:val="24"/>
          <w:vertAlign w:val="superscript"/>
          <w:lang w:eastAsia="zh-CN"/>
        </w:rPr>
        <w:t xml:space="preserve"> </w:t>
      </w:r>
      <w:r w:rsidRPr="00403B4F">
        <w:rPr>
          <w:rFonts w:eastAsiaTheme="minorEastAsia"/>
          <w:kern w:val="22"/>
          <w:sz w:val="24"/>
          <w:shd w:val="clear" w:color="auto" w:fill="FFFFFF"/>
          <w:lang w:eastAsia="zh-CN"/>
        </w:rPr>
        <w:t>并</w:t>
      </w:r>
      <w:r w:rsidRPr="00403B4F">
        <w:rPr>
          <w:rFonts w:eastAsiaTheme="minorEastAsia"/>
          <w:bCs/>
          <w:kern w:val="22"/>
          <w:sz w:val="24"/>
          <w:lang w:eastAsia="zh-CN"/>
        </w:rPr>
        <w:t>请</w:t>
      </w:r>
      <w:r w:rsidRPr="00403B4F">
        <w:rPr>
          <w:rFonts w:eastAsiaTheme="minorEastAsia"/>
          <w:kern w:val="22"/>
          <w:sz w:val="24"/>
          <w:shd w:val="clear" w:color="auto" w:fill="FFFFFF"/>
          <w:lang w:eastAsia="zh-CN"/>
        </w:rPr>
        <w:t>执行秘书将两总结报告列入</w:t>
      </w:r>
      <w:r w:rsidRPr="00403B4F">
        <w:rPr>
          <w:rFonts w:eastAsiaTheme="minorEastAsia"/>
          <w:bCs/>
          <w:kern w:val="22"/>
          <w:sz w:val="24"/>
          <w:lang w:eastAsia="zh-CN"/>
        </w:rPr>
        <w:t>具有重要生态或生物意义的海洋区域信息库，并</w:t>
      </w:r>
      <w:r w:rsidRPr="00403B4F">
        <w:rPr>
          <w:rFonts w:eastAsiaTheme="minorEastAsia"/>
          <w:kern w:val="22"/>
          <w:sz w:val="24"/>
          <w:lang w:eastAsia="zh-CN"/>
        </w:rPr>
        <w:t>按照</w:t>
      </w:r>
      <w:hyperlink r:id="rId55" w:history="1">
        <w:r w:rsidRPr="00403B4F">
          <w:rPr>
            <w:rFonts w:eastAsiaTheme="minorEastAsia"/>
            <w:sz w:val="24"/>
            <w:szCs w:val="24"/>
            <w:lang w:eastAsia="zh-CN"/>
          </w:rPr>
          <w:t>第</w:t>
        </w:r>
        <w:r w:rsidRPr="00403B4F">
          <w:rPr>
            <w:rStyle w:val="Hyperlink"/>
            <w:rFonts w:eastAsiaTheme="minorEastAsia"/>
            <w:kern w:val="22"/>
            <w:sz w:val="24"/>
            <w:lang w:eastAsia="zh-CN"/>
          </w:rPr>
          <w:t>X/29</w:t>
        </w:r>
      </w:hyperlink>
      <w:r w:rsidRPr="00403B4F">
        <w:rPr>
          <w:rFonts w:eastAsiaTheme="minorEastAsia"/>
          <w:sz w:val="24"/>
          <w:szCs w:val="24"/>
          <w:lang w:eastAsia="zh-CN"/>
        </w:rPr>
        <w:t>号</w:t>
      </w:r>
      <w:r w:rsidRPr="00403B4F">
        <w:rPr>
          <w:rFonts w:eastAsiaTheme="minorEastAsia"/>
          <w:kern w:val="22"/>
          <w:sz w:val="24"/>
          <w:szCs w:val="24"/>
          <w:lang w:eastAsia="zh-CN"/>
        </w:rPr>
        <w:t>、</w:t>
      </w:r>
      <w:hyperlink r:id="rId56" w:history="1">
        <w:r w:rsidRPr="00403B4F">
          <w:rPr>
            <w:rFonts w:eastAsiaTheme="minorEastAsia"/>
            <w:sz w:val="24"/>
            <w:szCs w:val="24"/>
            <w:lang w:eastAsia="zh-CN"/>
          </w:rPr>
          <w:t>第</w:t>
        </w:r>
        <w:r w:rsidRPr="00403B4F">
          <w:rPr>
            <w:rStyle w:val="Hyperlink"/>
            <w:rFonts w:eastAsiaTheme="minorEastAsia"/>
            <w:kern w:val="22"/>
            <w:sz w:val="24"/>
            <w:lang w:eastAsia="zh-CN"/>
          </w:rPr>
          <w:t>XI/17</w:t>
        </w:r>
        <w:r w:rsidRPr="00403B4F">
          <w:rPr>
            <w:rFonts w:eastAsiaTheme="minorEastAsia"/>
            <w:kern w:val="22"/>
            <w:sz w:val="24"/>
            <w:szCs w:val="24"/>
            <w:lang w:eastAsia="zh-CN"/>
          </w:rPr>
          <w:t>号</w:t>
        </w:r>
      </w:hyperlink>
      <w:r w:rsidRPr="00403B4F">
        <w:rPr>
          <w:rFonts w:eastAsiaTheme="minorEastAsia"/>
          <w:kern w:val="22"/>
          <w:sz w:val="24"/>
          <w:szCs w:val="24"/>
          <w:lang w:eastAsia="zh-CN"/>
        </w:rPr>
        <w:t>、</w:t>
      </w:r>
      <w:hyperlink r:id="rId57" w:history="1">
        <w:r w:rsidRPr="00403B4F">
          <w:rPr>
            <w:rFonts w:eastAsiaTheme="minorEastAsia"/>
            <w:sz w:val="24"/>
            <w:szCs w:val="24"/>
            <w:lang w:eastAsia="zh-CN"/>
          </w:rPr>
          <w:t>第</w:t>
        </w:r>
        <w:r w:rsidRPr="00403B4F">
          <w:rPr>
            <w:rStyle w:val="Hyperlink"/>
            <w:rFonts w:eastAsiaTheme="minorEastAsia"/>
            <w:kern w:val="22"/>
            <w:sz w:val="24"/>
            <w:lang w:eastAsia="zh-CN"/>
          </w:rPr>
          <w:t>XII/22</w:t>
        </w:r>
        <w:r w:rsidRPr="00403B4F">
          <w:rPr>
            <w:rFonts w:eastAsiaTheme="minorEastAsia"/>
            <w:sz w:val="24"/>
            <w:szCs w:val="24"/>
            <w:lang w:eastAsia="zh-CN"/>
          </w:rPr>
          <w:t>号</w:t>
        </w:r>
      </w:hyperlink>
      <w:r w:rsidRPr="00403B4F">
        <w:rPr>
          <w:rFonts w:eastAsiaTheme="minorEastAsia"/>
          <w:kern w:val="22"/>
          <w:sz w:val="24"/>
          <w:lang w:eastAsia="zh-CN"/>
        </w:rPr>
        <w:t>和</w:t>
      </w:r>
      <w:hyperlink r:id="rId58" w:history="1">
        <w:r w:rsidRPr="00403B4F">
          <w:rPr>
            <w:rFonts w:eastAsiaTheme="minorEastAsia"/>
            <w:bCs/>
            <w:sz w:val="24"/>
            <w:lang w:eastAsia="zh-CN"/>
          </w:rPr>
          <w:t>第</w:t>
        </w:r>
        <w:r w:rsidRPr="00403B4F">
          <w:rPr>
            <w:rStyle w:val="Hyperlink"/>
            <w:rFonts w:eastAsiaTheme="minorEastAsia"/>
            <w:kern w:val="22"/>
            <w:sz w:val="24"/>
            <w:lang w:eastAsia="zh-CN"/>
          </w:rPr>
          <w:t>XIII/12</w:t>
        </w:r>
        <w:r w:rsidRPr="00403B4F">
          <w:rPr>
            <w:rFonts w:eastAsiaTheme="minorEastAsia"/>
            <w:bCs/>
            <w:sz w:val="24"/>
            <w:lang w:eastAsia="zh-CN"/>
          </w:rPr>
          <w:t>号决定</w:t>
        </w:r>
      </w:hyperlink>
      <w:r w:rsidRPr="00403B4F">
        <w:rPr>
          <w:rFonts w:eastAsiaTheme="minorEastAsia"/>
          <w:kern w:val="22"/>
          <w:sz w:val="24"/>
          <w:lang w:eastAsia="zh-CN"/>
        </w:rPr>
        <w:t>规定的目的和程序，</w:t>
      </w:r>
      <w:r w:rsidRPr="00403B4F">
        <w:rPr>
          <w:rFonts w:eastAsiaTheme="minorEastAsia"/>
          <w:bCs/>
          <w:kern w:val="22"/>
          <w:sz w:val="24"/>
          <w:lang w:eastAsia="zh-CN"/>
        </w:rPr>
        <w:t>提交联合国大会及其相关进程以及各缔约方、</w:t>
      </w:r>
      <w:r w:rsidRPr="00403B4F">
        <w:rPr>
          <w:rFonts w:eastAsiaTheme="minorEastAsia"/>
          <w:kern w:val="22"/>
          <w:sz w:val="24"/>
          <w:lang w:eastAsia="zh-CN"/>
        </w:rPr>
        <w:t>其他国家政府和相关国际组织；</w:t>
      </w:r>
      <w:r w:rsidRPr="00403B4F">
        <w:rPr>
          <w:rFonts w:eastAsiaTheme="minorEastAsia"/>
          <w:kern w:val="22"/>
          <w:sz w:val="24"/>
          <w:lang w:eastAsia="zh-CN"/>
        </w:rPr>
        <w:t xml:space="preserve"> </w:t>
      </w:r>
    </w:p>
    <w:p w:rsidR="00772406" w:rsidRPr="00403B4F" w:rsidRDefault="00772406" w:rsidP="001A42F8">
      <w:pPr>
        <w:pStyle w:val="Para1"/>
        <w:widowControl w:val="0"/>
        <w:numPr>
          <w:ilvl w:val="0"/>
          <w:numId w:val="138"/>
        </w:numPr>
        <w:tabs>
          <w:tab w:val="left" w:pos="1440"/>
          <w:tab w:val="left" w:pos="2160"/>
        </w:tabs>
        <w:ind w:left="0" w:firstLine="720"/>
        <w:rPr>
          <w:rFonts w:eastAsiaTheme="minorEastAsia"/>
          <w:kern w:val="22"/>
          <w:sz w:val="24"/>
          <w:lang w:eastAsia="zh-CN"/>
        </w:rPr>
      </w:pPr>
      <w:r w:rsidRPr="00403B4F">
        <w:rPr>
          <w:rFonts w:eastAsiaTheme="minorEastAsia"/>
          <w:bCs/>
          <w:kern w:val="22"/>
          <w:sz w:val="24"/>
          <w:lang w:eastAsia="zh-CN"/>
        </w:rPr>
        <w:t>又欢迎</w:t>
      </w:r>
      <w:r w:rsidRPr="00403B4F">
        <w:rPr>
          <w:rFonts w:eastAsiaTheme="minorEastAsia"/>
          <w:kern w:val="22"/>
          <w:sz w:val="24"/>
          <w:lang w:eastAsia="zh-CN"/>
        </w:rPr>
        <w:t>2017</w:t>
      </w:r>
      <w:r w:rsidRPr="00403B4F">
        <w:rPr>
          <w:rFonts w:eastAsiaTheme="minorEastAsia"/>
          <w:kern w:val="22"/>
          <w:sz w:val="24"/>
          <w:lang w:eastAsia="zh-CN"/>
        </w:rPr>
        <w:t>年</w:t>
      </w:r>
      <w:r w:rsidRPr="00403B4F">
        <w:rPr>
          <w:rFonts w:eastAsiaTheme="minorEastAsia"/>
          <w:kern w:val="22"/>
          <w:sz w:val="24"/>
          <w:lang w:eastAsia="zh-CN"/>
        </w:rPr>
        <w:t>12</w:t>
      </w:r>
      <w:r w:rsidRPr="00403B4F">
        <w:rPr>
          <w:rFonts w:eastAsiaTheme="minorEastAsia"/>
          <w:kern w:val="22"/>
          <w:sz w:val="24"/>
          <w:lang w:eastAsia="zh-CN"/>
        </w:rPr>
        <w:t>月</w:t>
      </w:r>
      <w:r w:rsidRPr="00403B4F">
        <w:rPr>
          <w:rFonts w:eastAsiaTheme="minorEastAsia"/>
          <w:kern w:val="22"/>
          <w:sz w:val="24"/>
          <w:lang w:eastAsia="zh-CN"/>
        </w:rPr>
        <w:t>5</w:t>
      </w:r>
      <w:r w:rsidRPr="00403B4F">
        <w:rPr>
          <w:rFonts w:eastAsiaTheme="minorEastAsia"/>
          <w:kern w:val="22"/>
          <w:sz w:val="24"/>
          <w:lang w:eastAsia="zh-CN"/>
        </w:rPr>
        <w:t>日至</w:t>
      </w:r>
      <w:r w:rsidRPr="00403B4F">
        <w:rPr>
          <w:rFonts w:eastAsiaTheme="minorEastAsia"/>
          <w:kern w:val="22"/>
          <w:sz w:val="24"/>
          <w:lang w:eastAsia="zh-CN"/>
        </w:rPr>
        <w:t>8</w:t>
      </w:r>
      <w:r w:rsidRPr="00403B4F">
        <w:rPr>
          <w:rFonts w:eastAsiaTheme="minorEastAsia"/>
          <w:kern w:val="22"/>
          <w:sz w:val="24"/>
          <w:lang w:eastAsia="zh-CN"/>
        </w:rPr>
        <w:t>日在柏林举行的关于制定修改具有重要生态或生物意义的海洋区域的描述</w:t>
      </w:r>
      <w:r w:rsidRPr="00403B4F">
        <w:rPr>
          <w:rFonts w:eastAsiaTheme="minorEastAsia"/>
          <w:sz w:val="24"/>
          <w:lang w:eastAsia="zh-CN"/>
        </w:rPr>
        <w:t>以及描述新</w:t>
      </w:r>
      <w:r w:rsidRPr="00403B4F">
        <w:rPr>
          <w:rFonts w:eastAsiaTheme="minorEastAsia"/>
          <w:bCs/>
          <w:kern w:val="22"/>
          <w:sz w:val="24"/>
          <w:lang w:eastAsia="zh-CN"/>
        </w:rPr>
        <w:t>区域</w:t>
      </w:r>
      <w:r w:rsidRPr="00403B4F">
        <w:rPr>
          <w:rFonts w:eastAsiaTheme="minorEastAsia"/>
          <w:sz w:val="24"/>
          <w:lang w:eastAsia="zh-CN"/>
        </w:rPr>
        <w:t>和加强这一进程的科学可信度和透明度的备选办法</w:t>
      </w:r>
      <w:r w:rsidRPr="00403B4F">
        <w:rPr>
          <w:rFonts w:eastAsiaTheme="minorEastAsia"/>
          <w:kern w:val="22"/>
          <w:sz w:val="24"/>
          <w:lang w:eastAsia="zh-CN"/>
        </w:rPr>
        <w:t>的专家讲习班的报告，</w:t>
      </w:r>
      <w:r w:rsidRPr="00403B4F">
        <w:rPr>
          <w:rStyle w:val="FootnoteReference"/>
          <w:rFonts w:eastAsiaTheme="minorEastAsia"/>
          <w:bCs/>
          <w:kern w:val="22"/>
          <w:sz w:val="24"/>
          <w:u w:val="none"/>
          <w:vertAlign w:val="superscript"/>
        </w:rPr>
        <w:footnoteReference w:id="163"/>
      </w:r>
      <w:r w:rsidRPr="00403B4F">
        <w:rPr>
          <w:rStyle w:val="FootnoteReference"/>
          <w:rFonts w:hint="eastAsia"/>
          <w:bCs/>
          <w:sz w:val="24"/>
          <w:u w:val="none"/>
          <w:vertAlign w:val="superscript"/>
          <w:lang w:eastAsia="zh-CN"/>
        </w:rPr>
        <w:t xml:space="preserve"> </w:t>
      </w:r>
      <w:r w:rsidRPr="00403B4F">
        <w:rPr>
          <w:rFonts w:eastAsiaTheme="minorEastAsia"/>
          <w:kern w:val="22"/>
          <w:sz w:val="24"/>
          <w:lang w:eastAsia="zh-CN"/>
        </w:rPr>
        <w:t>并</w:t>
      </w:r>
      <w:r w:rsidRPr="00403B4F">
        <w:rPr>
          <w:rFonts w:eastAsiaTheme="minorEastAsia"/>
          <w:bCs/>
          <w:kern w:val="22"/>
          <w:sz w:val="24"/>
          <w:lang w:eastAsia="zh-CN"/>
        </w:rPr>
        <w:t>请</w:t>
      </w:r>
      <w:r w:rsidRPr="00403B4F">
        <w:rPr>
          <w:rFonts w:eastAsiaTheme="minorEastAsia"/>
          <w:kern w:val="22"/>
          <w:sz w:val="24"/>
          <w:lang w:eastAsia="zh-CN"/>
        </w:rPr>
        <w:t>执行秘书在资金允许的情况下，确定关于修改对具有重要生态或生物意义的海洋区域的描述</w:t>
      </w:r>
      <w:r w:rsidRPr="00403B4F">
        <w:rPr>
          <w:rFonts w:eastAsiaTheme="minorEastAsia"/>
          <w:kern w:val="22"/>
          <w:sz w:val="24"/>
          <w:lang w:eastAsia="zh-CN"/>
        </w:rPr>
        <w:t>,</w:t>
      </w:r>
      <w:r w:rsidRPr="00403B4F">
        <w:rPr>
          <w:rFonts w:eastAsiaTheme="minorEastAsia"/>
          <w:kern w:val="22"/>
          <w:sz w:val="24"/>
          <w:lang w:eastAsia="zh-CN"/>
        </w:rPr>
        <w:t>描述新的区域以及加强这一进程的科学可信度和透明度的备选办法</w:t>
      </w:r>
      <w:r w:rsidRPr="00403B4F">
        <w:rPr>
          <w:rFonts w:eastAsiaTheme="minorEastAsia"/>
          <w:kern w:val="22"/>
          <w:sz w:val="24"/>
          <w:lang w:eastAsia="zh-CN"/>
        </w:rPr>
        <w:t>,</w:t>
      </w:r>
      <w:r w:rsidRPr="00403B4F">
        <w:rPr>
          <w:rFonts w:eastAsiaTheme="minorEastAsia"/>
          <w:kern w:val="22"/>
          <w:sz w:val="24"/>
          <w:lang w:eastAsia="zh-CN"/>
        </w:rPr>
        <w:t>同时注意到上述报告和本决定的附件二</w:t>
      </w:r>
      <w:r w:rsidRPr="00403B4F">
        <w:rPr>
          <w:rFonts w:eastAsiaTheme="minorEastAsia"/>
          <w:kern w:val="22"/>
          <w:sz w:val="24"/>
          <w:lang w:eastAsia="zh-CN"/>
        </w:rPr>
        <w:t>,</w:t>
      </w:r>
      <w:r w:rsidRPr="00403B4F">
        <w:rPr>
          <w:rFonts w:eastAsiaTheme="minorEastAsia"/>
          <w:kern w:val="22"/>
          <w:sz w:val="24"/>
          <w:lang w:eastAsia="zh-CN"/>
        </w:rPr>
        <w:t>并将其提交科学、技术和工艺咨询附属机构和缔约方大会审议，同时注意到附件三；</w:t>
      </w:r>
    </w:p>
    <w:p w:rsidR="00772406" w:rsidRPr="00403B4F" w:rsidRDefault="00772406" w:rsidP="001A42F8">
      <w:pPr>
        <w:pStyle w:val="Para1"/>
        <w:numPr>
          <w:ilvl w:val="0"/>
          <w:numId w:val="138"/>
        </w:numPr>
        <w:tabs>
          <w:tab w:val="left" w:pos="1440"/>
          <w:tab w:val="left" w:pos="2160"/>
        </w:tabs>
        <w:ind w:left="0" w:firstLine="720"/>
        <w:rPr>
          <w:rFonts w:eastAsiaTheme="minorEastAsia"/>
          <w:kern w:val="22"/>
          <w:sz w:val="24"/>
          <w:szCs w:val="24"/>
          <w:lang w:eastAsia="zh-CN"/>
        </w:rPr>
      </w:pPr>
      <w:r w:rsidRPr="00403B4F">
        <w:rPr>
          <w:rFonts w:eastAsiaTheme="minorEastAsia"/>
          <w:sz w:val="24"/>
          <w:szCs w:val="24"/>
          <w:lang w:eastAsia="zh-CN"/>
        </w:rPr>
        <w:lastRenderedPageBreak/>
        <w:t>呼吁</w:t>
      </w:r>
      <w:r w:rsidRPr="00403B4F">
        <w:rPr>
          <w:rFonts w:eastAsiaTheme="minorEastAsia"/>
          <w:kern w:val="22"/>
          <w:sz w:val="24"/>
          <w:szCs w:val="24"/>
          <w:lang w:eastAsia="zh-CN"/>
        </w:rPr>
        <w:t>生物多样性公约秘书处、联合国粮食及农业组织、国际海事组织和国际海底管理局和区域渔业机构以及区域海洋公约和行动计划以及其他有关国际组织，就使用与</w:t>
      </w:r>
      <w:r w:rsidRPr="00403B4F">
        <w:rPr>
          <w:rFonts w:eastAsiaTheme="minorEastAsia"/>
          <w:kern w:val="22"/>
          <w:sz w:val="24"/>
          <w:lang w:eastAsia="zh-CN"/>
        </w:rPr>
        <w:t>具有</w:t>
      </w:r>
      <w:r w:rsidRPr="00403B4F">
        <w:rPr>
          <w:rFonts w:eastAsiaTheme="minorEastAsia"/>
          <w:kern w:val="22"/>
          <w:sz w:val="24"/>
          <w:szCs w:val="24"/>
          <w:lang w:eastAsia="zh-CN"/>
        </w:rPr>
        <w:t>重要生态或生物意义的海洋区域有关的生态和生物特点的科学信息</w:t>
      </w:r>
      <w:r w:rsidRPr="00403B4F">
        <w:rPr>
          <w:rFonts w:eastAsiaTheme="minorEastAsia"/>
          <w:kern w:val="22"/>
          <w:sz w:val="24"/>
          <w:szCs w:val="24"/>
          <w:lang w:eastAsia="zh-CN"/>
        </w:rPr>
        <w:t>——</w:t>
      </w:r>
      <w:r w:rsidRPr="00403B4F">
        <w:rPr>
          <w:rFonts w:eastAsiaTheme="minorEastAsia"/>
          <w:kern w:val="22"/>
          <w:sz w:val="24"/>
          <w:szCs w:val="24"/>
          <w:lang w:eastAsia="zh-CN"/>
        </w:rPr>
        <w:t>这是可用于区域管理工具指导意见等方面的关键信息</w:t>
      </w:r>
      <w:r w:rsidRPr="00403B4F">
        <w:rPr>
          <w:rFonts w:eastAsiaTheme="minorEastAsia"/>
          <w:kern w:val="22"/>
          <w:sz w:val="24"/>
          <w:szCs w:val="24"/>
          <w:lang w:eastAsia="zh-CN"/>
        </w:rPr>
        <w:t>——</w:t>
      </w:r>
      <w:r w:rsidRPr="00403B4F">
        <w:rPr>
          <w:rFonts w:eastAsiaTheme="minorEastAsia"/>
          <w:kern w:val="22"/>
          <w:sz w:val="24"/>
          <w:szCs w:val="24"/>
          <w:lang w:eastAsia="zh-CN"/>
        </w:rPr>
        <w:t>进一步合作和分享信息，以支持实现《爱知生物多样性目标》和相关的《可持续发展目标》；</w:t>
      </w:r>
    </w:p>
    <w:p w:rsidR="00772406" w:rsidRPr="00403B4F" w:rsidRDefault="00772406" w:rsidP="001A42F8">
      <w:pPr>
        <w:pStyle w:val="Para1"/>
        <w:numPr>
          <w:ilvl w:val="0"/>
          <w:numId w:val="138"/>
        </w:numPr>
        <w:tabs>
          <w:tab w:val="left" w:pos="1440"/>
          <w:tab w:val="left" w:pos="2160"/>
        </w:tabs>
        <w:ind w:left="0" w:firstLine="720"/>
        <w:rPr>
          <w:rFonts w:eastAsiaTheme="minorEastAsia"/>
          <w:kern w:val="22"/>
          <w:sz w:val="24"/>
          <w:szCs w:val="24"/>
          <w:lang w:eastAsia="zh-CN"/>
        </w:rPr>
      </w:pPr>
      <w:r w:rsidRPr="00403B4F">
        <w:rPr>
          <w:rFonts w:eastAsiaTheme="minorEastAsia"/>
          <w:kern w:val="22"/>
          <w:sz w:val="24"/>
          <w:szCs w:val="24"/>
          <w:lang w:eastAsia="zh-CN"/>
        </w:rPr>
        <w:t>邀请各缔约方</w:t>
      </w:r>
      <w:r w:rsidRPr="00403B4F">
        <w:rPr>
          <w:rFonts w:eastAsiaTheme="minorEastAsia"/>
          <w:sz w:val="24"/>
          <w:szCs w:val="24"/>
          <w:lang w:eastAsia="zh-CN"/>
        </w:rPr>
        <w:t>提交关于</w:t>
      </w:r>
      <w:r w:rsidRPr="00403B4F">
        <w:rPr>
          <w:rFonts w:eastAsiaTheme="minorEastAsia"/>
          <w:kern w:val="22"/>
          <w:sz w:val="24"/>
          <w:szCs w:val="24"/>
          <w:lang w:eastAsia="zh-CN"/>
        </w:rPr>
        <w:t>东北大西洋符合具有重要生态或生物意义的海洋区域标准的区域的描述；</w:t>
      </w:r>
    </w:p>
    <w:p w:rsidR="00772406" w:rsidRPr="00403B4F" w:rsidRDefault="00772406" w:rsidP="001A42F8">
      <w:pPr>
        <w:pStyle w:val="Para1"/>
        <w:numPr>
          <w:ilvl w:val="0"/>
          <w:numId w:val="138"/>
        </w:numPr>
        <w:tabs>
          <w:tab w:val="left" w:pos="1440"/>
          <w:tab w:val="left" w:pos="2160"/>
        </w:tabs>
        <w:ind w:left="0" w:firstLine="720"/>
        <w:rPr>
          <w:rFonts w:eastAsiaTheme="minorEastAsia"/>
          <w:kern w:val="22"/>
          <w:sz w:val="24"/>
          <w:szCs w:val="24"/>
          <w:lang w:eastAsia="zh-CN"/>
        </w:rPr>
      </w:pPr>
      <w:r w:rsidRPr="00403B4F">
        <w:rPr>
          <w:rFonts w:eastAsiaTheme="minorEastAsia"/>
          <w:sz w:val="24"/>
          <w:szCs w:val="24"/>
          <w:lang w:eastAsia="zh-CN"/>
        </w:rPr>
        <w:t>重申本决定是一项严格意义上的科学和技术工作，其实施不影响任何国家、领土、城市或区域或其当局的法律地位，也不涉及其边界或界线的划定，不具有经济或法律影响。</w:t>
      </w:r>
    </w:p>
    <w:p w:rsidR="00B45229" w:rsidRDefault="00B45229">
      <w:pPr>
        <w:rPr>
          <w:rFonts w:ascii="KaiTi" w:eastAsia="KaiTi" w:hAnsi="KaiTi"/>
          <w:snapToGrid w:val="0"/>
          <w:kern w:val="22"/>
          <w:lang w:eastAsia="zh-CN"/>
        </w:rPr>
      </w:pPr>
      <w:r>
        <w:rPr>
          <w:rFonts w:ascii="KaiTi" w:eastAsia="KaiTi" w:hAnsi="KaiTi"/>
          <w:snapToGrid w:val="0"/>
          <w:kern w:val="22"/>
          <w:lang w:eastAsia="zh-CN"/>
        </w:rPr>
        <w:br w:type="page"/>
      </w:r>
    </w:p>
    <w:p w:rsidR="00772406" w:rsidRPr="00C9773D" w:rsidRDefault="00772406" w:rsidP="00B45229">
      <w:pPr>
        <w:ind w:firstLine="0"/>
        <w:jc w:val="center"/>
        <w:rPr>
          <w:rFonts w:ascii="KaiTi" w:eastAsia="KaiTi" w:hAnsi="KaiTi"/>
          <w:snapToGrid w:val="0"/>
          <w:kern w:val="22"/>
          <w:lang w:eastAsia="zh-CN"/>
        </w:rPr>
      </w:pPr>
      <w:r w:rsidRPr="00C9773D">
        <w:rPr>
          <w:rFonts w:ascii="KaiTi" w:eastAsia="KaiTi" w:hAnsi="KaiTi"/>
          <w:snapToGrid w:val="0"/>
          <w:kern w:val="22"/>
          <w:lang w:eastAsia="zh-CN"/>
        </w:rPr>
        <w:lastRenderedPageBreak/>
        <w:t>附件一</w:t>
      </w:r>
    </w:p>
    <w:p w:rsidR="00772406" w:rsidRPr="00403B4F" w:rsidRDefault="00772406" w:rsidP="00B45229">
      <w:pPr>
        <w:pStyle w:val="Heading1"/>
        <w:suppressLineNumbers/>
        <w:suppressAutoHyphens/>
        <w:kinsoku w:val="0"/>
        <w:overflowPunct w:val="0"/>
        <w:autoSpaceDE w:val="0"/>
        <w:autoSpaceDN w:val="0"/>
        <w:spacing w:before="120" w:after="120"/>
        <w:ind w:firstLine="0"/>
        <w:rPr>
          <w:rFonts w:eastAsiaTheme="minorEastAsia" w:cs="Times New Roman"/>
          <w:snapToGrid w:val="0"/>
          <w:kern w:val="22"/>
          <w:sz w:val="24"/>
          <w:lang w:eastAsia="zh-CN"/>
        </w:rPr>
      </w:pPr>
      <w:bookmarkStart w:id="112" w:name="_Toc6243725"/>
      <w:r w:rsidRPr="00403B4F">
        <w:rPr>
          <w:rFonts w:eastAsiaTheme="minorEastAsia" w:cs="Times New Roman"/>
          <w:snapToGrid w:val="0"/>
          <w:kern w:val="22"/>
          <w:sz w:val="24"/>
          <w:lang w:eastAsia="zh-CN"/>
        </w:rPr>
        <w:t>关于描述符合具有重要生态或生物意义的海洋区域科学标的区域的总结报告</w:t>
      </w:r>
      <w:bookmarkEnd w:id="112"/>
    </w:p>
    <w:p w:rsidR="00772406" w:rsidRPr="00403B4F" w:rsidRDefault="00772406" w:rsidP="00B45229">
      <w:pPr>
        <w:pStyle w:val="Para10"/>
        <w:spacing w:line="240" w:lineRule="auto"/>
      </w:pPr>
      <w:r w:rsidRPr="00403B4F">
        <w:t>背景</w:t>
      </w:r>
    </w:p>
    <w:p w:rsidR="00772406" w:rsidRPr="00403B4F" w:rsidRDefault="00772406" w:rsidP="00B45229">
      <w:pPr>
        <w:numPr>
          <w:ilvl w:val="0"/>
          <w:numId w:val="139"/>
        </w:numPr>
        <w:tabs>
          <w:tab w:val="clear" w:pos="360"/>
        </w:tabs>
        <w:rPr>
          <w:rFonts w:eastAsiaTheme="minorEastAsia"/>
          <w:snapToGrid w:val="0"/>
          <w:kern w:val="22"/>
          <w:lang w:eastAsia="zh-CN"/>
        </w:rPr>
      </w:pPr>
      <w:r w:rsidRPr="00403B4F">
        <w:rPr>
          <w:rFonts w:eastAsiaTheme="minorEastAsia"/>
          <w:snapToGrid w:val="0"/>
          <w:kern w:val="22"/>
          <w:lang w:eastAsia="zh-CN"/>
        </w:rPr>
        <w:t>根据</w:t>
      </w:r>
      <w:hyperlink r:id="rId59" w:history="1">
        <w:r w:rsidRPr="00403B4F">
          <w:rPr>
            <w:rFonts w:eastAsiaTheme="minorEastAsia"/>
            <w:lang w:eastAsia="zh-CN"/>
          </w:rPr>
          <w:t>第</w:t>
        </w:r>
        <w:r w:rsidRPr="00403B4F">
          <w:rPr>
            <w:rStyle w:val="Hyperlink"/>
            <w:rFonts w:eastAsiaTheme="minorEastAsia"/>
            <w:snapToGrid w:val="0"/>
            <w:kern w:val="22"/>
            <w:lang w:eastAsia="zh-CN"/>
          </w:rPr>
          <w:t>X/29</w:t>
        </w:r>
        <w:r w:rsidRPr="00403B4F">
          <w:rPr>
            <w:rFonts w:eastAsiaTheme="minorEastAsia"/>
            <w:lang w:eastAsia="zh-CN"/>
          </w:rPr>
          <w:t>号决定</w:t>
        </w:r>
      </w:hyperlink>
      <w:r w:rsidRPr="00403B4F">
        <w:rPr>
          <w:rFonts w:eastAsiaTheme="minorEastAsia"/>
          <w:snapToGrid w:val="0"/>
          <w:kern w:val="22"/>
          <w:lang w:eastAsia="zh-CN"/>
        </w:rPr>
        <w:t>第</w:t>
      </w:r>
      <w:r w:rsidRPr="00403B4F">
        <w:rPr>
          <w:rFonts w:eastAsiaTheme="minorEastAsia"/>
          <w:snapToGrid w:val="0"/>
          <w:kern w:val="22"/>
          <w:lang w:eastAsia="zh-CN"/>
        </w:rPr>
        <w:t>36</w:t>
      </w:r>
      <w:r w:rsidRPr="00403B4F">
        <w:rPr>
          <w:rFonts w:eastAsiaTheme="minorEastAsia"/>
          <w:snapToGrid w:val="0"/>
          <w:kern w:val="22"/>
          <w:lang w:eastAsia="zh-CN"/>
        </w:rPr>
        <w:t>段、</w:t>
      </w:r>
      <w:hyperlink r:id="rId60" w:history="1">
        <w:r w:rsidRPr="00403B4F">
          <w:rPr>
            <w:rFonts w:eastAsiaTheme="minorEastAsia"/>
            <w:lang w:eastAsia="zh-CN"/>
          </w:rPr>
          <w:t>第</w:t>
        </w:r>
        <w:r w:rsidRPr="00403B4F">
          <w:rPr>
            <w:rStyle w:val="Hyperlink"/>
            <w:rFonts w:eastAsiaTheme="minorEastAsia"/>
            <w:snapToGrid w:val="0"/>
            <w:kern w:val="22"/>
            <w:lang w:eastAsia="zh-CN"/>
          </w:rPr>
          <w:t>XI/17</w:t>
        </w:r>
        <w:r w:rsidRPr="00403B4F">
          <w:rPr>
            <w:rFonts w:eastAsiaTheme="minorEastAsia"/>
            <w:lang w:eastAsia="zh-CN"/>
          </w:rPr>
          <w:t>号决定</w:t>
        </w:r>
      </w:hyperlink>
      <w:r w:rsidRPr="00403B4F">
        <w:rPr>
          <w:rFonts w:eastAsiaTheme="minorEastAsia"/>
          <w:snapToGrid w:val="0"/>
          <w:kern w:val="22"/>
          <w:lang w:eastAsia="zh-CN"/>
        </w:rPr>
        <w:t>第</w:t>
      </w:r>
      <w:r w:rsidRPr="00403B4F">
        <w:rPr>
          <w:rFonts w:eastAsiaTheme="minorEastAsia"/>
          <w:snapToGrid w:val="0"/>
          <w:kern w:val="22"/>
          <w:lang w:eastAsia="zh-CN"/>
        </w:rPr>
        <w:t>12</w:t>
      </w:r>
      <w:r w:rsidRPr="00403B4F">
        <w:rPr>
          <w:rFonts w:eastAsiaTheme="minorEastAsia"/>
          <w:snapToGrid w:val="0"/>
          <w:kern w:val="22"/>
          <w:lang w:eastAsia="zh-CN"/>
        </w:rPr>
        <w:t>段、</w:t>
      </w:r>
      <w:hyperlink r:id="rId61" w:history="1">
        <w:r w:rsidRPr="00403B4F">
          <w:rPr>
            <w:rFonts w:eastAsiaTheme="minorEastAsia"/>
            <w:lang w:eastAsia="zh-CN"/>
          </w:rPr>
          <w:t>第</w:t>
        </w:r>
        <w:r w:rsidRPr="00403B4F">
          <w:rPr>
            <w:rStyle w:val="Hyperlink"/>
            <w:rFonts w:eastAsiaTheme="minorEastAsia"/>
            <w:snapToGrid w:val="0"/>
            <w:kern w:val="22"/>
            <w:lang w:eastAsia="zh-CN"/>
          </w:rPr>
          <w:t>XII/22</w:t>
        </w:r>
        <w:r w:rsidRPr="00403B4F">
          <w:rPr>
            <w:rFonts w:eastAsiaTheme="minorEastAsia"/>
            <w:lang w:eastAsia="zh-CN"/>
          </w:rPr>
          <w:t>号决定</w:t>
        </w:r>
      </w:hyperlink>
      <w:r w:rsidRPr="00403B4F">
        <w:rPr>
          <w:rFonts w:eastAsiaTheme="minorEastAsia"/>
          <w:snapToGrid w:val="0"/>
          <w:kern w:val="22"/>
          <w:lang w:eastAsia="zh-CN"/>
        </w:rPr>
        <w:t>第</w:t>
      </w:r>
      <w:r w:rsidRPr="00403B4F">
        <w:rPr>
          <w:rFonts w:eastAsiaTheme="minorEastAsia"/>
          <w:snapToGrid w:val="0"/>
          <w:kern w:val="22"/>
          <w:lang w:eastAsia="zh-CN"/>
        </w:rPr>
        <w:t>6</w:t>
      </w:r>
      <w:r w:rsidRPr="00403B4F">
        <w:rPr>
          <w:rFonts w:eastAsiaTheme="minorEastAsia"/>
          <w:snapToGrid w:val="0"/>
          <w:kern w:val="22"/>
          <w:lang w:eastAsia="zh-CN"/>
        </w:rPr>
        <w:t>段和</w:t>
      </w:r>
      <w:hyperlink r:id="rId62" w:history="1">
        <w:r w:rsidRPr="00403B4F">
          <w:rPr>
            <w:rFonts w:eastAsiaTheme="minorEastAsia"/>
            <w:lang w:eastAsia="zh-CN"/>
          </w:rPr>
          <w:t>第</w:t>
        </w:r>
        <w:r w:rsidRPr="00403B4F">
          <w:rPr>
            <w:rStyle w:val="Hyperlink"/>
            <w:rFonts w:eastAsiaTheme="minorEastAsia"/>
            <w:kern w:val="22"/>
            <w:lang w:eastAsia="zh-CN"/>
          </w:rPr>
          <w:t>XIII/12</w:t>
        </w:r>
        <w:r w:rsidRPr="00403B4F">
          <w:rPr>
            <w:rFonts w:eastAsiaTheme="minorEastAsia"/>
            <w:lang w:eastAsia="zh-CN"/>
          </w:rPr>
          <w:t>号决定</w:t>
        </w:r>
      </w:hyperlink>
      <w:r w:rsidRPr="00403B4F">
        <w:rPr>
          <w:rFonts w:eastAsiaTheme="minorEastAsia"/>
          <w:kern w:val="22"/>
          <w:lang w:eastAsia="zh-CN"/>
        </w:rPr>
        <w:t>第</w:t>
      </w:r>
      <w:r w:rsidRPr="00403B4F">
        <w:rPr>
          <w:rFonts w:eastAsiaTheme="minorEastAsia"/>
          <w:kern w:val="22"/>
          <w:lang w:eastAsia="zh-CN"/>
        </w:rPr>
        <w:t>8</w:t>
      </w:r>
      <w:r w:rsidRPr="00403B4F">
        <w:rPr>
          <w:rFonts w:eastAsiaTheme="minorEastAsia"/>
          <w:kern w:val="22"/>
          <w:lang w:eastAsia="zh-CN"/>
        </w:rPr>
        <w:t>段</w:t>
      </w:r>
      <w:r w:rsidRPr="00403B4F">
        <w:rPr>
          <w:rFonts w:eastAsiaTheme="minorEastAsia"/>
          <w:snapToGrid w:val="0"/>
          <w:kern w:val="22"/>
          <w:lang w:eastAsia="zh-CN"/>
        </w:rPr>
        <w:t>，《生物多样性公约》执行秘书又组织了以下两个区域讲习班：</w:t>
      </w:r>
    </w:p>
    <w:p w:rsidR="00772406" w:rsidRPr="00ED5046" w:rsidRDefault="00772406" w:rsidP="00B45229">
      <w:pPr>
        <w:pStyle w:val="Para10"/>
        <w:numPr>
          <w:ilvl w:val="0"/>
          <w:numId w:val="140"/>
        </w:numPr>
        <w:spacing w:line="240" w:lineRule="auto"/>
        <w:ind w:left="1440" w:hanging="720"/>
        <w:jc w:val="both"/>
        <w:rPr>
          <w:rFonts w:ascii="Times New Roman" w:eastAsiaTheme="minorEastAsia" w:hAnsi="Times New Roman"/>
        </w:rPr>
      </w:pPr>
      <w:r w:rsidRPr="00ED5046">
        <w:rPr>
          <w:rFonts w:ascii="Times New Roman" w:eastAsiaTheme="minorEastAsia" w:hAnsi="Times New Roman"/>
        </w:rPr>
        <w:t>黑海和里海（</w:t>
      </w:r>
      <w:r w:rsidRPr="00ED5046">
        <w:rPr>
          <w:rFonts w:ascii="Times New Roman" w:eastAsiaTheme="minorEastAsia" w:hAnsi="Times New Roman"/>
        </w:rPr>
        <w:t>2017</w:t>
      </w:r>
      <w:r w:rsidRPr="00ED5046">
        <w:rPr>
          <w:rFonts w:ascii="Times New Roman" w:eastAsiaTheme="minorEastAsia" w:hAnsi="Times New Roman"/>
        </w:rPr>
        <w:t>年</w:t>
      </w:r>
      <w:r w:rsidRPr="00ED5046">
        <w:rPr>
          <w:rFonts w:ascii="Times New Roman" w:eastAsiaTheme="minorEastAsia" w:hAnsi="Times New Roman"/>
        </w:rPr>
        <w:t>4</w:t>
      </w:r>
      <w:r w:rsidRPr="00ED5046">
        <w:rPr>
          <w:rFonts w:ascii="Times New Roman" w:eastAsiaTheme="minorEastAsia" w:hAnsi="Times New Roman"/>
        </w:rPr>
        <w:t>月</w:t>
      </w:r>
      <w:r w:rsidRPr="00ED5046">
        <w:rPr>
          <w:rFonts w:ascii="Times New Roman" w:eastAsiaTheme="minorEastAsia" w:hAnsi="Times New Roman"/>
        </w:rPr>
        <w:t>24</w:t>
      </w:r>
      <w:r w:rsidRPr="00ED5046">
        <w:rPr>
          <w:rFonts w:ascii="Times New Roman" w:eastAsiaTheme="minorEastAsia" w:hAnsi="Times New Roman"/>
        </w:rPr>
        <w:t>日至</w:t>
      </w:r>
      <w:r w:rsidRPr="00ED5046">
        <w:rPr>
          <w:rFonts w:ascii="Times New Roman" w:eastAsiaTheme="minorEastAsia" w:hAnsi="Times New Roman"/>
        </w:rPr>
        <w:t>29</w:t>
      </w:r>
      <w:r w:rsidRPr="00ED5046">
        <w:rPr>
          <w:rFonts w:ascii="Times New Roman" w:eastAsiaTheme="minorEastAsia" w:hAnsi="Times New Roman"/>
        </w:rPr>
        <w:t>日，巴库）；</w:t>
      </w:r>
      <w:r w:rsidRPr="00ED5046">
        <w:rPr>
          <w:rStyle w:val="FootnoteReference"/>
          <w:rFonts w:ascii="Times New Roman" w:eastAsiaTheme="minorEastAsia" w:hAnsi="Times New Roman"/>
          <w:sz w:val="24"/>
          <w:szCs w:val="24"/>
          <w:u w:val="none"/>
          <w:vertAlign w:val="superscript"/>
        </w:rPr>
        <w:footnoteReference w:id="164"/>
      </w:r>
    </w:p>
    <w:p w:rsidR="00772406" w:rsidRPr="00ED5046" w:rsidRDefault="00772406" w:rsidP="00B45229">
      <w:pPr>
        <w:pStyle w:val="Para10"/>
        <w:numPr>
          <w:ilvl w:val="0"/>
          <w:numId w:val="140"/>
        </w:numPr>
        <w:spacing w:line="240" w:lineRule="auto"/>
        <w:ind w:left="1440" w:hanging="720"/>
        <w:jc w:val="both"/>
        <w:rPr>
          <w:rFonts w:ascii="Times New Roman" w:eastAsiaTheme="minorEastAsia" w:hAnsi="Times New Roman"/>
        </w:rPr>
      </w:pPr>
      <w:r w:rsidRPr="00ED5046">
        <w:rPr>
          <w:rFonts w:ascii="Times New Roman" w:eastAsiaTheme="minorEastAsia" w:hAnsi="Times New Roman"/>
        </w:rPr>
        <w:t>波罗的海（</w:t>
      </w:r>
      <w:r w:rsidRPr="00ED5046">
        <w:rPr>
          <w:rFonts w:ascii="Times New Roman" w:eastAsiaTheme="minorEastAsia" w:hAnsi="Times New Roman"/>
        </w:rPr>
        <w:t>2018</w:t>
      </w:r>
      <w:r w:rsidRPr="00ED5046">
        <w:rPr>
          <w:rFonts w:ascii="Times New Roman" w:eastAsiaTheme="minorEastAsia" w:hAnsi="Times New Roman"/>
        </w:rPr>
        <w:t>年</w:t>
      </w:r>
      <w:r w:rsidRPr="00ED5046">
        <w:rPr>
          <w:rFonts w:ascii="Times New Roman" w:eastAsiaTheme="minorEastAsia" w:hAnsi="Times New Roman"/>
        </w:rPr>
        <w:t>2</w:t>
      </w:r>
      <w:r w:rsidRPr="00ED5046">
        <w:rPr>
          <w:rFonts w:ascii="Times New Roman" w:eastAsiaTheme="minorEastAsia" w:hAnsi="Times New Roman"/>
        </w:rPr>
        <w:t>月</w:t>
      </w:r>
      <w:r w:rsidRPr="00ED5046">
        <w:rPr>
          <w:rFonts w:ascii="Times New Roman" w:eastAsiaTheme="minorEastAsia" w:hAnsi="Times New Roman"/>
        </w:rPr>
        <w:t>19</w:t>
      </w:r>
      <w:r w:rsidRPr="00ED5046">
        <w:rPr>
          <w:rFonts w:ascii="Times New Roman" w:eastAsiaTheme="minorEastAsia" w:hAnsi="Times New Roman"/>
        </w:rPr>
        <w:t>日至</w:t>
      </w:r>
      <w:r w:rsidRPr="00ED5046">
        <w:rPr>
          <w:rFonts w:ascii="Times New Roman" w:eastAsiaTheme="minorEastAsia" w:hAnsi="Times New Roman"/>
        </w:rPr>
        <w:t>24</w:t>
      </w:r>
      <w:r w:rsidRPr="00ED5046">
        <w:rPr>
          <w:rFonts w:ascii="Times New Roman" w:eastAsiaTheme="minorEastAsia" w:hAnsi="Times New Roman"/>
        </w:rPr>
        <w:t>日，赫尔辛基）；</w:t>
      </w:r>
      <w:r w:rsidRPr="00ED5046">
        <w:rPr>
          <w:rStyle w:val="FootnoteReference"/>
          <w:rFonts w:ascii="Times New Roman" w:eastAsiaTheme="minorEastAsia" w:hAnsi="Times New Roman"/>
          <w:sz w:val="24"/>
          <w:szCs w:val="24"/>
          <w:u w:val="none"/>
          <w:vertAlign w:val="superscript"/>
        </w:rPr>
        <w:footnoteReference w:id="165"/>
      </w:r>
    </w:p>
    <w:p w:rsidR="00772406" w:rsidRPr="00403B4F" w:rsidRDefault="00772406" w:rsidP="00B45229">
      <w:pPr>
        <w:numPr>
          <w:ilvl w:val="0"/>
          <w:numId w:val="139"/>
        </w:numPr>
        <w:tabs>
          <w:tab w:val="clear" w:pos="360"/>
        </w:tabs>
        <w:rPr>
          <w:rFonts w:eastAsiaTheme="minorEastAsia"/>
          <w:snapToGrid w:val="0"/>
          <w:kern w:val="22"/>
          <w:lang w:eastAsia="zh-CN"/>
        </w:rPr>
      </w:pPr>
      <w:r w:rsidRPr="00403B4F">
        <w:rPr>
          <w:rFonts w:eastAsiaTheme="minorEastAsia"/>
          <w:snapToGrid w:val="0"/>
          <w:kern w:val="22"/>
          <w:lang w:eastAsia="zh-CN"/>
        </w:rPr>
        <w:t>根据第</w:t>
      </w:r>
      <w:r w:rsidRPr="00403B4F">
        <w:rPr>
          <w:rFonts w:eastAsiaTheme="minorEastAsia"/>
          <w:snapToGrid w:val="0"/>
          <w:kern w:val="22"/>
          <w:lang w:eastAsia="zh-CN"/>
        </w:rPr>
        <w:t>XI/17</w:t>
      </w:r>
      <w:r w:rsidRPr="00403B4F">
        <w:rPr>
          <w:rFonts w:eastAsiaTheme="minorEastAsia"/>
          <w:snapToGrid w:val="0"/>
          <w:kern w:val="22"/>
          <w:lang w:eastAsia="zh-CN"/>
        </w:rPr>
        <w:t>号决定第</w:t>
      </w:r>
      <w:r w:rsidRPr="00403B4F">
        <w:rPr>
          <w:rFonts w:eastAsiaTheme="minorEastAsia"/>
          <w:snapToGrid w:val="0"/>
          <w:kern w:val="22"/>
          <w:lang w:eastAsia="zh-CN"/>
        </w:rPr>
        <w:t>12</w:t>
      </w:r>
      <w:r w:rsidRPr="00403B4F">
        <w:rPr>
          <w:rFonts w:eastAsiaTheme="minorEastAsia"/>
          <w:snapToGrid w:val="0"/>
          <w:kern w:val="22"/>
          <w:lang w:eastAsia="zh-CN"/>
        </w:rPr>
        <w:t>段，下文表</w:t>
      </w:r>
      <w:r w:rsidRPr="00403B4F">
        <w:rPr>
          <w:rFonts w:eastAsiaTheme="minorEastAsia"/>
          <w:snapToGrid w:val="0"/>
          <w:kern w:val="22"/>
          <w:lang w:eastAsia="zh-CN"/>
        </w:rPr>
        <w:t>1</w:t>
      </w:r>
      <w:r w:rsidRPr="00403B4F">
        <w:rPr>
          <w:rFonts w:eastAsiaTheme="minorEastAsia"/>
          <w:snapToGrid w:val="0"/>
          <w:kern w:val="22"/>
          <w:lang w:eastAsia="zh-CN"/>
        </w:rPr>
        <w:t>和表</w:t>
      </w:r>
      <w:r w:rsidRPr="00403B4F">
        <w:rPr>
          <w:rFonts w:eastAsiaTheme="minorEastAsia"/>
          <w:snapToGrid w:val="0"/>
          <w:kern w:val="22"/>
          <w:lang w:eastAsia="zh-CN"/>
        </w:rPr>
        <w:t>2</w:t>
      </w:r>
      <w:r w:rsidRPr="00403B4F">
        <w:rPr>
          <w:rFonts w:eastAsiaTheme="minorEastAsia"/>
          <w:snapToGrid w:val="0"/>
          <w:kern w:val="22"/>
          <w:lang w:eastAsia="zh-CN"/>
        </w:rPr>
        <w:t>分别概括这两次区域讲习班的成果，关于符合具有重要生态或生物意义的海洋区域标准的区域的全面描述载于讲习班各自报告的附件。</w:t>
      </w:r>
    </w:p>
    <w:p w:rsidR="00772406" w:rsidRPr="00403B4F" w:rsidRDefault="00772406" w:rsidP="00B45229">
      <w:pPr>
        <w:pStyle w:val="Para1"/>
        <w:numPr>
          <w:ilvl w:val="0"/>
          <w:numId w:val="139"/>
        </w:numPr>
        <w:suppressLineNumbers/>
        <w:suppressAutoHyphens/>
        <w:kinsoku w:val="0"/>
        <w:overflowPunct w:val="0"/>
        <w:autoSpaceDE w:val="0"/>
        <w:autoSpaceDN w:val="0"/>
        <w:rPr>
          <w:rFonts w:eastAsiaTheme="minorEastAsia"/>
          <w:kern w:val="22"/>
          <w:szCs w:val="20"/>
          <w:lang w:eastAsia="zh-CN"/>
        </w:rPr>
        <w:sectPr w:rsidR="00772406" w:rsidRPr="00403B4F" w:rsidSect="00772406">
          <w:headerReference w:type="even" r:id="rId63"/>
          <w:headerReference w:type="default" r:id="rId64"/>
          <w:footerReference w:type="even" r:id="rId65"/>
          <w:headerReference w:type="first" r:id="rId66"/>
          <w:pgSz w:w="12240" w:h="15840"/>
          <w:pgMar w:top="567" w:right="1389" w:bottom="1134" w:left="1389" w:header="709" w:footer="709" w:gutter="0"/>
          <w:cols w:space="708"/>
          <w:titlePg/>
          <w:docGrid w:linePitch="360"/>
        </w:sectPr>
      </w:pPr>
    </w:p>
    <w:p w:rsidR="00772406" w:rsidRPr="00403B4F" w:rsidRDefault="00772406" w:rsidP="00B45229">
      <w:pPr>
        <w:numPr>
          <w:ilvl w:val="0"/>
          <w:numId w:val="139"/>
        </w:numPr>
        <w:tabs>
          <w:tab w:val="clear" w:pos="360"/>
        </w:tabs>
        <w:rPr>
          <w:rFonts w:eastAsiaTheme="minorEastAsia"/>
          <w:kern w:val="22"/>
          <w:lang w:eastAsia="zh-CN"/>
        </w:rPr>
      </w:pPr>
      <w:r w:rsidRPr="00403B4F">
        <w:rPr>
          <w:rFonts w:eastAsiaTheme="minorEastAsia"/>
          <w:snapToGrid w:val="0"/>
          <w:kern w:val="22"/>
          <w:lang w:eastAsia="zh-CN"/>
        </w:rPr>
        <w:lastRenderedPageBreak/>
        <w:t>在第</w:t>
      </w:r>
      <w:r w:rsidRPr="00403B4F">
        <w:rPr>
          <w:rFonts w:eastAsiaTheme="minorEastAsia"/>
          <w:snapToGrid w:val="0"/>
          <w:kern w:val="22"/>
          <w:lang w:eastAsia="zh-CN"/>
        </w:rPr>
        <w:t>X/29</w:t>
      </w:r>
      <w:r w:rsidRPr="00403B4F">
        <w:rPr>
          <w:rFonts w:eastAsiaTheme="minorEastAsia"/>
          <w:snapToGrid w:val="0"/>
          <w:kern w:val="22"/>
          <w:lang w:eastAsia="zh-CN"/>
        </w:rPr>
        <w:t>号决定的第</w:t>
      </w:r>
      <w:r w:rsidRPr="00403B4F">
        <w:rPr>
          <w:rFonts w:eastAsiaTheme="minorEastAsia"/>
          <w:snapToGrid w:val="0"/>
          <w:kern w:val="22"/>
          <w:lang w:eastAsia="zh-CN"/>
        </w:rPr>
        <w:t>26</w:t>
      </w:r>
      <w:r w:rsidRPr="00403B4F">
        <w:rPr>
          <w:rFonts w:eastAsiaTheme="minorEastAsia"/>
          <w:snapToGrid w:val="0"/>
          <w:kern w:val="22"/>
          <w:lang w:eastAsia="zh-CN"/>
        </w:rPr>
        <w:t>段，缔约方大会注意到应用具有重要生态或生物意义的海洋区域科学标准是一项科学和技术工作，对查明的符合该标准的区域可能需要采取更多保护和管理措施，且实现这个目标的方法有许多种，包括海洋空间规划、海洋保护区、其他有效区域保护措施、影响评估等等。该决定还强调，查明具有重要生态或生物意义的海洋区域和选定保护管理措施是由国家和主管政府间组织遵循包括《联合国海洋法公约》</w:t>
      </w:r>
      <w:r w:rsidRPr="00403B4F">
        <w:rPr>
          <w:rFonts w:eastAsiaTheme="minorEastAsia"/>
          <w:snapToGrid w:val="0"/>
          <w:kern w:val="22"/>
          <w:vertAlign w:val="superscript"/>
        </w:rPr>
        <w:footnoteReference w:id="166"/>
      </w:r>
      <w:r w:rsidRPr="00403B4F">
        <w:rPr>
          <w:rFonts w:eastAsiaTheme="minorEastAsia"/>
          <w:snapToGrid w:val="0"/>
          <w:kern w:val="22"/>
          <w:lang w:eastAsia="zh-CN"/>
        </w:rPr>
        <w:t xml:space="preserve"> </w:t>
      </w:r>
      <w:r w:rsidRPr="00403B4F">
        <w:rPr>
          <w:rFonts w:eastAsiaTheme="minorEastAsia"/>
          <w:snapToGrid w:val="0"/>
          <w:kern w:val="22"/>
          <w:lang w:eastAsia="zh-CN"/>
        </w:rPr>
        <w:t>在内的国际法办理的事务。</w:t>
      </w:r>
    </w:p>
    <w:p w:rsidR="00772406" w:rsidRPr="00403B4F" w:rsidRDefault="00772406" w:rsidP="00B45229">
      <w:pPr>
        <w:widowControl w:val="0"/>
        <w:numPr>
          <w:ilvl w:val="0"/>
          <w:numId w:val="139"/>
        </w:numPr>
        <w:tabs>
          <w:tab w:val="clear" w:pos="360"/>
        </w:tabs>
        <w:rPr>
          <w:rFonts w:eastAsiaTheme="minorEastAsia"/>
          <w:lang w:eastAsia="zh-CN"/>
        </w:rPr>
      </w:pPr>
      <w:r w:rsidRPr="00403B4F">
        <w:rPr>
          <w:rFonts w:eastAsiaTheme="minorEastAsia"/>
          <w:snapToGrid w:val="0"/>
          <w:kern w:val="22"/>
          <w:lang w:eastAsia="zh-CN"/>
        </w:rPr>
        <w:t>对符合具有重要生态或生物意义的海洋区域标准的海洋区域的描述并不意味着对任何国家、领土、城市或区域或其管辖权或就其边境或边界的划界问题发表任何意见，也不产生任何经济或法律影响；它只是严格一项意义上的科学和技术工作</w:t>
      </w:r>
      <w:r w:rsidRPr="00403B4F">
        <w:rPr>
          <w:rFonts w:eastAsiaTheme="minorEastAsia"/>
          <w:lang w:eastAsia="zh-CN"/>
        </w:rPr>
        <w:t>。</w:t>
      </w:r>
    </w:p>
    <w:p w:rsidR="00772406" w:rsidRPr="00B45229" w:rsidRDefault="00772406" w:rsidP="00B45229">
      <w:pPr>
        <w:ind w:firstLine="0"/>
        <w:rPr>
          <w:rFonts w:ascii="KaiTi" w:eastAsia="KaiTi" w:hAnsi="KaiTi"/>
        </w:rPr>
      </w:pPr>
      <w:r w:rsidRPr="00B45229">
        <w:rPr>
          <w:rFonts w:ascii="KaiTi" w:eastAsia="KaiTi" w:hAnsi="KaiTi"/>
          <w:b/>
          <w:bCs/>
          <w:iCs/>
          <w:szCs w:val="28"/>
        </w:rPr>
        <w:t>表格图例</w:t>
      </w:r>
    </w:p>
    <w:tbl>
      <w:tblPr>
        <w:tblW w:w="0" w:type="auto"/>
        <w:tblInd w:w="534" w:type="dxa"/>
        <w:tblBorders>
          <w:insideH w:val="single" w:sz="4" w:space="0" w:color="auto"/>
          <w:insideV w:val="single" w:sz="4" w:space="0" w:color="auto"/>
        </w:tblBorders>
        <w:tblLook w:val="04A0"/>
      </w:tblPr>
      <w:tblGrid>
        <w:gridCol w:w="3336"/>
        <w:gridCol w:w="5490"/>
      </w:tblGrid>
      <w:tr w:rsidR="00772406" w:rsidRPr="00403B4F" w:rsidTr="00B45229">
        <w:tc>
          <w:tcPr>
            <w:tcW w:w="3336" w:type="dxa"/>
            <w:shd w:val="clear" w:color="auto" w:fill="auto"/>
          </w:tcPr>
          <w:p w:rsidR="00772406" w:rsidRPr="00403B4F" w:rsidRDefault="00772406" w:rsidP="00B45229">
            <w:pPr>
              <w:widowControl w:val="0"/>
              <w:snapToGrid w:val="0"/>
              <w:spacing w:before="0" w:after="0"/>
              <w:ind w:firstLine="0"/>
              <w:rPr>
                <w:rFonts w:eastAsiaTheme="minorEastAsia"/>
                <w:b/>
                <w:lang w:eastAsia="zh-CN"/>
              </w:rPr>
            </w:pPr>
            <w:r w:rsidRPr="00403B4F">
              <w:rPr>
                <w:rFonts w:eastAsiaTheme="minorEastAsia"/>
                <w:b/>
                <w:lang w:eastAsia="zh-CN"/>
              </w:rPr>
              <w:t>具有重要生态或生物意义的海洋区域标准的顺序排列</w:t>
            </w:r>
          </w:p>
          <w:p w:rsidR="00772406" w:rsidRPr="00403B4F" w:rsidRDefault="00772406" w:rsidP="00403B4F">
            <w:pPr>
              <w:widowControl w:val="0"/>
              <w:snapToGrid w:val="0"/>
              <w:spacing w:before="0" w:after="0"/>
              <w:rPr>
                <w:rFonts w:eastAsiaTheme="minorEastAsia"/>
                <w:b/>
                <w:lang w:eastAsia="zh-CN"/>
              </w:rPr>
            </w:pPr>
            <w:r w:rsidRPr="00403B4F">
              <w:rPr>
                <w:rFonts w:eastAsiaTheme="minorEastAsia"/>
                <w:b/>
                <w:lang w:eastAsia="zh-CN"/>
              </w:rPr>
              <w:t>相关性</w:t>
            </w:r>
          </w:p>
          <w:p w:rsidR="00772406" w:rsidRPr="00403B4F" w:rsidRDefault="00772406" w:rsidP="00403B4F">
            <w:pPr>
              <w:widowControl w:val="0"/>
              <w:snapToGrid w:val="0"/>
              <w:spacing w:before="0" w:after="0"/>
              <w:ind w:left="426"/>
              <w:rPr>
                <w:rFonts w:eastAsiaTheme="minorEastAsia"/>
                <w:b/>
                <w:lang w:eastAsia="zh-CN"/>
              </w:rPr>
            </w:pPr>
            <w:r w:rsidRPr="00403B4F">
              <w:rPr>
                <w:rFonts w:eastAsiaTheme="minorEastAsia"/>
                <w:b/>
                <w:lang w:eastAsia="zh-CN"/>
              </w:rPr>
              <w:t>H</w:t>
            </w:r>
            <w:r w:rsidRPr="00403B4F">
              <w:rPr>
                <w:rFonts w:eastAsiaTheme="minorEastAsia"/>
                <w:b/>
                <w:lang w:eastAsia="zh-CN"/>
              </w:rPr>
              <w:t>：高</w:t>
            </w:r>
          </w:p>
          <w:p w:rsidR="00772406" w:rsidRPr="00403B4F" w:rsidRDefault="00772406" w:rsidP="00403B4F">
            <w:pPr>
              <w:widowControl w:val="0"/>
              <w:snapToGrid w:val="0"/>
              <w:spacing w:before="0" w:after="0"/>
              <w:ind w:left="426"/>
              <w:rPr>
                <w:rFonts w:eastAsiaTheme="minorEastAsia"/>
                <w:b/>
                <w:lang w:eastAsia="zh-CN"/>
              </w:rPr>
            </w:pPr>
            <w:r w:rsidRPr="00403B4F">
              <w:rPr>
                <w:rFonts w:eastAsiaTheme="minorEastAsia"/>
                <w:b/>
                <w:lang w:eastAsia="zh-CN"/>
              </w:rPr>
              <w:t>M</w:t>
            </w:r>
            <w:r w:rsidRPr="00403B4F">
              <w:rPr>
                <w:rFonts w:eastAsiaTheme="minorEastAsia"/>
                <w:b/>
                <w:lang w:eastAsia="zh-CN"/>
              </w:rPr>
              <w:t>：中</w:t>
            </w:r>
          </w:p>
          <w:p w:rsidR="00772406" w:rsidRPr="00403B4F" w:rsidRDefault="00772406" w:rsidP="00403B4F">
            <w:pPr>
              <w:widowControl w:val="0"/>
              <w:snapToGrid w:val="0"/>
              <w:spacing w:before="0" w:after="0"/>
              <w:ind w:left="426"/>
              <w:rPr>
                <w:rFonts w:eastAsiaTheme="minorEastAsia"/>
                <w:b/>
                <w:lang w:eastAsia="zh-CN"/>
              </w:rPr>
            </w:pPr>
            <w:r w:rsidRPr="00403B4F">
              <w:rPr>
                <w:rFonts w:eastAsiaTheme="minorEastAsia"/>
                <w:b/>
                <w:lang w:eastAsia="zh-CN"/>
              </w:rPr>
              <w:t>L</w:t>
            </w:r>
            <w:r w:rsidRPr="00403B4F">
              <w:rPr>
                <w:rFonts w:eastAsiaTheme="minorEastAsia"/>
                <w:b/>
                <w:lang w:eastAsia="zh-CN"/>
              </w:rPr>
              <w:t>：低</w:t>
            </w:r>
          </w:p>
          <w:p w:rsidR="00772406" w:rsidRPr="00403B4F" w:rsidRDefault="00772406" w:rsidP="00403B4F">
            <w:pPr>
              <w:widowControl w:val="0"/>
              <w:snapToGrid w:val="0"/>
              <w:spacing w:before="0" w:after="0"/>
              <w:ind w:left="425"/>
              <w:rPr>
                <w:rFonts w:eastAsiaTheme="minorEastAsia"/>
                <w:b/>
                <w:lang w:eastAsia="zh-CN"/>
              </w:rPr>
            </w:pPr>
            <w:r w:rsidRPr="00403B4F">
              <w:rPr>
                <w:rFonts w:eastAsiaTheme="minorEastAsia"/>
                <w:b/>
                <w:lang w:eastAsia="zh-CN"/>
              </w:rPr>
              <w:t>-</w:t>
            </w:r>
            <w:r w:rsidRPr="00403B4F">
              <w:rPr>
                <w:rFonts w:eastAsiaTheme="minorEastAsia"/>
                <w:b/>
                <w:lang w:eastAsia="zh-CN"/>
              </w:rPr>
              <w:t>：无信息</w:t>
            </w:r>
          </w:p>
          <w:p w:rsidR="00772406" w:rsidRPr="00403B4F" w:rsidRDefault="00772406" w:rsidP="00403B4F">
            <w:pPr>
              <w:widowControl w:val="0"/>
              <w:suppressAutoHyphens/>
              <w:snapToGrid w:val="0"/>
              <w:spacing w:before="0" w:after="0"/>
              <w:ind w:left="360"/>
              <w:rPr>
                <w:rFonts w:eastAsiaTheme="minorEastAsia"/>
                <w:lang w:eastAsia="zh-CN"/>
              </w:rPr>
            </w:pPr>
          </w:p>
        </w:tc>
        <w:tc>
          <w:tcPr>
            <w:tcW w:w="5490" w:type="dxa"/>
          </w:tcPr>
          <w:p w:rsidR="00772406" w:rsidRPr="00403B4F" w:rsidRDefault="00772406" w:rsidP="00B45229">
            <w:pPr>
              <w:widowControl w:val="0"/>
              <w:snapToGrid w:val="0"/>
              <w:spacing w:before="0" w:after="0"/>
              <w:ind w:firstLine="0"/>
              <w:rPr>
                <w:rFonts w:eastAsiaTheme="minorEastAsia"/>
                <w:b/>
              </w:rPr>
            </w:pPr>
            <w:r w:rsidRPr="00403B4F">
              <w:rPr>
                <w:rFonts w:eastAsiaTheme="minorEastAsia"/>
                <w:b/>
              </w:rPr>
              <w:t>标准</w:t>
            </w:r>
          </w:p>
          <w:p w:rsidR="00772406" w:rsidRPr="00403B4F" w:rsidRDefault="00772406" w:rsidP="001A42F8">
            <w:pPr>
              <w:widowControl w:val="0"/>
              <w:numPr>
                <w:ilvl w:val="0"/>
                <w:numId w:val="127"/>
              </w:numPr>
              <w:suppressAutoHyphens/>
              <w:snapToGrid w:val="0"/>
              <w:spacing w:before="0" w:after="0"/>
              <w:rPr>
                <w:rFonts w:eastAsiaTheme="minorEastAsia"/>
                <w:bCs/>
                <w:color w:val="000000"/>
              </w:rPr>
            </w:pPr>
            <w:r w:rsidRPr="00403B4F">
              <w:rPr>
                <w:rFonts w:eastAsiaTheme="minorEastAsia"/>
                <w:b/>
                <w:color w:val="000000"/>
              </w:rPr>
              <w:t>C1</w:t>
            </w:r>
            <w:r w:rsidRPr="00403B4F">
              <w:rPr>
                <w:rFonts w:eastAsiaTheme="minorEastAsia"/>
                <w:bCs/>
                <w:color w:val="000000"/>
              </w:rPr>
              <w:t>：独特性或稀有性</w:t>
            </w:r>
          </w:p>
          <w:p w:rsidR="00772406" w:rsidRPr="00403B4F" w:rsidRDefault="00772406" w:rsidP="001A42F8">
            <w:pPr>
              <w:widowControl w:val="0"/>
              <w:numPr>
                <w:ilvl w:val="0"/>
                <w:numId w:val="127"/>
              </w:numPr>
              <w:suppressAutoHyphens/>
              <w:snapToGrid w:val="0"/>
              <w:spacing w:before="0" w:after="0"/>
              <w:rPr>
                <w:rFonts w:eastAsiaTheme="minorEastAsia"/>
                <w:bCs/>
                <w:color w:val="000000"/>
                <w:lang w:eastAsia="zh-CN"/>
              </w:rPr>
            </w:pPr>
            <w:r w:rsidRPr="00403B4F">
              <w:rPr>
                <w:rFonts w:eastAsiaTheme="minorEastAsia"/>
                <w:b/>
                <w:bCs/>
                <w:color w:val="000000"/>
                <w:lang w:eastAsia="zh-CN"/>
              </w:rPr>
              <w:t>C2</w:t>
            </w:r>
            <w:r w:rsidRPr="00403B4F">
              <w:rPr>
                <w:rFonts w:eastAsiaTheme="minorEastAsia"/>
                <w:bCs/>
                <w:color w:val="000000"/>
                <w:lang w:eastAsia="zh-CN"/>
              </w:rPr>
              <w:t>：对物种各生活史阶段的特殊重要性</w:t>
            </w:r>
          </w:p>
          <w:p w:rsidR="00772406" w:rsidRPr="00403B4F" w:rsidRDefault="00772406" w:rsidP="001A42F8">
            <w:pPr>
              <w:widowControl w:val="0"/>
              <w:numPr>
                <w:ilvl w:val="0"/>
                <w:numId w:val="127"/>
              </w:numPr>
              <w:suppressAutoHyphens/>
              <w:snapToGrid w:val="0"/>
              <w:spacing w:before="0" w:after="0"/>
              <w:rPr>
                <w:rFonts w:eastAsiaTheme="minorEastAsia"/>
                <w:bCs/>
                <w:color w:val="000000"/>
                <w:lang w:eastAsia="zh-CN"/>
              </w:rPr>
            </w:pPr>
            <w:r w:rsidRPr="00403B4F">
              <w:rPr>
                <w:rFonts w:eastAsiaTheme="minorEastAsia"/>
                <w:b/>
                <w:bCs/>
                <w:color w:val="000000"/>
                <w:spacing w:val="-2"/>
                <w:lang w:eastAsia="zh-CN"/>
              </w:rPr>
              <w:t>C3</w:t>
            </w:r>
            <w:r w:rsidRPr="00403B4F">
              <w:rPr>
                <w:rFonts w:eastAsiaTheme="minorEastAsia"/>
                <w:bCs/>
                <w:color w:val="000000"/>
                <w:spacing w:val="-2"/>
                <w:lang w:eastAsia="zh-CN"/>
              </w:rPr>
              <w:t>：对受威胁、濒危或数量不断下降的物种和（或）</w:t>
            </w:r>
            <w:r w:rsidRPr="00403B4F">
              <w:rPr>
                <w:rFonts w:eastAsiaTheme="minorEastAsia"/>
                <w:bCs/>
                <w:color w:val="000000"/>
                <w:lang w:eastAsia="zh-CN"/>
              </w:rPr>
              <w:t>生境的重要性</w:t>
            </w:r>
          </w:p>
          <w:p w:rsidR="00772406" w:rsidRPr="00403B4F" w:rsidRDefault="00772406" w:rsidP="001A42F8">
            <w:pPr>
              <w:widowControl w:val="0"/>
              <w:numPr>
                <w:ilvl w:val="0"/>
                <w:numId w:val="127"/>
              </w:numPr>
              <w:suppressAutoHyphens/>
              <w:snapToGrid w:val="0"/>
              <w:spacing w:before="0" w:after="0"/>
              <w:rPr>
                <w:rFonts w:eastAsiaTheme="minorEastAsia"/>
                <w:bCs/>
                <w:color w:val="000000"/>
                <w:lang w:eastAsia="zh-CN"/>
              </w:rPr>
            </w:pPr>
            <w:r w:rsidRPr="00403B4F">
              <w:rPr>
                <w:rFonts w:eastAsiaTheme="minorEastAsia"/>
                <w:b/>
                <w:color w:val="000000"/>
                <w:lang w:eastAsia="zh-CN"/>
              </w:rPr>
              <w:t>C4</w:t>
            </w:r>
            <w:r w:rsidRPr="00403B4F">
              <w:rPr>
                <w:rFonts w:eastAsiaTheme="minorEastAsia"/>
                <w:bCs/>
                <w:color w:val="000000"/>
                <w:lang w:eastAsia="zh-CN"/>
              </w:rPr>
              <w:t>：脆弱性、易碎性、敏感性或恢复速度缓慢</w:t>
            </w:r>
          </w:p>
          <w:p w:rsidR="00772406" w:rsidRPr="00403B4F" w:rsidRDefault="00772406" w:rsidP="001A42F8">
            <w:pPr>
              <w:widowControl w:val="0"/>
              <w:numPr>
                <w:ilvl w:val="0"/>
                <w:numId w:val="127"/>
              </w:numPr>
              <w:suppressAutoHyphens/>
              <w:snapToGrid w:val="0"/>
              <w:spacing w:before="0" w:after="0"/>
              <w:rPr>
                <w:rFonts w:eastAsiaTheme="minorEastAsia"/>
                <w:bCs/>
                <w:color w:val="000000"/>
              </w:rPr>
            </w:pPr>
            <w:r w:rsidRPr="00403B4F">
              <w:rPr>
                <w:rFonts w:eastAsiaTheme="minorEastAsia"/>
                <w:b/>
                <w:color w:val="000000"/>
              </w:rPr>
              <w:t>C5</w:t>
            </w:r>
            <w:r w:rsidRPr="00403B4F">
              <w:rPr>
                <w:rFonts w:eastAsiaTheme="minorEastAsia"/>
                <w:bCs/>
                <w:color w:val="000000"/>
              </w:rPr>
              <w:t>：生物生产力</w:t>
            </w:r>
          </w:p>
          <w:p w:rsidR="00772406" w:rsidRPr="00403B4F" w:rsidRDefault="00772406" w:rsidP="001A42F8">
            <w:pPr>
              <w:widowControl w:val="0"/>
              <w:numPr>
                <w:ilvl w:val="0"/>
                <w:numId w:val="127"/>
              </w:numPr>
              <w:suppressAutoHyphens/>
              <w:snapToGrid w:val="0"/>
              <w:spacing w:before="0" w:after="0"/>
              <w:rPr>
                <w:rFonts w:eastAsiaTheme="minorEastAsia"/>
                <w:bCs/>
                <w:color w:val="000000"/>
              </w:rPr>
            </w:pPr>
            <w:r w:rsidRPr="00403B4F">
              <w:rPr>
                <w:rFonts w:eastAsiaTheme="minorEastAsia"/>
                <w:b/>
                <w:color w:val="000000"/>
              </w:rPr>
              <w:t>C6</w:t>
            </w:r>
            <w:r w:rsidRPr="00403B4F">
              <w:rPr>
                <w:rFonts w:eastAsiaTheme="minorEastAsia"/>
                <w:bCs/>
                <w:color w:val="000000"/>
              </w:rPr>
              <w:t>：生物多样性</w:t>
            </w:r>
          </w:p>
          <w:p w:rsidR="00772406" w:rsidRPr="00403B4F" w:rsidRDefault="00772406" w:rsidP="001A42F8">
            <w:pPr>
              <w:widowControl w:val="0"/>
              <w:numPr>
                <w:ilvl w:val="0"/>
                <w:numId w:val="127"/>
              </w:numPr>
              <w:suppressAutoHyphens/>
              <w:snapToGrid w:val="0"/>
              <w:spacing w:before="0" w:after="0"/>
              <w:rPr>
                <w:rFonts w:eastAsiaTheme="minorEastAsia"/>
              </w:rPr>
            </w:pPr>
            <w:r w:rsidRPr="00403B4F">
              <w:rPr>
                <w:rFonts w:eastAsiaTheme="minorEastAsia"/>
                <w:b/>
                <w:color w:val="000000"/>
              </w:rPr>
              <w:t>C7</w:t>
            </w:r>
            <w:r w:rsidRPr="00403B4F">
              <w:rPr>
                <w:rFonts w:eastAsiaTheme="minorEastAsia"/>
                <w:color w:val="000000"/>
              </w:rPr>
              <w:t>：自然性</w:t>
            </w:r>
          </w:p>
        </w:tc>
      </w:tr>
    </w:tbl>
    <w:p w:rsidR="00772406" w:rsidRPr="0068790E" w:rsidRDefault="00772406" w:rsidP="00403B4F">
      <w:pPr>
        <w:pStyle w:val="Heading2"/>
        <w:suppressLineNumbers/>
        <w:tabs>
          <w:tab w:val="left" w:pos="5865"/>
        </w:tabs>
        <w:suppressAutoHyphens/>
        <w:kinsoku w:val="0"/>
        <w:overflowPunct w:val="0"/>
        <w:autoSpaceDE w:val="0"/>
        <w:autoSpaceDN w:val="0"/>
        <w:jc w:val="left"/>
        <w:rPr>
          <w:i/>
          <w:iCs w:val="0"/>
          <w:snapToGrid w:val="0"/>
          <w:kern w:val="22"/>
          <w:sz w:val="24"/>
        </w:rPr>
        <w:sectPr w:rsidR="00772406" w:rsidRPr="0068790E" w:rsidSect="00772406">
          <w:headerReference w:type="even" r:id="rId67"/>
          <w:headerReference w:type="default" r:id="rId68"/>
          <w:footerReference w:type="even" r:id="rId69"/>
          <w:type w:val="continuous"/>
          <w:pgSz w:w="12240" w:h="15840" w:code="1"/>
          <w:pgMar w:top="1021" w:right="1440" w:bottom="1134" w:left="1440" w:header="720" w:footer="720" w:gutter="0"/>
          <w:cols w:space="720"/>
        </w:sectPr>
      </w:pPr>
    </w:p>
    <w:p w:rsidR="00772406" w:rsidRPr="00403B4F" w:rsidRDefault="00772406" w:rsidP="00C7353E">
      <w:pPr>
        <w:widowControl w:val="0"/>
        <w:tabs>
          <w:tab w:val="center" w:pos="4320"/>
          <w:tab w:val="right" w:pos="8640"/>
        </w:tabs>
        <w:overflowPunct w:val="0"/>
        <w:autoSpaceDE w:val="0"/>
        <w:autoSpaceDN w:val="0"/>
        <w:adjustRightInd w:val="0"/>
        <w:spacing w:line="240" w:lineRule="atLeast"/>
        <w:ind w:firstLine="0"/>
        <w:textAlignment w:val="baseline"/>
        <w:outlineLvl w:val="3"/>
        <w:rPr>
          <w:rFonts w:eastAsiaTheme="minorEastAsia"/>
          <w:b/>
          <w:szCs w:val="20"/>
          <w:lang w:eastAsia="zh-CN"/>
        </w:rPr>
      </w:pPr>
      <w:r w:rsidRPr="00403B4F">
        <w:rPr>
          <w:rFonts w:eastAsiaTheme="minorEastAsia"/>
          <w:b/>
          <w:szCs w:val="20"/>
          <w:lang w:eastAsia="zh-CN"/>
        </w:rPr>
        <w:lastRenderedPageBreak/>
        <w:t>表</w:t>
      </w:r>
      <w:r w:rsidRPr="00403B4F">
        <w:rPr>
          <w:rFonts w:eastAsiaTheme="minorEastAsia"/>
          <w:b/>
          <w:szCs w:val="20"/>
          <w:lang w:eastAsia="zh-CN"/>
        </w:rPr>
        <w:t xml:space="preserve">1. </w:t>
      </w:r>
      <w:r w:rsidR="00C7353E">
        <w:rPr>
          <w:rFonts w:eastAsiaTheme="minorEastAsia"/>
          <w:b/>
          <w:szCs w:val="20"/>
          <w:lang w:eastAsia="zh-CN"/>
        </w:rPr>
        <w:t xml:space="preserve"> </w:t>
      </w:r>
      <w:r w:rsidRPr="00403B4F">
        <w:rPr>
          <w:rFonts w:eastAsiaTheme="minorEastAsia"/>
          <w:b/>
          <w:szCs w:val="20"/>
          <w:lang w:eastAsia="zh-CN"/>
        </w:rPr>
        <w:t>对黑海和里海符合具有重要生态或生物意义的海洋区域标准的区域的描述</w:t>
      </w:r>
    </w:p>
    <w:p w:rsidR="00772406" w:rsidRPr="00C7353E" w:rsidRDefault="00772406" w:rsidP="00C7353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6" w:firstLine="0"/>
        <w:rPr>
          <w:rFonts w:ascii="KaiTi" w:eastAsia="KaiTi" w:hAnsi="KaiTi"/>
          <w:lang w:eastAsia="zh-CN"/>
        </w:rPr>
      </w:pPr>
      <w:r w:rsidRPr="00C7353E">
        <w:rPr>
          <w:rFonts w:ascii="KaiTi" w:eastAsia="KaiTi" w:hAnsi="KaiTi"/>
          <w:lang w:eastAsia="zh-CN"/>
        </w:rPr>
        <w:t>（详细资料载于促进描述黑海和里海具有重要生态或生物意义的海洋区域的区域讲习班报告（</w:t>
      </w:r>
      <w:r w:rsidRPr="00C7353E">
        <w:rPr>
          <w:rFonts w:ascii="KaiTi" w:eastAsia="KaiTi" w:hAnsi="KaiTi"/>
          <w:kern w:val="22"/>
          <w:lang w:eastAsia="zh-CN"/>
        </w:rPr>
        <w:t>CBD/EBSA/WS/2017/1/3）</w:t>
      </w:r>
      <w:r w:rsidRPr="00C7353E">
        <w:rPr>
          <w:rFonts w:ascii="KaiTi" w:eastAsia="KaiTi" w:hAnsi="KaiTi"/>
          <w:lang w:eastAsia="zh-CN"/>
        </w:rPr>
        <w:t>附件五的附录）</w:t>
      </w:r>
    </w:p>
    <w:tbl>
      <w:tblPr>
        <w:tblW w:w="132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687"/>
        <w:gridCol w:w="506"/>
        <w:gridCol w:w="506"/>
        <w:gridCol w:w="506"/>
        <w:gridCol w:w="506"/>
        <w:gridCol w:w="506"/>
        <w:gridCol w:w="506"/>
        <w:gridCol w:w="507"/>
      </w:tblGrid>
      <w:tr w:rsidR="00772406" w:rsidRPr="00403B4F" w:rsidTr="00772406">
        <w:trPr>
          <w:trHeight w:val="264"/>
          <w:tblHeader/>
        </w:trPr>
        <w:tc>
          <w:tcPr>
            <w:tcW w:w="9687" w:type="dxa"/>
            <w:vMerge w:val="restart"/>
            <w:shd w:val="clear" w:color="auto" w:fill="auto"/>
          </w:tcPr>
          <w:p w:rsidR="00772406" w:rsidRPr="00403B4F" w:rsidRDefault="00772406" w:rsidP="00403B4F">
            <w:pPr>
              <w:snapToGrid w:val="0"/>
              <w:spacing w:before="0" w:after="0"/>
              <w:jc w:val="center"/>
              <w:rPr>
                <w:rFonts w:eastAsiaTheme="minorEastAsia"/>
              </w:rPr>
            </w:pPr>
            <w:r w:rsidRPr="00403B4F">
              <w:rPr>
                <w:rFonts w:eastAsiaTheme="minorEastAsia"/>
              </w:rPr>
              <w:t>区域位置及简要描述</w:t>
            </w:r>
          </w:p>
          <w:p w:rsidR="00772406" w:rsidRPr="00403B4F" w:rsidRDefault="00772406" w:rsidP="00403B4F">
            <w:pPr>
              <w:snapToGrid w:val="0"/>
              <w:spacing w:before="0" w:after="0"/>
              <w:jc w:val="center"/>
              <w:rPr>
                <w:rFonts w:eastAsiaTheme="minorEastAsia"/>
                <w:b/>
              </w:rPr>
            </w:pPr>
          </w:p>
        </w:tc>
        <w:tc>
          <w:tcPr>
            <w:tcW w:w="506" w:type="dxa"/>
          </w:tcPr>
          <w:p w:rsidR="00772406" w:rsidRPr="00403B4F" w:rsidRDefault="00772406" w:rsidP="00403B4F">
            <w:pPr>
              <w:snapToGrid w:val="0"/>
              <w:spacing w:before="0" w:after="0"/>
              <w:jc w:val="center"/>
              <w:rPr>
                <w:rFonts w:eastAsiaTheme="minorEastAsia"/>
                <w:b/>
              </w:rPr>
            </w:pPr>
            <w:r w:rsidRPr="00403B4F">
              <w:rPr>
                <w:rFonts w:eastAsiaTheme="minorEastAsia"/>
                <w:b/>
              </w:rPr>
              <w:t>C1</w:t>
            </w:r>
          </w:p>
        </w:tc>
        <w:tc>
          <w:tcPr>
            <w:tcW w:w="506" w:type="dxa"/>
          </w:tcPr>
          <w:p w:rsidR="00772406" w:rsidRPr="00403B4F" w:rsidRDefault="00772406" w:rsidP="00403B4F">
            <w:pPr>
              <w:snapToGrid w:val="0"/>
              <w:spacing w:before="0" w:after="0"/>
              <w:jc w:val="center"/>
              <w:rPr>
                <w:rFonts w:eastAsiaTheme="minorEastAsia"/>
                <w:b/>
              </w:rPr>
            </w:pPr>
            <w:r w:rsidRPr="00403B4F">
              <w:rPr>
                <w:rFonts w:eastAsiaTheme="minorEastAsia"/>
                <w:b/>
              </w:rPr>
              <w:t>C2</w:t>
            </w:r>
          </w:p>
        </w:tc>
        <w:tc>
          <w:tcPr>
            <w:tcW w:w="506" w:type="dxa"/>
          </w:tcPr>
          <w:p w:rsidR="00772406" w:rsidRPr="00403B4F" w:rsidRDefault="00772406" w:rsidP="00403B4F">
            <w:pPr>
              <w:snapToGrid w:val="0"/>
              <w:spacing w:before="0" w:after="0"/>
              <w:jc w:val="center"/>
              <w:rPr>
                <w:rFonts w:eastAsiaTheme="minorEastAsia"/>
                <w:b/>
              </w:rPr>
            </w:pPr>
            <w:r w:rsidRPr="00403B4F">
              <w:rPr>
                <w:rFonts w:eastAsiaTheme="minorEastAsia"/>
                <w:b/>
              </w:rPr>
              <w:t>C3</w:t>
            </w:r>
          </w:p>
        </w:tc>
        <w:tc>
          <w:tcPr>
            <w:tcW w:w="506" w:type="dxa"/>
          </w:tcPr>
          <w:p w:rsidR="00772406" w:rsidRPr="00403B4F" w:rsidRDefault="00772406" w:rsidP="00403B4F">
            <w:pPr>
              <w:snapToGrid w:val="0"/>
              <w:spacing w:before="0" w:after="0"/>
              <w:jc w:val="center"/>
              <w:rPr>
                <w:rFonts w:eastAsiaTheme="minorEastAsia"/>
                <w:b/>
              </w:rPr>
            </w:pPr>
            <w:r w:rsidRPr="00403B4F">
              <w:rPr>
                <w:rFonts w:eastAsiaTheme="minorEastAsia"/>
                <w:b/>
              </w:rPr>
              <w:t>C4</w:t>
            </w:r>
          </w:p>
        </w:tc>
        <w:tc>
          <w:tcPr>
            <w:tcW w:w="506" w:type="dxa"/>
          </w:tcPr>
          <w:p w:rsidR="00772406" w:rsidRPr="00403B4F" w:rsidRDefault="00772406" w:rsidP="00403B4F">
            <w:pPr>
              <w:snapToGrid w:val="0"/>
              <w:spacing w:before="0" w:after="0"/>
              <w:jc w:val="center"/>
              <w:rPr>
                <w:rFonts w:eastAsiaTheme="minorEastAsia"/>
                <w:b/>
              </w:rPr>
            </w:pPr>
            <w:r w:rsidRPr="00403B4F">
              <w:rPr>
                <w:rFonts w:eastAsiaTheme="minorEastAsia"/>
                <w:b/>
              </w:rPr>
              <w:t>C5</w:t>
            </w:r>
          </w:p>
        </w:tc>
        <w:tc>
          <w:tcPr>
            <w:tcW w:w="506" w:type="dxa"/>
          </w:tcPr>
          <w:p w:rsidR="00772406" w:rsidRPr="00403B4F" w:rsidRDefault="00772406" w:rsidP="00403B4F">
            <w:pPr>
              <w:snapToGrid w:val="0"/>
              <w:spacing w:before="0" w:after="0"/>
              <w:jc w:val="center"/>
              <w:rPr>
                <w:rFonts w:eastAsiaTheme="minorEastAsia"/>
                <w:b/>
              </w:rPr>
            </w:pPr>
            <w:r w:rsidRPr="00403B4F">
              <w:rPr>
                <w:rFonts w:eastAsiaTheme="minorEastAsia"/>
                <w:b/>
              </w:rPr>
              <w:t>C6</w:t>
            </w:r>
          </w:p>
        </w:tc>
        <w:tc>
          <w:tcPr>
            <w:tcW w:w="507" w:type="dxa"/>
          </w:tcPr>
          <w:p w:rsidR="00772406" w:rsidRPr="00403B4F" w:rsidRDefault="00772406" w:rsidP="00403B4F">
            <w:pPr>
              <w:snapToGrid w:val="0"/>
              <w:spacing w:before="0" w:after="0"/>
              <w:jc w:val="center"/>
              <w:rPr>
                <w:rFonts w:eastAsiaTheme="minorEastAsia"/>
                <w:b/>
              </w:rPr>
            </w:pPr>
            <w:r w:rsidRPr="00403B4F">
              <w:rPr>
                <w:rFonts w:eastAsiaTheme="minorEastAsia"/>
                <w:b/>
              </w:rPr>
              <w:t>C7</w:t>
            </w:r>
          </w:p>
        </w:tc>
      </w:tr>
      <w:tr w:rsidR="00772406" w:rsidRPr="00403B4F" w:rsidTr="00772406">
        <w:trPr>
          <w:trHeight w:val="264"/>
          <w:tblHeader/>
        </w:trPr>
        <w:tc>
          <w:tcPr>
            <w:tcW w:w="9687" w:type="dxa"/>
            <w:vMerge/>
            <w:shd w:val="clear" w:color="auto" w:fill="auto"/>
          </w:tcPr>
          <w:p w:rsidR="00772406" w:rsidRPr="00403B4F" w:rsidRDefault="00772406" w:rsidP="00403B4F">
            <w:pPr>
              <w:snapToGrid w:val="0"/>
              <w:spacing w:before="0" w:after="0"/>
              <w:jc w:val="center"/>
              <w:rPr>
                <w:rFonts w:eastAsiaTheme="minorEastAsia"/>
                <w:b/>
              </w:rPr>
            </w:pPr>
          </w:p>
        </w:tc>
        <w:tc>
          <w:tcPr>
            <w:tcW w:w="3543" w:type="dxa"/>
            <w:gridSpan w:val="7"/>
          </w:tcPr>
          <w:p w:rsidR="00772406" w:rsidRPr="00403B4F" w:rsidRDefault="00772406" w:rsidP="00403B4F">
            <w:pPr>
              <w:snapToGrid w:val="0"/>
              <w:spacing w:before="0" w:after="0"/>
              <w:jc w:val="center"/>
              <w:rPr>
                <w:rFonts w:eastAsiaTheme="minorEastAsia"/>
                <w:b/>
              </w:rPr>
            </w:pPr>
            <w:r w:rsidRPr="00403B4F">
              <w:rPr>
                <w:rFonts w:eastAsiaTheme="minorEastAsia"/>
                <w:sz w:val="20"/>
              </w:rPr>
              <w:t>见上文表格图例</w:t>
            </w:r>
          </w:p>
        </w:tc>
      </w:tr>
      <w:tr w:rsidR="00772406" w:rsidRPr="00403B4F" w:rsidTr="00772406">
        <w:tc>
          <w:tcPr>
            <w:tcW w:w="13230" w:type="dxa"/>
            <w:gridSpan w:val="8"/>
            <w:shd w:val="clear" w:color="auto" w:fill="D9D9D9" w:themeFill="background1" w:themeFillShade="D9"/>
          </w:tcPr>
          <w:p w:rsidR="00772406" w:rsidRPr="00403B4F" w:rsidRDefault="00772406" w:rsidP="00403B4F">
            <w:pPr>
              <w:snapToGrid w:val="0"/>
              <w:spacing w:before="0" w:after="0"/>
              <w:jc w:val="center"/>
              <w:rPr>
                <w:rFonts w:eastAsiaTheme="minorEastAsia"/>
                <w:b/>
              </w:rPr>
            </w:pPr>
            <w:r w:rsidRPr="00403B4F">
              <w:rPr>
                <w:rFonts w:eastAsiaTheme="minorEastAsia"/>
                <w:b/>
              </w:rPr>
              <w:t>黑海</w:t>
            </w:r>
          </w:p>
        </w:tc>
      </w:tr>
      <w:tr w:rsidR="00772406" w:rsidRPr="00403B4F" w:rsidTr="00772406">
        <w:tc>
          <w:tcPr>
            <w:tcW w:w="9687" w:type="dxa"/>
            <w:shd w:val="clear" w:color="auto" w:fill="auto"/>
          </w:tcPr>
          <w:p w:rsidR="00772406" w:rsidRPr="00403B4F" w:rsidRDefault="00772406" w:rsidP="001A42F8">
            <w:pPr>
              <w:pStyle w:val="HTMLPreformatted"/>
              <w:numPr>
                <w:ilvl w:val="0"/>
                <w:numId w:val="144"/>
              </w:numPr>
              <w:spacing w:before="0" w:after="0"/>
              <w:rPr>
                <w:rFonts w:ascii="Times New Roman" w:eastAsiaTheme="minorEastAsia" w:hAnsi="Times New Roman"/>
                <w:b/>
              </w:rPr>
            </w:pPr>
            <w:r w:rsidRPr="00403B4F">
              <w:rPr>
                <w:rFonts w:ascii="Times New Roman" w:eastAsiaTheme="minorEastAsia" w:hAnsi="Times New Roman"/>
                <w:b/>
              </w:rPr>
              <w:t>罗波塔莫河</w:t>
            </w:r>
          </w:p>
          <w:p w:rsidR="00772406" w:rsidRPr="00403B4F" w:rsidRDefault="00772406" w:rsidP="001A42F8">
            <w:pPr>
              <w:pStyle w:val="HTMLPreformatted"/>
              <w:numPr>
                <w:ilvl w:val="0"/>
                <w:numId w:val="1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after="0"/>
              <w:ind w:left="490" w:hanging="490"/>
              <w:rPr>
                <w:rFonts w:ascii="Times New Roman" w:eastAsiaTheme="minorEastAsia" w:hAnsi="Times New Roman"/>
                <w:lang w:eastAsia="zh-CN"/>
              </w:rPr>
            </w:pPr>
            <w:r w:rsidRPr="00403B4F">
              <w:rPr>
                <w:rFonts w:ascii="Times New Roman" w:eastAsiaTheme="minorEastAsia" w:hAnsi="Times New Roman"/>
                <w:lang w:eastAsia="zh-CN"/>
              </w:rPr>
              <w:t>位置：罗波塔莫河位于北纬</w:t>
            </w:r>
            <w:r w:rsidRPr="00403B4F">
              <w:rPr>
                <w:rFonts w:ascii="Times New Roman" w:eastAsiaTheme="minorEastAsia" w:hAnsi="Times New Roman"/>
                <w:lang w:eastAsia="zh-CN"/>
              </w:rPr>
              <w:t>42.3019º</w:t>
            </w:r>
            <w:r w:rsidRPr="00403B4F">
              <w:rPr>
                <w:rFonts w:ascii="Times New Roman" w:eastAsiaTheme="minorEastAsia" w:hAnsi="Times New Roman"/>
                <w:lang w:eastAsia="zh-CN"/>
              </w:rPr>
              <w:t>，东经</w:t>
            </w:r>
            <w:r w:rsidRPr="00403B4F">
              <w:rPr>
                <w:rFonts w:ascii="Times New Roman" w:eastAsiaTheme="minorEastAsia" w:hAnsi="Times New Roman"/>
                <w:lang w:eastAsia="zh-CN"/>
              </w:rPr>
              <w:t>27.9343º</w:t>
            </w:r>
            <w:r w:rsidRPr="00403B4F">
              <w:rPr>
                <w:rFonts w:ascii="Times New Roman" w:eastAsiaTheme="minorEastAsia" w:hAnsi="Times New Roman"/>
                <w:lang w:eastAsia="zh-CN"/>
              </w:rPr>
              <w:t>。涵盖面积</w:t>
            </w:r>
            <w:r w:rsidRPr="00403B4F">
              <w:rPr>
                <w:rFonts w:ascii="Times New Roman" w:eastAsiaTheme="minorEastAsia" w:hAnsi="Times New Roman"/>
                <w:lang w:eastAsia="zh-CN"/>
              </w:rPr>
              <w:t>981</w:t>
            </w:r>
            <w:r w:rsidRPr="00403B4F">
              <w:rPr>
                <w:rFonts w:ascii="Times New Roman" w:eastAsiaTheme="minorEastAsia" w:hAnsi="Times New Roman"/>
                <w:lang w:eastAsia="zh-CN"/>
              </w:rPr>
              <w:t>平方公里，其中</w:t>
            </w:r>
            <w:r w:rsidRPr="00403B4F">
              <w:rPr>
                <w:rFonts w:ascii="Times New Roman" w:eastAsiaTheme="minorEastAsia" w:hAnsi="Times New Roman"/>
                <w:lang w:eastAsia="zh-CN"/>
              </w:rPr>
              <w:t>89.9</w:t>
            </w:r>
            <w:r w:rsidRPr="00403B4F">
              <w:rPr>
                <w:rFonts w:ascii="Times New Roman" w:eastAsiaTheme="minorEastAsia" w:hAnsi="Times New Roman"/>
                <w:lang w:eastAsia="zh-CN"/>
              </w:rPr>
              <w:t>％是海区（</w:t>
            </w:r>
            <w:r w:rsidRPr="00403B4F">
              <w:rPr>
                <w:rFonts w:ascii="Times New Roman" w:eastAsiaTheme="minorEastAsia" w:hAnsi="Times New Roman"/>
                <w:lang w:eastAsia="zh-CN"/>
              </w:rPr>
              <w:t>881.91</w:t>
            </w:r>
            <w:r w:rsidRPr="00403B4F">
              <w:rPr>
                <w:rFonts w:ascii="Times New Roman" w:eastAsiaTheme="minorEastAsia" w:hAnsi="Times New Roman"/>
                <w:lang w:eastAsia="zh-CN"/>
              </w:rPr>
              <w:t>平方公里）。</w:t>
            </w:r>
          </w:p>
          <w:p w:rsidR="00772406" w:rsidRPr="00403B4F" w:rsidRDefault="00772406" w:rsidP="001A42F8">
            <w:pPr>
              <w:pStyle w:val="HTMLPreformatted"/>
              <w:numPr>
                <w:ilvl w:val="0"/>
                <w:numId w:val="1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after="0"/>
              <w:ind w:left="490" w:hanging="490"/>
              <w:rPr>
                <w:rFonts w:ascii="Times New Roman" w:eastAsiaTheme="minorEastAsia" w:hAnsi="Times New Roman"/>
                <w:color w:val="000000" w:themeColor="text1"/>
                <w:lang w:eastAsia="zh-CN"/>
              </w:rPr>
            </w:pPr>
            <w:r w:rsidRPr="00403B4F">
              <w:rPr>
                <w:rFonts w:ascii="Times New Roman" w:eastAsiaTheme="minorEastAsia" w:hAnsi="Times New Roman"/>
                <w:color w:val="000000" w:themeColor="text1"/>
                <w:lang w:eastAsia="zh-CN"/>
              </w:rPr>
              <w:t>该区包括沿黑海保加利亚海岸的沿海和海洋区。陆地部分包括拉姆萨尔公约国际重要湿地、欧盟委员会环境信息协调方案</w:t>
            </w:r>
            <w:r w:rsidRPr="00403B4F">
              <w:rPr>
                <w:rStyle w:val="ng-binding"/>
                <w:rFonts w:ascii="Times New Roman" w:eastAsiaTheme="minorEastAsia" w:hAnsi="Times New Roman"/>
                <w:color w:val="000000" w:themeColor="text1"/>
                <w:lang w:eastAsia="zh-CN"/>
              </w:rPr>
              <w:t>群落生境</w:t>
            </w:r>
            <w:r w:rsidRPr="00403B4F">
              <w:rPr>
                <w:rFonts w:ascii="Times New Roman" w:eastAsiaTheme="minorEastAsia" w:hAnsi="Times New Roman"/>
                <w:color w:val="000000" w:themeColor="text1"/>
                <w:lang w:eastAsia="zh-CN"/>
              </w:rPr>
              <w:t>和国家保护区。海域面积超过</w:t>
            </w:r>
            <w:r w:rsidRPr="00403B4F">
              <w:rPr>
                <w:rFonts w:ascii="Times New Roman" w:eastAsiaTheme="minorEastAsia" w:hAnsi="Times New Roman"/>
                <w:color w:val="000000" w:themeColor="text1"/>
                <w:lang w:eastAsia="zh-CN"/>
              </w:rPr>
              <w:t>881.91</w:t>
            </w:r>
            <w:r w:rsidRPr="00403B4F">
              <w:rPr>
                <w:rFonts w:ascii="Times New Roman" w:eastAsiaTheme="minorEastAsia" w:hAnsi="Times New Roman"/>
                <w:color w:val="000000" w:themeColor="text1"/>
                <w:lang w:eastAsia="zh-CN"/>
              </w:rPr>
              <w:t>平方公里（占总面积的</w:t>
            </w:r>
            <w:r w:rsidRPr="00403B4F">
              <w:rPr>
                <w:rFonts w:ascii="Times New Roman" w:eastAsiaTheme="minorEastAsia" w:hAnsi="Times New Roman"/>
                <w:color w:val="000000" w:themeColor="text1"/>
                <w:lang w:eastAsia="zh-CN"/>
              </w:rPr>
              <w:t>89.9</w:t>
            </w:r>
            <w:r w:rsidRPr="00403B4F">
              <w:rPr>
                <w:rFonts w:ascii="Times New Roman" w:eastAsiaTheme="minorEastAsia" w:hAnsi="Times New Roman"/>
                <w:color w:val="000000" w:themeColor="text1"/>
                <w:lang w:eastAsia="zh-CN"/>
              </w:rPr>
              <w:t>％）。该区包括各种具有高度保护重要性的栖息地，特征是生物多样性高，生态状况良好，跨度广泛</w:t>
            </w:r>
            <w:r w:rsidRPr="00403B4F">
              <w:rPr>
                <w:rFonts w:ascii="Times New Roman" w:eastAsiaTheme="minorEastAsia" w:hAnsi="Times New Roman"/>
                <w:color w:val="000000" w:themeColor="text1"/>
                <w:lang w:eastAsia="zh-CN"/>
              </w:rPr>
              <w:t>--</w:t>
            </w:r>
            <w:r w:rsidRPr="00403B4F">
              <w:rPr>
                <w:rFonts w:ascii="Times New Roman" w:eastAsiaTheme="minorEastAsia" w:hAnsi="Times New Roman"/>
                <w:color w:val="000000" w:themeColor="text1"/>
                <w:lang w:eastAsia="zh-CN"/>
              </w:rPr>
              <w:t>包括独特的欧洲平牡蛎（</w:t>
            </w:r>
            <w:r w:rsidRPr="00403B4F">
              <w:rPr>
                <w:rFonts w:ascii="Times New Roman" w:eastAsiaTheme="minorEastAsia" w:hAnsi="Times New Roman"/>
                <w:color w:val="000000" w:themeColor="text1"/>
                <w:lang w:eastAsia="zh-CN"/>
              </w:rPr>
              <w:t>Ostrea edulis</w:t>
            </w:r>
            <w:r w:rsidRPr="00403B4F">
              <w:rPr>
                <w:rFonts w:ascii="Times New Roman" w:eastAsiaTheme="minorEastAsia" w:hAnsi="Times New Roman"/>
                <w:color w:val="000000" w:themeColor="text1"/>
                <w:lang w:eastAsia="zh-CN"/>
              </w:rPr>
              <w:t>）生物礁、潮下带岩石罕见喜阴红藻（</w:t>
            </w:r>
            <w:r w:rsidRPr="00403B4F">
              <w:rPr>
                <w:rFonts w:ascii="Times New Roman" w:eastAsiaTheme="minorEastAsia" w:hAnsi="Times New Roman"/>
                <w:color w:val="000000" w:themeColor="text1"/>
                <w:lang w:eastAsia="zh-CN"/>
              </w:rPr>
              <w:t>Phyllophora crispa</w:t>
            </w:r>
            <w:r w:rsidRPr="00403B4F">
              <w:rPr>
                <w:rFonts w:ascii="Times New Roman" w:eastAsiaTheme="minorEastAsia" w:hAnsi="Times New Roman"/>
                <w:color w:val="000000" w:themeColor="text1"/>
                <w:lang w:eastAsia="zh-CN"/>
              </w:rPr>
              <w:t>）群落、喜光大型棕色藻类高产群落、沉积物上的贻贝群、各种无脊椎动物和鱼类、沙洲和海草草甸。海区是鲥鱼的重要栖息地，为其提供摄食地和产卵洄游路线。对于保护出现在黑海的三种小型鲸类种群具有重要意义。该区是保加利亚黑海</w:t>
            </w:r>
            <w:r w:rsidRPr="00403B4F">
              <w:rPr>
                <w:rFonts w:ascii="Times New Roman" w:eastAsiaTheme="minorEastAsia" w:hAnsi="Times New Roman"/>
                <w:color w:val="000000" w:themeColor="text1"/>
                <w:lang w:eastAsia="zh-CN"/>
              </w:rPr>
              <w:t>“</w:t>
            </w:r>
            <w:r w:rsidRPr="00403B4F">
              <w:rPr>
                <w:rFonts w:ascii="Times New Roman" w:eastAsiaTheme="minorEastAsia" w:hAnsi="Times New Roman"/>
                <w:color w:val="000000" w:themeColor="text1"/>
                <w:lang w:eastAsia="zh-CN"/>
              </w:rPr>
              <w:t>自然</w:t>
            </w:r>
            <w:r w:rsidRPr="00403B4F">
              <w:rPr>
                <w:rFonts w:ascii="Times New Roman" w:eastAsiaTheme="minorEastAsia" w:hAnsi="Times New Roman"/>
                <w:color w:val="000000" w:themeColor="text1"/>
                <w:lang w:eastAsia="zh-CN"/>
              </w:rPr>
              <w:t>2000”</w:t>
            </w:r>
            <w:r w:rsidRPr="00403B4F">
              <w:rPr>
                <w:rFonts w:ascii="Times New Roman" w:eastAsiaTheme="minorEastAsia" w:hAnsi="Times New Roman"/>
                <w:color w:val="000000" w:themeColor="text1"/>
                <w:lang w:eastAsia="zh-CN"/>
              </w:rPr>
              <w:t>生态网络内最大的海洋保护区，即《生境指令》指定的罗波塔莫河特别保护区</w:t>
            </w:r>
            <w:r w:rsidRPr="00403B4F">
              <w:rPr>
                <w:rFonts w:ascii="Times New Roman" w:eastAsiaTheme="minorEastAsia" w:hAnsi="Times New Roman"/>
                <w:color w:val="000000" w:themeColor="text1"/>
                <w:lang w:eastAsia="zh-CN"/>
              </w:rPr>
              <w:t>BG0001001</w:t>
            </w:r>
            <w:r w:rsidRPr="00403B4F">
              <w:rPr>
                <w:rFonts w:ascii="Times New Roman" w:eastAsiaTheme="minorEastAsia" w:hAnsi="Times New Roman"/>
                <w:color w:val="000000" w:themeColor="text1"/>
                <w:lang w:eastAsia="zh-CN"/>
              </w:rPr>
              <w:t>。</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r>
      <w:tr w:rsidR="00772406" w:rsidRPr="00403B4F" w:rsidTr="00772406">
        <w:tc>
          <w:tcPr>
            <w:tcW w:w="9687" w:type="dxa"/>
            <w:shd w:val="clear" w:color="auto" w:fill="auto"/>
          </w:tcPr>
          <w:p w:rsidR="00772406" w:rsidRPr="00403B4F" w:rsidRDefault="00772406" w:rsidP="001A42F8">
            <w:pPr>
              <w:pStyle w:val="HTMLPreformatted"/>
              <w:numPr>
                <w:ilvl w:val="0"/>
                <w:numId w:val="144"/>
              </w:numPr>
              <w:spacing w:before="0" w:after="0"/>
              <w:rPr>
                <w:rFonts w:ascii="Times New Roman" w:eastAsiaTheme="minorEastAsia" w:hAnsi="Times New Roman"/>
                <w:b/>
              </w:rPr>
            </w:pPr>
            <w:r w:rsidRPr="00403B4F">
              <w:rPr>
                <w:rFonts w:ascii="Times New Roman" w:eastAsiaTheme="minorEastAsia" w:hAnsi="Times New Roman"/>
                <w:b/>
              </w:rPr>
              <w:t>卡利亚克拉</w:t>
            </w:r>
          </w:p>
          <w:p w:rsidR="00772406" w:rsidRPr="00403B4F" w:rsidRDefault="00772406" w:rsidP="001A42F8">
            <w:pPr>
              <w:pStyle w:val="HTMLPreformatted"/>
              <w:numPr>
                <w:ilvl w:val="0"/>
                <w:numId w:val="1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after="0"/>
              <w:ind w:left="490" w:hanging="490"/>
              <w:rPr>
                <w:rFonts w:ascii="Times New Roman" w:eastAsiaTheme="minorEastAsia" w:hAnsi="Times New Roman"/>
                <w:lang w:eastAsia="zh-CN"/>
              </w:rPr>
            </w:pPr>
            <w:r w:rsidRPr="00403B4F">
              <w:rPr>
                <w:rFonts w:ascii="Times New Roman" w:eastAsiaTheme="minorEastAsia" w:hAnsi="Times New Roman"/>
                <w:lang w:eastAsia="zh-CN"/>
              </w:rPr>
              <w:t>位置：位于黑海西部沿海水域（北纬</w:t>
            </w:r>
            <w:r w:rsidRPr="00403B4F">
              <w:rPr>
                <w:rFonts w:ascii="Times New Roman" w:eastAsiaTheme="minorEastAsia" w:hAnsi="Times New Roman"/>
                <w:lang w:eastAsia="zh-CN"/>
              </w:rPr>
              <w:t>43.37º</w:t>
            </w:r>
            <w:r w:rsidRPr="00403B4F">
              <w:rPr>
                <w:rFonts w:ascii="Times New Roman" w:eastAsiaTheme="minorEastAsia" w:hAnsi="Times New Roman"/>
                <w:lang w:eastAsia="zh-CN"/>
              </w:rPr>
              <w:t>至北纬</w:t>
            </w:r>
            <w:r w:rsidRPr="00403B4F">
              <w:rPr>
                <w:rFonts w:ascii="Times New Roman" w:eastAsiaTheme="minorEastAsia" w:hAnsi="Times New Roman"/>
                <w:lang w:eastAsia="zh-CN"/>
              </w:rPr>
              <w:t>45.19º</w:t>
            </w:r>
            <w:r w:rsidRPr="00403B4F">
              <w:rPr>
                <w:rFonts w:ascii="Times New Roman" w:eastAsiaTheme="minorEastAsia" w:hAnsi="Times New Roman"/>
                <w:lang w:eastAsia="zh-CN"/>
              </w:rPr>
              <w:t>）。</w:t>
            </w:r>
          </w:p>
          <w:p w:rsidR="00772406" w:rsidRPr="00403B4F" w:rsidRDefault="00772406" w:rsidP="001A42F8">
            <w:pPr>
              <w:pStyle w:val="HTMLPreformatted"/>
              <w:numPr>
                <w:ilvl w:val="0"/>
                <w:numId w:val="1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0" w:after="0"/>
              <w:ind w:left="490" w:hanging="490"/>
              <w:rPr>
                <w:rFonts w:ascii="Times New Roman" w:eastAsiaTheme="minorEastAsia" w:hAnsi="Times New Roman"/>
                <w:color w:val="000000"/>
                <w:lang w:eastAsia="zh-CN"/>
              </w:rPr>
            </w:pPr>
            <w:r w:rsidRPr="00403B4F">
              <w:rPr>
                <w:rFonts w:ascii="Times New Roman" w:eastAsiaTheme="minorEastAsia" w:hAnsi="Times New Roman"/>
                <w:lang w:eastAsia="zh-CN"/>
              </w:rPr>
              <w:t>该区有一片海域，因为是易危</w:t>
            </w:r>
            <w:r w:rsidRPr="00403B4F">
              <w:rPr>
                <w:rStyle w:val="st"/>
                <w:rFonts w:ascii="Times New Roman" w:eastAsiaTheme="minorEastAsia" w:hAnsi="Times New Roman"/>
                <w:lang w:eastAsia="zh-CN"/>
              </w:rPr>
              <w:t>地中海鹱</w:t>
            </w:r>
            <w:r w:rsidRPr="00403B4F">
              <w:rPr>
                <w:rFonts w:ascii="Times New Roman" w:eastAsiaTheme="minorEastAsia" w:hAnsi="Times New Roman"/>
                <w:lang w:eastAsia="zh-CN"/>
              </w:rPr>
              <w:t>（</w:t>
            </w:r>
            <w:r w:rsidRPr="00403B4F">
              <w:rPr>
                <w:rFonts w:ascii="Times New Roman" w:eastAsiaTheme="minorEastAsia" w:hAnsi="Times New Roman"/>
                <w:lang w:eastAsia="zh-CN"/>
              </w:rPr>
              <w:t>Puffinus yelkouan</w:t>
            </w:r>
            <w:r w:rsidRPr="00403B4F">
              <w:rPr>
                <w:rFonts w:ascii="Times New Roman" w:eastAsiaTheme="minorEastAsia" w:hAnsi="Times New Roman"/>
                <w:lang w:eastAsia="zh-CN"/>
              </w:rPr>
              <w:t>）的重要迁徙走廊，被指定为</w:t>
            </w:r>
            <w:r w:rsidRPr="00C7353E">
              <w:rPr>
                <w:rFonts w:asciiTheme="minorEastAsia" w:eastAsiaTheme="minorEastAsia" w:hAnsiTheme="minorEastAsia"/>
                <w:lang w:eastAsia="zh-CN"/>
              </w:rPr>
              <w:t>“重要鸟类和生物多样性区”</w:t>
            </w:r>
            <w:r w:rsidRPr="00403B4F">
              <w:rPr>
                <w:rFonts w:ascii="Times New Roman" w:eastAsiaTheme="minorEastAsia" w:hAnsi="Times New Roman"/>
                <w:lang w:eastAsia="zh-CN"/>
              </w:rPr>
              <w:t>。</w:t>
            </w:r>
            <w:r w:rsidRPr="00403B4F">
              <w:rPr>
                <w:rStyle w:val="st"/>
                <w:rFonts w:ascii="Times New Roman" w:eastAsiaTheme="minorEastAsia" w:hAnsi="Times New Roman"/>
                <w:lang w:eastAsia="zh-CN"/>
              </w:rPr>
              <w:t>地中海鹱</w:t>
            </w:r>
            <w:r w:rsidRPr="00403B4F">
              <w:rPr>
                <w:rFonts w:ascii="Times New Roman" w:eastAsiaTheme="minorEastAsia" w:hAnsi="Times New Roman"/>
                <w:lang w:eastAsia="zh-CN"/>
              </w:rPr>
              <w:t>是地中海特有鸟类，数量估计有</w:t>
            </w:r>
            <w:r w:rsidRPr="00403B4F">
              <w:rPr>
                <w:rFonts w:ascii="Times New Roman" w:eastAsiaTheme="minorEastAsia" w:hAnsi="Times New Roman"/>
                <w:lang w:eastAsia="zh-CN"/>
              </w:rPr>
              <w:t>46,000</w:t>
            </w:r>
            <w:r w:rsidRPr="00403B4F">
              <w:rPr>
                <w:rFonts w:ascii="Times New Roman" w:eastAsiaTheme="minorEastAsia" w:hAnsi="Times New Roman"/>
                <w:lang w:eastAsia="zh-CN"/>
              </w:rPr>
              <w:t>至</w:t>
            </w:r>
            <w:r w:rsidRPr="00403B4F">
              <w:rPr>
                <w:rFonts w:ascii="Times New Roman" w:eastAsiaTheme="minorEastAsia" w:hAnsi="Times New Roman"/>
                <w:lang w:eastAsia="zh-CN"/>
              </w:rPr>
              <w:t>90,000</w:t>
            </w:r>
            <w:r w:rsidRPr="00403B4F">
              <w:rPr>
                <w:rFonts w:ascii="Times New Roman" w:eastAsiaTheme="minorEastAsia" w:hAnsi="Times New Roman"/>
                <w:lang w:eastAsia="zh-CN"/>
              </w:rPr>
              <w:t>只，其中约</w:t>
            </w:r>
            <w:r w:rsidRPr="00403B4F">
              <w:rPr>
                <w:rFonts w:ascii="Times New Roman" w:eastAsiaTheme="minorEastAsia" w:hAnsi="Times New Roman"/>
                <w:lang w:eastAsia="zh-CN"/>
              </w:rPr>
              <w:t>30</w:t>
            </w:r>
            <w:r w:rsidRPr="00403B4F">
              <w:rPr>
                <w:rFonts w:ascii="Times New Roman" w:eastAsiaTheme="minorEastAsia" w:hAnsi="Times New Roman"/>
                <w:lang w:eastAsia="zh-CN"/>
              </w:rPr>
              <w:t>％至</w:t>
            </w:r>
            <w:r w:rsidRPr="00403B4F">
              <w:rPr>
                <w:rFonts w:ascii="Times New Roman" w:eastAsiaTheme="minorEastAsia" w:hAnsi="Times New Roman"/>
                <w:lang w:eastAsia="zh-CN"/>
              </w:rPr>
              <w:t>40</w:t>
            </w:r>
            <w:r w:rsidRPr="00403B4F">
              <w:rPr>
                <w:rFonts w:ascii="Times New Roman" w:eastAsiaTheme="minorEastAsia" w:hAnsi="Times New Roman"/>
                <w:lang w:eastAsia="zh-CN"/>
              </w:rPr>
              <w:t>％在非繁殖季节迁徙至黑海，迁徙期间出现在保加利亚北部海岸附近。该区还是两种易危海鸟</w:t>
            </w:r>
            <w:r w:rsidRPr="00403B4F">
              <w:rPr>
                <w:rFonts w:ascii="Times New Roman" w:eastAsiaTheme="minorEastAsia" w:hAnsi="Times New Roman"/>
                <w:lang w:eastAsia="zh-CN"/>
              </w:rPr>
              <w:t>--</w:t>
            </w:r>
            <w:r w:rsidRPr="00403B4F">
              <w:rPr>
                <w:rStyle w:val="st"/>
                <w:rFonts w:ascii="Times New Roman" w:eastAsiaTheme="minorEastAsia" w:hAnsi="Times New Roman"/>
                <w:lang w:eastAsia="zh-CN"/>
              </w:rPr>
              <w:t>斑头海番鸭</w:t>
            </w:r>
            <w:r w:rsidRPr="00403B4F">
              <w:rPr>
                <w:rFonts w:ascii="Times New Roman" w:eastAsiaTheme="minorEastAsia" w:hAnsi="Times New Roman"/>
                <w:lang w:eastAsia="zh-CN"/>
              </w:rPr>
              <w:t>（</w:t>
            </w:r>
            <w:r w:rsidRPr="00403B4F">
              <w:rPr>
                <w:rFonts w:ascii="Times New Roman" w:eastAsiaTheme="minorEastAsia" w:hAnsi="Times New Roman"/>
                <w:lang w:eastAsia="zh-CN"/>
              </w:rPr>
              <w:t>Melanitta fusca</w:t>
            </w:r>
            <w:r w:rsidRPr="00403B4F">
              <w:rPr>
                <w:rFonts w:ascii="Times New Roman" w:eastAsiaTheme="minorEastAsia" w:hAnsi="Times New Roman"/>
                <w:lang w:eastAsia="zh-CN"/>
              </w:rPr>
              <w:t>）和</w:t>
            </w:r>
            <w:r w:rsidRPr="00403B4F">
              <w:rPr>
                <w:rStyle w:val="st"/>
                <w:rFonts w:ascii="Times New Roman" w:eastAsiaTheme="minorEastAsia" w:hAnsi="Times New Roman"/>
                <w:lang w:eastAsia="zh-CN"/>
              </w:rPr>
              <w:t>角鸊鷉</w:t>
            </w:r>
            <w:r w:rsidRPr="00403B4F">
              <w:rPr>
                <w:rFonts w:ascii="Times New Roman" w:eastAsiaTheme="minorEastAsia" w:hAnsi="Times New Roman"/>
                <w:lang w:eastAsia="zh-CN"/>
              </w:rPr>
              <w:t>（</w:t>
            </w:r>
            <w:r w:rsidRPr="00403B4F">
              <w:rPr>
                <w:rFonts w:ascii="Times New Roman" w:eastAsiaTheme="minorEastAsia" w:hAnsi="Times New Roman"/>
                <w:lang w:eastAsia="zh-CN"/>
              </w:rPr>
              <w:t>Podiceps auritus</w:t>
            </w:r>
            <w:r w:rsidRPr="00403B4F">
              <w:rPr>
                <w:rFonts w:ascii="Times New Roman" w:eastAsiaTheme="minorEastAsia" w:hAnsi="Times New Roman"/>
                <w:lang w:eastAsia="zh-CN"/>
              </w:rPr>
              <w:t>）</w:t>
            </w:r>
            <w:r w:rsidRPr="00403B4F">
              <w:rPr>
                <w:rFonts w:ascii="Times New Roman" w:eastAsiaTheme="minorEastAsia" w:hAnsi="Times New Roman"/>
                <w:lang w:eastAsia="zh-CN"/>
              </w:rPr>
              <w:t>--</w:t>
            </w:r>
            <w:r w:rsidRPr="00403B4F">
              <w:rPr>
                <w:rFonts w:ascii="Times New Roman" w:eastAsiaTheme="minorEastAsia" w:hAnsi="Times New Roman"/>
                <w:lang w:eastAsia="zh-CN"/>
              </w:rPr>
              <w:t>的非繁殖期分布区。该区对另外</w:t>
            </w:r>
            <w:r w:rsidRPr="00403B4F">
              <w:rPr>
                <w:rFonts w:ascii="Times New Roman" w:eastAsiaTheme="minorEastAsia" w:hAnsi="Times New Roman"/>
                <w:lang w:eastAsia="zh-CN"/>
              </w:rPr>
              <w:t>17</w:t>
            </w:r>
            <w:r w:rsidRPr="00403B4F">
              <w:rPr>
                <w:rFonts w:ascii="Times New Roman" w:eastAsiaTheme="minorEastAsia" w:hAnsi="Times New Roman"/>
                <w:lang w:eastAsia="zh-CN"/>
              </w:rPr>
              <w:t>种海鸟物种也很重要，被《欧盟鸟类指令》指定为</w:t>
            </w:r>
            <w:r w:rsidRPr="00C7353E">
              <w:rPr>
                <w:rFonts w:asciiTheme="minorEastAsia" w:eastAsiaTheme="minorEastAsia" w:hAnsiTheme="minorEastAsia"/>
                <w:lang w:eastAsia="zh-CN"/>
              </w:rPr>
              <w:t>“</w:t>
            </w:r>
            <w:r w:rsidRPr="00403B4F">
              <w:rPr>
                <w:rFonts w:ascii="Times New Roman" w:eastAsiaTheme="minorEastAsia" w:hAnsi="Times New Roman"/>
                <w:lang w:eastAsia="zh-CN"/>
              </w:rPr>
              <w:t>自然</w:t>
            </w:r>
            <w:r w:rsidRPr="00403B4F">
              <w:rPr>
                <w:rFonts w:ascii="Times New Roman" w:eastAsiaTheme="minorEastAsia" w:hAnsi="Times New Roman"/>
                <w:lang w:eastAsia="zh-CN"/>
              </w:rPr>
              <w:t>2000</w:t>
            </w:r>
            <w:r w:rsidRPr="00403B4F">
              <w:rPr>
                <w:rFonts w:ascii="Times New Roman" w:eastAsiaTheme="minorEastAsia" w:hAnsi="Times New Roman"/>
                <w:lang w:eastAsia="zh-CN"/>
              </w:rPr>
              <w:t>特别保护区</w:t>
            </w:r>
            <w:r w:rsidRPr="00C7353E">
              <w:rPr>
                <w:rFonts w:asciiTheme="minorEastAsia" w:eastAsiaTheme="minorEastAsia" w:hAnsiTheme="minorEastAsia"/>
                <w:lang w:eastAsia="zh-CN"/>
              </w:rPr>
              <w:t>”</w:t>
            </w:r>
            <w:r w:rsidRPr="00403B4F">
              <w:rPr>
                <w:rFonts w:ascii="Times New Roman" w:eastAsiaTheme="minorEastAsia" w:hAnsi="Times New Roman"/>
                <w:lang w:eastAsia="zh-CN"/>
              </w:rPr>
              <w:t>，被《欧盟生境指令》指定为</w:t>
            </w:r>
            <w:r w:rsidRPr="00C7353E">
              <w:rPr>
                <w:rFonts w:asciiTheme="minorEastAsia" w:eastAsiaTheme="minorEastAsia" w:hAnsiTheme="minorEastAsia"/>
                <w:lang w:eastAsia="zh-CN"/>
              </w:rPr>
              <w:t>“特别养护区”</w:t>
            </w:r>
            <w:r w:rsidRPr="00403B4F">
              <w:rPr>
                <w:rFonts w:ascii="Times New Roman" w:eastAsiaTheme="minorEastAsia" w:hAnsi="Times New Roman"/>
                <w:lang w:eastAsia="zh-CN"/>
              </w:rPr>
              <w:t>。该区还包括该国唯一的国家海洋和沿海保护区</w:t>
            </w:r>
            <w:r w:rsidRPr="00C7353E">
              <w:rPr>
                <w:rFonts w:asciiTheme="minorEastAsia" w:eastAsiaTheme="minorEastAsia" w:hAnsiTheme="minorEastAsia"/>
                <w:lang w:eastAsia="zh-CN"/>
              </w:rPr>
              <w:t>“卡利亚克拉”。</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1A42F8">
            <w:pPr>
              <w:pStyle w:val="HTMLPreformatted"/>
              <w:numPr>
                <w:ilvl w:val="0"/>
                <w:numId w:val="144"/>
              </w:numPr>
              <w:spacing w:before="0" w:after="0"/>
              <w:rPr>
                <w:rFonts w:ascii="Times New Roman" w:eastAsiaTheme="minorEastAsia" w:hAnsi="Times New Roman"/>
                <w:b/>
              </w:rPr>
            </w:pPr>
            <w:r w:rsidRPr="00403B4F">
              <w:rPr>
                <w:rFonts w:ascii="Times New Roman" w:eastAsiaTheme="minorEastAsia" w:hAnsi="Times New Roman"/>
                <w:b/>
              </w:rPr>
              <w:t>Vama Veche--2 Mai</w:t>
            </w:r>
            <w:r w:rsidRPr="00403B4F">
              <w:rPr>
                <w:rFonts w:ascii="Times New Roman" w:eastAsiaTheme="minorEastAsia" w:hAnsi="Times New Roman"/>
                <w:b/>
              </w:rPr>
              <w:t>海洋保护区</w:t>
            </w:r>
          </w:p>
          <w:p w:rsidR="00772406" w:rsidRPr="00403B4F" w:rsidRDefault="00772406" w:rsidP="001A42F8">
            <w:pPr>
              <w:pStyle w:val="HTMLPreformatted"/>
              <w:numPr>
                <w:ilvl w:val="0"/>
                <w:numId w:val="142"/>
              </w:numPr>
              <w:spacing w:before="0" w:after="0"/>
              <w:rPr>
                <w:rFonts w:ascii="Times New Roman" w:eastAsiaTheme="minorEastAsia" w:hAnsi="Times New Roman"/>
                <w:lang w:eastAsia="zh-CN"/>
              </w:rPr>
            </w:pPr>
            <w:r w:rsidRPr="00403B4F">
              <w:rPr>
                <w:rFonts w:ascii="Times New Roman" w:eastAsiaTheme="minorEastAsia" w:hAnsi="Times New Roman"/>
                <w:lang w:eastAsia="zh-CN"/>
              </w:rPr>
              <w:t>位置：位于罗马尼亚海岸线最南端，总面积</w:t>
            </w:r>
            <w:r w:rsidRPr="00403B4F">
              <w:rPr>
                <w:rFonts w:ascii="Times New Roman" w:eastAsiaTheme="minorEastAsia" w:hAnsi="Times New Roman"/>
                <w:lang w:eastAsia="zh-CN"/>
              </w:rPr>
              <w:t>1,231</w:t>
            </w:r>
            <w:r w:rsidRPr="00403B4F">
              <w:rPr>
                <w:rFonts w:ascii="Times New Roman" w:eastAsiaTheme="minorEastAsia" w:hAnsi="Times New Roman"/>
                <w:lang w:eastAsia="zh-CN"/>
              </w:rPr>
              <w:t>平方公里，全部为海洋。地理坐标为东经</w:t>
            </w:r>
            <w:r w:rsidRPr="00403B4F">
              <w:rPr>
                <w:rFonts w:ascii="Times New Roman" w:eastAsiaTheme="minorEastAsia" w:hAnsi="Times New Roman"/>
                <w:lang w:eastAsia="zh-CN"/>
              </w:rPr>
              <w:t>28.0019777</w:t>
            </w:r>
            <w:r w:rsidRPr="00403B4F">
              <w:rPr>
                <w:rFonts w:ascii="Times New Roman" w:eastAsiaTheme="minorEastAsia" w:hAnsi="Times New Roman"/>
                <w:lang w:eastAsia="zh-CN"/>
              </w:rPr>
              <w:t>，北纬</w:t>
            </w:r>
            <w:r w:rsidRPr="00403B4F">
              <w:rPr>
                <w:rFonts w:ascii="Times New Roman" w:eastAsiaTheme="minorEastAsia" w:hAnsi="Times New Roman"/>
                <w:lang w:eastAsia="zh-CN"/>
              </w:rPr>
              <w:t>43.0064000</w:t>
            </w:r>
            <w:r w:rsidRPr="00403B4F">
              <w:rPr>
                <w:rFonts w:ascii="Times New Roman" w:eastAsiaTheme="minorEastAsia" w:hAnsi="Times New Roman"/>
                <w:lang w:eastAsia="zh-CN"/>
              </w:rPr>
              <w:t>。</w:t>
            </w:r>
          </w:p>
          <w:p w:rsidR="00772406" w:rsidRPr="00403B4F" w:rsidRDefault="00772406" w:rsidP="001A42F8">
            <w:pPr>
              <w:pStyle w:val="HTMLPreformatted"/>
              <w:numPr>
                <w:ilvl w:val="0"/>
                <w:numId w:val="142"/>
              </w:numPr>
              <w:spacing w:before="0" w:after="0"/>
              <w:rPr>
                <w:rFonts w:ascii="Times New Roman" w:eastAsiaTheme="minorEastAsia" w:hAnsi="Times New Roman"/>
              </w:rPr>
            </w:pPr>
            <w:r w:rsidRPr="00403B4F">
              <w:rPr>
                <w:rFonts w:ascii="Times New Roman" w:eastAsiaTheme="minorEastAsia" w:hAnsi="Times New Roman"/>
                <w:lang w:eastAsia="zh-CN"/>
              </w:rPr>
              <w:t>该区以特有各类广阔栖息地为特征，</w:t>
            </w:r>
            <w:r w:rsidRPr="00C7353E">
              <w:rPr>
                <w:rFonts w:asciiTheme="minorEastAsia" w:eastAsiaTheme="minorEastAsia" w:hAnsiTheme="minorEastAsia"/>
                <w:lang w:eastAsia="zh-CN"/>
              </w:rPr>
              <w:t>被视为一个小区域里的真正“马赛克”，为许多海洋物种提供栖息地</w:t>
            </w:r>
            <w:r w:rsidRPr="00C7353E">
              <w:rPr>
                <w:rFonts w:asciiTheme="minorEastAsia" w:eastAsiaTheme="minorEastAsia" w:hAnsiTheme="minorEastAsia"/>
                <w:lang w:eastAsia="zh-CN"/>
              </w:rPr>
              <w:lastRenderedPageBreak/>
              <w:t>和产卵区。与周边区域的生物多样性相比，这里的底栖和上层生物非常丰富。虽然规模小，但因其生物多样性高而被提议为鲸目动物避难所，并被划为海上“重要鸟类和生物多样性区”</w:t>
            </w:r>
            <w:r w:rsidRPr="00403B4F">
              <w:rPr>
                <w:rFonts w:ascii="Times New Roman" w:eastAsiaTheme="minorEastAsia" w:hAnsi="Times New Roman"/>
                <w:lang w:eastAsia="zh-CN"/>
              </w:rPr>
              <w:t>。</w:t>
            </w:r>
            <w:r w:rsidRPr="00403B4F">
              <w:rPr>
                <w:rFonts w:ascii="Times New Roman" w:eastAsiaTheme="minorEastAsia" w:hAnsi="Times New Roman"/>
              </w:rPr>
              <w:t>该区对生物多样性非常重要。</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lastRenderedPageBreak/>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1A42F8">
            <w:pPr>
              <w:pStyle w:val="HTMLPreformatted"/>
              <w:numPr>
                <w:ilvl w:val="0"/>
                <w:numId w:val="144"/>
              </w:numPr>
              <w:spacing w:before="0" w:after="0"/>
              <w:rPr>
                <w:rFonts w:ascii="Times New Roman" w:eastAsiaTheme="minorEastAsia" w:hAnsi="Times New Roman"/>
                <w:b/>
              </w:rPr>
            </w:pPr>
            <w:r w:rsidRPr="00403B4F">
              <w:rPr>
                <w:rFonts w:ascii="Times New Roman" w:eastAsiaTheme="minorEastAsia" w:hAnsi="Times New Roman"/>
                <w:b/>
              </w:rPr>
              <w:lastRenderedPageBreak/>
              <w:t>多瑙河三角洲海域</w:t>
            </w:r>
          </w:p>
          <w:p w:rsidR="00772406" w:rsidRPr="00403B4F" w:rsidRDefault="00772406" w:rsidP="001A42F8">
            <w:pPr>
              <w:pStyle w:val="HTMLPreformatted"/>
              <w:numPr>
                <w:ilvl w:val="0"/>
                <w:numId w:val="143"/>
              </w:numPr>
              <w:spacing w:before="0" w:after="0"/>
              <w:rPr>
                <w:rFonts w:ascii="Times New Roman" w:eastAsiaTheme="minorEastAsia" w:hAnsi="Times New Roman"/>
              </w:rPr>
            </w:pPr>
            <w:r w:rsidRPr="00403B4F">
              <w:rPr>
                <w:rFonts w:ascii="Times New Roman" w:eastAsiaTheme="minorEastAsia" w:hAnsi="Times New Roman"/>
                <w:lang w:eastAsia="zh-CN"/>
              </w:rPr>
              <w:t>位置：位于多瑙河三角洲前方，北到</w:t>
            </w:r>
            <w:r w:rsidRPr="00403B4F">
              <w:rPr>
                <w:rFonts w:ascii="Times New Roman" w:eastAsiaTheme="minorEastAsia" w:hAnsi="Times New Roman"/>
                <w:lang w:eastAsia="zh-CN"/>
              </w:rPr>
              <w:t>Chilia</w:t>
            </w:r>
            <w:r w:rsidRPr="00403B4F">
              <w:rPr>
                <w:rFonts w:ascii="Times New Roman" w:eastAsiaTheme="minorEastAsia" w:hAnsi="Times New Roman"/>
                <w:lang w:eastAsia="zh-CN"/>
              </w:rPr>
              <w:t>支流，南到</w:t>
            </w:r>
            <w:r w:rsidRPr="00403B4F">
              <w:rPr>
                <w:rFonts w:ascii="Times New Roman" w:eastAsiaTheme="minorEastAsia" w:hAnsi="Times New Roman"/>
                <w:lang w:eastAsia="zh-CN"/>
              </w:rPr>
              <w:t>Midia</w:t>
            </w:r>
            <w:r w:rsidRPr="00403B4F">
              <w:rPr>
                <w:rFonts w:ascii="Times New Roman" w:eastAsiaTheme="minorEastAsia" w:hAnsi="Times New Roman"/>
                <w:lang w:eastAsia="zh-CN"/>
              </w:rPr>
              <w:t>角，延伸入海至</w:t>
            </w:r>
            <w:r w:rsidRPr="00403B4F">
              <w:rPr>
                <w:rFonts w:ascii="Times New Roman" w:eastAsiaTheme="minorEastAsia" w:hAnsi="Times New Roman"/>
                <w:lang w:eastAsia="zh-CN"/>
              </w:rPr>
              <w:t>20</w:t>
            </w:r>
            <w:r w:rsidRPr="00403B4F">
              <w:rPr>
                <w:rFonts w:ascii="Times New Roman" w:eastAsiaTheme="minorEastAsia" w:hAnsi="Times New Roman"/>
                <w:lang w:eastAsia="zh-CN"/>
              </w:rPr>
              <w:t>米等深线。总覆盖面积</w:t>
            </w:r>
            <w:r w:rsidRPr="00403B4F">
              <w:rPr>
                <w:rFonts w:ascii="Times New Roman" w:eastAsiaTheme="minorEastAsia" w:hAnsi="Times New Roman"/>
                <w:lang w:eastAsia="zh-CN"/>
              </w:rPr>
              <w:t>1,217</w:t>
            </w:r>
            <w:r w:rsidRPr="00403B4F">
              <w:rPr>
                <w:rFonts w:ascii="Times New Roman" w:eastAsiaTheme="minorEastAsia" w:hAnsi="Times New Roman"/>
                <w:lang w:eastAsia="zh-CN"/>
              </w:rPr>
              <w:t>平方公里，全部为海洋。</w:t>
            </w:r>
            <w:r w:rsidRPr="00403B4F">
              <w:rPr>
                <w:rFonts w:ascii="Times New Roman" w:eastAsiaTheme="minorEastAsia" w:hAnsi="Times New Roman"/>
              </w:rPr>
              <w:t>地理坐标为北纬</w:t>
            </w:r>
            <w:r w:rsidRPr="00403B4F">
              <w:rPr>
                <w:rFonts w:ascii="Times New Roman" w:eastAsiaTheme="minorEastAsia" w:hAnsi="Times New Roman"/>
              </w:rPr>
              <w:t>44.0006472</w:t>
            </w:r>
            <w:r w:rsidRPr="00403B4F">
              <w:rPr>
                <w:rFonts w:ascii="Times New Roman" w:eastAsiaTheme="minorEastAsia" w:hAnsi="Times New Roman"/>
              </w:rPr>
              <w:t>，东经</w:t>
            </w:r>
            <w:r w:rsidRPr="00403B4F">
              <w:rPr>
                <w:rFonts w:ascii="Times New Roman" w:eastAsiaTheme="minorEastAsia" w:hAnsi="Times New Roman"/>
              </w:rPr>
              <w:t>29.0111277.</w:t>
            </w:r>
          </w:p>
          <w:p w:rsidR="00772406" w:rsidRPr="00403B4F" w:rsidRDefault="00772406" w:rsidP="001A42F8">
            <w:pPr>
              <w:pStyle w:val="HTMLPreformatted"/>
              <w:numPr>
                <w:ilvl w:val="0"/>
                <w:numId w:val="143"/>
              </w:numPr>
              <w:spacing w:before="0" w:after="0"/>
              <w:rPr>
                <w:rFonts w:ascii="Times New Roman" w:eastAsiaTheme="minorEastAsia" w:hAnsi="Times New Roman"/>
                <w:lang w:eastAsia="zh-CN"/>
              </w:rPr>
            </w:pPr>
            <w:r w:rsidRPr="00403B4F">
              <w:rPr>
                <w:rFonts w:ascii="Times New Roman" w:eastAsiaTheme="minorEastAsia" w:hAnsi="Times New Roman"/>
                <w:lang w:eastAsia="zh-CN"/>
              </w:rPr>
              <w:t>该区深受汇入淡水和多瑙河带来的沉积物的影响，形成罗马尼亚沿海地区独特的各类沉积栖息地。这些沉积栖息地和低盐度上层栖息地含有大量淡水、微咸水和海洋物种。是受不同公约保护的黑海鲟鱼和鲥鱼的重要养育和摄食地。该区物种包括：宽吻海豚（</w:t>
            </w:r>
            <w:r w:rsidRPr="00403B4F">
              <w:rPr>
                <w:rFonts w:ascii="Times New Roman" w:eastAsiaTheme="minorEastAsia" w:hAnsi="Times New Roman"/>
                <w:lang w:eastAsia="zh-CN"/>
              </w:rPr>
              <w:t>Phocoena phocoena</w:t>
            </w:r>
            <w:r w:rsidRPr="00403B4F">
              <w:rPr>
                <w:rFonts w:ascii="Times New Roman" w:eastAsiaTheme="minorEastAsia" w:hAnsi="Times New Roman"/>
                <w:lang w:eastAsia="zh-CN"/>
              </w:rPr>
              <w:t>）、港湾鼠海豚（</w:t>
            </w:r>
            <w:r w:rsidRPr="00403B4F">
              <w:rPr>
                <w:rFonts w:ascii="Times New Roman" w:eastAsiaTheme="minorEastAsia" w:hAnsi="Times New Roman"/>
                <w:lang w:eastAsia="zh-CN"/>
              </w:rPr>
              <w:t>Tursiops truncatus</w:t>
            </w:r>
            <w:r w:rsidRPr="00403B4F">
              <w:rPr>
                <w:rFonts w:ascii="Times New Roman" w:eastAsiaTheme="minorEastAsia" w:hAnsi="Times New Roman"/>
                <w:lang w:eastAsia="zh-CN"/>
              </w:rPr>
              <w:t>）、短喙普通海豚（</w:t>
            </w:r>
            <w:r w:rsidRPr="00403B4F">
              <w:rPr>
                <w:rFonts w:ascii="Times New Roman" w:eastAsiaTheme="minorEastAsia" w:hAnsi="Times New Roman"/>
                <w:lang w:eastAsia="zh-CN"/>
              </w:rPr>
              <w:t>Delphinus delphis</w:t>
            </w:r>
            <w:r w:rsidRPr="00403B4F">
              <w:rPr>
                <w:rFonts w:ascii="Times New Roman" w:eastAsiaTheme="minorEastAsia" w:hAnsi="Times New Roman"/>
                <w:lang w:eastAsia="zh-CN"/>
              </w:rPr>
              <w:t>）、</w:t>
            </w:r>
            <w:r w:rsidRPr="00403B4F">
              <w:rPr>
                <w:rStyle w:val="st"/>
                <w:rFonts w:ascii="Times New Roman" w:eastAsiaTheme="minorEastAsia" w:hAnsi="Times New Roman"/>
                <w:lang w:eastAsia="zh-CN"/>
              </w:rPr>
              <w:t>地中海鹱</w:t>
            </w:r>
            <w:r w:rsidRPr="00403B4F">
              <w:rPr>
                <w:rFonts w:ascii="Times New Roman" w:eastAsiaTheme="minorEastAsia" w:hAnsi="Times New Roman"/>
                <w:lang w:eastAsia="zh-CN"/>
              </w:rPr>
              <w:t>（</w:t>
            </w:r>
            <w:r w:rsidRPr="00403B4F">
              <w:rPr>
                <w:rFonts w:ascii="Times New Roman" w:eastAsiaTheme="minorEastAsia" w:hAnsi="Times New Roman"/>
                <w:lang w:eastAsia="zh-CN"/>
              </w:rPr>
              <w:t>Puffinus yelkouan</w:t>
            </w:r>
            <w:r w:rsidRPr="00403B4F">
              <w:rPr>
                <w:rFonts w:ascii="Times New Roman" w:eastAsiaTheme="minorEastAsia" w:hAnsi="Times New Roman"/>
                <w:lang w:eastAsia="zh-CN"/>
              </w:rPr>
              <w:t>）、欧洲鳇（</w:t>
            </w:r>
            <w:r w:rsidRPr="00403B4F">
              <w:rPr>
                <w:rFonts w:ascii="Times New Roman" w:eastAsiaTheme="minorEastAsia" w:hAnsi="Times New Roman"/>
                <w:lang w:eastAsia="zh-CN"/>
              </w:rPr>
              <w:t>Huso huso</w:t>
            </w:r>
            <w:r w:rsidRPr="00403B4F">
              <w:rPr>
                <w:rFonts w:ascii="Times New Roman" w:eastAsiaTheme="minorEastAsia" w:hAnsi="Times New Roman"/>
                <w:lang w:eastAsia="zh-CN"/>
              </w:rPr>
              <w:t>）、俄罗斯鲟（</w:t>
            </w:r>
            <w:r w:rsidRPr="00403B4F">
              <w:rPr>
                <w:rFonts w:ascii="Times New Roman" w:eastAsiaTheme="minorEastAsia" w:hAnsi="Times New Roman"/>
                <w:lang w:eastAsia="zh-CN"/>
              </w:rPr>
              <w:t>Acipenser gueldenstaedtii</w:t>
            </w:r>
            <w:r w:rsidRPr="00403B4F">
              <w:rPr>
                <w:rFonts w:ascii="Times New Roman" w:eastAsiaTheme="minorEastAsia" w:hAnsi="Times New Roman"/>
                <w:lang w:eastAsia="zh-CN"/>
              </w:rPr>
              <w:t>）、闪光鲟（</w:t>
            </w:r>
            <w:r w:rsidRPr="00403B4F">
              <w:rPr>
                <w:rFonts w:ascii="Times New Roman" w:eastAsiaTheme="minorEastAsia" w:hAnsi="Times New Roman"/>
                <w:lang w:eastAsia="zh-CN"/>
              </w:rPr>
              <w:t>Acipenser stellatus</w:t>
            </w:r>
            <w:r w:rsidRPr="00403B4F">
              <w:rPr>
                <w:rFonts w:ascii="Times New Roman" w:eastAsiaTheme="minorEastAsia" w:hAnsi="Times New Roman"/>
                <w:lang w:eastAsia="zh-CN"/>
              </w:rPr>
              <w:t>）、多瑙河鲥（</w:t>
            </w:r>
            <w:r w:rsidRPr="00403B4F">
              <w:rPr>
                <w:rFonts w:ascii="Times New Roman" w:eastAsiaTheme="minorEastAsia" w:hAnsi="Times New Roman"/>
                <w:lang w:eastAsia="zh-CN"/>
              </w:rPr>
              <w:t>Alosa immaculata</w:t>
            </w:r>
            <w:r w:rsidRPr="00403B4F">
              <w:rPr>
                <w:rFonts w:ascii="Times New Roman" w:eastAsiaTheme="minorEastAsia" w:hAnsi="Times New Roman"/>
                <w:lang w:eastAsia="zh-CN"/>
              </w:rPr>
              <w:t>）、里海鲥（</w:t>
            </w:r>
            <w:r w:rsidRPr="00403B4F">
              <w:rPr>
                <w:rFonts w:ascii="Times New Roman" w:eastAsiaTheme="minorEastAsia" w:hAnsi="Times New Roman"/>
                <w:lang w:eastAsia="zh-CN"/>
              </w:rPr>
              <w:t>Alosa tanaica</w:t>
            </w:r>
            <w:r w:rsidRPr="00403B4F">
              <w:rPr>
                <w:rFonts w:ascii="Times New Roman" w:eastAsiaTheme="minorEastAsia" w:hAnsi="Times New Roman"/>
                <w:lang w:eastAsia="zh-CN"/>
              </w:rPr>
              <w:t>）。该区属于一个更大的保护区，即多瑙河三角洲生物圈保护区，后者被列为联合国教科文组织世界自然遗产，也被列为拉姆萨尔公约国际重要湿地。</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L</w:t>
            </w:r>
          </w:p>
        </w:tc>
      </w:tr>
      <w:tr w:rsidR="00772406" w:rsidRPr="00403B4F" w:rsidTr="00772406">
        <w:tc>
          <w:tcPr>
            <w:tcW w:w="9687" w:type="dxa"/>
            <w:shd w:val="clear" w:color="auto" w:fill="auto"/>
          </w:tcPr>
          <w:p w:rsidR="00772406" w:rsidRPr="00403B4F" w:rsidRDefault="00772406" w:rsidP="001A42F8">
            <w:pPr>
              <w:pStyle w:val="ListParagraph"/>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rFonts w:eastAsiaTheme="minorEastAsia"/>
                <w:b/>
                <w:sz w:val="20"/>
                <w:szCs w:val="20"/>
              </w:rPr>
            </w:pPr>
            <w:r w:rsidRPr="00403B4F">
              <w:rPr>
                <w:rFonts w:eastAsiaTheme="minorEastAsia"/>
                <w:b/>
                <w:sz w:val="20"/>
                <w:szCs w:val="20"/>
              </w:rPr>
              <w:t>泽尔诺夫育叶藻场</w:t>
            </w:r>
          </w:p>
          <w:p w:rsidR="00772406" w:rsidRPr="00403B4F" w:rsidRDefault="00772406" w:rsidP="001A42F8">
            <w:pPr>
              <w:pStyle w:val="ListParagraph"/>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rFonts w:eastAsiaTheme="minorEastAsia"/>
                <w:sz w:val="20"/>
                <w:szCs w:val="20"/>
                <w:lang w:eastAsia="zh-CN"/>
              </w:rPr>
            </w:pPr>
            <w:r w:rsidRPr="00403B4F">
              <w:rPr>
                <w:rFonts w:eastAsiaTheme="minorEastAsia"/>
                <w:sz w:val="20"/>
                <w:szCs w:val="20"/>
                <w:lang w:eastAsia="zh-CN"/>
              </w:rPr>
              <w:t>位置：位于黑海西北部一个宽阔的陆架，水深</w:t>
            </w:r>
            <w:r w:rsidRPr="00403B4F">
              <w:rPr>
                <w:rFonts w:eastAsiaTheme="minorEastAsia"/>
                <w:sz w:val="20"/>
                <w:szCs w:val="20"/>
                <w:lang w:eastAsia="zh-CN"/>
              </w:rPr>
              <w:t>25</w:t>
            </w:r>
            <w:r w:rsidRPr="00403B4F">
              <w:rPr>
                <w:rFonts w:eastAsiaTheme="minorEastAsia"/>
                <w:sz w:val="20"/>
                <w:szCs w:val="20"/>
                <w:lang w:eastAsia="zh-CN"/>
              </w:rPr>
              <w:t>至</w:t>
            </w:r>
            <w:r w:rsidRPr="00403B4F">
              <w:rPr>
                <w:rFonts w:eastAsiaTheme="minorEastAsia"/>
                <w:sz w:val="20"/>
                <w:szCs w:val="20"/>
                <w:lang w:eastAsia="zh-CN"/>
              </w:rPr>
              <w:t>50</w:t>
            </w:r>
            <w:r w:rsidRPr="00403B4F">
              <w:rPr>
                <w:rFonts w:eastAsiaTheme="minorEastAsia"/>
                <w:sz w:val="20"/>
                <w:szCs w:val="20"/>
                <w:lang w:eastAsia="zh-CN"/>
              </w:rPr>
              <w:t>米，坐标为：北纬</w:t>
            </w:r>
            <w:r w:rsidRPr="00403B4F">
              <w:rPr>
                <w:rFonts w:eastAsiaTheme="minorEastAsia"/>
                <w:sz w:val="20"/>
                <w:szCs w:val="20"/>
                <w:lang w:eastAsia="zh-CN"/>
              </w:rPr>
              <w:t>45°18'25''</w:t>
            </w:r>
            <w:r w:rsidRPr="00403B4F">
              <w:rPr>
                <w:rFonts w:eastAsiaTheme="minorEastAsia"/>
                <w:sz w:val="20"/>
                <w:szCs w:val="20"/>
                <w:lang w:eastAsia="zh-CN"/>
              </w:rPr>
              <w:t>，东经</w:t>
            </w:r>
            <w:r w:rsidRPr="00403B4F">
              <w:rPr>
                <w:rFonts w:eastAsiaTheme="minorEastAsia"/>
                <w:sz w:val="20"/>
                <w:szCs w:val="20"/>
                <w:lang w:eastAsia="zh-CN"/>
              </w:rPr>
              <w:t>30°42'26''</w:t>
            </w:r>
            <w:r w:rsidRPr="00403B4F">
              <w:rPr>
                <w:rFonts w:eastAsiaTheme="minorEastAsia"/>
                <w:sz w:val="20"/>
                <w:szCs w:val="20"/>
                <w:lang w:eastAsia="zh-CN"/>
              </w:rPr>
              <w:t>；北纬</w:t>
            </w:r>
            <w:r w:rsidRPr="00403B4F">
              <w:rPr>
                <w:rFonts w:eastAsiaTheme="minorEastAsia"/>
                <w:sz w:val="20"/>
                <w:szCs w:val="20"/>
                <w:lang w:eastAsia="zh-CN"/>
              </w:rPr>
              <w:t>45°54'42''</w:t>
            </w:r>
            <w:r w:rsidRPr="00403B4F">
              <w:rPr>
                <w:rFonts w:eastAsiaTheme="minorEastAsia"/>
                <w:sz w:val="20"/>
                <w:szCs w:val="20"/>
                <w:lang w:eastAsia="zh-CN"/>
              </w:rPr>
              <w:t>，东经</w:t>
            </w:r>
            <w:r w:rsidRPr="00403B4F">
              <w:rPr>
                <w:rFonts w:eastAsiaTheme="minorEastAsia"/>
                <w:sz w:val="20"/>
                <w:szCs w:val="20"/>
                <w:lang w:eastAsia="zh-CN"/>
              </w:rPr>
              <w:t xml:space="preserve">30°55'05'' </w:t>
            </w:r>
            <w:r w:rsidRPr="00403B4F">
              <w:rPr>
                <w:rFonts w:eastAsiaTheme="minorEastAsia"/>
                <w:sz w:val="20"/>
                <w:szCs w:val="20"/>
                <w:lang w:eastAsia="zh-CN"/>
              </w:rPr>
              <w:t>；北纬</w:t>
            </w:r>
            <w:r w:rsidRPr="00403B4F">
              <w:rPr>
                <w:rFonts w:eastAsiaTheme="minorEastAsia"/>
                <w:sz w:val="20"/>
                <w:szCs w:val="20"/>
                <w:lang w:eastAsia="zh-CN"/>
              </w:rPr>
              <w:t>46°01'53''</w:t>
            </w:r>
            <w:r w:rsidRPr="00403B4F">
              <w:rPr>
                <w:rFonts w:eastAsiaTheme="minorEastAsia"/>
                <w:sz w:val="20"/>
                <w:szCs w:val="20"/>
                <w:lang w:eastAsia="zh-CN"/>
              </w:rPr>
              <w:t>，东经</w:t>
            </w:r>
            <w:r w:rsidRPr="00403B4F">
              <w:rPr>
                <w:rFonts w:eastAsiaTheme="minorEastAsia"/>
                <w:sz w:val="20"/>
                <w:szCs w:val="20"/>
                <w:lang w:eastAsia="zh-CN"/>
              </w:rPr>
              <w:t xml:space="preserve">31°10'40'' </w:t>
            </w:r>
            <w:r w:rsidRPr="00403B4F">
              <w:rPr>
                <w:rFonts w:eastAsiaTheme="minorEastAsia"/>
                <w:sz w:val="20"/>
                <w:szCs w:val="20"/>
                <w:lang w:eastAsia="zh-CN"/>
              </w:rPr>
              <w:t>；北纬</w:t>
            </w:r>
            <w:r w:rsidRPr="00403B4F">
              <w:rPr>
                <w:rFonts w:eastAsiaTheme="minorEastAsia"/>
                <w:sz w:val="20"/>
                <w:szCs w:val="20"/>
                <w:lang w:eastAsia="zh-CN"/>
              </w:rPr>
              <w:t>45°З1'05''</w:t>
            </w:r>
            <w:r w:rsidRPr="00403B4F">
              <w:rPr>
                <w:rFonts w:eastAsiaTheme="minorEastAsia"/>
                <w:sz w:val="20"/>
                <w:szCs w:val="20"/>
                <w:lang w:eastAsia="zh-CN"/>
              </w:rPr>
              <w:t>，东经</w:t>
            </w:r>
            <w:r w:rsidRPr="00403B4F">
              <w:rPr>
                <w:rFonts w:eastAsiaTheme="minorEastAsia"/>
                <w:sz w:val="20"/>
                <w:szCs w:val="20"/>
                <w:lang w:eastAsia="zh-CN"/>
              </w:rPr>
              <w:t xml:space="preserve">31°42'56'' </w:t>
            </w:r>
            <w:r w:rsidRPr="00403B4F">
              <w:rPr>
                <w:rFonts w:eastAsiaTheme="minorEastAsia"/>
                <w:sz w:val="20"/>
                <w:szCs w:val="20"/>
                <w:lang w:eastAsia="zh-CN"/>
              </w:rPr>
              <w:t>；北纬</w:t>
            </w:r>
            <w:r w:rsidRPr="00403B4F">
              <w:rPr>
                <w:rFonts w:eastAsiaTheme="minorEastAsia"/>
                <w:sz w:val="20"/>
                <w:szCs w:val="20"/>
                <w:lang w:eastAsia="zh-CN"/>
              </w:rPr>
              <w:t>45°17'41''</w:t>
            </w:r>
            <w:r w:rsidRPr="00403B4F">
              <w:rPr>
                <w:rFonts w:eastAsiaTheme="minorEastAsia"/>
                <w:sz w:val="20"/>
                <w:szCs w:val="20"/>
                <w:lang w:eastAsia="zh-CN"/>
              </w:rPr>
              <w:t>，东经</w:t>
            </w:r>
            <w:r w:rsidRPr="00403B4F">
              <w:rPr>
                <w:rFonts w:eastAsiaTheme="minorEastAsia"/>
                <w:sz w:val="20"/>
                <w:szCs w:val="20"/>
                <w:lang w:eastAsia="zh-CN"/>
              </w:rPr>
              <w:t xml:space="preserve">31°23'20'' </w:t>
            </w:r>
            <w:r w:rsidRPr="00403B4F">
              <w:rPr>
                <w:rFonts w:eastAsiaTheme="minorEastAsia"/>
                <w:sz w:val="20"/>
                <w:szCs w:val="20"/>
                <w:lang w:eastAsia="zh-CN"/>
              </w:rPr>
              <w:t>。</w:t>
            </w:r>
          </w:p>
          <w:p w:rsidR="00772406" w:rsidRPr="00403B4F" w:rsidRDefault="00772406" w:rsidP="001A42F8">
            <w:pPr>
              <w:pStyle w:val="ListParagraph"/>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rFonts w:eastAsiaTheme="minorEastAsia"/>
                <w:sz w:val="20"/>
                <w:szCs w:val="20"/>
                <w:lang w:eastAsia="zh-CN"/>
              </w:rPr>
            </w:pPr>
            <w:r w:rsidRPr="00403B4F">
              <w:rPr>
                <w:rFonts w:eastAsiaTheme="minorEastAsia"/>
                <w:sz w:val="20"/>
                <w:szCs w:val="20"/>
                <w:lang w:eastAsia="zh-CN"/>
              </w:rPr>
              <w:t>泽尔诺夫育叶藻场是一种独特的自然现象</w:t>
            </w:r>
            <w:r w:rsidRPr="00403B4F">
              <w:rPr>
                <w:rFonts w:eastAsiaTheme="minorEastAsia"/>
                <w:sz w:val="20"/>
                <w:szCs w:val="20"/>
                <w:lang w:eastAsia="zh-CN"/>
              </w:rPr>
              <w:t>——</w:t>
            </w:r>
            <w:r w:rsidRPr="00403B4F">
              <w:rPr>
                <w:rFonts w:eastAsiaTheme="minorEastAsia"/>
                <w:sz w:val="20"/>
                <w:szCs w:val="20"/>
                <w:lang w:eastAsia="zh-CN"/>
              </w:rPr>
              <w:t>以红藻（</w:t>
            </w:r>
            <w:r w:rsidRPr="00403B4F">
              <w:rPr>
                <w:rFonts w:eastAsiaTheme="minorEastAsia"/>
                <w:sz w:val="20"/>
                <w:szCs w:val="20"/>
                <w:lang w:eastAsia="zh-CN"/>
              </w:rPr>
              <w:t>Phyllophoraceae</w:t>
            </w:r>
            <w:r w:rsidRPr="00403B4F">
              <w:rPr>
                <w:rFonts w:eastAsiaTheme="minorEastAsia"/>
                <w:sz w:val="20"/>
                <w:szCs w:val="20"/>
                <w:lang w:eastAsia="zh-CN"/>
              </w:rPr>
              <w:t>）为主的海藻集中出现在这里。</w:t>
            </w:r>
            <w:r w:rsidRPr="00403B4F">
              <w:rPr>
                <w:rFonts w:eastAsiaTheme="minorEastAsia"/>
                <w:sz w:val="20"/>
                <w:szCs w:val="20"/>
                <w:lang w:eastAsia="zh-CN"/>
              </w:rPr>
              <w:t xml:space="preserve"> </w:t>
            </w:r>
            <w:r w:rsidRPr="00403B4F">
              <w:rPr>
                <w:rFonts w:eastAsiaTheme="minorEastAsia"/>
                <w:sz w:val="20"/>
                <w:szCs w:val="20"/>
                <w:lang w:eastAsia="zh-CN"/>
              </w:rPr>
              <w:t>该区是许多无脊椎动物和鱼类的重要栖息地。位于黑海环流两个分支之间第聂伯河古河床拥有大型水生植物群。主要沉积物为贝壳灰岩、淤泥贝壳灰岩、贝壳淤泥。这里的生态系统状态是整个黑海西北部生态系统状态的指标。</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L</w:t>
            </w:r>
          </w:p>
        </w:tc>
      </w:tr>
      <w:tr w:rsidR="00772406" w:rsidRPr="00403B4F" w:rsidTr="00772406">
        <w:tc>
          <w:tcPr>
            <w:tcW w:w="9687" w:type="dxa"/>
            <w:shd w:val="clear" w:color="auto" w:fill="auto"/>
          </w:tcPr>
          <w:p w:rsidR="00772406" w:rsidRPr="00403B4F" w:rsidRDefault="00772406" w:rsidP="001A42F8">
            <w:pPr>
              <w:pStyle w:val="ListParagraph"/>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rFonts w:eastAsiaTheme="minorEastAsia"/>
                <w:b/>
                <w:sz w:val="20"/>
                <w:szCs w:val="20"/>
              </w:rPr>
            </w:pPr>
            <w:r w:rsidRPr="00403B4F">
              <w:rPr>
                <w:rFonts w:eastAsiaTheme="minorEastAsia"/>
                <w:b/>
                <w:sz w:val="20"/>
                <w:szCs w:val="20"/>
              </w:rPr>
              <w:t>小育叶藻场</w:t>
            </w:r>
          </w:p>
          <w:p w:rsidR="00772406" w:rsidRPr="00403B4F" w:rsidRDefault="00772406" w:rsidP="001A42F8">
            <w:pPr>
              <w:pStyle w:val="ListParagraph"/>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rFonts w:eastAsiaTheme="minorEastAsia"/>
                <w:sz w:val="20"/>
                <w:szCs w:val="20"/>
                <w:lang w:eastAsia="zh-CN"/>
              </w:rPr>
            </w:pPr>
            <w:r w:rsidRPr="00403B4F">
              <w:rPr>
                <w:rFonts w:eastAsiaTheme="minorEastAsia"/>
                <w:sz w:val="20"/>
                <w:szCs w:val="20"/>
                <w:lang w:eastAsia="zh-CN"/>
              </w:rPr>
              <w:t>位置：小育叶藻场位于</w:t>
            </w:r>
            <w:r w:rsidRPr="00403B4F">
              <w:rPr>
                <w:rStyle w:val="st"/>
                <w:rFonts w:eastAsiaTheme="minorEastAsia"/>
                <w:sz w:val="20"/>
                <w:szCs w:val="20"/>
                <w:lang w:eastAsia="zh-CN"/>
              </w:rPr>
              <w:t>卡尔</w:t>
            </w:r>
            <w:r w:rsidRPr="00403B4F">
              <w:rPr>
                <w:rStyle w:val="Emphasis"/>
                <w:rFonts w:eastAsiaTheme="minorEastAsia"/>
                <w:sz w:val="20"/>
                <w:szCs w:val="20"/>
                <w:lang w:eastAsia="zh-CN"/>
              </w:rPr>
              <w:t>基尼</w:t>
            </w:r>
            <w:r w:rsidRPr="00403B4F">
              <w:rPr>
                <w:rFonts w:eastAsiaTheme="minorEastAsia"/>
                <w:sz w:val="20"/>
                <w:szCs w:val="20"/>
                <w:lang w:eastAsia="zh-CN"/>
              </w:rPr>
              <w:t>湾。</w:t>
            </w:r>
            <w:r w:rsidRPr="00403B4F">
              <w:rPr>
                <w:rStyle w:val="st"/>
                <w:rFonts w:eastAsiaTheme="minorEastAsia"/>
                <w:sz w:val="20"/>
                <w:szCs w:val="20"/>
                <w:lang w:eastAsia="zh-CN"/>
              </w:rPr>
              <w:t>卡尔</w:t>
            </w:r>
            <w:r w:rsidRPr="00403B4F">
              <w:rPr>
                <w:rStyle w:val="Emphasis"/>
                <w:rFonts w:eastAsiaTheme="minorEastAsia"/>
                <w:sz w:val="20"/>
                <w:szCs w:val="20"/>
                <w:lang w:eastAsia="zh-CN"/>
              </w:rPr>
              <w:t>基尼</w:t>
            </w:r>
            <w:r w:rsidRPr="00403B4F">
              <w:rPr>
                <w:rFonts w:eastAsiaTheme="minorEastAsia"/>
                <w:sz w:val="20"/>
                <w:szCs w:val="20"/>
                <w:lang w:eastAsia="zh-CN"/>
              </w:rPr>
              <w:t>湾是黑海最大的海湾，位于克里米亚半岛西北海岸与赫尔松州海岸之间，被</w:t>
            </w:r>
            <w:r w:rsidRPr="00403B4F">
              <w:rPr>
                <w:rStyle w:val="st"/>
                <w:rFonts w:eastAsiaTheme="minorEastAsia"/>
                <w:sz w:val="20"/>
                <w:szCs w:val="20"/>
                <w:lang w:eastAsia="zh-CN"/>
              </w:rPr>
              <w:t>贾雷尔加奇岛</w:t>
            </w:r>
            <w:r w:rsidRPr="00403B4F">
              <w:rPr>
                <w:rFonts w:eastAsiaTheme="minorEastAsia"/>
                <w:sz w:val="20"/>
                <w:szCs w:val="20"/>
                <w:lang w:eastAsia="zh-CN"/>
              </w:rPr>
              <w:t>和</w:t>
            </w:r>
            <w:r w:rsidRPr="00403B4F">
              <w:rPr>
                <w:rStyle w:val="Emphasis"/>
                <w:rFonts w:eastAsiaTheme="minorEastAsia"/>
                <w:sz w:val="20"/>
                <w:szCs w:val="20"/>
                <w:lang w:eastAsia="zh-CN"/>
              </w:rPr>
              <w:t>坚德罗夫</w:t>
            </w:r>
            <w:r w:rsidRPr="00403B4F">
              <w:rPr>
                <w:rFonts w:eastAsiaTheme="minorEastAsia"/>
                <w:sz w:val="20"/>
                <w:szCs w:val="20"/>
                <w:lang w:eastAsia="zh-CN"/>
              </w:rPr>
              <w:t>沙嘴环抱。</w:t>
            </w:r>
          </w:p>
          <w:p w:rsidR="00772406" w:rsidRPr="00403B4F" w:rsidRDefault="00772406" w:rsidP="001A42F8">
            <w:pPr>
              <w:pStyle w:val="ListParagraph"/>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rFonts w:eastAsiaTheme="minorEastAsia"/>
                <w:sz w:val="20"/>
                <w:szCs w:val="20"/>
                <w:lang w:eastAsia="zh-CN"/>
              </w:rPr>
            </w:pPr>
            <w:r w:rsidRPr="00403B4F">
              <w:rPr>
                <w:rFonts w:eastAsiaTheme="minorEastAsia"/>
                <w:sz w:val="20"/>
                <w:szCs w:val="20"/>
                <w:lang w:eastAsia="zh-CN"/>
              </w:rPr>
              <w:t>育叶藻是红藻类，具有商业价值，从中采集和提取红藻琼脂。也是藻类进行光合作用产生氧气的重要来源。黑海西北部的育叶藻场生长着特有动物群落，包括</w:t>
            </w:r>
            <w:r w:rsidRPr="00403B4F">
              <w:rPr>
                <w:rFonts w:eastAsiaTheme="minorEastAsia"/>
                <w:sz w:val="20"/>
                <w:szCs w:val="20"/>
                <w:lang w:eastAsia="zh-CN"/>
              </w:rPr>
              <w:t>110</w:t>
            </w:r>
            <w:r w:rsidRPr="00403B4F">
              <w:rPr>
                <w:rFonts w:eastAsiaTheme="minorEastAsia"/>
                <w:sz w:val="20"/>
                <w:szCs w:val="20"/>
                <w:lang w:eastAsia="zh-CN"/>
              </w:rPr>
              <w:t>多种无脊椎动物和</w:t>
            </w:r>
            <w:r w:rsidRPr="00403B4F">
              <w:rPr>
                <w:rFonts w:eastAsiaTheme="minorEastAsia"/>
                <w:sz w:val="20"/>
                <w:szCs w:val="20"/>
                <w:lang w:eastAsia="zh-CN"/>
              </w:rPr>
              <w:t>47</w:t>
            </w:r>
            <w:r w:rsidRPr="00403B4F">
              <w:rPr>
                <w:rFonts w:eastAsiaTheme="minorEastAsia"/>
                <w:sz w:val="20"/>
                <w:szCs w:val="20"/>
                <w:lang w:eastAsia="zh-CN"/>
              </w:rPr>
              <w:t>种鱼类。许多物种进化出一种微红色，特为在藻内伪装自己。</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L</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1A42F8">
            <w:pPr>
              <w:pStyle w:val="ListParagraph"/>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rFonts w:eastAsiaTheme="minorEastAsia"/>
                <w:b/>
                <w:sz w:val="20"/>
                <w:szCs w:val="20"/>
              </w:rPr>
            </w:pPr>
            <w:r w:rsidRPr="00403B4F">
              <w:rPr>
                <w:rStyle w:val="st"/>
                <w:rFonts w:eastAsiaTheme="minorEastAsia"/>
                <w:b/>
                <w:sz w:val="20"/>
                <w:szCs w:val="20"/>
              </w:rPr>
              <w:t>巴拉克拉瓦</w:t>
            </w:r>
          </w:p>
          <w:p w:rsidR="00772406" w:rsidRPr="00403B4F" w:rsidRDefault="00772406" w:rsidP="001A42F8">
            <w:pPr>
              <w:pStyle w:val="ListParagraph"/>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rFonts w:eastAsiaTheme="minorEastAsia"/>
                <w:sz w:val="20"/>
                <w:szCs w:val="20"/>
              </w:rPr>
            </w:pPr>
            <w:r w:rsidRPr="00403B4F">
              <w:rPr>
                <w:rFonts w:eastAsiaTheme="minorEastAsia"/>
                <w:sz w:val="20"/>
                <w:szCs w:val="20"/>
                <w:lang w:eastAsia="zh-CN"/>
              </w:rPr>
              <w:t>位置：位于东经</w:t>
            </w:r>
            <w:r w:rsidRPr="00403B4F">
              <w:rPr>
                <w:rFonts w:eastAsiaTheme="minorEastAsia"/>
                <w:color w:val="212121"/>
                <w:szCs w:val="22"/>
                <w:lang w:val="tr-TR" w:eastAsia="ja-JP"/>
              </w:rPr>
              <w:t>33º 36’ 12.37”</w:t>
            </w:r>
            <w:r w:rsidRPr="00403B4F">
              <w:rPr>
                <w:rFonts w:eastAsiaTheme="minorEastAsia"/>
                <w:color w:val="212121"/>
                <w:sz w:val="20"/>
                <w:szCs w:val="20"/>
                <w:lang w:val="tr-TR" w:eastAsia="zh-CN"/>
              </w:rPr>
              <w:t>，北纬</w:t>
            </w:r>
            <w:r w:rsidRPr="00403B4F">
              <w:rPr>
                <w:rFonts w:eastAsiaTheme="minorEastAsia"/>
                <w:color w:val="212121"/>
                <w:szCs w:val="22"/>
                <w:lang w:val="tr-TR" w:eastAsia="ja-JP"/>
              </w:rPr>
              <w:t>44º 26’ 32.76”</w:t>
            </w:r>
            <w:r w:rsidRPr="00403B4F">
              <w:rPr>
                <w:rFonts w:eastAsiaTheme="minorEastAsia"/>
                <w:sz w:val="20"/>
                <w:szCs w:val="20"/>
                <w:lang w:eastAsia="zh-CN"/>
              </w:rPr>
              <w:t>。</w:t>
            </w:r>
            <w:r w:rsidRPr="00403B4F">
              <w:rPr>
                <w:rFonts w:eastAsiaTheme="minorEastAsia"/>
                <w:sz w:val="20"/>
                <w:szCs w:val="20"/>
              </w:rPr>
              <w:t>位于</w:t>
            </w:r>
            <w:r w:rsidRPr="00403B4F">
              <w:rPr>
                <w:rStyle w:val="st"/>
                <w:rFonts w:eastAsiaTheme="minorEastAsia"/>
                <w:sz w:val="20"/>
                <w:szCs w:val="20"/>
              </w:rPr>
              <w:t>巴拉克拉瓦</w:t>
            </w:r>
            <w:r w:rsidRPr="00403B4F">
              <w:rPr>
                <w:rFonts w:eastAsiaTheme="minorEastAsia"/>
                <w:sz w:val="20"/>
                <w:szCs w:val="20"/>
              </w:rPr>
              <w:t>湾外</w:t>
            </w:r>
            <w:r w:rsidRPr="00403B4F">
              <w:rPr>
                <w:rFonts w:eastAsiaTheme="minorEastAsia"/>
                <w:sz w:val="20"/>
                <w:szCs w:val="20"/>
              </w:rPr>
              <w:t>Fiolent</w:t>
            </w:r>
            <w:r w:rsidRPr="00403B4F">
              <w:rPr>
                <w:rFonts w:eastAsiaTheme="minorEastAsia"/>
                <w:sz w:val="20"/>
                <w:szCs w:val="20"/>
              </w:rPr>
              <w:t>海角和</w:t>
            </w:r>
            <w:r w:rsidRPr="00403B4F">
              <w:rPr>
                <w:rFonts w:eastAsiaTheme="minorEastAsia"/>
                <w:sz w:val="20"/>
                <w:szCs w:val="20"/>
              </w:rPr>
              <w:t>Sarych</w:t>
            </w:r>
            <w:r w:rsidRPr="00403B4F">
              <w:rPr>
                <w:rFonts w:eastAsiaTheme="minorEastAsia"/>
                <w:sz w:val="20"/>
                <w:szCs w:val="20"/>
              </w:rPr>
              <w:t>海角</w:t>
            </w:r>
            <w:r w:rsidRPr="00403B4F">
              <w:rPr>
                <w:rFonts w:eastAsiaTheme="minorEastAsia"/>
                <w:sz w:val="20"/>
                <w:szCs w:val="20"/>
              </w:rPr>
              <w:lastRenderedPageBreak/>
              <w:t>之间的沿岸水域，水深</w:t>
            </w:r>
            <w:r w:rsidRPr="00403B4F">
              <w:rPr>
                <w:rFonts w:eastAsiaTheme="minorEastAsia"/>
                <w:sz w:val="20"/>
                <w:szCs w:val="20"/>
              </w:rPr>
              <w:t>0</w:t>
            </w:r>
            <w:r w:rsidRPr="00403B4F">
              <w:rPr>
                <w:rFonts w:eastAsiaTheme="minorEastAsia"/>
                <w:sz w:val="20"/>
                <w:szCs w:val="20"/>
              </w:rPr>
              <w:t>至</w:t>
            </w:r>
            <w:r w:rsidRPr="00403B4F">
              <w:rPr>
                <w:rFonts w:eastAsiaTheme="minorEastAsia"/>
                <w:sz w:val="20"/>
                <w:szCs w:val="20"/>
              </w:rPr>
              <w:t>70</w:t>
            </w:r>
            <w:r w:rsidRPr="00403B4F">
              <w:rPr>
                <w:rFonts w:eastAsiaTheme="minorEastAsia"/>
                <w:sz w:val="20"/>
                <w:szCs w:val="20"/>
              </w:rPr>
              <w:t>米。</w:t>
            </w:r>
          </w:p>
          <w:p w:rsidR="00772406" w:rsidRPr="00403B4F" w:rsidRDefault="00772406" w:rsidP="001A42F8">
            <w:pPr>
              <w:pStyle w:val="ListParagraph"/>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rFonts w:eastAsiaTheme="minorEastAsia"/>
                <w:sz w:val="20"/>
                <w:szCs w:val="20"/>
                <w:lang w:eastAsia="zh-CN"/>
              </w:rPr>
            </w:pPr>
            <w:r w:rsidRPr="00403B4F">
              <w:rPr>
                <w:rFonts w:eastAsiaTheme="minorEastAsia"/>
                <w:sz w:val="20"/>
                <w:szCs w:val="20"/>
                <w:lang w:eastAsia="zh-CN"/>
              </w:rPr>
              <w:t>该区是黑海鲸目动物分布热点区，被指定为《</w:t>
            </w:r>
            <w:r w:rsidRPr="00403B4F">
              <w:rPr>
                <w:rStyle w:val="ng-binding"/>
                <w:rFonts w:eastAsiaTheme="minorEastAsia"/>
                <w:sz w:val="20"/>
                <w:szCs w:val="20"/>
                <w:lang w:eastAsia="zh-CN"/>
              </w:rPr>
              <w:t>关于养护黑海、地中海和毗连大西洋海域鲸目动物的协定</w:t>
            </w:r>
            <w:r w:rsidRPr="00403B4F">
              <w:rPr>
                <w:rFonts w:eastAsiaTheme="minorEastAsia"/>
                <w:sz w:val="20"/>
                <w:szCs w:val="20"/>
                <w:lang w:eastAsia="zh-CN"/>
              </w:rPr>
              <w:t>》鲸目动物重要栖息地。它是被列入《</w:t>
            </w:r>
            <w:r w:rsidRPr="00403B4F">
              <w:rPr>
                <w:rStyle w:val="ng-binding"/>
                <w:rFonts w:eastAsiaTheme="minorEastAsia"/>
                <w:sz w:val="20"/>
                <w:szCs w:val="20"/>
                <w:lang w:eastAsia="zh-CN"/>
              </w:rPr>
              <w:t>自然保护联盟濒临灭绝物种红色名录》的</w:t>
            </w:r>
            <w:r w:rsidRPr="00403B4F">
              <w:rPr>
                <w:rFonts w:eastAsiaTheme="minorEastAsia"/>
                <w:sz w:val="20"/>
                <w:szCs w:val="20"/>
                <w:lang w:eastAsia="zh-CN"/>
              </w:rPr>
              <w:t>两种鲸目物种即黑海港湾鼠海豚（</w:t>
            </w:r>
            <w:r w:rsidRPr="00403B4F">
              <w:rPr>
                <w:rFonts w:eastAsiaTheme="minorEastAsia"/>
                <w:sz w:val="20"/>
                <w:szCs w:val="20"/>
                <w:lang w:eastAsia="zh-CN"/>
              </w:rPr>
              <w:t>Phocoena phocoena relicta</w:t>
            </w:r>
            <w:r w:rsidRPr="00403B4F">
              <w:rPr>
                <w:rFonts w:eastAsiaTheme="minorEastAsia"/>
                <w:sz w:val="20"/>
                <w:szCs w:val="20"/>
                <w:lang w:eastAsia="zh-CN"/>
              </w:rPr>
              <w:t>）和黑海</w:t>
            </w:r>
            <w:r w:rsidRPr="00403B4F">
              <w:rPr>
                <w:rStyle w:val="st"/>
                <w:rFonts w:eastAsiaTheme="minorEastAsia"/>
                <w:sz w:val="20"/>
                <w:szCs w:val="20"/>
                <w:lang w:eastAsia="zh-CN"/>
              </w:rPr>
              <w:t>瓶鼻</w:t>
            </w:r>
            <w:r w:rsidRPr="00403B4F">
              <w:rPr>
                <w:rFonts w:eastAsiaTheme="minorEastAsia"/>
                <w:sz w:val="20"/>
                <w:szCs w:val="20"/>
                <w:lang w:eastAsia="zh-CN"/>
              </w:rPr>
              <w:t>海豚（</w:t>
            </w:r>
            <w:r w:rsidRPr="00403B4F">
              <w:rPr>
                <w:rFonts w:eastAsiaTheme="minorEastAsia"/>
                <w:sz w:val="20"/>
                <w:szCs w:val="20"/>
                <w:lang w:eastAsia="zh-CN"/>
              </w:rPr>
              <w:t>Tursiops truncatus ponticus</w:t>
            </w:r>
            <w:r w:rsidRPr="00403B4F">
              <w:rPr>
                <w:rFonts w:eastAsiaTheme="minorEastAsia"/>
                <w:sz w:val="20"/>
                <w:szCs w:val="20"/>
                <w:lang w:eastAsia="zh-CN"/>
              </w:rPr>
              <w:t>）的重要栖息地，为其提供繁殖和摄食场所。</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lastRenderedPageBreak/>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1A42F8">
            <w:pPr>
              <w:pStyle w:val="HTMLPreformatted"/>
              <w:numPr>
                <w:ilvl w:val="0"/>
                <w:numId w:val="144"/>
              </w:numPr>
              <w:spacing w:before="0" w:after="0"/>
              <w:rPr>
                <w:rFonts w:ascii="Times New Roman" w:eastAsiaTheme="minorEastAsia" w:hAnsi="Times New Roman"/>
                <w:b/>
              </w:rPr>
            </w:pPr>
            <w:r w:rsidRPr="00403B4F">
              <w:rPr>
                <w:rStyle w:val="Emphasis"/>
                <w:rFonts w:ascii="Times New Roman" w:eastAsiaTheme="minorEastAsia" w:hAnsi="Times New Roman"/>
                <w:b w:val="0"/>
              </w:rPr>
              <w:lastRenderedPageBreak/>
              <w:t>雅戈</w:t>
            </w:r>
            <w:r w:rsidRPr="00403B4F">
              <w:rPr>
                <w:rStyle w:val="st"/>
                <w:rFonts w:ascii="Times New Roman" w:eastAsiaTheme="minorEastAsia" w:hAnsi="Times New Roman"/>
                <w:b/>
              </w:rPr>
              <w:t>利</w:t>
            </w:r>
            <w:r w:rsidRPr="00403B4F">
              <w:rPr>
                <w:rStyle w:val="Emphasis"/>
                <w:rFonts w:ascii="Times New Roman" w:eastAsiaTheme="minorEastAsia" w:hAnsi="Times New Roman"/>
                <w:b w:val="0"/>
              </w:rPr>
              <w:t>斯基湾</w:t>
            </w:r>
          </w:p>
          <w:p w:rsidR="00772406" w:rsidRPr="00403B4F" w:rsidRDefault="00772406" w:rsidP="001A42F8">
            <w:pPr>
              <w:pStyle w:val="HTMLPreformatted"/>
              <w:numPr>
                <w:ilvl w:val="0"/>
                <w:numId w:val="148"/>
              </w:numPr>
              <w:spacing w:before="0" w:after="0"/>
              <w:rPr>
                <w:rFonts w:ascii="Times New Roman" w:eastAsiaTheme="minorEastAsia" w:hAnsi="Times New Roman"/>
              </w:rPr>
            </w:pPr>
            <w:r w:rsidRPr="00403B4F">
              <w:rPr>
                <w:rFonts w:ascii="Times New Roman" w:eastAsiaTheme="minorEastAsia" w:hAnsi="Times New Roman"/>
                <w:lang w:eastAsia="zh-CN"/>
              </w:rPr>
              <w:t>位置：位于乌克兰尼古拉耶夫和赫尔松地区之间的黑海西北部海岸。北部有</w:t>
            </w:r>
            <w:r w:rsidRPr="00403B4F">
              <w:rPr>
                <w:rFonts w:ascii="Times New Roman" w:eastAsiaTheme="minorEastAsia" w:hAnsi="Times New Roman"/>
                <w:lang w:eastAsia="zh-CN"/>
              </w:rPr>
              <w:t>Kinburg</w:t>
            </w:r>
            <w:r w:rsidRPr="00403B4F">
              <w:rPr>
                <w:rFonts w:ascii="Times New Roman" w:eastAsiaTheme="minorEastAsia" w:hAnsi="Times New Roman"/>
                <w:lang w:eastAsia="zh-CN"/>
              </w:rPr>
              <w:t>弯岬，将第聶伯河</w:t>
            </w:r>
            <w:r w:rsidRPr="00403B4F">
              <w:rPr>
                <w:rFonts w:ascii="Times New Roman" w:eastAsiaTheme="minorEastAsia" w:hAnsi="Times New Roman"/>
                <w:lang w:eastAsia="zh-CN"/>
              </w:rPr>
              <w:t>-</w:t>
            </w:r>
            <w:r w:rsidRPr="00403B4F">
              <w:rPr>
                <w:rFonts w:ascii="Times New Roman" w:eastAsiaTheme="minorEastAsia" w:hAnsi="Times New Roman"/>
                <w:lang w:eastAsia="zh-CN"/>
              </w:rPr>
              <w:t>布格河河口隔开。海湾长</w:t>
            </w:r>
            <w:r w:rsidRPr="00403B4F">
              <w:rPr>
                <w:rFonts w:ascii="Times New Roman" w:eastAsiaTheme="minorEastAsia" w:hAnsi="Times New Roman"/>
                <w:lang w:eastAsia="zh-CN"/>
              </w:rPr>
              <w:t>26</w:t>
            </w:r>
            <w:r w:rsidRPr="00403B4F">
              <w:rPr>
                <w:rFonts w:ascii="Times New Roman" w:eastAsiaTheme="minorEastAsia" w:hAnsi="Times New Roman"/>
                <w:lang w:eastAsia="zh-CN"/>
              </w:rPr>
              <w:t>公里，入口宽</w:t>
            </w:r>
            <w:r w:rsidRPr="00403B4F">
              <w:rPr>
                <w:rFonts w:ascii="Times New Roman" w:eastAsiaTheme="minorEastAsia" w:hAnsi="Times New Roman"/>
                <w:lang w:eastAsia="zh-CN"/>
              </w:rPr>
              <w:t>15</w:t>
            </w:r>
            <w:r w:rsidRPr="00403B4F">
              <w:rPr>
                <w:rFonts w:ascii="Times New Roman" w:eastAsiaTheme="minorEastAsia" w:hAnsi="Times New Roman"/>
                <w:lang w:eastAsia="zh-CN"/>
              </w:rPr>
              <w:t>公里。</w:t>
            </w:r>
            <w:r w:rsidRPr="00403B4F">
              <w:rPr>
                <w:rFonts w:ascii="Times New Roman" w:eastAsiaTheme="minorEastAsia" w:hAnsi="Times New Roman"/>
              </w:rPr>
              <w:t>地理坐标：北纬</w:t>
            </w:r>
            <w:r w:rsidRPr="00403B4F">
              <w:rPr>
                <w:rFonts w:ascii="Times New Roman" w:eastAsiaTheme="minorEastAsia" w:hAnsi="Times New Roman"/>
                <w:lang w:eastAsia="en-US"/>
              </w:rPr>
              <w:t>46° 29,122' - 46° 19,867'</w:t>
            </w:r>
            <w:r w:rsidRPr="00403B4F">
              <w:rPr>
                <w:rFonts w:ascii="Times New Roman" w:eastAsiaTheme="minorEastAsia" w:hAnsi="Times New Roman"/>
              </w:rPr>
              <w:t>、东经</w:t>
            </w:r>
            <w:r w:rsidRPr="00403B4F">
              <w:rPr>
                <w:rFonts w:ascii="Times New Roman" w:eastAsiaTheme="minorEastAsia" w:hAnsi="Times New Roman"/>
                <w:lang w:eastAsia="en-US"/>
              </w:rPr>
              <w:t>31° 47,066' - 32° 3,695</w:t>
            </w:r>
            <w:r w:rsidRPr="00403B4F">
              <w:rPr>
                <w:rFonts w:ascii="Times New Roman" w:eastAsiaTheme="minorEastAsia" w:hAnsi="Times New Roman"/>
                <w:sz w:val="22"/>
                <w:szCs w:val="22"/>
                <w:lang w:eastAsia="en-US"/>
              </w:rPr>
              <w:t>'</w:t>
            </w:r>
            <w:r w:rsidRPr="00403B4F">
              <w:rPr>
                <w:rFonts w:ascii="Times New Roman" w:eastAsiaTheme="minorEastAsia" w:hAnsi="Times New Roman"/>
              </w:rPr>
              <w:t>。</w:t>
            </w:r>
          </w:p>
          <w:p w:rsidR="00772406" w:rsidRPr="00403B4F" w:rsidRDefault="00772406" w:rsidP="001A42F8">
            <w:pPr>
              <w:pStyle w:val="HTMLPreformatted"/>
              <w:numPr>
                <w:ilvl w:val="0"/>
                <w:numId w:val="148"/>
              </w:numPr>
              <w:spacing w:before="0" w:after="0"/>
              <w:rPr>
                <w:rFonts w:ascii="Times New Roman" w:eastAsiaTheme="minorEastAsia" w:hAnsi="Times New Roman"/>
                <w:lang w:eastAsia="zh-CN"/>
              </w:rPr>
            </w:pPr>
            <w:r w:rsidRPr="00403B4F">
              <w:rPr>
                <w:rFonts w:ascii="Times New Roman" w:eastAsiaTheme="minorEastAsia" w:hAnsi="Times New Roman"/>
                <w:lang w:eastAsia="zh-CN"/>
              </w:rPr>
              <w:t>特殊的水文、水化学、水生物学体系使</w:t>
            </w:r>
            <w:r w:rsidRPr="00403B4F">
              <w:rPr>
                <w:rStyle w:val="Emphasis"/>
                <w:rFonts w:ascii="Times New Roman" w:eastAsiaTheme="minorEastAsia" w:hAnsi="Times New Roman"/>
                <w:lang w:eastAsia="zh-CN"/>
              </w:rPr>
              <w:t>雅戈</w:t>
            </w:r>
            <w:r w:rsidRPr="00403B4F">
              <w:rPr>
                <w:rStyle w:val="st"/>
                <w:rFonts w:ascii="Times New Roman" w:eastAsiaTheme="minorEastAsia" w:hAnsi="Times New Roman"/>
                <w:lang w:eastAsia="zh-CN"/>
              </w:rPr>
              <w:t>利</w:t>
            </w:r>
            <w:r w:rsidRPr="00403B4F">
              <w:rPr>
                <w:rStyle w:val="Emphasis"/>
                <w:rFonts w:ascii="Times New Roman" w:eastAsiaTheme="minorEastAsia" w:hAnsi="Times New Roman"/>
                <w:lang w:eastAsia="zh-CN"/>
              </w:rPr>
              <w:t>斯基</w:t>
            </w:r>
            <w:r w:rsidRPr="00403B4F">
              <w:rPr>
                <w:rFonts w:ascii="Times New Roman" w:eastAsiaTheme="minorEastAsia" w:hAnsi="Times New Roman"/>
                <w:lang w:eastAsia="zh-CN"/>
              </w:rPr>
              <w:t>湾成为黑海西北部的一个独特区域。海湾的海洋</w:t>
            </w:r>
            <w:r w:rsidRPr="00403B4F">
              <w:rPr>
                <w:rFonts w:ascii="Times New Roman" w:eastAsiaTheme="minorEastAsia" w:hAnsi="Times New Roman"/>
                <w:lang w:eastAsia="zh-CN"/>
              </w:rPr>
              <w:t>-</w:t>
            </w:r>
            <w:r w:rsidRPr="00403B4F">
              <w:rPr>
                <w:rFonts w:ascii="Times New Roman" w:eastAsiaTheme="minorEastAsia" w:hAnsi="Times New Roman"/>
                <w:lang w:eastAsia="zh-CN"/>
              </w:rPr>
              <w:t>陆地复合体具有丰富多样的动植物、高度的特有性、独特的地貌和景观，拥有具有国际环境重要性的地位。海湾的水域是国家自然公园</w:t>
            </w:r>
            <w:r w:rsidRPr="00403B4F">
              <w:rPr>
                <w:rFonts w:ascii="Times New Roman" w:eastAsiaTheme="minorEastAsia" w:hAnsi="Times New Roman"/>
                <w:lang w:eastAsia="zh-CN"/>
              </w:rPr>
              <w:t>“Biloberezhia Sviatoslava”</w:t>
            </w:r>
            <w:r w:rsidRPr="00403B4F">
              <w:rPr>
                <w:rFonts w:ascii="Times New Roman" w:eastAsiaTheme="minorEastAsia" w:hAnsi="Times New Roman"/>
                <w:lang w:eastAsia="zh-CN"/>
              </w:rPr>
              <w:t>和黑海生物圈保护区的一部分。这些保护区的自然和陆地复合体不仅包括海湾的水生生物复合体，而且包括湿地、草原、盐沼、沙地和森林景观，具有高度保护价值和高度生物多样性。这些群落生境在保持该区域和国家物种多样性方面发挥着特殊的作用，是主要商业鱼类繁殖和摄食的地方，而浅水区则是许多筑巢和越冬水鸟的避难所。</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L</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r>
      <w:tr w:rsidR="00772406" w:rsidRPr="00403B4F" w:rsidTr="00772406">
        <w:tc>
          <w:tcPr>
            <w:tcW w:w="9687" w:type="dxa"/>
            <w:shd w:val="clear" w:color="auto" w:fill="auto"/>
          </w:tcPr>
          <w:p w:rsidR="00772406" w:rsidRPr="00403B4F" w:rsidRDefault="00772406" w:rsidP="001A42F8">
            <w:pPr>
              <w:pStyle w:val="HTMLPreformatted"/>
              <w:numPr>
                <w:ilvl w:val="0"/>
                <w:numId w:val="144"/>
              </w:numPr>
              <w:spacing w:before="0" w:after="0"/>
              <w:rPr>
                <w:rFonts w:ascii="Times New Roman" w:eastAsiaTheme="minorEastAsia" w:hAnsi="Times New Roman"/>
                <w:b/>
              </w:rPr>
            </w:pPr>
            <w:r w:rsidRPr="00403B4F">
              <w:rPr>
                <w:rFonts w:ascii="Times New Roman" w:eastAsiaTheme="minorEastAsia" w:hAnsi="Times New Roman"/>
                <w:b/>
              </w:rPr>
              <w:t>库班三角洲</w:t>
            </w:r>
          </w:p>
          <w:p w:rsidR="00772406" w:rsidRPr="00403B4F" w:rsidRDefault="00772406" w:rsidP="001A42F8">
            <w:pPr>
              <w:pStyle w:val="HTMLPreformatted"/>
              <w:numPr>
                <w:ilvl w:val="0"/>
                <w:numId w:val="149"/>
              </w:numPr>
              <w:spacing w:before="0" w:after="0"/>
              <w:rPr>
                <w:rFonts w:ascii="Times New Roman" w:eastAsiaTheme="minorEastAsia" w:hAnsi="Times New Roman"/>
                <w:lang w:eastAsia="zh-CN"/>
              </w:rPr>
            </w:pPr>
            <w:r w:rsidRPr="00403B4F">
              <w:rPr>
                <w:rFonts w:ascii="Times New Roman" w:eastAsiaTheme="minorEastAsia" w:hAnsi="Times New Roman"/>
                <w:lang w:eastAsia="zh-CN"/>
              </w:rPr>
              <w:t>位置：位于北纬</w:t>
            </w:r>
            <w:r w:rsidRPr="00403B4F">
              <w:rPr>
                <w:rFonts w:ascii="Times New Roman" w:eastAsiaTheme="minorEastAsia" w:hAnsi="Times New Roman"/>
                <w:lang w:eastAsia="zh-CN"/>
              </w:rPr>
              <w:t>45°30'</w:t>
            </w:r>
            <w:r w:rsidRPr="00403B4F">
              <w:rPr>
                <w:rFonts w:ascii="Times New Roman" w:eastAsiaTheme="minorEastAsia" w:hAnsi="Times New Roman"/>
                <w:lang w:eastAsia="zh-CN"/>
              </w:rPr>
              <w:t>，东经</w:t>
            </w:r>
            <w:r w:rsidRPr="00403B4F">
              <w:rPr>
                <w:rFonts w:ascii="Times New Roman" w:eastAsiaTheme="minorEastAsia" w:hAnsi="Times New Roman"/>
                <w:lang w:eastAsia="zh-CN"/>
              </w:rPr>
              <w:t>37°48'</w:t>
            </w:r>
            <w:r w:rsidRPr="00403B4F">
              <w:rPr>
                <w:rFonts w:ascii="Times New Roman" w:eastAsiaTheme="minorEastAsia" w:hAnsi="Times New Roman"/>
                <w:lang w:eastAsia="zh-CN"/>
              </w:rPr>
              <w:t>。南边界沿</w:t>
            </w:r>
            <w:r w:rsidRPr="00403B4F">
              <w:rPr>
                <w:rFonts w:ascii="Times New Roman" w:eastAsiaTheme="minorEastAsia" w:hAnsi="Times New Roman"/>
                <w:lang w:eastAsia="zh-CN"/>
              </w:rPr>
              <w:t>Kurchansky</w:t>
            </w:r>
            <w:r w:rsidRPr="00403B4F">
              <w:rPr>
                <w:rFonts w:ascii="Times New Roman" w:eastAsiaTheme="minorEastAsia" w:hAnsi="Times New Roman"/>
                <w:lang w:eastAsia="zh-CN"/>
              </w:rPr>
              <w:t>河口岸，环抱库班三角洲，至亚速海。西边界和北边界沿亚速海海岸延伸，至阿赫塔尔斯基河口中点。</w:t>
            </w:r>
          </w:p>
          <w:p w:rsidR="00772406" w:rsidRPr="00403B4F" w:rsidRDefault="00772406" w:rsidP="001A42F8">
            <w:pPr>
              <w:pStyle w:val="HTMLPreformatted"/>
              <w:numPr>
                <w:ilvl w:val="0"/>
                <w:numId w:val="149"/>
              </w:numPr>
              <w:spacing w:before="0" w:after="0"/>
              <w:rPr>
                <w:rFonts w:ascii="Times New Roman" w:eastAsiaTheme="minorEastAsia" w:hAnsi="Times New Roman"/>
                <w:lang w:eastAsia="zh-CN"/>
              </w:rPr>
            </w:pPr>
            <w:r w:rsidRPr="00403B4F">
              <w:rPr>
                <w:rFonts w:ascii="Times New Roman" w:eastAsiaTheme="minorEastAsia" w:hAnsi="Times New Roman"/>
                <w:lang w:eastAsia="zh-CN"/>
              </w:rPr>
              <w:t>库班三角洲是黑海第二大三角洲生态系</w:t>
            </w:r>
            <w:r w:rsidRPr="00403B4F">
              <w:rPr>
                <w:rFonts w:ascii="Times New Roman" w:eastAsiaTheme="minorEastAsia" w:hAnsi="Times New Roman"/>
                <w:lang w:eastAsia="zh-CN"/>
              </w:rPr>
              <w:t>--</w:t>
            </w:r>
            <w:r w:rsidRPr="00403B4F">
              <w:rPr>
                <w:rFonts w:ascii="Times New Roman" w:eastAsiaTheme="minorEastAsia" w:hAnsi="Times New Roman"/>
                <w:lang w:eastAsia="zh-CN"/>
              </w:rPr>
              <w:t>亚速海盆地（</w:t>
            </w:r>
            <w:r w:rsidRPr="00403B4F">
              <w:rPr>
                <w:rFonts w:ascii="Times New Roman" w:eastAsiaTheme="minorEastAsia" w:hAnsi="Times New Roman"/>
                <w:lang w:eastAsia="zh-CN"/>
              </w:rPr>
              <w:t>1,920</w:t>
            </w:r>
            <w:r w:rsidRPr="00403B4F">
              <w:rPr>
                <w:rFonts w:ascii="Times New Roman" w:eastAsiaTheme="minorEastAsia" w:hAnsi="Times New Roman"/>
                <w:lang w:eastAsia="zh-CN"/>
              </w:rPr>
              <w:t>平方公里）。它包括</w:t>
            </w:r>
            <w:r w:rsidRPr="00403B4F">
              <w:rPr>
                <w:rFonts w:ascii="Times New Roman" w:eastAsiaTheme="minorEastAsia" w:hAnsi="Times New Roman"/>
                <w:lang w:eastAsia="zh-CN"/>
              </w:rPr>
              <w:t>600</w:t>
            </w:r>
            <w:r w:rsidRPr="00403B4F">
              <w:rPr>
                <w:rFonts w:ascii="Times New Roman" w:eastAsiaTheme="minorEastAsia" w:hAnsi="Times New Roman"/>
                <w:lang w:eastAsia="zh-CN"/>
              </w:rPr>
              <w:t>多个不同水文情态的水体。许多水鸟在春秋迁徙季节把沿海湿地和三角洲河口作为中途停留地。该区与海洋重要鸟类和生物多样性区重叠，是一个重要的国际湿地，被指定为拉姆萨尔公约国际重要湿地。这对易危达尔马提亚鹈鹕（</w:t>
            </w:r>
            <w:r w:rsidRPr="00403B4F">
              <w:rPr>
                <w:rFonts w:ascii="Times New Roman" w:eastAsiaTheme="minorEastAsia" w:hAnsi="Times New Roman"/>
                <w:lang w:eastAsia="zh-CN"/>
              </w:rPr>
              <w:t>Pelecanus crispus</w:t>
            </w:r>
            <w:r w:rsidRPr="00403B4F">
              <w:rPr>
                <w:rFonts w:ascii="Times New Roman" w:eastAsiaTheme="minorEastAsia" w:hAnsi="Times New Roman"/>
                <w:lang w:eastAsia="zh-CN"/>
              </w:rPr>
              <w:t>）很重要。库班三角洲受自然和人为因素的影响，仍然处于不断变化之中。</w:t>
            </w:r>
          </w:p>
        </w:tc>
        <w:tc>
          <w:tcPr>
            <w:tcW w:w="506" w:type="dxa"/>
            <w:vAlign w:val="center"/>
          </w:tcPr>
          <w:p w:rsidR="00772406" w:rsidRPr="00403B4F" w:rsidRDefault="00772406" w:rsidP="00403B4F">
            <w:pPr>
              <w:keepNext/>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keepNext/>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keepNext/>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keepNext/>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keepNext/>
              <w:snapToGrid w:val="0"/>
              <w:spacing w:before="0" w:after="0"/>
              <w:jc w:val="center"/>
              <w:rPr>
                <w:rFonts w:eastAsiaTheme="minorEastAsia"/>
              </w:rPr>
            </w:pPr>
            <w:r w:rsidRPr="00403B4F">
              <w:rPr>
                <w:rFonts w:eastAsiaTheme="minorEastAsia"/>
              </w:rPr>
              <w:t>-</w:t>
            </w:r>
          </w:p>
        </w:tc>
        <w:tc>
          <w:tcPr>
            <w:tcW w:w="506" w:type="dxa"/>
            <w:vAlign w:val="center"/>
          </w:tcPr>
          <w:p w:rsidR="00772406" w:rsidRPr="00403B4F" w:rsidRDefault="00772406" w:rsidP="00403B4F">
            <w:pPr>
              <w:keepNext/>
              <w:snapToGrid w:val="0"/>
              <w:spacing w:before="0" w:after="0"/>
              <w:jc w:val="center"/>
              <w:rPr>
                <w:rFonts w:eastAsiaTheme="minorEastAsia"/>
              </w:rPr>
            </w:pPr>
            <w:r w:rsidRPr="00403B4F">
              <w:rPr>
                <w:rFonts w:eastAsiaTheme="minorEastAsia"/>
              </w:rPr>
              <w:t>H</w:t>
            </w:r>
          </w:p>
        </w:tc>
        <w:tc>
          <w:tcPr>
            <w:tcW w:w="507" w:type="dxa"/>
            <w:vAlign w:val="center"/>
          </w:tcPr>
          <w:p w:rsidR="00772406" w:rsidRPr="00403B4F" w:rsidRDefault="00772406" w:rsidP="00403B4F">
            <w:pPr>
              <w:keepNext/>
              <w:snapToGrid w:val="0"/>
              <w:spacing w:before="0" w:after="0"/>
              <w:jc w:val="center"/>
              <w:rPr>
                <w:rFonts w:eastAsiaTheme="minorEastAsia"/>
              </w:rPr>
            </w:pPr>
            <w:r w:rsidRPr="00403B4F">
              <w:rPr>
                <w:rFonts w:eastAsiaTheme="minorEastAsia"/>
              </w:rPr>
              <w:t>L</w:t>
            </w:r>
          </w:p>
        </w:tc>
      </w:tr>
      <w:tr w:rsidR="00772406" w:rsidRPr="00403B4F" w:rsidTr="00772406">
        <w:tc>
          <w:tcPr>
            <w:tcW w:w="9687" w:type="dxa"/>
            <w:shd w:val="clear" w:color="auto" w:fill="auto"/>
          </w:tcPr>
          <w:p w:rsidR="00772406" w:rsidRPr="00403B4F" w:rsidRDefault="00772406" w:rsidP="001A42F8">
            <w:pPr>
              <w:pStyle w:val="HTMLPreformatted"/>
              <w:numPr>
                <w:ilvl w:val="0"/>
                <w:numId w:val="144"/>
              </w:numPr>
              <w:spacing w:before="0" w:after="0"/>
              <w:rPr>
                <w:rFonts w:ascii="Times New Roman" w:eastAsiaTheme="minorEastAsia" w:hAnsi="Times New Roman"/>
                <w:b/>
              </w:rPr>
            </w:pPr>
            <w:r w:rsidRPr="00403B4F">
              <w:rPr>
                <w:rFonts w:ascii="Times New Roman" w:eastAsiaTheme="minorEastAsia" w:hAnsi="Times New Roman"/>
                <w:b/>
              </w:rPr>
              <w:t>塔曼湾和刻赤海峡</w:t>
            </w:r>
          </w:p>
          <w:p w:rsidR="00772406" w:rsidRPr="00403B4F" w:rsidRDefault="00772406" w:rsidP="001A42F8">
            <w:pPr>
              <w:pStyle w:val="HTMLPreformatted"/>
              <w:numPr>
                <w:ilvl w:val="0"/>
                <w:numId w:val="150"/>
              </w:numPr>
              <w:spacing w:before="0" w:after="0"/>
              <w:rPr>
                <w:rFonts w:ascii="Times New Roman" w:eastAsiaTheme="minorEastAsia" w:hAnsi="Times New Roman"/>
              </w:rPr>
            </w:pPr>
            <w:r w:rsidRPr="00403B4F">
              <w:rPr>
                <w:rFonts w:ascii="Times New Roman" w:eastAsiaTheme="minorEastAsia" w:hAnsi="Times New Roman"/>
                <w:lang w:eastAsia="zh-CN"/>
              </w:rPr>
              <w:t>位置：塔曼湾是一个泻湖式浅海湾，位于亚速海和黑海之间，塔曼半岛以北。它向刻赤海峡敞开，被视为亚速海的一部分。刻赤海峡海域以塔曼半岛海岸</w:t>
            </w:r>
            <w:r w:rsidRPr="00403B4F">
              <w:rPr>
                <w:rFonts w:ascii="Times New Roman" w:eastAsiaTheme="minorEastAsia" w:hAnsi="Times New Roman"/>
                <w:lang w:eastAsia="zh-CN"/>
              </w:rPr>
              <w:t>Ahilleon</w:t>
            </w:r>
            <w:r w:rsidRPr="00403B4F">
              <w:rPr>
                <w:rFonts w:ascii="Times New Roman" w:eastAsiaTheme="minorEastAsia" w:hAnsi="Times New Roman"/>
                <w:lang w:eastAsia="zh-CN"/>
              </w:rPr>
              <w:t>角和刻赤半岛海岸</w:t>
            </w:r>
            <w:r w:rsidRPr="00403B4F">
              <w:rPr>
                <w:rFonts w:ascii="Times New Roman" w:eastAsiaTheme="minorEastAsia" w:hAnsi="Times New Roman"/>
                <w:lang w:eastAsia="zh-CN"/>
              </w:rPr>
              <w:t>Hroni</w:t>
            </w:r>
            <w:r w:rsidRPr="00403B4F">
              <w:rPr>
                <w:rFonts w:ascii="Times New Roman" w:eastAsiaTheme="minorEastAsia" w:hAnsi="Times New Roman"/>
                <w:lang w:eastAsia="zh-CN"/>
              </w:rPr>
              <w:t>角之间的直线为北部界线，以</w:t>
            </w:r>
            <w:r w:rsidRPr="00403B4F">
              <w:rPr>
                <w:rFonts w:ascii="Times New Roman" w:eastAsiaTheme="minorEastAsia" w:hAnsi="Times New Roman"/>
                <w:lang w:eastAsia="zh-CN"/>
              </w:rPr>
              <w:t>Panagia</w:t>
            </w:r>
            <w:r w:rsidRPr="00403B4F">
              <w:rPr>
                <w:rFonts w:ascii="Times New Roman" w:eastAsiaTheme="minorEastAsia" w:hAnsi="Times New Roman"/>
                <w:lang w:eastAsia="zh-CN"/>
              </w:rPr>
              <w:t>角（大陆海岸）和</w:t>
            </w:r>
            <w:r w:rsidRPr="00403B4F">
              <w:rPr>
                <w:rFonts w:ascii="Times New Roman" w:eastAsiaTheme="minorEastAsia" w:hAnsi="Times New Roman"/>
                <w:lang w:eastAsia="zh-CN"/>
              </w:rPr>
              <w:t>Taqil</w:t>
            </w:r>
            <w:r w:rsidRPr="00403B4F">
              <w:rPr>
                <w:rFonts w:ascii="Times New Roman" w:eastAsiaTheme="minorEastAsia" w:hAnsi="Times New Roman"/>
                <w:lang w:eastAsia="zh-CN"/>
              </w:rPr>
              <w:t>角（刻赤半岛海岸）之间的直线为南部界线。塔曼湾和刻赤海峡被丘什卡沙嘴和</w:t>
            </w:r>
            <w:r w:rsidRPr="00403B4F">
              <w:rPr>
                <w:rStyle w:val="st"/>
                <w:rFonts w:ascii="Times New Roman" w:eastAsiaTheme="minorEastAsia" w:hAnsi="Times New Roman"/>
                <w:lang w:eastAsia="zh-CN"/>
              </w:rPr>
              <w:t>图兹拉沙嘴部分隔开</w:t>
            </w:r>
            <w:r w:rsidRPr="00403B4F">
              <w:rPr>
                <w:rFonts w:ascii="Times New Roman" w:eastAsiaTheme="minorEastAsia" w:hAnsi="Times New Roman"/>
                <w:lang w:eastAsia="zh-CN"/>
              </w:rPr>
              <w:t>。</w:t>
            </w:r>
            <w:r w:rsidRPr="00403B4F">
              <w:rPr>
                <w:rFonts w:ascii="Times New Roman" w:eastAsiaTheme="minorEastAsia" w:hAnsi="Times New Roman"/>
              </w:rPr>
              <w:t>整个海域面积达</w:t>
            </w:r>
            <w:r w:rsidRPr="00403B4F">
              <w:rPr>
                <w:rFonts w:ascii="Times New Roman" w:eastAsiaTheme="minorEastAsia" w:hAnsi="Times New Roman"/>
              </w:rPr>
              <w:t>803</w:t>
            </w:r>
            <w:r w:rsidRPr="00403B4F">
              <w:rPr>
                <w:rFonts w:ascii="Times New Roman" w:eastAsiaTheme="minorEastAsia" w:hAnsi="Times New Roman"/>
              </w:rPr>
              <w:t>平方公里。</w:t>
            </w:r>
          </w:p>
          <w:p w:rsidR="00772406" w:rsidRPr="00403B4F" w:rsidRDefault="00772406" w:rsidP="001A42F8">
            <w:pPr>
              <w:pStyle w:val="HTMLPreformatted"/>
              <w:numPr>
                <w:ilvl w:val="0"/>
                <w:numId w:val="150"/>
              </w:numPr>
              <w:spacing w:before="0" w:after="0"/>
              <w:rPr>
                <w:rFonts w:ascii="Times New Roman" w:eastAsiaTheme="minorEastAsia" w:hAnsi="Times New Roman"/>
              </w:rPr>
            </w:pPr>
            <w:r w:rsidRPr="00403B4F">
              <w:rPr>
                <w:rFonts w:ascii="Times New Roman" w:eastAsiaTheme="minorEastAsia" w:hAnsi="Times New Roman"/>
                <w:lang w:eastAsia="zh-CN"/>
              </w:rPr>
              <w:t>塔曼湾是一个半封闭的浅海泻湖，没有持续的河水注入。是俄罗斯黑海和亚速海沿岸独特的海域，靠海草进行初级生产。底部植被的生物量变化很大，可超过</w:t>
            </w:r>
            <w:r w:rsidRPr="00403B4F">
              <w:rPr>
                <w:rFonts w:ascii="Times New Roman" w:eastAsiaTheme="minorEastAsia" w:hAnsi="Times New Roman"/>
                <w:lang w:eastAsia="zh-CN"/>
              </w:rPr>
              <w:t>5,000 g/m2</w:t>
            </w:r>
            <w:r w:rsidRPr="00403B4F">
              <w:rPr>
                <w:rFonts w:ascii="Times New Roman" w:eastAsiaTheme="minorEastAsia" w:hAnsi="Times New Roman"/>
                <w:lang w:eastAsia="zh-CN"/>
              </w:rPr>
              <w:t>（湿重），而大型底栖动物生物量为</w:t>
            </w:r>
            <w:r w:rsidRPr="00403B4F">
              <w:rPr>
                <w:rFonts w:ascii="Times New Roman" w:eastAsiaTheme="minorEastAsia" w:hAnsi="Times New Roman"/>
                <w:lang w:eastAsia="zh-CN"/>
              </w:rPr>
              <w:lastRenderedPageBreak/>
              <w:t>1,500 g/m2</w:t>
            </w:r>
            <w:r w:rsidRPr="00403B4F">
              <w:rPr>
                <w:rFonts w:ascii="Times New Roman" w:eastAsiaTheme="minorEastAsia" w:hAnsi="Times New Roman"/>
                <w:lang w:eastAsia="zh-CN"/>
              </w:rPr>
              <w:t>。季节性迁徙期间，多达</w:t>
            </w:r>
            <w:r w:rsidRPr="00403B4F">
              <w:rPr>
                <w:rFonts w:ascii="Times New Roman" w:eastAsiaTheme="minorEastAsia" w:hAnsi="Times New Roman"/>
                <w:lang w:eastAsia="zh-CN"/>
              </w:rPr>
              <w:t>1,000,000</w:t>
            </w:r>
            <w:r w:rsidRPr="00403B4F">
              <w:rPr>
                <w:rFonts w:ascii="Times New Roman" w:eastAsiaTheme="minorEastAsia" w:hAnsi="Times New Roman"/>
                <w:lang w:eastAsia="zh-CN"/>
              </w:rPr>
              <w:t>只鸟停留在海湾。塔曼湾湿地是多种水禽的越冬区。该区是《俄罗斯联邦红皮书》和克拉斯诺达尔边疆区所列水鸟物种的繁殖地，具有重要价值。塔曼湾的生态系统具有一定的复原力并保持准稳定状态。</w:t>
            </w:r>
            <w:r w:rsidRPr="00403B4F">
              <w:rPr>
                <w:rFonts w:ascii="Times New Roman" w:eastAsiaTheme="minorEastAsia" w:hAnsi="Times New Roman"/>
              </w:rPr>
              <w:t>毗邻的刻赤海峡是海洋生物包括各种鱼类以及两种鲸目物种</w:t>
            </w:r>
            <w:r w:rsidRPr="00403B4F">
              <w:rPr>
                <w:rFonts w:ascii="Times New Roman" w:eastAsiaTheme="minorEastAsia" w:hAnsi="Times New Roman"/>
              </w:rPr>
              <w:t>--</w:t>
            </w:r>
            <w:r w:rsidRPr="00403B4F">
              <w:rPr>
                <w:rFonts w:ascii="Times New Roman" w:eastAsiaTheme="minorEastAsia" w:hAnsi="Times New Roman"/>
              </w:rPr>
              <w:t>港湾鼠海豚（</w:t>
            </w:r>
            <w:r w:rsidRPr="00403B4F">
              <w:rPr>
                <w:rFonts w:ascii="Times New Roman" w:eastAsiaTheme="minorEastAsia" w:hAnsi="Times New Roman"/>
              </w:rPr>
              <w:t>Phocoena phocoena relicta</w:t>
            </w:r>
            <w:r w:rsidRPr="00403B4F">
              <w:rPr>
                <w:rFonts w:ascii="Times New Roman" w:eastAsiaTheme="minorEastAsia" w:hAnsi="Times New Roman"/>
              </w:rPr>
              <w:t>）和瓶鼻海豚（</w:t>
            </w:r>
            <w:r w:rsidRPr="00403B4F">
              <w:rPr>
                <w:rFonts w:ascii="Times New Roman" w:eastAsiaTheme="minorEastAsia" w:hAnsi="Times New Roman"/>
              </w:rPr>
              <w:t>Tursiops truncates ponticus</w:t>
            </w:r>
            <w:r w:rsidRPr="00403B4F">
              <w:rPr>
                <w:rFonts w:ascii="Times New Roman" w:eastAsiaTheme="minorEastAsia" w:hAnsi="Times New Roman"/>
              </w:rPr>
              <w:t>）的重要迁徙途径。</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lastRenderedPageBreak/>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L</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L</w:t>
            </w:r>
          </w:p>
        </w:tc>
      </w:tr>
      <w:tr w:rsidR="00772406" w:rsidRPr="00403B4F" w:rsidTr="00772406">
        <w:tc>
          <w:tcPr>
            <w:tcW w:w="9687" w:type="dxa"/>
            <w:shd w:val="clear" w:color="auto" w:fill="auto"/>
          </w:tcPr>
          <w:p w:rsidR="00772406" w:rsidRPr="00403B4F" w:rsidRDefault="00772406" w:rsidP="001A42F8">
            <w:pPr>
              <w:pStyle w:val="HTMLPreformatted"/>
              <w:numPr>
                <w:ilvl w:val="0"/>
                <w:numId w:val="144"/>
              </w:numPr>
              <w:spacing w:before="0" w:after="0"/>
              <w:rPr>
                <w:rFonts w:ascii="Times New Roman" w:eastAsiaTheme="minorEastAsia" w:hAnsi="Times New Roman"/>
                <w:b/>
              </w:rPr>
            </w:pPr>
            <w:r w:rsidRPr="00403B4F">
              <w:rPr>
                <w:rFonts w:ascii="Times New Roman" w:eastAsiaTheme="minorEastAsia" w:hAnsi="Times New Roman"/>
                <w:b/>
              </w:rPr>
              <w:lastRenderedPageBreak/>
              <w:t>高加索黑海海岸北部</w:t>
            </w:r>
          </w:p>
          <w:p w:rsidR="00772406" w:rsidRPr="00403B4F" w:rsidRDefault="00772406" w:rsidP="001A42F8">
            <w:pPr>
              <w:pStyle w:val="HTMLPreformatted"/>
              <w:numPr>
                <w:ilvl w:val="0"/>
                <w:numId w:val="151"/>
              </w:numPr>
              <w:spacing w:before="0" w:after="0"/>
              <w:rPr>
                <w:rFonts w:ascii="Times New Roman" w:eastAsiaTheme="minorEastAsia" w:hAnsi="Times New Roman"/>
                <w:lang w:eastAsia="zh-CN"/>
              </w:rPr>
            </w:pPr>
            <w:r w:rsidRPr="00403B4F">
              <w:rPr>
                <w:rFonts w:ascii="Times New Roman" w:eastAsiaTheme="minorEastAsia" w:hAnsi="Times New Roman"/>
                <w:lang w:eastAsia="zh-CN"/>
              </w:rPr>
              <w:t>位置：该区包括黑海岸东北部沿海地区（</w:t>
            </w:r>
            <w:r w:rsidRPr="00403B4F">
              <w:rPr>
                <w:rFonts w:ascii="Times New Roman" w:eastAsiaTheme="minorEastAsia" w:hAnsi="Times New Roman"/>
                <w:lang w:eastAsia="zh-CN"/>
              </w:rPr>
              <w:t>2,562</w:t>
            </w:r>
            <w:r w:rsidRPr="00403B4F">
              <w:rPr>
                <w:rFonts w:ascii="Times New Roman" w:eastAsiaTheme="minorEastAsia" w:hAnsi="Times New Roman"/>
                <w:lang w:eastAsia="zh-CN"/>
              </w:rPr>
              <w:t>平方公里）。西自</w:t>
            </w:r>
            <w:r w:rsidRPr="00403B4F">
              <w:rPr>
                <w:rFonts w:ascii="Times New Roman" w:eastAsiaTheme="minorEastAsia" w:hAnsi="Times New Roman"/>
                <w:color w:val="000000"/>
                <w:lang w:val="en-CA" w:eastAsia="zh-CN"/>
              </w:rPr>
              <w:t>Volna</w:t>
            </w:r>
            <w:r w:rsidRPr="00403B4F">
              <w:rPr>
                <w:rFonts w:ascii="Times New Roman" w:eastAsiaTheme="minorEastAsia" w:hAnsi="Times New Roman"/>
                <w:lang w:eastAsia="zh-CN"/>
              </w:rPr>
              <w:t>村始，在</w:t>
            </w:r>
            <w:r w:rsidRPr="00403B4F">
              <w:rPr>
                <w:rFonts w:ascii="Times New Roman" w:eastAsiaTheme="minorEastAsia" w:hAnsi="Times New Roman"/>
                <w:lang w:eastAsia="zh-CN"/>
              </w:rPr>
              <w:t>Arkhipo-Osipovka</w:t>
            </w:r>
            <w:r w:rsidRPr="00403B4F">
              <w:rPr>
                <w:rFonts w:ascii="Times New Roman" w:eastAsiaTheme="minorEastAsia" w:hAnsi="Times New Roman"/>
                <w:lang w:eastAsia="zh-CN"/>
              </w:rPr>
              <w:t>村河口以西跨岸（北纬</w:t>
            </w:r>
            <w:r w:rsidRPr="00403B4F">
              <w:rPr>
                <w:rFonts w:ascii="Times New Roman" w:eastAsiaTheme="minorEastAsia" w:hAnsi="Times New Roman"/>
                <w:lang w:eastAsia="zh-CN"/>
              </w:rPr>
              <w:t>45º6',</w:t>
            </w:r>
            <w:r w:rsidRPr="00403B4F">
              <w:rPr>
                <w:rFonts w:ascii="Times New Roman" w:eastAsiaTheme="minorEastAsia" w:hAnsi="Times New Roman"/>
                <w:lang w:eastAsia="zh-CN"/>
              </w:rPr>
              <w:t>东经</w:t>
            </w:r>
            <w:r w:rsidRPr="00403B4F">
              <w:rPr>
                <w:rFonts w:ascii="Times New Roman" w:eastAsiaTheme="minorEastAsia" w:hAnsi="Times New Roman"/>
                <w:lang w:eastAsia="zh-CN"/>
              </w:rPr>
              <w:t>36º43“</w:t>
            </w:r>
            <w:r w:rsidRPr="00403B4F">
              <w:rPr>
                <w:rFonts w:ascii="Times New Roman" w:eastAsiaTheme="minorEastAsia" w:hAnsi="Times New Roman"/>
                <w:lang w:eastAsia="zh-CN"/>
              </w:rPr>
              <w:t>至北纬</w:t>
            </w:r>
            <w:r w:rsidRPr="00403B4F">
              <w:rPr>
                <w:rFonts w:ascii="Times New Roman" w:eastAsiaTheme="minorEastAsia" w:hAnsi="Times New Roman"/>
                <w:lang w:eastAsia="zh-CN"/>
              </w:rPr>
              <w:t>44º30',</w:t>
            </w:r>
            <w:r w:rsidRPr="00403B4F">
              <w:rPr>
                <w:rFonts w:ascii="Times New Roman" w:eastAsiaTheme="minorEastAsia" w:hAnsi="Times New Roman"/>
                <w:lang w:eastAsia="zh-CN"/>
              </w:rPr>
              <w:t>东经</w:t>
            </w:r>
            <w:r w:rsidRPr="00403B4F">
              <w:rPr>
                <w:rFonts w:ascii="Times New Roman" w:eastAsiaTheme="minorEastAsia" w:hAnsi="Times New Roman"/>
                <w:lang w:eastAsia="zh-CN"/>
              </w:rPr>
              <w:t>36º51'</w:t>
            </w:r>
            <w:r w:rsidRPr="00403B4F">
              <w:rPr>
                <w:rFonts w:ascii="Times New Roman" w:eastAsiaTheme="minorEastAsia" w:hAnsi="Times New Roman"/>
                <w:lang w:eastAsia="zh-CN"/>
              </w:rPr>
              <w:t>），南至</w:t>
            </w:r>
            <w:r w:rsidRPr="00403B4F">
              <w:rPr>
                <w:rFonts w:ascii="Times New Roman" w:eastAsiaTheme="minorEastAsia" w:hAnsi="Times New Roman"/>
                <w:lang w:eastAsia="zh-CN"/>
              </w:rPr>
              <w:t>200</w:t>
            </w:r>
            <w:r w:rsidRPr="00403B4F">
              <w:rPr>
                <w:rFonts w:ascii="Times New Roman" w:eastAsiaTheme="minorEastAsia" w:hAnsi="Times New Roman"/>
                <w:lang w:eastAsia="zh-CN"/>
              </w:rPr>
              <w:t>米等深线，北部以海岸线为界，还包括</w:t>
            </w:r>
            <w:r w:rsidRPr="00403B4F">
              <w:rPr>
                <w:rFonts w:ascii="Times New Roman" w:eastAsiaTheme="minorEastAsia" w:hAnsi="Times New Roman"/>
                <w:lang w:eastAsia="zh-CN"/>
              </w:rPr>
              <w:t>Bugazskiy</w:t>
            </w:r>
            <w:r w:rsidRPr="00403B4F">
              <w:rPr>
                <w:rFonts w:ascii="Times New Roman" w:eastAsiaTheme="minorEastAsia" w:hAnsi="Times New Roman"/>
                <w:lang w:eastAsia="zh-CN"/>
              </w:rPr>
              <w:t>、</w:t>
            </w:r>
            <w:r w:rsidRPr="00403B4F">
              <w:rPr>
                <w:rFonts w:ascii="Times New Roman" w:eastAsiaTheme="minorEastAsia" w:hAnsi="Times New Roman"/>
                <w:lang w:eastAsia="zh-CN"/>
              </w:rPr>
              <w:t>Kiziltashskiy</w:t>
            </w:r>
            <w:r w:rsidRPr="00403B4F">
              <w:rPr>
                <w:rFonts w:ascii="Times New Roman" w:eastAsiaTheme="minorEastAsia" w:hAnsi="Times New Roman"/>
                <w:lang w:eastAsia="zh-CN"/>
              </w:rPr>
              <w:t>和</w:t>
            </w:r>
            <w:r w:rsidRPr="00403B4F">
              <w:rPr>
                <w:rFonts w:ascii="Times New Roman" w:eastAsiaTheme="minorEastAsia" w:hAnsi="Times New Roman"/>
                <w:lang w:eastAsia="zh-CN"/>
              </w:rPr>
              <w:t>Vitjazevskiy</w:t>
            </w:r>
            <w:r w:rsidRPr="00403B4F">
              <w:rPr>
                <w:rFonts w:ascii="Times New Roman" w:eastAsiaTheme="minorEastAsia" w:hAnsi="Times New Roman"/>
                <w:lang w:eastAsia="zh-CN"/>
              </w:rPr>
              <w:t>河口（泻湖），但不包括新罗西斯克（</w:t>
            </w:r>
            <w:r w:rsidRPr="00403B4F">
              <w:rPr>
                <w:rFonts w:ascii="Times New Roman" w:eastAsiaTheme="minorEastAsia" w:hAnsi="Times New Roman"/>
                <w:lang w:eastAsia="zh-CN"/>
              </w:rPr>
              <w:t>Tsemes</w:t>
            </w:r>
            <w:r w:rsidRPr="00403B4F">
              <w:rPr>
                <w:rFonts w:ascii="Times New Roman" w:eastAsiaTheme="minorEastAsia" w:hAnsi="Times New Roman"/>
                <w:lang w:eastAsia="zh-CN"/>
              </w:rPr>
              <w:t>）湾。</w:t>
            </w:r>
          </w:p>
          <w:p w:rsidR="00772406" w:rsidRPr="00403B4F" w:rsidRDefault="00772406" w:rsidP="001A42F8">
            <w:pPr>
              <w:pStyle w:val="HTMLPreformatted"/>
              <w:numPr>
                <w:ilvl w:val="0"/>
                <w:numId w:val="151"/>
              </w:numPr>
              <w:spacing w:before="0" w:after="0"/>
              <w:rPr>
                <w:rFonts w:ascii="Times New Roman" w:eastAsiaTheme="minorEastAsia" w:hAnsi="Times New Roman"/>
                <w:lang w:eastAsia="zh-CN"/>
              </w:rPr>
            </w:pPr>
            <w:r w:rsidRPr="00403B4F">
              <w:rPr>
                <w:rFonts w:ascii="Times New Roman" w:eastAsiaTheme="minorEastAsia" w:hAnsi="Times New Roman"/>
                <w:lang w:eastAsia="zh-CN"/>
              </w:rPr>
              <w:t>该区是黑海东北陆架和斜坡的一部分，位于刻赤海峡以南，东部狭窄，西部相对宽阔。还包括古库班三角洲残留的大型浅水湖。该区为大型水生植物生长提供良好条件，全区具有很高的生产力（尽管未达最高水平）。该区具有一些独特和罕见的特征，如特有的碳酸盐岩滩，但在许多其他方面，更具代表性而非独特性。该区对几种海洋无脊椎动物和鱼类</w:t>
            </w:r>
            <w:r w:rsidRPr="00403B4F">
              <w:rPr>
                <w:rFonts w:ascii="Times New Roman" w:eastAsiaTheme="minorEastAsia" w:hAnsi="Times New Roman"/>
                <w:lang w:eastAsia="zh-CN"/>
              </w:rPr>
              <w:t>--</w:t>
            </w:r>
            <w:r w:rsidRPr="00403B4F">
              <w:rPr>
                <w:rFonts w:ascii="Times New Roman" w:eastAsiaTheme="minorEastAsia" w:hAnsi="Times New Roman"/>
                <w:lang w:eastAsia="zh-CN"/>
              </w:rPr>
              <w:t>包括正在减少的黑海大菱鲆、凤尾鱼和竹荚鱼</w:t>
            </w:r>
            <w:r w:rsidRPr="00403B4F">
              <w:rPr>
                <w:rFonts w:ascii="Times New Roman" w:eastAsiaTheme="minorEastAsia" w:hAnsi="Times New Roman"/>
                <w:lang w:eastAsia="zh-CN"/>
              </w:rPr>
              <w:t>--</w:t>
            </w:r>
            <w:r w:rsidRPr="00403B4F">
              <w:rPr>
                <w:rFonts w:ascii="Times New Roman" w:eastAsiaTheme="minorEastAsia" w:hAnsi="Times New Roman"/>
                <w:lang w:eastAsia="zh-CN"/>
              </w:rPr>
              <w:t>的生活史很重要，也是鲟鱼和鲸目动物等濒危物种的重要迁徙和觅食区。这里生物多样性高，因为有多样群落生境，包括陆架上的沙嘴和浅沙坪、浅碳酸盐台滩、粘土礁、沙泥和砾石群落生境、藻类群落繁盛的水下脊台和陡岩、水下崩塌群落生境和盐水泻湖群落生境。</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7"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r>
      <w:tr w:rsidR="00772406" w:rsidRPr="00403B4F" w:rsidTr="00772406">
        <w:tc>
          <w:tcPr>
            <w:tcW w:w="9687" w:type="dxa"/>
            <w:shd w:val="clear" w:color="auto" w:fill="auto"/>
          </w:tcPr>
          <w:p w:rsidR="00772406" w:rsidRPr="00403B4F" w:rsidRDefault="00772406" w:rsidP="001A42F8">
            <w:pPr>
              <w:pStyle w:val="ListParagraph"/>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rFonts w:eastAsiaTheme="minorEastAsia"/>
                <w:b/>
                <w:sz w:val="20"/>
                <w:szCs w:val="20"/>
              </w:rPr>
            </w:pPr>
            <w:r w:rsidRPr="00403B4F">
              <w:rPr>
                <w:rStyle w:val="Emphasis"/>
                <w:rFonts w:eastAsiaTheme="minorEastAsia"/>
                <w:b w:val="0"/>
                <w:sz w:val="20"/>
                <w:szCs w:val="20"/>
              </w:rPr>
              <w:t>科尔基斯</w:t>
            </w:r>
            <w:r w:rsidRPr="00403B4F">
              <w:rPr>
                <w:rFonts w:eastAsiaTheme="minorEastAsia"/>
                <w:b/>
                <w:sz w:val="20"/>
                <w:szCs w:val="20"/>
              </w:rPr>
              <w:t>海区</w:t>
            </w:r>
          </w:p>
          <w:p w:rsidR="00772406" w:rsidRPr="00403B4F" w:rsidRDefault="00772406" w:rsidP="001A42F8">
            <w:pPr>
              <w:pStyle w:val="ListParagraph"/>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rFonts w:eastAsiaTheme="minorEastAsia"/>
                <w:sz w:val="20"/>
                <w:szCs w:val="20"/>
                <w:lang w:eastAsia="zh-CN"/>
              </w:rPr>
            </w:pPr>
            <w:r w:rsidRPr="00403B4F">
              <w:rPr>
                <w:rFonts w:eastAsiaTheme="minorEastAsia"/>
                <w:sz w:val="20"/>
                <w:szCs w:val="20"/>
                <w:lang w:eastAsia="zh-CN"/>
              </w:rPr>
              <w:t>位置：位于</w:t>
            </w:r>
            <w:r w:rsidRPr="00403B4F">
              <w:rPr>
                <w:rFonts w:eastAsiaTheme="minorEastAsia"/>
                <w:sz w:val="20"/>
                <w:szCs w:val="20"/>
                <w:lang w:eastAsia="zh-CN"/>
              </w:rPr>
              <w:t>Tikori</w:t>
            </w:r>
            <w:r w:rsidRPr="00403B4F">
              <w:rPr>
                <w:rFonts w:eastAsiaTheme="minorEastAsia"/>
                <w:sz w:val="20"/>
                <w:szCs w:val="20"/>
                <w:lang w:eastAsia="zh-CN"/>
              </w:rPr>
              <w:t>河与</w:t>
            </w:r>
            <w:r w:rsidRPr="00403B4F">
              <w:rPr>
                <w:rFonts w:eastAsiaTheme="minorEastAsia"/>
                <w:sz w:val="20"/>
                <w:szCs w:val="20"/>
                <w:lang w:eastAsia="zh-CN"/>
              </w:rPr>
              <w:t>Rioni</w:t>
            </w:r>
            <w:r w:rsidRPr="00403B4F">
              <w:rPr>
                <w:rFonts w:eastAsiaTheme="minorEastAsia"/>
                <w:sz w:val="20"/>
                <w:szCs w:val="20"/>
                <w:lang w:eastAsia="zh-CN"/>
              </w:rPr>
              <w:t>河口（含）之间，面积</w:t>
            </w:r>
            <w:r w:rsidRPr="00403B4F">
              <w:rPr>
                <w:rFonts w:eastAsiaTheme="minorEastAsia"/>
                <w:sz w:val="20"/>
                <w:szCs w:val="20"/>
                <w:lang w:eastAsia="zh-CN"/>
              </w:rPr>
              <w:t>502</w:t>
            </w:r>
            <w:r w:rsidRPr="00403B4F">
              <w:rPr>
                <w:rFonts w:eastAsiaTheme="minorEastAsia"/>
                <w:sz w:val="20"/>
                <w:szCs w:val="20"/>
                <w:lang w:eastAsia="zh-CN"/>
              </w:rPr>
              <w:t>平方公里，纬度和经度分别是：</w:t>
            </w:r>
            <w:r w:rsidRPr="00403B4F">
              <w:rPr>
                <w:rFonts w:eastAsiaTheme="minorEastAsia"/>
                <w:sz w:val="20"/>
                <w:szCs w:val="20"/>
                <w:lang w:eastAsia="zh-CN"/>
              </w:rPr>
              <w:t>42.3688965</w:t>
            </w:r>
            <w:r w:rsidRPr="00403B4F">
              <w:rPr>
                <w:rFonts w:eastAsiaTheme="minorEastAsia"/>
                <w:sz w:val="20"/>
                <w:szCs w:val="20"/>
                <w:lang w:eastAsia="zh-CN"/>
              </w:rPr>
              <w:t>和</w:t>
            </w:r>
            <w:r w:rsidRPr="00403B4F">
              <w:rPr>
                <w:rFonts w:eastAsiaTheme="minorEastAsia"/>
                <w:sz w:val="20"/>
                <w:szCs w:val="20"/>
                <w:lang w:eastAsia="zh-CN"/>
              </w:rPr>
              <w:t>41.5923238; 42.3678906</w:t>
            </w:r>
            <w:r w:rsidRPr="00403B4F">
              <w:rPr>
                <w:rFonts w:eastAsiaTheme="minorEastAsia"/>
                <w:sz w:val="20"/>
                <w:szCs w:val="20"/>
                <w:lang w:eastAsia="zh-CN"/>
              </w:rPr>
              <w:t>和</w:t>
            </w:r>
            <w:r w:rsidRPr="00403B4F">
              <w:rPr>
                <w:rFonts w:eastAsiaTheme="minorEastAsia"/>
                <w:sz w:val="20"/>
                <w:szCs w:val="20"/>
                <w:lang w:eastAsia="zh-CN"/>
              </w:rPr>
              <w:t>41.3485938; 42.1492143</w:t>
            </w:r>
            <w:r w:rsidRPr="00403B4F">
              <w:rPr>
                <w:rFonts w:eastAsiaTheme="minorEastAsia"/>
                <w:sz w:val="20"/>
                <w:szCs w:val="20"/>
                <w:lang w:eastAsia="zh-CN"/>
              </w:rPr>
              <w:t>和</w:t>
            </w:r>
            <w:r w:rsidRPr="00403B4F">
              <w:rPr>
                <w:rFonts w:eastAsiaTheme="minorEastAsia"/>
                <w:sz w:val="20"/>
                <w:szCs w:val="20"/>
                <w:lang w:eastAsia="zh-CN"/>
              </w:rPr>
              <w:t>41.3730120; 42.1781462</w:t>
            </w:r>
            <w:r w:rsidRPr="00403B4F">
              <w:rPr>
                <w:rFonts w:eastAsiaTheme="minorEastAsia"/>
                <w:sz w:val="20"/>
                <w:szCs w:val="20"/>
                <w:lang w:eastAsia="zh-CN"/>
              </w:rPr>
              <w:t>和</w:t>
            </w:r>
            <w:r w:rsidRPr="00403B4F">
              <w:rPr>
                <w:rFonts w:eastAsiaTheme="minorEastAsia"/>
                <w:sz w:val="20"/>
                <w:szCs w:val="20"/>
                <w:lang w:eastAsia="zh-CN"/>
              </w:rPr>
              <w:t>41.6434212</w:t>
            </w:r>
            <w:r w:rsidRPr="00403B4F">
              <w:rPr>
                <w:rFonts w:eastAsiaTheme="minorEastAsia"/>
                <w:sz w:val="20"/>
                <w:szCs w:val="20"/>
                <w:lang w:eastAsia="zh-CN"/>
              </w:rPr>
              <w:t>。</w:t>
            </w:r>
          </w:p>
          <w:p w:rsidR="00772406" w:rsidRPr="00403B4F" w:rsidRDefault="00772406" w:rsidP="001A42F8">
            <w:pPr>
              <w:pStyle w:val="ListParagraph"/>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rPr>
                <w:rFonts w:eastAsiaTheme="minorEastAsia"/>
                <w:sz w:val="20"/>
                <w:szCs w:val="20"/>
                <w:lang w:eastAsia="zh-CN"/>
              </w:rPr>
            </w:pPr>
            <w:r w:rsidRPr="00403B4F">
              <w:rPr>
                <w:rFonts w:eastAsiaTheme="minorEastAsia"/>
                <w:sz w:val="20"/>
                <w:szCs w:val="20"/>
                <w:lang w:eastAsia="zh-CN"/>
              </w:rPr>
              <w:t>该区的特点是浮游动物种类和双壳类动物的密度和丰度较高。是大菱鲆和比目鱼的首选栖息地。冬春两季大量的凤尾鱼（</w:t>
            </w:r>
            <w:r w:rsidRPr="00403B4F">
              <w:rPr>
                <w:rFonts w:eastAsiaTheme="minorEastAsia"/>
                <w:sz w:val="20"/>
                <w:szCs w:val="20"/>
                <w:lang w:eastAsia="zh-CN"/>
              </w:rPr>
              <w:t>Engraulis encrasicolus</w:t>
            </w:r>
            <w:r w:rsidRPr="00403B4F">
              <w:rPr>
                <w:rFonts w:eastAsiaTheme="minorEastAsia"/>
                <w:sz w:val="20"/>
                <w:szCs w:val="20"/>
                <w:lang w:eastAsia="zh-CN"/>
              </w:rPr>
              <w:t>）在这里越冬和产卵。这里也是濒危鲟科物种的栖息地和产卵地，大量候鸟和黑海鲸目动物的越冬地。是鲸目物种（</w:t>
            </w:r>
            <w:r w:rsidRPr="00403B4F">
              <w:rPr>
                <w:rFonts w:eastAsiaTheme="minorEastAsia"/>
                <w:sz w:val="20"/>
                <w:szCs w:val="20"/>
                <w:lang w:eastAsia="zh-CN"/>
              </w:rPr>
              <w:t>Tursiops truncatus ponticus</w:t>
            </w:r>
            <w:r w:rsidRPr="00403B4F">
              <w:rPr>
                <w:rFonts w:eastAsiaTheme="minorEastAsia"/>
                <w:sz w:val="20"/>
                <w:szCs w:val="20"/>
                <w:lang w:eastAsia="zh-CN"/>
              </w:rPr>
              <w:t>、</w:t>
            </w:r>
            <w:r w:rsidRPr="00403B4F">
              <w:rPr>
                <w:rFonts w:eastAsiaTheme="minorEastAsia"/>
                <w:sz w:val="20"/>
                <w:szCs w:val="20"/>
                <w:lang w:eastAsia="zh-CN"/>
              </w:rPr>
              <w:t>Delphinus delphis ponticus</w:t>
            </w:r>
            <w:r w:rsidRPr="00403B4F">
              <w:rPr>
                <w:rFonts w:eastAsiaTheme="minorEastAsia"/>
                <w:sz w:val="20"/>
                <w:szCs w:val="20"/>
                <w:lang w:eastAsia="zh-CN"/>
              </w:rPr>
              <w:t>、</w:t>
            </w:r>
            <w:r w:rsidRPr="00403B4F">
              <w:rPr>
                <w:rFonts w:eastAsiaTheme="minorEastAsia"/>
                <w:sz w:val="20"/>
                <w:szCs w:val="20"/>
                <w:lang w:eastAsia="zh-CN"/>
              </w:rPr>
              <w:t>Phocoena phocoena relicta</w:t>
            </w:r>
            <w:r w:rsidRPr="00403B4F">
              <w:rPr>
                <w:rFonts w:eastAsiaTheme="minorEastAsia"/>
                <w:sz w:val="20"/>
                <w:szCs w:val="20"/>
                <w:lang w:eastAsia="zh-CN"/>
              </w:rPr>
              <w:t>）的重要摄食和保育地。</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7"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r>
      <w:tr w:rsidR="00772406" w:rsidRPr="00403B4F" w:rsidTr="00772406">
        <w:tc>
          <w:tcPr>
            <w:tcW w:w="9687" w:type="dxa"/>
            <w:shd w:val="clear" w:color="auto" w:fill="auto"/>
          </w:tcPr>
          <w:p w:rsidR="00772406" w:rsidRPr="00403B4F" w:rsidRDefault="00772406" w:rsidP="001A42F8">
            <w:pPr>
              <w:pStyle w:val="ListParagraph"/>
              <w:numPr>
                <w:ilvl w:val="0"/>
                <w:numId w:val="144"/>
              </w:numPr>
              <w:spacing w:before="0" w:after="0"/>
              <w:contextualSpacing/>
              <w:rPr>
                <w:rFonts w:eastAsiaTheme="minorEastAsia"/>
                <w:b/>
                <w:sz w:val="20"/>
                <w:szCs w:val="20"/>
              </w:rPr>
            </w:pPr>
            <w:r w:rsidRPr="00403B4F">
              <w:rPr>
                <w:rFonts w:eastAsiaTheme="minorEastAsia"/>
                <w:b/>
                <w:sz w:val="20"/>
                <w:szCs w:val="20"/>
              </w:rPr>
              <w:t>萨尔皮</w:t>
            </w:r>
          </w:p>
          <w:p w:rsidR="00772406" w:rsidRPr="00403B4F" w:rsidRDefault="00772406" w:rsidP="001A42F8">
            <w:pPr>
              <w:pStyle w:val="ListParagraph"/>
              <w:numPr>
                <w:ilvl w:val="0"/>
                <w:numId w:val="153"/>
              </w:numPr>
              <w:spacing w:before="0" w:after="0"/>
              <w:contextualSpacing/>
              <w:rPr>
                <w:rFonts w:eastAsiaTheme="minorEastAsia"/>
                <w:sz w:val="20"/>
                <w:szCs w:val="20"/>
                <w:lang w:eastAsia="zh-CN"/>
              </w:rPr>
            </w:pPr>
            <w:r w:rsidRPr="00403B4F">
              <w:rPr>
                <w:rFonts w:eastAsiaTheme="minorEastAsia"/>
                <w:sz w:val="20"/>
                <w:szCs w:val="20"/>
                <w:lang w:eastAsia="zh-CN"/>
              </w:rPr>
              <w:t>位置：该区位于以下纬度和经度：</w:t>
            </w:r>
            <w:r w:rsidRPr="00403B4F">
              <w:rPr>
                <w:rFonts w:eastAsiaTheme="minorEastAsia"/>
                <w:sz w:val="20"/>
                <w:szCs w:val="20"/>
                <w:lang w:eastAsia="zh-CN"/>
              </w:rPr>
              <w:t>41.5447181</w:t>
            </w:r>
            <w:r w:rsidRPr="00403B4F">
              <w:rPr>
                <w:rFonts w:eastAsiaTheme="minorEastAsia"/>
                <w:sz w:val="20"/>
                <w:szCs w:val="20"/>
                <w:lang w:eastAsia="zh-CN"/>
              </w:rPr>
              <w:t>和</w:t>
            </w:r>
            <w:r w:rsidRPr="00403B4F">
              <w:rPr>
                <w:rFonts w:eastAsiaTheme="minorEastAsia"/>
                <w:sz w:val="20"/>
                <w:szCs w:val="20"/>
                <w:lang w:eastAsia="zh-CN"/>
              </w:rPr>
              <w:t>41.5606554; 41.5266607</w:t>
            </w:r>
            <w:r w:rsidRPr="00403B4F">
              <w:rPr>
                <w:rFonts w:eastAsiaTheme="minorEastAsia"/>
                <w:sz w:val="20"/>
                <w:szCs w:val="20"/>
                <w:lang w:eastAsia="zh-CN"/>
              </w:rPr>
              <w:t>和</w:t>
            </w:r>
            <w:r w:rsidRPr="00403B4F">
              <w:rPr>
                <w:rFonts w:eastAsiaTheme="minorEastAsia"/>
                <w:sz w:val="20"/>
                <w:szCs w:val="20"/>
                <w:lang w:eastAsia="zh-CN"/>
              </w:rPr>
              <w:t>41.5485533</w:t>
            </w:r>
            <w:r w:rsidRPr="00403B4F">
              <w:rPr>
                <w:rFonts w:eastAsiaTheme="minorEastAsia"/>
                <w:sz w:val="20"/>
                <w:szCs w:val="20"/>
                <w:lang w:eastAsia="zh-CN"/>
              </w:rPr>
              <w:t>。</w:t>
            </w:r>
          </w:p>
          <w:p w:rsidR="00772406" w:rsidRPr="00403B4F" w:rsidRDefault="00772406" w:rsidP="001A42F8">
            <w:pPr>
              <w:pStyle w:val="ListParagraph"/>
              <w:numPr>
                <w:ilvl w:val="0"/>
                <w:numId w:val="153"/>
              </w:numPr>
              <w:spacing w:before="0" w:after="0"/>
              <w:contextualSpacing/>
              <w:rPr>
                <w:rFonts w:eastAsiaTheme="minorEastAsia"/>
                <w:sz w:val="20"/>
                <w:szCs w:val="20"/>
              </w:rPr>
            </w:pPr>
            <w:r w:rsidRPr="00403B4F">
              <w:rPr>
                <w:rFonts w:eastAsiaTheme="minorEastAsia"/>
                <w:sz w:val="20"/>
                <w:szCs w:val="20"/>
                <w:lang w:eastAsia="zh-CN"/>
              </w:rPr>
              <w:t>该区涵盖海洋岩石和岩石海岸，是格鲁吉亚海岸最大的岩石栖息地。这里有</w:t>
            </w:r>
            <w:r w:rsidRPr="00403B4F">
              <w:rPr>
                <w:rFonts w:eastAsiaTheme="minorEastAsia"/>
                <w:sz w:val="20"/>
                <w:szCs w:val="20"/>
                <w:lang w:eastAsia="zh-CN"/>
              </w:rPr>
              <w:t>Cystoseira barbata</w:t>
            </w:r>
            <w:r w:rsidRPr="00403B4F">
              <w:rPr>
                <w:rFonts w:eastAsiaTheme="minorEastAsia"/>
                <w:sz w:val="20"/>
                <w:szCs w:val="20"/>
                <w:lang w:eastAsia="zh-CN"/>
              </w:rPr>
              <w:t>和</w:t>
            </w:r>
            <w:r w:rsidRPr="00403B4F">
              <w:rPr>
                <w:rFonts w:eastAsiaTheme="minorEastAsia"/>
                <w:sz w:val="20"/>
                <w:szCs w:val="20"/>
                <w:lang w:eastAsia="zh-CN"/>
              </w:rPr>
              <w:t>Ceramium rubrum</w:t>
            </w:r>
            <w:r w:rsidRPr="00403B4F">
              <w:rPr>
                <w:rFonts w:eastAsiaTheme="minorEastAsia"/>
                <w:sz w:val="20"/>
                <w:szCs w:val="20"/>
                <w:lang w:eastAsia="zh-CN"/>
              </w:rPr>
              <w:t>海洋藻场，为许多鱼类和无脊椎动物提供栖身之所。贻贝（</w:t>
            </w:r>
            <w:r w:rsidRPr="00403B4F">
              <w:rPr>
                <w:rFonts w:eastAsiaTheme="minorEastAsia"/>
                <w:sz w:val="20"/>
                <w:szCs w:val="20"/>
                <w:lang w:eastAsia="zh-CN"/>
              </w:rPr>
              <w:t>Mytilus galloprovincialis</w:t>
            </w:r>
            <w:r w:rsidRPr="00403B4F">
              <w:rPr>
                <w:rFonts w:eastAsiaTheme="minorEastAsia"/>
                <w:sz w:val="20"/>
                <w:szCs w:val="20"/>
                <w:lang w:eastAsia="zh-CN"/>
              </w:rPr>
              <w:t>）和其他双壳类动物附着在海石上。岩石区为各种鱼类提供栖身之所和摄食场。其中一些，如孔雀颈鳍鱼（</w:t>
            </w:r>
            <w:r w:rsidRPr="00403B4F">
              <w:rPr>
                <w:rFonts w:eastAsiaTheme="minorEastAsia"/>
                <w:sz w:val="20"/>
                <w:szCs w:val="20"/>
                <w:lang w:eastAsia="zh-CN"/>
              </w:rPr>
              <w:t>Symphodus tinca</w:t>
            </w:r>
            <w:r w:rsidRPr="00403B4F">
              <w:rPr>
                <w:rFonts w:eastAsiaTheme="minorEastAsia"/>
                <w:sz w:val="20"/>
                <w:szCs w:val="20"/>
                <w:lang w:eastAsia="zh-CN"/>
              </w:rPr>
              <w:t>），在这里比在该区任何其他地方更常见。该区与一个对</w:t>
            </w:r>
            <w:r w:rsidRPr="00403B4F">
              <w:rPr>
                <w:rStyle w:val="st"/>
                <w:rFonts w:eastAsiaTheme="minorEastAsia"/>
                <w:sz w:val="20"/>
                <w:szCs w:val="20"/>
                <w:lang w:eastAsia="zh-CN"/>
              </w:rPr>
              <w:t>地中海鹱</w:t>
            </w:r>
            <w:r w:rsidRPr="00403B4F">
              <w:rPr>
                <w:rFonts w:eastAsiaTheme="minorEastAsia"/>
                <w:sz w:val="20"/>
                <w:szCs w:val="20"/>
                <w:lang w:eastAsia="zh-CN"/>
              </w:rPr>
              <w:t>（</w:t>
            </w:r>
            <w:r w:rsidRPr="00403B4F">
              <w:rPr>
                <w:rFonts w:eastAsiaTheme="minorEastAsia"/>
                <w:sz w:val="20"/>
                <w:szCs w:val="20"/>
                <w:lang w:eastAsia="zh-CN"/>
              </w:rPr>
              <w:t>Puffinus yelkouan</w:t>
            </w:r>
            <w:r w:rsidRPr="00403B4F">
              <w:rPr>
                <w:rFonts w:eastAsiaTheme="minorEastAsia"/>
                <w:sz w:val="20"/>
                <w:szCs w:val="20"/>
                <w:lang w:eastAsia="zh-CN"/>
              </w:rPr>
              <w:t>）具有全球重要性的非繁殖区重叠。</w:t>
            </w:r>
            <w:r w:rsidRPr="00403B4F">
              <w:rPr>
                <w:rFonts w:eastAsiaTheme="minorEastAsia"/>
                <w:sz w:val="20"/>
                <w:szCs w:val="20"/>
              </w:rPr>
              <w:t>该区附近还有地中海特有欧洲鸬鹚亚种（</w:t>
            </w:r>
            <w:r w:rsidRPr="00403B4F">
              <w:rPr>
                <w:rFonts w:eastAsiaTheme="minorEastAsia"/>
                <w:sz w:val="20"/>
                <w:szCs w:val="20"/>
              </w:rPr>
              <w:t xml:space="preserve">Phalacrocorax </w:t>
            </w:r>
            <w:r w:rsidRPr="00403B4F">
              <w:rPr>
                <w:rFonts w:eastAsiaTheme="minorEastAsia"/>
                <w:sz w:val="20"/>
                <w:szCs w:val="20"/>
              </w:rPr>
              <w:lastRenderedPageBreak/>
              <w:t>aristotelis desmarestii</w:t>
            </w:r>
            <w:r w:rsidRPr="00403B4F">
              <w:rPr>
                <w:rFonts w:eastAsiaTheme="minorEastAsia"/>
                <w:sz w:val="20"/>
                <w:szCs w:val="20"/>
              </w:rPr>
              <w:t>）群落，因此在繁殖季节对该亚种具有潜在重要性。黑海鲸类到这里摄食，并可能到这里繁殖。</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lastRenderedPageBreak/>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B45229">
            <w:pPr>
              <w:spacing w:before="0" w:after="0"/>
              <w:ind w:firstLine="0"/>
              <w:rPr>
                <w:rFonts w:eastAsiaTheme="minorEastAsia"/>
                <w:sz w:val="20"/>
                <w:szCs w:val="20"/>
              </w:rPr>
            </w:pPr>
            <w:r w:rsidRPr="00403B4F">
              <w:rPr>
                <w:rFonts w:eastAsiaTheme="minorEastAsia"/>
                <w:sz w:val="20"/>
                <w:szCs w:val="20"/>
              </w:rPr>
              <w:lastRenderedPageBreak/>
              <w:t xml:space="preserve">14. </w:t>
            </w:r>
            <w:r w:rsidRPr="00403B4F">
              <w:rPr>
                <w:rStyle w:val="st"/>
                <w:rFonts w:eastAsiaTheme="minorEastAsia"/>
                <w:b/>
                <w:sz w:val="20"/>
                <w:szCs w:val="20"/>
              </w:rPr>
              <w:t>阿尔特温</w:t>
            </w:r>
            <w:r w:rsidRPr="00403B4F">
              <w:rPr>
                <w:rFonts w:eastAsiaTheme="minorEastAsia"/>
                <w:b/>
                <w:sz w:val="20"/>
                <w:szCs w:val="20"/>
              </w:rPr>
              <w:t>-</w:t>
            </w:r>
            <w:r w:rsidRPr="00403B4F">
              <w:rPr>
                <w:rFonts w:eastAsiaTheme="minorEastAsia"/>
                <w:b/>
                <w:sz w:val="20"/>
                <w:szCs w:val="20"/>
              </w:rPr>
              <w:t>阿尔哈维</w:t>
            </w:r>
          </w:p>
          <w:p w:rsidR="00772406" w:rsidRPr="00403B4F" w:rsidRDefault="00772406" w:rsidP="001A42F8">
            <w:pPr>
              <w:numPr>
                <w:ilvl w:val="0"/>
                <w:numId w:val="134"/>
              </w:numPr>
              <w:spacing w:before="0" w:after="0"/>
              <w:rPr>
                <w:rFonts w:eastAsiaTheme="minorEastAsia"/>
                <w:sz w:val="20"/>
                <w:szCs w:val="20"/>
                <w:lang w:eastAsia="zh-CN"/>
              </w:rPr>
            </w:pPr>
            <w:r w:rsidRPr="00403B4F">
              <w:rPr>
                <w:rFonts w:eastAsiaTheme="minorEastAsia"/>
                <w:sz w:val="20"/>
                <w:szCs w:val="20"/>
                <w:lang w:eastAsia="zh-CN"/>
              </w:rPr>
              <w:t>位置：该区坐标为：北纬</w:t>
            </w:r>
            <w:r w:rsidRPr="00403B4F">
              <w:rPr>
                <w:rFonts w:eastAsiaTheme="minorEastAsia"/>
                <w:sz w:val="20"/>
                <w:szCs w:val="20"/>
                <w:lang w:eastAsia="zh-CN"/>
              </w:rPr>
              <w:t>41 21.48'-</w:t>
            </w:r>
            <w:r w:rsidRPr="00403B4F">
              <w:rPr>
                <w:rFonts w:eastAsiaTheme="minorEastAsia"/>
                <w:sz w:val="20"/>
                <w:szCs w:val="20"/>
                <w:lang w:eastAsia="zh-CN"/>
              </w:rPr>
              <w:t>东经</w:t>
            </w:r>
            <w:r w:rsidRPr="00403B4F">
              <w:rPr>
                <w:rFonts w:eastAsiaTheme="minorEastAsia"/>
                <w:sz w:val="20"/>
                <w:szCs w:val="20"/>
                <w:lang w:eastAsia="zh-CN"/>
              </w:rPr>
              <w:t>41 18.824'</w:t>
            </w:r>
            <w:r w:rsidRPr="00403B4F">
              <w:rPr>
                <w:rFonts w:eastAsiaTheme="minorEastAsia"/>
                <w:sz w:val="20"/>
                <w:szCs w:val="20"/>
                <w:lang w:eastAsia="zh-CN"/>
              </w:rPr>
              <w:t>，北纬</w:t>
            </w:r>
            <w:r w:rsidRPr="00403B4F">
              <w:rPr>
                <w:rFonts w:eastAsiaTheme="minorEastAsia"/>
                <w:sz w:val="20"/>
                <w:szCs w:val="20"/>
                <w:lang w:eastAsia="zh-CN"/>
              </w:rPr>
              <w:t>41 22.116'-</w:t>
            </w:r>
            <w:r w:rsidRPr="00403B4F">
              <w:rPr>
                <w:rFonts w:eastAsiaTheme="minorEastAsia"/>
                <w:sz w:val="20"/>
                <w:szCs w:val="20"/>
                <w:lang w:eastAsia="zh-CN"/>
              </w:rPr>
              <w:t>东经</w:t>
            </w:r>
            <w:r w:rsidRPr="00403B4F">
              <w:rPr>
                <w:rFonts w:eastAsiaTheme="minorEastAsia"/>
                <w:sz w:val="20"/>
                <w:szCs w:val="20"/>
                <w:lang w:eastAsia="zh-CN"/>
              </w:rPr>
              <w:t>41 18.824'</w:t>
            </w:r>
            <w:r w:rsidRPr="00403B4F">
              <w:rPr>
                <w:rFonts w:eastAsiaTheme="minorEastAsia"/>
                <w:sz w:val="20"/>
                <w:szCs w:val="20"/>
                <w:lang w:eastAsia="zh-CN"/>
              </w:rPr>
              <w:t>，北纬</w:t>
            </w:r>
            <w:r w:rsidRPr="00403B4F">
              <w:rPr>
                <w:rFonts w:eastAsiaTheme="minorEastAsia"/>
                <w:sz w:val="20"/>
                <w:szCs w:val="20"/>
                <w:lang w:eastAsia="zh-CN"/>
              </w:rPr>
              <w:t xml:space="preserve">41 22.659'- </w:t>
            </w:r>
            <w:r w:rsidRPr="00403B4F">
              <w:rPr>
                <w:rFonts w:eastAsiaTheme="minorEastAsia"/>
                <w:sz w:val="20"/>
                <w:szCs w:val="20"/>
                <w:lang w:eastAsia="zh-CN"/>
              </w:rPr>
              <w:t>东经</w:t>
            </w:r>
            <w:r w:rsidRPr="00403B4F">
              <w:rPr>
                <w:rFonts w:eastAsiaTheme="minorEastAsia"/>
                <w:sz w:val="20"/>
                <w:szCs w:val="20"/>
                <w:lang w:eastAsia="zh-CN"/>
              </w:rPr>
              <w:t>41 20.216'</w:t>
            </w:r>
            <w:r w:rsidRPr="00403B4F">
              <w:rPr>
                <w:rFonts w:eastAsiaTheme="minorEastAsia"/>
                <w:sz w:val="20"/>
                <w:szCs w:val="20"/>
                <w:lang w:eastAsia="zh-CN"/>
              </w:rPr>
              <w:t>，北纬</w:t>
            </w:r>
            <w:r w:rsidRPr="00403B4F">
              <w:rPr>
                <w:rFonts w:eastAsiaTheme="minorEastAsia"/>
                <w:sz w:val="20"/>
                <w:szCs w:val="20"/>
                <w:lang w:eastAsia="zh-CN"/>
              </w:rPr>
              <w:t>41 22.14'-</w:t>
            </w:r>
            <w:r w:rsidRPr="00403B4F">
              <w:rPr>
                <w:rFonts w:eastAsiaTheme="minorEastAsia"/>
                <w:sz w:val="20"/>
                <w:szCs w:val="20"/>
                <w:lang w:eastAsia="zh-CN"/>
              </w:rPr>
              <w:t>东经</w:t>
            </w:r>
            <w:r w:rsidRPr="00403B4F">
              <w:rPr>
                <w:rFonts w:eastAsiaTheme="minorEastAsia"/>
                <w:sz w:val="20"/>
                <w:szCs w:val="20"/>
                <w:lang w:eastAsia="zh-CN"/>
              </w:rPr>
              <w:t>41 20.216'</w:t>
            </w:r>
            <w:r w:rsidRPr="00403B4F">
              <w:rPr>
                <w:rFonts w:eastAsiaTheme="minorEastAsia"/>
                <w:sz w:val="20"/>
                <w:szCs w:val="20"/>
                <w:lang w:eastAsia="zh-CN"/>
              </w:rPr>
              <w:t>。</w:t>
            </w:r>
          </w:p>
          <w:p w:rsidR="00772406" w:rsidRPr="00403B4F" w:rsidRDefault="00772406" w:rsidP="001A42F8">
            <w:pPr>
              <w:numPr>
                <w:ilvl w:val="0"/>
                <w:numId w:val="134"/>
              </w:numPr>
              <w:spacing w:before="0" w:after="0"/>
              <w:rPr>
                <w:rFonts w:eastAsiaTheme="minorEastAsia"/>
                <w:sz w:val="20"/>
                <w:szCs w:val="20"/>
                <w:lang w:eastAsia="zh-CN"/>
              </w:rPr>
            </w:pPr>
            <w:r w:rsidRPr="00403B4F">
              <w:rPr>
                <w:rFonts w:eastAsiaTheme="minorEastAsia"/>
                <w:sz w:val="20"/>
                <w:szCs w:val="20"/>
                <w:lang w:eastAsia="zh-CN"/>
              </w:rPr>
              <w:t>该区主要对海洋上层和底层鱼类物种以及鲸目动物物种具有重要性。就鸟类而言，该区与海洋</w:t>
            </w:r>
            <w:r w:rsidRPr="00403B4F">
              <w:rPr>
                <w:rFonts w:eastAsiaTheme="minorEastAsia"/>
                <w:sz w:val="20"/>
                <w:szCs w:val="20"/>
                <w:lang w:eastAsia="zh-CN"/>
              </w:rPr>
              <w:t>“</w:t>
            </w:r>
            <w:r w:rsidRPr="00403B4F">
              <w:rPr>
                <w:rFonts w:eastAsiaTheme="minorEastAsia"/>
                <w:sz w:val="20"/>
                <w:szCs w:val="20"/>
                <w:lang w:eastAsia="zh-CN"/>
              </w:rPr>
              <w:t>重要鸟类和生物多样性区</w:t>
            </w:r>
            <w:r w:rsidRPr="00403B4F">
              <w:rPr>
                <w:rFonts w:eastAsiaTheme="minorEastAsia"/>
                <w:sz w:val="20"/>
                <w:szCs w:val="20"/>
                <w:lang w:eastAsia="zh-CN"/>
              </w:rPr>
              <w:t>”</w:t>
            </w:r>
            <w:r w:rsidRPr="00403B4F">
              <w:rPr>
                <w:rFonts w:eastAsiaTheme="minorEastAsia"/>
                <w:sz w:val="20"/>
                <w:szCs w:val="20"/>
                <w:lang w:eastAsia="zh-CN"/>
              </w:rPr>
              <w:t>（</w:t>
            </w:r>
            <w:r w:rsidRPr="00403B4F">
              <w:rPr>
                <w:rFonts w:eastAsiaTheme="minorEastAsia"/>
                <w:sz w:val="20"/>
                <w:szCs w:val="20"/>
                <w:lang w:eastAsia="zh-CN"/>
              </w:rPr>
              <w:t>IBA</w:t>
            </w:r>
            <w:r w:rsidRPr="00403B4F">
              <w:rPr>
                <w:rFonts w:eastAsiaTheme="minorEastAsia"/>
                <w:sz w:val="20"/>
                <w:szCs w:val="20"/>
                <w:lang w:eastAsia="zh-CN"/>
              </w:rPr>
              <w:t>）重叠；这一</w:t>
            </w:r>
            <w:r w:rsidRPr="00403B4F">
              <w:rPr>
                <w:rFonts w:eastAsiaTheme="minorEastAsia"/>
                <w:sz w:val="20"/>
                <w:szCs w:val="20"/>
                <w:lang w:eastAsia="zh-CN"/>
              </w:rPr>
              <w:t>IBA</w:t>
            </w:r>
            <w:r w:rsidRPr="00403B4F">
              <w:rPr>
                <w:rFonts w:eastAsiaTheme="minorEastAsia"/>
                <w:sz w:val="20"/>
                <w:szCs w:val="20"/>
                <w:lang w:eastAsia="zh-CN"/>
              </w:rPr>
              <w:t>对于两种海鸟物种具有区域重要性：</w:t>
            </w:r>
            <w:r w:rsidRPr="00403B4F">
              <w:rPr>
                <w:rStyle w:val="st"/>
                <w:rFonts w:eastAsiaTheme="minorEastAsia"/>
                <w:sz w:val="20"/>
                <w:szCs w:val="20"/>
                <w:lang w:eastAsia="zh-CN"/>
              </w:rPr>
              <w:t>斑头海番鸭（</w:t>
            </w:r>
            <w:r w:rsidRPr="00403B4F">
              <w:rPr>
                <w:rFonts w:eastAsiaTheme="minorEastAsia"/>
                <w:sz w:val="20"/>
                <w:szCs w:val="20"/>
                <w:lang w:eastAsia="zh-CN"/>
              </w:rPr>
              <w:t>Melanitta fusca</w:t>
            </w:r>
            <w:r w:rsidRPr="00403B4F">
              <w:rPr>
                <w:rFonts w:eastAsiaTheme="minorEastAsia"/>
                <w:sz w:val="20"/>
                <w:szCs w:val="20"/>
                <w:lang w:eastAsia="zh-CN"/>
              </w:rPr>
              <w:t>）和里海海鸥（</w:t>
            </w:r>
            <w:r w:rsidRPr="00403B4F">
              <w:rPr>
                <w:rFonts w:eastAsiaTheme="minorEastAsia"/>
                <w:sz w:val="20"/>
                <w:szCs w:val="20"/>
                <w:lang w:eastAsia="zh-CN"/>
              </w:rPr>
              <w:t>Larus cachinnans</w:t>
            </w:r>
            <w:r w:rsidRPr="00403B4F">
              <w:rPr>
                <w:rFonts w:eastAsiaTheme="minorEastAsia"/>
                <w:sz w:val="20"/>
                <w:szCs w:val="20"/>
                <w:lang w:eastAsia="zh-CN"/>
              </w:rPr>
              <w:t>）。据知还出现过第三种物种：北美海鸥</w:t>
            </w:r>
            <w:r w:rsidRPr="00403B4F">
              <w:rPr>
                <w:rFonts w:eastAsiaTheme="minorEastAsia"/>
                <w:sz w:val="20"/>
                <w:szCs w:val="20"/>
                <w:lang w:eastAsia="zh-CN"/>
              </w:rPr>
              <w:t xml:space="preserve"> </w:t>
            </w:r>
            <w:r w:rsidRPr="00403B4F">
              <w:rPr>
                <w:rFonts w:eastAsiaTheme="minorEastAsia"/>
                <w:sz w:val="20"/>
                <w:szCs w:val="20"/>
                <w:lang w:eastAsia="zh-CN"/>
              </w:rPr>
              <w:t>（</w:t>
            </w:r>
            <w:r w:rsidRPr="00403B4F">
              <w:rPr>
                <w:rFonts w:eastAsiaTheme="minorEastAsia"/>
                <w:sz w:val="20"/>
                <w:szCs w:val="20"/>
                <w:lang w:eastAsia="zh-CN"/>
              </w:rPr>
              <w:t>Larus canus</w:t>
            </w:r>
            <w:r w:rsidRPr="00403B4F">
              <w:rPr>
                <w:rFonts w:eastAsiaTheme="minorEastAsia"/>
                <w:sz w:val="20"/>
                <w:szCs w:val="20"/>
                <w:lang w:eastAsia="zh-CN"/>
              </w:rPr>
              <w:t>）。在土耳其黑海沿岸发现过</w:t>
            </w:r>
            <w:r w:rsidRPr="00403B4F">
              <w:rPr>
                <w:rStyle w:val="st"/>
                <w:rFonts w:eastAsiaTheme="minorEastAsia"/>
                <w:sz w:val="20"/>
                <w:szCs w:val="20"/>
                <w:lang w:eastAsia="zh-CN"/>
              </w:rPr>
              <w:t>港湾鼠</w:t>
            </w:r>
            <w:r w:rsidRPr="00403B4F">
              <w:rPr>
                <w:rStyle w:val="Emphasis"/>
                <w:rFonts w:eastAsiaTheme="minorEastAsia"/>
                <w:sz w:val="20"/>
                <w:szCs w:val="20"/>
                <w:lang w:eastAsia="zh-CN"/>
              </w:rPr>
              <w:t>海豚</w:t>
            </w:r>
            <w:r w:rsidRPr="00403B4F">
              <w:rPr>
                <w:rFonts w:eastAsiaTheme="minorEastAsia"/>
                <w:sz w:val="20"/>
                <w:szCs w:val="20"/>
                <w:lang w:eastAsia="zh-CN"/>
              </w:rPr>
              <w:t>，在数条河流汇入黑海的东海岸尤其多见。</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r>
      <w:tr w:rsidR="00772406" w:rsidRPr="00403B4F" w:rsidTr="00772406">
        <w:tc>
          <w:tcPr>
            <w:tcW w:w="9687" w:type="dxa"/>
            <w:shd w:val="clear" w:color="auto" w:fill="auto"/>
          </w:tcPr>
          <w:p w:rsidR="00772406" w:rsidRPr="00403B4F" w:rsidRDefault="00772406" w:rsidP="001A42F8">
            <w:pPr>
              <w:pStyle w:val="ListParagraph"/>
              <w:numPr>
                <w:ilvl w:val="0"/>
                <w:numId w:val="172"/>
              </w:numPr>
              <w:spacing w:before="0" w:after="0"/>
              <w:contextualSpacing/>
              <w:rPr>
                <w:rFonts w:eastAsiaTheme="minorEastAsia"/>
                <w:b/>
                <w:sz w:val="20"/>
                <w:szCs w:val="20"/>
              </w:rPr>
            </w:pPr>
            <w:r w:rsidRPr="00403B4F">
              <w:rPr>
                <w:rStyle w:val="st"/>
                <w:rFonts w:eastAsiaTheme="minorEastAsia"/>
                <w:b/>
                <w:sz w:val="20"/>
                <w:szCs w:val="20"/>
              </w:rPr>
              <w:t>特拉布宗</w:t>
            </w:r>
            <w:r w:rsidRPr="00403B4F">
              <w:rPr>
                <w:rStyle w:val="st"/>
                <w:rFonts w:eastAsiaTheme="minorEastAsia"/>
                <w:b/>
                <w:sz w:val="20"/>
                <w:szCs w:val="20"/>
              </w:rPr>
              <w:t>-</w:t>
            </w:r>
            <w:r w:rsidRPr="00403B4F">
              <w:rPr>
                <w:rStyle w:val="Emphasis"/>
                <w:rFonts w:eastAsiaTheme="minorEastAsia"/>
                <w:b w:val="0"/>
                <w:sz w:val="20"/>
                <w:szCs w:val="20"/>
              </w:rPr>
              <w:t>叙尔梅内</w:t>
            </w:r>
          </w:p>
          <w:p w:rsidR="00772406" w:rsidRPr="00403B4F" w:rsidRDefault="00772406" w:rsidP="001A42F8">
            <w:pPr>
              <w:pStyle w:val="ListParagraph"/>
              <w:numPr>
                <w:ilvl w:val="0"/>
                <w:numId w:val="154"/>
              </w:numPr>
              <w:spacing w:before="0" w:after="0"/>
              <w:contextualSpacing/>
              <w:rPr>
                <w:rFonts w:eastAsiaTheme="minorEastAsia"/>
                <w:sz w:val="20"/>
                <w:szCs w:val="20"/>
                <w:lang w:eastAsia="zh-CN"/>
              </w:rPr>
            </w:pPr>
            <w:r w:rsidRPr="00403B4F">
              <w:rPr>
                <w:rFonts w:eastAsiaTheme="minorEastAsia"/>
                <w:sz w:val="20"/>
                <w:szCs w:val="20"/>
                <w:lang w:eastAsia="zh-CN"/>
              </w:rPr>
              <w:t>位置：位于北纬</w:t>
            </w:r>
            <w:r w:rsidRPr="00403B4F">
              <w:rPr>
                <w:rFonts w:eastAsiaTheme="minorEastAsia"/>
                <w:sz w:val="20"/>
                <w:szCs w:val="20"/>
                <w:lang w:eastAsia="zh-CN"/>
              </w:rPr>
              <w:t>40 54.749'-</w:t>
            </w:r>
            <w:r w:rsidRPr="00403B4F">
              <w:rPr>
                <w:rFonts w:eastAsiaTheme="minorEastAsia"/>
                <w:sz w:val="20"/>
                <w:szCs w:val="20"/>
                <w:lang w:eastAsia="zh-CN"/>
              </w:rPr>
              <w:t>东经</w:t>
            </w:r>
            <w:r w:rsidRPr="00403B4F">
              <w:rPr>
                <w:rFonts w:eastAsiaTheme="minorEastAsia"/>
                <w:sz w:val="20"/>
                <w:szCs w:val="20"/>
                <w:lang w:eastAsia="zh-CN"/>
              </w:rPr>
              <w:t>40 08.364'</w:t>
            </w:r>
            <w:r w:rsidRPr="00403B4F">
              <w:rPr>
                <w:rFonts w:eastAsiaTheme="minorEastAsia"/>
                <w:sz w:val="20"/>
                <w:szCs w:val="20"/>
                <w:lang w:eastAsia="zh-CN"/>
              </w:rPr>
              <w:t>，北纬</w:t>
            </w:r>
            <w:r w:rsidRPr="00403B4F">
              <w:rPr>
                <w:rFonts w:eastAsiaTheme="minorEastAsia"/>
                <w:sz w:val="20"/>
                <w:szCs w:val="20"/>
                <w:lang w:eastAsia="zh-CN"/>
              </w:rPr>
              <w:t>40 54.794'-</w:t>
            </w:r>
            <w:r w:rsidRPr="00403B4F">
              <w:rPr>
                <w:rFonts w:eastAsiaTheme="minorEastAsia"/>
                <w:sz w:val="20"/>
                <w:szCs w:val="20"/>
                <w:lang w:eastAsia="zh-CN"/>
              </w:rPr>
              <w:t>东经</w:t>
            </w:r>
            <w:r w:rsidRPr="00403B4F">
              <w:rPr>
                <w:rFonts w:eastAsiaTheme="minorEastAsia"/>
                <w:sz w:val="20"/>
                <w:szCs w:val="20"/>
                <w:lang w:eastAsia="zh-CN"/>
              </w:rPr>
              <w:t>40 10.404'</w:t>
            </w:r>
            <w:r w:rsidRPr="00403B4F">
              <w:rPr>
                <w:rFonts w:eastAsiaTheme="minorEastAsia"/>
                <w:sz w:val="20"/>
                <w:szCs w:val="20"/>
                <w:lang w:eastAsia="zh-CN"/>
              </w:rPr>
              <w:t>，北纬</w:t>
            </w:r>
            <w:r w:rsidRPr="00403B4F">
              <w:rPr>
                <w:rFonts w:eastAsiaTheme="minorEastAsia"/>
                <w:sz w:val="20"/>
                <w:szCs w:val="20"/>
                <w:lang w:eastAsia="zh-CN"/>
              </w:rPr>
              <w:t>40 55.183'-</w:t>
            </w:r>
            <w:r w:rsidRPr="00403B4F">
              <w:rPr>
                <w:rFonts w:eastAsiaTheme="minorEastAsia"/>
                <w:sz w:val="20"/>
                <w:szCs w:val="20"/>
                <w:lang w:eastAsia="zh-CN"/>
              </w:rPr>
              <w:t>东经</w:t>
            </w:r>
            <w:r w:rsidRPr="00403B4F">
              <w:rPr>
                <w:rFonts w:eastAsiaTheme="minorEastAsia"/>
                <w:sz w:val="20"/>
                <w:szCs w:val="20"/>
                <w:lang w:eastAsia="zh-CN"/>
              </w:rPr>
              <w:t>40 10.404'</w:t>
            </w:r>
            <w:r w:rsidRPr="00403B4F">
              <w:rPr>
                <w:rFonts w:eastAsiaTheme="minorEastAsia"/>
                <w:sz w:val="20"/>
                <w:szCs w:val="20"/>
                <w:lang w:eastAsia="zh-CN"/>
              </w:rPr>
              <w:t>，北纬</w:t>
            </w:r>
            <w:r w:rsidRPr="00403B4F">
              <w:rPr>
                <w:rFonts w:eastAsiaTheme="minorEastAsia"/>
                <w:sz w:val="20"/>
                <w:szCs w:val="20"/>
                <w:lang w:eastAsia="zh-CN"/>
              </w:rPr>
              <w:t>40 55.183'-</w:t>
            </w:r>
            <w:r w:rsidRPr="00403B4F">
              <w:rPr>
                <w:rFonts w:eastAsiaTheme="minorEastAsia"/>
                <w:sz w:val="20"/>
                <w:szCs w:val="20"/>
                <w:lang w:eastAsia="zh-CN"/>
              </w:rPr>
              <w:t>东经</w:t>
            </w:r>
            <w:r w:rsidRPr="00403B4F">
              <w:rPr>
                <w:rFonts w:eastAsiaTheme="minorEastAsia"/>
                <w:sz w:val="20"/>
                <w:szCs w:val="20"/>
                <w:lang w:eastAsia="zh-CN"/>
              </w:rPr>
              <w:t>40 08.364'</w:t>
            </w:r>
            <w:r w:rsidRPr="00403B4F">
              <w:rPr>
                <w:rFonts w:eastAsiaTheme="minorEastAsia"/>
                <w:sz w:val="20"/>
                <w:szCs w:val="20"/>
                <w:lang w:eastAsia="zh-CN"/>
              </w:rPr>
              <w:t>。</w:t>
            </w:r>
          </w:p>
          <w:p w:rsidR="00772406" w:rsidRPr="00403B4F" w:rsidRDefault="00772406" w:rsidP="001A42F8">
            <w:pPr>
              <w:pStyle w:val="ListParagraph"/>
              <w:numPr>
                <w:ilvl w:val="0"/>
                <w:numId w:val="154"/>
              </w:numPr>
              <w:spacing w:before="0" w:after="0"/>
              <w:contextualSpacing/>
              <w:rPr>
                <w:rFonts w:eastAsiaTheme="minorEastAsia"/>
              </w:rPr>
            </w:pPr>
            <w:r w:rsidRPr="00403B4F">
              <w:rPr>
                <w:rFonts w:eastAsiaTheme="minorEastAsia"/>
                <w:sz w:val="20"/>
                <w:szCs w:val="20"/>
                <w:lang w:eastAsia="zh-CN"/>
              </w:rPr>
              <w:t>该区是上层和底层鱼类的重要繁殖和摄食地。这里是一个生物保护区，禁止渔业。它有一个脚跟状的岩石沙滩，水下岩石丰富。该区也是黑海唯一的海鲷自然栖息地。黑海的这个部位生物多样性相当高，例如港湾鼠海豚遍布土耳其黑海沿岸，在数条河流汇入黑海的东海岸尤其丰富。就鸟类而言，该区与海洋</w:t>
            </w:r>
            <w:r w:rsidRPr="00403B4F">
              <w:rPr>
                <w:rFonts w:eastAsiaTheme="minorEastAsia"/>
                <w:sz w:val="20"/>
                <w:szCs w:val="20"/>
                <w:lang w:eastAsia="zh-CN"/>
              </w:rPr>
              <w:t>“</w:t>
            </w:r>
            <w:r w:rsidRPr="00403B4F">
              <w:rPr>
                <w:rFonts w:eastAsiaTheme="minorEastAsia"/>
                <w:sz w:val="20"/>
                <w:szCs w:val="20"/>
                <w:lang w:eastAsia="zh-CN"/>
              </w:rPr>
              <w:t>重要鸟类和生物多样性区</w:t>
            </w:r>
            <w:r w:rsidRPr="00403B4F">
              <w:rPr>
                <w:rFonts w:eastAsiaTheme="minorEastAsia"/>
                <w:sz w:val="20"/>
                <w:szCs w:val="20"/>
                <w:lang w:eastAsia="zh-CN"/>
              </w:rPr>
              <w:t>”</w:t>
            </w:r>
            <w:r w:rsidRPr="00403B4F">
              <w:rPr>
                <w:rFonts w:eastAsiaTheme="minorEastAsia"/>
                <w:sz w:val="20"/>
                <w:szCs w:val="20"/>
                <w:lang w:eastAsia="zh-CN"/>
              </w:rPr>
              <w:t>（</w:t>
            </w:r>
            <w:r w:rsidRPr="00403B4F">
              <w:rPr>
                <w:rFonts w:eastAsiaTheme="minorEastAsia"/>
                <w:sz w:val="20"/>
                <w:szCs w:val="20"/>
                <w:lang w:eastAsia="zh-CN"/>
              </w:rPr>
              <w:t>IBA</w:t>
            </w:r>
            <w:r w:rsidRPr="00403B4F">
              <w:rPr>
                <w:rFonts w:eastAsiaTheme="minorEastAsia"/>
                <w:sz w:val="20"/>
                <w:szCs w:val="20"/>
                <w:lang w:eastAsia="zh-CN"/>
              </w:rPr>
              <w:t>）重叠，对于两种海鸟物种具有区域重要性：</w:t>
            </w:r>
            <w:r w:rsidRPr="00403B4F">
              <w:rPr>
                <w:rStyle w:val="st"/>
                <w:rFonts w:eastAsiaTheme="minorEastAsia"/>
                <w:sz w:val="20"/>
                <w:szCs w:val="20"/>
                <w:lang w:eastAsia="zh-CN"/>
              </w:rPr>
              <w:t>斑头海番鸭（</w:t>
            </w:r>
            <w:r w:rsidRPr="00403B4F">
              <w:rPr>
                <w:rFonts w:eastAsiaTheme="minorEastAsia"/>
                <w:sz w:val="20"/>
                <w:szCs w:val="20"/>
                <w:lang w:eastAsia="zh-CN"/>
              </w:rPr>
              <w:t>Melanitta fusca</w:t>
            </w:r>
            <w:r w:rsidRPr="00403B4F">
              <w:rPr>
                <w:rFonts w:eastAsiaTheme="minorEastAsia"/>
                <w:sz w:val="20"/>
                <w:szCs w:val="20"/>
                <w:lang w:eastAsia="zh-CN"/>
              </w:rPr>
              <w:t>）和里海海鸥（</w:t>
            </w:r>
            <w:r w:rsidRPr="00403B4F">
              <w:rPr>
                <w:rFonts w:eastAsiaTheme="minorEastAsia"/>
                <w:sz w:val="20"/>
                <w:szCs w:val="20"/>
                <w:lang w:eastAsia="zh-CN"/>
              </w:rPr>
              <w:t>Larus cachinnans</w:t>
            </w:r>
            <w:r w:rsidRPr="00403B4F">
              <w:rPr>
                <w:rFonts w:eastAsiaTheme="minorEastAsia"/>
                <w:sz w:val="20"/>
                <w:szCs w:val="20"/>
                <w:lang w:eastAsia="zh-CN"/>
              </w:rPr>
              <w:t>）。</w:t>
            </w:r>
            <w:r w:rsidRPr="00403B4F">
              <w:rPr>
                <w:rFonts w:eastAsiaTheme="minorEastAsia"/>
                <w:sz w:val="20"/>
                <w:szCs w:val="20"/>
              </w:rPr>
              <w:t>据知还出现过第三种物种：北美海鸥</w:t>
            </w:r>
            <w:r w:rsidRPr="00403B4F">
              <w:rPr>
                <w:rFonts w:eastAsiaTheme="minorEastAsia"/>
                <w:sz w:val="20"/>
                <w:szCs w:val="20"/>
              </w:rPr>
              <w:t xml:space="preserve"> </w:t>
            </w:r>
            <w:r w:rsidRPr="00403B4F">
              <w:rPr>
                <w:rFonts w:eastAsiaTheme="minorEastAsia"/>
                <w:sz w:val="20"/>
                <w:szCs w:val="20"/>
              </w:rPr>
              <w:t>（</w:t>
            </w:r>
            <w:r w:rsidRPr="00403B4F">
              <w:rPr>
                <w:rFonts w:eastAsiaTheme="minorEastAsia"/>
                <w:sz w:val="20"/>
                <w:szCs w:val="20"/>
              </w:rPr>
              <w:t>Larus canus</w:t>
            </w:r>
            <w:r w:rsidRPr="00403B4F">
              <w:rPr>
                <w:rFonts w:eastAsiaTheme="minorEastAsia"/>
                <w:sz w:val="20"/>
                <w:szCs w:val="20"/>
              </w:rPr>
              <w:t>）。</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L</w:t>
            </w:r>
          </w:p>
        </w:tc>
      </w:tr>
      <w:tr w:rsidR="00772406" w:rsidRPr="00403B4F" w:rsidTr="00772406">
        <w:tc>
          <w:tcPr>
            <w:tcW w:w="9687" w:type="dxa"/>
            <w:shd w:val="clear" w:color="auto" w:fill="auto"/>
          </w:tcPr>
          <w:p w:rsidR="00772406" w:rsidRPr="00403B4F" w:rsidRDefault="00772406" w:rsidP="001A42F8">
            <w:pPr>
              <w:pStyle w:val="ListParagraph"/>
              <w:numPr>
                <w:ilvl w:val="0"/>
                <w:numId w:val="172"/>
              </w:numPr>
              <w:spacing w:before="0" w:after="0"/>
              <w:contextualSpacing/>
              <w:rPr>
                <w:rFonts w:eastAsiaTheme="minorEastAsia"/>
                <w:b/>
                <w:sz w:val="20"/>
                <w:szCs w:val="20"/>
              </w:rPr>
            </w:pPr>
            <w:r w:rsidRPr="00403B4F">
              <w:rPr>
                <w:rStyle w:val="st"/>
                <w:rFonts w:eastAsiaTheme="minorEastAsia"/>
                <w:b/>
                <w:sz w:val="20"/>
                <w:szCs w:val="20"/>
              </w:rPr>
              <w:t>特拉布宗</w:t>
            </w:r>
            <w:r w:rsidRPr="00403B4F">
              <w:rPr>
                <w:rFonts w:eastAsiaTheme="minorEastAsia"/>
                <w:b/>
                <w:sz w:val="20"/>
                <w:szCs w:val="20"/>
              </w:rPr>
              <w:t>-</w:t>
            </w:r>
            <w:r w:rsidRPr="00403B4F">
              <w:rPr>
                <w:rFonts w:eastAsiaTheme="minorEastAsia"/>
                <w:b/>
                <w:sz w:val="20"/>
                <w:szCs w:val="20"/>
              </w:rPr>
              <w:t>阿尔辛</w:t>
            </w:r>
          </w:p>
          <w:p w:rsidR="00772406" w:rsidRPr="00403B4F" w:rsidRDefault="00772406" w:rsidP="001A42F8">
            <w:pPr>
              <w:pStyle w:val="ListParagraph"/>
              <w:numPr>
                <w:ilvl w:val="0"/>
                <w:numId w:val="155"/>
              </w:numPr>
              <w:spacing w:before="0" w:after="0"/>
              <w:contextualSpacing/>
              <w:rPr>
                <w:rFonts w:eastAsiaTheme="minorEastAsia"/>
                <w:sz w:val="20"/>
                <w:szCs w:val="20"/>
                <w:lang w:eastAsia="zh-CN"/>
              </w:rPr>
            </w:pPr>
            <w:r w:rsidRPr="00403B4F">
              <w:rPr>
                <w:rFonts w:eastAsiaTheme="minorEastAsia"/>
                <w:sz w:val="20"/>
                <w:szCs w:val="20"/>
                <w:lang w:eastAsia="zh-CN"/>
              </w:rPr>
              <w:t>位置：该区坐标为：北纬</w:t>
            </w:r>
            <w:r w:rsidRPr="00403B4F">
              <w:rPr>
                <w:rFonts w:eastAsiaTheme="minorEastAsia"/>
                <w:sz w:val="20"/>
                <w:szCs w:val="20"/>
                <w:lang w:eastAsia="zh-CN"/>
              </w:rPr>
              <w:t>40 57.769'-</w:t>
            </w:r>
            <w:r w:rsidRPr="00403B4F">
              <w:rPr>
                <w:rFonts w:eastAsiaTheme="minorEastAsia"/>
                <w:sz w:val="20"/>
                <w:szCs w:val="20"/>
                <w:lang w:eastAsia="zh-CN"/>
              </w:rPr>
              <w:t>东经</w:t>
            </w:r>
            <w:r w:rsidRPr="00403B4F">
              <w:rPr>
                <w:rFonts w:eastAsiaTheme="minorEastAsia"/>
                <w:sz w:val="20"/>
                <w:szCs w:val="20"/>
                <w:lang w:eastAsia="zh-CN"/>
              </w:rPr>
              <w:t>39 58.532'</w:t>
            </w:r>
            <w:r w:rsidRPr="00403B4F">
              <w:rPr>
                <w:rFonts w:eastAsiaTheme="minorEastAsia"/>
                <w:sz w:val="20"/>
                <w:szCs w:val="20"/>
                <w:lang w:eastAsia="zh-CN"/>
              </w:rPr>
              <w:t>，北纬</w:t>
            </w:r>
            <w:r w:rsidRPr="00403B4F">
              <w:rPr>
                <w:rFonts w:eastAsiaTheme="minorEastAsia"/>
                <w:sz w:val="20"/>
                <w:szCs w:val="20"/>
                <w:lang w:eastAsia="zh-CN"/>
              </w:rPr>
              <w:t>40 58.123'-</w:t>
            </w:r>
            <w:r w:rsidRPr="00403B4F">
              <w:rPr>
                <w:rFonts w:eastAsiaTheme="minorEastAsia"/>
                <w:sz w:val="20"/>
                <w:szCs w:val="20"/>
                <w:lang w:eastAsia="zh-CN"/>
              </w:rPr>
              <w:t>东经</w:t>
            </w:r>
            <w:r w:rsidRPr="00403B4F">
              <w:rPr>
                <w:rFonts w:eastAsiaTheme="minorEastAsia"/>
                <w:sz w:val="20"/>
                <w:szCs w:val="20"/>
                <w:lang w:eastAsia="zh-CN"/>
              </w:rPr>
              <w:t>39 58.532'</w:t>
            </w:r>
            <w:r w:rsidRPr="00403B4F">
              <w:rPr>
                <w:rFonts w:eastAsiaTheme="minorEastAsia"/>
                <w:sz w:val="20"/>
                <w:szCs w:val="20"/>
                <w:lang w:eastAsia="zh-CN"/>
              </w:rPr>
              <w:t>，北纬</w:t>
            </w:r>
            <w:r w:rsidRPr="00403B4F">
              <w:rPr>
                <w:rFonts w:eastAsiaTheme="minorEastAsia"/>
                <w:sz w:val="20"/>
                <w:szCs w:val="20"/>
                <w:lang w:eastAsia="zh-CN"/>
              </w:rPr>
              <w:t>40 58.123'-</w:t>
            </w:r>
            <w:r w:rsidRPr="00403B4F">
              <w:rPr>
                <w:rFonts w:eastAsiaTheme="minorEastAsia"/>
                <w:sz w:val="20"/>
                <w:szCs w:val="20"/>
                <w:lang w:eastAsia="zh-CN"/>
              </w:rPr>
              <w:t>东经</w:t>
            </w:r>
            <w:r w:rsidRPr="00403B4F">
              <w:rPr>
                <w:rFonts w:eastAsiaTheme="minorEastAsia"/>
                <w:sz w:val="20"/>
                <w:szCs w:val="20"/>
                <w:lang w:eastAsia="zh-CN"/>
              </w:rPr>
              <w:t>39 59.528'</w:t>
            </w:r>
            <w:r w:rsidRPr="00403B4F">
              <w:rPr>
                <w:rFonts w:eastAsiaTheme="minorEastAsia"/>
                <w:sz w:val="20"/>
                <w:szCs w:val="20"/>
                <w:lang w:eastAsia="zh-CN"/>
              </w:rPr>
              <w:t>，北纬</w:t>
            </w:r>
            <w:r w:rsidRPr="00403B4F">
              <w:rPr>
                <w:rFonts w:eastAsiaTheme="minorEastAsia"/>
                <w:sz w:val="20"/>
                <w:szCs w:val="20"/>
                <w:lang w:eastAsia="zh-CN"/>
              </w:rPr>
              <w:t>40 57.849'-</w:t>
            </w:r>
            <w:r w:rsidRPr="00403B4F">
              <w:rPr>
                <w:rFonts w:eastAsiaTheme="minorEastAsia"/>
                <w:sz w:val="20"/>
                <w:szCs w:val="20"/>
                <w:lang w:eastAsia="zh-CN"/>
              </w:rPr>
              <w:t>东经</w:t>
            </w:r>
            <w:r w:rsidRPr="00403B4F">
              <w:rPr>
                <w:rFonts w:eastAsiaTheme="minorEastAsia"/>
                <w:sz w:val="20"/>
                <w:szCs w:val="20"/>
                <w:lang w:eastAsia="zh-CN"/>
              </w:rPr>
              <w:t xml:space="preserve"> 39 59.528' </w:t>
            </w:r>
            <w:r w:rsidRPr="00403B4F">
              <w:rPr>
                <w:rFonts w:eastAsiaTheme="minorEastAsia"/>
                <w:sz w:val="20"/>
                <w:szCs w:val="20"/>
                <w:lang w:eastAsia="zh-CN"/>
              </w:rPr>
              <w:t>。</w:t>
            </w:r>
          </w:p>
          <w:p w:rsidR="00772406" w:rsidRPr="00403B4F" w:rsidRDefault="00772406" w:rsidP="001A42F8">
            <w:pPr>
              <w:pStyle w:val="ListParagraph"/>
              <w:numPr>
                <w:ilvl w:val="0"/>
                <w:numId w:val="155"/>
              </w:numPr>
              <w:spacing w:before="0" w:after="0"/>
              <w:contextualSpacing/>
              <w:rPr>
                <w:rFonts w:eastAsiaTheme="minorEastAsia"/>
                <w:sz w:val="20"/>
                <w:szCs w:val="20"/>
                <w:lang w:eastAsia="zh-CN"/>
              </w:rPr>
            </w:pPr>
            <w:r w:rsidRPr="00403B4F">
              <w:rPr>
                <w:rFonts w:eastAsiaTheme="minorEastAsia"/>
                <w:sz w:val="20"/>
                <w:szCs w:val="20"/>
                <w:lang w:eastAsia="zh-CN"/>
              </w:rPr>
              <w:t>该区是一些稀有海洋上层和底层物种的重要繁殖和栖息地，如三种海豚、</w:t>
            </w:r>
            <w:r w:rsidRPr="00403B4F">
              <w:rPr>
                <w:rFonts w:eastAsiaTheme="minorEastAsia"/>
                <w:sz w:val="20"/>
                <w:szCs w:val="20"/>
                <w:lang w:eastAsia="zh-CN"/>
              </w:rPr>
              <w:t>Psetta maxima</w:t>
            </w:r>
            <w:r w:rsidRPr="00403B4F">
              <w:rPr>
                <w:rFonts w:eastAsiaTheme="minorEastAsia"/>
                <w:sz w:val="20"/>
                <w:szCs w:val="20"/>
                <w:lang w:eastAsia="zh-CN"/>
              </w:rPr>
              <w:t>（大菱鲆）和大叶藻草甸。其他几种鱼类，例如红</w:t>
            </w:r>
            <w:r w:rsidRPr="00403B4F">
              <w:rPr>
                <w:rStyle w:val="ng-binding"/>
                <w:rFonts w:eastAsiaTheme="minorEastAsia"/>
                <w:sz w:val="20"/>
                <w:szCs w:val="20"/>
                <w:lang w:eastAsia="zh-CN"/>
              </w:rPr>
              <w:t>鲻鱼（</w:t>
            </w:r>
            <w:r w:rsidRPr="00403B4F">
              <w:rPr>
                <w:rFonts w:eastAsiaTheme="minorEastAsia"/>
                <w:sz w:val="20"/>
                <w:szCs w:val="20"/>
                <w:lang w:eastAsia="zh-CN"/>
              </w:rPr>
              <w:t>Mullus barbatus</w:t>
            </w:r>
            <w:r w:rsidRPr="00403B4F">
              <w:rPr>
                <w:rFonts w:eastAsiaTheme="minorEastAsia"/>
                <w:sz w:val="20"/>
                <w:szCs w:val="20"/>
                <w:lang w:eastAsia="zh-CN"/>
              </w:rPr>
              <w:t>）、灰</w:t>
            </w:r>
            <w:r w:rsidRPr="00403B4F">
              <w:rPr>
                <w:rStyle w:val="ng-binding"/>
                <w:rFonts w:eastAsiaTheme="minorEastAsia"/>
                <w:sz w:val="20"/>
                <w:szCs w:val="20"/>
                <w:lang w:eastAsia="zh-CN"/>
              </w:rPr>
              <w:t>鲻鱼（</w:t>
            </w:r>
            <w:r w:rsidRPr="00403B4F">
              <w:rPr>
                <w:rFonts w:eastAsiaTheme="minorEastAsia"/>
                <w:sz w:val="20"/>
                <w:szCs w:val="20"/>
                <w:lang w:eastAsia="zh-CN"/>
              </w:rPr>
              <w:t>Mugil</w:t>
            </w:r>
            <w:r w:rsidRPr="00403B4F">
              <w:rPr>
                <w:rFonts w:eastAsiaTheme="minorEastAsia"/>
                <w:sz w:val="20"/>
                <w:szCs w:val="20"/>
                <w:lang w:eastAsia="zh-CN"/>
              </w:rPr>
              <w:t>）也很丰富。该区陆地一侧是官方生物保护点。该区沿海部分多岩，许多鱼类不迁徙，生活在多岩多沙的环境中，拥有丰富的繁殖和摄食生态系统。这是一个禁渔区。有一个脚跟状的岩石滩，水下有岩石和广阔平坦的沙地，拥有最丰富的底栖物种多样性。此外，港湾鼠海豚遍布土耳其黑海沿岸，在数条河流汇入黑海的东海岸尤其丰富。此外，黑海东南部是港湾鼠海豚的主要越冬区。该区与海洋</w:t>
            </w:r>
            <w:r w:rsidRPr="00403B4F">
              <w:rPr>
                <w:rFonts w:eastAsiaTheme="minorEastAsia"/>
                <w:sz w:val="20"/>
                <w:szCs w:val="20"/>
                <w:lang w:eastAsia="zh-CN"/>
              </w:rPr>
              <w:t>“</w:t>
            </w:r>
            <w:r w:rsidRPr="00403B4F">
              <w:rPr>
                <w:rFonts w:eastAsiaTheme="minorEastAsia"/>
                <w:sz w:val="20"/>
                <w:szCs w:val="20"/>
                <w:lang w:eastAsia="zh-CN"/>
              </w:rPr>
              <w:t>重要鸟类和生物多样性区</w:t>
            </w:r>
            <w:r w:rsidRPr="00403B4F">
              <w:rPr>
                <w:rFonts w:eastAsiaTheme="minorEastAsia"/>
                <w:sz w:val="20"/>
                <w:szCs w:val="20"/>
                <w:lang w:eastAsia="zh-CN"/>
              </w:rPr>
              <w:t>”</w:t>
            </w:r>
            <w:r w:rsidRPr="00403B4F">
              <w:rPr>
                <w:rFonts w:eastAsiaTheme="minorEastAsia"/>
                <w:sz w:val="20"/>
                <w:szCs w:val="20"/>
                <w:lang w:eastAsia="zh-CN"/>
              </w:rPr>
              <w:t>重叠，对于两种海鸟物种具有区域重要性：</w:t>
            </w:r>
            <w:r w:rsidRPr="00403B4F">
              <w:rPr>
                <w:rStyle w:val="st"/>
                <w:rFonts w:eastAsiaTheme="minorEastAsia"/>
                <w:sz w:val="20"/>
                <w:szCs w:val="20"/>
                <w:lang w:eastAsia="zh-CN"/>
              </w:rPr>
              <w:t>斑头海番鸭（</w:t>
            </w:r>
            <w:r w:rsidRPr="00403B4F">
              <w:rPr>
                <w:rFonts w:eastAsiaTheme="minorEastAsia"/>
                <w:sz w:val="20"/>
                <w:szCs w:val="20"/>
                <w:lang w:eastAsia="zh-CN"/>
              </w:rPr>
              <w:t>Melanitta fusca</w:t>
            </w:r>
            <w:r w:rsidRPr="00403B4F">
              <w:rPr>
                <w:rFonts w:eastAsiaTheme="minorEastAsia"/>
                <w:sz w:val="20"/>
                <w:szCs w:val="20"/>
                <w:lang w:eastAsia="zh-CN"/>
              </w:rPr>
              <w:t>）和里海海鸥（</w:t>
            </w:r>
            <w:r w:rsidRPr="00403B4F">
              <w:rPr>
                <w:rFonts w:eastAsiaTheme="minorEastAsia"/>
                <w:sz w:val="20"/>
                <w:szCs w:val="20"/>
                <w:lang w:eastAsia="zh-CN"/>
              </w:rPr>
              <w:t>Larus cachinnans</w:t>
            </w:r>
            <w:r w:rsidRPr="00403B4F">
              <w:rPr>
                <w:rFonts w:eastAsiaTheme="minorEastAsia"/>
                <w:sz w:val="20"/>
                <w:szCs w:val="20"/>
                <w:lang w:eastAsia="zh-CN"/>
              </w:rPr>
              <w:t>）。据知还出现过第三种物种：北美海鸥</w:t>
            </w:r>
            <w:r w:rsidRPr="00403B4F">
              <w:rPr>
                <w:rFonts w:eastAsiaTheme="minorEastAsia"/>
                <w:sz w:val="20"/>
                <w:szCs w:val="20"/>
                <w:lang w:eastAsia="zh-CN"/>
              </w:rPr>
              <w:t xml:space="preserve"> </w:t>
            </w:r>
            <w:r w:rsidRPr="00403B4F">
              <w:rPr>
                <w:rFonts w:eastAsiaTheme="minorEastAsia"/>
                <w:sz w:val="20"/>
                <w:szCs w:val="20"/>
                <w:lang w:eastAsia="zh-CN"/>
              </w:rPr>
              <w:t>（</w:t>
            </w:r>
            <w:r w:rsidRPr="00403B4F">
              <w:rPr>
                <w:rFonts w:eastAsiaTheme="minorEastAsia"/>
                <w:sz w:val="20"/>
                <w:szCs w:val="20"/>
                <w:lang w:eastAsia="zh-CN"/>
              </w:rPr>
              <w:t>Larus canus</w:t>
            </w:r>
            <w:r w:rsidRPr="00403B4F">
              <w:rPr>
                <w:rFonts w:eastAsiaTheme="minorEastAsia"/>
                <w:sz w:val="20"/>
                <w:szCs w:val="20"/>
                <w:lang w:eastAsia="zh-CN"/>
              </w:rPr>
              <w:t>）。</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1A42F8">
            <w:pPr>
              <w:pStyle w:val="ListParagraph"/>
              <w:numPr>
                <w:ilvl w:val="0"/>
                <w:numId w:val="172"/>
              </w:numPr>
              <w:spacing w:before="0" w:after="0"/>
              <w:contextualSpacing/>
              <w:rPr>
                <w:rStyle w:val="st"/>
                <w:rFonts w:eastAsiaTheme="minorEastAsia"/>
                <w:b/>
                <w:sz w:val="20"/>
                <w:szCs w:val="20"/>
              </w:rPr>
            </w:pPr>
            <w:r w:rsidRPr="00403B4F">
              <w:rPr>
                <w:rStyle w:val="st"/>
                <w:rFonts w:eastAsiaTheme="minorEastAsia"/>
                <w:b/>
                <w:sz w:val="20"/>
                <w:szCs w:val="20"/>
              </w:rPr>
              <w:t>吉雷松</w:t>
            </w:r>
            <w:r w:rsidRPr="00403B4F">
              <w:rPr>
                <w:rStyle w:val="st"/>
                <w:rFonts w:eastAsiaTheme="minorEastAsia"/>
                <w:b/>
                <w:sz w:val="20"/>
                <w:szCs w:val="20"/>
              </w:rPr>
              <w:t>-</w:t>
            </w:r>
            <w:r w:rsidRPr="00403B4F">
              <w:rPr>
                <w:rFonts w:eastAsiaTheme="minorEastAsia"/>
                <w:b/>
                <w:sz w:val="20"/>
                <w:szCs w:val="20"/>
              </w:rPr>
              <w:t>蒂雷博卢</w:t>
            </w:r>
          </w:p>
          <w:p w:rsidR="00772406" w:rsidRPr="00403B4F" w:rsidRDefault="00772406" w:rsidP="001A42F8">
            <w:pPr>
              <w:pStyle w:val="ListParagraph"/>
              <w:numPr>
                <w:ilvl w:val="0"/>
                <w:numId w:val="156"/>
              </w:numPr>
              <w:spacing w:before="0" w:after="0"/>
              <w:contextualSpacing/>
              <w:rPr>
                <w:rFonts w:eastAsiaTheme="minorEastAsia"/>
                <w:sz w:val="20"/>
                <w:szCs w:val="20"/>
                <w:lang w:eastAsia="zh-CN"/>
              </w:rPr>
            </w:pPr>
            <w:r w:rsidRPr="00403B4F">
              <w:rPr>
                <w:rFonts w:eastAsiaTheme="minorEastAsia"/>
                <w:sz w:val="20"/>
                <w:szCs w:val="20"/>
                <w:lang w:eastAsia="zh-CN"/>
              </w:rPr>
              <w:lastRenderedPageBreak/>
              <w:t>位置：该区坐标：北纬</w:t>
            </w:r>
            <w:r w:rsidRPr="00403B4F">
              <w:rPr>
                <w:rFonts w:eastAsiaTheme="minorEastAsia"/>
                <w:sz w:val="20"/>
                <w:szCs w:val="20"/>
                <w:lang w:eastAsia="zh-CN"/>
              </w:rPr>
              <w:t>40 59.23'-</w:t>
            </w:r>
            <w:r w:rsidRPr="00403B4F">
              <w:rPr>
                <w:rFonts w:eastAsiaTheme="minorEastAsia"/>
                <w:sz w:val="20"/>
                <w:szCs w:val="20"/>
                <w:lang w:eastAsia="zh-CN"/>
              </w:rPr>
              <w:t>东经</w:t>
            </w:r>
            <w:r w:rsidRPr="00403B4F">
              <w:rPr>
                <w:rFonts w:eastAsiaTheme="minorEastAsia"/>
                <w:sz w:val="20"/>
                <w:szCs w:val="20"/>
                <w:lang w:eastAsia="zh-CN"/>
              </w:rPr>
              <w:t>38 46.415'</w:t>
            </w:r>
            <w:r w:rsidRPr="00403B4F">
              <w:rPr>
                <w:rFonts w:eastAsiaTheme="minorEastAsia"/>
                <w:sz w:val="20"/>
                <w:szCs w:val="20"/>
                <w:lang w:eastAsia="zh-CN"/>
              </w:rPr>
              <w:t>，北纬</w:t>
            </w:r>
            <w:r w:rsidRPr="00403B4F">
              <w:rPr>
                <w:rFonts w:eastAsiaTheme="minorEastAsia"/>
                <w:sz w:val="20"/>
                <w:szCs w:val="20"/>
                <w:lang w:eastAsia="zh-CN"/>
              </w:rPr>
              <w:t>41 0.241'-</w:t>
            </w:r>
            <w:r w:rsidRPr="00403B4F">
              <w:rPr>
                <w:rFonts w:eastAsiaTheme="minorEastAsia"/>
                <w:sz w:val="20"/>
                <w:szCs w:val="20"/>
                <w:lang w:eastAsia="zh-CN"/>
              </w:rPr>
              <w:t>东经</w:t>
            </w:r>
            <w:r w:rsidRPr="00403B4F">
              <w:rPr>
                <w:rFonts w:eastAsiaTheme="minorEastAsia"/>
                <w:sz w:val="20"/>
                <w:szCs w:val="20"/>
                <w:lang w:eastAsia="zh-CN"/>
              </w:rPr>
              <w:t>38 46.415'</w:t>
            </w:r>
            <w:r w:rsidRPr="00403B4F">
              <w:rPr>
                <w:rFonts w:eastAsiaTheme="minorEastAsia"/>
                <w:sz w:val="20"/>
                <w:szCs w:val="20"/>
                <w:lang w:eastAsia="zh-CN"/>
              </w:rPr>
              <w:t>，北纬</w:t>
            </w:r>
            <w:r w:rsidRPr="00403B4F">
              <w:rPr>
                <w:rFonts w:eastAsiaTheme="minorEastAsia"/>
                <w:sz w:val="20"/>
                <w:szCs w:val="20"/>
                <w:lang w:eastAsia="zh-CN"/>
              </w:rPr>
              <w:t>41 0.489'-</w:t>
            </w:r>
            <w:r w:rsidRPr="00403B4F">
              <w:rPr>
                <w:rFonts w:eastAsiaTheme="minorEastAsia"/>
                <w:sz w:val="20"/>
                <w:szCs w:val="20"/>
                <w:lang w:eastAsia="zh-CN"/>
              </w:rPr>
              <w:t>东经</w:t>
            </w:r>
            <w:r w:rsidRPr="00403B4F">
              <w:rPr>
                <w:rFonts w:eastAsiaTheme="minorEastAsia"/>
                <w:sz w:val="20"/>
                <w:szCs w:val="20"/>
                <w:lang w:eastAsia="zh-CN"/>
              </w:rPr>
              <w:t>38 48.48'</w:t>
            </w:r>
            <w:r w:rsidRPr="00403B4F">
              <w:rPr>
                <w:rFonts w:eastAsiaTheme="minorEastAsia"/>
                <w:sz w:val="20"/>
                <w:szCs w:val="20"/>
                <w:lang w:eastAsia="zh-CN"/>
              </w:rPr>
              <w:t>，北纬</w:t>
            </w:r>
            <w:r w:rsidRPr="00403B4F">
              <w:rPr>
                <w:rFonts w:eastAsiaTheme="minorEastAsia"/>
                <w:sz w:val="20"/>
                <w:szCs w:val="20"/>
                <w:lang w:eastAsia="zh-CN"/>
              </w:rPr>
              <w:t>41 0.24'-</w:t>
            </w:r>
            <w:r w:rsidRPr="00403B4F">
              <w:rPr>
                <w:rFonts w:eastAsiaTheme="minorEastAsia"/>
                <w:sz w:val="20"/>
                <w:szCs w:val="20"/>
                <w:lang w:eastAsia="zh-CN"/>
              </w:rPr>
              <w:t>东经</w:t>
            </w:r>
            <w:r w:rsidRPr="00403B4F">
              <w:rPr>
                <w:rFonts w:eastAsiaTheme="minorEastAsia"/>
                <w:sz w:val="20"/>
                <w:szCs w:val="20"/>
                <w:lang w:eastAsia="zh-CN"/>
              </w:rPr>
              <w:t xml:space="preserve">38 48.48' </w:t>
            </w:r>
            <w:r w:rsidRPr="00403B4F">
              <w:rPr>
                <w:rFonts w:eastAsiaTheme="minorEastAsia"/>
                <w:sz w:val="20"/>
                <w:szCs w:val="20"/>
                <w:lang w:eastAsia="zh-CN"/>
              </w:rPr>
              <w:t>。</w:t>
            </w:r>
          </w:p>
          <w:p w:rsidR="00772406" w:rsidRPr="00403B4F" w:rsidRDefault="00772406" w:rsidP="001A42F8">
            <w:pPr>
              <w:pStyle w:val="ListParagraph"/>
              <w:numPr>
                <w:ilvl w:val="0"/>
                <w:numId w:val="156"/>
              </w:numPr>
              <w:spacing w:before="0" w:after="0"/>
              <w:contextualSpacing/>
              <w:rPr>
                <w:rFonts w:eastAsiaTheme="minorEastAsia"/>
                <w:sz w:val="20"/>
                <w:szCs w:val="20"/>
                <w:lang w:eastAsia="zh-CN"/>
              </w:rPr>
            </w:pPr>
            <w:r w:rsidRPr="00403B4F">
              <w:rPr>
                <w:rFonts w:eastAsiaTheme="minorEastAsia"/>
                <w:sz w:val="20"/>
                <w:szCs w:val="20"/>
              </w:rPr>
              <w:t>该区对于海洋上层和底层鱼类尤其是大菱鲆（</w:t>
            </w:r>
            <w:r w:rsidRPr="00403B4F">
              <w:rPr>
                <w:rFonts w:eastAsiaTheme="minorEastAsia"/>
                <w:sz w:val="20"/>
                <w:szCs w:val="20"/>
              </w:rPr>
              <w:t>Psetta maxima</w:t>
            </w:r>
            <w:r w:rsidRPr="00403B4F">
              <w:rPr>
                <w:rFonts w:eastAsiaTheme="minorEastAsia"/>
                <w:sz w:val="20"/>
                <w:szCs w:val="20"/>
              </w:rPr>
              <w:t>）、红鲻鱼（</w:t>
            </w:r>
            <w:r w:rsidRPr="00403B4F">
              <w:rPr>
                <w:rFonts w:eastAsiaTheme="minorEastAsia"/>
                <w:sz w:val="20"/>
                <w:szCs w:val="20"/>
              </w:rPr>
              <w:t>Mullus barbatus</w:t>
            </w:r>
            <w:r w:rsidRPr="00403B4F">
              <w:rPr>
                <w:rFonts w:eastAsiaTheme="minorEastAsia"/>
                <w:sz w:val="20"/>
                <w:szCs w:val="20"/>
              </w:rPr>
              <w:t>）、灰鲻鱼（</w:t>
            </w:r>
            <w:r w:rsidRPr="00403B4F">
              <w:rPr>
                <w:rFonts w:eastAsiaTheme="minorEastAsia"/>
                <w:sz w:val="20"/>
                <w:szCs w:val="20"/>
              </w:rPr>
              <w:t>Mugil spp</w:t>
            </w:r>
            <w:r w:rsidRPr="00403B4F">
              <w:rPr>
                <w:rFonts w:eastAsiaTheme="minorEastAsia"/>
                <w:sz w:val="20"/>
                <w:szCs w:val="20"/>
              </w:rPr>
              <w:t>。）非常重要，对于海草（</w:t>
            </w:r>
            <w:r w:rsidRPr="00403B4F">
              <w:rPr>
                <w:rFonts w:eastAsiaTheme="minorEastAsia"/>
                <w:sz w:val="20"/>
                <w:szCs w:val="20"/>
              </w:rPr>
              <w:t>Zostera</w:t>
            </w:r>
            <w:r w:rsidRPr="00403B4F">
              <w:rPr>
                <w:rFonts w:eastAsiaTheme="minorEastAsia"/>
                <w:sz w:val="20"/>
                <w:szCs w:val="20"/>
              </w:rPr>
              <w:t>）也很重要。</w:t>
            </w:r>
            <w:r w:rsidRPr="00403B4F">
              <w:rPr>
                <w:rFonts w:eastAsiaTheme="minorEastAsia"/>
                <w:sz w:val="20"/>
                <w:szCs w:val="20"/>
                <w:lang w:eastAsia="zh-CN"/>
              </w:rPr>
              <w:t>这是一个水下峡谷区，为底层和上层鱼类种群提供了繁殖场所。黑海这个部位的生物多样性非常高，该区与海洋</w:t>
            </w:r>
            <w:r w:rsidRPr="00403B4F">
              <w:rPr>
                <w:rFonts w:eastAsiaTheme="minorEastAsia"/>
                <w:sz w:val="20"/>
                <w:szCs w:val="20"/>
                <w:lang w:eastAsia="zh-CN"/>
              </w:rPr>
              <w:t>“</w:t>
            </w:r>
            <w:r w:rsidRPr="00403B4F">
              <w:rPr>
                <w:rFonts w:eastAsiaTheme="minorEastAsia"/>
                <w:sz w:val="20"/>
                <w:szCs w:val="20"/>
                <w:lang w:eastAsia="zh-CN"/>
              </w:rPr>
              <w:t>重要鸟类和生物多样性区</w:t>
            </w:r>
            <w:r w:rsidRPr="00403B4F">
              <w:rPr>
                <w:rFonts w:eastAsiaTheme="minorEastAsia"/>
                <w:sz w:val="20"/>
                <w:szCs w:val="20"/>
                <w:lang w:eastAsia="zh-CN"/>
              </w:rPr>
              <w:t>”</w:t>
            </w:r>
            <w:r w:rsidRPr="00403B4F">
              <w:rPr>
                <w:rFonts w:eastAsiaTheme="minorEastAsia"/>
                <w:sz w:val="20"/>
                <w:szCs w:val="20"/>
                <w:lang w:eastAsia="zh-CN"/>
              </w:rPr>
              <w:t>重叠，主要因为这里是易危</w:t>
            </w:r>
            <w:r w:rsidRPr="00403B4F">
              <w:rPr>
                <w:rStyle w:val="st"/>
                <w:rFonts w:eastAsiaTheme="minorEastAsia"/>
                <w:sz w:val="20"/>
                <w:szCs w:val="20"/>
                <w:lang w:eastAsia="zh-CN"/>
              </w:rPr>
              <w:t>地中海鹱</w:t>
            </w:r>
            <w:r w:rsidRPr="00403B4F">
              <w:rPr>
                <w:rFonts w:eastAsiaTheme="minorEastAsia"/>
                <w:sz w:val="20"/>
                <w:szCs w:val="20"/>
                <w:lang w:eastAsia="zh-CN"/>
              </w:rPr>
              <w:t>（</w:t>
            </w:r>
            <w:r w:rsidRPr="00403B4F">
              <w:rPr>
                <w:rFonts w:eastAsiaTheme="minorEastAsia"/>
                <w:sz w:val="20"/>
                <w:szCs w:val="20"/>
                <w:lang w:eastAsia="zh-CN"/>
              </w:rPr>
              <w:t>Puffinus yelkouan</w:t>
            </w:r>
            <w:r w:rsidRPr="00403B4F">
              <w:rPr>
                <w:rFonts w:eastAsiaTheme="minorEastAsia"/>
                <w:sz w:val="20"/>
                <w:szCs w:val="20"/>
                <w:lang w:eastAsia="zh-CN"/>
              </w:rPr>
              <w:t>）</w:t>
            </w:r>
            <w:r w:rsidRPr="00403B4F">
              <w:rPr>
                <w:rStyle w:val="st"/>
                <w:rFonts w:eastAsiaTheme="minorEastAsia"/>
                <w:sz w:val="20"/>
                <w:szCs w:val="20"/>
                <w:lang w:eastAsia="zh-CN"/>
              </w:rPr>
              <w:t>的重要</w:t>
            </w:r>
            <w:r w:rsidRPr="00403B4F">
              <w:rPr>
                <w:rFonts w:eastAsiaTheme="minorEastAsia"/>
                <w:sz w:val="20"/>
                <w:szCs w:val="20"/>
                <w:lang w:eastAsia="zh-CN"/>
              </w:rPr>
              <w:t>越冬区。</w:t>
            </w:r>
            <w:r w:rsidRPr="00403B4F">
              <w:rPr>
                <w:rStyle w:val="st"/>
                <w:rFonts w:eastAsiaTheme="minorEastAsia"/>
                <w:sz w:val="20"/>
                <w:szCs w:val="20"/>
                <w:lang w:eastAsia="zh-CN"/>
              </w:rPr>
              <w:t>地中海鹱</w:t>
            </w:r>
            <w:r w:rsidRPr="00403B4F">
              <w:rPr>
                <w:rFonts w:eastAsiaTheme="minorEastAsia"/>
                <w:sz w:val="20"/>
                <w:szCs w:val="20"/>
                <w:lang w:eastAsia="zh-CN"/>
              </w:rPr>
              <w:t>是地中海特有鸟类，在非繁殖季节约有</w:t>
            </w:r>
            <w:r w:rsidRPr="00403B4F">
              <w:rPr>
                <w:rFonts w:eastAsiaTheme="minorEastAsia"/>
                <w:sz w:val="20"/>
                <w:szCs w:val="20"/>
                <w:lang w:eastAsia="zh-CN"/>
              </w:rPr>
              <w:t>30</w:t>
            </w:r>
            <w:r w:rsidRPr="00403B4F">
              <w:rPr>
                <w:rFonts w:eastAsiaTheme="minorEastAsia"/>
                <w:sz w:val="20"/>
                <w:szCs w:val="20"/>
                <w:lang w:eastAsia="zh-CN"/>
              </w:rPr>
              <w:t>％至</w:t>
            </w:r>
            <w:r w:rsidRPr="00403B4F">
              <w:rPr>
                <w:rFonts w:eastAsiaTheme="minorEastAsia"/>
                <w:sz w:val="20"/>
                <w:szCs w:val="20"/>
                <w:lang w:eastAsia="zh-CN"/>
              </w:rPr>
              <w:t>40</w:t>
            </w:r>
            <w:r w:rsidRPr="00403B4F">
              <w:rPr>
                <w:rFonts w:eastAsiaTheme="minorEastAsia"/>
                <w:sz w:val="20"/>
                <w:szCs w:val="20"/>
                <w:lang w:eastAsia="zh-CN"/>
              </w:rPr>
              <w:t>％迁徙到黑海。鸟群追踪研究和栖息地适宜性研究证实该区对这一物种非常重要。对黑海中、东部海底泥沙群落生境甲壳类动物的研究表明，浅水域（</w:t>
            </w:r>
            <w:r w:rsidRPr="00403B4F">
              <w:rPr>
                <w:rFonts w:eastAsiaTheme="minorEastAsia"/>
                <w:sz w:val="20"/>
                <w:szCs w:val="20"/>
                <w:lang w:eastAsia="zh-CN"/>
              </w:rPr>
              <w:t>&lt;50 m</w:t>
            </w:r>
            <w:r w:rsidRPr="00403B4F">
              <w:rPr>
                <w:rFonts w:eastAsiaTheme="minorEastAsia"/>
                <w:sz w:val="20"/>
                <w:szCs w:val="20"/>
                <w:lang w:eastAsia="zh-CN"/>
              </w:rPr>
              <w:t>）的物种多样性相对较高，多样性减少与水深增加有直接关系。</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lastRenderedPageBreak/>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r w:rsidR="00772406" w:rsidRPr="00403B4F" w:rsidTr="00772406">
        <w:tc>
          <w:tcPr>
            <w:tcW w:w="13230" w:type="dxa"/>
            <w:gridSpan w:val="8"/>
            <w:shd w:val="clear" w:color="auto" w:fill="D9D9D9" w:themeFill="background1" w:themeFillShade="D9"/>
          </w:tcPr>
          <w:p w:rsidR="00772406" w:rsidRPr="00403B4F" w:rsidRDefault="00772406" w:rsidP="00403B4F">
            <w:pPr>
              <w:snapToGrid w:val="0"/>
              <w:spacing w:before="0" w:after="0"/>
              <w:jc w:val="center"/>
              <w:rPr>
                <w:rFonts w:eastAsiaTheme="minorEastAsia"/>
                <w:b/>
              </w:rPr>
            </w:pPr>
            <w:r w:rsidRPr="00403B4F">
              <w:rPr>
                <w:rFonts w:eastAsiaTheme="minorEastAsia"/>
                <w:b/>
              </w:rPr>
              <w:lastRenderedPageBreak/>
              <w:t>里海</w:t>
            </w:r>
          </w:p>
        </w:tc>
      </w:tr>
      <w:tr w:rsidR="00772406" w:rsidRPr="00403B4F" w:rsidTr="00772406">
        <w:tc>
          <w:tcPr>
            <w:tcW w:w="9687" w:type="dxa"/>
            <w:shd w:val="clear" w:color="auto" w:fill="auto"/>
          </w:tcPr>
          <w:p w:rsidR="00772406" w:rsidRPr="00403B4F" w:rsidRDefault="00772406" w:rsidP="001A42F8">
            <w:pPr>
              <w:pStyle w:val="ListParagraph"/>
              <w:numPr>
                <w:ilvl w:val="0"/>
                <w:numId w:val="172"/>
              </w:numPr>
              <w:spacing w:before="0" w:after="0"/>
              <w:contextualSpacing/>
              <w:rPr>
                <w:rFonts w:eastAsiaTheme="minorEastAsia"/>
                <w:b/>
                <w:sz w:val="20"/>
                <w:szCs w:val="20"/>
              </w:rPr>
            </w:pPr>
            <w:r w:rsidRPr="00403B4F">
              <w:rPr>
                <w:rStyle w:val="st"/>
                <w:rFonts w:eastAsiaTheme="minorEastAsia"/>
                <w:b/>
                <w:sz w:val="20"/>
                <w:szCs w:val="20"/>
              </w:rPr>
              <w:t>里海</w:t>
            </w:r>
            <w:r w:rsidRPr="00403B4F">
              <w:rPr>
                <w:rFonts w:eastAsiaTheme="minorEastAsia"/>
                <w:b/>
                <w:sz w:val="20"/>
                <w:szCs w:val="20"/>
              </w:rPr>
              <w:t>乌拉尔河河口前区</w:t>
            </w:r>
          </w:p>
          <w:p w:rsidR="00772406" w:rsidRPr="00403B4F" w:rsidRDefault="00772406" w:rsidP="001A42F8">
            <w:pPr>
              <w:pStyle w:val="ListParagraph"/>
              <w:numPr>
                <w:ilvl w:val="0"/>
                <w:numId w:val="158"/>
              </w:numPr>
              <w:snapToGrid w:val="0"/>
              <w:spacing w:before="0" w:after="0"/>
              <w:outlineLvl w:val="1"/>
              <w:rPr>
                <w:rFonts w:eastAsiaTheme="minorEastAsia"/>
                <w:sz w:val="20"/>
                <w:szCs w:val="20"/>
                <w:lang w:eastAsia="zh-CN"/>
              </w:rPr>
            </w:pPr>
            <w:bookmarkStart w:id="113" w:name="_Toc6243726"/>
            <w:r w:rsidRPr="00403B4F">
              <w:rPr>
                <w:rFonts w:eastAsiaTheme="minorEastAsia"/>
                <w:sz w:val="20"/>
                <w:szCs w:val="20"/>
                <w:lang w:eastAsia="zh-CN"/>
              </w:rPr>
              <w:t>位置：乌拉尔河下河口区位于乌拉尔河（</w:t>
            </w:r>
            <w:r w:rsidRPr="00403B4F">
              <w:rPr>
                <w:rFonts w:eastAsiaTheme="minorEastAsia"/>
                <w:sz w:val="20"/>
                <w:szCs w:val="20"/>
                <w:lang w:eastAsia="zh-CN"/>
              </w:rPr>
              <w:t>Zhayik</w:t>
            </w:r>
            <w:r w:rsidRPr="00403B4F">
              <w:rPr>
                <w:rFonts w:eastAsiaTheme="minorEastAsia"/>
                <w:sz w:val="20"/>
                <w:szCs w:val="20"/>
                <w:lang w:eastAsia="zh-CN"/>
              </w:rPr>
              <w:t>）入海汇合处附近的里海微咸水浅水区。下河口的定义是</w:t>
            </w:r>
            <w:r w:rsidRPr="00403B4F">
              <w:rPr>
                <w:rFonts w:eastAsiaTheme="minorEastAsia"/>
                <w:sz w:val="20"/>
                <w:szCs w:val="20"/>
                <w:lang w:eastAsia="zh-CN"/>
              </w:rPr>
              <w:t>3</w:t>
            </w:r>
            <w:r w:rsidRPr="00403B4F">
              <w:rPr>
                <w:rFonts w:eastAsiaTheme="minorEastAsia"/>
                <w:sz w:val="20"/>
                <w:szCs w:val="20"/>
                <w:lang w:eastAsia="zh-CN"/>
              </w:rPr>
              <w:t>米等深线区。</w:t>
            </w:r>
            <w:bookmarkEnd w:id="113"/>
          </w:p>
          <w:p w:rsidR="00772406" w:rsidRPr="00403B4F" w:rsidRDefault="00772406" w:rsidP="001A42F8">
            <w:pPr>
              <w:pStyle w:val="ListParagraph"/>
              <w:numPr>
                <w:ilvl w:val="0"/>
                <w:numId w:val="157"/>
              </w:numPr>
              <w:spacing w:before="0" w:after="0"/>
              <w:contextualSpacing/>
              <w:outlineLvl w:val="1"/>
              <w:rPr>
                <w:rFonts w:eastAsiaTheme="minorEastAsia"/>
                <w:b/>
                <w:caps/>
                <w:lang w:val="es-MX" w:eastAsia="zh-CN"/>
              </w:rPr>
            </w:pPr>
            <w:bookmarkStart w:id="114" w:name="_Toc6243727"/>
            <w:r w:rsidRPr="00403B4F">
              <w:rPr>
                <w:rFonts w:eastAsiaTheme="minorEastAsia"/>
                <w:sz w:val="20"/>
                <w:szCs w:val="20"/>
                <w:lang w:eastAsia="zh-CN"/>
              </w:rPr>
              <w:t>乌拉尔河（</w:t>
            </w:r>
            <w:r w:rsidRPr="00403B4F">
              <w:rPr>
                <w:rFonts w:eastAsiaTheme="minorEastAsia"/>
                <w:sz w:val="20"/>
                <w:szCs w:val="20"/>
                <w:lang w:eastAsia="zh-CN"/>
              </w:rPr>
              <w:t>Zhayik</w:t>
            </w:r>
            <w:r w:rsidRPr="00403B4F">
              <w:rPr>
                <w:rFonts w:eastAsiaTheme="minorEastAsia"/>
                <w:sz w:val="20"/>
                <w:szCs w:val="20"/>
                <w:lang w:eastAsia="zh-CN"/>
              </w:rPr>
              <w:t>）的河口前区位于里海北部，毗邻乌拉尔河口，是溯河（鲟鱼）和淡水（鲤鱼、鲈鱼）鱼类的重要繁殖地。每年春季大批鱼类聚集到这里，上溯到乌拉尔河下游和中游的产卵场产卵。产卵后，母鱼和幼鱼迁徙到下河口区（微咸水浅海区）摄食。留有小规模鲟鱼种群（如俄罗斯鲟、</w:t>
            </w:r>
            <w:r w:rsidRPr="00403B4F">
              <w:rPr>
                <w:rStyle w:val="st"/>
                <w:rFonts w:eastAsiaTheme="minorEastAsia"/>
                <w:sz w:val="20"/>
                <w:szCs w:val="20"/>
                <w:lang w:eastAsia="zh-CN"/>
              </w:rPr>
              <w:t>欧洲鳇、</w:t>
            </w:r>
            <w:r w:rsidRPr="00403B4F">
              <w:rPr>
                <w:rFonts w:eastAsiaTheme="minorEastAsia"/>
                <w:sz w:val="20"/>
                <w:szCs w:val="20"/>
                <w:lang w:eastAsia="zh-CN"/>
              </w:rPr>
              <w:t>星鲟、刺鲟）。</w:t>
            </w:r>
            <w:bookmarkEnd w:id="114"/>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1A42F8">
            <w:pPr>
              <w:pStyle w:val="ListParagraph"/>
              <w:numPr>
                <w:ilvl w:val="0"/>
                <w:numId w:val="172"/>
              </w:numPr>
              <w:suppressAutoHyphens/>
              <w:snapToGrid w:val="0"/>
              <w:spacing w:before="0" w:after="0"/>
              <w:contextualSpacing/>
              <w:rPr>
                <w:rFonts w:eastAsiaTheme="minorEastAsia"/>
                <w:sz w:val="20"/>
                <w:szCs w:val="20"/>
              </w:rPr>
            </w:pPr>
            <w:r w:rsidRPr="00403B4F">
              <w:rPr>
                <w:rFonts w:eastAsiaTheme="minorEastAsia"/>
                <w:b/>
                <w:sz w:val="20"/>
                <w:szCs w:val="20"/>
              </w:rPr>
              <w:t>共青团湾</w:t>
            </w:r>
          </w:p>
          <w:p w:rsidR="00772406" w:rsidRPr="00403B4F" w:rsidRDefault="00772406" w:rsidP="001A42F8">
            <w:pPr>
              <w:pStyle w:val="ListParagraph"/>
              <w:numPr>
                <w:ilvl w:val="0"/>
                <w:numId w:val="157"/>
              </w:numPr>
              <w:suppressAutoHyphens/>
              <w:snapToGrid w:val="0"/>
              <w:spacing w:before="0" w:after="0"/>
              <w:contextualSpacing/>
              <w:rPr>
                <w:rFonts w:eastAsiaTheme="minorEastAsia"/>
                <w:sz w:val="20"/>
                <w:szCs w:val="20"/>
                <w:lang w:eastAsia="zh-CN"/>
              </w:rPr>
            </w:pPr>
            <w:r w:rsidRPr="00403B4F">
              <w:rPr>
                <w:rFonts w:eastAsiaTheme="minorEastAsia"/>
                <w:sz w:val="20"/>
                <w:szCs w:val="20"/>
                <w:lang w:eastAsia="zh-CN"/>
              </w:rPr>
              <w:t>位置：共青团湾，包括</w:t>
            </w:r>
            <w:r w:rsidRPr="00403B4F">
              <w:rPr>
                <w:rFonts w:eastAsiaTheme="minorEastAsia"/>
                <w:sz w:val="20"/>
                <w:szCs w:val="20"/>
                <w:lang w:eastAsia="zh-CN"/>
              </w:rPr>
              <w:t>Durnev</w:t>
            </w:r>
            <w:r w:rsidRPr="00403B4F">
              <w:rPr>
                <w:rFonts w:eastAsiaTheme="minorEastAsia"/>
                <w:sz w:val="20"/>
                <w:szCs w:val="20"/>
                <w:lang w:eastAsia="zh-CN"/>
              </w:rPr>
              <w:t>群岛，位于里海东北部</w:t>
            </w:r>
            <w:r w:rsidRPr="00403B4F">
              <w:rPr>
                <w:rFonts w:eastAsiaTheme="minorEastAsia"/>
                <w:sz w:val="20"/>
                <w:szCs w:val="20"/>
                <w:lang w:eastAsia="zh-CN"/>
              </w:rPr>
              <w:t>Dead Kultuk</w:t>
            </w:r>
            <w:r w:rsidRPr="00403B4F">
              <w:rPr>
                <w:rFonts w:eastAsiaTheme="minorEastAsia"/>
                <w:sz w:val="20"/>
                <w:szCs w:val="20"/>
                <w:lang w:eastAsia="zh-CN"/>
              </w:rPr>
              <w:t>湾以西（北纬</w:t>
            </w:r>
            <w:r w:rsidRPr="00403B4F">
              <w:rPr>
                <w:rFonts w:eastAsiaTheme="minorEastAsia"/>
                <w:sz w:val="20"/>
                <w:szCs w:val="20"/>
                <w:lang w:eastAsia="zh-CN"/>
              </w:rPr>
              <w:t>45.38</w:t>
            </w:r>
            <w:r w:rsidRPr="00403B4F">
              <w:rPr>
                <w:rFonts w:eastAsiaTheme="minorEastAsia"/>
                <w:sz w:val="20"/>
                <w:szCs w:val="20"/>
                <w:lang w:eastAsia="zh-CN"/>
              </w:rPr>
              <w:t>，东经</w:t>
            </w:r>
            <w:r w:rsidRPr="00403B4F">
              <w:rPr>
                <w:rFonts w:eastAsiaTheme="minorEastAsia"/>
                <w:sz w:val="20"/>
                <w:szCs w:val="20"/>
                <w:lang w:eastAsia="zh-CN"/>
              </w:rPr>
              <w:t>52.35</w:t>
            </w:r>
            <w:r w:rsidRPr="00403B4F">
              <w:rPr>
                <w:rFonts w:eastAsiaTheme="minorEastAsia"/>
                <w:sz w:val="20"/>
                <w:szCs w:val="20"/>
                <w:lang w:eastAsia="zh-CN"/>
              </w:rPr>
              <w:t>）。</w:t>
            </w:r>
          </w:p>
          <w:p w:rsidR="00772406" w:rsidRPr="00403B4F" w:rsidRDefault="00772406" w:rsidP="001A42F8">
            <w:pPr>
              <w:pStyle w:val="ListParagraph"/>
              <w:numPr>
                <w:ilvl w:val="0"/>
                <w:numId w:val="157"/>
              </w:numPr>
              <w:suppressAutoHyphens/>
              <w:snapToGrid w:val="0"/>
              <w:spacing w:before="0" w:after="0"/>
              <w:contextualSpacing/>
              <w:rPr>
                <w:rFonts w:eastAsiaTheme="minorEastAsia"/>
                <w:lang w:eastAsia="zh-CN"/>
              </w:rPr>
            </w:pPr>
            <w:r w:rsidRPr="00403B4F">
              <w:rPr>
                <w:rFonts w:eastAsiaTheme="minorEastAsia"/>
                <w:sz w:val="20"/>
                <w:szCs w:val="20"/>
                <w:lang w:eastAsia="zh-CN"/>
              </w:rPr>
              <w:t>特有跨界物种里海海豹（</w:t>
            </w:r>
            <w:r w:rsidRPr="00403B4F">
              <w:rPr>
                <w:rFonts w:eastAsiaTheme="minorEastAsia"/>
                <w:sz w:val="20"/>
                <w:szCs w:val="20"/>
                <w:lang w:eastAsia="zh-CN"/>
              </w:rPr>
              <w:t>Phoca caspica</w:t>
            </w:r>
            <w:r w:rsidRPr="00403B4F">
              <w:rPr>
                <w:rFonts w:eastAsiaTheme="minorEastAsia"/>
                <w:sz w:val="20"/>
                <w:szCs w:val="20"/>
                <w:lang w:eastAsia="zh-CN"/>
              </w:rPr>
              <w:t>）是居住在里海的唯一哺乳动物。</w:t>
            </w:r>
            <w:r w:rsidRPr="00403B4F">
              <w:rPr>
                <w:rFonts w:eastAsiaTheme="minorEastAsia"/>
                <w:sz w:val="20"/>
                <w:szCs w:val="20"/>
                <w:lang w:eastAsia="zh-CN"/>
              </w:rPr>
              <w:t>2008</w:t>
            </w:r>
            <w:r w:rsidRPr="00403B4F">
              <w:rPr>
                <w:rFonts w:eastAsiaTheme="minorEastAsia"/>
                <w:sz w:val="20"/>
                <w:szCs w:val="20"/>
                <w:lang w:eastAsia="zh-CN"/>
              </w:rPr>
              <w:t>年</w:t>
            </w:r>
            <w:r w:rsidRPr="00403B4F">
              <w:rPr>
                <w:rFonts w:eastAsiaTheme="minorEastAsia"/>
                <w:color w:val="000000"/>
                <w:sz w:val="20"/>
                <w:szCs w:val="20"/>
                <w:lang w:eastAsia="zh-CN"/>
              </w:rPr>
              <w:t>自然保护联盟</w:t>
            </w:r>
            <w:r w:rsidRPr="00403B4F">
              <w:rPr>
                <w:rFonts w:eastAsiaTheme="minorEastAsia"/>
                <w:sz w:val="20"/>
                <w:szCs w:val="20"/>
                <w:lang w:eastAsia="zh-CN"/>
              </w:rPr>
              <w:t>将里海海豹的状况从</w:t>
            </w:r>
            <w:r w:rsidRPr="00C9773D">
              <w:rPr>
                <w:rFonts w:asciiTheme="minorEastAsia" w:eastAsiaTheme="minorEastAsia" w:hAnsiTheme="minorEastAsia"/>
                <w:sz w:val="20"/>
                <w:szCs w:val="20"/>
                <w:lang w:eastAsia="zh-CN"/>
              </w:rPr>
              <w:t>“易危”改为“濒危”</w:t>
            </w:r>
            <w:r w:rsidRPr="00403B4F">
              <w:rPr>
                <w:rFonts w:eastAsiaTheme="minorEastAsia"/>
                <w:sz w:val="20"/>
                <w:szCs w:val="20"/>
                <w:lang w:eastAsia="zh-CN"/>
              </w:rPr>
              <w:t>。对里海海豹种群的分布、丰度、结构的研究结果表明，</w:t>
            </w:r>
            <w:r w:rsidRPr="00403B4F">
              <w:rPr>
                <w:rFonts w:eastAsiaTheme="minorEastAsia"/>
                <w:sz w:val="20"/>
                <w:szCs w:val="20"/>
                <w:lang w:eastAsia="zh-CN"/>
              </w:rPr>
              <w:t>Durnev</w:t>
            </w:r>
            <w:r w:rsidRPr="00403B4F">
              <w:rPr>
                <w:rFonts w:eastAsiaTheme="minorEastAsia"/>
                <w:sz w:val="20"/>
                <w:szCs w:val="20"/>
                <w:lang w:eastAsia="zh-CN"/>
              </w:rPr>
              <w:t>群岛上的栖居地对保护海豹非常重要。</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L</w:t>
            </w:r>
          </w:p>
        </w:tc>
      </w:tr>
      <w:tr w:rsidR="00772406" w:rsidRPr="00403B4F" w:rsidTr="00772406">
        <w:tc>
          <w:tcPr>
            <w:tcW w:w="9687" w:type="dxa"/>
            <w:shd w:val="clear" w:color="auto" w:fill="auto"/>
          </w:tcPr>
          <w:p w:rsidR="00772406" w:rsidRPr="00403B4F" w:rsidRDefault="00772406" w:rsidP="001A42F8">
            <w:pPr>
              <w:pStyle w:val="ListParagraph"/>
              <w:numPr>
                <w:ilvl w:val="0"/>
                <w:numId w:val="172"/>
              </w:numPr>
              <w:spacing w:before="0" w:after="0"/>
              <w:contextualSpacing/>
              <w:rPr>
                <w:rFonts w:eastAsiaTheme="minorEastAsia"/>
                <w:sz w:val="20"/>
                <w:szCs w:val="20"/>
              </w:rPr>
            </w:pPr>
            <w:r w:rsidRPr="00403B4F">
              <w:rPr>
                <w:rFonts w:eastAsiaTheme="minorEastAsia"/>
                <w:b/>
                <w:sz w:val="20"/>
                <w:szCs w:val="20"/>
              </w:rPr>
              <w:t>里海海豹繁殖场</w:t>
            </w:r>
          </w:p>
          <w:p w:rsidR="00772406" w:rsidRPr="00403B4F" w:rsidRDefault="00772406" w:rsidP="001A42F8">
            <w:pPr>
              <w:pStyle w:val="ListParagraph"/>
              <w:numPr>
                <w:ilvl w:val="0"/>
                <w:numId w:val="135"/>
              </w:numPr>
              <w:spacing w:before="0" w:after="0"/>
              <w:ind w:left="395"/>
              <w:contextualSpacing/>
              <w:rPr>
                <w:rFonts w:eastAsiaTheme="minorEastAsia"/>
                <w:sz w:val="20"/>
                <w:szCs w:val="20"/>
                <w:lang w:eastAsia="zh-CN"/>
              </w:rPr>
            </w:pPr>
            <w:r w:rsidRPr="00403B4F">
              <w:rPr>
                <w:rFonts w:eastAsiaTheme="minorEastAsia"/>
                <w:sz w:val="20"/>
                <w:szCs w:val="20"/>
                <w:lang w:eastAsia="zh-CN"/>
              </w:rPr>
              <w:t>位置：该区的位置取决于冬季的覆冰范围，因为海豹的繁殖季节发生在</w:t>
            </w:r>
            <w:r w:rsidRPr="00403B4F">
              <w:rPr>
                <w:rFonts w:eastAsiaTheme="minorEastAsia"/>
                <w:sz w:val="20"/>
                <w:szCs w:val="20"/>
                <w:lang w:eastAsia="zh-CN"/>
              </w:rPr>
              <w:t>1</w:t>
            </w:r>
            <w:r w:rsidRPr="00403B4F">
              <w:rPr>
                <w:rFonts w:eastAsiaTheme="minorEastAsia"/>
                <w:sz w:val="20"/>
                <w:szCs w:val="20"/>
                <w:lang w:eastAsia="zh-CN"/>
              </w:rPr>
              <w:t>月至</w:t>
            </w:r>
            <w:r w:rsidRPr="00403B4F">
              <w:rPr>
                <w:rFonts w:eastAsiaTheme="minorEastAsia"/>
                <w:sz w:val="20"/>
                <w:szCs w:val="20"/>
                <w:lang w:eastAsia="zh-CN"/>
              </w:rPr>
              <w:t>3</w:t>
            </w:r>
            <w:r w:rsidRPr="00403B4F">
              <w:rPr>
                <w:rFonts w:eastAsiaTheme="minorEastAsia"/>
                <w:sz w:val="20"/>
                <w:szCs w:val="20"/>
                <w:lang w:eastAsia="zh-CN"/>
              </w:rPr>
              <w:t>月初。区域定为考虑到冰情的动态性和多年来的分布情况。因此区域的形状依历史记录中观测到的冬季覆冰范围和不同冰情下产仔海豹的分布情况来确定。</w:t>
            </w:r>
          </w:p>
          <w:p w:rsidR="00772406" w:rsidRPr="00403B4F" w:rsidRDefault="00772406" w:rsidP="001A42F8">
            <w:pPr>
              <w:pStyle w:val="ListParagraph"/>
              <w:numPr>
                <w:ilvl w:val="0"/>
                <w:numId w:val="135"/>
              </w:numPr>
              <w:spacing w:before="0" w:after="0"/>
              <w:ind w:left="395"/>
              <w:contextualSpacing/>
              <w:rPr>
                <w:rFonts w:eastAsiaTheme="minorEastAsia"/>
                <w:sz w:val="20"/>
                <w:szCs w:val="20"/>
                <w:lang w:eastAsia="zh-CN"/>
              </w:rPr>
            </w:pPr>
            <w:r w:rsidRPr="00403B4F">
              <w:rPr>
                <w:rFonts w:eastAsiaTheme="minorEastAsia"/>
                <w:sz w:val="20"/>
                <w:szCs w:val="20"/>
                <w:lang w:eastAsia="zh-CN"/>
              </w:rPr>
              <w:t>里海海豹（</w:t>
            </w:r>
            <w:r w:rsidRPr="00403B4F">
              <w:rPr>
                <w:rFonts w:eastAsiaTheme="minorEastAsia"/>
                <w:sz w:val="20"/>
                <w:szCs w:val="20"/>
                <w:lang w:eastAsia="zh-CN"/>
              </w:rPr>
              <w:t>Pusa caspica</w:t>
            </w:r>
            <w:r w:rsidRPr="00403B4F">
              <w:rPr>
                <w:rFonts w:eastAsiaTheme="minorEastAsia"/>
                <w:sz w:val="20"/>
                <w:szCs w:val="20"/>
                <w:lang w:eastAsia="zh-CN"/>
              </w:rPr>
              <w:t>）是栖息在里海内陆的一种特有的、冰上繁殖的跨界海洋哺乳动物。里海海豹每年</w:t>
            </w:r>
            <w:r w:rsidRPr="00403B4F">
              <w:rPr>
                <w:rFonts w:eastAsiaTheme="minorEastAsia"/>
                <w:sz w:val="20"/>
                <w:szCs w:val="20"/>
                <w:lang w:eastAsia="zh-CN"/>
              </w:rPr>
              <w:t>1</w:t>
            </w:r>
            <w:r w:rsidRPr="00403B4F">
              <w:rPr>
                <w:rFonts w:eastAsiaTheme="minorEastAsia"/>
                <w:sz w:val="20"/>
                <w:szCs w:val="20"/>
                <w:lang w:eastAsia="zh-CN"/>
              </w:rPr>
              <w:t>月至</w:t>
            </w:r>
            <w:r w:rsidRPr="00403B4F">
              <w:rPr>
                <w:rFonts w:eastAsiaTheme="minorEastAsia"/>
                <w:sz w:val="20"/>
                <w:szCs w:val="20"/>
                <w:lang w:eastAsia="zh-CN"/>
              </w:rPr>
              <w:t>3</w:t>
            </w:r>
            <w:r w:rsidRPr="00403B4F">
              <w:rPr>
                <w:rFonts w:eastAsiaTheme="minorEastAsia"/>
                <w:sz w:val="20"/>
                <w:szCs w:val="20"/>
                <w:lang w:eastAsia="zh-CN"/>
              </w:rPr>
              <w:t>月利用这个冬季冰场分娩和哺乳幼仔。该区对所有里海鲟物种也很重要。</w:t>
            </w:r>
          </w:p>
        </w:tc>
        <w:tc>
          <w:tcPr>
            <w:tcW w:w="506" w:type="dxa"/>
            <w:vAlign w:val="center"/>
          </w:tcPr>
          <w:p w:rsidR="00772406" w:rsidRPr="00403B4F" w:rsidRDefault="00772406" w:rsidP="00403B4F">
            <w:pPr>
              <w:tabs>
                <w:tab w:val="left" w:pos="395"/>
              </w:tabs>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tabs>
                <w:tab w:val="left" w:pos="395"/>
              </w:tabs>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tabs>
                <w:tab w:val="left" w:pos="395"/>
              </w:tabs>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tabs>
                <w:tab w:val="left" w:pos="395"/>
              </w:tabs>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tabs>
                <w:tab w:val="left" w:pos="395"/>
              </w:tabs>
              <w:snapToGrid w:val="0"/>
              <w:spacing w:before="0" w:after="0"/>
              <w:jc w:val="center"/>
              <w:rPr>
                <w:rFonts w:eastAsiaTheme="minorEastAsia"/>
              </w:rPr>
            </w:pPr>
            <w:r w:rsidRPr="00403B4F">
              <w:rPr>
                <w:rFonts w:eastAsiaTheme="minorEastAsia"/>
              </w:rPr>
              <w:t>-</w:t>
            </w:r>
          </w:p>
        </w:tc>
        <w:tc>
          <w:tcPr>
            <w:tcW w:w="506" w:type="dxa"/>
            <w:vAlign w:val="center"/>
          </w:tcPr>
          <w:p w:rsidR="00772406" w:rsidRPr="00403B4F" w:rsidRDefault="00772406" w:rsidP="00403B4F">
            <w:pPr>
              <w:tabs>
                <w:tab w:val="left" w:pos="395"/>
              </w:tabs>
              <w:snapToGrid w:val="0"/>
              <w:spacing w:before="0" w:after="0"/>
              <w:jc w:val="center"/>
              <w:rPr>
                <w:rFonts w:eastAsiaTheme="minorEastAsia"/>
              </w:rPr>
            </w:pPr>
            <w:r w:rsidRPr="00403B4F">
              <w:rPr>
                <w:rFonts w:eastAsiaTheme="minorEastAsia"/>
              </w:rPr>
              <w:t>-</w:t>
            </w:r>
          </w:p>
        </w:tc>
        <w:tc>
          <w:tcPr>
            <w:tcW w:w="507" w:type="dxa"/>
            <w:vAlign w:val="center"/>
          </w:tcPr>
          <w:p w:rsidR="00772406" w:rsidRPr="00403B4F" w:rsidRDefault="00772406" w:rsidP="00403B4F">
            <w:pPr>
              <w:tabs>
                <w:tab w:val="left" w:pos="395"/>
              </w:tabs>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1A42F8">
            <w:pPr>
              <w:pStyle w:val="ListParagraph"/>
              <w:numPr>
                <w:ilvl w:val="0"/>
                <w:numId w:val="172"/>
              </w:numPr>
              <w:spacing w:before="0" w:after="0"/>
              <w:contextualSpacing/>
              <w:rPr>
                <w:rFonts w:eastAsiaTheme="minorEastAsia"/>
                <w:sz w:val="20"/>
                <w:szCs w:val="20"/>
              </w:rPr>
            </w:pPr>
            <w:r w:rsidRPr="00403B4F">
              <w:rPr>
                <w:rFonts w:eastAsiaTheme="minorEastAsia"/>
                <w:b/>
                <w:sz w:val="20"/>
                <w:szCs w:val="20"/>
              </w:rPr>
              <w:lastRenderedPageBreak/>
              <w:t>肯迪利湾</w:t>
            </w:r>
          </w:p>
          <w:p w:rsidR="00772406" w:rsidRPr="00403B4F" w:rsidRDefault="00772406" w:rsidP="001A42F8">
            <w:pPr>
              <w:numPr>
                <w:ilvl w:val="0"/>
                <w:numId w:val="136"/>
              </w:numPr>
              <w:spacing w:before="0" w:after="0"/>
              <w:ind w:left="395"/>
              <w:rPr>
                <w:rFonts w:eastAsiaTheme="minorEastAsia"/>
                <w:sz w:val="20"/>
                <w:szCs w:val="20"/>
                <w:lang w:eastAsia="zh-CN"/>
              </w:rPr>
            </w:pPr>
            <w:r w:rsidRPr="00403B4F">
              <w:rPr>
                <w:rFonts w:eastAsiaTheme="minorEastAsia"/>
                <w:sz w:val="20"/>
                <w:szCs w:val="20"/>
                <w:lang w:eastAsia="zh-CN"/>
              </w:rPr>
              <w:t>位置：肯迪利湾位于里海中部深水区，哈萨克湾东部，全长</w:t>
            </w:r>
            <w:r w:rsidRPr="00403B4F">
              <w:rPr>
                <w:rFonts w:eastAsiaTheme="minorEastAsia"/>
                <w:sz w:val="20"/>
                <w:szCs w:val="20"/>
                <w:lang w:eastAsia="zh-CN"/>
              </w:rPr>
              <w:t>23</w:t>
            </w:r>
            <w:r w:rsidRPr="00403B4F">
              <w:rPr>
                <w:rFonts w:eastAsiaTheme="minorEastAsia"/>
                <w:sz w:val="20"/>
                <w:szCs w:val="20"/>
                <w:lang w:eastAsia="zh-CN"/>
              </w:rPr>
              <w:t>公里，中部最大宽度</w:t>
            </w:r>
            <w:r w:rsidRPr="00403B4F">
              <w:rPr>
                <w:rFonts w:eastAsiaTheme="minorEastAsia"/>
                <w:sz w:val="20"/>
                <w:szCs w:val="20"/>
                <w:lang w:eastAsia="zh-CN"/>
              </w:rPr>
              <w:t>1.5</w:t>
            </w:r>
            <w:r w:rsidRPr="00403B4F">
              <w:rPr>
                <w:rFonts w:eastAsiaTheme="minorEastAsia"/>
                <w:sz w:val="20"/>
                <w:szCs w:val="20"/>
                <w:lang w:eastAsia="zh-CN"/>
              </w:rPr>
              <w:t>公里。沙嘴在东南与大陆相连，向西北方向延伸，形成肯迪利湾。沙嘴最西北端有一个小湾。海湾西北部有一个岛，面积可达</w:t>
            </w:r>
            <w:r w:rsidRPr="00403B4F">
              <w:rPr>
                <w:rFonts w:eastAsiaTheme="minorEastAsia"/>
                <w:sz w:val="20"/>
                <w:szCs w:val="20"/>
                <w:lang w:eastAsia="zh-CN"/>
              </w:rPr>
              <w:t>0.1</w:t>
            </w:r>
            <w:r w:rsidRPr="00403B4F">
              <w:rPr>
                <w:rFonts w:eastAsiaTheme="minorEastAsia"/>
                <w:sz w:val="20"/>
                <w:szCs w:val="20"/>
                <w:lang w:eastAsia="zh-CN"/>
              </w:rPr>
              <w:t>平方公里，但可依风涌现象分成几个小岛屿。</w:t>
            </w:r>
          </w:p>
          <w:p w:rsidR="00772406" w:rsidRPr="00403B4F" w:rsidRDefault="00772406" w:rsidP="001A42F8">
            <w:pPr>
              <w:numPr>
                <w:ilvl w:val="0"/>
                <w:numId w:val="136"/>
              </w:numPr>
              <w:spacing w:before="0" w:after="0"/>
              <w:ind w:left="395"/>
              <w:rPr>
                <w:rFonts w:eastAsiaTheme="minorEastAsia"/>
                <w:sz w:val="20"/>
                <w:szCs w:val="20"/>
              </w:rPr>
            </w:pPr>
            <w:r w:rsidRPr="00403B4F">
              <w:rPr>
                <w:rFonts w:eastAsiaTheme="minorEastAsia"/>
                <w:sz w:val="20"/>
                <w:szCs w:val="20"/>
                <w:lang w:eastAsia="zh-CN"/>
              </w:rPr>
              <w:t>里海海豹（</w:t>
            </w:r>
            <w:r w:rsidRPr="00403B4F">
              <w:rPr>
                <w:rFonts w:eastAsiaTheme="minorEastAsia"/>
                <w:sz w:val="20"/>
                <w:szCs w:val="20"/>
                <w:lang w:eastAsia="zh-CN"/>
              </w:rPr>
              <w:t>Phoca caspica</w:t>
            </w:r>
            <w:r w:rsidRPr="00403B4F">
              <w:rPr>
                <w:rFonts w:eastAsiaTheme="minorEastAsia"/>
                <w:sz w:val="20"/>
                <w:szCs w:val="20"/>
                <w:lang w:eastAsia="zh-CN"/>
              </w:rPr>
              <w:t>）是里海特有的唯一哺乳动物。</w:t>
            </w:r>
            <w:r w:rsidRPr="00403B4F">
              <w:rPr>
                <w:rFonts w:eastAsiaTheme="minorEastAsia"/>
                <w:sz w:val="20"/>
                <w:szCs w:val="20"/>
                <w:lang w:eastAsia="zh-CN"/>
              </w:rPr>
              <w:t xml:space="preserve"> 2008</w:t>
            </w:r>
            <w:r w:rsidRPr="00403B4F">
              <w:rPr>
                <w:rFonts w:eastAsiaTheme="minorEastAsia"/>
                <w:sz w:val="20"/>
                <w:szCs w:val="20"/>
                <w:lang w:eastAsia="zh-CN"/>
              </w:rPr>
              <w:t>年</w:t>
            </w:r>
            <w:r w:rsidRPr="00403B4F">
              <w:rPr>
                <w:rFonts w:eastAsiaTheme="minorEastAsia"/>
                <w:lang w:eastAsia="zh-CN"/>
              </w:rPr>
              <w:t>自然保护联盟</w:t>
            </w:r>
            <w:r w:rsidRPr="00403B4F">
              <w:rPr>
                <w:rFonts w:eastAsiaTheme="minorEastAsia"/>
                <w:sz w:val="20"/>
                <w:szCs w:val="20"/>
                <w:lang w:eastAsia="zh-CN"/>
              </w:rPr>
              <w:t>将里海海豹的状况从</w:t>
            </w:r>
            <w:r w:rsidRPr="00403B4F">
              <w:rPr>
                <w:rFonts w:eastAsiaTheme="minorEastAsia"/>
                <w:sz w:val="20"/>
                <w:szCs w:val="20"/>
                <w:lang w:eastAsia="zh-CN"/>
              </w:rPr>
              <w:t>“</w:t>
            </w:r>
            <w:r w:rsidRPr="00403B4F">
              <w:rPr>
                <w:rFonts w:eastAsiaTheme="minorEastAsia"/>
                <w:sz w:val="20"/>
                <w:szCs w:val="20"/>
                <w:lang w:eastAsia="zh-CN"/>
              </w:rPr>
              <w:t>易危</w:t>
            </w:r>
            <w:r w:rsidRPr="00403B4F">
              <w:rPr>
                <w:rFonts w:eastAsiaTheme="minorEastAsia"/>
                <w:sz w:val="20"/>
                <w:szCs w:val="20"/>
                <w:lang w:eastAsia="zh-CN"/>
              </w:rPr>
              <w:t>”</w:t>
            </w:r>
            <w:r w:rsidRPr="00403B4F">
              <w:rPr>
                <w:rFonts w:eastAsiaTheme="minorEastAsia"/>
                <w:sz w:val="20"/>
                <w:szCs w:val="20"/>
                <w:lang w:eastAsia="zh-CN"/>
              </w:rPr>
              <w:t>改为</w:t>
            </w:r>
            <w:r w:rsidRPr="00403B4F">
              <w:rPr>
                <w:rFonts w:eastAsiaTheme="minorEastAsia"/>
                <w:sz w:val="20"/>
                <w:szCs w:val="20"/>
                <w:lang w:eastAsia="zh-CN"/>
              </w:rPr>
              <w:t>“</w:t>
            </w:r>
            <w:r w:rsidRPr="00403B4F">
              <w:rPr>
                <w:rFonts w:eastAsiaTheme="minorEastAsia"/>
                <w:sz w:val="20"/>
                <w:szCs w:val="20"/>
                <w:lang w:eastAsia="zh-CN"/>
              </w:rPr>
              <w:t>濒危</w:t>
            </w:r>
            <w:r w:rsidRPr="00403B4F">
              <w:rPr>
                <w:rFonts w:eastAsiaTheme="minorEastAsia"/>
                <w:sz w:val="20"/>
                <w:szCs w:val="20"/>
                <w:lang w:eastAsia="zh-CN"/>
              </w:rPr>
              <w:t>”</w:t>
            </w:r>
            <w:r w:rsidRPr="00403B4F">
              <w:rPr>
                <w:rFonts w:eastAsiaTheme="minorEastAsia"/>
                <w:sz w:val="20"/>
                <w:szCs w:val="20"/>
                <w:lang w:eastAsia="zh-CN"/>
              </w:rPr>
              <w:t>。与里海北部的栖息地不同，哈萨克湾肯迪利沙嘴顶端的岛屿位于里海中部深海区，因此风涌现象对上岸的海豹群没有太大影响。</w:t>
            </w:r>
            <w:r w:rsidRPr="00403B4F">
              <w:rPr>
                <w:rFonts w:eastAsiaTheme="minorEastAsia"/>
                <w:sz w:val="20"/>
                <w:szCs w:val="20"/>
              </w:rPr>
              <w:t>这为在岛上形成群落创造了理想的条件。</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7"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r>
      <w:tr w:rsidR="00772406" w:rsidRPr="00403B4F" w:rsidTr="00772406">
        <w:trPr>
          <w:cantSplit/>
        </w:trPr>
        <w:tc>
          <w:tcPr>
            <w:tcW w:w="9687" w:type="dxa"/>
            <w:shd w:val="clear" w:color="auto" w:fill="auto"/>
          </w:tcPr>
          <w:p w:rsidR="00772406" w:rsidRPr="00403B4F" w:rsidRDefault="00772406" w:rsidP="001A42F8">
            <w:pPr>
              <w:pStyle w:val="ListParagraph"/>
              <w:numPr>
                <w:ilvl w:val="0"/>
                <w:numId w:val="172"/>
              </w:numPr>
              <w:spacing w:before="0" w:after="0"/>
              <w:contextualSpacing/>
              <w:rPr>
                <w:rFonts w:eastAsiaTheme="minorEastAsia"/>
                <w:sz w:val="20"/>
                <w:szCs w:val="20"/>
              </w:rPr>
            </w:pPr>
            <w:r w:rsidRPr="00403B4F">
              <w:rPr>
                <w:rStyle w:val="st"/>
                <w:rFonts w:eastAsiaTheme="minorEastAsia"/>
                <w:b/>
                <w:sz w:val="20"/>
                <w:szCs w:val="20"/>
              </w:rPr>
              <w:t>卡拉博加兹戈尔</w:t>
            </w:r>
            <w:r w:rsidRPr="00403B4F">
              <w:rPr>
                <w:rFonts w:eastAsiaTheme="minorEastAsia"/>
                <w:b/>
                <w:sz w:val="20"/>
                <w:szCs w:val="20"/>
              </w:rPr>
              <w:t>海峡</w:t>
            </w:r>
          </w:p>
          <w:p w:rsidR="00772406" w:rsidRPr="00403B4F" w:rsidRDefault="00772406" w:rsidP="001A42F8">
            <w:pPr>
              <w:pStyle w:val="ListParagraph"/>
              <w:numPr>
                <w:ilvl w:val="0"/>
                <w:numId w:val="135"/>
              </w:numPr>
              <w:spacing w:before="0" w:after="0"/>
              <w:ind w:left="360"/>
              <w:contextualSpacing/>
              <w:rPr>
                <w:rFonts w:eastAsiaTheme="minorEastAsia"/>
                <w:sz w:val="20"/>
                <w:szCs w:val="20"/>
                <w:lang w:eastAsia="zh-CN"/>
              </w:rPr>
            </w:pPr>
            <w:r w:rsidRPr="00403B4F">
              <w:rPr>
                <w:rFonts w:eastAsiaTheme="minorEastAsia"/>
                <w:sz w:val="20"/>
                <w:szCs w:val="20"/>
                <w:lang w:eastAsia="zh-CN"/>
              </w:rPr>
              <w:t>位置：</w:t>
            </w:r>
            <w:r w:rsidRPr="00403B4F">
              <w:rPr>
                <w:rStyle w:val="st"/>
                <w:rFonts w:eastAsiaTheme="minorEastAsia"/>
                <w:sz w:val="20"/>
                <w:szCs w:val="20"/>
                <w:lang w:eastAsia="zh-CN"/>
              </w:rPr>
              <w:t>卡拉博加兹戈尔</w:t>
            </w:r>
            <w:r w:rsidRPr="00403B4F">
              <w:rPr>
                <w:rFonts w:eastAsiaTheme="minorEastAsia"/>
                <w:sz w:val="20"/>
                <w:szCs w:val="20"/>
                <w:lang w:eastAsia="zh-CN"/>
              </w:rPr>
              <w:t>海峡位于里海东部，里海和</w:t>
            </w:r>
            <w:r w:rsidRPr="00403B4F">
              <w:rPr>
                <w:rStyle w:val="st"/>
                <w:rFonts w:eastAsiaTheme="minorEastAsia"/>
                <w:sz w:val="20"/>
                <w:szCs w:val="20"/>
                <w:lang w:eastAsia="zh-CN"/>
              </w:rPr>
              <w:t>卡拉博加兹戈尔湾</w:t>
            </w:r>
            <w:r w:rsidRPr="00403B4F">
              <w:rPr>
                <w:rFonts w:eastAsiaTheme="minorEastAsia"/>
                <w:sz w:val="20"/>
                <w:szCs w:val="20"/>
                <w:lang w:eastAsia="zh-CN"/>
              </w:rPr>
              <w:t>之间。全区面积</w:t>
            </w:r>
            <w:r w:rsidRPr="00403B4F">
              <w:rPr>
                <w:rFonts w:eastAsiaTheme="minorEastAsia"/>
                <w:sz w:val="20"/>
                <w:szCs w:val="20"/>
                <w:lang w:eastAsia="zh-CN"/>
              </w:rPr>
              <w:t>4,108</w:t>
            </w:r>
            <w:r w:rsidRPr="00403B4F">
              <w:rPr>
                <w:rFonts w:eastAsiaTheme="minorEastAsia"/>
                <w:sz w:val="20"/>
                <w:szCs w:val="20"/>
                <w:lang w:eastAsia="zh-CN"/>
              </w:rPr>
              <w:t>平方公里，中心在北纬</w:t>
            </w:r>
            <w:r w:rsidRPr="00403B4F">
              <w:rPr>
                <w:rFonts w:eastAsiaTheme="minorEastAsia"/>
                <w:sz w:val="20"/>
                <w:szCs w:val="20"/>
                <w:lang w:eastAsia="zh-CN"/>
              </w:rPr>
              <w:t>41.093621</w:t>
            </w:r>
            <w:r w:rsidRPr="00403B4F">
              <w:rPr>
                <w:rFonts w:eastAsiaTheme="minorEastAsia"/>
                <w:sz w:val="20"/>
                <w:szCs w:val="20"/>
                <w:lang w:eastAsia="zh-CN"/>
              </w:rPr>
              <w:t>，东经</w:t>
            </w:r>
            <w:r w:rsidRPr="00403B4F">
              <w:rPr>
                <w:rFonts w:eastAsiaTheme="minorEastAsia"/>
                <w:sz w:val="20"/>
                <w:szCs w:val="20"/>
                <w:lang w:eastAsia="zh-CN"/>
              </w:rPr>
              <w:t>52.915339</w:t>
            </w:r>
            <w:r w:rsidRPr="00403B4F">
              <w:rPr>
                <w:rFonts w:eastAsiaTheme="minorEastAsia"/>
                <w:sz w:val="20"/>
                <w:szCs w:val="20"/>
                <w:lang w:eastAsia="zh-CN"/>
              </w:rPr>
              <w:t>。</w:t>
            </w:r>
          </w:p>
          <w:p w:rsidR="00772406" w:rsidRPr="00403B4F" w:rsidRDefault="00772406" w:rsidP="001A42F8">
            <w:pPr>
              <w:pStyle w:val="ListParagraph"/>
              <w:numPr>
                <w:ilvl w:val="0"/>
                <w:numId w:val="135"/>
              </w:numPr>
              <w:spacing w:before="0" w:after="0"/>
              <w:ind w:left="360"/>
              <w:contextualSpacing/>
              <w:rPr>
                <w:rFonts w:eastAsiaTheme="minorEastAsia"/>
                <w:sz w:val="20"/>
                <w:szCs w:val="20"/>
                <w:lang w:eastAsia="zh-CN"/>
              </w:rPr>
            </w:pPr>
            <w:r w:rsidRPr="00403B4F">
              <w:rPr>
                <w:rStyle w:val="st"/>
                <w:rFonts w:eastAsiaTheme="minorEastAsia"/>
                <w:sz w:val="20"/>
                <w:szCs w:val="20"/>
                <w:lang w:eastAsia="zh-CN"/>
              </w:rPr>
              <w:t>卡拉博加兹戈尔</w:t>
            </w:r>
            <w:r w:rsidRPr="00403B4F">
              <w:rPr>
                <w:rFonts w:eastAsiaTheme="minorEastAsia"/>
                <w:sz w:val="20"/>
                <w:szCs w:val="20"/>
                <w:lang w:eastAsia="zh-CN"/>
              </w:rPr>
              <w:t>海峡连接里海和</w:t>
            </w:r>
            <w:r w:rsidRPr="00403B4F">
              <w:rPr>
                <w:rStyle w:val="st"/>
                <w:rFonts w:eastAsiaTheme="minorEastAsia"/>
                <w:sz w:val="20"/>
                <w:szCs w:val="20"/>
                <w:lang w:eastAsia="zh-CN"/>
              </w:rPr>
              <w:t>卡拉博加兹戈尔</w:t>
            </w:r>
            <w:r w:rsidRPr="00403B4F">
              <w:rPr>
                <w:rFonts w:eastAsiaTheme="minorEastAsia"/>
                <w:sz w:val="20"/>
                <w:szCs w:val="20"/>
                <w:lang w:eastAsia="zh-CN"/>
              </w:rPr>
              <w:t>湾。该区形成一个独特的自然水文地质综合体。没有河流流入泻湖。水文系统深受里海动态的影响，系统的所有组成部分动态性都很高，参数依海平面动态界定。大区域的所有生物多样性主要集中在海峡，包括细菌、低等植物、无脊椎动物、鸟类（大多数是迁徙物种）。《土库曼斯坦红皮书》列入了该地区的一些鱼类和鸟类。</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L</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7"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r>
      <w:tr w:rsidR="00772406" w:rsidRPr="00403B4F" w:rsidTr="00772406">
        <w:trPr>
          <w:cantSplit/>
        </w:trPr>
        <w:tc>
          <w:tcPr>
            <w:tcW w:w="9687" w:type="dxa"/>
            <w:shd w:val="clear" w:color="auto" w:fill="auto"/>
          </w:tcPr>
          <w:p w:rsidR="00772406" w:rsidRPr="00403B4F" w:rsidRDefault="00772406" w:rsidP="001A42F8">
            <w:pPr>
              <w:pStyle w:val="ListParagraph"/>
              <w:numPr>
                <w:ilvl w:val="0"/>
                <w:numId w:val="172"/>
              </w:numPr>
              <w:spacing w:before="0" w:after="0"/>
              <w:contextualSpacing/>
              <w:rPr>
                <w:rFonts w:eastAsiaTheme="minorEastAsia"/>
                <w:b/>
                <w:sz w:val="20"/>
                <w:szCs w:val="20"/>
              </w:rPr>
            </w:pPr>
            <w:r w:rsidRPr="00403B4F">
              <w:rPr>
                <w:rFonts w:eastAsiaTheme="minorEastAsia"/>
                <w:b/>
                <w:sz w:val="20"/>
                <w:szCs w:val="20"/>
              </w:rPr>
              <w:t>土库曼巴希湾</w:t>
            </w:r>
          </w:p>
          <w:p w:rsidR="00772406" w:rsidRPr="00403B4F" w:rsidRDefault="00772406" w:rsidP="001A42F8">
            <w:pPr>
              <w:pStyle w:val="ListParagraph"/>
              <w:numPr>
                <w:ilvl w:val="0"/>
                <w:numId w:val="159"/>
              </w:numPr>
              <w:spacing w:before="0" w:after="0"/>
              <w:contextualSpacing/>
              <w:rPr>
                <w:rFonts w:eastAsiaTheme="minorEastAsia"/>
                <w:sz w:val="20"/>
                <w:szCs w:val="20"/>
              </w:rPr>
            </w:pPr>
            <w:r w:rsidRPr="00403B4F">
              <w:rPr>
                <w:rFonts w:eastAsiaTheme="minorEastAsia"/>
                <w:sz w:val="20"/>
                <w:szCs w:val="20"/>
                <w:lang w:eastAsia="zh-CN"/>
              </w:rPr>
              <w:t>位置：土库曼巴希湾位于里海东岸，西北部与</w:t>
            </w:r>
            <w:r w:rsidRPr="00403B4F">
              <w:rPr>
                <w:rFonts w:eastAsiaTheme="minorEastAsia"/>
                <w:sz w:val="20"/>
                <w:szCs w:val="20"/>
                <w:lang w:eastAsia="zh-CN"/>
              </w:rPr>
              <w:t>Sojmonova</w:t>
            </w:r>
            <w:r w:rsidRPr="00403B4F">
              <w:rPr>
                <w:rFonts w:eastAsiaTheme="minorEastAsia"/>
                <w:sz w:val="20"/>
                <w:szCs w:val="20"/>
                <w:lang w:eastAsia="zh-CN"/>
              </w:rPr>
              <w:t>湾相连。</w:t>
            </w:r>
            <w:r w:rsidRPr="00403B4F">
              <w:rPr>
                <w:rFonts w:eastAsiaTheme="minorEastAsia"/>
                <w:sz w:val="20"/>
                <w:szCs w:val="20"/>
                <w:lang w:eastAsia="zh-CN"/>
              </w:rPr>
              <w:t xml:space="preserve"> </w:t>
            </w:r>
            <w:r w:rsidRPr="00403B4F">
              <w:rPr>
                <w:rFonts w:eastAsiaTheme="minorEastAsia"/>
                <w:sz w:val="20"/>
                <w:szCs w:val="20"/>
                <w:lang w:eastAsia="zh-CN"/>
              </w:rPr>
              <w:t>中心坐标：北纬</w:t>
            </w:r>
            <w:r w:rsidRPr="00403B4F">
              <w:rPr>
                <w:rFonts w:eastAsiaTheme="minorEastAsia"/>
                <w:sz w:val="20"/>
                <w:szCs w:val="20"/>
                <w:lang w:eastAsia="zh-CN"/>
              </w:rPr>
              <w:t>39.792556</w:t>
            </w:r>
            <w:r w:rsidRPr="00403B4F">
              <w:rPr>
                <w:rFonts w:eastAsiaTheme="minorEastAsia"/>
                <w:sz w:val="20"/>
                <w:szCs w:val="20"/>
                <w:lang w:eastAsia="zh-CN"/>
              </w:rPr>
              <w:t>，东经</w:t>
            </w:r>
            <w:r w:rsidRPr="00403B4F">
              <w:rPr>
                <w:rFonts w:eastAsiaTheme="minorEastAsia"/>
                <w:sz w:val="20"/>
                <w:szCs w:val="20"/>
                <w:lang w:eastAsia="zh-CN"/>
              </w:rPr>
              <w:t>53.310004</w:t>
            </w:r>
            <w:r w:rsidRPr="00403B4F">
              <w:rPr>
                <w:rFonts w:eastAsiaTheme="minorEastAsia"/>
                <w:sz w:val="20"/>
                <w:szCs w:val="20"/>
                <w:lang w:eastAsia="zh-CN"/>
              </w:rPr>
              <w:t>。</w:t>
            </w:r>
            <w:r w:rsidRPr="00403B4F">
              <w:rPr>
                <w:rFonts w:eastAsiaTheme="minorEastAsia"/>
                <w:sz w:val="20"/>
                <w:szCs w:val="20"/>
              </w:rPr>
              <w:t>总面积</w:t>
            </w:r>
            <w:r w:rsidRPr="00403B4F">
              <w:rPr>
                <w:rFonts w:eastAsiaTheme="minorEastAsia"/>
                <w:sz w:val="20"/>
                <w:szCs w:val="20"/>
              </w:rPr>
              <w:t>2,203</w:t>
            </w:r>
            <w:r w:rsidRPr="00403B4F">
              <w:rPr>
                <w:rFonts w:eastAsiaTheme="minorEastAsia"/>
                <w:sz w:val="20"/>
                <w:szCs w:val="20"/>
              </w:rPr>
              <w:t>平方公里。</w:t>
            </w:r>
          </w:p>
          <w:p w:rsidR="00772406" w:rsidRPr="00403B4F" w:rsidRDefault="00772406" w:rsidP="001A42F8">
            <w:pPr>
              <w:pStyle w:val="ListParagraph"/>
              <w:numPr>
                <w:ilvl w:val="0"/>
                <w:numId w:val="159"/>
              </w:numPr>
              <w:spacing w:before="0" w:after="0"/>
              <w:contextualSpacing/>
              <w:rPr>
                <w:rFonts w:eastAsiaTheme="minorEastAsia"/>
                <w:lang w:eastAsia="zh-CN"/>
              </w:rPr>
            </w:pPr>
            <w:r w:rsidRPr="00403B4F">
              <w:rPr>
                <w:rFonts w:eastAsiaTheme="minorEastAsia"/>
                <w:sz w:val="20"/>
                <w:szCs w:val="20"/>
                <w:lang w:eastAsia="zh-CN"/>
              </w:rPr>
              <w:t>土库曼巴希湾，包括巴尔汗、北切尔肯、米哈伊洛夫斯基和其他小海湾，是水鸟大规模越冬和迁徙地，</w:t>
            </w:r>
            <w:r w:rsidRPr="00403B4F">
              <w:rPr>
                <w:rFonts w:eastAsiaTheme="minorEastAsia"/>
                <w:sz w:val="20"/>
                <w:szCs w:val="20"/>
                <w:lang w:eastAsia="zh-CN"/>
              </w:rPr>
              <w:t>1968</w:t>
            </w:r>
            <w:r w:rsidRPr="00403B4F">
              <w:rPr>
                <w:rFonts w:eastAsiaTheme="minorEastAsia"/>
                <w:sz w:val="20"/>
                <w:szCs w:val="20"/>
                <w:lang w:eastAsia="zh-CN"/>
              </w:rPr>
              <w:t>年起成为克拉斯诺沃德茨克（现称哈扎尔）国家自然保护区的一部分。这个国家自然保护区是土库曼巴希湾的主要部分。这是一个拉姆萨尔公约国际重要湿地和重要鸟类和生物多样性区。其生物多样性包括无脊椎动物和脊椎动物（鱼类、鸟类、哺乳动物），包括《土库曼斯坦红皮书》列出的物种。</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7"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r>
      <w:tr w:rsidR="00772406" w:rsidRPr="00403B4F" w:rsidTr="00772406">
        <w:trPr>
          <w:cantSplit/>
        </w:trPr>
        <w:tc>
          <w:tcPr>
            <w:tcW w:w="9687" w:type="dxa"/>
            <w:shd w:val="clear" w:color="auto" w:fill="auto"/>
          </w:tcPr>
          <w:p w:rsidR="00772406" w:rsidRPr="00403B4F" w:rsidRDefault="00772406" w:rsidP="00B45229">
            <w:p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s>
              <w:spacing w:before="0" w:after="0"/>
              <w:ind w:firstLine="0"/>
              <w:rPr>
                <w:rFonts w:eastAsiaTheme="minorEastAsia"/>
                <w:sz w:val="20"/>
                <w:szCs w:val="20"/>
              </w:rPr>
            </w:pPr>
            <w:r w:rsidRPr="00403B4F">
              <w:rPr>
                <w:rFonts w:eastAsiaTheme="minorEastAsia"/>
                <w:sz w:val="20"/>
                <w:szCs w:val="20"/>
              </w:rPr>
              <w:t xml:space="preserve">24.  </w:t>
            </w:r>
            <w:r w:rsidRPr="00403B4F">
              <w:rPr>
                <w:rFonts w:eastAsiaTheme="minorEastAsia"/>
                <w:b/>
                <w:sz w:val="20"/>
                <w:szCs w:val="20"/>
              </w:rPr>
              <w:t>土库曼湾</w:t>
            </w:r>
          </w:p>
          <w:p w:rsidR="00772406" w:rsidRPr="00403B4F" w:rsidRDefault="00772406" w:rsidP="001A42F8">
            <w:pPr>
              <w:pStyle w:val="ListParagraph"/>
              <w:numPr>
                <w:ilvl w:val="0"/>
                <w:numId w:val="161"/>
              </w:num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s>
              <w:spacing w:before="0" w:after="0"/>
              <w:ind w:left="360"/>
              <w:contextualSpacing/>
              <w:rPr>
                <w:rFonts w:eastAsiaTheme="minorEastAsia"/>
                <w:sz w:val="20"/>
                <w:szCs w:val="20"/>
              </w:rPr>
            </w:pPr>
            <w:r w:rsidRPr="00403B4F">
              <w:rPr>
                <w:rFonts w:eastAsiaTheme="minorEastAsia"/>
                <w:sz w:val="20"/>
                <w:szCs w:val="20"/>
                <w:lang w:eastAsia="zh-CN"/>
              </w:rPr>
              <w:t>位置：土库曼湾北部与</w:t>
            </w:r>
            <w:r w:rsidRPr="00403B4F">
              <w:rPr>
                <w:rStyle w:val="Emphasis"/>
                <w:rFonts w:eastAsiaTheme="minorEastAsia"/>
                <w:sz w:val="20"/>
                <w:szCs w:val="20"/>
                <w:lang w:eastAsia="zh-CN"/>
              </w:rPr>
              <w:t>切列肯</w:t>
            </w:r>
            <w:r w:rsidRPr="00403B4F">
              <w:rPr>
                <w:rFonts w:eastAsiaTheme="minorEastAsia"/>
                <w:sz w:val="20"/>
                <w:szCs w:val="20"/>
                <w:lang w:eastAsia="zh-CN"/>
              </w:rPr>
              <w:t>半岛相接，西部与</w:t>
            </w:r>
            <w:r w:rsidRPr="00403B4F">
              <w:rPr>
                <w:rFonts w:eastAsiaTheme="minorEastAsia"/>
                <w:color w:val="000000"/>
                <w:sz w:val="20"/>
                <w:szCs w:val="20"/>
                <w:lang w:eastAsia="zh-CN"/>
              </w:rPr>
              <w:t>奥古尔钦斯基岛相</w:t>
            </w:r>
            <w:r w:rsidRPr="00403B4F">
              <w:rPr>
                <w:rFonts w:eastAsiaTheme="minorEastAsia"/>
                <w:sz w:val="20"/>
                <w:szCs w:val="20"/>
                <w:lang w:eastAsia="zh-CN"/>
              </w:rPr>
              <w:t>接。涵盖</w:t>
            </w:r>
            <w:r w:rsidRPr="00403B4F">
              <w:rPr>
                <w:rFonts w:eastAsiaTheme="minorEastAsia"/>
                <w:color w:val="000000"/>
                <w:sz w:val="20"/>
                <w:szCs w:val="20"/>
                <w:lang w:eastAsia="zh-CN"/>
              </w:rPr>
              <w:t>奥古尔钦斯基</w:t>
            </w:r>
            <w:r w:rsidRPr="00403B4F">
              <w:rPr>
                <w:rFonts w:eastAsiaTheme="minorEastAsia"/>
                <w:sz w:val="20"/>
                <w:szCs w:val="20"/>
                <w:lang w:eastAsia="zh-CN"/>
              </w:rPr>
              <w:t>岛（含）以西、</w:t>
            </w:r>
            <w:r w:rsidRPr="00403B4F">
              <w:rPr>
                <w:rStyle w:val="Emphasis"/>
                <w:rFonts w:eastAsiaTheme="minorEastAsia"/>
                <w:sz w:val="20"/>
                <w:szCs w:val="20"/>
                <w:lang w:eastAsia="zh-CN"/>
              </w:rPr>
              <w:t>切列肯</w:t>
            </w:r>
            <w:r w:rsidRPr="00403B4F">
              <w:rPr>
                <w:rFonts w:eastAsiaTheme="minorEastAsia"/>
                <w:sz w:val="20"/>
                <w:szCs w:val="20"/>
                <w:lang w:eastAsia="zh-CN"/>
              </w:rPr>
              <w:t>湾以南的土库曼湾水域，总面积</w:t>
            </w:r>
            <w:r w:rsidRPr="00403B4F">
              <w:rPr>
                <w:rFonts w:eastAsiaTheme="minorEastAsia"/>
                <w:sz w:val="20"/>
                <w:szCs w:val="20"/>
                <w:lang w:eastAsia="zh-CN"/>
              </w:rPr>
              <w:t>3,708</w:t>
            </w:r>
            <w:r w:rsidRPr="00403B4F">
              <w:rPr>
                <w:rFonts w:eastAsiaTheme="minorEastAsia"/>
                <w:sz w:val="20"/>
                <w:szCs w:val="20"/>
                <w:lang w:eastAsia="zh-CN"/>
              </w:rPr>
              <w:t>平方公里。</w:t>
            </w:r>
            <w:r w:rsidRPr="00403B4F">
              <w:rPr>
                <w:rFonts w:eastAsiaTheme="minorEastAsia"/>
                <w:color w:val="000000"/>
                <w:sz w:val="20"/>
                <w:szCs w:val="20"/>
                <w:lang w:eastAsia="zh-CN"/>
              </w:rPr>
              <w:t>奥古尔钦斯基</w:t>
            </w:r>
            <w:r w:rsidRPr="00403B4F">
              <w:rPr>
                <w:rFonts w:eastAsiaTheme="minorEastAsia"/>
                <w:sz w:val="20"/>
                <w:szCs w:val="20"/>
                <w:lang w:eastAsia="zh-CN"/>
              </w:rPr>
              <w:t>岛是一条</w:t>
            </w:r>
            <w:r w:rsidRPr="00403B4F">
              <w:rPr>
                <w:rFonts w:eastAsiaTheme="minorEastAsia"/>
                <w:sz w:val="20"/>
                <w:szCs w:val="20"/>
                <w:lang w:eastAsia="zh-CN"/>
              </w:rPr>
              <w:t>2</w:t>
            </w:r>
            <w:r w:rsidRPr="00403B4F">
              <w:rPr>
                <w:rFonts w:eastAsiaTheme="minorEastAsia"/>
                <w:sz w:val="20"/>
                <w:szCs w:val="20"/>
                <w:lang w:eastAsia="zh-CN"/>
              </w:rPr>
              <w:t>公里宽的沙带，沿南北方向延伸</w:t>
            </w:r>
            <w:r w:rsidRPr="00403B4F">
              <w:rPr>
                <w:rFonts w:eastAsiaTheme="minorEastAsia"/>
                <w:sz w:val="20"/>
                <w:szCs w:val="20"/>
                <w:lang w:eastAsia="zh-CN"/>
              </w:rPr>
              <w:t>40</w:t>
            </w:r>
            <w:r w:rsidRPr="00403B4F">
              <w:rPr>
                <w:rFonts w:eastAsiaTheme="minorEastAsia"/>
                <w:sz w:val="20"/>
                <w:szCs w:val="20"/>
                <w:lang w:eastAsia="zh-CN"/>
              </w:rPr>
              <w:t>公里，面积达</w:t>
            </w:r>
            <w:r w:rsidRPr="00403B4F">
              <w:rPr>
                <w:rFonts w:eastAsiaTheme="minorEastAsia"/>
                <w:sz w:val="20"/>
                <w:szCs w:val="20"/>
                <w:lang w:eastAsia="zh-CN"/>
              </w:rPr>
              <w:t>6,000</w:t>
            </w:r>
            <w:r w:rsidRPr="00403B4F">
              <w:rPr>
                <w:rFonts w:eastAsiaTheme="minorEastAsia"/>
                <w:sz w:val="20"/>
                <w:szCs w:val="20"/>
                <w:lang w:eastAsia="zh-CN"/>
              </w:rPr>
              <w:t>公顷。</w:t>
            </w:r>
            <w:r w:rsidRPr="00403B4F">
              <w:rPr>
                <w:rFonts w:eastAsiaTheme="minorEastAsia"/>
                <w:sz w:val="20"/>
                <w:szCs w:val="20"/>
              </w:rPr>
              <w:t>该区的地理中心位于北纬</w:t>
            </w:r>
            <w:r w:rsidRPr="00403B4F">
              <w:rPr>
                <w:rFonts w:eastAsiaTheme="minorEastAsia"/>
                <w:sz w:val="20"/>
                <w:szCs w:val="20"/>
              </w:rPr>
              <w:t>39.035352</w:t>
            </w:r>
            <w:r w:rsidRPr="00403B4F">
              <w:rPr>
                <w:rFonts w:eastAsiaTheme="minorEastAsia"/>
                <w:sz w:val="20"/>
                <w:szCs w:val="20"/>
              </w:rPr>
              <w:t>，东经</w:t>
            </w:r>
            <w:r w:rsidRPr="00403B4F">
              <w:rPr>
                <w:rFonts w:eastAsiaTheme="minorEastAsia"/>
                <w:sz w:val="20"/>
                <w:szCs w:val="20"/>
              </w:rPr>
              <w:t>53.439243</w:t>
            </w:r>
            <w:r w:rsidRPr="00403B4F">
              <w:rPr>
                <w:rFonts w:eastAsiaTheme="minorEastAsia"/>
                <w:sz w:val="20"/>
                <w:szCs w:val="20"/>
              </w:rPr>
              <w:t>。</w:t>
            </w:r>
          </w:p>
          <w:p w:rsidR="00772406" w:rsidRPr="00403B4F" w:rsidRDefault="00772406" w:rsidP="001A42F8">
            <w:pPr>
              <w:pStyle w:val="ListParagraph"/>
              <w:numPr>
                <w:ilvl w:val="0"/>
                <w:numId w:val="160"/>
              </w:numPr>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s>
              <w:spacing w:before="0" w:after="0"/>
              <w:ind w:left="360"/>
              <w:contextualSpacing/>
              <w:rPr>
                <w:rFonts w:eastAsiaTheme="minorEastAsia"/>
                <w:lang w:eastAsia="zh-CN"/>
              </w:rPr>
            </w:pPr>
            <w:r w:rsidRPr="00403B4F">
              <w:rPr>
                <w:rFonts w:eastAsiaTheme="minorEastAsia"/>
                <w:sz w:val="20"/>
                <w:szCs w:val="20"/>
                <w:lang w:eastAsia="zh-CN"/>
              </w:rPr>
              <w:t>土库曼湾拥有独特的综合生物多样性，特别是鸟类、鱼类和两种哺乳动物。土库曼湾受里海水位的季节性和年度波动以及</w:t>
            </w:r>
            <w:r w:rsidRPr="00403B4F">
              <w:rPr>
                <w:rFonts w:eastAsiaTheme="minorEastAsia"/>
                <w:sz w:val="20"/>
                <w:szCs w:val="20"/>
                <w:lang w:eastAsia="zh-CN"/>
              </w:rPr>
              <w:t>Dardzhakum</w:t>
            </w:r>
            <w:r w:rsidRPr="00403B4F">
              <w:rPr>
                <w:rFonts w:eastAsiaTheme="minorEastAsia"/>
                <w:sz w:val="20"/>
                <w:szCs w:val="20"/>
                <w:lang w:eastAsia="zh-CN"/>
              </w:rPr>
              <w:t>沙移动的影响。海平面上升时为海湾鸟类保护、觅食、筑巢、越冬提供有利条件，而海平面下降时会形成大片盐渍地。土库曼湾的水深东部大多</w:t>
            </w:r>
            <w:r w:rsidRPr="00403B4F">
              <w:rPr>
                <w:rFonts w:eastAsiaTheme="minorEastAsia"/>
                <w:sz w:val="20"/>
                <w:szCs w:val="20"/>
                <w:lang w:eastAsia="zh-CN"/>
              </w:rPr>
              <w:t>3-4</w:t>
            </w:r>
            <w:r w:rsidRPr="00403B4F">
              <w:rPr>
                <w:rFonts w:eastAsiaTheme="minorEastAsia"/>
                <w:sz w:val="20"/>
                <w:szCs w:val="20"/>
                <w:lang w:eastAsia="zh-CN"/>
              </w:rPr>
              <w:t>米，中心</w:t>
            </w:r>
            <w:r w:rsidRPr="00403B4F">
              <w:rPr>
                <w:rFonts w:eastAsiaTheme="minorEastAsia"/>
                <w:sz w:val="20"/>
                <w:szCs w:val="20"/>
                <w:lang w:eastAsia="zh-CN"/>
              </w:rPr>
              <w:t>9-11</w:t>
            </w:r>
            <w:r w:rsidRPr="00403B4F">
              <w:rPr>
                <w:rFonts w:eastAsiaTheme="minorEastAsia"/>
                <w:sz w:val="20"/>
                <w:szCs w:val="20"/>
                <w:lang w:eastAsia="zh-CN"/>
              </w:rPr>
              <w:t>米。含盐量比里海高，因为没有河流汇入。</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7"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r>
      <w:tr w:rsidR="00772406" w:rsidRPr="00403B4F" w:rsidTr="00772406">
        <w:trPr>
          <w:cantSplit/>
        </w:trPr>
        <w:tc>
          <w:tcPr>
            <w:tcW w:w="9687" w:type="dxa"/>
            <w:shd w:val="clear" w:color="auto" w:fill="auto"/>
          </w:tcPr>
          <w:p w:rsidR="00772406" w:rsidRPr="00403B4F" w:rsidRDefault="00772406" w:rsidP="001A42F8">
            <w:pPr>
              <w:pStyle w:val="ListParagraph"/>
              <w:numPr>
                <w:ilvl w:val="0"/>
                <w:numId w:val="173"/>
              </w:numPr>
              <w:spacing w:before="0" w:after="0"/>
              <w:contextualSpacing/>
              <w:rPr>
                <w:rStyle w:val="Emphasis"/>
                <w:rFonts w:eastAsiaTheme="minorEastAsia"/>
                <w:b w:val="0"/>
                <w:i/>
                <w:iCs/>
                <w:sz w:val="20"/>
                <w:szCs w:val="20"/>
              </w:rPr>
            </w:pPr>
            <w:r w:rsidRPr="00403B4F">
              <w:rPr>
                <w:rFonts w:eastAsiaTheme="minorEastAsia"/>
                <w:b/>
                <w:sz w:val="20"/>
                <w:szCs w:val="20"/>
              </w:rPr>
              <w:lastRenderedPageBreak/>
              <w:t>缅喀勒</w:t>
            </w:r>
            <w:r w:rsidRPr="00403B4F">
              <w:rPr>
                <w:rFonts w:eastAsiaTheme="minorEastAsia"/>
                <w:b/>
                <w:bCs/>
                <w:sz w:val="20"/>
                <w:szCs w:val="20"/>
              </w:rPr>
              <w:t>-</w:t>
            </w:r>
            <w:r w:rsidRPr="00403B4F">
              <w:rPr>
                <w:rStyle w:val="Emphasis"/>
                <w:rFonts w:eastAsiaTheme="minorEastAsia"/>
                <w:b w:val="0"/>
                <w:sz w:val="20"/>
                <w:szCs w:val="20"/>
              </w:rPr>
              <w:t>厄桑库利</w:t>
            </w:r>
          </w:p>
          <w:p w:rsidR="00772406" w:rsidRPr="00403B4F" w:rsidRDefault="00772406" w:rsidP="001A42F8">
            <w:pPr>
              <w:pStyle w:val="ListParagraph"/>
              <w:numPr>
                <w:ilvl w:val="0"/>
                <w:numId w:val="160"/>
              </w:numPr>
              <w:spacing w:before="0" w:after="0"/>
              <w:ind w:left="360"/>
              <w:contextualSpacing/>
              <w:rPr>
                <w:rFonts w:eastAsiaTheme="minorEastAsia"/>
                <w:sz w:val="20"/>
                <w:szCs w:val="20"/>
              </w:rPr>
            </w:pPr>
            <w:r w:rsidRPr="00403B4F">
              <w:rPr>
                <w:rFonts w:eastAsiaTheme="minorEastAsia"/>
                <w:sz w:val="20"/>
                <w:szCs w:val="20"/>
              </w:rPr>
              <w:t>位置：位于里海东南角，覆盖范围从土库曼斯坦的</w:t>
            </w:r>
            <w:r w:rsidRPr="00403B4F">
              <w:rPr>
                <w:rFonts w:eastAsiaTheme="minorEastAsia"/>
                <w:sz w:val="20"/>
                <w:szCs w:val="20"/>
              </w:rPr>
              <w:t>Ekerem-Esenguly</w:t>
            </w:r>
            <w:r w:rsidRPr="00403B4F">
              <w:rPr>
                <w:rFonts w:eastAsiaTheme="minorEastAsia"/>
                <w:sz w:val="20"/>
                <w:szCs w:val="20"/>
              </w:rPr>
              <w:t>海洋和沿海水域到伊朗的</w:t>
            </w:r>
            <w:r w:rsidRPr="00403B4F">
              <w:rPr>
                <w:rFonts w:eastAsiaTheme="minorEastAsia"/>
                <w:sz w:val="20"/>
                <w:szCs w:val="20"/>
              </w:rPr>
              <w:t xml:space="preserve">Gomishan </w:t>
            </w:r>
            <w:r w:rsidRPr="00403B4F">
              <w:rPr>
                <w:rFonts w:eastAsiaTheme="minorEastAsia"/>
                <w:sz w:val="20"/>
                <w:szCs w:val="20"/>
              </w:rPr>
              <w:t>泻湖、</w:t>
            </w:r>
            <w:r w:rsidRPr="00403B4F">
              <w:rPr>
                <w:rFonts w:eastAsiaTheme="minorEastAsia"/>
                <w:sz w:val="20"/>
                <w:szCs w:val="20"/>
              </w:rPr>
              <w:t>Gorgan</w:t>
            </w:r>
            <w:r w:rsidRPr="00403B4F">
              <w:rPr>
                <w:rFonts w:eastAsiaTheme="minorEastAsia"/>
                <w:sz w:val="20"/>
                <w:szCs w:val="20"/>
              </w:rPr>
              <w:t>湾、</w:t>
            </w:r>
            <w:r w:rsidRPr="00403B4F">
              <w:rPr>
                <w:rFonts w:eastAsiaTheme="minorEastAsia"/>
                <w:sz w:val="20"/>
                <w:szCs w:val="20"/>
              </w:rPr>
              <w:t>Miankaleh</w:t>
            </w:r>
            <w:r w:rsidRPr="00403B4F">
              <w:rPr>
                <w:rFonts w:eastAsiaTheme="minorEastAsia"/>
                <w:sz w:val="20"/>
                <w:szCs w:val="20"/>
              </w:rPr>
              <w:t>半岛和</w:t>
            </w:r>
            <w:r w:rsidRPr="00403B4F">
              <w:rPr>
                <w:rFonts w:eastAsiaTheme="minorEastAsia"/>
                <w:sz w:val="20"/>
                <w:szCs w:val="20"/>
              </w:rPr>
              <w:t>Lapoo-Zaghmarz Ab-Bandans</w:t>
            </w:r>
            <w:r w:rsidRPr="00403B4F">
              <w:rPr>
                <w:rFonts w:eastAsiaTheme="minorEastAsia"/>
                <w:sz w:val="20"/>
                <w:szCs w:val="20"/>
              </w:rPr>
              <w:t>。</w:t>
            </w:r>
            <w:r w:rsidRPr="00403B4F">
              <w:rPr>
                <w:rFonts w:eastAsiaTheme="minorEastAsia"/>
                <w:sz w:val="20"/>
                <w:szCs w:val="20"/>
              </w:rPr>
              <w:t xml:space="preserve"> </w:t>
            </w:r>
          </w:p>
          <w:p w:rsidR="00772406" w:rsidRPr="00403B4F" w:rsidRDefault="00772406" w:rsidP="001A42F8">
            <w:pPr>
              <w:pStyle w:val="ListParagraph"/>
              <w:numPr>
                <w:ilvl w:val="0"/>
                <w:numId w:val="160"/>
              </w:numPr>
              <w:spacing w:before="0" w:after="0"/>
              <w:ind w:left="360"/>
              <w:contextualSpacing/>
              <w:rPr>
                <w:rFonts w:eastAsiaTheme="minorEastAsia"/>
                <w:sz w:val="20"/>
                <w:szCs w:val="20"/>
              </w:rPr>
            </w:pPr>
            <w:r w:rsidRPr="00403B4F">
              <w:rPr>
                <w:rFonts w:eastAsiaTheme="minorEastAsia"/>
                <w:sz w:val="20"/>
                <w:szCs w:val="20"/>
              </w:rPr>
              <w:t>该区是里海环境项目海豹特别保护区潜在候选区，也是所有五种濒危鲟鱼物种的最重要的觅食和产卵地之一，这些物种包括</w:t>
            </w:r>
            <w:r w:rsidRPr="00403B4F">
              <w:rPr>
                <w:rFonts w:eastAsiaTheme="minorEastAsia"/>
                <w:sz w:val="20"/>
                <w:szCs w:val="20"/>
              </w:rPr>
              <w:t>Acipenser gueldenstatitii</w:t>
            </w:r>
            <w:r w:rsidRPr="00403B4F">
              <w:rPr>
                <w:rFonts w:eastAsiaTheme="minorEastAsia"/>
                <w:sz w:val="20"/>
                <w:szCs w:val="20"/>
              </w:rPr>
              <w:t>、</w:t>
            </w:r>
            <w:r w:rsidRPr="00403B4F">
              <w:rPr>
                <w:rFonts w:eastAsiaTheme="minorEastAsia"/>
                <w:sz w:val="20"/>
                <w:szCs w:val="20"/>
              </w:rPr>
              <w:t>A. nudiventris</w:t>
            </w:r>
            <w:r w:rsidRPr="00403B4F">
              <w:rPr>
                <w:rFonts w:eastAsiaTheme="minorEastAsia"/>
                <w:sz w:val="20"/>
                <w:szCs w:val="20"/>
              </w:rPr>
              <w:t>、</w:t>
            </w:r>
            <w:r w:rsidRPr="00403B4F">
              <w:rPr>
                <w:rFonts w:eastAsiaTheme="minorEastAsia"/>
                <w:sz w:val="20"/>
                <w:szCs w:val="20"/>
              </w:rPr>
              <w:t>A. persicus</w:t>
            </w:r>
            <w:r w:rsidRPr="00403B4F">
              <w:rPr>
                <w:rFonts w:eastAsiaTheme="minorEastAsia"/>
                <w:sz w:val="20"/>
                <w:szCs w:val="20"/>
              </w:rPr>
              <w:t>、</w:t>
            </w:r>
            <w:r w:rsidRPr="00403B4F">
              <w:rPr>
                <w:rFonts w:eastAsiaTheme="minorEastAsia"/>
                <w:sz w:val="20"/>
                <w:szCs w:val="20"/>
              </w:rPr>
              <w:t>A. stellatus</w:t>
            </w:r>
            <w:r w:rsidRPr="00403B4F">
              <w:rPr>
                <w:rFonts w:eastAsiaTheme="minorEastAsia"/>
                <w:sz w:val="20"/>
                <w:szCs w:val="20"/>
              </w:rPr>
              <w:t>和</w:t>
            </w:r>
            <w:r w:rsidRPr="00403B4F">
              <w:rPr>
                <w:rFonts w:eastAsiaTheme="minorEastAsia"/>
                <w:sz w:val="20"/>
                <w:szCs w:val="20"/>
              </w:rPr>
              <w:t>Huso huso</w:t>
            </w:r>
            <w:r w:rsidRPr="00403B4F">
              <w:rPr>
                <w:rFonts w:eastAsiaTheme="minorEastAsia"/>
                <w:sz w:val="20"/>
                <w:szCs w:val="20"/>
              </w:rPr>
              <w:t>。</w:t>
            </w:r>
            <w:r w:rsidRPr="00403B4F">
              <w:rPr>
                <w:rFonts w:eastAsiaTheme="minorEastAsia"/>
                <w:bCs/>
                <w:sz w:val="20"/>
                <w:szCs w:val="20"/>
              </w:rPr>
              <w:t>缅喀勒</w:t>
            </w:r>
            <w:r w:rsidRPr="00403B4F">
              <w:rPr>
                <w:rFonts w:eastAsiaTheme="minorEastAsia"/>
                <w:b/>
                <w:bCs/>
                <w:sz w:val="20"/>
                <w:szCs w:val="20"/>
              </w:rPr>
              <w:t>-</w:t>
            </w:r>
            <w:r w:rsidRPr="00403B4F">
              <w:rPr>
                <w:rStyle w:val="Emphasis"/>
                <w:rFonts w:eastAsiaTheme="minorEastAsia"/>
                <w:sz w:val="20"/>
                <w:szCs w:val="20"/>
              </w:rPr>
              <w:t>厄桑库利</w:t>
            </w:r>
            <w:r w:rsidRPr="00403B4F">
              <w:rPr>
                <w:rFonts w:eastAsiaTheme="minorEastAsia"/>
                <w:sz w:val="20"/>
                <w:szCs w:val="20"/>
              </w:rPr>
              <w:t>地区对水禽越冬和通行非常重要，是整个南里海越冬鸟类数量最多的地区之一。</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7"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r>
      <w:tr w:rsidR="00772406" w:rsidRPr="00403B4F" w:rsidTr="00772406">
        <w:trPr>
          <w:cantSplit/>
        </w:trPr>
        <w:tc>
          <w:tcPr>
            <w:tcW w:w="9687" w:type="dxa"/>
            <w:shd w:val="clear" w:color="auto" w:fill="auto"/>
          </w:tcPr>
          <w:p w:rsidR="00772406" w:rsidRPr="00403B4F" w:rsidRDefault="00772406" w:rsidP="001A42F8">
            <w:pPr>
              <w:pStyle w:val="ListParagraph"/>
              <w:numPr>
                <w:ilvl w:val="0"/>
                <w:numId w:val="173"/>
              </w:numPr>
              <w:spacing w:before="0" w:after="0"/>
              <w:contextualSpacing/>
              <w:rPr>
                <w:rFonts w:eastAsiaTheme="minorEastAsia"/>
                <w:b/>
                <w:sz w:val="20"/>
                <w:szCs w:val="20"/>
              </w:rPr>
            </w:pPr>
            <w:r w:rsidRPr="00403B4F">
              <w:rPr>
                <w:rFonts w:eastAsiaTheme="minorEastAsia"/>
                <w:b/>
                <w:sz w:val="20"/>
                <w:szCs w:val="20"/>
              </w:rPr>
              <w:t>塞菲德鲁德三角洲</w:t>
            </w:r>
          </w:p>
          <w:p w:rsidR="00772406" w:rsidRPr="00403B4F" w:rsidRDefault="00772406" w:rsidP="001A42F8">
            <w:pPr>
              <w:pStyle w:val="ListParagraph"/>
              <w:numPr>
                <w:ilvl w:val="0"/>
                <w:numId w:val="162"/>
              </w:numPr>
              <w:spacing w:before="0" w:after="0"/>
              <w:contextualSpacing/>
              <w:rPr>
                <w:rFonts w:eastAsiaTheme="minorEastAsia"/>
                <w:sz w:val="20"/>
                <w:szCs w:val="20"/>
                <w:lang w:eastAsia="zh-CN"/>
              </w:rPr>
            </w:pPr>
            <w:r w:rsidRPr="00403B4F">
              <w:rPr>
                <w:rFonts w:eastAsiaTheme="minorEastAsia"/>
                <w:sz w:val="20"/>
                <w:szCs w:val="20"/>
                <w:lang w:eastAsia="zh-CN"/>
              </w:rPr>
              <w:t>位置：该区位于南里海低地，涵盖里海南部最大的三角洲（约</w:t>
            </w:r>
            <w:r w:rsidRPr="00403B4F">
              <w:rPr>
                <w:rFonts w:eastAsiaTheme="minorEastAsia"/>
                <w:sz w:val="20"/>
                <w:szCs w:val="20"/>
                <w:lang w:eastAsia="zh-CN"/>
              </w:rPr>
              <w:t>1,350</w:t>
            </w:r>
            <w:r w:rsidRPr="00403B4F">
              <w:rPr>
                <w:rFonts w:eastAsiaTheme="minorEastAsia"/>
                <w:sz w:val="20"/>
                <w:szCs w:val="20"/>
                <w:lang w:eastAsia="zh-CN"/>
              </w:rPr>
              <w:t>公顷）和南里海最古老的泻湖之一</w:t>
            </w:r>
            <w:r w:rsidRPr="00403B4F">
              <w:rPr>
                <w:rFonts w:eastAsiaTheme="minorEastAsia"/>
                <w:sz w:val="20"/>
                <w:szCs w:val="20"/>
                <w:lang w:eastAsia="zh-CN"/>
              </w:rPr>
              <w:t>Bandar Kiashahr</w:t>
            </w:r>
            <w:r w:rsidRPr="00403B4F">
              <w:rPr>
                <w:rFonts w:eastAsiaTheme="minorEastAsia"/>
                <w:sz w:val="20"/>
                <w:szCs w:val="20"/>
                <w:lang w:eastAsia="zh-CN"/>
              </w:rPr>
              <w:t>泻湖。它位于里海南部低地，涵盖里海南部最大的河流三角洲。</w:t>
            </w:r>
          </w:p>
          <w:p w:rsidR="00772406" w:rsidRPr="00403B4F" w:rsidRDefault="00772406" w:rsidP="001A42F8">
            <w:pPr>
              <w:pStyle w:val="ListParagraph"/>
              <w:numPr>
                <w:ilvl w:val="0"/>
                <w:numId w:val="162"/>
              </w:numPr>
              <w:spacing w:before="0" w:after="0"/>
              <w:contextualSpacing/>
              <w:rPr>
                <w:rFonts w:eastAsiaTheme="minorEastAsia"/>
                <w:b/>
              </w:rPr>
            </w:pPr>
            <w:r w:rsidRPr="00403B4F">
              <w:rPr>
                <w:rFonts w:eastAsiaTheme="minorEastAsia"/>
                <w:sz w:val="20"/>
                <w:szCs w:val="20"/>
              </w:rPr>
              <w:t>该区是各种鱼类物种的重要觅食和产卵地，其中包括五种严重濒危的鲟鱼物种：</w:t>
            </w:r>
            <w:r w:rsidRPr="00403B4F">
              <w:rPr>
                <w:rFonts w:eastAsiaTheme="minorEastAsia"/>
                <w:sz w:val="20"/>
                <w:szCs w:val="20"/>
              </w:rPr>
              <w:t>Acipenser gueldenstatitii</w:t>
            </w:r>
            <w:r w:rsidRPr="00403B4F">
              <w:rPr>
                <w:rFonts w:eastAsiaTheme="minorEastAsia"/>
                <w:sz w:val="20"/>
                <w:szCs w:val="20"/>
              </w:rPr>
              <w:t>、</w:t>
            </w:r>
            <w:r w:rsidRPr="00403B4F">
              <w:rPr>
                <w:rFonts w:eastAsiaTheme="minorEastAsia"/>
                <w:sz w:val="20"/>
                <w:szCs w:val="20"/>
              </w:rPr>
              <w:t>A. stellatus</w:t>
            </w:r>
            <w:r w:rsidRPr="00403B4F">
              <w:rPr>
                <w:rFonts w:eastAsiaTheme="minorEastAsia"/>
                <w:sz w:val="20"/>
                <w:szCs w:val="20"/>
              </w:rPr>
              <w:t>、</w:t>
            </w:r>
            <w:r w:rsidRPr="00403B4F">
              <w:rPr>
                <w:rFonts w:eastAsiaTheme="minorEastAsia"/>
                <w:sz w:val="20"/>
                <w:szCs w:val="20"/>
              </w:rPr>
              <w:t>A. nudiventris</w:t>
            </w:r>
            <w:r w:rsidRPr="00403B4F">
              <w:rPr>
                <w:rFonts w:eastAsiaTheme="minorEastAsia"/>
                <w:sz w:val="20"/>
                <w:szCs w:val="20"/>
              </w:rPr>
              <w:t>、</w:t>
            </w:r>
            <w:r w:rsidRPr="00403B4F">
              <w:rPr>
                <w:rFonts w:eastAsiaTheme="minorEastAsia"/>
                <w:sz w:val="20"/>
                <w:szCs w:val="20"/>
              </w:rPr>
              <w:t>A. persicus</w:t>
            </w:r>
            <w:r w:rsidRPr="00403B4F">
              <w:rPr>
                <w:rFonts w:eastAsiaTheme="minorEastAsia"/>
                <w:sz w:val="20"/>
                <w:szCs w:val="20"/>
              </w:rPr>
              <w:t>和</w:t>
            </w:r>
            <w:r w:rsidRPr="00403B4F">
              <w:rPr>
                <w:rFonts w:eastAsiaTheme="minorEastAsia"/>
                <w:sz w:val="20"/>
                <w:szCs w:val="20"/>
              </w:rPr>
              <w:t>Huso huso</w:t>
            </w:r>
            <w:r w:rsidRPr="00403B4F">
              <w:rPr>
                <w:rFonts w:eastAsiaTheme="minorEastAsia"/>
                <w:sz w:val="20"/>
                <w:szCs w:val="20"/>
              </w:rPr>
              <w:t>。塞菲德鲁德三角洲是各种迁徙水禽的重要迁徙和越冬地，常有</w:t>
            </w:r>
            <w:r w:rsidRPr="00403B4F">
              <w:rPr>
                <w:rFonts w:eastAsiaTheme="minorEastAsia"/>
                <w:sz w:val="20"/>
                <w:szCs w:val="20"/>
              </w:rPr>
              <w:t>10</w:t>
            </w:r>
            <w:r w:rsidRPr="00403B4F">
              <w:rPr>
                <w:rFonts w:eastAsiaTheme="minorEastAsia"/>
                <w:sz w:val="20"/>
                <w:szCs w:val="20"/>
              </w:rPr>
              <w:t>万多只水鸟和</w:t>
            </w:r>
            <w:r w:rsidRPr="00403B4F">
              <w:rPr>
                <w:rFonts w:eastAsiaTheme="minorEastAsia"/>
                <w:sz w:val="20"/>
                <w:szCs w:val="20"/>
              </w:rPr>
              <w:t>1</w:t>
            </w:r>
            <w:r w:rsidRPr="00403B4F">
              <w:rPr>
                <w:rFonts w:eastAsiaTheme="minorEastAsia"/>
                <w:sz w:val="20"/>
                <w:szCs w:val="20"/>
              </w:rPr>
              <w:t>％以上的地区水鸟物种种群栖息此地。</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L</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7"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r>
      <w:tr w:rsidR="00772406" w:rsidRPr="00403B4F" w:rsidTr="00772406">
        <w:trPr>
          <w:cantSplit/>
        </w:trPr>
        <w:tc>
          <w:tcPr>
            <w:tcW w:w="9687" w:type="dxa"/>
            <w:shd w:val="clear" w:color="auto" w:fill="auto"/>
          </w:tcPr>
          <w:p w:rsidR="00772406" w:rsidRPr="00403B4F" w:rsidRDefault="00772406" w:rsidP="001A42F8">
            <w:pPr>
              <w:pStyle w:val="ListParagraph"/>
              <w:numPr>
                <w:ilvl w:val="0"/>
                <w:numId w:val="173"/>
              </w:numPr>
              <w:spacing w:before="0" w:after="0"/>
              <w:contextualSpacing/>
              <w:rPr>
                <w:rFonts w:eastAsiaTheme="minorEastAsia"/>
                <w:b/>
                <w:sz w:val="20"/>
                <w:szCs w:val="20"/>
              </w:rPr>
            </w:pPr>
            <w:r w:rsidRPr="00403B4F">
              <w:rPr>
                <w:rStyle w:val="st"/>
                <w:rFonts w:eastAsiaTheme="minorEastAsia"/>
                <w:b/>
                <w:sz w:val="20"/>
                <w:szCs w:val="20"/>
              </w:rPr>
              <w:t>恩泽</w:t>
            </w:r>
            <w:r w:rsidRPr="00403B4F">
              <w:rPr>
                <w:rFonts w:eastAsiaTheme="minorEastAsia"/>
                <w:b/>
                <w:sz w:val="20"/>
                <w:szCs w:val="20"/>
              </w:rPr>
              <w:t>利湿地综合体</w:t>
            </w:r>
          </w:p>
          <w:p w:rsidR="00772406" w:rsidRPr="00403B4F" w:rsidRDefault="00772406" w:rsidP="001A42F8">
            <w:pPr>
              <w:pStyle w:val="ListParagraph"/>
              <w:numPr>
                <w:ilvl w:val="0"/>
                <w:numId w:val="163"/>
              </w:numPr>
              <w:spacing w:before="0" w:after="0"/>
              <w:contextualSpacing/>
              <w:rPr>
                <w:rFonts w:eastAsiaTheme="minorEastAsia"/>
                <w:sz w:val="20"/>
                <w:szCs w:val="20"/>
                <w:lang w:eastAsia="zh-CN"/>
              </w:rPr>
            </w:pPr>
            <w:r w:rsidRPr="00403B4F">
              <w:rPr>
                <w:rFonts w:eastAsiaTheme="minorEastAsia"/>
                <w:sz w:val="20"/>
                <w:szCs w:val="20"/>
                <w:lang w:eastAsia="zh-CN"/>
              </w:rPr>
              <w:t>位置：恩泽利湿地综合体位于里海西南岸，靠近班达恩泽利市。</w:t>
            </w:r>
          </w:p>
          <w:p w:rsidR="00772406" w:rsidRPr="00403B4F" w:rsidRDefault="00772406" w:rsidP="001A42F8">
            <w:pPr>
              <w:pStyle w:val="ListParagraph"/>
              <w:numPr>
                <w:ilvl w:val="0"/>
                <w:numId w:val="163"/>
              </w:numPr>
              <w:spacing w:before="0" w:after="0"/>
              <w:contextualSpacing/>
              <w:rPr>
                <w:rFonts w:eastAsiaTheme="minorEastAsia"/>
                <w:lang w:eastAsia="zh-CN"/>
              </w:rPr>
            </w:pPr>
            <w:r w:rsidRPr="00403B4F">
              <w:rPr>
                <w:rFonts w:eastAsiaTheme="minorEastAsia"/>
                <w:sz w:val="20"/>
                <w:szCs w:val="20"/>
                <w:lang w:eastAsia="zh-CN"/>
              </w:rPr>
              <w:t>该区是里海南部低地特有的天然泻湖和湿地生态系统的典范。有</w:t>
            </w:r>
            <w:r w:rsidRPr="00403B4F">
              <w:rPr>
                <w:rFonts w:eastAsiaTheme="minorEastAsia"/>
                <w:sz w:val="20"/>
                <w:szCs w:val="20"/>
                <w:lang w:eastAsia="zh-CN"/>
              </w:rPr>
              <w:t>10</w:t>
            </w:r>
            <w:r w:rsidRPr="00403B4F">
              <w:rPr>
                <w:rFonts w:eastAsiaTheme="minorEastAsia"/>
                <w:sz w:val="20"/>
                <w:szCs w:val="20"/>
                <w:lang w:eastAsia="zh-CN"/>
              </w:rPr>
              <w:t>万多只水鸟和</w:t>
            </w:r>
            <w:r w:rsidRPr="00403B4F">
              <w:rPr>
                <w:rFonts w:eastAsiaTheme="minorEastAsia"/>
                <w:sz w:val="20"/>
                <w:szCs w:val="20"/>
                <w:lang w:eastAsia="zh-CN"/>
              </w:rPr>
              <w:t>1</w:t>
            </w:r>
            <w:r w:rsidRPr="00403B4F">
              <w:rPr>
                <w:rFonts w:eastAsiaTheme="minorEastAsia"/>
                <w:sz w:val="20"/>
                <w:szCs w:val="20"/>
                <w:lang w:eastAsia="zh-CN"/>
              </w:rPr>
              <w:t>％以上的地区水鸟物种种群栖息此地。该区也是动植物遗传资源和多样性的重要保护地。</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L</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7"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L</w:t>
            </w:r>
          </w:p>
        </w:tc>
      </w:tr>
      <w:tr w:rsidR="00772406" w:rsidRPr="00403B4F" w:rsidTr="00772406">
        <w:trPr>
          <w:cantSplit/>
        </w:trPr>
        <w:tc>
          <w:tcPr>
            <w:tcW w:w="9687" w:type="dxa"/>
            <w:shd w:val="clear" w:color="auto" w:fill="auto"/>
          </w:tcPr>
          <w:p w:rsidR="00772406" w:rsidRPr="00403B4F" w:rsidRDefault="00772406" w:rsidP="001A42F8">
            <w:pPr>
              <w:pStyle w:val="ListParagraph"/>
              <w:numPr>
                <w:ilvl w:val="0"/>
                <w:numId w:val="173"/>
              </w:numPr>
              <w:spacing w:before="0" w:after="0"/>
              <w:contextualSpacing/>
              <w:rPr>
                <w:rFonts w:eastAsiaTheme="minorEastAsia"/>
                <w:sz w:val="20"/>
                <w:szCs w:val="20"/>
              </w:rPr>
            </w:pPr>
            <w:r w:rsidRPr="00403B4F">
              <w:rPr>
                <w:rFonts w:eastAsiaTheme="minorEastAsia"/>
                <w:b/>
                <w:sz w:val="20"/>
                <w:szCs w:val="20"/>
              </w:rPr>
              <w:t>克孜勒阿加奇湾综合体</w:t>
            </w:r>
          </w:p>
          <w:p w:rsidR="00772406" w:rsidRPr="00403B4F" w:rsidRDefault="00772406" w:rsidP="001A42F8">
            <w:pPr>
              <w:pStyle w:val="ListParagraph"/>
              <w:numPr>
                <w:ilvl w:val="0"/>
                <w:numId w:val="164"/>
              </w:numPr>
              <w:spacing w:before="0" w:after="0"/>
              <w:ind w:left="360"/>
              <w:contextualSpacing/>
              <w:rPr>
                <w:rFonts w:eastAsiaTheme="minorEastAsia"/>
                <w:sz w:val="20"/>
                <w:szCs w:val="20"/>
                <w:lang w:eastAsia="zh-CN"/>
              </w:rPr>
            </w:pPr>
            <w:r w:rsidRPr="00403B4F">
              <w:rPr>
                <w:rFonts w:eastAsiaTheme="minorEastAsia"/>
                <w:sz w:val="20"/>
                <w:szCs w:val="20"/>
                <w:lang w:eastAsia="zh-CN"/>
              </w:rPr>
              <w:t>位置：克孜勒阿加奇湾综合体位于阿塞拜疆里海西南沿海，涵盖大克孜勒阿加奇湾的整个水域、小克孜勒阿加奇湾的北部水域、库拉沙嘴的西部水域、大克孜勒阿加奇湾北部和西北部的草原以及萨拉半岛的北部。克孜勒阿加奇湾综合体由位于里海西南海岸的大克孜勒阿加奇湾保护区组成，面积</w:t>
            </w:r>
            <w:r w:rsidRPr="00403B4F">
              <w:rPr>
                <w:rFonts w:eastAsiaTheme="minorEastAsia"/>
                <w:sz w:val="20"/>
                <w:szCs w:val="20"/>
                <w:lang w:eastAsia="zh-CN"/>
              </w:rPr>
              <w:t>88,360</w:t>
            </w:r>
            <w:r w:rsidRPr="00403B4F">
              <w:rPr>
                <w:rFonts w:eastAsiaTheme="minorEastAsia"/>
                <w:sz w:val="20"/>
                <w:szCs w:val="20"/>
                <w:lang w:eastAsia="zh-CN"/>
              </w:rPr>
              <w:t>公顷，毗邻的小克孜勒阿加奇湾保护区面积为</w:t>
            </w:r>
            <w:r w:rsidRPr="00403B4F">
              <w:rPr>
                <w:rFonts w:eastAsiaTheme="minorEastAsia"/>
                <w:sz w:val="20"/>
                <w:szCs w:val="20"/>
                <w:lang w:eastAsia="zh-CN"/>
              </w:rPr>
              <w:t>10,700</w:t>
            </w:r>
            <w:r w:rsidRPr="00403B4F">
              <w:rPr>
                <w:rFonts w:eastAsiaTheme="minorEastAsia"/>
                <w:sz w:val="20"/>
                <w:szCs w:val="20"/>
                <w:lang w:eastAsia="zh-CN"/>
              </w:rPr>
              <w:t>公顷。</w:t>
            </w:r>
          </w:p>
          <w:p w:rsidR="00772406" w:rsidRPr="00403B4F" w:rsidRDefault="00772406" w:rsidP="001A42F8">
            <w:pPr>
              <w:pStyle w:val="ListParagraph"/>
              <w:numPr>
                <w:ilvl w:val="0"/>
                <w:numId w:val="164"/>
              </w:numPr>
              <w:spacing w:before="0" w:after="0"/>
              <w:ind w:left="360"/>
              <w:contextualSpacing/>
              <w:rPr>
                <w:rFonts w:eastAsiaTheme="minorEastAsia"/>
                <w:sz w:val="20"/>
                <w:szCs w:val="20"/>
                <w:lang w:eastAsia="zh-CN"/>
              </w:rPr>
            </w:pPr>
            <w:r w:rsidRPr="00403B4F">
              <w:rPr>
                <w:rFonts w:eastAsiaTheme="minorEastAsia"/>
                <w:sz w:val="20"/>
                <w:szCs w:val="20"/>
                <w:lang w:eastAsia="zh-CN"/>
              </w:rPr>
              <w:t>阿塞拜疆是里海</w:t>
            </w:r>
            <w:r w:rsidRPr="00403B4F">
              <w:rPr>
                <w:rFonts w:eastAsiaTheme="minorEastAsia"/>
                <w:sz w:val="20"/>
                <w:szCs w:val="20"/>
                <w:lang w:eastAsia="zh-CN"/>
              </w:rPr>
              <w:t>-</w:t>
            </w:r>
            <w:r w:rsidRPr="00403B4F">
              <w:rPr>
                <w:rFonts w:eastAsiaTheme="minorEastAsia"/>
                <w:sz w:val="20"/>
                <w:szCs w:val="20"/>
                <w:lang w:eastAsia="zh-CN"/>
              </w:rPr>
              <w:t>西西伯利亚</w:t>
            </w:r>
            <w:r w:rsidRPr="00403B4F">
              <w:rPr>
                <w:rFonts w:eastAsiaTheme="minorEastAsia"/>
                <w:sz w:val="20"/>
                <w:szCs w:val="20"/>
                <w:lang w:eastAsia="zh-CN"/>
              </w:rPr>
              <w:t>-</w:t>
            </w:r>
            <w:r w:rsidRPr="00403B4F">
              <w:rPr>
                <w:rFonts w:eastAsiaTheme="minorEastAsia"/>
                <w:sz w:val="20"/>
                <w:szCs w:val="20"/>
                <w:lang w:eastAsia="zh-CN"/>
              </w:rPr>
              <w:t>东非飞行路线的一部分，越冬水鸟数量（超过</w:t>
            </w:r>
            <w:r w:rsidRPr="00403B4F">
              <w:rPr>
                <w:rFonts w:eastAsiaTheme="minorEastAsia"/>
                <w:sz w:val="20"/>
                <w:szCs w:val="20"/>
                <w:lang w:eastAsia="zh-CN"/>
              </w:rPr>
              <w:t>100</w:t>
            </w:r>
            <w:r w:rsidRPr="00403B4F">
              <w:rPr>
                <w:rFonts w:eastAsiaTheme="minorEastAsia"/>
                <w:sz w:val="20"/>
                <w:szCs w:val="20"/>
                <w:lang w:eastAsia="zh-CN"/>
              </w:rPr>
              <w:t>万）在西古北极排名第三。该区拥有西古北极越冬和繁殖水鸟的最重要湿地之一。</w:t>
            </w:r>
            <w:r w:rsidRPr="00403B4F">
              <w:rPr>
                <w:rFonts w:eastAsiaTheme="minorEastAsia"/>
                <w:sz w:val="20"/>
                <w:szCs w:val="20"/>
                <w:lang w:eastAsia="zh-CN"/>
              </w:rPr>
              <w:t>1975</w:t>
            </w:r>
            <w:r w:rsidRPr="00403B4F">
              <w:rPr>
                <w:rFonts w:eastAsiaTheme="minorEastAsia"/>
                <w:sz w:val="20"/>
                <w:szCs w:val="20"/>
                <w:lang w:eastAsia="zh-CN"/>
              </w:rPr>
              <w:t>年克孜勒阿加奇湾（</w:t>
            </w:r>
            <w:r w:rsidRPr="00403B4F">
              <w:rPr>
                <w:rFonts w:eastAsiaTheme="minorEastAsia"/>
                <w:sz w:val="20"/>
                <w:szCs w:val="20"/>
                <w:lang w:eastAsia="zh-CN"/>
              </w:rPr>
              <w:t>Ghizil-Agaj</w:t>
            </w:r>
            <w:r w:rsidRPr="00403B4F">
              <w:rPr>
                <w:rFonts w:eastAsiaTheme="minorEastAsia"/>
                <w:sz w:val="20"/>
                <w:szCs w:val="20"/>
                <w:lang w:eastAsia="zh-CN"/>
              </w:rPr>
              <w:t>）湾被指定为</w:t>
            </w:r>
            <w:r w:rsidRPr="00403B4F">
              <w:rPr>
                <w:rFonts w:eastAsiaTheme="minorEastAsia"/>
                <w:sz w:val="20"/>
                <w:szCs w:val="20"/>
                <w:lang w:eastAsia="zh-CN"/>
              </w:rPr>
              <w:t>“</w:t>
            </w:r>
            <w:r w:rsidRPr="00403B4F">
              <w:rPr>
                <w:rFonts w:eastAsiaTheme="minorEastAsia"/>
                <w:sz w:val="20"/>
                <w:szCs w:val="20"/>
                <w:lang w:eastAsia="zh-CN"/>
              </w:rPr>
              <w:t>拉姆萨尔国际重要湿地</w:t>
            </w:r>
            <w:r w:rsidRPr="00403B4F">
              <w:rPr>
                <w:rFonts w:eastAsiaTheme="minorEastAsia"/>
                <w:sz w:val="20"/>
                <w:szCs w:val="20"/>
                <w:lang w:eastAsia="zh-CN"/>
              </w:rPr>
              <w:t>”</w:t>
            </w:r>
            <w:r w:rsidRPr="00403B4F">
              <w:rPr>
                <w:rFonts w:eastAsiaTheme="minorEastAsia"/>
                <w:sz w:val="20"/>
                <w:szCs w:val="20"/>
                <w:lang w:eastAsia="zh-CN"/>
              </w:rPr>
              <w:t>。该区动物包括</w:t>
            </w:r>
            <w:r w:rsidRPr="00403B4F">
              <w:rPr>
                <w:rFonts w:eastAsiaTheme="minorEastAsia"/>
                <w:sz w:val="20"/>
                <w:szCs w:val="20"/>
                <w:lang w:eastAsia="zh-CN"/>
              </w:rPr>
              <w:t>47</w:t>
            </w:r>
            <w:r w:rsidRPr="00403B4F">
              <w:rPr>
                <w:rFonts w:eastAsiaTheme="minorEastAsia"/>
                <w:sz w:val="20"/>
                <w:szCs w:val="20"/>
                <w:lang w:eastAsia="zh-CN"/>
              </w:rPr>
              <w:t>种鱼类、约</w:t>
            </w:r>
            <w:r w:rsidRPr="00403B4F">
              <w:rPr>
                <w:rFonts w:eastAsiaTheme="minorEastAsia"/>
                <w:sz w:val="20"/>
                <w:szCs w:val="20"/>
                <w:lang w:eastAsia="zh-CN"/>
              </w:rPr>
              <w:t>273</w:t>
            </w:r>
            <w:r w:rsidRPr="00403B4F">
              <w:rPr>
                <w:rFonts w:eastAsiaTheme="minorEastAsia"/>
                <w:sz w:val="20"/>
                <w:szCs w:val="20"/>
                <w:lang w:eastAsia="zh-CN"/>
              </w:rPr>
              <w:t>种鸟类、</w:t>
            </w:r>
            <w:r w:rsidRPr="00403B4F">
              <w:rPr>
                <w:rFonts w:eastAsiaTheme="minorEastAsia"/>
                <w:sz w:val="20"/>
                <w:szCs w:val="20"/>
                <w:lang w:eastAsia="zh-CN"/>
              </w:rPr>
              <w:t>5</w:t>
            </w:r>
            <w:r w:rsidRPr="00403B4F">
              <w:rPr>
                <w:rFonts w:eastAsiaTheme="minorEastAsia"/>
                <w:sz w:val="20"/>
                <w:szCs w:val="20"/>
                <w:lang w:eastAsia="zh-CN"/>
              </w:rPr>
              <w:t>种两栖动物、</w:t>
            </w:r>
            <w:r w:rsidRPr="00403B4F">
              <w:rPr>
                <w:rFonts w:eastAsiaTheme="minorEastAsia"/>
                <w:sz w:val="20"/>
                <w:szCs w:val="20"/>
                <w:lang w:eastAsia="zh-CN"/>
              </w:rPr>
              <w:t>15</w:t>
            </w:r>
            <w:r w:rsidRPr="00403B4F">
              <w:rPr>
                <w:rFonts w:eastAsiaTheme="minorEastAsia"/>
                <w:sz w:val="20"/>
                <w:szCs w:val="20"/>
                <w:lang w:eastAsia="zh-CN"/>
              </w:rPr>
              <w:t>种爬行动物和</w:t>
            </w:r>
            <w:r w:rsidRPr="00403B4F">
              <w:rPr>
                <w:rFonts w:eastAsiaTheme="minorEastAsia"/>
                <w:sz w:val="20"/>
                <w:szCs w:val="20"/>
                <w:lang w:eastAsia="zh-CN"/>
              </w:rPr>
              <w:t>26</w:t>
            </w:r>
            <w:r w:rsidRPr="00403B4F">
              <w:rPr>
                <w:rFonts w:eastAsiaTheme="minorEastAsia"/>
                <w:sz w:val="20"/>
                <w:szCs w:val="20"/>
                <w:lang w:eastAsia="zh-CN"/>
              </w:rPr>
              <w:t>种哺乳动物。当地的鸟类主要是水鸟。该区位于里海西海岸的迁徙路线上，大批候鸟在该这里摄食和休息。据报道在过去的几年中，有多达</w:t>
            </w:r>
            <w:r w:rsidRPr="00403B4F">
              <w:rPr>
                <w:rFonts w:eastAsiaTheme="minorEastAsia"/>
                <w:sz w:val="20"/>
                <w:szCs w:val="20"/>
                <w:lang w:eastAsia="zh-CN"/>
              </w:rPr>
              <w:t>1,000</w:t>
            </w:r>
            <w:r w:rsidRPr="00403B4F">
              <w:rPr>
                <w:rFonts w:eastAsiaTheme="minorEastAsia"/>
                <w:sz w:val="20"/>
                <w:szCs w:val="20"/>
                <w:lang w:eastAsia="zh-CN"/>
              </w:rPr>
              <w:t>万只鸟在这里及其周边地区越冬。</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7"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r>
      <w:tr w:rsidR="00772406" w:rsidRPr="00403B4F" w:rsidTr="00772406">
        <w:trPr>
          <w:cantSplit/>
        </w:trPr>
        <w:tc>
          <w:tcPr>
            <w:tcW w:w="9687" w:type="dxa"/>
            <w:shd w:val="clear" w:color="auto" w:fill="auto"/>
          </w:tcPr>
          <w:p w:rsidR="00772406" w:rsidRPr="00403B4F" w:rsidRDefault="00772406" w:rsidP="001A42F8">
            <w:pPr>
              <w:pStyle w:val="ListParagraph"/>
              <w:numPr>
                <w:ilvl w:val="0"/>
                <w:numId w:val="173"/>
              </w:numPr>
              <w:spacing w:before="0" w:after="0"/>
              <w:contextualSpacing/>
              <w:rPr>
                <w:rFonts w:eastAsiaTheme="minorEastAsia"/>
                <w:sz w:val="20"/>
                <w:szCs w:val="20"/>
              </w:rPr>
            </w:pPr>
            <w:r w:rsidRPr="00403B4F">
              <w:rPr>
                <w:rFonts w:eastAsiaTheme="minorEastAsia"/>
                <w:b/>
                <w:sz w:val="20"/>
                <w:szCs w:val="20"/>
              </w:rPr>
              <w:lastRenderedPageBreak/>
              <w:t>库拉三角洲</w:t>
            </w:r>
          </w:p>
          <w:p w:rsidR="00772406" w:rsidRPr="00403B4F" w:rsidRDefault="00772406" w:rsidP="001A42F8">
            <w:pPr>
              <w:pStyle w:val="ListParagraph"/>
              <w:numPr>
                <w:ilvl w:val="0"/>
                <w:numId w:val="166"/>
              </w:numPr>
              <w:spacing w:before="0" w:after="0"/>
              <w:ind w:left="360"/>
              <w:contextualSpacing/>
              <w:rPr>
                <w:rFonts w:eastAsiaTheme="minorEastAsia"/>
                <w:sz w:val="20"/>
                <w:szCs w:val="20"/>
                <w:lang w:eastAsia="zh-CN"/>
              </w:rPr>
            </w:pPr>
            <w:r w:rsidRPr="00403B4F">
              <w:rPr>
                <w:rFonts w:eastAsiaTheme="minorEastAsia"/>
                <w:sz w:val="20"/>
                <w:szCs w:val="20"/>
                <w:lang w:eastAsia="zh-CN"/>
              </w:rPr>
              <w:t>位置：该区位于</w:t>
            </w:r>
            <w:r w:rsidRPr="00403B4F">
              <w:rPr>
                <w:rFonts w:eastAsiaTheme="minorEastAsia"/>
                <w:sz w:val="20"/>
                <w:szCs w:val="20"/>
                <w:lang w:eastAsia="zh-CN"/>
              </w:rPr>
              <w:t>Neftechal</w:t>
            </w:r>
            <w:r w:rsidRPr="00403B4F">
              <w:rPr>
                <w:rFonts w:eastAsiaTheme="minorEastAsia"/>
                <w:sz w:val="20"/>
                <w:szCs w:val="20"/>
                <w:lang w:eastAsia="zh-CN"/>
              </w:rPr>
              <w:t>市东部和东南部</w:t>
            </w:r>
            <w:r w:rsidRPr="00403B4F">
              <w:rPr>
                <w:rFonts w:eastAsiaTheme="minorEastAsia"/>
                <w:sz w:val="20"/>
                <w:szCs w:val="20"/>
                <w:lang w:eastAsia="zh-CN"/>
              </w:rPr>
              <w:t>10</w:t>
            </w:r>
            <w:r w:rsidRPr="00403B4F">
              <w:rPr>
                <w:rFonts w:eastAsiaTheme="minorEastAsia"/>
                <w:sz w:val="20"/>
                <w:szCs w:val="20"/>
                <w:lang w:eastAsia="zh-CN"/>
              </w:rPr>
              <w:t>公里处，</w:t>
            </w:r>
            <w:r w:rsidRPr="00403B4F">
              <w:rPr>
                <w:rFonts w:eastAsiaTheme="minorEastAsia"/>
                <w:sz w:val="20"/>
                <w:szCs w:val="20"/>
                <w:lang w:eastAsia="zh-CN"/>
              </w:rPr>
              <w:t>Neftechalinsky</w:t>
            </w:r>
            <w:r w:rsidRPr="00403B4F">
              <w:rPr>
                <w:rFonts w:eastAsiaTheme="minorEastAsia"/>
                <w:sz w:val="20"/>
                <w:szCs w:val="20"/>
                <w:lang w:eastAsia="zh-CN"/>
              </w:rPr>
              <w:t>地区库拉河流入里海处。面积约</w:t>
            </w:r>
            <w:r w:rsidRPr="00403B4F">
              <w:rPr>
                <w:rFonts w:eastAsiaTheme="minorEastAsia"/>
                <w:sz w:val="20"/>
                <w:szCs w:val="20"/>
                <w:lang w:eastAsia="zh-CN"/>
              </w:rPr>
              <w:t>15,000</w:t>
            </w:r>
            <w:r w:rsidRPr="00403B4F">
              <w:rPr>
                <w:rFonts w:eastAsiaTheme="minorEastAsia"/>
                <w:sz w:val="20"/>
                <w:szCs w:val="20"/>
                <w:lang w:eastAsia="zh-CN"/>
              </w:rPr>
              <w:t>公顷。海拔高度约</w:t>
            </w:r>
            <w:r w:rsidRPr="00403B4F">
              <w:rPr>
                <w:rFonts w:eastAsiaTheme="minorEastAsia"/>
                <w:sz w:val="20"/>
                <w:szCs w:val="20"/>
                <w:lang w:eastAsia="zh-CN"/>
              </w:rPr>
              <w:t>28</w:t>
            </w:r>
            <w:r w:rsidRPr="00403B4F">
              <w:rPr>
                <w:rFonts w:eastAsiaTheme="minorEastAsia"/>
                <w:sz w:val="20"/>
                <w:szCs w:val="20"/>
                <w:lang w:eastAsia="zh-CN"/>
              </w:rPr>
              <w:t>米。近岸地理坐标是北纬</w:t>
            </w:r>
            <w:r w:rsidRPr="00403B4F">
              <w:rPr>
                <w:rFonts w:eastAsiaTheme="minorEastAsia"/>
                <w:sz w:val="20"/>
                <w:szCs w:val="20"/>
                <w:lang w:eastAsia="zh-CN"/>
              </w:rPr>
              <w:t>39°16'-39°25'</w:t>
            </w:r>
            <w:r w:rsidRPr="00403B4F">
              <w:rPr>
                <w:rFonts w:eastAsiaTheme="minorEastAsia"/>
                <w:sz w:val="20"/>
                <w:szCs w:val="20"/>
                <w:lang w:eastAsia="zh-CN"/>
              </w:rPr>
              <w:t>；</w:t>
            </w:r>
            <w:r w:rsidRPr="00403B4F">
              <w:rPr>
                <w:rFonts w:eastAsiaTheme="minorEastAsia"/>
                <w:sz w:val="20"/>
                <w:szCs w:val="20"/>
                <w:lang w:eastAsia="zh-CN"/>
              </w:rPr>
              <w:t xml:space="preserve"> </w:t>
            </w:r>
            <w:r w:rsidRPr="00403B4F">
              <w:rPr>
                <w:rFonts w:eastAsiaTheme="minorEastAsia"/>
                <w:sz w:val="20"/>
                <w:szCs w:val="20"/>
                <w:lang w:eastAsia="zh-CN"/>
              </w:rPr>
              <w:t>东经</w:t>
            </w:r>
            <w:r w:rsidRPr="00403B4F">
              <w:rPr>
                <w:rFonts w:eastAsiaTheme="minorEastAsia"/>
                <w:sz w:val="20"/>
                <w:szCs w:val="20"/>
                <w:lang w:eastAsia="zh-CN"/>
              </w:rPr>
              <w:t>49°19'-49°28'</w:t>
            </w:r>
            <w:r w:rsidRPr="00403B4F">
              <w:rPr>
                <w:rFonts w:eastAsiaTheme="minorEastAsia"/>
                <w:sz w:val="20"/>
                <w:szCs w:val="20"/>
                <w:lang w:eastAsia="zh-CN"/>
              </w:rPr>
              <w:t>。</w:t>
            </w:r>
          </w:p>
          <w:p w:rsidR="00772406" w:rsidRPr="00403B4F" w:rsidRDefault="00772406" w:rsidP="001A42F8">
            <w:pPr>
              <w:pStyle w:val="ListParagraph"/>
              <w:numPr>
                <w:ilvl w:val="0"/>
                <w:numId w:val="165"/>
              </w:numPr>
              <w:spacing w:before="0" w:after="0"/>
              <w:ind w:left="360"/>
              <w:contextualSpacing/>
              <w:rPr>
                <w:rFonts w:eastAsiaTheme="minorEastAsia"/>
                <w:lang w:eastAsia="zh-CN"/>
              </w:rPr>
            </w:pPr>
            <w:r w:rsidRPr="00403B4F">
              <w:rPr>
                <w:rFonts w:eastAsiaTheme="minorEastAsia"/>
                <w:sz w:val="20"/>
                <w:szCs w:val="20"/>
                <w:lang w:eastAsia="zh-CN"/>
              </w:rPr>
              <w:t>里海的库拉河地区是所有里海鲟鱼类物种（小鲟鱼除外）觅食、越冬、产卵迁徙和繁殖之地。这里对波斯鲟鱼和</w:t>
            </w:r>
            <w:r w:rsidRPr="00403B4F">
              <w:rPr>
                <w:rFonts w:eastAsiaTheme="minorEastAsia"/>
                <w:sz w:val="20"/>
                <w:szCs w:val="20"/>
                <w:lang w:eastAsia="zh-CN"/>
              </w:rPr>
              <w:t>pinch</w:t>
            </w:r>
            <w:r w:rsidRPr="00403B4F">
              <w:rPr>
                <w:rFonts w:eastAsiaTheme="minorEastAsia"/>
                <w:sz w:val="20"/>
                <w:szCs w:val="20"/>
                <w:lang w:eastAsia="zh-CN"/>
              </w:rPr>
              <w:t>尤其重要。此外，该区还拥有密集的芦苇植被，水坝网和一个大型岛屿，是一些鸟类物种的重要越冬和筑巢地点。该区对大量飞行中的鸟类中途休息尤其重要。在迁徙期间，水鸟数量可达创记录的</w:t>
            </w:r>
            <w:r w:rsidRPr="00403B4F">
              <w:rPr>
                <w:rFonts w:eastAsiaTheme="minorEastAsia"/>
                <w:sz w:val="20"/>
                <w:szCs w:val="20"/>
                <w:lang w:eastAsia="zh-CN"/>
              </w:rPr>
              <w:t>75,000</w:t>
            </w:r>
            <w:r w:rsidRPr="00403B4F">
              <w:rPr>
                <w:rFonts w:eastAsiaTheme="minorEastAsia"/>
                <w:sz w:val="20"/>
                <w:szCs w:val="20"/>
                <w:lang w:eastAsia="zh-CN"/>
              </w:rPr>
              <w:t>只。这里曾记录到许多卷羽和粉红色鹈鹕、小鸬鹚、琵鹭、苏丹鸟和其他稀有物种。</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7"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L</w:t>
            </w:r>
          </w:p>
        </w:tc>
      </w:tr>
      <w:tr w:rsidR="00772406" w:rsidRPr="00403B4F" w:rsidTr="00772406">
        <w:trPr>
          <w:cantSplit/>
        </w:trPr>
        <w:tc>
          <w:tcPr>
            <w:tcW w:w="9687" w:type="dxa"/>
            <w:shd w:val="clear" w:color="auto" w:fill="auto"/>
          </w:tcPr>
          <w:p w:rsidR="00772406" w:rsidRPr="00403B4F" w:rsidRDefault="00772406" w:rsidP="001A42F8">
            <w:pPr>
              <w:pStyle w:val="ListParagraph"/>
              <w:numPr>
                <w:ilvl w:val="0"/>
                <w:numId w:val="173"/>
              </w:numPr>
              <w:spacing w:before="0" w:after="0"/>
              <w:contextualSpacing/>
              <w:rPr>
                <w:rFonts w:eastAsiaTheme="minorEastAsia"/>
                <w:b/>
                <w:sz w:val="20"/>
                <w:szCs w:val="20"/>
              </w:rPr>
            </w:pPr>
            <w:r w:rsidRPr="00403B4F">
              <w:rPr>
                <w:rFonts w:eastAsiaTheme="minorEastAsia"/>
                <w:b/>
                <w:sz w:val="20"/>
                <w:szCs w:val="20"/>
              </w:rPr>
              <w:t>萨穆尔</w:t>
            </w:r>
            <w:r w:rsidRPr="00403B4F">
              <w:rPr>
                <w:rFonts w:eastAsiaTheme="minorEastAsia"/>
                <w:b/>
                <w:sz w:val="20"/>
                <w:szCs w:val="20"/>
              </w:rPr>
              <w:t>-</w:t>
            </w:r>
            <w:r w:rsidRPr="00403B4F">
              <w:rPr>
                <w:rFonts w:eastAsiaTheme="minorEastAsia"/>
                <w:b/>
                <w:sz w:val="20"/>
                <w:szCs w:val="20"/>
              </w:rPr>
              <w:t>亚拉马</w:t>
            </w:r>
          </w:p>
          <w:p w:rsidR="00772406" w:rsidRPr="00403B4F" w:rsidRDefault="00772406" w:rsidP="001A42F8">
            <w:pPr>
              <w:pStyle w:val="ListParagraph"/>
              <w:numPr>
                <w:ilvl w:val="0"/>
                <w:numId w:val="165"/>
              </w:numPr>
              <w:spacing w:before="0" w:after="0"/>
              <w:ind w:left="360"/>
              <w:contextualSpacing/>
              <w:rPr>
                <w:rFonts w:eastAsiaTheme="minorEastAsia"/>
                <w:sz w:val="20"/>
                <w:szCs w:val="20"/>
                <w:lang w:eastAsia="zh-CN"/>
              </w:rPr>
            </w:pPr>
            <w:r w:rsidRPr="00403B4F">
              <w:rPr>
                <w:rFonts w:eastAsiaTheme="minorEastAsia"/>
                <w:sz w:val="20"/>
                <w:szCs w:val="20"/>
                <w:lang w:eastAsia="zh-CN"/>
              </w:rPr>
              <w:t>位置：萨穆尔</w:t>
            </w:r>
            <w:r w:rsidRPr="00403B4F">
              <w:rPr>
                <w:rFonts w:eastAsiaTheme="minorEastAsia"/>
                <w:sz w:val="20"/>
                <w:szCs w:val="20"/>
                <w:lang w:eastAsia="zh-CN"/>
              </w:rPr>
              <w:t>-</w:t>
            </w:r>
            <w:r w:rsidRPr="00403B4F">
              <w:rPr>
                <w:rFonts w:eastAsiaTheme="minorEastAsia"/>
                <w:sz w:val="20"/>
                <w:szCs w:val="20"/>
                <w:lang w:eastAsia="zh-CN"/>
              </w:rPr>
              <w:t>亚拉马随最终流入里海的萨穆尔河而延伸，涵盖俄罗斯</w:t>
            </w:r>
            <w:r w:rsidRPr="00403B4F">
              <w:rPr>
                <w:rFonts w:eastAsiaTheme="minorEastAsia"/>
                <w:sz w:val="20"/>
                <w:szCs w:val="20"/>
                <w:lang w:eastAsia="zh-CN"/>
              </w:rPr>
              <w:t>-</w:t>
            </w:r>
            <w:r w:rsidRPr="00403B4F">
              <w:rPr>
                <w:rFonts w:eastAsiaTheme="minorEastAsia"/>
                <w:sz w:val="20"/>
                <w:szCs w:val="20"/>
                <w:lang w:eastAsia="zh-CN"/>
              </w:rPr>
              <w:t>阿塞拜疆边界两侧，面积</w:t>
            </w:r>
            <w:r w:rsidRPr="00403B4F">
              <w:rPr>
                <w:rFonts w:eastAsiaTheme="minorEastAsia"/>
                <w:sz w:val="20"/>
                <w:szCs w:val="20"/>
                <w:lang w:eastAsia="zh-CN"/>
              </w:rPr>
              <w:t>1,250</w:t>
            </w:r>
            <w:r w:rsidRPr="00403B4F">
              <w:rPr>
                <w:rFonts w:eastAsiaTheme="minorEastAsia"/>
                <w:sz w:val="20"/>
                <w:szCs w:val="20"/>
                <w:lang w:eastAsia="zh-CN"/>
              </w:rPr>
              <w:t>平方公里。该区包括萨穆尔河河口以及数条源于高加索山脉的小河流；它的海域包括</w:t>
            </w:r>
            <w:r w:rsidRPr="00403B4F">
              <w:rPr>
                <w:rFonts w:eastAsiaTheme="minorEastAsia"/>
                <w:sz w:val="20"/>
                <w:szCs w:val="20"/>
                <w:lang w:eastAsia="zh-CN"/>
              </w:rPr>
              <w:t>200</w:t>
            </w:r>
            <w:r w:rsidRPr="00403B4F">
              <w:rPr>
                <w:rFonts w:eastAsiaTheme="minorEastAsia"/>
                <w:sz w:val="20"/>
                <w:szCs w:val="20"/>
                <w:lang w:eastAsia="zh-CN"/>
              </w:rPr>
              <w:t>米等深线水域。</w:t>
            </w:r>
          </w:p>
          <w:p w:rsidR="00772406" w:rsidRPr="00403B4F" w:rsidRDefault="00772406" w:rsidP="001A42F8">
            <w:pPr>
              <w:pStyle w:val="ListParagraph"/>
              <w:numPr>
                <w:ilvl w:val="0"/>
                <w:numId w:val="165"/>
              </w:numPr>
              <w:spacing w:before="0" w:after="0"/>
              <w:ind w:left="360"/>
              <w:contextualSpacing/>
              <w:rPr>
                <w:rFonts w:eastAsiaTheme="minorEastAsia"/>
                <w:sz w:val="20"/>
                <w:szCs w:val="20"/>
                <w:lang w:eastAsia="zh-CN"/>
              </w:rPr>
            </w:pPr>
            <w:r w:rsidRPr="00403B4F">
              <w:rPr>
                <w:rFonts w:eastAsiaTheme="minorEastAsia"/>
                <w:sz w:val="20"/>
                <w:szCs w:val="20"/>
                <w:lang w:eastAsia="zh-CN"/>
              </w:rPr>
              <w:t>该区包括里海最深的近岸区，有一个陡峭的水下斜坡。该区对于至少</w:t>
            </w:r>
            <w:r w:rsidRPr="00403B4F">
              <w:rPr>
                <w:rFonts w:eastAsiaTheme="minorEastAsia"/>
                <w:sz w:val="20"/>
                <w:szCs w:val="20"/>
                <w:lang w:eastAsia="zh-CN"/>
              </w:rPr>
              <w:t>20</w:t>
            </w:r>
            <w:r w:rsidRPr="00403B4F">
              <w:rPr>
                <w:rFonts w:eastAsiaTheme="minorEastAsia"/>
                <w:sz w:val="20"/>
                <w:szCs w:val="20"/>
                <w:lang w:eastAsia="zh-CN"/>
              </w:rPr>
              <w:t>种鱼类的生活史阶段非常重要，是青年期和成年期鱼类的非常重要的迁徙走廊和摄食地。这里对鸟类也很重要，是水禽的一个飞行段和重要停留点和筑巢区。对于所有</w:t>
            </w:r>
            <w:r w:rsidRPr="00403B4F">
              <w:rPr>
                <w:rFonts w:eastAsiaTheme="minorEastAsia"/>
                <w:sz w:val="20"/>
                <w:szCs w:val="20"/>
                <w:lang w:eastAsia="zh-CN"/>
              </w:rPr>
              <w:t>5</w:t>
            </w:r>
            <w:r w:rsidRPr="00403B4F">
              <w:rPr>
                <w:rFonts w:eastAsiaTheme="minorEastAsia"/>
                <w:sz w:val="20"/>
                <w:szCs w:val="20"/>
                <w:lang w:eastAsia="zh-CN"/>
              </w:rPr>
              <w:t>种严重濒危的鲟鱼物种（《自然保护联盟红色名录》）以及其他几种受保护鱼类和鸟类物种，也具有非常重要的意义。</w:t>
            </w:r>
            <w:r w:rsidRPr="00403B4F">
              <w:rPr>
                <w:rFonts w:eastAsiaTheme="minorEastAsia"/>
                <w:sz w:val="20"/>
                <w:szCs w:val="20"/>
                <w:lang w:eastAsia="zh-CN"/>
              </w:rPr>
              <w:t xml:space="preserve"> </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7"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r>
      <w:tr w:rsidR="00772406" w:rsidRPr="00403B4F" w:rsidTr="00772406">
        <w:trPr>
          <w:cantSplit/>
        </w:trPr>
        <w:tc>
          <w:tcPr>
            <w:tcW w:w="9687" w:type="dxa"/>
            <w:shd w:val="clear" w:color="auto" w:fill="auto"/>
          </w:tcPr>
          <w:p w:rsidR="00772406" w:rsidRPr="00403B4F" w:rsidRDefault="00772406" w:rsidP="001A42F8">
            <w:pPr>
              <w:pStyle w:val="ListParagraph"/>
              <w:numPr>
                <w:ilvl w:val="0"/>
                <w:numId w:val="173"/>
              </w:numPr>
              <w:spacing w:before="0" w:after="0"/>
              <w:contextualSpacing/>
              <w:rPr>
                <w:rFonts w:eastAsiaTheme="minorEastAsia"/>
                <w:b/>
                <w:sz w:val="20"/>
                <w:szCs w:val="20"/>
              </w:rPr>
            </w:pPr>
            <w:r w:rsidRPr="00403B4F">
              <w:rPr>
                <w:rFonts w:eastAsiaTheme="minorEastAsia"/>
                <w:b/>
                <w:sz w:val="20"/>
                <w:szCs w:val="20"/>
              </w:rPr>
              <w:t>基兹利亚尔湾</w:t>
            </w:r>
          </w:p>
          <w:p w:rsidR="00772406" w:rsidRPr="00403B4F" w:rsidRDefault="00772406" w:rsidP="001A42F8">
            <w:pPr>
              <w:pStyle w:val="ListParagraph"/>
              <w:numPr>
                <w:ilvl w:val="0"/>
                <w:numId w:val="167"/>
              </w:numPr>
              <w:spacing w:before="0" w:after="0"/>
              <w:contextualSpacing/>
              <w:rPr>
                <w:rFonts w:eastAsiaTheme="minorEastAsia"/>
                <w:sz w:val="20"/>
                <w:szCs w:val="20"/>
                <w:lang w:eastAsia="zh-CN"/>
              </w:rPr>
            </w:pPr>
            <w:r w:rsidRPr="00403B4F">
              <w:rPr>
                <w:rFonts w:eastAsiaTheme="minorEastAsia"/>
                <w:sz w:val="20"/>
                <w:szCs w:val="20"/>
                <w:lang w:eastAsia="zh-CN"/>
              </w:rPr>
              <w:t>位置：该区涵盖里海西北海岸，从伏尔加河三角洲到阿格拉汉半岛（含）、</w:t>
            </w:r>
            <w:r w:rsidRPr="00403B4F">
              <w:rPr>
                <w:rFonts w:eastAsiaTheme="minorEastAsia"/>
                <w:color w:val="545454"/>
                <w:sz w:val="20"/>
                <w:szCs w:val="20"/>
                <w:shd w:val="clear" w:color="auto" w:fill="FFFFFF"/>
                <w:lang w:eastAsia="zh-CN"/>
              </w:rPr>
              <w:t>丘列尼</w:t>
            </w:r>
            <w:r w:rsidRPr="00403B4F">
              <w:rPr>
                <w:rFonts w:eastAsiaTheme="minorEastAsia"/>
                <w:sz w:val="20"/>
                <w:szCs w:val="20"/>
                <w:lang w:eastAsia="zh-CN"/>
              </w:rPr>
              <w:t>岛和车臣岛。该区是里海西海岸最北的海湾。</w:t>
            </w:r>
          </w:p>
          <w:p w:rsidR="00772406" w:rsidRPr="00403B4F" w:rsidRDefault="00772406" w:rsidP="001A42F8">
            <w:pPr>
              <w:pStyle w:val="ListParagraph"/>
              <w:numPr>
                <w:ilvl w:val="0"/>
                <w:numId w:val="167"/>
              </w:numPr>
              <w:spacing w:before="0" w:after="0"/>
              <w:contextualSpacing/>
              <w:rPr>
                <w:rFonts w:eastAsiaTheme="minorEastAsia"/>
              </w:rPr>
            </w:pPr>
            <w:r w:rsidRPr="00403B4F">
              <w:rPr>
                <w:rFonts w:eastAsiaTheme="minorEastAsia"/>
                <w:sz w:val="20"/>
                <w:szCs w:val="20"/>
                <w:lang w:eastAsia="zh-CN"/>
              </w:rPr>
              <w:t>该区是来自西西伯利亚和东欧的季节性迁徙水禽和水鸟飞越或越冬的重要区域。有鸟类物种</w:t>
            </w:r>
            <w:r w:rsidRPr="00403B4F">
              <w:rPr>
                <w:rFonts w:eastAsiaTheme="minorEastAsia"/>
                <w:sz w:val="20"/>
                <w:szCs w:val="20"/>
                <w:lang w:eastAsia="zh-CN"/>
              </w:rPr>
              <w:t>250</w:t>
            </w:r>
            <w:r w:rsidRPr="00403B4F">
              <w:rPr>
                <w:rFonts w:eastAsiaTheme="minorEastAsia"/>
                <w:sz w:val="20"/>
                <w:szCs w:val="20"/>
                <w:lang w:eastAsia="zh-CN"/>
              </w:rPr>
              <w:t>种，大多是水禽。这里有稀有鸟类物种，例如卷羽鹈鹕（</w:t>
            </w:r>
            <w:r w:rsidRPr="00403B4F">
              <w:rPr>
                <w:rFonts w:eastAsiaTheme="minorEastAsia"/>
                <w:i/>
                <w:sz w:val="20"/>
                <w:szCs w:val="20"/>
                <w:lang w:eastAsia="zh-CN"/>
              </w:rPr>
              <w:t>Pelecanus crispus</w:t>
            </w:r>
            <w:r w:rsidRPr="00403B4F">
              <w:rPr>
                <w:rFonts w:eastAsiaTheme="minorEastAsia"/>
                <w:sz w:val="20"/>
                <w:szCs w:val="20"/>
                <w:lang w:eastAsia="zh-CN"/>
              </w:rPr>
              <w:t>），也有许多常见的物种（例如白骨顶鸡、灰鹅和各种鸭）。该区是</w:t>
            </w:r>
            <w:r w:rsidRPr="00403B4F">
              <w:rPr>
                <w:rFonts w:eastAsiaTheme="minorEastAsia"/>
                <w:sz w:val="20"/>
                <w:szCs w:val="20"/>
                <w:lang w:eastAsia="zh-CN"/>
              </w:rPr>
              <w:t>60</w:t>
            </w:r>
            <w:r w:rsidRPr="00403B4F">
              <w:rPr>
                <w:rFonts w:eastAsiaTheme="minorEastAsia"/>
                <w:sz w:val="20"/>
                <w:szCs w:val="20"/>
                <w:lang w:eastAsia="zh-CN"/>
              </w:rPr>
              <w:t>多种鱼类的繁殖、觅食和洄游地。是濒危物种例如鲟鱼（欧洲鳇、</w:t>
            </w:r>
            <w:r w:rsidRPr="00403B4F">
              <w:rPr>
                <w:rStyle w:val="st"/>
                <w:rFonts w:eastAsiaTheme="minorEastAsia"/>
                <w:sz w:val="20"/>
                <w:szCs w:val="20"/>
                <w:lang w:eastAsia="zh-CN"/>
              </w:rPr>
              <w:t>俄罗斯鲟、闪光鲟</w:t>
            </w:r>
            <w:r w:rsidRPr="00403B4F">
              <w:rPr>
                <w:rFonts w:eastAsiaTheme="minorEastAsia"/>
                <w:sz w:val="20"/>
                <w:szCs w:val="20"/>
                <w:lang w:eastAsia="zh-CN"/>
              </w:rPr>
              <w:t>）的重要栖息地。</w:t>
            </w:r>
            <w:r w:rsidRPr="00403B4F">
              <w:rPr>
                <w:rFonts w:eastAsiaTheme="minorEastAsia"/>
                <w:sz w:val="20"/>
                <w:szCs w:val="20"/>
              </w:rPr>
              <w:t>区内岛屿是里海海豹（</w:t>
            </w:r>
            <w:r w:rsidRPr="00403B4F">
              <w:rPr>
                <w:rFonts w:eastAsiaTheme="minorEastAsia"/>
                <w:i/>
                <w:sz w:val="20"/>
                <w:szCs w:val="20"/>
              </w:rPr>
              <w:t>Phoca caspica</w:t>
            </w:r>
            <w:r w:rsidRPr="00403B4F">
              <w:rPr>
                <w:rFonts w:eastAsiaTheme="minorEastAsia"/>
                <w:sz w:val="20"/>
                <w:szCs w:val="20"/>
              </w:rPr>
              <w:t>）的季节性聚集地。</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7"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r>
      <w:tr w:rsidR="00772406" w:rsidRPr="00403B4F" w:rsidTr="00772406">
        <w:trPr>
          <w:cantSplit/>
        </w:trPr>
        <w:tc>
          <w:tcPr>
            <w:tcW w:w="9687" w:type="dxa"/>
            <w:shd w:val="clear" w:color="auto" w:fill="auto"/>
          </w:tcPr>
          <w:p w:rsidR="00772406" w:rsidRPr="00403B4F" w:rsidRDefault="00772406" w:rsidP="001A42F8">
            <w:pPr>
              <w:pStyle w:val="ListParagraph"/>
              <w:keepNext/>
              <w:numPr>
                <w:ilvl w:val="0"/>
                <w:numId w:val="173"/>
              </w:numPr>
              <w:spacing w:before="0" w:after="0"/>
              <w:contextualSpacing/>
              <w:outlineLvl w:val="1"/>
              <w:rPr>
                <w:rFonts w:eastAsiaTheme="minorEastAsia"/>
                <w:sz w:val="20"/>
                <w:szCs w:val="20"/>
              </w:rPr>
            </w:pPr>
            <w:bookmarkStart w:id="115" w:name="_Toc6243728"/>
            <w:r w:rsidRPr="00403B4F">
              <w:rPr>
                <w:rFonts w:eastAsiaTheme="minorEastAsia"/>
                <w:b/>
                <w:sz w:val="20"/>
                <w:szCs w:val="20"/>
              </w:rPr>
              <w:lastRenderedPageBreak/>
              <w:t>Malyi Zhemchyzhnyi</w:t>
            </w:r>
            <w:r w:rsidRPr="00403B4F">
              <w:rPr>
                <w:rFonts w:eastAsiaTheme="minorEastAsia"/>
                <w:b/>
                <w:sz w:val="20"/>
                <w:szCs w:val="20"/>
              </w:rPr>
              <w:t>（</w:t>
            </w:r>
            <w:r w:rsidRPr="00403B4F">
              <w:rPr>
                <w:rFonts w:eastAsiaTheme="minorEastAsia"/>
                <w:b/>
                <w:sz w:val="20"/>
                <w:szCs w:val="20"/>
              </w:rPr>
              <w:t>“</w:t>
            </w:r>
            <w:r w:rsidRPr="00403B4F">
              <w:rPr>
                <w:rFonts w:eastAsiaTheme="minorEastAsia"/>
                <w:b/>
                <w:sz w:val="20"/>
                <w:szCs w:val="20"/>
              </w:rPr>
              <w:t>小珍珠</w:t>
            </w:r>
            <w:r w:rsidRPr="00403B4F">
              <w:rPr>
                <w:rFonts w:eastAsiaTheme="minorEastAsia"/>
                <w:b/>
                <w:sz w:val="20"/>
                <w:szCs w:val="20"/>
              </w:rPr>
              <w:t>”</w:t>
            </w:r>
            <w:r w:rsidRPr="00403B4F">
              <w:rPr>
                <w:rFonts w:eastAsiaTheme="minorEastAsia"/>
                <w:b/>
                <w:sz w:val="20"/>
                <w:szCs w:val="20"/>
              </w:rPr>
              <w:t>）岛</w:t>
            </w:r>
            <w:bookmarkEnd w:id="115"/>
          </w:p>
          <w:p w:rsidR="00772406" w:rsidRPr="00403B4F" w:rsidRDefault="00772406" w:rsidP="001A42F8">
            <w:pPr>
              <w:pStyle w:val="ListParagraph"/>
              <w:keepNext/>
              <w:numPr>
                <w:ilvl w:val="0"/>
                <w:numId w:val="168"/>
              </w:numPr>
              <w:spacing w:before="0" w:after="0"/>
              <w:ind w:right="2"/>
              <w:contextualSpacing/>
              <w:outlineLvl w:val="1"/>
              <w:rPr>
                <w:rFonts w:eastAsiaTheme="minorEastAsia"/>
                <w:sz w:val="20"/>
                <w:szCs w:val="20"/>
              </w:rPr>
            </w:pPr>
            <w:bookmarkStart w:id="116" w:name="_Toc6243729"/>
            <w:r w:rsidRPr="00403B4F">
              <w:rPr>
                <w:rFonts w:eastAsiaTheme="minorEastAsia"/>
                <w:sz w:val="20"/>
                <w:szCs w:val="20"/>
              </w:rPr>
              <w:t>位置：位于里海北部的中部，</w:t>
            </w:r>
            <w:r w:rsidRPr="00403B4F">
              <w:rPr>
                <w:rFonts w:eastAsiaTheme="minorEastAsia"/>
                <w:sz w:val="20"/>
                <w:szCs w:val="20"/>
              </w:rPr>
              <w:t>Chistaya Banka</w:t>
            </w:r>
            <w:r w:rsidRPr="00403B4F">
              <w:rPr>
                <w:rFonts w:eastAsiaTheme="minorEastAsia"/>
                <w:sz w:val="20"/>
                <w:szCs w:val="20"/>
              </w:rPr>
              <w:t>岛东南方</w:t>
            </w:r>
            <w:r w:rsidRPr="00403B4F">
              <w:rPr>
                <w:rFonts w:eastAsiaTheme="minorEastAsia"/>
                <w:sz w:val="20"/>
                <w:szCs w:val="20"/>
              </w:rPr>
              <w:t>25</w:t>
            </w:r>
            <w:r w:rsidRPr="00403B4F">
              <w:rPr>
                <w:rFonts w:eastAsiaTheme="minorEastAsia"/>
                <w:sz w:val="20"/>
                <w:szCs w:val="20"/>
              </w:rPr>
              <w:t>公里处。</w:t>
            </w:r>
            <w:bookmarkEnd w:id="116"/>
          </w:p>
          <w:p w:rsidR="00772406" w:rsidRPr="00403B4F" w:rsidRDefault="00772406" w:rsidP="001A42F8">
            <w:pPr>
              <w:pStyle w:val="ListParagraph"/>
              <w:keepNext/>
              <w:numPr>
                <w:ilvl w:val="0"/>
                <w:numId w:val="168"/>
              </w:numPr>
              <w:spacing w:before="0" w:after="0"/>
              <w:ind w:right="2"/>
              <w:contextualSpacing/>
              <w:outlineLvl w:val="1"/>
              <w:rPr>
                <w:rFonts w:eastAsiaTheme="minorEastAsia"/>
                <w:sz w:val="20"/>
                <w:szCs w:val="20"/>
                <w:lang w:eastAsia="zh-CN"/>
              </w:rPr>
            </w:pPr>
            <w:bookmarkStart w:id="117" w:name="_Toc6243730"/>
            <w:r w:rsidRPr="00403B4F">
              <w:rPr>
                <w:rFonts w:eastAsiaTheme="minorEastAsia"/>
                <w:sz w:val="20"/>
                <w:szCs w:val="20"/>
              </w:rPr>
              <w:t>Malyi Zhemchyzhnyi</w:t>
            </w:r>
            <w:r w:rsidRPr="00403B4F">
              <w:rPr>
                <w:rFonts w:eastAsiaTheme="minorEastAsia"/>
                <w:sz w:val="20"/>
                <w:szCs w:val="20"/>
              </w:rPr>
              <w:t>岛是</w:t>
            </w:r>
            <w:r w:rsidRPr="00403B4F">
              <w:rPr>
                <w:rStyle w:val="Emphasis"/>
                <w:rFonts w:eastAsiaTheme="minorEastAsia"/>
                <w:sz w:val="20"/>
                <w:szCs w:val="20"/>
              </w:rPr>
              <w:t>鸻形目</w:t>
            </w:r>
            <w:r w:rsidRPr="00403B4F">
              <w:rPr>
                <w:rFonts w:eastAsiaTheme="minorEastAsia"/>
                <w:sz w:val="20"/>
                <w:szCs w:val="20"/>
              </w:rPr>
              <w:t>鸟类包括《俄罗斯联邦红皮书》所列里海北部渔鸥（</w:t>
            </w:r>
            <w:r w:rsidRPr="00403B4F">
              <w:rPr>
                <w:rFonts w:eastAsiaTheme="minorEastAsia"/>
                <w:sz w:val="20"/>
                <w:szCs w:val="20"/>
              </w:rPr>
              <w:t>Larus ichthyaetus</w:t>
            </w:r>
            <w:r w:rsidRPr="00403B4F">
              <w:rPr>
                <w:rFonts w:eastAsiaTheme="minorEastAsia"/>
                <w:sz w:val="20"/>
                <w:szCs w:val="20"/>
              </w:rPr>
              <w:t>）和</w:t>
            </w:r>
            <w:r w:rsidRPr="00403B4F">
              <w:rPr>
                <w:rStyle w:val="st"/>
                <w:rFonts w:eastAsiaTheme="minorEastAsia"/>
                <w:sz w:val="20"/>
                <w:szCs w:val="20"/>
              </w:rPr>
              <w:t>红嘴巨</w:t>
            </w:r>
            <w:r w:rsidRPr="00403B4F">
              <w:rPr>
                <w:rFonts w:eastAsiaTheme="minorEastAsia"/>
                <w:sz w:val="20"/>
                <w:szCs w:val="20"/>
              </w:rPr>
              <w:t>鸥（</w:t>
            </w:r>
            <w:r w:rsidRPr="00403B4F">
              <w:rPr>
                <w:rFonts w:eastAsiaTheme="minorEastAsia"/>
                <w:sz w:val="20"/>
                <w:szCs w:val="20"/>
              </w:rPr>
              <w:t>Sterna caspia</w:t>
            </w:r>
            <w:r w:rsidRPr="00403B4F">
              <w:rPr>
                <w:rFonts w:eastAsiaTheme="minorEastAsia"/>
                <w:sz w:val="20"/>
                <w:szCs w:val="20"/>
              </w:rPr>
              <w:t>）的最大筑巢区。春季大量里海海豹（</w:t>
            </w:r>
            <w:r w:rsidRPr="00403B4F">
              <w:rPr>
                <w:rFonts w:eastAsiaTheme="minorEastAsia"/>
                <w:sz w:val="20"/>
                <w:szCs w:val="20"/>
              </w:rPr>
              <w:t>Phoca caspica</w:t>
            </w:r>
            <w:r w:rsidRPr="00403B4F">
              <w:rPr>
                <w:rFonts w:eastAsiaTheme="minorEastAsia"/>
                <w:sz w:val="20"/>
                <w:szCs w:val="20"/>
              </w:rPr>
              <w:t>）在这里聚居。</w:t>
            </w:r>
            <w:r w:rsidRPr="00403B4F">
              <w:rPr>
                <w:rFonts w:eastAsiaTheme="minorEastAsia"/>
                <w:sz w:val="20"/>
                <w:szCs w:val="20"/>
                <w:lang w:eastAsia="zh-CN"/>
              </w:rPr>
              <w:t>邻近水域是鱼类特别是幼鱼（欧洲鳇、</w:t>
            </w:r>
            <w:r w:rsidRPr="00403B4F">
              <w:rPr>
                <w:rStyle w:val="st"/>
                <w:rFonts w:eastAsiaTheme="minorEastAsia"/>
                <w:sz w:val="20"/>
                <w:szCs w:val="20"/>
                <w:lang w:eastAsia="zh-CN"/>
              </w:rPr>
              <w:t>俄罗斯鲟、闪光鲟</w:t>
            </w:r>
            <w:r w:rsidRPr="00403B4F">
              <w:rPr>
                <w:rFonts w:eastAsiaTheme="minorEastAsia"/>
                <w:sz w:val="20"/>
                <w:szCs w:val="20"/>
                <w:lang w:eastAsia="zh-CN"/>
              </w:rPr>
              <w:t>）的重要摄食地。</w:t>
            </w:r>
            <w:bookmarkEnd w:id="117"/>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L</w:t>
            </w:r>
          </w:p>
        </w:tc>
        <w:tc>
          <w:tcPr>
            <w:tcW w:w="507"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r>
      <w:tr w:rsidR="00772406" w:rsidRPr="00403B4F" w:rsidTr="00772406">
        <w:trPr>
          <w:cantSplit/>
        </w:trPr>
        <w:tc>
          <w:tcPr>
            <w:tcW w:w="9687" w:type="dxa"/>
            <w:shd w:val="clear" w:color="auto" w:fill="auto"/>
          </w:tcPr>
          <w:p w:rsidR="00772406" w:rsidRPr="00403B4F" w:rsidRDefault="00772406" w:rsidP="001A42F8">
            <w:pPr>
              <w:pStyle w:val="ListParagraph"/>
              <w:keepNext/>
              <w:numPr>
                <w:ilvl w:val="0"/>
                <w:numId w:val="173"/>
              </w:numPr>
              <w:spacing w:before="0" w:after="0"/>
              <w:contextualSpacing/>
              <w:outlineLvl w:val="1"/>
              <w:rPr>
                <w:rFonts w:eastAsiaTheme="minorEastAsia"/>
                <w:b/>
                <w:sz w:val="20"/>
                <w:szCs w:val="20"/>
              </w:rPr>
            </w:pPr>
            <w:bookmarkStart w:id="118" w:name="_Toc6243731"/>
            <w:r w:rsidRPr="00403B4F">
              <w:rPr>
                <w:rFonts w:eastAsiaTheme="minorEastAsia"/>
                <w:b/>
                <w:sz w:val="20"/>
                <w:szCs w:val="20"/>
              </w:rPr>
              <w:t>伏尔加河河口前区</w:t>
            </w:r>
            <w:bookmarkEnd w:id="118"/>
          </w:p>
          <w:p w:rsidR="00772406" w:rsidRPr="00403B4F" w:rsidRDefault="00772406" w:rsidP="001A42F8">
            <w:pPr>
              <w:pStyle w:val="ListParagraph"/>
              <w:keepNext/>
              <w:numPr>
                <w:ilvl w:val="0"/>
                <w:numId w:val="137"/>
              </w:numPr>
              <w:spacing w:before="0" w:after="0"/>
              <w:ind w:left="395"/>
              <w:contextualSpacing/>
              <w:outlineLvl w:val="1"/>
              <w:rPr>
                <w:rFonts w:eastAsiaTheme="minorEastAsia"/>
                <w:sz w:val="20"/>
                <w:szCs w:val="20"/>
                <w:lang w:eastAsia="zh-CN"/>
              </w:rPr>
            </w:pPr>
            <w:bookmarkStart w:id="119" w:name="_Toc6243732"/>
            <w:r w:rsidRPr="00403B4F">
              <w:rPr>
                <w:rFonts w:eastAsiaTheme="minorEastAsia"/>
                <w:sz w:val="20"/>
                <w:szCs w:val="20"/>
                <w:lang w:eastAsia="zh-CN"/>
              </w:rPr>
              <w:t>位置：该区包括伏尔加河三角洲下游区和伏尔加河河口前区。其北部边界就是伏尔加三角洲湿地的北部边界，沿芦苇带边界至</w:t>
            </w:r>
            <w:r w:rsidRPr="00403B4F">
              <w:rPr>
                <w:rFonts w:eastAsiaTheme="minorEastAsia"/>
                <w:sz w:val="20"/>
                <w:szCs w:val="20"/>
                <w:lang w:eastAsia="zh-CN"/>
              </w:rPr>
              <w:t>Ganyushkinsky channel</w:t>
            </w:r>
            <w:r w:rsidRPr="00403B4F">
              <w:rPr>
                <w:rFonts w:eastAsiaTheme="minorEastAsia"/>
                <w:sz w:val="20"/>
                <w:szCs w:val="20"/>
                <w:lang w:eastAsia="zh-CN"/>
              </w:rPr>
              <w:t>。该区覆盖</w:t>
            </w:r>
            <w:r w:rsidRPr="00403B4F">
              <w:rPr>
                <w:rFonts w:eastAsiaTheme="minorEastAsia"/>
                <w:sz w:val="20"/>
                <w:szCs w:val="20"/>
                <w:lang w:eastAsia="zh-CN"/>
              </w:rPr>
              <w:t>5</w:t>
            </w:r>
            <w:r w:rsidRPr="00403B4F">
              <w:rPr>
                <w:rFonts w:eastAsiaTheme="minorEastAsia"/>
                <w:sz w:val="20"/>
                <w:szCs w:val="20"/>
                <w:lang w:eastAsia="zh-CN"/>
              </w:rPr>
              <w:t>米等深线海域。</w:t>
            </w:r>
            <w:bookmarkEnd w:id="119"/>
          </w:p>
          <w:p w:rsidR="00772406" w:rsidRPr="00403B4F" w:rsidRDefault="00772406" w:rsidP="001A42F8">
            <w:pPr>
              <w:pStyle w:val="ListParagraph"/>
              <w:keepNext/>
              <w:numPr>
                <w:ilvl w:val="0"/>
                <w:numId w:val="137"/>
              </w:numPr>
              <w:spacing w:before="0" w:after="0"/>
              <w:ind w:left="395"/>
              <w:contextualSpacing/>
              <w:outlineLvl w:val="1"/>
              <w:rPr>
                <w:rFonts w:eastAsiaTheme="minorEastAsia"/>
                <w:sz w:val="20"/>
                <w:szCs w:val="20"/>
                <w:lang w:eastAsia="zh-CN"/>
              </w:rPr>
            </w:pPr>
            <w:bookmarkStart w:id="120" w:name="_Toc6243733"/>
            <w:r w:rsidRPr="00403B4F">
              <w:rPr>
                <w:rFonts w:eastAsiaTheme="minorEastAsia"/>
                <w:sz w:val="20"/>
                <w:szCs w:val="20"/>
                <w:lang w:eastAsia="zh-CN"/>
              </w:rPr>
              <w:t>该区是欧洲独特自然生态系统和最大三角洲伏尔加河三角洲的一部分。伏尔加河三角洲位于里海低地，低于海平面</w:t>
            </w:r>
            <w:r w:rsidRPr="00403B4F">
              <w:rPr>
                <w:rFonts w:eastAsiaTheme="minorEastAsia"/>
                <w:sz w:val="20"/>
                <w:szCs w:val="20"/>
                <w:lang w:eastAsia="zh-CN"/>
              </w:rPr>
              <w:t>24</w:t>
            </w:r>
            <w:r w:rsidRPr="00403B4F">
              <w:rPr>
                <w:rFonts w:eastAsiaTheme="minorEastAsia"/>
                <w:sz w:val="20"/>
                <w:szCs w:val="20"/>
                <w:lang w:eastAsia="zh-CN"/>
              </w:rPr>
              <w:t>至</w:t>
            </w:r>
            <w:r w:rsidRPr="00403B4F">
              <w:rPr>
                <w:rFonts w:eastAsiaTheme="minorEastAsia"/>
                <w:sz w:val="20"/>
                <w:szCs w:val="20"/>
                <w:lang w:eastAsia="zh-CN"/>
              </w:rPr>
              <w:t>27</w:t>
            </w:r>
            <w:r w:rsidRPr="00403B4F">
              <w:rPr>
                <w:rFonts w:eastAsiaTheme="minorEastAsia"/>
                <w:sz w:val="20"/>
                <w:szCs w:val="20"/>
                <w:lang w:eastAsia="zh-CN"/>
              </w:rPr>
              <w:t>米。该区对维持某些全球性重要物种，主要是水禽和其他水生和半水生鸟类，发挥着特殊作用。它是从西西伯利亚到东欧两个鸟类飞行路线的重要节点。该区记录到</w:t>
            </w:r>
            <w:r w:rsidRPr="00403B4F">
              <w:rPr>
                <w:rFonts w:eastAsiaTheme="minorEastAsia"/>
                <w:sz w:val="20"/>
                <w:szCs w:val="20"/>
                <w:lang w:eastAsia="zh-CN"/>
              </w:rPr>
              <w:t>300</w:t>
            </w:r>
            <w:r w:rsidRPr="00403B4F">
              <w:rPr>
                <w:rFonts w:eastAsiaTheme="minorEastAsia"/>
                <w:sz w:val="20"/>
                <w:szCs w:val="20"/>
                <w:lang w:eastAsia="zh-CN"/>
              </w:rPr>
              <w:t>多种鸟类。是珍稀鸟类如白鹤（</w:t>
            </w:r>
            <w:r w:rsidRPr="00403B4F">
              <w:rPr>
                <w:rFonts w:eastAsiaTheme="minorEastAsia"/>
                <w:i/>
                <w:sz w:val="20"/>
                <w:szCs w:val="20"/>
                <w:lang w:eastAsia="zh-CN"/>
              </w:rPr>
              <w:t>Leucogeranus leucogeranus</w:t>
            </w:r>
            <w:r w:rsidRPr="00403B4F">
              <w:rPr>
                <w:rFonts w:eastAsiaTheme="minorEastAsia"/>
                <w:sz w:val="20"/>
                <w:szCs w:val="20"/>
                <w:lang w:eastAsia="zh-CN"/>
              </w:rPr>
              <w:t>）、白尾海雕（</w:t>
            </w:r>
            <w:r w:rsidRPr="00403B4F">
              <w:rPr>
                <w:rFonts w:eastAsiaTheme="minorEastAsia"/>
                <w:i/>
                <w:sz w:val="20"/>
                <w:szCs w:val="20"/>
                <w:lang w:eastAsia="zh-CN"/>
              </w:rPr>
              <w:t>Haliaeetus albicilla</w:t>
            </w:r>
            <w:r w:rsidRPr="00403B4F">
              <w:rPr>
                <w:rFonts w:eastAsiaTheme="minorEastAsia"/>
                <w:sz w:val="20"/>
                <w:szCs w:val="20"/>
                <w:lang w:eastAsia="zh-CN"/>
              </w:rPr>
              <w:t>）、卷羽鹈鹕（</w:t>
            </w:r>
            <w:r w:rsidRPr="00403B4F">
              <w:rPr>
                <w:rFonts w:eastAsiaTheme="minorEastAsia"/>
                <w:i/>
                <w:sz w:val="20"/>
                <w:szCs w:val="20"/>
                <w:lang w:eastAsia="zh-CN"/>
              </w:rPr>
              <w:t>Pelecanus crispus</w:t>
            </w:r>
            <w:r w:rsidRPr="00403B4F">
              <w:rPr>
                <w:rFonts w:eastAsiaTheme="minorEastAsia"/>
                <w:sz w:val="20"/>
                <w:szCs w:val="20"/>
                <w:lang w:eastAsia="zh-CN"/>
              </w:rPr>
              <w:t>）以及许多常见物种（如白骨顶鸡、灰鹅、鸭）的重要栖息区。是</w:t>
            </w:r>
            <w:r w:rsidRPr="00403B4F">
              <w:rPr>
                <w:rFonts w:eastAsiaTheme="minorEastAsia"/>
                <w:sz w:val="20"/>
                <w:szCs w:val="20"/>
                <w:lang w:eastAsia="zh-CN"/>
              </w:rPr>
              <w:t>60</w:t>
            </w:r>
            <w:r w:rsidRPr="00403B4F">
              <w:rPr>
                <w:rFonts w:eastAsiaTheme="minorEastAsia"/>
                <w:sz w:val="20"/>
                <w:szCs w:val="20"/>
                <w:lang w:eastAsia="zh-CN"/>
              </w:rPr>
              <w:t>多种鱼类的繁殖、觅食和栖息地。大规模产卵洄游期间，里海北部半溯河和溯河鱼类种群进入三角洲，鱼类区系密度极高。该区是鲟鱼（欧洲鳇、</w:t>
            </w:r>
            <w:r w:rsidRPr="00403B4F">
              <w:rPr>
                <w:rStyle w:val="st"/>
                <w:rFonts w:eastAsiaTheme="minorEastAsia"/>
                <w:sz w:val="20"/>
                <w:szCs w:val="20"/>
                <w:lang w:eastAsia="zh-CN"/>
              </w:rPr>
              <w:t>俄罗斯鲟、闪光鲟、里海鲟、裸腹鲟</w:t>
            </w:r>
            <w:r w:rsidRPr="00403B4F">
              <w:rPr>
                <w:rFonts w:eastAsiaTheme="minorEastAsia"/>
                <w:sz w:val="20"/>
                <w:szCs w:val="20"/>
                <w:lang w:eastAsia="zh-CN"/>
              </w:rPr>
              <w:t>）和里海七鳃鳗（</w:t>
            </w:r>
            <w:r w:rsidRPr="00403B4F">
              <w:rPr>
                <w:rFonts w:eastAsiaTheme="minorEastAsia"/>
                <w:sz w:val="20"/>
                <w:szCs w:val="20"/>
                <w:lang w:eastAsia="zh-CN"/>
              </w:rPr>
              <w:t>Caspiomyzon wagneri</w:t>
            </w:r>
            <w:r w:rsidRPr="00403B4F">
              <w:rPr>
                <w:rFonts w:eastAsiaTheme="minorEastAsia"/>
                <w:sz w:val="20"/>
                <w:szCs w:val="20"/>
                <w:lang w:eastAsia="zh-CN"/>
              </w:rPr>
              <w:t>）等濒危物种的产卵洄游之家。</w:t>
            </w:r>
            <w:bookmarkEnd w:id="120"/>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H</w:t>
            </w:r>
          </w:p>
        </w:tc>
        <w:tc>
          <w:tcPr>
            <w:tcW w:w="506"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c>
          <w:tcPr>
            <w:tcW w:w="507" w:type="dxa"/>
            <w:vAlign w:val="center"/>
          </w:tcPr>
          <w:p w:rsidR="00772406" w:rsidRPr="00403B4F" w:rsidRDefault="00772406" w:rsidP="00403B4F">
            <w:pPr>
              <w:snapToGrid w:val="0"/>
              <w:spacing w:before="0" w:after="0"/>
              <w:jc w:val="center"/>
              <w:rPr>
                <w:rFonts w:eastAsiaTheme="minorEastAsia"/>
                <w:color w:val="000000"/>
              </w:rPr>
            </w:pPr>
            <w:r w:rsidRPr="00403B4F">
              <w:rPr>
                <w:rFonts w:eastAsiaTheme="minorEastAsia"/>
                <w:color w:val="000000"/>
              </w:rPr>
              <w:t>M</w:t>
            </w:r>
          </w:p>
        </w:tc>
      </w:tr>
    </w:tbl>
    <w:p w:rsidR="00772406" w:rsidRPr="00C7353E" w:rsidRDefault="00772406" w:rsidP="00C7353E">
      <w:pPr>
        <w:pStyle w:val="Header"/>
        <w:spacing w:before="0"/>
        <w:ind w:firstLine="0"/>
        <w:jc w:val="left"/>
        <w:outlineLvl w:val="3"/>
        <w:rPr>
          <w:rFonts w:ascii="KaiTi" w:eastAsia="KaiTi" w:hAnsi="KaiTi"/>
          <w:lang w:eastAsia="zh-CN"/>
        </w:rPr>
      </w:pPr>
      <w:r w:rsidRPr="00403B4F">
        <w:rPr>
          <w:rFonts w:eastAsiaTheme="minorEastAsia"/>
          <w:i/>
          <w:highlight w:val="yellow"/>
          <w:lang w:eastAsia="zh-CN"/>
        </w:rPr>
        <w:br w:type="page"/>
      </w:r>
      <w:r w:rsidRPr="00403B4F">
        <w:rPr>
          <w:rFonts w:eastAsiaTheme="minorEastAsia"/>
          <w:b/>
          <w:lang w:eastAsia="zh-CN"/>
        </w:rPr>
        <w:lastRenderedPageBreak/>
        <w:t>表</w:t>
      </w:r>
      <w:r w:rsidRPr="00403B4F">
        <w:rPr>
          <w:rFonts w:eastAsiaTheme="minorEastAsia"/>
          <w:b/>
          <w:lang w:eastAsia="zh-CN"/>
        </w:rPr>
        <w:t xml:space="preserve">2. </w:t>
      </w:r>
      <w:r w:rsidRPr="00403B4F">
        <w:rPr>
          <w:rFonts w:eastAsiaTheme="minorEastAsia"/>
          <w:b/>
          <w:lang w:eastAsia="zh-CN"/>
        </w:rPr>
        <w:t>对波罗的海符合具有重要生态或生物意义的海洋区域标准的区域的描述</w:t>
      </w:r>
      <w:r w:rsidRPr="00403B4F">
        <w:rPr>
          <w:rFonts w:eastAsiaTheme="minorEastAsia"/>
          <w:lang w:eastAsia="zh-CN"/>
        </w:rPr>
        <w:br/>
      </w:r>
      <w:r w:rsidRPr="00C7353E">
        <w:rPr>
          <w:rFonts w:ascii="KaiTi" w:eastAsia="KaiTi" w:hAnsi="KaiTi"/>
          <w:lang w:eastAsia="zh-CN"/>
        </w:rPr>
        <w:t>（详细资料载于促进描述波罗的海具有重要生态或生物意义的海洋区域的区域讲习班报告（</w:t>
      </w:r>
      <w:r w:rsidRPr="00C7353E">
        <w:rPr>
          <w:rFonts w:ascii="KaiTi" w:eastAsia="KaiTi" w:hAnsi="KaiTi"/>
          <w:kern w:val="22"/>
          <w:lang w:eastAsia="zh-CN"/>
        </w:rPr>
        <w:t>CBD/EBSA/WS/2018/1/4</w:t>
      </w:r>
      <w:r w:rsidRPr="00C7353E">
        <w:rPr>
          <w:rFonts w:ascii="KaiTi" w:eastAsia="KaiTi" w:hAnsi="KaiTi"/>
          <w:lang w:eastAsia="zh-CN"/>
        </w:rPr>
        <w:t>）附件七的附录）</w:t>
      </w:r>
    </w:p>
    <w:tbl>
      <w:tblPr>
        <w:tblW w:w="132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687"/>
        <w:gridCol w:w="506"/>
        <w:gridCol w:w="506"/>
        <w:gridCol w:w="506"/>
        <w:gridCol w:w="506"/>
        <w:gridCol w:w="506"/>
        <w:gridCol w:w="506"/>
        <w:gridCol w:w="507"/>
      </w:tblGrid>
      <w:tr w:rsidR="00772406" w:rsidRPr="00403B4F" w:rsidTr="00772406">
        <w:trPr>
          <w:trHeight w:val="264"/>
          <w:tblHeader/>
        </w:trPr>
        <w:tc>
          <w:tcPr>
            <w:tcW w:w="9687" w:type="dxa"/>
            <w:vMerge w:val="restart"/>
            <w:shd w:val="clear" w:color="auto" w:fill="auto"/>
          </w:tcPr>
          <w:p w:rsidR="00772406" w:rsidRPr="00403B4F" w:rsidRDefault="00772406" w:rsidP="00403B4F">
            <w:pPr>
              <w:snapToGrid w:val="0"/>
              <w:spacing w:before="0" w:after="0"/>
              <w:jc w:val="center"/>
              <w:rPr>
                <w:rFonts w:eastAsiaTheme="minorEastAsia"/>
              </w:rPr>
            </w:pPr>
            <w:r w:rsidRPr="00403B4F">
              <w:rPr>
                <w:rFonts w:eastAsiaTheme="minorEastAsia"/>
              </w:rPr>
              <w:t>区域位置及简要描述</w:t>
            </w:r>
          </w:p>
          <w:p w:rsidR="00772406" w:rsidRPr="00403B4F" w:rsidRDefault="00772406" w:rsidP="00403B4F">
            <w:pPr>
              <w:snapToGrid w:val="0"/>
              <w:spacing w:before="0" w:after="0"/>
              <w:jc w:val="center"/>
              <w:rPr>
                <w:rFonts w:eastAsiaTheme="minorEastAsia"/>
                <w:b/>
              </w:rPr>
            </w:pPr>
          </w:p>
        </w:tc>
        <w:tc>
          <w:tcPr>
            <w:tcW w:w="506" w:type="dxa"/>
          </w:tcPr>
          <w:p w:rsidR="00772406" w:rsidRPr="00403B4F" w:rsidRDefault="00772406" w:rsidP="00403B4F">
            <w:pPr>
              <w:snapToGrid w:val="0"/>
              <w:spacing w:before="0" w:after="0"/>
              <w:jc w:val="center"/>
              <w:rPr>
                <w:rFonts w:eastAsiaTheme="minorEastAsia"/>
                <w:b/>
              </w:rPr>
            </w:pPr>
            <w:r w:rsidRPr="00403B4F">
              <w:rPr>
                <w:rFonts w:eastAsiaTheme="minorEastAsia"/>
                <w:b/>
              </w:rPr>
              <w:t>C1</w:t>
            </w:r>
          </w:p>
        </w:tc>
        <w:tc>
          <w:tcPr>
            <w:tcW w:w="506" w:type="dxa"/>
          </w:tcPr>
          <w:p w:rsidR="00772406" w:rsidRPr="00403B4F" w:rsidRDefault="00772406" w:rsidP="00403B4F">
            <w:pPr>
              <w:snapToGrid w:val="0"/>
              <w:spacing w:before="0" w:after="0"/>
              <w:jc w:val="center"/>
              <w:rPr>
                <w:rFonts w:eastAsiaTheme="minorEastAsia"/>
                <w:b/>
              </w:rPr>
            </w:pPr>
            <w:r w:rsidRPr="00403B4F">
              <w:rPr>
                <w:rFonts w:eastAsiaTheme="minorEastAsia"/>
                <w:b/>
              </w:rPr>
              <w:t>C2</w:t>
            </w:r>
          </w:p>
        </w:tc>
        <w:tc>
          <w:tcPr>
            <w:tcW w:w="506" w:type="dxa"/>
          </w:tcPr>
          <w:p w:rsidR="00772406" w:rsidRPr="00403B4F" w:rsidRDefault="00772406" w:rsidP="00403B4F">
            <w:pPr>
              <w:snapToGrid w:val="0"/>
              <w:spacing w:before="0" w:after="0"/>
              <w:jc w:val="center"/>
              <w:rPr>
                <w:rFonts w:eastAsiaTheme="minorEastAsia"/>
                <w:b/>
              </w:rPr>
            </w:pPr>
            <w:r w:rsidRPr="00403B4F">
              <w:rPr>
                <w:rFonts w:eastAsiaTheme="minorEastAsia"/>
                <w:b/>
              </w:rPr>
              <w:t>C3</w:t>
            </w:r>
          </w:p>
        </w:tc>
        <w:tc>
          <w:tcPr>
            <w:tcW w:w="506" w:type="dxa"/>
          </w:tcPr>
          <w:p w:rsidR="00772406" w:rsidRPr="00403B4F" w:rsidRDefault="00772406" w:rsidP="00403B4F">
            <w:pPr>
              <w:snapToGrid w:val="0"/>
              <w:spacing w:before="0" w:after="0"/>
              <w:jc w:val="center"/>
              <w:rPr>
                <w:rFonts w:eastAsiaTheme="minorEastAsia"/>
                <w:b/>
              </w:rPr>
            </w:pPr>
            <w:r w:rsidRPr="00403B4F">
              <w:rPr>
                <w:rFonts w:eastAsiaTheme="minorEastAsia"/>
                <w:b/>
              </w:rPr>
              <w:t>C4</w:t>
            </w:r>
          </w:p>
        </w:tc>
        <w:tc>
          <w:tcPr>
            <w:tcW w:w="506" w:type="dxa"/>
          </w:tcPr>
          <w:p w:rsidR="00772406" w:rsidRPr="00403B4F" w:rsidRDefault="00772406" w:rsidP="00403B4F">
            <w:pPr>
              <w:snapToGrid w:val="0"/>
              <w:spacing w:before="0" w:after="0"/>
              <w:jc w:val="center"/>
              <w:rPr>
                <w:rFonts w:eastAsiaTheme="minorEastAsia"/>
                <w:b/>
              </w:rPr>
            </w:pPr>
            <w:r w:rsidRPr="00403B4F">
              <w:rPr>
                <w:rFonts w:eastAsiaTheme="minorEastAsia"/>
                <w:b/>
              </w:rPr>
              <w:t>C5</w:t>
            </w:r>
          </w:p>
        </w:tc>
        <w:tc>
          <w:tcPr>
            <w:tcW w:w="506" w:type="dxa"/>
          </w:tcPr>
          <w:p w:rsidR="00772406" w:rsidRPr="00403B4F" w:rsidRDefault="00772406" w:rsidP="00403B4F">
            <w:pPr>
              <w:snapToGrid w:val="0"/>
              <w:spacing w:before="0" w:after="0"/>
              <w:jc w:val="center"/>
              <w:rPr>
                <w:rFonts w:eastAsiaTheme="minorEastAsia"/>
                <w:b/>
              </w:rPr>
            </w:pPr>
            <w:r w:rsidRPr="00403B4F">
              <w:rPr>
                <w:rFonts w:eastAsiaTheme="minorEastAsia"/>
                <w:b/>
              </w:rPr>
              <w:t>C6</w:t>
            </w:r>
          </w:p>
        </w:tc>
        <w:tc>
          <w:tcPr>
            <w:tcW w:w="507" w:type="dxa"/>
          </w:tcPr>
          <w:p w:rsidR="00772406" w:rsidRPr="00403B4F" w:rsidRDefault="00772406" w:rsidP="00403B4F">
            <w:pPr>
              <w:snapToGrid w:val="0"/>
              <w:spacing w:before="0" w:after="0"/>
              <w:jc w:val="center"/>
              <w:rPr>
                <w:rFonts w:eastAsiaTheme="minorEastAsia"/>
                <w:b/>
              </w:rPr>
            </w:pPr>
            <w:r w:rsidRPr="00403B4F">
              <w:rPr>
                <w:rFonts w:eastAsiaTheme="minorEastAsia"/>
                <w:b/>
              </w:rPr>
              <w:t>C7</w:t>
            </w:r>
          </w:p>
        </w:tc>
      </w:tr>
      <w:tr w:rsidR="00772406" w:rsidRPr="00403B4F" w:rsidTr="00772406">
        <w:trPr>
          <w:trHeight w:val="264"/>
          <w:tblHeader/>
        </w:trPr>
        <w:tc>
          <w:tcPr>
            <w:tcW w:w="9687" w:type="dxa"/>
            <w:vMerge/>
            <w:shd w:val="clear" w:color="auto" w:fill="auto"/>
          </w:tcPr>
          <w:p w:rsidR="00772406" w:rsidRPr="00403B4F" w:rsidRDefault="00772406" w:rsidP="00403B4F">
            <w:pPr>
              <w:snapToGrid w:val="0"/>
              <w:spacing w:before="0" w:after="0"/>
              <w:jc w:val="center"/>
              <w:rPr>
                <w:rFonts w:eastAsiaTheme="minorEastAsia"/>
                <w:b/>
              </w:rPr>
            </w:pPr>
          </w:p>
        </w:tc>
        <w:tc>
          <w:tcPr>
            <w:tcW w:w="3543" w:type="dxa"/>
            <w:gridSpan w:val="7"/>
          </w:tcPr>
          <w:p w:rsidR="00772406" w:rsidRPr="00403B4F" w:rsidRDefault="00772406" w:rsidP="00403B4F">
            <w:pPr>
              <w:snapToGrid w:val="0"/>
              <w:spacing w:before="0" w:after="0"/>
              <w:jc w:val="center"/>
              <w:rPr>
                <w:rFonts w:eastAsiaTheme="minorEastAsia"/>
                <w:b/>
              </w:rPr>
            </w:pPr>
            <w:r w:rsidRPr="00403B4F">
              <w:rPr>
                <w:rFonts w:eastAsiaTheme="minorEastAsia"/>
                <w:sz w:val="20"/>
              </w:rPr>
              <w:t>见上文表格图例</w:t>
            </w:r>
          </w:p>
        </w:tc>
      </w:tr>
      <w:tr w:rsidR="00772406" w:rsidRPr="00403B4F" w:rsidTr="00772406">
        <w:tc>
          <w:tcPr>
            <w:tcW w:w="9687" w:type="dxa"/>
            <w:shd w:val="clear" w:color="auto" w:fill="auto"/>
          </w:tcPr>
          <w:p w:rsidR="00772406" w:rsidRPr="00403B4F" w:rsidRDefault="00772406" w:rsidP="001A42F8">
            <w:pPr>
              <w:pStyle w:val="ListParagraph"/>
              <w:numPr>
                <w:ilvl w:val="0"/>
                <w:numId w:val="174"/>
              </w:numPr>
              <w:spacing w:before="0" w:after="0"/>
              <w:contextualSpacing/>
              <w:rPr>
                <w:rFonts w:eastAsiaTheme="minorEastAsia"/>
                <w:sz w:val="20"/>
                <w:szCs w:val="20"/>
              </w:rPr>
            </w:pPr>
            <w:r w:rsidRPr="00403B4F">
              <w:rPr>
                <w:rFonts w:eastAsiaTheme="minorEastAsia"/>
                <w:b/>
                <w:sz w:val="20"/>
                <w:szCs w:val="20"/>
              </w:rPr>
              <w:t>北波的尼亚湾</w:t>
            </w:r>
          </w:p>
          <w:p w:rsidR="00772406" w:rsidRPr="00403B4F" w:rsidRDefault="00772406" w:rsidP="001A42F8">
            <w:pPr>
              <w:pStyle w:val="ListParagraph"/>
              <w:numPr>
                <w:ilvl w:val="0"/>
                <w:numId w:val="169"/>
              </w:numPr>
              <w:spacing w:before="0" w:after="0"/>
              <w:contextualSpacing/>
              <w:rPr>
                <w:rFonts w:eastAsiaTheme="minorEastAsia"/>
                <w:sz w:val="20"/>
                <w:szCs w:val="20"/>
                <w:lang w:eastAsia="zh-CN"/>
              </w:rPr>
            </w:pPr>
            <w:r w:rsidRPr="00403B4F">
              <w:rPr>
                <w:rFonts w:eastAsiaTheme="minorEastAsia"/>
                <w:sz w:val="20"/>
                <w:szCs w:val="20"/>
                <w:lang w:eastAsia="zh-CN"/>
              </w:rPr>
              <w:t>位置：该区包括波的尼亚湾的北部，总面积</w:t>
            </w:r>
            <w:r w:rsidRPr="00403B4F">
              <w:rPr>
                <w:rFonts w:eastAsiaTheme="minorEastAsia"/>
                <w:sz w:val="20"/>
                <w:szCs w:val="20"/>
                <w:lang w:eastAsia="zh-CN"/>
              </w:rPr>
              <w:t>8,963</w:t>
            </w:r>
            <w:r w:rsidRPr="00403B4F">
              <w:rPr>
                <w:rFonts w:eastAsiaTheme="minorEastAsia"/>
                <w:sz w:val="20"/>
                <w:szCs w:val="20"/>
                <w:lang w:eastAsia="zh-CN"/>
              </w:rPr>
              <w:t>平方公里，海区面积</w:t>
            </w:r>
            <w:r w:rsidRPr="00403B4F">
              <w:rPr>
                <w:rFonts w:eastAsiaTheme="minorEastAsia"/>
                <w:sz w:val="20"/>
                <w:szCs w:val="20"/>
                <w:lang w:eastAsia="zh-CN"/>
              </w:rPr>
              <w:t>8,297</w:t>
            </w:r>
            <w:r w:rsidRPr="00403B4F">
              <w:rPr>
                <w:rFonts w:eastAsiaTheme="minorEastAsia"/>
                <w:sz w:val="20"/>
                <w:szCs w:val="20"/>
                <w:lang w:eastAsia="zh-CN"/>
              </w:rPr>
              <w:t>平方公里。</w:t>
            </w:r>
          </w:p>
          <w:p w:rsidR="00772406" w:rsidRPr="00403B4F" w:rsidRDefault="00772406" w:rsidP="001A42F8">
            <w:pPr>
              <w:pStyle w:val="ListParagraph"/>
              <w:numPr>
                <w:ilvl w:val="0"/>
                <w:numId w:val="169"/>
              </w:numPr>
              <w:spacing w:before="0" w:after="0"/>
              <w:contextualSpacing/>
              <w:rPr>
                <w:rFonts w:eastAsiaTheme="minorEastAsia"/>
                <w:sz w:val="20"/>
                <w:szCs w:val="20"/>
                <w:lang w:eastAsia="zh-CN"/>
              </w:rPr>
            </w:pPr>
            <w:r w:rsidRPr="00403B4F">
              <w:rPr>
                <w:rFonts w:eastAsiaTheme="minorEastAsia"/>
                <w:sz w:val="20"/>
                <w:szCs w:val="20"/>
                <w:lang w:eastAsia="zh-CN"/>
              </w:rPr>
              <w:t>波的尼亚湾是波罗的海的最北端，受四大河流总流量和覆盖芬兰、瑞典拉普兰大部的集水区的影响，这里是波罗的海最微咸水区。海区较浅，海底多是沙子。该区属于北极条件；冬天全区覆盖海冰（</w:t>
            </w:r>
            <w:r w:rsidRPr="00403B4F">
              <w:rPr>
                <w:rFonts w:eastAsiaTheme="minorEastAsia"/>
                <w:sz w:val="20"/>
                <w:szCs w:val="20"/>
                <w:lang w:eastAsia="zh-CN"/>
              </w:rPr>
              <w:t>5-7</w:t>
            </w:r>
            <w:r w:rsidRPr="00403B4F">
              <w:rPr>
                <w:rFonts w:eastAsiaTheme="minorEastAsia"/>
                <w:sz w:val="20"/>
                <w:szCs w:val="20"/>
                <w:lang w:eastAsia="zh-CN"/>
              </w:rPr>
              <w:t>个月），为灰海豹（</w:t>
            </w:r>
            <w:r w:rsidRPr="00403B4F">
              <w:rPr>
                <w:rFonts w:eastAsiaTheme="minorEastAsia"/>
                <w:sz w:val="20"/>
                <w:szCs w:val="20"/>
                <w:lang w:eastAsia="zh-CN"/>
              </w:rPr>
              <w:t>Haliochoerus grypus</w:t>
            </w:r>
            <w:r w:rsidRPr="00403B4F">
              <w:rPr>
                <w:rFonts w:eastAsiaTheme="minorEastAsia"/>
                <w:sz w:val="20"/>
                <w:szCs w:val="20"/>
                <w:lang w:eastAsia="zh-CN"/>
              </w:rPr>
              <w:t>）提供繁殖栖息地，并为环斑海豹（</w:t>
            </w:r>
            <w:r w:rsidRPr="00403B4F">
              <w:rPr>
                <w:rFonts w:eastAsiaTheme="minorEastAsia"/>
                <w:i/>
                <w:sz w:val="20"/>
                <w:szCs w:val="20"/>
                <w:lang w:eastAsia="zh-CN"/>
              </w:rPr>
              <w:t>Pusa hispida botnica</w:t>
            </w:r>
            <w:r w:rsidRPr="00403B4F">
              <w:rPr>
                <w:rFonts w:eastAsiaTheme="minorEastAsia"/>
                <w:sz w:val="20"/>
                <w:szCs w:val="20"/>
                <w:lang w:eastAsia="zh-CN"/>
              </w:rPr>
              <w:t>）筑巢提供先决条件。夏季生产力高，由于河水浑浊，初级生产限于狭窄透光区（</w:t>
            </w:r>
            <w:r w:rsidRPr="00403B4F">
              <w:rPr>
                <w:rFonts w:eastAsiaTheme="minorEastAsia"/>
                <w:sz w:val="20"/>
                <w:szCs w:val="20"/>
                <w:lang w:eastAsia="zh-CN"/>
              </w:rPr>
              <w:t>1-5</w:t>
            </w:r>
            <w:r w:rsidRPr="00403B4F">
              <w:rPr>
                <w:rFonts w:eastAsiaTheme="minorEastAsia"/>
                <w:sz w:val="20"/>
                <w:szCs w:val="20"/>
                <w:lang w:eastAsia="zh-CN"/>
              </w:rPr>
              <w:t>米深）。由于极端的微咸水，海洋物种数量少，但地方特有和受威胁物种的数量很高，因为该区是末次冰川作用（</w:t>
            </w:r>
            <w:r w:rsidRPr="00403B4F">
              <w:rPr>
                <w:rFonts w:eastAsiaTheme="minorEastAsia"/>
                <w:sz w:val="20"/>
                <w:szCs w:val="20"/>
                <w:lang w:eastAsia="zh-CN"/>
              </w:rPr>
              <w:t>10,000 BP</w:t>
            </w:r>
            <w:r w:rsidRPr="00403B4F">
              <w:rPr>
                <w:rFonts w:eastAsiaTheme="minorEastAsia"/>
                <w:sz w:val="20"/>
                <w:szCs w:val="20"/>
                <w:lang w:eastAsia="zh-CN"/>
              </w:rPr>
              <w:t>）后北撤物种的最终避难所。是沿海鱼类的重要繁殖区，几种溯河产卵鱼类的重要聚集地。流入该区的三条河（托尔讷河、卡利克斯河、拉尼亚河）是大西洋鲑鱼（</w:t>
            </w:r>
            <w:r w:rsidRPr="00403B4F">
              <w:rPr>
                <w:rFonts w:eastAsiaTheme="minorEastAsia"/>
                <w:sz w:val="20"/>
                <w:szCs w:val="20"/>
                <w:lang w:eastAsia="zh-CN"/>
              </w:rPr>
              <w:t>Salmo salar</w:t>
            </w:r>
            <w:r w:rsidRPr="00403B4F">
              <w:rPr>
                <w:rFonts w:eastAsiaTheme="minorEastAsia"/>
                <w:sz w:val="20"/>
                <w:szCs w:val="20"/>
                <w:lang w:eastAsia="zh-CN"/>
              </w:rPr>
              <w:t>）的重要产卵地。</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L</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1A42F8">
            <w:pPr>
              <w:pStyle w:val="ListParagraph"/>
              <w:numPr>
                <w:ilvl w:val="0"/>
                <w:numId w:val="174"/>
              </w:numPr>
              <w:suppressAutoHyphens/>
              <w:snapToGrid w:val="0"/>
              <w:spacing w:before="0" w:after="0"/>
              <w:contextualSpacing/>
              <w:rPr>
                <w:rStyle w:val="st"/>
                <w:rFonts w:eastAsiaTheme="minorEastAsia"/>
                <w:b/>
                <w:sz w:val="20"/>
                <w:szCs w:val="20"/>
              </w:rPr>
            </w:pPr>
            <w:r w:rsidRPr="00403B4F">
              <w:rPr>
                <w:rStyle w:val="st"/>
                <w:rFonts w:eastAsiaTheme="minorEastAsia"/>
                <w:b/>
                <w:sz w:val="20"/>
                <w:szCs w:val="20"/>
              </w:rPr>
              <w:t>瓦尔肯群岛</w:t>
            </w:r>
          </w:p>
          <w:p w:rsidR="00772406" w:rsidRPr="00403B4F" w:rsidRDefault="00772406" w:rsidP="001A42F8">
            <w:pPr>
              <w:numPr>
                <w:ilvl w:val="0"/>
                <w:numId w:val="132"/>
              </w:numPr>
              <w:suppressAutoHyphens/>
              <w:snapToGrid w:val="0"/>
              <w:spacing w:before="0" w:after="0"/>
              <w:rPr>
                <w:rFonts w:eastAsiaTheme="minorEastAsia"/>
                <w:i/>
                <w:sz w:val="20"/>
                <w:szCs w:val="20"/>
                <w:lang w:eastAsia="zh-CN"/>
              </w:rPr>
            </w:pPr>
            <w:r w:rsidRPr="00403B4F">
              <w:rPr>
                <w:rFonts w:eastAsiaTheme="minorEastAsia"/>
                <w:sz w:val="20"/>
                <w:szCs w:val="20"/>
                <w:lang w:eastAsia="zh-CN"/>
              </w:rPr>
              <w:t>位置：位于波罗的海北部的波的尼亚湾，总面积</w:t>
            </w:r>
            <w:r w:rsidRPr="00403B4F">
              <w:rPr>
                <w:rFonts w:eastAsiaTheme="minorEastAsia"/>
                <w:sz w:val="20"/>
                <w:szCs w:val="20"/>
                <w:lang w:eastAsia="zh-CN"/>
              </w:rPr>
              <w:t>10,364</w:t>
            </w:r>
            <w:r w:rsidRPr="00403B4F">
              <w:rPr>
                <w:rFonts w:eastAsiaTheme="minorEastAsia"/>
                <w:sz w:val="20"/>
                <w:szCs w:val="20"/>
                <w:lang w:eastAsia="zh-CN"/>
              </w:rPr>
              <w:t>平方公里，海域面积</w:t>
            </w:r>
            <w:r w:rsidRPr="00403B4F">
              <w:rPr>
                <w:rFonts w:eastAsiaTheme="minorEastAsia"/>
                <w:sz w:val="20"/>
                <w:szCs w:val="20"/>
                <w:lang w:eastAsia="zh-CN"/>
              </w:rPr>
              <w:t>9,638</w:t>
            </w:r>
            <w:r w:rsidRPr="00403B4F">
              <w:rPr>
                <w:rFonts w:eastAsiaTheme="minorEastAsia"/>
                <w:sz w:val="20"/>
                <w:szCs w:val="20"/>
                <w:lang w:eastAsia="zh-CN"/>
              </w:rPr>
              <w:t>平方公里。平均深度</w:t>
            </w:r>
            <w:r w:rsidRPr="00403B4F">
              <w:rPr>
                <w:rFonts w:eastAsiaTheme="minorEastAsia"/>
                <w:sz w:val="20"/>
                <w:szCs w:val="20"/>
                <w:lang w:eastAsia="zh-CN"/>
              </w:rPr>
              <w:t>22</w:t>
            </w:r>
            <w:r w:rsidRPr="00403B4F">
              <w:rPr>
                <w:rFonts w:eastAsiaTheme="minorEastAsia"/>
                <w:sz w:val="20"/>
                <w:szCs w:val="20"/>
                <w:lang w:eastAsia="zh-CN"/>
              </w:rPr>
              <w:t>米，最深处</w:t>
            </w:r>
            <w:r w:rsidRPr="00403B4F">
              <w:rPr>
                <w:rFonts w:eastAsiaTheme="minorEastAsia"/>
                <w:sz w:val="20"/>
                <w:szCs w:val="20"/>
                <w:lang w:eastAsia="zh-CN"/>
              </w:rPr>
              <w:t>133</w:t>
            </w:r>
            <w:r w:rsidRPr="00403B4F">
              <w:rPr>
                <w:rFonts w:eastAsiaTheme="minorEastAsia"/>
                <w:sz w:val="20"/>
                <w:szCs w:val="20"/>
                <w:lang w:eastAsia="zh-CN"/>
              </w:rPr>
              <w:t>米。</w:t>
            </w:r>
          </w:p>
          <w:p w:rsidR="00772406" w:rsidRPr="00403B4F" w:rsidRDefault="00772406" w:rsidP="001A42F8">
            <w:pPr>
              <w:numPr>
                <w:ilvl w:val="0"/>
                <w:numId w:val="132"/>
              </w:numPr>
              <w:suppressAutoHyphens/>
              <w:snapToGrid w:val="0"/>
              <w:spacing w:before="0" w:after="0"/>
              <w:rPr>
                <w:rFonts w:eastAsiaTheme="minorEastAsia"/>
                <w:i/>
                <w:lang w:eastAsia="zh-CN"/>
              </w:rPr>
            </w:pPr>
            <w:r w:rsidRPr="00403B4F">
              <w:rPr>
                <w:rStyle w:val="st"/>
                <w:rFonts w:eastAsiaTheme="minorEastAsia"/>
                <w:sz w:val="20"/>
                <w:szCs w:val="20"/>
                <w:lang w:eastAsia="zh-CN"/>
              </w:rPr>
              <w:t>瓦尔肯</w:t>
            </w:r>
            <w:r w:rsidRPr="00403B4F">
              <w:rPr>
                <w:rFonts w:eastAsiaTheme="minorEastAsia"/>
                <w:sz w:val="20"/>
                <w:szCs w:val="20"/>
                <w:lang w:eastAsia="zh-CN"/>
              </w:rPr>
              <w:t>群岛包括瑞典和芬兰之间的一个狭窄（</w:t>
            </w:r>
            <w:r w:rsidRPr="00403B4F">
              <w:rPr>
                <w:rFonts w:eastAsiaTheme="minorEastAsia"/>
                <w:sz w:val="20"/>
                <w:szCs w:val="20"/>
                <w:lang w:eastAsia="zh-CN"/>
              </w:rPr>
              <w:t>26</w:t>
            </w:r>
            <w:r w:rsidRPr="00403B4F">
              <w:rPr>
                <w:rFonts w:eastAsiaTheme="minorEastAsia"/>
                <w:sz w:val="20"/>
                <w:szCs w:val="20"/>
                <w:lang w:eastAsia="zh-CN"/>
              </w:rPr>
              <w:t>公里）海峡以及两边的诸多岛屿和岩礁。</w:t>
            </w:r>
            <w:r w:rsidRPr="00403B4F">
              <w:rPr>
                <w:rStyle w:val="st"/>
                <w:rFonts w:eastAsiaTheme="minorEastAsia"/>
                <w:sz w:val="20"/>
                <w:szCs w:val="20"/>
                <w:lang w:eastAsia="zh-CN"/>
              </w:rPr>
              <w:t>瓦尔肯</w:t>
            </w:r>
            <w:r w:rsidRPr="00403B4F">
              <w:rPr>
                <w:rFonts w:eastAsiaTheme="minorEastAsia"/>
                <w:sz w:val="20"/>
                <w:szCs w:val="20"/>
                <w:lang w:eastAsia="zh-CN"/>
              </w:rPr>
              <w:t>群岛在北边的波的尼亚湾和南边的波的尼亚湾海之间形成了一道浅水水下门槛（最深处</w:t>
            </w:r>
            <w:r w:rsidRPr="00403B4F">
              <w:rPr>
                <w:rFonts w:eastAsiaTheme="minorEastAsia"/>
                <w:sz w:val="20"/>
                <w:szCs w:val="20"/>
                <w:lang w:eastAsia="zh-CN"/>
              </w:rPr>
              <w:t>26</w:t>
            </w:r>
            <w:r w:rsidRPr="00403B4F">
              <w:rPr>
                <w:rFonts w:eastAsiaTheme="minorEastAsia"/>
                <w:sz w:val="20"/>
                <w:szCs w:val="20"/>
                <w:lang w:eastAsia="zh-CN"/>
              </w:rPr>
              <w:t>米），将波的尼亚湾一分为二。该区景观独特，布满末次冰川作用（</w:t>
            </w:r>
            <w:r w:rsidRPr="00403B4F">
              <w:rPr>
                <w:rFonts w:eastAsiaTheme="minorEastAsia"/>
                <w:sz w:val="20"/>
                <w:szCs w:val="20"/>
                <w:lang w:eastAsia="zh-CN"/>
              </w:rPr>
              <w:t>10.000-8.000 BP</w:t>
            </w:r>
            <w:r w:rsidRPr="00403B4F">
              <w:rPr>
                <w:rFonts w:eastAsiaTheme="minorEastAsia"/>
                <w:sz w:val="20"/>
                <w:szCs w:val="20"/>
                <w:lang w:eastAsia="zh-CN"/>
              </w:rPr>
              <w:t>）形成的数千个冰碛。该区处于不断变化之中。持续的等静压地面隆起（每年</w:t>
            </w:r>
            <w:r w:rsidRPr="00403B4F">
              <w:rPr>
                <w:rFonts w:eastAsiaTheme="minorEastAsia"/>
                <w:sz w:val="20"/>
                <w:szCs w:val="20"/>
                <w:lang w:eastAsia="zh-CN"/>
              </w:rPr>
              <w:t>8</w:t>
            </w:r>
            <w:r w:rsidRPr="00403B4F">
              <w:rPr>
                <w:rFonts w:eastAsiaTheme="minorEastAsia"/>
                <w:sz w:val="20"/>
                <w:szCs w:val="20"/>
                <w:lang w:eastAsia="zh-CN"/>
              </w:rPr>
              <w:t>毫米）不断影响所有的群落生境和栖息地，将新的区域带入光带。</w:t>
            </w:r>
            <w:r w:rsidRPr="00403B4F">
              <w:rPr>
                <w:rStyle w:val="st"/>
                <w:rFonts w:eastAsiaTheme="minorEastAsia"/>
                <w:sz w:val="20"/>
                <w:szCs w:val="20"/>
                <w:lang w:eastAsia="zh-CN"/>
              </w:rPr>
              <w:t>瓦尔肯</w:t>
            </w:r>
            <w:r w:rsidRPr="00403B4F">
              <w:rPr>
                <w:rFonts w:eastAsiaTheme="minorEastAsia"/>
                <w:sz w:val="20"/>
                <w:szCs w:val="20"/>
                <w:lang w:eastAsia="zh-CN"/>
              </w:rPr>
              <w:t>群岛是一个过渡带，形成生境的主要水生动植物，北边是淡水物种，到南边就成了海洋物种。相对纬度的盐度变化在波罗的海是最高的。水的持续混合也给生态系统带来生态和进化压力。水浅，基质多样性，加上夏季长达</w:t>
            </w:r>
            <w:r w:rsidRPr="00403B4F">
              <w:rPr>
                <w:rFonts w:eastAsiaTheme="minorEastAsia"/>
                <w:sz w:val="20"/>
                <w:szCs w:val="20"/>
                <w:lang w:eastAsia="zh-CN"/>
              </w:rPr>
              <w:t>20</w:t>
            </w:r>
            <w:r w:rsidRPr="00403B4F">
              <w:rPr>
                <w:rFonts w:eastAsiaTheme="minorEastAsia"/>
                <w:sz w:val="20"/>
                <w:szCs w:val="20"/>
                <w:lang w:eastAsia="zh-CN"/>
              </w:rPr>
              <w:t>小时的光照，使该区生产力很高，对大量鱼类和鸟类物种来说非常重要。</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1A42F8">
            <w:pPr>
              <w:pStyle w:val="ListParagraph"/>
              <w:numPr>
                <w:ilvl w:val="0"/>
                <w:numId w:val="174"/>
              </w:numPr>
              <w:suppressAutoHyphens/>
              <w:spacing w:before="0" w:after="0"/>
              <w:contextualSpacing/>
              <w:rPr>
                <w:rFonts w:eastAsiaTheme="minorEastAsia"/>
                <w:b/>
                <w:sz w:val="20"/>
                <w:szCs w:val="20"/>
                <w:lang w:eastAsia="zh-CN"/>
              </w:rPr>
            </w:pPr>
            <w:r w:rsidRPr="00403B4F">
              <w:rPr>
                <w:rFonts w:eastAsiaTheme="minorEastAsia"/>
                <w:b/>
                <w:sz w:val="20"/>
                <w:szCs w:val="20"/>
                <w:lang w:eastAsia="zh-CN"/>
              </w:rPr>
              <w:t>芬兰奥兰海、奥兰群岛和群岛海</w:t>
            </w:r>
          </w:p>
          <w:p w:rsidR="00772406" w:rsidRPr="00403B4F" w:rsidRDefault="00772406" w:rsidP="001A42F8">
            <w:pPr>
              <w:numPr>
                <w:ilvl w:val="0"/>
                <w:numId w:val="128"/>
              </w:numPr>
              <w:suppressAutoHyphens/>
              <w:spacing w:before="0" w:after="0"/>
              <w:rPr>
                <w:rFonts w:eastAsiaTheme="minorEastAsia"/>
                <w:sz w:val="20"/>
                <w:szCs w:val="20"/>
                <w:lang w:eastAsia="zh-CN"/>
              </w:rPr>
            </w:pPr>
            <w:r w:rsidRPr="00403B4F">
              <w:rPr>
                <w:rFonts w:eastAsiaTheme="minorEastAsia"/>
                <w:sz w:val="20"/>
                <w:szCs w:val="20"/>
                <w:lang w:eastAsia="zh-CN"/>
              </w:rPr>
              <w:t>位置：位于北波罗的海，是波罗的海和波的尼亚湾的分界。西部从瑞典海岸起，横跨奥兰群岛，延伸至东部的芬兰群岛海和汉科半岛。大约宽</w:t>
            </w:r>
            <w:r w:rsidRPr="00403B4F">
              <w:rPr>
                <w:rFonts w:eastAsiaTheme="minorEastAsia"/>
                <w:sz w:val="20"/>
                <w:szCs w:val="20"/>
                <w:lang w:eastAsia="zh-CN"/>
              </w:rPr>
              <w:t>375</w:t>
            </w:r>
            <w:r w:rsidRPr="00403B4F">
              <w:rPr>
                <w:rFonts w:eastAsiaTheme="minorEastAsia"/>
                <w:sz w:val="20"/>
                <w:szCs w:val="20"/>
                <w:lang w:eastAsia="zh-CN"/>
              </w:rPr>
              <w:t>公里，长</w:t>
            </w:r>
            <w:r w:rsidRPr="00403B4F">
              <w:rPr>
                <w:rFonts w:eastAsiaTheme="minorEastAsia"/>
                <w:sz w:val="20"/>
                <w:szCs w:val="20"/>
                <w:lang w:eastAsia="zh-CN"/>
              </w:rPr>
              <w:t>100</w:t>
            </w:r>
            <w:r w:rsidRPr="00403B4F">
              <w:rPr>
                <w:rFonts w:eastAsiaTheme="minorEastAsia"/>
                <w:sz w:val="20"/>
                <w:szCs w:val="20"/>
                <w:lang w:eastAsia="zh-CN"/>
              </w:rPr>
              <w:t>公里（东西和南北方向），总覆盖面积</w:t>
            </w:r>
            <w:r w:rsidRPr="00403B4F">
              <w:rPr>
                <w:rFonts w:eastAsiaTheme="minorEastAsia"/>
                <w:sz w:val="20"/>
                <w:szCs w:val="20"/>
                <w:lang w:eastAsia="zh-CN"/>
              </w:rPr>
              <w:t>18,524</w:t>
            </w:r>
            <w:r w:rsidRPr="00403B4F">
              <w:rPr>
                <w:rFonts w:eastAsiaTheme="minorEastAsia"/>
                <w:sz w:val="20"/>
                <w:szCs w:val="20"/>
                <w:lang w:eastAsia="zh-CN"/>
              </w:rPr>
              <w:t>平方公里。</w:t>
            </w:r>
          </w:p>
          <w:p w:rsidR="00772406" w:rsidRPr="00403B4F" w:rsidRDefault="00772406" w:rsidP="001A42F8">
            <w:pPr>
              <w:numPr>
                <w:ilvl w:val="0"/>
                <w:numId w:val="128"/>
              </w:numPr>
              <w:suppressAutoHyphens/>
              <w:spacing w:before="0" w:after="0"/>
              <w:rPr>
                <w:rFonts w:eastAsiaTheme="minorEastAsia"/>
                <w:sz w:val="20"/>
                <w:szCs w:val="20"/>
                <w:lang w:eastAsia="zh-CN"/>
              </w:rPr>
            </w:pPr>
            <w:r w:rsidRPr="00403B4F">
              <w:rPr>
                <w:rFonts w:eastAsiaTheme="minorEastAsia"/>
                <w:sz w:val="20"/>
                <w:szCs w:val="20"/>
                <w:lang w:eastAsia="zh-CN"/>
              </w:rPr>
              <w:t>该区海洋环境在地貌、生物和生态上变化多端，在波罗的海乃至全世界名列前茅。它是一个星罗密布、范围广阔的群岛，有水浅、周边岛礁环抱的内群岛区，有岛屿大一些的中群岛区，也有波涛汹涌、小岛和岩礁不计其数的外群岛区。与之相比，奥兰海几乎是一个大洋型条件的开放海域，有波罗的海第二最深海沟，水深</w:t>
            </w:r>
            <w:r w:rsidRPr="00403B4F">
              <w:rPr>
                <w:rFonts w:eastAsiaTheme="minorEastAsia"/>
                <w:sz w:val="20"/>
                <w:szCs w:val="20"/>
                <w:lang w:eastAsia="zh-CN"/>
              </w:rPr>
              <w:t>300</w:t>
            </w:r>
            <w:r w:rsidRPr="00403B4F">
              <w:rPr>
                <w:rFonts w:eastAsiaTheme="minorEastAsia"/>
                <w:sz w:val="20"/>
                <w:szCs w:val="20"/>
                <w:lang w:eastAsia="zh-CN"/>
              </w:rPr>
              <w:t>米。该海沟也是波罗的海最深含氧区。由于盐度低（</w:t>
            </w:r>
            <w:r w:rsidRPr="00403B4F">
              <w:rPr>
                <w:rFonts w:eastAsiaTheme="minorEastAsia"/>
                <w:sz w:val="20"/>
                <w:szCs w:val="20"/>
                <w:lang w:eastAsia="zh-CN"/>
              </w:rPr>
              <w:t>0</w:t>
            </w:r>
            <w:r w:rsidRPr="00403B4F">
              <w:rPr>
                <w:rFonts w:eastAsiaTheme="minorEastAsia"/>
                <w:sz w:val="20"/>
                <w:szCs w:val="20"/>
                <w:lang w:eastAsia="zh-CN"/>
              </w:rPr>
              <w:t>到</w:t>
            </w:r>
            <w:r w:rsidRPr="00403B4F">
              <w:rPr>
                <w:rFonts w:eastAsiaTheme="minorEastAsia"/>
                <w:sz w:val="20"/>
                <w:szCs w:val="20"/>
                <w:lang w:eastAsia="zh-CN"/>
              </w:rPr>
              <w:t>7 PSU</w:t>
            </w:r>
            <w:r w:rsidRPr="00403B4F">
              <w:rPr>
                <w:rFonts w:eastAsiaTheme="minorEastAsia"/>
                <w:sz w:val="20"/>
                <w:szCs w:val="20"/>
                <w:lang w:eastAsia="zh-CN"/>
              </w:rPr>
              <w:t>），这里淡水、微咸水和海</w:t>
            </w:r>
            <w:r w:rsidRPr="00403B4F">
              <w:rPr>
                <w:rFonts w:eastAsiaTheme="minorEastAsia"/>
                <w:sz w:val="20"/>
                <w:szCs w:val="20"/>
                <w:lang w:eastAsia="zh-CN"/>
              </w:rPr>
              <w:lastRenderedPageBreak/>
              <w:t>洋生物并存，水生维管植物和轮藻种类繁多。该区有数以百计的泻湖、狭窄入口、浅湾、河口和湿地，是鱼类和鸟类的重要领域。浅水区的底栖生物量在北波罗的海最高。该区还有环斑海豹（</w:t>
            </w:r>
            <w:r w:rsidRPr="00403B4F">
              <w:rPr>
                <w:rFonts w:eastAsiaTheme="minorEastAsia"/>
                <w:sz w:val="20"/>
                <w:szCs w:val="20"/>
                <w:lang w:eastAsia="zh-CN"/>
              </w:rPr>
              <w:t>Pusa hispida botnica</w:t>
            </w:r>
            <w:r w:rsidRPr="00403B4F">
              <w:rPr>
                <w:rFonts w:eastAsiaTheme="minorEastAsia"/>
                <w:sz w:val="20"/>
                <w:szCs w:val="20"/>
                <w:lang w:eastAsia="zh-CN"/>
              </w:rPr>
              <w:t>）和灰海豹（</w:t>
            </w:r>
            <w:r w:rsidRPr="00403B4F">
              <w:rPr>
                <w:rFonts w:eastAsiaTheme="minorEastAsia"/>
                <w:sz w:val="20"/>
                <w:szCs w:val="20"/>
                <w:lang w:eastAsia="zh-CN"/>
              </w:rPr>
              <w:t>Halichoerus grypus</w:t>
            </w:r>
            <w:r w:rsidRPr="00403B4F">
              <w:rPr>
                <w:rFonts w:eastAsiaTheme="minorEastAsia"/>
                <w:sz w:val="20"/>
                <w:szCs w:val="20"/>
                <w:lang w:eastAsia="zh-CN"/>
              </w:rPr>
              <w:t>）重要群落。</w:t>
            </w:r>
            <w:r w:rsidRPr="00403B4F">
              <w:rPr>
                <w:rStyle w:val="Emphasis"/>
                <w:rFonts w:eastAsiaTheme="minorEastAsia"/>
                <w:sz w:val="20"/>
                <w:szCs w:val="20"/>
                <w:lang w:eastAsia="zh-CN"/>
              </w:rPr>
              <w:t>港湾</w:t>
            </w:r>
            <w:r w:rsidRPr="00403B4F">
              <w:rPr>
                <w:rStyle w:val="st"/>
                <w:rFonts w:eastAsiaTheme="minorEastAsia"/>
                <w:sz w:val="20"/>
                <w:szCs w:val="20"/>
                <w:lang w:eastAsia="zh-CN"/>
              </w:rPr>
              <w:t>鼠海豚</w:t>
            </w:r>
            <w:r w:rsidRPr="00403B4F">
              <w:rPr>
                <w:rFonts w:eastAsiaTheme="minorEastAsia"/>
                <w:sz w:val="20"/>
                <w:szCs w:val="20"/>
                <w:lang w:eastAsia="zh-CN"/>
              </w:rPr>
              <w:t>（</w:t>
            </w:r>
            <w:r w:rsidRPr="00403B4F">
              <w:rPr>
                <w:rFonts w:eastAsiaTheme="minorEastAsia"/>
                <w:sz w:val="20"/>
                <w:szCs w:val="20"/>
                <w:lang w:eastAsia="zh-CN"/>
              </w:rPr>
              <w:t>Phocoena phocoena</w:t>
            </w:r>
            <w:r w:rsidRPr="00403B4F">
              <w:rPr>
                <w:rFonts w:eastAsiaTheme="minorEastAsia"/>
                <w:sz w:val="20"/>
                <w:szCs w:val="20"/>
                <w:lang w:eastAsia="zh-CN"/>
              </w:rPr>
              <w:t>）经常出现在这里。</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lastRenderedPageBreak/>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1A42F8">
            <w:pPr>
              <w:pStyle w:val="ListParagraph"/>
              <w:numPr>
                <w:ilvl w:val="0"/>
                <w:numId w:val="174"/>
              </w:numPr>
              <w:spacing w:before="0" w:after="0"/>
              <w:contextualSpacing/>
              <w:rPr>
                <w:rFonts w:eastAsiaTheme="minorEastAsia"/>
                <w:b/>
                <w:sz w:val="20"/>
                <w:szCs w:val="20"/>
              </w:rPr>
            </w:pPr>
            <w:r w:rsidRPr="00403B4F">
              <w:rPr>
                <w:rFonts w:eastAsiaTheme="minorEastAsia"/>
                <w:b/>
                <w:sz w:val="20"/>
                <w:szCs w:val="20"/>
              </w:rPr>
              <w:lastRenderedPageBreak/>
              <w:t>东芬兰湾</w:t>
            </w:r>
          </w:p>
          <w:p w:rsidR="00772406" w:rsidRPr="00403B4F" w:rsidRDefault="00772406" w:rsidP="001A42F8">
            <w:pPr>
              <w:pStyle w:val="ListParagraph"/>
              <w:numPr>
                <w:ilvl w:val="0"/>
                <w:numId w:val="129"/>
              </w:numPr>
              <w:spacing w:before="0" w:after="0"/>
              <w:contextualSpacing/>
              <w:rPr>
                <w:rFonts w:eastAsiaTheme="minorEastAsia"/>
                <w:sz w:val="20"/>
                <w:szCs w:val="20"/>
              </w:rPr>
            </w:pPr>
            <w:r w:rsidRPr="00403B4F">
              <w:rPr>
                <w:rFonts w:eastAsiaTheme="minorEastAsia"/>
                <w:sz w:val="20"/>
                <w:szCs w:val="20"/>
                <w:lang w:eastAsia="zh-CN"/>
              </w:rPr>
              <w:t>位置：位于波罗的海北部，芬兰湾东北部和东部，东西</w:t>
            </w:r>
            <w:r w:rsidRPr="00403B4F">
              <w:rPr>
                <w:rFonts w:eastAsiaTheme="minorEastAsia"/>
                <w:sz w:val="20"/>
                <w:szCs w:val="20"/>
                <w:lang w:eastAsia="zh-CN"/>
              </w:rPr>
              <w:t>247</w:t>
            </w:r>
            <w:r w:rsidRPr="00403B4F">
              <w:rPr>
                <w:rFonts w:eastAsiaTheme="minorEastAsia"/>
                <w:sz w:val="20"/>
                <w:szCs w:val="20"/>
                <w:lang w:eastAsia="zh-CN"/>
              </w:rPr>
              <w:t>公里，南北</w:t>
            </w:r>
            <w:r w:rsidRPr="00403B4F">
              <w:rPr>
                <w:rFonts w:eastAsiaTheme="minorEastAsia"/>
                <w:sz w:val="20"/>
                <w:szCs w:val="20"/>
                <w:lang w:eastAsia="zh-CN"/>
              </w:rPr>
              <w:t>122</w:t>
            </w:r>
            <w:r w:rsidRPr="00403B4F">
              <w:rPr>
                <w:rFonts w:eastAsiaTheme="minorEastAsia"/>
                <w:sz w:val="20"/>
                <w:szCs w:val="20"/>
                <w:lang w:eastAsia="zh-CN"/>
              </w:rPr>
              <w:t>公里。</w:t>
            </w:r>
            <w:r w:rsidRPr="00403B4F">
              <w:rPr>
                <w:rFonts w:eastAsiaTheme="minorEastAsia"/>
                <w:sz w:val="20"/>
                <w:szCs w:val="20"/>
              </w:rPr>
              <w:t>总覆盖面积</w:t>
            </w:r>
            <w:r w:rsidRPr="00403B4F">
              <w:rPr>
                <w:rFonts w:eastAsiaTheme="minorEastAsia"/>
                <w:sz w:val="20"/>
                <w:szCs w:val="20"/>
              </w:rPr>
              <w:t>13,411</w:t>
            </w:r>
            <w:r w:rsidRPr="00403B4F">
              <w:rPr>
                <w:rFonts w:eastAsiaTheme="minorEastAsia"/>
                <w:sz w:val="20"/>
                <w:szCs w:val="20"/>
              </w:rPr>
              <w:t>平方公里。</w:t>
            </w:r>
          </w:p>
          <w:p w:rsidR="00772406" w:rsidRPr="00403B4F" w:rsidRDefault="00772406" w:rsidP="001A42F8">
            <w:pPr>
              <w:pStyle w:val="ListParagraph"/>
              <w:numPr>
                <w:ilvl w:val="0"/>
                <w:numId w:val="129"/>
              </w:numPr>
              <w:spacing w:before="0" w:after="0"/>
              <w:contextualSpacing/>
              <w:rPr>
                <w:rFonts w:eastAsiaTheme="minorEastAsia"/>
                <w:sz w:val="20"/>
                <w:szCs w:val="20"/>
                <w:lang w:eastAsia="zh-CN"/>
              </w:rPr>
            </w:pPr>
            <w:r w:rsidRPr="00403B4F">
              <w:rPr>
                <w:rFonts w:eastAsiaTheme="minorEastAsia"/>
                <w:sz w:val="20"/>
                <w:szCs w:val="20"/>
                <w:lang w:eastAsia="zh-CN"/>
              </w:rPr>
              <w:t>该区是一个较浅（最大深度</w:t>
            </w:r>
            <w:r w:rsidRPr="00403B4F">
              <w:rPr>
                <w:rFonts w:eastAsiaTheme="minorEastAsia"/>
                <w:sz w:val="20"/>
                <w:szCs w:val="20"/>
                <w:lang w:eastAsia="zh-CN"/>
              </w:rPr>
              <w:t>80</w:t>
            </w:r>
            <w:r w:rsidRPr="00403B4F">
              <w:rPr>
                <w:rFonts w:eastAsiaTheme="minorEastAsia"/>
                <w:sz w:val="20"/>
                <w:szCs w:val="20"/>
                <w:lang w:eastAsia="zh-CN"/>
              </w:rPr>
              <w:t>米）的群岛和海区，涵盖数百个小岛和岩礁、沿海泻湖和寒带狭窄入口以及广阔的海区。地貌带有末次冰川作用的明显迹象，如尾碛、沙滩、岩岛和巨</w:t>
            </w:r>
            <w:r w:rsidRPr="00403B4F">
              <w:rPr>
                <w:rStyle w:val="st"/>
                <w:rFonts w:eastAsiaTheme="minorEastAsia"/>
                <w:sz w:val="20"/>
                <w:szCs w:val="20"/>
                <w:lang w:eastAsia="zh-CN"/>
              </w:rPr>
              <w:t>漂砾</w:t>
            </w:r>
            <w:r w:rsidRPr="00403B4F">
              <w:rPr>
                <w:rFonts w:eastAsiaTheme="minorEastAsia"/>
                <w:sz w:val="20"/>
                <w:szCs w:val="20"/>
                <w:lang w:eastAsia="zh-CN"/>
              </w:rPr>
              <w:t>群。由于盐度低（海表层</w:t>
            </w:r>
            <w:r w:rsidRPr="00403B4F">
              <w:rPr>
                <w:rFonts w:eastAsiaTheme="minorEastAsia"/>
                <w:sz w:val="20"/>
                <w:szCs w:val="20"/>
                <w:lang w:eastAsia="zh-CN"/>
              </w:rPr>
              <w:t>0</w:t>
            </w:r>
            <w:r w:rsidRPr="00403B4F">
              <w:rPr>
                <w:rFonts w:eastAsiaTheme="minorEastAsia"/>
                <w:sz w:val="20"/>
                <w:szCs w:val="20"/>
                <w:lang w:eastAsia="zh-CN"/>
              </w:rPr>
              <w:t>至</w:t>
            </w:r>
            <w:r w:rsidRPr="00403B4F">
              <w:rPr>
                <w:rFonts w:eastAsiaTheme="minorEastAsia"/>
                <w:sz w:val="20"/>
                <w:szCs w:val="20"/>
                <w:lang w:eastAsia="zh-CN"/>
              </w:rPr>
              <w:t>5/1000</w:t>
            </w:r>
            <w:r w:rsidRPr="00403B4F">
              <w:rPr>
                <w:rFonts w:eastAsiaTheme="minorEastAsia"/>
                <w:sz w:val="20"/>
                <w:szCs w:val="20"/>
                <w:lang w:eastAsia="zh-CN"/>
              </w:rPr>
              <w:t>），物种由淡水和海洋生物组成，水生植物多样性特别高。许多海洋物种，包括重要生境形成物种，如</w:t>
            </w:r>
            <w:r w:rsidRPr="00403B4F">
              <w:rPr>
                <w:rStyle w:val="st"/>
                <w:rFonts w:eastAsiaTheme="minorEastAsia"/>
                <w:sz w:val="20"/>
                <w:szCs w:val="20"/>
                <w:lang w:eastAsia="zh-CN"/>
              </w:rPr>
              <w:t>墨角藻</w:t>
            </w:r>
            <w:r w:rsidRPr="00403B4F">
              <w:rPr>
                <w:rFonts w:eastAsiaTheme="minorEastAsia"/>
                <w:sz w:val="20"/>
                <w:szCs w:val="20"/>
                <w:lang w:eastAsia="zh-CN"/>
              </w:rPr>
              <w:t>（</w:t>
            </w:r>
            <w:r w:rsidRPr="00403B4F">
              <w:rPr>
                <w:rFonts w:eastAsiaTheme="minorEastAsia"/>
                <w:sz w:val="20"/>
                <w:szCs w:val="20"/>
                <w:lang w:eastAsia="zh-CN"/>
              </w:rPr>
              <w:t>Fucus vesiculosus</w:t>
            </w:r>
            <w:r w:rsidRPr="00403B4F">
              <w:rPr>
                <w:rFonts w:eastAsiaTheme="minorEastAsia"/>
                <w:sz w:val="20"/>
                <w:szCs w:val="20"/>
                <w:lang w:eastAsia="zh-CN"/>
              </w:rPr>
              <w:t>）和蓝贻贝（</w:t>
            </w:r>
            <w:r w:rsidRPr="00403B4F">
              <w:rPr>
                <w:rFonts w:eastAsiaTheme="minorEastAsia"/>
                <w:sz w:val="20"/>
                <w:szCs w:val="20"/>
                <w:lang w:eastAsia="zh-CN"/>
              </w:rPr>
              <w:t>Mytilus trossulus</w:t>
            </w:r>
            <w:r w:rsidRPr="00403B4F">
              <w:rPr>
                <w:rFonts w:eastAsiaTheme="minorEastAsia"/>
                <w:sz w:val="20"/>
                <w:szCs w:val="20"/>
                <w:lang w:eastAsia="zh-CN"/>
              </w:rPr>
              <w:t>）在此地生长，很容易受到人为干扰和气候变化的影响。该区拥有丰富的鸟类，并维持波罗的海最濒危种群之一环斑海豹（</w:t>
            </w:r>
            <w:r w:rsidRPr="00403B4F">
              <w:rPr>
                <w:rFonts w:eastAsiaTheme="minorEastAsia"/>
                <w:sz w:val="20"/>
                <w:szCs w:val="20"/>
                <w:lang w:eastAsia="zh-CN"/>
              </w:rPr>
              <w:t>Pusa hispida botnica</w:t>
            </w:r>
            <w:r w:rsidRPr="00403B4F">
              <w:rPr>
                <w:rFonts w:eastAsiaTheme="minorEastAsia"/>
                <w:sz w:val="20"/>
                <w:szCs w:val="20"/>
                <w:lang w:eastAsia="zh-CN"/>
              </w:rPr>
              <w:t>）。</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1A42F8">
            <w:pPr>
              <w:pStyle w:val="ListParagraph"/>
              <w:numPr>
                <w:ilvl w:val="0"/>
                <w:numId w:val="174"/>
              </w:numPr>
              <w:suppressAutoHyphens/>
              <w:snapToGrid w:val="0"/>
              <w:spacing w:before="0" w:after="0"/>
              <w:contextualSpacing/>
              <w:rPr>
                <w:rFonts w:eastAsiaTheme="minorEastAsia"/>
                <w:b/>
                <w:sz w:val="20"/>
                <w:szCs w:val="20"/>
              </w:rPr>
            </w:pPr>
            <w:r w:rsidRPr="00403B4F">
              <w:rPr>
                <w:rFonts w:eastAsiaTheme="minorEastAsia"/>
                <w:b/>
                <w:sz w:val="20"/>
                <w:szCs w:val="20"/>
              </w:rPr>
              <w:t>西爱沙尼亚群岛内海</w:t>
            </w:r>
          </w:p>
          <w:p w:rsidR="00772406" w:rsidRPr="00403B4F" w:rsidRDefault="00772406" w:rsidP="001A42F8">
            <w:pPr>
              <w:numPr>
                <w:ilvl w:val="0"/>
                <w:numId w:val="130"/>
              </w:numPr>
              <w:suppressAutoHyphens/>
              <w:snapToGrid w:val="0"/>
              <w:spacing w:before="0" w:after="0"/>
              <w:rPr>
                <w:rFonts w:eastAsiaTheme="minorEastAsia"/>
                <w:sz w:val="20"/>
                <w:szCs w:val="20"/>
                <w:lang w:eastAsia="zh-CN"/>
              </w:rPr>
            </w:pPr>
            <w:r w:rsidRPr="00403B4F">
              <w:rPr>
                <w:rFonts w:eastAsiaTheme="minorEastAsia"/>
                <w:sz w:val="20"/>
                <w:szCs w:val="20"/>
                <w:lang w:eastAsia="zh-CN"/>
              </w:rPr>
              <w:t>位置：位于波罗的海东北部西爱沙尼亚群岛内海之内。</w:t>
            </w:r>
          </w:p>
          <w:p w:rsidR="00772406" w:rsidRPr="00403B4F" w:rsidRDefault="00772406" w:rsidP="001A42F8">
            <w:pPr>
              <w:numPr>
                <w:ilvl w:val="0"/>
                <w:numId w:val="130"/>
              </w:numPr>
              <w:suppressAutoHyphens/>
              <w:snapToGrid w:val="0"/>
              <w:spacing w:before="0" w:after="0"/>
              <w:rPr>
                <w:rFonts w:eastAsiaTheme="minorEastAsia"/>
                <w:lang w:eastAsia="zh-CN"/>
              </w:rPr>
            </w:pPr>
            <w:r w:rsidRPr="00403B4F">
              <w:rPr>
                <w:rFonts w:eastAsiaTheme="minorEastAsia"/>
                <w:sz w:val="20"/>
                <w:szCs w:val="20"/>
                <w:lang w:eastAsia="zh-CN"/>
              </w:rPr>
              <w:t>该区是波罗的海东北部一个独特的生态系统。在地质上系冰川作用形成，布满不同基质的冰碛。这里水很浅，平均深度不到</w:t>
            </w:r>
            <w:r w:rsidRPr="00403B4F">
              <w:rPr>
                <w:rFonts w:eastAsiaTheme="minorEastAsia"/>
                <w:sz w:val="20"/>
                <w:szCs w:val="20"/>
                <w:lang w:eastAsia="zh-CN"/>
              </w:rPr>
              <w:t>4</w:t>
            </w:r>
            <w:r w:rsidRPr="00403B4F">
              <w:rPr>
                <w:rFonts w:eastAsiaTheme="minorEastAsia"/>
                <w:sz w:val="20"/>
                <w:szCs w:val="20"/>
                <w:lang w:eastAsia="zh-CN"/>
              </w:rPr>
              <w:t>米，大部分海底位于透光区。盐度梯度，</w:t>
            </w:r>
            <w:r w:rsidRPr="00403B4F">
              <w:rPr>
                <w:rFonts w:eastAsiaTheme="minorEastAsia"/>
                <w:sz w:val="20"/>
                <w:szCs w:val="20"/>
                <w:lang w:eastAsia="zh-CN"/>
              </w:rPr>
              <w:t>Matsalu</w:t>
            </w:r>
            <w:r w:rsidRPr="00403B4F">
              <w:rPr>
                <w:rFonts w:eastAsiaTheme="minorEastAsia"/>
                <w:sz w:val="20"/>
                <w:szCs w:val="20"/>
                <w:lang w:eastAsia="zh-CN"/>
              </w:rPr>
              <w:t>湾最东部为淡水，</w:t>
            </w:r>
            <w:r w:rsidRPr="00403B4F">
              <w:rPr>
                <w:rFonts w:eastAsiaTheme="minorEastAsia"/>
                <w:sz w:val="20"/>
                <w:szCs w:val="20"/>
                <w:lang w:eastAsia="zh-CN"/>
              </w:rPr>
              <w:t>Soela</w:t>
            </w:r>
            <w:r w:rsidRPr="00403B4F">
              <w:rPr>
                <w:rFonts w:eastAsiaTheme="minorEastAsia"/>
                <w:sz w:val="20"/>
                <w:szCs w:val="20"/>
                <w:lang w:eastAsia="zh-CN"/>
              </w:rPr>
              <w:t>海峡西部为</w:t>
            </w:r>
            <w:r w:rsidRPr="00403B4F">
              <w:rPr>
                <w:rFonts w:eastAsiaTheme="minorEastAsia"/>
                <w:sz w:val="20"/>
                <w:szCs w:val="20"/>
                <w:lang w:eastAsia="zh-CN"/>
              </w:rPr>
              <w:t>6-7 PSU</w:t>
            </w:r>
            <w:r w:rsidRPr="00403B4F">
              <w:rPr>
                <w:rFonts w:eastAsiaTheme="minorEastAsia"/>
                <w:sz w:val="20"/>
                <w:szCs w:val="20"/>
                <w:lang w:eastAsia="zh-CN"/>
              </w:rPr>
              <w:t>，一个广阔的动态水文前沿区为本地和迁徙物种创造了独特的条件。前沿条件导致底栖生产力高，淡水径流使其成为迁徙物种的重要摄食地。独特的地方水文地貌条件育成了这里独有的大片散落、自由漂浮的红藻群落（</w:t>
            </w:r>
            <w:r w:rsidRPr="00403B4F">
              <w:rPr>
                <w:rFonts w:eastAsiaTheme="minorEastAsia"/>
                <w:sz w:val="20"/>
                <w:szCs w:val="20"/>
                <w:lang w:eastAsia="zh-CN"/>
              </w:rPr>
              <w:t>Furcellaria lumbricalis</w:t>
            </w:r>
            <w:r w:rsidRPr="00403B4F">
              <w:rPr>
                <w:rFonts w:eastAsiaTheme="minorEastAsia"/>
                <w:sz w:val="20"/>
                <w:szCs w:val="20"/>
                <w:lang w:eastAsia="zh-CN"/>
              </w:rPr>
              <w:t>）。许多无人居住的小岛和海冰为两个海豹物种提供了重要场所。该区是大量候鸟和其他物种的家园，被指定为</w:t>
            </w:r>
            <w:r w:rsidRPr="00403B4F">
              <w:rPr>
                <w:rFonts w:eastAsiaTheme="minorEastAsia"/>
                <w:sz w:val="20"/>
                <w:szCs w:val="20"/>
                <w:lang w:eastAsia="zh-CN"/>
              </w:rPr>
              <w:t>“</w:t>
            </w:r>
            <w:r w:rsidRPr="00403B4F">
              <w:rPr>
                <w:rFonts w:eastAsiaTheme="minorEastAsia"/>
                <w:sz w:val="20"/>
                <w:szCs w:val="20"/>
                <w:lang w:eastAsia="zh-CN"/>
              </w:rPr>
              <w:t>重要鸟类和生物多样性区</w:t>
            </w:r>
            <w:r w:rsidRPr="00403B4F">
              <w:rPr>
                <w:rFonts w:eastAsiaTheme="minorEastAsia"/>
                <w:sz w:val="20"/>
                <w:szCs w:val="20"/>
                <w:lang w:eastAsia="zh-CN"/>
              </w:rPr>
              <w:t>”</w:t>
            </w:r>
            <w:r w:rsidRPr="00403B4F">
              <w:rPr>
                <w:rFonts w:eastAsiaTheme="minorEastAsia"/>
                <w:sz w:val="20"/>
                <w:szCs w:val="20"/>
                <w:lang w:eastAsia="zh-CN"/>
              </w:rPr>
              <w:t>。</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L</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1A42F8">
            <w:pPr>
              <w:pStyle w:val="ListParagraph"/>
              <w:numPr>
                <w:ilvl w:val="0"/>
                <w:numId w:val="174"/>
              </w:numPr>
              <w:suppressAutoHyphens/>
              <w:snapToGrid w:val="0"/>
              <w:spacing w:before="0" w:after="0"/>
              <w:contextualSpacing/>
              <w:rPr>
                <w:rFonts w:eastAsiaTheme="minorEastAsia"/>
                <w:b/>
                <w:sz w:val="20"/>
                <w:szCs w:val="20"/>
              </w:rPr>
            </w:pPr>
            <w:r w:rsidRPr="00403B4F">
              <w:rPr>
                <w:rFonts w:eastAsiaTheme="minorEastAsia"/>
                <w:b/>
                <w:sz w:val="20"/>
                <w:szCs w:val="20"/>
              </w:rPr>
              <w:t>波罗的海东南部浅海区</w:t>
            </w:r>
          </w:p>
          <w:p w:rsidR="00772406" w:rsidRPr="00C7353E" w:rsidRDefault="00772406" w:rsidP="001A42F8">
            <w:pPr>
              <w:pStyle w:val="ListParagraph"/>
              <w:numPr>
                <w:ilvl w:val="0"/>
                <w:numId w:val="170"/>
              </w:numPr>
              <w:suppressAutoHyphens/>
              <w:snapToGrid w:val="0"/>
              <w:spacing w:before="0" w:after="0"/>
              <w:contextualSpacing/>
              <w:rPr>
                <w:rFonts w:eastAsiaTheme="minorEastAsia"/>
                <w:sz w:val="20"/>
                <w:szCs w:val="20"/>
              </w:rPr>
            </w:pPr>
            <w:r w:rsidRPr="00403B4F">
              <w:rPr>
                <w:rFonts w:eastAsiaTheme="minorEastAsia"/>
                <w:sz w:val="20"/>
                <w:szCs w:val="20"/>
                <w:lang w:eastAsia="zh-CN"/>
              </w:rPr>
              <w:t>位置：波罗的海东南部浅海区涵盖几个地貌不同的区域，包括北部的克莱佩达</w:t>
            </w:r>
            <w:r w:rsidRPr="00403B4F">
              <w:rPr>
                <w:rFonts w:eastAsiaTheme="minorEastAsia"/>
                <w:sz w:val="20"/>
                <w:szCs w:val="20"/>
                <w:lang w:eastAsia="zh-CN"/>
              </w:rPr>
              <w:t>-</w:t>
            </w:r>
            <w:r w:rsidRPr="00403B4F">
              <w:rPr>
                <w:rFonts w:eastAsiaTheme="minorEastAsia"/>
                <w:sz w:val="20"/>
                <w:szCs w:val="20"/>
                <w:lang w:eastAsia="zh-CN"/>
              </w:rPr>
              <w:t>文茨皮尔斯高原，</w:t>
            </w:r>
            <w:r w:rsidRPr="00C7353E">
              <w:rPr>
                <w:rFonts w:eastAsiaTheme="minorEastAsia"/>
                <w:sz w:val="20"/>
                <w:szCs w:val="20"/>
                <w:lang w:eastAsia="zh-CN"/>
              </w:rPr>
              <w:t>南部的</w:t>
            </w:r>
            <w:r w:rsidRPr="00C7353E">
              <w:rPr>
                <w:rFonts w:asciiTheme="minorEastAsia" w:eastAsiaTheme="minorEastAsia" w:hAnsiTheme="minorEastAsia"/>
                <w:sz w:val="20"/>
                <w:lang w:eastAsia="zh-CN"/>
              </w:rPr>
              <w:t>库洛尼亚</w:t>
            </w:r>
            <w:r w:rsidRPr="00C7353E">
              <w:rPr>
                <w:rFonts w:eastAsiaTheme="minorEastAsia"/>
                <w:sz w:val="20"/>
                <w:szCs w:val="20"/>
                <w:lang w:eastAsia="zh-CN"/>
              </w:rPr>
              <w:t>-</w:t>
            </w:r>
            <w:r w:rsidRPr="00C7353E">
              <w:rPr>
                <w:rFonts w:eastAsiaTheme="minorEastAsia"/>
                <w:sz w:val="20"/>
                <w:szCs w:val="20"/>
                <w:lang w:eastAsia="zh-CN"/>
              </w:rPr>
              <w:t>桑比亚高原，西北部的克莱佩达浅滩以及波罗的海东部最大的泻湖</w:t>
            </w:r>
            <w:r w:rsidRPr="00C7353E">
              <w:rPr>
                <w:rFonts w:asciiTheme="minorEastAsia" w:eastAsiaTheme="minorEastAsia" w:hAnsiTheme="minorEastAsia"/>
                <w:sz w:val="20"/>
                <w:lang w:eastAsia="zh-CN"/>
              </w:rPr>
              <w:t>库洛尼亚泻湖和</w:t>
            </w:r>
            <w:r w:rsidRPr="00C7353E">
              <w:rPr>
                <w:rStyle w:val="st"/>
                <w:rFonts w:eastAsiaTheme="minorEastAsia"/>
                <w:sz w:val="20"/>
                <w:szCs w:val="20"/>
                <w:lang w:eastAsia="zh-CN"/>
              </w:rPr>
              <w:t>维斯图拉泻湖</w:t>
            </w:r>
            <w:r w:rsidRPr="00C7353E">
              <w:rPr>
                <w:rFonts w:eastAsiaTheme="minorEastAsia"/>
                <w:lang w:eastAsia="zh-CN"/>
              </w:rPr>
              <w:t>（</w:t>
            </w:r>
            <w:r w:rsidRPr="00C7353E">
              <w:rPr>
                <w:rFonts w:eastAsiaTheme="minorEastAsia"/>
                <w:sz w:val="20"/>
                <w:szCs w:val="20"/>
                <w:lang w:eastAsia="zh-CN"/>
              </w:rPr>
              <w:t>两个泻湖由一个狭窄的沙嘴分开）。</w:t>
            </w:r>
            <w:r w:rsidRPr="00C7353E">
              <w:rPr>
                <w:rFonts w:eastAsiaTheme="minorEastAsia"/>
                <w:sz w:val="20"/>
                <w:szCs w:val="20"/>
              </w:rPr>
              <w:t>全区面积</w:t>
            </w:r>
            <w:r w:rsidRPr="00C7353E">
              <w:rPr>
                <w:rFonts w:eastAsiaTheme="minorEastAsia"/>
                <w:sz w:val="20"/>
                <w:szCs w:val="20"/>
              </w:rPr>
              <w:t>11,626</w:t>
            </w:r>
            <w:r w:rsidRPr="00C7353E">
              <w:rPr>
                <w:rFonts w:eastAsiaTheme="minorEastAsia"/>
                <w:sz w:val="20"/>
                <w:szCs w:val="20"/>
              </w:rPr>
              <w:t>平方公里。</w:t>
            </w:r>
          </w:p>
          <w:p w:rsidR="00772406" w:rsidRPr="00403B4F" w:rsidRDefault="00772406" w:rsidP="001A42F8">
            <w:pPr>
              <w:pStyle w:val="ListParagraph"/>
              <w:numPr>
                <w:ilvl w:val="0"/>
                <w:numId w:val="170"/>
              </w:numPr>
              <w:suppressAutoHyphens/>
              <w:snapToGrid w:val="0"/>
              <w:spacing w:before="0" w:after="0"/>
              <w:contextualSpacing/>
              <w:rPr>
                <w:rFonts w:eastAsiaTheme="minorEastAsia"/>
                <w:sz w:val="20"/>
                <w:szCs w:val="20"/>
              </w:rPr>
            </w:pPr>
            <w:r w:rsidRPr="00C7353E">
              <w:rPr>
                <w:rFonts w:eastAsiaTheme="minorEastAsia"/>
                <w:sz w:val="20"/>
                <w:szCs w:val="20"/>
                <w:lang w:eastAsia="zh-CN"/>
              </w:rPr>
              <w:t>波罗的海东南部浅海区涵盖几个地貌不同的区域，包括北部的克莱佩达</w:t>
            </w:r>
            <w:r w:rsidRPr="00C7353E">
              <w:rPr>
                <w:rFonts w:eastAsiaTheme="minorEastAsia"/>
                <w:sz w:val="20"/>
                <w:szCs w:val="20"/>
                <w:lang w:eastAsia="zh-CN"/>
              </w:rPr>
              <w:t>-</w:t>
            </w:r>
            <w:r w:rsidRPr="00C7353E">
              <w:rPr>
                <w:rFonts w:eastAsiaTheme="minorEastAsia"/>
                <w:sz w:val="20"/>
                <w:szCs w:val="20"/>
                <w:lang w:eastAsia="zh-CN"/>
              </w:rPr>
              <w:t>文茨皮尔斯高原，南部的</w:t>
            </w:r>
            <w:r w:rsidRPr="00C7353E">
              <w:rPr>
                <w:rStyle w:val="Emphasis"/>
                <w:rFonts w:eastAsiaTheme="minorEastAsia"/>
                <w:b w:val="0"/>
                <w:sz w:val="20"/>
                <w:szCs w:val="20"/>
                <w:lang w:eastAsia="zh-CN"/>
              </w:rPr>
              <w:t>库洛尼亚</w:t>
            </w:r>
            <w:r w:rsidRPr="00C7353E">
              <w:rPr>
                <w:rFonts w:eastAsiaTheme="minorEastAsia"/>
                <w:sz w:val="20"/>
                <w:szCs w:val="20"/>
                <w:lang w:eastAsia="zh-CN"/>
              </w:rPr>
              <w:t>-</w:t>
            </w:r>
            <w:r w:rsidRPr="00C7353E">
              <w:rPr>
                <w:rFonts w:eastAsiaTheme="minorEastAsia"/>
                <w:sz w:val="20"/>
                <w:szCs w:val="20"/>
                <w:lang w:eastAsia="zh-CN"/>
              </w:rPr>
              <w:t>桑比亚高原，西北部的克莱佩达浅滩以及波罗的海东部最大的泻湖</w:t>
            </w:r>
            <w:r w:rsidRPr="00C7353E">
              <w:rPr>
                <w:rStyle w:val="Emphasis"/>
                <w:rFonts w:eastAsiaTheme="minorEastAsia"/>
                <w:b w:val="0"/>
                <w:sz w:val="20"/>
                <w:szCs w:val="20"/>
                <w:lang w:eastAsia="zh-CN"/>
              </w:rPr>
              <w:t>库洛尼亚泻湖和</w:t>
            </w:r>
            <w:r w:rsidRPr="00C7353E">
              <w:rPr>
                <w:rStyle w:val="st"/>
                <w:rFonts w:eastAsiaTheme="minorEastAsia"/>
                <w:sz w:val="20"/>
                <w:szCs w:val="20"/>
                <w:lang w:eastAsia="zh-CN"/>
              </w:rPr>
              <w:t>维斯图拉泻湖</w:t>
            </w:r>
            <w:r w:rsidRPr="00C7353E">
              <w:rPr>
                <w:rFonts w:eastAsiaTheme="minorEastAsia"/>
                <w:lang w:eastAsia="zh-CN"/>
              </w:rPr>
              <w:t>（</w:t>
            </w:r>
            <w:r w:rsidRPr="00C7353E">
              <w:rPr>
                <w:rFonts w:eastAsiaTheme="minorEastAsia"/>
                <w:sz w:val="20"/>
                <w:szCs w:val="20"/>
                <w:lang w:eastAsia="zh-CN"/>
              </w:rPr>
              <w:t>两者由一个狭窄的沙嘴分开）。该区地貌结构复杂，是沿海和近海水域生物多样性热点。浅水区是底栖生物群落最重要的栖息地之一。其水下珊瑚礁维持沿海底栖生物群落、高度多样性的无脊椎动物、鱼类和越冬鸟类。此外具有重要商业价值的鱼类如西鲱、鲱鱼、大菱鲆鱼和比目鱼也把珊瑚礁作为产卵和养育场。</w:t>
            </w:r>
            <w:r w:rsidRPr="00403B4F">
              <w:rPr>
                <w:rFonts w:eastAsiaTheme="minorEastAsia"/>
                <w:sz w:val="20"/>
                <w:szCs w:val="20"/>
                <w:lang w:eastAsia="zh-CN"/>
              </w:rPr>
              <w:t>离</w:t>
            </w:r>
            <w:r w:rsidRPr="00403B4F">
              <w:rPr>
                <w:rFonts w:eastAsiaTheme="minorEastAsia"/>
                <w:sz w:val="20"/>
                <w:szCs w:val="20"/>
                <w:lang w:eastAsia="zh-CN"/>
              </w:rPr>
              <w:lastRenderedPageBreak/>
              <w:t>岸浅滩成为哥德兰盆地深处流动物种短期缺氧的避难所。海岸线是水鸟的重要中途停留地。在特别严寒的冬天有些越冬海鸟（例如长尾鸭（</w:t>
            </w:r>
            <w:r w:rsidRPr="00403B4F">
              <w:rPr>
                <w:rFonts w:eastAsiaTheme="minorEastAsia"/>
                <w:sz w:val="20"/>
                <w:szCs w:val="20"/>
                <w:lang w:eastAsia="zh-CN"/>
              </w:rPr>
              <w:t>Clangula hyemalis</w:t>
            </w:r>
            <w:r w:rsidRPr="00403B4F">
              <w:rPr>
                <w:rFonts w:eastAsiaTheme="minorEastAsia"/>
                <w:sz w:val="20"/>
                <w:szCs w:val="20"/>
                <w:lang w:eastAsia="zh-CN"/>
              </w:rPr>
              <w:t>）、</w:t>
            </w:r>
            <w:r w:rsidRPr="00403B4F">
              <w:rPr>
                <w:rStyle w:val="st"/>
                <w:rFonts w:eastAsiaTheme="minorEastAsia"/>
                <w:sz w:val="20"/>
                <w:szCs w:val="20"/>
                <w:lang w:eastAsia="zh-CN"/>
              </w:rPr>
              <w:t>斑头海番鸭</w:t>
            </w:r>
            <w:r w:rsidRPr="00403B4F">
              <w:rPr>
                <w:rFonts w:eastAsiaTheme="minorEastAsia"/>
                <w:sz w:val="20"/>
                <w:szCs w:val="20"/>
                <w:lang w:eastAsia="zh-CN"/>
              </w:rPr>
              <w:t>（</w:t>
            </w:r>
            <w:r w:rsidRPr="00403B4F">
              <w:rPr>
                <w:rFonts w:eastAsiaTheme="minorEastAsia"/>
                <w:sz w:val="20"/>
                <w:szCs w:val="20"/>
                <w:lang w:eastAsia="zh-CN"/>
              </w:rPr>
              <w:t>Melanitta fusca</w:t>
            </w:r>
            <w:r w:rsidRPr="00403B4F">
              <w:rPr>
                <w:rFonts w:eastAsiaTheme="minorEastAsia"/>
                <w:sz w:val="20"/>
                <w:szCs w:val="20"/>
                <w:lang w:eastAsia="zh-CN"/>
              </w:rPr>
              <w:t>）、红喉潜鸟（</w:t>
            </w:r>
            <w:r w:rsidRPr="00403B4F">
              <w:rPr>
                <w:rFonts w:eastAsiaTheme="minorEastAsia"/>
                <w:sz w:val="20"/>
                <w:szCs w:val="20"/>
                <w:lang w:eastAsia="zh-CN"/>
              </w:rPr>
              <w:t>Gavia stellata</w:t>
            </w:r>
            <w:r w:rsidRPr="00403B4F">
              <w:rPr>
                <w:rFonts w:eastAsiaTheme="minorEastAsia"/>
                <w:sz w:val="20"/>
                <w:szCs w:val="20"/>
                <w:lang w:eastAsia="zh-CN"/>
              </w:rPr>
              <w:t>））数量可能增加几倍或几十倍。泻湖中有各类大型淡水鱼类区系，是候鸟和海洋鱼类的永久或临时栖息地。</w:t>
            </w:r>
            <w:r w:rsidRPr="00C7353E">
              <w:rPr>
                <w:rStyle w:val="Emphasis"/>
                <w:rFonts w:eastAsiaTheme="minorEastAsia"/>
                <w:b w:val="0"/>
                <w:sz w:val="20"/>
                <w:szCs w:val="20"/>
              </w:rPr>
              <w:t>库洛尼亚</w:t>
            </w:r>
            <w:r w:rsidRPr="00C7353E">
              <w:rPr>
                <w:rFonts w:eastAsiaTheme="minorEastAsia"/>
                <w:sz w:val="20"/>
                <w:szCs w:val="20"/>
              </w:rPr>
              <w:t>泻湖是</w:t>
            </w:r>
            <w:r w:rsidRPr="00C7353E">
              <w:rPr>
                <w:rStyle w:val="Emphasis"/>
                <w:rFonts w:eastAsiaTheme="minorEastAsia"/>
                <w:b w:val="0"/>
                <w:sz w:val="20"/>
                <w:szCs w:val="20"/>
              </w:rPr>
              <w:t>芬塔西鯡</w:t>
            </w:r>
            <w:r w:rsidRPr="00C7353E">
              <w:rPr>
                <w:rFonts w:eastAsiaTheme="minorEastAsia"/>
                <w:b/>
                <w:sz w:val="20"/>
                <w:szCs w:val="20"/>
              </w:rPr>
              <w:t>（</w:t>
            </w:r>
            <w:r w:rsidRPr="00403B4F">
              <w:rPr>
                <w:rFonts w:eastAsiaTheme="minorEastAsia"/>
                <w:sz w:val="20"/>
                <w:szCs w:val="20"/>
              </w:rPr>
              <w:t>Allosa fallax</w:t>
            </w:r>
            <w:r w:rsidRPr="00403B4F">
              <w:rPr>
                <w:rFonts w:eastAsiaTheme="minorEastAsia"/>
                <w:sz w:val="20"/>
                <w:szCs w:val="20"/>
              </w:rPr>
              <w:t>）的重要产卵和恢复区。</w:t>
            </w:r>
            <w:r w:rsidRPr="00403B4F">
              <w:rPr>
                <w:rFonts w:eastAsiaTheme="minorEastAsia"/>
                <w:sz w:val="20"/>
                <w:szCs w:val="20"/>
              </w:rPr>
              <w:t xml:space="preserve"> </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lastRenderedPageBreak/>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1A42F8">
            <w:pPr>
              <w:pStyle w:val="ListParagraph"/>
              <w:numPr>
                <w:ilvl w:val="0"/>
                <w:numId w:val="174"/>
              </w:numPr>
              <w:suppressAutoHyphens/>
              <w:spacing w:before="0" w:after="0"/>
              <w:contextualSpacing/>
              <w:rPr>
                <w:rFonts w:eastAsiaTheme="minorEastAsia"/>
                <w:b/>
                <w:sz w:val="20"/>
                <w:szCs w:val="20"/>
              </w:rPr>
            </w:pPr>
            <w:r w:rsidRPr="00403B4F">
              <w:rPr>
                <w:rFonts w:eastAsiaTheme="minorEastAsia"/>
                <w:b/>
                <w:sz w:val="20"/>
                <w:szCs w:val="20"/>
              </w:rPr>
              <w:lastRenderedPageBreak/>
              <w:t>南哥特兰</w:t>
            </w:r>
            <w:r w:rsidRPr="00403B4F">
              <w:rPr>
                <w:rStyle w:val="Emphasis"/>
                <w:rFonts w:eastAsiaTheme="minorEastAsia"/>
                <w:b w:val="0"/>
                <w:sz w:val="20"/>
                <w:szCs w:val="20"/>
              </w:rPr>
              <w:t>港湾</w:t>
            </w:r>
            <w:r w:rsidRPr="00403B4F">
              <w:rPr>
                <w:rStyle w:val="st"/>
                <w:rFonts w:eastAsiaTheme="minorEastAsia"/>
                <w:b/>
                <w:sz w:val="20"/>
                <w:szCs w:val="20"/>
              </w:rPr>
              <w:t>鼠海豚</w:t>
            </w:r>
            <w:r w:rsidRPr="00403B4F">
              <w:rPr>
                <w:rFonts w:eastAsiaTheme="minorEastAsia"/>
                <w:b/>
                <w:sz w:val="20"/>
                <w:szCs w:val="20"/>
              </w:rPr>
              <w:t>区</w:t>
            </w:r>
          </w:p>
          <w:p w:rsidR="00772406" w:rsidRPr="00403B4F" w:rsidRDefault="00772406" w:rsidP="001A42F8">
            <w:pPr>
              <w:numPr>
                <w:ilvl w:val="0"/>
                <w:numId w:val="133"/>
              </w:numPr>
              <w:suppressAutoHyphens/>
              <w:spacing w:before="0" w:after="0"/>
              <w:rPr>
                <w:rFonts w:eastAsiaTheme="minorEastAsia"/>
                <w:sz w:val="20"/>
                <w:szCs w:val="20"/>
              </w:rPr>
            </w:pPr>
            <w:r w:rsidRPr="00403B4F">
              <w:rPr>
                <w:rFonts w:eastAsiaTheme="minorEastAsia"/>
                <w:sz w:val="20"/>
                <w:szCs w:val="20"/>
                <w:lang w:eastAsia="zh-CN"/>
              </w:rPr>
              <w:t>位置：该区位于海岸与哥特兰岛和厄兰岛之间，向南延伸到波罗的海四大离岸浅滩中的三个（北纬</w:t>
            </w:r>
            <w:r w:rsidRPr="00403B4F">
              <w:rPr>
                <w:rFonts w:eastAsiaTheme="minorEastAsia"/>
                <w:sz w:val="20"/>
                <w:szCs w:val="20"/>
                <w:lang w:eastAsia="zh-CN"/>
              </w:rPr>
              <w:t>58.1</w:t>
            </w:r>
            <w:r w:rsidRPr="00403B4F">
              <w:rPr>
                <w:rFonts w:eastAsiaTheme="minorEastAsia"/>
                <w:sz w:val="20"/>
                <w:szCs w:val="20"/>
                <w:lang w:eastAsia="zh-CN"/>
              </w:rPr>
              <w:t>和</w:t>
            </w:r>
            <w:r w:rsidRPr="00403B4F">
              <w:rPr>
                <w:rFonts w:eastAsiaTheme="minorEastAsia"/>
                <w:sz w:val="20"/>
                <w:szCs w:val="20"/>
                <w:lang w:eastAsia="zh-CN"/>
              </w:rPr>
              <w:t>55.4</w:t>
            </w:r>
            <w:r w:rsidRPr="00403B4F">
              <w:rPr>
                <w:rFonts w:eastAsiaTheme="minorEastAsia"/>
                <w:sz w:val="20"/>
                <w:szCs w:val="20"/>
                <w:lang w:eastAsia="zh-CN"/>
              </w:rPr>
              <w:t>，东经</w:t>
            </w:r>
            <w:r w:rsidRPr="00403B4F">
              <w:rPr>
                <w:rFonts w:eastAsiaTheme="minorEastAsia"/>
                <w:sz w:val="20"/>
                <w:szCs w:val="20"/>
                <w:lang w:eastAsia="zh-CN"/>
              </w:rPr>
              <w:t>14.68</w:t>
            </w:r>
            <w:r w:rsidRPr="00403B4F">
              <w:rPr>
                <w:rFonts w:eastAsiaTheme="minorEastAsia"/>
                <w:sz w:val="20"/>
                <w:szCs w:val="20"/>
                <w:lang w:eastAsia="zh-CN"/>
              </w:rPr>
              <w:t>和</w:t>
            </w:r>
            <w:r w:rsidRPr="00403B4F">
              <w:rPr>
                <w:rFonts w:eastAsiaTheme="minorEastAsia"/>
                <w:sz w:val="20"/>
                <w:szCs w:val="20"/>
                <w:lang w:eastAsia="zh-CN"/>
              </w:rPr>
              <w:t>19.55</w:t>
            </w:r>
            <w:r w:rsidRPr="00403B4F">
              <w:rPr>
                <w:rFonts w:eastAsiaTheme="minorEastAsia"/>
                <w:sz w:val="20"/>
                <w:szCs w:val="20"/>
                <w:lang w:eastAsia="zh-CN"/>
              </w:rPr>
              <w:t>）。</w:t>
            </w:r>
            <w:r w:rsidRPr="00403B4F">
              <w:rPr>
                <w:rFonts w:eastAsiaTheme="minorEastAsia"/>
                <w:sz w:val="20"/>
                <w:szCs w:val="20"/>
              </w:rPr>
              <w:t>总面积</w:t>
            </w:r>
            <w:r w:rsidRPr="00403B4F">
              <w:rPr>
                <w:rFonts w:eastAsiaTheme="minorEastAsia"/>
                <w:sz w:val="20"/>
                <w:szCs w:val="20"/>
              </w:rPr>
              <w:t>29,242</w:t>
            </w:r>
            <w:r w:rsidRPr="00403B4F">
              <w:rPr>
                <w:rFonts w:eastAsiaTheme="minorEastAsia"/>
                <w:sz w:val="20"/>
                <w:szCs w:val="20"/>
              </w:rPr>
              <w:t>平方公里。</w:t>
            </w:r>
          </w:p>
          <w:p w:rsidR="00772406" w:rsidRPr="00403B4F" w:rsidRDefault="00772406" w:rsidP="001A42F8">
            <w:pPr>
              <w:numPr>
                <w:ilvl w:val="0"/>
                <w:numId w:val="133"/>
              </w:numPr>
              <w:suppressAutoHyphens/>
              <w:spacing w:before="0" w:after="0"/>
              <w:rPr>
                <w:rFonts w:eastAsiaTheme="minorEastAsia"/>
                <w:lang w:eastAsia="zh-CN"/>
              </w:rPr>
            </w:pPr>
            <w:r w:rsidRPr="00403B4F">
              <w:rPr>
                <w:rFonts w:eastAsiaTheme="minorEastAsia"/>
                <w:sz w:val="20"/>
                <w:szCs w:val="20"/>
                <w:lang w:eastAsia="zh-CN"/>
              </w:rPr>
              <w:t>该区涵盖波罗的海厄兰岛和哥特兰岛一带严重濒危港湾鼠海豚（</w:t>
            </w:r>
            <w:r w:rsidRPr="00403B4F">
              <w:rPr>
                <w:rFonts w:eastAsiaTheme="minorEastAsia"/>
                <w:sz w:val="20"/>
                <w:szCs w:val="20"/>
                <w:lang w:eastAsia="zh-CN"/>
              </w:rPr>
              <w:t>Phocoena phocoena</w:t>
            </w:r>
            <w:r w:rsidRPr="00403B4F">
              <w:rPr>
                <w:rFonts w:eastAsiaTheme="minorEastAsia"/>
                <w:sz w:val="20"/>
                <w:szCs w:val="20"/>
                <w:lang w:eastAsia="zh-CN"/>
              </w:rPr>
              <w:t>）亚群核心分布区，是该群落的重要繁殖区。</w:t>
            </w:r>
            <w:r w:rsidRPr="00403B4F">
              <w:rPr>
                <w:rFonts w:eastAsiaTheme="minorEastAsia"/>
                <w:sz w:val="20"/>
                <w:szCs w:val="20"/>
                <w:lang w:eastAsia="zh-CN"/>
              </w:rPr>
              <w:t>Midsjöbankarna</w:t>
            </w:r>
            <w:r w:rsidRPr="00403B4F">
              <w:rPr>
                <w:rFonts w:eastAsiaTheme="minorEastAsia"/>
                <w:sz w:val="20"/>
                <w:szCs w:val="20"/>
                <w:lang w:eastAsia="zh-CN"/>
              </w:rPr>
              <w:t>和</w:t>
            </w:r>
            <w:r w:rsidRPr="00403B4F">
              <w:rPr>
                <w:rFonts w:eastAsiaTheme="minorEastAsia"/>
                <w:sz w:val="20"/>
                <w:szCs w:val="20"/>
                <w:lang w:eastAsia="zh-CN"/>
              </w:rPr>
              <w:t>Hoburg</w:t>
            </w:r>
            <w:r w:rsidRPr="00403B4F">
              <w:rPr>
                <w:rFonts w:eastAsiaTheme="minorEastAsia"/>
                <w:sz w:val="20"/>
                <w:szCs w:val="20"/>
                <w:lang w:eastAsia="zh-CN"/>
              </w:rPr>
              <w:t>浅滩是最重要的波罗的海港湾鼠海豚区域。估计有</w:t>
            </w:r>
            <w:r w:rsidRPr="00403B4F">
              <w:rPr>
                <w:rFonts w:eastAsiaTheme="minorEastAsia"/>
                <w:sz w:val="20"/>
                <w:szCs w:val="20"/>
                <w:lang w:eastAsia="zh-CN"/>
              </w:rPr>
              <w:t>497</w:t>
            </w:r>
            <w:r w:rsidRPr="00403B4F">
              <w:rPr>
                <w:rFonts w:eastAsiaTheme="minorEastAsia"/>
                <w:sz w:val="20"/>
                <w:szCs w:val="20"/>
                <w:lang w:eastAsia="zh-CN"/>
              </w:rPr>
              <w:t>头。其群落数量</w:t>
            </w:r>
            <w:r w:rsidRPr="00403B4F">
              <w:rPr>
                <w:rFonts w:eastAsiaTheme="minorEastAsia"/>
                <w:sz w:val="20"/>
                <w:szCs w:val="20"/>
                <w:lang w:eastAsia="zh-CN"/>
              </w:rPr>
              <w:t>20</w:t>
            </w:r>
            <w:r w:rsidRPr="00403B4F">
              <w:rPr>
                <w:rFonts w:eastAsiaTheme="minorEastAsia"/>
                <w:sz w:val="20"/>
                <w:szCs w:val="20"/>
                <w:lang w:eastAsia="zh-CN"/>
              </w:rPr>
              <w:t>世纪中叶以来锐减。该区也是易危港湾鼠海豚</w:t>
            </w:r>
            <w:r w:rsidRPr="00403B4F">
              <w:rPr>
                <w:rFonts w:eastAsiaTheme="minorEastAsia"/>
                <w:sz w:val="20"/>
                <w:szCs w:val="20"/>
                <w:lang w:eastAsia="zh-CN"/>
              </w:rPr>
              <w:t>Kalmarsund</w:t>
            </w:r>
            <w:r w:rsidRPr="00403B4F">
              <w:rPr>
                <w:rFonts w:eastAsiaTheme="minorEastAsia"/>
                <w:sz w:val="20"/>
                <w:szCs w:val="20"/>
                <w:lang w:eastAsia="zh-CN"/>
              </w:rPr>
              <w:t>亚群（</w:t>
            </w:r>
            <w:r w:rsidRPr="00403B4F">
              <w:rPr>
                <w:rFonts w:eastAsiaTheme="minorEastAsia"/>
                <w:sz w:val="20"/>
                <w:szCs w:val="20"/>
                <w:lang w:eastAsia="zh-CN"/>
              </w:rPr>
              <w:t>Phoca vitulina vitulina</w:t>
            </w:r>
            <w:r w:rsidRPr="00403B4F">
              <w:rPr>
                <w:rFonts w:eastAsiaTheme="minorEastAsia"/>
                <w:sz w:val="20"/>
                <w:szCs w:val="20"/>
                <w:lang w:eastAsia="zh-CN"/>
              </w:rPr>
              <w:t>）的家园，是濒危长尾鸭（</w:t>
            </w:r>
            <w:r w:rsidRPr="00403B4F">
              <w:rPr>
                <w:rFonts w:eastAsiaTheme="minorEastAsia"/>
                <w:sz w:val="20"/>
                <w:szCs w:val="20"/>
                <w:lang w:eastAsia="zh-CN"/>
              </w:rPr>
              <w:t>Clangula hyemalis</w:t>
            </w:r>
            <w:r w:rsidRPr="00403B4F">
              <w:rPr>
                <w:rFonts w:eastAsiaTheme="minorEastAsia"/>
                <w:sz w:val="20"/>
                <w:szCs w:val="20"/>
                <w:lang w:eastAsia="zh-CN"/>
              </w:rPr>
              <w:t>）的主要越冬地。该区具有不同的地质和地貌特征，涵盖波罗的海四大离岸浅滩中的三个，构成独特的高能量环境。这些浅海区为滤食动物创造了高产条件，是比目鱼和大量越冬鸟的食物基地。</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1A42F8">
            <w:pPr>
              <w:pStyle w:val="ListParagraph"/>
              <w:keepNext/>
              <w:numPr>
                <w:ilvl w:val="0"/>
                <w:numId w:val="174"/>
              </w:numPr>
              <w:suppressAutoHyphens/>
              <w:spacing w:before="0" w:after="0"/>
              <w:contextualSpacing/>
              <w:rPr>
                <w:rFonts w:eastAsiaTheme="minorEastAsia"/>
                <w:b/>
                <w:sz w:val="20"/>
                <w:szCs w:val="20"/>
              </w:rPr>
            </w:pPr>
            <w:r w:rsidRPr="00403B4F">
              <w:rPr>
                <w:rFonts w:eastAsiaTheme="minorEastAsia"/>
                <w:b/>
                <w:sz w:val="20"/>
                <w:szCs w:val="20"/>
              </w:rPr>
              <w:t>费马恩带</w:t>
            </w:r>
          </w:p>
          <w:p w:rsidR="00772406" w:rsidRPr="00403B4F" w:rsidRDefault="00772406" w:rsidP="001A42F8">
            <w:pPr>
              <w:keepNext/>
              <w:numPr>
                <w:ilvl w:val="0"/>
                <w:numId w:val="131"/>
              </w:numPr>
              <w:suppressAutoHyphens/>
              <w:spacing w:before="0" w:after="0"/>
              <w:rPr>
                <w:rFonts w:eastAsiaTheme="minorEastAsia"/>
                <w:sz w:val="20"/>
                <w:szCs w:val="20"/>
                <w:lang w:eastAsia="zh-CN"/>
              </w:rPr>
            </w:pPr>
            <w:r w:rsidRPr="00403B4F">
              <w:rPr>
                <w:rFonts w:eastAsiaTheme="minorEastAsia"/>
                <w:sz w:val="20"/>
                <w:szCs w:val="20"/>
                <w:lang w:eastAsia="zh-CN"/>
              </w:rPr>
              <w:t>位置：面积</w:t>
            </w:r>
            <w:r w:rsidRPr="00403B4F">
              <w:rPr>
                <w:rFonts w:eastAsiaTheme="minorEastAsia"/>
                <w:sz w:val="20"/>
                <w:szCs w:val="20"/>
                <w:lang w:eastAsia="zh-CN"/>
              </w:rPr>
              <w:t>1,652</w:t>
            </w:r>
            <w:r w:rsidRPr="00403B4F">
              <w:rPr>
                <w:rFonts w:eastAsiaTheme="minorEastAsia"/>
                <w:sz w:val="20"/>
                <w:szCs w:val="20"/>
                <w:lang w:eastAsia="zh-CN"/>
              </w:rPr>
              <w:t>平方公里，位于波罗的海西南部的赫尔辛基委员会亚盆地基尔湾和梅克伦堡湾。</w:t>
            </w:r>
          </w:p>
          <w:p w:rsidR="00772406" w:rsidRPr="00403B4F" w:rsidRDefault="00772406" w:rsidP="001A42F8">
            <w:pPr>
              <w:keepNext/>
              <w:numPr>
                <w:ilvl w:val="0"/>
                <w:numId w:val="131"/>
              </w:numPr>
              <w:suppressAutoHyphens/>
              <w:spacing w:before="0" w:after="0"/>
              <w:rPr>
                <w:rFonts w:eastAsiaTheme="minorEastAsia"/>
                <w:lang w:eastAsia="zh-CN"/>
              </w:rPr>
            </w:pPr>
            <w:r w:rsidRPr="00403B4F">
              <w:rPr>
                <w:rFonts w:eastAsiaTheme="minorEastAsia"/>
                <w:sz w:val="20"/>
                <w:szCs w:val="20"/>
                <w:lang w:eastAsia="zh-CN"/>
              </w:rPr>
              <w:t>费马恩带是波罗的海和大西洋之间的主要水交换通道，承载</w:t>
            </w:r>
            <w:r w:rsidRPr="00403B4F">
              <w:rPr>
                <w:rFonts w:eastAsiaTheme="minorEastAsia"/>
                <w:sz w:val="20"/>
                <w:szCs w:val="20"/>
                <w:lang w:eastAsia="zh-CN"/>
              </w:rPr>
              <w:t>70-75</w:t>
            </w:r>
            <w:r w:rsidRPr="00403B4F">
              <w:rPr>
                <w:rFonts w:eastAsiaTheme="minorEastAsia"/>
                <w:sz w:val="20"/>
                <w:szCs w:val="20"/>
                <w:lang w:eastAsia="zh-CN"/>
              </w:rPr>
              <w:t>％的水量。该区对迁徙水生物种例如海港鼠海豚的西部种群数量十分重要。对于迁徙和越冬水禽也具有很高的区域重要性。该区长期暴露在咸水中，且底部结构复杂，形成了各类物种群体的底栖群落生境</w:t>
            </w:r>
            <w:r w:rsidRPr="00403B4F">
              <w:rPr>
                <w:rFonts w:eastAsiaTheme="minorEastAsia"/>
                <w:sz w:val="20"/>
                <w:szCs w:val="20"/>
                <w:lang w:eastAsia="zh-CN"/>
              </w:rPr>
              <w:t>“</w:t>
            </w:r>
            <w:r w:rsidRPr="00403B4F">
              <w:rPr>
                <w:rFonts w:eastAsiaTheme="minorEastAsia"/>
                <w:sz w:val="20"/>
                <w:szCs w:val="20"/>
                <w:lang w:eastAsia="zh-CN"/>
              </w:rPr>
              <w:t>马赛克</w:t>
            </w:r>
            <w:r w:rsidRPr="00403B4F">
              <w:rPr>
                <w:rFonts w:eastAsiaTheme="minorEastAsia"/>
                <w:sz w:val="20"/>
                <w:szCs w:val="20"/>
                <w:lang w:eastAsia="zh-CN"/>
              </w:rPr>
              <w:t>”</w:t>
            </w:r>
            <w:r w:rsidRPr="00403B4F">
              <w:rPr>
                <w:rFonts w:eastAsiaTheme="minorEastAsia"/>
                <w:sz w:val="20"/>
                <w:szCs w:val="20"/>
                <w:lang w:eastAsia="zh-CN"/>
              </w:rPr>
              <w:t>。除了几个濒危和受保护栖息地和底栖物种外，该区对以</w:t>
            </w:r>
            <w:r w:rsidRPr="00403B4F">
              <w:rPr>
                <w:rStyle w:val="st"/>
                <w:rFonts w:eastAsiaTheme="minorEastAsia"/>
                <w:sz w:val="20"/>
                <w:szCs w:val="20"/>
                <w:lang w:eastAsia="zh-CN"/>
              </w:rPr>
              <w:t>海蛤（</w:t>
            </w:r>
            <w:r w:rsidRPr="00403B4F">
              <w:rPr>
                <w:rFonts w:eastAsiaTheme="minorEastAsia"/>
                <w:sz w:val="20"/>
                <w:szCs w:val="20"/>
                <w:lang w:eastAsia="zh-CN"/>
              </w:rPr>
              <w:t>世界上最长寿的物种之一）为首</w:t>
            </w:r>
            <w:r w:rsidRPr="00403B4F">
              <w:rPr>
                <w:rStyle w:val="st"/>
                <w:rFonts w:eastAsiaTheme="minorEastAsia"/>
                <w:sz w:val="20"/>
                <w:szCs w:val="20"/>
                <w:lang w:eastAsia="zh-CN"/>
              </w:rPr>
              <w:t>的</w:t>
            </w:r>
            <w:r w:rsidRPr="00403B4F">
              <w:rPr>
                <w:rFonts w:eastAsiaTheme="minorEastAsia"/>
                <w:sz w:val="20"/>
                <w:szCs w:val="20"/>
                <w:lang w:eastAsia="zh-CN"/>
              </w:rPr>
              <w:t>严重濒危群落生境具有区域重要性。</w:t>
            </w:r>
          </w:p>
        </w:tc>
        <w:tc>
          <w:tcPr>
            <w:tcW w:w="506" w:type="dxa"/>
            <w:vAlign w:val="center"/>
          </w:tcPr>
          <w:p w:rsidR="00772406" w:rsidRPr="00403B4F" w:rsidRDefault="00772406" w:rsidP="00403B4F">
            <w:pPr>
              <w:keepNext/>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keepNext/>
              <w:snapToGrid w:val="0"/>
              <w:spacing w:before="0" w:after="0"/>
              <w:rPr>
                <w:rFonts w:eastAsiaTheme="minorEastAsia"/>
              </w:rPr>
            </w:pPr>
            <w:r w:rsidRPr="00403B4F">
              <w:rPr>
                <w:rFonts w:eastAsiaTheme="minorEastAsia"/>
              </w:rPr>
              <w:t>H</w:t>
            </w:r>
          </w:p>
        </w:tc>
        <w:tc>
          <w:tcPr>
            <w:tcW w:w="506" w:type="dxa"/>
            <w:vAlign w:val="center"/>
          </w:tcPr>
          <w:p w:rsidR="00772406" w:rsidRPr="00403B4F" w:rsidRDefault="00772406" w:rsidP="00403B4F">
            <w:pPr>
              <w:keepNext/>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keepNext/>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keepNext/>
              <w:snapToGrid w:val="0"/>
              <w:spacing w:before="0" w:after="0"/>
              <w:jc w:val="center"/>
              <w:rPr>
                <w:rFonts w:eastAsiaTheme="minorEastAsia"/>
              </w:rPr>
            </w:pPr>
            <w:r w:rsidRPr="00403B4F">
              <w:rPr>
                <w:rFonts w:eastAsiaTheme="minorEastAsia"/>
              </w:rPr>
              <w:t>L</w:t>
            </w:r>
          </w:p>
        </w:tc>
        <w:tc>
          <w:tcPr>
            <w:tcW w:w="506" w:type="dxa"/>
            <w:vAlign w:val="center"/>
          </w:tcPr>
          <w:p w:rsidR="00772406" w:rsidRPr="00403B4F" w:rsidRDefault="00772406" w:rsidP="00403B4F">
            <w:pPr>
              <w:keepNext/>
              <w:snapToGrid w:val="0"/>
              <w:spacing w:before="0" w:after="0"/>
              <w:jc w:val="center"/>
              <w:rPr>
                <w:rFonts w:eastAsiaTheme="minorEastAsia"/>
              </w:rPr>
            </w:pPr>
            <w:r w:rsidRPr="00403B4F">
              <w:rPr>
                <w:rFonts w:eastAsiaTheme="minorEastAsia"/>
              </w:rPr>
              <w:t>H</w:t>
            </w:r>
          </w:p>
        </w:tc>
        <w:tc>
          <w:tcPr>
            <w:tcW w:w="507" w:type="dxa"/>
            <w:vAlign w:val="center"/>
          </w:tcPr>
          <w:p w:rsidR="00772406" w:rsidRPr="00403B4F" w:rsidRDefault="00772406" w:rsidP="00403B4F">
            <w:pPr>
              <w:keepNext/>
              <w:snapToGrid w:val="0"/>
              <w:spacing w:before="0" w:after="0"/>
              <w:jc w:val="center"/>
              <w:rPr>
                <w:rFonts w:eastAsiaTheme="minorEastAsia"/>
              </w:rPr>
            </w:pPr>
            <w:r w:rsidRPr="00403B4F">
              <w:rPr>
                <w:rFonts w:eastAsiaTheme="minorEastAsia"/>
              </w:rPr>
              <w:t>M</w:t>
            </w:r>
          </w:p>
        </w:tc>
      </w:tr>
      <w:tr w:rsidR="00772406" w:rsidRPr="00403B4F" w:rsidTr="00772406">
        <w:tc>
          <w:tcPr>
            <w:tcW w:w="9687" w:type="dxa"/>
            <w:shd w:val="clear" w:color="auto" w:fill="auto"/>
          </w:tcPr>
          <w:p w:rsidR="00772406" w:rsidRPr="00403B4F" w:rsidRDefault="00772406" w:rsidP="001A42F8">
            <w:pPr>
              <w:pStyle w:val="ListParagraph"/>
              <w:keepNext/>
              <w:numPr>
                <w:ilvl w:val="0"/>
                <w:numId w:val="174"/>
              </w:numPr>
              <w:suppressAutoHyphens/>
              <w:spacing w:before="0" w:after="0"/>
              <w:contextualSpacing/>
              <w:rPr>
                <w:rFonts w:eastAsiaTheme="minorEastAsia"/>
                <w:b/>
                <w:sz w:val="20"/>
                <w:szCs w:val="20"/>
                <w:lang w:eastAsia="zh-CN"/>
              </w:rPr>
            </w:pPr>
            <w:r w:rsidRPr="00403B4F">
              <w:rPr>
                <w:rFonts w:eastAsiaTheme="minorEastAsia"/>
                <w:b/>
                <w:sz w:val="20"/>
                <w:szCs w:val="20"/>
                <w:lang w:eastAsia="zh-CN"/>
              </w:rPr>
              <w:t>弗拉登浅滩、斯道拉浅滩和里拉浅滩</w:t>
            </w:r>
          </w:p>
          <w:p w:rsidR="00772406" w:rsidRPr="00403B4F" w:rsidRDefault="00772406" w:rsidP="001A42F8">
            <w:pPr>
              <w:pStyle w:val="ListBullet"/>
              <w:numPr>
                <w:ilvl w:val="0"/>
                <w:numId w:val="171"/>
              </w:numPr>
              <w:tabs>
                <w:tab w:val="clear" w:pos="-661"/>
              </w:tabs>
              <w:suppressAutoHyphens/>
              <w:spacing w:before="0" w:after="0"/>
              <w:rPr>
                <w:rFonts w:eastAsiaTheme="minorEastAsia"/>
                <w:sz w:val="20"/>
                <w:szCs w:val="20"/>
              </w:rPr>
            </w:pPr>
            <w:r w:rsidRPr="00403B4F">
              <w:rPr>
                <w:rFonts w:eastAsiaTheme="minorEastAsia"/>
                <w:sz w:val="20"/>
                <w:szCs w:val="20"/>
                <w:lang w:eastAsia="zh-CN"/>
              </w:rPr>
              <w:t>位置：位于北纬</w:t>
            </w:r>
            <w:r w:rsidRPr="00403B4F">
              <w:rPr>
                <w:rFonts w:eastAsiaTheme="minorEastAsia"/>
                <w:sz w:val="20"/>
                <w:szCs w:val="20"/>
                <w:lang w:eastAsia="zh-CN"/>
              </w:rPr>
              <w:t>56º30'</w:t>
            </w:r>
            <w:r w:rsidRPr="00403B4F">
              <w:rPr>
                <w:rFonts w:eastAsiaTheme="minorEastAsia"/>
                <w:sz w:val="20"/>
                <w:szCs w:val="20"/>
                <w:lang w:eastAsia="zh-CN"/>
              </w:rPr>
              <w:t>和</w:t>
            </w:r>
            <w:r w:rsidRPr="00403B4F">
              <w:rPr>
                <w:rFonts w:eastAsiaTheme="minorEastAsia"/>
                <w:sz w:val="20"/>
                <w:szCs w:val="20"/>
                <w:lang w:eastAsia="zh-CN"/>
              </w:rPr>
              <w:t>57º14'</w:t>
            </w:r>
            <w:r w:rsidRPr="00403B4F">
              <w:rPr>
                <w:rFonts w:eastAsiaTheme="minorEastAsia"/>
                <w:sz w:val="20"/>
                <w:szCs w:val="20"/>
                <w:lang w:eastAsia="zh-CN"/>
              </w:rPr>
              <w:t>之间，东经</w:t>
            </w:r>
            <w:r w:rsidRPr="00403B4F">
              <w:rPr>
                <w:rFonts w:eastAsiaTheme="minorEastAsia"/>
                <w:sz w:val="20"/>
                <w:szCs w:val="20"/>
                <w:lang w:eastAsia="zh-CN"/>
              </w:rPr>
              <w:t>11º40'</w:t>
            </w:r>
            <w:r w:rsidRPr="00403B4F">
              <w:rPr>
                <w:rFonts w:eastAsiaTheme="minorEastAsia"/>
                <w:sz w:val="20"/>
                <w:szCs w:val="20"/>
                <w:lang w:eastAsia="zh-CN"/>
              </w:rPr>
              <w:t>和</w:t>
            </w:r>
            <w:r w:rsidRPr="00403B4F">
              <w:rPr>
                <w:rFonts w:eastAsiaTheme="minorEastAsia"/>
                <w:sz w:val="20"/>
                <w:szCs w:val="20"/>
                <w:lang w:eastAsia="zh-CN"/>
              </w:rPr>
              <w:t>12º0'</w:t>
            </w:r>
            <w:r w:rsidRPr="00403B4F">
              <w:rPr>
                <w:rFonts w:eastAsiaTheme="minorEastAsia"/>
                <w:sz w:val="20"/>
                <w:szCs w:val="20"/>
                <w:lang w:eastAsia="zh-CN"/>
              </w:rPr>
              <w:t>之间，涵盖卡特加特海峡中部（瑞典和丹麦之间的浅水区）。</w:t>
            </w:r>
            <w:r w:rsidRPr="00403B4F">
              <w:rPr>
                <w:rFonts w:eastAsiaTheme="minorEastAsia"/>
                <w:sz w:val="20"/>
                <w:szCs w:val="20"/>
              </w:rPr>
              <w:t>总面积</w:t>
            </w:r>
            <w:r w:rsidRPr="00403B4F">
              <w:rPr>
                <w:rFonts w:eastAsiaTheme="minorEastAsia"/>
                <w:sz w:val="20"/>
                <w:szCs w:val="20"/>
              </w:rPr>
              <w:t>615</w:t>
            </w:r>
            <w:r w:rsidRPr="00403B4F">
              <w:rPr>
                <w:rFonts w:eastAsiaTheme="minorEastAsia"/>
                <w:sz w:val="20"/>
                <w:szCs w:val="20"/>
              </w:rPr>
              <w:t>平方公里。</w:t>
            </w:r>
          </w:p>
          <w:p w:rsidR="00772406" w:rsidRPr="00403B4F" w:rsidRDefault="00772406" w:rsidP="001A42F8">
            <w:pPr>
              <w:pStyle w:val="ListBullet"/>
              <w:numPr>
                <w:ilvl w:val="0"/>
                <w:numId w:val="171"/>
              </w:numPr>
              <w:tabs>
                <w:tab w:val="clear" w:pos="-661"/>
              </w:tabs>
              <w:suppressAutoHyphens/>
              <w:spacing w:before="0" w:after="0"/>
              <w:rPr>
                <w:rFonts w:eastAsiaTheme="minorEastAsia"/>
              </w:rPr>
            </w:pPr>
            <w:r w:rsidRPr="00403B4F">
              <w:rPr>
                <w:rFonts w:eastAsiaTheme="minorEastAsia"/>
                <w:sz w:val="20"/>
                <w:szCs w:val="20"/>
                <w:lang w:eastAsia="zh-CN"/>
              </w:rPr>
              <w:t>弗拉登、斯道拉和里拉是卡特加特海峡三大离岸浅滩。均由巨石和岩石组成，地形多变，还有沙洲壳砾石，增加了生境的多样性。最浅水区水深</w:t>
            </w:r>
            <w:r w:rsidRPr="00403B4F">
              <w:rPr>
                <w:rFonts w:eastAsiaTheme="minorEastAsia"/>
                <w:sz w:val="20"/>
                <w:szCs w:val="20"/>
                <w:lang w:eastAsia="zh-CN"/>
              </w:rPr>
              <w:t>6</w:t>
            </w:r>
            <w:r w:rsidRPr="00403B4F">
              <w:rPr>
                <w:rFonts w:eastAsiaTheme="minorEastAsia"/>
                <w:sz w:val="20"/>
                <w:szCs w:val="20"/>
                <w:lang w:eastAsia="zh-CN"/>
              </w:rPr>
              <w:t>米，密布海带林，栖息着多种鱼类和无脊椎动物物种。该区拥有独特的生境，如气泡珊瑚礁、红藻球床和宽阔的偏顶蛤（</w:t>
            </w:r>
            <w:r w:rsidRPr="00403B4F">
              <w:rPr>
                <w:rFonts w:eastAsiaTheme="minorEastAsia"/>
                <w:sz w:val="20"/>
                <w:szCs w:val="20"/>
                <w:lang w:eastAsia="zh-CN"/>
              </w:rPr>
              <w:t>Modiolus modiolus</w:t>
            </w:r>
            <w:r w:rsidRPr="00403B4F">
              <w:rPr>
                <w:rFonts w:eastAsiaTheme="minorEastAsia"/>
                <w:sz w:val="20"/>
                <w:szCs w:val="20"/>
                <w:lang w:eastAsia="zh-CN"/>
              </w:rPr>
              <w:t>）床。该区鱼类、无脊椎动物和藻类密度高，还有大量稀有和濒危物种。浅滩对海鸟具有国际重要性，此外记录到的港湾鼠海豚密度也很高。</w:t>
            </w:r>
            <w:r w:rsidRPr="00403B4F">
              <w:rPr>
                <w:rFonts w:eastAsiaTheme="minorEastAsia"/>
                <w:sz w:val="20"/>
                <w:szCs w:val="20"/>
              </w:rPr>
              <w:t>该区</w:t>
            </w:r>
            <w:r w:rsidRPr="00403B4F">
              <w:rPr>
                <w:rFonts w:eastAsiaTheme="minorEastAsia"/>
                <w:sz w:val="20"/>
                <w:szCs w:val="20"/>
                <w:lang w:eastAsia="zh-CN"/>
              </w:rPr>
              <w:t>还是几种</w:t>
            </w:r>
            <w:r w:rsidRPr="00403B4F">
              <w:rPr>
                <w:rFonts w:eastAsiaTheme="minorEastAsia"/>
                <w:sz w:val="20"/>
                <w:szCs w:val="20"/>
              </w:rPr>
              <w:t>鱼类的</w:t>
            </w:r>
            <w:r w:rsidRPr="00403B4F">
              <w:rPr>
                <w:rFonts w:eastAsiaTheme="minorEastAsia"/>
                <w:sz w:val="20"/>
                <w:szCs w:val="20"/>
                <w:lang w:eastAsia="zh-CN"/>
              </w:rPr>
              <w:t>重要</w:t>
            </w:r>
            <w:r w:rsidRPr="00403B4F">
              <w:rPr>
                <w:rFonts w:eastAsiaTheme="minorEastAsia"/>
                <w:sz w:val="20"/>
                <w:szCs w:val="20"/>
              </w:rPr>
              <w:t>产卵</w:t>
            </w:r>
            <w:r w:rsidRPr="00403B4F">
              <w:rPr>
                <w:rFonts w:eastAsiaTheme="minorEastAsia"/>
                <w:sz w:val="20"/>
                <w:szCs w:val="20"/>
                <w:lang w:eastAsia="zh-CN"/>
              </w:rPr>
              <w:t>地</w:t>
            </w:r>
            <w:r w:rsidRPr="00403B4F">
              <w:rPr>
                <w:rFonts w:eastAsiaTheme="minorEastAsia"/>
                <w:sz w:val="20"/>
                <w:szCs w:val="20"/>
              </w:rPr>
              <w:t>。</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c>
          <w:tcPr>
            <w:tcW w:w="506"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H</w:t>
            </w:r>
          </w:p>
        </w:tc>
        <w:tc>
          <w:tcPr>
            <w:tcW w:w="507" w:type="dxa"/>
            <w:vAlign w:val="center"/>
          </w:tcPr>
          <w:p w:rsidR="00772406" w:rsidRPr="00403B4F" w:rsidRDefault="00772406" w:rsidP="00403B4F">
            <w:pPr>
              <w:snapToGrid w:val="0"/>
              <w:spacing w:before="0" w:after="0"/>
              <w:jc w:val="center"/>
              <w:rPr>
                <w:rFonts w:eastAsiaTheme="minorEastAsia"/>
              </w:rPr>
            </w:pPr>
            <w:r w:rsidRPr="00403B4F">
              <w:rPr>
                <w:rFonts w:eastAsiaTheme="minorEastAsia"/>
              </w:rPr>
              <w:t>M</w:t>
            </w:r>
          </w:p>
        </w:tc>
      </w:tr>
    </w:tbl>
    <w:p w:rsidR="00772406" w:rsidRPr="00403B4F" w:rsidRDefault="00772406" w:rsidP="00403B4F">
      <w:pPr>
        <w:pStyle w:val="Para1"/>
        <w:keepNext/>
        <w:keepLines/>
        <w:tabs>
          <w:tab w:val="clear" w:pos="360"/>
        </w:tabs>
        <w:spacing w:before="0" w:after="0"/>
        <w:jc w:val="center"/>
        <w:rPr>
          <w:rFonts w:eastAsiaTheme="minorEastAsia"/>
          <w:kern w:val="22"/>
          <w:sz w:val="24"/>
          <w:szCs w:val="24"/>
        </w:rPr>
      </w:pPr>
    </w:p>
    <w:p w:rsidR="00772406" w:rsidRPr="00403B4F" w:rsidRDefault="00772406" w:rsidP="00403B4F">
      <w:pPr>
        <w:pStyle w:val="Header"/>
        <w:suppressLineNumbers/>
        <w:suppressAutoHyphens/>
        <w:kinsoku w:val="0"/>
        <w:overflowPunct w:val="0"/>
        <w:autoSpaceDE w:val="0"/>
        <w:autoSpaceDN w:val="0"/>
        <w:spacing w:before="0" w:after="0"/>
        <w:jc w:val="center"/>
        <w:outlineLvl w:val="3"/>
        <w:rPr>
          <w:rFonts w:eastAsiaTheme="minorEastAsia"/>
          <w:b/>
          <w:snapToGrid w:val="0"/>
          <w:kern w:val="22"/>
        </w:rPr>
        <w:sectPr w:rsidR="00772406" w:rsidRPr="00403B4F" w:rsidSect="00772406">
          <w:headerReference w:type="even" r:id="rId70"/>
          <w:headerReference w:type="default" r:id="rId71"/>
          <w:footerReference w:type="even" r:id="rId72"/>
          <w:footerReference w:type="first" r:id="rId73"/>
          <w:pgSz w:w="15840" w:h="12240" w:orient="landscape"/>
          <w:pgMar w:top="1389" w:right="567" w:bottom="1389" w:left="1134" w:header="461" w:footer="720" w:gutter="0"/>
          <w:cols w:space="708"/>
          <w:docGrid w:linePitch="360"/>
        </w:sectPr>
      </w:pPr>
    </w:p>
    <w:p w:rsidR="00772406" w:rsidRPr="00523EB5" w:rsidRDefault="00772406" w:rsidP="00C7353E">
      <w:pPr>
        <w:keepNext/>
        <w:suppressLineNumbers/>
        <w:suppressAutoHyphens/>
        <w:kinsoku w:val="0"/>
        <w:overflowPunct w:val="0"/>
        <w:autoSpaceDE w:val="0"/>
        <w:autoSpaceDN w:val="0"/>
        <w:adjustRightInd w:val="0"/>
        <w:snapToGrid w:val="0"/>
        <w:ind w:firstLine="0"/>
        <w:jc w:val="center"/>
        <w:rPr>
          <w:rFonts w:ascii="KaiTi" w:eastAsia="KaiTi" w:hAnsi="KaiTi"/>
          <w:snapToGrid w:val="0"/>
          <w:kern w:val="22"/>
        </w:rPr>
      </w:pPr>
      <w:r w:rsidRPr="00523EB5">
        <w:rPr>
          <w:rFonts w:ascii="KaiTi" w:eastAsia="KaiTi" w:hAnsi="KaiTi" w:hint="eastAsia"/>
          <w:snapToGrid w:val="0"/>
          <w:kern w:val="22"/>
        </w:rPr>
        <w:lastRenderedPageBreak/>
        <w:t>附件二</w:t>
      </w:r>
    </w:p>
    <w:p w:rsidR="00772406" w:rsidRPr="00C9773D" w:rsidRDefault="00772406" w:rsidP="00C7353E">
      <w:pPr>
        <w:pStyle w:val="HEADINGNOTFORTOC"/>
        <w:keepNext w:val="0"/>
        <w:widowControl w:val="0"/>
        <w:suppressLineNumbers/>
        <w:tabs>
          <w:tab w:val="clear" w:pos="720"/>
        </w:tabs>
        <w:suppressAutoHyphens/>
        <w:kinsoku w:val="0"/>
        <w:overflowPunct w:val="0"/>
        <w:autoSpaceDE w:val="0"/>
        <w:autoSpaceDN w:val="0"/>
        <w:adjustRightInd w:val="0"/>
        <w:spacing w:before="120"/>
        <w:ind w:firstLine="0"/>
        <w:rPr>
          <w:rFonts w:eastAsiaTheme="minorEastAsia"/>
          <w:snapToGrid w:val="0"/>
          <w:kern w:val="22"/>
          <w:sz w:val="24"/>
          <w:lang w:eastAsia="zh-CN"/>
        </w:rPr>
      </w:pPr>
      <w:bookmarkStart w:id="121" w:name="_Toc6243734"/>
      <w:r w:rsidRPr="00C9773D">
        <w:rPr>
          <w:rFonts w:eastAsiaTheme="minorEastAsia"/>
          <w:sz w:val="24"/>
          <w:lang w:eastAsia="zh-CN"/>
        </w:rPr>
        <w:t>[</w:t>
      </w:r>
      <w:r w:rsidRPr="00C9773D">
        <w:rPr>
          <w:rFonts w:eastAsiaTheme="minorEastAsia"/>
          <w:sz w:val="24"/>
          <w:lang w:eastAsia="zh-CN"/>
        </w:rPr>
        <w:t>制定修改对具有重要生态或生物意义的海洋区域的描述以及描述新区域</w:t>
      </w:r>
      <w:r w:rsidRPr="00C9773D">
        <w:rPr>
          <w:rFonts w:eastAsiaTheme="minorEastAsia"/>
          <w:sz w:val="24"/>
          <w:lang w:eastAsia="zh-CN"/>
        </w:rPr>
        <w:br/>
      </w:r>
      <w:r w:rsidRPr="00C9773D">
        <w:rPr>
          <w:rFonts w:eastAsiaTheme="minorEastAsia"/>
          <w:sz w:val="24"/>
          <w:lang w:eastAsia="zh-CN"/>
        </w:rPr>
        <w:t>和加强这一进程的科学可信度和透明度的备选办法</w:t>
      </w:r>
      <w:bookmarkEnd w:id="121"/>
    </w:p>
    <w:p w:rsidR="00772406" w:rsidRPr="00C9773D" w:rsidRDefault="00772406" w:rsidP="00C7353E">
      <w:pPr>
        <w:pStyle w:val="Heading1"/>
        <w:keepNext w:val="0"/>
        <w:widowControl w:val="0"/>
        <w:suppressLineNumbers/>
        <w:tabs>
          <w:tab w:val="left" w:pos="360"/>
        </w:tabs>
        <w:suppressAutoHyphens/>
        <w:kinsoku w:val="0"/>
        <w:overflowPunct w:val="0"/>
        <w:autoSpaceDE w:val="0"/>
        <w:autoSpaceDN w:val="0"/>
        <w:adjustRightInd w:val="0"/>
        <w:spacing w:before="120" w:after="120"/>
        <w:ind w:firstLine="0"/>
        <w:rPr>
          <w:rFonts w:eastAsiaTheme="minorEastAsia" w:cs="Times New Roman"/>
          <w:b w:val="0"/>
          <w:snapToGrid w:val="0"/>
          <w:color w:val="000000"/>
          <w:kern w:val="22"/>
          <w:sz w:val="24"/>
          <w:lang w:eastAsia="zh-CN"/>
        </w:rPr>
      </w:pPr>
      <w:bookmarkStart w:id="122" w:name="_Toc6243735"/>
      <w:r w:rsidRPr="00C9773D">
        <w:rPr>
          <w:rFonts w:eastAsiaTheme="minorEastAsia" w:cs="Times New Roman"/>
          <w:snapToGrid w:val="0"/>
          <w:color w:val="000000"/>
          <w:kern w:val="22"/>
          <w:sz w:val="24"/>
          <w:lang w:eastAsia="zh-CN"/>
        </w:rPr>
        <w:t>一</w:t>
      </w:r>
      <w:r w:rsidRPr="00C9773D">
        <w:rPr>
          <w:rFonts w:eastAsiaTheme="minorEastAsia" w:cs="Times New Roman"/>
          <w:snapToGrid w:val="0"/>
          <w:color w:val="000000"/>
          <w:kern w:val="22"/>
          <w:sz w:val="24"/>
          <w:lang w:eastAsia="zh-CN"/>
        </w:rPr>
        <w:t xml:space="preserve">.  </w:t>
      </w:r>
      <w:r w:rsidRPr="00C9773D">
        <w:rPr>
          <w:rFonts w:eastAsiaTheme="minorEastAsia" w:cs="Times New Roman"/>
          <w:snapToGrid w:val="0"/>
          <w:color w:val="000000"/>
          <w:kern w:val="22"/>
          <w:sz w:val="24"/>
          <w:lang w:eastAsia="zh-CN"/>
        </w:rPr>
        <w:t>修改具有重要生态或生物意义的海洋区域</w:t>
      </w:r>
      <w:bookmarkEnd w:id="122"/>
    </w:p>
    <w:p w:rsidR="00772406" w:rsidRPr="00C9773D" w:rsidRDefault="00772406" w:rsidP="00C7353E">
      <w:pPr>
        <w:pStyle w:val="Heading2"/>
        <w:keepNext w:val="0"/>
        <w:widowControl w:val="0"/>
        <w:suppressLineNumbers/>
        <w:tabs>
          <w:tab w:val="left" w:pos="360"/>
        </w:tabs>
        <w:suppressAutoHyphens/>
        <w:kinsoku w:val="0"/>
        <w:overflowPunct w:val="0"/>
        <w:autoSpaceDE w:val="0"/>
        <w:autoSpaceDN w:val="0"/>
        <w:adjustRightInd w:val="0"/>
        <w:ind w:firstLine="0"/>
        <w:rPr>
          <w:rFonts w:eastAsiaTheme="minorEastAsia"/>
          <w:b w:val="0"/>
          <w:i/>
          <w:snapToGrid w:val="0"/>
          <w:kern w:val="22"/>
          <w:sz w:val="24"/>
        </w:rPr>
      </w:pPr>
      <w:bookmarkStart w:id="123" w:name="_Toc6243736"/>
      <w:r w:rsidRPr="00C9773D">
        <w:rPr>
          <w:rFonts w:eastAsiaTheme="minorEastAsia"/>
          <w:snapToGrid w:val="0"/>
          <w:kern w:val="22"/>
          <w:sz w:val="24"/>
        </w:rPr>
        <w:t>A.</w:t>
      </w:r>
      <w:r w:rsidRPr="00C9773D">
        <w:rPr>
          <w:rFonts w:eastAsiaTheme="minorEastAsia"/>
          <w:snapToGrid w:val="0"/>
          <w:kern w:val="22"/>
          <w:sz w:val="24"/>
        </w:rPr>
        <w:tab/>
        <w:t xml:space="preserve">  </w:t>
      </w:r>
      <w:r w:rsidRPr="00C9773D">
        <w:rPr>
          <w:rFonts w:eastAsiaTheme="minorEastAsia"/>
          <w:sz w:val="24"/>
        </w:rPr>
        <w:t>导言</w:t>
      </w:r>
      <w:bookmarkEnd w:id="123"/>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snapToGrid w:val="0"/>
        <w:ind w:left="0" w:firstLine="0"/>
        <w:rPr>
          <w:rFonts w:eastAsiaTheme="minorEastAsia"/>
          <w:lang w:eastAsia="zh-CN"/>
        </w:rPr>
      </w:pPr>
      <w:r w:rsidRPr="00C9773D">
        <w:rPr>
          <w:rFonts w:eastAsiaTheme="minorEastAsia"/>
          <w:lang w:eastAsia="zh-CN"/>
        </w:rPr>
        <w:t>本附件及其实施不影响任何国家、领土、城市或地区或其当局的法律地位，也不涉及其边界或界线的划定</w:t>
      </w:r>
      <w:r w:rsidRPr="00B45229">
        <w:rPr>
          <w:rFonts w:eastAsiaTheme="minorEastAsia"/>
          <w:spacing w:val="-20"/>
          <w:lang w:eastAsia="zh-CN"/>
        </w:rPr>
        <w:t>，不具有经济或法律影响。</w:t>
      </w:r>
      <w:r w:rsidRPr="00C9773D">
        <w:rPr>
          <w:rFonts w:eastAsiaTheme="minorEastAsia"/>
          <w:lang w:eastAsia="zh-CN"/>
        </w:rPr>
        <w:t>本决定是一项严格意义上的科学和技术工作。</w:t>
      </w:r>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snapToGrid w:val="0"/>
        <w:ind w:left="0" w:firstLine="0"/>
        <w:rPr>
          <w:rFonts w:eastAsiaTheme="minorEastAsia"/>
          <w:lang w:eastAsia="zh-CN"/>
        </w:rPr>
      </w:pPr>
      <w:r w:rsidRPr="00C9773D">
        <w:rPr>
          <w:rFonts w:eastAsiaTheme="minorEastAsia"/>
          <w:lang w:eastAsia="zh-CN"/>
        </w:rPr>
        <w:t>关于符合具有重要生态或生物意义的海洋区域标准的区域的描述，如公约缔约方大会的相关决定所载，包括第</w:t>
      </w:r>
      <w:r w:rsidRPr="00C9773D">
        <w:rPr>
          <w:rFonts w:eastAsiaTheme="minorEastAsia"/>
          <w:lang w:eastAsia="zh-CN"/>
        </w:rPr>
        <w:t>XI/17</w:t>
      </w:r>
      <w:r w:rsidRPr="00C9773D">
        <w:rPr>
          <w:rFonts w:eastAsiaTheme="minorEastAsia"/>
          <w:lang w:eastAsia="zh-CN"/>
        </w:rPr>
        <w:t>号、第</w:t>
      </w:r>
      <w:r w:rsidRPr="00C9773D">
        <w:rPr>
          <w:rFonts w:eastAsiaTheme="minorEastAsia"/>
          <w:lang w:eastAsia="zh-CN"/>
        </w:rPr>
        <w:t>XII/22</w:t>
      </w:r>
      <w:r w:rsidRPr="00C9773D">
        <w:rPr>
          <w:rFonts w:eastAsiaTheme="minorEastAsia"/>
          <w:lang w:eastAsia="zh-CN"/>
        </w:rPr>
        <w:t>号和第</w:t>
      </w:r>
      <w:r w:rsidRPr="00C9773D">
        <w:rPr>
          <w:rFonts w:eastAsiaTheme="minorEastAsia"/>
          <w:lang w:eastAsia="zh-CN"/>
        </w:rPr>
        <w:t>XIII/12</w:t>
      </w:r>
      <w:r w:rsidRPr="00C9773D">
        <w:rPr>
          <w:rFonts w:eastAsiaTheme="minorEastAsia"/>
          <w:lang w:eastAsia="zh-CN"/>
        </w:rPr>
        <w:t>号决定所载，包括具有重要生态或生物意义的海洋区域信息库的文字描述及其多边图。</w:t>
      </w:r>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snapToGrid w:val="0"/>
        <w:ind w:left="0" w:firstLine="0"/>
        <w:rPr>
          <w:rFonts w:eastAsiaTheme="minorEastAsia"/>
          <w:snapToGrid w:val="0"/>
          <w:kern w:val="22"/>
          <w:lang w:eastAsia="zh-CN"/>
        </w:rPr>
      </w:pPr>
      <w:r w:rsidRPr="00C9773D">
        <w:rPr>
          <w:rFonts w:eastAsiaTheme="minorEastAsia"/>
          <w:lang w:eastAsia="zh-CN"/>
        </w:rPr>
        <w:t>对关于具有重要生态或生物意义的海洋区域描述的修改，即是对影响到上述决定中所载对符合具有重要生态或生物意义的海洋区域标准的区域的文字描述和（或）具有重要生态或生物意义的海洋区域信息库中所载区域的多边图的</w:t>
      </w:r>
      <w:r w:rsidRPr="00C9773D">
        <w:rPr>
          <w:rFonts w:eastAsiaTheme="minorEastAsia"/>
          <w:snapToGrid w:val="0"/>
          <w:kern w:val="22"/>
          <w:lang w:eastAsia="zh-CN"/>
        </w:rPr>
        <w:t>修改。</w:t>
      </w:r>
      <w:r w:rsidRPr="00C9773D">
        <w:rPr>
          <w:rFonts w:eastAsiaTheme="minorEastAsia"/>
          <w:lang w:eastAsia="zh-CN"/>
        </w:rPr>
        <w:t>根据缔约方大会在第</w:t>
      </w:r>
      <w:r w:rsidRPr="00C9773D">
        <w:rPr>
          <w:rFonts w:eastAsiaTheme="minorEastAsia"/>
          <w:snapToGrid w:val="0"/>
          <w:kern w:val="22"/>
          <w:lang w:eastAsia="zh-CN"/>
        </w:rPr>
        <w:t>XI/17</w:t>
      </w:r>
      <w:r w:rsidRPr="00C9773D">
        <w:rPr>
          <w:rFonts w:eastAsiaTheme="minorEastAsia"/>
          <w:snapToGrid w:val="0"/>
          <w:kern w:val="22"/>
          <w:lang w:eastAsia="zh-CN"/>
        </w:rPr>
        <w:t>号、第</w:t>
      </w:r>
      <w:r w:rsidRPr="00C9773D">
        <w:rPr>
          <w:rFonts w:eastAsiaTheme="minorEastAsia"/>
          <w:snapToGrid w:val="0"/>
          <w:kern w:val="22"/>
          <w:lang w:eastAsia="zh-CN"/>
        </w:rPr>
        <w:t>XII/22</w:t>
      </w:r>
      <w:r w:rsidRPr="00C9773D">
        <w:rPr>
          <w:rFonts w:eastAsiaTheme="minorEastAsia"/>
          <w:snapToGrid w:val="0"/>
          <w:kern w:val="22"/>
          <w:lang w:eastAsia="zh-CN"/>
        </w:rPr>
        <w:t>号和第</w:t>
      </w:r>
      <w:r w:rsidRPr="00C9773D">
        <w:rPr>
          <w:rFonts w:eastAsiaTheme="minorEastAsia"/>
          <w:snapToGrid w:val="0"/>
          <w:kern w:val="22"/>
          <w:lang w:eastAsia="zh-CN"/>
        </w:rPr>
        <w:t>XIII/12</w:t>
      </w:r>
      <w:r w:rsidRPr="00C9773D">
        <w:rPr>
          <w:rFonts w:eastAsiaTheme="minorEastAsia"/>
          <w:snapToGrid w:val="0"/>
          <w:kern w:val="22"/>
          <w:lang w:eastAsia="zh-CN"/>
        </w:rPr>
        <w:t>号决定的要求，可通过缔约方大会所做的决定，对</w:t>
      </w:r>
      <w:r w:rsidRPr="00C9773D">
        <w:rPr>
          <w:rFonts w:eastAsiaTheme="minorEastAsia"/>
          <w:lang w:eastAsia="zh-CN"/>
        </w:rPr>
        <w:t>具有重要生态或生物意义的海洋区域信息库中所载描述进行修改。</w:t>
      </w:r>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snapToGrid w:val="0"/>
        <w:ind w:left="0" w:firstLine="0"/>
        <w:rPr>
          <w:rFonts w:eastAsiaTheme="minorEastAsia"/>
          <w:snapToGrid w:val="0"/>
          <w:kern w:val="22"/>
        </w:rPr>
      </w:pPr>
      <w:r w:rsidRPr="00C9773D">
        <w:rPr>
          <w:rFonts w:eastAsiaTheme="minorEastAsia"/>
          <w:lang w:eastAsia="zh-CN"/>
        </w:rPr>
        <w:t>[</w:t>
      </w:r>
      <w:r w:rsidRPr="00C9773D">
        <w:rPr>
          <w:rFonts w:eastAsiaTheme="minorEastAsia"/>
          <w:lang w:eastAsia="zh-CN"/>
        </w:rPr>
        <w:t>下文中规定的方式均不允许经由缔约方大会决定以外任何其他手段对信息库中所包括的根据缔约方大会决定对具有重要生态或生物意义的海洋区域描述进行修改。</w:t>
      </w:r>
      <w:r w:rsidRPr="00C9773D">
        <w:rPr>
          <w:rFonts w:eastAsiaTheme="minorEastAsia"/>
        </w:rPr>
        <w:t>]</w:t>
      </w:r>
    </w:p>
    <w:p w:rsidR="00772406" w:rsidRPr="00C9773D" w:rsidRDefault="00772406" w:rsidP="00C7353E">
      <w:pPr>
        <w:pStyle w:val="Heading2"/>
        <w:suppressLineNumbers/>
        <w:suppressAutoHyphens/>
        <w:kinsoku w:val="0"/>
        <w:overflowPunct w:val="0"/>
        <w:autoSpaceDE w:val="0"/>
        <w:autoSpaceDN w:val="0"/>
        <w:ind w:firstLine="0"/>
        <w:rPr>
          <w:rFonts w:eastAsiaTheme="minorEastAsia"/>
          <w:b w:val="0"/>
          <w:i/>
          <w:snapToGrid w:val="0"/>
          <w:kern w:val="22"/>
          <w:sz w:val="24"/>
          <w:lang w:eastAsia="zh-CN"/>
        </w:rPr>
      </w:pPr>
      <w:bookmarkStart w:id="124" w:name="_Toc6243737"/>
      <w:r w:rsidRPr="00C9773D">
        <w:rPr>
          <w:rFonts w:eastAsiaTheme="minorEastAsia"/>
          <w:snapToGrid w:val="0"/>
          <w:kern w:val="22"/>
          <w:sz w:val="24"/>
          <w:lang w:eastAsia="zh-CN"/>
        </w:rPr>
        <w:t>B.</w:t>
      </w:r>
      <w:r w:rsidRPr="00C9773D">
        <w:rPr>
          <w:rFonts w:eastAsiaTheme="minorEastAsia"/>
          <w:snapToGrid w:val="0"/>
          <w:kern w:val="22"/>
          <w:sz w:val="24"/>
          <w:lang w:eastAsia="zh-CN"/>
        </w:rPr>
        <w:tab/>
        <w:t xml:space="preserve"> </w:t>
      </w:r>
      <w:r w:rsidRPr="00C9773D">
        <w:rPr>
          <w:rFonts w:eastAsiaTheme="minorEastAsia"/>
          <w:snapToGrid w:val="0"/>
          <w:kern w:val="22"/>
          <w:sz w:val="24"/>
          <w:lang w:eastAsia="zh-CN"/>
        </w:rPr>
        <w:t>对具有重要生态或生物意义的海洋区域的描述进行修改的原因</w:t>
      </w:r>
      <w:bookmarkEnd w:id="124"/>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adjustRightInd w:val="0"/>
        <w:ind w:left="0" w:firstLine="0"/>
        <w:rPr>
          <w:rFonts w:eastAsiaTheme="minorEastAsia"/>
          <w:snapToGrid w:val="0"/>
          <w:spacing w:val="-6"/>
          <w:kern w:val="22"/>
          <w:lang w:eastAsia="zh-CN"/>
        </w:rPr>
      </w:pPr>
      <w:r w:rsidRPr="00C9773D">
        <w:rPr>
          <w:rFonts w:eastAsiaTheme="minorEastAsia"/>
          <w:snapToGrid w:val="0"/>
          <w:spacing w:val="-6"/>
          <w:kern w:val="22"/>
          <w:lang w:eastAsia="zh-CN"/>
        </w:rPr>
        <w:t>修改对</w:t>
      </w:r>
      <w:r w:rsidRPr="00C9773D">
        <w:rPr>
          <w:rFonts w:eastAsiaTheme="minorEastAsia"/>
          <w:spacing w:val="-6"/>
          <w:lang w:eastAsia="zh-CN"/>
        </w:rPr>
        <w:t>具有重要生态或生物意义的海洋区域的描述的原因如下：</w:t>
      </w:r>
    </w:p>
    <w:p w:rsidR="00772406" w:rsidRPr="00C9773D" w:rsidRDefault="00772406" w:rsidP="001A42F8">
      <w:pPr>
        <w:pStyle w:val="ListParagraph"/>
        <w:numPr>
          <w:ilvl w:val="1"/>
          <w:numId w:val="174"/>
        </w:numPr>
        <w:suppressLineNumbers/>
        <w:suppressAutoHyphens/>
        <w:kinsoku w:val="0"/>
        <w:overflowPunct w:val="0"/>
        <w:autoSpaceDE w:val="0"/>
        <w:autoSpaceDN w:val="0"/>
        <w:adjustRightInd w:val="0"/>
        <w:snapToGrid w:val="0"/>
        <w:rPr>
          <w:rFonts w:eastAsiaTheme="minorEastAsia"/>
          <w:snapToGrid w:val="0"/>
          <w:kern w:val="22"/>
          <w:lang w:eastAsia="zh-CN"/>
        </w:rPr>
      </w:pPr>
      <w:r w:rsidRPr="00C9773D">
        <w:rPr>
          <w:rFonts w:eastAsiaTheme="minorEastAsia"/>
          <w:snapToGrid w:val="0"/>
          <w:kern w:val="22"/>
          <w:lang w:eastAsia="zh-CN"/>
        </w:rPr>
        <w:t>新近有了可用的</w:t>
      </w:r>
      <w:r w:rsidRPr="00C9773D">
        <w:rPr>
          <w:rFonts w:eastAsiaTheme="minorEastAsia"/>
          <w:snapToGrid w:val="0"/>
          <w:kern w:val="22"/>
          <w:lang w:eastAsia="zh-CN"/>
        </w:rPr>
        <w:t>/</w:t>
      </w:r>
      <w:r w:rsidRPr="00C9773D">
        <w:rPr>
          <w:rFonts w:eastAsiaTheme="minorEastAsia"/>
          <w:snapToGrid w:val="0"/>
          <w:kern w:val="22"/>
          <w:lang w:eastAsia="zh-CN"/>
        </w:rPr>
        <w:t>可获得的关于某一区域所具特征的科技信息，包括通过先进专门知识、方法论方法或分析方法而可用或获得的，以及新获得的传统知识；</w:t>
      </w:r>
    </w:p>
    <w:p w:rsidR="00772406" w:rsidRPr="00C9773D" w:rsidRDefault="00772406" w:rsidP="001A42F8">
      <w:pPr>
        <w:pStyle w:val="ListParagraph"/>
        <w:numPr>
          <w:ilvl w:val="1"/>
          <w:numId w:val="174"/>
        </w:numPr>
        <w:suppressLineNumbers/>
        <w:suppressAutoHyphens/>
        <w:kinsoku w:val="0"/>
        <w:overflowPunct w:val="0"/>
        <w:autoSpaceDE w:val="0"/>
        <w:autoSpaceDN w:val="0"/>
        <w:adjustRightInd w:val="0"/>
        <w:snapToGrid w:val="0"/>
        <w:rPr>
          <w:rFonts w:eastAsiaTheme="minorEastAsia"/>
          <w:snapToGrid w:val="0"/>
          <w:kern w:val="22"/>
          <w:lang w:eastAsia="zh-CN"/>
        </w:rPr>
      </w:pPr>
      <w:r w:rsidRPr="00C9773D">
        <w:rPr>
          <w:rFonts w:eastAsiaTheme="minorEastAsia"/>
          <w:snapToGrid w:val="0"/>
          <w:kern w:val="22"/>
          <w:lang w:eastAsia="zh-CN"/>
        </w:rPr>
        <w:t>描述具有重要生态或生物意义的海洋区域标准时所使用的信息发生了变化；</w:t>
      </w:r>
    </w:p>
    <w:p w:rsidR="00772406" w:rsidRPr="00C9773D" w:rsidRDefault="00772406" w:rsidP="001A42F8">
      <w:pPr>
        <w:pStyle w:val="ListParagraph"/>
        <w:numPr>
          <w:ilvl w:val="1"/>
          <w:numId w:val="174"/>
        </w:numPr>
        <w:suppressLineNumbers/>
        <w:suppressAutoHyphens/>
        <w:kinsoku w:val="0"/>
        <w:overflowPunct w:val="0"/>
        <w:autoSpaceDE w:val="0"/>
        <w:autoSpaceDN w:val="0"/>
        <w:adjustRightInd w:val="0"/>
        <w:snapToGrid w:val="0"/>
        <w:rPr>
          <w:rFonts w:eastAsiaTheme="minorEastAsia"/>
          <w:snapToGrid w:val="0"/>
          <w:kern w:val="22"/>
          <w:lang w:eastAsia="zh-CN"/>
        </w:rPr>
      </w:pPr>
      <w:r w:rsidRPr="00C9773D">
        <w:rPr>
          <w:rFonts w:eastAsiaTheme="minorEastAsia"/>
          <w:snapToGrid w:val="0"/>
          <w:kern w:val="22"/>
          <w:lang w:eastAsia="zh-CN"/>
        </w:rPr>
        <w:t>某个具有重要生态或生物意义的海洋区域的生态或生物特征发生了变化，可能导致该区域按照具有重要生态或生物意义的海洋区域标准的排名或导致该区域的多边图发生变化；</w:t>
      </w:r>
    </w:p>
    <w:p w:rsidR="00772406" w:rsidRPr="00C9773D" w:rsidRDefault="00772406" w:rsidP="001A42F8">
      <w:pPr>
        <w:pStyle w:val="ListParagraph"/>
        <w:numPr>
          <w:ilvl w:val="1"/>
          <w:numId w:val="174"/>
        </w:numPr>
        <w:suppressLineNumbers/>
        <w:suppressAutoHyphens/>
        <w:kinsoku w:val="0"/>
        <w:overflowPunct w:val="0"/>
        <w:autoSpaceDE w:val="0"/>
        <w:autoSpaceDN w:val="0"/>
        <w:adjustRightInd w:val="0"/>
        <w:snapToGrid w:val="0"/>
        <w:rPr>
          <w:rFonts w:eastAsiaTheme="minorEastAsia"/>
          <w:snapToGrid w:val="0"/>
          <w:kern w:val="22"/>
          <w:lang w:eastAsia="zh-CN"/>
        </w:rPr>
      </w:pPr>
      <w:r w:rsidRPr="00C9773D">
        <w:rPr>
          <w:rFonts w:eastAsiaTheme="minorEastAsia"/>
          <w:snapToGrid w:val="0"/>
          <w:kern w:val="22"/>
          <w:lang w:eastAsia="zh-CN"/>
        </w:rPr>
        <w:t>具有重要生态或生物意义的海洋区域的描述方面出现了科学性错误；</w:t>
      </w:r>
    </w:p>
    <w:p w:rsidR="00772406" w:rsidRPr="00C9773D" w:rsidRDefault="00772406" w:rsidP="001A42F8">
      <w:pPr>
        <w:pStyle w:val="ListParagraph"/>
        <w:numPr>
          <w:ilvl w:val="1"/>
          <w:numId w:val="174"/>
        </w:numPr>
        <w:suppressLineNumbers/>
        <w:suppressAutoHyphens/>
        <w:kinsoku w:val="0"/>
        <w:overflowPunct w:val="0"/>
        <w:autoSpaceDE w:val="0"/>
        <w:autoSpaceDN w:val="0"/>
        <w:adjustRightInd w:val="0"/>
        <w:snapToGrid w:val="0"/>
        <w:rPr>
          <w:rFonts w:eastAsiaTheme="minorEastAsia"/>
          <w:snapToGrid w:val="0"/>
          <w:kern w:val="22"/>
          <w:lang w:eastAsia="zh-CN"/>
        </w:rPr>
      </w:pPr>
      <w:r w:rsidRPr="00C9773D">
        <w:rPr>
          <w:rFonts w:eastAsiaTheme="minorEastAsia"/>
          <w:snapToGrid w:val="0"/>
          <w:kern w:val="22"/>
          <w:lang w:eastAsia="zh-CN"/>
        </w:rPr>
        <w:t>对具有重要生态或生物意义的海洋区域的模板进行了修改；</w:t>
      </w:r>
    </w:p>
    <w:p w:rsidR="00772406" w:rsidRPr="00C9773D" w:rsidRDefault="00772406" w:rsidP="001A42F8">
      <w:pPr>
        <w:pStyle w:val="ListParagraph"/>
        <w:numPr>
          <w:ilvl w:val="1"/>
          <w:numId w:val="174"/>
        </w:numPr>
        <w:suppressLineNumbers/>
        <w:suppressAutoHyphens/>
        <w:kinsoku w:val="0"/>
        <w:overflowPunct w:val="0"/>
        <w:autoSpaceDE w:val="0"/>
        <w:autoSpaceDN w:val="0"/>
        <w:adjustRightInd w:val="0"/>
        <w:snapToGrid w:val="0"/>
        <w:rPr>
          <w:rFonts w:eastAsiaTheme="minorEastAsia"/>
          <w:snapToGrid w:val="0"/>
          <w:kern w:val="22"/>
        </w:rPr>
      </w:pPr>
      <w:r w:rsidRPr="00C9773D">
        <w:rPr>
          <w:rFonts w:eastAsiaTheme="minorEastAsia"/>
          <w:snapToGrid w:val="0"/>
          <w:kern w:val="22"/>
        </w:rPr>
        <w:t>基于科技信息的任何其他原因。</w:t>
      </w:r>
    </w:p>
    <w:p w:rsidR="00772406" w:rsidRPr="00C9773D" w:rsidRDefault="00772406" w:rsidP="00C9773D">
      <w:pPr>
        <w:pStyle w:val="Heading2"/>
        <w:suppressLineNumbers/>
        <w:suppressAutoHyphens/>
        <w:kinsoku w:val="0"/>
        <w:overflowPunct w:val="0"/>
        <w:autoSpaceDE w:val="0"/>
        <w:autoSpaceDN w:val="0"/>
        <w:ind w:firstLine="0"/>
        <w:rPr>
          <w:rFonts w:eastAsiaTheme="minorEastAsia"/>
          <w:b w:val="0"/>
          <w:i/>
          <w:snapToGrid w:val="0"/>
          <w:kern w:val="22"/>
          <w:sz w:val="24"/>
          <w:lang w:eastAsia="zh-CN"/>
        </w:rPr>
      </w:pPr>
      <w:bookmarkStart w:id="125" w:name="_Toc6243738"/>
      <w:r w:rsidRPr="00C9773D">
        <w:rPr>
          <w:rFonts w:eastAsiaTheme="minorEastAsia"/>
          <w:snapToGrid w:val="0"/>
          <w:kern w:val="22"/>
          <w:sz w:val="24"/>
          <w:lang w:eastAsia="zh-CN"/>
        </w:rPr>
        <w:lastRenderedPageBreak/>
        <w:t>C.</w:t>
      </w:r>
      <w:r w:rsidRPr="00C9773D">
        <w:rPr>
          <w:rFonts w:eastAsiaTheme="minorEastAsia"/>
          <w:snapToGrid w:val="0"/>
          <w:kern w:val="22"/>
          <w:sz w:val="24"/>
          <w:lang w:eastAsia="zh-CN"/>
        </w:rPr>
        <w:tab/>
        <w:t xml:space="preserve"> </w:t>
      </w:r>
      <w:r w:rsidRPr="00C9773D">
        <w:rPr>
          <w:rFonts w:eastAsiaTheme="minorEastAsia"/>
          <w:snapToGrid w:val="0"/>
          <w:kern w:val="22"/>
          <w:sz w:val="24"/>
          <w:lang w:eastAsia="zh-CN"/>
        </w:rPr>
        <w:t>可以提议修改具有重要生态或生物意义的海洋区域描述的行为方</w:t>
      </w:r>
      <w:bookmarkEnd w:id="125"/>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snapToGrid w:val="0"/>
        <w:ind w:left="0" w:firstLine="0"/>
        <w:rPr>
          <w:rFonts w:eastAsiaTheme="minorEastAsia"/>
          <w:snapToGrid w:val="0"/>
          <w:kern w:val="22"/>
          <w:lang w:eastAsia="zh-CN"/>
        </w:rPr>
      </w:pPr>
      <w:r w:rsidRPr="00C9773D">
        <w:rPr>
          <w:rFonts w:eastAsiaTheme="minorEastAsia"/>
          <w:snapToGrid w:val="0"/>
          <w:kern w:val="22"/>
          <w:lang w:eastAsia="zh-CN"/>
        </w:rPr>
        <w:t>以下行为方可随时根据第</w:t>
      </w:r>
      <w:r w:rsidRPr="00C9773D">
        <w:rPr>
          <w:rFonts w:eastAsiaTheme="minorEastAsia"/>
          <w:snapToGrid w:val="0"/>
          <w:kern w:val="22"/>
          <w:szCs w:val="22"/>
          <w:lang w:eastAsia="zh-CN"/>
        </w:rPr>
        <w:t>XIII/12</w:t>
      </w:r>
      <w:r w:rsidRPr="00C9773D">
        <w:rPr>
          <w:rFonts w:eastAsiaTheme="minorEastAsia"/>
          <w:snapToGrid w:val="0"/>
          <w:kern w:val="22"/>
          <w:lang w:eastAsia="zh-CN"/>
        </w:rPr>
        <w:t>号决定第</w:t>
      </w:r>
      <w:r w:rsidRPr="00C9773D">
        <w:rPr>
          <w:rFonts w:eastAsiaTheme="minorEastAsia"/>
          <w:snapToGrid w:val="0"/>
          <w:kern w:val="22"/>
          <w:szCs w:val="22"/>
          <w:lang w:eastAsia="zh-CN"/>
        </w:rPr>
        <w:t>3</w:t>
      </w:r>
      <w:r w:rsidRPr="00C9773D">
        <w:rPr>
          <w:rFonts w:eastAsiaTheme="minorEastAsia"/>
          <w:snapToGrid w:val="0"/>
          <w:kern w:val="22"/>
          <w:lang w:eastAsia="zh-CN"/>
        </w:rPr>
        <w:t>段，提议对</w:t>
      </w:r>
      <w:r w:rsidRPr="00C9773D">
        <w:rPr>
          <w:rFonts w:eastAsiaTheme="minorEastAsia"/>
          <w:lang w:eastAsia="zh-CN"/>
        </w:rPr>
        <w:t>具有重要生态或生物意义的海洋区域的描述进行修改</w:t>
      </w:r>
      <w:r w:rsidRPr="00C9773D">
        <w:rPr>
          <w:rFonts w:eastAsiaTheme="minorEastAsia"/>
          <w:snapToGrid w:val="0"/>
          <w:kern w:val="22"/>
          <w:lang w:eastAsia="zh-CN"/>
        </w:rPr>
        <w:t>：</w:t>
      </w:r>
    </w:p>
    <w:p w:rsidR="00772406" w:rsidRPr="00C9773D" w:rsidRDefault="00772406" w:rsidP="001A42F8">
      <w:pPr>
        <w:pStyle w:val="ListParagraph"/>
        <w:numPr>
          <w:ilvl w:val="1"/>
          <w:numId w:val="187"/>
        </w:numPr>
        <w:suppressLineNumbers/>
        <w:suppressAutoHyphens/>
        <w:kinsoku w:val="0"/>
        <w:overflowPunct w:val="0"/>
        <w:autoSpaceDE w:val="0"/>
        <w:autoSpaceDN w:val="0"/>
        <w:snapToGrid w:val="0"/>
        <w:rPr>
          <w:rFonts w:eastAsiaTheme="minorEastAsia"/>
          <w:snapToGrid w:val="0"/>
          <w:kern w:val="22"/>
          <w:szCs w:val="22"/>
          <w:lang w:eastAsia="zh-CN"/>
        </w:rPr>
      </w:pPr>
      <w:r w:rsidRPr="00C9773D">
        <w:rPr>
          <w:rFonts w:eastAsiaTheme="minorEastAsia"/>
          <w:snapToGrid w:val="0"/>
          <w:kern w:val="22"/>
          <w:lang w:eastAsia="zh-CN"/>
        </w:rPr>
        <w:t>对完全位于国家管辖范围内的</w:t>
      </w:r>
      <w:r w:rsidRPr="00C9773D">
        <w:rPr>
          <w:rFonts w:eastAsiaTheme="minorEastAsia"/>
          <w:lang w:eastAsia="zh-CN"/>
        </w:rPr>
        <w:t>具有重要生态或生物意义的海洋区域：具有重要生态或生物意义的海洋区域位于其管辖范围内的国家（沿海、群岛），</w:t>
      </w:r>
    </w:p>
    <w:p w:rsidR="00772406" w:rsidRPr="00C9773D" w:rsidRDefault="00772406" w:rsidP="001A42F8">
      <w:pPr>
        <w:pStyle w:val="ListParagraph"/>
        <w:numPr>
          <w:ilvl w:val="1"/>
          <w:numId w:val="187"/>
        </w:numPr>
        <w:suppressLineNumbers/>
        <w:suppressAutoHyphens/>
        <w:kinsoku w:val="0"/>
        <w:overflowPunct w:val="0"/>
        <w:autoSpaceDE w:val="0"/>
        <w:autoSpaceDN w:val="0"/>
        <w:snapToGrid w:val="0"/>
        <w:rPr>
          <w:rFonts w:eastAsiaTheme="minorEastAsia"/>
          <w:snapToGrid w:val="0"/>
          <w:kern w:val="22"/>
          <w:lang w:eastAsia="zh-CN"/>
        </w:rPr>
      </w:pPr>
      <w:r w:rsidRPr="00C9773D">
        <w:rPr>
          <w:rFonts w:eastAsiaTheme="minorEastAsia"/>
          <w:snapToGrid w:val="0"/>
          <w:kern w:val="22"/>
          <w:lang w:eastAsia="zh-CN"/>
        </w:rPr>
        <w:t>对位于多国国家管辖范围内的</w:t>
      </w:r>
      <w:r w:rsidRPr="00C9773D">
        <w:rPr>
          <w:rFonts w:eastAsiaTheme="minorEastAsia"/>
          <w:lang w:eastAsia="zh-CN"/>
        </w:rPr>
        <w:t>具有重要生态或生物意义的海洋区域：拟议的修改位于其管辖范围的国家（沿海、群岛），</w:t>
      </w:r>
      <w:r w:rsidRPr="00C9773D">
        <w:rPr>
          <w:rFonts w:eastAsiaTheme="minorEastAsia"/>
          <w:snapToGrid w:val="0"/>
          <w:kern w:val="22"/>
          <w:lang w:eastAsia="zh-CN"/>
        </w:rPr>
        <w:t>与其他国家</w:t>
      </w:r>
      <w:r w:rsidRPr="00C9773D">
        <w:rPr>
          <w:rFonts w:eastAsiaTheme="minorEastAsia"/>
          <w:snapToGrid w:val="0"/>
          <w:kern w:val="22"/>
          <w:lang w:eastAsia="zh-CN"/>
        </w:rPr>
        <w:t>[</w:t>
      </w:r>
      <w:r w:rsidRPr="00C9773D">
        <w:rPr>
          <w:rFonts w:eastAsiaTheme="minorEastAsia"/>
          <w:snapToGrid w:val="0"/>
          <w:kern w:val="22"/>
          <w:lang w:eastAsia="zh-CN"/>
        </w:rPr>
        <w:t>协作</w:t>
      </w:r>
      <w:r w:rsidRPr="00C9773D">
        <w:rPr>
          <w:rFonts w:eastAsiaTheme="minorEastAsia"/>
          <w:snapToGrid w:val="0"/>
          <w:kern w:val="22"/>
          <w:lang w:eastAsia="zh-CN"/>
        </w:rPr>
        <w:t>] [</w:t>
      </w:r>
      <w:r w:rsidRPr="00C9773D">
        <w:rPr>
          <w:rFonts w:eastAsiaTheme="minorEastAsia"/>
          <w:snapToGrid w:val="0"/>
          <w:kern w:val="22"/>
          <w:lang w:eastAsia="zh-CN"/>
        </w:rPr>
        <w:t>鼓励协商和酌情鼓励协作，</w:t>
      </w:r>
      <w:r w:rsidRPr="00C9773D">
        <w:rPr>
          <w:rFonts w:eastAsiaTheme="minorEastAsia"/>
          <w:lang w:eastAsia="zh-CN"/>
        </w:rPr>
        <w:t>包括通过执行秘书向他国进行通报</w:t>
      </w:r>
      <w:r w:rsidRPr="00C9773D">
        <w:rPr>
          <w:rFonts w:eastAsiaTheme="minorEastAsia"/>
          <w:snapToGrid w:val="0"/>
          <w:kern w:val="22"/>
          <w:lang w:eastAsia="zh-CN"/>
        </w:rPr>
        <w:t xml:space="preserve">] </w:t>
      </w:r>
      <w:r w:rsidRPr="00C9773D">
        <w:rPr>
          <w:rFonts w:eastAsiaTheme="minorEastAsia"/>
          <w:snapToGrid w:val="0"/>
          <w:kern w:val="22"/>
          <w:lang w:eastAsia="zh-CN"/>
        </w:rPr>
        <w:t>；</w:t>
      </w:r>
      <w:r w:rsidRPr="00C9773D">
        <w:rPr>
          <w:rFonts w:eastAsiaTheme="minorEastAsia"/>
          <w:snapToGrid w:val="0"/>
          <w:kern w:val="22"/>
          <w:lang w:eastAsia="zh-CN"/>
        </w:rPr>
        <w:t xml:space="preserve"> </w:t>
      </w:r>
    </w:p>
    <w:p w:rsidR="00772406" w:rsidRPr="00C9773D" w:rsidRDefault="00772406" w:rsidP="00C9773D">
      <w:pPr>
        <w:suppressLineNumbers/>
        <w:suppressAutoHyphens/>
        <w:kinsoku w:val="0"/>
        <w:overflowPunct w:val="0"/>
        <w:autoSpaceDE w:val="0"/>
        <w:autoSpaceDN w:val="0"/>
        <w:snapToGrid w:val="0"/>
        <w:rPr>
          <w:rFonts w:eastAsiaTheme="minorEastAsia"/>
          <w:snapToGrid w:val="0"/>
          <w:kern w:val="22"/>
          <w:lang w:eastAsia="zh-CN"/>
        </w:rPr>
      </w:pPr>
      <w:r w:rsidRPr="00C9773D">
        <w:rPr>
          <w:rFonts w:eastAsiaTheme="minorEastAsia"/>
          <w:snapToGrid w:val="0"/>
          <w:kern w:val="22"/>
          <w:lang w:eastAsia="zh-CN"/>
        </w:rPr>
        <w:t>[(c)</w:t>
      </w:r>
      <w:r w:rsidRPr="00C9773D">
        <w:rPr>
          <w:rFonts w:eastAsiaTheme="minorEastAsia"/>
          <w:snapToGrid w:val="0"/>
          <w:kern w:val="22"/>
          <w:lang w:eastAsia="zh-CN"/>
        </w:rPr>
        <w:tab/>
      </w:r>
      <w:r w:rsidRPr="00C9773D">
        <w:rPr>
          <w:rFonts w:eastAsiaTheme="minorEastAsia"/>
          <w:snapToGrid w:val="0"/>
          <w:kern w:val="22"/>
          <w:lang w:eastAsia="zh-CN"/>
        </w:rPr>
        <w:t>对位于国家管辖范围以外的</w:t>
      </w:r>
      <w:r w:rsidRPr="00C9773D">
        <w:rPr>
          <w:rFonts w:eastAsiaTheme="minorEastAsia"/>
          <w:lang w:eastAsia="zh-CN"/>
        </w:rPr>
        <w:t>具有重要生态或生物意义的海洋区域：</w:t>
      </w:r>
      <w:r w:rsidRPr="00C9773D">
        <w:rPr>
          <w:rFonts w:eastAsiaTheme="minorEastAsia"/>
          <w:snapToGrid w:val="0"/>
          <w:kern w:val="22"/>
          <w:lang w:eastAsia="zh-CN"/>
        </w:rPr>
        <w:t>任何国家和（或）主管政府间组织，</w:t>
      </w:r>
      <w:r w:rsidRPr="00C9773D">
        <w:rPr>
          <w:rFonts w:eastAsiaTheme="minorEastAsia"/>
          <w:snapToGrid w:val="0"/>
          <w:color w:val="000000"/>
          <w:kern w:val="22"/>
          <w:lang w:eastAsia="zh-CN"/>
        </w:rPr>
        <w:t>需所有国家发出通知，包括通过执行秘书的通知，</w:t>
      </w:r>
      <w:r w:rsidRPr="00C9773D">
        <w:rPr>
          <w:rFonts w:eastAsiaTheme="minorEastAsia"/>
          <w:snapToGrid w:val="0"/>
          <w:kern w:val="22"/>
          <w:lang w:eastAsia="zh-CN"/>
        </w:rPr>
        <w:t>[</w:t>
      </w:r>
      <w:r w:rsidRPr="00C9773D">
        <w:rPr>
          <w:rFonts w:eastAsiaTheme="minorEastAsia"/>
          <w:snapToGrid w:val="0"/>
          <w:kern w:val="22"/>
          <w:lang w:eastAsia="zh-CN"/>
        </w:rPr>
        <w:t>但不妨碍《联合国海洋法公约》下的进展</w:t>
      </w:r>
      <w:r w:rsidRPr="00C9773D">
        <w:rPr>
          <w:rFonts w:eastAsiaTheme="minorEastAsia"/>
          <w:snapToGrid w:val="0"/>
          <w:kern w:val="22"/>
          <w:lang w:eastAsia="zh-CN"/>
        </w:rPr>
        <w:t>]]</w:t>
      </w:r>
      <w:r w:rsidRPr="00C9773D">
        <w:rPr>
          <w:rFonts w:eastAsiaTheme="minorEastAsia"/>
          <w:snapToGrid w:val="0"/>
          <w:kern w:val="22"/>
          <w:lang w:eastAsia="zh-CN"/>
        </w:rPr>
        <w:t>；</w:t>
      </w:r>
    </w:p>
    <w:p w:rsidR="00772406" w:rsidRPr="00C9773D" w:rsidRDefault="00772406" w:rsidP="00C9773D">
      <w:pPr>
        <w:pStyle w:val="ListParagraph"/>
        <w:suppressLineNumbers/>
        <w:suppressAutoHyphens/>
        <w:kinsoku w:val="0"/>
        <w:overflowPunct w:val="0"/>
        <w:autoSpaceDE w:val="0"/>
        <w:autoSpaceDN w:val="0"/>
        <w:ind w:left="0" w:firstLine="709"/>
        <w:rPr>
          <w:rFonts w:eastAsiaTheme="minorEastAsia"/>
          <w:lang w:eastAsia="zh-CN"/>
        </w:rPr>
      </w:pPr>
      <w:r w:rsidRPr="00C9773D">
        <w:rPr>
          <w:rFonts w:eastAsiaTheme="minorEastAsia"/>
          <w:snapToGrid w:val="0"/>
          <w:kern w:val="22"/>
          <w:lang w:eastAsia="zh-CN"/>
        </w:rPr>
        <w:t>(d)</w:t>
      </w:r>
      <w:r w:rsidRPr="00C9773D">
        <w:rPr>
          <w:rFonts w:eastAsiaTheme="minorEastAsia"/>
          <w:snapToGrid w:val="0"/>
          <w:kern w:val="22"/>
          <w:lang w:eastAsia="zh-CN"/>
        </w:rPr>
        <w:tab/>
      </w:r>
      <w:r w:rsidRPr="00C9773D">
        <w:rPr>
          <w:rFonts w:eastAsiaTheme="minorEastAsia"/>
          <w:snapToGrid w:val="0"/>
          <w:kern w:val="22"/>
          <w:lang w:eastAsia="zh-CN"/>
        </w:rPr>
        <w:t>对位于</w:t>
      </w:r>
      <w:r w:rsidRPr="00C9773D">
        <w:rPr>
          <w:rFonts w:eastAsiaTheme="minorEastAsia"/>
          <w:lang w:eastAsia="zh-CN"/>
        </w:rPr>
        <w:t>国家管辖范围以内和以外的具有重要生态或生物意义的海洋区域：拟议的修改位于其管辖范围的国家</w:t>
      </w:r>
      <w:r w:rsidRPr="00B45229">
        <w:rPr>
          <w:rFonts w:eastAsiaTheme="minorEastAsia"/>
          <w:spacing w:val="-20"/>
          <w:lang w:eastAsia="zh-CN"/>
        </w:rPr>
        <w:t>（沿海、群岛），</w:t>
      </w:r>
      <w:r w:rsidRPr="00B45229">
        <w:rPr>
          <w:rFonts w:eastAsiaTheme="minorEastAsia"/>
          <w:snapToGrid w:val="0"/>
          <w:spacing w:val="-20"/>
          <w:kern w:val="22"/>
          <w:lang w:eastAsia="zh-CN"/>
        </w:rPr>
        <w:t>[</w:t>
      </w:r>
      <w:r w:rsidRPr="00B45229">
        <w:rPr>
          <w:rFonts w:eastAsiaTheme="minorEastAsia"/>
          <w:snapToGrid w:val="0"/>
          <w:spacing w:val="-20"/>
          <w:kern w:val="22"/>
          <w:lang w:eastAsia="zh-CN"/>
        </w:rPr>
        <w:t>与有关国家协作</w:t>
      </w:r>
      <w:r w:rsidRPr="00B45229">
        <w:rPr>
          <w:rFonts w:eastAsiaTheme="minorEastAsia"/>
          <w:snapToGrid w:val="0"/>
          <w:spacing w:val="-20"/>
          <w:kern w:val="22"/>
          <w:lang w:eastAsia="zh-CN"/>
        </w:rPr>
        <w:t>] [</w:t>
      </w:r>
      <w:r w:rsidRPr="00C9773D">
        <w:rPr>
          <w:rFonts w:eastAsiaTheme="minorEastAsia"/>
          <w:snapToGrid w:val="0"/>
          <w:kern w:val="22"/>
          <w:lang w:eastAsia="zh-CN"/>
        </w:rPr>
        <w:t>鼓励协商和酌情鼓励协作，包括通过执行秘书向他国的通报</w:t>
      </w:r>
      <w:r w:rsidRPr="00C9773D">
        <w:rPr>
          <w:rFonts w:eastAsiaTheme="minorEastAsia"/>
          <w:snapToGrid w:val="0"/>
          <w:kern w:val="22"/>
          <w:lang w:eastAsia="zh-CN"/>
        </w:rPr>
        <w:t xml:space="preserve">] </w:t>
      </w:r>
      <w:r w:rsidRPr="00C9773D">
        <w:rPr>
          <w:rFonts w:eastAsiaTheme="minorEastAsia"/>
          <w:snapToGrid w:val="0"/>
          <w:kern w:val="22"/>
          <w:lang w:eastAsia="zh-CN"/>
        </w:rPr>
        <w:t>；以及，对拟议在国家管辖范围以外区域进行的修改，任何国家和（或）主管政府间组织酌情向所有国家事先发出通知；</w:t>
      </w:r>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adjustRightInd w:val="0"/>
        <w:ind w:left="0" w:firstLine="0"/>
        <w:rPr>
          <w:rFonts w:eastAsiaTheme="minorEastAsia"/>
          <w:snapToGrid w:val="0"/>
          <w:kern w:val="22"/>
          <w:lang w:eastAsia="zh-CN"/>
        </w:rPr>
      </w:pPr>
      <w:r w:rsidRPr="00C9773D">
        <w:rPr>
          <w:rFonts w:eastAsiaTheme="minorEastAsia"/>
          <w:snapToGrid w:val="0"/>
          <w:kern w:val="22"/>
          <w:lang w:eastAsia="zh-CN"/>
        </w:rPr>
        <w:t>应鼓励知识持有者，包括科研组织、非政府组织以及传统知识的持有者提请上文</w:t>
      </w:r>
      <w:r w:rsidRPr="00C9773D">
        <w:rPr>
          <w:rFonts w:eastAsiaTheme="minorEastAsia"/>
          <w:lang w:eastAsia="zh-CN"/>
        </w:rPr>
        <w:t>C</w:t>
      </w:r>
      <w:r w:rsidRPr="00C9773D">
        <w:rPr>
          <w:rFonts w:eastAsiaTheme="minorEastAsia"/>
          <w:lang w:eastAsia="zh-CN"/>
        </w:rPr>
        <w:t>节第</w:t>
      </w:r>
      <w:r w:rsidRPr="00C9773D">
        <w:rPr>
          <w:rFonts w:eastAsiaTheme="minorEastAsia"/>
          <w:lang w:eastAsia="zh-CN"/>
        </w:rPr>
        <w:t>6</w:t>
      </w:r>
      <w:r w:rsidRPr="00C9773D">
        <w:rPr>
          <w:rFonts w:eastAsiaTheme="minorEastAsia"/>
          <w:lang w:eastAsia="zh-CN"/>
        </w:rPr>
        <w:t>段中定义的行为者注意</w:t>
      </w:r>
      <w:r w:rsidRPr="00C9773D">
        <w:rPr>
          <w:rFonts w:eastAsiaTheme="minorEastAsia"/>
          <w:snapToGrid w:val="0"/>
          <w:kern w:val="22"/>
          <w:lang w:eastAsia="zh-CN"/>
        </w:rPr>
        <w:t>上述</w:t>
      </w:r>
      <w:r w:rsidRPr="00C9773D">
        <w:rPr>
          <w:rFonts w:eastAsiaTheme="minorEastAsia"/>
          <w:snapToGrid w:val="0"/>
          <w:kern w:val="22"/>
          <w:lang w:eastAsia="zh-CN"/>
        </w:rPr>
        <w:t>B</w:t>
      </w:r>
      <w:r w:rsidRPr="00C9773D">
        <w:rPr>
          <w:rFonts w:eastAsiaTheme="minorEastAsia"/>
          <w:snapToGrid w:val="0"/>
          <w:kern w:val="22"/>
          <w:lang w:eastAsia="zh-CN"/>
        </w:rPr>
        <w:t>节第</w:t>
      </w:r>
      <w:r w:rsidRPr="00C9773D">
        <w:rPr>
          <w:rFonts w:eastAsiaTheme="minorEastAsia"/>
          <w:snapToGrid w:val="0"/>
          <w:kern w:val="22"/>
          <w:lang w:eastAsia="zh-CN"/>
        </w:rPr>
        <w:t>5</w:t>
      </w:r>
      <w:r w:rsidRPr="00C9773D">
        <w:rPr>
          <w:rFonts w:eastAsiaTheme="minorEastAsia"/>
          <w:snapToGrid w:val="0"/>
          <w:kern w:val="22"/>
          <w:lang w:eastAsia="zh-CN"/>
        </w:rPr>
        <w:t>段关于修改</w:t>
      </w:r>
      <w:r w:rsidRPr="00C9773D">
        <w:rPr>
          <w:rFonts w:eastAsiaTheme="minorEastAsia"/>
          <w:lang w:eastAsia="zh-CN"/>
        </w:rPr>
        <w:t>具有重要生态或生物意义的海洋区域现存描述的</w:t>
      </w:r>
      <w:r w:rsidRPr="00C9773D">
        <w:rPr>
          <w:rFonts w:eastAsiaTheme="minorEastAsia"/>
          <w:snapToGrid w:val="0"/>
          <w:kern w:val="22"/>
          <w:lang w:eastAsia="zh-CN"/>
        </w:rPr>
        <w:t>任何原因，</w:t>
      </w:r>
      <w:r w:rsidRPr="00C9773D">
        <w:rPr>
          <w:rFonts w:eastAsiaTheme="minorEastAsia"/>
          <w:lang w:eastAsia="zh-CN"/>
        </w:rPr>
        <w:t>并在准备修改提案时，视需要支持这些行为者。</w:t>
      </w:r>
    </w:p>
    <w:p w:rsidR="00772406" w:rsidRPr="00C9773D" w:rsidRDefault="00772406" w:rsidP="00C9773D">
      <w:pPr>
        <w:pStyle w:val="Heading2"/>
        <w:suppressLineNumbers/>
        <w:suppressAutoHyphens/>
        <w:kinsoku w:val="0"/>
        <w:overflowPunct w:val="0"/>
        <w:autoSpaceDE w:val="0"/>
        <w:autoSpaceDN w:val="0"/>
        <w:ind w:firstLine="0"/>
        <w:rPr>
          <w:rFonts w:eastAsiaTheme="minorEastAsia"/>
          <w:b w:val="0"/>
          <w:i/>
          <w:snapToGrid w:val="0"/>
          <w:kern w:val="22"/>
          <w:sz w:val="24"/>
        </w:rPr>
      </w:pPr>
      <w:bookmarkStart w:id="126" w:name="_Toc6243739"/>
      <w:r w:rsidRPr="00C9773D">
        <w:rPr>
          <w:rFonts w:eastAsiaTheme="minorEastAsia"/>
          <w:snapToGrid w:val="0"/>
          <w:kern w:val="22"/>
          <w:sz w:val="24"/>
        </w:rPr>
        <w:t>D.</w:t>
      </w:r>
      <w:r w:rsidRPr="00C9773D">
        <w:rPr>
          <w:rFonts w:eastAsiaTheme="minorEastAsia"/>
          <w:snapToGrid w:val="0"/>
          <w:kern w:val="22"/>
          <w:sz w:val="24"/>
        </w:rPr>
        <w:tab/>
        <w:t xml:space="preserve">  </w:t>
      </w:r>
      <w:r w:rsidRPr="00C9773D">
        <w:rPr>
          <w:rFonts w:eastAsiaTheme="minorEastAsia"/>
          <w:snapToGrid w:val="0"/>
          <w:kern w:val="22"/>
          <w:sz w:val="24"/>
        </w:rPr>
        <w:t>修改进程的方法</w:t>
      </w:r>
      <w:bookmarkEnd w:id="126"/>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ind w:left="0" w:firstLine="0"/>
        <w:contextualSpacing/>
        <w:rPr>
          <w:rFonts w:eastAsiaTheme="minorEastAsia"/>
          <w:lang w:eastAsia="zh-CN"/>
        </w:rPr>
      </w:pPr>
      <w:r w:rsidRPr="00C9773D">
        <w:rPr>
          <w:rFonts w:eastAsiaTheme="minorEastAsia"/>
          <w:lang w:eastAsia="zh-CN"/>
        </w:rPr>
        <w:t>修改具有重要生态或生物意义的海洋区域描述的方法如下：</w:t>
      </w:r>
    </w:p>
    <w:p w:rsidR="00772406" w:rsidRPr="00C9773D" w:rsidRDefault="00772406" w:rsidP="00C9773D">
      <w:pPr>
        <w:suppressLineNumbers/>
        <w:suppressAutoHyphens/>
        <w:kinsoku w:val="0"/>
        <w:overflowPunct w:val="0"/>
        <w:autoSpaceDE w:val="0"/>
        <w:autoSpaceDN w:val="0"/>
        <w:rPr>
          <w:rFonts w:eastAsiaTheme="minorEastAsia"/>
          <w:snapToGrid w:val="0"/>
          <w:kern w:val="22"/>
          <w:lang w:eastAsia="zh-CN"/>
        </w:rPr>
      </w:pPr>
      <w:r w:rsidRPr="00C9773D">
        <w:rPr>
          <w:rFonts w:eastAsiaTheme="minorEastAsia"/>
          <w:snapToGrid w:val="0"/>
          <w:kern w:val="22"/>
          <w:lang w:eastAsia="zh-CN"/>
        </w:rPr>
        <w:t xml:space="preserve">8.1   </w:t>
      </w:r>
      <w:r w:rsidRPr="00C9773D">
        <w:rPr>
          <w:rFonts w:eastAsiaTheme="minorEastAsia"/>
          <w:snapToGrid w:val="0"/>
          <w:kern w:val="22"/>
          <w:lang w:eastAsia="zh-CN"/>
        </w:rPr>
        <w:t>对于国家管辖范围以外及沿海国家希望管辖的区域，国家管辖范围内的区域</w:t>
      </w:r>
      <w:r w:rsidRPr="00C9773D">
        <w:rPr>
          <w:rFonts w:eastAsiaTheme="minorEastAsia"/>
          <w:snapToGrid w:val="0"/>
          <w:kern w:val="22"/>
          <w:lang w:eastAsia="zh-CN"/>
        </w:rPr>
        <w:t>:</w:t>
      </w:r>
    </w:p>
    <w:p w:rsidR="00772406" w:rsidRPr="00C9773D" w:rsidRDefault="00772406" w:rsidP="00C9773D">
      <w:pPr>
        <w:suppressLineNumbers/>
        <w:tabs>
          <w:tab w:val="left" w:pos="1440"/>
        </w:tabs>
        <w:suppressAutoHyphens/>
        <w:kinsoku w:val="0"/>
        <w:overflowPunct w:val="0"/>
        <w:autoSpaceDE w:val="0"/>
        <w:autoSpaceDN w:val="0"/>
        <w:ind w:firstLine="709"/>
        <w:rPr>
          <w:rFonts w:eastAsiaTheme="minorEastAsia"/>
          <w:snapToGrid w:val="0"/>
          <w:kern w:val="22"/>
          <w:lang w:eastAsia="zh-CN"/>
        </w:rPr>
      </w:pPr>
      <w:r w:rsidRPr="00C9773D">
        <w:rPr>
          <w:rFonts w:eastAsiaTheme="minorEastAsia"/>
          <w:snapToGrid w:val="0"/>
          <w:kern w:val="22"/>
          <w:lang w:eastAsia="zh-CN"/>
        </w:rPr>
        <w:t>(a)</w:t>
      </w:r>
      <w:r w:rsidRPr="00C9773D">
        <w:rPr>
          <w:rFonts w:eastAsiaTheme="minorEastAsia"/>
          <w:snapToGrid w:val="0"/>
          <w:kern w:val="22"/>
          <w:lang w:eastAsia="zh-CN"/>
        </w:rPr>
        <w:tab/>
      </w:r>
      <w:r w:rsidRPr="00C9773D">
        <w:rPr>
          <w:rFonts w:eastAsiaTheme="minorEastAsia"/>
          <w:snapToGrid w:val="0"/>
          <w:kern w:val="22"/>
          <w:lang w:eastAsia="zh-CN"/>
        </w:rPr>
        <w:t>秘书处汇编</w:t>
      </w:r>
      <w:r w:rsidRPr="00C9773D">
        <w:rPr>
          <w:rFonts w:eastAsiaTheme="minorEastAsia"/>
          <w:snapToGrid w:val="0"/>
          <w:kern w:val="22"/>
          <w:lang w:eastAsia="zh-CN"/>
        </w:rPr>
        <w:t>C</w:t>
      </w:r>
      <w:r w:rsidRPr="00C9773D">
        <w:rPr>
          <w:rFonts w:eastAsiaTheme="minorEastAsia"/>
          <w:snapToGrid w:val="0"/>
          <w:kern w:val="22"/>
          <w:lang w:eastAsia="zh-CN"/>
        </w:rPr>
        <w:t>分节第</w:t>
      </w:r>
      <w:r w:rsidRPr="00C9773D">
        <w:rPr>
          <w:rFonts w:eastAsiaTheme="minorEastAsia"/>
          <w:snapToGrid w:val="0"/>
          <w:kern w:val="22"/>
          <w:lang w:eastAsia="zh-CN"/>
        </w:rPr>
        <w:t>6</w:t>
      </w:r>
      <w:r w:rsidRPr="00C9773D">
        <w:rPr>
          <w:rFonts w:eastAsiaTheme="minorEastAsia"/>
          <w:snapToGrid w:val="0"/>
          <w:kern w:val="22"/>
          <w:lang w:eastAsia="zh-CN"/>
        </w:rPr>
        <w:t>段规定之行为者提出的修改提案；</w:t>
      </w:r>
    </w:p>
    <w:p w:rsidR="00772406" w:rsidRPr="00C9773D" w:rsidRDefault="00772406" w:rsidP="00C9773D">
      <w:pPr>
        <w:suppressLineNumbers/>
        <w:tabs>
          <w:tab w:val="left" w:pos="1440"/>
        </w:tabs>
        <w:suppressAutoHyphens/>
        <w:kinsoku w:val="0"/>
        <w:overflowPunct w:val="0"/>
        <w:autoSpaceDE w:val="0"/>
        <w:autoSpaceDN w:val="0"/>
        <w:ind w:firstLine="709"/>
        <w:rPr>
          <w:rFonts w:eastAsiaTheme="minorEastAsia"/>
          <w:snapToGrid w:val="0"/>
          <w:kern w:val="22"/>
          <w:lang w:eastAsia="zh-CN"/>
        </w:rPr>
      </w:pPr>
      <w:r w:rsidRPr="00C9773D">
        <w:rPr>
          <w:rFonts w:eastAsiaTheme="minorEastAsia"/>
          <w:snapToGrid w:val="0"/>
          <w:kern w:val="22"/>
          <w:lang w:eastAsia="zh-CN"/>
        </w:rPr>
        <w:t>(b)</w:t>
      </w:r>
      <w:r w:rsidRPr="00C9773D">
        <w:rPr>
          <w:rFonts w:eastAsiaTheme="minorEastAsia"/>
          <w:snapToGrid w:val="0"/>
          <w:kern w:val="22"/>
          <w:lang w:eastAsia="zh-CN"/>
        </w:rPr>
        <w:tab/>
      </w:r>
      <w:r w:rsidRPr="00C9773D">
        <w:rPr>
          <w:rFonts w:eastAsiaTheme="minorEastAsia"/>
          <w:snapToGrid w:val="0"/>
          <w:kern w:val="22"/>
          <w:lang w:eastAsia="zh-CN"/>
        </w:rPr>
        <w:t>根据汇编的提案，非正式咨询小组根据具有重要生态或生物意义的海洋区域非正式咨询小组制定的重大或微小修改的指导方针</w:t>
      </w:r>
      <w:r w:rsidRPr="00C9773D">
        <w:rPr>
          <w:rFonts w:eastAsiaTheme="minorEastAsia"/>
          <w:snapToGrid w:val="0"/>
          <w:kern w:val="22"/>
          <w:lang w:eastAsia="zh-CN"/>
        </w:rPr>
        <w:t>/</w:t>
      </w:r>
      <w:r w:rsidRPr="00C9773D">
        <w:rPr>
          <w:rFonts w:eastAsiaTheme="minorEastAsia"/>
          <w:snapToGrid w:val="0"/>
          <w:kern w:val="22"/>
          <w:lang w:eastAsia="zh-CN"/>
        </w:rPr>
        <w:t>标准，就修改提案，向执行秘书提供咨询意见；</w:t>
      </w:r>
    </w:p>
    <w:p w:rsidR="00772406" w:rsidRPr="00C9773D" w:rsidRDefault="00772406" w:rsidP="00C9773D">
      <w:pPr>
        <w:suppressLineNumbers/>
        <w:tabs>
          <w:tab w:val="left" w:pos="1440"/>
        </w:tabs>
        <w:suppressAutoHyphens/>
        <w:kinsoku w:val="0"/>
        <w:overflowPunct w:val="0"/>
        <w:autoSpaceDE w:val="0"/>
        <w:autoSpaceDN w:val="0"/>
        <w:ind w:firstLine="709"/>
        <w:rPr>
          <w:rFonts w:eastAsiaTheme="minorEastAsia"/>
          <w:snapToGrid w:val="0"/>
          <w:kern w:val="22"/>
        </w:rPr>
      </w:pPr>
      <w:r w:rsidRPr="00C9773D">
        <w:rPr>
          <w:rFonts w:eastAsiaTheme="minorEastAsia"/>
          <w:snapToGrid w:val="0"/>
          <w:kern w:val="22"/>
        </w:rPr>
        <w:t>(c)</w:t>
      </w:r>
      <w:r w:rsidRPr="00C9773D">
        <w:rPr>
          <w:rFonts w:eastAsiaTheme="minorEastAsia"/>
          <w:snapToGrid w:val="0"/>
          <w:kern w:val="22"/>
        </w:rPr>
        <w:tab/>
        <w:t xml:space="preserve"> </w:t>
      </w:r>
      <w:r w:rsidRPr="00C9773D">
        <w:rPr>
          <w:rFonts w:eastAsiaTheme="minorEastAsia"/>
          <w:snapToGrid w:val="0"/>
          <w:kern w:val="22"/>
        </w:rPr>
        <w:t>重大或微小修改的方法如下：</w:t>
      </w:r>
    </w:p>
    <w:p w:rsidR="00772406" w:rsidRPr="00C9773D" w:rsidRDefault="00772406" w:rsidP="001A42F8">
      <w:pPr>
        <w:pStyle w:val="ListParagraph"/>
        <w:numPr>
          <w:ilvl w:val="1"/>
          <w:numId w:val="175"/>
        </w:numPr>
        <w:suppressLineNumbers/>
        <w:suppressAutoHyphens/>
        <w:kinsoku w:val="0"/>
        <w:overflowPunct w:val="0"/>
        <w:autoSpaceDE w:val="0"/>
        <w:autoSpaceDN w:val="0"/>
        <w:snapToGrid w:val="0"/>
        <w:ind w:left="2160" w:hanging="720"/>
        <w:rPr>
          <w:rFonts w:eastAsiaTheme="minorEastAsia"/>
          <w:snapToGrid w:val="0"/>
          <w:kern w:val="22"/>
          <w:lang w:eastAsia="zh-CN"/>
        </w:rPr>
      </w:pPr>
      <w:r w:rsidRPr="00C9773D">
        <w:rPr>
          <w:rFonts w:eastAsiaTheme="minorEastAsia"/>
          <w:snapToGrid w:val="0"/>
          <w:kern w:val="22"/>
          <w:lang w:eastAsia="zh-CN"/>
        </w:rPr>
        <w:t>如作重大修改：将利用本文件第二节第</w:t>
      </w:r>
      <w:r w:rsidRPr="00C9773D">
        <w:rPr>
          <w:rFonts w:eastAsiaTheme="minorEastAsia"/>
          <w:snapToGrid w:val="0"/>
          <w:kern w:val="22"/>
          <w:lang w:eastAsia="zh-CN"/>
        </w:rPr>
        <w:t>13(c)</w:t>
      </w:r>
      <w:r w:rsidRPr="00C9773D">
        <w:rPr>
          <w:rFonts w:eastAsiaTheme="minorEastAsia"/>
          <w:snapToGrid w:val="0"/>
          <w:kern w:val="22"/>
          <w:lang w:eastAsia="zh-CN"/>
        </w:rPr>
        <w:t>和</w:t>
      </w:r>
      <w:r w:rsidRPr="00C9773D">
        <w:rPr>
          <w:rFonts w:eastAsiaTheme="minorEastAsia"/>
          <w:snapToGrid w:val="0"/>
          <w:kern w:val="22"/>
          <w:lang w:eastAsia="zh-CN"/>
        </w:rPr>
        <w:t>(d)</w:t>
      </w:r>
      <w:r w:rsidRPr="00C9773D">
        <w:rPr>
          <w:rFonts w:eastAsiaTheme="minorEastAsia"/>
          <w:snapToGrid w:val="0"/>
          <w:kern w:val="22"/>
          <w:lang w:eastAsia="zh-CN"/>
        </w:rPr>
        <w:t>段所述程序。生物多样性公约秘书处将按照第</w:t>
      </w:r>
      <w:r w:rsidRPr="00C9773D">
        <w:rPr>
          <w:rFonts w:eastAsiaTheme="minorEastAsia"/>
          <w:snapToGrid w:val="0"/>
          <w:kern w:val="22"/>
          <w:lang w:eastAsia="zh-CN"/>
        </w:rPr>
        <w:t>X/29</w:t>
      </w:r>
      <w:r w:rsidRPr="00C9773D">
        <w:rPr>
          <w:rFonts w:eastAsiaTheme="minorEastAsia"/>
          <w:snapToGrid w:val="0"/>
          <w:kern w:val="22"/>
          <w:lang w:eastAsia="zh-CN"/>
        </w:rPr>
        <w:t>号决定所载区域讲习班的程序举办一次讲习班，该讲习班的报告应提交科学、技术和工艺咨询附属机构和缔约方大会审议；</w:t>
      </w:r>
    </w:p>
    <w:p w:rsidR="00772406" w:rsidRPr="00C9773D" w:rsidRDefault="00772406" w:rsidP="001A42F8">
      <w:pPr>
        <w:pStyle w:val="ListParagraph"/>
        <w:numPr>
          <w:ilvl w:val="1"/>
          <w:numId w:val="175"/>
        </w:numPr>
        <w:suppressLineNumbers/>
        <w:suppressAutoHyphens/>
        <w:kinsoku w:val="0"/>
        <w:overflowPunct w:val="0"/>
        <w:autoSpaceDE w:val="0"/>
        <w:autoSpaceDN w:val="0"/>
        <w:snapToGrid w:val="0"/>
        <w:ind w:left="2160" w:hanging="720"/>
        <w:rPr>
          <w:rFonts w:eastAsiaTheme="minorEastAsia"/>
          <w:snapToGrid w:val="0"/>
          <w:kern w:val="22"/>
          <w:lang w:eastAsia="zh-CN"/>
        </w:rPr>
      </w:pPr>
      <w:r w:rsidRPr="00C9773D">
        <w:rPr>
          <w:rFonts w:eastAsiaTheme="minorEastAsia"/>
          <w:snapToGrid w:val="0"/>
          <w:kern w:val="22"/>
          <w:lang w:eastAsia="zh-CN"/>
        </w:rPr>
        <w:lastRenderedPageBreak/>
        <w:t>如稍作修</w:t>
      </w:r>
      <w:r w:rsidRPr="006F1C16">
        <w:rPr>
          <w:rFonts w:eastAsiaTheme="minorEastAsia"/>
          <w:snapToGrid w:val="0"/>
          <w:spacing w:val="-20"/>
          <w:kern w:val="22"/>
          <w:lang w:eastAsia="zh-CN"/>
        </w:rPr>
        <w:t>改：生物多样性公约秘书处与有关国家或区域的专家</w:t>
      </w:r>
      <w:r w:rsidRPr="006F1C16">
        <w:rPr>
          <w:rStyle w:val="FootnoteReference"/>
          <w:rFonts w:eastAsiaTheme="minorEastAsia"/>
          <w:snapToGrid w:val="0"/>
          <w:spacing w:val="-20"/>
          <w:kern w:val="22"/>
          <w:sz w:val="24"/>
          <w:u w:val="none"/>
          <w:vertAlign w:val="superscript"/>
        </w:rPr>
        <w:footnoteReference w:id="167"/>
      </w:r>
      <w:r w:rsidRPr="006F1C16">
        <w:rPr>
          <w:rFonts w:eastAsiaTheme="minorEastAsia"/>
          <w:snapToGrid w:val="0"/>
          <w:spacing w:val="-20"/>
          <w:kern w:val="22"/>
          <w:sz w:val="36"/>
          <w:vertAlign w:val="superscript"/>
          <w:lang w:eastAsia="zh-CN"/>
        </w:rPr>
        <w:t xml:space="preserve"> </w:t>
      </w:r>
      <w:r w:rsidRPr="006F1C16">
        <w:rPr>
          <w:rFonts w:eastAsiaTheme="minorEastAsia"/>
          <w:snapToGrid w:val="0"/>
          <w:spacing w:val="-20"/>
          <w:kern w:val="22"/>
          <w:lang w:eastAsia="zh-CN"/>
        </w:rPr>
        <w:t>协商后，</w:t>
      </w:r>
      <w:r w:rsidRPr="00C9773D">
        <w:rPr>
          <w:rFonts w:eastAsiaTheme="minorEastAsia"/>
          <w:snapToGrid w:val="0"/>
          <w:kern w:val="22"/>
          <w:lang w:eastAsia="zh-CN"/>
        </w:rPr>
        <w:t>编写关于修改的报告，提交科学、技术和工艺咨询附属机构和缔约方大会审议。</w:t>
      </w:r>
    </w:p>
    <w:p w:rsidR="00772406" w:rsidRPr="00C9773D" w:rsidRDefault="00772406" w:rsidP="00C9773D">
      <w:pPr>
        <w:suppressLineNumbers/>
        <w:suppressAutoHyphens/>
        <w:kinsoku w:val="0"/>
        <w:overflowPunct w:val="0"/>
        <w:autoSpaceDE w:val="0"/>
        <w:autoSpaceDN w:val="0"/>
        <w:rPr>
          <w:rFonts w:eastAsiaTheme="minorEastAsia"/>
          <w:snapToGrid w:val="0"/>
          <w:kern w:val="22"/>
          <w:lang w:eastAsia="zh-CN"/>
        </w:rPr>
      </w:pPr>
      <w:r w:rsidRPr="00C9773D">
        <w:rPr>
          <w:rFonts w:eastAsiaTheme="minorEastAsia"/>
          <w:snapToGrid w:val="0"/>
          <w:kern w:val="22"/>
          <w:lang w:eastAsia="zh-CN"/>
        </w:rPr>
        <w:t xml:space="preserve">8.2    </w:t>
      </w:r>
      <w:r w:rsidRPr="00C9773D">
        <w:rPr>
          <w:rFonts w:eastAsiaTheme="minorEastAsia"/>
          <w:snapToGrid w:val="0"/>
          <w:kern w:val="22"/>
          <w:lang w:eastAsia="zh-CN"/>
        </w:rPr>
        <w:t>国家管辖范围内的区域</w:t>
      </w:r>
      <w:r w:rsidRPr="00C9773D">
        <w:rPr>
          <w:rFonts w:eastAsiaTheme="minorEastAsia"/>
          <w:snapToGrid w:val="0"/>
          <w:spacing w:val="-4"/>
          <w:kern w:val="22"/>
          <w:lang w:eastAsia="zh-CN"/>
        </w:rPr>
        <w:t>：</w:t>
      </w:r>
    </w:p>
    <w:p w:rsidR="00772406" w:rsidRPr="00C9773D" w:rsidRDefault="00772406" w:rsidP="00C9773D">
      <w:pPr>
        <w:suppressLineNumbers/>
        <w:suppressAutoHyphens/>
        <w:kinsoku w:val="0"/>
        <w:overflowPunct w:val="0"/>
        <w:autoSpaceDE w:val="0"/>
        <w:autoSpaceDN w:val="0"/>
        <w:ind w:firstLine="709"/>
        <w:rPr>
          <w:rFonts w:eastAsiaTheme="minorEastAsia"/>
          <w:snapToGrid w:val="0"/>
          <w:spacing w:val="-4"/>
          <w:kern w:val="22"/>
          <w:lang w:eastAsia="zh-CN"/>
        </w:rPr>
      </w:pPr>
      <w:r w:rsidRPr="00C9773D">
        <w:rPr>
          <w:rFonts w:eastAsiaTheme="minorEastAsia"/>
          <w:lang w:eastAsia="zh-CN"/>
        </w:rPr>
        <w:t xml:space="preserve"> (a) </w:t>
      </w:r>
      <w:r w:rsidRPr="00C9773D">
        <w:rPr>
          <w:rFonts w:eastAsiaTheme="minorEastAsia"/>
          <w:lang w:eastAsia="zh-CN"/>
        </w:rPr>
        <w:tab/>
      </w:r>
      <w:r w:rsidRPr="00C9773D">
        <w:rPr>
          <w:rFonts w:eastAsiaTheme="minorEastAsia"/>
          <w:lang w:eastAsia="zh-CN"/>
        </w:rPr>
        <w:t>利用</w:t>
      </w:r>
      <w:r w:rsidRPr="00C9773D">
        <w:rPr>
          <w:rFonts w:eastAsiaTheme="minorEastAsia"/>
          <w:snapToGrid w:val="0"/>
          <w:spacing w:val="-4"/>
          <w:kern w:val="22"/>
          <w:lang w:eastAsia="zh-CN"/>
        </w:rPr>
        <w:t>第</w:t>
      </w:r>
      <w:r w:rsidRPr="00C9773D">
        <w:rPr>
          <w:rFonts w:eastAsiaTheme="minorEastAsia"/>
          <w:snapToGrid w:val="0"/>
          <w:spacing w:val="-4"/>
          <w:kern w:val="22"/>
          <w:lang w:eastAsia="zh-CN"/>
        </w:rPr>
        <w:t>XII/22</w:t>
      </w:r>
      <w:r w:rsidRPr="00C9773D">
        <w:rPr>
          <w:rFonts w:eastAsiaTheme="minorEastAsia"/>
          <w:snapToGrid w:val="0"/>
          <w:spacing w:val="-4"/>
          <w:kern w:val="22"/>
          <w:lang w:eastAsia="zh-CN"/>
        </w:rPr>
        <w:t>号决定第</w:t>
      </w:r>
      <w:r w:rsidRPr="00C9773D">
        <w:rPr>
          <w:rFonts w:eastAsiaTheme="minorEastAsia"/>
          <w:snapToGrid w:val="0"/>
          <w:spacing w:val="-4"/>
          <w:kern w:val="22"/>
          <w:lang w:eastAsia="zh-CN"/>
        </w:rPr>
        <w:t>7</w:t>
      </w:r>
      <w:r w:rsidRPr="00C9773D">
        <w:rPr>
          <w:rFonts w:eastAsiaTheme="minorEastAsia"/>
          <w:snapToGrid w:val="0"/>
          <w:spacing w:val="-4"/>
          <w:kern w:val="22"/>
          <w:lang w:eastAsia="zh-CN"/>
        </w:rPr>
        <w:t>段制定的程序，根据第</w:t>
      </w:r>
      <w:r w:rsidRPr="00C9773D">
        <w:rPr>
          <w:rFonts w:eastAsiaTheme="minorEastAsia"/>
          <w:snapToGrid w:val="0"/>
          <w:spacing w:val="-4"/>
          <w:kern w:val="22"/>
          <w:lang w:eastAsia="zh-CN"/>
        </w:rPr>
        <w:t>XIII/22</w:t>
      </w:r>
      <w:r w:rsidRPr="00C9773D">
        <w:rPr>
          <w:rFonts w:eastAsiaTheme="minorEastAsia"/>
          <w:snapToGrid w:val="0"/>
          <w:spacing w:val="-4"/>
          <w:kern w:val="22"/>
          <w:lang w:eastAsia="zh-CN"/>
        </w:rPr>
        <w:t>号决定第</w:t>
      </w:r>
      <w:r w:rsidRPr="00C9773D">
        <w:rPr>
          <w:rFonts w:eastAsiaTheme="minorEastAsia"/>
          <w:snapToGrid w:val="0"/>
          <w:spacing w:val="-4"/>
          <w:kern w:val="22"/>
          <w:lang w:eastAsia="zh-CN"/>
        </w:rPr>
        <w:t>3</w:t>
      </w:r>
      <w:r w:rsidRPr="00C9773D">
        <w:rPr>
          <w:rFonts w:eastAsiaTheme="minorEastAsia"/>
          <w:snapToGrid w:val="0"/>
          <w:spacing w:val="-4"/>
          <w:kern w:val="22"/>
          <w:lang w:eastAsia="zh-CN"/>
        </w:rPr>
        <w:t>段，沿海国可根据上文</w:t>
      </w:r>
      <w:r w:rsidRPr="00C9773D">
        <w:rPr>
          <w:rFonts w:eastAsiaTheme="minorEastAsia"/>
          <w:snapToGrid w:val="0"/>
          <w:spacing w:val="-4"/>
          <w:kern w:val="22"/>
          <w:lang w:eastAsia="zh-CN"/>
        </w:rPr>
        <w:t>B</w:t>
      </w:r>
      <w:r w:rsidRPr="00C9773D">
        <w:rPr>
          <w:rFonts w:eastAsiaTheme="minorEastAsia"/>
          <w:snapToGrid w:val="0"/>
          <w:spacing w:val="-4"/>
          <w:kern w:val="22"/>
          <w:lang w:eastAsia="zh-CN"/>
        </w:rPr>
        <w:t>分节第</w:t>
      </w:r>
      <w:r w:rsidRPr="00C9773D">
        <w:rPr>
          <w:rFonts w:eastAsiaTheme="minorEastAsia"/>
          <w:snapToGrid w:val="0"/>
          <w:spacing w:val="-4"/>
          <w:kern w:val="22"/>
          <w:lang w:eastAsia="zh-CN"/>
        </w:rPr>
        <w:t>5</w:t>
      </w:r>
      <w:r w:rsidRPr="00C9773D">
        <w:rPr>
          <w:rFonts w:eastAsiaTheme="minorEastAsia"/>
          <w:snapToGrid w:val="0"/>
          <w:spacing w:val="-4"/>
          <w:kern w:val="22"/>
          <w:lang w:eastAsia="zh-CN"/>
        </w:rPr>
        <w:t>段所述原因，提供具有重要生态或生物意义的海洋区域信息库中所载描述的最新情况，并向执行秘书提交有关科技进程信息以及科学上健全且由国家同意的同行审查进程</w:t>
      </w:r>
      <w:r w:rsidRPr="00C9773D">
        <w:rPr>
          <w:rStyle w:val="FootnoteReference"/>
          <w:rFonts w:eastAsiaTheme="minorEastAsia"/>
          <w:snapToGrid w:val="0"/>
          <w:spacing w:val="-4"/>
          <w:kern w:val="22"/>
        </w:rPr>
        <w:footnoteReference w:id="168"/>
      </w:r>
      <w:r w:rsidRPr="00C9773D">
        <w:rPr>
          <w:rFonts w:eastAsiaTheme="minorEastAsia"/>
          <w:snapToGrid w:val="0"/>
          <w:spacing w:val="-4"/>
          <w:kern w:val="22"/>
          <w:lang w:eastAsia="zh-CN"/>
        </w:rPr>
        <w:t>的成果，以佐证最新情况，供科学、技术和工艺咨询附属机构和缔约方大会</w:t>
      </w:r>
      <w:r w:rsidRPr="00C9773D">
        <w:rPr>
          <w:rFonts w:eastAsiaTheme="minorEastAsia"/>
          <w:snapToGrid w:val="0"/>
          <w:spacing w:val="-4"/>
          <w:kern w:val="22"/>
          <w:lang w:eastAsia="zh-CN"/>
        </w:rPr>
        <w:t>[</w:t>
      </w:r>
      <w:r w:rsidRPr="00C9773D">
        <w:rPr>
          <w:rFonts w:eastAsiaTheme="minorEastAsia"/>
          <w:snapToGrid w:val="0"/>
          <w:spacing w:val="-4"/>
          <w:kern w:val="22"/>
          <w:lang w:eastAsia="zh-CN"/>
        </w:rPr>
        <w:t>参考</w:t>
      </w:r>
      <w:r w:rsidRPr="00C9773D">
        <w:rPr>
          <w:rFonts w:eastAsiaTheme="minorEastAsia"/>
          <w:snapToGrid w:val="0"/>
          <w:spacing w:val="-4"/>
          <w:kern w:val="22"/>
          <w:lang w:eastAsia="zh-CN"/>
        </w:rPr>
        <w:t>][</w:t>
      </w:r>
      <w:r w:rsidRPr="00C9773D">
        <w:rPr>
          <w:rFonts w:eastAsiaTheme="minorEastAsia"/>
          <w:snapToGrid w:val="0"/>
          <w:spacing w:val="-4"/>
          <w:kern w:val="22"/>
          <w:lang w:eastAsia="zh-CN"/>
        </w:rPr>
        <w:t>了解</w:t>
      </w:r>
      <w:r w:rsidRPr="00C9773D">
        <w:rPr>
          <w:rFonts w:eastAsiaTheme="minorEastAsia"/>
          <w:snapToGrid w:val="0"/>
          <w:spacing w:val="-4"/>
          <w:kern w:val="22"/>
          <w:lang w:eastAsia="zh-CN"/>
        </w:rPr>
        <w:t>],</w:t>
      </w:r>
      <w:r w:rsidRPr="00C9773D">
        <w:rPr>
          <w:rFonts w:eastAsiaTheme="minorEastAsia"/>
          <w:lang w:eastAsia="zh-CN"/>
        </w:rPr>
        <w:t xml:space="preserve"> [</w:t>
      </w:r>
      <w:r w:rsidRPr="00C9773D">
        <w:rPr>
          <w:rFonts w:eastAsiaTheme="minorEastAsia"/>
          <w:lang w:eastAsia="zh-CN"/>
        </w:rPr>
        <w:t>以期</w:t>
      </w:r>
      <w:r w:rsidRPr="00C9773D">
        <w:rPr>
          <w:rFonts w:eastAsiaTheme="minorEastAsia"/>
          <w:snapToGrid w:val="0"/>
          <w:spacing w:val="-4"/>
          <w:kern w:val="22"/>
          <w:lang w:eastAsia="zh-CN"/>
        </w:rPr>
        <w:t>纳入信息库</w:t>
      </w:r>
      <w:r w:rsidRPr="00C9773D">
        <w:rPr>
          <w:rFonts w:eastAsiaTheme="minorEastAsia"/>
          <w:snapToGrid w:val="0"/>
          <w:spacing w:val="-4"/>
          <w:kern w:val="22"/>
          <w:lang w:eastAsia="zh-CN"/>
        </w:rPr>
        <w:t>]</w:t>
      </w:r>
      <w:r w:rsidRPr="00C9773D">
        <w:rPr>
          <w:rFonts w:eastAsiaTheme="minorEastAsia"/>
          <w:snapToGrid w:val="0"/>
          <w:spacing w:val="-4"/>
          <w:kern w:val="22"/>
          <w:lang w:eastAsia="zh-CN"/>
        </w:rPr>
        <w:t>。信息库应显示纳入具有重要生态或生物意义的海洋区域的描述的日期以及是根据缔约方大会的决定还是应缔约方的要求而纳入的。</w:t>
      </w:r>
    </w:p>
    <w:p w:rsidR="00772406" w:rsidRPr="00C9773D" w:rsidRDefault="00772406" w:rsidP="00C9773D">
      <w:pPr>
        <w:pStyle w:val="Heading2"/>
        <w:suppressLineNumbers/>
        <w:suppressAutoHyphens/>
        <w:kinsoku w:val="0"/>
        <w:overflowPunct w:val="0"/>
        <w:autoSpaceDE w:val="0"/>
        <w:autoSpaceDN w:val="0"/>
        <w:ind w:firstLine="0"/>
        <w:rPr>
          <w:rFonts w:eastAsiaTheme="minorEastAsia"/>
          <w:i/>
          <w:snapToGrid w:val="0"/>
          <w:kern w:val="22"/>
          <w:sz w:val="24"/>
        </w:rPr>
      </w:pPr>
      <w:bookmarkStart w:id="127" w:name="_Toc6243740"/>
      <w:r w:rsidRPr="00C9773D">
        <w:rPr>
          <w:rFonts w:eastAsiaTheme="minorEastAsia"/>
          <w:snapToGrid w:val="0"/>
          <w:kern w:val="22"/>
          <w:sz w:val="24"/>
        </w:rPr>
        <w:t xml:space="preserve">E.    </w:t>
      </w:r>
      <w:r w:rsidRPr="00C9773D">
        <w:rPr>
          <w:rFonts w:eastAsiaTheme="minorEastAsia"/>
          <w:snapToGrid w:val="0"/>
          <w:kern w:val="22"/>
          <w:sz w:val="24"/>
        </w:rPr>
        <w:t>修改的关键考虑因素</w:t>
      </w:r>
      <w:bookmarkEnd w:id="127"/>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snapToGrid w:val="0"/>
        <w:ind w:left="0" w:firstLine="0"/>
        <w:rPr>
          <w:rFonts w:eastAsiaTheme="minorEastAsia"/>
          <w:snapToGrid w:val="0"/>
          <w:kern w:val="22"/>
          <w:lang w:eastAsia="zh-CN"/>
        </w:rPr>
      </w:pPr>
      <w:r w:rsidRPr="00C9773D">
        <w:rPr>
          <w:rFonts w:eastAsiaTheme="minorEastAsia"/>
          <w:snapToGrid w:val="0"/>
          <w:kern w:val="22"/>
          <w:lang w:eastAsia="zh-CN"/>
        </w:rPr>
        <w:t>应将提交的关于修改具有重要生态或生物意义的海洋区域的描述的任何提案，通过</w:t>
      </w:r>
      <w:r w:rsidRPr="00C9773D">
        <w:rPr>
          <w:rFonts w:eastAsiaTheme="minorEastAsia"/>
          <w:iCs/>
          <w:snapToGrid w:val="0"/>
          <w:kern w:val="22"/>
          <w:lang w:eastAsia="zh-CN"/>
        </w:rPr>
        <w:t>生物多样性公约的</w:t>
      </w:r>
      <w:r w:rsidRPr="00C9773D">
        <w:rPr>
          <w:rFonts w:eastAsiaTheme="minorEastAsia"/>
          <w:snapToGrid w:val="0"/>
          <w:kern w:val="22"/>
          <w:lang w:eastAsia="zh-CN"/>
        </w:rPr>
        <w:t>通知以及生物多样性公约网站，通知缔约方和其他国家政府以及主管政府间组织。</w:t>
      </w:r>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snapToGrid w:val="0"/>
        <w:ind w:left="0" w:firstLine="0"/>
        <w:rPr>
          <w:rFonts w:eastAsiaTheme="minorEastAsia"/>
          <w:snapToGrid w:val="0"/>
          <w:kern w:val="22"/>
        </w:rPr>
      </w:pPr>
      <w:r w:rsidRPr="00C9773D">
        <w:rPr>
          <w:rFonts w:eastAsiaTheme="minorEastAsia"/>
          <w:snapToGrid w:val="0"/>
          <w:kern w:val="22"/>
        </w:rPr>
        <w:t>需要考虑到下列因素：</w:t>
      </w:r>
    </w:p>
    <w:p w:rsidR="00772406" w:rsidRPr="00C9773D" w:rsidRDefault="00772406" w:rsidP="001A42F8">
      <w:pPr>
        <w:pStyle w:val="ListParagraph"/>
        <w:numPr>
          <w:ilvl w:val="0"/>
          <w:numId w:val="176"/>
        </w:numPr>
        <w:suppressLineNumbers/>
        <w:tabs>
          <w:tab w:val="left" w:pos="1440"/>
        </w:tabs>
        <w:suppressAutoHyphens/>
        <w:kinsoku w:val="0"/>
        <w:overflowPunct w:val="0"/>
        <w:autoSpaceDE w:val="0"/>
        <w:autoSpaceDN w:val="0"/>
        <w:ind w:left="0" w:firstLine="720"/>
        <w:rPr>
          <w:rFonts w:eastAsiaTheme="minorEastAsia"/>
          <w:snapToGrid w:val="0"/>
          <w:kern w:val="22"/>
          <w:lang w:eastAsia="zh-CN"/>
        </w:rPr>
      </w:pPr>
      <w:r w:rsidRPr="00C9773D">
        <w:rPr>
          <w:rFonts w:eastAsiaTheme="minorEastAsia"/>
          <w:snapToGrid w:val="0"/>
          <w:kern w:val="22"/>
          <w:lang w:eastAsia="zh-CN"/>
        </w:rPr>
        <w:t>必须酌情和根据国内法和国际义务，将传统知识纳入修改具有重要生态或生物意义的海洋区域的描述的进程，并确保土著人民和地方社区充分和有效的参与；</w:t>
      </w:r>
    </w:p>
    <w:p w:rsidR="00772406" w:rsidRPr="00C9773D" w:rsidRDefault="00772406" w:rsidP="001A42F8">
      <w:pPr>
        <w:pStyle w:val="ListParagraph"/>
        <w:numPr>
          <w:ilvl w:val="0"/>
          <w:numId w:val="176"/>
        </w:numPr>
        <w:suppressLineNumbers/>
        <w:tabs>
          <w:tab w:val="left" w:pos="1440"/>
        </w:tabs>
        <w:suppressAutoHyphens/>
        <w:kinsoku w:val="0"/>
        <w:overflowPunct w:val="0"/>
        <w:autoSpaceDE w:val="0"/>
        <w:autoSpaceDN w:val="0"/>
        <w:ind w:left="0" w:firstLine="720"/>
        <w:rPr>
          <w:rFonts w:eastAsiaTheme="minorEastAsia"/>
          <w:snapToGrid w:val="0"/>
          <w:kern w:val="22"/>
          <w:lang w:eastAsia="zh-CN"/>
        </w:rPr>
      </w:pPr>
      <w:r w:rsidRPr="00C9773D">
        <w:rPr>
          <w:rFonts w:eastAsiaTheme="minorEastAsia"/>
          <w:snapToGrid w:val="0"/>
          <w:kern w:val="22"/>
          <w:lang w:eastAsia="zh-CN"/>
        </w:rPr>
        <w:t>加强纳入传统知识，可能要求对具有重要生态或生物意义的海洋区域模板做出修改；</w:t>
      </w:r>
    </w:p>
    <w:p w:rsidR="00772406" w:rsidRPr="00C9773D" w:rsidRDefault="00772406" w:rsidP="001A42F8">
      <w:pPr>
        <w:pStyle w:val="ListParagraph"/>
        <w:numPr>
          <w:ilvl w:val="0"/>
          <w:numId w:val="176"/>
        </w:numPr>
        <w:suppressLineNumbers/>
        <w:tabs>
          <w:tab w:val="left" w:pos="1440"/>
        </w:tabs>
        <w:suppressAutoHyphens/>
        <w:kinsoku w:val="0"/>
        <w:overflowPunct w:val="0"/>
        <w:autoSpaceDE w:val="0"/>
        <w:autoSpaceDN w:val="0"/>
        <w:ind w:left="0" w:firstLine="720"/>
        <w:rPr>
          <w:rFonts w:eastAsiaTheme="minorEastAsia"/>
          <w:snapToGrid w:val="0"/>
          <w:spacing w:val="-6"/>
          <w:kern w:val="22"/>
          <w:lang w:eastAsia="zh-CN"/>
        </w:rPr>
      </w:pPr>
      <w:r w:rsidRPr="00C9773D">
        <w:rPr>
          <w:rFonts w:eastAsiaTheme="minorEastAsia"/>
          <w:snapToGrid w:val="0"/>
          <w:spacing w:val="-6"/>
          <w:kern w:val="22"/>
          <w:lang w:eastAsia="zh-CN"/>
        </w:rPr>
        <w:t>任何拟议的修改都必须具有强有力的科技依据，包括依据了土著和地方知</w:t>
      </w:r>
      <w:r w:rsidRPr="00C9773D">
        <w:rPr>
          <w:rFonts w:eastAsiaTheme="minorEastAsia"/>
          <w:snapToGrid w:val="0"/>
          <w:spacing w:val="-6"/>
          <w:kern w:val="22"/>
          <w:lang w:eastAsia="zh-CN"/>
        </w:rPr>
        <w:t xml:space="preserve">   </w:t>
      </w:r>
      <w:r w:rsidRPr="00C9773D">
        <w:rPr>
          <w:rFonts w:eastAsiaTheme="minorEastAsia"/>
          <w:snapToGrid w:val="0"/>
          <w:spacing w:val="-6"/>
          <w:kern w:val="22"/>
          <w:lang w:eastAsia="zh-CN"/>
        </w:rPr>
        <w:t>识；</w:t>
      </w:r>
    </w:p>
    <w:p w:rsidR="00772406" w:rsidRPr="00C9773D" w:rsidRDefault="00772406" w:rsidP="001A42F8">
      <w:pPr>
        <w:pStyle w:val="ListParagraph"/>
        <w:numPr>
          <w:ilvl w:val="0"/>
          <w:numId w:val="176"/>
        </w:numPr>
        <w:suppressLineNumbers/>
        <w:tabs>
          <w:tab w:val="left" w:pos="1440"/>
        </w:tabs>
        <w:suppressAutoHyphens/>
        <w:kinsoku w:val="0"/>
        <w:overflowPunct w:val="0"/>
        <w:autoSpaceDE w:val="0"/>
        <w:autoSpaceDN w:val="0"/>
        <w:ind w:left="0" w:firstLine="720"/>
        <w:rPr>
          <w:rFonts w:eastAsiaTheme="minorEastAsia"/>
          <w:snapToGrid w:val="0"/>
          <w:kern w:val="22"/>
          <w:lang w:eastAsia="zh-CN"/>
        </w:rPr>
      </w:pPr>
      <w:r w:rsidRPr="00C9773D">
        <w:rPr>
          <w:rFonts w:eastAsiaTheme="minorEastAsia"/>
          <w:snapToGrid w:val="0"/>
          <w:kern w:val="22"/>
          <w:lang w:eastAsia="zh-CN"/>
        </w:rPr>
        <w:t>修改过程必须具有透明度；</w:t>
      </w:r>
    </w:p>
    <w:p w:rsidR="00772406" w:rsidRPr="00C9773D" w:rsidRDefault="00772406" w:rsidP="001A42F8">
      <w:pPr>
        <w:pStyle w:val="ListParagraph"/>
        <w:numPr>
          <w:ilvl w:val="0"/>
          <w:numId w:val="176"/>
        </w:numPr>
        <w:suppressLineNumbers/>
        <w:tabs>
          <w:tab w:val="left" w:pos="1440"/>
        </w:tabs>
        <w:suppressAutoHyphens/>
        <w:kinsoku w:val="0"/>
        <w:overflowPunct w:val="0"/>
        <w:autoSpaceDE w:val="0"/>
        <w:autoSpaceDN w:val="0"/>
        <w:ind w:left="0" w:firstLine="720"/>
        <w:rPr>
          <w:rFonts w:eastAsiaTheme="minorEastAsia"/>
          <w:snapToGrid w:val="0"/>
          <w:kern w:val="22"/>
          <w:lang w:eastAsia="zh-CN"/>
        </w:rPr>
      </w:pPr>
      <w:r w:rsidRPr="00C9773D">
        <w:rPr>
          <w:rFonts w:eastAsiaTheme="minorEastAsia"/>
          <w:snapToGrid w:val="0"/>
          <w:kern w:val="22"/>
          <w:lang w:eastAsia="zh-CN"/>
        </w:rPr>
        <w:t>利用具有成本效益方式的机会；</w:t>
      </w:r>
    </w:p>
    <w:p w:rsidR="00772406" w:rsidRPr="00C9773D" w:rsidRDefault="00772406" w:rsidP="001A42F8">
      <w:pPr>
        <w:pStyle w:val="ListParagraph"/>
        <w:numPr>
          <w:ilvl w:val="0"/>
          <w:numId w:val="176"/>
        </w:numPr>
        <w:suppressLineNumbers/>
        <w:tabs>
          <w:tab w:val="left" w:pos="1440"/>
        </w:tabs>
        <w:suppressAutoHyphens/>
        <w:kinsoku w:val="0"/>
        <w:overflowPunct w:val="0"/>
        <w:autoSpaceDE w:val="0"/>
        <w:autoSpaceDN w:val="0"/>
        <w:ind w:left="0" w:firstLine="720"/>
        <w:rPr>
          <w:rFonts w:eastAsiaTheme="minorEastAsia"/>
          <w:snapToGrid w:val="0"/>
          <w:color w:val="000000"/>
          <w:lang w:eastAsia="zh-CN"/>
        </w:rPr>
      </w:pPr>
      <w:r w:rsidRPr="00C9773D">
        <w:rPr>
          <w:rFonts w:eastAsiaTheme="minorEastAsia"/>
          <w:snapToGrid w:val="0"/>
          <w:kern w:val="22"/>
          <w:lang w:eastAsia="zh-CN"/>
        </w:rPr>
        <w:t>需要保留一份关于已在信息库修改或删除了的、先前描述的具有重要生态或生物意义的海洋区域的任何信息的记录。</w:t>
      </w:r>
    </w:p>
    <w:p w:rsidR="00772406" w:rsidRPr="00C9773D" w:rsidRDefault="00772406" w:rsidP="00C9773D">
      <w:pPr>
        <w:pStyle w:val="Heading1"/>
        <w:suppressLineNumbers/>
        <w:suppressAutoHyphens/>
        <w:kinsoku w:val="0"/>
        <w:overflowPunct w:val="0"/>
        <w:autoSpaceDE w:val="0"/>
        <w:autoSpaceDN w:val="0"/>
        <w:spacing w:before="120" w:after="120"/>
        <w:ind w:firstLine="0"/>
        <w:rPr>
          <w:rFonts w:eastAsiaTheme="minorEastAsia" w:cs="Times New Roman"/>
          <w:snapToGrid w:val="0"/>
          <w:kern w:val="22"/>
          <w:sz w:val="24"/>
          <w:lang w:eastAsia="zh-CN"/>
        </w:rPr>
      </w:pPr>
      <w:bookmarkStart w:id="128" w:name="_Toc6243741"/>
      <w:r w:rsidRPr="00C9773D">
        <w:rPr>
          <w:rFonts w:eastAsiaTheme="minorEastAsia" w:cs="Times New Roman"/>
          <w:snapToGrid w:val="0"/>
          <w:kern w:val="22"/>
          <w:sz w:val="24"/>
          <w:lang w:eastAsia="zh-CN"/>
        </w:rPr>
        <w:lastRenderedPageBreak/>
        <w:t>二</w:t>
      </w:r>
      <w:r w:rsidRPr="00C9773D">
        <w:rPr>
          <w:rFonts w:eastAsiaTheme="minorEastAsia" w:cs="Times New Roman"/>
          <w:snapToGrid w:val="0"/>
          <w:kern w:val="22"/>
          <w:sz w:val="24"/>
          <w:lang w:eastAsia="zh-CN"/>
        </w:rPr>
        <w:t xml:space="preserve">. </w:t>
      </w:r>
      <w:r w:rsidRPr="00C9773D">
        <w:rPr>
          <w:rFonts w:eastAsiaTheme="minorEastAsia" w:cs="Times New Roman"/>
          <w:snapToGrid w:val="0"/>
          <w:kern w:val="22"/>
          <w:sz w:val="24"/>
          <w:lang w:eastAsia="zh-CN"/>
        </w:rPr>
        <w:tab/>
      </w:r>
      <w:r w:rsidRPr="00C9773D">
        <w:rPr>
          <w:rFonts w:eastAsiaTheme="minorEastAsia" w:cs="Times New Roman"/>
          <w:snapToGrid w:val="0"/>
          <w:kern w:val="22"/>
          <w:sz w:val="24"/>
          <w:lang w:eastAsia="zh-CN"/>
        </w:rPr>
        <w:t>对符合具有重要生态或生物意义的海洋区域标准的新区域的描述</w:t>
      </w:r>
      <w:bookmarkEnd w:id="128"/>
    </w:p>
    <w:p w:rsidR="00772406" w:rsidRPr="00C9773D" w:rsidRDefault="00772406" w:rsidP="00C9773D">
      <w:pPr>
        <w:pStyle w:val="Heading2"/>
        <w:suppressLineNumbers/>
        <w:suppressAutoHyphens/>
        <w:kinsoku w:val="0"/>
        <w:overflowPunct w:val="0"/>
        <w:autoSpaceDE w:val="0"/>
        <w:autoSpaceDN w:val="0"/>
        <w:ind w:firstLine="0"/>
        <w:rPr>
          <w:rFonts w:eastAsiaTheme="minorEastAsia"/>
          <w:b w:val="0"/>
          <w:i/>
          <w:snapToGrid w:val="0"/>
          <w:kern w:val="22"/>
          <w:sz w:val="24"/>
          <w:lang w:eastAsia="zh-CN"/>
        </w:rPr>
      </w:pPr>
      <w:bookmarkStart w:id="129" w:name="_Toc6243742"/>
      <w:r w:rsidRPr="00C9773D">
        <w:rPr>
          <w:rFonts w:eastAsiaTheme="minorEastAsia"/>
          <w:snapToGrid w:val="0"/>
          <w:kern w:val="22"/>
          <w:sz w:val="24"/>
          <w:lang w:eastAsia="zh-CN"/>
        </w:rPr>
        <w:t>A.</w:t>
      </w:r>
      <w:r w:rsidRPr="00C9773D">
        <w:rPr>
          <w:rFonts w:eastAsiaTheme="minorEastAsia"/>
          <w:snapToGrid w:val="0"/>
          <w:kern w:val="22"/>
          <w:sz w:val="24"/>
          <w:lang w:eastAsia="zh-CN"/>
        </w:rPr>
        <w:tab/>
        <w:t xml:space="preserve"> </w:t>
      </w:r>
      <w:r w:rsidRPr="00C9773D">
        <w:rPr>
          <w:rFonts w:eastAsiaTheme="minorEastAsia"/>
          <w:snapToGrid w:val="0"/>
          <w:kern w:val="22"/>
          <w:sz w:val="24"/>
          <w:lang w:eastAsia="zh-CN"/>
        </w:rPr>
        <w:t>可以倡议描述符合</w:t>
      </w:r>
      <w:r w:rsidRPr="00C9773D">
        <w:rPr>
          <w:rFonts w:eastAsiaTheme="minorEastAsia"/>
          <w:color w:val="000000" w:themeColor="text1"/>
          <w:sz w:val="24"/>
          <w:lang w:eastAsia="zh-CN"/>
        </w:rPr>
        <w:t>具有重要生态或生物意义的区域</w:t>
      </w:r>
      <w:r w:rsidRPr="00C9773D">
        <w:rPr>
          <w:rFonts w:eastAsiaTheme="minorEastAsia"/>
          <w:snapToGrid w:val="0"/>
          <w:kern w:val="22"/>
          <w:sz w:val="24"/>
          <w:lang w:eastAsia="zh-CN"/>
        </w:rPr>
        <w:t>标准的新区域的行为方</w:t>
      </w:r>
      <w:bookmarkEnd w:id="129"/>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ind w:left="0" w:firstLine="0"/>
        <w:rPr>
          <w:rFonts w:eastAsiaTheme="minorEastAsia"/>
          <w:snapToGrid w:val="0"/>
          <w:kern w:val="22"/>
          <w:lang w:eastAsia="zh-CN"/>
        </w:rPr>
      </w:pPr>
      <w:r w:rsidRPr="00C9773D">
        <w:rPr>
          <w:rFonts w:eastAsiaTheme="minorEastAsia"/>
          <w:snapToGrid w:val="0"/>
          <w:kern w:val="22"/>
          <w:lang w:eastAsia="zh-CN"/>
        </w:rPr>
        <w:t>以下行为方可以倡议描述符合具有重要生态或生物意义的海洋区域标准的新区域：</w:t>
      </w:r>
    </w:p>
    <w:p w:rsidR="00772406" w:rsidRPr="00C9773D" w:rsidRDefault="00772406" w:rsidP="001A42F8">
      <w:pPr>
        <w:pStyle w:val="ListParagraph"/>
        <w:numPr>
          <w:ilvl w:val="4"/>
          <w:numId w:val="187"/>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szCs w:val="22"/>
          <w:lang w:eastAsia="zh-CN"/>
        </w:rPr>
      </w:pPr>
      <w:r w:rsidRPr="00C9773D">
        <w:rPr>
          <w:rFonts w:eastAsiaTheme="minorEastAsia"/>
          <w:snapToGrid w:val="0"/>
          <w:kern w:val="22"/>
          <w:szCs w:val="22"/>
          <w:lang w:eastAsia="zh-CN"/>
        </w:rPr>
        <w:t>在一国国家管辖以内</w:t>
      </w:r>
      <w:r w:rsidRPr="00B45229">
        <w:rPr>
          <w:rFonts w:eastAsiaTheme="minorEastAsia"/>
          <w:snapToGrid w:val="0"/>
          <w:spacing w:val="-20"/>
          <w:kern w:val="22"/>
          <w:szCs w:val="22"/>
          <w:lang w:eastAsia="zh-CN"/>
        </w:rPr>
        <w:t>：在其管辖范围内拟议进行新描述</w:t>
      </w:r>
      <w:r w:rsidRPr="00B45229">
        <w:rPr>
          <w:rFonts w:eastAsiaTheme="minorEastAsia"/>
          <w:spacing w:val="-20"/>
          <w:lang w:eastAsia="zh-CN"/>
        </w:rPr>
        <w:t>的国家（沿海、群岛）；</w:t>
      </w:r>
    </w:p>
    <w:p w:rsidR="00772406" w:rsidRPr="00C9773D" w:rsidRDefault="00772406" w:rsidP="001A42F8">
      <w:pPr>
        <w:pStyle w:val="ListParagraph"/>
        <w:numPr>
          <w:ilvl w:val="4"/>
          <w:numId w:val="187"/>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szCs w:val="22"/>
          <w:lang w:eastAsia="zh-CN"/>
        </w:rPr>
      </w:pPr>
      <w:r w:rsidRPr="00C9773D">
        <w:rPr>
          <w:rFonts w:eastAsiaTheme="minorEastAsia"/>
          <w:snapToGrid w:val="0"/>
          <w:kern w:val="22"/>
          <w:szCs w:val="22"/>
          <w:lang w:eastAsia="zh-CN"/>
        </w:rPr>
        <w:t>在多国国家管辖以内：在其管辖范围内提议进行新的描述</w:t>
      </w:r>
      <w:r w:rsidRPr="00C9773D">
        <w:rPr>
          <w:rFonts w:eastAsiaTheme="minorEastAsia"/>
          <w:lang w:eastAsia="zh-CN"/>
        </w:rPr>
        <w:t>的国家</w:t>
      </w:r>
      <w:r w:rsidRPr="00B45229">
        <w:rPr>
          <w:rFonts w:eastAsiaTheme="minorEastAsia"/>
          <w:spacing w:val="-20"/>
          <w:lang w:eastAsia="zh-CN"/>
        </w:rPr>
        <w:t>（沿海、群岛），</w:t>
      </w:r>
      <w:r w:rsidRPr="00C9773D">
        <w:rPr>
          <w:rFonts w:eastAsiaTheme="minorEastAsia"/>
          <w:snapToGrid w:val="0"/>
          <w:kern w:val="22"/>
          <w:lang w:eastAsia="zh-CN"/>
        </w:rPr>
        <w:t>与其他国家</w:t>
      </w:r>
      <w:r w:rsidRPr="00C9773D">
        <w:rPr>
          <w:rFonts w:eastAsiaTheme="minorEastAsia"/>
          <w:snapToGrid w:val="0"/>
          <w:kern w:val="22"/>
          <w:lang w:eastAsia="zh-CN"/>
        </w:rPr>
        <w:t>[</w:t>
      </w:r>
      <w:r w:rsidRPr="00C9773D">
        <w:rPr>
          <w:rFonts w:eastAsiaTheme="minorEastAsia"/>
          <w:snapToGrid w:val="0"/>
          <w:kern w:val="22"/>
          <w:lang w:eastAsia="zh-CN"/>
        </w:rPr>
        <w:t>协作</w:t>
      </w:r>
      <w:r w:rsidRPr="00C9773D">
        <w:rPr>
          <w:rFonts w:eastAsiaTheme="minorEastAsia"/>
          <w:snapToGrid w:val="0"/>
          <w:kern w:val="22"/>
          <w:lang w:eastAsia="zh-CN"/>
        </w:rPr>
        <w:t>] [</w:t>
      </w:r>
      <w:r w:rsidRPr="00C9773D">
        <w:rPr>
          <w:rFonts w:eastAsiaTheme="minorEastAsia"/>
          <w:snapToGrid w:val="0"/>
          <w:kern w:val="22"/>
          <w:lang w:eastAsia="zh-CN"/>
        </w:rPr>
        <w:t>鼓励协商和酌情鼓励协作，包括通过执行秘书向他国的通报；</w:t>
      </w:r>
    </w:p>
    <w:p w:rsidR="00772406" w:rsidRPr="00C9773D" w:rsidRDefault="00772406" w:rsidP="001A42F8">
      <w:pPr>
        <w:pStyle w:val="ListParagraph"/>
        <w:numPr>
          <w:ilvl w:val="1"/>
          <w:numId w:val="187"/>
        </w:numPr>
        <w:suppressLineNumbers/>
        <w:suppressAutoHyphens/>
        <w:kinsoku w:val="0"/>
        <w:overflowPunct w:val="0"/>
        <w:autoSpaceDE w:val="0"/>
        <w:autoSpaceDN w:val="0"/>
        <w:adjustRightInd w:val="0"/>
        <w:snapToGrid w:val="0"/>
        <w:rPr>
          <w:rFonts w:eastAsiaTheme="minorEastAsia"/>
          <w:snapToGrid w:val="0"/>
          <w:kern w:val="22"/>
          <w:szCs w:val="22"/>
          <w:lang w:eastAsia="zh-CN"/>
        </w:rPr>
      </w:pPr>
      <w:r w:rsidRPr="00C9773D">
        <w:rPr>
          <w:rFonts w:eastAsiaTheme="minorEastAsia"/>
          <w:bCs/>
          <w:snapToGrid w:val="0"/>
          <w:kern w:val="22"/>
          <w:szCs w:val="22"/>
          <w:lang w:eastAsia="zh-CN"/>
        </w:rPr>
        <w:t>[</w:t>
      </w:r>
      <w:r w:rsidRPr="00C9773D">
        <w:rPr>
          <w:rFonts w:eastAsiaTheme="minorEastAsia"/>
          <w:bCs/>
          <w:snapToGrid w:val="0"/>
          <w:kern w:val="22"/>
          <w:szCs w:val="22"/>
          <w:lang w:eastAsia="zh-CN"/>
        </w:rPr>
        <w:t>在国家管辖范围以外的区域：</w:t>
      </w:r>
      <w:r w:rsidRPr="00C9773D">
        <w:rPr>
          <w:rFonts w:eastAsiaTheme="minorEastAsia"/>
          <w:snapToGrid w:val="0"/>
          <w:kern w:val="22"/>
          <w:lang w:eastAsia="zh-CN"/>
        </w:rPr>
        <w:t>任何国家和（或）主管政府间组织，</w:t>
      </w:r>
      <w:r w:rsidRPr="00C9773D">
        <w:rPr>
          <w:rFonts w:eastAsiaTheme="minorEastAsia"/>
          <w:snapToGrid w:val="0"/>
          <w:color w:val="000000"/>
          <w:kern w:val="22"/>
          <w:lang w:eastAsia="zh-CN"/>
        </w:rPr>
        <w:t>向所有国家发出通知，包括通过执行秘书的通知，</w:t>
      </w:r>
      <w:r w:rsidRPr="00C9773D">
        <w:rPr>
          <w:rFonts w:eastAsiaTheme="minorEastAsia"/>
          <w:snapToGrid w:val="0"/>
          <w:kern w:val="22"/>
          <w:lang w:eastAsia="zh-CN"/>
        </w:rPr>
        <w:t>[</w:t>
      </w:r>
      <w:r w:rsidRPr="00C9773D">
        <w:rPr>
          <w:rFonts w:eastAsiaTheme="minorEastAsia"/>
          <w:snapToGrid w:val="0"/>
          <w:kern w:val="22"/>
          <w:lang w:eastAsia="zh-CN"/>
        </w:rPr>
        <w:t>但不妨碍《联合国海洋法公约》下的进展</w:t>
      </w:r>
      <w:r w:rsidRPr="00C9773D">
        <w:rPr>
          <w:rFonts w:eastAsiaTheme="minorEastAsia"/>
          <w:snapToGrid w:val="0"/>
          <w:kern w:val="22"/>
          <w:lang w:eastAsia="zh-CN"/>
        </w:rPr>
        <w:t>]]</w:t>
      </w:r>
      <w:r w:rsidRPr="00C9773D">
        <w:rPr>
          <w:rFonts w:eastAsiaTheme="minorEastAsia"/>
          <w:snapToGrid w:val="0"/>
          <w:kern w:val="22"/>
          <w:lang w:eastAsia="zh-CN"/>
        </w:rPr>
        <w:t>；</w:t>
      </w:r>
    </w:p>
    <w:p w:rsidR="00772406" w:rsidRPr="00C9773D" w:rsidRDefault="00772406" w:rsidP="001A42F8">
      <w:pPr>
        <w:pStyle w:val="ListParagraph"/>
        <w:numPr>
          <w:ilvl w:val="1"/>
          <w:numId w:val="187"/>
        </w:numPr>
        <w:suppressLineNumbers/>
        <w:suppressAutoHyphens/>
        <w:kinsoku w:val="0"/>
        <w:overflowPunct w:val="0"/>
        <w:autoSpaceDE w:val="0"/>
        <w:autoSpaceDN w:val="0"/>
        <w:adjustRightInd w:val="0"/>
        <w:snapToGrid w:val="0"/>
        <w:rPr>
          <w:rFonts w:eastAsiaTheme="minorEastAsia"/>
          <w:snapToGrid w:val="0"/>
          <w:kern w:val="22"/>
          <w:szCs w:val="22"/>
          <w:lang w:eastAsia="zh-CN"/>
        </w:rPr>
      </w:pPr>
      <w:r w:rsidRPr="00C9773D">
        <w:rPr>
          <w:rFonts w:eastAsiaTheme="minorEastAsia"/>
          <w:snapToGrid w:val="0"/>
          <w:kern w:val="22"/>
          <w:lang w:eastAsia="zh-CN"/>
        </w:rPr>
        <w:t>对位于</w:t>
      </w:r>
      <w:r w:rsidRPr="00C9773D">
        <w:rPr>
          <w:rFonts w:eastAsiaTheme="minorEastAsia"/>
          <w:lang w:eastAsia="zh-CN"/>
        </w:rPr>
        <w:t>国家管辖范围以内和以外的区域：拟议的新描述在其管辖范围内进行的国家（沿海、群岛），</w:t>
      </w:r>
      <w:r w:rsidRPr="00C9773D">
        <w:rPr>
          <w:rFonts w:eastAsiaTheme="minorEastAsia"/>
          <w:snapToGrid w:val="0"/>
          <w:kern w:val="22"/>
          <w:lang w:eastAsia="zh-CN"/>
        </w:rPr>
        <w:t>[</w:t>
      </w:r>
      <w:r w:rsidRPr="00C9773D">
        <w:rPr>
          <w:rFonts w:eastAsiaTheme="minorEastAsia"/>
          <w:snapToGrid w:val="0"/>
          <w:kern w:val="22"/>
          <w:lang w:eastAsia="zh-CN"/>
        </w:rPr>
        <w:t>与有关国家协作</w:t>
      </w:r>
      <w:r w:rsidRPr="00C9773D">
        <w:rPr>
          <w:rFonts w:eastAsiaTheme="minorEastAsia"/>
          <w:snapToGrid w:val="0"/>
          <w:kern w:val="22"/>
          <w:lang w:eastAsia="zh-CN"/>
        </w:rPr>
        <w:t>] [</w:t>
      </w:r>
      <w:r w:rsidRPr="00C9773D">
        <w:rPr>
          <w:rFonts w:eastAsiaTheme="minorEastAsia"/>
          <w:snapToGrid w:val="0"/>
          <w:kern w:val="22"/>
          <w:lang w:eastAsia="zh-CN"/>
        </w:rPr>
        <w:t>鼓励协商和酌情鼓励协作，包括通过执行秘书向他国的通报</w:t>
      </w:r>
      <w:r w:rsidRPr="00C9773D">
        <w:rPr>
          <w:rFonts w:eastAsiaTheme="minorEastAsia"/>
          <w:snapToGrid w:val="0"/>
          <w:kern w:val="22"/>
          <w:lang w:eastAsia="zh-CN"/>
        </w:rPr>
        <w:t xml:space="preserve">] </w:t>
      </w:r>
      <w:r w:rsidRPr="00C9773D">
        <w:rPr>
          <w:rFonts w:eastAsiaTheme="minorEastAsia"/>
          <w:snapToGrid w:val="0"/>
          <w:kern w:val="22"/>
          <w:lang w:eastAsia="zh-CN"/>
        </w:rPr>
        <w:t>；以及，对拟议在国家管辖范围以外区域进行的新描述，任何国家和（或）主管政府间组织酌情向所有国家事先发出通知。</w:t>
      </w:r>
    </w:p>
    <w:p w:rsidR="00772406" w:rsidRPr="00C9773D" w:rsidRDefault="00772406" w:rsidP="00C9773D">
      <w:pPr>
        <w:pStyle w:val="Heading2"/>
        <w:suppressLineNumbers/>
        <w:suppressAutoHyphens/>
        <w:kinsoku w:val="0"/>
        <w:overflowPunct w:val="0"/>
        <w:autoSpaceDE w:val="0"/>
        <w:autoSpaceDN w:val="0"/>
        <w:ind w:firstLine="0"/>
        <w:rPr>
          <w:rFonts w:eastAsiaTheme="minorEastAsia"/>
          <w:i/>
          <w:snapToGrid w:val="0"/>
          <w:kern w:val="22"/>
          <w:sz w:val="24"/>
          <w:lang w:eastAsia="zh-CN"/>
        </w:rPr>
      </w:pPr>
      <w:bookmarkStart w:id="130" w:name="_Toc6243743"/>
      <w:r w:rsidRPr="00C9773D">
        <w:rPr>
          <w:rFonts w:eastAsiaTheme="minorEastAsia"/>
          <w:snapToGrid w:val="0"/>
          <w:kern w:val="22"/>
          <w:sz w:val="24"/>
          <w:lang w:eastAsia="zh-CN"/>
        </w:rPr>
        <w:t>B.</w:t>
      </w:r>
      <w:r w:rsidRPr="00C9773D">
        <w:rPr>
          <w:rFonts w:eastAsiaTheme="minorEastAsia"/>
          <w:snapToGrid w:val="0"/>
          <w:kern w:val="22"/>
          <w:sz w:val="24"/>
          <w:lang w:eastAsia="zh-CN"/>
        </w:rPr>
        <w:tab/>
        <w:t xml:space="preserve">  </w:t>
      </w:r>
      <w:r w:rsidRPr="00C9773D">
        <w:rPr>
          <w:rFonts w:eastAsiaTheme="minorEastAsia"/>
          <w:snapToGrid w:val="0"/>
          <w:kern w:val="22"/>
          <w:sz w:val="24"/>
          <w:lang w:eastAsia="zh-CN"/>
        </w:rPr>
        <w:t>描述符合</w:t>
      </w:r>
      <w:r w:rsidRPr="00C9773D">
        <w:rPr>
          <w:rFonts w:eastAsiaTheme="minorEastAsia"/>
          <w:color w:val="000000" w:themeColor="text1"/>
          <w:sz w:val="24"/>
          <w:lang w:eastAsia="zh-CN"/>
        </w:rPr>
        <w:t>具有重要生态或生物意义的区域</w:t>
      </w:r>
      <w:r w:rsidRPr="00C9773D">
        <w:rPr>
          <w:rFonts w:eastAsiaTheme="minorEastAsia"/>
          <w:snapToGrid w:val="0"/>
          <w:kern w:val="22"/>
          <w:sz w:val="24"/>
          <w:lang w:eastAsia="zh-CN"/>
        </w:rPr>
        <w:t>标准的新区域的办法</w:t>
      </w:r>
      <w:bookmarkEnd w:id="130"/>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C9773D">
        <w:rPr>
          <w:rFonts w:eastAsiaTheme="minorEastAsia"/>
          <w:snapToGrid w:val="0"/>
          <w:kern w:val="22"/>
          <w:lang w:eastAsia="zh-CN"/>
        </w:rPr>
        <w:t>国家对符合</w:t>
      </w:r>
      <w:r w:rsidRPr="00C9773D">
        <w:rPr>
          <w:rFonts w:eastAsiaTheme="minorEastAsia"/>
          <w:color w:val="000000" w:themeColor="text1"/>
          <w:lang w:eastAsia="zh-CN"/>
        </w:rPr>
        <w:t>具有重要生态或生物意义的区域</w:t>
      </w:r>
      <w:r w:rsidRPr="00C9773D">
        <w:rPr>
          <w:rFonts w:eastAsiaTheme="minorEastAsia"/>
          <w:snapToGrid w:val="0"/>
          <w:kern w:val="22"/>
          <w:lang w:eastAsia="zh-CN"/>
        </w:rPr>
        <w:t>标准的新区域的描述工作见下文第三节</w:t>
      </w:r>
      <w:r w:rsidRPr="00C9773D">
        <w:rPr>
          <w:rFonts w:eastAsiaTheme="minorEastAsia"/>
          <w:snapToGrid w:val="0"/>
          <w:kern w:val="22"/>
          <w:lang w:eastAsia="zh-CN"/>
        </w:rPr>
        <w:t>C</w:t>
      </w:r>
      <w:r w:rsidRPr="00C9773D">
        <w:rPr>
          <w:rFonts w:eastAsiaTheme="minorEastAsia"/>
          <w:snapToGrid w:val="0"/>
          <w:kern w:val="22"/>
          <w:lang w:eastAsia="zh-CN"/>
        </w:rPr>
        <w:t>分节。</w:t>
      </w:r>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C9773D">
        <w:rPr>
          <w:rFonts w:eastAsiaTheme="minorEastAsia"/>
          <w:color w:val="000000" w:themeColor="text1"/>
          <w:lang w:eastAsia="zh-CN"/>
        </w:rPr>
        <w:t>对新</w:t>
      </w:r>
      <w:r w:rsidRPr="00C9773D">
        <w:rPr>
          <w:rFonts w:eastAsiaTheme="minorEastAsia"/>
          <w:snapToGrid w:val="0"/>
          <w:kern w:val="22"/>
          <w:lang w:eastAsia="zh-CN"/>
        </w:rPr>
        <w:t>区域</w:t>
      </w:r>
      <w:r w:rsidRPr="00C9773D">
        <w:rPr>
          <w:rFonts w:eastAsiaTheme="minorEastAsia"/>
          <w:color w:val="000000" w:themeColor="text1"/>
          <w:lang w:eastAsia="zh-CN"/>
        </w:rPr>
        <w:t>的所有其他描述由秘书处提供便利按下列步骤协作进行：</w:t>
      </w:r>
    </w:p>
    <w:p w:rsidR="00772406" w:rsidRPr="00C9773D" w:rsidRDefault="00772406" w:rsidP="001A42F8">
      <w:pPr>
        <w:pStyle w:val="ListParagraph"/>
        <w:numPr>
          <w:ilvl w:val="0"/>
          <w:numId w:val="178"/>
        </w:numPr>
        <w:suppressLineNumbers/>
        <w:tabs>
          <w:tab w:val="left" w:pos="1440"/>
        </w:tabs>
        <w:suppressAutoHyphens/>
        <w:kinsoku w:val="0"/>
        <w:overflowPunct w:val="0"/>
        <w:autoSpaceDE w:val="0"/>
        <w:autoSpaceDN w:val="0"/>
        <w:snapToGrid w:val="0"/>
        <w:ind w:left="0" w:firstLine="720"/>
        <w:rPr>
          <w:rFonts w:eastAsiaTheme="minorEastAsia"/>
          <w:snapToGrid w:val="0"/>
          <w:kern w:val="22"/>
          <w:lang w:eastAsia="zh-CN"/>
        </w:rPr>
      </w:pPr>
      <w:r w:rsidRPr="00C9773D">
        <w:rPr>
          <w:rFonts w:eastAsiaTheme="minorEastAsia"/>
          <w:snapToGrid w:val="0"/>
          <w:kern w:val="22"/>
          <w:lang w:eastAsia="zh-CN"/>
        </w:rPr>
        <w:t>随时（使用具有重要生态或生物意义的海洋区域的模板）向秘书处提交新的信息；</w:t>
      </w:r>
    </w:p>
    <w:p w:rsidR="00772406" w:rsidRPr="00C9773D" w:rsidRDefault="00772406" w:rsidP="001A42F8">
      <w:pPr>
        <w:pStyle w:val="ListParagraph"/>
        <w:numPr>
          <w:ilvl w:val="0"/>
          <w:numId w:val="178"/>
        </w:numPr>
        <w:suppressLineNumbers/>
        <w:shd w:val="clear" w:color="auto" w:fill="FFFFFF"/>
        <w:tabs>
          <w:tab w:val="left" w:pos="1440"/>
        </w:tabs>
        <w:suppressAutoHyphens/>
        <w:kinsoku w:val="0"/>
        <w:overflowPunct w:val="0"/>
        <w:autoSpaceDE w:val="0"/>
        <w:autoSpaceDN w:val="0"/>
        <w:snapToGrid w:val="0"/>
        <w:ind w:left="0" w:firstLine="720"/>
        <w:rPr>
          <w:rFonts w:eastAsiaTheme="minorEastAsia"/>
          <w:color w:val="000000" w:themeColor="text1"/>
          <w:lang w:eastAsia="zh-CN"/>
        </w:rPr>
      </w:pPr>
      <w:r w:rsidRPr="00B45229">
        <w:rPr>
          <w:rFonts w:eastAsiaTheme="minorEastAsia"/>
          <w:snapToGrid w:val="0"/>
          <w:spacing w:val="-20"/>
          <w:kern w:val="22"/>
          <w:lang w:eastAsia="zh-CN"/>
        </w:rPr>
        <w:t>秘书处通过生物多样性公约的通知和具有重要生态或生物意义的海洋区域网站，</w:t>
      </w:r>
      <w:r w:rsidRPr="00C9773D">
        <w:rPr>
          <w:rFonts w:eastAsiaTheme="minorEastAsia"/>
          <w:snapToGrid w:val="0"/>
          <w:kern w:val="22"/>
          <w:lang w:eastAsia="zh-CN"/>
        </w:rPr>
        <w:t>向各缔约方、其他国家政府、有关主管政府间组织和具有重要生态或生物意义的海洋区域非正式咨询小组通报任何关于新区域描述的提案</w:t>
      </w:r>
      <w:r w:rsidRPr="00C9773D">
        <w:rPr>
          <w:rFonts w:eastAsiaTheme="minorEastAsia"/>
          <w:color w:val="000000" w:themeColor="text1"/>
          <w:lang w:eastAsia="zh-CN"/>
        </w:rPr>
        <w:t>；</w:t>
      </w:r>
    </w:p>
    <w:p w:rsidR="00772406" w:rsidRPr="00C9773D" w:rsidRDefault="00772406" w:rsidP="001A42F8">
      <w:pPr>
        <w:pStyle w:val="ListParagraph"/>
        <w:numPr>
          <w:ilvl w:val="0"/>
          <w:numId w:val="178"/>
        </w:numPr>
        <w:suppressLineNumbers/>
        <w:shd w:val="clear" w:color="auto" w:fill="FFFFFF"/>
        <w:tabs>
          <w:tab w:val="left" w:pos="1440"/>
        </w:tabs>
        <w:suppressAutoHyphens/>
        <w:kinsoku w:val="0"/>
        <w:overflowPunct w:val="0"/>
        <w:autoSpaceDE w:val="0"/>
        <w:autoSpaceDN w:val="0"/>
        <w:snapToGrid w:val="0"/>
        <w:ind w:left="0" w:firstLine="720"/>
        <w:rPr>
          <w:rFonts w:eastAsiaTheme="minorEastAsia"/>
          <w:color w:val="000000" w:themeColor="text1"/>
          <w:lang w:eastAsia="zh-CN"/>
        </w:rPr>
      </w:pPr>
      <w:r w:rsidRPr="00C9773D">
        <w:rPr>
          <w:rFonts w:eastAsiaTheme="minorEastAsia"/>
          <w:snapToGrid w:val="0"/>
          <w:kern w:val="22"/>
          <w:lang w:eastAsia="zh-CN"/>
        </w:rPr>
        <w:t>执行秘书根据第</w:t>
      </w:r>
      <w:r w:rsidRPr="00C9773D">
        <w:rPr>
          <w:rFonts w:eastAsiaTheme="minorEastAsia"/>
          <w:snapToGrid w:val="0"/>
          <w:kern w:val="22"/>
          <w:lang w:eastAsia="zh-CN"/>
        </w:rPr>
        <w:t>XIII/12</w:t>
      </w:r>
      <w:r w:rsidRPr="00C9773D">
        <w:rPr>
          <w:rFonts w:eastAsiaTheme="minorEastAsia"/>
          <w:snapToGrid w:val="0"/>
          <w:kern w:val="22"/>
          <w:lang w:eastAsia="zh-CN"/>
        </w:rPr>
        <w:t>号决定附件三和具有重要生态或生物意义的海洋区域非正式咨询小组编写的指导意见，对提案进行审查，并酌情与缔约方和其他国家政府协商举办新的区域讲习班。科学空白分析可为这一审查过程提供信息，并确定能够补充区域讲习班的专题分析的必要性</w:t>
      </w:r>
      <w:r w:rsidRPr="00C9773D">
        <w:rPr>
          <w:rFonts w:eastAsiaTheme="minorEastAsia"/>
          <w:color w:val="000000" w:themeColor="text1"/>
          <w:lang w:eastAsia="zh-CN"/>
        </w:rPr>
        <w:t>；</w:t>
      </w:r>
      <w:r w:rsidRPr="00C9773D">
        <w:rPr>
          <w:rFonts w:eastAsiaTheme="minorEastAsia"/>
          <w:color w:val="000000" w:themeColor="text1"/>
          <w:lang w:eastAsia="zh-CN"/>
        </w:rPr>
        <w:t xml:space="preserve"> </w:t>
      </w:r>
    </w:p>
    <w:p w:rsidR="00772406" w:rsidRPr="00C9773D" w:rsidRDefault="00772406" w:rsidP="001A42F8">
      <w:pPr>
        <w:pStyle w:val="ListParagraph"/>
        <w:numPr>
          <w:ilvl w:val="0"/>
          <w:numId w:val="178"/>
        </w:numPr>
        <w:suppressLineNumbers/>
        <w:shd w:val="clear" w:color="auto" w:fill="FFFFFF"/>
        <w:tabs>
          <w:tab w:val="left" w:pos="1440"/>
        </w:tabs>
        <w:suppressAutoHyphens/>
        <w:kinsoku w:val="0"/>
        <w:overflowPunct w:val="0"/>
        <w:autoSpaceDE w:val="0"/>
        <w:autoSpaceDN w:val="0"/>
        <w:snapToGrid w:val="0"/>
        <w:ind w:left="0" w:firstLine="720"/>
        <w:rPr>
          <w:rFonts w:eastAsiaTheme="minorEastAsia"/>
          <w:snapToGrid w:val="0"/>
          <w:kern w:val="22"/>
          <w:lang w:eastAsia="zh-CN"/>
        </w:rPr>
      </w:pPr>
      <w:r w:rsidRPr="00C9773D">
        <w:rPr>
          <w:rFonts w:eastAsiaTheme="minorEastAsia"/>
          <w:color w:val="000000" w:themeColor="text1"/>
          <w:lang w:eastAsia="zh-CN"/>
        </w:rPr>
        <w:t>通过区域讲习班对新的区域的描述，将遵循科学、技术和工艺咨询附属机构和缔约方大会的现有提交程序，供其审议和可能列入具有重要生态或生物意义的海洋区域信息库。</w:t>
      </w:r>
    </w:p>
    <w:p w:rsidR="00772406" w:rsidRPr="00C9773D" w:rsidRDefault="00772406" w:rsidP="00C9773D">
      <w:pPr>
        <w:pStyle w:val="Heading2"/>
        <w:suppressLineNumbers/>
        <w:suppressAutoHyphens/>
        <w:kinsoku w:val="0"/>
        <w:overflowPunct w:val="0"/>
        <w:autoSpaceDE w:val="0"/>
        <w:autoSpaceDN w:val="0"/>
        <w:adjustRightInd w:val="0"/>
        <w:ind w:firstLine="0"/>
        <w:rPr>
          <w:rFonts w:eastAsiaTheme="minorEastAsia"/>
          <w:b w:val="0"/>
          <w:bCs w:val="0"/>
          <w:i/>
          <w:iCs w:val="0"/>
          <w:snapToGrid w:val="0"/>
          <w:kern w:val="22"/>
          <w:sz w:val="24"/>
          <w:lang w:eastAsia="zh-CN"/>
        </w:rPr>
      </w:pPr>
      <w:bookmarkStart w:id="131" w:name="_Toc6243744"/>
      <w:r w:rsidRPr="00C9773D">
        <w:rPr>
          <w:rFonts w:eastAsiaTheme="minorEastAsia"/>
          <w:bCs w:val="0"/>
          <w:iCs w:val="0"/>
          <w:snapToGrid w:val="0"/>
          <w:kern w:val="22"/>
          <w:sz w:val="24"/>
          <w:lang w:eastAsia="zh-CN"/>
        </w:rPr>
        <w:t>C.</w:t>
      </w:r>
      <w:r w:rsidRPr="00C9773D">
        <w:rPr>
          <w:rFonts w:eastAsiaTheme="minorEastAsia"/>
          <w:b w:val="0"/>
          <w:bCs w:val="0"/>
          <w:iCs w:val="0"/>
          <w:snapToGrid w:val="0"/>
          <w:kern w:val="22"/>
          <w:sz w:val="24"/>
          <w:lang w:eastAsia="zh-CN"/>
        </w:rPr>
        <w:t xml:space="preserve">   </w:t>
      </w:r>
      <w:r w:rsidR="00C9773D">
        <w:rPr>
          <w:rFonts w:eastAsiaTheme="minorEastAsia"/>
          <w:b w:val="0"/>
          <w:bCs w:val="0"/>
          <w:iCs w:val="0"/>
          <w:snapToGrid w:val="0"/>
          <w:kern w:val="22"/>
          <w:sz w:val="24"/>
          <w:lang w:eastAsia="zh-CN"/>
        </w:rPr>
        <w:t xml:space="preserve"> </w:t>
      </w:r>
      <w:r w:rsidRPr="00C9773D">
        <w:rPr>
          <w:rFonts w:eastAsiaTheme="minorEastAsia"/>
          <w:bCs w:val="0"/>
          <w:iCs w:val="0"/>
          <w:snapToGrid w:val="0"/>
          <w:kern w:val="22"/>
          <w:sz w:val="24"/>
          <w:lang w:eastAsia="zh-CN"/>
        </w:rPr>
        <w:t>描述符合具有重要生态或生物意义的海洋区域标准的新区域的关键考虑因素</w:t>
      </w:r>
      <w:bookmarkEnd w:id="131"/>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rPr>
      </w:pPr>
      <w:r w:rsidRPr="00C9773D">
        <w:rPr>
          <w:rFonts w:eastAsiaTheme="minorEastAsia"/>
          <w:color w:val="000000" w:themeColor="text1"/>
        </w:rPr>
        <w:t>需要考虑下列因素</w:t>
      </w:r>
      <w:r w:rsidRPr="00C9773D">
        <w:rPr>
          <w:rFonts w:eastAsiaTheme="minorEastAsia"/>
          <w:snapToGrid w:val="0"/>
          <w:kern w:val="22"/>
        </w:rPr>
        <w:t>：</w:t>
      </w:r>
    </w:p>
    <w:p w:rsidR="00772406" w:rsidRPr="00C9773D" w:rsidRDefault="00772406" w:rsidP="001A42F8">
      <w:pPr>
        <w:pStyle w:val="HTMLPreformatted"/>
        <w:numPr>
          <w:ilvl w:val="0"/>
          <w:numId w:val="17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lastRenderedPageBreak/>
        <w:t>应通过生物多样性公约的通知以及具有重要生态或生物意义的海洋区域网站，让缔约方和其他国家政府以及主管政府间组织获知所提交的描述新区域的提案的情况；</w:t>
      </w:r>
    </w:p>
    <w:p w:rsidR="00772406" w:rsidRPr="00C9773D" w:rsidRDefault="00772406" w:rsidP="001A42F8">
      <w:pPr>
        <w:pStyle w:val="HTMLPreformatted"/>
        <w:numPr>
          <w:ilvl w:val="0"/>
          <w:numId w:val="17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t>酌情并根据国内法和国际义务将土著人民和地方社区传统知识纳入新的具有重要生态或生物意义的海洋区域的描述并确保土著人民和地方社区充分和有效参与的重要性；</w:t>
      </w:r>
    </w:p>
    <w:p w:rsidR="00772406" w:rsidRPr="00C9773D" w:rsidRDefault="00772406" w:rsidP="001A42F8">
      <w:pPr>
        <w:pStyle w:val="HTMLPreformatted"/>
        <w:numPr>
          <w:ilvl w:val="0"/>
          <w:numId w:val="17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t>任何新提案必须具备强有力的科学和技术基础；</w:t>
      </w:r>
    </w:p>
    <w:p w:rsidR="00772406" w:rsidRPr="00C9773D" w:rsidRDefault="00772406" w:rsidP="001A42F8">
      <w:pPr>
        <w:pStyle w:val="HTMLPreformatted"/>
        <w:numPr>
          <w:ilvl w:val="0"/>
          <w:numId w:val="17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t>新描述进程的透明度的重要性；</w:t>
      </w:r>
    </w:p>
    <w:p w:rsidR="00772406" w:rsidRPr="00C9773D" w:rsidRDefault="00772406" w:rsidP="001A42F8">
      <w:pPr>
        <w:pStyle w:val="HTMLPreformatted"/>
        <w:numPr>
          <w:ilvl w:val="0"/>
          <w:numId w:val="17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t>采取具有成本效益方式的机会；</w:t>
      </w:r>
    </w:p>
    <w:p w:rsidR="00772406" w:rsidRPr="00C9773D" w:rsidRDefault="00772406" w:rsidP="001A42F8">
      <w:pPr>
        <w:pStyle w:val="HTMLPreformatted"/>
        <w:numPr>
          <w:ilvl w:val="0"/>
          <w:numId w:val="17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t>在描述新的具有重要生态或生物意义的海洋区域时，应考虑到区域间在数据可用性和研究工作方面的差异。</w:t>
      </w:r>
    </w:p>
    <w:p w:rsidR="00772406" w:rsidRPr="00C9773D" w:rsidRDefault="00772406" w:rsidP="00C9773D">
      <w:pPr>
        <w:suppressLineNumbers/>
        <w:suppressAutoHyphens/>
        <w:kinsoku w:val="0"/>
        <w:overflowPunct w:val="0"/>
        <w:autoSpaceDE w:val="0"/>
        <w:autoSpaceDN w:val="0"/>
        <w:adjustRightInd w:val="0"/>
        <w:ind w:left="1620" w:right="1092" w:hanging="720"/>
        <w:rPr>
          <w:rFonts w:eastAsiaTheme="minorEastAsia"/>
          <w:b/>
          <w:snapToGrid w:val="0"/>
          <w:kern w:val="22"/>
          <w:lang w:eastAsia="zh-CN"/>
        </w:rPr>
      </w:pPr>
      <w:r w:rsidRPr="00C9773D">
        <w:rPr>
          <w:rFonts w:eastAsiaTheme="minorEastAsia"/>
          <w:b/>
          <w:snapToGrid w:val="0"/>
          <w:kern w:val="22"/>
          <w:lang w:eastAsia="zh-CN"/>
        </w:rPr>
        <w:t>三</w:t>
      </w:r>
      <w:r w:rsidRPr="00C9773D">
        <w:rPr>
          <w:rFonts w:eastAsiaTheme="minorEastAsia"/>
          <w:b/>
          <w:snapToGrid w:val="0"/>
          <w:kern w:val="22"/>
          <w:lang w:eastAsia="zh-CN"/>
        </w:rPr>
        <w:t>.</w:t>
      </w:r>
      <w:r w:rsidRPr="00C9773D">
        <w:rPr>
          <w:rFonts w:eastAsiaTheme="minorEastAsia"/>
          <w:b/>
          <w:snapToGrid w:val="0"/>
          <w:kern w:val="22"/>
          <w:lang w:eastAsia="zh-CN"/>
        </w:rPr>
        <w:tab/>
      </w:r>
      <w:r w:rsidRPr="00C9773D">
        <w:rPr>
          <w:rFonts w:eastAsiaTheme="minorEastAsia"/>
          <w:b/>
          <w:snapToGrid w:val="0"/>
          <w:kern w:val="22"/>
          <w:lang w:eastAsia="zh-CN"/>
        </w:rPr>
        <w:t>加强</w:t>
      </w:r>
      <w:r w:rsidRPr="00C9773D">
        <w:rPr>
          <w:rFonts w:eastAsiaTheme="minorEastAsia"/>
          <w:b/>
          <w:color w:val="000000" w:themeColor="text1"/>
          <w:lang w:eastAsia="zh-CN"/>
        </w:rPr>
        <w:t>具有重要生态或生物意义的海洋区域</w:t>
      </w:r>
      <w:r w:rsidRPr="00C9773D">
        <w:rPr>
          <w:rFonts w:eastAsiaTheme="minorEastAsia"/>
          <w:b/>
          <w:snapToGrid w:val="0"/>
          <w:kern w:val="22"/>
          <w:lang w:eastAsia="zh-CN"/>
        </w:rPr>
        <w:t>进程的科学可信度和透明度的备选办法</w:t>
      </w:r>
    </w:p>
    <w:p w:rsidR="00772406" w:rsidRPr="00C9773D" w:rsidRDefault="00772406" w:rsidP="00C9773D">
      <w:pPr>
        <w:pStyle w:val="Heading2"/>
        <w:suppressLineNumbers/>
        <w:suppressAutoHyphens/>
        <w:kinsoku w:val="0"/>
        <w:overflowPunct w:val="0"/>
        <w:autoSpaceDE w:val="0"/>
        <w:autoSpaceDN w:val="0"/>
        <w:adjustRightInd w:val="0"/>
        <w:ind w:firstLine="0"/>
        <w:rPr>
          <w:rFonts w:eastAsiaTheme="minorEastAsia"/>
          <w:i/>
          <w:snapToGrid w:val="0"/>
          <w:kern w:val="22"/>
          <w:sz w:val="24"/>
          <w:lang w:eastAsia="zh-CN"/>
        </w:rPr>
      </w:pPr>
      <w:bookmarkStart w:id="132" w:name="_Toc6243745"/>
      <w:r w:rsidRPr="00C9773D">
        <w:rPr>
          <w:rFonts w:eastAsiaTheme="minorEastAsia"/>
          <w:snapToGrid w:val="0"/>
          <w:kern w:val="22"/>
          <w:sz w:val="24"/>
          <w:lang w:eastAsia="zh-CN"/>
        </w:rPr>
        <w:t>A.</w:t>
      </w:r>
      <w:r w:rsidRPr="00C9773D">
        <w:rPr>
          <w:rFonts w:eastAsiaTheme="minorEastAsia"/>
          <w:snapToGrid w:val="0"/>
          <w:kern w:val="22"/>
          <w:sz w:val="24"/>
          <w:lang w:eastAsia="zh-CN"/>
        </w:rPr>
        <w:tab/>
      </w:r>
      <w:r w:rsidRPr="00C9773D">
        <w:rPr>
          <w:rFonts w:eastAsiaTheme="minorEastAsia"/>
          <w:snapToGrid w:val="0"/>
          <w:kern w:val="22"/>
          <w:sz w:val="24"/>
          <w:lang w:eastAsia="zh-CN"/>
        </w:rPr>
        <w:t>关于具有重要生态或生物意义的海洋区域进程的科学可信度</w:t>
      </w:r>
      <w:bookmarkEnd w:id="132"/>
    </w:p>
    <w:p w:rsidR="00772406" w:rsidRPr="00B45229" w:rsidRDefault="00772406" w:rsidP="001A42F8">
      <w:pPr>
        <w:pStyle w:val="ListParagraph"/>
        <w:numPr>
          <w:ilvl w:val="1"/>
          <w:numId w:val="18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spacing w:val="-20"/>
          <w:kern w:val="22"/>
          <w:lang w:eastAsia="zh-CN"/>
        </w:rPr>
      </w:pPr>
      <w:r w:rsidRPr="00C9773D">
        <w:rPr>
          <w:rFonts w:eastAsiaTheme="minorEastAsia"/>
          <w:snapToGrid w:val="0"/>
          <w:kern w:val="22"/>
          <w:lang w:eastAsia="zh-CN"/>
        </w:rPr>
        <w:t>关于加强具有重要生态或生物意义的海洋区域进程的科学可信度</w:t>
      </w:r>
      <w:r w:rsidRPr="00B45229">
        <w:rPr>
          <w:rFonts w:eastAsiaTheme="minorEastAsia"/>
          <w:snapToGrid w:val="0"/>
          <w:spacing w:val="-20"/>
          <w:kern w:val="22"/>
          <w:lang w:eastAsia="zh-CN"/>
        </w:rPr>
        <w:t>，可以采取以下步骤：</w:t>
      </w:r>
    </w:p>
    <w:p w:rsidR="00772406" w:rsidRPr="00C9773D" w:rsidRDefault="00772406" w:rsidP="001A42F8">
      <w:pPr>
        <w:numPr>
          <w:ilvl w:val="0"/>
          <w:numId w:val="180"/>
        </w:numPr>
        <w:suppressLineNumbers/>
        <w:tabs>
          <w:tab w:val="clear" w:pos="360"/>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C9773D">
        <w:rPr>
          <w:rFonts w:eastAsiaTheme="minorEastAsia"/>
          <w:color w:val="212121"/>
          <w:lang w:eastAsia="zh-CN"/>
        </w:rPr>
        <w:t>与</w:t>
      </w:r>
      <w:r w:rsidRPr="00C9773D">
        <w:rPr>
          <w:rFonts w:eastAsiaTheme="minorEastAsia"/>
          <w:snapToGrid w:val="0"/>
          <w:kern w:val="22"/>
          <w:lang w:eastAsia="zh-CN"/>
        </w:rPr>
        <w:t>具有重要生态或生物意义的海洋区域问题非正式咨询小组合作规划举办讲习班，以确保以适当规模提供科学信息和土著知识；</w:t>
      </w:r>
    </w:p>
    <w:p w:rsidR="00772406" w:rsidRPr="00C9773D" w:rsidRDefault="00772406" w:rsidP="001A42F8">
      <w:pPr>
        <w:pStyle w:val="HTMLPreformatted"/>
        <w:numPr>
          <w:ilvl w:val="0"/>
          <w:numId w:val="180"/>
        </w:numPr>
        <w:shd w:val="clear" w:color="auto" w:fill="FFFFFF"/>
        <w:tabs>
          <w:tab w:val="clear" w:pos="36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t>具体解决跨专业知识领域的不平衡问题，包括探讨与生物多样性公约全球生物分类倡议以及联合国大会海洋环境状况（包括社会经济方面问题）全球报告和评估经常程序的可能联系，并酌情加强与其他相关组织的网络。</w:t>
      </w:r>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rPr>
      </w:pPr>
      <w:r w:rsidRPr="00C9773D">
        <w:rPr>
          <w:rFonts w:eastAsiaTheme="minorEastAsia"/>
          <w:snapToGrid w:val="0"/>
          <w:kern w:val="22"/>
        </w:rPr>
        <w:t>需要考虑到以下因素：</w:t>
      </w:r>
    </w:p>
    <w:p w:rsidR="00772406" w:rsidRPr="00C9773D" w:rsidRDefault="00772406" w:rsidP="001A42F8">
      <w:pPr>
        <w:pStyle w:val="ListParagraph"/>
        <w:numPr>
          <w:ilvl w:val="0"/>
          <w:numId w:val="181"/>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C9773D">
        <w:rPr>
          <w:rFonts w:eastAsiaTheme="minorEastAsia"/>
          <w:snapToGrid w:val="0"/>
          <w:kern w:val="22"/>
          <w:lang w:eastAsia="zh-CN"/>
        </w:rPr>
        <w:t>进一步与教科文组织海洋生物地理信息系统</w:t>
      </w:r>
      <w:r w:rsidRPr="00C9773D">
        <w:rPr>
          <w:rFonts w:eastAsiaTheme="minorEastAsia"/>
          <w:snapToGrid w:val="0"/>
          <w:kern w:val="22"/>
          <w:lang w:eastAsia="zh-CN"/>
        </w:rPr>
        <w:t>/</w:t>
      </w:r>
      <w:r w:rsidRPr="00C9773D">
        <w:rPr>
          <w:rFonts w:eastAsiaTheme="minorEastAsia"/>
          <w:snapToGrid w:val="0"/>
          <w:kern w:val="22"/>
          <w:lang w:eastAsia="zh-CN"/>
        </w:rPr>
        <w:t>政府间海洋学委员会合作，以获取科学信息支持区域讲习班；</w:t>
      </w:r>
    </w:p>
    <w:p w:rsidR="00772406" w:rsidRPr="00C9773D" w:rsidRDefault="00772406" w:rsidP="001A42F8">
      <w:pPr>
        <w:pStyle w:val="ListParagraph"/>
        <w:numPr>
          <w:ilvl w:val="0"/>
          <w:numId w:val="181"/>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lang w:eastAsia="zh-CN"/>
        </w:rPr>
      </w:pPr>
      <w:r w:rsidRPr="00C9773D">
        <w:rPr>
          <w:rFonts w:eastAsiaTheme="minorEastAsia"/>
          <w:snapToGrid w:val="0"/>
          <w:kern w:val="22"/>
          <w:lang w:eastAsia="zh-CN"/>
        </w:rPr>
        <w:t>举办区域讲习班之前，加强有关在国家和区域各级筹备工作的指导，并在必要时调集资源，确保及时收集科学信息和传统知识；</w:t>
      </w:r>
    </w:p>
    <w:p w:rsidR="00772406" w:rsidRPr="00C9773D" w:rsidRDefault="00772406" w:rsidP="001A42F8">
      <w:pPr>
        <w:pStyle w:val="ListParagraph"/>
        <w:numPr>
          <w:ilvl w:val="0"/>
          <w:numId w:val="181"/>
        </w:numPr>
        <w:suppressLineNumbers/>
        <w:tabs>
          <w:tab w:val="left" w:pos="1440"/>
        </w:tabs>
        <w:suppressAutoHyphens/>
        <w:kinsoku w:val="0"/>
        <w:overflowPunct w:val="0"/>
        <w:autoSpaceDE w:val="0"/>
        <w:autoSpaceDN w:val="0"/>
        <w:adjustRightInd w:val="0"/>
        <w:ind w:left="0" w:firstLine="720"/>
        <w:rPr>
          <w:rFonts w:eastAsiaTheme="minorEastAsia"/>
          <w:snapToGrid w:val="0"/>
          <w:kern w:val="22"/>
        </w:rPr>
      </w:pPr>
      <w:r w:rsidRPr="00C9773D">
        <w:rPr>
          <w:rFonts w:eastAsiaTheme="minorEastAsia"/>
          <w:snapToGrid w:val="0"/>
          <w:kern w:val="22"/>
        </w:rPr>
        <w:t>提供讲习班前培训；</w:t>
      </w:r>
    </w:p>
    <w:p w:rsidR="00772406" w:rsidRPr="00C9773D" w:rsidRDefault="00772406" w:rsidP="001A42F8">
      <w:pPr>
        <w:pStyle w:val="HTMLPreformatted"/>
        <w:numPr>
          <w:ilvl w:val="0"/>
          <w:numId w:val="181"/>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t>利用关于将传统知识纳入具有重要生态或生物意义的海洋区域的识别和描述的培训手册（</w:t>
      </w:r>
      <w:r w:rsidRPr="00C9773D">
        <w:rPr>
          <w:rFonts w:ascii="Times New Roman" w:eastAsiaTheme="minorEastAsia" w:hAnsi="Times New Roman"/>
          <w:snapToGrid w:val="0"/>
          <w:kern w:val="22"/>
          <w:sz w:val="24"/>
          <w:szCs w:val="24"/>
          <w:lang w:eastAsia="zh-CN"/>
        </w:rPr>
        <w:t>UNEP/CBD/SBSTTA/20/INF/21</w:t>
      </w:r>
      <w:r w:rsidRPr="00C9773D">
        <w:rPr>
          <w:rFonts w:ascii="Times New Roman" w:eastAsiaTheme="minorEastAsia" w:hAnsi="Times New Roman"/>
          <w:snapToGrid w:val="0"/>
          <w:kern w:val="22"/>
          <w:sz w:val="24"/>
          <w:szCs w:val="24"/>
          <w:lang w:eastAsia="zh-CN"/>
        </w:rPr>
        <w:t>）；</w:t>
      </w:r>
    </w:p>
    <w:p w:rsidR="00772406" w:rsidRPr="00C9773D" w:rsidRDefault="00772406" w:rsidP="001A42F8">
      <w:pPr>
        <w:pStyle w:val="HTMLPreformatted"/>
        <w:numPr>
          <w:ilvl w:val="0"/>
          <w:numId w:val="181"/>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t>尽可能多地参考同行审议的出版物以及纳入传统知识，可加强具有重要生态或生物意义的海洋区域标准的实施。</w:t>
      </w:r>
    </w:p>
    <w:p w:rsidR="00772406" w:rsidRPr="00C9773D" w:rsidRDefault="00772406" w:rsidP="00C9773D">
      <w:pPr>
        <w:pStyle w:val="Heading2"/>
        <w:suppressLineNumbers/>
        <w:suppressAutoHyphens/>
        <w:kinsoku w:val="0"/>
        <w:overflowPunct w:val="0"/>
        <w:autoSpaceDE w:val="0"/>
        <w:autoSpaceDN w:val="0"/>
        <w:adjustRightInd w:val="0"/>
        <w:ind w:firstLine="0"/>
        <w:rPr>
          <w:rFonts w:eastAsiaTheme="minorEastAsia"/>
          <w:b w:val="0"/>
          <w:i/>
          <w:snapToGrid w:val="0"/>
          <w:kern w:val="22"/>
          <w:sz w:val="24"/>
          <w:lang w:eastAsia="zh-CN"/>
        </w:rPr>
      </w:pPr>
      <w:bookmarkStart w:id="133" w:name="_Toc6243746"/>
      <w:r w:rsidRPr="00C9773D">
        <w:rPr>
          <w:rFonts w:eastAsiaTheme="minorEastAsia"/>
          <w:snapToGrid w:val="0"/>
          <w:kern w:val="22"/>
          <w:sz w:val="24"/>
          <w:lang w:eastAsia="zh-CN"/>
        </w:rPr>
        <w:lastRenderedPageBreak/>
        <w:t>B.</w:t>
      </w:r>
      <w:r w:rsidRPr="00C9773D">
        <w:rPr>
          <w:rFonts w:eastAsiaTheme="minorEastAsia"/>
          <w:snapToGrid w:val="0"/>
          <w:kern w:val="22"/>
          <w:sz w:val="24"/>
          <w:lang w:eastAsia="zh-CN"/>
        </w:rPr>
        <w:tab/>
      </w:r>
      <w:r w:rsidRPr="00C9773D">
        <w:rPr>
          <w:rFonts w:eastAsiaTheme="minorEastAsia"/>
          <w:snapToGrid w:val="0"/>
          <w:kern w:val="22"/>
          <w:sz w:val="24"/>
          <w:lang w:eastAsia="zh-CN"/>
        </w:rPr>
        <w:t>具有重要生态或生物意义的海洋区域进程的透明度</w:t>
      </w:r>
      <w:bookmarkEnd w:id="133"/>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C9773D">
        <w:rPr>
          <w:rFonts w:eastAsiaTheme="minorEastAsia"/>
          <w:snapToGrid w:val="0"/>
          <w:kern w:val="22"/>
          <w:lang w:eastAsia="zh-CN"/>
        </w:rPr>
        <w:t>可采取以下措施提高具有重要生态或生物意义的海洋区域进程的透明度：</w:t>
      </w:r>
    </w:p>
    <w:p w:rsidR="00772406" w:rsidRPr="00C9773D" w:rsidRDefault="00772406" w:rsidP="001A42F8">
      <w:pPr>
        <w:pStyle w:val="HTMLPreformatted"/>
        <w:numPr>
          <w:ilvl w:val="0"/>
          <w:numId w:val="18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t>对描述新的具有重要生态或生物意义的海洋区域或审查现有具有重要生态或生物意义的海洋区域的描述作出贡献的专家名单；</w:t>
      </w:r>
    </w:p>
    <w:p w:rsidR="00772406" w:rsidRPr="00C9773D" w:rsidRDefault="00772406" w:rsidP="001A42F8">
      <w:pPr>
        <w:pStyle w:val="HTMLPreformatted"/>
        <w:numPr>
          <w:ilvl w:val="0"/>
          <w:numId w:val="18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t>在将传统知识用于对具有重要生态或生物意义的海洋区域的描述时，酌情并根据国内法和国际义务提供关于土著人民和地方社区的自由、事先知情同意的资料；</w:t>
      </w:r>
    </w:p>
    <w:p w:rsidR="00772406" w:rsidRPr="00C9773D" w:rsidRDefault="00772406" w:rsidP="001A42F8">
      <w:pPr>
        <w:pStyle w:val="HTMLPreformatted"/>
        <w:numPr>
          <w:ilvl w:val="0"/>
          <w:numId w:val="18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t>信息库中的区域讲习班的地理范围；</w:t>
      </w:r>
    </w:p>
    <w:p w:rsidR="00772406" w:rsidRPr="00C9773D" w:rsidRDefault="00772406" w:rsidP="001A42F8">
      <w:pPr>
        <w:pStyle w:val="HTMLPreformatted"/>
        <w:numPr>
          <w:ilvl w:val="0"/>
          <w:numId w:val="18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t>获取区域讲习班所使用的数据</w:t>
      </w:r>
      <w:r w:rsidRPr="00C9773D">
        <w:rPr>
          <w:rFonts w:ascii="Times New Roman" w:eastAsiaTheme="minorEastAsia" w:hAnsi="Times New Roman"/>
          <w:snapToGrid w:val="0"/>
          <w:kern w:val="22"/>
          <w:sz w:val="24"/>
          <w:szCs w:val="24"/>
          <w:lang w:eastAsia="zh-CN"/>
        </w:rPr>
        <w:t>/</w:t>
      </w:r>
      <w:r w:rsidRPr="00C9773D">
        <w:rPr>
          <w:rFonts w:ascii="Times New Roman" w:eastAsiaTheme="minorEastAsia" w:hAnsi="Times New Roman"/>
          <w:snapToGrid w:val="0"/>
          <w:kern w:val="22"/>
          <w:sz w:val="24"/>
          <w:szCs w:val="24"/>
          <w:lang w:eastAsia="zh-CN"/>
        </w:rPr>
        <w:t>信息（例如卫星图像、与参考学术论文的链接、传统知识的文献）；</w:t>
      </w:r>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C9773D">
        <w:rPr>
          <w:rFonts w:eastAsiaTheme="minorEastAsia"/>
          <w:snapToGrid w:val="0"/>
          <w:kern w:val="22"/>
          <w:lang w:eastAsia="zh-CN"/>
        </w:rPr>
        <w:t>在通过国家进程描述具有重要生态或生物意义的海洋区域时，在进行描述后应附有国家进程的说明，包括对结果进行国家同行审议的方式。</w:t>
      </w:r>
    </w:p>
    <w:p w:rsidR="00772406" w:rsidRPr="00C9773D" w:rsidRDefault="00772406" w:rsidP="00C9773D">
      <w:pPr>
        <w:pStyle w:val="Heading2"/>
        <w:suppressLineNumbers/>
        <w:suppressAutoHyphens/>
        <w:kinsoku w:val="0"/>
        <w:overflowPunct w:val="0"/>
        <w:autoSpaceDE w:val="0"/>
        <w:autoSpaceDN w:val="0"/>
        <w:adjustRightInd w:val="0"/>
        <w:ind w:firstLine="0"/>
        <w:rPr>
          <w:rFonts w:eastAsiaTheme="minorEastAsia"/>
          <w:i/>
          <w:snapToGrid w:val="0"/>
          <w:kern w:val="22"/>
          <w:sz w:val="24"/>
        </w:rPr>
      </w:pPr>
      <w:bookmarkStart w:id="134" w:name="_Toc6243747"/>
      <w:r w:rsidRPr="00C9773D">
        <w:rPr>
          <w:rFonts w:eastAsiaTheme="minorEastAsia"/>
          <w:snapToGrid w:val="0"/>
          <w:kern w:val="22"/>
          <w:sz w:val="24"/>
        </w:rPr>
        <w:t>C.</w:t>
      </w:r>
      <w:r w:rsidRPr="00C9773D">
        <w:rPr>
          <w:rFonts w:eastAsiaTheme="minorEastAsia"/>
          <w:snapToGrid w:val="0"/>
          <w:kern w:val="22"/>
          <w:sz w:val="24"/>
        </w:rPr>
        <w:tab/>
      </w:r>
      <w:r w:rsidRPr="00C9773D">
        <w:rPr>
          <w:rFonts w:eastAsiaTheme="minorEastAsia"/>
          <w:snapToGrid w:val="0"/>
          <w:kern w:val="22"/>
          <w:sz w:val="24"/>
          <w:lang w:eastAsia="zh-CN"/>
        </w:rPr>
        <w:t>国家活动</w:t>
      </w:r>
      <w:bookmarkEnd w:id="134"/>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C9773D">
        <w:rPr>
          <w:rFonts w:eastAsiaTheme="minorEastAsia"/>
          <w:color w:val="000000" w:themeColor="text1"/>
          <w:lang w:eastAsia="zh-CN"/>
        </w:rPr>
        <w:t>根据第</w:t>
      </w:r>
      <w:r w:rsidRPr="00C9773D">
        <w:rPr>
          <w:rFonts w:eastAsiaTheme="minorEastAsia"/>
          <w:snapToGrid w:val="0"/>
          <w:kern w:val="22"/>
          <w:lang w:eastAsia="zh-CN"/>
        </w:rPr>
        <w:t>XIII/12</w:t>
      </w:r>
      <w:r w:rsidRPr="00C9773D">
        <w:rPr>
          <w:rFonts w:eastAsiaTheme="minorEastAsia"/>
          <w:snapToGrid w:val="0"/>
          <w:kern w:val="22"/>
          <w:lang w:eastAsia="zh-CN"/>
        </w:rPr>
        <w:t>号决定第</w:t>
      </w:r>
      <w:r w:rsidRPr="00C9773D">
        <w:rPr>
          <w:rFonts w:eastAsiaTheme="minorEastAsia"/>
          <w:snapToGrid w:val="0"/>
          <w:kern w:val="22"/>
          <w:lang w:eastAsia="zh-CN"/>
        </w:rPr>
        <w:t>3</w:t>
      </w:r>
      <w:r w:rsidRPr="00C9773D">
        <w:rPr>
          <w:rFonts w:eastAsiaTheme="minorEastAsia"/>
          <w:snapToGrid w:val="0"/>
          <w:kern w:val="22"/>
          <w:lang w:eastAsia="zh-CN"/>
        </w:rPr>
        <w:t>段</w:t>
      </w:r>
      <w:r w:rsidRPr="00C9773D">
        <w:rPr>
          <w:rFonts w:eastAsiaTheme="minorEastAsia"/>
          <w:snapToGrid w:val="0"/>
          <w:kern w:val="22"/>
          <w:szCs w:val="22"/>
          <w:lang w:eastAsia="zh-CN"/>
        </w:rPr>
        <w:t>，</w:t>
      </w:r>
      <w:r w:rsidRPr="00C9773D">
        <w:rPr>
          <w:rFonts w:eastAsiaTheme="minorEastAsia"/>
          <w:snapToGrid w:val="0"/>
          <w:kern w:val="22"/>
          <w:lang w:eastAsia="zh-CN"/>
        </w:rPr>
        <w:t>可通过以下任一途径将国家活动的成果纳入具有重要生态或生物意义的海洋区域信息库：</w:t>
      </w:r>
    </w:p>
    <w:p w:rsidR="00772406" w:rsidRPr="00C9773D" w:rsidRDefault="00772406" w:rsidP="001A42F8">
      <w:pPr>
        <w:pStyle w:val="HTMLPreformatted"/>
        <w:numPr>
          <w:ilvl w:val="0"/>
          <w:numId w:val="18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t>缔约方或其他国家政府可将其国家活动的成果提交区域讲习班，然后由科学、技术和工艺咨询附属机构和缔约方大会审议，以列入具有重要生态或生物意义的海洋区域信息库；或</w:t>
      </w:r>
    </w:p>
    <w:p w:rsidR="00772406" w:rsidRPr="00C9773D" w:rsidRDefault="00772406" w:rsidP="001A42F8">
      <w:pPr>
        <w:pStyle w:val="HTMLPreformatted"/>
        <w:numPr>
          <w:ilvl w:val="0"/>
          <w:numId w:val="18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kern w:val="22"/>
          <w:sz w:val="24"/>
          <w:szCs w:val="24"/>
          <w:lang w:eastAsia="zh-CN"/>
        </w:rPr>
      </w:pPr>
      <w:r w:rsidRPr="00C9773D">
        <w:rPr>
          <w:rFonts w:ascii="Times New Roman" w:eastAsiaTheme="minorEastAsia" w:hAnsi="Times New Roman"/>
          <w:snapToGrid w:val="0"/>
          <w:kern w:val="22"/>
          <w:sz w:val="24"/>
          <w:szCs w:val="24"/>
          <w:lang w:eastAsia="zh-CN"/>
        </w:rPr>
        <w:t>根据第</w:t>
      </w:r>
      <w:r w:rsidRPr="00C9773D">
        <w:rPr>
          <w:rFonts w:ascii="Times New Roman" w:eastAsiaTheme="minorEastAsia" w:hAnsi="Times New Roman"/>
          <w:snapToGrid w:val="0"/>
          <w:kern w:val="22"/>
          <w:sz w:val="24"/>
          <w:szCs w:val="24"/>
          <w:lang w:eastAsia="zh-CN"/>
        </w:rPr>
        <w:t>XII/22</w:t>
      </w:r>
      <w:r w:rsidRPr="00C9773D">
        <w:rPr>
          <w:rFonts w:ascii="Times New Roman" w:eastAsiaTheme="minorEastAsia" w:hAnsi="Times New Roman"/>
          <w:snapToGrid w:val="0"/>
          <w:kern w:val="22"/>
          <w:sz w:val="24"/>
          <w:szCs w:val="24"/>
          <w:lang w:eastAsia="zh-CN"/>
        </w:rPr>
        <w:t>号决定第</w:t>
      </w:r>
      <w:r w:rsidRPr="00C9773D">
        <w:rPr>
          <w:rFonts w:ascii="Times New Roman" w:eastAsiaTheme="minorEastAsia" w:hAnsi="Times New Roman"/>
          <w:snapToGrid w:val="0"/>
          <w:kern w:val="22"/>
          <w:sz w:val="24"/>
          <w:szCs w:val="24"/>
          <w:lang w:eastAsia="zh-CN"/>
        </w:rPr>
        <w:t>7</w:t>
      </w:r>
      <w:r w:rsidRPr="00C9773D">
        <w:rPr>
          <w:rFonts w:ascii="Times New Roman" w:eastAsiaTheme="minorEastAsia" w:hAnsi="Times New Roman"/>
          <w:snapToGrid w:val="0"/>
          <w:kern w:val="22"/>
          <w:sz w:val="24"/>
          <w:szCs w:val="24"/>
          <w:lang w:eastAsia="zh-CN"/>
        </w:rPr>
        <w:t>段规定的程序，缔约方或其他国家政府可向执行秘书提交关于符合具有重要生态或生物意义的海洋区域标准的新区域描述的国家活动成果，连同有关科学和技术过程和科学上健全且由国家同意的同行审议</w:t>
      </w:r>
      <w:r w:rsidRPr="00B45229">
        <w:rPr>
          <w:rStyle w:val="FootnoteReference"/>
          <w:rFonts w:ascii="Times New Roman" w:eastAsiaTheme="minorEastAsia" w:hAnsi="Times New Roman"/>
          <w:snapToGrid w:val="0"/>
          <w:kern w:val="22"/>
          <w:sz w:val="24"/>
          <w:szCs w:val="24"/>
          <w:u w:val="none"/>
          <w:vertAlign w:val="superscript"/>
        </w:rPr>
        <w:footnoteReference w:id="169"/>
      </w:r>
      <w:r w:rsidRPr="00B45229">
        <w:rPr>
          <w:rFonts w:ascii="Times New Roman" w:eastAsiaTheme="minorEastAsia" w:hAnsi="Times New Roman"/>
          <w:snapToGrid w:val="0"/>
          <w:kern w:val="22"/>
          <w:sz w:val="32"/>
          <w:szCs w:val="24"/>
          <w:vertAlign w:val="superscript"/>
          <w:lang w:eastAsia="zh-CN"/>
        </w:rPr>
        <w:t xml:space="preserve"> </w:t>
      </w:r>
      <w:r w:rsidRPr="00C9773D">
        <w:rPr>
          <w:rFonts w:ascii="Times New Roman" w:eastAsiaTheme="minorEastAsia" w:hAnsi="Times New Roman"/>
          <w:snapToGrid w:val="0"/>
          <w:kern w:val="22"/>
          <w:sz w:val="24"/>
          <w:szCs w:val="24"/>
          <w:lang w:eastAsia="zh-CN"/>
        </w:rPr>
        <w:t>的信息，作为描述的辅助资料，供科学、技术和工艺咨询附属机构和缔约方大会</w:t>
      </w:r>
      <w:r w:rsidRPr="00C9773D">
        <w:rPr>
          <w:rFonts w:ascii="Times New Roman" w:eastAsiaTheme="minorEastAsia" w:hAnsi="Times New Roman"/>
          <w:snapToGrid w:val="0"/>
          <w:kern w:val="22"/>
          <w:sz w:val="24"/>
          <w:szCs w:val="24"/>
          <w:lang w:eastAsia="zh-CN"/>
        </w:rPr>
        <w:t>[</w:t>
      </w:r>
      <w:r w:rsidRPr="00C9773D">
        <w:rPr>
          <w:rFonts w:ascii="Times New Roman" w:eastAsiaTheme="minorEastAsia" w:hAnsi="Times New Roman"/>
          <w:snapToGrid w:val="0"/>
          <w:kern w:val="22"/>
          <w:sz w:val="24"/>
          <w:szCs w:val="24"/>
          <w:lang w:eastAsia="zh-CN"/>
        </w:rPr>
        <w:t>参考</w:t>
      </w:r>
      <w:r w:rsidRPr="00C9773D">
        <w:rPr>
          <w:rFonts w:ascii="Times New Roman" w:eastAsiaTheme="minorEastAsia" w:hAnsi="Times New Roman"/>
          <w:snapToGrid w:val="0"/>
          <w:kern w:val="22"/>
          <w:sz w:val="24"/>
          <w:szCs w:val="24"/>
          <w:lang w:eastAsia="zh-CN"/>
        </w:rPr>
        <w:t>][</w:t>
      </w:r>
      <w:r w:rsidRPr="00C9773D">
        <w:rPr>
          <w:rFonts w:ascii="Times New Roman" w:eastAsiaTheme="minorEastAsia" w:hAnsi="Times New Roman"/>
          <w:snapToGrid w:val="0"/>
          <w:kern w:val="22"/>
          <w:sz w:val="24"/>
          <w:szCs w:val="24"/>
          <w:lang w:eastAsia="zh-CN"/>
        </w:rPr>
        <w:t>了解</w:t>
      </w:r>
      <w:r w:rsidRPr="00C9773D">
        <w:rPr>
          <w:rFonts w:ascii="Times New Roman" w:eastAsiaTheme="minorEastAsia" w:hAnsi="Times New Roman"/>
          <w:snapToGrid w:val="0"/>
          <w:kern w:val="22"/>
          <w:sz w:val="24"/>
          <w:szCs w:val="24"/>
          <w:lang w:eastAsia="zh-CN"/>
        </w:rPr>
        <w:t>]</w:t>
      </w:r>
      <w:r w:rsidRPr="00C9773D">
        <w:rPr>
          <w:rFonts w:ascii="Times New Roman" w:eastAsiaTheme="minorEastAsia" w:hAnsi="Times New Roman"/>
          <w:snapToGrid w:val="0"/>
          <w:kern w:val="22"/>
          <w:sz w:val="24"/>
          <w:szCs w:val="24"/>
          <w:lang w:eastAsia="zh-CN"/>
        </w:rPr>
        <w:t>，</w:t>
      </w:r>
      <w:r w:rsidRPr="00C9773D">
        <w:rPr>
          <w:rFonts w:ascii="Times New Roman" w:eastAsiaTheme="minorEastAsia" w:hAnsi="Times New Roman"/>
          <w:snapToGrid w:val="0"/>
          <w:kern w:val="22"/>
          <w:sz w:val="24"/>
          <w:szCs w:val="24"/>
          <w:lang w:eastAsia="zh-CN"/>
        </w:rPr>
        <w:t>[</w:t>
      </w:r>
      <w:r w:rsidRPr="00C9773D">
        <w:rPr>
          <w:rFonts w:ascii="Times New Roman" w:eastAsiaTheme="minorEastAsia" w:hAnsi="Times New Roman"/>
          <w:snapToGrid w:val="0"/>
          <w:kern w:val="22"/>
          <w:sz w:val="24"/>
          <w:szCs w:val="24"/>
          <w:lang w:eastAsia="zh-CN"/>
        </w:rPr>
        <w:t>以期纳入</w:t>
      </w:r>
      <w:r w:rsidRPr="00C9773D">
        <w:rPr>
          <w:rFonts w:ascii="Times New Roman" w:eastAsiaTheme="minorEastAsia" w:hAnsi="Times New Roman"/>
          <w:snapToGrid w:val="0"/>
          <w:kern w:val="22"/>
          <w:sz w:val="24"/>
          <w:szCs w:val="24"/>
          <w:lang w:eastAsia="zh-CN"/>
        </w:rPr>
        <w:t>][</w:t>
      </w:r>
      <w:r w:rsidRPr="00C9773D">
        <w:rPr>
          <w:rFonts w:ascii="Times New Roman" w:eastAsiaTheme="minorEastAsia" w:hAnsi="Times New Roman"/>
          <w:snapToGrid w:val="0"/>
          <w:kern w:val="22"/>
          <w:sz w:val="24"/>
          <w:szCs w:val="24"/>
          <w:lang w:eastAsia="zh-CN"/>
        </w:rPr>
        <w:t>列入</w:t>
      </w:r>
      <w:r w:rsidRPr="00C9773D">
        <w:rPr>
          <w:rFonts w:ascii="Times New Roman" w:eastAsiaTheme="minorEastAsia" w:hAnsi="Times New Roman"/>
          <w:snapToGrid w:val="0"/>
          <w:kern w:val="22"/>
          <w:sz w:val="24"/>
          <w:szCs w:val="24"/>
          <w:lang w:eastAsia="zh-CN"/>
        </w:rPr>
        <w:t>]</w:t>
      </w:r>
      <w:r w:rsidRPr="00C9773D">
        <w:rPr>
          <w:rFonts w:ascii="Times New Roman" w:eastAsiaTheme="minorEastAsia" w:hAnsi="Times New Roman"/>
          <w:snapToGrid w:val="0"/>
          <w:kern w:val="22"/>
          <w:sz w:val="24"/>
          <w:szCs w:val="24"/>
          <w:lang w:eastAsia="zh-CN"/>
        </w:rPr>
        <w:t>信息库。</w:t>
      </w:r>
      <w:r w:rsidRPr="00C9773D">
        <w:rPr>
          <w:rFonts w:ascii="Times New Roman" w:eastAsiaTheme="minorEastAsia" w:hAnsi="Times New Roman"/>
          <w:snapToGrid w:val="0"/>
          <w:kern w:val="22"/>
          <w:sz w:val="24"/>
          <w:szCs w:val="24"/>
          <w:lang w:eastAsia="zh-CN"/>
        </w:rPr>
        <w:t xml:space="preserve"> </w:t>
      </w:r>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rPr>
      </w:pPr>
      <w:r w:rsidRPr="00C9773D">
        <w:rPr>
          <w:rFonts w:eastAsiaTheme="minorEastAsia"/>
          <w:snapToGrid w:val="0"/>
          <w:kern w:val="22"/>
        </w:rPr>
        <w:t>有必要：</w:t>
      </w:r>
    </w:p>
    <w:p w:rsidR="00772406" w:rsidRPr="00C9773D" w:rsidRDefault="00772406" w:rsidP="001A42F8">
      <w:pPr>
        <w:pStyle w:val="HTMLPreformatted"/>
        <w:numPr>
          <w:ilvl w:val="0"/>
          <w:numId w:val="18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kern w:val="22"/>
          <w:sz w:val="24"/>
          <w:szCs w:val="24"/>
          <w:lang w:eastAsia="zh-CN"/>
        </w:rPr>
      </w:pPr>
      <w:r w:rsidRPr="00C9773D">
        <w:rPr>
          <w:rFonts w:ascii="Times New Roman" w:eastAsiaTheme="minorEastAsia" w:hAnsi="Times New Roman"/>
          <w:kern w:val="22"/>
          <w:sz w:val="24"/>
          <w:szCs w:val="24"/>
          <w:lang w:eastAsia="zh-CN"/>
        </w:rPr>
        <w:t>在国家一级，特别是在发展中国家，进行适用具有重要生态或生物意义的海洋区域标准的最佳做法能力建设；</w:t>
      </w:r>
    </w:p>
    <w:p w:rsidR="00772406" w:rsidRPr="00C9773D" w:rsidRDefault="00772406" w:rsidP="001A42F8">
      <w:pPr>
        <w:pStyle w:val="HTMLPreformatted"/>
        <w:numPr>
          <w:ilvl w:val="0"/>
          <w:numId w:val="18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kern w:val="22"/>
          <w:sz w:val="24"/>
          <w:szCs w:val="24"/>
          <w:lang w:eastAsia="zh-CN"/>
        </w:rPr>
      </w:pPr>
      <w:r w:rsidRPr="00C9773D">
        <w:rPr>
          <w:rFonts w:ascii="Times New Roman" w:eastAsiaTheme="minorEastAsia" w:hAnsi="Times New Roman"/>
          <w:kern w:val="22"/>
          <w:sz w:val="24"/>
          <w:szCs w:val="24"/>
          <w:lang w:eastAsia="zh-CN"/>
        </w:rPr>
        <w:t>加强地方</w:t>
      </w:r>
      <w:r w:rsidRPr="00C9773D">
        <w:rPr>
          <w:rFonts w:ascii="Times New Roman" w:eastAsiaTheme="minorEastAsia" w:hAnsi="Times New Roman"/>
          <w:kern w:val="22"/>
          <w:sz w:val="24"/>
          <w:szCs w:val="24"/>
          <w:lang w:eastAsia="zh-CN"/>
        </w:rPr>
        <w:t>/</w:t>
      </w:r>
      <w:r w:rsidRPr="00C9773D">
        <w:rPr>
          <w:rFonts w:ascii="Times New Roman" w:eastAsiaTheme="minorEastAsia" w:hAnsi="Times New Roman"/>
          <w:kern w:val="22"/>
          <w:sz w:val="24"/>
          <w:szCs w:val="24"/>
          <w:lang w:eastAsia="zh-CN"/>
        </w:rPr>
        <w:t>国家信息可获得性的激励措施；</w:t>
      </w:r>
    </w:p>
    <w:p w:rsidR="00772406" w:rsidRPr="00C9773D" w:rsidRDefault="00772406" w:rsidP="001A42F8">
      <w:pPr>
        <w:pStyle w:val="HTMLPreformatted"/>
        <w:numPr>
          <w:ilvl w:val="0"/>
          <w:numId w:val="18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kern w:val="22"/>
          <w:sz w:val="24"/>
          <w:szCs w:val="24"/>
          <w:lang w:eastAsia="zh-CN"/>
        </w:rPr>
      </w:pPr>
      <w:r w:rsidRPr="00C9773D">
        <w:rPr>
          <w:rFonts w:ascii="Times New Roman" w:eastAsiaTheme="minorEastAsia" w:hAnsi="Times New Roman"/>
          <w:kern w:val="22"/>
          <w:sz w:val="24"/>
          <w:szCs w:val="24"/>
          <w:lang w:eastAsia="zh-CN"/>
        </w:rPr>
        <w:t>机构间协调促进有效的国家活动；</w:t>
      </w:r>
    </w:p>
    <w:p w:rsidR="00772406" w:rsidRPr="00C9773D" w:rsidRDefault="00772406" w:rsidP="001A42F8">
      <w:pPr>
        <w:pStyle w:val="HTMLPreformatted"/>
        <w:numPr>
          <w:ilvl w:val="0"/>
          <w:numId w:val="18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kern w:val="22"/>
          <w:sz w:val="24"/>
          <w:szCs w:val="24"/>
          <w:lang w:eastAsia="zh-CN"/>
        </w:rPr>
      </w:pPr>
      <w:r w:rsidRPr="00C9773D">
        <w:rPr>
          <w:rFonts w:ascii="Times New Roman" w:eastAsiaTheme="minorEastAsia" w:hAnsi="Times New Roman"/>
          <w:kern w:val="22"/>
          <w:sz w:val="24"/>
          <w:szCs w:val="24"/>
          <w:lang w:eastAsia="zh-CN"/>
        </w:rPr>
        <w:lastRenderedPageBreak/>
        <w:t>国家活动的财政资源。</w:t>
      </w:r>
      <w:r w:rsidRPr="00C9773D">
        <w:rPr>
          <w:rFonts w:ascii="Times New Roman" w:eastAsiaTheme="minorEastAsia" w:hAnsi="Times New Roman"/>
          <w:kern w:val="22"/>
          <w:sz w:val="24"/>
          <w:szCs w:val="24"/>
          <w:lang w:eastAsia="zh-CN"/>
        </w:rPr>
        <w:t xml:space="preserve"> </w:t>
      </w:r>
    </w:p>
    <w:p w:rsidR="00772406" w:rsidRPr="00C9773D" w:rsidRDefault="00772406" w:rsidP="00C9773D">
      <w:pPr>
        <w:pStyle w:val="Para20"/>
        <w:numPr>
          <w:ilvl w:val="0"/>
          <w:numId w:val="0"/>
        </w:numPr>
        <w:suppressLineNumbers/>
        <w:suppressAutoHyphens/>
        <w:kinsoku w:val="0"/>
        <w:overflowPunct w:val="0"/>
        <w:adjustRightInd w:val="0"/>
        <w:ind w:left="1440" w:right="720" w:hanging="900"/>
        <w:jc w:val="left"/>
        <w:rPr>
          <w:rFonts w:eastAsiaTheme="minorEastAsia"/>
          <w:b/>
          <w:color w:val="000000" w:themeColor="text1"/>
          <w:sz w:val="24"/>
          <w:szCs w:val="24"/>
          <w:lang w:val="en-US" w:eastAsia="zh-CN"/>
        </w:rPr>
      </w:pPr>
      <w:r w:rsidRPr="00C9773D">
        <w:rPr>
          <w:rFonts w:eastAsiaTheme="minorEastAsia"/>
          <w:b/>
          <w:color w:val="000000" w:themeColor="text1"/>
          <w:sz w:val="24"/>
          <w:szCs w:val="24"/>
          <w:lang w:val="en-US" w:eastAsia="zh-CN"/>
        </w:rPr>
        <w:t>四．</w:t>
      </w:r>
      <w:r w:rsidRPr="00C9773D">
        <w:rPr>
          <w:rFonts w:eastAsiaTheme="minorEastAsia"/>
          <w:b/>
          <w:color w:val="000000" w:themeColor="text1"/>
          <w:sz w:val="24"/>
          <w:szCs w:val="24"/>
          <w:lang w:val="en-US" w:eastAsia="zh-CN"/>
        </w:rPr>
        <w:tab/>
      </w:r>
      <w:r w:rsidRPr="00C9773D">
        <w:rPr>
          <w:rFonts w:eastAsiaTheme="minorEastAsia"/>
          <w:b/>
          <w:color w:val="000000" w:themeColor="text1"/>
          <w:sz w:val="24"/>
          <w:szCs w:val="24"/>
          <w:lang w:val="en-US" w:eastAsia="zh-CN"/>
        </w:rPr>
        <w:t>修改现具有重要生态或生物意义的海洋区域描述和新的具有重要生态或生物意义的海洋区域描述的能力建设需求</w:t>
      </w:r>
    </w:p>
    <w:p w:rsidR="00772406" w:rsidRPr="00C9773D" w:rsidRDefault="00772406" w:rsidP="001A42F8">
      <w:pPr>
        <w:pStyle w:val="ListParagraph"/>
        <w:numPr>
          <w:ilvl w:val="1"/>
          <w:numId w:val="18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eastAsia="zh-CN"/>
        </w:rPr>
      </w:pPr>
      <w:r w:rsidRPr="00C9773D">
        <w:rPr>
          <w:rFonts w:eastAsiaTheme="minorEastAsia"/>
          <w:snapToGrid w:val="0"/>
          <w:kern w:val="22"/>
          <w:lang w:eastAsia="zh-CN"/>
        </w:rPr>
        <w:t>在修改具有重要生态或生物意义的海洋区域描述和新的具有重要生态或生物意义的海洋区域描述方面的能力建设需求包括：</w:t>
      </w:r>
    </w:p>
    <w:p w:rsidR="00772406" w:rsidRPr="00C9773D" w:rsidRDefault="00772406" w:rsidP="001A42F8">
      <w:pPr>
        <w:pStyle w:val="Para20"/>
        <w:numPr>
          <w:ilvl w:val="0"/>
          <w:numId w:val="177"/>
        </w:numPr>
        <w:suppressLineNumbers/>
        <w:tabs>
          <w:tab w:val="clear" w:pos="1080"/>
          <w:tab w:val="left" w:pos="1440"/>
        </w:tabs>
        <w:suppressAutoHyphens/>
        <w:kinsoku w:val="0"/>
        <w:overflowPunct w:val="0"/>
        <w:adjustRightInd w:val="0"/>
        <w:ind w:left="0" w:firstLine="720"/>
        <w:rPr>
          <w:rFonts w:eastAsiaTheme="minorEastAsia"/>
          <w:kern w:val="22"/>
          <w:sz w:val="24"/>
          <w:szCs w:val="24"/>
          <w:lang w:val="en-US" w:eastAsia="zh-CN"/>
        </w:rPr>
      </w:pPr>
      <w:r w:rsidRPr="00C9773D">
        <w:rPr>
          <w:rFonts w:eastAsiaTheme="minorEastAsia"/>
          <w:kern w:val="22"/>
          <w:sz w:val="24"/>
          <w:szCs w:val="24"/>
          <w:lang w:val="en-US" w:eastAsia="zh-CN"/>
        </w:rPr>
        <w:t>利用科学和技术信息以及传统知识来描述符合具有重要生态或生物意义的海洋区域标准的区域，并修改具有重要生态或生物意义的海洋区域的描述；</w:t>
      </w:r>
    </w:p>
    <w:p w:rsidR="00772406" w:rsidRPr="00C9773D" w:rsidRDefault="00772406" w:rsidP="001A42F8">
      <w:pPr>
        <w:pStyle w:val="HTMLPreformatted"/>
        <w:numPr>
          <w:ilvl w:val="0"/>
          <w:numId w:val="177"/>
        </w:numPr>
        <w:shd w:val="clear" w:color="auto" w:fill="FFFFFF"/>
        <w:tabs>
          <w:tab w:val="clear" w:pos="916"/>
          <w:tab w:val="clear" w:pos="108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t>对具有重要生态或生物意义的海洋区域进程的认识和理解；</w:t>
      </w:r>
    </w:p>
    <w:p w:rsidR="00772406" w:rsidRPr="00C9773D" w:rsidRDefault="00772406" w:rsidP="001A42F8">
      <w:pPr>
        <w:pStyle w:val="HTMLPreformatted"/>
        <w:numPr>
          <w:ilvl w:val="0"/>
          <w:numId w:val="177"/>
        </w:numPr>
        <w:shd w:val="clear" w:color="auto" w:fill="FFFFFF"/>
        <w:tabs>
          <w:tab w:val="clear" w:pos="916"/>
          <w:tab w:val="clear" w:pos="108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snapToGrid w:val="0"/>
          <w:kern w:val="22"/>
          <w:sz w:val="24"/>
          <w:szCs w:val="24"/>
          <w:lang w:eastAsia="zh-CN"/>
        </w:rPr>
      </w:pPr>
      <w:r w:rsidRPr="00C9773D">
        <w:rPr>
          <w:rFonts w:ascii="Times New Roman" w:eastAsiaTheme="minorEastAsia" w:hAnsi="Times New Roman"/>
          <w:snapToGrid w:val="0"/>
          <w:kern w:val="22"/>
          <w:sz w:val="24"/>
          <w:szCs w:val="24"/>
          <w:lang w:eastAsia="zh-CN"/>
        </w:rPr>
        <w:t>传统知识持有人与科学家之间关于在具有重要生态或生物意义的海洋区域的描述和具有重要生态或生物意义的海洋区域的描述修改中使用传统知识的对话；</w:t>
      </w:r>
    </w:p>
    <w:p w:rsidR="00772406" w:rsidRPr="00C9773D" w:rsidRDefault="00772406" w:rsidP="001A42F8">
      <w:pPr>
        <w:pStyle w:val="HTMLPreformatted"/>
        <w:numPr>
          <w:ilvl w:val="0"/>
          <w:numId w:val="177"/>
        </w:numPr>
        <w:shd w:val="clear" w:color="auto" w:fill="FFFFFF"/>
        <w:tabs>
          <w:tab w:val="clear" w:pos="916"/>
          <w:tab w:val="clear" w:pos="1080"/>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adjustRightInd w:val="0"/>
        <w:ind w:left="0" w:firstLine="720"/>
        <w:rPr>
          <w:rFonts w:ascii="Times New Roman" w:eastAsiaTheme="minorEastAsia" w:hAnsi="Times New Roman"/>
          <w:color w:val="212121"/>
        </w:rPr>
      </w:pPr>
      <w:r w:rsidRPr="00C9773D">
        <w:rPr>
          <w:rFonts w:ascii="Times New Roman" w:eastAsiaTheme="minorEastAsia" w:hAnsi="Times New Roman"/>
          <w:snapToGrid w:val="0"/>
          <w:kern w:val="22"/>
          <w:sz w:val="24"/>
          <w:szCs w:val="24"/>
          <w:lang w:eastAsia="zh-CN"/>
        </w:rPr>
        <w:t>了解具有重要生态或生物意义的海洋区域进程与其他相关进程之间的联系</w:t>
      </w:r>
      <w:r w:rsidRPr="00C9773D">
        <w:rPr>
          <w:rFonts w:ascii="Times New Roman" w:eastAsiaTheme="minorEastAsia" w:hAnsi="Times New Roman"/>
          <w:color w:val="212121"/>
          <w:lang w:eastAsia="zh-CN"/>
        </w:rPr>
        <w:t>。</w:t>
      </w:r>
      <w:r w:rsidRPr="00C9773D">
        <w:rPr>
          <w:rFonts w:ascii="Times New Roman" w:eastAsiaTheme="minorEastAsia" w:hAnsi="Times New Roman"/>
          <w:color w:val="212121"/>
        </w:rPr>
        <w:t>]</w:t>
      </w:r>
    </w:p>
    <w:p w:rsidR="00772406" w:rsidRPr="002B1F98" w:rsidRDefault="00772406" w:rsidP="00C9773D">
      <w:pPr>
        <w:ind w:firstLine="0"/>
        <w:jc w:val="center"/>
        <w:rPr>
          <w:rFonts w:ascii="KaiTi" w:eastAsia="KaiTi" w:hAnsi="KaiTi"/>
          <w:snapToGrid w:val="0"/>
          <w:color w:val="000000"/>
          <w:kern w:val="22"/>
          <w:lang w:eastAsia="zh-CN"/>
        </w:rPr>
      </w:pPr>
      <w:r>
        <w:rPr>
          <w:rFonts w:ascii="KaiTi" w:eastAsia="KaiTi" w:hAnsi="KaiTi" w:hint="eastAsia"/>
          <w:snapToGrid w:val="0"/>
          <w:color w:val="000000"/>
          <w:kern w:val="22"/>
          <w:lang w:eastAsia="zh-CN"/>
        </w:rPr>
        <w:t>附件三</w:t>
      </w:r>
    </w:p>
    <w:p w:rsidR="00772406" w:rsidRPr="00C9773D" w:rsidRDefault="00772406" w:rsidP="00772406">
      <w:pPr>
        <w:suppressLineNumbers/>
        <w:suppressAutoHyphens/>
        <w:kinsoku w:val="0"/>
        <w:overflowPunct w:val="0"/>
        <w:autoSpaceDE w:val="0"/>
        <w:autoSpaceDN w:val="0"/>
        <w:adjustRightInd w:val="0"/>
        <w:snapToGrid w:val="0"/>
        <w:jc w:val="center"/>
        <w:rPr>
          <w:rFonts w:eastAsiaTheme="minorEastAsia"/>
          <w:b/>
          <w:snapToGrid w:val="0"/>
          <w:color w:val="000000"/>
          <w:kern w:val="22"/>
          <w:lang w:eastAsia="zh-CN"/>
        </w:rPr>
      </w:pPr>
      <w:r w:rsidRPr="00C9773D">
        <w:rPr>
          <w:rFonts w:eastAsiaTheme="minorEastAsia"/>
          <w:b/>
          <w:snapToGrid w:val="0"/>
          <w:kern w:val="22"/>
          <w:lang w:eastAsia="zh-CN"/>
        </w:rPr>
        <w:t>具有重要生态或生物意义的海洋区域</w:t>
      </w:r>
      <w:r w:rsidRPr="00C9773D">
        <w:rPr>
          <w:rFonts w:eastAsiaTheme="minorEastAsia"/>
          <w:b/>
          <w:snapToGrid w:val="0"/>
          <w:color w:val="000000"/>
          <w:kern w:val="22"/>
          <w:lang w:eastAsia="zh-CN"/>
        </w:rPr>
        <w:t>非正式咨询小组职权范围增编</w:t>
      </w:r>
    </w:p>
    <w:p w:rsidR="00772406" w:rsidRPr="00C9773D" w:rsidRDefault="00772406" w:rsidP="00772406">
      <w:pPr>
        <w:suppressLineNumbers/>
        <w:tabs>
          <w:tab w:val="left" w:pos="1440"/>
        </w:tabs>
        <w:suppressAutoHyphens/>
        <w:rPr>
          <w:rFonts w:eastAsiaTheme="minorEastAsia"/>
          <w:snapToGrid w:val="0"/>
          <w:kern w:val="22"/>
          <w:szCs w:val="20"/>
          <w:lang w:eastAsia="zh-CN"/>
        </w:rPr>
      </w:pPr>
      <w:r w:rsidRPr="00C9773D">
        <w:rPr>
          <w:rFonts w:eastAsiaTheme="minorEastAsia"/>
          <w:snapToGrid w:val="0"/>
          <w:kern w:val="22"/>
          <w:szCs w:val="20"/>
          <w:lang w:eastAsia="zh-CN"/>
        </w:rPr>
        <w:t>根据第</w:t>
      </w:r>
      <w:r w:rsidRPr="00C9773D">
        <w:rPr>
          <w:rFonts w:eastAsiaTheme="minorEastAsia"/>
          <w:snapToGrid w:val="0"/>
          <w:kern w:val="22"/>
          <w:szCs w:val="20"/>
          <w:lang w:eastAsia="zh-CN"/>
        </w:rPr>
        <w:t>XIII/12</w:t>
      </w:r>
      <w:r w:rsidRPr="00C9773D">
        <w:rPr>
          <w:rFonts w:eastAsiaTheme="minorEastAsia"/>
          <w:snapToGrid w:val="0"/>
          <w:kern w:val="22"/>
          <w:szCs w:val="20"/>
          <w:lang w:eastAsia="zh-CN"/>
        </w:rPr>
        <w:t>号决定附件三第一节（任务）的规定，非正式咨询小组的目标包括：</w:t>
      </w:r>
    </w:p>
    <w:p w:rsidR="00772406" w:rsidRPr="00C9773D" w:rsidRDefault="00772406" w:rsidP="001A42F8">
      <w:pPr>
        <w:numPr>
          <w:ilvl w:val="0"/>
          <w:numId w:val="186"/>
        </w:numPr>
        <w:suppressLineNumbers/>
        <w:tabs>
          <w:tab w:val="left" w:pos="1440"/>
        </w:tabs>
        <w:suppressAutoHyphens/>
        <w:ind w:left="0" w:firstLine="720"/>
        <w:rPr>
          <w:rFonts w:eastAsiaTheme="minorEastAsia"/>
          <w:snapToGrid w:val="0"/>
          <w:kern w:val="22"/>
          <w:szCs w:val="20"/>
          <w:lang w:eastAsia="zh-CN"/>
        </w:rPr>
      </w:pPr>
      <w:r w:rsidRPr="00C9773D">
        <w:rPr>
          <w:rFonts w:eastAsiaTheme="minorEastAsia"/>
          <w:snapToGrid w:val="0"/>
          <w:kern w:val="22"/>
          <w:szCs w:val="20"/>
          <w:lang w:eastAsia="zh-CN"/>
        </w:rPr>
        <w:t>根据第</w:t>
      </w:r>
      <w:r w:rsidRPr="00C9773D">
        <w:rPr>
          <w:rFonts w:eastAsiaTheme="minorEastAsia"/>
          <w:snapToGrid w:val="0"/>
          <w:kern w:val="22"/>
          <w:szCs w:val="22"/>
          <w:lang w:eastAsia="zh-CN"/>
        </w:rPr>
        <w:t>XIII/12</w:t>
      </w:r>
      <w:r w:rsidRPr="00C9773D">
        <w:rPr>
          <w:rFonts w:eastAsiaTheme="minorEastAsia"/>
          <w:snapToGrid w:val="0"/>
          <w:kern w:val="22"/>
          <w:szCs w:val="20"/>
          <w:lang w:eastAsia="zh-CN"/>
        </w:rPr>
        <w:t>号决定第</w:t>
      </w:r>
      <w:r w:rsidRPr="00C9773D">
        <w:rPr>
          <w:rFonts w:eastAsiaTheme="minorEastAsia"/>
          <w:snapToGrid w:val="0"/>
          <w:kern w:val="22"/>
          <w:szCs w:val="20"/>
          <w:lang w:eastAsia="zh-CN"/>
        </w:rPr>
        <w:t>8</w:t>
      </w:r>
      <w:r w:rsidRPr="00C9773D">
        <w:rPr>
          <w:rFonts w:eastAsiaTheme="minorEastAsia"/>
          <w:snapToGrid w:val="0"/>
          <w:kern w:val="22"/>
          <w:szCs w:val="20"/>
          <w:lang w:eastAsia="zh-CN"/>
        </w:rPr>
        <w:t>段，为执行秘书编制给予举办新区域讲习班推动描述符合具有重要生态和生物意义的海洋区域标准的区域的指导意见；确定可能补充区域讲习班的科学空白分析和（或）专题分析的必要性；酌情根据这些分析的结果向执行秘书提供咨询意见，提交指导意见草案供科学、技术和工艺咨询附属机构今后会议审议；</w:t>
      </w:r>
    </w:p>
    <w:p w:rsidR="00772406" w:rsidRPr="00C9773D" w:rsidRDefault="00772406" w:rsidP="001A42F8">
      <w:pPr>
        <w:pStyle w:val="ListParagraph"/>
        <w:numPr>
          <w:ilvl w:val="0"/>
          <w:numId w:val="186"/>
        </w:numPr>
        <w:suppressLineNumbers/>
        <w:tabs>
          <w:tab w:val="left" w:pos="1440"/>
        </w:tabs>
        <w:suppressAutoHyphens/>
        <w:ind w:left="0" w:firstLine="720"/>
        <w:rPr>
          <w:rFonts w:eastAsiaTheme="minorEastAsia"/>
          <w:snapToGrid w:val="0"/>
          <w:kern w:val="22"/>
          <w:szCs w:val="20"/>
          <w:lang w:eastAsia="zh-CN"/>
        </w:rPr>
      </w:pPr>
      <w:r w:rsidRPr="00C9773D">
        <w:rPr>
          <w:rFonts w:eastAsiaTheme="minorEastAsia"/>
          <w:snapToGrid w:val="0"/>
          <w:kern w:val="22"/>
          <w:szCs w:val="20"/>
          <w:lang w:eastAsia="zh-CN"/>
        </w:rPr>
        <w:t>就规划具有重要生态和生物意义的海洋区域问题讲习班以确保提供程度适当的科技知识和传统知识向执行秘书提供咨询意见；</w:t>
      </w:r>
    </w:p>
    <w:p w:rsidR="00772406" w:rsidRPr="00C9773D" w:rsidRDefault="00772406" w:rsidP="001A42F8">
      <w:pPr>
        <w:numPr>
          <w:ilvl w:val="0"/>
          <w:numId w:val="186"/>
        </w:numPr>
        <w:suppressLineNumbers/>
        <w:tabs>
          <w:tab w:val="left" w:pos="1440"/>
        </w:tabs>
        <w:suppressAutoHyphens/>
        <w:ind w:left="0" w:firstLine="720"/>
        <w:rPr>
          <w:rFonts w:eastAsiaTheme="minorEastAsia"/>
          <w:snapToGrid w:val="0"/>
          <w:kern w:val="22"/>
          <w:szCs w:val="20"/>
          <w:lang w:eastAsia="zh-CN"/>
        </w:rPr>
      </w:pPr>
      <w:r w:rsidRPr="00C9773D">
        <w:rPr>
          <w:rFonts w:eastAsiaTheme="minorEastAsia"/>
          <w:snapToGrid w:val="0"/>
          <w:kern w:val="22"/>
          <w:szCs w:val="20"/>
          <w:lang w:eastAsia="zh-CN"/>
        </w:rPr>
        <w:t>就拟定科学同行审议程序自愿准则草案向执行秘书提供咨询意见。</w:t>
      </w:r>
    </w:p>
    <w:p w:rsidR="00772406" w:rsidRDefault="00772406" w:rsidP="00772406">
      <w:pPr>
        <w:jc w:val="center"/>
        <w:rPr>
          <w:kern w:val="22"/>
          <w:lang w:eastAsia="zh-CN"/>
        </w:rPr>
      </w:pPr>
    </w:p>
    <w:p w:rsidR="00772406" w:rsidRDefault="00772406">
      <w:pPr>
        <w:rPr>
          <w:rFonts w:eastAsiaTheme="minorEastAsia"/>
          <w:lang w:eastAsia="zh-CN"/>
        </w:rPr>
      </w:pPr>
      <w:r>
        <w:rPr>
          <w:rFonts w:eastAsiaTheme="minorEastAsia"/>
          <w:lang w:eastAsia="zh-CN"/>
        </w:rPr>
        <w:br w:type="page"/>
      </w:r>
    </w:p>
    <w:p w:rsidR="00772406" w:rsidRPr="001A2AC9" w:rsidRDefault="00772406" w:rsidP="001A2AC9">
      <w:pPr>
        <w:pStyle w:val="Heading1"/>
        <w:spacing w:before="120" w:after="120"/>
        <w:rPr>
          <w:rFonts w:eastAsiaTheme="minorEastAsia" w:cs="Times New Roman"/>
          <w:noProof/>
          <w:kern w:val="22"/>
          <w:sz w:val="24"/>
          <w:lang w:eastAsia="zh-CN"/>
        </w:rPr>
      </w:pPr>
      <w:bookmarkStart w:id="135" w:name="_Toc524194615"/>
      <w:bookmarkStart w:id="136" w:name="_Toc6243748"/>
      <w:r w:rsidRPr="001A2AC9">
        <w:rPr>
          <w:rFonts w:eastAsiaTheme="minorEastAsia" w:cs="Times New Roman"/>
          <w:noProof/>
          <w:kern w:val="22"/>
          <w:sz w:val="24"/>
          <w:lang w:eastAsia="zh-CN"/>
        </w:rPr>
        <w:lastRenderedPageBreak/>
        <w:t>14/10.</w:t>
      </w:r>
      <w:r w:rsidRPr="001A2AC9">
        <w:rPr>
          <w:rFonts w:eastAsiaTheme="minorEastAsia" w:cs="Times New Roman"/>
          <w:noProof/>
          <w:kern w:val="22"/>
          <w:sz w:val="24"/>
          <w:lang w:eastAsia="zh-CN"/>
        </w:rPr>
        <w:tab/>
        <w:t xml:space="preserve">  </w:t>
      </w:r>
      <w:r w:rsidRPr="001A2AC9">
        <w:rPr>
          <w:rFonts w:eastAsiaTheme="minorEastAsia" w:cs="Times New Roman"/>
          <w:noProof/>
          <w:kern w:val="22"/>
          <w:sz w:val="24"/>
          <w:lang w:eastAsia="zh-CN"/>
        </w:rPr>
        <w:t>与海洋和沿海生物多样性相关的其他事项</w:t>
      </w:r>
      <w:bookmarkEnd w:id="135"/>
      <w:bookmarkEnd w:id="136"/>
    </w:p>
    <w:p w:rsidR="00772406" w:rsidRPr="009C79EA" w:rsidRDefault="00772406" w:rsidP="00772406">
      <w:pPr>
        <w:suppressLineNumbers/>
        <w:suppressAutoHyphens/>
        <w:kinsoku w:val="0"/>
        <w:overflowPunct w:val="0"/>
        <w:autoSpaceDE w:val="0"/>
        <w:autoSpaceDN w:val="0"/>
        <w:adjustRightInd w:val="0"/>
        <w:snapToGrid w:val="0"/>
        <w:spacing w:before="240"/>
        <w:rPr>
          <w:rFonts w:ascii="KaiTi" w:eastAsia="KaiTi" w:hAnsi="KaiTi"/>
          <w:iCs/>
          <w:color w:val="000000"/>
          <w:kern w:val="22"/>
          <w:lang w:eastAsia="zh-CN" w:bidi="th-TH"/>
        </w:rPr>
      </w:pPr>
      <w:r w:rsidRPr="009C79EA">
        <w:rPr>
          <w:rFonts w:ascii="KaiTi" w:eastAsia="KaiTi" w:hAnsi="KaiTi" w:cs="SimSun" w:hint="eastAsia"/>
          <w:iCs/>
          <w:color w:val="000000"/>
          <w:kern w:val="22"/>
          <w:lang w:eastAsia="ja-JP" w:bidi="th-TH"/>
        </w:rPr>
        <w:t>缔约</w:t>
      </w:r>
      <w:r w:rsidRPr="009C79EA">
        <w:rPr>
          <w:rFonts w:ascii="KaiTi" w:eastAsia="KaiTi" w:hAnsi="KaiTi" w:cs="Batang" w:hint="eastAsia"/>
          <w:iCs/>
          <w:color w:val="000000"/>
          <w:kern w:val="22"/>
          <w:lang w:eastAsia="ja-JP" w:bidi="th-TH"/>
        </w:rPr>
        <w:t>方大</w:t>
      </w:r>
      <w:r w:rsidRPr="009C79EA">
        <w:rPr>
          <w:rFonts w:ascii="KaiTi" w:eastAsia="KaiTi" w:hAnsi="KaiTi" w:cs="SimSun" w:hint="eastAsia"/>
          <w:iCs/>
          <w:color w:val="000000"/>
          <w:kern w:val="22"/>
          <w:lang w:eastAsia="ja-JP" w:bidi="th-TH"/>
        </w:rPr>
        <w:t>会</w:t>
      </w:r>
      <w:r w:rsidRPr="009C79EA">
        <w:rPr>
          <w:rFonts w:ascii="KaiTi" w:eastAsia="KaiTi" w:hAnsi="KaiTi" w:cs="Batang" w:hint="eastAsia"/>
          <w:iCs/>
          <w:color w:val="000000"/>
          <w:kern w:val="22"/>
          <w:lang w:eastAsia="ja-JP" w:bidi="th-TH"/>
        </w:rPr>
        <w:t>，</w:t>
      </w:r>
      <w:r>
        <w:rPr>
          <w:rFonts w:ascii="KaiTi" w:eastAsia="KaiTi" w:hAnsi="KaiTi" w:cs="Batang"/>
          <w:iCs/>
          <w:color w:val="000000"/>
          <w:kern w:val="22"/>
          <w:lang w:eastAsia="zh-CN" w:bidi="th-TH"/>
        </w:rPr>
        <w:t xml:space="preserve"> </w:t>
      </w:r>
    </w:p>
    <w:p w:rsidR="00772406" w:rsidRPr="001A2AC9" w:rsidRDefault="00772406" w:rsidP="001A2AC9">
      <w:pPr>
        <w:suppressLineNumbers/>
        <w:suppressAutoHyphens/>
        <w:kinsoku w:val="0"/>
        <w:overflowPunct w:val="0"/>
        <w:autoSpaceDE w:val="0"/>
        <w:autoSpaceDN w:val="0"/>
        <w:adjustRightInd w:val="0"/>
        <w:snapToGrid w:val="0"/>
        <w:rPr>
          <w:rFonts w:eastAsiaTheme="minorEastAsia"/>
          <w:iCs/>
          <w:color w:val="000000"/>
          <w:kern w:val="22"/>
          <w:lang w:eastAsia="zh-CN" w:bidi="th-TH"/>
        </w:rPr>
      </w:pPr>
      <w:r w:rsidRPr="001A2AC9">
        <w:rPr>
          <w:rFonts w:ascii="KaiTi" w:eastAsia="KaiTi" w:hAnsi="KaiTi" w:cs="Batang"/>
          <w:iCs/>
          <w:color w:val="000000"/>
          <w:kern w:val="22"/>
          <w:lang w:eastAsia="ja-JP" w:bidi="th-TH"/>
        </w:rPr>
        <w:t>回顾</w:t>
      </w:r>
      <w:r w:rsidRPr="001A2AC9">
        <w:rPr>
          <w:rFonts w:eastAsiaTheme="minorEastAsia"/>
          <w:iCs/>
          <w:color w:val="000000"/>
          <w:kern w:val="22"/>
          <w:lang w:eastAsia="ja-JP" w:bidi="th-TH"/>
        </w:rPr>
        <w:t>《</w:t>
      </w:r>
      <w:r w:rsidRPr="001A2AC9">
        <w:rPr>
          <w:rFonts w:eastAsiaTheme="minorEastAsia"/>
          <w:iCs/>
          <w:color w:val="000000"/>
          <w:kern w:val="22"/>
          <w:lang w:eastAsia="ja-JP" w:bidi="th-TH"/>
        </w:rPr>
        <w:t>2030</w:t>
      </w:r>
      <w:r w:rsidRPr="001A2AC9">
        <w:rPr>
          <w:rFonts w:eastAsiaTheme="minorEastAsia"/>
          <w:iCs/>
          <w:color w:val="000000"/>
          <w:kern w:val="22"/>
          <w:lang w:eastAsia="ja-JP" w:bidi="th-TH"/>
        </w:rPr>
        <w:t>年可持续发展议程》</w:t>
      </w:r>
      <w:r w:rsidRPr="001A2AC9">
        <w:rPr>
          <w:rFonts w:eastAsiaTheme="minorEastAsia"/>
          <w:iCs/>
          <w:color w:val="000000"/>
          <w:kern w:val="22"/>
          <w:lang w:eastAsia="zh-CN" w:bidi="th-TH"/>
        </w:rPr>
        <w:t>及其《</w:t>
      </w:r>
      <w:r w:rsidRPr="001A2AC9">
        <w:rPr>
          <w:rFonts w:eastAsiaTheme="minorEastAsia"/>
          <w:iCs/>
          <w:color w:val="000000"/>
          <w:kern w:val="22"/>
          <w:lang w:eastAsia="ja-JP" w:bidi="th-TH"/>
        </w:rPr>
        <w:t>可持续发展目标</w:t>
      </w:r>
      <w:r w:rsidRPr="001A2AC9">
        <w:rPr>
          <w:rFonts w:eastAsiaTheme="minorEastAsia"/>
          <w:iCs/>
          <w:color w:val="000000"/>
          <w:kern w:val="22"/>
          <w:lang w:eastAsia="zh-CN" w:bidi="th-TH"/>
        </w:rPr>
        <w:t>》，特别是</w:t>
      </w:r>
      <w:r w:rsidRPr="001A2AC9">
        <w:rPr>
          <w:rFonts w:eastAsiaTheme="minorEastAsia"/>
          <w:iCs/>
          <w:color w:val="000000"/>
          <w:kern w:val="22"/>
          <w:lang w:eastAsia="ja-JP" w:bidi="th-TH"/>
        </w:rPr>
        <w:t>目标</w:t>
      </w:r>
      <w:r w:rsidRPr="001A2AC9">
        <w:rPr>
          <w:rFonts w:eastAsiaTheme="minorEastAsia"/>
          <w:iCs/>
          <w:color w:val="000000"/>
          <w:kern w:val="22"/>
          <w:lang w:eastAsia="zh-CN" w:bidi="th-TH"/>
        </w:rPr>
        <w:t>14</w:t>
      </w:r>
      <w:r w:rsidRPr="001A2AC9">
        <w:rPr>
          <w:rFonts w:eastAsiaTheme="minorEastAsia"/>
          <w:iCs/>
          <w:color w:val="000000"/>
          <w:kern w:val="22"/>
          <w:lang w:eastAsia="zh-CN" w:bidi="th-TH"/>
        </w:rPr>
        <w:t>，</w:t>
      </w:r>
      <w:r w:rsidRPr="006F1C16">
        <w:rPr>
          <w:rStyle w:val="FootnoteReference"/>
          <w:rFonts w:eastAsiaTheme="minorEastAsia"/>
          <w:iCs/>
          <w:color w:val="000000"/>
          <w:kern w:val="22"/>
          <w:sz w:val="24"/>
          <w:u w:val="none"/>
          <w:vertAlign w:val="superscript"/>
          <w:lang w:bidi="th-TH"/>
        </w:rPr>
        <w:footnoteReference w:id="170"/>
      </w:r>
    </w:p>
    <w:p w:rsidR="00772406" w:rsidRPr="001A2AC9" w:rsidRDefault="00772406" w:rsidP="001A2AC9">
      <w:pPr>
        <w:suppressLineNumbers/>
        <w:suppressAutoHyphens/>
        <w:kinsoku w:val="0"/>
        <w:overflowPunct w:val="0"/>
        <w:autoSpaceDE w:val="0"/>
        <w:autoSpaceDN w:val="0"/>
        <w:adjustRightInd w:val="0"/>
        <w:snapToGrid w:val="0"/>
        <w:rPr>
          <w:rFonts w:eastAsiaTheme="minorEastAsia"/>
          <w:kern w:val="22"/>
          <w:lang w:eastAsia="zh-CN" w:bidi="th-TH"/>
        </w:rPr>
      </w:pPr>
      <w:r w:rsidRPr="001A2AC9">
        <w:rPr>
          <w:rFonts w:ascii="KaiTi" w:eastAsia="KaiTi" w:hAnsi="KaiTi" w:cs="Batang"/>
          <w:iCs/>
          <w:color w:val="000000"/>
          <w:kern w:val="22"/>
          <w:lang w:eastAsia="ja-JP" w:bidi="th-TH"/>
        </w:rPr>
        <w:t>又回顾</w:t>
      </w:r>
      <w:r w:rsidRPr="001A2AC9">
        <w:rPr>
          <w:rFonts w:eastAsiaTheme="minorEastAsia"/>
          <w:kern w:val="22"/>
          <w:lang w:eastAsia="zh-CN" w:bidi="th-TH"/>
        </w:rPr>
        <w:t>关于海洋废</w:t>
      </w:r>
      <w:r w:rsidRPr="001A2AC9">
        <w:rPr>
          <w:rFonts w:eastAsia="MS Mincho"/>
          <w:kern w:val="22"/>
          <w:lang w:eastAsia="zh-CN"/>
        </w:rPr>
        <w:t>​</w:t>
      </w:r>
      <w:r w:rsidRPr="001A2AC9">
        <w:rPr>
          <w:rFonts w:eastAsiaTheme="minorEastAsia"/>
          <w:kern w:val="22"/>
          <w:lang w:eastAsia="zh-CN"/>
        </w:rPr>
        <w:t>弃</w:t>
      </w:r>
      <w:r w:rsidRPr="001A2AC9">
        <w:rPr>
          <w:rFonts w:eastAsia="MS Mincho"/>
          <w:kern w:val="22"/>
          <w:lang w:eastAsia="zh-CN"/>
        </w:rPr>
        <w:t>​</w:t>
      </w:r>
      <w:r w:rsidRPr="001A2AC9">
        <w:rPr>
          <w:rFonts w:eastAsiaTheme="minorEastAsia"/>
          <w:kern w:val="22"/>
          <w:lang w:eastAsia="zh-CN"/>
        </w:rPr>
        <w:t>物</w:t>
      </w:r>
      <w:r w:rsidRPr="001A2AC9">
        <w:rPr>
          <w:rFonts w:eastAsiaTheme="minorEastAsia"/>
          <w:kern w:val="22"/>
          <w:lang w:eastAsia="zh-CN" w:bidi="th-TH"/>
        </w:rPr>
        <w:t>和人</w:t>
      </w:r>
      <w:r w:rsidRPr="001A2AC9">
        <w:rPr>
          <w:rFonts w:eastAsia="MS Mincho"/>
          <w:kern w:val="22"/>
          <w:lang w:eastAsia="zh-CN"/>
        </w:rPr>
        <w:t>​</w:t>
      </w:r>
      <w:r w:rsidRPr="001A2AC9">
        <w:rPr>
          <w:rFonts w:eastAsiaTheme="minorEastAsia"/>
          <w:kern w:val="22"/>
          <w:lang w:eastAsia="zh-CN"/>
        </w:rPr>
        <w:t>为</w:t>
      </w:r>
      <w:r w:rsidRPr="001A2AC9">
        <w:rPr>
          <w:rFonts w:eastAsia="MS Mincho"/>
          <w:kern w:val="22"/>
          <w:lang w:eastAsia="zh-CN"/>
        </w:rPr>
        <w:t>​</w:t>
      </w:r>
      <w:r w:rsidRPr="001A2AC9">
        <w:rPr>
          <w:rFonts w:eastAsiaTheme="minorEastAsia"/>
          <w:kern w:val="22"/>
          <w:lang w:eastAsia="zh-CN"/>
        </w:rPr>
        <w:t>水</w:t>
      </w:r>
      <w:r w:rsidRPr="001A2AC9">
        <w:rPr>
          <w:rFonts w:eastAsia="MS Mincho"/>
          <w:kern w:val="22"/>
          <w:lang w:eastAsia="zh-CN"/>
        </w:rPr>
        <w:t>​</w:t>
      </w:r>
      <w:r w:rsidRPr="001A2AC9">
        <w:rPr>
          <w:rFonts w:eastAsiaTheme="minorEastAsia"/>
          <w:kern w:val="22"/>
          <w:lang w:eastAsia="zh-CN"/>
        </w:rPr>
        <w:t>下</w:t>
      </w:r>
      <w:r w:rsidRPr="001A2AC9">
        <w:rPr>
          <w:rFonts w:eastAsia="MS Mincho"/>
          <w:kern w:val="22"/>
          <w:lang w:eastAsia="zh-CN"/>
        </w:rPr>
        <w:t>​</w:t>
      </w:r>
      <w:r w:rsidRPr="001A2AC9">
        <w:rPr>
          <w:rFonts w:eastAsiaTheme="minorEastAsia"/>
          <w:kern w:val="22"/>
          <w:lang w:eastAsia="zh-CN"/>
        </w:rPr>
        <w:t>噪</w:t>
      </w:r>
      <w:r w:rsidRPr="001A2AC9">
        <w:rPr>
          <w:rFonts w:eastAsia="MS Mincho"/>
          <w:kern w:val="22"/>
          <w:lang w:eastAsia="zh-CN"/>
        </w:rPr>
        <w:t>​</w:t>
      </w:r>
      <w:r w:rsidRPr="001A2AC9">
        <w:rPr>
          <w:rFonts w:eastAsiaTheme="minorEastAsia"/>
          <w:kern w:val="22"/>
          <w:lang w:eastAsia="zh-CN"/>
        </w:rPr>
        <w:t>声</w:t>
      </w:r>
      <w:r w:rsidRPr="001A2AC9">
        <w:rPr>
          <w:rFonts w:eastAsiaTheme="minorEastAsia"/>
          <w:kern w:val="22"/>
          <w:lang w:eastAsia="zh-CN" w:bidi="th-TH"/>
        </w:rPr>
        <w:t>的第</w:t>
      </w:r>
      <w:r w:rsidRPr="001A2AC9">
        <w:rPr>
          <w:rFonts w:eastAsiaTheme="minorEastAsia"/>
          <w:kern w:val="22"/>
          <w:lang w:eastAsia="zh-CN" w:bidi="th-TH"/>
        </w:rPr>
        <w:t xml:space="preserve">XIII/10 </w:t>
      </w:r>
      <w:r w:rsidRPr="001A2AC9">
        <w:rPr>
          <w:rFonts w:eastAsiaTheme="minorEastAsia"/>
          <w:kern w:val="22"/>
          <w:lang w:eastAsia="zh-CN" w:bidi="th-TH"/>
        </w:rPr>
        <w:t>号决定和关于冷水区域生物多样性的第</w:t>
      </w:r>
      <w:r w:rsidRPr="001A2AC9">
        <w:rPr>
          <w:rFonts w:eastAsiaTheme="minorEastAsia"/>
          <w:kern w:val="22"/>
          <w:lang w:eastAsia="zh-CN" w:bidi="th-TH"/>
        </w:rPr>
        <w:t>XIII/11</w:t>
      </w:r>
      <w:r w:rsidRPr="001A2AC9">
        <w:rPr>
          <w:rFonts w:eastAsiaTheme="minorEastAsia"/>
          <w:kern w:val="22"/>
          <w:lang w:eastAsia="zh-CN" w:bidi="th-TH"/>
        </w:rPr>
        <w:t>号决定，</w:t>
      </w:r>
    </w:p>
    <w:p w:rsidR="00772406" w:rsidRPr="001A2AC9" w:rsidRDefault="00772406" w:rsidP="001A2AC9">
      <w:pPr>
        <w:suppressLineNumbers/>
        <w:suppressAutoHyphens/>
        <w:kinsoku w:val="0"/>
        <w:overflowPunct w:val="0"/>
        <w:autoSpaceDE w:val="0"/>
        <w:autoSpaceDN w:val="0"/>
        <w:adjustRightInd w:val="0"/>
        <w:snapToGrid w:val="0"/>
        <w:rPr>
          <w:rFonts w:eastAsiaTheme="minorEastAsia"/>
          <w:kern w:val="22"/>
          <w:lang w:eastAsia="zh-CN" w:bidi="th-TH"/>
        </w:rPr>
      </w:pPr>
      <w:r w:rsidRPr="001A2AC9">
        <w:rPr>
          <w:rFonts w:ascii="KaiTi" w:eastAsia="KaiTi" w:hAnsi="KaiTi" w:cs="Batang"/>
          <w:iCs/>
          <w:color w:val="000000"/>
          <w:kern w:val="22"/>
          <w:lang w:eastAsia="ja-JP" w:bidi="th-TH"/>
        </w:rPr>
        <w:t>注意到</w:t>
      </w:r>
      <w:r w:rsidRPr="001A2AC9">
        <w:rPr>
          <w:rFonts w:eastAsiaTheme="minorEastAsia"/>
          <w:kern w:val="22"/>
          <w:lang w:eastAsia="zh-CN" w:bidi="th-TH"/>
        </w:rPr>
        <w:t>联合国支持落实可持续发展目标</w:t>
      </w:r>
      <w:r w:rsidRPr="001A2AC9">
        <w:rPr>
          <w:rFonts w:eastAsiaTheme="minorEastAsia"/>
          <w:kern w:val="22"/>
          <w:lang w:eastAsia="zh-CN" w:bidi="th-TH"/>
        </w:rPr>
        <w:t>14</w:t>
      </w:r>
      <w:r w:rsidRPr="001A2AC9">
        <w:rPr>
          <w:rFonts w:eastAsiaTheme="minorEastAsia"/>
          <w:kern w:val="22"/>
          <w:lang w:eastAsia="zh-CN" w:bidi="th-TH"/>
        </w:rPr>
        <w:t>会议的成果，</w:t>
      </w:r>
      <w:r w:rsidRPr="006F1C16">
        <w:rPr>
          <w:rStyle w:val="FootnoteReference"/>
          <w:rFonts w:eastAsiaTheme="minorEastAsia"/>
          <w:iCs/>
          <w:color w:val="000000"/>
          <w:kern w:val="22"/>
          <w:sz w:val="24"/>
          <w:u w:val="none"/>
          <w:vertAlign w:val="superscript"/>
          <w:lang w:bidi="th-TH"/>
        </w:rPr>
        <w:footnoteReference w:id="171"/>
      </w:r>
    </w:p>
    <w:p w:rsidR="00772406" w:rsidRPr="001A2AC9" w:rsidRDefault="00772406" w:rsidP="001A2AC9">
      <w:pPr>
        <w:suppressLineNumbers/>
        <w:suppressAutoHyphens/>
        <w:kinsoku w:val="0"/>
        <w:overflowPunct w:val="0"/>
        <w:autoSpaceDE w:val="0"/>
        <w:autoSpaceDN w:val="0"/>
        <w:adjustRightInd w:val="0"/>
        <w:snapToGrid w:val="0"/>
        <w:rPr>
          <w:rFonts w:eastAsiaTheme="minorEastAsia"/>
          <w:iCs/>
          <w:color w:val="000000"/>
          <w:kern w:val="22"/>
          <w:lang w:eastAsia="zh-CN" w:bidi="th-TH"/>
        </w:rPr>
      </w:pPr>
      <w:r w:rsidRPr="001A2AC9">
        <w:rPr>
          <w:rFonts w:ascii="KaiTi" w:eastAsia="KaiTi" w:hAnsi="KaiTi" w:cs="Batang"/>
          <w:iCs/>
          <w:color w:val="000000"/>
          <w:kern w:val="22"/>
          <w:lang w:eastAsia="ja-JP" w:bidi="th-TH"/>
        </w:rPr>
        <w:t>又注意</w:t>
      </w:r>
      <w:r w:rsidRPr="001A2AC9">
        <w:rPr>
          <w:rFonts w:eastAsiaTheme="minorEastAsia"/>
          <w:iCs/>
          <w:color w:val="000000"/>
          <w:kern w:val="22"/>
          <w:lang w:eastAsia="ja-JP" w:bidi="th-TH"/>
        </w:rPr>
        <w:t>到联合国环境大会关于海洋</w:t>
      </w:r>
      <w:r w:rsidRPr="001A2AC9">
        <w:rPr>
          <w:rFonts w:eastAsiaTheme="minorEastAsia"/>
          <w:snapToGrid w:val="0"/>
          <w:kern w:val="22"/>
          <w:lang w:eastAsia="zh-CN" w:bidi="th-TH"/>
        </w:rPr>
        <w:t>废弃物</w:t>
      </w:r>
      <w:r w:rsidRPr="001A2AC9">
        <w:rPr>
          <w:rFonts w:eastAsiaTheme="minorEastAsia"/>
          <w:iCs/>
          <w:color w:val="000000"/>
          <w:kern w:val="22"/>
          <w:lang w:eastAsia="ja-JP" w:bidi="th-TH"/>
        </w:rPr>
        <w:t>和微塑料的第</w:t>
      </w:r>
      <w:r w:rsidRPr="001A2AC9">
        <w:rPr>
          <w:rFonts w:eastAsiaTheme="minorEastAsia"/>
          <w:iCs/>
          <w:color w:val="000000"/>
          <w:kern w:val="22"/>
          <w:lang w:eastAsia="ja-JP" w:bidi="th-TH"/>
        </w:rPr>
        <w:t>3/7</w:t>
      </w:r>
      <w:r w:rsidRPr="001A2AC9">
        <w:rPr>
          <w:rFonts w:eastAsiaTheme="minorEastAsia"/>
          <w:iCs/>
          <w:color w:val="000000"/>
          <w:kern w:val="22"/>
          <w:lang w:eastAsia="ja-JP" w:bidi="th-TH"/>
        </w:rPr>
        <w:t>号决议，特别是</w:t>
      </w:r>
      <w:r w:rsidRPr="001A2AC9">
        <w:rPr>
          <w:rFonts w:eastAsiaTheme="minorEastAsia"/>
          <w:iCs/>
          <w:color w:val="000000"/>
          <w:kern w:val="22"/>
          <w:lang w:eastAsia="zh-CN" w:bidi="th-TH"/>
        </w:rPr>
        <w:t>其中</w:t>
      </w:r>
      <w:r w:rsidRPr="001A2AC9">
        <w:rPr>
          <w:rFonts w:eastAsiaTheme="minorEastAsia"/>
          <w:iCs/>
          <w:color w:val="000000"/>
          <w:kern w:val="22"/>
          <w:lang w:eastAsia="ja-JP" w:bidi="th-TH"/>
        </w:rPr>
        <w:t>邀请相关国际和区域组织和包括</w:t>
      </w:r>
      <w:r w:rsidRPr="001A2AC9">
        <w:rPr>
          <w:rFonts w:eastAsiaTheme="minorEastAsia"/>
          <w:iCs/>
          <w:color w:val="000000"/>
          <w:kern w:val="22"/>
          <w:lang w:eastAsia="zh-CN" w:bidi="th-TH"/>
        </w:rPr>
        <w:t>《</w:t>
      </w:r>
      <w:r w:rsidRPr="001A2AC9">
        <w:rPr>
          <w:rFonts w:eastAsiaTheme="minorEastAsia"/>
          <w:iCs/>
          <w:color w:val="000000"/>
          <w:kern w:val="22"/>
          <w:lang w:eastAsia="ja-JP" w:bidi="th-TH"/>
        </w:rPr>
        <w:t>生物多样性公约</w:t>
      </w:r>
      <w:r w:rsidRPr="001A2AC9">
        <w:rPr>
          <w:rFonts w:eastAsiaTheme="minorEastAsia"/>
          <w:iCs/>
          <w:color w:val="000000"/>
          <w:kern w:val="22"/>
          <w:lang w:eastAsia="zh-CN" w:bidi="th-TH"/>
        </w:rPr>
        <w:t>》在内的各公约</w:t>
      </w:r>
      <w:r w:rsidRPr="001A2AC9">
        <w:rPr>
          <w:rFonts w:eastAsiaTheme="minorEastAsia"/>
          <w:iCs/>
          <w:color w:val="000000"/>
          <w:kern w:val="22"/>
          <w:lang w:eastAsia="ja-JP" w:bidi="th-TH"/>
        </w:rPr>
        <w:t>酌情</w:t>
      </w:r>
      <w:r w:rsidRPr="001A2AC9">
        <w:rPr>
          <w:rFonts w:eastAsiaTheme="minorEastAsia"/>
          <w:iCs/>
          <w:color w:val="000000"/>
          <w:kern w:val="22"/>
          <w:lang w:eastAsia="zh-CN" w:bidi="th-TH"/>
        </w:rPr>
        <w:t>并</w:t>
      </w:r>
      <w:r w:rsidRPr="001A2AC9">
        <w:rPr>
          <w:rFonts w:eastAsiaTheme="minorEastAsia"/>
          <w:iCs/>
          <w:color w:val="000000"/>
          <w:kern w:val="22"/>
          <w:lang w:eastAsia="ja-JP" w:bidi="th-TH"/>
        </w:rPr>
        <w:t>在其任务范围内加强行动</w:t>
      </w:r>
      <w:r w:rsidRPr="001A2AC9">
        <w:rPr>
          <w:rFonts w:eastAsiaTheme="minorEastAsia"/>
          <w:iCs/>
          <w:color w:val="000000"/>
          <w:kern w:val="22"/>
          <w:lang w:eastAsia="zh-CN" w:bidi="th-TH"/>
        </w:rPr>
        <w:t>，</w:t>
      </w:r>
      <w:r w:rsidRPr="001A2AC9">
        <w:rPr>
          <w:rFonts w:eastAsiaTheme="minorEastAsia"/>
          <w:iCs/>
          <w:color w:val="000000"/>
          <w:kern w:val="22"/>
          <w:lang w:eastAsia="ja-JP" w:bidi="th-TH"/>
        </w:rPr>
        <w:t>预防</w:t>
      </w:r>
      <w:r w:rsidRPr="001A2AC9">
        <w:rPr>
          <w:rFonts w:eastAsiaTheme="minorEastAsia"/>
          <w:iCs/>
          <w:color w:val="000000"/>
          <w:kern w:val="22"/>
          <w:lang w:eastAsia="zh-CN" w:bidi="th-TH"/>
        </w:rPr>
        <w:t>和</w:t>
      </w:r>
      <w:r w:rsidRPr="001A2AC9">
        <w:rPr>
          <w:rFonts w:eastAsiaTheme="minorEastAsia"/>
          <w:iCs/>
          <w:color w:val="000000"/>
          <w:kern w:val="22"/>
          <w:lang w:eastAsia="ja-JP" w:bidi="th-TH"/>
        </w:rPr>
        <w:t>减少海洋垃圾和微塑料及其有害影响，并酌情协调实现这一目标，</w:t>
      </w:r>
      <w:r w:rsidRPr="001A2AC9">
        <w:rPr>
          <w:rFonts w:eastAsiaTheme="minorEastAsia"/>
          <w:iCs/>
          <w:color w:val="000000"/>
          <w:kern w:val="22"/>
          <w:lang w:eastAsia="zh-CN" w:bidi="th-TH"/>
        </w:rPr>
        <w:t>其中还</w:t>
      </w:r>
      <w:r w:rsidRPr="001A2AC9">
        <w:rPr>
          <w:rFonts w:eastAsiaTheme="minorEastAsia"/>
          <w:iCs/>
          <w:color w:val="000000"/>
          <w:kern w:val="22"/>
          <w:lang w:eastAsia="ja-JP" w:bidi="th-TH"/>
        </w:rPr>
        <w:t>决定在联合国环境大会下召集一个不限成员名额特设专家组，进一步审查</w:t>
      </w:r>
      <w:r w:rsidRPr="001A2AC9">
        <w:rPr>
          <w:rFonts w:eastAsiaTheme="minorEastAsia"/>
          <w:iCs/>
          <w:color w:val="000000"/>
          <w:kern w:val="22"/>
          <w:lang w:eastAsia="zh-CN" w:bidi="th-TH"/>
        </w:rPr>
        <w:t>防治</w:t>
      </w:r>
      <w:r w:rsidRPr="001A2AC9">
        <w:rPr>
          <w:rFonts w:eastAsiaTheme="minorEastAsia"/>
          <w:iCs/>
          <w:color w:val="000000"/>
          <w:kern w:val="22"/>
          <w:lang w:eastAsia="ja-JP" w:bidi="th-TH"/>
        </w:rPr>
        <w:t>所有来源特别是陆地来源的海洋塑料垃圾和微塑料</w:t>
      </w:r>
      <w:r w:rsidRPr="001A2AC9">
        <w:rPr>
          <w:rFonts w:eastAsiaTheme="minorEastAsia"/>
          <w:iCs/>
          <w:color w:val="000000"/>
          <w:kern w:val="22"/>
          <w:lang w:eastAsia="zh-CN" w:bidi="th-TH"/>
        </w:rPr>
        <w:t>的障碍和备选办法，</w:t>
      </w:r>
    </w:p>
    <w:p w:rsidR="00772406" w:rsidRPr="001A2AC9" w:rsidRDefault="00772406" w:rsidP="001A42F8">
      <w:pPr>
        <w:pStyle w:val="Para1"/>
        <w:numPr>
          <w:ilvl w:val="0"/>
          <w:numId w:val="189"/>
        </w:numPr>
        <w:tabs>
          <w:tab w:val="left" w:pos="1440"/>
        </w:tabs>
        <w:ind w:left="0" w:firstLine="720"/>
        <w:rPr>
          <w:rFonts w:eastAsiaTheme="minorEastAsia"/>
          <w:kern w:val="22"/>
          <w:sz w:val="24"/>
          <w:szCs w:val="24"/>
          <w:lang w:eastAsia="zh-CN" w:bidi="th-TH"/>
        </w:rPr>
      </w:pPr>
      <w:r w:rsidRPr="001A2AC9">
        <w:rPr>
          <w:rFonts w:ascii="KaiTi" w:eastAsia="KaiTi" w:hAnsi="KaiTi" w:cs="Batang"/>
          <w:iCs/>
          <w:color w:val="000000"/>
          <w:kern w:val="22"/>
          <w:sz w:val="24"/>
          <w:szCs w:val="24"/>
          <w:lang w:val="en-US" w:eastAsia="ja-JP" w:bidi="th-TH"/>
        </w:rPr>
        <w:t>敦促</w:t>
      </w:r>
      <w:r w:rsidRPr="001A2AC9">
        <w:rPr>
          <w:rFonts w:eastAsiaTheme="minorEastAsia"/>
          <w:iCs/>
          <w:color w:val="000000"/>
          <w:kern w:val="22"/>
          <w:sz w:val="24"/>
          <w:szCs w:val="24"/>
          <w:lang w:eastAsia="zh-CN" w:bidi="th-TH"/>
        </w:rPr>
        <w:t>各缔约方加紧努力以便</w:t>
      </w:r>
      <w:r w:rsidRPr="001A2AC9">
        <w:rPr>
          <w:rFonts w:eastAsiaTheme="minorEastAsia"/>
          <w:kern w:val="22"/>
          <w:sz w:val="24"/>
          <w:szCs w:val="24"/>
          <w:lang w:eastAsia="zh-CN" w:bidi="th-TH"/>
        </w:rPr>
        <w:t>：</w:t>
      </w:r>
    </w:p>
    <w:p w:rsidR="00772406" w:rsidRPr="001A2AC9" w:rsidRDefault="00772406" w:rsidP="001A42F8">
      <w:pPr>
        <w:pStyle w:val="ListParagraph"/>
        <w:numPr>
          <w:ilvl w:val="0"/>
          <w:numId w:val="188"/>
        </w:numPr>
        <w:suppressLineNumbers/>
        <w:tabs>
          <w:tab w:val="left" w:pos="1440"/>
        </w:tabs>
        <w:suppressAutoHyphens/>
        <w:kinsoku w:val="0"/>
        <w:overflowPunct w:val="0"/>
        <w:autoSpaceDE w:val="0"/>
        <w:autoSpaceDN w:val="0"/>
        <w:snapToGrid w:val="0"/>
        <w:ind w:left="0" w:firstLine="720"/>
        <w:rPr>
          <w:rFonts w:eastAsiaTheme="minorEastAsia"/>
          <w:snapToGrid w:val="0"/>
          <w:kern w:val="22"/>
          <w:lang w:eastAsia="zh-CN" w:bidi="th-TH"/>
        </w:rPr>
      </w:pPr>
      <w:r w:rsidRPr="001A2AC9">
        <w:rPr>
          <w:rFonts w:eastAsiaTheme="minorEastAsia"/>
          <w:snapToGrid w:val="0"/>
          <w:kern w:val="22"/>
          <w:lang w:eastAsia="zh-CN" w:bidi="th-TH"/>
        </w:rPr>
        <w:t>避免、尽量减少和缓解海洋废弃物，特别是塑料污染对海洋和沿海生物多样性和生境的影响；</w:t>
      </w:r>
    </w:p>
    <w:p w:rsidR="00772406" w:rsidRPr="001A2AC9" w:rsidRDefault="00772406" w:rsidP="001A42F8">
      <w:pPr>
        <w:pStyle w:val="ListParagraph"/>
        <w:numPr>
          <w:ilvl w:val="0"/>
          <w:numId w:val="188"/>
        </w:numPr>
        <w:suppressLineNumbers/>
        <w:tabs>
          <w:tab w:val="left" w:pos="1440"/>
        </w:tabs>
        <w:suppressAutoHyphens/>
        <w:kinsoku w:val="0"/>
        <w:overflowPunct w:val="0"/>
        <w:autoSpaceDE w:val="0"/>
        <w:autoSpaceDN w:val="0"/>
        <w:snapToGrid w:val="0"/>
        <w:ind w:left="0" w:firstLine="720"/>
        <w:rPr>
          <w:rFonts w:eastAsiaTheme="minorEastAsia"/>
          <w:snapToGrid w:val="0"/>
          <w:kern w:val="22"/>
          <w:lang w:eastAsia="zh-CN" w:bidi="th-TH"/>
        </w:rPr>
      </w:pPr>
      <w:r w:rsidRPr="001A2AC9">
        <w:rPr>
          <w:rFonts w:eastAsiaTheme="minorEastAsia"/>
          <w:snapToGrid w:val="0"/>
          <w:kern w:val="22"/>
          <w:lang w:eastAsia="zh-CN" w:bidi="th-TH"/>
        </w:rPr>
        <w:t>解决深海采矿对海洋生物多样性的潜在影响；</w:t>
      </w:r>
    </w:p>
    <w:p w:rsidR="00772406" w:rsidRPr="001A2AC9" w:rsidRDefault="00772406" w:rsidP="001A42F8">
      <w:pPr>
        <w:pStyle w:val="ListParagraph"/>
        <w:numPr>
          <w:ilvl w:val="0"/>
          <w:numId w:val="188"/>
        </w:numPr>
        <w:suppressLineNumbers/>
        <w:tabs>
          <w:tab w:val="left" w:pos="1440"/>
        </w:tabs>
        <w:suppressAutoHyphens/>
        <w:kinsoku w:val="0"/>
        <w:overflowPunct w:val="0"/>
        <w:autoSpaceDE w:val="0"/>
        <w:autoSpaceDN w:val="0"/>
        <w:snapToGrid w:val="0"/>
        <w:ind w:left="0" w:firstLine="720"/>
        <w:rPr>
          <w:rFonts w:eastAsiaTheme="minorEastAsia"/>
          <w:snapToGrid w:val="0"/>
          <w:kern w:val="22"/>
          <w:lang w:eastAsia="zh-CN" w:bidi="th-TH"/>
        </w:rPr>
      </w:pPr>
      <w:r w:rsidRPr="001A2AC9">
        <w:rPr>
          <w:rFonts w:eastAsiaTheme="minorEastAsia"/>
          <w:snapToGrid w:val="0"/>
          <w:kern w:val="22"/>
          <w:lang w:eastAsia="zh-CN" w:bidi="th-TH"/>
        </w:rPr>
        <w:t>保护冷水区域生物多样性，特别注意到《防止北冰洋中部无管制公海渔业协定》的定稿；</w:t>
      </w:r>
    </w:p>
    <w:p w:rsidR="00772406" w:rsidRPr="001A2AC9" w:rsidRDefault="00772406" w:rsidP="001A42F8">
      <w:pPr>
        <w:pStyle w:val="Para1"/>
        <w:widowControl w:val="0"/>
        <w:numPr>
          <w:ilvl w:val="0"/>
          <w:numId w:val="189"/>
        </w:numPr>
        <w:tabs>
          <w:tab w:val="left" w:pos="1440"/>
        </w:tabs>
        <w:ind w:left="0" w:firstLine="720"/>
        <w:rPr>
          <w:rFonts w:eastAsiaTheme="minorEastAsia"/>
          <w:kern w:val="22"/>
          <w:sz w:val="24"/>
          <w:szCs w:val="24"/>
          <w:lang w:eastAsia="zh-CN" w:bidi="th-TH"/>
        </w:rPr>
      </w:pPr>
      <w:bookmarkStart w:id="137" w:name="_Hlk530965958"/>
      <w:r w:rsidRPr="001A2AC9">
        <w:rPr>
          <w:rFonts w:ascii="KaiTi" w:eastAsia="KaiTi" w:hAnsi="KaiTi" w:cs="Batang"/>
          <w:iCs/>
          <w:color w:val="000000"/>
          <w:kern w:val="22"/>
          <w:sz w:val="24"/>
          <w:szCs w:val="24"/>
          <w:lang w:val="en-US" w:eastAsia="ja-JP" w:bidi="th-TH"/>
        </w:rPr>
        <w:t>欢迎</w:t>
      </w:r>
      <w:r w:rsidRPr="001A2AC9">
        <w:rPr>
          <w:rFonts w:eastAsiaTheme="minorEastAsia"/>
          <w:iCs/>
          <w:color w:val="000000"/>
          <w:kern w:val="22"/>
          <w:sz w:val="24"/>
          <w:lang w:eastAsia="ja-JP" w:bidi="th-TH"/>
        </w:rPr>
        <w:t>联合国环境大会海洋</w:t>
      </w:r>
      <w:r w:rsidRPr="001A2AC9">
        <w:rPr>
          <w:rFonts w:eastAsiaTheme="minorEastAsia"/>
          <w:kern w:val="22"/>
          <w:sz w:val="24"/>
          <w:lang w:eastAsia="zh-CN" w:bidi="th-TH"/>
        </w:rPr>
        <w:t>废弃物</w:t>
      </w:r>
      <w:r w:rsidRPr="001A2AC9">
        <w:rPr>
          <w:rFonts w:eastAsiaTheme="minorEastAsia"/>
          <w:kern w:val="22"/>
          <w:sz w:val="24"/>
          <w:szCs w:val="24"/>
          <w:lang w:eastAsia="zh-CN" w:bidi="th-TH"/>
        </w:rPr>
        <w:t>问题</w:t>
      </w:r>
      <w:r w:rsidRPr="001A2AC9">
        <w:rPr>
          <w:rFonts w:eastAsiaTheme="minorEastAsia"/>
          <w:iCs/>
          <w:color w:val="000000"/>
          <w:kern w:val="22"/>
          <w:sz w:val="24"/>
          <w:lang w:eastAsia="ja-JP" w:bidi="th-TH"/>
        </w:rPr>
        <w:t>不限成员名额特设专家组</w:t>
      </w:r>
      <w:r w:rsidRPr="001A2AC9">
        <w:rPr>
          <w:rFonts w:eastAsiaTheme="minorEastAsia"/>
          <w:iCs/>
          <w:color w:val="000000"/>
          <w:kern w:val="22"/>
          <w:sz w:val="24"/>
          <w:lang w:eastAsia="zh-CN" w:bidi="th-TH"/>
        </w:rPr>
        <w:t>的工作，并</w:t>
      </w:r>
      <w:r w:rsidRPr="001A2AC9">
        <w:rPr>
          <w:rFonts w:eastAsiaTheme="minorEastAsia"/>
          <w:iCs/>
          <w:color w:val="000000"/>
          <w:kern w:val="22"/>
          <w:sz w:val="24"/>
          <w:szCs w:val="24"/>
          <w:lang w:eastAsia="zh-CN" w:bidi="th-TH"/>
        </w:rPr>
        <w:t>请执行秘书向该专家组通报《公约》开展的相关工作，并主要根据</w:t>
      </w:r>
      <w:r w:rsidRPr="001A2AC9">
        <w:rPr>
          <w:rFonts w:eastAsiaTheme="minorEastAsia"/>
          <w:iCs/>
          <w:color w:val="000000"/>
          <w:kern w:val="22"/>
          <w:sz w:val="24"/>
          <w:lang w:eastAsia="ja-JP" w:bidi="th-TH"/>
        </w:rPr>
        <w:t>联合国环境大会关于海洋</w:t>
      </w:r>
      <w:r w:rsidRPr="001A2AC9">
        <w:rPr>
          <w:rFonts w:eastAsiaTheme="minorEastAsia"/>
          <w:kern w:val="22"/>
          <w:sz w:val="24"/>
          <w:lang w:eastAsia="zh-CN" w:bidi="th-TH"/>
        </w:rPr>
        <w:t>废弃物</w:t>
      </w:r>
      <w:r w:rsidRPr="001A2AC9">
        <w:rPr>
          <w:rFonts w:eastAsiaTheme="minorEastAsia"/>
          <w:iCs/>
          <w:color w:val="000000"/>
          <w:kern w:val="22"/>
          <w:sz w:val="24"/>
          <w:lang w:eastAsia="ja-JP" w:bidi="th-TH"/>
        </w:rPr>
        <w:t>和微塑料的第</w:t>
      </w:r>
      <w:r w:rsidRPr="001A2AC9">
        <w:rPr>
          <w:rFonts w:eastAsiaTheme="minorEastAsia"/>
          <w:iCs/>
          <w:color w:val="000000"/>
          <w:kern w:val="22"/>
          <w:sz w:val="24"/>
          <w:lang w:eastAsia="ja-JP" w:bidi="th-TH"/>
        </w:rPr>
        <w:t>3/7</w:t>
      </w:r>
      <w:r w:rsidRPr="001A2AC9">
        <w:rPr>
          <w:rFonts w:eastAsiaTheme="minorEastAsia"/>
          <w:iCs/>
          <w:color w:val="000000"/>
          <w:kern w:val="22"/>
          <w:sz w:val="24"/>
          <w:lang w:eastAsia="ja-JP" w:bidi="th-TH"/>
        </w:rPr>
        <w:t>号决议</w:t>
      </w:r>
      <w:r w:rsidRPr="001A2AC9">
        <w:rPr>
          <w:rFonts w:eastAsiaTheme="minorEastAsia"/>
          <w:iCs/>
          <w:color w:val="000000"/>
          <w:kern w:val="22"/>
          <w:sz w:val="24"/>
          <w:lang w:eastAsia="zh-CN" w:bidi="th-TH"/>
        </w:rPr>
        <w:t>，</w:t>
      </w:r>
      <w:r w:rsidRPr="001A2AC9">
        <w:rPr>
          <w:rFonts w:eastAsiaTheme="minorEastAsia"/>
          <w:iCs/>
          <w:color w:val="000000"/>
          <w:kern w:val="22"/>
          <w:sz w:val="24"/>
          <w:szCs w:val="24"/>
          <w:lang w:eastAsia="zh-CN" w:bidi="th-TH"/>
        </w:rPr>
        <w:t>酌情为该专家组的工作作出贡献；</w:t>
      </w:r>
    </w:p>
    <w:p w:rsidR="00772406" w:rsidRPr="001A2AC9" w:rsidRDefault="00772406" w:rsidP="001A42F8">
      <w:pPr>
        <w:pStyle w:val="Para1"/>
        <w:numPr>
          <w:ilvl w:val="0"/>
          <w:numId w:val="189"/>
        </w:numPr>
        <w:tabs>
          <w:tab w:val="left" w:pos="1440"/>
        </w:tabs>
        <w:ind w:left="0" w:firstLine="720"/>
        <w:rPr>
          <w:rFonts w:eastAsiaTheme="minorEastAsia"/>
          <w:kern w:val="22"/>
          <w:sz w:val="24"/>
          <w:szCs w:val="24"/>
          <w:lang w:eastAsia="zh-CN" w:bidi="th-TH"/>
        </w:rPr>
      </w:pPr>
      <w:r w:rsidRPr="001A2AC9">
        <w:rPr>
          <w:rFonts w:ascii="KaiTi" w:eastAsia="KaiTi" w:hAnsi="KaiTi" w:cs="Batang"/>
          <w:iCs/>
          <w:color w:val="000000"/>
          <w:kern w:val="22"/>
          <w:sz w:val="24"/>
          <w:szCs w:val="24"/>
          <w:lang w:val="en-US" w:eastAsia="ja-JP" w:bidi="th-TH"/>
        </w:rPr>
        <w:t>欢迎</w:t>
      </w:r>
      <w:r w:rsidRPr="001A2AC9">
        <w:rPr>
          <w:rFonts w:eastAsiaTheme="minorEastAsia"/>
          <w:iCs/>
          <w:color w:val="000000"/>
          <w:kern w:val="22"/>
          <w:sz w:val="24"/>
          <w:szCs w:val="24"/>
          <w:lang w:eastAsia="zh-CN" w:bidi="th-TH"/>
        </w:rPr>
        <w:t>国际海底管理局的工作取得的进展，特别是</w:t>
      </w:r>
      <w:r w:rsidRPr="001A2AC9">
        <w:rPr>
          <w:rFonts w:eastAsiaTheme="minorEastAsia"/>
          <w:iCs/>
          <w:color w:val="000000"/>
          <w:kern w:val="22"/>
          <w:sz w:val="24"/>
          <w:szCs w:val="24"/>
          <w:lang w:eastAsia="zh-CN" w:bidi="th-TH"/>
        </w:rPr>
        <w:t>“</w:t>
      </w:r>
      <w:r w:rsidRPr="001A2AC9">
        <w:rPr>
          <w:rFonts w:eastAsiaTheme="minorEastAsia"/>
          <w:iCs/>
          <w:color w:val="000000"/>
          <w:kern w:val="22"/>
          <w:sz w:val="24"/>
          <w:szCs w:val="24"/>
          <w:lang w:eastAsia="zh-CN" w:bidi="th-TH"/>
        </w:rPr>
        <w:t>区域</w:t>
      </w:r>
      <w:r w:rsidRPr="001A2AC9">
        <w:rPr>
          <w:rFonts w:eastAsiaTheme="minorEastAsia"/>
          <w:iCs/>
          <w:color w:val="000000"/>
          <w:kern w:val="22"/>
          <w:sz w:val="24"/>
          <w:szCs w:val="24"/>
          <w:lang w:eastAsia="zh-CN" w:bidi="th-TH"/>
        </w:rPr>
        <w:t>”</w:t>
      </w:r>
      <w:r w:rsidRPr="001A2AC9">
        <w:rPr>
          <w:rFonts w:eastAsiaTheme="minorEastAsia"/>
          <w:iCs/>
          <w:color w:val="000000"/>
          <w:kern w:val="22"/>
          <w:sz w:val="24"/>
          <w:szCs w:val="24"/>
          <w:lang w:eastAsia="zh-CN" w:bidi="th-TH"/>
        </w:rPr>
        <w:t>内矿物资源开发规章草案；</w:t>
      </w:r>
    </w:p>
    <w:p w:rsidR="00772406" w:rsidRPr="001A2AC9" w:rsidRDefault="00772406" w:rsidP="001A42F8">
      <w:pPr>
        <w:pStyle w:val="Para1"/>
        <w:numPr>
          <w:ilvl w:val="0"/>
          <w:numId w:val="189"/>
        </w:numPr>
        <w:tabs>
          <w:tab w:val="left" w:pos="1440"/>
        </w:tabs>
        <w:ind w:left="0" w:firstLine="720"/>
        <w:rPr>
          <w:rFonts w:eastAsiaTheme="minorEastAsia"/>
          <w:kern w:val="22"/>
          <w:sz w:val="24"/>
          <w:szCs w:val="24"/>
          <w:lang w:eastAsia="zh-CN" w:bidi="th-TH"/>
        </w:rPr>
      </w:pPr>
      <w:r w:rsidRPr="001A2AC9">
        <w:rPr>
          <w:rFonts w:ascii="KaiTi" w:eastAsia="KaiTi" w:hAnsi="KaiTi" w:cs="Batang"/>
          <w:iCs/>
          <w:color w:val="000000"/>
          <w:kern w:val="22"/>
          <w:sz w:val="24"/>
          <w:szCs w:val="24"/>
          <w:lang w:val="en-US" w:eastAsia="ja-JP" w:bidi="th-TH"/>
        </w:rPr>
        <w:t>确认</w:t>
      </w:r>
      <w:r w:rsidRPr="001A2AC9">
        <w:rPr>
          <w:rFonts w:eastAsiaTheme="minorEastAsia"/>
          <w:kern w:val="22"/>
          <w:sz w:val="24"/>
          <w:szCs w:val="24"/>
          <w:lang w:eastAsia="zh-CN" w:bidi="th-TH"/>
        </w:rPr>
        <w:t>有必要进一步研究海洋</w:t>
      </w:r>
      <w:r w:rsidRPr="001A2AC9">
        <w:rPr>
          <w:rFonts w:eastAsiaTheme="minorEastAsia"/>
          <w:kern w:val="22"/>
          <w:sz w:val="24"/>
          <w:lang w:eastAsia="zh-CN" w:bidi="th-TH"/>
        </w:rPr>
        <w:t>废弃物包括塑料和微塑料</w:t>
      </w:r>
      <w:r w:rsidRPr="001A2AC9">
        <w:rPr>
          <w:rFonts w:eastAsiaTheme="minorEastAsia"/>
          <w:kern w:val="22"/>
          <w:sz w:val="24"/>
          <w:szCs w:val="24"/>
          <w:lang w:eastAsia="zh-CN" w:bidi="th-TH"/>
        </w:rPr>
        <w:t>对海洋和沿海生物多样性和生境的影响，并强调需要在适当和可行的情况下清理和清除海洋废弃物，认为这项努力特别紧急，因为海洋废弃物对敏感的海洋和沿海生物多样性和生境构成威胁；</w:t>
      </w:r>
    </w:p>
    <w:bookmarkEnd w:id="137"/>
    <w:p w:rsidR="00772406" w:rsidRPr="001A2AC9" w:rsidRDefault="00772406" w:rsidP="001A42F8">
      <w:pPr>
        <w:pStyle w:val="Para1"/>
        <w:numPr>
          <w:ilvl w:val="0"/>
          <w:numId w:val="190"/>
        </w:numPr>
        <w:tabs>
          <w:tab w:val="left" w:pos="1440"/>
        </w:tabs>
        <w:ind w:left="0" w:firstLine="720"/>
        <w:rPr>
          <w:rFonts w:eastAsiaTheme="minorEastAsia"/>
          <w:kern w:val="22"/>
          <w:sz w:val="24"/>
          <w:szCs w:val="24"/>
          <w:lang w:eastAsia="zh-CN" w:bidi="th-TH"/>
        </w:rPr>
      </w:pPr>
      <w:r w:rsidRPr="001A2AC9">
        <w:rPr>
          <w:rFonts w:ascii="KaiTi" w:eastAsia="KaiTi" w:hAnsi="KaiTi" w:cs="Batang"/>
          <w:iCs/>
          <w:color w:val="000000"/>
          <w:kern w:val="22"/>
          <w:sz w:val="24"/>
          <w:szCs w:val="24"/>
          <w:lang w:val="en-US" w:eastAsia="ja-JP" w:bidi="th-TH"/>
        </w:rPr>
        <w:t>注意到</w:t>
      </w:r>
      <w:r w:rsidRPr="001A2AC9">
        <w:rPr>
          <w:rFonts w:eastAsiaTheme="minorEastAsia"/>
          <w:kern w:val="22"/>
          <w:sz w:val="24"/>
          <w:szCs w:val="24"/>
          <w:lang w:eastAsia="zh-CN" w:bidi="th-TH"/>
        </w:rPr>
        <w:t>执行秘书进行汇编和汇总以下方面信息的工作，并</w:t>
      </w:r>
      <w:r w:rsidRPr="001A2AC9">
        <w:rPr>
          <w:rFonts w:eastAsiaTheme="minorEastAsia"/>
          <w:iCs/>
          <w:color w:val="000000"/>
          <w:kern w:val="22"/>
          <w:sz w:val="24"/>
          <w:szCs w:val="24"/>
          <w:lang w:eastAsia="ja-JP" w:bidi="th-TH"/>
        </w:rPr>
        <w:t>要求</w:t>
      </w:r>
      <w:r w:rsidRPr="001A2AC9">
        <w:rPr>
          <w:rFonts w:eastAsiaTheme="minorEastAsia"/>
          <w:kern w:val="22"/>
          <w:sz w:val="24"/>
          <w:szCs w:val="24"/>
          <w:lang w:eastAsia="zh-CN" w:bidi="th-TH"/>
        </w:rPr>
        <w:t>执行秘书继续进行这项工作：</w:t>
      </w:r>
    </w:p>
    <w:p w:rsidR="00772406" w:rsidRPr="001A2AC9" w:rsidRDefault="00772406" w:rsidP="001A42F8">
      <w:pPr>
        <w:pStyle w:val="ListParagraph"/>
        <w:numPr>
          <w:ilvl w:val="0"/>
          <w:numId w:val="192"/>
        </w:numPr>
        <w:suppressLineNumbers/>
        <w:tabs>
          <w:tab w:val="left" w:pos="1440"/>
        </w:tabs>
        <w:suppressAutoHyphens/>
        <w:kinsoku w:val="0"/>
        <w:overflowPunct w:val="0"/>
        <w:autoSpaceDE w:val="0"/>
        <w:autoSpaceDN w:val="0"/>
        <w:snapToGrid w:val="0"/>
        <w:ind w:left="0" w:firstLine="720"/>
        <w:rPr>
          <w:rFonts w:eastAsiaTheme="minorEastAsia"/>
          <w:snapToGrid w:val="0"/>
          <w:kern w:val="22"/>
          <w:lang w:eastAsia="zh-CN" w:bidi="th-TH"/>
        </w:rPr>
      </w:pPr>
      <w:r w:rsidRPr="001A2AC9">
        <w:rPr>
          <w:rFonts w:eastAsiaTheme="minorEastAsia"/>
          <w:snapToGrid w:val="0"/>
          <w:kern w:val="22"/>
          <w:lang w:eastAsia="zh-CN" w:bidi="th-TH"/>
        </w:rPr>
        <w:lastRenderedPageBreak/>
        <w:t>人为水下噪声对海洋和沿海生物多样性的影响，以及避免、尽可能减少和缓解这些影响的手段；</w:t>
      </w:r>
      <w:r w:rsidRPr="001A2AC9">
        <w:rPr>
          <w:rFonts w:eastAsiaTheme="minorEastAsia"/>
          <w:snapToGrid w:val="0"/>
          <w:vertAlign w:val="superscript"/>
          <w:lang w:bidi="th-TH"/>
        </w:rPr>
        <w:footnoteReference w:id="172"/>
      </w:r>
    </w:p>
    <w:p w:rsidR="00772406" w:rsidRPr="001A2AC9" w:rsidRDefault="00772406" w:rsidP="001A42F8">
      <w:pPr>
        <w:pStyle w:val="ListParagraph"/>
        <w:numPr>
          <w:ilvl w:val="0"/>
          <w:numId w:val="192"/>
        </w:numPr>
        <w:suppressLineNumbers/>
        <w:tabs>
          <w:tab w:val="left" w:pos="1440"/>
        </w:tabs>
        <w:suppressAutoHyphens/>
        <w:kinsoku w:val="0"/>
        <w:overflowPunct w:val="0"/>
        <w:autoSpaceDE w:val="0"/>
        <w:autoSpaceDN w:val="0"/>
        <w:snapToGrid w:val="0"/>
        <w:ind w:left="0" w:firstLine="720"/>
        <w:rPr>
          <w:rFonts w:eastAsiaTheme="minorEastAsia"/>
          <w:snapToGrid w:val="0"/>
          <w:kern w:val="22"/>
          <w:lang w:eastAsia="zh-CN" w:bidi="th-TH"/>
        </w:rPr>
      </w:pPr>
      <w:r w:rsidRPr="001A2AC9">
        <w:rPr>
          <w:rFonts w:eastAsiaTheme="minorEastAsia"/>
          <w:snapToGrid w:val="0"/>
          <w:kern w:val="22"/>
          <w:lang w:eastAsia="zh-CN" w:bidi="th-TH"/>
        </w:rPr>
        <w:t>应用海洋空间规划的经验；</w:t>
      </w:r>
      <w:r w:rsidRPr="001A2AC9">
        <w:rPr>
          <w:rFonts w:eastAsiaTheme="minorEastAsia"/>
          <w:snapToGrid w:val="0"/>
          <w:vertAlign w:val="superscript"/>
          <w:lang w:bidi="th-TH"/>
        </w:rPr>
        <w:footnoteReference w:id="173"/>
      </w:r>
    </w:p>
    <w:p w:rsidR="00772406" w:rsidRPr="001A2AC9" w:rsidRDefault="00772406" w:rsidP="001A42F8">
      <w:pPr>
        <w:pStyle w:val="Para1"/>
        <w:numPr>
          <w:ilvl w:val="0"/>
          <w:numId w:val="190"/>
        </w:numPr>
        <w:tabs>
          <w:tab w:val="left" w:pos="1440"/>
        </w:tabs>
        <w:ind w:left="0" w:firstLine="720"/>
        <w:rPr>
          <w:rFonts w:eastAsiaTheme="minorEastAsia"/>
          <w:kern w:val="22"/>
          <w:sz w:val="24"/>
          <w:szCs w:val="24"/>
          <w:lang w:eastAsia="zh-CN" w:bidi="th-TH"/>
        </w:rPr>
      </w:pPr>
      <w:r w:rsidRPr="001A2AC9">
        <w:rPr>
          <w:rStyle w:val="FootnoteTextChar2"/>
          <w:rFonts w:ascii="KaiTi" w:eastAsia="KaiTi" w:hAnsi="KaiTi" w:hint="eastAsia"/>
          <w:lang w:eastAsia="zh-CN"/>
        </w:rPr>
        <w:t>鼓励</w:t>
      </w:r>
      <w:r w:rsidRPr="001A2AC9">
        <w:rPr>
          <w:rFonts w:eastAsiaTheme="minorEastAsia"/>
          <w:kern w:val="22"/>
          <w:sz w:val="24"/>
          <w:szCs w:val="24"/>
          <w:lang w:eastAsia="zh-CN" w:bidi="th-TH"/>
        </w:rPr>
        <w:t>各缔约方和</w:t>
      </w:r>
      <w:r w:rsidRPr="001A2AC9">
        <w:rPr>
          <w:rFonts w:eastAsiaTheme="minorEastAsia"/>
          <w:iCs/>
          <w:color w:val="000000"/>
          <w:kern w:val="22"/>
          <w:sz w:val="24"/>
          <w:szCs w:val="24"/>
          <w:lang w:eastAsia="ja-JP" w:bidi="th-TH"/>
        </w:rPr>
        <w:t>邀请</w:t>
      </w:r>
      <w:r w:rsidRPr="001A2AC9">
        <w:rPr>
          <w:rFonts w:eastAsiaTheme="minorEastAsia"/>
          <w:kern w:val="22"/>
          <w:sz w:val="24"/>
          <w:szCs w:val="24"/>
          <w:lang w:eastAsia="zh-CN" w:bidi="th-TH"/>
        </w:rPr>
        <w:t>其他国家政府和相关组织根据第</w:t>
      </w:r>
      <w:r w:rsidRPr="001A2AC9">
        <w:rPr>
          <w:rFonts w:eastAsiaTheme="minorEastAsia"/>
          <w:kern w:val="22"/>
          <w:sz w:val="24"/>
          <w:szCs w:val="24"/>
          <w:lang w:eastAsia="zh-CN" w:bidi="th-TH"/>
        </w:rPr>
        <w:t>XIII/9</w:t>
      </w:r>
      <w:r w:rsidRPr="001A2AC9">
        <w:rPr>
          <w:rFonts w:eastAsiaTheme="minorEastAsia"/>
          <w:kern w:val="22"/>
          <w:sz w:val="24"/>
          <w:szCs w:val="24"/>
          <w:lang w:eastAsia="zh-CN" w:bidi="th-TH"/>
        </w:rPr>
        <w:t>号决定利用上述信息，包括在努力避免、尽可能减少和缓解人为水下噪声影响方面，并应用海洋空间规划；</w:t>
      </w:r>
    </w:p>
    <w:p w:rsidR="00772406" w:rsidRPr="001A2AC9" w:rsidRDefault="00772406" w:rsidP="001A42F8">
      <w:pPr>
        <w:pStyle w:val="Para1"/>
        <w:numPr>
          <w:ilvl w:val="0"/>
          <w:numId w:val="190"/>
        </w:numPr>
        <w:tabs>
          <w:tab w:val="left" w:pos="1440"/>
        </w:tabs>
        <w:ind w:left="0" w:firstLine="720"/>
        <w:rPr>
          <w:rFonts w:eastAsiaTheme="minorEastAsia"/>
          <w:kern w:val="22"/>
          <w:sz w:val="24"/>
          <w:szCs w:val="24"/>
          <w:lang w:eastAsia="zh-CN" w:bidi="th-TH"/>
        </w:rPr>
      </w:pPr>
      <w:r w:rsidRPr="001A2AC9">
        <w:rPr>
          <w:rStyle w:val="FootnoteTextChar2"/>
          <w:rFonts w:ascii="KaiTi" w:eastAsia="KaiTi" w:hAnsi="KaiTi" w:hint="eastAsia"/>
          <w:lang w:eastAsia="zh-CN"/>
        </w:rPr>
        <w:t>欢迎</w:t>
      </w:r>
      <w:r w:rsidRPr="001A2AC9">
        <w:rPr>
          <w:rFonts w:eastAsiaTheme="minorEastAsia"/>
          <w:kern w:val="22"/>
          <w:sz w:val="24"/>
          <w:szCs w:val="24"/>
          <w:lang w:eastAsia="zh-CN" w:bidi="th-TH"/>
        </w:rPr>
        <w:t>执行秘书汇编关于将生物多样性纳入渔业主流的信息的工作，包括对渔业采用生态系统办法，</w:t>
      </w:r>
      <w:r w:rsidRPr="001A2AC9">
        <w:rPr>
          <w:rStyle w:val="FootnoteReference"/>
          <w:rFonts w:eastAsiaTheme="minorEastAsia"/>
          <w:kern w:val="22"/>
          <w:sz w:val="24"/>
          <w:szCs w:val="24"/>
          <w:u w:val="none"/>
          <w:vertAlign w:val="superscript"/>
        </w:rPr>
        <w:footnoteReference w:id="174"/>
      </w:r>
      <w:r w:rsidRPr="001A2AC9">
        <w:rPr>
          <w:rFonts w:eastAsiaTheme="minorEastAsia"/>
          <w:kern w:val="22"/>
          <w:sz w:val="24"/>
          <w:szCs w:val="24"/>
          <w:lang w:eastAsia="zh-CN" w:bidi="th-TH"/>
        </w:rPr>
        <w:t xml:space="preserve"> </w:t>
      </w:r>
      <w:r w:rsidRPr="001A2AC9">
        <w:rPr>
          <w:rFonts w:eastAsiaTheme="minorEastAsia"/>
          <w:kern w:val="22"/>
          <w:sz w:val="24"/>
          <w:szCs w:val="24"/>
          <w:lang w:eastAsia="zh-CN" w:bidi="th-TH"/>
        </w:rPr>
        <w:t>并</w:t>
      </w:r>
      <w:r w:rsidRPr="001A2AC9">
        <w:rPr>
          <w:rFonts w:eastAsiaTheme="minorEastAsia"/>
          <w:iCs/>
          <w:color w:val="000000"/>
          <w:kern w:val="22"/>
          <w:sz w:val="24"/>
          <w:szCs w:val="24"/>
          <w:lang w:eastAsia="ja-JP" w:bidi="th-TH"/>
        </w:rPr>
        <w:t>鼓励</w:t>
      </w:r>
      <w:r w:rsidRPr="001A2AC9">
        <w:rPr>
          <w:rFonts w:eastAsiaTheme="minorEastAsia"/>
          <w:kern w:val="22"/>
          <w:sz w:val="24"/>
          <w:szCs w:val="24"/>
          <w:lang w:eastAsia="zh-CN" w:bidi="th-TH"/>
        </w:rPr>
        <w:t>各缔约方和</w:t>
      </w:r>
      <w:r w:rsidRPr="001A2AC9">
        <w:rPr>
          <w:rFonts w:eastAsiaTheme="minorEastAsia"/>
          <w:iCs/>
          <w:color w:val="000000"/>
          <w:kern w:val="22"/>
          <w:sz w:val="24"/>
          <w:szCs w:val="24"/>
          <w:lang w:eastAsia="ja-JP" w:bidi="th-TH"/>
        </w:rPr>
        <w:t>邀请</w:t>
      </w:r>
      <w:r w:rsidRPr="001A2AC9">
        <w:rPr>
          <w:rFonts w:eastAsiaTheme="minorEastAsia"/>
          <w:kern w:val="22"/>
          <w:sz w:val="24"/>
          <w:szCs w:val="24"/>
          <w:lang w:eastAsia="zh-CN" w:bidi="th-TH"/>
        </w:rPr>
        <w:t>其他国家政府和相关组织利用这些信息；</w:t>
      </w:r>
    </w:p>
    <w:p w:rsidR="00772406" w:rsidRPr="001A2AC9" w:rsidRDefault="00772406" w:rsidP="001A42F8">
      <w:pPr>
        <w:pStyle w:val="Para1"/>
        <w:numPr>
          <w:ilvl w:val="0"/>
          <w:numId w:val="191"/>
        </w:numPr>
        <w:tabs>
          <w:tab w:val="left" w:pos="1440"/>
        </w:tabs>
        <w:ind w:left="0" w:firstLine="720"/>
        <w:rPr>
          <w:rFonts w:eastAsiaTheme="minorEastAsia"/>
          <w:kern w:val="22"/>
          <w:sz w:val="24"/>
          <w:szCs w:val="24"/>
          <w:lang w:eastAsia="zh-CN" w:bidi="th-TH"/>
        </w:rPr>
      </w:pPr>
      <w:r w:rsidRPr="001A2AC9">
        <w:rPr>
          <w:rStyle w:val="FootnoteTextChar2"/>
          <w:rFonts w:ascii="KaiTi" w:eastAsia="KaiTi" w:hAnsi="KaiTi" w:hint="eastAsia"/>
          <w:lang w:eastAsia="zh-CN"/>
        </w:rPr>
        <w:t>欢迎</w:t>
      </w:r>
      <w:r w:rsidRPr="001A2AC9">
        <w:rPr>
          <w:rFonts w:eastAsiaTheme="minorEastAsia"/>
          <w:kern w:val="22"/>
          <w:sz w:val="24"/>
          <w:szCs w:val="24"/>
          <w:lang w:eastAsia="zh-CN" w:bidi="th-TH"/>
        </w:rPr>
        <w:t>执行秘书通过可持续海洋倡议在国家、区域和全球各级与各缔约方、其他国家政府和相关组织合作促进能力建设和伙伴关系活动，</w:t>
      </w:r>
      <w:r w:rsidRPr="001A2AC9">
        <w:rPr>
          <w:rFonts w:eastAsiaTheme="minorEastAsia"/>
          <w:iCs/>
          <w:color w:val="000000"/>
          <w:kern w:val="22"/>
          <w:sz w:val="24"/>
          <w:szCs w:val="24"/>
          <w:lang w:eastAsia="ja-JP" w:bidi="th-TH"/>
        </w:rPr>
        <w:t>感谢</w:t>
      </w:r>
      <w:r w:rsidRPr="001A2AC9">
        <w:rPr>
          <w:rFonts w:eastAsiaTheme="minorEastAsia"/>
          <w:kern w:val="22"/>
          <w:sz w:val="24"/>
          <w:szCs w:val="24"/>
          <w:lang w:eastAsia="zh-CN" w:bidi="th-TH"/>
        </w:rPr>
        <w:t>日本、法国、大韩民国和瑞典政府以及欧洲联盟和许多其他合作伙伴为在可持续海洋倡议框架内开展能力建设和合作活动提供财政和技术支持，并请执行秘书继续开展这些活动，包括有关养护和可持续利用海洋和沿海生物多样性具体专题的活动</w:t>
      </w:r>
      <w:r w:rsidRPr="001A2AC9">
        <w:rPr>
          <w:rFonts w:eastAsiaTheme="minorEastAsia"/>
          <w:iCs/>
          <w:kern w:val="22"/>
          <w:sz w:val="24"/>
          <w:szCs w:val="24"/>
          <w:lang w:eastAsia="zh-CN" w:bidi="th-TH"/>
        </w:rPr>
        <w:t>；</w:t>
      </w:r>
    </w:p>
    <w:p w:rsidR="00772406" w:rsidRPr="001A2AC9" w:rsidRDefault="00772406" w:rsidP="001A42F8">
      <w:pPr>
        <w:pStyle w:val="Para1"/>
        <w:numPr>
          <w:ilvl w:val="0"/>
          <w:numId w:val="191"/>
        </w:numPr>
        <w:tabs>
          <w:tab w:val="left" w:pos="1440"/>
        </w:tabs>
        <w:ind w:left="0" w:firstLine="720"/>
        <w:rPr>
          <w:rFonts w:eastAsiaTheme="minorEastAsia"/>
          <w:kern w:val="22"/>
          <w:sz w:val="24"/>
          <w:szCs w:val="24"/>
          <w:lang w:eastAsia="zh-CN" w:bidi="th-TH"/>
        </w:rPr>
      </w:pPr>
      <w:r w:rsidRPr="001A2AC9">
        <w:rPr>
          <w:rStyle w:val="FootnoteTextChar2"/>
          <w:rFonts w:ascii="KaiTi" w:eastAsia="KaiTi" w:hAnsi="KaiTi" w:hint="eastAsia"/>
          <w:lang w:eastAsia="zh-CN"/>
        </w:rPr>
        <w:t>又欢迎</w:t>
      </w:r>
      <w:r w:rsidRPr="001A2AC9">
        <w:rPr>
          <w:rFonts w:eastAsiaTheme="minorEastAsia"/>
          <w:kern w:val="22"/>
          <w:sz w:val="24"/>
          <w:szCs w:val="24"/>
          <w:lang w:eastAsia="zh-CN" w:bidi="th-TH"/>
        </w:rPr>
        <w:t>秘书处、</w:t>
      </w:r>
      <w:r w:rsidR="00780033">
        <w:rPr>
          <w:rFonts w:eastAsiaTheme="minorEastAsia"/>
          <w:kern w:val="22"/>
          <w:sz w:val="24"/>
          <w:szCs w:val="24"/>
          <w:lang w:eastAsia="zh-CN" w:bidi="th-TH"/>
        </w:rPr>
        <w:t>联合国环境署</w:t>
      </w:r>
      <w:r w:rsidRPr="001A2AC9">
        <w:rPr>
          <w:rFonts w:eastAsiaTheme="minorEastAsia"/>
          <w:kern w:val="22"/>
          <w:sz w:val="24"/>
          <w:szCs w:val="24"/>
          <w:lang w:eastAsia="zh-CN" w:bidi="th-TH"/>
        </w:rPr>
        <w:t>、联合国粮食及农业组织、各区域海洋公约和行动计划、区域渔业机构、大型海洋生态系统项目</w:t>
      </w:r>
      <w:r w:rsidRPr="001A2AC9">
        <w:rPr>
          <w:rFonts w:eastAsiaTheme="minorEastAsia"/>
          <w:kern w:val="22"/>
          <w:sz w:val="24"/>
          <w:szCs w:val="24"/>
          <w:lang w:eastAsia="zh-CN" w:bidi="th-TH"/>
        </w:rPr>
        <w:t>/</w:t>
      </w:r>
      <w:r w:rsidRPr="001A2AC9">
        <w:rPr>
          <w:rFonts w:eastAsiaTheme="minorEastAsia"/>
          <w:kern w:val="22"/>
          <w:sz w:val="24"/>
          <w:szCs w:val="24"/>
          <w:lang w:eastAsia="zh-CN" w:bidi="th-TH"/>
        </w:rPr>
        <w:t>方案和其他有关的区域倡议协同努力，加强区域规模的跨</w:t>
      </w:r>
      <w:r w:rsidRPr="001A2AC9">
        <w:rPr>
          <w:rFonts w:eastAsiaTheme="minorEastAsia"/>
          <w:sz w:val="24"/>
          <w:szCs w:val="24"/>
          <w:lang w:eastAsia="zh-CN" w:bidi="th-TH"/>
        </w:rPr>
        <w:t>部门</w:t>
      </w:r>
      <w:r w:rsidRPr="001A2AC9">
        <w:rPr>
          <w:rFonts w:eastAsiaTheme="minorEastAsia"/>
          <w:kern w:val="22"/>
          <w:sz w:val="24"/>
          <w:szCs w:val="24"/>
          <w:lang w:eastAsia="zh-CN" w:bidi="th-TH"/>
        </w:rPr>
        <w:t>合作，以便加速实现《爱知生物多样性指标》和相关《可持续发展目标》，其中包括通过同区域海洋组织和区域渔业机构的可持续海洋倡议全球对话，并</w:t>
      </w:r>
      <w:r w:rsidRPr="001A2AC9">
        <w:rPr>
          <w:rFonts w:eastAsiaTheme="minorEastAsia"/>
          <w:iCs/>
          <w:color w:val="000000"/>
          <w:kern w:val="22"/>
          <w:sz w:val="24"/>
          <w:szCs w:val="24"/>
          <w:lang w:eastAsia="ja-JP" w:bidi="th-TH"/>
        </w:rPr>
        <w:t>请</w:t>
      </w:r>
      <w:r w:rsidRPr="001A2AC9">
        <w:rPr>
          <w:rFonts w:eastAsiaTheme="minorEastAsia"/>
          <w:kern w:val="22"/>
          <w:sz w:val="24"/>
          <w:szCs w:val="24"/>
          <w:lang w:eastAsia="zh-CN" w:bidi="th-TH"/>
        </w:rPr>
        <w:t>执行秘书将可持续海洋倡议全球对话第一次和第二次会议的成果转交相关的全球和区域进程，并与各缔约方、其他国家政府、相关组织和捐助方合作，促进实地落实这些成果；</w:t>
      </w:r>
    </w:p>
    <w:p w:rsidR="00772406" w:rsidRPr="001A2AC9" w:rsidRDefault="00772406" w:rsidP="001A42F8">
      <w:pPr>
        <w:pStyle w:val="Para1"/>
        <w:numPr>
          <w:ilvl w:val="0"/>
          <w:numId w:val="191"/>
        </w:numPr>
        <w:tabs>
          <w:tab w:val="left" w:pos="1440"/>
        </w:tabs>
        <w:ind w:left="0" w:firstLine="720"/>
        <w:rPr>
          <w:rFonts w:eastAsiaTheme="minorEastAsia"/>
          <w:kern w:val="22"/>
          <w:sz w:val="24"/>
          <w:szCs w:val="24"/>
          <w:lang w:eastAsia="zh-CN" w:bidi="th-TH"/>
        </w:rPr>
      </w:pPr>
      <w:r w:rsidRPr="001A2AC9">
        <w:rPr>
          <w:rStyle w:val="FootnoteTextChar2"/>
          <w:rFonts w:ascii="KaiTi" w:eastAsia="KaiTi" w:hAnsi="KaiTi" w:hint="eastAsia"/>
          <w:lang w:eastAsia="zh-CN"/>
        </w:rPr>
        <w:t>邀请</w:t>
      </w:r>
      <w:r w:rsidRPr="001A2AC9">
        <w:rPr>
          <w:rFonts w:eastAsiaTheme="minorEastAsia"/>
          <w:sz w:val="24"/>
          <w:szCs w:val="24"/>
          <w:lang w:eastAsia="zh-CN" w:bidi="th-TH"/>
        </w:rPr>
        <w:t>联合国</w:t>
      </w:r>
      <w:r w:rsidRPr="001A2AC9">
        <w:rPr>
          <w:rStyle w:val="FootnoteTextChar2"/>
          <w:rFonts w:eastAsiaTheme="minorEastAsia"/>
          <w:szCs w:val="24"/>
          <w:lang w:eastAsia="zh-CN" w:bidi="th-TH"/>
        </w:rPr>
        <w:t>粮食及农业组织以及各区域渔业机构酌情提供科学信息、经验和吸取的教训，作为对第五版《</w:t>
      </w:r>
      <w:r w:rsidRPr="001A2AC9">
        <w:rPr>
          <w:rStyle w:val="FootnoteTextChar2"/>
          <w:rFonts w:ascii="KaiTi" w:eastAsia="KaiTi" w:hAnsi="KaiTi"/>
          <w:szCs w:val="24"/>
          <w:lang w:eastAsia="zh-CN" w:bidi="th-TH"/>
        </w:rPr>
        <w:t>全球生物多样性展望</w:t>
      </w:r>
      <w:r w:rsidRPr="001A2AC9">
        <w:rPr>
          <w:rStyle w:val="FootnoteTextChar2"/>
          <w:rFonts w:eastAsiaTheme="minorEastAsia"/>
          <w:szCs w:val="24"/>
          <w:lang w:eastAsia="zh-CN" w:bidi="th-TH"/>
        </w:rPr>
        <w:t>》的意见，包括来自</w:t>
      </w:r>
      <w:r w:rsidRPr="001A2AC9">
        <w:rPr>
          <w:rStyle w:val="FootnoteTextChar2"/>
          <w:rFonts w:eastAsiaTheme="minorEastAsia"/>
          <w:szCs w:val="24"/>
          <w:lang w:eastAsia="zh-CN" w:bidi="th-TH"/>
        </w:rPr>
        <w:t>“</w:t>
      </w:r>
      <w:r w:rsidRPr="001A2AC9">
        <w:rPr>
          <w:rStyle w:val="FootnoteTextChar2"/>
          <w:rFonts w:eastAsiaTheme="minorEastAsia"/>
          <w:szCs w:val="24"/>
          <w:lang w:eastAsia="zh-CN" w:bidi="th-TH"/>
        </w:rPr>
        <w:t>负责任渔业行为守则调查问卷</w:t>
      </w:r>
      <w:r w:rsidRPr="001A2AC9">
        <w:rPr>
          <w:rStyle w:val="FootnoteTextChar2"/>
          <w:rFonts w:eastAsiaTheme="minorEastAsia"/>
          <w:szCs w:val="24"/>
          <w:lang w:eastAsia="zh-CN" w:bidi="th-TH"/>
        </w:rPr>
        <w:t>”</w:t>
      </w:r>
      <w:r w:rsidRPr="001A2AC9">
        <w:rPr>
          <w:rStyle w:val="FootnoteTextChar2"/>
          <w:rFonts w:eastAsiaTheme="minorEastAsia"/>
          <w:szCs w:val="24"/>
          <w:lang w:eastAsia="zh-CN" w:bidi="th-TH"/>
        </w:rPr>
        <w:t>的相关报告；</w:t>
      </w:r>
    </w:p>
    <w:p w:rsidR="00772406" w:rsidRPr="001A2AC9" w:rsidRDefault="00772406" w:rsidP="001A42F8">
      <w:pPr>
        <w:pStyle w:val="Para1"/>
        <w:numPr>
          <w:ilvl w:val="0"/>
          <w:numId w:val="191"/>
        </w:numPr>
        <w:tabs>
          <w:tab w:val="left" w:pos="1440"/>
        </w:tabs>
        <w:ind w:left="0" w:firstLine="720"/>
        <w:rPr>
          <w:rFonts w:eastAsiaTheme="minorEastAsia"/>
          <w:kern w:val="22"/>
          <w:sz w:val="24"/>
          <w:szCs w:val="24"/>
          <w:lang w:eastAsia="zh-CN" w:bidi="th-TH"/>
        </w:rPr>
      </w:pPr>
      <w:r w:rsidRPr="001A2AC9">
        <w:rPr>
          <w:rStyle w:val="FootnoteTextChar2"/>
          <w:rFonts w:ascii="KaiTi" w:eastAsia="KaiTi" w:hAnsi="KaiTi" w:hint="eastAsia"/>
          <w:lang w:eastAsia="zh-CN"/>
        </w:rPr>
        <w:t>欢迎</w:t>
      </w:r>
      <w:r w:rsidRPr="001A2AC9">
        <w:rPr>
          <w:rFonts w:eastAsiaTheme="minorEastAsia"/>
          <w:kern w:val="22"/>
          <w:sz w:val="24"/>
          <w:szCs w:val="24"/>
          <w:lang w:eastAsia="zh-CN" w:bidi="th-TH"/>
        </w:rPr>
        <w:t>联合国粮食及农业组织、世界自然保护联盟生态系统管理委员会渔业专家组和秘书处合作，支持和</w:t>
      </w:r>
      <w:r w:rsidRPr="001A2AC9">
        <w:rPr>
          <w:rStyle w:val="FootnoteTextChar2"/>
          <w:rFonts w:eastAsiaTheme="minorEastAsia"/>
          <w:szCs w:val="24"/>
          <w:lang w:eastAsia="zh-CN" w:bidi="th-TH"/>
        </w:rPr>
        <w:t>改进</w:t>
      </w:r>
      <w:r w:rsidRPr="001A2AC9">
        <w:rPr>
          <w:rFonts w:eastAsiaTheme="minorEastAsia"/>
          <w:kern w:val="22"/>
          <w:sz w:val="24"/>
          <w:szCs w:val="24"/>
          <w:lang w:eastAsia="zh-CN" w:bidi="th-TH"/>
        </w:rPr>
        <w:t>关于实现《爱知生物多样性指标》</w:t>
      </w:r>
      <w:r w:rsidRPr="001A2AC9">
        <w:rPr>
          <w:rFonts w:eastAsiaTheme="minorEastAsia"/>
          <w:kern w:val="22"/>
          <w:sz w:val="24"/>
          <w:szCs w:val="24"/>
          <w:lang w:eastAsia="zh-CN" w:bidi="th-TH"/>
        </w:rPr>
        <w:t>6</w:t>
      </w:r>
      <w:r w:rsidRPr="001A2AC9">
        <w:rPr>
          <w:rFonts w:eastAsiaTheme="minorEastAsia"/>
          <w:kern w:val="22"/>
          <w:sz w:val="24"/>
          <w:szCs w:val="24"/>
          <w:lang w:eastAsia="zh-CN" w:bidi="th-TH"/>
        </w:rPr>
        <w:t>的报告，并</w:t>
      </w:r>
      <w:r w:rsidRPr="001A2AC9">
        <w:rPr>
          <w:rFonts w:eastAsiaTheme="minorEastAsia"/>
          <w:iCs/>
          <w:color w:val="000000"/>
          <w:kern w:val="22"/>
          <w:sz w:val="24"/>
          <w:szCs w:val="24"/>
          <w:lang w:eastAsia="ja-JP" w:bidi="th-TH"/>
        </w:rPr>
        <w:t>请</w:t>
      </w:r>
      <w:r w:rsidRPr="001A2AC9">
        <w:rPr>
          <w:rFonts w:eastAsiaTheme="minorEastAsia"/>
          <w:kern w:val="22"/>
          <w:sz w:val="24"/>
          <w:szCs w:val="24"/>
          <w:lang w:eastAsia="zh-CN" w:bidi="th-TH"/>
        </w:rPr>
        <w:t>执行秘书继续进行这项合作。</w:t>
      </w:r>
      <w:r w:rsidRPr="001A2AC9">
        <w:rPr>
          <w:rFonts w:eastAsiaTheme="minorEastAsia"/>
          <w:kern w:val="22"/>
          <w:sz w:val="24"/>
          <w:szCs w:val="24"/>
          <w:lang w:eastAsia="zh-CN" w:bidi="th-TH"/>
        </w:rPr>
        <w:t xml:space="preserve"> </w:t>
      </w:r>
    </w:p>
    <w:p w:rsidR="00772406" w:rsidRDefault="00772406">
      <w:pPr>
        <w:rPr>
          <w:rFonts w:eastAsiaTheme="minorEastAsia"/>
          <w:lang w:val="en-GB" w:eastAsia="zh-CN"/>
        </w:rPr>
      </w:pPr>
      <w:r>
        <w:rPr>
          <w:rFonts w:eastAsiaTheme="minorEastAsia"/>
          <w:lang w:val="en-GB" w:eastAsia="zh-CN"/>
        </w:rPr>
        <w:br w:type="page"/>
      </w:r>
    </w:p>
    <w:p w:rsidR="00772406" w:rsidRPr="002C0C4B" w:rsidRDefault="00772406" w:rsidP="002C0C4B">
      <w:pPr>
        <w:pStyle w:val="Heading1"/>
        <w:spacing w:before="120" w:after="120"/>
        <w:ind w:firstLine="0"/>
        <w:rPr>
          <w:rFonts w:eastAsiaTheme="minorEastAsia" w:cs="Times New Roman"/>
          <w:noProof/>
          <w:kern w:val="22"/>
          <w:sz w:val="24"/>
          <w:lang w:eastAsia="zh-CN"/>
        </w:rPr>
      </w:pPr>
      <w:bookmarkStart w:id="138" w:name="_Toc6243749"/>
      <w:r w:rsidRPr="002C0C4B">
        <w:rPr>
          <w:rFonts w:eastAsiaTheme="minorEastAsia" w:cs="Times New Roman"/>
          <w:noProof/>
          <w:kern w:val="22"/>
          <w:sz w:val="24"/>
          <w:lang w:eastAsia="zh-CN"/>
        </w:rPr>
        <w:lastRenderedPageBreak/>
        <w:t>14/11.</w:t>
      </w:r>
      <w:r w:rsidRPr="002C0C4B">
        <w:rPr>
          <w:rFonts w:eastAsiaTheme="minorEastAsia" w:cs="Times New Roman"/>
          <w:noProof/>
          <w:kern w:val="22"/>
          <w:sz w:val="24"/>
          <w:lang w:eastAsia="zh-CN"/>
        </w:rPr>
        <w:tab/>
        <w:t xml:space="preserve"> </w:t>
      </w:r>
      <w:r w:rsidR="002C0C4B">
        <w:rPr>
          <w:rFonts w:eastAsiaTheme="minorEastAsia" w:cs="Times New Roman"/>
          <w:noProof/>
          <w:kern w:val="22"/>
          <w:sz w:val="24"/>
          <w:lang w:eastAsia="zh-CN"/>
        </w:rPr>
        <w:t xml:space="preserve"> </w:t>
      </w:r>
      <w:r w:rsidRPr="002C0C4B">
        <w:rPr>
          <w:rFonts w:eastAsiaTheme="minorEastAsia" w:cs="Times New Roman"/>
          <w:noProof/>
          <w:kern w:val="22"/>
          <w:sz w:val="24"/>
          <w:lang w:eastAsia="zh-CN"/>
        </w:rPr>
        <w:t>外来入侵物种</w:t>
      </w:r>
      <w:bookmarkEnd w:id="138"/>
    </w:p>
    <w:p w:rsidR="00772406" w:rsidRPr="000551D6" w:rsidRDefault="00772406" w:rsidP="00772406">
      <w:pPr>
        <w:keepNext/>
        <w:spacing w:before="240"/>
        <w:rPr>
          <w:rFonts w:ascii="KaiTi" w:eastAsia="KaiTi" w:hAnsi="KaiTi"/>
          <w:iCs/>
          <w:color w:val="000000"/>
          <w:kern w:val="22"/>
          <w:lang w:val="en-CA" w:eastAsia="ja-JP" w:bidi="th-TH"/>
        </w:rPr>
      </w:pPr>
      <w:r w:rsidRPr="000551D6">
        <w:rPr>
          <w:rFonts w:ascii="KaiTi" w:eastAsia="KaiTi" w:hAnsi="KaiTi" w:cs="SimSun" w:hint="eastAsia"/>
          <w:iCs/>
          <w:color w:val="000000"/>
          <w:kern w:val="22"/>
          <w:lang w:val="en-CA" w:eastAsia="ja-JP" w:bidi="th-TH"/>
        </w:rPr>
        <w:t>缔约</w:t>
      </w:r>
      <w:r w:rsidRPr="000551D6">
        <w:rPr>
          <w:rFonts w:ascii="KaiTi" w:eastAsia="KaiTi" w:hAnsi="KaiTi" w:cs="Batang" w:hint="eastAsia"/>
          <w:iCs/>
          <w:color w:val="000000"/>
          <w:kern w:val="22"/>
          <w:lang w:val="en-CA" w:eastAsia="ja-JP" w:bidi="th-TH"/>
        </w:rPr>
        <w:t>方大</w:t>
      </w:r>
      <w:r w:rsidRPr="000551D6">
        <w:rPr>
          <w:rFonts w:ascii="KaiTi" w:eastAsia="KaiTi" w:hAnsi="KaiTi" w:cs="SimSun" w:hint="eastAsia"/>
          <w:iCs/>
          <w:color w:val="000000"/>
          <w:kern w:val="22"/>
          <w:lang w:val="en-CA" w:eastAsia="ja-JP" w:bidi="th-TH"/>
        </w:rPr>
        <w:t>会</w:t>
      </w:r>
      <w:r w:rsidRPr="000551D6">
        <w:rPr>
          <w:rFonts w:ascii="KaiTi" w:eastAsia="KaiTi" w:hAnsi="KaiTi" w:cs="Batang" w:hint="eastAsia"/>
          <w:iCs/>
          <w:color w:val="000000"/>
          <w:kern w:val="22"/>
          <w:lang w:val="en-CA" w:eastAsia="ja-JP" w:bidi="th-TH"/>
        </w:rPr>
        <w:t>，</w:t>
      </w:r>
    </w:p>
    <w:p w:rsidR="00772406" w:rsidRPr="002C0C4B" w:rsidRDefault="00772406" w:rsidP="002C0C4B">
      <w:pPr>
        <w:adjustRightInd w:val="0"/>
        <w:snapToGrid w:val="0"/>
        <w:rPr>
          <w:rFonts w:eastAsiaTheme="minorEastAsia"/>
          <w:kern w:val="22"/>
          <w:lang w:val="en-CA" w:eastAsia="zh-CN"/>
        </w:rPr>
      </w:pPr>
      <w:r w:rsidRPr="002C0C4B">
        <w:rPr>
          <w:rFonts w:ascii="KaiTi" w:eastAsia="KaiTi" w:hAnsi="KaiTi"/>
          <w:color w:val="000000"/>
          <w:szCs w:val="20"/>
          <w:lang w:val="en-CA" w:eastAsia="zh-CN"/>
        </w:rPr>
        <w:t>认识到</w:t>
      </w:r>
      <w:r w:rsidRPr="002C0C4B">
        <w:rPr>
          <w:rFonts w:eastAsiaTheme="minorEastAsia"/>
          <w:kern w:val="22"/>
          <w:lang w:val="zh-CN" w:eastAsia="zh-CN"/>
        </w:rPr>
        <w:t>外来入侵物种电子商务的增长</w:t>
      </w:r>
      <w:r w:rsidRPr="002C0C4B">
        <w:rPr>
          <w:rFonts w:eastAsiaTheme="minorEastAsia"/>
          <w:kern w:val="22"/>
          <w:lang w:val="en-CA" w:eastAsia="zh-CN"/>
        </w:rPr>
        <w:t>，</w:t>
      </w:r>
      <w:r w:rsidRPr="002C0C4B">
        <w:rPr>
          <w:rFonts w:eastAsiaTheme="minorEastAsia"/>
          <w:kern w:val="22"/>
          <w:lang w:val="zh-CN" w:eastAsia="zh-CN"/>
        </w:rPr>
        <w:t>因此需要合作尽可能降低相关的风险</w:t>
      </w:r>
      <w:r w:rsidRPr="002C0C4B">
        <w:rPr>
          <w:rFonts w:eastAsiaTheme="minorEastAsia"/>
          <w:kern w:val="22"/>
          <w:lang w:val="en-CA" w:eastAsia="zh-CN"/>
        </w:rPr>
        <w:t>，</w:t>
      </w:r>
    </w:p>
    <w:p w:rsidR="00772406" w:rsidRPr="002C0C4B" w:rsidRDefault="00772406" w:rsidP="002C0C4B">
      <w:pPr>
        <w:adjustRightInd w:val="0"/>
        <w:snapToGrid w:val="0"/>
        <w:rPr>
          <w:rFonts w:eastAsiaTheme="minorEastAsia"/>
          <w:kern w:val="22"/>
          <w:lang w:val="zh-CN" w:eastAsia="zh-CN"/>
        </w:rPr>
      </w:pPr>
      <w:r w:rsidRPr="002C0C4B">
        <w:rPr>
          <w:rFonts w:ascii="KaiTi" w:eastAsia="KaiTi" w:hAnsi="KaiTi"/>
          <w:color w:val="000000"/>
          <w:szCs w:val="20"/>
          <w:lang w:val="en-CA" w:eastAsia="zh-CN"/>
        </w:rPr>
        <w:t>又认识到</w:t>
      </w:r>
      <w:r w:rsidRPr="002C0C4B">
        <w:rPr>
          <w:rFonts w:eastAsiaTheme="minorEastAsia"/>
          <w:kern w:val="22"/>
          <w:lang w:val="zh-CN" w:eastAsia="zh-CN"/>
        </w:rPr>
        <w:t>外来入侵物种尤其对湿地和红树林、岛屿和北极地区等脆弱生态系统的生物多样性及其组成部分以及对社会、经济和文化价值，包括对土著人民和地方社区的相关价值</w:t>
      </w:r>
      <w:r w:rsidRPr="002C0C4B">
        <w:rPr>
          <w:rFonts w:eastAsiaTheme="minorEastAsia"/>
          <w:kern w:val="22"/>
          <w:lang w:val="en-CA" w:eastAsia="zh-CN"/>
        </w:rPr>
        <w:t>，</w:t>
      </w:r>
      <w:r w:rsidRPr="002C0C4B">
        <w:rPr>
          <w:rFonts w:eastAsiaTheme="minorEastAsia"/>
          <w:kern w:val="22"/>
          <w:lang w:val="zh-CN" w:eastAsia="zh-CN"/>
        </w:rPr>
        <w:t>产生不利影响，</w:t>
      </w:r>
    </w:p>
    <w:p w:rsidR="00772406" w:rsidRPr="002C0C4B" w:rsidRDefault="00772406" w:rsidP="002C0C4B">
      <w:pPr>
        <w:adjustRightInd w:val="0"/>
        <w:snapToGrid w:val="0"/>
        <w:rPr>
          <w:rFonts w:eastAsiaTheme="minorEastAsia"/>
          <w:kern w:val="22"/>
          <w:lang w:val="en-CA"/>
        </w:rPr>
      </w:pPr>
      <w:r w:rsidRPr="002C0C4B">
        <w:rPr>
          <w:rFonts w:ascii="KaiTi" w:eastAsia="KaiTi" w:hAnsi="KaiTi"/>
          <w:color w:val="000000"/>
          <w:szCs w:val="20"/>
          <w:lang w:val="en-CA" w:eastAsia="zh-CN"/>
        </w:rPr>
        <w:t>回顾</w:t>
      </w:r>
      <w:r w:rsidRPr="002C0C4B">
        <w:rPr>
          <w:rFonts w:eastAsiaTheme="minorEastAsia"/>
          <w:kern w:val="22"/>
          <w:lang w:val="en-CA"/>
        </w:rPr>
        <w:t>第</w:t>
      </w:r>
      <w:r w:rsidRPr="002C0C4B">
        <w:rPr>
          <w:rFonts w:eastAsiaTheme="minorEastAsia"/>
          <w:kern w:val="22"/>
        </w:rPr>
        <w:t>XII/16</w:t>
      </w:r>
      <w:r w:rsidRPr="002C0C4B">
        <w:rPr>
          <w:rFonts w:eastAsiaTheme="minorEastAsia"/>
          <w:kern w:val="22"/>
        </w:rPr>
        <w:t>号决定，</w:t>
      </w:r>
    </w:p>
    <w:p w:rsidR="00772406" w:rsidRPr="002C0C4B" w:rsidRDefault="00772406" w:rsidP="001A42F8">
      <w:pPr>
        <w:numPr>
          <w:ilvl w:val="0"/>
          <w:numId w:val="193"/>
        </w:numPr>
        <w:tabs>
          <w:tab w:val="left" w:pos="1440"/>
        </w:tabs>
        <w:adjustRightInd w:val="0"/>
        <w:snapToGrid w:val="0"/>
        <w:ind w:left="0" w:firstLine="720"/>
        <w:rPr>
          <w:rFonts w:eastAsiaTheme="minorEastAsia"/>
          <w:i/>
          <w:kern w:val="22"/>
          <w:szCs w:val="20"/>
          <w:lang w:val="en-CA" w:eastAsia="zh-CN"/>
        </w:rPr>
      </w:pPr>
      <w:r w:rsidRPr="002C0C4B">
        <w:rPr>
          <w:rFonts w:ascii="KaiTi" w:eastAsia="KaiTi" w:hAnsi="KaiTi"/>
          <w:color w:val="000000"/>
          <w:szCs w:val="20"/>
          <w:lang w:val="en-CA" w:eastAsia="zh-CN"/>
        </w:rPr>
        <w:t>欢迎</w:t>
      </w:r>
      <w:r w:rsidRPr="002C0C4B">
        <w:rPr>
          <w:rFonts w:eastAsiaTheme="minorEastAsia"/>
          <w:kern w:val="22"/>
          <w:szCs w:val="20"/>
          <w:lang w:val="zh-CN" w:eastAsia="zh-CN"/>
        </w:rPr>
        <w:t>生物多样性和生态系统服务政府间科学政策平台全体会议通过的第</w:t>
      </w:r>
      <w:r w:rsidRPr="002C0C4B">
        <w:rPr>
          <w:rFonts w:eastAsiaTheme="minorEastAsia"/>
          <w:kern w:val="22"/>
          <w:szCs w:val="20"/>
          <w:lang w:val="en-CA" w:eastAsia="zh-CN"/>
        </w:rPr>
        <w:t>6/1</w:t>
      </w:r>
      <w:r w:rsidRPr="002C0C4B">
        <w:rPr>
          <w:rFonts w:eastAsiaTheme="minorEastAsia"/>
          <w:kern w:val="22"/>
          <w:szCs w:val="20"/>
          <w:lang w:val="zh-CN" w:eastAsia="zh-CN"/>
        </w:rPr>
        <w:t>号决定</w:t>
      </w:r>
      <w:r w:rsidRPr="002C0C4B">
        <w:rPr>
          <w:rFonts w:eastAsiaTheme="minorEastAsia"/>
          <w:kern w:val="22"/>
          <w:szCs w:val="20"/>
          <w:lang w:val="en-CA" w:eastAsia="zh-CN"/>
        </w:rPr>
        <w:t>，</w:t>
      </w:r>
      <w:r w:rsidRPr="002C0C4B">
        <w:rPr>
          <w:rFonts w:eastAsiaTheme="minorEastAsia"/>
          <w:kern w:val="22"/>
          <w:szCs w:val="20"/>
          <w:lang w:val="zh-CN" w:eastAsia="zh-CN"/>
        </w:rPr>
        <w:t>其中全体会议除其他外，批准对外来入侵物种及其控制办法进行专题评估，同时考虑到爱知生物多样性指标</w:t>
      </w:r>
      <w:r w:rsidRPr="002C0C4B">
        <w:rPr>
          <w:rFonts w:eastAsiaTheme="minorEastAsia"/>
          <w:kern w:val="22"/>
          <w:szCs w:val="20"/>
          <w:lang w:val="zh-CN" w:eastAsia="zh-CN"/>
        </w:rPr>
        <w:t>9</w:t>
      </w:r>
      <w:r w:rsidRPr="002C0C4B">
        <w:rPr>
          <w:rFonts w:eastAsiaTheme="minorEastAsia"/>
          <w:kern w:val="22"/>
          <w:szCs w:val="20"/>
          <w:lang w:val="en-CA" w:eastAsia="zh-CN"/>
        </w:rPr>
        <w:t>；</w:t>
      </w:r>
    </w:p>
    <w:p w:rsidR="00772406" w:rsidRPr="002C0C4B" w:rsidRDefault="00772406" w:rsidP="001A42F8">
      <w:pPr>
        <w:numPr>
          <w:ilvl w:val="0"/>
          <w:numId w:val="193"/>
        </w:numPr>
        <w:tabs>
          <w:tab w:val="left" w:pos="1440"/>
        </w:tabs>
        <w:adjustRightInd w:val="0"/>
        <w:snapToGrid w:val="0"/>
        <w:ind w:left="0" w:firstLine="720"/>
        <w:rPr>
          <w:rFonts w:eastAsiaTheme="minorEastAsia"/>
          <w:i/>
          <w:kern w:val="22"/>
          <w:szCs w:val="20"/>
          <w:lang w:val="en-CA" w:eastAsia="zh-CN"/>
        </w:rPr>
      </w:pPr>
      <w:r w:rsidRPr="002C0C4B">
        <w:rPr>
          <w:rFonts w:ascii="KaiTi" w:eastAsia="KaiTi" w:hAnsi="KaiTi"/>
          <w:color w:val="000000"/>
          <w:szCs w:val="20"/>
          <w:lang w:val="en-CA" w:eastAsia="zh-CN"/>
        </w:rPr>
        <w:t>又欢迎</w:t>
      </w:r>
      <w:r w:rsidRPr="002C0C4B">
        <w:rPr>
          <w:rFonts w:eastAsiaTheme="minorEastAsia"/>
          <w:kern w:val="22"/>
          <w:szCs w:val="20"/>
          <w:lang w:val="zh-CN" w:eastAsia="zh-CN"/>
        </w:rPr>
        <w:t>本决定附件所列避免无意造成的引入与活体物种贸易相关的外来入侵物种的补充</w:t>
      </w:r>
      <w:bookmarkStart w:id="139" w:name="_Hlk518690654"/>
      <w:r w:rsidRPr="002C0C4B">
        <w:rPr>
          <w:rFonts w:eastAsiaTheme="minorEastAsia"/>
          <w:kern w:val="22"/>
          <w:szCs w:val="20"/>
          <w:lang w:val="zh-CN" w:eastAsia="zh-CN"/>
        </w:rPr>
        <w:t>自愿</w:t>
      </w:r>
      <w:bookmarkEnd w:id="139"/>
      <w:r w:rsidRPr="002C0C4B">
        <w:rPr>
          <w:rFonts w:eastAsiaTheme="minorEastAsia"/>
          <w:kern w:val="22"/>
          <w:szCs w:val="20"/>
          <w:lang w:val="zh-CN" w:eastAsia="zh-CN"/>
        </w:rPr>
        <w:t>指导意见</w:t>
      </w:r>
      <w:r w:rsidRPr="002C0C4B">
        <w:rPr>
          <w:rFonts w:eastAsiaTheme="minorEastAsia"/>
          <w:kern w:val="22"/>
          <w:szCs w:val="20"/>
          <w:lang w:val="en-CA" w:eastAsia="zh-CN"/>
        </w:rPr>
        <w:t>；</w:t>
      </w:r>
      <w:r w:rsidRPr="002C0C4B">
        <w:rPr>
          <w:rFonts w:eastAsiaTheme="minorEastAsia"/>
          <w:kern w:val="22"/>
          <w:szCs w:val="20"/>
          <w:lang w:val="en-CA" w:eastAsia="zh-CN"/>
        </w:rPr>
        <w:t xml:space="preserve"> </w:t>
      </w:r>
    </w:p>
    <w:p w:rsidR="00772406" w:rsidRPr="002C0C4B" w:rsidRDefault="00772406" w:rsidP="001A42F8">
      <w:pPr>
        <w:numPr>
          <w:ilvl w:val="0"/>
          <w:numId w:val="193"/>
        </w:numPr>
        <w:tabs>
          <w:tab w:val="left" w:pos="1440"/>
        </w:tabs>
        <w:adjustRightInd w:val="0"/>
        <w:snapToGrid w:val="0"/>
        <w:ind w:left="0" w:firstLine="720"/>
        <w:rPr>
          <w:rFonts w:eastAsiaTheme="minorEastAsia"/>
          <w:i/>
          <w:kern w:val="22"/>
          <w:szCs w:val="20"/>
          <w:lang w:val="en-CA" w:eastAsia="zh-CN"/>
        </w:rPr>
      </w:pPr>
      <w:r w:rsidRPr="002C0C4B">
        <w:rPr>
          <w:rFonts w:ascii="KaiTi" w:eastAsia="KaiTi" w:hAnsi="KaiTi"/>
          <w:color w:val="000000"/>
          <w:szCs w:val="20"/>
          <w:lang w:val="en-CA" w:eastAsia="zh-CN"/>
        </w:rPr>
        <w:t>鼓励</w:t>
      </w:r>
      <w:r w:rsidRPr="002C0C4B">
        <w:rPr>
          <w:rFonts w:eastAsiaTheme="minorEastAsia"/>
          <w:kern w:val="22"/>
          <w:szCs w:val="20"/>
          <w:lang w:val="zh-CN" w:eastAsia="zh-CN"/>
        </w:rPr>
        <w:t>各缔约方并邀请其他国家政府和相关部门和组织利用避免无意造成的引入与活生物体贸易相关的外来入侵物种的补充自愿指导意见</w:t>
      </w:r>
      <w:r w:rsidRPr="002C0C4B">
        <w:rPr>
          <w:rFonts w:eastAsiaTheme="minorEastAsia"/>
          <w:kern w:val="22"/>
          <w:szCs w:val="20"/>
          <w:lang w:val="en-CA" w:eastAsia="zh-CN"/>
        </w:rPr>
        <w:t>；</w:t>
      </w:r>
    </w:p>
    <w:p w:rsidR="00772406" w:rsidRPr="002C0C4B" w:rsidRDefault="00772406" w:rsidP="001A42F8">
      <w:pPr>
        <w:numPr>
          <w:ilvl w:val="0"/>
          <w:numId w:val="193"/>
        </w:numPr>
        <w:tabs>
          <w:tab w:val="left" w:pos="1440"/>
        </w:tabs>
        <w:adjustRightInd w:val="0"/>
        <w:snapToGrid w:val="0"/>
        <w:ind w:left="0" w:firstLine="720"/>
        <w:rPr>
          <w:rFonts w:eastAsiaTheme="minorEastAsia"/>
          <w:kern w:val="22"/>
          <w:szCs w:val="20"/>
          <w:lang w:val="en-CA" w:eastAsia="zh-CN"/>
        </w:rPr>
      </w:pPr>
      <w:r w:rsidRPr="002C0C4B">
        <w:rPr>
          <w:rFonts w:ascii="KaiTi" w:eastAsia="KaiTi" w:hAnsi="KaiTi"/>
          <w:color w:val="000000"/>
          <w:szCs w:val="20"/>
          <w:lang w:val="en-CA" w:eastAsia="zh-CN"/>
        </w:rPr>
        <w:t>表示注意到</w:t>
      </w:r>
      <w:r w:rsidRPr="002C0C4B">
        <w:rPr>
          <w:rFonts w:eastAsiaTheme="minorEastAsia"/>
          <w:kern w:val="22"/>
          <w:szCs w:val="20"/>
          <w:lang w:val="en-CA" w:eastAsia="zh-CN"/>
        </w:rPr>
        <w:t>其他专门专家组织和倡议开展的工作：</w:t>
      </w:r>
    </w:p>
    <w:p w:rsidR="00772406" w:rsidRPr="002C0C4B" w:rsidRDefault="00772406" w:rsidP="001A42F8">
      <w:pPr>
        <w:numPr>
          <w:ilvl w:val="0"/>
          <w:numId w:val="198"/>
        </w:numPr>
        <w:adjustRightInd w:val="0"/>
        <w:snapToGrid w:val="0"/>
        <w:ind w:left="0" w:firstLine="720"/>
        <w:rPr>
          <w:rFonts w:eastAsiaTheme="minorEastAsia"/>
          <w:kern w:val="22"/>
          <w:szCs w:val="20"/>
          <w:lang w:val="en-CA" w:eastAsia="zh-CN"/>
        </w:rPr>
      </w:pPr>
      <w:r w:rsidRPr="002C0C4B">
        <w:rPr>
          <w:rFonts w:eastAsiaTheme="minorEastAsia"/>
          <w:kern w:val="22"/>
          <w:szCs w:val="20"/>
          <w:lang w:val="en-CA" w:eastAsia="zh-CN"/>
        </w:rPr>
        <w:t>2018</w:t>
      </w:r>
      <w:r w:rsidRPr="002C0C4B">
        <w:rPr>
          <w:rFonts w:eastAsiaTheme="minorEastAsia"/>
          <w:kern w:val="22"/>
          <w:szCs w:val="20"/>
          <w:lang w:val="en-CA" w:eastAsia="zh-CN"/>
        </w:rPr>
        <w:t>年</w:t>
      </w:r>
      <w:r w:rsidRPr="002C0C4B">
        <w:rPr>
          <w:rFonts w:eastAsiaTheme="minorEastAsia"/>
          <w:kern w:val="22"/>
          <w:szCs w:val="20"/>
          <w:lang w:val="en-CA" w:eastAsia="zh-CN"/>
        </w:rPr>
        <w:t>11</w:t>
      </w:r>
      <w:r w:rsidRPr="002C0C4B">
        <w:rPr>
          <w:rFonts w:eastAsiaTheme="minorEastAsia"/>
          <w:kern w:val="22"/>
          <w:szCs w:val="20"/>
          <w:lang w:val="en-CA" w:eastAsia="zh-CN"/>
        </w:rPr>
        <w:t>月</w:t>
      </w:r>
      <w:r w:rsidRPr="002C0C4B">
        <w:rPr>
          <w:rFonts w:eastAsiaTheme="minorEastAsia"/>
          <w:kern w:val="22"/>
          <w:szCs w:val="20"/>
          <w:lang w:val="en-CA" w:eastAsia="zh-CN"/>
        </w:rPr>
        <w:t>16</w:t>
      </w:r>
      <w:r w:rsidRPr="002C0C4B">
        <w:rPr>
          <w:rFonts w:eastAsiaTheme="minorEastAsia"/>
          <w:kern w:val="22"/>
          <w:szCs w:val="20"/>
          <w:lang w:val="en-CA" w:eastAsia="zh-CN"/>
        </w:rPr>
        <w:t>日在埃及沙姆沙伊赫举行的全球生物分类倡议论坛的成果，</w:t>
      </w:r>
      <w:r w:rsidRPr="006F1C16">
        <w:rPr>
          <w:rStyle w:val="FootnoteReference"/>
          <w:rFonts w:eastAsiaTheme="minorEastAsia"/>
          <w:kern w:val="22"/>
          <w:sz w:val="24"/>
          <w:szCs w:val="20"/>
          <w:u w:val="none"/>
          <w:vertAlign w:val="superscript"/>
          <w:lang w:val="en-CA"/>
        </w:rPr>
        <w:footnoteReference w:id="175"/>
      </w:r>
      <w:r w:rsidRPr="006F1C16">
        <w:rPr>
          <w:rFonts w:eastAsiaTheme="minorEastAsia"/>
          <w:kern w:val="22"/>
          <w:sz w:val="44"/>
          <w:szCs w:val="20"/>
          <w:lang w:val="en-CA" w:eastAsia="zh-CN"/>
        </w:rPr>
        <w:t xml:space="preserve"> </w:t>
      </w:r>
      <w:r w:rsidRPr="002C0C4B">
        <w:rPr>
          <w:rFonts w:eastAsiaTheme="minorEastAsia"/>
          <w:kern w:val="22"/>
          <w:szCs w:val="20"/>
          <w:lang w:val="en-CA" w:eastAsia="zh-CN"/>
        </w:rPr>
        <w:t>该论坛还讨论了查明外来物种的能力建设需求</w:t>
      </w:r>
      <w:r w:rsidR="002C0C4B">
        <w:rPr>
          <w:rFonts w:asciiTheme="minorEastAsia" w:eastAsiaTheme="minorEastAsia" w:hAnsiTheme="minorEastAsia" w:hint="eastAsia"/>
          <w:kern w:val="22"/>
          <w:szCs w:val="20"/>
          <w:lang w:val="en-CA" w:eastAsia="zh-CN"/>
        </w:rPr>
        <w:t>；</w:t>
      </w:r>
    </w:p>
    <w:p w:rsidR="00772406" w:rsidRPr="002C0C4B" w:rsidRDefault="00772406" w:rsidP="001A42F8">
      <w:pPr>
        <w:numPr>
          <w:ilvl w:val="0"/>
          <w:numId w:val="198"/>
        </w:numPr>
        <w:adjustRightInd w:val="0"/>
        <w:snapToGrid w:val="0"/>
        <w:ind w:left="0" w:firstLine="720"/>
        <w:rPr>
          <w:rFonts w:eastAsiaTheme="minorEastAsia"/>
          <w:kern w:val="22"/>
          <w:szCs w:val="20"/>
          <w:lang w:val="en-CA" w:eastAsia="zh-CN"/>
        </w:rPr>
      </w:pPr>
      <w:r w:rsidRPr="002C0C4B">
        <w:rPr>
          <w:rFonts w:eastAsiaTheme="minorEastAsia"/>
          <w:kern w:val="22"/>
          <w:szCs w:val="20"/>
          <w:lang w:val="en-CA" w:eastAsia="zh-CN"/>
        </w:rPr>
        <w:t>国际自然保护联盟入侵物种专家小组关于应用经典生物控制管理造成环境影响的外来侵入物种的报告；</w:t>
      </w:r>
      <w:r w:rsidRPr="002C0C4B">
        <w:rPr>
          <w:rStyle w:val="FootnoteReference"/>
          <w:rFonts w:eastAsiaTheme="minorEastAsia"/>
          <w:kern w:val="22"/>
          <w:sz w:val="24"/>
          <w:szCs w:val="20"/>
          <w:u w:val="none"/>
          <w:vertAlign w:val="superscript"/>
          <w:lang w:val="en-CA"/>
        </w:rPr>
        <w:footnoteReference w:id="176"/>
      </w:r>
    </w:p>
    <w:p w:rsidR="00772406" w:rsidRPr="002C0C4B" w:rsidRDefault="00772406" w:rsidP="001A42F8">
      <w:pPr>
        <w:numPr>
          <w:ilvl w:val="0"/>
          <w:numId w:val="198"/>
        </w:numPr>
        <w:adjustRightInd w:val="0"/>
        <w:snapToGrid w:val="0"/>
        <w:ind w:left="0" w:firstLine="720"/>
        <w:rPr>
          <w:rFonts w:eastAsiaTheme="minorEastAsia"/>
          <w:kern w:val="22"/>
          <w:szCs w:val="20"/>
          <w:lang w:val="en-CA" w:eastAsia="zh-CN"/>
        </w:rPr>
      </w:pPr>
      <w:r w:rsidRPr="002C0C4B">
        <w:rPr>
          <w:rFonts w:eastAsiaTheme="minorEastAsia"/>
          <w:kern w:val="22"/>
          <w:szCs w:val="20"/>
          <w:lang w:val="en-CA" w:eastAsia="zh-CN"/>
        </w:rPr>
        <w:t>全球外来入侵物种信息伙伴关系建立的全球引进和入侵物种登记册；</w:t>
      </w:r>
    </w:p>
    <w:p w:rsidR="00772406" w:rsidRPr="002C0C4B" w:rsidRDefault="00772406" w:rsidP="001A42F8">
      <w:pPr>
        <w:numPr>
          <w:ilvl w:val="0"/>
          <w:numId w:val="193"/>
        </w:numPr>
        <w:tabs>
          <w:tab w:val="left" w:pos="1440"/>
        </w:tabs>
        <w:adjustRightInd w:val="0"/>
        <w:snapToGrid w:val="0"/>
        <w:ind w:left="0" w:firstLine="720"/>
        <w:rPr>
          <w:rFonts w:eastAsiaTheme="minorEastAsia"/>
          <w:i/>
          <w:kern w:val="22"/>
          <w:szCs w:val="20"/>
          <w:lang w:val="en-CA" w:eastAsia="zh-CN"/>
        </w:rPr>
      </w:pPr>
      <w:r w:rsidRPr="002C0C4B">
        <w:rPr>
          <w:rFonts w:ascii="KaiTi" w:eastAsia="KaiTi" w:hAnsi="KaiTi"/>
          <w:color w:val="000000"/>
          <w:szCs w:val="20"/>
          <w:lang w:val="en-CA" w:eastAsia="zh-CN"/>
        </w:rPr>
        <w:t>决定</w:t>
      </w:r>
      <w:r w:rsidRPr="002C0C4B">
        <w:rPr>
          <w:rFonts w:eastAsiaTheme="minorEastAsia"/>
          <w:kern w:val="22"/>
          <w:szCs w:val="20"/>
          <w:lang w:val="zh-CN" w:eastAsia="zh-CN"/>
        </w:rPr>
        <w:t>在资源允许的情况下</w:t>
      </w:r>
      <w:r w:rsidRPr="002C0C4B">
        <w:rPr>
          <w:rFonts w:eastAsiaTheme="minorEastAsia"/>
          <w:kern w:val="22"/>
          <w:szCs w:val="20"/>
          <w:lang w:val="en-CA" w:eastAsia="zh-CN"/>
        </w:rPr>
        <w:t>，</w:t>
      </w:r>
      <w:r w:rsidRPr="002C0C4B">
        <w:rPr>
          <w:rFonts w:eastAsiaTheme="minorEastAsia"/>
          <w:kern w:val="22"/>
          <w:szCs w:val="20"/>
          <w:lang w:val="zh-CN" w:eastAsia="zh-CN"/>
        </w:rPr>
        <w:t>设立一特设技术专家组</w:t>
      </w:r>
      <w:r w:rsidRPr="002C0C4B">
        <w:rPr>
          <w:rFonts w:eastAsiaTheme="minorEastAsia"/>
          <w:kern w:val="22"/>
          <w:szCs w:val="20"/>
          <w:lang w:val="en-CA" w:eastAsia="zh-CN"/>
        </w:rPr>
        <w:t>，</w:t>
      </w:r>
      <w:r w:rsidRPr="002C0C4B">
        <w:rPr>
          <w:rFonts w:eastAsiaTheme="minorEastAsia"/>
          <w:kern w:val="22"/>
          <w:szCs w:val="20"/>
          <w:lang w:val="zh-CN" w:eastAsia="zh-CN"/>
        </w:rPr>
        <w:t>其任务范围载于本决定附件二</w:t>
      </w:r>
      <w:r w:rsidRPr="002C0C4B">
        <w:rPr>
          <w:rFonts w:eastAsiaTheme="minorEastAsia"/>
          <w:kern w:val="22"/>
          <w:szCs w:val="20"/>
          <w:lang w:val="en-CA" w:eastAsia="zh-CN"/>
        </w:rPr>
        <w:t>，</w:t>
      </w:r>
      <w:r w:rsidRPr="002C0C4B">
        <w:rPr>
          <w:rFonts w:eastAsiaTheme="minorEastAsia"/>
          <w:kern w:val="22"/>
          <w:szCs w:val="20"/>
          <w:lang w:val="zh-CN" w:eastAsia="zh-CN"/>
        </w:rPr>
        <w:t>专家组将根据需要举行会议</w:t>
      </w:r>
      <w:r w:rsidRPr="002C0C4B">
        <w:rPr>
          <w:rFonts w:eastAsiaTheme="minorEastAsia"/>
          <w:kern w:val="22"/>
          <w:szCs w:val="20"/>
          <w:lang w:val="en-CA" w:eastAsia="zh-CN"/>
        </w:rPr>
        <w:t>，</w:t>
      </w:r>
      <w:r w:rsidRPr="002C0C4B">
        <w:rPr>
          <w:rFonts w:eastAsiaTheme="minorEastAsia"/>
          <w:kern w:val="22"/>
          <w:szCs w:val="20"/>
          <w:lang w:val="zh-CN" w:eastAsia="zh-CN"/>
        </w:rPr>
        <w:t>确保及时对实现爱知生物多样性指标</w:t>
      </w:r>
      <w:r w:rsidRPr="002C0C4B">
        <w:rPr>
          <w:rFonts w:eastAsiaTheme="minorEastAsia"/>
          <w:kern w:val="22"/>
          <w:szCs w:val="20"/>
          <w:lang w:val="en-CA" w:eastAsia="zh-CN"/>
        </w:rPr>
        <w:t>9</w:t>
      </w:r>
      <w:r w:rsidRPr="002C0C4B">
        <w:rPr>
          <w:rFonts w:eastAsiaTheme="minorEastAsia"/>
          <w:kern w:val="22"/>
          <w:szCs w:val="20"/>
          <w:lang w:val="zh-CN" w:eastAsia="zh-CN"/>
        </w:rPr>
        <w:t>提供咨询意见</w:t>
      </w:r>
      <w:r w:rsidRPr="002C0C4B">
        <w:rPr>
          <w:rFonts w:eastAsiaTheme="minorEastAsia"/>
          <w:kern w:val="22"/>
          <w:szCs w:val="20"/>
          <w:lang w:val="en-CA" w:eastAsia="zh-CN"/>
        </w:rPr>
        <w:t>，</w:t>
      </w:r>
      <w:r w:rsidRPr="002C0C4B">
        <w:rPr>
          <w:rFonts w:eastAsiaTheme="minorEastAsia"/>
          <w:kern w:val="22"/>
          <w:szCs w:val="20"/>
          <w:lang w:val="zh-CN" w:eastAsia="zh-CN"/>
        </w:rPr>
        <w:t>并在可能的情况下</w:t>
      </w:r>
      <w:r w:rsidRPr="002C0C4B">
        <w:rPr>
          <w:rFonts w:eastAsiaTheme="minorEastAsia"/>
          <w:kern w:val="22"/>
          <w:szCs w:val="20"/>
          <w:lang w:val="en-CA" w:eastAsia="zh-CN"/>
        </w:rPr>
        <w:t>，</w:t>
      </w:r>
      <w:r w:rsidRPr="002C0C4B">
        <w:rPr>
          <w:rFonts w:eastAsiaTheme="minorEastAsia"/>
          <w:kern w:val="22"/>
          <w:szCs w:val="20"/>
          <w:lang w:val="zh-CN" w:eastAsia="zh-CN"/>
        </w:rPr>
        <w:t>与其他相关会议前后相衔接地举行会议，并请执行秘书召集一个有人主持的公开在线讨论论坛</w:t>
      </w:r>
      <w:r w:rsidRPr="002C0C4B">
        <w:rPr>
          <w:rFonts w:eastAsiaTheme="minorEastAsia"/>
          <w:kern w:val="22"/>
          <w:szCs w:val="20"/>
          <w:lang w:val="en-CA" w:eastAsia="zh-CN"/>
        </w:rPr>
        <w:t>，支持</w:t>
      </w:r>
      <w:r w:rsidRPr="002C0C4B">
        <w:rPr>
          <w:rFonts w:eastAsiaTheme="minorEastAsia"/>
          <w:kern w:val="22"/>
          <w:szCs w:val="20"/>
          <w:lang w:val="zh-CN" w:eastAsia="zh-CN"/>
        </w:rPr>
        <w:t>特设技术专家组的讨论</w:t>
      </w:r>
      <w:r w:rsidRPr="002C0C4B">
        <w:rPr>
          <w:rFonts w:eastAsiaTheme="minorEastAsia"/>
          <w:kern w:val="22"/>
          <w:szCs w:val="20"/>
          <w:lang w:val="en-CA" w:eastAsia="zh-CN"/>
        </w:rPr>
        <w:t>；</w:t>
      </w:r>
      <w:r w:rsidRPr="002C0C4B">
        <w:rPr>
          <w:rFonts w:eastAsiaTheme="minorEastAsia"/>
          <w:kern w:val="22"/>
          <w:szCs w:val="20"/>
          <w:lang w:val="en-CA" w:eastAsia="zh-CN"/>
        </w:rPr>
        <w:t xml:space="preserve"> </w:t>
      </w:r>
    </w:p>
    <w:p w:rsidR="00772406" w:rsidRPr="002C0C4B" w:rsidRDefault="00772406" w:rsidP="001A42F8">
      <w:pPr>
        <w:numPr>
          <w:ilvl w:val="0"/>
          <w:numId w:val="193"/>
        </w:numPr>
        <w:tabs>
          <w:tab w:val="left" w:pos="1440"/>
        </w:tabs>
        <w:adjustRightInd w:val="0"/>
        <w:snapToGrid w:val="0"/>
        <w:ind w:left="0" w:firstLine="720"/>
        <w:rPr>
          <w:rFonts w:eastAsiaTheme="minorEastAsia"/>
          <w:i/>
          <w:color w:val="000000"/>
          <w:kern w:val="22"/>
          <w:szCs w:val="20"/>
          <w:lang w:val="en-CA" w:eastAsia="zh-CN"/>
        </w:rPr>
      </w:pPr>
      <w:r w:rsidRPr="002C0C4B">
        <w:rPr>
          <w:rFonts w:ascii="KaiTi" w:eastAsia="KaiTi" w:hAnsi="KaiTi"/>
          <w:color w:val="000000"/>
          <w:szCs w:val="20"/>
          <w:lang w:val="en-CA" w:eastAsia="zh-CN"/>
        </w:rPr>
        <w:t>请</w:t>
      </w:r>
      <w:r w:rsidRPr="002C0C4B">
        <w:rPr>
          <w:rFonts w:eastAsiaTheme="minorEastAsia"/>
          <w:kern w:val="22"/>
          <w:szCs w:val="20"/>
          <w:lang w:val="zh-CN" w:eastAsia="zh-CN"/>
        </w:rPr>
        <w:t>科学、技术和工艺咨询附属机构在缔约方大会第十五届会议之前举行的一次会议上审议在线论坛和特设技术专家组的成果</w:t>
      </w:r>
      <w:r w:rsidRPr="002C0C4B">
        <w:rPr>
          <w:rFonts w:eastAsiaTheme="minorEastAsia"/>
          <w:kern w:val="22"/>
          <w:szCs w:val="20"/>
          <w:lang w:val="en-CA" w:eastAsia="zh-CN"/>
        </w:rPr>
        <w:t>；</w:t>
      </w:r>
    </w:p>
    <w:p w:rsidR="00772406" w:rsidRPr="002C0C4B" w:rsidRDefault="00772406" w:rsidP="001A42F8">
      <w:pPr>
        <w:numPr>
          <w:ilvl w:val="0"/>
          <w:numId w:val="193"/>
        </w:numPr>
        <w:tabs>
          <w:tab w:val="left" w:pos="1440"/>
        </w:tabs>
        <w:adjustRightInd w:val="0"/>
        <w:snapToGrid w:val="0"/>
        <w:ind w:left="0" w:firstLine="720"/>
        <w:rPr>
          <w:rFonts w:eastAsiaTheme="minorEastAsia"/>
          <w:i/>
          <w:kern w:val="22"/>
          <w:szCs w:val="20"/>
          <w:lang w:val="en-CA" w:eastAsia="zh-CN"/>
        </w:rPr>
      </w:pPr>
      <w:r w:rsidRPr="002C0C4B">
        <w:rPr>
          <w:rFonts w:ascii="KaiTi" w:eastAsia="KaiTi" w:hAnsi="KaiTi"/>
          <w:color w:val="000000"/>
          <w:szCs w:val="20"/>
          <w:lang w:val="en-CA" w:eastAsia="zh-CN"/>
        </w:rPr>
        <w:lastRenderedPageBreak/>
        <w:t>鼓励</w:t>
      </w:r>
      <w:r w:rsidRPr="002C0C4B">
        <w:rPr>
          <w:rFonts w:eastAsiaTheme="minorEastAsia"/>
          <w:kern w:val="22"/>
          <w:szCs w:val="20"/>
          <w:lang w:val="zh-CN" w:eastAsia="zh-CN"/>
        </w:rPr>
        <w:t>各缔约方并邀请其他国家政府通过信息交换所机制或其他等效手段分享与外来入侵物种有关的国家法规、技术指南、最佳做法以及关于外来入侵物种的区域法规和清单的信息</w:t>
      </w:r>
      <w:r w:rsidRPr="002C0C4B">
        <w:rPr>
          <w:rFonts w:eastAsiaTheme="minorEastAsia"/>
          <w:kern w:val="22"/>
          <w:szCs w:val="20"/>
          <w:lang w:val="en-CA" w:eastAsia="zh-CN"/>
        </w:rPr>
        <w:t>；</w:t>
      </w:r>
    </w:p>
    <w:p w:rsidR="00772406" w:rsidRPr="002C0C4B" w:rsidRDefault="00772406" w:rsidP="001A42F8">
      <w:pPr>
        <w:numPr>
          <w:ilvl w:val="0"/>
          <w:numId w:val="193"/>
        </w:numPr>
        <w:tabs>
          <w:tab w:val="left" w:pos="1440"/>
        </w:tabs>
        <w:adjustRightInd w:val="0"/>
        <w:snapToGrid w:val="0"/>
        <w:ind w:left="0" w:firstLine="720"/>
        <w:rPr>
          <w:rFonts w:eastAsiaTheme="minorEastAsia"/>
          <w:i/>
          <w:kern w:val="22"/>
          <w:szCs w:val="20"/>
          <w:lang w:val="en-CA" w:eastAsia="zh-CN"/>
        </w:rPr>
      </w:pPr>
      <w:r w:rsidRPr="002C0C4B">
        <w:rPr>
          <w:rFonts w:ascii="KaiTi" w:eastAsia="KaiTi" w:hAnsi="KaiTi"/>
          <w:color w:val="000000"/>
          <w:szCs w:val="20"/>
          <w:lang w:val="en-CA" w:eastAsia="zh-CN"/>
        </w:rPr>
        <w:t>鼓励</w:t>
      </w:r>
      <w:r w:rsidRPr="002C0C4B">
        <w:rPr>
          <w:rFonts w:eastAsiaTheme="minorEastAsia"/>
          <w:kern w:val="22"/>
          <w:szCs w:val="20"/>
          <w:lang w:val="zh-CN" w:eastAsia="zh-CN"/>
        </w:rPr>
        <w:t>各缔约方并邀请其他国家政府和相关组织同企业部门合作应对外来入侵物种问题</w:t>
      </w:r>
      <w:r w:rsidRPr="002C0C4B">
        <w:rPr>
          <w:rFonts w:eastAsiaTheme="minorEastAsia"/>
          <w:kern w:val="22"/>
          <w:szCs w:val="20"/>
          <w:lang w:val="en-CA" w:eastAsia="zh-CN"/>
        </w:rPr>
        <w:t>，并</w:t>
      </w:r>
      <w:r w:rsidRPr="002C0C4B">
        <w:rPr>
          <w:rFonts w:eastAsiaTheme="minorEastAsia"/>
          <w:kern w:val="22"/>
          <w:szCs w:val="20"/>
          <w:lang w:val="zh-CN" w:eastAsia="zh-CN"/>
        </w:rPr>
        <w:t>邀请其探索促进实现爱知生物多样性指标</w:t>
      </w:r>
      <w:r w:rsidRPr="002C0C4B">
        <w:rPr>
          <w:rFonts w:eastAsiaTheme="minorEastAsia"/>
          <w:kern w:val="22"/>
          <w:szCs w:val="20"/>
          <w:lang w:val="en-CA" w:eastAsia="zh-CN"/>
        </w:rPr>
        <w:t>9</w:t>
      </w:r>
      <w:r w:rsidRPr="002C0C4B">
        <w:rPr>
          <w:rFonts w:eastAsiaTheme="minorEastAsia"/>
          <w:kern w:val="22"/>
          <w:szCs w:val="20"/>
          <w:lang w:val="zh-CN" w:eastAsia="zh-CN"/>
        </w:rPr>
        <w:t>的活动的机会，特别是在财政支持和技术合作以及外来入侵物种的宣传、教育和提高公众意识方面；</w:t>
      </w:r>
    </w:p>
    <w:p w:rsidR="00772406" w:rsidRPr="002C0C4B" w:rsidRDefault="00772406" w:rsidP="001A42F8">
      <w:pPr>
        <w:numPr>
          <w:ilvl w:val="0"/>
          <w:numId w:val="193"/>
        </w:numPr>
        <w:tabs>
          <w:tab w:val="left" w:pos="1440"/>
        </w:tabs>
        <w:adjustRightInd w:val="0"/>
        <w:snapToGrid w:val="0"/>
        <w:ind w:left="0" w:firstLine="720"/>
        <w:rPr>
          <w:rFonts w:eastAsiaTheme="minorEastAsia"/>
          <w:kern w:val="22"/>
          <w:szCs w:val="20"/>
          <w:lang w:val="en-CA" w:eastAsia="zh-CN"/>
        </w:rPr>
      </w:pPr>
      <w:r w:rsidRPr="002C0C4B">
        <w:rPr>
          <w:rFonts w:ascii="KaiTi" w:eastAsia="KaiTi" w:hAnsi="KaiTi"/>
          <w:color w:val="000000"/>
          <w:szCs w:val="20"/>
          <w:lang w:val="en-CA" w:eastAsia="zh-CN"/>
        </w:rPr>
        <w:t>鼓励</w:t>
      </w:r>
      <w:r w:rsidRPr="002C0C4B">
        <w:rPr>
          <w:rFonts w:eastAsiaTheme="minorEastAsia"/>
          <w:kern w:val="22"/>
          <w:szCs w:val="20"/>
          <w:lang w:val="zh-CN" w:eastAsia="zh-CN"/>
        </w:rPr>
        <w:t>各缔约方并邀请其他国家政府和相关专家组织酌情和根据国家能力，促进数据调动</w:t>
      </w:r>
      <w:r w:rsidRPr="002C0C4B">
        <w:rPr>
          <w:rFonts w:eastAsiaTheme="minorEastAsia"/>
          <w:kern w:val="22"/>
          <w:szCs w:val="20"/>
          <w:lang w:val="en-CA" w:eastAsia="zh-CN"/>
        </w:rPr>
        <w:t>，</w:t>
      </w:r>
      <w:r w:rsidRPr="002C0C4B">
        <w:rPr>
          <w:rFonts w:eastAsiaTheme="minorEastAsia"/>
          <w:kern w:val="22"/>
          <w:szCs w:val="20"/>
          <w:lang w:val="zh-CN" w:eastAsia="zh-CN"/>
        </w:rPr>
        <w:t>例如通过全球外来入侵物种信息伙伴关系开发的全球引进和入侵物种登记册</w:t>
      </w:r>
      <w:r w:rsidRPr="002C0C4B">
        <w:rPr>
          <w:rFonts w:eastAsiaTheme="minorEastAsia"/>
          <w:kern w:val="22"/>
          <w:szCs w:val="20"/>
          <w:lang w:val="en-CA" w:eastAsia="zh-CN"/>
        </w:rPr>
        <w:t>，以及</w:t>
      </w:r>
      <w:r w:rsidRPr="002C0C4B">
        <w:rPr>
          <w:rFonts w:eastAsiaTheme="minorEastAsia"/>
          <w:kern w:val="22"/>
          <w:szCs w:val="20"/>
          <w:lang w:val="zh-CN" w:eastAsia="zh-CN"/>
        </w:rPr>
        <w:t>支持国际自然保护联盟编制外来物种环境影响分类</w:t>
      </w:r>
      <w:r w:rsidRPr="002C0C4B">
        <w:rPr>
          <w:rFonts w:eastAsiaTheme="minorEastAsia"/>
          <w:kern w:val="22"/>
          <w:szCs w:val="20"/>
          <w:lang w:val="en-CA" w:eastAsia="zh-CN"/>
        </w:rPr>
        <w:t>；</w:t>
      </w:r>
    </w:p>
    <w:p w:rsidR="00772406" w:rsidRPr="002C0C4B" w:rsidRDefault="00772406" w:rsidP="001A42F8">
      <w:pPr>
        <w:numPr>
          <w:ilvl w:val="0"/>
          <w:numId w:val="193"/>
        </w:numPr>
        <w:tabs>
          <w:tab w:val="left" w:pos="1440"/>
        </w:tabs>
        <w:adjustRightInd w:val="0"/>
        <w:snapToGrid w:val="0"/>
        <w:ind w:left="0" w:firstLine="720"/>
        <w:rPr>
          <w:rFonts w:eastAsiaTheme="minorEastAsia"/>
          <w:kern w:val="22"/>
          <w:szCs w:val="20"/>
          <w:lang w:val="en-CA" w:eastAsia="zh-CN"/>
        </w:rPr>
      </w:pPr>
      <w:r w:rsidRPr="002C0C4B">
        <w:rPr>
          <w:rFonts w:ascii="KaiTi" w:eastAsia="KaiTi" w:hAnsi="KaiTi"/>
          <w:color w:val="000000"/>
          <w:szCs w:val="20"/>
          <w:lang w:val="en-CA" w:eastAsia="zh-CN"/>
        </w:rPr>
        <w:t>敦促</w:t>
      </w:r>
      <w:r w:rsidRPr="002C0C4B">
        <w:rPr>
          <w:rFonts w:eastAsiaTheme="minorEastAsia"/>
          <w:kern w:val="22"/>
          <w:szCs w:val="20"/>
          <w:lang w:val="en-CA" w:eastAsia="zh-CN"/>
        </w:rPr>
        <w:t>各缔约方和其他国家政府与国家和区域一级海关、边境管制、卫生和</w:t>
      </w:r>
      <w:r w:rsidRPr="002C0C4B">
        <w:rPr>
          <w:rFonts w:eastAsiaTheme="minorEastAsia"/>
          <w:kern w:val="22"/>
          <w:szCs w:val="20"/>
          <w:lang w:val="zh-CN" w:eastAsia="zh-CN"/>
        </w:rPr>
        <w:t>植物检疫</w:t>
      </w:r>
      <w:r w:rsidRPr="002C0C4B">
        <w:rPr>
          <w:rFonts w:eastAsiaTheme="minorEastAsia"/>
          <w:kern w:val="22"/>
          <w:szCs w:val="20"/>
          <w:lang w:val="en-CA" w:eastAsia="zh-CN"/>
        </w:rPr>
        <w:t>当局以及其他有关主管机构进行协调，防止无意中引进与活生物体贸易相关的外来入侵物种；</w:t>
      </w:r>
    </w:p>
    <w:p w:rsidR="00772406" w:rsidRPr="002C0C4B" w:rsidRDefault="00772406" w:rsidP="001A42F8">
      <w:pPr>
        <w:numPr>
          <w:ilvl w:val="0"/>
          <w:numId w:val="193"/>
        </w:numPr>
        <w:adjustRightInd w:val="0"/>
        <w:snapToGrid w:val="0"/>
        <w:ind w:left="0" w:firstLine="720"/>
        <w:rPr>
          <w:rFonts w:eastAsiaTheme="minorEastAsia"/>
          <w:kern w:val="22"/>
          <w:szCs w:val="20"/>
          <w:lang w:val="en-CA" w:eastAsia="zh-CN"/>
        </w:rPr>
      </w:pPr>
      <w:r w:rsidRPr="002C0C4B">
        <w:rPr>
          <w:rFonts w:ascii="KaiTi" w:eastAsia="KaiTi" w:hAnsi="KaiTi"/>
          <w:color w:val="000000"/>
          <w:szCs w:val="20"/>
          <w:lang w:val="en-CA" w:eastAsia="zh-CN"/>
        </w:rPr>
        <w:t>鼓励</w:t>
      </w:r>
      <w:r w:rsidRPr="002C0C4B">
        <w:rPr>
          <w:rFonts w:eastAsiaTheme="minorEastAsia"/>
          <w:kern w:val="22"/>
          <w:szCs w:val="20"/>
          <w:lang w:val="en-CA" w:eastAsia="zh-CN"/>
        </w:rPr>
        <w:t>各缔约方并邀请其他国家政府：</w:t>
      </w:r>
    </w:p>
    <w:p w:rsidR="00772406" w:rsidRPr="002C0C4B" w:rsidRDefault="00772406" w:rsidP="001A42F8">
      <w:pPr>
        <w:numPr>
          <w:ilvl w:val="0"/>
          <w:numId w:val="199"/>
        </w:numPr>
        <w:adjustRightInd w:val="0"/>
        <w:snapToGrid w:val="0"/>
        <w:ind w:left="0" w:firstLine="720"/>
        <w:rPr>
          <w:rFonts w:eastAsiaTheme="minorEastAsia"/>
          <w:kern w:val="22"/>
          <w:szCs w:val="20"/>
          <w:lang w:val="en-CA" w:eastAsia="zh-CN"/>
        </w:rPr>
      </w:pPr>
      <w:r w:rsidRPr="002C0C4B">
        <w:rPr>
          <w:rFonts w:eastAsiaTheme="minorEastAsia"/>
          <w:kern w:val="22"/>
          <w:szCs w:val="20"/>
          <w:lang w:val="en-CA" w:eastAsia="zh-CN"/>
        </w:rPr>
        <w:t>根据风险分析结果酌情制定和分享受管制外来入侵物种清单</w:t>
      </w:r>
      <w:r w:rsidRPr="002C0C4B">
        <w:rPr>
          <w:rFonts w:eastAsiaTheme="minorEastAsia"/>
          <w:kern w:val="22"/>
          <w:szCs w:val="20"/>
          <w:lang w:val="en-CA" w:eastAsia="zh-CN"/>
        </w:rPr>
        <w:t>;</w:t>
      </w:r>
    </w:p>
    <w:p w:rsidR="00772406" w:rsidRPr="002C0C4B" w:rsidRDefault="00772406" w:rsidP="001A42F8">
      <w:pPr>
        <w:numPr>
          <w:ilvl w:val="0"/>
          <w:numId w:val="199"/>
        </w:numPr>
        <w:adjustRightInd w:val="0"/>
        <w:snapToGrid w:val="0"/>
        <w:ind w:left="0" w:firstLine="720"/>
        <w:rPr>
          <w:rFonts w:eastAsiaTheme="minorEastAsia"/>
          <w:kern w:val="22"/>
          <w:szCs w:val="20"/>
          <w:lang w:val="en-CA" w:eastAsia="zh-CN"/>
        </w:rPr>
      </w:pPr>
      <w:r w:rsidRPr="002C0C4B">
        <w:rPr>
          <w:rFonts w:eastAsiaTheme="minorEastAsia"/>
          <w:kern w:val="22"/>
          <w:szCs w:val="20"/>
          <w:lang w:val="en-CA" w:eastAsia="zh-CN"/>
        </w:rPr>
        <w:t>分享重要保护区外来入侵物种的发生信息</w:t>
      </w:r>
      <w:r w:rsidRPr="002C0C4B">
        <w:rPr>
          <w:rFonts w:eastAsiaTheme="minorEastAsia"/>
          <w:kern w:val="22"/>
          <w:szCs w:val="20"/>
          <w:lang w:val="en-CA" w:eastAsia="zh-CN"/>
        </w:rPr>
        <w:t>;</w:t>
      </w:r>
    </w:p>
    <w:p w:rsidR="00772406" w:rsidRPr="002C0C4B" w:rsidRDefault="00772406" w:rsidP="001A42F8">
      <w:pPr>
        <w:numPr>
          <w:ilvl w:val="0"/>
          <w:numId w:val="199"/>
        </w:numPr>
        <w:adjustRightInd w:val="0"/>
        <w:snapToGrid w:val="0"/>
        <w:ind w:left="0" w:firstLine="720"/>
        <w:rPr>
          <w:rFonts w:eastAsiaTheme="minorEastAsia"/>
          <w:kern w:val="22"/>
          <w:szCs w:val="20"/>
          <w:lang w:val="en-CA" w:eastAsia="zh-CN"/>
        </w:rPr>
      </w:pPr>
      <w:r w:rsidRPr="002C0C4B">
        <w:rPr>
          <w:rFonts w:eastAsiaTheme="minorEastAsia"/>
          <w:kern w:val="22"/>
          <w:szCs w:val="20"/>
          <w:lang w:val="en-CA" w:eastAsia="zh-CN"/>
        </w:rPr>
        <w:t>合作防止问题物种的再次引进和传播</w:t>
      </w:r>
      <w:r w:rsidRPr="002C0C4B">
        <w:rPr>
          <w:rFonts w:eastAsiaTheme="minorEastAsia"/>
          <w:kern w:val="22"/>
          <w:szCs w:val="20"/>
          <w:lang w:val="en-CA" w:eastAsia="zh-CN"/>
        </w:rPr>
        <w:t>;</w:t>
      </w:r>
    </w:p>
    <w:p w:rsidR="00772406" w:rsidRPr="002C0C4B" w:rsidRDefault="00772406" w:rsidP="001A42F8">
      <w:pPr>
        <w:numPr>
          <w:ilvl w:val="0"/>
          <w:numId w:val="193"/>
        </w:numPr>
        <w:adjustRightInd w:val="0"/>
        <w:snapToGrid w:val="0"/>
        <w:ind w:left="0" w:firstLine="720"/>
        <w:rPr>
          <w:rFonts w:eastAsiaTheme="minorEastAsia"/>
          <w:i/>
          <w:spacing w:val="-1"/>
          <w:kern w:val="22"/>
          <w:szCs w:val="20"/>
          <w:lang w:val="en-CA" w:eastAsia="zh-CN"/>
        </w:rPr>
      </w:pPr>
      <w:r w:rsidRPr="002C0C4B">
        <w:rPr>
          <w:rFonts w:ascii="KaiTi" w:eastAsia="KaiTi" w:hAnsi="KaiTi"/>
          <w:color w:val="000000"/>
          <w:szCs w:val="20"/>
          <w:lang w:val="en-CA" w:eastAsia="zh-CN"/>
        </w:rPr>
        <w:t>确认</w:t>
      </w:r>
      <w:r w:rsidRPr="002C0C4B">
        <w:rPr>
          <w:rFonts w:eastAsiaTheme="minorEastAsia"/>
          <w:szCs w:val="20"/>
          <w:lang w:val="zh-CN" w:eastAsia="zh-CN"/>
        </w:rPr>
        <w:t>必须进一步致力于外来入侵物种对土著人民和地方社区的社会、经济和文化价值的影响</w:t>
      </w:r>
      <w:r w:rsidRPr="002C0C4B">
        <w:rPr>
          <w:rFonts w:eastAsiaTheme="minorEastAsia"/>
          <w:szCs w:val="20"/>
          <w:lang w:val="en-CA" w:eastAsia="zh-CN"/>
        </w:rPr>
        <w:t>，</w:t>
      </w:r>
      <w:r w:rsidRPr="002C0C4B">
        <w:rPr>
          <w:rFonts w:eastAsiaTheme="minorEastAsia"/>
          <w:szCs w:val="20"/>
          <w:lang w:val="zh-CN" w:eastAsia="zh-CN"/>
        </w:rPr>
        <w:t>并应与土著人民和地方社区密切合作进行</w:t>
      </w:r>
      <w:r w:rsidRPr="002C0C4B">
        <w:rPr>
          <w:rFonts w:eastAsiaTheme="minorEastAsia"/>
          <w:szCs w:val="20"/>
          <w:lang w:val="en-CA" w:eastAsia="zh-CN"/>
        </w:rPr>
        <w:t>，</w:t>
      </w:r>
      <w:r w:rsidRPr="002C0C4B">
        <w:rPr>
          <w:rFonts w:eastAsiaTheme="minorEastAsia"/>
          <w:szCs w:val="20"/>
          <w:lang w:val="zh-CN" w:eastAsia="zh-CN"/>
        </w:rPr>
        <w:t>并</w:t>
      </w:r>
      <w:r w:rsidRPr="002C0C4B">
        <w:rPr>
          <w:rFonts w:ascii="KaiTi" w:eastAsia="KaiTi" w:hAnsi="KaiTi"/>
          <w:color w:val="000000"/>
          <w:szCs w:val="20"/>
          <w:lang w:val="en-CA" w:eastAsia="zh-CN"/>
        </w:rPr>
        <w:t>鼓励</w:t>
      </w:r>
      <w:r w:rsidRPr="002C0C4B">
        <w:rPr>
          <w:rFonts w:eastAsiaTheme="minorEastAsia"/>
          <w:szCs w:val="20"/>
          <w:lang w:val="zh-CN" w:eastAsia="zh-CN"/>
        </w:rPr>
        <w:t>国际自然保护联盟进一步开展对外来入侵物种对社会、经济和文化价值的影响的分类工作</w:t>
      </w:r>
      <w:r w:rsidRPr="002C0C4B">
        <w:rPr>
          <w:rFonts w:eastAsiaTheme="minorEastAsia"/>
          <w:szCs w:val="20"/>
          <w:lang w:val="en-CA" w:eastAsia="zh-CN"/>
        </w:rPr>
        <w:t>；</w:t>
      </w:r>
    </w:p>
    <w:p w:rsidR="00772406" w:rsidRPr="002C0C4B" w:rsidRDefault="00772406" w:rsidP="001A42F8">
      <w:pPr>
        <w:numPr>
          <w:ilvl w:val="0"/>
          <w:numId w:val="193"/>
        </w:numPr>
        <w:adjustRightInd w:val="0"/>
        <w:snapToGrid w:val="0"/>
        <w:ind w:left="0" w:firstLine="720"/>
        <w:rPr>
          <w:rFonts w:eastAsiaTheme="minorEastAsia"/>
          <w:kern w:val="22"/>
          <w:szCs w:val="20"/>
          <w:lang w:val="en-CA" w:eastAsia="zh-CN"/>
        </w:rPr>
      </w:pPr>
      <w:r w:rsidRPr="002C0C4B">
        <w:rPr>
          <w:rFonts w:ascii="KaiTi" w:eastAsia="KaiTi" w:hAnsi="KaiTi"/>
          <w:color w:val="000000"/>
          <w:szCs w:val="20"/>
          <w:lang w:val="en-CA" w:eastAsia="zh-CN"/>
        </w:rPr>
        <w:t>请</w:t>
      </w:r>
      <w:r w:rsidRPr="002C0C4B">
        <w:rPr>
          <w:rFonts w:eastAsiaTheme="minorEastAsia"/>
          <w:kern w:val="22"/>
          <w:szCs w:val="20"/>
          <w:lang w:val="zh-CN" w:eastAsia="zh-CN"/>
        </w:rPr>
        <w:t>执行</w:t>
      </w:r>
      <w:r w:rsidRPr="002C0C4B">
        <w:rPr>
          <w:rFonts w:eastAsiaTheme="minorEastAsia"/>
          <w:szCs w:val="20"/>
          <w:lang w:val="zh-CN" w:eastAsia="zh-CN"/>
        </w:rPr>
        <w:t>秘书</w:t>
      </w:r>
      <w:r w:rsidRPr="002C0C4B">
        <w:rPr>
          <w:rFonts w:eastAsiaTheme="minorEastAsia"/>
          <w:kern w:val="22"/>
          <w:szCs w:val="20"/>
          <w:lang w:val="zh-CN" w:eastAsia="zh-CN"/>
        </w:rPr>
        <w:t>在资源允许的情况下</w:t>
      </w:r>
      <w:r w:rsidRPr="002C0C4B">
        <w:rPr>
          <w:rFonts w:eastAsiaTheme="minorEastAsia"/>
          <w:kern w:val="22"/>
          <w:szCs w:val="20"/>
          <w:lang w:val="en-CA" w:eastAsia="zh-CN"/>
        </w:rPr>
        <w:t>：</w:t>
      </w:r>
    </w:p>
    <w:p w:rsidR="00772406" w:rsidRPr="002C0C4B" w:rsidRDefault="00772406" w:rsidP="001A42F8">
      <w:pPr>
        <w:numPr>
          <w:ilvl w:val="0"/>
          <w:numId w:val="194"/>
        </w:numPr>
        <w:suppressLineNumbers/>
        <w:suppressAutoHyphens/>
        <w:adjustRightInd w:val="0"/>
        <w:snapToGrid w:val="0"/>
        <w:ind w:left="0" w:firstLine="720"/>
        <w:rPr>
          <w:rFonts w:eastAsiaTheme="minorEastAsia"/>
          <w:i/>
          <w:color w:val="000000"/>
          <w:szCs w:val="20"/>
          <w:lang w:val="en-CA" w:eastAsia="zh-CN"/>
        </w:rPr>
      </w:pPr>
      <w:r w:rsidRPr="002C0C4B">
        <w:rPr>
          <w:rFonts w:eastAsiaTheme="minorEastAsia"/>
          <w:kern w:val="22"/>
          <w:szCs w:val="20"/>
          <w:lang w:val="zh-CN" w:eastAsia="zh-CN"/>
        </w:rPr>
        <w:t>与联合国经济及社会理事会秘书处、世界海关组织和外来入侵物种机构间联络小组一道，探讨是否可能为销售对生物多样性构成危害和风险的活生物体建立</w:t>
      </w:r>
      <w:r w:rsidRPr="002C0C4B">
        <w:rPr>
          <w:rFonts w:eastAsiaTheme="minorEastAsia"/>
          <w:kern w:val="22"/>
          <w:szCs w:val="20"/>
          <w:lang w:val="en-CA" w:eastAsia="zh-CN"/>
        </w:rPr>
        <w:t>符合</w:t>
      </w:r>
      <w:r w:rsidRPr="002C0C4B">
        <w:rPr>
          <w:rFonts w:eastAsiaTheme="minorEastAsia"/>
          <w:kern w:val="22"/>
          <w:szCs w:val="20"/>
          <w:lang w:val="zh-CN" w:eastAsia="zh-CN"/>
        </w:rPr>
        <w:t>国际协定的外来入侵物种分类和标签系统</w:t>
      </w:r>
      <w:r w:rsidRPr="002C0C4B">
        <w:rPr>
          <w:rFonts w:eastAsiaTheme="minorEastAsia"/>
          <w:kern w:val="22"/>
          <w:szCs w:val="20"/>
          <w:lang w:val="en-CA" w:eastAsia="zh-CN"/>
        </w:rPr>
        <w:t>，</w:t>
      </w:r>
      <w:r w:rsidRPr="002C0C4B">
        <w:rPr>
          <w:rFonts w:eastAsiaTheme="minorEastAsia"/>
          <w:kern w:val="22"/>
          <w:szCs w:val="20"/>
          <w:lang w:val="zh-CN" w:eastAsia="zh-CN"/>
        </w:rPr>
        <w:t>补充并符合现有的国际标准</w:t>
      </w:r>
      <w:r w:rsidRPr="002C0C4B">
        <w:rPr>
          <w:rFonts w:eastAsiaTheme="minorEastAsia"/>
          <w:kern w:val="22"/>
          <w:szCs w:val="20"/>
          <w:lang w:val="en-CA" w:eastAsia="zh-CN"/>
        </w:rPr>
        <w:t>，并</w:t>
      </w:r>
      <w:r w:rsidRPr="002C0C4B">
        <w:rPr>
          <w:rFonts w:eastAsiaTheme="minorEastAsia"/>
          <w:kern w:val="22"/>
          <w:szCs w:val="20"/>
          <w:lang w:val="zh-CN" w:eastAsia="zh-CN"/>
        </w:rPr>
        <w:t>向科学、技术和工艺咨询附属机构在缔约方大会第十五届会议之前举行的会议报告取得的进展</w:t>
      </w:r>
      <w:r w:rsidRPr="002C0C4B">
        <w:rPr>
          <w:rFonts w:eastAsiaTheme="minorEastAsia"/>
          <w:kern w:val="22"/>
          <w:szCs w:val="20"/>
          <w:lang w:val="en-CA" w:eastAsia="zh-CN"/>
        </w:rPr>
        <w:t>；</w:t>
      </w:r>
    </w:p>
    <w:p w:rsidR="00772406" w:rsidRPr="002C0C4B" w:rsidRDefault="00772406" w:rsidP="001A42F8">
      <w:pPr>
        <w:numPr>
          <w:ilvl w:val="0"/>
          <w:numId w:val="194"/>
        </w:numPr>
        <w:suppressLineNumbers/>
        <w:suppressAutoHyphens/>
        <w:adjustRightInd w:val="0"/>
        <w:snapToGrid w:val="0"/>
        <w:ind w:left="0" w:firstLine="720"/>
        <w:rPr>
          <w:rFonts w:eastAsiaTheme="minorEastAsia"/>
          <w:i/>
          <w:color w:val="000000"/>
          <w:szCs w:val="20"/>
          <w:lang w:val="en-CA" w:eastAsia="zh-CN"/>
        </w:rPr>
      </w:pPr>
      <w:r w:rsidRPr="002C0C4B">
        <w:rPr>
          <w:rFonts w:eastAsiaTheme="minorEastAsia"/>
          <w:kern w:val="22"/>
          <w:szCs w:val="20"/>
          <w:lang w:val="zh-CN" w:eastAsia="zh-CN"/>
        </w:rPr>
        <w:t>通过编制所提交文件和进行的讨论的汇编和综合文件</w:t>
      </w:r>
      <w:r w:rsidRPr="002C0C4B">
        <w:rPr>
          <w:rFonts w:eastAsiaTheme="minorEastAsia"/>
          <w:kern w:val="22"/>
          <w:szCs w:val="20"/>
          <w:lang w:val="en-CA" w:eastAsia="zh-CN"/>
        </w:rPr>
        <w:t>，</w:t>
      </w:r>
      <w:r w:rsidRPr="002C0C4B">
        <w:rPr>
          <w:rFonts w:eastAsiaTheme="minorEastAsia"/>
          <w:kern w:val="22"/>
          <w:szCs w:val="20"/>
          <w:lang w:val="zh-CN" w:eastAsia="zh-CN"/>
        </w:rPr>
        <w:t>推动上文第</w:t>
      </w:r>
      <w:r w:rsidRPr="002C0C4B">
        <w:rPr>
          <w:rFonts w:eastAsiaTheme="minorEastAsia"/>
          <w:kern w:val="22"/>
          <w:szCs w:val="20"/>
          <w:lang w:val="en-CA" w:eastAsia="zh-CN"/>
        </w:rPr>
        <w:t>5</w:t>
      </w:r>
      <w:r w:rsidRPr="002C0C4B">
        <w:rPr>
          <w:rFonts w:eastAsiaTheme="minorEastAsia"/>
          <w:kern w:val="22"/>
          <w:szCs w:val="20"/>
          <w:lang w:val="zh-CN" w:eastAsia="zh-CN"/>
        </w:rPr>
        <w:t>段提及的在线论坛和特设技术专家组进行的工作；</w:t>
      </w:r>
    </w:p>
    <w:p w:rsidR="00772406" w:rsidRPr="002C0C4B" w:rsidRDefault="00772406" w:rsidP="001A42F8">
      <w:pPr>
        <w:numPr>
          <w:ilvl w:val="0"/>
          <w:numId w:val="194"/>
        </w:numPr>
        <w:suppressLineNumbers/>
        <w:suppressAutoHyphens/>
        <w:adjustRightInd w:val="0"/>
        <w:snapToGrid w:val="0"/>
        <w:ind w:left="0" w:firstLine="720"/>
        <w:rPr>
          <w:rFonts w:eastAsiaTheme="minorEastAsia"/>
          <w:color w:val="000000"/>
          <w:szCs w:val="20"/>
          <w:lang w:val="en-CA" w:eastAsia="zh-CN"/>
        </w:rPr>
      </w:pPr>
      <w:r w:rsidRPr="002C0C4B">
        <w:rPr>
          <w:rFonts w:eastAsiaTheme="minorEastAsia"/>
          <w:color w:val="000000"/>
          <w:szCs w:val="20"/>
          <w:lang w:val="en-CA" w:eastAsia="zh-CN"/>
        </w:rPr>
        <w:t>与全球外来入侵物种信息伙伴关系合作，进一步便利开发和使用关于引进途径及其影响的信息，同时考虑到监测电子商务销售所致外来物种流动的必要性</w:t>
      </w:r>
      <w:r w:rsidRPr="002C0C4B">
        <w:rPr>
          <w:rFonts w:eastAsiaTheme="minorEastAsia"/>
          <w:color w:val="000000"/>
          <w:szCs w:val="20"/>
          <w:lang w:val="en-CA" w:eastAsia="zh-CN"/>
        </w:rPr>
        <w:t>;</w:t>
      </w:r>
    </w:p>
    <w:p w:rsidR="00772406" w:rsidRPr="002C0C4B" w:rsidRDefault="00772406" w:rsidP="001A42F8">
      <w:pPr>
        <w:numPr>
          <w:ilvl w:val="0"/>
          <w:numId w:val="193"/>
        </w:numPr>
        <w:adjustRightInd w:val="0"/>
        <w:snapToGrid w:val="0"/>
        <w:ind w:left="0" w:firstLine="720"/>
        <w:rPr>
          <w:rFonts w:eastAsiaTheme="minorEastAsia"/>
          <w:color w:val="000000"/>
          <w:szCs w:val="20"/>
          <w:lang w:val="en-CA" w:eastAsia="zh-CN"/>
        </w:rPr>
      </w:pPr>
      <w:r w:rsidRPr="002C0C4B">
        <w:rPr>
          <w:rFonts w:ascii="KaiTi" w:eastAsia="KaiTi" w:hAnsi="KaiTi"/>
          <w:color w:val="000000"/>
          <w:szCs w:val="20"/>
          <w:lang w:val="en-CA" w:eastAsia="zh-CN"/>
        </w:rPr>
        <w:t>鼓励</w:t>
      </w:r>
      <w:r w:rsidRPr="002C0C4B">
        <w:rPr>
          <w:rFonts w:eastAsiaTheme="minorEastAsia"/>
          <w:szCs w:val="20"/>
          <w:lang w:val="zh-CN" w:eastAsia="zh-CN"/>
        </w:rPr>
        <w:t>全球环境</w:t>
      </w:r>
      <w:r w:rsidRPr="002C0C4B">
        <w:rPr>
          <w:rFonts w:eastAsiaTheme="minorEastAsia"/>
          <w:color w:val="000000"/>
          <w:szCs w:val="20"/>
          <w:lang w:val="en-CA" w:eastAsia="zh-CN"/>
        </w:rPr>
        <w:t>基金、其他捐助方和供资机构为国家和区域外来入侵物种相关项目提供财务援助，包括能力建设活动。</w:t>
      </w:r>
    </w:p>
    <w:p w:rsidR="00772406" w:rsidRDefault="00772406" w:rsidP="00772406">
      <w:pPr>
        <w:rPr>
          <w:rFonts w:ascii="KaiTi" w:eastAsia="KaiTi" w:hAnsi="KaiTi"/>
          <w:snapToGrid w:val="0"/>
          <w:kern w:val="22"/>
          <w:lang w:val="en-CA" w:eastAsia="zh-CN"/>
        </w:rPr>
      </w:pPr>
      <w:r>
        <w:rPr>
          <w:rFonts w:ascii="KaiTi" w:eastAsia="KaiTi" w:hAnsi="KaiTi"/>
          <w:snapToGrid w:val="0"/>
          <w:kern w:val="22"/>
          <w:lang w:val="en-CA" w:eastAsia="zh-CN"/>
        </w:rPr>
        <w:br w:type="page"/>
      </w:r>
    </w:p>
    <w:p w:rsidR="00772406" w:rsidRPr="000551D6" w:rsidRDefault="00772406" w:rsidP="00772406">
      <w:pPr>
        <w:suppressLineNumbers/>
        <w:suppressAutoHyphens/>
        <w:kinsoku w:val="0"/>
        <w:overflowPunct w:val="0"/>
        <w:autoSpaceDE w:val="0"/>
        <w:autoSpaceDN w:val="0"/>
        <w:adjustRightInd w:val="0"/>
        <w:snapToGrid w:val="0"/>
        <w:spacing w:before="240" w:after="240"/>
        <w:jc w:val="center"/>
        <w:rPr>
          <w:rFonts w:ascii="SimSun" w:hAnsi="SimSun"/>
          <w:caps/>
          <w:snapToGrid w:val="0"/>
          <w:kern w:val="22"/>
          <w:lang w:val="en-CA" w:eastAsia="zh-CN"/>
        </w:rPr>
      </w:pPr>
      <w:r w:rsidRPr="000551D6">
        <w:rPr>
          <w:rFonts w:ascii="KaiTi" w:eastAsia="KaiTi" w:hAnsi="KaiTi" w:hint="eastAsia"/>
          <w:snapToGrid w:val="0"/>
          <w:kern w:val="22"/>
          <w:lang w:val="en-CA" w:eastAsia="zh-CN"/>
        </w:rPr>
        <w:lastRenderedPageBreak/>
        <w:t>附件一</w:t>
      </w:r>
    </w:p>
    <w:p w:rsidR="00772406" w:rsidRPr="002C0C4B" w:rsidRDefault="00772406" w:rsidP="002C0C4B">
      <w:pPr>
        <w:keepNext/>
        <w:suppressLineNumbers/>
        <w:suppressAutoHyphens/>
        <w:kinsoku w:val="0"/>
        <w:overflowPunct w:val="0"/>
        <w:autoSpaceDE w:val="0"/>
        <w:autoSpaceDN w:val="0"/>
        <w:adjustRightInd w:val="0"/>
        <w:snapToGrid w:val="0"/>
        <w:ind w:left="1800" w:right="1814"/>
        <w:jc w:val="center"/>
        <w:rPr>
          <w:rFonts w:eastAsiaTheme="minorEastAsia"/>
          <w:b/>
          <w:bCs/>
          <w:caps/>
          <w:snapToGrid w:val="0"/>
          <w:kern w:val="22"/>
          <w:lang w:val="en-CA" w:eastAsia="ja-JP"/>
        </w:rPr>
      </w:pPr>
      <w:r w:rsidRPr="002C0C4B">
        <w:rPr>
          <w:rFonts w:eastAsiaTheme="minorEastAsia"/>
          <w:b/>
          <w:bCs/>
          <w:snapToGrid w:val="0"/>
          <w:kern w:val="22"/>
          <w:lang w:val="en-CA" w:eastAsia="zh-CN"/>
        </w:rPr>
        <w:t>避免无意造成的引入与入侵活生物体贸易相关的</w:t>
      </w:r>
      <w:r w:rsidRPr="002C0C4B">
        <w:rPr>
          <w:rFonts w:eastAsiaTheme="minorEastAsia"/>
          <w:b/>
          <w:bCs/>
          <w:snapToGrid w:val="0"/>
          <w:kern w:val="22"/>
          <w:lang w:val="en-CA" w:eastAsia="ja-JP"/>
        </w:rPr>
        <w:t>外来入侵物种</w:t>
      </w:r>
      <w:r w:rsidRPr="002C0C4B">
        <w:rPr>
          <w:rFonts w:eastAsiaTheme="minorEastAsia"/>
          <w:b/>
          <w:bCs/>
          <w:snapToGrid w:val="0"/>
          <w:kern w:val="22"/>
          <w:lang w:val="en-CA" w:eastAsia="zh-CN"/>
        </w:rPr>
        <w:t>的补充自愿指导意见</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本指导意见补充第</w:t>
      </w:r>
      <w:hyperlink r:id="rId74" w:history="1">
        <w:r w:rsidRPr="002C0C4B">
          <w:rPr>
            <w:rFonts w:eastAsiaTheme="minorEastAsia"/>
            <w:color w:val="0000FF"/>
            <w:u w:val="single"/>
            <w:lang w:val="en-CA" w:eastAsia="zh-CN"/>
          </w:rPr>
          <w:t>XII/16</w:t>
        </w:r>
      </w:hyperlink>
      <w:r w:rsidRPr="002C0C4B">
        <w:rPr>
          <w:rFonts w:eastAsiaTheme="minorEastAsia"/>
          <w:snapToGrid w:val="0"/>
          <w:kern w:val="22"/>
          <w:lang w:val="en-CA" w:eastAsia="zh-CN"/>
        </w:rPr>
        <w:t>号决定附件所列《关于</w:t>
      </w:r>
      <w:r w:rsidRPr="002C0C4B">
        <w:rPr>
          <w:rFonts w:eastAsiaTheme="minorEastAsia"/>
          <w:snapToGrid w:val="0"/>
          <w:kern w:val="22"/>
          <w:lang w:val="en-CA" w:eastAsia="ja-JP"/>
        </w:rPr>
        <w:t>制定和实施措施解决引进外来物种作为宠物、水族箱和温箱物种、活饵和活食所产生的相关风险的</w:t>
      </w:r>
      <w:r w:rsidRPr="002C0C4B">
        <w:rPr>
          <w:rFonts w:eastAsiaTheme="minorEastAsia"/>
          <w:snapToGrid w:val="0"/>
          <w:kern w:val="22"/>
          <w:lang w:val="en-CA" w:eastAsia="zh-CN"/>
        </w:rPr>
        <w:t>指导意见》。</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本指导意见的目的是最大限度地减少跨越国家管辖和不同生物地理区域的外来物种通过《生物多样性公约》的与活体生物贸易相关的渠道分类中所述无意造成的引入渠道的生物入侵风险。</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本指导意见与各国、各相关组织、业界和消费者有关，包括所有活生物体贸易的整个价值链所涉的所有行为方（例如出口者、进口者、畜牧生产者，包括业余收藏者，展览的参加者，以及批发商、零售商和客户）。关于活食贸易问题，价值链所涉人员还包括餐馆和食品市场企业界中的个人。</w:t>
      </w:r>
    </w:p>
    <w:p w:rsidR="00772406" w:rsidRPr="002C0C4B" w:rsidRDefault="00772406" w:rsidP="002C0C4B">
      <w:pPr>
        <w:keepNext/>
        <w:suppressLineNumbers/>
        <w:suppressAutoHyphens/>
        <w:kinsoku w:val="0"/>
        <w:overflowPunct w:val="0"/>
        <w:autoSpaceDE w:val="0"/>
        <w:autoSpaceDN w:val="0"/>
        <w:adjustRightInd w:val="0"/>
        <w:snapToGrid w:val="0"/>
        <w:jc w:val="center"/>
        <w:outlineLvl w:val="0"/>
        <w:rPr>
          <w:rFonts w:eastAsiaTheme="minorEastAsia"/>
          <w:b/>
          <w:caps/>
          <w:snapToGrid w:val="0"/>
          <w:kern w:val="22"/>
          <w:lang w:val="en-CA" w:eastAsia="ja-JP"/>
        </w:rPr>
      </w:pPr>
      <w:bookmarkStart w:id="140" w:name="_Toc6243750"/>
      <w:r w:rsidRPr="002C0C4B">
        <w:rPr>
          <w:rFonts w:eastAsiaTheme="minorEastAsia"/>
          <w:b/>
          <w:caps/>
          <w:snapToGrid w:val="0"/>
          <w:kern w:val="22"/>
          <w:lang w:val="en-CA" w:eastAsia="en-CA"/>
        </w:rPr>
        <w:t>一</w:t>
      </w:r>
      <w:r w:rsidRPr="002C0C4B">
        <w:rPr>
          <w:rFonts w:eastAsiaTheme="minorEastAsia"/>
          <w:b/>
          <w:caps/>
          <w:snapToGrid w:val="0"/>
          <w:kern w:val="22"/>
          <w:lang w:val="en-CA" w:eastAsia="en-CA"/>
        </w:rPr>
        <w:t xml:space="preserve">.  </w:t>
      </w:r>
      <w:r w:rsidRPr="002C0C4B">
        <w:rPr>
          <w:rFonts w:eastAsiaTheme="minorEastAsia"/>
          <w:b/>
          <w:caps/>
          <w:snapToGrid w:val="0"/>
          <w:kern w:val="22"/>
          <w:lang w:val="en-CA" w:eastAsia="en-CA"/>
        </w:rPr>
        <w:t>范围</w:t>
      </w:r>
      <w:bookmarkEnd w:id="140"/>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本指导意见属自愿性指导意见，旨在结合其他相关指导意见使用并与之相互支持，例如：</w:t>
      </w:r>
      <w:r w:rsidRPr="002C0C4B">
        <w:rPr>
          <w:rFonts w:eastAsiaTheme="minorEastAsia"/>
          <w:bCs/>
          <w:iCs/>
          <w:lang w:eastAsia="zh-CN"/>
        </w:rPr>
        <w:t>《关于对生态系统、生境或物种构成威胁的外来物种的预防、引进和减轻其影响问题的指导原则》（第</w:t>
      </w:r>
      <w:r w:rsidRPr="002C0C4B">
        <w:rPr>
          <w:rFonts w:eastAsiaTheme="minorEastAsia"/>
          <w:snapToGrid w:val="0"/>
          <w:kern w:val="22"/>
          <w:lang w:val="en-CA" w:eastAsia="ja-JP"/>
        </w:rPr>
        <w:t>VI/23</w:t>
      </w:r>
      <w:r w:rsidRPr="002C0C4B">
        <w:rPr>
          <w:rFonts w:eastAsiaTheme="minorEastAsia"/>
          <w:snapToGrid w:val="0"/>
          <w:kern w:val="22"/>
          <w:lang w:val="en-CA" w:eastAsia="zh-CN"/>
        </w:rPr>
        <w:t>号决定）；</w:t>
      </w:r>
      <w:r w:rsidRPr="002C0C4B">
        <w:rPr>
          <w:rFonts w:eastAsiaTheme="minorEastAsia"/>
          <w:snapToGrid w:val="0"/>
          <w:kern w:val="22"/>
          <w:vertAlign w:val="superscript"/>
          <w:lang w:val="en-CA" w:eastAsia="ja-JP"/>
        </w:rPr>
        <w:footnoteReference w:id="177"/>
      </w:r>
      <w:r w:rsidRPr="002C0C4B">
        <w:rPr>
          <w:rFonts w:eastAsiaTheme="minorEastAsia"/>
          <w:snapToGrid w:val="0"/>
          <w:kern w:val="22"/>
          <w:lang w:val="en-CA" w:eastAsia="ja-JP"/>
        </w:rPr>
        <w:t xml:space="preserve"> </w:t>
      </w:r>
      <w:r w:rsidRPr="002C0C4B">
        <w:rPr>
          <w:rFonts w:eastAsiaTheme="minorEastAsia"/>
          <w:snapToGrid w:val="0"/>
          <w:kern w:val="22"/>
          <w:lang w:val="en-CA" w:eastAsia="zh-CN"/>
        </w:rPr>
        <w:t>《国际植物检疫措施标准》（</w:t>
      </w:r>
      <w:r w:rsidRPr="002C0C4B">
        <w:rPr>
          <w:rFonts w:eastAsiaTheme="minorEastAsia"/>
          <w:snapToGrid w:val="0"/>
          <w:kern w:val="22"/>
          <w:szCs w:val="22"/>
          <w:lang w:val="en-CA" w:eastAsia="ja-JP"/>
        </w:rPr>
        <w:t>ISPMs</w:t>
      </w:r>
      <w:r w:rsidRPr="002C0C4B">
        <w:rPr>
          <w:rFonts w:eastAsiaTheme="minorEastAsia"/>
          <w:snapToGrid w:val="0"/>
          <w:kern w:val="22"/>
          <w:lang w:val="en-CA" w:eastAsia="zh-CN"/>
        </w:rPr>
        <w:t>）；</w:t>
      </w:r>
      <w:r w:rsidRPr="002C0C4B">
        <w:rPr>
          <w:rFonts w:eastAsiaTheme="minorEastAsia"/>
          <w:bCs/>
          <w:iCs/>
          <w:lang w:eastAsia="zh-CN"/>
        </w:rPr>
        <w:t>《陆生动物卫生法典》和世界动物卫生组织的《</w:t>
      </w:r>
      <w:r w:rsidRPr="002C0C4B">
        <w:rPr>
          <w:rFonts w:eastAsiaTheme="minorEastAsia"/>
          <w:lang w:val="en-CA" w:eastAsia="zh-CN"/>
        </w:rPr>
        <w:t>陆生动物诊断试验和疫苗手册</w:t>
      </w:r>
      <w:r w:rsidRPr="002C0C4B">
        <w:rPr>
          <w:rFonts w:eastAsiaTheme="minorEastAsia"/>
          <w:bCs/>
          <w:iCs/>
          <w:lang w:eastAsia="zh-CN"/>
        </w:rPr>
        <w:t>》；世界动物卫生组织的</w:t>
      </w:r>
      <w:r w:rsidRPr="002C0C4B">
        <w:rPr>
          <w:rFonts w:eastAsiaTheme="minorEastAsia"/>
          <w:lang w:val="en-CA" w:eastAsia="zh-CN"/>
        </w:rPr>
        <w:t>《水生动物卫生法典》和《水生动物疾病诊断手册》以及相关国际组织制定的其他标准和指导意见。</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本指导意见还说明了其拟议的实施进程和第</w:t>
      </w:r>
      <w:hyperlink r:id="rId75" w:history="1">
        <w:r w:rsidRPr="002C0C4B">
          <w:rPr>
            <w:rFonts w:eastAsiaTheme="minorEastAsia"/>
            <w:color w:val="0000FF"/>
            <w:u w:val="single"/>
            <w:lang w:val="en-CA" w:eastAsia="zh-CN"/>
          </w:rPr>
          <w:t>XII/16</w:t>
        </w:r>
      </w:hyperlink>
      <w:r w:rsidRPr="002C0C4B">
        <w:rPr>
          <w:rFonts w:eastAsiaTheme="minorEastAsia"/>
          <w:snapToGrid w:val="0"/>
          <w:kern w:val="22"/>
          <w:lang w:val="en-CA" w:eastAsia="zh-CN"/>
        </w:rPr>
        <w:t>号决定附件所列指导意见，以及为保护生物多样性以及动物、植物和人类健康而规定的现有国际标准。</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缔约方和其他国家政府可与养护当局、边界管制当局以及与国际贸易相关的风险监管机构和活生物体贸易价值链所涉相关业界和消费者</w:t>
      </w:r>
      <w:r w:rsidRPr="002C0C4B">
        <w:rPr>
          <w:rFonts w:eastAsiaTheme="minorEastAsia"/>
          <w:snapToGrid w:val="0"/>
          <w:kern w:val="22"/>
          <w:lang w:eastAsia="zh-CN"/>
        </w:rPr>
        <w:t>一道，开展跨部门协作，</w:t>
      </w:r>
      <w:r w:rsidRPr="002C0C4B">
        <w:rPr>
          <w:rFonts w:eastAsiaTheme="minorEastAsia"/>
          <w:snapToGrid w:val="0"/>
          <w:kern w:val="22"/>
          <w:lang w:val="en-CA" w:eastAsia="zh-CN"/>
        </w:rPr>
        <w:t>将本指导意见付诸实施。</w:t>
      </w:r>
      <w:r w:rsidRPr="002C0C4B">
        <w:rPr>
          <w:rFonts w:eastAsiaTheme="minorEastAsia"/>
          <w:snapToGrid w:val="0"/>
          <w:kern w:val="22"/>
          <w:lang w:val="en-CA" w:eastAsia="zh-CN"/>
        </w:rPr>
        <w:t xml:space="preserve"> </w:t>
      </w:r>
    </w:p>
    <w:p w:rsidR="00772406" w:rsidRPr="002C0C4B" w:rsidRDefault="00772406" w:rsidP="002C0C4B">
      <w:pPr>
        <w:widowControl w:val="0"/>
        <w:suppressLineNumbers/>
        <w:tabs>
          <w:tab w:val="left" w:pos="2160"/>
        </w:tabs>
        <w:suppressAutoHyphens/>
        <w:kinsoku w:val="0"/>
        <w:overflowPunct w:val="0"/>
        <w:autoSpaceDE w:val="0"/>
        <w:autoSpaceDN w:val="0"/>
        <w:adjustRightInd w:val="0"/>
        <w:snapToGrid w:val="0"/>
        <w:ind w:left="2160" w:right="1092" w:hanging="720"/>
        <w:outlineLvl w:val="0"/>
        <w:rPr>
          <w:rFonts w:eastAsiaTheme="minorEastAsia"/>
          <w:b/>
          <w:caps/>
          <w:snapToGrid w:val="0"/>
          <w:kern w:val="22"/>
          <w:lang w:val="en-CA" w:eastAsia="zh-CN"/>
        </w:rPr>
      </w:pPr>
      <w:bookmarkStart w:id="141" w:name="_Toc6243751"/>
      <w:r w:rsidRPr="002C0C4B">
        <w:rPr>
          <w:rFonts w:eastAsiaTheme="minorEastAsia"/>
          <w:b/>
          <w:caps/>
          <w:snapToGrid w:val="0"/>
          <w:kern w:val="22"/>
          <w:lang w:val="en-CA" w:eastAsia="zh-CN"/>
        </w:rPr>
        <w:t>二</w:t>
      </w:r>
      <w:r w:rsidRPr="002C0C4B">
        <w:rPr>
          <w:rFonts w:eastAsiaTheme="minorEastAsia"/>
          <w:b/>
          <w:caps/>
          <w:snapToGrid w:val="0"/>
          <w:kern w:val="22"/>
          <w:lang w:val="en-CA" w:eastAsia="zh-CN"/>
        </w:rPr>
        <w:t>.</w:t>
      </w:r>
      <w:r w:rsidRPr="002C0C4B">
        <w:rPr>
          <w:rFonts w:eastAsiaTheme="minorEastAsia"/>
          <w:b/>
          <w:caps/>
          <w:snapToGrid w:val="0"/>
          <w:kern w:val="22"/>
          <w:lang w:val="en-CA" w:eastAsia="zh-CN"/>
        </w:rPr>
        <w:tab/>
      </w:r>
      <w:r w:rsidRPr="002C0C4B">
        <w:rPr>
          <w:rFonts w:eastAsiaTheme="minorEastAsia"/>
          <w:b/>
          <w:caps/>
          <w:snapToGrid w:val="0"/>
          <w:kern w:val="22"/>
          <w:lang w:val="en-CA" w:eastAsia="zh-CN"/>
        </w:rPr>
        <w:t>采取措施减少与活生物体贸易相关渠道中无意中移动的外来入侵物种风险</w:t>
      </w:r>
      <w:bookmarkEnd w:id="141"/>
    </w:p>
    <w:p w:rsidR="00772406" w:rsidRPr="002C0C4B" w:rsidRDefault="00772406" w:rsidP="001A42F8">
      <w:pPr>
        <w:keepNext/>
        <w:numPr>
          <w:ilvl w:val="0"/>
          <w:numId w:val="196"/>
        </w:numPr>
        <w:suppressLineNumbers/>
        <w:suppressAutoHyphens/>
        <w:kinsoku w:val="0"/>
        <w:overflowPunct w:val="0"/>
        <w:autoSpaceDE w:val="0"/>
        <w:autoSpaceDN w:val="0"/>
        <w:adjustRightInd w:val="0"/>
        <w:snapToGrid w:val="0"/>
        <w:ind w:left="0" w:firstLine="0"/>
        <w:jc w:val="center"/>
        <w:outlineLvl w:val="1"/>
        <w:rPr>
          <w:rFonts w:eastAsiaTheme="minorEastAsia"/>
          <w:b/>
          <w:bCs/>
          <w:iCs/>
          <w:snapToGrid w:val="0"/>
          <w:kern w:val="22"/>
          <w:lang w:val="en-CA" w:eastAsia="zh-CN"/>
        </w:rPr>
      </w:pPr>
      <w:r w:rsidRPr="002C0C4B">
        <w:rPr>
          <w:rFonts w:eastAsiaTheme="minorEastAsia"/>
          <w:b/>
          <w:bCs/>
          <w:iCs/>
          <w:snapToGrid w:val="0"/>
          <w:kern w:val="22"/>
          <w:lang w:val="en-CA" w:eastAsia="zh-CN"/>
        </w:rPr>
        <w:t xml:space="preserve">   </w:t>
      </w:r>
      <w:bookmarkStart w:id="142" w:name="_Toc6243752"/>
      <w:r w:rsidRPr="002C0C4B">
        <w:rPr>
          <w:rFonts w:eastAsiaTheme="minorEastAsia"/>
          <w:b/>
          <w:bCs/>
          <w:iCs/>
          <w:snapToGrid w:val="0"/>
          <w:kern w:val="22"/>
          <w:lang w:val="en-CA" w:eastAsia="zh-CN"/>
        </w:rPr>
        <w:t>符合现有国际标准和其他与外来入侵物种相关的指导意见</w:t>
      </w:r>
      <w:bookmarkEnd w:id="142"/>
    </w:p>
    <w:p w:rsidR="00772406" w:rsidRPr="002C0C4B" w:rsidRDefault="00772406" w:rsidP="001A42F8">
      <w:pPr>
        <w:widowControl w:val="0"/>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对于所托运活体生物中含有的所有动物或动物产品，应利用通过世界动物卫生组织的</w:t>
      </w:r>
      <w:r w:rsidRPr="002C0C4B">
        <w:rPr>
          <w:rFonts w:eastAsiaTheme="minorEastAsia"/>
          <w:snapToGrid w:val="0"/>
          <w:kern w:val="22"/>
          <w:lang w:val="en-CA" w:eastAsia="zh-CN"/>
        </w:rPr>
        <w:lastRenderedPageBreak/>
        <w:t>标准制定进程制定的适当卫生标准，统一出口国和进口国的国家性措施。</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对于所托运活体生物中含有的所有植物或植物产品，包括任何土壤、落叶、稻草或其他基质、干草、种子、水果或其他食品来源，应利用通过国际植物保护公约的标准制定进程制定的适当卫生标准，统一出口国和进口国的国家性措施。</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12417D">
        <w:rPr>
          <w:rFonts w:eastAsiaTheme="minorEastAsia"/>
          <w:snapToGrid w:val="0"/>
          <w:spacing w:val="-20"/>
          <w:kern w:val="22"/>
          <w:lang w:val="en-CA" w:eastAsia="zh-CN"/>
        </w:rPr>
        <w:t>活体生物发运人</w:t>
      </w:r>
      <w:r w:rsidRPr="0012417D">
        <w:rPr>
          <w:rFonts w:eastAsiaTheme="minorEastAsia"/>
          <w:snapToGrid w:val="0"/>
          <w:spacing w:val="-20"/>
          <w:kern w:val="22"/>
          <w:lang w:val="en-CA" w:eastAsia="ja-JP"/>
        </w:rPr>
        <w:t>/</w:t>
      </w:r>
      <w:r w:rsidRPr="0012417D">
        <w:rPr>
          <w:rFonts w:eastAsiaTheme="minorEastAsia"/>
          <w:snapToGrid w:val="0"/>
          <w:spacing w:val="-20"/>
          <w:kern w:val="22"/>
          <w:lang w:val="en-CA" w:eastAsia="zh-CN"/>
        </w:rPr>
        <w:t>出口者应表明，所出口商品，包括相关装运材料（如水、饲料、窝具）</w:t>
      </w:r>
      <w:r w:rsidRPr="002C0C4B">
        <w:rPr>
          <w:rFonts w:eastAsiaTheme="minorEastAsia"/>
          <w:snapToGrid w:val="0"/>
          <w:kern w:val="22"/>
          <w:lang w:val="en-CA" w:eastAsia="zh-CN"/>
        </w:rPr>
        <w:t>不对进口国的生物多样性构成卫生和植物检疫风险。可根据基于有害生物</w:t>
      </w:r>
      <w:r w:rsidRPr="002C0C4B">
        <w:rPr>
          <w:rFonts w:eastAsiaTheme="minorEastAsia"/>
          <w:lang w:val="en-CA" w:eastAsia="zh-CN"/>
        </w:rPr>
        <w:t>危险性分析</w:t>
      </w:r>
      <w:r w:rsidRPr="002C0C4B">
        <w:rPr>
          <w:rFonts w:eastAsiaTheme="minorEastAsia"/>
          <w:snapToGrid w:val="0"/>
          <w:kern w:val="22"/>
          <w:lang w:val="en-CA" w:eastAsia="zh-CN"/>
        </w:rPr>
        <w:t>制定的国家进口条例的规定，通过出具由出口兽医当局</w:t>
      </w:r>
      <w:r w:rsidRPr="002C0C4B">
        <w:rPr>
          <w:rFonts w:eastAsiaTheme="minorEastAsia"/>
          <w:snapToGrid w:val="0"/>
          <w:kern w:val="22"/>
          <w:lang w:val="en-CA" w:eastAsia="zh-CN"/>
        </w:rPr>
        <w:t>/</w:t>
      </w:r>
      <w:r w:rsidRPr="002C0C4B">
        <w:rPr>
          <w:rFonts w:eastAsiaTheme="minorEastAsia"/>
          <w:snapToGrid w:val="0"/>
          <w:kern w:val="22"/>
          <w:lang w:val="en-CA" w:eastAsia="zh-CN"/>
        </w:rPr>
        <w:t>动物主管当局签发的证书，或通过出具由输出国的国家出口植物保护组织签发的植物卫生证书，将上述表示通知进口国的国家边界当局。</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承运人所运送的托运活体生物应当符合国际组织制定的现有国际指导意见，例如国际海事</w:t>
      </w:r>
      <w:r w:rsidRPr="002C0C4B">
        <w:rPr>
          <w:rFonts w:eastAsiaTheme="minorEastAsia"/>
          <w:snapToGrid w:val="0"/>
          <w:spacing w:val="20"/>
          <w:kern w:val="22"/>
          <w:lang w:val="en-CA" w:eastAsia="zh-CN"/>
        </w:rPr>
        <w:t>组织</w:t>
      </w:r>
      <w:r w:rsidRPr="002C0C4B">
        <w:rPr>
          <w:rFonts w:eastAsiaTheme="minorEastAsia"/>
          <w:snapToGrid w:val="0"/>
          <w:spacing w:val="20"/>
          <w:kern w:val="22"/>
          <w:lang w:val="en-CA" w:eastAsia="zh-CN"/>
        </w:rPr>
        <w:t>/</w:t>
      </w:r>
      <w:r w:rsidRPr="002C0C4B">
        <w:rPr>
          <w:rFonts w:eastAsiaTheme="minorEastAsia"/>
          <w:snapToGrid w:val="0"/>
          <w:spacing w:val="20"/>
          <w:kern w:val="22"/>
          <w:lang w:val="en-CA" w:eastAsia="zh-CN"/>
        </w:rPr>
        <w:t>国际劳工组织</w:t>
      </w:r>
      <w:r w:rsidRPr="002C0C4B">
        <w:rPr>
          <w:rFonts w:eastAsiaTheme="minorEastAsia"/>
          <w:snapToGrid w:val="0"/>
          <w:spacing w:val="20"/>
          <w:kern w:val="22"/>
          <w:lang w:val="en-CA" w:eastAsia="zh-CN"/>
        </w:rPr>
        <w:t>/</w:t>
      </w:r>
      <w:r w:rsidRPr="002C0C4B">
        <w:rPr>
          <w:rFonts w:eastAsiaTheme="minorEastAsia"/>
          <w:snapToGrid w:val="0"/>
          <w:spacing w:val="20"/>
          <w:kern w:val="22"/>
          <w:lang w:val="en-CA" w:eastAsia="zh-CN"/>
        </w:rPr>
        <w:t>联合国欧洲经济委员会等国际组织的</w:t>
      </w:r>
      <w:r w:rsidRPr="002C0C4B">
        <w:rPr>
          <w:rFonts w:eastAsiaTheme="minorEastAsia"/>
          <w:spacing w:val="20"/>
          <w:lang w:val="en-CA" w:eastAsia="zh-CN"/>
        </w:rPr>
        <w:t>《货物运输组件装载实操规则》</w:t>
      </w:r>
      <w:r w:rsidRPr="002C0C4B">
        <w:rPr>
          <w:rFonts w:eastAsiaTheme="minorEastAsia"/>
          <w:spacing w:val="-20"/>
          <w:lang w:val="en-CA" w:eastAsia="zh-CN"/>
        </w:rPr>
        <w:t>，</w:t>
      </w:r>
      <w:r w:rsidRPr="002C0C4B">
        <w:rPr>
          <w:rFonts w:eastAsiaTheme="minorEastAsia"/>
          <w:snapToGrid w:val="0"/>
          <w:kern w:val="22"/>
          <w:vertAlign w:val="superscript"/>
          <w:lang w:val="en-CA" w:eastAsia="ja-JP"/>
        </w:rPr>
        <w:footnoteReference w:id="178"/>
      </w:r>
      <w:r w:rsidRPr="002C0C4B">
        <w:rPr>
          <w:rFonts w:eastAsiaTheme="minorEastAsia"/>
          <w:lang w:val="en-CA" w:eastAsia="zh-CN"/>
        </w:rPr>
        <w:t xml:space="preserve"> </w:t>
      </w:r>
      <w:r w:rsidRPr="002C0C4B">
        <w:rPr>
          <w:rFonts w:eastAsiaTheme="minorEastAsia"/>
          <w:snapToGrid w:val="0"/>
          <w:kern w:val="22"/>
          <w:lang w:val="en-CA" w:eastAsia="zh-CN"/>
        </w:rPr>
        <w:t>但不应仅限于此。</w:t>
      </w:r>
    </w:p>
    <w:p w:rsidR="00772406" w:rsidRPr="002C0C4B" w:rsidRDefault="00772406" w:rsidP="001A42F8">
      <w:pPr>
        <w:keepNext/>
        <w:numPr>
          <w:ilvl w:val="0"/>
          <w:numId w:val="196"/>
        </w:numPr>
        <w:suppressLineNumbers/>
        <w:suppressAutoHyphens/>
        <w:kinsoku w:val="0"/>
        <w:overflowPunct w:val="0"/>
        <w:autoSpaceDE w:val="0"/>
        <w:autoSpaceDN w:val="0"/>
        <w:adjustRightInd w:val="0"/>
        <w:snapToGrid w:val="0"/>
        <w:ind w:left="0" w:firstLine="0"/>
        <w:jc w:val="center"/>
        <w:outlineLvl w:val="1"/>
        <w:rPr>
          <w:rFonts w:eastAsiaTheme="minorEastAsia"/>
          <w:b/>
          <w:bCs/>
          <w:iCs/>
          <w:snapToGrid w:val="0"/>
          <w:kern w:val="22"/>
          <w:lang w:val="en-CA" w:eastAsia="zh-CN"/>
        </w:rPr>
      </w:pPr>
      <w:r w:rsidRPr="002C0C4B">
        <w:rPr>
          <w:rFonts w:eastAsiaTheme="minorEastAsia"/>
          <w:b/>
          <w:bCs/>
          <w:iCs/>
          <w:snapToGrid w:val="0"/>
          <w:kern w:val="22"/>
          <w:lang w:val="en-CA" w:eastAsia="zh-CN"/>
        </w:rPr>
        <w:t xml:space="preserve">   </w:t>
      </w:r>
      <w:bookmarkStart w:id="143" w:name="_Toc6243753"/>
      <w:r w:rsidRPr="002C0C4B">
        <w:rPr>
          <w:rFonts w:eastAsiaTheme="minorEastAsia"/>
          <w:b/>
          <w:bCs/>
          <w:iCs/>
          <w:snapToGrid w:val="0"/>
          <w:kern w:val="22"/>
          <w:lang w:val="en-CA" w:eastAsia="zh-CN"/>
        </w:rPr>
        <w:t>负责任地筹备活体生物的托运</w:t>
      </w:r>
      <w:bookmarkEnd w:id="143"/>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bookmarkStart w:id="144" w:name="_Hlk518694774"/>
      <w:r w:rsidRPr="002C0C4B">
        <w:rPr>
          <w:rFonts w:eastAsiaTheme="minorEastAsia"/>
          <w:snapToGrid w:val="0"/>
          <w:kern w:val="22"/>
          <w:lang w:val="en-CA" w:eastAsia="zh-CN"/>
        </w:rPr>
        <w:t>活生物体</w:t>
      </w:r>
      <w:bookmarkStart w:id="145" w:name="_Hlk518577314"/>
      <w:bookmarkEnd w:id="144"/>
      <w:r w:rsidRPr="002C0C4B">
        <w:rPr>
          <w:rFonts w:eastAsiaTheme="minorEastAsia"/>
          <w:snapToGrid w:val="0"/>
          <w:kern w:val="22"/>
          <w:lang w:val="en-CA" w:eastAsia="zh-CN"/>
        </w:rPr>
        <w:t>发送人</w:t>
      </w:r>
      <w:r w:rsidRPr="002C0C4B">
        <w:rPr>
          <w:rFonts w:eastAsiaTheme="minorEastAsia"/>
          <w:snapToGrid w:val="0"/>
          <w:kern w:val="22"/>
          <w:lang w:val="en-CA" w:eastAsia="ja-JP"/>
        </w:rPr>
        <w:t>/</w:t>
      </w:r>
      <w:r w:rsidRPr="002C0C4B">
        <w:rPr>
          <w:rFonts w:eastAsiaTheme="minorEastAsia"/>
          <w:snapToGrid w:val="0"/>
          <w:kern w:val="22"/>
          <w:lang w:val="en-CA" w:eastAsia="zh-CN"/>
        </w:rPr>
        <w:t>出口者</w:t>
      </w:r>
      <w:bookmarkEnd w:id="145"/>
      <w:r w:rsidRPr="002C0C4B">
        <w:rPr>
          <w:rFonts w:eastAsiaTheme="minorEastAsia"/>
          <w:snapToGrid w:val="0"/>
          <w:kern w:val="22"/>
          <w:lang w:val="en-CA" w:eastAsia="zh-CN"/>
        </w:rPr>
        <w:t>应全面了解外来物种经由与活体物种贸易相关的无意造成的渠道的移动所导致的生物入侵的潜在风险，并确保：</w:t>
      </w:r>
      <w:r w:rsidRPr="002C0C4B">
        <w:rPr>
          <w:rFonts w:eastAsiaTheme="minorEastAsia"/>
          <w:snapToGrid w:val="0"/>
          <w:kern w:val="22"/>
          <w:lang w:val="en-CA" w:eastAsia="ja-JP"/>
        </w:rPr>
        <w:t>(a) </w:t>
      </w:r>
      <w:r w:rsidRPr="002C0C4B">
        <w:rPr>
          <w:rFonts w:eastAsiaTheme="minorEastAsia"/>
          <w:snapToGrid w:val="0"/>
          <w:kern w:val="22"/>
          <w:lang w:val="en-CA" w:eastAsia="zh-CN"/>
        </w:rPr>
        <w:t>托运物符合出口国规定的卫生和植物卫生要求；</w:t>
      </w:r>
      <w:r w:rsidRPr="002C0C4B">
        <w:rPr>
          <w:rFonts w:eastAsiaTheme="minorEastAsia"/>
          <w:snapToGrid w:val="0"/>
          <w:kern w:val="22"/>
          <w:lang w:val="en-CA" w:eastAsia="ja-JP"/>
        </w:rPr>
        <w:t>(b) </w:t>
      </w:r>
      <w:r w:rsidRPr="002C0C4B">
        <w:rPr>
          <w:rFonts w:eastAsiaTheme="minorEastAsia"/>
          <w:snapToGrid w:val="0"/>
          <w:kern w:val="22"/>
          <w:lang w:val="en-CA" w:eastAsia="zh-CN"/>
        </w:rPr>
        <w:t>遵守关于外来入侵物种进出口的国家和区域条例；</w:t>
      </w:r>
      <w:r w:rsidRPr="002C0C4B">
        <w:rPr>
          <w:rFonts w:eastAsiaTheme="minorEastAsia"/>
          <w:snapToGrid w:val="0"/>
          <w:kern w:val="22"/>
          <w:lang w:val="en-CA" w:eastAsia="zh-CN"/>
        </w:rPr>
        <w:t>(c) </w:t>
      </w:r>
      <w:r w:rsidRPr="002C0C4B">
        <w:rPr>
          <w:rFonts w:eastAsiaTheme="minorEastAsia"/>
          <w:snapToGrid w:val="0"/>
          <w:kern w:val="22"/>
          <w:lang w:val="en-CA" w:eastAsia="zh-CN"/>
        </w:rPr>
        <w:t>采取了措施尽可能减少无意造成的引入。</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活体生物发送人</w:t>
      </w:r>
      <w:r w:rsidRPr="002C0C4B">
        <w:rPr>
          <w:rFonts w:eastAsiaTheme="minorEastAsia"/>
          <w:snapToGrid w:val="0"/>
          <w:kern w:val="22"/>
          <w:lang w:val="en-CA" w:eastAsia="ja-JP"/>
        </w:rPr>
        <w:t>/</w:t>
      </w:r>
      <w:r w:rsidRPr="002C0C4B">
        <w:rPr>
          <w:rFonts w:eastAsiaTheme="minorEastAsia"/>
          <w:snapToGrid w:val="0"/>
          <w:kern w:val="22"/>
          <w:lang w:val="en-CA" w:eastAsia="zh-CN"/>
        </w:rPr>
        <w:t>出口者通过写给边界管制当局、国家植物保护组织或兽医当局的载有活体生物的托运货物所附单据的方式，向进口者</w:t>
      </w:r>
      <w:r w:rsidRPr="002C0C4B">
        <w:rPr>
          <w:rFonts w:eastAsiaTheme="minorEastAsia"/>
          <w:snapToGrid w:val="0"/>
          <w:kern w:val="22"/>
          <w:lang w:val="en-CA" w:eastAsia="zh-CN"/>
        </w:rPr>
        <w:t>/</w:t>
      </w:r>
      <w:r w:rsidRPr="002C0C4B">
        <w:rPr>
          <w:rFonts w:eastAsiaTheme="minorEastAsia"/>
          <w:snapToGrid w:val="0"/>
          <w:kern w:val="22"/>
          <w:lang w:val="en-CA" w:eastAsia="zh-CN"/>
        </w:rPr>
        <w:t>接收人通报外来物种造成的潜在生物入侵的风险，在某些情况下，这一通知应送交一个或多个过境国的主管当局，使其能够在过境期间采取适当的风险管理措施。</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活生物体发送</w:t>
      </w:r>
      <w:r w:rsidRPr="002C0C4B">
        <w:rPr>
          <w:rFonts w:eastAsiaTheme="minorEastAsia"/>
          <w:snapToGrid w:val="0"/>
          <w:kern w:val="22"/>
          <w:lang w:val="en-CA" w:eastAsia="ja-JP"/>
        </w:rPr>
        <w:t>/</w:t>
      </w:r>
      <w:r w:rsidRPr="002C0C4B">
        <w:rPr>
          <w:rFonts w:eastAsiaTheme="minorEastAsia"/>
          <w:snapToGrid w:val="0"/>
          <w:kern w:val="22"/>
          <w:lang w:val="en-CA" w:eastAsia="zh-CN"/>
        </w:rPr>
        <w:t>出口者应采取一切适当的卫生和植物卫生措施，确保所装运活生物体没有可能给进口国或接收这些活体物种的生物地理区域带来生物入侵风险的害虫、病原体和外来有机物。</w:t>
      </w:r>
    </w:p>
    <w:p w:rsidR="00772406" w:rsidRPr="002C0C4B" w:rsidRDefault="00772406" w:rsidP="001A42F8">
      <w:pPr>
        <w:keepNext/>
        <w:numPr>
          <w:ilvl w:val="0"/>
          <w:numId w:val="196"/>
        </w:numPr>
        <w:suppressLineNumbers/>
        <w:suppressAutoHyphens/>
        <w:kinsoku w:val="0"/>
        <w:overflowPunct w:val="0"/>
        <w:autoSpaceDE w:val="0"/>
        <w:autoSpaceDN w:val="0"/>
        <w:adjustRightInd w:val="0"/>
        <w:snapToGrid w:val="0"/>
        <w:ind w:left="0" w:firstLine="0"/>
        <w:jc w:val="center"/>
        <w:outlineLvl w:val="1"/>
        <w:rPr>
          <w:rFonts w:eastAsiaTheme="minorEastAsia"/>
          <w:b/>
          <w:bCs/>
          <w:iCs/>
          <w:snapToGrid w:val="0"/>
          <w:kern w:val="22"/>
          <w:lang w:val="en-CA" w:eastAsia="en-CA"/>
        </w:rPr>
      </w:pPr>
      <w:r w:rsidRPr="002C0C4B">
        <w:rPr>
          <w:rFonts w:eastAsiaTheme="minorEastAsia"/>
          <w:b/>
          <w:bCs/>
          <w:iCs/>
          <w:snapToGrid w:val="0"/>
          <w:kern w:val="22"/>
          <w:lang w:val="en-CA" w:eastAsia="zh-CN"/>
        </w:rPr>
        <w:t xml:space="preserve">   </w:t>
      </w:r>
      <w:bookmarkStart w:id="146" w:name="_Toc6243754"/>
      <w:r w:rsidRPr="002C0C4B">
        <w:rPr>
          <w:rFonts w:eastAsiaTheme="minorEastAsia"/>
          <w:b/>
          <w:bCs/>
          <w:iCs/>
          <w:snapToGrid w:val="0"/>
          <w:kern w:val="22"/>
          <w:lang w:val="en-CA" w:eastAsia="en-CA"/>
        </w:rPr>
        <w:t>包装容器</w:t>
      </w:r>
      <w:r w:rsidRPr="002C0C4B">
        <w:rPr>
          <w:rFonts w:eastAsiaTheme="minorEastAsia"/>
          <w:b/>
          <w:bCs/>
          <w:iCs/>
          <w:snapToGrid w:val="0"/>
          <w:kern w:val="22"/>
          <w:lang w:val="en-CA" w:eastAsia="en-CA"/>
        </w:rPr>
        <w:t>/</w:t>
      </w:r>
      <w:r w:rsidRPr="002C0C4B">
        <w:rPr>
          <w:rFonts w:eastAsiaTheme="minorEastAsia"/>
          <w:b/>
          <w:bCs/>
          <w:iCs/>
          <w:snapToGrid w:val="0"/>
          <w:kern w:val="22"/>
          <w:lang w:val="en-CA" w:eastAsia="en-CA"/>
        </w:rPr>
        <w:t>托运品</w:t>
      </w:r>
      <w:bookmarkEnd w:id="146"/>
      <w:r w:rsidRPr="002C0C4B">
        <w:rPr>
          <w:rFonts w:eastAsiaTheme="minorEastAsia"/>
          <w:b/>
          <w:bCs/>
          <w:iCs/>
          <w:snapToGrid w:val="0"/>
          <w:kern w:val="22"/>
          <w:lang w:val="en-CA" w:eastAsia="en-CA"/>
        </w:rPr>
        <w:t xml:space="preserve"> </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zh-CN"/>
        </w:rPr>
      </w:pPr>
      <w:r w:rsidRPr="002C0C4B">
        <w:rPr>
          <w:rFonts w:eastAsiaTheme="minorEastAsia"/>
          <w:snapToGrid w:val="0"/>
          <w:kern w:val="22"/>
          <w:lang w:val="en-CA" w:eastAsia="zh-CN"/>
        </w:rPr>
        <w:t>顾及发送人</w:t>
      </w:r>
      <w:r w:rsidRPr="002C0C4B">
        <w:rPr>
          <w:rFonts w:eastAsiaTheme="minorEastAsia"/>
          <w:snapToGrid w:val="0"/>
          <w:kern w:val="22"/>
          <w:lang w:val="en-CA" w:eastAsia="zh-CN"/>
        </w:rPr>
        <w:t>/</w:t>
      </w:r>
      <w:r w:rsidRPr="002C0C4B">
        <w:rPr>
          <w:rFonts w:eastAsiaTheme="minorEastAsia"/>
          <w:snapToGrid w:val="0"/>
          <w:kern w:val="22"/>
          <w:lang w:val="en-CA" w:eastAsia="zh-CN"/>
        </w:rPr>
        <w:t>出口者可能对货物中的活体生物造成的生物入侵的风险，特别是在所猎获或收集的活体生物来自野生环境时，发送人</w:t>
      </w:r>
      <w:r w:rsidRPr="002C0C4B">
        <w:rPr>
          <w:rFonts w:eastAsiaTheme="minorEastAsia"/>
          <w:snapToGrid w:val="0"/>
          <w:kern w:val="22"/>
          <w:lang w:val="en-CA" w:eastAsia="zh-CN"/>
        </w:rPr>
        <w:t>/</w:t>
      </w:r>
      <w:r w:rsidRPr="002C0C4B">
        <w:rPr>
          <w:rFonts w:eastAsiaTheme="minorEastAsia"/>
          <w:snapToGrid w:val="0"/>
          <w:kern w:val="22"/>
          <w:lang w:val="en-CA" w:eastAsia="zh-CN"/>
        </w:rPr>
        <w:t>出口者应在适当时情况下，在每批托运货物上标记为</w:t>
      </w:r>
      <w:r w:rsidRPr="002C0C4B">
        <w:rPr>
          <w:rFonts w:asciiTheme="minorEastAsia" w:eastAsiaTheme="minorEastAsia" w:hAnsiTheme="minorEastAsia"/>
          <w:snapToGrid w:val="0"/>
          <w:kern w:val="22"/>
          <w:lang w:val="en-CA" w:eastAsia="zh-CN"/>
        </w:rPr>
        <w:t>“对生物多样性具有潜在风险”</w:t>
      </w:r>
      <w:r w:rsidRPr="002C0C4B">
        <w:rPr>
          <w:rFonts w:eastAsiaTheme="minorEastAsia"/>
          <w:snapToGrid w:val="0"/>
          <w:kern w:val="22"/>
          <w:lang w:val="en-CA" w:eastAsia="zh-CN"/>
        </w:rPr>
        <w:t>，以便向整个价值链所涉的个人通报对生物多样性的潜在风险。</w:t>
      </w:r>
      <w:r w:rsidRPr="002C0C4B">
        <w:rPr>
          <w:rFonts w:eastAsiaTheme="minorEastAsia"/>
          <w:snapToGrid w:val="0"/>
          <w:kern w:val="22"/>
          <w:lang w:val="en-CA" w:eastAsia="zh-CN"/>
        </w:rPr>
        <w:t xml:space="preserve"> </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与活体生物的移动相关的包装材料或容器应当没有进口国、</w:t>
      </w:r>
      <w:r w:rsidRPr="002C0C4B">
        <w:rPr>
          <w:rFonts w:eastAsiaTheme="minorEastAsia"/>
          <w:lang w:val="en-CA" w:eastAsia="zh-CN"/>
        </w:rPr>
        <w:t>过境国</w:t>
      </w:r>
      <w:r w:rsidRPr="002C0C4B">
        <w:rPr>
          <w:rFonts w:eastAsiaTheme="minorEastAsia"/>
          <w:snapToGrid w:val="0"/>
          <w:kern w:val="22"/>
          <w:lang w:val="en-CA" w:eastAsia="zh-CN"/>
        </w:rPr>
        <w:t>或</w:t>
      </w:r>
      <w:r w:rsidRPr="002C0C4B">
        <w:rPr>
          <w:rFonts w:eastAsiaTheme="minorEastAsia"/>
          <w:lang w:val="en-CA" w:eastAsia="zh-CN"/>
        </w:rPr>
        <w:t>有关</w:t>
      </w:r>
      <w:r w:rsidRPr="002C0C4B">
        <w:rPr>
          <w:rFonts w:eastAsiaTheme="minorEastAsia"/>
          <w:snapToGrid w:val="0"/>
          <w:kern w:val="22"/>
          <w:lang w:val="en-CA" w:eastAsia="zh-CN"/>
        </w:rPr>
        <w:t>生物地理区域所关切的害虫、病原体和外来入侵物种。如包装材料系木制，则应适用《国际植物检疫措</w:t>
      </w:r>
      <w:r w:rsidRPr="002C0C4B">
        <w:rPr>
          <w:rFonts w:eastAsiaTheme="minorEastAsia"/>
          <w:snapToGrid w:val="0"/>
          <w:kern w:val="22"/>
          <w:lang w:val="en-CA" w:eastAsia="zh-CN"/>
        </w:rPr>
        <w:lastRenderedPageBreak/>
        <w:t>施标准》</w:t>
      </w:r>
      <w:r w:rsidRPr="002C0C4B">
        <w:rPr>
          <w:rFonts w:eastAsiaTheme="minorEastAsia"/>
          <w:snapToGrid w:val="0"/>
          <w:kern w:val="22"/>
          <w:lang w:val="en-CA" w:eastAsia="ja-JP"/>
        </w:rPr>
        <w:t>15</w:t>
      </w:r>
      <w:r w:rsidRPr="002C0C4B">
        <w:rPr>
          <w:rFonts w:eastAsiaTheme="minorEastAsia"/>
          <w:snapToGrid w:val="0"/>
          <w:kern w:val="22"/>
          <w:lang w:val="en-CA" w:eastAsia="zh-CN"/>
        </w:rPr>
        <w:t>（关于国际贸易中木材包装材料的条例）以及的国家和区域条例中所述适当的处理。</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如要重新使用包装容器，发送人</w:t>
      </w:r>
      <w:r w:rsidRPr="002C0C4B">
        <w:rPr>
          <w:rFonts w:eastAsiaTheme="minorEastAsia"/>
          <w:snapToGrid w:val="0"/>
          <w:kern w:val="22"/>
          <w:lang w:val="en-CA" w:eastAsia="zh-CN"/>
        </w:rPr>
        <w:t>/</w:t>
      </w:r>
      <w:r w:rsidRPr="002C0C4B">
        <w:rPr>
          <w:rFonts w:eastAsiaTheme="minorEastAsia"/>
          <w:snapToGrid w:val="0"/>
          <w:kern w:val="22"/>
          <w:lang w:val="en-CA" w:eastAsia="zh-CN"/>
        </w:rPr>
        <w:t>出口者应在装运之前将其清洗，并在重新使用之前进行目测检查。</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水生物种包装容器应由发送人</w:t>
      </w:r>
      <w:r w:rsidRPr="002C0C4B">
        <w:rPr>
          <w:rFonts w:eastAsiaTheme="minorEastAsia"/>
          <w:snapToGrid w:val="0"/>
          <w:kern w:val="22"/>
          <w:lang w:val="en-CA" w:eastAsia="zh-CN"/>
        </w:rPr>
        <w:t>/</w:t>
      </w:r>
      <w:r w:rsidRPr="002C0C4B">
        <w:rPr>
          <w:rFonts w:eastAsiaTheme="minorEastAsia"/>
          <w:snapToGrid w:val="0"/>
          <w:kern w:val="22"/>
          <w:lang w:val="en-CA" w:eastAsia="zh-CN"/>
        </w:rPr>
        <w:t>出口者进行适当封闭，以防止在整个价值链的运输期间发生水溢漏和（或）对托运物造成污染或来自托运物的污染的情况。</w:t>
      </w:r>
    </w:p>
    <w:p w:rsidR="00772406" w:rsidRPr="002C0C4B" w:rsidRDefault="00772406" w:rsidP="001A42F8">
      <w:pPr>
        <w:keepNext/>
        <w:numPr>
          <w:ilvl w:val="0"/>
          <w:numId w:val="196"/>
        </w:numPr>
        <w:suppressLineNumbers/>
        <w:suppressAutoHyphens/>
        <w:kinsoku w:val="0"/>
        <w:overflowPunct w:val="0"/>
        <w:autoSpaceDE w:val="0"/>
        <w:autoSpaceDN w:val="0"/>
        <w:adjustRightInd w:val="0"/>
        <w:snapToGrid w:val="0"/>
        <w:ind w:left="0" w:firstLine="0"/>
        <w:jc w:val="center"/>
        <w:outlineLvl w:val="1"/>
        <w:rPr>
          <w:rFonts w:eastAsiaTheme="minorEastAsia"/>
          <w:b/>
          <w:bCs/>
          <w:iCs/>
          <w:snapToGrid w:val="0"/>
          <w:kern w:val="22"/>
          <w:lang w:val="en-CA"/>
        </w:rPr>
      </w:pPr>
      <w:r w:rsidRPr="002C0C4B">
        <w:rPr>
          <w:rFonts w:eastAsiaTheme="minorEastAsia"/>
          <w:b/>
          <w:bCs/>
          <w:iCs/>
          <w:snapToGrid w:val="0"/>
          <w:kern w:val="22"/>
          <w:lang w:val="en-CA" w:eastAsia="zh-CN"/>
        </w:rPr>
        <w:t xml:space="preserve">    </w:t>
      </w:r>
      <w:bookmarkStart w:id="147" w:name="_Toc6243755"/>
      <w:r w:rsidRPr="002C0C4B">
        <w:rPr>
          <w:rFonts w:eastAsiaTheme="minorEastAsia"/>
          <w:b/>
          <w:bCs/>
          <w:iCs/>
          <w:snapToGrid w:val="0"/>
          <w:kern w:val="22"/>
          <w:lang w:val="en-CA"/>
        </w:rPr>
        <w:t>包装容器内相关的材料</w:t>
      </w:r>
      <w:bookmarkEnd w:id="147"/>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spacing w:val="-20"/>
          <w:kern w:val="22"/>
          <w:lang w:val="en-CA" w:eastAsia="zh-CN"/>
        </w:rPr>
        <w:t>活体生物的发送人</w:t>
      </w:r>
      <w:r w:rsidRPr="002C0C4B">
        <w:rPr>
          <w:rFonts w:eastAsiaTheme="minorEastAsia"/>
          <w:snapToGrid w:val="0"/>
          <w:spacing w:val="-20"/>
          <w:kern w:val="22"/>
          <w:lang w:val="en-CA" w:eastAsia="ja-JP"/>
        </w:rPr>
        <w:t>/</w:t>
      </w:r>
      <w:r w:rsidRPr="002C0C4B">
        <w:rPr>
          <w:rFonts w:eastAsiaTheme="minorEastAsia"/>
          <w:snapToGrid w:val="0"/>
          <w:spacing w:val="-20"/>
          <w:kern w:val="22"/>
          <w:lang w:val="en-CA" w:eastAsia="zh-CN"/>
        </w:rPr>
        <w:t>出口者应确保装运前以适当方法对动物的铺垫物品进行处理</w:t>
      </w:r>
      <w:r w:rsidRPr="002C0C4B">
        <w:rPr>
          <w:rFonts w:eastAsiaTheme="minorEastAsia"/>
          <w:snapToGrid w:val="0"/>
          <w:kern w:val="22"/>
          <w:lang w:val="en-CA" w:eastAsia="zh-CN"/>
        </w:rPr>
        <w:t>，确保这些铺垫物品没有进口国、</w:t>
      </w:r>
      <w:r w:rsidRPr="002C0C4B">
        <w:rPr>
          <w:rFonts w:eastAsiaTheme="minorEastAsia"/>
          <w:lang w:val="en-CA" w:eastAsia="zh-CN"/>
        </w:rPr>
        <w:t>过境国</w:t>
      </w:r>
      <w:r w:rsidRPr="002C0C4B">
        <w:rPr>
          <w:rFonts w:eastAsiaTheme="minorEastAsia"/>
          <w:snapToGrid w:val="0"/>
          <w:kern w:val="22"/>
          <w:lang w:val="en-CA" w:eastAsia="zh-CN"/>
        </w:rPr>
        <w:t>或有关生物地理区域所关切的害虫、病原体和外来入侵物种。</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活体水生物在运输期间将要使用的水和任何相关媒介物应当没有进口国或接收水生物种的生物地理区域所关切的害虫、病原体和外来入侵物种，并根据要求进行处理。</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与所托运水生物相关的空气和供气设施应当没有进口国或接水产体物种的生物地理区域所关切的害虫、病原体和外来入侵物种。</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zh-CN"/>
        </w:rPr>
      </w:pPr>
      <w:r w:rsidRPr="002C0C4B">
        <w:rPr>
          <w:rFonts w:eastAsiaTheme="minorEastAsia"/>
          <w:snapToGrid w:val="0"/>
          <w:kern w:val="22"/>
          <w:lang w:val="en-CA" w:eastAsia="zh-CN"/>
        </w:rPr>
        <w:t>发送人</w:t>
      </w:r>
      <w:r w:rsidRPr="002C0C4B">
        <w:rPr>
          <w:rFonts w:eastAsiaTheme="minorEastAsia"/>
          <w:snapToGrid w:val="0"/>
          <w:kern w:val="22"/>
          <w:lang w:val="en-CA" w:eastAsia="zh-CN"/>
        </w:rPr>
        <w:t>/</w:t>
      </w:r>
      <w:r w:rsidRPr="002C0C4B">
        <w:rPr>
          <w:rFonts w:eastAsiaTheme="minorEastAsia"/>
          <w:snapToGrid w:val="0"/>
          <w:kern w:val="22"/>
          <w:lang w:val="en-CA" w:eastAsia="zh-CN"/>
        </w:rPr>
        <w:t>出口者应在装运前消除任何与托运活体生物相关的土壤或土壤相关材料。如不能消除包装容器中的土壤或土壤相关材料，发送人</w:t>
      </w:r>
      <w:r w:rsidRPr="002C0C4B">
        <w:rPr>
          <w:rFonts w:eastAsiaTheme="minorEastAsia"/>
          <w:snapToGrid w:val="0"/>
          <w:kern w:val="22"/>
          <w:lang w:val="en-CA" w:eastAsia="zh-CN"/>
        </w:rPr>
        <w:t>/</w:t>
      </w:r>
      <w:r w:rsidRPr="002C0C4B">
        <w:rPr>
          <w:rFonts w:eastAsiaTheme="minorEastAsia"/>
          <w:snapToGrid w:val="0"/>
          <w:kern w:val="22"/>
          <w:lang w:val="en-CA" w:eastAsia="zh-CN"/>
        </w:rPr>
        <w:t>出口者应查看进口国的国家植物保护组织的进口条例并遵守这些条例</w:t>
      </w:r>
    </w:p>
    <w:p w:rsidR="00772406" w:rsidRPr="002C0C4B" w:rsidRDefault="00772406" w:rsidP="001A42F8">
      <w:pPr>
        <w:keepNext/>
        <w:numPr>
          <w:ilvl w:val="0"/>
          <w:numId w:val="196"/>
        </w:numPr>
        <w:suppressLineNumbers/>
        <w:suppressAutoHyphens/>
        <w:kinsoku w:val="0"/>
        <w:overflowPunct w:val="0"/>
        <w:autoSpaceDE w:val="0"/>
        <w:autoSpaceDN w:val="0"/>
        <w:adjustRightInd w:val="0"/>
        <w:snapToGrid w:val="0"/>
        <w:ind w:left="0" w:firstLine="0"/>
        <w:jc w:val="center"/>
        <w:outlineLvl w:val="1"/>
        <w:rPr>
          <w:rFonts w:eastAsiaTheme="minorEastAsia"/>
          <w:b/>
          <w:bCs/>
          <w:iCs/>
          <w:snapToGrid w:val="0"/>
          <w:kern w:val="22"/>
          <w:lang w:val="en-CA"/>
        </w:rPr>
      </w:pPr>
      <w:r w:rsidRPr="002C0C4B">
        <w:rPr>
          <w:rFonts w:eastAsiaTheme="minorEastAsia"/>
          <w:b/>
          <w:bCs/>
          <w:iCs/>
          <w:snapToGrid w:val="0"/>
          <w:kern w:val="22"/>
          <w:lang w:val="en-CA" w:eastAsia="zh-CN"/>
        </w:rPr>
        <w:t xml:space="preserve">   </w:t>
      </w:r>
      <w:bookmarkStart w:id="148" w:name="_Toc6243756"/>
      <w:r w:rsidRPr="002C0C4B">
        <w:rPr>
          <w:rFonts w:eastAsiaTheme="minorEastAsia"/>
          <w:b/>
          <w:bCs/>
          <w:iCs/>
          <w:snapToGrid w:val="0"/>
          <w:kern w:val="22"/>
          <w:lang w:val="en-CA" w:eastAsia="en-CA"/>
        </w:rPr>
        <w:t>活体动物的饲料或粮食</w:t>
      </w:r>
      <w:bookmarkEnd w:id="148"/>
    </w:p>
    <w:p w:rsidR="00772406" w:rsidRPr="002C0C4B" w:rsidRDefault="00772406" w:rsidP="001A42F8">
      <w:pPr>
        <w:widowControl w:val="0"/>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zh-CN"/>
        </w:rPr>
      </w:pPr>
      <w:r w:rsidRPr="00F341F0">
        <w:rPr>
          <w:rFonts w:eastAsiaTheme="minorEastAsia"/>
          <w:snapToGrid w:val="0"/>
          <w:spacing w:val="-20"/>
          <w:kern w:val="22"/>
          <w:lang w:val="en-CA" w:eastAsia="zh-CN"/>
        </w:rPr>
        <w:t>活体生物的发送人</w:t>
      </w:r>
      <w:r w:rsidRPr="00F341F0">
        <w:rPr>
          <w:rFonts w:eastAsiaTheme="minorEastAsia"/>
          <w:snapToGrid w:val="0"/>
          <w:spacing w:val="-20"/>
          <w:kern w:val="22"/>
          <w:lang w:val="en-CA" w:eastAsia="zh-CN"/>
        </w:rPr>
        <w:t>/</w:t>
      </w:r>
      <w:r w:rsidRPr="00F341F0">
        <w:rPr>
          <w:rFonts w:eastAsiaTheme="minorEastAsia"/>
          <w:snapToGrid w:val="0"/>
          <w:spacing w:val="-20"/>
          <w:kern w:val="22"/>
          <w:lang w:val="en-CA" w:eastAsia="zh-CN"/>
        </w:rPr>
        <w:t>出口者应确保托运物中所含任何饲料或粮食中不含有能生存的种子、保有在目的地定植或立足潜力的植物或动物的部分。发送人</w:t>
      </w:r>
      <w:r w:rsidRPr="00F341F0">
        <w:rPr>
          <w:rFonts w:eastAsiaTheme="minorEastAsia"/>
          <w:snapToGrid w:val="0"/>
          <w:spacing w:val="-20"/>
          <w:kern w:val="22"/>
          <w:lang w:val="en-CA" w:eastAsia="zh-CN"/>
        </w:rPr>
        <w:t>/</w:t>
      </w:r>
      <w:r w:rsidRPr="002C0C4B">
        <w:rPr>
          <w:rFonts w:eastAsiaTheme="minorEastAsia"/>
          <w:snapToGrid w:val="0"/>
          <w:kern w:val="22"/>
          <w:lang w:val="en-CA" w:eastAsia="zh-CN"/>
        </w:rPr>
        <w:t>出口者应确保饲料或粮食没有进口国、</w:t>
      </w:r>
      <w:r w:rsidRPr="002C0C4B">
        <w:rPr>
          <w:rFonts w:eastAsiaTheme="minorEastAsia"/>
          <w:lang w:val="en-CA" w:eastAsia="zh-CN"/>
        </w:rPr>
        <w:t>过境国</w:t>
      </w:r>
      <w:r w:rsidRPr="002C0C4B">
        <w:rPr>
          <w:rFonts w:eastAsiaTheme="minorEastAsia"/>
          <w:snapToGrid w:val="0"/>
          <w:kern w:val="22"/>
          <w:lang w:val="en-CA" w:eastAsia="zh-CN"/>
        </w:rPr>
        <w:t>或有关生物地理区域所关切的害虫、病原体和外来入侵物种。</w:t>
      </w:r>
      <w:r w:rsidRPr="002C0C4B">
        <w:rPr>
          <w:rFonts w:eastAsiaTheme="minorEastAsia"/>
          <w:snapToGrid w:val="0"/>
          <w:kern w:val="22"/>
          <w:lang w:val="en-CA" w:eastAsia="zh-CN"/>
        </w:rPr>
        <w:t xml:space="preserve"> </w:t>
      </w:r>
    </w:p>
    <w:p w:rsidR="00772406" w:rsidRPr="002C0C4B" w:rsidRDefault="00772406" w:rsidP="001A42F8">
      <w:pPr>
        <w:keepNext/>
        <w:numPr>
          <w:ilvl w:val="0"/>
          <w:numId w:val="196"/>
        </w:numPr>
        <w:suppressLineNumbers/>
        <w:suppressAutoHyphens/>
        <w:kinsoku w:val="0"/>
        <w:overflowPunct w:val="0"/>
        <w:autoSpaceDE w:val="0"/>
        <w:autoSpaceDN w:val="0"/>
        <w:adjustRightInd w:val="0"/>
        <w:snapToGrid w:val="0"/>
        <w:ind w:left="0" w:firstLine="0"/>
        <w:jc w:val="center"/>
        <w:outlineLvl w:val="1"/>
        <w:rPr>
          <w:rFonts w:eastAsiaTheme="minorEastAsia"/>
          <w:b/>
          <w:bCs/>
          <w:iCs/>
          <w:snapToGrid w:val="0"/>
          <w:kern w:val="22"/>
          <w:lang w:val="en-CA" w:eastAsia="zh-CN"/>
        </w:rPr>
      </w:pPr>
      <w:r w:rsidRPr="002C0C4B">
        <w:rPr>
          <w:rFonts w:eastAsiaTheme="minorEastAsia"/>
          <w:b/>
          <w:bCs/>
          <w:iCs/>
          <w:snapToGrid w:val="0"/>
          <w:kern w:val="22"/>
          <w:lang w:val="en-CA" w:eastAsia="zh-CN"/>
        </w:rPr>
        <w:t xml:space="preserve">   </w:t>
      </w:r>
      <w:bookmarkStart w:id="149" w:name="_Toc6243757"/>
      <w:r w:rsidRPr="002C0C4B">
        <w:rPr>
          <w:rFonts w:eastAsiaTheme="minorEastAsia"/>
          <w:b/>
          <w:bCs/>
          <w:iCs/>
          <w:snapToGrid w:val="0"/>
          <w:kern w:val="22"/>
          <w:lang w:val="en-CA" w:eastAsia="zh-CN"/>
        </w:rPr>
        <w:t>副产品、废物、水和媒介的处理</w:t>
      </w:r>
      <w:bookmarkEnd w:id="149"/>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zh-CN"/>
        </w:rPr>
      </w:pPr>
      <w:r w:rsidRPr="002C0C4B">
        <w:rPr>
          <w:rFonts w:eastAsiaTheme="minorEastAsia"/>
          <w:snapToGrid w:val="0"/>
          <w:kern w:val="22"/>
          <w:lang w:val="en-CA" w:eastAsia="zh-CN"/>
        </w:rPr>
        <w:t>托运物在到达接收国时，应尽快去除活体生物在运输期间所产生的副产品和废物并进行处理和清除。托运物的接收人应在对包装容器、其他相关材料应去除、副产品和废物进行处置之前，对其进行适当的处理，包括消毒、</w:t>
      </w:r>
      <w:r w:rsidRPr="002C0C4B">
        <w:rPr>
          <w:rFonts w:eastAsiaTheme="minorEastAsia"/>
          <w:snapToGrid w:val="0"/>
          <w:kern w:val="22"/>
          <w:vertAlign w:val="superscript"/>
          <w:lang w:val="en-CA"/>
        </w:rPr>
        <w:footnoteReference w:id="179"/>
      </w:r>
      <w:r w:rsidRPr="002C0C4B">
        <w:rPr>
          <w:rFonts w:eastAsiaTheme="minorEastAsia"/>
          <w:snapToGrid w:val="0"/>
          <w:kern w:val="22"/>
          <w:lang w:val="en-CA" w:eastAsia="zh-CN"/>
        </w:rPr>
        <w:t xml:space="preserve"> </w:t>
      </w:r>
      <w:r w:rsidRPr="002C0C4B">
        <w:rPr>
          <w:rFonts w:eastAsiaTheme="minorEastAsia"/>
          <w:snapToGrid w:val="0"/>
          <w:kern w:val="22"/>
          <w:lang w:val="en-CA" w:eastAsia="zh-CN"/>
        </w:rPr>
        <w:t>焚烧、熬炼、高压处理或实施其他措施，以最大限度地减少外来入侵物种造成的风险。</w:t>
      </w:r>
    </w:p>
    <w:p w:rsidR="00772406" w:rsidRPr="002C0C4B" w:rsidRDefault="00772406" w:rsidP="00F341F0">
      <w:pPr>
        <w:widowControl w:val="0"/>
        <w:numPr>
          <w:ilvl w:val="0"/>
          <w:numId w:val="196"/>
        </w:numPr>
        <w:suppressLineNumbers/>
        <w:suppressAutoHyphens/>
        <w:kinsoku w:val="0"/>
        <w:overflowPunct w:val="0"/>
        <w:autoSpaceDE w:val="0"/>
        <w:autoSpaceDN w:val="0"/>
        <w:adjustRightInd w:val="0"/>
        <w:snapToGrid w:val="0"/>
        <w:ind w:left="0" w:firstLine="0"/>
        <w:jc w:val="center"/>
        <w:outlineLvl w:val="1"/>
        <w:rPr>
          <w:rFonts w:eastAsiaTheme="minorEastAsia"/>
          <w:b/>
          <w:bCs/>
          <w:iCs/>
          <w:snapToGrid w:val="0"/>
          <w:kern w:val="22"/>
          <w:lang w:val="en-CA"/>
        </w:rPr>
      </w:pPr>
      <w:r w:rsidRPr="002C0C4B">
        <w:rPr>
          <w:rFonts w:eastAsiaTheme="minorEastAsia"/>
          <w:b/>
          <w:bCs/>
          <w:iCs/>
          <w:snapToGrid w:val="0"/>
          <w:kern w:val="22"/>
          <w:lang w:val="en-CA" w:eastAsia="zh-CN"/>
        </w:rPr>
        <w:t xml:space="preserve">    </w:t>
      </w:r>
      <w:bookmarkStart w:id="150" w:name="_Toc6243758"/>
      <w:r w:rsidRPr="002C0C4B">
        <w:rPr>
          <w:rFonts w:eastAsiaTheme="minorEastAsia"/>
          <w:b/>
          <w:bCs/>
          <w:iCs/>
          <w:snapToGrid w:val="0"/>
          <w:kern w:val="22"/>
          <w:lang w:val="en-CA" w:eastAsia="en-CA"/>
        </w:rPr>
        <w:t>承运人运送货物的条件</w:t>
      </w:r>
      <w:bookmarkEnd w:id="150"/>
    </w:p>
    <w:p w:rsidR="00772406" w:rsidRPr="002C0C4B" w:rsidRDefault="00772406" w:rsidP="00F341F0">
      <w:pPr>
        <w:widowControl w:val="0"/>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如预期活体生物将要装运或之前业已装运，承运人运送货物的所有人和经营人应确保所运输货物经过清洗、消毒或其他适当处理。</w:t>
      </w:r>
      <w:r w:rsidRPr="0012417D">
        <w:rPr>
          <w:rFonts w:eastAsiaTheme="minorEastAsia"/>
          <w:snapToGrid w:val="0"/>
          <w:spacing w:val="-20"/>
          <w:kern w:val="22"/>
          <w:lang w:val="en-CA" w:eastAsia="zh-CN"/>
        </w:rPr>
        <w:t>承运人运送货物的所有人应采取负责任的措施</w:t>
      </w:r>
      <w:r w:rsidRPr="002C0C4B">
        <w:rPr>
          <w:rFonts w:eastAsiaTheme="minorEastAsia"/>
          <w:snapToGrid w:val="0"/>
          <w:kern w:val="22"/>
          <w:lang w:val="en-CA" w:eastAsia="zh-CN"/>
        </w:rPr>
        <w:t>，在</w:t>
      </w:r>
      <w:r w:rsidRPr="002C0C4B">
        <w:rPr>
          <w:rFonts w:eastAsiaTheme="minorEastAsia"/>
          <w:snapToGrid w:val="0"/>
          <w:kern w:val="22"/>
          <w:lang w:val="en-CA" w:eastAsia="zh-CN"/>
        </w:rPr>
        <w:lastRenderedPageBreak/>
        <w:t>承运人运送货物到达目的地后立即进行处理，并保持经过处理的状况直至下一次的使用。</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操作之前应对承运人运送的货物进行检查，以确定其卫生和动物卫生状况，确保将无意造成的害虫、病原体和外来入侵物种的引入减少至最少程度。</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在发生活体生物逃逸、运送货物意外溢漏或泄露的情况时，承运人运送货物的所有人和经营人应采取必要措施收回并控制住活体生物以及附着的外来物种，并立即向该国有关当局通报活体生物的逃逸、运送货物意外溢漏或泄露。承运人运送货物的所有人和经营人应清洗承运人运送的货物，适当对其进行消毒或处理，并向受影响国家（过境国或目的地）的相关国家当局通报逃逸、溢漏或泄露的性质以及承运人运送货物的所有人或经营人所采取的措施。</w:t>
      </w:r>
    </w:p>
    <w:p w:rsidR="00772406" w:rsidRPr="002C0C4B" w:rsidRDefault="00772406" w:rsidP="001A42F8">
      <w:pPr>
        <w:keepNext/>
        <w:numPr>
          <w:ilvl w:val="0"/>
          <w:numId w:val="196"/>
        </w:numPr>
        <w:suppressLineNumbers/>
        <w:suppressAutoHyphens/>
        <w:kinsoku w:val="0"/>
        <w:overflowPunct w:val="0"/>
        <w:autoSpaceDE w:val="0"/>
        <w:autoSpaceDN w:val="0"/>
        <w:adjustRightInd w:val="0"/>
        <w:snapToGrid w:val="0"/>
        <w:ind w:left="0" w:firstLine="0"/>
        <w:jc w:val="center"/>
        <w:outlineLvl w:val="1"/>
        <w:rPr>
          <w:rFonts w:eastAsiaTheme="minorEastAsia"/>
          <w:b/>
          <w:bCs/>
          <w:iCs/>
          <w:snapToGrid w:val="0"/>
          <w:kern w:val="22"/>
          <w:lang w:val="en-CA" w:eastAsia="en-CA"/>
        </w:rPr>
      </w:pPr>
      <w:r w:rsidRPr="002C0C4B">
        <w:rPr>
          <w:rFonts w:eastAsiaTheme="minorEastAsia"/>
          <w:b/>
          <w:bCs/>
          <w:iCs/>
          <w:snapToGrid w:val="0"/>
          <w:kern w:val="22"/>
          <w:lang w:val="en-CA" w:eastAsia="zh-CN"/>
        </w:rPr>
        <w:t xml:space="preserve">    </w:t>
      </w:r>
      <w:bookmarkStart w:id="151" w:name="_Toc6243759"/>
      <w:r w:rsidRPr="002C0C4B">
        <w:rPr>
          <w:rFonts w:eastAsiaTheme="minorEastAsia"/>
          <w:b/>
          <w:bCs/>
          <w:iCs/>
          <w:snapToGrid w:val="0"/>
          <w:kern w:val="22"/>
          <w:lang w:val="en-CA" w:eastAsia="en-CA"/>
        </w:rPr>
        <w:t>接收人</w:t>
      </w:r>
      <w:r w:rsidRPr="002C0C4B">
        <w:rPr>
          <w:rFonts w:eastAsiaTheme="minorEastAsia"/>
          <w:b/>
          <w:bCs/>
          <w:iCs/>
          <w:snapToGrid w:val="0"/>
          <w:kern w:val="22"/>
          <w:lang w:val="en-CA" w:eastAsia="en-CA"/>
        </w:rPr>
        <w:t>/</w:t>
      </w:r>
      <w:r w:rsidRPr="002C0C4B">
        <w:rPr>
          <w:rFonts w:eastAsiaTheme="minorEastAsia"/>
          <w:b/>
          <w:bCs/>
          <w:iCs/>
          <w:snapToGrid w:val="0"/>
          <w:kern w:val="22"/>
          <w:lang w:val="en-CA" w:eastAsia="en-CA"/>
        </w:rPr>
        <w:t>进口者的角色</w:t>
      </w:r>
      <w:bookmarkEnd w:id="151"/>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bCs/>
          <w:iCs/>
          <w:snapToGrid w:val="0"/>
          <w:kern w:val="22"/>
          <w:lang w:val="en-CA" w:eastAsia="ja-JP"/>
        </w:rPr>
      </w:pPr>
      <w:r w:rsidRPr="002C0C4B">
        <w:rPr>
          <w:rFonts w:eastAsiaTheme="minorEastAsia"/>
          <w:snapToGrid w:val="0"/>
          <w:kern w:val="22"/>
          <w:lang w:val="en-CA" w:eastAsia="zh-CN"/>
        </w:rPr>
        <w:t>接收人</w:t>
      </w:r>
      <w:r w:rsidRPr="002C0C4B">
        <w:rPr>
          <w:rFonts w:eastAsiaTheme="minorEastAsia"/>
          <w:bCs/>
          <w:iCs/>
          <w:snapToGrid w:val="0"/>
          <w:kern w:val="22"/>
          <w:lang w:val="en-CA" w:eastAsia="zh-CN"/>
        </w:rPr>
        <w:t>/</w:t>
      </w:r>
      <w:r w:rsidRPr="002C0C4B">
        <w:rPr>
          <w:rFonts w:eastAsiaTheme="minorEastAsia"/>
          <w:bCs/>
          <w:iCs/>
          <w:snapToGrid w:val="0"/>
          <w:spacing w:val="20"/>
          <w:kern w:val="22"/>
          <w:lang w:val="en-CA" w:eastAsia="zh-CN"/>
        </w:rPr>
        <w:t>进口者应了解进口国的进口</w:t>
      </w:r>
      <w:bookmarkStart w:id="152" w:name="_Hlk518695601"/>
      <w:r w:rsidRPr="002C0C4B">
        <w:rPr>
          <w:rFonts w:eastAsiaTheme="minorEastAsia"/>
          <w:bCs/>
          <w:iCs/>
          <w:snapToGrid w:val="0"/>
          <w:spacing w:val="20"/>
          <w:kern w:val="22"/>
          <w:lang w:val="en-CA" w:eastAsia="zh-CN"/>
        </w:rPr>
        <w:t>规定</w:t>
      </w:r>
      <w:bookmarkEnd w:id="152"/>
      <w:r w:rsidRPr="002C0C4B">
        <w:rPr>
          <w:rFonts w:eastAsiaTheme="minorEastAsia"/>
          <w:bCs/>
          <w:iCs/>
          <w:snapToGrid w:val="0"/>
          <w:spacing w:val="20"/>
          <w:kern w:val="22"/>
          <w:lang w:val="en-CA" w:eastAsia="zh-CN"/>
        </w:rPr>
        <w:t>，并确保遵守进口规定</w:t>
      </w:r>
      <w:r w:rsidRPr="002C0C4B">
        <w:rPr>
          <w:rFonts w:eastAsiaTheme="minorEastAsia"/>
          <w:bCs/>
          <w:iCs/>
          <w:snapToGrid w:val="0"/>
          <w:kern w:val="22"/>
          <w:lang w:val="en-CA" w:eastAsia="zh-CN"/>
        </w:rPr>
        <w:t>。如货物受到污染，进口者应通知有关当局，以确保采取必要措施控制和处置污染物。</w:t>
      </w:r>
    </w:p>
    <w:p w:rsidR="00772406" w:rsidRPr="002C0C4B" w:rsidRDefault="00772406" w:rsidP="001A42F8">
      <w:pPr>
        <w:keepNext/>
        <w:numPr>
          <w:ilvl w:val="0"/>
          <w:numId w:val="196"/>
        </w:numPr>
        <w:suppressLineNumbers/>
        <w:suppressAutoHyphens/>
        <w:kinsoku w:val="0"/>
        <w:overflowPunct w:val="0"/>
        <w:autoSpaceDE w:val="0"/>
        <w:autoSpaceDN w:val="0"/>
        <w:adjustRightInd w:val="0"/>
        <w:snapToGrid w:val="0"/>
        <w:ind w:left="0" w:firstLine="0"/>
        <w:jc w:val="center"/>
        <w:outlineLvl w:val="1"/>
        <w:rPr>
          <w:rFonts w:eastAsiaTheme="minorEastAsia"/>
          <w:b/>
          <w:bCs/>
          <w:iCs/>
          <w:snapToGrid w:val="0"/>
          <w:kern w:val="22"/>
          <w:lang w:val="en-CA" w:eastAsia="zh-CN"/>
        </w:rPr>
      </w:pPr>
      <w:r w:rsidRPr="002C0C4B">
        <w:rPr>
          <w:rFonts w:eastAsiaTheme="minorEastAsia"/>
          <w:b/>
          <w:bCs/>
          <w:iCs/>
          <w:snapToGrid w:val="0"/>
          <w:kern w:val="22"/>
          <w:lang w:val="en-CA" w:eastAsia="zh-CN"/>
        </w:rPr>
        <w:t xml:space="preserve">   </w:t>
      </w:r>
      <w:bookmarkStart w:id="153" w:name="_Toc6243760"/>
      <w:r w:rsidRPr="002C0C4B">
        <w:rPr>
          <w:rFonts w:eastAsiaTheme="minorEastAsia"/>
          <w:b/>
          <w:bCs/>
          <w:iCs/>
          <w:snapToGrid w:val="0"/>
          <w:kern w:val="22"/>
          <w:lang w:val="en-CA" w:eastAsia="zh-CN"/>
        </w:rPr>
        <w:t>国家和国家当局在外来入侵物种方面的角色</w:t>
      </w:r>
      <w:bookmarkEnd w:id="153"/>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zh-CN"/>
        </w:rPr>
      </w:pPr>
      <w:r w:rsidRPr="002C0C4B">
        <w:rPr>
          <w:rFonts w:eastAsiaTheme="minorEastAsia"/>
          <w:snapToGrid w:val="0"/>
          <w:kern w:val="22"/>
          <w:lang w:val="en-CA" w:eastAsia="zh-CN"/>
        </w:rPr>
        <w:t>建议各国收集和保留其进口含活体生物托运物的相关记录，包括发送人</w:t>
      </w:r>
      <w:r w:rsidRPr="002C0C4B">
        <w:rPr>
          <w:rFonts w:eastAsiaTheme="minorEastAsia"/>
          <w:snapToGrid w:val="0"/>
          <w:kern w:val="22"/>
          <w:lang w:val="en-CA" w:eastAsia="zh-CN"/>
        </w:rPr>
        <w:t>/</w:t>
      </w:r>
      <w:r w:rsidRPr="002C0C4B">
        <w:rPr>
          <w:rFonts w:eastAsiaTheme="minorEastAsia"/>
          <w:snapToGrid w:val="0"/>
          <w:kern w:val="22"/>
          <w:lang w:val="en-CA" w:eastAsia="zh-CN"/>
        </w:rPr>
        <w:t>出口者、接收人</w:t>
      </w:r>
      <w:r w:rsidRPr="002C0C4B">
        <w:rPr>
          <w:rFonts w:eastAsiaTheme="minorEastAsia"/>
          <w:snapToGrid w:val="0"/>
          <w:kern w:val="22"/>
          <w:lang w:val="en-CA" w:eastAsia="zh-CN"/>
        </w:rPr>
        <w:t>/</w:t>
      </w:r>
      <w:r w:rsidRPr="002C0C4B">
        <w:rPr>
          <w:rFonts w:eastAsiaTheme="minorEastAsia"/>
          <w:snapToGrid w:val="0"/>
          <w:kern w:val="22"/>
          <w:lang w:val="en-CA" w:eastAsia="zh-CN"/>
        </w:rPr>
        <w:t>进口者、物种名称以及生物或商品的来源。如在托运物中检测到污染物，还应记录为防止外来入侵物种、害虫和病原体的引入和传播所采取的措施以及动物的健康状况和植物检疫条件。</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zh-CN"/>
        </w:rPr>
      </w:pPr>
      <w:r w:rsidRPr="002C0C4B">
        <w:rPr>
          <w:rFonts w:eastAsiaTheme="minorEastAsia"/>
          <w:snapToGrid w:val="0"/>
          <w:kern w:val="22"/>
          <w:lang w:val="en-CA" w:eastAsia="zh-CN"/>
        </w:rPr>
        <w:t>国家应根据现有国际指导意见及国家条例和</w:t>
      </w:r>
      <w:r w:rsidRPr="0012417D">
        <w:rPr>
          <w:rFonts w:eastAsiaTheme="minorEastAsia"/>
          <w:snapToGrid w:val="0"/>
          <w:spacing w:val="-20"/>
          <w:kern w:val="22"/>
          <w:lang w:val="en-CA" w:eastAsia="zh-CN"/>
        </w:rPr>
        <w:t>政策，采取适当的国家边界风险管理措施，</w:t>
      </w:r>
      <w:r w:rsidRPr="002C0C4B">
        <w:rPr>
          <w:rFonts w:eastAsiaTheme="minorEastAsia"/>
          <w:snapToGrid w:val="0"/>
          <w:kern w:val="22"/>
          <w:lang w:val="en-CA" w:eastAsia="zh-CN"/>
        </w:rPr>
        <w:t>以便最大限度地减少无意造成的与活生物体贸易相关的外来入侵有物种的引入。</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zh-CN"/>
        </w:rPr>
      </w:pPr>
      <w:r w:rsidRPr="002C0C4B">
        <w:rPr>
          <w:rFonts w:eastAsiaTheme="minorEastAsia"/>
          <w:snapToGrid w:val="0"/>
          <w:kern w:val="22"/>
          <w:lang w:val="en-CA" w:eastAsia="zh-CN"/>
        </w:rPr>
        <w:t>国家可鼓励使用基于</w:t>
      </w:r>
      <w:r w:rsidRPr="002C0C4B">
        <w:rPr>
          <w:rFonts w:eastAsiaTheme="minorEastAsia"/>
          <w:snapToGrid w:val="0"/>
          <w:kern w:val="22"/>
          <w:lang w:val="en-CA" w:eastAsia="zh-CN"/>
        </w:rPr>
        <w:t>DNA</w:t>
      </w:r>
      <w:r w:rsidRPr="002C0C4B">
        <w:rPr>
          <w:rFonts w:eastAsiaTheme="minorEastAsia"/>
          <w:snapToGrid w:val="0"/>
          <w:kern w:val="22"/>
          <w:lang w:val="en-CA" w:eastAsia="zh-CN"/>
        </w:rPr>
        <w:t>序列的分类学鉴定技术，如</w:t>
      </w:r>
      <w:r w:rsidRPr="002C0C4B">
        <w:rPr>
          <w:rFonts w:eastAsiaTheme="minorEastAsia"/>
          <w:snapToGrid w:val="0"/>
          <w:kern w:val="22"/>
          <w:lang w:val="en-CA" w:eastAsia="zh-CN"/>
        </w:rPr>
        <w:t>DNA</w:t>
      </w:r>
      <w:r w:rsidRPr="002C0C4B">
        <w:rPr>
          <w:rFonts w:eastAsiaTheme="minorEastAsia"/>
          <w:snapToGrid w:val="0"/>
          <w:kern w:val="22"/>
          <w:lang w:val="en-CA" w:eastAsia="zh-CN"/>
        </w:rPr>
        <w:t>条形码，作为鉴定国家关注的外来物种的工具。</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zh-CN"/>
        </w:rPr>
      </w:pPr>
      <w:r w:rsidRPr="002C0C4B">
        <w:rPr>
          <w:rFonts w:eastAsiaTheme="minorEastAsia"/>
          <w:snapToGrid w:val="0"/>
          <w:kern w:val="22"/>
          <w:lang w:val="en-CA" w:eastAsia="zh-CN"/>
        </w:rPr>
        <w:t>当无意造成的外来入侵物种进入或立足之后，应向相关当局作出通报，并酌情通知环境当局、兽医当局</w:t>
      </w:r>
      <w:r w:rsidRPr="002C0C4B">
        <w:rPr>
          <w:rFonts w:eastAsiaTheme="minorEastAsia"/>
          <w:snapToGrid w:val="0"/>
          <w:kern w:val="22"/>
          <w:lang w:val="en-CA" w:eastAsia="zh-CN"/>
        </w:rPr>
        <w:t>/</w:t>
      </w:r>
      <w:r w:rsidRPr="002C0C4B">
        <w:rPr>
          <w:rFonts w:eastAsiaTheme="minorEastAsia"/>
          <w:snapToGrid w:val="0"/>
          <w:kern w:val="22"/>
          <w:lang w:val="en-CA" w:eastAsia="zh-CN"/>
        </w:rPr>
        <w:t>主管当局以及国家植物保护组织，以确保出口国或再出口国、邻国和过境国获悉有关情况，防止外来入侵物种的进一步传播。</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国家应与相关组织合作</w:t>
      </w:r>
      <w:r w:rsidRPr="0012417D">
        <w:rPr>
          <w:rFonts w:eastAsiaTheme="minorEastAsia"/>
          <w:snapToGrid w:val="0"/>
          <w:spacing w:val="-20"/>
          <w:kern w:val="22"/>
          <w:lang w:val="en-CA" w:eastAsia="zh-CN"/>
        </w:rPr>
        <w:t>，通过以下方式向公众通报信息：</w:t>
      </w:r>
      <w:r w:rsidRPr="0012417D">
        <w:rPr>
          <w:rFonts w:eastAsiaTheme="minorEastAsia"/>
          <w:snapToGrid w:val="0"/>
          <w:spacing w:val="-20"/>
          <w:kern w:val="22"/>
          <w:lang w:val="en-CA" w:eastAsia="ja-JP"/>
        </w:rPr>
        <w:t>(a)</w:t>
      </w:r>
      <w:r w:rsidR="0012417D" w:rsidRPr="0012417D">
        <w:rPr>
          <w:rFonts w:eastAsiaTheme="minorEastAsia"/>
          <w:snapToGrid w:val="0"/>
          <w:spacing w:val="-20"/>
          <w:kern w:val="22"/>
          <w:lang w:val="en-CA" w:eastAsia="ja-JP"/>
        </w:rPr>
        <w:t xml:space="preserve"> </w:t>
      </w:r>
      <w:r w:rsidRPr="0012417D">
        <w:rPr>
          <w:rFonts w:eastAsiaTheme="minorEastAsia"/>
          <w:snapToGrid w:val="0"/>
          <w:spacing w:val="-20"/>
          <w:kern w:val="22"/>
          <w:lang w:val="en-CA" w:eastAsia="zh-CN"/>
        </w:rPr>
        <w:t>活生物体贸易的进口要求，</w:t>
      </w:r>
      <w:r w:rsidRPr="002C0C4B">
        <w:rPr>
          <w:rFonts w:eastAsiaTheme="minorEastAsia"/>
          <w:snapToGrid w:val="0"/>
          <w:kern w:val="22"/>
          <w:lang w:val="en-CA" w:eastAsia="zh-CN"/>
        </w:rPr>
        <w:t>和</w:t>
      </w:r>
      <w:r w:rsidRPr="002C0C4B">
        <w:rPr>
          <w:rFonts w:eastAsiaTheme="minorEastAsia"/>
          <w:lang w:val="en-CA" w:eastAsia="zh-CN"/>
        </w:rPr>
        <w:t>与外来入侵物种相关的</w:t>
      </w:r>
      <w:r w:rsidRPr="002C0C4B">
        <w:rPr>
          <w:rFonts w:eastAsiaTheme="minorEastAsia"/>
          <w:snapToGrid w:val="0"/>
          <w:kern w:val="22"/>
          <w:lang w:val="en-CA" w:eastAsia="zh-CN"/>
        </w:rPr>
        <w:t>国家和区域条例及政策；</w:t>
      </w:r>
      <w:r w:rsidRPr="002C0C4B">
        <w:rPr>
          <w:rFonts w:eastAsiaTheme="minorEastAsia"/>
          <w:snapToGrid w:val="0"/>
          <w:kern w:val="22"/>
          <w:lang w:val="en-CA" w:eastAsia="ja-JP"/>
        </w:rPr>
        <w:t xml:space="preserve"> </w:t>
      </w:r>
      <w:r w:rsidRPr="002C0C4B">
        <w:rPr>
          <w:rFonts w:eastAsiaTheme="minorEastAsia"/>
          <w:snapToGrid w:val="0"/>
          <w:kern w:val="22"/>
          <w:lang w:val="en-CA" w:eastAsia="zh-CN"/>
        </w:rPr>
        <w:t>以及</w:t>
      </w:r>
      <w:r w:rsidRPr="002C0C4B">
        <w:rPr>
          <w:rFonts w:eastAsiaTheme="minorEastAsia"/>
          <w:snapToGrid w:val="0"/>
          <w:kern w:val="22"/>
          <w:lang w:val="en-CA" w:eastAsia="zh-CN"/>
        </w:rPr>
        <w:t xml:space="preserve"> </w:t>
      </w:r>
      <w:r w:rsidRPr="002C0C4B">
        <w:rPr>
          <w:rFonts w:eastAsiaTheme="minorEastAsia"/>
          <w:snapToGrid w:val="0"/>
          <w:kern w:val="22"/>
          <w:lang w:val="en-CA" w:eastAsia="ja-JP"/>
        </w:rPr>
        <w:t>(b)</w:t>
      </w:r>
      <w:r w:rsidRPr="002C0C4B">
        <w:rPr>
          <w:rFonts w:eastAsiaTheme="minorEastAsia"/>
          <w:snapToGrid w:val="0"/>
          <w:kern w:val="22"/>
          <w:lang w:val="en-CA" w:eastAsia="zh-CN"/>
        </w:rPr>
        <w:t xml:space="preserve"> </w:t>
      </w:r>
      <w:r w:rsidRPr="002C0C4B">
        <w:rPr>
          <w:rFonts w:eastAsiaTheme="minorEastAsia"/>
          <w:snapToGrid w:val="0"/>
          <w:kern w:val="22"/>
          <w:lang w:val="en-CA" w:eastAsia="zh-CN"/>
        </w:rPr>
        <w:t>渠道风险分析的结果，如果进行了分析的话。</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b/>
          <w:bCs/>
          <w:iCs/>
          <w:snapToGrid w:val="0"/>
          <w:kern w:val="22"/>
          <w:lang w:val="en-CA" w:eastAsia="zh-CN"/>
        </w:rPr>
      </w:pPr>
      <w:r w:rsidRPr="002C0C4B">
        <w:rPr>
          <w:rFonts w:eastAsiaTheme="minorEastAsia"/>
          <w:snapToGrid w:val="0"/>
          <w:kern w:val="22"/>
          <w:lang w:val="en-CA" w:eastAsia="zh-CN"/>
        </w:rPr>
        <w:t>接受活体生物的国家</w:t>
      </w:r>
      <w:r w:rsidRPr="002C0C4B">
        <w:rPr>
          <w:rFonts w:eastAsiaTheme="minorEastAsia"/>
          <w:lang w:val="en-CA" w:eastAsia="zh-CN"/>
        </w:rPr>
        <w:t>、国家以下级政府、相关组织和</w:t>
      </w:r>
      <w:r w:rsidRPr="002C0C4B">
        <w:rPr>
          <w:rFonts w:eastAsiaTheme="minorEastAsia"/>
          <w:snapToGrid w:val="0"/>
          <w:kern w:val="22"/>
          <w:lang w:val="en-CA" w:eastAsia="zh-CN"/>
        </w:rPr>
        <w:t>参与活体生物贸易</w:t>
      </w:r>
      <w:r w:rsidRPr="002C0C4B">
        <w:rPr>
          <w:rFonts w:eastAsiaTheme="minorEastAsia"/>
          <w:lang w:val="en-CA" w:eastAsia="zh-CN"/>
        </w:rPr>
        <w:t>的业界</w:t>
      </w:r>
      <w:r w:rsidRPr="002C0C4B">
        <w:rPr>
          <w:rFonts w:eastAsiaTheme="minorEastAsia"/>
          <w:snapToGrid w:val="0"/>
          <w:kern w:val="22"/>
          <w:lang w:val="en-CA" w:eastAsia="zh-CN"/>
        </w:rPr>
        <w:t>应提高整个</w:t>
      </w:r>
      <w:r w:rsidRPr="002C0C4B">
        <w:rPr>
          <w:rFonts w:eastAsiaTheme="minorEastAsia"/>
          <w:lang w:val="en-CA" w:eastAsia="zh-CN"/>
        </w:rPr>
        <w:t>价值</w:t>
      </w:r>
      <w:r w:rsidRPr="002C0C4B">
        <w:rPr>
          <w:rFonts w:eastAsiaTheme="minorEastAsia"/>
          <w:snapToGrid w:val="0"/>
          <w:kern w:val="22"/>
          <w:lang w:val="en-CA" w:eastAsia="zh-CN"/>
        </w:rPr>
        <w:t>链所涉人士对无意造成的引入害虫、病原体和外来入侵物种风险的认识。这包括利用</w:t>
      </w:r>
      <w:r w:rsidRPr="002C0C4B">
        <w:rPr>
          <w:rFonts w:eastAsiaTheme="minorEastAsia"/>
          <w:shd w:val="clear" w:color="auto" w:fill="FFFFFF"/>
          <w:lang w:val="en-CA" w:eastAsia="zh-CN"/>
        </w:rPr>
        <w:t>因无意造成引入外来入侵物种而导致生物入侵的专案研究，</w:t>
      </w:r>
      <w:r w:rsidRPr="002C0C4B">
        <w:rPr>
          <w:rFonts w:eastAsiaTheme="minorEastAsia"/>
          <w:snapToGrid w:val="0"/>
          <w:kern w:val="22"/>
          <w:lang w:val="en-CA" w:eastAsia="zh-CN"/>
        </w:rPr>
        <w:t>针对公众、潜在经营人（业余畜牧生产者等）和</w:t>
      </w:r>
      <w:r w:rsidRPr="002C0C4B">
        <w:rPr>
          <w:rFonts w:eastAsiaTheme="minorEastAsia"/>
          <w:shd w:val="clear" w:color="auto" w:fill="FFFFFF"/>
          <w:lang w:val="en-CA" w:eastAsia="zh-CN"/>
        </w:rPr>
        <w:t>参与整个价值链人员开展提高认识活动。</w:t>
      </w:r>
    </w:p>
    <w:p w:rsidR="00F341F0" w:rsidRDefault="00F341F0" w:rsidP="00F341F0">
      <w:pPr>
        <w:widowControl w:val="0"/>
        <w:suppressLineNumbers/>
        <w:suppressAutoHyphens/>
        <w:kinsoku w:val="0"/>
        <w:overflowPunct w:val="0"/>
        <w:autoSpaceDE w:val="0"/>
        <w:autoSpaceDN w:val="0"/>
        <w:adjustRightInd w:val="0"/>
        <w:snapToGrid w:val="0"/>
        <w:ind w:firstLine="0"/>
        <w:outlineLvl w:val="1"/>
        <w:rPr>
          <w:rFonts w:eastAsiaTheme="minorEastAsia"/>
          <w:b/>
          <w:bCs/>
          <w:iCs/>
          <w:snapToGrid w:val="0"/>
          <w:kern w:val="22"/>
          <w:lang w:val="en-CA" w:eastAsia="zh-CN"/>
        </w:rPr>
      </w:pPr>
    </w:p>
    <w:p w:rsidR="00772406" w:rsidRPr="002C0C4B" w:rsidRDefault="00772406" w:rsidP="001A42F8">
      <w:pPr>
        <w:widowControl w:val="0"/>
        <w:numPr>
          <w:ilvl w:val="0"/>
          <w:numId w:val="196"/>
        </w:numPr>
        <w:suppressLineNumbers/>
        <w:suppressAutoHyphens/>
        <w:kinsoku w:val="0"/>
        <w:overflowPunct w:val="0"/>
        <w:autoSpaceDE w:val="0"/>
        <w:autoSpaceDN w:val="0"/>
        <w:adjustRightInd w:val="0"/>
        <w:snapToGrid w:val="0"/>
        <w:ind w:left="0" w:firstLine="0"/>
        <w:jc w:val="center"/>
        <w:outlineLvl w:val="1"/>
        <w:rPr>
          <w:rFonts w:eastAsiaTheme="minorEastAsia"/>
          <w:b/>
          <w:bCs/>
          <w:iCs/>
          <w:snapToGrid w:val="0"/>
          <w:kern w:val="22"/>
          <w:lang w:val="en-CA" w:eastAsia="en-CA"/>
        </w:rPr>
      </w:pPr>
      <w:r w:rsidRPr="002C0C4B">
        <w:rPr>
          <w:rFonts w:eastAsiaTheme="minorEastAsia"/>
          <w:b/>
          <w:bCs/>
          <w:iCs/>
          <w:snapToGrid w:val="0"/>
          <w:kern w:val="22"/>
          <w:lang w:val="en-CA" w:eastAsia="zh-CN"/>
        </w:rPr>
        <w:lastRenderedPageBreak/>
        <w:t xml:space="preserve">    </w:t>
      </w:r>
      <w:bookmarkStart w:id="154" w:name="_Toc6243761"/>
      <w:r w:rsidRPr="002C0C4B">
        <w:rPr>
          <w:rFonts w:eastAsiaTheme="minorEastAsia"/>
          <w:b/>
          <w:bCs/>
          <w:iCs/>
          <w:snapToGrid w:val="0"/>
          <w:kern w:val="22"/>
          <w:lang w:val="en-CA" w:eastAsia="en-CA"/>
        </w:rPr>
        <w:t>监测</w:t>
      </w:r>
      <w:bookmarkEnd w:id="154"/>
    </w:p>
    <w:p w:rsidR="00772406" w:rsidRPr="002C0C4B" w:rsidRDefault="00772406" w:rsidP="001A42F8">
      <w:pPr>
        <w:widowControl w:val="0"/>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国家应加强对无意造成进入其领土</w:t>
      </w:r>
      <w:r w:rsidRPr="002C0C4B">
        <w:rPr>
          <w:rFonts w:eastAsiaTheme="minorEastAsia"/>
          <w:snapToGrid w:val="0"/>
          <w:spacing w:val="-20"/>
          <w:kern w:val="22"/>
          <w:lang w:val="en-CA" w:eastAsia="zh-CN"/>
        </w:rPr>
        <w:t>，特别是其容易受到入侵的有可能发生外来入侵物种的进入</w:t>
      </w:r>
      <w:r w:rsidRPr="002C0C4B">
        <w:rPr>
          <w:rFonts w:eastAsiaTheme="minorEastAsia"/>
          <w:snapToGrid w:val="0"/>
          <w:kern w:val="22"/>
          <w:lang w:val="en-CA" w:eastAsia="zh-CN"/>
        </w:rPr>
        <w:t>、立足和初期传播的地区（如，港口、交叉停泊和仓库设施、码头集装箱堆场、连接公路和铁路）外来入侵有机物的监测。</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当发现可能遭受入侵地区的无意造成的引入后，国家应加强对附近对于保护生物多样性感到关切的地区的外来入侵物种的监测，并应迅速采取对策限制、控制和尽可能消除外来入侵物种。</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ja-JP"/>
        </w:rPr>
      </w:pPr>
      <w:r w:rsidRPr="002C0C4B">
        <w:rPr>
          <w:rFonts w:eastAsiaTheme="minorEastAsia"/>
          <w:snapToGrid w:val="0"/>
          <w:kern w:val="22"/>
          <w:lang w:val="en-CA" w:eastAsia="zh-CN"/>
        </w:rPr>
        <w:t>国家应与国家以下级或地方当局合作，监测随着活体生物的进口无意造成的外来入侵物种的国内移动和传播，以便尽可能减少外来入侵物种的影响和传播。</w:t>
      </w:r>
    </w:p>
    <w:p w:rsidR="00772406" w:rsidRPr="002C0C4B" w:rsidRDefault="00772406" w:rsidP="001A42F8">
      <w:pPr>
        <w:keepNext/>
        <w:numPr>
          <w:ilvl w:val="0"/>
          <w:numId w:val="196"/>
        </w:numPr>
        <w:suppressLineNumbers/>
        <w:suppressAutoHyphens/>
        <w:kinsoku w:val="0"/>
        <w:overflowPunct w:val="0"/>
        <w:autoSpaceDE w:val="0"/>
        <w:autoSpaceDN w:val="0"/>
        <w:adjustRightInd w:val="0"/>
        <w:snapToGrid w:val="0"/>
        <w:ind w:left="0" w:firstLine="0"/>
        <w:jc w:val="center"/>
        <w:outlineLvl w:val="1"/>
        <w:rPr>
          <w:rFonts w:eastAsiaTheme="minorEastAsia"/>
          <w:b/>
          <w:bCs/>
          <w:iCs/>
          <w:snapToGrid w:val="0"/>
          <w:kern w:val="22"/>
          <w:lang w:val="en-CA" w:eastAsia="en-CA"/>
        </w:rPr>
      </w:pPr>
      <w:r w:rsidRPr="002C0C4B">
        <w:rPr>
          <w:rFonts w:eastAsiaTheme="minorEastAsia"/>
          <w:b/>
          <w:bCs/>
          <w:iCs/>
          <w:snapToGrid w:val="0"/>
          <w:kern w:val="22"/>
          <w:lang w:val="en-CA" w:eastAsia="zh-CN"/>
        </w:rPr>
        <w:t xml:space="preserve">   </w:t>
      </w:r>
      <w:bookmarkStart w:id="155" w:name="_Toc6243762"/>
      <w:r w:rsidRPr="002C0C4B">
        <w:rPr>
          <w:rFonts w:eastAsiaTheme="minorEastAsia"/>
          <w:b/>
          <w:bCs/>
          <w:iCs/>
          <w:snapToGrid w:val="0"/>
          <w:kern w:val="22"/>
          <w:lang w:val="en-CA" w:eastAsia="en-CA"/>
        </w:rPr>
        <w:t>其他事项</w:t>
      </w:r>
      <w:bookmarkEnd w:id="155"/>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zh-CN"/>
        </w:rPr>
      </w:pPr>
      <w:r w:rsidRPr="002C0C4B">
        <w:rPr>
          <w:rFonts w:eastAsiaTheme="minorEastAsia"/>
          <w:snapToGrid w:val="0"/>
          <w:kern w:val="22"/>
          <w:lang w:val="en-CA" w:eastAsia="zh-CN"/>
        </w:rPr>
        <w:t>任何关于无意造成的出口国和进口国引入渠道的风险管理措施，以及国际机构规定的涉及运输和交付服务的行为守则，均可在本补充指导意见的范围内适用。</w:t>
      </w:r>
    </w:p>
    <w:p w:rsidR="00772406" w:rsidRPr="002C0C4B" w:rsidRDefault="00772406" w:rsidP="001A42F8">
      <w:pPr>
        <w:numPr>
          <w:ilvl w:val="0"/>
          <w:numId w:val="195"/>
        </w:numPr>
        <w:suppressLineNumbers/>
        <w:tabs>
          <w:tab w:val="left" w:pos="720"/>
        </w:tabs>
        <w:suppressAutoHyphens/>
        <w:kinsoku w:val="0"/>
        <w:overflowPunct w:val="0"/>
        <w:autoSpaceDE w:val="0"/>
        <w:autoSpaceDN w:val="0"/>
        <w:adjustRightInd w:val="0"/>
        <w:snapToGrid w:val="0"/>
        <w:ind w:left="0" w:firstLine="0"/>
        <w:rPr>
          <w:rFonts w:eastAsiaTheme="minorEastAsia"/>
          <w:snapToGrid w:val="0"/>
          <w:kern w:val="22"/>
          <w:lang w:val="en-CA" w:eastAsia="zh-CN"/>
        </w:rPr>
      </w:pPr>
      <w:r w:rsidRPr="0012417D">
        <w:rPr>
          <w:rFonts w:eastAsiaTheme="minorEastAsia"/>
          <w:snapToGrid w:val="0"/>
          <w:spacing w:val="-20"/>
          <w:kern w:val="22"/>
          <w:lang w:val="en-CA" w:eastAsia="zh-CN"/>
        </w:rPr>
        <w:t>对打算进口用作宠物、水族馆和温箱生物，</w:t>
      </w:r>
      <w:r w:rsidRPr="002C0C4B">
        <w:rPr>
          <w:rFonts w:eastAsiaTheme="minorEastAsia"/>
          <w:snapToGrid w:val="0"/>
          <w:kern w:val="22"/>
          <w:lang w:val="en-CA" w:eastAsia="zh-CN"/>
        </w:rPr>
        <w:t>或用作活饵和活食的生物进行风险评估时，应考虑到无意中移入作为污染物的其他物种，例如铺垫物品或在集装箱以及相关运输工具中的食物或饲料这种风险。</w:t>
      </w:r>
    </w:p>
    <w:p w:rsidR="00772406" w:rsidRPr="000551D6" w:rsidRDefault="00772406" w:rsidP="0083788E">
      <w:pPr>
        <w:spacing w:before="240"/>
        <w:ind w:firstLine="0"/>
        <w:jc w:val="center"/>
        <w:rPr>
          <w:rFonts w:ascii="KaiTi" w:eastAsia="KaiTi" w:hAnsi="KaiTi"/>
          <w:snapToGrid w:val="0"/>
          <w:kern w:val="22"/>
          <w:lang w:val="en-CA" w:eastAsia="zh-CN"/>
        </w:rPr>
      </w:pPr>
      <w:r w:rsidRPr="000551D6">
        <w:rPr>
          <w:rFonts w:ascii="KaiTi" w:eastAsia="KaiTi" w:hAnsi="KaiTi" w:hint="eastAsia"/>
          <w:snapToGrid w:val="0"/>
          <w:kern w:val="22"/>
          <w:lang w:val="en-CA" w:eastAsia="zh-CN"/>
        </w:rPr>
        <w:t>附件二</w:t>
      </w:r>
    </w:p>
    <w:p w:rsidR="00772406" w:rsidRPr="0083788E" w:rsidRDefault="00772406" w:rsidP="0083788E">
      <w:pPr>
        <w:widowControl w:val="0"/>
        <w:suppressLineNumbers/>
        <w:suppressAutoHyphens/>
        <w:kinsoku w:val="0"/>
        <w:overflowPunct w:val="0"/>
        <w:autoSpaceDE w:val="0"/>
        <w:autoSpaceDN w:val="0"/>
        <w:adjustRightInd w:val="0"/>
        <w:snapToGrid w:val="0"/>
        <w:spacing w:after="240"/>
        <w:ind w:firstLine="0"/>
        <w:jc w:val="center"/>
        <w:rPr>
          <w:rFonts w:eastAsiaTheme="minorEastAsia"/>
          <w:b/>
          <w:bCs/>
          <w:caps/>
          <w:snapToGrid w:val="0"/>
          <w:kern w:val="22"/>
          <w:lang w:val="en-CA" w:eastAsia="zh-CN"/>
        </w:rPr>
      </w:pPr>
      <w:r w:rsidRPr="0083788E">
        <w:rPr>
          <w:rFonts w:eastAsiaTheme="minorEastAsia"/>
          <w:b/>
          <w:bCs/>
          <w:caps/>
          <w:snapToGrid w:val="0"/>
          <w:kern w:val="22"/>
          <w:lang w:val="en-CA" w:eastAsia="ja-JP"/>
        </w:rPr>
        <w:t>外来入侵物种</w:t>
      </w:r>
      <w:r w:rsidRPr="0083788E">
        <w:rPr>
          <w:rFonts w:eastAsiaTheme="minorEastAsia"/>
          <w:b/>
          <w:bCs/>
          <w:caps/>
          <w:snapToGrid w:val="0"/>
          <w:kern w:val="22"/>
          <w:lang w:val="en-CA" w:eastAsia="zh-CN"/>
        </w:rPr>
        <w:t>问题特设技术专家组的任务范围</w:t>
      </w:r>
    </w:p>
    <w:p w:rsidR="00772406" w:rsidRPr="0083788E" w:rsidRDefault="00772406" w:rsidP="001A42F8">
      <w:pPr>
        <w:widowControl w:val="0"/>
        <w:numPr>
          <w:ilvl w:val="0"/>
          <w:numId w:val="197"/>
        </w:numPr>
        <w:shd w:val="clear" w:color="auto" w:fill="FFFFFF"/>
        <w:tabs>
          <w:tab w:val="left" w:pos="720"/>
        </w:tabs>
        <w:snapToGrid w:val="0"/>
        <w:ind w:left="0" w:firstLine="0"/>
        <w:rPr>
          <w:rFonts w:eastAsiaTheme="minorEastAsia"/>
          <w:snapToGrid w:val="0"/>
          <w:kern w:val="22"/>
          <w:lang w:val="en-CA" w:eastAsia="ja-JP"/>
        </w:rPr>
      </w:pPr>
      <w:r w:rsidRPr="0083788E">
        <w:rPr>
          <w:rFonts w:eastAsiaTheme="minorEastAsia"/>
          <w:snapToGrid w:val="0"/>
          <w:kern w:val="22"/>
          <w:lang w:val="en-CA" w:eastAsia="ja-JP"/>
        </w:rPr>
        <w:t>特设技术专家组将处理生物多样性和生态系统服务政府间科学政策平台</w:t>
      </w:r>
      <w:r w:rsidRPr="0083788E">
        <w:rPr>
          <w:rFonts w:eastAsiaTheme="minorEastAsia"/>
          <w:snapToGrid w:val="0"/>
          <w:kern w:val="22"/>
          <w:lang w:val="en-CA" w:eastAsia="zh-CN"/>
        </w:rPr>
        <w:t>的</w:t>
      </w:r>
      <w:r w:rsidRPr="0083788E">
        <w:rPr>
          <w:rFonts w:eastAsiaTheme="minorEastAsia"/>
          <w:snapToGrid w:val="0"/>
          <w:kern w:val="22"/>
          <w:lang w:val="en-CA" w:eastAsia="ja-JP"/>
        </w:rPr>
        <w:t>评估</w:t>
      </w:r>
      <w:r w:rsidRPr="0083788E">
        <w:rPr>
          <w:rFonts w:eastAsiaTheme="minorEastAsia"/>
          <w:snapToGrid w:val="0"/>
          <w:kern w:val="22"/>
          <w:lang w:val="en-CA" w:eastAsia="zh-CN"/>
        </w:rPr>
        <w:t>范围之外的事项。</w:t>
      </w:r>
      <w:r w:rsidRPr="0083788E">
        <w:rPr>
          <w:rFonts w:eastAsiaTheme="minorEastAsia"/>
          <w:snapToGrid w:val="0"/>
          <w:kern w:val="22"/>
          <w:lang w:val="en-CA" w:eastAsia="ja-JP"/>
        </w:rPr>
        <w:t>特设技术专家组将</w:t>
      </w:r>
      <w:r w:rsidRPr="0083788E">
        <w:rPr>
          <w:rFonts w:eastAsiaTheme="minorEastAsia"/>
          <w:snapToGrid w:val="0"/>
          <w:kern w:val="22"/>
          <w:lang w:val="en-CA" w:eastAsia="zh-CN"/>
        </w:rPr>
        <w:t>借鉴协调人召集的在线论坛的工作和</w:t>
      </w:r>
      <w:r w:rsidRPr="0083788E">
        <w:rPr>
          <w:rFonts w:eastAsiaTheme="minorEastAsia"/>
          <w:snapToGrid w:val="0"/>
          <w:kern w:val="22"/>
          <w:lang w:val="en-CA" w:eastAsia="ja-JP"/>
        </w:rPr>
        <w:t>各不同部门积累的知识和经验</w:t>
      </w:r>
      <w:r w:rsidRPr="0083788E">
        <w:rPr>
          <w:rFonts w:eastAsiaTheme="minorEastAsia"/>
          <w:snapToGrid w:val="0"/>
          <w:kern w:val="22"/>
          <w:lang w:val="en-CA" w:eastAsia="zh-CN"/>
        </w:rPr>
        <w:t>，就各部门将要实施的外来入侵物种管理措施提供</w:t>
      </w:r>
      <w:r w:rsidRPr="0083788E">
        <w:rPr>
          <w:rFonts w:eastAsiaTheme="minorEastAsia"/>
          <w:snapToGrid w:val="0"/>
          <w:kern w:val="22"/>
          <w:lang w:val="en-CA" w:eastAsia="ja-JP"/>
        </w:rPr>
        <w:t>咨询意见</w:t>
      </w:r>
      <w:r w:rsidRPr="0083788E">
        <w:rPr>
          <w:rFonts w:eastAsiaTheme="minorEastAsia"/>
          <w:snapToGrid w:val="0"/>
          <w:kern w:val="22"/>
          <w:lang w:val="en-CA" w:eastAsia="zh-CN"/>
        </w:rPr>
        <w:t>或制订技术指导</w:t>
      </w:r>
      <w:r w:rsidRPr="0083788E">
        <w:rPr>
          <w:rFonts w:eastAsiaTheme="minorEastAsia"/>
          <w:snapToGrid w:val="0"/>
          <w:kern w:val="22"/>
          <w:lang w:val="en-CA" w:eastAsia="ja-JP"/>
        </w:rPr>
        <w:t>要点</w:t>
      </w:r>
      <w:r w:rsidRPr="0083788E">
        <w:rPr>
          <w:rFonts w:eastAsiaTheme="minorEastAsia"/>
          <w:snapToGrid w:val="0"/>
          <w:kern w:val="22"/>
          <w:lang w:val="en-CA" w:eastAsia="zh-CN"/>
        </w:rPr>
        <w:t>，以协助</w:t>
      </w:r>
      <w:r w:rsidRPr="0083788E">
        <w:rPr>
          <w:rFonts w:eastAsiaTheme="minorEastAsia"/>
          <w:snapToGrid w:val="0"/>
          <w:kern w:val="22"/>
          <w:lang w:val="en-CA" w:eastAsia="ja-JP"/>
        </w:rPr>
        <w:t>实现爱知生物多样性指标</w:t>
      </w:r>
      <w:r w:rsidRPr="0083788E">
        <w:rPr>
          <w:rFonts w:eastAsiaTheme="minorEastAsia"/>
          <w:snapToGrid w:val="0"/>
          <w:kern w:val="22"/>
          <w:lang w:val="en-CA" w:eastAsia="ja-JP"/>
        </w:rPr>
        <w:t>9</w:t>
      </w:r>
      <w:r w:rsidRPr="0083788E">
        <w:rPr>
          <w:rFonts w:eastAsiaTheme="minorEastAsia"/>
          <w:snapToGrid w:val="0"/>
          <w:kern w:val="22"/>
          <w:lang w:val="en-CA" w:eastAsia="zh-CN"/>
        </w:rPr>
        <w:t>和</w:t>
      </w:r>
      <w:r w:rsidRPr="0083788E">
        <w:rPr>
          <w:rFonts w:eastAsiaTheme="minorEastAsia"/>
          <w:snapToGrid w:val="0"/>
          <w:kern w:val="22"/>
          <w:lang w:val="en-CA" w:eastAsia="ja-JP"/>
        </w:rPr>
        <w:t>其</w:t>
      </w:r>
      <w:r w:rsidRPr="0083788E">
        <w:rPr>
          <w:rFonts w:eastAsiaTheme="minorEastAsia"/>
          <w:snapToGrid w:val="0"/>
          <w:kern w:val="22"/>
          <w:lang w:eastAsia="zh-CN"/>
        </w:rPr>
        <w:t>他目标</w:t>
      </w:r>
      <w:r w:rsidRPr="0083788E">
        <w:rPr>
          <w:rFonts w:eastAsiaTheme="minorEastAsia"/>
          <w:snapToGrid w:val="0"/>
          <w:kern w:val="22"/>
          <w:szCs w:val="20"/>
          <w:lang w:eastAsia="ja-JP"/>
        </w:rPr>
        <w:t>：</w:t>
      </w:r>
    </w:p>
    <w:p w:rsidR="00772406" w:rsidRPr="0083788E" w:rsidRDefault="00772406" w:rsidP="001A42F8">
      <w:pPr>
        <w:widowControl w:val="0"/>
        <w:numPr>
          <w:ilvl w:val="1"/>
          <w:numId w:val="197"/>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szCs w:val="20"/>
          <w:lang w:val="en-CA" w:eastAsia="ja-JP"/>
        </w:rPr>
      </w:pPr>
      <w:r w:rsidRPr="0083788E">
        <w:rPr>
          <w:rFonts w:eastAsiaTheme="minorEastAsia"/>
          <w:snapToGrid w:val="0"/>
          <w:kern w:val="22"/>
          <w:szCs w:val="20"/>
          <w:lang w:val="en-CA" w:eastAsia="zh-CN"/>
        </w:rPr>
        <w:t>最适合于</w:t>
      </w:r>
      <w:r w:rsidRPr="0083788E">
        <w:rPr>
          <w:rFonts w:eastAsiaTheme="minorEastAsia"/>
          <w:snapToGrid w:val="0"/>
          <w:kern w:val="22"/>
          <w:szCs w:val="20"/>
          <w:lang w:val="en-CA" w:eastAsia="ja-JP"/>
        </w:rPr>
        <w:t>外来入侵物种</w:t>
      </w:r>
      <w:r w:rsidRPr="0083788E">
        <w:rPr>
          <w:rFonts w:eastAsiaTheme="minorEastAsia"/>
          <w:snapToGrid w:val="0"/>
          <w:kern w:val="22"/>
          <w:szCs w:val="20"/>
          <w:lang w:val="en-CA" w:eastAsia="zh-CN"/>
        </w:rPr>
        <w:t>管理的成本效益和成本效率分析的方法；</w:t>
      </w:r>
    </w:p>
    <w:p w:rsidR="00772406" w:rsidRPr="0012417D" w:rsidRDefault="00772406" w:rsidP="001A42F8">
      <w:pPr>
        <w:widowControl w:val="0"/>
        <w:numPr>
          <w:ilvl w:val="1"/>
          <w:numId w:val="197"/>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szCs w:val="20"/>
          <w:lang w:val="en-CA" w:eastAsia="zh-CN"/>
        </w:rPr>
      </w:pPr>
      <w:r w:rsidRPr="0012417D">
        <w:rPr>
          <w:rFonts w:eastAsiaTheme="minorEastAsia"/>
          <w:snapToGrid w:val="0"/>
          <w:kern w:val="22"/>
          <w:szCs w:val="20"/>
          <w:lang w:val="en-CA" w:eastAsia="zh-CN"/>
        </w:rPr>
        <w:t>确定并最大限度地减少与活生物体跨境电子商务有关的其他风险和相关影响的方法、工具和措施；</w:t>
      </w:r>
      <w:r w:rsidRPr="0012417D">
        <w:rPr>
          <w:rFonts w:eastAsiaTheme="minorEastAsia"/>
          <w:snapToGrid w:val="0"/>
          <w:kern w:val="22"/>
          <w:szCs w:val="20"/>
          <w:lang w:val="en-CA" w:eastAsia="zh-CN"/>
        </w:rPr>
        <w:t> </w:t>
      </w:r>
    </w:p>
    <w:p w:rsidR="00772406" w:rsidRPr="0083788E" w:rsidRDefault="00772406" w:rsidP="001A42F8">
      <w:pPr>
        <w:widowControl w:val="0"/>
        <w:numPr>
          <w:ilvl w:val="1"/>
          <w:numId w:val="197"/>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szCs w:val="20"/>
          <w:lang w:val="en-CA" w:eastAsia="zh-CN"/>
        </w:rPr>
      </w:pPr>
      <w:r w:rsidRPr="0083788E">
        <w:rPr>
          <w:rFonts w:eastAsiaTheme="minorEastAsia"/>
          <w:snapToGrid w:val="0"/>
          <w:kern w:val="22"/>
          <w:szCs w:val="20"/>
          <w:lang w:val="en-CA" w:eastAsia="zh-CN"/>
        </w:rPr>
        <w:t>管理外来入侵物种的方法、工具和战略，以防止气候变化和相关自然灾害和土地用途改变所产生的潜在风险；</w:t>
      </w:r>
    </w:p>
    <w:p w:rsidR="00772406" w:rsidRPr="0012417D" w:rsidRDefault="00772406" w:rsidP="001A42F8">
      <w:pPr>
        <w:widowControl w:val="0"/>
        <w:numPr>
          <w:ilvl w:val="1"/>
          <w:numId w:val="197"/>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spacing w:val="-20"/>
          <w:kern w:val="22"/>
          <w:szCs w:val="20"/>
          <w:lang w:val="en-CA" w:eastAsia="zh-CN"/>
        </w:rPr>
      </w:pPr>
      <w:r w:rsidRPr="0012417D">
        <w:rPr>
          <w:rFonts w:eastAsiaTheme="minorEastAsia"/>
          <w:snapToGrid w:val="0"/>
          <w:spacing w:val="-20"/>
          <w:kern w:val="22"/>
          <w:szCs w:val="20"/>
          <w:lang w:val="en-CA" w:eastAsia="zh-CN"/>
        </w:rPr>
        <w:t>关于外来入侵物种的引入对于社会、经济和文化价值观的潜在影响的风险分析；</w:t>
      </w:r>
    </w:p>
    <w:p w:rsidR="00772406" w:rsidRPr="0083788E" w:rsidRDefault="00772406" w:rsidP="001A42F8">
      <w:pPr>
        <w:widowControl w:val="0"/>
        <w:numPr>
          <w:ilvl w:val="1"/>
          <w:numId w:val="197"/>
        </w:numPr>
        <w:suppressLineNumbers/>
        <w:tabs>
          <w:tab w:val="left" w:pos="1440"/>
        </w:tabs>
        <w:suppressAutoHyphens/>
        <w:kinsoku w:val="0"/>
        <w:overflowPunct w:val="0"/>
        <w:autoSpaceDE w:val="0"/>
        <w:autoSpaceDN w:val="0"/>
        <w:adjustRightInd w:val="0"/>
        <w:snapToGrid w:val="0"/>
        <w:ind w:left="0" w:firstLine="720"/>
        <w:rPr>
          <w:rFonts w:eastAsiaTheme="minorEastAsia"/>
          <w:snapToGrid w:val="0"/>
          <w:kern w:val="22"/>
          <w:szCs w:val="20"/>
          <w:lang w:val="en-CA" w:eastAsia="zh-CN"/>
        </w:rPr>
      </w:pPr>
      <w:r w:rsidRPr="0083788E">
        <w:rPr>
          <w:rFonts w:eastAsiaTheme="minorEastAsia"/>
          <w:snapToGrid w:val="0"/>
          <w:kern w:val="22"/>
          <w:szCs w:val="20"/>
          <w:lang w:val="en-CA" w:eastAsia="zh-CN"/>
        </w:rPr>
        <w:t>利用现有的外来入侵物种及其影响的数据库，协助宣传其风险。</w:t>
      </w:r>
    </w:p>
    <w:p w:rsidR="00772406" w:rsidRPr="0083788E" w:rsidRDefault="00772406" w:rsidP="001A42F8">
      <w:pPr>
        <w:widowControl w:val="0"/>
        <w:numPr>
          <w:ilvl w:val="0"/>
          <w:numId w:val="197"/>
        </w:numPr>
        <w:shd w:val="clear" w:color="auto" w:fill="FFFFFF"/>
        <w:tabs>
          <w:tab w:val="left" w:pos="720"/>
        </w:tabs>
        <w:snapToGrid w:val="0"/>
        <w:ind w:left="0" w:firstLine="0"/>
        <w:rPr>
          <w:rFonts w:eastAsiaTheme="minorEastAsia"/>
          <w:snapToGrid w:val="0"/>
          <w:kern w:val="22"/>
          <w:lang w:val="en-CA" w:eastAsia="ja-JP"/>
        </w:rPr>
      </w:pPr>
      <w:r w:rsidRPr="0083788E">
        <w:rPr>
          <w:rFonts w:eastAsiaTheme="minorEastAsia"/>
          <w:kern w:val="22"/>
          <w:szCs w:val="22"/>
          <w:lang w:val="en-CA" w:eastAsia="zh-CN"/>
        </w:rPr>
        <w:t>在资源允许的情况下，</w:t>
      </w:r>
      <w:r w:rsidRPr="0083788E">
        <w:rPr>
          <w:rFonts w:eastAsiaTheme="minorEastAsia"/>
          <w:snapToGrid w:val="0"/>
          <w:kern w:val="22"/>
          <w:lang w:val="en-CA" w:eastAsia="ja-JP"/>
        </w:rPr>
        <w:t>特设技术专家组</w:t>
      </w:r>
      <w:r w:rsidRPr="0083788E">
        <w:rPr>
          <w:rFonts w:eastAsiaTheme="minorEastAsia"/>
          <w:snapToGrid w:val="0"/>
          <w:kern w:val="22"/>
          <w:lang w:val="en-CA" w:eastAsia="zh-CN"/>
        </w:rPr>
        <w:t>将根据科学、技术</w:t>
      </w:r>
      <w:r w:rsidRPr="0083788E">
        <w:rPr>
          <w:rFonts w:eastAsiaTheme="minorEastAsia"/>
          <w:snapToGrid w:val="0"/>
          <w:kern w:val="22"/>
          <w:lang w:val="en-CA" w:eastAsia="zh-CN"/>
        </w:rPr>
        <w:t xml:space="preserve"> </w:t>
      </w:r>
      <w:r w:rsidRPr="0083788E">
        <w:rPr>
          <w:rFonts w:eastAsiaTheme="minorEastAsia"/>
          <w:snapToGrid w:val="0"/>
          <w:kern w:val="22"/>
          <w:lang w:val="en-CA" w:eastAsia="zh-CN"/>
        </w:rPr>
        <w:t>和工艺咨询附属机构的工作</w:t>
      </w:r>
      <w:r w:rsidRPr="0083788E">
        <w:rPr>
          <w:rFonts w:eastAsiaTheme="minorEastAsia"/>
          <w:snapToGrid w:val="0"/>
          <w:kern w:val="22"/>
          <w:lang w:val="en-CA" w:eastAsia="zh-CN"/>
        </w:rPr>
        <w:lastRenderedPageBreak/>
        <w:t>方法，在缔约方大会第十四届会议之前举行会议。</w:t>
      </w:r>
      <w:r w:rsidRPr="0083788E">
        <w:rPr>
          <w:rFonts w:eastAsiaTheme="minorEastAsia"/>
          <w:kern w:val="22"/>
          <w:szCs w:val="22"/>
          <w:vertAlign w:val="superscript"/>
          <w:lang w:val="en-CA" w:eastAsia="ja-JP"/>
        </w:rPr>
        <w:footnoteReference w:id="180"/>
      </w:r>
      <w:r w:rsidRPr="0083788E">
        <w:rPr>
          <w:rFonts w:eastAsiaTheme="minorEastAsia"/>
          <w:snapToGrid w:val="0"/>
          <w:kern w:val="22"/>
          <w:lang w:val="en-CA" w:eastAsia="zh-CN"/>
        </w:rPr>
        <w:t xml:space="preserve"> </w:t>
      </w:r>
      <w:r w:rsidRPr="0083788E">
        <w:rPr>
          <w:rFonts w:eastAsiaTheme="minorEastAsia"/>
          <w:snapToGrid w:val="0"/>
          <w:kern w:val="22"/>
          <w:lang w:val="en-CA" w:eastAsia="ja-JP"/>
        </w:rPr>
        <w:t>特设技术专家组应由积极参与有关本任务范围第</w:t>
      </w:r>
      <w:r w:rsidRPr="0083788E">
        <w:rPr>
          <w:rFonts w:eastAsiaTheme="minorEastAsia"/>
          <w:snapToGrid w:val="0"/>
          <w:kern w:val="22"/>
          <w:lang w:val="en-CA" w:eastAsia="ja-JP"/>
        </w:rPr>
        <w:t>1</w:t>
      </w:r>
      <w:r w:rsidRPr="0083788E">
        <w:rPr>
          <w:rFonts w:eastAsiaTheme="minorEastAsia"/>
          <w:snapToGrid w:val="0"/>
          <w:kern w:val="22"/>
          <w:lang w:val="en-CA" w:eastAsia="ja-JP"/>
        </w:rPr>
        <w:t>段相关领域的有</w:t>
      </w:r>
      <w:r w:rsidRPr="0083788E">
        <w:rPr>
          <w:rFonts w:eastAsiaTheme="minorEastAsia"/>
          <w:snapToGrid w:val="0"/>
          <w:kern w:val="22"/>
          <w:lang w:val="en-CA" w:eastAsia="zh-CN"/>
        </w:rPr>
        <w:t>人主持</w:t>
      </w:r>
      <w:r w:rsidRPr="0083788E">
        <w:rPr>
          <w:rFonts w:eastAsiaTheme="minorEastAsia"/>
          <w:snapToGrid w:val="0"/>
          <w:kern w:val="22"/>
          <w:lang w:val="en-CA" w:eastAsia="ja-JP"/>
        </w:rPr>
        <w:t>的在线讨论论坛的专家组成，并</w:t>
      </w:r>
      <w:r w:rsidRPr="0083788E">
        <w:rPr>
          <w:rFonts w:eastAsiaTheme="minorEastAsia"/>
          <w:snapToGrid w:val="0"/>
          <w:kern w:val="22"/>
          <w:lang w:val="en-CA" w:eastAsia="zh-CN"/>
        </w:rPr>
        <w:t>包括</w:t>
      </w:r>
      <w:r w:rsidRPr="0083788E">
        <w:rPr>
          <w:rFonts w:eastAsiaTheme="minorEastAsia"/>
          <w:snapToGrid w:val="0"/>
          <w:kern w:val="22"/>
          <w:lang w:val="en-CA" w:eastAsia="ja-JP"/>
        </w:rPr>
        <w:t>土著人民和</w:t>
      </w:r>
      <w:r w:rsidRPr="0083788E">
        <w:rPr>
          <w:rFonts w:eastAsiaTheme="minorEastAsia"/>
          <w:snapToGrid w:val="0"/>
          <w:kern w:val="22"/>
          <w:lang w:val="en-CA" w:eastAsia="zh-CN"/>
        </w:rPr>
        <w:t>对方</w:t>
      </w:r>
      <w:r w:rsidRPr="0083788E">
        <w:rPr>
          <w:rFonts w:eastAsiaTheme="minorEastAsia"/>
          <w:snapToGrid w:val="0"/>
          <w:kern w:val="22"/>
          <w:lang w:val="en-CA" w:eastAsia="ja-JP"/>
        </w:rPr>
        <w:t>社区及小岛屿发展中国家的</w:t>
      </w:r>
      <w:r w:rsidRPr="0083788E">
        <w:rPr>
          <w:rFonts w:eastAsiaTheme="minorEastAsia"/>
          <w:snapToGrid w:val="0"/>
          <w:kern w:val="22"/>
          <w:lang w:val="en-CA" w:eastAsia="zh-CN"/>
        </w:rPr>
        <w:t>充分和有效</w:t>
      </w:r>
      <w:r w:rsidRPr="0083788E">
        <w:rPr>
          <w:rFonts w:eastAsiaTheme="minorEastAsia"/>
          <w:snapToGrid w:val="0"/>
          <w:kern w:val="22"/>
          <w:lang w:val="en-CA" w:eastAsia="ja-JP"/>
        </w:rPr>
        <w:t>参与，同时考虑到其各自处理外来入侵物种对社会、经济和文化价值以及岛屿生态系统脆弱生物多样性构成的风险的经验。</w:t>
      </w:r>
      <w:r w:rsidRPr="0083788E">
        <w:rPr>
          <w:rFonts w:eastAsiaTheme="minorEastAsia"/>
          <w:snapToGrid w:val="0"/>
          <w:kern w:val="22"/>
          <w:lang w:val="en-CA" w:eastAsia="ja-JP"/>
        </w:rPr>
        <w:t xml:space="preserve"> </w:t>
      </w:r>
    </w:p>
    <w:p w:rsidR="00772406" w:rsidRPr="0083788E" w:rsidRDefault="00772406" w:rsidP="0012417D">
      <w:pPr>
        <w:pStyle w:val="Heading1"/>
        <w:tabs>
          <w:tab w:val="left" w:pos="2340"/>
        </w:tabs>
        <w:spacing w:before="120" w:after="120"/>
        <w:ind w:left="2347" w:right="1479" w:hanging="907"/>
        <w:jc w:val="left"/>
        <w:rPr>
          <w:rFonts w:eastAsiaTheme="minorEastAsia" w:cs="Times New Roman"/>
          <w:noProof/>
          <w:kern w:val="22"/>
          <w:sz w:val="24"/>
          <w:lang w:eastAsia="zh-CN"/>
        </w:rPr>
      </w:pPr>
      <w:r>
        <w:rPr>
          <w:rFonts w:eastAsiaTheme="minorEastAsia"/>
          <w:lang w:val="en-CA" w:eastAsia="zh-CN"/>
        </w:rPr>
        <w:br w:type="page"/>
      </w:r>
      <w:bookmarkStart w:id="156" w:name="_Toc524194603"/>
      <w:bookmarkStart w:id="157" w:name="_Toc6243763"/>
      <w:r w:rsidRPr="0083788E">
        <w:rPr>
          <w:rFonts w:eastAsiaTheme="minorEastAsia" w:cs="Times New Roman"/>
          <w:noProof/>
          <w:kern w:val="22"/>
          <w:sz w:val="24"/>
          <w:lang w:eastAsia="zh-CN"/>
        </w:rPr>
        <w:lastRenderedPageBreak/>
        <w:t>14/12.</w:t>
      </w:r>
      <w:r w:rsidRPr="0083788E">
        <w:rPr>
          <w:rFonts w:eastAsiaTheme="minorEastAsia" w:cs="Times New Roman"/>
          <w:noProof/>
          <w:kern w:val="22"/>
          <w:sz w:val="24"/>
          <w:lang w:eastAsia="zh-CN"/>
        </w:rPr>
        <w:tab/>
      </w:r>
      <w:bookmarkEnd w:id="156"/>
      <w:r w:rsidRPr="0083788E">
        <w:rPr>
          <w:rFonts w:eastAsiaTheme="minorEastAsia" w:cs="Times New Roman"/>
          <w:noProof/>
          <w:kern w:val="22"/>
          <w:sz w:val="24"/>
          <w:lang w:eastAsia="zh-CN"/>
        </w:rPr>
        <w:t>关于返还土著人民和地方社区与保护和可持续利用生物多样性相关传统知识的卢佐利希里沙希克自愿准则</w:t>
      </w:r>
      <w:bookmarkEnd w:id="157"/>
      <w:r w:rsidRPr="0083788E">
        <w:rPr>
          <w:rFonts w:eastAsiaTheme="minorEastAsia" w:cs="Times New Roman"/>
          <w:noProof/>
          <w:kern w:val="22"/>
          <w:sz w:val="24"/>
          <w:lang w:eastAsia="zh-CN"/>
        </w:rPr>
        <w:t xml:space="preserve"> </w:t>
      </w:r>
    </w:p>
    <w:p w:rsidR="00772406" w:rsidRPr="00DB1E0A" w:rsidRDefault="00772406" w:rsidP="00772406">
      <w:pPr>
        <w:adjustRightInd w:val="0"/>
        <w:snapToGrid w:val="0"/>
        <w:rPr>
          <w:rFonts w:hAnsi="SimSun"/>
          <w:noProof/>
          <w:snapToGrid w:val="0"/>
          <w:kern w:val="22"/>
          <w:lang w:eastAsia="zh-CN"/>
        </w:rPr>
      </w:pPr>
      <w:r w:rsidRPr="00DB1E0A">
        <w:rPr>
          <w:rFonts w:ascii="KaiTi" w:eastAsia="KaiTi" w:hAnsi="KaiTi"/>
          <w:snapToGrid w:val="0"/>
          <w:kern w:val="22"/>
          <w:lang w:val="zh-CN" w:eastAsia="zh-CN"/>
        </w:rPr>
        <w:t>缔约方大会</w:t>
      </w:r>
      <w:r w:rsidRPr="00DB1E0A">
        <w:rPr>
          <w:rFonts w:hAnsi="SimSun"/>
          <w:noProof/>
          <w:snapToGrid w:val="0"/>
          <w:kern w:val="22"/>
          <w:lang w:val="en-GB" w:eastAsia="zh-CN"/>
        </w:rPr>
        <w:t>，</w:t>
      </w:r>
      <w:r>
        <w:rPr>
          <w:rFonts w:hAnsi="SimSun" w:hint="eastAsia"/>
          <w:noProof/>
          <w:snapToGrid w:val="0"/>
          <w:kern w:val="22"/>
          <w:lang w:val="en-GB" w:eastAsia="zh-CN"/>
        </w:rPr>
        <w:t xml:space="preserve"> </w:t>
      </w:r>
    </w:p>
    <w:p w:rsidR="00772406" w:rsidRPr="0083788E" w:rsidRDefault="00772406" w:rsidP="0083788E">
      <w:pPr>
        <w:suppressLineNumbers/>
        <w:suppressAutoHyphens/>
        <w:adjustRightInd w:val="0"/>
        <w:snapToGrid w:val="0"/>
        <w:rPr>
          <w:rFonts w:eastAsiaTheme="minorEastAsia"/>
          <w:snapToGrid w:val="0"/>
          <w:color w:val="000000"/>
          <w:kern w:val="22"/>
          <w:lang w:val="en-GB" w:eastAsia="zh-CN"/>
        </w:rPr>
      </w:pPr>
      <w:r w:rsidRPr="0083788E">
        <w:rPr>
          <w:rFonts w:eastAsiaTheme="minorEastAsia"/>
          <w:snapToGrid w:val="0"/>
          <w:color w:val="000000"/>
          <w:kern w:val="22"/>
          <w:lang w:val="en-GB" w:eastAsia="zh-CN"/>
        </w:rPr>
        <w:t>回顾《公约》第</w:t>
      </w:r>
      <w:r w:rsidRPr="0083788E">
        <w:rPr>
          <w:rFonts w:eastAsiaTheme="minorEastAsia"/>
          <w:snapToGrid w:val="0"/>
          <w:color w:val="000000"/>
          <w:kern w:val="22"/>
          <w:lang w:val="en-GB" w:eastAsia="zh-CN"/>
        </w:rPr>
        <w:t>17</w:t>
      </w:r>
      <w:r w:rsidRPr="0083788E">
        <w:rPr>
          <w:rFonts w:eastAsiaTheme="minorEastAsia"/>
          <w:snapToGrid w:val="0"/>
          <w:color w:val="000000"/>
          <w:kern w:val="22"/>
          <w:lang w:val="en-GB" w:eastAsia="zh-CN"/>
        </w:rPr>
        <w:t>条，该条要求缔约方便利与生物多样性的保护和可持续利用相关的所有公开信息的交流，包括交换技术、科学和社会经济研究结果和关于培训和调查方案、专门知识、土著和传统知识的信息，以及可行情况下信息的返还，</w:t>
      </w:r>
    </w:p>
    <w:p w:rsidR="00772406" w:rsidRPr="0083788E" w:rsidRDefault="00772406" w:rsidP="0083788E">
      <w:pPr>
        <w:suppressLineNumbers/>
        <w:suppressAutoHyphens/>
        <w:adjustRightInd w:val="0"/>
        <w:snapToGrid w:val="0"/>
        <w:rPr>
          <w:rFonts w:eastAsiaTheme="minorEastAsia"/>
          <w:lang w:val="en-GB" w:eastAsia="zh-CN"/>
        </w:rPr>
      </w:pPr>
      <w:r w:rsidRPr="0083788E">
        <w:rPr>
          <w:rFonts w:eastAsiaTheme="minorEastAsia"/>
          <w:snapToGrid w:val="0"/>
          <w:color w:val="000000"/>
          <w:kern w:val="22"/>
          <w:lang w:val="en-GB" w:eastAsia="zh-CN"/>
        </w:rPr>
        <w:t>又回顾《公约》第</w:t>
      </w:r>
      <w:r w:rsidRPr="0083788E">
        <w:rPr>
          <w:rFonts w:eastAsiaTheme="minorEastAsia"/>
          <w:snapToGrid w:val="0"/>
          <w:color w:val="000000"/>
          <w:kern w:val="22"/>
          <w:lang w:val="en-GB" w:eastAsia="zh-CN"/>
        </w:rPr>
        <w:t>18</w:t>
      </w:r>
      <w:r w:rsidRPr="0083788E">
        <w:rPr>
          <w:rFonts w:eastAsiaTheme="minorEastAsia"/>
          <w:snapToGrid w:val="0"/>
          <w:color w:val="000000"/>
          <w:kern w:val="22"/>
          <w:lang w:val="en-GB" w:eastAsia="zh-CN"/>
        </w:rPr>
        <w:t>条，除其他外，该条要求缔约方</w:t>
      </w:r>
      <w:r w:rsidRPr="0083788E">
        <w:rPr>
          <w:rFonts w:eastAsiaTheme="minorEastAsia"/>
          <w:lang w:val="en-GB" w:eastAsia="zh-CN"/>
        </w:rPr>
        <w:t>促进技术和科学合作，并根据国家法律和政策鼓励和制定各种开发和使用各种技术的合作方法，包括土著和传统技术，</w:t>
      </w:r>
    </w:p>
    <w:p w:rsidR="00772406" w:rsidRPr="0083788E" w:rsidRDefault="00772406" w:rsidP="0083788E">
      <w:pPr>
        <w:suppressLineNumbers/>
        <w:suppressAutoHyphens/>
        <w:adjustRightInd w:val="0"/>
        <w:snapToGrid w:val="0"/>
        <w:rPr>
          <w:rFonts w:eastAsiaTheme="minorEastAsia"/>
          <w:snapToGrid w:val="0"/>
          <w:color w:val="000000"/>
          <w:kern w:val="22"/>
          <w:lang w:val="en-GB" w:eastAsia="zh-CN"/>
        </w:rPr>
      </w:pPr>
      <w:r w:rsidRPr="0083788E">
        <w:rPr>
          <w:rFonts w:eastAsiaTheme="minorEastAsia"/>
          <w:snapToGrid w:val="0"/>
          <w:color w:val="000000"/>
          <w:kern w:val="22"/>
          <w:lang w:val="en-GB" w:eastAsia="zh-CN"/>
        </w:rPr>
        <w:t>强调如</w:t>
      </w:r>
      <w:hyperlink r:id="rId76" w:history="1">
        <w:r w:rsidRPr="0083788E">
          <w:rPr>
            <w:rFonts w:eastAsiaTheme="minorEastAsia"/>
            <w:snapToGrid w:val="0"/>
            <w:color w:val="0000FF"/>
            <w:kern w:val="22"/>
            <w:u w:val="single"/>
            <w:lang w:val="en-GB" w:eastAsia="zh-CN"/>
          </w:rPr>
          <w:t>第</w:t>
        </w:r>
        <w:r w:rsidRPr="0083788E">
          <w:rPr>
            <w:rFonts w:eastAsiaTheme="minorEastAsia"/>
            <w:snapToGrid w:val="0"/>
            <w:color w:val="0000FF"/>
            <w:kern w:val="22"/>
            <w:u w:val="single"/>
            <w:lang w:val="en-GB" w:eastAsia="zh-CN"/>
          </w:rPr>
          <w:t>XIII/19</w:t>
        </w:r>
        <w:r w:rsidRPr="0083788E">
          <w:rPr>
            <w:rFonts w:eastAsiaTheme="minorEastAsia"/>
            <w:snapToGrid w:val="0"/>
            <w:color w:val="0000FF"/>
            <w:kern w:val="22"/>
            <w:u w:val="single"/>
            <w:lang w:val="en-GB" w:eastAsia="zh-CN"/>
          </w:rPr>
          <w:t>号决定</w:t>
        </w:r>
      </w:hyperlink>
      <w:r w:rsidRPr="0083788E">
        <w:rPr>
          <w:rFonts w:eastAsiaTheme="minorEastAsia"/>
          <w:snapToGrid w:val="0"/>
          <w:color w:val="000000"/>
          <w:kern w:val="22"/>
          <w:lang w:val="en-GB" w:eastAsia="zh-CN"/>
        </w:rPr>
        <w:t>所述，《</w:t>
      </w:r>
      <w:r w:rsidRPr="0083788E">
        <w:rPr>
          <w:rFonts w:eastAsiaTheme="minorEastAsia"/>
          <w:color w:val="000000"/>
          <w:lang w:val="en-GB" w:eastAsia="zh-CN"/>
        </w:rPr>
        <w:t>关于</w:t>
      </w:r>
      <w:r w:rsidRPr="0083788E">
        <w:rPr>
          <w:rFonts w:eastAsiaTheme="minorEastAsia"/>
          <w:lang w:val="en-GB" w:eastAsia="zh-CN"/>
        </w:rPr>
        <w:t>返还土著人民和地方社区与保护和可持续利用生物多样性相关传统知识的卢佐利希里沙希克</w:t>
      </w:r>
      <w:bookmarkStart w:id="158" w:name="hit9"/>
      <w:bookmarkStart w:id="159" w:name="hit10"/>
      <w:bookmarkStart w:id="160" w:name="hit11"/>
      <w:bookmarkStart w:id="161" w:name="hit12"/>
      <w:bookmarkStart w:id="162" w:name="hit13"/>
      <w:bookmarkStart w:id="163" w:name="hit14"/>
      <w:bookmarkStart w:id="164" w:name="hit15"/>
      <w:bookmarkStart w:id="165" w:name="hit_last"/>
      <w:bookmarkEnd w:id="158"/>
      <w:bookmarkEnd w:id="159"/>
      <w:bookmarkEnd w:id="160"/>
      <w:bookmarkEnd w:id="161"/>
      <w:bookmarkEnd w:id="162"/>
      <w:bookmarkEnd w:id="163"/>
      <w:bookmarkEnd w:id="164"/>
      <w:bookmarkEnd w:id="165"/>
      <w:r w:rsidRPr="0083788E">
        <w:rPr>
          <w:rFonts w:eastAsiaTheme="minorEastAsia"/>
          <w:snapToGrid w:val="0"/>
          <w:kern w:val="18"/>
          <w:vertAlign w:val="superscript"/>
          <w:lang w:val="en-CA" w:eastAsia="en-CA"/>
        </w:rPr>
        <w:footnoteReference w:id="181"/>
      </w:r>
      <w:r w:rsidRPr="0083788E">
        <w:rPr>
          <w:rFonts w:eastAsiaTheme="minorEastAsia"/>
          <w:snapToGrid w:val="0"/>
          <w:kern w:val="18"/>
          <w:vertAlign w:val="superscript"/>
          <w:lang w:val="en-CA" w:eastAsia="zh-CN"/>
        </w:rPr>
        <w:t xml:space="preserve"> </w:t>
      </w:r>
      <w:r w:rsidRPr="0083788E">
        <w:rPr>
          <w:rFonts w:eastAsiaTheme="minorEastAsia"/>
          <w:lang w:val="en-GB" w:eastAsia="zh-CN"/>
        </w:rPr>
        <w:t>自愿准则》</w:t>
      </w:r>
      <w:r w:rsidRPr="0083788E">
        <w:rPr>
          <w:rFonts w:eastAsiaTheme="minorEastAsia"/>
          <w:snapToGrid w:val="0"/>
          <w:color w:val="000000"/>
          <w:kern w:val="22"/>
          <w:lang w:val="en-GB" w:eastAsia="zh-CN"/>
        </w:rPr>
        <w:t>的目是便利追回与保护和可持续利用与生物多样性相关的传统知识，</w:t>
      </w:r>
    </w:p>
    <w:p w:rsidR="00772406" w:rsidRPr="0083788E" w:rsidRDefault="00772406" w:rsidP="0083788E">
      <w:pPr>
        <w:suppressLineNumbers/>
        <w:suppressAutoHyphens/>
        <w:adjustRightInd w:val="0"/>
        <w:snapToGrid w:val="0"/>
        <w:rPr>
          <w:rFonts w:eastAsiaTheme="minorEastAsia"/>
          <w:snapToGrid w:val="0"/>
          <w:color w:val="000000"/>
          <w:kern w:val="22"/>
          <w:lang w:val="en-GB" w:eastAsia="zh-CN"/>
        </w:rPr>
      </w:pPr>
      <w:r w:rsidRPr="0083788E">
        <w:rPr>
          <w:rFonts w:eastAsiaTheme="minorEastAsia"/>
          <w:snapToGrid w:val="0"/>
          <w:color w:val="000000"/>
          <w:kern w:val="22"/>
          <w:lang w:val="en-GB" w:eastAsia="zh-CN"/>
        </w:rPr>
        <w:t>铭记国际合作对于返还与生物多样性的保护和可持续利用相关传统知识和相关信息和（或）补充信息对于土著人民和地方社区推动追回生物多样性传统知识的重要性，并表示注意到土著人民和地方社区治理对于恢复和管理其传统知识的重要性，</w:t>
      </w:r>
    </w:p>
    <w:p w:rsidR="00772406" w:rsidRPr="0083788E" w:rsidRDefault="00772406" w:rsidP="0083788E">
      <w:pPr>
        <w:widowControl w:val="0"/>
        <w:suppressLineNumbers/>
        <w:suppressAutoHyphens/>
        <w:adjustRightInd w:val="0"/>
        <w:snapToGrid w:val="0"/>
        <w:rPr>
          <w:rFonts w:eastAsiaTheme="minorEastAsia"/>
          <w:snapToGrid w:val="0"/>
          <w:color w:val="000000"/>
          <w:kern w:val="22"/>
          <w:lang w:val="en-GB" w:eastAsia="zh-CN"/>
        </w:rPr>
      </w:pPr>
      <w:r w:rsidRPr="0083788E">
        <w:rPr>
          <w:rFonts w:eastAsiaTheme="minorEastAsia"/>
          <w:snapToGrid w:val="0"/>
          <w:color w:val="000000"/>
          <w:kern w:val="22"/>
          <w:lang w:val="en-GB" w:eastAsia="zh-CN"/>
        </w:rPr>
        <w:t>考虑到有效执行各项国际安排、文书、方案、战略、标准、准则、报告和相关进程以及保持其相辅相成性的重要性，同时亦顾及国家法律和不影响土著人民和地方社区的权利，</w:t>
      </w:r>
    </w:p>
    <w:p w:rsidR="00772406" w:rsidRPr="0083788E" w:rsidRDefault="00772406" w:rsidP="0083788E">
      <w:pPr>
        <w:widowControl w:val="0"/>
        <w:suppressLineNumbers/>
        <w:suppressAutoHyphens/>
        <w:adjustRightInd w:val="0"/>
        <w:snapToGrid w:val="0"/>
        <w:rPr>
          <w:rFonts w:eastAsiaTheme="minorEastAsia"/>
          <w:iCs/>
          <w:snapToGrid w:val="0"/>
          <w:color w:val="000000"/>
          <w:kern w:val="22"/>
          <w:lang w:val="en-GB" w:eastAsia="zh-CN"/>
        </w:rPr>
      </w:pPr>
      <w:r w:rsidRPr="0083788E">
        <w:rPr>
          <w:rFonts w:eastAsiaTheme="minorEastAsia"/>
          <w:snapToGrid w:val="0"/>
          <w:color w:val="000000"/>
          <w:kern w:val="22"/>
          <w:lang w:val="en-GB" w:eastAsia="zh-CN"/>
        </w:rPr>
        <w:t>又考虑到</w:t>
      </w:r>
      <w:r w:rsidRPr="0083788E">
        <w:rPr>
          <w:rFonts w:eastAsiaTheme="minorEastAsia"/>
          <w:lang w:val="en-GB" w:eastAsia="zh-CN"/>
        </w:rPr>
        <w:t>《卢佐利希里沙希克自愿准</w:t>
      </w:r>
      <w:r w:rsidRPr="0083788E">
        <w:rPr>
          <w:rFonts w:eastAsiaTheme="minorEastAsia"/>
          <w:snapToGrid w:val="0"/>
          <w:color w:val="000000"/>
          <w:kern w:val="22"/>
          <w:lang w:val="en-GB" w:eastAsia="zh-CN"/>
        </w:rPr>
        <w:t>则》</w:t>
      </w:r>
      <w:r w:rsidRPr="0083788E">
        <w:rPr>
          <w:rFonts w:eastAsiaTheme="minorEastAsia"/>
          <w:iCs/>
          <w:snapToGrid w:val="0"/>
          <w:color w:val="000000"/>
          <w:kern w:val="22"/>
          <w:lang w:val="en-GB" w:eastAsia="zh-CN"/>
        </w:rPr>
        <w:t>中所述若干概念涉及的复杂性，例如</w:t>
      </w:r>
      <w:r w:rsidRPr="0083788E">
        <w:rPr>
          <w:rFonts w:eastAsiaTheme="minorEastAsia"/>
          <w:snapToGrid w:val="0"/>
          <w:color w:val="000000"/>
          <w:kern w:val="22"/>
          <w:lang w:val="en-GB" w:eastAsia="zh-CN"/>
        </w:rPr>
        <w:t>“</w:t>
      </w:r>
      <w:r w:rsidRPr="0083788E">
        <w:rPr>
          <w:rFonts w:eastAsiaTheme="minorEastAsia"/>
          <w:snapToGrid w:val="0"/>
          <w:color w:val="000000"/>
          <w:kern w:val="22"/>
          <w:lang w:val="en-GB" w:eastAsia="zh-CN"/>
        </w:rPr>
        <w:t>可公开获得的</w:t>
      </w:r>
      <w:r w:rsidRPr="0083788E">
        <w:rPr>
          <w:rFonts w:eastAsiaTheme="minorEastAsia"/>
          <w:snapToGrid w:val="0"/>
          <w:color w:val="000000"/>
          <w:kern w:val="22"/>
          <w:lang w:val="en-GB" w:eastAsia="zh-CN"/>
        </w:rPr>
        <w:t>”</w:t>
      </w:r>
      <w:r w:rsidRPr="0083788E">
        <w:rPr>
          <w:rFonts w:eastAsiaTheme="minorEastAsia"/>
          <w:snapToGrid w:val="0"/>
          <w:color w:val="000000"/>
          <w:kern w:val="22"/>
          <w:lang w:val="en-GB" w:eastAsia="zh-CN"/>
        </w:rPr>
        <w:t>传统知识，</w:t>
      </w:r>
    </w:p>
    <w:p w:rsidR="00772406" w:rsidRPr="0083788E" w:rsidRDefault="00772406" w:rsidP="0083788E">
      <w:pPr>
        <w:suppressLineNumbers/>
        <w:suppressAutoHyphens/>
        <w:adjustRightInd w:val="0"/>
        <w:snapToGrid w:val="0"/>
        <w:rPr>
          <w:rFonts w:eastAsiaTheme="minorEastAsia"/>
          <w:snapToGrid w:val="0"/>
          <w:color w:val="000000"/>
          <w:kern w:val="22"/>
          <w:lang w:val="en-GB" w:eastAsia="zh-CN"/>
        </w:rPr>
      </w:pPr>
      <w:r w:rsidRPr="0083788E">
        <w:rPr>
          <w:rFonts w:eastAsiaTheme="minorEastAsia"/>
          <w:snapToGrid w:val="0"/>
          <w:color w:val="000000"/>
          <w:kern w:val="22"/>
          <w:lang w:val="en-GB" w:eastAsia="zh-CN"/>
        </w:rPr>
        <w:t>强调</w:t>
      </w:r>
      <w:r w:rsidRPr="0083788E">
        <w:rPr>
          <w:rFonts w:eastAsiaTheme="minorEastAsia"/>
          <w:iCs/>
          <w:snapToGrid w:val="0"/>
          <w:color w:val="000000"/>
          <w:kern w:val="22"/>
          <w:lang w:val="en-GB" w:eastAsia="zh-CN"/>
        </w:rPr>
        <w:t>以</w:t>
      </w:r>
      <w:r w:rsidRPr="0083788E">
        <w:rPr>
          <w:rFonts w:eastAsiaTheme="minorEastAsia"/>
          <w:snapToGrid w:val="0"/>
          <w:color w:val="000000"/>
          <w:kern w:val="22"/>
          <w:lang w:val="en-GB" w:eastAsia="zh-CN"/>
        </w:rPr>
        <w:t>土著人民和地方社区为一方与以学术界、科学界、私营部门、教育、政府以及土著人民和地方社区的传统知识的其他用户为一方之间关系的合法性、透明度和相互尊重和理解的重要性，</w:t>
      </w:r>
    </w:p>
    <w:p w:rsidR="00772406" w:rsidRPr="0083788E" w:rsidRDefault="00772406" w:rsidP="001A42F8">
      <w:pPr>
        <w:widowControl w:val="0"/>
        <w:numPr>
          <w:ilvl w:val="0"/>
          <w:numId w:val="200"/>
        </w:numPr>
        <w:suppressLineNumbers/>
        <w:suppressAutoHyphens/>
        <w:adjustRightInd w:val="0"/>
        <w:snapToGrid w:val="0"/>
        <w:ind w:left="0" w:firstLine="720"/>
        <w:rPr>
          <w:rFonts w:eastAsiaTheme="minorEastAsia"/>
          <w:snapToGrid w:val="0"/>
          <w:color w:val="000000"/>
          <w:kern w:val="22"/>
          <w:lang w:val="en-GB" w:eastAsia="zh-CN"/>
        </w:rPr>
      </w:pPr>
      <w:r w:rsidRPr="0083788E">
        <w:rPr>
          <w:rFonts w:eastAsiaTheme="minorEastAsia"/>
          <w:snapToGrid w:val="0"/>
          <w:kern w:val="22"/>
          <w:lang w:val="en-GB" w:eastAsia="zh-CN"/>
        </w:rPr>
        <w:t>通过</w:t>
      </w:r>
      <w:r w:rsidRPr="0083788E">
        <w:rPr>
          <w:rFonts w:eastAsiaTheme="minorEastAsia"/>
          <w:lang w:val="en-GB" w:eastAsia="zh-CN"/>
        </w:rPr>
        <w:t>《关于返还与保护和可持续利用生物多样性相关土著人民和地方社区传统知识的卢佐利希里沙希克自愿准则》；</w:t>
      </w:r>
    </w:p>
    <w:p w:rsidR="00772406" w:rsidRPr="0083788E" w:rsidRDefault="00772406" w:rsidP="001A42F8">
      <w:pPr>
        <w:numPr>
          <w:ilvl w:val="0"/>
          <w:numId w:val="200"/>
        </w:numPr>
        <w:suppressLineNumbers/>
        <w:suppressAutoHyphens/>
        <w:adjustRightInd w:val="0"/>
        <w:snapToGrid w:val="0"/>
        <w:ind w:left="0" w:firstLine="720"/>
        <w:rPr>
          <w:rFonts w:eastAsiaTheme="minorEastAsia"/>
          <w:snapToGrid w:val="0"/>
          <w:color w:val="000000"/>
          <w:kern w:val="22"/>
          <w:lang w:val="en-GB" w:eastAsia="zh-CN"/>
        </w:rPr>
      </w:pPr>
      <w:r w:rsidRPr="0083788E">
        <w:rPr>
          <w:rFonts w:eastAsiaTheme="minorEastAsia"/>
          <w:snapToGrid w:val="0"/>
          <w:kern w:val="22"/>
          <w:lang w:val="en-GB" w:eastAsia="zh-CN"/>
        </w:rPr>
        <w:t>邀请</w:t>
      </w:r>
      <w:r w:rsidRPr="0083788E">
        <w:rPr>
          <w:rFonts w:eastAsiaTheme="minorEastAsia"/>
          <w:snapToGrid w:val="0"/>
          <w:color w:val="000000"/>
          <w:kern w:val="22"/>
          <w:lang w:val="en-GB" w:eastAsia="zh-CN"/>
        </w:rPr>
        <w:t>各缔约方和其他国家政府、相关组织和</w:t>
      </w:r>
      <w:r w:rsidRPr="0083788E">
        <w:rPr>
          <w:rFonts w:eastAsiaTheme="minorEastAsia"/>
          <w:iCs/>
          <w:snapToGrid w:val="0"/>
          <w:color w:val="000000"/>
          <w:kern w:val="22"/>
          <w:lang w:val="en-GB" w:eastAsia="zh-CN"/>
        </w:rPr>
        <w:t>持有、储存或放置</w:t>
      </w:r>
      <w:r w:rsidRPr="0083788E">
        <w:rPr>
          <w:rFonts w:eastAsiaTheme="minorEastAsia"/>
          <w:snapToGrid w:val="0"/>
          <w:color w:val="000000"/>
          <w:kern w:val="22"/>
          <w:lang w:val="en-GB" w:eastAsia="zh-CN"/>
        </w:rPr>
        <w:t>传统知识和相关信息或补充信息的实体以及土著人民和地方社区及其他利益攸关方：</w:t>
      </w:r>
    </w:p>
    <w:p w:rsidR="00772406" w:rsidRPr="0083788E" w:rsidRDefault="00772406" w:rsidP="001A42F8">
      <w:pPr>
        <w:numPr>
          <w:ilvl w:val="0"/>
          <w:numId w:val="201"/>
        </w:numPr>
        <w:suppressLineNumbers/>
        <w:suppressAutoHyphens/>
        <w:adjustRightInd w:val="0"/>
        <w:snapToGrid w:val="0"/>
        <w:ind w:left="0" w:firstLine="72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在向知识的原始持有人返还和恢复与保护和可持续利用生物多样性相关的传统知识的努力中，酌情使用《</w:t>
      </w:r>
      <w:r w:rsidRPr="0083788E">
        <w:rPr>
          <w:rFonts w:eastAsiaTheme="minorEastAsia"/>
          <w:lang w:val="en-GB" w:eastAsia="zh-CN"/>
        </w:rPr>
        <w:t>卢佐利希里沙希克</w:t>
      </w:r>
      <w:r w:rsidRPr="0083788E">
        <w:rPr>
          <w:rFonts w:eastAsiaTheme="minorEastAsia"/>
          <w:iCs/>
          <w:snapToGrid w:val="0"/>
          <w:color w:val="000000"/>
          <w:kern w:val="22"/>
          <w:lang w:val="en-GB" w:eastAsia="zh-CN"/>
        </w:rPr>
        <w:t>自愿准则》，并</w:t>
      </w:r>
      <w:r w:rsidRPr="0083788E">
        <w:rPr>
          <w:rFonts w:eastAsiaTheme="minorEastAsia"/>
          <w:kern w:val="22"/>
          <w:lang w:val="zh-CN" w:eastAsia="zh-CN"/>
        </w:rPr>
        <w:t>在适用情况下</w:t>
      </w:r>
      <w:r w:rsidRPr="0083788E">
        <w:rPr>
          <w:rFonts w:eastAsiaTheme="minorEastAsia"/>
          <w:iCs/>
          <w:snapToGrid w:val="0"/>
          <w:color w:val="000000"/>
          <w:kern w:val="22"/>
          <w:lang w:val="en-GB" w:eastAsia="zh-CN"/>
        </w:rPr>
        <w:t>便利传统知识的利用所产生惠益的公平分享，特别是通过共同商定的条件予以分享；</w:t>
      </w:r>
    </w:p>
    <w:p w:rsidR="00772406" w:rsidRPr="0083788E" w:rsidRDefault="00772406" w:rsidP="001A42F8">
      <w:pPr>
        <w:numPr>
          <w:ilvl w:val="0"/>
          <w:numId w:val="201"/>
        </w:numPr>
        <w:suppressLineNumbers/>
        <w:suppressAutoHyphens/>
        <w:adjustRightInd w:val="0"/>
        <w:snapToGrid w:val="0"/>
        <w:ind w:left="0" w:firstLine="72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酌情通过教育和提高认识活动宣传《</w:t>
      </w:r>
      <w:r w:rsidRPr="0083788E">
        <w:rPr>
          <w:rFonts w:eastAsiaTheme="minorEastAsia"/>
          <w:lang w:val="en-GB" w:eastAsia="zh-CN"/>
        </w:rPr>
        <w:t>卢佐利希里沙希克</w:t>
      </w:r>
      <w:r w:rsidRPr="0083788E">
        <w:rPr>
          <w:rFonts w:eastAsiaTheme="minorEastAsia"/>
          <w:iCs/>
          <w:snapToGrid w:val="0"/>
          <w:color w:val="000000"/>
          <w:kern w:val="22"/>
          <w:lang w:val="en-GB" w:eastAsia="zh-CN"/>
        </w:rPr>
        <w:t>自愿准则》；</w:t>
      </w:r>
    </w:p>
    <w:p w:rsidR="00772406" w:rsidRPr="0083788E" w:rsidRDefault="00772406" w:rsidP="001A42F8">
      <w:pPr>
        <w:numPr>
          <w:ilvl w:val="0"/>
          <w:numId w:val="201"/>
        </w:numPr>
        <w:suppressLineNumbers/>
        <w:suppressAutoHyphens/>
        <w:adjustRightInd w:val="0"/>
        <w:snapToGrid w:val="0"/>
        <w:ind w:left="0" w:firstLine="72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lastRenderedPageBreak/>
        <w:t>酌情通过传统知识信息门户和信息交换所机制，并酌情通过其他知识共享平台，提供返还与保护和可持续利用生物多样性和公正和公平的惠益分享相关的传统知识的最佳做法、吸取的经验教训和良好范例及益处，包括社区之间的交流；</w:t>
      </w:r>
    </w:p>
    <w:p w:rsidR="00772406" w:rsidRPr="0083788E" w:rsidRDefault="00772406" w:rsidP="001A42F8">
      <w:pPr>
        <w:numPr>
          <w:ilvl w:val="0"/>
          <w:numId w:val="201"/>
        </w:numPr>
        <w:suppressLineNumbers/>
        <w:suppressAutoHyphens/>
        <w:adjustRightInd w:val="0"/>
        <w:snapToGrid w:val="0"/>
        <w:ind w:left="0" w:firstLine="72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报告在使用《</w:t>
      </w:r>
      <w:r w:rsidRPr="0083788E">
        <w:rPr>
          <w:rFonts w:eastAsiaTheme="minorEastAsia"/>
          <w:lang w:val="en-GB" w:eastAsia="zh-CN"/>
        </w:rPr>
        <w:t>卢佐利希里沙希克</w:t>
      </w:r>
      <w:r w:rsidRPr="0083788E">
        <w:rPr>
          <w:rFonts w:eastAsiaTheme="minorEastAsia"/>
          <w:iCs/>
          <w:snapToGrid w:val="0"/>
          <w:color w:val="000000"/>
          <w:kern w:val="22"/>
          <w:lang w:val="en-GB" w:eastAsia="zh-CN"/>
        </w:rPr>
        <w:t>自愿准则》方面获得的经验，并为促进国际、区域和双边合作，通过国家报告、信息交换所机制和传统知识门户，</w:t>
      </w:r>
      <w:r w:rsidRPr="0083788E">
        <w:rPr>
          <w:rFonts w:eastAsiaTheme="minorEastAsia"/>
          <w:snapToGrid w:val="0"/>
          <w:kern w:val="18"/>
          <w:vertAlign w:val="superscript"/>
          <w:lang w:val="en-CA" w:eastAsia="en-CA"/>
        </w:rPr>
        <w:footnoteReference w:id="182"/>
      </w:r>
      <w:r w:rsidRPr="0083788E">
        <w:rPr>
          <w:rFonts w:eastAsiaTheme="minorEastAsia"/>
          <w:snapToGrid w:val="0"/>
          <w:kern w:val="18"/>
          <w:vertAlign w:val="superscript"/>
          <w:lang w:val="en-CA" w:eastAsia="zh-CN"/>
        </w:rPr>
        <w:t xml:space="preserve"> </w:t>
      </w:r>
      <w:r w:rsidRPr="0083788E">
        <w:rPr>
          <w:rFonts w:eastAsiaTheme="minorEastAsia"/>
          <w:iCs/>
          <w:snapToGrid w:val="0"/>
          <w:color w:val="000000"/>
          <w:kern w:val="22"/>
          <w:lang w:val="en-GB" w:eastAsia="zh-CN"/>
        </w:rPr>
        <w:t>分享关于与返还传统知识（包括返还跨界共享的传统知识）有关的已制定相关措施的最佳做法，以便为向执行问题附属机构和第</w:t>
      </w:r>
      <w:r w:rsidRPr="0083788E">
        <w:rPr>
          <w:rFonts w:eastAsiaTheme="minorEastAsia"/>
          <w:iCs/>
          <w:snapToGrid w:val="0"/>
          <w:color w:val="000000"/>
          <w:kern w:val="22"/>
          <w:lang w:val="en-GB" w:eastAsia="zh-CN"/>
        </w:rPr>
        <w:t>8(j)</w:t>
      </w:r>
      <w:r w:rsidRPr="0083788E">
        <w:rPr>
          <w:rFonts w:eastAsiaTheme="minorEastAsia"/>
          <w:snapToGrid w:val="0"/>
          <w:color w:val="000000"/>
          <w:kern w:val="22"/>
          <w:lang w:val="en-GB" w:eastAsia="zh-CN"/>
        </w:rPr>
        <w:t>条和相关条款问题不限成员名额闭会期间特设工作组的今后会议报告执行第</w:t>
      </w:r>
      <w:r w:rsidRPr="0083788E">
        <w:rPr>
          <w:rFonts w:eastAsiaTheme="minorEastAsia"/>
          <w:snapToGrid w:val="0"/>
          <w:color w:val="000000"/>
          <w:kern w:val="22"/>
          <w:lang w:val="en-GB" w:eastAsia="zh-CN"/>
        </w:rPr>
        <w:t>8</w:t>
      </w:r>
      <w:r w:rsidRPr="0083788E">
        <w:rPr>
          <w:rFonts w:eastAsiaTheme="minorEastAsia"/>
          <w:iCs/>
          <w:snapToGrid w:val="0"/>
          <w:color w:val="000000"/>
          <w:kern w:val="22"/>
          <w:lang w:val="en-GB" w:eastAsia="zh-CN"/>
        </w:rPr>
        <w:t>(j)</w:t>
      </w:r>
      <w:r w:rsidRPr="0083788E">
        <w:rPr>
          <w:rFonts w:eastAsiaTheme="minorEastAsia"/>
          <w:iCs/>
          <w:snapToGrid w:val="0"/>
          <w:color w:val="000000"/>
          <w:kern w:val="22"/>
          <w:lang w:val="en-GB" w:eastAsia="zh-CN"/>
        </w:rPr>
        <w:t>条和相关条款的进展情况作出贡献，并邀请各缔约方、其他国家政府和组织调动资源资助上述活动；</w:t>
      </w:r>
    </w:p>
    <w:p w:rsidR="00772406" w:rsidRPr="0083788E" w:rsidRDefault="00772406" w:rsidP="001A42F8">
      <w:pPr>
        <w:numPr>
          <w:ilvl w:val="0"/>
          <w:numId w:val="200"/>
        </w:numPr>
        <w:suppressLineNumbers/>
        <w:suppressAutoHyphens/>
        <w:adjustRightInd w:val="0"/>
        <w:snapToGrid w:val="0"/>
        <w:ind w:left="0" w:firstLine="720"/>
        <w:rPr>
          <w:rFonts w:eastAsiaTheme="minorEastAsia"/>
          <w:snapToGrid w:val="0"/>
          <w:color w:val="000000"/>
          <w:kern w:val="22"/>
          <w:lang w:val="en-GB" w:eastAsia="zh-CN"/>
        </w:rPr>
      </w:pPr>
      <w:r w:rsidRPr="0083788E">
        <w:rPr>
          <w:rFonts w:eastAsiaTheme="minorEastAsia"/>
          <w:snapToGrid w:val="0"/>
          <w:color w:val="000000"/>
          <w:kern w:val="22"/>
          <w:lang w:val="en-GB" w:eastAsia="zh-CN"/>
        </w:rPr>
        <w:t>邀请联合国教育、科学和文化组织考虑《</w:t>
      </w:r>
      <w:r w:rsidRPr="0083788E">
        <w:rPr>
          <w:rFonts w:eastAsiaTheme="minorEastAsia"/>
          <w:lang w:val="en-GB" w:eastAsia="zh-CN"/>
        </w:rPr>
        <w:t>卢佐利希里沙希克</w:t>
      </w:r>
      <w:r w:rsidRPr="0083788E">
        <w:rPr>
          <w:rFonts w:eastAsiaTheme="minorEastAsia"/>
          <w:snapToGrid w:val="0"/>
          <w:color w:val="000000"/>
          <w:kern w:val="22"/>
          <w:lang w:val="en-GB" w:eastAsia="zh-CN"/>
        </w:rPr>
        <w:t>自愿准则》；</w:t>
      </w:r>
    </w:p>
    <w:p w:rsidR="00772406" w:rsidRPr="0083788E" w:rsidRDefault="00772406" w:rsidP="001A42F8">
      <w:pPr>
        <w:numPr>
          <w:ilvl w:val="0"/>
          <w:numId w:val="200"/>
        </w:numPr>
        <w:suppressLineNumbers/>
        <w:suppressAutoHyphens/>
        <w:adjustRightInd w:val="0"/>
        <w:snapToGrid w:val="0"/>
        <w:ind w:left="0" w:firstLine="720"/>
        <w:rPr>
          <w:rFonts w:eastAsiaTheme="minorEastAsia"/>
          <w:snapToGrid w:val="0"/>
          <w:color w:val="000000"/>
          <w:kern w:val="22"/>
          <w:lang w:val="en-GB" w:eastAsia="zh-CN"/>
        </w:rPr>
      </w:pPr>
      <w:r w:rsidRPr="0083788E">
        <w:rPr>
          <w:rFonts w:eastAsiaTheme="minorEastAsia"/>
          <w:snapToGrid w:val="0"/>
          <w:color w:val="000000"/>
          <w:kern w:val="22"/>
          <w:lang w:val="en-GB" w:eastAsia="zh-CN"/>
        </w:rPr>
        <w:t>请执行秘书与相关组织合作，酌情支持和便利为使用《</w:t>
      </w:r>
      <w:r w:rsidRPr="0083788E">
        <w:rPr>
          <w:rFonts w:eastAsiaTheme="minorEastAsia"/>
          <w:lang w:val="en-GB" w:eastAsia="zh-CN"/>
        </w:rPr>
        <w:t>卢佐利希里沙希克</w:t>
      </w:r>
      <w:r w:rsidRPr="0083788E">
        <w:rPr>
          <w:rFonts w:eastAsiaTheme="minorEastAsia"/>
          <w:snapToGrid w:val="0"/>
          <w:color w:val="000000"/>
          <w:kern w:val="22"/>
          <w:lang w:val="en-GB" w:eastAsia="zh-CN"/>
        </w:rPr>
        <w:t>自愿准则》所开展的工作。</w:t>
      </w:r>
      <w:r w:rsidRPr="0083788E">
        <w:rPr>
          <w:rFonts w:eastAsiaTheme="minorEastAsia"/>
          <w:snapToGrid w:val="0"/>
          <w:color w:val="000000"/>
          <w:kern w:val="22"/>
          <w:lang w:val="en-GB" w:eastAsia="zh-CN"/>
        </w:rPr>
        <w:t xml:space="preserve"> </w:t>
      </w:r>
    </w:p>
    <w:p w:rsidR="00772406" w:rsidRPr="0083788E" w:rsidRDefault="00772406" w:rsidP="0083788E">
      <w:pPr>
        <w:adjustRightInd w:val="0"/>
        <w:snapToGrid w:val="0"/>
        <w:ind w:firstLine="0"/>
        <w:jc w:val="center"/>
        <w:rPr>
          <w:rFonts w:ascii="KaiTi" w:eastAsia="KaiTi" w:hAnsi="KaiTi"/>
          <w:i/>
          <w:snapToGrid w:val="0"/>
          <w:color w:val="000000"/>
          <w:kern w:val="22"/>
          <w:lang w:val="en-GB" w:eastAsia="zh-CN"/>
        </w:rPr>
      </w:pPr>
      <w:r w:rsidRPr="0083788E">
        <w:rPr>
          <w:rFonts w:ascii="KaiTi" w:eastAsia="KaiTi" w:hAnsi="KaiTi"/>
          <w:snapToGrid w:val="0"/>
          <w:color w:val="000000"/>
          <w:kern w:val="22"/>
          <w:lang w:val="en-GB" w:eastAsia="zh-CN"/>
        </w:rPr>
        <w:t>附件</w:t>
      </w:r>
    </w:p>
    <w:p w:rsidR="00772406" w:rsidRPr="0083788E" w:rsidRDefault="00772406" w:rsidP="0083788E">
      <w:pPr>
        <w:keepNext/>
        <w:suppressLineNumbers/>
        <w:suppressAutoHyphens/>
        <w:adjustRightInd w:val="0"/>
        <w:snapToGrid w:val="0"/>
        <w:ind w:left="1350" w:right="1182" w:firstLine="0"/>
        <w:jc w:val="center"/>
        <w:outlineLvl w:val="0"/>
        <w:rPr>
          <w:rFonts w:eastAsiaTheme="minorEastAsia"/>
          <w:b/>
          <w:lang w:val="en-GB" w:eastAsia="zh-CN"/>
        </w:rPr>
      </w:pPr>
      <w:bookmarkStart w:id="166" w:name="_Toc507181892"/>
      <w:bookmarkStart w:id="167" w:name="_Toc6243764"/>
      <w:r w:rsidRPr="0083788E">
        <w:rPr>
          <w:rFonts w:eastAsiaTheme="minorEastAsia"/>
          <w:b/>
          <w:lang w:val="en-GB" w:eastAsia="zh-CN"/>
        </w:rPr>
        <w:t>关于返还与保护和可持续利用生物多样性相关土著人民和地方社区传统知识的卢佐利希里沙希克自愿准则导言</w:t>
      </w:r>
      <w:bookmarkEnd w:id="166"/>
      <w:bookmarkEnd w:id="167"/>
    </w:p>
    <w:p w:rsidR="00772406" w:rsidRPr="0083788E" w:rsidRDefault="00772406" w:rsidP="001A42F8">
      <w:pPr>
        <w:numPr>
          <w:ilvl w:val="0"/>
          <w:numId w:val="203"/>
        </w:numPr>
        <w:suppressLineNumbers/>
        <w:tabs>
          <w:tab w:val="clear" w:pos="720"/>
        </w:tab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国际社会认识到，特别是在《生物多样性公约》序言部分认识到，许多土著人民和地方社区同生物资源有着密切和传统的依存关系。国际社会也认识到，传统知识能够对保护和可持续利用生物多样性</w:t>
      </w:r>
      <w:r w:rsidRPr="0083788E">
        <w:rPr>
          <w:rFonts w:eastAsiaTheme="minorEastAsia"/>
          <w:snapToGrid w:val="0"/>
          <w:color w:val="000000"/>
          <w:kern w:val="22"/>
          <w:lang w:val="en-GB" w:eastAsia="zh-CN"/>
        </w:rPr>
        <w:t xml:space="preserve"> (</w:t>
      </w:r>
      <w:r w:rsidRPr="0083788E">
        <w:rPr>
          <w:rFonts w:eastAsiaTheme="minorEastAsia"/>
          <w:snapToGrid w:val="0"/>
          <w:color w:val="000000"/>
          <w:kern w:val="22"/>
          <w:lang w:val="en-GB" w:eastAsia="zh-CN"/>
        </w:rPr>
        <w:t>《公约》的两个基本目标）作出贡献，同时必须确保公正和公平地分享传统知识的利用所产生的惠益。为此，《公约》缔约方在第</w:t>
      </w:r>
      <w:r w:rsidRPr="0083788E">
        <w:rPr>
          <w:rFonts w:eastAsiaTheme="minorEastAsia"/>
          <w:snapToGrid w:val="0"/>
          <w:color w:val="000000"/>
          <w:kern w:val="22"/>
          <w:lang w:val="en-GB" w:eastAsia="zh-CN"/>
        </w:rPr>
        <w:t>8(j)</w:t>
      </w:r>
      <w:r w:rsidRPr="0083788E">
        <w:rPr>
          <w:rFonts w:eastAsiaTheme="minorEastAsia"/>
          <w:snapToGrid w:val="0"/>
          <w:color w:val="000000"/>
          <w:kern w:val="22"/>
          <w:lang w:val="en-GB" w:eastAsia="zh-CN"/>
        </w:rPr>
        <w:t>条中承诺将依照本国法律，尊重、保存和维持体现土著和地方社区与保护和可持续利用生物多样性相关的传统生活方式的知识、创新和做法，并在知识、创新和做法持有者的同意和参与下促进其更广泛应用，并鼓励公平地分享利用此种知识、创新和做法所产生的惠益。</w:t>
      </w:r>
    </w:p>
    <w:p w:rsidR="00772406" w:rsidRPr="0083788E" w:rsidRDefault="00772406" w:rsidP="001A42F8">
      <w:pPr>
        <w:numPr>
          <w:ilvl w:val="0"/>
          <w:numId w:val="203"/>
        </w:numPr>
        <w:suppressLineNumbers/>
        <w:tabs>
          <w:tab w:val="clear" w:pos="720"/>
        </w:tab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为有效执行第</w:t>
      </w:r>
      <w:r w:rsidRPr="0083788E">
        <w:rPr>
          <w:rFonts w:eastAsiaTheme="minorEastAsia"/>
          <w:snapToGrid w:val="0"/>
          <w:color w:val="000000"/>
          <w:kern w:val="22"/>
          <w:lang w:val="en-GB" w:eastAsia="zh-CN"/>
        </w:rPr>
        <w:t>8(j)</w:t>
      </w:r>
      <w:r w:rsidRPr="0083788E">
        <w:rPr>
          <w:rFonts w:eastAsiaTheme="minorEastAsia"/>
          <w:snapToGrid w:val="0"/>
          <w:color w:val="000000"/>
          <w:kern w:val="22"/>
          <w:lang w:val="en-GB" w:eastAsia="zh-CN"/>
        </w:rPr>
        <w:t>条和相关条款，生物多样性公约缔约方大会在第</w:t>
      </w:r>
      <w:r w:rsidRPr="0083788E">
        <w:rPr>
          <w:rFonts w:eastAsiaTheme="minorEastAsia"/>
          <w:snapToGrid w:val="0"/>
          <w:color w:val="000000"/>
          <w:kern w:val="22"/>
          <w:lang w:val="en-GB" w:eastAsia="zh-CN"/>
        </w:rPr>
        <w:t>V/16</w:t>
      </w:r>
      <w:r w:rsidRPr="0083788E">
        <w:rPr>
          <w:rFonts w:eastAsiaTheme="minorEastAsia"/>
          <w:snapToGrid w:val="0"/>
          <w:color w:val="000000"/>
          <w:kern w:val="22"/>
          <w:lang w:val="en-GB" w:eastAsia="zh-CN"/>
        </w:rPr>
        <w:t>号决定中通过了第</w:t>
      </w:r>
      <w:r w:rsidRPr="0083788E">
        <w:rPr>
          <w:rFonts w:eastAsiaTheme="minorEastAsia"/>
          <w:snapToGrid w:val="0"/>
          <w:color w:val="000000"/>
          <w:kern w:val="22"/>
          <w:lang w:val="en-GB" w:eastAsia="zh-CN"/>
        </w:rPr>
        <w:t>8(j)</w:t>
      </w:r>
      <w:r w:rsidRPr="0083788E">
        <w:rPr>
          <w:rFonts w:eastAsiaTheme="minorEastAsia"/>
          <w:snapToGrid w:val="0"/>
          <w:color w:val="000000"/>
          <w:kern w:val="22"/>
          <w:lang w:val="en-GB" w:eastAsia="zh-CN"/>
        </w:rPr>
        <w:t>条和相关条款工作方案，包括任务</w:t>
      </w:r>
      <w:r w:rsidRPr="0083788E">
        <w:rPr>
          <w:rFonts w:eastAsiaTheme="minorEastAsia"/>
          <w:snapToGrid w:val="0"/>
          <w:color w:val="000000"/>
          <w:kern w:val="22"/>
          <w:lang w:val="en-GB" w:eastAsia="zh-CN"/>
        </w:rPr>
        <w:t xml:space="preserve">15 </w:t>
      </w:r>
      <w:r w:rsidRPr="0083788E">
        <w:rPr>
          <w:rFonts w:eastAsiaTheme="minorEastAsia"/>
          <w:snapToGrid w:val="0"/>
          <w:color w:val="000000"/>
          <w:kern w:val="22"/>
          <w:lang w:val="en-GB" w:eastAsia="zh-CN"/>
        </w:rPr>
        <w:t>，其中请第</w:t>
      </w:r>
      <w:r w:rsidRPr="0083788E">
        <w:rPr>
          <w:rFonts w:eastAsiaTheme="minorEastAsia"/>
          <w:snapToGrid w:val="0"/>
          <w:color w:val="000000"/>
          <w:kern w:val="22"/>
          <w:lang w:val="en-GB" w:eastAsia="zh-CN"/>
        </w:rPr>
        <w:t>8(j)</w:t>
      </w:r>
      <w:r w:rsidRPr="0083788E">
        <w:rPr>
          <w:rFonts w:eastAsiaTheme="minorEastAsia"/>
          <w:snapToGrid w:val="0"/>
          <w:color w:val="000000"/>
          <w:kern w:val="22"/>
          <w:lang w:val="en-GB" w:eastAsia="zh-CN"/>
        </w:rPr>
        <w:t>条和相关条款问题不限成员名额特设工作组根据《生物多样性公约》第</w:t>
      </w:r>
      <w:r w:rsidRPr="0083788E">
        <w:rPr>
          <w:rFonts w:eastAsiaTheme="minorEastAsia"/>
          <w:snapToGrid w:val="0"/>
          <w:color w:val="000000"/>
          <w:kern w:val="22"/>
          <w:lang w:val="en-GB" w:eastAsia="zh-CN"/>
        </w:rPr>
        <w:t>17</w:t>
      </w:r>
      <w:r w:rsidRPr="0083788E">
        <w:rPr>
          <w:rFonts w:eastAsiaTheme="minorEastAsia"/>
          <w:snapToGrid w:val="0"/>
          <w:color w:val="000000"/>
          <w:kern w:val="22"/>
          <w:lang w:val="en-GB" w:eastAsia="zh-CN"/>
        </w:rPr>
        <w:t>条第</w:t>
      </w:r>
      <w:r w:rsidRPr="0083788E">
        <w:rPr>
          <w:rFonts w:eastAsiaTheme="minorEastAsia"/>
          <w:snapToGrid w:val="0"/>
          <w:color w:val="000000"/>
          <w:kern w:val="22"/>
          <w:lang w:val="en-GB" w:eastAsia="zh-CN"/>
        </w:rPr>
        <w:t>2</w:t>
      </w:r>
      <w:r w:rsidRPr="0083788E">
        <w:rPr>
          <w:rFonts w:eastAsiaTheme="minorEastAsia"/>
          <w:snapToGrid w:val="0"/>
          <w:color w:val="000000"/>
          <w:kern w:val="22"/>
          <w:lang w:val="en-GB" w:eastAsia="zh-CN"/>
        </w:rPr>
        <w:t>款制定便利返还信息的准则，包括文化财产，以便利恢复生物多样性传统知识。</w:t>
      </w:r>
    </w:p>
    <w:p w:rsidR="00772406" w:rsidRPr="0083788E" w:rsidRDefault="00772406" w:rsidP="001A42F8">
      <w:pPr>
        <w:numPr>
          <w:ilvl w:val="0"/>
          <w:numId w:val="203"/>
        </w:numPr>
        <w:suppressLineNumbers/>
        <w:tabs>
          <w:tab w:val="clear" w:pos="720"/>
        </w:tab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snapToGrid w:val="0"/>
          <w:color w:val="000000"/>
          <w:kern w:val="22"/>
          <w:lang w:val="en-GB" w:eastAsia="zh-CN"/>
        </w:rPr>
        <w:t>缔约方大会在第</w:t>
      </w:r>
      <w:r w:rsidRPr="0083788E">
        <w:rPr>
          <w:rFonts w:eastAsiaTheme="minorEastAsia"/>
          <w:snapToGrid w:val="0"/>
          <w:color w:val="000000"/>
          <w:kern w:val="22"/>
          <w:lang w:val="en-GB" w:eastAsia="zh-CN"/>
        </w:rPr>
        <w:t>X/43</w:t>
      </w:r>
      <w:r w:rsidRPr="0083788E">
        <w:rPr>
          <w:rFonts w:eastAsiaTheme="minorEastAsia"/>
          <w:snapToGrid w:val="0"/>
          <w:color w:val="000000"/>
          <w:kern w:val="22"/>
          <w:lang w:val="en-GB" w:eastAsia="zh-CN"/>
        </w:rPr>
        <w:t>号决定</w:t>
      </w:r>
      <w:r w:rsidRPr="0083788E">
        <w:rPr>
          <w:rFonts w:eastAsiaTheme="minorEastAsia"/>
          <w:snapToGrid w:val="0"/>
          <w:kern w:val="18"/>
          <w:vertAlign w:val="superscript"/>
          <w:lang w:val="en-CA" w:eastAsia="en-CA"/>
        </w:rPr>
        <w:footnoteReference w:id="183"/>
      </w:r>
      <w:r w:rsidRPr="0083788E">
        <w:rPr>
          <w:rFonts w:eastAsiaTheme="minorEastAsia"/>
          <w:snapToGrid w:val="0"/>
          <w:kern w:val="18"/>
          <w:vertAlign w:val="superscript"/>
          <w:lang w:val="en-CA" w:eastAsia="zh-CN"/>
        </w:rPr>
        <w:t xml:space="preserve"> </w:t>
      </w:r>
      <w:r w:rsidRPr="0083788E">
        <w:rPr>
          <w:rFonts w:eastAsiaTheme="minorEastAsia"/>
          <w:snapToGrid w:val="0"/>
          <w:color w:val="000000"/>
          <w:kern w:val="22"/>
          <w:lang w:val="en-GB" w:eastAsia="zh-CN"/>
        </w:rPr>
        <w:t>第</w:t>
      </w:r>
      <w:r w:rsidRPr="0083788E">
        <w:rPr>
          <w:rFonts w:eastAsiaTheme="minorEastAsia"/>
          <w:snapToGrid w:val="0"/>
          <w:color w:val="000000"/>
          <w:kern w:val="22"/>
          <w:lang w:val="en-GB" w:eastAsia="zh-CN"/>
        </w:rPr>
        <w:t>6</w:t>
      </w:r>
      <w:r w:rsidRPr="0083788E">
        <w:rPr>
          <w:rFonts w:eastAsiaTheme="minorEastAsia"/>
          <w:snapToGrid w:val="0"/>
          <w:color w:val="000000"/>
          <w:kern w:val="22"/>
          <w:lang w:val="en-GB" w:eastAsia="zh-CN"/>
        </w:rPr>
        <w:t>段中进一步审议了眼下执行的任务，并在其第</w:t>
      </w:r>
      <w:r w:rsidRPr="0083788E">
        <w:rPr>
          <w:rFonts w:eastAsiaTheme="minorEastAsia"/>
          <w:snapToGrid w:val="0"/>
          <w:color w:val="000000"/>
          <w:kern w:val="22"/>
          <w:lang w:val="en-GB" w:eastAsia="zh-CN"/>
        </w:rPr>
        <w:t>XI/14 D</w:t>
      </w:r>
      <w:r w:rsidRPr="0083788E">
        <w:rPr>
          <w:rFonts w:eastAsiaTheme="minorEastAsia"/>
          <w:snapToGrid w:val="0"/>
          <w:color w:val="000000"/>
          <w:kern w:val="22"/>
          <w:lang w:val="en-GB" w:eastAsia="zh-CN"/>
        </w:rPr>
        <w:t>号决定的附件中通过了职责范围，以便推进该项任务，同时澄清任务</w:t>
      </w:r>
      <w:r w:rsidRPr="0083788E">
        <w:rPr>
          <w:rFonts w:eastAsiaTheme="minorEastAsia"/>
          <w:snapToGrid w:val="0"/>
          <w:color w:val="000000"/>
          <w:kern w:val="22"/>
          <w:lang w:val="en-GB" w:eastAsia="zh-CN"/>
        </w:rPr>
        <w:t>15</w:t>
      </w:r>
      <w:r w:rsidRPr="0083788E">
        <w:rPr>
          <w:rFonts w:eastAsiaTheme="minorEastAsia"/>
          <w:snapToGrid w:val="0"/>
          <w:color w:val="000000"/>
          <w:kern w:val="22"/>
          <w:lang w:val="en-GB" w:eastAsia="zh-CN"/>
        </w:rPr>
        <w:t>的目的</w:t>
      </w:r>
      <w:r w:rsidRPr="0083788E">
        <w:rPr>
          <w:rFonts w:eastAsiaTheme="minorEastAsia"/>
          <w:snapToGrid w:val="0"/>
          <w:color w:val="000000"/>
          <w:kern w:val="22"/>
          <w:lang w:val="en-GB" w:eastAsia="zh-CN"/>
        </w:rPr>
        <w:t xml:space="preserve"> “</w:t>
      </w:r>
      <w:r w:rsidRPr="0083788E">
        <w:rPr>
          <w:rFonts w:eastAsiaTheme="minorEastAsia"/>
          <w:snapToGrid w:val="0"/>
          <w:color w:val="000000"/>
          <w:kern w:val="22"/>
          <w:lang w:val="en-GB" w:eastAsia="zh-CN"/>
        </w:rPr>
        <w:t>是根据《公约》第</w:t>
      </w:r>
      <w:r w:rsidRPr="0083788E">
        <w:rPr>
          <w:rFonts w:eastAsiaTheme="minorEastAsia"/>
          <w:snapToGrid w:val="0"/>
          <w:color w:val="000000"/>
          <w:kern w:val="22"/>
          <w:lang w:val="en-GB" w:eastAsia="zh-CN"/>
        </w:rPr>
        <w:t>8(j)</w:t>
      </w:r>
      <w:r w:rsidRPr="0083788E">
        <w:rPr>
          <w:rFonts w:eastAsiaTheme="minorEastAsia"/>
          <w:snapToGrid w:val="0"/>
          <w:color w:val="000000"/>
          <w:kern w:val="22"/>
          <w:lang w:val="en-GB" w:eastAsia="zh-CN"/>
        </w:rPr>
        <w:t>条和第</w:t>
      </w:r>
      <w:r w:rsidRPr="0083788E">
        <w:rPr>
          <w:rFonts w:eastAsiaTheme="minorEastAsia"/>
          <w:snapToGrid w:val="0"/>
          <w:color w:val="000000"/>
          <w:kern w:val="22"/>
          <w:lang w:val="en-GB" w:eastAsia="zh-CN"/>
        </w:rPr>
        <w:t>17</w:t>
      </w:r>
      <w:r w:rsidRPr="0083788E">
        <w:rPr>
          <w:rFonts w:eastAsiaTheme="minorEastAsia"/>
          <w:snapToGrid w:val="0"/>
          <w:color w:val="000000"/>
          <w:kern w:val="22"/>
          <w:lang w:val="en-GB" w:eastAsia="zh-CN"/>
        </w:rPr>
        <w:t>条第</w:t>
      </w:r>
      <w:r w:rsidRPr="0083788E">
        <w:rPr>
          <w:rFonts w:eastAsiaTheme="minorEastAsia"/>
          <w:snapToGrid w:val="0"/>
          <w:color w:val="000000"/>
          <w:kern w:val="22"/>
          <w:lang w:val="en-GB" w:eastAsia="zh-CN"/>
        </w:rPr>
        <w:t>2</w:t>
      </w:r>
      <w:r w:rsidRPr="0083788E">
        <w:rPr>
          <w:rFonts w:eastAsiaTheme="minorEastAsia"/>
          <w:snapToGrid w:val="0"/>
          <w:color w:val="000000"/>
          <w:kern w:val="22"/>
          <w:lang w:val="en-GB" w:eastAsia="zh-CN"/>
        </w:rPr>
        <w:t>款制定最佳做法准则，以促进加强返还与保护和可持续利用生物多样性相关的土著和传统知识</w:t>
      </w:r>
      <w:r w:rsidRPr="0083788E">
        <w:rPr>
          <w:rFonts w:eastAsiaTheme="minorEastAsia"/>
          <w:iCs/>
          <w:snapToGrid w:val="0"/>
          <w:color w:val="000000"/>
          <w:kern w:val="22"/>
          <w:lang w:val="en-GB" w:eastAsia="zh-CN"/>
        </w:rPr>
        <w:t>，包括与文化财产有关的土著和传统知识，便利生物多样性传统知识的恢复。</w:t>
      </w:r>
      <w:r w:rsidRPr="0083788E">
        <w:rPr>
          <w:rFonts w:eastAsiaTheme="minorEastAsia"/>
          <w:snapToGrid w:val="0"/>
          <w:color w:val="000000"/>
          <w:kern w:val="22"/>
          <w:lang w:val="en-GB" w:eastAsia="zh-CN"/>
        </w:rPr>
        <w:t>”</w:t>
      </w:r>
    </w:p>
    <w:p w:rsidR="00772406" w:rsidRPr="0083788E" w:rsidRDefault="00772406" w:rsidP="001A42F8">
      <w:pPr>
        <w:numPr>
          <w:ilvl w:val="0"/>
          <w:numId w:val="203"/>
        </w:numPr>
        <w:suppressLineNumbers/>
        <w:tabs>
          <w:tab w:val="clear" w:pos="720"/>
        </w:tabs>
        <w:suppressAutoHyphens/>
        <w:adjustRightInd w:val="0"/>
        <w:snapToGrid w:val="0"/>
        <w:ind w:left="0" w:firstLine="0"/>
        <w:rPr>
          <w:rFonts w:eastAsiaTheme="minorEastAsia"/>
          <w:lang w:val="en-GB" w:eastAsia="zh-CN"/>
        </w:rPr>
      </w:pPr>
      <w:r w:rsidRPr="0083788E">
        <w:rPr>
          <w:rFonts w:eastAsiaTheme="minorEastAsia"/>
          <w:iCs/>
          <w:snapToGrid w:val="0"/>
          <w:color w:val="000000"/>
          <w:kern w:val="22"/>
          <w:lang w:val="en-GB" w:eastAsia="zh-CN"/>
        </w:rPr>
        <w:lastRenderedPageBreak/>
        <w:t>第</w:t>
      </w:r>
      <w:r w:rsidRPr="0083788E">
        <w:rPr>
          <w:rFonts w:eastAsiaTheme="minorEastAsia"/>
          <w:snapToGrid w:val="0"/>
          <w:color w:val="000000"/>
          <w:kern w:val="22"/>
          <w:lang w:val="en-GB" w:eastAsia="zh-CN"/>
        </w:rPr>
        <w:t>8(j)</w:t>
      </w:r>
      <w:r w:rsidRPr="0083788E">
        <w:rPr>
          <w:rFonts w:eastAsiaTheme="minorEastAsia"/>
          <w:snapToGrid w:val="0"/>
          <w:color w:val="000000"/>
          <w:kern w:val="22"/>
          <w:lang w:val="en-GB" w:eastAsia="zh-CN"/>
        </w:rPr>
        <w:t>条和相关条款工作组下制定的所有工具和准则均相互关联和相辅相成</w:t>
      </w:r>
      <w:r w:rsidRPr="0083788E">
        <w:rPr>
          <w:rFonts w:eastAsiaTheme="minorEastAsia"/>
          <w:iCs/>
          <w:snapToGrid w:val="0"/>
          <w:color w:val="000000"/>
          <w:kern w:val="22"/>
          <w:lang w:val="en-GB" w:eastAsia="zh-CN"/>
        </w:rPr>
        <w:t>，特别是关于传统知识的《</w:t>
      </w:r>
      <w:r w:rsidRPr="0083788E">
        <w:rPr>
          <w:rFonts w:asciiTheme="minorEastAsia" w:eastAsiaTheme="minorEastAsia" w:hAnsiTheme="minorEastAsia"/>
          <w:iCs/>
          <w:snapToGrid w:val="0"/>
          <w:color w:val="000000"/>
          <w:kern w:val="22"/>
          <w:lang w:val="en-GB" w:eastAsia="zh-CN"/>
        </w:rPr>
        <w:t>“生命之根”</w:t>
      </w:r>
      <w:r w:rsidRPr="0083788E">
        <w:rPr>
          <w:rFonts w:eastAsiaTheme="minorEastAsia"/>
          <w:iCs/>
          <w:snapToGrid w:val="0"/>
          <w:color w:val="000000"/>
          <w:kern w:val="22"/>
          <w:lang w:val="en-GB" w:eastAsia="zh-CN"/>
        </w:rPr>
        <w:t>自愿准则》。</w:t>
      </w:r>
      <w:r w:rsidRPr="0083788E">
        <w:rPr>
          <w:rFonts w:eastAsiaTheme="minorEastAsia"/>
          <w:caps/>
          <w:snapToGrid w:val="0"/>
          <w:kern w:val="22"/>
          <w:vertAlign w:val="superscript"/>
          <w:lang w:val="en-GB" w:eastAsia="zh-CN"/>
        </w:rPr>
        <w:footnoteReference w:id="184"/>
      </w:r>
      <w:r w:rsidRPr="0083788E">
        <w:rPr>
          <w:rFonts w:eastAsiaTheme="minorEastAsia"/>
          <w:iCs/>
          <w:snapToGrid w:val="0"/>
          <w:color w:val="000000"/>
          <w:kern w:val="22"/>
          <w:lang w:val="en-GB" w:eastAsia="zh-CN"/>
        </w:rPr>
        <w:t xml:space="preserve"> </w:t>
      </w:r>
      <w:r w:rsidRPr="0083788E">
        <w:rPr>
          <w:rFonts w:eastAsiaTheme="minorEastAsia"/>
          <w:iCs/>
          <w:snapToGrid w:val="0"/>
          <w:color w:val="000000"/>
          <w:kern w:val="22"/>
          <w:lang w:val="en-GB" w:eastAsia="zh-CN"/>
        </w:rPr>
        <w:t>返还传统知识的准则立足于缔约方大会的相关决定，包括《</w:t>
      </w:r>
      <w:r w:rsidRPr="0083788E">
        <w:rPr>
          <w:rFonts w:eastAsiaTheme="minorEastAsia"/>
          <w:bCs/>
          <w:lang w:val="en-GB" w:eastAsia="zh-CN"/>
        </w:rPr>
        <w:t>确保尊重土著和地方社区与保护和可持续利用生物多样性相关的文化和知识遗产的特加里瓦伊埃里道德行为守则》</w:t>
      </w:r>
      <w:r w:rsidRPr="0083788E">
        <w:rPr>
          <w:rFonts w:eastAsiaTheme="minorEastAsia"/>
          <w:iCs/>
          <w:snapToGrid w:val="0"/>
          <w:color w:val="000000"/>
          <w:kern w:val="22"/>
          <w:vertAlign w:val="superscript"/>
          <w:lang w:val="en-GB" w:eastAsia="zh-CN"/>
        </w:rPr>
        <w:footnoteReference w:id="185"/>
      </w:r>
      <w:r w:rsidRPr="0083788E">
        <w:rPr>
          <w:rFonts w:eastAsiaTheme="minorEastAsia"/>
          <w:bCs/>
          <w:lang w:val="en-GB" w:eastAsia="zh-CN"/>
        </w:rPr>
        <w:t xml:space="preserve"> </w:t>
      </w:r>
      <w:r w:rsidRPr="0083788E">
        <w:rPr>
          <w:rFonts w:eastAsiaTheme="minorEastAsia"/>
          <w:bCs/>
          <w:lang w:val="en-GB" w:eastAsia="zh-CN"/>
        </w:rPr>
        <w:t>的</w:t>
      </w:r>
      <w:r w:rsidRPr="0083788E">
        <w:rPr>
          <w:rFonts w:eastAsiaTheme="minorEastAsia"/>
          <w:iCs/>
          <w:snapToGrid w:val="0"/>
          <w:color w:val="000000"/>
          <w:kern w:val="22"/>
          <w:lang w:val="en-GB" w:eastAsia="zh-CN"/>
        </w:rPr>
        <w:t>第</w:t>
      </w:r>
      <w:r w:rsidRPr="0083788E">
        <w:rPr>
          <w:rFonts w:eastAsiaTheme="minorEastAsia"/>
          <w:snapToGrid w:val="0"/>
          <w:color w:val="000000"/>
          <w:kern w:val="22"/>
          <w:lang w:val="en-GB" w:eastAsia="zh-CN"/>
        </w:rPr>
        <w:t>23</w:t>
      </w:r>
      <w:r w:rsidRPr="0083788E">
        <w:rPr>
          <w:rFonts w:eastAsiaTheme="minorEastAsia"/>
          <w:iCs/>
          <w:snapToGrid w:val="0"/>
          <w:color w:val="000000"/>
          <w:kern w:val="22"/>
          <w:lang w:val="en-GB" w:eastAsia="zh-CN"/>
        </w:rPr>
        <w:t>段，以及关于登记册和数据库的第</w:t>
      </w:r>
      <w:r w:rsidRPr="0083788E">
        <w:rPr>
          <w:rFonts w:eastAsiaTheme="minorEastAsia"/>
          <w:snapToGrid w:val="0"/>
          <w:color w:val="000000"/>
          <w:kern w:val="22"/>
          <w:lang w:val="en-GB" w:eastAsia="zh-CN"/>
        </w:rPr>
        <w:t>VII/16</w:t>
      </w:r>
      <w:r w:rsidRPr="0083788E">
        <w:rPr>
          <w:rFonts w:eastAsiaTheme="minorEastAsia"/>
          <w:snapToGrid w:val="0"/>
          <w:color w:val="000000"/>
          <w:kern w:val="22"/>
          <w:lang w:val="en-GB" w:eastAsia="zh-CN"/>
        </w:rPr>
        <w:t>号决定</w:t>
      </w:r>
      <w:r w:rsidRPr="0083788E">
        <w:rPr>
          <w:rFonts w:eastAsiaTheme="minorEastAsia"/>
          <w:iCs/>
          <w:snapToGrid w:val="0"/>
          <w:color w:val="000000"/>
          <w:kern w:val="22"/>
          <w:lang w:val="en-GB" w:eastAsia="zh-CN"/>
        </w:rPr>
        <w:t>，</w:t>
      </w:r>
      <w:r w:rsidRPr="0083788E">
        <w:rPr>
          <w:rFonts w:eastAsiaTheme="minorEastAsia"/>
          <w:snapToGrid w:val="0"/>
          <w:color w:val="000000"/>
          <w:kern w:val="22"/>
          <w:lang w:val="en-GB" w:eastAsia="zh-CN"/>
        </w:rPr>
        <w:t>并补充了第</w:t>
      </w:r>
      <w:r w:rsidRPr="0083788E">
        <w:rPr>
          <w:rFonts w:eastAsiaTheme="minorEastAsia"/>
          <w:snapToGrid w:val="0"/>
          <w:color w:val="000000"/>
          <w:kern w:val="22"/>
          <w:lang w:val="en-GB" w:eastAsia="zh-CN"/>
        </w:rPr>
        <w:t>8(j)</w:t>
      </w:r>
      <w:r w:rsidRPr="0083788E">
        <w:rPr>
          <w:rFonts w:eastAsiaTheme="minorEastAsia"/>
          <w:iCs/>
          <w:snapToGrid w:val="0"/>
          <w:color w:val="000000"/>
          <w:kern w:val="22"/>
          <w:lang w:val="en-GB" w:eastAsia="zh-CN"/>
        </w:rPr>
        <w:t>条和相关条款工作组制定并由生物多样性公约缔约方大会通过的其他工具。</w:t>
      </w:r>
    </w:p>
    <w:p w:rsidR="00772406" w:rsidRPr="0083788E" w:rsidRDefault="00772406" w:rsidP="001A42F8">
      <w:pPr>
        <w:numPr>
          <w:ilvl w:val="0"/>
          <w:numId w:val="203"/>
        </w:numPr>
        <w:suppressLineNumbers/>
        <w:tabs>
          <w:tab w:val="clear" w:pos="720"/>
        </w:tabs>
        <w:suppressAutoHyphens/>
        <w:adjustRightInd w:val="0"/>
        <w:snapToGrid w:val="0"/>
        <w:ind w:left="0" w:firstLine="0"/>
        <w:rPr>
          <w:rFonts w:eastAsiaTheme="minorEastAsia"/>
          <w:snapToGrid w:val="0"/>
          <w:color w:val="000000"/>
          <w:kern w:val="22"/>
          <w:lang w:val="en-GB" w:eastAsia="zh-CN"/>
        </w:rPr>
      </w:pPr>
      <w:r w:rsidRPr="0083788E">
        <w:rPr>
          <w:rFonts w:eastAsiaTheme="minorEastAsia"/>
          <w:lang w:val="en-GB" w:eastAsia="zh-CN"/>
        </w:rPr>
        <w:t>《卢佐利希里沙希克自愿</w:t>
      </w:r>
      <w:r w:rsidRPr="0083788E">
        <w:rPr>
          <w:rFonts w:eastAsiaTheme="minorEastAsia"/>
          <w:snapToGrid w:val="0"/>
          <w:color w:val="000000"/>
          <w:kern w:val="22"/>
          <w:lang w:val="en-GB" w:eastAsia="zh-CN"/>
        </w:rPr>
        <w:t>准则》顾及各国际机构、各项文书、方案、战略、标准、准则、报告和相关进程及其协调和</w:t>
      </w:r>
      <w:r w:rsidRPr="0083788E">
        <w:rPr>
          <w:rFonts w:eastAsiaTheme="minorEastAsia"/>
          <w:iCs/>
          <w:snapToGrid w:val="0"/>
          <w:color w:val="000000"/>
          <w:kern w:val="22"/>
          <w:lang w:val="en-GB" w:eastAsia="zh-CN"/>
        </w:rPr>
        <w:t>互补性</w:t>
      </w:r>
      <w:r w:rsidRPr="0083788E">
        <w:rPr>
          <w:rFonts w:eastAsiaTheme="minorEastAsia"/>
          <w:snapToGrid w:val="0"/>
          <w:color w:val="000000"/>
          <w:kern w:val="22"/>
          <w:lang w:val="en-GB" w:eastAsia="zh-CN"/>
        </w:rPr>
        <w:t>和有效执行的重要性，酌情包括了《联合国土著人民权利宣言》，</w:t>
      </w:r>
      <w:r w:rsidRPr="0083788E">
        <w:rPr>
          <w:rFonts w:eastAsiaTheme="minorEastAsia"/>
          <w:iCs/>
          <w:snapToGrid w:val="0"/>
          <w:color w:val="000000"/>
          <w:kern w:val="22"/>
          <w:vertAlign w:val="superscript"/>
          <w:lang w:val="en-GB" w:eastAsia="zh-CN"/>
        </w:rPr>
        <w:footnoteReference w:id="186"/>
      </w:r>
      <w:r w:rsidRPr="0083788E">
        <w:rPr>
          <w:rFonts w:eastAsiaTheme="minorEastAsia"/>
          <w:snapToGrid w:val="0"/>
          <w:color w:val="000000"/>
          <w:kern w:val="22"/>
          <w:lang w:val="en-GB" w:eastAsia="zh-CN"/>
        </w:rPr>
        <w:t xml:space="preserve"> </w:t>
      </w:r>
      <w:r w:rsidRPr="0083788E">
        <w:rPr>
          <w:rFonts w:eastAsiaTheme="minorEastAsia"/>
          <w:snapToGrid w:val="0"/>
          <w:color w:val="000000"/>
          <w:kern w:val="22"/>
          <w:lang w:val="en-GB" w:eastAsia="zh-CN"/>
        </w:rPr>
        <w:t>尤其是联合国教育、科学及文化组织关于文化财产的任务规定以及《世界知识产权组织》涉及知识产权问题的任务规定。</w:t>
      </w:r>
    </w:p>
    <w:p w:rsidR="00772406" w:rsidRPr="0083788E" w:rsidRDefault="00772406" w:rsidP="001A42F8">
      <w:pPr>
        <w:numPr>
          <w:ilvl w:val="0"/>
          <w:numId w:val="203"/>
        </w:numPr>
        <w:suppressLineNumbers/>
        <w:tabs>
          <w:tab w:val="clear" w:pos="720"/>
        </w:tab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因此，本准则强调国际合作对返还传统知识的重要性，包括向土著人民和地方社区提供</w:t>
      </w:r>
      <w:r w:rsidRPr="0083788E">
        <w:rPr>
          <w:rFonts w:eastAsiaTheme="minorEastAsia"/>
          <w:iCs/>
          <w:snapToGrid w:val="0"/>
          <w:color w:val="000000"/>
          <w:kern w:val="22"/>
          <w:lang w:val="en-GB" w:eastAsia="zh-CN"/>
        </w:rPr>
        <w:t>获取</w:t>
      </w:r>
      <w:r w:rsidRPr="0083788E">
        <w:rPr>
          <w:rFonts w:eastAsiaTheme="minorEastAsia"/>
          <w:snapToGrid w:val="0"/>
          <w:color w:val="000000"/>
          <w:kern w:val="22"/>
          <w:lang w:val="en-GB" w:eastAsia="zh-CN"/>
        </w:rPr>
        <w:t>传统知识和相关信息或补充信息的机会，以便利返还与生物多样性的保护和可持续利用相关的传统知识，协助这些社区的知识和文化恢复。</w:t>
      </w:r>
    </w:p>
    <w:p w:rsidR="00772406" w:rsidRPr="0083788E" w:rsidRDefault="00772406" w:rsidP="0083788E">
      <w:pPr>
        <w:adjustRightInd w:val="0"/>
        <w:snapToGrid w:val="0"/>
        <w:ind w:left="1440" w:right="1542"/>
        <w:jc w:val="center"/>
        <w:rPr>
          <w:rFonts w:eastAsiaTheme="minorEastAsia"/>
          <w:b/>
          <w:snapToGrid w:val="0"/>
          <w:kern w:val="22"/>
          <w:lang w:val="en-GB" w:eastAsia="zh-CN"/>
        </w:rPr>
      </w:pPr>
      <w:bookmarkStart w:id="168" w:name="_Toc507181893"/>
      <w:r w:rsidRPr="0083788E">
        <w:rPr>
          <w:rFonts w:eastAsiaTheme="minorEastAsia"/>
          <w:b/>
          <w:lang w:val="en-GB" w:eastAsia="zh-CN"/>
        </w:rPr>
        <w:t>《关于返还与保护和可持续利用生物多样性相关传统知识的卢佐利希里沙希克</w:t>
      </w:r>
      <w:r w:rsidRPr="0083788E">
        <w:rPr>
          <w:rFonts w:eastAsiaTheme="minorEastAsia"/>
          <w:snapToGrid w:val="0"/>
          <w:kern w:val="18"/>
          <w:vertAlign w:val="superscript"/>
          <w:lang w:val="en-CA" w:eastAsia="en-CA"/>
        </w:rPr>
        <w:footnoteReference w:id="187"/>
      </w:r>
      <w:r w:rsidRPr="0083788E">
        <w:rPr>
          <w:rFonts w:eastAsiaTheme="minorEastAsia"/>
          <w:b/>
          <w:lang w:val="en-GB" w:eastAsia="zh-CN"/>
        </w:rPr>
        <w:t>自愿准则》</w:t>
      </w:r>
      <w:bookmarkEnd w:id="168"/>
    </w:p>
    <w:p w:rsidR="00772406" w:rsidRPr="0083788E" w:rsidRDefault="00772406" w:rsidP="0083788E">
      <w:pPr>
        <w:suppressLineNumbers/>
        <w:shd w:val="clear" w:color="auto" w:fill="FFFFFF"/>
        <w:suppressAutoHyphens/>
        <w:adjustRightInd w:val="0"/>
        <w:snapToGrid w:val="0"/>
        <w:jc w:val="center"/>
        <w:rPr>
          <w:rFonts w:eastAsiaTheme="minorEastAsia"/>
          <w:b/>
          <w:snapToGrid w:val="0"/>
          <w:color w:val="000000"/>
          <w:kern w:val="22"/>
          <w:lang w:val="en-GB" w:eastAsia="zh-CN"/>
        </w:rPr>
      </w:pPr>
      <w:r w:rsidRPr="0083788E">
        <w:rPr>
          <w:rFonts w:eastAsiaTheme="minorEastAsia"/>
          <w:b/>
          <w:iCs/>
          <w:snapToGrid w:val="0"/>
          <w:color w:val="000000"/>
          <w:kern w:val="22"/>
          <w:lang w:val="en-GB" w:eastAsia="zh-CN"/>
        </w:rPr>
        <w:t>一</w:t>
      </w:r>
      <w:r w:rsidRPr="0083788E">
        <w:rPr>
          <w:rFonts w:eastAsiaTheme="minorEastAsia"/>
          <w:b/>
          <w:iCs/>
          <w:snapToGrid w:val="0"/>
          <w:color w:val="000000"/>
          <w:kern w:val="22"/>
          <w:lang w:val="en-GB" w:eastAsia="zh-CN"/>
        </w:rPr>
        <w:t>.</w:t>
      </w:r>
      <w:r w:rsidRPr="0083788E">
        <w:rPr>
          <w:rFonts w:eastAsiaTheme="minorEastAsia"/>
          <w:b/>
          <w:iCs/>
          <w:snapToGrid w:val="0"/>
          <w:color w:val="000000"/>
          <w:kern w:val="22"/>
          <w:lang w:val="en-GB" w:eastAsia="zh-CN"/>
        </w:rPr>
        <w:tab/>
      </w:r>
      <w:r w:rsidRPr="0083788E">
        <w:rPr>
          <w:rFonts w:eastAsiaTheme="minorEastAsia"/>
          <w:b/>
          <w:iCs/>
          <w:snapToGrid w:val="0"/>
          <w:color w:val="000000"/>
          <w:kern w:val="22"/>
          <w:lang w:val="en-GB" w:eastAsia="zh-CN"/>
        </w:rPr>
        <w:t>目标</w:t>
      </w:r>
    </w:p>
    <w:p w:rsidR="00772406" w:rsidRPr="0083788E" w:rsidRDefault="00772406" w:rsidP="001A42F8">
      <w:pPr>
        <w:widowControl w:val="0"/>
        <w:numPr>
          <w:ilvl w:val="0"/>
          <w:numId w:val="203"/>
        </w:numPr>
        <w:suppressLineNumbers/>
        <w:tabs>
          <w:tab w:val="clear" w:pos="720"/>
        </w:tabs>
        <w:suppressAutoHyphens/>
        <w:adjustRightInd w:val="0"/>
        <w:snapToGrid w:val="0"/>
        <w:ind w:left="0" w:firstLine="0"/>
        <w:rPr>
          <w:rFonts w:eastAsiaTheme="minorEastAsia"/>
          <w:i/>
          <w:snapToGrid w:val="0"/>
          <w:color w:val="000000"/>
          <w:kern w:val="22"/>
          <w:lang w:val="en-GB" w:eastAsia="zh-CN"/>
        </w:rPr>
      </w:pPr>
      <w:r w:rsidRPr="0083788E">
        <w:rPr>
          <w:rFonts w:eastAsiaTheme="minorEastAsia"/>
          <w:iCs/>
          <w:snapToGrid w:val="0"/>
          <w:color w:val="000000"/>
          <w:kern w:val="22"/>
          <w:lang w:val="en-GB" w:eastAsia="zh-CN"/>
        </w:rPr>
        <w:t>《</w:t>
      </w:r>
      <w:r w:rsidRPr="0083788E">
        <w:rPr>
          <w:rFonts w:eastAsiaTheme="minorEastAsia"/>
          <w:lang w:val="en-GB" w:eastAsia="zh-CN"/>
        </w:rPr>
        <w:t>卢佐利希里沙希克自愿</w:t>
      </w:r>
      <w:r w:rsidRPr="0083788E">
        <w:rPr>
          <w:rFonts w:eastAsiaTheme="minorEastAsia"/>
          <w:iCs/>
          <w:snapToGrid w:val="0"/>
          <w:color w:val="000000"/>
          <w:kern w:val="22"/>
          <w:lang w:val="en-GB" w:eastAsia="zh-CN"/>
        </w:rPr>
        <w:t>准则》的目标是根据《公约》第</w:t>
      </w:r>
      <w:r w:rsidRPr="0083788E">
        <w:rPr>
          <w:rFonts w:eastAsiaTheme="minorEastAsia"/>
          <w:iCs/>
          <w:snapToGrid w:val="0"/>
          <w:color w:val="000000"/>
          <w:kern w:val="22"/>
          <w:lang w:val="en-GB" w:eastAsia="zh-CN"/>
        </w:rPr>
        <w:t>8(j)</w:t>
      </w:r>
      <w:r w:rsidRPr="0083788E">
        <w:rPr>
          <w:rFonts w:eastAsiaTheme="minorEastAsia"/>
          <w:iCs/>
          <w:snapToGrid w:val="0"/>
          <w:color w:val="000000"/>
          <w:kern w:val="22"/>
          <w:lang w:val="en-GB" w:eastAsia="zh-CN"/>
        </w:rPr>
        <w:t>条和</w:t>
      </w:r>
      <w:r w:rsidRPr="0083788E">
        <w:rPr>
          <w:rFonts w:eastAsiaTheme="minorEastAsia"/>
          <w:iCs/>
          <w:snapToGrid w:val="0"/>
          <w:color w:val="000000"/>
          <w:kern w:val="22"/>
          <w:lang w:val="en-GB" w:eastAsia="zh-CN"/>
        </w:rPr>
        <w:t>17</w:t>
      </w:r>
      <w:r w:rsidRPr="0083788E">
        <w:rPr>
          <w:rFonts w:eastAsiaTheme="minorEastAsia"/>
          <w:iCs/>
          <w:snapToGrid w:val="0"/>
          <w:color w:val="000000"/>
          <w:kern w:val="22"/>
          <w:lang w:val="en-GB" w:eastAsia="zh-CN"/>
        </w:rPr>
        <w:t>条第</w:t>
      </w:r>
      <w:r w:rsidRPr="0083788E">
        <w:rPr>
          <w:rFonts w:eastAsiaTheme="minorEastAsia"/>
          <w:iCs/>
          <w:snapToGrid w:val="0"/>
          <w:color w:val="000000"/>
          <w:kern w:val="22"/>
          <w:lang w:val="en-GB" w:eastAsia="zh-CN"/>
        </w:rPr>
        <w:t>2</w:t>
      </w:r>
      <w:r w:rsidRPr="0083788E">
        <w:rPr>
          <w:rFonts w:eastAsiaTheme="minorEastAsia"/>
          <w:iCs/>
          <w:snapToGrid w:val="0"/>
          <w:color w:val="000000"/>
          <w:kern w:val="22"/>
          <w:lang w:val="en-GB" w:eastAsia="zh-CN"/>
        </w:rPr>
        <w:t>款，便利返还</w:t>
      </w:r>
      <w:r w:rsidRPr="0083788E">
        <w:rPr>
          <w:rFonts w:eastAsiaTheme="minorEastAsia"/>
          <w:snapToGrid w:val="0"/>
          <w:lang w:val="en-GB" w:eastAsia="zh-CN"/>
        </w:rPr>
        <w:t>体现土著和地方社区与保护和可持续利用生物多样性相关的传统生活方式的传统知识</w:t>
      </w:r>
      <w:r w:rsidRPr="0083788E">
        <w:rPr>
          <w:rFonts w:eastAsiaTheme="minorEastAsia"/>
          <w:iCs/>
          <w:snapToGrid w:val="0"/>
          <w:color w:val="000000"/>
          <w:kern w:val="22"/>
          <w:lang w:val="en-GB" w:eastAsia="zh-CN"/>
        </w:rPr>
        <w:t>，包括相关信息或补充信息，以便利与保护和可持续利用生物多样性有关的传统知识的恢复，</w:t>
      </w:r>
      <w:r w:rsidRPr="0083788E">
        <w:rPr>
          <w:rFonts w:eastAsiaTheme="minorEastAsia"/>
          <w:snapToGrid w:val="0"/>
          <w:kern w:val="18"/>
          <w:vertAlign w:val="superscript"/>
          <w:lang w:val="en-CA" w:eastAsia="en-CA"/>
        </w:rPr>
        <w:footnoteReference w:id="188"/>
      </w:r>
      <w:r w:rsidRPr="0083788E">
        <w:rPr>
          <w:rFonts w:eastAsiaTheme="minorEastAsia"/>
          <w:snapToGrid w:val="0"/>
          <w:kern w:val="18"/>
          <w:vertAlign w:val="superscript"/>
          <w:lang w:val="en-CA" w:eastAsia="zh-CN"/>
        </w:rPr>
        <w:t xml:space="preserve"> </w:t>
      </w:r>
      <w:r w:rsidRPr="0083788E">
        <w:rPr>
          <w:rFonts w:eastAsiaTheme="minorEastAsia"/>
          <w:iCs/>
          <w:snapToGrid w:val="0"/>
          <w:color w:val="000000"/>
          <w:kern w:val="22"/>
          <w:lang w:val="en-GB" w:eastAsia="zh-CN"/>
        </w:rPr>
        <w:t>并且不限制或约束其持续的利用和获取，</w:t>
      </w:r>
      <w:r w:rsidRPr="0083788E">
        <w:rPr>
          <w:rFonts w:eastAsiaTheme="minorEastAsia"/>
          <w:snapToGrid w:val="0"/>
          <w:kern w:val="18"/>
          <w:vertAlign w:val="superscript"/>
          <w:lang w:val="en-CA" w:eastAsia="en-CA"/>
        </w:rPr>
        <w:footnoteReference w:id="189"/>
      </w:r>
      <w:r w:rsidRPr="0083788E">
        <w:rPr>
          <w:rFonts w:eastAsiaTheme="minorEastAsia"/>
          <w:snapToGrid w:val="0"/>
          <w:kern w:val="18"/>
          <w:vertAlign w:val="superscript"/>
          <w:lang w:val="en-CA" w:eastAsia="zh-CN"/>
        </w:rPr>
        <w:t xml:space="preserve"> </w:t>
      </w:r>
      <w:r w:rsidRPr="0083788E">
        <w:rPr>
          <w:rFonts w:eastAsiaTheme="minorEastAsia"/>
          <w:iCs/>
          <w:snapToGrid w:val="0"/>
          <w:color w:val="000000"/>
          <w:kern w:val="22"/>
          <w:lang w:val="en-GB" w:eastAsia="zh-CN"/>
        </w:rPr>
        <w:t>除非有共同商定的条件。</w:t>
      </w:r>
    </w:p>
    <w:p w:rsidR="00772406" w:rsidRPr="0083788E" w:rsidRDefault="00772406" w:rsidP="001A42F8">
      <w:pPr>
        <w:numPr>
          <w:ilvl w:val="0"/>
          <w:numId w:val="203"/>
        </w:numPr>
        <w:suppressLineNumbers/>
        <w:tabs>
          <w:tab w:val="clear" w:pos="720"/>
        </w:tab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w:t>
      </w:r>
      <w:r w:rsidRPr="0083788E">
        <w:rPr>
          <w:rFonts w:eastAsiaTheme="minorEastAsia"/>
          <w:lang w:val="en-GB" w:eastAsia="zh-CN"/>
        </w:rPr>
        <w:t>卢佐利希里沙希克自愿</w:t>
      </w:r>
      <w:r w:rsidRPr="0083788E">
        <w:rPr>
          <w:rFonts w:eastAsiaTheme="minorEastAsia"/>
          <w:iCs/>
          <w:snapToGrid w:val="0"/>
          <w:color w:val="000000"/>
          <w:kern w:val="22"/>
          <w:lang w:val="en-GB" w:eastAsia="zh-CN"/>
        </w:rPr>
        <w:t>准则》还可能有助于有效执行经缔约方大会第</w:t>
      </w:r>
      <w:r w:rsidRPr="0083788E">
        <w:rPr>
          <w:rFonts w:eastAsiaTheme="minorEastAsia"/>
          <w:iCs/>
          <w:snapToGrid w:val="0"/>
          <w:color w:val="000000"/>
          <w:kern w:val="22"/>
          <w:lang w:val="en-GB" w:eastAsia="zh-CN"/>
        </w:rPr>
        <w:t>XII/12 B</w:t>
      </w:r>
      <w:r w:rsidRPr="0083788E">
        <w:rPr>
          <w:rFonts w:eastAsiaTheme="minorEastAsia"/>
          <w:iCs/>
          <w:snapToGrid w:val="0"/>
          <w:color w:val="000000"/>
          <w:kern w:val="22"/>
          <w:lang w:val="en-GB" w:eastAsia="zh-CN"/>
        </w:rPr>
        <w:t>号决定核可的《生物多样性可持续习惯使用问题全球行动计划》。</w:t>
      </w:r>
      <w:r w:rsidRPr="0083788E">
        <w:rPr>
          <w:rFonts w:eastAsiaTheme="minorEastAsia"/>
          <w:iCs/>
          <w:snapToGrid w:val="0"/>
          <w:color w:val="000000"/>
          <w:kern w:val="22"/>
          <w:lang w:val="en-GB" w:eastAsia="zh-CN"/>
        </w:rPr>
        <w:t xml:space="preserve"> </w:t>
      </w:r>
    </w:p>
    <w:p w:rsidR="00772406" w:rsidRPr="0083788E" w:rsidRDefault="00772406" w:rsidP="0083788E">
      <w:pPr>
        <w:suppressLineNumbers/>
        <w:shd w:val="clear" w:color="auto" w:fill="FFFFFF"/>
        <w:suppressAutoHyphens/>
        <w:adjustRightInd w:val="0"/>
        <w:snapToGrid w:val="0"/>
        <w:ind w:firstLine="0"/>
        <w:jc w:val="center"/>
        <w:rPr>
          <w:rFonts w:eastAsiaTheme="minorEastAsia"/>
          <w:iCs/>
          <w:snapToGrid w:val="0"/>
          <w:color w:val="000000"/>
          <w:kern w:val="22"/>
          <w:lang w:val="en-GB" w:eastAsia="zh-CN"/>
        </w:rPr>
      </w:pPr>
      <w:r w:rsidRPr="0083788E">
        <w:rPr>
          <w:rFonts w:eastAsiaTheme="minorEastAsia"/>
          <w:b/>
          <w:snapToGrid w:val="0"/>
          <w:color w:val="000000"/>
          <w:kern w:val="22"/>
          <w:lang w:val="en-GB" w:eastAsia="zh-CN"/>
        </w:rPr>
        <w:t>二</w:t>
      </w:r>
      <w:r w:rsidRPr="0083788E">
        <w:rPr>
          <w:rFonts w:eastAsiaTheme="minorEastAsia"/>
          <w:b/>
          <w:snapToGrid w:val="0"/>
          <w:color w:val="000000"/>
          <w:kern w:val="22"/>
          <w:lang w:val="en-GB" w:eastAsia="zh-CN"/>
        </w:rPr>
        <w:t>.</w:t>
      </w:r>
      <w:r w:rsidRPr="0083788E">
        <w:rPr>
          <w:rFonts w:eastAsiaTheme="minorEastAsia"/>
          <w:b/>
          <w:snapToGrid w:val="0"/>
          <w:color w:val="000000"/>
          <w:kern w:val="22"/>
          <w:lang w:val="en-GB" w:eastAsia="zh-CN"/>
        </w:rPr>
        <w:tab/>
      </w:r>
      <w:r w:rsidRPr="0083788E">
        <w:rPr>
          <w:rFonts w:eastAsiaTheme="minorEastAsia"/>
          <w:b/>
          <w:snapToGrid w:val="0"/>
          <w:color w:val="000000"/>
          <w:kern w:val="22"/>
          <w:lang w:val="en-GB" w:eastAsia="zh-CN"/>
        </w:rPr>
        <w:t>目的</w:t>
      </w:r>
    </w:p>
    <w:p w:rsidR="00772406" w:rsidRPr="0083788E" w:rsidRDefault="00772406" w:rsidP="001A42F8">
      <w:pPr>
        <w:widowControl w:val="0"/>
        <w:numPr>
          <w:ilvl w:val="0"/>
          <w:numId w:val="203"/>
        </w:numPr>
        <w:suppressLineNumbers/>
        <w:tabs>
          <w:tab w:val="clear" w:pos="720"/>
        </w:tab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snapToGrid w:val="0"/>
          <w:color w:val="000000"/>
          <w:kern w:val="22"/>
          <w:lang w:val="en-GB" w:eastAsia="zh-CN"/>
        </w:rPr>
        <w:t>为</w:t>
      </w:r>
      <w:r w:rsidRPr="0083788E">
        <w:rPr>
          <w:rFonts w:eastAsiaTheme="minorEastAsia"/>
          <w:iCs/>
          <w:snapToGrid w:val="0"/>
          <w:color w:val="000000"/>
          <w:kern w:val="22"/>
          <w:lang w:val="en-GB" w:eastAsia="zh-CN"/>
        </w:rPr>
        <w:t>《</w:t>
      </w:r>
      <w:r w:rsidRPr="0083788E">
        <w:rPr>
          <w:rFonts w:eastAsiaTheme="minorEastAsia"/>
          <w:lang w:val="en-GB" w:eastAsia="zh-CN"/>
        </w:rPr>
        <w:t>卢佐利希里沙希克自愿</w:t>
      </w:r>
      <w:r w:rsidRPr="0083788E">
        <w:rPr>
          <w:rFonts w:eastAsiaTheme="minorEastAsia"/>
          <w:iCs/>
          <w:snapToGrid w:val="0"/>
          <w:color w:val="000000"/>
          <w:kern w:val="22"/>
          <w:lang w:val="en-GB" w:eastAsia="zh-CN"/>
        </w:rPr>
        <w:t>准则》</w:t>
      </w:r>
      <w:r w:rsidRPr="0083788E">
        <w:rPr>
          <w:rFonts w:eastAsiaTheme="minorEastAsia"/>
          <w:snapToGrid w:val="0"/>
          <w:color w:val="000000"/>
          <w:kern w:val="22"/>
          <w:lang w:val="en-GB" w:eastAsia="zh-CN"/>
        </w:rPr>
        <w:t>目的，</w:t>
      </w:r>
      <w:r w:rsidRPr="00235140">
        <w:rPr>
          <w:rFonts w:asciiTheme="minorEastAsia" w:eastAsiaTheme="minorEastAsia" w:hAnsiTheme="minorEastAsia"/>
          <w:snapToGrid w:val="0"/>
          <w:color w:val="000000"/>
          <w:kern w:val="22"/>
          <w:lang w:val="en-GB" w:eastAsia="zh-CN"/>
        </w:rPr>
        <w:t>与保护和可持续利用生物多样性相关的</w:t>
      </w:r>
      <w:r w:rsidRPr="00235140">
        <w:rPr>
          <w:rFonts w:asciiTheme="minorEastAsia" w:eastAsiaTheme="minorEastAsia" w:hAnsiTheme="minorEastAsia"/>
          <w:lang w:val="en-GB" w:eastAsia="zh-CN"/>
        </w:rPr>
        <w:t>传统知识范畴内的“返还”意味着，“</w:t>
      </w:r>
      <w:r w:rsidRPr="0083788E">
        <w:rPr>
          <w:rFonts w:eastAsiaTheme="minorEastAsia"/>
          <w:lang w:val="en-GB" w:eastAsia="zh-CN"/>
        </w:rPr>
        <w:t>为便于有关生物多样性的知识的追回、重振和保护，</w:t>
      </w:r>
      <w:r w:rsidRPr="0083788E">
        <w:rPr>
          <w:rFonts w:eastAsiaTheme="minorEastAsia"/>
          <w:snapToGrid w:val="0"/>
          <w:kern w:val="18"/>
          <w:vertAlign w:val="superscript"/>
          <w:lang w:val="en-CA" w:eastAsia="en-CA"/>
        </w:rPr>
        <w:footnoteReference w:id="190"/>
      </w:r>
      <w:r w:rsidRPr="0083788E">
        <w:rPr>
          <w:rFonts w:eastAsiaTheme="minorEastAsia"/>
          <w:snapToGrid w:val="0"/>
          <w:kern w:val="18"/>
          <w:vertAlign w:val="superscript"/>
          <w:lang w:val="en-CA" w:eastAsia="zh-CN"/>
        </w:rPr>
        <w:t xml:space="preserve"> </w:t>
      </w:r>
      <w:r w:rsidRPr="0083788E">
        <w:rPr>
          <w:rFonts w:eastAsiaTheme="minorEastAsia"/>
          <w:lang w:val="en-GB" w:eastAsia="zh-CN"/>
        </w:rPr>
        <w:t>土</w:t>
      </w:r>
      <w:r w:rsidRPr="0083788E">
        <w:rPr>
          <w:rFonts w:eastAsiaTheme="minorEastAsia"/>
          <w:lang w:val="en-GB" w:eastAsia="zh-CN"/>
        </w:rPr>
        <w:lastRenderedPageBreak/>
        <w:t>著和地方社区的知识、创新和做法归还其发源地或获得之处。</w:t>
      </w:r>
      <w:r w:rsidRPr="00235140">
        <w:rPr>
          <w:rFonts w:asciiTheme="minorEastAsia" w:eastAsiaTheme="minorEastAsia" w:hAnsiTheme="minorEastAsia"/>
          <w:snapToGrid w:val="0"/>
          <w:color w:val="000000"/>
          <w:kern w:val="22"/>
          <w:lang w:val="en-GB" w:eastAsia="zh-CN"/>
        </w:rPr>
        <w:t>”</w:t>
      </w:r>
      <w:r w:rsidRPr="0083788E">
        <w:rPr>
          <w:rFonts w:eastAsiaTheme="minorEastAsia"/>
          <w:lang w:val="en-GB" w:eastAsia="zh-CN"/>
        </w:rPr>
        <w:t xml:space="preserve"> </w:t>
      </w:r>
      <w:r w:rsidRPr="0083788E">
        <w:rPr>
          <w:rFonts w:eastAsiaTheme="minorEastAsia"/>
          <w:snapToGrid w:val="0"/>
          <w:kern w:val="18"/>
          <w:vertAlign w:val="superscript"/>
          <w:lang w:val="en-CA" w:eastAsia="en-CA"/>
        </w:rPr>
        <w:footnoteReference w:id="191"/>
      </w:r>
      <w:r w:rsidRPr="0083788E">
        <w:rPr>
          <w:rFonts w:eastAsiaTheme="minorEastAsia"/>
          <w:snapToGrid w:val="0"/>
          <w:kern w:val="18"/>
          <w:vertAlign w:val="superscript"/>
          <w:lang w:val="en-CA" w:eastAsia="en-CA"/>
        </w:rPr>
        <w:t xml:space="preserve"> </w:t>
      </w:r>
      <w:r w:rsidRPr="0083788E">
        <w:rPr>
          <w:rFonts w:eastAsiaTheme="minorEastAsia"/>
          <w:snapToGrid w:val="0"/>
          <w:color w:val="000000"/>
          <w:kern w:val="22"/>
          <w:u w:val="single"/>
          <w:lang w:val="en-GB" w:eastAsia="zh-CN"/>
        </w:rPr>
        <w:t xml:space="preserve"> </w:t>
      </w:r>
    </w:p>
    <w:p w:rsidR="00772406" w:rsidRPr="0083788E" w:rsidRDefault="00772406" w:rsidP="001A42F8">
      <w:pPr>
        <w:numPr>
          <w:ilvl w:val="0"/>
          <w:numId w:val="203"/>
        </w:numPr>
        <w:suppressLineNumbers/>
        <w:tabs>
          <w:tab w:val="clear" w:pos="720"/>
        </w:tab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本准则的目的是作为缔约方、各国政府、</w:t>
      </w:r>
      <w:r w:rsidRPr="0083788E">
        <w:rPr>
          <w:rFonts w:eastAsiaTheme="minorEastAsia"/>
          <w:snapToGrid w:val="0"/>
          <w:kern w:val="18"/>
          <w:vertAlign w:val="superscript"/>
          <w:lang w:val="en-CA" w:eastAsia="en-CA"/>
        </w:rPr>
        <w:footnoteReference w:id="192"/>
      </w:r>
      <w:r w:rsidRPr="0083788E">
        <w:rPr>
          <w:rFonts w:eastAsiaTheme="minorEastAsia"/>
          <w:snapToGrid w:val="0"/>
          <w:kern w:val="18"/>
          <w:vertAlign w:val="superscript"/>
          <w:lang w:val="en-CA" w:eastAsia="zh-CN"/>
        </w:rPr>
        <w:t xml:space="preserve"> </w:t>
      </w:r>
      <w:r w:rsidRPr="0083788E">
        <w:rPr>
          <w:rFonts w:eastAsiaTheme="minorEastAsia"/>
          <w:iCs/>
          <w:snapToGrid w:val="0"/>
          <w:color w:val="000000"/>
          <w:kern w:val="22"/>
          <w:lang w:val="en-GB" w:eastAsia="zh-CN"/>
        </w:rPr>
        <w:t>国际和区域组织、博物馆、大学、植物标本馆、动植物园、数据库、登记册、基因库、图书馆、档案馆和信息服务中心、私人收藏馆和持有、储存或放置传统知识及相关或补充信息的其他实体以及土著人民和地方社区努力返还传统知识的实用指南。</w:t>
      </w:r>
    </w:p>
    <w:p w:rsidR="00772406" w:rsidRPr="0083788E" w:rsidRDefault="00772406" w:rsidP="001A42F8">
      <w:pPr>
        <w:numPr>
          <w:ilvl w:val="0"/>
          <w:numId w:val="203"/>
        </w:numPr>
        <w:suppressLineNumbers/>
        <w:tabs>
          <w:tab w:val="clear" w:pos="720"/>
        </w:tab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本准则是良好做法指南，对准则的解释需要酌情顾及每一缔约方、国家政府、机构、实体和土著人民和地方社区的政治、法律、经济、环境和文化多样性，并根据每一组织的使命、收藏和相关社区的情况予以实施，同时亦顾及社区规约和其他相关程序。</w:t>
      </w:r>
    </w:p>
    <w:p w:rsidR="00772406" w:rsidRPr="0083788E" w:rsidRDefault="00772406" w:rsidP="001A42F8">
      <w:pPr>
        <w:numPr>
          <w:ilvl w:val="0"/>
          <w:numId w:val="203"/>
        </w:numPr>
        <w:suppressLineNumbers/>
        <w:tabs>
          <w:tab w:val="clear" w:pos="720"/>
        </w:tabs>
        <w:suppressAutoHyphens/>
        <w:adjustRightInd w:val="0"/>
        <w:snapToGrid w:val="0"/>
        <w:ind w:left="0" w:firstLine="0"/>
        <w:rPr>
          <w:rFonts w:eastAsiaTheme="minorEastAsia"/>
          <w:snapToGrid w:val="0"/>
          <w:color w:val="000000"/>
          <w:kern w:val="22"/>
          <w:lang w:val="en-GB" w:eastAsia="zh-CN"/>
        </w:rPr>
      </w:pPr>
      <w:r w:rsidRPr="0083788E">
        <w:rPr>
          <w:rFonts w:eastAsiaTheme="minorEastAsia"/>
          <w:color w:val="333333"/>
          <w:shd w:val="clear" w:color="auto" w:fill="FFFFFF"/>
          <w:lang w:val="en-GB" w:eastAsia="zh-CN"/>
        </w:rPr>
        <w:t>本准则非规范或决定性的准则。</w:t>
      </w:r>
    </w:p>
    <w:p w:rsidR="00772406" w:rsidRPr="0083788E" w:rsidRDefault="00772406" w:rsidP="001A42F8">
      <w:pPr>
        <w:numPr>
          <w:ilvl w:val="0"/>
          <w:numId w:val="203"/>
        </w:numPr>
        <w:suppressLineNumbers/>
        <w:tabs>
          <w:tab w:val="clear" w:pos="720"/>
        </w:tab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鉴于可能参与返还的国家、机构和实体以及土著人民和地方社区的政治、法律、经济、</w:t>
      </w:r>
      <w:r w:rsidRPr="0083788E">
        <w:rPr>
          <w:rFonts w:eastAsiaTheme="minorEastAsia"/>
          <w:color w:val="333333"/>
          <w:shd w:val="clear" w:color="auto" w:fill="FFFFFF"/>
          <w:lang w:val="en-GB" w:eastAsia="zh-CN"/>
        </w:rPr>
        <w:t>环境</w:t>
      </w:r>
      <w:r w:rsidRPr="0083788E">
        <w:rPr>
          <w:rFonts w:eastAsiaTheme="minorEastAsia"/>
          <w:snapToGrid w:val="0"/>
          <w:color w:val="000000"/>
          <w:kern w:val="22"/>
          <w:lang w:val="en-GB" w:eastAsia="zh-CN"/>
        </w:rPr>
        <w:t>和文化多样性，本准则不可能涵盖专业实务中可能产生的所有问题。但本准则应为希望执行返还的人提供实用指南。</w:t>
      </w:r>
    </w:p>
    <w:p w:rsidR="00772406" w:rsidRPr="0083788E" w:rsidRDefault="00772406" w:rsidP="001A42F8">
      <w:pPr>
        <w:numPr>
          <w:ilvl w:val="0"/>
          <w:numId w:val="203"/>
        </w:numPr>
        <w:suppressLineNumbers/>
        <w:tabs>
          <w:tab w:val="clear" w:pos="720"/>
        </w:tab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本准则应帮助从事返还工作的人员，包括信息专业人员</w:t>
      </w:r>
      <w:r w:rsidRPr="0083788E">
        <w:rPr>
          <w:rFonts w:eastAsiaTheme="minorEastAsia"/>
          <w:snapToGrid w:val="0"/>
          <w:color w:val="000000"/>
          <w:kern w:val="22"/>
          <w:lang w:val="en-GB" w:eastAsia="zh-CN"/>
        </w:rPr>
        <w:t xml:space="preserve"> </w:t>
      </w:r>
      <w:r w:rsidRPr="0083788E">
        <w:rPr>
          <w:rFonts w:eastAsiaTheme="minorEastAsia"/>
          <w:snapToGrid w:val="0"/>
          <w:kern w:val="18"/>
          <w:vertAlign w:val="superscript"/>
          <w:lang w:val="en-CA" w:eastAsia="en-CA"/>
        </w:rPr>
        <w:footnoteReference w:id="193"/>
      </w:r>
      <w:r w:rsidRPr="0083788E">
        <w:rPr>
          <w:rFonts w:eastAsiaTheme="minorEastAsia"/>
          <w:snapToGrid w:val="0"/>
          <w:kern w:val="18"/>
          <w:vertAlign w:val="superscript"/>
          <w:lang w:val="en-CA" w:eastAsia="zh-CN"/>
        </w:rPr>
        <w:t xml:space="preserve"> </w:t>
      </w:r>
      <w:r w:rsidRPr="0083788E">
        <w:rPr>
          <w:rFonts w:eastAsiaTheme="minorEastAsia"/>
          <w:snapToGrid w:val="0"/>
          <w:color w:val="000000"/>
          <w:kern w:val="22"/>
          <w:lang w:val="en-GB" w:eastAsia="zh-CN"/>
        </w:rPr>
        <w:t>能够对如何适当回应任何</w:t>
      </w:r>
      <w:r w:rsidRPr="0083788E">
        <w:rPr>
          <w:rFonts w:eastAsiaTheme="minorEastAsia"/>
          <w:color w:val="333333"/>
          <w:shd w:val="clear" w:color="auto" w:fill="FFFFFF"/>
          <w:lang w:val="en-GB" w:eastAsia="zh-CN"/>
        </w:rPr>
        <w:t>相关</w:t>
      </w:r>
      <w:r w:rsidRPr="0083788E">
        <w:rPr>
          <w:rFonts w:eastAsiaTheme="minorEastAsia"/>
          <w:lang w:val="en-GB" w:eastAsia="zh-CN"/>
        </w:rPr>
        <w:t>问题</w:t>
      </w:r>
      <w:r w:rsidRPr="0083788E">
        <w:rPr>
          <w:rFonts w:eastAsiaTheme="minorEastAsia"/>
          <w:snapToGrid w:val="0"/>
          <w:color w:val="000000"/>
          <w:kern w:val="22"/>
          <w:lang w:val="en-GB" w:eastAsia="zh-CN"/>
        </w:rPr>
        <w:t>做出合理判断，</w:t>
      </w:r>
      <w:r w:rsidRPr="0083788E">
        <w:rPr>
          <w:rFonts w:eastAsiaTheme="minorEastAsia"/>
          <w:lang w:val="en-GB" w:eastAsia="zh-CN"/>
        </w:rPr>
        <w:t>或在需要更多专门知识时就应该向何处求助提出若干意见。</w:t>
      </w:r>
    </w:p>
    <w:p w:rsidR="00772406" w:rsidRPr="0083788E" w:rsidRDefault="00772406" w:rsidP="001A42F8">
      <w:pPr>
        <w:widowControl w:val="0"/>
        <w:numPr>
          <w:ilvl w:val="0"/>
          <w:numId w:val="203"/>
        </w:numPr>
        <w:suppressLineNumbers/>
        <w:tabs>
          <w:tab w:val="clear" w:pos="720"/>
        </w:tab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本准则应协助土著人民和地方社区追回、重振和保护他们的与保护和可持续利用生物多样性有关的传统知识。</w:t>
      </w:r>
    </w:p>
    <w:p w:rsidR="00772406" w:rsidRPr="0083788E" w:rsidRDefault="00772406" w:rsidP="0083788E">
      <w:pPr>
        <w:suppressLineNumbers/>
        <w:shd w:val="clear" w:color="auto" w:fill="FFFFFF"/>
        <w:suppressAutoHyphens/>
        <w:adjustRightInd w:val="0"/>
        <w:snapToGrid w:val="0"/>
        <w:ind w:firstLine="0"/>
        <w:jc w:val="center"/>
        <w:rPr>
          <w:rFonts w:eastAsiaTheme="minorEastAsia"/>
          <w:snapToGrid w:val="0"/>
          <w:color w:val="000000"/>
          <w:kern w:val="22"/>
          <w:lang w:val="en-GB" w:eastAsia="zh-CN"/>
        </w:rPr>
      </w:pPr>
      <w:r w:rsidRPr="0083788E">
        <w:rPr>
          <w:rFonts w:eastAsiaTheme="minorEastAsia"/>
          <w:b/>
          <w:bCs/>
          <w:snapToGrid w:val="0"/>
          <w:color w:val="000000"/>
          <w:kern w:val="22"/>
          <w:lang w:val="en-GB" w:eastAsia="zh-CN"/>
        </w:rPr>
        <w:t>三</w:t>
      </w:r>
      <w:r w:rsidRPr="0083788E">
        <w:rPr>
          <w:rFonts w:eastAsiaTheme="minorEastAsia"/>
          <w:b/>
          <w:bCs/>
          <w:snapToGrid w:val="0"/>
          <w:color w:val="000000"/>
          <w:kern w:val="22"/>
          <w:lang w:val="en-GB" w:eastAsia="zh-CN"/>
        </w:rPr>
        <w:t>.</w:t>
      </w:r>
      <w:r w:rsidRPr="0083788E">
        <w:rPr>
          <w:rFonts w:eastAsiaTheme="minorEastAsia"/>
          <w:b/>
          <w:bCs/>
          <w:snapToGrid w:val="0"/>
          <w:color w:val="000000"/>
          <w:kern w:val="22"/>
          <w:lang w:val="en-GB" w:eastAsia="zh-CN"/>
        </w:rPr>
        <w:tab/>
      </w:r>
      <w:r w:rsidRPr="0083788E">
        <w:rPr>
          <w:rFonts w:eastAsiaTheme="minorEastAsia"/>
          <w:b/>
          <w:bCs/>
          <w:snapToGrid w:val="0"/>
          <w:color w:val="000000"/>
          <w:kern w:val="22"/>
          <w:lang w:val="en-GB" w:eastAsia="zh-CN"/>
        </w:rPr>
        <w:t>范围</w:t>
      </w:r>
    </w:p>
    <w:p w:rsidR="00772406" w:rsidRPr="0083788E" w:rsidRDefault="00772406" w:rsidP="001A42F8">
      <w:pPr>
        <w:numPr>
          <w:ilvl w:val="0"/>
          <w:numId w:val="203"/>
        </w:numPr>
        <w:suppressLineNumbers/>
        <w:tabs>
          <w:tab w:val="clear" w:pos="720"/>
        </w:tabs>
        <w:suppressAutoHyphens/>
        <w:adjustRightInd w:val="0"/>
        <w:snapToGrid w:val="0"/>
        <w:ind w:left="0" w:firstLine="0"/>
        <w:rPr>
          <w:rFonts w:eastAsiaTheme="minorEastAsia"/>
          <w:snapToGrid w:val="0"/>
          <w:color w:val="000000"/>
          <w:kern w:val="22"/>
          <w:lang w:val="en-GB" w:eastAsia="zh-CN"/>
        </w:rPr>
      </w:pPr>
      <w:r w:rsidRPr="0083788E">
        <w:rPr>
          <w:rFonts w:eastAsiaTheme="minorEastAsia"/>
          <w:iCs/>
          <w:snapToGrid w:val="0"/>
          <w:color w:val="000000"/>
          <w:kern w:val="22"/>
          <w:lang w:val="en-GB" w:eastAsia="zh-CN"/>
        </w:rPr>
        <w:t>《</w:t>
      </w:r>
      <w:r w:rsidRPr="0083788E">
        <w:rPr>
          <w:rFonts w:eastAsiaTheme="minorEastAsia"/>
          <w:lang w:val="en-GB" w:eastAsia="zh-CN"/>
        </w:rPr>
        <w:t>卢佐利希里沙希克自愿</w:t>
      </w:r>
      <w:r w:rsidRPr="0083788E">
        <w:rPr>
          <w:rFonts w:eastAsiaTheme="minorEastAsia"/>
          <w:iCs/>
          <w:snapToGrid w:val="0"/>
          <w:color w:val="000000"/>
          <w:kern w:val="22"/>
          <w:lang w:val="en-GB" w:eastAsia="zh-CN"/>
        </w:rPr>
        <w:t>准则》</w:t>
      </w:r>
      <w:r w:rsidRPr="0083788E">
        <w:rPr>
          <w:rFonts w:eastAsiaTheme="minorEastAsia"/>
          <w:snapToGrid w:val="0"/>
          <w:color w:val="000000"/>
          <w:kern w:val="22"/>
          <w:lang w:val="en-GB" w:eastAsia="zh-CN"/>
        </w:rPr>
        <w:t>适用于土著人民和地方社区的与保护和可持续利用生物多样性相关的知识、创新和做法。</w:t>
      </w:r>
    </w:p>
    <w:p w:rsidR="00772406" w:rsidRPr="0083788E" w:rsidRDefault="00772406" w:rsidP="0083788E">
      <w:pPr>
        <w:suppressLineNumbers/>
        <w:shd w:val="clear" w:color="auto" w:fill="FFFFFF"/>
        <w:suppressAutoHyphens/>
        <w:adjustRightInd w:val="0"/>
        <w:snapToGrid w:val="0"/>
        <w:ind w:firstLine="0"/>
        <w:jc w:val="center"/>
        <w:rPr>
          <w:rFonts w:eastAsiaTheme="minorEastAsia"/>
          <w:iCs/>
          <w:snapToGrid w:val="0"/>
          <w:color w:val="000000"/>
          <w:kern w:val="22"/>
          <w:lang w:val="en-GB" w:eastAsia="zh-CN"/>
        </w:rPr>
      </w:pPr>
      <w:r w:rsidRPr="0083788E">
        <w:rPr>
          <w:rFonts w:eastAsiaTheme="minorEastAsia"/>
          <w:b/>
          <w:bCs/>
          <w:snapToGrid w:val="0"/>
          <w:color w:val="000000"/>
          <w:kern w:val="22"/>
          <w:lang w:val="en-GB" w:eastAsia="zh-CN"/>
        </w:rPr>
        <w:t>四</w:t>
      </w:r>
      <w:r w:rsidRPr="0083788E">
        <w:rPr>
          <w:rFonts w:eastAsiaTheme="minorEastAsia"/>
          <w:b/>
          <w:bCs/>
          <w:snapToGrid w:val="0"/>
          <w:color w:val="000000"/>
          <w:kern w:val="22"/>
          <w:lang w:val="en-GB" w:eastAsia="zh-CN"/>
        </w:rPr>
        <w:t>.</w:t>
      </w:r>
      <w:r w:rsidRPr="0083788E">
        <w:rPr>
          <w:rFonts w:eastAsiaTheme="minorEastAsia"/>
          <w:b/>
          <w:bCs/>
          <w:snapToGrid w:val="0"/>
          <w:color w:val="000000"/>
          <w:kern w:val="22"/>
          <w:lang w:val="en-GB" w:eastAsia="zh-CN"/>
        </w:rPr>
        <w:tab/>
      </w:r>
      <w:r w:rsidRPr="0083788E">
        <w:rPr>
          <w:rFonts w:eastAsiaTheme="minorEastAsia"/>
          <w:b/>
          <w:iCs/>
          <w:snapToGrid w:val="0"/>
          <w:color w:val="000000"/>
          <w:kern w:val="22"/>
          <w:lang w:val="en-GB" w:eastAsia="zh-CN"/>
        </w:rPr>
        <w:t>返还的指导原则</w:t>
      </w:r>
    </w:p>
    <w:p w:rsidR="00772406" w:rsidRPr="0083788E" w:rsidRDefault="00772406" w:rsidP="001A42F8">
      <w:pPr>
        <w:numPr>
          <w:ilvl w:val="0"/>
          <w:numId w:val="203"/>
        </w:numPr>
        <w:suppressLineNumbers/>
        <w:tabs>
          <w:tab w:val="clear" w:pos="720"/>
        </w:tab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snapToGrid w:val="0"/>
          <w:color w:val="000000"/>
          <w:kern w:val="22"/>
          <w:lang w:val="en-GB" w:eastAsia="zh-CN"/>
        </w:rPr>
        <w:t>利用以下原则和考虑，</w:t>
      </w:r>
      <w:r w:rsidRPr="0083788E">
        <w:rPr>
          <w:rFonts w:eastAsiaTheme="minorEastAsia"/>
          <w:color w:val="222222"/>
          <w:shd w:val="clear" w:color="auto" w:fill="FFFFFF"/>
          <w:lang w:val="en-GB" w:eastAsia="zh-CN"/>
        </w:rPr>
        <w:t>能够最好地便利返还工作</w:t>
      </w:r>
      <w:r w:rsidRPr="0083788E">
        <w:rPr>
          <w:rFonts w:eastAsiaTheme="minorEastAsia"/>
          <w:snapToGrid w:val="0"/>
          <w:color w:val="000000"/>
          <w:kern w:val="22"/>
          <w:lang w:val="en-GB" w:eastAsia="zh-CN"/>
        </w:rPr>
        <w:t>：</w:t>
      </w:r>
    </w:p>
    <w:p w:rsidR="00772406" w:rsidRPr="0083788E" w:rsidRDefault="00772406" w:rsidP="001A42F8">
      <w:pPr>
        <w:numPr>
          <w:ilvl w:val="0"/>
          <w:numId w:val="204"/>
        </w:numPr>
        <w:suppressLineNumbers/>
        <w:suppressAutoHyphens/>
        <w:adjustRightInd w:val="0"/>
        <w:snapToGrid w:val="0"/>
        <w:ind w:left="0" w:firstLine="720"/>
        <w:rPr>
          <w:rFonts w:eastAsiaTheme="minorEastAsia"/>
          <w:snapToGrid w:val="0"/>
          <w:color w:val="000000"/>
          <w:kern w:val="22"/>
          <w:lang w:val="en-GB" w:eastAsia="zh-CN"/>
        </w:rPr>
      </w:pPr>
      <w:r w:rsidRPr="0083788E">
        <w:rPr>
          <w:rFonts w:eastAsiaTheme="minorEastAsia"/>
          <w:iCs/>
          <w:snapToGrid w:val="0"/>
          <w:color w:val="000000"/>
          <w:kern w:val="22"/>
          <w:lang w:val="en-GB" w:eastAsia="zh-CN"/>
        </w:rPr>
        <w:t>在可能情况下，土著人民和地方社区应有权要求，包括跨越国际边界，返还其传统知识，以协助他们追回与保护和可持续利用生物多样性相关的传统知识；</w:t>
      </w:r>
    </w:p>
    <w:p w:rsidR="00772406" w:rsidRPr="0083788E" w:rsidRDefault="00772406" w:rsidP="001A42F8">
      <w:pPr>
        <w:numPr>
          <w:ilvl w:val="0"/>
          <w:numId w:val="204"/>
        </w:numPr>
        <w:suppressLineNumbers/>
        <w:suppressAutoHyphens/>
        <w:adjustRightInd w:val="0"/>
        <w:snapToGrid w:val="0"/>
        <w:ind w:left="0" w:firstLine="720"/>
        <w:rPr>
          <w:rFonts w:eastAsiaTheme="minorEastAsia"/>
          <w:snapToGrid w:val="0"/>
          <w:color w:val="000000"/>
          <w:kern w:val="22"/>
          <w:lang w:val="en-GB" w:eastAsia="zh-CN"/>
        </w:rPr>
      </w:pPr>
      <w:r w:rsidRPr="0083788E">
        <w:rPr>
          <w:rFonts w:eastAsiaTheme="minorEastAsia"/>
          <w:snapToGrid w:val="0"/>
          <w:color w:val="000000"/>
          <w:kern w:val="22"/>
          <w:lang w:val="en-GB" w:eastAsia="zh-CN"/>
        </w:rPr>
        <w:lastRenderedPageBreak/>
        <w:t>返还工作成功的基础是第</w:t>
      </w:r>
      <w:r w:rsidRPr="0083788E">
        <w:rPr>
          <w:rFonts w:eastAsiaTheme="minorEastAsia"/>
          <w:snapToGrid w:val="0"/>
          <w:color w:val="000000"/>
          <w:kern w:val="22"/>
          <w:lang w:val="en-GB" w:eastAsia="zh-CN"/>
        </w:rPr>
        <w:t>8(j)</w:t>
      </w:r>
      <w:r w:rsidRPr="0083788E">
        <w:rPr>
          <w:rFonts w:eastAsiaTheme="minorEastAsia"/>
          <w:snapToGrid w:val="0"/>
          <w:color w:val="000000"/>
          <w:kern w:val="22"/>
          <w:lang w:val="en-GB" w:eastAsia="zh-CN"/>
        </w:rPr>
        <w:t>条中所体现的</w:t>
      </w:r>
      <w:r w:rsidRPr="00235140">
        <w:rPr>
          <w:rFonts w:asciiTheme="minorEastAsia" w:eastAsiaTheme="minorEastAsia" w:hAnsiTheme="minorEastAsia"/>
          <w:snapToGrid w:val="0"/>
          <w:color w:val="000000"/>
          <w:kern w:val="22"/>
          <w:lang w:val="en-GB" w:eastAsia="zh-CN"/>
        </w:rPr>
        <w:t>“尊重”</w:t>
      </w:r>
      <w:r w:rsidRPr="0083788E">
        <w:rPr>
          <w:rFonts w:eastAsiaTheme="minorEastAsia"/>
          <w:snapToGrid w:val="0"/>
          <w:color w:val="000000"/>
          <w:kern w:val="22"/>
          <w:lang w:val="en-GB" w:eastAsia="zh-CN"/>
        </w:rPr>
        <w:t>传统知识的概念，同时亦顾及《联合国土著人民权利宣言》和酌情顾及其他相关文书；</w:t>
      </w:r>
      <w:r w:rsidRPr="0083788E">
        <w:rPr>
          <w:rFonts w:eastAsiaTheme="minorEastAsia"/>
          <w:snapToGrid w:val="0"/>
          <w:kern w:val="18"/>
          <w:vertAlign w:val="superscript"/>
          <w:lang w:val="en-CA" w:eastAsia="en-CA"/>
        </w:rPr>
        <w:footnoteReference w:id="194"/>
      </w:r>
      <w:r w:rsidRPr="0083788E">
        <w:rPr>
          <w:rFonts w:eastAsiaTheme="minorEastAsia"/>
          <w:snapToGrid w:val="0"/>
          <w:kern w:val="18"/>
          <w:vertAlign w:val="superscript"/>
          <w:lang w:val="en-CA" w:eastAsia="zh-CN"/>
        </w:rPr>
        <w:t xml:space="preserve"> </w:t>
      </w:r>
    </w:p>
    <w:p w:rsidR="00772406" w:rsidRPr="0083788E" w:rsidRDefault="00772406" w:rsidP="001A42F8">
      <w:pPr>
        <w:numPr>
          <w:ilvl w:val="0"/>
          <w:numId w:val="204"/>
        </w:numPr>
        <w:suppressLineNumbers/>
        <w:suppressAutoHyphens/>
        <w:adjustRightInd w:val="0"/>
        <w:snapToGrid w:val="0"/>
        <w:ind w:left="0" w:firstLine="720"/>
        <w:rPr>
          <w:rFonts w:eastAsiaTheme="minorEastAsia"/>
          <w:snapToGrid w:val="0"/>
          <w:color w:val="000000"/>
          <w:kern w:val="22"/>
          <w:lang w:val="en-GB" w:eastAsia="zh-CN"/>
        </w:rPr>
      </w:pPr>
      <w:r w:rsidRPr="0083788E">
        <w:rPr>
          <w:rFonts w:eastAsiaTheme="minorEastAsia"/>
          <w:snapToGrid w:val="0"/>
          <w:color w:val="000000"/>
          <w:kern w:val="22"/>
          <w:lang w:val="en-GB" w:eastAsia="zh-CN"/>
        </w:rPr>
        <w:t>尊重传统知识意味着主要尊重土著人民和地方社区的价值观、做法、世界观、习惯法、社区规约、权利和利益，并应符合国际义务和国情；</w:t>
      </w:r>
    </w:p>
    <w:p w:rsidR="00772406" w:rsidRPr="0083788E" w:rsidRDefault="00772406" w:rsidP="001A42F8">
      <w:pPr>
        <w:widowControl w:val="0"/>
        <w:numPr>
          <w:ilvl w:val="0"/>
          <w:numId w:val="204"/>
        </w:numPr>
        <w:suppressLineNumbers/>
        <w:suppressAutoHyphens/>
        <w:adjustRightInd w:val="0"/>
        <w:snapToGrid w:val="0"/>
        <w:ind w:left="0" w:firstLine="720"/>
        <w:rPr>
          <w:rFonts w:eastAsiaTheme="minorEastAsia"/>
          <w:snapToGrid w:val="0"/>
          <w:color w:val="000000"/>
          <w:kern w:val="22"/>
          <w:lang w:val="en-GB" w:eastAsia="zh-CN"/>
        </w:rPr>
      </w:pPr>
      <w:r w:rsidRPr="0083788E">
        <w:rPr>
          <w:rFonts w:eastAsiaTheme="minorEastAsia"/>
          <w:lang w:val="en-GB" w:eastAsia="zh-CN"/>
        </w:rPr>
        <w:t>返还需要</w:t>
      </w:r>
      <w:r w:rsidRPr="0083788E">
        <w:rPr>
          <w:rFonts w:eastAsiaTheme="minorEastAsia"/>
          <w:snapToGrid w:val="0"/>
          <w:color w:val="000000"/>
          <w:kern w:val="22"/>
          <w:lang w:val="en-GB" w:eastAsia="zh-CN"/>
        </w:rPr>
        <w:t>与土著人民和地方社区建立持久的关系，以便建立信任、良好关系、相互了解、跨文化空间、知识交流与和解。这种关系可以是互利的，并且体现互惠观念；</w:t>
      </w:r>
      <w:r w:rsidRPr="0083788E">
        <w:rPr>
          <w:rFonts w:eastAsiaTheme="minorEastAsia"/>
          <w:snapToGrid w:val="0"/>
          <w:kern w:val="18"/>
          <w:vertAlign w:val="superscript"/>
          <w:lang w:val="en-CA" w:eastAsia="en-CA"/>
        </w:rPr>
        <w:footnoteReference w:id="195"/>
      </w:r>
    </w:p>
    <w:p w:rsidR="00772406" w:rsidRPr="0083788E" w:rsidRDefault="00772406" w:rsidP="001A42F8">
      <w:pPr>
        <w:widowControl w:val="0"/>
        <w:numPr>
          <w:ilvl w:val="0"/>
          <w:numId w:val="204"/>
        </w:numPr>
        <w:suppressLineNumbers/>
        <w:suppressAutoHyphens/>
        <w:adjustRightInd w:val="0"/>
        <w:snapToGrid w:val="0"/>
        <w:ind w:left="0" w:firstLine="720"/>
        <w:rPr>
          <w:rFonts w:eastAsiaTheme="minorEastAsia"/>
          <w:snapToGrid w:val="0"/>
          <w:color w:val="000000"/>
          <w:kern w:val="22"/>
          <w:lang w:val="en-GB" w:eastAsia="zh-CN"/>
        </w:rPr>
      </w:pPr>
      <w:r w:rsidRPr="0083788E">
        <w:rPr>
          <w:rFonts w:eastAsiaTheme="minorEastAsia"/>
          <w:lang w:val="en-GB" w:eastAsia="zh-CN"/>
        </w:rPr>
        <w:t>返还</w:t>
      </w:r>
      <w:r w:rsidRPr="0083788E">
        <w:rPr>
          <w:rFonts w:eastAsiaTheme="minorEastAsia"/>
          <w:snapToGrid w:val="0"/>
          <w:color w:val="000000"/>
          <w:kern w:val="22"/>
          <w:lang w:val="en-GB" w:eastAsia="zh-CN"/>
        </w:rPr>
        <w:t>工作应是前瞻性的，应促进建立关系，并应鼓励创建跨文化空间和共同分享知识；</w:t>
      </w:r>
    </w:p>
    <w:p w:rsidR="00772406" w:rsidRPr="0083788E" w:rsidRDefault="00772406" w:rsidP="001A42F8">
      <w:pPr>
        <w:widowControl w:val="0"/>
        <w:numPr>
          <w:ilvl w:val="0"/>
          <w:numId w:val="204"/>
        </w:numPr>
        <w:suppressLineNumbers/>
        <w:suppressAutoHyphens/>
        <w:adjustRightInd w:val="0"/>
        <w:snapToGrid w:val="0"/>
        <w:ind w:left="0" w:firstLine="720"/>
        <w:rPr>
          <w:rFonts w:eastAsiaTheme="minorEastAsia"/>
          <w:snapToGrid w:val="0"/>
          <w:color w:val="000000"/>
          <w:kern w:val="22"/>
          <w:lang w:val="en-GB" w:eastAsia="zh-CN"/>
        </w:rPr>
      </w:pPr>
      <w:r w:rsidRPr="0083788E">
        <w:rPr>
          <w:rFonts w:eastAsiaTheme="minorEastAsia"/>
          <w:snapToGrid w:val="0"/>
          <w:color w:val="000000"/>
          <w:kern w:val="22"/>
          <w:lang w:val="en-GB" w:eastAsia="zh-CN"/>
        </w:rPr>
        <w:t>持有、储存或放置与保护和可持续利用生物多样性相关的传统知识和有关信息或补充信息的机构准备返还，包括准备为与土著人民和地方社区合作，制定适当措施，是进程获得成功所必不可少的；</w:t>
      </w:r>
    </w:p>
    <w:p w:rsidR="00772406" w:rsidRPr="0083788E" w:rsidRDefault="00772406" w:rsidP="001A42F8">
      <w:pPr>
        <w:widowControl w:val="0"/>
        <w:numPr>
          <w:ilvl w:val="0"/>
          <w:numId w:val="204"/>
        </w:numPr>
        <w:suppressLineNumbers/>
        <w:suppressAutoHyphens/>
        <w:adjustRightInd w:val="0"/>
        <w:snapToGrid w:val="0"/>
        <w:ind w:left="0" w:firstLine="720"/>
        <w:rPr>
          <w:rFonts w:eastAsiaTheme="minorEastAsia"/>
          <w:snapToGrid w:val="0"/>
          <w:color w:val="000000"/>
          <w:kern w:val="22"/>
          <w:lang w:val="en-GB" w:eastAsia="zh-CN"/>
        </w:rPr>
      </w:pPr>
      <w:r w:rsidRPr="0083788E">
        <w:rPr>
          <w:rFonts w:eastAsiaTheme="minorEastAsia"/>
          <w:snapToGrid w:val="0"/>
          <w:color w:val="000000"/>
          <w:kern w:val="22"/>
          <w:lang w:val="en-GB" w:eastAsia="zh-CN"/>
        </w:rPr>
        <w:t>返还可能要求协助土著人民和地方社区准备按照其指明的文化上适当的方式接收和妥善保管返还的传统知识和有关信息；</w:t>
      </w:r>
    </w:p>
    <w:p w:rsidR="00772406" w:rsidRPr="0083788E" w:rsidRDefault="00772406" w:rsidP="001A42F8">
      <w:pPr>
        <w:widowControl w:val="0"/>
        <w:numPr>
          <w:ilvl w:val="0"/>
          <w:numId w:val="204"/>
        </w:numPr>
        <w:suppressLineNumbers/>
        <w:suppressAutoHyphens/>
        <w:adjustRightInd w:val="0"/>
        <w:snapToGrid w:val="0"/>
        <w:ind w:left="0" w:firstLine="720"/>
        <w:rPr>
          <w:rFonts w:eastAsiaTheme="minorEastAsia"/>
          <w:snapToGrid w:val="0"/>
          <w:color w:val="000000"/>
          <w:kern w:val="22"/>
          <w:lang w:val="en-GB" w:eastAsia="zh-CN"/>
        </w:rPr>
      </w:pPr>
      <w:r w:rsidRPr="0083788E">
        <w:rPr>
          <w:rFonts w:eastAsiaTheme="minorEastAsia"/>
          <w:iCs/>
          <w:snapToGrid w:val="0"/>
          <w:color w:val="000000"/>
          <w:kern w:val="22"/>
          <w:lang w:val="en-GB" w:eastAsia="zh-CN"/>
        </w:rPr>
        <w:t>各缔约方、返还机构和实体应认识到，作为土著人民和地方社区的优先事项，返还由相关土著人民和地方社区确认的秘密或神圣或针对具体性别或敏感的传统知识</w:t>
      </w:r>
      <w:r w:rsidRPr="0083788E">
        <w:rPr>
          <w:rFonts w:eastAsiaTheme="minorEastAsia"/>
          <w:snapToGrid w:val="0"/>
          <w:kern w:val="18"/>
          <w:vertAlign w:val="superscript"/>
          <w:lang w:val="en-CA" w:eastAsia="en-CA"/>
        </w:rPr>
        <w:footnoteReference w:id="196"/>
      </w:r>
      <w:r w:rsidRPr="0083788E">
        <w:rPr>
          <w:rFonts w:eastAsiaTheme="minorEastAsia"/>
          <w:snapToGrid w:val="0"/>
          <w:kern w:val="18"/>
          <w:vertAlign w:val="superscript"/>
          <w:lang w:val="en-CA" w:eastAsia="zh-CN"/>
        </w:rPr>
        <w:t xml:space="preserve"> </w:t>
      </w:r>
      <w:r w:rsidRPr="0083788E">
        <w:rPr>
          <w:rFonts w:eastAsiaTheme="minorEastAsia"/>
          <w:iCs/>
          <w:snapToGrid w:val="0"/>
          <w:color w:val="000000"/>
          <w:kern w:val="22"/>
          <w:lang w:val="en-GB" w:eastAsia="zh-CN"/>
        </w:rPr>
        <w:t>的重要性；</w:t>
      </w:r>
    </w:p>
    <w:p w:rsidR="00772406" w:rsidRPr="0083788E" w:rsidRDefault="00772406" w:rsidP="001A42F8">
      <w:pPr>
        <w:widowControl w:val="0"/>
        <w:numPr>
          <w:ilvl w:val="0"/>
          <w:numId w:val="204"/>
        </w:numPr>
        <w:suppressLineNumbers/>
        <w:suppressAutoHyphens/>
        <w:adjustRightInd w:val="0"/>
        <w:snapToGrid w:val="0"/>
        <w:ind w:left="0" w:firstLine="720"/>
        <w:rPr>
          <w:rFonts w:eastAsiaTheme="minorEastAsia"/>
          <w:snapToGrid w:val="0"/>
          <w:color w:val="000000"/>
          <w:kern w:val="22"/>
          <w:lang w:val="en-GB" w:eastAsia="zh-CN"/>
        </w:rPr>
      </w:pPr>
      <w:r w:rsidRPr="0083788E">
        <w:rPr>
          <w:rFonts w:eastAsiaTheme="minorEastAsia"/>
          <w:bCs/>
          <w:snapToGrid w:val="0"/>
          <w:color w:val="000000"/>
          <w:kern w:val="22"/>
          <w:lang w:val="en-GB" w:eastAsia="zh-CN"/>
        </w:rPr>
        <w:t>根据最佳做法道德标准，包括</w:t>
      </w:r>
      <w:r w:rsidRPr="0083788E">
        <w:rPr>
          <w:rFonts w:eastAsiaTheme="minorEastAsia"/>
          <w:snapToGrid w:val="0"/>
          <w:kern w:val="18"/>
          <w:lang w:val="en-GB" w:eastAsia="zh-CN"/>
        </w:rPr>
        <w:t>《</w:t>
      </w:r>
      <w:r w:rsidRPr="0083788E">
        <w:rPr>
          <w:rFonts w:eastAsiaTheme="minorEastAsia"/>
          <w:iCs/>
          <w:snapToGrid w:val="0"/>
          <w:kern w:val="18"/>
          <w:lang w:val="en-GB" w:eastAsia="zh-CN"/>
        </w:rPr>
        <w:t>确保</w:t>
      </w:r>
      <w:r w:rsidRPr="0083788E">
        <w:rPr>
          <w:rFonts w:eastAsiaTheme="minorEastAsia"/>
          <w:bCs/>
          <w:lang w:val="en-GB" w:eastAsia="zh-CN"/>
        </w:rPr>
        <w:t>尊重土著和地方社区与保护和可持续利用生物多样性相关的文化和知识遗产的特加里瓦伊埃里道德行为守则》</w:t>
      </w:r>
      <w:r w:rsidRPr="0083788E">
        <w:rPr>
          <w:rFonts w:eastAsiaTheme="minorEastAsia"/>
          <w:bCs/>
          <w:snapToGrid w:val="0"/>
          <w:color w:val="000000"/>
          <w:kern w:val="22"/>
          <w:lang w:val="en-GB" w:eastAsia="zh-CN"/>
        </w:rPr>
        <w:t>，提高从事返还工作人员（包括信息专业人员和土著人民和地方社区）的意识和专业实务，可以加强返还工作；</w:t>
      </w:r>
      <w:r w:rsidRPr="0083788E">
        <w:rPr>
          <w:rFonts w:eastAsiaTheme="minorEastAsia"/>
          <w:snapToGrid w:val="0"/>
          <w:kern w:val="18"/>
          <w:vertAlign w:val="superscript"/>
          <w:lang w:val="en-CA" w:eastAsia="en-CA"/>
        </w:rPr>
        <w:footnoteReference w:id="197"/>
      </w:r>
    </w:p>
    <w:p w:rsidR="00772406" w:rsidRPr="0083788E" w:rsidRDefault="00772406" w:rsidP="001A42F8">
      <w:pPr>
        <w:numPr>
          <w:ilvl w:val="0"/>
          <w:numId w:val="204"/>
        </w:numPr>
        <w:suppressLineNumbers/>
        <w:suppressAutoHyphens/>
        <w:adjustRightInd w:val="0"/>
        <w:snapToGrid w:val="0"/>
        <w:ind w:left="0" w:firstLine="720"/>
        <w:rPr>
          <w:rFonts w:eastAsiaTheme="minorEastAsia"/>
          <w:snapToGrid w:val="0"/>
          <w:color w:val="000000"/>
          <w:kern w:val="22"/>
          <w:lang w:val="en-GB" w:eastAsia="zh-CN"/>
        </w:rPr>
      </w:pPr>
      <w:r w:rsidRPr="0083788E">
        <w:rPr>
          <w:rFonts w:eastAsiaTheme="minorEastAsia"/>
          <w:snapToGrid w:val="0"/>
          <w:color w:val="000000"/>
          <w:kern w:val="22"/>
          <w:lang w:val="en-GB" w:eastAsia="zh-CN"/>
        </w:rPr>
        <w:t>返还包括承认和支持社区之间为恢复与保护和可持续利用生物多样性相关的传统知识进行的努力；</w:t>
      </w:r>
    </w:p>
    <w:p w:rsidR="00772406" w:rsidRPr="0083788E" w:rsidRDefault="00772406" w:rsidP="001A42F8">
      <w:pPr>
        <w:widowControl w:val="0"/>
        <w:numPr>
          <w:ilvl w:val="0"/>
          <w:numId w:val="204"/>
        </w:numPr>
        <w:suppressLineNumbers/>
        <w:suppressAutoHyphens/>
        <w:adjustRightInd w:val="0"/>
        <w:snapToGrid w:val="0"/>
        <w:ind w:left="0" w:firstLine="72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返还还可包括恢复土著人民和地方社区对其传统知识的治理的工作，还可酌情包括事先知情同意、自由事先和知情同意或酌情包括核准和参与、共同商定的条件和惠益分享安排；</w:t>
      </w:r>
    </w:p>
    <w:p w:rsidR="00772406" w:rsidRPr="0083788E" w:rsidRDefault="00772406" w:rsidP="001A42F8">
      <w:pPr>
        <w:numPr>
          <w:ilvl w:val="0"/>
          <w:numId w:val="204"/>
        </w:numPr>
        <w:suppressLineNumbers/>
        <w:suppressAutoHyphens/>
        <w:adjustRightInd w:val="0"/>
        <w:snapToGrid w:val="0"/>
        <w:ind w:left="0" w:firstLine="720"/>
        <w:rPr>
          <w:rFonts w:eastAsiaTheme="minorEastAsia"/>
          <w:snapToGrid w:val="0"/>
          <w:color w:val="000000"/>
          <w:kern w:val="22"/>
          <w:lang w:val="en-GB" w:eastAsia="zh-CN"/>
        </w:rPr>
      </w:pPr>
      <w:r w:rsidRPr="0083788E">
        <w:rPr>
          <w:rFonts w:eastAsiaTheme="minorEastAsia"/>
          <w:iCs/>
          <w:snapToGrid w:val="0"/>
          <w:color w:val="000000"/>
          <w:kern w:val="22"/>
          <w:lang w:val="en-GB" w:eastAsia="zh-CN"/>
        </w:rPr>
        <w:lastRenderedPageBreak/>
        <w:t>传统知识和相关信息的返还应便利而不是限制或约束信息交流，与此同时尊重原始持有人对知识的权利，且不妨碍对于决定返还的缔约方、机构或实体中可公开获得的传统知识的利用。</w:t>
      </w:r>
    </w:p>
    <w:p w:rsidR="00772406" w:rsidRPr="0083788E" w:rsidRDefault="00772406" w:rsidP="0083788E">
      <w:pPr>
        <w:suppressLineNumbers/>
        <w:shd w:val="clear" w:color="auto" w:fill="FFFFFF"/>
        <w:tabs>
          <w:tab w:val="left" w:pos="1710"/>
        </w:tabs>
        <w:suppressAutoHyphens/>
        <w:adjustRightInd w:val="0"/>
        <w:snapToGrid w:val="0"/>
        <w:ind w:left="1710" w:right="822" w:hanging="990"/>
        <w:rPr>
          <w:rFonts w:eastAsiaTheme="minorEastAsia"/>
          <w:b/>
          <w:snapToGrid w:val="0"/>
          <w:color w:val="000000"/>
          <w:kern w:val="22"/>
          <w:lang w:val="en-GB" w:eastAsia="zh-CN"/>
        </w:rPr>
      </w:pPr>
      <w:r w:rsidRPr="0083788E">
        <w:rPr>
          <w:rFonts w:eastAsiaTheme="minorEastAsia"/>
          <w:b/>
          <w:snapToGrid w:val="0"/>
          <w:color w:val="000000"/>
          <w:kern w:val="22"/>
          <w:lang w:val="en-GB" w:eastAsia="zh-CN"/>
        </w:rPr>
        <w:t>五</w:t>
      </w:r>
      <w:r w:rsidRPr="0083788E">
        <w:rPr>
          <w:rFonts w:eastAsiaTheme="minorEastAsia"/>
          <w:b/>
          <w:snapToGrid w:val="0"/>
          <w:color w:val="000000"/>
          <w:kern w:val="22"/>
          <w:lang w:val="en-GB" w:eastAsia="zh-CN"/>
        </w:rPr>
        <w:t>.</w:t>
      </w:r>
      <w:r w:rsidRPr="0083788E">
        <w:rPr>
          <w:rFonts w:eastAsiaTheme="minorEastAsia"/>
          <w:b/>
          <w:snapToGrid w:val="0"/>
          <w:color w:val="000000"/>
          <w:kern w:val="22"/>
          <w:lang w:val="en-GB" w:eastAsia="zh-CN"/>
        </w:rPr>
        <w:tab/>
      </w:r>
      <w:r w:rsidRPr="0083788E">
        <w:rPr>
          <w:rFonts w:eastAsiaTheme="minorEastAsia"/>
          <w:b/>
          <w:snapToGrid w:val="0"/>
          <w:color w:val="000000"/>
          <w:kern w:val="22"/>
          <w:lang w:val="en-GB" w:eastAsia="zh-CN"/>
        </w:rPr>
        <w:t>各层次（包括通过社区间交流）采取的</w:t>
      </w:r>
      <w:r w:rsidRPr="0083788E">
        <w:rPr>
          <w:rFonts w:eastAsiaTheme="minorEastAsia"/>
          <w:b/>
          <w:kern w:val="22"/>
          <w:lang w:val="en-GB" w:eastAsia="zh-CN"/>
        </w:rPr>
        <w:t>返还、接收和恢复与保护和可持续利用生物多样性相关的传统知识的良好做法和行动</w:t>
      </w:r>
    </w:p>
    <w:p w:rsidR="00772406" w:rsidRPr="0083788E" w:rsidRDefault="00772406" w:rsidP="001A42F8">
      <w:pPr>
        <w:widowControl w:val="0"/>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以下返还传统知识的良好做法和行动，旨在向可能持有、储存或放置传统知识和有关信息并服务于土著人民和地方社区和（或）持有具有土著人民和地方社区内容或观点的材料的机构和实体提供咨询意见。</w:t>
      </w:r>
      <w:r w:rsidRPr="0083788E">
        <w:rPr>
          <w:rFonts w:eastAsiaTheme="minorEastAsia"/>
          <w:iCs/>
          <w:snapToGrid w:val="0"/>
          <w:color w:val="000000"/>
          <w:kern w:val="22"/>
          <w:lang w:val="en-GB" w:eastAsia="zh-CN"/>
        </w:rPr>
        <w:t xml:space="preserve"> </w:t>
      </w:r>
      <w:r w:rsidRPr="0083788E">
        <w:rPr>
          <w:rFonts w:eastAsiaTheme="minorEastAsia"/>
          <w:iCs/>
          <w:snapToGrid w:val="0"/>
          <w:color w:val="000000"/>
          <w:kern w:val="22"/>
          <w:lang w:val="en-GB" w:eastAsia="zh-CN"/>
        </w:rPr>
        <w:t>他们可能包括但不限于：政府部门、国际组织、私营部门、博物馆、植物标本馆、动植物园、数据库、登记册、基因库、图书馆、档案馆、私人收藏和信息服务中心。这些良好做法和行动涵盖治理、管理和合作等领域。</w:t>
      </w:r>
    </w:p>
    <w:p w:rsidR="00772406" w:rsidRPr="0083788E" w:rsidRDefault="00772406" w:rsidP="001A42F8">
      <w:pPr>
        <w:widowControl w:val="0"/>
        <w:numPr>
          <w:ilvl w:val="0"/>
          <w:numId w:val="203"/>
        </w:numPr>
        <w:suppressLineNumber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以下要素按</w:t>
      </w:r>
      <w:r w:rsidRPr="0083788E">
        <w:rPr>
          <w:rFonts w:eastAsiaTheme="minorEastAsia"/>
          <w:iCs/>
          <w:snapToGrid w:val="0"/>
          <w:color w:val="000000"/>
          <w:kern w:val="22"/>
          <w:lang w:val="en-GB" w:eastAsia="zh-CN"/>
        </w:rPr>
        <w:t>顺序排列</w:t>
      </w:r>
      <w:r w:rsidRPr="0083788E">
        <w:rPr>
          <w:rFonts w:eastAsiaTheme="minorEastAsia"/>
          <w:snapToGrid w:val="0"/>
          <w:color w:val="000000"/>
          <w:kern w:val="22"/>
          <w:lang w:val="en-GB" w:eastAsia="zh-CN"/>
        </w:rPr>
        <w:t>；但考虑到各缔约方、机构或实体的独特情况，缔约方和</w:t>
      </w:r>
      <w:r w:rsidRPr="0083788E">
        <w:rPr>
          <w:rFonts w:eastAsiaTheme="minorEastAsia"/>
          <w:iCs/>
          <w:snapToGrid w:val="0"/>
          <w:color w:val="000000"/>
          <w:kern w:val="22"/>
          <w:lang w:val="en-GB" w:eastAsia="zh-CN"/>
        </w:rPr>
        <w:t>《</w:t>
      </w:r>
      <w:r w:rsidRPr="0083788E">
        <w:rPr>
          <w:rFonts w:eastAsiaTheme="minorEastAsia"/>
          <w:lang w:val="en-GB" w:eastAsia="zh-CN"/>
        </w:rPr>
        <w:t>卢佐利希里沙希克自愿</w:t>
      </w:r>
      <w:r w:rsidRPr="0083788E">
        <w:rPr>
          <w:rFonts w:eastAsiaTheme="minorEastAsia"/>
          <w:iCs/>
          <w:snapToGrid w:val="0"/>
          <w:color w:val="000000"/>
          <w:kern w:val="22"/>
          <w:lang w:val="en-GB" w:eastAsia="zh-CN"/>
        </w:rPr>
        <w:t>准则》的其他使用</w:t>
      </w:r>
      <w:r w:rsidRPr="0083788E">
        <w:rPr>
          <w:rFonts w:eastAsiaTheme="minorEastAsia"/>
          <w:snapToGrid w:val="0"/>
          <w:color w:val="000000"/>
          <w:kern w:val="22"/>
          <w:lang w:val="en-GB" w:eastAsia="zh-CN"/>
        </w:rPr>
        <w:t>方不妨按他们认为合适的顺序加以审议。</w:t>
      </w:r>
    </w:p>
    <w:p w:rsidR="00772406" w:rsidRPr="0083788E" w:rsidRDefault="00772406" w:rsidP="0083788E">
      <w:pPr>
        <w:suppressLineNumbers/>
        <w:suppressAutoHyphens/>
        <w:adjustRightInd w:val="0"/>
        <w:snapToGrid w:val="0"/>
        <w:ind w:firstLine="0"/>
        <w:jc w:val="center"/>
        <w:rPr>
          <w:rFonts w:eastAsiaTheme="minorEastAsia"/>
          <w:b/>
          <w:iCs/>
          <w:snapToGrid w:val="0"/>
          <w:color w:val="000000"/>
          <w:kern w:val="22"/>
          <w:lang w:val="en-GB" w:eastAsia="zh-CN"/>
        </w:rPr>
      </w:pPr>
      <w:r w:rsidRPr="0083788E">
        <w:rPr>
          <w:rFonts w:eastAsiaTheme="minorEastAsia"/>
          <w:b/>
          <w:iCs/>
          <w:snapToGrid w:val="0"/>
          <w:color w:val="000000"/>
          <w:kern w:val="22"/>
          <w:lang w:val="en-GB" w:eastAsia="zh-CN"/>
        </w:rPr>
        <w:t xml:space="preserve">A.    </w:t>
      </w:r>
      <w:r w:rsidR="0083788E">
        <w:rPr>
          <w:rFonts w:eastAsiaTheme="minorEastAsia"/>
          <w:b/>
          <w:iCs/>
          <w:snapToGrid w:val="0"/>
          <w:color w:val="000000"/>
          <w:kern w:val="22"/>
          <w:lang w:val="en-GB" w:eastAsia="zh-CN"/>
        </w:rPr>
        <w:t xml:space="preserve"> </w:t>
      </w:r>
      <w:r w:rsidRPr="0083788E">
        <w:rPr>
          <w:rFonts w:eastAsiaTheme="minorEastAsia"/>
          <w:b/>
          <w:iCs/>
          <w:snapToGrid w:val="0"/>
          <w:color w:val="000000"/>
          <w:kern w:val="22"/>
          <w:lang w:val="en-GB" w:eastAsia="zh-CN"/>
        </w:rPr>
        <w:t>程序性考虑</w:t>
      </w:r>
    </w:p>
    <w:p w:rsidR="00772406" w:rsidRPr="0083788E" w:rsidRDefault="00772406" w:rsidP="001A42F8">
      <w:pPr>
        <w:numPr>
          <w:ilvl w:val="0"/>
          <w:numId w:val="227"/>
        </w:numPr>
        <w:suppressLineNumbers/>
        <w:suppressAutoHyphens/>
        <w:adjustRightInd w:val="0"/>
        <w:snapToGrid w:val="0"/>
        <w:ind w:left="0" w:firstLine="0"/>
        <w:jc w:val="center"/>
        <w:rPr>
          <w:rFonts w:ascii="KaiTi" w:eastAsia="KaiTi" w:hAnsi="KaiTi"/>
          <w:snapToGrid w:val="0"/>
          <w:color w:val="000000"/>
          <w:kern w:val="22"/>
          <w:lang w:val="en-GB" w:eastAsia="zh-CN"/>
        </w:rPr>
      </w:pPr>
      <w:r w:rsidRPr="0083788E">
        <w:rPr>
          <w:rFonts w:ascii="KaiTi" w:eastAsia="KaiTi" w:hAnsi="KaiTi"/>
          <w:snapToGrid w:val="0"/>
          <w:color w:val="000000"/>
          <w:kern w:val="22"/>
          <w:lang w:val="en-GB" w:eastAsia="zh-CN"/>
        </w:rPr>
        <w:t>建立团队</w:t>
      </w:r>
    </w:p>
    <w:p w:rsidR="00772406" w:rsidRPr="0083788E" w:rsidRDefault="00772406" w:rsidP="001A42F8">
      <w:pPr>
        <w:widowControl w:val="0"/>
        <w:numPr>
          <w:ilvl w:val="0"/>
          <w:numId w:val="203"/>
        </w:numPr>
        <w:suppressLineNumber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依据返还机构的情况，考虑建立一个具有技术专长的团队，接受多方利益有关方委员会的指导，以便在相关土著人民和地方社区和持有传统知识的机构及其他实体之间建立关系。土著人民和地方社区应有效地参与这些安排。</w:t>
      </w:r>
    </w:p>
    <w:p w:rsidR="00772406" w:rsidRPr="0083788E" w:rsidRDefault="00772406" w:rsidP="001A42F8">
      <w:pPr>
        <w:widowControl w:val="0"/>
        <w:numPr>
          <w:ilvl w:val="0"/>
          <w:numId w:val="203"/>
        </w:numPr>
        <w:suppressLineNumber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参与多方利益有关方返还委员会的土著人民和地方社区可能处于最佳地位来确定是否存在促进传统知识回归的社区规约和（或）习惯程序。</w:t>
      </w:r>
    </w:p>
    <w:p w:rsidR="00772406" w:rsidRPr="0083788E" w:rsidRDefault="00772406" w:rsidP="001A42F8">
      <w:pPr>
        <w:numPr>
          <w:ilvl w:val="0"/>
          <w:numId w:val="227"/>
        </w:numPr>
        <w:suppressLineNumbers/>
        <w:suppressAutoHyphens/>
        <w:adjustRightInd w:val="0"/>
        <w:snapToGrid w:val="0"/>
        <w:ind w:left="0" w:firstLine="0"/>
        <w:jc w:val="center"/>
        <w:rPr>
          <w:rFonts w:ascii="KaiTi" w:eastAsia="KaiTi" w:hAnsi="KaiTi"/>
          <w:snapToGrid w:val="0"/>
          <w:color w:val="000000"/>
          <w:kern w:val="22"/>
          <w:lang w:val="en-GB" w:eastAsia="zh-CN"/>
        </w:rPr>
      </w:pPr>
      <w:r w:rsidRPr="0083788E">
        <w:rPr>
          <w:rFonts w:ascii="KaiTi" w:eastAsia="KaiTi" w:hAnsi="KaiTi"/>
          <w:snapToGrid w:val="0"/>
          <w:color w:val="000000"/>
          <w:kern w:val="22"/>
          <w:lang w:val="en-GB" w:eastAsia="zh-CN"/>
        </w:rPr>
        <w:t>返还进程中的行为方培训</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参与返还的各行为方，包括返还机构和实体的工作人员、相关土著人民或地方社区的代表，可能需要接受返还方面的培训。培训可以使土著人民和地方社区具备有效参与返还进程所需的知识和技能，与此同时，土著人民和地方社区可在培训各其他行为方方面发挥作用，以确保顾及返还程序所涉文化敏感性和要求。培训还可能协助所涉各行为方对返还过程中使用的术语达成共同理解。</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培训还可以帮助返还机构和实体的工作人员了解土著人民和地方社区的权利等问题和有关其传统知识的问题，并协助制定返还进程协议。对持有、储存或放置传统知识的机构的工作人员以及土著人民和地方社区进行跨文化培训，可有助于增进相互了解和建立成功的返还程序。还应鼓励返还机构或实体的工作人员在返还前，酌情和在可行情况下进行对与其机构或收藏相关的土著人民和地方社区的习俗、世界观和（或）优先事项的培训，并以持续不断的方式建立持久的关系。土著和地方社区关于图书馆和其他资料中心的著述，都提及在这些地方感到舒适是多么重要。友善、具有文化意识</w:t>
      </w:r>
      <w:r w:rsidRPr="0083788E">
        <w:rPr>
          <w:rFonts w:eastAsiaTheme="minorEastAsia"/>
          <w:iCs/>
          <w:snapToGrid w:val="0"/>
          <w:color w:val="000000"/>
          <w:kern w:val="22"/>
          <w:lang w:val="en-GB" w:eastAsia="zh-CN"/>
        </w:rPr>
        <w:t>/</w:t>
      </w:r>
      <w:r w:rsidRPr="0083788E">
        <w:rPr>
          <w:rFonts w:eastAsiaTheme="minorEastAsia"/>
          <w:iCs/>
          <w:snapToGrid w:val="0"/>
          <w:color w:val="000000"/>
          <w:kern w:val="22"/>
          <w:lang w:val="en-GB" w:eastAsia="zh-CN"/>
        </w:rPr>
        <w:t>敏感的工作人员将意味着，土著和地方社</w:t>
      </w:r>
      <w:r w:rsidRPr="0083788E">
        <w:rPr>
          <w:rFonts w:eastAsiaTheme="minorEastAsia"/>
          <w:iCs/>
          <w:snapToGrid w:val="0"/>
          <w:color w:val="000000"/>
          <w:kern w:val="22"/>
          <w:lang w:val="en-GB" w:eastAsia="zh-CN"/>
        </w:rPr>
        <w:lastRenderedPageBreak/>
        <w:t>区不会因外来文化系统感到受威胁或无意中因为不知道如何查找信息而感到自卑。这些建议意味着有意返还传统知识的机构或实体应该做好准备。</w:t>
      </w:r>
      <w:r w:rsidRPr="0083788E">
        <w:rPr>
          <w:rFonts w:eastAsiaTheme="minorEastAsia"/>
          <w:iCs/>
          <w:snapToGrid w:val="0"/>
          <w:color w:val="000000"/>
          <w:kern w:val="22"/>
          <w:vertAlign w:val="superscript"/>
          <w:lang w:val="en-GB" w:eastAsia="zh-CN"/>
        </w:rPr>
        <w:footnoteReference w:id="198"/>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培训可酌情考虑到其他返还进程获得的经验和教训。</w:t>
      </w:r>
      <w:r w:rsidRPr="0083788E">
        <w:rPr>
          <w:rFonts w:eastAsiaTheme="minorEastAsia"/>
          <w:iCs/>
          <w:snapToGrid w:val="0"/>
          <w:color w:val="000000"/>
          <w:kern w:val="22"/>
          <w:vertAlign w:val="superscript"/>
          <w:lang w:val="en-GB" w:eastAsia="zh-CN"/>
        </w:rPr>
        <w:footnoteReference w:id="199"/>
      </w:r>
    </w:p>
    <w:p w:rsidR="00772406" w:rsidRPr="0083788E" w:rsidRDefault="00772406" w:rsidP="001A42F8">
      <w:pPr>
        <w:numPr>
          <w:ilvl w:val="0"/>
          <w:numId w:val="227"/>
        </w:numPr>
        <w:suppressLineNumbers/>
        <w:suppressAutoHyphens/>
        <w:adjustRightInd w:val="0"/>
        <w:snapToGrid w:val="0"/>
        <w:ind w:left="0" w:firstLine="0"/>
        <w:jc w:val="center"/>
        <w:rPr>
          <w:rFonts w:ascii="KaiTi" w:eastAsia="KaiTi" w:hAnsi="KaiTi"/>
          <w:snapToGrid w:val="0"/>
          <w:color w:val="000000"/>
          <w:kern w:val="22"/>
          <w:lang w:val="en-GB" w:eastAsia="zh-CN"/>
        </w:rPr>
      </w:pPr>
      <w:r w:rsidRPr="0083788E">
        <w:rPr>
          <w:rFonts w:ascii="KaiTi" w:eastAsia="KaiTi" w:hAnsi="KaiTi"/>
          <w:snapToGrid w:val="0"/>
          <w:color w:val="000000"/>
          <w:kern w:val="22"/>
          <w:lang w:val="en-GB" w:eastAsia="zh-CN"/>
        </w:rPr>
        <w:t>持有、储存或放置可能返还的传统知识及相关信息或补充信息收藏的鉴明</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在组建多方利益有关方团队并对参与者进行培训后，返还进程最初的具体步骤是鉴明可能返还的收藏和内容。</w:t>
      </w:r>
      <w:r w:rsidRPr="0083788E">
        <w:rPr>
          <w:rFonts w:eastAsiaTheme="minorEastAsia"/>
          <w:iCs/>
          <w:snapToGrid w:val="0"/>
          <w:color w:val="000000"/>
          <w:kern w:val="22"/>
          <w:vertAlign w:val="superscript"/>
          <w:lang w:val="en-GB" w:eastAsia="zh-CN"/>
        </w:rPr>
        <w:footnoteReference w:id="200"/>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应由每个持有、储存或放置传统知识和有关信息的机构或实体来鉴明其收藏中可能返还的内容，并作出关于返还的决定。与此同时，土著人民和地方社区还不妨协助这些持有、储存或放置传统知识的机构或实体鉴明可能返还的内容，并提出检查所收藏信息或知识的请求，以鉴明可能引出返还请求的内容。</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根据《公约》关于信息交流的第</w:t>
      </w:r>
      <w:r w:rsidRPr="0083788E">
        <w:rPr>
          <w:rFonts w:eastAsiaTheme="minorEastAsia"/>
          <w:iCs/>
          <w:snapToGrid w:val="0"/>
          <w:color w:val="000000"/>
          <w:kern w:val="22"/>
          <w:lang w:val="en-GB" w:eastAsia="zh-CN"/>
        </w:rPr>
        <w:t>17</w:t>
      </w:r>
      <w:r w:rsidRPr="0083788E">
        <w:rPr>
          <w:rFonts w:eastAsiaTheme="minorEastAsia"/>
          <w:iCs/>
          <w:snapToGrid w:val="0"/>
          <w:color w:val="000000"/>
          <w:kern w:val="22"/>
          <w:lang w:val="en-GB" w:eastAsia="zh-CN"/>
        </w:rPr>
        <w:t>条的要求，确定可能返还的传统知识要素有可能要求进行区域或国际合作。第</w:t>
      </w:r>
      <w:r w:rsidRPr="0083788E">
        <w:rPr>
          <w:rFonts w:eastAsiaTheme="minorEastAsia"/>
          <w:iCs/>
          <w:snapToGrid w:val="0"/>
          <w:color w:val="000000"/>
          <w:kern w:val="22"/>
          <w:lang w:val="en-GB" w:eastAsia="zh-CN"/>
        </w:rPr>
        <w:t>17</w:t>
      </w:r>
      <w:r w:rsidRPr="0083788E">
        <w:rPr>
          <w:rFonts w:eastAsiaTheme="minorEastAsia"/>
          <w:iCs/>
          <w:snapToGrid w:val="0"/>
          <w:color w:val="000000"/>
          <w:kern w:val="22"/>
          <w:lang w:val="en-GB" w:eastAsia="zh-CN"/>
        </w:rPr>
        <w:t>条要求缔约方便利与生物多样性保护和持续利用相关的所有公开信息的交流，包括专门性知识、土著和传统知识，可行情况下也应包括相关信息或补充信息的返还。</w:t>
      </w:r>
    </w:p>
    <w:p w:rsidR="00772406" w:rsidRPr="0083788E" w:rsidRDefault="00772406" w:rsidP="001A42F8">
      <w:pPr>
        <w:widowControl w:val="0"/>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返还传统知识时需要考虑到的相关信息或补充信息，可能包括但不限于关于在何时、何处、以何种方式和从何人那里首次获取或收集到所涉知识的信息，知识到达持有传统知识机构和实体（如地点和日期）以及在这些地点的初步接触，和（或）与文化财产有关的土著和传统知识的信息。</w:t>
      </w:r>
      <w:r w:rsidRPr="0083788E">
        <w:rPr>
          <w:rFonts w:eastAsiaTheme="minorEastAsia"/>
          <w:iCs/>
          <w:snapToGrid w:val="0"/>
          <w:color w:val="000000"/>
          <w:kern w:val="22"/>
          <w:vertAlign w:val="superscript"/>
          <w:lang w:val="en-GB" w:eastAsia="zh-CN"/>
        </w:rPr>
        <w:footnoteReference w:id="201"/>
      </w:r>
      <w:r w:rsidRPr="0083788E">
        <w:rPr>
          <w:rFonts w:eastAsiaTheme="minorEastAsia"/>
          <w:iCs/>
          <w:snapToGrid w:val="0"/>
          <w:color w:val="000000"/>
          <w:kern w:val="22"/>
          <w:lang w:val="en-GB" w:eastAsia="zh-CN"/>
        </w:rPr>
        <w:t xml:space="preserve"> </w:t>
      </w:r>
      <w:r w:rsidRPr="0083788E">
        <w:rPr>
          <w:rFonts w:eastAsiaTheme="minorEastAsia"/>
          <w:iCs/>
          <w:snapToGrid w:val="0"/>
          <w:color w:val="000000"/>
          <w:kern w:val="22"/>
          <w:lang w:val="en-GB" w:eastAsia="zh-CN"/>
        </w:rPr>
        <w:t>这种信息可能协助鉴明知识的原始持有人。</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相关信息或补充信息还可包括地理参考物种水平数据和相关资料等信息，以及收藏馆或数据库中持有的可能有助于补充返还的保护和可持续利用生物多样性传统知识的其他类型的信息。</w:t>
      </w:r>
      <w:r w:rsidRPr="0083788E">
        <w:rPr>
          <w:rFonts w:eastAsiaTheme="minorEastAsia"/>
          <w:iCs/>
          <w:snapToGrid w:val="0"/>
          <w:color w:val="000000"/>
          <w:kern w:val="22"/>
          <w:lang w:val="en-GB" w:eastAsia="zh-CN"/>
        </w:rPr>
        <w:t xml:space="preserve"> </w:t>
      </w:r>
    </w:p>
    <w:p w:rsidR="00772406" w:rsidRPr="0083788E" w:rsidRDefault="00772406" w:rsidP="001A42F8">
      <w:pPr>
        <w:numPr>
          <w:ilvl w:val="0"/>
          <w:numId w:val="227"/>
        </w:numPr>
        <w:suppressLineNumbers/>
        <w:suppressAutoHyphens/>
        <w:adjustRightInd w:val="0"/>
        <w:snapToGrid w:val="0"/>
        <w:ind w:left="0" w:firstLine="0"/>
        <w:jc w:val="center"/>
        <w:rPr>
          <w:rFonts w:ascii="KaiTi" w:eastAsia="KaiTi" w:hAnsi="KaiTi"/>
          <w:snapToGrid w:val="0"/>
          <w:color w:val="000000"/>
          <w:kern w:val="22"/>
          <w:lang w:val="en-GB" w:eastAsia="zh-CN"/>
        </w:rPr>
      </w:pPr>
      <w:r w:rsidRPr="0083788E">
        <w:rPr>
          <w:rFonts w:ascii="KaiTi" w:eastAsia="KaiTi" w:hAnsi="KaiTi"/>
          <w:snapToGrid w:val="0"/>
          <w:color w:val="000000"/>
          <w:kern w:val="22"/>
          <w:lang w:val="en-GB" w:eastAsia="zh-CN"/>
        </w:rPr>
        <w:t>可能返还的传统知识以及相关信息或补充信息的来源的鉴明</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鉴明有关传统知识的来源可能依靠获得</w:t>
      </w:r>
      <w:r w:rsidRPr="0083788E">
        <w:rPr>
          <w:rFonts w:eastAsiaTheme="minorEastAsia"/>
          <w:iCs/>
          <w:snapToGrid w:val="0"/>
          <w:color w:val="000000"/>
          <w:kern w:val="22"/>
          <w:lang w:val="en-GB" w:eastAsia="zh-CN"/>
        </w:rPr>
        <w:t>“</w:t>
      </w:r>
      <w:r w:rsidRPr="0083788E">
        <w:rPr>
          <w:rFonts w:eastAsiaTheme="minorEastAsia"/>
          <w:iCs/>
          <w:snapToGrid w:val="0"/>
          <w:color w:val="000000"/>
          <w:kern w:val="22"/>
          <w:lang w:val="en-GB" w:eastAsia="zh-CN"/>
        </w:rPr>
        <w:t>相关信息或补充信息</w:t>
      </w:r>
      <w:r w:rsidRPr="0083788E">
        <w:rPr>
          <w:rFonts w:eastAsiaTheme="minorEastAsia"/>
          <w:iCs/>
          <w:snapToGrid w:val="0"/>
          <w:color w:val="000000"/>
          <w:kern w:val="22"/>
          <w:lang w:val="en-GB" w:eastAsia="zh-CN"/>
        </w:rPr>
        <w:t>”</w:t>
      </w:r>
      <w:r w:rsidRPr="0083788E">
        <w:rPr>
          <w:rFonts w:eastAsiaTheme="minorEastAsia"/>
          <w:iCs/>
          <w:snapToGrid w:val="0"/>
          <w:color w:val="000000"/>
          <w:kern w:val="22"/>
          <w:lang w:val="en-GB" w:eastAsia="zh-CN"/>
        </w:rPr>
        <w:t>，例如所涉传统知识何时获得，在何地和从何人处以何种形式获得，以及地理参考物种水平数据和相关资料等信息，以及收藏馆或数据库中持有的可能有助于补充返还的保护和可持续利用生物多样性传统知识的其他类型的信息。</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lastRenderedPageBreak/>
        <w:t>土著人民和地方社区应有效参与鉴明有关传统知识的来源，某些情况下，还可以口述历史和其他形式的信息为指导。</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缔约方和各国政府应考虑做出积极主动的安排，以便利鉴明传统知识的来源和知识的原始持有人。这种安排可以包括在国家法律规定作者应在所有出版物、用途、发展和其他传播方面说明获取传统知识的来源。</w:t>
      </w:r>
    </w:p>
    <w:p w:rsidR="00772406" w:rsidRPr="0083788E" w:rsidRDefault="00772406" w:rsidP="001A42F8">
      <w:pPr>
        <w:numPr>
          <w:ilvl w:val="0"/>
          <w:numId w:val="227"/>
        </w:numPr>
        <w:suppressLineNumbers/>
        <w:suppressAutoHyphens/>
        <w:adjustRightInd w:val="0"/>
        <w:snapToGrid w:val="0"/>
        <w:ind w:left="0" w:firstLine="0"/>
        <w:jc w:val="center"/>
        <w:rPr>
          <w:rFonts w:ascii="KaiTi" w:eastAsia="KaiTi" w:hAnsi="KaiTi"/>
          <w:snapToGrid w:val="0"/>
          <w:color w:val="000000"/>
          <w:kern w:val="22"/>
          <w:lang w:val="en-GB" w:eastAsia="zh-CN"/>
        </w:rPr>
      </w:pPr>
      <w:r w:rsidRPr="0083788E">
        <w:rPr>
          <w:rFonts w:ascii="KaiTi" w:eastAsia="KaiTi" w:hAnsi="KaiTi"/>
          <w:snapToGrid w:val="0"/>
          <w:color w:val="000000"/>
          <w:kern w:val="22"/>
          <w:lang w:val="en-GB" w:eastAsia="zh-CN"/>
        </w:rPr>
        <w:t>传统知识原始持有人的鉴明</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要成功返还传统知识，最重要的是鉴明传统知识的原始持有人。</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为了确定传统知识的原始持有人，首先要鉴明有关传统知识的来源，包括何时获得，在何地和从何人处以何种形式获得。</w:t>
      </w:r>
      <w:r w:rsidRPr="0083788E">
        <w:rPr>
          <w:rFonts w:eastAsiaTheme="minorEastAsia"/>
          <w:iCs/>
          <w:snapToGrid w:val="0"/>
          <w:color w:val="000000"/>
          <w:kern w:val="22"/>
          <w:vertAlign w:val="superscript"/>
          <w:lang w:val="en-GB" w:eastAsia="zh-CN"/>
        </w:rPr>
        <w:footnoteReference w:id="202"/>
      </w:r>
      <w:r w:rsidRPr="0083788E">
        <w:rPr>
          <w:rFonts w:eastAsiaTheme="minorEastAsia"/>
          <w:iCs/>
          <w:snapToGrid w:val="0"/>
          <w:color w:val="000000"/>
          <w:kern w:val="22"/>
          <w:vertAlign w:val="superscript"/>
          <w:lang w:val="en-GB" w:eastAsia="zh-CN"/>
        </w:rPr>
        <w:t xml:space="preserve"> </w:t>
      </w:r>
      <w:r w:rsidRPr="0083788E">
        <w:rPr>
          <w:rFonts w:eastAsiaTheme="minorEastAsia"/>
          <w:iCs/>
          <w:snapToGrid w:val="0"/>
          <w:color w:val="000000"/>
          <w:kern w:val="22"/>
          <w:lang w:val="en-GB" w:eastAsia="zh-CN"/>
        </w:rPr>
        <w:t xml:space="preserve"> </w:t>
      </w:r>
      <w:r w:rsidRPr="0083788E">
        <w:rPr>
          <w:rFonts w:eastAsiaTheme="minorEastAsia"/>
          <w:iCs/>
          <w:snapToGrid w:val="0"/>
          <w:color w:val="000000"/>
          <w:kern w:val="22"/>
          <w:lang w:val="en-GB" w:eastAsia="zh-CN"/>
        </w:rPr>
        <w:t>在这种情况下，上述相关信息或补充信息可能会有助益。</w:t>
      </w:r>
    </w:p>
    <w:p w:rsidR="00772406" w:rsidRPr="0083788E" w:rsidRDefault="00772406" w:rsidP="001A42F8">
      <w:pPr>
        <w:numPr>
          <w:ilvl w:val="0"/>
          <w:numId w:val="203"/>
        </w:numPr>
        <w:suppressLineNumber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土著人民和地方社区返还传统知识的过程可包括借鉴其口述历史和传统以确定：何处可能持有、储存或放置传统知识；何时、何地和从何人处以什么形式收集到所涉知识；以及关于知识到达</w:t>
      </w:r>
      <w:r w:rsidRPr="0083788E">
        <w:rPr>
          <w:rFonts w:eastAsiaTheme="minorEastAsia"/>
          <w:iCs/>
          <w:snapToGrid w:val="0"/>
          <w:color w:val="000000"/>
          <w:kern w:val="22"/>
          <w:lang w:val="en-GB" w:eastAsia="zh-CN"/>
        </w:rPr>
        <w:t>那些</w:t>
      </w:r>
      <w:r w:rsidRPr="0083788E">
        <w:rPr>
          <w:rFonts w:eastAsiaTheme="minorEastAsia"/>
          <w:snapToGrid w:val="0"/>
          <w:color w:val="000000"/>
          <w:kern w:val="22"/>
          <w:lang w:val="en-GB" w:eastAsia="zh-CN"/>
        </w:rPr>
        <w:t>地点的信息，包括日期以及在那些存储或利用传统知识地点和工作人员的初次接触。</w:t>
      </w:r>
    </w:p>
    <w:p w:rsidR="00772406" w:rsidRPr="0083788E" w:rsidRDefault="00772406" w:rsidP="001A42F8">
      <w:pPr>
        <w:numPr>
          <w:ilvl w:val="0"/>
          <w:numId w:val="203"/>
        </w:numPr>
        <w:suppressLineNumber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口述历史结合机构努力公开提供其收藏，可能有助于鉴明原始持有人以促进可能的返还。</w:t>
      </w:r>
    </w:p>
    <w:p w:rsidR="00772406" w:rsidRPr="0083788E" w:rsidRDefault="00772406" w:rsidP="001A42F8">
      <w:pPr>
        <w:widowControl w:val="0"/>
        <w:numPr>
          <w:ilvl w:val="0"/>
          <w:numId w:val="203"/>
        </w:numPr>
        <w:suppressLineNumbers/>
        <w:suppressAutoHyphens/>
        <w:adjustRightInd w:val="0"/>
        <w:snapToGrid w:val="0"/>
        <w:ind w:left="0" w:firstLine="0"/>
        <w:rPr>
          <w:rFonts w:eastAsiaTheme="minorEastAsia"/>
          <w:b/>
          <w:snapToGrid w:val="0"/>
          <w:color w:val="000000"/>
          <w:kern w:val="22"/>
          <w:lang w:val="en-GB" w:eastAsia="zh-CN"/>
        </w:rPr>
      </w:pPr>
      <w:r w:rsidRPr="0083788E">
        <w:rPr>
          <w:rFonts w:eastAsiaTheme="minorEastAsia"/>
          <w:snapToGrid w:val="0"/>
          <w:color w:val="000000"/>
          <w:kern w:val="22"/>
          <w:lang w:val="en-GB" w:eastAsia="zh-CN"/>
        </w:rPr>
        <w:t>持有、储存或放置传统知识的政府部门、机构和实体应与相关土著人民和地方社区合作，并确保其充分和有效参与鉴明知识原始持有人。</w:t>
      </w:r>
      <w:r w:rsidRPr="0083788E">
        <w:rPr>
          <w:rFonts w:eastAsiaTheme="minorEastAsia"/>
          <w:snapToGrid w:val="0"/>
          <w:kern w:val="18"/>
          <w:vertAlign w:val="superscript"/>
          <w:lang w:val="en-CA" w:eastAsia="en-CA"/>
        </w:rPr>
        <w:footnoteReference w:id="203"/>
      </w:r>
    </w:p>
    <w:p w:rsidR="00772406" w:rsidRPr="0083788E" w:rsidRDefault="00772406" w:rsidP="001A42F8">
      <w:pPr>
        <w:numPr>
          <w:ilvl w:val="0"/>
          <w:numId w:val="227"/>
        </w:numPr>
        <w:suppressLineNumbers/>
        <w:suppressAutoHyphens/>
        <w:adjustRightInd w:val="0"/>
        <w:snapToGrid w:val="0"/>
        <w:ind w:left="0" w:firstLine="0"/>
        <w:jc w:val="center"/>
        <w:rPr>
          <w:rFonts w:ascii="KaiTi" w:eastAsia="KaiTi" w:hAnsi="KaiTi"/>
          <w:snapToGrid w:val="0"/>
          <w:color w:val="000000"/>
          <w:kern w:val="22"/>
          <w:lang w:val="en-GB" w:eastAsia="zh-CN"/>
        </w:rPr>
      </w:pPr>
      <w:r w:rsidRPr="0083788E">
        <w:rPr>
          <w:rFonts w:ascii="KaiTi" w:eastAsia="KaiTi" w:hAnsi="KaiTi"/>
          <w:snapToGrid w:val="0"/>
          <w:color w:val="000000"/>
          <w:kern w:val="22"/>
          <w:lang w:val="en-GB" w:eastAsia="zh-CN"/>
        </w:rPr>
        <w:t>返还协议</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snapToGrid w:val="0"/>
          <w:color w:val="000000"/>
          <w:kern w:val="22"/>
          <w:lang w:val="en-GB" w:eastAsia="zh-CN"/>
        </w:rPr>
        <w:t>为了澄清返还</w:t>
      </w:r>
      <w:r w:rsidRPr="0083788E">
        <w:rPr>
          <w:rFonts w:eastAsiaTheme="minorEastAsia"/>
          <w:iCs/>
          <w:snapToGrid w:val="0"/>
          <w:color w:val="000000"/>
          <w:kern w:val="22"/>
          <w:lang w:val="en-GB" w:eastAsia="zh-CN"/>
        </w:rPr>
        <w:t>程序，土著人民和地方社区不妨查明其习惯程序或制定解决传统知识返还的社区规约。</w:t>
      </w:r>
      <w:r w:rsidRPr="0083788E">
        <w:rPr>
          <w:rFonts w:eastAsiaTheme="minorEastAsia"/>
          <w:snapToGrid w:val="0"/>
          <w:kern w:val="18"/>
          <w:vertAlign w:val="superscript"/>
          <w:lang w:val="en-CA" w:eastAsia="en-CA"/>
        </w:rPr>
        <w:footnoteReference w:id="204"/>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一般来说，返还协议应承认传统知识原始持有人可能拥有的的任何权利，包括对有关传统</w:t>
      </w:r>
      <w:r w:rsidRPr="0083788E">
        <w:rPr>
          <w:rFonts w:eastAsiaTheme="minorEastAsia"/>
          <w:snapToGrid w:val="0"/>
          <w:color w:val="000000"/>
          <w:kern w:val="22"/>
          <w:lang w:val="en-GB" w:eastAsia="zh-CN"/>
        </w:rPr>
        <w:t>知识</w:t>
      </w:r>
      <w:r w:rsidRPr="0083788E">
        <w:rPr>
          <w:rFonts w:eastAsiaTheme="minorEastAsia"/>
          <w:iCs/>
          <w:snapToGrid w:val="0"/>
          <w:color w:val="000000"/>
          <w:kern w:val="22"/>
          <w:lang w:val="en-GB" w:eastAsia="zh-CN"/>
        </w:rPr>
        <w:t>返还进程的事先和知情同意，自由、事先和知情同意或核准和参与，并且目的是为返还进程制定共同商定的条件。</w:t>
      </w:r>
    </w:p>
    <w:p w:rsidR="00772406" w:rsidRPr="0083788E" w:rsidRDefault="00772406" w:rsidP="001A42F8">
      <w:pPr>
        <w:widowControl w:val="0"/>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有意返还传统知识的机构和实体</w:t>
      </w:r>
      <w:r w:rsidRPr="0083788E">
        <w:rPr>
          <w:rFonts w:eastAsiaTheme="minorEastAsia"/>
          <w:iCs/>
          <w:snapToGrid w:val="0"/>
          <w:color w:val="000000"/>
          <w:kern w:val="22"/>
          <w:lang w:val="en-GB" w:eastAsia="zh-CN"/>
        </w:rPr>
        <w:t xml:space="preserve"> </w:t>
      </w:r>
      <w:r w:rsidRPr="0083788E">
        <w:rPr>
          <w:rFonts w:eastAsiaTheme="minorEastAsia"/>
          <w:snapToGrid w:val="0"/>
          <w:kern w:val="18"/>
          <w:vertAlign w:val="superscript"/>
          <w:lang w:val="en-CA" w:eastAsia="en-CA"/>
        </w:rPr>
        <w:footnoteReference w:id="205"/>
      </w:r>
      <w:r w:rsidRPr="0083788E">
        <w:rPr>
          <w:rFonts w:eastAsiaTheme="minorEastAsia"/>
          <w:snapToGrid w:val="0"/>
          <w:kern w:val="18"/>
          <w:vertAlign w:val="superscript"/>
          <w:lang w:val="en-CA" w:eastAsia="zh-CN"/>
        </w:rPr>
        <w:t xml:space="preserve"> </w:t>
      </w:r>
      <w:r w:rsidRPr="0083788E">
        <w:rPr>
          <w:rFonts w:eastAsiaTheme="minorEastAsia"/>
          <w:iCs/>
          <w:snapToGrid w:val="0"/>
          <w:color w:val="000000"/>
          <w:kern w:val="22"/>
          <w:lang w:val="en-GB" w:eastAsia="zh-CN"/>
        </w:rPr>
        <w:t>可能有能力改编标准的框架协议，例如谅解备忘录或合作备忘录，以便纳入传统知识的返还。这些框架协议，特别是从机构的角度看，可能是指导返还的有用机制。</w:t>
      </w:r>
    </w:p>
    <w:p w:rsidR="00772406" w:rsidRPr="0083788E" w:rsidRDefault="00772406" w:rsidP="001A42F8">
      <w:pPr>
        <w:widowControl w:val="0"/>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lastRenderedPageBreak/>
        <w:t>如果返还进程以框架协议为基础，并且结合社区规约或习惯程序，则更有可能满足参与返还进程的不同行为方的需要。</w:t>
      </w:r>
    </w:p>
    <w:p w:rsidR="00772406" w:rsidRPr="0083788E" w:rsidRDefault="00772406" w:rsidP="001A42F8">
      <w:pPr>
        <w:numPr>
          <w:ilvl w:val="0"/>
          <w:numId w:val="203"/>
        </w:numPr>
        <w:suppressLineNumber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此外，为便利返还进程，应将行政措施和费用</w:t>
      </w:r>
      <w:r w:rsidRPr="0083788E">
        <w:rPr>
          <w:rFonts w:eastAsiaTheme="minorEastAsia"/>
          <w:color w:val="333333"/>
          <w:shd w:val="clear" w:color="auto" w:fill="FFFFFF"/>
          <w:lang w:val="en-GB" w:eastAsia="zh-CN"/>
        </w:rPr>
        <w:t>降到最低限度</w:t>
      </w:r>
      <w:r w:rsidRPr="0083788E">
        <w:rPr>
          <w:rFonts w:eastAsiaTheme="minorEastAsia"/>
          <w:snapToGrid w:val="0"/>
          <w:color w:val="000000"/>
          <w:kern w:val="22"/>
          <w:lang w:val="en-GB" w:eastAsia="zh-CN"/>
        </w:rPr>
        <w:t>。</w:t>
      </w:r>
    </w:p>
    <w:p w:rsidR="00772406" w:rsidRPr="0083788E" w:rsidRDefault="00772406" w:rsidP="001A42F8">
      <w:pPr>
        <w:numPr>
          <w:ilvl w:val="0"/>
          <w:numId w:val="203"/>
        </w:numPr>
        <w:suppressLineNumbers/>
        <w:suppressAutoHyphens/>
        <w:adjustRightInd w:val="0"/>
        <w:snapToGrid w:val="0"/>
        <w:ind w:left="0" w:firstLine="0"/>
        <w:rPr>
          <w:rFonts w:eastAsiaTheme="minorEastAsia"/>
          <w:snapToGrid w:val="0"/>
          <w:color w:val="000000"/>
          <w:kern w:val="22"/>
          <w:lang w:val="en-GB" w:eastAsia="zh-CN"/>
        </w:rPr>
      </w:pPr>
      <w:r w:rsidRPr="0083788E">
        <w:rPr>
          <w:rFonts w:eastAsiaTheme="minorEastAsia"/>
          <w:iCs/>
          <w:snapToGrid w:val="0"/>
          <w:color w:val="000000"/>
          <w:kern w:val="22"/>
          <w:lang w:val="en-GB" w:eastAsia="zh-CN"/>
        </w:rPr>
        <w:t>任何协定均可考虑酌情纳入在发生涉及返还的争端时使用争端解决程序的规定。</w:t>
      </w:r>
    </w:p>
    <w:p w:rsidR="00772406" w:rsidRPr="0083788E" w:rsidRDefault="00772406" w:rsidP="001A42F8">
      <w:pPr>
        <w:numPr>
          <w:ilvl w:val="0"/>
          <w:numId w:val="227"/>
        </w:numPr>
        <w:suppressLineNumbers/>
        <w:suppressAutoHyphens/>
        <w:adjustRightInd w:val="0"/>
        <w:snapToGrid w:val="0"/>
        <w:ind w:left="0" w:firstLine="0"/>
        <w:jc w:val="center"/>
        <w:rPr>
          <w:rFonts w:ascii="KaiTi" w:eastAsia="KaiTi" w:hAnsi="KaiTi"/>
          <w:i/>
          <w:snapToGrid w:val="0"/>
          <w:color w:val="000000"/>
          <w:kern w:val="22"/>
          <w:lang w:val="en-GB" w:eastAsia="zh-CN"/>
        </w:rPr>
      </w:pPr>
      <w:r w:rsidRPr="0083788E">
        <w:rPr>
          <w:rFonts w:ascii="KaiTi" w:eastAsia="KaiTi" w:hAnsi="KaiTi"/>
          <w:snapToGrid w:val="0"/>
          <w:color w:val="000000"/>
          <w:kern w:val="22"/>
          <w:lang w:val="en-GB" w:eastAsia="zh-CN"/>
        </w:rPr>
        <w:t>接收的准备</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从土著人民和地方社区的观点来看，</w:t>
      </w:r>
      <w:r w:rsidRPr="0083788E">
        <w:rPr>
          <w:rFonts w:asciiTheme="minorEastAsia" w:eastAsiaTheme="minorEastAsia" w:hAnsiTheme="minorEastAsia"/>
          <w:iCs/>
          <w:snapToGrid w:val="0"/>
          <w:color w:val="000000"/>
          <w:kern w:val="22"/>
          <w:lang w:val="en-GB" w:eastAsia="zh-CN"/>
        </w:rPr>
        <w:t>“准备接收”</w:t>
      </w:r>
      <w:r w:rsidRPr="0083788E">
        <w:rPr>
          <w:rFonts w:eastAsiaTheme="minorEastAsia"/>
          <w:iCs/>
          <w:snapToGrid w:val="0"/>
          <w:color w:val="000000"/>
          <w:kern w:val="22"/>
          <w:lang w:val="en-GB" w:eastAsia="zh-CN"/>
        </w:rPr>
        <w:t>包括相关土著人民和地方社区具备能力接收、存储、恢复传统知识，并制定保护和推广（包括代际转移）传统知识的地方机制和保障战略。这可能涉及根据国家法律，重新引入、重建或恢复有关生物资源，例如传统作物和动物品种。</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因此，寻求返还传统知</w:t>
      </w:r>
      <w:r w:rsidRPr="0083788E">
        <w:rPr>
          <w:rFonts w:eastAsiaTheme="minorEastAsia"/>
          <w:iCs/>
          <w:snapToGrid w:val="0"/>
          <w:color w:val="000000"/>
          <w:spacing w:val="-20"/>
          <w:kern w:val="22"/>
          <w:lang w:val="en-GB" w:eastAsia="zh-CN"/>
        </w:rPr>
        <w:t>识和（或）相关信息或补充信息的土著人民和地方社区应准备接收归还的传统知识</w:t>
      </w:r>
      <w:r w:rsidRPr="0083788E">
        <w:rPr>
          <w:rFonts w:eastAsiaTheme="minorEastAsia"/>
          <w:iCs/>
          <w:snapToGrid w:val="0"/>
          <w:color w:val="000000"/>
          <w:kern w:val="22"/>
          <w:lang w:val="en-GB" w:eastAsia="zh-CN"/>
        </w:rPr>
        <w:t>，并考虑持有和妥善保存管归还的传统知识所需要的适当基础设施。</w:t>
      </w:r>
      <w:r w:rsidRPr="0083788E">
        <w:rPr>
          <w:rFonts w:eastAsiaTheme="minorEastAsia"/>
          <w:snapToGrid w:val="0"/>
          <w:kern w:val="18"/>
          <w:vertAlign w:val="superscript"/>
          <w:lang w:val="en-CA" w:eastAsia="en-CA"/>
        </w:rPr>
        <w:footnoteReference w:id="206"/>
      </w:r>
      <w:r w:rsidRPr="0083788E">
        <w:rPr>
          <w:rFonts w:eastAsiaTheme="minorEastAsia"/>
          <w:snapToGrid w:val="0"/>
          <w:kern w:val="18"/>
          <w:vertAlign w:val="superscript"/>
          <w:lang w:val="en-CA" w:eastAsia="zh-CN"/>
        </w:rPr>
        <w:t xml:space="preserve"> </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鼓励有意或参与返还的缔约方、各国政府、机构和实体支持土著人民和地方社区做好准备并酌情通过技术转让等方式，</w:t>
      </w:r>
      <w:r w:rsidRPr="0083788E">
        <w:rPr>
          <w:rFonts w:eastAsiaTheme="minorEastAsia"/>
          <w:iCs/>
          <w:snapToGrid w:val="0"/>
          <w:kern w:val="22"/>
          <w:lang w:val="en-GB" w:eastAsia="zh-CN"/>
        </w:rPr>
        <w:t>帮助其进行能力建设，以</w:t>
      </w:r>
      <w:r w:rsidRPr="0083788E">
        <w:rPr>
          <w:rFonts w:eastAsiaTheme="minorEastAsia"/>
          <w:iCs/>
          <w:snapToGrid w:val="0"/>
          <w:color w:val="000000"/>
          <w:kern w:val="22"/>
          <w:lang w:val="en-GB" w:eastAsia="zh-CN"/>
        </w:rPr>
        <w:t>接收向其归还的传统知识和相关信息或补充信息。</w:t>
      </w:r>
    </w:p>
    <w:p w:rsidR="00772406" w:rsidRPr="0083788E" w:rsidRDefault="00772406" w:rsidP="001A42F8">
      <w:pPr>
        <w:numPr>
          <w:ilvl w:val="0"/>
          <w:numId w:val="227"/>
        </w:numPr>
        <w:suppressLineNumbers/>
        <w:suppressAutoHyphens/>
        <w:adjustRightInd w:val="0"/>
        <w:snapToGrid w:val="0"/>
        <w:ind w:left="0" w:firstLine="0"/>
        <w:jc w:val="center"/>
        <w:rPr>
          <w:rFonts w:ascii="KaiTi" w:eastAsia="KaiTi" w:hAnsi="KaiTi"/>
          <w:snapToGrid w:val="0"/>
          <w:color w:val="000000"/>
          <w:kern w:val="22"/>
          <w:lang w:val="en-GB" w:eastAsia="zh-CN"/>
        </w:rPr>
      </w:pPr>
      <w:r w:rsidRPr="0083788E">
        <w:rPr>
          <w:rFonts w:ascii="KaiTi" w:eastAsia="KaiTi" w:hAnsi="KaiTi"/>
          <w:snapToGrid w:val="0"/>
          <w:color w:val="000000"/>
          <w:kern w:val="22"/>
          <w:lang w:val="en-GB" w:eastAsia="zh-CN"/>
        </w:rPr>
        <w:t>传统知识的记录、文档化和数字化</w:t>
      </w:r>
      <w:r w:rsidRPr="00235140">
        <w:rPr>
          <w:rFonts w:eastAsia="KaiTi"/>
          <w:snapToGrid w:val="0"/>
          <w:color w:val="000000"/>
          <w:kern w:val="22"/>
          <w:vertAlign w:val="superscript"/>
          <w:lang w:val="en-GB" w:eastAsia="zh-CN"/>
        </w:rPr>
        <w:footnoteReference w:id="207"/>
      </w:r>
      <w:r w:rsidRPr="0083788E">
        <w:rPr>
          <w:rFonts w:ascii="KaiTi" w:eastAsia="KaiTi" w:hAnsi="KaiTi"/>
          <w:snapToGrid w:val="0"/>
          <w:color w:val="000000"/>
          <w:kern w:val="22"/>
          <w:lang w:val="en-GB" w:eastAsia="zh-CN"/>
        </w:rPr>
        <w:t xml:space="preserve"> ——实现返还的格式考虑</w:t>
      </w:r>
    </w:p>
    <w:p w:rsidR="00772406" w:rsidRPr="0083788E" w:rsidRDefault="00772406" w:rsidP="001A42F8">
      <w:pPr>
        <w:widowControl w:val="0"/>
        <w:numPr>
          <w:ilvl w:val="0"/>
          <w:numId w:val="203"/>
        </w:numPr>
        <w:suppressLineNumber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数字化虽然可能有用，但在《公约》</w:t>
      </w:r>
      <w:r w:rsidRPr="0083788E">
        <w:rPr>
          <w:rFonts w:eastAsiaTheme="minorEastAsia"/>
          <w:snapToGrid w:val="0"/>
          <w:kern w:val="18"/>
          <w:vertAlign w:val="superscript"/>
          <w:lang w:val="en-CA" w:eastAsia="en-CA"/>
        </w:rPr>
        <w:footnoteReference w:id="208"/>
      </w:r>
      <w:r w:rsidRPr="0083788E">
        <w:rPr>
          <w:rFonts w:eastAsiaTheme="minorEastAsia"/>
          <w:snapToGrid w:val="0"/>
          <w:color w:val="000000"/>
          <w:kern w:val="22"/>
          <w:lang w:val="en-GB" w:eastAsia="zh-CN"/>
        </w:rPr>
        <w:t xml:space="preserve"> </w:t>
      </w:r>
      <w:r w:rsidRPr="0083788E">
        <w:rPr>
          <w:rFonts w:eastAsiaTheme="minorEastAsia"/>
          <w:snapToGrid w:val="0"/>
          <w:color w:val="000000"/>
          <w:kern w:val="22"/>
          <w:lang w:val="en-GB" w:eastAsia="zh-CN"/>
        </w:rPr>
        <w:t>下提出了有关传统知识文档化，包括其潜在的挑战和机会的若干</w:t>
      </w:r>
      <w:r w:rsidRPr="0083788E">
        <w:rPr>
          <w:rFonts w:eastAsiaTheme="minorEastAsia"/>
          <w:iCs/>
          <w:snapToGrid w:val="0"/>
          <w:color w:val="000000"/>
          <w:kern w:val="22"/>
          <w:lang w:val="en-GB" w:eastAsia="zh-CN"/>
        </w:rPr>
        <w:t>问题</w:t>
      </w:r>
      <w:r w:rsidRPr="0083788E">
        <w:rPr>
          <w:rFonts w:eastAsiaTheme="minorEastAsia"/>
          <w:snapToGrid w:val="0"/>
          <w:color w:val="000000"/>
          <w:kern w:val="22"/>
          <w:lang w:val="en-GB" w:eastAsia="zh-CN"/>
        </w:rPr>
        <w:t>。考虑到这一点，打算将收藏工作数字化以协助返还的机构和</w:t>
      </w:r>
      <w:r w:rsidRPr="0083788E">
        <w:rPr>
          <w:rFonts w:eastAsiaTheme="minorEastAsia"/>
          <w:iCs/>
          <w:snapToGrid w:val="0"/>
          <w:color w:val="000000"/>
          <w:kern w:val="22"/>
          <w:lang w:val="en-GB" w:eastAsia="zh-CN"/>
        </w:rPr>
        <w:t>实体</w:t>
      </w:r>
      <w:r w:rsidRPr="0083788E">
        <w:rPr>
          <w:rFonts w:eastAsiaTheme="minorEastAsia"/>
          <w:snapToGrid w:val="0"/>
          <w:color w:val="000000"/>
          <w:kern w:val="22"/>
          <w:lang w:val="en-GB" w:eastAsia="zh-CN"/>
        </w:rPr>
        <w:t>，应在土著人民和地方社区充分认识到文档化的挑战和益处（包括文档化和公开提供），并充分和有效参与的情况下这样做。</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snapToGrid w:val="0"/>
          <w:color w:val="000000"/>
          <w:kern w:val="22"/>
          <w:lang w:val="en-GB" w:eastAsia="zh-CN"/>
        </w:rPr>
        <w:t>一些从事传统知识和相关信息或补充信息工作的机构建议将收藏数字化，以便利返还，同时又允许返还机构保留信息，作为妥善保管的后备。</w:t>
      </w:r>
      <w:r w:rsidRPr="0083788E">
        <w:rPr>
          <w:rFonts w:eastAsiaTheme="minorEastAsia"/>
          <w:snapToGrid w:val="0"/>
          <w:kern w:val="18"/>
          <w:vertAlign w:val="superscript"/>
          <w:lang w:val="en-CA" w:eastAsia="en-CA"/>
        </w:rPr>
        <w:footnoteReference w:id="209"/>
      </w:r>
      <w:r w:rsidRPr="0083788E">
        <w:rPr>
          <w:rFonts w:eastAsiaTheme="minorEastAsia"/>
          <w:snapToGrid w:val="0"/>
          <w:color w:val="000000"/>
          <w:kern w:val="22"/>
          <w:lang w:val="en-GB" w:eastAsia="zh-CN"/>
        </w:rPr>
        <w:t xml:space="preserve"> </w:t>
      </w:r>
      <w:r w:rsidRPr="0083788E">
        <w:rPr>
          <w:rFonts w:eastAsiaTheme="minorEastAsia"/>
          <w:snapToGrid w:val="0"/>
          <w:color w:val="000000"/>
          <w:kern w:val="22"/>
          <w:lang w:val="en-GB" w:eastAsia="zh-CN"/>
        </w:rPr>
        <w:t>良好的返还做法也可能包括在网上免费提供收藏品和数据，并便利访问非数字格式的收藏。很多持有、储存或放置传统知识的实体，例如博物馆，经常提供可免费公开获取的有关生物多样性的传统知识。</w:t>
      </w:r>
    </w:p>
    <w:p w:rsidR="00772406" w:rsidRPr="0083788E" w:rsidRDefault="00772406" w:rsidP="001A42F8">
      <w:pPr>
        <w:widowControl w:val="0"/>
        <w:numPr>
          <w:ilvl w:val="0"/>
          <w:numId w:val="203"/>
        </w:numPr>
        <w:suppressLineNumber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此外，世界知识产权组织（知识产权组织）的出版物《记录传统知识</w:t>
      </w:r>
      <w:r w:rsidRPr="0083788E">
        <w:rPr>
          <w:rFonts w:eastAsiaTheme="minorEastAsia"/>
          <w:snapToGrid w:val="0"/>
          <w:color w:val="000000"/>
          <w:kern w:val="22"/>
          <w:lang w:val="en-GB" w:eastAsia="zh-CN"/>
        </w:rPr>
        <w:t>——</w:t>
      </w:r>
      <w:r w:rsidRPr="0083788E">
        <w:rPr>
          <w:rFonts w:eastAsiaTheme="minorEastAsia"/>
          <w:snapToGrid w:val="0"/>
          <w:color w:val="000000"/>
          <w:kern w:val="22"/>
          <w:lang w:val="en-GB" w:eastAsia="zh-CN"/>
        </w:rPr>
        <w:t>工具包》</w:t>
      </w:r>
      <w:r w:rsidRPr="0083788E">
        <w:rPr>
          <w:rFonts w:eastAsiaTheme="minorEastAsia"/>
          <w:snapToGrid w:val="0"/>
          <w:kern w:val="18"/>
          <w:vertAlign w:val="superscript"/>
          <w:lang w:val="en-CA" w:eastAsia="en-CA"/>
        </w:rPr>
        <w:footnoteReference w:id="210"/>
      </w:r>
      <w:r w:rsidRPr="0083788E">
        <w:rPr>
          <w:rFonts w:eastAsiaTheme="minorEastAsia"/>
          <w:kern w:val="18"/>
          <w:vertAlign w:val="superscript"/>
          <w:lang w:val="en-CA" w:eastAsia="zh-CN"/>
        </w:rPr>
        <w:t xml:space="preserve"> </w:t>
      </w:r>
      <w:r w:rsidRPr="0083788E">
        <w:rPr>
          <w:rFonts w:eastAsiaTheme="minorEastAsia"/>
          <w:snapToGrid w:val="0"/>
          <w:color w:val="000000"/>
          <w:kern w:val="22"/>
          <w:lang w:val="en-GB" w:eastAsia="zh-CN"/>
        </w:rPr>
        <w:lastRenderedPageBreak/>
        <w:t>这方面也可能具有相关性，因为它提供了基本的信息，包括可能的益处和挑战，供土著人民和地方社区在决定是否希望实行其知识文档化时考虑。</w:t>
      </w:r>
    </w:p>
    <w:p w:rsidR="00772406" w:rsidRPr="0083788E" w:rsidRDefault="00772406" w:rsidP="001A42F8">
      <w:pPr>
        <w:numPr>
          <w:ilvl w:val="0"/>
          <w:numId w:val="203"/>
        </w:numPr>
        <w:suppressLineNumber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通过在线方式免费提供与生物多样性的保护和可持续利用相关的传统知识的人士，应考虑是否需要在土著人民和地方社区根据事先知情同意、酌情根据自由、事先和知情同意或核准和参与以及酌情根据共同商定的条件有效参与的情况下这样做，同时充分认识到免费提供传统知识的挑战和益处。</w:t>
      </w:r>
    </w:p>
    <w:p w:rsidR="00772406" w:rsidRPr="0083788E" w:rsidRDefault="00772406" w:rsidP="001A42F8">
      <w:pPr>
        <w:numPr>
          <w:ilvl w:val="0"/>
          <w:numId w:val="203"/>
        </w:numPr>
        <w:suppressLineNumber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kern w:val="22"/>
          <w:lang w:val="en-GB" w:eastAsia="zh-CN"/>
        </w:rPr>
        <w:t>与传统知识的记录、文档化和数字化以及返还相关，并且作为促进建立关系和互惠原则的一个行动，凡有可能，从与土著人民和地方社区的活动</w:t>
      </w:r>
      <w:r w:rsidRPr="0083788E">
        <w:rPr>
          <w:rFonts w:eastAsiaTheme="minorEastAsia"/>
          <w:snapToGrid w:val="0"/>
          <w:kern w:val="22"/>
          <w:lang w:val="en-GB" w:eastAsia="zh-CN"/>
        </w:rPr>
        <w:t>/</w:t>
      </w:r>
      <w:r w:rsidRPr="0083788E">
        <w:rPr>
          <w:rFonts w:eastAsiaTheme="minorEastAsia"/>
          <w:snapToGrid w:val="0"/>
          <w:kern w:val="22"/>
          <w:lang w:val="en-GB" w:eastAsia="zh-CN"/>
        </w:rPr>
        <w:t>互动中获得的传统知识和相关信息，应尽力以土著和当地语言和可以理解的和文化上适当的格式与他们分享，以便促进跨文化交流、知识和技术转让、协同增效和互补性。</w:t>
      </w:r>
      <w:r w:rsidRPr="0083788E">
        <w:rPr>
          <w:rFonts w:eastAsiaTheme="minorEastAsia"/>
          <w:snapToGrid w:val="0"/>
          <w:kern w:val="18"/>
          <w:vertAlign w:val="superscript"/>
          <w:lang w:val="en-CA" w:eastAsia="en-CA"/>
        </w:rPr>
        <w:footnoteReference w:id="211"/>
      </w:r>
    </w:p>
    <w:p w:rsidR="00772406" w:rsidRPr="0083788E" w:rsidRDefault="00772406" w:rsidP="001A42F8">
      <w:pPr>
        <w:keepNext/>
        <w:numPr>
          <w:ilvl w:val="0"/>
          <w:numId w:val="205"/>
        </w:numPr>
        <w:suppressLineNumbers/>
        <w:suppressAutoHyphens/>
        <w:adjustRightInd w:val="0"/>
        <w:snapToGrid w:val="0"/>
        <w:ind w:left="0" w:firstLine="0"/>
        <w:jc w:val="center"/>
        <w:rPr>
          <w:rFonts w:eastAsiaTheme="minorEastAsia"/>
          <w:b/>
          <w:i/>
          <w:snapToGrid w:val="0"/>
          <w:color w:val="000000"/>
          <w:kern w:val="22"/>
          <w:lang w:val="en-GB" w:eastAsia="zh-CN"/>
        </w:rPr>
      </w:pPr>
      <w:r w:rsidRPr="0083788E">
        <w:rPr>
          <w:rFonts w:eastAsiaTheme="minorEastAsia"/>
          <w:b/>
          <w:snapToGrid w:val="0"/>
          <w:color w:val="000000"/>
          <w:kern w:val="22"/>
          <w:lang w:val="en-GB" w:eastAsia="zh-CN"/>
        </w:rPr>
        <w:t xml:space="preserve"> </w:t>
      </w:r>
      <w:r w:rsidRPr="0083788E">
        <w:rPr>
          <w:rFonts w:eastAsiaTheme="minorEastAsia"/>
          <w:b/>
          <w:snapToGrid w:val="0"/>
          <w:color w:val="000000"/>
          <w:kern w:val="22"/>
          <w:lang w:val="en-GB" w:eastAsia="zh-CN"/>
        </w:rPr>
        <w:t>特别考虑</w:t>
      </w:r>
    </w:p>
    <w:p w:rsidR="00772406" w:rsidRPr="0083788E" w:rsidRDefault="00772406" w:rsidP="001A42F8">
      <w:pPr>
        <w:keepNext/>
        <w:widowControl w:val="0"/>
        <w:numPr>
          <w:ilvl w:val="0"/>
          <w:numId w:val="202"/>
        </w:numPr>
        <w:suppressLineNumbers/>
        <w:tabs>
          <w:tab w:val="left" w:pos="1890"/>
        </w:tabs>
        <w:suppressAutoHyphens/>
        <w:adjustRightInd w:val="0"/>
        <w:snapToGrid w:val="0"/>
        <w:ind w:left="1890" w:right="1119" w:hanging="720"/>
        <w:jc w:val="left"/>
        <w:rPr>
          <w:rFonts w:ascii="KaiTi" w:eastAsia="KaiTi" w:hAnsi="KaiTi"/>
          <w:iCs/>
          <w:snapToGrid w:val="0"/>
          <w:color w:val="000000"/>
          <w:kern w:val="22"/>
          <w:lang w:val="en-GB" w:eastAsia="zh-CN"/>
        </w:rPr>
      </w:pPr>
      <w:r w:rsidRPr="0083788E">
        <w:rPr>
          <w:rFonts w:ascii="KaiTi" w:eastAsia="KaiTi" w:hAnsi="KaiTi"/>
          <w:iCs/>
          <w:snapToGrid w:val="0"/>
          <w:color w:val="000000"/>
          <w:kern w:val="22"/>
          <w:lang w:val="en-GB" w:eastAsia="zh-CN"/>
        </w:rPr>
        <w:t>可公开获取的有关生物多样性养护和可持续利用的传统知识与持续使用和惠益分享</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snapToGrid w:val="0"/>
          <w:kern w:val="22"/>
          <w:lang w:val="en-GB" w:eastAsia="zh-CN"/>
        </w:rPr>
        <w:t>在持续使用传统知识的地方</w:t>
      </w:r>
      <w:r w:rsidRPr="0083788E">
        <w:rPr>
          <w:rFonts w:eastAsiaTheme="minorEastAsia"/>
          <w:iCs/>
          <w:snapToGrid w:val="0"/>
          <w:color w:val="000000"/>
          <w:kern w:val="22"/>
          <w:lang w:val="en-GB" w:eastAsia="zh-CN"/>
        </w:rPr>
        <w:t>，可能情况下用户应酌情考虑采取特殊措施解决惠益分享问题。</w:t>
      </w:r>
      <w:r w:rsidRPr="0083788E">
        <w:rPr>
          <w:rFonts w:eastAsiaTheme="minorEastAsia"/>
          <w:snapToGrid w:val="0"/>
          <w:kern w:val="22"/>
          <w:lang w:val="en-GB" w:eastAsia="zh-CN"/>
        </w:rPr>
        <w:t>这些</w:t>
      </w:r>
      <w:r w:rsidRPr="0083788E">
        <w:rPr>
          <w:rFonts w:eastAsiaTheme="minorEastAsia"/>
          <w:iCs/>
          <w:snapToGrid w:val="0"/>
          <w:color w:val="000000"/>
          <w:kern w:val="22"/>
          <w:lang w:val="en-GB" w:eastAsia="zh-CN"/>
        </w:rPr>
        <w:t>措施可包括：</w:t>
      </w:r>
      <w:r w:rsidRPr="0083788E">
        <w:rPr>
          <w:rFonts w:eastAsiaTheme="minorEastAsia"/>
          <w:iCs/>
          <w:snapToGrid w:val="0"/>
          <w:color w:val="000000"/>
          <w:kern w:val="22"/>
          <w:lang w:val="en-GB" w:eastAsia="zh-CN"/>
        </w:rPr>
        <w:t xml:space="preserve">(a) </w:t>
      </w:r>
      <w:r w:rsidRPr="0083788E">
        <w:rPr>
          <w:rFonts w:eastAsiaTheme="minorEastAsia"/>
          <w:iCs/>
          <w:snapToGrid w:val="0"/>
          <w:color w:val="000000"/>
          <w:kern w:val="22"/>
          <w:lang w:val="en-GB" w:eastAsia="zh-CN"/>
        </w:rPr>
        <w:t>为持续使用的补偿或</w:t>
      </w:r>
      <w:r w:rsidRPr="0083788E">
        <w:rPr>
          <w:rFonts w:eastAsiaTheme="minorEastAsia"/>
          <w:iCs/>
          <w:snapToGrid w:val="0"/>
          <w:kern w:val="22"/>
          <w:lang w:val="en-GB" w:eastAsia="zh-CN"/>
        </w:rPr>
        <w:t>公平和公正的</w:t>
      </w:r>
      <w:r w:rsidRPr="0083788E">
        <w:rPr>
          <w:rFonts w:eastAsiaTheme="minorEastAsia"/>
          <w:iCs/>
          <w:snapToGrid w:val="0"/>
          <w:color w:val="000000"/>
          <w:kern w:val="22"/>
          <w:lang w:val="en-GB" w:eastAsia="zh-CN"/>
        </w:rPr>
        <w:t>惠益分享；</w:t>
      </w:r>
      <w:r w:rsidRPr="0083788E">
        <w:rPr>
          <w:rFonts w:eastAsiaTheme="minorEastAsia"/>
          <w:iCs/>
          <w:snapToGrid w:val="0"/>
          <w:color w:val="000000"/>
          <w:kern w:val="22"/>
          <w:lang w:val="en-GB" w:eastAsia="zh-CN"/>
        </w:rPr>
        <w:t xml:space="preserve">(b) </w:t>
      </w:r>
      <w:r w:rsidRPr="0083788E">
        <w:rPr>
          <w:rFonts w:eastAsiaTheme="minorEastAsia"/>
          <w:iCs/>
          <w:snapToGrid w:val="0"/>
          <w:color w:val="000000"/>
          <w:kern w:val="22"/>
          <w:lang w:val="en-GB" w:eastAsia="zh-CN"/>
        </w:rPr>
        <w:t>鼓励现有用户寻求事先和知情同意，自由、事先和知情同意或核准和参与，并签订关于公平惠益分享的共同商定的条件；</w:t>
      </w:r>
      <w:r w:rsidRPr="0083788E">
        <w:rPr>
          <w:rFonts w:eastAsiaTheme="minorEastAsia"/>
          <w:iCs/>
          <w:snapToGrid w:val="0"/>
          <w:color w:val="000000"/>
          <w:kern w:val="22"/>
          <w:lang w:val="en-GB" w:eastAsia="zh-CN"/>
        </w:rPr>
        <w:t xml:space="preserve">(c) </w:t>
      </w:r>
      <w:r w:rsidRPr="0083788E">
        <w:rPr>
          <w:rFonts w:eastAsiaTheme="minorEastAsia"/>
          <w:iCs/>
          <w:snapToGrid w:val="0"/>
          <w:color w:val="000000"/>
          <w:kern w:val="22"/>
          <w:lang w:val="en-GB" w:eastAsia="zh-CN"/>
        </w:rPr>
        <w:t>凡可行时，根据适用的法律，将权利归还给知识的原始持有人；或</w:t>
      </w:r>
      <w:r w:rsidRPr="0083788E">
        <w:rPr>
          <w:rFonts w:eastAsiaTheme="minorEastAsia"/>
          <w:iCs/>
          <w:snapToGrid w:val="0"/>
          <w:color w:val="000000"/>
          <w:kern w:val="22"/>
          <w:lang w:val="en-GB" w:eastAsia="zh-CN"/>
        </w:rPr>
        <w:t xml:space="preserve"> (d) </w:t>
      </w:r>
      <w:r w:rsidRPr="0083788E">
        <w:rPr>
          <w:rFonts w:eastAsiaTheme="minorEastAsia"/>
          <w:iCs/>
          <w:snapToGrid w:val="0"/>
          <w:color w:val="000000"/>
          <w:kern w:val="22"/>
          <w:lang w:val="en-GB" w:eastAsia="zh-CN"/>
        </w:rPr>
        <w:t>制定机制公正和公平地分享收集或使用了一个特定时期或持续使用的传统知识所产生的惠益。</w:t>
      </w:r>
      <w:r w:rsidRPr="0083788E">
        <w:rPr>
          <w:rFonts w:eastAsiaTheme="minorEastAsia"/>
          <w:lang w:val="en-GB" w:eastAsia="zh-CN"/>
        </w:rPr>
        <w:t>在此情况下，惠益应该尽最大可能与有关土著和地方社区的文化和社会背景及其需要和愿望相称。除非已达成共同商定的条款，在已为商业或非商业目的获取和利用传统知识的情况下，也应鼓励公平和公正的惠益分享。</w:t>
      </w:r>
      <w:r w:rsidRPr="0083788E">
        <w:rPr>
          <w:rFonts w:eastAsiaTheme="minorEastAsia"/>
          <w:snapToGrid w:val="0"/>
          <w:kern w:val="18"/>
          <w:vertAlign w:val="superscript"/>
          <w:lang w:val="en-CA" w:eastAsia="en-CA"/>
        </w:rPr>
        <w:footnoteReference w:id="212"/>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lang w:val="en-GB" w:eastAsia="zh-CN"/>
        </w:rPr>
        <w:t>同样关于惠益分享问题，缔约方大会在其第</w:t>
      </w:r>
      <w:r w:rsidRPr="0083788E">
        <w:rPr>
          <w:rFonts w:eastAsiaTheme="minorEastAsia"/>
          <w:lang w:val="en-GB" w:eastAsia="zh-CN"/>
        </w:rPr>
        <w:t>XIII/18</w:t>
      </w:r>
      <w:r w:rsidRPr="0083788E">
        <w:rPr>
          <w:rFonts w:eastAsiaTheme="minorEastAsia"/>
          <w:lang w:val="en-GB" w:eastAsia="zh-CN"/>
        </w:rPr>
        <w:t>号决定中通过了《生命之根传统知识自愿准则》，其中载有关于可能同样适用于返还和持续使用情况的惠益分享的咨询意见。</w:t>
      </w:r>
    </w:p>
    <w:p w:rsidR="00772406" w:rsidRPr="0083788E" w:rsidRDefault="00772406" w:rsidP="001A42F8">
      <w:pPr>
        <w:numPr>
          <w:ilvl w:val="0"/>
          <w:numId w:val="203"/>
        </w:numPr>
        <w:suppressLineNumbers/>
        <w:suppressAutoHyphens/>
        <w:adjustRightInd w:val="0"/>
        <w:snapToGrid w:val="0"/>
        <w:ind w:left="0" w:firstLine="0"/>
        <w:rPr>
          <w:rFonts w:eastAsiaTheme="minorEastAsia"/>
          <w:lang w:val="en-GB" w:eastAsia="zh-CN"/>
        </w:rPr>
      </w:pPr>
      <w:r w:rsidRPr="0083788E">
        <w:rPr>
          <w:rFonts w:eastAsiaTheme="minorEastAsia"/>
          <w:lang w:val="en-GB" w:eastAsia="zh-CN"/>
        </w:rPr>
        <w:t>同样关于获得和使用可公开获得的传统知识的问题，《生命之根传统知识自愿准则》载有关于</w:t>
      </w:r>
      <w:r w:rsidRPr="0083788E">
        <w:rPr>
          <w:rFonts w:asciiTheme="minorEastAsia" w:eastAsiaTheme="minorEastAsia" w:hAnsiTheme="minorEastAsia"/>
          <w:lang w:val="en-GB" w:eastAsia="zh-CN"/>
        </w:rPr>
        <w:t>“事先知情同意”、“自由，事先和知情同意”或“核准和参与”的咨询意见，适用于返还传统知识和保护、可持续利用生物多样性</w:t>
      </w:r>
      <w:r w:rsidRPr="0083788E">
        <w:rPr>
          <w:rFonts w:eastAsiaTheme="minorEastAsia"/>
          <w:lang w:val="en-GB" w:eastAsia="zh-CN"/>
        </w:rPr>
        <w:t>。</w:t>
      </w:r>
    </w:p>
    <w:p w:rsidR="00772406" w:rsidRPr="0083788E" w:rsidRDefault="00772406" w:rsidP="001A42F8">
      <w:pPr>
        <w:numPr>
          <w:ilvl w:val="0"/>
          <w:numId w:val="203"/>
        </w:numPr>
        <w:suppressLineNumber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顾及</w:t>
      </w:r>
      <w:r w:rsidRPr="0083788E">
        <w:rPr>
          <w:rFonts w:eastAsiaTheme="minorEastAsia"/>
          <w:iCs/>
          <w:snapToGrid w:val="0"/>
          <w:color w:val="000000"/>
          <w:kern w:val="22"/>
          <w:lang w:val="en-GB" w:eastAsia="zh-CN"/>
        </w:rPr>
        <w:t>《</w:t>
      </w:r>
      <w:r w:rsidRPr="0083788E">
        <w:rPr>
          <w:rFonts w:eastAsiaTheme="minorEastAsia"/>
          <w:lang w:val="en-GB" w:eastAsia="zh-CN"/>
        </w:rPr>
        <w:t>卢佐利希里沙希克自愿</w:t>
      </w:r>
      <w:r w:rsidRPr="0083788E">
        <w:rPr>
          <w:rFonts w:eastAsiaTheme="minorEastAsia"/>
          <w:iCs/>
          <w:snapToGrid w:val="0"/>
          <w:color w:val="000000"/>
          <w:kern w:val="22"/>
          <w:lang w:val="en-GB" w:eastAsia="zh-CN"/>
        </w:rPr>
        <w:t>准则》</w:t>
      </w:r>
      <w:r w:rsidRPr="0083788E">
        <w:rPr>
          <w:rFonts w:eastAsiaTheme="minorEastAsia"/>
          <w:snapToGrid w:val="0"/>
          <w:color w:val="000000"/>
          <w:kern w:val="22"/>
          <w:lang w:val="en-GB" w:eastAsia="zh-CN"/>
        </w:rPr>
        <w:t>的性质是加强传统知识的返还，其最终目标是将与保护和可持续利用相关的传统知识返还和恢复给知识原始持有人，因此，重要的是在这些准则范围内有关</w:t>
      </w:r>
      <w:r w:rsidRPr="0083788E">
        <w:rPr>
          <w:rFonts w:eastAsiaTheme="minorEastAsia"/>
          <w:snapToGrid w:val="0"/>
          <w:kern w:val="22"/>
          <w:lang w:val="en-GB" w:eastAsia="zh-CN"/>
        </w:rPr>
        <w:t>公平</w:t>
      </w:r>
      <w:r w:rsidRPr="0083788E">
        <w:rPr>
          <w:rFonts w:eastAsiaTheme="minorEastAsia"/>
          <w:snapToGrid w:val="0"/>
          <w:color w:val="000000"/>
          <w:kern w:val="22"/>
          <w:lang w:val="en-GB" w:eastAsia="zh-CN"/>
        </w:rPr>
        <w:t>公正惠益分享的任何讨论都不减损返还和恢复与保护和可持续利用生物多样性有关知识的总体惠益。</w:t>
      </w:r>
    </w:p>
    <w:p w:rsidR="00772406" w:rsidRPr="0083788E" w:rsidRDefault="00772406" w:rsidP="001A42F8">
      <w:pPr>
        <w:keepNext/>
        <w:widowControl w:val="0"/>
        <w:numPr>
          <w:ilvl w:val="0"/>
          <w:numId w:val="202"/>
        </w:numPr>
        <w:suppressLineNumbers/>
        <w:suppressAutoHyphens/>
        <w:adjustRightInd w:val="0"/>
        <w:snapToGrid w:val="0"/>
        <w:ind w:left="0" w:firstLine="0"/>
        <w:jc w:val="center"/>
        <w:rPr>
          <w:rFonts w:ascii="KaiTi" w:eastAsia="KaiTi" w:hAnsi="KaiTi"/>
          <w:iCs/>
          <w:snapToGrid w:val="0"/>
          <w:color w:val="000000"/>
          <w:kern w:val="22"/>
          <w:lang w:val="en-GB" w:eastAsia="zh-CN"/>
        </w:rPr>
      </w:pPr>
      <w:r w:rsidRPr="0083788E">
        <w:rPr>
          <w:rFonts w:ascii="KaiTi" w:eastAsia="KaiTi" w:hAnsi="KaiTi"/>
          <w:iCs/>
          <w:snapToGrid w:val="0"/>
          <w:color w:val="000000"/>
          <w:kern w:val="22"/>
          <w:lang w:val="en-GB" w:eastAsia="zh-CN"/>
        </w:rPr>
        <w:lastRenderedPageBreak/>
        <w:t>秘密或神圣或针对具体性别的知识</w:t>
      </w:r>
    </w:p>
    <w:p w:rsidR="00772406" w:rsidRPr="0083788E" w:rsidRDefault="00772406" w:rsidP="001A42F8">
      <w:pPr>
        <w:numPr>
          <w:ilvl w:val="0"/>
          <w:numId w:val="203"/>
        </w:numPr>
        <w:suppressLineNumbers/>
        <w:suppressAutoHyphens/>
        <w:adjustRightInd w:val="0"/>
        <w:snapToGrid w:val="0"/>
        <w:ind w:left="0" w:firstLine="0"/>
        <w:rPr>
          <w:rFonts w:eastAsiaTheme="minorEastAsia"/>
          <w:lang w:val="en-GB" w:eastAsia="zh-CN"/>
        </w:rPr>
      </w:pPr>
      <w:r w:rsidRPr="0083788E">
        <w:rPr>
          <w:rFonts w:eastAsiaTheme="minorEastAsia"/>
          <w:snapToGrid w:val="0"/>
          <w:kern w:val="22"/>
          <w:lang w:val="en-GB" w:eastAsia="zh-CN"/>
        </w:rPr>
        <w:t>返还机构和实体以及接收社区都需要特别考虑秘密或神圣或针对具体性别的知识，因为若干秘密或神圣知识有可能只被被某些个人看见或获得。因此，土著人民和地方社区充分有效参与确定这一信息的原有持有人非常重要。例如，图书馆、档案馆和信息服务中心的某些材料是秘密或敏感的，出于监管、商业、保护、安全或社区原因可能需要对访问实行某些限制。</w:t>
      </w:r>
      <w:r w:rsidRPr="0083788E">
        <w:rPr>
          <w:rFonts w:eastAsiaTheme="minorEastAsia"/>
          <w:snapToGrid w:val="0"/>
          <w:kern w:val="18"/>
          <w:vertAlign w:val="superscript"/>
          <w:lang w:val="en-CA" w:eastAsia="en-CA"/>
        </w:rPr>
        <w:footnoteReference w:id="213"/>
      </w:r>
      <w:r w:rsidRPr="0083788E">
        <w:rPr>
          <w:rFonts w:eastAsiaTheme="minorEastAsia"/>
          <w:snapToGrid w:val="0"/>
          <w:kern w:val="18"/>
          <w:vertAlign w:val="superscript"/>
          <w:lang w:val="en-CA" w:eastAsia="zh-CN"/>
        </w:rPr>
        <w:t xml:space="preserve"> </w:t>
      </w:r>
      <w:r w:rsidRPr="0083788E">
        <w:rPr>
          <w:rFonts w:eastAsiaTheme="minorEastAsia"/>
          <w:snapToGrid w:val="0"/>
          <w:kern w:val="22"/>
          <w:lang w:val="en-GB" w:eastAsia="zh-CN"/>
        </w:rPr>
        <w:t>适当的管理做法将视材料和这些组织所服务的社区而定。针对具体性别的传统知识和相关信息应由文化适宜的人员访问，接收社区可以对此提出咨询意见。</w:t>
      </w:r>
      <w:r w:rsidRPr="0083788E">
        <w:rPr>
          <w:rFonts w:eastAsiaTheme="minorEastAsia"/>
          <w:snapToGrid w:val="0"/>
          <w:kern w:val="18"/>
          <w:vertAlign w:val="superscript"/>
          <w:lang w:val="en-CA" w:eastAsia="en-CA"/>
        </w:rPr>
        <w:footnoteReference w:id="214"/>
      </w:r>
      <w:r w:rsidRPr="0083788E">
        <w:rPr>
          <w:rFonts w:eastAsiaTheme="minorEastAsia"/>
          <w:snapToGrid w:val="0"/>
          <w:kern w:val="22"/>
          <w:u w:val="single"/>
          <w:lang w:val="en-GB" w:eastAsia="zh-CN"/>
        </w:rPr>
        <w:t xml:space="preserve"> </w:t>
      </w:r>
    </w:p>
    <w:p w:rsidR="00772406" w:rsidRPr="0083788E" w:rsidRDefault="00772406" w:rsidP="0083788E">
      <w:pPr>
        <w:suppressLineNumbers/>
        <w:suppressAutoHyphens/>
        <w:adjustRightInd w:val="0"/>
        <w:snapToGrid w:val="0"/>
        <w:ind w:firstLine="0"/>
        <w:jc w:val="center"/>
        <w:rPr>
          <w:rFonts w:eastAsiaTheme="minorEastAsia"/>
          <w:b/>
          <w:iCs/>
          <w:snapToGrid w:val="0"/>
          <w:color w:val="000000"/>
          <w:kern w:val="22"/>
          <w:lang w:val="en-GB" w:eastAsia="zh-CN"/>
        </w:rPr>
      </w:pPr>
      <w:r w:rsidRPr="0083788E">
        <w:rPr>
          <w:rFonts w:eastAsiaTheme="minorEastAsia"/>
          <w:b/>
          <w:lang w:val="en-GB" w:eastAsia="zh-CN"/>
        </w:rPr>
        <w:t>C.</w:t>
      </w:r>
      <w:r w:rsidRPr="0083788E">
        <w:rPr>
          <w:rFonts w:eastAsiaTheme="minorEastAsia"/>
          <w:b/>
          <w:lang w:val="en-GB" w:eastAsia="zh-CN"/>
        </w:rPr>
        <w:tab/>
      </w:r>
      <w:r w:rsidRPr="0083788E">
        <w:rPr>
          <w:rFonts w:eastAsiaTheme="minorEastAsia"/>
          <w:b/>
          <w:lang w:val="en-GB" w:eastAsia="zh-CN"/>
        </w:rPr>
        <w:t>可能协助返还传统知识的机制</w:t>
      </w:r>
    </w:p>
    <w:p w:rsidR="00772406" w:rsidRPr="0083788E" w:rsidRDefault="00772406" w:rsidP="001A42F8">
      <w:pPr>
        <w:keepNext/>
        <w:widowControl w:val="0"/>
        <w:numPr>
          <w:ilvl w:val="0"/>
          <w:numId w:val="202"/>
        </w:numPr>
        <w:suppressLineNumbers/>
        <w:suppressAutoHyphens/>
        <w:adjustRightInd w:val="0"/>
        <w:snapToGrid w:val="0"/>
        <w:ind w:left="0" w:firstLine="0"/>
        <w:jc w:val="center"/>
        <w:rPr>
          <w:rFonts w:ascii="KaiTi" w:eastAsia="KaiTi" w:hAnsi="KaiTi"/>
          <w:iCs/>
          <w:snapToGrid w:val="0"/>
          <w:color w:val="000000"/>
          <w:kern w:val="22"/>
          <w:lang w:val="en-GB" w:eastAsia="zh-CN"/>
        </w:rPr>
      </w:pPr>
      <w:r w:rsidRPr="0083788E">
        <w:rPr>
          <w:rFonts w:ascii="KaiTi" w:eastAsia="KaiTi" w:hAnsi="KaiTi"/>
          <w:iCs/>
          <w:snapToGrid w:val="0"/>
          <w:color w:val="000000"/>
          <w:kern w:val="22"/>
          <w:lang w:val="en-GB" w:eastAsia="zh-CN"/>
        </w:rPr>
        <w:t xml:space="preserve"> 社区之间的交流</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通常，社区间的交流使得保留了传统知识的社区与丧失了传统知识的其他社区共享知识，</w:t>
      </w:r>
      <w:r w:rsidRPr="0083788E">
        <w:rPr>
          <w:rFonts w:eastAsiaTheme="minorEastAsia"/>
          <w:snapToGrid w:val="0"/>
          <w:kern w:val="22"/>
          <w:lang w:val="en-GB" w:eastAsia="zh-CN"/>
        </w:rPr>
        <w:t>并以文化适宜的方式共享</w:t>
      </w:r>
      <w:r w:rsidRPr="0083788E">
        <w:rPr>
          <w:rFonts w:eastAsiaTheme="minorEastAsia"/>
          <w:iCs/>
          <w:snapToGrid w:val="0"/>
          <w:color w:val="000000"/>
          <w:kern w:val="22"/>
          <w:lang w:val="en-GB" w:eastAsia="zh-CN"/>
        </w:rPr>
        <w:t>。</w:t>
      </w:r>
    </w:p>
    <w:p w:rsidR="00772406" w:rsidRPr="0083788E" w:rsidRDefault="00772406" w:rsidP="001A42F8">
      <w:pPr>
        <w:numPr>
          <w:ilvl w:val="0"/>
          <w:numId w:val="203"/>
        </w:numPr>
        <w:suppressLineNumbers/>
        <w:suppressAutoHyphens/>
        <w:adjustRightInd w:val="0"/>
        <w:snapToGrid w:val="0"/>
        <w:ind w:left="0" w:firstLine="0"/>
        <w:rPr>
          <w:rFonts w:eastAsiaTheme="minorEastAsia"/>
          <w:snapToGrid w:val="0"/>
          <w:color w:val="000000"/>
          <w:kern w:val="22"/>
          <w:lang w:val="en-GB" w:eastAsia="zh-CN"/>
        </w:rPr>
      </w:pPr>
      <w:r w:rsidRPr="0083788E">
        <w:rPr>
          <w:rFonts w:eastAsiaTheme="minorEastAsia"/>
          <w:snapToGrid w:val="0"/>
          <w:color w:val="000000"/>
          <w:kern w:val="22"/>
          <w:lang w:val="en-GB" w:eastAsia="zh-CN"/>
        </w:rPr>
        <w:t>社区之间</w:t>
      </w:r>
      <w:r w:rsidRPr="0083788E">
        <w:rPr>
          <w:rFonts w:eastAsiaTheme="minorEastAsia"/>
          <w:iCs/>
          <w:snapToGrid w:val="0"/>
          <w:color w:val="000000"/>
          <w:kern w:val="22"/>
          <w:lang w:val="en-GB" w:eastAsia="zh-CN"/>
        </w:rPr>
        <w:t>为</w:t>
      </w:r>
      <w:r w:rsidRPr="0083788E">
        <w:rPr>
          <w:rFonts w:eastAsiaTheme="minorEastAsia"/>
          <w:snapToGrid w:val="0"/>
          <w:color w:val="000000"/>
          <w:kern w:val="22"/>
          <w:lang w:val="en-GB" w:eastAsia="zh-CN"/>
        </w:rPr>
        <w:t>恢复知识进行交流越来越受欢迎并且取得成功，这种交流可涵盖的问题有消防管理、水管理、社区保护区、就地保护（传统饮食、人类健康和福祉）、社区资源</w:t>
      </w:r>
      <w:r w:rsidRPr="0083788E">
        <w:rPr>
          <w:rFonts w:eastAsiaTheme="minorEastAsia"/>
          <w:snapToGrid w:val="0"/>
          <w:kern w:val="22"/>
          <w:lang w:val="en-GB" w:eastAsia="zh-CN"/>
        </w:rPr>
        <w:t>绘图</w:t>
      </w:r>
      <w:r w:rsidRPr="0083788E">
        <w:rPr>
          <w:rFonts w:eastAsiaTheme="minorEastAsia"/>
          <w:snapToGrid w:val="0"/>
          <w:color w:val="000000"/>
          <w:kern w:val="22"/>
          <w:lang w:val="en-GB" w:eastAsia="zh-CN"/>
        </w:rPr>
        <w:t>和监测、可持续</w:t>
      </w:r>
      <w:r w:rsidRPr="0083788E">
        <w:rPr>
          <w:rFonts w:eastAsiaTheme="minorEastAsia"/>
          <w:snapToGrid w:val="0"/>
          <w:kern w:val="22"/>
          <w:lang w:val="en-GB" w:eastAsia="zh-CN"/>
        </w:rPr>
        <w:t>生物多样性</w:t>
      </w:r>
      <w:r w:rsidRPr="0083788E">
        <w:rPr>
          <w:rFonts w:eastAsiaTheme="minorEastAsia"/>
          <w:snapToGrid w:val="0"/>
          <w:color w:val="000000"/>
          <w:kern w:val="22"/>
          <w:lang w:val="en-GB" w:eastAsia="zh-CN"/>
        </w:rPr>
        <w:t>管理包括狩猎和采集管理系统、文化遗产活动、监测物种和栖息地的健康状况、遵守情况的巡视以及对陆地和海洋管理员进行加强保护和管理保护区的战略的培训和咨询。</w:t>
      </w:r>
    </w:p>
    <w:p w:rsidR="00772406" w:rsidRPr="0083788E" w:rsidRDefault="00772406" w:rsidP="001A42F8">
      <w:pPr>
        <w:numPr>
          <w:ilvl w:val="0"/>
          <w:numId w:val="203"/>
        </w:numPr>
        <w:suppressLineNumbers/>
        <w:suppressAutoHyphens/>
        <w:adjustRightInd w:val="0"/>
        <w:snapToGrid w:val="0"/>
        <w:ind w:left="0" w:firstLine="0"/>
        <w:rPr>
          <w:rFonts w:eastAsiaTheme="minorEastAsia"/>
          <w:lang w:val="en-GB" w:eastAsia="zh-CN"/>
        </w:rPr>
      </w:pPr>
      <w:r w:rsidRPr="0083788E">
        <w:rPr>
          <w:rFonts w:eastAsiaTheme="minorEastAsia"/>
          <w:lang w:val="en-GB" w:eastAsia="zh-CN"/>
        </w:rPr>
        <w:t>鼓励传统知识完整的社区通过社区之间的交流分享并协助其他社区恢复其传统知识，包括在跨界情况下这样做，并以文化适当的方式进行。应鼓励社区之间的交流和学习以便返还和恢复传统知识。</w:t>
      </w:r>
    </w:p>
    <w:p w:rsidR="00772406" w:rsidRPr="0083788E" w:rsidRDefault="00772406" w:rsidP="001A42F8">
      <w:pPr>
        <w:numPr>
          <w:ilvl w:val="0"/>
          <w:numId w:val="203"/>
        </w:numPr>
        <w:suppressLineNumbers/>
        <w:suppressAutoHyphens/>
        <w:adjustRightInd w:val="0"/>
        <w:snapToGrid w:val="0"/>
        <w:ind w:left="0" w:firstLine="0"/>
        <w:rPr>
          <w:rFonts w:eastAsiaTheme="minorEastAsia"/>
          <w:lang w:val="en-GB" w:eastAsia="zh-CN"/>
        </w:rPr>
      </w:pPr>
      <w:r w:rsidRPr="0083788E">
        <w:rPr>
          <w:rFonts w:eastAsiaTheme="minorEastAsia"/>
          <w:lang w:val="en-GB" w:eastAsia="zh-CN"/>
        </w:rPr>
        <w:t>社区之间通过交流返还、接收和恢复与保护和可持续利用生物多样性相关的传统知识，被视为是返还和知识恢复的一种最佳做法。鼓励有意或参与返还方考虑到这一点，并在可行和适当情况下支持这种社区驱动的举措。</w:t>
      </w:r>
    </w:p>
    <w:p w:rsidR="00772406" w:rsidRPr="0083788E" w:rsidRDefault="00772406" w:rsidP="001A42F8">
      <w:pPr>
        <w:numPr>
          <w:ilvl w:val="0"/>
          <w:numId w:val="203"/>
        </w:numPr>
        <w:suppressLineNumbers/>
        <w:suppressAutoHyphens/>
        <w:adjustRightInd w:val="0"/>
        <w:snapToGrid w:val="0"/>
        <w:ind w:left="0" w:firstLine="0"/>
        <w:rPr>
          <w:rFonts w:eastAsiaTheme="minorEastAsia"/>
          <w:snapToGrid w:val="0"/>
          <w:color w:val="000000"/>
          <w:kern w:val="22"/>
          <w:lang w:val="en-GB" w:eastAsia="zh-CN"/>
        </w:rPr>
      </w:pPr>
      <w:r w:rsidRPr="0083788E">
        <w:rPr>
          <w:rFonts w:eastAsiaTheme="minorEastAsia"/>
          <w:lang w:val="en-GB" w:eastAsia="zh-CN"/>
        </w:rPr>
        <w:t>共享共同资源或生态系统的社区之间的传统使用协议</w:t>
      </w:r>
      <w:r w:rsidRPr="0083788E">
        <w:rPr>
          <w:rFonts w:eastAsiaTheme="minorEastAsia"/>
          <w:iCs/>
          <w:snapToGrid w:val="0"/>
          <w:color w:val="000000"/>
          <w:kern w:val="22"/>
          <w:lang w:val="en-GB" w:eastAsia="zh-CN"/>
        </w:rPr>
        <w:t>，是对社区间交流的补充。传统使用协议可有助于确保对习惯法，包括占据共同地区或生态系统和（或）共享共同自然或生物资源不同群体的有关的传统知识、权利和义务有统一的理解，</w:t>
      </w:r>
      <w:r w:rsidRPr="0083788E">
        <w:rPr>
          <w:rFonts w:eastAsiaTheme="minorEastAsia"/>
          <w:snapToGrid w:val="0"/>
          <w:kern w:val="22"/>
          <w:lang w:val="en-GB" w:eastAsia="zh-CN"/>
        </w:rPr>
        <w:t>以此协助恢复关于可持续利用共同的自然或生物资源和共享的生态系统的传统知识</w:t>
      </w:r>
      <w:r w:rsidRPr="0083788E">
        <w:rPr>
          <w:rFonts w:eastAsiaTheme="minorEastAsia"/>
          <w:iCs/>
          <w:snapToGrid w:val="0"/>
          <w:color w:val="000000"/>
          <w:kern w:val="22"/>
          <w:lang w:val="en-GB" w:eastAsia="zh-CN"/>
        </w:rPr>
        <w:t>。这些协议描述了每个群体将如何管理其自然资源和它们在遵守活动及监测环境状况中的作用。因此，传统使用协议可有助于社区自身返还传统知识，目的是恢复各共同生态系统的知识体系</w:t>
      </w:r>
      <w:r w:rsidRPr="0083788E">
        <w:rPr>
          <w:rFonts w:eastAsiaTheme="minorEastAsia"/>
          <w:snapToGrid w:val="0"/>
          <w:color w:val="000000"/>
          <w:kern w:val="22"/>
          <w:lang w:val="en-GB" w:eastAsia="zh-CN"/>
        </w:rPr>
        <w:t>。</w:t>
      </w:r>
    </w:p>
    <w:p w:rsidR="00772406" w:rsidRPr="0083788E" w:rsidRDefault="00772406" w:rsidP="001A42F8">
      <w:pPr>
        <w:keepNext/>
        <w:widowControl w:val="0"/>
        <w:numPr>
          <w:ilvl w:val="0"/>
          <w:numId w:val="202"/>
        </w:numPr>
        <w:suppressLineNumbers/>
        <w:suppressAutoHyphens/>
        <w:adjustRightInd w:val="0"/>
        <w:snapToGrid w:val="0"/>
        <w:ind w:left="0" w:firstLine="0"/>
        <w:jc w:val="center"/>
        <w:rPr>
          <w:rFonts w:ascii="KaiTi" w:eastAsia="KaiTi" w:hAnsi="KaiTi"/>
          <w:snapToGrid w:val="0"/>
          <w:color w:val="000000"/>
          <w:kern w:val="22"/>
          <w:lang w:val="en-GB" w:eastAsia="zh-CN"/>
        </w:rPr>
      </w:pPr>
      <w:r w:rsidRPr="0083788E">
        <w:rPr>
          <w:rFonts w:ascii="KaiTi" w:eastAsia="KaiTi" w:hAnsi="KaiTi"/>
          <w:iCs/>
          <w:snapToGrid w:val="0"/>
          <w:color w:val="000000"/>
          <w:kern w:val="22"/>
          <w:lang w:val="en-GB" w:eastAsia="zh-CN"/>
        </w:rPr>
        <w:lastRenderedPageBreak/>
        <w:t xml:space="preserve"> 知识共享平台</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lang w:val="en-GB" w:eastAsia="zh-CN"/>
        </w:rPr>
        <w:t>有意返还知识的缔约方</w:t>
      </w:r>
      <w:r w:rsidRPr="0083788E">
        <w:rPr>
          <w:rFonts w:eastAsiaTheme="minorEastAsia"/>
          <w:iCs/>
          <w:snapToGrid w:val="0"/>
          <w:color w:val="000000"/>
          <w:kern w:val="22"/>
          <w:lang w:val="en-GB" w:eastAsia="zh-CN"/>
        </w:rPr>
        <w:t>、机构和实体以及土著人民和地方社区不妨考虑在相关层级和以相关规模设立国家或地方知识共享平台，同时亦顾及相关方，包括旨在改善自然资源可持续管理的社区意见方案。</w:t>
      </w:r>
      <w:r w:rsidRPr="0083788E">
        <w:rPr>
          <w:rFonts w:eastAsiaTheme="minorEastAsia"/>
          <w:snapToGrid w:val="0"/>
          <w:kern w:val="22"/>
          <w:lang w:val="en-GB" w:eastAsia="zh-CN"/>
        </w:rPr>
        <w:t>这些可以协助共享生态系统和自然和生物资源的社区对相关习惯法和传统知识有共同的理解</w:t>
      </w:r>
      <w:r w:rsidRPr="0083788E">
        <w:rPr>
          <w:rFonts w:eastAsiaTheme="minorEastAsia"/>
          <w:iCs/>
          <w:snapToGrid w:val="0"/>
          <w:color w:val="000000"/>
          <w:kern w:val="22"/>
          <w:lang w:val="en-GB" w:eastAsia="zh-CN"/>
        </w:rPr>
        <w:t>，以确保可持续利用。</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lang w:val="en-GB" w:eastAsia="zh-CN"/>
        </w:rPr>
        <w:t>传统知识连同社区意见可以为管理行动提供信息</w:t>
      </w:r>
      <w:r w:rsidRPr="0083788E">
        <w:rPr>
          <w:rFonts w:eastAsiaTheme="minorEastAsia"/>
          <w:iCs/>
          <w:snapToGrid w:val="0"/>
          <w:color w:val="000000"/>
          <w:kern w:val="22"/>
          <w:lang w:val="en-GB" w:eastAsia="zh-CN"/>
        </w:rPr>
        <w:t>，例如某些物种的狩猎和捕鱼季节的变化、采集植物和动物的配额变化，以确保可持续利用并修正地方法和附则，例如限制捕鱼方法和可以使用的设备。</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lang w:val="en-GB" w:eastAsia="zh-CN"/>
        </w:rPr>
        <w:t>同样</w:t>
      </w:r>
      <w:r w:rsidRPr="0083788E">
        <w:rPr>
          <w:rFonts w:eastAsiaTheme="minorEastAsia"/>
          <w:iCs/>
          <w:snapToGrid w:val="0"/>
          <w:color w:val="000000"/>
          <w:kern w:val="22"/>
          <w:lang w:val="en-GB" w:eastAsia="zh-CN"/>
        </w:rPr>
        <w:t>，国际知识共享平台也有助于传统知识、创新、做法和意见的分享，使可能已丧失相关知识的社区以切实的方式恢复和使用知识，有助于有效管理和可持续利用生物资源。</w:t>
      </w:r>
    </w:p>
    <w:p w:rsidR="00772406" w:rsidRPr="0083788E" w:rsidRDefault="00772406" w:rsidP="001A42F8">
      <w:pPr>
        <w:numPr>
          <w:ilvl w:val="0"/>
          <w:numId w:val="203"/>
        </w:numPr>
        <w:suppressLineNumbers/>
        <w:suppressAutoHyphens/>
        <w:adjustRightInd w:val="0"/>
        <w:snapToGrid w:val="0"/>
        <w:ind w:left="0" w:firstLine="0"/>
        <w:rPr>
          <w:rFonts w:eastAsiaTheme="minorEastAsia"/>
          <w:iCs/>
          <w:snapToGrid w:val="0"/>
          <w:color w:val="000000"/>
          <w:kern w:val="22"/>
          <w:lang w:val="en-GB" w:eastAsia="zh-CN"/>
        </w:rPr>
      </w:pPr>
      <w:r w:rsidRPr="0083788E">
        <w:rPr>
          <w:rFonts w:eastAsiaTheme="minorEastAsia"/>
          <w:iCs/>
          <w:snapToGrid w:val="0"/>
          <w:color w:val="000000"/>
          <w:kern w:val="22"/>
          <w:lang w:val="en-GB" w:eastAsia="zh-CN"/>
        </w:rPr>
        <w:t>由土著人民和地方社区有效参与下开发的相关规模的知识共享平台可以协助社区交流知识和信息，目的是恢复共享生态系统的传统知识，以保护和可持续利用自然资源。</w:t>
      </w:r>
      <w:r w:rsidRPr="0083788E">
        <w:rPr>
          <w:rFonts w:eastAsiaTheme="minorEastAsia"/>
          <w:iCs/>
          <w:snapToGrid w:val="0"/>
          <w:color w:val="000000"/>
          <w:kern w:val="22"/>
          <w:lang w:val="en-GB" w:eastAsia="zh-CN"/>
        </w:rPr>
        <w:t xml:space="preserve"> </w:t>
      </w:r>
    </w:p>
    <w:p w:rsidR="00772406" w:rsidRDefault="00772406">
      <w:pPr>
        <w:rPr>
          <w:snapToGrid w:val="0"/>
          <w:kern w:val="22"/>
          <w:lang w:val="en-GB" w:eastAsia="zh-CN"/>
        </w:rPr>
      </w:pPr>
      <w:r>
        <w:rPr>
          <w:snapToGrid w:val="0"/>
          <w:kern w:val="22"/>
          <w:lang w:val="en-GB" w:eastAsia="zh-CN"/>
        </w:rPr>
        <w:br w:type="page"/>
      </w:r>
    </w:p>
    <w:p w:rsidR="00DF42AC" w:rsidRPr="0083788E" w:rsidRDefault="00DF42AC" w:rsidP="00314EE8">
      <w:pPr>
        <w:pStyle w:val="Heading1"/>
        <w:tabs>
          <w:tab w:val="left" w:pos="2340"/>
        </w:tabs>
        <w:spacing w:before="120" w:after="120"/>
        <w:ind w:left="2347" w:right="1479" w:hanging="907"/>
        <w:jc w:val="left"/>
        <w:rPr>
          <w:rFonts w:eastAsiaTheme="minorEastAsia" w:cs="Times New Roman"/>
          <w:noProof/>
          <w:kern w:val="22"/>
          <w:sz w:val="24"/>
          <w:lang w:eastAsia="zh-CN"/>
        </w:rPr>
      </w:pPr>
      <w:bookmarkStart w:id="169" w:name="_Toc6243765"/>
      <w:r w:rsidRPr="0083788E">
        <w:rPr>
          <w:rFonts w:eastAsiaTheme="minorEastAsia" w:cs="Times New Roman"/>
          <w:noProof/>
          <w:kern w:val="22"/>
          <w:sz w:val="24"/>
          <w:lang w:eastAsia="zh-CN"/>
        </w:rPr>
        <w:lastRenderedPageBreak/>
        <w:t>14/13.</w:t>
      </w:r>
      <w:r w:rsidRPr="0083788E">
        <w:rPr>
          <w:rFonts w:eastAsiaTheme="minorEastAsia" w:cs="Times New Roman"/>
          <w:noProof/>
          <w:kern w:val="22"/>
          <w:sz w:val="24"/>
          <w:lang w:eastAsia="zh-CN"/>
        </w:rPr>
        <w:tab/>
      </w:r>
      <w:r w:rsidRPr="0083788E">
        <w:rPr>
          <w:rFonts w:eastAsiaTheme="minorEastAsia" w:cs="Times New Roman"/>
          <w:noProof/>
          <w:kern w:val="22"/>
          <w:sz w:val="24"/>
          <w:lang w:eastAsia="zh-CN"/>
        </w:rPr>
        <w:t>第</w:t>
      </w:r>
      <w:r w:rsidRPr="0083788E">
        <w:rPr>
          <w:rFonts w:eastAsiaTheme="minorEastAsia" w:cs="Times New Roman"/>
          <w:noProof/>
          <w:kern w:val="22"/>
          <w:sz w:val="24"/>
          <w:lang w:eastAsia="zh-CN"/>
        </w:rPr>
        <w:t>8(j)</w:t>
      </w:r>
      <w:r w:rsidRPr="0083788E">
        <w:rPr>
          <w:rFonts w:eastAsiaTheme="minorEastAsia" w:cs="Times New Roman"/>
          <w:noProof/>
          <w:kern w:val="22"/>
          <w:sz w:val="24"/>
          <w:lang w:eastAsia="zh-CN"/>
        </w:rPr>
        <w:t>条和相关条款范围内使用的有关关键术语和概念词汇表</w:t>
      </w:r>
      <w:bookmarkEnd w:id="169"/>
      <w:r w:rsidRPr="0083788E">
        <w:rPr>
          <w:rFonts w:eastAsiaTheme="minorEastAsia" w:cs="Times New Roman"/>
          <w:noProof/>
          <w:kern w:val="22"/>
          <w:sz w:val="24"/>
          <w:lang w:eastAsia="zh-CN"/>
        </w:rPr>
        <w:t xml:space="preserve"> </w:t>
      </w:r>
    </w:p>
    <w:p w:rsidR="00DF42AC" w:rsidRDefault="00DF42AC" w:rsidP="00912BCC">
      <w:pPr>
        <w:pStyle w:val="Para1"/>
        <w:tabs>
          <w:tab w:val="clear" w:pos="360"/>
        </w:tabs>
        <w:spacing w:beforeLines="50" w:line="240" w:lineRule="atLeast"/>
        <w:rPr>
          <w:rFonts w:hAnsi="SimSun"/>
          <w:i/>
          <w:noProof/>
          <w:kern w:val="22"/>
          <w:sz w:val="24"/>
          <w:szCs w:val="24"/>
          <w:lang w:eastAsia="zh-CN"/>
        </w:rPr>
      </w:pPr>
      <w:r w:rsidRPr="004C4203">
        <w:rPr>
          <w:rFonts w:ascii="KaiTi" w:eastAsia="KaiTi" w:hAnsi="KaiTi"/>
          <w:kern w:val="22"/>
          <w:sz w:val="24"/>
          <w:szCs w:val="24"/>
          <w:lang w:val="zh-CN" w:eastAsia="zh-CN"/>
        </w:rPr>
        <w:t>缔约方大会</w:t>
      </w:r>
      <w:r>
        <w:rPr>
          <w:rFonts w:hAnsi="SimSun"/>
          <w:noProof/>
          <w:kern w:val="22"/>
          <w:sz w:val="24"/>
          <w:szCs w:val="24"/>
          <w:lang w:eastAsia="zh-CN"/>
        </w:rPr>
        <w:t>，</w:t>
      </w:r>
    </w:p>
    <w:p w:rsidR="00DF42AC" w:rsidRPr="00DF42AC" w:rsidRDefault="00DF42AC" w:rsidP="00DF42AC">
      <w:pPr>
        <w:suppressLineNumbers/>
        <w:suppressAutoHyphens/>
        <w:rPr>
          <w:rFonts w:eastAsiaTheme="minorEastAsia"/>
          <w:snapToGrid w:val="0"/>
          <w:kern w:val="22"/>
          <w:lang w:eastAsia="zh-CN"/>
        </w:rPr>
      </w:pPr>
      <w:r w:rsidRPr="0083788E">
        <w:rPr>
          <w:rFonts w:ascii="KaiTi" w:eastAsia="KaiTi" w:hAnsi="KaiTi"/>
          <w:kern w:val="22"/>
          <w:lang w:eastAsia="zh-CN"/>
        </w:rPr>
        <w:t>注意到</w:t>
      </w:r>
      <w:r w:rsidRPr="00DF42AC">
        <w:rPr>
          <w:rFonts w:eastAsiaTheme="minorEastAsia"/>
          <w:snapToGrid w:val="0"/>
          <w:kern w:val="22"/>
          <w:lang w:val="zh-CN" w:eastAsia="zh-CN"/>
        </w:rPr>
        <w:t>第</w:t>
      </w:r>
      <w:r w:rsidRPr="00DF42AC">
        <w:rPr>
          <w:rFonts w:eastAsiaTheme="minorEastAsia"/>
          <w:snapToGrid w:val="0"/>
          <w:kern w:val="22"/>
          <w:lang w:eastAsia="zh-CN"/>
        </w:rPr>
        <w:t>8(j)</w:t>
      </w:r>
      <w:r w:rsidRPr="00DF42AC">
        <w:rPr>
          <w:rFonts w:eastAsiaTheme="minorEastAsia"/>
          <w:snapToGrid w:val="0"/>
          <w:kern w:val="22"/>
          <w:lang w:eastAsia="zh-CN"/>
        </w:rPr>
        <w:t>条和相关条款范围内使用术语和概念的清晰性能够增进共识</w:t>
      </w:r>
      <w:r w:rsidRPr="00DF42AC">
        <w:rPr>
          <w:rFonts w:eastAsiaTheme="minorEastAsia"/>
          <w:snapToGrid w:val="0"/>
          <w:kern w:val="22"/>
          <w:lang w:val="zh-CN" w:eastAsia="zh-CN"/>
        </w:rPr>
        <w:t>，并有助于第</w:t>
      </w:r>
      <w:r w:rsidRPr="00DF42AC">
        <w:rPr>
          <w:rFonts w:eastAsiaTheme="minorEastAsia"/>
          <w:snapToGrid w:val="0"/>
          <w:kern w:val="22"/>
          <w:lang w:eastAsia="zh-CN"/>
        </w:rPr>
        <w:t>8(j)</w:t>
      </w:r>
      <w:r w:rsidRPr="00DF42AC">
        <w:rPr>
          <w:rFonts w:eastAsiaTheme="minorEastAsia"/>
          <w:snapToGrid w:val="0"/>
          <w:kern w:val="22"/>
          <w:lang w:val="zh-CN" w:eastAsia="zh-CN"/>
        </w:rPr>
        <w:t>条和相关条款的执行</w:t>
      </w:r>
      <w:r w:rsidRPr="00DF42AC">
        <w:rPr>
          <w:rFonts w:eastAsiaTheme="minorEastAsia"/>
          <w:snapToGrid w:val="0"/>
          <w:kern w:val="22"/>
          <w:lang w:eastAsia="zh-CN"/>
        </w:rPr>
        <w:t>，</w:t>
      </w:r>
      <w:r w:rsidRPr="00DF42AC">
        <w:rPr>
          <w:rFonts w:eastAsiaTheme="minorEastAsia"/>
          <w:snapToGrid w:val="0"/>
          <w:kern w:val="22"/>
          <w:lang w:val="zh-CN" w:eastAsia="zh-CN"/>
        </w:rPr>
        <w:t>到</w:t>
      </w:r>
      <w:r w:rsidRPr="00DF42AC">
        <w:rPr>
          <w:rFonts w:eastAsiaTheme="minorEastAsia"/>
          <w:snapToGrid w:val="0"/>
          <w:kern w:val="22"/>
          <w:lang w:eastAsia="zh-CN"/>
        </w:rPr>
        <w:t>2020</w:t>
      </w:r>
      <w:r w:rsidRPr="00DF42AC">
        <w:rPr>
          <w:rFonts w:eastAsiaTheme="minorEastAsia"/>
          <w:snapToGrid w:val="0"/>
          <w:kern w:val="22"/>
          <w:lang w:eastAsia="zh-CN"/>
        </w:rPr>
        <w:t>年实现爱知生物多样性指标</w:t>
      </w:r>
      <w:r w:rsidRPr="00DF42AC">
        <w:rPr>
          <w:rFonts w:eastAsiaTheme="minorEastAsia"/>
          <w:snapToGrid w:val="0"/>
          <w:kern w:val="22"/>
          <w:lang w:eastAsia="zh-CN"/>
        </w:rPr>
        <w:t>18</w:t>
      </w:r>
      <w:r w:rsidRPr="00DF42AC">
        <w:rPr>
          <w:rFonts w:eastAsiaTheme="minorEastAsia"/>
          <w:snapToGrid w:val="0"/>
          <w:kern w:val="22"/>
          <w:lang w:eastAsia="zh-CN"/>
        </w:rPr>
        <w:t>，</w:t>
      </w:r>
    </w:p>
    <w:p w:rsidR="00DF42AC" w:rsidRPr="00DF42AC" w:rsidRDefault="00DF42AC" w:rsidP="00DF42AC">
      <w:pPr>
        <w:suppressLineNumbers/>
        <w:suppressAutoHyphens/>
        <w:rPr>
          <w:rFonts w:eastAsiaTheme="minorEastAsia"/>
          <w:kern w:val="22"/>
          <w:lang w:val="zh-CN" w:eastAsia="zh-CN"/>
        </w:rPr>
      </w:pPr>
      <w:r w:rsidRPr="0083788E">
        <w:rPr>
          <w:rFonts w:ascii="KaiTi" w:eastAsia="KaiTi" w:hAnsi="KaiTi"/>
          <w:kern w:val="22"/>
          <w:lang w:eastAsia="zh-CN"/>
        </w:rPr>
        <w:t>又注意到</w:t>
      </w:r>
      <w:r w:rsidRPr="00DF42AC">
        <w:rPr>
          <w:rFonts w:eastAsiaTheme="minorEastAsia"/>
          <w:kern w:val="22"/>
          <w:lang w:val="zh-CN" w:eastAsia="zh-CN"/>
        </w:rPr>
        <w:t>《公约》下举行的会议就第</w:t>
      </w:r>
      <w:r w:rsidRPr="00DF42AC">
        <w:rPr>
          <w:rFonts w:eastAsiaTheme="minorEastAsia"/>
          <w:snapToGrid w:val="0"/>
          <w:kern w:val="22"/>
          <w:lang w:eastAsia="zh-CN"/>
        </w:rPr>
        <w:t>8(j)</w:t>
      </w:r>
      <w:r w:rsidRPr="00DF42AC">
        <w:rPr>
          <w:rFonts w:eastAsiaTheme="minorEastAsia"/>
          <w:kern w:val="22"/>
          <w:lang w:val="zh-CN" w:eastAsia="zh-CN"/>
        </w:rPr>
        <w:t>条和相关条款范围内的术语和概念的共识，可协助缔约方在未来根据《公约》作出的决定和指示，包括在拟</w:t>
      </w:r>
      <w:r w:rsidRPr="00DF42AC">
        <w:rPr>
          <w:rFonts w:eastAsiaTheme="minorEastAsia"/>
          <w:snapToGrid w:val="0"/>
          <w:kern w:val="22"/>
          <w:lang w:eastAsia="zh-CN"/>
        </w:rPr>
        <w:t>定</w:t>
      </w:r>
      <w:r w:rsidRPr="00DF42AC">
        <w:rPr>
          <w:rFonts w:eastAsiaTheme="minorEastAsia"/>
          <w:snapToGrid w:val="0"/>
          <w:kern w:val="22"/>
          <w:lang w:eastAsia="zh-CN"/>
        </w:rPr>
        <w:t>2020</w:t>
      </w:r>
      <w:r w:rsidRPr="00DF42AC">
        <w:rPr>
          <w:rFonts w:eastAsiaTheme="minorEastAsia"/>
          <w:kern w:val="22"/>
          <w:lang w:val="zh-CN" w:eastAsia="zh-CN"/>
        </w:rPr>
        <w:t>年后安排中达成共识，</w:t>
      </w:r>
      <w:r w:rsidRPr="00DF42AC">
        <w:rPr>
          <w:rFonts w:eastAsiaTheme="minorEastAsia"/>
          <w:kern w:val="22"/>
          <w:lang w:val="zh-CN" w:eastAsia="zh-CN"/>
        </w:rPr>
        <w:t xml:space="preserve">  </w:t>
      </w:r>
    </w:p>
    <w:p w:rsidR="00DF42AC" w:rsidRPr="00DF42AC" w:rsidRDefault="00DF42AC" w:rsidP="00DF42AC">
      <w:pPr>
        <w:suppressLineNumbers/>
        <w:suppressAutoHyphens/>
        <w:rPr>
          <w:rFonts w:eastAsiaTheme="minorEastAsia"/>
          <w:snapToGrid w:val="0"/>
          <w:kern w:val="22"/>
          <w:lang w:eastAsia="zh-CN"/>
        </w:rPr>
      </w:pPr>
      <w:r w:rsidRPr="0083788E">
        <w:rPr>
          <w:rFonts w:ascii="KaiTi" w:eastAsia="KaiTi" w:hAnsi="KaiTi"/>
          <w:kern w:val="22"/>
          <w:lang w:eastAsia="zh-CN"/>
        </w:rPr>
        <w:t>强调</w:t>
      </w:r>
      <w:r w:rsidRPr="00DF42AC">
        <w:rPr>
          <w:rFonts w:eastAsiaTheme="minorEastAsia"/>
          <w:snapToGrid w:val="0"/>
          <w:kern w:val="22"/>
          <w:lang w:eastAsia="zh-CN"/>
        </w:rPr>
        <w:t>本词汇表的使用不妨碍《公约》中使用的术语，不构成对《公约》的解释或按照《维也纳条约法公约》</w:t>
      </w:r>
      <w:r w:rsidRPr="00235140">
        <w:rPr>
          <w:rStyle w:val="FootnoteReference"/>
          <w:rFonts w:eastAsiaTheme="minorEastAsia"/>
          <w:snapToGrid w:val="0"/>
          <w:kern w:val="22"/>
          <w:sz w:val="24"/>
          <w:u w:val="none"/>
          <w:vertAlign w:val="superscript"/>
        </w:rPr>
        <w:footnoteReference w:id="215"/>
      </w:r>
      <w:r w:rsidRPr="00235140">
        <w:rPr>
          <w:rFonts w:eastAsiaTheme="minorEastAsia"/>
          <w:snapToGrid w:val="0"/>
          <w:kern w:val="22"/>
          <w:sz w:val="36"/>
          <w:lang w:eastAsia="zh-CN"/>
        </w:rPr>
        <w:t xml:space="preserve"> </w:t>
      </w:r>
      <w:r w:rsidRPr="00DF42AC">
        <w:rPr>
          <w:rFonts w:eastAsiaTheme="minorEastAsia"/>
          <w:snapToGrid w:val="0"/>
          <w:kern w:val="22"/>
          <w:lang w:eastAsia="zh-CN"/>
        </w:rPr>
        <w:t>对</w:t>
      </w:r>
      <w:r w:rsidRPr="00DF42AC">
        <w:rPr>
          <w:rFonts w:eastAsiaTheme="minorEastAsia"/>
          <w:kern w:val="22"/>
          <w:lang w:val="zh-CN" w:eastAsia="zh-CN"/>
        </w:rPr>
        <w:t>其</w:t>
      </w:r>
      <w:r w:rsidRPr="00DF42AC">
        <w:rPr>
          <w:rFonts w:eastAsiaTheme="minorEastAsia"/>
          <w:snapToGrid w:val="0"/>
          <w:kern w:val="22"/>
          <w:lang w:eastAsia="zh-CN"/>
        </w:rPr>
        <w:t>条款的应用，也不妨碍在其他国际论坛上进一步讨论术语，</w:t>
      </w:r>
    </w:p>
    <w:p w:rsidR="00DF42AC" w:rsidRPr="00DF42AC" w:rsidRDefault="00DF42AC" w:rsidP="001A42F8">
      <w:pPr>
        <w:pStyle w:val="ListParagraph"/>
        <w:numPr>
          <w:ilvl w:val="0"/>
          <w:numId w:val="206"/>
        </w:numPr>
        <w:suppressLineNumbers/>
        <w:suppressAutoHyphens/>
        <w:snapToGrid w:val="0"/>
        <w:ind w:left="0" w:firstLine="720"/>
        <w:rPr>
          <w:rFonts w:eastAsiaTheme="minorEastAsia"/>
          <w:snapToGrid w:val="0"/>
          <w:kern w:val="22"/>
          <w:lang w:eastAsia="zh-CN"/>
        </w:rPr>
      </w:pPr>
      <w:r w:rsidRPr="0083788E">
        <w:rPr>
          <w:rFonts w:ascii="KaiTi" w:eastAsia="KaiTi" w:hAnsi="KaiTi"/>
          <w:kern w:val="22"/>
          <w:lang w:eastAsia="zh-CN"/>
        </w:rPr>
        <w:t>通过</w:t>
      </w:r>
      <w:r w:rsidRPr="00DF42AC">
        <w:rPr>
          <w:rFonts w:eastAsiaTheme="minorEastAsia"/>
          <w:snapToGrid w:val="0"/>
          <w:kern w:val="22"/>
          <w:lang w:val="zh-CN" w:eastAsia="zh-CN"/>
        </w:rPr>
        <w:t>本决定附件中所载</w:t>
      </w:r>
      <w:bookmarkStart w:id="170" w:name="_Hlk500979128"/>
      <w:r w:rsidRPr="00DF42AC">
        <w:rPr>
          <w:rFonts w:eastAsiaTheme="minorEastAsia"/>
          <w:snapToGrid w:val="0"/>
          <w:kern w:val="22"/>
          <w:lang w:val="zh-CN" w:eastAsia="zh-CN"/>
        </w:rPr>
        <w:t>第</w:t>
      </w:r>
      <w:r w:rsidRPr="00DF42AC">
        <w:rPr>
          <w:rFonts w:eastAsiaTheme="minorEastAsia"/>
          <w:snapToGrid w:val="0"/>
          <w:kern w:val="22"/>
          <w:lang w:eastAsia="zh-CN"/>
        </w:rPr>
        <w:t>8(j)</w:t>
      </w:r>
      <w:r w:rsidRPr="00DF42AC">
        <w:rPr>
          <w:rFonts w:eastAsiaTheme="minorEastAsia"/>
          <w:snapToGrid w:val="0"/>
          <w:kern w:val="22"/>
          <w:lang w:val="zh-CN" w:eastAsia="zh-CN"/>
        </w:rPr>
        <w:t>条和相关条款</w:t>
      </w:r>
      <w:bookmarkEnd w:id="170"/>
      <w:r w:rsidRPr="00DF42AC">
        <w:rPr>
          <w:rFonts w:eastAsiaTheme="minorEastAsia"/>
          <w:snapToGrid w:val="0"/>
          <w:kern w:val="22"/>
          <w:lang w:val="zh-CN" w:eastAsia="zh-CN"/>
        </w:rPr>
        <w:t>范围内的关键术语和概念自愿词汇表，同时顾及</w:t>
      </w:r>
      <w:r w:rsidRPr="00DF42AC">
        <w:rPr>
          <w:rFonts w:eastAsiaTheme="minorEastAsia"/>
          <w:snapToGrid w:val="0"/>
          <w:kern w:val="22"/>
          <w:lang w:eastAsia="zh-CN"/>
        </w:rPr>
        <w:t>这些术语和概念须遵守国家法律的规定和各缔约方或国家政府的不同国情，而且许多缔约方对于其管辖范围内可能已适用的术语和概念有着特定的理解；</w:t>
      </w:r>
    </w:p>
    <w:p w:rsidR="00DF42AC" w:rsidRPr="00DF42AC" w:rsidRDefault="00DF42AC" w:rsidP="001A42F8">
      <w:pPr>
        <w:pStyle w:val="ListParagraph"/>
        <w:widowControl w:val="0"/>
        <w:numPr>
          <w:ilvl w:val="0"/>
          <w:numId w:val="206"/>
        </w:numPr>
        <w:suppressLineNumbers/>
        <w:suppressAutoHyphens/>
        <w:snapToGrid w:val="0"/>
        <w:ind w:left="0" w:firstLine="720"/>
        <w:rPr>
          <w:rFonts w:eastAsiaTheme="minorEastAsia"/>
          <w:snapToGrid w:val="0"/>
          <w:kern w:val="22"/>
          <w:lang w:eastAsia="zh-CN"/>
        </w:rPr>
      </w:pPr>
      <w:r w:rsidRPr="0083788E">
        <w:rPr>
          <w:rFonts w:ascii="KaiTi" w:eastAsia="KaiTi" w:hAnsi="KaiTi"/>
          <w:kern w:val="22"/>
          <w:lang w:eastAsia="zh-CN"/>
        </w:rPr>
        <w:t>鼓励</w:t>
      </w:r>
      <w:r w:rsidRPr="00DF42AC">
        <w:rPr>
          <w:rFonts w:eastAsiaTheme="minorEastAsia"/>
          <w:snapToGrid w:val="0"/>
          <w:kern w:val="22"/>
          <w:lang w:val="zh-CN" w:eastAsia="zh-CN"/>
        </w:rPr>
        <w:t>各缔约方、其他国家政府和观察员，在土著人民和当地社区充分有效的参与下，根据本国法律和国情酌情传播和利用本词汇表，</w:t>
      </w:r>
      <w:r w:rsidRPr="00DF42AC">
        <w:rPr>
          <w:rFonts w:eastAsiaTheme="minorEastAsia"/>
          <w:snapToGrid w:val="0"/>
          <w:kern w:val="22"/>
          <w:lang w:eastAsia="zh-CN"/>
        </w:rPr>
        <w:t>以支持第</w:t>
      </w:r>
      <w:r w:rsidRPr="00DF42AC">
        <w:rPr>
          <w:rFonts w:eastAsiaTheme="minorEastAsia"/>
          <w:snapToGrid w:val="0"/>
          <w:kern w:val="22"/>
          <w:lang w:eastAsia="zh-CN"/>
        </w:rPr>
        <w:t>8(j)</w:t>
      </w:r>
      <w:r w:rsidRPr="00DF42AC">
        <w:rPr>
          <w:rFonts w:eastAsiaTheme="minorEastAsia"/>
          <w:snapToGrid w:val="0"/>
          <w:kern w:val="22"/>
          <w:lang w:val="zh-CN" w:eastAsia="zh-CN"/>
        </w:rPr>
        <w:t>条和相关条款的执行，并将其纳入在《公约》下开展的未来工作</w:t>
      </w:r>
      <w:r w:rsidRPr="00DF42AC">
        <w:rPr>
          <w:rFonts w:eastAsiaTheme="minorEastAsia"/>
          <w:snapToGrid w:val="0"/>
          <w:kern w:val="22"/>
          <w:lang w:eastAsia="zh-CN"/>
        </w:rPr>
        <w:t>；</w:t>
      </w:r>
    </w:p>
    <w:p w:rsidR="00DF42AC" w:rsidRPr="00DF42AC" w:rsidRDefault="00DF42AC" w:rsidP="001A42F8">
      <w:pPr>
        <w:pStyle w:val="ListParagraph"/>
        <w:numPr>
          <w:ilvl w:val="0"/>
          <w:numId w:val="206"/>
        </w:numPr>
        <w:suppressLineNumbers/>
        <w:suppressAutoHyphens/>
        <w:snapToGrid w:val="0"/>
        <w:ind w:left="0" w:firstLine="720"/>
        <w:rPr>
          <w:rFonts w:eastAsiaTheme="minorEastAsia"/>
          <w:kern w:val="22"/>
          <w:lang w:val="zh-CN" w:eastAsia="zh-CN"/>
        </w:rPr>
      </w:pPr>
      <w:r w:rsidRPr="0083788E">
        <w:rPr>
          <w:rFonts w:ascii="KaiTi" w:eastAsia="KaiTi" w:hAnsi="KaiTi"/>
          <w:kern w:val="22"/>
          <w:lang w:eastAsia="zh-CN"/>
        </w:rPr>
        <w:t>请</w:t>
      </w:r>
      <w:r w:rsidRPr="00DF42AC">
        <w:rPr>
          <w:rFonts w:eastAsiaTheme="minorEastAsia"/>
          <w:kern w:val="22"/>
          <w:lang w:eastAsia="zh-CN"/>
        </w:rPr>
        <w:t>第</w:t>
      </w:r>
      <w:r w:rsidRPr="00DF42AC">
        <w:rPr>
          <w:rFonts w:eastAsiaTheme="minorEastAsia"/>
          <w:snapToGrid w:val="0"/>
          <w:kern w:val="22"/>
          <w:lang w:eastAsia="zh-CN"/>
        </w:rPr>
        <w:t>8(j)</w:t>
      </w:r>
      <w:r w:rsidRPr="00DF42AC">
        <w:rPr>
          <w:rFonts w:eastAsiaTheme="minorEastAsia"/>
          <w:kern w:val="22"/>
          <w:lang w:val="zh-CN" w:eastAsia="zh-CN"/>
        </w:rPr>
        <w:t>条和相关条款问题不限成员名额特设工作组</w:t>
      </w:r>
      <w:r w:rsidRPr="00DF42AC">
        <w:rPr>
          <w:rFonts w:eastAsiaTheme="minorEastAsia"/>
          <w:snapToGrid w:val="0"/>
          <w:kern w:val="22"/>
          <w:lang w:val="zh-CN" w:eastAsia="zh-CN"/>
        </w:rPr>
        <w:t>在今后工作中铭记本词汇表</w:t>
      </w:r>
      <w:r w:rsidRPr="00DF42AC">
        <w:rPr>
          <w:rFonts w:eastAsiaTheme="minorEastAsia"/>
          <w:snapToGrid w:val="0"/>
          <w:kern w:val="22"/>
          <w:lang w:eastAsia="zh-CN"/>
        </w:rPr>
        <w:t>，</w:t>
      </w:r>
      <w:r w:rsidRPr="00DF42AC">
        <w:rPr>
          <w:rFonts w:eastAsiaTheme="minorEastAsia"/>
          <w:snapToGrid w:val="0"/>
          <w:kern w:val="22"/>
          <w:lang w:val="zh-CN" w:eastAsia="zh-CN"/>
        </w:rPr>
        <w:t>将其作为随时可以取用的资源和参考</w:t>
      </w:r>
      <w:r w:rsidRPr="00DF42AC">
        <w:rPr>
          <w:rFonts w:eastAsiaTheme="minorEastAsia"/>
          <w:snapToGrid w:val="0"/>
          <w:kern w:val="22"/>
          <w:lang w:eastAsia="zh-CN"/>
        </w:rPr>
        <w:t>，</w:t>
      </w:r>
      <w:r w:rsidRPr="00DF42AC">
        <w:rPr>
          <w:rFonts w:eastAsiaTheme="minorEastAsia"/>
          <w:snapToGrid w:val="0"/>
          <w:kern w:val="22"/>
          <w:lang w:val="zh-CN" w:eastAsia="zh-CN"/>
        </w:rPr>
        <w:t>并作为</w:t>
      </w:r>
      <w:r w:rsidRPr="00DF42AC">
        <w:rPr>
          <w:rFonts w:eastAsiaTheme="minorEastAsia"/>
          <w:snapToGrid w:val="0"/>
          <w:kern w:val="22"/>
          <w:lang w:eastAsia="zh-CN"/>
        </w:rPr>
        <w:t>2020</w:t>
      </w:r>
      <w:r w:rsidRPr="00DF42AC">
        <w:rPr>
          <w:rFonts w:eastAsiaTheme="minorEastAsia"/>
          <w:snapToGrid w:val="0"/>
          <w:kern w:val="22"/>
          <w:lang w:val="zh-CN" w:eastAsia="zh-CN"/>
        </w:rPr>
        <w:t>年后安排的一部分，必要时定期重审和更新此份词汇表。</w:t>
      </w:r>
    </w:p>
    <w:p w:rsidR="00DF42AC" w:rsidRPr="0083788E" w:rsidRDefault="00DF42AC" w:rsidP="0083788E">
      <w:pPr>
        <w:ind w:firstLine="0"/>
        <w:jc w:val="center"/>
        <w:rPr>
          <w:rFonts w:ascii="KaiTi" w:eastAsia="KaiTi" w:hAnsi="KaiTi"/>
          <w:kern w:val="22"/>
          <w:lang w:eastAsia="zh-CN"/>
        </w:rPr>
      </w:pPr>
      <w:bookmarkStart w:id="171" w:name="_Toc507181895"/>
      <w:bookmarkStart w:id="172" w:name="_Hlk530536227"/>
      <w:r w:rsidRPr="0083788E">
        <w:rPr>
          <w:rFonts w:ascii="KaiTi" w:eastAsia="KaiTi" w:hAnsi="KaiTi"/>
          <w:kern w:val="22"/>
          <w:lang w:val="zh-CN" w:eastAsia="zh-CN"/>
        </w:rPr>
        <w:t>附件</w:t>
      </w:r>
      <w:bookmarkEnd w:id="171"/>
    </w:p>
    <w:p w:rsidR="00DF42AC" w:rsidRPr="00DF42AC" w:rsidRDefault="00DF42AC" w:rsidP="0083788E">
      <w:pPr>
        <w:suppressLineNumbers/>
        <w:suppressAutoHyphens/>
        <w:autoSpaceDE w:val="0"/>
        <w:autoSpaceDN w:val="0"/>
        <w:adjustRightInd w:val="0"/>
        <w:ind w:firstLine="0"/>
        <w:jc w:val="center"/>
        <w:rPr>
          <w:rFonts w:eastAsiaTheme="minorEastAsia"/>
          <w:b/>
          <w:kern w:val="22"/>
          <w:lang w:val="zh-CN" w:eastAsia="zh-CN"/>
        </w:rPr>
      </w:pPr>
      <w:r w:rsidRPr="00DF42AC">
        <w:rPr>
          <w:rFonts w:eastAsiaTheme="minorEastAsia"/>
          <w:b/>
          <w:kern w:val="22"/>
          <w:lang w:val="zh-CN" w:eastAsia="zh-CN"/>
        </w:rPr>
        <w:t>第</w:t>
      </w:r>
      <w:r w:rsidRPr="00DF42AC">
        <w:rPr>
          <w:rFonts w:eastAsiaTheme="minorEastAsia"/>
          <w:b/>
          <w:kern w:val="22"/>
          <w:lang w:val="zh-CN" w:eastAsia="zh-CN"/>
        </w:rPr>
        <w:t>8(j)</w:t>
      </w:r>
      <w:r w:rsidRPr="00DF42AC">
        <w:rPr>
          <w:rFonts w:eastAsiaTheme="minorEastAsia"/>
          <w:b/>
          <w:kern w:val="22"/>
          <w:lang w:val="zh-CN" w:eastAsia="zh-CN"/>
        </w:rPr>
        <w:t>条和相关条款范围内的关键术语和概念的自愿性词汇表</w:t>
      </w:r>
    </w:p>
    <w:p w:rsidR="00DF42AC" w:rsidRPr="00DF42AC" w:rsidRDefault="00DF42AC" w:rsidP="00DF42AC">
      <w:pPr>
        <w:suppressLineNumbers/>
        <w:suppressAutoHyphens/>
        <w:autoSpaceDE w:val="0"/>
        <w:autoSpaceDN w:val="0"/>
        <w:adjustRightInd w:val="0"/>
        <w:rPr>
          <w:rFonts w:eastAsiaTheme="minorEastAsia"/>
          <w:kern w:val="22"/>
          <w:lang w:val="zh-CN" w:eastAsia="zh-CN"/>
        </w:rPr>
      </w:pPr>
      <w:r w:rsidRPr="00DF42AC">
        <w:rPr>
          <w:rFonts w:eastAsiaTheme="minorEastAsia"/>
          <w:kern w:val="22"/>
          <w:lang w:val="zh-CN" w:eastAsia="zh-CN"/>
        </w:rPr>
        <w:t>本词汇表对第</w:t>
      </w:r>
      <w:r w:rsidRPr="00DF42AC">
        <w:rPr>
          <w:rFonts w:eastAsiaTheme="minorEastAsia"/>
          <w:color w:val="000000"/>
          <w:kern w:val="22"/>
          <w:lang w:eastAsia="de-CH"/>
        </w:rPr>
        <w:t>8(j)</w:t>
      </w:r>
      <w:r w:rsidRPr="00DF42AC">
        <w:rPr>
          <w:rFonts w:eastAsiaTheme="minorEastAsia"/>
          <w:kern w:val="22"/>
          <w:lang w:val="zh-CN" w:eastAsia="zh-CN"/>
        </w:rPr>
        <w:t>条和相关条款范围内使用的一些术语和概念作了说明。本词汇表既不打算提供正式的定义</w:t>
      </w:r>
      <w:r w:rsidRPr="00DF42AC">
        <w:rPr>
          <w:rFonts w:eastAsiaTheme="minorEastAsia"/>
          <w:kern w:val="22"/>
          <w:lang w:eastAsia="zh-CN"/>
        </w:rPr>
        <w:t>，</w:t>
      </w:r>
      <w:r w:rsidRPr="00DF42AC">
        <w:rPr>
          <w:rFonts w:eastAsiaTheme="minorEastAsia"/>
          <w:kern w:val="22"/>
          <w:lang w:val="zh-CN" w:eastAsia="zh-CN"/>
        </w:rPr>
        <w:t>也不打算包罗一切。词汇表为的是供在自愿的基础上使用。</w:t>
      </w:r>
    </w:p>
    <w:p w:rsidR="00DF42AC" w:rsidRPr="00DF42AC" w:rsidRDefault="00DF42AC" w:rsidP="00DF42AC">
      <w:pPr>
        <w:suppressLineNumbers/>
        <w:suppressAutoHyphens/>
        <w:autoSpaceDE w:val="0"/>
        <w:autoSpaceDN w:val="0"/>
        <w:adjustRightInd w:val="0"/>
        <w:rPr>
          <w:rFonts w:eastAsiaTheme="minorEastAsia"/>
          <w:kern w:val="22"/>
          <w:lang w:val="zh-CN" w:eastAsia="zh-CN"/>
        </w:rPr>
      </w:pPr>
      <w:r w:rsidRPr="00DF42AC">
        <w:rPr>
          <w:rFonts w:eastAsiaTheme="minorEastAsia"/>
          <w:kern w:val="22"/>
          <w:lang w:val="zh-CN" w:eastAsia="zh-CN"/>
        </w:rPr>
        <w:t>本词汇表的使用并不影响《公约》中使用的术语，也不得被解释为意味着缔约方根据《公约》享有的权利和承担的义务有任何改变。</w:t>
      </w:r>
    </w:p>
    <w:p w:rsidR="00DF42AC" w:rsidRPr="00DF42AC" w:rsidRDefault="00DF42AC" w:rsidP="00DF42AC">
      <w:pPr>
        <w:suppressLineNumbers/>
        <w:suppressAutoHyphens/>
        <w:autoSpaceDE w:val="0"/>
        <w:autoSpaceDN w:val="0"/>
        <w:adjustRightInd w:val="0"/>
        <w:rPr>
          <w:rFonts w:eastAsiaTheme="minorEastAsia"/>
          <w:kern w:val="22"/>
          <w:lang w:val="zh-CN" w:eastAsia="zh-CN"/>
        </w:rPr>
      </w:pPr>
      <w:r w:rsidRPr="00DF42AC">
        <w:rPr>
          <w:rFonts w:eastAsiaTheme="minorEastAsia"/>
          <w:kern w:val="22"/>
          <w:lang w:val="zh-CN" w:eastAsia="zh-CN"/>
        </w:rPr>
        <w:t>本词汇表为的是推动在《公约》下举行的会议中对第</w:t>
      </w:r>
      <w:r w:rsidRPr="00DF42AC">
        <w:rPr>
          <w:rFonts w:eastAsiaTheme="minorEastAsia"/>
          <w:color w:val="000000"/>
          <w:kern w:val="22"/>
          <w:lang w:eastAsia="de-CH"/>
        </w:rPr>
        <w:t>8(j)</w:t>
      </w:r>
      <w:r w:rsidRPr="00DF42AC">
        <w:rPr>
          <w:rFonts w:eastAsiaTheme="minorEastAsia"/>
          <w:kern w:val="22"/>
          <w:lang w:val="zh-CN" w:eastAsia="zh-CN"/>
        </w:rPr>
        <w:t>条和相关条款范围内使用的术语和概念达成共识。</w:t>
      </w:r>
      <w:r w:rsidRPr="00DF42AC">
        <w:rPr>
          <w:rFonts w:eastAsiaTheme="minorEastAsia"/>
          <w:kern w:val="22"/>
          <w:lang w:val="zh-CN" w:eastAsia="zh-CN"/>
        </w:rPr>
        <w:t xml:space="preserve"> </w:t>
      </w:r>
    </w:p>
    <w:p w:rsidR="00DF42AC" w:rsidRPr="00DF42AC" w:rsidRDefault="00DF42AC" w:rsidP="00DF42AC">
      <w:pPr>
        <w:suppressLineNumbers/>
        <w:suppressAutoHyphens/>
        <w:autoSpaceDE w:val="0"/>
        <w:autoSpaceDN w:val="0"/>
        <w:adjustRightInd w:val="0"/>
        <w:rPr>
          <w:rFonts w:eastAsiaTheme="minorEastAsia"/>
          <w:kern w:val="22"/>
          <w:lang w:val="zh-CN" w:eastAsia="zh-CN"/>
        </w:rPr>
      </w:pPr>
      <w:r w:rsidRPr="00DF42AC">
        <w:rPr>
          <w:rFonts w:eastAsiaTheme="minorEastAsia"/>
          <w:lang w:eastAsia="zh-CN"/>
        </w:rPr>
        <w:t>关于国家内的使用，各术语和概念须遵守国家法律的规定和各缔约方或国家政府的不同国情，同时注意到许多缔约方</w:t>
      </w:r>
      <w:r w:rsidRPr="00DF42AC">
        <w:rPr>
          <w:rFonts w:eastAsiaTheme="minorEastAsia"/>
          <w:snapToGrid w:val="0"/>
          <w:kern w:val="22"/>
          <w:lang w:eastAsia="zh-CN"/>
        </w:rPr>
        <w:t>对于其管辖范围内可能已适用的术语和概念有着特定的理解</w:t>
      </w:r>
      <w:r w:rsidRPr="00DF42AC">
        <w:rPr>
          <w:rFonts w:eastAsiaTheme="minorEastAsia"/>
          <w:lang w:eastAsia="zh-CN"/>
        </w:rPr>
        <w:t>。</w:t>
      </w:r>
    </w:p>
    <w:p w:rsidR="00DF42AC" w:rsidRPr="00DF42AC" w:rsidRDefault="00DF42AC" w:rsidP="00DF42AC">
      <w:pPr>
        <w:suppressLineNumbers/>
        <w:suppressAutoHyphens/>
        <w:autoSpaceDE w:val="0"/>
        <w:autoSpaceDN w:val="0"/>
        <w:adjustRightInd w:val="0"/>
        <w:rPr>
          <w:rFonts w:eastAsiaTheme="minorEastAsia"/>
          <w:kern w:val="22"/>
          <w:lang w:eastAsia="zh-CN"/>
        </w:rPr>
      </w:pPr>
      <w:r w:rsidRPr="00DF42AC">
        <w:rPr>
          <w:rFonts w:eastAsiaTheme="minorEastAsia"/>
          <w:kern w:val="22"/>
          <w:lang w:val="zh-CN" w:eastAsia="zh-CN"/>
        </w:rPr>
        <w:lastRenderedPageBreak/>
        <w:t>下文所述术语和概念补充《公约》和《名古屋议定书》内所载的术语。</w:t>
      </w:r>
    </w:p>
    <w:p w:rsidR="00DF42AC" w:rsidRPr="00DF42AC" w:rsidRDefault="00DF42AC" w:rsidP="00DF42AC">
      <w:pPr>
        <w:suppressLineNumbers/>
        <w:suppressAutoHyphens/>
        <w:autoSpaceDE w:val="0"/>
        <w:autoSpaceDN w:val="0"/>
        <w:adjustRightInd w:val="0"/>
        <w:rPr>
          <w:rFonts w:eastAsiaTheme="minorEastAsia"/>
          <w:lang w:eastAsia="zh-CN"/>
        </w:rPr>
      </w:pPr>
      <w:r w:rsidRPr="00DF42AC">
        <w:rPr>
          <w:rFonts w:eastAsiaTheme="minorEastAsia"/>
          <w:kern w:val="22"/>
          <w:lang w:val="zh-CN" w:eastAsia="zh-CN"/>
        </w:rPr>
        <w:t>第</w:t>
      </w:r>
      <w:r w:rsidRPr="00DF42AC">
        <w:rPr>
          <w:rFonts w:eastAsiaTheme="minorEastAsia"/>
          <w:color w:val="000000"/>
          <w:kern w:val="22"/>
          <w:lang w:eastAsia="de-CH"/>
        </w:rPr>
        <w:t>VII/16 F</w:t>
      </w:r>
      <w:r w:rsidRPr="00DF42AC">
        <w:rPr>
          <w:rFonts w:eastAsiaTheme="minorEastAsia"/>
          <w:kern w:val="22"/>
          <w:lang w:val="zh-CN" w:eastAsia="zh-CN"/>
        </w:rPr>
        <w:t>号决定中核可的《对拟议在圣地和土著和当地社区历来居住或使用的土地和水域上进行的或可能对这些土地和水域产生影响的开发活动进行文化、环境和社会影响评估的阿格维古自愿性准则》</w:t>
      </w:r>
      <w:r w:rsidRPr="00DF42AC">
        <w:rPr>
          <w:rFonts w:eastAsiaTheme="minorEastAsia"/>
          <w:color w:val="000000"/>
          <w:kern w:val="22"/>
          <w:lang w:eastAsia="de-CH"/>
        </w:rPr>
        <w:t>和第</w:t>
      </w:r>
      <w:r w:rsidRPr="00DF42AC">
        <w:rPr>
          <w:rFonts w:eastAsiaTheme="minorEastAsia"/>
          <w:color w:val="000000"/>
          <w:kern w:val="22"/>
          <w:lang w:eastAsia="de-CH"/>
        </w:rPr>
        <w:t>XIII/18</w:t>
      </w:r>
      <w:r w:rsidRPr="00DF42AC">
        <w:rPr>
          <w:rFonts w:eastAsiaTheme="minorEastAsia"/>
          <w:color w:val="000000"/>
          <w:kern w:val="22"/>
          <w:lang w:eastAsia="de-CH"/>
        </w:rPr>
        <w:t>号决定通过和欢迎的</w:t>
      </w:r>
      <w:r w:rsidRPr="00DF42AC">
        <w:rPr>
          <w:rFonts w:eastAsiaTheme="minorEastAsia"/>
          <w:kern w:val="22"/>
          <w:lang w:val="zh-CN" w:eastAsia="zh-CN"/>
        </w:rPr>
        <w:t>《生命之根自愿准则》内所所使用的术语和概念都列入本词汇表内</w:t>
      </w:r>
      <w:r w:rsidRPr="00DF42AC">
        <w:rPr>
          <w:rFonts w:eastAsiaTheme="minorEastAsia"/>
          <w:kern w:val="22"/>
          <w:lang w:eastAsia="zh-CN"/>
        </w:rPr>
        <w:t>，</w:t>
      </w:r>
      <w:r w:rsidRPr="00DF42AC">
        <w:rPr>
          <w:rFonts w:eastAsiaTheme="minorEastAsia"/>
          <w:kern w:val="22"/>
          <w:lang w:val="zh-CN" w:eastAsia="zh-CN"/>
        </w:rPr>
        <w:t>因为它们直接与第</w:t>
      </w:r>
      <w:r w:rsidRPr="00DF42AC">
        <w:rPr>
          <w:rFonts w:eastAsiaTheme="minorEastAsia"/>
          <w:color w:val="000000"/>
          <w:kern w:val="22"/>
          <w:lang w:eastAsia="de-CH"/>
        </w:rPr>
        <w:t>8(j)</w:t>
      </w:r>
      <w:r w:rsidRPr="00DF42AC">
        <w:rPr>
          <w:rFonts w:eastAsiaTheme="minorEastAsia"/>
          <w:kern w:val="22"/>
          <w:lang w:val="zh-CN" w:eastAsia="zh-CN"/>
        </w:rPr>
        <w:t>条和相关条款有关。</w:t>
      </w:r>
    </w:p>
    <w:p w:rsidR="00DF42AC" w:rsidRPr="00DF42AC" w:rsidRDefault="00DF42AC" w:rsidP="00DF42AC">
      <w:pPr>
        <w:keepNext/>
        <w:suppressLineNumbers/>
        <w:suppressAutoHyphens/>
        <w:autoSpaceDE w:val="0"/>
        <w:autoSpaceDN w:val="0"/>
        <w:adjustRightInd w:val="0"/>
        <w:rPr>
          <w:rFonts w:eastAsiaTheme="minorEastAsia"/>
          <w:kern w:val="22"/>
          <w:lang w:eastAsia="zh-CN"/>
        </w:rPr>
      </w:pPr>
      <w:r w:rsidRPr="00DF42AC">
        <w:rPr>
          <w:rFonts w:eastAsiaTheme="minorEastAsia"/>
          <w:kern w:val="22"/>
          <w:lang w:val="zh-CN" w:eastAsia="zh-CN"/>
        </w:rPr>
        <w:t>本词汇表可酌情作为根据《公约》举行的会议对第</w:t>
      </w:r>
      <w:r w:rsidRPr="00DF42AC">
        <w:rPr>
          <w:rFonts w:eastAsiaTheme="minorEastAsia"/>
          <w:color w:val="000000"/>
          <w:kern w:val="22"/>
          <w:lang w:eastAsia="de-CH"/>
        </w:rPr>
        <w:t>8(j)</w:t>
      </w:r>
      <w:r w:rsidRPr="00DF42AC">
        <w:rPr>
          <w:rFonts w:eastAsiaTheme="minorEastAsia"/>
          <w:kern w:val="22"/>
          <w:lang w:val="zh-CN" w:eastAsia="zh-CN"/>
        </w:rPr>
        <w:t>条和相关条款范围内的术语和概念进行审议和使用的来源。</w:t>
      </w:r>
    </w:p>
    <w:bookmarkEnd w:id="172"/>
    <w:p w:rsidR="00DF42AC" w:rsidRPr="00DF42AC" w:rsidRDefault="00DF42AC" w:rsidP="00DF42AC">
      <w:pPr>
        <w:pStyle w:val="Default"/>
        <w:suppressLineNumbers/>
        <w:suppressAutoHyphens/>
        <w:rPr>
          <w:rFonts w:eastAsiaTheme="minorEastAsia"/>
          <w:kern w:val="22"/>
          <w:lang w:val="zh-CN" w:eastAsia="zh-CN"/>
        </w:rPr>
      </w:pPr>
      <w:r w:rsidRPr="00DF42AC">
        <w:rPr>
          <w:rFonts w:eastAsiaTheme="minorEastAsia"/>
          <w:kern w:val="22"/>
          <w:lang w:val="zh-CN" w:eastAsia="zh-CN"/>
        </w:rPr>
        <w:t>本词汇表补充第</w:t>
      </w:r>
      <w:r w:rsidRPr="00DF42AC">
        <w:rPr>
          <w:rFonts w:eastAsiaTheme="minorEastAsia"/>
          <w:kern w:val="22"/>
          <w:lang w:val="en-GB" w:eastAsia="zh-CN"/>
        </w:rPr>
        <w:t>X/42</w:t>
      </w:r>
      <w:r w:rsidRPr="00DF42AC">
        <w:rPr>
          <w:rFonts w:eastAsiaTheme="minorEastAsia"/>
          <w:kern w:val="22"/>
          <w:lang w:val="zh-CN" w:eastAsia="zh-CN"/>
        </w:rPr>
        <w:t>号决定中通过的《确保尊重土著和地方社区文化和知识遗产的特加里瓦伊埃里道德行为守则》。</w:t>
      </w:r>
    </w:p>
    <w:tbl>
      <w:tblPr>
        <w:tblW w:w="98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27"/>
        <w:gridCol w:w="6777"/>
        <w:gridCol w:w="118"/>
      </w:tblGrid>
      <w:tr w:rsidR="00DF42AC" w:rsidRPr="00DF42AC" w:rsidTr="00912BCC">
        <w:trPr>
          <w:gridAfter w:val="1"/>
          <w:wAfter w:w="118" w:type="dxa"/>
          <w:cantSplit/>
        </w:trPr>
        <w:tc>
          <w:tcPr>
            <w:tcW w:w="9747" w:type="dxa"/>
            <w:gridSpan w:val="3"/>
          </w:tcPr>
          <w:p w:rsidR="00DF42AC" w:rsidRPr="00DF42AC" w:rsidRDefault="00DF42AC" w:rsidP="00DF42AC">
            <w:pPr>
              <w:suppressLineNumbers/>
              <w:suppressAutoHyphens/>
              <w:ind w:left="360"/>
              <w:jc w:val="center"/>
              <w:rPr>
                <w:rFonts w:eastAsiaTheme="minorEastAsia"/>
                <w:b/>
                <w:kern w:val="22"/>
                <w:lang w:eastAsia="zh-CN"/>
              </w:rPr>
            </w:pPr>
            <w:r w:rsidRPr="00DF42AC">
              <w:rPr>
                <w:rFonts w:eastAsiaTheme="minorEastAsia"/>
                <w:kern w:val="22"/>
                <w:lang w:val="zh-CN" w:eastAsia="zh-CN"/>
              </w:rPr>
              <w:br w:type="page"/>
            </w:r>
            <w:r w:rsidRPr="00DF42AC">
              <w:rPr>
                <w:rFonts w:eastAsiaTheme="minorEastAsia"/>
                <w:b/>
                <w:kern w:val="22"/>
                <w:lang w:val="zh-CN" w:eastAsia="zh-CN"/>
              </w:rPr>
              <w:t>第一部分</w:t>
            </w:r>
          </w:p>
          <w:p w:rsidR="00DF42AC" w:rsidRPr="00DF42AC" w:rsidRDefault="00DF42AC" w:rsidP="00DF42AC">
            <w:pPr>
              <w:suppressLineNumbers/>
              <w:suppressAutoHyphens/>
              <w:ind w:left="360"/>
              <w:jc w:val="center"/>
              <w:rPr>
                <w:rFonts w:eastAsiaTheme="minorEastAsia"/>
                <w:lang w:eastAsia="zh-CN"/>
              </w:rPr>
            </w:pPr>
            <w:r w:rsidRPr="00DF42AC">
              <w:rPr>
                <w:rFonts w:eastAsiaTheme="minorEastAsia"/>
                <w:b/>
                <w:kern w:val="22"/>
                <w:lang w:val="zh-CN" w:eastAsia="zh-CN"/>
              </w:rPr>
              <w:t>来自《生物多样性公约》或《公约》下所作决定的术语和概念</w:t>
            </w:r>
          </w:p>
        </w:tc>
      </w:tr>
      <w:tr w:rsidR="00DF42AC" w:rsidRPr="00DF42AC" w:rsidTr="00912BCC">
        <w:trPr>
          <w:gridAfter w:val="1"/>
          <w:wAfter w:w="118" w:type="dxa"/>
          <w:cantSplit/>
        </w:trPr>
        <w:tc>
          <w:tcPr>
            <w:tcW w:w="2943" w:type="dxa"/>
          </w:tcPr>
          <w:p w:rsidR="00DF42AC" w:rsidRPr="00DF42AC" w:rsidRDefault="00DF42AC" w:rsidP="00DF42AC">
            <w:pPr>
              <w:suppressLineNumbers/>
              <w:suppressAutoHyphens/>
              <w:rPr>
                <w:rFonts w:eastAsiaTheme="minorEastAsia"/>
              </w:rPr>
            </w:pPr>
            <w:r w:rsidRPr="00DF42AC">
              <w:rPr>
                <w:rFonts w:eastAsiaTheme="minorEastAsia"/>
                <w:b/>
                <w:kern w:val="22"/>
                <w:lang w:val="zh-CN"/>
              </w:rPr>
              <w:t>术语或概念</w:t>
            </w:r>
          </w:p>
        </w:tc>
        <w:tc>
          <w:tcPr>
            <w:tcW w:w="6804" w:type="dxa"/>
            <w:gridSpan w:val="2"/>
          </w:tcPr>
          <w:p w:rsidR="00DF42AC" w:rsidRPr="00DF42AC" w:rsidRDefault="00DF42AC" w:rsidP="00DF42AC">
            <w:pPr>
              <w:suppressLineNumbers/>
              <w:suppressAutoHyphens/>
              <w:rPr>
                <w:rFonts w:eastAsiaTheme="minorEastAsia"/>
                <w:lang w:eastAsia="zh-CN"/>
              </w:rPr>
            </w:pPr>
            <w:r w:rsidRPr="00DF42AC">
              <w:rPr>
                <w:rFonts w:eastAsiaTheme="minorEastAsia"/>
                <w:b/>
                <w:kern w:val="22"/>
                <w:lang w:val="zh-CN" w:eastAsia="zh-CN"/>
              </w:rPr>
              <w:t>对《公约》范围内的术语或概念的理解</w:t>
            </w:r>
          </w:p>
        </w:tc>
      </w:tr>
      <w:tr w:rsidR="00DF42AC" w:rsidRPr="00DF42AC" w:rsidTr="00912BCC">
        <w:trPr>
          <w:gridAfter w:val="1"/>
          <w:wAfter w:w="118" w:type="dxa"/>
          <w:cantSplit/>
        </w:trPr>
        <w:tc>
          <w:tcPr>
            <w:tcW w:w="2943" w:type="dxa"/>
          </w:tcPr>
          <w:p w:rsidR="00DF42AC" w:rsidRPr="00DF42AC" w:rsidRDefault="00DF42AC" w:rsidP="00974D16">
            <w:pPr>
              <w:suppressLineNumbers/>
              <w:suppressAutoHyphens/>
              <w:ind w:firstLine="0"/>
              <w:rPr>
                <w:rFonts w:eastAsiaTheme="minorEastAsia"/>
              </w:rPr>
            </w:pPr>
            <w:r w:rsidRPr="00DF42AC">
              <w:rPr>
                <w:rFonts w:eastAsiaTheme="minorEastAsia"/>
                <w:kern w:val="22"/>
                <w:lang w:val="zh-CN"/>
              </w:rPr>
              <w:t>传统知识</w:t>
            </w:r>
          </w:p>
          <w:p w:rsidR="00DF42AC" w:rsidRPr="00DF42AC" w:rsidRDefault="00DF42AC" w:rsidP="00974D16">
            <w:pPr>
              <w:suppressLineNumbers/>
              <w:suppressAutoHyphens/>
              <w:ind w:firstLine="0"/>
              <w:rPr>
                <w:rFonts w:eastAsiaTheme="minorEastAsia"/>
                <w:kern w:val="22"/>
              </w:rPr>
            </w:pPr>
          </w:p>
        </w:tc>
        <w:tc>
          <w:tcPr>
            <w:tcW w:w="6804" w:type="dxa"/>
            <w:gridSpan w:val="2"/>
          </w:tcPr>
          <w:p w:rsidR="00DF42AC" w:rsidRPr="00DF42AC" w:rsidRDefault="00DF42AC" w:rsidP="00974D16">
            <w:pPr>
              <w:suppressLineNumbers/>
              <w:suppressAutoHyphens/>
              <w:ind w:firstLine="0"/>
              <w:rPr>
                <w:rFonts w:eastAsiaTheme="minorEastAsia"/>
                <w:kern w:val="22"/>
                <w:lang w:eastAsia="zh-CN"/>
              </w:rPr>
            </w:pPr>
            <w:r w:rsidRPr="00DF42AC">
              <w:rPr>
                <w:rFonts w:eastAsiaTheme="minorEastAsia"/>
                <w:kern w:val="22"/>
                <w:lang w:val="zh-CN" w:eastAsia="zh-CN"/>
              </w:rPr>
              <w:t>土著人民和地方社区体现与保护和可持续利用生物多样性相关的传统生活方式的知识、创新和做法。</w:t>
            </w:r>
            <w:r w:rsidRPr="00DF42AC">
              <w:rPr>
                <w:rFonts w:eastAsiaTheme="minorEastAsia"/>
                <w:vertAlign w:val="superscript"/>
              </w:rPr>
              <w:footnoteReference w:id="216"/>
            </w:r>
          </w:p>
        </w:tc>
      </w:tr>
      <w:tr w:rsidR="00DF42AC" w:rsidRPr="00DF42AC" w:rsidTr="00912BCC">
        <w:trPr>
          <w:gridAfter w:val="1"/>
          <w:wAfter w:w="118" w:type="dxa"/>
          <w:cantSplit/>
        </w:trPr>
        <w:tc>
          <w:tcPr>
            <w:tcW w:w="2943" w:type="dxa"/>
          </w:tcPr>
          <w:p w:rsidR="00DF42AC" w:rsidRPr="00DF42AC" w:rsidRDefault="00DF42AC" w:rsidP="00974D16">
            <w:pPr>
              <w:suppressLineNumbers/>
              <w:suppressAutoHyphens/>
              <w:ind w:firstLine="0"/>
              <w:rPr>
                <w:rFonts w:eastAsiaTheme="minorEastAsia"/>
              </w:rPr>
            </w:pPr>
            <w:r w:rsidRPr="00DF42AC">
              <w:rPr>
                <w:rFonts w:eastAsiaTheme="minorEastAsia"/>
                <w:kern w:val="22"/>
                <w:lang w:val="zh-CN"/>
              </w:rPr>
              <w:t>可持续习惯使用</w:t>
            </w:r>
          </w:p>
        </w:tc>
        <w:tc>
          <w:tcPr>
            <w:tcW w:w="6804" w:type="dxa"/>
            <w:gridSpan w:val="2"/>
          </w:tcPr>
          <w:p w:rsidR="00DF42AC" w:rsidRPr="00DF42AC" w:rsidRDefault="00DF42AC" w:rsidP="00974D16">
            <w:pPr>
              <w:suppressLineNumbers/>
              <w:suppressAutoHyphens/>
              <w:ind w:firstLine="0"/>
              <w:rPr>
                <w:rFonts w:eastAsiaTheme="minorEastAsia"/>
                <w:kern w:val="22"/>
                <w:lang w:eastAsia="zh-CN"/>
              </w:rPr>
            </w:pPr>
            <w:r w:rsidRPr="00DF42AC">
              <w:rPr>
                <w:rFonts w:eastAsiaTheme="minorEastAsia"/>
                <w:kern w:val="22"/>
                <w:lang w:eastAsia="zh-CN"/>
              </w:rPr>
              <w:t>根据</w:t>
            </w:r>
            <w:r w:rsidRPr="00DF42AC">
              <w:rPr>
                <w:rFonts w:eastAsiaTheme="minorEastAsia"/>
                <w:kern w:val="22"/>
                <w:lang w:val="zh-CN" w:eastAsia="zh-CN"/>
              </w:rPr>
              <w:t>与保护和可持续利用要求相符的传统文化习俗使用生物资源。</w:t>
            </w:r>
            <w:r w:rsidRPr="00DF42AC">
              <w:rPr>
                <w:rFonts w:eastAsiaTheme="minorEastAsia"/>
                <w:vertAlign w:val="superscript"/>
              </w:rPr>
              <w:footnoteReference w:id="217"/>
            </w:r>
          </w:p>
        </w:tc>
      </w:tr>
      <w:tr w:rsidR="00DF42AC" w:rsidRPr="00DF42AC" w:rsidTr="00912BCC">
        <w:trPr>
          <w:gridAfter w:val="1"/>
          <w:wAfter w:w="118" w:type="dxa"/>
          <w:cantSplit/>
        </w:trPr>
        <w:tc>
          <w:tcPr>
            <w:tcW w:w="2943" w:type="dxa"/>
          </w:tcPr>
          <w:p w:rsidR="00DF42AC" w:rsidRPr="00DF42AC" w:rsidRDefault="00DF42AC" w:rsidP="00974D16">
            <w:pPr>
              <w:suppressLineNumbers/>
              <w:suppressAutoHyphens/>
              <w:ind w:firstLine="0"/>
              <w:rPr>
                <w:rFonts w:eastAsiaTheme="minorEastAsia"/>
                <w:kern w:val="22"/>
                <w:lang w:eastAsia="zh-CN"/>
              </w:rPr>
            </w:pPr>
            <w:r w:rsidRPr="00DF42AC">
              <w:rPr>
                <w:rFonts w:eastAsiaTheme="minorEastAsia"/>
                <w:kern w:val="22"/>
                <w:lang w:val="zh-CN" w:eastAsia="zh-CN"/>
              </w:rPr>
              <w:t>土著和地方社区或</w:t>
            </w:r>
          </w:p>
          <w:p w:rsidR="00DF42AC" w:rsidRPr="00DF42AC" w:rsidRDefault="00DF42AC" w:rsidP="00974D16">
            <w:pPr>
              <w:suppressLineNumbers/>
              <w:suppressAutoHyphens/>
              <w:ind w:firstLine="0"/>
              <w:rPr>
                <w:rFonts w:eastAsiaTheme="minorEastAsia"/>
                <w:lang w:eastAsia="zh-CN"/>
              </w:rPr>
            </w:pPr>
            <w:r w:rsidRPr="00DF42AC">
              <w:rPr>
                <w:rFonts w:eastAsiaTheme="minorEastAsia"/>
                <w:kern w:val="22"/>
                <w:lang w:val="zh-CN" w:eastAsia="zh-CN"/>
              </w:rPr>
              <w:t>土著人民和地方社区</w:t>
            </w:r>
            <w:r w:rsidRPr="00DF42AC">
              <w:rPr>
                <w:rFonts w:eastAsiaTheme="minorEastAsia"/>
                <w:kern w:val="22"/>
                <w:vertAlign w:val="superscript"/>
                <w:lang w:val="zh-CN"/>
              </w:rPr>
              <w:footnoteReference w:id="218"/>
            </w:r>
          </w:p>
          <w:p w:rsidR="00DF42AC" w:rsidRPr="00DF42AC" w:rsidRDefault="00DF42AC" w:rsidP="00974D16">
            <w:pPr>
              <w:suppressLineNumbers/>
              <w:suppressAutoHyphens/>
              <w:ind w:firstLine="0"/>
              <w:rPr>
                <w:rFonts w:eastAsiaTheme="minorEastAsia"/>
                <w:kern w:val="22"/>
                <w:lang w:eastAsia="zh-CN"/>
              </w:rPr>
            </w:pPr>
          </w:p>
        </w:tc>
        <w:tc>
          <w:tcPr>
            <w:tcW w:w="6804" w:type="dxa"/>
            <w:gridSpan w:val="2"/>
          </w:tcPr>
          <w:p w:rsidR="00DF42AC" w:rsidRPr="00DF42AC" w:rsidRDefault="00DF42AC" w:rsidP="00974D16">
            <w:pPr>
              <w:suppressLineNumbers/>
              <w:suppressAutoHyphens/>
              <w:ind w:firstLine="0"/>
              <w:rPr>
                <w:rFonts w:eastAsiaTheme="minorEastAsia"/>
                <w:lang w:eastAsia="zh-CN"/>
              </w:rPr>
            </w:pPr>
            <w:r w:rsidRPr="00DF42AC">
              <w:rPr>
                <w:rFonts w:eastAsiaTheme="minorEastAsia"/>
                <w:kern w:val="22"/>
                <w:lang w:val="zh-CN" w:eastAsia="zh-CN"/>
              </w:rPr>
              <w:t>《生物多样性公约》没有界定</w:t>
            </w:r>
            <w:r w:rsidRPr="00974D16">
              <w:rPr>
                <w:rFonts w:asciiTheme="minorEastAsia" w:eastAsiaTheme="minorEastAsia" w:hAnsiTheme="minorEastAsia"/>
                <w:kern w:val="22"/>
                <w:lang w:eastAsia="zh-CN"/>
              </w:rPr>
              <w:t>“</w:t>
            </w:r>
            <w:r w:rsidRPr="00974D16">
              <w:rPr>
                <w:rFonts w:asciiTheme="minorEastAsia" w:eastAsiaTheme="minorEastAsia" w:hAnsiTheme="minorEastAsia"/>
                <w:kern w:val="22"/>
                <w:lang w:val="zh-CN" w:eastAsia="zh-CN"/>
              </w:rPr>
              <w:t>土著和地方社区</w:t>
            </w:r>
            <w:r w:rsidRPr="00974D16">
              <w:rPr>
                <w:rFonts w:asciiTheme="minorEastAsia" w:eastAsiaTheme="minorEastAsia" w:hAnsiTheme="minorEastAsia"/>
                <w:kern w:val="22"/>
                <w:lang w:eastAsia="zh-CN"/>
              </w:rPr>
              <w:t>”</w:t>
            </w:r>
            <w:r w:rsidRPr="00974D16">
              <w:rPr>
                <w:rFonts w:asciiTheme="minorEastAsia" w:eastAsiaTheme="minorEastAsia" w:hAnsiTheme="minorEastAsia"/>
                <w:kern w:val="22"/>
                <w:lang w:val="zh-CN" w:eastAsia="zh-CN"/>
              </w:rPr>
              <w:t>或</w:t>
            </w:r>
            <w:r w:rsidRPr="00974D16">
              <w:rPr>
                <w:rFonts w:asciiTheme="minorEastAsia" w:eastAsiaTheme="minorEastAsia" w:hAnsiTheme="minorEastAsia"/>
                <w:kern w:val="22"/>
                <w:lang w:eastAsia="zh-CN"/>
              </w:rPr>
              <w:t>“</w:t>
            </w:r>
            <w:r w:rsidRPr="00974D16">
              <w:rPr>
                <w:rFonts w:asciiTheme="minorEastAsia" w:eastAsiaTheme="minorEastAsia" w:hAnsiTheme="minorEastAsia"/>
                <w:kern w:val="22"/>
                <w:lang w:val="zh-CN" w:eastAsia="zh-CN"/>
              </w:rPr>
              <w:t>土著人民和地方社区</w:t>
            </w:r>
            <w:r w:rsidRPr="00974D16">
              <w:rPr>
                <w:rFonts w:asciiTheme="minorEastAsia" w:eastAsiaTheme="minorEastAsia" w:hAnsiTheme="minorEastAsia"/>
                <w:kern w:val="22"/>
                <w:lang w:eastAsia="zh-CN"/>
              </w:rPr>
              <w:t>”</w:t>
            </w:r>
            <w:r w:rsidRPr="00DF42AC">
              <w:rPr>
                <w:rFonts w:eastAsiaTheme="minorEastAsia"/>
                <w:kern w:val="22"/>
                <w:lang w:val="zh-CN" w:eastAsia="zh-CN"/>
              </w:rPr>
              <w:t>这些术语的定义。《联合国土著人民权利宣言》没有通过关于</w:t>
            </w:r>
            <w:r w:rsidRPr="00974D16">
              <w:rPr>
                <w:rFonts w:asciiTheme="minorEastAsia" w:eastAsiaTheme="minorEastAsia" w:hAnsiTheme="minorEastAsia"/>
                <w:kern w:val="22"/>
                <w:lang w:eastAsia="zh-CN"/>
              </w:rPr>
              <w:t>“</w:t>
            </w:r>
            <w:r w:rsidRPr="00974D16">
              <w:rPr>
                <w:rFonts w:asciiTheme="minorEastAsia" w:eastAsiaTheme="minorEastAsia" w:hAnsiTheme="minorEastAsia"/>
                <w:kern w:val="22"/>
                <w:lang w:val="zh-CN" w:eastAsia="zh-CN"/>
              </w:rPr>
              <w:t>土著人民</w:t>
            </w:r>
            <w:r w:rsidRPr="00974D16">
              <w:rPr>
                <w:rFonts w:asciiTheme="minorEastAsia" w:eastAsiaTheme="minorEastAsia" w:hAnsiTheme="minorEastAsia"/>
                <w:kern w:val="22"/>
                <w:lang w:eastAsia="zh-CN"/>
              </w:rPr>
              <w:t>”</w:t>
            </w:r>
            <w:r w:rsidRPr="00DF42AC">
              <w:rPr>
                <w:rFonts w:eastAsiaTheme="minorEastAsia"/>
                <w:kern w:val="22"/>
                <w:lang w:eastAsia="zh-CN"/>
              </w:rPr>
              <w:t>的</w:t>
            </w:r>
            <w:r w:rsidRPr="00DF42AC">
              <w:rPr>
                <w:rFonts w:eastAsiaTheme="minorEastAsia"/>
                <w:kern w:val="22"/>
                <w:lang w:val="zh-CN" w:eastAsia="zh-CN"/>
              </w:rPr>
              <w:t>普遍性定义</w:t>
            </w:r>
            <w:r w:rsidRPr="00DF42AC">
              <w:rPr>
                <w:rFonts w:eastAsiaTheme="minorEastAsia"/>
                <w:kern w:val="22"/>
                <w:lang w:eastAsia="zh-CN"/>
              </w:rPr>
              <w:t>，</w:t>
            </w:r>
            <w:r w:rsidRPr="00DF42AC">
              <w:rPr>
                <w:rFonts w:eastAsiaTheme="minorEastAsia"/>
                <w:kern w:val="22"/>
                <w:lang w:val="zh-CN" w:eastAsia="zh-CN"/>
              </w:rPr>
              <w:t>因此</w:t>
            </w:r>
            <w:r w:rsidRPr="00DF42AC">
              <w:rPr>
                <w:rFonts w:eastAsiaTheme="minorEastAsia"/>
                <w:kern w:val="22"/>
                <w:lang w:eastAsia="zh-CN"/>
              </w:rPr>
              <w:t>，</w:t>
            </w:r>
            <w:r w:rsidRPr="00DF42AC">
              <w:rPr>
                <w:rFonts w:eastAsiaTheme="minorEastAsia"/>
                <w:kern w:val="22"/>
                <w:lang w:val="zh-CN" w:eastAsia="zh-CN"/>
              </w:rPr>
              <w:t>并不建议制定这样一个定义。</w:t>
            </w:r>
            <w:r w:rsidRPr="00DF42AC">
              <w:rPr>
                <w:rFonts w:eastAsiaTheme="minorEastAsia"/>
                <w:kern w:val="22"/>
                <w:vertAlign w:val="superscript"/>
                <w:lang w:val="zh-CN"/>
              </w:rPr>
              <w:footnoteReference w:id="219"/>
            </w:r>
            <w:r w:rsidRPr="00DF42AC">
              <w:rPr>
                <w:rFonts w:eastAsiaTheme="minorEastAsia"/>
                <w:kern w:val="22"/>
                <w:vertAlign w:val="superscript"/>
                <w:lang w:val="zh-CN" w:eastAsia="zh-CN"/>
              </w:rPr>
              <w:t>,</w:t>
            </w:r>
            <w:r w:rsidRPr="00DF42AC">
              <w:rPr>
                <w:rFonts w:eastAsiaTheme="minorEastAsia"/>
                <w:kern w:val="22"/>
                <w:vertAlign w:val="superscript"/>
                <w:lang w:val="zh-CN"/>
              </w:rPr>
              <w:footnoteReference w:id="220"/>
            </w:r>
          </w:p>
        </w:tc>
      </w:tr>
      <w:tr w:rsidR="00DF42AC" w:rsidRPr="00DF42AC" w:rsidTr="00912BCC">
        <w:trPr>
          <w:gridAfter w:val="1"/>
          <w:wAfter w:w="118" w:type="dxa"/>
          <w:cantSplit/>
        </w:trPr>
        <w:tc>
          <w:tcPr>
            <w:tcW w:w="9747" w:type="dxa"/>
            <w:gridSpan w:val="3"/>
          </w:tcPr>
          <w:p w:rsidR="00DF42AC" w:rsidRPr="00DF42AC" w:rsidRDefault="00DF42AC" w:rsidP="00DF42AC">
            <w:pPr>
              <w:suppressLineNumbers/>
              <w:suppressAutoHyphens/>
              <w:jc w:val="center"/>
              <w:rPr>
                <w:rFonts w:eastAsiaTheme="minorEastAsia"/>
                <w:b/>
                <w:kern w:val="22"/>
                <w:lang w:eastAsia="zh-CN"/>
              </w:rPr>
            </w:pPr>
            <w:r w:rsidRPr="00DF42AC">
              <w:rPr>
                <w:rFonts w:eastAsiaTheme="minorEastAsia"/>
                <w:b/>
                <w:kern w:val="22"/>
                <w:lang w:val="zh-CN" w:eastAsia="zh-CN"/>
              </w:rPr>
              <w:lastRenderedPageBreak/>
              <w:t>第二部分</w:t>
            </w:r>
          </w:p>
          <w:p w:rsidR="00DF42AC" w:rsidRPr="00DF42AC" w:rsidRDefault="00DF42AC" w:rsidP="00DF42AC">
            <w:pPr>
              <w:suppressLineNumbers/>
              <w:suppressAutoHyphens/>
              <w:ind w:left="1417" w:right="1634"/>
              <w:jc w:val="center"/>
              <w:rPr>
                <w:rFonts w:eastAsiaTheme="minorEastAsia"/>
                <w:lang w:eastAsia="zh-CN"/>
              </w:rPr>
            </w:pPr>
            <w:r w:rsidRPr="00DF42AC">
              <w:rPr>
                <w:rFonts w:eastAsiaTheme="minorEastAsia"/>
                <w:b/>
                <w:kern w:val="22"/>
                <w:lang w:val="zh-CN" w:eastAsia="zh-CN"/>
              </w:rPr>
              <w:t>来自第</w:t>
            </w:r>
            <w:r w:rsidRPr="00DF42AC">
              <w:rPr>
                <w:rFonts w:eastAsiaTheme="minorEastAsia"/>
                <w:b/>
                <w:kern w:val="22"/>
                <w:lang w:eastAsia="zh-CN"/>
              </w:rPr>
              <w:t>8(j)</w:t>
            </w:r>
            <w:r w:rsidRPr="00DF42AC">
              <w:rPr>
                <w:rFonts w:eastAsiaTheme="minorEastAsia"/>
                <w:b/>
                <w:kern w:val="22"/>
                <w:lang w:val="zh-CN" w:eastAsia="zh-CN"/>
              </w:rPr>
              <w:t>条和相关条款工作方案的成果并得到生物多样性公约缔约方大会通过和核可的术语和概念</w:t>
            </w:r>
          </w:p>
        </w:tc>
      </w:tr>
      <w:tr w:rsidR="00DF42AC" w:rsidRPr="00DF42AC" w:rsidTr="00912BCC">
        <w:trPr>
          <w:gridAfter w:val="1"/>
          <w:wAfter w:w="118" w:type="dxa"/>
          <w:cantSplit/>
        </w:trPr>
        <w:tc>
          <w:tcPr>
            <w:tcW w:w="9747" w:type="dxa"/>
            <w:gridSpan w:val="3"/>
          </w:tcPr>
          <w:p w:rsidR="00DF42AC" w:rsidRPr="00DF42AC" w:rsidRDefault="00DF42AC" w:rsidP="00974D16">
            <w:pPr>
              <w:suppressLineNumbers/>
              <w:suppressAutoHyphens/>
              <w:ind w:left="142" w:right="317" w:firstLine="0"/>
              <w:rPr>
                <w:rFonts w:eastAsiaTheme="minorEastAsia"/>
                <w:lang w:eastAsia="zh-CN"/>
              </w:rPr>
            </w:pPr>
            <w:r w:rsidRPr="00DF42AC">
              <w:rPr>
                <w:rFonts w:eastAsiaTheme="minorEastAsia"/>
                <w:b/>
                <w:kern w:val="22"/>
                <w:lang w:val="zh-CN" w:eastAsia="zh-CN"/>
              </w:rPr>
              <w:t>对拟议在圣地和土著和当地社区历来居住或使用的土地和水域上进行的或可能对这些土地和水域产生影响的开发活动进行文化、环境和社会影响评估的阿格维古自愿性准则</w:t>
            </w:r>
            <w:r w:rsidRPr="00DF42AC">
              <w:rPr>
                <w:rFonts w:eastAsiaTheme="minorEastAsia"/>
                <w:kern w:val="22"/>
                <w:lang w:val="zh-CN" w:eastAsia="zh-CN"/>
              </w:rPr>
              <w:t>（第</w:t>
            </w:r>
            <w:r w:rsidRPr="00DF42AC">
              <w:rPr>
                <w:rFonts w:eastAsiaTheme="minorEastAsia"/>
                <w:kern w:val="22"/>
                <w:lang w:eastAsia="zh-CN"/>
              </w:rPr>
              <w:t>VII/16 F</w:t>
            </w:r>
            <w:r w:rsidRPr="00DF42AC">
              <w:rPr>
                <w:rFonts w:eastAsiaTheme="minorEastAsia"/>
                <w:kern w:val="22"/>
                <w:lang w:eastAsia="zh-CN"/>
              </w:rPr>
              <w:t>号决定，附件）</w:t>
            </w:r>
          </w:p>
        </w:tc>
      </w:tr>
      <w:tr w:rsidR="00DF42AC" w:rsidRPr="00DF42AC" w:rsidTr="00912BCC">
        <w:trPr>
          <w:gridAfter w:val="1"/>
          <w:wAfter w:w="118" w:type="dxa"/>
          <w:cantSplit/>
        </w:trPr>
        <w:tc>
          <w:tcPr>
            <w:tcW w:w="2943" w:type="dxa"/>
          </w:tcPr>
          <w:p w:rsidR="00DF42AC" w:rsidRPr="00DF42AC" w:rsidRDefault="00DF42AC" w:rsidP="00DF42AC">
            <w:pPr>
              <w:suppressLineNumbers/>
              <w:suppressAutoHyphens/>
              <w:rPr>
                <w:rFonts w:eastAsiaTheme="minorEastAsia"/>
              </w:rPr>
            </w:pPr>
            <w:r w:rsidRPr="00DF42AC">
              <w:rPr>
                <w:rFonts w:eastAsiaTheme="minorEastAsia"/>
                <w:b/>
                <w:kern w:val="22"/>
                <w:lang w:val="zh-CN"/>
              </w:rPr>
              <w:t>术语或概念</w:t>
            </w:r>
          </w:p>
        </w:tc>
        <w:tc>
          <w:tcPr>
            <w:tcW w:w="6804" w:type="dxa"/>
            <w:gridSpan w:val="2"/>
          </w:tcPr>
          <w:p w:rsidR="00DF42AC" w:rsidRPr="00DF42AC" w:rsidRDefault="00DF42AC" w:rsidP="00974D16">
            <w:pPr>
              <w:suppressLineNumbers/>
              <w:suppressAutoHyphens/>
              <w:ind w:firstLine="9"/>
              <w:rPr>
                <w:rFonts w:eastAsiaTheme="minorEastAsia"/>
                <w:b/>
                <w:kern w:val="22"/>
                <w:lang w:eastAsia="zh-CN"/>
              </w:rPr>
            </w:pPr>
            <w:r w:rsidRPr="00DF42AC">
              <w:rPr>
                <w:rFonts w:eastAsiaTheme="minorEastAsia"/>
                <w:b/>
                <w:kern w:val="22"/>
                <w:lang w:val="zh-CN" w:eastAsia="zh-CN"/>
              </w:rPr>
              <w:t>对《公约》范围内使用的术语或概念的理解</w:t>
            </w:r>
          </w:p>
          <w:p w:rsidR="00DF42AC" w:rsidRPr="00DF42AC" w:rsidRDefault="00DF42AC" w:rsidP="00974D16">
            <w:pPr>
              <w:suppressLineNumbers/>
              <w:suppressAutoHyphens/>
              <w:ind w:firstLine="9"/>
              <w:rPr>
                <w:rFonts w:eastAsiaTheme="minorEastAsia"/>
                <w:kern w:val="22"/>
                <w:lang w:eastAsia="zh-CN"/>
              </w:rPr>
            </w:pPr>
            <w:r w:rsidRPr="00DF42AC">
              <w:rPr>
                <w:rFonts w:eastAsiaTheme="minorEastAsia"/>
                <w:kern w:val="22"/>
                <w:lang w:val="zh-CN" w:eastAsia="zh-CN"/>
              </w:rPr>
              <w:t xml:space="preserve">* </w:t>
            </w:r>
            <w:r w:rsidRPr="00DF42AC">
              <w:rPr>
                <w:rFonts w:eastAsiaTheme="minorEastAsia"/>
                <w:kern w:val="22"/>
                <w:lang w:val="zh-CN" w:eastAsia="zh-CN"/>
              </w:rPr>
              <w:t>请注意以下术语和概念已得到缔约方大会关于《阿格维古自愿性准则》的第</w:t>
            </w:r>
            <w:r w:rsidRPr="00DF42AC">
              <w:rPr>
                <w:rFonts w:eastAsiaTheme="minorEastAsia"/>
                <w:kern w:val="22"/>
                <w:lang w:eastAsia="zh-CN"/>
              </w:rPr>
              <w:t>VII/16 F</w:t>
            </w:r>
            <w:r w:rsidRPr="00DF42AC">
              <w:rPr>
                <w:rFonts w:eastAsiaTheme="minorEastAsia"/>
                <w:kern w:val="22"/>
                <w:lang w:val="zh-CN" w:eastAsia="zh-CN"/>
              </w:rPr>
              <w:t>号决定的核可</w:t>
            </w:r>
            <w:r w:rsidRPr="00DF42AC">
              <w:rPr>
                <w:rFonts w:eastAsiaTheme="minorEastAsia"/>
                <w:kern w:val="22"/>
                <w:lang w:eastAsia="zh-CN"/>
              </w:rPr>
              <w:t>，</w:t>
            </w:r>
            <w:r w:rsidRPr="00DF42AC">
              <w:rPr>
                <w:rFonts w:eastAsiaTheme="minorEastAsia"/>
                <w:kern w:val="22"/>
                <w:lang w:val="zh-CN" w:eastAsia="zh-CN"/>
              </w:rPr>
              <w:t>因此</w:t>
            </w:r>
            <w:r w:rsidRPr="00DF42AC">
              <w:rPr>
                <w:rFonts w:eastAsiaTheme="minorEastAsia"/>
                <w:kern w:val="22"/>
                <w:lang w:eastAsia="zh-CN"/>
              </w:rPr>
              <w:t>，</w:t>
            </w:r>
            <w:r w:rsidRPr="00DF42AC">
              <w:rPr>
                <w:rFonts w:eastAsiaTheme="minorEastAsia"/>
                <w:kern w:val="22"/>
                <w:lang w:val="zh-CN" w:eastAsia="zh-CN"/>
              </w:rPr>
              <w:t>也应适用于关于影响评估和尽量减少不利影响的《公约》第</w:t>
            </w:r>
            <w:r w:rsidRPr="00DF42AC">
              <w:rPr>
                <w:rFonts w:eastAsiaTheme="minorEastAsia"/>
                <w:kern w:val="22"/>
                <w:lang w:eastAsia="zh-CN"/>
              </w:rPr>
              <w:t>14</w:t>
            </w:r>
            <w:r w:rsidRPr="00DF42AC">
              <w:rPr>
                <w:rFonts w:eastAsiaTheme="minorEastAsia"/>
                <w:kern w:val="22"/>
                <w:lang w:val="zh-CN" w:eastAsia="zh-CN"/>
              </w:rPr>
              <w:t>条的范围。</w:t>
            </w:r>
            <w:r w:rsidRPr="00DF42AC">
              <w:rPr>
                <w:rStyle w:val="FootnoteReference"/>
                <w:rFonts w:eastAsiaTheme="minorEastAsia"/>
                <w:sz w:val="24"/>
                <w:u w:val="none"/>
                <w:vertAlign w:val="superscript"/>
              </w:rPr>
              <w:footnoteReference w:id="221"/>
            </w:r>
          </w:p>
        </w:tc>
      </w:tr>
      <w:tr w:rsidR="00DF42AC" w:rsidRPr="00DF42AC" w:rsidTr="00912BCC">
        <w:trPr>
          <w:gridAfter w:val="1"/>
          <w:wAfter w:w="118" w:type="dxa"/>
          <w:cantSplit/>
        </w:trPr>
        <w:tc>
          <w:tcPr>
            <w:tcW w:w="2943" w:type="dxa"/>
          </w:tcPr>
          <w:p w:rsidR="00DF42AC" w:rsidRPr="00DF42AC" w:rsidRDefault="00DF42AC" w:rsidP="00974D16">
            <w:pPr>
              <w:suppressLineNumbers/>
              <w:suppressAutoHyphens/>
              <w:ind w:hanging="18"/>
              <w:rPr>
                <w:rFonts w:eastAsiaTheme="minorEastAsia"/>
              </w:rPr>
            </w:pPr>
            <w:r w:rsidRPr="00DF42AC">
              <w:rPr>
                <w:rFonts w:eastAsiaTheme="minorEastAsia"/>
                <w:kern w:val="22"/>
                <w:lang w:val="zh-CN"/>
              </w:rPr>
              <w:t>文化影响评估</w:t>
            </w:r>
          </w:p>
        </w:tc>
        <w:tc>
          <w:tcPr>
            <w:tcW w:w="6804" w:type="dxa"/>
            <w:gridSpan w:val="2"/>
          </w:tcPr>
          <w:p w:rsidR="00DF42AC" w:rsidRPr="00DF42AC" w:rsidRDefault="00DF42AC" w:rsidP="00974D16">
            <w:pPr>
              <w:suppressLineNumbers/>
              <w:suppressAutoHyphens/>
              <w:ind w:firstLine="9"/>
              <w:rPr>
                <w:rFonts w:eastAsiaTheme="minorEastAsia"/>
                <w:lang w:eastAsia="zh-CN"/>
              </w:rPr>
            </w:pPr>
            <w:r w:rsidRPr="00DF42AC">
              <w:rPr>
                <w:rFonts w:eastAsiaTheme="minorEastAsia"/>
                <w:kern w:val="22"/>
                <w:lang w:val="zh-CN" w:eastAsia="zh-CN"/>
              </w:rPr>
              <w:t>指评估拟议开发活动对特定团体或人民社区的生活方式可能产生影响的进程</w:t>
            </w:r>
            <w:r w:rsidRPr="00DF42AC">
              <w:rPr>
                <w:rFonts w:eastAsiaTheme="minorEastAsia"/>
                <w:kern w:val="22"/>
                <w:lang w:eastAsia="zh-CN"/>
              </w:rPr>
              <w:t>，</w:t>
            </w:r>
            <w:r w:rsidRPr="00DF42AC">
              <w:rPr>
                <w:rFonts w:eastAsiaTheme="minorEastAsia"/>
                <w:kern w:val="22"/>
                <w:lang w:val="zh-CN" w:eastAsia="zh-CN"/>
              </w:rPr>
              <w:t>这些团体或人民社区应充分参与其中并可能由其进行评估</w:t>
            </w:r>
            <w:r w:rsidRPr="00DF42AC">
              <w:rPr>
                <w:rFonts w:eastAsiaTheme="minorEastAsia"/>
                <w:kern w:val="22"/>
                <w:lang w:eastAsia="zh-CN"/>
              </w:rPr>
              <w:t>：</w:t>
            </w:r>
            <w:r w:rsidRPr="00DF42AC">
              <w:rPr>
                <w:rFonts w:eastAsiaTheme="minorEastAsia"/>
                <w:kern w:val="22"/>
                <w:lang w:val="zh-CN" w:eastAsia="zh-CN"/>
              </w:rPr>
              <w:t>文化影响评估通常涉及拟议的开发活动对诸如价值观、信仰系统、习惯法、语言、习俗、经济、与当地环境和特定物种的关系、社会组织和受影响社区的传统等可能产生的有利和不利影响。</w:t>
            </w:r>
            <w:r w:rsidRPr="00DF42AC">
              <w:rPr>
                <w:rStyle w:val="FootnoteReference"/>
                <w:rFonts w:eastAsiaTheme="minorEastAsia"/>
                <w:sz w:val="24"/>
                <w:u w:val="none"/>
                <w:vertAlign w:val="superscript"/>
              </w:rPr>
              <w:footnoteReference w:id="222"/>
            </w:r>
          </w:p>
        </w:tc>
      </w:tr>
      <w:tr w:rsidR="00DF42AC" w:rsidRPr="00DF42AC" w:rsidTr="00912BCC">
        <w:trPr>
          <w:gridAfter w:val="1"/>
          <w:wAfter w:w="118" w:type="dxa"/>
          <w:cantSplit/>
        </w:trPr>
        <w:tc>
          <w:tcPr>
            <w:tcW w:w="2943" w:type="dxa"/>
          </w:tcPr>
          <w:p w:rsidR="00DF42AC" w:rsidRPr="00DF42AC" w:rsidRDefault="00DF42AC" w:rsidP="00974D16">
            <w:pPr>
              <w:suppressLineNumbers/>
              <w:suppressAutoHyphens/>
              <w:ind w:hanging="18"/>
              <w:rPr>
                <w:rFonts w:eastAsiaTheme="minorEastAsia"/>
              </w:rPr>
            </w:pPr>
            <w:r w:rsidRPr="00DF42AC">
              <w:rPr>
                <w:rFonts w:eastAsiaTheme="minorEastAsia"/>
                <w:kern w:val="22"/>
                <w:lang w:val="zh-CN"/>
              </w:rPr>
              <w:t>文化遗产影响评估</w:t>
            </w:r>
          </w:p>
        </w:tc>
        <w:tc>
          <w:tcPr>
            <w:tcW w:w="6804" w:type="dxa"/>
            <w:gridSpan w:val="2"/>
          </w:tcPr>
          <w:p w:rsidR="00DF42AC" w:rsidRPr="00DF42AC" w:rsidRDefault="00DF42AC" w:rsidP="00974D16">
            <w:pPr>
              <w:suppressLineNumbers/>
              <w:suppressAutoHyphens/>
              <w:ind w:firstLine="9"/>
              <w:rPr>
                <w:rFonts w:eastAsiaTheme="minorEastAsia"/>
                <w:lang w:eastAsia="zh-CN"/>
              </w:rPr>
            </w:pPr>
            <w:r w:rsidRPr="00DF42AC">
              <w:rPr>
                <w:rFonts w:eastAsiaTheme="minorEastAsia"/>
                <w:kern w:val="22"/>
                <w:lang w:val="zh-CN" w:eastAsia="zh-CN"/>
              </w:rPr>
              <w:t>指评估拟议开发活动对社区的文化遗产</w:t>
            </w:r>
            <w:r w:rsidRPr="00DF42AC">
              <w:rPr>
                <w:rFonts w:eastAsiaTheme="minorEastAsia"/>
                <w:kern w:val="22"/>
                <w:lang w:eastAsia="zh-CN"/>
              </w:rPr>
              <w:t>，</w:t>
            </w:r>
            <w:r w:rsidRPr="00DF42AC">
              <w:rPr>
                <w:rFonts w:eastAsiaTheme="minorEastAsia"/>
                <w:kern w:val="22"/>
                <w:lang w:val="zh-CN" w:eastAsia="zh-CN"/>
              </w:rPr>
              <w:t>包括具有考古、建筑、历史、宗教、精神、文化、生态或美学价值或意义的遗址、结构和遗物的有形表现可能产生的有利和不利影响的进程。</w:t>
            </w:r>
            <w:r w:rsidRPr="00DF42AC">
              <w:rPr>
                <w:rStyle w:val="FootnoteReference"/>
                <w:rFonts w:eastAsiaTheme="minorEastAsia"/>
                <w:sz w:val="24"/>
                <w:u w:val="none"/>
                <w:vertAlign w:val="superscript"/>
              </w:rPr>
              <w:footnoteReference w:id="223"/>
            </w:r>
          </w:p>
        </w:tc>
      </w:tr>
      <w:tr w:rsidR="00DF42AC" w:rsidRPr="00DF42AC" w:rsidTr="00912BCC">
        <w:trPr>
          <w:gridAfter w:val="1"/>
          <w:wAfter w:w="118" w:type="dxa"/>
          <w:cantSplit/>
        </w:trPr>
        <w:tc>
          <w:tcPr>
            <w:tcW w:w="2943" w:type="dxa"/>
          </w:tcPr>
          <w:p w:rsidR="00DF42AC" w:rsidRPr="00DF42AC" w:rsidRDefault="00DF42AC" w:rsidP="00974D16">
            <w:pPr>
              <w:suppressLineNumbers/>
              <w:suppressAutoHyphens/>
              <w:ind w:hanging="18"/>
              <w:rPr>
                <w:rFonts w:eastAsiaTheme="minorEastAsia"/>
              </w:rPr>
            </w:pPr>
            <w:r w:rsidRPr="00DF42AC">
              <w:rPr>
                <w:rFonts w:eastAsiaTheme="minorEastAsia"/>
                <w:kern w:val="22"/>
                <w:lang w:val="zh-CN"/>
              </w:rPr>
              <w:t>习惯法</w:t>
            </w:r>
          </w:p>
        </w:tc>
        <w:tc>
          <w:tcPr>
            <w:tcW w:w="6804" w:type="dxa"/>
            <w:gridSpan w:val="2"/>
          </w:tcPr>
          <w:p w:rsidR="00DF42AC" w:rsidRPr="00DF42AC" w:rsidRDefault="00DF42AC" w:rsidP="00974D16">
            <w:pPr>
              <w:suppressLineNumbers/>
              <w:suppressAutoHyphens/>
              <w:ind w:firstLine="9"/>
              <w:rPr>
                <w:rFonts w:eastAsiaTheme="minorEastAsia"/>
                <w:lang w:eastAsia="zh-CN"/>
              </w:rPr>
            </w:pPr>
            <w:r w:rsidRPr="00DF42AC">
              <w:rPr>
                <w:rFonts w:eastAsiaTheme="minorEastAsia"/>
                <w:kern w:val="22"/>
                <w:lang w:val="zh-CN" w:eastAsia="zh-CN"/>
              </w:rPr>
              <w:t>含有被作为法定要求或务必遵守的行为规则而需接受的习俗的法律</w:t>
            </w:r>
            <w:r w:rsidRPr="00DF42AC">
              <w:rPr>
                <w:rFonts w:eastAsiaTheme="minorEastAsia"/>
                <w:kern w:val="22"/>
                <w:lang w:eastAsia="zh-CN"/>
              </w:rPr>
              <w:t>；</w:t>
            </w:r>
            <w:r w:rsidRPr="00DF42AC">
              <w:rPr>
                <w:rFonts w:eastAsiaTheme="minorEastAsia"/>
                <w:kern w:val="22"/>
                <w:lang w:val="zh-CN" w:eastAsia="zh-CN"/>
              </w:rPr>
              <w:t>在社会和经济体系中固有且十分重要的一部分而被当作法律对待的做法和信仰。</w:t>
            </w:r>
            <w:r w:rsidRPr="00DF42AC">
              <w:rPr>
                <w:rStyle w:val="FootnoteReference"/>
                <w:rFonts w:eastAsiaTheme="minorEastAsia"/>
                <w:sz w:val="24"/>
                <w:u w:val="none"/>
                <w:vertAlign w:val="superscript"/>
              </w:rPr>
              <w:footnoteReference w:id="224"/>
            </w:r>
          </w:p>
        </w:tc>
      </w:tr>
      <w:tr w:rsidR="00DF42AC" w:rsidRPr="00DF42AC" w:rsidTr="00912BCC">
        <w:trPr>
          <w:gridAfter w:val="1"/>
          <w:wAfter w:w="118" w:type="dxa"/>
          <w:cantSplit/>
        </w:trPr>
        <w:tc>
          <w:tcPr>
            <w:tcW w:w="2943" w:type="dxa"/>
          </w:tcPr>
          <w:p w:rsidR="00DF42AC" w:rsidRPr="00DF42AC" w:rsidRDefault="00DF42AC" w:rsidP="00974D16">
            <w:pPr>
              <w:suppressLineNumbers/>
              <w:suppressAutoHyphens/>
              <w:ind w:hanging="18"/>
              <w:rPr>
                <w:rFonts w:eastAsiaTheme="minorEastAsia"/>
              </w:rPr>
            </w:pPr>
            <w:r w:rsidRPr="00DF42AC">
              <w:rPr>
                <w:rFonts w:eastAsiaTheme="minorEastAsia"/>
                <w:kern w:val="22"/>
                <w:lang w:val="zh-CN"/>
              </w:rPr>
              <w:t>环境影响评估</w:t>
            </w:r>
          </w:p>
        </w:tc>
        <w:tc>
          <w:tcPr>
            <w:tcW w:w="6804" w:type="dxa"/>
            <w:gridSpan w:val="2"/>
          </w:tcPr>
          <w:p w:rsidR="00DF42AC" w:rsidRPr="00DF42AC" w:rsidRDefault="00DF42AC" w:rsidP="00974D16">
            <w:pPr>
              <w:suppressLineNumbers/>
              <w:suppressAutoHyphens/>
              <w:ind w:firstLine="9"/>
              <w:rPr>
                <w:rFonts w:eastAsiaTheme="minorEastAsia"/>
                <w:lang w:eastAsia="zh-CN"/>
              </w:rPr>
            </w:pPr>
            <w:r w:rsidRPr="00DF42AC">
              <w:rPr>
                <w:rFonts w:eastAsiaTheme="minorEastAsia"/>
                <w:kern w:val="22"/>
                <w:lang w:val="zh-CN" w:eastAsia="zh-CN"/>
              </w:rPr>
              <w:t>对拟议开发活动可能产生的环境影响进行评价并提出适当的减轻影响措施的进程</w:t>
            </w:r>
            <w:r w:rsidRPr="00DF42AC">
              <w:rPr>
                <w:rFonts w:eastAsiaTheme="minorEastAsia"/>
                <w:kern w:val="22"/>
                <w:lang w:eastAsia="zh-CN"/>
              </w:rPr>
              <w:t>，</w:t>
            </w:r>
            <w:r w:rsidRPr="00DF42AC">
              <w:rPr>
                <w:rFonts w:eastAsiaTheme="minorEastAsia"/>
                <w:kern w:val="22"/>
                <w:lang w:val="zh-CN" w:eastAsia="zh-CN"/>
              </w:rPr>
              <w:t>其中同时考虑到对相互关联的社会经济、文化与人类健康产生的有利和不利影响。</w:t>
            </w:r>
            <w:r w:rsidRPr="00DF42AC">
              <w:rPr>
                <w:rStyle w:val="FootnoteReference"/>
                <w:rFonts w:eastAsiaTheme="minorEastAsia"/>
                <w:sz w:val="24"/>
                <w:u w:val="none"/>
                <w:vertAlign w:val="superscript"/>
              </w:rPr>
              <w:footnoteReference w:id="225"/>
            </w:r>
          </w:p>
        </w:tc>
      </w:tr>
      <w:tr w:rsidR="00DF42AC" w:rsidRPr="00DF42AC" w:rsidTr="00912BCC">
        <w:trPr>
          <w:gridAfter w:val="1"/>
          <w:wAfter w:w="118" w:type="dxa"/>
          <w:cantSplit/>
        </w:trPr>
        <w:tc>
          <w:tcPr>
            <w:tcW w:w="2943" w:type="dxa"/>
          </w:tcPr>
          <w:p w:rsidR="00DF42AC" w:rsidRPr="00DF42AC" w:rsidRDefault="00DF42AC" w:rsidP="00974D16">
            <w:pPr>
              <w:suppressLineNumbers/>
              <w:suppressAutoHyphens/>
              <w:ind w:firstLine="0"/>
              <w:rPr>
                <w:rFonts w:eastAsiaTheme="minorEastAsia"/>
              </w:rPr>
            </w:pPr>
            <w:r w:rsidRPr="00DF42AC">
              <w:rPr>
                <w:rFonts w:eastAsiaTheme="minorEastAsia"/>
                <w:kern w:val="22"/>
                <w:lang w:val="zh-CN"/>
              </w:rPr>
              <w:lastRenderedPageBreak/>
              <w:t>圣地</w:t>
            </w:r>
          </w:p>
        </w:tc>
        <w:tc>
          <w:tcPr>
            <w:tcW w:w="6804" w:type="dxa"/>
            <w:gridSpan w:val="2"/>
          </w:tcPr>
          <w:p w:rsidR="00DF42AC" w:rsidRPr="00DF42AC" w:rsidRDefault="00DF42AC" w:rsidP="00974D16">
            <w:pPr>
              <w:suppressLineNumbers/>
              <w:suppressAutoHyphens/>
              <w:autoSpaceDE w:val="0"/>
              <w:autoSpaceDN w:val="0"/>
              <w:adjustRightInd w:val="0"/>
              <w:ind w:firstLine="9"/>
              <w:rPr>
                <w:rFonts w:eastAsiaTheme="minorEastAsia"/>
                <w:lang w:eastAsia="zh-CN"/>
              </w:rPr>
            </w:pPr>
            <w:r w:rsidRPr="00DF42AC">
              <w:rPr>
                <w:rFonts w:eastAsiaTheme="minorEastAsia"/>
                <w:kern w:val="22"/>
                <w:lang w:val="zh-CN" w:eastAsia="zh-CN"/>
              </w:rPr>
              <w:t>可以指由国家政府或土著社区持有</w:t>
            </w:r>
            <w:r w:rsidRPr="00DF42AC">
              <w:rPr>
                <w:rFonts w:eastAsiaTheme="minorEastAsia"/>
                <w:kern w:val="22"/>
                <w:lang w:eastAsia="zh-CN"/>
              </w:rPr>
              <w:t>，</w:t>
            </w:r>
            <w:r w:rsidRPr="00DF42AC">
              <w:rPr>
                <w:rFonts w:eastAsiaTheme="minorEastAsia"/>
                <w:kern w:val="22"/>
                <w:lang w:val="zh-CN" w:eastAsia="zh-CN"/>
              </w:rPr>
              <w:t>而由于其宗教和</w:t>
            </w:r>
            <w:r w:rsidRPr="00DF42AC">
              <w:rPr>
                <w:rFonts w:eastAsiaTheme="minorEastAsia"/>
                <w:kern w:val="22"/>
                <w:lang w:eastAsia="zh-CN"/>
              </w:rPr>
              <w:t>/</w:t>
            </w:r>
            <w:r w:rsidRPr="00DF42AC">
              <w:rPr>
                <w:rFonts w:eastAsiaTheme="minorEastAsia"/>
                <w:kern w:val="22"/>
                <w:lang w:val="zh-CN" w:eastAsia="zh-CN"/>
              </w:rPr>
              <w:t>或精神意义而按土著或地方社区的习俗具有特别重要意义的场所、物体、建筑、区域或自然地貌或区域。</w:t>
            </w:r>
            <w:r w:rsidRPr="00DF42AC">
              <w:rPr>
                <w:rStyle w:val="FootnoteReference"/>
                <w:rFonts w:eastAsiaTheme="minorEastAsia"/>
                <w:sz w:val="24"/>
                <w:u w:val="none"/>
                <w:vertAlign w:val="superscript"/>
              </w:rPr>
              <w:footnoteReference w:id="226"/>
            </w:r>
          </w:p>
        </w:tc>
      </w:tr>
      <w:tr w:rsidR="00DF42AC" w:rsidRPr="00DF42AC" w:rsidTr="00912BCC">
        <w:trPr>
          <w:gridAfter w:val="1"/>
          <w:wAfter w:w="118" w:type="dxa"/>
          <w:cantSplit/>
        </w:trPr>
        <w:tc>
          <w:tcPr>
            <w:tcW w:w="2943" w:type="dxa"/>
          </w:tcPr>
          <w:p w:rsidR="00DF42AC" w:rsidRPr="00DF42AC" w:rsidRDefault="00DF42AC" w:rsidP="00974D16">
            <w:pPr>
              <w:suppressLineNumbers/>
              <w:suppressAutoHyphens/>
              <w:ind w:firstLine="0"/>
              <w:rPr>
                <w:rFonts w:eastAsiaTheme="minorEastAsia"/>
              </w:rPr>
            </w:pPr>
            <w:r w:rsidRPr="00DF42AC">
              <w:rPr>
                <w:rFonts w:eastAsiaTheme="minorEastAsia"/>
                <w:kern w:val="22"/>
                <w:lang w:val="zh-CN"/>
              </w:rPr>
              <w:t>社会影响评估</w:t>
            </w:r>
          </w:p>
        </w:tc>
        <w:tc>
          <w:tcPr>
            <w:tcW w:w="6804" w:type="dxa"/>
            <w:gridSpan w:val="2"/>
          </w:tcPr>
          <w:p w:rsidR="00DF42AC" w:rsidRPr="00DF42AC" w:rsidRDefault="00DF42AC" w:rsidP="00974D16">
            <w:pPr>
              <w:suppressLineNumbers/>
              <w:suppressAutoHyphens/>
              <w:ind w:firstLine="9"/>
              <w:rPr>
                <w:rFonts w:eastAsiaTheme="minorEastAsia"/>
                <w:lang w:eastAsia="zh-CN"/>
              </w:rPr>
            </w:pPr>
            <w:r w:rsidRPr="00DF42AC">
              <w:rPr>
                <w:rFonts w:eastAsiaTheme="minorEastAsia"/>
                <w:kern w:val="22"/>
                <w:lang w:val="zh-CN" w:eastAsia="zh-CN"/>
              </w:rPr>
              <w:t>评估提议开发活动对受影响的社区的权利</w:t>
            </w:r>
            <w:r w:rsidRPr="00DF42AC">
              <w:rPr>
                <w:rFonts w:eastAsiaTheme="minorEastAsia"/>
                <w:kern w:val="22"/>
                <w:lang w:eastAsia="zh-CN"/>
              </w:rPr>
              <w:t>(</w:t>
            </w:r>
            <w:r w:rsidRPr="00DF42AC">
              <w:rPr>
                <w:rFonts w:eastAsiaTheme="minorEastAsia"/>
                <w:kern w:val="22"/>
                <w:lang w:val="zh-CN" w:eastAsia="zh-CN"/>
              </w:rPr>
              <w:t>包括经济、社会、文化、公民和政治方面</w:t>
            </w:r>
            <w:r w:rsidRPr="00DF42AC">
              <w:rPr>
                <w:rFonts w:eastAsiaTheme="minorEastAsia"/>
                <w:kern w:val="22"/>
                <w:lang w:eastAsia="zh-CN"/>
              </w:rPr>
              <w:t>)</w:t>
            </w:r>
            <w:r w:rsidRPr="00DF42AC">
              <w:rPr>
                <w:rFonts w:eastAsiaTheme="minorEastAsia"/>
                <w:kern w:val="22"/>
                <w:lang w:val="zh-CN" w:eastAsia="zh-CN"/>
              </w:rPr>
              <w:t>及幸福、活力和生存力</w:t>
            </w:r>
            <w:r w:rsidRPr="00DF42AC">
              <w:rPr>
                <w:rFonts w:eastAsiaTheme="minorEastAsia"/>
                <w:kern w:val="22"/>
                <w:lang w:eastAsia="zh-CN"/>
              </w:rPr>
              <w:t xml:space="preserve"> - </w:t>
            </w:r>
            <w:r w:rsidRPr="00DF42AC">
              <w:rPr>
                <w:rFonts w:eastAsiaTheme="minorEastAsia"/>
                <w:kern w:val="22"/>
                <w:lang w:val="zh-CN" w:eastAsia="zh-CN"/>
              </w:rPr>
              <w:t>即用各种社会</w:t>
            </w:r>
            <w:r w:rsidRPr="00DF42AC">
              <w:rPr>
                <w:rFonts w:eastAsiaTheme="minorEastAsia"/>
                <w:kern w:val="22"/>
                <w:lang w:eastAsia="zh-CN"/>
              </w:rPr>
              <w:t>-</w:t>
            </w:r>
            <w:r w:rsidRPr="00DF42AC">
              <w:rPr>
                <w:rFonts w:eastAsiaTheme="minorEastAsia"/>
                <w:kern w:val="22"/>
                <w:lang w:val="zh-CN" w:eastAsia="zh-CN"/>
              </w:rPr>
              <w:t>经济指标</w:t>
            </w:r>
            <w:r w:rsidRPr="00DF42AC">
              <w:rPr>
                <w:rFonts w:eastAsiaTheme="minorEastAsia"/>
                <w:kern w:val="22"/>
                <w:lang w:eastAsia="zh-CN"/>
              </w:rPr>
              <w:t>(</w:t>
            </w:r>
            <w:r w:rsidRPr="00DF42AC">
              <w:rPr>
                <w:rFonts w:eastAsiaTheme="minorEastAsia"/>
                <w:kern w:val="22"/>
                <w:lang w:val="zh-CN" w:eastAsia="zh-CN"/>
              </w:rPr>
              <w:t>如收入分配、人身和社会完整性及对个人和社区的保护、就业水平和就业机会、健康和福利、教育以及住房和居所的可供性和标准、基础设施和服务等</w:t>
            </w:r>
            <w:r w:rsidRPr="00DF42AC">
              <w:rPr>
                <w:rFonts w:eastAsiaTheme="minorEastAsia"/>
                <w:kern w:val="22"/>
                <w:lang w:eastAsia="zh-CN"/>
              </w:rPr>
              <w:t>)</w:t>
            </w:r>
            <w:r w:rsidRPr="00DF42AC">
              <w:rPr>
                <w:rFonts w:eastAsiaTheme="minorEastAsia"/>
                <w:kern w:val="22"/>
                <w:lang w:val="zh-CN" w:eastAsia="zh-CN"/>
              </w:rPr>
              <w:t>来衡量的社区生活的质量可能产生有利和不利的影响的进程。</w:t>
            </w:r>
            <w:r w:rsidRPr="00DF42AC">
              <w:rPr>
                <w:rStyle w:val="FootnoteReference"/>
                <w:rFonts w:eastAsiaTheme="minorEastAsia"/>
                <w:sz w:val="24"/>
                <w:u w:val="none"/>
                <w:vertAlign w:val="superscript"/>
              </w:rPr>
              <w:footnoteReference w:id="227"/>
            </w:r>
          </w:p>
        </w:tc>
      </w:tr>
      <w:tr w:rsidR="00DF42AC" w:rsidRPr="00DF42AC" w:rsidTr="00912BCC">
        <w:trPr>
          <w:gridAfter w:val="1"/>
          <w:wAfter w:w="118" w:type="dxa"/>
          <w:cantSplit/>
        </w:trPr>
        <w:tc>
          <w:tcPr>
            <w:tcW w:w="2943" w:type="dxa"/>
          </w:tcPr>
          <w:p w:rsidR="00DF42AC" w:rsidRPr="00DF42AC" w:rsidRDefault="00DF42AC" w:rsidP="00974D16">
            <w:pPr>
              <w:suppressLineNumbers/>
              <w:suppressAutoHyphens/>
              <w:ind w:firstLine="0"/>
              <w:rPr>
                <w:rFonts w:eastAsiaTheme="minorEastAsia"/>
              </w:rPr>
            </w:pPr>
            <w:r w:rsidRPr="00DF42AC">
              <w:rPr>
                <w:rFonts w:eastAsiaTheme="minorEastAsia"/>
                <w:kern w:val="22"/>
                <w:lang w:val="zh-CN"/>
              </w:rPr>
              <w:t>战略环境评估</w:t>
            </w:r>
          </w:p>
        </w:tc>
        <w:tc>
          <w:tcPr>
            <w:tcW w:w="6804" w:type="dxa"/>
            <w:gridSpan w:val="2"/>
          </w:tcPr>
          <w:p w:rsidR="00DF42AC" w:rsidRPr="00DF42AC" w:rsidRDefault="00DF42AC" w:rsidP="00974D16">
            <w:pPr>
              <w:suppressLineNumbers/>
              <w:suppressAutoHyphens/>
              <w:ind w:firstLine="9"/>
              <w:rPr>
                <w:rFonts w:eastAsiaTheme="minorEastAsia"/>
                <w:lang w:eastAsia="zh-CN"/>
              </w:rPr>
            </w:pPr>
            <w:r w:rsidRPr="00DF42AC">
              <w:rPr>
                <w:rFonts w:eastAsiaTheme="minorEastAsia"/>
                <w:kern w:val="22"/>
                <w:lang w:val="zh-CN" w:eastAsia="zh-CN"/>
              </w:rPr>
              <w:t>评估拟议政策、计划或方案对环境可能产生的影响果，以确保这些影响同经济、社会和文化因素一起被纳入决策早期阶段并得到处理的进程。</w:t>
            </w:r>
            <w:r w:rsidRPr="00DF42AC">
              <w:rPr>
                <w:rStyle w:val="FootnoteReference"/>
                <w:rFonts w:eastAsiaTheme="minorEastAsia"/>
                <w:sz w:val="24"/>
                <w:u w:val="none"/>
                <w:vertAlign w:val="superscript"/>
              </w:rPr>
              <w:footnoteReference w:id="228"/>
            </w:r>
          </w:p>
        </w:tc>
      </w:tr>
      <w:tr w:rsidR="00DF42AC" w:rsidRPr="00DF42AC" w:rsidTr="00912BCC">
        <w:trPr>
          <w:gridAfter w:val="1"/>
          <w:wAfter w:w="118" w:type="dxa"/>
          <w:cantSplit/>
        </w:trPr>
        <w:tc>
          <w:tcPr>
            <w:tcW w:w="9747" w:type="dxa"/>
            <w:gridSpan w:val="3"/>
          </w:tcPr>
          <w:p w:rsidR="00DF42AC" w:rsidRPr="00DF42AC" w:rsidRDefault="00DF42AC" w:rsidP="00DF42AC">
            <w:pPr>
              <w:keepNext/>
              <w:suppressLineNumbers/>
              <w:suppressAutoHyphens/>
              <w:ind w:left="360"/>
              <w:jc w:val="center"/>
              <w:rPr>
                <w:rFonts w:eastAsiaTheme="minorEastAsia"/>
                <w:lang w:eastAsia="zh-CN"/>
              </w:rPr>
            </w:pPr>
            <w:r w:rsidRPr="00DF42AC">
              <w:rPr>
                <w:rFonts w:eastAsiaTheme="minorEastAsia"/>
                <w:b/>
                <w:kern w:val="22"/>
                <w:lang w:val="zh-CN" w:eastAsia="zh-CN"/>
              </w:rPr>
              <w:t xml:space="preserve">B.  </w:t>
            </w:r>
            <w:r w:rsidRPr="00DF42AC">
              <w:rPr>
                <w:rFonts w:eastAsiaTheme="minorEastAsia"/>
                <w:b/>
                <w:kern w:val="22"/>
                <w:lang w:val="zh-CN" w:eastAsia="zh-CN"/>
              </w:rPr>
              <w:t>《</w:t>
            </w:r>
            <w:r w:rsidRPr="001E3250">
              <w:rPr>
                <w:rFonts w:asciiTheme="minorEastAsia" w:eastAsiaTheme="minorEastAsia" w:hAnsiTheme="minorEastAsia"/>
                <w:b/>
                <w:kern w:val="22"/>
                <w:lang w:val="zh-CN" w:eastAsia="zh-CN"/>
              </w:rPr>
              <w:t>“生命之根”</w:t>
            </w:r>
            <w:r w:rsidRPr="00DF42AC">
              <w:rPr>
                <w:rFonts w:eastAsiaTheme="minorEastAsia"/>
                <w:b/>
                <w:kern w:val="22"/>
                <w:lang w:val="zh-CN" w:eastAsia="zh-CN"/>
              </w:rPr>
              <w:t>自愿准则》</w:t>
            </w:r>
            <w:r w:rsidRPr="00DF42AC">
              <w:rPr>
                <w:rFonts w:eastAsiaTheme="minorEastAsia"/>
                <w:kern w:val="22"/>
                <w:lang w:val="zh-CN" w:eastAsia="zh-CN"/>
              </w:rPr>
              <w:t>（第</w:t>
            </w:r>
            <w:r w:rsidRPr="00DF42AC">
              <w:rPr>
                <w:rFonts w:eastAsiaTheme="minorEastAsia"/>
                <w:kern w:val="22"/>
                <w:lang w:val="zh-CN" w:eastAsia="zh-CN"/>
              </w:rPr>
              <w:t>XIII/18</w:t>
            </w:r>
            <w:r w:rsidRPr="00DF42AC">
              <w:rPr>
                <w:rFonts w:eastAsiaTheme="minorEastAsia"/>
                <w:kern w:val="22"/>
                <w:lang w:val="zh-CN" w:eastAsia="zh-CN"/>
              </w:rPr>
              <w:t>号决定，附件）</w:t>
            </w:r>
            <w:r w:rsidRPr="00DF42AC">
              <w:rPr>
                <w:rStyle w:val="FootnoteReference"/>
                <w:rFonts w:eastAsiaTheme="minorEastAsia"/>
                <w:sz w:val="24"/>
                <w:u w:val="none"/>
                <w:vertAlign w:val="superscript"/>
              </w:rPr>
              <w:footnoteReference w:id="229"/>
            </w:r>
          </w:p>
        </w:tc>
      </w:tr>
      <w:tr w:rsidR="00DF42AC" w:rsidRPr="00DF42AC" w:rsidTr="00912BCC">
        <w:trPr>
          <w:gridAfter w:val="1"/>
          <w:wAfter w:w="118" w:type="dxa"/>
          <w:cantSplit/>
        </w:trPr>
        <w:tc>
          <w:tcPr>
            <w:tcW w:w="2943" w:type="dxa"/>
          </w:tcPr>
          <w:p w:rsidR="00DF42AC" w:rsidRPr="00DF42AC" w:rsidRDefault="00DF42AC" w:rsidP="00974D16">
            <w:pPr>
              <w:suppressLineNumbers/>
              <w:suppressAutoHyphens/>
              <w:ind w:firstLine="0"/>
              <w:rPr>
                <w:rFonts w:eastAsiaTheme="minorEastAsia"/>
              </w:rPr>
            </w:pPr>
            <w:r w:rsidRPr="00DF42AC">
              <w:rPr>
                <w:rFonts w:eastAsiaTheme="minorEastAsia"/>
                <w:b/>
                <w:kern w:val="22"/>
                <w:lang w:val="zh-CN"/>
              </w:rPr>
              <w:t>术语或概念</w:t>
            </w:r>
          </w:p>
        </w:tc>
        <w:tc>
          <w:tcPr>
            <w:tcW w:w="6804" w:type="dxa"/>
            <w:gridSpan w:val="2"/>
          </w:tcPr>
          <w:p w:rsidR="00DF42AC" w:rsidRPr="00DF42AC" w:rsidRDefault="00DF42AC" w:rsidP="00974D16">
            <w:pPr>
              <w:suppressLineNumbers/>
              <w:suppressAutoHyphens/>
              <w:ind w:firstLine="9"/>
              <w:rPr>
                <w:rFonts w:eastAsiaTheme="minorEastAsia"/>
                <w:b/>
                <w:i/>
                <w:kern w:val="22"/>
                <w:lang w:eastAsia="zh-CN"/>
              </w:rPr>
            </w:pPr>
            <w:r w:rsidRPr="00DF42AC">
              <w:rPr>
                <w:rFonts w:eastAsiaTheme="minorEastAsia"/>
                <w:b/>
                <w:kern w:val="22"/>
                <w:lang w:val="zh-CN" w:eastAsia="zh-CN"/>
              </w:rPr>
              <w:t>对《公约》第</w:t>
            </w:r>
            <w:r w:rsidRPr="00DF42AC">
              <w:rPr>
                <w:rFonts w:eastAsiaTheme="minorEastAsia"/>
                <w:b/>
                <w:kern w:val="22"/>
                <w:lang w:val="zh-CN" w:eastAsia="zh-CN"/>
              </w:rPr>
              <w:t>8(j)</w:t>
            </w:r>
            <w:r w:rsidRPr="00DF42AC">
              <w:rPr>
                <w:rFonts w:eastAsiaTheme="minorEastAsia"/>
                <w:b/>
                <w:kern w:val="22"/>
                <w:lang w:val="zh-CN" w:eastAsia="zh-CN"/>
              </w:rPr>
              <w:t>条范围内使用的术语或概念的理解</w:t>
            </w:r>
          </w:p>
          <w:p w:rsidR="00DF42AC" w:rsidRPr="00DF42AC" w:rsidRDefault="00DF42AC" w:rsidP="00974D16">
            <w:pPr>
              <w:suppressLineNumbers/>
              <w:suppressAutoHyphens/>
              <w:ind w:firstLine="9"/>
              <w:rPr>
                <w:rFonts w:eastAsiaTheme="minorEastAsia"/>
                <w:lang w:eastAsia="zh-CN"/>
              </w:rPr>
            </w:pPr>
            <w:r w:rsidRPr="00DF42AC">
              <w:rPr>
                <w:rFonts w:eastAsiaTheme="minorEastAsia"/>
                <w:kern w:val="22"/>
                <w:lang w:eastAsia="zh-CN"/>
              </w:rPr>
              <w:t>请注意</w:t>
            </w:r>
            <w:r w:rsidRPr="00DF42AC">
              <w:rPr>
                <w:rFonts w:eastAsiaTheme="minorEastAsia"/>
                <w:kern w:val="22"/>
                <w:lang w:val="zh-CN" w:eastAsia="zh-CN"/>
              </w:rPr>
              <w:t>这些术语是在《生物多样性公约》授权范围内的传统知识的获取的背景下来理解</w:t>
            </w:r>
          </w:p>
        </w:tc>
      </w:tr>
      <w:tr w:rsidR="00DF42AC" w:rsidRPr="00DF42AC" w:rsidTr="00912BCC">
        <w:trPr>
          <w:gridAfter w:val="1"/>
          <w:wAfter w:w="118" w:type="dxa"/>
          <w:cantSplit/>
        </w:trPr>
        <w:tc>
          <w:tcPr>
            <w:tcW w:w="2943" w:type="dxa"/>
          </w:tcPr>
          <w:p w:rsidR="00DF42AC" w:rsidRPr="000932B0" w:rsidRDefault="00DF42AC" w:rsidP="00974D16">
            <w:pPr>
              <w:suppressLineNumbers/>
              <w:suppressAutoHyphens/>
              <w:ind w:firstLine="0"/>
              <w:rPr>
                <w:rFonts w:asciiTheme="minorEastAsia" w:eastAsiaTheme="minorEastAsia" w:hAnsiTheme="minorEastAsia"/>
                <w:lang w:eastAsia="zh-CN"/>
              </w:rPr>
            </w:pPr>
            <w:r w:rsidRPr="000932B0">
              <w:rPr>
                <w:rFonts w:asciiTheme="minorEastAsia" w:eastAsiaTheme="minorEastAsia" w:hAnsiTheme="minorEastAsia"/>
                <w:kern w:val="22"/>
                <w:lang w:eastAsia="zh-CN"/>
              </w:rPr>
              <w:lastRenderedPageBreak/>
              <w:t>“</w:t>
            </w:r>
            <w:r w:rsidRPr="000932B0">
              <w:rPr>
                <w:rFonts w:asciiTheme="minorEastAsia" w:eastAsiaTheme="minorEastAsia" w:hAnsiTheme="minorEastAsia"/>
                <w:kern w:val="22"/>
                <w:lang w:val="zh-CN" w:eastAsia="zh-CN"/>
              </w:rPr>
              <w:t>事先和知情同意</w:t>
            </w:r>
            <w:r w:rsidRPr="000932B0">
              <w:rPr>
                <w:rFonts w:asciiTheme="minorEastAsia" w:eastAsiaTheme="minorEastAsia" w:hAnsiTheme="minorEastAsia"/>
                <w:kern w:val="22"/>
                <w:lang w:eastAsia="zh-CN"/>
              </w:rPr>
              <w:t>”</w:t>
            </w:r>
            <w:r w:rsidRPr="000932B0">
              <w:rPr>
                <w:rFonts w:asciiTheme="minorEastAsia" w:eastAsiaTheme="minorEastAsia" w:hAnsiTheme="minorEastAsia"/>
                <w:kern w:val="22"/>
                <w:lang w:val="zh-CN" w:eastAsia="zh-CN"/>
              </w:rPr>
              <w:t>或</w:t>
            </w:r>
            <w:r w:rsidRPr="000932B0">
              <w:rPr>
                <w:rFonts w:asciiTheme="minorEastAsia" w:eastAsiaTheme="minorEastAsia" w:hAnsiTheme="minorEastAsia"/>
                <w:kern w:val="22"/>
                <w:lang w:eastAsia="zh-CN"/>
              </w:rPr>
              <w:t>“</w:t>
            </w:r>
            <w:r w:rsidRPr="000932B0">
              <w:rPr>
                <w:rFonts w:asciiTheme="minorEastAsia" w:eastAsiaTheme="minorEastAsia" w:hAnsiTheme="minorEastAsia"/>
                <w:kern w:val="22"/>
                <w:lang w:val="zh-CN" w:eastAsia="zh-CN"/>
              </w:rPr>
              <w:t>自由、事先和知情同意</w:t>
            </w:r>
            <w:r w:rsidRPr="000932B0">
              <w:rPr>
                <w:rFonts w:asciiTheme="minorEastAsia" w:eastAsiaTheme="minorEastAsia" w:hAnsiTheme="minorEastAsia"/>
                <w:kern w:val="22"/>
                <w:lang w:eastAsia="zh-CN"/>
              </w:rPr>
              <w:t>”</w:t>
            </w:r>
            <w:r w:rsidRPr="000932B0">
              <w:rPr>
                <w:rFonts w:asciiTheme="minorEastAsia" w:eastAsiaTheme="minorEastAsia" w:hAnsiTheme="minorEastAsia"/>
                <w:kern w:val="22"/>
                <w:lang w:val="zh-CN" w:eastAsia="zh-CN"/>
              </w:rPr>
              <w:t>或</w:t>
            </w:r>
            <w:r w:rsidRPr="000932B0">
              <w:rPr>
                <w:rFonts w:asciiTheme="minorEastAsia" w:eastAsiaTheme="minorEastAsia" w:hAnsiTheme="minorEastAsia"/>
                <w:kern w:val="22"/>
                <w:lang w:eastAsia="zh-CN"/>
              </w:rPr>
              <w:t>“</w:t>
            </w:r>
            <w:r w:rsidRPr="000932B0">
              <w:rPr>
                <w:rFonts w:asciiTheme="minorEastAsia" w:eastAsiaTheme="minorEastAsia" w:hAnsiTheme="minorEastAsia"/>
                <w:kern w:val="22"/>
                <w:lang w:val="zh-CN" w:eastAsia="zh-CN"/>
              </w:rPr>
              <w:t>核准和参与</w:t>
            </w:r>
            <w:r w:rsidRPr="000932B0">
              <w:rPr>
                <w:rFonts w:asciiTheme="minorEastAsia" w:eastAsiaTheme="minorEastAsia" w:hAnsiTheme="minorEastAsia"/>
                <w:kern w:val="22"/>
                <w:lang w:eastAsia="zh-CN"/>
              </w:rPr>
              <w:t>”</w:t>
            </w:r>
          </w:p>
        </w:tc>
        <w:tc>
          <w:tcPr>
            <w:tcW w:w="6804" w:type="dxa"/>
            <w:gridSpan w:val="2"/>
          </w:tcPr>
          <w:p w:rsidR="00DF42AC" w:rsidRPr="00DF42AC" w:rsidRDefault="00DF42AC" w:rsidP="00974D16">
            <w:pPr>
              <w:suppressLineNumbers/>
              <w:suppressAutoHyphens/>
              <w:autoSpaceDE w:val="0"/>
              <w:autoSpaceDN w:val="0"/>
              <w:adjustRightInd w:val="0"/>
              <w:ind w:firstLine="9"/>
              <w:rPr>
                <w:rFonts w:eastAsiaTheme="minorEastAsia"/>
                <w:kern w:val="22"/>
                <w:lang w:eastAsia="zh-CN"/>
              </w:rPr>
            </w:pPr>
            <w:r w:rsidRPr="00DF42AC">
              <w:rPr>
                <w:rStyle w:val="shorttext"/>
                <w:rFonts w:eastAsiaTheme="minorEastAsia"/>
                <w:lang w:val="zh-CN" w:eastAsia="zh-CN"/>
              </w:rPr>
              <w:t>自由是指土著人民和地方社区不受压力、恐吓</w:t>
            </w:r>
            <w:r w:rsidRPr="00DF42AC">
              <w:rPr>
                <w:rStyle w:val="shorttext"/>
                <w:rFonts w:eastAsiaTheme="minorEastAsia"/>
                <w:lang w:eastAsia="zh-CN"/>
              </w:rPr>
              <w:t>，</w:t>
            </w:r>
            <w:r w:rsidRPr="00DF42AC">
              <w:rPr>
                <w:rStyle w:val="shorttext"/>
                <w:rFonts w:eastAsiaTheme="minorEastAsia"/>
                <w:lang w:val="zh-CN" w:eastAsia="zh-CN"/>
              </w:rPr>
              <w:t>操纵或不当影响</w:t>
            </w:r>
            <w:r w:rsidRPr="00DF42AC">
              <w:rPr>
                <w:rStyle w:val="shorttext"/>
                <w:rFonts w:eastAsiaTheme="minorEastAsia"/>
                <w:lang w:eastAsia="zh-CN"/>
              </w:rPr>
              <w:t>，</w:t>
            </w:r>
            <w:r w:rsidRPr="00DF42AC">
              <w:rPr>
                <w:rStyle w:val="shorttext"/>
                <w:rFonts w:eastAsiaTheme="minorEastAsia"/>
                <w:lang w:val="zh-CN" w:eastAsia="zh-CN"/>
              </w:rPr>
              <w:t>他们的同意不受胁迫</w:t>
            </w:r>
            <w:r w:rsidRPr="00DF42AC">
              <w:rPr>
                <w:rFonts w:eastAsiaTheme="minorEastAsia"/>
                <w:kern w:val="22"/>
                <w:lang w:eastAsia="zh-CN"/>
              </w:rPr>
              <w:t>；</w:t>
            </w:r>
          </w:p>
          <w:p w:rsidR="00DF42AC" w:rsidRPr="00DF42AC" w:rsidRDefault="00DF42AC" w:rsidP="00974D16">
            <w:pPr>
              <w:suppressLineNumbers/>
              <w:suppressAutoHyphens/>
              <w:autoSpaceDE w:val="0"/>
              <w:autoSpaceDN w:val="0"/>
              <w:adjustRightInd w:val="0"/>
              <w:ind w:firstLine="9"/>
              <w:rPr>
                <w:rFonts w:eastAsiaTheme="minorEastAsia"/>
                <w:kern w:val="22"/>
                <w:lang w:eastAsia="zh-CN"/>
              </w:rPr>
            </w:pPr>
            <w:r w:rsidRPr="00DF42AC">
              <w:rPr>
                <w:rFonts w:eastAsiaTheme="minorEastAsia"/>
                <w:kern w:val="22"/>
                <w:lang w:val="zh-CN" w:eastAsia="zh-CN"/>
              </w:rPr>
              <w:t>事先是指根据国家立法和土著人民和地方社区的时间要求</w:t>
            </w:r>
            <w:r w:rsidRPr="00DF42AC">
              <w:rPr>
                <w:rFonts w:eastAsiaTheme="minorEastAsia"/>
                <w:kern w:val="22"/>
                <w:lang w:eastAsia="zh-CN"/>
              </w:rPr>
              <w:t>，</w:t>
            </w:r>
            <w:r w:rsidRPr="00DF42AC">
              <w:rPr>
                <w:rFonts w:eastAsiaTheme="minorEastAsia"/>
                <w:kern w:val="22"/>
                <w:lang w:val="zh-CN" w:eastAsia="zh-CN"/>
              </w:rPr>
              <w:t>以尊重习惯决策过程的方式得到获取传统知识的授权之前</w:t>
            </w:r>
            <w:r w:rsidRPr="00DF42AC">
              <w:rPr>
                <w:rFonts w:eastAsiaTheme="minorEastAsia"/>
                <w:kern w:val="22"/>
                <w:lang w:eastAsia="zh-CN"/>
              </w:rPr>
              <w:t>，</w:t>
            </w:r>
            <w:r w:rsidRPr="00DF42AC">
              <w:rPr>
                <w:rFonts w:eastAsiaTheme="minorEastAsia"/>
                <w:kern w:val="22"/>
                <w:lang w:val="zh-CN" w:eastAsia="zh-CN"/>
              </w:rPr>
              <w:t>必须提前足够的时间寻求同意或批准</w:t>
            </w:r>
            <w:r w:rsidRPr="00DF42AC">
              <w:rPr>
                <w:rFonts w:eastAsiaTheme="minorEastAsia"/>
                <w:kern w:val="22"/>
                <w:lang w:eastAsia="zh-CN"/>
              </w:rPr>
              <w:t>；</w:t>
            </w:r>
          </w:p>
          <w:p w:rsidR="00DF42AC" w:rsidRPr="00DF42AC" w:rsidRDefault="00DF42AC" w:rsidP="00974D16">
            <w:pPr>
              <w:suppressLineNumbers/>
              <w:suppressAutoHyphens/>
              <w:autoSpaceDE w:val="0"/>
              <w:autoSpaceDN w:val="0"/>
              <w:adjustRightInd w:val="0"/>
              <w:ind w:firstLine="9"/>
              <w:rPr>
                <w:rFonts w:eastAsiaTheme="minorEastAsia"/>
                <w:lang w:eastAsia="zh-CN"/>
              </w:rPr>
            </w:pPr>
            <w:r w:rsidRPr="00DF42AC">
              <w:rPr>
                <w:rFonts w:eastAsiaTheme="minorEastAsia"/>
                <w:kern w:val="22"/>
                <w:lang w:val="zh-CN" w:eastAsia="zh-CN"/>
              </w:rPr>
              <w:t>知情意味着提供包括相关各个方面的信息</w:t>
            </w:r>
            <w:r w:rsidRPr="00DF42AC">
              <w:rPr>
                <w:rFonts w:eastAsiaTheme="minorEastAsia"/>
                <w:kern w:val="22"/>
                <w:lang w:eastAsia="zh-CN"/>
              </w:rPr>
              <w:t>，</w:t>
            </w:r>
            <w:r w:rsidRPr="00DF42AC">
              <w:rPr>
                <w:rFonts w:eastAsiaTheme="minorEastAsia"/>
                <w:kern w:val="22"/>
                <w:lang w:val="zh-CN" w:eastAsia="zh-CN"/>
              </w:rPr>
              <w:t>例如</w:t>
            </w:r>
            <w:r w:rsidRPr="00DF42AC">
              <w:rPr>
                <w:rFonts w:eastAsiaTheme="minorEastAsia"/>
                <w:kern w:val="22"/>
                <w:lang w:eastAsia="zh-CN"/>
              </w:rPr>
              <w:t>：</w:t>
            </w:r>
            <w:r w:rsidRPr="00DF42AC">
              <w:rPr>
                <w:rFonts w:eastAsiaTheme="minorEastAsia"/>
                <w:kern w:val="22"/>
                <w:lang w:val="zh-CN" w:eastAsia="zh-CN"/>
              </w:rPr>
              <w:t>获取传统知识的预定目的、持续时间和范围</w:t>
            </w:r>
            <w:r w:rsidRPr="00DF42AC">
              <w:rPr>
                <w:rFonts w:eastAsiaTheme="minorEastAsia"/>
                <w:kern w:val="22"/>
                <w:lang w:eastAsia="zh-CN"/>
              </w:rPr>
              <w:t>；</w:t>
            </w:r>
            <w:r w:rsidRPr="00DF42AC">
              <w:rPr>
                <w:rFonts w:eastAsiaTheme="minorEastAsia"/>
                <w:kern w:val="22"/>
                <w:lang w:val="zh-CN" w:eastAsia="zh-CN"/>
              </w:rPr>
              <w:t>对可能造成的经济、社会、文化和环境影响</w:t>
            </w:r>
            <w:r w:rsidRPr="00DF42AC">
              <w:rPr>
                <w:rFonts w:eastAsiaTheme="minorEastAsia"/>
                <w:kern w:val="22"/>
                <w:lang w:eastAsia="zh-CN"/>
              </w:rPr>
              <w:t>，</w:t>
            </w:r>
            <w:r w:rsidRPr="00DF42AC">
              <w:rPr>
                <w:rFonts w:eastAsiaTheme="minorEastAsia"/>
                <w:kern w:val="22"/>
                <w:lang w:val="zh-CN" w:eastAsia="zh-CN"/>
              </w:rPr>
              <w:t>包括潜在风险的初步评估</w:t>
            </w:r>
            <w:r w:rsidRPr="00DF42AC">
              <w:rPr>
                <w:rFonts w:eastAsiaTheme="minorEastAsia"/>
                <w:kern w:val="22"/>
                <w:lang w:eastAsia="zh-CN"/>
              </w:rPr>
              <w:t>；</w:t>
            </w:r>
            <w:r w:rsidRPr="00DF42AC">
              <w:rPr>
                <w:rFonts w:eastAsiaTheme="minorEastAsia"/>
                <w:kern w:val="22"/>
                <w:lang w:val="zh-CN" w:eastAsia="zh-CN"/>
              </w:rPr>
              <w:t>可能参与实施获取的人员</w:t>
            </w:r>
            <w:r w:rsidRPr="00DF42AC">
              <w:rPr>
                <w:rFonts w:eastAsiaTheme="minorEastAsia"/>
                <w:kern w:val="22"/>
                <w:lang w:eastAsia="zh-CN"/>
              </w:rPr>
              <w:t>；</w:t>
            </w:r>
            <w:r w:rsidRPr="00DF42AC">
              <w:rPr>
                <w:rFonts w:eastAsiaTheme="minorEastAsia"/>
                <w:kern w:val="22"/>
                <w:lang w:val="zh-CN" w:eastAsia="zh-CN"/>
              </w:rPr>
              <w:t>获取可能需要的程序和惠益分享安排</w:t>
            </w:r>
            <w:r w:rsidRPr="00DF42AC">
              <w:rPr>
                <w:rFonts w:eastAsiaTheme="minorEastAsia"/>
                <w:kern w:val="22"/>
                <w:lang w:eastAsia="zh-CN"/>
              </w:rPr>
              <w:t>；</w:t>
            </w:r>
          </w:p>
          <w:p w:rsidR="00DF42AC" w:rsidRPr="00DF42AC" w:rsidRDefault="00DF42AC" w:rsidP="00974D16">
            <w:pPr>
              <w:suppressLineNumbers/>
              <w:suppressAutoHyphens/>
              <w:autoSpaceDE w:val="0"/>
              <w:autoSpaceDN w:val="0"/>
              <w:adjustRightInd w:val="0"/>
              <w:ind w:firstLine="9"/>
              <w:rPr>
                <w:rFonts w:eastAsiaTheme="minorEastAsia"/>
                <w:kern w:val="22"/>
                <w:lang w:eastAsia="zh-CN"/>
              </w:rPr>
            </w:pPr>
            <w:r w:rsidRPr="00DF42AC">
              <w:rPr>
                <w:rFonts w:eastAsiaTheme="minorEastAsia"/>
                <w:kern w:val="22"/>
                <w:lang w:val="zh-CN" w:eastAsia="zh-CN"/>
              </w:rPr>
              <w:t>同意或批准是作为传统知识持有人的土著人民和地方社区或这些土著人民和地方社区的主管当局</w:t>
            </w:r>
            <w:r w:rsidRPr="00DF42AC">
              <w:rPr>
                <w:rFonts w:eastAsiaTheme="minorEastAsia"/>
                <w:kern w:val="22"/>
                <w:lang w:eastAsia="zh-CN"/>
              </w:rPr>
              <w:t>，</w:t>
            </w:r>
            <w:r w:rsidRPr="00DF42AC">
              <w:rPr>
                <w:rFonts w:eastAsiaTheme="minorEastAsia"/>
                <w:kern w:val="22"/>
                <w:lang w:val="zh-CN" w:eastAsia="zh-CN"/>
              </w:rPr>
              <w:t>同意向潜在使用者授予获取其传统知识的权利</w:t>
            </w:r>
            <w:r w:rsidRPr="00DF42AC">
              <w:rPr>
                <w:rFonts w:eastAsiaTheme="minorEastAsia"/>
                <w:kern w:val="22"/>
                <w:lang w:eastAsia="zh-CN"/>
              </w:rPr>
              <w:t>，</w:t>
            </w:r>
            <w:r w:rsidRPr="00DF42AC">
              <w:rPr>
                <w:rFonts w:eastAsiaTheme="minorEastAsia"/>
                <w:kern w:val="22"/>
                <w:lang w:val="zh-CN" w:eastAsia="zh-CN"/>
              </w:rPr>
              <w:t>包括不予以同意或批准的权利</w:t>
            </w:r>
            <w:r w:rsidRPr="00DF42AC">
              <w:rPr>
                <w:rFonts w:eastAsiaTheme="minorEastAsia"/>
                <w:kern w:val="22"/>
                <w:lang w:eastAsia="zh-CN"/>
              </w:rPr>
              <w:t>；</w:t>
            </w:r>
          </w:p>
          <w:p w:rsidR="00DF42AC" w:rsidRPr="00DF42AC" w:rsidRDefault="00DF42AC" w:rsidP="00974D16">
            <w:pPr>
              <w:suppressLineNumbers/>
              <w:suppressAutoHyphens/>
              <w:ind w:firstLine="9"/>
              <w:rPr>
                <w:rFonts w:eastAsiaTheme="minorEastAsia"/>
                <w:lang w:eastAsia="zh-CN"/>
              </w:rPr>
            </w:pPr>
            <w:r w:rsidRPr="00DF42AC">
              <w:rPr>
                <w:rFonts w:eastAsiaTheme="minorEastAsia"/>
                <w:kern w:val="22"/>
                <w:lang w:val="zh-CN" w:eastAsia="zh-CN"/>
              </w:rPr>
              <w:t>参与是指土著人民和地方社区充分和有效地参与与获取其传统知识有关的决策进程。与土著人民和地方社区协商和他们充分和有效的参与是同意或批准过程的关键组成部分</w:t>
            </w:r>
            <w:r w:rsidRPr="00DF42AC">
              <w:rPr>
                <w:rFonts w:eastAsiaTheme="minorEastAsia"/>
                <w:kern w:val="22"/>
                <w:lang w:eastAsia="zh-CN"/>
              </w:rPr>
              <w:t>。</w:t>
            </w:r>
            <w:r w:rsidRPr="00974D16">
              <w:rPr>
                <w:rStyle w:val="FootnoteReference"/>
                <w:rFonts w:eastAsiaTheme="minorEastAsia"/>
                <w:sz w:val="24"/>
                <w:u w:val="none"/>
                <w:vertAlign w:val="superscript"/>
              </w:rPr>
              <w:footnoteReference w:id="230"/>
            </w:r>
          </w:p>
        </w:tc>
      </w:tr>
      <w:tr w:rsidR="00DF42AC" w:rsidRPr="00DF42AC" w:rsidTr="00912BCC">
        <w:trPr>
          <w:gridAfter w:val="1"/>
          <w:wAfter w:w="118" w:type="dxa"/>
          <w:cantSplit/>
        </w:trPr>
        <w:tc>
          <w:tcPr>
            <w:tcW w:w="2943" w:type="dxa"/>
          </w:tcPr>
          <w:p w:rsidR="00DF42AC" w:rsidRPr="00DF42AC" w:rsidRDefault="00DF42AC" w:rsidP="00974D16">
            <w:pPr>
              <w:suppressLineNumbers/>
              <w:suppressAutoHyphens/>
              <w:ind w:firstLine="0"/>
              <w:rPr>
                <w:rFonts w:eastAsiaTheme="minorEastAsia"/>
              </w:rPr>
            </w:pPr>
            <w:r w:rsidRPr="00974D16">
              <w:rPr>
                <w:rFonts w:eastAsiaTheme="minorEastAsia"/>
                <w:kern w:val="22"/>
                <w:lang w:eastAsia="zh-CN"/>
              </w:rPr>
              <w:t>社区规约</w:t>
            </w:r>
          </w:p>
        </w:tc>
        <w:tc>
          <w:tcPr>
            <w:tcW w:w="6804" w:type="dxa"/>
            <w:gridSpan w:val="2"/>
          </w:tcPr>
          <w:p w:rsidR="00DF42AC" w:rsidRPr="00DF42AC" w:rsidRDefault="00DF42AC" w:rsidP="00DF42AC">
            <w:pPr>
              <w:suppressLineNumbers/>
              <w:suppressAutoHyphens/>
              <w:autoSpaceDE w:val="0"/>
              <w:autoSpaceDN w:val="0"/>
              <w:adjustRightInd w:val="0"/>
              <w:rPr>
                <w:rFonts w:eastAsiaTheme="minorEastAsia"/>
                <w:lang w:eastAsia="zh-CN"/>
              </w:rPr>
            </w:pPr>
            <w:r w:rsidRPr="00DF42AC">
              <w:rPr>
                <w:rFonts w:eastAsiaTheme="minorEastAsia"/>
                <w:kern w:val="22"/>
                <w:lang w:val="zh-CN" w:eastAsia="zh-CN"/>
              </w:rPr>
              <w:t>涵盖来自各社区范围广泛的表述、论述、规则和做法的术语</w:t>
            </w:r>
            <w:r w:rsidRPr="00DF42AC">
              <w:rPr>
                <w:rFonts w:eastAsiaTheme="minorEastAsia"/>
                <w:kern w:val="22"/>
                <w:lang w:eastAsia="zh-CN"/>
              </w:rPr>
              <w:t>，</w:t>
            </w:r>
            <w:r w:rsidRPr="00DF42AC">
              <w:rPr>
                <w:rFonts w:eastAsiaTheme="minorEastAsia"/>
                <w:kern w:val="22"/>
                <w:lang w:val="zh-CN" w:eastAsia="zh-CN"/>
              </w:rPr>
              <w:t>旨在说明社区期望其他利益攸关方如何与其进行接触。它们可以引用习惯法以及国家或国际法</w:t>
            </w:r>
            <w:r w:rsidRPr="00DF42AC">
              <w:rPr>
                <w:rFonts w:eastAsiaTheme="minorEastAsia"/>
                <w:kern w:val="22"/>
                <w:lang w:eastAsia="zh-CN"/>
              </w:rPr>
              <w:t>，</w:t>
            </w:r>
            <w:r w:rsidRPr="00DF42AC">
              <w:rPr>
                <w:rFonts w:eastAsiaTheme="minorEastAsia"/>
                <w:kern w:val="22"/>
                <w:lang w:val="zh-CN" w:eastAsia="zh-CN"/>
              </w:rPr>
              <w:t>申明应依照某套标准接近它们的权利。阐明习惯法及传统主管机构信息、相关因素和细节有助于其他利益攸关方更好地了解社区的价值观和习惯法。社区规约为社区提供机会</w:t>
            </w:r>
            <w:r w:rsidRPr="00DF42AC">
              <w:rPr>
                <w:rFonts w:eastAsiaTheme="minorEastAsia"/>
                <w:kern w:val="22"/>
                <w:lang w:eastAsia="zh-CN"/>
              </w:rPr>
              <w:t>，</w:t>
            </w:r>
            <w:r w:rsidRPr="00DF42AC">
              <w:rPr>
                <w:rFonts w:eastAsiaTheme="minorEastAsia"/>
                <w:kern w:val="22"/>
                <w:lang w:val="zh-CN" w:eastAsia="zh-CN"/>
              </w:rPr>
              <w:t>以便集中关注自身发展愿望与权利</w:t>
            </w:r>
            <w:r w:rsidRPr="00DF42AC">
              <w:rPr>
                <w:rFonts w:eastAsiaTheme="minorEastAsia"/>
                <w:kern w:val="22"/>
                <w:lang w:eastAsia="zh-CN"/>
              </w:rPr>
              <w:t>，</w:t>
            </w:r>
            <w:r w:rsidRPr="00DF42AC">
              <w:rPr>
                <w:rFonts w:eastAsiaTheme="minorEastAsia"/>
                <w:kern w:val="22"/>
                <w:lang w:val="zh-CN" w:eastAsia="zh-CN"/>
              </w:rPr>
              <w:t>并向自身和使用者阐明对其生物文化遗产的理解</w:t>
            </w:r>
            <w:r w:rsidRPr="00DF42AC">
              <w:rPr>
                <w:rFonts w:eastAsiaTheme="minorEastAsia"/>
                <w:kern w:val="22"/>
                <w:lang w:eastAsia="zh-CN"/>
              </w:rPr>
              <w:t>，</w:t>
            </w:r>
            <w:r w:rsidRPr="00DF42AC">
              <w:rPr>
                <w:rFonts w:eastAsiaTheme="minorEastAsia"/>
                <w:kern w:val="22"/>
                <w:lang w:val="zh-CN" w:eastAsia="zh-CN"/>
              </w:rPr>
              <w:t>并因此阐明其与各个利益攸关方进行接触的基础。通过考虑其土地权、社会经济现状、环境问题、习惯法和传统知识之间的相互联系</w:t>
            </w:r>
            <w:r w:rsidRPr="00DF42AC">
              <w:rPr>
                <w:rFonts w:eastAsiaTheme="minorEastAsia"/>
                <w:kern w:val="22"/>
                <w:lang w:eastAsia="zh-CN"/>
              </w:rPr>
              <w:t>，</w:t>
            </w:r>
            <w:r w:rsidRPr="00DF42AC">
              <w:rPr>
                <w:rFonts w:eastAsiaTheme="minorEastAsia"/>
                <w:kern w:val="22"/>
                <w:lang w:val="zh-CN" w:eastAsia="zh-CN"/>
              </w:rPr>
              <w:t>社区能够更好地确定其自身如何与各种行为体进行谈判。</w:t>
            </w:r>
            <w:r w:rsidRPr="000932B0">
              <w:rPr>
                <w:rStyle w:val="FootnoteReference"/>
                <w:rFonts w:eastAsiaTheme="minorEastAsia"/>
                <w:sz w:val="24"/>
                <w:u w:val="none"/>
                <w:vertAlign w:val="superscript"/>
              </w:rPr>
              <w:footnoteReference w:id="231"/>
            </w:r>
          </w:p>
        </w:tc>
      </w:tr>
      <w:tr w:rsidR="00DF42AC" w:rsidRPr="00DF42AC" w:rsidTr="00912BCC">
        <w:trPr>
          <w:gridAfter w:val="1"/>
          <w:wAfter w:w="118" w:type="dxa"/>
          <w:cantSplit/>
        </w:trPr>
        <w:tc>
          <w:tcPr>
            <w:tcW w:w="9747" w:type="dxa"/>
            <w:gridSpan w:val="3"/>
          </w:tcPr>
          <w:p w:rsidR="00DF42AC" w:rsidRPr="00DF42AC" w:rsidRDefault="00DF42AC" w:rsidP="00DF42AC">
            <w:pPr>
              <w:suppressLineNumbers/>
              <w:suppressAutoHyphens/>
              <w:jc w:val="center"/>
              <w:rPr>
                <w:rFonts w:eastAsiaTheme="minorEastAsia"/>
                <w:b/>
                <w:kern w:val="22"/>
                <w:lang w:eastAsia="zh-CN"/>
              </w:rPr>
            </w:pPr>
            <w:r w:rsidRPr="00DF42AC">
              <w:rPr>
                <w:rFonts w:eastAsiaTheme="minorEastAsia"/>
                <w:b/>
                <w:kern w:val="22"/>
                <w:lang w:val="zh-CN" w:eastAsia="zh-CN"/>
              </w:rPr>
              <w:t>第三部分</w:t>
            </w:r>
          </w:p>
          <w:p w:rsidR="00DF42AC" w:rsidRPr="00DF42AC" w:rsidRDefault="00DF42AC" w:rsidP="00DF42AC">
            <w:pPr>
              <w:suppressLineNumbers/>
              <w:suppressAutoHyphens/>
              <w:jc w:val="center"/>
              <w:rPr>
                <w:rFonts w:eastAsiaTheme="minorEastAsia"/>
                <w:kern w:val="22"/>
                <w:lang w:eastAsia="zh-CN"/>
              </w:rPr>
            </w:pPr>
            <w:r w:rsidRPr="00DF42AC">
              <w:rPr>
                <w:rFonts w:eastAsiaTheme="minorEastAsia"/>
                <w:b/>
                <w:kern w:val="22"/>
                <w:lang w:val="zh-CN" w:eastAsia="zh-CN"/>
              </w:rPr>
              <w:t>工作组拟定的术语和概念</w:t>
            </w:r>
            <w:r w:rsidRPr="00974D16">
              <w:rPr>
                <w:rStyle w:val="FootnoteReference"/>
                <w:rFonts w:eastAsiaTheme="minorEastAsia"/>
                <w:sz w:val="24"/>
                <w:u w:val="none"/>
                <w:vertAlign w:val="superscript"/>
              </w:rPr>
              <w:footnoteReference w:id="232"/>
            </w:r>
          </w:p>
        </w:tc>
      </w:tr>
      <w:tr w:rsidR="00DF42AC" w:rsidRPr="00DF42AC" w:rsidTr="00912BCC">
        <w:trPr>
          <w:cantSplit/>
        </w:trPr>
        <w:tc>
          <w:tcPr>
            <w:tcW w:w="2970" w:type="dxa"/>
            <w:gridSpan w:val="2"/>
          </w:tcPr>
          <w:p w:rsidR="00DF42AC" w:rsidRPr="00DF42AC" w:rsidRDefault="00DF42AC" w:rsidP="00974D16">
            <w:pPr>
              <w:suppressLineNumbers/>
              <w:suppressAutoHyphens/>
              <w:ind w:hanging="18"/>
              <w:jc w:val="left"/>
              <w:rPr>
                <w:rFonts w:eastAsiaTheme="minorEastAsia"/>
              </w:rPr>
            </w:pPr>
            <w:r w:rsidRPr="00DF42AC">
              <w:rPr>
                <w:rFonts w:eastAsiaTheme="minorEastAsia"/>
                <w:b/>
                <w:kern w:val="22"/>
                <w:lang w:val="zh-CN"/>
              </w:rPr>
              <w:t>术语或概念</w:t>
            </w:r>
          </w:p>
        </w:tc>
        <w:tc>
          <w:tcPr>
            <w:tcW w:w="6895" w:type="dxa"/>
            <w:gridSpan w:val="2"/>
          </w:tcPr>
          <w:p w:rsidR="00DF42AC" w:rsidRPr="00DF42AC" w:rsidRDefault="00DF42AC" w:rsidP="00974D16">
            <w:pPr>
              <w:suppressLineNumbers/>
              <w:suppressAutoHyphens/>
              <w:ind w:firstLine="0"/>
              <w:jc w:val="left"/>
              <w:rPr>
                <w:rFonts w:eastAsiaTheme="minorEastAsia"/>
                <w:lang w:eastAsia="zh-CN"/>
              </w:rPr>
            </w:pPr>
            <w:r w:rsidRPr="00DF42AC">
              <w:rPr>
                <w:rFonts w:eastAsiaTheme="minorEastAsia"/>
                <w:b/>
                <w:kern w:val="22"/>
                <w:lang w:val="zh-CN" w:eastAsia="zh-CN"/>
              </w:rPr>
              <w:t>对《公约》范围内使用的术语或概念的理解</w:t>
            </w:r>
          </w:p>
        </w:tc>
      </w:tr>
      <w:tr w:rsidR="00DF42AC" w:rsidRPr="00DF42AC" w:rsidTr="00912BCC">
        <w:trPr>
          <w:cantSplit/>
        </w:trPr>
        <w:tc>
          <w:tcPr>
            <w:tcW w:w="2970" w:type="dxa"/>
            <w:gridSpan w:val="2"/>
          </w:tcPr>
          <w:p w:rsidR="00DF42AC" w:rsidRPr="00DF42AC" w:rsidRDefault="00DF42AC" w:rsidP="00974D16">
            <w:pPr>
              <w:suppressLineNumbers/>
              <w:suppressAutoHyphens/>
              <w:ind w:firstLine="0"/>
              <w:rPr>
                <w:rFonts w:eastAsiaTheme="minorEastAsia"/>
              </w:rPr>
            </w:pPr>
            <w:r w:rsidRPr="00DF42AC">
              <w:rPr>
                <w:rFonts w:eastAsiaTheme="minorEastAsia"/>
                <w:kern w:val="22"/>
                <w:lang w:val="zh-CN"/>
              </w:rPr>
              <w:lastRenderedPageBreak/>
              <w:t>文化生物多样性</w:t>
            </w:r>
          </w:p>
        </w:tc>
        <w:tc>
          <w:tcPr>
            <w:tcW w:w="6895" w:type="dxa"/>
            <w:gridSpan w:val="2"/>
          </w:tcPr>
          <w:p w:rsidR="00DF42AC" w:rsidRPr="00DF42AC" w:rsidRDefault="00DF42AC" w:rsidP="00974D16">
            <w:pPr>
              <w:suppressLineNumbers/>
              <w:suppressAutoHyphens/>
              <w:ind w:firstLine="0"/>
              <w:rPr>
                <w:rFonts w:eastAsiaTheme="minorEastAsia"/>
                <w:lang w:eastAsia="zh-CN"/>
              </w:rPr>
            </w:pPr>
            <w:r w:rsidRPr="00DF42AC">
              <w:rPr>
                <w:rFonts w:eastAsiaTheme="minorEastAsia"/>
                <w:kern w:val="22"/>
                <w:lang w:val="zh-CN" w:eastAsia="zh-CN"/>
              </w:rPr>
              <w:t>生物文化多样性被认为是生物多样性和文化多样性及两者之间的联系。</w:t>
            </w:r>
          </w:p>
        </w:tc>
      </w:tr>
      <w:tr w:rsidR="00DF42AC" w:rsidRPr="00DF42AC" w:rsidTr="00912BCC">
        <w:trPr>
          <w:cantSplit/>
        </w:trPr>
        <w:tc>
          <w:tcPr>
            <w:tcW w:w="2970" w:type="dxa"/>
            <w:gridSpan w:val="2"/>
          </w:tcPr>
          <w:p w:rsidR="00DF42AC" w:rsidRPr="00DF42AC" w:rsidRDefault="00DF42AC" w:rsidP="00974D16">
            <w:pPr>
              <w:suppressLineNumbers/>
              <w:suppressAutoHyphens/>
              <w:ind w:firstLine="0"/>
              <w:rPr>
                <w:rFonts w:eastAsiaTheme="minorEastAsia"/>
              </w:rPr>
            </w:pPr>
            <w:r w:rsidRPr="00DF42AC">
              <w:rPr>
                <w:rFonts w:eastAsiaTheme="minorEastAsia"/>
                <w:kern w:val="22"/>
                <w:lang w:val="zh-CN"/>
              </w:rPr>
              <w:t>生物文化遗产</w:t>
            </w:r>
          </w:p>
        </w:tc>
        <w:tc>
          <w:tcPr>
            <w:tcW w:w="6895" w:type="dxa"/>
            <w:gridSpan w:val="2"/>
          </w:tcPr>
          <w:p w:rsidR="00DF42AC" w:rsidRPr="00DF42AC" w:rsidRDefault="00DF42AC" w:rsidP="00974D16">
            <w:pPr>
              <w:suppressLineNumbers/>
              <w:suppressAutoHyphens/>
              <w:ind w:firstLine="0"/>
              <w:rPr>
                <w:rFonts w:eastAsiaTheme="minorEastAsia"/>
                <w:lang w:eastAsia="zh-CN"/>
              </w:rPr>
            </w:pPr>
            <w:r w:rsidRPr="00DF42AC">
              <w:rPr>
                <w:rFonts w:eastAsiaTheme="minorEastAsia"/>
                <w:kern w:val="22"/>
                <w:lang w:val="zh-CN" w:eastAsia="zh-CN"/>
              </w:rPr>
              <w:t>生物文化遗产反映出许多土著人民和地方社区采取的整体办法。这种整体和集体的概念办法还认识到将知识视为</w:t>
            </w:r>
            <w:r w:rsidRPr="00DF42AC">
              <w:rPr>
                <w:rFonts w:eastAsiaTheme="minorEastAsia"/>
                <w:kern w:val="22"/>
                <w:lang w:eastAsia="zh-CN"/>
              </w:rPr>
              <w:t>“</w:t>
            </w:r>
            <w:r w:rsidRPr="00DF42AC">
              <w:rPr>
                <w:rFonts w:eastAsiaTheme="minorEastAsia"/>
                <w:kern w:val="22"/>
                <w:lang w:val="zh-CN" w:eastAsia="zh-CN"/>
              </w:rPr>
              <w:t>遗产</w:t>
            </w:r>
            <w:r w:rsidRPr="00DF42AC">
              <w:rPr>
                <w:rFonts w:eastAsiaTheme="minorEastAsia"/>
                <w:kern w:val="22"/>
                <w:lang w:eastAsia="zh-CN"/>
              </w:rPr>
              <w:t>”</w:t>
            </w:r>
            <w:r w:rsidRPr="00DF42AC">
              <w:rPr>
                <w:rFonts w:eastAsiaTheme="minorEastAsia"/>
                <w:kern w:val="22"/>
                <w:lang w:eastAsia="zh-CN"/>
              </w:rPr>
              <w:t>，</w:t>
            </w:r>
            <w:r w:rsidRPr="00DF42AC">
              <w:rPr>
                <w:rFonts w:eastAsiaTheme="minorEastAsia"/>
                <w:kern w:val="22"/>
                <w:lang w:val="zh-CN" w:eastAsia="zh-CN"/>
              </w:rPr>
              <w:t>从而反映出它具有的监护和跨越世代的特点。列入《世界遗产公约》的文化景观就是生物文化遗产的例子。</w:t>
            </w:r>
          </w:p>
        </w:tc>
      </w:tr>
      <w:tr w:rsidR="00DF42AC" w:rsidRPr="00DF42AC" w:rsidTr="00912BCC">
        <w:trPr>
          <w:cantSplit/>
        </w:trPr>
        <w:tc>
          <w:tcPr>
            <w:tcW w:w="2970" w:type="dxa"/>
            <w:gridSpan w:val="2"/>
          </w:tcPr>
          <w:p w:rsidR="00DF42AC" w:rsidRPr="00DF42AC" w:rsidRDefault="00DF42AC" w:rsidP="00974D16">
            <w:pPr>
              <w:suppressLineNumbers/>
              <w:suppressAutoHyphens/>
              <w:ind w:firstLine="0"/>
              <w:rPr>
                <w:rFonts w:eastAsiaTheme="minorEastAsia"/>
              </w:rPr>
            </w:pPr>
            <w:r w:rsidRPr="00DF42AC">
              <w:rPr>
                <w:rFonts w:eastAsiaTheme="minorEastAsia"/>
                <w:kern w:val="22"/>
                <w:lang w:val="zh-CN"/>
              </w:rPr>
              <w:t>文化遗产</w:t>
            </w:r>
          </w:p>
        </w:tc>
        <w:tc>
          <w:tcPr>
            <w:tcW w:w="6895" w:type="dxa"/>
            <w:gridSpan w:val="2"/>
          </w:tcPr>
          <w:p w:rsidR="00DF42AC" w:rsidRPr="00DF42AC" w:rsidRDefault="00DF42AC" w:rsidP="00974D16">
            <w:pPr>
              <w:suppressLineNumbers/>
              <w:suppressAutoHyphens/>
              <w:ind w:firstLine="0"/>
              <w:rPr>
                <w:rFonts w:eastAsiaTheme="minorEastAsia"/>
                <w:lang w:eastAsia="zh-CN"/>
              </w:rPr>
            </w:pPr>
            <w:r w:rsidRPr="00DF42AC">
              <w:rPr>
                <w:rFonts w:eastAsiaTheme="minorEastAsia"/>
                <w:kern w:val="22"/>
                <w:lang w:val="zh-CN" w:eastAsia="zh-CN"/>
              </w:rPr>
              <w:t>依照传统继承和传递</w:t>
            </w:r>
            <w:r w:rsidRPr="00DF42AC">
              <w:rPr>
                <w:rFonts w:eastAsiaTheme="minorEastAsia"/>
                <w:kern w:val="22"/>
                <w:lang w:eastAsia="zh-CN"/>
              </w:rPr>
              <w:t>，</w:t>
            </w:r>
            <w:r w:rsidRPr="00DF42AC">
              <w:rPr>
                <w:rFonts w:eastAsiaTheme="minorEastAsia"/>
                <w:kern w:val="22"/>
                <w:lang w:val="zh-CN" w:eastAsia="zh-CN"/>
              </w:rPr>
              <w:t>它包括土著人民和地方社区的文化遗产的物质</w:t>
            </w:r>
            <w:r w:rsidRPr="00DF42AC">
              <w:rPr>
                <w:rFonts w:eastAsiaTheme="minorEastAsia"/>
                <w:kern w:val="22"/>
                <w:lang w:eastAsia="zh-CN"/>
              </w:rPr>
              <w:t>(</w:t>
            </w:r>
            <w:r w:rsidRPr="00DF42AC">
              <w:rPr>
                <w:rFonts w:eastAsiaTheme="minorEastAsia"/>
                <w:kern w:val="22"/>
                <w:lang w:val="zh-CN" w:eastAsia="zh-CN"/>
              </w:rPr>
              <w:t>有形</w:t>
            </w:r>
            <w:r w:rsidRPr="00DF42AC">
              <w:rPr>
                <w:rFonts w:eastAsiaTheme="minorEastAsia"/>
                <w:kern w:val="22"/>
                <w:lang w:eastAsia="zh-CN"/>
              </w:rPr>
              <w:t>)</w:t>
            </w:r>
            <w:r w:rsidRPr="00DF42AC">
              <w:rPr>
                <w:rFonts w:eastAsiaTheme="minorEastAsia"/>
                <w:kern w:val="22"/>
                <w:lang w:val="zh-CN" w:eastAsia="zh-CN"/>
              </w:rPr>
              <w:t>和</w:t>
            </w:r>
            <w:r w:rsidRPr="00DF42AC">
              <w:rPr>
                <w:rFonts w:eastAsiaTheme="minorEastAsia"/>
                <w:kern w:val="22"/>
                <w:lang w:eastAsia="zh-CN"/>
              </w:rPr>
              <w:t>/</w:t>
            </w:r>
            <w:r w:rsidRPr="00DF42AC">
              <w:rPr>
                <w:rFonts w:eastAsiaTheme="minorEastAsia"/>
                <w:kern w:val="22"/>
                <w:lang w:val="zh-CN" w:eastAsia="zh-CN"/>
              </w:rPr>
              <w:t>或非物质</w:t>
            </w:r>
            <w:r w:rsidRPr="00DF42AC">
              <w:rPr>
                <w:rFonts w:eastAsiaTheme="minorEastAsia"/>
                <w:kern w:val="22"/>
                <w:lang w:eastAsia="zh-CN"/>
              </w:rPr>
              <w:t>(</w:t>
            </w:r>
            <w:r w:rsidRPr="00DF42AC">
              <w:rPr>
                <w:rFonts w:eastAsiaTheme="minorEastAsia"/>
                <w:kern w:val="22"/>
                <w:lang w:val="zh-CN" w:eastAsia="zh-CN"/>
              </w:rPr>
              <w:t>无形</w:t>
            </w:r>
            <w:r w:rsidRPr="00DF42AC">
              <w:rPr>
                <w:rFonts w:eastAsiaTheme="minorEastAsia"/>
                <w:kern w:val="22"/>
                <w:lang w:eastAsia="zh-CN"/>
              </w:rPr>
              <w:t>)</w:t>
            </w:r>
            <w:r w:rsidRPr="00DF42AC">
              <w:rPr>
                <w:rFonts w:eastAsiaTheme="minorEastAsia"/>
                <w:kern w:val="22"/>
                <w:lang w:val="zh-CN" w:eastAsia="zh-CN"/>
              </w:rPr>
              <w:t>的表现。有形的文化遗产包括但不限于文化景观、遗址、建筑和具有考古、建筑、历史、宗教、精神、文化或美学价值或意义的遗迹、人类遗体。无形的文化遗产包括但不限于传统知识</w:t>
            </w:r>
            <w:r w:rsidRPr="00DF42AC">
              <w:rPr>
                <w:rFonts w:eastAsiaTheme="minorEastAsia"/>
                <w:kern w:val="22"/>
                <w:lang w:eastAsia="zh-CN"/>
              </w:rPr>
              <w:t>，</w:t>
            </w:r>
            <w:r w:rsidRPr="00DF42AC">
              <w:rPr>
                <w:rFonts w:eastAsiaTheme="minorEastAsia"/>
                <w:kern w:val="22"/>
                <w:lang w:val="zh-CN" w:eastAsia="zh-CN"/>
              </w:rPr>
              <w:t>其中包括医药、传统烹饪和饮食以及物种和生态系统管理和传统的文化表达</w:t>
            </w:r>
            <w:r w:rsidRPr="00DF42AC">
              <w:rPr>
                <w:rFonts w:eastAsiaTheme="minorEastAsia"/>
                <w:kern w:val="22"/>
                <w:lang w:eastAsia="zh-CN"/>
              </w:rPr>
              <w:t>，</w:t>
            </w:r>
            <w:r w:rsidRPr="00DF42AC">
              <w:rPr>
                <w:rFonts w:eastAsiaTheme="minorEastAsia"/>
                <w:kern w:val="22"/>
                <w:lang w:val="zh-CN" w:eastAsia="zh-CN"/>
              </w:rPr>
              <w:t>包括歌曲、舞蹈、艺术表现、故事、信仰、关系和相关价值及历史。这些以口头和书面形式构成其传统历史、宇宙观和文化。</w:t>
            </w:r>
          </w:p>
          <w:p w:rsidR="00DF42AC" w:rsidRPr="00DF42AC" w:rsidRDefault="00DF42AC" w:rsidP="00974D16">
            <w:pPr>
              <w:suppressLineNumbers/>
              <w:suppressAutoHyphens/>
              <w:ind w:firstLine="0"/>
              <w:rPr>
                <w:rFonts w:eastAsiaTheme="minorEastAsia"/>
                <w:lang w:eastAsia="zh-CN"/>
              </w:rPr>
            </w:pPr>
            <w:r w:rsidRPr="00DF42AC">
              <w:rPr>
                <w:rFonts w:eastAsiaTheme="minorEastAsia"/>
                <w:kern w:val="22"/>
                <w:lang w:val="zh-CN" w:eastAsia="zh-CN"/>
              </w:rPr>
              <w:t>这种概念也可包括与性别有关的传统价值观。</w:t>
            </w:r>
          </w:p>
        </w:tc>
      </w:tr>
      <w:tr w:rsidR="00DF42AC" w:rsidRPr="00DF42AC" w:rsidTr="00912BCC">
        <w:trPr>
          <w:cantSplit/>
        </w:trPr>
        <w:tc>
          <w:tcPr>
            <w:tcW w:w="2970" w:type="dxa"/>
            <w:gridSpan w:val="2"/>
          </w:tcPr>
          <w:p w:rsidR="00DF42AC" w:rsidRPr="00DF42AC" w:rsidRDefault="00DF42AC" w:rsidP="00974D16">
            <w:pPr>
              <w:suppressLineNumbers/>
              <w:suppressAutoHyphens/>
              <w:ind w:firstLine="0"/>
              <w:rPr>
                <w:rFonts w:eastAsiaTheme="minorEastAsia"/>
              </w:rPr>
            </w:pPr>
            <w:r w:rsidRPr="00DF42AC">
              <w:rPr>
                <w:rFonts w:eastAsiaTheme="minorEastAsia"/>
                <w:kern w:val="22"/>
                <w:lang w:val="zh-CN"/>
              </w:rPr>
              <w:t>神圣物种</w:t>
            </w:r>
          </w:p>
        </w:tc>
        <w:tc>
          <w:tcPr>
            <w:tcW w:w="6895" w:type="dxa"/>
            <w:gridSpan w:val="2"/>
          </w:tcPr>
          <w:p w:rsidR="00DF42AC" w:rsidRPr="00DF42AC" w:rsidRDefault="00DF42AC" w:rsidP="00974D16">
            <w:pPr>
              <w:suppressLineNumbers/>
              <w:suppressAutoHyphens/>
              <w:ind w:firstLine="0"/>
              <w:rPr>
                <w:rFonts w:eastAsiaTheme="minorEastAsia"/>
                <w:lang w:eastAsia="zh-CN"/>
              </w:rPr>
            </w:pPr>
            <w:r w:rsidRPr="00DF42AC">
              <w:rPr>
                <w:rFonts w:eastAsiaTheme="minorEastAsia"/>
                <w:kern w:val="22"/>
                <w:lang w:val="zh-CN" w:eastAsia="zh-CN"/>
              </w:rPr>
              <w:t>由土著人民和地方社区持有并且根据传统和</w:t>
            </w:r>
            <w:r w:rsidRPr="00DF42AC">
              <w:rPr>
                <w:rFonts w:eastAsiaTheme="minorEastAsia"/>
                <w:kern w:val="22"/>
                <w:lang w:eastAsia="zh-CN"/>
              </w:rPr>
              <w:t>/</w:t>
            </w:r>
            <w:r w:rsidRPr="00DF42AC">
              <w:rPr>
                <w:rFonts w:eastAsiaTheme="minorEastAsia"/>
                <w:kern w:val="22"/>
                <w:lang w:val="zh-CN" w:eastAsia="zh-CN"/>
              </w:rPr>
              <w:t>或习俗鉴于其宗教或精神意义认为具有特别重要意义的植物或动物。</w:t>
            </w:r>
          </w:p>
        </w:tc>
      </w:tr>
      <w:tr w:rsidR="00DF42AC" w:rsidRPr="00DF42AC" w:rsidTr="00912BCC">
        <w:trPr>
          <w:cantSplit/>
        </w:trPr>
        <w:tc>
          <w:tcPr>
            <w:tcW w:w="2970" w:type="dxa"/>
            <w:gridSpan w:val="2"/>
          </w:tcPr>
          <w:p w:rsidR="00DF42AC" w:rsidRPr="00DF42AC" w:rsidRDefault="00DF42AC" w:rsidP="00974D16">
            <w:pPr>
              <w:suppressLineNumbers/>
              <w:suppressAutoHyphens/>
              <w:ind w:firstLine="0"/>
              <w:rPr>
                <w:rFonts w:eastAsiaTheme="minorEastAsia"/>
              </w:rPr>
            </w:pPr>
            <w:r w:rsidRPr="00DF42AC">
              <w:rPr>
                <w:rFonts w:eastAsiaTheme="minorEastAsia"/>
                <w:kern w:val="22"/>
                <w:lang w:val="zh-CN"/>
              </w:rPr>
              <w:t>传统监护人</w:t>
            </w:r>
          </w:p>
        </w:tc>
        <w:tc>
          <w:tcPr>
            <w:tcW w:w="6895" w:type="dxa"/>
            <w:gridSpan w:val="2"/>
          </w:tcPr>
          <w:p w:rsidR="00DF42AC" w:rsidRPr="00DF42AC" w:rsidRDefault="00DF42AC" w:rsidP="00974D16">
            <w:pPr>
              <w:suppressLineNumbers/>
              <w:suppressAutoHyphens/>
              <w:ind w:firstLine="0"/>
              <w:rPr>
                <w:rFonts w:eastAsiaTheme="minorEastAsia"/>
                <w:lang w:eastAsia="zh-CN"/>
              </w:rPr>
            </w:pPr>
            <w:r w:rsidRPr="00DF42AC">
              <w:rPr>
                <w:rFonts w:eastAsiaTheme="minorEastAsia"/>
                <w:kern w:val="22"/>
                <w:lang w:val="zh-CN" w:eastAsia="zh-CN"/>
              </w:rPr>
              <w:t>依照一个群体、部落或社区的习惯法和做法</w:t>
            </w:r>
            <w:r w:rsidRPr="00DF42AC">
              <w:rPr>
                <w:rFonts w:eastAsiaTheme="minorEastAsia"/>
                <w:kern w:val="22"/>
                <w:lang w:eastAsia="zh-CN"/>
              </w:rPr>
              <w:t>，</w:t>
            </w:r>
            <w:r w:rsidRPr="00DF42AC">
              <w:rPr>
                <w:rFonts w:eastAsiaTheme="minorEastAsia"/>
                <w:kern w:val="22"/>
                <w:lang w:val="zh-CN" w:eastAsia="zh-CN"/>
              </w:rPr>
              <w:t>得到该群体、部落或社区人民核可</w:t>
            </w:r>
            <w:r w:rsidRPr="00DF42AC">
              <w:rPr>
                <w:rFonts w:eastAsiaTheme="minorEastAsia"/>
                <w:kern w:val="22"/>
                <w:lang w:eastAsia="zh-CN"/>
              </w:rPr>
              <w:t>，</w:t>
            </w:r>
            <w:r w:rsidRPr="00DF42AC">
              <w:rPr>
                <w:rFonts w:eastAsiaTheme="minorEastAsia"/>
                <w:kern w:val="22"/>
                <w:lang w:val="zh-CN" w:eastAsia="zh-CN"/>
              </w:rPr>
              <w:t>委托由其作为传统知识和文化表现形式的监护人或保护人的群体、部落或社区人民或个人。</w:t>
            </w:r>
          </w:p>
        </w:tc>
      </w:tr>
      <w:tr w:rsidR="00DF42AC" w:rsidRPr="00DF42AC" w:rsidTr="00912BCC">
        <w:trPr>
          <w:cantSplit/>
        </w:trPr>
        <w:tc>
          <w:tcPr>
            <w:tcW w:w="2970" w:type="dxa"/>
            <w:gridSpan w:val="2"/>
          </w:tcPr>
          <w:p w:rsidR="00DF42AC" w:rsidRPr="00DF42AC" w:rsidRDefault="00DF42AC" w:rsidP="00974D16">
            <w:pPr>
              <w:suppressLineNumbers/>
              <w:suppressAutoHyphens/>
              <w:ind w:firstLine="0"/>
              <w:rPr>
                <w:rFonts w:eastAsiaTheme="minorEastAsia"/>
              </w:rPr>
            </w:pPr>
            <w:r w:rsidRPr="00DF42AC">
              <w:rPr>
                <w:rFonts w:eastAsiaTheme="minorEastAsia"/>
                <w:kern w:val="22"/>
                <w:lang w:val="zh-CN"/>
              </w:rPr>
              <w:t>传统生物资源</w:t>
            </w:r>
          </w:p>
        </w:tc>
        <w:tc>
          <w:tcPr>
            <w:tcW w:w="6895" w:type="dxa"/>
            <w:gridSpan w:val="2"/>
          </w:tcPr>
          <w:p w:rsidR="00DF42AC" w:rsidRPr="00DF42AC" w:rsidRDefault="00DF42AC" w:rsidP="00974D16">
            <w:pPr>
              <w:suppressLineNumbers/>
              <w:suppressAutoHyphens/>
              <w:ind w:firstLine="0"/>
              <w:rPr>
                <w:rFonts w:eastAsiaTheme="minorEastAsia"/>
                <w:lang w:eastAsia="zh-CN"/>
              </w:rPr>
            </w:pPr>
            <w:r w:rsidRPr="00DF42AC">
              <w:rPr>
                <w:rFonts w:eastAsiaTheme="minorEastAsia"/>
                <w:kern w:val="22"/>
                <w:lang w:eastAsia="zh-CN"/>
              </w:rPr>
              <w:t>《公约》第</w:t>
            </w:r>
            <w:r w:rsidRPr="00DF42AC">
              <w:rPr>
                <w:rFonts w:eastAsiaTheme="minorEastAsia"/>
                <w:kern w:val="22"/>
                <w:lang w:val="zh-CN" w:eastAsia="zh-CN"/>
              </w:rPr>
              <w:t>2</w:t>
            </w:r>
            <w:r w:rsidRPr="00DF42AC">
              <w:rPr>
                <w:rFonts w:eastAsiaTheme="minorEastAsia"/>
                <w:kern w:val="22"/>
                <w:lang w:eastAsia="zh-CN"/>
              </w:rPr>
              <w:t>条界定的生物资源，以及</w:t>
            </w:r>
            <w:r w:rsidRPr="00DF42AC">
              <w:rPr>
                <w:rFonts w:eastAsiaTheme="minorEastAsia"/>
                <w:kern w:val="22"/>
                <w:lang w:val="zh-CN" w:eastAsia="zh-CN"/>
              </w:rPr>
              <w:t>土著人民和地方社区依照国内立法酌情传统使用的生物资源。</w:t>
            </w:r>
          </w:p>
        </w:tc>
      </w:tr>
      <w:tr w:rsidR="00DF42AC" w:rsidRPr="00DF42AC" w:rsidTr="00912BCC">
        <w:trPr>
          <w:cantSplit/>
        </w:trPr>
        <w:tc>
          <w:tcPr>
            <w:tcW w:w="2970" w:type="dxa"/>
            <w:gridSpan w:val="2"/>
          </w:tcPr>
          <w:p w:rsidR="00DF42AC" w:rsidRPr="00DF42AC" w:rsidRDefault="00DF42AC" w:rsidP="00974D16">
            <w:pPr>
              <w:suppressLineNumbers/>
              <w:suppressAutoHyphens/>
              <w:ind w:firstLine="0"/>
              <w:rPr>
                <w:rFonts w:eastAsiaTheme="minorEastAsia"/>
              </w:rPr>
            </w:pPr>
            <w:r w:rsidRPr="00DF42AC">
              <w:rPr>
                <w:rFonts w:eastAsiaTheme="minorEastAsia"/>
                <w:kern w:val="22"/>
                <w:lang w:val="zh-CN"/>
              </w:rPr>
              <w:t>传统领地</w:t>
            </w:r>
          </w:p>
        </w:tc>
        <w:tc>
          <w:tcPr>
            <w:tcW w:w="6895" w:type="dxa"/>
            <w:gridSpan w:val="2"/>
          </w:tcPr>
          <w:p w:rsidR="00DF42AC" w:rsidRPr="00DF42AC" w:rsidRDefault="00DF42AC" w:rsidP="00974D16">
            <w:pPr>
              <w:suppressLineNumbers/>
              <w:suppressAutoHyphens/>
              <w:ind w:firstLine="0"/>
              <w:rPr>
                <w:rFonts w:eastAsiaTheme="minorEastAsia"/>
                <w:kern w:val="22"/>
                <w:lang w:eastAsia="zh-CN"/>
              </w:rPr>
            </w:pPr>
            <w:r w:rsidRPr="00DF42AC">
              <w:rPr>
                <w:rFonts w:eastAsiaTheme="minorEastAsia"/>
                <w:kern w:val="22"/>
                <w:lang w:val="zh-CN" w:eastAsia="zh-CN"/>
              </w:rPr>
              <w:t>土著人民和地方社区传统占有或使用的土地和水域。</w:t>
            </w:r>
            <w:r w:rsidRPr="00DF42AC">
              <w:rPr>
                <w:rStyle w:val="FootnoteReference"/>
                <w:rFonts w:eastAsiaTheme="minorEastAsia"/>
                <w:vertAlign w:val="superscript"/>
              </w:rPr>
              <w:footnoteReference w:id="233"/>
            </w:r>
          </w:p>
        </w:tc>
      </w:tr>
      <w:tr w:rsidR="00DF42AC" w:rsidRPr="00DF42AC" w:rsidTr="00912BCC">
        <w:trPr>
          <w:cantSplit/>
        </w:trPr>
        <w:tc>
          <w:tcPr>
            <w:tcW w:w="9865" w:type="dxa"/>
            <w:gridSpan w:val="4"/>
          </w:tcPr>
          <w:p w:rsidR="00DF42AC" w:rsidRPr="00DF42AC" w:rsidRDefault="00DF42AC" w:rsidP="00974D16">
            <w:pPr>
              <w:suppressLineNumbers/>
              <w:suppressAutoHyphens/>
              <w:ind w:firstLine="0"/>
              <w:jc w:val="center"/>
              <w:rPr>
                <w:rFonts w:eastAsiaTheme="minorEastAsia"/>
                <w:lang w:eastAsia="zh-CN"/>
              </w:rPr>
            </w:pPr>
            <w:r w:rsidRPr="00DF42AC">
              <w:rPr>
                <w:rFonts w:eastAsiaTheme="minorEastAsia"/>
                <w:b/>
                <w:kern w:val="22"/>
                <w:lang w:val="zh-CN" w:eastAsia="zh-CN"/>
              </w:rPr>
              <w:t>第四部分</w:t>
            </w:r>
            <w:r w:rsidRPr="00DF42AC">
              <w:rPr>
                <w:rFonts w:eastAsiaTheme="minorEastAsia"/>
                <w:b/>
                <w:kern w:val="22"/>
                <w:lang w:eastAsia="zh-CN"/>
              </w:rPr>
              <w:tab/>
            </w:r>
            <w:r w:rsidRPr="00DF42AC">
              <w:rPr>
                <w:rFonts w:eastAsiaTheme="minorEastAsia"/>
                <w:b/>
                <w:kern w:val="22"/>
                <w:lang w:val="zh-CN" w:eastAsia="zh-CN"/>
              </w:rPr>
              <w:t>其他相关术语和概念</w:t>
            </w:r>
          </w:p>
        </w:tc>
      </w:tr>
      <w:tr w:rsidR="00DF42AC" w:rsidRPr="00DF42AC" w:rsidTr="00912BCC">
        <w:trPr>
          <w:cantSplit/>
        </w:trPr>
        <w:tc>
          <w:tcPr>
            <w:tcW w:w="2970" w:type="dxa"/>
            <w:gridSpan w:val="2"/>
          </w:tcPr>
          <w:p w:rsidR="00DF42AC" w:rsidRPr="00DF42AC" w:rsidRDefault="00DF42AC" w:rsidP="00974D16">
            <w:pPr>
              <w:suppressLineNumbers/>
              <w:suppressAutoHyphens/>
              <w:ind w:firstLine="0"/>
              <w:rPr>
                <w:rFonts w:eastAsiaTheme="minorEastAsia"/>
              </w:rPr>
            </w:pPr>
            <w:r w:rsidRPr="00DF42AC">
              <w:rPr>
                <w:rFonts w:eastAsiaTheme="minorEastAsia"/>
                <w:b/>
                <w:kern w:val="22"/>
                <w:lang w:val="zh-CN"/>
              </w:rPr>
              <w:t>术语或概念</w:t>
            </w:r>
          </w:p>
        </w:tc>
        <w:tc>
          <w:tcPr>
            <w:tcW w:w="6895" w:type="dxa"/>
            <w:gridSpan w:val="2"/>
          </w:tcPr>
          <w:p w:rsidR="00DF42AC" w:rsidRPr="00DF42AC" w:rsidRDefault="00DF42AC" w:rsidP="00DF42AC">
            <w:pPr>
              <w:suppressLineNumbers/>
              <w:suppressAutoHyphens/>
              <w:rPr>
                <w:rFonts w:eastAsiaTheme="minorEastAsia"/>
                <w:lang w:eastAsia="zh-CN"/>
              </w:rPr>
            </w:pPr>
            <w:r w:rsidRPr="00DF42AC">
              <w:rPr>
                <w:rFonts w:eastAsiaTheme="minorEastAsia"/>
                <w:b/>
                <w:kern w:val="22"/>
                <w:lang w:val="zh-CN" w:eastAsia="zh-CN"/>
              </w:rPr>
              <w:t>对《公约》范围内使用的术语或概念的理解</w:t>
            </w:r>
          </w:p>
        </w:tc>
      </w:tr>
      <w:tr w:rsidR="00DF42AC" w:rsidRPr="00DF42AC" w:rsidTr="00912BCC">
        <w:trPr>
          <w:cantSplit/>
        </w:trPr>
        <w:tc>
          <w:tcPr>
            <w:tcW w:w="2970" w:type="dxa"/>
            <w:gridSpan w:val="2"/>
          </w:tcPr>
          <w:p w:rsidR="00DF42AC" w:rsidRPr="00DF42AC" w:rsidRDefault="00DF42AC" w:rsidP="00974D16">
            <w:pPr>
              <w:suppressLineNumbers/>
              <w:suppressAutoHyphens/>
              <w:ind w:firstLine="0"/>
              <w:rPr>
                <w:rFonts w:eastAsiaTheme="minorEastAsia"/>
                <w:lang w:eastAsia="zh-CN"/>
              </w:rPr>
            </w:pPr>
            <w:r w:rsidRPr="00DF42AC">
              <w:rPr>
                <w:rFonts w:eastAsiaTheme="minorEastAsia"/>
                <w:kern w:val="22"/>
                <w:lang w:val="zh-CN" w:eastAsia="zh-CN"/>
              </w:rPr>
              <w:lastRenderedPageBreak/>
              <w:t>土著人民和社区养护的领土和地区（</w:t>
            </w:r>
            <w:r w:rsidRPr="00DF42AC">
              <w:rPr>
                <w:rFonts w:eastAsiaTheme="minorEastAsia"/>
                <w:kern w:val="22"/>
                <w:lang w:eastAsia="zh-CN"/>
              </w:rPr>
              <w:t>ICCAs</w:t>
            </w:r>
            <w:r w:rsidRPr="00DF42AC">
              <w:rPr>
                <w:rFonts w:eastAsiaTheme="minorEastAsia"/>
                <w:kern w:val="22"/>
                <w:lang w:val="zh-CN" w:eastAsia="zh-CN"/>
              </w:rPr>
              <w:t>）</w:t>
            </w:r>
          </w:p>
        </w:tc>
        <w:tc>
          <w:tcPr>
            <w:tcW w:w="6895" w:type="dxa"/>
            <w:gridSpan w:val="2"/>
          </w:tcPr>
          <w:p w:rsidR="00DF42AC" w:rsidRPr="00DF42AC" w:rsidRDefault="00DF42AC" w:rsidP="00DF42AC">
            <w:pPr>
              <w:pStyle w:val="FootnoteText"/>
              <w:suppressLineNumbers/>
              <w:suppressAutoHyphens/>
              <w:spacing w:after="120"/>
              <w:ind w:firstLine="0"/>
              <w:rPr>
                <w:rFonts w:eastAsiaTheme="minorEastAsia"/>
                <w:kern w:val="22"/>
                <w:sz w:val="24"/>
                <w:lang w:val="zh-CN" w:eastAsia="zh-CN"/>
              </w:rPr>
            </w:pPr>
            <w:r w:rsidRPr="00DF42AC">
              <w:rPr>
                <w:rFonts w:eastAsiaTheme="minorEastAsia"/>
                <w:kern w:val="22"/>
                <w:sz w:val="24"/>
                <w:lang w:val="zh-CN" w:eastAsia="zh-CN"/>
              </w:rPr>
              <w:t>土著人民和社区养护的领土和地区是自然和（或）改造的生态系统</w:t>
            </w:r>
            <w:r w:rsidRPr="00DF42AC">
              <w:rPr>
                <w:rFonts w:eastAsiaTheme="minorEastAsia"/>
                <w:kern w:val="22"/>
                <w:sz w:val="24"/>
                <w:lang w:eastAsia="zh-CN"/>
              </w:rPr>
              <w:t>，</w:t>
            </w:r>
            <w:r w:rsidRPr="00DF42AC">
              <w:rPr>
                <w:rFonts w:eastAsiaTheme="minorEastAsia"/>
                <w:kern w:val="22"/>
                <w:sz w:val="24"/>
                <w:lang w:val="zh-CN" w:eastAsia="zh-CN"/>
              </w:rPr>
              <w:t>其中有重要的生物多样性价值、生态服务和文化价值</w:t>
            </w:r>
            <w:r w:rsidRPr="00DF42AC">
              <w:rPr>
                <w:rFonts w:eastAsiaTheme="minorEastAsia"/>
                <w:kern w:val="22"/>
                <w:sz w:val="24"/>
                <w:lang w:eastAsia="zh-CN"/>
              </w:rPr>
              <w:t>，</w:t>
            </w:r>
            <w:r w:rsidRPr="00DF42AC">
              <w:rPr>
                <w:rFonts w:eastAsiaTheme="minorEastAsia"/>
                <w:kern w:val="22"/>
                <w:sz w:val="24"/>
                <w:lang w:val="zh-CN" w:eastAsia="zh-CN"/>
              </w:rPr>
              <w:t>它们由常住和流动的土著人民和地方社区通过习惯法或其他有效手段进行自愿养护。</w:t>
            </w:r>
            <w:r w:rsidRPr="00974D16">
              <w:rPr>
                <w:rStyle w:val="FootnoteReference"/>
                <w:rFonts w:eastAsiaTheme="minorEastAsia"/>
                <w:sz w:val="24"/>
                <w:u w:val="none"/>
                <w:vertAlign w:val="superscript"/>
                <w:lang w:eastAsia="zh-CN"/>
              </w:rPr>
              <w:footnoteReference w:id="234"/>
            </w:r>
          </w:p>
          <w:p w:rsidR="00DF42AC" w:rsidRPr="000932B0" w:rsidRDefault="00DF42AC" w:rsidP="00974D16">
            <w:pPr>
              <w:suppressLineNumbers/>
              <w:suppressAutoHyphens/>
              <w:ind w:firstLine="0"/>
              <w:rPr>
                <w:rFonts w:asciiTheme="minorEastAsia" w:eastAsiaTheme="minorEastAsia" w:hAnsiTheme="minorEastAsia"/>
                <w:lang w:eastAsia="zh-CN"/>
              </w:rPr>
            </w:pPr>
            <w:r w:rsidRPr="000932B0">
              <w:rPr>
                <w:rFonts w:asciiTheme="minorEastAsia" w:eastAsiaTheme="minorEastAsia" w:hAnsiTheme="minorEastAsia"/>
                <w:kern w:val="22"/>
                <w:lang w:val="zh-CN" w:eastAsia="zh-CN"/>
              </w:rPr>
              <w:t>由土著人民和地方社区养护的地区有可能被视为受保护或养护的地区，</w:t>
            </w:r>
            <w:r w:rsidRPr="000932B0">
              <w:rPr>
                <w:rFonts w:asciiTheme="minorEastAsia" w:eastAsiaTheme="minorEastAsia" w:hAnsiTheme="minorEastAsia"/>
                <w:kern w:val="22"/>
                <w:lang w:eastAsia="zh-CN"/>
              </w:rPr>
              <w:t>条件是，他们“事先知情”或“</w:t>
            </w:r>
            <w:r w:rsidRPr="000932B0">
              <w:rPr>
                <w:rFonts w:asciiTheme="minorEastAsia" w:eastAsiaTheme="minorEastAsia" w:hAnsiTheme="minorEastAsia"/>
                <w:kern w:val="22"/>
                <w:lang w:val="zh-CN" w:eastAsia="zh-CN"/>
              </w:rPr>
              <w:t>自由事先知情同意”，或根据国情，“核准并参与”，或提出要求。</w:t>
            </w:r>
          </w:p>
        </w:tc>
      </w:tr>
    </w:tbl>
    <w:p w:rsidR="00707179" w:rsidRPr="00707179" w:rsidRDefault="00707179" w:rsidP="00707179">
      <w:pPr>
        <w:tabs>
          <w:tab w:val="left" w:pos="1440"/>
        </w:tabs>
        <w:suppressAutoHyphens/>
        <w:adjustRightInd w:val="0"/>
        <w:snapToGrid w:val="0"/>
        <w:rPr>
          <w:rFonts w:eastAsiaTheme="minorEastAsia"/>
          <w:lang w:eastAsia="zh-CN"/>
        </w:rPr>
      </w:pPr>
    </w:p>
    <w:p w:rsidR="001E3250" w:rsidRDefault="001E3250">
      <w:pPr>
        <w:rPr>
          <w:rFonts w:eastAsiaTheme="minorEastAsia"/>
          <w:b/>
          <w:bCs/>
          <w:noProof/>
          <w:kern w:val="22"/>
          <w:szCs w:val="32"/>
          <w:lang w:eastAsia="zh-CN"/>
        </w:rPr>
      </w:pPr>
      <w:bookmarkStart w:id="173" w:name="_Toc524194605"/>
      <w:r>
        <w:rPr>
          <w:rFonts w:eastAsiaTheme="minorEastAsia"/>
          <w:noProof/>
          <w:kern w:val="22"/>
          <w:lang w:eastAsia="zh-CN"/>
        </w:rPr>
        <w:br w:type="page"/>
      </w:r>
    </w:p>
    <w:p w:rsidR="001E3250" w:rsidRPr="001E3250" w:rsidRDefault="001E3250" w:rsidP="00933CD4">
      <w:pPr>
        <w:pStyle w:val="Heading1"/>
        <w:adjustRightInd w:val="0"/>
        <w:spacing w:before="120" w:after="120"/>
        <w:ind w:right="39" w:firstLine="0"/>
        <w:rPr>
          <w:rFonts w:eastAsiaTheme="minorEastAsia" w:cs="Times New Roman"/>
          <w:noProof/>
          <w:kern w:val="22"/>
          <w:sz w:val="24"/>
          <w:lang w:eastAsia="zh-CN"/>
        </w:rPr>
      </w:pPr>
      <w:bookmarkStart w:id="174" w:name="_Toc6243766"/>
      <w:r w:rsidRPr="001E3250">
        <w:rPr>
          <w:rFonts w:eastAsiaTheme="minorEastAsia" w:cs="Times New Roman"/>
          <w:noProof/>
          <w:kern w:val="22"/>
          <w:sz w:val="24"/>
          <w:lang w:eastAsia="zh-CN"/>
        </w:rPr>
        <w:lastRenderedPageBreak/>
        <w:t xml:space="preserve">14/14.     </w:t>
      </w:r>
      <w:r w:rsidRPr="001E3250">
        <w:rPr>
          <w:rFonts w:eastAsiaTheme="minorEastAsia" w:cs="Times New Roman"/>
          <w:noProof/>
          <w:kern w:val="22"/>
          <w:sz w:val="24"/>
          <w:lang w:eastAsia="zh-CN"/>
        </w:rPr>
        <w:t>其他与第</w:t>
      </w:r>
      <w:r w:rsidRPr="001E3250">
        <w:rPr>
          <w:rFonts w:eastAsiaTheme="minorEastAsia" w:cs="Times New Roman"/>
          <w:noProof/>
          <w:kern w:val="22"/>
          <w:sz w:val="24"/>
          <w:lang w:eastAsia="zh-CN"/>
        </w:rPr>
        <w:t>8(j)</w:t>
      </w:r>
      <w:r w:rsidRPr="001E3250">
        <w:rPr>
          <w:rFonts w:eastAsiaTheme="minorEastAsia" w:cs="Times New Roman"/>
          <w:noProof/>
          <w:kern w:val="22"/>
          <w:sz w:val="24"/>
          <w:lang w:eastAsia="zh-CN"/>
        </w:rPr>
        <w:t>条相关的事项</w:t>
      </w:r>
      <w:bookmarkEnd w:id="173"/>
      <w:bookmarkEnd w:id="174"/>
      <w:r w:rsidRPr="001E3250">
        <w:rPr>
          <w:rFonts w:eastAsiaTheme="minorEastAsia" w:cs="Times New Roman"/>
          <w:noProof/>
          <w:kern w:val="22"/>
          <w:sz w:val="24"/>
          <w:lang w:eastAsia="zh-CN"/>
        </w:rPr>
        <w:t xml:space="preserve"> </w:t>
      </w:r>
    </w:p>
    <w:p w:rsidR="001E3250" w:rsidRDefault="001E3250" w:rsidP="001E3250">
      <w:pPr>
        <w:adjustRightInd w:val="0"/>
        <w:snapToGrid w:val="0"/>
        <w:rPr>
          <w:rFonts w:ascii="KaiTi" w:eastAsia="KaiTi" w:hAnsi="KaiTi"/>
          <w:snapToGrid w:val="0"/>
          <w:kern w:val="22"/>
          <w:lang w:val="zh-CN" w:eastAsia="zh-CN"/>
        </w:rPr>
      </w:pPr>
      <w:r w:rsidRPr="005B4EC8">
        <w:rPr>
          <w:rFonts w:ascii="KaiTi" w:eastAsia="KaiTi" w:hAnsi="KaiTi"/>
          <w:snapToGrid w:val="0"/>
          <w:kern w:val="22"/>
          <w:lang w:val="zh-CN" w:eastAsia="zh-CN"/>
        </w:rPr>
        <w:t>缔约方大会</w:t>
      </w:r>
      <w:r>
        <w:rPr>
          <w:rFonts w:ascii="KaiTi" w:eastAsia="KaiTi" w:hAnsi="KaiTi" w:hint="eastAsia"/>
          <w:snapToGrid w:val="0"/>
          <w:kern w:val="22"/>
          <w:lang w:val="zh-CN" w:eastAsia="zh-CN"/>
        </w:rPr>
        <w:t>，</w:t>
      </w:r>
    </w:p>
    <w:p w:rsidR="001E3250" w:rsidRPr="001E3250" w:rsidRDefault="001E3250" w:rsidP="001E3250">
      <w:pPr>
        <w:tabs>
          <w:tab w:val="left" w:pos="1440"/>
        </w:tabs>
        <w:adjustRightInd w:val="0"/>
        <w:rPr>
          <w:rFonts w:eastAsiaTheme="minorEastAsia"/>
          <w:lang w:eastAsia="zh-CN"/>
        </w:rPr>
      </w:pPr>
      <w:r w:rsidRPr="007F4185">
        <w:rPr>
          <w:rFonts w:ascii="KaiTi" w:eastAsia="KaiTi" w:hAnsi="KaiTi"/>
          <w:snapToGrid w:val="0"/>
          <w:kern w:val="22"/>
          <w:lang w:val="zh-CN" w:eastAsia="zh-CN"/>
        </w:rPr>
        <w:t>注意到</w:t>
      </w:r>
      <w:r w:rsidRPr="001E3250">
        <w:rPr>
          <w:rFonts w:eastAsiaTheme="minorEastAsia"/>
          <w:lang w:eastAsia="zh-CN"/>
        </w:rPr>
        <w:t>第</w:t>
      </w:r>
      <w:r w:rsidRPr="001E3250">
        <w:rPr>
          <w:rFonts w:eastAsiaTheme="minorEastAsia"/>
          <w:lang w:eastAsia="zh-CN"/>
        </w:rPr>
        <w:t>8(j)</w:t>
      </w:r>
      <w:r w:rsidRPr="001E3250">
        <w:rPr>
          <w:rFonts w:eastAsiaTheme="minorEastAsia"/>
          <w:lang w:eastAsia="zh-CN"/>
        </w:rPr>
        <w:t>条和相关条款问题不限成员名额闭会期间特设工作组第十次会议就</w:t>
      </w:r>
      <w:r w:rsidRPr="007F4185">
        <w:rPr>
          <w:rFonts w:asciiTheme="minorEastAsia" w:eastAsiaTheme="minorEastAsia" w:hAnsiTheme="minorEastAsia"/>
          <w:lang w:eastAsia="zh-CN"/>
        </w:rPr>
        <w:t>“</w:t>
      </w:r>
      <w:r w:rsidRPr="001E3250">
        <w:rPr>
          <w:rFonts w:eastAsiaTheme="minorEastAsia"/>
          <w:lang w:eastAsia="zh-CN"/>
        </w:rPr>
        <w:t>土著人民和地方社区的传统知识、创新和做法对执行《</w:t>
      </w:r>
      <w:r w:rsidRPr="001E3250">
        <w:rPr>
          <w:rFonts w:eastAsiaTheme="minorEastAsia"/>
          <w:lang w:eastAsia="zh-CN"/>
        </w:rPr>
        <w:t>2030</w:t>
      </w:r>
      <w:r w:rsidRPr="001E3250">
        <w:rPr>
          <w:rFonts w:eastAsiaTheme="minorEastAsia"/>
          <w:lang w:eastAsia="zh-CN"/>
        </w:rPr>
        <w:t>年可持续发展议程》的贡献，重点是保护和可持续利用生物多样性</w:t>
      </w:r>
      <w:r w:rsidRPr="007F4185">
        <w:rPr>
          <w:rFonts w:asciiTheme="minorEastAsia" w:eastAsiaTheme="minorEastAsia" w:hAnsiTheme="minorEastAsia"/>
          <w:snapToGrid w:val="0"/>
          <w:kern w:val="22"/>
          <w:lang w:val="zh-CN" w:eastAsia="zh-CN"/>
        </w:rPr>
        <w:t>”</w:t>
      </w:r>
      <w:r w:rsidRPr="001E3250">
        <w:rPr>
          <w:rFonts w:eastAsiaTheme="minorEastAsia"/>
          <w:lang w:eastAsia="zh-CN"/>
        </w:rPr>
        <w:t>的主题进行了深入对话，</w:t>
      </w:r>
    </w:p>
    <w:p w:rsidR="001E3250" w:rsidRPr="001E3250" w:rsidRDefault="001E3250" w:rsidP="001E3250">
      <w:pPr>
        <w:tabs>
          <w:tab w:val="left" w:pos="1440"/>
        </w:tabs>
        <w:adjustRightInd w:val="0"/>
        <w:rPr>
          <w:rFonts w:eastAsiaTheme="minorEastAsia"/>
          <w:color w:val="C00000"/>
          <w:lang w:eastAsia="zh-CN"/>
        </w:rPr>
      </w:pPr>
      <w:r w:rsidRPr="007F4185">
        <w:rPr>
          <w:rFonts w:ascii="KaiTi" w:eastAsia="KaiTi" w:hAnsi="KaiTi"/>
          <w:snapToGrid w:val="0"/>
          <w:kern w:val="22"/>
          <w:lang w:val="zh-CN" w:eastAsia="zh-CN"/>
        </w:rPr>
        <w:t>认识到</w:t>
      </w:r>
      <w:r w:rsidRPr="001E3250">
        <w:rPr>
          <w:rFonts w:eastAsiaTheme="minorEastAsia"/>
          <w:lang w:eastAsia="zh-CN"/>
        </w:rPr>
        <w:t>土著人民和地方社区的与养护和可持续利用生物多样性相关的传统知识、创新和做法以及对生物多样性的习惯使用可以为实现大多数《可持续发展目标》作出重要贡献，</w:t>
      </w:r>
      <w:r w:rsidRPr="001E3250">
        <w:rPr>
          <w:rFonts w:eastAsiaTheme="minorEastAsia"/>
          <w:color w:val="C00000"/>
          <w:lang w:eastAsia="zh-CN"/>
        </w:rPr>
        <w:t xml:space="preserve"> </w:t>
      </w:r>
    </w:p>
    <w:p w:rsidR="001E3250" w:rsidRPr="001E3250" w:rsidRDefault="001E3250" w:rsidP="001A42F8">
      <w:pPr>
        <w:numPr>
          <w:ilvl w:val="0"/>
          <w:numId w:val="207"/>
        </w:numPr>
        <w:tabs>
          <w:tab w:val="left" w:pos="1440"/>
          <w:tab w:val="left" w:pos="2160"/>
          <w:tab w:val="left" w:pos="10992"/>
          <w:tab w:val="left" w:pos="11908"/>
          <w:tab w:val="left" w:pos="12824"/>
          <w:tab w:val="left" w:pos="13740"/>
          <w:tab w:val="left" w:pos="14656"/>
        </w:tabs>
        <w:adjustRightInd w:val="0"/>
        <w:ind w:left="0" w:firstLine="720"/>
        <w:rPr>
          <w:rFonts w:eastAsiaTheme="minorEastAsia"/>
          <w:lang w:eastAsia="zh-CN"/>
        </w:rPr>
      </w:pPr>
      <w:r w:rsidRPr="007F4185">
        <w:rPr>
          <w:rFonts w:ascii="KaiTi" w:eastAsia="KaiTi" w:hAnsi="KaiTi"/>
          <w:snapToGrid w:val="0"/>
          <w:kern w:val="22"/>
          <w:lang w:val="zh-CN" w:eastAsia="zh-CN"/>
        </w:rPr>
        <w:t>邀请</w:t>
      </w:r>
      <w:r w:rsidRPr="001E3250">
        <w:rPr>
          <w:rFonts w:eastAsiaTheme="minorEastAsia"/>
          <w:lang w:eastAsia="zh-CN"/>
        </w:rPr>
        <w:t>各缔约方在执行《</w:t>
      </w:r>
      <w:r w:rsidRPr="001E3250">
        <w:rPr>
          <w:rFonts w:eastAsiaTheme="minorEastAsia"/>
          <w:lang w:eastAsia="zh-CN"/>
        </w:rPr>
        <w:t>2030</w:t>
      </w:r>
      <w:r w:rsidRPr="001E3250">
        <w:rPr>
          <w:rFonts w:eastAsiaTheme="minorEastAsia"/>
          <w:lang w:eastAsia="zh-CN"/>
        </w:rPr>
        <w:t>年可持续发展议程》</w:t>
      </w:r>
      <w:r w:rsidRPr="000932B0">
        <w:rPr>
          <w:rStyle w:val="FootnoteReference"/>
          <w:rFonts w:eastAsiaTheme="minorEastAsia"/>
          <w:sz w:val="24"/>
          <w:u w:val="none"/>
          <w:vertAlign w:val="superscript"/>
        </w:rPr>
        <w:footnoteReference w:id="235"/>
      </w:r>
      <w:r w:rsidRPr="000932B0">
        <w:rPr>
          <w:rFonts w:eastAsiaTheme="minorEastAsia"/>
          <w:sz w:val="48"/>
          <w:vertAlign w:val="superscript"/>
          <w:lang w:eastAsia="zh-CN"/>
        </w:rPr>
        <w:t xml:space="preserve"> </w:t>
      </w:r>
      <w:r w:rsidRPr="001E3250">
        <w:rPr>
          <w:rFonts w:eastAsiaTheme="minorEastAsia"/>
          <w:lang w:eastAsia="zh-CN"/>
        </w:rPr>
        <w:t>时，在土著人民和地方社区充分有效参与及其事先知情同意，或自由、事先和知情同意，或核准和参与的情况下，并根据国家法律和国情及依照国际义务，将传统知识、创新和做法，包括生物多样性的可持续习惯使用的传统知识、创新和做法，纳入所有相关《可持续发展目标》的执行工作的主流；</w:t>
      </w:r>
    </w:p>
    <w:p w:rsidR="001E3250" w:rsidRPr="001E3250" w:rsidRDefault="001E3250" w:rsidP="001A42F8">
      <w:pPr>
        <w:numPr>
          <w:ilvl w:val="0"/>
          <w:numId w:val="207"/>
        </w:numPr>
        <w:tabs>
          <w:tab w:val="left" w:pos="1440"/>
          <w:tab w:val="left" w:pos="2160"/>
          <w:tab w:val="left" w:pos="10992"/>
          <w:tab w:val="left" w:pos="11908"/>
          <w:tab w:val="left" w:pos="12824"/>
          <w:tab w:val="left" w:pos="13740"/>
          <w:tab w:val="left" w:pos="14656"/>
        </w:tabs>
        <w:adjustRightInd w:val="0"/>
        <w:ind w:left="0" w:firstLine="720"/>
        <w:rPr>
          <w:rFonts w:eastAsiaTheme="minorEastAsia"/>
          <w:lang w:eastAsia="zh-CN"/>
        </w:rPr>
      </w:pPr>
      <w:r w:rsidRPr="007F4185">
        <w:rPr>
          <w:rFonts w:ascii="KaiTi" w:eastAsia="KaiTi" w:hAnsi="KaiTi"/>
          <w:snapToGrid w:val="0"/>
          <w:kern w:val="22"/>
          <w:lang w:val="zh-CN" w:eastAsia="zh-CN"/>
        </w:rPr>
        <w:t>决定</w:t>
      </w:r>
      <w:r w:rsidRPr="001E3250">
        <w:rPr>
          <w:rFonts w:eastAsiaTheme="minorEastAsia"/>
          <w:lang w:eastAsia="zh-CN"/>
        </w:rPr>
        <w:t>第</w:t>
      </w:r>
      <w:r w:rsidRPr="001E3250">
        <w:rPr>
          <w:rFonts w:eastAsiaTheme="minorEastAsia"/>
          <w:lang w:eastAsia="zh-CN"/>
        </w:rPr>
        <w:t>8(j)</w:t>
      </w:r>
      <w:r w:rsidRPr="001E3250">
        <w:rPr>
          <w:rFonts w:eastAsiaTheme="minorEastAsia"/>
          <w:lang w:eastAsia="zh-CN"/>
        </w:rPr>
        <w:t>条和相关条款问题不限成员名额闭会期间特设工作组第十一次会议深入对话的主题为</w:t>
      </w:r>
      <w:r w:rsidRPr="001E3250">
        <w:rPr>
          <w:rFonts w:asciiTheme="minorEastAsia" w:eastAsiaTheme="minorEastAsia" w:hAnsiTheme="minorEastAsia"/>
          <w:lang w:eastAsia="zh-CN"/>
        </w:rPr>
        <w:t>“土著人民和地方社区的传统知识</w:t>
      </w:r>
      <w:r w:rsidRPr="001E3250">
        <w:rPr>
          <w:rFonts w:eastAsiaTheme="minorEastAsia"/>
          <w:lang w:eastAsia="zh-CN"/>
        </w:rPr>
        <w:t>、创新和做法以及文化多样性对</w:t>
      </w:r>
      <w:r w:rsidRPr="001E3250">
        <w:rPr>
          <w:rFonts w:eastAsiaTheme="minorEastAsia"/>
          <w:lang w:eastAsia="zh-CN"/>
        </w:rPr>
        <w:t>2020</w:t>
      </w:r>
      <w:r w:rsidRPr="001E3250">
        <w:rPr>
          <w:rFonts w:eastAsiaTheme="minorEastAsia"/>
          <w:lang w:eastAsia="zh-CN"/>
        </w:rPr>
        <w:t>后全球生物多样性框架的贡献</w:t>
      </w:r>
      <w:r w:rsidRPr="001E3250">
        <w:rPr>
          <w:rFonts w:asciiTheme="minorEastAsia" w:eastAsiaTheme="minorEastAsia" w:hAnsiTheme="minorEastAsia"/>
          <w:lang w:eastAsia="zh-CN"/>
        </w:rPr>
        <w:t>”</w:t>
      </w:r>
      <w:r w:rsidRPr="001E3250">
        <w:rPr>
          <w:rFonts w:eastAsiaTheme="minorEastAsia"/>
          <w:lang w:eastAsia="zh-CN"/>
        </w:rPr>
        <w:t>；</w:t>
      </w:r>
    </w:p>
    <w:p w:rsidR="001E3250" w:rsidRPr="001E3250" w:rsidRDefault="001E3250" w:rsidP="001A42F8">
      <w:pPr>
        <w:numPr>
          <w:ilvl w:val="0"/>
          <w:numId w:val="207"/>
        </w:numPr>
        <w:tabs>
          <w:tab w:val="left" w:pos="1440"/>
          <w:tab w:val="left" w:pos="2160"/>
          <w:tab w:val="left" w:pos="10992"/>
          <w:tab w:val="left" w:pos="11908"/>
          <w:tab w:val="left" w:pos="12824"/>
          <w:tab w:val="left" w:pos="13740"/>
          <w:tab w:val="left" w:pos="14656"/>
        </w:tabs>
        <w:adjustRightInd w:val="0"/>
        <w:ind w:left="0" w:firstLine="720"/>
        <w:rPr>
          <w:rFonts w:eastAsiaTheme="minorEastAsia"/>
          <w:kern w:val="22"/>
          <w:lang w:eastAsia="zh-CN"/>
        </w:rPr>
      </w:pPr>
      <w:r w:rsidRPr="007F4185">
        <w:rPr>
          <w:rFonts w:ascii="KaiTi" w:eastAsia="KaiTi" w:hAnsi="KaiTi"/>
          <w:snapToGrid w:val="0"/>
          <w:kern w:val="22"/>
          <w:lang w:val="zh-CN" w:eastAsia="zh-CN"/>
        </w:rPr>
        <w:t>注意到</w:t>
      </w:r>
      <w:r w:rsidRPr="001E3250">
        <w:rPr>
          <w:rFonts w:eastAsiaTheme="minorEastAsia"/>
          <w:kern w:val="22"/>
          <w:lang w:eastAsia="zh-CN"/>
        </w:rPr>
        <w:t>联合国土著问题常设论坛第十五届和第十六届会议提出的建议，</w:t>
      </w:r>
      <w:r w:rsidRPr="007F4185">
        <w:rPr>
          <w:rStyle w:val="FootnoteReference"/>
          <w:rFonts w:eastAsiaTheme="minorEastAsia"/>
          <w:kern w:val="22"/>
          <w:sz w:val="24"/>
          <w:szCs w:val="22"/>
          <w:u w:val="none"/>
          <w:vertAlign w:val="superscript"/>
          <w:lang/>
        </w:rPr>
        <w:footnoteReference w:id="236"/>
      </w:r>
      <w:r w:rsidRPr="007F4185">
        <w:rPr>
          <w:rFonts w:eastAsiaTheme="minorEastAsia"/>
          <w:kern w:val="22"/>
          <w:sz w:val="48"/>
          <w:vertAlign w:val="superscript"/>
          <w:lang w:eastAsia="zh-CN"/>
        </w:rPr>
        <w:t xml:space="preserve"> </w:t>
      </w:r>
      <w:r w:rsidRPr="001E3250">
        <w:rPr>
          <w:rFonts w:eastAsiaTheme="minorEastAsia"/>
          <w:kern w:val="22"/>
          <w:lang w:eastAsia="zh-CN"/>
        </w:rPr>
        <w:t>并</w:t>
      </w:r>
      <w:r w:rsidRPr="007F4185">
        <w:rPr>
          <w:rFonts w:ascii="KaiTi" w:eastAsia="KaiTi" w:hAnsi="KaiTi"/>
          <w:snapToGrid w:val="0"/>
          <w:kern w:val="22"/>
          <w:lang w:val="zh-CN" w:eastAsia="zh-CN"/>
        </w:rPr>
        <w:t>请</w:t>
      </w:r>
      <w:r w:rsidRPr="001E3250">
        <w:rPr>
          <w:rFonts w:eastAsiaTheme="minorEastAsia"/>
          <w:kern w:val="22"/>
          <w:lang w:eastAsia="zh-CN"/>
        </w:rPr>
        <w:t>秘书处继续向常设论坛通报共同关心的事态发展。</w:t>
      </w:r>
      <w:r w:rsidRPr="001E3250">
        <w:rPr>
          <w:rFonts w:eastAsiaTheme="minorEastAsia"/>
          <w:kern w:val="22"/>
          <w:lang w:eastAsia="zh-CN"/>
        </w:rPr>
        <w:t xml:space="preserve"> </w:t>
      </w:r>
    </w:p>
    <w:p w:rsidR="0041200F" w:rsidRDefault="0041200F">
      <w:pPr>
        <w:rPr>
          <w:rFonts w:eastAsiaTheme="minorEastAsia"/>
          <w:b/>
          <w:bCs/>
          <w:noProof/>
          <w:kern w:val="22"/>
          <w:szCs w:val="32"/>
          <w:lang w:eastAsia="zh-CN"/>
        </w:rPr>
      </w:pPr>
      <w:r>
        <w:rPr>
          <w:rFonts w:eastAsiaTheme="minorEastAsia"/>
          <w:noProof/>
          <w:kern w:val="22"/>
          <w:lang w:eastAsia="zh-CN"/>
        </w:rPr>
        <w:br w:type="page"/>
      </w:r>
    </w:p>
    <w:p w:rsidR="0041200F" w:rsidRPr="0041200F" w:rsidRDefault="0041200F" w:rsidP="00933CD4">
      <w:pPr>
        <w:pStyle w:val="Heading1"/>
        <w:adjustRightInd w:val="0"/>
        <w:spacing w:before="120" w:after="120"/>
        <w:ind w:right="43" w:firstLine="0"/>
        <w:rPr>
          <w:rFonts w:eastAsiaTheme="minorEastAsia" w:cs="Times New Roman"/>
          <w:noProof/>
          <w:kern w:val="22"/>
          <w:sz w:val="24"/>
          <w:lang w:eastAsia="zh-CN"/>
        </w:rPr>
      </w:pPr>
      <w:bookmarkStart w:id="175" w:name="_Toc6243767"/>
      <w:r w:rsidRPr="0041200F">
        <w:rPr>
          <w:rFonts w:eastAsiaTheme="minorEastAsia" w:cs="Times New Roman"/>
          <w:noProof/>
          <w:kern w:val="22"/>
          <w:sz w:val="24"/>
          <w:lang w:eastAsia="zh-CN"/>
        </w:rPr>
        <w:lastRenderedPageBreak/>
        <w:t xml:space="preserve">14/15.     </w:t>
      </w:r>
      <w:r w:rsidRPr="0041200F">
        <w:rPr>
          <w:rFonts w:eastAsiaTheme="minorEastAsia" w:cs="Times New Roman"/>
          <w:noProof/>
          <w:kern w:val="22"/>
          <w:sz w:val="24"/>
          <w:lang w:eastAsia="zh-CN"/>
        </w:rPr>
        <w:t>生</w:t>
      </w:r>
      <w:r w:rsidRPr="0041200F">
        <w:rPr>
          <w:rFonts w:eastAsia="MS Mincho" w:cs="Times New Roman"/>
          <w:noProof/>
          <w:kern w:val="22"/>
          <w:sz w:val="24"/>
          <w:lang w:eastAsia="zh-CN"/>
        </w:rPr>
        <w:t>​</w:t>
      </w:r>
      <w:r w:rsidRPr="0041200F">
        <w:rPr>
          <w:rFonts w:eastAsiaTheme="minorEastAsia" w:cs="Times New Roman"/>
          <w:noProof/>
          <w:kern w:val="22"/>
          <w:sz w:val="24"/>
          <w:lang w:eastAsia="zh-CN"/>
        </w:rPr>
        <w:t>物</w:t>
      </w:r>
      <w:r w:rsidRPr="0041200F">
        <w:rPr>
          <w:rFonts w:eastAsia="MS Mincho" w:cs="Times New Roman"/>
          <w:noProof/>
          <w:kern w:val="22"/>
          <w:sz w:val="24"/>
          <w:lang w:eastAsia="zh-CN"/>
        </w:rPr>
        <w:t>​</w:t>
      </w:r>
      <w:r w:rsidRPr="0041200F">
        <w:rPr>
          <w:rFonts w:eastAsiaTheme="minorEastAsia" w:cs="Times New Roman"/>
          <w:noProof/>
          <w:kern w:val="22"/>
          <w:sz w:val="24"/>
          <w:lang w:eastAsia="zh-CN"/>
        </w:rPr>
        <w:t>多</w:t>
      </w:r>
      <w:r w:rsidRPr="0041200F">
        <w:rPr>
          <w:rFonts w:eastAsia="MS Mincho" w:cs="Times New Roman"/>
          <w:noProof/>
          <w:kern w:val="22"/>
          <w:sz w:val="24"/>
          <w:lang w:eastAsia="zh-CN"/>
        </w:rPr>
        <w:t>​</w:t>
      </w:r>
      <w:r w:rsidRPr="0041200F">
        <w:rPr>
          <w:rFonts w:eastAsiaTheme="minorEastAsia" w:cs="Times New Roman"/>
          <w:noProof/>
          <w:kern w:val="22"/>
          <w:sz w:val="24"/>
          <w:lang w:eastAsia="zh-CN"/>
        </w:rPr>
        <w:t>样</w:t>
      </w:r>
      <w:r w:rsidRPr="0041200F">
        <w:rPr>
          <w:rFonts w:eastAsia="MS Mincho" w:cs="Times New Roman"/>
          <w:noProof/>
          <w:kern w:val="22"/>
          <w:sz w:val="24"/>
          <w:lang w:eastAsia="zh-CN"/>
        </w:rPr>
        <w:t>​</w:t>
      </w:r>
      <w:r w:rsidRPr="0041200F">
        <w:rPr>
          <w:rFonts w:eastAsiaTheme="minorEastAsia" w:cs="Times New Roman"/>
          <w:noProof/>
          <w:kern w:val="22"/>
          <w:sz w:val="24"/>
          <w:lang w:eastAsia="zh-CN"/>
        </w:rPr>
        <w:t>性</w:t>
      </w:r>
      <w:r w:rsidRPr="0041200F">
        <w:rPr>
          <w:rFonts w:eastAsia="MS Mincho" w:cs="Times New Roman"/>
          <w:noProof/>
          <w:kern w:val="22"/>
          <w:sz w:val="24"/>
          <w:lang w:eastAsia="zh-CN"/>
        </w:rPr>
        <w:t>​</w:t>
      </w:r>
      <w:r w:rsidRPr="0041200F">
        <w:rPr>
          <w:rFonts w:eastAsiaTheme="minorEastAsia" w:cs="Times New Roman"/>
          <w:noProof/>
          <w:kern w:val="22"/>
          <w:sz w:val="24"/>
          <w:lang w:eastAsia="zh-CN"/>
        </w:rPr>
        <w:t>融</w:t>
      </w:r>
      <w:r w:rsidRPr="0041200F">
        <w:rPr>
          <w:rFonts w:eastAsia="MS Mincho" w:cs="Times New Roman"/>
          <w:noProof/>
          <w:kern w:val="22"/>
          <w:sz w:val="24"/>
          <w:lang w:eastAsia="zh-CN"/>
        </w:rPr>
        <w:t>​</w:t>
      </w:r>
      <w:r w:rsidRPr="0041200F">
        <w:rPr>
          <w:rFonts w:eastAsiaTheme="minorEastAsia" w:cs="Times New Roman"/>
          <w:noProof/>
          <w:kern w:val="22"/>
          <w:sz w:val="24"/>
          <w:lang w:eastAsia="zh-CN"/>
        </w:rPr>
        <w:t>资</w:t>
      </w:r>
      <w:r w:rsidRPr="0041200F">
        <w:rPr>
          <w:rFonts w:eastAsia="MS Mincho" w:cs="Times New Roman"/>
          <w:noProof/>
          <w:kern w:val="22"/>
          <w:sz w:val="24"/>
          <w:lang w:eastAsia="zh-CN"/>
        </w:rPr>
        <w:t>​</w:t>
      </w:r>
      <w:r w:rsidRPr="0041200F">
        <w:rPr>
          <w:rFonts w:eastAsiaTheme="minorEastAsia" w:cs="Times New Roman"/>
          <w:noProof/>
          <w:kern w:val="22"/>
          <w:sz w:val="24"/>
          <w:lang w:eastAsia="zh-CN"/>
        </w:rPr>
        <w:t>机</w:t>
      </w:r>
      <w:r w:rsidRPr="0041200F">
        <w:rPr>
          <w:rFonts w:eastAsia="MS Mincho" w:cs="Times New Roman"/>
          <w:noProof/>
          <w:kern w:val="22"/>
          <w:sz w:val="24"/>
          <w:lang w:eastAsia="zh-CN"/>
        </w:rPr>
        <w:t>​</w:t>
      </w:r>
      <w:r w:rsidRPr="0041200F">
        <w:rPr>
          <w:rFonts w:eastAsiaTheme="minorEastAsia" w:cs="Times New Roman"/>
          <w:noProof/>
          <w:kern w:val="22"/>
          <w:sz w:val="24"/>
          <w:lang w:eastAsia="zh-CN"/>
        </w:rPr>
        <w:t>制</w:t>
      </w:r>
      <w:r w:rsidRPr="0041200F">
        <w:rPr>
          <w:rFonts w:eastAsia="MS Mincho" w:cs="Times New Roman"/>
          <w:noProof/>
          <w:kern w:val="22"/>
          <w:sz w:val="24"/>
          <w:lang w:eastAsia="zh-CN"/>
        </w:rPr>
        <w:t>​</w:t>
      </w:r>
      <w:r w:rsidRPr="0041200F">
        <w:rPr>
          <w:rFonts w:eastAsiaTheme="minorEastAsia" w:cs="Times New Roman"/>
          <w:noProof/>
          <w:kern w:val="22"/>
          <w:sz w:val="24"/>
          <w:lang w:eastAsia="zh-CN"/>
        </w:rPr>
        <w:t>的</w:t>
      </w:r>
      <w:r w:rsidRPr="0041200F">
        <w:rPr>
          <w:rFonts w:eastAsia="MS Mincho" w:cs="Times New Roman"/>
          <w:noProof/>
          <w:kern w:val="22"/>
          <w:sz w:val="24"/>
          <w:lang w:eastAsia="zh-CN"/>
        </w:rPr>
        <w:t>​</w:t>
      </w:r>
      <w:r w:rsidRPr="0041200F">
        <w:rPr>
          <w:rFonts w:eastAsiaTheme="minorEastAsia" w:cs="Times New Roman"/>
          <w:noProof/>
          <w:kern w:val="22"/>
          <w:sz w:val="24"/>
          <w:lang w:eastAsia="zh-CN"/>
        </w:rPr>
        <w:t>保</w:t>
      </w:r>
      <w:r w:rsidRPr="0041200F">
        <w:rPr>
          <w:rFonts w:eastAsia="MS Mincho" w:cs="Times New Roman"/>
          <w:noProof/>
          <w:kern w:val="22"/>
          <w:sz w:val="24"/>
          <w:lang w:eastAsia="zh-CN"/>
        </w:rPr>
        <w:t>​</w:t>
      </w:r>
      <w:r w:rsidRPr="0041200F">
        <w:rPr>
          <w:rFonts w:eastAsiaTheme="minorEastAsia" w:cs="Times New Roman"/>
          <w:noProof/>
          <w:kern w:val="22"/>
          <w:sz w:val="24"/>
          <w:lang w:eastAsia="zh-CN"/>
        </w:rPr>
        <w:t>障</w:t>
      </w:r>
      <w:r w:rsidRPr="0041200F">
        <w:rPr>
          <w:rFonts w:eastAsia="MS Mincho" w:cs="Times New Roman"/>
          <w:noProof/>
          <w:kern w:val="22"/>
          <w:sz w:val="24"/>
          <w:lang w:eastAsia="zh-CN"/>
        </w:rPr>
        <w:t>​</w:t>
      </w:r>
      <w:r w:rsidRPr="0041200F">
        <w:rPr>
          <w:rFonts w:eastAsiaTheme="minorEastAsia" w:cs="Times New Roman"/>
          <w:noProof/>
          <w:kern w:val="22"/>
          <w:sz w:val="24"/>
          <w:lang w:eastAsia="zh-CN"/>
        </w:rPr>
        <w:t>措</w:t>
      </w:r>
      <w:r w:rsidRPr="0041200F">
        <w:rPr>
          <w:rFonts w:eastAsia="MS Mincho" w:cs="Times New Roman"/>
          <w:noProof/>
          <w:kern w:val="22"/>
          <w:sz w:val="24"/>
          <w:lang w:eastAsia="zh-CN"/>
        </w:rPr>
        <w:t>​</w:t>
      </w:r>
      <w:r w:rsidRPr="0041200F">
        <w:rPr>
          <w:rFonts w:eastAsiaTheme="minorEastAsia" w:cs="Times New Roman"/>
          <w:noProof/>
          <w:kern w:val="22"/>
          <w:sz w:val="24"/>
          <w:lang w:eastAsia="zh-CN"/>
        </w:rPr>
        <w:t>施</w:t>
      </w:r>
      <w:bookmarkEnd w:id="175"/>
    </w:p>
    <w:p w:rsidR="0041200F" w:rsidRPr="00E40630" w:rsidRDefault="0041200F" w:rsidP="0041200F">
      <w:pPr>
        <w:pStyle w:val="Para1"/>
        <w:tabs>
          <w:tab w:val="clear" w:pos="360"/>
        </w:tabs>
        <w:spacing w:beforeLines="50" w:line="240" w:lineRule="atLeast"/>
        <w:rPr>
          <w:rFonts w:hAnsi="SimSun"/>
          <w:i/>
          <w:noProof/>
          <w:kern w:val="22"/>
          <w:sz w:val="24"/>
          <w:szCs w:val="24"/>
          <w:lang w:eastAsia="zh-CN"/>
        </w:rPr>
      </w:pPr>
      <w:r w:rsidRPr="00E40630">
        <w:rPr>
          <w:rFonts w:ascii="KaiTi" w:eastAsia="KaiTi" w:hAnsi="KaiTi"/>
          <w:kern w:val="22"/>
          <w:sz w:val="24"/>
          <w:szCs w:val="24"/>
          <w:lang w:val="zh-CN" w:eastAsia="zh-CN"/>
        </w:rPr>
        <w:t>缔约方大会</w:t>
      </w:r>
      <w:r w:rsidRPr="00E40630">
        <w:rPr>
          <w:rFonts w:hAnsi="SimSun"/>
          <w:noProof/>
          <w:kern w:val="22"/>
          <w:sz w:val="24"/>
          <w:szCs w:val="24"/>
          <w:lang w:eastAsia="zh-CN"/>
        </w:rPr>
        <w:t>，</w:t>
      </w:r>
    </w:p>
    <w:p w:rsidR="0041200F" w:rsidRPr="00763401" w:rsidRDefault="0041200F" w:rsidP="0041200F">
      <w:pPr>
        <w:keepNext/>
        <w:suppressLineNumbers/>
        <w:tabs>
          <w:tab w:val="left" w:pos="1440"/>
        </w:tabs>
        <w:suppressAutoHyphens/>
        <w:kinsoku w:val="0"/>
        <w:overflowPunct w:val="0"/>
        <w:autoSpaceDE w:val="0"/>
        <w:autoSpaceDN w:val="0"/>
        <w:adjustRightInd w:val="0"/>
        <w:spacing w:line="240" w:lineRule="atLeast"/>
        <w:rPr>
          <w:rFonts w:eastAsiaTheme="minorEastAsia"/>
          <w:iCs/>
          <w:snapToGrid w:val="0"/>
          <w:kern w:val="22"/>
          <w:lang w:eastAsia="zh-CN"/>
        </w:rPr>
      </w:pPr>
      <w:r w:rsidRPr="00763401">
        <w:rPr>
          <w:rFonts w:ascii="KaiTi" w:eastAsia="KaiTi" w:hAnsi="KaiTi" w:cs="SimSun"/>
          <w:snapToGrid w:val="0"/>
          <w:kern w:val="20"/>
          <w:lang w:eastAsia="zh-CN"/>
        </w:rPr>
        <w:t>回顾</w:t>
      </w:r>
      <w:r w:rsidRPr="00763401">
        <w:rPr>
          <w:rFonts w:eastAsiaTheme="minorEastAsia"/>
          <w:iCs/>
          <w:snapToGrid w:val="0"/>
          <w:kern w:val="22"/>
          <w:lang w:eastAsia="zh-CN"/>
        </w:rPr>
        <w:t>第</w:t>
      </w:r>
      <w:r w:rsidRPr="00763401">
        <w:rPr>
          <w:rFonts w:eastAsiaTheme="minorEastAsia"/>
          <w:iCs/>
          <w:snapToGrid w:val="0"/>
          <w:kern w:val="22"/>
          <w:lang w:eastAsia="zh-CN"/>
        </w:rPr>
        <w:t>XII/3</w:t>
      </w:r>
      <w:r w:rsidRPr="00763401">
        <w:rPr>
          <w:rFonts w:eastAsiaTheme="minorEastAsia"/>
          <w:iCs/>
          <w:snapToGrid w:val="0"/>
          <w:kern w:val="22"/>
          <w:lang w:eastAsia="zh-CN"/>
        </w:rPr>
        <w:t>号决定，其中缔约方大会通过了关于生物多样性融资机制的保障措施的自愿准则，</w:t>
      </w:r>
    </w:p>
    <w:p w:rsidR="0041200F" w:rsidRPr="00763401" w:rsidRDefault="0041200F" w:rsidP="001A42F8">
      <w:pPr>
        <w:pStyle w:val="ListParagraph"/>
        <w:numPr>
          <w:ilvl w:val="0"/>
          <w:numId w:val="208"/>
        </w:numPr>
        <w:suppressLineNumbers/>
        <w:tabs>
          <w:tab w:val="left" w:pos="1440"/>
        </w:tabs>
        <w:suppressAutoHyphens/>
        <w:kinsoku w:val="0"/>
        <w:overflowPunct w:val="0"/>
        <w:autoSpaceDE w:val="0"/>
        <w:autoSpaceDN w:val="0"/>
        <w:adjustRightInd w:val="0"/>
        <w:spacing w:line="240" w:lineRule="atLeast"/>
        <w:ind w:left="0" w:firstLine="720"/>
        <w:rPr>
          <w:rFonts w:eastAsiaTheme="minorEastAsia"/>
          <w:snapToGrid w:val="0"/>
          <w:kern w:val="22"/>
          <w:lang w:eastAsia="zh-CN"/>
        </w:rPr>
      </w:pPr>
      <w:r w:rsidRPr="003623CA">
        <w:rPr>
          <w:rFonts w:eastAsiaTheme="minorEastAsia"/>
          <w:snapToGrid w:val="0"/>
          <w:kern w:val="22"/>
          <w:lang w:eastAsia="zh-CN"/>
        </w:rPr>
        <w:t>赞赏地</w:t>
      </w:r>
      <w:r w:rsidRPr="00763401">
        <w:rPr>
          <w:rFonts w:ascii="KaiTi" w:eastAsia="KaiTi" w:hAnsi="KaiTi" w:cs="SimSun"/>
          <w:snapToGrid w:val="0"/>
          <w:kern w:val="20"/>
          <w:lang w:eastAsia="zh-CN"/>
        </w:rPr>
        <w:t>强调</w:t>
      </w:r>
      <w:r w:rsidRPr="00763401">
        <w:rPr>
          <w:rFonts w:eastAsiaTheme="minorEastAsia"/>
          <w:snapToGrid w:val="0"/>
          <w:kern w:val="22"/>
          <w:lang w:eastAsia="zh-CN"/>
        </w:rPr>
        <w:t>现有发展和（或）改善财务机制的保障措施系统以及《公约》的生物多样性融资机制保障措施自愿准则的进程之间正在出现的一致性，</w:t>
      </w:r>
      <w:r>
        <w:rPr>
          <w:rFonts w:eastAsiaTheme="minorEastAsia" w:hint="eastAsia"/>
          <w:snapToGrid w:val="0"/>
          <w:kern w:val="22"/>
          <w:lang w:eastAsia="zh-CN"/>
        </w:rPr>
        <w:t>并</w:t>
      </w:r>
      <w:r w:rsidRPr="003623CA">
        <w:rPr>
          <w:rFonts w:ascii="KaiTi" w:eastAsia="KaiTi" w:hAnsi="KaiTi" w:cs="SimSun"/>
          <w:snapToGrid w:val="0"/>
          <w:kern w:val="20"/>
          <w:lang w:eastAsia="zh-CN"/>
        </w:rPr>
        <w:t>鼓励</w:t>
      </w:r>
      <w:r w:rsidRPr="00763401">
        <w:rPr>
          <w:rFonts w:eastAsiaTheme="minorEastAsia"/>
          <w:snapToGrid w:val="0"/>
          <w:kern w:val="22"/>
          <w:lang w:eastAsia="zh-CN"/>
        </w:rPr>
        <w:t>所有这些进程进一步参考准则</w:t>
      </w:r>
      <w:r>
        <w:rPr>
          <w:rFonts w:eastAsiaTheme="minorEastAsia" w:hint="eastAsia"/>
          <w:snapToGrid w:val="0"/>
          <w:kern w:val="22"/>
          <w:lang w:eastAsia="zh-CN"/>
        </w:rPr>
        <w:t>以便使意见</w:t>
      </w:r>
      <w:r>
        <w:rPr>
          <w:rFonts w:eastAsiaTheme="minorEastAsia"/>
          <w:snapToGrid w:val="0"/>
          <w:kern w:val="22"/>
          <w:lang w:eastAsia="zh-CN"/>
        </w:rPr>
        <w:t>更趋一致</w:t>
      </w:r>
      <w:r w:rsidRPr="00763401">
        <w:rPr>
          <w:rFonts w:eastAsiaTheme="minorEastAsia"/>
          <w:snapToGrid w:val="0"/>
          <w:kern w:val="22"/>
          <w:lang w:eastAsia="zh-CN"/>
        </w:rPr>
        <w:t>；</w:t>
      </w:r>
    </w:p>
    <w:p w:rsidR="0041200F" w:rsidRPr="009A3B93" w:rsidRDefault="0041200F" w:rsidP="001A42F8">
      <w:pPr>
        <w:pStyle w:val="ListParagraph"/>
        <w:numPr>
          <w:ilvl w:val="0"/>
          <w:numId w:val="208"/>
        </w:numPr>
        <w:suppressLineNumbers/>
        <w:tabs>
          <w:tab w:val="left" w:pos="1440"/>
        </w:tabs>
        <w:suppressAutoHyphens/>
        <w:kinsoku w:val="0"/>
        <w:overflowPunct w:val="0"/>
        <w:autoSpaceDE w:val="0"/>
        <w:autoSpaceDN w:val="0"/>
        <w:adjustRightInd w:val="0"/>
        <w:snapToGrid w:val="0"/>
        <w:spacing w:line="240" w:lineRule="atLeast"/>
        <w:ind w:left="0" w:firstLine="720"/>
        <w:rPr>
          <w:snapToGrid w:val="0"/>
          <w:kern w:val="22"/>
          <w:szCs w:val="22"/>
          <w:lang w:eastAsia="zh-CN"/>
        </w:rPr>
      </w:pPr>
      <w:r w:rsidRPr="009A3B93">
        <w:rPr>
          <w:rFonts w:ascii="KaiTi" w:eastAsia="KaiTi" w:hAnsi="KaiTi" w:cs="SimSun"/>
          <w:snapToGrid w:val="0"/>
          <w:kern w:val="20"/>
          <w:lang w:eastAsia="zh-CN"/>
        </w:rPr>
        <w:t>认识到</w:t>
      </w:r>
      <w:r w:rsidRPr="00CE65D8">
        <w:rPr>
          <w:rFonts w:eastAsiaTheme="minorEastAsia" w:hint="eastAsia"/>
          <w:snapToGrid w:val="0"/>
          <w:kern w:val="22"/>
          <w:lang w:eastAsia="zh-CN"/>
        </w:rPr>
        <w:t>，</w:t>
      </w:r>
      <w:r w:rsidRPr="009A3B93">
        <w:rPr>
          <w:rFonts w:eastAsiaTheme="minorEastAsia"/>
          <w:snapToGrid w:val="0"/>
          <w:kern w:val="22"/>
          <w:lang w:eastAsia="zh-CN"/>
        </w:rPr>
        <w:t>根据国际义务和框架</w:t>
      </w:r>
      <w:r w:rsidRPr="00721A84">
        <w:rPr>
          <w:rFonts w:eastAsiaTheme="minorEastAsia"/>
          <w:snapToGrid w:val="0"/>
          <w:kern w:val="22"/>
          <w:lang w:eastAsia="zh-CN"/>
        </w:rPr>
        <w:t>，例如《联合国土著人民权利宣言》</w:t>
      </w:r>
      <w:r w:rsidRPr="00046D2D">
        <w:rPr>
          <w:vertAlign w:val="superscript"/>
        </w:rPr>
        <w:footnoteReference w:id="237"/>
      </w:r>
      <w:r w:rsidRPr="009A3B93">
        <w:rPr>
          <w:rFonts w:eastAsiaTheme="minorEastAsia" w:hint="eastAsia"/>
          <w:snapToGrid w:val="0"/>
          <w:kern w:val="22"/>
          <w:sz w:val="28"/>
          <w:vertAlign w:val="superscript"/>
          <w:lang w:eastAsia="zh-CN"/>
        </w:rPr>
        <w:t xml:space="preserve"> </w:t>
      </w:r>
      <w:r w:rsidRPr="009A3B93">
        <w:rPr>
          <w:rFonts w:eastAsiaTheme="minorEastAsia"/>
          <w:snapToGrid w:val="0"/>
          <w:kern w:val="22"/>
          <w:lang w:eastAsia="zh-CN"/>
        </w:rPr>
        <w:t>以及《生物多样性公约》的</w:t>
      </w:r>
      <w:r w:rsidRPr="009A3B93">
        <w:rPr>
          <w:rFonts w:eastAsiaTheme="minorEastAsia" w:hint="eastAsia"/>
          <w:snapToGrid w:val="0"/>
          <w:kern w:val="22"/>
          <w:lang w:eastAsia="zh-CN"/>
        </w:rPr>
        <w:t>各项</w:t>
      </w:r>
      <w:r w:rsidRPr="009A3B93">
        <w:rPr>
          <w:rFonts w:eastAsiaTheme="minorEastAsia"/>
          <w:snapToGrid w:val="0"/>
          <w:kern w:val="22"/>
          <w:lang w:eastAsia="zh-CN"/>
        </w:rPr>
        <w:t>文书、决定和准则，包括土著人民和地方社区根据国家</w:t>
      </w:r>
      <w:r w:rsidRPr="009A3B93">
        <w:rPr>
          <w:rFonts w:eastAsiaTheme="minorEastAsia" w:hint="eastAsia"/>
          <w:snapToGrid w:val="0"/>
          <w:kern w:val="22"/>
          <w:lang w:eastAsia="zh-CN"/>
        </w:rPr>
        <w:t>法律</w:t>
      </w:r>
      <w:r w:rsidRPr="009A3B93">
        <w:rPr>
          <w:rFonts w:eastAsiaTheme="minorEastAsia"/>
          <w:snapToGrid w:val="0"/>
          <w:kern w:val="22"/>
          <w:lang w:eastAsia="zh-CN"/>
        </w:rPr>
        <w:t>进行</w:t>
      </w:r>
      <w:r w:rsidRPr="009A3B93">
        <w:rPr>
          <w:rFonts w:eastAsiaTheme="minorEastAsia" w:hint="eastAsia"/>
          <w:snapToGrid w:val="0"/>
          <w:kern w:val="22"/>
          <w:lang w:eastAsia="zh-CN"/>
        </w:rPr>
        <w:t>充分</w:t>
      </w:r>
      <w:r w:rsidRPr="009A3B93">
        <w:rPr>
          <w:rFonts w:eastAsiaTheme="minorEastAsia"/>
          <w:snapToGrid w:val="0"/>
          <w:kern w:val="22"/>
          <w:lang w:eastAsia="zh-CN"/>
        </w:rPr>
        <w:t>有效</w:t>
      </w:r>
      <w:r w:rsidRPr="009A3B93">
        <w:rPr>
          <w:rFonts w:eastAsiaTheme="minorEastAsia" w:hint="eastAsia"/>
          <w:snapToGrid w:val="0"/>
          <w:kern w:val="22"/>
          <w:lang w:eastAsia="zh-CN"/>
        </w:rPr>
        <w:t>的</w:t>
      </w:r>
      <w:r w:rsidRPr="009A3B93">
        <w:rPr>
          <w:rFonts w:eastAsiaTheme="minorEastAsia"/>
          <w:snapToGrid w:val="0"/>
          <w:kern w:val="22"/>
          <w:lang w:eastAsia="zh-CN"/>
        </w:rPr>
        <w:t>参与</w:t>
      </w:r>
      <w:r w:rsidRPr="009A3B93">
        <w:rPr>
          <w:rFonts w:eastAsiaTheme="minorEastAsia" w:hint="eastAsia"/>
          <w:snapToGrid w:val="0"/>
          <w:kern w:val="22"/>
          <w:lang w:eastAsia="zh-CN"/>
        </w:rPr>
        <w:t>，</w:t>
      </w:r>
      <w:r w:rsidRPr="009A3B93">
        <w:rPr>
          <w:rFonts w:eastAsiaTheme="minorEastAsia"/>
          <w:snapToGrid w:val="0"/>
          <w:kern w:val="22"/>
          <w:lang w:eastAsia="zh-CN"/>
        </w:rPr>
        <w:t>土著人民和地方社区</w:t>
      </w:r>
      <w:r>
        <w:rPr>
          <w:rFonts w:eastAsiaTheme="minorEastAsia" w:hint="eastAsia"/>
          <w:snapToGrid w:val="0"/>
          <w:kern w:val="22"/>
          <w:lang w:eastAsia="zh-CN"/>
        </w:rPr>
        <w:t>对</w:t>
      </w:r>
      <w:r w:rsidRPr="009A3B93">
        <w:rPr>
          <w:rFonts w:eastAsiaTheme="minorEastAsia"/>
          <w:snapToGrid w:val="0"/>
          <w:kern w:val="22"/>
          <w:lang w:eastAsia="zh-CN"/>
        </w:rPr>
        <w:t>传统领地</w:t>
      </w:r>
      <w:r>
        <w:rPr>
          <w:rFonts w:eastAsiaTheme="minorEastAsia" w:hint="eastAsia"/>
          <w:snapToGrid w:val="0"/>
          <w:kern w:val="22"/>
          <w:lang w:eastAsia="zh-CN"/>
        </w:rPr>
        <w:t>的</w:t>
      </w:r>
      <w:r w:rsidRPr="009A3B93">
        <w:rPr>
          <w:rFonts w:eastAsiaTheme="minorEastAsia"/>
          <w:snapToGrid w:val="0"/>
          <w:kern w:val="22"/>
          <w:lang w:eastAsia="zh-CN"/>
        </w:rPr>
        <w:t>保有权</w:t>
      </w:r>
      <w:r w:rsidRPr="009A3B93">
        <w:rPr>
          <w:rFonts w:eastAsiaTheme="minorEastAsia" w:hint="eastAsia"/>
          <w:snapToGrid w:val="0"/>
          <w:kern w:val="22"/>
          <w:lang w:eastAsia="zh-CN"/>
        </w:rPr>
        <w:t>对于其</w:t>
      </w:r>
      <w:r w:rsidRPr="009A3B93">
        <w:rPr>
          <w:rFonts w:eastAsiaTheme="minorEastAsia"/>
          <w:snapToGrid w:val="0"/>
          <w:kern w:val="22"/>
          <w:lang w:eastAsia="zh-CN"/>
        </w:rPr>
        <w:t>生存和生活方式的重要性；</w:t>
      </w:r>
    </w:p>
    <w:p w:rsidR="0041200F" w:rsidRPr="00CE65D8" w:rsidRDefault="0041200F" w:rsidP="001A42F8">
      <w:pPr>
        <w:pStyle w:val="ListParagraph"/>
        <w:numPr>
          <w:ilvl w:val="0"/>
          <w:numId w:val="208"/>
        </w:numPr>
        <w:suppressLineNumbers/>
        <w:tabs>
          <w:tab w:val="left" w:pos="1440"/>
        </w:tabs>
        <w:suppressAutoHyphens/>
        <w:kinsoku w:val="0"/>
        <w:overflowPunct w:val="0"/>
        <w:autoSpaceDE w:val="0"/>
        <w:autoSpaceDN w:val="0"/>
        <w:adjustRightInd w:val="0"/>
        <w:snapToGrid w:val="0"/>
        <w:spacing w:line="240" w:lineRule="atLeast"/>
        <w:ind w:left="0" w:firstLine="720"/>
        <w:rPr>
          <w:rFonts w:eastAsiaTheme="minorEastAsia"/>
          <w:snapToGrid w:val="0"/>
          <w:kern w:val="22"/>
          <w:lang w:eastAsia="zh-CN"/>
        </w:rPr>
      </w:pPr>
      <w:r w:rsidRPr="00CE65D8">
        <w:rPr>
          <w:rFonts w:ascii="KaiTi" w:eastAsia="KaiTi" w:hAnsi="KaiTi" w:cs="SimSun" w:hint="eastAsia"/>
          <w:snapToGrid w:val="0"/>
          <w:kern w:val="20"/>
          <w:lang w:eastAsia="zh-CN"/>
        </w:rPr>
        <w:t>又</w:t>
      </w:r>
      <w:r w:rsidRPr="00CE65D8">
        <w:rPr>
          <w:rFonts w:ascii="KaiTi" w:eastAsia="KaiTi" w:hAnsi="KaiTi" w:cs="SimSun"/>
          <w:snapToGrid w:val="0"/>
          <w:kern w:val="20"/>
          <w:lang w:eastAsia="zh-CN"/>
        </w:rPr>
        <w:t>认识到</w:t>
      </w:r>
      <w:r w:rsidRPr="00CE65D8">
        <w:rPr>
          <w:rFonts w:eastAsiaTheme="minorEastAsia" w:hint="eastAsia"/>
          <w:snapToGrid w:val="0"/>
          <w:kern w:val="22"/>
          <w:lang w:eastAsia="zh-CN"/>
        </w:rPr>
        <w:t>，酌情</w:t>
      </w:r>
      <w:r w:rsidRPr="00CE65D8">
        <w:rPr>
          <w:rFonts w:eastAsiaTheme="minorEastAsia"/>
          <w:snapToGrid w:val="0"/>
          <w:kern w:val="22"/>
          <w:lang w:eastAsia="zh-CN"/>
        </w:rPr>
        <w:t>通过土著人民和地方社区的代表机构与其进行协商和合作，</w:t>
      </w:r>
      <w:r w:rsidRPr="00CE65D8">
        <w:rPr>
          <w:rFonts w:eastAsiaTheme="minorEastAsia" w:hint="eastAsia"/>
          <w:snapToGrid w:val="0"/>
          <w:kern w:val="22"/>
          <w:lang w:eastAsia="zh-CN"/>
        </w:rPr>
        <w:t>对于酌情根据</w:t>
      </w:r>
      <w:r w:rsidRPr="00CE65D8">
        <w:rPr>
          <w:rFonts w:eastAsiaTheme="minorEastAsia"/>
          <w:snapToGrid w:val="0"/>
          <w:kern w:val="22"/>
          <w:lang w:eastAsia="zh-CN"/>
        </w:rPr>
        <w:t>国家进程、政策和法律</w:t>
      </w:r>
      <w:r w:rsidRPr="00CE65D8">
        <w:rPr>
          <w:rFonts w:eastAsiaTheme="minorEastAsia" w:hint="eastAsia"/>
          <w:snapToGrid w:val="0"/>
          <w:kern w:val="22"/>
          <w:lang w:eastAsia="zh-CN"/>
        </w:rPr>
        <w:t>获得</w:t>
      </w:r>
      <w:r w:rsidRPr="00CE65D8">
        <w:rPr>
          <w:rFonts w:eastAsiaTheme="minorEastAsia"/>
          <w:snapToGrid w:val="0"/>
          <w:kern w:val="22"/>
          <w:lang w:eastAsia="zh-CN"/>
        </w:rPr>
        <w:t>土著人民和地方社区</w:t>
      </w:r>
      <w:r w:rsidRPr="00CE65D8">
        <w:rPr>
          <w:rFonts w:eastAsiaTheme="minorEastAsia" w:hint="eastAsia"/>
          <w:snapToGrid w:val="0"/>
          <w:kern w:val="22"/>
          <w:lang w:eastAsia="zh-CN"/>
        </w:rPr>
        <w:t>的自由</w:t>
      </w:r>
      <w:r w:rsidRPr="00CE65D8">
        <w:rPr>
          <w:rFonts w:eastAsiaTheme="minorEastAsia"/>
          <w:snapToGrid w:val="0"/>
          <w:kern w:val="22"/>
          <w:lang w:eastAsia="zh-CN"/>
        </w:rPr>
        <w:t>、事先知情同意</w:t>
      </w:r>
      <w:r w:rsidRPr="00CE65D8">
        <w:rPr>
          <w:rFonts w:eastAsiaTheme="minorEastAsia" w:hint="eastAsia"/>
          <w:snapToGrid w:val="0"/>
          <w:kern w:val="22"/>
          <w:lang w:eastAsia="zh-CN"/>
        </w:rPr>
        <w:t>，或</w:t>
      </w:r>
      <w:r w:rsidRPr="00CE65D8">
        <w:rPr>
          <w:rFonts w:eastAsiaTheme="minorEastAsia"/>
          <w:snapToGrid w:val="0"/>
          <w:kern w:val="22"/>
          <w:lang w:eastAsia="zh-CN"/>
        </w:rPr>
        <w:t>事先知情同意</w:t>
      </w:r>
      <w:r w:rsidRPr="00CE65D8">
        <w:rPr>
          <w:rFonts w:eastAsiaTheme="minorEastAsia" w:hint="eastAsia"/>
          <w:snapToGrid w:val="0"/>
          <w:kern w:val="22"/>
          <w:lang w:eastAsia="zh-CN"/>
        </w:rPr>
        <w:t>，</w:t>
      </w:r>
      <w:r w:rsidRPr="00CE65D8">
        <w:rPr>
          <w:rFonts w:eastAsiaTheme="minorEastAsia"/>
          <w:snapToGrid w:val="0"/>
          <w:kern w:val="22"/>
          <w:lang w:eastAsia="zh-CN"/>
        </w:rPr>
        <w:t>或核准和</w:t>
      </w:r>
      <w:r w:rsidRPr="00CE65D8">
        <w:rPr>
          <w:rFonts w:eastAsiaTheme="minorEastAsia" w:hint="eastAsia"/>
          <w:snapToGrid w:val="0"/>
          <w:kern w:val="22"/>
          <w:lang w:eastAsia="zh-CN"/>
        </w:rPr>
        <w:t>参与的</w:t>
      </w:r>
      <w:r w:rsidRPr="00CE65D8">
        <w:rPr>
          <w:rFonts w:eastAsiaTheme="minorEastAsia"/>
          <w:snapToGrid w:val="0"/>
          <w:kern w:val="22"/>
          <w:lang w:eastAsia="zh-CN"/>
        </w:rPr>
        <w:t>重要性</w:t>
      </w:r>
      <w:r w:rsidRPr="00CE65D8">
        <w:rPr>
          <w:rFonts w:eastAsiaTheme="minorEastAsia" w:hint="eastAsia"/>
          <w:snapToGrid w:val="0"/>
          <w:kern w:val="22"/>
          <w:lang w:eastAsia="zh-CN"/>
        </w:rPr>
        <w:t>，</w:t>
      </w:r>
    </w:p>
    <w:p w:rsidR="0041200F" w:rsidRPr="0041200F" w:rsidRDefault="0041200F" w:rsidP="001A42F8">
      <w:pPr>
        <w:pStyle w:val="ListParagraph"/>
        <w:numPr>
          <w:ilvl w:val="0"/>
          <w:numId w:val="208"/>
        </w:numPr>
        <w:suppressLineNumbers/>
        <w:tabs>
          <w:tab w:val="left" w:pos="1440"/>
        </w:tabs>
        <w:suppressAutoHyphens/>
        <w:kinsoku w:val="0"/>
        <w:overflowPunct w:val="0"/>
        <w:autoSpaceDE w:val="0"/>
        <w:autoSpaceDN w:val="0"/>
        <w:adjustRightInd w:val="0"/>
        <w:snapToGrid w:val="0"/>
        <w:spacing w:line="240" w:lineRule="atLeast"/>
        <w:ind w:left="0" w:firstLine="720"/>
        <w:rPr>
          <w:rFonts w:eastAsiaTheme="minorEastAsia"/>
          <w:snapToGrid w:val="0"/>
          <w:kern w:val="22"/>
          <w:lang w:eastAsia="zh-CN"/>
        </w:rPr>
      </w:pPr>
      <w:r w:rsidRPr="0041200F">
        <w:rPr>
          <w:rFonts w:ascii="KaiTi" w:eastAsia="KaiTi" w:hAnsi="KaiTi" w:cs="SimSun"/>
          <w:snapToGrid w:val="0"/>
          <w:kern w:val="20"/>
          <w:lang w:eastAsia="zh-CN"/>
        </w:rPr>
        <w:t>还认识到</w:t>
      </w:r>
      <w:r w:rsidRPr="0041200F">
        <w:rPr>
          <w:rFonts w:eastAsiaTheme="minorEastAsia"/>
          <w:snapToGrid w:val="0"/>
          <w:kern w:val="22"/>
          <w:lang w:eastAsia="zh-CN"/>
        </w:rPr>
        <w:t>，</w:t>
      </w:r>
      <w:r w:rsidRPr="0041200F">
        <w:rPr>
          <w:rFonts w:eastAsiaTheme="minorEastAsia"/>
          <w:lang w:eastAsia="zh-CN"/>
        </w:rPr>
        <w:t>土</w:t>
      </w:r>
      <w:r w:rsidRPr="0041200F">
        <w:rPr>
          <w:rFonts w:eastAsia="MS Mincho"/>
          <w:lang w:eastAsia="zh-CN"/>
        </w:rPr>
        <w:t>​</w:t>
      </w:r>
      <w:r w:rsidRPr="0041200F">
        <w:rPr>
          <w:rFonts w:eastAsiaTheme="minorEastAsia"/>
          <w:lang w:eastAsia="zh-CN"/>
        </w:rPr>
        <w:t>著</w:t>
      </w:r>
      <w:r w:rsidRPr="0041200F">
        <w:rPr>
          <w:rFonts w:eastAsia="MS Mincho"/>
          <w:lang w:eastAsia="zh-CN"/>
        </w:rPr>
        <w:t>​</w:t>
      </w:r>
      <w:r w:rsidRPr="0041200F">
        <w:rPr>
          <w:rFonts w:eastAsiaTheme="minorEastAsia"/>
          <w:lang w:eastAsia="zh-CN"/>
        </w:rPr>
        <w:t>人</w:t>
      </w:r>
      <w:r w:rsidRPr="0041200F">
        <w:rPr>
          <w:rFonts w:eastAsia="MS Mincho"/>
          <w:lang w:eastAsia="zh-CN"/>
        </w:rPr>
        <w:t>​</w:t>
      </w:r>
      <w:r w:rsidRPr="0041200F">
        <w:rPr>
          <w:rFonts w:eastAsiaTheme="minorEastAsia"/>
          <w:lang w:eastAsia="zh-CN"/>
        </w:rPr>
        <w:t>民</w:t>
      </w:r>
      <w:r w:rsidRPr="0041200F">
        <w:rPr>
          <w:rFonts w:eastAsia="MS Mincho"/>
          <w:lang w:eastAsia="zh-CN"/>
        </w:rPr>
        <w:t>​</w:t>
      </w:r>
      <w:r w:rsidRPr="0041200F">
        <w:rPr>
          <w:rFonts w:eastAsiaTheme="minorEastAsia"/>
          <w:lang w:eastAsia="zh-CN"/>
        </w:rPr>
        <w:t>和</w:t>
      </w:r>
      <w:r w:rsidRPr="0041200F">
        <w:rPr>
          <w:rFonts w:eastAsia="MS Mincho"/>
          <w:lang w:eastAsia="zh-CN"/>
        </w:rPr>
        <w:t>​</w:t>
      </w:r>
      <w:r w:rsidRPr="0041200F">
        <w:rPr>
          <w:rFonts w:eastAsiaTheme="minorEastAsia"/>
          <w:lang w:eastAsia="zh-CN"/>
        </w:rPr>
        <w:t>地</w:t>
      </w:r>
      <w:r w:rsidRPr="0041200F">
        <w:rPr>
          <w:rFonts w:eastAsia="MS Mincho"/>
          <w:lang w:eastAsia="zh-CN"/>
        </w:rPr>
        <w:t>​</w:t>
      </w:r>
      <w:r w:rsidRPr="0041200F">
        <w:rPr>
          <w:rFonts w:eastAsiaTheme="minorEastAsia"/>
          <w:lang w:eastAsia="zh-CN"/>
        </w:rPr>
        <w:t>方</w:t>
      </w:r>
      <w:r w:rsidRPr="0041200F">
        <w:rPr>
          <w:rFonts w:eastAsia="MS Mincho"/>
          <w:lang w:eastAsia="zh-CN"/>
        </w:rPr>
        <w:t>​</w:t>
      </w:r>
      <w:r w:rsidRPr="0041200F">
        <w:rPr>
          <w:rFonts w:eastAsiaTheme="minorEastAsia"/>
          <w:lang w:eastAsia="zh-CN"/>
        </w:rPr>
        <w:t>社</w:t>
      </w:r>
      <w:r w:rsidRPr="0041200F">
        <w:rPr>
          <w:rFonts w:eastAsia="MS Mincho"/>
          <w:lang w:eastAsia="zh-CN"/>
        </w:rPr>
        <w:t>​</w:t>
      </w:r>
      <w:r w:rsidRPr="0041200F">
        <w:rPr>
          <w:rFonts w:eastAsiaTheme="minorEastAsia"/>
          <w:lang w:eastAsia="zh-CN"/>
        </w:rPr>
        <w:t>区</w:t>
      </w:r>
      <w:r w:rsidRPr="0041200F">
        <w:rPr>
          <w:rFonts w:eastAsia="MS Mincho"/>
          <w:lang w:eastAsia="zh-CN"/>
        </w:rPr>
        <w:t>​</w:t>
      </w:r>
      <w:r w:rsidRPr="0041200F">
        <w:rPr>
          <w:rFonts w:eastAsiaTheme="minorEastAsia"/>
          <w:lang w:eastAsia="zh-CN"/>
        </w:rPr>
        <w:t>对</w:t>
      </w:r>
      <w:r w:rsidRPr="0041200F">
        <w:rPr>
          <w:rFonts w:eastAsia="MS Mincho"/>
          <w:lang w:eastAsia="zh-CN"/>
        </w:rPr>
        <w:t>​</w:t>
      </w:r>
      <w:r w:rsidRPr="0041200F">
        <w:rPr>
          <w:rFonts w:eastAsiaTheme="minorEastAsia"/>
          <w:lang w:eastAsia="zh-CN"/>
        </w:rPr>
        <w:t>陆</w:t>
      </w:r>
      <w:r w:rsidRPr="0041200F">
        <w:rPr>
          <w:rFonts w:eastAsia="MS Mincho"/>
          <w:lang w:eastAsia="zh-CN"/>
        </w:rPr>
        <w:t>​</w:t>
      </w:r>
      <w:r w:rsidRPr="0041200F">
        <w:rPr>
          <w:rFonts w:eastAsiaTheme="minorEastAsia"/>
          <w:lang w:eastAsia="zh-CN"/>
        </w:rPr>
        <w:t>域</w:t>
      </w:r>
      <w:r w:rsidRPr="0041200F">
        <w:rPr>
          <w:rFonts w:eastAsia="MS Mincho"/>
          <w:lang w:eastAsia="zh-CN"/>
        </w:rPr>
        <w:t>​</w:t>
      </w:r>
      <w:r w:rsidRPr="0041200F">
        <w:rPr>
          <w:rFonts w:eastAsiaTheme="minorEastAsia"/>
          <w:lang w:eastAsia="zh-CN"/>
        </w:rPr>
        <w:t>和</w:t>
      </w:r>
      <w:r w:rsidRPr="0041200F">
        <w:rPr>
          <w:rFonts w:eastAsia="MS Mincho"/>
          <w:lang w:eastAsia="zh-CN"/>
        </w:rPr>
        <w:t>​</w:t>
      </w:r>
      <w:r w:rsidRPr="0041200F">
        <w:rPr>
          <w:rFonts w:eastAsiaTheme="minorEastAsia"/>
          <w:lang w:eastAsia="zh-CN"/>
        </w:rPr>
        <w:t>水</w:t>
      </w:r>
      <w:r w:rsidRPr="0041200F">
        <w:rPr>
          <w:rFonts w:eastAsia="MS Mincho"/>
          <w:lang w:eastAsia="zh-CN"/>
        </w:rPr>
        <w:t>​</w:t>
      </w:r>
      <w:r w:rsidRPr="0041200F">
        <w:rPr>
          <w:rFonts w:eastAsiaTheme="minorEastAsia"/>
          <w:lang w:eastAsia="zh-CN"/>
        </w:rPr>
        <w:t>域</w:t>
      </w:r>
      <w:r w:rsidRPr="0041200F">
        <w:rPr>
          <w:rFonts w:eastAsia="MS Mincho"/>
          <w:lang w:eastAsia="zh-CN"/>
        </w:rPr>
        <w:t>​</w:t>
      </w:r>
      <w:r w:rsidRPr="0041200F">
        <w:rPr>
          <w:rFonts w:eastAsiaTheme="minorEastAsia"/>
          <w:lang w:eastAsia="zh-CN"/>
        </w:rPr>
        <w:t>的</w:t>
      </w:r>
      <w:r w:rsidRPr="0041200F">
        <w:rPr>
          <w:rFonts w:eastAsia="MS Mincho"/>
          <w:lang w:eastAsia="zh-CN"/>
        </w:rPr>
        <w:t>​</w:t>
      </w:r>
      <w:r w:rsidRPr="0041200F">
        <w:rPr>
          <w:rFonts w:eastAsiaTheme="minorEastAsia"/>
          <w:lang w:eastAsia="zh-CN"/>
        </w:rPr>
        <w:t>保</w:t>
      </w:r>
      <w:r w:rsidRPr="0041200F">
        <w:rPr>
          <w:rFonts w:eastAsia="MS Mincho"/>
          <w:lang w:eastAsia="zh-CN"/>
        </w:rPr>
        <w:t>​</w:t>
      </w:r>
      <w:r w:rsidRPr="0041200F">
        <w:rPr>
          <w:rFonts w:eastAsiaTheme="minorEastAsia"/>
          <w:lang w:eastAsia="zh-CN"/>
        </w:rPr>
        <w:t>有</w:t>
      </w:r>
      <w:r w:rsidRPr="0041200F">
        <w:rPr>
          <w:rFonts w:eastAsia="MS Mincho"/>
          <w:lang w:eastAsia="zh-CN"/>
        </w:rPr>
        <w:t>​</w:t>
      </w:r>
      <w:r w:rsidRPr="0041200F">
        <w:rPr>
          <w:rFonts w:eastAsiaTheme="minorEastAsia"/>
          <w:lang w:eastAsia="zh-CN"/>
        </w:rPr>
        <w:t>权对于某些缔约方</w:t>
      </w:r>
      <w:r w:rsidRPr="0041200F">
        <w:rPr>
          <w:rFonts w:eastAsia="MS Mincho"/>
          <w:lang w:eastAsia="zh-CN"/>
        </w:rPr>
        <w:t>​</w:t>
      </w:r>
      <w:r w:rsidRPr="0041200F">
        <w:rPr>
          <w:rFonts w:eastAsiaTheme="minorEastAsia"/>
          <w:lang w:eastAsia="zh-CN"/>
        </w:rPr>
        <w:t>的</w:t>
      </w:r>
      <w:r w:rsidRPr="0041200F">
        <w:rPr>
          <w:rFonts w:eastAsia="MS Mincho"/>
          <w:lang w:eastAsia="zh-CN"/>
        </w:rPr>
        <w:t>​</w:t>
      </w:r>
      <w:r w:rsidRPr="0041200F">
        <w:rPr>
          <w:rFonts w:eastAsiaTheme="minorEastAsia"/>
          <w:lang w:eastAsia="zh-CN"/>
        </w:rPr>
        <w:t>重</w:t>
      </w:r>
      <w:r w:rsidRPr="0041200F">
        <w:rPr>
          <w:rFonts w:eastAsia="MS Mincho"/>
          <w:lang w:eastAsia="zh-CN"/>
        </w:rPr>
        <w:t>​</w:t>
      </w:r>
      <w:r w:rsidRPr="0041200F">
        <w:rPr>
          <w:rFonts w:eastAsiaTheme="minorEastAsia"/>
          <w:lang w:eastAsia="zh-CN"/>
        </w:rPr>
        <w:t>要</w:t>
      </w:r>
      <w:r w:rsidRPr="0041200F">
        <w:rPr>
          <w:rFonts w:eastAsia="MS Mincho"/>
          <w:lang w:eastAsia="zh-CN"/>
        </w:rPr>
        <w:t>​</w:t>
      </w:r>
      <w:r w:rsidRPr="0041200F">
        <w:rPr>
          <w:rFonts w:eastAsiaTheme="minorEastAsia"/>
          <w:lang w:eastAsia="zh-CN"/>
        </w:rPr>
        <w:t>性</w:t>
      </w:r>
      <w:r w:rsidRPr="0041200F">
        <w:rPr>
          <w:rFonts w:eastAsia="MS Mincho"/>
          <w:lang w:eastAsia="zh-CN"/>
        </w:rPr>
        <w:t>​</w:t>
      </w:r>
      <w:r w:rsidRPr="0041200F">
        <w:rPr>
          <w:rFonts w:eastAsiaTheme="minorEastAsia"/>
          <w:lang w:eastAsia="zh-CN"/>
        </w:rPr>
        <w:t>，</w:t>
      </w:r>
      <w:r w:rsidRPr="0041200F">
        <w:rPr>
          <w:rFonts w:eastAsia="MS Mincho"/>
          <w:lang w:eastAsia="zh-CN"/>
        </w:rPr>
        <w:t>​</w:t>
      </w:r>
      <w:r w:rsidRPr="0041200F">
        <w:rPr>
          <w:rFonts w:eastAsiaTheme="minorEastAsia"/>
          <w:lang w:eastAsia="zh-CN"/>
        </w:rPr>
        <w:t>因</w:t>
      </w:r>
      <w:r w:rsidRPr="0041200F">
        <w:rPr>
          <w:rFonts w:eastAsia="MS Mincho"/>
          <w:lang w:eastAsia="zh-CN"/>
        </w:rPr>
        <w:t>​</w:t>
      </w:r>
      <w:r w:rsidRPr="0041200F">
        <w:rPr>
          <w:rFonts w:eastAsiaTheme="minorEastAsia"/>
          <w:lang w:eastAsia="zh-CN"/>
        </w:rPr>
        <w:t>此，</w:t>
      </w:r>
      <w:r w:rsidRPr="0041200F">
        <w:rPr>
          <w:rFonts w:eastAsia="MS Mincho"/>
          <w:lang w:eastAsia="zh-CN"/>
        </w:rPr>
        <w:t>​</w:t>
      </w:r>
      <w:r w:rsidRPr="0041200F">
        <w:rPr>
          <w:rFonts w:eastAsiaTheme="minorEastAsia"/>
          <w:lang w:eastAsia="zh-CN"/>
        </w:rPr>
        <w:t>这些缔约方必</w:t>
      </w:r>
      <w:r w:rsidRPr="0041200F">
        <w:rPr>
          <w:rFonts w:eastAsia="MS Mincho"/>
          <w:lang w:eastAsia="zh-CN"/>
        </w:rPr>
        <w:t>​</w:t>
      </w:r>
      <w:r w:rsidRPr="0041200F">
        <w:rPr>
          <w:rFonts w:eastAsiaTheme="minorEastAsia"/>
          <w:lang w:eastAsia="zh-CN"/>
        </w:rPr>
        <w:t>须酌情根据国家进程、政策和法律，采取取</w:t>
      </w:r>
      <w:r w:rsidRPr="0041200F">
        <w:rPr>
          <w:rFonts w:eastAsia="MS Mincho"/>
          <w:lang w:eastAsia="zh-CN"/>
        </w:rPr>
        <w:t>​</w:t>
      </w:r>
      <w:r w:rsidRPr="0041200F">
        <w:rPr>
          <w:rFonts w:eastAsiaTheme="minorEastAsia"/>
          <w:lang w:eastAsia="zh-CN"/>
        </w:rPr>
        <w:t>基</w:t>
      </w:r>
      <w:r w:rsidRPr="0041200F">
        <w:rPr>
          <w:rFonts w:eastAsia="MS Mincho"/>
          <w:lang w:eastAsia="zh-CN"/>
        </w:rPr>
        <w:t>​</w:t>
      </w:r>
      <w:r w:rsidRPr="0041200F">
        <w:rPr>
          <w:rFonts w:eastAsiaTheme="minorEastAsia"/>
          <w:lang w:eastAsia="zh-CN"/>
        </w:rPr>
        <w:t>于</w:t>
      </w:r>
      <w:r w:rsidRPr="0041200F">
        <w:rPr>
          <w:rFonts w:eastAsia="MS Mincho"/>
          <w:lang w:eastAsia="zh-CN"/>
        </w:rPr>
        <w:t>​</w:t>
      </w:r>
      <w:r w:rsidRPr="0041200F">
        <w:rPr>
          <w:rFonts w:eastAsiaTheme="minorEastAsia"/>
          <w:lang w:eastAsia="zh-CN"/>
        </w:rPr>
        <w:t>透</w:t>
      </w:r>
      <w:r w:rsidRPr="0041200F">
        <w:rPr>
          <w:rFonts w:eastAsia="MS Mincho"/>
          <w:lang w:eastAsia="zh-CN"/>
        </w:rPr>
        <w:t>​</w:t>
      </w:r>
      <w:r w:rsidRPr="0041200F">
        <w:rPr>
          <w:rFonts w:eastAsiaTheme="minorEastAsia"/>
          <w:lang w:eastAsia="zh-CN"/>
        </w:rPr>
        <w:t>明</w:t>
      </w:r>
      <w:r w:rsidRPr="0041200F">
        <w:rPr>
          <w:rFonts w:eastAsia="MS Mincho"/>
          <w:lang w:eastAsia="zh-CN"/>
        </w:rPr>
        <w:t>​</w:t>
      </w:r>
      <w:r w:rsidRPr="0041200F">
        <w:rPr>
          <w:rFonts w:eastAsiaTheme="minorEastAsia"/>
          <w:lang w:eastAsia="zh-CN"/>
        </w:rPr>
        <w:t>问</w:t>
      </w:r>
      <w:r w:rsidRPr="0041200F">
        <w:rPr>
          <w:rFonts w:eastAsia="MS Mincho"/>
          <w:lang w:eastAsia="zh-CN"/>
        </w:rPr>
        <w:t>​</w:t>
      </w:r>
      <w:r w:rsidRPr="0041200F">
        <w:rPr>
          <w:rFonts w:eastAsiaTheme="minorEastAsia"/>
          <w:lang w:eastAsia="zh-CN"/>
        </w:rPr>
        <w:t>责</w:t>
      </w:r>
      <w:r w:rsidRPr="0041200F">
        <w:rPr>
          <w:rFonts w:eastAsia="MS Mincho"/>
          <w:lang w:eastAsia="zh-CN"/>
        </w:rPr>
        <w:t>​</w:t>
      </w:r>
      <w:r w:rsidRPr="0041200F">
        <w:rPr>
          <w:rFonts w:eastAsiaTheme="minorEastAsia"/>
          <w:lang w:eastAsia="zh-CN"/>
        </w:rPr>
        <w:t>制</w:t>
      </w:r>
      <w:r w:rsidRPr="0041200F">
        <w:rPr>
          <w:rFonts w:eastAsia="MS Mincho"/>
          <w:lang w:eastAsia="zh-CN"/>
        </w:rPr>
        <w:t>​</w:t>
      </w:r>
      <w:r w:rsidRPr="0041200F">
        <w:rPr>
          <w:rFonts w:eastAsiaTheme="minorEastAsia"/>
          <w:lang w:eastAsia="zh-CN"/>
        </w:rPr>
        <w:t>和</w:t>
      </w:r>
      <w:r w:rsidRPr="0041200F">
        <w:rPr>
          <w:rFonts w:eastAsia="MS Mincho"/>
          <w:lang w:eastAsia="zh-CN"/>
        </w:rPr>
        <w:t>​</w:t>
      </w:r>
      <w:r w:rsidRPr="0041200F">
        <w:rPr>
          <w:rFonts w:eastAsiaTheme="minorEastAsia"/>
          <w:lang w:eastAsia="zh-CN"/>
        </w:rPr>
        <w:t>持</w:t>
      </w:r>
      <w:r w:rsidRPr="0041200F">
        <w:rPr>
          <w:rFonts w:eastAsia="MS Mincho"/>
          <w:lang w:eastAsia="zh-CN"/>
        </w:rPr>
        <w:t>​</w:t>
      </w:r>
      <w:r w:rsidRPr="0041200F">
        <w:rPr>
          <w:rFonts w:eastAsiaTheme="minorEastAsia"/>
          <w:lang w:eastAsia="zh-CN"/>
        </w:rPr>
        <w:t>续</w:t>
      </w:r>
      <w:r w:rsidRPr="0041200F">
        <w:rPr>
          <w:rFonts w:eastAsia="MS Mincho"/>
          <w:lang w:eastAsia="zh-CN"/>
        </w:rPr>
        <w:t>​</w:t>
      </w:r>
      <w:r w:rsidRPr="0041200F">
        <w:rPr>
          <w:rFonts w:eastAsiaTheme="minorEastAsia"/>
          <w:lang w:eastAsia="zh-CN"/>
        </w:rPr>
        <w:t>警</w:t>
      </w:r>
      <w:r w:rsidRPr="0041200F">
        <w:rPr>
          <w:rFonts w:eastAsia="MS Mincho"/>
          <w:lang w:eastAsia="zh-CN"/>
        </w:rPr>
        <w:t>​</w:t>
      </w:r>
      <w:r w:rsidRPr="0041200F">
        <w:rPr>
          <w:rFonts w:eastAsiaTheme="minorEastAsia"/>
          <w:lang w:eastAsia="zh-CN"/>
        </w:rPr>
        <w:t>惕</w:t>
      </w:r>
      <w:r w:rsidRPr="0041200F">
        <w:rPr>
          <w:rFonts w:eastAsia="MS Mincho"/>
          <w:lang w:eastAsia="zh-CN"/>
        </w:rPr>
        <w:t>​</w:t>
      </w:r>
      <w:r w:rsidRPr="0041200F">
        <w:rPr>
          <w:rFonts w:eastAsiaTheme="minorEastAsia"/>
          <w:lang w:eastAsia="zh-CN"/>
        </w:rPr>
        <w:t>性</w:t>
      </w:r>
      <w:r w:rsidRPr="0041200F">
        <w:rPr>
          <w:rFonts w:eastAsia="MS Mincho"/>
          <w:lang w:eastAsia="zh-CN"/>
        </w:rPr>
        <w:t>​</w:t>
      </w:r>
      <w:r w:rsidRPr="0041200F">
        <w:rPr>
          <w:rFonts w:eastAsiaTheme="minorEastAsia"/>
          <w:lang w:eastAsia="zh-CN"/>
        </w:rPr>
        <w:t>的</w:t>
      </w:r>
      <w:r w:rsidRPr="0041200F">
        <w:rPr>
          <w:rFonts w:eastAsia="MS Mincho"/>
          <w:lang w:eastAsia="zh-CN"/>
        </w:rPr>
        <w:t>​</w:t>
      </w:r>
      <w:r w:rsidRPr="0041200F">
        <w:rPr>
          <w:rFonts w:eastAsiaTheme="minorEastAsia"/>
          <w:lang w:eastAsia="zh-CN"/>
        </w:rPr>
        <w:t>全</w:t>
      </w:r>
      <w:r w:rsidRPr="0041200F">
        <w:rPr>
          <w:rFonts w:eastAsia="MS Mincho"/>
          <w:lang w:eastAsia="zh-CN"/>
        </w:rPr>
        <w:t>​</w:t>
      </w:r>
      <w:r w:rsidRPr="0041200F">
        <w:rPr>
          <w:rFonts w:eastAsiaTheme="minorEastAsia"/>
          <w:lang w:eastAsia="zh-CN"/>
        </w:rPr>
        <w:t>面</w:t>
      </w:r>
      <w:r w:rsidRPr="0041200F">
        <w:rPr>
          <w:rFonts w:eastAsia="MS Mincho"/>
          <w:lang w:eastAsia="zh-CN"/>
        </w:rPr>
        <w:t>​</w:t>
      </w:r>
      <w:r w:rsidRPr="0041200F">
        <w:rPr>
          <w:rFonts w:eastAsiaTheme="minorEastAsia"/>
          <w:lang w:eastAsia="zh-CN"/>
        </w:rPr>
        <w:t>而</w:t>
      </w:r>
      <w:r w:rsidRPr="0041200F">
        <w:rPr>
          <w:rFonts w:eastAsia="MS Mincho"/>
          <w:lang w:eastAsia="zh-CN"/>
        </w:rPr>
        <w:t>​</w:t>
      </w:r>
      <w:r w:rsidRPr="0041200F">
        <w:rPr>
          <w:rFonts w:eastAsiaTheme="minorEastAsia"/>
          <w:lang w:eastAsia="zh-CN"/>
        </w:rPr>
        <w:t>坚</w:t>
      </w:r>
      <w:r w:rsidRPr="0041200F">
        <w:rPr>
          <w:rFonts w:eastAsia="MS Mincho"/>
          <w:lang w:eastAsia="zh-CN"/>
        </w:rPr>
        <w:t>​</w:t>
      </w:r>
      <w:r w:rsidRPr="0041200F">
        <w:rPr>
          <w:rFonts w:eastAsiaTheme="minorEastAsia"/>
          <w:lang w:eastAsia="zh-CN"/>
        </w:rPr>
        <w:t>实</w:t>
      </w:r>
      <w:r w:rsidRPr="0041200F">
        <w:rPr>
          <w:rFonts w:eastAsia="MS Mincho"/>
          <w:lang w:eastAsia="zh-CN"/>
        </w:rPr>
        <w:t>​</w:t>
      </w:r>
      <w:r w:rsidRPr="0041200F">
        <w:rPr>
          <w:rFonts w:eastAsiaTheme="minorEastAsia"/>
          <w:lang w:eastAsia="zh-CN"/>
        </w:rPr>
        <w:t>的</w:t>
      </w:r>
      <w:r w:rsidRPr="0041200F">
        <w:rPr>
          <w:rFonts w:eastAsia="MS Mincho"/>
          <w:lang w:eastAsia="zh-CN"/>
        </w:rPr>
        <w:t>​</w:t>
      </w:r>
      <w:r w:rsidRPr="0041200F">
        <w:rPr>
          <w:rFonts w:eastAsiaTheme="minorEastAsia"/>
          <w:lang w:eastAsia="zh-CN"/>
        </w:rPr>
        <w:t>保</w:t>
      </w:r>
      <w:r w:rsidRPr="0041200F">
        <w:rPr>
          <w:rFonts w:eastAsia="MS Mincho"/>
          <w:lang w:eastAsia="zh-CN"/>
        </w:rPr>
        <w:t>​</w:t>
      </w:r>
      <w:r w:rsidRPr="0041200F">
        <w:rPr>
          <w:rFonts w:eastAsiaTheme="minorEastAsia"/>
          <w:lang w:eastAsia="zh-CN"/>
        </w:rPr>
        <w:t>障</w:t>
      </w:r>
      <w:r w:rsidRPr="0041200F">
        <w:rPr>
          <w:rFonts w:eastAsia="MS Mincho"/>
          <w:lang w:eastAsia="zh-CN"/>
        </w:rPr>
        <w:t>​</w:t>
      </w:r>
      <w:r w:rsidRPr="0041200F">
        <w:rPr>
          <w:rFonts w:eastAsiaTheme="minorEastAsia"/>
          <w:lang w:eastAsia="zh-CN"/>
        </w:rPr>
        <w:t>措</w:t>
      </w:r>
      <w:r w:rsidRPr="0041200F">
        <w:rPr>
          <w:rFonts w:eastAsia="MS Mincho"/>
          <w:lang w:eastAsia="zh-CN"/>
        </w:rPr>
        <w:t>​</w:t>
      </w:r>
      <w:r w:rsidRPr="0041200F">
        <w:rPr>
          <w:rFonts w:eastAsiaTheme="minorEastAsia"/>
          <w:lang w:eastAsia="zh-CN"/>
        </w:rPr>
        <w:t>施</w:t>
      </w:r>
      <w:r w:rsidRPr="0041200F">
        <w:rPr>
          <w:rFonts w:eastAsia="MS Mincho"/>
          <w:lang w:eastAsia="zh-CN"/>
        </w:rPr>
        <w:t>​</w:t>
      </w:r>
      <w:r w:rsidRPr="0041200F">
        <w:rPr>
          <w:rFonts w:eastAsiaTheme="minorEastAsia"/>
          <w:lang w:eastAsia="zh-CN"/>
        </w:rPr>
        <w:t>；</w:t>
      </w:r>
      <w:r w:rsidRPr="0041200F">
        <w:rPr>
          <w:rFonts w:eastAsia="MS Mincho"/>
          <w:lang w:eastAsia="zh-CN"/>
        </w:rPr>
        <w:t>​</w:t>
      </w:r>
    </w:p>
    <w:p w:rsidR="0041200F" w:rsidRPr="0041200F" w:rsidRDefault="0041200F" w:rsidP="001A42F8">
      <w:pPr>
        <w:pStyle w:val="ListParagraph"/>
        <w:numPr>
          <w:ilvl w:val="0"/>
          <w:numId w:val="208"/>
        </w:numPr>
        <w:suppressLineNumbers/>
        <w:tabs>
          <w:tab w:val="left" w:pos="1440"/>
        </w:tabs>
        <w:suppressAutoHyphens/>
        <w:kinsoku w:val="0"/>
        <w:overflowPunct w:val="0"/>
        <w:autoSpaceDE w:val="0"/>
        <w:autoSpaceDN w:val="0"/>
        <w:adjustRightInd w:val="0"/>
        <w:spacing w:line="240" w:lineRule="atLeast"/>
        <w:ind w:left="0" w:firstLine="720"/>
        <w:rPr>
          <w:rFonts w:eastAsiaTheme="minorEastAsia"/>
          <w:snapToGrid w:val="0"/>
          <w:kern w:val="22"/>
          <w:lang w:eastAsia="zh-CN"/>
        </w:rPr>
      </w:pPr>
      <w:r w:rsidRPr="0041200F">
        <w:rPr>
          <w:rFonts w:ascii="KaiTi" w:eastAsia="KaiTi" w:hAnsi="KaiTi" w:cs="SimSun"/>
          <w:snapToGrid w:val="0"/>
          <w:kern w:val="20"/>
          <w:lang w:eastAsia="zh-CN"/>
        </w:rPr>
        <w:t>表示特别注意到</w:t>
      </w:r>
      <w:r w:rsidRPr="0041200F">
        <w:rPr>
          <w:rFonts w:eastAsiaTheme="minorEastAsia"/>
          <w:snapToGrid w:val="0"/>
          <w:kern w:val="22"/>
          <w:lang w:eastAsia="zh-CN"/>
        </w:rPr>
        <w:t>《联合国气候变化框架公约》财务机制的运作实体为设计、建立和实施保障措施系统所开展的进程，这些保障措施系统将涵盖其所负责的所有与气候相关的融资；</w:t>
      </w:r>
    </w:p>
    <w:p w:rsidR="0041200F" w:rsidRPr="0041200F" w:rsidRDefault="0041200F" w:rsidP="001A42F8">
      <w:pPr>
        <w:pStyle w:val="ListParagraph"/>
        <w:numPr>
          <w:ilvl w:val="0"/>
          <w:numId w:val="208"/>
        </w:numPr>
        <w:suppressLineNumbers/>
        <w:tabs>
          <w:tab w:val="left" w:pos="1440"/>
        </w:tabs>
        <w:suppressAutoHyphens/>
        <w:kinsoku w:val="0"/>
        <w:overflowPunct w:val="0"/>
        <w:autoSpaceDE w:val="0"/>
        <w:autoSpaceDN w:val="0"/>
        <w:adjustRightInd w:val="0"/>
        <w:spacing w:line="240" w:lineRule="atLeast"/>
        <w:ind w:left="0" w:firstLine="720"/>
        <w:rPr>
          <w:rFonts w:eastAsiaTheme="minorEastAsia"/>
          <w:snapToGrid w:val="0"/>
          <w:kern w:val="22"/>
          <w:lang w:eastAsia="zh-CN"/>
        </w:rPr>
      </w:pPr>
      <w:r w:rsidRPr="0041200F">
        <w:rPr>
          <w:rFonts w:ascii="KaiTi" w:eastAsia="KaiTi" w:hAnsi="KaiTi" w:cs="SimSun"/>
          <w:snapToGrid w:val="0"/>
          <w:kern w:val="20"/>
          <w:lang w:eastAsia="zh-CN"/>
        </w:rPr>
        <w:t>特别欢迎</w:t>
      </w:r>
      <w:r w:rsidRPr="0041200F">
        <w:rPr>
          <w:rFonts w:eastAsiaTheme="minorEastAsia"/>
          <w:snapToGrid w:val="0"/>
          <w:kern w:val="22"/>
          <w:lang w:eastAsia="zh-CN"/>
        </w:rPr>
        <w:t>全球环境基金审查和更新其环境和社会保障措施及其各机构的相关系统的进程，以及该基金关于</w:t>
      </w:r>
      <w:r w:rsidRPr="0041200F">
        <w:rPr>
          <w:rFonts w:eastAsiaTheme="minorEastAsia"/>
          <w:color w:val="212121"/>
          <w:lang w:eastAsia="zh-CN"/>
        </w:rPr>
        <w:t>在新的性别平等实施战略中推进性别平等的指导意见</w:t>
      </w:r>
      <w:r w:rsidRPr="0041200F">
        <w:rPr>
          <w:rFonts w:eastAsiaTheme="minorEastAsia"/>
          <w:snapToGrid w:val="0"/>
          <w:kern w:val="22"/>
          <w:lang w:eastAsia="zh-CN"/>
        </w:rPr>
        <w:t>，同时注意到这一进程的结果将适用于该基金资助的所有项目，并</w:t>
      </w:r>
      <w:r w:rsidRPr="0041200F">
        <w:rPr>
          <w:rFonts w:eastAsiaTheme="minorEastAsia"/>
          <w:snapToGrid w:val="0"/>
          <w:kern w:val="20"/>
          <w:lang w:eastAsia="zh-CN"/>
        </w:rPr>
        <w:t>邀请</w:t>
      </w:r>
      <w:r w:rsidRPr="0041200F">
        <w:rPr>
          <w:rFonts w:eastAsiaTheme="minorEastAsia"/>
          <w:snapToGrid w:val="0"/>
          <w:kern w:val="22"/>
          <w:lang w:eastAsia="zh-CN"/>
        </w:rPr>
        <w:t>全球环境基金向缔约方大会通报如何在其重要进程中考虑《公约》的生物多样性融资机制保障措施自愿准则；</w:t>
      </w:r>
    </w:p>
    <w:p w:rsidR="0041200F" w:rsidRPr="0041200F" w:rsidRDefault="0041200F" w:rsidP="001A42F8">
      <w:pPr>
        <w:pStyle w:val="ListParagraph"/>
        <w:numPr>
          <w:ilvl w:val="0"/>
          <w:numId w:val="208"/>
        </w:numPr>
        <w:suppressLineNumbers/>
        <w:tabs>
          <w:tab w:val="left" w:pos="1440"/>
        </w:tabs>
        <w:suppressAutoHyphens/>
        <w:kinsoku w:val="0"/>
        <w:overflowPunct w:val="0"/>
        <w:autoSpaceDE w:val="0"/>
        <w:autoSpaceDN w:val="0"/>
        <w:adjustRightInd w:val="0"/>
        <w:spacing w:line="240" w:lineRule="atLeast"/>
        <w:ind w:left="0" w:firstLine="720"/>
        <w:rPr>
          <w:rFonts w:eastAsiaTheme="minorEastAsia"/>
          <w:snapToGrid w:val="0"/>
          <w:kern w:val="22"/>
          <w:lang w:eastAsia="zh-CN"/>
        </w:rPr>
      </w:pPr>
      <w:r w:rsidRPr="0041200F">
        <w:rPr>
          <w:rFonts w:ascii="KaiTi" w:eastAsia="KaiTi" w:hAnsi="KaiTi" w:cs="SimSun"/>
          <w:snapToGrid w:val="0"/>
          <w:kern w:val="20"/>
          <w:lang w:eastAsia="zh-CN"/>
        </w:rPr>
        <w:t>敦促</w:t>
      </w:r>
      <w:r w:rsidRPr="0041200F">
        <w:rPr>
          <w:rFonts w:eastAsiaTheme="minorEastAsia"/>
          <w:snapToGrid w:val="0"/>
          <w:spacing w:val="-6"/>
          <w:kern w:val="22"/>
          <w:lang w:eastAsia="zh-CN"/>
        </w:rPr>
        <w:t>各缔约方、其他利益攸关方组织和其他机构继续利用《公约》的生物多样性融资机制保障措施</w:t>
      </w:r>
      <w:r w:rsidRPr="0041200F">
        <w:rPr>
          <w:rFonts w:eastAsiaTheme="minorEastAsia"/>
          <w:snapToGrid w:val="0"/>
          <w:kern w:val="22"/>
          <w:lang w:eastAsia="zh-CN"/>
        </w:rPr>
        <w:t>自愿</w:t>
      </w:r>
      <w:r w:rsidRPr="0041200F">
        <w:rPr>
          <w:rFonts w:eastAsiaTheme="minorEastAsia"/>
          <w:snapToGrid w:val="0"/>
          <w:spacing w:val="-6"/>
          <w:kern w:val="22"/>
          <w:lang w:eastAsia="zh-CN"/>
        </w:rPr>
        <w:t>准则</w:t>
      </w:r>
      <w:r w:rsidRPr="0041200F">
        <w:rPr>
          <w:rFonts w:eastAsiaTheme="minorEastAsia"/>
          <w:snapToGrid w:val="0"/>
          <w:spacing w:val="6"/>
          <w:kern w:val="22"/>
          <w:lang w:eastAsia="zh-CN"/>
        </w:rPr>
        <w:t>设计和运作其财务机制以及建立自己的保障措施系统</w:t>
      </w:r>
      <w:r w:rsidRPr="0041200F">
        <w:rPr>
          <w:rFonts w:eastAsiaTheme="minorEastAsia"/>
          <w:snapToGrid w:val="0"/>
          <w:spacing w:val="-6"/>
          <w:kern w:val="22"/>
          <w:lang w:eastAsia="zh-CN"/>
        </w:rPr>
        <w:t>，并酌情利用本决定附件中所载的核对表；</w:t>
      </w:r>
    </w:p>
    <w:p w:rsidR="0041200F" w:rsidRPr="0041200F" w:rsidRDefault="0041200F" w:rsidP="001A42F8">
      <w:pPr>
        <w:pStyle w:val="ListParagraph"/>
        <w:numPr>
          <w:ilvl w:val="0"/>
          <w:numId w:val="208"/>
        </w:numPr>
        <w:suppressLineNumbers/>
        <w:tabs>
          <w:tab w:val="left" w:pos="1440"/>
        </w:tabs>
        <w:suppressAutoHyphens/>
        <w:kinsoku w:val="0"/>
        <w:overflowPunct w:val="0"/>
        <w:autoSpaceDE w:val="0"/>
        <w:autoSpaceDN w:val="0"/>
        <w:adjustRightInd w:val="0"/>
        <w:spacing w:line="240" w:lineRule="atLeast"/>
        <w:ind w:left="0" w:firstLine="720"/>
        <w:rPr>
          <w:rFonts w:eastAsiaTheme="minorEastAsia"/>
          <w:i/>
          <w:snapToGrid w:val="0"/>
          <w:kern w:val="22"/>
          <w:lang w:eastAsia="zh-CN"/>
        </w:rPr>
      </w:pPr>
      <w:r w:rsidRPr="0041200F">
        <w:rPr>
          <w:rFonts w:ascii="KaiTi" w:eastAsia="KaiTi" w:hAnsi="KaiTi" w:cs="SimSun"/>
          <w:snapToGrid w:val="0"/>
          <w:kern w:val="20"/>
          <w:lang w:eastAsia="zh-CN"/>
        </w:rPr>
        <w:t>邀请</w:t>
      </w:r>
      <w:r w:rsidRPr="0041200F">
        <w:rPr>
          <w:rFonts w:eastAsiaTheme="minorEastAsia"/>
          <w:snapToGrid w:val="0"/>
          <w:spacing w:val="-6"/>
          <w:kern w:val="22"/>
          <w:lang w:eastAsia="zh-CN"/>
        </w:rPr>
        <w:t>各缔约方、其他国家政府、土</w:t>
      </w:r>
      <w:r w:rsidRPr="0041200F">
        <w:rPr>
          <w:rFonts w:eastAsia="MS Mincho"/>
          <w:snapToGrid w:val="0"/>
          <w:spacing w:val="-6"/>
          <w:kern w:val="22"/>
          <w:lang w:eastAsia="zh-CN"/>
        </w:rPr>
        <w:t>​</w:t>
      </w:r>
      <w:r w:rsidRPr="0041200F">
        <w:rPr>
          <w:rFonts w:eastAsiaTheme="minorEastAsia"/>
          <w:snapToGrid w:val="0"/>
          <w:spacing w:val="-6"/>
          <w:kern w:val="22"/>
          <w:lang w:eastAsia="zh-CN"/>
        </w:rPr>
        <w:t>著</w:t>
      </w:r>
      <w:r w:rsidRPr="0041200F">
        <w:rPr>
          <w:rFonts w:eastAsia="MS Mincho"/>
          <w:snapToGrid w:val="0"/>
          <w:spacing w:val="-6"/>
          <w:kern w:val="22"/>
          <w:lang w:eastAsia="zh-CN"/>
        </w:rPr>
        <w:t>​</w:t>
      </w:r>
      <w:r w:rsidRPr="0041200F">
        <w:rPr>
          <w:rFonts w:eastAsiaTheme="minorEastAsia"/>
          <w:snapToGrid w:val="0"/>
          <w:spacing w:val="-6"/>
          <w:kern w:val="22"/>
          <w:lang w:eastAsia="zh-CN"/>
        </w:rPr>
        <w:t>人</w:t>
      </w:r>
      <w:r w:rsidRPr="0041200F">
        <w:rPr>
          <w:rFonts w:eastAsia="MS Mincho"/>
          <w:snapToGrid w:val="0"/>
          <w:spacing w:val="-6"/>
          <w:kern w:val="22"/>
          <w:lang w:eastAsia="zh-CN"/>
        </w:rPr>
        <w:t>​</w:t>
      </w:r>
      <w:r w:rsidRPr="0041200F">
        <w:rPr>
          <w:rFonts w:eastAsiaTheme="minorEastAsia"/>
          <w:snapToGrid w:val="0"/>
          <w:spacing w:val="-6"/>
          <w:kern w:val="22"/>
          <w:lang w:eastAsia="zh-CN"/>
        </w:rPr>
        <w:t>民</w:t>
      </w:r>
      <w:r w:rsidRPr="0041200F">
        <w:rPr>
          <w:rFonts w:eastAsia="MS Mincho"/>
          <w:snapToGrid w:val="0"/>
          <w:spacing w:val="-6"/>
          <w:kern w:val="22"/>
          <w:lang w:eastAsia="zh-CN"/>
        </w:rPr>
        <w:t>​</w:t>
      </w:r>
      <w:r w:rsidRPr="0041200F">
        <w:rPr>
          <w:rFonts w:eastAsiaTheme="minorEastAsia"/>
          <w:snapToGrid w:val="0"/>
          <w:spacing w:val="-6"/>
          <w:kern w:val="22"/>
          <w:lang w:eastAsia="zh-CN"/>
        </w:rPr>
        <w:t>和</w:t>
      </w:r>
      <w:r w:rsidRPr="0041200F">
        <w:rPr>
          <w:rFonts w:eastAsia="MS Mincho"/>
          <w:snapToGrid w:val="0"/>
          <w:spacing w:val="-6"/>
          <w:kern w:val="22"/>
          <w:lang w:eastAsia="zh-CN"/>
        </w:rPr>
        <w:t>​</w:t>
      </w:r>
      <w:r w:rsidRPr="0041200F">
        <w:rPr>
          <w:rFonts w:eastAsiaTheme="minorEastAsia"/>
          <w:snapToGrid w:val="0"/>
          <w:spacing w:val="-6"/>
          <w:kern w:val="22"/>
          <w:lang w:eastAsia="zh-CN"/>
        </w:rPr>
        <w:t>地</w:t>
      </w:r>
      <w:r w:rsidRPr="0041200F">
        <w:rPr>
          <w:rFonts w:eastAsia="MS Mincho"/>
          <w:snapToGrid w:val="0"/>
          <w:spacing w:val="-6"/>
          <w:kern w:val="22"/>
          <w:lang w:eastAsia="zh-CN"/>
        </w:rPr>
        <w:t>​</w:t>
      </w:r>
      <w:r w:rsidRPr="0041200F">
        <w:rPr>
          <w:rFonts w:eastAsiaTheme="minorEastAsia"/>
          <w:snapToGrid w:val="0"/>
          <w:spacing w:val="-6"/>
          <w:kern w:val="22"/>
          <w:lang w:eastAsia="zh-CN"/>
        </w:rPr>
        <w:t>方</w:t>
      </w:r>
      <w:r w:rsidRPr="0041200F">
        <w:rPr>
          <w:rFonts w:eastAsia="MS Mincho"/>
          <w:snapToGrid w:val="0"/>
          <w:spacing w:val="-6"/>
          <w:kern w:val="22"/>
          <w:lang w:eastAsia="zh-CN"/>
        </w:rPr>
        <w:t>​</w:t>
      </w:r>
      <w:r w:rsidRPr="0041200F">
        <w:rPr>
          <w:rFonts w:eastAsiaTheme="minorEastAsia"/>
          <w:snapToGrid w:val="0"/>
          <w:spacing w:val="-6"/>
          <w:kern w:val="22"/>
          <w:lang w:eastAsia="zh-CN"/>
        </w:rPr>
        <w:t>社</w:t>
      </w:r>
      <w:r w:rsidRPr="0041200F">
        <w:rPr>
          <w:rFonts w:eastAsia="MS Mincho"/>
          <w:snapToGrid w:val="0"/>
          <w:spacing w:val="-6"/>
          <w:kern w:val="22"/>
          <w:lang w:eastAsia="zh-CN"/>
        </w:rPr>
        <w:t>​</w:t>
      </w:r>
      <w:r w:rsidRPr="0041200F">
        <w:rPr>
          <w:rFonts w:eastAsiaTheme="minorEastAsia"/>
          <w:snapToGrid w:val="0"/>
          <w:spacing w:val="-6"/>
          <w:kern w:val="22"/>
          <w:lang w:eastAsia="zh-CN"/>
        </w:rPr>
        <w:t>区、其他利益攸关方组织和其他机构提供关于推动实施《公约》的</w:t>
      </w:r>
      <w:r w:rsidRPr="0041200F">
        <w:rPr>
          <w:rFonts w:eastAsiaTheme="minorEastAsia"/>
          <w:snapToGrid w:val="0"/>
          <w:spacing w:val="20"/>
          <w:kern w:val="22"/>
          <w:lang w:eastAsia="zh-CN"/>
        </w:rPr>
        <w:t>生物多样性融资机制保障措施自愿准则为生物多样性融资机制的设计和运作带来的经验、机会和备选</w:t>
      </w:r>
      <w:r w:rsidRPr="0041200F">
        <w:rPr>
          <w:rFonts w:eastAsiaTheme="minorEastAsia"/>
          <w:snapToGrid w:val="0"/>
          <w:kern w:val="22"/>
          <w:lang w:eastAsia="zh-CN"/>
        </w:rPr>
        <w:t>办法的意见；</w:t>
      </w:r>
    </w:p>
    <w:p w:rsidR="0041200F" w:rsidRPr="0041200F" w:rsidRDefault="0041200F" w:rsidP="001A42F8">
      <w:pPr>
        <w:pStyle w:val="ListParagraph"/>
        <w:widowControl w:val="0"/>
        <w:numPr>
          <w:ilvl w:val="0"/>
          <w:numId w:val="208"/>
        </w:numPr>
        <w:suppressLineNumbers/>
        <w:tabs>
          <w:tab w:val="left" w:pos="1440"/>
        </w:tabs>
        <w:suppressAutoHyphens/>
        <w:kinsoku w:val="0"/>
        <w:overflowPunct w:val="0"/>
        <w:autoSpaceDE w:val="0"/>
        <w:autoSpaceDN w:val="0"/>
        <w:adjustRightInd w:val="0"/>
        <w:spacing w:line="240" w:lineRule="atLeast"/>
        <w:ind w:left="0" w:firstLine="720"/>
        <w:rPr>
          <w:rFonts w:eastAsiaTheme="minorEastAsia"/>
          <w:snapToGrid w:val="0"/>
          <w:kern w:val="22"/>
          <w:lang w:eastAsia="zh-CN"/>
        </w:rPr>
      </w:pPr>
      <w:r w:rsidRPr="0041200F">
        <w:rPr>
          <w:rFonts w:ascii="KaiTi" w:eastAsia="KaiTi" w:hAnsi="KaiTi" w:cs="SimSun"/>
          <w:snapToGrid w:val="0"/>
          <w:kern w:val="20"/>
          <w:lang w:eastAsia="zh-CN"/>
        </w:rPr>
        <w:t>请</w:t>
      </w:r>
      <w:r w:rsidRPr="0041200F">
        <w:rPr>
          <w:rFonts w:eastAsiaTheme="minorEastAsia"/>
          <w:snapToGrid w:val="0"/>
          <w:kern w:val="22"/>
          <w:lang w:eastAsia="zh-CN"/>
        </w:rPr>
        <w:t>执行秘书汇编关于《公约》</w:t>
      </w:r>
      <w:r w:rsidRPr="0041200F">
        <w:rPr>
          <w:rFonts w:eastAsiaTheme="minorEastAsia"/>
          <w:snapToGrid w:val="0"/>
          <w:spacing w:val="-6"/>
          <w:kern w:val="22"/>
          <w:lang w:eastAsia="zh-CN"/>
        </w:rPr>
        <w:t>生物多样性融资机制保障措施自愿准则以及各缔约</w:t>
      </w:r>
      <w:r w:rsidRPr="0041200F">
        <w:rPr>
          <w:rFonts w:eastAsiaTheme="minorEastAsia"/>
          <w:snapToGrid w:val="0"/>
          <w:spacing w:val="-6"/>
          <w:kern w:val="22"/>
          <w:lang w:eastAsia="zh-CN"/>
        </w:rPr>
        <w:lastRenderedPageBreak/>
        <w:t>方、其他国家政府、土</w:t>
      </w:r>
      <w:r w:rsidRPr="0041200F">
        <w:rPr>
          <w:rFonts w:eastAsia="MS Mincho"/>
          <w:snapToGrid w:val="0"/>
          <w:spacing w:val="-6"/>
          <w:kern w:val="22"/>
          <w:lang w:eastAsia="zh-CN"/>
        </w:rPr>
        <w:t>​</w:t>
      </w:r>
      <w:r w:rsidRPr="0041200F">
        <w:rPr>
          <w:rFonts w:eastAsiaTheme="minorEastAsia"/>
          <w:snapToGrid w:val="0"/>
          <w:spacing w:val="-6"/>
          <w:kern w:val="22"/>
          <w:lang w:eastAsia="zh-CN"/>
        </w:rPr>
        <w:t>著</w:t>
      </w:r>
      <w:r w:rsidRPr="0041200F">
        <w:rPr>
          <w:rFonts w:eastAsia="MS Mincho"/>
          <w:snapToGrid w:val="0"/>
          <w:spacing w:val="-6"/>
          <w:kern w:val="22"/>
          <w:lang w:eastAsia="zh-CN"/>
        </w:rPr>
        <w:t>​</w:t>
      </w:r>
      <w:r w:rsidRPr="0041200F">
        <w:rPr>
          <w:rFonts w:eastAsiaTheme="minorEastAsia"/>
          <w:snapToGrid w:val="0"/>
          <w:spacing w:val="-6"/>
          <w:kern w:val="22"/>
          <w:lang w:eastAsia="zh-CN"/>
        </w:rPr>
        <w:t>人</w:t>
      </w:r>
      <w:r w:rsidRPr="0041200F">
        <w:rPr>
          <w:rFonts w:eastAsia="MS Mincho"/>
          <w:snapToGrid w:val="0"/>
          <w:spacing w:val="-6"/>
          <w:kern w:val="22"/>
          <w:lang w:eastAsia="zh-CN"/>
        </w:rPr>
        <w:t>​</w:t>
      </w:r>
      <w:r w:rsidRPr="0041200F">
        <w:rPr>
          <w:rFonts w:eastAsiaTheme="minorEastAsia"/>
          <w:snapToGrid w:val="0"/>
          <w:spacing w:val="-6"/>
          <w:kern w:val="22"/>
          <w:lang w:eastAsia="zh-CN"/>
        </w:rPr>
        <w:t>民</w:t>
      </w:r>
      <w:r w:rsidRPr="0041200F">
        <w:rPr>
          <w:rFonts w:eastAsia="MS Mincho"/>
          <w:snapToGrid w:val="0"/>
          <w:spacing w:val="-6"/>
          <w:kern w:val="22"/>
          <w:lang w:eastAsia="zh-CN"/>
        </w:rPr>
        <w:t>​</w:t>
      </w:r>
      <w:r w:rsidRPr="0041200F">
        <w:rPr>
          <w:rFonts w:eastAsiaTheme="minorEastAsia"/>
          <w:snapToGrid w:val="0"/>
          <w:spacing w:val="-6"/>
          <w:kern w:val="22"/>
          <w:lang w:eastAsia="zh-CN"/>
        </w:rPr>
        <w:t>和</w:t>
      </w:r>
      <w:r w:rsidRPr="0041200F">
        <w:rPr>
          <w:rFonts w:eastAsia="MS Mincho"/>
          <w:snapToGrid w:val="0"/>
          <w:spacing w:val="-6"/>
          <w:kern w:val="22"/>
          <w:lang w:eastAsia="zh-CN"/>
        </w:rPr>
        <w:t>​</w:t>
      </w:r>
      <w:r w:rsidRPr="0041200F">
        <w:rPr>
          <w:rFonts w:eastAsiaTheme="minorEastAsia"/>
          <w:snapToGrid w:val="0"/>
          <w:spacing w:val="-6"/>
          <w:kern w:val="22"/>
          <w:lang w:eastAsia="zh-CN"/>
        </w:rPr>
        <w:t>地</w:t>
      </w:r>
      <w:r w:rsidRPr="0041200F">
        <w:rPr>
          <w:rFonts w:eastAsia="MS Mincho"/>
          <w:snapToGrid w:val="0"/>
          <w:spacing w:val="-6"/>
          <w:kern w:val="22"/>
          <w:lang w:eastAsia="zh-CN"/>
        </w:rPr>
        <w:t>​</w:t>
      </w:r>
      <w:r w:rsidRPr="0041200F">
        <w:rPr>
          <w:rFonts w:eastAsiaTheme="minorEastAsia"/>
          <w:snapToGrid w:val="0"/>
          <w:spacing w:val="-6"/>
          <w:kern w:val="22"/>
          <w:lang w:eastAsia="zh-CN"/>
        </w:rPr>
        <w:t>方</w:t>
      </w:r>
      <w:r w:rsidRPr="0041200F">
        <w:rPr>
          <w:rFonts w:eastAsia="MS Mincho"/>
          <w:snapToGrid w:val="0"/>
          <w:spacing w:val="-6"/>
          <w:kern w:val="22"/>
          <w:lang w:eastAsia="zh-CN"/>
        </w:rPr>
        <w:t>​</w:t>
      </w:r>
      <w:r w:rsidRPr="0041200F">
        <w:rPr>
          <w:rFonts w:eastAsiaTheme="minorEastAsia"/>
          <w:snapToGrid w:val="0"/>
          <w:spacing w:val="-6"/>
          <w:kern w:val="22"/>
          <w:lang w:eastAsia="zh-CN"/>
        </w:rPr>
        <w:t>社</w:t>
      </w:r>
      <w:r w:rsidRPr="0041200F">
        <w:rPr>
          <w:rFonts w:eastAsia="MS Mincho"/>
          <w:snapToGrid w:val="0"/>
          <w:spacing w:val="-6"/>
          <w:kern w:val="22"/>
          <w:lang w:eastAsia="zh-CN"/>
        </w:rPr>
        <w:t>​</w:t>
      </w:r>
      <w:r w:rsidRPr="0041200F">
        <w:rPr>
          <w:rFonts w:eastAsiaTheme="minorEastAsia"/>
          <w:snapToGrid w:val="0"/>
          <w:spacing w:val="-6"/>
          <w:kern w:val="22"/>
          <w:lang w:eastAsia="zh-CN"/>
        </w:rPr>
        <w:t>区、其他利益攸关方组织和国际机构就制定和实施相关保障措施系统提出的《公约》</w:t>
      </w:r>
      <w:r w:rsidRPr="0041200F">
        <w:rPr>
          <w:rFonts w:eastAsiaTheme="minorEastAsia"/>
          <w:snapToGrid w:val="0"/>
          <w:kern w:val="22"/>
          <w:lang w:eastAsia="zh-CN"/>
        </w:rPr>
        <w:t>下的其他相关指导意见的用途和价值的进一步信息；</w:t>
      </w:r>
    </w:p>
    <w:p w:rsidR="0041200F" w:rsidRPr="0041200F" w:rsidRDefault="0041200F" w:rsidP="001A42F8">
      <w:pPr>
        <w:pStyle w:val="ListParagraph"/>
        <w:numPr>
          <w:ilvl w:val="0"/>
          <w:numId w:val="208"/>
        </w:numPr>
        <w:suppressLineNumbers/>
        <w:tabs>
          <w:tab w:val="left" w:pos="1440"/>
        </w:tabs>
        <w:suppressAutoHyphens/>
        <w:kinsoku w:val="0"/>
        <w:overflowPunct w:val="0"/>
        <w:autoSpaceDE w:val="0"/>
        <w:autoSpaceDN w:val="0"/>
        <w:adjustRightInd w:val="0"/>
        <w:spacing w:line="240" w:lineRule="atLeast"/>
        <w:ind w:left="0" w:firstLine="720"/>
        <w:rPr>
          <w:rFonts w:eastAsiaTheme="minorEastAsia"/>
          <w:iCs/>
          <w:snapToGrid w:val="0"/>
          <w:kern w:val="22"/>
          <w:lang w:eastAsia="zh-CN"/>
        </w:rPr>
      </w:pPr>
      <w:r w:rsidRPr="0041200F">
        <w:rPr>
          <w:rFonts w:ascii="KaiTi" w:eastAsia="KaiTi" w:hAnsi="KaiTi" w:cs="SimSun"/>
          <w:snapToGrid w:val="0"/>
          <w:kern w:val="20"/>
          <w:lang w:eastAsia="zh-CN"/>
        </w:rPr>
        <w:t>又请</w:t>
      </w:r>
      <w:r w:rsidRPr="0041200F">
        <w:rPr>
          <w:rFonts w:eastAsiaTheme="minorEastAsia"/>
          <w:snapToGrid w:val="0"/>
          <w:kern w:val="22"/>
          <w:lang w:eastAsia="zh-CN"/>
        </w:rPr>
        <w:t>执行秘书将根据《公约》下通过的原则、标准和准则制定一个《公约》下</w:t>
      </w:r>
      <w:r w:rsidRPr="0041200F">
        <w:rPr>
          <w:rFonts w:eastAsiaTheme="minorEastAsia"/>
          <w:snapToGrid w:val="0"/>
          <w:kern w:val="22"/>
          <w:lang w:eastAsia="zh-CN"/>
        </w:rPr>
        <w:t>2020</w:t>
      </w:r>
      <w:r w:rsidRPr="0041200F">
        <w:rPr>
          <w:rFonts w:eastAsiaTheme="minorEastAsia"/>
          <w:snapToGrid w:val="0"/>
          <w:kern w:val="22"/>
          <w:lang w:eastAsia="zh-CN"/>
        </w:rPr>
        <w:t>年后土著人民和地方社区具体保障措施框架并填补查明的任何其他空白，</w:t>
      </w:r>
      <w:r w:rsidRPr="0041200F">
        <w:rPr>
          <w:rFonts w:eastAsiaTheme="minorEastAsia"/>
          <w:color w:val="212121"/>
          <w:lang w:eastAsia="zh-CN"/>
        </w:rPr>
        <w:t>包括性别平等因素，</w:t>
      </w:r>
      <w:r w:rsidRPr="0041200F">
        <w:rPr>
          <w:rFonts w:eastAsiaTheme="minorEastAsia"/>
          <w:snapToGrid w:val="0"/>
          <w:kern w:val="22"/>
          <w:lang w:eastAsia="zh-CN"/>
        </w:rPr>
        <w:t>作为一项可能的工作要素，列入</w:t>
      </w:r>
      <w:r w:rsidRPr="0041200F">
        <w:rPr>
          <w:rFonts w:eastAsiaTheme="minorEastAsia"/>
          <w:snapToGrid w:val="0"/>
          <w:kern w:val="22"/>
          <w:lang w:eastAsia="zh-CN"/>
        </w:rPr>
        <w:t>2020</w:t>
      </w:r>
      <w:r w:rsidRPr="0041200F">
        <w:rPr>
          <w:rFonts w:eastAsiaTheme="minorEastAsia"/>
          <w:snapToGrid w:val="0"/>
          <w:kern w:val="22"/>
          <w:lang w:eastAsia="zh-CN"/>
        </w:rPr>
        <w:t>年后生物多样性框架内的第</w:t>
      </w:r>
      <w:r w:rsidRPr="0041200F">
        <w:rPr>
          <w:rFonts w:eastAsiaTheme="minorEastAsia"/>
          <w:snapToGrid w:val="0"/>
          <w:kern w:val="22"/>
          <w:lang w:eastAsia="zh-CN"/>
        </w:rPr>
        <w:t>8(j)</w:t>
      </w:r>
      <w:r w:rsidRPr="0041200F">
        <w:rPr>
          <w:rFonts w:eastAsiaTheme="minorEastAsia"/>
          <w:snapToGrid w:val="0"/>
          <w:kern w:val="22"/>
          <w:lang w:eastAsia="zh-CN"/>
        </w:rPr>
        <w:t>条和相关条款全面统筹工作方案，同时注意到将拟定可能的要素和任务指示性清单，供缔约方大会第十五届会议和第</w:t>
      </w:r>
      <w:r w:rsidRPr="0041200F">
        <w:rPr>
          <w:rFonts w:eastAsiaTheme="minorEastAsia"/>
          <w:snapToGrid w:val="0"/>
          <w:kern w:val="22"/>
          <w:lang w:eastAsia="zh-CN"/>
        </w:rPr>
        <w:t>8(j)</w:t>
      </w:r>
      <w:r w:rsidRPr="0041200F">
        <w:rPr>
          <w:rFonts w:eastAsiaTheme="minorEastAsia"/>
          <w:snapToGrid w:val="0"/>
          <w:kern w:val="22"/>
          <w:lang w:eastAsia="zh-CN"/>
        </w:rPr>
        <w:t>条和相关条款工作组第十一次会议审议。</w:t>
      </w:r>
      <w:r w:rsidRPr="0041200F">
        <w:rPr>
          <w:rFonts w:eastAsiaTheme="minorEastAsia"/>
          <w:snapToGrid w:val="0"/>
          <w:kern w:val="22"/>
          <w:lang w:eastAsia="zh-CN"/>
        </w:rPr>
        <w:t xml:space="preserve"> </w:t>
      </w:r>
    </w:p>
    <w:p w:rsidR="0041200F" w:rsidRPr="00933CD4" w:rsidRDefault="0041200F" w:rsidP="00933CD4">
      <w:pPr>
        <w:keepNext/>
        <w:spacing w:before="240"/>
        <w:ind w:firstLine="0"/>
        <w:jc w:val="center"/>
        <w:rPr>
          <w:rFonts w:ascii="KaiTi" w:eastAsia="KaiTi" w:hAnsi="KaiTi"/>
          <w:i/>
          <w:snapToGrid w:val="0"/>
          <w:kern w:val="22"/>
          <w:szCs w:val="22"/>
          <w:lang w:eastAsia="zh-CN"/>
        </w:rPr>
      </w:pPr>
      <w:r w:rsidRPr="00933CD4">
        <w:rPr>
          <w:rFonts w:ascii="KaiTi" w:eastAsia="KaiTi" w:hAnsi="KaiTi"/>
          <w:lang w:eastAsia="zh-CN"/>
        </w:rPr>
        <w:t>附件</w:t>
      </w:r>
    </w:p>
    <w:p w:rsidR="0041200F" w:rsidRPr="0041200F" w:rsidRDefault="0041200F" w:rsidP="00933CD4">
      <w:pPr>
        <w:keepNext/>
        <w:spacing w:after="240" w:line="240" w:lineRule="atLeast"/>
        <w:ind w:firstLine="0"/>
        <w:jc w:val="center"/>
        <w:rPr>
          <w:rFonts w:eastAsiaTheme="minorEastAsia"/>
          <w:b/>
          <w:bCs/>
          <w:caps/>
          <w:kern w:val="22"/>
          <w:lang w:eastAsia="zh-CN"/>
        </w:rPr>
      </w:pPr>
      <w:r w:rsidRPr="0041200F">
        <w:rPr>
          <w:rFonts w:eastAsiaTheme="minorEastAsia"/>
          <w:b/>
          <w:bCs/>
          <w:caps/>
          <w:kern w:val="22"/>
          <w:lang w:eastAsia="zh-CN"/>
        </w:rPr>
        <w:t>《生物多样性公约》生物多样性融资机构保障措施</w:t>
      </w:r>
      <w:r w:rsidRPr="0041200F">
        <w:rPr>
          <w:rFonts w:eastAsiaTheme="minorEastAsia"/>
          <w:b/>
          <w:color w:val="222222"/>
          <w:lang w:eastAsia="zh-CN"/>
        </w:rPr>
        <w:t>核对表</w:t>
      </w:r>
    </w:p>
    <w:p w:rsidR="0041200F" w:rsidRPr="0041200F" w:rsidRDefault="0041200F" w:rsidP="00933CD4">
      <w:pPr>
        <w:ind w:firstLine="0"/>
        <w:rPr>
          <w:rFonts w:eastAsiaTheme="minorEastAsia"/>
          <w:iCs/>
          <w:snapToGrid w:val="0"/>
          <w:kern w:val="22"/>
          <w:lang w:eastAsia="zh-CN"/>
        </w:rPr>
      </w:pPr>
      <w:r w:rsidRPr="0041200F">
        <w:rPr>
          <w:rFonts w:eastAsiaTheme="minorEastAsia"/>
          <w:lang w:eastAsia="zh-CN"/>
        </w:rPr>
        <w:t>以下问题可用作遵守</w:t>
      </w:r>
      <w:r w:rsidRPr="0041200F">
        <w:rPr>
          <w:rFonts w:eastAsiaTheme="minorEastAsia"/>
          <w:iCs/>
          <w:snapToGrid w:val="0"/>
          <w:kern w:val="22"/>
          <w:lang w:eastAsia="zh-CN"/>
        </w:rPr>
        <w:t>《公约》生物多样性融资机制保障措施自愿准则的核对表。</w:t>
      </w:r>
    </w:p>
    <w:p w:rsidR="0041200F" w:rsidRPr="0041200F" w:rsidRDefault="0041200F" w:rsidP="00933CD4">
      <w:pPr>
        <w:ind w:firstLine="0"/>
        <w:rPr>
          <w:rFonts w:eastAsiaTheme="minorEastAsia"/>
          <w:b/>
          <w:iCs/>
          <w:snapToGrid w:val="0"/>
          <w:kern w:val="22"/>
          <w:lang w:eastAsia="zh-CN"/>
        </w:rPr>
      </w:pPr>
      <w:r w:rsidRPr="0041200F">
        <w:rPr>
          <w:rFonts w:eastAsiaTheme="minorEastAsia"/>
          <w:b/>
          <w:iCs/>
          <w:snapToGrid w:val="0"/>
          <w:kern w:val="22"/>
          <w:lang w:eastAsia="zh-CN"/>
        </w:rPr>
        <w:t>关于《公约》生物多样性融资机制保障措施自愿准则的目的的总问题</w:t>
      </w:r>
    </w:p>
    <w:p w:rsidR="0041200F" w:rsidRPr="0041200F" w:rsidRDefault="0041200F" w:rsidP="00933CD4">
      <w:pPr>
        <w:ind w:firstLine="0"/>
        <w:rPr>
          <w:rFonts w:eastAsiaTheme="minorEastAsia"/>
          <w:iCs/>
          <w:snapToGrid w:val="0"/>
          <w:kern w:val="22"/>
          <w:lang w:eastAsia="zh-CN"/>
        </w:rPr>
      </w:pPr>
      <w:r w:rsidRPr="0041200F">
        <w:rPr>
          <w:rFonts w:eastAsiaTheme="minorEastAsia"/>
          <w:iCs/>
          <w:snapToGrid w:val="0"/>
          <w:kern w:val="22"/>
          <w:lang w:eastAsia="zh-CN"/>
        </w:rPr>
        <w:t>财务机制是否包括一个保障措施系统，以便</w:t>
      </w:r>
      <w:r w:rsidRPr="0041200F">
        <w:rPr>
          <w:rStyle w:val="shorttext"/>
          <w:rFonts w:eastAsiaTheme="minorEastAsia"/>
          <w:lang w:eastAsia="zh-CN"/>
        </w:rPr>
        <w:t>根据国家法律</w:t>
      </w:r>
      <w:r w:rsidRPr="0041200F">
        <w:rPr>
          <w:rFonts w:eastAsiaTheme="minorEastAsia"/>
          <w:iCs/>
          <w:snapToGrid w:val="0"/>
          <w:kern w:val="22"/>
          <w:lang w:eastAsia="zh-CN"/>
        </w:rPr>
        <w:t>有效地避免或缓解对土著人民和地方社区权利和生计的无意造成的影响，最大限度地扩大为其提供支持的机会？</w:t>
      </w:r>
    </w:p>
    <w:p w:rsidR="0041200F" w:rsidRPr="0041200F" w:rsidRDefault="0041200F" w:rsidP="00933CD4">
      <w:pPr>
        <w:ind w:firstLine="0"/>
        <w:rPr>
          <w:rFonts w:eastAsiaTheme="minorEastAsia"/>
          <w:b/>
          <w:iCs/>
          <w:snapToGrid w:val="0"/>
          <w:kern w:val="22"/>
          <w:lang w:eastAsia="zh-CN"/>
        </w:rPr>
      </w:pPr>
      <w:r w:rsidRPr="0041200F">
        <w:rPr>
          <w:rFonts w:eastAsiaTheme="minorEastAsia"/>
          <w:b/>
          <w:iCs/>
          <w:snapToGrid w:val="0"/>
          <w:kern w:val="22"/>
          <w:lang w:eastAsia="zh-CN"/>
        </w:rPr>
        <w:t>准则</w:t>
      </w:r>
      <w:r w:rsidRPr="0041200F">
        <w:rPr>
          <w:rFonts w:eastAsiaTheme="minorEastAsia"/>
          <w:b/>
          <w:iCs/>
          <w:snapToGrid w:val="0"/>
          <w:kern w:val="22"/>
          <w:lang w:eastAsia="zh-CN"/>
        </w:rPr>
        <w:t>A</w:t>
      </w:r>
      <w:r w:rsidRPr="0041200F">
        <w:rPr>
          <w:rFonts w:eastAsiaTheme="minorEastAsia"/>
          <w:b/>
          <w:iCs/>
          <w:snapToGrid w:val="0"/>
          <w:kern w:val="22"/>
          <w:lang w:eastAsia="zh-CN"/>
        </w:rPr>
        <w:t>：</w:t>
      </w:r>
      <w:r w:rsidRPr="0041200F">
        <w:rPr>
          <w:rFonts w:eastAsiaTheme="minorEastAsia"/>
          <w:b/>
          <w:snapToGrid w:val="0"/>
          <w:lang w:eastAsia="zh-CN"/>
        </w:rPr>
        <w:t>选择、设计和执行生物多样性融资机制时，应承认</w:t>
      </w:r>
      <w:r w:rsidRPr="0041200F">
        <w:rPr>
          <w:rFonts w:eastAsiaTheme="minorEastAsia"/>
          <w:b/>
          <w:iCs/>
          <w:snapToGrid w:val="0"/>
          <w:kern w:val="22"/>
          <w:lang w:eastAsia="zh-CN"/>
        </w:rPr>
        <w:t>生物多样性和生态系统功能对于当地生计和复原力的作用以及生物多样性的内在价值</w:t>
      </w:r>
      <w:r w:rsidRPr="0041200F">
        <w:rPr>
          <w:rFonts w:eastAsiaTheme="minorEastAsia"/>
          <w:b/>
          <w:snapToGrid w:val="0"/>
          <w:lang w:eastAsia="zh-CN"/>
        </w:rPr>
        <w:t>。</w:t>
      </w:r>
    </w:p>
    <w:p w:rsidR="0041200F" w:rsidRPr="0041200F" w:rsidRDefault="0041200F" w:rsidP="00933CD4">
      <w:pPr>
        <w:ind w:firstLine="0"/>
        <w:rPr>
          <w:rFonts w:eastAsiaTheme="minorEastAsia"/>
          <w:iCs/>
          <w:snapToGrid w:val="0"/>
          <w:kern w:val="22"/>
          <w:lang w:eastAsia="zh-CN"/>
        </w:rPr>
      </w:pPr>
      <w:r w:rsidRPr="0041200F">
        <w:rPr>
          <w:rFonts w:eastAsiaTheme="minorEastAsia"/>
          <w:iCs/>
          <w:snapToGrid w:val="0"/>
          <w:kern w:val="22"/>
          <w:lang w:eastAsia="zh-CN"/>
        </w:rPr>
        <w:t>A.1</w:t>
      </w:r>
      <w:r w:rsidRPr="0041200F">
        <w:rPr>
          <w:rFonts w:eastAsiaTheme="minorEastAsia"/>
          <w:iCs/>
          <w:snapToGrid w:val="0"/>
          <w:kern w:val="22"/>
          <w:lang w:eastAsia="zh-CN"/>
        </w:rPr>
        <w:tab/>
      </w:r>
      <w:r w:rsidRPr="0041200F">
        <w:rPr>
          <w:rFonts w:eastAsiaTheme="minorEastAsia"/>
          <w:iCs/>
          <w:snapToGrid w:val="0"/>
          <w:kern w:val="22"/>
          <w:lang w:eastAsia="zh-CN"/>
        </w:rPr>
        <w:t>选择、设计和执行机制时，是否承认生物多样性和生态系统功能对于当地生计和复原力的作用？</w:t>
      </w:r>
    </w:p>
    <w:p w:rsidR="0041200F" w:rsidRPr="0041200F" w:rsidRDefault="0041200F" w:rsidP="00933CD4">
      <w:pPr>
        <w:ind w:firstLine="0"/>
        <w:rPr>
          <w:rFonts w:eastAsiaTheme="minorEastAsia"/>
          <w:iCs/>
          <w:snapToGrid w:val="0"/>
          <w:kern w:val="22"/>
          <w:lang w:eastAsia="zh-CN"/>
        </w:rPr>
      </w:pPr>
      <w:r w:rsidRPr="0041200F">
        <w:rPr>
          <w:rFonts w:eastAsiaTheme="minorEastAsia"/>
          <w:iCs/>
          <w:snapToGrid w:val="0"/>
          <w:kern w:val="22"/>
          <w:lang w:eastAsia="zh-CN"/>
        </w:rPr>
        <w:t>A.2</w:t>
      </w:r>
      <w:r w:rsidRPr="0041200F">
        <w:rPr>
          <w:rFonts w:eastAsiaTheme="minorEastAsia"/>
          <w:iCs/>
          <w:snapToGrid w:val="0"/>
          <w:kern w:val="22"/>
          <w:lang w:eastAsia="zh-CN"/>
        </w:rPr>
        <w:tab/>
      </w:r>
      <w:r w:rsidRPr="0041200F">
        <w:rPr>
          <w:rFonts w:eastAsiaTheme="minorEastAsia"/>
          <w:iCs/>
          <w:snapToGrid w:val="0"/>
          <w:kern w:val="22"/>
          <w:lang w:eastAsia="zh-CN"/>
        </w:rPr>
        <w:t>生物多样性的内在价值是否得到了承认？</w:t>
      </w:r>
    </w:p>
    <w:p w:rsidR="0041200F" w:rsidRPr="0041200F" w:rsidRDefault="0041200F" w:rsidP="00933CD4">
      <w:pPr>
        <w:ind w:firstLine="0"/>
        <w:rPr>
          <w:rFonts w:eastAsiaTheme="minorEastAsia"/>
          <w:b/>
          <w:iCs/>
          <w:snapToGrid w:val="0"/>
          <w:kern w:val="22"/>
          <w:lang w:eastAsia="zh-CN"/>
        </w:rPr>
      </w:pPr>
      <w:r w:rsidRPr="0041200F">
        <w:rPr>
          <w:rFonts w:eastAsiaTheme="minorEastAsia"/>
          <w:b/>
          <w:iCs/>
          <w:snapToGrid w:val="0"/>
          <w:kern w:val="22"/>
          <w:lang w:eastAsia="zh-CN"/>
        </w:rPr>
        <w:t>准则</w:t>
      </w:r>
      <w:r w:rsidRPr="0041200F">
        <w:rPr>
          <w:rFonts w:eastAsiaTheme="minorEastAsia"/>
          <w:b/>
          <w:iCs/>
          <w:snapToGrid w:val="0"/>
          <w:kern w:val="22"/>
          <w:lang w:eastAsia="zh-CN"/>
        </w:rPr>
        <w:t>B</w:t>
      </w:r>
      <w:r w:rsidRPr="0041200F">
        <w:rPr>
          <w:rFonts w:eastAsiaTheme="minorEastAsia"/>
          <w:b/>
          <w:iCs/>
          <w:snapToGrid w:val="0"/>
          <w:kern w:val="22"/>
          <w:lang w:eastAsia="zh-CN"/>
        </w:rPr>
        <w:t>：应在国家一级，以公正和公平的方式，在所有相关行为方的有效参与下，</w:t>
      </w:r>
      <w:r w:rsidRPr="0041200F">
        <w:rPr>
          <w:rFonts w:eastAsiaTheme="minorEastAsia"/>
          <w:b/>
          <w:snapToGrid w:val="0"/>
          <w:lang w:eastAsia="zh-CN"/>
        </w:rPr>
        <w:t>包括土著和地方社区的自由事先知情同意、事先知情同意或批准和参与，</w:t>
      </w:r>
      <w:r w:rsidRPr="0041200F">
        <w:rPr>
          <w:rFonts w:eastAsiaTheme="minorEastAsia"/>
          <w:b/>
          <w:iCs/>
          <w:snapToGrid w:val="0"/>
          <w:kern w:val="22"/>
          <w:lang w:eastAsia="zh-CN"/>
        </w:rPr>
        <w:t>仔细界定各</w:t>
      </w:r>
      <w:r w:rsidRPr="0041200F">
        <w:rPr>
          <w:rFonts w:eastAsiaTheme="minorEastAsia"/>
          <w:b/>
          <w:snapToGrid w:val="0"/>
          <w:lang w:eastAsia="zh-CN"/>
        </w:rPr>
        <w:t>行为方和（或）利益攸关方在生物多样性融资机制中的权利和责任，同时亦顾及《生物多样性公约》及其相关决定、指导意见和原则，并酌情考虑到《联合国土著人民权利宣言》。</w:t>
      </w:r>
    </w:p>
    <w:p w:rsidR="0041200F" w:rsidRPr="0041200F" w:rsidRDefault="0041200F" w:rsidP="00933CD4">
      <w:pPr>
        <w:ind w:firstLine="0"/>
        <w:rPr>
          <w:rFonts w:eastAsiaTheme="minorEastAsia"/>
          <w:iCs/>
          <w:snapToGrid w:val="0"/>
          <w:kern w:val="22"/>
          <w:lang w:eastAsia="zh-CN"/>
        </w:rPr>
      </w:pPr>
      <w:r w:rsidRPr="0041200F">
        <w:rPr>
          <w:rFonts w:eastAsiaTheme="minorEastAsia"/>
          <w:iCs/>
          <w:snapToGrid w:val="0"/>
          <w:kern w:val="22"/>
          <w:lang w:eastAsia="zh-CN"/>
        </w:rPr>
        <w:t>B.1</w:t>
      </w:r>
      <w:r w:rsidRPr="0041200F">
        <w:rPr>
          <w:rFonts w:eastAsiaTheme="minorEastAsia"/>
          <w:iCs/>
          <w:snapToGrid w:val="0"/>
          <w:kern w:val="22"/>
          <w:lang w:eastAsia="zh-CN"/>
        </w:rPr>
        <w:tab/>
      </w:r>
      <w:r w:rsidRPr="0041200F">
        <w:rPr>
          <w:rFonts w:eastAsiaTheme="minorEastAsia"/>
          <w:iCs/>
          <w:snapToGrid w:val="0"/>
          <w:kern w:val="22"/>
          <w:lang w:eastAsia="zh-CN"/>
        </w:rPr>
        <w:t>行为方和（或）利益攸关方的权利和责任是否经过仔细和公平的界定？</w:t>
      </w:r>
    </w:p>
    <w:p w:rsidR="0041200F" w:rsidRPr="0041200F" w:rsidRDefault="0041200F" w:rsidP="00933CD4">
      <w:pPr>
        <w:suppressLineNumbers/>
        <w:suppressAutoHyphens/>
        <w:kinsoku w:val="0"/>
        <w:overflowPunct w:val="0"/>
        <w:autoSpaceDE w:val="0"/>
        <w:autoSpaceDN w:val="0"/>
        <w:adjustRightInd w:val="0"/>
        <w:snapToGrid w:val="0"/>
        <w:ind w:firstLine="0"/>
        <w:rPr>
          <w:rFonts w:eastAsiaTheme="minorEastAsia"/>
          <w:iCs/>
          <w:snapToGrid w:val="0"/>
          <w:kern w:val="22"/>
          <w:lang w:eastAsia="zh-CN"/>
        </w:rPr>
      </w:pPr>
      <w:r w:rsidRPr="0041200F">
        <w:rPr>
          <w:rFonts w:eastAsiaTheme="minorEastAsia"/>
          <w:iCs/>
          <w:snapToGrid w:val="0"/>
          <w:kern w:val="22"/>
          <w:lang w:eastAsia="zh-CN"/>
        </w:rPr>
        <w:t>B.2</w:t>
      </w:r>
      <w:r w:rsidRPr="0041200F">
        <w:rPr>
          <w:rFonts w:eastAsiaTheme="minorEastAsia"/>
          <w:iCs/>
          <w:snapToGrid w:val="0"/>
          <w:kern w:val="22"/>
          <w:lang w:eastAsia="zh-CN"/>
        </w:rPr>
        <w:tab/>
      </w:r>
      <w:r w:rsidRPr="0041200F">
        <w:rPr>
          <w:rFonts w:eastAsiaTheme="minorEastAsia"/>
          <w:iCs/>
          <w:snapToGrid w:val="0"/>
          <w:kern w:val="22"/>
          <w:lang w:eastAsia="zh-CN"/>
        </w:rPr>
        <w:t>各相关行为方是否都有效地参与了这些作用和责任的界定？</w:t>
      </w:r>
    </w:p>
    <w:p w:rsidR="0041200F" w:rsidRPr="0041200F" w:rsidRDefault="0041200F" w:rsidP="00933CD4">
      <w:pPr>
        <w:ind w:firstLine="0"/>
        <w:rPr>
          <w:rFonts w:eastAsiaTheme="minorEastAsia"/>
          <w:iCs/>
          <w:snapToGrid w:val="0"/>
          <w:kern w:val="22"/>
          <w:lang w:eastAsia="zh-CN"/>
        </w:rPr>
      </w:pPr>
      <w:r w:rsidRPr="0041200F">
        <w:rPr>
          <w:rFonts w:eastAsiaTheme="minorEastAsia"/>
          <w:iCs/>
          <w:snapToGrid w:val="0"/>
          <w:kern w:val="22"/>
          <w:lang w:eastAsia="zh-CN"/>
        </w:rPr>
        <w:t>B.3</w:t>
      </w:r>
      <w:r w:rsidRPr="0041200F">
        <w:rPr>
          <w:rFonts w:eastAsiaTheme="minorEastAsia"/>
          <w:iCs/>
          <w:snapToGrid w:val="0"/>
          <w:kern w:val="22"/>
          <w:lang w:eastAsia="zh-CN"/>
        </w:rPr>
        <w:tab/>
      </w:r>
      <w:r w:rsidRPr="0041200F">
        <w:rPr>
          <w:rFonts w:eastAsiaTheme="minorEastAsia"/>
          <w:iCs/>
          <w:snapToGrid w:val="0"/>
          <w:kern w:val="22"/>
          <w:lang w:eastAsia="zh-CN"/>
        </w:rPr>
        <w:t>界定这些作用和责任时，是否有土著人民和地方社区的自由事先知情同意、事先知情同意或批准和参与？</w:t>
      </w:r>
    </w:p>
    <w:p w:rsidR="0041200F" w:rsidRPr="0041200F" w:rsidRDefault="0041200F" w:rsidP="00933CD4">
      <w:pPr>
        <w:ind w:firstLine="0"/>
        <w:rPr>
          <w:rFonts w:eastAsiaTheme="minorEastAsia"/>
          <w:iCs/>
          <w:snapToGrid w:val="0"/>
          <w:kern w:val="22"/>
          <w:lang w:eastAsia="zh-CN"/>
        </w:rPr>
      </w:pPr>
      <w:r w:rsidRPr="0041200F">
        <w:rPr>
          <w:rFonts w:eastAsiaTheme="minorEastAsia"/>
          <w:iCs/>
          <w:snapToGrid w:val="0"/>
          <w:kern w:val="22"/>
          <w:lang w:eastAsia="zh-CN"/>
        </w:rPr>
        <w:t>B.4</w:t>
      </w:r>
      <w:r w:rsidRPr="0041200F">
        <w:rPr>
          <w:rFonts w:eastAsiaTheme="minorEastAsia"/>
          <w:iCs/>
          <w:snapToGrid w:val="0"/>
          <w:kern w:val="22"/>
          <w:lang w:eastAsia="zh-CN"/>
        </w:rPr>
        <w:tab/>
      </w:r>
      <w:r w:rsidRPr="0041200F">
        <w:rPr>
          <w:rFonts w:eastAsiaTheme="minorEastAsia"/>
          <w:iCs/>
          <w:snapToGrid w:val="0"/>
          <w:kern w:val="22"/>
          <w:lang w:eastAsia="zh-CN"/>
        </w:rPr>
        <w:t>融资机制是否考虑了《生物多样性公约》及其相关决定、指导意见和原则，并酌情顾及了《联合国土著人民权利宣言》</w:t>
      </w:r>
      <w:r w:rsidRPr="0041200F">
        <w:rPr>
          <w:rFonts w:eastAsiaTheme="minorEastAsia"/>
          <w:iCs/>
          <w:snapToGrid w:val="0"/>
          <w:kern w:val="22"/>
          <w:lang w:eastAsia="zh-CN"/>
        </w:rPr>
        <w:t>?</w:t>
      </w:r>
    </w:p>
    <w:p w:rsidR="0041200F" w:rsidRPr="0041200F" w:rsidRDefault="0041200F" w:rsidP="00933CD4">
      <w:pPr>
        <w:ind w:firstLine="0"/>
        <w:rPr>
          <w:rFonts w:eastAsiaTheme="minorEastAsia"/>
          <w:b/>
          <w:iCs/>
          <w:snapToGrid w:val="0"/>
          <w:kern w:val="22"/>
          <w:lang w:eastAsia="zh-CN"/>
        </w:rPr>
      </w:pPr>
      <w:r w:rsidRPr="0041200F">
        <w:rPr>
          <w:rFonts w:eastAsiaTheme="minorEastAsia"/>
          <w:b/>
          <w:iCs/>
          <w:snapToGrid w:val="0"/>
          <w:kern w:val="22"/>
          <w:lang w:eastAsia="zh-CN"/>
        </w:rPr>
        <w:t>准则</w:t>
      </w:r>
      <w:r w:rsidRPr="0041200F">
        <w:rPr>
          <w:rFonts w:eastAsiaTheme="minorEastAsia"/>
          <w:b/>
          <w:iCs/>
          <w:snapToGrid w:val="0"/>
          <w:kern w:val="22"/>
          <w:lang w:eastAsia="zh-CN"/>
        </w:rPr>
        <w:t xml:space="preserve">C: </w:t>
      </w:r>
      <w:r w:rsidRPr="0041200F">
        <w:rPr>
          <w:rFonts w:eastAsiaTheme="minorEastAsia"/>
          <w:b/>
          <w:snapToGrid w:val="0"/>
          <w:lang w:eastAsia="zh-CN"/>
        </w:rPr>
        <w:t>生物多样性融资机构保障措施应立足当地情况，其制定应符合相关的国家驱动</w:t>
      </w:r>
      <w:r w:rsidRPr="0041200F">
        <w:rPr>
          <w:rFonts w:eastAsiaTheme="minorEastAsia"/>
          <w:b/>
          <w:snapToGrid w:val="0"/>
          <w:lang w:eastAsia="zh-CN"/>
        </w:rPr>
        <w:t>/</w:t>
      </w:r>
      <w:r w:rsidRPr="0041200F">
        <w:rPr>
          <w:rFonts w:eastAsiaTheme="minorEastAsia"/>
          <w:b/>
          <w:snapToGrid w:val="0"/>
          <w:lang w:eastAsia="zh-CN"/>
        </w:rPr>
        <w:t>具体国家进程以及国际法律和优先事项，并顾及《生物多样性公约》下制定的相关国际协定、宣</w:t>
      </w:r>
      <w:r w:rsidRPr="0041200F">
        <w:rPr>
          <w:rFonts w:eastAsiaTheme="minorEastAsia"/>
          <w:b/>
          <w:snapToGrid w:val="0"/>
          <w:lang w:eastAsia="zh-CN"/>
        </w:rPr>
        <w:lastRenderedPageBreak/>
        <w:t>言和指导意见，并酌情考虑到，除其他外，《联合国气候变化框架公约》、各国际人权条约和《联合国土著人民权利宣言》。</w:t>
      </w:r>
    </w:p>
    <w:p w:rsidR="0041200F" w:rsidRPr="0041200F" w:rsidRDefault="0041200F" w:rsidP="00933CD4">
      <w:pPr>
        <w:suppressLineNumbers/>
        <w:suppressAutoHyphens/>
        <w:kinsoku w:val="0"/>
        <w:overflowPunct w:val="0"/>
        <w:autoSpaceDE w:val="0"/>
        <w:autoSpaceDN w:val="0"/>
        <w:adjustRightInd w:val="0"/>
        <w:snapToGrid w:val="0"/>
        <w:ind w:firstLine="0"/>
        <w:rPr>
          <w:rFonts w:eastAsiaTheme="minorEastAsia"/>
          <w:iCs/>
          <w:snapToGrid w:val="0"/>
          <w:kern w:val="22"/>
          <w:lang w:eastAsia="zh-CN"/>
        </w:rPr>
      </w:pPr>
      <w:r w:rsidRPr="0041200F">
        <w:rPr>
          <w:rFonts w:eastAsiaTheme="minorEastAsia"/>
          <w:iCs/>
          <w:snapToGrid w:val="0"/>
          <w:kern w:val="22"/>
          <w:lang w:eastAsia="zh-CN"/>
        </w:rPr>
        <w:t>C.1</w:t>
      </w:r>
      <w:r w:rsidRPr="0041200F">
        <w:rPr>
          <w:rFonts w:eastAsiaTheme="minorEastAsia"/>
          <w:iCs/>
          <w:snapToGrid w:val="0"/>
          <w:kern w:val="22"/>
          <w:lang w:eastAsia="zh-CN"/>
        </w:rPr>
        <w:tab/>
      </w:r>
      <w:r w:rsidRPr="0041200F">
        <w:rPr>
          <w:rFonts w:eastAsiaTheme="minorEastAsia"/>
          <w:iCs/>
          <w:snapToGrid w:val="0"/>
          <w:kern w:val="22"/>
          <w:lang w:eastAsia="zh-CN"/>
        </w:rPr>
        <w:t>融资机制保障措施是否立足当地情况？</w:t>
      </w:r>
    </w:p>
    <w:p w:rsidR="0041200F" w:rsidRPr="0041200F" w:rsidRDefault="0041200F" w:rsidP="00933CD4">
      <w:pPr>
        <w:ind w:firstLine="0"/>
        <w:rPr>
          <w:rFonts w:eastAsiaTheme="minorEastAsia"/>
          <w:iCs/>
          <w:snapToGrid w:val="0"/>
          <w:kern w:val="22"/>
          <w:lang w:eastAsia="zh-CN"/>
        </w:rPr>
      </w:pPr>
      <w:r w:rsidRPr="0041200F">
        <w:rPr>
          <w:rFonts w:eastAsiaTheme="minorEastAsia"/>
          <w:iCs/>
          <w:snapToGrid w:val="0"/>
          <w:kern w:val="22"/>
          <w:lang w:eastAsia="zh-CN"/>
        </w:rPr>
        <w:t>C.2</w:t>
      </w:r>
      <w:r w:rsidRPr="0041200F">
        <w:rPr>
          <w:rFonts w:eastAsiaTheme="minorEastAsia"/>
          <w:iCs/>
          <w:snapToGrid w:val="0"/>
          <w:kern w:val="22"/>
          <w:lang w:eastAsia="zh-CN"/>
        </w:rPr>
        <w:tab/>
      </w:r>
      <w:r w:rsidRPr="0041200F">
        <w:rPr>
          <w:rFonts w:eastAsiaTheme="minorEastAsia"/>
          <w:iCs/>
          <w:snapToGrid w:val="0"/>
          <w:kern w:val="22"/>
          <w:lang w:eastAsia="zh-CN"/>
        </w:rPr>
        <w:t>保障措施是否符合相关国家驱动</w:t>
      </w:r>
      <w:r w:rsidRPr="0041200F">
        <w:rPr>
          <w:rFonts w:eastAsiaTheme="minorEastAsia"/>
          <w:iCs/>
          <w:snapToGrid w:val="0"/>
          <w:kern w:val="22"/>
          <w:lang w:eastAsia="zh-CN"/>
        </w:rPr>
        <w:t>/</w:t>
      </w:r>
      <w:r w:rsidRPr="0041200F">
        <w:rPr>
          <w:rFonts w:eastAsiaTheme="minorEastAsia"/>
          <w:iCs/>
          <w:snapToGrid w:val="0"/>
          <w:kern w:val="22"/>
          <w:lang w:eastAsia="zh-CN"/>
        </w:rPr>
        <w:t>具体国家进程以及国际法律和优先事项？</w:t>
      </w:r>
    </w:p>
    <w:p w:rsidR="0041200F" w:rsidRPr="0041200F" w:rsidRDefault="0041200F" w:rsidP="00933CD4">
      <w:pPr>
        <w:pStyle w:val="HTMLPreformatted"/>
        <w:shd w:val="clear" w:color="auto" w:fill="FFFFFF"/>
        <w:ind w:firstLine="0"/>
        <w:rPr>
          <w:rFonts w:ascii="Times New Roman" w:eastAsiaTheme="minorEastAsia" w:hAnsi="Times New Roman"/>
          <w:color w:val="212121"/>
          <w:lang w:eastAsia="zh-CN"/>
        </w:rPr>
      </w:pPr>
      <w:r w:rsidRPr="0041200F">
        <w:rPr>
          <w:rFonts w:ascii="Times New Roman" w:eastAsiaTheme="minorEastAsia" w:hAnsi="Times New Roman"/>
          <w:iCs/>
          <w:snapToGrid w:val="0"/>
          <w:kern w:val="22"/>
          <w:sz w:val="24"/>
          <w:szCs w:val="24"/>
          <w:lang w:val="en-GB" w:eastAsia="zh-CN"/>
        </w:rPr>
        <w:t>C.3</w:t>
      </w:r>
      <w:r w:rsidRPr="0041200F">
        <w:rPr>
          <w:rFonts w:ascii="Times New Roman" w:eastAsiaTheme="minorEastAsia" w:hAnsi="Times New Roman"/>
          <w:iCs/>
          <w:snapToGrid w:val="0"/>
          <w:kern w:val="22"/>
          <w:sz w:val="24"/>
          <w:lang w:eastAsia="zh-CN"/>
        </w:rPr>
        <w:t xml:space="preserve">   </w:t>
      </w:r>
      <w:r w:rsidRPr="0041200F">
        <w:rPr>
          <w:rFonts w:ascii="Times New Roman" w:eastAsiaTheme="minorEastAsia" w:hAnsi="Times New Roman"/>
          <w:iCs/>
          <w:snapToGrid w:val="0"/>
          <w:kern w:val="22"/>
          <w:sz w:val="24"/>
          <w:lang w:eastAsia="zh-CN"/>
        </w:rPr>
        <w:t>保障措施是否考虑了</w:t>
      </w:r>
      <w:r w:rsidRPr="0041200F">
        <w:rPr>
          <w:rFonts w:ascii="Times New Roman" w:eastAsiaTheme="minorEastAsia" w:hAnsi="Times New Roman"/>
          <w:iCs/>
          <w:snapToGrid w:val="0"/>
          <w:kern w:val="22"/>
          <w:sz w:val="24"/>
          <w:lang w:eastAsia="zh-CN"/>
        </w:rPr>
        <w:t>B.4</w:t>
      </w:r>
      <w:r w:rsidRPr="0041200F">
        <w:rPr>
          <w:rFonts w:ascii="Times New Roman" w:eastAsiaTheme="minorEastAsia" w:hAnsi="Times New Roman"/>
          <w:iCs/>
          <w:snapToGrid w:val="0"/>
          <w:kern w:val="22"/>
          <w:sz w:val="24"/>
          <w:lang w:eastAsia="zh-CN"/>
        </w:rPr>
        <w:t>点中提到的文书和酌情顾及《</w:t>
      </w:r>
      <w:r w:rsidRPr="0041200F">
        <w:rPr>
          <w:rFonts w:ascii="Times New Roman" w:eastAsiaTheme="minorEastAsia" w:hAnsi="Times New Roman"/>
          <w:iCs/>
          <w:snapToGrid w:val="0"/>
          <w:kern w:val="22"/>
          <w:sz w:val="24"/>
          <w:szCs w:val="24"/>
          <w:lang w:val="en-GB" w:eastAsia="zh-CN"/>
        </w:rPr>
        <w:t>联合国气候变化框架公约》、《消除对妇女一切形式歧视公约》、各项国际人权条约等？</w:t>
      </w:r>
    </w:p>
    <w:p w:rsidR="0041200F" w:rsidRPr="0041200F" w:rsidRDefault="0041200F" w:rsidP="00933CD4">
      <w:pPr>
        <w:ind w:firstLine="0"/>
        <w:rPr>
          <w:rFonts w:eastAsiaTheme="minorEastAsia"/>
          <w:b/>
          <w:iCs/>
          <w:snapToGrid w:val="0"/>
          <w:kern w:val="22"/>
          <w:lang w:eastAsia="zh-CN"/>
        </w:rPr>
      </w:pPr>
      <w:r w:rsidRPr="0041200F">
        <w:rPr>
          <w:rFonts w:eastAsiaTheme="minorEastAsia"/>
          <w:b/>
          <w:iCs/>
          <w:snapToGrid w:val="0"/>
          <w:kern w:val="22"/>
          <w:lang w:eastAsia="zh-CN"/>
        </w:rPr>
        <w:t>准则</w:t>
      </w:r>
      <w:r w:rsidRPr="0041200F">
        <w:rPr>
          <w:rFonts w:eastAsiaTheme="minorEastAsia"/>
          <w:b/>
          <w:iCs/>
          <w:snapToGrid w:val="0"/>
          <w:kern w:val="22"/>
          <w:lang w:eastAsia="zh-CN"/>
        </w:rPr>
        <w:t>D</w:t>
      </w:r>
      <w:r w:rsidRPr="0041200F">
        <w:rPr>
          <w:rFonts w:eastAsiaTheme="minorEastAsia"/>
          <w:b/>
          <w:iCs/>
          <w:snapToGrid w:val="0"/>
          <w:kern w:val="22"/>
          <w:lang w:eastAsia="zh-CN"/>
        </w:rPr>
        <w:t>：适当和有效的体制框架对于保障措施的运作极其重要，应建立这种体制框架，包括确保透明度和问责以及遵守相关保障措施的执行和评价机制。</w:t>
      </w:r>
    </w:p>
    <w:p w:rsidR="0041200F" w:rsidRPr="0041200F" w:rsidRDefault="0041200F" w:rsidP="00933CD4">
      <w:pPr>
        <w:suppressLineNumbers/>
        <w:suppressAutoHyphens/>
        <w:kinsoku w:val="0"/>
        <w:overflowPunct w:val="0"/>
        <w:autoSpaceDE w:val="0"/>
        <w:autoSpaceDN w:val="0"/>
        <w:adjustRightInd w:val="0"/>
        <w:snapToGrid w:val="0"/>
        <w:ind w:firstLine="0"/>
        <w:rPr>
          <w:rFonts w:eastAsiaTheme="minorEastAsia"/>
          <w:iCs/>
          <w:snapToGrid w:val="0"/>
          <w:kern w:val="22"/>
          <w:lang w:eastAsia="zh-CN"/>
        </w:rPr>
      </w:pPr>
      <w:r w:rsidRPr="0041200F">
        <w:rPr>
          <w:rFonts w:eastAsiaTheme="minorEastAsia"/>
          <w:iCs/>
          <w:snapToGrid w:val="0"/>
          <w:kern w:val="22"/>
          <w:lang w:eastAsia="zh-CN"/>
        </w:rPr>
        <w:t>D.1</w:t>
      </w:r>
      <w:r w:rsidRPr="0041200F">
        <w:rPr>
          <w:rFonts w:eastAsiaTheme="minorEastAsia"/>
          <w:iCs/>
          <w:snapToGrid w:val="0"/>
          <w:kern w:val="22"/>
          <w:lang w:eastAsia="zh-CN"/>
        </w:rPr>
        <w:tab/>
      </w:r>
      <w:r w:rsidRPr="0041200F">
        <w:rPr>
          <w:rFonts w:eastAsiaTheme="minorEastAsia"/>
          <w:iCs/>
          <w:snapToGrid w:val="0"/>
          <w:kern w:val="22"/>
          <w:lang w:eastAsia="zh-CN"/>
        </w:rPr>
        <w:t>是否制定了适当和有效的体制框架确保保障措施的实施？</w:t>
      </w:r>
    </w:p>
    <w:p w:rsidR="0041200F" w:rsidRPr="0041200F" w:rsidRDefault="0041200F" w:rsidP="00933CD4">
      <w:pPr>
        <w:suppressLineNumbers/>
        <w:suppressAutoHyphens/>
        <w:kinsoku w:val="0"/>
        <w:overflowPunct w:val="0"/>
        <w:autoSpaceDE w:val="0"/>
        <w:autoSpaceDN w:val="0"/>
        <w:adjustRightInd w:val="0"/>
        <w:snapToGrid w:val="0"/>
        <w:ind w:firstLine="0"/>
        <w:rPr>
          <w:rFonts w:eastAsiaTheme="minorEastAsia"/>
          <w:iCs/>
          <w:snapToGrid w:val="0"/>
          <w:kern w:val="22"/>
          <w:lang w:eastAsia="zh-CN"/>
        </w:rPr>
      </w:pPr>
      <w:r w:rsidRPr="0041200F">
        <w:rPr>
          <w:rFonts w:eastAsiaTheme="minorEastAsia"/>
          <w:iCs/>
          <w:snapToGrid w:val="0"/>
          <w:kern w:val="22"/>
          <w:lang w:eastAsia="zh-CN"/>
        </w:rPr>
        <w:t>D.2</w:t>
      </w:r>
      <w:r w:rsidRPr="0041200F">
        <w:rPr>
          <w:rFonts w:eastAsiaTheme="minorEastAsia"/>
          <w:iCs/>
          <w:snapToGrid w:val="0"/>
          <w:kern w:val="22"/>
          <w:lang w:eastAsia="zh-CN"/>
        </w:rPr>
        <w:tab/>
      </w:r>
      <w:r w:rsidRPr="0041200F">
        <w:rPr>
          <w:rFonts w:eastAsiaTheme="minorEastAsia"/>
          <w:iCs/>
          <w:snapToGrid w:val="0"/>
          <w:kern w:val="22"/>
          <w:lang w:eastAsia="zh-CN"/>
        </w:rPr>
        <w:t>体制框架是否包括执行和评价机制？</w:t>
      </w:r>
    </w:p>
    <w:p w:rsidR="0041200F" w:rsidRPr="0041200F" w:rsidRDefault="0041200F" w:rsidP="00933CD4">
      <w:pPr>
        <w:suppressLineNumbers/>
        <w:suppressAutoHyphens/>
        <w:kinsoku w:val="0"/>
        <w:overflowPunct w:val="0"/>
        <w:autoSpaceDE w:val="0"/>
        <w:autoSpaceDN w:val="0"/>
        <w:adjustRightInd w:val="0"/>
        <w:snapToGrid w:val="0"/>
        <w:ind w:firstLine="0"/>
        <w:rPr>
          <w:rFonts w:eastAsiaTheme="minorEastAsia"/>
          <w:iCs/>
          <w:snapToGrid w:val="0"/>
          <w:kern w:val="22"/>
          <w:lang w:eastAsia="zh-CN"/>
        </w:rPr>
      </w:pPr>
      <w:r w:rsidRPr="0041200F">
        <w:rPr>
          <w:rFonts w:eastAsiaTheme="minorEastAsia"/>
          <w:iCs/>
          <w:snapToGrid w:val="0"/>
          <w:kern w:val="22"/>
          <w:lang w:eastAsia="zh-CN"/>
        </w:rPr>
        <w:t>D.3</w:t>
      </w:r>
      <w:r w:rsidRPr="0041200F">
        <w:rPr>
          <w:rFonts w:eastAsiaTheme="minorEastAsia"/>
          <w:iCs/>
          <w:snapToGrid w:val="0"/>
          <w:kern w:val="22"/>
          <w:lang w:eastAsia="zh-CN"/>
        </w:rPr>
        <w:tab/>
      </w:r>
      <w:r w:rsidRPr="0041200F">
        <w:rPr>
          <w:rFonts w:eastAsiaTheme="minorEastAsia"/>
          <w:iCs/>
          <w:snapToGrid w:val="0"/>
          <w:kern w:val="22"/>
          <w:lang w:eastAsia="zh-CN"/>
        </w:rPr>
        <w:t>是否纳入了透明度和问责要求？</w:t>
      </w:r>
    </w:p>
    <w:p w:rsidR="0041200F" w:rsidRPr="0041200F" w:rsidRDefault="0041200F" w:rsidP="00933CD4">
      <w:pPr>
        <w:suppressLineNumbers/>
        <w:suppressAutoHyphens/>
        <w:kinsoku w:val="0"/>
        <w:overflowPunct w:val="0"/>
        <w:autoSpaceDE w:val="0"/>
        <w:autoSpaceDN w:val="0"/>
        <w:adjustRightInd w:val="0"/>
        <w:snapToGrid w:val="0"/>
        <w:ind w:firstLine="0"/>
        <w:rPr>
          <w:rFonts w:eastAsiaTheme="minorEastAsia"/>
          <w:iCs/>
          <w:snapToGrid w:val="0"/>
          <w:kern w:val="22"/>
          <w:lang w:eastAsia="zh-CN"/>
        </w:rPr>
      </w:pPr>
      <w:r w:rsidRPr="0041200F">
        <w:rPr>
          <w:rFonts w:eastAsiaTheme="minorEastAsia"/>
          <w:iCs/>
          <w:snapToGrid w:val="0"/>
          <w:kern w:val="22"/>
          <w:lang w:eastAsia="zh-CN"/>
        </w:rPr>
        <w:t>D.4</w:t>
      </w:r>
      <w:r w:rsidRPr="0041200F">
        <w:rPr>
          <w:rFonts w:eastAsiaTheme="minorEastAsia"/>
          <w:iCs/>
          <w:snapToGrid w:val="0"/>
          <w:kern w:val="22"/>
          <w:lang w:eastAsia="zh-CN"/>
        </w:rPr>
        <w:tab/>
      </w:r>
      <w:r w:rsidRPr="0041200F">
        <w:rPr>
          <w:rFonts w:eastAsiaTheme="minorEastAsia"/>
          <w:iCs/>
          <w:snapToGrid w:val="0"/>
          <w:kern w:val="22"/>
          <w:lang w:eastAsia="zh-CN"/>
        </w:rPr>
        <w:t>是否所有有关利益攸关方都在遵守相关的保障措施？</w:t>
      </w:r>
    </w:p>
    <w:p w:rsidR="0041200F" w:rsidRPr="0041200F" w:rsidRDefault="0041200F" w:rsidP="00933CD4">
      <w:pPr>
        <w:pStyle w:val="Para1"/>
        <w:tabs>
          <w:tab w:val="clear" w:pos="360"/>
        </w:tabs>
        <w:ind w:firstLine="0"/>
        <w:rPr>
          <w:rFonts w:eastAsiaTheme="minorEastAsia"/>
          <w:b/>
          <w:kern w:val="22"/>
          <w:szCs w:val="22"/>
          <w:lang w:eastAsia="zh-CN"/>
        </w:rPr>
      </w:pPr>
      <w:r w:rsidRPr="0041200F">
        <w:rPr>
          <w:rFonts w:eastAsiaTheme="minorEastAsia"/>
          <w:b/>
          <w:sz w:val="24"/>
          <w:szCs w:val="24"/>
          <w:lang w:eastAsia="zh-CN"/>
        </w:rPr>
        <w:t>根据《生物多样性公约》下的相关决定、指导意见和原则拟定的补充性问题包括：</w:t>
      </w:r>
    </w:p>
    <w:p w:rsidR="0041200F" w:rsidRPr="0041200F" w:rsidRDefault="0041200F" w:rsidP="000932B0">
      <w:pPr>
        <w:pStyle w:val="Para1"/>
        <w:numPr>
          <w:ilvl w:val="0"/>
          <w:numId w:val="209"/>
        </w:numPr>
        <w:suppressLineNumbers/>
        <w:suppressAutoHyphens/>
        <w:kinsoku w:val="0"/>
        <w:overflowPunct w:val="0"/>
        <w:autoSpaceDE w:val="0"/>
        <w:autoSpaceDN w:val="0"/>
        <w:adjustRightInd w:val="0"/>
        <w:ind w:left="720" w:hanging="720"/>
        <w:rPr>
          <w:rFonts w:eastAsiaTheme="minorEastAsia"/>
          <w:kern w:val="22"/>
          <w:sz w:val="24"/>
          <w:szCs w:val="24"/>
          <w:lang w:eastAsia="zh-CN"/>
        </w:rPr>
      </w:pPr>
      <w:r w:rsidRPr="0041200F">
        <w:rPr>
          <w:rFonts w:eastAsiaTheme="minorEastAsia"/>
          <w:sz w:val="24"/>
          <w:szCs w:val="24"/>
          <w:lang w:eastAsia="zh-CN"/>
        </w:rPr>
        <w:t>是否有促进惠益分享的公平性或减少不公平风险的规定？</w:t>
      </w:r>
    </w:p>
    <w:p w:rsidR="0041200F" w:rsidRPr="0041200F" w:rsidRDefault="0041200F" w:rsidP="000932B0">
      <w:pPr>
        <w:pStyle w:val="Para1"/>
        <w:numPr>
          <w:ilvl w:val="0"/>
          <w:numId w:val="209"/>
        </w:numPr>
        <w:suppressLineNumbers/>
        <w:suppressAutoHyphens/>
        <w:kinsoku w:val="0"/>
        <w:overflowPunct w:val="0"/>
        <w:autoSpaceDE w:val="0"/>
        <w:autoSpaceDN w:val="0"/>
        <w:adjustRightInd w:val="0"/>
        <w:ind w:left="720" w:hanging="720"/>
        <w:rPr>
          <w:rFonts w:eastAsiaTheme="minorEastAsia"/>
          <w:kern w:val="22"/>
          <w:sz w:val="24"/>
          <w:szCs w:val="24"/>
          <w:lang w:eastAsia="zh-CN"/>
        </w:rPr>
      </w:pPr>
      <w:r w:rsidRPr="0041200F">
        <w:rPr>
          <w:rFonts w:eastAsiaTheme="minorEastAsia"/>
          <w:sz w:val="24"/>
          <w:szCs w:val="24"/>
          <w:lang w:eastAsia="zh-CN"/>
        </w:rPr>
        <w:t>保障措施文书中是否包括文化影响评估程序？是否特别包括尊重土著人民和地方社区的精神价值？</w:t>
      </w:r>
    </w:p>
    <w:p w:rsidR="0041200F" w:rsidRPr="0041200F" w:rsidRDefault="0041200F" w:rsidP="000932B0">
      <w:pPr>
        <w:pStyle w:val="Para1"/>
        <w:numPr>
          <w:ilvl w:val="0"/>
          <w:numId w:val="209"/>
        </w:numPr>
        <w:suppressLineNumbers/>
        <w:suppressAutoHyphens/>
        <w:kinsoku w:val="0"/>
        <w:overflowPunct w:val="0"/>
        <w:autoSpaceDE w:val="0"/>
        <w:autoSpaceDN w:val="0"/>
        <w:adjustRightInd w:val="0"/>
        <w:ind w:left="720" w:hanging="720"/>
        <w:rPr>
          <w:rFonts w:eastAsiaTheme="minorEastAsia"/>
          <w:kern w:val="22"/>
          <w:sz w:val="24"/>
          <w:szCs w:val="24"/>
          <w:lang w:eastAsia="zh-CN"/>
        </w:rPr>
      </w:pPr>
      <w:r w:rsidRPr="0041200F">
        <w:rPr>
          <w:rFonts w:eastAsiaTheme="minorEastAsia"/>
          <w:sz w:val="24"/>
          <w:szCs w:val="24"/>
          <w:lang w:eastAsia="zh-CN"/>
        </w:rPr>
        <w:t>是否考虑了习惯使用以避免风险？</w:t>
      </w:r>
    </w:p>
    <w:p w:rsidR="0041200F" w:rsidRPr="0041200F" w:rsidRDefault="0041200F" w:rsidP="000932B0">
      <w:pPr>
        <w:pStyle w:val="Para1"/>
        <w:numPr>
          <w:ilvl w:val="0"/>
          <w:numId w:val="209"/>
        </w:numPr>
        <w:suppressLineNumbers/>
        <w:suppressAutoHyphens/>
        <w:kinsoku w:val="0"/>
        <w:overflowPunct w:val="0"/>
        <w:autoSpaceDE w:val="0"/>
        <w:autoSpaceDN w:val="0"/>
        <w:adjustRightInd w:val="0"/>
        <w:ind w:left="720" w:hanging="720"/>
        <w:rPr>
          <w:rFonts w:eastAsiaTheme="minorEastAsia"/>
          <w:kern w:val="22"/>
          <w:sz w:val="24"/>
          <w:szCs w:val="24"/>
          <w:lang w:eastAsia="zh-CN"/>
        </w:rPr>
      </w:pPr>
      <w:r w:rsidRPr="0041200F">
        <w:rPr>
          <w:rFonts w:eastAsiaTheme="minorEastAsia"/>
          <w:sz w:val="24"/>
          <w:szCs w:val="24"/>
          <w:lang w:eastAsia="zh-CN"/>
        </w:rPr>
        <w:t>在土著人民和地方社区的传统知识方面，特别是就保护其知识权利而言，是否有保障措施？</w:t>
      </w:r>
    </w:p>
    <w:p w:rsidR="00DE3278" w:rsidRDefault="00DE3278" w:rsidP="00933CD4">
      <w:pPr>
        <w:ind w:firstLine="0"/>
        <w:rPr>
          <w:rFonts w:eastAsiaTheme="minorEastAsia"/>
          <w:b/>
          <w:bCs/>
          <w:noProof/>
          <w:kern w:val="22"/>
          <w:szCs w:val="32"/>
          <w:lang w:eastAsia="zh-CN"/>
        </w:rPr>
      </w:pPr>
      <w:bookmarkStart w:id="176" w:name="_Toc524194581"/>
      <w:r>
        <w:rPr>
          <w:rFonts w:eastAsiaTheme="minorEastAsia"/>
          <w:noProof/>
          <w:kern w:val="22"/>
          <w:lang w:eastAsia="zh-CN"/>
        </w:rPr>
        <w:br w:type="page"/>
      </w:r>
    </w:p>
    <w:p w:rsidR="00496736" w:rsidRPr="00496736" w:rsidRDefault="00496736" w:rsidP="00496736">
      <w:pPr>
        <w:pStyle w:val="Heading1"/>
        <w:adjustRightInd w:val="0"/>
        <w:spacing w:before="120" w:after="120"/>
        <w:ind w:right="43"/>
        <w:rPr>
          <w:rFonts w:eastAsiaTheme="minorEastAsia" w:cs="Times New Roman"/>
          <w:noProof/>
          <w:kern w:val="22"/>
          <w:sz w:val="24"/>
          <w:lang w:eastAsia="zh-CN"/>
        </w:rPr>
      </w:pPr>
      <w:bookmarkStart w:id="177" w:name="_Toc6243768"/>
      <w:bookmarkEnd w:id="176"/>
      <w:r w:rsidRPr="00496736">
        <w:rPr>
          <w:rFonts w:eastAsiaTheme="minorEastAsia" w:cs="Times New Roman"/>
          <w:noProof/>
          <w:kern w:val="22"/>
          <w:sz w:val="24"/>
          <w:lang w:eastAsia="zh-CN"/>
        </w:rPr>
        <w:lastRenderedPageBreak/>
        <w:t xml:space="preserve">14/16.     </w:t>
      </w:r>
      <w:r w:rsidRPr="00496736">
        <w:rPr>
          <w:rFonts w:eastAsiaTheme="minorEastAsia" w:cs="Times New Roman"/>
          <w:noProof/>
          <w:kern w:val="22"/>
          <w:sz w:val="24"/>
          <w:lang w:eastAsia="zh-CN"/>
        </w:rPr>
        <w:t>关于土著人民和地方社区的贡献的方法指导</w:t>
      </w:r>
      <w:bookmarkEnd w:id="177"/>
    </w:p>
    <w:p w:rsidR="00496736" w:rsidRPr="00D86A6B" w:rsidRDefault="00496736" w:rsidP="00496736">
      <w:pPr>
        <w:pStyle w:val="Para1"/>
        <w:keepNext/>
        <w:keepLines/>
        <w:tabs>
          <w:tab w:val="clear" w:pos="360"/>
        </w:tabs>
        <w:spacing w:before="240"/>
        <w:rPr>
          <w:rFonts w:ascii="KaiTi" w:eastAsia="KaiTi" w:hAnsi="KaiTi"/>
          <w:kern w:val="20"/>
          <w:sz w:val="24"/>
          <w:szCs w:val="24"/>
          <w:lang w:eastAsia="zh-CN"/>
        </w:rPr>
      </w:pPr>
      <w:r w:rsidRPr="00D86A6B">
        <w:rPr>
          <w:rFonts w:ascii="KaiTi" w:eastAsia="KaiTi" w:hAnsi="KaiTi" w:hint="eastAsia"/>
          <w:kern w:val="20"/>
          <w:sz w:val="24"/>
          <w:szCs w:val="24"/>
          <w:lang w:eastAsia="zh-CN"/>
        </w:rPr>
        <w:t>缔约</w:t>
      </w:r>
      <w:r w:rsidRPr="00D86A6B">
        <w:rPr>
          <w:rFonts w:ascii="KaiTi" w:eastAsia="KaiTi" w:hAnsi="KaiTi"/>
          <w:kern w:val="20"/>
          <w:sz w:val="24"/>
          <w:szCs w:val="24"/>
          <w:lang w:eastAsia="zh-CN"/>
        </w:rPr>
        <w:t>方大会，</w:t>
      </w:r>
    </w:p>
    <w:p w:rsidR="00496736" w:rsidRPr="00496736" w:rsidRDefault="00496736" w:rsidP="00496736">
      <w:pPr>
        <w:adjustRightInd w:val="0"/>
        <w:spacing w:line="240" w:lineRule="atLeast"/>
        <w:rPr>
          <w:rFonts w:eastAsiaTheme="minorEastAsia"/>
          <w:lang w:eastAsia="zh-CN"/>
        </w:rPr>
      </w:pPr>
      <w:r w:rsidRPr="00496736">
        <w:rPr>
          <w:rFonts w:ascii="KaiTi" w:eastAsia="KaiTi" w:hAnsi="KaiTi"/>
          <w:lang w:eastAsia="zh-CN"/>
        </w:rPr>
        <w:t>回顾</w:t>
      </w:r>
      <w:r w:rsidRPr="00496736">
        <w:rPr>
          <w:rFonts w:eastAsiaTheme="minorEastAsia"/>
          <w:lang w:eastAsia="zh-CN"/>
        </w:rPr>
        <w:t>第</w:t>
      </w:r>
      <w:r w:rsidRPr="00496736">
        <w:rPr>
          <w:rFonts w:eastAsiaTheme="minorEastAsia"/>
          <w:lang w:eastAsia="zh-CN"/>
        </w:rPr>
        <w:t>XIII/20</w:t>
      </w:r>
      <w:r w:rsidRPr="00496736">
        <w:rPr>
          <w:rFonts w:eastAsiaTheme="minorEastAsia"/>
          <w:lang w:eastAsia="zh-CN"/>
        </w:rPr>
        <w:t>号决定，其中缔约方大会请执行秘书拟定关于土著人民和地方社区贡献的方法指导要素，</w:t>
      </w:r>
    </w:p>
    <w:p w:rsidR="00496736" w:rsidRPr="00496736" w:rsidRDefault="00496736" w:rsidP="00496736">
      <w:pPr>
        <w:adjustRightInd w:val="0"/>
        <w:snapToGrid w:val="0"/>
        <w:rPr>
          <w:rFonts w:eastAsiaTheme="minorEastAsia"/>
          <w:lang w:eastAsia="zh-CN"/>
        </w:rPr>
      </w:pPr>
      <w:r w:rsidRPr="00496736">
        <w:rPr>
          <w:rFonts w:ascii="KaiTi" w:eastAsia="KaiTi" w:hAnsi="KaiTi"/>
          <w:lang w:eastAsia="zh-CN"/>
        </w:rPr>
        <w:t>认识到</w:t>
      </w:r>
      <w:r w:rsidRPr="00496736">
        <w:rPr>
          <w:rFonts w:eastAsiaTheme="minorEastAsia"/>
          <w:lang w:eastAsia="zh-CN"/>
        </w:rPr>
        <w:t>土著人民和地方社区的整体集体行动对于在土著人民和地方社区的权利、道德原则和</w:t>
      </w:r>
      <w:r w:rsidRPr="00496736">
        <w:rPr>
          <w:rFonts w:eastAsiaTheme="minorEastAsia"/>
          <w:spacing w:val="-20"/>
          <w:lang w:eastAsia="zh-CN"/>
        </w:rPr>
        <w:t>价值观、治理和男女不同角色的框架内实现《</w:t>
      </w:r>
      <w:r w:rsidRPr="00496736">
        <w:rPr>
          <w:rFonts w:eastAsiaTheme="minorEastAsia"/>
          <w:spacing w:val="-20"/>
          <w:lang w:eastAsia="zh-CN"/>
        </w:rPr>
        <w:t>2011-2020</w:t>
      </w:r>
      <w:r w:rsidRPr="00496736">
        <w:rPr>
          <w:rFonts w:eastAsiaTheme="minorEastAsia"/>
          <w:spacing w:val="-20"/>
          <w:lang w:eastAsia="zh-CN"/>
        </w:rPr>
        <w:t>年生物多样性战略计划》</w:t>
      </w:r>
      <w:r w:rsidRPr="00496736">
        <w:rPr>
          <w:rFonts w:eastAsiaTheme="minorEastAsia"/>
          <w:vertAlign w:val="superscript"/>
        </w:rPr>
        <w:footnoteReference w:id="238"/>
      </w:r>
      <w:r w:rsidRPr="00496736">
        <w:rPr>
          <w:rFonts w:eastAsiaTheme="minorEastAsia"/>
          <w:lang w:eastAsia="zh-CN"/>
        </w:rPr>
        <w:t xml:space="preserve"> </w:t>
      </w:r>
      <w:r w:rsidRPr="00496736">
        <w:rPr>
          <w:rFonts w:eastAsiaTheme="minorEastAsia"/>
          <w:lang w:eastAsia="zh-CN"/>
        </w:rPr>
        <w:t>和《爱知生物多样性指标》的重要性，</w:t>
      </w:r>
    </w:p>
    <w:p w:rsidR="00496736" w:rsidRPr="00496736" w:rsidRDefault="00496736" w:rsidP="001A42F8">
      <w:pPr>
        <w:numPr>
          <w:ilvl w:val="0"/>
          <w:numId w:val="228"/>
        </w:numPr>
        <w:adjustRightInd w:val="0"/>
        <w:spacing w:line="240" w:lineRule="atLeast"/>
        <w:ind w:left="0" w:firstLine="720"/>
        <w:rPr>
          <w:rFonts w:eastAsiaTheme="minorEastAsia"/>
          <w:lang w:eastAsia="zh-CN"/>
        </w:rPr>
      </w:pPr>
      <w:r w:rsidRPr="00496736">
        <w:rPr>
          <w:rFonts w:ascii="KaiTi" w:eastAsia="KaiTi" w:hAnsi="KaiTi"/>
          <w:lang w:eastAsia="zh-CN"/>
        </w:rPr>
        <w:t>表示注意到</w:t>
      </w:r>
      <w:r w:rsidRPr="00496736">
        <w:rPr>
          <w:rFonts w:eastAsiaTheme="minorEastAsia"/>
          <w:lang w:eastAsia="zh-CN"/>
        </w:rPr>
        <w:t>本决定附件中所载用于查明、监测和评估土著人民和地方社区对实现《</w:t>
      </w:r>
      <w:r w:rsidRPr="00496736">
        <w:rPr>
          <w:rFonts w:eastAsiaTheme="minorEastAsia"/>
          <w:lang w:eastAsia="zh-CN"/>
        </w:rPr>
        <w:t>2011-2020</w:t>
      </w:r>
      <w:r w:rsidRPr="00496736">
        <w:rPr>
          <w:rFonts w:eastAsiaTheme="minorEastAsia"/>
          <w:lang w:eastAsia="zh-CN"/>
        </w:rPr>
        <w:t>年生物多样性战略计划》各项目标和《爱知生物多样性指标》的贡献的方法指导要素非详尽指示性清单；</w:t>
      </w:r>
    </w:p>
    <w:p w:rsidR="00496736" w:rsidRPr="00496736" w:rsidRDefault="00496736" w:rsidP="001A42F8">
      <w:pPr>
        <w:numPr>
          <w:ilvl w:val="0"/>
          <w:numId w:val="228"/>
        </w:numPr>
        <w:adjustRightInd w:val="0"/>
        <w:spacing w:line="240" w:lineRule="atLeast"/>
        <w:ind w:left="0" w:firstLine="720"/>
        <w:rPr>
          <w:rFonts w:eastAsiaTheme="minorEastAsia"/>
          <w:lang w:eastAsia="zh-CN"/>
        </w:rPr>
      </w:pPr>
      <w:r w:rsidRPr="00496736">
        <w:rPr>
          <w:rFonts w:ascii="KaiTi" w:eastAsia="KaiTi" w:hAnsi="KaiTi"/>
          <w:lang w:eastAsia="zh-CN"/>
        </w:rPr>
        <w:t>鼓励</w:t>
      </w:r>
      <w:r w:rsidRPr="00496736">
        <w:rPr>
          <w:rFonts w:eastAsiaTheme="minorEastAsia"/>
          <w:lang w:eastAsia="zh-CN"/>
        </w:rPr>
        <w:t>各缔约方、其他国家政府和相关利益攸关方利用第</w:t>
      </w:r>
      <w:r w:rsidRPr="00496736">
        <w:rPr>
          <w:rFonts w:eastAsiaTheme="minorEastAsia"/>
          <w:lang w:eastAsia="zh-CN"/>
        </w:rPr>
        <w:t>XIII/20</w:t>
      </w:r>
      <w:r w:rsidRPr="00496736">
        <w:rPr>
          <w:rFonts w:eastAsiaTheme="minorEastAsia"/>
          <w:lang w:eastAsia="zh-CN"/>
        </w:rPr>
        <w:t>号决定附件所载关于评估土著人民和地方社区集体行动的贡献的指导原则，并在设计和应用评估土著人民和地方社区对实现《</w:t>
      </w:r>
      <w:r w:rsidRPr="00496736">
        <w:rPr>
          <w:rFonts w:eastAsiaTheme="minorEastAsia"/>
          <w:lang w:eastAsia="zh-CN"/>
        </w:rPr>
        <w:t>2011-2020</w:t>
      </w:r>
      <w:r w:rsidRPr="00496736">
        <w:rPr>
          <w:rFonts w:eastAsiaTheme="minorEastAsia"/>
          <w:lang w:eastAsia="zh-CN"/>
        </w:rPr>
        <w:t>年生物多样性战略计划和爱知生物多样性指标》所作贡献的方法以及在通过财务报告机制提交报告时，考虑使用本决定附件所载方法指导要素非详尽指示性清单。</w:t>
      </w:r>
    </w:p>
    <w:p w:rsidR="00496736" w:rsidRPr="00496736" w:rsidRDefault="00496736" w:rsidP="001A42F8">
      <w:pPr>
        <w:numPr>
          <w:ilvl w:val="0"/>
          <w:numId w:val="228"/>
        </w:numPr>
        <w:adjustRightInd w:val="0"/>
        <w:spacing w:line="240" w:lineRule="atLeast"/>
        <w:ind w:left="0" w:firstLine="720"/>
        <w:rPr>
          <w:rFonts w:eastAsiaTheme="minorEastAsia"/>
          <w:lang w:eastAsia="zh-CN"/>
        </w:rPr>
      </w:pPr>
      <w:r w:rsidRPr="00496736">
        <w:rPr>
          <w:rFonts w:ascii="KaiTi" w:eastAsia="KaiTi" w:hAnsi="KaiTi"/>
          <w:lang w:eastAsia="zh-CN"/>
        </w:rPr>
        <w:t>邀请</w:t>
      </w:r>
      <w:r w:rsidRPr="00496736">
        <w:rPr>
          <w:rFonts w:eastAsiaTheme="minorEastAsia"/>
          <w:lang w:eastAsia="zh-CN"/>
        </w:rPr>
        <w:t>生物多样性和生态系统服务政府间科学政策平台（政府间科学政策平台）考虑本决定附件所载的方法指导要素清单。</w:t>
      </w:r>
    </w:p>
    <w:p w:rsidR="00496736" w:rsidRPr="00032205" w:rsidRDefault="00496736" w:rsidP="000932B0">
      <w:pPr>
        <w:ind w:firstLine="0"/>
        <w:jc w:val="center"/>
        <w:rPr>
          <w:rFonts w:ascii="KaiTi" w:eastAsia="KaiTi" w:hAnsi="KaiTi"/>
          <w:lang w:eastAsia="zh-CN"/>
        </w:rPr>
      </w:pPr>
      <w:r w:rsidRPr="00032205">
        <w:rPr>
          <w:rFonts w:ascii="KaiTi" w:eastAsia="KaiTi" w:hAnsi="KaiTi" w:hint="eastAsia"/>
          <w:lang w:eastAsia="zh-CN"/>
        </w:rPr>
        <w:t>附件</w:t>
      </w:r>
    </w:p>
    <w:p w:rsidR="00496736" w:rsidRPr="00496736" w:rsidRDefault="00496736" w:rsidP="000932B0">
      <w:pPr>
        <w:widowControl w:val="0"/>
        <w:overflowPunct w:val="0"/>
        <w:autoSpaceDE w:val="0"/>
        <w:autoSpaceDN w:val="0"/>
        <w:adjustRightInd w:val="0"/>
        <w:ind w:firstLine="0"/>
        <w:jc w:val="center"/>
        <w:textAlignment w:val="baseline"/>
        <w:rPr>
          <w:rFonts w:eastAsiaTheme="minorEastAsia"/>
          <w:b/>
          <w:lang w:eastAsia="zh-CN"/>
        </w:rPr>
      </w:pPr>
      <w:r w:rsidRPr="00496736">
        <w:rPr>
          <w:rFonts w:eastAsiaTheme="minorEastAsia"/>
          <w:b/>
          <w:lang w:eastAsia="zh-CN"/>
        </w:rPr>
        <w:t>方法指导要素清单</w:t>
      </w:r>
    </w:p>
    <w:p w:rsidR="00496736" w:rsidRPr="00496736" w:rsidRDefault="00496736" w:rsidP="00496736">
      <w:pPr>
        <w:widowControl w:val="0"/>
        <w:adjustRightInd w:val="0"/>
        <w:spacing w:line="240" w:lineRule="atLeast"/>
        <w:ind w:firstLine="0"/>
        <w:rPr>
          <w:rFonts w:eastAsiaTheme="minorEastAsia"/>
          <w:lang w:eastAsia="zh-CN"/>
        </w:rPr>
      </w:pPr>
      <w:r w:rsidRPr="00496736">
        <w:rPr>
          <w:rFonts w:eastAsiaTheme="minorEastAsia"/>
          <w:lang w:eastAsia="zh-CN"/>
        </w:rPr>
        <w:tab/>
      </w:r>
      <w:r w:rsidRPr="00496736">
        <w:rPr>
          <w:rFonts w:eastAsiaTheme="minorEastAsia"/>
          <w:lang w:eastAsia="zh-CN"/>
        </w:rPr>
        <w:t>鼓励以生物多样性公约缔约方大会第</w:t>
      </w:r>
      <w:r w:rsidRPr="00496736">
        <w:rPr>
          <w:rFonts w:eastAsiaTheme="minorEastAsia"/>
          <w:iCs/>
          <w:snapToGrid w:val="0"/>
          <w:kern w:val="22"/>
          <w:lang w:eastAsia="zh-CN"/>
        </w:rPr>
        <w:t>XIII/20</w:t>
      </w:r>
      <w:r w:rsidRPr="00496736">
        <w:rPr>
          <w:rFonts w:eastAsiaTheme="minorEastAsia"/>
          <w:iCs/>
          <w:snapToGrid w:val="0"/>
          <w:kern w:val="22"/>
          <w:lang w:eastAsia="zh-CN"/>
        </w:rPr>
        <w:t>号决定所载</w:t>
      </w:r>
      <w:r w:rsidRPr="00496736">
        <w:rPr>
          <w:rFonts w:eastAsiaTheme="minorEastAsia"/>
          <w:lang w:eastAsia="zh-CN"/>
        </w:rPr>
        <w:t>指导原则为框架和指南，根据国情设计和应用用于查明、监测和评估土著人民和地方社区对实现《</w:t>
      </w:r>
      <w:r w:rsidRPr="00496736">
        <w:rPr>
          <w:rFonts w:eastAsiaTheme="minorEastAsia"/>
          <w:lang w:eastAsia="zh-CN"/>
        </w:rPr>
        <w:t>2011-2020</w:t>
      </w:r>
      <w:r w:rsidRPr="00496736">
        <w:rPr>
          <w:rFonts w:eastAsiaTheme="minorEastAsia"/>
          <w:lang w:eastAsia="zh-CN"/>
        </w:rPr>
        <w:t>年生物多样性战略计划和爱知生物多样性指标》所作贡献的方法，并请在其设计和应用中考虑下列方法要素非详尽指示性清单：</w:t>
      </w:r>
    </w:p>
    <w:p w:rsidR="00496736" w:rsidRPr="00496736" w:rsidRDefault="00496736" w:rsidP="00496736">
      <w:pPr>
        <w:pStyle w:val="ListParagraph"/>
        <w:widowControl w:val="0"/>
        <w:numPr>
          <w:ilvl w:val="1"/>
          <w:numId w:val="8"/>
        </w:numPr>
        <w:adjustRightInd w:val="0"/>
        <w:snapToGrid w:val="0"/>
        <w:spacing w:line="240" w:lineRule="atLeast"/>
        <w:ind w:left="0"/>
        <w:rPr>
          <w:rFonts w:eastAsiaTheme="minorEastAsia"/>
          <w:lang w:eastAsia="zh-CN"/>
        </w:rPr>
      </w:pPr>
      <w:r w:rsidRPr="00496736">
        <w:rPr>
          <w:rFonts w:eastAsiaTheme="minorEastAsia"/>
          <w:lang w:eastAsia="zh-CN"/>
        </w:rPr>
        <w:t>承认并充分纳入传统知识，确保知识体系之间的互补性，并为包括科学在内的知识体系之间的有效对话和能从一开始便共同创造知识的进程创造条件；</w:t>
      </w:r>
    </w:p>
    <w:p w:rsidR="00496736" w:rsidRPr="00496736" w:rsidRDefault="00496736" w:rsidP="00496736">
      <w:pPr>
        <w:pStyle w:val="ListParagraph"/>
        <w:widowControl w:val="0"/>
        <w:numPr>
          <w:ilvl w:val="1"/>
          <w:numId w:val="8"/>
        </w:numPr>
        <w:adjustRightInd w:val="0"/>
        <w:snapToGrid w:val="0"/>
        <w:spacing w:line="240" w:lineRule="atLeast"/>
        <w:ind w:left="0"/>
        <w:rPr>
          <w:rFonts w:eastAsiaTheme="minorEastAsia"/>
          <w:lang w:eastAsia="zh-CN"/>
        </w:rPr>
      </w:pPr>
      <w:r w:rsidRPr="00496736">
        <w:rPr>
          <w:rFonts w:eastAsiaTheme="minorEastAsia"/>
          <w:lang w:eastAsia="zh-CN"/>
        </w:rPr>
        <w:t>考虑到国情的多样性以及土著人民和地方社区文化的多样性，根据具体情况列出多种方法，并因地制宜地予以应用；</w:t>
      </w:r>
    </w:p>
    <w:p w:rsidR="00496736" w:rsidRPr="00496736" w:rsidRDefault="00496736" w:rsidP="00496736">
      <w:pPr>
        <w:pStyle w:val="ListParagraph"/>
        <w:widowControl w:val="0"/>
        <w:numPr>
          <w:ilvl w:val="1"/>
          <w:numId w:val="8"/>
        </w:numPr>
        <w:adjustRightInd w:val="0"/>
        <w:snapToGrid w:val="0"/>
        <w:spacing w:line="240" w:lineRule="atLeast"/>
        <w:ind w:left="0"/>
        <w:rPr>
          <w:rFonts w:eastAsiaTheme="minorEastAsia"/>
          <w:lang w:eastAsia="zh-CN"/>
        </w:rPr>
      </w:pPr>
      <w:r w:rsidRPr="00496736">
        <w:rPr>
          <w:rFonts w:eastAsiaTheme="minorEastAsia"/>
          <w:lang w:eastAsia="zh-CN"/>
        </w:rPr>
        <w:t>承认与生物多样性的保护和可持续利用相关联的价值相关的多种观点和世界观，包括社会、经济、文化和精神价值，并将这种价值反映在方法和工具的选择中；</w:t>
      </w:r>
    </w:p>
    <w:p w:rsidR="00496736" w:rsidRPr="00496736" w:rsidRDefault="00496736" w:rsidP="00496736">
      <w:pPr>
        <w:pStyle w:val="ListParagraph"/>
        <w:widowControl w:val="0"/>
        <w:numPr>
          <w:ilvl w:val="1"/>
          <w:numId w:val="8"/>
        </w:numPr>
        <w:adjustRightInd w:val="0"/>
        <w:snapToGrid w:val="0"/>
        <w:spacing w:line="240" w:lineRule="atLeast"/>
        <w:ind w:left="0"/>
        <w:rPr>
          <w:rFonts w:eastAsiaTheme="minorEastAsia"/>
          <w:lang w:eastAsia="zh-CN"/>
        </w:rPr>
      </w:pPr>
      <w:r w:rsidRPr="00496736">
        <w:rPr>
          <w:rFonts w:eastAsiaTheme="minorEastAsia"/>
          <w:lang w:eastAsia="zh-CN"/>
        </w:rPr>
        <w:lastRenderedPageBreak/>
        <w:t>使用混合研究方法和可处理不同类型的数据特别是结合定量和定性信息和数据的其他方法；</w:t>
      </w:r>
    </w:p>
    <w:p w:rsidR="00496736" w:rsidRPr="00496736" w:rsidRDefault="00496736" w:rsidP="00496736">
      <w:pPr>
        <w:pStyle w:val="ListParagraph"/>
        <w:widowControl w:val="0"/>
        <w:numPr>
          <w:ilvl w:val="1"/>
          <w:numId w:val="8"/>
        </w:numPr>
        <w:adjustRightInd w:val="0"/>
        <w:snapToGrid w:val="0"/>
        <w:spacing w:line="240" w:lineRule="atLeast"/>
        <w:ind w:left="0"/>
        <w:rPr>
          <w:rFonts w:eastAsiaTheme="minorEastAsia"/>
          <w:lang w:eastAsia="zh-CN"/>
        </w:rPr>
      </w:pPr>
      <w:r w:rsidRPr="00496736">
        <w:rPr>
          <w:rFonts w:eastAsiaTheme="minorEastAsia"/>
          <w:lang w:eastAsia="zh-CN"/>
        </w:rPr>
        <w:t>采用多尺度做法、流程和工具捕捉和评估地方情况，同时考虑地方情况与国家和国家以下级政策框架的联系；</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lang w:eastAsia="zh-CN"/>
        </w:rPr>
      </w:pPr>
      <w:r w:rsidRPr="00496736">
        <w:rPr>
          <w:rFonts w:eastAsiaTheme="minorEastAsia"/>
          <w:lang w:eastAsia="zh-CN"/>
        </w:rPr>
        <w:t>酌情通过试点项目测试和改进方法，认识到这是一个新兴领域，需要在经验教训和各种情况中加以发展；</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lang w:eastAsia="zh-CN"/>
        </w:rPr>
      </w:pPr>
      <w:r w:rsidRPr="00496736">
        <w:rPr>
          <w:rFonts w:eastAsiaTheme="minorEastAsia"/>
          <w:lang w:eastAsia="zh-CN"/>
        </w:rPr>
        <w:t>确保土著人民和地方社区全程充分有效参与这些方法的开发和应用，并特别关注妇女、青年、老年和社区所有其他群体的参与；</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lang w:eastAsia="zh-CN"/>
        </w:rPr>
      </w:pPr>
      <w:r w:rsidRPr="00496736">
        <w:rPr>
          <w:rFonts w:eastAsiaTheme="minorEastAsia"/>
          <w:lang w:eastAsia="zh-CN"/>
        </w:rPr>
        <w:t>通过青年、老年和其他群体的参与，鼓励评估过程中的代际互动，以促进学习，协助保护和促进传统知识、创新和做法的代际传承；</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lang w:eastAsia="zh-CN"/>
        </w:rPr>
      </w:pPr>
      <w:r w:rsidRPr="00496736">
        <w:rPr>
          <w:rFonts w:eastAsiaTheme="minorEastAsia"/>
          <w:lang w:eastAsia="zh-CN"/>
        </w:rPr>
        <w:t>在评估中列入对按性别区分的角色的分析，探索加强性别平等的机会和条件；</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lang w:eastAsia="zh-CN"/>
        </w:rPr>
      </w:pPr>
      <w:r w:rsidRPr="00496736">
        <w:rPr>
          <w:rFonts w:eastAsiaTheme="minorEastAsia"/>
          <w:lang w:eastAsia="zh-CN"/>
        </w:rPr>
        <w:t>承认集体行动与可持续习惯使用有关，成果可能很广泛，涵盖生计、粮食安全以及身心健康等事项；</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lang w:eastAsia="zh-CN"/>
        </w:rPr>
      </w:pPr>
      <w:r w:rsidRPr="00496736">
        <w:rPr>
          <w:rFonts w:eastAsiaTheme="minorEastAsia"/>
          <w:lang w:eastAsia="zh-CN"/>
        </w:rPr>
        <w:t>努力促进承认权利，特别是土地保有权</w:t>
      </w:r>
      <w:r w:rsidRPr="00496736">
        <w:rPr>
          <w:rFonts w:eastAsiaTheme="minorEastAsia"/>
          <w:vertAlign w:val="superscript"/>
        </w:rPr>
        <w:footnoteReference w:id="239"/>
      </w:r>
      <w:r w:rsidRPr="00496736">
        <w:rPr>
          <w:rFonts w:eastAsiaTheme="minorEastAsia"/>
          <w:vertAlign w:val="superscript"/>
          <w:lang w:eastAsia="zh-CN"/>
        </w:rPr>
        <w:t xml:space="preserve"> </w:t>
      </w:r>
      <w:r w:rsidRPr="00496736">
        <w:rPr>
          <w:rFonts w:eastAsiaTheme="minorEastAsia"/>
          <w:lang w:eastAsia="zh-CN"/>
        </w:rPr>
        <w:t>和习惯资源获取权，</w:t>
      </w:r>
      <w:r w:rsidRPr="00496736">
        <w:rPr>
          <w:rFonts w:eastAsiaTheme="minorEastAsia"/>
          <w:vertAlign w:val="superscript"/>
        </w:rPr>
        <w:footnoteReference w:id="240"/>
      </w:r>
      <w:r w:rsidRPr="00496736">
        <w:rPr>
          <w:rFonts w:eastAsiaTheme="minorEastAsia"/>
          <w:vertAlign w:val="superscript"/>
          <w:lang w:eastAsia="zh-CN"/>
        </w:rPr>
        <w:t xml:space="preserve"> </w:t>
      </w:r>
      <w:r w:rsidRPr="00496736">
        <w:rPr>
          <w:rFonts w:eastAsiaTheme="minorEastAsia"/>
          <w:lang w:eastAsia="zh-CN"/>
        </w:rPr>
        <w:t>促进其对集体行动的效力的影响，通过提高社区权能推动保有权和获取权；</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lang w:eastAsia="zh-CN"/>
        </w:rPr>
      </w:pPr>
      <w:r w:rsidRPr="00496736">
        <w:rPr>
          <w:rFonts w:eastAsiaTheme="minorEastAsia"/>
          <w:lang w:eastAsia="zh-CN"/>
        </w:rPr>
        <w:t>纳入治理评估的其他相关要素，特别是习惯治理制度的作用、特点和活力；</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lang w:eastAsia="zh-CN"/>
        </w:rPr>
      </w:pPr>
      <w:r w:rsidRPr="00496736">
        <w:rPr>
          <w:rFonts w:eastAsiaTheme="minorEastAsia"/>
          <w:lang w:eastAsia="zh-CN"/>
        </w:rPr>
        <w:t>在评估中纳入查找影响集体行动的实际或潜在冲突，利用评估过程加强可能存在利益冲突群体之间的对话，并进一步寻找机会通过对话与合作包括通过文化上适当的冲突解决机制解决冲突；</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lang w:eastAsia="zh-CN"/>
        </w:rPr>
      </w:pPr>
      <w:r w:rsidRPr="00496736">
        <w:rPr>
          <w:rFonts w:eastAsiaTheme="minorEastAsia"/>
          <w:lang w:eastAsia="zh-CN"/>
        </w:rPr>
        <w:t>考虑既侧重于土著人民和地方社区所拥有、占有或使用的土地和资源，又侧重于诸如跨生境的物种并依靠集体行动的生物多样性的具体组成部分；</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lang w:eastAsia="zh-CN"/>
        </w:rPr>
      </w:pPr>
      <w:r w:rsidRPr="00496736">
        <w:rPr>
          <w:rFonts w:eastAsiaTheme="minorEastAsia"/>
          <w:lang w:eastAsia="zh-CN"/>
        </w:rPr>
        <w:t>在顾及国家技术和持续能力的情况下，考虑使用各种形式的地理空间分析进行地区评估，将技术工具与传统知识相结合，并寻求在社区直接能够参与的情况下让其能够获得这些分析；</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lang w:eastAsia="zh-CN"/>
        </w:rPr>
      </w:pPr>
      <w:r w:rsidRPr="00496736">
        <w:rPr>
          <w:rFonts w:eastAsiaTheme="minorEastAsia"/>
          <w:lang w:eastAsia="zh-CN"/>
        </w:rPr>
        <w:t>推动制定健全的集体行动评估指标和衡量标准系统，结合不同类型的指标</w:t>
      </w:r>
      <w:r w:rsidRPr="00496736">
        <w:rPr>
          <w:rFonts w:eastAsiaTheme="minorEastAsia"/>
          <w:lang w:eastAsia="zh-CN"/>
        </w:rPr>
        <w:t>——</w:t>
      </w:r>
      <w:r w:rsidRPr="00496736">
        <w:rPr>
          <w:rFonts w:eastAsiaTheme="minorEastAsia"/>
          <w:lang w:eastAsia="zh-CN"/>
        </w:rPr>
        <w:t>定量和定性、过程和结果、单一和整体</w:t>
      </w:r>
      <w:r w:rsidRPr="00496736">
        <w:rPr>
          <w:rFonts w:eastAsiaTheme="minorEastAsia"/>
          <w:lang w:eastAsia="zh-CN"/>
        </w:rPr>
        <w:t>——</w:t>
      </w:r>
      <w:r w:rsidRPr="00496736">
        <w:rPr>
          <w:rFonts w:eastAsiaTheme="minorEastAsia"/>
          <w:lang w:eastAsia="zh-CN"/>
        </w:rPr>
        <w:t>并整合基于文化、反映社区价值体系和特殊情景的指标，还要注意到长期使用一致的指标有助于从时间尺度进行比较，设立基线有助于更好评估变化或趋势；</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lang w:eastAsia="zh-CN"/>
        </w:rPr>
      </w:pPr>
      <w:r w:rsidRPr="00496736">
        <w:rPr>
          <w:rFonts w:eastAsiaTheme="minorEastAsia"/>
          <w:lang w:eastAsia="zh-CN"/>
        </w:rPr>
        <w:lastRenderedPageBreak/>
        <w:t>在评估中整合各种方法，分析变化的状态和趋势，了解变化的驱动因素和达成成功结果的条件；</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lang w:eastAsia="zh-CN"/>
        </w:rPr>
      </w:pPr>
      <w:r w:rsidRPr="00496736">
        <w:rPr>
          <w:rFonts w:eastAsiaTheme="minorEastAsia"/>
          <w:lang w:eastAsia="zh-CN"/>
        </w:rPr>
        <w:t>酌情推进制定因地制宜的估值方法，确保考虑生物多样性对社区及其集体行动的全部价值，利用估值结果促进对集体行动的尊重、承认和支持；</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lang w:eastAsia="zh-CN"/>
        </w:rPr>
      </w:pPr>
      <w:r w:rsidRPr="00496736">
        <w:rPr>
          <w:rFonts w:eastAsiaTheme="minorEastAsia"/>
          <w:lang w:eastAsia="zh-CN"/>
        </w:rPr>
        <w:t>考虑将对具体情况中的强项和威胁的分析列入评估之中，以期更好地了解哪些因素和条件需要加强或给与更多支持；</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color w:val="000000"/>
          <w:lang w:eastAsia="zh-CN"/>
        </w:rPr>
      </w:pPr>
      <w:r w:rsidRPr="00496736">
        <w:rPr>
          <w:rFonts w:eastAsiaTheme="minorEastAsia"/>
          <w:lang w:eastAsia="zh-CN"/>
        </w:rPr>
        <w:t>鼓励不同办法之间的协作、交流、相互学习和网络连接，并寻求增进协同效应和并行成果；</w:t>
      </w:r>
    </w:p>
    <w:p w:rsidR="00496736" w:rsidRPr="00496736" w:rsidRDefault="00496736" w:rsidP="00496736">
      <w:pPr>
        <w:pStyle w:val="ListParagraph"/>
        <w:widowControl w:val="0"/>
        <w:numPr>
          <w:ilvl w:val="1"/>
          <w:numId w:val="8"/>
        </w:numPr>
        <w:adjustRightInd w:val="0"/>
        <w:snapToGrid w:val="0"/>
        <w:spacing w:line="240" w:lineRule="atLeast"/>
        <w:ind w:left="0"/>
        <w:jc w:val="left"/>
        <w:rPr>
          <w:rFonts w:eastAsiaTheme="minorEastAsia"/>
          <w:color w:val="000000"/>
          <w:lang w:eastAsia="zh-CN"/>
        </w:rPr>
      </w:pPr>
      <w:r w:rsidRPr="00496736">
        <w:rPr>
          <w:rFonts w:eastAsiaTheme="minorEastAsia"/>
          <w:snapToGrid w:val="0"/>
          <w:kern w:val="22"/>
          <w:lang w:eastAsia="zh-CN"/>
        </w:rPr>
        <w:t>酌情考虑能力建设和技术转让，以确保新信息，包括科学和技术，增进土著人民和地方社区的赋权、复原力和自给自足。</w:t>
      </w:r>
    </w:p>
    <w:p w:rsidR="00DE3278" w:rsidRDefault="00DE3278" w:rsidP="00912BCC">
      <w:pPr>
        <w:adjustRightInd w:val="0"/>
        <w:jc w:val="center"/>
        <w:rPr>
          <w:kern w:val="22"/>
          <w:lang w:eastAsia="zh-CN"/>
        </w:rPr>
      </w:pPr>
      <w:r>
        <w:rPr>
          <w:rFonts w:hint="eastAsia"/>
          <w:kern w:val="22"/>
          <w:lang w:eastAsia="zh-CN"/>
        </w:rPr>
        <w:t xml:space="preserve"> </w:t>
      </w:r>
    </w:p>
    <w:p w:rsidR="00912BCC" w:rsidRDefault="00912BCC">
      <w:pPr>
        <w:rPr>
          <w:b/>
          <w:bCs/>
          <w:noProof/>
          <w:kern w:val="22"/>
          <w:szCs w:val="32"/>
          <w:lang w:eastAsia="zh-CN"/>
        </w:rPr>
      </w:pPr>
      <w:r>
        <w:rPr>
          <w:noProof/>
          <w:kern w:val="22"/>
          <w:lang w:eastAsia="zh-CN"/>
        </w:rPr>
        <w:br w:type="page"/>
      </w:r>
    </w:p>
    <w:p w:rsidR="00821067" w:rsidRPr="003C3F9A" w:rsidRDefault="00102C6C" w:rsidP="00B16A3B">
      <w:pPr>
        <w:pStyle w:val="Heading1"/>
        <w:tabs>
          <w:tab w:val="left" w:pos="1980"/>
        </w:tabs>
        <w:adjustRightInd w:val="0"/>
        <w:spacing w:before="120" w:after="120"/>
        <w:ind w:left="1987" w:right="994" w:hanging="907"/>
        <w:jc w:val="left"/>
        <w:rPr>
          <w:rFonts w:eastAsiaTheme="minorEastAsia" w:cs="Times New Roman"/>
          <w:noProof/>
          <w:kern w:val="22"/>
          <w:sz w:val="24"/>
          <w:lang w:eastAsia="zh-CN"/>
        </w:rPr>
      </w:pPr>
      <w:bookmarkStart w:id="178" w:name="_Toc6243769"/>
      <w:r>
        <w:rPr>
          <w:rFonts w:eastAsiaTheme="minorEastAsia" w:cs="Times New Roman"/>
          <w:noProof/>
          <w:kern w:val="22"/>
          <w:sz w:val="24"/>
          <w:lang w:eastAsia="zh-CN"/>
        </w:rPr>
        <w:lastRenderedPageBreak/>
        <w:t>14/17</w:t>
      </w:r>
      <w:r w:rsidR="00821067" w:rsidRPr="003C3F9A">
        <w:rPr>
          <w:rFonts w:eastAsiaTheme="minorEastAsia" w:cs="Times New Roman"/>
          <w:noProof/>
          <w:kern w:val="22"/>
          <w:sz w:val="24"/>
          <w:lang w:eastAsia="zh-CN"/>
        </w:rPr>
        <w:t xml:space="preserve">.     </w:t>
      </w:r>
      <w:r w:rsidR="00821067" w:rsidRPr="003C3F9A">
        <w:rPr>
          <w:rFonts w:eastAsiaTheme="minorEastAsia" w:cs="Times New Roman"/>
          <w:noProof/>
          <w:kern w:val="22"/>
          <w:sz w:val="24"/>
          <w:lang w:eastAsia="zh-CN"/>
        </w:rPr>
        <w:t>将与土著人民和地方社区有关的第</w:t>
      </w:r>
      <w:r w:rsidR="00821067" w:rsidRPr="003C3F9A">
        <w:rPr>
          <w:rFonts w:eastAsiaTheme="minorEastAsia" w:cs="Times New Roman"/>
          <w:noProof/>
          <w:sz w:val="24"/>
          <w:lang w:eastAsia="zh-CN"/>
        </w:rPr>
        <w:t>8(j)</w:t>
      </w:r>
      <w:r w:rsidR="00821067" w:rsidRPr="003C3F9A">
        <w:rPr>
          <w:rFonts w:eastAsiaTheme="minorEastAsia" w:cs="Times New Roman"/>
          <w:noProof/>
          <w:kern w:val="22"/>
          <w:sz w:val="24"/>
          <w:lang w:eastAsia="zh-CN"/>
        </w:rPr>
        <w:t>条和相关条款纳入《公约》及其《议定书》的工作</w:t>
      </w:r>
      <w:bookmarkEnd w:id="178"/>
    </w:p>
    <w:p w:rsidR="00821067" w:rsidRDefault="00821067" w:rsidP="005F5897">
      <w:pPr>
        <w:pStyle w:val="Para1"/>
        <w:tabs>
          <w:tab w:val="clear" w:pos="360"/>
        </w:tabs>
        <w:adjustRightInd w:val="0"/>
        <w:rPr>
          <w:rFonts w:hAnsi="SimSun"/>
          <w:i/>
          <w:noProof/>
          <w:kern w:val="22"/>
          <w:sz w:val="24"/>
          <w:szCs w:val="24"/>
          <w:lang w:eastAsia="zh-CN"/>
        </w:rPr>
      </w:pPr>
      <w:r w:rsidRPr="004C4203">
        <w:rPr>
          <w:rFonts w:ascii="KaiTi" w:eastAsia="KaiTi" w:hAnsi="KaiTi"/>
          <w:kern w:val="22"/>
          <w:sz w:val="24"/>
          <w:szCs w:val="24"/>
          <w:lang w:val="zh-CN" w:eastAsia="zh-CN"/>
        </w:rPr>
        <w:t>缔约方大会</w:t>
      </w:r>
      <w:r w:rsidRPr="004C4203">
        <w:rPr>
          <w:rFonts w:hAnsi="SimSun"/>
          <w:noProof/>
          <w:kern w:val="22"/>
          <w:sz w:val="24"/>
          <w:szCs w:val="24"/>
          <w:lang w:eastAsia="zh-CN"/>
        </w:rPr>
        <w:t>，</w:t>
      </w:r>
    </w:p>
    <w:p w:rsidR="00821067" w:rsidRPr="003C3F9A" w:rsidRDefault="00821067" w:rsidP="005F5897">
      <w:pPr>
        <w:tabs>
          <w:tab w:val="left" w:pos="1440"/>
        </w:tabs>
        <w:topLinePunct/>
        <w:adjustRightInd w:val="0"/>
        <w:rPr>
          <w:rFonts w:eastAsiaTheme="minorEastAsia"/>
          <w:kern w:val="22"/>
          <w:lang w:eastAsia="zh-CN"/>
        </w:rPr>
      </w:pPr>
      <w:r w:rsidRPr="00102C6C">
        <w:rPr>
          <w:rFonts w:ascii="KaiTi" w:eastAsia="KaiTi" w:hAnsi="KaiTi"/>
          <w:lang w:eastAsia="zh-CN"/>
        </w:rPr>
        <w:t>回顾</w:t>
      </w:r>
      <w:r w:rsidRPr="003C3F9A">
        <w:rPr>
          <w:rFonts w:eastAsiaTheme="minorEastAsia"/>
          <w:iCs/>
          <w:kern w:val="22"/>
          <w:lang w:eastAsia="zh-CN"/>
        </w:rPr>
        <w:t>制定</w:t>
      </w:r>
      <w:r w:rsidRPr="003C3F9A">
        <w:rPr>
          <w:rFonts w:eastAsiaTheme="minorEastAsia"/>
          <w:kern w:val="22"/>
          <w:lang w:eastAsia="zh-CN"/>
        </w:rPr>
        <w:t>第</w:t>
      </w:r>
      <w:r w:rsidRPr="003C3F9A">
        <w:rPr>
          <w:rFonts w:eastAsiaTheme="minorEastAsia"/>
          <w:kern w:val="22"/>
          <w:lang w:eastAsia="zh-CN"/>
        </w:rPr>
        <w:t>8(j)</w:t>
      </w:r>
      <w:r w:rsidRPr="003C3F9A">
        <w:rPr>
          <w:rFonts w:eastAsiaTheme="minorEastAsia"/>
          <w:kern w:val="22"/>
          <w:lang w:eastAsia="zh-CN"/>
        </w:rPr>
        <w:t>条和相关条款工作方案的</w:t>
      </w:r>
      <w:hyperlink r:id="rId77" w:history="1">
        <w:r w:rsidRPr="003C3F9A">
          <w:rPr>
            <w:rStyle w:val="Hyperlink"/>
            <w:rFonts w:eastAsiaTheme="minorEastAsia"/>
            <w:lang w:eastAsia="zh-CN"/>
          </w:rPr>
          <w:t>第</w:t>
        </w:r>
        <w:r w:rsidRPr="003C3F9A">
          <w:rPr>
            <w:rStyle w:val="Hyperlink"/>
            <w:rFonts w:eastAsiaTheme="minorEastAsia"/>
            <w:lang w:eastAsia="zh-CN"/>
          </w:rPr>
          <w:t>V/16</w:t>
        </w:r>
        <w:r w:rsidRPr="003C3F9A">
          <w:rPr>
            <w:rStyle w:val="Hyperlink"/>
            <w:rFonts w:eastAsiaTheme="minorEastAsia"/>
            <w:lang w:eastAsia="zh-CN"/>
          </w:rPr>
          <w:t>号决定</w:t>
        </w:r>
      </w:hyperlink>
      <w:r w:rsidRPr="003C3F9A">
        <w:rPr>
          <w:rFonts w:eastAsiaTheme="minorEastAsia"/>
          <w:kern w:val="22"/>
          <w:lang w:eastAsia="zh-CN"/>
        </w:rPr>
        <w:t>和订正</w:t>
      </w:r>
      <w:r w:rsidRPr="003C3F9A">
        <w:rPr>
          <w:rFonts w:eastAsiaTheme="minorEastAsia"/>
          <w:kern w:val="22"/>
          <w:lang w:eastAsia="zh-CN"/>
        </w:rPr>
        <w:t>2010-2020</w:t>
      </w:r>
      <w:r w:rsidRPr="003C3F9A">
        <w:rPr>
          <w:rFonts w:eastAsiaTheme="minorEastAsia"/>
          <w:kern w:val="22"/>
          <w:lang w:eastAsia="zh-CN"/>
        </w:rPr>
        <w:t>年多年期工作方案的</w:t>
      </w:r>
      <w:hyperlink r:id="rId78" w:history="1">
        <w:r w:rsidRPr="003C3F9A">
          <w:rPr>
            <w:rStyle w:val="Hyperlink"/>
            <w:rFonts w:eastAsiaTheme="minorEastAsia"/>
            <w:lang w:eastAsia="zh-CN"/>
          </w:rPr>
          <w:t>第</w:t>
        </w:r>
        <w:r w:rsidRPr="003C3F9A">
          <w:rPr>
            <w:rStyle w:val="Hyperlink"/>
            <w:rFonts w:eastAsiaTheme="minorEastAsia"/>
            <w:lang w:eastAsia="zh-CN"/>
          </w:rPr>
          <w:t>X/43</w:t>
        </w:r>
        <w:r w:rsidRPr="003C3F9A">
          <w:rPr>
            <w:rStyle w:val="Hyperlink"/>
            <w:rFonts w:eastAsiaTheme="minorEastAsia"/>
            <w:lang w:eastAsia="zh-CN"/>
          </w:rPr>
          <w:t>号决定</w:t>
        </w:r>
      </w:hyperlink>
      <w:r w:rsidRPr="003C3F9A">
        <w:rPr>
          <w:rFonts w:eastAsiaTheme="minorEastAsia"/>
          <w:kern w:val="22"/>
          <w:lang w:eastAsia="zh-CN"/>
        </w:rPr>
        <w:t>，</w:t>
      </w:r>
      <w:r w:rsidRPr="00102C6C">
        <w:rPr>
          <w:rStyle w:val="FootnoteReference"/>
          <w:rFonts w:eastAsiaTheme="minorEastAsia"/>
          <w:sz w:val="24"/>
          <w:u w:val="none"/>
          <w:vertAlign w:val="superscript"/>
        </w:rPr>
        <w:footnoteReference w:id="241"/>
      </w:r>
    </w:p>
    <w:p w:rsidR="00821067" w:rsidRPr="003C3F9A" w:rsidRDefault="00821067" w:rsidP="005F5897">
      <w:pPr>
        <w:tabs>
          <w:tab w:val="left" w:pos="1440"/>
        </w:tabs>
        <w:topLinePunct/>
        <w:adjustRightInd w:val="0"/>
        <w:rPr>
          <w:rFonts w:eastAsiaTheme="minorEastAsia"/>
          <w:kern w:val="22"/>
          <w:lang w:eastAsia="zh-CN"/>
        </w:rPr>
      </w:pPr>
      <w:r w:rsidRPr="00102C6C">
        <w:rPr>
          <w:rFonts w:ascii="KaiTi" w:eastAsia="KaiTi" w:hAnsi="KaiTi"/>
          <w:lang w:eastAsia="zh-CN"/>
        </w:rPr>
        <w:t>注意到</w:t>
      </w:r>
      <w:r w:rsidRPr="003C3F9A">
        <w:rPr>
          <w:rFonts w:eastAsiaTheme="minorEastAsia"/>
          <w:kern w:val="22"/>
          <w:lang w:eastAsia="zh-CN"/>
        </w:rPr>
        <w:t>多年期工作方案中推迟的任务</w:t>
      </w:r>
      <w:r w:rsidRPr="003C3F9A">
        <w:rPr>
          <w:rFonts w:eastAsiaTheme="minorEastAsia"/>
          <w:kern w:val="22"/>
          <w:lang w:eastAsia="zh-CN"/>
        </w:rPr>
        <w:t>6</w:t>
      </w:r>
      <w:r w:rsidRPr="003C3F9A">
        <w:rPr>
          <w:rFonts w:eastAsiaTheme="minorEastAsia"/>
          <w:kern w:val="22"/>
          <w:lang w:eastAsia="zh-CN"/>
        </w:rPr>
        <w:t>、</w:t>
      </w:r>
      <w:r w:rsidRPr="003C3F9A">
        <w:rPr>
          <w:rFonts w:eastAsiaTheme="minorEastAsia"/>
          <w:kern w:val="22"/>
          <w:lang w:eastAsia="zh-CN"/>
        </w:rPr>
        <w:t>11</w:t>
      </w:r>
      <w:r w:rsidRPr="003C3F9A">
        <w:rPr>
          <w:rFonts w:eastAsiaTheme="minorEastAsia"/>
          <w:kern w:val="22"/>
          <w:lang w:eastAsia="zh-CN"/>
        </w:rPr>
        <w:t>、</w:t>
      </w:r>
      <w:r w:rsidRPr="003C3F9A">
        <w:rPr>
          <w:rFonts w:eastAsiaTheme="minorEastAsia"/>
          <w:kern w:val="22"/>
          <w:lang w:eastAsia="zh-CN"/>
        </w:rPr>
        <w:t>13</w:t>
      </w:r>
      <w:r w:rsidRPr="003C3F9A">
        <w:rPr>
          <w:rFonts w:eastAsiaTheme="minorEastAsia"/>
          <w:kern w:val="22"/>
          <w:lang w:eastAsia="zh-CN"/>
        </w:rPr>
        <w:t>、</w:t>
      </w:r>
      <w:r w:rsidRPr="003C3F9A">
        <w:rPr>
          <w:rFonts w:eastAsiaTheme="minorEastAsia"/>
          <w:kern w:val="22"/>
          <w:lang w:eastAsia="zh-CN"/>
        </w:rPr>
        <w:t>14</w:t>
      </w:r>
      <w:r w:rsidRPr="003C3F9A">
        <w:rPr>
          <w:rFonts w:eastAsiaTheme="minorEastAsia"/>
          <w:kern w:val="22"/>
          <w:lang w:eastAsia="zh-CN"/>
        </w:rPr>
        <w:t>、</w:t>
      </w:r>
      <w:r w:rsidRPr="003C3F9A">
        <w:rPr>
          <w:rFonts w:eastAsiaTheme="minorEastAsia"/>
          <w:kern w:val="22"/>
          <w:lang w:eastAsia="zh-CN"/>
        </w:rPr>
        <w:t>17</w:t>
      </w:r>
      <w:r w:rsidRPr="003C3F9A">
        <w:rPr>
          <w:rFonts w:eastAsiaTheme="minorEastAsia"/>
          <w:kern w:val="22"/>
          <w:lang w:eastAsia="zh-CN"/>
        </w:rPr>
        <w:t>随着第</w:t>
      </w:r>
      <w:r w:rsidRPr="003C3F9A">
        <w:rPr>
          <w:rFonts w:eastAsiaTheme="minorEastAsia"/>
          <w:kern w:val="22"/>
          <w:lang w:eastAsia="zh-CN"/>
        </w:rPr>
        <w:t>8(j)</w:t>
      </w:r>
      <w:r w:rsidRPr="003C3F9A">
        <w:rPr>
          <w:rFonts w:eastAsiaTheme="minorEastAsia"/>
          <w:kern w:val="22"/>
          <w:lang w:eastAsia="zh-CN"/>
        </w:rPr>
        <w:t>条和相关条款工作方案下其他任务的完成而得到了处理，</w:t>
      </w:r>
    </w:p>
    <w:p w:rsidR="00821067" w:rsidRPr="003C3F9A" w:rsidRDefault="00821067" w:rsidP="005F5897">
      <w:pPr>
        <w:tabs>
          <w:tab w:val="left" w:pos="1440"/>
        </w:tabs>
        <w:topLinePunct/>
        <w:adjustRightInd w:val="0"/>
        <w:rPr>
          <w:rFonts w:eastAsiaTheme="minorEastAsia"/>
          <w:kern w:val="22"/>
          <w:lang w:eastAsia="zh-CN"/>
        </w:rPr>
      </w:pPr>
      <w:r w:rsidRPr="00102C6C">
        <w:rPr>
          <w:rFonts w:ascii="KaiTi" w:eastAsia="KaiTi" w:hAnsi="KaiTi"/>
          <w:lang w:eastAsia="zh-CN"/>
        </w:rPr>
        <w:t>认识到</w:t>
      </w:r>
      <w:r w:rsidRPr="003C3F9A">
        <w:rPr>
          <w:rFonts w:eastAsiaTheme="minorEastAsia"/>
          <w:kern w:val="22"/>
          <w:lang w:eastAsia="zh-CN"/>
        </w:rPr>
        <w:t>鉴于最新发展情况，</w:t>
      </w:r>
      <w:r w:rsidRPr="003C3F9A">
        <w:rPr>
          <w:rFonts w:eastAsiaTheme="minorEastAsia"/>
          <w:spacing w:val="20"/>
          <w:kern w:val="22"/>
          <w:lang w:eastAsia="zh-CN"/>
        </w:rPr>
        <w:t>包括《</w:t>
      </w:r>
      <w:r w:rsidRPr="003C3F9A">
        <w:rPr>
          <w:rFonts w:eastAsiaTheme="minorEastAsia"/>
          <w:spacing w:val="20"/>
          <w:kern w:val="22"/>
          <w:lang w:eastAsia="zh-CN"/>
        </w:rPr>
        <w:t>2030</w:t>
      </w:r>
      <w:r w:rsidRPr="003C3F9A">
        <w:rPr>
          <w:rFonts w:eastAsiaTheme="minorEastAsia"/>
          <w:spacing w:val="20"/>
          <w:kern w:val="22"/>
          <w:lang w:eastAsia="zh-CN"/>
        </w:rPr>
        <w:t>年可持续发展议程》及其目标</w:t>
      </w:r>
      <w:r w:rsidRPr="003C3F9A">
        <w:rPr>
          <w:rFonts w:eastAsiaTheme="minorEastAsia"/>
          <w:kern w:val="22"/>
          <w:lang w:eastAsia="zh-CN"/>
        </w:rPr>
        <w:t>、</w:t>
      </w:r>
      <w:r w:rsidRPr="003C3F9A">
        <w:rPr>
          <w:rFonts w:eastAsiaTheme="minorEastAsia"/>
          <w:kern w:val="22"/>
          <w:vertAlign w:val="superscript"/>
        </w:rPr>
        <w:footnoteReference w:id="242"/>
      </w:r>
      <w:r w:rsidRPr="003C3F9A">
        <w:rPr>
          <w:rFonts w:eastAsiaTheme="minorEastAsia"/>
          <w:kern w:val="22"/>
          <w:lang w:eastAsia="zh-CN"/>
        </w:rPr>
        <w:t xml:space="preserve"> </w:t>
      </w:r>
      <w:r w:rsidRPr="003C3F9A">
        <w:rPr>
          <w:rFonts w:eastAsiaTheme="minorEastAsia"/>
          <w:kern w:val="22"/>
          <w:lang w:eastAsia="zh-CN"/>
        </w:rPr>
        <w:t>《联合国气候变化框架公约》下的《巴黎协定》</w:t>
      </w:r>
      <w:r w:rsidRPr="003C3F9A">
        <w:rPr>
          <w:rStyle w:val="FootnoteReference"/>
          <w:rFonts w:eastAsiaTheme="minorEastAsia"/>
          <w:kern w:val="22"/>
          <w:szCs w:val="22"/>
          <w:vertAlign w:val="superscript"/>
          <w:lang w:eastAsia="ko-KR"/>
        </w:rPr>
        <w:footnoteReference w:id="243"/>
      </w:r>
      <w:r w:rsidRPr="003C3F9A">
        <w:rPr>
          <w:rFonts w:eastAsiaTheme="minorEastAsia"/>
          <w:kern w:val="22"/>
          <w:sz w:val="36"/>
          <w:lang w:eastAsia="zh-CN"/>
        </w:rPr>
        <w:t xml:space="preserve"> </w:t>
      </w:r>
      <w:r w:rsidRPr="003C3F9A">
        <w:rPr>
          <w:rFonts w:eastAsiaTheme="minorEastAsia"/>
          <w:kern w:val="22"/>
          <w:lang w:eastAsia="zh-CN"/>
        </w:rPr>
        <w:t>以及未来的</w:t>
      </w:r>
      <w:r w:rsidRPr="003C3F9A">
        <w:rPr>
          <w:rFonts w:eastAsiaTheme="minorEastAsia"/>
          <w:kern w:val="22"/>
          <w:lang w:eastAsia="zh-CN"/>
        </w:rPr>
        <w:t>2020</w:t>
      </w:r>
      <w:r w:rsidRPr="003C3F9A">
        <w:rPr>
          <w:rFonts w:eastAsiaTheme="minorEastAsia"/>
          <w:kern w:val="22"/>
          <w:lang w:eastAsia="zh-CN"/>
        </w:rPr>
        <w:t>年后生物多样性框架，需要更加整体、前瞻和统筹性的工作方案，</w:t>
      </w:r>
    </w:p>
    <w:p w:rsidR="00821067" w:rsidRPr="003C3F9A" w:rsidRDefault="00821067" w:rsidP="005F5897">
      <w:pPr>
        <w:widowControl w:val="0"/>
        <w:tabs>
          <w:tab w:val="left" w:pos="1440"/>
        </w:tabs>
        <w:topLinePunct/>
        <w:adjustRightInd w:val="0"/>
        <w:rPr>
          <w:rFonts w:eastAsiaTheme="minorEastAsia"/>
          <w:kern w:val="22"/>
          <w:lang w:eastAsia="zh-CN"/>
        </w:rPr>
      </w:pPr>
      <w:r w:rsidRPr="00102C6C">
        <w:rPr>
          <w:rFonts w:ascii="KaiTi" w:eastAsia="KaiTi" w:hAnsi="KaiTi"/>
          <w:lang w:eastAsia="zh-CN"/>
        </w:rPr>
        <w:t>考虑到</w:t>
      </w:r>
      <w:r w:rsidRPr="00102C6C">
        <w:rPr>
          <w:rFonts w:asciiTheme="minorEastAsia" w:eastAsiaTheme="minorEastAsia" w:hAnsiTheme="minorEastAsia"/>
          <w:kern w:val="22"/>
          <w:lang w:eastAsia="zh-CN"/>
        </w:rPr>
        <w:t>“</w:t>
      </w:r>
      <w:r w:rsidRPr="003C3F9A">
        <w:rPr>
          <w:rFonts w:eastAsiaTheme="minorEastAsia"/>
          <w:kern w:val="22"/>
          <w:lang w:eastAsia="zh-CN"/>
        </w:rPr>
        <w:t>土著和地方经验问题</w:t>
      </w:r>
      <w:r w:rsidRPr="003C3F9A">
        <w:rPr>
          <w:rFonts w:eastAsiaTheme="minorEastAsia"/>
          <w:snapToGrid w:val="0"/>
          <w:kern w:val="22"/>
          <w:lang w:eastAsia="zh-CN"/>
        </w:rPr>
        <w:t>Múuch’tambal</w:t>
      </w:r>
      <w:r w:rsidRPr="003C3F9A">
        <w:rPr>
          <w:rFonts w:eastAsiaTheme="minorEastAsia"/>
          <w:kern w:val="22"/>
          <w:lang w:eastAsia="zh-CN"/>
        </w:rPr>
        <w:t>峰会</w:t>
      </w:r>
      <w:r w:rsidRPr="003C3F9A">
        <w:rPr>
          <w:rFonts w:eastAsiaTheme="minorEastAsia"/>
          <w:kern w:val="22"/>
          <w:lang w:eastAsia="zh-CN"/>
        </w:rPr>
        <w:t>——</w:t>
      </w:r>
      <w:r w:rsidRPr="003C3F9A">
        <w:rPr>
          <w:rFonts w:eastAsiaTheme="minorEastAsia"/>
          <w:kern w:val="22"/>
          <w:lang w:eastAsia="zh-CN"/>
        </w:rPr>
        <w:t>传统知识、生物和文化多样性</w:t>
      </w:r>
      <w:r w:rsidRPr="003C3F9A">
        <w:rPr>
          <w:rFonts w:eastAsiaTheme="minorEastAsia"/>
          <w:kern w:val="22"/>
          <w:lang w:eastAsia="zh-CN"/>
        </w:rPr>
        <w:t>——</w:t>
      </w:r>
      <w:r w:rsidRPr="003C3F9A">
        <w:rPr>
          <w:rFonts w:eastAsiaTheme="minorEastAsia"/>
          <w:kern w:val="22"/>
          <w:lang w:eastAsia="zh-CN"/>
        </w:rPr>
        <w:t>将传统知识、创新和做法的贡献纳入农业、渔业、林业和旅游部门的主流，为增进福祉而保护和可持续利用生物多样性</w:t>
      </w:r>
      <w:r w:rsidRPr="00102C6C">
        <w:rPr>
          <w:rFonts w:asciiTheme="minorEastAsia" w:eastAsiaTheme="minorEastAsia" w:hAnsiTheme="minorEastAsia"/>
          <w:kern w:val="22"/>
          <w:lang w:eastAsia="zh-CN"/>
        </w:rPr>
        <w:t>”</w:t>
      </w:r>
      <w:r w:rsidRPr="003C3F9A">
        <w:rPr>
          <w:rFonts w:eastAsiaTheme="minorEastAsia"/>
          <w:kern w:val="22"/>
          <w:lang w:eastAsia="zh-CN"/>
        </w:rPr>
        <w:t>的成果，</w:t>
      </w:r>
      <w:r w:rsidRPr="003C3F9A">
        <w:rPr>
          <w:rFonts w:eastAsiaTheme="minorEastAsia"/>
          <w:kern w:val="22"/>
          <w:vertAlign w:val="superscript"/>
        </w:rPr>
        <w:footnoteReference w:id="244"/>
      </w:r>
    </w:p>
    <w:p w:rsidR="00821067" w:rsidRPr="003C3F9A" w:rsidRDefault="00821067" w:rsidP="005F5897">
      <w:pPr>
        <w:tabs>
          <w:tab w:val="left" w:pos="1440"/>
        </w:tabs>
        <w:topLinePunct/>
        <w:adjustRightInd w:val="0"/>
        <w:rPr>
          <w:rFonts w:eastAsiaTheme="minorEastAsia"/>
          <w:kern w:val="22"/>
          <w:lang w:eastAsia="zh-CN"/>
        </w:rPr>
      </w:pPr>
      <w:r w:rsidRPr="00102C6C">
        <w:rPr>
          <w:rFonts w:ascii="KaiTi" w:eastAsia="KaiTi" w:hAnsi="KaiTi"/>
          <w:lang w:eastAsia="zh-CN"/>
        </w:rPr>
        <w:t>借鉴</w:t>
      </w:r>
      <w:r w:rsidRPr="003C3F9A">
        <w:rPr>
          <w:rFonts w:eastAsiaTheme="minorEastAsia"/>
          <w:kern w:val="22"/>
          <w:lang w:eastAsia="zh-CN"/>
        </w:rPr>
        <w:t>关于传统知识现状和趋势的综合报告和第</w:t>
      </w:r>
      <w:r w:rsidRPr="003C3F9A">
        <w:rPr>
          <w:rFonts w:eastAsiaTheme="minorEastAsia"/>
          <w:kern w:val="22"/>
          <w:lang w:eastAsia="zh-CN"/>
        </w:rPr>
        <w:t>8(j)</w:t>
      </w:r>
      <w:r w:rsidRPr="003C3F9A">
        <w:rPr>
          <w:rFonts w:eastAsiaTheme="minorEastAsia"/>
          <w:kern w:val="22"/>
          <w:lang w:eastAsia="zh-CN"/>
        </w:rPr>
        <w:t>条和相关条款问题不限成员名额特设工作组业已制定的准则以及其他工具和标准，其中包括：</w:t>
      </w:r>
    </w:p>
    <w:p w:rsidR="00821067" w:rsidRPr="003C3F9A" w:rsidRDefault="00821067" w:rsidP="001A42F8">
      <w:pPr>
        <w:pStyle w:val="ListParagraph"/>
        <w:widowControl w:val="0"/>
        <w:numPr>
          <w:ilvl w:val="0"/>
          <w:numId w:val="211"/>
        </w:numPr>
        <w:tabs>
          <w:tab w:val="left" w:pos="1440"/>
        </w:tabs>
        <w:topLinePunct/>
        <w:adjustRightInd w:val="0"/>
        <w:ind w:left="0" w:firstLine="720"/>
        <w:rPr>
          <w:rFonts w:eastAsiaTheme="minorEastAsia"/>
          <w:kern w:val="22"/>
          <w:lang w:eastAsia="zh-CN"/>
        </w:rPr>
      </w:pPr>
      <w:r w:rsidRPr="003C3F9A">
        <w:rPr>
          <w:rFonts w:eastAsiaTheme="minorEastAsia"/>
          <w:kern w:val="22"/>
          <w:lang w:eastAsia="zh-CN"/>
        </w:rPr>
        <w:t>对拟议在圣地及土著和地方社区历来居住或使用的土地和水域上进行的、或可能对这些土地和水域产生影响的开发活动进行文化、环境和社会影响评估的《阿格维古自愿性准则》；</w:t>
      </w:r>
      <w:r w:rsidRPr="003C3F9A">
        <w:rPr>
          <w:rFonts w:eastAsiaTheme="minorEastAsia"/>
          <w:vertAlign w:val="superscript"/>
        </w:rPr>
        <w:footnoteReference w:id="245"/>
      </w:r>
    </w:p>
    <w:p w:rsidR="00821067" w:rsidRPr="003C3F9A" w:rsidRDefault="00821067" w:rsidP="001A42F8">
      <w:pPr>
        <w:pStyle w:val="ListParagraph"/>
        <w:numPr>
          <w:ilvl w:val="0"/>
          <w:numId w:val="211"/>
        </w:numPr>
        <w:tabs>
          <w:tab w:val="left" w:pos="1440"/>
        </w:tabs>
        <w:topLinePunct/>
        <w:adjustRightInd w:val="0"/>
        <w:ind w:left="0" w:firstLine="720"/>
        <w:rPr>
          <w:rFonts w:eastAsiaTheme="minorEastAsia"/>
          <w:kern w:val="22"/>
          <w:lang w:eastAsia="zh-CN"/>
        </w:rPr>
      </w:pPr>
      <w:r w:rsidRPr="003C3F9A">
        <w:rPr>
          <w:rFonts w:eastAsiaTheme="minorEastAsia"/>
          <w:kern w:val="22"/>
          <w:lang w:eastAsia="zh-CN"/>
        </w:rPr>
        <w:t>《确保尊重土著和地方社区的文化和知识遗产的特加里瓦伊埃里道德行为守则》；</w:t>
      </w:r>
      <w:r w:rsidRPr="003C3F9A">
        <w:rPr>
          <w:rFonts w:eastAsiaTheme="minorEastAsia"/>
          <w:vertAlign w:val="superscript"/>
        </w:rPr>
        <w:footnoteReference w:id="246"/>
      </w:r>
    </w:p>
    <w:p w:rsidR="00821067" w:rsidRPr="003C3F9A" w:rsidRDefault="00821067" w:rsidP="001A42F8">
      <w:pPr>
        <w:pStyle w:val="ListParagraph"/>
        <w:numPr>
          <w:ilvl w:val="0"/>
          <w:numId w:val="211"/>
        </w:numPr>
        <w:tabs>
          <w:tab w:val="left" w:pos="1440"/>
        </w:tabs>
        <w:topLinePunct/>
        <w:adjustRightInd w:val="0"/>
        <w:ind w:left="0" w:firstLine="720"/>
        <w:rPr>
          <w:rFonts w:eastAsiaTheme="minorEastAsia"/>
          <w:bCs/>
          <w:lang w:eastAsia="zh-CN"/>
        </w:rPr>
      </w:pPr>
      <w:r w:rsidRPr="003C3F9A">
        <w:rPr>
          <w:rFonts w:eastAsiaTheme="minorEastAsia"/>
          <w:noProof/>
          <w:kern w:val="22"/>
          <w:lang w:eastAsia="zh-CN"/>
        </w:rPr>
        <w:t>《生命之根</w:t>
      </w:r>
      <w:r w:rsidRPr="003C3F9A">
        <w:rPr>
          <w:rFonts w:eastAsiaTheme="minorEastAsia"/>
          <w:vertAlign w:val="superscript"/>
        </w:rPr>
        <w:footnoteReference w:id="247"/>
      </w:r>
      <w:r w:rsidRPr="003C3F9A">
        <w:rPr>
          <w:rFonts w:eastAsiaTheme="minorEastAsia"/>
          <w:vertAlign w:val="superscript"/>
          <w:lang w:eastAsia="zh-CN"/>
        </w:rPr>
        <w:t xml:space="preserve"> </w:t>
      </w:r>
      <w:r w:rsidRPr="003C3F9A">
        <w:rPr>
          <w:rFonts w:eastAsiaTheme="minorEastAsia"/>
          <w:bCs/>
          <w:lang w:eastAsia="zh-CN"/>
        </w:rPr>
        <w:t>自愿准则》，用于制订各种机制、法律或其他适当倡议，确保土著人民和地方社区</w:t>
      </w:r>
      <w:r w:rsidRPr="003C3F9A">
        <w:rPr>
          <w:rFonts w:eastAsiaTheme="minorEastAsia"/>
          <w:vertAlign w:val="superscript"/>
        </w:rPr>
        <w:footnoteReference w:id="248"/>
      </w:r>
      <w:r w:rsidRPr="003C3F9A">
        <w:rPr>
          <w:rFonts w:eastAsiaTheme="minorEastAsia"/>
          <w:vertAlign w:val="superscript"/>
          <w:lang w:eastAsia="zh-CN"/>
        </w:rPr>
        <w:t xml:space="preserve"> </w:t>
      </w:r>
      <w:r w:rsidRPr="003C3F9A">
        <w:rPr>
          <w:rFonts w:eastAsiaTheme="minorEastAsia"/>
          <w:bCs/>
          <w:lang w:eastAsia="zh-CN"/>
        </w:rPr>
        <w:t>对于获取其知识、创新和做法取得取决于国情的</w:t>
      </w:r>
      <w:r w:rsidRPr="00B21B5E">
        <w:rPr>
          <w:rFonts w:asciiTheme="minorEastAsia" w:eastAsiaTheme="minorEastAsia" w:hAnsiTheme="minorEastAsia"/>
          <w:bCs/>
          <w:lang w:eastAsia="zh-CN"/>
        </w:rPr>
        <w:t>“事先和知情同意”、</w:t>
      </w:r>
      <w:r w:rsidRPr="00102C6C">
        <w:rPr>
          <w:rFonts w:asciiTheme="minorEastAsia" w:eastAsiaTheme="minorEastAsia" w:hAnsiTheme="minorEastAsia"/>
          <w:bCs/>
          <w:lang w:eastAsia="zh-CN"/>
        </w:rPr>
        <w:lastRenderedPageBreak/>
        <w:t>“自由、事先和知情同意”或“批准和参与”</w:t>
      </w:r>
      <w:r w:rsidRPr="003C3F9A">
        <w:rPr>
          <w:rFonts w:eastAsiaTheme="minorEastAsia"/>
          <w:bCs/>
          <w:lang w:eastAsia="zh-CN"/>
        </w:rPr>
        <w:t>，以及公正和公平地分享利用和应用与保护和可持续利用生物多样性有关的此种知识、创新和做法所产生的惠益，以及报告和防止非法盗用传统知识；</w:t>
      </w:r>
      <w:r w:rsidRPr="003C3F9A">
        <w:rPr>
          <w:rFonts w:eastAsiaTheme="minorEastAsia"/>
          <w:vertAlign w:val="superscript"/>
        </w:rPr>
        <w:footnoteReference w:id="249"/>
      </w:r>
      <w:r w:rsidRPr="003C3F9A">
        <w:rPr>
          <w:rFonts w:eastAsiaTheme="minorEastAsia"/>
          <w:bCs/>
          <w:lang w:eastAsia="zh-CN"/>
        </w:rPr>
        <w:t xml:space="preserve"> </w:t>
      </w:r>
    </w:p>
    <w:p w:rsidR="00821067" w:rsidRPr="003C3F9A" w:rsidRDefault="00821067" w:rsidP="001A42F8">
      <w:pPr>
        <w:pStyle w:val="ListParagraph"/>
        <w:numPr>
          <w:ilvl w:val="0"/>
          <w:numId w:val="211"/>
        </w:numPr>
        <w:tabs>
          <w:tab w:val="left" w:pos="1440"/>
        </w:tabs>
        <w:topLinePunct/>
        <w:adjustRightInd w:val="0"/>
        <w:ind w:left="0" w:firstLine="720"/>
        <w:rPr>
          <w:rFonts w:eastAsiaTheme="minorEastAsia"/>
          <w:lang w:eastAsia="zh-CN"/>
        </w:rPr>
      </w:pPr>
      <w:r w:rsidRPr="003C3F9A">
        <w:rPr>
          <w:rFonts w:eastAsiaTheme="minorEastAsia"/>
          <w:bCs/>
          <w:lang w:eastAsia="zh-CN"/>
        </w:rPr>
        <w:t>《关于返还土著人民和地方社区与保护和可持续利用生物多样性相关传统知识的卢佐利希里沙希克自愿准则》</w:t>
      </w:r>
      <w:r w:rsidRPr="003C3F9A">
        <w:rPr>
          <w:rFonts w:eastAsiaTheme="minorEastAsia"/>
          <w:lang w:eastAsia="zh-CN"/>
        </w:rPr>
        <w:t>；</w:t>
      </w:r>
      <w:r w:rsidRPr="003C3F9A">
        <w:rPr>
          <w:rFonts w:eastAsiaTheme="minorEastAsia"/>
          <w:vertAlign w:val="superscript"/>
        </w:rPr>
        <w:footnoteReference w:id="250"/>
      </w:r>
    </w:p>
    <w:p w:rsidR="00821067" w:rsidRPr="003C3F9A" w:rsidRDefault="00821067" w:rsidP="001A42F8">
      <w:pPr>
        <w:pStyle w:val="ListParagraph"/>
        <w:numPr>
          <w:ilvl w:val="0"/>
          <w:numId w:val="212"/>
        </w:numPr>
        <w:tabs>
          <w:tab w:val="left" w:pos="1440"/>
        </w:tabs>
        <w:topLinePunct/>
        <w:adjustRightInd w:val="0"/>
        <w:ind w:left="0" w:firstLine="720"/>
        <w:rPr>
          <w:rFonts w:eastAsiaTheme="minorEastAsia"/>
          <w:lang w:eastAsia="zh-CN"/>
        </w:rPr>
      </w:pPr>
      <w:r w:rsidRPr="003C3F9A">
        <w:rPr>
          <w:rFonts w:eastAsiaTheme="minorEastAsia"/>
          <w:kern w:val="22"/>
          <w:lang w:eastAsia="zh-CN"/>
        </w:rPr>
        <w:t>全球《生物多样性可持续习惯使用行动计划》；</w:t>
      </w:r>
      <w:r w:rsidRPr="003C3F9A">
        <w:rPr>
          <w:rFonts w:eastAsiaTheme="minorEastAsia"/>
          <w:kern w:val="22"/>
          <w:lang w:eastAsia="zh-CN"/>
        </w:rPr>
        <w:t xml:space="preserve"> </w:t>
      </w:r>
      <w:r w:rsidRPr="003C3F9A">
        <w:rPr>
          <w:rFonts w:eastAsiaTheme="minorEastAsia"/>
          <w:vertAlign w:val="superscript"/>
        </w:rPr>
        <w:footnoteReference w:id="251"/>
      </w:r>
    </w:p>
    <w:p w:rsidR="00821067" w:rsidRPr="003C3F9A" w:rsidRDefault="00821067" w:rsidP="005F5897">
      <w:pPr>
        <w:tabs>
          <w:tab w:val="left" w:pos="1440"/>
        </w:tabs>
        <w:topLinePunct/>
        <w:adjustRightInd w:val="0"/>
        <w:rPr>
          <w:rFonts w:eastAsiaTheme="minorEastAsia"/>
          <w:lang w:eastAsia="zh-CN"/>
        </w:rPr>
      </w:pPr>
      <w:r w:rsidRPr="00102C6C">
        <w:rPr>
          <w:rFonts w:ascii="KaiTi" w:eastAsia="KaiTi" w:hAnsi="KaiTi"/>
          <w:lang w:eastAsia="zh-CN"/>
        </w:rPr>
        <w:t>考虑到</w:t>
      </w:r>
      <w:r w:rsidRPr="003C3F9A">
        <w:rPr>
          <w:rFonts w:eastAsiaTheme="minorEastAsia"/>
          <w:bCs/>
          <w:lang w:eastAsia="zh-CN"/>
        </w:rPr>
        <w:t>生物多样性公约秘书处与联合国教育</w:t>
      </w:r>
      <w:r w:rsidRPr="003C3F9A">
        <w:rPr>
          <w:rFonts w:eastAsiaTheme="minorEastAsia"/>
          <w:lang w:eastAsia="zh-CN"/>
        </w:rPr>
        <w:t>、科学及文化组织关于生物和文化多样性之间联系的联合工作方案，</w:t>
      </w:r>
      <w:r w:rsidRPr="003C3F9A">
        <w:rPr>
          <w:rFonts w:eastAsiaTheme="minorEastAsia"/>
          <w:vertAlign w:val="superscript"/>
        </w:rPr>
        <w:footnoteReference w:id="252"/>
      </w:r>
    </w:p>
    <w:p w:rsidR="00821067" w:rsidRPr="003C3F9A" w:rsidRDefault="00821067" w:rsidP="005F5897">
      <w:pPr>
        <w:tabs>
          <w:tab w:val="left" w:pos="1440"/>
        </w:tabs>
        <w:topLinePunct/>
        <w:adjustRightInd w:val="0"/>
        <w:rPr>
          <w:rFonts w:eastAsiaTheme="minorEastAsia"/>
          <w:kern w:val="22"/>
          <w:lang w:eastAsia="zh-CN"/>
        </w:rPr>
      </w:pPr>
      <w:r w:rsidRPr="00102C6C">
        <w:rPr>
          <w:rFonts w:ascii="KaiTi" w:eastAsia="KaiTi" w:hAnsi="KaiTi"/>
          <w:lang w:eastAsia="zh-CN"/>
        </w:rPr>
        <w:t>欢迎</w:t>
      </w:r>
      <w:r w:rsidRPr="003C3F9A">
        <w:rPr>
          <w:rFonts w:eastAsiaTheme="minorEastAsia"/>
          <w:kern w:val="22"/>
          <w:lang w:eastAsia="zh-CN"/>
        </w:rPr>
        <w:t>任务</w:t>
      </w:r>
      <w:r w:rsidRPr="003C3F9A">
        <w:rPr>
          <w:rFonts w:eastAsiaTheme="minorEastAsia"/>
          <w:kern w:val="22"/>
          <w:lang w:eastAsia="zh-CN"/>
        </w:rPr>
        <w:t>15</w:t>
      </w:r>
      <w:r w:rsidRPr="003C3F9A">
        <w:rPr>
          <w:rFonts w:eastAsiaTheme="minorEastAsia"/>
          <w:kern w:val="22"/>
          <w:lang w:eastAsia="zh-CN"/>
        </w:rPr>
        <w:t>工作的完成，其标志是通过了《关于返还土著人民和地方社区与保护和可持续利用生物多样性相关传统知识的卢佐利希里沙希克自愿准则》，</w:t>
      </w:r>
      <w:r w:rsidRPr="003C3F9A">
        <w:rPr>
          <w:rFonts w:eastAsiaTheme="minorEastAsia"/>
          <w:vertAlign w:val="superscript"/>
        </w:rPr>
        <w:footnoteReference w:id="253"/>
      </w:r>
    </w:p>
    <w:p w:rsidR="00821067" w:rsidRPr="003C3F9A" w:rsidRDefault="00821067" w:rsidP="005F5897">
      <w:pPr>
        <w:tabs>
          <w:tab w:val="left" w:pos="1440"/>
        </w:tabs>
        <w:topLinePunct/>
        <w:adjustRightInd w:val="0"/>
        <w:rPr>
          <w:rFonts w:eastAsiaTheme="minorEastAsia"/>
          <w:kern w:val="22"/>
          <w:lang w:eastAsia="zh-CN"/>
        </w:rPr>
      </w:pPr>
      <w:r w:rsidRPr="00102C6C">
        <w:rPr>
          <w:rFonts w:ascii="KaiTi" w:eastAsia="KaiTi" w:hAnsi="KaiTi"/>
          <w:lang w:eastAsia="zh-CN"/>
        </w:rPr>
        <w:t>注意到</w:t>
      </w:r>
      <w:r w:rsidRPr="003C3F9A">
        <w:rPr>
          <w:rFonts w:eastAsiaTheme="minorEastAsia"/>
          <w:kern w:val="22"/>
          <w:lang w:eastAsia="zh-CN"/>
        </w:rPr>
        <w:t>任务</w:t>
      </w:r>
      <w:r w:rsidRPr="003C3F9A">
        <w:rPr>
          <w:rFonts w:eastAsiaTheme="minorEastAsia"/>
          <w:kern w:val="22"/>
          <w:lang w:eastAsia="zh-CN"/>
        </w:rPr>
        <w:t>1</w:t>
      </w:r>
      <w:r w:rsidRPr="003C3F9A">
        <w:rPr>
          <w:rFonts w:eastAsiaTheme="minorEastAsia"/>
          <w:kern w:val="22"/>
          <w:lang w:eastAsia="zh-CN"/>
        </w:rPr>
        <w:t>、</w:t>
      </w:r>
      <w:r w:rsidRPr="003C3F9A">
        <w:rPr>
          <w:rFonts w:eastAsiaTheme="minorEastAsia"/>
          <w:kern w:val="22"/>
          <w:lang w:eastAsia="zh-CN"/>
        </w:rPr>
        <w:t>2</w:t>
      </w:r>
      <w:r w:rsidRPr="003C3F9A">
        <w:rPr>
          <w:rFonts w:eastAsiaTheme="minorEastAsia"/>
          <w:kern w:val="22"/>
          <w:lang w:eastAsia="zh-CN"/>
        </w:rPr>
        <w:t>、</w:t>
      </w:r>
      <w:r w:rsidRPr="003C3F9A">
        <w:rPr>
          <w:rFonts w:eastAsiaTheme="minorEastAsia"/>
          <w:kern w:val="22"/>
          <w:lang w:eastAsia="zh-CN"/>
        </w:rPr>
        <w:t>4</w:t>
      </w:r>
      <w:r w:rsidRPr="003C3F9A">
        <w:rPr>
          <w:rFonts w:eastAsiaTheme="minorEastAsia"/>
          <w:kern w:val="22"/>
          <w:lang w:eastAsia="zh-CN"/>
        </w:rPr>
        <w:t>以及执行缔约方大会通过的上述准则和标准是缔约方当前的责任，</w:t>
      </w:r>
    </w:p>
    <w:p w:rsidR="00821067" w:rsidRPr="003C3F9A" w:rsidRDefault="00821067" w:rsidP="005F5897">
      <w:pPr>
        <w:tabs>
          <w:tab w:val="left" w:pos="1440"/>
        </w:tabs>
        <w:topLinePunct/>
        <w:adjustRightInd w:val="0"/>
        <w:rPr>
          <w:rFonts w:eastAsiaTheme="minorEastAsia"/>
          <w:kern w:val="22"/>
          <w:lang w:eastAsia="zh-CN"/>
        </w:rPr>
      </w:pPr>
      <w:r w:rsidRPr="00102C6C">
        <w:rPr>
          <w:rFonts w:ascii="KaiTi" w:eastAsia="KaiTi" w:hAnsi="KaiTi"/>
          <w:lang w:eastAsia="zh-CN"/>
        </w:rPr>
        <w:t>强调</w:t>
      </w:r>
      <w:r w:rsidRPr="003C3F9A">
        <w:rPr>
          <w:rFonts w:eastAsiaTheme="minorEastAsia"/>
          <w:kern w:val="22"/>
          <w:lang w:eastAsia="zh-CN"/>
        </w:rPr>
        <w:t>有必要在国家层面有效执行关于第</w:t>
      </w:r>
      <w:r w:rsidRPr="003C3F9A">
        <w:rPr>
          <w:rFonts w:eastAsiaTheme="minorEastAsia"/>
          <w:kern w:val="22"/>
          <w:lang w:eastAsia="zh-CN"/>
        </w:rPr>
        <w:t>8(j)</w:t>
      </w:r>
      <w:r w:rsidRPr="003C3F9A">
        <w:rPr>
          <w:rFonts w:eastAsiaTheme="minorEastAsia"/>
          <w:kern w:val="22"/>
          <w:lang w:eastAsia="zh-CN"/>
        </w:rPr>
        <w:t>条和相关条款的准则和标准，以便在实现《</w:t>
      </w:r>
      <w:r w:rsidRPr="003C3F9A">
        <w:rPr>
          <w:rFonts w:eastAsiaTheme="minorEastAsia"/>
          <w:kern w:val="22"/>
          <w:lang w:eastAsia="zh-CN"/>
        </w:rPr>
        <w:t>2011-2020</w:t>
      </w:r>
      <w:r w:rsidRPr="003C3F9A">
        <w:rPr>
          <w:rFonts w:eastAsiaTheme="minorEastAsia"/>
          <w:kern w:val="22"/>
          <w:lang w:eastAsia="zh-CN"/>
        </w:rPr>
        <w:t>年生物多样性战略计划》爱知生物多样性指标</w:t>
      </w:r>
      <w:r w:rsidRPr="003C3F9A">
        <w:rPr>
          <w:rFonts w:eastAsiaTheme="minorEastAsia"/>
          <w:kern w:val="22"/>
          <w:lang w:eastAsia="zh-CN"/>
        </w:rPr>
        <w:t>18</w:t>
      </w:r>
      <w:r w:rsidRPr="003C3F9A">
        <w:rPr>
          <w:rFonts w:eastAsiaTheme="minorEastAsia"/>
          <w:kern w:val="22"/>
          <w:lang w:eastAsia="zh-CN"/>
        </w:rPr>
        <w:t>方面取得进展，</w:t>
      </w:r>
    </w:p>
    <w:p w:rsidR="00821067" w:rsidRPr="003C3F9A" w:rsidRDefault="00821067" w:rsidP="001A42F8">
      <w:pPr>
        <w:pStyle w:val="ListParagraph"/>
        <w:numPr>
          <w:ilvl w:val="1"/>
          <w:numId w:val="210"/>
        </w:numPr>
        <w:tabs>
          <w:tab w:val="left" w:pos="1440"/>
        </w:tabs>
        <w:topLinePunct/>
        <w:adjustRightInd w:val="0"/>
        <w:ind w:left="0" w:firstLine="720"/>
        <w:rPr>
          <w:rFonts w:eastAsiaTheme="minorEastAsia"/>
          <w:kern w:val="22"/>
          <w:lang w:eastAsia="zh-CN"/>
        </w:rPr>
      </w:pPr>
      <w:r w:rsidRPr="00102C6C">
        <w:rPr>
          <w:rFonts w:ascii="KaiTi" w:eastAsia="KaiTi" w:hAnsi="KaiTi"/>
          <w:lang w:eastAsia="zh-CN"/>
        </w:rPr>
        <w:t>决定</w:t>
      </w:r>
      <w:r w:rsidRPr="003C3F9A">
        <w:rPr>
          <w:rFonts w:eastAsiaTheme="minorEastAsia"/>
          <w:kern w:val="22"/>
          <w:lang w:eastAsia="zh-CN"/>
        </w:rPr>
        <w:t>至迟于缔约方大会第十五届会议完成目前的第</w:t>
      </w:r>
      <w:r w:rsidRPr="003C3F9A">
        <w:rPr>
          <w:rFonts w:eastAsiaTheme="minorEastAsia"/>
          <w:kern w:val="22"/>
          <w:lang w:eastAsia="zh-CN"/>
        </w:rPr>
        <w:t>8(j)</w:t>
      </w:r>
      <w:r w:rsidRPr="003C3F9A">
        <w:rPr>
          <w:rFonts w:eastAsiaTheme="minorEastAsia"/>
          <w:kern w:val="22"/>
          <w:lang w:eastAsia="zh-CN"/>
        </w:rPr>
        <w:t>条和相关条款工作方案；</w:t>
      </w:r>
    </w:p>
    <w:p w:rsidR="00821067" w:rsidRPr="003C3F9A" w:rsidRDefault="00821067" w:rsidP="001A42F8">
      <w:pPr>
        <w:pStyle w:val="ListParagraph"/>
        <w:numPr>
          <w:ilvl w:val="1"/>
          <w:numId w:val="210"/>
        </w:numPr>
        <w:tabs>
          <w:tab w:val="left" w:pos="1440"/>
        </w:tabs>
        <w:topLinePunct/>
        <w:adjustRightInd w:val="0"/>
        <w:ind w:left="0" w:firstLine="720"/>
        <w:rPr>
          <w:rFonts w:eastAsiaTheme="minorEastAsia"/>
          <w:kern w:val="22"/>
          <w:lang w:eastAsia="zh-CN"/>
        </w:rPr>
      </w:pPr>
      <w:r w:rsidRPr="00102C6C">
        <w:rPr>
          <w:rFonts w:ascii="KaiTi" w:eastAsia="KaiTi" w:hAnsi="KaiTi"/>
          <w:lang w:eastAsia="zh-CN"/>
        </w:rPr>
        <w:t>又决定</w:t>
      </w:r>
      <w:r w:rsidRPr="003C3F9A">
        <w:rPr>
          <w:rFonts w:eastAsiaTheme="minorEastAsia"/>
          <w:kern w:val="22"/>
          <w:lang w:eastAsia="zh-CN"/>
        </w:rPr>
        <w:t>根据迄今取得的成就，并顾及缔约方正在进行和已经推迟的任务及《</w:t>
      </w:r>
      <w:r w:rsidRPr="003C3F9A">
        <w:rPr>
          <w:rFonts w:eastAsiaTheme="minorEastAsia"/>
          <w:kern w:val="22"/>
          <w:lang w:eastAsia="zh-CN"/>
        </w:rPr>
        <w:t>2030</w:t>
      </w:r>
      <w:r w:rsidRPr="003C3F9A">
        <w:rPr>
          <w:rFonts w:eastAsiaTheme="minorEastAsia"/>
          <w:kern w:val="22"/>
          <w:lang w:eastAsia="zh-CN"/>
        </w:rPr>
        <w:t>年可持续发展议程》及其目标、《联合国气候变化框架》下的《巴黎协定》以及已查明的差距，考虑制定</w:t>
      </w:r>
      <w:r w:rsidRPr="003C3F9A">
        <w:rPr>
          <w:rFonts w:eastAsiaTheme="minorEastAsia"/>
          <w:kern w:val="22"/>
          <w:lang w:eastAsia="zh-CN"/>
        </w:rPr>
        <w:t>2020</w:t>
      </w:r>
      <w:r w:rsidRPr="003C3F9A">
        <w:rPr>
          <w:rFonts w:eastAsiaTheme="minorEastAsia"/>
          <w:kern w:val="22"/>
          <w:lang w:eastAsia="zh-CN"/>
        </w:rPr>
        <w:t>年后生物多样性框架内第</w:t>
      </w:r>
      <w:r w:rsidRPr="003C3F9A">
        <w:rPr>
          <w:rFonts w:eastAsiaTheme="minorEastAsia"/>
          <w:kern w:val="22"/>
          <w:lang w:eastAsia="zh-CN"/>
        </w:rPr>
        <w:t>8(j)</w:t>
      </w:r>
      <w:r w:rsidRPr="003C3F9A">
        <w:rPr>
          <w:rFonts w:eastAsiaTheme="minorEastAsia"/>
          <w:kern w:val="22"/>
          <w:lang w:eastAsia="zh-CN"/>
        </w:rPr>
        <w:t>条和相关条款的全面统筹的工作方案，以便使土著人民和地方社区充分有效地参与《公约》的工作；</w:t>
      </w:r>
    </w:p>
    <w:p w:rsidR="00821067" w:rsidRPr="003C3F9A" w:rsidRDefault="00821067" w:rsidP="001A42F8">
      <w:pPr>
        <w:pStyle w:val="ListParagraph"/>
        <w:numPr>
          <w:ilvl w:val="1"/>
          <w:numId w:val="210"/>
        </w:numPr>
        <w:tabs>
          <w:tab w:val="left" w:pos="1440"/>
        </w:tabs>
        <w:topLinePunct/>
        <w:adjustRightInd w:val="0"/>
        <w:ind w:left="0" w:firstLine="720"/>
        <w:rPr>
          <w:rFonts w:eastAsiaTheme="minorEastAsia"/>
          <w:kern w:val="22"/>
          <w:lang w:eastAsia="zh-CN"/>
        </w:rPr>
      </w:pPr>
      <w:r w:rsidRPr="00102C6C">
        <w:rPr>
          <w:rFonts w:ascii="KaiTi" w:eastAsia="KaiTi" w:hAnsi="KaiTi"/>
          <w:lang w:eastAsia="zh-CN"/>
        </w:rPr>
        <w:t>邀请</w:t>
      </w:r>
      <w:r w:rsidRPr="003C3F9A">
        <w:rPr>
          <w:rFonts w:eastAsiaTheme="minorEastAsia"/>
          <w:bCs/>
          <w:lang w:eastAsia="zh-CN"/>
        </w:rPr>
        <w:t>各缔约方收集国家一级执行与第</w:t>
      </w:r>
      <w:r w:rsidRPr="003C3F9A">
        <w:rPr>
          <w:rFonts w:eastAsiaTheme="minorEastAsia"/>
          <w:kern w:val="22"/>
          <w:lang w:eastAsia="zh-CN"/>
        </w:rPr>
        <w:t>8(j)</w:t>
      </w:r>
      <w:r w:rsidRPr="003C3F9A">
        <w:rPr>
          <w:rFonts w:eastAsiaTheme="minorEastAsia"/>
          <w:bCs/>
          <w:lang w:eastAsia="zh-CN"/>
        </w:rPr>
        <w:t>条和相关条款相关的准则和标</w:t>
      </w:r>
      <w:r w:rsidRPr="003C3F9A">
        <w:rPr>
          <w:rFonts w:eastAsiaTheme="minorEastAsia"/>
          <w:kern w:val="22"/>
          <w:lang w:eastAsia="zh-CN"/>
        </w:rPr>
        <w:t>准方面的经验，并根据这些经验考虑是否需要在制定全面统筹的工作方案中进一步研究这些问题；</w:t>
      </w:r>
    </w:p>
    <w:p w:rsidR="00821067" w:rsidRPr="003C3F9A" w:rsidRDefault="00821067" w:rsidP="001A42F8">
      <w:pPr>
        <w:pStyle w:val="ListParagraph"/>
        <w:numPr>
          <w:ilvl w:val="1"/>
          <w:numId w:val="210"/>
        </w:numPr>
        <w:tabs>
          <w:tab w:val="left" w:pos="1440"/>
        </w:tabs>
        <w:topLinePunct/>
        <w:adjustRightInd w:val="0"/>
        <w:ind w:left="0" w:firstLine="720"/>
        <w:rPr>
          <w:rFonts w:eastAsiaTheme="minorEastAsia"/>
          <w:kern w:val="22"/>
          <w:lang w:eastAsia="zh-CN"/>
        </w:rPr>
      </w:pPr>
      <w:r w:rsidRPr="00102C6C">
        <w:rPr>
          <w:rFonts w:ascii="KaiTi" w:eastAsia="KaiTi" w:hAnsi="KaiTi"/>
          <w:lang w:eastAsia="zh-CN"/>
        </w:rPr>
        <w:t>鼓励</w:t>
      </w:r>
      <w:r w:rsidRPr="003C3F9A">
        <w:rPr>
          <w:rFonts w:eastAsiaTheme="minorEastAsia"/>
          <w:bCs/>
          <w:lang w:eastAsia="zh-CN"/>
        </w:rPr>
        <w:t>各</w:t>
      </w:r>
      <w:r w:rsidRPr="003C3F9A">
        <w:rPr>
          <w:rFonts w:eastAsiaTheme="minorEastAsia"/>
          <w:kern w:val="22"/>
          <w:lang w:eastAsia="zh-CN"/>
        </w:rPr>
        <w:t>缔约方在执行《公约》时与土著人民和地方社区互动协作，包括通过承认、支持和重视其为实现《公约》目标采取的集体行动，包括其保护和养护其领土和地区的努力，并使其充分参与国家报告的编制，国家生物多样性战略和行动计划的修订和执行以及拟定《公约》</w:t>
      </w:r>
      <w:r w:rsidRPr="003C3F9A">
        <w:rPr>
          <w:rFonts w:eastAsiaTheme="minorEastAsia"/>
          <w:kern w:val="22"/>
          <w:lang w:eastAsia="zh-CN"/>
        </w:rPr>
        <w:t>2020</w:t>
      </w:r>
      <w:r w:rsidRPr="003C3F9A">
        <w:rPr>
          <w:rFonts w:eastAsiaTheme="minorEastAsia"/>
          <w:kern w:val="22"/>
          <w:lang w:eastAsia="zh-CN"/>
        </w:rPr>
        <w:t>年后生物多样性框架的进程；</w:t>
      </w:r>
    </w:p>
    <w:p w:rsidR="00821067" w:rsidRPr="003C3F9A" w:rsidRDefault="00821067" w:rsidP="001A42F8">
      <w:pPr>
        <w:pStyle w:val="ListParagraph"/>
        <w:numPr>
          <w:ilvl w:val="1"/>
          <w:numId w:val="210"/>
        </w:numPr>
        <w:tabs>
          <w:tab w:val="left" w:pos="1440"/>
        </w:tabs>
        <w:topLinePunct/>
        <w:adjustRightInd w:val="0"/>
        <w:ind w:left="0" w:firstLine="720"/>
        <w:rPr>
          <w:rFonts w:eastAsiaTheme="minorEastAsia"/>
          <w:kern w:val="22"/>
          <w:lang w:eastAsia="zh-CN"/>
        </w:rPr>
      </w:pPr>
      <w:r w:rsidRPr="00102C6C">
        <w:rPr>
          <w:rFonts w:ascii="KaiTi" w:eastAsia="KaiTi" w:hAnsi="KaiTi"/>
          <w:lang w:eastAsia="zh-CN"/>
        </w:rPr>
        <w:lastRenderedPageBreak/>
        <w:t>邀请</w:t>
      </w:r>
      <w:r w:rsidRPr="003C3F9A">
        <w:rPr>
          <w:rFonts w:eastAsiaTheme="minorEastAsia"/>
          <w:bCs/>
          <w:lang w:eastAsia="zh-CN"/>
        </w:rPr>
        <w:t>各</w:t>
      </w:r>
      <w:r w:rsidRPr="003C3F9A">
        <w:rPr>
          <w:rFonts w:eastAsiaTheme="minorEastAsia"/>
          <w:kern w:val="22"/>
          <w:lang w:eastAsia="zh-CN"/>
        </w:rPr>
        <w:t>缔约方和其他国家政府通过国家报告或信息交换所机制，报告第</w:t>
      </w:r>
      <w:r w:rsidRPr="003C3F9A">
        <w:rPr>
          <w:rFonts w:eastAsiaTheme="minorEastAsia"/>
          <w:kern w:val="22"/>
          <w:lang w:eastAsia="zh-CN"/>
        </w:rPr>
        <w:t>8(j)</w:t>
      </w:r>
      <w:r w:rsidRPr="003C3F9A">
        <w:rPr>
          <w:rFonts w:eastAsiaTheme="minorEastAsia"/>
          <w:kern w:val="22"/>
          <w:lang w:eastAsia="zh-CN"/>
        </w:rPr>
        <w:t>条和相关条款工作方案的执行情况，特别是任务</w:t>
      </w:r>
      <w:r w:rsidRPr="003C3F9A">
        <w:rPr>
          <w:rFonts w:eastAsiaTheme="minorEastAsia"/>
          <w:kern w:val="22"/>
          <w:lang w:eastAsia="zh-CN"/>
        </w:rPr>
        <w:t>1</w:t>
      </w:r>
      <w:r w:rsidRPr="003C3F9A">
        <w:rPr>
          <w:rFonts w:eastAsiaTheme="minorEastAsia"/>
          <w:kern w:val="22"/>
          <w:lang w:eastAsia="zh-CN"/>
        </w:rPr>
        <w:t>、</w:t>
      </w:r>
      <w:r w:rsidRPr="003C3F9A">
        <w:rPr>
          <w:rFonts w:eastAsiaTheme="minorEastAsia"/>
          <w:kern w:val="22"/>
          <w:lang w:eastAsia="zh-CN"/>
        </w:rPr>
        <w:t>2</w:t>
      </w:r>
      <w:r w:rsidRPr="003C3F9A">
        <w:rPr>
          <w:rFonts w:eastAsiaTheme="minorEastAsia"/>
          <w:kern w:val="22"/>
          <w:lang w:eastAsia="zh-CN"/>
        </w:rPr>
        <w:t>、</w:t>
      </w:r>
      <w:r w:rsidRPr="003C3F9A">
        <w:rPr>
          <w:rFonts w:eastAsiaTheme="minorEastAsia"/>
          <w:kern w:val="22"/>
          <w:lang w:eastAsia="zh-CN"/>
        </w:rPr>
        <w:t>4</w:t>
      </w:r>
      <w:r w:rsidRPr="003C3F9A">
        <w:rPr>
          <w:rFonts w:eastAsiaTheme="minorEastAsia"/>
          <w:kern w:val="22"/>
          <w:lang w:eastAsia="zh-CN"/>
        </w:rPr>
        <w:t>和《可持续习惯使用行动计划》的执行情况，以及第</w:t>
      </w:r>
      <w:r w:rsidRPr="003C3F9A">
        <w:rPr>
          <w:rFonts w:eastAsiaTheme="minorEastAsia"/>
          <w:kern w:val="22"/>
          <w:lang w:eastAsia="zh-CN"/>
        </w:rPr>
        <w:t>8(j)</w:t>
      </w:r>
      <w:r w:rsidRPr="003C3F9A">
        <w:rPr>
          <w:rFonts w:eastAsiaTheme="minorEastAsia"/>
          <w:kern w:val="22"/>
          <w:lang w:eastAsia="zh-CN"/>
        </w:rPr>
        <w:t>条和相关条款问题不限成员名额特设工作组主持制定并经缔约方大会通过的各项准则和标准的适用情况，以便确定所取得的进展和指导</w:t>
      </w:r>
      <w:r w:rsidRPr="003C3F9A">
        <w:rPr>
          <w:rFonts w:eastAsiaTheme="minorEastAsia"/>
          <w:kern w:val="22"/>
          <w:lang w:eastAsia="zh-CN"/>
        </w:rPr>
        <w:t>2020</w:t>
      </w:r>
      <w:r w:rsidRPr="003C3F9A">
        <w:rPr>
          <w:rFonts w:eastAsiaTheme="minorEastAsia"/>
          <w:kern w:val="22"/>
          <w:lang w:eastAsia="zh-CN"/>
        </w:rPr>
        <w:t>年后生物多样性框架的拟定；</w:t>
      </w:r>
    </w:p>
    <w:p w:rsidR="00821067" w:rsidRPr="003C3F9A" w:rsidRDefault="00821067" w:rsidP="001A42F8">
      <w:pPr>
        <w:pStyle w:val="ListParagraph"/>
        <w:numPr>
          <w:ilvl w:val="1"/>
          <w:numId w:val="210"/>
        </w:numPr>
        <w:tabs>
          <w:tab w:val="left" w:pos="1440"/>
        </w:tabs>
        <w:topLinePunct/>
        <w:adjustRightInd w:val="0"/>
        <w:ind w:left="0" w:firstLine="720"/>
        <w:rPr>
          <w:rFonts w:eastAsiaTheme="minorEastAsia"/>
          <w:kern w:val="22"/>
          <w:lang w:eastAsia="zh-CN"/>
        </w:rPr>
      </w:pPr>
      <w:r w:rsidRPr="00102C6C">
        <w:rPr>
          <w:rFonts w:ascii="KaiTi" w:eastAsia="KaiTi" w:hAnsi="KaiTi"/>
          <w:lang w:eastAsia="zh-CN"/>
        </w:rPr>
        <w:t>请</w:t>
      </w:r>
      <w:r w:rsidRPr="003C3F9A">
        <w:rPr>
          <w:rFonts w:eastAsiaTheme="minorEastAsia"/>
          <w:kern w:val="22"/>
          <w:lang w:eastAsia="zh-CN"/>
        </w:rPr>
        <w:t>执行秘书协助组织在线论坛，邀请缔约方、其他国家政府、土著人民和地方社区、其他相关组织和利益攸关方，酌情就以下事项初步交换意见和信息：</w:t>
      </w:r>
    </w:p>
    <w:p w:rsidR="00821067" w:rsidRPr="003C3F9A" w:rsidRDefault="00821067" w:rsidP="001A42F8">
      <w:pPr>
        <w:numPr>
          <w:ilvl w:val="0"/>
          <w:numId w:val="215"/>
        </w:numPr>
        <w:tabs>
          <w:tab w:val="left" w:pos="1440"/>
        </w:tabs>
        <w:adjustRightInd w:val="0"/>
        <w:ind w:left="0" w:firstLine="720"/>
        <w:jc w:val="left"/>
        <w:rPr>
          <w:rFonts w:eastAsiaTheme="minorEastAsia"/>
          <w:lang w:eastAsia="zh-CN"/>
        </w:rPr>
      </w:pPr>
      <w:r w:rsidRPr="003C3F9A">
        <w:rPr>
          <w:rFonts w:eastAsiaTheme="minorEastAsia"/>
          <w:lang w:eastAsia="zh-CN"/>
        </w:rPr>
        <w:t>各附属机构有效统筹直接涉及土著人民和地方社区的事项以及土著人民和地方社区充分有效参与《公约》工作的可能目标；</w:t>
      </w:r>
    </w:p>
    <w:p w:rsidR="00821067" w:rsidRPr="003C3F9A" w:rsidRDefault="00821067" w:rsidP="001A42F8">
      <w:pPr>
        <w:numPr>
          <w:ilvl w:val="0"/>
          <w:numId w:val="215"/>
        </w:numPr>
        <w:tabs>
          <w:tab w:val="left" w:pos="1440"/>
        </w:tabs>
        <w:adjustRightInd w:val="0"/>
        <w:ind w:left="0" w:firstLine="720"/>
        <w:jc w:val="left"/>
        <w:rPr>
          <w:rFonts w:eastAsiaTheme="minorEastAsia"/>
          <w:kern w:val="22"/>
          <w:lang w:eastAsia="zh-CN"/>
        </w:rPr>
      </w:pPr>
      <w:r w:rsidRPr="003C3F9A">
        <w:rPr>
          <w:rFonts w:eastAsiaTheme="minorEastAsia"/>
          <w:kern w:val="22"/>
          <w:lang w:eastAsia="zh-CN"/>
        </w:rPr>
        <w:t>2020</w:t>
      </w:r>
      <w:r w:rsidRPr="003C3F9A">
        <w:rPr>
          <w:rFonts w:eastAsiaTheme="minorEastAsia"/>
          <w:kern w:val="22"/>
          <w:lang w:eastAsia="zh-CN"/>
        </w:rPr>
        <w:t>年后生物多样性框架中第</w:t>
      </w:r>
      <w:r w:rsidRPr="003C3F9A">
        <w:rPr>
          <w:rFonts w:eastAsiaTheme="minorEastAsia"/>
          <w:kern w:val="22"/>
          <w:lang w:eastAsia="zh-CN"/>
        </w:rPr>
        <w:t>8(j)</w:t>
      </w:r>
      <w:r w:rsidRPr="003C3F9A">
        <w:rPr>
          <w:rFonts w:eastAsiaTheme="minorEastAsia"/>
          <w:kern w:val="22"/>
          <w:lang w:eastAsia="zh-CN"/>
        </w:rPr>
        <w:t>条和相关条款工作方案的可能要素；</w:t>
      </w:r>
    </w:p>
    <w:p w:rsidR="00821067" w:rsidRPr="003C3F9A" w:rsidRDefault="00821067" w:rsidP="001A42F8">
      <w:pPr>
        <w:numPr>
          <w:ilvl w:val="0"/>
          <w:numId w:val="215"/>
        </w:numPr>
        <w:tabs>
          <w:tab w:val="left" w:pos="1440"/>
        </w:tabs>
        <w:adjustRightInd w:val="0"/>
        <w:ind w:left="0" w:firstLine="720"/>
        <w:jc w:val="left"/>
        <w:rPr>
          <w:rFonts w:eastAsiaTheme="minorEastAsia"/>
          <w:kern w:val="22"/>
          <w:lang w:eastAsia="zh-CN"/>
        </w:rPr>
      </w:pPr>
      <w:r w:rsidRPr="003C3F9A">
        <w:rPr>
          <w:rFonts w:eastAsiaTheme="minorEastAsia"/>
          <w:kern w:val="22"/>
          <w:lang w:eastAsia="zh-CN"/>
        </w:rPr>
        <w:t>可能的体制安排、经验教训和当前安排的利弊；</w:t>
      </w:r>
    </w:p>
    <w:p w:rsidR="00821067" w:rsidRPr="003C3F9A" w:rsidRDefault="00821067" w:rsidP="001A42F8">
      <w:pPr>
        <w:pStyle w:val="ListParagraph"/>
        <w:numPr>
          <w:ilvl w:val="1"/>
          <w:numId w:val="210"/>
        </w:numPr>
        <w:tabs>
          <w:tab w:val="left" w:pos="1440"/>
        </w:tabs>
        <w:topLinePunct/>
        <w:adjustRightInd w:val="0"/>
        <w:ind w:left="0" w:firstLine="720"/>
        <w:rPr>
          <w:rFonts w:eastAsiaTheme="minorEastAsia"/>
          <w:kern w:val="22"/>
          <w:lang w:eastAsia="zh-CN"/>
        </w:rPr>
      </w:pPr>
      <w:r w:rsidRPr="00102C6C">
        <w:rPr>
          <w:rFonts w:ascii="KaiTi" w:eastAsia="KaiTi" w:hAnsi="KaiTi"/>
          <w:lang w:eastAsia="zh-CN"/>
        </w:rPr>
        <w:t>又请</w:t>
      </w:r>
      <w:r w:rsidRPr="003C3F9A">
        <w:rPr>
          <w:rFonts w:eastAsiaTheme="minorEastAsia"/>
          <w:kern w:val="22"/>
          <w:lang w:eastAsia="zh-CN"/>
        </w:rPr>
        <w:t>执行秘书编制从在线论坛期间收到的意见交流的摘要，提交第</w:t>
      </w:r>
      <w:r w:rsidRPr="003C3F9A">
        <w:rPr>
          <w:rFonts w:eastAsiaTheme="minorEastAsia"/>
          <w:kern w:val="22"/>
          <w:lang w:eastAsia="zh-CN"/>
        </w:rPr>
        <w:t>8(j)</w:t>
      </w:r>
      <w:r w:rsidRPr="003C3F9A">
        <w:rPr>
          <w:rFonts w:eastAsiaTheme="minorEastAsia"/>
          <w:kern w:val="22"/>
          <w:lang w:eastAsia="zh-CN"/>
        </w:rPr>
        <w:t>条和相关条款问题不限成员名额特设工作组第十一次会议；</w:t>
      </w:r>
    </w:p>
    <w:p w:rsidR="00821067" w:rsidRPr="003C3F9A" w:rsidRDefault="00821067" w:rsidP="001A42F8">
      <w:pPr>
        <w:pStyle w:val="ListParagraph"/>
        <w:numPr>
          <w:ilvl w:val="1"/>
          <w:numId w:val="210"/>
        </w:numPr>
        <w:tabs>
          <w:tab w:val="left" w:pos="1440"/>
        </w:tabs>
        <w:topLinePunct/>
        <w:adjustRightInd w:val="0"/>
        <w:ind w:left="0" w:firstLine="720"/>
        <w:rPr>
          <w:rFonts w:eastAsiaTheme="minorEastAsia"/>
          <w:kern w:val="22"/>
          <w:lang w:eastAsia="zh-CN"/>
        </w:rPr>
      </w:pPr>
      <w:r w:rsidRPr="00102C6C">
        <w:rPr>
          <w:rFonts w:ascii="KaiTi" w:eastAsia="KaiTi" w:hAnsi="KaiTi"/>
          <w:lang w:eastAsia="zh-CN"/>
        </w:rPr>
        <w:t>邀请</w:t>
      </w:r>
      <w:r w:rsidRPr="003C3F9A">
        <w:rPr>
          <w:rFonts w:eastAsiaTheme="minorEastAsia"/>
          <w:kern w:val="22"/>
          <w:lang w:eastAsia="zh-CN"/>
        </w:rPr>
        <w:t>各缔约方、各国政府、土著人民和地方社区、相关国际组织特别是其他生物多样性相关公约以及利益攸关方向执行秘书提交意见，说明作为</w:t>
      </w:r>
      <w:r w:rsidRPr="003C3F9A">
        <w:rPr>
          <w:rFonts w:eastAsiaTheme="minorEastAsia"/>
          <w:kern w:val="22"/>
          <w:lang w:eastAsia="zh-CN"/>
        </w:rPr>
        <w:t>2020</w:t>
      </w:r>
      <w:r w:rsidRPr="003C3F9A">
        <w:rPr>
          <w:rFonts w:eastAsiaTheme="minorEastAsia"/>
          <w:kern w:val="22"/>
          <w:lang w:eastAsia="zh-CN"/>
        </w:rPr>
        <w:t>年后生物多样性框架一部分的全面统筹工作方案应有哪些内容；</w:t>
      </w:r>
    </w:p>
    <w:p w:rsidR="00821067" w:rsidRPr="003C3F9A" w:rsidRDefault="00821067" w:rsidP="001A42F8">
      <w:pPr>
        <w:pStyle w:val="ListParagraph"/>
        <w:numPr>
          <w:ilvl w:val="1"/>
          <w:numId w:val="210"/>
        </w:numPr>
        <w:tabs>
          <w:tab w:val="left" w:pos="1440"/>
        </w:tabs>
        <w:topLinePunct/>
        <w:adjustRightInd w:val="0"/>
        <w:ind w:left="0" w:firstLine="720"/>
        <w:rPr>
          <w:rFonts w:eastAsiaTheme="minorEastAsia"/>
          <w:kern w:val="22"/>
          <w:lang w:eastAsia="zh-CN"/>
        </w:rPr>
      </w:pPr>
      <w:r w:rsidRPr="00102C6C">
        <w:rPr>
          <w:rFonts w:ascii="KaiTi" w:eastAsia="KaiTi" w:hAnsi="KaiTi"/>
          <w:lang w:eastAsia="zh-CN"/>
        </w:rPr>
        <w:t>邀请</w:t>
      </w:r>
      <w:r w:rsidRPr="003C3F9A">
        <w:rPr>
          <w:rFonts w:eastAsiaTheme="minorEastAsia"/>
          <w:kern w:val="22"/>
          <w:lang w:eastAsia="zh-CN"/>
        </w:rPr>
        <w:t>各缔约方、各国政府以及土著人民和地方社区向执行秘书提交日后执行第</w:t>
      </w:r>
      <w:r w:rsidRPr="003C3F9A">
        <w:rPr>
          <w:rFonts w:eastAsiaTheme="minorEastAsia"/>
          <w:kern w:val="22"/>
          <w:lang w:eastAsia="zh-CN"/>
        </w:rPr>
        <w:t>8(j)</w:t>
      </w:r>
      <w:r w:rsidRPr="003C3F9A">
        <w:rPr>
          <w:rFonts w:eastAsiaTheme="minorEastAsia"/>
          <w:kern w:val="22"/>
          <w:lang w:eastAsia="zh-CN"/>
        </w:rPr>
        <w:t>条和相关条款的可能体制安排和运作模式的意见，例如但不限于：</w:t>
      </w:r>
    </w:p>
    <w:p w:rsidR="00821067" w:rsidRPr="003C3F9A" w:rsidRDefault="00821067" w:rsidP="001A42F8">
      <w:pPr>
        <w:pStyle w:val="ListParagraph"/>
        <w:numPr>
          <w:ilvl w:val="0"/>
          <w:numId w:val="214"/>
        </w:numPr>
        <w:tabs>
          <w:tab w:val="left" w:pos="1440"/>
        </w:tabs>
        <w:topLinePunct/>
        <w:adjustRightInd w:val="0"/>
        <w:ind w:left="0" w:firstLine="720"/>
        <w:jc w:val="left"/>
        <w:rPr>
          <w:rFonts w:eastAsiaTheme="minorEastAsia"/>
          <w:kern w:val="22"/>
          <w:lang w:eastAsia="zh-CN"/>
        </w:rPr>
      </w:pPr>
      <w:r w:rsidRPr="003C3F9A">
        <w:rPr>
          <w:rFonts w:eastAsiaTheme="minorEastAsia"/>
          <w:kern w:val="22"/>
          <w:lang w:eastAsia="zh-CN"/>
        </w:rPr>
        <w:t>设立第</w:t>
      </w:r>
      <w:r w:rsidRPr="003C3F9A">
        <w:rPr>
          <w:rFonts w:eastAsiaTheme="minorEastAsia"/>
          <w:kern w:val="22"/>
          <w:lang w:eastAsia="zh-CN"/>
        </w:rPr>
        <w:t>8(j)</w:t>
      </w:r>
      <w:r w:rsidRPr="003C3F9A">
        <w:rPr>
          <w:rFonts w:eastAsiaTheme="minorEastAsia"/>
          <w:kern w:val="22"/>
          <w:lang w:eastAsia="zh-CN"/>
        </w:rPr>
        <w:t>条和相关条款问题的附属机构，负责就《公约》范围内的与土著人民和地方社区有关的事项，向缔约方大会和其他附属机构并在得到批准后向作为各议定书缔约方会议的缔约方大会提供咨询意见；</w:t>
      </w:r>
    </w:p>
    <w:p w:rsidR="00821067" w:rsidRPr="003C3F9A" w:rsidRDefault="00821067" w:rsidP="001A42F8">
      <w:pPr>
        <w:pStyle w:val="ListParagraph"/>
        <w:numPr>
          <w:ilvl w:val="0"/>
          <w:numId w:val="214"/>
        </w:numPr>
        <w:tabs>
          <w:tab w:val="left" w:pos="1440"/>
        </w:tabs>
        <w:topLinePunct/>
        <w:adjustRightInd w:val="0"/>
        <w:ind w:left="0" w:firstLine="720"/>
        <w:jc w:val="left"/>
        <w:rPr>
          <w:rFonts w:eastAsiaTheme="minorEastAsia"/>
          <w:kern w:val="22"/>
          <w:lang w:eastAsia="zh-CN"/>
        </w:rPr>
      </w:pPr>
      <w:r w:rsidRPr="003C3F9A">
        <w:rPr>
          <w:rFonts w:eastAsiaTheme="minorEastAsia"/>
          <w:kern w:val="22"/>
          <w:lang w:eastAsia="zh-CN"/>
        </w:rPr>
        <w:t>第</w:t>
      </w:r>
      <w:r w:rsidRPr="003C3F9A">
        <w:rPr>
          <w:rFonts w:eastAsiaTheme="minorEastAsia"/>
          <w:kern w:val="22"/>
          <w:lang w:eastAsia="zh-CN"/>
        </w:rPr>
        <w:t>8(j)</w:t>
      </w:r>
      <w:r w:rsidRPr="003C3F9A">
        <w:rPr>
          <w:rFonts w:eastAsiaTheme="minorEastAsia"/>
          <w:kern w:val="22"/>
          <w:lang w:eastAsia="zh-CN"/>
        </w:rPr>
        <w:t>条和相关条款问题不限成员名额特设工作组根据按</w:t>
      </w:r>
      <w:r w:rsidRPr="003C3F9A">
        <w:rPr>
          <w:rFonts w:eastAsiaTheme="minorEastAsia"/>
          <w:kern w:val="22"/>
          <w:lang w:eastAsia="zh-CN"/>
        </w:rPr>
        <w:t>2020</w:t>
      </w:r>
      <w:r w:rsidRPr="003C3F9A">
        <w:rPr>
          <w:rFonts w:eastAsiaTheme="minorEastAsia"/>
          <w:kern w:val="22"/>
          <w:lang w:eastAsia="zh-CN"/>
        </w:rPr>
        <w:t>年后生物多样性框架修订的任务规定继续运作；</w:t>
      </w:r>
    </w:p>
    <w:p w:rsidR="00821067" w:rsidRPr="003C3F9A" w:rsidRDefault="00821067" w:rsidP="001A42F8">
      <w:pPr>
        <w:pStyle w:val="ListParagraph"/>
        <w:numPr>
          <w:ilvl w:val="0"/>
          <w:numId w:val="214"/>
        </w:numPr>
        <w:tabs>
          <w:tab w:val="left" w:pos="1440"/>
        </w:tabs>
        <w:topLinePunct/>
        <w:adjustRightInd w:val="0"/>
        <w:ind w:left="0" w:firstLine="720"/>
        <w:jc w:val="left"/>
        <w:rPr>
          <w:rFonts w:eastAsiaTheme="minorEastAsia"/>
          <w:kern w:val="22"/>
          <w:lang w:eastAsia="zh-CN"/>
        </w:rPr>
      </w:pPr>
      <w:r w:rsidRPr="003C3F9A">
        <w:rPr>
          <w:rFonts w:eastAsiaTheme="minorEastAsia"/>
          <w:kern w:val="22"/>
          <w:lang w:eastAsia="zh-CN"/>
        </w:rPr>
        <w:t>在附属机构中处理与土著人民和地方社区直接有关的问题时，酌情适用第</w:t>
      </w:r>
      <w:r w:rsidRPr="003C3F9A">
        <w:rPr>
          <w:rFonts w:eastAsiaTheme="minorEastAsia"/>
          <w:kern w:val="22"/>
          <w:lang w:eastAsia="zh-CN"/>
        </w:rPr>
        <w:t>8(j)</w:t>
      </w:r>
      <w:r w:rsidRPr="003C3F9A">
        <w:rPr>
          <w:rFonts w:eastAsiaTheme="minorEastAsia"/>
          <w:kern w:val="22"/>
          <w:lang w:eastAsia="zh-CN"/>
        </w:rPr>
        <w:t>条和相关条款问题不限成员名额特设工作组为促进土著人民和地方社区代表的参与所采用的强化参与机制，以确保土著人民和地方社区的切实参与，并将其充分纳入《公约》的工作</w:t>
      </w:r>
      <w:r w:rsidRPr="003C3F9A">
        <w:rPr>
          <w:rFonts w:eastAsiaTheme="minorEastAsia"/>
          <w:lang w:eastAsia="zh-CN"/>
        </w:rPr>
        <w:t>；</w:t>
      </w:r>
    </w:p>
    <w:p w:rsidR="00821067" w:rsidRPr="003C3F9A" w:rsidRDefault="00821067" w:rsidP="001A42F8">
      <w:pPr>
        <w:pStyle w:val="ListParagraph"/>
        <w:numPr>
          <w:ilvl w:val="0"/>
          <w:numId w:val="213"/>
        </w:numPr>
        <w:tabs>
          <w:tab w:val="left" w:pos="1440"/>
        </w:tabs>
        <w:topLinePunct/>
        <w:adjustRightInd w:val="0"/>
        <w:ind w:left="0" w:firstLine="720"/>
        <w:rPr>
          <w:rFonts w:eastAsiaTheme="minorEastAsia"/>
          <w:lang w:eastAsia="zh-CN"/>
        </w:rPr>
      </w:pPr>
      <w:r w:rsidRPr="00102C6C">
        <w:rPr>
          <w:rFonts w:ascii="KaiTi" w:eastAsia="KaiTi" w:hAnsi="KaiTi"/>
          <w:lang w:eastAsia="zh-CN"/>
        </w:rPr>
        <w:t>请</w:t>
      </w:r>
      <w:r w:rsidRPr="003C3F9A">
        <w:rPr>
          <w:rFonts w:eastAsiaTheme="minorEastAsia"/>
          <w:lang w:eastAsia="zh-CN"/>
        </w:rPr>
        <w:t>执行秘书对收到的信息进行汇编和分析，以期就全面统筹的工作方案的可能要素提出建议，作为</w:t>
      </w:r>
      <w:r w:rsidRPr="003C3F9A">
        <w:rPr>
          <w:rFonts w:eastAsiaTheme="minorEastAsia"/>
          <w:lang w:eastAsia="zh-CN"/>
        </w:rPr>
        <w:t>2020</w:t>
      </w:r>
      <w:r w:rsidRPr="003C3F9A">
        <w:rPr>
          <w:rFonts w:eastAsiaTheme="minorEastAsia"/>
          <w:lang w:eastAsia="zh-CN"/>
        </w:rPr>
        <w:t>年后生物多样性框架和可能体制安排及其工作方法的一部分，供第</w:t>
      </w:r>
      <w:r w:rsidRPr="003C3F9A">
        <w:rPr>
          <w:rFonts w:eastAsiaTheme="minorEastAsia"/>
          <w:lang w:eastAsia="zh-CN"/>
        </w:rPr>
        <w:t>8(j)</w:t>
      </w:r>
      <w:r w:rsidRPr="003C3F9A">
        <w:rPr>
          <w:rFonts w:eastAsiaTheme="minorEastAsia"/>
          <w:lang w:eastAsia="zh-CN"/>
        </w:rPr>
        <w:t>条和相关条款问题不限成员名额特设工作组第十一次会议审议；</w:t>
      </w:r>
    </w:p>
    <w:p w:rsidR="00821067" w:rsidRPr="003C3F9A" w:rsidRDefault="00821067" w:rsidP="001A42F8">
      <w:pPr>
        <w:pStyle w:val="ListParagraph"/>
        <w:numPr>
          <w:ilvl w:val="0"/>
          <w:numId w:val="213"/>
        </w:numPr>
        <w:tabs>
          <w:tab w:val="left" w:pos="1440"/>
        </w:tabs>
        <w:topLinePunct/>
        <w:adjustRightInd w:val="0"/>
        <w:ind w:left="0" w:firstLine="720"/>
        <w:rPr>
          <w:rFonts w:eastAsiaTheme="minorEastAsia"/>
          <w:lang w:eastAsia="zh-CN"/>
        </w:rPr>
      </w:pPr>
      <w:r w:rsidRPr="00102C6C">
        <w:rPr>
          <w:rFonts w:ascii="KaiTi" w:eastAsia="KaiTi" w:hAnsi="KaiTi"/>
          <w:lang w:eastAsia="zh-CN"/>
        </w:rPr>
        <w:t>又请</w:t>
      </w:r>
      <w:r w:rsidRPr="003C3F9A">
        <w:rPr>
          <w:rFonts w:eastAsiaTheme="minorEastAsia"/>
          <w:lang w:eastAsia="zh-CN"/>
        </w:rPr>
        <w:t>执行秘书编制关于</w:t>
      </w:r>
      <w:r w:rsidRPr="003C3F9A">
        <w:rPr>
          <w:rFonts w:eastAsiaTheme="minorEastAsia"/>
          <w:lang w:eastAsia="zh-CN"/>
        </w:rPr>
        <w:t>2021-2022</w:t>
      </w:r>
      <w:r w:rsidRPr="003C3F9A">
        <w:rPr>
          <w:rFonts w:eastAsiaTheme="minorEastAsia"/>
          <w:lang w:eastAsia="zh-CN"/>
        </w:rPr>
        <w:t>两年期第</w:t>
      </w:r>
      <w:r w:rsidRPr="003C3F9A">
        <w:rPr>
          <w:rFonts w:eastAsiaTheme="minorEastAsia"/>
          <w:kern w:val="22"/>
          <w:lang w:eastAsia="zh-CN"/>
        </w:rPr>
        <w:t>8(j)</w:t>
      </w:r>
      <w:r w:rsidRPr="003C3F9A">
        <w:rPr>
          <w:rFonts w:eastAsiaTheme="minorEastAsia"/>
          <w:lang w:eastAsia="zh-CN"/>
        </w:rPr>
        <w:t>条和相关条款执行工作可能的体制安排所涉经费和治理的预测，供执行问题附属机构第三次会议审议；</w:t>
      </w:r>
    </w:p>
    <w:p w:rsidR="00821067" w:rsidRPr="003C3F9A" w:rsidRDefault="00821067" w:rsidP="001A42F8">
      <w:pPr>
        <w:pStyle w:val="ListParagraph"/>
        <w:numPr>
          <w:ilvl w:val="0"/>
          <w:numId w:val="213"/>
        </w:numPr>
        <w:tabs>
          <w:tab w:val="left" w:pos="1440"/>
        </w:tabs>
        <w:topLinePunct/>
        <w:adjustRightInd w:val="0"/>
        <w:ind w:left="0" w:firstLine="720"/>
        <w:rPr>
          <w:rFonts w:eastAsiaTheme="minorEastAsia"/>
          <w:lang w:eastAsia="zh-CN"/>
        </w:rPr>
      </w:pPr>
      <w:r w:rsidRPr="00102C6C">
        <w:rPr>
          <w:rFonts w:ascii="KaiTi" w:eastAsia="KaiTi" w:hAnsi="KaiTi"/>
          <w:lang w:eastAsia="zh-CN"/>
        </w:rPr>
        <w:lastRenderedPageBreak/>
        <w:t>请</w:t>
      </w:r>
      <w:r w:rsidRPr="003C3F9A">
        <w:rPr>
          <w:rFonts w:eastAsiaTheme="minorEastAsia"/>
          <w:lang w:eastAsia="zh-CN"/>
        </w:rPr>
        <w:t>第</w:t>
      </w:r>
      <w:r w:rsidRPr="003C3F9A">
        <w:rPr>
          <w:rFonts w:eastAsiaTheme="minorEastAsia"/>
          <w:lang w:eastAsia="zh-CN"/>
        </w:rPr>
        <w:t>8(j)</w:t>
      </w:r>
      <w:r w:rsidRPr="003C3F9A">
        <w:rPr>
          <w:rFonts w:eastAsiaTheme="minorEastAsia"/>
          <w:lang w:eastAsia="zh-CN"/>
        </w:rPr>
        <w:t>条和相关条款问题不限成员名额特设工作组在其第十一次会议上编制今后可能开展的工作的建议，包括关于《可持续习惯使用行动计划》第二阶段以及体制安排及其工作方法的建议，供执行问题附属机构第三次会议审议，以便为制定作为</w:t>
      </w:r>
      <w:r w:rsidRPr="003C3F9A">
        <w:rPr>
          <w:rFonts w:eastAsiaTheme="minorEastAsia"/>
          <w:lang w:eastAsia="zh-CN"/>
        </w:rPr>
        <w:t>2020</w:t>
      </w:r>
      <w:r w:rsidRPr="003C3F9A">
        <w:rPr>
          <w:rFonts w:eastAsiaTheme="minorEastAsia"/>
          <w:lang w:eastAsia="zh-CN"/>
        </w:rPr>
        <w:t>年后生物多样性框架一部分的全面统筹的工作方案提供意见，同时注意到其他相关国际论坛和组织的发展情况；</w:t>
      </w:r>
    </w:p>
    <w:p w:rsidR="00821067" w:rsidRPr="003C3F9A" w:rsidRDefault="00821067" w:rsidP="001A42F8">
      <w:pPr>
        <w:pStyle w:val="ListParagraph"/>
        <w:numPr>
          <w:ilvl w:val="0"/>
          <w:numId w:val="213"/>
        </w:numPr>
        <w:tabs>
          <w:tab w:val="left" w:pos="1440"/>
        </w:tabs>
        <w:topLinePunct/>
        <w:adjustRightInd w:val="0"/>
        <w:ind w:left="0" w:firstLine="720"/>
        <w:jc w:val="left"/>
        <w:rPr>
          <w:rFonts w:eastAsiaTheme="minorEastAsia"/>
          <w:lang w:eastAsia="zh-CN"/>
        </w:rPr>
      </w:pPr>
      <w:r w:rsidRPr="00102C6C">
        <w:rPr>
          <w:rFonts w:ascii="KaiTi" w:eastAsia="KaiTi" w:hAnsi="KaiTi"/>
          <w:lang w:eastAsia="zh-CN"/>
        </w:rPr>
        <w:t>请</w:t>
      </w:r>
      <w:r w:rsidRPr="003C3F9A">
        <w:rPr>
          <w:rFonts w:eastAsiaTheme="minorEastAsia"/>
          <w:lang w:eastAsia="zh-CN"/>
        </w:rPr>
        <w:t>执行秘书在资源允许的情况下提供适当协助，使土著人民和地方社区代表能够有效参与《公约》下的广泛讨论和进程，包括通过参与将要确定</w:t>
      </w:r>
      <w:r w:rsidRPr="003C3F9A">
        <w:rPr>
          <w:rFonts w:eastAsiaTheme="minorEastAsia"/>
          <w:lang w:eastAsia="zh-CN"/>
        </w:rPr>
        <w:t>2020</w:t>
      </w:r>
      <w:r w:rsidRPr="003C3F9A">
        <w:rPr>
          <w:rFonts w:eastAsiaTheme="minorEastAsia"/>
          <w:lang w:eastAsia="zh-CN"/>
        </w:rPr>
        <w:t>年后生物多样性框架的区域协商，以便利将有关第</w:t>
      </w:r>
      <w:r w:rsidRPr="003C3F9A">
        <w:rPr>
          <w:rFonts w:eastAsiaTheme="minorEastAsia"/>
          <w:lang w:eastAsia="zh-CN"/>
        </w:rPr>
        <w:t>8(j)</w:t>
      </w:r>
      <w:r w:rsidRPr="003C3F9A">
        <w:rPr>
          <w:rFonts w:eastAsiaTheme="minorEastAsia"/>
          <w:lang w:eastAsia="zh-CN"/>
        </w:rPr>
        <w:t>条和相关条款的任何进一步工作纳入《公约》工作。</w:t>
      </w:r>
    </w:p>
    <w:p w:rsidR="00821067" w:rsidRDefault="00821067" w:rsidP="005F5897">
      <w:pPr>
        <w:adjustRightInd w:val="0"/>
        <w:jc w:val="center"/>
        <w:rPr>
          <w:kern w:val="22"/>
          <w:lang w:eastAsia="zh-CN"/>
        </w:rPr>
      </w:pPr>
      <w:r>
        <w:rPr>
          <w:rFonts w:hint="eastAsia"/>
          <w:kern w:val="22"/>
          <w:lang w:eastAsia="zh-CN"/>
        </w:rPr>
        <w:t xml:space="preserve"> </w:t>
      </w:r>
    </w:p>
    <w:p w:rsidR="003C3F9A" w:rsidRDefault="003C3F9A">
      <w:pPr>
        <w:rPr>
          <w:b/>
          <w:bCs/>
          <w:noProof/>
          <w:kern w:val="22"/>
          <w:szCs w:val="32"/>
          <w:lang w:eastAsia="zh-CN"/>
        </w:rPr>
      </w:pPr>
      <w:r>
        <w:rPr>
          <w:noProof/>
          <w:kern w:val="22"/>
          <w:lang w:eastAsia="zh-CN"/>
        </w:rPr>
        <w:br w:type="page"/>
      </w:r>
    </w:p>
    <w:p w:rsidR="00821067" w:rsidRPr="003C3F9A" w:rsidRDefault="00102C6C" w:rsidP="003C3F9A">
      <w:pPr>
        <w:pStyle w:val="Heading1"/>
        <w:adjustRightInd w:val="0"/>
        <w:spacing w:before="120" w:after="120"/>
        <w:rPr>
          <w:rFonts w:eastAsiaTheme="minorEastAsia" w:cs="Times New Roman"/>
          <w:noProof/>
          <w:kern w:val="22"/>
          <w:sz w:val="24"/>
          <w:lang w:eastAsia="zh-CN"/>
        </w:rPr>
      </w:pPr>
      <w:bookmarkStart w:id="179" w:name="_Toc6243770"/>
      <w:r>
        <w:rPr>
          <w:rFonts w:eastAsiaTheme="minorEastAsia" w:cs="Times New Roman"/>
          <w:noProof/>
          <w:kern w:val="22"/>
          <w:sz w:val="24"/>
          <w:lang w:eastAsia="zh-CN"/>
        </w:rPr>
        <w:lastRenderedPageBreak/>
        <w:t>14/18</w:t>
      </w:r>
      <w:r w:rsidR="00821067" w:rsidRPr="003C3F9A">
        <w:rPr>
          <w:rFonts w:eastAsiaTheme="minorEastAsia" w:cs="Times New Roman"/>
          <w:noProof/>
          <w:kern w:val="22"/>
          <w:sz w:val="24"/>
          <w:lang w:eastAsia="zh-CN"/>
        </w:rPr>
        <w:t xml:space="preserve">.     </w:t>
      </w:r>
      <w:r w:rsidR="00821067" w:rsidRPr="003C3F9A">
        <w:rPr>
          <w:rFonts w:eastAsiaTheme="minorEastAsia" w:cs="Times New Roman"/>
          <w:noProof/>
          <w:kern w:val="22"/>
          <w:sz w:val="24"/>
          <w:lang w:eastAsia="zh-CN"/>
        </w:rPr>
        <w:t>性别平等行动计划</w:t>
      </w:r>
      <w:bookmarkEnd w:id="179"/>
      <w:r w:rsidR="00821067" w:rsidRPr="003C3F9A">
        <w:rPr>
          <w:rFonts w:eastAsiaTheme="minorEastAsia" w:cs="Times New Roman"/>
          <w:noProof/>
          <w:kern w:val="22"/>
          <w:sz w:val="24"/>
          <w:lang w:eastAsia="zh-CN"/>
        </w:rPr>
        <w:t xml:space="preserve"> </w:t>
      </w:r>
    </w:p>
    <w:p w:rsidR="00821067" w:rsidRPr="00E40630" w:rsidRDefault="00821067" w:rsidP="005F5897">
      <w:pPr>
        <w:pStyle w:val="Para1"/>
        <w:tabs>
          <w:tab w:val="clear" w:pos="360"/>
        </w:tabs>
        <w:spacing w:beforeLines="50" w:line="240" w:lineRule="atLeast"/>
        <w:rPr>
          <w:rFonts w:hAnsi="SimSun"/>
          <w:i/>
          <w:noProof/>
          <w:kern w:val="22"/>
          <w:sz w:val="24"/>
          <w:szCs w:val="24"/>
          <w:lang w:eastAsia="zh-CN"/>
        </w:rPr>
      </w:pPr>
      <w:r w:rsidRPr="00E40630">
        <w:rPr>
          <w:rFonts w:ascii="KaiTi" w:eastAsia="KaiTi" w:hAnsi="KaiTi"/>
          <w:kern w:val="22"/>
          <w:sz w:val="24"/>
          <w:szCs w:val="24"/>
          <w:lang w:val="zh-CN" w:eastAsia="zh-CN"/>
        </w:rPr>
        <w:t>缔约方大会</w:t>
      </w:r>
      <w:r w:rsidRPr="00E40630">
        <w:rPr>
          <w:rFonts w:hAnsi="SimSun"/>
          <w:noProof/>
          <w:kern w:val="22"/>
          <w:sz w:val="24"/>
          <w:szCs w:val="24"/>
          <w:lang w:eastAsia="zh-CN"/>
        </w:rPr>
        <w:t>，</w:t>
      </w:r>
    </w:p>
    <w:p w:rsidR="00821067" w:rsidRPr="00102C6C" w:rsidRDefault="00821067" w:rsidP="005F5897">
      <w:pPr>
        <w:pStyle w:val="NormalWeb"/>
        <w:suppressLineNumbers/>
        <w:suppressAutoHyphens/>
        <w:kinsoku w:val="0"/>
        <w:overflowPunct w:val="0"/>
        <w:autoSpaceDE w:val="0"/>
        <w:autoSpaceDN w:val="0"/>
        <w:adjustRightInd w:val="0"/>
        <w:spacing w:before="120" w:beforeAutospacing="0" w:after="120" w:afterAutospacing="0" w:line="240" w:lineRule="atLeast"/>
        <w:rPr>
          <w:rFonts w:ascii="Times New Roman" w:eastAsiaTheme="minorEastAsia" w:hAnsi="Times New Roman" w:cs="Times New Roman"/>
          <w:kern w:val="22"/>
          <w:lang w:val="en-GB" w:eastAsia="zh-CN"/>
        </w:rPr>
      </w:pPr>
      <w:r w:rsidRPr="00102C6C">
        <w:rPr>
          <w:rFonts w:ascii="Times New Roman" w:eastAsia="KaiTi" w:hAnsi="Times New Roman" w:cs="Times New Roman"/>
          <w:kern w:val="22"/>
          <w:lang w:val="en-GB" w:eastAsia="zh-CN"/>
        </w:rPr>
        <w:t>回顾</w:t>
      </w:r>
      <w:r w:rsidRPr="00102C6C">
        <w:rPr>
          <w:rFonts w:ascii="Times New Roman" w:eastAsiaTheme="minorEastAsia" w:hAnsi="Times New Roman" w:cs="Times New Roman"/>
          <w:kern w:val="22"/>
          <w:lang w:val="en-GB" w:eastAsia="zh-CN"/>
        </w:rPr>
        <w:t>第</w:t>
      </w:r>
      <w:r w:rsidRPr="00102C6C">
        <w:rPr>
          <w:rFonts w:ascii="Times New Roman" w:eastAsiaTheme="minorEastAsia" w:hAnsi="Times New Roman" w:cs="Times New Roman"/>
          <w:kern w:val="22"/>
          <w:lang w:val="en-GB" w:eastAsia="zh-CN"/>
        </w:rPr>
        <w:t>XII/7</w:t>
      </w:r>
      <w:r w:rsidRPr="00102C6C">
        <w:rPr>
          <w:rFonts w:ascii="Times New Roman" w:eastAsiaTheme="minorEastAsia" w:hAnsi="Times New Roman" w:cs="Times New Roman"/>
          <w:kern w:val="22"/>
          <w:lang w:val="en-GB" w:eastAsia="zh-CN"/>
        </w:rPr>
        <w:t>号决定，该决定对《公约》的《</w:t>
      </w:r>
      <w:r w:rsidRPr="00102C6C">
        <w:rPr>
          <w:rFonts w:ascii="Times New Roman" w:eastAsiaTheme="minorEastAsia" w:hAnsi="Times New Roman" w:cs="Times New Roman"/>
          <w:kern w:val="22"/>
          <w:lang w:val="en-GB" w:eastAsia="zh-CN"/>
        </w:rPr>
        <w:t>2015-2020</w:t>
      </w:r>
      <w:r w:rsidRPr="00102C6C">
        <w:rPr>
          <w:rFonts w:ascii="Times New Roman" w:eastAsiaTheme="minorEastAsia" w:hAnsi="Times New Roman" w:cs="Times New Roman"/>
          <w:kern w:val="22"/>
          <w:lang w:val="en-GB" w:eastAsia="zh-CN"/>
        </w:rPr>
        <w:t>年性别平等行动计划》表示欢迎，</w:t>
      </w:r>
    </w:p>
    <w:p w:rsidR="00821067" w:rsidRPr="00102C6C" w:rsidRDefault="00821067" w:rsidP="005F5897">
      <w:pPr>
        <w:pStyle w:val="NormalWeb"/>
        <w:suppressLineNumbers/>
        <w:suppressAutoHyphens/>
        <w:kinsoku w:val="0"/>
        <w:overflowPunct w:val="0"/>
        <w:autoSpaceDE w:val="0"/>
        <w:autoSpaceDN w:val="0"/>
        <w:adjustRightInd w:val="0"/>
        <w:spacing w:before="120" w:beforeAutospacing="0" w:after="120" w:afterAutospacing="0" w:line="240" w:lineRule="atLeast"/>
        <w:rPr>
          <w:rFonts w:ascii="Times New Roman" w:eastAsiaTheme="minorEastAsia" w:hAnsi="Times New Roman" w:cs="Times New Roman"/>
          <w:kern w:val="22"/>
          <w:lang w:eastAsia="zh-CN"/>
        </w:rPr>
      </w:pPr>
      <w:r w:rsidRPr="00102C6C">
        <w:rPr>
          <w:rFonts w:ascii="Times New Roman" w:eastAsia="KaiTi" w:hAnsi="Times New Roman" w:cs="Times New Roman"/>
          <w:kern w:val="22"/>
          <w:lang w:val="en-GB" w:eastAsia="zh-CN"/>
        </w:rPr>
        <w:t>注意到</w:t>
      </w:r>
      <w:r w:rsidRPr="00102C6C">
        <w:rPr>
          <w:rFonts w:ascii="Times New Roman" w:eastAsiaTheme="minorEastAsia" w:hAnsi="Times New Roman" w:cs="Times New Roman"/>
          <w:kern w:val="22"/>
          <w:lang w:eastAsia="zh-CN"/>
        </w:rPr>
        <w:t>《</w:t>
      </w:r>
      <w:r w:rsidRPr="00102C6C">
        <w:rPr>
          <w:rFonts w:ascii="Times New Roman" w:eastAsiaTheme="minorEastAsia" w:hAnsi="Times New Roman" w:cs="Times New Roman"/>
          <w:kern w:val="22"/>
          <w:lang w:eastAsia="zh-CN"/>
        </w:rPr>
        <w:t>2015-2020</w:t>
      </w:r>
      <w:r w:rsidRPr="00102C6C">
        <w:rPr>
          <w:rFonts w:ascii="Times New Roman" w:eastAsiaTheme="minorEastAsia" w:hAnsi="Times New Roman" w:cs="Times New Roman"/>
          <w:kern w:val="22"/>
          <w:lang w:eastAsia="zh-CN"/>
        </w:rPr>
        <w:t>年性别平等行动计划》已达到中间点，同时认识到需要有效地执行《行动计划》，包括实现《爱知生物多样性指标》和《</w:t>
      </w:r>
      <w:r w:rsidRPr="00102C6C">
        <w:rPr>
          <w:rFonts w:ascii="Times New Roman" w:eastAsiaTheme="minorEastAsia" w:hAnsi="Times New Roman" w:cs="Times New Roman"/>
          <w:kern w:val="22"/>
          <w:lang w:eastAsia="zh-CN"/>
        </w:rPr>
        <w:t>2011-2020</w:t>
      </w:r>
      <w:r w:rsidRPr="00102C6C">
        <w:rPr>
          <w:rFonts w:ascii="Times New Roman" w:eastAsiaTheme="minorEastAsia" w:hAnsi="Times New Roman" w:cs="Times New Roman"/>
          <w:kern w:val="22"/>
          <w:lang w:eastAsia="zh-CN"/>
        </w:rPr>
        <w:t>年生物多样性战略计划》，</w:t>
      </w:r>
    </w:p>
    <w:p w:rsidR="00821067" w:rsidRPr="00102C6C" w:rsidRDefault="00821067" w:rsidP="001A42F8">
      <w:pPr>
        <w:pStyle w:val="NormalWeb"/>
        <w:numPr>
          <w:ilvl w:val="0"/>
          <w:numId w:val="216"/>
        </w:numPr>
        <w:suppressLineNumbers/>
        <w:suppressAutoHyphens/>
        <w:kinsoku w:val="0"/>
        <w:overflowPunct w:val="0"/>
        <w:autoSpaceDE w:val="0"/>
        <w:autoSpaceDN w:val="0"/>
        <w:adjustRightInd w:val="0"/>
        <w:spacing w:before="120" w:beforeAutospacing="0" w:after="120" w:afterAutospacing="0" w:line="240" w:lineRule="atLeast"/>
        <w:ind w:left="0" w:firstLine="720"/>
        <w:rPr>
          <w:rFonts w:ascii="Times New Roman" w:eastAsiaTheme="minorEastAsia" w:hAnsi="Times New Roman" w:cs="Times New Roman"/>
          <w:kern w:val="22"/>
          <w:lang w:val="en-GB" w:eastAsia="zh-CN"/>
        </w:rPr>
      </w:pPr>
      <w:r w:rsidRPr="00102C6C">
        <w:rPr>
          <w:rFonts w:ascii="Times New Roman" w:eastAsia="KaiTi" w:hAnsi="Times New Roman" w:cs="Times New Roman"/>
          <w:kern w:val="22"/>
          <w:lang w:val="en-GB" w:eastAsia="zh-CN"/>
        </w:rPr>
        <w:t>欢迎</w:t>
      </w:r>
      <w:r w:rsidRPr="00102C6C">
        <w:rPr>
          <w:rFonts w:ascii="Times New Roman" w:eastAsiaTheme="minorEastAsia" w:hAnsi="Times New Roman" w:cs="Times New Roman"/>
          <w:lang w:eastAsia="zh-CN"/>
        </w:rPr>
        <w:t>关于《</w:t>
      </w:r>
      <w:r w:rsidRPr="00102C6C">
        <w:rPr>
          <w:rFonts w:ascii="Times New Roman" w:eastAsiaTheme="minorEastAsia" w:hAnsi="Times New Roman" w:cs="Times New Roman"/>
          <w:kern w:val="22"/>
          <w:lang w:eastAsia="zh-CN"/>
        </w:rPr>
        <w:t>2015-2020</w:t>
      </w:r>
      <w:r w:rsidRPr="00102C6C">
        <w:rPr>
          <w:rFonts w:ascii="Times New Roman" w:eastAsiaTheme="minorEastAsia" w:hAnsi="Times New Roman" w:cs="Times New Roman"/>
          <w:lang w:eastAsia="zh-CN"/>
        </w:rPr>
        <w:t>年性别平等行动计划》执行进展情况的最新评估</w:t>
      </w:r>
      <w:r w:rsidRPr="00102C6C">
        <w:rPr>
          <w:rFonts w:ascii="Times New Roman" w:eastAsiaTheme="minorEastAsia" w:hAnsi="Times New Roman" w:cs="Times New Roman"/>
          <w:kern w:val="22"/>
          <w:lang w:val="en-GB" w:eastAsia="zh-CN"/>
        </w:rPr>
        <w:t>；</w:t>
      </w:r>
      <w:r w:rsidRPr="00102C6C">
        <w:rPr>
          <w:rStyle w:val="FootnoteReference"/>
          <w:rFonts w:ascii="Times New Roman" w:eastAsiaTheme="minorEastAsia" w:hAnsi="Times New Roman"/>
          <w:kern w:val="22"/>
          <w:sz w:val="24"/>
          <w:u w:val="none"/>
          <w:vertAlign w:val="superscript"/>
          <w:lang w:val="en-GB"/>
        </w:rPr>
        <w:footnoteReference w:id="254"/>
      </w:r>
    </w:p>
    <w:p w:rsidR="00821067" w:rsidRPr="00102C6C" w:rsidRDefault="00821067" w:rsidP="001A42F8">
      <w:pPr>
        <w:pStyle w:val="NormalWeb"/>
        <w:numPr>
          <w:ilvl w:val="0"/>
          <w:numId w:val="216"/>
        </w:numPr>
        <w:suppressLineNumbers/>
        <w:suppressAutoHyphens/>
        <w:kinsoku w:val="0"/>
        <w:overflowPunct w:val="0"/>
        <w:autoSpaceDE w:val="0"/>
        <w:autoSpaceDN w:val="0"/>
        <w:adjustRightInd w:val="0"/>
        <w:spacing w:before="120" w:beforeAutospacing="0" w:after="120" w:afterAutospacing="0" w:line="240" w:lineRule="atLeast"/>
        <w:ind w:left="0" w:firstLine="720"/>
        <w:rPr>
          <w:rFonts w:ascii="Times New Roman" w:eastAsiaTheme="minorEastAsia" w:hAnsi="Times New Roman" w:cs="Times New Roman"/>
          <w:kern w:val="22"/>
          <w:lang w:val="en-GB" w:eastAsia="zh-CN"/>
        </w:rPr>
      </w:pPr>
      <w:r w:rsidRPr="00102C6C">
        <w:rPr>
          <w:rFonts w:ascii="Times New Roman" w:eastAsia="KaiTi" w:hAnsi="Times New Roman" w:cs="Times New Roman"/>
          <w:kern w:val="22"/>
          <w:lang w:val="en-GB" w:eastAsia="zh-CN"/>
        </w:rPr>
        <w:t>强调</w:t>
      </w:r>
      <w:r w:rsidRPr="00102C6C">
        <w:rPr>
          <w:rFonts w:ascii="Times New Roman" w:eastAsiaTheme="minorEastAsia" w:hAnsi="Times New Roman" w:cs="Times New Roman"/>
          <w:kern w:val="22"/>
          <w:lang w:val="en-GB" w:eastAsia="zh-CN"/>
        </w:rPr>
        <w:t>必须在制定</w:t>
      </w:r>
      <w:r w:rsidRPr="00102C6C">
        <w:rPr>
          <w:rFonts w:ascii="Times New Roman" w:eastAsiaTheme="minorEastAsia" w:hAnsi="Times New Roman" w:cs="Times New Roman"/>
          <w:kern w:val="22"/>
          <w:lang w:val="en-GB" w:eastAsia="zh-CN"/>
        </w:rPr>
        <w:t>2020</w:t>
      </w:r>
      <w:r w:rsidRPr="00102C6C">
        <w:rPr>
          <w:rFonts w:ascii="Times New Roman" w:eastAsiaTheme="minorEastAsia" w:hAnsi="Times New Roman" w:cs="Times New Roman"/>
          <w:kern w:val="22"/>
          <w:lang w:val="en-GB" w:eastAsia="zh-CN"/>
        </w:rPr>
        <w:t>年后生物多样性框架时依据《可持续发展目标》的性别平等目标</w:t>
      </w:r>
      <w:r w:rsidRPr="00314EE8">
        <w:rPr>
          <w:rStyle w:val="FootnoteReference"/>
          <w:rFonts w:ascii="Times New Roman" w:eastAsiaTheme="minorEastAsia" w:hAnsi="Times New Roman"/>
          <w:sz w:val="24"/>
          <w:szCs w:val="20"/>
          <w:u w:val="none"/>
          <w:vertAlign w:val="superscript"/>
          <w:lang w:val="en-GB"/>
        </w:rPr>
        <w:footnoteReference w:id="255"/>
      </w:r>
      <w:r w:rsidRPr="00314EE8">
        <w:rPr>
          <w:rStyle w:val="FootnoteReference"/>
          <w:sz w:val="24"/>
          <w:szCs w:val="20"/>
          <w:u w:val="none"/>
          <w:vertAlign w:val="superscript"/>
          <w:lang w:eastAsia="zh-CN"/>
        </w:rPr>
        <w:t xml:space="preserve"> </w:t>
      </w:r>
      <w:r w:rsidRPr="00102C6C">
        <w:rPr>
          <w:rFonts w:ascii="Times New Roman" w:eastAsiaTheme="minorEastAsia" w:hAnsi="Times New Roman" w:cs="Times New Roman"/>
          <w:kern w:val="22"/>
          <w:lang w:val="en-GB" w:eastAsia="zh-CN"/>
        </w:rPr>
        <w:t>处理性别因素；</w:t>
      </w:r>
    </w:p>
    <w:p w:rsidR="00821067" w:rsidRPr="00102C6C" w:rsidRDefault="00821067" w:rsidP="001A42F8">
      <w:pPr>
        <w:pStyle w:val="NormalWeb"/>
        <w:numPr>
          <w:ilvl w:val="0"/>
          <w:numId w:val="216"/>
        </w:numPr>
        <w:suppressLineNumbers/>
        <w:suppressAutoHyphens/>
        <w:kinsoku w:val="0"/>
        <w:overflowPunct w:val="0"/>
        <w:autoSpaceDE w:val="0"/>
        <w:autoSpaceDN w:val="0"/>
        <w:adjustRightInd w:val="0"/>
        <w:spacing w:before="120" w:beforeAutospacing="0" w:after="120" w:afterAutospacing="0" w:line="240" w:lineRule="atLeast"/>
        <w:ind w:left="0" w:firstLine="720"/>
        <w:rPr>
          <w:rFonts w:ascii="Times New Roman" w:eastAsiaTheme="minorEastAsia" w:hAnsi="Times New Roman" w:cs="Times New Roman"/>
          <w:kern w:val="22"/>
          <w:lang w:val="en-GB" w:eastAsia="zh-CN"/>
        </w:rPr>
      </w:pPr>
      <w:r w:rsidRPr="00102C6C">
        <w:rPr>
          <w:rFonts w:ascii="Times New Roman" w:eastAsia="KaiTi" w:hAnsi="Times New Roman" w:cs="Times New Roman"/>
          <w:kern w:val="22"/>
          <w:lang w:val="en-GB" w:eastAsia="zh-CN"/>
        </w:rPr>
        <w:t>鼓励</w:t>
      </w:r>
      <w:r w:rsidRPr="00102C6C">
        <w:rPr>
          <w:rFonts w:ascii="Times New Roman" w:eastAsiaTheme="minorEastAsia" w:hAnsi="Times New Roman" w:cs="Times New Roman"/>
          <w:kern w:val="22"/>
          <w:lang w:val="en-GB" w:eastAsia="zh-CN"/>
        </w:rPr>
        <w:t>各缔约方制定和执行促进性别平等战略和行动，以支持执行《公约》和《</w:t>
      </w:r>
      <w:r w:rsidRPr="00102C6C">
        <w:rPr>
          <w:rFonts w:ascii="Times New Roman" w:eastAsiaTheme="minorEastAsia" w:hAnsi="Times New Roman" w:cs="Times New Roman"/>
          <w:kern w:val="22"/>
          <w:lang w:eastAsia="zh-CN"/>
        </w:rPr>
        <w:t>2011-2020</w:t>
      </w:r>
      <w:r w:rsidRPr="00102C6C">
        <w:rPr>
          <w:rFonts w:ascii="Times New Roman" w:eastAsiaTheme="minorEastAsia" w:hAnsi="Times New Roman" w:cs="Times New Roman"/>
          <w:kern w:val="22"/>
          <w:lang w:val="en-GB" w:eastAsia="zh-CN"/>
        </w:rPr>
        <w:t>年生物多样性战略计划》</w:t>
      </w:r>
      <w:r w:rsidRPr="00102C6C">
        <w:rPr>
          <w:rFonts w:ascii="Times New Roman" w:eastAsiaTheme="minorEastAsia" w:hAnsi="Times New Roman" w:cs="Times New Roman"/>
          <w:kern w:val="22"/>
          <w:lang w:val="en-GB" w:eastAsia="zh-CN"/>
        </w:rPr>
        <w:t xml:space="preserve"> </w:t>
      </w:r>
      <w:r w:rsidRPr="00102C6C">
        <w:rPr>
          <w:rFonts w:ascii="Times New Roman" w:eastAsiaTheme="minorEastAsia" w:hAnsi="Times New Roman" w:cs="Times New Roman"/>
          <w:kern w:val="22"/>
          <w:lang w:val="en-GB" w:eastAsia="zh-CN"/>
        </w:rPr>
        <w:t>；</w:t>
      </w:r>
    </w:p>
    <w:p w:rsidR="00821067" w:rsidRPr="00102C6C" w:rsidRDefault="00821067" w:rsidP="001A42F8">
      <w:pPr>
        <w:pStyle w:val="NormalWeb"/>
        <w:numPr>
          <w:ilvl w:val="0"/>
          <w:numId w:val="216"/>
        </w:numPr>
        <w:suppressLineNumbers/>
        <w:suppressAutoHyphens/>
        <w:kinsoku w:val="0"/>
        <w:overflowPunct w:val="0"/>
        <w:autoSpaceDE w:val="0"/>
        <w:autoSpaceDN w:val="0"/>
        <w:adjustRightInd w:val="0"/>
        <w:spacing w:before="120" w:beforeAutospacing="0" w:after="120" w:afterAutospacing="0" w:line="240" w:lineRule="atLeast"/>
        <w:ind w:left="0" w:firstLine="720"/>
        <w:rPr>
          <w:rFonts w:ascii="Times New Roman" w:eastAsiaTheme="minorEastAsia" w:hAnsi="Times New Roman" w:cs="Times New Roman"/>
          <w:kern w:val="22"/>
          <w:lang w:val="en-GB" w:eastAsia="zh-CN"/>
        </w:rPr>
      </w:pPr>
      <w:r w:rsidRPr="00102C6C">
        <w:rPr>
          <w:rFonts w:ascii="Times New Roman" w:eastAsia="KaiTi" w:hAnsi="Times New Roman" w:cs="Times New Roman"/>
          <w:kern w:val="22"/>
          <w:lang w:val="en-GB" w:eastAsia="zh-CN"/>
        </w:rPr>
        <w:t>鼓励</w:t>
      </w:r>
      <w:r w:rsidRPr="00102C6C">
        <w:rPr>
          <w:rFonts w:ascii="Times New Roman" w:eastAsiaTheme="minorEastAsia" w:hAnsi="Times New Roman" w:cs="Times New Roman"/>
          <w:kern w:val="22"/>
          <w:lang w:val="en-GB" w:eastAsia="zh-CN"/>
        </w:rPr>
        <w:t>各缔约方并</w:t>
      </w:r>
      <w:r w:rsidRPr="00102C6C">
        <w:rPr>
          <w:rFonts w:ascii="Times New Roman" w:eastAsia="KaiTi" w:hAnsi="Times New Roman" w:cs="Times New Roman"/>
          <w:kern w:val="22"/>
          <w:lang w:val="en-GB" w:eastAsia="zh-CN"/>
        </w:rPr>
        <w:t>邀请</w:t>
      </w:r>
      <w:r w:rsidRPr="00102C6C">
        <w:rPr>
          <w:rFonts w:ascii="Times New Roman" w:eastAsiaTheme="minorEastAsia" w:hAnsi="Times New Roman" w:cs="Times New Roman"/>
          <w:kern w:val="22"/>
          <w:lang w:val="en-GB" w:eastAsia="zh-CN"/>
        </w:rPr>
        <w:t>其他相关利益攸关方通过向性别与生物多样性问题能力建设提供资源和收集性别平等分类数据等方式，支持加强关于性别问题与生物多样性的关联性的知识的行动；</w:t>
      </w:r>
    </w:p>
    <w:p w:rsidR="00821067" w:rsidRPr="00102C6C" w:rsidRDefault="00821067" w:rsidP="001A42F8">
      <w:pPr>
        <w:pStyle w:val="NormalWeb"/>
        <w:numPr>
          <w:ilvl w:val="0"/>
          <w:numId w:val="216"/>
        </w:numPr>
        <w:suppressLineNumbers/>
        <w:suppressAutoHyphens/>
        <w:kinsoku w:val="0"/>
        <w:overflowPunct w:val="0"/>
        <w:autoSpaceDE w:val="0"/>
        <w:autoSpaceDN w:val="0"/>
        <w:adjustRightInd w:val="0"/>
        <w:spacing w:before="120" w:beforeAutospacing="0" w:after="120" w:afterAutospacing="0" w:line="240" w:lineRule="atLeast"/>
        <w:ind w:left="0" w:firstLine="720"/>
        <w:rPr>
          <w:rFonts w:ascii="Times New Roman" w:eastAsiaTheme="minorEastAsia" w:hAnsi="Times New Roman" w:cs="Times New Roman"/>
          <w:kern w:val="22"/>
          <w:lang w:val="en-GB" w:eastAsia="zh-CN"/>
        </w:rPr>
      </w:pPr>
      <w:r w:rsidRPr="00102C6C">
        <w:rPr>
          <w:rFonts w:ascii="Times New Roman" w:eastAsia="KaiTi" w:hAnsi="Times New Roman" w:cs="Times New Roman"/>
          <w:kern w:val="22"/>
          <w:lang w:val="en-GB" w:eastAsia="zh-CN"/>
        </w:rPr>
        <w:t>鼓励</w:t>
      </w:r>
      <w:r w:rsidRPr="00102C6C">
        <w:rPr>
          <w:rFonts w:ascii="Times New Roman" w:eastAsiaTheme="minorEastAsia" w:hAnsi="Times New Roman" w:cs="Times New Roman"/>
          <w:kern w:val="22"/>
          <w:lang w:val="en-GB" w:eastAsia="zh-CN"/>
        </w:rPr>
        <w:t>各缔约方并</w:t>
      </w:r>
      <w:r w:rsidRPr="00102C6C">
        <w:rPr>
          <w:rFonts w:ascii="Times New Roman" w:eastAsia="KaiTi" w:hAnsi="Times New Roman" w:cs="Times New Roman"/>
          <w:kern w:val="22"/>
          <w:lang w:val="en-GB" w:eastAsia="zh-CN"/>
        </w:rPr>
        <w:t>邀请</w:t>
      </w:r>
      <w:r w:rsidRPr="00102C6C">
        <w:rPr>
          <w:rFonts w:ascii="Times New Roman" w:eastAsiaTheme="minorEastAsia" w:hAnsi="Times New Roman" w:cs="Times New Roman"/>
          <w:kern w:val="22"/>
          <w:lang w:val="en-GB" w:eastAsia="zh-CN"/>
        </w:rPr>
        <w:t>其他相关利益攸关方支持对各多边环境协定采用统一办法进行能力建设和实施促进性别平等的生物多样性措施；</w:t>
      </w:r>
    </w:p>
    <w:p w:rsidR="00821067" w:rsidRPr="00102C6C" w:rsidRDefault="00821067" w:rsidP="001A42F8">
      <w:pPr>
        <w:pStyle w:val="NormalWeb"/>
        <w:numPr>
          <w:ilvl w:val="0"/>
          <w:numId w:val="216"/>
        </w:numPr>
        <w:suppressLineNumbers/>
        <w:suppressAutoHyphens/>
        <w:kinsoku w:val="0"/>
        <w:overflowPunct w:val="0"/>
        <w:autoSpaceDE w:val="0"/>
        <w:autoSpaceDN w:val="0"/>
        <w:adjustRightInd w:val="0"/>
        <w:spacing w:before="120" w:beforeAutospacing="0" w:after="120" w:afterAutospacing="0" w:line="240" w:lineRule="atLeast"/>
        <w:ind w:left="0" w:firstLine="720"/>
        <w:rPr>
          <w:rFonts w:ascii="Times New Roman" w:eastAsiaTheme="minorEastAsia" w:hAnsi="Times New Roman" w:cs="Times New Roman"/>
          <w:kern w:val="22"/>
          <w:lang w:val="en-GB" w:eastAsia="zh-CN"/>
        </w:rPr>
      </w:pPr>
      <w:r w:rsidRPr="00102C6C">
        <w:rPr>
          <w:rFonts w:ascii="Times New Roman" w:eastAsia="KaiTi" w:hAnsi="Times New Roman" w:cs="Times New Roman"/>
          <w:kern w:val="22"/>
          <w:lang w:val="en-GB" w:eastAsia="zh-CN"/>
        </w:rPr>
        <w:t>请</w:t>
      </w:r>
      <w:r w:rsidRPr="00102C6C">
        <w:rPr>
          <w:rFonts w:ascii="Times New Roman" w:eastAsiaTheme="minorEastAsia" w:hAnsi="Times New Roman" w:cs="Times New Roman"/>
          <w:kern w:val="22"/>
          <w:lang w:val="en-GB" w:eastAsia="zh-CN"/>
        </w:rPr>
        <w:t>执行秘书在资源允许的情况下，在编制第五版</w:t>
      </w:r>
      <w:r w:rsidRPr="00102C6C">
        <w:rPr>
          <w:rFonts w:ascii="Times New Roman" w:eastAsiaTheme="minorEastAsia" w:hAnsi="Times New Roman" w:cs="Times New Roman"/>
          <w:kern w:val="22"/>
          <w:lang w:eastAsia="zh-CN"/>
        </w:rPr>
        <w:t>《</w:t>
      </w:r>
      <w:r w:rsidRPr="00102C6C">
        <w:rPr>
          <w:rFonts w:ascii="Times New Roman" w:eastAsia="KaiTi" w:hAnsi="Times New Roman" w:cs="Times New Roman"/>
          <w:kern w:val="22"/>
          <w:lang w:val="en-GB" w:eastAsia="zh-CN"/>
        </w:rPr>
        <w:t>全球生物多样性展望</w:t>
      </w:r>
      <w:r w:rsidRPr="00102C6C">
        <w:rPr>
          <w:rFonts w:ascii="Times New Roman" w:eastAsiaTheme="minorEastAsia" w:hAnsi="Times New Roman" w:cs="Times New Roman"/>
          <w:kern w:val="22"/>
          <w:lang w:eastAsia="zh-CN"/>
        </w:rPr>
        <w:t>》和第二版《</w:t>
      </w:r>
      <w:r w:rsidRPr="00102C6C">
        <w:rPr>
          <w:rFonts w:ascii="Times New Roman" w:eastAsia="KaiTi" w:hAnsi="Times New Roman" w:cs="Times New Roman"/>
          <w:kern w:val="22"/>
          <w:lang w:val="en-GB" w:eastAsia="zh-CN"/>
        </w:rPr>
        <w:t>地方生物多样性展望</w:t>
      </w:r>
      <w:r w:rsidRPr="00102C6C">
        <w:rPr>
          <w:rFonts w:ascii="Times New Roman" w:eastAsiaTheme="minorEastAsia" w:hAnsi="Times New Roman" w:cs="Times New Roman"/>
          <w:kern w:val="22"/>
          <w:lang w:eastAsia="zh-CN"/>
        </w:rPr>
        <w:t>》的同时，</w:t>
      </w:r>
      <w:r w:rsidRPr="00102C6C">
        <w:rPr>
          <w:rFonts w:ascii="Times New Roman" w:eastAsiaTheme="minorEastAsia" w:hAnsi="Times New Roman" w:cs="Times New Roman"/>
          <w:kern w:val="22"/>
          <w:lang w:val="en-GB" w:eastAsia="zh-CN"/>
        </w:rPr>
        <w:t>对《</w:t>
      </w:r>
      <w:r w:rsidRPr="00102C6C">
        <w:rPr>
          <w:rFonts w:ascii="Times New Roman" w:eastAsiaTheme="minorEastAsia" w:hAnsi="Times New Roman" w:cs="Times New Roman"/>
          <w:kern w:val="22"/>
          <w:lang w:val="en-GB" w:eastAsia="zh-CN"/>
        </w:rPr>
        <w:t>2015-2020</w:t>
      </w:r>
      <w:r w:rsidRPr="00102C6C">
        <w:rPr>
          <w:rFonts w:ascii="Times New Roman" w:eastAsiaTheme="minorEastAsia" w:hAnsi="Times New Roman" w:cs="Times New Roman"/>
          <w:kern w:val="22"/>
          <w:lang w:val="en-GB" w:eastAsia="zh-CN"/>
        </w:rPr>
        <w:t>年性别平等行动计划》的执行情况进行一次审查，以便查明差距、最佳做法和经验教训；</w:t>
      </w:r>
    </w:p>
    <w:p w:rsidR="00821067" w:rsidRPr="00102C6C" w:rsidRDefault="00821067" w:rsidP="001A42F8">
      <w:pPr>
        <w:pStyle w:val="NormalWeb"/>
        <w:numPr>
          <w:ilvl w:val="0"/>
          <w:numId w:val="216"/>
        </w:numPr>
        <w:suppressLineNumbers/>
        <w:suppressAutoHyphens/>
        <w:kinsoku w:val="0"/>
        <w:overflowPunct w:val="0"/>
        <w:autoSpaceDE w:val="0"/>
        <w:autoSpaceDN w:val="0"/>
        <w:adjustRightInd w:val="0"/>
        <w:spacing w:before="120" w:beforeAutospacing="0" w:after="120" w:afterAutospacing="0" w:line="240" w:lineRule="atLeast"/>
        <w:ind w:left="0" w:firstLine="720"/>
        <w:rPr>
          <w:rFonts w:ascii="Times New Roman" w:eastAsiaTheme="minorEastAsia" w:hAnsi="Times New Roman" w:cs="Times New Roman"/>
          <w:kern w:val="22"/>
          <w:lang w:val="en-GB" w:eastAsia="zh-CN"/>
        </w:rPr>
      </w:pPr>
      <w:r w:rsidRPr="00102C6C">
        <w:rPr>
          <w:rFonts w:ascii="Times New Roman" w:eastAsia="KaiTi" w:hAnsi="Times New Roman" w:cs="Times New Roman"/>
          <w:kern w:val="22"/>
          <w:lang w:val="en-GB" w:eastAsia="zh-CN"/>
        </w:rPr>
        <w:t>又请</w:t>
      </w:r>
      <w:r w:rsidRPr="00102C6C">
        <w:rPr>
          <w:rFonts w:ascii="Times New Roman" w:eastAsiaTheme="minorEastAsia" w:hAnsi="Times New Roman" w:cs="Times New Roman"/>
          <w:kern w:val="22"/>
          <w:lang w:val="en-GB" w:eastAsia="zh-CN"/>
        </w:rPr>
        <w:t>执行秘书在资源允许的情况下，举办性别与生物多样性之间联系和《</w:t>
      </w:r>
      <w:r w:rsidRPr="00102C6C">
        <w:rPr>
          <w:rFonts w:ascii="Times New Roman" w:eastAsiaTheme="minorEastAsia" w:hAnsi="Times New Roman" w:cs="Times New Roman"/>
          <w:kern w:val="22"/>
          <w:lang w:val="en-GB" w:eastAsia="zh-CN"/>
        </w:rPr>
        <w:t>2015-2020</w:t>
      </w:r>
      <w:r w:rsidRPr="00102C6C">
        <w:rPr>
          <w:rFonts w:ascii="Times New Roman" w:eastAsiaTheme="minorEastAsia" w:hAnsi="Times New Roman" w:cs="Times New Roman"/>
          <w:kern w:val="22"/>
          <w:lang w:val="en-GB" w:eastAsia="zh-CN"/>
        </w:rPr>
        <w:t>年性别平等行动计划》执行工作经验教训问题区域讲习班；</w:t>
      </w:r>
    </w:p>
    <w:p w:rsidR="00821067" w:rsidRPr="00102C6C" w:rsidRDefault="00821067" w:rsidP="001A42F8">
      <w:pPr>
        <w:pStyle w:val="NormalWeb"/>
        <w:numPr>
          <w:ilvl w:val="0"/>
          <w:numId w:val="216"/>
        </w:numPr>
        <w:suppressLineNumbers/>
        <w:suppressAutoHyphens/>
        <w:kinsoku w:val="0"/>
        <w:overflowPunct w:val="0"/>
        <w:autoSpaceDE w:val="0"/>
        <w:autoSpaceDN w:val="0"/>
        <w:adjustRightInd w:val="0"/>
        <w:snapToGrid w:val="0"/>
        <w:spacing w:before="120" w:beforeAutospacing="0" w:after="120" w:afterAutospacing="0" w:line="240" w:lineRule="atLeast"/>
        <w:ind w:left="0" w:firstLine="720"/>
        <w:rPr>
          <w:rFonts w:ascii="Times New Roman" w:eastAsia="Univers" w:hAnsi="Times New Roman" w:cs="Times New Roman"/>
          <w:kern w:val="22"/>
          <w:lang w:eastAsia="zh-CN"/>
        </w:rPr>
      </w:pPr>
      <w:r w:rsidRPr="00102C6C">
        <w:rPr>
          <w:rFonts w:ascii="Times New Roman" w:eastAsia="KaiTi" w:hAnsi="Times New Roman" w:cs="Times New Roman"/>
          <w:kern w:val="22"/>
          <w:lang w:val="en-GB" w:eastAsia="zh-CN"/>
        </w:rPr>
        <w:t>还请</w:t>
      </w:r>
      <w:r w:rsidRPr="00102C6C">
        <w:rPr>
          <w:rFonts w:ascii="Times New Roman" w:eastAsiaTheme="minorEastAsia" w:hAnsi="Times New Roman" w:cs="Times New Roman"/>
          <w:lang w:eastAsia="zh-CN"/>
        </w:rPr>
        <w:t>执行秘书在资源允许的情况下，将性别与生物多样性之间联系和执行《</w:t>
      </w:r>
      <w:r w:rsidRPr="00102C6C">
        <w:rPr>
          <w:rFonts w:ascii="Times New Roman" w:eastAsiaTheme="minorEastAsia" w:hAnsi="Times New Roman" w:cs="Times New Roman"/>
          <w:lang w:eastAsia="zh-CN"/>
        </w:rPr>
        <w:t>2015-2020</w:t>
      </w:r>
      <w:r w:rsidRPr="00102C6C">
        <w:rPr>
          <w:rFonts w:ascii="Times New Roman" w:eastAsiaTheme="minorEastAsia" w:hAnsi="Times New Roman" w:cs="Times New Roman"/>
          <w:lang w:eastAsia="zh-CN"/>
        </w:rPr>
        <w:t>性别平等行动计划》的经验教训的讨论列入关于</w:t>
      </w:r>
      <w:r w:rsidRPr="00102C6C">
        <w:rPr>
          <w:rFonts w:ascii="Times New Roman" w:eastAsiaTheme="minorEastAsia" w:hAnsi="Times New Roman" w:cs="Times New Roman"/>
          <w:lang w:eastAsia="zh-CN"/>
        </w:rPr>
        <w:t>2020</w:t>
      </w:r>
      <w:r w:rsidRPr="00102C6C">
        <w:rPr>
          <w:rFonts w:ascii="Times New Roman" w:eastAsiaTheme="minorEastAsia" w:hAnsi="Times New Roman" w:cs="Times New Roman"/>
          <w:lang w:eastAsia="zh-CN"/>
        </w:rPr>
        <w:t>年后全球生物多样性框架的区域协商。</w:t>
      </w:r>
    </w:p>
    <w:p w:rsidR="003C3F9A" w:rsidRDefault="003C3F9A">
      <w:pPr>
        <w:rPr>
          <w:b/>
          <w:bCs/>
          <w:noProof/>
          <w:kern w:val="22"/>
          <w:szCs w:val="32"/>
          <w:lang w:eastAsia="zh-CN"/>
        </w:rPr>
      </w:pPr>
      <w:r>
        <w:rPr>
          <w:noProof/>
          <w:kern w:val="22"/>
          <w:lang w:eastAsia="zh-CN"/>
        </w:rPr>
        <w:br w:type="page"/>
      </w:r>
    </w:p>
    <w:p w:rsidR="00F72940" w:rsidRPr="003C3F9A" w:rsidRDefault="00F72940" w:rsidP="003C3F9A">
      <w:pPr>
        <w:pStyle w:val="Heading1"/>
        <w:spacing w:before="120" w:after="120"/>
        <w:rPr>
          <w:rFonts w:eastAsiaTheme="minorEastAsia" w:cs="Times New Roman"/>
          <w:noProof/>
          <w:kern w:val="22"/>
          <w:sz w:val="24"/>
          <w:lang w:eastAsia="zh-CN"/>
        </w:rPr>
      </w:pPr>
      <w:bookmarkStart w:id="180" w:name="_Toc6243771"/>
      <w:r w:rsidRPr="003C3F9A">
        <w:rPr>
          <w:rFonts w:eastAsiaTheme="minorEastAsia" w:cs="Times New Roman"/>
          <w:noProof/>
          <w:kern w:val="22"/>
          <w:sz w:val="24"/>
          <w:lang w:eastAsia="zh-CN"/>
        </w:rPr>
        <w:lastRenderedPageBreak/>
        <w:t>14/19.</w:t>
      </w:r>
      <w:r w:rsidRPr="003C3F9A">
        <w:rPr>
          <w:rFonts w:eastAsiaTheme="minorEastAsia" w:cs="Times New Roman"/>
          <w:noProof/>
          <w:kern w:val="22"/>
          <w:sz w:val="24"/>
          <w:lang w:eastAsia="zh-CN"/>
        </w:rPr>
        <w:tab/>
        <w:t xml:space="preserve">   </w:t>
      </w:r>
      <w:r w:rsidRPr="003C3F9A">
        <w:rPr>
          <w:rFonts w:eastAsiaTheme="minorEastAsia" w:cs="Times New Roman"/>
          <w:noProof/>
          <w:kern w:val="22"/>
          <w:sz w:val="24"/>
          <w:lang w:eastAsia="zh-CN"/>
        </w:rPr>
        <w:t>合成生物学</w:t>
      </w:r>
      <w:bookmarkEnd w:id="180"/>
    </w:p>
    <w:p w:rsidR="00F72940" w:rsidRPr="005452E2" w:rsidRDefault="00F72940" w:rsidP="00F72940">
      <w:pPr>
        <w:adjustRightInd w:val="0"/>
        <w:snapToGrid w:val="0"/>
        <w:spacing w:line="240" w:lineRule="atLeast"/>
        <w:rPr>
          <w:rFonts w:eastAsiaTheme="minorEastAsia" w:hAnsi="SimSun"/>
          <w:i/>
          <w:noProof/>
          <w:snapToGrid w:val="0"/>
          <w:kern w:val="22"/>
          <w:lang w:val="en-GB" w:eastAsia="zh-CN"/>
        </w:rPr>
      </w:pPr>
      <w:r w:rsidRPr="005452E2">
        <w:rPr>
          <w:rFonts w:ascii="KaiTi" w:eastAsia="KaiTi" w:hAnsi="KaiTi"/>
          <w:snapToGrid w:val="0"/>
          <w:kern w:val="22"/>
          <w:lang w:val="zh-CN" w:eastAsia="zh-CN"/>
        </w:rPr>
        <w:t>缔约方大会</w:t>
      </w:r>
      <w:r w:rsidRPr="005452E2">
        <w:rPr>
          <w:rFonts w:eastAsiaTheme="minorEastAsia" w:hAnsi="SimSun"/>
          <w:noProof/>
          <w:snapToGrid w:val="0"/>
          <w:kern w:val="22"/>
          <w:lang w:val="en-GB" w:eastAsia="zh-CN"/>
        </w:rPr>
        <w:t>，</w:t>
      </w:r>
      <w:r>
        <w:rPr>
          <w:rFonts w:eastAsiaTheme="minorEastAsia" w:hAnsi="SimSun" w:hint="eastAsia"/>
          <w:noProof/>
          <w:snapToGrid w:val="0"/>
          <w:kern w:val="22"/>
          <w:lang w:val="en-GB" w:eastAsia="zh-CN"/>
        </w:rPr>
        <w:t xml:space="preserve"> </w:t>
      </w:r>
    </w:p>
    <w:p w:rsidR="00F72940" w:rsidRPr="003C3F9A" w:rsidRDefault="00F72940" w:rsidP="00F72940">
      <w:pPr>
        <w:suppressLineNumbers/>
        <w:suppressAutoHyphens/>
        <w:adjustRightInd w:val="0"/>
        <w:snapToGrid w:val="0"/>
        <w:spacing w:line="240" w:lineRule="atLeast"/>
        <w:rPr>
          <w:rFonts w:eastAsiaTheme="minorEastAsia"/>
          <w:i/>
          <w:color w:val="000000"/>
          <w:kern w:val="22"/>
          <w:lang w:val="en-GB" w:eastAsia="zh-CN"/>
        </w:rPr>
      </w:pPr>
      <w:r w:rsidRPr="003C3F9A">
        <w:rPr>
          <w:rFonts w:eastAsiaTheme="minorEastAsia"/>
          <w:kern w:val="22"/>
          <w:lang w:val="zh-CN" w:eastAsia="zh-CN"/>
        </w:rPr>
        <w:t>回顾第</w:t>
      </w:r>
      <w:r w:rsidRPr="003C3F9A">
        <w:rPr>
          <w:rFonts w:eastAsiaTheme="minorEastAsia"/>
          <w:kern w:val="22"/>
          <w:lang w:val="en-GB" w:eastAsia="zh-CN"/>
        </w:rPr>
        <w:t>XII/24</w:t>
      </w:r>
      <w:r w:rsidRPr="003C3F9A">
        <w:rPr>
          <w:rFonts w:eastAsiaTheme="minorEastAsia"/>
          <w:kern w:val="22"/>
          <w:lang w:val="zh-CN" w:eastAsia="zh-CN"/>
        </w:rPr>
        <w:t>号和第</w:t>
      </w:r>
      <w:r w:rsidRPr="003C3F9A">
        <w:rPr>
          <w:rFonts w:eastAsiaTheme="minorEastAsia"/>
          <w:kern w:val="22"/>
          <w:lang w:val="en-GB" w:eastAsia="zh-CN"/>
        </w:rPr>
        <w:t>XIII/17</w:t>
      </w:r>
      <w:r w:rsidRPr="003C3F9A">
        <w:rPr>
          <w:rFonts w:eastAsiaTheme="minorEastAsia"/>
          <w:kern w:val="22"/>
          <w:lang w:val="zh-CN" w:eastAsia="zh-CN"/>
        </w:rPr>
        <w:t>号决定</w:t>
      </w:r>
      <w:r w:rsidRPr="003C3F9A">
        <w:rPr>
          <w:rFonts w:eastAsiaTheme="minorEastAsia"/>
          <w:kern w:val="22"/>
          <w:lang w:val="en-GB" w:eastAsia="zh-CN"/>
        </w:rPr>
        <w:t>，</w:t>
      </w:r>
    </w:p>
    <w:p w:rsidR="00F72940" w:rsidRPr="003C3F9A" w:rsidRDefault="00F72940" w:rsidP="001A42F8">
      <w:pPr>
        <w:numPr>
          <w:ilvl w:val="0"/>
          <w:numId w:val="217"/>
        </w:numPr>
        <w:suppressLineNumbers/>
        <w:tabs>
          <w:tab w:val="left" w:pos="1440"/>
        </w:tabs>
        <w:suppressAutoHyphens/>
        <w:adjustRightInd w:val="0"/>
        <w:snapToGrid w:val="0"/>
        <w:spacing w:line="240" w:lineRule="atLeast"/>
        <w:ind w:left="0" w:firstLine="720"/>
        <w:rPr>
          <w:rFonts w:eastAsiaTheme="minorEastAsia"/>
          <w:kern w:val="22"/>
          <w:lang w:val="zh-CN" w:eastAsia="zh-CN"/>
        </w:rPr>
      </w:pPr>
      <w:r w:rsidRPr="003C3F9A">
        <w:rPr>
          <w:rFonts w:eastAsiaTheme="minorEastAsia"/>
          <w:kern w:val="22"/>
          <w:lang w:val="zh-CN" w:eastAsia="zh-CN"/>
        </w:rPr>
        <w:t>欢迎</w:t>
      </w:r>
      <w:r w:rsidRPr="003C3F9A">
        <w:rPr>
          <w:rFonts w:eastAsiaTheme="minorEastAsia"/>
          <w:kern w:val="22"/>
          <w:lang w:val="zh-CN" w:eastAsia="zh-CN"/>
        </w:rPr>
        <w:t>2017</w:t>
      </w:r>
      <w:r w:rsidRPr="003C3F9A">
        <w:rPr>
          <w:rFonts w:eastAsiaTheme="minorEastAsia"/>
          <w:kern w:val="22"/>
          <w:lang w:val="zh-CN" w:eastAsia="zh-CN"/>
        </w:rPr>
        <w:t>年</w:t>
      </w:r>
      <w:r w:rsidRPr="003C3F9A">
        <w:rPr>
          <w:rFonts w:eastAsiaTheme="minorEastAsia"/>
          <w:kern w:val="22"/>
          <w:lang w:val="zh-CN" w:eastAsia="zh-CN"/>
        </w:rPr>
        <w:t>12</w:t>
      </w:r>
      <w:r w:rsidRPr="003C3F9A">
        <w:rPr>
          <w:rFonts w:eastAsiaTheme="minorEastAsia"/>
          <w:kern w:val="22"/>
          <w:lang w:val="zh-CN" w:eastAsia="zh-CN"/>
        </w:rPr>
        <w:t>月</w:t>
      </w:r>
      <w:r w:rsidRPr="003C3F9A">
        <w:rPr>
          <w:rFonts w:eastAsiaTheme="minorEastAsia"/>
          <w:kern w:val="22"/>
          <w:lang w:val="zh-CN" w:eastAsia="zh-CN"/>
        </w:rPr>
        <w:t>5</w:t>
      </w:r>
      <w:r w:rsidRPr="003C3F9A">
        <w:rPr>
          <w:rFonts w:eastAsiaTheme="minorEastAsia"/>
          <w:kern w:val="22"/>
          <w:lang w:val="zh-CN" w:eastAsia="zh-CN"/>
        </w:rPr>
        <w:t>日至</w:t>
      </w:r>
      <w:r w:rsidRPr="003C3F9A">
        <w:rPr>
          <w:rFonts w:eastAsiaTheme="minorEastAsia"/>
          <w:kern w:val="22"/>
          <w:lang w:val="zh-CN" w:eastAsia="zh-CN"/>
        </w:rPr>
        <w:t>8</w:t>
      </w:r>
      <w:r w:rsidRPr="003C3F9A">
        <w:rPr>
          <w:rFonts w:eastAsiaTheme="minorEastAsia"/>
          <w:kern w:val="22"/>
          <w:lang w:val="zh-CN" w:eastAsia="zh-CN"/>
        </w:rPr>
        <w:t>日在加拿大蒙特利尔举行的合成生物学问题特设技术专家组会议的成果；</w:t>
      </w:r>
      <w:r w:rsidRPr="003C3F9A">
        <w:rPr>
          <w:rFonts w:eastAsiaTheme="minorEastAsia"/>
          <w:vertAlign w:val="superscript"/>
          <w:lang w:val="en-GB" w:eastAsia="zh-CN"/>
        </w:rPr>
        <w:footnoteReference w:id="256"/>
      </w:r>
    </w:p>
    <w:p w:rsidR="00F72940" w:rsidRPr="003C3F9A" w:rsidRDefault="00F72940" w:rsidP="001A42F8">
      <w:pPr>
        <w:numPr>
          <w:ilvl w:val="0"/>
          <w:numId w:val="217"/>
        </w:numPr>
        <w:suppressLineNumbers/>
        <w:tabs>
          <w:tab w:val="left" w:pos="1440"/>
        </w:tabs>
        <w:suppressAutoHyphens/>
        <w:adjustRightInd w:val="0"/>
        <w:snapToGrid w:val="0"/>
        <w:spacing w:line="240" w:lineRule="atLeast"/>
        <w:ind w:left="0" w:firstLine="720"/>
        <w:rPr>
          <w:rFonts w:eastAsiaTheme="minorEastAsia"/>
          <w:kern w:val="22"/>
          <w:lang w:val="zh-CN" w:eastAsia="zh-CN"/>
        </w:rPr>
      </w:pPr>
      <w:r w:rsidRPr="003C3F9A">
        <w:rPr>
          <w:rFonts w:eastAsiaTheme="minorEastAsia"/>
          <w:kern w:val="22"/>
          <w:lang w:val="zh-CN" w:eastAsia="zh-CN"/>
        </w:rPr>
        <w:t>认识到合成生物学正在快速发展，是贯穿各领域的问题，对《生物多样性公约》的三项目标具有潜在的惠益和潜在的不利影响；</w:t>
      </w:r>
    </w:p>
    <w:p w:rsidR="00F72940" w:rsidRPr="003C3F9A" w:rsidRDefault="00F72940" w:rsidP="001A42F8">
      <w:pPr>
        <w:numPr>
          <w:ilvl w:val="0"/>
          <w:numId w:val="217"/>
        </w:numPr>
        <w:suppressLineNumbers/>
        <w:tabs>
          <w:tab w:val="left" w:pos="1440"/>
        </w:tabs>
        <w:suppressAutoHyphens/>
        <w:adjustRightInd w:val="0"/>
        <w:snapToGrid w:val="0"/>
        <w:spacing w:line="240" w:lineRule="atLeast"/>
        <w:ind w:left="0" w:firstLine="720"/>
        <w:rPr>
          <w:rFonts w:eastAsiaTheme="minorEastAsia"/>
          <w:color w:val="000000"/>
          <w:kern w:val="22"/>
          <w:lang w:val="en-GB" w:eastAsia="zh-CN"/>
        </w:rPr>
      </w:pPr>
      <w:r w:rsidRPr="003C3F9A">
        <w:rPr>
          <w:rFonts w:eastAsiaTheme="minorEastAsia"/>
          <w:kern w:val="22"/>
          <w:lang w:val="zh-CN" w:eastAsia="zh-CN"/>
        </w:rPr>
        <w:t>同意对各项</w:t>
      </w:r>
      <w:r w:rsidRPr="003C3F9A">
        <w:rPr>
          <w:rFonts w:eastAsiaTheme="minorEastAsia"/>
          <w:color w:val="212121"/>
          <w:lang w:eastAsia="zh-CN"/>
        </w:rPr>
        <w:t>最新技术发展进行广泛和定期水平扫描、监测和评估</w:t>
      </w:r>
      <w:r w:rsidRPr="003C3F9A">
        <w:rPr>
          <w:rFonts w:eastAsiaTheme="minorEastAsia"/>
          <w:kern w:val="22"/>
          <w:lang w:val="zh-CN" w:eastAsia="zh-CN"/>
        </w:rPr>
        <w:t>十分必要，以便审查合成生物学对《公约》的三项目标及</w:t>
      </w:r>
      <w:r w:rsidRPr="003C3F9A">
        <w:rPr>
          <w:rFonts w:eastAsiaTheme="minorEastAsia"/>
          <w:color w:val="212121"/>
          <w:lang w:eastAsia="zh-CN"/>
        </w:rPr>
        <w:t>《卡塔赫纳议定书》和《名古屋议定书》</w:t>
      </w:r>
      <w:r w:rsidRPr="003C3F9A">
        <w:rPr>
          <w:rFonts w:eastAsiaTheme="minorEastAsia"/>
          <w:kern w:val="22"/>
          <w:lang w:val="zh-CN" w:eastAsia="zh-CN"/>
        </w:rPr>
        <w:t>的各项目标的潜在积极和潜在消极影响的新信息；</w:t>
      </w:r>
    </w:p>
    <w:p w:rsidR="00F72940" w:rsidRPr="003C3F9A" w:rsidRDefault="00F72940" w:rsidP="001A42F8">
      <w:pPr>
        <w:numPr>
          <w:ilvl w:val="0"/>
          <w:numId w:val="217"/>
        </w:numPr>
        <w:suppressLineNumbers/>
        <w:tabs>
          <w:tab w:val="left" w:pos="1440"/>
        </w:tabs>
        <w:suppressAutoHyphens/>
        <w:adjustRightInd w:val="0"/>
        <w:snapToGrid w:val="0"/>
        <w:spacing w:line="240" w:lineRule="atLeast"/>
        <w:ind w:left="0" w:firstLine="720"/>
        <w:rPr>
          <w:rFonts w:eastAsiaTheme="minorEastAsia"/>
          <w:kern w:val="22"/>
          <w:lang w:eastAsia="zh-CN"/>
        </w:rPr>
      </w:pPr>
      <w:r w:rsidRPr="003C3F9A">
        <w:rPr>
          <w:rFonts w:eastAsiaTheme="minorEastAsia"/>
          <w:kern w:val="22"/>
          <w:lang w:val="zh-CN" w:eastAsia="zh-CN"/>
        </w:rPr>
        <w:t>认识到</w:t>
      </w:r>
      <w:r w:rsidRPr="003C3F9A">
        <w:rPr>
          <w:rFonts w:eastAsiaTheme="minorEastAsia"/>
          <w:kern w:val="22"/>
          <w:lang w:eastAsia="zh-CN"/>
        </w:rPr>
        <w:t>有必要参照第</w:t>
      </w:r>
      <w:r w:rsidRPr="003C3F9A">
        <w:rPr>
          <w:rFonts w:eastAsiaTheme="minorEastAsia"/>
          <w:kern w:val="22"/>
          <w:lang w:eastAsia="zh-CN"/>
        </w:rPr>
        <w:t>IX/29</w:t>
      </w:r>
      <w:r w:rsidRPr="003C3F9A">
        <w:rPr>
          <w:rFonts w:eastAsiaTheme="minorEastAsia"/>
          <w:kern w:val="22"/>
          <w:lang w:eastAsia="zh-CN"/>
        </w:rPr>
        <w:t>号决定第</w:t>
      </w:r>
      <w:r w:rsidRPr="003C3F9A">
        <w:rPr>
          <w:rFonts w:eastAsiaTheme="minorEastAsia"/>
          <w:kern w:val="22"/>
          <w:lang w:eastAsia="zh-CN"/>
        </w:rPr>
        <w:t>12</w:t>
      </w:r>
      <w:r w:rsidRPr="003C3F9A">
        <w:rPr>
          <w:rFonts w:eastAsiaTheme="minorEastAsia"/>
          <w:kern w:val="22"/>
          <w:lang w:eastAsia="zh-CN"/>
        </w:rPr>
        <w:t>段中的标准对合成生物学进行分析，以便完成第</w:t>
      </w:r>
      <w:r w:rsidRPr="003C3F9A">
        <w:rPr>
          <w:rFonts w:eastAsiaTheme="minorEastAsia"/>
          <w:kern w:val="22"/>
          <w:lang w:eastAsia="zh-CN"/>
        </w:rPr>
        <w:t>XII/24</w:t>
      </w:r>
      <w:r w:rsidRPr="003C3F9A">
        <w:rPr>
          <w:rFonts w:eastAsiaTheme="minorEastAsia"/>
          <w:kern w:val="22"/>
          <w:lang w:eastAsia="zh-CN"/>
        </w:rPr>
        <w:t>号决定第</w:t>
      </w:r>
      <w:r w:rsidRPr="003C3F9A">
        <w:rPr>
          <w:rFonts w:eastAsiaTheme="minorEastAsia"/>
          <w:kern w:val="22"/>
          <w:lang w:eastAsia="zh-CN"/>
        </w:rPr>
        <w:t>2</w:t>
      </w:r>
      <w:r w:rsidRPr="003C3F9A">
        <w:rPr>
          <w:rFonts w:eastAsiaTheme="minorEastAsia"/>
          <w:kern w:val="22"/>
          <w:lang w:eastAsia="zh-CN"/>
        </w:rPr>
        <w:t>段和第</w:t>
      </w:r>
      <w:r w:rsidRPr="003C3F9A">
        <w:rPr>
          <w:rFonts w:eastAsiaTheme="minorEastAsia"/>
          <w:kern w:val="22"/>
          <w:lang w:eastAsia="zh-CN"/>
        </w:rPr>
        <w:t>XIII/17</w:t>
      </w:r>
      <w:r w:rsidRPr="003C3F9A">
        <w:rPr>
          <w:rFonts w:eastAsiaTheme="minorEastAsia"/>
          <w:kern w:val="22"/>
          <w:lang w:eastAsia="zh-CN"/>
        </w:rPr>
        <w:t>号决定第</w:t>
      </w:r>
      <w:r w:rsidRPr="003C3F9A">
        <w:rPr>
          <w:rFonts w:eastAsiaTheme="minorEastAsia"/>
          <w:kern w:val="22"/>
          <w:lang w:eastAsia="zh-CN"/>
        </w:rPr>
        <w:t>13</w:t>
      </w:r>
      <w:r w:rsidRPr="003C3F9A">
        <w:rPr>
          <w:rFonts w:eastAsiaTheme="minorEastAsia"/>
          <w:kern w:val="22"/>
          <w:lang w:eastAsia="zh-CN"/>
        </w:rPr>
        <w:t>段所要求的分析；</w:t>
      </w:r>
    </w:p>
    <w:p w:rsidR="00F72940" w:rsidRPr="003C3F9A" w:rsidRDefault="00F72940" w:rsidP="001A42F8">
      <w:pPr>
        <w:numPr>
          <w:ilvl w:val="0"/>
          <w:numId w:val="218"/>
        </w:numPr>
        <w:suppressLineNumbers/>
        <w:tabs>
          <w:tab w:val="left" w:pos="1440"/>
        </w:tabs>
        <w:suppressAutoHyphens/>
        <w:adjustRightInd w:val="0"/>
        <w:snapToGrid w:val="0"/>
        <w:spacing w:line="240" w:lineRule="atLeast"/>
        <w:ind w:left="0" w:firstLine="720"/>
        <w:rPr>
          <w:rFonts w:eastAsiaTheme="minorEastAsia"/>
          <w:kern w:val="22"/>
          <w:lang w:val="en-GB" w:eastAsia="zh-CN"/>
        </w:rPr>
      </w:pPr>
      <w:r w:rsidRPr="003C3F9A">
        <w:rPr>
          <w:rFonts w:eastAsiaTheme="minorEastAsia"/>
          <w:kern w:val="22"/>
          <w:lang w:eastAsia="zh-CN"/>
        </w:rPr>
        <w:t xml:space="preserve"> </w:t>
      </w:r>
      <w:r w:rsidRPr="003C3F9A">
        <w:rPr>
          <w:rFonts w:eastAsiaTheme="minorEastAsia"/>
          <w:kern w:val="22"/>
          <w:lang w:val="zh-CN" w:eastAsia="zh-CN"/>
        </w:rPr>
        <w:t>又认识到</w:t>
      </w:r>
      <w:r w:rsidRPr="003C3F9A">
        <w:rPr>
          <w:rFonts w:eastAsiaTheme="minorEastAsia"/>
          <w:color w:val="000000"/>
          <w:kern w:val="22"/>
          <w:lang w:val="zh-CN" w:eastAsia="zh-CN"/>
        </w:rPr>
        <w:t>合成生物学领域的研发带来的进展有可能给一些国家尤其是发展中国家而特别是经验或资源有限的国家评估合成生物学的全面应用和对《公约》的三项目标的潜在影响的能力构成挑战</w:t>
      </w:r>
      <w:r w:rsidRPr="003C3F9A">
        <w:rPr>
          <w:rFonts w:eastAsiaTheme="minorEastAsia"/>
          <w:color w:val="000000"/>
          <w:kern w:val="22"/>
          <w:lang w:val="en-GB" w:eastAsia="zh-CN"/>
        </w:rPr>
        <w:t>，</w:t>
      </w:r>
    </w:p>
    <w:p w:rsidR="00F72940" w:rsidRPr="003C3F9A" w:rsidRDefault="00F72940" w:rsidP="001A42F8">
      <w:pPr>
        <w:numPr>
          <w:ilvl w:val="0"/>
          <w:numId w:val="218"/>
        </w:numPr>
        <w:suppressLineNumbers/>
        <w:tabs>
          <w:tab w:val="left" w:pos="1440"/>
        </w:tabs>
        <w:suppressAutoHyphens/>
        <w:adjustRightInd w:val="0"/>
        <w:snapToGrid w:val="0"/>
        <w:spacing w:line="240" w:lineRule="atLeast"/>
        <w:ind w:left="0" w:firstLine="720"/>
        <w:rPr>
          <w:rFonts w:eastAsiaTheme="minorEastAsia"/>
          <w:snapToGrid w:val="0"/>
          <w:kern w:val="22"/>
          <w:lang w:val="en-GB" w:eastAsia="zh-CN"/>
        </w:rPr>
      </w:pPr>
      <w:r w:rsidRPr="003C3F9A">
        <w:rPr>
          <w:rFonts w:eastAsiaTheme="minorEastAsia"/>
          <w:kern w:val="22"/>
          <w:lang w:val="zh-CN" w:eastAsia="zh-CN"/>
        </w:rPr>
        <w:t>还认识到</w:t>
      </w:r>
      <w:r w:rsidRPr="003C3F9A">
        <w:rPr>
          <w:rFonts w:eastAsiaTheme="minorEastAsia"/>
          <w:color w:val="000000"/>
          <w:kern w:val="22"/>
          <w:lang w:val="zh-CN" w:eastAsia="zh-CN"/>
        </w:rPr>
        <w:t>生物多样性公约信息交换所机制和卡塔赫纳议定书生物安全信息交换所提供的信息和资源在协助这些国家方面的作用</w:t>
      </w:r>
      <w:r w:rsidRPr="003C3F9A">
        <w:rPr>
          <w:rFonts w:eastAsiaTheme="minorEastAsia"/>
          <w:color w:val="000000"/>
          <w:kern w:val="22"/>
          <w:lang w:val="en-GB" w:eastAsia="zh-CN"/>
        </w:rPr>
        <w:t>；</w:t>
      </w:r>
    </w:p>
    <w:p w:rsidR="00F72940" w:rsidRPr="003C3F9A" w:rsidRDefault="00F72940" w:rsidP="001A42F8">
      <w:pPr>
        <w:numPr>
          <w:ilvl w:val="0"/>
          <w:numId w:val="218"/>
        </w:numPr>
        <w:suppressLineNumbers/>
        <w:tabs>
          <w:tab w:val="left" w:pos="1440"/>
        </w:tabs>
        <w:suppressAutoHyphens/>
        <w:adjustRightInd w:val="0"/>
        <w:snapToGrid w:val="0"/>
        <w:spacing w:line="240" w:lineRule="atLeast"/>
        <w:ind w:left="0" w:firstLine="720"/>
        <w:rPr>
          <w:rFonts w:eastAsiaTheme="minorEastAsia"/>
          <w:kern w:val="22"/>
          <w:lang w:val="en-GB" w:eastAsia="zh-CN"/>
        </w:rPr>
      </w:pPr>
      <w:r w:rsidRPr="003C3F9A">
        <w:rPr>
          <w:rFonts w:eastAsiaTheme="minorEastAsia"/>
          <w:kern w:val="22"/>
          <w:lang w:val="zh-CN" w:eastAsia="zh-CN"/>
        </w:rPr>
        <w:t>强调有必要在《公约》及其《议定书》下以及在其他公约和相关组织及倡议之间采取协调一致、相辅相成和避免重复的办法处理与合成生物学相关的问题</w:t>
      </w:r>
      <w:r w:rsidRPr="003C3F9A">
        <w:rPr>
          <w:rFonts w:eastAsiaTheme="minorEastAsia"/>
          <w:kern w:val="22"/>
          <w:lang w:val="en-GB" w:eastAsia="zh-CN"/>
        </w:rPr>
        <w:t>；</w:t>
      </w:r>
    </w:p>
    <w:p w:rsidR="00F72940" w:rsidRPr="003C3F9A" w:rsidRDefault="00F72940" w:rsidP="001A42F8">
      <w:pPr>
        <w:numPr>
          <w:ilvl w:val="0"/>
          <w:numId w:val="218"/>
        </w:numPr>
        <w:suppressLineNumbers/>
        <w:tabs>
          <w:tab w:val="left" w:pos="1440"/>
        </w:tabs>
        <w:suppressAutoHyphens/>
        <w:adjustRightInd w:val="0"/>
        <w:snapToGrid w:val="0"/>
        <w:spacing w:line="240" w:lineRule="atLeast"/>
        <w:ind w:left="0" w:firstLine="720"/>
        <w:rPr>
          <w:rFonts w:eastAsiaTheme="minorEastAsia"/>
          <w:kern w:val="22"/>
          <w:lang w:val="zh-CN" w:eastAsia="zh-CN"/>
        </w:rPr>
      </w:pPr>
      <w:r w:rsidRPr="003C3F9A">
        <w:rPr>
          <w:rFonts w:eastAsiaTheme="minorEastAsia"/>
          <w:kern w:val="22"/>
          <w:lang w:eastAsia="zh-CN"/>
        </w:rPr>
        <w:t>表示</w:t>
      </w:r>
      <w:r w:rsidRPr="003C3F9A">
        <w:rPr>
          <w:rFonts w:eastAsiaTheme="minorEastAsia"/>
          <w:kern w:val="22"/>
          <w:lang w:val="zh-CN" w:eastAsia="zh-CN"/>
        </w:rPr>
        <w:t>注意到各缔约方、其他国家政府、相关组织和其他方面目前正在努力提供有关合成生物学问题的发展情况、知识空白和与《公约》目标有关的其他事项的信息；</w:t>
      </w:r>
    </w:p>
    <w:p w:rsidR="00F72940" w:rsidRPr="003C3F9A" w:rsidRDefault="00F72940" w:rsidP="001A42F8">
      <w:pPr>
        <w:numPr>
          <w:ilvl w:val="0"/>
          <w:numId w:val="218"/>
        </w:numPr>
        <w:suppressLineNumbers/>
        <w:tabs>
          <w:tab w:val="left" w:pos="1440"/>
        </w:tabs>
        <w:suppressAutoHyphens/>
        <w:adjustRightInd w:val="0"/>
        <w:snapToGrid w:val="0"/>
        <w:spacing w:line="240" w:lineRule="atLeast"/>
        <w:ind w:left="0" w:firstLine="720"/>
        <w:rPr>
          <w:rFonts w:eastAsiaTheme="minorEastAsia"/>
          <w:kern w:val="22"/>
          <w:lang w:eastAsia="zh-CN"/>
        </w:rPr>
      </w:pPr>
      <w:r w:rsidRPr="003C3F9A">
        <w:rPr>
          <w:rFonts w:eastAsiaTheme="minorEastAsia"/>
          <w:kern w:val="22"/>
          <w:lang w:val="zh-CN" w:eastAsia="zh-CN"/>
        </w:rPr>
        <w:t>认识到</w:t>
      </w:r>
      <w:r w:rsidRPr="003C3F9A">
        <w:rPr>
          <w:rFonts w:eastAsiaTheme="minorEastAsia"/>
          <w:kern w:val="22"/>
          <w:lang w:eastAsia="zh-CN"/>
        </w:rPr>
        <w:t>，由于含有人工基因驱动的改性活生物体有可能带来潜在不利影响，因此，在考虑将此种生物体释放到环境之前，需要进行研究和分析，通过具体的指导意见支持的逐案的风险评估也可能是有益的；</w:t>
      </w:r>
      <w:r w:rsidRPr="003C3F9A">
        <w:rPr>
          <w:rFonts w:eastAsiaTheme="minorEastAsia"/>
          <w:kern w:val="22"/>
          <w:vertAlign w:val="superscript"/>
          <w:lang w:val="zh-CN" w:eastAsia="zh-CN"/>
        </w:rPr>
        <w:footnoteReference w:id="257"/>
      </w:r>
    </w:p>
    <w:p w:rsidR="00F72940" w:rsidRPr="003C3F9A" w:rsidRDefault="00F72940" w:rsidP="001A42F8">
      <w:pPr>
        <w:numPr>
          <w:ilvl w:val="0"/>
          <w:numId w:val="218"/>
        </w:numPr>
        <w:suppressLineNumbers/>
        <w:tabs>
          <w:tab w:val="left" w:pos="1440"/>
        </w:tabs>
        <w:suppressAutoHyphens/>
        <w:adjustRightInd w:val="0"/>
        <w:snapToGrid w:val="0"/>
        <w:spacing w:line="240" w:lineRule="atLeast"/>
        <w:ind w:left="0" w:firstLine="720"/>
        <w:rPr>
          <w:rFonts w:eastAsiaTheme="minorEastAsia"/>
          <w:kern w:val="22"/>
          <w:lang w:eastAsia="zh-CN"/>
        </w:rPr>
      </w:pPr>
      <w:r w:rsidRPr="003C3F9A">
        <w:rPr>
          <w:rFonts w:eastAsiaTheme="minorEastAsia"/>
          <w:kern w:val="22"/>
          <w:lang w:val="zh-CN" w:eastAsia="zh-CN"/>
        </w:rPr>
        <w:t>注意到</w:t>
      </w:r>
      <w:r w:rsidRPr="003C3F9A">
        <w:rPr>
          <w:rFonts w:eastAsiaTheme="minorEastAsia"/>
          <w:kern w:val="22"/>
          <w:lang w:eastAsia="zh-CN"/>
        </w:rPr>
        <w:t>合成生物学问题特设专家组的结论，</w:t>
      </w:r>
      <w:r w:rsidRPr="003C3F9A">
        <w:rPr>
          <w:rFonts w:eastAsiaTheme="minorEastAsia"/>
          <w:kern w:val="22"/>
          <w:vertAlign w:val="superscript"/>
          <w:lang w:eastAsia="zh-CN"/>
        </w:rPr>
        <w:footnoteReference w:id="258"/>
      </w:r>
      <w:r w:rsidRPr="003C3F9A">
        <w:rPr>
          <w:rFonts w:eastAsiaTheme="minorEastAsia"/>
          <w:kern w:val="22"/>
          <w:vertAlign w:val="superscript"/>
          <w:lang w:eastAsia="zh-CN"/>
        </w:rPr>
        <w:t xml:space="preserve"> </w:t>
      </w:r>
      <w:r w:rsidRPr="003C3F9A">
        <w:rPr>
          <w:rFonts w:eastAsiaTheme="minorEastAsia"/>
          <w:kern w:val="22"/>
          <w:lang w:eastAsia="zh-CN"/>
        </w:rPr>
        <w:t>鉴于目前关于人工基因驱动的不确定性，在考虑可能释放有可能影响土著人民和地方社区的传统知识、创新、做法、生计和</w:t>
      </w:r>
      <w:r w:rsidRPr="003C3F9A">
        <w:rPr>
          <w:rFonts w:eastAsiaTheme="minorEastAsia"/>
          <w:kern w:val="22"/>
          <w:lang w:eastAsia="zh-CN"/>
        </w:rPr>
        <w:lastRenderedPageBreak/>
        <w:t>土地和土壤的使用的含有人工基因驱动的改性活生物体时，应获得土著人民和地方社区的自由、事先和知情同意；</w:t>
      </w:r>
    </w:p>
    <w:p w:rsidR="00F72940" w:rsidRPr="003C3F9A" w:rsidRDefault="00F72940" w:rsidP="001A42F8">
      <w:pPr>
        <w:numPr>
          <w:ilvl w:val="0"/>
          <w:numId w:val="218"/>
        </w:numPr>
        <w:suppressLineNumbers/>
        <w:tabs>
          <w:tab w:val="left" w:pos="1440"/>
        </w:tabs>
        <w:suppressAutoHyphens/>
        <w:adjustRightInd w:val="0"/>
        <w:snapToGrid w:val="0"/>
        <w:spacing w:line="240" w:lineRule="atLeast"/>
        <w:ind w:left="0" w:firstLine="720"/>
        <w:rPr>
          <w:rFonts w:eastAsiaTheme="minorEastAsia"/>
          <w:color w:val="000000"/>
          <w:kern w:val="22"/>
          <w:lang w:val="en-GB" w:eastAsia="zh-CN"/>
        </w:rPr>
      </w:pPr>
      <w:r w:rsidRPr="003C3F9A">
        <w:rPr>
          <w:rFonts w:eastAsiaTheme="minorEastAsia"/>
          <w:kern w:val="22"/>
          <w:lang w:eastAsia="zh-CN"/>
        </w:rPr>
        <w:t>促请</w:t>
      </w:r>
      <w:r w:rsidRPr="003C3F9A">
        <w:rPr>
          <w:rFonts w:eastAsiaTheme="minorEastAsia"/>
          <w:kern w:val="22"/>
          <w:lang w:val="zh-CN" w:eastAsia="zh-CN"/>
        </w:rPr>
        <w:t>各缔约方和其他国家政府考虑到人工基因驱动方面目前存在的不确定性</w:t>
      </w:r>
      <w:r w:rsidRPr="003C3F9A">
        <w:rPr>
          <w:rFonts w:eastAsiaTheme="minorEastAsia"/>
          <w:kern w:val="22"/>
          <w:lang w:val="en-GB" w:eastAsia="zh-CN"/>
        </w:rPr>
        <w:t>，并根据《公约》的目标，</w:t>
      </w:r>
      <w:r w:rsidRPr="003C3F9A">
        <w:rPr>
          <w:rFonts w:eastAsiaTheme="minorEastAsia"/>
          <w:kern w:val="22"/>
          <w:lang w:val="zh-CN" w:eastAsia="zh-CN"/>
        </w:rPr>
        <w:t>采用谨慎的做法，</w:t>
      </w:r>
      <w:r w:rsidRPr="00B21B5E">
        <w:rPr>
          <w:rStyle w:val="FootnoteReference"/>
          <w:rFonts w:eastAsiaTheme="minorEastAsia"/>
          <w:kern w:val="22"/>
          <w:sz w:val="24"/>
          <w:u w:val="none"/>
          <w:vertAlign w:val="superscript"/>
          <w:lang w:val="zh-CN" w:eastAsia="zh-CN"/>
        </w:rPr>
        <w:footnoteReference w:id="259"/>
      </w:r>
      <w:r w:rsidRPr="00B21B5E">
        <w:rPr>
          <w:rFonts w:eastAsiaTheme="minorEastAsia"/>
          <w:kern w:val="22"/>
          <w:sz w:val="36"/>
          <w:vertAlign w:val="superscript"/>
          <w:lang w:val="zh-CN" w:eastAsia="zh-CN"/>
        </w:rPr>
        <w:t xml:space="preserve"> </w:t>
      </w:r>
      <w:r w:rsidRPr="003C3F9A">
        <w:rPr>
          <w:rFonts w:eastAsiaTheme="minorEastAsia"/>
          <w:kern w:val="22"/>
          <w:lang w:val="zh-CN" w:eastAsia="zh-CN"/>
        </w:rPr>
        <w:t>又促请各缔约方和其他国家政府只有在以下情况时考虑将含有人工基因驱动的</w:t>
      </w:r>
      <w:r w:rsidRPr="003C3F9A">
        <w:rPr>
          <w:rFonts w:eastAsiaTheme="minorEastAsia"/>
          <w:lang w:val="en-GB" w:eastAsia="zh-CN"/>
        </w:rPr>
        <w:t>有机物释放入环境中，包括为实验性释放和为了研究和发展的目的：</w:t>
      </w:r>
    </w:p>
    <w:p w:rsidR="00F72940" w:rsidRPr="003C3F9A" w:rsidRDefault="00F72940" w:rsidP="001A42F8">
      <w:pPr>
        <w:pStyle w:val="ListParagraph"/>
        <w:numPr>
          <w:ilvl w:val="1"/>
          <w:numId w:val="217"/>
        </w:numPr>
        <w:suppressLineNumbers/>
        <w:suppressAutoHyphens/>
        <w:kinsoku w:val="0"/>
        <w:overflowPunct w:val="0"/>
        <w:autoSpaceDE w:val="0"/>
        <w:autoSpaceDN w:val="0"/>
        <w:adjustRightInd w:val="0"/>
        <w:snapToGrid w:val="0"/>
        <w:spacing w:line="240" w:lineRule="atLeast"/>
        <w:ind w:left="0" w:firstLine="720"/>
        <w:rPr>
          <w:rFonts w:eastAsiaTheme="minorEastAsia"/>
          <w:color w:val="000000"/>
          <w:kern w:val="22"/>
          <w:lang w:val="en-GB" w:eastAsia="zh-CN"/>
        </w:rPr>
      </w:pPr>
      <w:r w:rsidRPr="003C3F9A">
        <w:rPr>
          <w:rFonts w:eastAsiaTheme="minorEastAsia"/>
          <w:color w:val="000000"/>
          <w:kern w:val="22"/>
          <w:lang w:val="en-GB" w:eastAsia="zh-CN"/>
        </w:rPr>
        <w:t>已经进行了科学的逐案风险评估；</w:t>
      </w:r>
    </w:p>
    <w:p w:rsidR="00F72940" w:rsidRPr="003C3F9A" w:rsidRDefault="00F72940" w:rsidP="001A42F8">
      <w:pPr>
        <w:pStyle w:val="ListParagraph"/>
        <w:numPr>
          <w:ilvl w:val="1"/>
          <w:numId w:val="217"/>
        </w:numPr>
        <w:suppressLineNumbers/>
        <w:suppressAutoHyphens/>
        <w:kinsoku w:val="0"/>
        <w:overflowPunct w:val="0"/>
        <w:autoSpaceDE w:val="0"/>
        <w:autoSpaceDN w:val="0"/>
        <w:adjustRightInd w:val="0"/>
        <w:snapToGrid w:val="0"/>
        <w:spacing w:line="240" w:lineRule="atLeast"/>
        <w:ind w:left="0" w:firstLine="720"/>
        <w:rPr>
          <w:rFonts w:eastAsiaTheme="minorEastAsia"/>
          <w:color w:val="000000"/>
          <w:kern w:val="22"/>
          <w:lang w:val="en-GB" w:eastAsia="zh-CN"/>
        </w:rPr>
      </w:pPr>
      <w:r w:rsidRPr="003C3F9A">
        <w:rPr>
          <w:rFonts w:eastAsiaTheme="minorEastAsia"/>
          <w:color w:val="000000"/>
          <w:kern w:val="22"/>
          <w:lang w:val="en-GB" w:eastAsia="zh-CN"/>
        </w:rPr>
        <w:t>制定了风险管理措施，以酌情避免或尽量减少潜在的不利影响；</w:t>
      </w:r>
    </w:p>
    <w:p w:rsidR="00F72940" w:rsidRPr="003C3F9A" w:rsidRDefault="00F72940" w:rsidP="001A42F8">
      <w:pPr>
        <w:pStyle w:val="ListParagraph"/>
        <w:numPr>
          <w:ilvl w:val="1"/>
          <w:numId w:val="217"/>
        </w:numPr>
        <w:suppressLineNumbers/>
        <w:suppressAutoHyphens/>
        <w:kinsoku w:val="0"/>
        <w:overflowPunct w:val="0"/>
        <w:autoSpaceDE w:val="0"/>
        <w:autoSpaceDN w:val="0"/>
        <w:adjustRightInd w:val="0"/>
        <w:snapToGrid w:val="0"/>
        <w:spacing w:line="240" w:lineRule="atLeast"/>
        <w:ind w:left="0" w:firstLine="720"/>
        <w:rPr>
          <w:rFonts w:eastAsiaTheme="minorEastAsia"/>
          <w:color w:val="000000"/>
          <w:kern w:val="22"/>
          <w:lang w:val="en-GB" w:eastAsia="zh-CN"/>
        </w:rPr>
      </w:pPr>
      <w:r w:rsidRPr="003C3F9A">
        <w:rPr>
          <w:rFonts w:eastAsiaTheme="minorEastAsia"/>
          <w:color w:val="000000"/>
          <w:kern w:val="22"/>
          <w:lang w:val="en-GB" w:eastAsia="zh-CN"/>
        </w:rPr>
        <w:t>在适用情况下，适当根据国情和立法，寻求或获得可能受影响的土著人民和地方社区的</w:t>
      </w:r>
      <w:r w:rsidRPr="00314EE8">
        <w:rPr>
          <w:rFonts w:asciiTheme="minorEastAsia" w:eastAsiaTheme="minorEastAsia" w:hAnsiTheme="minorEastAsia"/>
          <w:color w:val="000000"/>
          <w:kern w:val="22"/>
          <w:lang w:val="en-GB" w:eastAsia="zh-CN"/>
        </w:rPr>
        <w:t>“事先知情同意”，“自由、事先和知情同意”或“批准和参与”</w:t>
      </w:r>
      <w:r w:rsidR="00314EE8" w:rsidRPr="00314EE8">
        <w:rPr>
          <w:rFonts w:asciiTheme="minorEastAsia" w:eastAsiaTheme="minorEastAsia" w:hAnsiTheme="minorEastAsia"/>
          <w:color w:val="000000"/>
          <w:kern w:val="22"/>
          <w:lang w:val="en-GB" w:eastAsia="zh-CN"/>
        </w:rPr>
        <w:t xml:space="preserve"> </w:t>
      </w:r>
      <w:r w:rsidR="00314EE8" w:rsidRPr="00314EE8">
        <w:rPr>
          <w:rFonts w:eastAsiaTheme="minorEastAsia" w:hint="eastAsia"/>
          <w:color w:val="000000"/>
          <w:kern w:val="22"/>
          <w:lang w:val="en-GB" w:eastAsia="zh-CN"/>
        </w:rPr>
        <w:t>；</w:t>
      </w:r>
      <w:r w:rsidRPr="003C3F9A">
        <w:rPr>
          <w:rFonts w:eastAsiaTheme="minorEastAsia"/>
          <w:color w:val="000000"/>
          <w:kern w:val="22"/>
          <w:vertAlign w:val="superscript"/>
          <w:lang w:val="en-GB" w:eastAsia="zh-CN"/>
        </w:rPr>
        <w:footnoteReference w:id="260"/>
      </w:r>
    </w:p>
    <w:p w:rsidR="00F72940" w:rsidRPr="003C3F9A" w:rsidRDefault="00F72940" w:rsidP="001A42F8">
      <w:pPr>
        <w:numPr>
          <w:ilvl w:val="0"/>
          <w:numId w:val="218"/>
        </w:numPr>
        <w:suppressLineNumbers/>
        <w:tabs>
          <w:tab w:val="left" w:pos="1440"/>
        </w:tabs>
        <w:suppressAutoHyphens/>
        <w:kinsoku w:val="0"/>
        <w:overflowPunct w:val="0"/>
        <w:autoSpaceDE w:val="0"/>
        <w:autoSpaceDN w:val="0"/>
        <w:adjustRightInd w:val="0"/>
        <w:snapToGrid w:val="0"/>
        <w:spacing w:line="240" w:lineRule="atLeast"/>
        <w:ind w:left="0" w:firstLine="720"/>
        <w:rPr>
          <w:rFonts w:eastAsiaTheme="minorEastAsia"/>
          <w:color w:val="000000"/>
          <w:kern w:val="22"/>
          <w:lang w:val="en-GB" w:eastAsia="zh-CN"/>
        </w:rPr>
      </w:pPr>
      <w:r w:rsidRPr="003C3F9A">
        <w:rPr>
          <w:rFonts w:eastAsiaTheme="minorEastAsia"/>
          <w:kern w:val="22"/>
          <w:lang w:val="en-GB" w:eastAsia="zh-CN"/>
        </w:rPr>
        <w:t>促请</w:t>
      </w:r>
      <w:r w:rsidRPr="003C3F9A">
        <w:rPr>
          <w:rFonts w:eastAsiaTheme="minorEastAsia"/>
          <w:kern w:val="22"/>
          <w:lang w:val="zh-CN" w:eastAsia="zh-CN"/>
        </w:rPr>
        <w:t>各缔约方、其他国家政府和相关组织</w:t>
      </w:r>
      <w:r w:rsidRPr="003C3F9A">
        <w:rPr>
          <w:rFonts w:eastAsiaTheme="minorEastAsia"/>
          <w:snapToGrid w:val="0"/>
          <w:color w:val="000000" w:themeColor="text1"/>
          <w:kern w:val="22"/>
          <w:lang w:val="en-GB" w:eastAsia="zh-CN"/>
        </w:rPr>
        <w:t>酌情根据国情或国际商定的准则，并在</w:t>
      </w:r>
      <w:r w:rsidRPr="003C3F9A">
        <w:rPr>
          <w:rFonts w:eastAsiaTheme="minorEastAsia"/>
          <w:kern w:val="22"/>
          <w:lang w:val="zh-CN" w:eastAsia="zh-CN"/>
        </w:rPr>
        <w:t>特别顾及起源中心和生物多样性的情况下</w:t>
      </w:r>
      <w:r w:rsidRPr="003C3F9A">
        <w:rPr>
          <w:rFonts w:eastAsiaTheme="minorEastAsia"/>
          <w:kern w:val="22"/>
          <w:lang w:val="en-GB" w:eastAsia="zh-CN"/>
        </w:rPr>
        <w:t>，</w:t>
      </w:r>
      <w:r w:rsidRPr="003C3F9A">
        <w:rPr>
          <w:rFonts w:eastAsiaTheme="minorEastAsia"/>
          <w:kern w:val="22"/>
          <w:lang w:val="zh-CN" w:eastAsia="zh-CN"/>
        </w:rPr>
        <w:t>继续制定或酌情实施防止或最大限度地减少环境曝露于封闭使用合成生物学生成的有机物、组成部分和产品的潜在不利影响的措施，</w:t>
      </w:r>
      <w:r w:rsidRPr="003C3F9A">
        <w:rPr>
          <w:rFonts w:eastAsiaTheme="minorEastAsia"/>
          <w:snapToGrid w:val="0"/>
          <w:color w:val="000000" w:themeColor="text1"/>
          <w:kern w:val="22"/>
          <w:lang w:val="en-GB" w:eastAsia="zh-CN"/>
        </w:rPr>
        <w:t>包括</w:t>
      </w:r>
      <w:r w:rsidRPr="003C3F9A">
        <w:rPr>
          <w:rFonts w:eastAsiaTheme="minorEastAsia"/>
          <w:kern w:val="22"/>
          <w:lang w:val="zh-CN" w:eastAsia="zh-CN"/>
        </w:rPr>
        <w:t>检测、识别和监测的措施</w:t>
      </w:r>
      <w:r w:rsidRPr="003C3F9A">
        <w:rPr>
          <w:rFonts w:eastAsiaTheme="minorEastAsia"/>
          <w:kern w:val="22"/>
          <w:lang w:val="en-GB" w:eastAsia="zh-CN"/>
        </w:rPr>
        <w:t>；</w:t>
      </w:r>
    </w:p>
    <w:p w:rsidR="00F72940" w:rsidRPr="003C3F9A" w:rsidRDefault="00F72940" w:rsidP="001A42F8">
      <w:pPr>
        <w:numPr>
          <w:ilvl w:val="0"/>
          <w:numId w:val="218"/>
        </w:numPr>
        <w:suppressLineNumbers/>
        <w:tabs>
          <w:tab w:val="left" w:pos="1440"/>
        </w:tabs>
        <w:suppressAutoHyphens/>
        <w:adjustRightInd w:val="0"/>
        <w:snapToGrid w:val="0"/>
        <w:spacing w:line="240" w:lineRule="atLeast"/>
        <w:ind w:left="0" w:firstLine="720"/>
        <w:rPr>
          <w:rFonts w:eastAsiaTheme="minorEastAsia"/>
          <w:color w:val="000000"/>
          <w:kern w:val="22"/>
          <w:lang w:val="en-GB" w:eastAsia="zh-CN"/>
        </w:rPr>
      </w:pPr>
      <w:r w:rsidRPr="003C3F9A">
        <w:rPr>
          <w:rFonts w:eastAsiaTheme="minorEastAsia"/>
          <w:kern w:val="22"/>
          <w:lang w:val="zh-CN" w:eastAsia="zh-CN"/>
        </w:rPr>
        <w:t>又促请</w:t>
      </w:r>
      <w:r w:rsidRPr="003C3F9A">
        <w:rPr>
          <w:rFonts w:eastAsiaTheme="minorEastAsia"/>
          <w:color w:val="000000"/>
          <w:kern w:val="22"/>
          <w:lang w:val="zh-CN" w:eastAsia="zh-CN"/>
        </w:rPr>
        <w:t>各缔约方、其他国家政府和相关组织，特别是通过《公约》和生物安全信息交换所的信息交换机制，继续传播其在对合成生物学对生物多样性的潜在惠益和潜在不利影响的科学评估方面的信息并分享这方面的经验，除其他外，包括</w:t>
      </w:r>
      <w:r w:rsidRPr="003C3F9A">
        <w:rPr>
          <w:rFonts w:eastAsiaTheme="minorEastAsia"/>
          <w:kern w:val="22"/>
          <w:lang w:val="zh-CN" w:eastAsia="zh-CN"/>
        </w:rPr>
        <w:t>含有人工基因驱动的有机物</w:t>
      </w:r>
      <w:r w:rsidRPr="003C3F9A">
        <w:rPr>
          <w:rFonts w:eastAsiaTheme="minorEastAsia"/>
          <w:color w:val="000000"/>
          <w:kern w:val="22"/>
          <w:lang w:val="zh-CN" w:eastAsia="zh-CN"/>
        </w:rPr>
        <w:t>的具体应用的经验和从已释放到环境的改性活生物体的使用中积累的经验</w:t>
      </w:r>
      <w:r w:rsidRPr="003C3F9A">
        <w:rPr>
          <w:rFonts w:eastAsiaTheme="minorEastAsia"/>
          <w:color w:val="000000"/>
          <w:kern w:val="22"/>
          <w:lang w:val="en-GB" w:eastAsia="zh-CN"/>
        </w:rPr>
        <w:t>；</w:t>
      </w:r>
    </w:p>
    <w:p w:rsidR="00F72940" w:rsidRPr="003C3F9A" w:rsidRDefault="00F72940" w:rsidP="001A42F8">
      <w:pPr>
        <w:numPr>
          <w:ilvl w:val="0"/>
          <w:numId w:val="218"/>
        </w:numPr>
        <w:suppressLineNumbers/>
        <w:tabs>
          <w:tab w:val="left" w:pos="1440"/>
        </w:tabs>
        <w:suppressAutoHyphens/>
        <w:adjustRightInd w:val="0"/>
        <w:snapToGrid w:val="0"/>
        <w:spacing w:line="240" w:lineRule="atLeast"/>
        <w:ind w:left="0" w:firstLine="720"/>
        <w:rPr>
          <w:rFonts w:eastAsiaTheme="minorEastAsia"/>
          <w:kern w:val="22"/>
          <w:lang w:val="en-GB" w:eastAsia="zh-CN"/>
        </w:rPr>
      </w:pPr>
      <w:r w:rsidRPr="003C3F9A">
        <w:rPr>
          <w:rFonts w:eastAsiaTheme="minorEastAsia"/>
          <w:kern w:val="22"/>
          <w:lang w:val="zh-CN" w:eastAsia="zh-CN"/>
        </w:rPr>
        <w:t>决定在主要</w:t>
      </w:r>
      <w:r w:rsidRPr="003C3F9A">
        <w:rPr>
          <w:rFonts w:eastAsiaTheme="minorEastAsia"/>
          <w:lang w:val="zh-CN" w:eastAsia="zh-CN"/>
        </w:rPr>
        <w:t>考虑到根据《卡塔赫纳议定书》进行的风险评估工作</w:t>
      </w:r>
      <w:r w:rsidRPr="003C3F9A">
        <w:rPr>
          <w:rFonts w:eastAsiaTheme="minorEastAsia"/>
          <w:lang w:val="en-GB" w:eastAsia="zh-CN"/>
        </w:rPr>
        <w:t>的情况下，</w:t>
      </w:r>
      <w:r w:rsidRPr="003C3F9A">
        <w:rPr>
          <w:rFonts w:eastAsiaTheme="minorEastAsia"/>
          <w:lang w:val="zh-CN" w:eastAsia="zh-CN"/>
        </w:rPr>
        <w:t>延长合成生物学问题特设技术专家组的任务期限，以便根据附件所载的任务范围开展工作</w:t>
      </w:r>
      <w:r w:rsidRPr="003C3F9A">
        <w:rPr>
          <w:rFonts w:eastAsiaTheme="minorEastAsia"/>
          <w:lang w:val="en-GB" w:eastAsia="zh-CN"/>
        </w:rPr>
        <w:t>；</w:t>
      </w:r>
    </w:p>
    <w:p w:rsidR="00F72940" w:rsidRPr="003C3F9A" w:rsidRDefault="00F72940" w:rsidP="001A42F8">
      <w:pPr>
        <w:numPr>
          <w:ilvl w:val="0"/>
          <w:numId w:val="218"/>
        </w:numPr>
        <w:suppressLineNumbers/>
        <w:tabs>
          <w:tab w:val="left" w:pos="1440"/>
        </w:tabs>
        <w:suppressAutoHyphens/>
        <w:adjustRightInd w:val="0"/>
        <w:snapToGrid w:val="0"/>
        <w:spacing w:line="240" w:lineRule="atLeast"/>
        <w:ind w:left="0" w:firstLine="720"/>
        <w:rPr>
          <w:rFonts w:eastAsiaTheme="minorEastAsia"/>
          <w:color w:val="000000"/>
          <w:kern w:val="22"/>
          <w:lang w:val="en-GB" w:eastAsia="zh-CN"/>
        </w:rPr>
      </w:pPr>
      <w:r w:rsidRPr="003C3F9A">
        <w:rPr>
          <w:rFonts w:eastAsiaTheme="minorEastAsia"/>
          <w:kern w:val="22"/>
          <w:lang w:val="zh-CN" w:eastAsia="zh-CN"/>
        </w:rPr>
        <w:t>又决定考虑到根据《卡塔赫纳议定书》进行的风险评估工作</w:t>
      </w:r>
      <w:r w:rsidRPr="003C3F9A">
        <w:rPr>
          <w:rFonts w:eastAsiaTheme="minorEastAsia"/>
          <w:kern w:val="22"/>
          <w:lang w:val="en-GB" w:eastAsia="zh-CN"/>
        </w:rPr>
        <w:t>，</w:t>
      </w:r>
      <w:r w:rsidRPr="003C3F9A">
        <w:rPr>
          <w:rFonts w:eastAsiaTheme="minorEastAsia"/>
          <w:kern w:val="22"/>
          <w:lang w:val="zh-CN" w:eastAsia="zh-CN"/>
        </w:rPr>
        <w:t>延长合成生物学问题不限成员名额在线论坛</w:t>
      </w:r>
      <w:r w:rsidRPr="003C3F9A">
        <w:rPr>
          <w:rFonts w:eastAsiaTheme="minorEastAsia"/>
          <w:kern w:val="22"/>
          <w:lang w:val="en-GB" w:eastAsia="zh-CN"/>
        </w:rPr>
        <w:t>，</w:t>
      </w:r>
      <w:r w:rsidRPr="003C3F9A">
        <w:rPr>
          <w:rFonts w:eastAsiaTheme="minorEastAsia"/>
          <w:kern w:val="22"/>
          <w:lang w:val="zh-CN" w:eastAsia="zh-CN"/>
        </w:rPr>
        <w:t>以支持合成生物学问题特设技术专家组的审议工作</w:t>
      </w:r>
      <w:r w:rsidRPr="003C3F9A">
        <w:rPr>
          <w:rFonts w:eastAsiaTheme="minorEastAsia"/>
          <w:kern w:val="22"/>
          <w:lang w:val="en-GB" w:eastAsia="zh-CN"/>
        </w:rPr>
        <w:t>，</w:t>
      </w:r>
      <w:r w:rsidRPr="003C3F9A">
        <w:rPr>
          <w:rFonts w:eastAsiaTheme="minorEastAsia"/>
          <w:kern w:val="22"/>
          <w:lang w:val="zh-CN" w:eastAsia="zh-CN"/>
        </w:rPr>
        <w:t>并邀请各缔约方、其他国家政府、土著人民和地方社区以及相关组织继续提名专家参加合成生物学问题在线论坛</w:t>
      </w:r>
      <w:r w:rsidRPr="003C3F9A">
        <w:rPr>
          <w:rFonts w:eastAsiaTheme="minorEastAsia"/>
          <w:kern w:val="22"/>
          <w:lang w:val="en-GB" w:eastAsia="zh-CN"/>
        </w:rPr>
        <w:t>；</w:t>
      </w:r>
    </w:p>
    <w:p w:rsidR="00F72940" w:rsidRPr="003C3F9A" w:rsidRDefault="00F72940" w:rsidP="001A42F8">
      <w:pPr>
        <w:numPr>
          <w:ilvl w:val="0"/>
          <w:numId w:val="218"/>
        </w:numPr>
        <w:suppressLineNumbers/>
        <w:tabs>
          <w:tab w:val="left" w:pos="1440"/>
        </w:tabs>
        <w:suppressAutoHyphens/>
        <w:adjustRightInd w:val="0"/>
        <w:snapToGrid w:val="0"/>
        <w:spacing w:line="240" w:lineRule="atLeast"/>
        <w:ind w:left="0" w:firstLine="720"/>
        <w:rPr>
          <w:rFonts w:eastAsiaTheme="minorEastAsia"/>
          <w:color w:val="000000"/>
          <w:kern w:val="22"/>
          <w:lang w:val="en-GB" w:eastAsia="zh-CN"/>
        </w:rPr>
      </w:pPr>
      <w:r w:rsidRPr="003C3F9A">
        <w:rPr>
          <w:rFonts w:eastAsiaTheme="minorEastAsia"/>
          <w:kern w:val="22"/>
          <w:lang w:val="zh-CN" w:eastAsia="zh-CN"/>
        </w:rPr>
        <w:t>邀请各缔约方、其他国家政府、土著人民和地方社区以及相关组织向执行秘书提供与附件</w:t>
      </w:r>
      <w:r w:rsidRPr="003C3F9A">
        <w:rPr>
          <w:rFonts w:eastAsiaTheme="minorEastAsia"/>
          <w:kern w:val="22"/>
          <w:lang w:eastAsia="zh-CN"/>
        </w:rPr>
        <w:t>(</w:t>
      </w:r>
      <w:r w:rsidRPr="003C3F9A">
        <w:rPr>
          <w:rFonts w:eastAsiaTheme="minorEastAsia"/>
          <w:kern w:val="22"/>
          <w:lang w:val="en-GB" w:eastAsia="zh-CN"/>
        </w:rPr>
        <w:t>a)</w:t>
      </w:r>
      <w:r w:rsidRPr="003C3F9A">
        <w:rPr>
          <w:rFonts w:eastAsiaTheme="minorEastAsia"/>
          <w:kern w:val="22"/>
          <w:lang w:val="zh-CN" w:eastAsia="zh-CN"/>
        </w:rPr>
        <w:t>至</w:t>
      </w:r>
      <w:r w:rsidRPr="003C3F9A">
        <w:rPr>
          <w:rFonts w:eastAsiaTheme="minorEastAsia"/>
          <w:kern w:val="22"/>
          <w:lang w:eastAsia="zh-CN"/>
        </w:rPr>
        <w:t>(</w:t>
      </w:r>
      <w:r w:rsidRPr="003C3F9A">
        <w:rPr>
          <w:rFonts w:eastAsiaTheme="minorEastAsia"/>
          <w:kern w:val="22"/>
          <w:lang w:val="en-GB" w:eastAsia="zh-CN"/>
        </w:rPr>
        <w:t>d)</w:t>
      </w:r>
      <w:r w:rsidRPr="003C3F9A">
        <w:rPr>
          <w:rFonts w:eastAsiaTheme="minorEastAsia"/>
          <w:kern w:val="22"/>
          <w:lang w:val="zh-CN" w:eastAsia="zh-CN"/>
        </w:rPr>
        <w:t>段相关的信息</w:t>
      </w:r>
      <w:r w:rsidRPr="003C3F9A">
        <w:rPr>
          <w:rFonts w:eastAsiaTheme="minorEastAsia"/>
          <w:kern w:val="22"/>
          <w:lang w:val="en-GB" w:eastAsia="zh-CN"/>
        </w:rPr>
        <w:t>，</w:t>
      </w:r>
      <w:r w:rsidRPr="003C3F9A">
        <w:rPr>
          <w:rFonts w:eastAsiaTheme="minorEastAsia"/>
          <w:kern w:val="22"/>
          <w:lang w:val="zh-CN" w:eastAsia="zh-CN"/>
        </w:rPr>
        <w:t>以便促进特设技术专家组的工作</w:t>
      </w:r>
      <w:r w:rsidRPr="003C3F9A">
        <w:rPr>
          <w:rFonts w:eastAsiaTheme="minorEastAsia"/>
          <w:kern w:val="22"/>
          <w:lang w:val="en-GB" w:eastAsia="zh-CN"/>
        </w:rPr>
        <w:t>；</w:t>
      </w:r>
    </w:p>
    <w:p w:rsidR="00F72940" w:rsidRPr="003C3F9A" w:rsidRDefault="00F72940" w:rsidP="001A42F8">
      <w:pPr>
        <w:numPr>
          <w:ilvl w:val="0"/>
          <w:numId w:val="218"/>
        </w:numPr>
        <w:suppressLineNumbers/>
        <w:tabs>
          <w:tab w:val="left" w:pos="1440"/>
        </w:tabs>
        <w:suppressAutoHyphens/>
        <w:adjustRightInd w:val="0"/>
        <w:snapToGrid w:val="0"/>
        <w:spacing w:line="240" w:lineRule="atLeast"/>
        <w:ind w:left="0" w:firstLine="720"/>
        <w:rPr>
          <w:rFonts w:eastAsiaTheme="minorEastAsia"/>
          <w:color w:val="000000"/>
          <w:kern w:val="22"/>
          <w:lang w:val="en-GB" w:eastAsia="zh-CN"/>
        </w:rPr>
      </w:pPr>
      <w:r w:rsidRPr="003C3F9A">
        <w:rPr>
          <w:rFonts w:eastAsiaTheme="minorEastAsia"/>
          <w:kern w:val="22"/>
          <w:lang w:val="zh-CN" w:eastAsia="zh-CN"/>
        </w:rPr>
        <w:t>请执行秘书在资源允许的情况下进行以下工作</w:t>
      </w:r>
      <w:r w:rsidRPr="003C3F9A">
        <w:rPr>
          <w:rFonts w:eastAsiaTheme="minorEastAsia"/>
          <w:kern w:val="22"/>
          <w:lang w:val="en-GB" w:eastAsia="zh-CN"/>
        </w:rPr>
        <w:t>：</w:t>
      </w:r>
    </w:p>
    <w:p w:rsidR="00F72940" w:rsidRPr="003C3F9A" w:rsidRDefault="00F72940" w:rsidP="001A42F8">
      <w:pPr>
        <w:numPr>
          <w:ilvl w:val="0"/>
          <w:numId w:val="219"/>
        </w:numPr>
        <w:suppressLineNumbers/>
        <w:suppressAutoHyphens/>
        <w:adjustRightInd w:val="0"/>
        <w:snapToGrid w:val="0"/>
        <w:spacing w:line="240" w:lineRule="atLeast"/>
        <w:ind w:left="0" w:firstLine="720"/>
        <w:rPr>
          <w:rFonts w:eastAsiaTheme="minorEastAsia"/>
          <w:lang w:val="en-GB" w:eastAsia="zh-CN"/>
        </w:rPr>
      </w:pPr>
      <w:r w:rsidRPr="003C3F9A">
        <w:rPr>
          <w:rFonts w:eastAsiaTheme="minorEastAsia"/>
          <w:kern w:val="22"/>
          <w:lang w:val="zh-CN" w:eastAsia="zh-CN"/>
        </w:rPr>
        <w:t>召开合成生物学问题不限成员名额在线论坛有人主持的在线讨论</w:t>
      </w:r>
      <w:r w:rsidRPr="003C3F9A">
        <w:rPr>
          <w:rFonts w:eastAsiaTheme="minorEastAsia"/>
          <w:kern w:val="22"/>
          <w:lang w:val="en-GB" w:eastAsia="zh-CN"/>
        </w:rPr>
        <w:t>；</w:t>
      </w:r>
    </w:p>
    <w:p w:rsidR="00F72940" w:rsidRPr="003C3F9A" w:rsidRDefault="00F72940" w:rsidP="001A42F8">
      <w:pPr>
        <w:widowControl w:val="0"/>
        <w:numPr>
          <w:ilvl w:val="0"/>
          <w:numId w:val="219"/>
        </w:numPr>
        <w:suppressLineNumbers/>
        <w:suppressAutoHyphens/>
        <w:adjustRightInd w:val="0"/>
        <w:snapToGrid w:val="0"/>
        <w:spacing w:line="240" w:lineRule="atLeast"/>
        <w:ind w:left="0" w:firstLine="720"/>
        <w:rPr>
          <w:rFonts w:eastAsiaTheme="minorEastAsia"/>
          <w:kern w:val="22"/>
          <w:lang w:val="zh-CN" w:eastAsia="zh-CN"/>
        </w:rPr>
      </w:pPr>
      <w:r w:rsidRPr="003C3F9A">
        <w:rPr>
          <w:rFonts w:eastAsiaTheme="minorEastAsia"/>
          <w:kern w:val="22"/>
          <w:lang w:val="zh-CN" w:eastAsia="zh-CN"/>
        </w:rPr>
        <w:lastRenderedPageBreak/>
        <w:t>促进合成生物学问题特设技术专家组的工作，除其他外，收集和综合相关信息并安排进行同行审议，并至少召开一次面对面的会议；</w:t>
      </w:r>
    </w:p>
    <w:p w:rsidR="00F72940" w:rsidRPr="003C3F9A" w:rsidRDefault="00F72940" w:rsidP="001A42F8">
      <w:pPr>
        <w:numPr>
          <w:ilvl w:val="0"/>
          <w:numId w:val="219"/>
        </w:numPr>
        <w:suppressLineNumbers/>
        <w:suppressAutoHyphens/>
        <w:adjustRightInd w:val="0"/>
        <w:snapToGrid w:val="0"/>
        <w:spacing w:line="240" w:lineRule="atLeast"/>
        <w:ind w:left="0" w:firstLine="720"/>
        <w:rPr>
          <w:rFonts w:eastAsiaTheme="minorEastAsia"/>
          <w:kern w:val="22"/>
          <w:lang w:val="zh-CN" w:eastAsia="zh-CN"/>
        </w:rPr>
      </w:pPr>
      <w:r w:rsidRPr="003C3F9A">
        <w:rPr>
          <w:rFonts w:eastAsiaTheme="minorEastAsia"/>
          <w:kern w:val="22"/>
          <w:lang w:val="zh-CN" w:eastAsia="zh-CN"/>
        </w:rPr>
        <w:t>根据对科学信息和其他相关信息的同行审议，更新《合成生物学技术丛刊》，供科学、技术和工艺咨询附属机构审议；</w:t>
      </w:r>
    </w:p>
    <w:p w:rsidR="00F72940" w:rsidRPr="003C3F9A" w:rsidRDefault="00F72940" w:rsidP="001A42F8">
      <w:pPr>
        <w:numPr>
          <w:ilvl w:val="0"/>
          <w:numId w:val="219"/>
        </w:numPr>
        <w:suppressLineNumbers/>
        <w:suppressAutoHyphens/>
        <w:adjustRightInd w:val="0"/>
        <w:snapToGrid w:val="0"/>
        <w:spacing w:line="240" w:lineRule="atLeast"/>
        <w:ind w:left="0" w:firstLine="720"/>
        <w:rPr>
          <w:rFonts w:eastAsiaTheme="minorEastAsia"/>
          <w:kern w:val="22"/>
          <w:lang w:val="zh-CN" w:eastAsia="zh-CN"/>
        </w:rPr>
      </w:pPr>
      <w:r w:rsidRPr="003C3F9A">
        <w:rPr>
          <w:rFonts w:eastAsiaTheme="minorEastAsia"/>
          <w:kern w:val="22"/>
          <w:lang w:val="zh-CN" w:eastAsia="zh-CN"/>
        </w:rPr>
        <w:t>进一步与来自所有区域的其他组织、公约和倡议包括学术和研究机构就与合成生物学相关的问题进行合作，包括交换经验和信息；</w:t>
      </w:r>
    </w:p>
    <w:p w:rsidR="00F72940" w:rsidRPr="003C3F9A" w:rsidRDefault="00F72940" w:rsidP="001A42F8">
      <w:pPr>
        <w:numPr>
          <w:ilvl w:val="0"/>
          <w:numId w:val="219"/>
        </w:numPr>
        <w:suppressLineNumbers/>
        <w:suppressAutoHyphens/>
        <w:adjustRightInd w:val="0"/>
        <w:snapToGrid w:val="0"/>
        <w:spacing w:line="240" w:lineRule="atLeast"/>
        <w:ind w:left="0" w:firstLine="720"/>
        <w:rPr>
          <w:rFonts w:eastAsiaTheme="minorEastAsia"/>
          <w:kern w:val="22"/>
          <w:lang w:val="zh-CN" w:eastAsia="zh-CN"/>
        </w:rPr>
      </w:pPr>
      <w:r w:rsidRPr="003C3F9A">
        <w:rPr>
          <w:rFonts w:eastAsiaTheme="minorEastAsia"/>
          <w:kern w:val="22"/>
          <w:lang w:val="zh-CN" w:eastAsia="zh-CN"/>
        </w:rPr>
        <w:t>探讨便利、促进和支持合成生物学方面的能力建设和知识分享的途径，同时考虑到缔约方以及土著人民和地方社区的需要，包括提供必要的资金和共同设计联合国正式语文和可能情况下当地语文编制的资料和培训材料；</w:t>
      </w:r>
    </w:p>
    <w:p w:rsidR="00F72940" w:rsidRPr="003C3F9A" w:rsidRDefault="00F72940" w:rsidP="001A42F8">
      <w:pPr>
        <w:widowControl w:val="0"/>
        <w:numPr>
          <w:ilvl w:val="0"/>
          <w:numId w:val="219"/>
        </w:numPr>
        <w:suppressLineNumbers/>
        <w:tabs>
          <w:tab w:val="left" w:pos="1440"/>
        </w:tabs>
        <w:suppressAutoHyphens/>
        <w:adjustRightInd w:val="0"/>
        <w:snapToGrid w:val="0"/>
        <w:spacing w:line="240" w:lineRule="atLeast"/>
        <w:ind w:left="0" w:firstLine="720"/>
        <w:rPr>
          <w:rFonts w:eastAsiaTheme="minorEastAsia"/>
          <w:kern w:val="22"/>
          <w:lang w:val="zh-CN" w:eastAsia="zh-CN"/>
        </w:rPr>
      </w:pPr>
      <w:r w:rsidRPr="003C3F9A">
        <w:rPr>
          <w:rFonts w:eastAsiaTheme="minorEastAsia"/>
          <w:kern w:val="22"/>
          <w:lang w:val="zh-CN" w:eastAsia="zh-CN"/>
        </w:rPr>
        <w:t>通过</w:t>
      </w:r>
      <w:r w:rsidRPr="00B01154">
        <w:rPr>
          <w:rFonts w:asciiTheme="minorEastAsia" w:eastAsiaTheme="minorEastAsia" w:hAnsiTheme="minorEastAsia"/>
          <w:kern w:val="22"/>
          <w:lang w:val="zh-CN" w:eastAsia="zh-CN"/>
        </w:rPr>
        <w:t>“检测和识别改性活生物体实验室网”</w:t>
      </w:r>
      <w:r w:rsidRPr="003C3F9A">
        <w:rPr>
          <w:rFonts w:eastAsiaTheme="minorEastAsia"/>
          <w:kern w:val="22"/>
          <w:lang w:val="zh-CN" w:eastAsia="zh-CN"/>
        </w:rPr>
        <w:t>，</w:t>
      </w:r>
      <w:r w:rsidRPr="003C3F9A">
        <w:rPr>
          <w:rFonts w:eastAsiaTheme="minorEastAsia"/>
          <w:lang w:val="zh-CN" w:eastAsia="zh-CN"/>
        </w:rPr>
        <w:t xml:space="preserve"> </w:t>
      </w:r>
      <w:r w:rsidRPr="003C3F9A">
        <w:rPr>
          <w:rFonts w:eastAsiaTheme="minorEastAsia"/>
          <w:vertAlign w:val="superscript"/>
          <w:lang w:val="zh-CN" w:eastAsia="zh-CN"/>
        </w:rPr>
        <w:footnoteReference w:id="261"/>
      </w:r>
      <w:r w:rsidRPr="003C3F9A">
        <w:rPr>
          <w:rFonts w:eastAsiaTheme="minorEastAsia"/>
          <w:kern w:val="22"/>
          <w:vertAlign w:val="superscript"/>
          <w:lang w:val="zh-CN" w:eastAsia="zh-CN"/>
        </w:rPr>
        <w:t xml:space="preserve"> </w:t>
      </w:r>
      <w:r w:rsidRPr="003C3F9A">
        <w:rPr>
          <w:rFonts w:eastAsiaTheme="minorEastAsia"/>
          <w:kern w:val="22"/>
          <w:lang w:val="zh-CN" w:eastAsia="zh-CN"/>
        </w:rPr>
        <w:t>对分享有关检测、识别和监测合成生物学生成的有机物、组成部分和产品的经验进行协作和讨论，并继续邀请各实验室包括分析实验室参加该网络；</w:t>
      </w:r>
    </w:p>
    <w:p w:rsidR="00F72940" w:rsidRPr="003C3F9A" w:rsidRDefault="00F72940" w:rsidP="001A42F8">
      <w:pPr>
        <w:numPr>
          <w:ilvl w:val="0"/>
          <w:numId w:val="219"/>
        </w:numPr>
        <w:suppressLineNumbers/>
        <w:suppressAutoHyphens/>
        <w:adjustRightInd w:val="0"/>
        <w:snapToGrid w:val="0"/>
        <w:spacing w:line="240" w:lineRule="atLeast"/>
        <w:ind w:left="0" w:firstLine="720"/>
        <w:rPr>
          <w:rFonts w:eastAsiaTheme="minorEastAsia"/>
          <w:kern w:val="22"/>
          <w:lang w:val="zh-CN" w:eastAsia="zh-CN"/>
        </w:rPr>
      </w:pPr>
      <w:r w:rsidRPr="003C3F9A">
        <w:rPr>
          <w:rFonts w:eastAsiaTheme="minorEastAsia"/>
          <w:kern w:val="22"/>
          <w:lang w:val="zh-CN" w:eastAsia="zh-CN"/>
        </w:rPr>
        <w:t>确保土著人民和地方社区根据第</w:t>
      </w:r>
      <w:r w:rsidRPr="003C3F9A">
        <w:rPr>
          <w:rFonts w:eastAsiaTheme="minorEastAsia"/>
          <w:kern w:val="22"/>
          <w:lang w:val="zh-CN" w:eastAsia="zh-CN"/>
        </w:rPr>
        <w:t>X/40</w:t>
      </w:r>
      <w:r w:rsidRPr="003C3F9A">
        <w:rPr>
          <w:rFonts w:eastAsiaTheme="minorEastAsia"/>
          <w:kern w:val="22"/>
          <w:lang w:val="zh-CN" w:eastAsia="zh-CN"/>
        </w:rPr>
        <w:t>号决定充分有效参与《公约》下有关合成生物学问题的讨论和工作；</w:t>
      </w:r>
    </w:p>
    <w:p w:rsidR="00F72940" w:rsidRPr="003C3F9A" w:rsidRDefault="00F72940" w:rsidP="001A42F8">
      <w:pPr>
        <w:numPr>
          <w:ilvl w:val="0"/>
          <w:numId w:val="218"/>
        </w:numPr>
        <w:suppressLineNumbers/>
        <w:tabs>
          <w:tab w:val="left" w:pos="1440"/>
        </w:tabs>
        <w:suppressAutoHyphens/>
        <w:adjustRightInd w:val="0"/>
        <w:snapToGrid w:val="0"/>
        <w:spacing w:line="240" w:lineRule="atLeast"/>
        <w:ind w:left="0" w:firstLine="720"/>
        <w:rPr>
          <w:rFonts w:eastAsiaTheme="minorEastAsia"/>
          <w:kern w:val="22"/>
          <w:lang w:val="en-GB" w:eastAsia="zh-CN"/>
        </w:rPr>
      </w:pPr>
      <w:r w:rsidRPr="003C3F9A">
        <w:rPr>
          <w:rFonts w:eastAsiaTheme="minorEastAsia"/>
          <w:kern w:val="22"/>
          <w:lang w:val="zh-CN" w:eastAsia="zh-CN"/>
        </w:rPr>
        <w:t>请科学、技术和工艺咨询附属机构</w:t>
      </w:r>
      <w:r w:rsidRPr="003C3F9A">
        <w:rPr>
          <w:rFonts w:eastAsiaTheme="minorEastAsia"/>
          <w:kern w:val="22"/>
          <w:lang w:val="en-GB" w:eastAsia="zh-CN"/>
        </w:rPr>
        <w:t>：</w:t>
      </w:r>
    </w:p>
    <w:p w:rsidR="00F72940" w:rsidRPr="003C3F9A" w:rsidRDefault="00F72940" w:rsidP="001A42F8">
      <w:pPr>
        <w:pStyle w:val="ListParagraph"/>
        <w:numPr>
          <w:ilvl w:val="0"/>
          <w:numId w:val="220"/>
        </w:numPr>
        <w:suppressLineNumbers/>
        <w:suppressAutoHyphens/>
        <w:adjustRightInd w:val="0"/>
        <w:snapToGrid w:val="0"/>
        <w:spacing w:line="240" w:lineRule="atLeast"/>
        <w:ind w:left="0" w:firstLine="720"/>
        <w:rPr>
          <w:rFonts w:eastAsiaTheme="minorEastAsia"/>
          <w:lang w:val="en-GB" w:eastAsia="zh-CN"/>
        </w:rPr>
      </w:pPr>
      <w:r w:rsidRPr="003C3F9A">
        <w:rPr>
          <w:rFonts w:eastAsiaTheme="minorEastAsia"/>
          <w:kern w:val="22"/>
          <w:lang w:val="zh-CN" w:eastAsia="zh-CN"/>
        </w:rPr>
        <w:t>审议合成生物学问题不限成员名额在线论坛和合成生物学问题特设技术专家组的工作</w:t>
      </w:r>
      <w:r w:rsidRPr="003C3F9A">
        <w:rPr>
          <w:rFonts w:eastAsiaTheme="minorEastAsia"/>
          <w:kern w:val="22"/>
          <w:lang w:val="en-GB" w:eastAsia="zh-CN"/>
        </w:rPr>
        <w:t>；</w:t>
      </w:r>
    </w:p>
    <w:p w:rsidR="00F72940" w:rsidRPr="003C3F9A" w:rsidRDefault="00F72940" w:rsidP="001A42F8">
      <w:pPr>
        <w:pStyle w:val="ListParagraph"/>
        <w:widowControl w:val="0"/>
        <w:numPr>
          <w:ilvl w:val="0"/>
          <w:numId w:val="220"/>
        </w:numPr>
        <w:suppressLineNumbers/>
        <w:suppressAutoHyphens/>
        <w:adjustRightInd w:val="0"/>
        <w:snapToGrid w:val="0"/>
        <w:spacing w:line="240" w:lineRule="atLeast"/>
        <w:ind w:left="0" w:firstLine="720"/>
        <w:rPr>
          <w:rFonts w:eastAsiaTheme="minorEastAsia"/>
          <w:kern w:val="22"/>
          <w:lang w:val="zh-CN" w:eastAsia="zh-CN"/>
        </w:rPr>
      </w:pPr>
      <w:r w:rsidRPr="003C3F9A">
        <w:rPr>
          <w:rFonts w:eastAsiaTheme="minorEastAsia"/>
          <w:kern w:val="22"/>
          <w:lang w:val="zh-CN" w:eastAsia="zh-CN"/>
        </w:rPr>
        <w:t>注意到执行秘书进行的初步分析，</w:t>
      </w:r>
      <w:r w:rsidRPr="00314EE8">
        <w:rPr>
          <w:rFonts w:eastAsiaTheme="minorEastAsia"/>
          <w:kern w:val="22"/>
          <w:vertAlign w:val="superscript"/>
          <w:lang w:val="zh-CN" w:eastAsia="zh-CN"/>
        </w:rPr>
        <w:footnoteReference w:id="262"/>
      </w:r>
      <w:r w:rsidRPr="00314EE8">
        <w:rPr>
          <w:rFonts w:eastAsiaTheme="minorEastAsia"/>
          <w:kern w:val="22"/>
          <w:vertAlign w:val="superscript"/>
          <w:lang w:val="zh-CN" w:eastAsia="zh-CN"/>
        </w:rPr>
        <w:t xml:space="preserve"> </w:t>
      </w:r>
      <w:r w:rsidRPr="003C3F9A">
        <w:rPr>
          <w:rFonts w:eastAsiaTheme="minorEastAsia"/>
          <w:kern w:val="22"/>
          <w:lang w:val="zh-CN" w:eastAsia="zh-CN"/>
        </w:rPr>
        <w:t>并考虑合成生物学问题特设技术专家组关于合成生物学与第</w:t>
      </w:r>
      <w:r w:rsidRPr="003C3F9A">
        <w:rPr>
          <w:rFonts w:eastAsiaTheme="minorEastAsia"/>
          <w:kern w:val="22"/>
          <w:lang w:val="zh-CN" w:eastAsia="zh-CN"/>
        </w:rPr>
        <w:t>IX/29</w:t>
      </w:r>
      <w:r w:rsidRPr="003C3F9A">
        <w:rPr>
          <w:rFonts w:eastAsiaTheme="minorEastAsia"/>
          <w:kern w:val="22"/>
          <w:lang w:val="zh-CN" w:eastAsia="zh-CN"/>
        </w:rPr>
        <w:t>号决定第</w:t>
      </w:r>
      <w:r w:rsidRPr="003C3F9A">
        <w:rPr>
          <w:rFonts w:eastAsiaTheme="minorEastAsia"/>
          <w:kern w:val="22"/>
          <w:lang w:val="zh-CN" w:eastAsia="zh-CN"/>
        </w:rPr>
        <w:t>12</w:t>
      </w:r>
      <w:r w:rsidRPr="003C3F9A">
        <w:rPr>
          <w:rFonts w:eastAsiaTheme="minorEastAsia"/>
          <w:kern w:val="22"/>
          <w:lang w:val="zh-CN" w:eastAsia="zh-CN"/>
        </w:rPr>
        <w:t>段规定的准则之间关系的进一步分析和咨询意见，以便完成第</w:t>
      </w:r>
      <w:r w:rsidRPr="003C3F9A">
        <w:rPr>
          <w:rFonts w:eastAsiaTheme="minorEastAsia"/>
          <w:kern w:val="22"/>
          <w:lang w:val="zh-CN" w:eastAsia="zh-CN"/>
        </w:rPr>
        <w:t>XII/24</w:t>
      </w:r>
      <w:r w:rsidRPr="003C3F9A">
        <w:rPr>
          <w:rFonts w:eastAsiaTheme="minorEastAsia"/>
          <w:kern w:val="22"/>
          <w:lang w:val="zh-CN" w:eastAsia="zh-CN"/>
        </w:rPr>
        <w:t>号决定第</w:t>
      </w:r>
      <w:r w:rsidRPr="003C3F9A">
        <w:rPr>
          <w:rFonts w:eastAsiaTheme="minorEastAsia"/>
          <w:kern w:val="22"/>
          <w:lang w:val="zh-CN" w:eastAsia="zh-CN"/>
        </w:rPr>
        <w:t>2</w:t>
      </w:r>
      <w:r w:rsidRPr="003C3F9A">
        <w:rPr>
          <w:rFonts w:eastAsiaTheme="minorEastAsia"/>
          <w:kern w:val="22"/>
          <w:lang w:val="zh-CN" w:eastAsia="zh-CN"/>
        </w:rPr>
        <w:t>段要求进行的分析；</w:t>
      </w:r>
    </w:p>
    <w:p w:rsidR="00F72940" w:rsidRPr="003C3F9A" w:rsidRDefault="00F72940" w:rsidP="001A42F8">
      <w:pPr>
        <w:pStyle w:val="ListParagraph"/>
        <w:numPr>
          <w:ilvl w:val="0"/>
          <w:numId w:val="220"/>
        </w:numPr>
        <w:suppressLineNumbers/>
        <w:suppressAutoHyphens/>
        <w:adjustRightInd w:val="0"/>
        <w:snapToGrid w:val="0"/>
        <w:spacing w:line="240" w:lineRule="atLeast"/>
        <w:ind w:left="0" w:firstLine="720"/>
        <w:rPr>
          <w:rFonts w:eastAsiaTheme="minorEastAsia"/>
          <w:kern w:val="22"/>
          <w:lang w:val="zh-CN" w:eastAsia="zh-CN"/>
        </w:rPr>
      </w:pPr>
      <w:r w:rsidRPr="003C3F9A">
        <w:rPr>
          <w:rFonts w:eastAsiaTheme="minorEastAsia"/>
          <w:kern w:val="22"/>
          <w:lang w:val="zh-CN" w:eastAsia="zh-CN"/>
        </w:rPr>
        <w:t>向缔约方大会第十五届会议提出一项建议。</w:t>
      </w:r>
    </w:p>
    <w:p w:rsidR="00F72940" w:rsidRPr="00B01154" w:rsidRDefault="00F72940" w:rsidP="00B01154">
      <w:pPr>
        <w:suppressLineNumbers/>
        <w:suppressAutoHyphens/>
        <w:adjustRightInd w:val="0"/>
        <w:ind w:firstLine="0"/>
        <w:jc w:val="center"/>
        <w:rPr>
          <w:rFonts w:ascii="KaiTi" w:eastAsia="KaiTi" w:hAnsi="KaiTi"/>
          <w:i/>
          <w:color w:val="000000"/>
          <w:kern w:val="22"/>
          <w:lang w:val="en-GB" w:eastAsia="zh-CN"/>
        </w:rPr>
      </w:pPr>
      <w:r w:rsidRPr="00B01154">
        <w:rPr>
          <w:rFonts w:ascii="KaiTi" w:eastAsia="KaiTi" w:hAnsi="KaiTi"/>
          <w:kern w:val="22"/>
          <w:lang w:val="zh-CN" w:eastAsia="zh-CN"/>
        </w:rPr>
        <w:t>附件</w:t>
      </w:r>
    </w:p>
    <w:p w:rsidR="00F72940" w:rsidRPr="003C3F9A" w:rsidRDefault="00F72940" w:rsidP="00B01154">
      <w:pPr>
        <w:suppressLineNumbers/>
        <w:suppressAutoHyphens/>
        <w:adjustRightInd w:val="0"/>
        <w:ind w:firstLine="0"/>
        <w:jc w:val="center"/>
        <w:rPr>
          <w:rFonts w:eastAsiaTheme="minorEastAsia"/>
          <w:b/>
          <w:color w:val="000000"/>
          <w:kern w:val="22"/>
          <w:lang w:val="en-GB" w:eastAsia="zh-CN"/>
        </w:rPr>
      </w:pPr>
      <w:r w:rsidRPr="003C3F9A">
        <w:rPr>
          <w:rFonts w:eastAsiaTheme="minorEastAsia"/>
          <w:b/>
          <w:kern w:val="22"/>
          <w:lang w:val="zh-CN" w:eastAsia="zh-CN"/>
        </w:rPr>
        <w:t>合成生物学问题特设技术专家组的任务范围</w:t>
      </w:r>
    </w:p>
    <w:p w:rsidR="00F72940" w:rsidRPr="003C3F9A" w:rsidRDefault="00F72940" w:rsidP="00B01154">
      <w:pPr>
        <w:suppressLineNumbers/>
        <w:suppressAutoHyphens/>
        <w:adjustRightInd w:val="0"/>
        <w:ind w:firstLine="0"/>
        <w:rPr>
          <w:rFonts w:eastAsiaTheme="minorEastAsia"/>
          <w:color w:val="000000"/>
          <w:kern w:val="22"/>
          <w:lang w:val="en-GB" w:eastAsia="zh-CN"/>
        </w:rPr>
      </w:pPr>
      <w:r w:rsidRPr="003C3F9A">
        <w:rPr>
          <w:rFonts w:eastAsiaTheme="minorEastAsia"/>
          <w:kern w:val="22"/>
          <w:lang w:val="zh-CN" w:eastAsia="zh-CN"/>
        </w:rPr>
        <w:t>合成生物学问题特设技术专家组应</w:t>
      </w:r>
      <w:r w:rsidRPr="003C3F9A">
        <w:rPr>
          <w:rFonts w:eastAsiaTheme="minorEastAsia"/>
          <w:kern w:val="22"/>
          <w:lang w:val="en-GB" w:eastAsia="zh-CN"/>
        </w:rPr>
        <w:t>：</w:t>
      </w:r>
    </w:p>
    <w:p w:rsidR="00F72940" w:rsidRPr="003C3F9A" w:rsidRDefault="00F72940" w:rsidP="001A42F8">
      <w:pPr>
        <w:numPr>
          <w:ilvl w:val="0"/>
          <w:numId w:val="221"/>
        </w:numPr>
        <w:suppressLineNumbers/>
        <w:tabs>
          <w:tab w:val="left" w:pos="1440"/>
        </w:tabs>
        <w:suppressAutoHyphens/>
        <w:adjustRightInd w:val="0"/>
        <w:snapToGrid w:val="0"/>
        <w:ind w:left="0" w:firstLine="720"/>
        <w:rPr>
          <w:rFonts w:eastAsiaTheme="minorEastAsia"/>
          <w:color w:val="000000"/>
          <w:kern w:val="22"/>
          <w:lang w:val="en-GB" w:eastAsia="zh-CN"/>
        </w:rPr>
      </w:pPr>
      <w:r w:rsidRPr="003C3F9A">
        <w:rPr>
          <w:rFonts w:eastAsiaTheme="minorEastAsia"/>
          <w:color w:val="000000"/>
          <w:kern w:val="22"/>
          <w:lang w:val="en-GB" w:eastAsia="zh-CN"/>
        </w:rPr>
        <w:t>根据执行秘书在</w:t>
      </w:r>
      <w:r w:rsidRPr="003C3F9A">
        <w:rPr>
          <w:rFonts w:eastAsiaTheme="minorEastAsia"/>
          <w:color w:val="000000"/>
          <w:kern w:val="22"/>
          <w:lang w:val="en-GB" w:eastAsia="zh-CN"/>
        </w:rPr>
        <w:t>SBSTTA/22/INF/17</w:t>
      </w:r>
      <w:r w:rsidRPr="003C3F9A">
        <w:rPr>
          <w:rFonts w:eastAsiaTheme="minorEastAsia"/>
          <w:color w:val="000000"/>
          <w:kern w:val="22"/>
          <w:lang w:val="en-GB" w:eastAsia="zh-CN"/>
        </w:rPr>
        <w:t>号文件中编制的初步分析，就合成生物学和第</w:t>
      </w:r>
      <w:r w:rsidRPr="003C3F9A">
        <w:rPr>
          <w:rFonts w:eastAsiaTheme="minorEastAsia"/>
          <w:color w:val="000000"/>
          <w:kern w:val="22"/>
          <w:lang w:val="en-GB" w:eastAsia="zh-CN"/>
        </w:rPr>
        <w:t>IX/29</w:t>
      </w:r>
      <w:r w:rsidRPr="003C3F9A">
        <w:rPr>
          <w:rFonts w:eastAsiaTheme="minorEastAsia"/>
          <w:color w:val="000000"/>
          <w:kern w:val="22"/>
          <w:lang w:val="en-GB" w:eastAsia="zh-CN"/>
        </w:rPr>
        <w:t>号决定第</w:t>
      </w:r>
      <w:r w:rsidRPr="003C3F9A">
        <w:rPr>
          <w:rFonts w:eastAsiaTheme="minorEastAsia"/>
          <w:color w:val="000000"/>
          <w:kern w:val="22"/>
          <w:lang w:val="en-GB" w:eastAsia="zh-CN"/>
        </w:rPr>
        <w:t>12</w:t>
      </w:r>
      <w:r w:rsidRPr="003C3F9A">
        <w:rPr>
          <w:rFonts w:eastAsiaTheme="minorEastAsia"/>
          <w:color w:val="000000"/>
          <w:kern w:val="22"/>
          <w:lang w:val="en-GB" w:eastAsia="zh-CN"/>
        </w:rPr>
        <w:t>段中规定的标准之间的关系提供咨询意见，以便完成第</w:t>
      </w:r>
      <w:r w:rsidRPr="003C3F9A">
        <w:rPr>
          <w:rFonts w:eastAsiaTheme="minorEastAsia"/>
          <w:color w:val="000000"/>
          <w:kern w:val="22"/>
          <w:lang w:val="en-GB" w:eastAsia="zh-CN"/>
        </w:rPr>
        <w:t>XII/24</w:t>
      </w:r>
      <w:r w:rsidRPr="003C3F9A">
        <w:rPr>
          <w:rFonts w:eastAsiaTheme="minorEastAsia"/>
          <w:color w:val="000000"/>
          <w:kern w:val="22"/>
          <w:lang w:val="en-GB" w:eastAsia="zh-CN"/>
        </w:rPr>
        <w:t>号决定第</w:t>
      </w:r>
      <w:r w:rsidRPr="003C3F9A">
        <w:rPr>
          <w:rFonts w:eastAsiaTheme="minorEastAsia"/>
          <w:color w:val="000000"/>
          <w:kern w:val="22"/>
          <w:lang w:val="en-GB" w:eastAsia="zh-CN"/>
        </w:rPr>
        <w:t>2</w:t>
      </w:r>
      <w:r w:rsidRPr="003C3F9A">
        <w:rPr>
          <w:rFonts w:eastAsiaTheme="minorEastAsia"/>
          <w:color w:val="000000"/>
          <w:kern w:val="22"/>
          <w:lang w:val="en-GB" w:eastAsia="zh-CN"/>
        </w:rPr>
        <w:t>段中要求的评估；</w:t>
      </w:r>
    </w:p>
    <w:p w:rsidR="00F72940" w:rsidRPr="003C3F9A" w:rsidRDefault="00F72940" w:rsidP="00314EE8">
      <w:pPr>
        <w:widowControl w:val="0"/>
        <w:numPr>
          <w:ilvl w:val="0"/>
          <w:numId w:val="221"/>
        </w:numPr>
        <w:suppressLineNumbers/>
        <w:tabs>
          <w:tab w:val="left" w:pos="1440"/>
        </w:tabs>
        <w:suppressAutoHyphens/>
        <w:adjustRightInd w:val="0"/>
        <w:snapToGrid w:val="0"/>
        <w:ind w:left="0" w:firstLine="720"/>
        <w:rPr>
          <w:rFonts w:eastAsiaTheme="minorEastAsia"/>
          <w:color w:val="000000"/>
          <w:kern w:val="22"/>
          <w:lang w:val="en-GB" w:eastAsia="zh-CN"/>
        </w:rPr>
      </w:pPr>
      <w:r w:rsidRPr="003C3F9A">
        <w:rPr>
          <w:rFonts w:eastAsiaTheme="minorEastAsia"/>
          <w:color w:val="000000"/>
          <w:kern w:val="22"/>
          <w:lang w:val="en-GB" w:eastAsia="zh-CN"/>
        </w:rPr>
        <w:lastRenderedPageBreak/>
        <w:t>盘点特设技术专家组上次会议以来合成生物学方面的新技术发展，包括考虑与合成生物学相关的基因组编辑的具体应用，以支持进行广泛和定期水平扫描进程；</w:t>
      </w:r>
    </w:p>
    <w:p w:rsidR="00F72940" w:rsidRPr="003C3F9A" w:rsidRDefault="00F72940" w:rsidP="001A42F8">
      <w:pPr>
        <w:numPr>
          <w:ilvl w:val="0"/>
          <w:numId w:val="221"/>
        </w:numPr>
        <w:suppressLineNumbers/>
        <w:tabs>
          <w:tab w:val="left" w:pos="1440"/>
        </w:tabs>
        <w:suppressAutoHyphens/>
        <w:adjustRightInd w:val="0"/>
        <w:snapToGrid w:val="0"/>
        <w:ind w:left="0" w:firstLine="720"/>
        <w:rPr>
          <w:rFonts w:eastAsiaTheme="minorEastAsia"/>
          <w:i/>
          <w:lang w:val="en-GB" w:eastAsia="zh-CN"/>
        </w:rPr>
      </w:pPr>
      <w:r w:rsidRPr="003C3F9A">
        <w:rPr>
          <w:rFonts w:eastAsiaTheme="minorEastAsia"/>
          <w:lang w:val="en-GB" w:eastAsia="zh-CN"/>
        </w:rPr>
        <w:t>对现行知识状况进行一次审查，办法是分析关于潜在的积极和消极环境影响的信息，包括但不限于同行审议出版的文献，同时顾及合成生物学现行和不久的将来的应用（包括那些涉及含有人工基因驱动的应用）的人类健康、文化和社会经济影响，特别是生物多样性对于土著人民和地方社区的价值，同时考虑到</w:t>
      </w:r>
      <w:r w:rsidRPr="003C3F9A">
        <w:rPr>
          <w:rFonts w:eastAsiaTheme="minorEastAsia"/>
          <w:spacing w:val="-1"/>
          <w:kern w:val="22"/>
          <w:lang w:val="zh-CN" w:eastAsia="zh-CN"/>
        </w:rPr>
        <w:t>可能释放的特性和物种及其传播的态势，以及避免与《卡塔赫纳议定书》下的风险评估工作重复的必要性；</w:t>
      </w:r>
    </w:p>
    <w:p w:rsidR="00F72940" w:rsidRPr="003C3F9A" w:rsidRDefault="00F72940" w:rsidP="001A42F8">
      <w:pPr>
        <w:numPr>
          <w:ilvl w:val="0"/>
          <w:numId w:val="221"/>
        </w:numPr>
        <w:suppressLineNumbers/>
        <w:tabs>
          <w:tab w:val="left" w:pos="1440"/>
        </w:tabs>
        <w:suppressAutoHyphens/>
        <w:adjustRightInd w:val="0"/>
        <w:snapToGrid w:val="0"/>
        <w:ind w:left="0" w:firstLine="720"/>
        <w:rPr>
          <w:rFonts w:eastAsiaTheme="minorEastAsia"/>
          <w:spacing w:val="-1"/>
          <w:kern w:val="22"/>
          <w:lang w:val="zh-CN" w:eastAsia="zh-CN"/>
        </w:rPr>
      </w:pPr>
      <w:r w:rsidRPr="003C3F9A">
        <w:rPr>
          <w:rFonts w:eastAsiaTheme="minorEastAsia"/>
          <w:spacing w:val="-1"/>
          <w:kern w:val="22"/>
          <w:lang w:val="zh-CN" w:eastAsia="zh-CN"/>
        </w:rPr>
        <w:t>考虑迄今通过合成生物学的新发展研制的任何活生物体是否超出了《卡塔赫纳议定书》定义的改性活生物体的范围；</w:t>
      </w:r>
    </w:p>
    <w:p w:rsidR="00F72940" w:rsidRPr="003C3F9A" w:rsidRDefault="00F72940" w:rsidP="001A42F8">
      <w:pPr>
        <w:numPr>
          <w:ilvl w:val="0"/>
          <w:numId w:val="221"/>
        </w:numPr>
        <w:suppressLineNumbers/>
        <w:tabs>
          <w:tab w:val="left" w:pos="1440"/>
        </w:tabs>
        <w:suppressAutoHyphens/>
        <w:adjustRightInd w:val="0"/>
        <w:snapToGrid w:val="0"/>
        <w:ind w:left="0" w:firstLine="720"/>
        <w:rPr>
          <w:rFonts w:eastAsiaTheme="minorEastAsia"/>
          <w:spacing w:val="-1"/>
          <w:kern w:val="22"/>
          <w:lang w:val="zh-CN" w:eastAsia="zh-CN"/>
        </w:rPr>
      </w:pPr>
      <w:r w:rsidRPr="003C3F9A">
        <w:rPr>
          <w:rFonts w:eastAsiaTheme="minorEastAsia"/>
          <w:spacing w:val="-1"/>
          <w:kern w:val="22"/>
          <w:lang w:val="zh-CN" w:eastAsia="zh-CN"/>
        </w:rPr>
        <w:t>通过汇编和分析信息，包括但不限于同行审议出版的文献，编制一份与《公约》三项目标有关的关于处于研究和开发早期阶段的合成生物学应用的前瞻性报告；</w:t>
      </w:r>
    </w:p>
    <w:p w:rsidR="00F72940" w:rsidRPr="003C3F9A" w:rsidRDefault="00F72940" w:rsidP="001A42F8">
      <w:pPr>
        <w:numPr>
          <w:ilvl w:val="0"/>
          <w:numId w:val="221"/>
        </w:numPr>
        <w:suppressLineNumbers/>
        <w:tabs>
          <w:tab w:val="left" w:pos="1440"/>
        </w:tabs>
        <w:suppressAutoHyphens/>
        <w:adjustRightInd w:val="0"/>
        <w:snapToGrid w:val="0"/>
        <w:ind w:left="0" w:firstLine="720"/>
        <w:rPr>
          <w:rFonts w:eastAsiaTheme="minorEastAsia"/>
          <w:spacing w:val="-1"/>
          <w:kern w:val="22"/>
          <w:lang w:eastAsia="zh-CN"/>
        </w:rPr>
      </w:pPr>
      <w:r w:rsidRPr="003C3F9A">
        <w:rPr>
          <w:rFonts w:eastAsiaTheme="minorEastAsia"/>
          <w:iCs/>
          <w:kern w:val="22"/>
          <w:lang w:val="en-GB" w:eastAsia="zh-CN"/>
        </w:rPr>
        <w:t>为第</w:t>
      </w:r>
      <w:r w:rsidRPr="003C3F9A">
        <w:rPr>
          <w:rFonts w:eastAsiaTheme="minorEastAsia"/>
          <w:iCs/>
          <w:kern w:val="22"/>
          <w:lang w:val="en-GB" w:eastAsia="zh-CN"/>
        </w:rPr>
        <w:t>14/19</w:t>
      </w:r>
      <w:r w:rsidRPr="003C3F9A">
        <w:rPr>
          <w:rFonts w:eastAsiaTheme="minorEastAsia"/>
          <w:iCs/>
          <w:kern w:val="22"/>
          <w:lang w:val="en-GB" w:eastAsia="zh-CN"/>
        </w:rPr>
        <w:t>号决定第</w:t>
      </w:r>
      <w:r w:rsidRPr="003C3F9A">
        <w:rPr>
          <w:rFonts w:eastAsiaTheme="minorEastAsia"/>
          <w:iCs/>
          <w:kern w:val="22"/>
          <w:lang w:val="en-GB" w:eastAsia="zh-CN"/>
        </w:rPr>
        <w:t>3</w:t>
      </w:r>
      <w:r w:rsidRPr="003C3F9A">
        <w:rPr>
          <w:rFonts w:eastAsiaTheme="minorEastAsia"/>
          <w:iCs/>
          <w:kern w:val="22"/>
          <w:lang w:val="en-GB" w:eastAsia="zh-CN"/>
        </w:rPr>
        <w:t>段提及的对发展进行定期水平扫描、监测和评估建议备选办法；</w:t>
      </w:r>
    </w:p>
    <w:p w:rsidR="00F72940" w:rsidRPr="003C3F9A" w:rsidRDefault="00F72940" w:rsidP="001A42F8">
      <w:pPr>
        <w:numPr>
          <w:ilvl w:val="0"/>
          <w:numId w:val="221"/>
        </w:numPr>
        <w:suppressLineNumbers/>
        <w:tabs>
          <w:tab w:val="left" w:pos="1440"/>
        </w:tabs>
        <w:suppressAutoHyphens/>
        <w:adjustRightInd w:val="0"/>
        <w:snapToGrid w:val="0"/>
        <w:ind w:left="0" w:firstLine="720"/>
        <w:rPr>
          <w:rFonts w:eastAsiaTheme="minorEastAsia"/>
          <w:spacing w:val="-1"/>
          <w:kern w:val="22"/>
          <w:lang w:val="zh-CN" w:eastAsia="zh-CN"/>
        </w:rPr>
      </w:pPr>
      <w:r w:rsidRPr="003C3F9A">
        <w:rPr>
          <w:rFonts w:eastAsiaTheme="minorEastAsia"/>
          <w:spacing w:val="-1"/>
          <w:kern w:val="22"/>
          <w:lang w:val="zh-CN" w:eastAsia="zh-CN"/>
        </w:rPr>
        <w:t>编制工作成果报告，供缔约方大会第十五届会议之前举行的一次科学、技术和工艺咨询附属机构会议审议。</w:t>
      </w:r>
      <w:r w:rsidRPr="003C3F9A">
        <w:rPr>
          <w:rFonts w:eastAsiaTheme="minorEastAsia"/>
          <w:spacing w:val="-1"/>
          <w:kern w:val="22"/>
          <w:lang w:val="zh-CN" w:eastAsia="zh-CN"/>
        </w:rPr>
        <w:t xml:space="preserve"> </w:t>
      </w:r>
    </w:p>
    <w:p w:rsidR="00B01154" w:rsidRDefault="00B01154">
      <w:pPr>
        <w:rPr>
          <w:b/>
          <w:bCs/>
          <w:noProof/>
          <w:kern w:val="22"/>
          <w:szCs w:val="32"/>
          <w:lang w:eastAsia="zh-CN"/>
        </w:rPr>
      </w:pPr>
      <w:r>
        <w:rPr>
          <w:noProof/>
          <w:kern w:val="22"/>
          <w:lang w:eastAsia="zh-CN"/>
        </w:rPr>
        <w:br w:type="page"/>
      </w:r>
    </w:p>
    <w:p w:rsidR="00B01154" w:rsidRPr="00B01154" w:rsidRDefault="00B01154" w:rsidP="00B01154">
      <w:pPr>
        <w:pStyle w:val="Heading1"/>
        <w:adjustRightInd w:val="0"/>
        <w:spacing w:before="120" w:after="120"/>
        <w:rPr>
          <w:rFonts w:eastAsiaTheme="minorEastAsia" w:cs="Times New Roman"/>
          <w:noProof/>
          <w:kern w:val="22"/>
          <w:sz w:val="24"/>
          <w:lang w:eastAsia="zh-CN"/>
        </w:rPr>
      </w:pPr>
      <w:bookmarkStart w:id="181" w:name="_Toc6243772"/>
      <w:r w:rsidRPr="00B01154">
        <w:rPr>
          <w:rFonts w:eastAsiaTheme="minorEastAsia" w:cs="Times New Roman"/>
          <w:noProof/>
          <w:kern w:val="22"/>
          <w:sz w:val="24"/>
          <w:lang w:eastAsia="zh-CN"/>
        </w:rPr>
        <w:lastRenderedPageBreak/>
        <w:t xml:space="preserve">14/20.     </w:t>
      </w:r>
      <w:r w:rsidRPr="00B01154">
        <w:rPr>
          <w:rFonts w:eastAsiaTheme="minorEastAsia" w:cs="Times New Roman"/>
          <w:noProof/>
          <w:kern w:val="22"/>
          <w:sz w:val="24"/>
          <w:lang w:eastAsia="zh-CN"/>
        </w:rPr>
        <w:t>遗传资源数字序列信息</w:t>
      </w:r>
      <w:bookmarkEnd w:id="181"/>
      <w:r w:rsidRPr="00B01154">
        <w:rPr>
          <w:rFonts w:eastAsiaTheme="minorEastAsia" w:cs="Times New Roman"/>
          <w:noProof/>
          <w:kern w:val="22"/>
          <w:sz w:val="24"/>
          <w:lang w:eastAsia="zh-CN"/>
        </w:rPr>
        <w:t xml:space="preserve"> </w:t>
      </w:r>
    </w:p>
    <w:p w:rsidR="00B01154" w:rsidRPr="00BD5DD6" w:rsidRDefault="00B01154" w:rsidP="00B01154">
      <w:pPr>
        <w:pStyle w:val="Para1"/>
        <w:suppressLineNumbers/>
        <w:tabs>
          <w:tab w:val="clear" w:pos="360"/>
        </w:tabs>
        <w:suppressAutoHyphens/>
        <w:kinsoku w:val="0"/>
        <w:overflowPunct w:val="0"/>
        <w:autoSpaceDE w:val="0"/>
        <w:autoSpaceDN w:val="0"/>
        <w:adjustRightInd w:val="0"/>
        <w:snapToGrid w:val="0"/>
        <w:spacing w:before="240"/>
        <w:rPr>
          <w:rFonts w:ascii="KaiTi" w:eastAsia="KaiTi" w:hAnsi="KaiTi"/>
          <w:iCs/>
          <w:kern w:val="22"/>
          <w:sz w:val="24"/>
          <w:szCs w:val="24"/>
          <w:lang w:eastAsia="zh-CN"/>
        </w:rPr>
      </w:pPr>
      <w:r w:rsidRPr="00BD5DD6">
        <w:rPr>
          <w:rFonts w:ascii="KaiTi" w:eastAsia="KaiTi" w:hAnsi="KaiTi" w:cs="SimSun" w:hint="eastAsia"/>
          <w:iCs/>
          <w:kern w:val="22"/>
          <w:sz w:val="24"/>
          <w:szCs w:val="24"/>
          <w:lang w:eastAsia="zh-CN"/>
        </w:rPr>
        <w:t>缔约方大会，</w:t>
      </w:r>
    </w:p>
    <w:p w:rsidR="00B01154" w:rsidRPr="00504BAD" w:rsidRDefault="00B01154" w:rsidP="00B01154">
      <w:pPr>
        <w:suppressLineNumbers/>
        <w:tabs>
          <w:tab w:val="left" w:pos="1440"/>
        </w:tabs>
        <w:suppressAutoHyphens/>
        <w:adjustRightInd w:val="0"/>
        <w:snapToGrid w:val="0"/>
        <w:rPr>
          <w:rFonts w:eastAsia="SimSun"/>
          <w:kern w:val="22"/>
          <w:lang w:eastAsia="zh-CN"/>
        </w:rPr>
      </w:pPr>
      <w:r w:rsidRPr="00504BAD">
        <w:rPr>
          <w:rFonts w:ascii="KaiTi" w:eastAsia="KaiTi" w:hAnsi="KaiTi" w:hint="eastAsia"/>
          <w:kern w:val="22"/>
          <w:lang w:val="zh-CN" w:eastAsia="zh-CN"/>
        </w:rPr>
        <w:t>铭记《公约》</w:t>
      </w:r>
      <w:r w:rsidRPr="00504BAD">
        <w:rPr>
          <w:rFonts w:eastAsia="SimSun" w:hAnsi="SimSun" w:hint="eastAsia"/>
          <w:kern w:val="22"/>
          <w:lang w:val="zh-CN" w:eastAsia="zh-CN"/>
        </w:rPr>
        <w:t>的三项目标</w:t>
      </w:r>
      <w:r w:rsidRPr="00504BAD">
        <w:rPr>
          <w:rFonts w:eastAsia="SimSun" w:hAnsi="SimSun" w:hint="eastAsia"/>
          <w:kern w:val="22"/>
          <w:lang w:eastAsia="zh-CN"/>
        </w:rPr>
        <w:t>，</w:t>
      </w:r>
    </w:p>
    <w:p w:rsidR="00B01154" w:rsidRDefault="00B01154" w:rsidP="00B01154">
      <w:pPr>
        <w:suppressLineNumbers/>
        <w:tabs>
          <w:tab w:val="left" w:pos="1440"/>
        </w:tabs>
        <w:suppressAutoHyphens/>
        <w:adjustRightInd w:val="0"/>
        <w:spacing w:line="240" w:lineRule="atLeast"/>
        <w:rPr>
          <w:rFonts w:eastAsia="SimSun" w:hAnsi="SimSun"/>
          <w:kern w:val="22"/>
          <w:lang w:eastAsia="zh-CN"/>
        </w:rPr>
      </w:pPr>
      <w:r w:rsidRPr="00504BAD">
        <w:rPr>
          <w:rFonts w:ascii="KaiTi" w:eastAsia="KaiTi" w:hAnsi="KaiTi" w:hint="eastAsia"/>
          <w:kern w:val="22"/>
          <w:lang w:val="zh-CN" w:eastAsia="zh-CN"/>
        </w:rPr>
        <w:t>回顾</w:t>
      </w:r>
      <w:r w:rsidRPr="00504BAD">
        <w:rPr>
          <w:rFonts w:eastAsia="SimSun" w:hAnsi="SimSun" w:hint="eastAsia"/>
          <w:kern w:val="22"/>
          <w:lang w:val="zh-CN" w:eastAsia="zh-CN"/>
        </w:rPr>
        <w:t>《公约》第</w:t>
      </w:r>
      <w:r w:rsidRPr="00504BAD">
        <w:rPr>
          <w:rFonts w:eastAsia="SimSun"/>
          <w:kern w:val="22"/>
          <w:lang w:eastAsia="zh-CN"/>
        </w:rPr>
        <w:t>12</w:t>
      </w:r>
      <w:r w:rsidRPr="00504BAD">
        <w:rPr>
          <w:rFonts w:eastAsia="SimSun" w:hAnsi="SimSun" w:hint="eastAsia"/>
          <w:kern w:val="22"/>
          <w:lang w:val="zh-CN" w:eastAsia="zh-CN"/>
        </w:rPr>
        <w:t>、第</w:t>
      </w:r>
      <w:r w:rsidRPr="00504BAD">
        <w:rPr>
          <w:rFonts w:eastAsia="SimSun"/>
          <w:kern w:val="22"/>
          <w:lang w:eastAsia="zh-CN"/>
        </w:rPr>
        <w:t>15</w:t>
      </w:r>
      <w:r w:rsidRPr="00504BAD">
        <w:rPr>
          <w:rFonts w:eastAsia="SimSun" w:hAnsi="SimSun" w:hint="eastAsia"/>
          <w:kern w:val="22"/>
          <w:lang w:val="zh-CN" w:eastAsia="zh-CN"/>
        </w:rPr>
        <w:t>、第</w:t>
      </w:r>
      <w:r w:rsidRPr="00504BAD">
        <w:rPr>
          <w:rFonts w:eastAsia="SimSun"/>
          <w:kern w:val="22"/>
          <w:lang w:eastAsia="zh-CN"/>
        </w:rPr>
        <w:t>16</w:t>
      </w:r>
      <w:r w:rsidRPr="00504BAD">
        <w:rPr>
          <w:rFonts w:eastAsia="SimSun" w:hAnsi="SimSun" w:hint="eastAsia"/>
          <w:kern w:val="22"/>
          <w:lang w:val="zh-CN" w:eastAsia="zh-CN"/>
        </w:rPr>
        <w:t>、第</w:t>
      </w:r>
      <w:r w:rsidRPr="00504BAD">
        <w:rPr>
          <w:rFonts w:eastAsia="SimSun"/>
          <w:kern w:val="22"/>
          <w:lang w:eastAsia="zh-CN"/>
        </w:rPr>
        <w:t>17</w:t>
      </w:r>
      <w:r w:rsidRPr="00504BAD">
        <w:rPr>
          <w:rFonts w:eastAsia="SimSun" w:hAnsi="SimSun" w:hint="eastAsia"/>
          <w:kern w:val="22"/>
          <w:lang w:val="zh-CN" w:eastAsia="zh-CN"/>
        </w:rPr>
        <w:t>和第</w:t>
      </w:r>
      <w:r w:rsidRPr="00504BAD">
        <w:rPr>
          <w:rFonts w:eastAsia="SimSun"/>
          <w:kern w:val="22"/>
          <w:lang w:eastAsia="zh-CN"/>
        </w:rPr>
        <w:t>18</w:t>
      </w:r>
      <w:r w:rsidRPr="00504BAD">
        <w:rPr>
          <w:rFonts w:eastAsia="SimSun" w:hAnsi="SimSun" w:hint="eastAsia"/>
          <w:kern w:val="22"/>
          <w:lang w:val="zh-CN" w:eastAsia="zh-CN"/>
        </w:rPr>
        <w:t>条</w:t>
      </w:r>
      <w:r w:rsidRPr="00504BAD">
        <w:rPr>
          <w:rFonts w:eastAsia="SimSun" w:hAnsi="SimSun" w:hint="eastAsia"/>
          <w:kern w:val="22"/>
          <w:lang w:eastAsia="zh-CN"/>
        </w:rPr>
        <w:t>，</w:t>
      </w:r>
    </w:p>
    <w:p w:rsidR="00B01154" w:rsidRDefault="00B01154" w:rsidP="00B01154">
      <w:pPr>
        <w:suppressLineNumbers/>
        <w:tabs>
          <w:tab w:val="left" w:pos="1440"/>
        </w:tabs>
        <w:suppressAutoHyphens/>
        <w:adjustRightInd w:val="0"/>
        <w:spacing w:line="240" w:lineRule="atLeast"/>
        <w:rPr>
          <w:rFonts w:eastAsia="SimSun" w:hAnsi="SimSun"/>
          <w:kern w:val="22"/>
          <w:lang w:eastAsia="zh-CN"/>
        </w:rPr>
      </w:pPr>
      <w:r w:rsidRPr="001F63A1">
        <w:rPr>
          <w:rFonts w:ascii="KaiTi" w:eastAsia="KaiTi" w:hAnsi="KaiTi" w:hint="eastAsia"/>
          <w:kern w:val="22"/>
          <w:lang w:val="zh-CN" w:eastAsia="zh-CN"/>
        </w:rPr>
        <w:t>铭记</w:t>
      </w:r>
      <w:r>
        <w:rPr>
          <w:rFonts w:eastAsia="SimSun" w:hAnsi="SimSun" w:hint="eastAsia"/>
          <w:kern w:val="22"/>
          <w:lang w:eastAsia="zh-CN"/>
        </w:rPr>
        <w:t>遗传资源</w:t>
      </w:r>
      <w:r>
        <w:rPr>
          <w:rFonts w:eastAsia="SimSun" w:hAnsi="SimSun"/>
          <w:kern w:val="22"/>
          <w:lang w:eastAsia="zh-CN"/>
        </w:rPr>
        <w:t>数字序列信息的生成和使用的增加、</w:t>
      </w:r>
      <w:r>
        <w:rPr>
          <w:rFonts w:eastAsia="SimSun" w:hAnsi="SimSun" w:hint="eastAsia"/>
          <w:kern w:val="22"/>
          <w:lang w:eastAsia="zh-CN"/>
        </w:rPr>
        <w:t>此种</w:t>
      </w:r>
      <w:r>
        <w:rPr>
          <w:rFonts w:eastAsia="SimSun" w:hAnsi="SimSun"/>
          <w:kern w:val="22"/>
          <w:lang w:eastAsia="zh-CN"/>
        </w:rPr>
        <w:t>信息在公共和私人数据库中</w:t>
      </w:r>
      <w:r>
        <w:rPr>
          <w:rFonts w:eastAsia="SimSun" w:hAnsi="SimSun" w:hint="eastAsia"/>
          <w:kern w:val="22"/>
          <w:lang w:eastAsia="zh-CN"/>
        </w:rPr>
        <w:t>的</w:t>
      </w:r>
      <w:r>
        <w:rPr>
          <w:rFonts w:eastAsia="SimSun" w:hAnsi="SimSun"/>
          <w:kern w:val="22"/>
          <w:lang w:eastAsia="zh-CN"/>
        </w:rPr>
        <w:t>出版以及数据分析的发展，</w:t>
      </w:r>
    </w:p>
    <w:p w:rsidR="00B01154" w:rsidRDefault="00B01154" w:rsidP="00B01154">
      <w:pPr>
        <w:suppressLineNumbers/>
        <w:tabs>
          <w:tab w:val="left" w:pos="1440"/>
        </w:tabs>
        <w:suppressAutoHyphens/>
        <w:adjustRightInd w:val="0"/>
        <w:spacing w:line="240" w:lineRule="atLeast"/>
        <w:rPr>
          <w:rFonts w:eastAsia="SimSun" w:hAnsi="SimSun"/>
          <w:kern w:val="22"/>
          <w:lang w:eastAsia="zh-CN"/>
        </w:rPr>
      </w:pPr>
      <w:r w:rsidRPr="00504BAD">
        <w:rPr>
          <w:rFonts w:ascii="KaiTi" w:eastAsia="KaiTi" w:hAnsi="KaiTi" w:hint="eastAsia"/>
          <w:kern w:val="22"/>
          <w:lang w:val="zh-CN" w:eastAsia="zh-CN"/>
        </w:rPr>
        <w:t>注意到</w:t>
      </w:r>
      <w:r w:rsidRPr="00C2699B">
        <w:rPr>
          <w:rFonts w:ascii="SimSun" w:eastAsia="SimSun" w:hAnsi="SimSun"/>
          <w:kern w:val="22"/>
          <w:lang w:eastAsia="zh-CN"/>
        </w:rPr>
        <w:t>“</w:t>
      </w:r>
      <w:r w:rsidRPr="00C2699B">
        <w:rPr>
          <w:rFonts w:ascii="SimSun" w:eastAsia="SimSun" w:hAnsi="SimSun" w:hint="eastAsia"/>
          <w:kern w:val="22"/>
          <w:lang w:val="zh-CN" w:eastAsia="zh-CN"/>
        </w:rPr>
        <w:t>数字序列信息</w:t>
      </w:r>
      <w:r w:rsidRPr="00C2699B">
        <w:rPr>
          <w:rFonts w:ascii="SimSun" w:eastAsia="SimSun" w:hAnsi="SimSun"/>
          <w:kern w:val="22"/>
          <w:lang w:eastAsia="zh-CN"/>
        </w:rPr>
        <w:t>”</w:t>
      </w:r>
      <w:r>
        <w:rPr>
          <w:rFonts w:eastAsia="SimSun" w:hAnsi="SimSun" w:hint="eastAsia"/>
          <w:kern w:val="22"/>
          <w:lang w:val="zh-CN" w:eastAsia="zh-CN"/>
        </w:rPr>
        <w:t>的术语</w:t>
      </w:r>
      <w:r w:rsidRPr="00504BAD">
        <w:rPr>
          <w:rFonts w:eastAsia="SimSun" w:hAnsi="SimSun" w:hint="eastAsia"/>
          <w:kern w:val="22"/>
          <w:lang w:val="zh-CN" w:eastAsia="zh-CN"/>
        </w:rPr>
        <w:t>可能不是最适当</w:t>
      </w:r>
      <w:r>
        <w:rPr>
          <w:rFonts w:eastAsia="SimSun" w:hAnsi="SimSun" w:hint="eastAsia"/>
          <w:kern w:val="22"/>
          <w:lang w:val="zh-CN" w:eastAsia="zh-CN"/>
        </w:rPr>
        <w:t>的</w:t>
      </w:r>
      <w:r w:rsidRPr="00504BAD">
        <w:rPr>
          <w:rFonts w:eastAsia="SimSun" w:hAnsi="SimSun" w:hint="eastAsia"/>
          <w:kern w:val="22"/>
          <w:lang w:val="zh-CN" w:eastAsia="zh-CN"/>
        </w:rPr>
        <w:t>术语</w:t>
      </w:r>
      <w:r w:rsidRPr="00504BAD">
        <w:rPr>
          <w:rFonts w:eastAsia="SimSun" w:hAnsi="SimSun" w:hint="eastAsia"/>
          <w:kern w:val="22"/>
          <w:lang w:eastAsia="zh-CN"/>
        </w:rPr>
        <w:t>，</w:t>
      </w:r>
      <w:r>
        <w:rPr>
          <w:rFonts w:eastAsia="SimSun" w:hAnsi="SimSun" w:hint="eastAsia"/>
          <w:kern w:val="22"/>
          <w:lang w:eastAsia="zh-CN"/>
        </w:rPr>
        <w:t>而是</w:t>
      </w:r>
      <w:r w:rsidRPr="00504BAD">
        <w:rPr>
          <w:rFonts w:eastAsia="SimSun" w:hAnsi="SimSun" w:hint="eastAsia"/>
          <w:kern w:val="22"/>
          <w:lang w:val="zh-CN" w:eastAsia="zh-CN"/>
        </w:rPr>
        <w:t>在</w:t>
      </w:r>
      <w:r>
        <w:rPr>
          <w:rFonts w:eastAsia="SimSun" w:hAnsi="SimSun" w:hint="eastAsia"/>
          <w:kern w:val="22"/>
          <w:lang w:val="zh-CN" w:eastAsia="zh-CN"/>
        </w:rPr>
        <w:t>议定替代术语之前作为</w:t>
      </w:r>
      <w:r>
        <w:rPr>
          <w:rFonts w:eastAsia="SimSun" w:hAnsi="SimSun"/>
          <w:kern w:val="22"/>
          <w:lang w:val="zh-CN" w:eastAsia="zh-CN"/>
        </w:rPr>
        <w:t>替代术语</w:t>
      </w:r>
      <w:r w:rsidRPr="00504BAD">
        <w:rPr>
          <w:rFonts w:eastAsia="SimSun" w:hAnsi="SimSun" w:hint="eastAsia"/>
          <w:kern w:val="22"/>
          <w:lang w:val="zh-CN" w:eastAsia="zh-CN"/>
        </w:rPr>
        <w:t>使用</w:t>
      </w:r>
      <w:r w:rsidRPr="00504BAD">
        <w:rPr>
          <w:rFonts w:eastAsia="SimSun" w:hAnsi="SimSun" w:hint="eastAsia"/>
          <w:kern w:val="22"/>
          <w:lang w:eastAsia="zh-CN"/>
        </w:rPr>
        <w:t>；</w:t>
      </w:r>
    </w:p>
    <w:p w:rsidR="00B01154" w:rsidRPr="00C2699B" w:rsidRDefault="00B01154" w:rsidP="00B01154">
      <w:pPr>
        <w:suppressLineNumbers/>
        <w:tabs>
          <w:tab w:val="left" w:pos="1440"/>
        </w:tabs>
        <w:suppressAutoHyphens/>
        <w:adjustRightInd w:val="0"/>
        <w:spacing w:line="240" w:lineRule="atLeast"/>
        <w:rPr>
          <w:rFonts w:eastAsia="SimSun" w:hAnsi="SimSun"/>
          <w:kern w:val="22"/>
          <w:lang w:eastAsia="zh-CN"/>
        </w:rPr>
      </w:pPr>
      <w:r>
        <w:rPr>
          <w:rFonts w:ascii="KaiTi" w:eastAsia="KaiTi" w:hAnsi="KaiTi"/>
          <w:kern w:val="22"/>
          <w:lang w:eastAsia="zh-CN"/>
        </w:rPr>
        <w:t xml:space="preserve"> </w:t>
      </w:r>
      <w:r>
        <w:rPr>
          <w:rFonts w:ascii="KaiTi" w:eastAsia="KaiTi" w:hAnsi="KaiTi" w:hint="eastAsia"/>
          <w:kern w:val="22"/>
          <w:lang w:eastAsia="zh-CN"/>
        </w:rPr>
        <w:t>认识到</w:t>
      </w:r>
      <w:r>
        <w:rPr>
          <w:rFonts w:eastAsia="SimSun" w:hAnsi="SimSun"/>
          <w:kern w:val="22"/>
          <w:lang w:eastAsia="zh-CN"/>
        </w:rPr>
        <w:t>新技术对于当前和未来遗传资源</w:t>
      </w:r>
      <w:r>
        <w:rPr>
          <w:rFonts w:eastAsia="SimSun" w:hAnsi="SimSun" w:hint="eastAsia"/>
          <w:kern w:val="22"/>
          <w:lang w:eastAsia="zh-CN"/>
        </w:rPr>
        <w:t>的</w:t>
      </w:r>
      <w:r>
        <w:rPr>
          <w:rFonts w:eastAsia="SimSun" w:hAnsi="SimSun"/>
          <w:kern w:val="22"/>
          <w:lang w:eastAsia="zh-CN"/>
        </w:rPr>
        <w:t>利用非常重要，并</w:t>
      </w:r>
      <w:r>
        <w:rPr>
          <w:rFonts w:eastAsia="SimSun" w:hAnsi="SimSun" w:hint="eastAsia"/>
          <w:kern w:val="22"/>
          <w:lang w:eastAsia="zh-CN"/>
        </w:rPr>
        <w:t>注意到储存</w:t>
      </w:r>
      <w:r>
        <w:rPr>
          <w:rFonts w:eastAsia="SimSun" w:hAnsi="SimSun"/>
          <w:kern w:val="22"/>
          <w:lang w:eastAsia="zh-CN"/>
        </w:rPr>
        <w:t>和分享信息的媒介在不断</w:t>
      </w:r>
      <w:r>
        <w:rPr>
          <w:rFonts w:eastAsia="SimSun" w:hAnsi="SimSun" w:hint="eastAsia"/>
          <w:kern w:val="22"/>
          <w:lang w:eastAsia="zh-CN"/>
        </w:rPr>
        <w:t>发展</w:t>
      </w:r>
      <w:r>
        <w:rPr>
          <w:rFonts w:eastAsia="SimSun" w:hAnsi="SimSun"/>
          <w:kern w:val="22"/>
          <w:lang w:eastAsia="zh-CN"/>
        </w:rPr>
        <w:t>，</w:t>
      </w:r>
    </w:p>
    <w:p w:rsidR="00B01154" w:rsidRPr="00C2699B" w:rsidRDefault="00B01154" w:rsidP="00B01154">
      <w:pPr>
        <w:suppressLineNumbers/>
        <w:tabs>
          <w:tab w:val="left" w:pos="1440"/>
        </w:tabs>
        <w:suppressAutoHyphens/>
        <w:adjustRightInd w:val="0"/>
        <w:spacing w:line="240" w:lineRule="atLeast"/>
        <w:rPr>
          <w:rFonts w:eastAsia="SimSun" w:hAnsi="SimSun"/>
          <w:kern w:val="22"/>
          <w:lang w:eastAsia="zh-CN"/>
        </w:rPr>
      </w:pPr>
      <w:r w:rsidRPr="003A463E">
        <w:rPr>
          <w:rFonts w:eastAsia="KaiTi" w:hint="eastAsia"/>
          <w:lang w:eastAsia="zh-CN"/>
        </w:rPr>
        <w:t>考虑到</w:t>
      </w:r>
      <w:r w:rsidRPr="00C2699B">
        <w:rPr>
          <w:rFonts w:eastAsia="SimSun" w:hAnsi="SimSun"/>
          <w:kern w:val="22"/>
          <w:lang w:eastAsia="zh-CN"/>
        </w:rPr>
        <w:t>2020</w:t>
      </w:r>
      <w:r>
        <w:rPr>
          <w:rFonts w:eastAsia="SimSun" w:hAnsi="SimSun" w:hint="eastAsia"/>
          <w:kern w:val="22"/>
          <w:lang w:eastAsia="zh-CN"/>
        </w:rPr>
        <w:t>年后全球</w:t>
      </w:r>
      <w:r>
        <w:rPr>
          <w:rFonts w:eastAsia="SimSun" w:hAnsi="SimSun"/>
          <w:kern w:val="22"/>
          <w:lang w:eastAsia="zh-CN"/>
        </w:rPr>
        <w:t>生物多样性框架将</w:t>
      </w:r>
      <w:r>
        <w:rPr>
          <w:rFonts w:eastAsia="SimSun" w:hAnsi="SimSun" w:hint="eastAsia"/>
          <w:kern w:val="22"/>
          <w:lang w:eastAsia="zh-CN"/>
        </w:rPr>
        <w:t>为《</w:t>
      </w:r>
      <w:r w:rsidRPr="00C2699B">
        <w:rPr>
          <w:rFonts w:eastAsia="SimSun" w:hAnsi="SimSun"/>
          <w:kern w:val="22"/>
          <w:lang w:eastAsia="zh-CN"/>
        </w:rPr>
        <w:t>2050</w:t>
      </w:r>
      <w:r>
        <w:rPr>
          <w:rFonts w:eastAsia="SimSun" w:hAnsi="SimSun" w:hint="eastAsia"/>
          <w:kern w:val="22"/>
          <w:lang w:eastAsia="zh-CN"/>
        </w:rPr>
        <w:t>年</w:t>
      </w:r>
      <w:r>
        <w:rPr>
          <w:rFonts w:eastAsia="SimSun" w:hAnsi="SimSun"/>
          <w:kern w:val="22"/>
          <w:lang w:eastAsia="zh-CN"/>
        </w:rPr>
        <w:t>生物多样性愿景</w:t>
      </w:r>
      <w:r>
        <w:rPr>
          <w:rFonts w:eastAsia="SimSun" w:hAnsi="SimSun" w:hint="eastAsia"/>
          <w:kern w:val="22"/>
          <w:lang w:eastAsia="zh-CN"/>
        </w:rPr>
        <w:t>》的</w:t>
      </w:r>
      <w:r>
        <w:rPr>
          <w:rFonts w:eastAsia="SimSun" w:hAnsi="SimSun"/>
          <w:kern w:val="22"/>
          <w:lang w:eastAsia="zh-CN"/>
        </w:rPr>
        <w:t>长期战略</w:t>
      </w:r>
      <w:r>
        <w:rPr>
          <w:rFonts w:eastAsia="SimSun" w:hAnsi="SimSun" w:hint="eastAsia"/>
          <w:kern w:val="22"/>
          <w:lang w:eastAsia="zh-CN"/>
        </w:rPr>
        <w:t>方向提供</w:t>
      </w:r>
      <w:r>
        <w:rPr>
          <w:rFonts w:eastAsia="SimSun" w:hAnsi="SimSun"/>
          <w:kern w:val="22"/>
          <w:lang w:eastAsia="zh-CN"/>
        </w:rPr>
        <w:t>指导意见，</w:t>
      </w:r>
    </w:p>
    <w:p w:rsidR="00B01154" w:rsidRPr="009148D9" w:rsidRDefault="00B01154" w:rsidP="00B01154">
      <w:pPr>
        <w:rPr>
          <w:rFonts w:eastAsia="SimSun"/>
          <w:lang w:eastAsia="zh-CN"/>
        </w:rPr>
      </w:pPr>
      <w:r w:rsidRPr="009148D9">
        <w:rPr>
          <w:rFonts w:eastAsia="KaiTi" w:hint="eastAsia"/>
          <w:lang w:eastAsia="zh-CN"/>
        </w:rPr>
        <w:t>注意到</w:t>
      </w:r>
      <w:r w:rsidRPr="009148D9">
        <w:rPr>
          <w:rFonts w:eastAsia="SimSun" w:hint="eastAsia"/>
          <w:lang w:eastAsia="zh-CN"/>
        </w:rPr>
        <w:t>联合国粮食及农业组织</w:t>
      </w:r>
      <w:r>
        <w:rPr>
          <w:rFonts w:eastAsia="SimSun" w:hint="eastAsia"/>
          <w:lang w:eastAsia="zh-CN"/>
        </w:rPr>
        <w:t>、</w:t>
      </w:r>
      <w:r w:rsidRPr="009148D9">
        <w:rPr>
          <w:rFonts w:eastAsia="SimSun" w:hint="eastAsia"/>
          <w:lang w:eastAsia="zh-CN"/>
        </w:rPr>
        <w:t>粮食和农业植物遗传资源国际条约</w:t>
      </w:r>
      <w:r>
        <w:rPr>
          <w:rFonts w:eastAsia="SimSun" w:hint="eastAsia"/>
          <w:lang w:eastAsia="zh-CN"/>
        </w:rPr>
        <w:t>、</w:t>
      </w:r>
      <w:r w:rsidRPr="009148D9">
        <w:rPr>
          <w:rFonts w:eastAsia="SimSun" w:hint="eastAsia"/>
          <w:lang w:eastAsia="zh-CN"/>
        </w:rPr>
        <w:t>世界卫生组织</w:t>
      </w:r>
      <w:r>
        <w:rPr>
          <w:rFonts w:eastAsia="SimSun" w:hint="eastAsia"/>
          <w:lang w:eastAsia="zh-CN"/>
        </w:rPr>
        <w:t>、</w:t>
      </w:r>
      <w:r w:rsidRPr="009148D9">
        <w:rPr>
          <w:rFonts w:eastAsia="SimSun" w:hint="eastAsia"/>
          <w:lang w:eastAsia="zh-CN"/>
        </w:rPr>
        <w:t>世界知识产权组织</w:t>
      </w:r>
      <w:r>
        <w:rPr>
          <w:rFonts w:eastAsia="SimSun" w:hint="eastAsia"/>
          <w:lang w:eastAsia="zh-CN"/>
        </w:rPr>
        <w:t>、</w:t>
      </w:r>
      <w:r w:rsidRPr="009148D9">
        <w:rPr>
          <w:rFonts w:eastAsia="SimSun" w:hint="eastAsia"/>
          <w:lang w:eastAsia="zh-CN"/>
        </w:rPr>
        <w:t>联合国大会等其他联合国机构和文书</w:t>
      </w:r>
      <w:r>
        <w:rPr>
          <w:rFonts w:eastAsia="SimSun" w:hint="eastAsia"/>
          <w:lang w:eastAsia="zh-CN"/>
        </w:rPr>
        <w:t>对</w:t>
      </w:r>
      <w:r w:rsidRPr="009148D9">
        <w:rPr>
          <w:rFonts w:eastAsia="SimSun" w:hint="eastAsia"/>
          <w:lang w:eastAsia="zh-CN"/>
        </w:rPr>
        <w:t>遗传资源数字序列信息</w:t>
      </w:r>
      <w:r>
        <w:rPr>
          <w:rFonts w:eastAsia="SimSun" w:hint="eastAsia"/>
          <w:lang w:eastAsia="zh-CN"/>
        </w:rPr>
        <w:t>和有关问题</w:t>
      </w:r>
      <w:r w:rsidRPr="009148D9">
        <w:rPr>
          <w:rFonts w:eastAsia="SimSun" w:hint="eastAsia"/>
          <w:lang w:eastAsia="zh-CN"/>
        </w:rPr>
        <w:t>的相关讨论</w:t>
      </w:r>
      <w:r>
        <w:rPr>
          <w:rFonts w:eastAsia="SimSun" w:hint="eastAsia"/>
          <w:lang w:eastAsia="zh-CN"/>
        </w:rPr>
        <w:t>，</w:t>
      </w:r>
    </w:p>
    <w:p w:rsidR="00B01154" w:rsidRPr="009148D9" w:rsidRDefault="00B01154" w:rsidP="001A42F8">
      <w:pPr>
        <w:pStyle w:val="ListParagraph"/>
        <w:numPr>
          <w:ilvl w:val="0"/>
          <w:numId w:val="222"/>
        </w:numPr>
        <w:tabs>
          <w:tab w:val="left" w:pos="1440"/>
        </w:tabs>
        <w:ind w:left="0" w:firstLine="720"/>
        <w:rPr>
          <w:rFonts w:eastAsia="SimSun"/>
          <w:lang w:eastAsia="zh-CN"/>
        </w:rPr>
      </w:pPr>
      <w:r>
        <w:rPr>
          <w:rFonts w:eastAsia="KaiTi" w:hint="eastAsia"/>
          <w:lang w:eastAsia="zh-CN"/>
        </w:rPr>
        <w:t>确认</w:t>
      </w:r>
      <w:r w:rsidRPr="0030344A">
        <w:rPr>
          <w:rFonts w:eastAsia="SimSun" w:hint="eastAsia"/>
          <w:lang w:eastAsia="zh-CN"/>
        </w:rPr>
        <w:t>遗传资源数字序列信息对《公约》</w:t>
      </w:r>
      <w:r>
        <w:rPr>
          <w:rFonts w:eastAsia="SimSun" w:hint="eastAsia"/>
          <w:lang w:eastAsia="zh-CN"/>
        </w:rPr>
        <w:t>的相辅相成</w:t>
      </w:r>
      <w:r w:rsidRPr="0030344A">
        <w:rPr>
          <w:rFonts w:eastAsia="SimSun" w:hint="eastAsia"/>
          <w:lang w:eastAsia="zh-CN"/>
        </w:rPr>
        <w:t>的三项目标的重要性，</w:t>
      </w:r>
      <w:r>
        <w:rPr>
          <w:rFonts w:eastAsia="SimSun" w:hint="eastAsia"/>
          <w:lang w:eastAsia="zh-CN"/>
        </w:rPr>
        <w:t>不过</w:t>
      </w:r>
      <w:r>
        <w:rPr>
          <w:rFonts w:eastAsia="SimSun"/>
          <w:lang w:eastAsia="zh-CN"/>
        </w:rPr>
        <w:t>还</w:t>
      </w:r>
      <w:r w:rsidRPr="0030344A">
        <w:rPr>
          <w:rFonts w:eastAsia="SimSun" w:hint="eastAsia"/>
          <w:lang w:eastAsia="zh-CN"/>
        </w:rPr>
        <w:t>需要</w:t>
      </w:r>
      <w:r>
        <w:rPr>
          <w:rFonts w:eastAsia="SimSun" w:hint="eastAsia"/>
          <w:lang w:eastAsia="zh-CN"/>
        </w:rPr>
        <w:t>开展</w:t>
      </w:r>
      <w:r w:rsidRPr="0030344A">
        <w:rPr>
          <w:rFonts w:eastAsia="SimSun" w:hint="eastAsia"/>
          <w:lang w:eastAsia="zh-CN"/>
        </w:rPr>
        <w:t>进一步</w:t>
      </w:r>
      <w:r>
        <w:rPr>
          <w:rFonts w:eastAsia="SimSun" w:hint="eastAsia"/>
          <w:lang w:eastAsia="zh-CN"/>
        </w:rPr>
        <w:t>的</w:t>
      </w:r>
      <w:r w:rsidRPr="0030344A">
        <w:rPr>
          <w:rFonts w:eastAsia="SimSun" w:hint="eastAsia"/>
          <w:lang w:eastAsia="zh-CN"/>
        </w:rPr>
        <w:t>工作，</w:t>
      </w:r>
      <w:r>
        <w:rPr>
          <w:rFonts w:eastAsia="SimSun" w:hint="eastAsia"/>
          <w:lang w:eastAsia="zh-CN"/>
        </w:rPr>
        <w:t>以便</w:t>
      </w:r>
      <w:r>
        <w:rPr>
          <w:rFonts w:eastAsia="SimSun"/>
          <w:lang w:eastAsia="zh-CN"/>
        </w:rPr>
        <w:t>从</w:t>
      </w:r>
      <w:r>
        <w:rPr>
          <w:rFonts w:eastAsia="SimSun" w:hint="eastAsia"/>
          <w:lang w:eastAsia="zh-CN"/>
        </w:rPr>
        <w:t>概念上</w:t>
      </w:r>
      <w:r>
        <w:rPr>
          <w:rFonts w:eastAsia="SimSun"/>
          <w:lang w:eastAsia="zh-CN"/>
        </w:rPr>
        <w:t>说明</w:t>
      </w:r>
      <w:r>
        <w:rPr>
          <w:rFonts w:eastAsia="SimSun" w:hint="eastAsia"/>
          <w:lang w:eastAsia="zh-CN"/>
        </w:rPr>
        <w:t>关于</w:t>
      </w:r>
      <w:r w:rsidRPr="0030344A">
        <w:rPr>
          <w:rFonts w:eastAsia="SimSun" w:hint="eastAsia"/>
          <w:lang w:eastAsia="zh-CN"/>
        </w:rPr>
        <w:t>遗传资源</w:t>
      </w:r>
      <w:r>
        <w:rPr>
          <w:rFonts w:eastAsia="SimSun" w:hint="eastAsia"/>
          <w:lang w:eastAsia="zh-CN"/>
        </w:rPr>
        <w:t>的</w:t>
      </w:r>
      <w:r w:rsidRPr="0030344A">
        <w:rPr>
          <w:rFonts w:eastAsia="SimSun" w:hint="eastAsia"/>
          <w:lang w:eastAsia="zh-CN"/>
        </w:rPr>
        <w:t>数字序列信息；</w:t>
      </w:r>
    </w:p>
    <w:p w:rsidR="00B01154" w:rsidRPr="009148D9" w:rsidRDefault="00B01154" w:rsidP="001A42F8">
      <w:pPr>
        <w:pStyle w:val="ListParagraph"/>
        <w:numPr>
          <w:ilvl w:val="0"/>
          <w:numId w:val="222"/>
        </w:numPr>
        <w:tabs>
          <w:tab w:val="left" w:pos="1440"/>
        </w:tabs>
        <w:ind w:left="0" w:firstLine="720"/>
        <w:rPr>
          <w:rFonts w:eastAsia="SimSun"/>
          <w:lang w:eastAsia="zh-CN"/>
        </w:rPr>
      </w:pPr>
      <w:r>
        <w:rPr>
          <w:rFonts w:eastAsia="KaiTi" w:hint="eastAsia"/>
          <w:lang w:eastAsia="zh-CN"/>
        </w:rPr>
        <w:t>确认</w:t>
      </w:r>
      <w:r w:rsidRPr="0030344A">
        <w:rPr>
          <w:rFonts w:eastAsia="SimSun" w:hint="eastAsia"/>
          <w:lang w:eastAsia="zh-CN"/>
        </w:rPr>
        <w:t>获取和使用遗传资源数字序列信息有助于生物多样性、粮食安全以及人类、动物、植物健康等领域的科学研究以及其他非商业和商业活动；</w:t>
      </w:r>
    </w:p>
    <w:p w:rsidR="00B01154" w:rsidRPr="009148D9" w:rsidRDefault="00B01154" w:rsidP="001A42F8">
      <w:pPr>
        <w:pStyle w:val="ListParagraph"/>
        <w:numPr>
          <w:ilvl w:val="0"/>
          <w:numId w:val="222"/>
        </w:numPr>
        <w:tabs>
          <w:tab w:val="left" w:pos="1440"/>
        </w:tabs>
        <w:ind w:left="0" w:firstLine="720"/>
        <w:rPr>
          <w:rFonts w:eastAsia="SimSun"/>
          <w:lang w:eastAsia="zh-CN"/>
        </w:rPr>
      </w:pPr>
      <w:r>
        <w:rPr>
          <w:rFonts w:eastAsia="KaiTi" w:hint="eastAsia"/>
          <w:lang w:eastAsia="zh-CN"/>
        </w:rPr>
        <w:t>又确认</w:t>
      </w:r>
      <w:r w:rsidRPr="009148D9">
        <w:rPr>
          <w:rFonts w:eastAsia="SimSun" w:hint="eastAsia"/>
          <w:lang w:eastAsia="zh-CN"/>
        </w:rPr>
        <w:t>许多国家需要</w:t>
      </w:r>
      <w:r>
        <w:rPr>
          <w:rFonts w:eastAsia="SimSun" w:hint="eastAsia"/>
          <w:lang w:eastAsia="zh-CN"/>
        </w:rPr>
        <w:t>加强</w:t>
      </w:r>
      <w:r w:rsidRPr="009148D9">
        <w:rPr>
          <w:rFonts w:eastAsia="SimSun" w:hint="eastAsia"/>
          <w:lang w:eastAsia="zh-CN"/>
        </w:rPr>
        <w:t>获取</w:t>
      </w:r>
      <w:r>
        <w:rPr>
          <w:rFonts w:eastAsia="SimSun" w:hint="eastAsia"/>
          <w:lang w:eastAsia="zh-CN"/>
        </w:rPr>
        <w:t>、</w:t>
      </w:r>
      <w:r w:rsidRPr="009148D9">
        <w:rPr>
          <w:rFonts w:eastAsia="SimSun" w:hint="eastAsia"/>
          <w:lang w:eastAsia="zh-CN"/>
        </w:rPr>
        <w:t>使用</w:t>
      </w:r>
      <w:r>
        <w:rPr>
          <w:rFonts w:eastAsia="SimSun" w:hint="eastAsia"/>
          <w:lang w:eastAsia="zh-CN"/>
        </w:rPr>
        <w:t>、</w:t>
      </w:r>
      <w:r w:rsidRPr="009148D9">
        <w:rPr>
          <w:rFonts w:eastAsia="SimSun" w:hint="eastAsia"/>
          <w:lang w:eastAsia="zh-CN"/>
        </w:rPr>
        <w:t>生成和分析遗传资源数字序列信息的能力，</w:t>
      </w:r>
      <w:r>
        <w:rPr>
          <w:rFonts w:eastAsia="SimSun" w:hint="eastAsia"/>
          <w:lang w:eastAsia="zh-CN"/>
        </w:rPr>
        <w:t>并</w:t>
      </w:r>
      <w:r w:rsidRPr="00F92057">
        <w:rPr>
          <w:rFonts w:eastAsia="KaiTi" w:hint="eastAsia"/>
          <w:lang w:eastAsia="zh-CN"/>
        </w:rPr>
        <w:t>鼓励</w:t>
      </w:r>
      <w:r>
        <w:rPr>
          <w:rFonts w:eastAsia="SimSun" w:hint="eastAsia"/>
          <w:lang w:eastAsia="zh-CN"/>
        </w:rPr>
        <w:t>各缔约方、</w:t>
      </w:r>
      <w:r w:rsidRPr="009148D9">
        <w:rPr>
          <w:rFonts w:eastAsia="SimSun" w:hint="eastAsia"/>
          <w:lang w:eastAsia="zh-CN"/>
        </w:rPr>
        <w:t>其他国家政府和</w:t>
      </w:r>
      <w:r>
        <w:rPr>
          <w:rFonts w:eastAsia="SimSun" w:hint="eastAsia"/>
          <w:lang w:eastAsia="zh-CN"/>
        </w:rPr>
        <w:t>相关组织</w:t>
      </w:r>
      <w:r w:rsidRPr="009148D9">
        <w:rPr>
          <w:rFonts w:eastAsia="SimSun" w:hint="eastAsia"/>
          <w:lang w:eastAsia="zh-CN"/>
        </w:rPr>
        <w:t>酌情支持能力建设和技术转让，</w:t>
      </w:r>
      <w:r>
        <w:rPr>
          <w:rFonts w:eastAsia="SimSun" w:hint="eastAsia"/>
          <w:lang w:eastAsia="zh-CN"/>
        </w:rPr>
        <w:t>以</w:t>
      </w:r>
      <w:r w:rsidRPr="009148D9">
        <w:rPr>
          <w:rFonts w:eastAsia="SimSun" w:hint="eastAsia"/>
          <w:lang w:eastAsia="zh-CN"/>
        </w:rPr>
        <w:t>协助遗传资源数字序列信息</w:t>
      </w:r>
      <w:r>
        <w:rPr>
          <w:rFonts w:eastAsia="SimSun" w:hint="eastAsia"/>
          <w:lang w:eastAsia="zh-CN"/>
        </w:rPr>
        <w:t>的</w:t>
      </w:r>
      <w:r w:rsidRPr="009148D9">
        <w:rPr>
          <w:rFonts w:eastAsia="SimSun" w:hint="eastAsia"/>
          <w:lang w:eastAsia="zh-CN"/>
        </w:rPr>
        <w:t>获取</w:t>
      </w:r>
      <w:r>
        <w:rPr>
          <w:rFonts w:eastAsia="SimSun" w:hint="eastAsia"/>
          <w:lang w:eastAsia="zh-CN"/>
        </w:rPr>
        <w:t>、</w:t>
      </w:r>
      <w:r w:rsidRPr="009148D9">
        <w:rPr>
          <w:rFonts w:eastAsia="SimSun" w:hint="eastAsia"/>
          <w:lang w:eastAsia="zh-CN"/>
        </w:rPr>
        <w:t>使用</w:t>
      </w:r>
      <w:r>
        <w:rPr>
          <w:rFonts w:eastAsia="SimSun" w:hint="eastAsia"/>
          <w:lang w:eastAsia="zh-CN"/>
        </w:rPr>
        <w:t>、</w:t>
      </w:r>
      <w:r w:rsidRPr="009148D9">
        <w:rPr>
          <w:rFonts w:eastAsia="SimSun" w:hint="eastAsia"/>
          <w:lang w:eastAsia="zh-CN"/>
        </w:rPr>
        <w:t>生成和分析，</w:t>
      </w:r>
      <w:r>
        <w:rPr>
          <w:rFonts w:eastAsia="SimSun" w:hint="eastAsia"/>
          <w:lang w:eastAsia="zh-CN"/>
        </w:rPr>
        <w:t>促进</w:t>
      </w:r>
      <w:r w:rsidRPr="009148D9">
        <w:rPr>
          <w:rFonts w:eastAsia="SimSun" w:hint="eastAsia"/>
          <w:lang w:eastAsia="zh-CN"/>
        </w:rPr>
        <w:t>生物多样性</w:t>
      </w:r>
      <w:r>
        <w:rPr>
          <w:rFonts w:eastAsia="SimSun" w:hint="eastAsia"/>
          <w:lang w:eastAsia="zh-CN"/>
        </w:rPr>
        <w:t>的</w:t>
      </w:r>
      <w:r w:rsidRPr="009148D9">
        <w:rPr>
          <w:rFonts w:eastAsia="SimSun" w:hint="eastAsia"/>
          <w:lang w:eastAsia="zh-CN"/>
        </w:rPr>
        <w:t>保护和可持续利用</w:t>
      </w:r>
      <w:r>
        <w:rPr>
          <w:rFonts w:eastAsia="SimSun" w:hint="eastAsia"/>
          <w:lang w:eastAsia="zh-CN"/>
        </w:rPr>
        <w:t>以及</w:t>
      </w:r>
      <w:r w:rsidRPr="009148D9">
        <w:rPr>
          <w:rFonts w:eastAsia="SimSun" w:hint="eastAsia"/>
          <w:lang w:eastAsia="zh-CN"/>
        </w:rPr>
        <w:t>惠益分享</w:t>
      </w:r>
      <w:r>
        <w:rPr>
          <w:rFonts w:eastAsia="SimSun" w:hint="eastAsia"/>
          <w:lang w:eastAsia="zh-CN"/>
        </w:rPr>
        <w:t>；</w:t>
      </w:r>
    </w:p>
    <w:p w:rsidR="00B01154" w:rsidRPr="002E44C5" w:rsidRDefault="00B01154" w:rsidP="001A42F8">
      <w:pPr>
        <w:pStyle w:val="ListParagraph"/>
        <w:numPr>
          <w:ilvl w:val="0"/>
          <w:numId w:val="222"/>
        </w:numPr>
        <w:tabs>
          <w:tab w:val="left" w:pos="1440"/>
        </w:tabs>
        <w:ind w:left="0" w:firstLine="720"/>
        <w:rPr>
          <w:rFonts w:eastAsia="SimSun"/>
          <w:lang w:eastAsia="zh-CN"/>
        </w:rPr>
      </w:pPr>
      <w:r w:rsidRPr="002E44C5">
        <w:rPr>
          <w:rFonts w:eastAsia="KaiTi" w:hint="eastAsia"/>
          <w:lang w:eastAsia="zh-CN"/>
        </w:rPr>
        <w:t>注意到</w:t>
      </w:r>
      <w:r w:rsidRPr="002E44C5">
        <w:rPr>
          <w:rFonts w:eastAsia="SimSun" w:hint="eastAsia"/>
          <w:lang w:eastAsia="zh-CN"/>
        </w:rPr>
        <w:t>生成遗传资源数字序列信息在很多情况下需要获取一种遗传资源，</w:t>
      </w:r>
      <w:r>
        <w:rPr>
          <w:rFonts w:eastAsia="SimSun" w:hint="eastAsia"/>
          <w:lang w:eastAsia="zh-CN"/>
        </w:rPr>
        <w:t>不过</w:t>
      </w:r>
      <w:r w:rsidRPr="002E44C5">
        <w:rPr>
          <w:rFonts w:eastAsia="SimSun" w:hint="eastAsia"/>
          <w:lang w:eastAsia="zh-CN"/>
        </w:rPr>
        <w:t>某些情况下可能很难将数字序列信息与生成它的遗传资源相联系；</w:t>
      </w:r>
    </w:p>
    <w:p w:rsidR="00B01154" w:rsidRPr="002E44C5" w:rsidRDefault="00B01154" w:rsidP="001A42F8">
      <w:pPr>
        <w:pStyle w:val="ListParagraph"/>
        <w:numPr>
          <w:ilvl w:val="0"/>
          <w:numId w:val="222"/>
        </w:numPr>
        <w:tabs>
          <w:tab w:val="left" w:pos="1440"/>
        </w:tabs>
        <w:ind w:left="0" w:firstLine="720"/>
        <w:rPr>
          <w:rFonts w:eastAsia="SimSun"/>
          <w:lang w:eastAsia="zh-CN"/>
        </w:rPr>
      </w:pPr>
      <w:r>
        <w:rPr>
          <w:rFonts w:eastAsia="KaiTi" w:hint="eastAsia"/>
          <w:lang w:eastAsia="zh-CN"/>
        </w:rPr>
        <w:t>又</w:t>
      </w:r>
      <w:r w:rsidRPr="002E44C5">
        <w:rPr>
          <w:rFonts w:eastAsia="KaiTi" w:hint="eastAsia"/>
          <w:lang w:eastAsia="zh-CN"/>
        </w:rPr>
        <w:t>注意到</w:t>
      </w:r>
      <w:r w:rsidRPr="002E44C5">
        <w:rPr>
          <w:rFonts w:eastAsia="SimSun" w:hint="eastAsia"/>
          <w:lang w:eastAsia="zh-CN"/>
        </w:rPr>
        <w:t>一些缔约方已采取国内措施，规范获取和使用遗传资源数字序列信息，作为其获取和惠益分享框架的一部分；</w:t>
      </w:r>
    </w:p>
    <w:p w:rsidR="00B01154" w:rsidRPr="002E44C5" w:rsidRDefault="00B01154" w:rsidP="001A42F8">
      <w:pPr>
        <w:pStyle w:val="ListParagraph"/>
        <w:numPr>
          <w:ilvl w:val="0"/>
          <w:numId w:val="222"/>
        </w:numPr>
        <w:tabs>
          <w:tab w:val="left" w:pos="1440"/>
        </w:tabs>
        <w:ind w:left="0" w:firstLine="720"/>
        <w:rPr>
          <w:rFonts w:ascii="SimSun" w:eastAsia="SimSun" w:hAnsi="SimSun"/>
          <w:b/>
          <w:lang w:eastAsia="zh-CN"/>
        </w:rPr>
      </w:pPr>
      <w:r>
        <w:rPr>
          <w:rFonts w:eastAsia="KaiTi" w:hint="eastAsia"/>
          <w:lang w:eastAsia="zh-CN"/>
        </w:rPr>
        <w:t>还</w:t>
      </w:r>
      <w:r w:rsidRPr="002E44C5">
        <w:rPr>
          <w:rFonts w:eastAsia="KaiTi" w:hint="eastAsia"/>
          <w:lang w:eastAsia="zh-CN"/>
        </w:rPr>
        <w:t>注意到</w:t>
      </w:r>
      <w:r w:rsidRPr="002E44C5">
        <w:rPr>
          <w:rFonts w:ascii="SimSun" w:eastAsia="SimSun" w:hAnsi="SimSun" w:hint="eastAsia"/>
          <w:lang w:eastAsia="zh-CN"/>
        </w:rPr>
        <w:t>由于缔约方之间就利用遗传资源的数字序列信息分享惠存在益意见分歧，</w:t>
      </w:r>
      <w:r>
        <w:rPr>
          <w:rFonts w:ascii="SimSun" w:eastAsia="SimSun" w:hAnsi="SimSun" w:hint="eastAsia"/>
          <w:lang w:eastAsia="zh-CN"/>
        </w:rPr>
        <w:t>各</w:t>
      </w:r>
      <w:r w:rsidRPr="002E44C5">
        <w:rPr>
          <w:rFonts w:ascii="SimSun" w:eastAsia="SimSun" w:hAnsi="SimSun" w:hint="eastAsia"/>
          <w:lang w:eastAsia="zh-CN"/>
        </w:rPr>
        <w:t>缔约方承诺</w:t>
      </w:r>
      <w:r>
        <w:rPr>
          <w:rFonts w:ascii="SimSun" w:eastAsia="SimSun" w:hAnsi="SimSun" w:hint="eastAsia"/>
          <w:lang w:eastAsia="zh-CN"/>
        </w:rPr>
        <w:t>致力于</w:t>
      </w:r>
      <w:r w:rsidRPr="002E44C5">
        <w:rPr>
          <w:rFonts w:ascii="SimSun" w:eastAsia="SimSun" w:hAnsi="SimSun" w:hint="eastAsia"/>
          <w:lang w:eastAsia="zh-CN"/>
        </w:rPr>
        <w:t>通过本决定</w:t>
      </w:r>
      <w:r>
        <w:rPr>
          <w:rFonts w:ascii="SimSun" w:eastAsia="SimSun" w:hAnsi="SimSun" w:hint="eastAsia"/>
          <w:lang w:eastAsia="zh-CN"/>
        </w:rPr>
        <w:t>中</w:t>
      </w:r>
      <w:r w:rsidRPr="002E44C5">
        <w:rPr>
          <w:rFonts w:ascii="SimSun" w:eastAsia="SimSun" w:hAnsi="SimSun" w:hint="eastAsia"/>
          <w:lang w:eastAsia="zh-CN"/>
        </w:rPr>
        <w:t>确定的程序努力解决这种分歧，</w:t>
      </w:r>
      <w:r>
        <w:rPr>
          <w:rFonts w:ascii="SimSun" w:eastAsia="SimSun" w:hAnsi="SimSun" w:hint="eastAsia"/>
          <w:lang w:eastAsia="zh-CN"/>
        </w:rPr>
        <w:t>以期</w:t>
      </w:r>
      <w:r w:rsidRPr="002E44C5">
        <w:rPr>
          <w:rFonts w:ascii="SimSun" w:eastAsia="SimSun" w:hAnsi="SimSun" w:hint="eastAsia"/>
          <w:lang w:eastAsia="zh-CN"/>
        </w:rPr>
        <w:t>加强实现《公约》的第三个目标和第</w:t>
      </w:r>
      <w:r w:rsidRPr="002E44C5">
        <w:rPr>
          <w:rFonts w:eastAsia="SimSun"/>
          <w:lang w:eastAsia="zh-CN"/>
        </w:rPr>
        <w:t>15</w:t>
      </w:r>
      <w:r w:rsidRPr="002E44C5">
        <w:rPr>
          <w:rFonts w:eastAsia="SimSun"/>
          <w:lang w:eastAsia="zh-CN"/>
        </w:rPr>
        <w:t>条第</w:t>
      </w:r>
      <w:r w:rsidRPr="002E44C5">
        <w:rPr>
          <w:rFonts w:eastAsia="SimSun"/>
          <w:lang w:eastAsia="zh-CN"/>
        </w:rPr>
        <w:t>7</w:t>
      </w:r>
      <w:r w:rsidRPr="002E44C5">
        <w:rPr>
          <w:rFonts w:ascii="SimSun" w:eastAsia="SimSun" w:hAnsi="SimSun" w:hint="eastAsia"/>
          <w:lang w:eastAsia="zh-CN"/>
        </w:rPr>
        <w:t>款</w:t>
      </w:r>
      <w:r>
        <w:rPr>
          <w:rFonts w:ascii="SimSun" w:eastAsia="SimSun" w:hAnsi="SimSun" w:hint="eastAsia"/>
          <w:lang w:eastAsia="zh-CN"/>
        </w:rPr>
        <w:t>，同时</w:t>
      </w:r>
      <w:r>
        <w:rPr>
          <w:rFonts w:ascii="SimSun" w:eastAsia="SimSun" w:hAnsi="SimSun"/>
          <w:lang w:eastAsia="zh-CN"/>
        </w:rPr>
        <w:t>又不影响本</w:t>
      </w:r>
      <w:r>
        <w:rPr>
          <w:rFonts w:ascii="SimSun" w:eastAsia="SimSun" w:hAnsi="SimSun" w:hint="eastAsia"/>
          <w:lang w:eastAsia="zh-CN"/>
        </w:rPr>
        <w:t>条款</w:t>
      </w:r>
      <w:r>
        <w:rPr>
          <w:rFonts w:ascii="SimSun" w:eastAsia="SimSun" w:hAnsi="SimSun"/>
          <w:lang w:eastAsia="zh-CN"/>
        </w:rPr>
        <w:t>所</w:t>
      </w:r>
      <w:r>
        <w:rPr>
          <w:rFonts w:ascii="SimSun" w:eastAsia="SimSun" w:hAnsi="SimSun" w:hint="eastAsia"/>
          <w:lang w:eastAsia="zh-CN"/>
        </w:rPr>
        <w:t>适用的</w:t>
      </w:r>
      <w:r>
        <w:rPr>
          <w:rFonts w:ascii="SimSun" w:eastAsia="SimSun" w:hAnsi="SimSun"/>
          <w:lang w:eastAsia="zh-CN"/>
        </w:rPr>
        <w:t>情况</w:t>
      </w:r>
      <w:r w:rsidRPr="002E44C5">
        <w:rPr>
          <w:rFonts w:ascii="SimSun" w:eastAsia="SimSun" w:hAnsi="SimSun" w:hint="eastAsia"/>
          <w:lang w:eastAsia="zh-CN"/>
        </w:rPr>
        <w:t>；</w:t>
      </w:r>
    </w:p>
    <w:p w:rsidR="00B01154" w:rsidRPr="002E44C5" w:rsidRDefault="00B01154" w:rsidP="001A42F8">
      <w:pPr>
        <w:pStyle w:val="ListParagraph"/>
        <w:numPr>
          <w:ilvl w:val="0"/>
          <w:numId w:val="222"/>
        </w:numPr>
        <w:tabs>
          <w:tab w:val="left" w:pos="1440"/>
        </w:tabs>
        <w:ind w:left="0" w:firstLine="720"/>
        <w:rPr>
          <w:rFonts w:eastAsiaTheme="minorEastAsia"/>
          <w:kern w:val="22"/>
          <w:lang w:eastAsia="zh-CN"/>
        </w:rPr>
      </w:pPr>
      <w:r w:rsidRPr="002E44C5">
        <w:rPr>
          <w:rFonts w:eastAsia="KaiTi" w:hint="eastAsia"/>
          <w:lang w:eastAsia="zh-CN"/>
        </w:rPr>
        <w:lastRenderedPageBreak/>
        <w:t>注意到</w:t>
      </w:r>
      <w:r w:rsidRPr="002E44C5">
        <w:rPr>
          <w:rFonts w:ascii="SimSun" w:eastAsia="SimSun" w:hAnsi="SimSun" w:cs="SimSun" w:hint="eastAsia"/>
          <w:kern w:val="22"/>
          <w:lang w:eastAsia="zh-CN"/>
        </w:rPr>
        <w:t>在获取遗传资源供使用时，根据适用的国内措施，共同商定的条款可涵盖商业</w:t>
      </w:r>
      <w:r>
        <w:rPr>
          <w:rFonts w:ascii="SimSun" w:eastAsia="SimSun" w:hAnsi="SimSun" w:cs="SimSun" w:hint="eastAsia"/>
          <w:kern w:val="22"/>
          <w:lang w:eastAsia="zh-CN"/>
        </w:rPr>
        <w:t>和</w:t>
      </w:r>
      <w:r>
        <w:rPr>
          <w:rFonts w:ascii="SimSun" w:eastAsia="SimSun" w:hAnsi="SimSun" w:cs="SimSun"/>
          <w:kern w:val="22"/>
          <w:lang w:eastAsia="zh-CN"/>
        </w:rPr>
        <w:t>（</w:t>
      </w:r>
      <w:r w:rsidRPr="002E44C5">
        <w:rPr>
          <w:rFonts w:ascii="SimSun" w:eastAsia="SimSun" w:hAnsi="SimSun" w:cs="SimSun" w:hint="eastAsia"/>
          <w:kern w:val="22"/>
          <w:lang w:eastAsia="zh-CN"/>
        </w:rPr>
        <w:t>或）非商业</w:t>
      </w:r>
      <w:r>
        <w:rPr>
          <w:rFonts w:ascii="SimSun" w:eastAsia="SimSun" w:hAnsi="SimSun" w:cs="SimSun" w:hint="eastAsia"/>
          <w:kern w:val="22"/>
          <w:lang w:eastAsia="zh-CN"/>
        </w:rPr>
        <w:t>地</w:t>
      </w:r>
      <w:r w:rsidRPr="002E44C5">
        <w:rPr>
          <w:rFonts w:ascii="SimSun" w:eastAsia="SimSun" w:hAnsi="SimSun" w:cs="SimSun" w:hint="eastAsia"/>
          <w:kern w:val="22"/>
          <w:lang w:eastAsia="zh-CN"/>
        </w:rPr>
        <w:t>使用这些遗传资源的数字序列信息所产生的惠益；</w:t>
      </w:r>
    </w:p>
    <w:p w:rsidR="00B01154" w:rsidRPr="002E44C5" w:rsidRDefault="00B01154" w:rsidP="001A42F8">
      <w:pPr>
        <w:pStyle w:val="ListParagraph"/>
        <w:numPr>
          <w:ilvl w:val="0"/>
          <w:numId w:val="222"/>
        </w:numPr>
        <w:tabs>
          <w:tab w:val="left" w:pos="1440"/>
        </w:tabs>
        <w:ind w:left="0" w:firstLine="720"/>
        <w:rPr>
          <w:rFonts w:eastAsiaTheme="minorEastAsia"/>
          <w:lang w:eastAsia="zh-CN"/>
        </w:rPr>
      </w:pPr>
      <w:r w:rsidRPr="002E44C5">
        <w:rPr>
          <w:rFonts w:eastAsia="KaiTi" w:hint="eastAsia"/>
          <w:lang w:eastAsia="zh-CN"/>
        </w:rPr>
        <w:t>决定</w:t>
      </w:r>
      <w:r>
        <w:rPr>
          <w:rFonts w:ascii="SimSun" w:eastAsia="SimSun" w:hAnsi="SimSun" w:cs="SimSun" w:hint="eastAsia"/>
          <w:kern w:val="22"/>
          <w:lang w:eastAsia="zh-CN"/>
        </w:rPr>
        <w:t>建立</w:t>
      </w:r>
      <w:r w:rsidRPr="002E44C5">
        <w:rPr>
          <w:rFonts w:ascii="SimSun" w:eastAsia="SimSun" w:hAnsi="SimSun" w:cs="SimSun" w:hint="eastAsia"/>
          <w:kern w:val="22"/>
          <w:lang w:eastAsia="zh-CN"/>
        </w:rPr>
        <w:t>如下文第</w:t>
      </w:r>
      <w:r w:rsidRPr="002E44C5">
        <w:rPr>
          <w:kern w:val="22"/>
          <w:lang w:eastAsia="zh-CN"/>
        </w:rPr>
        <w:t>9</w:t>
      </w:r>
      <w:r w:rsidRPr="002E44C5">
        <w:rPr>
          <w:rFonts w:ascii="SimSun" w:eastAsia="SimSun" w:hAnsi="SimSun" w:cs="SimSun" w:hint="eastAsia"/>
          <w:kern w:val="22"/>
          <w:lang w:eastAsia="zh-CN"/>
        </w:rPr>
        <w:t>至</w:t>
      </w:r>
      <w:r w:rsidRPr="002E44C5">
        <w:rPr>
          <w:kern w:val="22"/>
          <w:lang w:eastAsia="zh-CN"/>
        </w:rPr>
        <w:t>12</w:t>
      </w:r>
      <w:r w:rsidRPr="002E44C5">
        <w:rPr>
          <w:rFonts w:ascii="SimSun" w:eastAsia="SimSun" w:hAnsi="SimSun" w:cs="SimSun" w:hint="eastAsia"/>
          <w:kern w:val="22"/>
          <w:lang w:eastAsia="zh-CN"/>
        </w:rPr>
        <w:t>段所述</w:t>
      </w:r>
      <w:r>
        <w:rPr>
          <w:rFonts w:ascii="SimSun" w:eastAsia="SimSun" w:hAnsi="SimSun" w:cs="SimSun" w:hint="eastAsia"/>
          <w:kern w:val="22"/>
          <w:lang w:eastAsia="zh-CN"/>
        </w:rPr>
        <w:t>的</w:t>
      </w:r>
      <w:r w:rsidRPr="002E44C5">
        <w:rPr>
          <w:rFonts w:ascii="SimSun" w:eastAsia="SimSun" w:hAnsi="SimSun" w:cs="SimSun" w:hint="eastAsia"/>
          <w:kern w:val="22"/>
          <w:lang w:eastAsia="zh-CN"/>
        </w:rPr>
        <w:t>基于科学和政策的关于遗传资源数字序列信息的进程；</w:t>
      </w:r>
    </w:p>
    <w:p w:rsidR="00B01154" w:rsidRPr="002E44C5" w:rsidRDefault="00B01154" w:rsidP="001A42F8">
      <w:pPr>
        <w:pStyle w:val="ListParagraph"/>
        <w:numPr>
          <w:ilvl w:val="0"/>
          <w:numId w:val="222"/>
        </w:numPr>
        <w:tabs>
          <w:tab w:val="left" w:pos="1440"/>
        </w:tabs>
        <w:adjustRightInd w:val="0"/>
        <w:snapToGrid w:val="0"/>
        <w:ind w:left="0" w:firstLine="720"/>
        <w:jc w:val="left"/>
        <w:rPr>
          <w:lang w:eastAsia="zh-CN"/>
        </w:rPr>
      </w:pPr>
      <w:r w:rsidRPr="002E44C5">
        <w:rPr>
          <w:rFonts w:eastAsia="KaiTi" w:hint="eastAsia"/>
          <w:lang w:eastAsia="zh-CN"/>
        </w:rPr>
        <w:t>邀请</w:t>
      </w:r>
      <w:r w:rsidRPr="002E44C5">
        <w:rPr>
          <w:rFonts w:ascii="SimSun" w:eastAsia="SimSun" w:hAnsi="SimSun" w:cs="SimSun" w:hint="eastAsia"/>
          <w:lang w:eastAsia="zh-CN"/>
        </w:rPr>
        <w:t>各缔约方、其他国家政府、土著人民和地方社区、相关利益攸关方和组织提交意见和信息</w:t>
      </w:r>
      <w:r>
        <w:rPr>
          <w:rFonts w:ascii="SimSun" w:eastAsia="SimSun" w:hAnsi="SimSun" w:cs="SimSun" w:hint="eastAsia"/>
          <w:lang w:eastAsia="zh-CN"/>
        </w:rPr>
        <w:t>，</w:t>
      </w:r>
      <w:r>
        <w:rPr>
          <w:rFonts w:ascii="SimSun" w:eastAsia="SimSun" w:hAnsi="SimSun" w:cs="SimSun"/>
          <w:lang w:eastAsia="zh-CN"/>
        </w:rPr>
        <w:t>以便</w:t>
      </w:r>
      <w:r w:rsidRPr="002E44C5">
        <w:rPr>
          <w:rFonts w:ascii="SimSun" w:eastAsia="SimSun" w:hAnsi="SimSun" w:cs="SimSun" w:hint="eastAsia"/>
          <w:lang w:eastAsia="zh-CN"/>
        </w:rPr>
        <w:t>：</w:t>
      </w:r>
    </w:p>
    <w:p w:rsidR="00B01154" w:rsidRPr="00044C26" w:rsidRDefault="00B01154" w:rsidP="001A42F8">
      <w:pPr>
        <w:pStyle w:val="ListParagraph"/>
        <w:numPr>
          <w:ilvl w:val="0"/>
          <w:numId w:val="224"/>
        </w:numPr>
        <w:tabs>
          <w:tab w:val="left" w:pos="1440"/>
        </w:tabs>
        <w:adjustRightInd w:val="0"/>
        <w:snapToGrid w:val="0"/>
        <w:ind w:left="0" w:firstLine="720"/>
        <w:jc w:val="left"/>
        <w:rPr>
          <w:rFonts w:eastAsia="SimSun"/>
          <w:lang w:eastAsia="zh-CN"/>
        </w:rPr>
      </w:pPr>
      <w:r>
        <w:rPr>
          <w:rFonts w:eastAsia="SimSun" w:hint="eastAsia"/>
          <w:lang w:eastAsia="zh-CN"/>
        </w:rPr>
        <w:t>说明</w:t>
      </w:r>
      <w:r w:rsidRPr="00044C26">
        <w:rPr>
          <w:rFonts w:eastAsia="SimSun"/>
          <w:lang w:eastAsia="zh-CN"/>
        </w:rPr>
        <w:t>遗传资源的数字序列信息的概念，包括相关术语和范围，以及</w:t>
      </w:r>
      <w:r>
        <w:rPr>
          <w:rFonts w:eastAsia="SimSun" w:hint="eastAsia"/>
          <w:lang w:eastAsia="zh-CN"/>
        </w:rPr>
        <w:t>本国</w:t>
      </w:r>
      <w:r w:rsidRPr="00044C26">
        <w:rPr>
          <w:rFonts w:eastAsia="SimSun"/>
          <w:lang w:eastAsia="zh-CN"/>
        </w:rPr>
        <w:t>获取和惠益分享措施是否以及如何考虑遗传资源的数字序列信息；</w:t>
      </w:r>
    </w:p>
    <w:p w:rsidR="00B01154" w:rsidRPr="00E620BD" w:rsidRDefault="00B01154" w:rsidP="001A42F8">
      <w:pPr>
        <w:pStyle w:val="ListParagraph"/>
        <w:numPr>
          <w:ilvl w:val="0"/>
          <w:numId w:val="224"/>
        </w:numPr>
        <w:tabs>
          <w:tab w:val="left" w:pos="1440"/>
        </w:tabs>
        <w:adjustRightInd w:val="0"/>
        <w:snapToGrid w:val="0"/>
        <w:ind w:left="0" w:firstLine="720"/>
        <w:jc w:val="left"/>
        <w:rPr>
          <w:rFonts w:eastAsia="SimSun"/>
          <w:lang w:eastAsia="zh-CN"/>
        </w:rPr>
      </w:pPr>
      <w:r>
        <w:rPr>
          <w:rFonts w:eastAsia="SimSun" w:hint="eastAsia"/>
          <w:lang w:eastAsia="zh-CN"/>
        </w:rPr>
        <w:t>说明</w:t>
      </w:r>
      <w:r w:rsidRPr="00E620BD">
        <w:rPr>
          <w:rFonts w:eastAsia="SimSun"/>
          <w:lang w:eastAsia="zh-CN"/>
        </w:rPr>
        <w:t>关于商业和非商业利用遗传资源数字序列信息的惠益分享安排；</w:t>
      </w:r>
      <w:r w:rsidRPr="00E620BD">
        <w:rPr>
          <w:rFonts w:eastAsia="SimSun"/>
          <w:lang w:eastAsia="zh-CN"/>
        </w:rPr>
        <w:t xml:space="preserve"> </w:t>
      </w:r>
    </w:p>
    <w:p w:rsidR="00B01154" w:rsidRPr="00505285" w:rsidRDefault="00B01154" w:rsidP="001A42F8">
      <w:pPr>
        <w:pStyle w:val="ListParagraph"/>
        <w:numPr>
          <w:ilvl w:val="0"/>
          <w:numId w:val="222"/>
        </w:numPr>
        <w:tabs>
          <w:tab w:val="left" w:pos="1440"/>
        </w:tabs>
        <w:adjustRightInd w:val="0"/>
        <w:snapToGrid w:val="0"/>
        <w:ind w:left="0" w:firstLine="720"/>
        <w:jc w:val="left"/>
        <w:rPr>
          <w:rFonts w:ascii="SimSun" w:eastAsia="SimSun" w:hAnsi="SimSun" w:cs="SimSun"/>
          <w:lang w:eastAsia="zh-CN"/>
        </w:rPr>
      </w:pPr>
      <w:r w:rsidRPr="00737C39">
        <w:rPr>
          <w:rFonts w:eastAsia="KaiTi"/>
          <w:lang w:eastAsia="zh-CN"/>
        </w:rPr>
        <w:t>邀请</w:t>
      </w:r>
      <w:r w:rsidRPr="00505285">
        <w:rPr>
          <w:rFonts w:eastAsia="SimSun"/>
          <w:lang w:eastAsia="zh-CN"/>
        </w:rPr>
        <w:t>各缔约方、其他国家政府</w:t>
      </w:r>
      <w:r w:rsidRPr="00505285">
        <w:rPr>
          <w:rFonts w:eastAsia="SimSun" w:hint="eastAsia"/>
          <w:lang w:eastAsia="zh-CN"/>
        </w:rPr>
        <w:t>以及</w:t>
      </w:r>
      <w:r w:rsidRPr="00505285">
        <w:rPr>
          <w:rFonts w:eastAsia="SimSun"/>
          <w:lang w:eastAsia="zh-CN"/>
        </w:rPr>
        <w:t>土著人民</w:t>
      </w:r>
      <w:r w:rsidRPr="00505285">
        <w:rPr>
          <w:rFonts w:eastAsia="SimSun" w:hint="eastAsia"/>
          <w:lang w:eastAsia="zh-CN"/>
        </w:rPr>
        <w:t>和</w:t>
      </w:r>
      <w:r w:rsidRPr="00505285">
        <w:rPr>
          <w:rFonts w:eastAsia="SimSun"/>
          <w:lang w:eastAsia="zh-CN"/>
        </w:rPr>
        <w:t>地方社区</w:t>
      </w:r>
      <w:r w:rsidRPr="00505285">
        <w:rPr>
          <w:rFonts w:ascii="SimSun" w:eastAsia="SimSun" w:hAnsi="SimSun" w:cs="SimSun" w:hint="eastAsia"/>
          <w:lang w:eastAsia="zh-CN"/>
        </w:rPr>
        <w:t>提供信息，说明其在获取、利用、生成和分析遗传资源数字序列信息方面，特别是</w:t>
      </w:r>
      <w:r>
        <w:rPr>
          <w:rFonts w:ascii="SimSun" w:eastAsia="SimSun" w:hAnsi="SimSun" w:cs="SimSun" w:hint="eastAsia"/>
          <w:lang w:eastAsia="zh-CN"/>
        </w:rPr>
        <w:t>在</w:t>
      </w:r>
      <w:r w:rsidRPr="00505285">
        <w:rPr>
          <w:rFonts w:ascii="SimSun" w:eastAsia="SimSun" w:hAnsi="SimSun" w:cs="SimSun" w:hint="eastAsia"/>
          <w:lang w:eastAsia="zh-CN"/>
        </w:rPr>
        <w:t>《公约》三项目标</w:t>
      </w:r>
      <w:r>
        <w:rPr>
          <w:rFonts w:ascii="SimSun" w:eastAsia="SimSun" w:hAnsi="SimSun" w:cs="SimSun" w:hint="eastAsia"/>
          <w:lang w:eastAsia="zh-CN"/>
        </w:rPr>
        <w:t>方面的</w:t>
      </w:r>
      <w:r w:rsidRPr="00505285">
        <w:rPr>
          <w:rFonts w:ascii="SimSun" w:eastAsia="SimSun" w:hAnsi="SimSun" w:cs="SimSun" w:hint="eastAsia"/>
          <w:lang w:eastAsia="zh-CN"/>
        </w:rPr>
        <w:t>能力建设需求；</w:t>
      </w:r>
    </w:p>
    <w:p w:rsidR="00B01154" w:rsidRDefault="00B01154" w:rsidP="001A42F8">
      <w:pPr>
        <w:pStyle w:val="ListParagraph"/>
        <w:numPr>
          <w:ilvl w:val="0"/>
          <w:numId w:val="222"/>
        </w:numPr>
        <w:tabs>
          <w:tab w:val="left" w:pos="1440"/>
        </w:tabs>
        <w:ind w:left="0" w:firstLine="720"/>
        <w:rPr>
          <w:lang w:eastAsia="zh-CN"/>
        </w:rPr>
      </w:pPr>
      <w:r w:rsidRPr="003A463E">
        <w:rPr>
          <w:rFonts w:eastAsia="KaiTi" w:hint="eastAsia"/>
          <w:lang w:eastAsia="zh-CN"/>
        </w:rPr>
        <w:t>决定</w:t>
      </w:r>
      <w:r>
        <w:rPr>
          <w:rFonts w:ascii="SimSun" w:eastAsia="SimSun" w:hAnsi="SimSun" w:cs="SimSun" w:hint="eastAsia"/>
          <w:lang w:eastAsia="zh-CN"/>
        </w:rPr>
        <w:t>设立包括土著人民及地方社区参与的扩大的特设技术专家组，</w:t>
      </w:r>
      <w:r>
        <w:rPr>
          <w:rStyle w:val="FootnoteReference"/>
        </w:rPr>
        <w:footnoteReference w:id="263"/>
      </w:r>
      <w:r>
        <w:rPr>
          <w:rFonts w:ascii="SimSun" w:eastAsia="SimSun" w:hAnsi="SimSun" w:cs="SimSun" w:hint="eastAsia"/>
          <w:lang w:eastAsia="zh-CN"/>
        </w:rPr>
        <w:t xml:space="preserve"> 并</w:t>
      </w:r>
      <w:r w:rsidRPr="0030344A">
        <w:rPr>
          <w:rFonts w:eastAsia="KaiTi" w:hint="eastAsia"/>
          <w:lang w:eastAsia="zh-CN"/>
        </w:rPr>
        <w:t>请</w:t>
      </w:r>
      <w:r>
        <w:rPr>
          <w:rFonts w:ascii="SimSun" w:eastAsia="SimSun" w:hAnsi="SimSun" w:cs="SimSun" w:hint="eastAsia"/>
          <w:lang w:eastAsia="zh-CN"/>
        </w:rPr>
        <w:t>执行秘书在资源允许的情况下：</w:t>
      </w:r>
    </w:p>
    <w:p w:rsidR="00B01154" w:rsidRPr="00505285" w:rsidRDefault="00B01154" w:rsidP="001A42F8">
      <w:pPr>
        <w:pStyle w:val="ListParagraph"/>
        <w:numPr>
          <w:ilvl w:val="0"/>
          <w:numId w:val="225"/>
        </w:numPr>
        <w:suppressLineNumbers/>
        <w:tabs>
          <w:tab w:val="left" w:pos="1440"/>
        </w:tabs>
        <w:suppressAutoHyphens/>
        <w:kinsoku w:val="0"/>
        <w:overflowPunct w:val="0"/>
        <w:autoSpaceDE w:val="0"/>
        <w:autoSpaceDN w:val="0"/>
        <w:adjustRightInd w:val="0"/>
        <w:snapToGrid w:val="0"/>
        <w:ind w:left="0" w:firstLine="720"/>
        <w:rPr>
          <w:rFonts w:eastAsia="SimSun"/>
          <w:color w:val="212121"/>
          <w:shd w:val="clear" w:color="auto" w:fill="FFFFFF"/>
          <w:lang w:eastAsia="zh-CN"/>
        </w:rPr>
      </w:pPr>
      <w:r w:rsidRPr="00505285">
        <w:rPr>
          <w:rFonts w:eastAsia="SimSun" w:hint="eastAsia"/>
          <w:color w:val="212121"/>
          <w:shd w:val="clear" w:color="auto" w:fill="FFFFFF"/>
          <w:lang w:eastAsia="zh-CN"/>
        </w:rPr>
        <w:t>汇编和综合根据上文第</w:t>
      </w:r>
      <w:r w:rsidRPr="00505285">
        <w:rPr>
          <w:rFonts w:eastAsia="SimSun"/>
          <w:color w:val="212121"/>
          <w:shd w:val="clear" w:color="auto" w:fill="FFFFFF"/>
          <w:lang w:eastAsia="zh-CN"/>
        </w:rPr>
        <w:t>9</w:t>
      </w:r>
      <w:r w:rsidRPr="00505285">
        <w:rPr>
          <w:rFonts w:eastAsia="SimSun" w:hint="eastAsia"/>
          <w:color w:val="212121"/>
          <w:shd w:val="clear" w:color="auto" w:fill="FFFFFF"/>
          <w:lang w:eastAsia="zh-CN"/>
        </w:rPr>
        <w:t>和第</w:t>
      </w:r>
      <w:r w:rsidRPr="00505285">
        <w:rPr>
          <w:rFonts w:eastAsia="SimSun"/>
          <w:color w:val="212121"/>
          <w:shd w:val="clear" w:color="auto" w:fill="FFFFFF"/>
          <w:lang w:eastAsia="zh-CN"/>
        </w:rPr>
        <w:t>10</w:t>
      </w:r>
      <w:r w:rsidRPr="00505285">
        <w:rPr>
          <w:rFonts w:eastAsia="SimSun" w:hint="eastAsia"/>
          <w:color w:val="212121"/>
          <w:shd w:val="clear" w:color="auto" w:fill="FFFFFF"/>
          <w:lang w:eastAsia="zh-CN"/>
        </w:rPr>
        <w:t>段提交的意见和信息；</w:t>
      </w:r>
    </w:p>
    <w:p w:rsidR="00B01154" w:rsidRPr="00505285" w:rsidRDefault="00B01154" w:rsidP="001A42F8">
      <w:pPr>
        <w:pStyle w:val="ListParagraph"/>
        <w:numPr>
          <w:ilvl w:val="0"/>
          <w:numId w:val="225"/>
        </w:numPr>
        <w:suppressLineNumbers/>
        <w:tabs>
          <w:tab w:val="left" w:pos="1440"/>
        </w:tabs>
        <w:suppressAutoHyphens/>
        <w:kinsoku w:val="0"/>
        <w:overflowPunct w:val="0"/>
        <w:autoSpaceDE w:val="0"/>
        <w:autoSpaceDN w:val="0"/>
        <w:adjustRightInd w:val="0"/>
        <w:snapToGrid w:val="0"/>
        <w:ind w:left="0" w:firstLine="720"/>
        <w:rPr>
          <w:rFonts w:eastAsia="SimSun"/>
          <w:color w:val="212121"/>
          <w:shd w:val="clear" w:color="auto" w:fill="FFFFFF"/>
          <w:lang w:eastAsia="zh-CN"/>
        </w:rPr>
      </w:pPr>
      <w:r w:rsidRPr="00505285">
        <w:rPr>
          <w:rFonts w:eastAsia="SimSun" w:hint="eastAsia"/>
          <w:color w:val="212121"/>
          <w:shd w:val="clear" w:color="auto" w:fill="FFFFFF"/>
          <w:lang w:eastAsia="zh-CN"/>
        </w:rPr>
        <w:t>委托进行一项关于遗传资源数字序列信息概念和范围的基于科学的</w:t>
      </w:r>
      <w:r>
        <w:rPr>
          <w:rFonts w:eastAsia="SimSun" w:hint="eastAsia"/>
          <w:color w:val="212121"/>
          <w:shd w:val="clear" w:color="auto" w:fill="FFFFFF"/>
          <w:lang w:eastAsia="zh-CN"/>
        </w:rPr>
        <w:t>同行审议</w:t>
      </w:r>
      <w:r w:rsidRPr="00505285">
        <w:rPr>
          <w:rFonts w:eastAsia="SimSun" w:hint="eastAsia"/>
          <w:color w:val="212121"/>
          <w:shd w:val="clear" w:color="auto" w:fill="FFFFFF"/>
          <w:lang w:eastAsia="zh-CN"/>
        </w:rPr>
        <w:t>实况调查以及目前如何根据现有实况调查和范围研究使用遗传资源数字序列信息；</w:t>
      </w:r>
      <w:r w:rsidRPr="003C6CD1">
        <w:rPr>
          <w:rFonts w:eastAsia="SimSun"/>
          <w:color w:val="212121"/>
          <w:shd w:val="clear" w:color="auto" w:fill="FFFFFF"/>
          <w:vertAlign w:val="superscript"/>
          <w:lang w:eastAsia="zh-CN"/>
        </w:rPr>
        <w:footnoteReference w:id="264"/>
      </w:r>
    </w:p>
    <w:p w:rsidR="00B01154" w:rsidRPr="00B21B5E" w:rsidRDefault="00B01154" w:rsidP="001A42F8">
      <w:pPr>
        <w:pStyle w:val="ListParagraph"/>
        <w:widowControl w:val="0"/>
        <w:numPr>
          <w:ilvl w:val="0"/>
          <w:numId w:val="225"/>
        </w:numPr>
        <w:suppressLineNumbers/>
        <w:tabs>
          <w:tab w:val="left" w:pos="1440"/>
        </w:tabs>
        <w:suppressAutoHyphens/>
        <w:kinsoku w:val="0"/>
        <w:overflowPunct w:val="0"/>
        <w:autoSpaceDE w:val="0"/>
        <w:autoSpaceDN w:val="0"/>
        <w:adjustRightInd w:val="0"/>
        <w:snapToGrid w:val="0"/>
        <w:ind w:left="0" w:firstLine="720"/>
        <w:rPr>
          <w:rFonts w:eastAsia="SimSun"/>
          <w:color w:val="212121"/>
          <w:spacing w:val="-20"/>
          <w:shd w:val="clear" w:color="auto" w:fill="FFFFFF"/>
          <w:lang w:eastAsia="zh-CN"/>
        </w:rPr>
      </w:pPr>
      <w:r w:rsidRPr="00505285">
        <w:rPr>
          <w:rFonts w:eastAsia="SimSun" w:hint="eastAsia"/>
          <w:color w:val="212121"/>
          <w:shd w:val="clear" w:color="auto" w:fill="FFFFFF"/>
          <w:lang w:eastAsia="zh-CN"/>
        </w:rPr>
        <w:t>委托</w:t>
      </w:r>
      <w:r>
        <w:rPr>
          <w:rFonts w:eastAsia="SimSun" w:hint="eastAsia"/>
          <w:color w:val="212121"/>
          <w:shd w:val="clear" w:color="auto" w:fill="FFFFFF"/>
          <w:lang w:eastAsia="zh-CN"/>
        </w:rPr>
        <w:t>就数据信息的</w:t>
      </w:r>
      <w:r w:rsidRPr="00505285">
        <w:rPr>
          <w:rFonts w:eastAsia="SimSun" w:hint="eastAsia"/>
          <w:color w:val="212121"/>
          <w:shd w:val="clear" w:color="auto" w:fill="FFFFFF"/>
          <w:lang w:eastAsia="zh-CN"/>
        </w:rPr>
        <w:t>可追溯性领域</w:t>
      </w:r>
      <w:r>
        <w:rPr>
          <w:rFonts w:eastAsia="SimSun" w:hint="eastAsia"/>
          <w:color w:val="212121"/>
          <w:shd w:val="clear" w:color="auto" w:fill="FFFFFF"/>
          <w:lang w:eastAsia="zh-CN"/>
        </w:rPr>
        <w:t>当前的</w:t>
      </w:r>
      <w:r>
        <w:rPr>
          <w:rFonts w:eastAsia="SimSun"/>
          <w:color w:val="212121"/>
          <w:shd w:val="clear" w:color="auto" w:fill="FFFFFF"/>
          <w:lang w:eastAsia="zh-CN"/>
        </w:rPr>
        <w:t>事态发展</w:t>
      </w:r>
      <w:r>
        <w:rPr>
          <w:rFonts w:eastAsia="SimSun" w:hint="eastAsia"/>
          <w:color w:val="212121"/>
          <w:shd w:val="clear" w:color="auto" w:fill="FFFFFF"/>
          <w:lang w:eastAsia="zh-CN"/>
        </w:rPr>
        <w:t>进行</w:t>
      </w:r>
      <w:r>
        <w:rPr>
          <w:rFonts w:eastAsia="SimSun"/>
          <w:color w:val="212121"/>
          <w:shd w:val="clear" w:color="auto" w:fill="FFFFFF"/>
          <w:lang w:eastAsia="zh-CN"/>
        </w:rPr>
        <w:t>一次</w:t>
      </w:r>
      <w:r w:rsidRPr="00505285">
        <w:rPr>
          <w:rFonts w:eastAsia="SimSun" w:hint="eastAsia"/>
          <w:color w:val="212121"/>
          <w:shd w:val="clear" w:color="auto" w:fill="FFFFFF"/>
          <w:lang w:eastAsia="zh-CN"/>
        </w:rPr>
        <w:t>同行审议研究，包括数据库如何处理可追溯性</w:t>
      </w:r>
      <w:r w:rsidRPr="00B21B5E">
        <w:rPr>
          <w:rFonts w:eastAsia="SimSun" w:hint="eastAsia"/>
          <w:color w:val="212121"/>
          <w:spacing w:val="-20"/>
          <w:shd w:val="clear" w:color="auto" w:fill="FFFFFF"/>
          <w:lang w:eastAsia="zh-CN"/>
        </w:rPr>
        <w:t>，以及这些情况如何为有关遗传资源数字序列信息的讨论提供信息；</w:t>
      </w:r>
    </w:p>
    <w:p w:rsidR="00B01154" w:rsidRPr="00044C26" w:rsidRDefault="00B01154" w:rsidP="001A42F8">
      <w:pPr>
        <w:pStyle w:val="ListParagraph"/>
        <w:numPr>
          <w:ilvl w:val="0"/>
          <w:numId w:val="225"/>
        </w:numPr>
        <w:suppressLineNumbers/>
        <w:tabs>
          <w:tab w:val="left" w:pos="1440"/>
        </w:tabs>
        <w:suppressAutoHyphens/>
        <w:kinsoku w:val="0"/>
        <w:overflowPunct w:val="0"/>
        <w:autoSpaceDE w:val="0"/>
        <w:autoSpaceDN w:val="0"/>
        <w:adjustRightInd w:val="0"/>
        <w:snapToGrid w:val="0"/>
        <w:ind w:left="0" w:firstLine="720"/>
        <w:rPr>
          <w:rFonts w:eastAsia="SimSun"/>
          <w:lang w:eastAsia="zh-CN"/>
        </w:rPr>
      </w:pPr>
      <w:r w:rsidRPr="00044C26">
        <w:rPr>
          <w:rFonts w:eastAsia="SimSun"/>
          <w:color w:val="212121"/>
          <w:shd w:val="clear" w:color="auto" w:fill="FFFFFF"/>
          <w:lang w:eastAsia="zh-CN"/>
        </w:rPr>
        <w:t>委托就公共和尽可能私人</w:t>
      </w:r>
      <w:r>
        <w:rPr>
          <w:rFonts w:eastAsia="SimSun" w:hint="eastAsia"/>
          <w:color w:val="212121"/>
          <w:shd w:val="clear" w:color="auto" w:fill="FFFFFF"/>
          <w:lang w:eastAsia="zh-CN"/>
        </w:rPr>
        <w:t>的</w:t>
      </w:r>
      <w:r w:rsidRPr="00044C26">
        <w:rPr>
          <w:rFonts w:eastAsia="SimSun"/>
          <w:color w:val="212121"/>
          <w:shd w:val="clear" w:color="auto" w:fill="FFFFFF"/>
          <w:lang w:eastAsia="zh-CN"/>
        </w:rPr>
        <w:t>遗传资源数字序列信息的数据库</w:t>
      </w:r>
      <w:r>
        <w:rPr>
          <w:rFonts w:eastAsia="SimSun" w:hint="eastAsia"/>
          <w:color w:val="212121"/>
          <w:shd w:val="clear" w:color="auto" w:fill="FFFFFF"/>
          <w:lang w:eastAsia="zh-CN"/>
        </w:rPr>
        <w:t>进行一次</w:t>
      </w:r>
      <w:r w:rsidRPr="00044C26">
        <w:rPr>
          <w:rFonts w:eastAsia="SimSun"/>
          <w:color w:val="212121"/>
          <w:shd w:val="clear" w:color="auto" w:fill="FFFFFF"/>
          <w:lang w:eastAsia="zh-CN"/>
        </w:rPr>
        <w:t>同行</w:t>
      </w:r>
      <w:r w:rsidRPr="005232A8">
        <w:rPr>
          <w:rFonts w:eastAsia="SimSun"/>
          <w:color w:val="212121"/>
          <w:shd w:val="clear" w:color="auto" w:fill="FFFFFF"/>
          <w:lang w:eastAsia="zh-CN"/>
        </w:rPr>
        <w:t>​</w:t>
      </w:r>
      <w:r w:rsidRPr="005232A8">
        <w:rPr>
          <w:rFonts w:eastAsia="SimSun" w:hint="eastAsia"/>
          <w:color w:val="212121"/>
          <w:shd w:val="clear" w:color="auto" w:fill="FFFFFF"/>
          <w:lang w:eastAsia="zh-CN"/>
        </w:rPr>
        <w:t>审</w:t>
      </w:r>
      <w:r w:rsidRPr="005232A8">
        <w:rPr>
          <w:rFonts w:eastAsia="SimSun"/>
          <w:color w:val="212121"/>
          <w:shd w:val="clear" w:color="auto" w:fill="FFFFFF"/>
          <w:lang w:eastAsia="zh-CN"/>
        </w:rPr>
        <w:t>​</w:t>
      </w:r>
      <w:r w:rsidRPr="005232A8">
        <w:rPr>
          <w:rFonts w:eastAsia="SimSun" w:hint="eastAsia"/>
          <w:color w:val="212121"/>
          <w:shd w:val="clear" w:color="auto" w:fill="FFFFFF"/>
          <w:lang w:eastAsia="zh-CN"/>
        </w:rPr>
        <w:t>议</w:t>
      </w:r>
      <w:r w:rsidRPr="005232A8">
        <w:rPr>
          <w:rFonts w:eastAsia="SimSun"/>
          <w:color w:val="212121"/>
          <w:shd w:val="clear" w:color="auto" w:fill="FFFFFF"/>
          <w:lang w:eastAsia="zh-CN"/>
        </w:rPr>
        <w:t>研究</w:t>
      </w:r>
      <w:r w:rsidRPr="00044C26">
        <w:rPr>
          <w:rFonts w:eastAsia="SimSun"/>
          <w:color w:val="212121"/>
          <w:shd w:val="clear" w:color="auto" w:fill="FFFFFF"/>
          <w:lang w:eastAsia="zh-CN"/>
        </w:rPr>
        <w:t>，包括关于授予或控制获取的条款和条件、数据库的生物范围和规模、</w:t>
      </w:r>
      <w:r>
        <w:rPr>
          <w:rFonts w:eastAsia="SimSun" w:hint="eastAsia"/>
          <w:color w:val="212121"/>
          <w:shd w:val="clear" w:color="auto" w:fill="FFFFFF"/>
          <w:lang w:eastAsia="zh-CN"/>
        </w:rPr>
        <w:t>登记入册</w:t>
      </w:r>
      <w:r>
        <w:rPr>
          <w:rFonts w:eastAsia="SimSun"/>
          <w:color w:val="212121"/>
          <w:shd w:val="clear" w:color="auto" w:fill="FFFFFF"/>
          <w:lang w:eastAsia="zh-CN"/>
        </w:rPr>
        <w:t>数量及其来源、管理政策</w:t>
      </w:r>
      <w:r w:rsidRPr="00044C26">
        <w:rPr>
          <w:rFonts w:eastAsia="SimSun"/>
          <w:color w:val="212121"/>
          <w:shd w:val="clear" w:color="auto" w:fill="FFFFFF"/>
          <w:lang w:eastAsia="zh-CN"/>
        </w:rPr>
        <w:t>以及遗传资源数字序列信息的提供者和使用者</w:t>
      </w:r>
      <w:r>
        <w:rPr>
          <w:rFonts w:eastAsia="SimSun" w:hint="eastAsia"/>
          <w:color w:val="212121"/>
          <w:shd w:val="clear" w:color="auto" w:fill="FFFFFF"/>
          <w:lang w:eastAsia="zh-CN"/>
        </w:rPr>
        <w:t>，并鼓励</w:t>
      </w:r>
      <w:r w:rsidRPr="00044C26">
        <w:rPr>
          <w:rFonts w:eastAsia="SimSun"/>
          <w:color w:val="212121"/>
          <w:shd w:val="clear" w:color="auto" w:fill="FFFFFF"/>
          <w:lang w:eastAsia="zh-CN"/>
        </w:rPr>
        <w:t>私人数据库的所有者</w:t>
      </w:r>
      <w:r>
        <w:rPr>
          <w:rFonts w:eastAsia="SimSun" w:hint="eastAsia"/>
          <w:color w:val="212121"/>
          <w:shd w:val="clear" w:color="auto" w:fill="FFFFFF"/>
          <w:lang w:eastAsia="zh-CN"/>
        </w:rPr>
        <w:t>提供必要的信息</w:t>
      </w:r>
      <w:r w:rsidRPr="00044C26">
        <w:rPr>
          <w:rFonts w:eastAsia="SimSun"/>
          <w:lang w:eastAsia="zh-CN"/>
        </w:rPr>
        <w:t>；</w:t>
      </w:r>
    </w:p>
    <w:p w:rsidR="00B01154" w:rsidRPr="001A60A7" w:rsidRDefault="00B01154" w:rsidP="001A42F8">
      <w:pPr>
        <w:pStyle w:val="ListParagraph"/>
        <w:numPr>
          <w:ilvl w:val="0"/>
          <w:numId w:val="225"/>
        </w:numPr>
        <w:suppressLineNumbers/>
        <w:tabs>
          <w:tab w:val="left" w:pos="1440"/>
        </w:tabs>
        <w:suppressAutoHyphens/>
        <w:kinsoku w:val="0"/>
        <w:overflowPunct w:val="0"/>
        <w:autoSpaceDE w:val="0"/>
        <w:autoSpaceDN w:val="0"/>
        <w:adjustRightInd w:val="0"/>
        <w:snapToGrid w:val="0"/>
        <w:ind w:left="0" w:firstLine="720"/>
        <w:rPr>
          <w:rFonts w:eastAsia="SimSun"/>
          <w:color w:val="212121"/>
          <w:shd w:val="clear" w:color="auto" w:fill="FFFFFF"/>
          <w:lang w:eastAsia="zh-CN"/>
        </w:rPr>
      </w:pPr>
      <w:r w:rsidRPr="001A60A7">
        <w:rPr>
          <w:rFonts w:eastAsia="SimSun"/>
          <w:color w:val="212121"/>
          <w:shd w:val="clear" w:color="auto" w:fill="FFFFFF"/>
          <w:lang w:eastAsia="zh-CN"/>
        </w:rPr>
        <w:t>委托开展同行</w:t>
      </w:r>
      <w:r>
        <w:rPr>
          <w:rFonts w:eastAsia="SimSun" w:hint="eastAsia"/>
          <w:color w:val="212121"/>
          <w:shd w:val="clear" w:color="auto" w:fill="FFFFFF"/>
          <w:lang w:eastAsia="zh-CN"/>
        </w:rPr>
        <w:t>审议</w:t>
      </w:r>
      <w:r w:rsidRPr="001A60A7">
        <w:rPr>
          <w:rFonts w:eastAsia="SimSun"/>
          <w:color w:val="212121"/>
          <w:shd w:val="clear" w:color="auto" w:fill="FFFFFF"/>
          <w:lang w:eastAsia="zh-CN"/>
        </w:rPr>
        <w:t>研究探讨国内措施解决</w:t>
      </w:r>
      <w:r>
        <w:rPr>
          <w:rFonts w:eastAsia="SimSun" w:hint="eastAsia"/>
          <w:color w:val="212121"/>
          <w:shd w:val="clear" w:color="auto" w:fill="FFFFFF"/>
          <w:lang w:eastAsia="zh-CN"/>
        </w:rPr>
        <w:t>商业和非商业使用</w:t>
      </w:r>
      <w:r w:rsidRPr="001A60A7">
        <w:rPr>
          <w:rFonts w:eastAsia="SimSun"/>
          <w:color w:val="212121"/>
          <w:shd w:val="clear" w:color="auto" w:fill="FFFFFF"/>
          <w:lang w:eastAsia="zh-CN"/>
        </w:rPr>
        <w:t>遗传资源数字序列信息</w:t>
      </w:r>
      <w:r>
        <w:rPr>
          <w:rFonts w:eastAsia="SimSun" w:hint="eastAsia"/>
          <w:color w:val="212121"/>
          <w:shd w:val="clear" w:color="auto" w:fill="FFFFFF"/>
          <w:lang w:eastAsia="zh-CN"/>
        </w:rPr>
        <w:t>产生的惠益分享问题，并解决将</w:t>
      </w:r>
      <w:r w:rsidRPr="001A60A7">
        <w:rPr>
          <w:rFonts w:eastAsia="SimSun"/>
          <w:color w:val="212121"/>
          <w:shd w:val="clear" w:color="auto" w:fill="FFFFFF"/>
          <w:lang w:eastAsia="zh-CN"/>
        </w:rPr>
        <w:t>遗传资源数字序列信息</w:t>
      </w:r>
      <w:r>
        <w:rPr>
          <w:rFonts w:eastAsia="SimSun" w:hint="eastAsia"/>
          <w:color w:val="212121"/>
          <w:shd w:val="clear" w:color="auto" w:fill="FFFFFF"/>
          <w:lang w:eastAsia="zh-CN"/>
        </w:rPr>
        <w:t>用于研究和发展的问题</w:t>
      </w:r>
      <w:r w:rsidRPr="001A60A7">
        <w:rPr>
          <w:rFonts w:eastAsia="SimSun"/>
          <w:color w:val="212121"/>
          <w:shd w:val="clear" w:color="auto" w:fill="FFFFFF"/>
          <w:lang w:eastAsia="zh-CN"/>
        </w:rPr>
        <w:t>，同时考虑到第</w:t>
      </w:r>
      <w:r w:rsidRPr="001A60A7">
        <w:rPr>
          <w:rFonts w:eastAsia="SimSun"/>
          <w:color w:val="212121"/>
          <w:shd w:val="clear" w:color="auto" w:fill="FFFFFF"/>
          <w:lang w:eastAsia="zh-CN"/>
        </w:rPr>
        <w:t>9</w:t>
      </w:r>
      <w:r w:rsidRPr="001A60A7">
        <w:rPr>
          <w:rFonts w:eastAsia="SimSun"/>
          <w:color w:val="212121"/>
          <w:shd w:val="clear" w:color="auto" w:fill="FFFFFF"/>
          <w:lang w:eastAsia="zh-CN"/>
        </w:rPr>
        <w:t>段提供的内容</w:t>
      </w:r>
      <w:r w:rsidRPr="001A60A7">
        <w:rPr>
          <w:rFonts w:eastAsia="SimSun" w:hint="eastAsia"/>
          <w:color w:val="212121"/>
          <w:shd w:val="clear" w:color="auto" w:fill="FFFFFF"/>
          <w:lang w:eastAsia="zh-CN"/>
        </w:rPr>
        <w:t>；</w:t>
      </w:r>
    </w:p>
    <w:p w:rsidR="00B01154" w:rsidRPr="00044C26" w:rsidRDefault="00B01154" w:rsidP="001A42F8">
      <w:pPr>
        <w:pStyle w:val="ListParagraph"/>
        <w:numPr>
          <w:ilvl w:val="0"/>
          <w:numId w:val="225"/>
        </w:numPr>
        <w:suppressLineNumbers/>
        <w:tabs>
          <w:tab w:val="left" w:pos="1440"/>
        </w:tabs>
        <w:suppressAutoHyphens/>
        <w:kinsoku w:val="0"/>
        <w:overflowPunct w:val="0"/>
        <w:autoSpaceDE w:val="0"/>
        <w:autoSpaceDN w:val="0"/>
        <w:adjustRightInd w:val="0"/>
        <w:snapToGrid w:val="0"/>
        <w:ind w:left="0" w:firstLine="720"/>
        <w:rPr>
          <w:rFonts w:eastAsia="SimSun"/>
          <w:kern w:val="22"/>
          <w:lang w:eastAsia="zh-CN"/>
        </w:rPr>
      </w:pPr>
      <w:r>
        <w:rPr>
          <w:rFonts w:eastAsia="SimSun"/>
          <w:color w:val="212121"/>
          <w:shd w:val="clear" w:color="auto" w:fill="FFFFFF"/>
          <w:lang w:eastAsia="zh-CN"/>
        </w:rPr>
        <w:t>召开</w:t>
      </w:r>
      <w:r>
        <w:rPr>
          <w:rFonts w:eastAsia="SimSun" w:hint="eastAsia"/>
          <w:color w:val="212121"/>
          <w:shd w:val="clear" w:color="auto" w:fill="FFFFFF"/>
          <w:lang w:eastAsia="zh-CN"/>
        </w:rPr>
        <w:t>一次</w:t>
      </w:r>
      <w:r>
        <w:rPr>
          <w:rFonts w:eastAsia="SimSun"/>
          <w:color w:val="212121"/>
          <w:shd w:val="clear" w:color="auto" w:fill="FFFFFF"/>
          <w:lang w:eastAsia="zh-CN"/>
        </w:rPr>
        <w:t>扩大的特设技术专家组的会议，</w:t>
      </w:r>
      <w:r>
        <w:rPr>
          <w:rFonts w:eastAsia="SimSun" w:hint="eastAsia"/>
          <w:color w:val="212121"/>
          <w:shd w:val="clear" w:color="auto" w:fill="FFFFFF"/>
          <w:lang w:eastAsia="zh-CN"/>
        </w:rPr>
        <w:t>以便</w:t>
      </w:r>
      <w:r w:rsidRPr="00044C26">
        <w:rPr>
          <w:rFonts w:eastAsia="SimSun"/>
          <w:color w:val="212121"/>
          <w:shd w:val="clear" w:color="auto" w:fill="FFFFFF"/>
          <w:lang w:eastAsia="zh-CN"/>
        </w:rPr>
        <w:t>：</w:t>
      </w:r>
    </w:p>
    <w:p w:rsidR="00B01154" w:rsidRPr="002C4752" w:rsidRDefault="00B01154" w:rsidP="001A42F8">
      <w:pPr>
        <w:pStyle w:val="ListParagraph"/>
        <w:numPr>
          <w:ilvl w:val="0"/>
          <w:numId w:val="223"/>
        </w:numPr>
        <w:suppressLineNumbers/>
        <w:suppressAutoHyphens/>
        <w:kinsoku w:val="0"/>
        <w:overflowPunct w:val="0"/>
        <w:autoSpaceDE w:val="0"/>
        <w:autoSpaceDN w:val="0"/>
        <w:adjustRightInd w:val="0"/>
        <w:snapToGrid w:val="0"/>
        <w:ind w:left="2160" w:hanging="720"/>
        <w:rPr>
          <w:rFonts w:eastAsia="SimSun"/>
          <w:color w:val="212121"/>
          <w:shd w:val="clear" w:color="auto" w:fill="FFFFFF"/>
          <w:lang w:eastAsia="zh-CN"/>
        </w:rPr>
      </w:pPr>
      <w:r w:rsidRPr="002C4752">
        <w:rPr>
          <w:rFonts w:eastAsia="SimSun"/>
          <w:color w:val="212121"/>
          <w:shd w:val="clear" w:color="auto" w:fill="FFFFFF"/>
          <w:lang w:eastAsia="zh-CN"/>
        </w:rPr>
        <w:lastRenderedPageBreak/>
        <w:t>审议上述观点和信息</w:t>
      </w:r>
      <w:r>
        <w:rPr>
          <w:rFonts w:eastAsia="SimSun" w:hint="eastAsia"/>
          <w:color w:val="212121"/>
          <w:shd w:val="clear" w:color="auto" w:fill="FFFFFF"/>
          <w:lang w:eastAsia="zh-CN"/>
        </w:rPr>
        <w:t>的</w:t>
      </w:r>
      <w:r w:rsidRPr="002C4752">
        <w:rPr>
          <w:rFonts w:eastAsia="SimSun"/>
          <w:color w:val="212121"/>
          <w:shd w:val="clear" w:color="auto" w:fill="FFFFFF"/>
          <w:lang w:eastAsia="zh-CN"/>
        </w:rPr>
        <w:t>汇编和综合以及</w:t>
      </w:r>
      <w:r>
        <w:rPr>
          <w:rFonts w:eastAsia="SimSun"/>
          <w:color w:val="212121"/>
          <w:shd w:val="clear" w:color="auto" w:fill="FFFFFF"/>
          <w:lang w:eastAsia="zh-CN"/>
        </w:rPr>
        <w:t>同行审议</w:t>
      </w:r>
      <w:r w:rsidRPr="002C4752">
        <w:rPr>
          <w:rFonts w:eastAsia="SimSun"/>
          <w:color w:val="212121"/>
          <w:shd w:val="clear" w:color="auto" w:fill="FFFFFF"/>
          <w:lang w:eastAsia="zh-CN"/>
        </w:rPr>
        <w:t>研究；</w:t>
      </w:r>
    </w:p>
    <w:p w:rsidR="00B01154" w:rsidRPr="002C4752" w:rsidRDefault="00B01154" w:rsidP="001A42F8">
      <w:pPr>
        <w:pStyle w:val="ListParagraph"/>
        <w:numPr>
          <w:ilvl w:val="0"/>
          <w:numId w:val="223"/>
        </w:numPr>
        <w:suppressLineNumbers/>
        <w:suppressAutoHyphens/>
        <w:kinsoku w:val="0"/>
        <w:overflowPunct w:val="0"/>
        <w:autoSpaceDE w:val="0"/>
        <w:autoSpaceDN w:val="0"/>
        <w:adjustRightInd w:val="0"/>
        <w:snapToGrid w:val="0"/>
        <w:ind w:left="2160" w:hanging="720"/>
        <w:rPr>
          <w:rFonts w:eastAsia="SimSun"/>
          <w:color w:val="212121"/>
          <w:shd w:val="clear" w:color="auto" w:fill="FFFFFF"/>
          <w:lang w:eastAsia="zh-CN"/>
        </w:rPr>
      </w:pPr>
      <w:r w:rsidRPr="002C4752">
        <w:rPr>
          <w:rFonts w:eastAsia="SimSun"/>
          <w:color w:val="212121"/>
          <w:shd w:val="clear" w:color="auto" w:fill="FFFFFF"/>
          <w:lang w:eastAsia="zh-CN"/>
        </w:rPr>
        <w:t>制定业务术语</w:t>
      </w:r>
      <w:r>
        <w:rPr>
          <w:rFonts w:eastAsia="SimSun" w:hint="eastAsia"/>
          <w:color w:val="212121"/>
          <w:shd w:val="clear" w:color="auto" w:fill="FFFFFF"/>
          <w:lang w:eastAsia="zh-CN"/>
        </w:rPr>
        <w:t>及其含义的备选方案</w:t>
      </w:r>
      <w:r w:rsidRPr="002C4752">
        <w:rPr>
          <w:rFonts w:eastAsia="SimSun"/>
          <w:color w:val="212121"/>
          <w:shd w:val="clear" w:color="auto" w:fill="FFFFFF"/>
          <w:lang w:eastAsia="zh-CN"/>
        </w:rPr>
        <w:t>，</w:t>
      </w:r>
      <w:r>
        <w:rPr>
          <w:rFonts w:eastAsia="SimSun" w:hint="eastAsia"/>
          <w:color w:val="212121"/>
          <w:shd w:val="clear" w:color="auto" w:fill="FFFFFF"/>
          <w:lang w:eastAsia="zh-CN"/>
        </w:rPr>
        <w:t>以便从</w:t>
      </w:r>
      <w:r>
        <w:rPr>
          <w:rFonts w:eastAsia="SimSun"/>
          <w:color w:val="212121"/>
          <w:shd w:val="clear" w:color="auto" w:fill="FFFFFF"/>
          <w:lang w:eastAsia="zh-CN"/>
        </w:rPr>
        <w:t>概念上说明</w:t>
      </w:r>
      <w:r w:rsidRPr="002C4752">
        <w:rPr>
          <w:rFonts w:eastAsia="SimSun"/>
          <w:color w:val="212121"/>
          <w:shd w:val="clear" w:color="auto" w:fill="FFFFFF"/>
          <w:lang w:eastAsia="zh-CN"/>
        </w:rPr>
        <w:t>供</w:t>
      </w:r>
      <w:r>
        <w:rPr>
          <w:rFonts w:eastAsia="SimSun" w:hint="eastAsia"/>
          <w:color w:val="212121"/>
          <w:shd w:val="clear" w:color="auto" w:fill="FFFFFF"/>
          <w:lang w:eastAsia="zh-CN"/>
        </w:rPr>
        <w:t>遗传资源数字序列信息</w:t>
      </w:r>
      <w:r w:rsidRPr="002C4752">
        <w:rPr>
          <w:rFonts w:eastAsia="SimSun"/>
          <w:color w:val="212121"/>
          <w:shd w:val="clear" w:color="auto" w:fill="FFFFFF"/>
          <w:lang w:eastAsia="zh-CN"/>
        </w:rPr>
        <w:t>，特别是考虑到</w:t>
      </w:r>
      <w:r>
        <w:rPr>
          <w:rFonts w:eastAsia="SimSun" w:hint="eastAsia"/>
          <w:color w:val="212121"/>
          <w:shd w:val="clear" w:color="auto" w:fill="FFFFFF"/>
          <w:lang w:eastAsia="zh-CN"/>
        </w:rPr>
        <w:t>上文</w:t>
      </w:r>
      <w:r w:rsidRPr="002C4752">
        <w:rPr>
          <w:rFonts w:eastAsia="SimSun"/>
          <w:color w:val="212121"/>
          <w:shd w:val="clear" w:color="auto" w:fill="FFFFFF"/>
          <w:lang w:eastAsia="zh-CN"/>
        </w:rPr>
        <w:t>第</w:t>
      </w:r>
      <w:r w:rsidRPr="002C4752">
        <w:rPr>
          <w:rFonts w:eastAsia="SimSun"/>
          <w:color w:val="212121"/>
          <w:shd w:val="clear" w:color="auto" w:fill="FFFFFF"/>
          <w:lang w:eastAsia="zh-CN"/>
        </w:rPr>
        <w:t>11</w:t>
      </w:r>
      <w:r>
        <w:rPr>
          <w:rFonts w:eastAsia="SimSun"/>
          <w:color w:val="212121"/>
          <w:shd w:val="clear" w:color="auto" w:fill="FFFFFF"/>
          <w:lang w:eastAsia="zh-CN"/>
        </w:rPr>
        <w:t>(</w:t>
      </w:r>
      <w:r w:rsidRPr="002C4752">
        <w:rPr>
          <w:rFonts w:eastAsia="SimSun"/>
          <w:color w:val="212121"/>
          <w:shd w:val="clear" w:color="auto" w:fill="FFFFFF"/>
          <w:lang w:eastAsia="zh-CN"/>
        </w:rPr>
        <w:t>b</w:t>
      </w:r>
      <w:r>
        <w:rPr>
          <w:rFonts w:eastAsia="SimSun"/>
          <w:color w:val="212121"/>
          <w:shd w:val="clear" w:color="auto" w:fill="FFFFFF"/>
          <w:lang w:eastAsia="zh-CN"/>
        </w:rPr>
        <w:t>)</w:t>
      </w:r>
      <w:r w:rsidRPr="002C4752">
        <w:rPr>
          <w:rFonts w:eastAsia="SimSun"/>
          <w:color w:val="212121"/>
          <w:shd w:val="clear" w:color="auto" w:fill="FFFFFF"/>
          <w:lang w:eastAsia="zh-CN"/>
        </w:rPr>
        <w:t>段所述研究；</w:t>
      </w:r>
    </w:p>
    <w:p w:rsidR="00B01154" w:rsidRPr="002C4752" w:rsidRDefault="00B01154" w:rsidP="001A42F8">
      <w:pPr>
        <w:pStyle w:val="ListParagraph"/>
        <w:numPr>
          <w:ilvl w:val="0"/>
          <w:numId w:val="223"/>
        </w:numPr>
        <w:suppressLineNumbers/>
        <w:suppressAutoHyphens/>
        <w:kinsoku w:val="0"/>
        <w:overflowPunct w:val="0"/>
        <w:autoSpaceDE w:val="0"/>
        <w:autoSpaceDN w:val="0"/>
        <w:adjustRightInd w:val="0"/>
        <w:snapToGrid w:val="0"/>
        <w:ind w:left="2160" w:hanging="720"/>
        <w:rPr>
          <w:rFonts w:eastAsia="SimSun"/>
          <w:color w:val="212121"/>
          <w:shd w:val="clear" w:color="auto" w:fill="FFFFFF"/>
          <w:lang w:eastAsia="zh-CN"/>
        </w:rPr>
      </w:pPr>
      <w:r w:rsidRPr="002C4752">
        <w:rPr>
          <w:rFonts w:eastAsia="SimSun"/>
          <w:color w:val="212121"/>
          <w:shd w:val="clear" w:color="auto" w:fill="FFFFFF"/>
          <w:lang w:eastAsia="zh-CN"/>
        </w:rPr>
        <w:t>确定能力建设的关键领域；</w:t>
      </w:r>
    </w:p>
    <w:p w:rsidR="00B01154" w:rsidRPr="002C4752" w:rsidRDefault="00B01154" w:rsidP="001A42F8">
      <w:pPr>
        <w:pStyle w:val="ListParagraph"/>
        <w:numPr>
          <w:ilvl w:val="0"/>
          <w:numId w:val="223"/>
        </w:numPr>
        <w:suppressLineNumbers/>
        <w:suppressAutoHyphens/>
        <w:kinsoku w:val="0"/>
        <w:overflowPunct w:val="0"/>
        <w:autoSpaceDE w:val="0"/>
        <w:autoSpaceDN w:val="0"/>
        <w:adjustRightInd w:val="0"/>
        <w:snapToGrid w:val="0"/>
        <w:ind w:left="2160" w:hanging="720"/>
        <w:rPr>
          <w:rFonts w:eastAsia="SimSun"/>
          <w:kern w:val="22"/>
          <w:lang w:eastAsia="zh-CN"/>
        </w:rPr>
      </w:pPr>
      <w:r>
        <w:rPr>
          <w:rFonts w:eastAsia="SimSun" w:hint="eastAsia"/>
          <w:kern w:val="22"/>
          <w:lang w:eastAsia="zh-CN"/>
        </w:rPr>
        <w:t>将</w:t>
      </w:r>
      <w:r>
        <w:rPr>
          <w:rFonts w:eastAsia="SimSun"/>
          <w:kern w:val="22"/>
          <w:lang w:eastAsia="zh-CN"/>
        </w:rPr>
        <w:t>结果</w:t>
      </w:r>
      <w:r w:rsidRPr="001B745B">
        <w:rPr>
          <w:rFonts w:eastAsia="SimSun" w:hint="eastAsia"/>
          <w:kern w:val="22"/>
          <w:lang w:eastAsia="zh-CN"/>
        </w:rPr>
        <w:t>提交缔约方</w:t>
      </w:r>
      <w:r>
        <w:rPr>
          <w:rFonts w:eastAsia="SimSun" w:hint="eastAsia"/>
          <w:kern w:val="22"/>
          <w:lang w:eastAsia="zh-CN"/>
        </w:rPr>
        <w:t>大会</w:t>
      </w:r>
      <w:r w:rsidRPr="001B745B">
        <w:rPr>
          <w:rFonts w:eastAsia="SimSun" w:hint="eastAsia"/>
          <w:kern w:val="22"/>
          <w:lang w:eastAsia="zh-CN"/>
        </w:rPr>
        <w:t>第十五</w:t>
      </w:r>
      <w:r>
        <w:rPr>
          <w:rFonts w:eastAsia="SimSun" w:hint="eastAsia"/>
          <w:kern w:val="22"/>
          <w:lang w:eastAsia="zh-CN"/>
        </w:rPr>
        <w:t>届</w:t>
      </w:r>
      <w:r w:rsidRPr="001B745B">
        <w:rPr>
          <w:rFonts w:eastAsia="SimSun" w:hint="eastAsia"/>
          <w:kern w:val="22"/>
          <w:lang w:eastAsia="zh-CN"/>
        </w:rPr>
        <w:t>会议之前</w:t>
      </w:r>
      <w:r>
        <w:rPr>
          <w:rFonts w:eastAsia="SimSun" w:hint="eastAsia"/>
          <w:kern w:val="22"/>
          <w:lang w:eastAsia="zh-CN"/>
        </w:rPr>
        <w:t>根据</w:t>
      </w:r>
      <w:r>
        <w:rPr>
          <w:rFonts w:eastAsia="SimSun"/>
          <w:kern w:val="22"/>
          <w:lang w:eastAsia="zh-CN"/>
        </w:rPr>
        <w:t>第</w:t>
      </w:r>
      <w:r w:rsidRPr="00505285">
        <w:rPr>
          <w:kern w:val="22"/>
          <w:lang w:eastAsia="zh-CN"/>
        </w:rPr>
        <w:t>14/34</w:t>
      </w:r>
      <w:r>
        <w:rPr>
          <w:rFonts w:eastAsia="SimSun"/>
          <w:kern w:val="22"/>
          <w:lang w:eastAsia="zh-CN"/>
        </w:rPr>
        <w:t>号决定</w:t>
      </w:r>
      <w:r w:rsidRPr="001B745B">
        <w:rPr>
          <w:rFonts w:eastAsia="SimSun" w:hint="eastAsia"/>
          <w:kern w:val="22"/>
          <w:lang w:eastAsia="zh-CN"/>
        </w:rPr>
        <w:t>举行的</w:t>
      </w:r>
      <w:r>
        <w:rPr>
          <w:rFonts w:eastAsia="SimSun" w:hint="eastAsia"/>
          <w:kern w:val="22"/>
          <w:lang w:eastAsia="zh-CN"/>
        </w:rPr>
        <w:t>不限成员名额</w:t>
      </w:r>
      <w:r>
        <w:rPr>
          <w:rFonts w:eastAsia="SimSun"/>
          <w:kern w:val="22"/>
          <w:lang w:eastAsia="zh-CN"/>
        </w:rPr>
        <w:t>工作组的</w:t>
      </w:r>
      <w:r w:rsidRPr="001B745B">
        <w:rPr>
          <w:rFonts w:eastAsia="SimSun" w:hint="eastAsia"/>
          <w:kern w:val="22"/>
          <w:lang w:eastAsia="zh-CN"/>
        </w:rPr>
        <w:t>会议审议</w:t>
      </w:r>
      <w:r>
        <w:rPr>
          <w:rFonts w:ascii="KaiTi" w:eastAsia="KaiTi" w:hAnsi="KaiTi" w:hint="eastAsia"/>
          <w:color w:val="212121"/>
          <w:shd w:val="clear" w:color="auto" w:fill="FFFFFF"/>
          <w:lang w:eastAsia="zh-CN"/>
        </w:rPr>
        <w:t>。</w:t>
      </w:r>
    </w:p>
    <w:p w:rsidR="00B01154" w:rsidRPr="00927BD1" w:rsidRDefault="00B01154" w:rsidP="001A42F8">
      <w:pPr>
        <w:pStyle w:val="ListParagraph"/>
        <w:numPr>
          <w:ilvl w:val="0"/>
          <w:numId w:val="222"/>
        </w:numPr>
        <w:tabs>
          <w:tab w:val="left" w:pos="1440"/>
        </w:tabs>
        <w:ind w:left="0" w:firstLine="720"/>
        <w:rPr>
          <w:rFonts w:eastAsia="SimSun"/>
          <w:color w:val="212121"/>
          <w:shd w:val="clear" w:color="auto" w:fill="FFFFFF"/>
          <w:lang w:eastAsia="zh-CN"/>
        </w:rPr>
      </w:pPr>
      <w:r w:rsidRPr="00647A90">
        <w:rPr>
          <w:rFonts w:ascii="KaiTi" w:eastAsia="KaiTi" w:hAnsi="KaiTi"/>
          <w:color w:val="212121"/>
          <w:shd w:val="clear" w:color="auto" w:fill="FFFFFF"/>
          <w:lang w:eastAsia="zh-CN"/>
        </w:rPr>
        <w:t>请</w:t>
      </w:r>
      <w:r w:rsidRPr="00647A90">
        <w:rPr>
          <w:rFonts w:eastAsia="SimSun"/>
          <w:color w:val="212121"/>
          <w:shd w:val="clear" w:color="auto" w:fill="FFFFFF"/>
          <w:lang w:eastAsia="zh-CN"/>
        </w:rPr>
        <w:t>根据缔约方会议第</w:t>
      </w:r>
      <w:r>
        <w:rPr>
          <w:rFonts w:eastAsia="SimSun" w:hint="eastAsia"/>
          <w:color w:val="212121"/>
          <w:shd w:val="clear" w:color="auto" w:fill="FFFFFF"/>
          <w:lang w:eastAsia="zh-CN"/>
        </w:rPr>
        <w:t>14/</w:t>
      </w:r>
      <w:r>
        <w:rPr>
          <w:rFonts w:eastAsia="SimSun"/>
          <w:color w:val="212121"/>
          <w:shd w:val="clear" w:color="auto" w:fill="FFFFFF"/>
          <w:lang w:eastAsia="zh-CN"/>
        </w:rPr>
        <w:t>34</w:t>
      </w:r>
      <w:r w:rsidRPr="00647A90">
        <w:rPr>
          <w:rFonts w:eastAsia="SimSun"/>
          <w:color w:val="212121"/>
          <w:shd w:val="clear" w:color="auto" w:fill="FFFFFF"/>
          <w:lang w:eastAsia="zh-CN"/>
        </w:rPr>
        <w:t>号决定</w:t>
      </w:r>
      <w:r w:rsidRPr="00314EE8">
        <w:rPr>
          <w:rStyle w:val="FootnoteReference"/>
          <w:sz w:val="24"/>
          <w:u w:val="none"/>
          <w:vertAlign w:val="superscript"/>
        </w:rPr>
        <w:footnoteReference w:id="265"/>
      </w:r>
      <w:r w:rsidRPr="00314EE8">
        <w:rPr>
          <w:rFonts w:eastAsiaTheme="minorEastAsia" w:hint="eastAsia"/>
          <w:color w:val="212121"/>
          <w:sz w:val="40"/>
          <w:shd w:val="clear" w:color="auto" w:fill="FFFFFF"/>
          <w:vertAlign w:val="superscript"/>
          <w:lang w:eastAsia="zh-CN"/>
        </w:rPr>
        <w:t xml:space="preserve"> </w:t>
      </w:r>
      <w:r w:rsidRPr="00647A90">
        <w:rPr>
          <w:rFonts w:eastAsia="SimSun"/>
          <w:color w:val="212121"/>
          <w:shd w:val="clear" w:color="auto" w:fill="FFFFFF"/>
          <w:lang w:eastAsia="zh-CN"/>
        </w:rPr>
        <w:t>规定</w:t>
      </w:r>
      <w:r>
        <w:rPr>
          <w:rFonts w:eastAsia="SimSun" w:hint="eastAsia"/>
          <w:color w:val="212121"/>
          <w:shd w:val="clear" w:color="auto" w:fill="FFFFFF"/>
          <w:lang w:eastAsia="zh-CN"/>
        </w:rPr>
        <w:t>所设</w:t>
      </w:r>
      <w:r w:rsidRPr="00647A90">
        <w:rPr>
          <w:rFonts w:eastAsia="SimSun"/>
          <w:color w:val="212121"/>
          <w:shd w:val="clear" w:color="auto" w:fill="FFFFFF"/>
          <w:lang w:eastAsia="zh-CN"/>
        </w:rPr>
        <w:t>不限成员名额工作组审议扩大的特设技术专家组的成果，并就如何在</w:t>
      </w:r>
      <w:r w:rsidRPr="00647A90">
        <w:rPr>
          <w:rFonts w:eastAsia="SimSun"/>
          <w:color w:val="212121"/>
          <w:shd w:val="clear" w:color="auto" w:fill="FFFFFF"/>
          <w:lang w:eastAsia="zh-CN"/>
        </w:rPr>
        <w:t>2020</w:t>
      </w:r>
      <w:r w:rsidRPr="00647A90">
        <w:rPr>
          <w:rFonts w:eastAsia="SimSun"/>
          <w:color w:val="212121"/>
          <w:shd w:val="clear" w:color="auto" w:fill="FFFFFF"/>
          <w:lang w:eastAsia="zh-CN"/>
        </w:rPr>
        <w:t>年后全球生物多样性框架内处理遗传资源的数字序列信息向缔约方大会第十五</w:t>
      </w:r>
      <w:r w:rsidRPr="00647A90">
        <w:rPr>
          <w:rFonts w:eastAsia="SimSun" w:hint="eastAsia"/>
          <w:color w:val="212121"/>
          <w:shd w:val="clear" w:color="auto" w:fill="FFFFFF"/>
          <w:lang w:eastAsia="zh-CN"/>
        </w:rPr>
        <w:t>届会议</w:t>
      </w:r>
      <w:r>
        <w:rPr>
          <w:rFonts w:eastAsia="SimSun"/>
          <w:color w:val="212121"/>
          <w:shd w:val="clear" w:color="auto" w:fill="FFFFFF"/>
          <w:lang w:eastAsia="zh-CN"/>
        </w:rPr>
        <w:t>提出建议</w:t>
      </w:r>
      <w:r>
        <w:rPr>
          <w:rFonts w:eastAsia="SimSun" w:hint="eastAsia"/>
          <w:color w:val="212121"/>
          <w:shd w:val="clear" w:color="auto" w:fill="FFFFFF"/>
          <w:lang w:eastAsia="zh-CN"/>
        </w:rPr>
        <w:t>；</w:t>
      </w:r>
    </w:p>
    <w:p w:rsidR="00B01154" w:rsidRPr="00647A90" w:rsidRDefault="00B01154" w:rsidP="001A42F8">
      <w:pPr>
        <w:pStyle w:val="ListParagraph"/>
        <w:numPr>
          <w:ilvl w:val="0"/>
          <w:numId w:val="222"/>
        </w:numPr>
        <w:tabs>
          <w:tab w:val="left" w:pos="1440"/>
        </w:tabs>
        <w:ind w:left="0" w:firstLine="720"/>
        <w:rPr>
          <w:rFonts w:eastAsia="SimSun"/>
          <w:color w:val="212121"/>
          <w:shd w:val="clear" w:color="auto" w:fill="FFFFFF"/>
          <w:lang w:eastAsia="zh-CN"/>
        </w:rPr>
      </w:pPr>
      <w:r w:rsidRPr="00647A90">
        <w:rPr>
          <w:rFonts w:ascii="KaiTi" w:eastAsia="KaiTi" w:hAnsi="KaiTi"/>
          <w:color w:val="212121"/>
          <w:shd w:val="clear" w:color="auto" w:fill="FFFFFF"/>
          <w:lang w:eastAsia="zh-CN"/>
        </w:rPr>
        <w:t>请</w:t>
      </w:r>
      <w:r w:rsidRPr="00927BD1">
        <w:rPr>
          <w:rFonts w:eastAsia="SimSun" w:hint="eastAsia"/>
          <w:color w:val="212121"/>
          <w:shd w:val="clear" w:color="auto" w:fill="FFFFFF"/>
          <w:lang w:eastAsia="zh-CN"/>
        </w:rPr>
        <w:t>执行秘书与其他政府间组织合作，向</w:t>
      </w:r>
      <w:r>
        <w:rPr>
          <w:rFonts w:eastAsia="SimSun" w:hint="eastAsia"/>
          <w:color w:val="212121"/>
          <w:shd w:val="clear" w:color="auto" w:fill="FFFFFF"/>
          <w:lang w:eastAsia="zh-CN"/>
        </w:rPr>
        <w:t>其</w:t>
      </w:r>
      <w:r w:rsidRPr="00927BD1">
        <w:rPr>
          <w:rFonts w:eastAsia="SimSun" w:hint="eastAsia"/>
          <w:color w:val="212121"/>
          <w:shd w:val="clear" w:color="auto" w:fill="FFFFFF"/>
          <w:lang w:eastAsia="zh-CN"/>
        </w:rPr>
        <w:t>通报上</w:t>
      </w:r>
      <w:r>
        <w:rPr>
          <w:rFonts w:eastAsia="SimSun" w:hint="eastAsia"/>
          <w:color w:val="212121"/>
          <w:shd w:val="clear" w:color="auto" w:fill="FFFFFF"/>
          <w:lang w:eastAsia="zh-CN"/>
        </w:rPr>
        <w:t>文界定的进</w:t>
      </w:r>
      <w:r w:rsidRPr="00927BD1">
        <w:rPr>
          <w:rFonts w:eastAsia="SimSun" w:hint="eastAsia"/>
          <w:color w:val="212121"/>
          <w:shd w:val="clear" w:color="auto" w:fill="FFFFFF"/>
          <w:lang w:eastAsia="zh-CN"/>
        </w:rPr>
        <w:t>程，</w:t>
      </w:r>
      <w:r>
        <w:rPr>
          <w:rFonts w:eastAsia="SimSun" w:hint="eastAsia"/>
          <w:color w:val="212121"/>
          <w:shd w:val="clear" w:color="auto" w:fill="FFFFFF"/>
          <w:lang w:eastAsia="zh-CN"/>
        </w:rPr>
        <w:t>同时顾及</w:t>
      </w:r>
      <w:r w:rsidRPr="00927BD1">
        <w:rPr>
          <w:rFonts w:eastAsia="SimSun" w:hint="eastAsia"/>
          <w:color w:val="212121"/>
          <w:shd w:val="clear" w:color="auto" w:fill="FFFFFF"/>
          <w:lang w:eastAsia="zh-CN"/>
        </w:rPr>
        <w:t>这些组织在</w:t>
      </w:r>
      <w:r>
        <w:rPr>
          <w:rFonts w:ascii="SimSun" w:eastAsia="SimSun" w:hAnsi="SimSun" w:hint="eastAsia"/>
          <w:color w:val="212121"/>
          <w:shd w:val="clear" w:color="auto" w:fill="FFFFFF"/>
          <w:lang w:eastAsia="zh-CN"/>
        </w:rPr>
        <w:t>有关领域</w:t>
      </w:r>
      <w:r>
        <w:rPr>
          <w:rFonts w:eastAsia="SimSun" w:hint="eastAsia"/>
          <w:color w:val="212121"/>
          <w:shd w:val="clear" w:color="auto" w:fill="FFFFFF"/>
          <w:lang w:eastAsia="zh-CN"/>
        </w:rPr>
        <w:t>产生</w:t>
      </w:r>
      <w:r w:rsidRPr="00927BD1">
        <w:rPr>
          <w:rFonts w:eastAsia="SimSun" w:hint="eastAsia"/>
          <w:color w:val="212121"/>
          <w:shd w:val="clear" w:color="auto" w:fill="FFFFFF"/>
          <w:lang w:eastAsia="zh-CN"/>
        </w:rPr>
        <w:t>的工作</w:t>
      </w:r>
      <w:r>
        <w:rPr>
          <w:rFonts w:asciiTheme="minorEastAsia" w:eastAsiaTheme="minorEastAsia" w:hAnsiTheme="minorEastAsia" w:hint="eastAsia"/>
          <w:color w:val="212121"/>
          <w:shd w:val="clear" w:color="auto" w:fill="FFFFFF"/>
          <w:lang w:eastAsia="zh-CN"/>
        </w:rPr>
        <w:t>、</w:t>
      </w:r>
      <w:r w:rsidRPr="00927BD1">
        <w:rPr>
          <w:rFonts w:ascii="SimSun" w:eastAsia="SimSun" w:hAnsi="SimSun" w:hint="eastAsia"/>
          <w:color w:val="212121"/>
          <w:shd w:val="clear" w:color="auto" w:fill="FFFFFF"/>
          <w:lang w:eastAsia="zh-CN"/>
        </w:rPr>
        <w:t>办</w:t>
      </w:r>
      <w:r w:rsidRPr="00927BD1">
        <w:rPr>
          <w:rFonts w:eastAsia="SimSun" w:hint="eastAsia"/>
          <w:color w:val="212121"/>
          <w:shd w:val="clear" w:color="auto" w:fill="FFFFFF"/>
          <w:lang w:eastAsia="zh-CN"/>
        </w:rPr>
        <w:t>法和</w:t>
      </w:r>
      <w:r w:rsidRPr="00927BD1">
        <w:rPr>
          <w:rFonts w:ascii="SimSun" w:eastAsia="SimSun" w:hAnsi="SimSun" w:hint="eastAsia"/>
          <w:color w:val="212121"/>
          <w:shd w:val="clear" w:color="auto" w:fill="FFFFFF"/>
          <w:lang w:eastAsia="zh-CN"/>
        </w:rPr>
        <w:t>成</w:t>
      </w:r>
      <w:r w:rsidRPr="00927BD1">
        <w:rPr>
          <w:rFonts w:eastAsia="SimSun" w:hint="eastAsia"/>
          <w:color w:val="212121"/>
          <w:shd w:val="clear" w:color="auto" w:fill="FFFFFF"/>
          <w:lang w:eastAsia="zh-CN"/>
        </w:rPr>
        <w:t>果。</w:t>
      </w:r>
      <w:r w:rsidRPr="00647A90">
        <w:rPr>
          <w:rFonts w:eastAsia="SimSun" w:hint="eastAsia"/>
          <w:color w:val="212121"/>
          <w:shd w:val="clear" w:color="auto" w:fill="FFFFFF"/>
          <w:lang w:eastAsia="zh-CN"/>
        </w:rPr>
        <w:t xml:space="preserve"> </w:t>
      </w:r>
    </w:p>
    <w:p w:rsidR="00840175" w:rsidRDefault="00840175">
      <w:pPr>
        <w:rPr>
          <w:rFonts w:eastAsiaTheme="minorEastAsia"/>
          <w:b/>
          <w:bCs/>
          <w:noProof/>
          <w:kern w:val="22"/>
          <w:szCs w:val="32"/>
          <w:lang w:eastAsia="zh-CN"/>
        </w:rPr>
      </w:pPr>
      <w:r>
        <w:rPr>
          <w:rFonts w:eastAsiaTheme="minorEastAsia"/>
          <w:noProof/>
          <w:kern w:val="22"/>
          <w:lang w:eastAsia="zh-CN"/>
        </w:rPr>
        <w:br w:type="page"/>
      </w:r>
    </w:p>
    <w:p w:rsidR="00840175" w:rsidRPr="00840175" w:rsidRDefault="00840175" w:rsidP="00840175">
      <w:pPr>
        <w:pStyle w:val="Heading1"/>
        <w:adjustRightInd w:val="0"/>
        <w:spacing w:before="120" w:after="120"/>
        <w:rPr>
          <w:rFonts w:eastAsiaTheme="minorEastAsia" w:cs="Times New Roman"/>
          <w:noProof/>
          <w:kern w:val="22"/>
          <w:sz w:val="24"/>
          <w:lang w:eastAsia="zh-CN"/>
        </w:rPr>
      </w:pPr>
      <w:bookmarkStart w:id="182" w:name="_Toc6243773"/>
      <w:r w:rsidRPr="00840175">
        <w:rPr>
          <w:rFonts w:eastAsiaTheme="minorEastAsia" w:cs="Times New Roman"/>
          <w:noProof/>
          <w:kern w:val="22"/>
          <w:sz w:val="24"/>
          <w:lang w:eastAsia="zh-CN"/>
        </w:rPr>
        <w:lastRenderedPageBreak/>
        <w:t xml:space="preserve">14/21.    </w:t>
      </w:r>
      <w:r w:rsidRPr="00840175">
        <w:rPr>
          <w:rFonts w:eastAsiaTheme="minorEastAsia" w:cs="Times New Roman" w:hint="eastAsia"/>
          <w:noProof/>
          <w:kern w:val="22"/>
          <w:sz w:val="24"/>
          <w:lang w:eastAsia="zh-CN"/>
        </w:rPr>
        <w:t>赔偿责任和补救（第</w:t>
      </w:r>
      <w:r w:rsidRPr="00840175">
        <w:rPr>
          <w:rFonts w:eastAsiaTheme="minorEastAsia" w:cs="Times New Roman"/>
          <w:noProof/>
          <w:kern w:val="22"/>
          <w:sz w:val="24"/>
          <w:lang w:eastAsia="zh-CN"/>
        </w:rPr>
        <w:t>14</w:t>
      </w:r>
      <w:r w:rsidRPr="00840175">
        <w:rPr>
          <w:rFonts w:eastAsiaTheme="minorEastAsia" w:cs="Times New Roman" w:hint="eastAsia"/>
          <w:noProof/>
          <w:kern w:val="22"/>
          <w:sz w:val="24"/>
          <w:lang w:eastAsia="zh-CN"/>
        </w:rPr>
        <w:t>条第</w:t>
      </w:r>
      <w:r w:rsidRPr="00840175">
        <w:rPr>
          <w:rFonts w:eastAsiaTheme="minorEastAsia" w:cs="Times New Roman"/>
          <w:noProof/>
          <w:kern w:val="22"/>
          <w:sz w:val="24"/>
          <w:lang w:eastAsia="zh-CN"/>
        </w:rPr>
        <w:t>2</w:t>
      </w:r>
      <w:r w:rsidRPr="00840175">
        <w:rPr>
          <w:rFonts w:eastAsiaTheme="minorEastAsia" w:cs="Times New Roman" w:hint="eastAsia"/>
          <w:noProof/>
          <w:kern w:val="22"/>
          <w:sz w:val="24"/>
          <w:lang w:eastAsia="zh-CN"/>
        </w:rPr>
        <w:t>款）</w:t>
      </w:r>
      <w:bookmarkEnd w:id="182"/>
      <w:r w:rsidRPr="00840175">
        <w:rPr>
          <w:rFonts w:eastAsiaTheme="minorEastAsia" w:cs="Times New Roman" w:hint="eastAsia"/>
          <w:noProof/>
          <w:kern w:val="22"/>
          <w:sz w:val="24"/>
          <w:lang w:eastAsia="zh-CN"/>
        </w:rPr>
        <w:t xml:space="preserve"> </w:t>
      </w:r>
    </w:p>
    <w:p w:rsidR="00840175" w:rsidRDefault="00840175" w:rsidP="00840175">
      <w:pPr>
        <w:pStyle w:val="Para1"/>
        <w:tabs>
          <w:tab w:val="clear" w:pos="360"/>
        </w:tabs>
        <w:spacing w:beforeLines="50" w:line="240" w:lineRule="atLeast"/>
        <w:rPr>
          <w:rFonts w:hAnsi="SimSun"/>
          <w:noProof/>
          <w:kern w:val="22"/>
          <w:sz w:val="24"/>
          <w:szCs w:val="24"/>
          <w:lang w:eastAsia="zh-CN"/>
        </w:rPr>
      </w:pPr>
      <w:r w:rsidRPr="004C4203">
        <w:rPr>
          <w:rFonts w:ascii="KaiTi" w:eastAsia="KaiTi" w:hAnsi="KaiTi" w:hint="eastAsia"/>
          <w:kern w:val="22"/>
          <w:sz w:val="24"/>
          <w:szCs w:val="24"/>
          <w:lang w:val="zh-CN" w:eastAsia="zh-CN"/>
        </w:rPr>
        <w:t>缔约方大会</w:t>
      </w:r>
      <w:r w:rsidRPr="004C4203">
        <w:rPr>
          <w:rFonts w:eastAsia="Times New Roman" w:hAnsi="SimSun"/>
          <w:noProof/>
          <w:kern w:val="22"/>
          <w:sz w:val="24"/>
          <w:szCs w:val="24"/>
          <w:lang w:eastAsia="zh-CN"/>
        </w:rPr>
        <w:t>，</w:t>
      </w:r>
    </w:p>
    <w:p w:rsidR="00840175" w:rsidRPr="00840175" w:rsidRDefault="00840175" w:rsidP="00840175">
      <w:pPr>
        <w:pStyle w:val="Para1"/>
        <w:tabs>
          <w:tab w:val="clear" w:pos="360"/>
        </w:tabs>
        <w:spacing w:beforeLines="50" w:line="240" w:lineRule="atLeast"/>
        <w:rPr>
          <w:rFonts w:eastAsiaTheme="minorEastAsia"/>
          <w:kern w:val="22"/>
          <w:sz w:val="24"/>
          <w:szCs w:val="24"/>
          <w:lang w:val="zh-CN" w:eastAsia="zh-CN"/>
        </w:rPr>
      </w:pPr>
      <w:r w:rsidRPr="00BE65B4">
        <w:rPr>
          <w:rFonts w:ascii="KaiTi" w:eastAsia="KaiTi" w:hAnsi="KaiTi"/>
          <w:kern w:val="22"/>
          <w:sz w:val="24"/>
          <w:szCs w:val="24"/>
          <w:lang w:val="zh-CN" w:eastAsia="zh-CN"/>
        </w:rPr>
        <w:t>回顾</w:t>
      </w:r>
      <w:r w:rsidRPr="00840175">
        <w:rPr>
          <w:rFonts w:eastAsiaTheme="minorEastAsia"/>
          <w:kern w:val="22"/>
          <w:sz w:val="24"/>
          <w:szCs w:val="24"/>
          <w:lang w:val="zh-CN" w:eastAsia="zh-CN"/>
        </w:rPr>
        <w:t>第</w:t>
      </w:r>
      <w:r w:rsidRPr="00840175">
        <w:rPr>
          <w:rFonts w:eastAsiaTheme="minorEastAsia"/>
          <w:kern w:val="22"/>
          <w:sz w:val="24"/>
          <w:szCs w:val="24"/>
          <w:lang w:val="zh-CN" w:eastAsia="zh-CN"/>
        </w:rPr>
        <w:t>XII/14</w:t>
      </w:r>
      <w:r w:rsidRPr="00840175">
        <w:rPr>
          <w:rFonts w:eastAsiaTheme="minorEastAsia"/>
          <w:kern w:val="22"/>
          <w:sz w:val="24"/>
          <w:szCs w:val="24"/>
          <w:lang w:val="zh-CN" w:eastAsia="zh-CN"/>
        </w:rPr>
        <w:t>号决定，</w:t>
      </w:r>
    </w:p>
    <w:p w:rsidR="00840175" w:rsidRPr="00840175" w:rsidRDefault="00840175" w:rsidP="00840175">
      <w:pPr>
        <w:pStyle w:val="Para1"/>
        <w:tabs>
          <w:tab w:val="clear" w:pos="360"/>
        </w:tabs>
        <w:spacing w:beforeLines="50" w:line="240" w:lineRule="atLeast"/>
        <w:rPr>
          <w:rFonts w:eastAsiaTheme="minorEastAsia"/>
          <w:kern w:val="22"/>
          <w:sz w:val="24"/>
          <w:szCs w:val="24"/>
          <w:lang w:val="en-US" w:eastAsia="zh-CN"/>
        </w:rPr>
      </w:pPr>
      <w:r w:rsidRPr="00BE65B4">
        <w:rPr>
          <w:rFonts w:ascii="KaiTi" w:eastAsia="KaiTi" w:hAnsi="KaiTi"/>
          <w:kern w:val="22"/>
          <w:sz w:val="24"/>
          <w:szCs w:val="24"/>
          <w:lang w:val="zh-CN" w:eastAsia="zh-CN"/>
        </w:rPr>
        <w:t>表示注意到</w:t>
      </w:r>
      <w:r w:rsidRPr="00840175">
        <w:rPr>
          <w:rFonts w:eastAsiaTheme="minorEastAsia"/>
          <w:kern w:val="22"/>
          <w:sz w:val="24"/>
          <w:szCs w:val="24"/>
          <w:lang w:val="zh-CN" w:eastAsia="zh-CN"/>
        </w:rPr>
        <w:t>执行秘书提供的关于对总的环境的损害以及特别是对生物多样性的损害的赔偿责任和补救方面最新发展情况</w:t>
      </w:r>
      <w:r w:rsidRPr="00840175">
        <w:rPr>
          <w:rFonts w:eastAsiaTheme="minorEastAsia"/>
          <w:kern w:val="22"/>
          <w:sz w:val="24"/>
          <w:szCs w:val="24"/>
          <w:lang w:val="en-US" w:eastAsia="zh-CN"/>
        </w:rPr>
        <w:t>的信息，</w:t>
      </w:r>
      <w:r w:rsidRPr="00840175">
        <w:rPr>
          <w:rFonts w:eastAsiaTheme="minorEastAsia"/>
          <w:kern w:val="22"/>
          <w:sz w:val="24"/>
          <w:szCs w:val="24"/>
          <w:vertAlign w:val="superscript"/>
          <w:lang w:val="zh-CN"/>
        </w:rPr>
        <w:footnoteReference w:id="266"/>
      </w:r>
    </w:p>
    <w:p w:rsidR="00840175" w:rsidRPr="00840175" w:rsidRDefault="00840175" w:rsidP="001A42F8">
      <w:pPr>
        <w:pStyle w:val="Body"/>
        <w:numPr>
          <w:ilvl w:val="0"/>
          <w:numId w:val="229"/>
        </w:numPr>
        <w:pBdr>
          <w:top w:val="none" w:sz="0" w:space="0" w:color="auto"/>
          <w:left w:val="none" w:sz="0" w:space="0" w:color="auto"/>
          <w:bottom w:val="none" w:sz="0" w:space="0" w:color="auto"/>
          <w:right w:val="none" w:sz="0" w:space="0" w:color="auto"/>
          <w:between w:val="none" w:sz="0" w:space="0" w:color="auto"/>
          <w:bar w:val="none" w:sz="0" w:color="auto"/>
        </w:pBdr>
        <w:ind w:left="0" w:firstLine="720"/>
        <w:rPr>
          <w:rFonts w:eastAsiaTheme="minorEastAsia" w:hAnsi="Times New Roman" w:cs="Times New Roman"/>
          <w:color w:val="212121"/>
          <w:lang w:eastAsia="zh-CN"/>
        </w:rPr>
      </w:pPr>
      <w:r w:rsidRPr="00BE65B4">
        <w:rPr>
          <w:rFonts w:ascii="KaiTi" w:eastAsia="KaiTi" w:hAnsi="KaiTi" w:cs="Times New Roman"/>
          <w:color w:val="auto"/>
          <w:kern w:val="22"/>
          <w:bdr w:val="none" w:sz="0" w:space="0" w:color="auto"/>
          <w:lang w:val="zh-CN" w:eastAsia="zh-CN" w:bidi="ar-SA"/>
        </w:rPr>
        <w:t>欢迎</w:t>
      </w:r>
      <w:r w:rsidRPr="00840175">
        <w:rPr>
          <w:rFonts w:eastAsiaTheme="minorEastAsia" w:hAnsi="Times New Roman" w:cs="Times New Roman"/>
          <w:color w:val="212121"/>
          <w:lang w:eastAsia="zh-CN"/>
        </w:rPr>
        <w:t>《关于赔偿责任和补救的名古屋</w:t>
      </w:r>
      <w:r w:rsidRPr="00840175">
        <w:rPr>
          <w:rFonts w:eastAsiaTheme="minorEastAsia" w:hAnsi="Times New Roman" w:cs="Times New Roman"/>
          <w:color w:val="212121"/>
          <w:lang w:eastAsia="zh-CN"/>
        </w:rPr>
        <w:t>-</w:t>
      </w:r>
      <w:r w:rsidRPr="00840175">
        <w:rPr>
          <w:rFonts w:eastAsiaTheme="minorEastAsia" w:hAnsi="Times New Roman" w:cs="Times New Roman"/>
          <w:color w:val="212121"/>
          <w:lang w:eastAsia="zh-CN"/>
        </w:rPr>
        <w:t>吉隆坡补充议定书》生效；</w:t>
      </w:r>
    </w:p>
    <w:p w:rsidR="00840175" w:rsidRPr="00840175" w:rsidRDefault="00840175" w:rsidP="001A42F8">
      <w:pPr>
        <w:pStyle w:val="Body"/>
        <w:numPr>
          <w:ilvl w:val="0"/>
          <w:numId w:val="229"/>
        </w:numPr>
        <w:pBdr>
          <w:top w:val="none" w:sz="0" w:space="0" w:color="auto"/>
          <w:left w:val="none" w:sz="0" w:space="0" w:color="auto"/>
          <w:bottom w:val="none" w:sz="0" w:space="0" w:color="auto"/>
          <w:right w:val="none" w:sz="0" w:space="0" w:color="auto"/>
          <w:between w:val="none" w:sz="0" w:space="0" w:color="auto"/>
          <w:bar w:val="none" w:sz="0" w:color="auto"/>
        </w:pBdr>
        <w:ind w:left="0" w:firstLine="720"/>
        <w:rPr>
          <w:rFonts w:eastAsiaTheme="minorEastAsia" w:hAnsi="Times New Roman" w:cs="Times New Roman"/>
          <w:snapToGrid w:val="0"/>
          <w:color w:val="auto"/>
          <w:kern w:val="22"/>
          <w:lang w:val="zh-CN" w:eastAsia="zh-CN"/>
        </w:rPr>
      </w:pPr>
      <w:r w:rsidRPr="00BE65B4">
        <w:rPr>
          <w:rFonts w:ascii="KaiTi" w:eastAsia="KaiTi" w:hAnsi="KaiTi" w:cs="Times New Roman"/>
          <w:color w:val="auto"/>
          <w:kern w:val="22"/>
          <w:bdr w:val="none" w:sz="0" w:space="0" w:color="auto"/>
          <w:lang w:val="zh-CN" w:eastAsia="zh-CN" w:bidi="ar-SA"/>
        </w:rPr>
        <w:t>邀请</w:t>
      </w:r>
      <w:r w:rsidRPr="00840175">
        <w:rPr>
          <w:rFonts w:eastAsiaTheme="minorEastAsia" w:hAnsi="Times New Roman" w:cs="Times New Roman"/>
          <w:color w:val="212121"/>
          <w:lang w:eastAsia="zh-CN"/>
        </w:rPr>
        <w:t>各缔约方根据第</w:t>
      </w:r>
      <w:r w:rsidRPr="00840175">
        <w:rPr>
          <w:rFonts w:eastAsiaTheme="minorEastAsia" w:hAnsi="Times New Roman" w:cs="Times New Roman"/>
          <w:color w:val="212121"/>
          <w:lang w:eastAsia="zh-CN"/>
        </w:rPr>
        <w:t>14</w:t>
      </w:r>
      <w:r w:rsidRPr="00840175">
        <w:rPr>
          <w:rFonts w:eastAsiaTheme="minorEastAsia" w:hAnsi="Times New Roman" w:cs="Times New Roman"/>
          <w:color w:val="212121"/>
          <w:lang w:eastAsia="zh-CN"/>
        </w:rPr>
        <w:t>条第</w:t>
      </w:r>
      <w:r w:rsidRPr="00840175">
        <w:rPr>
          <w:rFonts w:eastAsiaTheme="minorEastAsia" w:hAnsi="Times New Roman" w:cs="Times New Roman"/>
          <w:color w:val="212121"/>
          <w:lang w:eastAsia="zh-CN"/>
        </w:rPr>
        <w:t>2</w:t>
      </w:r>
      <w:r w:rsidRPr="00840175">
        <w:rPr>
          <w:rFonts w:eastAsiaTheme="minorEastAsia" w:hAnsi="Times New Roman" w:cs="Times New Roman"/>
          <w:color w:val="212121"/>
          <w:lang w:eastAsia="zh-CN"/>
        </w:rPr>
        <w:t>款的规定，继续处理赔偿责任和补救问题，包括酌情通过国家政策、法律、</w:t>
      </w:r>
      <w:r w:rsidRPr="00840175">
        <w:rPr>
          <w:rFonts w:eastAsiaTheme="minorEastAsia" w:hAnsi="Times New Roman" w:cs="Times New Roman"/>
          <w:snapToGrid w:val="0"/>
          <w:color w:val="auto"/>
          <w:kern w:val="22"/>
          <w:lang w:val="zh-CN" w:eastAsia="zh-CN"/>
        </w:rPr>
        <w:t>国家生物多样性战略和行动计划恢复和赔偿对生物多样性造成的损害；</w:t>
      </w:r>
    </w:p>
    <w:p w:rsidR="00840175" w:rsidRPr="00840175" w:rsidRDefault="00840175" w:rsidP="001A42F8">
      <w:pPr>
        <w:pStyle w:val="Body"/>
        <w:numPr>
          <w:ilvl w:val="0"/>
          <w:numId w:val="229"/>
        </w:numPr>
        <w:pBdr>
          <w:top w:val="none" w:sz="0" w:space="0" w:color="auto"/>
          <w:left w:val="none" w:sz="0" w:space="0" w:color="auto"/>
          <w:bottom w:val="none" w:sz="0" w:space="0" w:color="auto"/>
          <w:right w:val="none" w:sz="0" w:space="0" w:color="auto"/>
          <w:between w:val="none" w:sz="0" w:space="0" w:color="auto"/>
          <w:bar w:val="none" w:sz="0" w:color="auto"/>
        </w:pBdr>
        <w:ind w:left="0" w:firstLine="720"/>
        <w:rPr>
          <w:rFonts w:eastAsiaTheme="minorEastAsia" w:hAnsi="Times New Roman" w:cs="Times New Roman"/>
          <w:color w:val="212121"/>
          <w:lang w:eastAsia="zh-CN"/>
        </w:rPr>
      </w:pPr>
      <w:r w:rsidRPr="00BE65B4">
        <w:rPr>
          <w:rFonts w:ascii="KaiTi" w:eastAsia="KaiTi" w:hAnsi="KaiTi" w:cs="Times New Roman"/>
          <w:color w:val="auto"/>
          <w:kern w:val="22"/>
          <w:bdr w:val="none" w:sz="0" w:space="0" w:color="auto"/>
          <w:lang w:val="zh-CN" w:eastAsia="zh-CN" w:bidi="ar-SA"/>
        </w:rPr>
        <w:t>邀请</w:t>
      </w:r>
      <w:r w:rsidRPr="00840175">
        <w:rPr>
          <w:rFonts w:eastAsiaTheme="minorEastAsia" w:hAnsi="Times New Roman" w:cs="Times New Roman"/>
          <w:snapToGrid w:val="0"/>
          <w:color w:val="auto"/>
          <w:kern w:val="22"/>
          <w:lang w:val="zh-CN" w:eastAsia="zh-CN"/>
        </w:rPr>
        <w:t>各缔约方和其他国家政府向执行秘书提交关于其在执行公约缔约方大会有关第</w:t>
      </w:r>
      <w:r w:rsidRPr="00840175">
        <w:rPr>
          <w:rFonts w:eastAsiaTheme="minorEastAsia" w:hAnsi="Times New Roman" w:cs="Times New Roman"/>
          <w:snapToGrid w:val="0"/>
          <w:color w:val="auto"/>
          <w:kern w:val="22"/>
          <w:lang w:val="zh-CN" w:eastAsia="zh-CN"/>
        </w:rPr>
        <w:t>14</w:t>
      </w:r>
      <w:r w:rsidRPr="00840175">
        <w:rPr>
          <w:rFonts w:eastAsiaTheme="minorEastAsia" w:hAnsi="Times New Roman" w:cs="Times New Roman"/>
          <w:snapToGrid w:val="0"/>
          <w:color w:val="auto"/>
          <w:kern w:val="22"/>
          <w:lang w:val="zh-CN" w:eastAsia="zh-CN"/>
        </w:rPr>
        <w:t>条第</w:t>
      </w:r>
      <w:r w:rsidRPr="00840175">
        <w:rPr>
          <w:rFonts w:eastAsiaTheme="minorEastAsia" w:hAnsi="Times New Roman" w:cs="Times New Roman"/>
          <w:snapToGrid w:val="0"/>
          <w:color w:val="auto"/>
          <w:kern w:val="22"/>
          <w:lang w:val="zh-CN" w:eastAsia="zh-CN"/>
        </w:rPr>
        <w:t>2</w:t>
      </w:r>
      <w:r w:rsidRPr="00840175">
        <w:rPr>
          <w:rFonts w:eastAsiaTheme="minorEastAsia" w:hAnsi="Times New Roman" w:cs="Times New Roman"/>
          <w:snapToGrid w:val="0"/>
          <w:color w:val="auto"/>
          <w:kern w:val="22"/>
          <w:lang w:val="zh-CN" w:eastAsia="zh-CN"/>
        </w:rPr>
        <w:t>款的各项决定方面的经验，并</w:t>
      </w:r>
      <w:r w:rsidRPr="00BE65B4">
        <w:rPr>
          <w:rFonts w:ascii="KaiTi" w:eastAsia="KaiTi" w:hAnsi="KaiTi" w:cs="Times New Roman"/>
          <w:color w:val="auto"/>
          <w:kern w:val="22"/>
          <w:bdr w:val="none" w:sz="0" w:space="0" w:color="auto"/>
          <w:lang w:val="zh-CN" w:eastAsia="zh-CN" w:bidi="ar-SA"/>
        </w:rPr>
        <w:t>请</w:t>
      </w:r>
      <w:r w:rsidRPr="00840175">
        <w:rPr>
          <w:rFonts w:eastAsiaTheme="minorEastAsia" w:hAnsi="Times New Roman" w:cs="Times New Roman"/>
          <w:snapToGrid w:val="0"/>
          <w:color w:val="auto"/>
          <w:kern w:val="22"/>
          <w:lang w:val="zh-CN" w:eastAsia="zh-CN"/>
        </w:rPr>
        <w:t>执行秘书汇编这些信息以及任何相关事态发展的信息，将其提供缔约方大会第十六届会议审议。</w:t>
      </w:r>
    </w:p>
    <w:p w:rsidR="009B18C7" w:rsidRDefault="009B18C7">
      <w:pPr>
        <w:rPr>
          <w:rFonts w:ascii="SimHei" w:eastAsia="SimHei" w:hAnsi="SimHei"/>
          <w:b/>
          <w:bCs/>
          <w:noProof/>
          <w:kern w:val="22"/>
          <w:sz w:val="28"/>
          <w:szCs w:val="32"/>
          <w:lang w:eastAsia="zh-CN"/>
        </w:rPr>
      </w:pPr>
      <w:r>
        <w:rPr>
          <w:rFonts w:ascii="SimHei" w:eastAsia="SimHei" w:hAnsi="SimHei"/>
          <w:noProof/>
          <w:kern w:val="22"/>
          <w:sz w:val="28"/>
          <w:lang w:eastAsia="zh-CN"/>
        </w:rPr>
        <w:br w:type="page"/>
      </w:r>
    </w:p>
    <w:p w:rsidR="009B18C7" w:rsidRPr="005735EA" w:rsidRDefault="009B18C7" w:rsidP="009B18C7">
      <w:pPr>
        <w:pStyle w:val="Heading1"/>
        <w:spacing w:before="120" w:after="120"/>
        <w:ind w:firstLine="0"/>
        <w:rPr>
          <w:rFonts w:eastAsiaTheme="minorEastAsia" w:cs="Times New Roman"/>
          <w:noProof/>
          <w:kern w:val="22"/>
          <w:sz w:val="24"/>
          <w:lang w:eastAsia="zh-CN"/>
        </w:rPr>
      </w:pPr>
      <w:bookmarkStart w:id="183" w:name="_Toc6243774"/>
      <w:r w:rsidRPr="005735EA">
        <w:rPr>
          <w:rFonts w:eastAsiaTheme="minorEastAsia" w:cs="Times New Roman"/>
          <w:noProof/>
          <w:kern w:val="22"/>
          <w:sz w:val="24"/>
          <w:lang w:eastAsia="zh-CN"/>
        </w:rPr>
        <w:lastRenderedPageBreak/>
        <w:t>14/22.</w:t>
      </w:r>
      <w:r w:rsidRPr="005735EA">
        <w:rPr>
          <w:rFonts w:eastAsiaTheme="minorEastAsia" w:cs="Times New Roman"/>
          <w:noProof/>
          <w:kern w:val="22"/>
          <w:sz w:val="24"/>
          <w:lang w:eastAsia="zh-CN"/>
        </w:rPr>
        <w:tab/>
        <w:t xml:space="preserve">   </w:t>
      </w:r>
      <w:r w:rsidRPr="005735EA">
        <w:rPr>
          <w:rFonts w:eastAsiaTheme="minorEastAsia" w:cs="Times New Roman"/>
          <w:noProof/>
          <w:kern w:val="22"/>
          <w:sz w:val="24"/>
          <w:lang w:eastAsia="zh-CN"/>
        </w:rPr>
        <w:t>资源调动</w:t>
      </w:r>
      <w:bookmarkEnd w:id="183"/>
    </w:p>
    <w:p w:rsidR="009B18C7" w:rsidRPr="00504748" w:rsidRDefault="009B18C7" w:rsidP="009B18C7">
      <w:pPr>
        <w:pStyle w:val="Para1"/>
        <w:tabs>
          <w:tab w:val="clear" w:pos="360"/>
        </w:tabs>
        <w:spacing w:before="240"/>
        <w:rPr>
          <w:rFonts w:ascii="KaiTi" w:eastAsia="KaiTi" w:hAnsi="KaiTi"/>
          <w:kern w:val="20"/>
          <w:sz w:val="24"/>
          <w:szCs w:val="24"/>
          <w:lang w:eastAsia="zh-CN" w:bidi="th-TH"/>
        </w:rPr>
      </w:pPr>
      <w:r>
        <w:rPr>
          <w:rFonts w:ascii="KaiTi" w:eastAsia="KaiTi" w:hAnsi="KaiTi" w:hint="eastAsia"/>
          <w:kern w:val="20"/>
          <w:sz w:val="24"/>
          <w:szCs w:val="24"/>
          <w:lang w:eastAsia="zh-CN" w:bidi="th-TH"/>
        </w:rPr>
        <w:t>缔约方大会，</w:t>
      </w:r>
    </w:p>
    <w:p w:rsidR="009B18C7" w:rsidRPr="000278EB" w:rsidRDefault="009B18C7" w:rsidP="009B18C7">
      <w:pPr>
        <w:pStyle w:val="ListParagraph"/>
        <w:suppressLineNumbers/>
        <w:suppressAutoHyphens/>
        <w:adjustRightInd w:val="0"/>
        <w:snapToGrid w:val="0"/>
        <w:spacing w:line="238" w:lineRule="auto"/>
        <w:ind w:left="0" w:firstLine="0"/>
        <w:jc w:val="center"/>
        <w:rPr>
          <w:rFonts w:ascii="SimSun" w:hAnsi="SimSun"/>
          <w:b/>
          <w:snapToGrid w:val="0"/>
          <w:kern w:val="22"/>
          <w:lang w:bidi="th-TH"/>
        </w:rPr>
      </w:pPr>
      <w:r w:rsidRPr="001C0673">
        <w:rPr>
          <w:b/>
          <w:snapToGrid w:val="0"/>
          <w:kern w:val="22"/>
          <w:lang w:eastAsia="zh-CN" w:bidi="th-TH"/>
        </w:rPr>
        <w:t>A.</w:t>
      </w:r>
      <w:r>
        <w:rPr>
          <w:rFonts w:ascii="SimSun" w:hAnsi="SimSun"/>
          <w:b/>
          <w:snapToGrid w:val="0"/>
          <w:kern w:val="22"/>
          <w:lang w:eastAsia="zh-CN" w:bidi="th-TH"/>
        </w:rPr>
        <w:t xml:space="preserve">   </w:t>
      </w:r>
      <w:r w:rsidRPr="000278EB">
        <w:rPr>
          <w:rFonts w:ascii="SimSun" w:hAnsi="SimSun" w:hint="eastAsia"/>
          <w:b/>
          <w:snapToGrid w:val="0"/>
          <w:kern w:val="22"/>
          <w:lang w:bidi="th-TH"/>
        </w:rPr>
        <w:t>财务报告</w:t>
      </w:r>
    </w:p>
    <w:p w:rsidR="009B18C7" w:rsidRPr="009B18C7" w:rsidRDefault="009B18C7" w:rsidP="009B18C7">
      <w:pPr>
        <w:pStyle w:val="ListParagraph"/>
        <w:numPr>
          <w:ilvl w:val="6"/>
          <w:numId w:val="18"/>
        </w:numPr>
        <w:suppressLineNumbers/>
        <w:tabs>
          <w:tab w:val="clear" w:pos="2520"/>
        </w:tabs>
        <w:suppressAutoHyphens/>
        <w:adjustRightInd w:val="0"/>
        <w:snapToGrid w:val="0"/>
        <w:ind w:left="0" w:firstLine="720"/>
        <w:rPr>
          <w:rFonts w:eastAsiaTheme="minorEastAsia"/>
          <w:snapToGrid w:val="0"/>
          <w:kern w:val="22"/>
          <w:lang w:eastAsia="zh-CN" w:bidi="th-TH"/>
        </w:rPr>
      </w:pPr>
      <w:r w:rsidRPr="009B18C7">
        <w:rPr>
          <w:rFonts w:eastAsiaTheme="minorEastAsia"/>
          <w:snapToGrid w:val="0"/>
          <w:kern w:val="20"/>
          <w:lang w:eastAsia="zh-CN" w:bidi="th-TH"/>
        </w:rPr>
        <w:t>赞赏地注意到</w:t>
      </w:r>
      <w:r w:rsidRPr="009B18C7">
        <w:rPr>
          <w:rFonts w:eastAsiaTheme="minorEastAsia"/>
          <w:snapToGrid w:val="0"/>
          <w:kern w:val="22"/>
          <w:lang w:eastAsia="zh-CN"/>
        </w:rPr>
        <w:t>缔约方通过财务报告框架提供的信息；</w:t>
      </w:r>
      <w:r w:rsidRPr="009B18C7">
        <w:rPr>
          <w:rFonts w:eastAsiaTheme="minorEastAsia"/>
          <w:snapToGrid w:val="0"/>
          <w:kern w:val="22"/>
          <w:lang w:eastAsia="zh-CN" w:bidi="th-TH"/>
        </w:rPr>
        <w:t xml:space="preserve"> </w:t>
      </w:r>
    </w:p>
    <w:p w:rsidR="009B18C7" w:rsidRPr="009B18C7" w:rsidRDefault="009B18C7" w:rsidP="009B18C7">
      <w:pPr>
        <w:pStyle w:val="ListParagraph"/>
        <w:numPr>
          <w:ilvl w:val="6"/>
          <w:numId w:val="18"/>
        </w:numPr>
        <w:suppressLineNumbers/>
        <w:tabs>
          <w:tab w:val="clear" w:pos="2520"/>
        </w:tabs>
        <w:suppressAutoHyphens/>
        <w:adjustRightInd w:val="0"/>
        <w:snapToGrid w:val="0"/>
        <w:ind w:left="0" w:firstLine="720"/>
        <w:rPr>
          <w:rFonts w:eastAsiaTheme="minorEastAsia"/>
          <w:snapToGrid w:val="0"/>
          <w:kern w:val="22"/>
          <w:lang w:eastAsia="zh-CN" w:bidi="th-TH"/>
        </w:rPr>
      </w:pPr>
      <w:r w:rsidRPr="009B18C7">
        <w:rPr>
          <w:rFonts w:eastAsiaTheme="minorEastAsia"/>
          <w:snapToGrid w:val="0"/>
          <w:kern w:val="20"/>
          <w:lang w:eastAsia="zh-CN" w:bidi="th-TH"/>
        </w:rPr>
        <w:t>表示注意到</w:t>
      </w:r>
      <w:r w:rsidRPr="009B18C7">
        <w:rPr>
          <w:rFonts w:eastAsiaTheme="minorEastAsia"/>
          <w:snapToGrid w:val="0"/>
          <w:kern w:val="22"/>
          <w:lang w:eastAsia="zh-CN"/>
        </w:rPr>
        <w:t>对缔约方通过财务报告框架所提供信息进行的分析，特别是执行秘书关于资源调动：对通过财务报告框架所提供资源调动信息的评估和最新分析的说明所载执行第</w:t>
      </w:r>
      <w:r w:rsidRPr="009B18C7">
        <w:rPr>
          <w:rFonts w:eastAsiaTheme="minorEastAsia"/>
          <w:snapToGrid w:val="0"/>
          <w:kern w:val="22"/>
          <w:lang w:eastAsia="zh-CN" w:bidi="th-TH"/>
        </w:rPr>
        <w:t>XII/3</w:t>
      </w:r>
      <w:r w:rsidRPr="009B18C7">
        <w:rPr>
          <w:rFonts w:eastAsiaTheme="minorEastAsia"/>
          <w:snapToGrid w:val="0"/>
          <w:kern w:val="22"/>
          <w:lang w:eastAsia="zh-CN"/>
        </w:rPr>
        <w:t>号决定所通过各项目标的进展情况；</w:t>
      </w:r>
      <w:r w:rsidRPr="009B18C7">
        <w:rPr>
          <w:rFonts w:eastAsiaTheme="minorEastAsia"/>
          <w:vertAlign w:val="superscript"/>
          <w:lang w:bidi="th-TH"/>
        </w:rPr>
        <w:footnoteReference w:id="267"/>
      </w:r>
    </w:p>
    <w:p w:rsidR="009B18C7" w:rsidRPr="009B18C7" w:rsidRDefault="009B18C7" w:rsidP="009B18C7">
      <w:pPr>
        <w:pStyle w:val="ListParagraph"/>
        <w:numPr>
          <w:ilvl w:val="6"/>
          <w:numId w:val="18"/>
        </w:numPr>
        <w:suppressLineNumbers/>
        <w:tabs>
          <w:tab w:val="clear" w:pos="2520"/>
        </w:tabs>
        <w:suppressAutoHyphens/>
        <w:adjustRightInd w:val="0"/>
        <w:snapToGrid w:val="0"/>
        <w:ind w:left="0" w:firstLine="720"/>
        <w:rPr>
          <w:rFonts w:eastAsiaTheme="minorEastAsia"/>
          <w:snapToGrid w:val="0"/>
          <w:kern w:val="22"/>
          <w:lang w:eastAsia="zh-CN" w:bidi="th-TH"/>
        </w:rPr>
      </w:pPr>
      <w:r w:rsidRPr="009B18C7">
        <w:rPr>
          <w:rFonts w:eastAsiaTheme="minorEastAsia"/>
          <w:snapToGrid w:val="0"/>
          <w:kern w:val="20"/>
          <w:lang w:eastAsia="zh-CN" w:bidi="th-TH"/>
        </w:rPr>
        <w:t>敦促</w:t>
      </w:r>
      <w:r w:rsidRPr="009B18C7">
        <w:rPr>
          <w:rFonts w:eastAsiaTheme="minorEastAsia"/>
          <w:snapToGrid w:val="0"/>
          <w:kern w:val="22"/>
          <w:lang w:eastAsia="zh-CN"/>
        </w:rPr>
        <w:t>缔约方在</w:t>
      </w:r>
      <w:smartTag w:uri="urn:schemas-microsoft-com:office:smarttags" w:element="chsdate">
        <w:smartTagPr>
          <w:attr w:name="Year" w:val="2018"/>
          <w:attr w:name="Month" w:val="12"/>
          <w:attr w:name="Day" w:val="31"/>
          <w:attr w:name="IsLunarDate" w:val="False"/>
          <w:attr w:name="IsROCDate" w:val="False"/>
        </w:smartTagPr>
        <w:r w:rsidRPr="009B18C7">
          <w:rPr>
            <w:rFonts w:eastAsiaTheme="minorEastAsia"/>
            <w:snapToGrid w:val="0"/>
            <w:kern w:val="22"/>
            <w:lang w:eastAsia="zh-CN" w:bidi="th-TH"/>
          </w:rPr>
          <w:t>2018</w:t>
        </w:r>
        <w:r w:rsidRPr="009B18C7">
          <w:rPr>
            <w:rFonts w:eastAsiaTheme="minorEastAsia"/>
            <w:snapToGrid w:val="0"/>
            <w:kern w:val="22"/>
            <w:lang w:eastAsia="zh-CN"/>
          </w:rPr>
          <w:t>年</w:t>
        </w:r>
        <w:r w:rsidRPr="009B18C7">
          <w:rPr>
            <w:rFonts w:eastAsiaTheme="minorEastAsia"/>
            <w:snapToGrid w:val="0"/>
            <w:kern w:val="22"/>
            <w:lang w:eastAsia="zh-CN" w:bidi="th-TH"/>
          </w:rPr>
          <w:t>12</w:t>
        </w:r>
        <w:r w:rsidRPr="009B18C7">
          <w:rPr>
            <w:rFonts w:eastAsiaTheme="minorEastAsia"/>
            <w:snapToGrid w:val="0"/>
            <w:kern w:val="22"/>
            <w:lang w:eastAsia="zh-CN"/>
          </w:rPr>
          <w:t>月</w:t>
        </w:r>
        <w:r w:rsidRPr="009B18C7">
          <w:rPr>
            <w:rFonts w:eastAsiaTheme="minorEastAsia"/>
            <w:snapToGrid w:val="0"/>
            <w:kern w:val="22"/>
            <w:lang w:eastAsia="zh-CN" w:bidi="th-TH"/>
          </w:rPr>
          <w:t>31</w:t>
        </w:r>
        <w:r w:rsidRPr="009B18C7">
          <w:rPr>
            <w:rFonts w:eastAsiaTheme="minorEastAsia"/>
            <w:snapToGrid w:val="0"/>
            <w:kern w:val="22"/>
            <w:lang w:eastAsia="zh-CN"/>
          </w:rPr>
          <w:t>日</w:t>
        </w:r>
      </w:smartTag>
      <w:r w:rsidRPr="009B18C7">
        <w:rPr>
          <w:rFonts w:eastAsiaTheme="minorEastAsia"/>
          <w:snapToGrid w:val="0"/>
          <w:kern w:val="22"/>
          <w:lang w:eastAsia="zh-CN"/>
        </w:rPr>
        <w:t>之前提交第六次国家报告的同时，利用在线财务报告框架，比照既定基准，报告对实现全球资源调动目标的集体努力所作的新贡献；</w:t>
      </w:r>
      <w:r w:rsidRPr="009B18C7">
        <w:rPr>
          <w:rFonts w:eastAsiaTheme="minorEastAsia"/>
          <w:snapToGrid w:val="0"/>
          <w:kern w:val="22"/>
          <w:lang w:eastAsia="zh-CN" w:bidi="th-TH"/>
        </w:rPr>
        <w:t xml:space="preserve">  </w:t>
      </w:r>
    </w:p>
    <w:p w:rsidR="009B18C7" w:rsidRPr="009B18C7" w:rsidRDefault="009B18C7" w:rsidP="009B18C7">
      <w:pPr>
        <w:pStyle w:val="ListParagraph"/>
        <w:suppressLineNumbers/>
        <w:suppressAutoHyphens/>
        <w:adjustRightInd w:val="0"/>
        <w:snapToGrid w:val="0"/>
        <w:ind w:left="0" w:firstLine="0"/>
        <w:jc w:val="center"/>
        <w:rPr>
          <w:rFonts w:eastAsiaTheme="minorEastAsia"/>
          <w:b/>
          <w:snapToGrid w:val="0"/>
          <w:kern w:val="22"/>
          <w:lang w:bidi="th-TH"/>
        </w:rPr>
      </w:pPr>
      <w:r w:rsidRPr="009B18C7">
        <w:rPr>
          <w:rFonts w:eastAsiaTheme="minorEastAsia"/>
          <w:b/>
          <w:snapToGrid w:val="0"/>
          <w:kern w:val="22"/>
          <w:lang w:bidi="th-TH"/>
        </w:rPr>
        <w:t xml:space="preserve">B.  </w:t>
      </w:r>
      <w:r>
        <w:rPr>
          <w:rFonts w:eastAsiaTheme="minorEastAsia"/>
          <w:b/>
          <w:snapToGrid w:val="0"/>
          <w:kern w:val="22"/>
          <w:lang w:bidi="th-TH"/>
        </w:rPr>
        <w:t xml:space="preserve"> </w:t>
      </w:r>
      <w:r w:rsidRPr="009B18C7">
        <w:rPr>
          <w:rFonts w:eastAsiaTheme="minorEastAsia"/>
          <w:b/>
          <w:snapToGrid w:val="0"/>
          <w:kern w:val="22"/>
          <w:lang w:bidi="th-TH"/>
        </w:rPr>
        <w:t xml:space="preserve"> </w:t>
      </w:r>
      <w:r w:rsidRPr="009B18C7">
        <w:rPr>
          <w:rFonts w:eastAsiaTheme="minorEastAsia"/>
          <w:b/>
          <w:snapToGrid w:val="0"/>
          <w:kern w:val="22"/>
          <w:lang w:bidi="th-TH"/>
        </w:rPr>
        <w:t>能力建设和技术支助</w:t>
      </w:r>
    </w:p>
    <w:p w:rsidR="009B18C7" w:rsidRPr="009B18C7" w:rsidRDefault="009B18C7" w:rsidP="009B18C7">
      <w:pPr>
        <w:pStyle w:val="ListParagraph"/>
        <w:numPr>
          <w:ilvl w:val="6"/>
          <w:numId w:val="18"/>
        </w:numPr>
        <w:suppressLineNumbers/>
        <w:tabs>
          <w:tab w:val="clear" w:pos="2520"/>
        </w:tabs>
        <w:suppressAutoHyphens/>
        <w:adjustRightInd w:val="0"/>
        <w:snapToGrid w:val="0"/>
        <w:ind w:left="0" w:firstLine="720"/>
        <w:rPr>
          <w:rFonts w:eastAsiaTheme="minorEastAsia"/>
          <w:snapToGrid w:val="0"/>
          <w:kern w:val="22"/>
          <w:lang w:eastAsia="zh-CN" w:bidi="th-TH"/>
        </w:rPr>
      </w:pPr>
      <w:r w:rsidRPr="009B18C7">
        <w:rPr>
          <w:rFonts w:eastAsiaTheme="minorEastAsia"/>
          <w:snapToGrid w:val="0"/>
          <w:kern w:val="20"/>
          <w:lang w:eastAsia="zh-CN" w:bidi="th-TH"/>
        </w:rPr>
        <w:t>欢迎</w:t>
      </w:r>
      <w:r w:rsidRPr="009B18C7">
        <w:rPr>
          <w:rFonts w:eastAsiaTheme="minorEastAsia"/>
          <w:snapToGrid w:val="0"/>
          <w:kern w:val="22"/>
          <w:lang w:eastAsia="zh-CN"/>
        </w:rPr>
        <w:t>相关组织和倡议，包括联合国开发计划署生物多样性筹资倡议，为有关发展中国家缔约方，特别是最不发达国家和小岛屿发展中国家以及经济转型国家，包括这些国家的土著人民和地方社区及其他利益攸关方提供关于确定供资需求、缺口和优先事项，制定和执行国家资源调动战略和财务报告方面的技术支持和能力建设，并邀请生物多样性筹资倡议和类似方案或倡议进一步为有关发展中国家缔约方参与该倡议提供资金和技术支持及能力建设；</w:t>
      </w:r>
    </w:p>
    <w:p w:rsidR="009B18C7" w:rsidRPr="009B18C7" w:rsidRDefault="009B18C7" w:rsidP="009B18C7">
      <w:pPr>
        <w:pStyle w:val="ListParagraph"/>
        <w:numPr>
          <w:ilvl w:val="6"/>
          <w:numId w:val="18"/>
        </w:numPr>
        <w:suppressLineNumbers/>
        <w:tabs>
          <w:tab w:val="clear" w:pos="2520"/>
        </w:tabs>
        <w:suppressAutoHyphens/>
        <w:adjustRightInd w:val="0"/>
        <w:snapToGrid w:val="0"/>
        <w:ind w:left="0" w:firstLine="720"/>
        <w:rPr>
          <w:rFonts w:eastAsiaTheme="minorEastAsia"/>
          <w:snapToGrid w:val="0"/>
          <w:kern w:val="22"/>
          <w:lang w:eastAsia="zh-CN" w:bidi="th-TH"/>
        </w:rPr>
      </w:pPr>
      <w:r w:rsidRPr="009B18C7">
        <w:rPr>
          <w:rFonts w:eastAsiaTheme="minorEastAsia"/>
          <w:snapToGrid w:val="0"/>
          <w:kern w:val="20"/>
          <w:lang w:eastAsia="zh-CN" w:bidi="th-TH"/>
        </w:rPr>
        <w:t>邀请</w:t>
      </w:r>
      <w:r w:rsidRPr="009B18C7">
        <w:rPr>
          <w:rFonts w:eastAsiaTheme="minorEastAsia"/>
          <w:snapToGrid w:val="0"/>
          <w:kern w:val="22"/>
          <w:lang w:eastAsia="zh-CN"/>
        </w:rPr>
        <w:t>有能力的缔约方、其他国家政府和捐助方根据《公约》第</w:t>
      </w:r>
      <w:r w:rsidRPr="009B18C7">
        <w:rPr>
          <w:rFonts w:eastAsiaTheme="minorEastAsia"/>
          <w:snapToGrid w:val="0"/>
          <w:kern w:val="22"/>
          <w:lang w:eastAsia="zh-CN" w:bidi="th-TH"/>
        </w:rPr>
        <w:t>20</w:t>
      </w:r>
      <w:r w:rsidRPr="009B18C7">
        <w:rPr>
          <w:rFonts w:eastAsiaTheme="minorEastAsia"/>
          <w:snapToGrid w:val="0"/>
          <w:kern w:val="22"/>
          <w:lang w:eastAsia="zh-CN"/>
        </w:rPr>
        <w:t>条和为了实现第</w:t>
      </w:r>
      <w:r w:rsidRPr="009B18C7">
        <w:rPr>
          <w:rFonts w:eastAsiaTheme="minorEastAsia"/>
          <w:snapToGrid w:val="0"/>
          <w:kern w:val="22"/>
          <w:szCs w:val="22"/>
          <w:lang w:eastAsia="zh-CN" w:bidi="th-TH"/>
        </w:rPr>
        <w:t>XII/3</w:t>
      </w:r>
      <w:r w:rsidRPr="009B18C7">
        <w:rPr>
          <w:rFonts w:eastAsiaTheme="minorEastAsia"/>
          <w:snapToGrid w:val="0"/>
          <w:kern w:val="22"/>
          <w:lang w:eastAsia="zh-CN"/>
        </w:rPr>
        <w:t>号决定中通过的资源调动指标，提供用于能力建设和技术援助以及便利技术转让的资金，并支持对《公约》的资金进行监测，特别是涉及今后两年可在财务报告框架下实现的《爱知生物多样性指标》的资金；</w:t>
      </w:r>
    </w:p>
    <w:p w:rsidR="009B18C7" w:rsidRPr="009B18C7" w:rsidRDefault="009B18C7" w:rsidP="009B18C7">
      <w:pPr>
        <w:pStyle w:val="ListParagraph"/>
        <w:widowControl w:val="0"/>
        <w:numPr>
          <w:ilvl w:val="6"/>
          <w:numId w:val="18"/>
        </w:numPr>
        <w:suppressLineNumbers/>
        <w:tabs>
          <w:tab w:val="clear" w:pos="2520"/>
        </w:tabs>
        <w:suppressAutoHyphens/>
        <w:adjustRightInd w:val="0"/>
        <w:snapToGrid w:val="0"/>
        <w:ind w:left="0" w:firstLine="720"/>
        <w:rPr>
          <w:rFonts w:eastAsiaTheme="minorEastAsia"/>
          <w:snapToGrid w:val="0"/>
          <w:kern w:val="22"/>
          <w:lang w:eastAsia="zh-CN" w:bidi="th-TH"/>
        </w:rPr>
      </w:pPr>
      <w:r w:rsidRPr="009B18C7">
        <w:rPr>
          <w:rFonts w:eastAsiaTheme="minorEastAsia"/>
          <w:snapToGrid w:val="0"/>
          <w:kern w:val="20"/>
          <w:lang w:eastAsia="zh-CN" w:bidi="th-TH"/>
        </w:rPr>
        <w:t>表示注意到</w:t>
      </w:r>
      <w:r w:rsidRPr="009B18C7">
        <w:rPr>
          <w:rFonts w:eastAsiaTheme="minorEastAsia"/>
          <w:snapToGrid w:val="0"/>
          <w:kern w:val="22"/>
          <w:lang w:eastAsia="zh-CN"/>
        </w:rPr>
        <w:t>经济合作与发展组织发展援助委员会为完善里约标识方法开展的工作，以及经合组织环境政策委员会跟踪经济文书的工作和所调动的财力，并邀请经合组织继续并进一步加强这项工作；</w:t>
      </w:r>
    </w:p>
    <w:p w:rsidR="009B18C7" w:rsidRPr="009B18C7" w:rsidRDefault="009B18C7" w:rsidP="009B18C7">
      <w:pPr>
        <w:pStyle w:val="ListParagraph"/>
        <w:suppressLineNumbers/>
        <w:suppressAutoHyphens/>
        <w:adjustRightInd w:val="0"/>
        <w:snapToGrid w:val="0"/>
        <w:ind w:left="0" w:firstLine="0"/>
        <w:jc w:val="center"/>
        <w:rPr>
          <w:rFonts w:eastAsiaTheme="minorEastAsia"/>
          <w:snapToGrid w:val="0"/>
          <w:kern w:val="22"/>
          <w:lang w:eastAsia="zh-CN" w:bidi="th-TH"/>
        </w:rPr>
      </w:pPr>
      <w:r w:rsidRPr="009B18C7">
        <w:rPr>
          <w:rFonts w:eastAsiaTheme="minorEastAsia"/>
          <w:b/>
          <w:snapToGrid w:val="0"/>
          <w:kern w:val="22"/>
          <w:lang w:eastAsia="zh-CN" w:bidi="th-TH"/>
        </w:rPr>
        <w:t xml:space="preserve">C.   </w:t>
      </w:r>
      <w:r>
        <w:rPr>
          <w:rFonts w:eastAsiaTheme="minorEastAsia"/>
          <w:b/>
          <w:snapToGrid w:val="0"/>
          <w:kern w:val="22"/>
          <w:lang w:eastAsia="zh-CN" w:bidi="th-TH"/>
        </w:rPr>
        <w:t xml:space="preserve"> </w:t>
      </w:r>
      <w:r w:rsidRPr="009B18C7">
        <w:rPr>
          <w:rFonts w:eastAsiaTheme="minorEastAsia"/>
          <w:b/>
          <w:snapToGrid w:val="0"/>
          <w:kern w:val="22"/>
          <w:lang w:eastAsia="zh-CN" w:bidi="th-TH"/>
        </w:rPr>
        <w:t>各公约之间的协同作用</w:t>
      </w:r>
    </w:p>
    <w:p w:rsidR="009B18C7" w:rsidRPr="009B18C7" w:rsidRDefault="009B18C7" w:rsidP="009B18C7">
      <w:pPr>
        <w:pStyle w:val="ListParagraph"/>
        <w:numPr>
          <w:ilvl w:val="6"/>
          <w:numId w:val="18"/>
        </w:numPr>
        <w:suppressLineNumbers/>
        <w:tabs>
          <w:tab w:val="clear" w:pos="2520"/>
        </w:tabs>
        <w:suppressAutoHyphens/>
        <w:adjustRightInd w:val="0"/>
        <w:snapToGrid w:val="0"/>
        <w:ind w:left="0" w:firstLine="720"/>
        <w:rPr>
          <w:rFonts w:eastAsiaTheme="minorEastAsia"/>
          <w:snapToGrid w:val="0"/>
          <w:kern w:val="22"/>
          <w:lang w:eastAsia="zh-CN" w:bidi="th-TH"/>
        </w:rPr>
      </w:pPr>
      <w:r w:rsidRPr="009B18C7">
        <w:rPr>
          <w:rFonts w:eastAsiaTheme="minorEastAsia"/>
          <w:snapToGrid w:val="0"/>
          <w:kern w:val="20"/>
          <w:lang w:eastAsia="zh-CN" w:bidi="th-TH"/>
        </w:rPr>
        <w:t>强调</w:t>
      </w:r>
      <w:r w:rsidRPr="009B18C7">
        <w:rPr>
          <w:rFonts w:eastAsiaTheme="minorEastAsia"/>
          <w:snapToGrid w:val="0"/>
          <w:kern w:val="22"/>
          <w:lang w:eastAsia="zh-CN"/>
        </w:rPr>
        <w:t>所有资源调动战略均应促进和发挥各公约之间的协同作用，包括与监测不同来源资金和执行各项公约的系统有关的协同作用</w:t>
      </w:r>
      <w:r w:rsidRPr="009B18C7">
        <w:rPr>
          <w:rFonts w:eastAsiaTheme="minorEastAsia"/>
          <w:snapToGrid w:val="0"/>
          <w:kern w:val="22"/>
          <w:lang w:eastAsia="zh-CN" w:bidi="th-TH"/>
        </w:rPr>
        <w:t>；</w:t>
      </w:r>
    </w:p>
    <w:p w:rsidR="009B18C7" w:rsidRPr="009B18C7" w:rsidRDefault="009B18C7" w:rsidP="009B18C7">
      <w:pPr>
        <w:pStyle w:val="ListParagraph"/>
        <w:suppressLineNumbers/>
        <w:suppressAutoHyphens/>
        <w:adjustRightInd w:val="0"/>
        <w:snapToGrid w:val="0"/>
        <w:ind w:left="0" w:firstLine="0"/>
        <w:jc w:val="center"/>
        <w:rPr>
          <w:rFonts w:eastAsiaTheme="minorEastAsia"/>
          <w:b/>
          <w:snapToGrid w:val="0"/>
          <w:kern w:val="22"/>
          <w:lang w:eastAsia="zh-CN" w:bidi="th-TH"/>
        </w:rPr>
      </w:pPr>
      <w:r w:rsidRPr="009B18C7">
        <w:rPr>
          <w:rFonts w:eastAsiaTheme="minorEastAsia"/>
          <w:b/>
          <w:snapToGrid w:val="0"/>
          <w:kern w:val="22"/>
          <w:lang w:eastAsia="zh-CN" w:bidi="th-TH"/>
        </w:rPr>
        <w:t xml:space="preserve">D.  </w:t>
      </w:r>
      <w:r>
        <w:rPr>
          <w:rFonts w:eastAsiaTheme="minorEastAsia"/>
          <w:b/>
          <w:snapToGrid w:val="0"/>
          <w:kern w:val="22"/>
          <w:lang w:eastAsia="zh-CN" w:bidi="th-TH"/>
        </w:rPr>
        <w:t xml:space="preserve"> </w:t>
      </w:r>
      <w:r w:rsidRPr="009B18C7">
        <w:rPr>
          <w:rFonts w:eastAsiaTheme="minorEastAsia"/>
          <w:b/>
          <w:snapToGrid w:val="0"/>
          <w:kern w:val="22"/>
          <w:lang w:eastAsia="zh-CN" w:bidi="th-TH"/>
        </w:rPr>
        <w:t xml:space="preserve"> </w:t>
      </w:r>
      <w:r w:rsidRPr="009B18C7">
        <w:rPr>
          <w:rFonts w:eastAsiaTheme="minorEastAsia"/>
          <w:b/>
          <w:snapToGrid w:val="0"/>
          <w:kern w:val="22"/>
          <w:lang w:eastAsia="zh-CN" w:bidi="th-TH"/>
        </w:rPr>
        <w:t>全面执行爱知生物多样性指标</w:t>
      </w:r>
      <w:r w:rsidRPr="009B18C7">
        <w:rPr>
          <w:rFonts w:eastAsiaTheme="minorEastAsia"/>
          <w:b/>
          <w:snapToGrid w:val="0"/>
          <w:kern w:val="22"/>
          <w:lang w:eastAsia="zh-CN" w:bidi="th-TH"/>
        </w:rPr>
        <w:t>3</w:t>
      </w:r>
      <w:r w:rsidRPr="009B18C7">
        <w:rPr>
          <w:rFonts w:eastAsiaTheme="minorEastAsia"/>
          <w:b/>
          <w:snapToGrid w:val="0"/>
          <w:kern w:val="22"/>
          <w:lang w:eastAsia="zh-CN" w:bidi="th-TH"/>
        </w:rPr>
        <w:t>的里程碑</w:t>
      </w:r>
    </w:p>
    <w:p w:rsidR="009B18C7" w:rsidRPr="009B18C7" w:rsidRDefault="009B18C7" w:rsidP="009B18C7">
      <w:pPr>
        <w:pStyle w:val="ListParagraph"/>
        <w:numPr>
          <w:ilvl w:val="6"/>
          <w:numId w:val="18"/>
        </w:numPr>
        <w:suppressLineNumbers/>
        <w:tabs>
          <w:tab w:val="clear" w:pos="2520"/>
        </w:tabs>
        <w:suppressAutoHyphens/>
        <w:adjustRightInd w:val="0"/>
        <w:snapToGrid w:val="0"/>
        <w:ind w:left="0" w:firstLine="720"/>
        <w:rPr>
          <w:rFonts w:eastAsiaTheme="minorEastAsia"/>
          <w:snapToGrid w:val="0"/>
          <w:kern w:val="22"/>
          <w:lang w:eastAsia="zh-CN"/>
        </w:rPr>
      </w:pPr>
      <w:r w:rsidRPr="009B18C7">
        <w:rPr>
          <w:rFonts w:eastAsiaTheme="minorEastAsia"/>
          <w:snapToGrid w:val="0"/>
          <w:kern w:val="20"/>
          <w:lang w:eastAsia="zh-CN" w:bidi="th-TH"/>
        </w:rPr>
        <w:t>确认</w:t>
      </w:r>
      <w:r w:rsidRPr="009B18C7">
        <w:rPr>
          <w:rFonts w:eastAsiaTheme="minorEastAsia"/>
          <w:snapToGrid w:val="0"/>
          <w:kern w:val="22"/>
          <w:lang w:eastAsia="zh-CN"/>
        </w:rPr>
        <w:t>执行《爱知生物多样性指标》</w:t>
      </w:r>
      <w:r w:rsidRPr="009B18C7">
        <w:rPr>
          <w:rFonts w:eastAsiaTheme="minorEastAsia"/>
          <w:snapToGrid w:val="0"/>
          <w:kern w:val="22"/>
          <w:lang w:eastAsia="zh-CN"/>
        </w:rPr>
        <w:t>3</w:t>
      </w:r>
      <w:r w:rsidRPr="009B18C7">
        <w:rPr>
          <w:rFonts w:eastAsiaTheme="minorEastAsia"/>
          <w:snapToGrid w:val="0"/>
          <w:kern w:val="22"/>
          <w:lang w:eastAsia="zh-CN"/>
        </w:rPr>
        <w:t>可能有助于调动所有来源的资金；</w:t>
      </w:r>
    </w:p>
    <w:p w:rsidR="009B18C7" w:rsidRPr="009B18C7" w:rsidRDefault="009B18C7" w:rsidP="009B18C7">
      <w:pPr>
        <w:pStyle w:val="ListParagraph"/>
        <w:numPr>
          <w:ilvl w:val="6"/>
          <w:numId w:val="18"/>
        </w:numPr>
        <w:suppressLineNumbers/>
        <w:tabs>
          <w:tab w:val="clear" w:pos="2520"/>
        </w:tabs>
        <w:suppressAutoHyphens/>
        <w:adjustRightInd w:val="0"/>
        <w:snapToGrid w:val="0"/>
        <w:ind w:left="0" w:firstLine="720"/>
        <w:rPr>
          <w:rFonts w:eastAsiaTheme="minorEastAsia"/>
          <w:snapToGrid w:val="0"/>
          <w:kern w:val="22"/>
          <w:lang w:eastAsia="zh-CN"/>
        </w:rPr>
      </w:pPr>
      <w:r w:rsidRPr="009B18C7">
        <w:rPr>
          <w:rFonts w:eastAsiaTheme="minorEastAsia"/>
          <w:snapToGrid w:val="0"/>
          <w:kern w:val="20"/>
          <w:lang w:eastAsia="zh-CN" w:bidi="th-TH"/>
        </w:rPr>
        <w:lastRenderedPageBreak/>
        <w:t>关切地注意到</w:t>
      </w:r>
      <w:r w:rsidRPr="009B18C7">
        <w:rPr>
          <w:rFonts w:eastAsiaTheme="minorEastAsia"/>
          <w:snapToGrid w:val="0"/>
          <w:kern w:val="22"/>
          <w:lang w:eastAsia="zh-CN"/>
        </w:rPr>
        <w:t>在执行《爱知生物多样性指标》</w:t>
      </w:r>
      <w:r w:rsidRPr="009B18C7">
        <w:rPr>
          <w:rFonts w:eastAsiaTheme="minorEastAsia"/>
          <w:snapToGrid w:val="0"/>
          <w:kern w:val="22"/>
          <w:lang w:eastAsia="zh-CN"/>
        </w:rPr>
        <w:t>3</w:t>
      </w:r>
      <w:r w:rsidRPr="009B18C7">
        <w:rPr>
          <w:rFonts w:eastAsiaTheme="minorEastAsia"/>
          <w:snapToGrid w:val="0"/>
          <w:kern w:val="22"/>
          <w:lang w:eastAsia="zh-CN"/>
        </w:rPr>
        <w:t>及其进度标志方面进展有限，特别是在以符合《公约》和其他相关国际义务的方式并在顾及国家社会经济条件的情况下取消、淘汰或改革对生物多样性有害的激励措施（包括补贴）方面；</w:t>
      </w:r>
      <w:r w:rsidRPr="009B18C7">
        <w:rPr>
          <w:rFonts w:eastAsiaTheme="minorEastAsia"/>
          <w:snapToGrid w:val="0"/>
          <w:kern w:val="22"/>
          <w:lang w:eastAsia="zh-CN"/>
        </w:rPr>
        <w:t xml:space="preserve"> </w:t>
      </w:r>
    </w:p>
    <w:p w:rsidR="009B18C7" w:rsidRPr="009B18C7" w:rsidRDefault="009B18C7" w:rsidP="009B18C7">
      <w:pPr>
        <w:pStyle w:val="ListParagraph"/>
        <w:numPr>
          <w:ilvl w:val="6"/>
          <w:numId w:val="18"/>
        </w:numPr>
        <w:suppressLineNumbers/>
        <w:tabs>
          <w:tab w:val="clear" w:pos="2520"/>
        </w:tabs>
        <w:suppressAutoHyphens/>
        <w:adjustRightInd w:val="0"/>
        <w:snapToGrid w:val="0"/>
        <w:ind w:left="0" w:firstLine="720"/>
        <w:rPr>
          <w:rFonts w:eastAsiaTheme="minorEastAsia"/>
          <w:snapToGrid w:val="0"/>
          <w:kern w:val="22"/>
          <w:lang w:eastAsia="zh-CN"/>
        </w:rPr>
      </w:pPr>
      <w:r w:rsidRPr="009B18C7">
        <w:rPr>
          <w:rFonts w:eastAsiaTheme="minorEastAsia"/>
          <w:snapToGrid w:val="0"/>
          <w:kern w:val="20"/>
          <w:lang w:eastAsia="zh-CN" w:bidi="th-TH"/>
        </w:rPr>
        <w:t>鼓励</w:t>
      </w:r>
      <w:r w:rsidRPr="009B18C7">
        <w:rPr>
          <w:rFonts w:eastAsiaTheme="minorEastAsia"/>
          <w:snapToGrid w:val="0"/>
          <w:kern w:val="22"/>
          <w:lang w:eastAsia="zh-CN"/>
        </w:rPr>
        <w:t>各缔约方和其他国家政府加大力度，以符合《公约》和其他相关国际义务的方式，并在顾及国家社会经济条件的情况下，采取措施全面执行《爱知生物多样性指标》</w:t>
      </w:r>
      <w:r w:rsidRPr="009B18C7">
        <w:rPr>
          <w:rFonts w:eastAsiaTheme="minorEastAsia"/>
          <w:snapToGrid w:val="0"/>
          <w:kern w:val="22"/>
          <w:lang w:eastAsia="zh-CN"/>
        </w:rPr>
        <w:t>3</w:t>
      </w:r>
      <w:r w:rsidRPr="009B18C7">
        <w:rPr>
          <w:rFonts w:eastAsiaTheme="minorEastAsia"/>
          <w:snapToGrid w:val="0"/>
          <w:kern w:val="22"/>
          <w:lang w:eastAsia="zh-CN"/>
        </w:rPr>
        <w:t>，同时把缔约方大会第十二届会议通过的进度标志</w:t>
      </w:r>
      <w:r w:rsidRPr="009B18C7">
        <w:rPr>
          <w:rFonts w:eastAsiaTheme="minorEastAsia"/>
          <w:snapToGrid w:val="0"/>
          <w:kern w:val="22"/>
          <w:vertAlign w:val="superscript"/>
          <w:lang w:bidi="th-TH"/>
        </w:rPr>
        <w:footnoteReference w:id="268"/>
      </w:r>
      <w:r w:rsidRPr="009B18C7">
        <w:rPr>
          <w:rFonts w:eastAsiaTheme="minorEastAsia"/>
          <w:snapToGrid w:val="0"/>
          <w:kern w:val="22"/>
          <w:vertAlign w:val="superscript"/>
          <w:lang w:eastAsia="zh-CN" w:bidi="th-TH"/>
        </w:rPr>
        <w:t xml:space="preserve"> </w:t>
      </w:r>
      <w:r w:rsidRPr="009B18C7">
        <w:rPr>
          <w:rFonts w:eastAsiaTheme="minorEastAsia"/>
          <w:snapToGrid w:val="0"/>
          <w:kern w:val="22"/>
          <w:lang w:eastAsia="zh-CN"/>
        </w:rPr>
        <w:t>作为灵活的框架加以考虑；</w:t>
      </w:r>
    </w:p>
    <w:p w:rsidR="009B18C7" w:rsidRPr="009B18C7" w:rsidRDefault="009B18C7" w:rsidP="009B18C7">
      <w:pPr>
        <w:pStyle w:val="ListParagraph"/>
        <w:numPr>
          <w:ilvl w:val="6"/>
          <w:numId w:val="18"/>
        </w:numPr>
        <w:suppressLineNumbers/>
        <w:tabs>
          <w:tab w:val="clear" w:pos="2520"/>
        </w:tabs>
        <w:suppressAutoHyphens/>
        <w:adjustRightInd w:val="0"/>
        <w:snapToGrid w:val="0"/>
        <w:ind w:left="0" w:firstLine="720"/>
        <w:rPr>
          <w:rFonts w:eastAsiaTheme="minorEastAsia"/>
          <w:snapToGrid w:val="0"/>
          <w:kern w:val="22"/>
          <w:lang w:eastAsia="zh-CN"/>
        </w:rPr>
      </w:pPr>
      <w:r w:rsidRPr="009B18C7">
        <w:rPr>
          <w:rFonts w:eastAsiaTheme="minorEastAsia"/>
          <w:snapToGrid w:val="0"/>
          <w:kern w:val="20"/>
          <w:lang w:eastAsia="zh-CN" w:bidi="th-TH"/>
        </w:rPr>
        <w:t>欢迎</w:t>
      </w:r>
      <w:r w:rsidRPr="009B18C7">
        <w:rPr>
          <w:rFonts w:eastAsiaTheme="minorEastAsia"/>
          <w:snapToGrid w:val="0"/>
          <w:kern w:val="22"/>
          <w:lang w:eastAsia="zh-CN"/>
        </w:rPr>
        <w:t>相关组织和倡议，包括联合国开发计划署生物多样性筹资倡议、</w:t>
      </w:r>
      <w:r w:rsidR="00780033">
        <w:rPr>
          <w:rFonts w:eastAsiaTheme="minorEastAsia"/>
          <w:snapToGrid w:val="0"/>
          <w:kern w:val="22"/>
          <w:lang w:eastAsia="zh-CN"/>
        </w:rPr>
        <w:t>联合国环境署</w:t>
      </w:r>
      <w:r w:rsidRPr="009B18C7">
        <w:rPr>
          <w:rFonts w:eastAsiaTheme="minorEastAsia"/>
          <w:snapToGrid w:val="0"/>
          <w:kern w:val="22"/>
          <w:lang w:eastAsia="zh-CN"/>
        </w:rPr>
        <w:t>、经济合作与发展组织、国际可持续发展研究所和其他伙伴为执行《爱知生物多样性指标》</w:t>
      </w:r>
      <w:r w:rsidRPr="009B18C7">
        <w:rPr>
          <w:rFonts w:eastAsiaTheme="minorEastAsia"/>
          <w:snapToGrid w:val="0"/>
          <w:kern w:val="22"/>
          <w:lang w:eastAsia="zh-CN"/>
        </w:rPr>
        <w:t>3</w:t>
      </w:r>
      <w:r w:rsidRPr="009B18C7">
        <w:rPr>
          <w:rFonts w:eastAsiaTheme="minorEastAsia"/>
          <w:snapToGrid w:val="0"/>
          <w:kern w:val="22"/>
          <w:lang w:eastAsia="zh-CN"/>
        </w:rPr>
        <w:t>提供分析和技术支持以及能力建设，并邀请它们继续进行并进一步加强这项工作；</w:t>
      </w:r>
    </w:p>
    <w:p w:rsidR="009B18C7" w:rsidRPr="009B18C7" w:rsidRDefault="009B18C7" w:rsidP="009B18C7">
      <w:pPr>
        <w:pStyle w:val="ListParagraph"/>
        <w:numPr>
          <w:ilvl w:val="6"/>
          <w:numId w:val="18"/>
        </w:numPr>
        <w:suppressLineNumbers/>
        <w:tabs>
          <w:tab w:val="clear" w:pos="2520"/>
        </w:tabs>
        <w:suppressAutoHyphens/>
        <w:adjustRightInd w:val="0"/>
        <w:snapToGrid w:val="0"/>
        <w:ind w:left="0" w:firstLine="720"/>
        <w:rPr>
          <w:rFonts w:eastAsiaTheme="minorEastAsia"/>
          <w:snapToGrid w:val="0"/>
          <w:kern w:val="22"/>
          <w:lang w:eastAsia="zh-CN"/>
        </w:rPr>
      </w:pPr>
      <w:r w:rsidRPr="009B18C7">
        <w:rPr>
          <w:rFonts w:eastAsiaTheme="minorEastAsia"/>
          <w:snapToGrid w:val="0"/>
          <w:kern w:val="20"/>
          <w:lang w:eastAsia="zh-CN" w:bidi="th-TH"/>
        </w:rPr>
        <w:t>注意到</w:t>
      </w:r>
      <w:r w:rsidRPr="009B18C7">
        <w:rPr>
          <w:rFonts w:eastAsiaTheme="minorEastAsia"/>
          <w:snapToGrid w:val="0"/>
          <w:kern w:val="22"/>
          <w:lang w:eastAsia="zh-CN"/>
        </w:rPr>
        <w:t>国家研究在查明有害激励措施和取消或改革包括补贴在内的有害激励措施的机会，以及在设定范围和查明最有效的政策行动方面发挥的有益作用，邀请有关组织，如上段提到的组织和倡议，考虑对现有研究进行系统汇编和分析，以查明确定有害激励措施的良好做法的方法和制定适当的对策，为这类标准制定用作自愿指导意见的标准或模板；</w:t>
      </w:r>
    </w:p>
    <w:p w:rsidR="009B18C7" w:rsidRPr="009B18C7" w:rsidRDefault="009B18C7" w:rsidP="009B18C7">
      <w:pPr>
        <w:pStyle w:val="ListParagraph"/>
        <w:numPr>
          <w:ilvl w:val="6"/>
          <w:numId w:val="18"/>
        </w:numPr>
        <w:suppressLineNumbers/>
        <w:tabs>
          <w:tab w:val="clear" w:pos="2520"/>
        </w:tabs>
        <w:suppressAutoHyphens/>
        <w:adjustRightInd w:val="0"/>
        <w:snapToGrid w:val="0"/>
        <w:ind w:left="0" w:firstLine="720"/>
        <w:rPr>
          <w:rFonts w:eastAsiaTheme="minorEastAsia"/>
          <w:snapToGrid w:val="0"/>
          <w:kern w:val="22"/>
          <w:lang w:eastAsia="zh-CN"/>
        </w:rPr>
      </w:pPr>
      <w:r w:rsidRPr="009B18C7">
        <w:rPr>
          <w:rFonts w:eastAsiaTheme="minorEastAsia"/>
          <w:snapToGrid w:val="0"/>
          <w:kern w:val="20"/>
          <w:lang w:eastAsia="zh-CN" w:bidi="th-TH"/>
        </w:rPr>
        <w:t>请</w:t>
      </w:r>
      <w:r w:rsidRPr="009B18C7">
        <w:rPr>
          <w:rFonts w:eastAsiaTheme="minorEastAsia"/>
          <w:snapToGrid w:val="0"/>
          <w:kern w:val="22"/>
          <w:lang w:eastAsia="zh-CN"/>
        </w:rPr>
        <w:t>执行秘书继续并进一步加强与合作伙伴的协作，推动上文第</w:t>
      </w:r>
      <w:r w:rsidRPr="009B18C7">
        <w:rPr>
          <w:rFonts w:eastAsiaTheme="minorEastAsia"/>
          <w:snapToGrid w:val="0"/>
          <w:kern w:val="22"/>
          <w:lang w:eastAsia="zh-CN" w:bidi="th-TH"/>
        </w:rPr>
        <w:t>4</w:t>
      </w:r>
      <w:r w:rsidRPr="009B18C7">
        <w:rPr>
          <w:rFonts w:eastAsiaTheme="minorEastAsia"/>
          <w:snapToGrid w:val="0"/>
          <w:kern w:val="22"/>
          <w:lang w:eastAsia="zh-CN"/>
        </w:rPr>
        <w:t>、第</w:t>
      </w:r>
      <w:r w:rsidRPr="009B18C7">
        <w:rPr>
          <w:rFonts w:eastAsiaTheme="minorEastAsia"/>
          <w:snapToGrid w:val="0"/>
          <w:kern w:val="22"/>
          <w:lang w:eastAsia="zh-CN" w:bidi="th-TH"/>
        </w:rPr>
        <w:t>11</w:t>
      </w:r>
      <w:r w:rsidRPr="009B18C7">
        <w:rPr>
          <w:rFonts w:eastAsiaTheme="minorEastAsia"/>
          <w:snapToGrid w:val="0"/>
          <w:kern w:val="22"/>
          <w:lang w:eastAsia="zh-CN"/>
        </w:rPr>
        <w:t>和第</w:t>
      </w:r>
      <w:r w:rsidRPr="009B18C7">
        <w:rPr>
          <w:rFonts w:eastAsiaTheme="minorEastAsia"/>
          <w:snapToGrid w:val="0"/>
          <w:kern w:val="22"/>
          <w:lang w:eastAsia="zh-CN" w:bidi="th-TH"/>
        </w:rPr>
        <w:t>12</w:t>
      </w:r>
      <w:r w:rsidRPr="009B18C7">
        <w:rPr>
          <w:rFonts w:eastAsiaTheme="minorEastAsia"/>
          <w:snapToGrid w:val="0"/>
          <w:kern w:val="22"/>
          <w:lang w:eastAsia="zh-CN"/>
        </w:rPr>
        <w:t>段提及的工作。</w:t>
      </w:r>
    </w:p>
    <w:p w:rsidR="009B18C7" w:rsidRPr="009B18C7" w:rsidRDefault="009B18C7" w:rsidP="009B18C7">
      <w:pPr>
        <w:pStyle w:val="ListParagraph"/>
        <w:suppressLineNumbers/>
        <w:suppressAutoHyphens/>
        <w:adjustRightInd w:val="0"/>
        <w:snapToGrid w:val="0"/>
        <w:ind w:left="0" w:firstLine="0"/>
        <w:jc w:val="center"/>
        <w:rPr>
          <w:rFonts w:eastAsiaTheme="minorEastAsia"/>
          <w:b/>
          <w:snapToGrid w:val="0"/>
          <w:kern w:val="22"/>
          <w:lang w:eastAsia="zh-CN" w:bidi="th-TH"/>
        </w:rPr>
      </w:pPr>
      <w:r w:rsidRPr="009B18C7">
        <w:rPr>
          <w:rFonts w:eastAsiaTheme="minorEastAsia"/>
          <w:b/>
          <w:snapToGrid w:val="0"/>
          <w:kern w:val="22"/>
          <w:lang w:eastAsia="zh-CN" w:bidi="th-TH"/>
        </w:rPr>
        <w:t xml:space="preserve">E.   </w:t>
      </w:r>
      <w:r>
        <w:rPr>
          <w:rFonts w:eastAsiaTheme="minorEastAsia"/>
          <w:b/>
          <w:snapToGrid w:val="0"/>
          <w:kern w:val="22"/>
          <w:lang w:eastAsia="zh-CN" w:bidi="th-TH"/>
        </w:rPr>
        <w:t xml:space="preserve"> </w:t>
      </w:r>
      <w:r w:rsidRPr="009B18C7">
        <w:rPr>
          <w:rFonts w:eastAsiaTheme="minorEastAsia"/>
          <w:b/>
          <w:snapToGrid w:val="0"/>
          <w:kern w:val="22"/>
          <w:lang w:eastAsia="zh-CN" w:bidi="th-TH"/>
        </w:rPr>
        <w:t>2020</w:t>
      </w:r>
      <w:r w:rsidRPr="009B18C7">
        <w:rPr>
          <w:rFonts w:eastAsiaTheme="minorEastAsia"/>
          <w:b/>
          <w:snapToGrid w:val="0"/>
          <w:kern w:val="22"/>
          <w:lang w:eastAsia="zh-CN" w:bidi="th-TH"/>
        </w:rPr>
        <w:t>年后生物多样性框架资源调动组成部分</w:t>
      </w:r>
    </w:p>
    <w:p w:rsidR="009B18C7" w:rsidRPr="009B18C7" w:rsidRDefault="009B18C7" w:rsidP="009B18C7">
      <w:pPr>
        <w:pStyle w:val="ListParagraph"/>
        <w:numPr>
          <w:ilvl w:val="6"/>
          <w:numId w:val="18"/>
        </w:numPr>
        <w:suppressLineNumbers/>
        <w:tabs>
          <w:tab w:val="clear" w:pos="2520"/>
        </w:tabs>
        <w:suppressAutoHyphens/>
        <w:adjustRightInd w:val="0"/>
        <w:snapToGrid w:val="0"/>
        <w:ind w:left="0" w:firstLine="720"/>
        <w:rPr>
          <w:rFonts w:eastAsiaTheme="minorEastAsia"/>
          <w:snapToGrid w:val="0"/>
          <w:kern w:val="22"/>
          <w:lang w:eastAsia="zh-CN"/>
        </w:rPr>
      </w:pPr>
      <w:r w:rsidRPr="009B18C7">
        <w:rPr>
          <w:rFonts w:eastAsiaTheme="minorEastAsia"/>
          <w:snapToGrid w:val="0"/>
          <w:kern w:val="20"/>
          <w:lang w:eastAsia="zh-CN" w:bidi="th-TH"/>
        </w:rPr>
        <w:t>申明</w:t>
      </w:r>
      <w:r w:rsidRPr="009B18C7">
        <w:rPr>
          <w:rFonts w:eastAsiaTheme="minorEastAsia"/>
          <w:snapToGrid w:val="0"/>
          <w:kern w:val="22"/>
          <w:lang w:eastAsia="zh-CN"/>
        </w:rPr>
        <w:t>资源调动将成为公约缔约方大会第十五届会议将通过的</w:t>
      </w:r>
      <w:r w:rsidRPr="009B18C7">
        <w:rPr>
          <w:rFonts w:eastAsiaTheme="minorEastAsia"/>
          <w:snapToGrid w:val="0"/>
          <w:kern w:val="22"/>
          <w:lang w:eastAsia="zh-CN" w:bidi="th-TH"/>
        </w:rPr>
        <w:t>2020</w:t>
      </w:r>
      <w:r w:rsidRPr="009B18C7">
        <w:rPr>
          <w:rFonts w:eastAsiaTheme="minorEastAsia"/>
          <w:snapToGrid w:val="0"/>
          <w:kern w:val="22"/>
          <w:lang w:eastAsia="zh-CN"/>
        </w:rPr>
        <w:t>年后全球生物多样性框架的一个组成部分，</w:t>
      </w:r>
      <w:r w:rsidRPr="009B18C7">
        <w:rPr>
          <w:rFonts w:eastAsiaTheme="minorEastAsia"/>
          <w:snapToGrid w:val="0"/>
          <w:kern w:val="20"/>
          <w:lang w:eastAsia="zh-CN" w:bidi="th-TH"/>
        </w:rPr>
        <w:t>决定</w:t>
      </w:r>
      <w:r w:rsidRPr="009B18C7">
        <w:rPr>
          <w:rFonts w:eastAsiaTheme="minorEastAsia"/>
          <w:snapToGrid w:val="0"/>
          <w:spacing w:val="20"/>
          <w:kern w:val="22"/>
          <w:lang w:eastAsia="zh-CN"/>
        </w:rPr>
        <w:t>完全按照第</w:t>
      </w:r>
      <w:r w:rsidRPr="009B18C7">
        <w:rPr>
          <w:rFonts w:eastAsiaTheme="minorEastAsia"/>
          <w:snapToGrid w:val="0"/>
          <w:spacing w:val="20"/>
          <w:kern w:val="22"/>
          <w:lang w:eastAsia="zh-CN" w:bidi="th-TH"/>
        </w:rPr>
        <w:t>14/34</w:t>
      </w:r>
      <w:r w:rsidRPr="009B18C7">
        <w:rPr>
          <w:rFonts w:eastAsiaTheme="minorEastAsia"/>
          <w:snapToGrid w:val="0"/>
          <w:spacing w:val="20"/>
          <w:kern w:val="22"/>
          <w:lang w:eastAsia="zh-CN"/>
        </w:rPr>
        <w:t>号决定商定的</w:t>
      </w:r>
      <w:r w:rsidRPr="009B18C7">
        <w:rPr>
          <w:rFonts w:eastAsiaTheme="minorEastAsia"/>
          <w:snapToGrid w:val="0"/>
          <w:spacing w:val="20"/>
          <w:kern w:val="22"/>
          <w:lang w:eastAsia="zh-CN" w:bidi="th-TH"/>
        </w:rPr>
        <w:t>2020</w:t>
      </w:r>
      <w:r w:rsidRPr="009B18C7">
        <w:rPr>
          <w:rFonts w:eastAsiaTheme="minorEastAsia"/>
          <w:snapToGrid w:val="0"/>
          <w:spacing w:val="20"/>
          <w:kern w:val="22"/>
          <w:lang w:eastAsia="zh-CN"/>
        </w:rPr>
        <w:t>年后框架总体进程</w:t>
      </w:r>
      <w:r w:rsidRPr="009B18C7">
        <w:rPr>
          <w:rFonts w:eastAsiaTheme="minorEastAsia"/>
          <w:snapToGrid w:val="0"/>
          <w:kern w:val="22"/>
          <w:lang w:eastAsia="zh-CN"/>
        </w:rPr>
        <w:t>，在框架制定进程的早期阶段开始这一组成部分的筹备工作；</w:t>
      </w:r>
    </w:p>
    <w:p w:rsidR="009B18C7" w:rsidRPr="009B18C7" w:rsidRDefault="009B18C7" w:rsidP="009B18C7">
      <w:pPr>
        <w:pStyle w:val="ListParagraph"/>
        <w:numPr>
          <w:ilvl w:val="6"/>
          <w:numId w:val="18"/>
        </w:numPr>
        <w:suppressLineNumbers/>
        <w:tabs>
          <w:tab w:val="clear" w:pos="2520"/>
        </w:tabs>
        <w:suppressAutoHyphens/>
        <w:adjustRightInd w:val="0"/>
        <w:snapToGrid w:val="0"/>
        <w:ind w:left="0" w:firstLine="720"/>
        <w:rPr>
          <w:rFonts w:eastAsiaTheme="minorEastAsia"/>
          <w:snapToGrid w:val="0"/>
          <w:kern w:val="22"/>
          <w:lang w:eastAsia="zh-CN"/>
        </w:rPr>
      </w:pPr>
      <w:r w:rsidRPr="009B18C7">
        <w:rPr>
          <w:rFonts w:eastAsiaTheme="minorEastAsia"/>
          <w:snapToGrid w:val="0"/>
          <w:kern w:val="20"/>
          <w:lang w:eastAsia="zh-CN" w:bidi="th-TH"/>
        </w:rPr>
        <w:t>请</w:t>
      </w:r>
      <w:r w:rsidRPr="009B18C7">
        <w:rPr>
          <w:rFonts w:eastAsiaTheme="minorEastAsia"/>
          <w:snapToGrid w:val="0"/>
          <w:kern w:val="22"/>
          <w:lang w:eastAsia="zh-CN"/>
        </w:rPr>
        <w:t>执行秘书在资金允许的情况下，与由发展中国家缔约方和发达国家缔约方同数代表和国际非政府组织一位代表组成的三人或五人专家小组签订合同，开展下列活动，为</w:t>
      </w:r>
      <w:r w:rsidRPr="009B18C7">
        <w:rPr>
          <w:rFonts w:eastAsiaTheme="minorEastAsia"/>
          <w:snapToGrid w:val="0"/>
          <w:kern w:val="22"/>
          <w:lang w:eastAsia="zh-CN" w:bidi="th-TH"/>
        </w:rPr>
        <w:t>2020</w:t>
      </w:r>
      <w:r w:rsidRPr="009B18C7">
        <w:rPr>
          <w:rFonts w:eastAsiaTheme="minorEastAsia"/>
          <w:snapToGrid w:val="0"/>
          <w:kern w:val="22"/>
          <w:lang w:eastAsia="zh-CN"/>
        </w:rPr>
        <w:t>年后框架的总体进程作出贡献，并供不限成员名额工作组和缔约方大会第十五届会议审议：</w:t>
      </w:r>
    </w:p>
    <w:p w:rsidR="009B18C7" w:rsidRPr="009B18C7" w:rsidRDefault="009B18C7" w:rsidP="001A42F8">
      <w:pPr>
        <w:pStyle w:val="ListParagraph"/>
        <w:numPr>
          <w:ilvl w:val="0"/>
          <w:numId w:val="230"/>
        </w:numPr>
        <w:tabs>
          <w:tab w:val="left" w:pos="1440"/>
          <w:tab w:val="left" w:pos="10992"/>
          <w:tab w:val="left" w:pos="11908"/>
          <w:tab w:val="left" w:pos="12824"/>
          <w:tab w:val="left" w:pos="13740"/>
          <w:tab w:val="left" w:pos="14656"/>
        </w:tabs>
        <w:adjustRightInd w:val="0"/>
        <w:ind w:left="0" w:firstLine="720"/>
        <w:jc w:val="left"/>
        <w:rPr>
          <w:rFonts w:eastAsiaTheme="minorEastAsia"/>
          <w:snapToGrid w:val="0"/>
          <w:kern w:val="22"/>
          <w:lang w:eastAsia="zh-CN"/>
        </w:rPr>
      </w:pPr>
      <w:r w:rsidRPr="009B18C7">
        <w:rPr>
          <w:rFonts w:asciiTheme="minorEastAsia" w:eastAsiaTheme="minorEastAsia" w:hAnsiTheme="minorEastAsia"/>
          <w:snapToGrid w:val="0"/>
          <w:kern w:val="22"/>
          <w:lang w:eastAsia="zh-CN"/>
        </w:rPr>
        <w:t>评估“资源调动战略”</w:t>
      </w:r>
      <w:r w:rsidRPr="009B18C7">
        <w:rPr>
          <w:rFonts w:eastAsiaTheme="minorEastAsia"/>
          <w:snapToGrid w:val="0"/>
          <w:kern w:val="22"/>
          <w:lang w:eastAsia="zh-CN"/>
        </w:rPr>
        <w:t>的结构、内容和有效性，尽可能指明在实现目标方面存在的差距；</w:t>
      </w:r>
    </w:p>
    <w:p w:rsidR="009B18C7" w:rsidRPr="009B18C7" w:rsidRDefault="009B18C7" w:rsidP="001A42F8">
      <w:pPr>
        <w:pStyle w:val="ListParagraph"/>
        <w:numPr>
          <w:ilvl w:val="0"/>
          <w:numId w:val="230"/>
        </w:numPr>
        <w:tabs>
          <w:tab w:val="left" w:pos="1440"/>
          <w:tab w:val="left" w:pos="10992"/>
          <w:tab w:val="left" w:pos="11908"/>
          <w:tab w:val="left" w:pos="12824"/>
          <w:tab w:val="left" w:pos="13740"/>
          <w:tab w:val="left" w:pos="14656"/>
        </w:tabs>
        <w:adjustRightInd w:val="0"/>
        <w:ind w:left="0" w:firstLine="720"/>
        <w:jc w:val="left"/>
        <w:rPr>
          <w:rFonts w:eastAsiaTheme="minorEastAsia"/>
          <w:snapToGrid w:val="0"/>
          <w:kern w:val="22"/>
          <w:lang w:eastAsia="zh-CN"/>
        </w:rPr>
      </w:pPr>
      <w:r w:rsidRPr="009B18C7">
        <w:rPr>
          <w:rFonts w:eastAsiaTheme="minorEastAsia"/>
          <w:snapToGrid w:val="0"/>
          <w:kern w:val="22"/>
          <w:lang w:eastAsia="zh-CN"/>
        </w:rPr>
        <w:t>审查实现爱知生物多样性目标</w:t>
      </w:r>
      <w:r w:rsidRPr="009B18C7">
        <w:rPr>
          <w:rFonts w:eastAsiaTheme="minorEastAsia"/>
          <w:snapToGrid w:val="0"/>
          <w:kern w:val="22"/>
          <w:lang w:eastAsia="zh-CN"/>
        </w:rPr>
        <w:t>20</w:t>
      </w:r>
      <w:r w:rsidRPr="009B18C7">
        <w:rPr>
          <w:rFonts w:eastAsiaTheme="minorEastAsia"/>
          <w:snapToGrid w:val="0"/>
          <w:kern w:val="22"/>
          <w:lang w:eastAsia="zh-CN"/>
        </w:rPr>
        <w:t>和实施资源调动战略的经验及其充分性，并借鉴这些经验以及实施其他相关多边环境协定、公共和私营利益攸关方举措的经验和由土著人民和当地社区所获经验，根据缔约方通过财务报告框架提供的信息，包括各自确定的资源需求和其他相关来源，考虑采取适当行动的必要性；</w:t>
      </w:r>
    </w:p>
    <w:p w:rsidR="009B18C7" w:rsidRPr="009B18C7" w:rsidRDefault="009B18C7" w:rsidP="00314EE8">
      <w:pPr>
        <w:pStyle w:val="ListParagraph"/>
        <w:widowControl w:val="0"/>
        <w:numPr>
          <w:ilvl w:val="0"/>
          <w:numId w:val="230"/>
        </w:numPr>
        <w:tabs>
          <w:tab w:val="left" w:pos="1440"/>
          <w:tab w:val="left" w:pos="10992"/>
          <w:tab w:val="left" w:pos="11908"/>
          <w:tab w:val="left" w:pos="12824"/>
          <w:tab w:val="left" w:pos="13740"/>
          <w:tab w:val="left" w:pos="14656"/>
        </w:tabs>
        <w:adjustRightInd w:val="0"/>
        <w:ind w:left="0" w:firstLine="720"/>
        <w:jc w:val="left"/>
        <w:rPr>
          <w:rFonts w:eastAsiaTheme="minorEastAsia"/>
          <w:snapToGrid w:val="0"/>
          <w:kern w:val="22"/>
          <w:lang w:eastAsia="zh-CN"/>
        </w:rPr>
      </w:pPr>
      <w:r w:rsidRPr="009B18C7">
        <w:rPr>
          <w:rFonts w:eastAsiaTheme="minorEastAsia"/>
          <w:snapToGrid w:val="0"/>
          <w:kern w:val="22"/>
          <w:lang w:eastAsia="zh-CN"/>
        </w:rPr>
        <w:t>估算实施</w:t>
      </w:r>
      <w:r w:rsidRPr="009B18C7">
        <w:rPr>
          <w:rFonts w:eastAsiaTheme="minorEastAsia"/>
          <w:snapToGrid w:val="0"/>
          <w:kern w:val="22"/>
          <w:lang w:eastAsia="zh-CN"/>
        </w:rPr>
        <w:t>2020</w:t>
      </w:r>
      <w:r w:rsidRPr="009B18C7">
        <w:rPr>
          <w:rFonts w:eastAsiaTheme="minorEastAsia"/>
          <w:snapToGrid w:val="0"/>
          <w:kern w:val="22"/>
          <w:lang w:eastAsia="zh-CN"/>
        </w:rPr>
        <w:t>年后框架不同情景</w:t>
      </w:r>
      <w:r w:rsidRPr="009B18C7">
        <w:rPr>
          <w:rFonts w:eastAsiaTheme="minorEastAsia"/>
          <w:snapToGrid w:val="0"/>
          <w:kern w:val="22"/>
          <w:vertAlign w:val="superscript"/>
        </w:rPr>
        <w:footnoteReference w:id="269"/>
      </w:r>
      <w:r w:rsidRPr="009B18C7">
        <w:rPr>
          <w:rFonts w:eastAsiaTheme="minorEastAsia"/>
          <w:snapToGrid w:val="0"/>
          <w:kern w:val="22"/>
          <w:vertAlign w:val="superscript"/>
          <w:lang w:eastAsia="zh-CN"/>
        </w:rPr>
        <w:t xml:space="preserve"> </w:t>
      </w:r>
      <w:r w:rsidRPr="009B18C7">
        <w:rPr>
          <w:rFonts w:eastAsiaTheme="minorEastAsia"/>
          <w:snapToGrid w:val="0"/>
          <w:kern w:val="22"/>
          <w:lang w:eastAsia="zh-CN"/>
        </w:rPr>
        <w:t>所需各方面来源的全部资源</w:t>
      </w:r>
      <w:r w:rsidRPr="009B18C7">
        <w:rPr>
          <w:rFonts w:eastAsiaTheme="minorEastAsia"/>
          <w:snapToGrid w:val="0"/>
          <w:kern w:val="22"/>
          <w:lang w:eastAsia="zh-CN"/>
        </w:rPr>
        <w:t xml:space="preserve">, </w:t>
      </w:r>
      <w:r w:rsidRPr="009B18C7">
        <w:rPr>
          <w:rFonts w:eastAsiaTheme="minorEastAsia"/>
          <w:snapToGrid w:val="0"/>
          <w:kern w:val="22"/>
          <w:lang w:eastAsia="zh-CN"/>
        </w:rPr>
        <w:t>同时顾及对全</w:t>
      </w:r>
      <w:r w:rsidRPr="009B18C7">
        <w:rPr>
          <w:rFonts w:eastAsiaTheme="minorEastAsia"/>
          <w:snapToGrid w:val="0"/>
          <w:kern w:val="22"/>
          <w:lang w:eastAsia="zh-CN"/>
        </w:rPr>
        <w:lastRenderedPageBreak/>
        <w:t>球环境基金需求的评估以及</w:t>
      </w:r>
      <w:r w:rsidRPr="009B18C7">
        <w:rPr>
          <w:rFonts w:eastAsiaTheme="minorEastAsia"/>
          <w:snapToGrid w:val="0"/>
          <w:kern w:val="22"/>
          <w:lang w:eastAsia="zh-CN"/>
        </w:rPr>
        <w:t>2020</w:t>
      </w:r>
      <w:r w:rsidRPr="009B18C7">
        <w:rPr>
          <w:rFonts w:eastAsiaTheme="minorEastAsia"/>
          <w:snapToGrid w:val="0"/>
          <w:kern w:val="22"/>
          <w:lang w:eastAsia="zh-CN"/>
        </w:rPr>
        <w:t>年后框架实施工作所产生的成本和效益；</w:t>
      </w:r>
      <w:r w:rsidRPr="009B18C7">
        <w:rPr>
          <w:rFonts w:eastAsiaTheme="minorEastAsia"/>
          <w:snapToGrid w:val="0"/>
          <w:kern w:val="22"/>
          <w:vertAlign w:val="superscript"/>
        </w:rPr>
        <w:footnoteReference w:id="270"/>
      </w:r>
    </w:p>
    <w:p w:rsidR="009B18C7" w:rsidRPr="009B18C7" w:rsidRDefault="009B18C7" w:rsidP="001A42F8">
      <w:pPr>
        <w:pStyle w:val="ListParagraph"/>
        <w:numPr>
          <w:ilvl w:val="0"/>
          <w:numId w:val="230"/>
        </w:numPr>
        <w:tabs>
          <w:tab w:val="left" w:pos="1440"/>
          <w:tab w:val="left" w:pos="10992"/>
          <w:tab w:val="left" w:pos="11908"/>
          <w:tab w:val="left" w:pos="12824"/>
          <w:tab w:val="left" w:pos="13740"/>
          <w:tab w:val="left" w:pos="14656"/>
        </w:tabs>
        <w:adjustRightInd w:val="0"/>
        <w:ind w:left="0" w:firstLine="720"/>
        <w:jc w:val="left"/>
        <w:rPr>
          <w:rFonts w:eastAsiaTheme="minorEastAsia"/>
          <w:snapToGrid w:val="0"/>
          <w:kern w:val="22"/>
          <w:lang w:eastAsia="zh-CN"/>
        </w:rPr>
      </w:pPr>
      <w:r w:rsidRPr="009B18C7">
        <w:rPr>
          <w:rFonts w:eastAsiaTheme="minorEastAsia"/>
          <w:snapToGrid w:val="0"/>
          <w:kern w:val="22"/>
          <w:lang w:eastAsia="zh-CN"/>
        </w:rPr>
        <w:t>根据现有战略和上文</w:t>
      </w:r>
      <w:r w:rsidRPr="009B18C7">
        <w:rPr>
          <w:rFonts w:eastAsiaTheme="minorEastAsia"/>
          <w:snapToGrid w:val="0"/>
          <w:kern w:val="22"/>
          <w:lang w:eastAsia="zh-CN"/>
        </w:rPr>
        <w:t>(a)</w:t>
      </w:r>
      <w:r w:rsidRPr="009B18C7">
        <w:rPr>
          <w:rFonts w:eastAsiaTheme="minorEastAsia"/>
          <w:snapToGrid w:val="0"/>
          <w:kern w:val="22"/>
          <w:lang w:eastAsia="zh-CN"/>
        </w:rPr>
        <w:t>至</w:t>
      </w:r>
      <w:r w:rsidRPr="009B18C7">
        <w:rPr>
          <w:rFonts w:eastAsiaTheme="minorEastAsia"/>
          <w:snapToGrid w:val="0"/>
          <w:kern w:val="22"/>
          <w:lang w:eastAsia="zh-CN"/>
        </w:rPr>
        <w:t>(c)</w:t>
      </w:r>
      <w:r w:rsidRPr="009B18C7">
        <w:rPr>
          <w:rFonts w:eastAsiaTheme="minorEastAsia"/>
          <w:snapToGrid w:val="0"/>
          <w:kern w:val="22"/>
          <w:lang w:eastAsia="zh-CN"/>
        </w:rPr>
        <w:t>分段所述各项运作，为</w:t>
      </w:r>
      <w:r w:rsidRPr="009B18C7">
        <w:rPr>
          <w:rFonts w:eastAsiaTheme="minorEastAsia"/>
          <w:snapToGrid w:val="0"/>
          <w:kern w:val="22"/>
          <w:lang w:eastAsia="zh-CN"/>
        </w:rPr>
        <w:t>2020</w:t>
      </w:r>
      <w:r w:rsidRPr="009B18C7">
        <w:rPr>
          <w:rFonts w:eastAsiaTheme="minorEastAsia"/>
          <w:snapToGrid w:val="0"/>
          <w:kern w:val="22"/>
          <w:lang w:eastAsia="zh-CN"/>
        </w:rPr>
        <w:t>年后生物多样性框架的资源调动组成部分草案作出贡献，作为现有资源调动战略的后续行动；</w:t>
      </w:r>
    </w:p>
    <w:p w:rsidR="009B18C7" w:rsidRPr="009B18C7" w:rsidRDefault="009B18C7" w:rsidP="001A42F8">
      <w:pPr>
        <w:pStyle w:val="ListParagraph"/>
        <w:numPr>
          <w:ilvl w:val="0"/>
          <w:numId w:val="230"/>
        </w:numPr>
        <w:tabs>
          <w:tab w:val="left" w:pos="1440"/>
          <w:tab w:val="left" w:pos="10992"/>
          <w:tab w:val="left" w:pos="11908"/>
          <w:tab w:val="left" w:pos="12824"/>
          <w:tab w:val="left" w:pos="13740"/>
          <w:tab w:val="left" w:pos="14656"/>
        </w:tabs>
        <w:adjustRightInd w:val="0"/>
        <w:ind w:left="0" w:firstLine="720"/>
        <w:jc w:val="left"/>
        <w:rPr>
          <w:rFonts w:eastAsiaTheme="minorEastAsia"/>
          <w:snapToGrid w:val="0"/>
          <w:kern w:val="22"/>
          <w:lang w:eastAsia="zh-CN"/>
        </w:rPr>
      </w:pPr>
      <w:r w:rsidRPr="009B18C7">
        <w:rPr>
          <w:rFonts w:eastAsiaTheme="minorEastAsia"/>
          <w:snapToGrid w:val="0"/>
          <w:kern w:val="22"/>
          <w:lang w:eastAsia="zh-CN"/>
        </w:rPr>
        <w:t>探讨从所有来源调动和提供额外资源的备选方案和办法；</w:t>
      </w:r>
    </w:p>
    <w:p w:rsidR="009B18C7" w:rsidRPr="009B18C7" w:rsidRDefault="009B18C7" w:rsidP="001A42F8">
      <w:pPr>
        <w:pStyle w:val="ListParagraph"/>
        <w:numPr>
          <w:ilvl w:val="0"/>
          <w:numId w:val="230"/>
        </w:numPr>
        <w:tabs>
          <w:tab w:val="left" w:pos="1440"/>
          <w:tab w:val="left" w:pos="10992"/>
          <w:tab w:val="left" w:pos="11908"/>
          <w:tab w:val="left" w:pos="12824"/>
          <w:tab w:val="left" w:pos="13740"/>
          <w:tab w:val="left" w:pos="14656"/>
        </w:tabs>
        <w:adjustRightInd w:val="0"/>
        <w:ind w:left="0" w:firstLine="720"/>
        <w:jc w:val="left"/>
        <w:rPr>
          <w:rFonts w:eastAsiaTheme="minorEastAsia"/>
          <w:snapToGrid w:val="0"/>
          <w:kern w:val="22"/>
          <w:lang w:eastAsia="zh-CN"/>
        </w:rPr>
      </w:pPr>
      <w:r w:rsidRPr="009B18C7">
        <w:rPr>
          <w:rFonts w:eastAsiaTheme="minorEastAsia"/>
          <w:snapToGrid w:val="0"/>
          <w:kern w:val="22"/>
          <w:lang w:eastAsia="zh-CN"/>
        </w:rPr>
        <w:t>考虑如何加强各级和各种来源的更广泛金融和私营机构的参与，支持实施</w:t>
      </w:r>
      <w:r w:rsidRPr="009B18C7">
        <w:rPr>
          <w:rFonts w:eastAsiaTheme="minorEastAsia"/>
          <w:snapToGrid w:val="0"/>
          <w:kern w:val="22"/>
          <w:lang w:eastAsia="zh-CN"/>
        </w:rPr>
        <w:t>2020</w:t>
      </w:r>
      <w:r w:rsidRPr="009B18C7">
        <w:rPr>
          <w:rFonts w:eastAsiaTheme="minorEastAsia"/>
          <w:snapToGrid w:val="0"/>
          <w:kern w:val="22"/>
          <w:lang w:eastAsia="zh-CN"/>
        </w:rPr>
        <w:t>年后框架；</w:t>
      </w:r>
    </w:p>
    <w:p w:rsidR="009B18C7" w:rsidRPr="009B18C7" w:rsidRDefault="009B18C7" w:rsidP="001A42F8">
      <w:pPr>
        <w:pStyle w:val="ListParagraph"/>
        <w:numPr>
          <w:ilvl w:val="0"/>
          <w:numId w:val="230"/>
        </w:numPr>
        <w:tabs>
          <w:tab w:val="left" w:pos="1440"/>
          <w:tab w:val="left" w:pos="10992"/>
          <w:tab w:val="left" w:pos="11908"/>
          <w:tab w:val="left" w:pos="12824"/>
          <w:tab w:val="left" w:pos="13740"/>
          <w:tab w:val="left" w:pos="14656"/>
        </w:tabs>
        <w:adjustRightInd w:val="0"/>
        <w:ind w:left="0" w:firstLine="720"/>
        <w:jc w:val="left"/>
        <w:rPr>
          <w:rFonts w:eastAsiaTheme="minorEastAsia"/>
          <w:snapToGrid w:val="0"/>
          <w:kern w:val="22"/>
          <w:lang w:eastAsia="zh-CN"/>
        </w:rPr>
      </w:pPr>
      <w:r w:rsidRPr="009B18C7">
        <w:rPr>
          <w:rFonts w:eastAsiaTheme="minorEastAsia"/>
          <w:snapToGrid w:val="0"/>
          <w:kern w:val="22"/>
          <w:lang w:eastAsia="zh-CN"/>
        </w:rPr>
        <w:t>考虑如何进一步将生物多样性纳入包括关键生产部门在内的国家经济预算和发展计划的主流；</w:t>
      </w:r>
    </w:p>
    <w:p w:rsidR="009B18C7" w:rsidRPr="009B18C7" w:rsidRDefault="009B18C7" w:rsidP="001A42F8">
      <w:pPr>
        <w:pStyle w:val="ListParagraph"/>
        <w:numPr>
          <w:ilvl w:val="0"/>
          <w:numId w:val="230"/>
        </w:numPr>
        <w:tabs>
          <w:tab w:val="left" w:pos="1440"/>
          <w:tab w:val="left" w:pos="10992"/>
          <w:tab w:val="left" w:pos="11908"/>
          <w:tab w:val="left" w:pos="12824"/>
          <w:tab w:val="left" w:pos="13740"/>
          <w:tab w:val="left" w:pos="14656"/>
        </w:tabs>
        <w:adjustRightInd w:val="0"/>
        <w:ind w:left="0" w:firstLine="720"/>
        <w:jc w:val="left"/>
        <w:rPr>
          <w:rFonts w:eastAsiaTheme="minorEastAsia"/>
          <w:snapToGrid w:val="0"/>
          <w:kern w:val="22"/>
          <w:lang w:eastAsia="zh-CN"/>
        </w:rPr>
      </w:pPr>
      <w:r w:rsidRPr="009B18C7">
        <w:rPr>
          <w:rFonts w:eastAsiaTheme="minorEastAsia"/>
          <w:snapToGrid w:val="0"/>
          <w:kern w:val="22"/>
          <w:lang w:eastAsia="zh-CN"/>
        </w:rPr>
        <w:t>考虑如何提高缔约方获取和利用资金的意愿和能力，支持</w:t>
      </w:r>
      <w:r w:rsidRPr="009B18C7">
        <w:rPr>
          <w:rFonts w:eastAsiaTheme="minorEastAsia"/>
          <w:snapToGrid w:val="0"/>
          <w:kern w:val="22"/>
          <w:lang w:eastAsia="zh-CN"/>
        </w:rPr>
        <w:t>2020</w:t>
      </w:r>
      <w:r w:rsidRPr="009B18C7">
        <w:rPr>
          <w:rFonts w:eastAsiaTheme="minorEastAsia"/>
          <w:snapToGrid w:val="0"/>
          <w:kern w:val="22"/>
          <w:lang w:eastAsia="zh-CN"/>
        </w:rPr>
        <w:t>年后框架的实施。</w:t>
      </w:r>
    </w:p>
    <w:p w:rsidR="00ED6D98" w:rsidRDefault="00ED6D98">
      <w:pPr>
        <w:rPr>
          <w:rFonts w:eastAsiaTheme="minorEastAsia"/>
          <w:b/>
          <w:bCs/>
          <w:noProof/>
          <w:kern w:val="22"/>
          <w:szCs w:val="32"/>
          <w:lang w:eastAsia="zh-CN"/>
        </w:rPr>
      </w:pPr>
      <w:r>
        <w:rPr>
          <w:rFonts w:eastAsiaTheme="minorEastAsia"/>
          <w:noProof/>
          <w:kern w:val="22"/>
          <w:lang w:eastAsia="zh-CN"/>
        </w:rPr>
        <w:br w:type="page"/>
      </w:r>
    </w:p>
    <w:p w:rsidR="00ED6D98" w:rsidRPr="00ED6D98" w:rsidRDefault="00ED6D98" w:rsidP="001C2F46">
      <w:pPr>
        <w:pStyle w:val="Heading1"/>
        <w:spacing w:before="120" w:after="120"/>
        <w:ind w:firstLine="0"/>
        <w:rPr>
          <w:rFonts w:eastAsiaTheme="minorEastAsia" w:cs="Times New Roman"/>
          <w:noProof/>
          <w:kern w:val="22"/>
          <w:sz w:val="24"/>
          <w:lang w:eastAsia="zh-CN"/>
        </w:rPr>
      </w:pPr>
      <w:bookmarkStart w:id="184" w:name="_Toc6243775"/>
      <w:r w:rsidRPr="00ED6D98">
        <w:rPr>
          <w:rFonts w:eastAsiaTheme="minorEastAsia" w:cs="Times New Roman"/>
          <w:noProof/>
          <w:kern w:val="22"/>
          <w:sz w:val="24"/>
          <w:lang w:eastAsia="zh-CN"/>
        </w:rPr>
        <w:lastRenderedPageBreak/>
        <w:t>14/23.</w:t>
      </w:r>
      <w:r w:rsidRPr="00ED6D98">
        <w:rPr>
          <w:rFonts w:eastAsiaTheme="minorEastAsia" w:cs="Times New Roman"/>
          <w:noProof/>
          <w:kern w:val="22"/>
          <w:sz w:val="24"/>
          <w:lang w:eastAsia="zh-CN"/>
        </w:rPr>
        <w:tab/>
        <w:t xml:space="preserve">   </w:t>
      </w:r>
      <w:r w:rsidRPr="00ED6D98">
        <w:rPr>
          <w:rFonts w:eastAsiaTheme="minorEastAsia" w:cs="Times New Roman"/>
          <w:noProof/>
          <w:kern w:val="22"/>
          <w:sz w:val="24"/>
          <w:lang w:eastAsia="zh-CN"/>
        </w:rPr>
        <w:t>财务机制</w:t>
      </w:r>
      <w:bookmarkEnd w:id="184"/>
      <w:r w:rsidRPr="00ED6D98">
        <w:rPr>
          <w:rFonts w:eastAsiaTheme="minorEastAsia" w:cs="Times New Roman"/>
          <w:noProof/>
          <w:kern w:val="22"/>
          <w:sz w:val="24"/>
          <w:lang w:eastAsia="zh-CN"/>
        </w:rPr>
        <w:t xml:space="preserve"> </w:t>
      </w:r>
    </w:p>
    <w:p w:rsidR="00ED6D98" w:rsidRPr="00BC3E58" w:rsidRDefault="00ED6D98" w:rsidP="00ED6D98">
      <w:pPr>
        <w:pStyle w:val="Para1"/>
        <w:tabs>
          <w:tab w:val="clear" w:pos="360"/>
        </w:tabs>
        <w:adjustRightInd w:val="0"/>
        <w:snapToGrid w:val="0"/>
        <w:rPr>
          <w:rFonts w:hAnsi="SimSun"/>
          <w:noProof/>
          <w:kern w:val="22"/>
          <w:sz w:val="24"/>
          <w:szCs w:val="24"/>
          <w:lang w:eastAsia="zh-CN"/>
        </w:rPr>
      </w:pPr>
      <w:r w:rsidRPr="00E40630">
        <w:rPr>
          <w:rFonts w:ascii="KaiTi" w:eastAsia="KaiTi" w:hAnsi="KaiTi"/>
          <w:kern w:val="22"/>
          <w:sz w:val="24"/>
          <w:szCs w:val="24"/>
          <w:lang w:val="zh-CN" w:eastAsia="zh-CN"/>
        </w:rPr>
        <w:t>缔约方大会</w:t>
      </w:r>
      <w:r w:rsidRPr="00E40630">
        <w:rPr>
          <w:rFonts w:hAnsi="SimSun"/>
          <w:noProof/>
          <w:kern w:val="22"/>
          <w:sz w:val="24"/>
          <w:szCs w:val="24"/>
          <w:lang w:eastAsia="zh-CN"/>
        </w:rPr>
        <w:t>，</w:t>
      </w:r>
    </w:p>
    <w:p w:rsidR="00ED6D98" w:rsidRPr="00ED6D98" w:rsidRDefault="00ED6D98" w:rsidP="00ED6D98">
      <w:pPr>
        <w:pStyle w:val="Para1"/>
        <w:tabs>
          <w:tab w:val="clear" w:pos="360"/>
        </w:tabs>
        <w:adjustRightInd w:val="0"/>
        <w:snapToGrid w:val="0"/>
        <w:rPr>
          <w:rFonts w:eastAsiaTheme="minorEastAsia"/>
          <w:iCs/>
          <w:sz w:val="24"/>
          <w:lang w:eastAsia="zh-CN"/>
        </w:rPr>
      </w:pPr>
      <w:r w:rsidRPr="00ED6D98">
        <w:rPr>
          <w:rFonts w:ascii="KaiTi" w:eastAsia="KaiTi" w:hAnsi="KaiTi"/>
          <w:kern w:val="22"/>
          <w:sz w:val="24"/>
          <w:szCs w:val="24"/>
          <w:lang w:val="zh-CN" w:eastAsia="zh-CN"/>
        </w:rPr>
        <w:t>回顾</w:t>
      </w:r>
      <w:r w:rsidRPr="00ED6D98">
        <w:rPr>
          <w:rFonts w:eastAsiaTheme="minorEastAsia"/>
          <w:iCs/>
          <w:sz w:val="24"/>
          <w:lang w:eastAsia="zh-CN"/>
        </w:rPr>
        <w:t>《公约》第</w:t>
      </w:r>
      <w:r w:rsidRPr="00ED6D98">
        <w:rPr>
          <w:rFonts w:eastAsiaTheme="minorEastAsia"/>
          <w:sz w:val="24"/>
          <w:lang w:eastAsia="zh-CN"/>
        </w:rPr>
        <w:t>21</w:t>
      </w:r>
      <w:r w:rsidRPr="00ED6D98">
        <w:rPr>
          <w:rFonts w:eastAsiaTheme="minorEastAsia"/>
          <w:iCs/>
          <w:sz w:val="24"/>
          <w:lang w:eastAsia="zh-CN"/>
        </w:rPr>
        <w:t>条和相关条款、《卡塔赫纳生物安全议定书》第</w:t>
      </w:r>
      <w:r w:rsidRPr="00ED6D98">
        <w:rPr>
          <w:rFonts w:eastAsiaTheme="minorEastAsia"/>
          <w:sz w:val="24"/>
          <w:lang w:eastAsia="zh-CN"/>
        </w:rPr>
        <w:t>28</w:t>
      </w:r>
      <w:r w:rsidRPr="00ED6D98">
        <w:rPr>
          <w:rFonts w:eastAsiaTheme="minorEastAsia"/>
          <w:iCs/>
          <w:sz w:val="24"/>
          <w:lang w:eastAsia="zh-CN"/>
        </w:rPr>
        <w:t>条和《</w:t>
      </w:r>
      <w:r w:rsidRPr="00ED6D98">
        <w:rPr>
          <w:rFonts w:eastAsiaTheme="minorEastAsia"/>
          <w:sz w:val="24"/>
          <w:lang w:eastAsia="zh-CN"/>
        </w:rPr>
        <w:t>关于获取遗传资源和惠益分享的名古屋议定书</w:t>
      </w:r>
      <w:r w:rsidRPr="00ED6D98">
        <w:rPr>
          <w:rFonts w:eastAsiaTheme="minorEastAsia"/>
          <w:iCs/>
          <w:sz w:val="24"/>
          <w:lang w:eastAsia="zh-CN"/>
        </w:rPr>
        <w:t>》第</w:t>
      </w:r>
      <w:r w:rsidRPr="00ED6D98">
        <w:rPr>
          <w:rFonts w:eastAsiaTheme="minorEastAsia"/>
          <w:sz w:val="24"/>
          <w:lang w:eastAsia="zh-CN"/>
        </w:rPr>
        <w:t>25</w:t>
      </w:r>
      <w:r w:rsidRPr="00ED6D98">
        <w:rPr>
          <w:rFonts w:eastAsiaTheme="minorEastAsia"/>
          <w:iCs/>
          <w:sz w:val="24"/>
          <w:lang w:eastAsia="zh-CN"/>
        </w:rPr>
        <w:t>条，</w:t>
      </w:r>
    </w:p>
    <w:p w:rsidR="00ED6D98" w:rsidRPr="00ED6D98" w:rsidRDefault="00ED6D98" w:rsidP="00ED6D98">
      <w:pPr>
        <w:pStyle w:val="Para1"/>
        <w:tabs>
          <w:tab w:val="clear" w:pos="360"/>
        </w:tabs>
        <w:adjustRightInd w:val="0"/>
        <w:snapToGrid w:val="0"/>
        <w:rPr>
          <w:rFonts w:eastAsiaTheme="minorEastAsia"/>
          <w:iCs/>
          <w:sz w:val="24"/>
          <w:lang w:eastAsia="zh-CN"/>
        </w:rPr>
      </w:pPr>
      <w:r w:rsidRPr="00ED6D98">
        <w:rPr>
          <w:rFonts w:ascii="KaiTi" w:eastAsia="KaiTi" w:hAnsi="KaiTi"/>
          <w:kern w:val="22"/>
          <w:sz w:val="24"/>
          <w:szCs w:val="24"/>
          <w:lang w:val="zh-CN" w:eastAsia="zh-CN"/>
        </w:rPr>
        <w:t>又回顾</w:t>
      </w:r>
      <w:r w:rsidRPr="00ED6D98">
        <w:rPr>
          <w:rFonts w:eastAsiaTheme="minorEastAsia"/>
          <w:iCs/>
          <w:sz w:val="24"/>
          <w:lang w:eastAsia="zh-CN"/>
        </w:rPr>
        <w:t>第</w:t>
      </w:r>
      <w:r w:rsidRPr="00ED6D98">
        <w:rPr>
          <w:rFonts w:eastAsiaTheme="minorEastAsia"/>
          <w:sz w:val="24"/>
          <w:lang w:eastAsia="zh-CN"/>
        </w:rPr>
        <w:t>XIII/21</w:t>
      </w:r>
      <w:r w:rsidRPr="00ED6D98">
        <w:rPr>
          <w:rFonts w:eastAsiaTheme="minorEastAsia"/>
          <w:sz w:val="24"/>
          <w:lang w:eastAsia="zh-CN"/>
        </w:rPr>
        <w:t>号</w:t>
      </w:r>
      <w:r w:rsidRPr="00ED6D98">
        <w:rPr>
          <w:rFonts w:eastAsiaTheme="minorEastAsia"/>
          <w:iCs/>
          <w:sz w:val="24"/>
          <w:lang w:eastAsia="zh-CN"/>
        </w:rPr>
        <w:t>和第</w:t>
      </w:r>
      <w:r w:rsidRPr="00ED6D98">
        <w:rPr>
          <w:rFonts w:eastAsiaTheme="minorEastAsia"/>
          <w:sz w:val="24"/>
          <w:lang w:eastAsia="zh-CN"/>
        </w:rPr>
        <w:t>III/8</w:t>
      </w:r>
      <w:r w:rsidRPr="00ED6D98">
        <w:rPr>
          <w:rFonts w:eastAsiaTheme="minorEastAsia"/>
          <w:iCs/>
          <w:sz w:val="24"/>
          <w:lang w:eastAsia="zh-CN"/>
        </w:rPr>
        <w:t>号决定，</w:t>
      </w:r>
    </w:p>
    <w:p w:rsidR="00ED6D98" w:rsidRPr="00ED6D98" w:rsidRDefault="00ED6D98" w:rsidP="00ED6D98">
      <w:pPr>
        <w:pStyle w:val="Para1"/>
        <w:tabs>
          <w:tab w:val="clear" w:pos="360"/>
        </w:tabs>
        <w:adjustRightInd w:val="0"/>
        <w:snapToGrid w:val="0"/>
        <w:rPr>
          <w:rFonts w:eastAsiaTheme="minorEastAsia"/>
          <w:iCs/>
          <w:sz w:val="24"/>
          <w:lang w:eastAsia="zh-CN"/>
        </w:rPr>
      </w:pPr>
      <w:r w:rsidRPr="00ED6D98">
        <w:rPr>
          <w:rFonts w:ascii="KaiTi" w:eastAsia="KaiTi" w:hAnsi="KaiTi"/>
          <w:kern w:val="22"/>
          <w:sz w:val="24"/>
          <w:szCs w:val="24"/>
          <w:lang w:val="zh-CN" w:eastAsia="zh-CN"/>
        </w:rPr>
        <w:t>赞赏地注意到</w:t>
      </w:r>
      <w:r w:rsidRPr="00ED6D98">
        <w:rPr>
          <w:rFonts w:eastAsiaTheme="minorEastAsia"/>
          <w:iCs/>
          <w:sz w:val="24"/>
          <w:lang w:eastAsia="zh-CN"/>
        </w:rPr>
        <w:t>全球环境基金的报告，</w:t>
      </w:r>
      <w:r w:rsidRPr="00ED6D98">
        <w:rPr>
          <w:rFonts w:eastAsiaTheme="minorEastAsia"/>
          <w:kern w:val="22"/>
          <w:sz w:val="24"/>
          <w:vertAlign w:val="superscript"/>
        </w:rPr>
        <w:footnoteReference w:id="271"/>
      </w:r>
    </w:p>
    <w:p w:rsidR="00ED6D98" w:rsidRPr="00ED6D98" w:rsidRDefault="00ED6D98" w:rsidP="00ED6D98">
      <w:pPr>
        <w:pStyle w:val="Para1"/>
        <w:tabs>
          <w:tab w:val="clear" w:pos="360"/>
        </w:tabs>
        <w:adjustRightInd w:val="0"/>
        <w:snapToGrid w:val="0"/>
        <w:rPr>
          <w:rFonts w:eastAsiaTheme="minorEastAsia"/>
          <w:iCs/>
          <w:sz w:val="24"/>
          <w:lang w:eastAsia="zh-CN"/>
        </w:rPr>
      </w:pPr>
      <w:r w:rsidRPr="00ED6D98">
        <w:rPr>
          <w:rFonts w:ascii="KaiTi" w:eastAsia="KaiTi" w:hAnsi="KaiTi"/>
          <w:kern w:val="22"/>
          <w:sz w:val="24"/>
          <w:szCs w:val="24"/>
          <w:lang w:val="zh-CN" w:eastAsia="zh-CN"/>
        </w:rPr>
        <w:t>表示注意到</w:t>
      </w:r>
      <w:r w:rsidRPr="00ED6D98">
        <w:rPr>
          <w:rFonts w:eastAsiaTheme="minorEastAsia"/>
          <w:iCs/>
          <w:sz w:val="24"/>
          <w:lang w:eastAsia="zh-CN"/>
        </w:rPr>
        <w:t>执行秘书关于财务机制的说明中有关《公约》第</w:t>
      </w:r>
      <w:r w:rsidRPr="00ED6D98">
        <w:rPr>
          <w:rFonts w:eastAsiaTheme="minorEastAsia"/>
          <w:sz w:val="24"/>
          <w:lang w:eastAsia="zh-CN"/>
        </w:rPr>
        <w:t>21</w:t>
      </w:r>
      <w:r w:rsidRPr="00ED6D98">
        <w:rPr>
          <w:rFonts w:eastAsiaTheme="minorEastAsia"/>
          <w:iCs/>
          <w:sz w:val="24"/>
          <w:lang w:eastAsia="zh-CN"/>
        </w:rPr>
        <w:t>条的执行情况的信息，</w:t>
      </w:r>
      <w:r w:rsidRPr="00ED6D98">
        <w:rPr>
          <w:rFonts w:eastAsiaTheme="minorEastAsia"/>
          <w:kern w:val="22"/>
          <w:sz w:val="24"/>
          <w:vertAlign w:val="superscript"/>
        </w:rPr>
        <w:footnoteReference w:id="272"/>
      </w:r>
    </w:p>
    <w:p w:rsidR="00ED6D98" w:rsidRPr="00ED6D98" w:rsidRDefault="00ED6D98" w:rsidP="00ED6D98">
      <w:pPr>
        <w:pStyle w:val="Para1"/>
        <w:tabs>
          <w:tab w:val="clear" w:pos="360"/>
        </w:tabs>
        <w:adjustRightInd w:val="0"/>
        <w:snapToGrid w:val="0"/>
        <w:rPr>
          <w:rFonts w:eastAsiaTheme="minorEastAsia"/>
          <w:iCs/>
          <w:sz w:val="24"/>
          <w:lang w:eastAsia="zh-CN"/>
        </w:rPr>
      </w:pPr>
      <w:r w:rsidRPr="00ED6D98">
        <w:rPr>
          <w:rFonts w:ascii="KaiTi" w:eastAsia="KaiTi" w:hAnsi="KaiTi"/>
          <w:kern w:val="22"/>
          <w:sz w:val="24"/>
          <w:szCs w:val="24"/>
          <w:lang w:val="zh-CN" w:eastAsia="zh-CN"/>
        </w:rPr>
        <w:t>审议了</w:t>
      </w:r>
      <w:r w:rsidRPr="00ED6D98">
        <w:rPr>
          <w:rFonts w:eastAsiaTheme="minorEastAsia"/>
          <w:iCs/>
          <w:sz w:val="24"/>
          <w:lang w:eastAsia="zh-CN"/>
        </w:rPr>
        <w:t>关于审查财务机制（第</w:t>
      </w:r>
      <w:r w:rsidRPr="00ED6D98">
        <w:rPr>
          <w:rFonts w:eastAsiaTheme="minorEastAsia"/>
          <w:sz w:val="24"/>
          <w:lang w:eastAsia="zh-CN"/>
        </w:rPr>
        <w:t>21</w:t>
      </w:r>
      <w:r w:rsidRPr="00ED6D98">
        <w:rPr>
          <w:rFonts w:eastAsiaTheme="minorEastAsia"/>
          <w:iCs/>
          <w:sz w:val="24"/>
          <w:lang w:eastAsia="zh-CN"/>
        </w:rPr>
        <w:t>条）执行情况的第</w:t>
      </w:r>
      <w:r w:rsidRPr="00ED6D98">
        <w:rPr>
          <w:rFonts w:eastAsiaTheme="minorEastAsia"/>
          <w:sz w:val="24"/>
          <w:lang w:eastAsia="zh-CN"/>
        </w:rPr>
        <w:t>2/7</w:t>
      </w:r>
      <w:r w:rsidRPr="00ED6D98">
        <w:rPr>
          <w:rFonts w:eastAsiaTheme="minorEastAsia"/>
          <w:iCs/>
          <w:sz w:val="24"/>
          <w:lang w:eastAsia="zh-CN"/>
        </w:rPr>
        <w:t>号建议，</w:t>
      </w:r>
    </w:p>
    <w:p w:rsidR="00ED6D98" w:rsidRPr="00ED6D98" w:rsidRDefault="00ED6D98" w:rsidP="001A42F8">
      <w:pPr>
        <w:pStyle w:val="Para1"/>
        <w:numPr>
          <w:ilvl w:val="0"/>
          <w:numId w:val="231"/>
        </w:numPr>
        <w:tabs>
          <w:tab w:val="clear" w:pos="360"/>
          <w:tab w:val="num" w:pos="1440"/>
        </w:tabs>
        <w:adjustRightInd w:val="0"/>
        <w:snapToGrid w:val="0"/>
        <w:rPr>
          <w:rFonts w:eastAsiaTheme="minorEastAsia"/>
          <w:b/>
          <w:sz w:val="24"/>
          <w:lang w:eastAsia="zh-CN"/>
        </w:rPr>
      </w:pPr>
      <w:r w:rsidRPr="00ED6D98">
        <w:rPr>
          <w:rFonts w:ascii="KaiTi" w:eastAsia="KaiTi" w:hAnsi="KaiTi"/>
          <w:kern w:val="22"/>
          <w:sz w:val="24"/>
          <w:szCs w:val="24"/>
          <w:lang w:val="zh-CN" w:eastAsia="zh-CN"/>
        </w:rPr>
        <w:t>欢迎</w:t>
      </w:r>
      <w:r w:rsidRPr="00ED6D98">
        <w:rPr>
          <w:rFonts w:eastAsiaTheme="minorEastAsia"/>
          <w:iCs/>
          <w:sz w:val="24"/>
          <w:lang w:eastAsia="zh-CN"/>
        </w:rPr>
        <w:t>全球环境基金信托基金第七次增资圆满结束，感谢各缔约方和各国政府为在剩余年份中执行</w:t>
      </w:r>
      <w:r w:rsidRPr="00ED6D98">
        <w:rPr>
          <w:rFonts w:eastAsiaTheme="minorEastAsia"/>
          <w:sz w:val="24"/>
          <w:lang w:eastAsia="zh-CN"/>
        </w:rPr>
        <w:t>《</w:t>
      </w:r>
      <w:r w:rsidRPr="00ED6D98">
        <w:rPr>
          <w:rFonts w:eastAsiaTheme="minorEastAsia"/>
          <w:sz w:val="24"/>
          <w:lang w:eastAsia="zh-CN"/>
        </w:rPr>
        <w:t>2011-2020</w:t>
      </w:r>
      <w:r w:rsidRPr="00ED6D98">
        <w:rPr>
          <w:rFonts w:eastAsiaTheme="minorEastAsia"/>
          <w:iCs/>
          <w:sz w:val="24"/>
          <w:lang w:eastAsia="zh-CN"/>
        </w:rPr>
        <w:t>年生物多样性战略计划》的任务继续提供财务支持，以及支持</w:t>
      </w:r>
      <w:r w:rsidRPr="00ED6D98">
        <w:rPr>
          <w:rFonts w:eastAsiaTheme="minorEastAsia"/>
          <w:iCs/>
          <w:sz w:val="24"/>
          <w:lang w:eastAsia="zh-CN"/>
        </w:rPr>
        <w:t>2020</w:t>
      </w:r>
      <w:r w:rsidRPr="00ED6D98">
        <w:rPr>
          <w:rFonts w:eastAsiaTheme="minorEastAsia"/>
          <w:iCs/>
          <w:sz w:val="24"/>
          <w:lang w:eastAsia="zh-CN"/>
        </w:rPr>
        <w:t>年后全球生物多样性框架头两年的执行工作；</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iCs/>
          <w:sz w:val="24"/>
          <w:lang w:eastAsia="zh-CN"/>
        </w:rPr>
      </w:pPr>
      <w:r w:rsidRPr="00ED6D98">
        <w:rPr>
          <w:rFonts w:ascii="KaiTi" w:eastAsia="KaiTi" w:hAnsi="KaiTi"/>
          <w:kern w:val="22"/>
          <w:sz w:val="24"/>
          <w:szCs w:val="24"/>
          <w:lang w:val="zh-CN" w:eastAsia="zh-CN"/>
        </w:rPr>
        <w:t>注意到</w:t>
      </w:r>
      <w:r w:rsidRPr="00ED6D98">
        <w:rPr>
          <w:rFonts w:eastAsiaTheme="minorEastAsia"/>
          <w:iCs/>
          <w:sz w:val="24"/>
          <w:lang w:eastAsia="zh-CN"/>
        </w:rPr>
        <w:t>信托基金第七次增资的生物多样性方案编制方向反映了缔约方大会第十三届会议通过的指导意见，其中包括对财务机制的综合指导意见和方案优先事项的四年期框架（</w:t>
      </w:r>
      <w:r w:rsidRPr="00ED6D98">
        <w:rPr>
          <w:rFonts w:eastAsiaTheme="minorEastAsia"/>
          <w:iCs/>
          <w:sz w:val="24"/>
          <w:lang w:eastAsia="zh-CN"/>
        </w:rPr>
        <w:t>2018</w:t>
      </w:r>
      <w:r w:rsidRPr="00ED6D98">
        <w:rPr>
          <w:rFonts w:eastAsiaTheme="minorEastAsia"/>
          <w:iCs/>
          <w:sz w:val="24"/>
          <w:lang w:eastAsia="zh-CN"/>
        </w:rPr>
        <w:t>年</w:t>
      </w:r>
      <w:r w:rsidRPr="00ED6D98">
        <w:rPr>
          <w:rFonts w:eastAsiaTheme="minorEastAsia"/>
          <w:iCs/>
          <w:sz w:val="24"/>
          <w:lang w:eastAsia="zh-CN"/>
        </w:rPr>
        <w:t>7</w:t>
      </w:r>
      <w:r w:rsidRPr="00ED6D98">
        <w:rPr>
          <w:rFonts w:eastAsiaTheme="minorEastAsia"/>
          <w:iCs/>
          <w:sz w:val="24"/>
          <w:lang w:eastAsia="zh-CN"/>
        </w:rPr>
        <w:t>月至</w:t>
      </w:r>
      <w:r w:rsidRPr="00ED6D98">
        <w:rPr>
          <w:rFonts w:eastAsiaTheme="minorEastAsia"/>
          <w:iCs/>
          <w:sz w:val="24"/>
          <w:lang w:eastAsia="zh-CN"/>
        </w:rPr>
        <w:t>2022</w:t>
      </w:r>
      <w:r w:rsidRPr="00ED6D98">
        <w:rPr>
          <w:rFonts w:eastAsiaTheme="minorEastAsia"/>
          <w:iCs/>
          <w:sz w:val="24"/>
          <w:lang w:eastAsia="zh-CN"/>
        </w:rPr>
        <w:t>年</w:t>
      </w:r>
      <w:r w:rsidRPr="00ED6D98">
        <w:rPr>
          <w:rFonts w:eastAsiaTheme="minorEastAsia"/>
          <w:iCs/>
          <w:sz w:val="24"/>
          <w:lang w:eastAsia="zh-CN"/>
        </w:rPr>
        <w:t>6</w:t>
      </w:r>
      <w:r w:rsidRPr="00ED6D98">
        <w:rPr>
          <w:rFonts w:eastAsiaTheme="minorEastAsia"/>
          <w:iCs/>
          <w:sz w:val="24"/>
          <w:lang w:eastAsia="zh-CN"/>
        </w:rPr>
        <w:t>月）以及进一步的指导意见；</w:t>
      </w:r>
      <w:r w:rsidRPr="00ED6D98">
        <w:rPr>
          <w:rFonts w:eastAsiaTheme="minorEastAsia"/>
          <w:iCs/>
          <w:sz w:val="24"/>
          <w:vertAlign w:val="superscript"/>
        </w:rPr>
        <w:footnoteReference w:id="273"/>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sz w:val="24"/>
          <w:lang w:eastAsia="zh-CN"/>
        </w:rPr>
      </w:pPr>
      <w:r w:rsidRPr="00ED6D98">
        <w:rPr>
          <w:rFonts w:ascii="KaiTi" w:eastAsia="KaiTi" w:hAnsi="KaiTi"/>
          <w:kern w:val="22"/>
          <w:sz w:val="24"/>
          <w:szCs w:val="24"/>
          <w:lang w:val="zh-CN" w:eastAsia="zh-CN"/>
        </w:rPr>
        <w:t>欢迎</w:t>
      </w:r>
      <w:r w:rsidRPr="00ED6D98">
        <w:rPr>
          <w:rFonts w:eastAsiaTheme="minorEastAsia"/>
          <w:kern w:val="22"/>
          <w:sz w:val="24"/>
          <w:lang w:eastAsia="zh-CN"/>
        </w:rPr>
        <w:t>全球环境基金审查和更新其环境和社会保障措施及其各机构的相关系统的进程以及</w:t>
      </w:r>
      <w:r w:rsidRPr="00ED6D98">
        <w:rPr>
          <w:rFonts w:eastAsiaTheme="minorEastAsia"/>
          <w:color w:val="212121"/>
          <w:sz w:val="24"/>
          <w:lang w:eastAsia="zh-CN"/>
        </w:rPr>
        <w:t>在新的性别平等实施战略中推进性别平等的指导意见</w:t>
      </w:r>
      <w:r w:rsidRPr="00ED6D98">
        <w:rPr>
          <w:rFonts w:eastAsiaTheme="minorEastAsia"/>
          <w:kern w:val="22"/>
          <w:sz w:val="24"/>
          <w:lang w:eastAsia="zh-CN"/>
        </w:rPr>
        <w:t>，同时注意到其结果将同样适用于全球环境基金资助的所有项目，并</w:t>
      </w:r>
      <w:r w:rsidRPr="00ED6D98">
        <w:rPr>
          <w:rFonts w:eastAsiaTheme="minorEastAsia"/>
          <w:kern w:val="20"/>
          <w:sz w:val="24"/>
          <w:lang w:eastAsia="zh-CN"/>
        </w:rPr>
        <w:t>邀请</w:t>
      </w:r>
      <w:r w:rsidRPr="00ED6D98">
        <w:rPr>
          <w:rFonts w:eastAsiaTheme="minorEastAsia"/>
          <w:kern w:val="22"/>
          <w:sz w:val="24"/>
          <w:lang w:eastAsia="zh-CN"/>
        </w:rPr>
        <w:t>全球环境基金向缔约方大会通报如何在这一重要进程中考虑到《公约》的生物多样性融资机制保障措施自愿准则；</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sz w:val="24"/>
          <w:lang w:eastAsia="zh-CN"/>
        </w:rPr>
      </w:pPr>
      <w:r w:rsidRPr="00ED6D98">
        <w:rPr>
          <w:rFonts w:ascii="KaiTi" w:eastAsia="KaiTi" w:hAnsi="KaiTi"/>
          <w:kern w:val="22"/>
          <w:sz w:val="24"/>
          <w:szCs w:val="24"/>
          <w:lang w:val="zh-CN" w:eastAsia="zh-CN"/>
        </w:rPr>
        <w:t>注意到</w:t>
      </w:r>
      <w:r w:rsidRPr="00ED6D98">
        <w:rPr>
          <w:rFonts w:eastAsiaTheme="minorEastAsia"/>
          <w:sz w:val="24"/>
          <w:lang w:eastAsia="zh-CN"/>
        </w:rPr>
        <w:t>正在根据最佳做法标准，审查和更新全球环境基金关于保障措施的政策和与土著人民接触的规则；</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sz w:val="24"/>
          <w:lang w:eastAsia="zh-CN"/>
        </w:rPr>
      </w:pPr>
      <w:r w:rsidRPr="00ED6D98">
        <w:rPr>
          <w:rFonts w:ascii="KaiTi" w:eastAsia="KaiTi" w:hAnsi="KaiTi"/>
          <w:kern w:val="22"/>
          <w:sz w:val="24"/>
          <w:szCs w:val="24"/>
          <w:lang w:val="zh-CN" w:eastAsia="zh-CN"/>
        </w:rPr>
        <w:t>邀请</w:t>
      </w:r>
      <w:r w:rsidRPr="00ED6D98">
        <w:rPr>
          <w:rFonts w:eastAsiaTheme="minorEastAsia"/>
          <w:iCs/>
          <w:sz w:val="24"/>
          <w:lang w:eastAsia="zh-CN"/>
        </w:rPr>
        <w:t>各缔约方在利用全球环境基金第七次增资拨款的同时，酌情通过土著人民和地方社区的方案、项目和活动，包括全球环境基金的小额赠款方案，</w:t>
      </w:r>
      <w:r w:rsidRPr="00ED6D98">
        <w:rPr>
          <w:rFonts w:eastAsiaTheme="minorEastAsia"/>
          <w:iCs/>
          <w:sz w:val="24"/>
          <w:lang w:val="en-US" w:eastAsia="zh-CN"/>
        </w:rPr>
        <w:t>支持</w:t>
      </w:r>
      <w:r w:rsidRPr="00ED6D98">
        <w:rPr>
          <w:rFonts w:eastAsiaTheme="minorEastAsia"/>
          <w:iCs/>
          <w:sz w:val="24"/>
          <w:lang w:eastAsia="zh-CN"/>
        </w:rPr>
        <w:t>土著人民和地方社区对实现《爱知生物多样性指标》的集体行动和贡献；</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iCs/>
          <w:sz w:val="24"/>
          <w:lang w:eastAsia="zh-CN"/>
        </w:rPr>
      </w:pPr>
      <w:r w:rsidRPr="00ED6D98">
        <w:rPr>
          <w:rFonts w:ascii="KaiTi" w:eastAsia="KaiTi" w:hAnsi="KaiTi"/>
          <w:kern w:val="22"/>
          <w:sz w:val="24"/>
          <w:szCs w:val="24"/>
          <w:lang w:val="zh-CN" w:eastAsia="zh-CN"/>
        </w:rPr>
        <w:t>邀请</w:t>
      </w:r>
      <w:r w:rsidRPr="00ED6D98">
        <w:rPr>
          <w:rFonts w:eastAsiaTheme="minorEastAsia"/>
          <w:sz w:val="24"/>
          <w:lang w:eastAsia="zh-CN"/>
        </w:rPr>
        <w:t>全球环境基金以有效的方式继续支持根据</w:t>
      </w:r>
      <w:r w:rsidRPr="00ED6D98">
        <w:rPr>
          <w:rFonts w:eastAsiaTheme="minorEastAsia"/>
          <w:iCs/>
          <w:sz w:val="24"/>
          <w:lang w:eastAsia="zh-CN"/>
        </w:rPr>
        <w:t>《</w:t>
      </w:r>
      <w:r w:rsidRPr="00ED6D98">
        <w:rPr>
          <w:rFonts w:eastAsiaTheme="minorEastAsia"/>
          <w:iCs/>
          <w:sz w:val="24"/>
          <w:lang w:eastAsia="zh-CN"/>
        </w:rPr>
        <w:t>2011-2020</w:t>
      </w:r>
      <w:r w:rsidRPr="00ED6D98">
        <w:rPr>
          <w:rFonts w:eastAsiaTheme="minorEastAsia"/>
          <w:sz w:val="24"/>
          <w:lang w:eastAsia="zh-CN"/>
        </w:rPr>
        <w:t>年生物多样性战略计划》开展国家执行活动，使缔约方能够在</w:t>
      </w:r>
      <w:r w:rsidRPr="00ED6D98">
        <w:rPr>
          <w:rFonts w:eastAsiaTheme="minorEastAsia"/>
          <w:sz w:val="24"/>
          <w:lang w:eastAsia="zh-CN"/>
        </w:rPr>
        <w:t>2020</w:t>
      </w:r>
      <w:r w:rsidRPr="00ED6D98">
        <w:rPr>
          <w:rFonts w:eastAsiaTheme="minorEastAsia"/>
          <w:sz w:val="24"/>
          <w:lang w:eastAsia="zh-CN"/>
        </w:rPr>
        <w:t>年前强化在《爱知生物多样性指标》方面的进展；</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iCs/>
          <w:sz w:val="24"/>
          <w:lang w:eastAsia="zh-CN"/>
        </w:rPr>
      </w:pPr>
      <w:r w:rsidRPr="00ED6D98">
        <w:rPr>
          <w:rFonts w:ascii="KaiTi" w:eastAsia="KaiTi" w:hAnsi="KaiTi"/>
          <w:kern w:val="22"/>
          <w:sz w:val="24"/>
          <w:szCs w:val="24"/>
          <w:lang w:val="zh-CN" w:eastAsia="zh-CN"/>
        </w:rPr>
        <w:lastRenderedPageBreak/>
        <w:t>邀请</w:t>
      </w:r>
      <w:r w:rsidRPr="00ED6D98">
        <w:rPr>
          <w:rFonts w:eastAsiaTheme="minorEastAsia"/>
          <w:iCs/>
          <w:sz w:val="24"/>
          <w:lang w:eastAsia="zh-CN"/>
        </w:rPr>
        <w:t>全球环境基金依照第</w:t>
      </w:r>
      <w:r w:rsidRPr="00ED6D98">
        <w:rPr>
          <w:rFonts w:eastAsiaTheme="minorEastAsia"/>
          <w:iCs/>
          <w:sz w:val="24"/>
          <w:lang w:eastAsia="zh-CN"/>
        </w:rPr>
        <w:t>XIII/21</w:t>
      </w:r>
      <w:r w:rsidRPr="00ED6D98">
        <w:rPr>
          <w:rFonts w:eastAsiaTheme="minorEastAsia"/>
          <w:iCs/>
          <w:sz w:val="24"/>
          <w:lang w:eastAsia="zh-CN"/>
        </w:rPr>
        <w:t>号决定所载综合指导意见，继续在以下方面向所有符合资格的缔约方提供能力建设支持：</w:t>
      </w:r>
    </w:p>
    <w:p w:rsidR="00ED6D98" w:rsidRPr="00ED6D98" w:rsidRDefault="00ED6D98" w:rsidP="00ED6D98">
      <w:pPr>
        <w:pStyle w:val="Para1"/>
        <w:numPr>
          <w:ilvl w:val="1"/>
          <w:numId w:val="8"/>
        </w:numPr>
        <w:adjustRightInd w:val="0"/>
        <w:snapToGrid w:val="0"/>
        <w:rPr>
          <w:rFonts w:eastAsiaTheme="minorEastAsia"/>
          <w:iCs/>
          <w:sz w:val="24"/>
          <w:lang w:eastAsia="zh-CN"/>
        </w:rPr>
      </w:pPr>
      <w:r w:rsidRPr="00ED6D98">
        <w:rPr>
          <w:rFonts w:eastAsiaTheme="minorEastAsia"/>
          <w:iCs/>
          <w:sz w:val="24"/>
          <w:lang w:eastAsia="zh-CN"/>
        </w:rPr>
        <w:t>缔约方确定的便利进一步执行《卡塔赫纳生物安全议定书》和《</w:t>
      </w:r>
      <w:r w:rsidRPr="00ED6D98">
        <w:rPr>
          <w:rFonts w:eastAsiaTheme="minorEastAsia"/>
          <w:sz w:val="24"/>
          <w:lang w:eastAsia="zh-CN"/>
        </w:rPr>
        <w:t>关于获取遗传资源和惠益分享的名古屋议定书</w:t>
      </w:r>
      <w:r w:rsidRPr="00ED6D98">
        <w:rPr>
          <w:rFonts w:eastAsiaTheme="minorEastAsia"/>
          <w:iCs/>
          <w:sz w:val="24"/>
          <w:lang w:eastAsia="zh-CN"/>
        </w:rPr>
        <w:t>》的问题，包括区域合作项目，以期促进分享取得的经验教训和发挥相关的协同作用；</w:t>
      </w:r>
    </w:p>
    <w:p w:rsidR="00ED6D98" w:rsidRPr="00ED6D98" w:rsidRDefault="00ED6D98" w:rsidP="00ED6D98">
      <w:pPr>
        <w:pStyle w:val="Para1"/>
        <w:numPr>
          <w:ilvl w:val="1"/>
          <w:numId w:val="8"/>
        </w:numPr>
        <w:tabs>
          <w:tab w:val="clear" w:pos="1440"/>
        </w:tabs>
        <w:adjustRightInd w:val="0"/>
        <w:snapToGrid w:val="0"/>
        <w:rPr>
          <w:rFonts w:eastAsiaTheme="minorEastAsia"/>
          <w:iCs/>
          <w:sz w:val="24"/>
          <w:lang w:eastAsia="zh-CN"/>
        </w:rPr>
      </w:pPr>
      <w:r w:rsidRPr="00ED6D98">
        <w:rPr>
          <w:rFonts w:eastAsiaTheme="minorEastAsia"/>
          <w:sz w:val="24"/>
          <w:lang w:eastAsia="zh-CN"/>
        </w:rPr>
        <w:t>根据持续加强能力建设促进有效参与生物安全信息交换所的项目期间和利用生物多样性重点领域资源中学得的经验教训，利用获取和惠益分享信息交换所；</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sz w:val="24"/>
          <w:szCs w:val="24"/>
          <w:lang w:eastAsia="zh-CN"/>
        </w:rPr>
      </w:pPr>
      <w:r w:rsidRPr="00ED6D98">
        <w:rPr>
          <w:rFonts w:ascii="KaiTi" w:eastAsia="KaiTi" w:hAnsi="KaiTi"/>
          <w:kern w:val="22"/>
          <w:sz w:val="24"/>
          <w:szCs w:val="24"/>
          <w:lang w:val="zh-CN" w:eastAsia="zh-CN"/>
        </w:rPr>
        <w:t>邀请</w:t>
      </w:r>
      <w:r w:rsidRPr="00ED6D98">
        <w:rPr>
          <w:rFonts w:eastAsiaTheme="minorEastAsia"/>
          <w:kern w:val="22"/>
          <w:sz w:val="24"/>
          <w:szCs w:val="24"/>
          <w:lang w:eastAsia="zh-CN"/>
        </w:rPr>
        <w:t>全球环境基金继续提供资金，协助符合资格的缔约方执行《卡塔赫纳议定书》，特别是</w:t>
      </w:r>
      <w:r w:rsidRPr="00ED6D98">
        <w:rPr>
          <w:rFonts w:eastAsiaTheme="minorEastAsia"/>
          <w:sz w:val="24"/>
          <w:szCs w:val="24"/>
          <w:lang w:eastAsia="zh-CN"/>
        </w:rPr>
        <w:t>：</w:t>
      </w:r>
    </w:p>
    <w:p w:rsidR="00ED6D98" w:rsidRPr="00ED6D98" w:rsidRDefault="00ED6D98" w:rsidP="001A42F8">
      <w:pPr>
        <w:pStyle w:val="Para3"/>
        <w:numPr>
          <w:ilvl w:val="2"/>
          <w:numId w:val="232"/>
        </w:numPr>
        <w:adjustRightInd w:val="0"/>
        <w:snapToGrid w:val="0"/>
        <w:spacing w:before="120" w:after="120"/>
        <w:ind w:left="0" w:firstLine="720"/>
        <w:rPr>
          <w:rFonts w:eastAsiaTheme="minorEastAsia"/>
          <w:kern w:val="22"/>
          <w:sz w:val="24"/>
          <w:szCs w:val="24"/>
          <w:lang w:eastAsia="zh-CN"/>
        </w:rPr>
      </w:pPr>
      <w:r w:rsidRPr="00ED6D98">
        <w:rPr>
          <w:rFonts w:eastAsiaTheme="minorEastAsia"/>
          <w:kern w:val="22"/>
          <w:sz w:val="24"/>
          <w:szCs w:val="24"/>
          <w:lang w:eastAsia="zh-CN"/>
        </w:rPr>
        <w:t>协助尚未这样做的符合资格的缔约方全面实施《议定书》规定的措施；</w:t>
      </w:r>
    </w:p>
    <w:p w:rsidR="00ED6D98" w:rsidRPr="00ED6D98" w:rsidRDefault="00ED6D98" w:rsidP="001A42F8">
      <w:pPr>
        <w:pStyle w:val="Para3"/>
        <w:numPr>
          <w:ilvl w:val="2"/>
          <w:numId w:val="232"/>
        </w:numPr>
        <w:adjustRightInd w:val="0"/>
        <w:snapToGrid w:val="0"/>
        <w:spacing w:before="120" w:after="120"/>
        <w:ind w:left="0" w:firstLine="720"/>
        <w:rPr>
          <w:rFonts w:eastAsiaTheme="minorEastAsia"/>
          <w:kern w:val="22"/>
          <w:sz w:val="24"/>
          <w:szCs w:val="24"/>
          <w:lang w:eastAsia="zh-CN"/>
        </w:rPr>
      </w:pPr>
      <w:r w:rsidRPr="00ED6D98">
        <w:rPr>
          <w:rFonts w:eastAsiaTheme="minorEastAsia"/>
          <w:kern w:val="22"/>
          <w:sz w:val="24"/>
          <w:szCs w:val="24"/>
          <w:lang w:eastAsia="zh-CN"/>
        </w:rPr>
        <w:t>支持符合资格的缔约方履行《议定书》规定的报告义务，包括编制和提交《议定书》规定的第四次国家报告；</w:t>
      </w:r>
    </w:p>
    <w:p w:rsidR="00ED6D98" w:rsidRPr="00ED6D98" w:rsidRDefault="00ED6D98" w:rsidP="001A42F8">
      <w:pPr>
        <w:pStyle w:val="Para3"/>
        <w:numPr>
          <w:ilvl w:val="2"/>
          <w:numId w:val="232"/>
        </w:numPr>
        <w:adjustRightInd w:val="0"/>
        <w:snapToGrid w:val="0"/>
        <w:spacing w:before="120" w:after="120"/>
        <w:ind w:left="0" w:firstLine="720"/>
        <w:rPr>
          <w:rFonts w:eastAsiaTheme="minorEastAsia"/>
          <w:kern w:val="22"/>
          <w:sz w:val="24"/>
          <w:szCs w:val="24"/>
          <w:lang w:eastAsia="zh-CN"/>
        </w:rPr>
      </w:pPr>
      <w:r w:rsidRPr="00ED6D98">
        <w:rPr>
          <w:rFonts w:eastAsiaTheme="minorEastAsia"/>
          <w:kern w:val="22"/>
          <w:sz w:val="24"/>
          <w:szCs w:val="24"/>
          <w:lang w:eastAsia="zh-CN"/>
        </w:rPr>
        <w:t>支持缔约方执行关于遵守《议定书》的履约行动计划；</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sz w:val="24"/>
          <w:lang w:eastAsia="zh-CN"/>
        </w:rPr>
      </w:pPr>
      <w:r w:rsidRPr="00ED6D98">
        <w:rPr>
          <w:rFonts w:ascii="KaiTi" w:eastAsia="KaiTi" w:hAnsi="KaiTi"/>
          <w:kern w:val="22"/>
          <w:sz w:val="24"/>
          <w:szCs w:val="24"/>
          <w:lang w:val="zh-CN" w:eastAsia="zh-CN"/>
        </w:rPr>
        <w:t>邀请</w:t>
      </w:r>
      <w:r w:rsidRPr="00ED6D98">
        <w:rPr>
          <w:rFonts w:eastAsiaTheme="minorEastAsia"/>
          <w:sz w:val="24"/>
          <w:lang w:eastAsia="zh-CN"/>
        </w:rPr>
        <w:t>全球环境基金和其他相关融资机构为区域项目提供资金支持执行《卡塔赫纳议定书》，包括旨在建设科学能力以支持各国采取行动检测和识别改性活生物体的项目，特别是能够促进南北和南南分享经验和教训的项目；</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sz w:val="24"/>
          <w:szCs w:val="24"/>
          <w:lang w:eastAsia="zh-CN"/>
        </w:rPr>
      </w:pPr>
      <w:r w:rsidRPr="00ED6D98">
        <w:rPr>
          <w:rFonts w:ascii="KaiTi" w:eastAsia="KaiTi" w:hAnsi="KaiTi"/>
          <w:kern w:val="22"/>
          <w:sz w:val="24"/>
          <w:szCs w:val="24"/>
          <w:lang w:val="zh-CN" w:eastAsia="zh-CN"/>
        </w:rPr>
        <w:t>感谢</w:t>
      </w:r>
      <w:r w:rsidRPr="00ED6D98">
        <w:rPr>
          <w:rFonts w:eastAsiaTheme="minorEastAsia"/>
          <w:kern w:val="22"/>
          <w:sz w:val="24"/>
          <w:szCs w:val="24"/>
          <w:lang w:eastAsia="zh-CN"/>
        </w:rPr>
        <w:t>全球环境基金为众多符合资格的缔约方提供财政支持，支持其编制履行《名古屋议定书》所规定义务情况的临时国家报告，并注意到及时提供资金支助编制和在报告最后期限之前提交国家报告的重要性；</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kern w:val="22"/>
          <w:sz w:val="24"/>
          <w:szCs w:val="24"/>
          <w:lang w:eastAsia="zh-CN"/>
        </w:rPr>
      </w:pPr>
      <w:r w:rsidRPr="00ED6D98">
        <w:rPr>
          <w:rFonts w:ascii="KaiTi" w:eastAsia="KaiTi" w:hAnsi="KaiTi"/>
          <w:kern w:val="22"/>
          <w:sz w:val="24"/>
          <w:szCs w:val="24"/>
          <w:lang w:val="zh-CN" w:eastAsia="zh-CN"/>
        </w:rPr>
        <w:t>邀请</w:t>
      </w:r>
      <w:r w:rsidRPr="00ED6D98">
        <w:rPr>
          <w:rFonts w:eastAsiaTheme="minorEastAsia"/>
          <w:kern w:val="22"/>
          <w:sz w:val="24"/>
          <w:szCs w:val="24"/>
          <w:lang w:val="zh-CN" w:eastAsia="zh-CN"/>
        </w:rPr>
        <w:t>全球环境基金继续协助符合资格的缔约方执行《名古屋议定书》</w:t>
      </w:r>
      <w:r w:rsidRPr="00ED6D98">
        <w:rPr>
          <w:rFonts w:eastAsiaTheme="minorEastAsia"/>
          <w:kern w:val="22"/>
          <w:sz w:val="24"/>
          <w:szCs w:val="24"/>
          <w:lang w:eastAsia="zh-CN"/>
        </w:rPr>
        <w:t>，</w:t>
      </w:r>
      <w:r w:rsidRPr="00ED6D98">
        <w:rPr>
          <w:rFonts w:eastAsiaTheme="minorEastAsia"/>
          <w:kern w:val="22"/>
          <w:sz w:val="24"/>
          <w:szCs w:val="24"/>
          <w:lang w:val="zh-CN" w:eastAsia="zh-CN"/>
        </w:rPr>
        <w:t>包括制定有关获取和惠益分享的法律、行政和政策措施及相关体制安排，并为此提供资金</w:t>
      </w:r>
      <w:r w:rsidRPr="00ED6D98">
        <w:rPr>
          <w:rFonts w:eastAsiaTheme="minorEastAsia"/>
          <w:kern w:val="22"/>
          <w:sz w:val="24"/>
          <w:szCs w:val="24"/>
          <w:lang w:eastAsia="zh-CN"/>
        </w:rPr>
        <w:t>；</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kern w:val="22"/>
          <w:sz w:val="24"/>
          <w:szCs w:val="24"/>
          <w:lang w:eastAsia="zh-CN"/>
        </w:rPr>
      </w:pPr>
      <w:r w:rsidRPr="00ED6D98">
        <w:rPr>
          <w:rFonts w:ascii="KaiTi" w:eastAsia="KaiTi" w:hAnsi="KaiTi"/>
          <w:kern w:val="22"/>
          <w:sz w:val="24"/>
          <w:szCs w:val="24"/>
          <w:lang w:val="zh-CN" w:eastAsia="zh-CN"/>
        </w:rPr>
        <w:t>认为</w:t>
      </w:r>
      <w:r w:rsidRPr="00ED6D98">
        <w:rPr>
          <w:rFonts w:eastAsiaTheme="minorEastAsia"/>
          <w:kern w:val="22"/>
          <w:sz w:val="24"/>
          <w:szCs w:val="24"/>
          <w:lang w:val="zh-CN" w:eastAsia="zh-CN"/>
        </w:rPr>
        <w:t>全球环境基金独立评价办公室进行并于</w:t>
      </w:r>
      <w:r w:rsidRPr="00ED6D98">
        <w:rPr>
          <w:rFonts w:eastAsiaTheme="minorEastAsia"/>
          <w:sz w:val="24"/>
          <w:szCs w:val="24"/>
          <w:lang w:val="zh-CN" w:eastAsia="zh-CN"/>
        </w:rPr>
        <w:t>2017</w:t>
      </w:r>
      <w:r w:rsidRPr="00ED6D98">
        <w:rPr>
          <w:rFonts w:eastAsiaTheme="minorEastAsia"/>
          <w:sz w:val="24"/>
          <w:szCs w:val="24"/>
          <w:lang w:val="zh-CN" w:eastAsia="zh-CN"/>
        </w:rPr>
        <w:t>年</w:t>
      </w:r>
      <w:r w:rsidRPr="00ED6D98">
        <w:rPr>
          <w:rFonts w:eastAsiaTheme="minorEastAsia"/>
          <w:sz w:val="24"/>
          <w:szCs w:val="24"/>
          <w:lang w:val="zh-CN" w:eastAsia="zh-CN"/>
        </w:rPr>
        <w:t>12</w:t>
      </w:r>
      <w:r w:rsidRPr="00ED6D98">
        <w:rPr>
          <w:rFonts w:eastAsiaTheme="minorEastAsia"/>
          <w:sz w:val="24"/>
          <w:szCs w:val="24"/>
          <w:lang w:val="zh-CN" w:eastAsia="zh-CN"/>
        </w:rPr>
        <w:t>月完成的全球环境基金第六次总体业绩研究，为对财务机制的有效性和缔约方相关呈件的第五次审查奠定了良好基础，并</w:t>
      </w:r>
      <w:r w:rsidRPr="00ED6D98">
        <w:rPr>
          <w:rFonts w:eastAsiaTheme="minorEastAsia"/>
          <w:kern w:val="22"/>
          <w:sz w:val="24"/>
          <w:szCs w:val="24"/>
          <w:lang w:eastAsia="zh-CN"/>
        </w:rPr>
        <w:t>邀请</w:t>
      </w:r>
      <w:r w:rsidRPr="00ED6D98">
        <w:rPr>
          <w:rFonts w:eastAsiaTheme="minorEastAsia"/>
          <w:sz w:val="24"/>
          <w:szCs w:val="24"/>
          <w:lang w:val="zh-CN" w:eastAsia="zh-CN"/>
        </w:rPr>
        <w:t>全球环境基金理事会采取以下行动，进一步提高财务机制的成效：</w:t>
      </w:r>
    </w:p>
    <w:p w:rsidR="00ED6D98" w:rsidRPr="00ED6D98" w:rsidRDefault="00ED6D98" w:rsidP="001A42F8">
      <w:pPr>
        <w:pStyle w:val="Para1"/>
        <w:numPr>
          <w:ilvl w:val="0"/>
          <w:numId w:val="235"/>
        </w:numPr>
        <w:tabs>
          <w:tab w:val="left" w:pos="1440"/>
        </w:tabs>
        <w:kinsoku w:val="0"/>
        <w:overflowPunct w:val="0"/>
        <w:autoSpaceDE w:val="0"/>
        <w:autoSpaceDN w:val="0"/>
        <w:adjustRightInd w:val="0"/>
        <w:snapToGrid w:val="0"/>
        <w:ind w:left="0" w:firstLine="720"/>
        <w:jc w:val="left"/>
        <w:rPr>
          <w:rFonts w:eastAsiaTheme="minorEastAsia"/>
          <w:sz w:val="24"/>
          <w:szCs w:val="24"/>
          <w:lang w:val="zh-CN" w:eastAsia="zh-CN"/>
        </w:rPr>
      </w:pPr>
      <w:r w:rsidRPr="00ED6D98">
        <w:rPr>
          <w:rFonts w:eastAsiaTheme="minorEastAsia"/>
          <w:sz w:val="24"/>
          <w:szCs w:val="24"/>
          <w:lang w:val="zh-CN" w:eastAsia="zh-CN"/>
        </w:rPr>
        <w:t>继续改进第六次增资统筹方法试点、第七次增资影响方案、其他方案办法和多重点领域项目在解决环境退化驱动因素方面的设计、管理和绩效；</w:t>
      </w:r>
    </w:p>
    <w:p w:rsidR="00ED6D98" w:rsidRPr="00ED6D98" w:rsidRDefault="00ED6D98" w:rsidP="001A42F8">
      <w:pPr>
        <w:pStyle w:val="Para1"/>
        <w:numPr>
          <w:ilvl w:val="0"/>
          <w:numId w:val="235"/>
        </w:numPr>
        <w:tabs>
          <w:tab w:val="left" w:pos="1440"/>
        </w:tabs>
        <w:kinsoku w:val="0"/>
        <w:overflowPunct w:val="0"/>
        <w:autoSpaceDE w:val="0"/>
        <w:autoSpaceDN w:val="0"/>
        <w:adjustRightInd w:val="0"/>
        <w:snapToGrid w:val="0"/>
        <w:ind w:left="0" w:firstLine="720"/>
        <w:jc w:val="left"/>
        <w:rPr>
          <w:rFonts w:eastAsiaTheme="minorEastAsia"/>
          <w:sz w:val="24"/>
          <w:szCs w:val="24"/>
          <w:lang w:val="zh-CN" w:eastAsia="zh-CN"/>
        </w:rPr>
      </w:pPr>
      <w:r w:rsidRPr="00ED6D98">
        <w:rPr>
          <w:rFonts w:eastAsiaTheme="minorEastAsia"/>
          <w:sz w:val="24"/>
          <w:szCs w:val="24"/>
          <w:lang w:val="zh-CN" w:eastAsia="zh-CN"/>
        </w:rPr>
        <w:t>提高对解决冲突专员处理与财务机制运作相关的投诉的现有程序的认识；</w:t>
      </w:r>
    </w:p>
    <w:p w:rsidR="00ED6D98" w:rsidRPr="00ED6D98" w:rsidRDefault="00ED6D98" w:rsidP="001A42F8">
      <w:pPr>
        <w:pStyle w:val="Para1"/>
        <w:numPr>
          <w:ilvl w:val="0"/>
          <w:numId w:val="235"/>
        </w:numPr>
        <w:tabs>
          <w:tab w:val="left" w:pos="1440"/>
        </w:tabs>
        <w:kinsoku w:val="0"/>
        <w:overflowPunct w:val="0"/>
        <w:autoSpaceDE w:val="0"/>
        <w:autoSpaceDN w:val="0"/>
        <w:adjustRightInd w:val="0"/>
        <w:snapToGrid w:val="0"/>
        <w:ind w:left="0" w:firstLine="720"/>
        <w:jc w:val="left"/>
        <w:rPr>
          <w:rFonts w:eastAsiaTheme="minorEastAsia"/>
          <w:sz w:val="24"/>
          <w:szCs w:val="24"/>
          <w:lang w:val="zh-CN" w:eastAsia="zh-CN"/>
        </w:rPr>
      </w:pPr>
      <w:r w:rsidRPr="00ED6D98">
        <w:rPr>
          <w:rFonts w:eastAsiaTheme="minorEastAsia"/>
          <w:sz w:val="24"/>
          <w:szCs w:val="24"/>
          <w:lang w:val="zh-CN" w:eastAsia="zh-CN"/>
        </w:rPr>
        <w:t>进一步提高受资助项目和方案的可持续性，包括保护区得到可持续的供资；</w:t>
      </w:r>
    </w:p>
    <w:p w:rsidR="00ED6D98" w:rsidRPr="00ED6D98" w:rsidRDefault="00ED6D98" w:rsidP="001A42F8">
      <w:pPr>
        <w:pStyle w:val="Para1"/>
        <w:numPr>
          <w:ilvl w:val="0"/>
          <w:numId w:val="235"/>
        </w:numPr>
        <w:tabs>
          <w:tab w:val="left" w:pos="1440"/>
        </w:tabs>
        <w:kinsoku w:val="0"/>
        <w:overflowPunct w:val="0"/>
        <w:autoSpaceDE w:val="0"/>
        <w:autoSpaceDN w:val="0"/>
        <w:adjustRightInd w:val="0"/>
        <w:snapToGrid w:val="0"/>
        <w:ind w:left="0" w:firstLine="720"/>
        <w:jc w:val="left"/>
        <w:rPr>
          <w:rFonts w:eastAsiaTheme="minorEastAsia"/>
          <w:sz w:val="24"/>
          <w:szCs w:val="24"/>
          <w:lang w:val="zh-CN" w:eastAsia="zh-CN"/>
        </w:rPr>
      </w:pPr>
      <w:r w:rsidRPr="00ED6D98">
        <w:rPr>
          <w:rFonts w:eastAsiaTheme="minorEastAsia"/>
          <w:sz w:val="24"/>
          <w:szCs w:val="24"/>
          <w:lang w:val="zh-CN" w:eastAsia="zh-CN"/>
        </w:rPr>
        <w:t>继续改善全球环境基金伙伴关系的效率和问责；</w:t>
      </w:r>
    </w:p>
    <w:p w:rsidR="00ED6D98" w:rsidRPr="00ED6D98" w:rsidRDefault="00ED6D98" w:rsidP="001A42F8">
      <w:pPr>
        <w:pStyle w:val="Para1"/>
        <w:numPr>
          <w:ilvl w:val="0"/>
          <w:numId w:val="235"/>
        </w:numPr>
        <w:tabs>
          <w:tab w:val="left" w:pos="1440"/>
        </w:tabs>
        <w:kinsoku w:val="0"/>
        <w:overflowPunct w:val="0"/>
        <w:autoSpaceDE w:val="0"/>
        <w:autoSpaceDN w:val="0"/>
        <w:adjustRightInd w:val="0"/>
        <w:snapToGrid w:val="0"/>
        <w:ind w:left="0" w:firstLine="720"/>
        <w:jc w:val="left"/>
        <w:rPr>
          <w:rFonts w:eastAsiaTheme="minorEastAsia"/>
          <w:sz w:val="24"/>
          <w:szCs w:val="24"/>
          <w:lang w:val="zh-CN" w:eastAsia="zh-CN"/>
        </w:rPr>
      </w:pPr>
      <w:r w:rsidRPr="00ED6D98">
        <w:rPr>
          <w:rFonts w:eastAsiaTheme="minorEastAsia"/>
          <w:sz w:val="24"/>
          <w:szCs w:val="24"/>
          <w:lang w:val="zh-CN" w:eastAsia="zh-CN"/>
        </w:rPr>
        <w:t>在其提交缔约方大会第十五届会议的报告中列入以下信息：</w:t>
      </w:r>
    </w:p>
    <w:p w:rsidR="00ED6D98" w:rsidRPr="00ED6D98" w:rsidRDefault="00ED6D98" w:rsidP="001A42F8">
      <w:pPr>
        <w:pStyle w:val="Para1"/>
        <w:numPr>
          <w:ilvl w:val="0"/>
          <w:numId w:val="236"/>
        </w:numPr>
        <w:tabs>
          <w:tab w:val="left" w:pos="2160"/>
        </w:tabs>
        <w:kinsoku w:val="0"/>
        <w:overflowPunct w:val="0"/>
        <w:autoSpaceDE w:val="0"/>
        <w:autoSpaceDN w:val="0"/>
        <w:adjustRightInd w:val="0"/>
        <w:snapToGrid w:val="0"/>
        <w:ind w:left="2160" w:hanging="720"/>
        <w:jc w:val="left"/>
        <w:rPr>
          <w:rFonts w:eastAsiaTheme="minorEastAsia"/>
          <w:kern w:val="22"/>
          <w:sz w:val="24"/>
          <w:szCs w:val="24"/>
          <w:lang w:eastAsia="zh-CN"/>
        </w:rPr>
      </w:pPr>
      <w:r w:rsidRPr="00ED6D98">
        <w:rPr>
          <w:rFonts w:eastAsiaTheme="minorEastAsia"/>
          <w:sz w:val="24"/>
          <w:szCs w:val="24"/>
          <w:lang w:val="zh-CN" w:eastAsia="zh-CN"/>
        </w:rPr>
        <w:lastRenderedPageBreak/>
        <w:t>实施新的共同供资政策的进展情况；</w:t>
      </w:r>
    </w:p>
    <w:p w:rsidR="00ED6D98" w:rsidRPr="00ED6D98" w:rsidRDefault="00ED6D98" w:rsidP="001A42F8">
      <w:pPr>
        <w:pStyle w:val="Para1"/>
        <w:numPr>
          <w:ilvl w:val="0"/>
          <w:numId w:val="236"/>
        </w:numPr>
        <w:tabs>
          <w:tab w:val="left" w:pos="2160"/>
        </w:tabs>
        <w:kinsoku w:val="0"/>
        <w:overflowPunct w:val="0"/>
        <w:autoSpaceDE w:val="0"/>
        <w:autoSpaceDN w:val="0"/>
        <w:adjustRightInd w:val="0"/>
        <w:snapToGrid w:val="0"/>
        <w:ind w:left="2160" w:hanging="720"/>
        <w:jc w:val="left"/>
        <w:rPr>
          <w:rFonts w:eastAsiaTheme="minorEastAsia"/>
          <w:sz w:val="24"/>
          <w:szCs w:val="24"/>
          <w:lang w:val="zh-CN" w:eastAsia="zh-CN"/>
        </w:rPr>
      </w:pPr>
      <w:r w:rsidRPr="00ED6D98">
        <w:rPr>
          <w:rFonts w:eastAsiaTheme="minorEastAsia"/>
          <w:sz w:val="24"/>
          <w:szCs w:val="24"/>
          <w:lang w:val="zh-CN" w:eastAsia="zh-CN"/>
        </w:rPr>
        <w:t>全球环境基金的机构网络的业绩；</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sz w:val="24"/>
          <w:szCs w:val="24"/>
          <w:lang w:val="zh-CN" w:eastAsia="zh-CN"/>
        </w:rPr>
      </w:pPr>
      <w:r w:rsidRPr="00ED6D98">
        <w:rPr>
          <w:rFonts w:ascii="KaiTi" w:eastAsia="KaiTi" w:hAnsi="KaiTi"/>
          <w:kern w:val="22"/>
          <w:sz w:val="24"/>
          <w:szCs w:val="24"/>
          <w:lang w:val="zh-CN" w:eastAsia="zh-CN"/>
        </w:rPr>
        <w:t>请</w:t>
      </w:r>
      <w:r w:rsidRPr="00ED6D98">
        <w:rPr>
          <w:rFonts w:eastAsiaTheme="minorEastAsia"/>
          <w:kern w:val="22"/>
          <w:sz w:val="24"/>
          <w:szCs w:val="24"/>
          <w:lang w:val="zh-CN" w:eastAsia="zh-CN"/>
        </w:rPr>
        <w:t>执行秘书在编制财务机制成效第六次审查的任务范围时，考虑到以往财务机制成效审查中获得的经验</w:t>
      </w:r>
      <w:r w:rsidRPr="00ED6D98">
        <w:rPr>
          <w:rFonts w:eastAsiaTheme="minorEastAsia"/>
          <w:sz w:val="24"/>
          <w:szCs w:val="24"/>
          <w:lang w:val="zh-CN" w:eastAsia="zh-CN"/>
        </w:rPr>
        <w:t>，供缔约方大会第十五届次会议审议；</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kern w:val="22"/>
          <w:sz w:val="24"/>
          <w:szCs w:val="24"/>
          <w:lang w:eastAsia="zh-CN"/>
        </w:rPr>
      </w:pPr>
      <w:r w:rsidRPr="00ED6D98">
        <w:rPr>
          <w:rFonts w:ascii="KaiTi" w:eastAsia="KaiTi" w:hAnsi="KaiTi"/>
          <w:kern w:val="22"/>
          <w:sz w:val="24"/>
          <w:szCs w:val="24"/>
          <w:lang w:val="zh-CN" w:eastAsia="zh-CN"/>
        </w:rPr>
        <w:t>通过</w:t>
      </w:r>
      <w:r w:rsidRPr="00ED6D98">
        <w:rPr>
          <w:rFonts w:eastAsiaTheme="minorEastAsia"/>
          <w:sz w:val="24"/>
          <w:szCs w:val="24"/>
          <w:lang w:val="zh-CN" w:eastAsia="zh-CN"/>
        </w:rPr>
        <w:t>本决定所附对全球环境基金信托基金第八次增资期间为执行《公约》及其《议定书》所需资金数额进行全面评估的任务范围；</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kern w:val="22"/>
          <w:sz w:val="24"/>
          <w:szCs w:val="24"/>
          <w:lang w:eastAsia="zh-CN"/>
        </w:rPr>
      </w:pPr>
      <w:r w:rsidRPr="00ED6D98">
        <w:rPr>
          <w:rFonts w:ascii="KaiTi" w:eastAsia="KaiTi" w:hAnsi="KaiTi"/>
          <w:kern w:val="22"/>
          <w:sz w:val="24"/>
          <w:szCs w:val="24"/>
          <w:lang w:val="zh-CN" w:eastAsia="zh-CN"/>
        </w:rPr>
        <w:t>邀请</w:t>
      </w:r>
      <w:r w:rsidRPr="00ED6D98">
        <w:rPr>
          <w:rFonts w:eastAsiaTheme="minorEastAsia"/>
          <w:sz w:val="24"/>
          <w:szCs w:val="24"/>
          <w:lang w:val="zh-CN" w:eastAsia="zh-CN"/>
        </w:rPr>
        <w:t>相关缔约方向执行秘书提交财务机制下的估计供资和投资需求，与全球环境基金信托基金第八次增资一起，供缔约方大会第十五届会议第三次确定供资和投资需要；</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kern w:val="22"/>
          <w:sz w:val="24"/>
          <w:szCs w:val="24"/>
          <w:lang w:eastAsia="zh-CN"/>
        </w:rPr>
      </w:pPr>
      <w:r w:rsidRPr="00ED6D98">
        <w:rPr>
          <w:rFonts w:ascii="KaiTi" w:eastAsia="KaiTi" w:hAnsi="KaiTi"/>
          <w:kern w:val="22"/>
          <w:sz w:val="24"/>
          <w:szCs w:val="24"/>
          <w:lang w:val="zh-CN" w:eastAsia="zh-CN"/>
        </w:rPr>
        <w:t>请</w:t>
      </w:r>
      <w:r w:rsidRPr="00ED6D98">
        <w:rPr>
          <w:rFonts w:eastAsiaTheme="minorEastAsia"/>
          <w:sz w:val="24"/>
          <w:szCs w:val="24"/>
          <w:lang w:val="zh-CN" w:eastAsia="zh-CN"/>
        </w:rPr>
        <w:t>执行秘书根据上文第</w:t>
      </w:r>
      <w:r w:rsidRPr="00ED6D98">
        <w:rPr>
          <w:rFonts w:eastAsiaTheme="minorEastAsia"/>
          <w:sz w:val="24"/>
          <w:szCs w:val="24"/>
          <w:lang w:val="zh-CN" w:eastAsia="zh-CN"/>
        </w:rPr>
        <w:t>14</w:t>
      </w:r>
      <w:r w:rsidRPr="00ED6D98">
        <w:rPr>
          <w:rFonts w:eastAsiaTheme="minorEastAsia"/>
          <w:sz w:val="24"/>
          <w:szCs w:val="24"/>
          <w:lang w:val="zh-CN" w:eastAsia="zh-CN"/>
        </w:rPr>
        <w:t>段所述任务范围与订约专家小组合作，借鉴并进一步完善第二次确定供资需求所使用的方法和三种情况，汇编相关缔约方提交的估计供资和投资需求，供执行问题附属机构第三次会议审议，在预计到全球环境基金信托基金第八次增资的情况下，为缔约方大会第十五届会议第三次确定所需资金提供信息；</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kern w:val="22"/>
          <w:sz w:val="24"/>
          <w:szCs w:val="24"/>
          <w:lang w:eastAsia="zh-CN"/>
        </w:rPr>
      </w:pPr>
      <w:r w:rsidRPr="00ED6D98">
        <w:rPr>
          <w:rFonts w:ascii="KaiTi" w:eastAsia="KaiTi" w:hAnsi="KaiTi"/>
          <w:kern w:val="22"/>
          <w:sz w:val="24"/>
          <w:szCs w:val="24"/>
          <w:lang w:val="zh-CN" w:eastAsia="zh-CN"/>
        </w:rPr>
        <w:t>请</w:t>
      </w:r>
      <w:r w:rsidRPr="00ED6D98">
        <w:rPr>
          <w:rFonts w:eastAsiaTheme="minorEastAsia"/>
          <w:sz w:val="24"/>
          <w:szCs w:val="24"/>
          <w:lang w:val="zh-CN" w:eastAsia="zh-CN"/>
        </w:rPr>
        <w:t>执行问题附属机构第三次会议为全球环境基金信托基金第八次增资期间（</w:t>
      </w:r>
      <w:r w:rsidRPr="00ED6D98">
        <w:rPr>
          <w:rFonts w:eastAsiaTheme="minorEastAsia"/>
          <w:sz w:val="24"/>
          <w:szCs w:val="24"/>
          <w:lang w:val="zh-CN" w:eastAsia="zh-CN"/>
        </w:rPr>
        <w:t>2022</w:t>
      </w:r>
      <w:r w:rsidRPr="00ED6D98">
        <w:rPr>
          <w:rFonts w:eastAsiaTheme="minorEastAsia"/>
          <w:sz w:val="24"/>
          <w:szCs w:val="24"/>
          <w:lang w:val="zh-CN" w:eastAsia="zh-CN"/>
        </w:rPr>
        <w:t>年</w:t>
      </w:r>
      <w:r w:rsidRPr="00ED6D98">
        <w:rPr>
          <w:rFonts w:eastAsiaTheme="minorEastAsia"/>
          <w:sz w:val="24"/>
          <w:szCs w:val="24"/>
          <w:lang w:val="zh-CN" w:eastAsia="zh-CN"/>
        </w:rPr>
        <w:t>7</w:t>
      </w:r>
      <w:r w:rsidRPr="00ED6D98">
        <w:rPr>
          <w:rFonts w:eastAsiaTheme="minorEastAsia"/>
          <w:sz w:val="24"/>
          <w:szCs w:val="24"/>
          <w:lang w:val="zh-CN" w:eastAsia="zh-CN"/>
        </w:rPr>
        <w:t>月至</w:t>
      </w:r>
      <w:r w:rsidRPr="00ED6D98">
        <w:rPr>
          <w:rFonts w:eastAsiaTheme="minorEastAsia"/>
          <w:sz w:val="24"/>
          <w:szCs w:val="24"/>
          <w:lang w:val="zh-CN" w:eastAsia="zh-CN"/>
        </w:rPr>
        <w:t>2026</w:t>
      </w:r>
      <w:r w:rsidRPr="00ED6D98">
        <w:rPr>
          <w:rFonts w:eastAsiaTheme="minorEastAsia"/>
          <w:sz w:val="24"/>
          <w:szCs w:val="24"/>
          <w:lang w:val="zh-CN" w:eastAsia="zh-CN"/>
        </w:rPr>
        <w:t>年</w:t>
      </w:r>
      <w:r w:rsidRPr="00ED6D98">
        <w:rPr>
          <w:rFonts w:eastAsiaTheme="minorEastAsia"/>
          <w:sz w:val="24"/>
          <w:szCs w:val="24"/>
          <w:lang w:val="zh-CN" w:eastAsia="zh-CN"/>
        </w:rPr>
        <w:t>6</w:t>
      </w:r>
      <w:r w:rsidRPr="00ED6D98">
        <w:rPr>
          <w:rFonts w:eastAsiaTheme="minorEastAsia"/>
          <w:sz w:val="24"/>
          <w:szCs w:val="24"/>
          <w:lang w:val="zh-CN" w:eastAsia="zh-CN"/>
        </w:rPr>
        <w:t>月）制定为期四年的注重成果的方案优先事项框架，与</w:t>
      </w:r>
      <w:r w:rsidRPr="00ED6D98">
        <w:rPr>
          <w:rFonts w:eastAsiaTheme="minorEastAsia"/>
          <w:sz w:val="24"/>
          <w:szCs w:val="24"/>
          <w:lang w:val="zh-CN" w:eastAsia="zh-CN"/>
        </w:rPr>
        <w:t>2020</w:t>
      </w:r>
      <w:r w:rsidRPr="00ED6D98">
        <w:rPr>
          <w:rFonts w:eastAsiaTheme="minorEastAsia"/>
          <w:sz w:val="24"/>
          <w:szCs w:val="24"/>
          <w:lang w:val="zh-CN" w:eastAsia="zh-CN"/>
        </w:rPr>
        <w:t>年后生物多样性框架保持一致，供缔约方大会第十五届会议审议；</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sz w:val="24"/>
          <w:szCs w:val="24"/>
          <w:lang w:eastAsia="zh-CN"/>
        </w:rPr>
      </w:pPr>
      <w:r w:rsidRPr="00ED6D98">
        <w:rPr>
          <w:rFonts w:ascii="KaiTi" w:eastAsia="KaiTi" w:hAnsi="KaiTi"/>
          <w:kern w:val="22"/>
          <w:sz w:val="24"/>
          <w:szCs w:val="24"/>
          <w:lang w:val="zh-CN" w:eastAsia="zh-CN"/>
        </w:rPr>
        <w:t>鼓励</w:t>
      </w:r>
      <w:r w:rsidRPr="00ED6D98">
        <w:rPr>
          <w:rFonts w:eastAsiaTheme="minorEastAsia"/>
          <w:sz w:val="24"/>
          <w:szCs w:val="24"/>
          <w:lang w:eastAsia="zh-CN"/>
        </w:rPr>
        <w:t>执行秘书在向</w:t>
      </w:r>
      <w:r w:rsidRPr="00ED6D98">
        <w:rPr>
          <w:rFonts w:eastAsiaTheme="minorEastAsia"/>
          <w:sz w:val="24"/>
          <w:szCs w:val="24"/>
          <w:lang w:eastAsia="zh-CN"/>
        </w:rPr>
        <w:t>2020</w:t>
      </w:r>
      <w:r w:rsidRPr="00ED6D98">
        <w:rPr>
          <w:rFonts w:eastAsiaTheme="minorEastAsia"/>
          <w:sz w:val="24"/>
          <w:szCs w:val="24"/>
          <w:lang w:eastAsia="zh-CN"/>
        </w:rPr>
        <w:t>年后全球生物多样性框架过渡中与全球环境基金密切合作；</w:t>
      </w:r>
    </w:p>
    <w:p w:rsidR="00ED6D98" w:rsidRPr="00ED6D98" w:rsidRDefault="00ED6D98" w:rsidP="00ED6D98">
      <w:pPr>
        <w:pStyle w:val="Para1"/>
        <w:numPr>
          <w:ilvl w:val="0"/>
          <w:numId w:val="8"/>
        </w:numPr>
        <w:tabs>
          <w:tab w:val="clear" w:pos="360"/>
          <w:tab w:val="num" w:pos="1440"/>
        </w:tabs>
        <w:adjustRightInd w:val="0"/>
        <w:snapToGrid w:val="0"/>
        <w:rPr>
          <w:rFonts w:eastAsiaTheme="minorEastAsia"/>
          <w:sz w:val="24"/>
          <w:szCs w:val="24"/>
          <w:lang w:eastAsia="zh-CN"/>
        </w:rPr>
      </w:pPr>
      <w:r w:rsidRPr="00ED6D98">
        <w:rPr>
          <w:rFonts w:ascii="KaiTi" w:eastAsia="KaiTi" w:hAnsi="KaiTi"/>
          <w:kern w:val="22"/>
          <w:sz w:val="24"/>
          <w:szCs w:val="24"/>
          <w:lang w:val="zh-CN" w:eastAsia="zh-CN"/>
        </w:rPr>
        <w:t>又鼓励</w:t>
      </w:r>
      <w:r w:rsidRPr="00ED6D98">
        <w:rPr>
          <w:rFonts w:eastAsiaTheme="minorEastAsia"/>
          <w:sz w:val="24"/>
          <w:szCs w:val="24"/>
          <w:lang w:eastAsia="zh-CN"/>
        </w:rPr>
        <w:t>执行秘书在向</w:t>
      </w:r>
      <w:r w:rsidRPr="00ED6D98">
        <w:rPr>
          <w:rFonts w:eastAsiaTheme="minorEastAsia"/>
          <w:sz w:val="24"/>
          <w:szCs w:val="24"/>
          <w:lang w:eastAsia="zh-CN"/>
        </w:rPr>
        <w:t>2020</w:t>
      </w:r>
      <w:r w:rsidRPr="00ED6D98">
        <w:rPr>
          <w:rFonts w:eastAsiaTheme="minorEastAsia"/>
          <w:sz w:val="24"/>
          <w:szCs w:val="24"/>
          <w:lang w:eastAsia="zh-CN"/>
        </w:rPr>
        <w:t>年后全球生物多样性框架过渡中与全球环境基金相关的机构密切合作，同时考虑到增强全球环境基金和其他融资机制之间协同作用的必要性。</w:t>
      </w:r>
    </w:p>
    <w:p w:rsidR="00ED6D98" w:rsidRPr="00C14871" w:rsidRDefault="00ED6D98" w:rsidP="00ED6D98">
      <w:pPr>
        <w:pStyle w:val="Para1"/>
        <w:tabs>
          <w:tab w:val="clear" w:pos="360"/>
        </w:tabs>
        <w:adjustRightInd w:val="0"/>
        <w:snapToGrid w:val="0"/>
        <w:ind w:firstLine="0"/>
        <w:jc w:val="center"/>
        <w:rPr>
          <w:rFonts w:ascii="KaiTi" w:eastAsia="KaiTi" w:hAnsi="KaiTi"/>
          <w:sz w:val="24"/>
          <w:szCs w:val="24"/>
          <w:lang w:val="zh-CN" w:eastAsia="zh-CN"/>
        </w:rPr>
      </w:pPr>
      <w:r w:rsidRPr="00C14871">
        <w:rPr>
          <w:rFonts w:ascii="KaiTi" w:eastAsia="KaiTi" w:hAnsi="KaiTi" w:hint="eastAsia"/>
          <w:sz w:val="24"/>
          <w:szCs w:val="24"/>
          <w:lang w:val="zh-CN" w:eastAsia="zh-CN"/>
        </w:rPr>
        <w:t>附件</w:t>
      </w:r>
    </w:p>
    <w:p w:rsidR="00ED6D98" w:rsidRPr="000C4982" w:rsidRDefault="00ED6D98" w:rsidP="00ED6D98">
      <w:pPr>
        <w:pStyle w:val="CBD-Para-1"/>
        <w:keepNext/>
        <w:numPr>
          <w:ilvl w:val="0"/>
          <w:numId w:val="0"/>
        </w:numPr>
        <w:adjustRightInd w:val="0"/>
        <w:snapToGrid w:val="0"/>
        <w:ind w:left="1440" w:right="1440"/>
        <w:jc w:val="center"/>
        <w:rPr>
          <w:rFonts w:eastAsiaTheme="minorEastAsia"/>
          <w:b/>
          <w:bCs/>
          <w:kern w:val="22"/>
          <w:sz w:val="24"/>
          <w:lang w:eastAsia="zh-CN"/>
        </w:rPr>
      </w:pPr>
      <w:r w:rsidRPr="000C4982">
        <w:rPr>
          <w:rFonts w:eastAsiaTheme="minorEastAsia"/>
          <w:b/>
          <w:bCs/>
          <w:sz w:val="24"/>
          <w:lang w:val="zh-CN" w:eastAsia="zh-CN"/>
        </w:rPr>
        <w:t>对全球环境基金信托基金第八次</w:t>
      </w:r>
      <w:r>
        <w:rPr>
          <w:rFonts w:eastAsiaTheme="minorEastAsia"/>
          <w:b/>
          <w:bCs/>
          <w:sz w:val="24"/>
          <w:lang w:val="zh-CN" w:eastAsia="zh-CN"/>
        </w:rPr>
        <w:t>增资</w:t>
      </w:r>
      <w:r w:rsidRPr="000C4982">
        <w:rPr>
          <w:rFonts w:eastAsiaTheme="minorEastAsia"/>
          <w:b/>
          <w:bCs/>
          <w:sz w:val="24"/>
          <w:lang w:val="zh-CN" w:eastAsia="zh-CN"/>
        </w:rPr>
        <w:t>期间执行《公约》</w:t>
      </w:r>
      <w:r>
        <w:rPr>
          <w:rFonts w:eastAsiaTheme="minorEastAsia"/>
          <w:b/>
          <w:bCs/>
          <w:sz w:val="24"/>
          <w:lang w:val="zh-CN" w:eastAsia="zh-CN"/>
        </w:rPr>
        <w:t>及其《议定书》</w:t>
      </w:r>
      <w:r w:rsidRPr="000C4982">
        <w:rPr>
          <w:rFonts w:eastAsiaTheme="minorEastAsia"/>
          <w:b/>
          <w:bCs/>
          <w:sz w:val="24"/>
          <w:lang w:val="zh-CN" w:eastAsia="zh-CN"/>
        </w:rPr>
        <w:t>所需资金数额进行全面评估的任务范围</w:t>
      </w:r>
    </w:p>
    <w:p w:rsidR="00ED6D98" w:rsidRPr="000C4982" w:rsidRDefault="00ED6D98" w:rsidP="00ED6D98">
      <w:pPr>
        <w:pStyle w:val="CBD-Para-1"/>
        <w:keepNext/>
        <w:numPr>
          <w:ilvl w:val="0"/>
          <w:numId w:val="0"/>
        </w:numPr>
        <w:adjustRightInd w:val="0"/>
        <w:snapToGrid w:val="0"/>
        <w:jc w:val="left"/>
        <w:rPr>
          <w:rFonts w:eastAsiaTheme="minorEastAsia"/>
          <w:b/>
          <w:bCs/>
          <w:kern w:val="22"/>
          <w:sz w:val="24"/>
        </w:rPr>
      </w:pPr>
      <w:r w:rsidRPr="000C4982">
        <w:rPr>
          <w:rFonts w:eastAsiaTheme="minorEastAsia"/>
          <w:b/>
          <w:bCs/>
          <w:sz w:val="24"/>
          <w:lang w:val="zh-CN"/>
        </w:rPr>
        <w:t>目标</w:t>
      </w:r>
    </w:p>
    <w:p w:rsidR="00ED6D98" w:rsidRPr="000C4982" w:rsidRDefault="00ED6D98" w:rsidP="001A42F8">
      <w:pPr>
        <w:pStyle w:val="CBD-Para-1"/>
        <w:keepLines w:val="0"/>
        <w:numPr>
          <w:ilvl w:val="0"/>
          <w:numId w:val="234"/>
        </w:numPr>
        <w:tabs>
          <w:tab w:val="left" w:pos="720"/>
        </w:tabs>
        <w:adjustRightInd w:val="0"/>
        <w:snapToGrid w:val="0"/>
        <w:ind w:left="0" w:firstLine="0"/>
        <w:rPr>
          <w:rFonts w:eastAsiaTheme="minorEastAsia"/>
          <w:kern w:val="22"/>
          <w:sz w:val="24"/>
          <w:lang w:eastAsia="zh-CN"/>
        </w:rPr>
      </w:pPr>
      <w:r>
        <w:rPr>
          <w:rFonts w:eastAsiaTheme="minorEastAsia" w:hint="eastAsia"/>
          <w:sz w:val="24"/>
          <w:lang w:val="zh-CN" w:eastAsia="zh-CN"/>
        </w:rPr>
        <w:t>根据</w:t>
      </w:r>
      <w:r w:rsidRPr="000C4982">
        <w:rPr>
          <w:rFonts w:eastAsiaTheme="minorEastAsia"/>
          <w:sz w:val="24"/>
          <w:lang w:val="zh-CN" w:eastAsia="zh-CN"/>
        </w:rPr>
        <w:t>本任务范围</w:t>
      </w:r>
      <w:r>
        <w:rPr>
          <w:rFonts w:eastAsiaTheme="minorEastAsia" w:hint="eastAsia"/>
          <w:sz w:val="24"/>
          <w:lang w:val="zh-CN" w:eastAsia="zh-CN"/>
        </w:rPr>
        <w:t>将要</w:t>
      </w:r>
      <w:r w:rsidRPr="000C4982">
        <w:rPr>
          <w:rFonts w:eastAsiaTheme="minorEastAsia"/>
          <w:sz w:val="24"/>
          <w:lang w:val="zh-CN" w:eastAsia="zh-CN"/>
        </w:rPr>
        <w:t>开展工作的目标是，</w:t>
      </w:r>
      <w:r>
        <w:rPr>
          <w:rFonts w:eastAsiaTheme="minorEastAsia" w:hint="eastAsia"/>
          <w:sz w:val="24"/>
          <w:lang w:val="zh-CN" w:eastAsia="zh-CN"/>
        </w:rPr>
        <w:t>确保</w:t>
      </w:r>
      <w:r w:rsidRPr="000C4982">
        <w:rPr>
          <w:rFonts w:eastAsiaTheme="minorEastAsia"/>
          <w:sz w:val="24"/>
          <w:lang w:val="zh-CN" w:eastAsia="zh-CN"/>
        </w:rPr>
        <w:t>缔约方大会能够依照其提供的指导方针评估协助发展中国家和转型期经济体在全球环境基金第</w:t>
      </w:r>
      <w:r>
        <w:rPr>
          <w:rFonts w:eastAsiaTheme="minorEastAsia" w:hint="eastAsia"/>
          <w:sz w:val="24"/>
          <w:lang w:val="zh-CN" w:eastAsia="zh-CN"/>
        </w:rPr>
        <w:t>八</w:t>
      </w:r>
      <w:r w:rsidRPr="000C4982">
        <w:rPr>
          <w:rFonts w:eastAsiaTheme="minorEastAsia"/>
          <w:sz w:val="24"/>
          <w:lang w:val="zh-CN" w:eastAsia="zh-CN"/>
        </w:rPr>
        <w:t>次</w:t>
      </w:r>
      <w:r>
        <w:rPr>
          <w:rFonts w:eastAsiaTheme="minorEastAsia"/>
          <w:sz w:val="24"/>
          <w:lang w:val="zh-CN" w:eastAsia="zh-CN"/>
        </w:rPr>
        <w:t>增资</w:t>
      </w:r>
      <w:r w:rsidRPr="000C4982">
        <w:rPr>
          <w:rFonts w:eastAsiaTheme="minorEastAsia"/>
          <w:sz w:val="24"/>
          <w:lang w:val="zh-CN" w:eastAsia="zh-CN"/>
        </w:rPr>
        <w:t>期间履行《公约》</w:t>
      </w:r>
      <w:r>
        <w:rPr>
          <w:rFonts w:eastAsiaTheme="minorEastAsia"/>
          <w:sz w:val="24"/>
          <w:lang w:val="zh-CN" w:eastAsia="zh-CN"/>
        </w:rPr>
        <w:t>及其《议定书》</w:t>
      </w:r>
      <w:r w:rsidRPr="000C4982">
        <w:rPr>
          <w:rFonts w:eastAsiaTheme="minorEastAsia"/>
          <w:sz w:val="24"/>
          <w:lang w:val="zh-CN" w:eastAsia="zh-CN"/>
        </w:rPr>
        <w:t>规定义务的所需资金数额，并根据第</w:t>
      </w:r>
      <w:r w:rsidRPr="000C4982">
        <w:rPr>
          <w:rFonts w:eastAsiaTheme="minorEastAsia"/>
          <w:sz w:val="24"/>
          <w:lang w:val="zh-CN" w:eastAsia="zh-CN"/>
        </w:rPr>
        <w:t>21</w:t>
      </w:r>
      <w:r w:rsidRPr="000C4982">
        <w:rPr>
          <w:rFonts w:eastAsiaTheme="minorEastAsia"/>
          <w:sz w:val="24"/>
          <w:lang w:val="zh-CN" w:eastAsia="zh-CN"/>
        </w:rPr>
        <w:t>条第</w:t>
      </w:r>
      <w:r w:rsidRPr="000C4982">
        <w:rPr>
          <w:rFonts w:eastAsiaTheme="minorEastAsia"/>
          <w:sz w:val="24"/>
          <w:lang w:val="zh-CN" w:eastAsia="zh-CN"/>
        </w:rPr>
        <w:t>1</w:t>
      </w:r>
      <w:r w:rsidRPr="000C4982">
        <w:rPr>
          <w:rFonts w:eastAsiaTheme="minorEastAsia"/>
          <w:sz w:val="24"/>
          <w:lang w:val="zh-CN" w:eastAsia="zh-CN"/>
        </w:rPr>
        <w:t>款和第</w:t>
      </w:r>
      <w:r w:rsidRPr="000C4982">
        <w:rPr>
          <w:rFonts w:eastAsiaTheme="minorEastAsia"/>
          <w:sz w:val="24"/>
          <w:lang w:val="zh-CN" w:eastAsia="zh-CN"/>
        </w:rPr>
        <w:t>III/8</w:t>
      </w:r>
      <w:r w:rsidRPr="000C4982">
        <w:rPr>
          <w:rFonts w:eastAsiaTheme="minorEastAsia"/>
          <w:sz w:val="24"/>
          <w:lang w:val="zh-CN" w:eastAsia="zh-CN"/>
        </w:rPr>
        <w:t>号决定确定所需</w:t>
      </w:r>
      <w:r>
        <w:rPr>
          <w:rFonts w:eastAsiaTheme="minorEastAsia" w:hint="eastAsia"/>
          <w:sz w:val="24"/>
          <w:lang w:val="zh-CN" w:eastAsia="zh-CN"/>
        </w:rPr>
        <w:t>要的</w:t>
      </w:r>
      <w:r w:rsidRPr="000C4982">
        <w:rPr>
          <w:rFonts w:eastAsiaTheme="minorEastAsia"/>
          <w:sz w:val="24"/>
          <w:lang w:val="zh-CN" w:eastAsia="zh-CN"/>
        </w:rPr>
        <w:t>资金数额。</w:t>
      </w:r>
    </w:p>
    <w:p w:rsidR="00ED6D98" w:rsidRDefault="00ED6D98" w:rsidP="00ED6D98">
      <w:pPr>
        <w:pStyle w:val="CBD-Para-1"/>
        <w:keepNext/>
        <w:numPr>
          <w:ilvl w:val="0"/>
          <w:numId w:val="0"/>
        </w:numPr>
        <w:adjustRightInd w:val="0"/>
        <w:snapToGrid w:val="0"/>
        <w:jc w:val="left"/>
        <w:rPr>
          <w:rFonts w:eastAsiaTheme="minorEastAsia"/>
          <w:b/>
          <w:bCs/>
          <w:sz w:val="24"/>
          <w:lang w:val="zh-CN" w:eastAsia="zh-CN"/>
        </w:rPr>
      </w:pPr>
      <w:r w:rsidRPr="000C4982">
        <w:rPr>
          <w:rFonts w:eastAsiaTheme="minorEastAsia"/>
          <w:b/>
          <w:bCs/>
          <w:sz w:val="24"/>
          <w:lang w:val="zh-CN" w:eastAsia="zh-CN"/>
        </w:rPr>
        <w:t>范围</w:t>
      </w:r>
    </w:p>
    <w:p w:rsidR="00ED6D98" w:rsidRPr="000C4982" w:rsidRDefault="00ED6D98" w:rsidP="001A42F8">
      <w:pPr>
        <w:pStyle w:val="CBD-Para-1"/>
        <w:keepLines w:val="0"/>
        <w:numPr>
          <w:ilvl w:val="0"/>
          <w:numId w:val="234"/>
        </w:numPr>
        <w:tabs>
          <w:tab w:val="left" w:pos="720"/>
        </w:tabs>
        <w:adjustRightInd w:val="0"/>
        <w:snapToGrid w:val="0"/>
        <w:ind w:left="0" w:firstLine="0"/>
        <w:rPr>
          <w:rFonts w:eastAsiaTheme="minorEastAsia"/>
          <w:kern w:val="22"/>
          <w:sz w:val="24"/>
          <w:lang w:eastAsia="zh-CN"/>
        </w:rPr>
      </w:pPr>
      <w:r w:rsidRPr="000C4982">
        <w:rPr>
          <w:rFonts w:eastAsiaTheme="minorEastAsia"/>
          <w:sz w:val="24"/>
          <w:lang w:val="zh-CN" w:eastAsia="zh-CN"/>
        </w:rPr>
        <w:t>对执行《公约》</w:t>
      </w:r>
      <w:r>
        <w:rPr>
          <w:rFonts w:eastAsiaTheme="minorEastAsia"/>
          <w:sz w:val="24"/>
          <w:lang w:val="zh-CN" w:eastAsia="zh-CN"/>
        </w:rPr>
        <w:t>及其《议定书》</w:t>
      </w:r>
      <w:r w:rsidRPr="000C4982">
        <w:rPr>
          <w:rFonts w:eastAsiaTheme="minorEastAsia"/>
          <w:sz w:val="24"/>
          <w:lang w:val="zh-CN" w:eastAsia="zh-CN"/>
        </w:rPr>
        <w:t>所需资金应作全面评估，并</w:t>
      </w:r>
      <w:r>
        <w:rPr>
          <w:rFonts w:eastAsiaTheme="minorEastAsia" w:hint="eastAsia"/>
          <w:sz w:val="24"/>
          <w:lang w:val="zh-CN" w:eastAsia="zh-CN"/>
        </w:rPr>
        <w:t>根据</w:t>
      </w:r>
      <w:r w:rsidRPr="000C4982">
        <w:rPr>
          <w:rFonts w:eastAsiaTheme="minorEastAsia"/>
          <w:sz w:val="24"/>
          <w:lang w:val="zh-CN" w:eastAsia="zh-CN"/>
        </w:rPr>
        <w:t>缔约方大会提供的指导方针，着重评估</w:t>
      </w:r>
      <w:r>
        <w:rPr>
          <w:rFonts w:eastAsiaTheme="minorEastAsia" w:hint="eastAsia"/>
          <w:sz w:val="24"/>
          <w:lang w:val="zh-CN" w:eastAsia="zh-CN"/>
        </w:rPr>
        <w:t>符合全球环境基金资助条件的</w:t>
      </w:r>
      <w:r w:rsidRPr="000C4982">
        <w:rPr>
          <w:rFonts w:eastAsiaTheme="minorEastAsia"/>
          <w:sz w:val="24"/>
          <w:lang w:val="zh-CN" w:eastAsia="zh-CN"/>
        </w:rPr>
        <w:t>发展中国家缔约方和转型期经济体缔约方用</w:t>
      </w:r>
      <w:r w:rsidRPr="000C4982">
        <w:rPr>
          <w:rFonts w:eastAsiaTheme="minorEastAsia"/>
          <w:sz w:val="24"/>
          <w:lang w:val="zh-CN" w:eastAsia="zh-CN"/>
        </w:rPr>
        <w:lastRenderedPageBreak/>
        <w:t>于为履行</w:t>
      </w:r>
      <w:r w:rsidRPr="000C4982">
        <w:rPr>
          <w:rFonts w:eastAsiaTheme="minorEastAsia"/>
          <w:sz w:val="24"/>
          <w:lang w:val="zh-CN" w:eastAsia="zh-CN"/>
        </w:rPr>
        <w:t>2022</w:t>
      </w:r>
      <w:r w:rsidRPr="000C4982">
        <w:rPr>
          <w:rFonts w:eastAsiaTheme="minorEastAsia"/>
          <w:sz w:val="24"/>
          <w:lang w:val="zh-CN" w:eastAsia="zh-CN"/>
        </w:rPr>
        <w:t>年</w:t>
      </w:r>
      <w:r w:rsidRPr="000C4982">
        <w:rPr>
          <w:rFonts w:eastAsiaTheme="minorEastAsia"/>
          <w:sz w:val="24"/>
          <w:lang w:val="zh-CN" w:eastAsia="zh-CN"/>
        </w:rPr>
        <w:t>7</w:t>
      </w:r>
      <w:r w:rsidRPr="000C4982">
        <w:rPr>
          <w:rFonts w:eastAsiaTheme="minorEastAsia"/>
          <w:sz w:val="24"/>
          <w:lang w:val="zh-CN" w:eastAsia="zh-CN"/>
        </w:rPr>
        <w:t>月至</w:t>
      </w:r>
      <w:r w:rsidRPr="000C4982">
        <w:rPr>
          <w:rFonts w:eastAsiaTheme="minorEastAsia"/>
          <w:sz w:val="24"/>
          <w:lang w:val="zh-CN" w:eastAsia="zh-CN"/>
        </w:rPr>
        <w:t>2026</w:t>
      </w:r>
      <w:r w:rsidRPr="000C4982">
        <w:rPr>
          <w:rFonts w:eastAsiaTheme="minorEastAsia"/>
          <w:sz w:val="24"/>
          <w:lang w:val="zh-CN" w:eastAsia="zh-CN"/>
        </w:rPr>
        <w:t>年</w:t>
      </w:r>
      <w:r w:rsidRPr="000C4982">
        <w:rPr>
          <w:rFonts w:eastAsiaTheme="minorEastAsia"/>
          <w:sz w:val="24"/>
          <w:lang w:val="zh-CN" w:eastAsia="zh-CN"/>
        </w:rPr>
        <w:t>6</w:t>
      </w:r>
      <w:r w:rsidRPr="000C4982">
        <w:rPr>
          <w:rFonts w:eastAsiaTheme="minorEastAsia"/>
          <w:sz w:val="24"/>
          <w:lang w:val="zh-CN" w:eastAsia="zh-CN"/>
        </w:rPr>
        <w:t>月期间《公约》</w:t>
      </w:r>
      <w:r>
        <w:rPr>
          <w:rFonts w:eastAsiaTheme="minorEastAsia"/>
          <w:sz w:val="24"/>
          <w:lang w:val="zh-CN" w:eastAsia="zh-CN"/>
        </w:rPr>
        <w:t>及其《议定书》</w:t>
      </w:r>
      <w:r w:rsidRPr="000C4982">
        <w:rPr>
          <w:rFonts w:eastAsiaTheme="minorEastAsia"/>
          <w:sz w:val="24"/>
          <w:lang w:val="zh-CN" w:eastAsia="zh-CN"/>
        </w:rPr>
        <w:t>规定义务所采取措施的商定全部增量成本的所需资金总额。</w:t>
      </w:r>
    </w:p>
    <w:p w:rsidR="00ED6D98" w:rsidRPr="000C4982" w:rsidRDefault="00ED6D98" w:rsidP="00ED6D98">
      <w:pPr>
        <w:pStyle w:val="CBD-Para-1"/>
        <w:keepNext/>
        <w:numPr>
          <w:ilvl w:val="0"/>
          <w:numId w:val="0"/>
        </w:numPr>
        <w:tabs>
          <w:tab w:val="left" w:pos="720"/>
        </w:tabs>
        <w:adjustRightInd w:val="0"/>
        <w:snapToGrid w:val="0"/>
        <w:jc w:val="left"/>
        <w:rPr>
          <w:rFonts w:eastAsiaTheme="minorEastAsia"/>
          <w:b/>
          <w:bCs/>
          <w:sz w:val="24"/>
          <w:lang w:val="zh-CN" w:eastAsia="zh-CN"/>
        </w:rPr>
      </w:pPr>
      <w:r w:rsidRPr="000C4982">
        <w:rPr>
          <w:rFonts w:eastAsiaTheme="minorEastAsia"/>
          <w:b/>
          <w:bCs/>
          <w:sz w:val="24"/>
          <w:lang w:val="zh-CN" w:eastAsia="zh-CN"/>
        </w:rPr>
        <w:t>方法</w:t>
      </w:r>
    </w:p>
    <w:p w:rsidR="00ED6D98" w:rsidRPr="007540BB" w:rsidRDefault="00ED6D98" w:rsidP="001A42F8">
      <w:pPr>
        <w:pStyle w:val="CBD-Para-1"/>
        <w:keepLines w:val="0"/>
        <w:numPr>
          <w:ilvl w:val="0"/>
          <w:numId w:val="234"/>
        </w:numPr>
        <w:tabs>
          <w:tab w:val="left" w:pos="720"/>
        </w:tabs>
        <w:adjustRightInd w:val="0"/>
        <w:snapToGrid w:val="0"/>
        <w:ind w:left="0" w:firstLine="0"/>
        <w:rPr>
          <w:rFonts w:ascii="SimSun" w:hAnsi="SimSun"/>
          <w:sz w:val="24"/>
          <w:lang w:eastAsia="zh-CN"/>
        </w:rPr>
      </w:pPr>
      <w:r w:rsidRPr="009B0EB6">
        <w:rPr>
          <w:rFonts w:eastAsiaTheme="minorEastAsia" w:hint="eastAsia"/>
          <w:sz w:val="24"/>
          <w:lang w:val="zh-CN" w:eastAsia="zh-CN"/>
        </w:rPr>
        <w:t>资金需要评估应考虑</w:t>
      </w:r>
      <w:r>
        <w:rPr>
          <w:rFonts w:ascii="SimSun" w:eastAsiaTheme="minorEastAsia" w:hAnsi="SimSun" w:hint="eastAsia"/>
          <w:sz w:val="24"/>
          <w:lang w:eastAsia="zh-CN"/>
        </w:rPr>
        <w:t>：</w:t>
      </w:r>
    </w:p>
    <w:p w:rsidR="00ED6D98" w:rsidRPr="00ED6D98" w:rsidRDefault="00ED6D98" w:rsidP="001A42F8">
      <w:pPr>
        <w:pStyle w:val="Para1"/>
        <w:numPr>
          <w:ilvl w:val="1"/>
          <w:numId w:val="237"/>
        </w:numPr>
        <w:tabs>
          <w:tab w:val="left" w:pos="1440"/>
        </w:tabs>
        <w:adjustRightInd w:val="0"/>
        <w:snapToGrid w:val="0"/>
        <w:ind w:left="0" w:firstLine="720"/>
        <w:rPr>
          <w:rFonts w:eastAsiaTheme="minorEastAsia"/>
          <w:sz w:val="24"/>
          <w:szCs w:val="24"/>
          <w:lang w:eastAsia="zh-CN"/>
        </w:rPr>
      </w:pPr>
      <w:r w:rsidRPr="00ED6D98">
        <w:rPr>
          <w:rFonts w:eastAsiaTheme="minorEastAsia"/>
          <w:sz w:val="24"/>
          <w:szCs w:val="24"/>
          <w:lang w:eastAsia="zh-CN"/>
        </w:rPr>
        <w:t>《公约》第</w:t>
      </w:r>
      <w:r w:rsidRPr="00ED6D98">
        <w:rPr>
          <w:rFonts w:eastAsiaTheme="minorEastAsia"/>
          <w:sz w:val="24"/>
          <w:szCs w:val="24"/>
          <w:lang w:eastAsia="zh-CN"/>
        </w:rPr>
        <w:t>20</w:t>
      </w:r>
      <w:r w:rsidRPr="00ED6D98">
        <w:rPr>
          <w:rFonts w:eastAsiaTheme="minorEastAsia"/>
          <w:sz w:val="24"/>
          <w:szCs w:val="24"/>
          <w:lang w:eastAsia="zh-CN"/>
        </w:rPr>
        <w:t>条第</w:t>
      </w:r>
      <w:r w:rsidRPr="00ED6D98">
        <w:rPr>
          <w:rFonts w:eastAsiaTheme="minorEastAsia"/>
          <w:sz w:val="24"/>
          <w:szCs w:val="24"/>
          <w:lang w:eastAsia="zh-CN"/>
        </w:rPr>
        <w:t>2</w:t>
      </w:r>
      <w:r w:rsidRPr="00ED6D98">
        <w:rPr>
          <w:rFonts w:eastAsiaTheme="minorEastAsia"/>
          <w:sz w:val="24"/>
          <w:szCs w:val="24"/>
          <w:lang w:eastAsia="zh-CN"/>
        </w:rPr>
        <w:t>款和第</w:t>
      </w:r>
      <w:r w:rsidRPr="00ED6D98">
        <w:rPr>
          <w:rFonts w:eastAsiaTheme="minorEastAsia"/>
          <w:sz w:val="24"/>
          <w:szCs w:val="24"/>
          <w:lang w:eastAsia="zh-CN"/>
        </w:rPr>
        <w:t>21</w:t>
      </w:r>
      <w:r w:rsidRPr="00ED6D98">
        <w:rPr>
          <w:rFonts w:eastAsiaTheme="minorEastAsia"/>
          <w:sz w:val="24"/>
          <w:szCs w:val="24"/>
          <w:lang w:eastAsia="zh-CN"/>
        </w:rPr>
        <w:t>条第</w:t>
      </w:r>
      <w:r w:rsidRPr="00ED6D98">
        <w:rPr>
          <w:rFonts w:eastAsiaTheme="minorEastAsia"/>
          <w:sz w:val="24"/>
          <w:szCs w:val="24"/>
          <w:lang w:eastAsia="zh-CN"/>
        </w:rPr>
        <w:t>1</w:t>
      </w:r>
      <w:r w:rsidRPr="00ED6D98">
        <w:rPr>
          <w:rFonts w:eastAsiaTheme="minorEastAsia"/>
          <w:sz w:val="24"/>
          <w:szCs w:val="24"/>
          <w:lang w:eastAsia="zh-CN"/>
        </w:rPr>
        <w:t>款以及《</w:t>
      </w:r>
      <w:r w:rsidRPr="00ED6D98">
        <w:rPr>
          <w:rFonts w:eastAsiaTheme="minorEastAsia"/>
          <w:sz w:val="24"/>
          <w:szCs w:val="24"/>
          <w:lang w:eastAsia="zh-CN"/>
        </w:rPr>
        <w:t>2011-2020</w:t>
      </w:r>
      <w:r w:rsidRPr="00ED6D98">
        <w:rPr>
          <w:rFonts w:eastAsiaTheme="minorEastAsia"/>
          <w:sz w:val="24"/>
          <w:szCs w:val="24"/>
          <w:lang w:eastAsia="zh-CN"/>
        </w:rPr>
        <w:t>年生物多样性战略计划》爱知生物多样性指标</w:t>
      </w:r>
      <w:r w:rsidRPr="00ED6D98">
        <w:rPr>
          <w:rFonts w:eastAsiaTheme="minorEastAsia"/>
          <w:sz w:val="24"/>
          <w:szCs w:val="24"/>
          <w:lang w:eastAsia="zh-CN"/>
        </w:rPr>
        <w:t>20</w:t>
      </w:r>
      <w:r w:rsidRPr="00ED6D98">
        <w:rPr>
          <w:rFonts w:eastAsiaTheme="minorEastAsia"/>
          <w:sz w:val="24"/>
          <w:szCs w:val="24"/>
          <w:lang w:eastAsia="zh-CN"/>
        </w:rPr>
        <w:t>；</w:t>
      </w:r>
    </w:p>
    <w:p w:rsidR="00ED6D98" w:rsidRPr="00ED6D98" w:rsidRDefault="00ED6D98" w:rsidP="001A42F8">
      <w:pPr>
        <w:pStyle w:val="Para1"/>
        <w:numPr>
          <w:ilvl w:val="1"/>
          <w:numId w:val="237"/>
        </w:numPr>
        <w:tabs>
          <w:tab w:val="left" w:pos="1440"/>
        </w:tabs>
        <w:adjustRightInd w:val="0"/>
        <w:snapToGrid w:val="0"/>
        <w:ind w:left="0" w:firstLine="720"/>
        <w:rPr>
          <w:rFonts w:eastAsiaTheme="minorEastAsia"/>
          <w:sz w:val="24"/>
          <w:szCs w:val="24"/>
          <w:lang w:eastAsia="zh-CN"/>
        </w:rPr>
      </w:pPr>
      <w:r w:rsidRPr="00ED6D98">
        <w:rPr>
          <w:rFonts w:eastAsiaTheme="minorEastAsia"/>
          <w:sz w:val="24"/>
          <w:szCs w:val="24"/>
          <w:lang w:eastAsia="zh-CN"/>
        </w:rPr>
        <w:t>缔约方大会向财务机制发出的需要将来资金的指导方针；</w:t>
      </w:r>
    </w:p>
    <w:p w:rsidR="00ED6D98" w:rsidRPr="00ED6D98" w:rsidRDefault="00ED6D98" w:rsidP="001A42F8">
      <w:pPr>
        <w:pStyle w:val="Para1"/>
        <w:numPr>
          <w:ilvl w:val="1"/>
          <w:numId w:val="237"/>
        </w:numPr>
        <w:tabs>
          <w:tab w:val="left" w:pos="1440"/>
        </w:tabs>
        <w:adjustRightInd w:val="0"/>
        <w:snapToGrid w:val="0"/>
        <w:ind w:left="0" w:firstLine="720"/>
        <w:rPr>
          <w:rFonts w:eastAsiaTheme="minorEastAsia"/>
          <w:sz w:val="24"/>
          <w:szCs w:val="24"/>
          <w:lang w:eastAsia="zh-CN"/>
        </w:rPr>
      </w:pPr>
      <w:bookmarkStart w:id="185" w:name="OLE_LINK39"/>
      <w:r w:rsidRPr="00ED6D98">
        <w:rPr>
          <w:rFonts w:eastAsiaTheme="minorEastAsia"/>
          <w:sz w:val="24"/>
          <w:szCs w:val="24"/>
          <w:lang w:eastAsia="zh-CN"/>
        </w:rPr>
        <w:t>《公约》下的所有义务以及缔约方大会通过的相关决定；</w:t>
      </w:r>
    </w:p>
    <w:p w:rsidR="00ED6D98" w:rsidRPr="00ED6D98" w:rsidRDefault="00ED6D98" w:rsidP="001A42F8">
      <w:pPr>
        <w:pStyle w:val="Para1"/>
        <w:numPr>
          <w:ilvl w:val="1"/>
          <w:numId w:val="237"/>
        </w:numPr>
        <w:tabs>
          <w:tab w:val="left" w:pos="1440"/>
        </w:tabs>
        <w:adjustRightInd w:val="0"/>
        <w:snapToGrid w:val="0"/>
        <w:ind w:left="0" w:firstLine="720"/>
        <w:rPr>
          <w:rFonts w:eastAsiaTheme="minorEastAsia"/>
          <w:sz w:val="24"/>
          <w:szCs w:val="24"/>
          <w:lang w:eastAsia="zh-CN"/>
        </w:rPr>
      </w:pPr>
      <w:r w:rsidRPr="00ED6D98">
        <w:rPr>
          <w:rFonts w:eastAsiaTheme="minorEastAsia"/>
          <w:sz w:val="24"/>
          <w:szCs w:val="24"/>
          <w:lang w:eastAsia="zh-CN"/>
        </w:rPr>
        <w:t>通过国家报告转交缔约方大会的信息，缔约方通过财务报告框架提供的信息</w:t>
      </w:r>
      <w:bookmarkEnd w:id="185"/>
      <w:r w:rsidRPr="00ED6D98">
        <w:rPr>
          <w:rFonts w:eastAsiaTheme="minorEastAsia"/>
          <w:sz w:val="24"/>
          <w:szCs w:val="24"/>
          <w:lang w:eastAsia="zh-CN"/>
        </w:rPr>
        <w:t>；</w:t>
      </w:r>
    </w:p>
    <w:p w:rsidR="00ED6D98" w:rsidRPr="00ED6D98" w:rsidRDefault="00ED6D98" w:rsidP="001A42F8">
      <w:pPr>
        <w:pStyle w:val="Para1"/>
        <w:numPr>
          <w:ilvl w:val="1"/>
          <w:numId w:val="237"/>
        </w:numPr>
        <w:tabs>
          <w:tab w:val="left" w:pos="1440"/>
        </w:tabs>
        <w:adjustRightInd w:val="0"/>
        <w:snapToGrid w:val="0"/>
        <w:ind w:left="0" w:firstLine="720"/>
        <w:rPr>
          <w:rFonts w:eastAsiaTheme="minorEastAsia"/>
          <w:sz w:val="24"/>
          <w:szCs w:val="24"/>
          <w:lang w:eastAsia="zh-CN"/>
        </w:rPr>
      </w:pPr>
      <w:r w:rsidRPr="00ED6D98">
        <w:rPr>
          <w:rFonts w:eastAsiaTheme="minorEastAsia"/>
          <w:sz w:val="24"/>
          <w:szCs w:val="24"/>
          <w:lang w:eastAsia="zh-CN"/>
        </w:rPr>
        <w:t>全球环境基金理事会为确定符合项目供资资格而商定的规则和准则；</w:t>
      </w:r>
    </w:p>
    <w:p w:rsidR="00ED6D98" w:rsidRPr="00ED6D98" w:rsidRDefault="00ED6D98" w:rsidP="001A42F8">
      <w:pPr>
        <w:pStyle w:val="Para1"/>
        <w:numPr>
          <w:ilvl w:val="1"/>
          <w:numId w:val="237"/>
        </w:numPr>
        <w:tabs>
          <w:tab w:val="left" w:pos="1440"/>
        </w:tabs>
        <w:adjustRightInd w:val="0"/>
        <w:snapToGrid w:val="0"/>
        <w:ind w:left="0" w:firstLine="720"/>
        <w:rPr>
          <w:rFonts w:eastAsiaTheme="minorEastAsia"/>
          <w:sz w:val="24"/>
          <w:szCs w:val="24"/>
          <w:lang w:eastAsia="zh-CN"/>
        </w:rPr>
      </w:pPr>
      <w:r w:rsidRPr="00ED6D98">
        <w:rPr>
          <w:rFonts w:eastAsiaTheme="minorEastAsia"/>
          <w:sz w:val="24"/>
          <w:szCs w:val="24"/>
          <w:lang w:eastAsia="zh-CN"/>
        </w:rPr>
        <w:t>根据《公约》第</w:t>
      </w:r>
      <w:r w:rsidRPr="00ED6D98">
        <w:rPr>
          <w:rFonts w:eastAsiaTheme="minorEastAsia"/>
          <w:sz w:val="24"/>
          <w:szCs w:val="24"/>
          <w:lang w:eastAsia="zh-CN"/>
        </w:rPr>
        <w:t>6</w:t>
      </w:r>
      <w:r w:rsidRPr="00ED6D98">
        <w:rPr>
          <w:rFonts w:eastAsiaTheme="minorEastAsia"/>
          <w:sz w:val="24"/>
          <w:szCs w:val="24"/>
          <w:lang w:eastAsia="zh-CN"/>
        </w:rPr>
        <w:t>条制订的国家战略、计划或方案；</w:t>
      </w:r>
    </w:p>
    <w:p w:rsidR="00ED6D98" w:rsidRPr="00ED6D98" w:rsidRDefault="00ED6D98" w:rsidP="001A42F8">
      <w:pPr>
        <w:pStyle w:val="Para1"/>
        <w:numPr>
          <w:ilvl w:val="1"/>
          <w:numId w:val="237"/>
        </w:numPr>
        <w:tabs>
          <w:tab w:val="left" w:pos="1440"/>
        </w:tabs>
        <w:adjustRightInd w:val="0"/>
        <w:snapToGrid w:val="0"/>
        <w:ind w:left="0" w:firstLine="720"/>
        <w:rPr>
          <w:rFonts w:eastAsiaTheme="minorEastAsia"/>
          <w:sz w:val="24"/>
          <w:szCs w:val="24"/>
          <w:lang w:eastAsia="zh-CN"/>
        </w:rPr>
      </w:pPr>
      <w:r w:rsidRPr="00ED6D98">
        <w:rPr>
          <w:rFonts w:eastAsiaTheme="minorEastAsia"/>
          <w:sz w:val="24"/>
          <w:szCs w:val="24"/>
          <w:lang w:eastAsia="zh-CN"/>
        </w:rPr>
        <w:t>迄今取得的经验，包括全球环境基金资助项目面临的限制，以及全球环境基金及其各实施和执行机构的绩效；</w:t>
      </w:r>
    </w:p>
    <w:p w:rsidR="00ED6D98" w:rsidRPr="00ED6D98" w:rsidRDefault="00ED6D98" w:rsidP="001A42F8">
      <w:pPr>
        <w:pStyle w:val="Para1"/>
        <w:numPr>
          <w:ilvl w:val="1"/>
          <w:numId w:val="237"/>
        </w:numPr>
        <w:tabs>
          <w:tab w:val="left" w:pos="1440"/>
        </w:tabs>
        <w:adjustRightInd w:val="0"/>
        <w:snapToGrid w:val="0"/>
        <w:ind w:left="0" w:firstLine="720"/>
        <w:rPr>
          <w:rFonts w:eastAsiaTheme="minorEastAsia"/>
          <w:sz w:val="24"/>
          <w:szCs w:val="24"/>
          <w:lang w:eastAsia="zh-CN"/>
        </w:rPr>
      </w:pPr>
      <w:r w:rsidRPr="00ED6D98">
        <w:rPr>
          <w:rFonts w:eastAsiaTheme="minorEastAsia"/>
          <w:sz w:val="24"/>
          <w:szCs w:val="24"/>
          <w:lang w:eastAsia="zh-CN"/>
        </w:rPr>
        <w:t>与全球环境基金资助的其他公约的协同作用；</w:t>
      </w:r>
    </w:p>
    <w:p w:rsidR="00ED6D98" w:rsidRPr="00ED6D98" w:rsidRDefault="00ED6D98" w:rsidP="001A42F8">
      <w:pPr>
        <w:pStyle w:val="Para1"/>
        <w:numPr>
          <w:ilvl w:val="1"/>
          <w:numId w:val="237"/>
        </w:numPr>
        <w:tabs>
          <w:tab w:val="left" w:pos="1440"/>
        </w:tabs>
        <w:adjustRightInd w:val="0"/>
        <w:snapToGrid w:val="0"/>
        <w:ind w:left="0" w:firstLine="720"/>
        <w:rPr>
          <w:rFonts w:eastAsiaTheme="minorEastAsia"/>
          <w:sz w:val="24"/>
          <w:szCs w:val="24"/>
          <w:lang w:eastAsia="zh-CN"/>
        </w:rPr>
      </w:pPr>
      <w:r w:rsidRPr="00ED6D98">
        <w:rPr>
          <w:rFonts w:eastAsiaTheme="minorEastAsia"/>
          <w:sz w:val="24"/>
          <w:szCs w:val="24"/>
          <w:lang w:eastAsia="zh-CN"/>
        </w:rPr>
        <w:t>与其他与生物多样性相关公约的协同作用；</w:t>
      </w:r>
    </w:p>
    <w:p w:rsidR="00ED6D98" w:rsidRPr="00ED6D98" w:rsidRDefault="00ED6D98" w:rsidP="001A42F8">
      <w:pPr>
        <w:pStyle w:val="Para1"/>
        <w:numPr>
          <w:ilvl w:val="1"/>
          <w:numId w:val="237"/>
        </w:numPr>
        <w:tabs>
          <w:tab w:val="left" w:pos="1440"/>
        </w:tabs>
        <w:adjustRightInd w:val="0"/>
        <w:snapToGrid w:val="0"/>
        <w:ind w:left="0" w:firstLine="720"/>
        <w:rPr>
          <w:rFonts w:eastAsiaTheme="minorEastAsia"/>
          <w:sz w:val="24"/>
          <w:szCs w:val="24"/>
          <w:lang w:eastAsia="zh-CN"/>
        </w:rPr>
      </w:pPr>
      <w:r w:rsidRPr="00ED6D98">
        <w:rPr>
          <w:rFonts w:eastAsiaTheme="minorEastAsia"/>
          <w:sz w:val="24"/>
          <w:szCs w:val="24"/>
          <w:lang w:eastAsia="zh-CN"/>
        </w:rPr>
        <w:t>资源调动战略及其指标；</w:t>
      </w:r>
    </w:p>
    <w:p w:rsidR="00ED6D98" w:rsidRPr="00ED6D98" w:rsidRDefault="00ED6D98" w:rsidP="001A42F8">
      <w:pPr>
        <w:pStyle w:val="Para1"/>
        <w:numPr>
          <w:ilvl w:val="1"/>
          <w:numId w:val="237"/>
        </w:numPr>
        <w:tabs>
          <w:tab w:val="left" w:pos="1440"/>
        </w:tabs>
        <w:adjustRightInd w:val="0"/>
        <w:snapToGrid w:val="0"/>
        <w:ind w:left="0" w:firstLine="720"/>
        <w:rPr>
          <w:rFonts w:eastAsiaTheme="minorEastAsia"/>
          <w:sz w:val="24"/>
          <w:szCs w:val="24"/>
          <w:lang w:eastAsia="zh-CN"/>
        </w:rPr>
      </w:pPr>
      <w:r w:rsidRPr="00ED6D98">
        <w:rPr>
          <w:rFonts w:eastAsiaTheme="minorEastAsia"/>
          <w:sz w:val="24"/>
          <w:szCs w:val="24"/>
          <w:lang w:eastAsia="zh-CN"/>
        </w:rPr>
        <w:t>执行《</w:t>
      </w:r>
      <w:r w:rsidRPr="00ED6D98">
        <w:rPr>
          <w:rFonts w:eastAsiaTheme="minorEastAsia"/>
          <w:sz w:val="24"/>
          <w:lang w:eastAsia="zh-CN"/>
        </w:rPr>
        <w:t>2011-2020</w:t>
      </w:r>
      <w:r w:rsidRPr="00ED6D98">
        <w:rPr>
          <w:rFonts w:eastAsiaTheme="minorEastAsia"/>
          <w:sz w:val="24"/>
          <w:szCs w:val="24"/>
          <w:lang w:eastAsia="zh-CN"/>
        </w:rPr>
        <w:t>年生物多样性战略计划》全球资源评估高级别小组第二次报告及其建议；</w:t>
      </w:r>
    </w:p>
    <w:p w:rsidR="00ED6D98" w:rsidRPr="00ED6D98" w:rsidRDefault="00ED6D98" w:rsidP="001A42F8">
      <w:pPr>
        <w:pStyle w:val="Para1"/>
        <w:numPr>
          <w:ilvl w:val="1"/>
          <w:numId w:val="237"/>
        </w:numPr>
        <w:tabs>
          <w:tab w:val="left" w:pos="1440"/>
        </w:tabs>
        <w:adjustRightInd w:val="0"/>
        <w:snapToGrid w:val="0"/>
        <w:ind w:left="0" w:firstLine="720"/>
        <w:rPr>
          <w:rFonts w:eastAsiaTheme="minorEastAsia"/>
          <w:sz w:val="24"/>
          <w:szCs w:val="24"/>
          <w:lang w:eastAsia="zh-CN"/>
        </w:rPr>
      </w:pPr>
      <w:r w:rsidRPr="00ED6D98">
        <w:rPr>
          <w:rFonts w:eastAsiaTheme="minorEastAsia"/>
          <w:sz w:val="24"/>
          <w:szCs w:val="24"/>
          <w:lang w:eastAsia="zh-CN"/>
        </w:rPr>
        <w:t>可能的话，国家生物多样性战略和行动计划；</w:t>
      </w:r>
    </w:p>
    <w:p w:rsidR="00ED6D98" w:rsidRPr="00ED6D98" w:rsidRDefault="00ED6D98" w:rsidP="001A42F8">
      <w:pPr>
        <w:pStyle w:val="Para1"/>
        <w:numPr>
          <w:ilvl w:val="1"/>
          <w:numId w:val="237"/>
        </w:numPr>
        <w:tabs>
          <w:tab w:val="left" w:pos="1440"/>
        </w:tabs>
        <w:adjustRightInd w:val="0"/>
        <w:snapToGrid w:val="0"/>
        <w:ind w:left="0" w:firstLine="720"/>
        <w:rPr>
          <w:rFonts w:eastAsiaTheme="minorEastAsia"/>
          <w:sz w:val="24"/>
          <w:szCs w:val="24"/>
          <w:lang w:eastAsia="zh-CN"/>
        </w:rPr>
      </w:pPr>
      <w:r w:rsidRPr="00ED6D98">
        <w:rPr>
          <w:rFonts w:eastAsiaTheme="minorEastAsia"/>
          <w:sz w:val="24"/>
          <w:lang w:eastAsia="zh-CN"/>
        </w:rPr>
        <w:t>2020</w:t>
      </w:r>
      <w:r w:rsidRPr="00ED6D98">
        <w:rPr>
          <w:rFonts w:eastAsiaTheme="minorEastAsia"/>
          <w:sz w:val="24"/>
          <w:lang w:eastAsia="zh-CN"/>
        </w:rPr>
        <w:t>年后全球生物多样性框架草案；</w:t>
      </w:r>
    </w:p>
    <w:p w:rsidR="00ED6D98" w:rsidRPr="00ED6D98" w:rsidRDefault="00ED6D98" w:rsidP="001A42F8">
      <w:pPr>
        <w:pStyle w:val="Para1"/>
        <w:numPr>
          <w:ilvl w:val="1"/>
          <w:numId w:val="237"/>
        </w:numPr>
        <w:tabs>
          <w:tab w:val="left" w:pos="1440"/>
        </w:tabs>
        <w:adjustRightInd w:val="0"/>
        <w:snapToGrid w:val="0"/>
        <w:ind w:left="0" w:firstLine="720"/>
        <w:rPr>
          <w:rFonts w:eastAsiaTheme="minorEastAsia"/>
          <w:b/>
          <w:sz w:val="24"/>
          <w:szCs w:val="24"/>
          <w:lang w:eastAsia="zh-CN"/>
        </w:rPr>
      </w:pPr>
      <w:r w:rsidRPr="00ED6D98">
        <w:rPr>
          <w:rFonts w:eastAsiaTheme="minorEastAsia"/>
          <w:sz w:val="24"/>
          <w:szCs w:val="24"/>
          <w:lang w:eastAsia="zh-CN"/>
        </w:rPr>
        <w:t>执行可持续发展目标特别是目标</w:t>
      </w:r>
      <w:r w:rsidRPr="00ED6D98">
        <w:rPr>
          <w:rFonts w:eastAsiaTheme="minorEastAsia"/>
          <w:sz w:val="24"/>
          <w:lang w:eastAsia="zh-CN"/>
        </w:rPr>
        <w:t>17</w:t>
      </w:r>
      <w:r w:rsidRPr="00ED6D98">
        <w:rPr>
          <w:rFonts w:eastAsiaTheme="minorEastAsia"/>
          <w:sz w:val="24"/>
          <w:szCs w:val="24"/>
          <w:lang w:eastAsia="zh-CN"/>
        </w:rPr>
        <w:t>进展情况（加强执行手段）。</w:t>
      </w:r>
    </w:p>
    <w:p w:rsidR="00ED6D98" w:rsidRPr="00B34D8B" w:rsidRDefault="00ED6D98" w:rsidP="00ED6D98">
      <w:pPr>
        <w:pStyle w:val="Para1"/>
        <w:tabs>
          <w:tab w:val="clear" w:pos="360"/>
          <w:tab w:val="left" w:pos="1440"/>
        </w:tabs>
        <w:adjustRightInd w:val="0"/>
        <w:snapToGrid w:val="0"/>
        <w:ind w:firstLine="0"/>
        <w:rPr>
          <w:rFonts w:asciiTheme="minorEastAsia" w:eastAsiaTheme="minorEastAsia" w:hAnsiTheme="minorEastAsia"/>
          <w:b/>
          <w:sz w:val="24"/>
          <w:szCs w:val="24"/>
        </w:rPr>
      </w:pPr>
      <w:r w:rsidRPr="00B34D8B">
        <w:rPr>
          <w:rFonts w:asciiTheme="minorEastAsia" w:eastAsiaTheme="minorEastAsia" w:hAnsiTheme="minorEastAsia"/>
          <w:b/>
          <w:sz w:val="24"/>
          <w:szCs w:val="24"/>
        </w:rPr>
        <w:t>执行程序</w:t>
      </w:r>
    </w:p>
    <w:p w:rsidR="00ED6D98" w:rsidRPr="00152231" w:rsidRDefault="00ED6D98" w:rsidP="001A42F8">
      <w:pPr>
        <w:pStyle w:val="CBD-Para-1"/>
        <w:keepLines w:val="0"/>
        <w:numPr>
          <w:ilvl w:val="0"/>
          <w:numId w:val="234"/>
        </w:numPr>
        <w:tabs>
          <w:tab w:val="left" w:pos="720"/>
        </w:tabs>
        <w:adjustRightInd w:val="0"/>
        <w:snapToGrid w:val="0"/>
        <w:ind w:left="0" w:firstLine="0"/>
        <w:rPr>
          <w:rFonts w:eastAsiaTheme="minorEastAsia"/>
          <w:sz w:val="24"/>
          <w:lang w:eastAsia="zh-CN"/>
        </w:rPr>
      </w:pPr>
      <w:bookmarkStart w:id="186" w:name="OLE_LINK45"/>
      <w:bookmarkStart w:id="187" w:name="OLE_LINK71"/>
      <w:r w:rsidRPr="00152231">
        <w:rPr>
          <w:rFonts w:eastAsiaTheme="minorEastAsia"/>
          <w:sz w:val="24"/>
          <w:lang w:eastAsia="zh-CN"/>
        </w:rPr>
        <w:t>经缔约方大会授权并在其支持下，执行秘书</w:t>
      </w:r>
      <w:r>
        <w:rPr>
          <w:rFonts w:eastAsiaTheme="minorEastAsia" w:hint="eastAsia"/>
          <w:sz w:val="24"/>
          <w:lang w:eastAsia="zh-CN"/>
        </w:rPr>
        <w:t>应</w:t>
      </w:r>
      <w:r>
        <w:rPr>
          <w:rFonts w:eastAsiaTheme="minorEastAsia"/>
          <w:sz w:val="24"/>
          <w:lang w:eastAsia="zh-CN"/>
        </w:rPr>
        <w:t>在</w:t>
      </w:r>
      <w:r>
        <w:rPr>
          <w:rFonts w:eastAsiaTheme="minorEastAsia" w:hint="eastAsia"/>
          <w:sz w:val="24"/>
          <w:lang w:eastAsia="zh-CN"/>
        </w:rPr>
        <w:t>资源</w:t>
      </w:r>
      <w:r>
        <w:rPr>
          <w:rFonts w:eastAsiaTheme="minorEastAsia"/>
          <w:sz w:val="24"/>
          <w:lang w:eastAsia="zh-CN"/>
        </w:rPr>
        <w:t>允许的情况下，</w:t>
      </w:r>
      <w:r>
        <w:rPr>
          <w:rFonts w:eastAsiaTheme="minorEastAsia" w:hint="eastAsia"/>
          <w:sz w:val="24"/>
          <w:lang w:eastAsia="zh-CN"/>
        </w:rPr>
        <w:t>约聘一个</w:t>
      </w:r>
      <w:r w:rsidRPr="00152231">
        <w:rPr>
          <w:rFonts w:eastAsiaTheme="minorEastAsia"/>
          <w:sz w:val="24"/>
          <w:lang w:eastAsia="zh-CN"/>
        </w:rPr>
        <w:t>三或五人</w:t>
      </w:r>
      <w:r>
        <w:rPr>
          <w:rFonts w:eastAsiaTheme="minorEastAsia" w:hint="eastAsia"/>
          <w:sz w:val="24"/>
          <w:lang w:eastAsia="zh-CN"/>
        </w:rPr>
        <w:t>的</w:t>
      </w:r>
      <w:r w:rsidRPr="00152231">
        <w:rPr>
          <w:rFonts w:eastAsiaTheme="minorEastAsia"/>
          <w:sz w:val="24"/>
          <w:lang w:eastAsia="zh-CN"/>
        </w:rPr>
        <w:t>专家小组（发展中国家和发达国家人数相等，国际非政府组织一人），以便根据上述目的和方法，</w:t>
      </w:r>
      <w:r>
        <w:rPr>
          <w:rFonts w:eastAsiaTheme="minorEastAsia"/>
          <w:sz w:val="24"/>
          <w:lang w:eastAsia="zh-CN"/>
        </w:rPr>
        <w:t>编制</w:t>
      </w:r>
      <w:r>
        <w:rPr>
          <w:rFonts w:eastAsiaTheme="minorEastAsia" w:hint="eastAsia"/>
          <w:sz w:val="24"/>
          <w:lang w:eastAsia="zh-CN"/>
        </w:rPr>
        <w:t>一份</w:t>
      </w:r>
      <w:r w:rsidRPr="00152231">
        <w:rPr>
          <w:rFonts w:eastAsiaTheme="minorEastAsia"/>
          <w:sz w:val="24"/>
          <w:lang w:eastAsia="zh-CN"/>
        </w:rPr>
        <w:t>关于</w:t>
      </w:r>
      <w:r w:rsidRPr="00152231">
        <w:rPr>
          <w:rFonts w:eastAsiaTheme="minorEastAsia"/>
          <w:sz w:val="24"/>
          <w:lang w:eastAsia="zh-CN"/>
        </w:rPr>
        <w:t>2022</w:t>
      </w:r>
      <w:r w:rsidRPr="00152231">
        <w:rPr>
          <w:rFonts w:eastAsiaTheme="minorEastAsia"/>
          <w:sz w:val="24"/>
          <w:lang w:eastAsia="zh-CN"/>
        </w:rPr>
        <w:t>年</w:t>
      </w:r>
      <w:r w:rsidRPr="00152231">
        <w:rPr>
          <w:rFonts w:eastAsiaTheme="minorEastAsia"/>
          <w:sz w:val="24"/>
          <w:lang w:eastAsia="zh-CN"/>
        </w:rPr>
        <w:t>7</w:t>
      </w:r>
      <w:r w:rsidRPr="00152231">
        <w:rPr>
          <w:rFonts w:eastAsiaTheme="minorEastAsia"/>
          <w:sz w:val="24"/>
          <w:lang w:eastAsia="zh-CN"/>
        </w:rPr>
        <w:t>月至</w:t>
      </w:r>
      <w:r w:rsidRPr="00152231">
        <w:rPr>
          <w:rFonts w:eastAsiaTheme="minorEastAsia"/>
          <w:sz w:val="24"/>
          <w:lang w:eastAsia="zh-CN"/>
        </w:rPr>
        <w:t>2026</w:t>
      </w:r>
      <w:r w:rsidRPr="00152231">
        <w:rPr>
          <w:rFonts w:eastAsiaTheme="minorEastAsia"/>
          <w:sz w:val="24"/>
          <w:lang w:eastAsia="zh-CN"/>
        </w:rPr>
        <w:t>年</w:t>
      </w:r>
      <w:r w:rsidRPr="00152231">
        <w:rPr>
          <w:rFonts w:eastAsiaTheme="minorEastAsia"/>
          <w:sz w:val="24"/>
          <w:lang w:eastAsia="zh-CN"/>
        </w:rPr>
        <w:t>6</w:t>
      </w:r>
      <w:r w:rsidRPr="00152231">
        <w:rPr>
          <w:rFonts w:eastAsiaTheme="minorEastAsia"/>
          <w:sz w:val="24"/>
          <w:lang w:eastAsia="zh-CN"/>
        </w:rPr>
        <w:t>月期间执行《公约》所需资金</w:t>
      </w:r>
      <w:r>
        <w:rPr>
          <w:rFonts w:eastAsiaTheme="minorEastAsia" w:hint="eastAsia"/>
          <w:sz w:val="24"/>
          <w:lang w:eastAsia="zh-CN"/>
        </w:rPr>
        <w:t>和</w:t>
      </w:r>
      <w:r>
        <w:rPr>
          <w:rFonts w:eastAsiaTheme="minorEastAsia"/>
          <w:sz w:val="24"/>
          <w:lang w:eastAsia="zh-CN"/>
        </w:rPr>
        <w:t>可获得资金</w:t>
      </w:r>
      <w:r>
        <w:rPr>
          <w:rFonts w:eastAsiaTheme="minorEastAsia" w:hint="eastAsia"/>
          <w:sz w:val="24"/>
          <w:lang w:eastAsia="zh-CN"/>
        </w:rPr>
        <w:t>的</w:t>
      </w:r>
      <w:r w:rsidRPr="00152231">
        <w:rPr>
          <w:rFonts w:eastAsiaTheme="minorEastAsia"/>
          <w:sz w:val="24"/>
          <w:lang w:eastAsia="zh-CN"/>
        </w:rPr>
        <w:t>全面评估</w:t>
      </w:r>
      <w:r>
        <w:rPr>
          <w:rFonts w:eastAsiaTheme="minorEastAsia" w:hint="eastAsia"/>
          <w:sz w:val="24"/>
          <w:lang w:eastAsia="zh-CN"/>
        </w:rPr>
        <w:t>报告</w:t>
      </w:r>
      <w:r w:rsidRPr="00152231">
        <w:rPr>
          <w:rFonts w:eastAsiaTheme="minorEastAsia"/>
          <w:sz w:val="24"/>
          <w:lang w:eastAsia="zh-CN"/>
        </w:rPr>
        <w:t>。</w:t>
      </w:r>
      <w:bookmarkEnd w:id="186"/>
      <w:bookmarkEnd w:id="187"/>
    </w:p>
    <w:p w:rsidR="00ED6D98" w:rsidRPr="00152231" w:rsidRDefault="00ED6D98" w:rsidP="001A42F8">
      <w:pPr>
        <w:pStyle w:val="CBD-Para-1"/>
        <w:keepLines w:val="0"/>
        <w:numPr>
          <w:ilvl w:val="0"/>
          <w:numId w:val="234"/>
        </w:numPr>
        <w:tabs>
          <w:tab w:val="left" w:pos="720"/>
        </w:tabs>
        <w:adjustRightInd w:val="0"/>
        <w:snapToGrid w:val="0"/>
        <w:ind w:left="0" w:firstLine="0"/>
        <w:rPr>
          <w:rFonts w:eastAsiaTheme="minorEastAsia"/>
          <w:sz w:val="24"/>
          <w:lang w:eastAsia="zh-CN"/>
        </w:rPr>
      </w:pPr>
      <w:r w:rsidRPr="00152231">
        <w:rPr>
          <w:rFonts w:eastAsiaTheme="minorEastAsia"/>
          <w:sz w:val="24"/>
          <w:lang w:eastAsia="zh-CN"/>
        </w:rPr>
        <w:lastRenderedPageBreak/>
        <w:t>在</w:t>
      </w:r>
      <w:r>
        <w:rPr>
          <w:rFonts w:eastAsiaTheme="minorEastAsia"/>
          <w:sz w:val="24"/>
          <w:lang w:eastAsia="zh-CN"/>
        </w:rPr>
        <w:t>编制</w:t>
      </w:r>
      <w:r w:rsidRPr="00152231">
        <w:rPr>
          <w:rFonts w:eastAsiaTheme="minorEastAsia"/>
          <w:sz w:val="24"/>
          <w:lang w:eastAsia="zh-CN"/>
        </w:rPr>
        <w:t>评估报告时，专家小组应</w:t>
      </w:r>
      <w:r>
        <w:rPr>
          <w:rFonts w:eastAsiaTheme="minorEastAsia" w:hint="eastAsia"/>
          <w:sz w:val="24"/>
          <w:lang w:eastAsia="zh-CN"/>
        </w:rPr>
        <w:t>进行</w:t>
      </w:r>
      <w:r w:rsidRPr="00152231">
        <w:rPr>
          <w:rFonts w:eastAsiaTheme="minorEastAsia"/>
          <w:sz w:val="24"/>
          <w:lang w:eastAsia="zh-CN"/>
        </w:rPr>
        <w:t>可能需要的访谈、调查、定量和定性分析以及磋商，包括：</w:t>
      </w:r>
    </w:p>
    <w:p w:rsidR="00ED6D98" w:rsidRPr="00ED6D98" w:rsidRDefault="00ED6D98" w:rsidP="001A42F8">
      <w:pPr>
        <w:pStyle w:val="Para1"/>
        <w:numPr>
          <w:ilvl w:val="0"/>
          <w:numId w:val="238"/>
        </w:numPr>
        <w:tabs>
          <w:tab w:val="left" w:pos="1440"/>
        </w:tabs>
        <w:adjustRightInd w:val="0"/>
        <w:snapToGrid w:val="0"/>
        <w:ind w:left="0" w:firstLine="720"/>
        <w:rPr>
          <w:rFonts w:eastAsiaTheme="minorEastAsia"/>
          <w:sz w:val="24"/>
          <w:szCs w:val="24"/>
          <w:lang w:eastAsia="zh-CN"/>
        </w:rPr>
      </w:pPr>
      <w:r w:rsidRPr="00ED6D98">
        <w:rPr>
          <w:rFonts w:eastAsiaTheme="minorEastAsia"/>
          <w:sz w:val="24"/>
          <w:szCs w:val="24"/>
          <w:lang w:eastAsia="zh-CN"/>
        </w:rPr>
        <w:t>汇编和分析符合全球环境基金资格的缔约方根据《公约》第</w:t>
      </w:r>
      <w:r w:rsidRPr="00ED6D98">
        <w:rPr>
          <w:rFonts w:eastAsiaTheme="minorEastAsia"/>
          <w:sz w:val="24"/>
          <w:szCs w:val="24"/>
          <w:lang w:eastAsia="zh-CN"/>
        </w:rPr>
        <w:t>16</w:t>
      </w:r>
      <w:r w:rsidRPr="00ED6D98">
        <w:rPr>
          <w:rFonts w:eastAsiaTheme="minorEastAsia"/>
          <w:sz w:val="24"/>
          <w:szCs w:val="24"/>
          <w:lang w:eastAsia="zh-CN"/>
        </w:rPr>
        <w:t>条编制国家生物多样性战略和行动计划，包括针对具体国家的资源调动战略中确定的需求；</w:t>
      </w:r>
    </w:p>
    <w:p w:rsidR="00ED6D98" w:rsidRPr="00ED6D98" w:rsidRDefault="00ED6D98" w:rsidP="001A42F8">
      <w:pPr>
        <w:pStyle w:val="Para1"/>
        <w:numPr>
          <w:ilvl w:val="0"/>
          <w:numId w:val="238"/>
        </w:numPr>
        <w:tabs>
          <w:tab w:val="left" w:pos="1440"/>
        </w:tabs>
        <w:adjustRightInd w:val="0"/>
        <w:snapToGrid w:val="0"/>
        <w:ind w:left="0" w:firstLine="720"/>
        <w:rPr>
          <w:rFonts w:eastAsiaTheme="minorEastAsia"/>
          <w:sz w:val="24"/>
          <w:szCs w:val="24"/>
          <w:lang w:eastAsia="zh-CN"/>
        </w:rPr>
      </w:pPr>
      <w:bookmarkStart w:id="188" w:name="OLE_LINK46"/>
      <w:r w:rsidRPr="00ED6D98">
        <w:rPr>
          <w:rFonts w:eastAsiaTheme="minorEastAsia"/>
          <w:sz w:val="24"/>
          <w:szCs w:val="24"/>
          <w:lang w:eastAsia="zh-CN"/>
        </w:rPr>
        <w:t>审议缔约方根据《公约》第</w:t>
      </w:r>
      <w:r w:rsidRPr="00ED6D98">
        <w:rPr>
          <w:rFonts w:eastAsiaTheme="minorEastAsia"/>
          <w:sz w:val="24"/>
          <w:szCs w:val="24"/>
          <w:lang w:eastAsia="zh-CN"/>
        </w:rPr>
        <w:t>26</w:t>
      </w:r>
      <w:r w:rsidRPr="00ED6D98">
        <w:rPr>
          <w:rFonts w:eastAsiaTheme="minorEastAsia"/>
          <w:sz w:val="24"/>
          <w:szCs w:val="24"/>
          <w:lang w:eastAsia="zh-CN"/>
        </w:rPr>
        <w:t>条提交的报告，以确定履行《公约》规定义务的资金需求；</w:t>
      </w:r>
      <w:bookmarkEnd w:id="188"/>
      <w:r w:rsidRPr="00ED6D98">
        <w:rPr>
          <w:rFonts w:eastAsiaTheme="minorEastAsia"/>
          <w:sz w:val="24"/>
          <w:szCs w:val="24"/>
          <w:lang w:eastAsia="zh-CN"/>
        </w:rPr>
        <w:t xml:space="preserve"> </w:t>
      </w:r>
    </w:p>
    <w:p w:rsidR="00ED6D98" w:rsidRPr="00ED6D98" w:rsidRDefault="00ED6D98" w:rsidP="001A42F8">
      <w:pPr>
        <w:pStyle w:val="Para1"/>
        <w:numPr>
          <w:ilvl w:val="0"/>
          <w:numId w:val="238"/>
        </w:numPr>
        <w:tabs>
          <w:tab w:val="left" w:pos="1440"/>
        </w:tabs>
        <w:adjustRightInd w:val="0"/>
        <w:snapToGrid w:val="0"/>
        <w:ind w:left="0" w:firstLine="720"/>
        <w:rPr>
          <w:rFonts w:eastAsiaTheme="minorEastAsia"/>
          <w:sz w:val="24"/>
          <w:szCs w:val="24"/>
          <w:lang w:eastAsia="zh-CN"/>
        </w:rPr>
      </w:pPr>
      <w:r w:rsidRPr="00ED6D98">
        <w:rPr>
          <w:rFonts w:eastAsiaTheme="minorEastAsia"/>
          <w:sz w:val="24"/>
          <w:szCs w:val="24"/>
          <w:lang w:eastAsia="zh-CN"/>
        </w:rPr>
        <w:t>缔约方大会对财务机制的指导意见所涉经费估计数；</w:t>
      </w:r>
    </w:p>
    <w:p w:rsidR="00ED6D98" w:rsidRPr="00ED6D98" w:rsidRDefault="00ED6D98" w:rsidP="001A42F8">
      <w:pPr>
        <w:pStyle w:val="Para1"/>
        <w:numPr>
          <w:ilvl w:val="0"/>
          <w:numId w:val="238"/>
        </w:numPr>
        <w:tabs>
          <w:tab w:val="left" w:pos="1440"/>
        </w:tabs>
        <w:adjustRightInd w:val="0"/>
        <w:snapToGrid w:val="0"/>
        <w:ind w:left="0" w:firstLine="720"/>
        <w:rPr>
          <w:rFonts w:eastAsiaTheme="minorEastAsia"/>
          <w:sz w:val="24"/>
          <w:szCs w:val="24"/>
          <w:lang w:eastAsia="zh-CN"/>
        </w:rPr>
      </w:pPr>
      <w:bookmarkStart w:id="189" w:name="OLE_LINK47"/>
      <w:r w:rsidRPr="00ED6D98">
        <w:rPr>
          <w:rFonts w:eastAsiaTheme="minorEastAsia"/>
          <w:sz w:val="24"/>
          <w:szCs w:val="24"/>
          <w:lang w:eastAsia="zh-CN"/>
        </w:rPr>
        <w:t>迄今财务机制为各增资阶段提供资金的经验</w:t>
      </w:r>
      <w:bookmarkEnd w:id="189"/>
      <w:r w:rsidRPr="00ED6D98">
        <w:rPr>
          <w:rFonts w:eastAsiaTheme="minorEastAsia"/>
          <w:sz w:val="24"/>
          <w:szCs w:val="24"/>
          <w:lang w:eastAsia="zh-CN"/>
        </w:rPr>
        <w:t>；</w:t>
      </w:r>
    </w:p>
    <w:p w:rsidR="00ED6D98" w:rsidRPr="00ED6D98" w:rsidRDefault="00ED6D98" w:rsidP="001A42F8">
      <w:pPr>
        <w:pStyle w:val="Para1"/>
        <w:numPr>
          <w:ilvl w:val="0"/>
          <w:numId w:val="238"/>
        </w:numPr>
        <w:tabs>
          <w:tab w:val="left" w:pos="1440"/>
        </w:tabs>
        <w:adjustRightInd w:val="0"/>
        <w:snapToGrid w:val="0"/>
        <w:ind w:left="0" w:firstLine="720"/>
        <w:rPr>
          <w:rFonts w:eastAsiaTheme="minorEastAsia"/>
          <w:sz w:val="24"/>
          <w:szCs w:val="24"/>
          <w:lang w:eastAsia="zh-CN"/>
        </w:rPr>
      </w:pPr>
      <w:bookmarkStart w:id="190" w:name="OLE_LINK48"/>
      <w:r w:rsidRPr="00ED6D98">
        <w:rPr>
          <w:rFonts w:eastAsiaTheme="minorEastAsia"/>
          <w:sz w:val="24"/>
          <w:szCs w:val="24"/>
          <w:lang w:eastAsia="zh-CN"/>
        </w:rPr>
        <w:t>汇编和分析符合全球环境基金资格的缔约方就其履行《公约》规定义务的资金需求提交的任何补增资料</w:t>
      </w:r>
      <w:bookmarkEnd w:id="190"/>
      <w:r w:rsidRPr="00ED6D98">
        <w:rPr>
          <w:rFonts w:eastAsiaTheme="minorEastAsia"/>
          <w:sz w:val="24"/>
          <w:szCs w:val="24"/>
          <w:lang w:eastAsia="zh-CN"/>
        </w:rPr>
        <w:t>。</w:t>
      </w:r>
    </w:p>
    <w:p w:rsidR="00ED6D98" w:rsidRPr="005F1FA1" w:rsidRDefault="00ED6D98" w:rsidP="001A42F8">
      <w:pPr>
        <w:pStyle w:val="CBD-Para-1"/>
        <w:keepLines w:val="0"/>
        <w:numPr>
          <w:ilvl w:val="0"/>
          <w:numId w:val="234"/>
        </w:numPr>
        <w:tabs>
          <w:tab w:val="left" w:pos="720"/>
        </w:tabs>
        <w:adjustRightInd w:val="0"/>
        <w:snapToGrid w:val="0"/>
        <w:ind w:left="0" w:firstLine="0"/>
        <w:rPr>
          <w:rFonts w:eastAsiaTheme="minorEastAsia"/>
          <w:sz w:val="24"/>
          <w:lang w:eastAsia="zh-CN"/>
        </w:rPr>
      </w:pPr>
      <w:bookmarkStart w:id="191" w:name="OLE_LINK49"/>
      <w:r w:rsidRPr="005F1FA1">
        <w:rPr>
          <w:rFonts w:eastAsiaTheme="minorEastAsia"/>
          <w:sz w:val="24"/>
          <w:lang w:eastAsia="zh-CN"/>
        </w:rPr>
        <w:t>全球环境基金和执行秘书应对专家小组的评估报告草案作一次审查，以确保这些</w:t>
      </w:r>
      <w:r>
        <w:rPr>
          <w:rFonts w:eastAsiaTheme="minorEastAsia" w:hint="eastAsia"/>
          <w:sz w:val="24"/>
          <w:lang w:eastAsia="zh-CN"/>
        </w:rPr>
        <w:t>任务</w:t>
      </w:r>
      <w:r w:rsidRPr="005F1FA1">
        <w:rPr>
          <w:rFonts w:eastAsiaTheme="minorEastAsia"/>
          <w:sz w:val="24"/>
          <w:lang w:eastAsia="zh-CN"/>
        </w:rPr>
        <w:t>范围所规定</w:t>
      </w:r>
      <w:r>
        <w:rPr>
          <w:rFonts w:eastAsiaTheme="minorEastAsia"/>
          <w:sz w:val="24"/>
          <w:lang w:eastAsia="zh-CN"/>
        </w:rPr>
        <w:t>数据</w:t>
      </w:r>
      <w:r>
        <w:rPr>
          <w:rFonts w:eastAsiaTheme="minorEastAsia" w:hint="eastAsia"/>
          <w:sz w:val="24"/>
          <w:lang w:eastAsia="zh-CN"/>
        </w:rPr>
        <w:t>和办法</w:t>
      </w:r>
      <w:r w:rsidRPr="005F1FA1">
        <w:rPr>
          <w:rFonts w:eastAsiaTheme="minorEastAsia"/>
          <w:sz w:val="24"/>
          <w:lang w:eastAsia="zh-CN"/>
        </w:rPr>
        <w:t>的准确性和一致性。</w:t>
      </w:r>
      <w:bookmarkEnd w:id="191"/>
    </w:p>
    <w:p w:rsidR="00ED6D98" w:rsidRPr="005F1FA1" w:rsidRDefault="00ED6D98" w:rsidP="001A42F8">
      <w:pPr>
        <w:pStyle w:val="CBD-Para-1"/>
        <w:keepLines w:val="0"/>
        <w:numPr>
          <w:ilvl w:val="0"/>
          <w:numId w:val="234"/>
        </w:numPr>
        <w:tabs>
          <w:tab w:val="left" w:pos="720"/>
        </w:tabs>
        <w:adjustRightInd w:val="0"/>
        <w:snapToGrid w:val="0"/>
        <w:ind w:left="0" w:firstLine="0"/>
        <w:rPr>
          <w:rFonts w:eastAsiaTheme="minorEastAsia"/>
          <w:sz w:val="24"/>
          <w:lang w:eastAsia="zh-CN"/>
        </w:rPr>
      </w:pPr>
      <w:r w:rsidRPr="005F1FA1">
        <w:rPr>
          <w:rFonts w:eastAsiaTheme="minorEastAsia"/>
          <w:sz w:val="24"/>
          <w:lang w:eastAsia="zh-CN"/>
        </w:rPr>
        <w:t>执行秘书应努力确保在</w:t>
      </w:r>
      <w:bookmarkStart w:id="192" w:name="OLE_LINK14"/>
      <w:r w:rsidRPr="005F1FA1">
        <w:rPr>
          <w:rFonts w:eastAsiaTheme="minorEastAsia"/>
          <w:sz w:val="24"/>
          <w:lang w:eastAsia="zh-CN"/>
        </w:rPr>
        <w:t>执行问题附属机构第三次会议</w:t>
      </w:r>
      <w:bookmarkEnd w:id="192"/>
      <w:r w:rsidRPr="005F1FA1">
        <w:rPr>
          <w:rFonts w:eastAsiaTheme="minorEastAsia"/>
          <w:sz w:val="24"/>
          <w:lang w:eastAsia="zh-CN"/>
        </w:rPr>
        <w:t>之前一个月向所有缔约方分发专家小组的评估报告。</w:t>
      </w:r>
    </w:p>
    <w:p w:rsidR="00ED6D98" w:rsidRPr="005F1FA1" w:rsidRDefault="00ED6D98" w:rsidP="001A42F8">
      <w:pPr>
        <w:pStyle w:val="CBD-Para-1"/>
        <w:keepLines w:val="0"/>
        <w:numPr>
          <w:ilvl w:val="0"/>
          <w:numId w:val="234"/>
        </w:numPr>
        <w:tabs>
          <w:tab w:val="left" w:pos="720"/>
        </w:tabs>
        <w:adjustRightInd w:val="0"/>
        <w:snapToGrid w:val="0"/>
        <w:ind w:left="0" w:firstLine="0"/>
        <w:rPr>
          <w:rFonts w:eastAsiaTheme="minorEastAsia"/>
          <w:sz w:val="24"/>
          <w:lang w:eastAsia="zh-CN"/>
        </w:rPr>
      </w:pPr>
      <w:r w:rsidRPr="005F1FA1">
        <w:rPr>
          <w:rFonts w:eastAsiaTheme="minorEastAsia"/>
          <w:sz w:val="24"/>
          <w:lang w:eastAsia="zh-CN"/>
        </w:rPr>
        <w:t>执行问题附属机构第三次会议应审查专家小组的评估报告，并提出建议供缔约方大会第十五届会议审议。</w:t>
      </w:r>
    </w:p>
    <w:p w:rsidR="00ED6D98" w:rsidRPr="005F1FA1" w:rsidRDefault="00ED6D98" w:rsidP="001A42F8">
      <w:pPr>
        <w:pStyle w:val="CBD-Para-1"/>
        <w:keepLines w:val="0"/>
        <w:numPr>
          <w:ilvl w:val="0"/>
          <w:numId w:val="234"/>
        </w:numPr>
        <w:tabs>
          <w:tab w:val="left" w:pos="720"/>
        </w:tabs>
        <w:adjustRightInd w:val="0"/>
        <w:snapToGrid w:val="0"/>
        <w:ind w:left="0" w:firstLine="0"/>
        <w:rPr>
          <w:rFonts w:eastAsiaTheme="minorEastAsia"/>
          <w:sz w:val="24"/>
          <w:lang w:eastAsia="zh-CN"/>
        </w:rPr>
      </w:pPr>
      <w:r w:rsidRPr="005F1FA1">
        <w:rPr>
          <w:rFonts w:eastAsiaTheme="minorEastAsia"/>
          <w:sz w:val="24"/>
          <w:lang w:eastAsia="zh-CN"/>
        </w:rPr>
        <w:t>缔约方大会第十五届会议将就</w:t>
      </w:r>
      <w:r>
        <w:rPr>
          <w:rFonts w:eastAsiaTheme="minorEastAsia" w:hint="eastAsia"/>
          <w:sz w:val="24"/>
          <w:lang w:eastAsia="zh-CN"/>
        </w:rPr>
        <w:t>全环基金</w:t>
      </w:r>
      <w:r w:rsidRPr="005F1FA1">
        <w:rPr>
          <w:rFonts w:eastAsiaTheme="minorEastAsia"/>
          <w:sz w:val="24"/>
          <w:lang w:eastAsia="zh-CN"/>
        </w:rPr>
        <w:t>信托基金第八次增资期间执行《公约》及其</w:t>
      </w:r>
      <w:r>
        <w:rPr>
          <w:rFonts w:eastAsiaTheme="minorEastAsia" w:hint="eastAsia"/>
          <w:sz w:val="24"/>
          <w:lang w:eastAsia="zh-CN"/>
        </w:rPr>
        <w:t>《</w:t>
      </w:r>
      <w:r w:rsidRPr="005F1FA1">
        <w:rPr>
          <w:rFonts w:eastAsiaTheme="minorEastAsia"/>
          <w:sz w:val="24"/>
          <w:lang w:eastAsia="zh-CN"/>
        </w:rPr>
        <w:t>议定书</w:t>
      </w:r>
      <w:r>
        <w:rPr>
          <w:rFonts w:eastAsiaTheme="minorEastAsia" w:hint="eastAsia"/>
          <w:sz w:val="24"/>
          <w:lang w:eastAsia="zh-CN"/>
        </w:rPr>
        <w:t>》</w:t>
      </w:r>
      <w:r>
        <w:rPr>
          <w:rFonts w:eastAsiaTheme="minorEastAsia"/>
          <w:sz w:val="24"/>
          <w:lang w:eastAsia="zh-CN"/>
        </w:rPr>
        <w:t>所需</w:t>
      </w:r>
      <w:r w:rsidRPr="005F1FA1">
        <w:rPr>
          <w:rFonts w:eastAsiaTheme="minorEastAsia"/>
          <w:sz w:val="24"/>
          <w:lang w:eastAsia="zh-CN"/>
        </w:rPr>
        <w:t>资金数额的评估作出决定，并将</w:t>
      </w:r>
      <w:r>
        <w:rPr>
          <w:rFonts w:eastAsiaTheme="minorEastAsia" w:hint="eastAsia"/>
          <w:sz w:val="24"/>
          <w:lang w:eastAsia="zh-CN"/>
        </w:rPr>
        <w:t>相应</w:t>
      </w:r>
      <w:r w:rsidRPr="005F1FA1">
        <w:rPr>
          <w:rFonts w:eastAsiaTheme="minorEastAsia"/>
          <w:sz w:val="24"/>
          <w:lang w:eastAsia="zh-CN"/>
        </w:rPr>
        <w:t>结果</w:t>
      </w:r>
      <w:r>
        <w:rPr>
          <w:rFonts w:eastAsiaTheme="minorEastAsia" w:hint="eastAsia"/>
          <w:sz w:val="24"/>
          <w:lang w:eastAsia="zh-CN"/>
        </w:rPr>
        <w:t>转告全环基金</w:t>
      </w:r>
      <w:r w:rsidRPr="005F1FA1">
        <w:rPr>
          <w:rFonts w:eastAsiaTheme="minorEastAsia"/>
          <w:sz w:val="24"/>
          <w:lang w:eastAsia="zh-CN"/>
        </w:rPr>
        <w:t>。</w:t>
      </w:r>
    </w:p>
    <w:p w:rsidR="00ED6D98" w:rsidRPr="00B34D8B" w:rsidRDefault="00ED6D98" w:rsidP="00ED6D98">
      <w:pPr>
        <w:pStyle w:val="Para1"/>
        <w:tabs>
          <w:tab w:val="clear" w:pos="360"/>
        </w:tabs>
        <w:adjustRightInd w:val="0"/>
        <w:snapToGrid w:val="0"/>
        <w:ind w:firstLine="0"/>
        <w:rPr>
          <w:rFonts w:eastAsiaTheme="minorEastAsia"/>
          <w:b/>
          <w:sz w:val="24"/>
          <w:szCs w:val="24"/>
        </w:rPr>
      </w:pPr>
      <w:r w:rsidRPr="00B34D8B">
        <w:rPr>
          <w:rFonts w:eastAsiaTheme="minorEastAsia"/>
          <w:b/>
          <w:sz w:val="24"/>
          <w:szCs w:val="24"/>
        </w:rPr>
        <w:t>咨询过程</w:t>
      </w:r>
    </w:p>
    <w:p w:rsidR="00ED6D98" w:rsidRPr="005F1FA1" w:rsidRDefault="00ED6D98" w:rsidP="001A42F8">
      <w:pPr>
        <w:pStyle w:val="CBD-Para-1"/>
        <w:keepLines w:val="0"/>
        <w:numPr>
          <w:ilvl w:val="0"/>
          <w:numId w:val="234"/>
        </w:numPr>
        <w:tabs>
          <w:tab w:val="left" w:pos="720"/>
        </w:tabs>
        <w:adjustRightInd w:val="0"/>
        <w:snapToGrid w:val="0"/>
        <w:ind w:left="0" w:firstLine="0"/>
        <w:rPr>
          <w:rFonts w:eastAsiaTheme="minorEastAsia"/>
          <w:sz w:val="24"/>
          <w:lang w:eastAsia="zh-CN"/>
        </w:rPr>
      </w:pPr>
      <w:r w:rsidRPr="005F1FA1">
        <w:rPr>
          <w:rFonts w:eastAsiaTheme="minorEastAsia"/>
          <w:sz w:val="24"/>
          <w:lang w:eastAsia="zh-CN"/>
        </w:rPr>
        <w:t>在</w:t>
      </w:r>
      <w:r>
        <w:rPr>
          <w:rFonts w:eastAsiaTheme="minorEastAsia"/>
          <w:sz w:val="24"/>
          <w:lang w:eastAsia="zh-CN"/>
        </w:rPr>
        <w:t>编制</w:t>
      </w:r>
      <w:r w:rsidRPr="005F1FA1">
        <w:rPr>
          <w:rFonts w:eastAsiaTheme="minorEastAsia"/>
          <w:sz w:val="24"/>
          <w:lang w:eastAsia="zh-CN"/>
        </w:rPr>
        <w:t>评估报告时，专家小组应广泛咨询所有相关个人和机构以及其他认为有用的资料来源。</w:t>
      </w:r>
    </w:p>
    <w:p w:rsidR="00ED6D98" w:rsidRPr="005F1FA1" w:rsidRDefault="00ED6D98" w:rsidP="001A42F8">
      <w:pPr>
        <w:pStyle w:val="CBD-Para-1"/>
        <w:keepLines w:val="0"/>
        <w:numPr>
          <w:ilvl w:val="0"/>
          <w:numId w:val="234"/>
        </w:numPr>
        <w:tabs>
          <w:tab w:val="left" w:pos="720"/>
        </w:tabs>
        <w:adjustRightInd w:val="0"/>
        <w:snapToGrid w:val="0"/>
        <w:ind w:left="0" w:firstLine="0"/>
        <w:rPr>
          <w:rFonts w:eastAsiaTheme="minorEastAsia"/>
          <w:sz w:val="24"/>
          <w:lang w:eastAsia="zh-CN"/>
        </w:rPr>
      </w:pPr>
      <w:r w:rsidRPr="001338F1">
        <w:rPr>
          <w:rFonts w:eastAsiaTheme="minorEastAsia"/>
          <w:sz w:val="24"/>
          <w:lang w:val="zh-CN" w:eastAsia="zh-CN"/>
        </w:rPr>
        <w:t>专家小组应与秘书处和</w:t>
      </w:r>
      <w:r>
        <w:rPr>
          <w:rFonts w:eastAsiaTheme="minorEastAsia" w:hint="eastAsia"/>
          <w:sz w:val="24"/>
          <w:lang w:val="zh-CN" w:eastAsia="zh-CN"/>
        </w:rPr>
        <w:t>全环基金</w:t>
      </w:r>
      <w:r w:rsidRPr="001338F1">
        <w:rPr>
          <w:rFonts w:eastAsiaTheme="minorEastAsia"/>
          <w:sz w:val="24"/>
          <w:lang w:val="zh-CN" w:eastAsia="zh-CN"/>
        </w:rPr>
        <w:t>协商编制关于</w:t>
      </w:r>
      <w:r w:rsidRPr="005F1FA1">
        <w:rPr>
          <w:rFonts w:eastAsiaTheme="minorEastAsia"/>
          <w:sz w:val="24"/>
          <w:lang w:eastAsia="zh-CN"/>
        </w:rPr>
        <w:t>2022</w:t>
      </w:r>
      <w:r w:rsidRPr="005F1FA1">
        <w:rPr>
          <w:rFonts w:eastAsiaTheme="minorEastAsia"/>
          <w:sz w:val="24"/>
          <w:lang w:eastAsia="zh-CN"/>
        </w:rPr>
        <w:t>年</w:t>
      </w:r>
      <w:r w:rsidRPr="005F1FA1">
        <w:rPr>
          <w:rFonts w:eastAsiaTheme="minorEastAsia"/>
          <w:sz w:val="24"/>
          <w:lang w:eastAsia="zh-CN"/>
        </w:rPr>
        <w:t>7</w:t>
      </w:r>
      <w:r w:rsidRPr="005F1FA1">
        <w:rPr>
          <w:rFonts w:eastAsiaTheme="minorEastAsia"/>
          <w:sz w:val="24"/>
          <w:lang w:eastAsia="zh-CN"/>
        </w:rPr>
        <w:t>月至</w:t>
      </w:r>
      <w:r w:rsidRPr="005F1FA1">
        <w:rPr>
          <w:rFonts w:eastAsiaTheme="minorEastAsia"/>
          <w:sz w:val="24"/>
          <w:lang w:eastAsia="zh-CN"/>
        </w:rPr>
        <w:t>2026</w:t>
      </w:r>
      <w:r w:rsidRPr="005F1FA1">
        <w:rPr>
          <w:rFonts w:eastAsiaTheme="minorEastAsia"/>
          <w:sz w:val="24"/>
          <w:lang w:eastAsia="zh-CN"/>
        </w:rPr>
        <w:t>年</w:t>
      </w:r>
      <w:r w:rsidRPr="005F1FA1">
        <w:rPr>
          <w:rFonts w:eastAsiaTheme="minorEastAsia"/>
          <w:sz w:val="24"/>
          <w:lang w:eastAsia="zh-CN"/>
        </w:rPr>
        <w:t>6</w:t>
      </w:r>
      <w:r w:rsidRPr="005F1FA1">
        <w:rPr>
          <w:rFonts w:eastAsiaTheme="minorEastAsia"/>
          <w:sz w:val="24"/>
          <w:lang w:eastAsia="zh-CN"/>
        </w:rPr>
        <w:t>月资金需求的问卷调查并将其分发给《公约》的所有发展中国家和</w:t>
      </w:r>
      <w:r w:rsidRPr="005F1FA1">
        <w:rPr>
          <w:rFonts w:eastAsiaTheme="minorEastAsia"/>
          <w:sz w:val="24"/>
          <w:lang w:val="zh-CN" w:eastAsia="zh-CN"/>
        </w:rPr>
        <w:t>转型期经济体</w:t>
      </w:r>
      <w:r w:rsidRPr="005F1FA1">
        <w:rPr>
          <w:rFonts w:eastAsiaTheme="minorEastAsia"/>
          <w:sz w:val="24"/>
          <w:lang w:eastAsia="zh-CN"/>
        </w:rPr>
        <w:t>缔约方，</w:t>
      </w:r>
      <w:r>
        <w:rPr>
          <w:rFonts w:eastAsiaTheme="minorEastAsia" w:hint="eastAsia"/>
          <w:sz w:val="24"/>
          <w:lang w:eastAsia="zh-CN"/>
        </w:rPr>
        <w:t>同时</w:t>
      </w:r>
      <w:r w:rsidRPr="005F1FA1">
        <w:rPr>
          <w:rFonts w:eastAsiaTheme="minorEastAsia"/>
          <w:sz w:val="24"/>
          <w:lang w:eastAsia="zh-CN"/>
        </w:rPr>
        <w:t>将结果纳入评估报告。</w:t>
      </w:r>
    </w:p>
    <w:p w:rsidR="00ED6D98" w:rsidRPr="005F1FA1" w:rsidRDefault="00ED6D98" w:rsidP="001A42F8">
      <w:pPr>
        <w:pStyle w:val="CBD-Para-1"/>
        <w:keepLines w:val="0"/>
        <w:numPr>
          <w:ilvl w:val="0"/>
          <w:numId w:val="234"/>
        </w:numPr>
        <w:tabs>
          <w:tab w:val="left" w:pos="720"/>
        </w:tabs>
        <w:adjustRightInd w:val="0"/>
        <w:snapToGrid w:val="0"/>
        <w:ind w:left="0" w:firstLine="0"/>
        <w:rPr>
          <w:rFonts w:eastAsiaTheme="minorEastAsia"/>
          <w:sz w:val="24"/>
          <w:lang w:eastAsia="zh-CN"/>
        </w:rPr>
      </w:pPr>
      <w:bookmarkStart w:id="193" w:name="OLE_LINK51"/>
      <w:r w:rsidRPr="001338F1">
        <w:rPr>
          <w:rFonts w:eastAsiaTheme="minorEastAsia"/>
          <w:sz w:val="24"/>
          <w:lang w:val="zh-CN" w:eastAsia="zh-CN"/>
        </w:rPr>
        <w:t>应组织访谈和咨询会议</w:t>
      </w:r>
      <w:r w:rsidRPr="005F1FA1">
        <w:rPr>
          <w:rFonts w:eastAsiaTheme="minorEastAsia"/>
          <w:sz w:val="24"/>
          <w:lang w:eastAsia="zh-CN"/>
        </w:rPr>
        <w:t>，让相关主要利益攸关方参加，包括主要的缔约方集团、《公约》秘书处以及全球环境基金的秘书处、独立评价办公室和下属机构</w:t>
      </w:r>
      <w:bookmarkEnd w:id="193"/>
      <w:r w:rsidRPr="005F1FA1">
        <w:rPr>
          <w:rFonts w:eastAsiaTheme="minorEastAsia"/>
          <w:sz w:val="24"/>
          <w:lang w:eastAsia="zh-CN"/>
        </w:rPr>
        <w:t>。</w:t>
      </w:r>
    </w:p>
    <w:p w:rsidR="00ED6D98" w:rsidRPr="005F1FA1" w:rsidRDefault="00ED6D98" w:rsidP="001A42F8">
      <w:pPr>
        <w:pStyle w:val="CBD-Para-1"/>
        <w:keepLines w:val="0"/>
        <w:numPr>
          <w:ilvl w:val="0"/>
          <w:numId w:val="234"/>
        </w:numPr>
        <w:tabs>
          <w:tab w:val="left" w:pos="720"/>
        </w:tabs>
        <w:adjustRightInd w:val="0"/>
        <w:snapToGrid w:val="0"/>
        <w:ind w:left="0" w:firstLine="0"/>
        <w:rPr>
          <w:rFonts w:eastAsiaTheme="minorEastAsia"/>
          <w:sz w:val="24"/>
          <w:lang w:eastAsia="zh-CN"/>
        </w:rPr>
      </w:pPr>
      <w:r w:rsidRPr="001338F1">
        <w:rPr>
          <w:rFonts w:eastAsiaTheme="minorEastAsia"/>
          <w:sz w:val="24"/>
          <w:lang w:val="zh-CN" w:eastAsia="zh-CN"/>
        </w:rPr>
        <w:t>专家小组应尽可能努力</w:t>
      </w:r>
      <w:r>
        <w:rPr>
          <w:rFonts w:eastAsiaTheme="minorEastAsia" w:hint="eastAsia"/>
          <w:sz w:val="24"/>
          <w:lang w:val="zh-CN" w:eastAsia="zh-CN"/>
        </w:rPr>
        <w:t>开展</w:t>
      </w:r>
      <w:r w:rsidRPr="001338F1">
        <w:rPr>
          <w:rFonts w:eastAsiaTheme="minorEastAsia"/>
          <w:sz w:val="24"/>
          <w:lang w:val="zh-CN" w:eastAsia="zh-CN"/>
        </w:rPr>
        <w:t>区域和次区域咨询</w:t>
      </w:r>
      <w:r w:rsidRPr="005F1FA1">
        <w:rPr>
          <w:rFonts w:eastAsiaTheme="minorEastAsia"/>
          <w:sz w:val="24"/>
          <w:lang w:eastAsia="zh-CN"/>
        </w:rPr>
        <w:t>，并利用</w:t>
      </w:r>
      <w:r>
        <w:rPr>
          <w:rFonts w:eastAsiaTheme="minorEastAsia" w:hint="eastAsia"/>
          <w:sz w:val="24"/>
          <w:lang w:eastAsia="zh-CN"/>
        </w:rPr>
        <w:t>《</w:t>
      </w:r>
      <w:r w:rsidRPr="005F1FA1">
        <w:rPr>
          <w:rFonts w:eastAsiaTheme="minorEastAsia"/>
          <w:sz w:val="24"/>
          <w:lang w:eastAsia="zh-CN"/>
        </w:rPr>
        <w:t>公约</w:t>
      </w:r>
      <w:r>
        <w:rPr>
          <w:rFonts w:eastAsiaTheme="minorEastAsia" w:hint="eastAsia"/>
          <w:sz w:val="24"/>
          <w:lang w:eastAsia="zh-CN"/>
        </w:rPr>
        <w:t>》</w:t>
      </w:r>
      <w:r w:rsidRPr="005F1FA1">
        <w:rPr>
          <w:rFonts w:eastAsiaTheme="minorEastAsia"/>
          <w:sz w:val="24"/>
          <w:lang w:eastAsia="zh-CN"/>
        </w:rPr>
        <w:t>秘书处和全球环境基金在研究期间组织的区域和次区域讲习班。</w:t>
      </w:r>
    </w:p>
    <w:p w:rsidR="00ED6D98" w:rsidRPr="005F1FA1" w:rsidRDefault="00ED6D98" w:rsidP="001A42F8">
      <w:pPr>
        <w:pStyle w:val="CBD-Para-1"/>
        <w:keepLines w:val="0"/>
        <w:numPr>
          <w:ilvl w:val="0"/>
          <w:numId w:val="234"/>
        </w:numPr>
        <w:tabs>
          <w:tab w:val="left" w:pos="720"/>
        </w:tabs>
        <w:adjustRightInd w:val="0"/>
        <w:snapToGrid w:val="0"/>
        <w:ind w:left="0" w:firstLine="0"/>
        <w:rPr>
          <w:rFonts w:eastAsiaTheme="minorEastAsia"/>
          <w:sz w:val="24"/>
          <w:lang w:eastAsia="zh-CN"/>
        </w:rPr>
      </w:pPr>
      <w:bookmarkStart w:id="194" w:name="OLE_LINK52"/>
      <w:r w:rsidRPr="005F1FA1">
        <w:rPr>
          <w:rFonts w:eastAsiaTheme="minorEastAsia"/>
          <w:sz w:val="24"/>
          <w:lang w:eastAsia="zh-CN"/>
        </w:rPr>
        <w:t>评估执行《公约》及其《议定书》</w:t>
      </w:r>
      <w:r>
        <w:rPr>
          <w:rFonts w:eastAsiaTheme="minorEastAsia" w:hint="eastAsia"/>
          <w:sz w:val="24"/>
          <w:lang w:eastAsia="zh-CN"/>
        </w:rPr>
        <w:t>所需</w:t>
      </w:r>
      <w:r w:rsidRPr="005F1FA1">
        <w:rPr>
          <w:rFonts w:eastAsiaTheme="minorEastAsia"/>
          <w:sz w:val="24"/>
          <w:lang w:eastAsia="zh-CN"/>
        </w:rPr>
        <w:t>资金</w:t>
      </w:r>
      <w:r>
        <w:rPr>
          <w:rFonts w:eastAsiaTheme="minorEastAsia" w:hint="eastAsia"/>
          <w:sz w:val="24"/>
          <w:lang w:eastAsia="zh-CN"/>
        </w:rPr>
        <w:t>和</w:t>
      </w:r>
      <w:r>
        <w:rPr>
          <w:rFonts w:eastAsiaTheme="minorEastAsia"/>
          <w:sz w:val="24"/>
          <w:lang w:eastAsia="zh-CN"/>
        </w:rPr>
        <w:t>可获得资金的办法应</w:t>
      </w:r>
      <w:r w:rsidRPr="005F1FA1">
        <w:rPr>
          <w:rFonts w:eastAsiaTheme="minorEastAsia"/>
          <w:sz w:val="24"/>
          <w:lang w:eastAsia="zh-CN"/>
        </w:rPr>
        <w:t>透明、可靠并可复制，并根据第</w:t>
      </w:r>
      <w:r w:rsidRPr="005F1FA1">
        <w:rPr>
          <w:rFonts w:eastAsiaTheme="minorEastAsia"/>
          <w:sz w:val="24"/>
          <w:lang w:eastAsia="zh-CN"/>
        </w:rPr>
        <w:t>20</w:t>
      </w:r>
      <w:r w:rsidRPr="005F1FA1">
        <w:rPr>
          <w:rFonts w:eastAsiaTheme="minorEastAsia"/>
          <w:sz w:val="24"/>
          <w:lang w:eastAsia="zh-CN"/>
        </w:rPr>
        <w:t>条第</w:t>
      </w:r>
      <w:r w:rsidRPr="005F1FA1">
        <w:rPr>
          <w:rFonts w:eastAsiaTheme="minorEastAsia"/>
          <w:sz w:val="24"/>
          <w:lang w:eastAsia="zh-CN"/>
        </w:rPr>
        <w:t>2</w:t>
      </w:r>
      <w:r w:rsidRPr="005F1FA1">
        <w:rPr>
          <w:rFonts w:eastAsiaTheme="minorEastAsia"/>
          <w:sz w:val="24"/>
          <w:lang w:eastAsia="zh-CN"/>
        </w:rPr>
        <w:t>款说明增加费用的明确理由</w:t>
      </w:r>
      <w:bookmarkEnd w:id="194"/>
      <w:r w:rsidRPr="005F1FA1">
        <w:rPr>
          <w:rFonts w:eastAsiaTheme="minorEastAsia"/>
          <w:sz w:val="24"/>
          <w:lang w:eastAsia="zh-CN"/>
        </w:rPr>
        <w:t>，同时考虑到从其他为公约提供服务的国</w:t>
      </w:r>
      <w:r w:rsidRPr="005F1FA1">
        <w:rPr>
          <w:rFonts w:eastAsiaTheme="minorEastAsia"/>
          <w:sz w:val="24"/>
          <w:lang w:eastAsia="zh-CN"/>
        </w:rPr>
        <w:lastRenderedPageBreak/>
        <w:t>际基金收集的资料</w:t>
      </w:r>
      <w:r>
        <w:rPr>
          <w:rFonts w:eastAsiaTheme="minorEastAsia" w:hint="eastAsia"/>
          <w:sz w:val="24"/>
          <w:lang w:eastAsia="zh-CN"/>
        </w:rPr>
        <w:t>和</w:t>
      </w:r>
      <w:r w:rsidRPr="005F1FA1">
        <w:rPr>
          <w:rFonts w:eastAsiaTheme="minorEastAsia"/>
          <w:sz w:val="24"/>
          <w:lang w:eastAsia="zh-CN"/>
        </w:rPr>
        <w:t>缔约方提交的应用增支成本概念的资料，以及全球环境基金理事会核准的现行全球环境基金规则和准则。</w:t>
      </w:r>
    </w:p>
    <w:p w:rsidR="00ED6D98" w:rsidRPr="005F1FA1" w:rsidRDefault="00ED6D98" w:rsidP="001A42F8">
      <w:pPr>
        <w:pStyle w:val="CBD-Para-1"/>
        <w:keepLines w:val="0"/>
        <w:numPr>
          <w:ilvl w:val="0"/>
          <w:numId w:val="234"/>
        </w:numPr>
        <w:tabs>
          <w:tab w:val="left" w:pos="720"/>
        </w:tabs>
        <w:adjustRightInd w:val="0"/>
        <w:snapToGrid w:val="0"/>
        <w:ind w:left="0" w:firstLine="0"/>
        <w:rPr>
          <w:rFonts w:eastAsiaTheme="minorEastAsia"/>
          <w:sz w:val="24"/>
          <w:lang w:eastAsia="zh-CN"/>
        </w:rPr>
      </w:pPr>
      <w:r w:rsidRPr="005F1FA1">
        <w:rPr>
          <w:rFonts w:eastAsiaTheme="minorEastAsia"/>
          <w:sz w:val="24"/>
          <w:lang w:eastAsia="zh-CN"/>
        </w:rPr>
        <w:t>根据编制本需求评估报告的经验，专家小组将就在线系统的内容和模式向执行秘书提出建议，以方便相关缔约方提交未来需求评估报告。</w:t>
      </w:r>
    </w:p>
    <w:p w:rsidR="00ED6D98" w:rsidRPr="005F1FA1" w:rsidRDefault="00ED6D98" w:rsidP="001A42F8">
      <w:pPr>
        <w:pStyle w:val="CBD-Para-1"/>
        <w:keepLines w:val="0"/>
        <w:numPr>
          <w:ilvl w:val="0"/>
          <w:numId w:val="234"/>
        </w:numPr>
        <w:tabs>
          <w:tab w:val="left" w:pos="720"/>
        </w:tabs>
        <w:adjustRightInd w:val="0"/>
        <w:snapToGrid w:val="0"/>
        <w:ind w:left="0" w:firstLine="0"/>
        <w:rPr>
          <w:rFonts w:eastAsiaTheme="minorEastAsia"/>
          <w:color w:val="000000"/>
          <w:sz w:val="24"/>
          <w:lang w:val="en-US" w:eastAsia="zh-CN"/>
        </w:rPr>
      </w:pPr>
      <w:bookmarkStart w:id="195" w:name="OLE_LINK5"/>
      <w:r w:rsidRPr="005F1FA1">
        <w:rPr>
          <w:rFonts w:eastAsiaTheme="minorEastAsia"/>
          <w:sz w:val="24"/>
          <w:lang w:eastAsia="zh-CN"/>
        </w:rPr>
        <w:t>专家小组应解决执行问题附属机构第三次会议在审议评估报告期间可能提出的其他问题。</w:t>
      </w:r>
      <w:bookmarkEnd w:id="195"/>
      <w:r w:rsidRPr="005F1FA1">
        <w:rPr>
          <w:rFonts w:eastAsiaTheme="minorEastAsia"/>
          <w:sz w:val="24"/>
          <w:lang w:eastAsia="zh-CN"/>
        </w:rPr>
        <w:t xml:space="preserve"> </w:t>
      </w:r>
    </w:p>
    <w:p w:rsidR="001C2F46" w:rsidRDefault="001C2F46">
      <w:pPr>
        <w:rPr>
          <w:kern w:val="22"/>
          <w:lang w:eastAsia="zh-CN"/>
        </w:rPr>
      </w:pPr>
      <w:r>
        <w:rPr>
          <w:kern w:val="22"/>
          <w:lang w:eastAsia="zh-CN"/>
        </w:rPr>
        <w:br w:type="page"/>
      </w:r>
    </w:p>
    <w:p w:rsidR="00D9416A" w:rsidRPr="00006F27" w:rsidRDefault="00D9416A" w:rsidP="00006F27">
      <w:pPr>
        <w:pStyle w:val="Heading1"/>
        <w:spacing w:before="120"/>
        <w:ind w:firstLine="0"/>
        <w:rPr>
          <w:rFonts w:eastAsiaTheme="minorEastAsia" w:cs="Times New Roman"/>
          <w:noProof/>
          <w:kern w:val="22"/>
          <w:sz w:val="24"/>
          <w:lang w:eastAsia="zh-CN"/>
        </w:rPr>
      </w:pPr>
      <w:bookmarkStart w:id="196" w:name="_Toc6243776"/>
      <w:r w:rsidRPr="00006F27">
        <w:rPr>
          <w:rFonts w:eastAsiaTheme="minorEastAsia" w:cs="Times New Roman"/>
          <w:noProof/>
          <w:kern w:val="22"/>
          <w:sz w:val="24"/>
          <w:lang w:eastAsia="zh-CN"/>
        </w:rPr>
        <w:lastRenderedPageBreak/>
        <w:t>14/24.</w:t>
      </w:r>
      <w:r w:rsidRPr="00006F27">
        <w:rPr>
          <w:rFonts w:eastAsiaTheme="minorEastAsia" w:cs="Times New Roman"/>
          <w:noProof/>
          <w:kern w:val="22"/>
          <w:sz w:val="24"/>
          <w:lang w:eastAsia="zh-CN"/>
        </w:rPr>
        <w:tab/>
        <w:t xml:space="preserve">   </w:t>
      </w:r>
      <w:r w:rsidRPr="00006F27">
        <w:rPr>
          <w:rFonts w:eastAsiaTheme="minorEastAsia" w:cs="Times New Roman"/>
          <w:noProof/>
          <w:kern w:val="22"/>
          <w:sz w:val="24"/>
          <w:lang w:eastAsia="zh-CN"/>
        </w:rPr>
        <w:t>能力建设和科技合作</w:t>
      </w:r>
      <w:bookmarkEnd w:id="196"/>
    </w:p>
    <w:p w:rsidR="00D9416A" w:rsidRPr="008D2237" w:rsidRDefault="00D9416A" w:rsidP="00D9416A">
      <w:pPr>
        <w:pStyle w:val="Para1"/>
        <w:tabs>
          <w:tab w:val="clear" w:pos="360"/>
        </w:tabs>
        <w:spacing w:beforeLines="50" w:line="240" w:lineRule="atLeast"/>
        <w:rPr>
          <w:rFonts w:hAnsi="SimSun"/>
          <w:i/>
          <w:noProof/>
          <w:kern w:val="22"/>
          <w:sz w:val="24"/>
          <w:szCs w:val="24"/>
          <w:lang w:eastAsia="zh-CN"/>
        </w:rPr>
      </w:pPr>
      <w:r w:rsidRPr="00E40630">
        <w:rPr>
          <w:rFonts w:ascii="KaiTi" w:eastAsia="KaiTi" w:hAnsi="KaiTi" w:hint="eastAsia"/>
          <w:kern w:val="22"/>
          <w:sz w:val="24"/>
          <w:szCs w:val="24"/>
          <w:lang w:val="zh-CN" w:eastAsia="zh-CN"/>
        </w:rPr>
        <w:t>缔约方大会</w:t>
      </w:r>
      <w:r w:rsidRPr="00E40630">
        <w:rPr>
          <w:rFonts w:ascii="SimSun" w:eastAsia="SimSun" w:hAnsi="SimSun" w:cs="SimSun" w:hint="eastAsia"/>
          <w:noProof/>
          <w:kern w:val="22"/>
          <w:sz w:val="24"/>
          <w:szCs w:val="24"/>
          <w:lang w:eastAsia="zh-CN"/>
        </w:rPr>
        <w:t>，</w:t>
      </w:r>
    </w:p>
    <w:p w:rsidR="00D9416A" w:rsidRPr="00F47303" w:rsidRDefault="00D9416A" w:rsidP="00D9416A">
      <w:pPr>
        <w:pStyle w:val="ListParagraph"/>
        <w:widowControl w:val="0"/>
        <w:numPr>
          <w:ilvl w:val="0"/>
          <w:numId w:val="245"/>
        </w:numPr>
        <w:suppressLineNumbers/>
        <w:suppressAutoHyphens/>
        <w:kinsoku w:val="0"/>
        <w:overflowPunct w:val="0"/>
        <w:autoSpaceDE w:val="0"/>
        <w:autoSpaceDN w:val="0"/>
        <w:adjustRightInd w:val="0"/>
        <w:snapToGrid w:val="0"/>
        <w:ind w:left="0" w:firstLine="0"/>
        <w:contextualSpacing/>
        <w:jc w:val="center"/>
        <w:rPr>
          <w:rFonts w:ascii="SimSun" w:hAnsi="SimSun" w:cs="SimSun"/>
          <w:b/>
          <w:kern w:val="22"/>
        </w:rPr>
      </w:pPr>
      <w:r w:rsidRPr="00F47303">
        <w:rPr>
          <w:rFonts w:ascii="SimSun" w:hAnsi="SimSun" w:cs="SimSun" w:hint="eastAsia"/>
          <w:b/>
          <w:kern w:val="22"/>
        </w:rPr>
        <w:t>能力建设</w:t>
      </w:r>
    </w:p>
    <w:p w:rsidR="00D9416A" w:rsidRPr="00E5454D" w:rsidRDefault="00D9416A" w:rsidP="00D9416A">
      <w:pPr>
        <w:pStyle w:val="Para1"/>
        <w:widowControl w:val="0"/>
        <w:suppressLineNumbers/>
        <w:tabs>
          <w:tab w:val="clear" w:pos="360"/>
          <w:tab w:val="num" w:pos="1440"/>
        </w:tabs>
        <w:suppressAutoHyphens/>
        <w:adjustRightInd w:val="0"/>
        <w:spacing w:line="240" w:lineRule="atLeast"/>
        <w:rPr>
          <w:kern w:val="22"/>
          <w:sz w:val="24"/>
          <w:szCs w:val="24"/>
          <w:lang w:eastAsia="zh-CN" w:bidi="th-TH"/>
        </w:rPr>
      </w:pPr>
      <w:r w:rsidRPr="008718DF">
        <w:rPr>
          <w:rFonts w:ascii="KaiTi" w:eastAsia="KaiTi" w:hAnsi="KaiTi" w:cs="SimSun" w:hint="eastAsia"/>
          <w:kern w:val="22"/>
          <w:sz w:val="24"/>
          <w:szCs w:val="24"/>
          <w:lang w:eastAsia="zh-CN"/>
        </w:rPr>
        <w:t>回顾</w:t>
      </w:r>
      <w:r w:rsidRPr="00E5454D">
        <w:rPr>
          <w:rFonts w:hint="eastAsia"/>
          <w:kern w:val="22"/>
          <w:sz w:val="24"/>
          <w:szCs w:val="24"/>
          <w:lang w:val="zh-CN" w:eastAsia="zh-CN" w:bidi="th-TH"/>
        </w:rPr>
        <w:t>第</w:t>
      </w:r>
      <w:r w:rsidRPr="00E5454D">
        <w:rPr>
          <w:kern w:val="22"/>
          <w:sz w:val="24"/>
          <w:szCs w:val="24"/>
          <w:lang w:eastAsia="zh-CN" w:bidi="th-TH"/>
        </w:rPr>
        <w:t>XIII/23</w:t>
      </w:r>
      <w:r w:rsidRPr="00E5454D">
        <w:rPr>
          <w:rFonts w:hint="eastAsia"/>
          <w:kern w:val="22"/>
          <w:sz w:val="24"/>
          <w:szCs w:val="24"/>
          <w:lang w:val="zh-CN" w:eastAsia="zh-CN" w:bidi="th-TH"/>
        </w:rPr>
        <w:t>号和第</w:t>
      </w:r>
      <w:r w:rsidRPr="00E5454D">
        <w:rPr>
          <w:kern w:val="22"/>
          <w:sz w:val="24"/>
          <w:szCs w:val="24"/>
          <w:lang w:eastAsia="zh-CN" w:bidi="th-TH"/>
        </w:rPr>
        <w:t xml:space="preserve"> XIII/24</w:t>
      </w:r>
      <w:r w:rsidRPr="00E5454D">
        <w:rPr>
          <w:rFonts w:hint="eastAsia"/>
          <w:kern w:val="22"/>
          <w:sz w:val="24"/>
          <w:szCs w:val="24"/>
          <w:lang w:val="zh-CN" w:eastAsia="zh-CN" w:bidi="th-TH"/>
        </w:rPr>
        <w:t>号决定</w:t>
      </w:r>
      <w:r w:rsidRPr="00E5454D">
        <w:rPr>
          <w:rFonts w:hint="eastAsia"/>
          <w:kern w:val="22"/>
          <w:sz w:val="24"/>
          <w:szCs w:val="24"/>
          <w:lang w:eastAsia="zh-CN" w:bidi="th-TH"/>
        </w:rPr>
        <w:t>，</w:t>
      </w:r>
    </w:p>
    <w:p w:rsidR="00D9416A" w:rsidRPr="00E5454D" w:rsidRDefault="00D9416A" w:rsidP="00D9416A">
      <w:pPr>
        <w:pStyle w:val="Para1"/>
        <w:widowControl w:val="0"/>
        <w:suppressLineNumbers/>
        <w:tabs>
          <w:tab w:val="clear" w:pos="360"/>
        </w:tabs>
        <w:suppressAutoHyphens/>
        <w:adjustRightInd w:val="0"/>
        <w:spacing w:line="240" w:lineRule="atLeast"/>
        <w:rPr>
          <w:i/>
          <w:kern w:val="22"/>
          <w:sz w:val="24"/>
          <w:szCs w:val="24"/>
          <w:lang w:eastAsia="zh-CN" w:bidi="th-TH"/>
        </w:rPr>
      </w:pPr>
      <w:r>
        <w:rPr>
          <w:rFonts w:ascii="KaiTi" w:eastAsia="KaiTi" w:hAnsi="KaiTi" w:cs="SimSun" w:hint="eastAsia"/>
          <w:kern w:val="22"/>
          <w:sz w:val="24"/>
          <w:szCs w:val="24"/>
          <w:lang w:eastAsia="zh-CN"/>
        </w:rPr>
        <w:t>表示</w:t>
      </w:r>
      <w:r w:rsidRPr="008718DF">
        <w:rPr>
          <w:rFonts w:ascii="KaiTi" w:eastAsia="KaiTi" w:hAnsi="KaiTi" w:cs="SimSun" w:hint="eastAsia"/>
          <w:kern w:val="22"/>
          <w:sz w:val="24"/>
          <w:szCs w:val="24"/>
          <w:lang w:eastAsia="zh-CN"/>
        </w:rPr>
        <w:t>注意到</w:t>
      </w:r>
      <w:r w:rsidRPr="001E4CBE">
        <w:rPr>
          <w:rFonts w:hint="eastAsia"/>
          <w:kern w:val="22"/>
          <w:sz w:val="24"/>
          <w:szCs w:val="24"/>
          <w:lang w:val="zh-CN" w:eastAsia="zh-CN" w:bidi="th-TH"/>
        </w:rPr>
        <w:t>关于</w:t>
      </w:r>
      <w:r w:rsidRPr="00E5454D">
        <w:rPr>
          <w:rFonts w:hint="eastAsia"/>
          <w:kern w:val="22"/>
          <w:sz w:val="24"/>
          <w:szCs w:val="24"/>
          <w:lang w:val="zh-CN" w:eastAsia="zh-CN" w:bidi="th-TH"/>
        </w:rPr>
        <w:t>执行秘书协同各合作伙伴支持</w:t>
      </w:r>
      <w:r>
        <w:rPr>
          <w:rFonts w:hint="eastAsia"/>
          <w:kern w:val="22"/>
          <w:sz w:val="24"/>
          <w:szCs w:val="24"/>
          <w:lang w:val="zh-CN" w:eastAsia="zh-CN" w:bidi="th-TH"/>
        </w:rPr>
        <w:t>和</w:t>
      </w:r>
      <w:r w:rsidRPr="00E5454D">
        <w:rPr>
          <w:rFonts w:hint="eastAsia"/>
          <w:kern w:val="22"/>
          <w:sz w:val="24"/>
          <w:szCs w:val="24"/>
          <w:lang w:val="zh-CN" w:eastAsia="zh-CN" w:bidi="th-TH"/>
        </w:rPr>
        <w:t>协助执行旨在加强和支持执行《公约》及其《议定书》的</w:t>
      </w:r>
      <w:r>
        <w:rPr>
          <w:rFonts w:hint="eastAsia"/>
          <w:kern w:val="22"/>
          <w:sz w:val="24"/>
          <w:szCs w:val="24"/>
          <w:lang w:val="zh-CN" w:eastAsia="zh-CN" w:bidi="th-TH"/>
        </w:rPr>
        <w:t>能力建设</w:t>
      </w:r>
      <w:r w:rsidRPr="00E5454D">
        <w:rPr>
          <w:rFonts w:hint="eastAsia"/>
          <w:kern w:val="22"/>
          <w:sz w:val="24"/>
          <w:szCs w:val="24"/>
          <w:lang w:val="zh-CN" w:eastAsia="zh-CN" w:bidi="th-TH"/>
        </w:rPr>
        <w:t>短期行动计划</w:t>
      </w:r>
      <w:r w:rsidRPr="00E5454D">
        <w:rPr>
          <w:rFonts w:hint="eastAsia"/>
          <w:kern w:val="22"/>
          <w:sz w:val="24"/>
          <w:szCs w:val="24"/>
          <w:lang w:eastAsia="zh-CN" w:bidi="th-TH"/>
        </w:rPr>
        <w:t>（</w:t>
      </w:r>
      <w:r w:rsidRPr="00E5454D">
        <w:rPr>
          <w:kern w:val="22"/>
          <w:sz w:val="24"/>
          <w:szCs w:val="24"/>
          <w:lang w:eastAsia="zh-CN" w:bidi="th-TH"/>
        </w:rPr>
        <w:t>2017-2020</w:t>
      </w:r>
      <w:r>
        <w:rPr>
          <w:rFonts w:hint="eastAsia"/>
          <w:kern w:val="22"/>
          <w:sz w:val="24"/>
          <w:szCs w:val="24"/>
          <w:lang w:eastAsia="zh-CN" w:bidi="th-TH"/>
        </w:rPr>
        <w:t>年</w:t>
      </w:r>
      <w:r w:rsidRPr="00E5454D">
        <w:rPr>
          <w:rFonts w:hint="eastAsia"/>
          <w:kern w:val="22"/>
          <w:sz w:val="24"/>
          <w:szCs w:val="24"/>
          <w:lang w:eastAsia="zh-CN" w:bidi="th-TH"/>
        </w:rPr>
        <w:t>）</w:t>
      </w:r>
      <w:r w:rsidRPr="00E5454D">
        <w:rPr>
          <w:rFonts w:hint="eastAsia"/>
          <w:kern w:val="22"/>
          <w:sz w:val="24"/>
          <w:szCs w:val="24"/>
          <w:lang w:val="zh-CN" w:eastAsia="zh-CN" w:bidi="th-TH"/>
        </w:rPr>
        <w:t>的进度报告</w:t>
      </w:r>
      <w:r w:rsidRPr="00E5454D">
        <w:rPr>
          <w:rFonts w:hint="eastAsia"/>
          <w:kern w:val="22"/>
          <w:sz w:val="24"/>
          <w:szCs w:val="24"/>
          <w:lang w:eastAsia="zh-CN" w:bidi="th-TH"/>
        </w:rPr>
        <w:t>；</w:t>
      </w:r>
      <w:r w:rsidRPr="00E5454D">
        <w:rPr>
          <w:rStyle w:val="StyleFootnoteReferencenumberFootnoteReferenceSuperscript-EF"/>
          <w:sz w:val="24"/>
          <w:szCs w:val="24"/>
          <w:lang w:val="zh-CN" w:bidi="th-TH"/>
        </w:rPr>
        <w:footnoteReference w:id="274"/>
      </w:r>
    </w:p>
    <w:p w:rsidR="00D9416A" w:rsidRPr="00E5454D" w:rsidRDefault="00D9416A" w:rsidP="00D9416A">
      <w:pPr>
        <w:pStyle w:val="Para1"/>
        <w:widowControl w:val="0"/>
        <w:suppressLineNumbers/>
        <w:tabs>
          <w:tab w:val="clear" w:pos="360"/>
        </w:tabs>
        <w:suppressAutoHyphens/>
        <w:adjustRightInd w:val="0"/>
        <w:spacing w:line="240" w:lineRule="atLeast"/>
        <w:rPr>
          <w:kern w:val="22"/>
          <w:sz w:val="24"/>
          <w:szCs w:val="24"/>
          <w:lang w:eastAsia="zh-CN" w:bidi="th-TH"/>
        </w:rPr>
      </w:pPr>
      <w:r w:rsidRPr="008718DF">
        <w:rPr>
          <w:rFonts w:ascii="KaiTi" w:eastAsia="KaiTi" w:hAnsi="KaiTi" w:cs="SimSun" w:hint="eastAsia"/>
          <w:kern w:val="22"/>
          <w:sz w:val="24"/>
          <w:szCs w:val="24"/>
          <w:lang w:eastAsia="zh-CN"/>
        </w:rPr>
        <w:t>赞赏地注意</w:t>
      </w:r>
      <w:r w:rsidRPr="00E5454D">
        <w:rPr>
          <w:rFonts w:hint="eastAsia"/>
          <w:kern w:val="22"/>
          <w:sz w:val="24"/>
          <w:szCs w:val="24"/>
          <w:lang w:val="zh-CN" w:eastAsia="zh-CN" w:bidi="th-TH"/>
        </w:rPr>
        <w:t>到各缔约方、其他国家政府和相关组织为能力建设活动及</w:t>
      </w:r>
      <w:r>
        <w:rPr>
          <w:rFonts w:hint="eastAsia"/>
          <w:kern w:val="22"/>
          <w:sz w:val="24"/>
          <w:szCs w:val="24"/>
          <w:lang w:val="zh-CN" w:eastAsia="zh-CN" w:bidi="th-TH"/>
        </w:rPr>
        <w:t>科技</w:t>
      </w:r>
      <w:r w:rsidRPr="00E5454D">
        <w:rPr>
          <w:rFonts w:hint="eastAsia"/>
          <w:kern w:val="22"/>
          <w:sz w:val="24"/>
          <w:szCs w:val="24"/>
          <w:lang w:val="zh-CN" w:eastAsia="zh-CN" w:bidi="th-TH"/>
        </w:rPr>
        <w:t>合作活动提供的支持</w:t>
      </w:r>
      <w:r w:rsidRPr="00E5454D">
        <w:rPr>
          <w:rFonts w:hint="eastAsia"/>
          <w:kern w:val="22"/>
          <w:sz w:val="24"/>
          <w:szCs w:val="24"/>
          <w:lang w:eastAsia="zh-CN" w:bidi="th-TH"/>
        </w:rPr>
        <w:t>，</w:t>
      </w:r>
      <w:r w:rsidRPr="00E5454D">
        <w:rPr>
          <w:rFonts w:hint="eastAsia"/>
          <w:kern w:val="22"/>
          <w:sz w:val="24"/>
          <w:szCs w:val="24"/>
          <w:lang w:val="zh-CN" w:eastAsia="zh-CN" w:bidi="th-TH"/>
        </w:rPr>
        <w:t>以协助发展中国家缔约方、特别是最不发达国家、小岛屿发展中国家和经济转型国家</w:t>
      </w:r>
      <w:r>
        <w:rPr>
          <w:rFonts w:hint="eastAsia"/>
          <w:kern w:val="22"/>
          <w:sz w:val="24"/>
          <w:szCs w:val="24"/>
          <w:lang w:val="zh-CN" w:eastAsia="zh-CN" w:bidi="th-TH"/>
        </w:rPr>
        <w:t>（包括作为</w:t>
      </w:r>
      <w:r w:rsidRPr="00C25D53">
        <w:rPr>
          <w:kern w:val="22"/>
          <w:sz w:val="24"/>
          <w:szCs w:val="24"/>
          <w:lang w:val="zh-CN" w:eastAsia="zh-CN" w:bidi="th-TH"/>
        </w:rPr>
        <w:t>起源中心和遗传</w:t>
      </w:r>
      <w:r>
        <w:rPr>
          <w:rFonts w:hint="eastAsia"/>
          <w:kern w:val="22"/>
          <w:sz w:val="24"/>
          <w:szCs w:val="24"/>
          <w:lang w:val="zh-CN" w:eastAsia="zh-CN" w:bidi="th-TH"/>
        </w:rPr>
        <w:t>资源</w:t>
      </w:r>
      <w:r w:rsidRPr="00C25D53">
        <w:rPr>
          <w:kern w:val="22"/>
          <w:sz w:val="24"/>
          <w:szCs w:val="24"/>
          <w:lang w:val="zh-CN" w:eastAsia="zh-CN" w:bidi="th-TH"/>
        </w:rPr>
        <w:t>多样性中</w:t>
      </w:r>
      <w:r w:rsidRPr="00C25D53">
        <w:rPr>
          <w:rFonts w:hint="eastAsia"/>
          <w:kern w:val="22"/>
          <w:sz w:val="24"/>
          <w:szCs w:val="24"/>
          <w:lang w:val="zh-CN" w:eastAsia="zh-CN" w:bidi="th-TH"/>
        </w:rPr>
        <w:t>心</w:t>
      </w:r>
      <w:r>
        <w:rPr>
          <w:rFonts w:hint="eastAsia"/>
          <w:kern w:val="22"/>
          <w:sz w:val="24"/>
          <w:szCs w:val="24"/>
          <w:lang w:val="zh-CN" w:eastAsia="zh-CN" w:bidi="th-TH"/>
        </w:rPr>
        <w:t>的</w:t>
      </w:r>
      <w:r>
        <w:rPr>
          <w:kern w:val="22"/>
          <w:sz w:val="24"/>
          <w:szCs w:val="24"/>
          <w:lang w:val="zh-CN" w:eastAsia="zh-CN" w:bidi="th-TH"/>
        </w:rPr>
        <w:t>国家）</w:t>
      </w:r>
      <w:r w:rsidRPr="00E5454D">
        <w:rPr>
          <w:rFonts w:hint="eastAsia"/>
          <w:kern w:val="22"/>
          <w:sz w:val="24"/>
          <w:szCs w:val="24"/>
          <w:lang w:val="zh-CN" w:eastAsia="zh-CN" w:bidi="th-TH"/>
        </w:rPr>
        <w:t>、土著人民和地方社区、妇女和青年</w:t>
      </w:r>
      <w:r w:rsidRPr="00E5454D">
        <w:rPr>
          <w:rFonts w:hint="eastAsia"/>
          <w:kern w:val="22"/>
          <w:sz w:val="24"/>
          <w:szCs w:val="24"/>
          <w:lang w:eastAsia="zh-CN" w:bidi="th-TH"/>
        </w:rPr>
        <w:t>，</w:t>
      </w:r>
    </w:p>
    <w:p w:rsidR="00D9416A" w:rsidRDefault="00D9416A" w:rsidP="00D9416A">
      <w:pPr>
        <w:pStyle w:val="Para1"/>
        <w:widowControl w:val="0"/>
        <w:suppressLineNumbers/>
        <w:tabs>
          <w:tab w:val="clear" w:pos="360"/>
        </w:tabs>
        <w:suppressAutoHyphens/>
        <w:adjustRightInd w:val="0"/>
        <w:spacing w:line="240" w:lineRule="atLeast"/>
        <w:rPr>
          <w:kern w:val="22"/>
          <w:sz w:val="24"/>
          <w:szCs w:val="24"/>
          <w:lang w:eastAsia="zh-CN" w:bidi="th-TH"/>
        </w:rPr>
      </w:pPr>
      <w:r w:rsidRPr="008718DF">
        <w:rPr>
          <w:rFonts w:ascii="KaiTi" w:eastAsia="KaiTi" w:hAnsi="KaiTi" w:cs="SimSun" w:hint="eastAsia"/>
          <w:kern w:val="22"/>
          <w:sz w:val="24"/>
          <w:szCs w:val="24"/>
          <w:lang w:eastAsia="zh-CN"/>
        </w:rPr>
        <w:t>强调</w:t>
      </w:r>
      <w:r w:rsidRPr="00E5454D">
        <w:rPr>
          <w:rFonts w:hint="eastAsia"/>
          <w:kern w:val="22"/>
          <w:sz w:val="24"/>
          <w:szCs w:val="24"/>
          <w:lang w:val="zh-CN" w:eastAsia="zh-CN" w:bidi="th-TH"/>
        </w:rPr>
        <w:t>配合</w:t>
      </w:r>
      <w:r w:rsidRPr="00E5454D">
        <w:rPr>
          <w:kern w:val="22"/>
          <w:sz w:val="24"/>
          <w:szCs w:val="24"/>
          <w:lang w:eastAsia="zh-CN" w:bidi="th-TH"/>
        </w:rPr>
        <w:t>2020</w:t>
      </w:r>
      <w:r w:rsidRPr="00E5454D">
        <w:rPr>
          <w:rFonts w:hint="eastAsia"/>
          <w:kern w:val="22"/>
          <w:sz w:val="24"/>
          <w:szCs w:val="24"/>
          <w:lang w:val="zh-CN" w:eastAsia="zh-CN" w:bidi="th-TH"/>
        </w:rPr>
        <w:t>年后</w:t>
      </w:r>
      <w:bookmarkStart w:id="197" w:name="_Hlk530731227"/>
      <w:r>
        <w:rPr>
          <w:rFonts w:hint="eastAsia"/>
          <w:kern w:val="22"/>
          <w:sz w:val="24"/>
          <w:szCs w:val="24"/>
          <w:lang w:val="zh-CN" w:eastAsia="zh-CN" w:bidi="th-TH"/>
        </w:rPr>
        <w:t>全球</w:t>
      </w:r>
      <w:bookmarkEnd w:id="197"/>
      <w:r w:rsidRPr="00E5454D">
        <w:rPr>
          <w:rFonts w:hint="eastAsia"/>
          <w:kern w:val="22"/>
          <w:sz w:val="24"/>
          <w:szCs w:val="24"/>
          <w:lang w:val="zh-CN" w:eastAsia="zh-CN" w:bidi="th-TH"/>
        </w:rPr>
        <w:t>生物多样性框架审慎</w:t>
      </w:r>
      <w:r>
        <w:rPr>
          <w:rFonts w:hint="eastAsia"/>
          <w:kern w:val="22"/>
          <w:sz w:val="24"/>
          <w:szCs w:val="24"/>
          <w:lang w:val="zh-CN" w:eastAsia="zh-CN" w:bidi="th-TH"/>
        </w:rPr>
        <w:t>排定</w:t>
      </w:r>
      <w:r w:rsidRPr="00E5454D">
        <w:rPr>
          <w:rFonts w:hint="eastAsia"/>
          <w:kern w:val="22"/>
          <w:sz w:val="24"/>
          <w:szCs w:val="24"/>
          <w:lang w:val="zh-CN" w:eastAsia="zh-CN" w:bidi="th-TH"/>
        </w:rPr>
        <w:t>能力建设需要的优先次序的重要性</w:t>
      </w:r>
      <w:r w:rsidRPr="00E5454D">
        <w:rPr>
          <w:rFonts w:hint="eastAsia"/>
          <w:kern w:val="22"/>
          <w:sz w:val="24"/>
          <w:szCs w:val="24"/>
          <w:lang w:eastAsia="zh-CN" w:bidi="th-TH"/>
        </w:rPr>
        <w:t>，</w:t>
      </w:r>
    </w:p>
    <w:p w:rsidR="00D9416A" w:rsidRPr="00E5454D" w:rsidRDefault="00D9416A" w:rsidP="00D9416A">
      <w:pPr>
        <w:pStyle w:val="Para1"/>
        <w:widowControl w:val="0"/>
        <w:suppressLineNumbers/>
        <w:tabs>
          <w:tab w:val="clear" w:pos="360"/>
        </w:tabs>
        <w:suppressAutoHyphens/>
        <w:adjustRightInd w:val="0"/>
        <w:spacing w:line="240" w:lineRule="atLeast"/>
        <w:rPr>
          <w:kern w:val="22"/>
          <w:sz w:val="24"/>
          <w:szCs w:val="24"/>
          <w:lang w:eastAsia="zh-CN" w:bidi="th-TH"/>
        </w:rPr>
      </w:pPr>
      <w:r w:rsidRPr="00F47303">
        <w:rPr>
          <w:rFonts w:eastAsia="KaiTi" w:hint="eastAsia"/>
          <w:kern w:val="22"/>
          <w:sz w:val="24"/>
          <w:szCs w:val="24"/>
          <w:lang w:eastAsia="zh-CN" w:bidi="th-TH"/>
        </w:rPr>
        <w:t>强调</w:t>
      </w:r>
      <w:r w:rsidRPr="00F47303">
        <w:rPr>
          <w:rFonts w:hint="eastAsia"/>
          <w:kern w:val="22"/>
          <w:sz w:val="24"/>
          <w:szCs w:val="24"/>
          <w:lang w:eastAsia="zh-CN" w:bidi="th-TH"/>
        </w:rPr>
        <w:t>需要采取系统</w:t>
      </w:r>
      <w:r>
        <w:rPr>
          <w:rFonts w:hint="eastAsia"/>
          <w:kern w:val="22"/>
          <w:sz w:val="24"/>
          <w:szCs w:val="24"/>
          <w:lang w:eastAsia="zh-CN" w:bidi="th-TH"/>
        </w:rPr>
        <w:t>性</w:t>
      </w:r>
      <w:r w:rsidRPr="00F47303">
        <w:rPr>
          <w:rFonts w:hint="eastAsia"/>
          <w:kern w:val="22"/>
          <w:sz w:val="24"/>
          <w:szCs w:val="24"/>
          <w:lang w:eastAsia="zh-CN" w:bidi="th-TH"/>
        </w:rPr>
        <w:t>和跨部门的能力建设</w:t>
      </w:r>
      <w:r>
        <w:rPr>
          <w:rFonts w:hint="eastAsia"/>
          <w:kern w:val="22"/>
          <w:sz w:val="24"/>
          <w:szCs w:val="24"/>
          <w:lang w:eastAsia="zh-CN" w:bidi="th-TH"/>
        </w:rPr>
        <w:t>办法</w:t>
      </w:r>
      <w:r w:rsidRPr="00F47303">
        <w:rPr>
          <w:rFonts w:hint="eastAsia"/>
          <w:kern w:val="22"/>
          <w:sz w:val="24"/>
          <w:szCs w:val="24"/>
          <w:lang w:eastAsia="zh-CN" w:bidi="th-TH"/>
        </w:rPr>
        <w:t>，</w:t>
      </w:r>
    </w:p>
    <w:p w:rsidR="00D9416A" w:rsidRPr="00E5454D" w:rsidRDefault="00D9416A" w:rsidP="00D9416A">
      <w:pPr>
        <w:pStyle w:val="Para1"/>
        <w:widowControl w:val="0"/>
        <w:suppressLineNumbers/>
        <w:tabs>
          <w:tab w:val="clear" w:pos="360"/>
        </w:tabs>
        <w:suppressAutoHyphens/>
        <w:adjustRightInd w:val="0"/>
        <w:spacing w:line="240" w:lineRule="atLeast"/>
        <w:rPr>
          <w:kern w:val="22"/>
          <w:sz w:val="24"/>
          <w:szCs w:val="24"/>
          <w:lang w:eastAsia="zh-CN" w:bidi="th-TH"/>
        </w:rPr>
      </w:pPr>
      <w:r w:rsidRPr="008718DF">
        <w:rPr>
          <w:rFonts w:ascii="KaiTi" w:eastAsia="KaiTi" w:hAnsi="KaiTi" w:cs="SimSun" w:hint="eastAsia"/>
          <w:kern w:val="22"/>
          <w:sz w:val="24"/>
          <w:szCs w:val="24"/>
          <w:lang w:eastAsia="zh-CN"/>
        </w:rPr>
        <w:t>回顾</w:t>
      </w:r>
      <w:r w:rsidRPr="00E5454D">
        <w:rPr>
          <w:rFonts w:hint="eastAsia"/>
          <w:kern w:val="22"/>
          <w:sz w:val="24"/>
          <w:szCs w:val="24"/>
          <w:lang w:val="zh-CN" w:eastAsia="zh-CN" w:bidi="th-TH"/>
        </w:rPr>
        <w:t>第</w:t>
      </w:r>
      <w:r w:rsidRPr="00E5454D">
        <w:rPr>
          <w:kern w:val="22"/>
          <w:sz w:val="24"/>
          <w:szCs w:val="24"/>
          <w:lang w:val="zh-CN" w:eastAsia="zh-CN" w:bidi="th-TH"/>
        </w:rPr>
        <w:t>XIII/23</w:t>
      </w:r>
      <w:r w:rsidRPr="00E5454D">
        <w:rPr>
          <w:rFonts w:hint="eastAsia"/>
          <w:kern w:val="22"/>
          <w:sz w:val="24"/>
          <w:szCs w:val="24"/>
          <w:lang w:val="zh-CN" w:eastAsia="zh-CN" w:bidi="th-TH"/>
        </w:rPr>
        <w:t>号决定第</w:t>
      </w:r>
      <w:r w:rsidRPr="00E5454D">
        <w:rPr>
          <w:kern w:val="22"/>
          <w:sz w:val="24"/>
          <w:szCs w:val="24"/>
          <w:lang w:val="zh-CN" w:eastAsia="zh-CN" w:bidi="th-TH"/>
        </w:rPr>
        <w:t>14</w:t>
      </w:r>
      <w:r w:rsidRPr="00E5454D">
        <w:rPr>
          <w:rFonts w:hint="eastAsia"/>
          <w:kern w:val="22"/>
          <w:sz w:val="24"/>
          <w:szCs w:val="24"/>
          <w:lang w:val="zh-CN" w:eastAsia="zh-CN" w:bidi="th-TH"/>
        </w:rPr>
        <w:t>段，其中邀请有能力的缔约方、其他国家政府和相关组织提供</w:t>
      </w:r>
      <w:r>
        <w:rPr>
          <w:rFonts w:hint="eastAsia"/>
          <w:kern w:val="22"/>
          <w:sz w:val="24"/>
          <w:szCs w:val="24"/>
          <w:lang w:val="zh-CN" w:eastAsia="zh-CN" w:bidi="th-TH"/>
        </w:rPr>
        <w:t>资金</w:t>
      </w:r>
      <w:r w:rsidRPr="00E5454D">
        <w:rPr>
          <w:rFonts w:hint="eastAsia"/>
          <w:kern w:val="22"/>
          <w:sz w:val="24"/>
          <w:szCs w:val="24"/>
          <w:lang w:val="zh-CN" w:eastAsia="zh-CN" w:bidi="th-TH"/>
        </w:rPr>
        <w:t>、技术和人力资源</w:t>
      </w:r>
      <w:r w:rsidRPr="00E5454D">
        <w:rPr>
          <w:rFonts w:hint="eastAsia"/>
          <w:kern w:val="22"/>
          <w:sz w:val="24"/>
          <w:szCs w:val="24"/>
          <w:lang w:eastAsia="zh-CN" w:bidi="th-TH"/>
        </w:rPr>
        <w:t>，</w:t>
      </w:r>
      <w:r w:rsidRPr="00E5454D">
        <w:rPr>
          <w:rFonts w:hint="eastAsia"/>
          <w:kern w:val="22"/>
          <w:sz w:val="24"/>
          <w:szCs w:val="24"/>
          <w:lang w:val="zh-CN" w:eastAsia="zh-CN" w:bidi="th-TH"/>
        </w:rPr>
        <w:t>支持发展中国家特别是最不发达国家、小岛屿发展中国家和经济转型国家</w:t>
      </w:r>
      <w:r>
        <w:rPr>
          <w:rFonts w:hint="eastAsia"/>
          <w:kern w:val="22"/>
          <w:sz w:val="24"/>
          <w:szCs w:val="24"/>
          <w:lang w:val="zh-CN" w:eastAsia="zh-CN" w:bidi="th-TH"/>
        </w:rPr>
        <w:t>以及土著人民和地方社区</w:t>
      </w:r>
      <w:r w:rsidRPr="00E5454D">
        <w:rPr>
          <w:rFonts w:hint="eastAsia"/>
          <w:kern w:val="22"/>
          <w:sz w:val="24"/>
          <w:szCs w:val="24"/>
          <w:lang w:val="zh-CN" w:eastAsia="zh-CN" w:bidi="th-TH"/>
        </w:rPr>
        <w:t>的能力建设和科技合作</w:t>
      </w:r>
      <w:r>
        <w:rPr>
          <w:rFonts w:hint="eastAsia"/>
          <w:kern w:val="22"/>
          <w:sz w:val="24"/>
          <w:szCs w:val="24"/>
          <w:lang w:eastAsia="zh-CN" w:bidi="th-TH"/>
        </w:rPr>
        <w:t>，</w:t>
      </w:r>
    </w:p>
    <w:p w:rsidR="00D9416A" w:rsidRPr="00327AF0" w:rsidRDefault="00D9416A" w:rsidP="00D9416A">
      <w:pPr>
        <w:pStyle w:val="Para1"/>
        <w:widowControl w:val="0"/>
        <w:numPr>
          <w:ilvl w:val="0"/>
          <w:numId w:val="239"/>
        </w:numPr>
        <w:suppressLineNumbers/>
        <w:tabs>
          <w:tab w:val="clear" w:pos="360"/>
          <w:tab w:val="num" w:pos="1440"/>
        </w:tabs>
        <w:suppressAutoHyphens/>
        <w:adjustRightInd w:val="0"/>
        <w:spacing w:line="240" w:lineRule="atLeast"/>
        <w:rPr>
          <w:kern w:val="22"/>
          <w:sz w:val="24"/>
          <w:szCs w:val="24"/>
          <w:lang w:eastAsia="zh-CN" w:bidi="th-TH"/>
        </w:rPr>
      </w:pPr>
      <w:r w:rsidRPr="00327AF0">
        <w:rPr>
          <w:rFonts w:ascii="KaiTi" w:eastAsia="KaiTi" w:hAnsi="KaiTi" w:cs="SimSun" w:hint="eastAsia"/>
          <w:kern w:val="22"/>
          <w:sz w:val="24"/>
          <w:szCs w:val="24"/>
          <w:lang w:eastAsia="zh-CN"/>
        </w:rPr>
        <w:t>请</w:t>
      </w:r>
      <w:r w:rsidRPr="00327AF0">
        <w:rPr>
          <w:rFonts w:hint="eastAsia"/>
          <w:kern w:val="22"/>
          <w:sz w:val="24"/>
          <w:szCs w:val="24"/>
          <w:lang w:val="zh-CN" w:eastAsia="zh-CN" w:bidi="th-TH"/>
        </w:rPr>
        <w:t>执行秘书在资源允许的情况下</w:t>
      </w:r>
      <w:r w:rsidRPr="00327AF0">
        <w:rPr>
          <w:rFonts w:hint="eastAsia"/>
          <w:kern w:val="22"/>
          <w:sz w:val="24"/>
          <w:szCs w:val="24"/>
          <w:lang w:eastAsia="zh-CN" w:bidi="th-TH"/>
        </w:rPr>
        <w:t>：</w:t>
      </w:r>
    </w:p>
    <w:p w:rsidR="00D9416A" w:rsidRPr="009764D8" w:rsidRDefault="00D9416A" w:rsidP="00D9416A">
      <w:pPr>
        <w:pStyle w:val="Para1"/>
        <w:widowControl w:val="0"/>
        <w:numPr>
          <w:ilvl w:val="1"/>
          <w:numId w:val="8"/>
        </w:numPr>
        <w:suppressLineNumbers/>
        <w:suppressAutoHyphens/>
        <w:adjustRightInd w:val="0"/>
        <w:spacing w:line="240" w:lineRule="atLeast"/>
        <w:rPr>
          <w:kern w:val="22"/>
          <w:sz w:val="24"/>
          <w:szCs w:val="24"/>
          <w:lang w:eastAsia="zh-CN" w:bidi="th-TH"/>
        </w:rPr>
      </w:pPr>
      <w:r w:rsidRPr="009764D8">
        <w:rPr>
          <w:rFonts w:hint="eastAsia"/>
          <w:kern w:val="22"/>
          <w:sz w:val="24"/>
          <w:szCs w:val="24"/>
          <w:lang w:eastAsia="zh-CN" w:bidi="th-TH"/>
        </w:rPr>
        <w:t>依照本决定附件附录所载</w:t>
      </w:r>
      <w:r>
        <w:rPr>
          <w:rFonts w:hint="eastAsia"/>
          <w:kern w:val="22"/>
          <w:sz w:val="24"/>
          <w:szCs w:val="24"/>
          <w:lang w:eastAsia="zh-CN" w:bidi="th-TH"/>
        </w:rPr>
        <w:t>任务</w:t>
      </w:r>
      <w:r w:rsidRPr="009764D8">
        <w:rPr>
          <w:rFonts w:hint="eastAsia"/>
          <w:kern w:val="22"/>
          <w:sz w:val="24"/>
          <w:szCs w:val="24"/>
          <w:lang w:eastAsia="zh-CN" w:bidi="th-TH"/>
        </w:rPr>
        <w:t>范围，委托进行一项研究，为编制</w:t>
      </w:r>
      <w:r>
        <w:rPr>
          <w:kern w:val="22"/>
          <w:sz w:val="24"/>
          <w:szCs w:val="24"/>
          <w:lang w:eastAsia="zh-CN" w:bidi="th-TH"/>
        </w:rPr>
        <w:t>2020</w:t>
      </w:r>
      <w:r>
        <w:rPr>
          <w:rFonts w:hint="eastAsia"/>
          <w:kern w:val="22"/>
          <w:sz w:val="24"/>
          <w:szCs w:val="24"/>
          <w:lang w:eastAsia="zh-CN" w:bidi="th-TH"/>
        </w:rPr>
        <w:t>年后能力建设长期战略</w:t>
      </w:r>
      <w:r w:rsidRPr="009764D8">
        <w:rPr>
          <w:rFonts w:hint="eastAsia"/>
          <w:kern w:val="22"/>
          <w:sz w:val="24"/>
          <w:szCs w:val="24"/>
          <w:lang w:eastAsia="zh-CN" w:bidi="th-TH"/>
        </w:rPr>
        <w:t>框架提供信息基础；</w:t>
      </w:r>
    </w:p>
    <w:p w:rsidR="00D9416A" w:rsidRPr="009764D8" w:rsidRDefault="00D9416A" w:rsidP="00D9416A">
      <w:pPr>
        <w:pStyle w:val="Para1"/>
        <w:widowControl w:val="0"/>
        <w:numPr>
          <w:ilvl w:val="1"/>
          <w:numId w:val="8"/>
        </w:numPr>
        <w:suppressLineNumbers/>
        <w:suppressAutoHyphens/>
        <w:adjustRightInd w:val="0"/>
        <w:spacing w:line="240" w:lineRule="atLeast"/>
        <w:rPr>
          <w:kern w:val="22"/>
          <w:sz w:val="24"/>
          <w:szCs w:val="24"/>
          <w:lang w:eastAsia="zh-CN" w:bidi="th-TH"/>
        </w:rPr>
      </w:pPr>
      <w:r w:rsidRPr="009764D8">
        <w:rPr>
          <w:rFonts w:hint="eastAsia"/>
          <w:kern w:val="22"/>
          <w:sz w:val="24"/>
          <w:szCs w:val="24"/>
          <w:lang w:eastAsia="zh-CN" w:bidi="th-TH"/>
        </w:rPr>
        <w:t>在对第</w:t>
      </w:r>
      <w:r w:rsidRPr="009764D8">
        <w:rPr>
          <w:kern w:val="22"/>
          <w:sz w:val="24"/>
          <w:szCs w:val="24"/>
          <w:lang w:eastAsia="zh-CN" w:bidi="th-TH"/>
        </w:rPr>
        <w:t>XIII/23</w:t>
      </w:r>
      <w:r w:rsidRPr="009764D8">
        <w:rPr>
          <w:rFonts w:hint="eastAsia"/>
          <w:kern w:val="22"/>
          <w:sz w:val="24"/>
          <w:szCs w:val="24"/>
          <w:lang w:eastAsia="zh-CN" w:bidi="th-TH"/>
        </w:rPr>
        <w:t>号决定第</w:t>
      </w:r>
      <w:r w:rsidRPr="009764D8">
        <w:rPr>
          <w:kern w:val="22"/>
          <w:sz w:val="24"/>
          <w:szCs w:val="24"/>
          <w:lang w:eastAsia="zh-CN" w:bidi="th-TH"/>
        </w:rPr>
        <w:t>15(g)</w:t>
      </w:r>
      <w:r w:rsidRPr="009764D8">
        <w:rPr>
          <w:rFonts w:hint="eastAsia"/>
          <w:kern w:val="22"/>
          <w:sz w:val="24"/>
          <w:szCs w:val="24"/>
          <w:lang w:eastAsia="zh-CN" w:bidi="th-TH"/>
        </w:rPr>
        <w:t>段要求的短期行动计划（</w:t>
      </w:r>
      <w:r w:rsidRPr="009764D8">
        <w:rPr>
          <w:kern w:val="22"/>
          <w:sz w:val="24"/>
          <w:szCs w:val="24"/>
          <w:lang w:eastAsia="zh-CN" w:bidi="th-TH"/>
        </w:rPr>
        <w:t>2017-2020</w:t>
      </w:r>
      <w:r w:rsidRPr="009764D8">
        <w:rPr>
          <w:rFonts w:hint="eastAsia"/>
          <w:kern w:val="22"/>
          <w:sz w:val="24"/>
          <w:szCs w:val="24"/>
          <w:lang w:eastAsia="zh-CN" w:bidi="th-TH"/>
        </w:rPr>
        <w:t>）的影响、成果和成效进行的独立评价中，列入对秘书处支持和协助推进的现行能力建设活动在促进实现</w:t>
      </w:r>
      <w:r>
        <w:rPr>
          <w:rFonts w:hint="eastAsia"/>
          <w:kern w:val="22"/>
          <w:sz w:val="24"/>
          <w:szCs w:val="24"/>
          <w:lang w:eastAsia="zh-CN" w:bidi="th-TH"/>
        </w:rPr>
        <w:t>《爱知生物多样性指标》</w:t>
      </w:r>
      <w:r w:rsidRPr="009764D8">
        <w:rPr>
          <w:rFonts w:hint="eastAsia"/>
          <w:kern w:val="22"/>
          <w:sz w:val="24"/>
          <w:szCs w:val="24"/>
          <w:lang w:eastAsia="zh-CN" w:bidi="th-TH"/>
        </w:rPr>
        <w:t>上的成果和成效的监测和评价；</w:t>
      </w:r>
    </w:p>
    <w:p w:rsidR="00D9416A" w:rsidRPr="009764D8" w:rsidRDefault="00D9416A" w:rsidP="00D9416A">
      <w:pPr>
        <w:pStyle w:val="Para1"/>
        <w:widowControl w:val="0"/>
        <w:numPr>
          <w:ilvl w:val="1"/>
          <w:numId w:val="8"/>
        </w:numPr>
        <w:suppressLineNumbers/>
        <w:suppressAutoHyphens/>
        <w:adjustRightInd w:val="0"/>
        <w:spacing w:line="240" w:lineRule="atLeast"/>
        <w:rPr>
          <w:kern w:val="22"/>
          <w:sz w:val="24"/>
          <w:szCs w:val="24"/>
          <w:lang w:eastAsia="zh-CN" w:bidi="th-TH"/>
        </w:rPr>
      </w:pPr>
      <w:r w:rsidRPr="009764D8">
        <w:rPr>
          <w:rFonts w:hint="eastAsia"/>
          <w:kern w:val="22"/>
          <w:sz w:val="24"/>
          <w:szCs w:val="24"/>
          <w:lang w:eastAsia="zh-CN" w:bidi="th-TH"/>
        </w:rPr>
        <w:t>配合</w:t>
      </w:r>
      <w:r w:rsidRPr="009764D8">
        <w:rPr>
          <w:kern w:val="22"/>
          <w:sz w:val="24"/>
          <w:szCs w:val="24"/>
          <w:lang w:eastAsia="zh-CN" w:bidi="th-TH"/>
        </w:rPr>
        <w:t>2020</w:t>
      </w:r>
      <w:r w:rsidRPr="009764D8">
        <w:rPr>
          <w:rFonts w:hint="eastAsia"/>
          <w:kern w:val="22"/>
          <w:sz w:val="24"/>
          <w:szCs w:val="24"/>
          <w:lang w:eastAsia="zh-CN" w:bidi="th-TH"/>
        </w:rPr>
        <w:t>年后全球生物多样性框架的编制进程，举办区域和具体利益攸关方协商讲习班和在线讨论论坛，使《公约》缔约方和《议定书》缔约方以及土著人民和地方社区及相关组织，包括妇女和青年组织，为编制</w:t>
      </w:r>
      <w:r w:rsidRPr="009764D8">
        <w:rPr>
          <w:kern w:val="22"/>
          <w:sz w:val="24"/>
          <w:szCs w:val="24"/>
          <w:lang w:eastAsia="zh-CN" w:bidi="th-TH"/>
        </w:rPr>
        <w:t>2020</w:t>
      </w:r>
      <w:r w:rsidRPr="009764D8">
        <w:rPr>
          <w:rFonts w:hint="eastAsia"/>
          <w:kern w:val="22"/>
          <w:sz w:val="24"/>
          <w:szCs w:val="24"/>
          <w:lang w:eastAsia="zh-CN" w:bidi="th-TH"/>
        </w:rPr>
        <w:t>年后能力建设长期战略框架草案作出贡献，同时考虑到对收到的意见和信息所作的综述；</w:t>
      </w:r>
    </w:p>
    <w:p w:rsidR="00D9416A" w:rsidRPr="009764D8" w:rsidRDefault="00D9416A" w:rsidP="00D9416A">
      <w:pPr>
        <w:pStyle w:val="Para1"/>
        <w:widowControl w:val="0"/>
        <w:numPr>
          <w:ilvl w:val="1"/>
          <w:numId w:val="8"/>
        </w:numPr>
        <w:suppressLineNumbers/>
        <w:suppressAutoHyphens/>
        <w:adjustRightInd w:val="0"/>
        <w:spacing w:line="240" w:lineRule="atLeast"/>
        <w:rPr>
          <w:kern w:val="22"/>
          <w:sz w:val="24"/>
          <w:szCs w:val="24"/>
          <w:lang w:eastAsia="zh-CN" w:bidi="th-TH"/>
        </w:rPr>
      </w:pPr>
      <w:r w:rsidRPr="001C4602">
        <w:rPr>
          <w:rFonts w:hint="eastAsia"/>
          <w:kern w:val="22"/>
          <w:sz w:val="24"/>
          <w:szCs w:val="24"/>
          <w:lang w:eastAsia="zh-CN" w:bidi="th-TH"/>
        </w:rPr>
        <w:t>提交一份配合</w:t>
      </w:r>
      <w:r w:rsidRPr="001C4602">
        <w:rPr>
          <w:kern w:val="22"/>
          <w:sz w:val="24"/>
          <w:szCs w:val="24"/>
          <w:lang w:eastAsia="zh-CN" w:bidi="th-TH"/>
        </w:rPr>
        <w:t>2020</w:t>
      </w:r>
      <w:r w:rsidRPr="001C4602">
        <w:rPr>
          <w:rFonts w:hint="eastAsia"/>
          <w:kern w:val="22"/>
          <w:sz w:val="24"/>
          <w:szCs w:val="24"/>
          <w:lang w:eastAsia="zh-CN" w:bidi="th-TH"/>
        </w:rPr>
        <w:t>年后</w:t>
      </w:r>
      <w:r w:rsidRPr="001C4602">
        <w:rPr>
          <w:rFonts w:hint="eastAsia"/>
          <w:kern w:val="22"/>
          <w:sz w:val="24"/>
          <w:szCs w:val="24"/>
          <w:lang w:val="zh-CN" w:eastAsia="zh-CN" w:bidi="th-TH"/>
        </w:rPr>
        <w:t>全球</w:t>
      </w:r>
      <w:r w:rsidRPr="001C4602">
        <w:rPr>
          <w:rFonts w:hint="eastAsia"/>
          <w:kern w:val="22"/>
          <w:sz w:val="24"/>
          <w:szCs w:val="24"/>
          <w:lang w:eastAsia="zh-CN" w:bidi="th-TH"/>
        </w:rPr>
        <w:t>生物多样性框架草案和《</w:t>
      </w:r>
      <w:r w:rsidRPr="001C4602">
        <w:rPr>
          <w:kern w:val="22"/>
          <w:sz w:val="24"/>
          <w:szCs w:val="24"/>
          <w:lang w:eastAsia="zh-CN" w:bidi="th-TH"/>
        </w:rPr>
        <w:t>2030</w:t>
      </w:r>
      <w:r w:rsidRPr="001C4602">
        <w:rPr>
          <w:rFonts w:hint="eastAsia"/>
          <w:kern w:val="22"/>
          <w:sz w:val="24"/>
          <w:szCs w:val="24"/>
          <w:lang w:eastAsia="zh-CN" w:bidi="th-TH"/>
        </w:rPr>
        <w:t>年可持续发展议程》</w:t>
      </w:r>
      <w:r w:rsidRPr="00FB10AD">
        <w:rPr>
          <w:kern w:val="22"/>
          <w:sz w:val="24"/>
          <w:szCs w:val="24"/>
          <w:vertAlign w:val="superscript"/>
          <w:lang w:bidi="th-TH"/>
        </w:rPr>
        <w:footnoteReference w:id="275"/>
      </w:r>
      <w:r w:rsidRPr="00FB10AD">
        <w:rPr>
          <w:kern w:val="22"/>
          <w:sz w:val="24"/>
          <w:szCs w:val="24"/>
          <w:vertAlign w:val="superscript"/>
          <w:lang w:eastAsia="zh-CN" w:bidi="th-TH"/>
        </w:rPr>
        <w:t xml:space="preserve"> </w:t>
      </w:r>
      <w:r w:rsidRPr="009764D8">
        <w:rPr>
          <w:rFonts w:hint="eastAsia"/>
          <w:kern w:val="22"/>
          <w:sz w:val="24"/>
          <w:szCs w:val="24"/>
          <w:lang w:eastAsia="zh-CN" w:bidi="th-TH"/>
        </w:rPr>
        <w:t>的</w:t>
      </w:r>
      <w:r w:rsidRPr="009764D8">
        <w:rPr>
          <w:kern w:val="22"/>
          <w:sz w:val="24"/>
          <w:szCs w:val="24"/>
          <w:lang w:eastAsia="zh-CN" w:bidi="th-TH"/>
        </w:rPr>
        <w:t>2020</w:t>
      </w:r>
      <w:r w:rsidRPr="009764D8">
        <w:rPr>
          <w:rFonts w:hint="eastAsia"/>
          <w:kern w:val="22"/>
          <w:sz w:val="24"/>
          <w:szCs w:val="24"/>
          <w:lang w:eastAsia="zh-CN" w:bidi="th-TH"/>
        </w:rPr>
        <w:t>年后能力建设长期战略框架草案，供执行问题附属机构第三次会议</w:t>
      </w:r>
      <w:r>
        <w:rPr>
          <w:rFonts w:hint="eastAsia"/>
          <w:kern w:val="22"/>
          <w:sz w:val="24"/>
          <w:szCs w:val="24"/>
          <w:lang w:eastAsia="zh-CN" w:bidi="th-TH"/>
        </w:rPr>
        <w:t>和</w:t>
      </w:r>
      <w:r>
        <w:rPr>
          <w:kern w:val="22"/>
          <w:sz w:val="24"/>
          <w:szCs w:val="24"/>
          <w:lang w:eastAsia="zh-CN" w:bidi="th-TH"/>
        </w:rPr>
        <w:t>嗣后的</w:t>
      </w:r>
      <w:r w:rsidRPr="009764D8">
        <w:rPr>
          <w:rFonts w:hint="eastAsia"/>
          <w:kern w:val="22"/>
          <w:sz w:val="24"/>
          <w:szCs w:val="24"/>
          <w:lang w:eastAsia="zh-CN" w:bidi="th-TH"/>
        </w:rPr>
        <w:t>缔约方</w:t>
      </w:r>
      <w:r w:rsidRPr="009764D8">
        <w:rPr>
          <w:rFonts w:hint="eastAsia"/>
          <w:kern w:val="22"/>
          <w:sz w:val="24"/>
          <w:szCs w:val="24"/>
          <w:lang w:eastAsia="zh-CN" w:bidi="th-TH"/>
        </w:rPr>
        <w:lastRenderedPageBreak/>
        <w:t>大会第十五届会议审议；</w:t>
      </w:r>
    </w:p>
    <w:p w:rsidR="00D9416A" w:rsidRDefault="00D9416A" w:rsidP="00D9416A">
      <w:pPr>
        <w:pStyle w:val="Para1"/>
        <w:keepNext/>
        <w:numPr>
          <w:ilvl w:val="0"/>
          <w:numId w:val="8"/>
        </w:numPr>
        <w:suppressLineNumbers/>
        <w:tabs>
          <w:tab w:val="clear" w:pos="360"/>
          <w:tab w:val="num" w:pos="1440"/>
        </w:tabs>
        <w:suppressAutoHyphens/>
        <w:adjustRightInd w:val="0"/>
        <w:spacing w:line="240" w:lineRule="atLeast"/>
        <w:rPr>
          <w:kern w:val="22"/>
          <w:sz w:val="24"/>
          <w:szCs w:val="24"/>
          <w:lang w:eastAsia="zh-CN" w:bidi="th-TH"/>
        </w:rPr>
      </w:pPr>
      <w:r w:rsidRPr="00327AF0">
        <w:rPr>
          <w:rFonts w:ascii="KaiTi" w:eastAsia="KaiTi" w:hAnsi="KaiTi" w:hint="eastAsia"/>
          <w:kern w:val="22"/>
          <w:sz w:val="24"/>
          <w:szCs w:val="24"/>
          <w:lang w:eastAsia="zh-CN" w:bidi="th-TH"/>
        </w:rPr>
        <w:t>邀请</w:t>
      </w:r>
      <w:r w:rsidRPr="009764D8">
        <w:rPr>
          <w:rFonts w:hint="eastAsia"/>
          <w:kern w:val="22"/>
          <w:sz w:val="24"/>
          <w:szCs w:val="24"/>
          <w:lang w:eastAsia="zh-CN" w:bidi="th-TH"/>
        </w:rPr>
        <w:t>各缔约方、其他国家政府和相关组织酌情为举办上述区域咨询讲习班和在线讨论论坛提供资金和技术支持；</w:t>
      </w:r>
    </w:p>
    <w:p w:rsidR="00D9416A" w:rsidRPr="00142C0C" w:rsidRDefault="00D9416A" w:rsidP="00D9416A">
      <w:pPr>
        <w:pStyle w:val="Para1"/>
        <w:keepNext/>
        <w:numPr>
          <w:ilvl w:val="0"/>
          <w:numId w:val="8"/>
        </w:numPr>
        <w:suppressLineNumbers/>
        <w:tabs>
          <w:tab w:val="clear" w:pos="360"/>
          <w:tab w:val="num" w:pos="1440"/>
        </w:tabs>
        <w:suppressAutoHyphens/>
        <w:adjustRightInd w:val="0"/>
        <w:spacing w:line="240" w:lineRule="atLeast"/>
        <w:rPr>
          <w:kern w:val="22"/>
          <w:sz w:val="24"/>
          <w:szCs w:val="24"/>
          <w:lang w:eastAsia="zh-CN" w:bidi="th-TH"/>
        </w:rPr>
      </w:pPr>
      <w:r w:rsidRPr="00142C0C">
        <w:rPr>
          <w:rFonts w:eastAsia="KaiTi" w:hint="eastAsia"/>
          <w:kern w:val="22"/>
          <w:sz w:val="24"/>
          <w:szCs w:val="24"/>
          <w:lang w:eastAsia="zh-CN" w:bidi="th-TH"/>
        </w:rPr>
        <w:t>请</w:t>
      </w:r>
      <w:r w:rsidRPr="00142C0C">
        <w:rPr>
          <w:rFonts w:hint="eastAsia"/>
          <w:kern w:val="22"/>
          <w:sz w:val="24"/>
          <w:szCs w:val="24"/>
          <w:lang w:eastAsia="zh-CN" w:bidi="th-TH"/>
        </w:rPr>
        <w:t>执行秘书为支持联合能力建设活动继续查明</w:t>
      </w:r>
      <w:r w:rsidRPr="00142C0C">
        <w:rPr>
          <w:rFonts w:ascii="SimSun" w:hAnsi="SimSun"/>
          <w:color w:val="000000"/>
          <w:sz w:val="24"/>
          <w:szCs w:val="24"/>
          <w:lang w:eastAsia="zh-CN"/>
        </w:rPr>
        <w:t>里约</w:t>
      </w:r>
      <w:r w:rsidRPr="00142C0C">
        <w:rPr>
          <w:rFonts w:ascii="SimSun" w:hAnsi="SimSun" w:hint="eastAsia"/>
          <w:color w:val="000000"/>
          <w:sz w:val="24"/>
          <w:szCs w:val="24"/>
          <w:lang w:eastAsia="zh-CN"/>
        </w:rPr>
        <w:t>各公约和</w:t>
      </w:r>
      <w:r w:rsidRPr="00142C0C">
        <w:rPr>
          <w:rFonts w:hint="eastAsia"/>
          <w:kern w:val="22"/>
          <w:sz w:val="24"/>
          <w:szCs w:val="24"/>
          <w:lang w:eastAsia="zh-CN" w:bidi="th-TH"/>
        </w:rPr>
        <w:t>与生物多样性相关公约的协同作用和合作领域，供制定</w:t>
      </w:r>
      <w:r w:rsidRPr="00142C0C">
        <w:rPr>
          <w:kern w:val="22"/>
          <w:sz w:val="24"/>
          <w:szCs w:val="24"/>
          <w:lang w:eastAsia="zh-CN" w:bidi="th-TH"/>
        </w:rPr>
        <w:t>2020</w:t>
      </w:r>
      <w:r w:rsidRPr="00142C0C">
        <w:rPr>
          <w:rFonts w:hint="eastAsia"/>
          <w:kern w:val="22"/>
          <w:sz w:val="24"/>
          <w:szCs w:val="24"/>
          <w:lang w:eastAsia="zh-CN" w:bidi="th-TH"/>
        </w:rPr>
        <w:t>年后全球生物多样性框架考虑；</w:t>
      </w:r>
    </w:p>
    <w:p w:rsidR="00D9416A" w:rsidRPr="00047141" w:rsidRDefault="00D9416A" w:rsidP="00D9416A">
      <w:pPr>
        <w:pStyle w:val="ListParagraph"/>
        <w:keepNext/>
        <w:numPr>
          <w:ilvl w:val="0"/>
          <w:numId w:val="245"/>
        </w:numPr>
        <w:suppressLineNumbers/>
        <w:suppressAutoHyphens/>
        <w:kinsoku w:val="0"/>
        <w:overflowPunct w:val="0"/>
        <w:autoSpaceDE w:val="0"/>
        <w:autoSpaceDN w:val="0"/>
        <w:adjustRightInd w:val="0"/>
        <w:snapToGrid w:val="0"/>
        <w:ind w:left="0" w:firstLine="0"/>
        <w:contextualSpacing/>
        <w:jc w:val="center"/>
        <w:rPr>
          <w:rFonts w:ascii="SimSun" w:hAnsi="SimSun" w:cs="SimSun"/>
          <w:b/>
          <w:kern w:val="22"/>
        </w:rPr>
      </w:pPr>
      <w:r w:rsidRPr="00047141">
        <w:rPr>
          <w:rFonts w:ascii="SimSun" w:hAnsi="SimSun" w:cs="SimSun" w:hint="eastAsia"/>
          <w:b/>
          <w:kern w:val="22"/>
        </w:rPr>
        <w:t>技术和科学合作</w:t>
      </w:r>
    </w:p>
    <w:p w:rsidR="00D9416A" w:rsidRPr="008718DF" w:rsidRDefault="00D9416A" w:rsidP="00D9416A">
      <w:pPr>
        <w:pStyle w:val="Para1"/>
        <w:widowControl w:val="0"/>
        <w:suppressLineNumbers/>
        <w:tabs>
          <w:tab w:val="clear" w:pos="360"/>
        </w:tabs>
        <w:suppressAutoHyphens/>
        <w:adjustRightInd w:val="0"/>
        <w:snapToGrid w:val="0"/>
        <w:rPr>
          <w:kern w:val="22"/>
          <w:sz w:val="24"/>
          <w:szCs w:val="24"/>
          <w:lang w:eastAsia="zh-CN" w:bidi="th-TH"/>
        </w:rPr>
      </w:pPr>
      <w:r w:rsidRPr="000B2AF0">
        <w:rPr>
          <w:rFonts w:ascii="KaiTi" w:eastAsia="KaiTi" w:hAnsi="KaiTi" w:hint="eastAsia"/>
          <w:kern w:val="22"/>
          <w:sz w:val="24"/>
          <w:szCs w:val="24"/>
          <w:lang w:val="zh-CN" w:eastAsia="zh-CN" w:bidi="th-TH"/>
        </w:rPr>
        <w:t>回顾</w:t>
      </w:r>
      <w:r w:rsidRPr="008718DF">
        <w:rPr>
          <w:rFonts w:hint="eastAsia"/>
          <w:kern w:val="22"/>
          <w:sz w:val="24"/>
          <w:szCs w:val="24"/>
          <w:lang w:val="zh-CN" w:eastAsia="zh-CN" w:bidi="th-TH"/>
        </w:rPr>
        <w:t>关于</w:t>
      </w:r>
      <w:r>
        <w:rPr>
          <w:rFonts w:hint="eastAsia"/>
          <w:kern w:val="22"/>
          <w:sz w:val="24"/>
          <w:szCs w:val="24"/>
          <w:lang w:val="zh-CN" w:eastAsia="zh-CN" w:bidi="th-TH"/>
        </w:rPr>
        <w:t>科技</w:t>
      </w:r>
      <w:r w:rsidRPr="008718DF">
        <w:rPr>
          <w:rFonts w:hint="eastAsia"/>
          <w:kern w:val="22"/>
          <w:sz w:val="24"/>
          <w:szCs w:val="24"/>
          <w:lang w:val="zh-CN" w:eastAsia="zh-CN" w:bidi="th-TH"/>
        </w:rPr>
        <w:t>合作及技术转让的第</w:t>
      </w:r>
      <w:r w:rsidRPr="008718DF">
        <w:rPr>
          <w:kern w:val="22"/>
          <w:sz w:val="24"/>
          <w:szCs w:val="24"/>
          <w:lang w:eastAsia="zh-CN" w:bidi="th-TH"/>
        </w:rPr>
        <w:t>XIII/23</w:t>
      </w:r>
      <w:r w:rsidRPr="008718DF">
        <w:rPr>
          <w:rFonts w:hint="eastAsia"/>
          <w:kern w:val="22"/>
          <w:sz w:val="24"/>
          <w:szCs w:val="24"/>
          <w:lang w:val="zh-CN" w:eastAsia="zh-CN" w:bidi="th-TH"/>
        </w:rPr>
        <w:t>号、第</w:t>
      </w:r>
      <w:r w:rsidRPr="008718DF">
        <w:rPr>
          <w:kern w:val="22"/>
          <w:sz w:val="24"/>
          <w:szCs w:val="24"/>
          <w:lang w:eastAsia="zh-CN" w:bidi="th-TH"/>
        </w:rPr>
        <w:t>XIII/31</w:t>
      </w:r>
      <w:r w:rsidRPr="008718DF">
        <w:rPr>
          <w:rFonts w:hint="eastAsia"/>
          <w:kern w:val="22"/>
          <w:sz w:val="24"/>
          <w:szCs w:val="24"/>
          <w:lang w:val="zh-CN" w:eastAsia="zh-CN" w:bidi="th-TH"/>
        </w:rPr>
        <w:t>号、第</w:t>
      </w:r>
      <w:r w:rsidRPr="008718DF">
        <w:rPr>
          <w:kern w:val="22"/>
          <w:sz w:val="24"/>
          <w:szCs w:val="24"/>
          <w:lang w:eastAsia="zh-CN" w:bidi="th-TH"/>
        </w:rPr>
        <w:t>XII/2</w:t>
      </w:r>
      <w:r w:rsidRPr="008718DF">
        <w:rPr>
          <w:rFonts w:hint="eastAsia"/>
          <w:kern w:val="22"/>
          <w:sz w:val="24"/>
          <w:szCs w:val="24"/>
          <w:lang w:val="zh-CN" w:eastAsia="zh-CN" w:bidi="th-TH"/>
        </w:rPr>
        <w:t>号、第</w:t>
      </w:r>
      <w:r w:rsidRPr="008718DF">
        <w:rPr>
          <w:kern w:val="22"/>
          <w:sz w:val="24"/>
          <w:szCs w:val="24"/>
          <w:lang w:eastAsia="zh-CN" w:bidi="th-TH"/>
        </w:rPr>
        <w:t>X/16</w:t>
      </w:r>
      <w:r w:rsidRPr="008718DF">
        <w:rPr>
          <w:rFonts w:hint="eastAsia"/>
          <w:kern w:val="22"/>
          <w:sz w:val="24"/>
          <w:szCs w:val="24"/>
          <w:lang w:val="zh-CN" w:eastAsia="zh-CN" w:bidi="th-TH"/>
        </w:rPr>
        <w:t>号、第</w:t>
      </w:r>
      <w:r w:rsidRPr="008718DF">
        <w:rPr>
          <w:kern w:val="22"/>
          <w:sz w:val="24"/>
          <w:szCs w:val="24"/>
          <w:lang w:eastAsia="zh-CN" w:bidi="th-TH"/>
        </w:rPr>
        <w:t>IX/14</w:t>
      </w:r>
      <w:r w:rsidRPr="008718DF">
        <w:rPr>
          <w:rFonts w:hint="eastAsia"/>
          <w:kern w:val="22"/>
          <w:sz w:val="24"/>
          <w:szCs w:val="24"/>
          <w:lang w:val="zh-CN" w:eastAsia="zh-CN" w:bidi="th-TH"/>
        </w:rPr>
        <w:t>号、第</w:t>
      </w:r>
      <w:r w:rsidRPr="008718DF">
        <w:rPr>
          <w:kern w:val="22"/>
          <w:sz w:val="24"/>
          <w:szCs w:val="24"/>
          <w:lang w:eastAsia="zh-CN" w:bidi="th-TH"/>
        </w:rPr>
        <w:t>VIII/12</w:t>
      </w:r>
      <w:r w:rsidRPr="008718DF">
        <w:rPr>
          <w:rFonts w:hint="eastAsia"/>
          <w:kern w:val="22"/>
          <w:sz w:val="24"/>
          <w:szCs w:val="24"/>
          <w:lang w:val="zh-CN" w:eastAsia="zh-CN" w:bidi="th-TH"/>
        </w:rPr>
        <w:t>号和第</w:t>
      </w:r>
      <w:r w:rsidRPr="008718DF">
        <w:rPr>
          <w:kern w:val="22"/>
          <w:sz w:val="24"/>
          <w:szCs w:val="24"/>
          <w:lang w:eastAsia="zh-CN" w:bidi="th-TH"/>
        </w:rPr>
        <w:t>VII/29</w:t>
      </w:r>
      <w:r w:rsidRPr="008718DF">
        <w:rPr>
          <w:rFonts w:hint="eastAsia"/>
          <w:kern w:val="22"/>
          <w:sz w:val="24"/>
          <w:szCs w:val="24"/>
          <w:lang w:val="zh-CN" w:eastAsia="zh-CN" w:bidi="th-TH"/>
        </w:rPr>
        <w:t>号决定</w:t>
      </w:r>
      <w:r w:rsidRPr="008718DF">
        <w:rPr>
          <w:rFonts w:hint="eastAsia"/>
          <w:kern w:val="22"/>
          <w:sz w:val="24"/>
          <w:szCs w:val="24"/>
          <w:lang w:eastAsia="zh-CN" w:bidi="th-TH"/>
        </w:rPr>
        <w:t>，</w:t>
      </w:r>
    </w:p>
    <w:p w:rsidR="00D9416A" w:rsidRDefault="00D9416A" w:rsidP="00D9416A">
      <w:pPr>
        <w:pStyle w:val="Para1"/>
        <w:widowControl w:val="0"/>
        <w:suppressLineNumbers/>
        <w:tabs>
          <w:tab w:val="clear" w:pos="360"/>
        </w:tabs>
        <w:suppressAutoHyphens/>
        <w:adjustRightInd w:val="0"/>
        <w:rPr>
          <w:kern w:val="22"/>
          <w:sz w:val="24"/>
          <w:szCs w:val="24"/>
          <w:lang w:val="zh-CN" w:eastAsia="zh-CN" w:bidi="th-TH"/>
        </w:rPr>
      </w:pPr>
      <w:r>
        <w:rPr>
          <w:rFonts w:ascii="KaiTi" w:eastAsia="KaiTi" w:hAnsi="KaiTi" w:hint="eastAsia"/>
          <w:kern w:val="22"/>
          <w:sz w:val="24"/>
          <w:szCs w:val="24"/>
          <w:lang w:eastAsia="zh-CN" w:bidi="th-TH"/>
        </w:rPr>
        <w:t>表示</w:t>
      </w:r>
      <w:r w:rsidRPr="000B2AF0">
        <w:rPr>
          <w:rFonts w:ascii="KaiTi" w:eastAsia="KaiTi" w:hAnsi="KaiTi" w:hint="eastAsia"/>
          <w:kern w:val="22"/>
          <w:sz w:val="24"/>
          <w:szCs w:val="24"/>
          <w:lang w:val="zh-CN" w:eastAsia="zh-CN" w:bidi="th-TH"/>
        </w:rPr>
        <w:t>注意到</w:t>
      </w:r>
      <w:r w:rsidRPr="008718DF">
        <w:rPr>
          <w:rFonts w:hint="eastAsia"/>
          <w:kern w:val="22"/>
          <w:sz w:val="24"/>
          <w:szCs w:val="24"/>
          <w:lang w:val="zh-CN" w:eastAsia="zh-CN" w:bidi="th-TH"/>
        </w:rPr>
        <w:t>关于促进和便利</w:t>
      </w:r>
      <w:r>
        <w:rPr>
          <w:rFonts w:hint="eastAsia"/>
          <w:kern w:val="22"/>
          <w:sz w:val="24"/>
          <w:szCs w:val="24"/>
          <w:lang w:val="zh-CN" w:eastAsia="zh-CN" w:bidi="th-TH"/>
        </w:rPr>
        <w:t>科技</w:t>
      </w:r>
      <w:r w:rsidRPr="008718DF">
        <w:rPr>
          <w:rFonts w:hint="eastAsia"/>
          <w:kern w:val="22"/>
          <w:sz w:val="24"/>
          <w:szCs w:val="24"/>
          <w:lang w:val="zh-CN" w:eastAsia="zh-CN" w:bidi="th-TH"/>
        </w:rPr>
        <w:t>合作进展情况包括</w:t>
      </w:r>
      <w:r>
        <w:rPr>
          <w:rFonts w:hint="eastAsia"/>
          <w:kern w:val="22"/>
          <w:sz w:val="24"/>
          <w:szCs w:val="24"/>
          <w:lang w:val="zh-CN" w:eastAsia="zh-CN" w:bidi="th-TH"/>
        </w:rPr>
        <w:t>“</w:t>
      </w:r>
      <w:r w:rsidRPr="008718DF">
        <w:rPr>
          <w:rFonts w:hint="eastAsia"/>
          <w:kern w:val="22"/>
          <w:sz w:val="24"/>
          <w:szCs w:val="24"/>
          <w:lang w:val="zh-CN" w:eastAsia="zh-CN" w:bidi="th-TH"/>
        </w:rPr>
        <w:t>生物桥倡议</w:t>
      </w:r>
      <w:r>
        <w:rPr>
          <w:rFonts w:hint="eastAsia"/>
          <w:kern w:val="22"/>
          <w:sz w:val="24"/>
          <w:szCs w:val="24"/>
          <w:lang w:val="zh-CN" w:eastAsia="zh-CN" w:bidi="th-TH"/>
        </w:rPr>
        <w:t>”</w:t>
      </w:r>
      <w:r w:rsidRPr="008718DF">
        <w:rPr>
          <w:rFonts w:hint="eastAsia"/>
          <w:kern w:val="22"/>
          <w:sz w:val="24"/>
          <w:szCs w:val="24"/>
          <w:lang w:val="zh-CN" w:eastAsia="zh-CN" w:bidi="th-TH"/>
        </w:rPr>
        <w:t>成就的报告</w:t>
      </w:r>
      <w:r>
        <w:rPr>
          <w:rFonts w:hint="eastAsia"/>
          <w:kern w:val="22"/>
          <w:sz w:val="24"/>
          <w:szCs w:val="24"/>
          <w:lang w:val="zh-CN" w:eastAsia="zh-CN" w:bidi="th-TH"/>
        </w:rPr>
        <w:t>，</w:t>
      </w:r>
      <w:r w:rsidRPr="008718DF">
        <w:rPr>
          <w:rStyle w:val="StyleFootnoteReferencenumberFootnoteReferenceSuperscript-EF"/>
          <w:sz w:val="24"/>
          <w:szCs w:val="24"/>
          <w:lang w:val="zh-CN" w:bidi="th-TH"/>
        </w:rPr>
        <w:footnoteReference w:id="276"/>
      </w:r>
    </w:p>
    <w:p w:rsidR="00D9416A" w:rsidRPr="00DD1827" w:rsidRDefault="00D9416A" w:rsidP="00D9416A">
      <w:pPr>
        <w:pStyle w:val="Para1"/>
        <w:widowControl w:val="0"/>
        <w:suppressLineNumbers/>
        <w:tabs>
          <w:tab w:val="clear" w:pos="360"/>
        </w:tabs>
        <w:suppressAutoHyphens/>
        <w:adjustRightInd w:val="0"/>
        <w:rPr>
          <w:kern w:val="22"/>
          <w:sz w:val="24"/>
          <w:szCs w:val="24"/>
          <w:lang w:eastAsia="zh-CN" w:bidi="th-TH"/>
        </w:rPr>
      </w:pPr>
      <w:r w:rsidRPr="00B36A9D">
        <w:rPr>
          <w:rFonts w:eastAsia="KaiTi" w:hint="eastAsia"/>
          <w:kern w:val="22"/>
          <w:sz w:val="24"/>
          <w:szCs w:val="24"/>
          <w:lang w:eastAsia="zh-CN" w:bidi="th-TH"/>
        </w:rPr>
        <w:t>认识到</w:t>
      </w:r>
      <w:r w:rsidRPr="00B36A9D">
        <w:rPr>
          <w:rFonts w:hint="eastAsia"/>
          <w:kern w:val="22"/>
          <w:sz w:val="24"/>
          <w:szCs w:val="24"/>
          <w:lang w:eastAsia="zh-CN" w:bidi="th-TH"/>
        </w:rPr>
        <w:t>生物</w:t>
      </w:r>
      <w:r w:rsidRPr="00DD1827">
        <w:rPr>
          <w:rFonts w:hint="eastAsia"/>
          <w:kern w:val="22"/>
          <w:sz w:val="24"/>
          <w:szCs w:val="24"/>
          <w:lang w:eastAsia="zh-CN" w:bidi="th-TH"/>
        </w:rPr>
        <w:t>分类学</w:t>
      </w:r>
      <w:r>
        <w:rPr>
          <w:rFonts w:hint="eastAsia"/>
          <w:kern w:val="22"/>
          <w:sz w:val="24"/>
          <w:szCs w:val="24"/>
          <w:lang w:eastAsia="zh-CN" w:bidi="th-TH"/>
        </w:rPr>
        <w:t>、</w:t>
      </w:r>
      <w:r w:rsidRPr="00DD1827">
        <w:rPr>
          <w:rFonts w:hint="eastAsia"/>
          <w:kern w:val="22"/>
          <w:sz w:val="24"/>
          <w:szCs w:val="24"/>
          <w:lang w:eastAsia="zh-CN" w:bidi="th-TH"/>
        </w:rPr>
        <w:t>遥感</w:t>
      </w:r>
      <w:r>
        <w:rPr>
          <w:rFonts w:hint="eastAsia"/>
          <w:kern w:val="22"/>
          <w:sz w:val="24"/>
          <w:szCs w:val="24"/>
          <w:lang w:eastAsia="zh-CN" w:bidi="th-TH"/>
        </w:rPr>
        <w:t>、</w:t>
      </w:r>
      <w:r w:rsidRPr="00DD1827">
        <w:rPr>
          <w:rFonts w:hint="eastAsia"/>
          <w:kern w:val="22"/>
          <w:sz w:val="24"/>
          <w:szCs w:val="24"/>
          <w:lang w:eastAsia="zh-CN" w:bidi="th-TH"/>
        </w:rPr>
        <w:t>情景分析和</w:t>
      </w:r>
      <w:r w:rsidRPr="00B36A9D">
        <w:rPr>
          <w:rFonts w:hint="eastAsia"/>
          <w:kern w:val="22"/>
          <w:sz w:val="24"/>
          <w:szCs w:val="24"/>
          <w:lang w:eastAsia="zh-CN" w:bidi="th-TH"/>
        </w:rPr>
        <w:t>建模</w:t>
      </w:r>
      <w:r w:rsidRPr="00DD1827">
        <w:rPr>
          <w:rFonts w:hint="eastAsia"/>
          <w:kern w:val="22"/>
          <w:sz w:val="24"/>
          <w:szCs w:val="24"/>
          <w:lang w:eastAsia="zh-CN" w:bidi="th-TH"/>
        </w:rPr>
        <w:t>对于为</w:t>
      </w:r>
      <w:r w:rsidRPr="00DD1827">
        <w:rPr>
          <w:kern w:val="22"/>
          <w:sz w:val="24"/>
          <w:szCs w:val="24"/>
          <w:lang w:eastAsia="zh-CN" w:bidi="th-TH"/>
        </w:rPr>
        <w:t>2020</w:t>
      </w:r>
      <w:r w:rsidRPr="00DD1827">
        <w:rPr>
          <w:rFonts w:hint="eastAsia"/>
          <w:kern w:val="22"/>
          <w:sz w:val="24"/>
          <w:szCs w:val="24"/>
          <w:lang w:eastAsia="zh-CN" w:bidi="th-TH"/>
        </w:rPr>
        <w:t>年后全球生物多样性</w:t>
      </w:r>
      <w:r>
        <w:rPr>
          <w:rFonts w:hint="eastAsia"/>
          <w:kern w:val="22"/>
          <w:sz w:val="24"/>
          <w:szCs w:val="24"/>
          <w:lang w:eastAsia="zh-CN" w:bidi="th-TH"/>
        </w:rPr>
        <w:t>框架</w:t>
      </w:r>
      <w:r w:rsidRPr="00DD1827">
        <w:rPr>
          <w:rFonts w:hint="eastAsia"/>
          <w:kern w:val="22"/>
          <w:sz w:val="24"/>
          <w:szCs w:val="24"/>
          <w:lang w:eastAsia="zh-CN" w:bidi="th-TH"/>
        </w:rPr>
        <w:t>下的行动提供科学基础</w:t>
      </w:r>
      <w:r>
        <w:rPr>
          <w:rFonts w:hint="eastAsia"/>
          <w:kern w:val="22"/>
          <w:sz w:val="24"/>
          <w:szCs w:val="24"/>
          <w:lang w:eastAsia="zh-CN" w:bidi="th-TH"/>
        </w:rPr>
        <w:t>促进</w:t>
      </w:r>
      <w:r w:rsidRPr="00DD1827">
        <w:rPr>
          <w:kern w:val="22"/>
          <w:sz w:val="24"/>
          <w:szCs w:val="24"/>
          <w:lang w:eastAsia="zh-CN" w:bidi="th-TH"/>
        </w:rPr>
        <w:t>2050</w:t>
      </w:r>
      <w:r w:rsidRPr="00DD1827">
        <w:rPr>
          <w:rFonts w:hint="eastAsia"/>
          <w:kern w:val="22"/>
          <w:sz w:val="24"/>
          <w:szCs w:val="24"/>
          <w:lang w:eastAsia="zh-CN" w:bidi="th-TH"/>
        </w:rPr>
        <w:t>年愿景的重要性</w:t>
      </w:r>
      <w:r>
        <w:rPr>
          <w:rFonts w:hint="eastAsia"/>
          <w:kern w:val="22"/>
          <w:sz w:val="24"/>
          <w:szCs w:val="24"/>
          <w:lang w:eastAsia="zh-CN" w:bidi="th-TH"/>
        </w:rPr>
        <w:t>，并</w:t>
      </w:r>
      <w:r w:rsidRPr="00B36A9D">
        <w:rPr>
          <w:rFonts w:eastAsia="KaiTi" w:hint="eastAsia"/>
          <w:kern w:val="22"/>
          <w:sz w:val="24"/>
          <w:szCs w:val="24"/>
          <w:lang w:eastAsia="zh-CN" w:bidi="th-TH"/>
        </w:rPr>
        <w:t>表示注意到</w:t>
      </w:r>
      <w:bookmarkStart w:id="198" w:name="_Hlk530731601"/>
      <w:r w:rsidRPr="00DD1827">
        <w:rPr>
          <w:rFonts w:hint="eastAsia"/>
          <w:kern w:val="22"/>
          <w:sz w:val="24"/>
          <w:szCs w:val="24"/>
          <w:lang w:eastAsia="zh-CN" w:bidi="th-TH"/>
        </w:rPr>
        <w:t>全球</w:t>
      </w:r>
      <w:bookmarkEnd w:id="198"/>
      <w:r w:rsidRPr="00DD1827">
        <w:rPr>
          <w:rFonts w:hint="eastAsia"/>
          <w:kern w:val="22"/>
          <w:sz w:val="24"/>
          <w:szCs w:val="24"/>
          <w:lang w:eastAsia="zh-CN" w:bidi="th-TH"/>
        </w:rPr>
        <w:t>生物分类</w:t>
      </w:r>
      <w:r>
        <w:rPr>
          <w:rFonts w:hint="eastAsia"/>
          <w:kern w:val="22"/>
          <w:sz w:val="24"/>
          <w:szCs w:val="24"/>
          <w:lang w:eastAsia="zh-CN" w:bidi="th-TH"/>
        </w:rPr>
        <w:t>学</w:t>
      </w:r>
      <w:r w:rsidRPr="00DD1827">
        <w:rPr>
          <w:rFonts w:hint="eastAsia"/>
          <w:kern w:val="22"/>
          <w:sz w:val="24"/>
          <w:szCs w:val="24"/>
          <w:lang w:eastAsia="zh-CN" w:bidi="th-TH"/>
        </w:rPr>
        <w:t>倡议论坛的</w:t>
      </w:r>
      <w:r>
        <w:rPr>
          <w:rFonts w:hint="eastAsia"/>
          <w:kern w:val="22"/>
          <w:sz w:val="24"/>
          <w:szCs w:val="24"/>
          <w:lang w:eastAsia="zh-CN" w:bidi="th-TH"/>
        </w:rPr>
        <w:t>会议纪要</w:t>
      </w:r>
      <w:r w:rsidRPr="00DD1827">
        <w:rPr>
          <w:rFonts w:hint="eastAsia"/>
          <w:kern w:val="22"/>
          <w:sz w:val="24"/>
          <w:szCs w:val="24"/>
          <w:lang w:eastAsia="zh-CN" w:bidi="th-TH"/>
        </w:rPr>
        <w:t>报告</w:t>
      </w:r>
      <w:r>
        <w:rPr>
          <w:rFonts w:hint="eastAsia"/>
          <w:kern w:val="22"/>
          <w:sz w:val="24"/>
          <w:szCs w:val="24"/>
          <w:lang w:eastAsia="zh-CN" w:bidi="th-TH"/>
        </w:rPr>
        <w:t>，</w:t>
      </w:r>
      <w:r w:rsidRPr="00D83C34">
        <w:rPr>
          <w:rStyle w:val="FootnoteReference"/>
          <w:kern w:val="22"/>
          <w:sz w:val="24"/>
          <w:szCs w:val="24"/>
          <w:vertAlign w:val="superscript"/>
        </w:rPr>
        <w:footnoteReference w:id="277"/>
      </w:r>
    </w:p>
    <w:p w:rsidR="00D9416A" w:rsidRPr="008718DF" w:rsidRDefault="00D9416A" w:rsidP="00D9416A">
      <w:pPr>
        <w:pStyle w:val="Para1"/>
        <w:widowControl w:val="0"/>
        <w:suppressLineNumbers/>
        <w:tabs>
          <w:tab w:val="clear" w:pos="360"/>
        </w:tabs>
        <w:suppressAutoHyphens/>
        <w:adjustRightInd w:val="0"/>
        <w:rPr>
          <w:kern w:val="22"/>
          <w:sz w:val="24"/>
          <w:szCs w:val="24"/>
          <w:lang w:eastAsia="zh-CN" w:bidi="th-TH"/>
        </w:rPr>
      </w:pPr>
      <w:r>
        <w:rPr>
          <w:rFonts w:eastAsia="KaiTi" w:hint="eastAsia"/>
          <w:kern w:val="22"/>
          <w:sz w:val="24"/>
          <w:szCs w:val="24"/>
          <w:lang w:eastAsia="zh-CN" w:bidi="th-TH"/>
        </w:rPr>
        <w:t>表示注意到</w:t>
      </w:r>
      <w:r>
        <w:rPr>
          <w:rFonts w:hint="eastAsia"/>
          <w:kern w:val="22"/>
          <w:sz w:val="24"/>
          <w:szCs w:val="24"/>
          <w:lang w:eastAsia="zh-CN" w:bidi="th-TH"/>
        </w:rPr>
        <w:t>关于在</w:t>
      </w:r>
      <w:r w:rsidRPr="00DD1827">
        <w:rPr>
          <w:rFonts w:hint="eastAsia"/>
          <w:kern w:val="22"/>
          <w:sz w:val="24"/>
          <w:szCs w:val="24"/>
          <w:lang w:eastAsia="zh-CN" w:bidi="th-TH"/>
        </w:rPr>
        <w:t>利益攸关方之间建立生物多样性知识联盟共同致力于</w:t>
      </w:r>
      <w:r>
        <w:rPr>
          <w:rFonts w:hint="eastAsia"/>
          <w:kern w:val="22"/>
          <w:sz w:val="24"/>
          <w:szCs w:val="24"/>
          <w:lang w:eastAsia="zh-CN" w:bidi="th-TH"/>
        </w:rPr>
        <w:t>加强从事</w:t>
      </w:r>
      <w:r w:rsidRPr="00DD1827">
        <w:rPr>
          <w:rFonts w:hint="eastAsia"/>
          <w:kern w:val="22"/>
          <w:sz w:val="24"/>
          <w:szCs w:val="24"/>
          <w:lang w:eastAsia="zh-CN" w:bidi="th-TH"/>
        </w:rPr>
        <w:t>生物多样性信息</w:t>
      </w:r>
      <w:r>
        <w:rPr>
          <w:rFonts w:hint="eastAsia"/>
          <w:kern w:val="22"/>
          <w:sz w:val="24"/>
          <w:szCs w:val="24"/>
          <w:lang w:eastAsia="zh-CN" w:bidi="th-TH"/>
        </w:rPr>
        <w:t>处理</w:t>
      </w:r>
      <w:r w:rsidRPr="00DD1827">
        <w:rPr>
          <w:rFonts w:hint="eastAsia"/>
          <w:kern w:val="22"/>
          <w:sz w:val="24"/>
          <w:szCs w:val="24"/>
          <w:lang w:eastAsia="zh-CN" w:bidi="th-TH"/>
        </w:rPr>
        <w:t>的社区</w:t>
      </w:r>
      <w:r>
        <w:rPr>
          <w:rFonts w:hint="eastAsia"/>
          <w:kern w:val="22"/>
          <w:sz w:val="24"/>
          <w:szCs w:val="24"/>
          <w:lang w:eastAsia="zh-CN" w:bidi="th-TH"/>
        </w:rPr>
        <w:t>、</w:t>
      </w:r>
      <w:r w:rsidRPr="00DD1827">
        <w:rPr>
          <w:rFonts w:hint="eastAsia"/>
          <w:kern w:val="22"/>
          <w:sz w:val="24"/>
          <w:szCs w:val="24"/>
          <w:lang w:eastAsia="zh-CN" w:bidi="th-TH"/>
        </w:rPr>
        <w:t>系统和进程</w:t>
      </w:r>
      <w:r>
        <w:rPr>
          <w:rFonts w:hint="eastAsia"/>
          <w:kern w:val="22"/>
          <w:sz w:val="24"/>
          <w:szCs w:val="24"/>
          <w:lang w:eastAsia="zh-CN" w:bidi="th-TH"/>
        </w:rPr>
        <w:t>的联系的倡议，</w:t>
      </w:r>
      <w:r w:rsidRPr="002F343C">
        <w:rPr>
          <w:rStyle w:val="FootnoteReference"/>
          <w:kern w:val="22"/>
          <w:sz w:val="24"/>
          <w:szCs w:val="24"/>
          <w:u w:val="none"/>
          <w:vertAlign w:val="superscript"/>
        </w:rPr>
        <w:footnoteReference w:id="278"/>
      </w:r>
    </w:p>
    <w:p w:rsidR="00D9416A" w:rsidRDefault="00D9416A" w:rsidP="00D9416A">
      <w:pPr>
        <w:pStyle w:val="Para1"/>
        <w:numPr>
          <w:ilvl w:val="0"/>
          <w:numId w:val="246"/>
        </w:numPr>
        <w:suppressLineNumbers/>
        <w:tabs>
          <w:tab w:val="clear" w:pos="360"/>
        </w:tabs>
        <w:suppressAutoHyphens/>
        <w:adjustRightInd w:val="0"/>
        <w:rPr>
          <w:kern w:val="22"/>
          <w:sz w:val="24"/>
          <w:szCs w:val="24"/>
          <w:lang w:eastAsia="zh-CN" w:bidi="th-TH"/>
        </w:rPr>
      </w:pPr>
      <w:r w:rsidRPr="00D83C34">
        <w:rPr>
          <w:rFonts w:ascii="KaiTi" w:eastAsia="KaiTi" w:hAnsi="KaiTi" w:hint="eastAsia"/>
          <w:kern w:val="22"/>
          <w:sz w:val="24"/>
          <w:szCs w:val="24"/>
          <w:lang w:val="zh-CN" w:eastAsia="zh-CN" w:bidi="th-TH"/>
        </w:rPr>
        <w:t>邀请</w:t>
      </w:r>
      <w:r w:rsidRPr="00D83C34">
        <w:rPr>
          <w:rFonts w:hint="eastAsia"/>
          <w:kern w:val="22"/>
          <w:sz w:val="24"/>
          <w:szCs w:val="24"/>
          <w:lang w:val="zh-CN" w:eastAsia="zh-CN" w:bidi="th-TH"/>
        </w:rPr>
        <w:t>有能力的缔约方、其他国家政府和相关组织通过信息交换所机制登记为技术援助提供者</w:t>
      </w:r>
      <w:r w:rsidRPr="00D83C34">
        <w:rPr>
          <w:rFonts w:hint="eastAsia"/>
          <w:kern w:val="22"/>
          <w:sz w:val="24"/>
          <w:szCs w:val="24"/>
          <w:lang w:eastAsia="zh-CN" w:bidi="th-TH"/>
        </w:rPr>
        <w:t>；</w:t>
      </w:r>
    </w:p>
    <w:p w:rsidR="00D9416A" w:rsidRPr="00D83C34" w:rsidRDefault="00D9416A" w:rsidP="00D9416A">
      <w:pPr>
        <w:pStyle w:val="Para1"/>
        <w:numPr>
          <w:ilvl w:val="0"/>
          <w:numId w:val="246"/>
        </w:numPr>
        <w:suppressLineNumbers/>
        <w:tabs>
          <w:tab w:val="clear" w:pos="360"/>
        </w:tabs>
        <w:suppressAutoHyphens/>
        <w:adjustRightInd w:val="0"/>
        <w:rPr>
          <w:kern w:val="22"/>
          <w:sz w:val="24"/>
          <w:szCs w:val="24"/>
          <w:lang w:eastAsia="zh-CN" w:bidi="th-TH"/>
        </w:rPr>
      </w:pPr>
      <w:r w:rsidRPr="00D83C34">
        <w:rPr>
          <w:rFonts w:eastAsia="KaiTi" w:hint="eastAsia"/>
          <w:kern w:val="22"/>
          <w:sz w:val="24"/>
          <w:szCs w:val="24"/>
          <w:lang w:eastAsia="zh-CN" w:bidi="th-TH"/>
        </w:rPr>
        <w:t>又邀请</w:t>
      </w:r>
      <w:r w:rsidRPr="00D83C34">
        <w:rPr>
          <w:rFonts w:hint="eastAsia"/>
          <w:kern w:val="22"/>
          <w:sz w:val="24"/>
          <w:szCs w:val="24"/>
          <w:lang w:eastAsia="zh-CN" w:bidi="th-TH"/>
        </w:rPr>
        <w:t>各缔约方</w:t>
      </w:r>
      <w:r>
        <w:rPr>
          <w:rFonts w:hint="eastAsia"/>
          <w:kern w:val="22"/>
          <w:sz w:val="24"/>
          <w:szCs w:val="24"/>
          <w:lang w:eastAsia="zh-CN" w:bidi="th-TH"/>
        </w:rPr>
        <w:t>、</w:t>
      </w:r>
      <w:r w:rsidRPr="00D83C34">
        <w:rPr>
          <w:rFonts w:hint="eastAsia"/>
          <w:kern w:val="22"/>
          <w:sz w:val="24"/>
          <w:szCs w:val="24"/>
          <w:lang w:eastAsia="zh-CN" w:bidi="th-TH"/>
        </w:rPr>
        <w:t>其他国家政府和</w:t>
      </w:r>
      <w:r>
        <w:rPr>
          <w:rFonts w:hint="eastAsia"/>
          <w:kern w:val="22"/>
          <w:sz w:val="24"/>
          <w:szCs w:val="24"/>
          <w:lang w:eastAsia="zh-CN" w:bidi="th-TH"/>
        </w:rPr>
        <w:t>相关</w:t>
      </w:r>
      <w:r w:rsidRPr="00D83C34">
        <w:rPr>
          <w:rFonts w:hint="eastAsia"/>
          <w:kern w:val="22"/>
          <w:sz w:val="24"/>
          <w:szCs w:val="24"/>
          <w:lang w:eastAsia="zh-CN" w:bidi="th-TH"/>
        </w:rPr>
        <w:t>组织</w:t>
      </w:r>
      <w:bookmarkStart w:id="199" w:name="_Hlk530732133"/>
      <w:r>
        <w:rPr>
          <w:rFonts w:hint="eastAsia"/>
          <w:kern w:val="22"/>
          <w:sz w:val="24"/>
          <w:szCs w:val="24"/>
          <w:lang w:eastAsia="zh-CN" w:bidi="th-TH"/>
        </w:rPr>
        <w:t>根据第</w:t>
      </w:r>
      <w:r w:rsidRPr="002F38F3">
        <w:rPr>
          <w:kern w:val="22"/>
          <w:sz w:val="24"/>
          <w:szCs w:val="24"/>
          <w:lang w:eastAsia="zh-CN" w:bidi="th-TH"/>
        </w:rPr>
        <w:t>XIII/31</w:t>
      </w:r>
      <w:r w:rsidRPr="002F38F3">
        <w:rPr>
          <w:kern w:val="22"/>
          <w:sz w:val="24"/>
          <w:szCs w:val="24"/>
          <w:lang w:eastAsia="zh-CN" w:bidi="th-TH"/>
        </w:rPr>
        <w:t>号决</w:t>
      </w:r>
      <w:r>
        <w:rPr>
          <w:rFonts w:hint="eastAsia"/>
          <w:kern w:val="22"/>
          <w:sz w:val="24"/>
          <w:szCs w:val="24"/>
          <w:lang w:eastAsia="zh-CN" w:bidi="th-TH"/>
        </w:rPr>
        <w:t>定第</w:t>
      </w:r>
      <w:r>
        <w:rPr>
          <w:rFonts w:hint="eastAsia"/>
          <w:kern w:val="22"/>
          <w:sz w:val="24"/>
          <w:szCs w:val="24"/>
          <w:lang w:eastAsia="zh-CN" w:bidi="th-TH"/>
        </w:rPr>
        <w:t>4</w:t>
      </w:r>
      <w:r>
        <w:rPr>
          <w:rFonts w:hint="eastAsia"/>
          <w:kern w:val="22"/>
          <w:sz w:val="24"/>
          <w:szCs w:val="24"/>
          <w:lang w:eastAsia="zh-CN" w:bidi="th-TH"/>
        </w:rPr>
        <w:t>段</w:t>
      </w:r>
      <w:bookmarkEnd w:id="199"/>
      <w:r w:rsidRPr="00D83C34">
        <w:rPr>
          <w:rFonts w:hint="eastAsia"/>
          <w:kern w:val="22"/>
          <w:sz w:val="24"/>
          <w:szCs w:val="24"/>
          <w:lang w:eastAsia="zh-CN" w:bidi="th-TH"/>
        </w:rPr>
        <w:t>进一步促进开放获取生物多样性</w:t>
      </w:r>
      <w:r>
        <w:rPr>
          <w:rFonts w:hint="eastAsia"/>
          <w:kern w:val="22"/>
          <w:sz w:val="24"/>
          <w:szCs w:val="24"/>
          <w:lang w:eastAsia="zh-CN" w:bidi="th-TH"/>
        </w:rPr>
        <w:t>相关</w:t>
      </w:r>
      <w:r w:rsidRPr="00D83C34">
        <w:rPr>
          <w:rFonts w:hint="eastAsia"/>
          <w:kern w:val="22"/>
          <w:sz w:val="24"/>
          <w:szCs w:val="24"/>
          <w:lang w:eastAsia="zh-CN" w:bidi="th-TH"/>
        </w:rPr>
        <w:t>数据，</w:t>
      </w:r>
      <w:r>
        <w:rPr>
          <w:rFonts w:hint="eastAsia"/>
          <w:kern w:val="22"/>
          <w:sz w:val="24"/>
          <w:szCs w:val="24"/>
          <w:lang w:eastAsia="zh-CN" w:bidi="th-TH"/>
        </w:rPr>
        <w:t>以</w:t>
      </w:r>
      <w:r w:rsidRPr="00D83C34">
        <w:rPr>
          <w:rFonts w:hint="eastAsia"/>
          <w:kern w:val="22"/>
          <w:sz w:val="24"/>
          <w:szCs w:val="24"/>
          <w:lang w:eastAsia="zh-CN" w:bidi="th-TH"/>
        </w:rPr>
        <w:t>促进能力建设</w:t>
      </w:r>
      <w:r>
        <w:rPr>
          <w:rFonts w:hint="eastAsia"/>
          <w:kern w:val="22"/>
          <w:sz w:val="24"/>
          <w:szCs w:val="24"/>
          <w:lang w:eastAsia="zh-CN" w:bidi="th-TH"/>
        </w:rPr>
        <w:t>和科技</w:t>
      </w:r>
      <w:r w:rsidRPr="00D83C34">
        <w:rPr>
          <w:rFonts w:hint="eastAsia"/>
          <w:kern w:val="22"/>
          <w:sz w:val="24"/>
          <w:szCs w:val="24"/>
          <w:lang w:eastAsia="zh-CN" w:bidi="th-TH"/>
        </w:rPr>
        <w:t>合作</w:t>
      </w:r>
      <w:r w:rsidRPr="00D83C34">
        <w:rPr>
          <w:kern w:val="22"/>
          <w:sz w:val="24"/>
          <w:szCs w:val="24"/>
          <w:lang w:eastAsia="zh-CN" w:bidi="th-TH"/>
        </w:rPr>
        <w:t>;</w:t>
      </w:r>
    </w:p>
    <w:p w:rsidR="00D9416A" w:rsidRPr="00D83C34" w:rsidRDefault="00D9416A" w:rsidP="00D9416A">
      <w:pPr>
        <w:pStyle w:val="Para1"/>
        <w:numPr>
          <w:ilvl w:val="0"/>
          <w:numId w:val="246"/>
        </w:numPr>
        <w:suppressLineNumbers/>
        <w:tabs>
          <w:tab w:val="clear" w:pos="360"/>
        </w:tabs>
        <w:suppressAutoHyphens/>
        <w:adjustRightInd w:val="0"/>
        <w:rPr>
          <w:kern w:val="22"/>
          <w:sz w:val="24"/>
          <w:szCs w:val="24"/>
          <w:lang w:eastAsia="zh-CN" w:bidi="th-TH"/>
        </w:rPr>
      </w:pPr>
      <w:r>
        <w:rPr>
          <w:rFonts w:eastAsia="KaiTi" w:hint="eastAsia"/>
          <w:kern w:val="22"/>
          <w:sz w:val="24"/>
          <w:szCs w:val="24"/>
          <w:lang w:eastAsia="zh-CN" w:bidi="th-TH"/>
        </w:rPr>
        <w:t>邀请</w:t>
      </w:r>
      <w:r w:rsidRPr="00D83C34">
        <w:rPr>
          <w:rFonts w:hint="eastAsia"/>
          <w:kern w:val="22"/>
          <w:sz w:val="24"/>
          <w:szCs w:val="24"/>
          <w:lang w:eastAsia="zh-CN" w:bidi="th-TH"/>
        </w:rPr>
        <w:t>发展中国家缔约方</w:t>
      </w:r>
      <w:r>
        <w:rPr>
          <w:rFonts w:hint="eastAsia"/>
          <w:kern w:val="22"/>
          <w:sz w:val="24"/>
          <w:szCs w:val="24"/>
          <w:lang w:eastAsia="zh-CN" w:bidi="th-TH"/>
        </w:rPr>
        <w:t>根据第</w:t>
      </w:r>
      <w:r w:rsidRPr="002F38F3">
        <w:rPr>
          <w:rFonts w:hint="eastAsia"/>
          <w:kern w:val="22"/>
          <w:sz w:val="24"/>
          <w:szCs w:val="24"/>
          <w:lang w:eastAsia="zh-CN" w:bidi="th-TH"/>
        </w:rPr>
        <w:t>X</w:t>
      </w:r>
      <w:r w:rsidRPr="002F38F3">
        <w:rPr>
          <w:kern w:val="22"/>
          <w:sz w:val="24"/>
          <w:szCs w:val="24"/>
          <w:lang w:eastAsia="zh-CN" w:bidi="th-TH"/>
        </w:rPr>
        <w:t>III/23</w:t>
      </w:r>
      <w:r w:rsidRPr="002F38F3">
        <w:rPr>
          <w:rFonts w:hint="eastAsia"/>
          <w:kern w:val="22"/>
          <w:sz w:val="24"/>
          <w:szCs w:val="24"/>
          <w:lang w:eastAsia="zh-CN" w:bidi="th-TH"/>
        </w:rPr>
        <w:t>号决</w:t>
      </w:r>
      <w:r>
        <w:rPr>
          <w:rFonts w:hint="eastAsia"/>
          <w:kern w:val="22"/>
          <w:sz w:val="24"/>
          <w:szCs w:val="24"/>
          <w:lang w:eastAsia="zh-CN" w:bidi="th-TH"/>
        </w:rPr>
        <w:t>定第</w:t>
      </w:r>
      <w:r w:rsidRPr="002F38F3">
        <w:rPr>
          <w:kern w:val="22"/>
          <w:sz w:val="24"/>
          <w:szCs w:val="24"/>
          <w:lang w:eastAsia="zh-CN" w:bidi="th-TH"/>
        </w:rPr>
        <w:t>6</w:t>
      </w:r>
      <w:r>
        <w:rPr>
          <w:rFonts w:hint="eastAsia"/>
          <w:kern w:val="22"/>
          <w:sz w:val="24"/>
          <w:szCs w:val="24"/>
          <w:lang w:eastAsia="zh-CN" w:bidi="th-TH"/>
        </w:rPr>
        <w:t>段查明</w:t>
      </w:r>
      <w:r w:rsidRPr="00D83C34">
        <w:rPr>
          <w:rFonts w:hint="eastAsia"/>
          <w:kern w:val="22"/>
          <w:sz w:val="24"/>
          <w:szCs w:val="24"/>
          <w:lang w:eastAsia="zh-CN" w:bidi="th-TH"/>
        </w:rPr>
        <w:t>其</w:t>
      </w:r>
      <w:r>
        <w:rPr>
          <w:rFonts w:hint="eastAsia"/>
          <w:kern w:val="22"/>
          <w:sz w:val="24"/>
          <w:szCs w:val="24"/>
          <w:lang w:eastAsia="zh-CN" w:bidi="th-TH"/>
        </w:rPr>
        <w:t>科技</w:t>
      </w:r>
      <w:r w:rsidRPr="00D83C34">
        <w:rPr>
          <w:rFonts w:hint="eastAsia"/>
          <w:kern w:val="22"/>
          <w:sz w:val="24"/>
          <w:szCs w:val="24"/>
          <w:lang w:eastAsia="zh-CN" w:bidi="th-TH"/>
        </w:rPr>
        <w:t>需求和优先事项</w:t>
      </w:r>
      <w:r>
        <w:rPr>
          <w:rFonts w:hint="eastAsia"/>
          <w:kern w:val="22"/>
          <w:sz w:val="24"/>
          <w:szCs w:val="24"/>
          <w:lang w:eastAsia="zh-CN" w:bidi="th-TH"/>
        </w:rPr>
        <w:t>，</w:t>
      </w:r>
      <w:r>
        <w:rPr>
          <w:kern w:val="22"/>
          <w:sz w:val="24"/>
          <w:szCs w:val="24"/>
          <w:lang w:eastAsia="zh-CN" w:bidi="th-TH"/>
        </w:rPr>
        <w:t>并</w:t>
      </w:r>
      <w:r>
        <w:rPr>
          <w:rFonts w:hint="eastAsia"/>
          <w:kern w:val="22"/>
          <w:sz w:val="24"/>
          <w:szCs w:val="24"/>
          <w:lang w:eastAsia="zh-CN" w:bidi="th-TH"/>
        </w:rPr>
        <w:t>向</w:t>
      </w:r>
      <w:r w:rsidRPr="00D83C34">
        <w:rPr>
          <w:rFonts w:hint="eastAsia"/>
          <w:kern w:val="22"/>
          <w:sz w:val="24"/>
          <w:szCs w:val="24"/>
          <w:lang w:eastAsia="zh-CN" w:bidi="th-TH"/>
        </w:rPr>
        <w:t>执行秘书</w:t>
      </w:r>
      <w:r>
        <w:rPr>
          <w:rFonts w:hint="eastAsia"/>
          <w:kern w:val="22"/>
          <w:sz w:val="24"/>
          <w:szCs w:val="24"/>
          <w:lang w:eastAsia="zh-CN" w:bidi="th-TH"/>
        </w:rPr>
        <w:t>作出</w:t>
      </w:r>
      <w:r>
        <w:rPr>
          <w:kern w:val="22"/>
          <w:sz w:val="24"/>
          <w:szCs w:val="24"/>
          <w:lang w:eastAsia="zh-CN" w:bidi="th-TH"/>
        </w:rPr>
        <w:t>通报</w:t>
      </w:r>
      <w:r>
        <w:rPr>
          <w:rFonts w:hint="eastAsia"/>
          <w:kern w:val="22"/>
          <w:sz w:val="24"/>
          <w:szCs w:val="24"/>
          <w:lang w:eastAsia="zh-CN" w:bidi="th-TH"/>
        </w:rPr>
        <w:t>；</w:t>
      </w:r>
    </w:p>
    <w:p w:rsidR="00D9416A" w:rsidRPr="008718DF" w:rsidRDefault="00D9416A" w:rsidP="00D9416A">
      <w:pPr>
        <w:pStyle w:val="Para1"/>
        <w:numPr>
          <w:ilvl w:val="0"/>
          <w:numId w:val="8"/>
        </w:numPr>
        <w:suppressLineNumbers/>
        <w:tabs>
          <w:tab w:val="clear" w:pos="360"/>
        </w:tabs>
        <w:suppressAutoHyphens/>
        <w:adjustRightInd w:val="0"/>
        <w:rPr>
          <w:kern w:val="22"/>
          <w:sz w:val="24"/>
          <w:szCs w:val="24"/>
          <w:lang w:eastAsia="zh-CN" w:bidi="th-TH"/>
        </w:rPr>
      </w:pPr>
      <w:r w:rsidRPr="00327AF0">
        <w:rPr>
          <w:rFonts w:ascii="KaiTi" w:eastAsia="KaiTi" w:hAnsi="KaiTi" w:hint="eastAsia"/>
          <w:kern w:val="22"/>
          <w:sz w:val="24"/>
          <w:szCs w:val="24"/>
          <w:lang w:val="zh-CN" w:eastAsia="zh-CN" w:bidi="th-TH"/>
        </w:rPr>
        <w:t>邀请</w:t>
      </w:r>
      <w:r w:rsidRPr="008718DF">
        <w:rPr>
          <w:rFonts w:hint="eastAsia"/>
          <w:kern w:val="22"/>
          <w:sz w:val="24"/>
          <w:szCs w:val="24"/>
          <w:lang w:val="zh-CN" w:eastAsia="zh-CN" w:bidi="th-TH"/>
        </w:rPr>
        <w:t>包括科学伙伴联盟在内的科技援助提供者</w:t>
      </w:r>
      <w:r>
        <w:rPr>
          <w:rFonts w:hint="eastAsia"/>
          <w:kern w:val="22"/>
          <w:sz w:val="24"/>
          <w:szCs w:val="24"/>
          <w:lang w:val="zh-CN" w:eastAsia="zh-CN" w:bidi="th-TH"/>
        </w:rPr>
        <w:t>和战略伙伴</w:t>
      </w:r>
      <w:r w:rsidRPr="008718DF">
        <w:rPr>
          <w:rFonts w:hint="eastAsia"/>
          <w:kern w:val="22"/>
          <w:sz w:val="24"/>
          <w:szCs w:val="24"/>
          <w:lang w:val="zh-CN" w:eastAsia="zh-CN" w:bidi="th-TH"/>
        </w:rPr>
        <w:t>通过</w:t>
      </w:r>
      <w:r w:rsidRPr="008718DF">
        <w:rPr>
          <w:rFonts w:hint="eastAsia"/>
          <w:kern w:val="22"/>
          <w:sz w:val="24"/>
          <w:szCs w:val="24"/>
          <w:lang w:eastAsia="zh-CN" w:bidi="th-TH"/>
        </w:rPr>
        <w:t>信息交换所机制</w:t>
      </w:r>
      <w:r w:rsidRPr="008718DF">
        <w:rPr>
          <w:rFonts w:hint="eastAsia"/>
          <w:kern w:val="22"/>
          <w:sz w:val="24"/>
          <w:szCs w:val="24"/>
          <w:lang w:val="zh-CN" w:eastAsia="zh-CN" w:bidi="th-TH"/>
        </w:rPr>
        <w:t>向执行秘书提交</w:t>
      </w:r>
      <w:r>
        <w:rPr>
          <w:rFonts w:hint="eastAsia"/>
          <w:kern w:val="22"/>
          <w:sz w:val="24"/>
          <w:szCs w:val="24"/>
          <w:lang w:val="zh-CN" w:eastAsia="zh-CN" w:bidi="th-TH"/>
        </w:rPr>
        <w:t>其</w:t>
      </w:r>
      <w:r w:rsidRPr="008718DF">
        <w:rPr>
          <w:rFonts w:hint="eastAsia"/>
          <w:kern w:val="22"/>
          <w:sz w:val="24"/>
          <w:szCs w:val="24"/>
          <w:lang w:val="zh-CN" w:eastAsia="zh-CN" w:bidi="th-TH"/>
        </w:rPr>
        <w:t>能向其他缔约方提供的优先主题、地理覆盖范围和服务类型</w:t>
      </w:r>
      <w:r w:rsidRPr="008718DF">
        <w:rPr>
          <w:rFonts w:hint="eastAsia"/>
          <w:kern w:val="22"/>
          <w:sz w:val="24"/>
          <w:szCs w:val="24"/>
          <w:lang w:eastAsia="zh-CN" w:bidi="th-TH"/>
        </w:rPr>
        <w:t>；</w:t>
      </w:r>
    </w:p>
    <w:p w:rsidR="00D9416A" w:rsidRDefault="00D9416A" w:rsidP="00D9416A">
      <w:pPr>
        <w:pStyle w:val="Para1"/>
        <w:numPr>
          <w:ilvl w:val="0"/>
          <w:numId w:val="8"/>
        </w:numPr>
        <w:suppressLineNumbers/>
        <w:tabs>
          <w:tab w:val="clear" w:pos="360"/>
        </w:tabs>
        <w:suppressAutoHyphens/>
        <w:adjustRightInd w:val="0"/>
        <w:rPr>
          <w:kern w:val="22"/>
          <w:sz w:val="24"/>
          <w:szCs w:val="24"/>
          <w:lang w:eastAsia="zh-CN" w:bidi="th-TH"/>
        </w:rPr>
      </w:pPr>
      <w:r w:rsidRPr="00327AF0">
        <w:rPr>
          <w:rFonts w:ascii="KaiTi" w:eastAsia="KaiTi" w:hAnsi="KaiTi" w:hint="eastAsia"/>
          <w:kern w:val="22"/>
          <w:sz w:val="24"/>
          <w:szCs w:val="24"/>
          <w:lang w:val="zh-CN" w:eastAsia="zh-CN" w:bidi="th-TH"/>
        </w:rPr>
        <w:t>决定</w:t>
      </w:r>
      <w:r w:rsidRPr="008718DF">
        <w:rPr>
          <w:rFonts w:hint="eastAsia"/>
          <w:kern w:val="22"/>
          <w:sz w:val="24"/>
          <w:szCs w:val="24"/>
          <w:lang w:val="zh-CN" w:eastAsia="zh-CN" w:bidi="th-TH"/>
        </w:rPr>
        <w:t>考虑在第十五届会议设立</w:t>
      </w:r>
      <w:r>
        <w:rPr>
          <w:rFonts w:hint="eastAsia"/>
          <w:kern w:val="22"/>
          <w:sz w:val="24"/>
          <w:szCs w:val="24"/>
          <w:lang w:val="zh-CN" w:eastAsia="zh-CN" w:bidi="th-TH"/>
        </w:rPr>
        <w:t>科技</w:t>
      </w:r>
      <w:r w:rsidRPr="008718DF">
        <w:rPr>
          <w:rFonts w:hint="eastAsia"/>
          <w:kern w:val="22"/>
          <w:sz w:val="24"/>
          <w:szCs w:val="24"/>
          <w:lang w:val="zh-CN" w:eastAsia="zh-CN" w:bidi="th-TH"/>
        </w:rPr>
        <w:t>合作</w:t>
      </w:r>
      <w:r>
        <w:rPr>
          <w:rFonts w:hint="eastAsia"/>
          <w:kern w:val="22"/>
          <w:sz w:val="24"/>
          <w:szCs w:val="24"/>
          <w:lang w:val="zh-CN" w:eastAsia="zh-CN" w:bidi="th-TH"/>
        </w:rPr>
        <w:t>问题</w:t>
      </w:r>
      <w:r w:rsidRPr="008718DF">
        <w:rPr>
          <w:rFonts w:hint="eastAsia"/>
          <w:kern w:val="22"/>
          <w:sz w:val="24"/>
          <w:szCs w:val="24"/>
          <w:lang w:val="zh-CN" w:eastAsia="zh-CN" w:bidi="th-TH"/>
        </w:rPr>
        <w:t>非正式咨询委员会</w:t>
      </w:r>
      <w:r w:rsidRPr="008718DF">
        <w:rPr>
          <w:rFonts w:hint="eastAsia"/>
          <w:kern w:val="22"/>
          <w:sz w:val="24"/>
          <w:szCs w:val="24"/>
          <w:lang w:eastAsia="zh-CN" w:bidi="th-TH"/>
        </w:rPr>
        <w:t>，</w:t>
      </w:r>
      <w:r w:rsidRPr="008718DF">
        <w:rPr>
          <w:rFonts w:hint="eastAsia"/>
          <w:kern w:val="22"/>
          <w:sz w:val="24"/>
          <w:szCs w:val="24"/>
          <w:lang w:val="zh-CN" w:eastAsia="zh-CN" w:bidi="th-TH"/>
        </w:rPr>
        <w:t>在</w:t>
      </w:r>
      <w:r w:rsidRPr="008718DF">
        <w:rPr>
          <w:kern w:val="22"/>
          <w:sz w:val="24"/>
          <w:szCs w:val="24"/>
          <w:lang w:eastAsia="zh-CN" w:bidi="th-TH"/>
        </w:rPr>
        <w:t>2020</w:t>
      </w:r>
      <w:r w:rsidRPr="008718DF">
        <w:rPr>
          <w:rFonts w:hint="eastAsia"/>
          <w:kern w:val="22"/>
          <w:sz w:val="24"/>
          <w:szCs w:val="24"/>
          <w:lang w:val="zh-CN" w:eastAsia="zh-CN" w:bidi="th-TH"/>
        </w:rPr>
        <w:t>年信息交换所机制非正式咨询委员会任务结束时开始运作</w:t>
      </w:r>
      <w:r w:rsidRPr="008718DF">
        <w:rPr>
          <w:rFonts w:hint="eastAsia"/>
          <w:kern w:val="22"/>
          <w:sz w:val="24"/>
          <w:szCs w:val="24"/>
          <w:lang w:eastAsia="zh-CN" w:bidi="th-TH"/>
        </w:rPr>
        <w:t>，</w:t>
      </w:r>
      <w:r w:rsidRPr="008718DF">
        <w:rPr>
          <w:rFonts w:hint="eastAsia"/>
          <w:kern w:val="22"/>
          <w:sz w:val="24"/>
          <w:szCs w:val="24"/>
          <w:lang w:val="zh-CN" w:eastAsia="zh-CN" w:bidi="th-TH"/>
        </w:rPr>
        <w:t>向执行秘书提供关于促进</w:t>
      </w:r>
      <w:r>
        <w:rPr>
          <w:rFonts w:hint="eastAsia"/>
          <w:kern w:val="22"/>
          <w:sz w:val="24"/>
          <w:szCs w:val="24"/>
          <w:lang w:val="zh-CN" w:eastAsia="zh-CN" w:bidi="th-TH"/>
        </w:rPr>
        <w:t>科技</w:t>
      </w:r>
      <w:r w:rsidRPr="008718DF">
        <w:rPr>
          <w:rFonts w:hint="eastAsia"/>
          <w:kern w:val="22"/>
          <w:sz w:val="24"/>
          <w:szCs w:val="24"/>
          <w:lang w:val="zh-CN" w:eastAsia="zh-CN" w:bidi="th-TH"/>
        </w:rPr>
        <w:t>合作有效执行《公约》的实际措施、工具和机会的咨询意见</w:t>
      </w:r>
      <w:r w:rsidRPr="008718DF">
        <w:rPr>
          <w:rFonts w:hint="eastAsia"/>
          <w:kern w:val="22"/>
          <w:sz w:val="24"/>
          <w:szCs w:val="24"/>
          <w:lang w:eastAsia="zh-CN" w:bidi="th-TH"/>
        </w:rPr>
        <w:t>；</w:t>
      </w:r>
    </w:p>
    <w:p w:rsidR="00D9416A" w:rsidRDefault="00D9416A" w:rsidP="00D9416A">
      <w:pPr>
        <w:pStyle w:val="Para1"/>
        <w:numPr>
          <w:ilvl w:val="0"/>
          <w:numId w:val="8"/>
        </w:numPr>
        <w:suppressLineNumbers/>
        <w:tabs>
          <w:tab w:val="clear" w:pos="360"/>
        </w:tabs>
        <w:suppressAutoHyphens/>
        <w:adjustRightInd w:val="0"/>
        <w:rPr>
          <w:kern w:val="22"/>
          <w:sz w:val="24"/>
          <w:szCs w:val="24"/>
          <w:lang w:eastAsia="zh-CN" w:bidi="th-TH"/>
        </w:rPr>
      </w:pPr>
      <w:r w:rsidRPr="00655E28">
        <w:rPr>
          <w:rFonts w:eastAsia="KaiTi" w:hint="eastAsia"/>
          <w:kern w:val="22"/>
          <w:sz w:val="24"/>
          <w:szCs w:val="24"/>
          <w:lang w:eastAsia="zh-CN" w:bidi="th-TH"/>
        </w:rPr>
        <w:t>请</w:t>
      </w:r>
      <w:r w:rsidRPr="00655E28">
        <w:rPr>
          <w:rFonts w:hint="eastAsia"/>
          <w:kern w:val="22"/>
          <w:sz w:val="24"/>
          <w:szCs w:val="24"/>
          <w:lang w:eastAsia="zh-CN" w:bidi="th-TH"/>
        </w:rPr>
        <w:t>执行秘书根据</w:t>
      </w:r>
      <w:r>
        <w:rPr>
          <w:rFonts w:hint="eastAsia"/>
          <w:kern w:val="22"/>
          <w:sz w:val="24"/>
          <w:szCs w:val="24"/>
          <w:lang w:eastAsia="zh-CN" w:bidi="th-TH"/>
        </w:rPr>
        <w:t>《</w:t>
      </w:r>
      <w:r w:rsidRPr="00655E28">
        <w:rPr>
          <w:rFonts w:hint="eastAsia"/>
          <w:kern w:val="22"/>
          <w:sz w:val="24"/>
          <w:szCs w:val="24"/>
          <w:lang w:eastAsia="zh-CN" w:bidi="th-TH"/>
        </w:rPr>
        <w:t>公约</w:t>
      </w:r>
      <w:r>
        <w:rPr>
          <w:rFonts w:hint="eastAsia"/>
          <w:kern w:val="22"/>
          <w:sz w:val="24"/>
          <w:szCs w:val="24"/>
          <w:lang w:eastAsia="zh-CN" w:bidi="th-TH"/>
        </w:rPr>
        <w:t>》</w:t>
      </w:r>
      <w:r w:rsidRPr="00655E28">
        <w:rPr>
          <w:rFonts w:hint="eastAsia"/>
          <w:kern w:val="22"/>
          <w:sz w:val="24"/>
          <w:szCs w:val="24"/>
          <w:lang w:eastAsia="zh-CN" w:bidi="th-TH"/>
        </w:rPr>
        <w:t>第</w:t>
      </w:r>
      <w:r w:rsidRPr="00655E28">
        <w:rPr>
          <w:kern w:val="22"/>
          <w:sz w:val="24"/>
          <w:szCs w:val="24"/>
          <w:lang w:eastAsia="zh-CN" w:bidi="th-TH"/>
        </w:rPr>
        <w:t>18</w:t>
      </w:r>
      <w:r w:rsidRPr="00655E28">
        <w:rPr>
          <w:rFonts w:hint="eastAsia"/>
          <w:kern w:val="22"/>
          <w:sz w:val="24"/>
          <w:szCs w:val="24"/>
          <w:lang w:eastAsia="zh-CN" w:bidi="th-TH"/>
        </w:rPr>
        <w:t>条，在</w:t>
      </w:r>
      <w:r>
        <w:rPr>
          <w:rFonts w:hint="eastAsia"/>
          <w:kern w:val="22"/>
          <w:sz w:val="24"/>
          <w:szCs w:val="24"/>
          <w:lang w:eastAsia="zh-CN" w:bidi="th-TH"/>
        </w:rPr>
        <w:t>信息</w:t>
      </w:r>
      <w:r w:rsidRPr="00655E28">
        <w:rPr>
          <w:rFonts w:hint="eastAsia"/>
          <w:kern w:val="22"/>
          <w:sz w:val="24"/>
          <w:szCs w:val="24"/>
          <w:lang w:eastAsia="zh-CN" w:bidi="th-TH"/>
        </w:rPr>
        <w:t>交换所机制非正式咨询委员会</w:t>
      </w:r>
      <w:r>
        <w:rPr>
          <w:rFonts w:hint="eastAsia"/>
          <w:kern w:val="22"/>
          <w:sz w:val="24"/>
          <w:szCs w:val="24"/>
          <w:lang w:eastAsia="zh-CN" w:bidi="th-TH"/>
        </w:rPr>
        <w:t>的本</w:t>
      </w:r>
      <w:r w:rsidRPr="00655E28">
        <w:rPr>
          <w:rFonts w:hint="eastAsia"/>
          <w:kern w:val="22"/>
          <w:sz w:val="24"/>
          <w:szCs w:val="24"/>
          <w:lang w:eastAsia="zh-CN" w:bidi="th-TH"/>
        </w:rPr>
        <w:t>任务期间</w:t>
      </w:r>
      <w:r>
        <w:rPr>
          <w:rFonts w:hint="eastAsia"/>
          <w:kern w:val="22"/>
          <w:sz w:val="24"/>
          <w:szCs w:val="24"/>
          <w:lang w:eastAsia="zh-CN" w:bidi="th-TH"/>
        </w:rPr>
        <w:t>内</w:t>
      </w:r>
      <w:r w:rsidRPr="00655E28">
        <w:rPr>
          <w:rFonts w:hint="eastAsia"/>
          <w:kern w:val="22"/>
          <w:sz w:val="24"/>
          <w:szCs w:val="24"/>
          <w:lang w:eastAsia="zh-CN" w:bidi="th-TH"/>
        </w:rPr>
        <w:t>，就</w:t>
      </w:r>
      <w:r>
        <w:rPr>
          <w:rFonts w:hint="eastAsia"/>
          <w:kern w:val="22"/>
          <w:sz w:val="24"/>
          <w:szCs w:val="24"/>
          <w:lang w:eastAsia="zh-CN" w:bidi="th-TH"/>
        </w:rPr>
        <w:t>科技</w:t>
      </w:r>
      <w:r w:rsidRPr="00655E28">
        <w:rPr>
          <w:rFonts w:hint="eastAsia"/>
          <w:kern w:val="22"/>
          <w:sz w:val="24"/>
          <w:szCs w:val="24"/>
          <w:lang w:eastAsia="zh-CN" w:bidi="th-TH"/>
        </w:rPr>
        <w:t>合作</w:t>
      </w:r>
      <w:r>
        <w:rPr>
          <w:rFonts w:hint="eastAsia"/>
          <w:kern w:val="22"/>
          <w:sz w:val="24"/>
          <w:szCs w:val="24"/>
          <w:lang w:eastAsia="zh-CN" w:bidi="th-TH"/>
        </w:rPr>
        <w:t>事宜向该</w:t>
      </w:r>
      <w:r w:rsidRPr="00655E28">
        <w:rPr>
          <w:rFonts w:hint="eastAsia"/>
          <w:kern w:val="22"/>
          <w:sz w:val="24"/>
          <w:szCs w:val="24"/>
          <w:lang w:eastAsia="zh-CN" w:bidi="th-TH"/>
        </w:rPr>
        <w:t>委员会征求</w:t>
      </w:r>
      <w:r>
        <w:rPr>
          <w:rFonts w:hint="eastAsia"/>
          <w:kern w:val="22"/>
          <w:sz w:val="24"/>
          <w:szCs w:val="24"/>
          <w:lang w:eastAsia="zh-CN" w:bidi="th-TH"/>
        </w:rPr>
        <w:t>咨询</w:t>
      </w:r>
      <w:r w:rsidRPr="00655E28">
        <w:rPr>
          <w:rFonts w:hint="eastAsia"/>
          <w:kern w:val="22"/>
          <w:sz w:val="24"/>
          <w:szCs w:val="24"/>
          <w:lang w:eastAsia="zh-CN" w:bidi="th-TH"/>
        </w:rPr>
        <w:t>意见</w:t>
      </w:r>
      <w:r>
        <w:rPr>
          <w:rFonts w:hint="eastAsia"/>
          <w:kern w:val="22"/>
          <w:sz w:val="24"/>
          <w:szCs w:val="24"/>
          <w:lang w:eastAsia="zh-CN" w:bidi="th-TH"/>
        </w:rPr>
        <w:t>；</w:t>
      </w:r>
    </w:p>
    <w:p w:rsidR="00D9416A" w:rsidRPr="008718DF" w:rsidRDefault="00D9416A" w:rsidP="00D9416A">
      <w:pPr>
        <w:pStyle w:val="Para1"/>
        <w:numPr>
          <w:ilvl w:val="0"/>
          <w:numId w:val="8"/>
        </w:numPr>
        <w:suppressLineNumbers/>
        <w:tabs>
          <w:tab w:val="clear" w:pos="360"/>
        </w:tabs>
        <w:suppressAutoHyphens/>
        <w:adjustRightInd w:val="0"/>
        <w:rPr>
          <w:kern w:val="22"/>
          <w:sz w:val="24"/>
          <w:szCs w:val="24"/>
          <w:lang w:eastAsia="zh-CN" w:bidi="th-TH"/>
        </w:rPr>
      </w:pPr>
      <w:r w:rsidRPr="00A07A5E">
        <w:rPr>
          <w:rFonts w:ascii="KaiTi" w:eastAsia="KaiTi" w:hAnsi="KaiTi"/>
          <w:kern w:val="22"/>
          <w:sz w:val="24"/>
          <w:szCs w:val="24"/>
          <w:lang w:val="zh-CN" w:eastAsia="zh-CN" w:bidi="th-TH"/>
        </w:rPr>
        <w:lastRenderedPageBreak/>
        <w:t>表示注意到</w:t>
      </w:r>
      <w:r w:rsidRPr="00B74FE9">
        <w:rPr>
          <w:rFonts w:hint="eastAsia"/>
          <w:kern w:val="22"/>
          <w:sz w:val="24"/>
          <w:szCs w:val="24"/>
          <w:lang w:eastAsia="zh-CN" w:bidi="th-TH"/>
        </w:rPr>
        <w:t>可以通过区域生物桥倡议圆桌会议</w:t>
      </w:r>
      <w:r w:rsidRPr="00A07A5E">
        <w:rPr>
          <w:rStyle w:val="FootnoteReference"/>
          <w:kern w:val="22"/>
          <w:sz w:val="24"/>
          <w:szCs w:val="24"/>
          <w:vertAlign w:val="superscript"/>
          <w:lang w:bidi="th-TH"/>
        </w:rPr>
        <w:footnoteReference w:id="279"/>
      </w:r>
      <w:r w:rsidRPr="00A07A5E">
        <w:rPr>
          <w:kern w:val="22"/>
          <w:sz w:val="24"/>
          <w:szCs w:val="24"/>
          <w:vertAlign w:val="superscript"/>
          <w:lang w:eastAsia="zh-CN" w:bidi="th-TH"/>
        </w:rPr>
        <w:t xml:space="preserve"> </w:t>
      </w:r>
      <w:r w:rsidRPr="00B74FE9">
        <w:rPr>
          <w:rFonts w:hint="eastAsia"/>
          <w:kern w:val="22"/>
          <w:sz w:val="24"/>
          <w:szCs w:val="24"/>
          <w:lang w:eastAsia="zh-CN" w:bidi="th-TH"/>
        </w:rPr>
        <w:t>期间确定的技术和科学合作解决的关键需求和优先事项，并</w:t>
      </w:r>
      <w:r w:rsidRPr="00A07A5E">
        <w:rPr>
          <w:rFonts w:ascii="KaiTi" w:eastAsia="KaiTi" w:hAnsi="KaiTi" w:hint="eastAsia"/>
          <w:kern w:val="22"/>
          <w:sz w:val="24"/>
          <w:szCs w:val="24"/>
          <w:lang w:val="zh-CN" w:eastAsia="zh-CN" w:bidi="th-TH"/>
        </w:rPr>
        <w:t>请</w:t>
      </w:r>
      <w:r w:rsidRPr="00B74FE9">
        <w:rPr>
          <w:rFonts w:hint="eastAsia"/>
          <w:kern w:val="22"/>
          <w:sz w:val="24"/>
          <w:szCs w:val="24"/>
          <w:lang w:eastAsia="zh-CN" w:bidi="th-TH"/>
        </w:rPr>
        <w:t>执行秘书与合作伙伴合作</w:t>
      </w:r>
      <w:r>
        <w:rPr>
          <w:rFonts w:hint="eastAsia"/>
          <w:kern w:val="22"/>
          <w:sz w:val="24"/>
          <w:szCs w:val="24"/>
          <w:lang w:eastAsia="zh-CN" w:bidi="th-TH"/>
        </w:rPr>
        <w:t>，</w:t>
      </w:r>
      <w:r w:rsidRPr="00B74FE9">
        <w:rPr>
          <w:rFonts w:hint="eastAsia"/>
          <w:kern w:val="22"/>
          <w:sz w:val="24"/>
          <w:szCs w:val="24"/>
          <w:lang w:eastAsia="zh-CN" w:bidi="th-TH"/>
        </w:rPr>
        <w:t>在资源允许的情况下</w:t>
      </w:r>
      <w:r>
        <w:rPr>
          <w:rFonts w:hint="eastAsia"/>
          <w:kern w:val="22"/>
          <w:sz w:val="24"/>
          <w:szCs w:val="24"/>
          <w:lang w:eastAsia="zh-CN" w:bidi="th-TH"/>
        </w:rPr>
        <w:t>，</w:t>
      </w:r>
      <w:r w:rsidRPr="00B74FE9">
        <w:rPr>
          <w:rFonts w:hint="eastAsia"/>
          <w:kern w:val="22"/>
          <w:sz w:val="24"/>
          <w:szCs w:val="24"/>
          <w:lang w:eastAsia="zh-CN" w:bidi="th-TH"/>
        </w:rPr>
        <w:t>促进</w:t>
      </w:r>
      <w:r w:rsidRPr="00B74FE9">
        <w:rPr>
          <w:rFonts w:hint="eastAsia"/>
          <w:kern w:val="22"/>
          <w:sz w:val="24"/>
          <w:szCs w:val="24"/>
          <w:lang w:eastAsia="zh-CN" w:bidi="th-TH"/>
        </w:rPr>
        <w:t xml:space="preserve"> </w:t>
      </w:r>
      <w:r w:rsidRPr="00B74FE9">
        <w:rPr>
          <w:rFonts w:hint="eastAsia"/>
          <w:kern w:val="22"/>
          <w:sz w:val="24"/>
          <w:szCs w:val="24"/>
          <w:lang w:eastAsia="zh-CN" w:bidi="th-TH"/>
        </w:rPr>
        <w:t>合作举措以满足所确定的需求</w:t>
      </w:r>
      <w:r>
        <w:rPr>
          <w:rFonts w:hint="eastAsia"/>
          <w:kern w:val="22"/>
          <w:sz w:val="24"/>
          <w:szCs w:val="24"/>
          <w:lang w:eastAsia="zh-CN" w:bidi="th-TH"/>
        </w:rPr>
        <w:t>；</w:t>
      </w:r>
    </w:p>
    <w:p w:rsidR="00D9416A" w:rsidRDefault="00D9416A" w:rsidP="00D9416A">
      <w:pPr>
        <w:pStyle w:val="Para1"/>
        <w:numPr>
          <w:ilvl w:val="0"/>
          <w:numId w:val="8"/>
        </w:numPr>
        <w:suppressLineNumbers/>
        <w:tabs>
          <w:tab w:val="clear" w:pos="360"/>
        </w:tabs>
        <w:suppressAutoHyphens/>
        <w:adjustRightInd w:val="0"/>
        <w:rPr>
          <w:kern w:val="22"/>
          <w:sz w:val="24"/>
          <w:szCs w:val="24"/>
          <w:lang w:eastAsia="zh-CN" w:bidi="th-TH"/>
        </w:rPr>
      </w:pPr>
      <w:r>
        <w:rPr>
          <w:rFonts w:ascii="KaiTi" w:eastAsia="KaiTi" w:hAnsi="KaiTi" w:hint="eastAsia"/>
          <w:kern w:val="22"/>
          <w:sz w:val="24"/>
          <w:szCs w:val="24"/>
          <w:lang w:val="zh-CN" w:eastAsia="zh-CN" w:bidi="th-TH"/>
        </w:rPr>
        <w:t>又</w:t>
      </w:r>
      <w:r w:rsidRPr="00327AF0">
        <w:rPr>
          <w:rFonts w:ascii="KaiTi" w:eastAsia="KaiTi" w:hAnsi="KaiTi" w:hint="eastAsia"/>
          <w:kern w:val="22"/>
          <w:sz w:val="24"/>
          <w:szCs w:val="24"/>
          <w:lang w:val="zh-CN" w:eastAsia="zh-CN" w:bidi="th-TH"/>
        </w:rPr>
        <w:t>请</w:t>
      </w:r>
      <w:r w:rsidRPr="008718DF">
        <w:rPr>
          <w:rFonts w:hint="eastAsia"/>
          <w:kern w:val="22"/>
          <w:sz w:val="24"/>
          <w:szCs w:val="24"/>
          <w:lang w:val="zh-CN" w:eastAsia="zh-CN" w:bidi="th-TH"/>
        </w:rPr>
        <w:t>执行秘书与合作伙伴协作</w:t>
      </w:r>
      <w:r w:rsidRPr="008718DF">
        <w:rPr>
          <w:rFonts w:hint="eastAsia"/>
          <w:kern w:val="22"/>
          <w:sz w:val="24"/>
          <w:szCs w:val="24"/>
          <w:lang w:eastAsia="zh-CN" w:bidi="th-TH"/>
        </w:rPr>
        <w:t>，</w:t>
      </w:r>
      <w:r w:rsidRPr="008718DF">
        <w:rPr>
          <w:rFonts w:hint="eastAsia"/>
          <w:kern w:val="22"/>
          <w:sz w:val="24"/>
          <w:szCs w:val="24"/>
          <w:lang w:val="zh-CN" w:eastAsia="zh-CN" w:bidi="th-TH"/>
        </w:rPr>
        <w:t>在资源允许的情况下</w:t>
      </w:r>
      <w:r w:rsidRPr="008718DF">
        <w:rPr>
          <w:rFonts w:hint="eastAsia"/>
          <w:kern w:val="22"/>
          <w:sz w:val="24"/>
          <w:szCs w:val="24"/>
          <w:lang w:eastAsia="zh-CN" w:bidi="th-TH"/>
        </w:rPr>
        <w:t>，</w:t>
      </w:r>
      <w:r w:rsidRPr="008718DF">
        <w:rPr>
          <w:rFonts w:hint="eastAsia"/>
          <w:kern w:val="22"/>
          <w:sz w:val="24"/>
          <w:szCs w:val="24"/>
          <w:lang w:val="zh-CN" w:eastAsia="zh-CN" w:bidi="th-TH"/>
        </w:rPr>
        <w:t>进一步促进和便利</w:t>
      </w:r>
      <w:r>
        <w:rPr>
          <w:rFonts w:hint="eastAsia"/>
          <w:kern w:val="22"/>
          <w:sz w:val="24"/>
          <w:szCs w:val="24"/>
          <w:lang w:val="zh-CN" w:eastAsia="zh-CN" w:bidi="th-TH"/>
        </w:rPr>
        <w:t>科技</w:t>
      </w:r>
      <w:r w:rsidRPr="008718DF">
        <w:rPr>
          <w:rFonts w:hint="eastAsia"/>
          <w:kern w:val="22"/>
          <w:sz w:val="24"/>
          <w:szCs w:val="24"/>
          <w:lang w:val="zh-CN" w:eastAsia="zh-CN" w:bidi="th-TH"/>
        </w:rPr>
        <w:t>合作</w:t>
      </w:r>
      <w:r w:rsidRPr="008718DF">
        <w:rPr>
          <w:rFonts w:hint="eastAsia"/>
          <w:kern w:val="22"/>
          <w:sz w:val="24"/>
          <w:szCs w:val="24"/>
          <w:lang w:eastAsia="zh-CN" w:bidi="th-TH"/>
        </w:rPr>
        <w:t>，特别是</w:t>
      </w:r>
      <w:r>
        <w:rPr>
          <w:rFonts w:hint="eastAsia"/>
          <w:kern w:val="22"/>
          <w:sz w:val="24"/>
          <w:szCs w:val="24"/>
          <w:lang w:eastAsia="zh-CN" w:bidi="th-TH"/>
        </w:rPr>
        <w:t>在</w:t>
      </w:r>
      <w:r w:rsidRPr="008718DF">
        <w:rPr>
          <w:rFonts w:hint="eastAsia"/>
          <w:kern w:val="22"/>
          <w:sz w:val="24"/>
          <w:szCs w:val="24"/>
          <w:lang w:eastAsia="zh-CN" w:bidi="th-TH"/>
        </w:rPr>
        <w:t>全球生物分类</w:t>
      </w:r>
      <w:r>
        <w:rPr>
          <w:rFonts w:hint="eastAsia"/>
          <w:kern w:val="22"/>
          <w:sz w:val="24"/>
          <w:szCs w:val="24"/>
          <w:lang w:eastAsia="zh-CN" w:bidi="th-TH"/>
        </w:rPr>
        <w:t>学</w:t>
      </w:r>
      <w:r w:rsidRPr="008718DF">
        <w:rPr>
          <w:rFonts w:hint="eastAsia"/>
          <w:kern w:val="22"/>
          <w:sz w:val="24"/>
          <w:szCs w:val="24"/>
          <w:lang w:eastAsia="zh-CN" w:bidi="th-TH"/>
        </w:rPr>
        <w:t>倡议</w:t>
      </w:r>
      <w:r>
        <w:rPr>
          <w:rFonts w:hint="eastAsia"/>
          <w:kern w:val="22"/>
          <w:sz w:val="24"/>
          <w:szCs w:val="24"/>
          <w:lang w:eastAsia="zh-CN" w:bidi="th-TH"/>
        </w:rPr>
        <w:t>范围内</w:t>
      </w:r>
      <w:r w:rsidRPr="008718DF">
        <w:rPr>
          <w:rFonts w:hint="eastAsia"/>
          <w:kern w:val="22"/>
          <w:sz w:val="24"/>
          <w:szCs w:val="24"/>
          <w:lang w:eastAsia="zh-CN" w:bidi="th-TH"/>
        </w:rPr>
        <w:t>促进</w:t>
      </w:r>
      <w:r>
        <w:rPr>
          <w:rFonts w:hint="eastAsia"/>
          <w:kern w:val="22"/>
          <w:sz w:val="24"/>
          <w:szCs w:val="24"/>
          <w:lang w:eastAsia="zh-CN" w:bidi="th-TH"/>
        </w:rPr>
        <w:t>遥感、情景分析和制模、生物多样性和生态系统功能和服务的价值、</w:t>
      </w:r>
      <w:r w:rsidRPr="008718DF">
        <w:rPr>
          <w:kern w:val="22"/>
          <w:sz w:val="24"/>
          <w:szCs w:val="24"/>
          <w:lang w:eastAsia="zh-CN" w:bidi="th-TH"/>
        </w:rPr>
        <w:t>DNA</w:t>
      </w:r>
      <w:r w:rsidRPr="008718DF">
        <w:rPr>
          <w:rFonts w:hint="eastAsia"/>
          <w:kern w:val="22"/>
          <w:sz w:val="24"/>
          <w:szCs w:val="24"/>
          <w:lang w:eastAsia="zh-CN" w:bidi="th-TH"/>
        </w:rPr>
        <w:t>技术培训</w:t>
      </w:r>
      <w:r>
        <w:rPr>
          <w:rFonts w:hint="eastAsia"/>
          <w:kern w:val="22"/>
          <w:sz w:val="24"/>
          <w:szCs w:val="24"/>
          <w:lang w:eastAsia="zh-CN" w:bidi="th-TH"/>
        </w:rPr>
        <w:t>等领域的</w:t>
      </w:r>
      <w:r w:rsidRPr="008718DF">
        <w:rPr>
          <w:rFonts w:hint="eastAsia"/>
          <w:kern w:val="22"/>
          <w:sz w:val="24"/>
          <w:szCs w:val="24"/>
          <w:lang w:eastAsia="zh-CN" w:bidi="th-TH"/>
        </w:rPr>
        <w:t>合作，例如用于有关国家和区域快速识别物种的</w:t>
      </w:r>
      <w:r w:rsidRPr="008718DF">
        <w:rPr>
          <w:kern w:val="22"/>
          <w:sz w:val="24"/>
          <w:szCs w:val="24"/>
          <w:lang w:eastAsia="zh-CN" w:bidi="th-TH"/>
        </w:rPr>
        <w:t xml:space="preserve"> DNA</w:t>
      </w:r>
      <w:r w:rsidRPr="008718DF">
        <w:rPr>
          <w:rFonts w:hint="eastAsia"/>
          <w:kern w:val="22"/>
          <w:sz w:val="24"/>
          <w:szCs w:val="24"/>
          <w:lang w:eastAsia="zh-CN" w:bidi="th-TH"/>
        </w:rPr>
        <w:t>条形码，以及通过</w:t>
      </w:r>
      <w:bookmarkStart w:id="200" w:name="_Hlk530733560"/>
      <w:r w:rsidRPr="008718DF">
        <w:rPr>
          <w:rFonts w:hint="eastAsia"/>
          <w:kern w:val="22"/>
          <w:sz w:val="24"/>
          <w:szCs w:val="24"/>
          <w:lang w:eastAsia="zh-CN" w:bidi="th-TH"/>
        </w:rPr>
        <w:t>生物桥倡议</w:t>
      </w:r>
      <w:bookmarkEnd w:id="200"/>
      <w:r w:rsidRPr="008718DF">
        <w:rPr>
          <w:rFonts w:hint="eastAsia"/>
          <w:kern w:val="22"/>
          <w:sz w:val="24"/>
          <w:szCs w:val="24"/>
          <w:lang w:eastAsia="zh-CN" w:bidi="th-TH"/>
        </w:rPr>
        <w:t>促进合作，</w:t>
      </w:r>
      <w:r w:rsidRPr="008718DF">
        <w:rPr>
          <w:rFonts w:hint="eastAsia"/>
          <w:kern w:val="22"/>
          <w:sz w:val="24"/>
          <w:szCs w:val="24"/>
          <w:lang w:val="zh-CN" w:eastAsia="zh-CN" w:bidi="th-TH"/>
        </w:rPr>
        <w:t>并提交进度报告</w:t>
      </w:r>
      <w:r w:rsidRPr="008718DF">
        <w:rPr>
          <w:rFonts w:hint="eastAsia"/>
          <w:kern w:val="22"/>
          <w:sz w:val="24"/>
          <w:szCs w:val="24"/>
          <w:lang w:eastAsia="zh-CN" w:bidi="th-TH"/>
        </w:rPr>
        <w:t>，</w:t>
      </w:r>
      <w:r w:rsidRPr="008718DF">
        <w:rPr>
          <w:rFonts w:hint="eastAsia"/>
          <w:kern w:val="22"/>
          <w:sz w:val="24"/>
          <w:szCs w:val="24"/>
          <w:lang w:val="zh-CN" w:eastAsia="zh-CN" w:bidi="th-TH"/>
        </w:rPr>
        <w:t>供执行问题附属机构第三次会议和缔约方大会第十五届会议审议</w:t>
      </w:r>
      <w:r w:rsidRPr="008718DF">
        <w:rPr>
          <w:rFonts w:hint="eastAsia"/>
          <w:kern w:val="22"/>
          <w:sz w:val="24"/>
          <w:szCs w:val="24"/>
          <w:lang w:eastAsia="zh-CN" w:bidi="th-TH"/>
        </w:rPr>
        <w:t>；</w:t>
      </w:r>
    </w:p>
    <w:p w:rsidR="00D9416A" w:rsidRDefault="00D9416A" w:rsidP="00D9416A">
      <w:pPr>
        <w:pStyle w:val="Para1"/>
        <w:numPr>
          <w:ilvl w:val="0"/>
          <w:numId w:val="8"/>
        </w:numPr>
        <w:suppressLineNumbers/>
        <w:tabs>
          <w:tab w:val="clear" w:pos="360"/>
        </w:tabs>
        <w:suppressAutoHyphens/>
        <w:adjustRightInd w:val="0"/>
        <w:rPr>
          <w:rFonts w:ascii="SimSun" w:hAnsi="SimSun"/>
          <w:color w:val="000000"/>
          <w:szCs w:val="24"/>
          <w:lang w:eastAsia="zh-CN"/>
        </w:rPr>
      </w:pPr>
      <w:r w:rsidRPr="006C4F2E">
        <w:rPr>
          <w:rFonts w:eastAsia="KaiTi" w:hint="eastAsia"/>
          <w:kern w:val="22"/>
          <w:sz w:val="24"/>
          <w:lang w:eastAsia="zh-CN" w:bidi="th-TH"/>
        </w:rPr>
        <w:t>还请</w:t>
      </w:r>
      <w:r w:rsidRPr="006C4F2E">
        <w:rPr>
          <w:rFonts w:hint="eastAsia"/>
          <w:kern w:val="22"/>
          <w:sz w:val="24"/>
          <w:lang w:eastAsia="zh-CN" w:bidi="th-TH"/>
        </w:rPr>
        <w:t>执行秘书</w:t>
      </w:r>
      <w:r>
        <w:rPr>
          <w:rFonts w:hint="eastAsia"/>
          <w:kern w:val="22"/>
          <w:sz w:val="24"/>
          <w:lang w:eastAsia="zh-CN" w:bidi="th-TH"/>
        </w:rPr>
        <w:t>在</w:t>
      </w:r>
      <w:r w:rsidRPr="008718DF">
        <w:rPr>
          <w:rFonts w:hint="eastAsia"/>
          <w:kern w:val="22"/>
          <w:sz w:val="24"/>
          <w:szCs w:val="24"/>
          <w:lang w:val="zh-CN" w:eastAsia="zh-CN" w:bidi="th-TH"/>
        </w:rPr>
        <w:t>在资源允许的情况下</w:t>
      </w:r>
      <w:r w:rsidRPr="008718DF">
        <w:rPr>
          <w:rFonts w:hint="eastAsia"/>
          <w:kern w:val="22"/>
          <w:sz w:val="24"/>
          <w:szCs w:val="24"/>
          <w:lang w:eastAsia="zh-CN" w:bidi="th-TH"/>
        </w:rPr>
        <w:t>，</w:t>
      </w:r>
      <w:r>
        <w:rPr>
          <w:rFonts w:hint="eastAsia"/>
          <w:kern w:val="22"/>
          <w:sz w:val="24"/>
          <w:lang w:eastAsia="zh-CN" w:bidi="th-TH"/>
        </w:rPr>
        <w:t>提出关于开展</w:t>
      </w:r>
      <w:r w:rsidRPr="006C4F2E">
        <w:rPr>
          <w:rFonts w:hint="eastAsia"/>
          <w:kern w:val="22"/>
          <w:sz w:val="24"/>
          <w:lang w:eastAsia="zh-CN" w:bidi="th-TH"/>
        </w:rPr>
        <w:t>包容性进程，审查和</w:t>
      </w:r>
      <w:r>
        <w:rPr>
          <w:rFonts w:hint="eastAsia"/>
          <w:kern w:val="22"/>
          <w:sz w:val="24"/>
          <w:lang w:eastAsia="zh-CN" w:bidi="th-TH"/>
        </w:rPr>
        <w:t>重订科技</w:t>
      </w:r>
      <w:r w:rsidRPr="006C4F2E">
        <w:rPr>
          <w:rFonts w:hint="eastAsia"/>
          <w:kern w:val="22"/>
          <w:sz w:val="24"/>
          <w:lang w:eastAsia="zh-CN" w:bidi="th-TH"/>
        </w:rPr>
        <w:t>合作</w:t>
      </w:r>
      <w:r>
        <w:rPr>
          <w:rFonts w:hint="eastAsia"/>
          <w:kern w:val="22"/>
          <w:sz w:val="24"/>
          <w:lang w:eastAsia="zh-CN" w:bidi="th-TH"/>
        </w:rPr>
        <w:t>方案</w:t>
      </w:r>
      <w:r w:rsidRPr="006C4F2E">
        <w:rPr>
          <w:rFonts w:hint="eastAsia"/>
          <w:kern w:val="22"/>
          <w:sz w:val="24"/>
          <w:lang w:eastAsia="zh-CN" w:bidi="th-TH"/>
        </w:rPr>
        <w:t>，</w:t>
      </w:r>
      <w:r>
        <w:rPr>
          <w:rFonts w:hint="eastAsia"/>
          <w:kern w:val="22"/>
          <w:sz w:val="24"/>
          <w:lang w:eastAsia="zh-CN" w:bidi="th-TH"/>
        </w:rPr>
        <w:t>包括</w:t>
      </w:r>
      <w:r w:rsidRPr="008718DF">
        <w:rPr>
          <w:rFonts w:hint="eastAsia"/>
          <w:kern w:val="22"/>
          <w:sz w:val="24"/>
          <w:lang w:eastAsia="zh-CN" w:bidi="th-TH"/>
        </w:rPr>
        <w:t>生物桥倡议</w:t>
      </w:r>
      <w:r>
        <w:rPr>
          <w:rFonts w:hint="eastAsia"/>
          <w:kern w:val="22"/>
          <w:sz w:val="24"/>
          <w:lang w:eastAsia="zh-CN" w:bidi="th-TH"/>
        </w:rPr>
        <w:t>、</w:t>
      </w:r>
      <w:r w:rsidRPr="00A07A5E">
        <w:rPr>
          <w:rFonts w:ascii="SimSun" w:hAnsi="SimSun" w:hint="eastAsia"/>
          <w:sz w:val="24"/>
          <w:szCs w:val="24"/>
          <w:lang w:eastAsia="zh-CN"/>
        </w:rPr>
        <w:t>森林生态系统恢复倡议</w:t>
      </w:r>
      <w:r>
        <w:rPr>
          <w:rFonts w:ascii="SimSun" w:hAnsi="SimSun" w:hint="eastAsia"/>
          <w:sz w:val="24"/>
          <w:lang w:eastAsia="zh-CN"/>
        </w:rPr>
        <w:t>和</w:t>
      </w:r>
      <w:r w:rsidRPr="006C4F2E">
        <w:rPr>
          <w:rFonts w:hint="eastAsia"/>
          <w:kern w:val="22"/>
          <w:sz w:val="24"/>
          <w:lang w:eastAsia="zh-CN" w:bidi="th-TH"/>
        </w:rPr>
        <w:t>全球生物分类</w:t>
      </w:r>
      <w:r>
        <w:rPr>
          <w:rFonts w:hint="eastAsia"/>
          <w:kern w:val="22"/>
          <w:sz w:val="24"/>
          <w:lang w:eastAsia="zh-CN" w:bidi="th-TH"/>
        </w:rPr>
        <w:t>学</w:t>
      </w:r>
      <w:r w:rsidRPr="006C4F2E">
        <w:rPr>
          <w:rFonts w:hint="eastAsia"/>
          <w:kern w:val="22"/>
          <w:sz w:val="24"/>
          <w:lang w:eastAsia="zh-CN" w:bidi="th-TH"/>
        </w:rPr>
        <w:t>倡议</w:t>
      </w:r>
      <w:r>
        <w:rPr>
          <w:rFonts w:hint="eastAsia"/>
          <w:kern w:val="22"/>
          <w:sz w:val="24"/>
          <w:lang w:eastAsia="zh-CN" w:bidi="th-TH"/>
        </w:rPr>
        <w:t>的</w:t>
      </w:r>
      <w:r>
        <w:rPr>
          <w:kern w:val="22"/>
          <w:sz w:val="24"/>
          <w:lang w:eastAsia="zh-CN" w:bidi="th-TH"/>
        </w:rPr>
        <w:t>建议</w:t>
      </w:r>
      <w:r>
        <w:rPr>
          <w:rFonts w:hint="eastAsia"/>
          <w:kern w:val="22"/>
          <w:sz w:val="24"/>
          <w:lang w:eastAsia="zh-CN" w:bidi="th-TH"/>
        </w:rPr>
        <w:t>，以便</w:t>
      </w:r>
      <w:r w:rsidRPr="006C4F2E">
        <w:rPr>
          <w:rFonts w:hint="eastAsia"/>
          <w:kern w:val="22"/>
          <w:sz w:val="24"/>
          <w:lang w:eastAsia="zh-CN" w:bidi="th-TH"/>
        </w:rPr>
        <w:t>支持</w:t>
      </w:r>
      <w:r>
        <w:rPr>
          <w:rFonts w:hint="eastAsia"/>
          <w:kern w:val="22"/>
          <w:sz w:val="24"/>
          <w:lang w:eastAsia="zh-CN" w:bidi="th-TH"/>
        </w:rPr>
        <w:t>制定</w:t>
      </w:r>
      <w:r w:rsidRPr="006C4F2E">
        <w:rPr>
          <w:kern w:val="22"/>
          <w:sz w:val="24"/>
          <w:lang w:eastAsia="zh-CN" w:bidi="th-TH"/>
        </w:rPr>
        <w:t>2020</w:t>
      </w:r>
      <w:r w:rsidRPr="006C4F2E">
        <w:rPr>
          <w:rFonts w:hint="eastAsia"/>
          <w:kern w:val="22"/>
          <w:sz w:val="24"/>
          <w:lang w:eastAsia="zh-CN" w:bidi="th-TH"/>
        </w:rPr>
        <w:t>年后</w:t>
      </w:r>
      <w:r>
        <w:rPr>
          <w:rFonts w:hint="eastAsia"/>
          <w:kern w:val="22"/>
          <w:sz w:val="24"/>
          <w:lang w:eastAsia="zh-CN" w:bidi="th-TH"/>
        </w:rPr>
        <w:t>全球</w:t>
      </w:r>
      <w:r w:rsidRPr="006C4F2E">
        <w:rPr>
          <w:rFonts w:hint="eastAsia"/>
          <w:kern w:val="22"/>
          <w:sz w:val="24"/>
          <w:lang w:eastAsia="zh-CN" w:bidi="th-TH"/>
        </w:rPr>
        <w:t>生物多样性框架，并</w:t>
      </w:r>
      <w:r>
        <w:rPr>
          <w:rFonts w:hint="eastAsia"/>
          <w:kern w:val="22"/>
          <w:sz w:val="24"/>
          <w:lang w:eastAsia="zh-CN" w:bidi="th-TH"/>
        </w:rPr>
        <w:t>将这些建议</w:t>
      </w:r>
      <w:r w:rsidRPr="006C4F2E">
        <w:rPr>
          <w:rFonts w:hint="eastAsia"/>
          <w:kern w:val="22"/>
          <w:sz w:val="24"/>
          <w:lang w:eastAsia="zh-CN" w:bidi="th-TH"/>
        </w:rPr>
        <w:t>提交缔约方大会第十五</w:t>
      </w:r>
      <w:r>
        <w:rPr>
          <w:rFonts w:hint="eastAsia"/>
          <w:kern w:val="22"/>
          <w:sz w:val="24"/>
          <w:lang w:eastAsia="zh-CN" w:bidi="th-TH"/>
        </w:rPr>
        <w:t>届</w:t>
      </w:r>
      <w:r w:rsidRPr="006C4F2E">
        <w:rPr>
          <w:rFonts w:hint="eastAsia"/>
          <w:kern w:val="22"/>
          <w:sz w:val="24"/>
          <w:lang w:eastAsia="zh-CN" w:bidi="th-TH"/>
        </w:rPr>
        <w:t>会议</w:t>
      </w:r>
      <w:r>
        <w:rPr>
          <w:rFonts w:hint="eastAsia"/>
          <w:kern w:val="22"/>
          <w:sz w:val="24"/>
          <w:lang w:eastAsia="zh-CN" w:bidi="th-TH"/>
        </w:rPr>
        <w:t>之前举行</w:t>
      </w:r>
      <w:r>
        <w:rPr>
          <w:kern w:val="22"/>
          <w:sz w:val="24"/>
          <w:lang w:eastAsia="zh-CN" w:bidi="th-TH"/>
        </w:rPr>
        <w:t>的</w:t>
      </w:r>
      <w:r w:rsidRPr="00A07A5E">
        <w:rPr>
          <w:rFonts w:ascii="SimSun" w:hAnsi="SimSun" w:hint="eastAsia"/>
          <w:color w:val="000000"/>
          <w:sz w:val="24"/>
          <w:szCs w:val="24"/>
          <w:lang w:eastAsia="zh-CN"/>
        </w:rPr>
        <w:t>科学、技术和工艺咨询附属机构和</w:t>
      </w:r>
      <w:r w:rsidRPr="00305187">
        <w:rPr>
          <w:rFonts w:hint="eastAsia"/>
          <w:kern w:val="22"/>
          <w:sz w:val="24"/>
          <w:lang w:eastAsia="zh-CN" w:bidi="th-TH"/>
        </w:rPr>
        <w:t>执行问题附属机构</w:t>
      </w:r>
      <w:r>
        <w:rPr>
          <w:rFonts w:hint="eastAsia"/>
          <w:kern w:val="22"/>
          <w:sz w:val="24"/>
          <w:lang w:eastAsia="zh-CN" w:bidi="th-TH"/>
        </w:rPr>
        <w:t>的</w:t>
      </w:r>
      <w:r w:rsidRPr="00ED278C">
        <w:rPr>
          <w:rFonts w:hint="eastAsia"/>
          <w:kern w:val="22"/>
          <w:sz w:val="24"/>
          <w:lang w:eastAsia="zh-CN" w:bidi="th-TH"/>
        </w:rPr>
        <w:t>会议</w:t>
      </w:r>
      <w:r w:rsidRPr="002740FF">
        <w:rPr>
          <w:rFonts w:hint="eastAsia"/>
          <w:kern w:val="22"/>
          <w:sz w:val="24"/>
          <w:lang w:eastAsia="zh-CN" w:bidi="th-TH"/>
        </w:rPr>
        <w:t>审议。</w:t>
      </w:r>
      <w:r>
        <w:rPr>
          <w:kern w:val="22"/>
          <w:sz w:val="24"/>
          <w:lang w:eastAsia="zh-CN" w:bidi="th-TH"/>
        </w:rPr>
        <w:t xml:space="preserve"> </w:t>
      </w:r>
    </w:p>
    <w:p w:rsidR="00D9416A" w:rsidRPr="00EB445E" w:rsidRDefault="00D9416A" w:rsidP="002F343C">
      <w:pPr>
        <w:pStyle w:val="Para1"/>
        <w:suppressLineNumbers/>
        <w:tabs>
          <w:tab w:val="clear" w:pos="360"/>
        </w:tabs>
        <w:suppressAutoHyphens/>
        <w:adjustRightInd w:val="0"/>
        <w:snapToGrid w:val="0"/>
        <w:ind w:firstLine="0"/>
        <w:jc w:val="center"/>
        <w:rPr>
          <w:rFonts w:ascii="KaiTi" w:eastAsia="KaiTi" w:hAnsi="KaiTi"/>
          <w:kern w:val="22"/>
          <w:sz w:val="24"/>
          <w:szCs w:val="24"/>
          <w:lang w:eastAsia="zh-CN" w:bidi="th-TH"/>
        </w:rPr>
      </w:pPr>
      <w:r>
        <w:rPr>
          <w:rFonts w:ascii="KaiTi" w:eastAsia="KaiTi" w:hAnsi="KaiTi" w:hint="eastAsia"/>
          <w:kern w:val="22"/>
          <w:sz w:val="24"/>
          <w:szCs w:val="24"/>
          <w:lang w:eastAsia="zh-CN" w:bidi="th-TH"/>
        </w:rPr>
        <w:t>附件</w:t>
      </w:r>
    </w:p>
    <w:p w:rsidR="00D9416A" w:rsidRPr="00EB445E" w:rsidRDefault="00D9416A" w:rsidP="002F343C">
      <w:pPr>
        <w:pStyle w:val="Heading1"/>
        <w:adjustRightInd w:val="0"/>
        <w:snapToGrid w:val="0"/>
        <w:spacing w:before="120" w:after="120"/>
        <w:ind w:firstLine="0"/>
        <w:rPr>
          <w:sz w:val="24"/>
          <w:lang w:eastAsia="zh-CN" w:bidi="th-TH"/>
        </w:rPr>
      </w:pPr>
      <w:bookmarkStart w:id="201" w:name="_Toc6243777"/>
      <w:r w:rsidRPr="00EB445E">
        <w:rPr>
          <w:sz w:val="24"/>
          <w:lang w:eastAsia="zh-CN" w:bidi="th-TH"/>
        </w:rPr>
        <w:t>2020</w:t>
      </w:r>
      <w:r w:rsidRPr="00EB445E">
        <w:rPr>
          <w:rFonts w:hint="eastAsia"/>
          <w:sz w:val="24"/>
          <w:lang w:eastAsia="zh-CN" w:bidi="th-TH"/>
        </w:rPr>
        <w:t>年后能力</w:t>
      </w:r>
      <w:r w:rsidRPr="00EB445E">
        <w:rPr>
          <w:rFonts w:hint="eastAsia"/>
          <w:kern w:val="22"/>
          <w:sz w:val="24"/>
          <w:lang w:val="zh-CN" w:eastAsia="zh-CN" w:bidi="th-TH"/>
        </w:rPr>
        <w:t>建设长期</w:t>
      </w:r>
      <w:r w:rsidRPr="00EB445E">
        <w:rPr>
          <w:rFonts w:hint="eastAsia"/>
          <w:sz w:val="24"/>
          <w:lang w:eastAsia="zh-CN" w:bidi="th-TH"/>
        </w:rPr>
        <w:t>战略框架编制进程的要素</w:t>
      </w:r>
      <w:bookmarkEnd w:id="201"/>
    </w:p>
    <w:p w:rsidR="00D9416A" w:rsidRPr="00BE5D6F" w:rsidRDefault="00D9416A" w:rsidP="002F343C">
      <w:pPr>
        <w:pStyle w:val="Heading2"/>
        <w:adjustRightInd w:val="0"/>
        <w:snapToGrid w:val="0"/>
        <w:ind w:firstLine="0"/>
        <w:rPr>
          <w:i/>
          <w:sz w:val="24"/>
          <w:lang w:bidi="th-TH"/>
        </w:rPr>
      </w:pPr>
      <w:bookmarkStart w:id="202" w:name="_Toc6243778"/>
      <w:r w:rsidRPr="00BE5D6F">
        <w:rPr>
          <w:sz w:val="24"/>
          <w:lang w:bidi="th-TH"/>
        </w:rPr>
        <w:t xml:space="preserve">A.    </w:t>
      </w:r>
      <w:r w:rsidRPr="00BE5D6F">
        <w:rPr>
          <w:rFonts w:hint="eastAsia"/>
          <w:sz w:val="24"/>
          <w:lang w:bidi="th-TH"/>
        </w:rPr>
        <w:t>导言</w:t>
      </w:r>
      <w:bookmarkEnd w:id="202"/>
    </w:p>
    <w:p w:rsidR="00D9416A" w:rsidRPr="00EB445E" w:rsidRDefault="00D9416A" w:rsidP="00D9416A">
      <w:pPr>
        <w:pStyle w:val="Para1"/>
        <w:numPr>
          <w:ilvl w:val="0"/>
          <w:numId w:val="244"/>
        </w:numPr>
        <w:tabs>
          <w:tab w:val="clear" w:pos="360"/>
        </w:tabs>
        <w:adjustRightInd w:val="0"/>
        <w:snapToGrid w:val="0"/>
        <w:ind w:firstLine="0"/>
        <w:rPr>
          <w:sz w:val="24"/>
          <w:szCs w:val="24"/>
          <w:lang w:eastAsia="zh-CN" w:bidi="th-TH"/>
        </w:rPr>
      </w:pPr>
      <w:r w:rsidRPr="00EB445E">
        <w:rPr>
          <w:rFonts w:hint="eastAsia"/>
          <w:sz w:val="24"/>
          <w:szCs w:val="24"/>
          <w:lang w:eastAsia="zh-CN" w:bidi="th-TH"/>
        </w:rPr>
        <w:t>缔约方大会第十三届会议请执行秘书启动</w:t>
      </w:r>
      <w:r w:rsidRPr="00EB445E">
        <w:rPr>
          <w:sz w:val="24"/>
          <w:szCs w:val="24"/>
          <w:lang w:eastAsia="zh-CN" w:bidi="th-TH"/>
        </w:rPr>
        <w:t>2020</w:t>
      </w:r>
      <w:r w:rsidRPr="00EB445E">
        <w:rPr>
          <w:rFonts w:hint="eastAsia"/>
          <w:sz w:val="24"/>
          <w:szCs w:val="24"/>
          <w:lang w:eastAsia="zh-CN" w:bidi="th-TH"/>
        </w:rPr>
        <w:t>年后能力建设长期战略框架的编制进程，确保该进程与《</w:t>
      </w:r>
      <w:r w:rsidRPr="00EB445E">
        <w:rPr>
          <w:sz w:val="24"/>
          <w:szCs w:val="24"/>
          <w:lang w:eastAsia="zh-CN" w:bidi="th-TH"/>
        </w:rPr>
        <w:t>2011</w:t>
      </w:r>
      <w:r w:rsidRPr="00EB445E">
        <w:rPr>
          <w:kern w:val="22"/>
          <w:sz w:val="24"/>
          <w:szCs w:val="24"/>
          <w:lang w:eastAsia="zh-CN" w:bidi="th-TH"/>
        </w:rPr>
        <w:t>-2020</w:t>
      </w:r>
      <w:r w:rsidRPr="00EB445E">
        <w:rPr>
          <w:rFonts w:hint="eastAsia"/>
          <w:sz w:val="24"/>
          <w:szCs w:val="24"/>
          <w:lang w:eastAsia="zh-CN" w:bidi="th-TH"/>
        </w:rPr>
        <w:t>年生物多样性战略计划》后续行动和《议定书》的工作保持一致，并确保其与制订</w:t>
      </w:r>
      <w:r w:rsidRPr="00EB445E">
        <w:rPr>
          <w:sz w:val="24"/>
          <w:szCs w:val="24"/>
          <w:lang w:eastAsia="zh-CN" w:bidi="th-TH"/>
        </w:rPr>
        <w:t>2020</w:t>
      </w:r>
      <w:r w:rsidRPr="00EB445E">
        <w:rPr>
          <w:rFonts w:hint="eastAsia"/>
          <w:sz w:val="24"/>
          <w:szCs w:val="24"/>
          <w:lang w:eastAsia="zh-CN" w:bidi="th-TH"/>
        </w:rPr>
        <w:t>年后全球生物多样性框架的时间表相协调，以期及时确定优先能力建设行动。</w:t>
      </w:r>
    </w:p>
    <w:p w:rsidR="00D9416A" w:rsidRPr="00EB445E" w:rsidRDefault="00D9416A" w:rsidP="00D9416A">
      <w:pPr>
        <w:pStyle w:val="Para1"/>
        <w:numPr>
          <w:ilvl w:val="0"/>
          <w:numId w:val="244"/>
        </w:numPr>
        <w:tabs>
          <w:tab w:val="clear" w:pos="360"/>
        </w:tabs>
        <w:adjustRightInd w:val="0"/>
        <w:snapToGrid w:val="0"/>
        <w:ind w:firstLine="0"/>
        <w:rPr>
          <w:sz w:val="24"/>
          <w:szCs w:val="24"/>
          <w:lang w:eastAsia="zh-CN" w:bidi="th-TH"/>
        </w:rPr>
      </w:pPr>
      <w:r w:rsidRPr="00EB445E">
        <w:rPr>
          <w:rFonts w:hint="eastAsia"/>
          <w:sz w:val="24"/>
          <w:szCs w:val="24"/>
          <w:lang w:eastAsia="zh-CN" w:bidi="th-TH"/>
        </w:rPr>
        <w:t>在第</w:t>
      </w:r>
      <w:r w:rsidRPr="00EB445E">
        <w:rPr>
          <w:sz w:val="24"/>
          <w:szCs w:val="24"/>
          <w:lang w:eastAsia="zh-CN" w:bidi="th-TH"/>
        </w:rPr>
        <w:t>XIII/23</w:t>
      </w:r>
      <w:r w:rsidRPr="00EB445E">
        <w:rPr>
          <w:rFonts w:hint="eastAsia"/>
          <w:sz w:val="24"/>
          <w:szCs w:val="24"/>
          <w:lang w:eastAsia="zh-CN" w:bidi="th-TH"/>
        </w:rPr>
        <w:t>号决定第</w:t>
      </w:r>
      <w:r w:rsidRPr="00EB445E">
        <w:rPr>
          <w:sz w:val="24"/>
          <w:szCs w:val="24"/>
          <w:lang w:eastAsia="zh-CN" w:bidi="th-TH"/>
        </w:rPr>
        <w:t>15</w:t>
      </w:r>
      <w:r>
        <w:rPr>
          <w:sz w:val="24"/>
          <w:szCs w:val="24"/>
          <w:lang w:eastAsia="zh-CN" w:bidi="th-TH"/>
        </w:rPr>
        <w:t>(</w:t>
      </w:r>
      <w:r w:rsidRPr="00EB445E">
        <w:rPr>
          <w:sz w:val="24"/>
          <w:szCs w:val="24"/>
          <w:lang w:eastAsia="zh-CN" w:bidi="th-TH"/>
        </w:rPr>
        <w:t>n</w:t>
      </w:r>
      <w:r>
        <w:rPr>
          <w:sz w:val="24"/>
          <w:szCs w:val="24"/>
          <w:lang w:eastAsia="zh-CN" w:bidi="th-TH"/>
        </w:rPr>
        <w:t>)</w:t>
      </w:r>
      <w:r w:rsidRPr="00EB445E">
        <w:rPr>
          <w:rFonts w:hint="eastAsia"/>
          <w:sz w:val="24"/>
          <w:szCs w:val="24"/>
          <w:lang w:eastAsia="zh-CN" w:bidi="th-TH"/>
        </w:rPr>
        <w:t>段中，缔约方大会请执行秘书制订研究报告的</w:t>
      </w:r>
      <w:r>
        <w:rPr>
          <w:rFonts w:hint="eastAsia"/>
          <w:sz w:val="24"/>
          <w:szCs w:val="24"/>
          <w:lang w:eastAsia="zh-CN" w:bidi="th-TH"/>
        </w:rPr>
        <w:t>任务</w:t>
      </w:r>
      <w:r w:rsidRPr="00EB445E">
        <w:rPr>
          <w:rFonts w:hint="eastAsia"/>
          <w:sz w:val="24"/>
          <w:szCs w:val="24"/>
          <w:lang w:eastAsia="zh-CN" w:bidi="th-TH"/>
        </w:rPr>
        <w:t>范围，</w:t>
      </w:r>
      <w:r>
        <w:rPr>
          <w:rFonts w:hint="eastAsia"/>
          <w:sz w:val="24"/>
          <w:szCs w:val="24"/>
          <w:lang w:eastAsia="zh-CN" w:bidi="th-TH"/>
        </w:rPr>
        <w:t>以便</w:t>
      </w:r>
      <w:r>
        <w:rPr>
          <w:sz w:val="24"/>
          <w:szCs w:val="24"/>
          <w:lang w:eastAsia="zh-CN" w:bidi="th-TH"/>
        </w:rPr>
        <w:t>为</w:t>
      </w:r>
      <w:r w:rsidRPr="00EB445E">
        <w:rPr>
          <w:rFonts w:hint="eastAsia"/>
          <w:sz w:val="24"/>
          <w:szCs w:val="24"/>
          <w:lang w:eastAsia="zh-CN" w:bidi="th-TH"/>
        </w:rPr>
        <w:t>编制</w:t>
      </w:r>
      <w:r w:rsidRPr="00EB445E">
        <w:rPr>
          <w:sz w:val="24"/>
          <w:szCs w:val="24"/>
          <w:lang w:eastAsia="zh-CN" w:bidi="th-TH"/>
        </w:rPr>
        <w:t>2020</w:t>
      </w:r>
      <w:r w:rsidRPr="00EB445E">
        <w:rPr>
          <w:rFonts w:hint="eastAsia"/>
          <w:sz w:val="24"/>
          <w:szCs w:val="24"/>
          <w:lang w:eastAsia="zh-CN" w:bidi="th-TH"/>
        </w:rPr>
        <w:t>年后能力建设长期战略框架</w:t>
      </w:r>
      <w:r>
        <w:rPr>
          <w:rFonts w:hint="eastAsia"/>
          <w:sz w:val="24"/>
          <w:szCs w:val="24"/>
          <w:lang w:eastAsia="zh-CN" w:bidi="th-TH"/>
        </w:rPr>
        <w:t>奠定</w:t>
      </w:r>
      <w:r w:rsidRPr="00EB445E">
        <w:rPr>
          <w:rFonts w:hint="eastAsia"/>
          <w:sz w:val="24"/>
          <w:szCs w:val="24"/>
          <w:lang w:eastAsia="zh-CN" w:bidi="th-TH"/>
        </w:rPr>
        <w:t>知识基础，供执行问题附属机构第二次会议以及嗣后的缔约方大会第十四届会议审议，确保该项研究考虑到，除其他外，能力建设短期行动计划的落实情况和缔约方在其国家报告中报告的相关</w:t>
      </w:r>
      <w:r>
        <w:rPr>
          <w:rFonts w:hint="eastAsia"/>
          <w:sz w:val="24"/>
          <w:szCs w:val="24"/>
          <w:lang w:eastAsia="zh-CN" w:bidi="th-TH"/>
        </w:rPr>
        <w:t>的</w:t>
      </w:r>
      <w:r w:rsidRPr="00EB445E">
        <w:rPr>
          <w:rFonts w:hint="eastAsia"/>
          <w:sz w:val="24"/>
          <w:szCs w:val="24"/>
          <w:lang w:eastAsia="zh-CN" w:bidi="th-TH"/>
        </w:rPr>
        <w:t>经验。</w:t>
      </w:r>
    </w:p>
    <w:p w:rsidR="00D9416A" w:rsidRPr="00EB445E" w:rsidRDefault="00D9416A" w:rsidP="00D9416A">
      <w:pPr>
        <w:pStyle w:val="Para1"/>
        <w:numPr>
          <w:ilvl w:val="0"/>
          <w:numId w:val="244"/>
        </w:numPr>
        <w:tabs>
          <w:tab w:val="clear" w:pos="360"/>
        </w:tabs>
        <w:adjustRightInd w:val="0"/>
        <w:snapToGrid w:val="0"/>
        <w:ind w:firstLine="0"/>
        <w:rPr>
          <w:sz w:val="24"/>
          <w:szCs w:val="24"/>
          <w:lang w:eastAsia="zh-CN" w:bidi="th-TH"/>
        </w:rPr>
      </w:pPr>
      <w:r w:rsidRPr="00EB445E">
        <w:rPr>
          <w:rFonts w:hint="eastAsia"/>
          <w:sz w:val="24"/>
          <w:szCs w:val="24"/>
          <w:lang w:eastAsia="zh-CN" w:bidi="th-TH"/>
        </w:rPr>
        <w:t>根据《卡塔赫纳生物安全议定书》，作为议定书缔约方会议的缔约方大会在其第六次会议上通过了《有效执行议定书能力建设框架和行动计划》，并同意在第八次会议上对其进行审查（第</w:t>
      </w:r>
      <w:r w:rsidRPr="00EB445E">
        <w:rPr>
          <w:sz w:val="24"/>
          <w:szCs w:val="24"/>
          <w:lang w:eastAsia="zh-CN" w:bidi="th-TH"/>
        </w:rPr>
        <w:t>BS-VI/3</w:t>
      </w:r>
      <w:r w:rsidRPr="00EB445E">
        <w:rPr>
          <w:rFonts w:hint="eastAsia"/>
          <w:sz w:val="24"/>
          <w:szCs w:val="24"/>
          <w:lang w:eastAsia="zh-CN" w:bidi="th-TH"/>
        </w:rPr>
        <w:t>号决定）。</w:t>
      </w:r>
      <w:r>
        <w:rPr>
          <w:rFonts w:hint="eastAsia"/>
          <w:sz w:val="24"/>
          <w:szCs w:val="24"/>
          <w:lang w:eastAsia="zh-CN" w:bidi="th-TH"/>
        </w:rPr>
        <w:t>继此次</w:t>
      </w:r>
      <w:r w:rsidRPr="00EB445E">
        <w:rPr>
          <w:rFonts w:hint="eastAsia"/>
          <w:sz w:val="24"/>
          <w:szCs w:val="24"/>
          <w:lang w:eastAsia="zh-CN" w:bidi="th-TH"/>
        </w:rPr>
        <w:t>审查之后，议定书缔约方决定将该《框架和行动计划》保持到</w:t>
      </w:r>
      <w:r w:rsidRPr="00EB445E">
        <w:rPr>
          <w:sz w:val="24"/>
          <w:szCs w:val="24"/>
          <w:lang w:eastAsia="zh-CN" w:bidi="th-TH"/>
        </w:rPr>
        <w:t>2020</w:t>
      </w:r>
      <w:r w:rsidRPr="00EB445E">
        <w:rPr>
          <w:rFonts w:hint="eastAsia"/>
          <w:sz w:val="24"/>
          <w:szCs w:val="24"/>
          <w:lang w:eastAsia="zh-CN" w:bidi="th-TH"/>
        </w:rPr>
        <w:t>年（第</w:t>
      </w:r>
      <w:r w:rsidRPr="00EB445E">
        <w:rPr>
          <w:sz w:val="24"/>
          <w:szCs w:val="24"/>
          <w:lang w:eastAsia="zh-CN" w:bidi="th-TH"/>
        </w:rPr>
        <w:t>CP-VIII/3</w:t>
      </w:r>
      <w:r w:rsidRPr="00EB445E">
        <w:rPr>
          <w:rFonts w:hint="eastAsia"/>
          <w:sz w:val="24"/>
          <w:szCs w:val="24"/>
          <w:lang w:eastAsia="zh-CN" w:bidi="th-TH"/>
        </w:rPr>
        <w:t>号决定）。</w:t>
      </w:r>
    </w:p>
    <w:p w:rsidR="00D9416A" w:rsidRPr="00EB445E" w:rsidRDefault="00D9416A" w:rsidP="00D9416A">
      <w:pPr>
        <w:pStyle w:val="Para1"/>
        <w:numPr>
          <w:ilvl w:val="0"/>
          <w:numId w:val="244"/>
        </w:numPr>
        <w:tabs>
          <w:tab w:val="clear" w:pos="360"/>
        </w:tabs>
        <w:adjustRightInd w:val="0"/>
        <w:snapToGrid w:val="0"/>
        <w:ind w:firstLine="0"/>
        <w:rPr>
          <w:sz w:val="24"/>
          <w:szCs w:val="24"/>
          <w:lang w:eastAsia="zh-CN" w:bidi="th-TH"/>
        </w:rPr>
      </w:pPr>
      <w:r w:rsidRPr="00EB445E">
        <w:rPr>
          <w:rFonts w:hint="eastAsia"/>
          <w:sz w:val="24"/>
          <w:szCs w:val="24"/>
          <w:lang w:eastAsia="zh-CN" w:bidi="th-TH"/>
        </w:rPr>
        <w:t>同样，作为名古屋议定书缔约方会议的缔约方大会在其第</w:t>
      </w:r>
      <w:r w:rsidRPr="00EB445E">
        <w:rPr>
          <w:sz w:val="24"/>
          <w:szCs w:val="24"/>
          <w:lang w:eastAsia="zh-CN" w:bidi="th-TH"/>
        </w:rPr>
        <w:t>NP-1/8</w:t>
      </w:r>
      <w:r w:rsidRPr="00EB445E">
        <w:rPr>
          <w:rFonts w:hint="eastAsia"/>
          <w:sz w:val="24"/>
          <w:szCs w:val="24"/>
          <w:lang w:eastAsia="zh-CN" w:bidi="th-TH"/>
        </w:rPr>
        <w:t>号决定中通过了涵盖</w:t>
      </w:r>
      <w:r w:rsidRPr="00EB445E">
        <w:rPr>
          <w:sz w:val="24"/>
          <w:szCs w:val="24"/>
          <w:lang w:eastAsia="zh-CN" w:bidi="th-TH"/>
        </w:rPr>
        <w:t>2020</w:t>
      </w:r>
      <w:r w:rsidRPr="00EB445E">
        <w:rPr>
          <w:rFonts w:hint="eastAsia"/>
          <w:sz w:val="24"/>
          <w:szCs w:val="24"/>
          <w:lang w:eastAsia="zh-CN" w:bidi="th-TH"/>
        </w:rPr>
        <w:t>年之前期间支持执行《名古屋议定书》</w:t>
      </w:r>
      <w:r>
        <w:rPr>
          <w:rFonts w:hint="eastAsia"/>
          <w:sz w:val="24"/>
          <w:szCs w:val="24"/>
          <w:lang w:eastAsia="zh-CN" w:bidi="th-TH"/>
        </w:rPr>
        <w:t>的</w:t>
      </w:r>
      <w:r w:rsidRPr="00EB445E">
        <w:rPr>
          <w:rFonts w:hint="eastAsia"/>
          <w:sz w:val="24"/>
          <w:szCs w:val="24"/>
          <w:lang w:eastAsia="zh-CN" w:bidi="th-TH"/>
        </w:rPr>
        <w:t>能力建设和发展战略框架。</w:t>
      </w:r>
      <w:r>
        <w:rPr>
          <w:rFonts w:hint="eastAsia"/>
          <w:sz w:val="24"/>
          <w:szCs w:val="24"/>
          <w:lang w:eastAsia="zh-CN" w:bidi="th-TH"/>
        </w:rPr>
        <w:t>同一决定还</w:t>
      </w:r>
      <w:r>
        <w:rPr>
          <w:sz w:val="24"/>
          <w:szCs w:val="24"/>
          <w:lang w:eastAsia="zh-CN" w:bidi="th-TH"/>
        </w:rPr>
        <w:t>请</w:t>
      </w:r>
      <w:r w:rsidRPr="00EB445E">
        <w:rPr>
          <w:rFonts w:hint="eastAsia"/>
          <w:sz w:val="24"/>
          <w:szCs w:val="24"/>
          <w:lang w:eastAsia="zh-CN" w:bidi="th-TH"/>
        </w:rPr>
        <w:t>执行秘书</w:t>
      </w:r>
      <w:r>
        <w:rPr>
          <w:rFonts w:hint="eastAsia"/>
          <w:sz w:val="24"/>
          <w:szCs w:val="24"/>
          <w:lang w:eastAsia="zh-CN" w:bidi="th-TH"/>
        </w:rPr>
        <w:t>筹备</w:t>
      </w:r>
      <w:r w:rsidRPr="00EB445E">
        <w:rPr>
          <w:rFonts w:hint="eastAsia"/>
          <w:sz w:val="24"/>
          <w:szCs w:val="24"/>
          <w:lang w:eastAsia="zh-CN" w:bidi="th-TH"/>
        </w:rPr>
        <w:t>在</w:t>
      </w:r>
      <w:r w:rsidRPr="00EB445E">
        <w:rPr>
          <w:sz w:val="24"/>
          <w:szCs w:val="24"/>
          <w:lang w:eastAsia="zh-CN" w:bidi="th-TH"/>
        </w:rPr>
        <w:t>2019</w:t>
      </w:r>
      <w:r w:rsidRPr="00EB445E">
        <w:rPr>
          <w:rFonts w:hint="eastAsia"/>
          <w:sz w:val="24"/>
          <w:szCs w:val="24"/>
          <w:lang w:eastAsia="zh-CN" w:bidi="th-TH"/>
        </w:rPr>
        <w:t>年对该战略框架进行评价，并提交报告供名古屋议定书缔约方会议</w:t>
      </w:r>
      <w:r w:rsidRPr="00EB445E">
        <w:rPr>
          <w:sz w:val="24"/>
          <w:szCs w:val="24"/>
          <w:lang w:eastAsia="zh-CN" w:bidi="th-TH"/>
        </w:rPr>
        <w:t>2020</w:t>
      </w:r>
      <w:r w:rsidRPr="00EB445E">
        <w:rPr>
          <w:rFonts w:hint="eastAsia"/>
          <w:sz w:val="24"/>
          <w:szCs w:val="24"/>
          <w:lang w:eastAsia="zh-CN" w:bidi="th-TH"/>
        </w:rPr>
        <w:t>年审议，以促进审查和可能修订该战略框架，同时对《</w:t>
      </w:r>
      <w:r w:rsidRPr="00EB445E">
        <w:rPr>
          <w:sz w:val="24"/>
          <w:szCs w:val="24"/>
          <w:lang w:eastAsia="zh-CN" w:bidi="th-TH"/>
        </w:rPr>
        <w:t>2011-2020</w:t>
      </w:r>
      <w:r w:rsidRPr="00EB445E">
        <w:rPr>
          <w:rFonts w:hint="eastAsia"/>
          <w:sz w:val="24"/>
          <w:szCs w:val="24"/>
          <w:lang w:eastAsia="zh-CN" w:bidi="th-TH"/>
        </w:rPr>
        <w:t>年生物多样性战略计划》进行审查。</w:t>
      </w:r>
    </w:p>
    <w:p w:rsidR="00D9416A" w:rsidRPr="00BE5D6F" w:rsidRDefault="00D9416A" w:rsidP="00D9416A">
      <w:pPr>
        <w:pStyle w:val="Heading2"/>
        <w:adjustRightInd w:val="0"/>
        <w:snapToGrid w:val="0"/>
        <w:ind w:firstLine="0"/>
        <w:rPr>
          <w:i/>
          <w:sz w:val="24"/>
          <w:lang w:bidi="th-TH"/>
        </w:rPr>
      </w:pPr>
      <w:bookmarkStart w:id="203" w:name="_Toc6243779"/>
      <w:r w:rsidRPr="00BE5D6F">
        <w:rPr>
          <w:sz w:val="24"/>
          <w:lang w:bidi="th-TH"/>
        </w:rPr>
        <w:lastRenderedPageBreak/>
        <w:t xml:space="preserve">B.    </w:t>
      </w:r>
      <w:r w:rsidRPr="00BE5D6F">
        <w:rPr>
          <w:rFonts w:hint="eastAsia"/>
          <w:sz w:val="24"/>
          <w:lang w:bidi="th-TH"/>
        </w:rPr>
        <w:t>框架编制进程的范围</w:t>
      </w:r>
      <w:bookmarkEnd w:id="203"/>
    </w:p>
    <w:p w:rsidR="00D9416A" w:rsidRPr="00EB445E" w:rsidRDefault="00D9416A" w:rsidP="00D9416A">
      <w:pPr>
        <w:pStyle w:val="Para1"/>
        <w:numPr>
          <w:ilvl w:val="0"/>
          <w:numId w:val="8"/>
        </w:numPr>
        <w:tabs>
          <w:tab w:val="clear" w:pos="360"/>
        </w:tabs>
        <w:adjustRightInd w:val="0"/>
        <w:snapToGrid w:val="0"/>
        <w:ind w:firstLine="0"/>
        <w:rPr>
          <w:sz w:val="24"/>
          <w:szCs w:val="24"/>
          <w:lang w:eastAsia="zh-CN" w:bidi="th-TH"/>
        </w:rPr>
      </w:pPr>
      <w:r w:rsidRPr="00EB445E">
        <w:rPr>
          <w:rFonts w:hint="eastAsia"/>
          <w:sz w:val="24"/>
          <w:szCs w:val="24"/>
          <w:lang w:eastAsia="zh-CN" w:bidi="th-TH"/>
        </w:rPr>
        <w:t>该进程将包含以下任务：</w:t>
      </w:r>
    </w:p>
    <w:p w:rsidR="00D9416A" w:rsidRPr="00EB445E" w:rsidRDefault="00D9416A" w:rsidP="00D9416A">
      <w:pPr>
        <w:pStyle w:val="Para1"/>
        <w:numPr>
          <w:ilvl w:val="1"/>
          <w:numId w:val="8"/>
        </w:numPr>
        <w:tabs>
          <w:tab w:val="clear" w:pos="1440"/>
        </w:tabs>
        <w:adjustRightInd w:val="0"/>
        <w:snapToGrid w:val="0"/>
        <w:rPr>
          <w:sz w:val="24"/>
          <w:szCs w:val="24"/>
          <w:lang w:eastAsia="zh-CN" w:bidi="th-TH"/>
        </w:rPr>
      </w:pPr>
      <w:r>
        <w:rPr>
          <w:rFonts w:hint="eastAsia"/>
          <w:sz w:val="24"/>
          <w:szCs w:val="24"/>
          <w:lang w:eastAsia="zh-CN" w:bidi="th-TH"/>
        </w:rPr>
        <w:t>依照</w:t>
      </w:r>
      <w:r w:rsidRPr="00EB445E">
        <w:rPr>
          <w:rFonts w:hint="eastAsia"/>
          <w:sz w:val="24"/>
          <w:szCs w:val="24"/>
          <w:lang w:eastAsia="zh-CN" w:bidi="th-TH"/>
        </w:rPr>
        <w:t>下文附录</w:t>
      </w:r>
      <w:r>
        <w:rPr>
          <w:rFonts w:hint="eastAsia"/>
          <w:sz w:val="24"/>
          <w:szCs w:val="24"/>
          <w:lang w:eastAsia="zh-CN" w:bidi="th-TH"/>
        </w:rPr>
        <w:t>中</w:t>
      </w:r>
      <w:r w:rsidRPr="00EB445E">
        <w:rPr>
          <w:rFonts w:hint="eastAsia"/>
          <w:sz w:val="24"/>
          <w:szCs w:val="24"/>
          <w:lang w:eastAsia="zh-CN" w:bidi="th-TH"/>
        </w:rPr>
        <w:t>的</w:t>
      </w:r>
      <w:r>
        <w:rPr>
          <w:rFonts w:hint="eastAsia"/>
          <w:sz w:val="24"/>
          <w:szCs w:val="24"/>
          <w:lang w:eastAsia="zh-CN" w:bidi="th-TH"/>
        </w:rPr>
        <w:t>任务</w:t>
      </w:r>
      <w:r w:rsidRPr="00EB445E">
        <w:rPr>
          <w:rFonts w:hint="eastAsia"/>
          <w:sz w:val="24"/>
          <w:szCs w:val="24"/>
          <w:lang w:eastAsia="zh-CN" w:bidi="th-TH"/>
        </w:rPr>
        <w:t>范围</w:t>
      </w:r>
      <w:r>
        <w:rPr>
          <w:rFonts w:hint="eastAsia"/>
          <w:sz w:val="24"/>
          <w:szCs w:val="24"/>
          <w:lang w:eastAsia="zh-CN" w:bidi="th-TH"/>
        </w:rPr>
        <w:t>开展</w:t>
      </w:r>
      <w:r w:rsidRPr="00EB445E">
        <w:rPr>
          <w:rFonts w:hint="eastAsia"/>
          <w:sz w:val="24"/>
          <w:szCs w:val="24"/>
          <w:lang w:eastAsia="zh-CN" w:bidi="th-TH"/>
        </w:rPr>
        <w:t>研究，</w:t>
      </w:r>
      <w:r>
        <w:rPr>
          <w:rFonts w:hint="eastAsia"/>
          <w:sz w:val="24"/>
          <w:szCs w:val="24"/>
          <w:lang w:eastAsia="zh-CN" w:bidi="th-TH"/>
        </w:rPr>
        <w:t>以便为编制</w:t>
      </w:r>
      <w:r w:rsidRPr="00EB445E">
        <w:rPr>
          <w:sz w:val="24"/>
          <w:szCs w:val="24"/>
          <w:lang w:eastAsia="zh-CN" w:bidi="th-TH"/>
        </w:rPr>
        <w:t>2020</w:t>
      </w:r>
      <w:r w:rsidRPr="00EB445E">
        <w:rPr>
          <w:rFonts w:hint="eastAsia"/>
          <w:sz w:val="24"/>
          <w:szCs w:val="24"/>
          <w:lang w:eastAsia="zh-CN" w:bidi="th-TH"/>
        </w:rPr>
        <w:t>年后能力建设长期战略框架</w:t>
      </w:r>
      <w:r>
        <w:rPr>
          <w:rFonts w:hint="eastAsia"/>
          <w:sz w:val="24"/>
          <w:szCs w:val="24"/>
          <w:lang w:eastAsia="zh-CN" w:bidi="th-TH"/>
        </w:rPr>
        <w:t>奠定</w:t>
      </w:r>
      <w:r w:rsidRPr="00EB445E">
        <w:rPr>
          <w:rFonts w:hint="eastAsia"/>
          <w:sz w:val="24"/>
          <w:szCs w:val="24"/>
          <w:lang w:eastAsia="zh-CN" w:bidi="th-TH"/>
        </w:rPr>
        <w:t>知识基础；</w:t>
      </w:r>
    </w:p>
    <w:p w:rsidR="00D9416A" w:rsidRPr="00296E3F" w:rsidRDefault="00D9416A" w:rsidP="00D9416A">
      <w:pPr>
        <w:pStyle w:val="Para1"/>
        <w:numPr>
          <w:ilvl w:val="1"/>
          <w:numId w:val="8"/>
        </w:numPr>
        <w:tabs>
          <w:tab w:val="clear" w:pos="1440"/>
        </w:tabs>
        <w:adjustRightInd w:val="0"/>
        <w:snapToGrid w:val="0"/>
        <w:rPr>
          <w:sz w:val="24"/>
          <w:szCs w:val="24"/>
          <w:lang w:eastAsia="zh-CN" w:bidi="th-TH"/>
        </w:rPr>
      </w:pPr>
      <w:r w:rsidRPr="00296E3F">
        <w:rPr>
          <w:rFonts w:hint="eastAsia"/>
          <w:sz w:val="24"/>
          <w:szCs w:val="24"/>
          <w:lang w:eastAsia="zh-CN" w:bidi="th-TH"/>
        </w:rPr>
        <w:t>编制</w:t>
      </w:r>
      <w:r w:rsidRPr="00296E3F">
        <w:rPr>
          <w:sz w:val="24"/>
          <w:szCs w:val="24"/>
          <w:lang w:eastAsia="zh-CN" w:bidi="th-TH"/>
        </w:rPr>
        <w:t>2020</w:t>
      </w:r>
      <w:r w:rsidRPr="00296E3F">
        <w:rPr>
          <w:rFonts w:hint="eastAsia"/>
          <w:sz w:val="24"/>
          <w:szCs w:val="24"/>
          <w:lang w:eastAsia="zh-CN" w:bidi="th-TH"/>
        </w:rPr>
        <w:t>年后能力</w:t>
      </w:r>
      <w:r w:rsidRPr="00296E3F">
        <w:rPr>
          <w:rFonts w:hint="eastAsia"/>
          <w:kern w:val="22"/>
          <w:sz w:val="24"/>
          <w:szCs w:val="24"/>
          <w:lang w:val="zh-CN" w:eastAsia="zh-CN" w:bidi="th-TH"/>
        </w:rPr>
        <w:t>建设长期</w:t>
      </w:r>
      <w:r w:rsidRPr="00296E3F">
        <w:rPr>
          <w:rFonts w:hint="eastAsia"/>
          <w:sz w:val="24"/>
          <w:szCs w:val="24"/>
          <w:lang w:eastAsia="zh-CN" w:bidi="th-TH"/>
        </w:rPr>
        <w:t>战略框架要素草案，同时考虑到上述研究报告中所载信息，包括发展中国家，特别是最不发达国家和小岛屿发展中国家以及经济转型国家的需求和国情。</w:t>
      </w:r>
      <w:r w:rsidRPr="00296E3F">
        <w:rPr>
          <w:sz w:val="24"/>
          <w:lang w:eastAsia="zh-CN"/>
        </w:rPr>
        <w:t xml:space="preserve"> </w:t>
      </w:r>
      <w:r w:rsidRPr="00296E3F">
        <w:rPr>
          <w:rFonts w:hint="eastAsia"/>
          <w:sz w:val="24"/>
          <w:szCs w:val="24"/>
          <w:lang w:eastAsia="zh-CN" w:bidi="th-TH"/>
        </w:rPr>
        <w:t>除其他外，要素草案将包括总体愿景和变革理论，界定大胆的长期能力发展基准和成果，以支持为实现</w:t>
      </w:r>
      <w:r w:rsidRPr="00296E3F">
        <w:rPr>
          <w:rFonts w:ascii="SimSun" w:hAnsi="SimSun" w:hint="eastAsia"/>
          <w:sz w:val="24"/>
          <w:szCs w:val="24"/>
          <w:lang w:eastAsia="zh-CN" w:bidi="th-TH"/>
        </w:rPr>
        <w:t>“与自然和谐相处”</w:t>
      </w:r>
      <w:r w:rsidRPr="00296E3F">
        <w:rPr>
          <w:rFonts w:hint="eastAsia"/>
          <w:sz w:val="24"/>
          <w:szCs w:val="24"/>
          <w:lang w:eastAsia="zh-CN" w:bidi="th-TH"/>
        </w:rPr>
        <w:t>的</w:t>
      </w:r>
      <w:r w:rsidRPr="00296E3F">
        <w:rPr>
          <w:sz w:val="24"/>
          <w:szCs w:val="24"/>
          <w:lang w:eastAsia="zh-CN" w:bidi="th-TH"/>
        </w:rPr>
        <w:t>2050</w:t>
      </w:r>
      <w:r w:rsidRPr="00296E3F">
        <w:rPr>
          <w:rFonts w:hint="eastAsia"/>
          <w:sz w:val="24"/>
          <w:szCs w:val="24"/>
          <w:lang w:eastAsia="zh-CN" w:bidi="th-TH"/>
        </w:rPr>
        <w:t>年愿景所做的转型式变革、一般性指导原则、实现有效力和有影响的能力发展的可能途径；以及监测和评价框架，包括可能可衡量的中长期能力成果指标；</w:t>
      </w:r>
    </w:p>
    <w:p w:rsidR="00D9416A" w:rsidRPr="00EB445E" w:rsidRDefault="00D9416A" w:rsidP="00D9416A">
      <w:pPr>
        <w:pStyle w:val="Para1"/>
        <w:numPr>
          <w:ilvl w:val="1"/>
          <w:numId w:val="8"/>
        </w:numPr>
        <w:tabs>
          <w:tab w:val="clear" w:pos="1440"/>
        </w:tabs>
        <w:adjustRightInd w:val="0"/>
        <w:snapToGrid w:val="0"/>
        <w:rPr>
          <w:sz w:val="24"/>
          <w:szCs w:val="24"/>
          <w:lang w:eastAsia="zh-CN" w:bidi="th-TH"/>
        </w:rPr>
      </w:pPr>
      <w:r>
        <w:rPr>
          <w:rFonts w:hint="eastAsia"/>
          <w:sz w:val="24"/>
          <w:szCs w:val="24"/>
          <w:lang w:eastAsia="zh-CN" w:bidi="th-TH"/>
        </w:rPr>
        <w:t>举办</w:t>
      </w:r>
      <w:r w:rsidRPr="00EB445E">
        <w:rPr>
          <w:rFonts w:hint="eastAsia"/>
          <w:sz w:val="24"/>
          <w:szCs w:val="24"/>
          <w:lang w:eastAsia="zh-CN" w:bidi="th-TH"/>
        </w:rPr>
        <w:t>与</w:t>
      </w:r>
      <w:r w:rsidRPr="00EB445E">
        <w:rPr>
          <w:sz w:val="24"/>
          <w:szCs w:val="24"/>
          <w:lang w:eastAsia="zh-CN" w:bidi="th-TH"/>
        </w:rPr>
        <w:t>2020</w:t>
      </w:r>
      <w:r w:rsidRPr="00EB445E">
        <w:rPr>
          <w:rFonts w:hint="eastAsia"/>
          <w:sz w:val="24"/>
          <w:szCs w:val="24"/>
          <w:lang w:eastAsia="zh-CN" w:bidi="th-TH"/>
        </w:rPr>
        <w:t>年后全球生物多样性框架制定进程结合开展的区域协商讲习班和在线讨论论坛。</w:t>
      </w:r>
    </w:p>
    <w:p w:rsidR="00D9416A" w:rsidRPr="00EB445E" w:rsidRDefault="00D9416A" w:rsidP="00D9416A">
      <w:pPr>
        <w:pStyle w:val="Para1"/>
        <w:numPr>
          <w:ilvl w:val="0"/>
          <w:numId w:val="8"/>
        </w:numPr>
        <w:tabs>
          <w:tab w:val="clear" w:pos="360"/>
        </w:tabs>
        <w:adjustRightInd w:val="0"/>
        <w:snapToGrid w:val="0"/>
        <w:ind w:firstLine="0"/>
        <w:rPr>
          <w:sz w:val="24"/>
          <w:szCs w:val="24"/>
          <w:lang w:eastAsia="zh-CN" w:bidi="th-TH"/>
        </w:rPr>
      </w:pPr>
      <w:r w:rsidRPr="00EB445E">
        <w:rPr>
          <w:rFonts w:hint="eastAsia"/>
          <w:sz w:val="24"/>
          <w:szCs w:val="24"/>
          <w:lang w:eastAsia="zh-CN" w:bidi="th-TH"/>
        </w:rPr>
        <w:t>在资金允许的情况下，将聘请一家顾问公司开展此项研究，编写研究报告草案</w:t>
      </w:r>
      <w:r>
        <w:rPr>
          <w:rFonts w:hint="eastAsia"/>
          <w:sz w:val="24"/>
          <w:szCs w:val="24"/>
          <w:lang w:eastAsia="zh-CN" w:bidi="th-TH"/>
        </w:rPr>
        <w:t>和</w:t>
      </w:r>
      <w:r w:rsidRPr="00EB445E">
        <w:rPr>
          <w:sz w:val="24"/>
          <w:szCs w:val="24"/>
          <w:lang w:eastAsia="zh-CN" w:bidi="th-TH"/>
        </w:rPr>
        <w:t>2020</w:t>
      </w:r>
      <w:r w:rsidRPr="00EB445E">
        <w:rPr>
          <w:rFonts w:hint="eastAsia"/>
          <w:sz w:val="24"/>
          <w:szCs w:val="24"/>
          <w:lang w:eastAsia="zh-CN" w:bidi="th-TH"/>
        </w:rPr>
        <w:t>年后能力</w:t>
      </w:r>
      <w:r w:rsidRPr="00EB445E">
        <w:rPr>
          <w:rFonts w:hint="eastAsia"/>
          <w:kern w:val="22"/>
          <w:sz w:val="24"/>
          <w:szCs w:val="24"/>
          <w:lang w:val="zh-CN" w:eastAsia="zh-CN" w:bidi="th-TH"/>
        </w:rPr>
        <w:t>建设长期</w:t>
      </w:r>
      <w:r w:rsidRPr="00EB445E">
        <w:rPr>
          <w:rFonts w:hint="eastAsia"/>
          <w:sz w:val="24"/>
          <w:szCs w:val="24"/>
          <w:lang w:eastAsia="zh-CN" w:bidi="th-TH"/>
        </w:rPr>
        <w:t>战略框架要素草案。这两份草案将在由秘书处和相关组织与</w:t>
      </w:r>
      <w:r w:rsidRPr="00EB445E">
        <w:rPr>
          <w:sz w:val="24"/>
          <w:szCs w:val="24"/>
          <w:lang w:eastAsia="zh-CN" w:bidi="th-TH"/>
        </w:rPr>
        <w:t>2020</w:t>
      </w:r>
      <w:r w:rsidRPr="00EB445E">
        <w:rPr>
          <w:rFonts w:hint="eastAsia"/>
          <w:sz w:val="24"/>
          <w:szCs w:val="24"/>
          <w:lang w:eastAsia="zh-CN" w:bidi="th-TH"/>
        </w:rPr>
        <w:t>年后全球生物多样性框架制定进程结合组办的区域协商讲习班和在线讨论论坛期间讨论。顾问公司将把通过咨询讲习班和在线讨论论坛收到的投入纳入</w:t>
      </w:r>
      <w:r>
        <w:rPr>
          <w:rFonts w:hint="eastAsia"/>
          <w:sz w:val="24"/>
          <w:szCs w:val="24"/>
          <w:lang w:eastAsia="zh-CN" w:bidi="th-TH"/>
        </w:rPr>
        <w:t>20</w:t>
      </w:r>
      <w:r>
        <w:rPr>
          <w:sz w:val="24"/>
          <w:szCs w:val="24"/>
          <w:lang w:eastAsia="zh-CN" w:bidi="th-TH"/>
        </w:rPr>
        <w:t>20</w:t>
      </w:r>
      <w:r>
        <w:rPr>
          <w:rFonts w:hint="eastAsia"/>
          <w:sz w:val="24"/>
          <w:szCs w:val="24"/>
          <w:lang w:eastAsia="zh-CN" w:bidi="th-TH"/>
        </w:rPr>
        <w:t>年后能力建设</w:t>
      </w:r>
      <w:r>
        <w:rPr>
          <w:sz w:val="24"/>
          <w:szCs w:val="24"/>
          <w:lang w:eastAsia="zh-CN" w:bidi="th-TH"/>
        </w:rPr>
        <w:t>长期</w:t>
      </w:r>
      <w:r w:rsidRPr="00EB445E">
        <w:rPr>
          <w:rFonts w:hint="eastAsia"/>
          <w:sz w:val="24"/>
          <w:szCs w:val="24"/>
          <w:lang w:eastAsia="zh-CN" w:bidi="th-TH"/>
        </w:rPr>
        <w:t>战略框架最后草案，</w:t>
      </w:r>
      <w:r>
        <w:rPr>
          <w:rFonts w:hint="eastAsia"/>
          <w:sz w:val="24"/>
          <w:szCs w:val="24"/>
          <w:lang w:eastAsia="zh-CN" w:bidi="th-TH"/>
        </w:rPr>
        <w:t>随后</w:t>
      </w:r>
      <w:r w:rsidRPr="00EB445E">
        <w:rPr>
          <w:rFonts w:hint="eastAsia"/>
          <w:sz w:val="24"/>
          <w:szCs w:val="24"/>
          <w:lang w:eastAsia="zh-CN" w:bidi="th-TH"/>
        </w:rPr>
        <w:t>提交执行问题附属机构第三次会议审议，</w:t>
      </w:r>
      <w:r>
        <w:rPr>
          <w:rFonts w:hint="eastAsia"/>
          <w:sz w:val="24"/>
          <w:szCs w:val="24"/>
          <w:lang w:eastAsia="zh-CN" w:bidi="th-TH"/>
        </w:rPr>
        <w:t>并</w:t>
      </w:r>
      <w:r w:rsidRPr="00EB445E">
        <w:rPr>
          <w:rFonts w:hint="eastAsia"/>
          <w:sz w:val="24"/>
          <w:szCs w:val="24"/>
          <w:lang w:eastAsia="zh-CN" w:bidi="th-TH"/>
        </w:rPr>
        <w:t>最终提交缔约方大会第十五届会议审议。</w:t>
      </w:r>
    </w:p>
    <w:p w:rsidR="00D9416A" w:rsidRPr="00BE5D6F" w:rsidRDefault="00D9416A" w:rsidP="00D9416A">
      <w:pPr>
        <w:pStyle w:val="Heading2"/>
        <w:adjustRightInd w:val="0"/>
        <w:snapToGrid w:val="0"/>
        <w:ind w:firstLine="0"/>
        <w:rPr>
          <w:i/>
          <w:sz w:val="24"/>
          <w:lang w:bidi="th-TH"/>
        </w:rPr>
      </w:pPr>
      <w:bookmarkStart w:id="204" w:name="_Toc6243780"/>
      <w:r w:rsidRPr="00BE5D6F">
        <w:rPr>
          <w:sz w:val="24"/>
          <w:lang w:bidi="th-TH"/>
        </w:rPr>
        <w:t xml:space="preserve">C.    </w:t>
      </w:r>
      <w:r w:rsidRPr="00BE5D6F">
        <w:rPr>
          <w:rFonts w:hint="eastAsia"/>
          <w:sz w:val="24"/>
          <w:lang w:bidi="th-TH"/>
        </w:rPr>
        <w:t>说明性活动时间表</w:t>
      </w:r>
      <w:bookmarkEnd w:id="204"/>
    </w:p>
    <w:p w:rsidR="00D9416A" w:rsidRPr="00EB445E" w:rsidRDefault="00D9416A" w:rsidP="00D9416A">
      <w:pPr>
        <w:pStyle w:val="Para1"/>
        <w:numPr>
          <w:ilvl w:val="0"/>
          <w:numId w:val="8"/>
        </w:numPr>
        <w:tabs>
          <w:tab w:val="clear" w:pos="360"/>
        </w:tabs>
        <w:adjustRightInd w:val="0"/>
        <w:snapToGrid w:val="0"/>
        <w:ind w:firstLine="0"/>
        <w:rPr>
          <w:sz w:val="24"/>
          <w:szCs w:val="24"/>
          <w:lang w:eastAsia="zh-CN" w:bidi="th-TH"/>
        </w:rPr>
      </w:pPr>
      <w:r w:rsidRPr="00EB445E">
        <w:rPr>
          <w:rFonts w:hint="eastAsia"/>
          <w:sz w:val="24"/>
          <w:szCs w:val="24"/>
          <w:lang w:eastAsia="zh-CN" w:bidi="th-TH"/>
        </w:rPr>
        <w:t>要想与制定《</w:t>
      </w:r>
      <w:r w:rsidRPr="00EB445E">
        <w:rPr>
          <w:sz w:val="24"/>
          <w:szCs w:val="24"/>
          <w:lang w:eastAsia="zh-CN" w:bidi="th-TH"/>
        </w:rPr>
        <w:t>2011-2020</w:t>
      </w:r>
      <w:r w:rsidRPr="00EB445E">
        <w:rPr>
          <w:rFonts w:hint="eastAsia"/>
          <w:sz w:val="24"/>
          <w:szCs w:val="24"/>
          <w:lang w:eastAsia="zh-CN" w:bidi="th-TH"/>
        </w:rPr>
        <w:t>年生物多样性战略计划》后续行动的时间表保持一致，</w:t>
      </w:r>
      <w:r w:rsidRPr="00EB445E">
        <w:rPr>
          <w:sz w:val="24"/>
          <w:szCs w:val="24"/>
          <w:lang w:eastAsia="zh-CN" w:bidi="th-TH"/>
        </w:rPr>
        <w:t>2020</w:t>
      </w:r>
      <w:r w:rsidRPr="00EB445E">
        <w:rPr>
          <w:rFonts w:hint="eastAsia"/>
          <w:sz w:val="24"/>
          <w:szCs w:val="24"/>
          <w:lang w:eastAsia="zh-CN" w:bidi="th-TH"/>
        </w:rPr>
        <w:t>年后能力建设长期战略框架编制进程应包括以下活动：</w:t>
      </w:r>
    </w:p>
    <w:tbl>
      <w:tblPr>
        <w:tblW w:w="9747" w:type="dxa"/>
        <w:tblLook w:val="01E0"/>
      </w:tblPr>
      <w:tblGrid>
        <w:gridCol w:w="5387"/>
        <w:gridCol w:w="1667"/>
        <w:gridCol w:w="2693"/>
      </w:tblGrid>
      <w:tr w:rsidR="00D9416A" w:rsidRPr="00EB445E" w:rsidTr="001F1AAC">
        <w:trPr>
          <w:tblHeader/>
        </w:trPr>
        <w:tc>
          <w:tcPr>
            <w:tcW w:w="5387" w:type="dxa"/>
          </w:tcPr>
          <w:p w:rsidR="00D9416A" w:rsidRPr="00EB445E" w:rsidRDefault="00D9416A" w:rsidP="001F1AAC">
            <w:pPr>
              <w:pStyle w:val="Para1"/>
              <w:tabs>
                <w:tab w:val="clear" w:pos="360"/>
              </w:tabs>
              <w:adjustRightInd w:val="0"/>
              <w:snapToGrid w:val="0"/>
              <w:ind w:firstLine="0"/>
              <w:jc w:val="center"/>
              <w:rPr>
                <w:rFonts w:ascii="KaiTi" w:eastAsia="KaiTi" w:hAnsi="KaiTi"/>
                <w:sz w:val="24"/>
                <w:szCs w:val="24"/>
                <w:lang w:bidi="th-TH"/>
              </w:rPr>
            </w:pPr>
            <w:r w:rsidRPr="00EB445E">
              <w:rPr>
                <w:rFonts w:ascii="KaiTi" w:eastAsia="KaiTi" w:hAnsi="KaiTi" w:hint="eastAsia"/>
                <w:sz w:val="24"/>
                <w:szCs w:val="24"/>
                <w:lang w:bidi="th-TH"/>
              </w:rPr>
              <w:t>活动</w:t>
            </w:r>
            <w:r w:rsidRPr="00EB445E">
              <w:rPr>
                <w:rFonts w:ascii="KaiTi" w:eastAsia="KaiTi" w:hAnsi="KaiTi"/>
                <w:sz w:val="24"/>
                <w:szCs w:val="24"/>
                <w:lang w:bidi="th-TH"/>
              </w:rPr>
              <w:t>/</w:t>
            </w:r>
            <w:r w:rsidRPr="00EB445E">
              <w:rPr>
                <w:rFonts w:ascii="KaiTi" w:eastAsia="KaiTi" w:hAnsi="KaiTi" w:hint="eastAsia"/>
                <w:sz w:val="24"/>
                <w:szCs w:val="24"/>
                <w:lang w:bidi="th-TH"/>
              </w:rPr>
              <w:t>任务</w:t>
            </w:r>
          </w:p>
        </w:tc>
        <w:tc>
          <w:tcPr>
            <w:tcW w:w="1667" w:type="dxa"/>
          </w:tcPr>
          <w:p w:rsidR="00D9416A" w:rsidRPr="00EB445E" w:rsidRDefault="00D9416A" w:rsidP="001F1AAC">
            <w:pPr>
              <w:pStyle w:val="Para1"/>
              <w:tabs>
                <w:tab w:val="clear" w:pos="360"/>
              </w:tabs>
              <w:adjustRightInd w:val="0"/>
              <w:snapToGrid w:val="0"/>
              <w:ind w:firstLine="0"/>
              <w:jc w:val="center"/>
              <w:rPr>
                <w:rFonts w:ascii="KaiTi" w:eastAsia="KaiTi" w:hAnsi="KaiTi"/>
                <w:sz w:val="24"/>
                <w:szCs w:val="24"/>
                <w:lang w:bidi="th-TH"/>
              </w:rPr>
            </w:pPr>
            <w:r w:rsidRPr="00EB445E">
              <w:rPr>
                <w:rFonts w:ascii="KaiTi" w:eastAsia="KaiTi" w:hAnsi="KaiTi" w:hint="eastAsia"/>
                <w:sz w:val="24"/>
                <w:szCs w:val="24"/>
                <w:lang w:bidi="th-TH"/>
              </w:rPr>
              <w:t>时限</w:t>
            </w:r>
          </w:p>
        </w:tc>
        <w:tc>
          <w:tcPr>
            <w:tcW w:w="2693" w:type="dxa"/>
          </w:tcPr>
          <w:p w:rsidR="00D9416A" w:rsidRPr="00EB445E" w:rsidRDefault="00D9416A" w:rsidP="001F1AAC">
            <w:pPr>
              <w:pStyle w:val="Para1"/>
              <w:tabs>
                <w:tab w:val="clear" w:pos="360"/>
              </w:tabs>
              <w:adjustRightInd w:val="0"/>
              <w:snapToGrid w:val="0"/>
              <w:ind w:firstLine="0"/>
              <w:jc w:val="center"/>
              <w:rPr>
                <w:rFonts w:ascii="KaiTi" w:eastAsia="KaiTi" w:hAnsi="KaiTi"/>
                <w:sz w:val="24"/>
                <w:szCs w:val="24"/>
                <w:lang w:bidi="th-TH"/>
              </w:rPr>
            </w:pPr>
            <w:r w:rsidRPr="00EB445E">
              <w:rPr>
                <w:rFonts w:ascii="KaiTi" w:eastAsia="KaiTi" w:hAnsi="KaiTi" w:hint="eastAsia"/>
                <w:sz w:val="24"/>
                <w:szCs w:val="24"/>
                <w:lang w:bidi="th-TH"/>
              </w:rPr>
              <w:t>责任</w:t>
            </w:r>
          </w:p>
        </w:tc>
      </w:tr>
      <w:tr w:rsidR="00D9416A" w:rsidRPr="00EB445E" w:rsidTr="001F1AAC">
        <w:tc>
          <w:tcPr>
            <w:tcW w:w="5387" w:type="dxa"/>
          </w:tcPr>
          <w:p w:rsidR="00D9416A" w:rsidRPr="00EB445E" w:rsidRDefault="00D9416A" w:rsidP="00D9416A">
            <w:pPr>
              <w:pStyle w:val="Para1"/>
              <w:numPr>
                <w:ilvl w:val="0"/>
                <w:numId w:val="240"/>
              </w:numPr>
              <w:tabs>
                <w:tab w:val="clear" w:pos="357"/>
              </w:tabs>
              <w:adjustRightInd w:val="0"/>
              <w:snapToGrid w:val="0"/>
              <w:rPr>
                <w:sz w:val="24"/>
                <w:szCs w:val="24"/>
                <w:lang w:eastAsia="zh-CN" w:bidi="th-TH"/>
              </w:rPr>
            </w:pPr>
            <w:r w:rsidRPr="00EB445E">
              <w:rPr>
                <w:rFonts w:hint="eastAsia"/>
                <w:sz w:val="24"/>
                <w:szCs w:val="24"/>
                <w:lang w:eastAsia="zh-CN" w:bidi="th-TH"/>
              </w:rPr>
              <w:t>邀请各缔约方、土著人民和地方社区以及妇女和青年及相关组织提交关于能力发展需求和优先事项的信息、相关经验教训以及关于</w:t>
            </w:r>
            <w:r w:rsidRPr="00EB445E">
              <w:rPr>
                <w:sz w:val="24"/>
                <w:szCs w:val="24"/>
                <w:lang w:eastAsia="zh-CN" w:bidi="th-TH"/>
              </w:rPr>
              <w:t>2020</w:t>
            </w:r>
            <w:r w:rsidRPr="00EB445E">
              <w:rPr>
                <w:rFonts w:hint="eastAsia"/>
                <w:sz w:val="24"/>
                <w:szCs w:val="24"/>
                <w:lang w:eastAsia="zh-CN" w:bidi="th-TH"/>
              </w:rPr>
              <w:t>年后能力建设长期战略框架可能要素的意见</w:t>
            </w:r>
            <w:r w:rsidRPr="00EB445E">
              <w:rPr>
                <w:sz w:val="24"/>
                <w:szCs w:val="24"/>
                <w:lang w:eastAsia="zh-CN" w:bidi="th-TH"/>
              </w:rPr>
              <w:t>/</w:t>
            </w:r>
            <w:r w:rsidRPr="00EB445E">
              <w:rPr>
                <w:rFonts w:hint="eastAsia"/>
                <w:sz w:val="24"/>
                <w:szCs w:val="24"/>
                <w:lang w:eastAsia="zh-CN" w:bidi="th-TH"/>
              </w:rPr>
              <w:t>建议，补充通过国家报告提供的信息</w:t>
            </w:r>
          </w:p>
        </w:tc>
        <w:tc>
          <w:tcPr>
            <w:tcW w:w="1667" w:type="dxa"/>
          </w:tcPr>
          <w:p w:rsidR="00D9416A" w:rsidRPr="00EB445E" w:rsidRDefault="00D9416A" w:rsidP="001F1AAC">
            <w:pPr>
              <w:pStyle w:val="Para1"/>
              <w:tabs>
                <w:tab w:val="clear" w:pos="360"/>
              </w:tabs>
              <w:adjustRightInd w:val="0"/>
              <w:snapToGrid w:val="0"/>
              <w:ind w:firstLine="0"/>
              <w:rPr>
                <w:sz w:val="24"/>
                <w:szCs w:val="24"/>
                <w:lang w:bidi="th-TH"/>
              </w:rPr>
            </w:pPr>
            <w:r w:rsidRPr="00EB445E">
              <w:rPr>
                <w:sz w:val="24"/>
                <w:szCs w:val="24"/>
                <w:lang w:bidi="th-TH"/>
              </w:rPr>
              <w:t>2018</w:t>
            </w:r>
            <w:r w:rsidRPr="00EB445E">
              <w:rPr>
                <w:rFonts w:hint="eastAsia"/>
                <w:sz w:val="24"/>
                <w:szCs w:val="24"/>
                <w:lang w:bidi="th-TH"/>
              </w:rPr>
              <w:t>年</w:t>
            </w:r>
            <w:r w:rsidRPr="00EB445E">
              <w:rPr>
                <w:sz w:val="24"/>
                <w:szCs w:val="24"/>
                <w:lang w:bidi="th-TH"/>
              </w:rPr>
              <w:t>8</w:t>
            </w:r>
            <w:r w:rsidRPr="00EB445E">
              <w:rPr>
                <w:rFonts w:hint="eastAsia"/>
                <w:sz w:val="24"/>
                <w:szCs w:val="24"/>
                <w:lang w:bidi="th-TH"/>
              </w:rPr>
              <w:t>月至</w:t>
            </w:r>
            <w:r w:rsidRPr="00EB445E">
              <w:rPr>
                <w:sz w:val="24"/>
                <w:szCs w:val="24"/>
                <w:lang w:bidi="th-TH"/>
              </w:rPr>
              <w:t>11</w:t>
            </w:r>
            <w:r w:rsidRPr="00EB445E">
              <w:rPr>
                <w:rFonts w:hint="eastAsia"/>
                <w:sz w:val="24"/>
                <w:szCs w:val="24"/>
                <w:lang w:bidi="th-TH"/>
              </w:rPr>
              <w:t>月</w:t>
            </w:r>
          </w:p>
        </w:tc>
        <w:tc>
          <w:tcPr>
            <w:tcW w:w="2693" w:type="dxa"/>
          </w:tcPr>
          <w:p w:rsidR="00D9416A" w:rsidRPr="00EB445E" w:rsidRDefault="00D9416A" w:rsidP="001F1AAC">
            <w:pPr>
              <w:pStyle w:val="Para1"/>
              <w:tabs>
                <w:tab w:val="clear" w:pos="360"/>
              </w:tabs>
              <w:adjustRightInd w:val="0"/>
              <w:snapToGrid w:val="0"/>
              <w:ind w:firstLine="0"/>
              <w:jc w:val="left"/>
              <w:rPr>
                <w:sz w:val="24"/>
                <w:szCs w:val="24"/>
                <w:lang w:eastAsia="zh-CN" w:bidi="th-TH"/>
              </w:rPr>
            </w:pPr>
            <w:r w:rsidRPr="00EB445E">
              <w:rPr>
                <w:rFonts w:hint="eastAsia"/>
                <w:sz w:val="24"/>
                <w:szCs w:val="24"/>
                <w:lang w:eastAsia="zh-CN" w:bidi="th-TH"/>
              </w:rPr>
              <w:t>秘书处；各缔约方、土著人民和地方社区及相关组织</w:t>
            </w:r>
          </w:p>
        </w:tc>
      </w:tr>
      <w:tr w:rsidR="00D9416A" w:rsidRPr="00EB445E" w:rsidTr="001F1AAC">
        <w:tc>
          <w:tcPr>
            <w:tcW w:w="5387" w:type="dxa"/>
          </w:tcPr>
          <w:p w:rsidR="00D9416A" w:rsidRPr="00EB445E" w:rsidRDefault="00D9416A" w:rsidP="00D9416A">
            <w:pPr>
              <w:pStyle w:val="Para1"/>
              <w:numPr>
                <w:ilvl w:val="0"/>
                <w:numId w:val="240"/>
              </w:numPr>
              <w:tabs>
                <w:tab w:val="clear" w:pos="357"/>
              </w:tabs>
              <w:adjustRightInd w:val="0"/>
              <w:snapToGrid w:val="0"/>
              <w:jc w:val="left"/>
              <w:rPr>
                <w:sz w:val="24"/>
                <w:szCs w:val="24"/>
                <w:lang w:bidi="th-TH"/>
              </w:rPr>
            </w:pPr>
            <w:r w:rsidRPr="00EB445E">
              <w:rPr>
                <w:rFonts w:hint="eastAsia"/>
                <w:sz w:val="24"/>
                <w:szCs w:val="24"/>
                <w:lang w:bidi="th-TH"/>
              </w:rPr>
              <w:t>提交国家报告</w:t>
            </w:r>
          </w:p>
        </w:tc>
        <w:tc>
          <w:tcPr>
            <w:tcW w:w="1667" w:type="dxa"/>
          </w:tcPr>
          <w:p w:rsidR="00D9416A" w:rsidRPr="00EB445E" w:rsidRDefault="00D9416A" w:rsidP="001F1AAC">
            <w:pPr>
              <w:pStyle w:val="Para1"/>
              <w:tabs>
                <w:tab w:val="clear" w:pos="360"/>
              </w:tabs>
              <w:adjustRightInd w:val="0"/>
              <w:snapToGrid w:val="0"/>
              <w:ind w:firstLine="0"/>
              <w:rPr>
                <w:sz w:val="24"/>
                <w:szCs w:val="24"/>
                <w:lang w:bidi="th-TH"/>
              </w:rPr>
            </w:pPr>
            <w:r w:rsidRPr="00EB445E">
              <w:rPr>
                <w:sz w:val="24"/>
                <w:szCs w:val="24"/>
                <w:lang w:bidi="th-TH"/>
              </w:rPr>
              <w:t>2018</w:t>
            </w:r>
            <w:r w:rsidRPr="00EB445E">
              <w:rPr>
                <w:rFonts w:hint="eastAsia"/>
                <w:sz w:val="24"/>
                <w:szCs w:val="24"/>
                <w:lang w:bidi="th-TH"/>
              </w:rPr>
              <w:t>年</w:t>
            </w:r>
            <w:r w:rsidRPr="00EB445E">
              <w:rPr>
                <w:sz w:val="24"/>
                <w:szCs w:val="24"/>
                <w:lang w:bidi="th-TH"/>
              </w:rPr>
              <w:t>12</w:t>
            </w:r>
            <w:r w:rsidRPr="00EB445E">
              <w:rPr>
                <w:rFonts w:hint="eastAsia"/>
                <w:sz w:val="24"/>
                <w:szCs w:val="24"/>
                <w:lang w:bidi="th-TH"/>
              </w:rPr>
              <w:t>月</w:t>
            </w:r>
          </w:p>
        </w:tc>
        <w:tc>
          <w:tcPr>
            <w:tcW w:w="2693" w:type="dxa"/>
          </w:tcPr>
          <w:p w:rsidR="00D9416A" w:rsidRPr="00EB445E" w:rsidRDefault="00D9416A" w:rsidP="001F1AAC">
            <w:pPr>
              <w:pStyle w:val="Para1"/>
              <w:tabs>
                <w:tab w:val="clear" w:pos="360"/>
              </w:tabs>
              <w:adjustRightInd w:val="0"/>
              <w:snapToGrid w:val="0"/>
              <w:ind w:firstLine="0"/>
              <w:jc w:val="left"/>
              <w:rPr>
                <w:sz w:val="24"/>
                <w:szCs w:val="24"/>
                <w:lang w:bidi="th-TH"/>
              </w:rPr>
            </w:pPr>
            <w:r w:rsidRPr="00EB445E">
              <w:rPr>
                <w:rFonts w:hint="eastAsia"/>
                <w:sz w:val="24"/>
                <w:szCs w:val="24"/>
                <w:lang w:bidi="th-TH"/>
              </w:rPr>
              <w:t>各缔约方</w:t>
            </w:r>
          </w:p>
        </w:tc>
      </w:tr>
      <w:tr w:rsidR="00D9416A" w:rsidRPr="00EB445E" w:rsidTr="001F1AAC">
        <w:tc>
          <w:tcPr>
            <w:tcW w:w="5387" w:type="dxa"/>
          </w:tcPr>
          <w:p w:rsidR="00D9416A" w:rsidRPr="00EB445E" w:rsidRDefault="00D9416A" w:rsidP="00D9416A">
            <w:pPr>
              <w:pStyle w:val="Para1"/>
              <w:numPr>
                <w:ilvl w:val="0"/>
                <w:numId w:val="240"/>
              </w:numPr>
              <w:tabs>
                <w:tab w:val="clear" w:pos="357"/>
              </w:tabs>
              <w:adjustRightInd w:val="0"/>
              <w:snapToGrid w:val="0"/>
              <w:rPr>
                <w:sz w:val="24"/>
                <w:szCs w:val="24"/>
                <w:lang w:eastAsia="zh-CN" w:bidi="th-TH"/>
              </w:rPr>
            </w:pPr>
            <w:r>
              <w:rPr>
                <w:rFonts w:hint="eastAsia"/>
                <w:sz w:val="24"/>
                <w:szCs w:val="24"/>
                <w:lang w:eastAsia="zh-CN" w:bidi="th-TH"/>
              </w:rPr>
              <w:t>对旨在加强和支持执行《公约》及其《议定书》</w:t>
            </w:r>
            <w:r w:rsidRPr="00EB445E">
              <w:rPr>
                <w:rFonts w:hint="eastAsia"/>
                <w:sz w:val="24"/>
                <w:szCs w:val="24"/>
                <w:lang w:eastAsia="zh-CN" w:bidi="th-TH"/>
              </w:rPr>
              <w:t>的能力建设的短期行动计划（</w:t>
            </w:r>
            <w:r w:rsidRPr="00EB445E">
              <w:rPr>
                <w:sz w:val="24"/>
                <w:szCs w:val="24"/>
                <w:lang w:eastAsia="zh-CN" w:bidi="th-TH"/>
              </w:rPr>
              <w:t>2017-2020</w:t>
            </w:r>
            <w:r w:rsidRPr="00EB445E">
              <w:rPr>
                <w:rFonts w:hint="eastAsia"/>
                <w:sz w:val="24"/>
                <w:szCs w:val="24"/>
                <w:lang w:eastAsia="zh-CN" w:bidi="th-TH"/>
              </w:rPr>
              <w:t>）的结果和成效进行独立评价</w:t>
            </w:r>
          </w:p>
        </w:tc>
        <w:tc>
          <w:tcPr>
            <w:tcW w:w="1667" w:type="dxa"/>
          </w:tcPr>
          <w:p w:rsidR="00D9416A" w:rsidRPr="00EB445E" w:rsidRDefault="00D9416A" w:rsidP="001F1AAC">
            <w:pPr>
              <w:pStyle w:val="Para1"/>
              <w:tabs>
                <w:tab w:val="clear" w:pos="360"/>
              </w:tabs>
              <w:adjustRightInd w:val="0"/>
              <w:snapToGrid w:val="0"/>
              <w:ind w:firstLine="0"/>
              <w:rPr>
                <w:sz w:val="24"/>
                <w:szCs w:val="24"/>
                <w:lang w:bidi="th-TH"/>
              </w:rPr>
            </w:pPr>
            <w:r w:rsidRPr="00EB445E">
              <w:rPr>
                <w:sz w:val="24"/>
                <w:szCs w:val="24"/>
                <w:lang w:bidi="th-TH"/>
              </w:rPr>
              <w:t>2019</w:t>
            </w:r>
            <w:r w:rsidRPr="00EB445E">
              <w:rPr>
                <w:rFonts w:hint="eastAsia"/>
                <w:sz w:val="24"/>
                <w:szCs w:val="24"/>
                <w:lang w:bidi="th-TH"/>
              </w:rPr>
              <w:t>年</w:t>
            </w:r>
            <w:r w:rsidRPr="00EB445E">
              <w:rPr>
                <w:sz w:val="24"/>
                <w:szCs w:val="24"/>
                <w:lang w:bidi="th-TH"/>
              </w:rPr>
              <w:t>1</w:t>
            </w:r>
            <w:r w:rsidRPr="00EB445E">
              <w:rPr>
                <w:rFonts w:hint="eastAsia"/>
                <w:sz w:val="24"/>
                <w:szCs w:val="24"/>
                <w:lang w:bidi="th-TH"/>
              </w:rPr>
              <w:t>月至</w:t>
            </w:r>
            <w:r w:rsidRPr="00EB445E">
              <w:rPr>
                <w:sz w:val="24"/>
                <w:szCs w:val="24"/>
                <w:lang w:bidi="th-TH"/>
              </w:rPr>
              <w:t>12</w:t>
            </w:r>
            <w:r w:rsidRPr="00EB445E">
              <w:rPr>
                <w:rFonts w:hint="eastAsia"/>
                <w:sz w:val="24"/>
                <w:szCs w:val="24"/>
                <w:lang w:bidi="th-TH"/>
              </w:rPr>
              <w:t>月</w:t>
            </w:r>
          </w:p>
        </w:tc>
        <w:tc>
          <w:tcPr>
            <w:tcW w:w="2693" w:type="dxa"/>
          </w:tcPr>
          <w:p w:rsidR="00D9416A" w:rsidRPr="00EB445E" w:rsidRDefault="00D9416A" w:rsidP="001F1AAC">
            <w:pPr>
              <w:pStyle w:val="Para1"/>
              <w:tabs>
                <w:tab w:val="clear" w:pos="360"/>
              </w:tabs>
              <w:adjustRightInd w:val="0"/>
              <w:snapToGrid w:val="0"/>
              <w:ind w:firstLine="0"/>
              <w:rPr>
                <w:sz w:val="24"/>
                <w:szCs w:val="24"/>
                <w:lang w:bidi="th-TH"/>
              </w:rPr>
            </w:pPr>
            <w:r w:rsidRPr="00EB445E">
              <w:rPr>
                <w:rFonts w:hint="eastAsia"/>
                <w:sz w:val="24"/>
                <w:szCs w:val="24"/>
                <w:lang w:bidi="th-TH"/>
              </w:rPr>
              <w:t>顾问</w:t>
            </w:r>
          </w:p>
        </w:tc>
      </w:tr>
      <w:tr w:rsidR="00D9416A" w:rsidRPr="00EB445E" w:rsidTr="001F1AAC">
        <w:tc>
          <w:tcPr>
            <w:tcW w:w="5387" w:type="dxa"/>
          </w:tcPr>
          <w:p w:rsidR="00D9416A" w:rsidRPr="00EB445E" w:rsidRDefault="00D9416A" w:rsidP="00D9416A">
            <w:pPr>
              <w:pStyle w:val="Para1"/>
              <w:numPr>
                <w:ilvl w:val="0"/>
                <w:numId w:val="240"/>
              </w:numPr>
              <w:tabs>
                <w:tab w:val="clear" w:pos="357"/>
              </w:tabs>
              <w:adjustRightInd w:val="0"/>
              <w:snapToGrid w:val="0"/>
              <w:rPr>
                <w:sz w:val="24"/>
                <w:szCs w:val="24"/>
                <w:lang w:eastAsia="zh-CN" w:bidi="th-TH"/>
              </w:rPr>
            </w:pPr>
            <w:r w:rsidRPr="00EB445E">
              <w:rPr>
                <w:rFonts w:hint="eastAsia"/>
                <w:sz w:val="24"/>
                <w:szCs w:val="24"/>
                <w:lang w:eastAsia="zh-CN" w:bidi="th-TH"/>
              </w:rPr>
              <w:t>编写研究报告，提供编制</w:t>
            </w:r>
            <w:r w:rsidRPr="00EB445E">
              <w:rPr>
                <w:sz w:val="24"/>
                <w:szCs w:val="24"/>
                <w:lang w:eastAsia="zh-CN" w:bidi="th-TH"/>
              </w:rPr>
              <w:t>2020</w:t>
            </w:r>
            <w:r w:rsidRPr="00EB445E">
              <w:rPr>
                <w:rFonts w:hint="eastAsia"/>
                <w:sz w:val="24"/>
                <w:szCs w:val="24"/>
                <w:lang w:eastAsia="zh-CN" w:bidi="th-TH"/>
              </w:rPr>
              <w:t>年后能力建设长期战略框架的知识基础，包括对相关报告和文件进行案头审查；综述从各缔约方、土著人</w:t>
            </w:r>
            <w:r w:rsidRPr="00EB445E">
              <w:rPr>
                <w:rFonts w:hint="eastAsia"/>
                <w:sz w:val="24"/>
                <w:szCs w:val="24"/>
                <w:lang w:eastAsia="zh-CN" w:bidi="th-TH"/>
              </w:rPr>
              <w:lastRenderedPageBreak/>
              <w:t>民和地方社区及相关组织收到的信息；以及对主要利益攸关方，包括妇女和青年组织进行调查</w:t>
            </w:r>
            <w:r w:rsidRPr="00EB445E">
              <w:rPr>
                <w:sz w:val="24"/>
                <w:szCs w:val="24"/>
                <w:lang w:eastAsia="zh-CN" w:bidi="th-TH"/>
              </w:rPr>
              <w:t>/</w:t>
            </w:r>
            <w:r w:rsidRPr="00EB445E">
              <w:rPr>
                <w:rFonts w:hint="eastAsia"/>
                <w:sz w:val="24"/>
                <w:szCs w:val="24"/>
                <w:lang w:eastAsia="zh-CN" w:bidi="th-TH"/>
              </w:rPr>
              <w:t>面谈</w:t>
            </w:r>
          </w:p>
        </w:tc>
        <w:tc>
          <w:tcPr>
            <w:tcW w:w="1667" w:type="dxa"/>
          </w:tcPr>
          <w:p w:rsidR="00D9416A" w:rsidRPr="00EB445E" w:rsidRDefault="00D9416A" w:rsidP="001F1AAC">
            <w:pPr>
              <w:pStyle w:val="Para1"/>
              <w:tabs>
                <w:tab w:val="clear" w:pos="360"/>
              </w:tabs>
              <w:adjustRightInd w:val="0"/>
              <w:snapToGrid w:val="0"/>
              <w:ind w:firstLine="0"/>
              <w:rPr>
                <w:sz w:val="24"/>
                <w:szCs w:val="24"/>
                <w:lang w:bidi="th-TH"/>
              </w:rPr>
            </w:pPr>
            <w:r w:rsidRPr="00EB445E">
              <w:rPr>
                <w:sz w:val="24"/>
                <w:szCs w:val="24"/>
                <w:lang w:bidi="th-TH"/>
              </w:rPr>
              <w:lastRenderedPageBreak/>
              <w:t>2019</w:t>
            </w:r>
            <w:r w:rsidRPr="00EB445E">
              <w:rPr>
                <w:rFonts w:hint="eastAsia"/>
                <w:sz w:val="24"/>
                <w:szCs w:val="24"/>
                <w:lang w:bidi="th-TH"/>
              </w:rPr>
              <w:t>年</w:t>
            </w:r>
            <w:r w:rsidRPr="00EB445E">
              <w:rPr>
                <w:sz w:val="24"/>
                <w:szCs w:val="24"/>
                <w:lang w:bidi="th-TH"/>
              </w:rPr>
              <w:t>1</w:t>
            </w:r>
            <w:r w:rsidRPr="00EB445E">
              <w:rPr>
                <w:rFonts w:hint="eastAsia"/>
                <w:sz w:val="24"/>
                <w:szCs w:val="24"/>
                <w:lang w:bidi="th-TH"/>
              </w:rPr>
              <w:t>月至</w:t>
            </w:r>
            <w:r w:rsidRPr="00EB445E">
              <w:rPr>
                <w:sz w:val="24"/>
                <w:szCs w:val="24"/>
                <w:lang w:bidi="th-TH"/>
              </w:rPr>
              <w:t>4</w:t>
            </w:r>
            <w:r w:rsidRPr="00EB445E">
              <w:rPr>
                <w:rFonts w:hint="eastAsia"/>
                <w:sz w:val="24"/>
                <w:szCs w:val="24"/>
                <w:lang w:bidi="th-TH"/>
              </w:rPr>
              <w:t>月</w:t>
            </w:r>
          </w:p>
        </w:tc>
        <w:tc>
          <w:tcPr>
            <w:tcW w:w="2693" w:type="dxa"/>
          </w:tcPr>
          <w:p w:rsidR="00D9416A" w:rsidRPr="00EB445E" w:rsidRDefault="00D9416A" w:rsidP="001F1AAC">
            <w:pPr>
              <w:pStyle w:val="Para1"/>
              <w:tabs>
                <w:tab w:val="clear" w:pos="360"/>
              </w:tabs>
              <w:adjustRightInd w:val="0"/>
              <w:snapToGrid w:val="0"/>
              <w:ind w:firstLine="0"/>
              <w:rPr>
                <w:sz w:val="24"/>
                <w:szCs w:val="24"/>
                <w:lang w:bidi="th-TH"/>
              </w:rPr>
            </w:pPr>
            <w:r w:rsidRPr="00EB445E">
              <w:rPr>
                <w:rFonts w:hint="eastAsia"/>
                <w:sz w:val="24"/>
                <w:szCs w:val="24"/>
                <w:lang w:bidi="th-TH"/>
              </w:rPr>
              <w:t>顾问</w:t>
            </w:r>
          </w:p>
        </w:tc>
      </w:tr>
      <w:tr w:rsidR="00D9416A" w:rsidRPr="00EB445E" w:rsidTr="001F1AAC">
        <w:tc>
          <w:tcPr>
            <w:tcW w:w="5387" w:type="dxa"/>
          </w:tcPr>
          <w:p w:rsidR="00D9416A" w:rsidRDefault="00D9416A" w:rsidP="00D9416A">
            <w:pPr>
              <w:pStyle w:val="Para1"/>
              <w:numPr>
                <w:ilvl w:val="0"/>
                <w:numId w:val="240"/>
              </w:numPr>
              <w:tabs>
                <w:tab w:val="clear" w:pos="357"/>
              </w:tabs>
              <w:adjustRightInd w:val="0"/>
              <w:snapToGrid w:val="0"/>
              <w:rPr>
                <w:sz w:val="24"/>
                <w:szCs w:val="24"/>
                <w:lang w:eastAsia="zh-CN" w:bidi="th-TH"/>
              </w:rPr>
            </w:pPr>
            <w:r w:rsidRPr="00EB445E">
              <w:rPr>
                <w:rFonts w:hint="eastAsia"/>
                <w:sz w:val="24"/>
                <w:szCs w:val="24"/>
                <w:lang w:eastAsia="zh-CN" w:bidi="th-TH"/>
              </w:rPr>
              <w:lastRenderedPageBreak/>
              <w:t>根据缔约方、土著人民和地方社区以及妇女和青年及相关组织和利益攸关方所提交文件以及对国家报告和其他相关文件的审查编写研究报告草案</w:t>
            </w:r>
            <w:r>
              <w:rPr>
                <w:sz w:val="24"/>
                <w:szCs w:val="24"/>
                <w:lang w:eastAsia="zh-CN" w:bidi="th-TH"/>
              </w:rPr>
              <w:t xml:space="preserve"> </w:t>
            </w:r>
          </w:p>
          <w:p w:rsidR="00D9416A" w:rsidRPr="00EB445E" w:rsidRDefault="00D9416A" w:rsidP="00D9416A">
            <w:pPr>
              <w:pStyle w:val="Para1"/>
              <w:numPr>
                <w:ilvl w:val="0"/>
                <w:numId w:val="240"/>
              </w:numPr>
              <w:tabs>
                <w:tab w:val="clear" w:pos="357"/>
              </w:tabs>
              <w:adjustRightInd w:val="0"/>
              <w:snapToGrid w:val="0"/>
              <w:rPr>
                <w:sz w:val="24"/>
                <w:szCs w:val="24"/>
                <w:lang w:eastAsia="zh-CN" w:bidi="th-TH"/>
              </w:rPr>
            </w:pPr>
            <w:r w:rsidRPr="00F62E46">
              <w:rPr>
                <w:rFonts w:hint="eastAsia"/>
                <w:sz w:val="24"/>
                <w:szCs w:val="24"/>
                <w:lang w:eastAsia="zh-CN" w:bidi="th-TH"/>
              </w:rPr>
              <w:t>生物安全能力建设联络小组</w:t>
            </w:r>
            <w:r>
              <w:rPr>
                <w:rFonts w:hint="eastAsia"/>
                <w:sz w:val="24"/>
                <w:szCs w:val="24"/>
                <w:lang w:eastAsia="zh-CN" w:bidi="th-TH"/>
              </w:rPr>
              <w:t>、</w:t>
            </w:r>
            <w:r w:rsidRPr="00F62E46">
              <w:rPr>
                <w:rFonts w:hint="eastAsia"/>
                <w:sz w:val="24"/>
                <w:szCs w:val="24"/>
                <w:lang w:eastAsia="zh-CN" w:bidi="th-TH"/>
              </w:rPr>
              <w:t>执行名古屋议定书能力建设非正式咨询委员会</w:t>
            </w:r>
            <w:r>
              <w:rPr>
                <w:rFonts w:hint="eastAsia"/>
                <w:sz w:val="24"/>
                <w:szCs w:val="24"/>
                <w:lang w:eastAsia="zh-CN" w:bidi="th-TH"/>
              </w:rPr>
              <w:t>、</w:t>
            </w:r>
            <w:r w:rsidRPr="008F0C40">
              <w:rPr>
                <w:rFonts w:hint="eastAsia"/>
                <w:sz w:val="24"/>
                <w:szCs w:val="24"/>
                <w:lang w:eastAsia="zh-CN" w:bidi="th-TH"/>
              </w:rPr>
              <w:t>生物多样性相关公约联络小组以及</w:t>
            </w:r>
            <w:r w:rsidRPr="00A07A5E">
              <w:rPr>
                <w:rFonts w:ascii="SimSun" w:hAnsi="SimSun" w:hint="eastAsia"/>
                <w:color w:val="000000"/>
                <w:sz w:val="24"/>
                <w:szCs w:val="24"/>
                <w:lang w:eastAsia="zh-CN"/>
              </w:rPr>
              <w:t>生物多样性和生态系统服务政府间科学政策平台（政府间科学政策平台）等其他与能力建设有关的平台</w:t>
            </w:r>
            <w:r w:rsidRPr="008F0C40">
              <w:rPr>
                <w:rFonts w:hint="eastAsia"/>
                <w:sz w:val="24"/>
                <w:szCs w:val="24"/>
                <w:lang w:eastAsia="zh-CN" w:bidi="th-TH"/>
              </w:rPr>
              <w:t>对</w:t>
            </w:r>
            <w:r w:rsidRPr="00F62E46">
              <w:rPr>
                <w:rFonts w:hint="eastAsia"/>
                <w:sz w:val="24"/>
                <w:szCs w:val="24"/>
                <w:lang w:eastAsia="zh-CN" w:bidi="th-TH"/>
              </w:rPr>
              <w:t>制定</w:t>
            </w:r>
            <w:r w:rsidRPr="00F62E46">
              <w:rPr>
                <w:sz w:val="24"/>
                <w:szCs w:val="24"/>
                <w:lang w:eastAsia="zh-CN" w:bidi="th-TH"/>
              </w:rPr>
              <w:t>2020</w:t>
            </w:r>
            <w:r w:rsidRPr="00F62E46">
              <w:rPr>
                <w:rFonts w:hint="eastAsia"/>
                <w:sz w:val="24"/>
                <w:szCs w:val="24"/>
                <w:lang w:eastAsia="zh-CN" w:bidi="th-TH"/>
              </w:rPr>
              <w:t>年后能力建设长期战略框架草案的贡献</w:t>
            </w:r>
          </w:p>
        </w:tc>
        <w:tc>
          <w:tcPr>
            <w:tcW w:w="1667" w:type="dxa"/>
          </w:tcPr>
          <w:p w:rsidR="00D9416A" w:rsidRDefault="00D9416A" w:rsidP="001F1AAC">
            <w:pPr>
              <w:pStyle w:val="Para1"/>
              <w:tabs>
                <w:tab w:val="clear" w:pos="360"/>
              </w:tabs>
              <w:adjustRightInd w:val="0"/>
              <w:snapToGrid w:val="0"/>
              <w:ind w:firstLine="0"/>
              <w:rPr>
                <w:sz w:val="24"/>
                <w:szCs w:val="24"/>
                <w:lang w:bidi="th-TH"/>
              </w:rPr>
            </w:pPr>
            <w:r w:rsidRPr="00EB445E">
              <w:rPr>
                <w:sz w:val="24"/>
                <w:szCs w:val="24"/>
                <w:lang w:bidi="th-TH"/>
              </w:rPr>
              <w:t>2019</w:t>
            </w:r>
            <w:r w:rsidRPr="00EB445E">
              <w:rPr>
                <w:rFonts w:hint="eastAsia"/>
                <w:sz w:val="24"/>
                <w:szCs w:val="24"/>
                <w:lang w:bidi="th-TH"/>
              </w:rPr>
              <w:t>年</w:t>
            </w:r>
            <w:r w:rsidRPr="00EB445E">
              <w:rPr>
                <w:sz w:val="24"/>
                <w:szCs w:val="24"/>
                <w:lang w:bidi="th-TH"/>
              </w:rPr>
              <w:t>4</w:t>
            </w:r>
            <w:r w:rsidRPr="00EB445E">
              <w:rPr>
                <w:rFonts w:hint="eastAsia"/>
                <w:sz w:val="24"/>
                <w:szCs w:val="24"/>
                <w:lang w:bidi="th-TH"/>
              </w:rPr>
              <w:t>月至</w:t>
            </w:r>
            <w:r w:rsidRPr="00EB445E">
              <w:rPr>
                <w:sz w:val="24"/>
                <w:szCs w:val="24"/>
                <w:lang w:bidi="th-TH"/>
              </w:rPr>
              <w:t>5</w:t>
            </w:r>
            <w:r w:rsidRPr="00EB445E">
              <w:rPr>
                <w:rFonts w:hint="eastAsia"/>
                <w:sz w:val="24"/>
                <w:szCs w:val="24"/>
                <w:lang w:bidi="th-TH"/>
              </w:rPr>
              <w:t>月</w:t>
            </w:r>
          </w:p>
          <w:p w:rsidR="00D9416A" w:rsidRDefault="00D9416A" w:rsidP="001F1AAC">
            <w:pPr>
              <w:pStyle w:val="Para1"/>
              <w:tabs>
                <w:tab w:val="clear" w:pos="360"/>
              </w:tabs>
              <w:adjustRightInd w:val="0"/>
              <w:snapToGrid w:val="0"/>
              <w:ind w:firstLine="0"/>
              <w:rPr>
                <w:sz w:val="24"/>
                <w:szCs w:val="24"/>
                <w:lang w:bidi="th-TH"/>
              </w:rPr>
            </w:pPr>
          </w:p>
          <w:p w:rsidR="00D9416A" w:rsidRPr="00EB445E" w:rsidRDefault="00D9416A" w:rsidP="001F1AAC">
            <w:pPr>
              <w:pStyle w:val="Para1"/>
              <w:tabs>
                <w:tab w:val="clear" w:pos="360"/>
              </w:tabs>
              <w:adjustRightInd w:val="0"/>
              <w:snapToGrid w:val="0"/>
              <w:ind w:firstLine="0"/>
              <w:rPr>
                <w:sz w:val="24"/>
                <w:szCs w:val="24"/>
                <w:lang w:bidi="th-TH"/>
              </w:rPr>
            </w:pPr>
            <w:r w:rsidRPr="00EB445E">
              <w:rPr>
                <w:sz w:val="24"/>
                <w:szCs w:val="24"/>
                <w:lang w:bidi="th-TH"/>
              </w:rPr>
              <w:t>2019</w:t>
            </w:r>
            <w:r w:rsidRPr="00EB445E">
              <w:rPr>
                <w:rFonts w:hint="eastAsia"/>
                <w:sz w:val="24"/>
                <w:szCs w:val="24"/>
                <w:lang w:bidi="th-TH"/>
              </w:rPr>
              <w:t>年</w:t>
            </w:r>
            <w:r>
              <w:rPr>
                <w:sz w:val="24"/>
                <w:szCs w:val="24"/>
                <w:lang w:bidi="th-TH"/>
              </w:rPr>
              <w:t>3</w:t>
            </w:r>
            <w:r w:rsidRPr="00EB445E">
              <w:rPr>
                <w:rFonts w:hint="eastAsia"/>
                <w:sz w:val="24"/>
                <w:szCs w:val="24"/>
                <w:lang w:bidi="th-TH"/>
              </w:rPr>
              <w:t>月至</w:t>
            </w:r>
            <w:r w:rsidRPr="00EB445E">
              <w:rPr>
                <w:sz w:val="24"/>
                <w:szCs w:val="24"/>
                <w:lang w:bidi="th-TH"/>
              </w:rPr>
              <w:t>5</w:t>
            </w:r>
            <w:r w:rsidRPr="00EB445E">
              <w:rPr>
                <w:rFonts w:hint="eastAsia"/>
                <w:sz w:val="24"/>
                <w:szCs w:val="24"/>
                <w:lang w:bidi="th-TH"/>
              </w:rPr>
              <w:t>月</w:t>
            </w:r>
          </w:p>
        </w:tc>
        <w:tc>
          <w:tcPr>
            <w:tcW w:w="2693" w:type="dxa"/>
          </w:tcPr>
          <w:p w:rsidR="00D9416A" w:rsidRDefault="00D9416A" w:rsidP="001F1AAC">
            <w:pPr>
              <w:pStyle w:val="Para1"/>
              <w:tabs>
                <w:tab w:val="clear" w:pos="360"/>
              </w:tabs>
              <w:adjustRightInd w:val="0"/>
              <w:snapToGrid w:val="0"/>
              <w:ind w:firstLine="0"/>
              <w:jc w:val="left"/>
              <w:rPr>
                <w:sz w:val="24"/>
                <w:szCs w:val="24"/>
                <w:lang w:eastAsia="zh-CN" w:bidi="th-TH"/>
              </w:rPr>
            </w:pPr>
            <w:r w:rsidRPr="00EB445E">
              <w:rPr>
                <w:rFonts w:hint="eastAsia"/>
                <w:sz w:val="24"/>
                <w:szCs w:val="24"/>
                <w:lang w:eastAsia="zh-CN" w:bidi="th-TH"/>
              </w:rPr>
              <w:t>顾问；秘书处</w:t>
            </w:r>
          </w:p>
          <w:p w:rsidR="00D9416A" w:rsidRDefault="00D9416A" w:rsidP="001F1AAC">
            <w:pPr>
              <w:pStyle w:val="Para1"/>
              <w:tabs>
                <w:tab w:val="clear" w:pos="360"/>
              </w:tabs>
              <w:adjustRightInd w:val="0"/>
              <w:snapToGrid w:val="0"/>
              <w:ind w:firstLine="0"/>
              <w:jc w:val="left"/>
              <w:rPr>
                <w:sz w:val="24"/>
                <w:szCs w:val="24"/>
                <w:lang w:eastAsia="zh-CN" w:bidi="th-TH"/>
              </w:rPr>
            </w:pPr>
          </w:p>
          <w:p w:rsidR="00D9416A" w:rsidRDefault="00D9416A" w:rsidP="001F1AAC">
            <w:pPr>
              <w:pStyle w:val="Para1"/>
              <w:tabs>
                <w:tab w:val="clear" w:pos="360"/>
              </w:tabs>
              <w:adjustRightInd w:val="0"/>
              <w:snapToGrid w:val="0"/>
              <w:ind w:firstLine="0"/>
              <w:jc w:val="left"/>
              <w:rPr>
                <w:sz w:val="24"/>
                <w:szCs w:val="24"/>
                <w:lang w:eastAsia="zh-CN" w:bidi="th-TH"/>
              </w:rPr>
            </w:pPr>
          </w:p>
          <w:p w:rsidR="00D9416A" w:rsidRPr="00EB445E" w:rsidRDefault="00D9416A" w:rsidP="001F1AAC">
            <w:pPr>
              <w:pStyle w:val="Para1"/>
              <w:tabs>
                <w:tab w:val="clear" w:pos="360"/>
              </w:tabs>
              <w:adjustRightInd w:val="0"/>
              <w:snapToGrid w:val="0"/>
              <w:ind w:firstLine="0"/>
              <w:jc w:val="left"/>
              <w:rPr>
                <w:sz w:val="24"/>
                <w:szCs w:val="24"/>
                <w:lang w:eastAsia="zh-CN" w:bidi="th-TH"/>
              </w:rPr>
            </w:pPr>
            <w:r>
              <w:rPr>
                <w:rFonts w:hint="eastAsia"/>
                <w:sz w:val="24"/>
                <w:szCs w:val="24"/>
                <w:lang w:eastAsia="zh-CN" w:bidi="th-TH"/>
              </w:rPr>
              <w:t>生物安全能力建设联络小组；</w:t>
            </w:r>
            <w:r w:rsidRPr="00F62E46">
              <w:rPr>
                <w:rFonts w:hint="eastAsia"/>
                <w:sz w:val="24"/>
                <w:szCs w:val="24"/>
                <w:lang w:eastAsia="zh-CN" w:bidi="th-TH"/>
              </w:rPr>
              <w:t>执行名古屋议定书能力建设非正式咨询委员会</w:t>
            </w:r>
            <w:r>
              <w:rPr>
                <w:rFonts w:hint="eastAsia"/>
                <w:sz w:val="24"/>
                <w:szCs w:val="24"/>
                <w:lang w:eastAsia="zh-CN" w:bidi="th-TH"/>
              </w:rPr>
              <w:t>；</w:t>
            </w:r>
            <w:r w:rsidRPr="008F0C40">
              <w:rPr>
                <w:rFonts w:hint="eastAsia"/>
                <w:sz w:val="24"/>
                <w:szCs w:val="24"/>
                <w:lang w:eastAsia="zh-CN" w:bidi="th-TH"/>
              </w:rPr>
              <w:t>生物多样性相关公约联络小组</w:t>
            </w:r>
            <w:r>
              <w:rPr>
                <w:rFonts w:hint="eastAsia"/>
                <w:sz w:val="24"/>
                <w:szCs w:val="24"/>
                <w:lang w:eastAsia="zh-CN" w:bidi="th-TH"/>
              </w:rPr>
              <w:t>；</w:t>
            </w:r>
            <w:r w:rsidRPr="005D2018">
              <w:rPr>
                <w:sz w:val="24"/>
                <w:szCs w:val="24"/>
                <w:lang w:eastAsia="zh-CN" w:bidi="th-TH"/>
              </w:rPr>
              <w:t>政府间科学政策平台</w:t>
            </w:r>
            <w:r w:rsidRPr="005D2018">
              <w:rPr>
                <w:rFonts w:hint="eastAsia"/>
                <w:sz w:val="24"/>
                <w:szCs w:val="24"/>
                <w:lang w:eastAsia="zh-CN" w:bidi="th-TH"/>
              </w:rPr>
              <w:t>；</w:t>
            </w:r>
            <w:r>
              <w:rPr>
                <w:rFonts w:hint="eastAsia"/>
                <w:sz w:val="24"/>
                <w:szCs w:val="24"/>
                <w:lang w:eastAsia="zh-CN" w:bidi="th-TH"/>
              </w:rPr>
              <w:t>秘书处</w:t>
            </w:r>
          </w:p>
        </w:tc>
      </w:tr>
      <w:tr w:rsidR="00D9416A" w:rsidRPr="00EB445E" w:rsidTr="001F1AAC">
        <w:tc>
          <w:tcPr>
            <w:tcW w:w="5387" w:type="dxa"/>
          </w:tcPr>
          <w:p w:rsidR="00D9416A" w:rsidRDefault="00D9416A" w:rsidP="00D9416A">
            <w:pPr>
              <w:pStyle w:val="Para1"/>
              <w:numPr>
                <w:ilvl w:val="0"/>
                <w:numId w:val="240"/>
              </w:numPr>
              <w:tabs>
                <w:tab w:val="clear" w:pos="357"/>
              </w:tabs>
              <w:adjustRightInd w:val="0"/>
              <w:snapToGrid w:val="0"/>
              <w:rPr>
                <w:sz w:val="24"/>
                <w:szCs w:val="24"/>
                <w:lang w:eastAsia="zh-CN" w:bidi="th-TH"/>
              </w:rPr>
            </w:pPr>
            <w:r w:rsidRPr="00EB445E">
              <w:rPr>
                <w:rFonts w:hint="eastAsia"/>
                <w:sz w:val="24"/>
                <w:szCs w:val="24"/>
                <w:lang w:eastAsia="zh-CN" w:bidi="th-TH"/>
              </w:rPr>
              <w:t>编制</w:t>
            </w:r>
            <w:r w:rsidRPr="00EB445E">
              <w:rPr>
                <w:sz w:val="24"/>
                <w:szCs w:val="24"/>
                <w:lang w:eastAsia="zh-CN" w:bidi="th-TH"/>
              </w:rPr>
              <w:t>2020</w:t>
            </w:r>
            <w:r w:rsidRPr="00EB445E">
              <w:rPr>
                <w:rFonts w:hint="eastAsia"/>
                <w:sz w:val="24"/>
                <w:szCs w:val="24"/>
                <w:lang w:eastAsia="zh-CN" w:bidi="th-TH"/>
              </w:rPr>
              <w:t>年后能力建设长期战略框架要素草案</w:t>
            </w:r>
          </w:p>
        </w:tc>
        <w:tc>
          <w:tcPr>
            <w:tcW w:w="1667" w:type="dxa"/>
          </w:tcPr>
          <w:p w:rsidR="00D9416A" w:rsidRPr="00EB445E" w:rsidRDefault="00D9416A" w:rsidP="001F1AAC">
            <w:pPr>
              <w:pStyle w:val="Para1"/>
              <w:tabs>
                <w:tab w:val="clear" w:pos="360"/>
              </w:tabs>
              <w:adjustRightInd w:val="0"/>
              <w:snapToGrid w:val="0"/>
              <w:ind w:firstLine="0"/>
              <w:rPr>
                <w:sz w:val="24"/>
                <w:szCs w:val="24"/>
                <w:lang w:bidi="th-TH"/>
              </w:rPr>
            </w:pPr>
            <w:r w:rsidRPr="00EB445E">
              <w:rPr>
                <w:sz w:val="24"/>
                <w:szCs w:val="24"/>
                <w:lang w:bidi="th-TH"/>
              </w:rPr>
              <w:t>2019</w:t>
            </w:r>
            <w:r w:rsidRPr="00EB445E">
              <w:rPr>
                <w:rFonts w:hint="eastAsia"/>
                <w:sz w:val="24"/>
                <w:szCs w:val="24"/>
                <w:lang w:bidi="th-TH"/>
              </w:rPr>
              <w:t>年</w:t>
            </w:r>
            <w:r w:rsidRPr="00EB445E">
              <w:rPr>
                <w:sz w:val="24"/>
                <w:szCs w:val="24"/>
                <w:lang w:bidi="th-TH"/>
              </w:rPr>
              <w:t>5</w:t>
            </w:r>
            <w:r w:rsidRPr="00EB445E">
              <w:rPr>
                <w:rFonts w:hint="eastAsia"/>
                <w:sz w:val="24"/>
                <w:szCs w:val="24"/>
                <w:lang w:bidi="th-TH"/>
              </w:rPr>
              <w:t>月至</w:t>
            </w:r>
            <w:r w:rsidRPr="00EB445E">
              <w:rPr>
                <w:sz w:val="24"/>
                <w:szCs w:val="24"/>
                <w:lang w:bidi="th-TH"/>
              </w:rPr>
              <w:t>6</w:t>
            </w:r>
            <w:r w:rsidRPr="00EB445E">
              <w:rPr>
                <w:rFonts w:hint="eastAsia"/>
                <w:sz w:val="24"/>
                <w:szCs w:val="24"/>
                <w:lang w:bidi="th-TH"/>
              </w:rPr>
              <w:t>月</w:t>
            </w:r>
          </w:p>
        </w:tc>
        <w:tc>
          <w:tcPr>
            <w:tcW w:w="2693" w:type="dxa"/>
          </w:tcPr>
          <w:p w:rsidR="00D9416A" w:rsidRPr="00EB445E" w:rsidRDefault="00D9416A" w:rsidP="001F1AAC">
            <w:pPr>
              <w:pStyle w:val="Para1"/>
              <w:tabs>
                <w:tab w:val="clear" w:pos="360"/>
              </w:tabs>
              <w:adjustRightInd w:val="0"/>
              <w:snapToGrid w:val="0"/>
              <w:ind w:firstLine="0"/>
              <w:jc w:val="left"/>
              <w:rPr>
                <w:sz w:val="24"/>
                <w:szCs w:val="24"/>
                <w:lang w:bidi="th-TH"/>
              </w:rPr>
            </w:pPr>
            <w:r w:rsidRPr="00EB445E">
              <w:rPr>
                <w:rFonts w:hint="eastAsia"/>
                <w:sz w:val="24"/>
                <w:szCs w:val="24"/>
                <w:lang w:bidi="th-TH"/>
              </w:rPr>
              <w:t>顾问；秘书处</w:t>
            </w:r>
          </w:p>
        </w:tc>
      </w:tr>
      <w:tr w:rsidR="00D9416A" w:rsidRPr="00EB445E" w:rsidTr="001F1AAC">
        <w:tc>
          <w:tcPr>
            <w:tcW w:w="5387" w:type="dxa"/>
          </w:tcPr>
          <w:p w:rsidR="00D9416A" w:rsidRDefault="00D9416A" w:rsidP="00D9416A">
            <w:pPr>
              <w:pStyle w:val="Para1"/>
              <w:numPr>
                <w:ilvl w:val="0"/>
                <w:numId w:val="240"/>
              </w:numPr>
              <w:tabs>
                <w:tab w:val="clear" w:pos="357"/>
              </w:tabs>
              <w:adjustRightInd w:val="0"/>
              <w:snapToGrid w:val="0"/>
              <w:rPr>
                <w:sz w:val="24"/>
                <w:szCs w:val="24"/>
                <w:lang w:eastAsia="zh-CN" w:bidi="th-TH"/>
              </w:rPr>
            </w:pPr>
            <w:r w:rsidRPr="00EB445E">
              <w:rPr>
                <w:rFonts w:hint="eastAsia"/>
                <w:sz w:val="24"/>
                <w:szCs w:val="24"/>
                <w:lang w:eastAsia="zh-CN" w:bidi="th-TH"/>
              </w:rPr>
              <w:t>举办关于研究报告草案和相关讨论文件以及</w:t>
            </w:r>
            <w:r w:rsidRPr="00EB445E">
              <w:rPr>
                <w:sz w:val="24"/>
                <w:szCs w:val="24"/>
                <w:lang w:eastAsia="zh-CN" w:bidi="th-TH"/>
              </w:rPr>
              <w:t>2020</w:t>
            </w:r>
            <w:r w:rsidRPr="00EB445E">
              <w:rPr>
                <w:rFonts w:hint="eastAsia"/>
                <w:sz w:val="24"/>
                <w:szCs w:val="24"/>
                <w:lang w:eastAsia="zh-CN" w:bidi="th-TH"/>
              </w:rPr>
              <w:t>年后能力建设长期战略框架要素草案的区域协商讲习班和在线讨论论坛（结合</w:t>
            </w:r>
            <w:r w:rsidRPr="00EB445E">
              <w:rPr>
                <w:sz w:val="24"/>
                <w:szCs w:val="24"/>
                <w:lang w:eastAsia="zh-CN" w:bidi="th-TH"/>
              </w:rPr>
              <w:t>2020</w:t>
            </w:r>
            <w:r w:rsidRPr="00EB445E">
              <w:rPr>
                <w:rFonts w:hint="eastAsia"/>
                <w:sz w:val="24"/>
                <w:szCs w:val="24"/>
                <w:lang w:eastAsia="zh-CN" w:bidi="th-TH"/>
              </w:rPr>
              <w:t>年后全球生物多样性框架制定进程）</w:t>
            </w:r>
          </w:p>
        </w:tc>
        <w:tc>
          <w:tcPr>
            <w:tcW w:w="1667" w:type="dxa"/>
          </w:tcPr>
          <w:p w:rsidR="00D9416A" w:rsidRPr="00EB445E" w:rsidRDefault="00D9416A" w:rsidP="001F1AAC">
            <w:pPr>
              <w:pStyle w:val="Para1"/>
              <w:tabs>
                <w:tab w:val="clear" w:pos="360"/>
              </w:tabs>
              <w:adjustRightInd w:val="0"/>
              <w:snapToGrid w:val="0"/>
              <w:ind w:firstLine="0"/>
              <w:rPr>
                <w:sz w:val="24"/>
                <w:szCs w:val="24"/>
                <w:lang w:bidi="th-TH"/>
              </w:rPr>
            </w:pPr>
            <w:r w:rsidRPr="00EB445E">
              <w:rPr>
                <w:sz w:val="24"/>
                <w:szCs w:val="24"/>
                <w:lang w:bidi="th-TH"/>
              </w:rPr>
              <w:t>2019</w:t>
            </w:r>
            <w:r w:rsidRPr="00EB445E">
              <w:rPr>
                <w:rFonts w:hint="eastAsia"/>
                <w:sz w:val="24"/>
                <w:szCs w:val="24"/>
                <w:lang w:bidi="th-TH"/>
              </w:rPr>
              <w:t>年</w:t>
            </w:r>
            <w:r w:rsidRPr="00EB445E">
              <w:rPr>
                <w:sz w:val="24"/>
                <w:szCs w:val="24"/>
                <w:lang w:bidi="th-TH"/>
              </w:rPr>
              <w:t>1</w:t>
            </w:r>
            <w:r w:rsidRPr="00EB445E">
              <w:rPr>
                <w:rFonts w:hint="eastAsia"/>
                <w:sz w:val="24"/>
                <w:szCs w:val="24"/>
                <w:lang w:bidi="th-TH"/>
              </w:rPr>
              <w:t>月至</w:t>
            </w:r>
            <w:r>
              <w:rPr>
                <w:sz w:val="24"/>
                <w:szCs w:val="24"/>
                <w:lang w:bidi="th-TH"/>
              </w:rPr>
              <w:t>11</w:t>
            </w:r>
            <w:r w:rsidRPr="00EB445E">
              <w:rPr>
                <w:rFonts w:hint="eastAsia"/>
                <w:sz w:val="24"/>
                <w:szCs w:val="24"/>
                <w:lang w:bidi="th-TH"/>
              </w:rPr>
              <w:t>月</w:t>
            </w:r>
          </w:p>
        </w:tc>
        <w:tc>
          <w:tcPr>
            <w:tcW w:w="2693" w:type="dxa"/>
          </w:tcPr>
          <w:p w:rsidR="00D9416A" w:rsidRPr="00EB445E" w:rsidRDefault="00D9416A" w:rsidP="001F1AAC">
            <w:pPr>
              <w:pStyle w:val="Para1"/>
              <w:tabs>
                <w:tab w:val="clear" w:pos="360"/>
              </w:tabs>
              <w:adjustRightInd w:val="0"/>
              <w:snapToGrid w:val="0"/>
              <w:ind w:firstLine="0"/>
              <w:jc w:val="left"/>
              <w:rPr>
                <w:sz w:val="24"/>
                <w:szCs w:val="24"/>
                <w:lang w:bidi="th-TH"/>
              </w:rPr>
            </w:pPr>
            <w:r w:rsidRPr="00EB445E">
              <w:rPr>
                <w:rFonts w:hint="eastAsia"/>
                <w:sz w:val="24"/>
                <w:szCs w:val="24"/>
                <w:lang w:bidi="th-TH"/>
              </w:rPr>
              <w:t>秘书处；顾问</w:t>
            </w:r>
          </w:p>
        </w:tc>
      </w:tr>
      <w:tr w:rsidR="00D9416A" w:rsidRPr="00EB445E" w:rsidTr="001F1AAC">
        <w:tc>
          <w:tcPr>
            <w:tcW w:w="5387" w:type="dxa"/>
          </w:tcPr>
          <w:p w:rsidR="00D9416A" w:rsidRDefault="00D9416A" w:rsidP="00D9416A">
            <w:pPr>
              <w:pStyle w:val="Para1"/>
              <w:numPr>
                <w:ilvl w:val="0"/>
                <w:numId w:val="240"/>
              </w:numPr>
              <w:tabs>
                <w:tab w:val="clear" w:pos="357"/>
              </w:tabs>
              <w:adjustRightInd w:val="0"/>
              <w:snapToGrid w:val="0"/>
              <w:rPr>
                <w:sz w:val="24"/>
                <w:szCs w:val="24"/>
                <w:lang w:eastAsia="zh-CN" w:bidi="th-TH"/>
              </w:rPr>
            </w:pPr>
            <w:r w:rsidRPr="00EB445E">
              <w:rPr>
                <w:rFonts w:hint="eastAsia"/>
                <w:sz w:val="24"/>
                <w:szCs w:val="24"/>
                <w:lang w:eastAsia="zh-CN" w:bidi="th-TH"/>
              </w:rPr>
              <w:t>提交经修订的研究报告和经修订的</w:t>
            </w:r>
            <w:r w:rsidRPr="00EB445E">
              <w:rPr>
                <w:sz w:val="24"/>
                <w:szCs w:val="24"/>
                <w:lang w:eastAsia="zh-CN" w:bidi="th-TH"/>
              </w:rPr>
              <w:t>2020</w:t>
            </w:r>
            <w:r w:rsidRPr="00EB445E">
              <w:rPr>
                <w:rFonts w:hint="eastAsia"/>
                <w:sz w:val="24"/>
                <w:szCs w:val="24"/>
                <w:lang w:eastAsia="zh-CN" w:bidi="th-TH"/>
              </w:rPr>
              <w:t>年后能力建设长期战略框架要素草案</w:t>
            </w:r>
          </w:p>
        </w:tc>
        <w:tc>
          <w:tcPr>
            <w:tcW w:w="1667" w:type="dxa"/>
          </w:tcPr>
          <w:p w:rsidR="00D9416A" w:rsidRPr="00EB445E" w:rsidRDefault="00D9416A" w:rsidP="001F1AAC">
            <w:pPr>
              <w:pStyle w:val="Para1"/>
              <w:tabs>
                <w:tab w:val="clear" w:pos="360"/>
              </w:tabs>
              <w:adjustRightInd w:val="0"/>
              <w:snapToGrid w:val="0"/>
              <w:ind w:firstLine="0"/>
              <w:rPr>
                <w:sz w:val="24"/>
                <w:szCs w:val="24"/>
                <w:lang w:bidi="th-TH"/>
              </w:rPr>
            </w:pPr>
            <w:r w:rsidRPr="00EB445E">
              <w:rPr>
                <w:sz w:val="24"/>
                <w:szCs w:val="24"/>
                <w:lang w:bidi="th-TH"/>
              </w:rPr>
              <w:t>2019</w:t>
            </w:r>
            <w:r w:rsidRPr="00EB445E">
              <w:rPr>
                <w:rFonts w:hint="eastAsia"/>
                <w:sz w:val="24"/>
                <w:szCs w:val="24"/>
                <w:lang w:bidi="th-TH"/>
              </w:rPr>
              <w:t>年</w:t>
            </w:r>
            <w:r w:rsidRPr="00EB445E">
              <w:rPr>
                <w:sz w:val="24"/>
                <w:szCs w:val="24"/>
                <w:lang w:bidi="th-TH"/>
              </w:rPr>
              <w:t>8</w:t>
            </w:r>
            <w:r w:rsidRPr="00EB445E">
              <w:rPr>
                <w:rFonts w:hint="eastAsia"/>
                <w:sz w:val="24"/>
                <w:szCs w:val="24"/>
                <w:lang w:bidi="th-TH"/>
              </w:rPr>
              <w:t>月</w:t>
            </w:r>
          </w:p>
        </w:tc>
        <w:tc>
          <w:tcPr>
            <w:tcW w:w="2693" w:type="dxa"/>
          </w:tcPr>
          <w:p w:rsidR="00D9416A" w:rsidRPr="00EB445E" w:rsidRDefault="00D9416A" w:rsidP="001F1AAC">
            <w:pPr>
              <w:pStyle w:val="Para1"/>
              <w:tabs>
                <w:tab w:val="clear" w:pos="360"/>
              </w:tabs>
              <w:adjustRightInd w:val="0"/>
              <w:snapToGrid w:val="0"/>
              <w:ind w:firstLine="0"/>
              <w:jc w:val="left"/>
              <w:rPr>
                <w:sz w:val="24"/>
                <w:szCs w:val="24"/>
                <w:lang w:bidi="th-TH"/>
              </w:rPr>
            </w:pPr>
            <w:r w:rsidRPr="00EB445E">
              <w:rPr>
                <w:rFonts w:hint="eastAsia"/>
                <w:sz w:val="24"/>
                <w:szCs w:val="24"/>
                <w:lang w:bidi="th-TH"/>
              </w:rPr>
              <w:t>顾问</w:t>
            </w:r>
          </w:p>
        </w:tc>
      </w:tr>
      <w:tr w:rsidR="00D9416A" w:rsidRPr="00EB445E" w:rsidTr="001F1AAC">
        <w:tc>
          <w:tcPr>
            <w:tcW w:w="5387" w:type="dxa"/>
          </w:tcPr>
          <w:p w:rsidR="00D9416A" w:rsidRDefault="00D9416A" w:rsidP="00D9416A">
            <w:pPr>
              <w:pStyle w:val="Para1"/>
              <w:numPr>
                <w:ilvl w:val="0"/>
                <w:numId w:val="240"/>
              </w:numPr>
              <w:tabs>
                <w:tab w:val="clear" w:pos="357"/>
              </w:tabs>
              <w:adjustRightInd w:val="0"/>
              <w:snapToGrid w:val="0"/>
              <w:rPr>
                <w:sz w:val="24"/>
                <w:szCs w:val="24"/>
                <w:lang w:eastAsia="zh-CN" w:bidi="th-TH"/>
              </w:rPr>
            </w:pPr>
            <w:r w:rsidRPr="00EB445E">
              <w:rPr>
                <w:rFonts w:hint="eastAsia"/>
                <w:sz w:val="24"/>
                <w:szCs w:val="24"/>
                <w:lang w:eastAsia="zh-CN" w:bidi="th-TH"/>
              </w:rPr>
              <w:t>参考协商讲习班提供的投入，《卡塔赫纳议定书》第四次国家报告中的相关信息和《名古屋议定书》临时国家报告中的相关信息，编制</w:t>
            </w:r>
            <w:r w:rsidRPr="00EB445E">
              <w:rPr>
                <w:sz w:val="24"/>
                <w:szCs w:val="24"/>
                <w:lang w:eastAsia="zh-CN" w:bidi="th-TH"/>
              </w:rPr>
              <w:t>2020</w:t>
            </w:r>
            <w:r w:rsidRPr="00EB445E">
              <w:rPr>
                <w:rFonts w:hint="eastAsia"/>
                <w:sz w:val="24"/>
                <w:szCs w:val="24"/>
                <w:lang w:eastAsia="zh-CN" w:bidi="th-TH"/>
              </w:rPr>
              <w:t>年后能力建设长期战略框架最后草案</w:t>
            </w:r>
          </w:p>
        </w:tc>
        <w:tc>
          <w:tcPr>
            <w:tcW w:w="1667" w:type="dxa"/>
          </w:tcPr>
          <w:p w:rsidR="00D9416A" w:rsidRPr="00EB445E" w:rsidRDefault="00D9416A" w:rsidP="001F1AAC">
            <w:pPr>
              <w:pStyle w:val="Para1"/>
              <w:tabs>
                <w:tab w:val="clear" w:pos="360"/>
              </w:tabs>
              <w:adjustRightInd w:val="0"/>
              <w:snapToGrid w:val="0"/>
              <w:ind w:firstLine="0"/>
              <w:rPr>
                <w:sz w:val="24"/>
                <w:szCs w:val="24"/>
                <w:lang w:bidi="th-TH"/>
              </w:rPr>
            </w:pPr>
            <w:r w:rsidRPr="00EB445E">
              <w:rPr>
                <w:sz w:val="24"/>
                <w:szCs w:val="24"/>
                <w:lang w:bidi="th-TH"/>
              </w:rPr>
              <w:t>2019</w:t>
            </w:r>
            <w:r w:rsidRPr="00EB445E">
              <w:rPr>
                <w:rFonts w:hint="eastAsia"/>
                <w:sz w:val="24"/>
                <w:szCs w:val="24"/>
                <w:lang w:bidi="th-TH"/>
              </w:rPr>
              <w:t>年</w:t>
            </w:r>
            <w:r w:rsidRPr="00EB445E">
              <w:rPr>
                <w:sz w:val="24"/>
                <w:szCs w:val="24"/>
                <w:lang w:bidi="th-TH"/>
              </w:rPr>
              <w:t>11</w:t>
            </w:r>
            <w:r w:rsidRPr="00EB445E">
              <w:rPr>
                <w:rFonts w:hint="eastAsia"/>
                <w:sz w:val="24"/>
                <w:szCs w:val="24"/>
                <w:lang w:bidi="th-TH"/>
              </w:rPr>
              <w:t>月</w:t>
            </w:r>
          </w:p>
        </w:tc>
        <w:tc>
          <w:tcPr>
            <w:tcW w:w="2693" w:type="dxa"/>
          </w:tcPr>
          <w:p w:rsidR="00D9416A" w:rsidRPr="00EB445E" w:rsidRDefault="00D9416A" w:rsidP="001F1AAC">
            <w:pPr>
              <w:pStyle w:val="Para1"/>
              <w:tabs>
                <w:tab w:val="clear" w:pos="360"/>
              </w:tabs>
              <w:adjustRightInd w:val="0"/>
              <w:snapToGrid w:val="0"/>
              <w:ind w:firstLine="0"/>
              <w:rPr>
                <w:sz w:val="24"/>
                <w:szCs w:val="24"/>
                <w:lang w:bidi="th-TH"/>
              </w:rPr>
            </w:pPr>
            <w:r w:rsidRPr="00EB445E">
              <w:rPr>
                <w:rFonts w:hint="eastAsia"/>
                <w:sz w:val="24"/>
                <w:szCs w:val="24"/>
                <w:lang w:bidi="th-TH"/>
              </w:rPr>
              <w:t>秘书处；顾问</w:t>
            </w:r>
          </w:p>
        </w:tc>
      </w:tr>
      <w:tr w:rsidR="00D9416A" w:rsidRPr="00EB445E" w:rsidTr="001F1AAC">
        <w:tc>
          <w:tcPr>
            <w:tcW w:w="5387" w:type="dxa"/>
          </w:tcPr>
          <w:p w:rsidR="00D9416A" w:rsidRDefault="00D9416A" w:rsidP="00D9416A">
            <w:pPr>
              <w:pStyle w:val="Para1"/>
              <w:numPr>
                <w:ilvl w:val="0"/>
                <w:numId w:val="240"/>
              </w:numPr>
              <w:tabs>
                <w:tab w:val="clear" w:pos="357"/>
              </w:tabs>
              <w:adjustRightInd w:val="0"/>
              <w:snapToGrid w:val="0"/>
              <w:rPr>
                <w:sz w:val="24"/>
                <w:szCs w:val="24"/>
                <w:lang w:eastAsia="zh-CN" w:bidi="th-TH"/>
              </w:rPr>
            </w:pPr>
            <w:r w:rsidRPr="00EB445E">
              <w:rPr>
                <w:rFonts w:hint="eastAsia"/>
                <w:sz w:val="24"/>
                <w:szCs w:val="24"/>
                <w:lang w:eastAsia="zh-CN" w:bidi="th-TH"/>
              </w:rPr>
              <w:t>发出通知邀请对</w:t>
            </w:r>
            <w:r w:rsidRPr="00EB445E">
              <w:rPr>
                <w:sz w:val="24"/>
                <w:szCs w:val="24"/>
                <w:lang w:eastAsia="zh-CN" w:bidi="th-TH"/>
              </w:rPr>
              <w:t>2020</w:t>
            </w:r>
            <w:r w:rsidRPr="00EB445E">
              <w:rPr>
                <w:rFonts w:hint="eastAsia"/>
                <w:sz w:val="24"/>
                <w:szCs w:val="24"/>
                <w:lang w:eastAsia="zh-CN" w:bidi="th-TH"/>
              </w:rPr>
              <w:t>年后能力建设长期战略框架最后草案提出意见</w:t>
            </w:r>
          </w:p>
        </w:tc>
        <w:tc>
          <w:tcPr>
            <w:tcW w:w="1667" w:type="dxa"/>
          </w:tcPr>
          <w:p w:rsidR="00D9416A" w:rsidRPr="00EB445E" w:rsidRDefault="00D9416A" w:rsidP="001F1AAC">
            <w:pPr>
              <w:pStyle w:val="Para1"/>
              <w:tabs>
                <w:tab w:val="clear" w:pos="360"/>
              </w:tabs>
              <w:adjustRightInd w:val="0"/>
              <w:snapToGrid w:val="0"/>
              <w:ind w:firstLine="0"/>
              <w:rPr>
                <w:sz w:val="24"/>
                <w:szCs w:val="24"/>
                <w:lang w:bidi="th-TH"/>
              </w:rPr>
            </w:pPr>
            <w:r w:rsidRPr="00EB445E">
              <w:rPr>
                <w:sz w:val="24"/>
                <w:szCs w:val="24"/>
                <w:lang w:bidi="th-TH"/>
              </w:rPr>
              <w:t>2019</w:t>
            </w:r>
            <w:r w:rsidRPr="00EB445E">
              <w:rPr>
                <w:rFonts w:hint="eastAsia"/>
                <w:sz w:val="24"/>
                <w:szCs w:val="24"/>
                <w:lang w:bidi="th-TH"/>
              </w:rPr>
              <w:t>年</w:t>
            </w:r>
            <w:r w:rsidRPr="00EB445E">
              <w:rPr>
                <w:sz w:val="24"/>
                <w:szCs w:val="24"/>
                <w:lang w:bidi="th-TH"/>
              </w:rPr>
              <w:t>12</w:t>
            </w:r>
            <w:r w:rsidRPr="00EB445E">
              <w:rPr>
                <w:rFonts w:hint="eastAsia"/>
                <w:sz w:val="24"/>
                <w:szCs w:val="24"/>
                <w:lang w:bidi="th-TH"/>
              </w:rPr>
              <w:t>月至</w:t>
            </w:r>
            <w:r w:rsidRPr="00EB445E">
              <w:rPr>
                <w:sz w:val="24"/>
                <w:szCs w:val="24"/>
                <w:lang w:bidi="th-TH"/>
              </w:rPr>
              <w:t>2020</w:t>
            </w:r>
            <w:r w:rsidRPr="00EB445E">
              <w:rPr>
                <w:rFonts w:hint="eastAsia"/>
                <w:sz w:val="24"/>
                <w:szCs w:val="24"/>
                <w:lang w:bidi="th-TH"/>
              </w:rPr>
              <w:t>年</w:t>
            </w:r>
            <w:r w:rsidRPr="00EB445E">
              <w:rPr>
                <w:sz w:val="24"/>
                <w:szCs w:val="24"/>
                <w:lang w:bidi="th-TH"/>
              </w:rPr>
              <w:t>2</w:t>
            </w:r>
            <w:r w:rsidRPr="00EB445E">
              <w:rPr>
                <w:rFonts w:hint="eastAsia"/>
                <w:sz w:val="24"/>
                <w:szCs w:val="24"/>
                <w:lang w:bidi="th-TH"/>
              </w:rPr>
              <w:t>月</w:t>
            </w:r>
          </w:p>
        </w:tc>
        <w:tc>
          <w:tcPr>
            <w:tcW w:w="2693" w:type="dxa"/>
          </w:tcPr>
          <w:p w:rsidR="00D9416A" w:rsidRPr="00EB445E" w:rsidRDefault="00D9416A" w:rsidP="001F1AAC">
            <w:pPr>
              <w:pStyle w:val="Para1"/>
              <w:tabs>
                <w:tab w:val="clear" w:pos="360"/>
              </w:tabs>
              <w:adjustRightInd w:val="0"/>
              <w:snapToGrid w:val="0"/>
              <w:ind w:firstLine="0"/>
              <w:rPr>
                <w:sz w:val="24"/>
                <w:szCs w:val="24"/>
                <w:lang w:eastAsia="zh-CN" w:bidi="th-TH"/>
              </w:rPr>
            </w:pPr>
            <w:r w:rsidRPr="00EB445E">
              <w:rPr>
                <w:rFonts w:hint="eastAsia"/>
                <w:sz w:val="24"/>
                <w:szCs w:val="24"/>
                <w:lang w:eastAsia="zh-CN" w:bidi="th-TH"/>
              </w:rPr>
              <w:t>各缔约方、土著人民和地方社区及相关组织</w:t>
            </w:r>
          </w:p>
        </w:tc>
      </w:tr>
      <w:tr w:rsidR="00D9416A" w:rsidRPr="00EB445E" w:rsidTr="001F1AAC">
        <w:tc>
          <w:tcPr>
            <w:tcW w:w="5387" w:type="dxa"/>
          </w:tcPr>
          <w:p w:rsidR="00D9416A" w:rsidRDefault="00D9416A" w:rsidP="00D9416A">
            <w:pPr>
              <w:pStyle w:val="Para1"/>
              <w:numPr>
                <w:ilvl w:val="0"/>
                <w:numId w:val="240"/>
              </w:numPr>
              <w:tabs>
                <w:tab w:val="clear" w:pos="357"/>
              </w:tabs>
              <w:adjustRightInd w:val="0"/>
              <w:snapToGrid w:val="0"/>
              <w:rPr>
                <w:sz w:val="24"/>
                <w:szCs w:val="24"/>
                <w:lang w:eastAsia="zh-CN" w:bidi="th-TH"/>
              </w:rPr>
            </w:pPr>
            <w:r w:rsidRPr="00EB445E">
              <w:rPr>
                <w:rFonts w:hint="eastAsia"/>
                <w:sz w:val="24"/>
                <w:szCs w:val="24"/>
                <w:lang w:eastAsia="zh-CN" w:bidi="th-TH"/>
              </w:rPr>
              <w:t>由执行问题附属机构第三次会议审议</w:t>
            </w:r>
            <w:r w:rsidRPr="00EB445E">
              <w:rPr>
                <w:sz w:val="24"/>
                <w:szCs w:val="24"/>
                <w:lang w:eastAsia="zh-CN" w:bidi="th-TH"/>
              </w:rPr>
              <w:t>2020</w:t>
            </w:r>
            <w:r w:rsidRPr="00EB445E">
              <w:rPr>
                <w:rFonts w:hint="eastAsia"/>
                <w:sz w:val="24"/>
                <w:szCs w:val="24"/>
                <w:lang w:eastAsia="zh-CN" w:bidi="th-TH"/>
              </w:rPr>
              <w:t>年后能力建设长期战略框架最后草案</w:t>
            </w:r>
          </w:p>
        </w:tc>
        <w:tc>
          <w:tcPr>
            <w:tcW w:w="1667" w:type="dxa"/>
          </w:tcPr>
          <w:p w:rsidR="00D9416A" w:rsidRPr="00EB445E" w:rsidRDefault="00D9416A" w:rsidP="001F1AAC">
            <w:pPr>
              <w:pStyle w:val="Para1"/>
              <w:tabs>
                <w:tab w:val="clear" w:pos="360"/>
              </w:tabs>
              <w:adjustRightInd w:val="0"/>
              <w:snapToGrid w:val="0"/>
              <w:ind w:firstLine="0"/>
              <w:rPr>
                <w:sz w:val="24"/>
                <w:szCs w:val="24"/>
                <w:lang w:bidi="th-TH"/>
              </w:rPr>
            </w:pPr>
            <w:r w:rsidRPr="00EB445E">
              <w:rPr>
                <w:sz w:val="24"/>
                <w:szCs w:val="24"/>
                <w:lang w:bidi="th-TH"/>
              </w:rPr>
              <w:t>2020</w:t>
            </w:r>
            <w:r w:rsidRPr="00EB445E">
              <w:rPr>
                <w:rFonts w:hint="eastAsia"/>
                <w:sz w:val="24"/>
                <w:szCs w:val="24"/>
                <w:lang w:bidi="th-TH"/>
              </w:rPr>
              <w:t>年</w:t>
            </w:r>
            <w:r w:rsidRPr="00EB445E">
              <w:rPr>
                <w:sz w:val="24"/>
                <w:szCs w:val="24"/>
                <w:lang w:bidi="th-TH"/>
              </w:rPr>
              <w:t>5</w:t>
            </w:r>
            <w:r w:rsidRPr="00EB445E">
              <w:rPr>
                <w:rFonts w:hint="eastAsia"/>
                <w:sz w:val="24"/>
                <w:szCs w:val="24"/>
                <w:lang w:bidi="th-TH"/>
              </w:rPr>
              <w:t>月</w:t>
            </w:r>
            <w:r w:rsidRPr="00EB445E">
              <w:rPr>
                <w:sz w:val="24"/>
                <w:szCs w:val="24"/>
                <w:lang w:bidi="th-TH"/>
              </w:rPr>
              <w:t>/6</w:t>
            </w:r>
            <w:r w:rsidRPr="00EB445E">
              <w:rPr>
                <w:rFonts w:hint="eastAsia"/>
                <w:sz w:val="24"/>
                <w:szCs w:val="24"/>
                <w:lang w:bidi="th-TH"/>
              </w:rPr>
              <w:t>月</w:t>
            </w:r>
          </w:p>
        </w:tc>
        <w:tc>
          <w:tcPr>
            <w:tcW w:w="2693" w:type="dxa"/>
          </w:tcPr>
          <w:p w:rsidR="00D9416A" w:rsidRPr="00EB445E" w:rsidRDefault="00D9416A" w:rsidP="001F1AAC">
            <w:pPr>
              <w:pStyle w:val="Para1"/>
              <w:tabs>
                <w:tab w:val="clear" w:pos="360"/>
              </w:tabs>
              <w:adjustRightInd w:val="0"/>
              <w:snapToGrid w:val="0"/>
              <w:ind w:firstLine="0"/>
              <w:rPr>
                <w:sz w:val="24"/>
                <w:szCs w:val="24"/>
                <w:lang w:eastAsia="zh-CN" w:bidi="th-TH"/>
              </w:rPr>
            </w:pPr>
            <w:r w:rsidRPr="00EB445E">
              <w:rPr>
                <w:rFonts w:hint="eastAsia"/>
                <w:sz w:val="24"/>
                <w:szCs w:val="24"/>
                <w:lang w:eastAsia="zh-CN" w:bidi="th-TH"/>
              </w:rPr>
              <w:t>执行问题附属机构第三次会议</w:t>
            </w:r>
          </w:p>
        </w:tc>
      </w:tr>
    </w:tbl>
    <w:p w:rsidR="002F343C" w:rsidRDefault="002F343C" w:rsidP="002F343C">
      <w:pPr>
        <w:pStyle w:val="Para1"/>
        <w:suppressLineNumbers/>
        <w:tabs>
          <w:tab w:val="clear" w:pos="360"/>
        </w:tabs>
        <w:suppressAutoHyphens/>
        <w:adjustRightInd w:val="0"/>
        <w:snapToGrid w:val="0"/>
        <w:ind w:firstLine="0"/>
        <w:jc w:val="center"/>
        <w:rPr>
          <w:rFonts w:ascii="KaiTi" w:eastAsia="KaiTi" w:hAnsi="KaiTi"/>
          <w:kern w:val="22"/>
          <w:sz w:val="24"/>
          <w:szCs w:val="24"/>
          <w:lang w:eastAsia="zh-CN" w:bidi="th-TH"/>
        </w:rPr>
      </w:pPr>
    </w:p>
    <w:p w:rsidR="002F343C" w:rsidRDefault="002F343C">
      <w:pPr>
        <w:rPr>
          <w:rFonts w:ascii="KaiTi" w:eastAsia="KaiTi" w:hAnsi="KaiTi"/>
          <w:kern w:val="22"/>
          <w:lang w:val="en-GB" w:eastAsia="zh-CN" w:bidi="th-TH"/>
        </w:rPr>
      </w:pPr>
      <w:r>
        <w:rPr>
          <w:rFonts w:ascii="KaiTi" w:eastAsia="KaiTi" w:hAnsi="KaiTi"/>
          <w:kern w:val="22"/>
          <w:lang w:eastAsia="zh-CN" w:bidi="th-TH"/>
        </w:rPr>
        <w:lastRenderedPageBreak/>
        <w:br w:type="page"/>
      </w:r>
    </w:p>
    <w:p w:rsidR="00D9416A" w:rsidRPr="00EB445E" w:rsidRDefault="00D9416A" w:rsidP="002F343C">
      <w:pPr>
        <w:pStyle w:val="Para1"/>
        <w:suppressLineNumbers/>
        <w:tabs>
          <w:tab w:val="clear" w:pos="360"/>
        </w:tabs>
        <w:suppressAutoHyphens/>
        <w:adjustRightInd w:val="0"/>
        <w:snapToGrid w:val="0"/>
        <w:ind w:firstLine="0"/>
        <w:jc w:val="center"/>
        <w:rPr>
          <w:rFonts w:ascii="KaiTi" w:eastAsia="KaiTi" w:hAnsi="KaiTi"/>
          <w:kern w:val="22"/>
          <w:sz w:val="24"/>
          <w:szCs w:val="24"/>
          <w:lang w:eastAsia="zh-CN" w:bidi="th-TH"/>
        </w:rPr>
      </w:pPr>
      <w:r w:rsidRPr="00EB445E">
        <w:rPr>
          <w:rFonts w:ascii="KaiTi" w:eastAsia="KaiTi" w:hAnsi="KaiTi" w:hint="eastAsia"/>
          <w:kern w:val="22"/>
          <w:sz w:val="24"/>
          <w:szCs w:val="24"/>
          <w:lang w:eastAsia="zh-CN" w:bidi="th-TH"/>
        </w:rPr>
        <w:lastRenderedPageBreak/>
        <w:t>附录</w:t>
      </w:r>
    </w:p>
    <w:p w:rsidR="00D9416A" w:rsidRPr="00EB445E" w:rsidRDefault="00D9416A" w:rsidP="002F343C">
      <w:pPr>
        <w:pStyle w:val="Heading1"/>
        <w:adjustRightInd w:val="0"/>
        <w:snapToGrid w:val="0"/>
        <w:spacing w:before="120" w:after="120"/>
        <w:ind w:firstLine="0"/>
        <w:rPr>
          <w:sz w:val="24"/>
          <w:lang w:eastAsia="zh-CN" w:bidi="th-TH"/>
        </w:rPr>
      </w:pPr>
      <w:bookmarkStart w:id="205" w:name="_Toc6243781"/>
      <w:r w:rsidRPr="00EB445E">
        <w:rPr>
          <w:rFonts w:hint="eastAsia"/>
          <w:sz w:val="24"/>
          <w:lang w:eastAsia="zh-CN" w:bidi="th-TH"/>
        </w:rPr>
        <w:t>为编制</w:t>
      </w:r>
      <w:r w:rsidRPr="00EB445E">
        <w:rPr>
          <w:sz w:val="24"/>
          <w:lang w:eastAsia="zh-CN" w:bidi="th-TH"/>
        </w:rPr>
        <w:t>2020</w:t>
      </w:r>
      <w:r w:rsidRPr="00EB445E">
        <w:rPr>
          <w:rFonts w:hint="eastAsia"/>
          <w:sz w:val="24"/>
          <w:lang w:eastAsia="zh-CN" w:bidi="th-TH"/>
        </w:rPr>
        <w:t>年后能力建设长期战略框架提供信息基础的研究工作的职权范围</w:t>
      </w:r>
      <w:bookmarkEnd w:id="205"/>
    </w:p>
    <w:p w:rsidR="00D9416A" w:rsidRPr="00BE5D6F" w:rsidRDefault="00D9416A" w:rsidP="002F343C">
      <w:pPr>
        <w:pStyle w:val="Heading2"/>
        <w:adjustRightInd w:val="0"/>
        <w:snapToGrid w:val="0"/>
        <w:ind w:firstLine="0"/>
        <w:rPr>
          <w:i/>
          <w:sz w:val="24"/>
          <w:lang w:eastAsia="zh-CN" w:bidi="th-TH"/>
        </w:rPr>
      </w:pPr>
      <w:r w:rsidRPr="00BE5D6F">
        <w:rPr>
          <w:sz w:val="24"/>
          <w:lang w:eastAsia="zh-CN" w:bidi="th-TH"/>
        </w:rPr>
        <w:t xml:space="preserve"> </w:t>
      </w:r>
      <w:bookmarkStart w:id="206" w:name="_Toc6243782"/>
      <w:r w:rsidRPr="00BE5D6F">
        <w:rPr>
          <w:sz w:val="24"/>
          <w:lang w:eastAsia="zh-CN" w:bidi="th-TH"/>
        </w:rPr>
        <w:t xml:space="preserve">A.   </w:t>
      </w:r>
      <w:r w:rsidRPr="00BE5D6F">
        <w:rPr>
          <w:rFonts w:hint="eastAsia"/>
          <w:sz w:val="24"/>
          <w:lang w:eastAsia="zh-CN" w:bidi="th-TH"/>
        </w:rPr>
        <w:t>研究工作的范围和框架编制进程</w:t>
      </w:r>
      <w:bookmarkEnd w:id="206"/>
    </w:p>
    <w:p w:rsidR="00D9416A" w:rsidRPr="00EB445E" w:rsidRDefault="00D9416A" w:rsidP="00D9416A">
      <w:pPr>
        <w:pStyle w:val="Para1"/>
        <w:numPr>
          <w:ilvl w:val="0"/>
          <w:numId w:val="241"/>
        </w:numPr>
        <w:adjustRightInd w:val="0"/>
        <w:snapToGrid w:val="0"/>
        <w:ind w:left="0" w:firstLine="0"/>
        <w:rPr>
          <w:sz w:val="24"/>
          <w:szCs w:val="24"/>
          <w:lang w:eastAsia="zh-CN" w:bidi="th-TH"/>
        </w:rPr>
      </w:pPr>
      <w:r w:rsidRPr="00EB445E">
        <w:rPr>
          <w:rFonts w:hint="eastAsia"/>
          <w:sz w:val="24"/>
          <w:szCs w:val="24"/>
          <w:lang w:eastAsia="zh-CN" w:bidi="th-TH"/>
        </w:rPr>
        <w:t>此项研究将包含以下任务：</w:t>
      </w:r>
    </w:p>
    <w:p w:rsidR="00D9416A" w:rsidRPr="00EB445E" w:rsidRDefault="00D9416A" w:rsidP="00D9416A">
      <w:pPr>
        <w:pStyle w:val="Para1"/>
        <w:numPr>
          <w:ilvl w:val="1"/>
          <w:numId w:val="242"/>
        </w:numPr>
        <w:tabs>
          <w:tab w:val="clear" w:pos="1440"/>
        </w:tabs>
        <w:adjustRightInd w:val="0"/>
        <w:snapToGrid w:val="0"/>
        <w:rPr>
          <w:sz w:val="24"/>
          <w:szCs w:val="24"/>
          <w:lang w:eastAsia="zh-CN" w:bidi="th-TH"/>
        </w:rPr>
      </w:pPr>
      <w:r w:rsidRPr="00EB445E">
        <w:rPr>
          <w:rFonts w:hint="eastAsia"/>
          <w:sz w:val="24"/>
          <w:szCs w:val="24"/>
          <w:lang w:eastAsia="zh-CN" w:bidi="th-TH"/>
        </w:rPr>
        <w:t>评估与执行《公约》及其《议定书》有关的能力发展现状，包括现有的能力发展重大举措</w:t>
      </w:r>
      <w:r w:rsidRPr="00EB445E">
        <w:rPr>
          <w:sz w:val="24"/>
          <w:szCs w:val="24"/>
          <w:lang w:eastAsia="zh-CN" w:bidi="th-TH"/>
        </w:rPr>
        <w:t>/</w:t>
      </w:r>
      <w:r w:rsidRPr="00EB445E">
        <w:rPr>
          <w:rFonts w:hint="eastAsia"/>
          <w:sz w:val="24"/>
          <w:szCs w:val="24"/>
          <w:lang w:eastAsia="zh-CN" w:bidi="th-TH"/>
        </w:rPr>
        <w:t>方案、工具、网络和伙伴关系；</w:t>
      </w:r>
    </w:p>
    <w:p w:rsidR="00D9416A" w:rsidRPr="00EB445E" w:rsidRDefault="00D9416A" w:rsidP="00D9416A">
      <w:pPr>
        <w:pStyle w:val="Para1"/>
        <w:numPr>
          <w:ilvl w:val="1"/>
          <w:numId w:val="242"/>
        </w:numPr>
        <w:tabs>
          <w:tab w:val="clear" w:pos="1440"/>
        </w:tabs>
        <w:adjustRightInd w:val="0"/>
        <w:snapToGrid w:val="0"/>
        <w:rPr>
          <w:sz w:val="24"/>
          <w:szCs w:val="24"/>
          <w:lang w:eastAsia="zh-CN" w:bidi="th-TH"/>
        </w:rPr>
      </w:pPr>
      <w:r w:rsidRPr="00EB445E">
        <w:rPr>
          <w:rFonts w:hint="eastAsia"/>
          <w:sz w:val="24"/>
          <w:szCs w:val="24"/>
          <w:lang w:eastAsia="zh-CN" w:bidi="th-TH"/>
        </w:rPr>
        <w:t>确定并摸清各区域执行《公约》及其《议定书》的能力建设支持</w:t>
      </w:r>
      <w:r>
        <w:rPr>
          <w:rFonts w:hint="eastAsia"/>
          <w:sz w:val="24"/>
          <w:szCs w:val="24"/>
          <w:lang w:eastAsia="zh-CN" w:bidi="th-TH"/>
        </w:rPr>
        <w:t>的</w:t>
      </w:r>
      <w:r w:rsidRPr="00EB445E">
        <w:rPr>
          <w:rFonts w:hint="eastAsia"/>
          <w:sz w:val="24"/>
          <w:szCs w:val="24"/>
          <w:lang w:eastAsia="zh-CN" w:bidi="th-TH"/>
        </w:rPr>
        <w:t>主要提供者，包括其能力和优势；</w:t>
      </w:r>
    </w:p>
    <w:p w:rsidR="00D9416A" w:rsidRPr="00EB445E" w:rsidRDefault="00D9416A" w:rsidP="00D9416A">
      <w:pPr>
        <w:pStyle w:val="Para1"/>
        <w:numPr>
          <w:ilvl w:val="1"/>
          <w:numId w:val="242"/>
        </w:numPr>
        <w:tabs>
          <w:tab w:val="clear" w:pos="1440"/>
        </w:tabs>
        <w:adjustRightInd w:val="0"/>
        <w:snapToGrid w:val="0"/>
        <w:rPr>
          <w:sz w:val="24"/>
          <w:szCs w:val="24"/>
          <w:lang w:eastAsia="zh-CN" w:bidi="th-TH"/>
        </w:rPr>
      </w:pPr>
      <w:r w:rsidRPr="00EB445E">
        <w:rPr>
          <w:rFonts w:hint="eastAsia"/>
          <w:sz w:val="24"/>
          <w:szCs w:val="24"/>
          <w:lang w:eastAsia="zh-CN" w:bidi="th-TH"/>
        </w:rPr>
        <w:t>审查所采用各种能力建设提供模式与做法方面新出现的经验教训，并评估其相对成效和局限性；</w:t>
      </w:r>
    </w:p>
    <w:p w:rsidR="00D9416A" w:rsidRPr="00EB445E" w:rsidRDefault="00D9416A" w:rsidP="00D9416A">
      <w:pPr>
        <w:pStyle w:val="Para1"/>
        <w:numPr>
          <w:ilvl w:val="1"/>
          <w:numId w:val="242"/>
        </w:numPr>
        <w:tabs>
          <w:tab w:val="clear" w:pos="1440"/>
        </w:tabs>
        <w:adjustRightInd w:val="0"/>
        <w:snapToGrid w:val="0"/>
        <w:rPr>
          <w:sz w:val="24"/>
          <w:szCs w:val="24"/>
          <w:lang w:eastAsia="zh-CN" w:bidi="th-TH"/>
        </w:rPr>
      </w:pPr>
      <w:r w:rsidRPr="00EB445E">
        <w:rPr>
          <w:rFonts w:hint="eastAsia"/>
          <w:sz w:val="24"/>
          <w:szCs w:val="24"/>
          <w:lang w:eastAsia="zh-CN" w:bidi="th-TH"/>
        </w:rPr>
        <w:t>确定缔约方的主要能力发展和技术需要与差距，包括在区域一级；</w:t>
      </w:r>
    </w:p>
    <w:p w:rsidR="00D9416A" w:rsidRPr="00EB445E" w:rsidRDefault="00D9416A" w:rsidP="00D9416A">
      <w:pPr>
        <w:pStyle w:val="Para1"/>
        <w:numPr>
          <w:ilvl w:val="1"/>
          <w:numId w:val="242"/>
        </w:numPr>
        <w:tabs>
          <w:tab w:val="clear" w:pos="1440"/>
        </w:tabs>
        <w:adjustRightInd w:val="0"/>
        <w:snapToGrid w:val="0"/>
        <w:rPr>
          <w:sz w:val="24"/>
          <w:szCs w:val="24"/>
          <w:lang w:eastAsia="zh-CN" w:bidi="th-TH"/>
        </w:rPr>
      </w:pPr>
      <w:r w:rsidRPr="00EB445E">
        <w:rPr>
          <w:rFonts w:hint="eastAsia"/>
          <w:sz w:val="24"/>
          <w:szCs w:val="24"/>
          <w:lang w:eastAsia="zh-CN" w:bidi="th-TH"/>
        </w:rPr>
        <w:t>分析已做了什么以及哪些类型的能力发展活动可促进进展；</w:t>
      </w:r>
    </w:p>
    <w:p w:rsidR="00D9416A" w:rsidRPr="00EB445E" w:rsidRDefault="00D9416A" w:rsidP="00D9416A">
      <w:pPr>
        <w:pStyle w:val="Para1"/>
        <w:numPr>
          <w:ilvl w:val="1"/>
          <w:numId w:val="242"/>
        </w:numPr>
        <w:tabs>
          <w:tab w:val="clear" w:pos="1440"/>
        </w:tabs>
        <w:adjustRightInd w:val="0"/>
        <w:snapToGrid w:val="0"/>
        <w:rPr>
          <w:sz w:val="24"/>
          <w:szCs w:val="24"/>
          <w:lang w:eastAsia="zh-CN" w:bidi="th-TH"/>
        </w:rPr>
      </w:pPr>
      <w:r w:rsidRPr="00EB445E">
        <w:rPr>
          <w:rFonts w:hint="eastAsia"/>
          <w:sz w:val="24"/>
          <w:szCs w:val="24"/>
          <w:lang w:eastAsia="zh-CN" w:bidi="th-TH"/>
        </w:rPr>
        <w:t>就</w:t>
      </w:r>
      <w:r w:rsidRPr="00EB445E">
        <w:rPr>
          <w:sz w:val="24"/>
          <w:szCs w:val="24"/>
          <w:lang w:eastAsia="zh-CN" w:bidi="th-TH"/>
        </w:rPr>
        <w:t>2020</w:t>
      </w:r>
      <w:r w:rsidRPr="00EB445E">
        <w:rPr>
          <w:rFonts w:hint="eastAsia"/>
          <w:sz w:val="24"/>
          <w:szCs w:val="24"/>
          <w:lang w:eastAsia="zh-CN" w:bidi="th-TH"/>
        </w:rPr>
        <w:t>年后能力建设长期框架的总体方向和为实现《</w:t>
      </w:r>
      <w:r w:rsidRPr="00EB445E">
        <w:rPr>
          <w:sz w:val="24"/>
          <w:szCs w:val="24"/>
          <w:lang w:eastAsia="zh-CN" w:bidi="th-TH"/>
        </w:rPr>
        <w:t>2011-2020</w:t>
      </w:r>
      <w:r w:rsidRPr="00EB445E">
        <w:rPr>
          <w:rFonts w:hint="eastAsia"/>
          <w:sz w:val="24"/>
          <w:szCs w:val="24"/>
          <w:lang w:eastAsia="zh-CN" w:bidi="th-TH"/>
        </w:rPr>
        <w:t>年生物多样性战略计划》后续行动的目标和</w:t>
      </w:r>
      <w:r>
        <w:rPr>
          <w:rFonts w:hint="eastAsia"/>
          <w:sz w:val="24"/>
          <w:szCs w:val="24"/>
          <w:lang w:eastAsia="zh-CN" w:bidi="th-TH"/>
        </w:rPr>
        <w:t>指标</w:t>
      </w:r>
      <w:r w:rsidRPr="00EB445E">
        <w:rPr>
          <w:rFonts w:hint="eastAsia"/>
          <w:sz w:val="24"/>
          <w:szCs w:val="24"/>
          <w:lang w:eastAsia="zh-CN" w:bidi="th-TH"/>
        </w:rPr>
        <w:t>应采取的优先能力建设行动提出建议。</w:t>
      </w:r>
    </w:p>
    <w:p w:rsidR="00D9416A" w:rsidRPr="00BE5D6F" w:rsidRDefault="00D9416A" w:rsidP="00D9416A">
      <w:pPr>
        <w:pStyle w:val="Heading2"/>
        <w:adjustRightInd w:val="0"/>
        <w:snapToGrid w:val="0"/>
        <w:ind w:firstLine="0"/>
        <w:rPr>
          <w:i/>
          <w:sz w:val="24"/>
          <w:lang w:bidi="th-TH"/>
        </w:rPr>
      </w:pPr>
      <w:bookmarkStart w:id="207" w:name="_Toc6243783"/>
      <w:r w:rsidRPr="00BE5D6F">
        <w:rPr>
          <w:sz w:val="24"/>
          <w:lang w:bidi="th-TH"/>
        </w:rPr>
        <w:t xml:space="preserve">B.   </w:t>
      </w:r>
      <w:r w:rsidRPr="00BE5D6F">
        <w:rPr>
          <w:rFonts w:hint="eastAsia"/>
          <w:sz w:val="24"/>
          <w:lang w:bidi="th-TH"/>
        </w:rPr>
        <w:t>方法和信息来源</w:t>
      </w:r>
      <w:bookmarkEnd w:id="207"/>
    </w:p>
    <w:p w:rsidR="00D9416A" w:rsidRPr="00EB445E" w:rsidRDefault="00D9416A" w:rsidP="00D9416A">
      <w:pPr>
        <w:pStyle w:val="Para1"/>
        <w:numPr>
          <w:ilvl w:val="0"/>
          <w:numId w:val="241"/>
        </w:numPr>
        <w:adjustRightInd w:val="0"/>
        <w:snapToGrid w:val="0"/>
        <w:ind w:left="0" w:firstLine="0"/>
        <w:rPr>
          <w:sz w:val="24"/>
          <w:szCs w:val="24"/>
          <w:lang w:eastAsia="zh-CN" w:bidi="th-TH"/>
        </w:rPr>
      </w:pPr>
      <w:r w:rsidRPr="00EB445E">
        <w:rPr>
          <w:rFonts w:hint="eastAsia"/>
          <w:sz w:val="24"/>
          <w:szCs w:val="24"/>
          <w:lang w:eastAsia="zh-CN" w:bidi="th-TH"/>
        </w:rPr>
        <w:t>此项研究将采用以下数据收集方法，并使用一系列数据来源：</w:t>
      </w:r>
    </w:p>
    <w:p w:rsidR="00D9416A" w:rsidRPr="00EB445E" w:rsidRDefault="00D9416A" w:rsidP="007D1184">
      <w:pPr>
        <w:pStyle w:val="Para1"/>
        <w:numPr>
          <w:ilvl w:val="1"/>
          <w:numId w:val="243"/>
        </w:numPr>
        <w:adjustRightInd w:val="0"/>
        <w:snapToGrid w:val="0"/>
        <w:rPr>
          <w:sz w:val="24"/>
          <w:szCs w:val="24"/>
          <w:lang w:eastAsia="zh-CN" w:bidi="th-TH"/>
        </w:rPr>
      </w:pPr>
      <w:r w:rsidRPr="00EB445E">
        <w:rPr>
          <w:rFonts w:hint="eastAsia"/>
          <w:sz w:val="24"/>
          <w:szCs w:val="24"/>
          <w:lang w:eastAsia="zh-CN" w:bidi="th-TH"/>
        </w:rPr>
        <w:t>案头审阅相关文件，包括：</w:t>
      </w:r>
    </w:p>
    <w:p w:rsidR="00D9416A" w:rsidRPr="00EB445E" w:rsidRDefault="00D9416A" w:rsidP="00D9416A">
      <w:pPr>
        <w:pStyle w:val="Para1"/>
        <w:numPr>
          <w:ilvl w:val="2"/>
          <w:numId w:val="243"/>
        </w:numPr>
        <w:tabs>
          <w:tab w:val="clear" w:pos="1260"/>
        </w:tabs>
        <w:adjustRightInd w:val="0"/>
        <w:snapToGrid w:val="0"/>
        <w:ind w:left="2160" w:hanging="720"/>
        <w:rPr>
          <w:sz w:val="24"/>
          <w:szCs w:val="24"/>
          <w:lang w:eastAsia="zh-CN" w:bidi="th-TH"/>
        </w:rPr>
      </w:pPr>
      <w:r w:rsidRPr="00EB445E">
        <w:rPr>
          <w:rFonts w:hint="eastAsia"/>
          <w:sz w:val="24"/>
          <w:szCs w:val="24"/>
          <w:lang w:eastAsia="zh-CN" w:bidi="th-TH"/>
        </w:rPr>
        <w:t>《公约》第六次国家报告；</w:t>
      </w:r>
    </w:p>
    <w:p w:rsidR="00D9416A" w:rsidRPr="00EB445E" w:rsidRDefault="00D9416A" w:rsidP="00D9416A">
      <w:pPr>
        <w:pStyle w:val="Para1"/>
        <w:numPr>
          <w:ilvl w:val="2"/>
          <w:numId w:val="243"/>
        </w:numPr>
        <w:tabs>
          <w:tab w:val="clear" w:pos="1260"/>
        </w:tabs>
        <w:adjustRightInd w:val="0"/>
        <w:snapToGrid w:val="0"/>
        <w:ind w:left="2160" w:hanging="720"/>
        <w:rPr>
          <w:sz w:val="24"/>
          <w:szCs w:val="24"/>
          <w:lang w:eastAsia="zh-CN" w:bidi="th-TH"/>
        </w:rPr>
      </w:pPr>
      <w:r w:rsidRPr="00EB445E">
        <w:rPr>
          <w:rFonts w:hint="eastAsia"/>
          <w:sz w:val="24"/>
          <w:szCs w:val="24"/>
          <w:lang w:eastAsia="zh-CN" w:bidi="th-TH"/>
        </w:rPr>
        <w:t>《名古屋议定书》第一次评估和审查结果；</w:t>
      </w:r>
    </w:p>
    <w:p w:rsidR="00D9416A" w:rsidRPr="00EB445E" w:rsidRDefault="00D9416A" w:rsidP="00D9416A">
      <w:pPr>
        <w:pStyle w:val="Para1"/>
        <w:numPr>
          <w:ilvl w:val="2"/>
          <w:numId w:val="243"/>
        </w:numPr>
        <w:tabs>
          <w:tab w:val="clear" w:pos="1260"/>
        </w:tabs>
        <w:adjustRightInd w:val="0"/>
        <w:snapToGrid w:val="0"/>
        <w:ind w:left="2160" w:hanging="720"/>
        <w:rPr>
          <w:sz w:val="24"/>
          <w:szCs w:val="24"/>
          <w:lang w:eastAsia="zh-CN" w:bidi="th-TH"/>
        </w:rPr>
      </w:pPr>
      <w:r w:rsidRPr="00EB445E">
        <w:rPr>
          <w:rFonts w:hint="eastAsia"/>
          <w:sz w:val="24"/>
          <w:szCs w:val="24"/>
          <w:lang w:eastAsia="zh-CN" w:bidi="th-TH"/>
        </w:rPr>
        <w:t>《卡塔赫纳生物安全议定书》第二次（作为基准）和第四次国家报告；</w:t>
      </w:r>
    </w:p>
    <w:p w:rsidR="00D9416A" w:rsidRPr="00EB445E" w:rsidRDefault="00D9416A" w:rsidP="00D9416A">
      <w:pPr>
        <w:pStyle w:val="Para1"/>
        <w:numPr>
          <w:ilvl w:val="2"/>
          <w:numId w:val="243"/>
        </w:numPr>
        <w:tabs>
          <w:tab w:val="clear" w:pos="1260"/>
        </w:tabs>
        <w:adjustRightInd w:val="0"/>
        <w:snapToGrid w:val="0"/>
        <w:ind w:left="2160" w:hanging="720"/>
        <w:rPr>
          <w:sz w:val="24"/>
          <w:szCs w:val="24"/>
          <w:lang w:eastAsia="zh-CN" w:bidi="th-TH"/>
        </w:rPr>
      </w:pPr>
      <w:r w:rsidRPr="00EB445E">
        <w:rPr>
          <w:rFonts w:hint="eastAsia"/>
          <w:sz w:val="24"/>
          <w:szCs w:val="24"/>
          <w:lang w:eastAsia="zh-CN" w:bidi="th-TH"/>
        </w:rPr>
        <w:t>第二版《</w:t>
      </w:r>
      <w:r w:rsidRPr="001F5185">
        <w:rPr>
          <w:rFonts w:ascii="KaiTi" w:eastAsia="KaiTi" w:hAnsi="KaiTi" w:hint="eastAsia"/>
          <w:sz w:val="24"/>
          <w:szCs w:val="24"/>
          <w:lang w:eastAsia="zh-CN" w:bidi="th-TH"/>
        </w:rPr>
        <w:t>地方生物多样性展望</w:t>
      </w:r>
      <w:r w:rsidRPr="00EB445E">
        <w:rPr>
          <w:rFonts w:hint="eastAsia"/>
          <w:sz w:val="24"/>
          <w:szCs w:val="24"/>
          <w:lang w:eastAsia="zh-CN" w:bidi="th-TH"/>
        </w:rPr>
        <w:t>》；</w:t>
      </w:r>
    </w:p>
    <w:p w:rsidR="00D9416A" w:rsidRPr="00EB445E" w:rsidRDefault="00D9416A" w:rsidP="00D9416A">
      <w:pPr>
        <w:pStyle w:val="Para1"/>
        <w:numPr>
          <w:ilvl w:val="2"/>
          <w:numId w:val="243"/>
        </w:numPr>
        <w:tabs>
          <w:tab w:val="clear" w:pos="1260"/>
        </w:tabs>
        <w:adjustRightInd w:val="0"/>
        <w:snapToGrid w:val="0"/>
        <w:ind w:left="2160" w:hanging="720"/>
        <w:rPr>
          <w:sz w:val="24"/>
          <w:szCs w:val="24"/>
          <w:lang w:eastAsia="zh-CN" w:bidi="th-TH"/>
        </w:rPr>
      </w:pPr>
      <w:r w:rsidRPr="00EB445E">
        <w:rPr>
          <w:rFonts w:hint="eastAsia"/>
          <w:sz w:val="24"/>
          <w:szCs w:val="24"/>
          <w:lang w:eastAsia="zh-CN" w:bidi="th-TH"/>
        </w:rPr>
        <w:t>国家能力建设战略和行动计划；</w:t>
      </w:r>
      <w:r w:rsidRPr="002F343C">
        <w:rPr>
          <w:rStyle w:val="FootnoteReference"/>
          <w:sz w:val="24"/>
          <w:szCs w:val="24"/>
          <w:u w:val="none"/>
          <w:vertAlign w:val="superscript"/>
        </w:rPr>
        <w:footnoteReference w:id="280"/>
      </w:r>
    </w:p>
    <w:p w:rsidR="00D9416A" w:rsidRPr="00EB445E" w:rsidRDefault="00D9416A" w:rsidP="00D9416A">
      <w:pPr>
        <w:pStyle w:val="Para1"/>
        <w:numPr>
          <w:ilvl w:val="2"/>
          <w:numId w:val="243"/>
        </w:numPr>
        <w:tabs>
          <w:tab w:val="clear" w:pos="1260"/>
        </w:tabs>
        <w:adjustRightInd w:val="0"/>
        <w:snapToGrid w:val="0"/>
        <w:ind w:left="2160" w:hanging="720"/>
        <w:rPr>
          <w:sz w:val="24"/>
          <w:szCs w:val="24"/>
          <w:lang w:eastAsia="zh-CN" w:bidi="th-TH"/>
        </w:rPr>
      </w:pPr>
      <w:r w:rsidRPr="00EB445E">
        <w:rPr>
          <w:rFonts w:hint="eastAsia"/>
          <w:sz w:val="24"/>
          <w:szCs w:val="24"/>
          <w:lang w:eastAsia="zh-CN" w:bidi="th-TH"/>
        </w:rPr>
        <w:t>《名古屋议定书》和《卡塔赫纳议定书》能力建设战略框架评价报告；</w:t>
      </w:r>
    </w:p>
    <w:p w:rsidR="00D9416A" w:rsidRPr="00EB445E" w:rsidRDefault="00D9416A" w:rsidP="00D9416A">
      <w:pPr>
        <w:pStyle w:val="Para1"/>
        <w:numPr>
          <w:ilvl w:val="2"/>
          <w:numId w:val="243"/>
        </w:numPr>
        <w:tabs>
          <w:tab w:val="clear" w:pos="1260"/>
        </w:tabs>
        <w:adjustRightInd w:val="0"/>
        <w:snapToGrid w:val="0"/>
        <w:ind w:left="2160" w:hanging="720"/>
        <w:rPr>
          <w:sz w:val="24"/>
          <w:szCs w:val="24"/>
          <w:lang w:eastAsia="zh-CN" w:bidi="th-TH"/>
        </w:rPr>
      </w:pPr>
      <w:r w:rsidRPr="00EB445E">
        <w:rPr>
          <w:rFonts w:hint="eastAsia"/>
          <w:sz w:val="24"/>
          <w:szCs w:val="24"/>
          <w:lang w:eastAsia="zh-CN" w:bidi="th-TH"/>
        </w:rPr>
        <w:lastRenderedPageBreak/>
        <w:t>旨在加强和支持执行〈公约〉及其〈议定书〉的能力建设的短期行动计划（</w:t>
      </w:r>
      <w:r w:rsidRPr="00EB445E">
        <w:rPr>
          <w:sz w:val="24"/>
          <w:szCs w:val="24"/>
          <w:lang w:eastAsia="zh-CN" w:bidi="th-TH"/>
        </w:rPr>
        <w:t>2017-2020</w:t>
      </w:r>
      <w:r w:rsidRPr="00EB445E">
        <w:rPr>
          <w:rFonts w:hint="eastAsia"/>
          <w:sz w:val="24"/>
          <w:szCs w:val="24"/>
          <w:lang w:eastAsia="zh-CN" w:bidi="th-TH"/>
        </w:rPr>
        <w:t>）的影响、成果和成效的独立评价报告；</w:t>
      </w:r>
    </w:p>
    <w:p w:rsidR="00D9416A" w:rsidRPr="00EB445E" w:rsidRDefault="00D9416A" w:rsidP="00D9416A">
      <w:pPr>
        <w:pStyle w:val="Para1"/>
        <w:numPr>
          <w:ilvl w:val="2"/>
          <w:numId w:val="243"/>
        </w:numPr>
        <w:tabs>
          <w:tab w:val="clear" w:pos="1260"/>
        </w:tabs>
        <w:adjustRightInd w:val="0"/>
        <w:snapToGrid w:val="0"/>
        <w:ind w:left="2160" w:hanging="720"/>
        <w:rPr>
          <w:sz w:val="24"/>
          <w:szCs w:val="24"/>
          <w:lang w:eastAsia="zh-CN" w:bidi="th-TH"/>
        </w:rPr>
      </w:pPr>
      <w:r w:rsidRPr="00EB445E">
        <w:rPr>
          <w:rFonts w:hint="eastAsia"/>
          <w:sz w:val="24"/>
          <w:szCs w:val="24"/>
          <w:lang w:eastAsia="zh-CN" w:bidi="th-TH"/>
        </w:rPr>
        <w:t>相关组织开展的相关研究、调查和需求评估的报告；</w:t>
      </w:r>
      <w:r w:rsidRPr="00F62E46">
        <w:rPr>
          <w:rStyle w:val="FootnoteReference"/>
          <w:sz w:val="24"/>
          <w:szCs w:val="24"/>
          <w:vertAlign w:val="superscript"/>
        </w:rPr>
        <w:footnoteReference w:id="281"/>
      </w:r>
    </w:p>
    <w:p w:rsidR="00D9416A" w:rsidRDefault="00D9416A" w:rsidP="00D9416A">
      <w:pPr>
        <w:pStyle w:val="Para1"/>
        <w:numPr>
          <w:ilvl w:val="2"/>
          <w:numId w:val="243"/>
        </w:numPr>
        <w:tabs>
          <w:tab w:val="clear" w:pos="1260"/>
        </w:tabs>
        <w:adjustRightInd w:val="0"/>
        <w:snapToGrid w:val="0"/>
        <w:ind w:left="2160" w:hanging="720"/>
        <w:rPr>
          <w:sz w:val="24"/>
          <w:szCs w:val="24"/>
          <w:lang w:eastAsia="zh-CN" w:bidi="th-TH"/>
        </w:rPr>
      </w:pPr>
      <w:r w:rsidRPr="00EB445E">
        <w:rPr>
          <w:rFonts w:hint="eastAsia"/>
          <w:sz w:val="24"/>
          <w:szCs w:val="24"/>
          <w:lang w:eastAsia="zh-CN" w:bidi="th-TH"/>
        </w:rPr>
        <w:t>相关能力建设项目的评价报告；</w:t>
      </w:r>
    </w:p>
    <w:p w:rsidR="00D9416A" w:rsidRDefault="00D9416A" w:rsidP="00D9416A">
      <w:pPr>
        <w:pStyle w:val="Para1"/>
        <w:numPr>
          <w:ilvl w:val="2"/>
          <w:numId w:val="243"/>
        </w:numPr>
        <w:tabs>
          <w:tab w:val="clear" w:pos="1260"/>
        </w:tabs>
        <w:adjustRightInd w:val="0"/>
        <w:snapToGrid w:val="0"/>
        <w:ind w:left="2160" w:hanging="720"/>
        <w:rPr>
          <w:sz w:val="24"/>
          <w:szCs w:val="24"/>
          <w:lang w:eastAsia="zh-CN" w:bidi="th-TH"/>
        </w:rPr>
      </w:pPr>
      <w:r w:rsidRPr="000235E0">
        <w:rPr>
          <w:rFonts w:hint="eastAsia"/>
          <w:sz w:val="24"/>
          <w:szCs w:val="24"/>
          <w:lang w:eastAsia="zh-CN" w:bidi="th-TH"/>
        </w:rPr>
        <w:t>关于其他生物多样性国际条约下的能力建设评估报告</w:t>
      </w:r>
      <w:r>
        <w:rPr>
          <w:rFonts w:hint="eastAsia"/>
          <w:sz w:val="24"/>
          <w:szCs w:val="24"/>
          <w:lang w:eastAsia="zh-CN" w:bidi="th-TH"/>
        </w:rPr>
        <w:t>；</w:t>
      </w:r>
    </w:p>
    <w:p w:rsidR="00D9416A" w:rsidRPr="00EB445E" w:rsidRDefault="00D9416A" w:rsidP="00D9416A">
      <w:pPr>
        <w:pStyle w:val="Para1"/>
        <w:numPr>
          <w:ilvl w:val="2"/>
          <w:numId w:val="243"/>
        </w:numPr>
        <w:tabs>
          <w:tab w:val="clear" w:pos="1260"/>
        </w:tabs>
        <w:adjustRightInd w:val="0"/>
        <w:snapToGrid w:val="0"/>
        <w:ind w:left="2160" w:hanging="720"/>
        <w:rPr>
          <w:sz w:val="24"/>
          <w:szCs w:val="24"/>
          <w:lang w:eastAsia="zh-CN" w:bidi="th-TH"/>
        </w:rPr>
      </w:pPr>
      <w:r w:rsidRPr="008D7ECB">
        <w:rPr>
          <w:rFonts w:hint="eastAsia"/>
          <w:sz w:val="24"/>
          <w:szCs w:val="24"/>
          <w:lang w:eastAsia="zh-CN" w:bidi="th-TH"/>
        </w:rPr>
        <w:t>生物多样性和生态系统服务政府间科学政策平台区域评估</w:t>
      </w:r>
      <w:r>
        <w:rPr>
          <w:rFonts w:hint="eastAsia"/>
          <w:sz w:val="24"/>
          <w:szCs w:val="24"/>
          <w:lang w:eastAsia="zh-CN" w:bidi="th-TH"/>
        </w:rPr>
        <w:t>。</w:t>
      </w:r>
    </w:p>
    <w:p w:rsidR="00D9416A" w:rsidRPr="00EB445E" w:rsidRDefault="00D9416A" w:rsidP="00D9416A">
      <w:pPr>
        <w:pStyle w:val="Para1"/>
        <w:numPr>
          <w:ilvl w:val="1"/>
          <w:numId w:val="81"/>
        </w:numPr>
        <w:tabs>
          <w:tab w:val="clear" w:pos="1440"/>
        </w:tabs>
        <w:adjustRightInd w:val="0"/>
        <w:snapToGrid w:val="0"/>
        <w:rPr>
          <w:sz w:val="24"/>
          <w:szCs w:val="24"/>
          <w:lang w:eastAsia="zh-CN" w:bidi="th-TH"/>
        </w:rPr>
      </w:pPr>
      <w:r w:rsidRPr="00EB445E">
        <w:rPr>
          <w:rFonts w:hint="eastAsia"/>
          <w:sz w:val="24"/>
          <w:szCs w:val="24"/>
          <w:lang w:eastAsia="zh-CN" w:bidi="th-TH"/>
        </w:rPr>
        <w:t>对缔约方和主要合作伙伴，包括土著人民和地方社区以及妇女和青年组织进行调查，除其他外，查明其今后十年的优先能力需求和所需能力，以及可能获得的援助和其他能力发展机会、工具和服务；</w:t>
      </w:r>
    </w:p>
    <w:p w:rsidR="00D9416A" w:rsidRPr="00EB445E" w:rsidRDefault="00D9416A" w:rsidP="00D9416A">
      <w:pPr>
        <w:pStyle w:val="Para1"/>
        <w:numPr>
          <w:ilvl w:val="1"/>
          <w:numId w:val="81"/>
        </w:numPr>
        <w:tabs>
          <w:tab w:val="clear" w:pos="1440"/>
        </w:tabs>
        <w:adjustRightInd w:val="0"/>
        <w:snapToGrid w:val="0"/>
        <w:rPr>
          <w:sz w:val="24"/>
          <w:szCs w:val="24"/>
          <w:lang w:eastAsia="zh-CN" w:bidi="th-TH"/>
        </w:rPr>
      </w:pPr>
      <w:r w:rsidRPr="00EB445E">
        <w:rPr>
          <w:rFonts w:hint="eastAsia"/>
          <w:sz w:val="24"/>
          <w:szCs w:val="24"/>
          <w:lang w:eastAsia="zh-CN" w:bidi="th-TH"/>
        </w:rPr>
        <w:t>分析能力建设需求和优先事项以及信息交换中心机制和各</w:t>
      </w:r>
      <w:r>
        <w:rPr>
          <w:rFonts w:hint="eastAsia"/>
          <w:sz w:val="24"/>
          <w:szCs w:val="24"/>
          <w:lang w:eastAsia="zh-CN" w:bidi="th-TH"/>
        </w:rPr>
        <w:t>《</w:t>
      </w:r>
      <w:r w:rsidRPr="00EB445E">
        <w:rPr>
          <w:rFonts w:hint="eastAsia"/>
          <w:sz w:val="24"/>
          <w:szCs w:val="24"/>
          <w:lang w:eastAsia="zh-CN" w:bidi="th-TH"/>
        </w:rPr>
        <w:t>议定书</w:t>
      </w:r>
      <w:r>
        <w:rPr>
          <w:rFonts w:hint="eastAsia"/>
          <w:sz w:val="24"/>
          <w:szCs w:val="24"/>
          <w:lang w:eastAsia="zh-CN" w:bidi="th-TH"/>
        </w:rPr>
        <w:t>》</w:t>
      </w:r>
      <w:r>
        <w:rPr>
          <w:sz w:val="24"/>
          <w:szCs w:val="24"/>
          <w:lang w:eastAsia="zh-CN" w:bidi="th-TH"/>
        </w:rPr>
        <w:t>的</w:t>
      </w:r>
      <w:r w:rsidRPr="00EB445E">
        <w:rPr>
          <w:rFonts w:hint="eastAsia"/>
          <w:sz w:val="24"/>
          <w:szCs w:val="24"/>
          <w:lang w:eastAsia="zh-CN" w:bidi="th-TH"/>
        </w:rPr>
        <w:t>信息交换所提供的其他相关信息；</w:t>
      </w:r>
    </w:p>
    <w:p w:rsidR="00D9416A" w:rsidRPr="00EB445E" w:rsidRDefault="00D9416A" w:rsidP="00D9416A">
      <w:pPr>
        <w:pStyle w:val="Para1"/>
        <w:numPr>
          <w:ilvl w:val="1"/>
          <w:numId w:val="81"/>
        </w:numPr>
        <w:tabs>
          <w:tab w:val="clear" w:pos="1440"/>
        </w:tabs>
        <w:adjustRightInd w:val="0"/>
        <w:snapToGrid w:val="0"/>
        <w:rPr>
          <w:sz w:val="24"/>
          <w:szCs w:val="24"/>
          <w:lang w:eastAsia="zh-CN" w:bidi="th-TH"/>
        </w:rPr>
      </w:pPr>
      <w:r w:rsidRPr="00EB445E">
        <w:rPr>
          <w:rFonts w:hint="eastAsia"/>
          <w:sz w:val="24"/>
          <w:szCs w:val="24"/>
          <w:lang w:eastAsia="zh-CN" w:bidi="th-TH"/>
        </w:rPr>
        <w:t>与包括《生物多样性公约》</w:t>
      </w:r>
      <w:r>
        <w:rPr>
          <w:rFonts w:hint="eastAsia"/>
          <w:sz w:val="24"/>
          <w:szCs w:val="24"/>
          <w:lang w:eastAsia="zh-CN" w:bidi="th-TH"/>
        </w:rPr>
        <w:t>秘书处</w:t>
      </w:r>
      <w:r w:rsidRPr="00EB445E">
        <w:rPr>
          <w:rFonts w:hint="eastAsia"/>
          <w:sz w:val="24"/>
          <w:szCs w:val="24"/>
          <w:lang w:eastAsia="zh-CN" w:bidi="th-TH"/>
        </w:rPr>
        <w:t>工作人员和缔约方代表、土著人民和地方社区、伙伴组织以及来自不同区域的其他行为者，包括技术和科学机构、妇女和青年组织在内的具有代表性的利益攸关方进行面谈。除其他外，请他们分享关于在不同情形下各种能力发展办法和提供方式中明显的优缺点、可加以利用的相关经验和教训和良好做法实例、关于今后能力发展转型式变革的可能动力的信息和意见。</w:t>
      </w:r>
    </w:p>
    <w:p w:rsidR="00D9416A" w:rsidRDefault="00D9416A">
      <w:pPr>
        <w:rPr>
          <w:kern w:val="22"/>
          <w:lang w:eastAsia="zh-CN"/>
        </w:rPr>
      </w:pPr>
      <w:r>
        <w:rPr>
          <w:kern w:val="22"/>
          <w:lang w:eastAsia="zh-CN"/>
        </w:rPr>
        <w:br w:type="page"/>
      </w:r>
    </w:p>
    <w:p w:rsidR="00FF485B" w:rsidRPr="00FF485B" w:rsidRDefault="00FF485B" w:rsidP="00FF485B">
      <w:pPr>
        <w:pStyle w:val="Heading1"/>
        <w:spacing w:before="120"/>
        <w:ind w:firstLine="0"/>
        <w:rPr>
          <w:rFonts w:eastAsiaTheme="minorEastAsia" w:cs="Times New Roman"/>
          <w:noProof/>
          <w:kern w:val="22"/>
          <w:sz w:val="24"/>
          <w:lang w:eastAsia="zh-CN"/>
        </w:rPr>
      </w:pPr>
      <w:bookmarkStart w:id="208" w:name="_Toc6243784"/>
      <w:r w:rsidRPr="00FF485B">
        <w:rPr>
          <w:rFonts w:eastAsiaTheme="minorEastAsia" w:cs="Times New Roman"/>
          <w:noProof/>
          <w:kern w:val="22"/>
          <w:sz w:val="24"/>
          <w:lang w:eastAsia="zh-CN"/>
        </w:rPr>
        <w:lastRenderedPageBreak/>
        <w:t>14/25.</w:t>
      </w:r>
      <w:r w:rsidRPr="00FF485B">
        <w:rPr>
          <w:rFonts w:eastAsiaTheme="minorEastAsia" w:cs="Times New Roman"/>
          <w:noProof/>
          <w:kern w:val="22"/>
          <w:sz w:val="24"/>
          <w:lang w:eastAsia="zh-CN"/>
        </w:rPr>
        <w:tab/>
        <w:t xml:space="preserve">   </w:t>
      </w:r>
      <w:r w:rsidRPr="00FF485B">
        <w:rPr>
          <w:rFonts w:eastAsiaTheme="minorEastAsia" w:cs="Times New Roman"/>
          <w:noProof/>
          <w:kern w:val="22"/>
          <w:sz w:val="24"/>
          <w:lang w:eastAsia="zh-CN"/>
        </w:rPr>
        <w:t>《公约》及其《议定书》下的知识管理</w:t>
      </w:r>
      <w:bookmarkEnd w:id="208"/>
      <w:r w:rsidRPr="00FF485B">
        <w:rPr>
          <w:rFonts w:eastAsiaTheme="minorEastAsia" w:cs="Times New Roman"/>
          <w:noProof/>
          <w:kern w:val="22"/>
          <w:sz w:val="24"/>
          <w:lang w:eastAsia="zh-CN"/>
        </w:rPr>
        <w:t xml:space="preserve"> </w:t>
      </w:r>
    </w:p>
    <w:p w:rsidR="00FF485B" w:rsidRPr="00E40630" w:rsidRDefault="00FF485B" w:rsidP="00FF485B">
      <w:pPr>
        <w:pStyle w:val="Para1"/>
        <w:tabs>
          <w:tab w:val="clear" w:pos="360"/>
        </w:tabs>
        <w:snapToGrid w:val="0"/>
        <w:rPr>
          <w:rFonts w:hAnsi="SimSun"/>
          <w:i/>
          <w:noProof/>
          <w:kern w:val="22"/>
          <w:sz w:val="24"/>
          <w:szCs w:val="24"/>
          <w:lang w:eastAsia="zh-CN"/>
        </w:rPr>
      </w:pPr>
      <w:r w:rsidRPr="00E40630">
        <w:rPr>
          <w:rFonts w:ascii="KaiTi" w:eastAsia="KaiTi" w:hAnsi="KaiTi"/>
          <w:kern w:val="22"/>
          <w:sz w:val="24"/>
          <w:szCs w:val="24"/>
          <w:lang w:val="zh-CN" w:eastAsia="zh-CN"/>
        </w:rPr>
        <w:t>缔约方大会</w:t>
      </w:r>
      <w:r w:rsidRPr="00E40630">
        <w:rPr>
          <w:rFonts w:hAnsi="SimSun"/>
          <w:noProof/>
          <w:kern w:val="22"/>
          <w:sz w:val="24"/>
          <w:szCs w:val="24"/>
          <w:lang w:eastAsia="zh-CN"/>
        </w:rPr>
        <w:t>，</w:t>
      </w:r>
    </w:p>
    <w:p w:rsidR="00FF485B" w:rsidRPr="00D807A0" w:rsidRDefault="00FF485B" w:rsidP="00FF485B">
      <w:pPr>
        <w:pStyle w:val="Para1"/>
        <w:tabs>
          <w:tab w:val="clear" w:pos="360"/>
        </w:tabs>
        <w:snapToGrid w:val="0"/>
        <w:rPr>
          <w:sz w:val="24"/>
          <w:lang w:eastAsia="zh-CN"/>
        </w:rPr>
      </w:pPr>
      <w:r w:rsidRPr="00D807A0">
        <w:rPr>
          <w:rFonts w:ascii="KaiTi" w:eastAsia="KaiTi" w:hAnsi="KaiTi" w:hint="eastAsia"/>
          <w:sz w:val="24"/>
          <w:lang w:eastAsia="zh-CN"/>
        </w:rPr>
        <w:t>回顾</w:t>
      </w:r>
      <w:r w:rsidRPr="00D807A0">
        <w:rPr>
          <w:sz w:val="24"/>
          <w:lang w:eastAsia="zh-CN"/>
        </w:rPr>
        <w:t>第</w:t>
      </w:r>
      <w:r w:rsidRPr="00D807A0">
        <w:rPr>
          <w:rFonts w:eastAsia="KaiTi"/>
          <w:sz w:val="24"/>
          <w:lang w:eastAsia="zh-CN"/>
        </w:rPr>
        <w:t>XIII</w:t>
      </w:r>
      <w:r w:rsidRPr="00D807A0">
        <w:rPr>
          <w:kern w:val="22"/>
          <w:sz w:val="24"/>
          <w:lang w:eastAsia="zh-CN"/>
        </w:rPr>
        <w:t>/23</w:t>
      </w:r>
      <w:r>
        <w:rPr>
          <w:rFonts w:hint="eastAsia"/>
          <w:kern w:val="22"/>
          <w:sz w:val="24"/>
          <w:lang w:eastAsia="zh-CN"/>
        </w:rPr>
        <w:t>号</w:t>
      </w:r>
      <w:r w:rsidRPr="00D807A0">
        <w:rPr>
          <w:kern w:val="22"/>
          <w:sz w:val="24"/>
          <w:lang w:eastAsia="zh-CN"/>
        </w:rPr>
        <w:t>、</w:t>
      </w:r>
      <w:r w:rsidRPr="004B6C3C">
        <w:rPr>
          <w:rFonts w:hint="eastAsia"/>
          <w:kern w:val="22"/>
          <w:sz w:val="24"/>
          <w:szCs w:val="24"/>
          <w:lang w:eastAsia="zh-CN"/>
        </w:rPr>
        <w:t>第</w:t>
      </w:r>
      <w:r w:rsidRPr="002C565A">
        <w:rPr>
          <w:rFonts w:eastAsia="Malgun Gothic"/>
          <w:kern w:val="22"/>
          <w:sz w:val="24"/>
          <w:szCs w:val="24"/>
          <w:lang w:eastAsia="zh-CN"/>
        </w:rPr>
        <w:t>XIII/31</w:t>
      </w:r>
      <w:r w:rsidRPr="00A845FE">
        <w:rPr>
          <w:rFonts w:hint="eastAsia"/>
          <w:sz w:val="24"/>
          <w:lang w:eastAsia="zh-CN"/>
        </w:rPr>
        <w:t>号</w:t>
      </w:r>
      <w:r w:rsidRPr="004B6C3C">
        <w:rPr>
          <w:rFonts w:hint="eastAsia"/>
          <w:kern w:val="22"/>
          <w:sz w:val="24"/>
          <w:szCs w:val="24"/>
          <w:lang w:eastAsia="zh-CN"/>
        </w:rPr>
        <w:t>、</w:t>
      </w:r>
      <w:r w:rsidRPr="00D807A0">
        <w:rPr>
          <w:kern w:val="22"/>
          <w:sz w:val="24"/>
          <w:lang w:eastAsia="zh-CN"/>
        </w:rPr>
        <w:t>第</w:t>
      </w:r>
      <w:r w:rsidRPr="00D807A0">
        <w:rPr>
          <w:rFonts w:eastAsia="Malgun Gothic"/>
          <w:kern w:val="22"/>
          <w:sz w:val="24"/>
          <w:lang w:eastAsia="zh-CN"/>
        </w:rPr>
        <w:t>XII/2 B</w:t>
      </w:r>
      <w:r w:rsidRPr="00A845FE">
        <w:rPr>
          <w:rFonts w:hint="eastAsia"/>
          <w:sz w:val="24"/>
          <w:lang w:eastAsia="zh-CN"/>
        </w:rPr>
        <w:t>号</w:t>
      </w:r>
      <w:r w:rsidRPr="00A845FE">
        <w:rPr>
          <w:sz w:val="24"/>
          <w:lang w:eastAsia="zh-CN"/>
        </w:rPr>
        <w:t>、</w:t>
      </w:r>
      <w:r w:rsidRPr="00A845FE">
        <w:rPr>
          <w:rFonts w:hint="eastAsia"/>
          <w:sz w:val="24"/>
          <w:lang w:eastAsia="zh-CN"/>
        </w:rPr>
        <w:t>第</w:t>
      </w:r>
      <w:r w:rsidRPr="0037018B">
        <w:rPr>
          <w:rFonts w:eastAsia="Malgun Gothic"/>
          <w:kern w:val="22"/>
          <w:sz w:val="24"/>
          <w:szCs w:val="22"/>
          <w:lang w:eastAsia="zh-CN"/>
        </w:rPr>
        <w:t>XI/24</w:t>
      </w:r>
      <w:r w:rsidRPr="00A845FE">
        <w:rPr>
          <w:rFonts w:hint="eastAsia"/>
          <w:sz w:val="24"/>
          <w:lang w:eastAsia="zh-CN"/>
        </w:rPr>
        <w:t>号</w:t>
      </w:r>
      <w:r w:rsidRPr="00A845FE">
        <w:rPr>
          <w:sz w:val="24"/>
          <w:lang w:eastAsia="zh-CN"/>
        </w:rPr>
        <w:t>和第</w:t>
      </w:r>
      <w:r w:rsidRPr="00D807A0">
        <w:rPr>
          <w:rFonts w:eastAsia="Malgun Gothic"/>
          <w:kern w:val="22"/>
          <w:sz w:val="24"/>
          <w:lang w:eastAsia="zh-CN"/>
        </w:rPr>
        <w:t xml:space="preserve"> X/15</w:t>
      </w:r>
      <w:r w:rsidRPr="00D807A0">
        <w:rPr>
          <w:sz w:val="24"/>
          <w:lang w:eastAsia="zh-CN"/>
        </w:rPr>
        <w:t>号决定</w:t>
      </w:r>
      <w:r w:rsidRPr="00D807A0">
        <w:rPr>
          <w:rFonts w:hint="eastAsia"/>
          <w:sz w:val="24"/>
          <w:lang w:eastAsia="zh-CN"/>
        </w:rPr>
        <w:t>，</w:t>
      </w:r>
    </w:p>
    <w:p w:rsidR="00FF485B" w:rsidRPr="008718DF" w:rsidRDefault="00FF485B" w:rsidP="00FF485B">
      <w:pPr>
        <w:pStyle w:val="Para1"/>
        <w:suppressLineNumbers/>
        <w:tabs>
          <w:tab w:val="clear" w:pos="360"/>
        </w:tabs>
        <w:suppressAutoHyphens/>
        <w:snapToGrid w:val="0"/>
        <w:ind w:left="-90" w:firstLine="810"/>
        <w:rPr>
          <w:rFonts w:eastAsiaTheme="minorEastAsia"/>
          <w:i/>
          <w:kern w:val="22"/>
          <w:sz w:val="24"/>
          <w:szCs w:val="24"/>
          <w:lang w:eastAsia="zh-CN"/>
        </w:rPr>
      </w:pPr>
      <w:r w:rsidRPr="00327AF0">
        <w:rPr>
          <w:rFonts w:ascii="KaiTi" w:eastAsia="KaiTi" w:hAnsi="KaiTi"/>
          <w:kern w:val="22"/>
          <w:sz w:val="24"/>
          <w:szCs w:val="24"/>
          <w:lang w:val="zh-CN" w:eastAsia="zh-CN"/>
        </w:rPr>
        <w:t>注意到</w:t>
      </w:r>
      <w:r w:rsidRPr="008718DF">
        <w:rPr>
          <w:rFonts w:eastAsiaTheme="minorEastAsia"/>
          <w:kern w:val="22"/>
          <w:sz w:val="24"/>
          <w:szCs w:val="24"/>
          <w:lang w:val="zh-CN" w:eastAsia="zh-CN"/>
        </w:rPr>
        <w:t>在执行</w:t>
      </w:r>
      <w:r w:rsidRPr="00466808">
        <w:rPr>
          <w:rFonts w:eastAsiaTheme="minorEastAsia"/>
          <w:spacing w:val="-20"/>
          <w:kern w:val="22"/>
          <w:sz w:val="24"/>
          <w:szCs w:val="24"/>
          <w:lang w:val="zh-CN" w:eastAsia="zh-CN"/>
        </w:rPr>
        <w:t>《公约》及其《议定书》</w:t>
      </w:r>
      <w:r>
        <w:rPr>
          <w:rFonts w:eastAsiaTheme="minorEastAsia" w:hint="eastAsia"/>
          <w:kern w:val="22"/>
          <w:sz w:val="24"/>
          <w:szCs w:val="24"/>
          <w:lang w:val="zh-CN" w:eastAsia="zh-CN"/>
        </w:rPr>
        <w:t>的</w:t>
      </w:r>
      <w:r w:rsidRPr="008718DF">
        <w:rPr>
          <w:rFonts w:eastAsiaTheme="minorEastAsia"/>
          <w:kern w:val="22"/>
          <w:sz w:val="24"/>
          <w:szCs w:val="24"/>
          <w:lang w:val="zh-CN" w:eastAsia="zh-CN"/>
        </w:rPr>
        <w:t>网络战略</w:t>
      </w:r>
      <w:r>
        <w:rPr>
          <w:rFonts w:eastAsiaTheme="minorEastAsia" w:hint="eastAsia"/>
          <w:kern w:val="22"/>
          <w:sz w:val="24"/>
          <w:szCs w:val="24"/>
          <w:lang w:val="zh-CN" w:eastAsia="zh-CN"/>
        </w:rPr>
        <w:t>和在</w:t>
      </w:r>
      <w:r w:rsidRPr="008718DF">
        <w:rPr>
          <w:rFonts w:eastAsiaTheme="minorEastAsia"/>
          <w:kern w:val="22"/>
          <w:sz w:val="24"/>
          <w:szCs w:val="24"/>
          <w:lang w:val="zh-CN" w:eastAsia="zh-CN"/>
        </w:rPr>
        <w:t>国家信息交换所机制</w:t>
      </w:r>
      <w:r>
        <w:rPr>
          <w:rFonts w:eastAsiaTheme="minorEastAsia" w:hint="eastAsia"/>
          <w:kern w:val="22"/>
          <w:sz w:val="24"/>
          <w:szCs w:val="24"/>
          <w:lang w:val="zh-CN" w:eastAsia="zh-CN"/>
        </w:rPr>
        <w:t>的</w:t>
      </w:r>
      <w:r>
        <w:rPr>
          <w:rFonts w:eastAsiaTheme="minorEastAsia"/>
          <w:kern w:val="22"/>
          <w:sz w:val="24"/>
          <w:szCs w:val="24"/>
          <w:lang w:val="zh-CN" w:eastAsia="zh-CN"/>
        </w:rPr>
        <w:t>发展</w:t>
      </w:r>
      <w:r>
        <w:rPr>
          <w:rFonts w:eastAsiaTheme="minorEastAsia" w:hint="eastAsia"/>
          <w:kern w:val="22"/>
          <w:sz w:val="24"/>
          <w:szCs w:val="24"/>
          <w:lang w:val="zh-CN" w:eastAsia="zh-CN"/>
        </w:rPr>
        <w:t>方面取得的进展</w:t>
      </w:r>
      <w:r w:rsidRPr="00466808">
        <w:rPr>
          <w:rFonts w:eastAsiaTheme="minorEastAsia"/>
          <w:spacing w:val="-20"/>
          <w:kern w:val="22"/>
          <w:sz w:val="24"/>
          <w:szCs w:val="24"/>
          <w:lang w:eastAsia="zh-CN"/>
        </w:rPr>
        <w:t>，</w:t>
      </w:r>
      <w:r w:rsidRPr="00466808">
        <w:rPr>
          <w:rFonts w:eastAsiaTheme="minorEastAsia"/>
          <w:spacing w:val="-20"/>
          <w:kern w:val="22"/>
          <w:sz w:val="24"/>
          <w:szCs w:val="24"/>
          <w:lang w:val="zh-CN" w:eastAsia="zh-CN"/>
        </w:rPr>
        <w:t>包括执行秘书为协助缔约方建立或改进国家信息交换所机制推出的生物园工具</w:t>
      </w:r>
      <w:r w:rsidRPr="00466808">
        <w:rPr>
          <w:rFonts w:eastAsiaTheme="minorEastAsia"/>
          <w:spacing w:val="-20"/>
          <w:kern w:val="22"/>
          <w:sz w:val="24"/>
          <w:szCs w:val="24"/>
          <w:lang w:eastAsia="zh-CN"/>
        </w:rPr>
        <w:t>，</w:t>
      </w:r>
      <w:r w:rsidRPr="00466808">
        <w:rPr>
          <w:rStyle w:val="FootnoteReference"/>
          <w:rFonts w:eastAsiaTheme="minorEastAsia"/>
          <w:kern w:val="22"/>
          <w:sz w:val="24"/>
          <w:szCs w:val="24"/>
          <w:u w:val="none"/>
          <w:vertAlign w:val="superscript"/>
          <w:lang w:val="zh-CN"/>
        </w:rPr>
        <w:footnoteReference w:id="282"/>
      </w:r>
    </w:p>
    <w:p w:rsidR="00FF485B" w:rsidRPr="00BD1BD8" w:rsidRDefault="00FF485B" w:rsidP="00FF485B">
      <w:pPr>
        <w:snapToGrid w:val="0"/>
        <w:jc w:val="left"/>
        <w:rPr>
          <w:lang w:eastAsia="zh-CN"/>
        </w:rPr>
      </w:pPr>
      <w:r>
        <w:rPr>
          <w:rFonts w:ascii="KaiTi" w:eastAsia="KaiTi" w:hAnsi="KaiTi" w:hint="eastAsia"/>
          <w:lang w:eastAsia="zh-CN"/>
        </w:rPr>
        <w:t>认识到</w:t>
      </w:r>
      <w:r w:rsidRPr="00BD1BD8">
        <w:rPr>
          <w:rFonts w:hint="eastAsia"/>
          <w:lang w:eastAsia="zh-CN"/>
        </w:rPr>
        <w:t>需要收集、编排和分享生物多样性知识和经验，</w:t>
      </w:r>
      <w:r>
        <w:rPr>
          <w:rFonts w:hint="eastAsia"/>
          <w:lang w:eastAsia="zh-CN"/>
        </w:rPr>
        <w:t>包括传统知识，以便</w:t>
      </w:r>
      <w:r w:rsidRPr="00BD1BD8">
        <w:rPr>
          <w:rFonts w:hint="eastAsia"/>
          <w:lang w:eastAsia="zh-CN"/>
        </w:rPr>
        <w:t>为加强执行《公约》及其《议定书》提供便利和支持，</w:t>
      </w:r>
    </w:p>
    <w:p w:rsidR="00FF485B" w:rsidRPr="006C1013" w:rsidRDefault="00FF485B" w:rsidP="00FF485B">
      <w:pPr>
        <w:pStyle w:val="Para1"/>
        <w:suppressLineNumbers/>
        <w:tabs>
          <w:tab w:val="clear" w:pos="360"/>
        </w:tabs>
        <w:suppressAutoHyphens/>
        <w:snapToGrid w:val="0"/>
        <w:ind w:firstLine="709"/>
        <w:rPr>
          <w:rFonts w:asciiTheme="minorEastAsia" w:eastAsiaTheme="minorEastAsia" w:hAnsiTheme="minorEastAsia"/>
          <w:kern w:val="22"/>
          <w:sz w:val="24"/>
          <w:szCs w:val="22"/>
          <w:lang w:eastAsia="zh-CN"/>
        </w:rPr>
      </w:pPr>
      <w:r>
        <w:rPr>
          <w:rFonts w:ascii="KaiTi" w:eastAsia="KaiTi" w:hAnsi="KaiTi" w:hint="eastAsia"/>
          <w:sz w:val="24"/>
          <w:lang w:eastAsia="zh-CN"/>
        </w:rPr>
        <w:t>认识到</w:t>
      </w:r>
      <w:r w:rsidRPr="006C1013">
        <w:rPr>
          <w:rFonts w:asciiTheme="minorEastAsia" w:eastAsiaTheme="minorEastAsia" w:hAnsiTheme="minorEastAsia" w:hint="eastAsia"/>
          <w:sz w:val="24"/>
          <w:szCs w:val="24"/>
          <w:lang w:eastAsia="zh-CN"/>
        </w:rPr>
        <w:t>需要开放存取数据和开放源码工具，这是任何有效知识管理的必要条件，特别是在发展中国家，</w:t>
      </w:r>
    </w:p>
    <w:p w:rsidR="00FF485B" w:rsidRPr="00BD1BD8" w:rsidRDefault="00FF485B" w:rsidP="00FF485B">
      <w:pPr>
        <w:snapToGrid w:val="0"/>
        <w:jc w:val="left"/>
        <w:rPr>
          <w:lang w:eastAsia="zh-CN"/>
        </w:rPr>
      </w:pPr>
      <w:r w:rsidRPr="00BD1BD8">
        <w:rPr>
          <w:rFonts w:ascii="KaiTi" w:eastAsia="KaiTi" w:hAnsi="KaiTi" w:hint="eastAsia"/>
          <w:lang w:eastAsia="zh-CN"/>
        </w:rPr>
        <w:t>强调</w:t>
      </w:r>
      <w:r w:rsidRPr="00BD1BD8">
        <w:rPr>
          <w:rFonts w:hint="eastAsia"/>
          <w:lang w:eastAsia="zh-CN"/>
        </w:rPr>
        <w:t>需要加强《公约》信息交换所机制、生物安全信息交换所、获取和惠益分享信息交换所之间的一致性和一体化，</w:t>
      </w:r>
    </w:p>
    <w:p w:rsidR="00FF485B" w:rsidRPr="00BD1BD8" w:rsidRDefault="00FF485B" w:rsidP="00FF485B">
      <w:pPr>
        <w:pStyle w:val="ListParagraph"/>
        <w:numPr>
          <w:ilvl w:val="0"/>
          <w:numId w:val="247"/>
        </w:numPr>
        <w:snapToGrid w:val="0"/>
        <w:ind w:left="0" w:firstLine="720"/>
        <w:jc w:val="left"/>
        <w:rPr>
          <w:lang w:eastAsia="zh-CN"/>
        </w:rPr>
      </w:pPr>
      <w:r>
        <w:rPr>
          <w:rFonts w:ascii="KaiTi" w:eastAsia="KaiTi" w:hAnsi="KaiTi" w:hint="eastAsia"/>
          <w:lang w:eastAsia="zh-CN"/>
        </w:rPr>
        <w:t>认可</w:t>
      </w:r>
      <w:r w:rsidRPr="00BD1BD8">
        <w:rPr>
          <w:rFonts w:hint="eastAsia"/>
          <w:lang w:eastAsia="zh-CN"/>
        </w:rPr>
        <w:t>本决定</w:t>
      </w:r>
      <w:r w:rsidRPr="00BD1BD8">
        <w:rPr>
          <w:rFonts w:ascii="SimSun" w:hAnsi="SimSun" w:hint="eastAsia"/>
          <w:lang w:eastAsia="zh-CN"/>
        </w:rPr>
        <w:t>附件</w:t>
      </w:r>
      <w:r w:rsidRPr="00BD1BD8">
        <w:rPr>
          <w:rFonts w:hint="eastAsia"/>
          <w:lang w:eastAsia="zh-CN"/>
        </w:rPr>
        <w:t>一所载执行秘书根据各非正式咨询委员会的</w:t>
      </w:r>
      <w:r>
        <w:rPr>
          <w:rFonts w:hint="eastAsia"/>
          <w:lang w:eastAsia="zh-CN"/>
        </w:rPr>
        <w:t>意见编制</w:t>
      </w:r>
      <w:r w:rsidRPr="00BD1BD8">
        <w:rPr>
          <w:rFonts w:hint="eastAsia"/>
          <w:lang w:eastAsia="zh-CN"/>
        </w:rPr>
        <w:t>的《公约》信息交换所机制、生物安全信息交换所、获取和惠益分享信息交换所的联合运作模式，</w:t>
      </w:r>
    </w:p>
    <w:p w:rsidR="00FF485B" w:rsidRPr="0097701D" w:rsidRDefault="00FF485B" w:rsidP="00FF485B">
      <w:pPr>
        <w:pStyle w:val="ListParagraph"/>
        <w:numPr>
          <w:ilvl w:val="0"/>
          <w:numId w:val="247"/>
        </w:numPr>
        <w:snapToGrid w:val="0"/>
        <w:ind w:left="0" w:firstLine="720"/>
        <w:jc w:val="left"/>
        <w:rPr>
          <w:lang w:eastAsia="zh-CN"/>
        </w:rPr>
      </w:pPr>
      <w:r w:rsidRPr="0097701D">
        <w:rPr>
          <w:rFonts w:ascii="KaiTi" w:eastAsia="KaiTi" w:hAnsi="KaiTi"/>
          <w:lang w:eastAsia="zh-CN"/>
        </w:rPr>
        <w:t>邀请</w:t>
      </w:r>
      <w:r w:rsidRPr="0097701D">
        <w:rPr>
          <w:lang w:eastAsia="zh-CN"/>
        </w:rPr>
        <w:t>没有国家信息交换所机制和希望重新设计现有机制的缔约方和其他国家政府使用执行秘书研发的生物园工具；</w:t>
      </w:r>
    </w:p>
    <w:p w:rsidR="00FF485B" w:rsidRPr="0097701D" w:rsidRDefault="00FF485B" w:rsidP="00FF485B">
      <w:pPr>
        <w:pStyle w:val="ListParagraph"/>
        <w:numPr>
          <w:ilvl w:val="0"/>
          <w:numId w:val="247"/>
        </w:numPr>
        <w:snapToGrid w:val="0"/>
        <w:ind w:left="0" w:firstLine="720"/>
        <w:jc w:val="left"/>
        <w:rPr>
          <w:lang w:eastAsia="zh-CN"/>
        </w:rPr>
      </w:pPr>
      <w:r w:rsidRPr="0097701D">
        <w:rPr>
          <w:rFonts w:ascii="KaiTi" w:eastAsia="KaiTi" w:hAnsi="KaiTi"/>
          <w:lang w:eastAsia="zh-CN"/>
        </w:rPr>
        <w:t>邀请</w:t>
      </w:r>
      <w:r w:rsidRPr="0097701D">
        <w:rPr>
          <w:lang w:eastAsia="zh-CN"/>
        </w:rPr>
        <w:t>各缔约方、其他国家政府和相关组织酌情继续提供必要的</w:t>
      </w:r>
      <w:r>
        <w:rPr>
          <w:rFonts w:hint="eastAsia"/>
          <w:lang w:eastAsia="zh-CN"/>
        </w:rPr>
        <w:t>资金</w:t>
      </w:r>
      <w:r w:rsidRPr="0097701D">
        <w:rPr>
          <w:lang w:eastAsia="zh-CN"/>
        </w:rPr>
        <w:t>、技术和人力资源，支持进一步发展国家信息交换所机制，或将现有的国家信息交换所机制网站迁至生物园工具；</w:t>
      </w:r>
    </w:p>
    <w:p w:rsidR="00FF485B" w:rsidRPr="00BD1BD8" w:rsidRDefault="00FF485B" w:rsidP="00FF485B">
      <w:pPr>
        <w:pStyle w:val="ListParagraph"/>
        <w:numPr>
          <w:ilvl w:val="0"/>
          <w:numId w:val="247"/>
        </w:numPr>
        <w:snapToGrid w:val="0"/>
        <w:ind w:left="0" w:firstLine="720"/>
        <w:jc w:val="left"/>
        <w:rPr>
          <w:lang w:eastAsia="zh-CN"/>
        </w:rPr>
      </w:pPr>
      <w:r w:rsidRPr="00BD1BD8">
        <w:rPr>
          <w:rFonts w:ascii="KaiTi" w:eastAsia="KaiTi" w:hAnsi="KaiTi" w:hint="eastAsia"/>
          <w:lang w:eastAsia="zh-CN"/>
        </w:rPr>
        <w:t>请</w:t>
      </w:r>
      <w:r w:rsidRPr="00BD1BD8">
        <w:rPr>
          <w:rFonts w:hint="eastAsia"/>
          <w:lang w:eastAsia="zh-CN"/>
        </w:rPr>
        <w:t>执行秘书在资源允许的情况下：</w:t>
      </w:r>
    </w:p>
    <w:p w:rsidR="00FF485B" w:rsidRPr="00BD1BD8" w:rsidRDefault="00FF485B" w:rsidP="00FF485B">
      <w:pPr>
        <w:pStyle w:val="ListParagraph"/>
        <w:numPr>
          <w:ilvl w:val="0"/>
          <w:numId w:val="248"/>
        </w:numPr>
        <w:tabs>
          <w:tab w:val="left" w:pos="1440"/>
        </w:tabs>
        <w:snapToGrid w:val="0"/>
        <w:ind w:left="0" w:firstLine="720"/>
        <w:jc w:val="left"/>
        <w:rPr>
          <w:lang w:eastAsia="zh-CN"/>
        </w:rPr>
      </w:pPr>
      <w:r w:rsidRPr="00E41A10">
        <w:rPr>
          <w:rFonts w:hint="eastAsia"/>
          <w:lang w:eastAsia="zh-CN"/>
        </w:rPr>
        <w:t>在信息交换</w:t>
      </w:r>
      <w:r>
        <w:rPr>
          <w:rFonts w:hint="eastAsia"/>
          <w:lang w:eastAsia="zh-CN"/>
        </w:rPr>
        <w:t>所</w:t>
      </w:r>
      <w:r w:rsidRPr="00E41A10">
        <w:rPr>
          <w:rFonts w:hint="eastAsia"/>
          <w:lang w:eastAsia="zh-CN"/>
        </w:rPr>
        <w:t>机制非正式咨询委员会的指导下，继续执行信息交换</w:t>
      </w:r>
      <w:r>
        <w:rPr>
          <w:rFonts w:hint="eastAsia"/>
          <w:lang w:eastAsia="zh-CN"/>
        </w:rPr>
        <w:t>所</w:t>
      </w:r>
      <w:r w:rsidRPr="00E41A10">
        <w:rPr>
          <w:rFonts w:hint="eastAsia"/>
          <w:lang w:eastAsia="zh-CN"/>
        </w:rPr>
        <w:t>机制工作方案以支持《</w:t>
      </w:r>
      <w:r w:rsidRPr="00E41A10">
        <w:rPr>
          <w:rFonts w:hint="eastAsia"/>
          <w:lang w:eastAsia="zh-CN"/>
        </w:rPr>
        <w:t>2011</w:t>
      </w:r>
      <w:r>
        <w:rPr>
          <w:rFonts w:hint="eastAsia"/>
          <w:lang w:eastAsia="zh-CN"/>
        </w:rPr>
        <w:t>-</w:t>
      </w:r>
      <w:r w:rsidRPr="00E41A10">
        <w:rPr>
          <w:rFonts w:hint="eastAsia"/>
          <w:lang w:eastAsia="zh-CN"/>
        </w:rPr>
        <w:t>2020</w:t>
      </w:r>
      <w:r w:rsidRPr="00E41A10">
        <w:rPr>
          <w:rFonts w:hint="eastAsia"/>
          <w:lang w:eastAsia="zh-CN"/>
        </w:rPr>
        <w:t>年生物多样性战略计划》</w:t>
      </w:r>
      <w:r w:rsidRPr="00466808">
        <w:rPr>
          <w:rStyle w:val="FootnoteReference"/>
          <w:kern w:val="22"/>
          <w:sz w:val="24"/>
          <w:szCs w:val="22"/>
          <w:u w:val="none"/>
          <w:vertAlign w:val="superscript"/>
        </w:rPr>
        <w:footnoteReference w:id="283"/>
      </w:r>
      <w:r w:rsidRPr="00466808">
        <w:rPr>
          <w:rStyle w:val="FootnoteReference"/>
          <w:kern w:val="22"/>
          <w:sz w:val="24"/>
          <w:szCs w:val="22"/>
          <w:u w:val="none"/>
          <w:vertAlign w:val="superscript"/>
          <w:lang w:eastAsia="zh-CN"/>
        </w:rPr>
        <w:t xml:space="preserve"> </w:t>
      </w:r>
      <w:r w:rsidRPr="00E41A10">
        <w:rPr>
          <w:rFonts w:hint="eastAsia"/>
          <w:lang w:eastAsia="zh-CN"/>
        </w:rPr>
        <w:t>和《</w:t>
      </w:r>
      <w:r w:rsidRPr="00E41A10">
        <w:rPr>
          <w:rFonts w:hint="eastAsia"/>
          <w:lang w:eastAsia="zh-CN"/>
        </w:rPr>
        <w:t>2030</w:t>
      </w:r>
      <w:r w:rsidRPr="00E41A10">
        <w:rPr>
          <w:rFonts w:hint="eastAsia"/>
          <w:lang w:eastAsia="zh-CN"/>
        </w:rPr>
        <w:t>年可持续发展议程</w:t>
      </w:r>
      <w:r>
        <w:rPr>
          <w:rFonts w:hint="eastAsia"/>
          <w:lang w:eastAsia="zh-CN"/>
        </w:rPr>
        <w:t>》；</w:t>
      </w:r>
      <w:r w:rsidRPr="00466808">
        <w:rPr>
          <w:rStyle w:val="FootnoteReference"/>
          <w:kern w:val="22"/>
          <w:sz w:val="24"/>
          <w:szCs w:val="22"/>
          <w:u w:val="none"/>
          <w:vertAlign w:val="superscript"/>
        </w:rPr>
        <w:footnoteReference w:id="284"/>
      </w:r>
    </w:p>
    <w:p w:rsidR="00FF485B" w:rsidRPr="00086255" w:rsidRDefault="00FF485B" w:rsidP="00FF485B">
      <w:pPr>
        <w:pStyle w:val="ListParagraph"/>
        <w:numPr>
          <w:ilvl w:val="0"/>
          <w:numId w:val="248"/>
        </w:numPr>
        <w:tabs>
          <w:tab w:val="left" w:pos="1440"/>
        </w:tabs>
        <w:snapToGrid w:val="0"/>
        <w:ind w:left="0" w:firstLine="720"/>
        <w:jc w:val="left"/>
        <w:rPr>
          <w:lang w:eastAsia="zh-CN"/>
        </w:rPr>
      </w:pPr>
      <w:r w:rsidRPr="00086255">
        <w:rPr>
          <w:lang w:eastAsia="zh-CN"/>
        </w:rPr>
        <w:t>继续支持缔约方努力建立、维持和进一步发展国家信息交换所机制，包括通过：</w:t>
      </w:r>
    </w:p>
    <w:p w:rsidR="00FF485B" w:rsidRPr="008718DF" w:rsidRDefault="00FF485B" w:rsidP="00FF485B">
      <w:pPr>
        <w:suppressLineNumbers/>
        <w:suppressAutoHyphens/>
        <w:snapToGrid w:val="0"/>
        <w:ind w:left="2160" w:hanging="720"/>
        <w:rPr>
          <w:rFonts w:eastAsiaTheme="minorEastAsia"/>
          <w:lang w:eastAsia="zh-CN"/>
        </w:rPr>
      </w:pPr>
      <w:r w:rsidRPr="008718DF">
        <w:rPr>
          <w:rFonts w:eastAsiaTheme="minorEastAsia"/>
          <w:kern w:val="22"/>
          <w:lang w:eastAsia="zh-CN"/>
        </w:rPr>
        <w:t>(</w:t>
      </w:r>
      <w:r w:rsidRPr="008718DF">
        <w:rPr>
          <w:rFonts w:eastAsiaTheme="minorEastAsia"/>
          <w:kern w:val="22"/>
          <w:lang w:val="zh-CN" w:eastAsia="zh-CN"/>
        </w:rPr>
        <w:t>一</w:t>
      </w:r>
      <w:r w:rsidRPr="008718DF">
        <w:rPr>
          <w:rFonts w:eastAsiaTheme="minorEastAsia"/>
          <w:kern w:val="22"/>
          <w:lang w:eastAsia="zh-CN"/>
        </w:rPr>
        <w:t>)</w:t>
      </w:r>
      <w:r w:rsidRPr="008718DF">
        <w:rPr>
          <w:rFonts w:eastAsiaTheme="minorEastAsia"/>
          <w:kern w:val="22"/>
          <w:lang w:eastAsia="zh-CN"/>
        </w:rPr>
        <w:tab/>
      </w:r>
      <w:r w:rsidRPr="008718DF">
        <w:rPr>
          <w:rFonts w:eastAsiaTheme="minorEastAsia"/>
          <w:kern w:val="22"/>
          <w:lang w:val="zh-CN" w:eastAsia="zh-CN"/>
        </w:rPr>
        <w:t>持续开发和推广生物园工具</w:t>
      </w:r>
      <w:r w:rsidRPr="008718DF">
        <w:rPr>
          <w:rFonts w:eastAsiaTheme="minorEastAsia"/>
          <w:kern w:val="22"/>
          <w:lang w:eastAsia="zh-CN"/>
        </w:rPr>
        <w:t>；</w:t>
      </w:r>
    </w:p>
    <w:p w:rsidR="00FF485B" w:rsidRPr="008718DF" w:rsidRDefault="00FF485B" w:rsidP="00FF485B">
      <w:pPr>
        <w:suppressLineNumbers/>
        <w:suppressAutoHyphens/>
        <w:snapToGrid w:val="0"/>
        <w:ind w:left="2160" w:hanging="720"/>
        <w:rPr>
          <w:rFonts w:eastAsiaTheme="minorEastAsia"/>
          <w:lang w:eastAsia="zh-CN"/>
        </w:rPr>
      </w:pPr>
      <w:r w:rsidRPr="008718DF">
        <w:rPr>
          <w:rFonts w:eastAsiaTheme="minorEastAsia"/>
          <w:kern w:val="22"/>
          <w:lang w:eastAsia="zh-CN"/>
        </w:rPr>
        <w:t>(</w:t>
      </w:r>
      <w:r w:rsidRPr="008718DF">
        <w:rPr>
          <w:rFonts w:eastAsiaTheme="minorEastAsia"/>
          <w:kern w:val="22"/>
          <w:lang w:val="zh-CN" w:eastAsia="zh-CN"/>
        </w:rPr>
        <w:t>二</w:t>
      </w:r>
      <w:r w:rsidRPr="008718DF">
        <w:rPr>
          <w:rFonts w:eastAsiaTheme="minorEastAsia"/>
          <w:kern w:val="22"/>
          <w:lang w:eastAsia="zh-CN"/>
        </w:rPr>
        <w:t>)</w:t>
      </w:r>
      <w:r w:rsidRPr="008718DF">
        <w:rPr>
          <w:rFonts w:eastAsiaTheme="minorEastAsia"/>
          <w:kern w:val="22"/>
          <w:lang w:eastAsia="zh-CN"/>
        </w:rPr>
        <w:tab/>
      </w:r>
      <w:r w:rsidRPr="008718DF">
        <w:rPr>
          <w:rFonts w:eastAsiaTheme="minorEastAsia"/>
          <w:kern w:val="22"/>
          <w:lang w:val="zh-CN" w:eastAsia="zh-CN"/>
        </w:rPr>
        <w:t>与缔约方和相关组织合作促进和组织培训</w:t>
      </w:r>
      <w:r w:rsidRPr="008718DF">
        <w:rPr>
          <w:rFonts w:eastAsiaTheme="minorEastAsia"/>
          <w:kern w:val="22"/>
          <w:lang w:eastAsia="zh-CN"/>
        </w:rPr>
        <w:t>，</w:t>
      </w:r>
      <w:r>
        <w:rPr>
          <w:rFonts w:eastAsiaTheme="minorEastAsia" w:hint="eastAsia"/>
          <w:kern w:val="22"/>
          <w:lang w:eastAsia="zh-CN"/>
        </w:rPr>
        <w:t>以</w:t>
      </w:r>
      <w:r w:rsidRPr="008718DF">
        <w:rPr>
          <w:rFonts w:eastAsiaTheme="minorEastAsia"/>
          <w:kern w:val="22"/>
          <w:lang w:val="zh-CN" w:eastAsia="zh-CN"/>
        </w:rPr>
        <w:t>协助缔约方发展国家信息交换所机制</w:t>
      </w:r>
      <w:r w:rsidRPr="008718DF">
        <w:rPr>
          <w:rFonts w:eastAsiaTheme="minorEastAsia"/>
          <w:kern w:val="22"/>
          <w:lang w:eastAsia="zh-CN"/>
        </w:rPr>
        <w:t>；</w:t>
      </w:r>
    </w:p>
    <w:p w:rsidR="00FF485B" w:rsidRPr="00086255" w:rsidRDefault="00FF485B" w:rsidP="00FF485B">
      <w:pPr>
        <w:pStyle w:val="ListParagraph"/>
        <w:numPr>
          <w:ilvl w:val="0"/>
          <w:numId w:val="248"/>
        </w:numPr>
        <w:tabs>
          <w:tab w:val="left" w:pos="1440"/>
        </w:tabs>
        <w:snapToGrid w:val="0"/>
        <w:ind w:left="0" w:firstLine="720"/>
        <w:rPr>
          <w:lang w:eastAsia="zh-CN"/>
        </w:rPr>
      </w:pPr>
      <w:r w:rsidRPr="00BD725B">
        <w:rPr>
          <w:rFonts w:hint="eastAsia"/>
          <w:lang w:eastAsia="zh-CN"/>
        </w:rPr>
        <w:lastRenderedPageBreak/>
        <w:t>根据缔约方大会第十四</w:t>
      </w:r>
      <w:r>
        <w:rPr>
          <w:rFonts w:hint="eastAsia"/>
          <w:lang w:eastAsia="zh-CN"/>
        </w:rPr>
        <w:t>届</w:t>
      </w:r>
      <w:r w:rsidRPr="00BD725B">
        <w:rPr>
          <w:rFonts w:hint="eastAsia"/>
          <w:lang w:eastAsia="zh-CN"/>
        </w:rPr>
        <w:t>会议、</w:t>
      </w:r>
      <w:r w:rsidRPr="00512658">
        <w:rPr>
          <w:rFonts w:asciiTheme="minorEastAsia" w:eastAsiaTheme="minorEastAsia" w:hAnsiTheme="minorEastAsia" w:hint="eastAsia"/>
          <w:lang w:eastAsia="zh-CN"/>
        </w:rPr>
        <w:t>关于获取遗传资源和惠益分享的名古屋议定书</w:t>
      </w:r>
      <w:r>
        <w:rPr>
          <w:rFonts w:hint="eastAsia"/>
          <w:lang w:eastAsia="zh-CN"/>
        </w:rPr>
        <w:t>缔约方第三次会议以及</w:t>
      </w:r>
      <w:r w:rsidRPr="00BD725B">
        <w:rPr>
          <w:rFonts w:hint="eastAsia"/>
          <w:lang w:eastAsia="zh-CN"/>
        </w:rPr>
        <w:t>卡塔赫纳生物安全议定书缔约方第九次会议</w:t>
      </w:r>
      <w:r>
        <w:rPr>
          <w:rFonts w:hint="eastAsia"/>
          <w:lang w:eastAsia="zh-CN"/>
        </w:rPr>
        <w:t>所产生</w:t>
      </w:r>
      <w:r w:rsidRPr="00BD725B">
        <w:rPr>
          <w:rFonts w:hint="eastAsia"/>
          <w:lang w:eastAsia="zh-CN"/>
        </w:rPr>
        <w:t>的决定，更新和进一步执行《公约》及其</w:t>
      </w:r>
      <w:r>
        <w:rPr>
          <w:rFonts w:hint="eastAsia"/>
          <w:lang w:eastAsia="zh-CN"/>
        </w:rPr>
        <w:t>《</w:t>
      </w:r>
      <w:r w:rsidRPr="00BD725B">
        <w:rPr>
          <w:rFonts w:hint="eastAsia"/>
          <w:lang w:eastAsia="zh-CN"/>
        </w:rPr>
        <w:t>议定书</w:t>
      </w:r>
      <w:r>
        <w:rPr>
          <w:rFonts w:hint="eastAsia"/>
          <w:lang w:eastAsia="zh-CN"/>
        </w:rPr>
        <w:t>》</w:t>
      </w:r>
      <w:r w:rsidRPr="00BD725B">
        <w:rPr>
          <w:rFonts w:hint="eastAsia"/>
          <w:lang w:eastAsia="zh-CN"/>
        </w:rPr>
        <w:t>的网络战略，并在</w:t>
      </w:r>
      <w:r w:rsidRPr="00BD725B">
        <w:rPr>
          <w:rFonts w:hint="eastAsia"/>
          <w:lang w:eastAsia="zh-CN"/>
        </w:rPr>
        <w:t>2020</w:t>
      </w:r>
      <w:r w:rsidRPr="00BD725B">
        <w:rPr>
          <w:rFonts w:hint="eastAsia"/>
          <w:lang w:eastAsia="zh-CN"/>
        </w:rPr>
        <w:t>年之前采取优先行动</w:t>
      </w:r>
      <w:r>
        <w:rPr>
          <w:rFonts w:hint="eastAsia"/>
          <w:lang w:eastAsia="zh-CN"/>
        </w:rPr>
        <w:t>；</w:t>
      </w:r>
    </w:p>
    <w:p w:rsidR="00FF485B" w:rsidRPr="00086255" w:rsidRDefault="00FF485B" w:rsidP="00FF485B">
      <w:pPr>
        <w:pStyle w:val="ListParagraph"/>
        <w:numPr>
          <w:ilvl w:val="0"/>
          <w:numId w:val="248"/>
        </w:numPr>
        <w:tabs>
          <w:tab w:val="left" w:pos="1440"/>
        </w:tabs>
        <w:snapToGrid w:val="0"/>
        <w:ind w:left="0" w:firstLine="720"/>
        <w:rPr>
          <w:lang w:eastAsia="zh-CN"/>
        </w:rPr>
      </w:pPr>
      <w:r w:rsidRPr="00086255">
        <w:rPr>
          <w:lang w:eastAsia="zh-CN"/>
        </w:rPr>
        <w:t>与多边环境协定信息门户倡议合作，促进数据和报告工具的开发和测试，以期从缔约方学习向《生物多样性公约》提交第六次国家报告的经验，并酌情促进其使用</w:t>
      </w:r>
      <w:r>
        <w:rPr>
          <w:rFonts w:hint="eastAsia"/>
          <w:lang w:eastAsia="zh-CN"/>
        </w:rPr>
        <w:t>以</w:t>
      </w:r>
      <w:r w:rsidRPr="00086255">
        <w:rPr>
          <w:lang w:eastAsia="zh-CN"/>
        </w:rPr>
        <w:t>推动生物多样性相关公约的报告进程；</w:t>
      </w:r>
    </w:p>
    <w:p w:rsidR="00FF485B" w:rsidRPr="006C65DA" w:rsidRDefault="00FF485B" w:rsidP="00FF485B">
      <w:pPr>
        <w:pStyle w:val="ListParagraph"/>
        <w:numPr>
          <w:ilvl w:val="0"/>
          <w:numId w:val="248"/>
        </w:numPr>
        <w:tabs>
          <w:tab w:val="left" w:pos="1440"/>
        </w:tabs>
        <w:snapToGrid w:val="0"/>
        <w:ind w:left="0" w:firstLine="720"/>
        <w:rPr>
          <w:lang w:eastAsia="zh-CN"/>
        </w:rPr>
      </w:pPr>
      <w:r w:rsidRPr="006C65DA">
        <w:rPr>
          <w:rFonts w:hint="eastAsia"/>
          <w:lang w:eastAsia="zh-CN"/>
        </w:rPr>
        <w:t>查明、公布和促进与执行</w:t>
      </w:r>
      <w:r>
        <w:rPr>
          <w:rFonts w:hint="eastAsia"/>
          <w:lang w:eastAsia="zh-CN"/>
        </w:rPr>
        <w:t>《公约》及其《议定书》有关的同业交流群、知识网络和合作对话平台；</w:t>
      </w:r>
    </w:p>
    <w:p w:rsidR="00FF485B" w:rsidRPr="006C65DA" w:rsidRDefault="00FF485B" w:rsidP="00FF485B">
      <w:pPr>
        <w:pStyle w:val="ListParagraph"/>
        <w:numPr>
          <w:ilvl w:val="0"/>
          <w:numId w:val="248"/>
        </w:numPr>
        <w:tabs>
          <w:tab w:val="left" w:pos="1440"/>
        </w:tabs>
        <w:snapToGrid w:val="0"/>
        <w:ind w:left="0" w:firstLine="720"/>
        <w:rPr>
          <w:sz w:val="28"/>
          <w:lang w:eastAsia="zh-CN"/>
        </w:rPr>
      </w:pPr>
      <w:r w:rsidRPr="00B3171C">
        <w:rPr>
          <w:rFonts w:hint="eastAsia"/>
          <w:kern w:val="22"/>
          <w:szCs w:val="22"/>
          <w:lang w:eastAsia="zh-CN"/>
        </w:rPr>
        <w:t>与信息交换</w:t>
      </w:r>
      <w:r>
        <w:rPr>
          <w:rFonts w:hint="eastAsia"/>
          <w:kern w:val="22"/>
          <w:szCs w:val="22"/>
          <w:lang w:eastAsia="zh-CN"/>
        </w:rPr>
        <w:t>所</w:t>
      </w:r>
      <w:r w:rsidRPr="00B3171C">
        <w:rPr>
          <w:rFonts w:hint="eastAsia"/>
          <w:kern w:val="22"/>
          <w:szCs w:val="22"/>
          <w:lang w:eastAsia="zh-CN"/>
        </w:rPr>
        <w:t>机制、生物安全信息交换所以及获取和惠益分享信息交换所</w:t>
      </w:r>
      <w:r>
        <w:rPr>
          <w:rFonts w:hint="eastAsia"/>
          <w:kern w:val="22"/>
          <w:szCs w:val="22"/>
          <w:lang w:eastAsia="zh-CN"/>
        </w:rPr>
        <w:t>各</w:t>
      </w:r>
      <w:r w:rsidRPr="00B3171C">
        <w:rPr>
          <w:rFonts w:hint="eastAsia"/>
          <w:kern w:val="22"/>
          <w:szCs w:val="22"/>
          <w:lang w:eastAsia="zh-CN"/>
        </w:rPr>
        <w:t>非正式咨询委员会协商，</w:t>
      </w:r>
      <w:r>
        <w:rPr>
          <w:rFonts w:hint="eastAsia"/>
          <w:kern w:val="22"/>
          <w:szCs w:val="22"/>
          <w:lang w:eastAsia="zh-CN"/>
        </w:rPr>
        <w:t>开发</w:t>
      </w:r>
      <w:r w:rsidRPr="00B3171C">
        <w:rPr>
          <w:rFonts w:hint="eastAsia"/>
          <w:kern w:val="22"/>
          <w:szCs w:val="22"/>
          <w:lang w:eastAsia="zh-CN"/>
        </w:rPr>
        <w:t>知识管理</w:t>
      </w:r>
      <w:r>
        <w:rPr>
          <w:rFonts w:hint="eastAsia"/>
          <w:kern w:val="22"/>
          <w:szCs w:val="22"/>
          <w:lang w:eastAsia="zh-CN"/>
        </w:rPr>
        <w:t>，作为一个构成部分纳入</w:t>
      </w:r>
      <w:r w:rsidRPr="00B3171C">
        <w:rPr>
          <w:rFonts w:hint="eastAsia"/>
          <w:kern w:val="22"/>
          <w:szCs w:val="22"/>
          <w:lang w:eastAsia="zh-CN"/>
        </w:rPr>
        <w:t>2020</w:t>
      </w:r>
      <w:r w:rsidRPr="00B3171C">
        <w:rPr>
          <w:rFonts w:hint="eastAsia"/>
          <w:kern w:val="22"/>
          <w:szCs w:val="22"/>
          <w:lang w:eastAsia="zh-CN"/>
        </w:rPr>
        <w:t>年后全球生物多样性框架</w:t>
      </w:r>
      <w:r>
        <w:rPr>
          <w:rFonts w:hint="eastAsia"/>
          <w:kern w:val="22"/>
          <w:szCs w:val="22"/>
          <w:lang w:eastAsia="zh-CN"/>
        </w:rPr>
        <w:t>的</w:t>
      </w:r>
      <w:r w:rsidRPr="00B3171C">
        <w:rPr>
          <w:rFonts w:hint="eastAsia"/>
          <w:kern w:val="22"/>
          <w:szCs w:val="22"/>
          <w:lang w:eastAsia="zh-CN"/>
        </w:rPr>
        <w:t>筹备进程，除其他外，</w:t>
      </w:r>
      <w:r>
        <w:rPr>
          <w:rFonts w:hint="eastAsia"/>
          <w:kern w:val="22"/>
          <w:szCs w:val="22"/>
          <w:lang w:eastAsia="zh-CN"/>
        </w:rPr>
        <w:t>为</w:t>
      </w:r>
      <w:r w:rsidRPr="00B3171C">
        <w:rPr>
          <w:rFonts w:hint="eastAsia"/>
          <w:kern w:val="22"/>
          <w:szCs w:val="22"/>
          <w:lang w:eastAsia="zh-CN"/>
        </w:rPr>
        <w:t>信息交换</w:t>
      </w:r>
      <w:r>
        <w:rPr>
          <w:rFonts w:hint="eastAsia"/>
          <w:kern w:val="22"/>
          <w:szCs w:val="22"/>
          <w:lang w:eastAsia="zh-CN"/>
        </w:rPr>
        <w:t>所</w:t>
      </w:r>
      <w:r w:rsidRPr="00B3171C">
        <w:rPr>
          <w:rFonts w:hint="eastAsia"/>
          <w:kern w:val="22"/>
          <w:szCs w:val="22"/>
          <w:lang w:eastAsia="zh-CN"/>
        </w:rPr>
        <w:t>机制、获取和惠益分享信息交换所以及生物安全信息交换所的未来发展</w:t>
      </w:r>
      <w:r>
        <w:rPr>
          <w:rFonts w:hint="eastAsia"/>
          <w:kern w:val="22"/>
          <w:szCs w:val="22"/>
          <w:lang w:eastAsia="zh-CN"/>
        </w:rPr>
        <w:t>提供指导意见；</w:t>
      </w:r>
      <w:r w:rsidRPr="006C65DA">
        <w:rPr>
          <w:sz w:val="28"/>
          <w:lang w:eastAsia="zh-CN"/>
        </w:rPr>
        <w:t xml:space="preserve"> </w:t>
      </w:r>
    </w:p>
    <w:p w:rsidR="00FF485B" w:rsidRPr="00FC2F94" w:rsidRDefault="00FF485B" w:rsidP="00FF485B">
      <w:pPr>
        <w:pStyle w:val="ListParagraph"/>
        <w:numPr>
          <w:ilvl w:val="0"/>
          <w:numId w:val="248"/>
        </w:numPr>
        <w:tabs>
          <w:tab w:val="left" w:pos="1440"/>
        </w:tabs>
        <w:snapToGrid w:val="0"/>
        <w:ind w:left="0" w:firstLine="720"/>
        <w:rPr>
          <w:sz w:val="28"/>
          <w:lang w:eastAsia="zh-CN"/>
        </w:rPr>
      </w:pPr>
      <w:r w:rsidRPr="00B23007">
        <w:rPr>
          <w:rFonts w:hint="eastAsia"/>
          <w:kern w:val="22"/>
          <w:szCs w:val="22"/>
          <w:lang w:eastAsia="zh-CN"/>
        </w:rPr>
        <w:t>利用从</w:t>
      </w:r>
      <w:r>
        <w:rPr>
          <w:rFonts w:hint="eastAsia"/>
          <w:kern w:val="22"/>
          <w:szCs w:val="22"/>
          <w:lang w:eastAsia="zh-CN"/>
        </w:rPr>
        <w:t>多边环境协定信息门户</w:t>
      </w:r>
      <w:r w:rsidRPr="00B23007">
        <w:rPr>
          <w:rFonts w:hint="eastAsia"/>
          <w:kern w:val="22"/>
          <w:szCs w:val="22"/>
          <w:lang w:eastAsia="zh-CN"/>
        </w:rPr>
        <w:t>、数据和报告工具、全球生物多样性信息</w:t>
      </w:r>
      <w:r>
        <w:rPr>
          <w:rFonts w:hint="eastAsia"/>
          <w:kern w:val="22"/>
          <w:szCs w:val="22"/>
          <w:lang w:eastAsia="zh-CN"/>
        </w:rPr>
        <w:t>机制</w:t>
      </w:r>
      <w:r w:rsidRPr="00B23007">
        <w:rPr>
          <w:rFonts w:hint="eastAsia"/>
          <w:kern w:val="22"/>
          <w:szCs w:val="22"/>
          <w:lang w:eastAsia="zh-CN"/>
        </w:rPr>
        <w:t>、保护区数字观察站和《联合国防治荒漠化公约》知识中心</w:t>
      </w:r>
      <w:r>
        <w:rPr>
          <w:rFonts w:hint="eastAsia"/>
          <w:kern w:val="22"/>
          <w:szCs w:val="22"/>
          <w:lang w:eastAsia="zh-CN"/>
        </w:rPr>
        <w:t>等</w:t>
      </w:r>
      <w:r w:rsidRPr="00B23007">
        <w:rPr>
          <w:rFonts w:hint="eastAsia"/>
          <w:kern w:val="22"/>
          <w:szCs w:val="22"/>
          <w:lang w:eastAsia="zh-CN"/>
        </w:rPr>
        <w:t>相关知识管理举措中获得的经验，为上述知识管理</w:t>
      </w:r>
      <w:r>
        <w:rPr>
          <w:rFonts w:hint="eastAsia"/>
          <w:kern w:val="22"/>
          <w:szCs w:val="22"/>
          <w:lang w:eastAsia="zh-CN"/>
        </w:rPr>
        <w:t>构成</w:t>
      </w:r>
      <w:r w:rsidRPr="00B23007">
        <w:rPr>
          <w:rFonts w:hint="eastAsia"/>
          <w:kern w:val="22"/>
          <w:szCs w:val="22"/>
          <w:lang w:eastAsia="zh-CN"/>
        </w:rPr>
        <w:t>部分的制定</w:t>
      </w:r>
      <w:r>
        <w:rPr>
          <w:rFonts w:hint="eastAsia"/>
          <w:kern w:val="22"/>
          <w:szCs w:val="22"/>
          <w:lang w:eastAsia="zh-CN"/>
        </w:rPr>
        <w:t>工作</w:t>
      </w:r>
      <w:r w:rsidRPr="00B23007">
        <w:rPr>
          <w:rFonts w:hint="eastAsia"/>
          <w:kern w:val="22"/>
          <w:szCs w:val="22"/>
          <w:lang w:eastAsia="zh-CN"/>
        </w:rPr>
        <w:t>提供信息</w:t>
      </w:r>
      <w:r>
        <w:rPr>
          <w:rFonts w:hint="eastAsia"/>
          <w:kern w:val="22"/>
          <w:szCs w:val="22"/>
          <w:lang w:eastAsia="zh-CN"/>
        </w:rPr>
        <w:t>；</w:t>
      </w:r>
    </w:p>
    <w:p w:rsidR="00FF485B" w:rsidRPr="00FC2F94" w:rsidRDefault="00FF485B" w:rsidP="00FF485B">
      <w:pPr>
        <w:pStyle w:val="ListParagraph"/>
        <w:numPr>
          <w:ilvl w:val="0"/>
          <w:numId w:val="248"/>
        </w:numPr>
        <w:tabs>
          <w:tab w:val="left" w:pos="1440"/>
        </w:tabs>
        <w:snapToGrid w:val="0"/>
        <w:ind w:left="0" w:firstLine="720"/>
        <w:rPr>
          <w:kern w:val="22"/>
          <w:szCs w:val="22"/>
          <w:lang w:eastAsia="zh-CN"/>
        </w:rPr>
      </w:pPr>
      <w:r>
        <w:rPr>
          <w:rFonts w:hint="eastAsia"/>
          <w:kern w:val="22"/>
          <w:szCs w:val="22"/>
          <w:lang w:eastAsia="zh-CN"/>
        </w:rPr>
        <w:t>采用</w:t>
      </w:r>
      <w:r w:rsidRPr="00A61E61">
        <w:rPr>
          <w:rFonts w:hint="eastAsia"/>
          <w:kern w:val="22"/>
          <w:szCs w:val="22"/>
          <w:lang w:eastAsia="zh-CN"/>
        </w:rPr>
        <w:t>标准化格式</w:t>
      </w:r>
      <w:r>
        <w:rPr>
          <w:rFonts w:hint="eastAsia"/>
          <w:kern w:val="22"/>
          <w:szCs w:val="22"/>
          <w:lang w:eastAsia="zh-CN"/>
        </w:rPr>
        <w:t>作为</w:t>
      </w:r>
      <w:r w:rsidRPr="00A61E61">
        <w:rPr>
          <w:rFonts w:hint="eastAsia"/>
          <w:kern w:val="22"/>
          <w:szCs w:val="22"/>
          <w:lang w:eastAsia="zh-CN"/>
        </w:rPr>
        <w:t>上述知识管理</w:t>
      </w:r>
      <w:r>
        <w:rPr>
          <w:rFonts w:hint="eastAsia"/>
          <w:kern w:val="22"/>
          <w:szCs w:val="22"/>
          <w:lang w:eastAsia="zh-CN"/>
        </w:rPr>
        <w:t>构成</w:t>
      </w:r>
      <w:r w:rsidRPr="00A61E61">
        <w:rPr>
          <w:rFonts w:hint="eastAsia"/>
          <w:kern w:val="22"/>
          <w:szCs w:val="22"/>
          <w:lang w:eastAsia="zh-CN"/>
        </w:rPr>
        <w:t>部分</w:t>
      </w:r>
      <w:r>
        <w:rPr>
          <w:rFonts w:hint="eastAsia"/>
          <w:kern w:val="22"/>
          <w:szCs w:val="22"/>
          <w:lang w:eastAsia="zh-CN"/>
        </w:rPr>
        <w:t>的一部分</w:t>
      </w:r>
      <w:r w:rsidRPr="00A61E61">
        <w:rPr>
          <w:rFonts w:hint="eastAsia"/>
          <w:kern w:val="22"/>
          <w:szCs w:val="22"/>
          <w:lang w:eastAsia="zh-CN"/>
        </w:rPr>
        <w:t>，系统地从缔约方、其他</w:t>
      </w:r>
      <w:r>
        <w:rPr>
          <w:rFonts w:hint="eastAsia"/>
          <w:kern w:val="22"/>
          <w:szCs w:val="22"/>
          <w:lang w:eastAsia="zh-CN"/>
        </w:rPr>
        <w:t>国家</w:t>
      </w:r>
      <w:r w:rsidRPr="00A61E61">
        <w:rPr>
          <w:rFonts w:hint="eastAsia"/>
          <w:kern w:val="22"/>
          <w:szCs w:val="22"/>
          <w:lang w:eastAsia="zh-CN"/>
        </w:rPr>
        <w:t>政府、国际组织和其他组织以及土著人民和地方社区提供的信息中</w:t>
      </w:r>
      <w:r>
        <w:rPr>
          <w:rFonts w:hint="eastAsia"/>
          <w:kern w:val="22"/>
          <w:szCs w:val="22"/>
          <w:lang w:eastAsia="zh-CN"/>
        </w:rPr>
        <w:t>获取</w:t>
      </w:r>
      <w:r w:rsidRPr="00A61E61">
        <w:rPr>
          <w:rFonts w:hint="eastAsia"/>
          <w:kern w:val="22"/>
          <w:szCs w:val="22"/>
          <w:lang w:eastAsia="zh-CN"/>
        </w:rPr>
        <w:t>经验教训和最佳做法</w:t>
      </w:r>
      <w:r>
        <w:rPr>
          <w:rFonts w:hint="eastAsia"/>
          <w:kern w:val="22"/>
          <w:szCs w:val="22"/>
          <w:lang w:eastAsia="zh-CN"/>
        </w:rPr>
        <w:t>；</w:t>
      </w:r>
    </w:p>
    <w:p w:rsidR="00FF485B" w:rsidRDefault="00FF485B" w:rsidP="00FF485B">
      <w:pPr>
        <w:pStyle w:val="ListParagraph"/>
        <w:numPr>
          <w:ilvl w:val="0"/>
          <w:numId w:val="248"/>
        </w:numPr>
        <w:tabs>
          <w:tab w:val="left" w:pos="1440"/>
        </w:tabs>
        <w:snapToGrid w:val="0"/>
        <w:ind w:left="0" w:firstLine="720"/>
        <w:rPr>
          <w:lang w:eastAsia="zh-CN"/>
        </w:rPr>
      </w:pPr>
      <w:r>
        <w:rPr>
          <w:rFonts w:hint="eastAsia"/>
          <w:kern w:val="22"/>
          <w:szCs w:val="22"/>
          <w:lang w:eastAsia="zh-CN"/>
        </w:rPr>
        <w:t>将有关</w:t>
      </w:r>
      <w:r w:rsidRPr="009A03A8">
        <w:rPr>
          <w:rFonts w:hint="eastAsia"/>
          <w:kern w:val="22"/>
          <w:szCs w:val="22"/>
          <w:lang w:eastAsia="zh-CN"/>
        </w:rPr>
        <w:t>上述活动的进度报告，包括使用</w:t>
      </w:r>
      <w:r>
        <w:rPr>
          <w:rFonts w:hint="eastAsia"/>
          <w:kern w:val="22"/>
          <w:szCs w:val="22"/>
          <w:lang w:eastAsia="zh-CN"/>
        </w:rPr>
        <w:t>生物园</w:t>
      </w:r>
      <w:r w:rsidRPr="009A03A8">
        <w:rPr>
          <w:rFonts w:hint="eastAsia"/>
          <w:kern w:val="22"/>
          <w:szCs w:val="22"/>
          <w:lang w:eastAsia="zh-CN"/>
        </w:rPr>
        <w:t>工具及其</w:t>
      </w:r>
      <w:r>
        <w:rPr>
          <w:rFonts w:hint="eastAsia"/>
          <w:kern w:val="22"/>
          <w:szCs w:val="22"/>
          <w:lang w:eastAsia="zh-CN"/>
        </w:rPr>
        <w:t>成效</w:t>
      </w:r>
      <w:r w:rsidRPr="009A03A8">
        <w:rPr>
          <w:rFonts w:hint="eastAsia"/>
          <w:kern w:val="22"/>
          <w:szCs w:val="22"/>
          <w:lang w:eastAsia="zh-CN"/>
        </w:rPr>
        <w:t>的进展情况，</w:t>
      </w:r>
      <w:r>
        <w:rPr>
          <w:rFonts w:hint="eastAsia"/>
          <w:kern w:val="22"/>
          <w:szCs w:val="22"/>
          <w:lang w:eastAsia="zh-CN"/>
        </w:rPr>
        <w:t>提交执行问题附属机构</w:t>
      </w:r>
      <w:r w:rsidRPr="009A03A8">
        <w:rPr>
          <w:rFonts w:hint="eastAsia"/>
          <w:kern w:val="22"/>
          <w:szCs w:val="22"/>
          <w:lang w:eastAsia="zh-CN"/>
        </w:rPr>
        <w:t>第三次会议审议</w:t>
      </w:r>
      <w:r>
        <w:rPr>
          <w:rFonts w:ascii="KaiTi" w:eastAsia="KaiTi" w:hAnsi="KaiTi" w:hint="eastAsia"/>
          <w:kern w:val="22"/>
          <w:lang w:eastAsia="zh-CN"/>
        </w:rPr>
        <w:t>。</w:t>
      </w:r>
    </w:p>
    <w:p w:rsidR="00FF485B" w:rsidRPr="00FC2F94" w:rsidRDefault="00FF485B" w:rsidP="00FF485B">
      <w:pPr>
        <w:snapToGrid w:val="0"/>
        <w:ind w:firstLine="0"/>
        <w:jc w:val="center"/>
        <w:outlineLvl w:val="2"/>
        <w:rPr>
          <w:rFonts w:ascii="KaiTi" w:eastAsia="KaiTi" w:hAnsi="KaiTi"/>
          <w:kern w:val="22"/>
          <w:lang w:eastAsia="zh-CN"/>
        </w:rPr>
      </w:pPr>
      <w:bookmarkStart w:id="209" w:name="_Toc6243785"/>
      <w:r w:rsidRPr="00FC2F94">
        <w:rPr>
          <w:rFonts w:ascii="KaiTi" w:eastAsia="KaiTi" w:hAnsi="KaiTi" w:hint="eastAsia"/>
          <w:kern w:val="22"/>
          <w:lang w:eastAsia="zh-CN"/>
        </w:rPr>
        <w:t>附件</w:t>
      </w:r>
      <w:bookmarkEnd w:id="209"/>
    </w:p>
    <w:p w:rsidR="00FF485B" w:rsidRPr="00FC2F94" w:rsidRDefault="00FF485B" w:rsidP="00FF485B">
      <w:pPr>
        <w:keepNext/>
        <w:snapToGrid w:val="0"/>
        <w:ind w:left="1800" w:right="1466" w:firstLine="0"/>
        <w:jc w:val="center"/>
        <w:outlineLvl w:val="0"/>
        <w:rPr>
          <w:b/>
          <w:bCs/>
          <w:caps/>
          <w:kern w:val="22"/>
          <w:lang w:eastAsia="zh-CN"/>
        </w:rPr>
      </w:pPr>
      <w:bookmarkStart w:id="210" w:name="_Toc6243786"/>
      <w:r w:rsidRPr="00FC2F94">
        <w:rPr>
          <w:rFonts w:hint="eastAsia"/>
          <w:b/>
          <w:kern w:val="22"/>
          <w:lang w:eastAsia="zh-CN"/>
        </w:rPr>
        <w:t>中央信息交换所机制、生物安全信息交换所、获取和惠益分享信息交换所的联合运作模式</w:t>
      </w:r>
      <w:bookmarkEnd w:id="210"/>
    </w:p>
    <w:p w:rsidR="00FF485B" w:rsidRPr="00FC2F94" w:rsidRDefault="00FF485B" w:rsidP="00FF485B">
      <w:pPr>
        <w:keepNext/>
        <w:snapToGrid w:val="0"/>
        <w:ind w:firstLine="0"/>
        <w:jc w:val="center"/>
        <w:rPr>
          <w:b/>
          <w:kern w:val="22"/>
          <w:lang w:eastAsia="zh-CN"/>
        </w:rPr>
      </w:pPr>
      <w:r w:rsidRPr="00FC2F94">
        <w:rPr>
          <w:b/>
          <w:kern w:val="22"/>
          <w:lang w:eastAsia="zh-CN"/>
        </w:rPr>
        <w:t xml:space="preserve">A. </w:t>
      </w:r>
      <w:r>
        <w:rPr>
          <w:b/>
          <w:kern w:val="22"/>
          <w:lang w:eastAsia="zh-CN"/>
        </w:rPr>
        <w:t xml:space="preserve">     </w:t>
      </w:r>
      <w:r w:rsidRPr="00FC2F94">
        <w:rPr>
          <w:rFonts w:hint="eastAsia"/>
          <w:b/>
          <w:kern w:val="22"/>
          <w:lang w:eastAsia="zh-CN"/>
        </w:rPr>
        <w:t>秘书处的开发和管理工作</w:t>
      </w:r>
    </w:p>
    <w:p w:rsidR="00FF485B" w:rsidRPr="00FC2F94" w:rsidRDefault="00FF485B" w:rsidP="00FF485B">
      <w:pPr>
        <w:pStyle w:val="Para1"/>
        <w:numPr>
          <w:ilvl w:val="0"/>
          <w:numId w:val="249"/>
        </w:numPr>
        <w:snapToGrid w:val="0"/>
        <w:rPr>
          <w:sz w:val="24"/>
          <w:szCs w:val="24"/>
          <w:lang w:val="en-CA" w:eastAsia="zh-CN"/>
        </w:rPr>
      </w:pPr>
      <w:r w:rsidRPr="00FC2F94">
        <w:rPr>
          <w:rFonts w:hint="eastAsia"/>
          <w:sz w:val="24"/>
          <w:szCs w:val="24"/>
          <w:lang w:eastAsia="zh-CN"/>
        </w:rPr>
        <w:t>秘书处应根据《公约》及其《议定书》规定的有关任务和通过的决定，继续进行中央信息交换所机制、生物安全信息交换所、获取和惠益分享信息交换所（下称“三个信息交换所”）的开发和管理工作，尽可能确保在保留每个信息交换所特有具体功能的同时，并在本文所述指导原则和核心规范的基础上，采取共同办法开发和管理三个信息交换所。</w:t>
      </w:r>
    </w:p>
    <w:p w:rsidR="00FF485B" w:rsidRPr="00FC2F94" w:rsidRDefault="00FF485B" w:rsidP="00FF485B">
      <w:pPr>
        <w:pStyle w:val="Para1"/>
        <w:keepNext/>
        <w:numPr>
          <w:ilvl w:val="0"/>
          <w:numId w:val="249"/>
        </w:numPr>
        <w:snapToGrid w:val="0"/>
        <w:rPr>
          <w:sz w:val="24"/>
          <w:szCs w:val="24"/>
          <w:lang w:eastAsia="zh-CN"/>
        </w:rPr>
      </w:pPr>
      <w:r w:rsidRPr="00FC2F94">
        <w:rPr>
          <w:rFonts w:hint="eastAsia"/>
          <w:sz w:val="24"/>
          <w:szCs w:val="24"/>
          <w:lang w:eastAsia="zh-CN"/>
        </w:rPr>
        <w:t>三个信息交换所的开发和管理工作应符合以下特点：</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t>遵循包容、透明、公开获取</w:t>
      </w:r>
      <w:r>
        <w:rPr>
          <w:rFonts w:hint="eastAsia"/>
          <w:bCs/>
          <w:kern w:val="22"/>
          <w:lang w:eastAsia="zh-CN"/>
        </w:rPr>
        <w:t>的</w:t>
      </w:r>
      <w:r>
        <w:rPr>
          <w:bCs/>
          <w:kern w:val="22"/>
          <w:lang w:eastAsia="zh-CN"/>
        </w:rPr>
        <w:t>原则，并</w:t>
      </w:r>
      <w:r>
        <w:rPr>
          <w:rFonts w:hint="eastAsia"/>
          <w:bCs/>
          <w:kern w:val="22"/>
          <w:lang w:eastAsia="zh-CN"/>
        </w:rPr>
        <w:t>向各国政府、土著人民和地方社区及相关利益攸关方开放</w:t>
      </w:r>
      <w:r w:rsidRPr="00FC2F94">
        <w:rPr>
          <w:rFonts w:hint="eastAsia"/>
          <w:bCs/>
          <w:kern w:val="22"/>
          <w:lang w:eastAsia="zh-CN"/>
        </w:rPr>
        <w:t>；</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lastRenderedPageBreak/>
        <w:t>在明确和确定的需求、已有经验和</w:t>
      </w:r>
      <w:r>
        <w:rPr>
          <w:rFonts w:hint="eastAsia"/>
          <w:bCs/>
          <w:kern w:val="22"/>
          <w:lang w:eastAsia="zh-CN"/>
        </w:rPr>
        <w:t>可获得的</w:t>
      </w:r>
      <w:r w:rsidRPr="00FC2F94">
        <w:rPr>
          <w:rFonts w:hint="eastAsia"/>
          <w:bCs/>
          <w:kern w:val="22"/>
          <w:lang w:eastAsia="zh-CN"/>
        </w:rPr>
        <w:t>资源的基础上进行开发，避免系统重复；</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t>确保三个信息交换所的用户体验具有可预测性和连贯性；</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t>确保三个信息交换所的视觉设计和功能具有直观性、</w:t>
      </w:r>
      <w:r>
        <w:rPr>
          <w:rFonts w:hint="eastAsia"/>
          <w:bCs/>
          <w:kern w:val="22"/>
          <w:lang w:eastAsia="zh-CN"/>
        </w:rPr>
        <w:t>使用方便性</w:t>
      </w:r>
      <w:r w:rsidRPr="00FC2F94">
        <w:rPr>
          <w:rFonts w:hint="eastAsia"/>
          <w:bCs/>
          <w:kern w:val="22"/>
          <w:lang w:eastAsia="zh-CN"/>
        </w:rPr>
        <w:t>和一致性；</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t>尽可能确保为使用三个信息交换所及时按需提供技术帮助。</w:t>
      </w:r>
    </w:p>
    <w:p w:rsidR="00FF485B" w:rsidRPr="00FC2F94" w:rsidRDefault="00FF485B" w:rsidP="00FF485B">
      <w:pPr>
        <w:pStyle w:val="Para1"/>
        <w:keepNext/>
        <w:numPr>
          <w:ilvl w:val="0"/>
          <w:numId w:val="249"/>
        </w:numPr>
        <w:snapToGrid w:val="0"/>
        <w:rPr>
          <w:sz w:val="24"/>
          <w:szCs w:val="24"/>
          <w:lang w:val="en-CA" w:eastAsia="zh-CN"/>
        </w:rPr>
      </w:pPr>
      <w:r w:rsidRPr="00FC2F94">
        <w:rPr>
          <w:rFonts w:hint="eastAsia"/>
          <w:sz w:val="24"/>
          <w:szCs w:val="24"/>
          <w:lang w:eastAsia="zh-CN"/>
        </w:rPr>
        <w:t>三个信息交换所应符合以下核心规范：</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t>通过以联合国六种正式语文运作的公共门户网站进行访问和导航；</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t>一个充当现有信息存储库的安全中央数据库；</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t>一个安全提交机制，</w:t>
      </w:r>
      <w:r w:rsidRPr="00B46902">
        <w:rPr>
          <w:rFonts w:hint="eastAsia"/>
          <w:bCs/>
          <w:kern w:val="22"/>
          <w:lang w:eastAsia="zh-CN"/>
        </w:rPr>
        <w:t>通过</w:t>
      </w:r>
      <w:r w:rsidRPr="00FC2F94">
        <w:rPr>
          <w:rFonts w:hint="eastAsia"/>
          <w:bCs/>
          <w:kern w:val="22"/>
          <w:lang w:eastAsia="zh-CN"/>
        </w:rPr>
        <w:t>单点登录，让用户使用共同格式、元数据和受控词汇表有序发布信息，同时区分规定信息和可选信息；</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t>一个公开搜索机制，使用元数据和受控词汇表从三个信息交换所搜索和检索内容；</w:t>
      </w:r>
    </w:p>
    <w:p w:rsidR="00FF485B" w:rsidRPr="00FC2F94" w:rsidRDefault="00FF485B" w:rsidP="00FF485B">
      <w:pPr>
        <w:pStyle w:val="ListParagraph"/>
        <w:numPr>
          <w:ilvl w:val="1"/>
          <w:numId w:val="249"/>
        </w:numPr>
        <w:snapToGrid w:val="0"/>
        <w:ind w:firstLine="720"/>
        <w:rPr>
          <w:bCs/>
          <w:kern w:val="22"/>
          <w:lang w:eastAsia="zh-CN"/>
        </w:rPr>
      </w:pPr>
      <w:r>
        <w:rPr>
          <w:rFonts w:hint="eastAsia"/>
          <w:bCs/>
          <w:kern w:val="22"/>
          <w:lang w:eastAsia="zh-CN"/>
        </w:rPr>
        <w:t>在</w:t>
      </w:r>
      <w:r>
        <w:rPr>
          <w:bCs/>
          <w:kern w:val="22"/>
          <w:lang w:eastAsia="zh-CN"/>
        </w:rPr>
        <w:t>适用情况下</w:t>
      </w:r>
      <w:r>
        <w:rPr>
          <w:rFonts w:hint="eastAsia"/>
          <w:bCs/>
          <w:kern w:val="22"/>
          <w:lang w:eastAsia="zh-CN"/>
        </w:rPr>
        <w:t>设置搜索和检索信息的独特</w:t>
      </w:r>
      <w:r>
        <w:rPr>
          <w:bCs/>
          <w:kern w:val="22"/>
          <w:lang w:eastAsia="zh-CN"/>
        </w:rPr>
        <w:t>的</w:t>
      </w:r>
      <w:r w:rsidRPr="00FC2F94">
        <w:rPr>
          <w:rFonts w:hint="eastAsia"/>
          <w:bCs/>
          <w:kern w:val="22"/>
          <w:lang w:eastAsia="zh-CN"/>
        </w:rPr>
        <w:t>标识符；</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t>安全</w:t>
      </w:r>
      <w:r>
        <w:rPr>
          <w:rFonts w:hint="eastAsia"/>
          <w:bCs/>
          <w:kern w:val="22"/>
          <w:lang w:eastAsia="zh-CN"/>
        </w:rPr>
        <w:t>的更新</w:t>
      </w:r>
      <w:r w:rsidRPr="00FC2F94">
        <w:rPr>
          <w:rFonts w:hint="eastAsia"/>
          <w:bCs/>
          <w:kern w:val="22"/>
          <w:lang w:eastAsia="zh-CN"/>
        </w:rPr>
        <w:t>机制，</w:t>
      </w:r>
      <w:r>
        <w:rPr>
          <w:rFonts w:hint="eastAsia"/>
          <w:bCs/>
          <w:kern w:val="22"/>
          <w:lang w:eastAsia="zh-CN"/>
        </w:rPr>
        <w:t>让具有</w:t>
      </w:r>
      <w:r w:rsidRPr="00FC2F94">
        <w:rPr>
          <w:rFonts w:hint="eastAsia"/>
          <w:bCs/>
          <w:kern w:val="22"/>
          <w:lang w:eastAsia="zh-CN"/>
        </w:rPr>
        <w:t>适当角色的用户</w:t>
      </w:r>
      <w:r>
        <w:rPr>
          <w:rFonts w:hint="eastAsia"/>
          <w:bCs/>
          <w:kern w:val="22"/>
          <w:lang w:eastAsia="zh-CN"/>
        </w:rPr>
        <w:t>能够</w:t>
      </w:r>
      <w:r w:rsidRPr="00FC2F94">
        <w:rPr>
          <w:rFonts w:hint="eastAsia"/>
          <w:bCs/>
          <w:kern w:val="22"/>
          <w:lang w:eastAsia="zh-CN"/>
        </w:rPr>
        <w:t>修改或更新信息；</w:t>
      </w:r>
    </w:p>
    <w:p w:rsidR="00FF485B" w:rsidRPr="00FC2F94" w:rsidRDefault="00FF485B" w:rsidP="00FF485B">
      <w:pPr>
        <w:pStyle w:val="ListParagraph"/>
        <w:numPr>
          <w:ilvl w:val="1"/>
          <w:numId w:val="249"/>
        </w:numPr>
        <w:snapToGrid w:val="0"/>
        <w:ind w:firstLine="720"/>
        <w:rPr>
          <w:bCs/>
          <w:kern w:val="22"/>
          <w:lang w:eastAsia="zh-CN"/>
        </w:rPr>
      </w:pPr>
      <w:r>
        <w:rPr>
          <w:rFonts w:hint="eastAsia"/>
          <w:bCs/>
          <w:kern w:val="22"/>
          <w:lang w:eastAsia="zh-CN"/>
        </w:rPr>
        <w:t>能够</w:t>
      </w:r>
      <w:r w:rsidRPr="00FC2F94">
        <w:rPr>
          <w:rFonts w:hint="eastAsia"/>
          <w:bCs/>
          <w:kern w:val="22"/>
          <w:lang w:eastAsia="zh-CN"/>
        </w:rPr>
        <w:t>清楚标识谁是信息提供者的设计；</w:t>
      </w:r>
    </w:p>
    <w:p w:rsidR="00FF485B" w:rsidRPr="00FC2F94" w:rsidRDefault="00FF485B" w:rsidP="00FF485B">
      <w:pPr>
        <w:pStyle w:val="ListParagraph"/>
        <w:numPr>
          <w:ilvl w:val="1"/>
          <w:numId w:val="249"/>
        </w:numPr>
        <w:snapToGrid w:val="0"/>
        <w:ind w:firstLine="720"/>
        <w:rPr>
          <w:bCs/>
          <w:kern w:val="22"/>
          <w:lang w:eastAsia="zh-CN"/>
        </w:rPr>
      </w:pPr>
      <w:r>
        <w:rPr>
          <w:rFonts w:hint="eastAsia"/>
          <w:bCs/>
          <w:kern w:val="22"/>
          <w:lang w:eastAsia="zh-CN"/>
        </w:rPr>
        <w:t>便利</w:t>
      </w:r>
      <w:r w:rsidRPr="00FC2F94">
        <w:rPr>
          <w:rFonts w:hint="eastAsia"/>
          <w:bCs/>
          <w:kern w:val="22"/>
          <w:lang w:eastAsia="zh-CN"/>
        </w:rPr>
        <w:t>酌情与外部数据库和系统交换信息的互操作性机制；</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t>一种用于注册信息和便于应请求</w:t>
      </w:r>
      <w:r w:rsidRPr="00B46902">
        <w:rPr>
          <w:rFonts w:hint="eastAsia"/>
          <w:bCs/>
          <w:kern w:val="22"/>
          <w:lang w:eastAsia="zh-CN"/>
        </w:rPr>
        <w:t>离线查阅</w:t>
      </w:r>
      <w:r w:rsidRPr="00FC2F94">
        <w:rPr>
          <w:rFonts w:hint="eastAsia"/>
          <w:bCs/>
          <w:kern w:val="22"/>
          <w:lang w:eastAsia="zh-CN"/>
        </w:rPr>
        <w:t>现有信息，特别是</w:t>
      </w:r>
      <w:r w:rsidRPr="00B46902">
        <w:rPr>
          <w:rFonts w:hint="eastAsia"/>
          <w:bCs/>
          <w:kern w:val="22"/>
          <w:lang w:eastAsia="zh-CN"/>
        </w:rPr>
        <w:t>为上网</w:t>
      </w:r>
      <w:r w:rsidRPr="00FC2F94">
        <w:rPr>
          <w:rFonts w:hint="eastAsia"/>
          <w:bCs/>
          <w:kern w:val="22"/>
          <w:lang w:eastAsia="zh-CN"/>
        </w:rPr>
        <w:t>机会有限的用户服务的离线机制。</w:t>
      </w:r>
    </w:p>
    <w:p w:rsidR="00FF485B" w:rsidRPr="00FC2F94" w:rsidRDefault="00FF485B" w:rsidP="00FF485B">
      <w:pPr>
        <w:keepNext/>
        <w:snapToGrid w:val="0"/>
        <w:ind w:firstLine="0"/>
        <w:jc w:val="center"/>
        <w:rPr>
          <w:b/>
          <w:kern w:val="22"/>
          <w:lang w:eastAsia="zh-CN"/>
        </w:rPr>
      </w:pPr>
      <w:r w:rsidRPr="00FC2F94">
        <w:rPr>
          <w:rFonts w:hint="eastAsia"/>
          <w:b/>
          <w:kern w:val="22"/>
          <w:lang w:eastAsia="zh-CN"/>
        </w:rPr>
        <w:t>B</w:t>
      </w:r>
      <w:r w:rsidRPr="00FC2F94">
        <w:rPr>
          <w:b/>
          <w:kern w:val="22"/>
          <w:lang w:eastAsia="zh-CN"/>
        </w:rPr>
        <w:t xml:space="preserve">. </w:t>
      </w:r>
      <w:r>
        <w:rPr>
          <w:b/>
          <w:kern w:val="22"/>
          <w:lang w:eastAsia="zh-CN"/>
        </w:rPr>
        <w:t xml:space="preserve">    </w:t>
      </w:r>
      <w:r w:rsidRPr="00FC2F94">
        <w:rPr>
          <w:rFonts w:hint="eastAsia"/>
          <w:b/>
          <w:kern w:val="22"/>
          <w:lang w:eastAsia="zh-CN"/>
        </w:rPr>
        <w:t>用户在信息分享方面的作用</w:t>
      </w:r>
    </w:p>
    <w:p w:rsidR="00FF485B" w:rsidRPr="00FC2F94" w:rsidRDefault="00FF485B" w:rsidP="00FF485B">
      <w:pPr>
        <w:pStyle w:val="Para1"/>
        <w:keepNext/>
        <w:numPr>
          <w:ilvl w:val="0"/>
          <w:numId w:val="249"/>
        </w:numPr>
        <w:snapToGrid w:val="0"/>
        <w:rPr>
          <w:sz w:val="24"/>
          <w:szCs w:val="24"/>
          <w:lang w:val="en-CA" w:eastAsia="zh-CN"/>
        </w:rPr>
      </w:pPr>
      <w:r w:rsidRPr="00FC2F94">
        <w:rPr>
          <w:rFonts w:hint="eastAsia"/>
          <w:sz w:val="24"/>
          <w:szCs w:val="24"/>
          <w:lang w:eastAsia="zh-CN"/>
        </w:rPr>
        <w:t>在通过任何信息交换所分享信息时，用户应：</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t>遵循为每个信息交换所或信息类型规定的发布程序；</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t>负责确保所提供的信息准确、完整、相关并是最新的；</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t>不输入机密数据，因为在信息交换所发布的所有信息都是公开的；</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t>不侵犯任何与所发布信息有关的知识产权；</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t>用联合国一种正式语文提供描述主要数据的元数据（例如从受控词汇表中选出描述立法措施内容的要点），同时认识到主要数据（例如立法措施）可用原文提交；</w:t>
      </w:r>
    </w:p>
    <w:p w:rsidR="00FF485B" w:rsidRPr="00FC2F94" w:rsidRDefault="00FF485B" w:rsidP="00FF485B">
      <w:pPr>
        <w:pStyle w:val="ListParagraph"/>
        <w:numPr>
          <w:ilvl w:val="1"/>
          <w:numId w:val="249"/>
        </w:numPr>
        <w:snapToGrid w:val="0"/>
        <w:ind w:firstLine="720"/>
        <w:rPr>
          <w:bCs/>
          <w:kern w:val="22"/>
          <w:lang w:eastAsia="zh-CN"/>
        </w:rPr>
      </w:pPr>
      <w:r w:rsidRPr="00FC2F94">
        <w:rPr>
          <w:rFonts w:hint="eastAsia"/>
          <w:bCs/>
          <w:kern w:val="22"/>
          <w:lang w:eastAsia="zh-CN"/>
        </w:rPr>
        <w:lastRenderedPageBreak/>
        <w:t>尽力将所提交的主要数据免费翻译成联合国的一种正式语文。</w:t>
      </w:r>
    </w:p>
    <w:p w:rsidR="00FF485B" w:rsidRPr="001152C0" w:rsidRDefault="00FF485B" w:rsidP="00466808">
      <w:pPr>
        <w:pStyle w:val="Heading1"/>
        <w:spacing w:before="120" w:after="120"/>
        <w:ind w:firstLine="0"/>
        <w:rPr>
          <w:rFonts w:eastAsiaTheme="minorEastAsia" w:cs="Times New Roman"/>
          <w:noProof/>
          <w:kern w:val="22"/>
          <w:sz w:val="24"/>
          <w:lang w:eastAsia="zh-CN"/>
        </w:rPr>
      </w:pPr>
      <w:r>
        <w:rPr>
          <w:kern w:val="22"/>
          <w:lang w:eastAsia="zh-CN"/>
        </w:rPr>
        <w:br w:type="page"/>
      </w:r>
      <w:bookmarkStart w:id="211" w:name="_Toc6243787"/>
      <w:r w:rsidRPr="001152C0">
        <w:rPr>
          <w:rFonts w:eastAsiaTheme="minorEastAsia" w:cs="Times New Roman"/>
          <w:noProof/>
          <w:kern w:val="22"/>
          <w:sz w:val="24"/>
          <w:lang w:eastAsia="zh-CN"/>
        </w:rPr>
        <w:lastRenderedPageBreak/>
        <w:t>14/26.</w:t>
      </w:r>
      <w:r w:rsidRPr="001152C0">
        <w:rPr>
          <w:rFonts w:eastAsiaTheme="minorEastAsia" w:cs="Times New Roman"/>
          <w:noProof/>
          <w:kern w:val="22"/>
          <w:sz w:val="24"/>
          <w:lang w:eastAsia="zh-CN"/>
        </w:rPr>
        <w:tab/>
        <w:t xml:space="preserve">   </w:t>
      </w:r>
      <w:r w:rsidRPr="001152C0">
        <w:rPr>
          <w:rFonts w:eastAsiaTheme="minorEastAsia" w:cs="Times New Roman"/>
          <w:noProof/>
          <w:kern w:val="22"/>
          <w:sz w:val="24"/>
          <w:lang w:eastAsia="zh-CN"/>
        </w:rPr>
        <w:t>传播</w:t>
      </w:r>
      <w:bookmarkEnd w:id="211"/>
      <w:r w:rsidRPr="001152C0">
        <w:rPr>
          <w:rFonts w:eastAsiaTheme="minorEastAsia" w:cs="Times New Roman"/>
          <w:noProof/>
          <w:kern w:val="22"/>
          <w:sz w:val="24"/>
          <w:lang w:eastAsia="zh-CN"/>
        </w:rPr>
        <w:t xml:space="preserve"> </w:t>
      </w:r>
    </w:p>
    <w:p w:rsidR="00FF485B" w:rsidRPr="006779BF" w:rsidRDefault="00FF485B" w:rsidP="00FF485B">
      <w:pPr>
        <w:tabs>
          <w:tab w:val="left" w:pos="1440"/>
        </w:tabs>
        <w:snapToGrid w:val="0"/>
        <w:rPr>
          <w:rFonts w:hAnsi="SimSun"/>
          <w:i/>
          <w:noProof/>
          <w:snapToGrid w:val="0"/>
          <w:kern w:val="22"/>
          <w:lang w:val="en-GB" w:eastAsia="zh-CN"/>
        </w:rPr>
      </w:pPr>
      <w:r w:rsidRPr="006779BF">
        <w:rPr>
          <w:rFonts w:ascii="KaiTi" w:eastAsia="KaiTi" w:hAnsi="KaiTi"/>
          <w:snapToGrid w:val="0"/>
          <w:kern w:val="22"/>
          <w:lang w:val="zh-CN" w:eastAsia="zh-CN"/>
        </w:rPr>
        <w:t>缔约方大会</w:t>
      </w:r>
      <w:r w:rsidRPr="006779BF">
        <w:rPr>
          <w:rFonts w:hAnsi="SimSun"/>
          <w:noProof/>
          <w:snapToGrid w:val="0"/>
          <w:kern w:val="22"/>
          <w:lang w:val="en-GB" w:eastAsia="zh-CN"/>
        </w:rPr>
        <w:t>，</w:t>
      </w:r>
    </w:p>
    <w:p w:rsidR="00FF485B" w:rsidRPr="006779BF" w:rsidRDefault="00FF485B" w:rsidP="00FF485B">
      <w:pPr>
        <w:tabs>
          <w:tab w:val="left" w:pos="1440"/>
        </w:tabs>
        <w:snapToGrid w:val="0"/>
        <w:rPr>
          <w:rFonts w:ascii="SimSun" w:hAnsi="SimSun" w:cs="SimSun"/>
          <w:snapToGrid w:val="0"/>
          <w:color w:val="000000"/>
          <w:szCs w:val="18"/>
          <w:lang w:eastAsia="zh-CN"/>
        </w:rPr>
      </w:pPr>
      <w:r w:rsidRPr="006779BF">
        <w:rPr>
          <w:rFonts w:ascii="SimSun" w:eastAsia="KaiTi" w:hAnsi="SimSun" w:cs="SimSun" w:hint="eastAsia"/>
          <w:snapToGrid w:val="0"/>
          <w:color w:val="000000"/>
          <w:szCs w:val="18"/>
          <w:lang w:eastAsia="zh-CN"/>
        </w:rPr>
        <w:t>回顾</w:t>
      </w:r>
      <w:r w:rsidRPr="006779BF">
        <w:rPr>
          <w:rFonts w:ascii="SimSun" w:hAnsi="SimSun" w:cs="SimSun" w:hint="eastAsia"/>
          <w:snapToGrid w:val="0"/>
          <w:color w:val="000000"/>
          <w:szCs w:val="18"/>
          <w:lang w:eastAsia="zh-CN"/>
        </w:rPr>
        <w:t>第</w:t>
      </w:r>
      <w:r w:rsidRPr="006779BF">
        <w:rPr>
          <w:snapToGrid w:val="0"/>
          <w:color w:val="000000"/>
          <w:szCs w:val="18"/>
          <w:lang w:eastAsia="zh-CN"/>
        </w:rPr>
        <w:t>XIII/22</w:t>
      </w:r>
      <w:r w:rsidRPr="006779BF">
        <w:rPr>
          <w:rFonts w:ascii="SimSun" w:hAnsi="SimSun" w:cs="SimSun" w:hint="eastAsia"/>
          <w:snapToGrid w:val="0"/>
          <w:color w:val="000000"/>
          <w:szCs w:val="18"/>
          <w:lang w:eastAsia="zh-CN"/>
        </w:rPr>
        <w:t>号决定，</w:t>
      </w:r>
      <w:r w:rsidRPr="006779BF">
        <w:rPr>
          <w:rFonts w:ascii="SimSun" w:hAnsi="SimSun" w:cs="SimSun" w:hint="eastAsia"/>
          <w:snapToGrid w:val="0"/>
          <w:color w:val="000000"/>
          <w:szCs w:val="18"/>
          <w:lang w:eastAsia="zh-CN"/>
        </w:rPr>
        <w:t xml:space="preserve"> </w:t>
      </w:r>
    </w:p>
    <w:p w:rsidR="00FF485B" w:rsidRPr="006779BF" w:rsidRDefault="00FF485B" w:rsidP="00FF485B">
      <w:pPr>
        <w:numPr>
          <w:ilvl w:val="0"/>
          <w:numId w:val="250"/>
        </w:numPr>
        <w:tabs>
          <w:tab w:val="left" w:pos="1440"/>
        </w:tabs>
        <w:snapToGrid w:val="0"/>
        <w:ind w:left="0" w:firstLine="720"/>
        <w:rPr>
          <w:rFonts w:ascii="SimSun" w:hAnsi="SimSun" w:cs="SimSun"/>
          <w:color w:val="000000"/>
          <w:lang w:eastAsia="zh-CN"/>
        </w:rPr>
      </w:pPr>
      <w:r w:rsidRPr="006779BF">
        <w:rPr>
          <w:rFonts w:ascii="SimSun" w:eastAsia="KaiTi" w:hAnsi="SimSun" w:cs="SimSun" w:hint="eastAsia"/>
          <w:color w:val="000000"/>
          <w:lang w:eastAsia="zh-CN"/>
        </w:rPr>
        <w:t>邀请</w:t>
      </w:r>
      <w:r>
        <w:rPr>
          <w:rFonts w:ascii="SimSun" w:hAnsi="SimSun" w:cs="SimSun" w:hint="eastAsia"/>
          <w:color w:val="000000"/>
          <w:lang w:eastAsia="zh-CN"/>
        </w:rPr>
        <w:t>各缔约方、其他国家政府和相关</w:t>
      </w:r>
      <w:r w:rsidRPr="006779BF">
        <w:rPr>
          <w:rFonts w:ascii="SimSun" w:hAnsi="SimSun" w:cs="SimSun" w:hint="eastAsia"/>
          <w:color w:val="000000"/>
          <w:lang w:eastAsia="zh-CN"/>
        </w:rPr>
        <w:t>组织将提高全球对生物多样性、生物多样性行动和生物多样性价值的认识作为其传播目标；</w:t>
      </w:r>
    </w:p>
    <w:p w:rsidR="00FF485B" w:rsidRPr="006779BF" w:rsidRDefault="00FF485B" w:rsidP="00FF485B">
      <w:pPr>
        <w:numPr>
          <w:ilvl w:val="0"/>
          <w:numId w:val="250"/>
        </w:numPr>
        <w:tabs>
          <w:tab w:val="left" w:pos="1440"/>
        </w:tabs>
        <w:snapToGrid w:val="0"/>
        <w:ind w:left="0" w:firstLine="720"/>
        <w:rPr>
          <w:rFonts w:ascii="SimSun" w:hAnsi="SimSun" w:cs="SimSun"/>
          <w:color w:val="000000"/>
          <w:lang w:eastAsia="zh-CN"/>
        </w:rPr>
      </w:pPr>
      <w:r w:rsidRPr="006779BF">
        <w:rPr>
          <w:rFonts w:ascii="SimSun" w:eastAsia="KaiTi" w:hAnsi="SimSun" w:cs="SimSun" w:hint="eastAsia"/>
          <w:snapToGrid w:val="0"/>
          <w:color w:val="000000"/>
          <w:szCs w:val="18"/>
          <w:lang w:eastAsia="zh-CN"/>
        </w:rPr>
        <w:t>请</w:t>
      </w:r>
      <w:r w:rsidRPr="006779BF">
        <w:rPr>
          <w:rFonts w:ascii="SimSun" w:hAnsi="SimSun" w:cs="SimSun" w:hint="eastAsia"/>
          <w:color w:val="000000"/>
          <w:lang w:eastAsia="zh-CN"/>
        </w:rPr>
        <w:t>执行秘书在资金允许的情况下：</w:t>
      </w:r>
      <w:r w:rsidRPr="006779BF">
        <w:rPr>
          <w:rFonts w:ascii="SimSun" w:hAnsi="SimSun" w:cs="SimSun" w:hint="eastAsia"/>
          <w:color w:val="000000"/>
          <w:lang w:eastAsia="zh-CN"/>
        </w:rPr>
        <w:t xml:space="preserve"> </w:t>
      </w:r>
    </w:p>
    <w:p w:rsidR="00FF485B" w:rsidRPr="002C0DEC" w:rsidRDefault="00FF485B" w:rsidP="00FF485B">
      <w:pPr>
        <w:pStyle w:val="ListParagraph"/>
        <w:numPr>
          <w:ilvl w:val="0"/>
          <w:numId w:val="251"/>
        </w:numPr>
        <w:tabs>
          <w:tab w:val="left" w:pos="1440"/>
        </w:tabs>
        <w:snapToGrid w:val="0"/>
        <w:ind w:left="0" w:firstLine="720"/>
        <w:rPr>
          <w:rFonts w:ascii="SimSun" w:hAnsi="SimSun" w:cs="SimSun"/>
          <w:color w:val="000000"/>
          <w:lang w:eastAsia="zh-CN"/>
        </w:rPr>
      </w:pPr>
      <w:r w:rsidRPr="002C0DEC">
        <w:rPr>
          <w:rFonts w:ascii="SimSun" w:hAnsi="SimSun" w:cs="SimSun" w:hint="eastAsia"/>
          <w:color w:val="000000"/>
          <w:lang w:eastAsia="zh-CN"/>
        </w:rPr>
        <w:t>继续执行全球传播战略框架；</w:t>
      </w:r>
    </w:p>
    <w:p w:rsidR="00FF485B" w:rsidRPr="006779BF" w:rsidRDefault="00FF485B" w:rsidP="00FF485B">
      <w:pPr>
        <w:pStyle w:val="ListParagraph"/>
        <w:numPr>
          <w:ilvl w:val="0"/>
          <w:numId w:val="251"/>
        </w:numPr>
        <w:tabs>
          <w:tab w:val="left" w:pos="1440"/>
        </w:tabs>
        <w:snapToGrid w:val="0"/>
        <w:ind w:left="0" w:firstLine="720"/>
        <w:rPr>
          <w:rFonts w:ascii="SimSun" w:hAnsi="SimSun" w:cs="SimSun"/>
          <w:color w:val="000000"/>
          <w:lang w:eastAsia="zh-CN"/>
        </w:rPr>
      </w:pPr>
      <w:r w:rsidRPr="006779BF">
        <w:rPr>
          <w:rFonts w:ascii="SimSun" w:hAnsi="SimSun" w:cs="SimSun" w:hint="eastAsia"/>
          <w:color w:val="000000"/>
          <w:lang w:eastAsia="zh-CN"/>
        </w:rPr>
        <w:t>与生物多样性和生态系统服务政府间科学政策平台</w:t>
      </w:r>
      <w:r>
        <w:rPr>
          <w:rFonts w:ascii="SimSun" w:hAnsi="SimSun" w:cs="SimSun" w:hint="eastAsia"/>
          <w:color w:val="000000"/>
          <w:lang w:eastAsia="zh-CN"/>
        </w:rPr>
        <w:t>、</w:t>
      </w:r>
      <w:r w:rsidRPr="006779BF">
        <w:rPr>
          <w:rFonts w:ascii="SimSun" w:hAnsi="SimSun" w:cs="SimSun" w:hint="eastAsia"/>
          <w:color w:val="000000"/>
          <w:lang w:eastAsia="zh-CN"/>
        </w:rPr>
        <w:t>相关多边环境协定</w:t>
      </w:r>
      <w:r>
        <w:rPr>
          <w:rFonts w:ascii="SimSun" w:hAnsi="SimSun" w:cs="SimSun" w:hint="eastAsia"/>
          <w:color w:val="000000"/>
          <w:lang w:eastAsia="zh-CN"/>
        </w:rPr>
        <w:t>和</w:t>
      </w:r>
      <w:r w:rsidRPr="0083089E">
        <w:rPr>
          <w:rFonts w:ascii="SimSun" w:hAnsi="SimSun" w:cs="SimSun" w:hint="eastAsia"/>
          <w:color w:val="000000"/>
          <w:lang w:eastAsia="zh-CN"/>
        </w:rPr>
        <w:t>其他相关组织</w:t>
      </w:r>
      <w:r>
        <w:rPr>
          <w:rFonts w:ascii="SimSun" w:hAnsi="SimSun" w:cs="SimSun" w:hint="eastAsia"/>
          <w:color w:val="000000"/>
          <w:lang w:eastAsia="zh-CN"/>
        </w:rPr>
        <w:t>例如</w:t>
      </w:r>
      <w:r w:rsidRPr="0083089E">
        <w:rPr>
          <w:rFonts w:ascii="SimSun" w:hAnsi="SimSun" w:cs="SimSun" w:hint="eastAsia"/>
          <w:color w:val="000000"/>
          <w:lang w:eastAsia="zh-CN"/>
        </w:rPr>
        <w:t>国际自然保护联盟</w:t>
      </w:r>
      <w:r>
        <w:rPr>
          <w:rFonts w:ascii="SimSun" w:hAnsi="SimSun" w:cs="SimSun" w:hint="eastAsia"/>
          <w:color w:val="000000"/>
          <w:lang w:eastAsia="zh-CN"/>
        </w:rPr>
        <w:t>合作，</w:t>
      </w:r>
      <w:r w:rsidRPr="0083089E">
        <w:rPr>
          <w:rFonts w:ascii="SimSun" w:hAnsi="SimSun" w:cs="SimSun" w:hint="eastAsia"/>
          <w:color w:val="000000"/>
          <w:lang w:eastAsia="zh-CN"/>
        </w:rPr>
        <w:t>并与传播</w:t>
      </w:r>
      <w:r>
        <w:rPr>
          <w:rFonts w:ascii="SimSun" w:hAnsi="SimSun" w:cs="SimSun" w:hint="eastAsia"/>
          <w:color w:val="000000"/>
          <w:lang w:eastAsia="zh-CN"/>
        </w:rPr>
        <w:t>、</w:t>
      </w:r>
      <w:r w:rsidRPr="0083089E">
        <w:rPr>
          <w:rFonts w:ascii="SimSun" w:hAnsi="SimSun" w:cs="SimSun" w:hint="eastAsia"/>
          <w:color w:val="000000"/>
          <w:lang w:eastAsia="zh-CN"/>
        </w:rPr>
        <w:t>教育和公众意识非正式咨询委员会协商</w:t>
      </w:r>
      <w:r w:rsidRPr="006779BF">
        <w:rPr>
          <w:rFonts w:ascii="SimSun" w:hAnsi="SimSun" w:cs="SimSun" w:hint="eastAsia"/>
          <w:color w:val="000000"/>
          <w:lang w:eastAsia="zh-CN"/>
        </w:rPr>
        <w:t>，编写主题和背景材料，供缔约方、其他国家政府、</w:t>
      </w:r>
      <w:r>
        <w:rPr>
          <w:rFonts w:ascii="SimSun" w:hAnsi="SimSun" w:cs="SimSun" w:hint="eastAsia"/>
          <w:color w:val="000000"/>
          <w:lang w:eastAsia="zh-CN"/>
        </w:rPr>
        <w:t>相关</w:t>
      </w:r>
      <w:r w:rsidRPr="006779BF">
        <w:rPr>
          <w:rFonts w:ascii="SimSun" w:hAnsi="SimSun" w:cs="SimSun" w:hint="eastAsia"/>
          <w:color w:val="000000"/>
          <w:lang w:eastAsia="zh-CN"/>
        </w:rPr>
        <w:t>组织、土著人民和地方社区用于在下一个两年期就当前生物多样性状况以及编制</w:t>
      </w:r>
      <w:r w:rsidRPr="00CB2E97">
        <w:rPr>
          <w:rFonts w:eastAsia="KaiTi" w:hint="eastAsia"/>
          <w:snapToGrid w:val="0"/>
          <w:color w:val="000000"/>
          <w:szCs w:val="18"/>
          <w:lang w:eastAsia="zh-CN"/>
        </w:rPr>
        <w:t>2020</w:t>
      </w:r>
      <w:r w:rsidRPr="006779BF">
        <w:rPr>
          <w:rFonts w:ascii="SimSun" w:hAnsi="SimSun" w:cs="SimSun" w:hint="eastAsia"/>
          <w:color w:val="000000"/>
          <w:lang w:eastAsia="zh-CN"/>
        </w:rPr>
        <w:t>年后全球生物多样性框架的讨论组织提高公众意识的活动；</w:t>
      </w:r>
      <w:r w:rsidRPr="006779BF">
        <w:rPr>
          <w:rFonts w:ascii="SimSun" w:hAnsi="SimSun" w:cs="SimSun" w:hint="eastAsia"/>
          <w:color w:val="000000"/>
          <w:lang w:eastAsia="zh-CN"/>
        </w:rPr>
        <w:t xml:space="preserve"> </w:t>
      </w:r>
    </w:p>
    <w:p w:rsidR="00FF485B" w:rsidRPr="006779BF" w:rsidRDefault="00FF485B" w:rsidP="00FF485B">
      <w:pPr>
        <w:pStyle w:val="ListParagraph"/>
        <w:numPr>
          <w:ilvl w:val="0"/>
          <w:numId w:val="251"/>
        </w:numPr>
        <w:tabs>
          <w:tab w:val="left" w:pos="1440"/>
        </w:tabs>
        <w:snapToGrid w:val="0"/>
        <w:ind w:left="0" w:firstLine="720"/>
        <w:rPr>
          <w:rFonts w:ascii="SimSun" w:hAnsi="SimSun" w:cs="SimSun"/>
          <w:color w:val="000000"/>
          <w:lang w:eastAsia="zh-CN"/>
        </w:rPr>
      </w:pPr>
      <w:r w:rsidRPr="006779BF">
        <w:rPr>
          <w:rFonts w:ascii="SimSun" w:hAnsi="SimSun" w:cs="SimSun" w:hint="eastAsia"/>
          <w:color w:val="000000"/>
          <w:lang w:eastAsia="zh-CN"/>
        </w:rPr>
        <w:t>提交关于上述活动和第</w:t>
      </w:r>
      <w:r w:rsidRPr="006779BF">
        <w:rPr>
          <w:color w:val="000000"/>
          <w:lang w:eastAsia="zh-CN"/>
        </w:rPr>
        <w:t>XIII/22</w:t>
      </w:r>
      <w:r w:rsidRPr="006779BF">
        <w:rPr>
          <w:rFonts w:ascii="SimSun" w:hAnsi="SimSun" w:cs="SimSun" w:hint="eastAsia"/>
          <w:color w:val="000000"/>
          <w:lang w:eastAsia="zh-CN"/>
        </w:rPr>
        <w:t>号决定执行情况的进度报告，供执行问题附属机构第三次会议和</w:t>
      </w:r>
      <w:r>
        <w:rPr>
          <w:rFonts w:ascii="SimSun" w:hAnsi="SimSun" w:cs="SimSun" w:hint="eastAsia"/>
          <w:color w:val="000000"/>
          <w:lang w:eastAsia="zh-CN"/>
        </w:rPr>
        <w:t>嗣后</w:t>
      </w:r>
      <w:r w:rsidRPr="006779BF">
        <w:rPr>
          <w:rFonts w:ascii="SimSun" w:hAnsi="SimSun" w:cs="SimSun" w:hint="eastAsia"/>
          <w:color w:val="000000"/>
          <w:lang w:eastAsia="zh-CN"/>
        </w:rPr>
        <w:t>的缔约方大会第十五届会议审议。</w:t>
      </w:r>
    </w:p>
    <w:p w:rsidR="00FF485B" w:rsidRDefault="00FF485B">
      <w:pPr>
        <w:rPr>
          <w:kern w:val="22"/>
          <w:lang w:val="en-GB" w:eastAsia="zh-CN"/>
        </w:rPr>
      </w:pPr>
      <w:r>
        <w:rPr>
          <w:kern w:val="22"/>
          <w:lang w:val="en-GB" w:eastAsia="zh-CN"/>
        </w:rPr>
        <w:br w:type="page"/>
      </w:r>
    </w:p>
    <w:p w:rsidR="001152C0" w:rsidRPr="001152C0" w:rsidRDefault="001152C0" w:rsidP="001152C0">
      <w:pPr>
        <w:pStyle w:val="Heading1"/>
        <w:spacing w:before="120" w:after="120"/>
        <w:ind w:firstLine="0"/>
        <w:rPr>
          <w:rFonts w:eastAsiaTheme="minorEastAsia" w:cs="Times New Roman"/>
          <w:noProof/>
          <w:kern w:val="22"/>
          <w:sz w:val="24"/>
          <w:lang w:eastAsia="zh-CN"/>
        </w:rPr>
      </w:pPr>
      <w:bookmarkStart w:id="212" w:name="_Toc6243788"/>
      <w:r w:rsidRPr="001152C0">
        <w:rPr>
          <w:rFonts w:eastAsiaTheme="minorEastAsia" w:cs="Times New Roman"/>
          <w:noProof/>
          <w:kern w:val="22"/>
          <w:sz w:val="24"/>
          <w:lang w:eastAsia="zh-CN"/>
        </w:rPr>
        <w:lastRenderedPageBreak/>
        <w:t>14/27.</w:t>
      </w:r>
      <w:r w:rsidRPr="001152C0">
        <w:rPr>
          <w:rFonts w:eastAsiaTheme="minorEastAsia" w:cs="Times New Roman"/>
          <w:noProof/>
          <w:kern w:val="22"/>
          <w:sz w:val="24"/>
          <w:lang w:eastAsia="zh-CN"/>
        </w:rPr>
        <w:tab/>
        <w:t xml:space="preserve">   </w:t>
      </w:r>
      <w:r w:rsidRPr="001152C0">
        <w:rPr>
          <w:rFonts w:eastAsiaTheme="minorEastAsia" w:cs="Times New Roman"/>
          <w:noProof/>
          <w:kern w:val="22"/>
          <w:sz w:val="24"/>
          <w:lang w:eastAsia="zh-CN"/>
        </w:rPr>
        <w:t>协调国家报告、评估和审查的进程</w:t>
      </w:r>
      <w:bookmarkEnd w:id="212"/>
      <w:r w:rsidRPr="001152C0">
        <w:rPr>
          <w:rFonts w:eastAsiaTheme="minorEastAsia" w:cs="Times New Roman"/>
          <w:noProof/>
          <w:kern w:val="22"/>
          <w:sz w:val="24"/>
          <w:lang w:eastAsia="zh-CN"/>
        </w:rPr>
        <w:t xml:space="preserve"> </w:t>
      </w:r>
    </w:p>
    <w:p w:rsidR="001152C0" w:rsidRPr="005B4EC8" w:rsidRDefault="001152C0" w:rsidP="001152C0">
      <w:pPr>
        <w:tabs>
          <w:tab w:val="left" w:pos="1440"/>
        </w:tabs>
        <w:snapToGrid w:val="0"/>
        <w:rPr>
          <w:rFonts w:hAnsi="SimSun"/>
          <w:i/>
          <w:noProof/>
          <w:snapToGrid w:val="0"/>
          <w:kern w:val="22"/>
          <w:lang w:val="en-GB" w:eastAsia="zh-CN"/>
        </w:rPr>
      </w:pPr>
      <w:r w:rsidRPr="005B4EC8">
        <w:rPr>
          <w:rFonts w:ascii="KaiTi" w:eastAsia="KaiTi" w:hAnsi="KaiTi"/>
          <w:snapToGrid w:val="0"/>
          <w:kern w:val="22"/>
          <w:lang w:val="zh-CN" w:eastAsia="zh-CN"/>
        </w:rPr>
        <w:t>缔约方大会</w:t>
      </w:r>
      <w:r>
        <w:rPr>
          <w:rFonts w:ascii="KaiTi" w:eastAsia="KaiTi" w:hAnsi="KaiTi" w:hint="eastAsia"/>
          <w:snapToGrid w:val="0"/>
          <w:kern w:val="22"/>
          <w:lang w:val="zh-CN" w:eastAsia="zh-CN"/>
        </w:rPr>
        <w:t>，</w:t>
      </w:r>
    </w:p>
    <w:p w:rsidR="001152C0" w:rsidRPr="005B4EC8" w:rsidRDefault="001152C0" w:rsidP="001152C0">
      <w:pPr>
        <w:suppressLineNumbers/>
        <w:tabs>
          <w:tab w:val="left" w:pos="1440"/>
        </w:tabs>
        <w:suppressAutoHyphens/>
        <w:overflowPunct w:val="0"/>
        <w:autoSpaceDE w:val="0"/>
        <w:autoSpaceDN w:val="0"/>
        <w:adjustRightInd w:val="0"/>
        <w:snapToGrid w:val="0"/>
        <w:rPr>
          <w:rFonts w:cs="Angsana New"/>
          <w:snapToGrid w:val="0"/>
          <w:kern w:val="22"/>
          <w:lang w:val="en-GB" w:eastAsia="zh-CN"/>
        </w:rPr>
      </w:pPr>
      <w:r w:rsidRPr="005B4EC8">
        <w:rPr>
          <w:rFonts w:ascii="KaiTi" w:eastAsia="KaiTi" w:hAnsi="KaiTi" w:cs="Angsana New" w:hint="eastAsia"/>
          <w:snapToGrid w:val="0"/>
          <w:kern w:val="22"/>
          <w:lang w:val="en-GB" w:eastAsia="zh-CN"/>
        </w:rPr>
        <w:t>强调</w:t>
      </w:r>
      <w:r w:rsidRPr="005B4EC8">
        <w:rPr>
          <w:rFonts w:ascii="SimSun" w:hAnsi="SimSun" w:cs="SimSun" w:hint="eastAsia"/>
          <w:snapToGrid w:val="0"/>
          <w:kern w:val="22"/>
          <w:lang w:val="en-GB" w:eastAsia="zh-CN"/>
        </w:rPr>
        <w:t>提高《公约》及其《议定书》下</w:t>
      </w:r>
      <w:r>
        <w:rPr>
          <w:rFonts w:ascii="SimSun" w:hAnsi="SimSun" w:cs="SimSun" w:hint="eastAsia"/>
          <w:snapToGrid w:val="0"/>
          <w:kern w:val="22"/>
          <w:lang w:val="en-GB" w:eastAsia="zh-CN"/>
        </w:rPr>
        <w:t>的</w:t>
      </w:r>
      <w:r w:rsidRPr="005B4EC8">
        <w:rPr>
          <w:rFonts w:ascii="SimSun" w:hAnsi="SimSun" w:cs="SimSun" w:hint="eastAsia"/>
          <w:snapToGrid w:val="0"/>
          <w:kern w:val="22"/>
          <w:lang w:val="en-GB" w:eastAsia="zh-CN"/>
        </w:rPr>
        <w:t>国家报告一致性以减轻报告负担的</w:t>
      </w:r>
      <w:r w:rsidRPr="005B4EC8">
        <w:rPr>
          <w:rFonts w:ascii="SimSun" w:hAnsi="SimSun" w:cs="SimSun"/>
          <w:snapToGrid w:val="0"/>
          <w:kern w:val="22"/>
          <w:lang w:val="en-GB" w:eastAsia="zh-CN"/>
        </w:rPr>
        <w:t>价值</w:t>
      </w:r>
      <w:r w:rsidRPr="005B4EC8">
        <w:rPr>
          <w:rFonts w:ascii="SimSun" w:hAnsi="SimSun" w:cs="SimSun" w:hint="eastAsia"/>
          <w:snapToGrid w:val="0"/>
          <w:kern w:val="22"/>
          <w:lang w:val="en-GB" w:eastAsia="zh-CN"/>
        </w:rPr>
        <w:t>，</w:t>
      </w:r>
    </w:p>
    <w:p w:rsidR="001152C0" w:rsidRPr="005B4EC8" w:rsidRDefault="001152C0" w:rsidP="001152C0">
      <w:pPr>
        <w:suppressLineNumbers/>
        <w:tabs>
          <w:tab w:val="left" w:pos="1440"/>
        </w:tabs>
        <w:suppressAutoHyphens/>
        <w:overflowPunct w:val="0"/>
        <w:autoSpaceDE w:val="0"/>
        <w:autoSpaceDN w:val="0"/>
        <w:adjustRightInd w:val="0"/>
        <w:snapToGrid w:val="0"/>
        <w:rPr>
          <w:rFonts w:cs="Angsana New"/>
          <w:snapToGrid w:val="0"/>
          <w:kern w:val="22"/>
          <w:lang w:val="en-GB" w:eastAsia="zh-CN"/>
        </w:rPr>
      </w:pPr>
      <w:r w:rsidRPr="005B4EC8">
        <w:rPr>
          <w:rFonts w:ascii="KaiTi" w:eastAsia="KaiTi" w:hAnsi="KaiTi" w:cs="Angsana New" w:hint="eastAsia"/>
          <w:snapToGrid w:val="0"/>
          <w:kern w:val="22"/>
          <w:lang w:val="en-GB" w:eastAsia="zh-CN"/>
        </w:rPr>
        <w:t>又强调</w:t>
      </w:r>
      <w:r w:rsidRPr="005B4EC8">
        <w:rPr>
          <w:rFonts w:ascii="SimSun" w:hAnsi="SimSun" w:cs="SimSun" w:hint="eastAsia"/>
          <w:snapToGrid w:val="0"/>
          <w:kern w:val="22"/>
          <w:lang w:val="en-GB" w:eastAsia="zh-CN"/>
        </w:rPr>
        <w:t>加强生物多样性相关公约和里约公约之间的协同作用的</w:t>
      </w:r>
      <w:r>
        <w:rPr>
          <w:rFonts w:ascii="SimSun" w:hAnsi="SimSun" w:cs="SimSun" w:hint="eastAsia"/>
          <w:snapToGrid w:val="0"/>
          <w:kern w:val="22"/>
          <w:lang w:val="en-GB" w:eastAsia="zh-CN"/>
        </w:rPr>
        <w:t>价值</w:t>
      </w:r>
      <w:r w:rsidRPr="005B4EC8">
        <w:rPr>
          <w:rFonts w:ascii="SimSun" w:hAnsi="SimSun" w:cs="SimSun" w:hint="eastAsia"/>
          <w:snapToGrid w:val="0"/>
          <w:kern w:val="22"/>
          <w:lang w:val="en-GB" w:eastAsia="zh-CN"/>
        </w:rPr>
        <w:t>，并</w:t>
      </w:r>
      <w:r w:rsidRPr="005B4EC8">
        <w:rPr>
          <w:rFonts w:ascii="KaiTi" w:eastAsia="KaiTi" w:hAnsi="KaiTi" w:cs="Angsana New" w:hint="eastAsia"/>
          <w:snapToGrid w:val="0"/>
          <w:kern w:val="22"/>
          <w:lang w:val="en-GB" w:eastAsia="zh-CN"/>
        </w:rPr>
        <w:t>注意到</w:t>
      </w:r>
      <w:r w:rsidRPr="005B4EC8">
        <w:rPr>
          <w:rFonts w:ascii="SimSun" w:hAnsi="SimSun" w:cs="SimSun" w:hint="eastAsia"/>
          <w:snapToGrid w:val="0"/>
          <w:kern w:val="22"/>
          <w:lang w:val="en-GB" w:eastAsia="zh-CN"/>
        </w:rPr>
        <w:t>迄今这方面取得的进展，包括生物多样性相关公约联络小组以及里约公约联合联络小组的活动以及诸如制定多边环境协定信息门户网站数据和报告工具的相关活动，</w:t>
      </w:r>
    </w:p>
    <w:p w:rsidR="001152C0" w:rsidRPr="005B4EC8" w:rsidRDefault="001152C0" w:rsidP="001152C0">
      <w:pPr>
        <w:suppressLineNumbers/>
        <w:tabs>
          <w:tab w:val="left" w:pos="1440"/>
        </w:tabs>
        <w:suppressAutoHyphens/>
        <w:overflowPunct w:val="0"/>
        <w:autoSpaceDE w:val="0"/>
        <w:autoSpaceDN w:val="0"/>
        <w:adjustRightInd w:val="0"/>
        <w:snapToGrid w:val="0"/>
        <w:rPr>
          <w:rFonts w:cs="Angsana New"/>
          <w:snapToGrid w:val="0"/>
          <w:kern w:val="22"/>
          <w:lang w:val="en-GB" w:eastAsia="zh-CN"/>
        </w:rPr>
      </w:pPr>
      <w:r w:rsidRPr="005B4EC8">
        <w:rPr>
          <w:rFonts w:ascii="KaiTi" w:eastAsia="KaiTi" w:hAnsi="KaiTi" w:cs="Angsana New" w:hint="eastAsia"/>
          <w:snapToGrid w:val="0"/>
          <w:kern w:val="22"/>
          <w:lang w:val="en-GB" w:eastAsia="zh-CN"/>
        </w:rPr>
        <w:t>认识到</w:t>
      </w:r>
      <w:r w:rsidRPr="005B4EC8">
        <w:rPr>
          <w:snapToGrid w:val="0"/>
          <w:kern w:val="22"/>
          <w:lang w:val="en-GB" w:eastAsia="zh-CN"/>
        </w:rPr>
        <w:t>2020</w:t>
      </w:r>
      <w:r w:rsidRPr="005B4EC8">
        <w:rPr>
          <w:rFonts w:ascii="SimSun" w:hAnsi="SimSun" w:cs="SimSun" w:hint="eastAsia"/>
          <w:snapToGrid w:val="0"/>
          <w:kern w:val="22"/>
          <w:lang w:val="en-GB" w:eastAsia="zh-CN"/>
        </w:rPr>
        <w:t>年后全球生物多样性框架在促进协调《公约》及其《议定书》下的国家报告工作方面的潜力，</w:t>
      </w:r>
    </w:p>
    <w:p w:rsidR="001152C0" w:rsidRPr="005B4EC8" w:rsidRDefault="001152C0" w:rsidP="001152C0">
      <w:pPr>
        <w:suppressLineNumbers/>
        <w:tabs>
          <w:tab w:val="left" w:pos="1440"/>
        </w:tabs>
        <w:suppressAutoHyphens/>
        <w:overflowPunct w:val="0"/>
        <w:autoSpaceDE w:val="0"/>
        <w:autoSpaceDN w:val="0"/>
        <w:adjustRightInd w:val="0"/>
        <w:snapToGrid w:val="0"/>
        <w:rPr>
          <w:rFonts w:ascii="inherit" w:hAnsi="inherit" w:cs="Courier New"/>
          <w:snapToGrid w:val="0"/>
          <w:color w:val="212121"/>
          <w:sz w:val="22"/>
          <w:szCs w:val="18"/>
          <w:lang w:val="en-GB" w:eastAsia="zh-CN"/>
        </w:rPr>
      </w:pPr>
      <w:r w:rsidRPr="005B4EC8">
        <w:rPr>
          <w:rFonts w:ascii="KaiTi" w:eastAsia="KaiTi" w:hAnsi="KaiTi" w:cs="Angsana New" w:hint="eastAsia"/>
          <w:snapToGrid w:val="0"/>
          <w:kern w:val="22"/>
          <w:lang w:val="en-GB" w:eastAsia="zh-CN"/>
        </w:rPr>
        <w:t>又认识到</w:t>
      </w:r>
      <w:r w:rsidRPr="005B4EC8">
        <w:rPr>
          <w:rFonts w:ascii="SimSun" w:hAnsi="SimSun" w:cs="SimSun" w:hint="eastAsia"/>
          <w:snapToGrid w:val="0"/>
          <w:kern w:val="22"/>
          <w:lang w:val="en-GB" w:eastAsia="zh-CN"/>
        </w:rPr>
        <w:t>《公约》和各《议定书》都是对其缔约方提出具体义务的不同法律文书，以国家报告格式提供的信息取决于每项文书在特定时间采取所实施战略的重点和目标，</w:t>
      </w:r>
    </w:p>
    <w:p w:rsidR="001152C0" w:rsidRPr="005B4EC8" w:rsidRDefault="001152C0" w:rsidP="001152C0">
      <w:pPr>
        <w:suppressLineNumbers/>
        <w:tabs>
          <w:tab w:val="left" w:pos="1440"/>
        </w:tabs>
        <w:suppressAutoHyphens/>
        <w:overflowPunct w:val="0"/>
        <w:autoSpaceDE w:val="0"/>
        <w:autoSpaceDN w:val="0"/>
        <w:adjustRightInd w:val="0"/>
        <w:snapToGrid w:val="0"/>
        <w:rPr>
          <w:rFonts w:cs="Angsana New"/>
          <w:snapToGrid w:val="0"/>
          <w:kern w:val="22"/>
          <w:lang w:val="en-GB" w:eastAsia="zh-CN"/>
        </w:rPr>
      </w:pPr>
      <w:r w:rsidRPr="005B4EC8">
        <w:rPr>
          <w:rFonts w:ascii="KaiTi" w:eastAsia="KaiTi" w:hAnsi="KaiTi" w:cs="Angsana New" w:hint="eastAsia"/>
          <w:snapToGrid w:val="0"/>
          <w:kern w:val="22"/>
          <w:lang w:val="en-GB" w:eastAsia="zh-CN"/>
        </w:rPr>
        <w:t>注意到</w:t>
      </w:r>
      <w:r w:rsidRPr="005B4EC8">
        <w:rPr>
          <w:rFonts w:ascii="SimSun" w:hAnsi="SimSun" w:cs="SimSun" w:hint="eastAsia"/>
          <w:snapToGrid w:val="0"/>
          <w:kern w:val="22"/>
          <w:lang w:val="en-GB" w:eastAsia="zh-CN"/>
        </w:rPr>
        <w:t>在《公约》及其《议定书》今后报告周期中，需要继续为发展中国家特别是最不发达国家和小岛屿发展中国家以及经济转型国家提供能力建设和</w:t>
      </w:r>
      <w:r>
        <w:rPr>
          <w:rFonts w:ascii="SimSun" w:hAnsi="SimSun" w:cs="SimSun" w:hint="eastAsia"/>
          <w:snapToGrid w:val="0"/>
          <w:kern w:val="22"/>
          <w:lang w:val="en-GB" w:eastAsia="zh-CN"/>
        </w:rPr>
        <w:t>资金</w:t>
      </w:r>
      <w:r w:rsidRPr="005B4EC8">
        <w:rPr>
          <w:rFonts w:ascii="SimSun" w:hAnsi="SimSun" w:cs="SimSun" w:hint="eastAsia"/>
          <w:snapToGrid w:val="0"/>
          <w:kern w:val="22"/>
          <w:lang w:val="en-GB" w:eastAsia="zh-CN"/>
        </w:rPr>
        <w:t>支持，</w:t>
      </w:r>
    </w:p>
    <w:p w:rsidR="001152C0" w:rsidRPr="005B4EC8" w:rsidRDefault="001152C0" w:rsidP="001152C0">
      <w:pPr>
        <w:numPr>
          <w:ilvl w:val="0"/>
          <w:numId w:val="252"/>
        </w:numPr>
        <w:suppressLineNumbers/>
        <w:tabs>
          <w:tab w:val="left" w:pos="1440"/>
        </w:tabs>
        <w:suppressAutoHyphens/>
        <w:overflowPunct w:val="0"/>
        <w:autoSpaceDE w:val="0"/>
        <w:autoSpaceDN w:val="0"/>
        <w:adjustRightInd w:val="0"/>
        <w:snapToGrid w:val="0"/>
        <w:ind w:left="0" w:firstLine="720"/>
        <w:rPr>
          <w:rFonts w:cs="Angsana New"/>
          <w:snapToGrid w:val="0"/>
          <w:kern w:val="22"/>
          <w:lang w:val="en-GB" w:eastAsia="zh-CN"/>
        </w:rPr>
      </w:pPr>
      <w:r w:rsidRPr="005B4EC8">
        <w:rPr>
          <w:rFonts w:ascii="KaiTi" w:eastAsia="KaiTi" w:hAnsi="KaiTi" w:cs="Angsana New" w:hint="eastAsia"/>
          <w:snapToGrid w:val="0"/>
          <w:kern w:val="22"/>
          <w:lang w:val="en-GB" w:eastAsia="zh-CN"/>
        </w:rPr>
        <w:t>决定</w:t>
      </w:r>
      <w:r w:rsidRPr="005B4EC8">
        <w:rPr>
          <w:rFonts w:ascii="SimSun" w:hAnsi="SimSun" w:cs="SimSun" w:hint="eastAsia"/>
          <w:snapToGrid w:val="0"/>
          <w:kern w:val="22"/>
          <w:lang w:val="en-GB" w:eastAsia="zh-CN"/>
        </w:rPr>
        <w:t>《公约》、《卡塔赫纳议定书》和《名古屋议定书》于</w:t>
      </w:r>
      <w:r w:rsidRPr="005B4EC8">
        <w:rPr>
          <w:snapToGrid w:val="0"/>
          <w:kern w:val="22"/>
          <w:lang w:val="en-GB" w:eastAsia="zh-CN"/>
        </w:rPr>
        <w:t>2023</w:t>
      </w:r>
      <w:r w:rsidRPr="005B4EC8">
        <w:rPr>
          <w:rFonts w:ascii="SimSun" w:hAnsi="SimSun" w:cs="SimSun" w:hint="eastAsia"/>
          <w:snapToGrid w:val="0"/>
          <w:kern w:val="22"/>
          <w:lang w:val="en-GB" w:eastAsia="zh-CN"/>
        </w:rPr>
        <w:t>年开始同步报告周期，</w:t>
      </w:r>
      <w:r>
        <w:rPr>
          <w:rFonts w:ascii="SimSun" w:hAnsi="SimSun" w:cs="SimSun" w:hint="eastAsia"/>
          <w:snapToGrid w:val="0"/>
          <w:kern w:val="22"/>
          <w:lang w:val="en-GB" w:eastAsia="zh-CN"/>
        </w:rPr>
        <w:t>并</w:t>
      </w:r>
      <w:r w:rsidRPr="005B4EC8">
        <w:rPr>
          <w:rFonts w:ascii="KaiTi" w:eastAsia="KaiTi" w:hAnsi="KaiTi" w:cs="Angsana New" w:hint="eastAsia"/>
          <w:snapToGrid w:val="0"/>
          <w:kern w:val="22"/>
          <w:lang w:val="en-GB" w:eastAsia="zh-CN"/>
        </w:rPr>
        <w:t>邀请</w:t>
      </w:r>
      <w:r w:rsidRPr="005B4EC8">
        <w:rPr>
          <w:rFonts w:ascii="SimSun" w:hAnsi="SimSun" w:cs="SimSun" w:hint="eastAsia"/>
          <w:snapToGrid w:val="0"/>
          <w:kern w:val="22"/>
          <w:lang w:val="en-GB" w:eastAsia="zh-CN"/>
        </w:rPr>
        <w:t>作为卡塔赫纳议定书缔约方会议的缔约方大会和作为名古屋议定书缔约方会议的缔约方大会采取必要筹备措施落实这种同步报告办法和周期；</w:t>
      </w:r>
    </w:p>
    <w:p w:rsidR="001152C0" w:rsidRPr="005B4EC8" w:rsidRDefault="001152C0" w:rsidP="001152C0">
      <w:pPr>
        <w:numPr>
          <w:ilvl w:val="0"/>
          <w:numId w:val="252"/>
        </w:numPr>
        <w:suppressLineNumbers/>
        <w:tabs>
          <w:tab w:val="left" w:pos="1440"/>
        </w:tabs>
        <w:suppressAutoHyphens/>
        <w:overflowPunct w:val="0"/>
        <w:autoSpaceDE w:val="0"/>
        <w:autoSpaceDN w:val="0"/>
        <w:adjustRightInd w:val="0"/>
        <w:snapToGrid w:val="0"/>
        <w:ind w:left="0" w:firstLine="720"/>
        <w:rPr>
          <w:rFonts w:cs="Angsana New"/>
          <w:snapToGrid w:val="0"/>
          <w:kern w:val="22"/>
          <w:lang w:val="en-GB" w:eastAsia="zh-CN"/>
        </w:rPr>
      </w:pPr>
      <w:r w:rsidRPr="005B4EC8">
        <w:rPr>
          <w:rFonts w:ascii="KaiTi" w:eastAsia="KaiTi" w:hAnsi="KaiTi" w:cs="Angsana New" w:hint="eastAsia"/>
          <w:snapToGrid w:val="0"/>
          <w:kern w:val="22"/>
          <w:lang w:val="en-GB" w:eastAsia="zh-CN"/>
        </w:rPr>
        <w:t>鼓励</w:t>
      </w:r>
      <w:r w:rsidRPr="005B4EC8">
        <w:rPr>
          <w:rFonts w:ascii="SimSun" w:hAnsi="SimSun" w:cs="SimSun" w:hint="eastAsia"/>
          <w:snapToGrid w:val="0"/>
          <w:kern w:val="22"/>
          <w:lang w:val="en-GB" w:eastAsia="zh-CN"/>
        </w:rPr>
        <w:t>各缔约方探讨国家层面涉及所有相关生物多样性报告进程的可能协同作用，以便加强国家报告中的信息和数据的协调一致性；</w:t>
      </w:r>
    </w:p>
    <w:p w:rsidR="001152C0" w:rsidRPr="005B4EC8" w:rsidRDefault="001152C0" w:rsidP="001152C0">
      <w:pPr>
        <w:numPr>
          <w:ilvl w:val="0"/>
          <w:numId w:val="252"/>
        </w:numPr>
        <w:suppressLineNumbers/>
        <w:tabs>
          <w:tab w:val="left" w:pos="1440"/>
        </w:tabs>
        <w:suppressAutoHyphens/>
        <w:overflowPunct w:val="0"/>
        <w:autoSpaceDE w:val="0"/>
        <w:autoSpaceDN w:val="0"/>
        <w:adjustRightInd w:val="0"/>
        <w:snapToGrid w:val="0"/>
        <w:ind w:left="0" w:firstLine="720"/>
        <w:rPr>
          <w:rFonts w:cs="Angsana New"/>
          <w:snapToGrid w:val="0"/>
          <w:kern w:val="22"/>
          <w:lang w:val="en-GB" w:eastAsia="zh-CN"/>
        </w:rPr>
      </w:pPr>
      <w:r w:rsidRPr="005B4EC8">
        <w:rPr>
          <w:rFonts w:ascii="KaiTi" w:eastAsia="KaiTi" w:hAnsi="KaiTi" w:cs="Angsana New" w:hint="eastAsia"/>
          <w:snapToGrid w:val="0"/>
          <w:kern w:val="22"/>
          <w:lang w:val="en-GB" w:eastAsia="zh-CN"/>
        </w:rPr>
        <w:t>请</w:t>
      </w:r>
      <w:r w:rsidRPr="005B4EC8">
        <w:rPr>
          <w:rFonts w:ascii="SimSun" w:hAnsi="SimSun" w:cs="SimSun" w:hint="eastAsia"/>
          <w:snapToGrid w:val="0"/>
          <w:kern w:val="22"/>
          <w:lang w:val="en-GB" w:eastAsia="zh-CN"/>
        </w:rPr>
        <w:t>执行秘书：</w:t>
      </w:r>
    </w:p>
    <w:p w:rsidR="001152C0" w:rsidRPr="005B4EC8" w:rsidRDefault="001152C0" w:rsidP="001152C0">
      <w:pPr>
        <w:numPr>
          <w:ilvl w:val="0"/>
          <w:numId w:val="253"/>
        </w:numPr>
        <w:suppressLineNumbers/>
        <w:tabs>
          <w:tab w:val="left" w:pos="1440"/>
        </w:tabs>
        <w:suppressAutoHyphens/>
        <w:overflowPunct w:val="0"/>
        <w:autoSpaceDE w:val="0"/>
        <w:autoSpaceDN w:val="0"/>
        <w:adjustRightInd w:val="0"/>
        <w:snapToGrid w:val="0"/>
        <w:ind w:left="0" w:firstLine="720"/>
        <w:rPr>
          <w:rFonts w:cs="Angsana New"/>
          <w:snapToGrid w:val="0"/>
          <w:kern w:val="22"/>
          <w:lang w:val="en-GB" w:eastAsia="zh-CN"/>
        </w:rPr>
      </w:pPr>
      <w:r w:rsidRPr="005B4EC8">
        <w:rPr>
          <w:rFonts w:cs="Angsana New" w:hint="eastAsia"/>
          <w:snapToGrid w:val="0"/>
          <w:kern w:val="22"/>
          <w:szCs w:val="22"/>
          <w:lang w:val="en-GB" w:eastAsia="zh-CN"/>
        </w:rPr>
        <w:t>评估</w:t>
      </w:r>
      <w:r w:rsidRPr="005B4EC8">
        <w:rPr>
          <w:rFonts w:ascii="SimSun" w:hAnsi="SimSun" w:cs="SimSun" w:hint="eastAsia"/>
          <w:snapToGrid w:val="0"/>
          <w:kern w:val="22"/>
          <w:lang w:val="en-GB" w:eastAsia="zh-CN"/>
        </w:rPr>
        <w:t>《公约》、《卡塔赫纳议定书》和《名古屋议定书》</w:t>
      </w:r>
      <w:r w:rsidRPr="005B4EC8">
        <w:rPr>
          <w:snapToGrid w:val="0"/>
          <w:kern w:val="22"/>
          <w:lang w:val="en-GB" w:eastAsia="zh-CN"/>
        </w:rPr>
        <w:t>2023</w:t>
      </w:r>
      <w:r w:rsidRPr="005B4EC8">
        <w:rPr>
          <w:rFonts w:ascii="SimSun" w:hAnsi="SimSun" w:cs="Angsana New" w:hint="eastAsia"/>
          <w:snapToGrid w:val="0"/>
          <w:kern w:val="22"/>
          <w:szCs w:val="22"/>
          <w:lang w:val="en-GB" w:eastAsia="zh-CN"/>
        </w:rPr>
        <w:t>年起</w:t>
      </w:r>
      <w:r w:rsidRPr="005B4EC8">
        <w:rPr>
          <w:rFonts w:ascii="SimSun" w:hAnsi="SimSun" w:cs="SimSun" w:hint="eastAsia"/>
          <w:snapToGrid w:val="0"/>
          <w:kern w:val="22"/>
          <w:lang w:val="en-GB" w:eastAsia="zh-CN"/>
        </w:rPr>
        <w:t>统一报告周期所涉费用问题，以便为全球环境基金筹备</w:t>
      </w:r>
      <w:r w:rsidRPr="005B4EC8">
        <w:rPr>
          <w:snapToGrid w:val="0"/>
          <w:kern w:val="22"/>
          <w:lang w:val="en-GB" w:eastAsia="zh-CN"/>
        </w:rPr>
        <w:t>2022-2026</w:t>
      </w:r>
      <w:r w:rsidRPr="005B4EC8">
        <w:rPr>
          <w:rFonts w:ascii="SimSun" w:hAnsi="SimSun" w:cs="SimSun" w:hint="eastAsia"/>
          <w:snapToGrid w:val="0"/>
          <w:kern w:val="22"/>
          <w:lang w:val="en-GB" w:eastAsia="zh-CN"/>
        </w:rPr>
        <w:t>年周期的信托基金充资提供信息</w:t>
      </w:r>
      <w:r w:rsidRPr="005B4EC8">
        <w:rPr>
          <w:rFonts w:cs="Angsana New" w:hint="eastAsia"/>
          <w:snapToGrid w:val="0"/>
          <w:kern w:val="22"/>
          <w:szCs w:val="22"/>
          <w:lang w:val="en-GB" w:eastAsia="zh-CN"/>
        </w:rPr>
        <w:t>；</w:t>
      </w:r>
      <w:r w:rsidRPr="005B4EC8">
        <w:rPr>
          <w:rFonts w:cs="Angsana New"/>
          <w:snapToGrid w:val="0"/>
          <w:kern w:val="22"/>
          <w:sz w:val="22"/>
          <w:szCs w:val="22"/>
          <w:lang w:val="en-GB" w:eastAsia="zh-CN"/>
        </w:rPr>
        <w:tab/>
      </w:r>
    </w:p>
    <w:p w:rsidR="001152C0" w:rsidRPr="005B4EC8" w:rsidRDefault="001152C0" w:rsidP="001152C0">
      <w:pPr>
        <w:numPr>
          <w:ilvl w:val="0"/>
          <w:numId w:val="253"/>
        </w:numPr>
        <w:suppressLineNumbers/>
        <w:tabs>
          <w:tab w:val="left" w:pos="1440"/>
        </w:tabs>
        <w:suppressAutoHyphens/>
        <w:overflowPunct w:val="0"/>
        <w:autoSpaceDE w:val="0"/>
        <w:autoSpaceDN w:val="0"/>
        <w:adjustRightInd w:val="0"/>
        <w:snapToGrid w:val="0"/>
        <w:ind w:left="0" w:firstLine="720"/>
        <w:rPr>
          <w:rFonts w:cs="Angsana New"/>
          <w:snapToGrid w:val="0"/>
          <w:kern w:val="22"/>
          <w:lang w:val="en-GB" w:eastAsia="zh-CN"/>
        </w:rPr>
      </w:pPr>
      <w:r w:rsidRPr="005B4EC8">
        <w:rPr>
          <w:rFonts w:ascii="SimSun" w:hAnsi="SimSun" w:cs="SimSun" w:hint="eastAsia"/>
          <w:snapToGrid w:val="0"/>
          <w:kern w:val="22"/>
          <w:lang w:val="en-GB" w:eastAsia="zh-CN"/>
        </w:rPr>
        <w:t>继续努力改进和统一《公约》及其《议定书》国家报告用户界面和设计，包括在线报告工具，并向执行问题附属机构第三次会议报告所取得的进展；</w:t>
      </w:r>
    </w:p>
    <w:p w:rsidR="001152C0" w:rsidRPr="005B4EC8" w:rsidRDefault="001152C0" w:rsidP="001152C0">
      <w:pPr>
        <w:numPr>
          <w:ilvl w:val="0"/>
          <w:numId w:val="253"/>
        </w:numPr>
        <w:suppressLineNumbers/>
        <w:tabs>
          <w:tab w:val="left" w:pos="1440"/>
        </w:tabs>
        <w:suppressAutoHyphens/>
        <w:kinsoku w:val="0"/>
        <w:overflowPunct w:val="0"/>
        <w:autoSpaceDE w:val="0"/>
        <w:autoSpaceDN w:val="0"/>
        <w:adjustRightInd w:val="0"/>
        <w:snapToGrid w:val="0"/>
        <w:ind w:left="0" w:firstLine="720"/>
        <w:rPr>
          <w:rFonts w:cs="Angsana New"/>
          <w:snapToGrid w:val="0"/>
          <w:kern w:val="22"/>
          <w:lang w:val="en-GB" w:eastAsia="zh-CN"/>
        </w:rPr>
      </w:pPr>
      <w:r w:rsidRPr="005B4EC8">
        <w:rPr>
          <w:rFonts w:ascii="SimSun" w:hAnsi="SimSun" w:cs="SimSun" w:hint="eastAsia"/>
          <w:snapToGrid w:val="0"/>
          <w:kern w:val="22"/>
          <w:lang w:val="en-GB" w:eastAsia="zh-CN"/>
        </w:rPr>
        <w:t>借鉴从缔约方提交《公约》、《卡塔赫纳议定书》和《名古屋议定书》最新报告的经验和教训，特别是在促进报告进程的进一步协调统一方面；</w:t>
      </w:r>
      <w:r w:rsidRPr="005B4EC8">
        <w:rPr>
          <w:rFonts w:cs="Angsana New"/>
          <w:snapToGrid w:val="0"/>
          <w:kern w:val="22"/>
          <w:lang w:val="en-GB" w:eastAsia="zh-CN"/>
        </w:rPr>
        <w:t xml:space="preserve"> </w:t>
      </w:r>
    </w:p>
    <w:p w:rsidR="001152C0" w:rsidRPr="005B4EC8" w:rsidRDefault="001152C0" w:rsidP="001152C0">
      <w:pPr>
        <w:numPr>
          <w:ilvl w:val="0"/>
          <w:numId w:val="253"/>
        </w:numPr>
        <w:suppressLineNumbers/>
        <w:tabs>
          <w:tab w:val="left" w:pos="1440"/>
        </w:tabs>
        <w:suppressAutoHyphens/>
        <w:overflowPunct w:val="0"/>
        <w:autoSpaceDE w:val="0"/>
        <w:autoSpaceDN w:val="0"/>
        <w:adjustRightInd w:val="0"/>
        <w:snapToGrid w:val="0"/>
        <w:ind w:left="0" w:firstLine="720"/>
        <w:rPr>
          <w:rFonts w:cs="Angsana New"/>
          <w:snapToGrid w:val="0"/>
          <w:kern w:val="22"/>
          <w:lang w:val="en-GB" w:eastAsia="zh-CN"/>
        </w:rPr>
      </w:pPr>
      <w:r w:rsidRPr="005B4EC8">
        <w:rPr>
          <w:rFonts w:ascii="SimSun" w:hAnsi="SimSun" w:cs="SimSun" w:hint="eastAsia"/>
          <w:snapToGrid w:val="0"/>
          <w:kern w:val="22"/>
          <w:lang w:val="en-GB" w:eastAsia="zh-CN"/>
        </w:rPr>
        <w:t>在编制与</w:t>
      </w:r>
      <w:r w:rsidRPr="005B4EC8">
        <w:rPr>
          <w:snapToGrid w:val="0"/>
          <w:kern w:val="22"/>
          <w:lang w:val="en-GB" w:eastAsia="zh-CN"/>
        </w:rPr>
        <w:t>2020</w:t>
      </w:r>
      <w:r w:rsidRPr="005B4EC8">
        <w:rPr>
          <w:rFonts w:ascii="SimSun" w:hAnsi="SimSun" w:cs="SimSun" w:hint="eastAsia"/>
          <w:snapToGrid w:val="0"/>
          <w:kern w:val="22"/>
          <w:lang w:val="en-GB" w:eastAsia="zh-CN"/>
        </w:rPr>
        <w:t>年后全球生物多样性框架相关的文件时，确定统一《公约》及其《议定书》的国家报告的影响和备选办法；</w:t>
      </w:r>
    </w:p>
    <w:p w:rsidR="001152C0" w:rsidRPr="005B4EC8" w:rsidRDefault="001152C0" w:rsidP="001152C0">
      <w:pPr>
        <w:numPr>
          <w:ilvl w:val="0"/>
          <w:numId w:val="253"/>
        </w:numPr>
        <w:suppressLineNumbers/>
        <w:tabs>
          <w:tab w:val="left" w:pos="1440"/>
        </w:tabs>
        <w:suppressAutoHyphens/>
        <w:overflowPunct w:val="0"/>
        <w:autoSpaceDE w:val="0"/>
        <w:autoSpaceDN w:val="0"/>
        <w:adjustRightInd w:val="0"/>
        <w:snapToGrid w:val="0"/>
        <w:ind w:left="0" w:firstLine="720"/>
        <w:rPr>
          <w:rFonts w:cs="Angsana New"/>
          <w:snapToGrid w:val="0"/>
          <w:kern w:val="22"/>
          <w:lang w:val="en-GB" w:eastAsia="zh-CN"/>
        </w:rPr>
      </w:pPr>
      <w:r w:rsidRPr="005B4EC8">
        <w:rPr>
          <w:rFonts w:ascii="SimSun" w:hAnsi="SimSun" w:cs="SimSun" w:hint="eastAsia"/>
          <w:snapToGrid w:val="0"/>
          <w:kern w:val="22"/>
          <w:lang w:val="en-GB" w:eastAsia="zh-CN"/>
        </w:rPr>
        <w:t>与有关公约秘书处、生物多样性相关公约联络小组和里约公约联合联络小组协商，并根据关于生物多样性相关公约间协同作用问题非正式咨询小组的建议，主要通过以下办法，确定促进报告工作协同作用的具体行动：</w:t>
      </w:r>
    </w:p>
    <w:p w:rsidR="001152C0" w:rsidRPr="005B4EC8" w:rsidRDefault="001152C0" w:rsidP="001152C0">
      <w:pPr>
        <w:numPr>
          <w:ilvl w:val="1"/>
          <w:numId w:val="253"/>
        </w:numPr>
        <w:suppressLineNumbers/>
        <w:tabs>
          <w:tab w:val="left" w:pos="2160"/>
        </w:tabs>
        <w:suppressAutoHyphens/>
        <w:kinsoku w:val="0"/>
        <w:overflowPunct w:val="0"/>
        <w:autoSpaceDE w:val="0"/>
        <w:autoSpaceDN w:val="0"/>
        <w:adjustRightInd w:val="0"/>
        <w:snapToGrid w:val="0"/>
        <w:ind w:left="2160" w:hanging="720"/>
        <w:rPr>
          <w:rFonts w:cs="Angsana New"/>
          <w:snapToGrid w:val="0"/>
          <w:kern w:val="22"/>
          <w:szCs w:val="22"/>
          <w:lang w:val="en-GB" w:eastAsia="zh-CN"/>
        </w:rPr>
      </w:pPr>
      <w:r w:rsidRPr="005B4EC8">
        <w:rPr>
          <w:rFonts w:cs="Angsana New" w:hint="eastAsia"/>
          <w:snapToGrid w:val="0"/>
          <w:kern w:val="22"/>
          <w:szCs w:val="22"/>
          <w:lang w:val="en-GB" w:eastAsia="zh-CN"/>
        </w:rPr>
        <w:t>酌情使用通用指标；</w:t>
      </w:r>
      <w:r w:rsidRPr="005B4EC8">
        <w:rPr>
          <w:rFonts w:cs="Angsana New"/>
          <w:snapToGrid w:val="0"/>
          <w:kern w:val="22"/>
          <w:szCs w:val="22"/>
          <w:lang w:val="en-GB" w:eastAsia="zh-CN"/>
        </w:rPr>
        <w:t xml:space="preserve"> </w:t>
      </w:r>
    </w:p>
    <w:p w:rsidR="001152C0" w:rsidRPr="005B4EC8" w:rsidRDefault="001152C0" w:rsidP="001152C0">
      <w:pPr>
        <w:numPr>
          <w:ilvl w:val="1"/>
          <w:numId w:val="253"/>
        </w:numPr>
        <w:suppressLineNumbers/>
        <w:tabs>
          <w:tab w:val="left" w:pos="2160"/>
        </w:tabs>
        <w:suppressAutoHyphens/>
        <w:kinsoku w:val="0"/>
        <w:overflowPunct w:val="0"/>
        <w:autoSpaceDE w:val="0"/>
        <w:autoSpaceDN w:val="0"/>
        <w:adjustRightInd w:val="0"/>
        <w:snapToGrid w:val="0"/>
        <w:ind w:left="2160" w:hanging="720"/>
        <w:rPr>
          <w:rFonts w:cs="Angsana New"/>
          <w:snapToGrid w:val="0"/>
          <w:kern w:val="22"/>
          <w:szCs w:val="22"/>
          <w:lang w:val="en-GB" w:eastAsia="zh-CN"/>
        </w:rPr>
      </w:pPr>
      <w:r w:rsidRPr="005B4EC8">
        <w:rPr>
          <w:rFonts w:cs="Angsana New" w:hint="eastAsia"/>
          <w:snapToGrid w:val="0"/>
          <w:kern w:val="22"/>
          <w:szCs w:val="22"/>
          <w:lang w:val="en-GB" w:eastAsia="zh-CN"/>
        </w:rPr>
        <w:lastRenderedPageBreak/>
        <w:t>共同性问题的报告模式；</w:t>
      </w:r>
      <w:r w:rsidRPr="005B4EC8">
        <w:rPr>
          <w:rFonts w:cs="Angsana New"/>
          <w:snapToGrid w:val="0"/>
          <w:kern w:val="22"/>
          <w:szCs w:val="22"/>
          <w:lang w:val="en-GB" w:eastAsia="zh-CN"/>
        </w:rPr>
        <w:t xml:space="preserve"> </w:t>
      </w:r>
    </w:p>
    <w:p w:rsidR="001152C0" w:rsidRPr="005B4EC8" w:rsidRDefault="001152C0" w:rsidP="001152C0">
      <w:pPr>
        <w:numPr>
          <w:ilvl w:val="1"/>
          <w:numId w:val="253"/>
        </w:numPr>
        <w:suppressLineNumbers/>
        <w:tabs>
          <w:tab w:val="left" w:pos="2160"/>
        </w:tabs>
        <w:suppressAutoHyphens/>
        <w:kinsoku w:val="0"/>
        <w:overflowPunct w:val="0"/>
        <w:autoSpaceDE w:val="0"/>
        <w:autoSpaceDN w:val="0"/>
        <w:adjustRightInd w:val="0"/>
        <w:snapToGrid w:val="0"/>
        <w:ind w:left="2160" w:hanging="720"/>
        <w:rPr>
          <w:rFonts w:cs="Angsana New"/>
          <w:snapToGrid w:val="0"/>
          <w:kern w:val="22"/>
          <w:szCs w:val="22"/>
          <w:lang w:val="en-GB" w:eastAsia="zh-CN"/>
        </w:rPr>
      </w:pPr>
      <w:r w:rsidRPr="005B4EC8">
        <w:rPr>
          <w:rFonts w:cs="Angsana New" w:hint="eastAsia"/>
          <w:snapToGrid w:val="0"/>
          <w:kern w:val="22"/>
          <w:szCs w:val="22"/>
          <w:lang w:val="en-GB" w:eastAsia="zh-CN"/>
        </w:rPr>
        <w:t>信息管理和报告系统的兼容性；</w:t>
      </w:r>
    </w:p>
    <w:p w:rsidR="001152C0" w:rsidRPr="005B4EC8" w:rsidRDefault="001152C0" w:rsidP="001152C0">
      <w:pPr>
        <w:numPr>
          <w:ilvl w:val="1"/>
          <w:numId w:val="253"/>
        </w:numPr>
        <w:suppressLineNumbers/>
        <w:tabs>
          <w:tab w:val="left" w:pos="2160"/>
        </w:tabs>
        <w:suppressAutoHyphens/>
        <w:kinsoku w:val="0"/>
        <w:overflowPunct w:val="0"/>
        <w:autoSpaceDE w:val="0"/>
        <w:autoSpaceDN w:val="0"/>
        <w:adjustRightInd w:val="0"/>
        <w:snapToGrid w:val="0"/>
        <w:ind w:left="2160" w:hanging="720"/>
        <w:rPr>
          <w:rFonts w:cs="Angsana New"/>
          <w:snapToGrid w:val="0"/>
          <w:kern w:val="22"/>
          <w:szCs w:val="22"/>
          <w:lang w:val="en-GB" w:eastAsia="zh-CN"/>
        </w:rPr>
      </w:pPr>
      <w:r w:rsidRPr="005B4EC8">
        <w:rPr>
          <w:rFonts w:cs="Angsana New" w:hint="eastAsia"/>
          <w:snapToGrid w:val="0"/>
          <w:kern w:val="22"/>
          <w:szCs w:val="22"/>
          <w:lang w:val="en-GB" w:eastAsia="zh-CN"/>
        </w:rPr>
        <w:t>加强生物多样性相关公约和里约公约之间国家报告</w:t>
      </w:r>
      <w:r>
        <w:rPr>
          <w:rFonts w:cs="Angsana New" w:hint="eastAsia"/>
          <w:snapToGrid w:val="0"/>
          <w:kern w:val="22"/>
          <w:szCs w:val="22"/>
          <w:lang w:val="en-GB" w:eastAsia="zh-CN"/>
        </w:rPr>
        <w:t>工作</w:t>
      </w:r>
      <w:r>
        <w:rPr>
          <w:rFonts w:cs="Angsana New"/>
          <w:snapToGrid w:val="0"/>
          <w:kern w:val="22"/>
          <w:szCs w:val="22"/>
          <w:lang w:val="en-GB" w:eastAsia="zh-CN"/>
        </w:rPr>
        <w:t>的</w:t>
      </w:r>
      <w:r w:rsidRPr="005B4EC8">
        <w:rPr>
          <w:rFonts w:cs="Angsana New" w:hint="eastAsia"/>
          <w:snapToGrid w:val="0"/>
          <w:kern w:val="22"/>
          <w:szCs w:val="22"/>
          <w:lang w:val="en-GB" w:eastAsia="zh-CN"/>
        </w:rPr>
        <w:t>协同作用</w:t>
      </w:r>
      <w:r>
        <w:rPr>
          <w:rFonts w:cs="Angsana New" w:hint="eastAsia"/>
          <w:snapToGrid w:val="0"/>
          <w:kern w:val="22"/>
          <w:szCs w:val="22"/>
          <w:lang w:val="en-GB" w:eastAsia="zh-CN"/>
        </w:rPr>
        <w:t>的</w:t>
      </w:r>
      <w:r>
        <w:rPr>
          <w:rFonts w:cs="Angsana New"/>
          <w:snapToGrid w:val="0"/>
          <w:kern w:val="22"/>
          <w:szCs w:val="22"/>
          <w:lang w:val="en-GB" w:eastAsia="zh-CN"/>
        </w:rPr>
        <w:t>其他备选办法</w:t>
      </w:r>
      <w:r w:rsidRPr="005B4EC8">
        <w:rPr>
          <w:rFonts w:cs="Angsana New" w:hint="eastAsia"/>
          <w:snapToGrid w:val="0"/>
          <w:kern w:val="22"/>
          <w:szCs w:val="22"/>
          <w:lang w:val="en-GB" w:eastAsia="zh-CN"/>
        </w:rPr>
        <w:t>；</w:t>
      </w:r>
      <w:r w:rsidRPr="005B4EC8">
        <w:rPr>
          <w:rFonts w:cs="Angsana New"/>
          <w:snapToGrid w:val="0"/>
          <w:kern w:val="22"/>
          <w:szCs w:val="22"/>
          <w:lang w:val="en-GB" w:eastAsia="zh-CN"/>
        </w:rPr>
        <w:t xml:space="preserve"> </w:t>
      </w:r>
    </w:p>
    <w:p w:rsidR="001152C0" w:rsidRPr="005B4EC8" w:rsidRDefault="001152C0" w:rsidP="001152C0">
      <w:pPr>
        <w:suppressLineNumbers/>
        <w:suppressAutoHyphens/>
        <w:kinsoku w:val="0"/>
        <w:overflowPunct w:val="0"/>
        <w:autoSpaceDE w:val="0"/>
        <w:autoSpaceDN w:val="0"/>
        <w:adjustRightInd w:val="0"/>
        <w:snapToGrid w:val="0"/>
        <w:rPr>
          <w:rFonts w:cs="Angsana New"/>
          <w:snapToGrid w:val="0"/>
          <w:kern w:val="22"/>
          <w:szCs w:val="22"/>
          <w:lang w:val="en-GB" w:eastAsia="zh-CN"/>
        </w:rPr>
      </w:pPr>
      <w:r w:rsidRPr="005B4EC8">
        <w:rPr>
          <w:rFonts w:cs="Angsana New" w:hint="eastAsia"/>
          <w:snapToGrid w:val="0"/>
          <w:kern w:val="22"/>
          <w:szCs w:val="22"/>
          <w:lang w:val="en-GB" w:eastAsia="zh-CN"/>
        </w:rPr>
        <w:t>并评估这些行动所涉资金问题，</w:t>
      </w:r>
      <w:r w:rsidRPr="005B4EC8">
        <w:rPr>
          <w:rFonts w:cs="Angsana New" w:hint="eastAsia"/>
          <w:snapToGrid w:val="0"/>
          <w:spacing w:val="20"/>
          <w:kern w:val="22"/>
          <w:szCs w:val="22"/>
          <w:lang w:val="en-GB" w:eastAsia="zh-CN"/>
        </w:rPr>
        <w:t>向执行问题附属机构第三次会议提交报告</w:t>
      </w:r>
      <w:r w:rsidRPr="005B4EC8">
        <w:rPr>
          <w:rFonts w:cs="Angsana New" w:hint="eastAsia"/>
          <w:snapToGrid w:val="0"/>
          <w:kern w:val="22"/>
          <w:szCs w:val="22"/>
          <w:lang w:val="en-GB" w:eastAsia="zh-CN"/>
        </w:rPr>
        <w:t>；</w:t>
      </w:r>
      <w:r w:rsidRPr="005B4EC8" w:rsidDel="002D4E43">
        <w:rPr>
          <w:rFonts w:cs="Angsana New"/>
          <w:snapToGrid w:val="0"/>
          <w:kern w:val="22"/>
          <w:szCs w:val="22"/>
          <w:lang w:val="en-GB" w:eastAsia="zh-CN"/>
        </w:rPr>
        <w:t xml:space="preserve"> </w:t>
      </w:r>
    </w:p>
    <w:p w:rsidR="001152C0" w:rsidRPr="005B4EC8" w:rsidRDefault="001152C0" w:rsidP="001152C0">
      <w:pPr>
        <w:numPr>
          <w:ilvl w:val="0"/>
          <w:numId w:val="253"/>
        </w:numPr>
        <w:suppressLineNumbers/>
        <w:tabs>
          <w:tab w:val="left" w:pos="1440"/>
        </w:tabs>
        <w:suppressAutoHyphens/>
        <w:overflowPunct w:val="0"/>
        <w:autoSpaceDE w:val="0"/>
        <w:autoSpaceDN w:val="0"/>
        <w:adjustRightInd w:val="0"/>
        <w:snapToGrid w:val="0"/>
        <w:ind w:left="0" w:firstLine="720"/>
        <w:rPr>
          <w:rFonts w:ascii="SimSun" w:hAnsi="SimSun" w:cs="SimSun"/>
          <w:snapToGrid w:val="0"/>
          <w:kern w:val="22"/>
          <w:lang w:val="en-GB" w:eastAsia="zh-CN"/>
        </w:rPr>
      </w:pPr>
      <w:r w:rsidRPr="005B4EC8">
        <w:rPr>
          <w:rFonts w:ascii="SimSun" w:hAnsi="SimSun" w:cs="SimSun" w:hint="eastAsia"/>
          <w:snapToGrid w:val="0"/>
          <w:kern w:val="22"/>
          <w:lang w:val="en-GB" w:eastAsia="zh-CN"/>
        </w:rPr>
        <w:t>继续推动《</w:t>
      </w:r>
      <w:r w:rsidRPr="007D0BA6">
        <w:rPr>
          <w:snapToGrid w:val="0"/>
          <w:kern w:val="22"/>
          <w:lang w:val="en-GB" w:eastAsia="zh-CN"/>
        </w:rPr>
        <w:t>2030</w:t>
      </w:r>
      <w:r w:rsidRPr="005B4EC8">
        <w:rPr>
          <w:rFonts w:ascii="SimSun" w:hAnsi="SimSun" w:cs="SimSun" w:hint="eastAsia"/>
          <w:snapToGrid w:val="0"/>
          <w:kern w:val="22"/>
          <w:lang w:val="en-GB" w:eastAsia="zh-CN"/>
        </w:rPr>
        <w:t>年可持续发展议程》</w:t>
      </w:r>
      <w:r w:rsidRPr="005B4EC8">
        <w:rPr>
          <w:snapToGrid w:val="0"/>
          <w:vertAlign w:val="superscript"/>
          <w:lang w:val="en-GB" w:eastAsia="zh-CN"/>
        </w:rPr>
        <w:footnoteReference w:id="285"/>
      </w:r>
      <w:r w:rsidRPr="005B4EC8">
        <w:rPr>
          <w:snapToGrid w:val="0"/>
          <w:kern w:val="22"/>
          <w:lang w:val="en-GB" w:eastAsia="zh-CN"/>
        </w:rPr>
        <w:t xml:space="preserve"> </w:t>
      </w:r>
      <w:r w:rsidRPr="005B4EC8">
        <w:rPr>
          <w:rFonts w:ascii="SimSun" w:hAnsi="SimSun" w:cs="SimSun" w:hint="eastAsia"/>
          <w:snapToGrid w:val="0"/>
          <w:kern w:val="22"/>
          <w:lang w:val="en-GB" w:eastAsia="zh-CN"/>
        </w:rPr>
        <w:t>的监测进程，</w:t>
      </w:r>
      <w:r>
        <w:rPr>
          <w:rFonts w:ascii="SimSun" w:hAnsi="SimSun" w:cs="SimSun" w:hint="eastAsia"/>
          <w:snapToGrid w:val="0"/>
          <w:kern w:val="22"/>
          <w:lang w:val="en-GB" w:eastAsia="zh-CN"/>
        </w:rPr>
        <w:t>并</w:t>
      </w:r>
      <w:r w:rsidRPr="005B4EC8">
        <w:rPr>
          <w:rFonts w:ascii="SimSun" w:hAnsi="SimSun" w:cs="SimSun" w:hint="eastAsia"/>
          <w:snapToGrid w:val="0"/>
          <w:kern w:val="22"/>
          <w:lang w:val="en-GB" w:eastAsia="zh-CN"/>
        </w:rPr>
        <w:t>探讨与可持续发展目标的相关报告系统和工具的协同作用，包括在方法方面；</w:t>
      </w:r>
      <w:r w:rsidRPr="005B4EC8">
        <w:rPr>
          <w:rFonts w:ascii="SimSun" w:hAnsi="SimSun" w:cs="SimSun"/>
          <w:snapToGrid w:val="0"/>
          <w:kern w:val="22"/>
          <w:lang w:val="en-GB" w:eastAsia="zh-CN"/>
        </w:rPr>
        <w:t xml:space="preserve">     </w:t>
      </w:r>
    </w:p>
    <w:p w:rsidR="001152C0" w:rsidRPr="005B4EC8" w:rsidRDefault="001152C0" w:rsidP="001152C0">
      <w:pPr>
        <w:numPr>
          <w:ilvl w:val="0"/>
          <w:numId w:val="253"/>
        </w:numPr>
        <w:suppressLineNumbers/>
        <w:tabs>
          <w:tab w:val="left" w:pos="1440"/>
        </w:tabs>
        <w:suppressAutoHyphens/>
        <w:overflowPunct w:val="0"/>
        <w:autoSpaceDE w:val="0"/>
        <w:autoSpaceDN w:val="0"/>
        <w:adjustRightInd w:val="0"/>
        <w:snapToGrid w:val="0"/>
        <w:ind w:left="0" w:firstLine="720"/>
        <w:rPr>
          <w:rFonts w:ascii="SimSun" w:hAnsi="SimSun" w:cs="SimSun"/>
          <w:snapToGrid w:val="0"/>
          <w:kern w:val="22"/>
          <w:lang w:val="en-GB" w:eastAsia="zh-CN"/>
        </w:rPr>
      </w:pPr>
      <w:r w:rsidRPr="005B4EC8">
        <w:rPr>
          <w:rFonts w:ascii="SimSun" w:hAnsi="SimSun" w:cs="SimSun" w:hint="eastAsia"/>
          <w:snapToGrid w:val="0"/>
          <w:kern w:val="22"/>
          <w:lang w:val="en-GB" w:eastAsia="zh-CN"/>
        </w:rPr>
        <w:t>与</w:t>
      </w:r>
      <w:r w:rsidRPr="005B4EC8">
        <w:rPr>
          <w:rFonts w:ascii="SimSun" w:hAnsi="SimSun" w:cs="Segoe UI" w:hint="eastAsia"/>
          <w:snapToGrid w:val="0"/>
          <w:color w:val="000000"/>
          <w:lang w:val="en-GB" w:eastAsia="zh-CN"/>
        </w:rPr>
        <w:t>多边环境协定信息门户</w:t>
      </w:r>
      <w:r w:rsidRPr="005B4EC8">
        <w:rPr>
          <w:rFonts w:ascii="SimSun" w:hAnsi="SimSun" w:cs="SimSun" w:hint="eastAsia"/>
          <w:snapToGrid w:val="0"/>
          <w:kern w:val="22"/>
          <w:lang w:val="en-GB" w:eastAsia="zh-CN"/>
        </w:rPr>
        <w:t>倡议</w:t>
      </w:r>
      <w:r>
        <w:rPr>
          <w:rFonts w:ascii="SimSun" w:hAnsi="SimSun" w:cs="SimSun" w:hint="eastAsia"/>
          <w:snapToGrid w:val="0"/>
          <w:kern w:val="22"/>
          <w:lang w:val="en-GB" w:eastAsia="zh-CN"/>
        </w:rPr>
        <w:t>合作</w:t>
      </w:r>
      <w:r w:rsidRPr="005B4EC8">
        <w:rPr>
          <w:rFonts w:ascii="SimSun" w:hAnsi="SimSun" w:cs="SimSun" w:hint="eastAsia"/>
          <w:snapToGrid w:val="0"/>
          <w:kern w:val="22"/>
          <w:lang w:val="en-GB" w:eastAsia="zh-CN"/>
        </w:rPr>
        <w:t>，协助开发、测试、推广数据和报告工具，同时顾及编制提交《公约》的第六次国家报</w:t>
      </w:r>
      <w:r>
        <w:rPr>
          <w:rFonts w:ascii="SimSun" w:hAnsi="SimSun" w:cs="SimSun" w:hint="eastAsia"/>
          <w:snapToGrid w:val="0"/>
          <w:kern w:val="22"/>
          <w:lang w:val="en-GB" w:eastAsia="zh-CN"/>
        </w:rPr>
        <w:t>告的经验，以便酌情促进各生物多样性相关公约使用该数据和报告工具；</w:t>
      </w:r>
    </w:p>
    <w:p w:rsidR="001152C0" w:rsidRPr="005B4EC8" w:rsidRDefault="001152C0" w:rsidP="001152C0">
      <w:pPr>
        <w:numPr>
          <w:ilvl w:val="0"/>
          <w:numId w:val="253"/>
        </w:numPr>
        <w:suppressLineNumbers/>
        <w:tabs>
          <w:tab w:val="left" w:pos="1440"/>
        </w:tabs>
        <w:suppressAutoHyphens/>
        <w:overflowPunct w:val="0"/>
        <w:autoSpaceDE w:val="0"/>
        <w:autoSpaceDN w:val="0"/>
        <w:adjustRightInd w:val="0"/>
        <w:snapToGrid w:val="0"/>
        <w:ind w:left="0" w:firstLine="720"/>
        <w:rPr>
          <w:rFonts w:ascii="SimSun" w:hAnsi="SimSun" w:cs="SimSun"/>
          <w:snapToGrid w:val="0"/>
          <w:kern w:val="22"/>
          <w:lang w:val="en-GB" w:eastAsia="zh-CN"/>
        </w:rPr>
      </w:pPr>
      <w:r w:rsidRPr="005B4EC8">
        <w:rPr>
          <w:rFonts w:ascii="SimSun" w:hAnsi="SimSun" w:cs="SimSun" w:hint="eastAsia"/>
          <w:snapToGrid w:val="0"/>
          <w:kern w:val="22"/>
          <w:lang w:val="en-GB" w:eastAsia="zh-CN"/>
        </w:rPr>
        <w:t>评价各缔约方使用在线报告工具提交第六次国家报告、《名古屋议定书》临时国家报告以及《卡塔赫纳议定书》国家报告的情况，探讨与相关公约秘书处所用报告系统的统一问题并向执行问题附属机构第三次会议提交报告；</w:t>
      </w:r>
    </w:p>
    <w:p w:rsidR="001152C0" w:rsidRPr="005B4EC8" w:rsidRDefault="001152C0" w:rsidP="001152C0">
      <w:pPr>
        <w:numPr>
          <w:ilvl w:val="0"/>
          <w:numId w:val="253"/>
        </w:numPr>
        <w:suppressLineNumbers/>
        <w:tabs>
          <w:tab w:val="left" w:pos="1440"/>
        </w:tabs>
        <w:suppressAutoHyphens/>
        <w:overflowPunct w:val="0"/>
        <w:autoSpaceDE w:val="0"/>
        <w:autoSpaceDN w:val="0"/>
        <w:adjustRightInd w:val="0"/>
        <w:snapToGrid w:val="0"/>
        <w:ind w:left="0" w:firstLine="720"/>
        <w:rPr>
          <w:rFonts w:ascii="SimSun" w:hAnsi="SimSun" w:cs="SimSun"/>
          <w:snapToGrid w:val="0"/>
          <w:kern w:val="22"/>
          <w:lang w:val="en-GB" w:eastAsia="zh-CN"/>
        </w:rPr>
      </w:pPr>
      <w:r w:rsidRPr="005B4EC8">
        <w:rPr>
          <w:rFonts w:ascii="SimSun" w:hAnsi="SimSun" w:cs="SimSun" w:hint="eastAsia"/>
          <w:snapToGrid w:val="0"/>
          <w:kern w:val="22"/>
          <w:lang w:val="en-GB" w:eastAsia="zh-CN"/>
        </w:rPr>
        <w:t>继续提供使用工具编制和提交国家报告方面的能力建设；</w:t>
      </w:r>
      <w:r w:rsidRPr="005B4EC8">
        <w:rPr>
          <w:rFonts w:ascii="SimSun" w:hAnsi="SimSun" w:cs="SimSun"/>
          <w:snapToGrid w:val="0"/>
          <w:kern w:val="22"/>
          <w:lang w:val="en-GB" w:eastAsia="zh-CN"/>
        </w:rPr>
        <w:t xml:space="preserve"> </w:t>
      </w:r>
      <w:r>
        <w:rPr>
          <w:rFonts w:ascii="SimSun" w:hAnsi="SimSun" w:cs="SimSun"/>
          <w:snapToGrid w:val="0"/>
          <w:kern w:val="22"/>
          <w:lang w:val="en-GB" w:eastAsia="zh-CN"/>
        </w:rPr>
        <w:t xml:space="preserve"> </w:t>
      </w:r>
    </w:p>
    <w:p w:rsidR="001152C0" w:rsidRPr="005B4EC8" w:rsidRDefault="001152C0" w:rsidP="001152C0">
      <w:pPr>
        <w:numPr>
          <w:ilvl w:val="0"/>
          <w:numId w:val="253"/>
        </w:numPr>
        <w:suppressLineNumbers/>
        <w:tabs>
          <w:tab w:val="left" w:pos="1440"/>
        </w:tabs>
        <w:suppressAutoHyphens/>
        <w:overflowPunct w:val="0"/>
        <w:autoSpaceDE w:val="0"/>
        <w:autoSpaceDN w:val="0"/>
        <w:adjustRightInd w:val="0"/>
        <w:snapToGrid w:val="0"/>
        <w:ind w:left="0" w:firstLine="720"/>
        <w:rPr>
          <w:rFonts w:ascii="SimSun" w:hAnsi="SimSun" w:cs="SimSun"/>
          <w:snapToGrid w:val="0"/>
          <w:kern w:val="22"/>
          <w:lang w:val="en-GB" w:eastAsia="zh-CN"/>
        </w:rPr>
      </w:pPr>
      <w:r w:rsidRPr="005B4EC8">
        <w:rPr>
          <w:rFonts w:ascii="SimSun" w:hAnsi="SimSun" w:cs="SimSun" w:hint="eastAsia"/>
          <w:snapToGrid w:val="0"/>
          <w:kern w:val="22"/>
          <w:lang w:val="en-GB" w:eastAsia="zh-CN"/>
        </w:rPr>
        <w:t>与相关合作伙伴</w:t>
      </w:r>
      <w:r>
        <w:rPr>
          <w:rFonts w:ascii="SimSun" w:hAnsi="SimSun" w:cs="SimSun" w:hint="eastAsia"/>
          <w:snapToGrid w:val="0"/>
          <w:kern w:val="22"/>
          <w:lang w:val="en-GB" w:eastAsia="zh-CN"/>
        </w:rPr>
        <w:t>合作</w:t>
      </w:r>
      <w:r w:rsidRPr="005B4EC8">
        <w:rPr>
          <w:rFonts w:ascii="SimSun" w:hAnsi="SimSun" w:cs="SimSun" w:hint="eastAsia"/>
          <w:snapToGrid w:val="0"/>
          <w:kern w:val="22"/>
          <w:lang w:val="en-GB" w:eastAsia="zh-CN"/>
        </w:rPr>
        <w:t>，向</w:t>
      </w:r>
      <w:r>
        <w:rPr>
          <w:rFonts w:ascii="SimSun" w:hAnsi="SimSun" w:cs="SimSun" w:hint="eastAsia"/>
          <w:snapToGrid w:val="0"/>
          <w:kern w:val="22"/>
          <w:lang w:val="en-GB" w:eastAsia="zh-CN"/>
        </w:rPr>
        <w:t>各</w:t>
      </w:r>
      <w:r w:rsidRPr="005B4EC8">
        <w:rPr>
          <w:rFonts w:ascii="SimSun" w:hAnsi="SimSun" w:cs="SimSun" w:hint="eastAsia"/>
          <w:snapToGrid w:val="0"/>
          <w:kern w:val="22"/>
          <w:lang w:val="en-GB" w:eastAsia="zh-CN"/>
        </w:rPr>
        <w:t>缔约方提供关于生物多样性时空数据来源的指导意见，以支持国家报告进展评估中的分析。</w:t>
      </w:r>
    </w:p>
    <w:p w:rsidR="001152C0" w:rsidRDefault="001152C0">
      <w:pPr>
        <w:rPr>
          <w:b/>
          <w:bCs/>
          <w:noProof/>
          <w:kern w:val="22"/>
          <w:szCs w:val="32"/>
          <w:lang w:eastAsia="zh-CN"/>
        </w:rPr>
      </w:pPr>
      <w:r>
        <w:rPr>
          <w:noProof/>
          <w:kern w:val="22"/>
          <w:lang w:eastAsia="zh-CN"/>
        </w:rPr>
        <w:br w:type="page"/>
      </w:r>
    </w:p>
    <w:p w:rsidR="001152C0" w:rsidRPr="001152C0" w:rsidRDefault="001152C0" w:rsidP="001152C0">
      <w:pPr>
        <w:pStyle w:val="Heading1"/>
        <w:tabs>
          <w:tab w:val="left" w:pos="2340"/>
        </w:tabs>
        <w:spacing w:before="120" w:after="120"/>
        <w:ind w:left="2340" w:right="1209" w:hanging="900"/>
        <w:jc w:val="left"/>
        <w:rPr>
          <w:rFonts w:eastAsiaTheme="minorEastAsia" w:cs="Times New Roman"/>
          <w:noProof/>
          <w:kern w:val="22"/>
          <w:sz w:val="24"/>
          <w:lang w:eastAsia="zh-CN"/>
        </w:rPr>
      </w:pPr>
      <w:bookmarkStart w:id="213" w:name="_Toc6243789"/>
      <w:r w:rsidRPr="001152C0">
        <w:rPr>
          <w:rFonts w:eastAsiaTheme="minorEastAsia" w:cs="Times New Roman"/>
          <w:noProof/>
          <w:kern w:val="22"/>
          <w:sz w:val="24"/>
          <w:lang w:eastAsia="zh-CN"/>
        </w:rPr>
        <w:lastRenderedPageBreak/>
        <w:t>14/28.</w:t>
      </w:r>
      <w:r w:rsidRPr="001152C0">
        <w:rPr>
          <w:rFonts w:eastAsiaTheme="minorEastAsia" w:cs="Times New Roman"/>
          <w:noProof/>
          <w:kern w:val="22"/>
          <w:sz w:val="24"/>
          <w:lang w:eastAsia="zh-CN"/>
        </w:rPr>
        <w:tab/>
      </w:r>
      <w:r w:rsidRPr="001152C0">
        <w:rPr>
          <w:rFonts w:eastAsiaTheme="minorEastAsia" w:cs="Times New Roman"/>
          <w:noProof/>
          <w:kern w:val="22"/>
          <w:sz w:val="24"/>
          <w:lang w:eastAsia="zh-CN"/>
        </w:rPr>
        <w:t>评估执行《</w:t>
      </w:r>
      <w:r w:rsidRPr="001152C0">
        <w:rPr>
          <w:rFonts w:eastAsiaTheme="minorEastAsia" w:cs="Times New Roman"/>
          <w:noProof/>
          <w:kern w:val="22"/>
          <w:sz w:val="24"/>
          <w:lang w:eastAsia="zh-CN"/>
        </w:rPr>
        <w:t>2011-2020</w:t>
      </w:r>
      <w:r w:rsidRPr="001152C0">
        <w:rPr>
          <w:rFonts w:eastAsiaTheme="minorEastAsia" w:cs="Times New Roman"/>
          <w:noProof/>
          <w:kern w:val="22"/>
          <w:sz w:val="24"/>
          <w:lang w:eastAsia="zh-CN"/>
        </w:rPr>
        <w:t>年生物多样性战略计划》的政策手段成效的工具</w:t>
      </w:r>
      <w:bookmarkEnd w:id="213"/>
      <w:r w:rsidRPr="001152C0">
        <w:rPr>
          <w:rFonts w:eastAsiaTheme="minorEastAsia" w:cs="Times New Roman"/>
          <w:noProof/>
          <w:kern w:val="22"/>
          <w:sz w:val="24"/>
          <w:lang w:eastAsia="zh-CN"/>
        </w:rPr>
        <w:t xml:space="preserve"> </w:t>
      </w:r>
    </w:p>
    <w:p w:rsidR="001152C0" w:rsidRPr="00656435" w:rsidRDefault="001152C0" w:rsidP="001152C0">
      <w:pPr>
        <w:keepNext/>
        <w:suppressLineNumbers/>
        <w:suppressAutoHyphens/>
        <w:adjustRightInd w:val="0"/>
        <w:snapToGrid w:val="0"/>
        <w:rPr>
          <w:rFonts w:ascii="KaiTi" w:eastAsia="KaiTi" w:hAnsi="KaiTi" w:cs="Angsana New"/>
          <w:iCs/>
          <w:kern w:val="22"/>
          <w:lang w:val="en-GB" w:eastAsia="nl-BE"/>
        </w:rPr>
      </w:pPr>
      <w:r w:rsidRPr="00656435">
        <w:rPr>
          <w:rFonts w:ascii="KaiTi" w:eastAsia="KaiTi" w:hAnsi="KaiTi" w:cs="SimSun" w:hint="eastAsia"/>
          <w:iCs/>
          <w:kern w:val="22"/>
          <w:lang w:val="en-GB" w:eastAsia="nl-BE"/>
        </w:rPr>
        <w:t>缔约方大会，</w:t>
      </w:r>
    </w:p>
    <w:p w:rsidR="001152C0" w:rsidRPr="00656435" w:rsidRDefault="001152C0" w:rsidP="001152C0">
      <w:pPr>
        <w:adjustRightInd w:val="0"/>
        <w:snapToGrid w:val="0"/>
        <w:rPr>
          <w:rFonts w:cs="Angsana New"/>
          <w:bCs/>
          <w:iCs/>
          <w:kern w:val="22"/>
          <w:lang w:val="en-GB" w:eastAsia="zh-CN"/>
        </w:rPr>
      </w:pPr>
      <w:r w:rsidRPr="00656435">
        <w:rPr>
          <w:rFonts w:eastAsia="KaiTi" w:cs="Angsana New"/>
          <w:bCs/>
          <w:lang w:val="en-GB" w:eastAsia="zh-CN"/>
        </w:rPr>
        <w:t>回顾</w:t>
      </w:r>
      <w:r w:rsidRPr="00656435">
        <w:rPr>
          <w:rFonts w:cs="Angsana New" w:hint="eastAsia"/>
          <w:bCs/>
          <w:lang w:val="en-GB" w:eastAsia="zh-CN"/>
        </w:rPr>
        <w:t>第</w:t>
      </w:r>
      <w:r w:rsidRPr="00656435">
        <w:rPr>
          <w:rFonts w:cs="Angsana New"/>
          <w:bCs/>
          <w:lang w:eastAsia="zh-CN"/>
        </w:rPr>
        <w:t xml:space="preserve"> </w:t>
      </w:r>
      <w:hyperlink r:id="rId79" w:history="1">
        <w:r w:rsidRPr="00656435">
          <w:rPr>
            <w:rFonts w:cs="Angsana New"/>
            <w:bCs/>
            <w:iCs/>
            <w:color w:val="0000FF"/>
            <w:kern w:val="22"/>
            <w:u w:val="single"/>
            <w:lang w:val="en-GB" w:eastAsia="zh-CN"/>
          </w:rPr>
          <w:t>XIII/1</w:t>
        </w:r>
      </w:hyperlink>
      <w:r w:rsidRPr="00656435">
        <w:rPr>
          <w:rFonts w:cs="Angsana New" w:hint="eastAsia"/>
          <w:bCs/>
          <w:iCs/>
          <w:kern w:val="22"/>
          <w:lang w:val="en-GB" w:eastAsia="zh-CN"/>
        </w:rPr>
        <w:t>号决定第</w:t>
      </w:r>
      <w:r w:rsidRPr="00656435">
        <w:rPr>
          <w:rFonts w:cs="Angsana New"/>
          <w:bCs/>
          <w:iCs/>
          <w:kern w:val="22"/>
          <w:lang w:val="en-GB" w:eastAsia="zh-CN"/>
        </w:rPr>
        <w:t>29</w:t>
      </w:r>
      <w:r w:rsidRPr="00656435">
        <w:rPr>
          <w:rFonts w:cs="Angsana New"/>
          <w:bCs/>
          <w:iCs/>
          <w:kern w:val="22"/>
          <w:lang w:val="en-GB" w:eastAsia="zh-CN"/>
        </w:rPr>
        <w:t>和</w:t>
      </w:r>
      <w:r>
        <w:rPr>
          <w:rFonts w:cs="Angsana New" w:hint="eastAsia"/>
          <w:bCs/>
          <w:iCs/>
          <w:kern w:val="22"/>
          <w:lang w:val="en-GB" w:eastAsia="zh-CN"/>
        </w:rPr>
        <w:t>第</w:t>
      </w:r>
      <w:r w:rsidRPr="00656435">
        <w:rPr>
          <w:rFonts w:cs="Angsana New"/>
          <w:bCs/>
          <w:iCs/>
          <w:kern w:val="22"/>
          <w:lang w:val="en-GB" w:eastAsia="zh-CN"/>
        </w:rPr>
        <w:t>30</w:t>
      </w:r>
      <w:r w:rsidRPr="00656435">
        <w:rPr>
          <w:rFonts w:cs="Angsana New"/>
          <w:bCs/>
          <w:iCs/>
          <w:kern w:val="22"/>
          <w:lang w:val="en-GB" w:eastAsia="zh-CN"/>
        </w:rPr>
        <w:t>段，</w:t>
      </w:r>
      <w:r w:rsidRPr="00656435">
        <w:rPr>
          <w:rFonts w:cs="Angsana New" w:hint="eastAsia"/>
          <w:bCs/>
          <w:iCs/>
          <w:kern w:val="22"/>
          <w:lang w:val="en-GB" w:eastAsia="zh-CN"/>
        </w:rPr>
        <w:t xml:space="preserve"> </w:t>
      </w:r>
    </w:p>
    <w:p w:rsidR="001152C0" w:rsidRPr="00656435" w:rsidRDefault="001152C0" w:rsidP="001152C0">
      <w:pPr>
        <w:numPr>
          <w:ilvl w:val="0"/>
          <w:numId w:val="254"/>
        </w:numPr>
        <w:tabs>
          <w:tab w:val="left" w:pos="1440"/>
        </w:tabs>
        <w:adjustRightInd w:val="0"/>
        <w:snapToGrid w:val="0"/>
        <w:ind w:left="0" w:firstLine="720"/>
        <w:rPr>
          <w:rFonts w:cs="Angsana New"/>
          <w:bCs/>
          <w:kern w:val="22"/>
          <w:lang w:val="en-GB" w:eastAsia="zh-CN"/>
        </w:rPr>
      </w:pPr>
      <w:r w:rsidRPr="00656435">
        <w:rPr>
          <w:rFonts w:eastAsia="KaiTi" w:cs="Angsana New"/>
          <w:bCs/>
          <w:lang w:val="en-GB" w:eastAsia="zh-CN"/>
        </w:rPr>
        <w:t>强调</w:t>
      </w:r>
      <w:r w:rsidRPr="00656435">
        <w:rPr>
          <w:rFonts w:cs="Angsana New"/>
          <w:bCs/>
          <w:lang w:val="en-GB" w:eastAsia="zh-CN"/>
        </w:rPr>
        <w:t>正确</w:t>
      </w:r>
      <w:r w:rsidRPr="00656435">
        <w:rPr>
          <w:rFonts w:cs="Angsana New"/>
          <w:bCs/>
          <w:iCs/>
          <w:kern w:val="22"/>
          <w:lang w:val="en-GB" w:eastAsia="zh-CN"/>
        </w:rPr>
        <w:t>评价支持</w:t>
      </w:r>
      <w:r w:rsidRPr="00656435">
        <w:rPr>
          <w:rFonts w:cs="Angsana New"/>
          <w:bCs/>
          <w:lang w:val="en-GB" w:eastAsia="zh-CN"/>
        </w:rPr>
        <w:t>执行</w:t>
      </w:r>
      <w:r w:rsidRPr="00656435">
        <w:rPr>
          <w:rFonts w:cs="Angsana New"/>
          <w:bCs/>
          <w:iCs/>
          <w:kern w:val="22"/>
          <w:lang w:val="en-GB" w:eastAsia="zh-CN"/>
        </w:rPr>
        <w:t>《公约》和</w:t>
      </w:r>
      <w:r w:rsidRPr="00656435">
        <w:rPr>
          <w:rFonts w:cs="Angsana New"/>
          <w:bCs/>
          <w:kern w:val="22"/>
          <w:lang w:val="en-GB" w:eastAsia="zh-CN"/>
        </w:rPr>
        <w:t>《</w:t>
      </w:r>
      <w:r w:rsidRPr="00656435">
        <w:rPr>
          <w:rFonts w:cs="Angsana New"/>
          <w:bCs/>
          <w:kern w:val="22"/>
          <w:lang w:val="en-GB" w:eastAsia="zh-CN"/>
        </w:rPr>
        <w:t>2011-2020</w:t>
      </w:r>
      <w:r w:rsidRPr="00656435">
        <w:rPr>
          <w:rFonts w:cs="Angsana New"/>
          <w:bCs/>
          <w:kern w:val="22"/>
          <w:lang w:val="en-GB" w:eastAsia="zh-CN"/>
        </w:rPr>
        <w:t>年生物多样性战略计划》</w:t>
      </w:r>
      <w:r w:rsidRPr="00656435">
        <w:rPr>
          <w:rFonts w:cs="Angsana New"/>
          <w:bCs/>
          <w:iCs/>
          <w:kern w:val="22"/>
          <w:lang w:val="en-GB" w:eastAsia="zh-CN"/>
        </w:rPr>
        <w:t>的政策手段或措施的成效和相关能力建设的必要性，因此</w:t>
      </w:r>
      <w:r w:rsidRPr="00656435">
        <w:rPr>
          <w:rFonts w:eastAsia="KaiTi" w:cs="Angsana New"/>
          <w:bCs/>
          <w:lang w:val="en-GB" w:eastAsia="zh-CN"/>
        </w:rPr>
        <w:t>请</w:t>
      </w:r>
      <w:r w:rsidRPr="00656435">
        <w:rPr>
          <w:rFonts w:cs="Angsana New"/>
          <w:bCs/>
          <w:iCs/>
          <w:kern w:val="22"/>
          <w:lang w:val="en-GB" w:eastAsia="zh-CN"/>
        </w:rPr>
        <w:t>执行秘书在筹备</w:t>
      </w:r>
      <w:r w:rsidRPr="00656435">
        <w:rPr>
          <w:rFonts w:cs="Angsana New"/>
          <w:bCs/>
          <w:iCs/>
          <w:kern w:val="22"/>
          <w:lang w:val="en-GB" w:eastAsia="zh-CN"/>
        </w:rPr>
        <w:t>2020</w:t>
      </w:r>
      <w:r w:rsidRPr="00656435">
        <w:rPr>
          <w:rFonts w:cs="Angsana New"/>
          <w:bCs/>
          <w:iCs/>
          <w:kern w:val="22"/>
          <w:lang w:val="en-GB" w:eastAsia="zh-CN"/>
        </w:rPr>
        <w:t>年后全球生物多样性框架和执行问题附属机构第三次会议时，考虑到这种必要性；</w:t>
      </w:r>
    </w:p>
    <w:p w:rsidR="001152C0" w:rsidRPr="00656435" w:rsidRDefault="001152C0" w:rsidP="001152C0">
      <w:pPr>
        <w:numPr>
          <w:ilvl w:val="0"/>
          <w:numId w:val="254"/>
        </w:numPr>
        <w:tabs>
          <w:tab w:val="left" w:pos="1440"/>
        </w:tabs>
        <w:adjustRightInd w:val="0"/>
        <w:snapToGrid w:val="0"/>
        <w:ind w:left="0" w:firstLine="720"/>
        <w:rPr>
          <w:rFonts w:cs="Angsana New"/>
          <w:bCs/>
          <w:lang w:val="en-GB" w:eastAsia="zh-CN"/>
        </w:rPr>
      </w:pPr>
      <w:r w:rsidRPr="00656435">
        <w:rPr>
          <w:rFonts w:eastAsia="KaiTi" w:cs="Angsana New"/>
          <w:bCs/>
          <w:lang w:val="en-GB" w:eastAsia="zh-CN"/>
        </w:rPr>
        <w:t>又强调</w:t>
      </w:r>
      <w:r w:rsidRPr="00656435">
        <w:rPr>
          <w:rFonts w:cs="Angsana New"/>
          <w:bCs/>
          <w:lang w:val="en-GB" w:eastAsia="zh-CN"/>
        </w:rPr>
        <w:t>在这方面使</w:t>
      </w:r>
      <w:r w:rsidRPr="00656435">
        <w:rPr>
          <w:rFonts w:cs="Angsana New"/>
          <w:bCs/>
          <w:iCs/>
          <w:kern w:val="22"/>
          <w:lang w:val="en-GB" w:eastAsia="zh-CN"/>
        </w:rPr>
        <w:t>生物多样性</w:t>
      </w:r>
      <w:r w:rsidRPr="00656435">
        <w:rPr>
          <w:rFonts w:cs="Angsana New"/>
          <w:bCs/>
          <w:lang w:val="en-GB" w:eastAsia="zh-CN"/>
        </w:rPr>
        <w:t>和可持续发展不同报告进程中所用指标保持一致</w:t>
      </w:r>
      <w:r>
        <w:rPr>
          <w:rFonts w:cs="Angsana New" w:hint="eastAsia"/>
          <w:bCs/>
          <w:lang w:val="en-GB" w:eastAsia="zh-CN"/>
        </w:rPr>
        <w:t>的</w:t>
      </w:r>
      <w:r w:rsidRPr="00656435">
        <w:rPr>
          <w:rFonts w:cs="Angsana New"/>
          <w:bCs/>
          <w:lang w:val="en-GB" w:eastAsia="zh-CN"/>
        </w:rPr>
        <w:t>重要</w:t>
      </w:r>
      <w:r>
        <w:rPr>
          <w:rFonts w:cs="Angsana New" w:hint="eastAsia"/>
          <w:bCs/>
          <w:lang w:val="en-GB" w:eastAsia="zh-CN"/>
        </w:rPr>
        <w:t>性</w:t>
      </w:r>
      <w:r w:rsidRPr="00656435">
        <w:rPr>
          <w:rFonts w:cs="Angsana New"/>
          <w:bCs/>
          <w:lang w:val="en-GB" w:eastAsia="zh-CN"/>
        </w:rPr>
        <w:t>；</w:t>
      </w:r>
    </w:p>
    <w:p w:rsidR="001152C0" w:rsidRPr="00656435" w:rsidRDefault="001152C0" w:rsidP="001152C0">
      <w:pPr>
        <w:numPr>
          <w:ilvl w:val="0"/>
          <w:numId w:val="254"/>
        </w:numPr>
        <w:tabs>
          <w:tab w:val="left" w:pos="1440"/>
        </w:tabs>
        <w:adjustRightInd w:val="0"/>
        <w:snapToGrid w:val="0"/>
        <w:ind w:left="0" w:firstLine="720"/>
        <w:rPr>
          <w:rFonts w:cs="Angsana New"/>
          <w:bCs/>
          <w:kern w:val="22"/>
          <w:lang w:val="en-GB" w:eastAsia="zh-CN"/>
        </w:rPr>
      </w:pPr>
      <w:r w:rsidRPr="00656435">
        <w:rPr>
          <w:rFonts w:eastAsia="KaiTi" w:cs="Angsana New"/>
          <w:bCs/>
          <w:lang w:val="en-GB" w:eastAsia="zh-CN"/>
        </w:rPr>
        <w:t>鼓励</w:t>
      </w:r>
      <w:r w:rsidRPr="00656435">
        <w:rPr>
          <w:rFonts w:cs="Angsana New"/>
          <w:bCs/>
          <w:iCs/>
          <w:kern w:val="22"/>
          <w:lang w:val="en-GB" w:eastAsia="zh-CN"/>
        </w:rPr>
        <w:t>各缔约方、其他国家政府、国际组织、土著人民和地方社区、企业界和其他利益攸关方在设计和</w:t>
      </w:r>
      <w:r>
        <w:rPr>
          <w:rFonts w:cs="Angsana New" w:hint="eastAsia"/>
          <w:bCs/>
          <w:iCs/>
          <w:kern w:val="22"/>
          <w:lang w:val="en-GB" w:eastAsia="zh-CN"/>
        </w:rPr>
        <w:t>评价为</w:t>
      </w:r>
      <w:r w:rsidRPr="00656435">
        <w:rPr>
          <w:rFonts w:cs="Angsana New"/>
          <w:bCs/>
          <w:iCs/>
          <w:kern w:val="22"/>
          <w:lang w:val="en-GB" w:eastAsia="zh-CN"/>
        </w:rPr>
        <w:t>执行</w:t>
      </w:r>
      <w:r w:rsidRPr="00656435">
        <w:rPr>
          <w:rFonts w:cs="Angsana New"/>
          <w:bCs/>
          <w:kern w:val="22"/>
          <w:lang w:val="en-GB" w:eastAsia="zh-CN"/>
        </w:rPr>
        <w:t>《公约》</w:t>
      </w:r>
      <w:r>
        <w:rPr>
          <w:rFonts w:cs="Angsana New" w:hint="eastAsia"/>
          <w:bCs/>
          <w:kern w:val="22"/>
          <w:lang w:val="en-GB" w:eastAsia="zh-CN"/>
        </w:rPr>
        <w:t>而采取的各项措施</w:t>
      </w:r>
      <w:r w:rsidRPr="00656435">
        <w:rPr>
          <w:rFonts w:cs="Angsana New"/>
          <w:bCs/>
          <w:kern w:val="22"/>
          <w:lang w:val="en-GB" w:eastAsia="zh-CN"/>
        </w:rPr>
        <w:t>的成效</w:t>
      </w:r>
      <w:r w:rsidRPr="00656435">
        <w:rPr>
          <w:rFonts w:cs="Angsana New"/>
          <w:bCs/>
          <w:iCs/>
          <w:kern w:val="22"/>
          <w:lang w:val="en-GB" w:eastAsia="zh-CN"/>
        </w:rPr>
        <w:t>时，包括在编制国家报告时，</w:t>
      </w:r>
      <w:r w:rsidRPr="00656435">
        <w:rPr>
          <w:rFonts w:cs="Angsana New"/>
          <w:bCs/>
          <w:kern w:val="22"/>
          <w:lang w:val="en-GB" w:eastAsia="zh-CN"/>
        </w:rPr>
        <w:t>酌情使用执行秘书关于评价执行《公约》的政策手段成效的工具的说明中的信息；</w:t>
      </w:r>
    </w:p>
    <w:p w:rsidR="001152C0" w:rsidRPr="00656435" w:rsidRDefault="001152C0" w:rsidP="001152C0">
      <w:pPr>
        <w:numPr>
          <w:ilvl w:val="0"/>
          <w:numId w:val="254"/>
        </w:numPr>
        <w:tabs>
          <w:tab w:val="left" w:pos="1440"/>
        </w:tabs>
        <w:adjustRightInd w:val="0"/>
        <w:snapToGrid w:val="0"/>
        <w:ind w:left="0" w:firstLine="720"/>
        <w:rPr>
          <w:rFonts w:cs="Angsana New"/>
          <w:bCs/>
          <w:iCs/>
          <w:kern w:val="22"/>
          <w:lang w:val="en-GB" w:eastAsia="zh-CN"/>
        </w:rPr>
      </w:pPr>
      <w:r w:rsidRPr="00656435">
        <w:rPr>
          <w:rFonts w:eastAsia="KaiTi" w:cs="Angsana New"/>
          <w:bCs/>
          <w:lang w:val="en-GB" w:eastAsia="zh-CN"/>
        </w:rPr>
        <w:t>请</w:t>
      </w:r>
      <w:r w:rsidRPr="00656435">
        <w:rPr>
          <w:rFonts w:cs="Angsana New"/>
          <w:bCs/>
          <w:iCs/>
          <w:kern w:val="22"/>
          <w:lang w:val="en-GB" w:eastAsia="zh-CN"/>
        </w:rPr>
        <w:t>各缔约方并</w:t>
      </w:r>
      <w:r w:rsidRPr="00656435">
        <w:rPr>
          <w:rFonts w:eastAsia="KaiTi" w:cs="Angsana New"/>
          <w:bCs/>
          <w:lang w:val="en-GB" w:eastAsia="zh-CN"/>
        </w:rPr>
        <w:t>邀请</w:t>
      </w:r>
      <w:r w:rsidRPr="00656435">
        <w:rPr>
          <w:rFonts w:cs="Angsana New"/>
          <w:bCs/>
          <w:iCs/>
          <w:kern w:val="22"/>
          <w:lang w:val="en-GB" w:eastAsia="zh-CN"/>
        </w:rPr>
        <w:t>其他国家政府、国际组织、土著人民和地方社区、企业界和其他利益攸关方通过国家报告和信息交换所机制及其他适当手段，分享关于</w:t>
      </w:r>
      <w:r>
        <w:rPr>
          <w:rFonts w:cs="Angsana New" w:hint="eastAsia"/>
          <w:bCs/>
          <w:iCs/>
          <w:kern w:val="22"/>
          <w:lang w:val="en-GB" w:eastAsia="zh-CN"/>
        </w:rPr>
        <w:t>为执行</w:t>
      </w:r>
      <w:r w:rsidRPr="00656435">
        <w:rPr>
          <w:rFonts w:cs="Angsana New"/>
          <w:bCs/>
          <w:iCs/>
          <w:kern w:val="22"/>
          <w:lang w:val="en-GB" w:eastAsia="zh-CN"/>
        </w:rPr>
        <w:t>《公约》</w:t>
      </w:r>
      <w:r>
        <w:rPr>
          <w:rFonts w:cs="Angsana New" w:hint="eastAsia"/>
          <w:bCs/>
          <w:iCs/>
          <w:kern w:val="22"/>
          <w:lang w:val="en-GB" w:eastAsia="zh-CN"/>
        </w:rPr>
        <w:t>而采取的各项措施</w:t>
      </w:r>
      <w:r w:rsidRPr="00656435">
        <w:rPr>
          <w:rFonts w:cs="Angsana New"/>
          <w:bCs/>
          <w:iCs/>
          <w:kern w:val="22"/>
          <w:lang w:val="en-GB" w:eastAsia="zh-CN"/>
        </w:rPr>
        <w:t>的成效</w:t>
      </w:r>
      <w:r>
        <w:rPr>
          <w:rFonts w:cs="Angsana New" w:hint="eastAsia"/>
          <w:bCs/>
          <w:iCs/>
          <w:kern w:val="22"/>
          <w:lang w:val="en-GB" w:eastAsia="zh-CN"/>
        </w:rPr>
        <w:t>的</w:t>
      </w:r>
      <w:r w:rsidRPr="00656435">
        <w:rPr>
          <w:rFonts w:cs="Angsana New"/>
          <w:bCs/>
          <w:iCs/>
          <w:kern w:val="22"/>
          <w:lang w:val="en-GB" w:eastAsia="zh-CN"/>
        </w:rPr>
        <w:t>评价方法，包括案例研究，以及从这些评价中吸取的经验教训；</w:t>
      </w:r>
    </w:p>
    <w:p w:rsidR="001152C0" w:rsidRPr="00656435" w:rsidRDefault="001152C0" w:rsidP="001152C0">
      <w:pPr>
        <w:numPr>
          <w:ilvl w:val="0"/>
          <w:numId w:val="254"/>
        </w:numPr>
        <w:tabs>
          <w:tab w:val="left" w:pos="1440"/>
        </w:tabs>
        <w:adjustRightInd w:val="0"/>
        <w:snapToGrid w:val="0"/>
        <w:ind w:left="0" w:firstLine="720"/>
        <w:rPr>
          <w:rFonts w:cs="Angsana New"/>
          <w:bCs/>
          <w:iCs/>
          <w:kern w:val="22"/>
          <w:lang w:val="en-GB" w:eastAsia="zh-CN"/>
        </w:rPr>
      </w:pPr>
      <w:r w:rsidRPr="00656435">
        <w:rPr>
          <w:rFonts w:eastAsia="KaiTi" w:cs="Angsana New"/>
          <w:bCs/>
          <w:lang w:val="en-GB" w:eastAsia="zh-CN"/>
        </w:rPr>
        <w:t>请</w:t>
      </w:r>
      <w:r w:rsidRPr="00656435">
        <w:rPr>
          <w:rFonts w:cs="Angsana New"/>
          <w:bCs/>
          <w:iCs/>
          <w:kern w:val="22"/>
          <w:lang w:val="en-GB" w:eastAsia="zh-CN"/>
        </w:rPr>
        <w:t>执行秘书</w:t>
      </w:r>
      <w:r>
        <w:rPr>
          <w:rFonts w:cs="Angsana New" w:hint="eastAsia"/>
          <w:bCs/>
          <w:iCs/>
          <w:kern w:val="22"/>
          <w:lang w:val="en-GB" w:eastAsia="zh-CN"/>
        </w:rPr>
        <w:t>在资源允许的情况下，</w:t>
      </w:r>
      <w:r w:rsidRPr="00656435">
        <w:rPr>
          <w:rFonts w:cs="Angsana New"/>
          <w:bCs/>
          <w:iCs/>
          <w:kern w:val="22"/>
          <w:lang w:val="en-GB" w:eastAsia="zh-CN"/>
        </w:rPr>
        <w:t>以执行秘书说明</w:t>
      </w:r>
      <w:r w:rsidRPr="00656435">
        <w:rPr>
          <w:rFonts w:cs="Angsana New"/>
          <w:bCs/>
          <w:kern w:val="22"/>
          <w:vertAlign w:val="superscript"/>
          <w:lang w:val="en-GB" w:eastAsia="zh-CN"/>
        </w:rPr>
        <w:footnoteReference w:id="286"/>
      </w:r>
      <w:r>
        <w:rPr>
          <w:rFonts w:cs="Angsana New" w:hint="eastAsia"/>
          <w:bCs/>
          <w:iCs/>
          <w:kern w:val="22"/>
          <w:lang w:val="en-GB" w:eastAsia="zh-CN"/>
        </w:rPr>
        <w:t xml:space="preserve"> </w:t>
      </w:r>
      <w:r w:rsidRPr="00656435">
        <w:rPr>
          <w:rFonts w:cs="Angsana New"/>
          <w:bCs/>
          <w:iCs/>
          <w:kern w:val="22"/>
          <w:lang w:val="en-GB" w:eastAsia="zh-CN"/>
        </w:rPr>
        <w:t>中提供的指导意见和上文第</w:t>
      </w:r>
      <w:r w:rsidRPr="00656435">
        <w:rPr>
          <w:rFonts w:cs="Angsana New"/>
          <w:bCs/>
          <w:iCs/>
          <w:kern w:val="22"/>
          <w:lang w:val="en-GB" w:eastAsia="zh-CN"/>
        </w:rPr>
        <w:t>4</w:t>
      </w:r>
      <w:r w:rsidRPr="00656435">
        <w:rPr>
          <w:rFonts w:cs="Angsana New"/>
          <w:bCs/>
          <w:iCs/>
          <w:kern w:val="22"/>
          <w:lang w:val="en-GB" w:eastAsia="zh-CN"/>
        </w:rPr>
        <w:t>段要求提交的信息为基础开发一套工具，协助缔约方、其他国家政府、国际组织、土著人民和地方社区、企业界和其他利益攸关方评价各项措施的成效，供执行问题附属机构第三次会议审议。</w:t>
      </w:r>
    </w:p>
    <w:p w:rsidR="001152C0" w:rsidRDefault="001152C0">
      <w:pPr>
        <w:rPr>
          <w:b/>
          <w:bCs/>
          <w:noProof/>
          <w:kern w:val="22"/>
          <w:szCs w:val="32"/>
          <w:lang w:eastAsia="zh-CN"/>
        </w:rPr>
      </w:pPr>
      <w:r>
        <w:rPr>
          <w:noProof/>
          <w:kern w:val="22"/>
          <w:lang w:eastAsia="zh-CN"/>
        </w:rPr>
        <w:br w:type="page"/>
      </w:r>
    </w:p>
    <w:p w:rsidR="001152C0" w:rsidRPr="001152C0" w:rsidRDefault="001152C0" w:rsidP="001152C0">
      <w:pPr>
        <w:pStyle w:val="Heading1"/>
        <w:spacing w:before="120" w:after="120"/>
        <w:ind w:firstLine="0"/>
        <w:rPr>
          <w:rFonts w:eastAsiaTheme="minorEastAsia" w:cs="Times New Roman"/>
          <w:noProof/>
          <w:kern w:val="22"/>
          <w:sz w:val="24"/>
          <w:lang w:eastAsia="zh-CN"/>
        </w:rPr>
      </w:pPr>
      <w:bookmarkStart w:id="214" w:name="_Toc6243790"/>
      <w:r w:rsidRPr="001152C0">
        <w:rPr>
          <w:rFonts w:eastAsiaTheme="minorEastAsia" w:cs="Times New Roman"/>
          <w:noProof/>
          <w:kern w:val="22"/>
          <w:sz w:val="24"/>
          <w:lang w:eastAsia="zh-CN"/>
        </w:rPr>
        <w:lastRenderedPageBreak/>
        <w:t>14/29.</w:t>
      </w:r>
      <w:r w:rsidRPr="001152C0">
        <w:rPr>
          <w:rFonts w:eastAsiaTheme="minorEastAsia" w:cs="Times New Roman"/>
          <w:noProof/>
          <w:kern w:val="22"/>
          <w:sz w:val="24"/>
          <w:lang w:eastAsia="zh-CN"/>
        </w:rPr>
        <w:tab/>
        <w:t xml:space="preserve"> </w:t>
      </w:r>
      <w:r>
        <w:rPr>
          <w:rFonts w:eastAsiaTheme="minorEastAsia" w:cs="Times New Roman"/>
          <w:noProof/>
          <w:kern w:val="22"/>
          <w:sz w:val="24"/>
          <w:lang w:eastAsia="zh-CN"/>
        </w:rPr>
        <w:t xml:space="preserve"> </w:t>
      </w:r>
      <w:r w:rsidRPr="001152C0">
        <w:rPr>
          <w:rFonts w:eastAsiaTheme="minorEastAsia" w:cs="Times New Roman"/>
          <w:noProof/>
          <w:kern w:val="22"/>
          <w:sz w:val="24"/>
          <w:lang w:eastAsia="zh-CN"/>
        </w:rPr>
        <w:t>审查机制</w:t>
      </w:r>
      <w:bookmarkEnd w:id="214"/>
      <w:r w:rsidRPr="001152C0">
        <w:rPr>
          <w:rFonts w:eastAsiaTheme="minorEastAsia" w:cs="Times New Roman"/>
          <w:noProof/>
          <w:kern w:val="22"/>
          <w:sz w:val="24"/>
          <w:lang w:eastAsia="zh-CN"/>
        </w:rPr>
        <w:t xml:space="preserve"> </w:t>
      </w:r>
    </w:p>
    <w:p w:rsidR="001152C0" w:rsidRPr="000A4738" w:rsidRDefault="001152C0" w:rsidP="001152C0">
      <w:pPr>
        <w:pStyle w:val="Para1"/>
        <w:keepNext/>
        <w:suppressLineNumbers/>
        <w:tabs>
          <w:tab w:val="clear" w:pos="360"/>
          <w:tab w:val="left" w:pos="1440"/>
        </w:tabs>
        <w:suppressAutoHyphens/>
        <w:adjustRightInd w:val="0"/>
        <w:snapToGrid w:val="0"/>
        <w:rPr>
          <w:rFonts w:ascii="KaiTi" w:eastAsia="KaiTi" w:hAnsi="KaiTi"/>
          <w:iCs/>
          <w:kern w:val="22"/>
          <w:sz w:val="24"/>
          <w:szCs w:val="24"/>
          <w:lang w:eastAsia="nl-BE" w:bidi="th-TH"/>
        </w:rPr>
      </w:pPr>
      <w:bookmarkStart w:id="215" w:name="_Hlk513725519"/>
      <w:r w:rsidRPr="000A4738">
        <w:rPr>
          <w:rFonts w:ascii="KaiTi" w:eastAsia="KaiTi" w:hAnsi="KaiTi" w:cs="SimSun" w:hint="eastAsia"/>
          <w:iCs/>
          <w:kern w:val="22"/>
          <w:sz w:val="24"/>
          <w:szCs w:val="24"/>
          <w:lang w:eastAsia="nl-BE"/>
        </w:rPr>
        <w:t>缔约方大会，</w:t>
      </w:r>
    </w:p>
    <w:bookmarkEnd w:id="215"/>
    <w:p w:rsidR="001152C0" w:rsidRPr="00296DF5" w:rsidRDefault="001152C0" w:rsidP="001152C0">
      <w:pPr>
        <w:pStyle w:val="Para1"/>
        <w:keepNext/>
        <w:suppressLineNumbers/>
        <w:tabs>
          <w:tab w:val="clear" w:pos="360"/>
          <w:tab w:val="left" w:pos="1440"/>
        </w:tabs>
        <w:suppressAutoHyphens/>
        <w:adjustRightInd w:val="0"/>
        <w:snapToGrid w:val="0"/>
        <w:rPr>
          <w:rFonts w:ascii="SimSun" w:eastAsia="Times New Roman" w:hAnsi="SimSun"/>
          <w:kern w:val="22"/>
          <w:sz w:val="24"/>
          <w:szCs w:val="24"/>
          <w:lang w:eastAsia="zh-CN" w:bidi="th-TH"/>
        </w:rPr>
      </w:pPr>
      <w:r w:rsidRPr="00B60AAB">
        <w:rPr>
          <w:rFonts w:ascii="KaiTi" w:eastAsia="KaiTi" w:hAnsi="KaiTi" w:hint="eastAsia"/>
          <w:kern w:val="22"/>
          <w:sz w:val="24"/>
          <w:szCs w:val="24"/>
          <w:lang w:val="en-US" w:eastAsia="zh-CN" w:bidi="th-TH"/>
        </w:rPr>
        <w:t>回顾</w:t>
      </w:r>
      <w:r w:rsidRPr="00296DF5">
        <w:rPr>
          <w:rFonts w:ascii="SimSun" w:hAnsi="SimSun" w:cs="SimSun" w:hint="eastAsia"/>
          <w:kern w:val="22"/>
          <w:sz w:val="24"/>
          <w:szCs w:val="24"/>
          <w:lang w:eastAsia="zh-CN"/>
        </w:rPr>
        <w:t>第</w:t>
      </w:r>
      <w:r w:rsidRPr="00B60AAB">
        <w:rPr>
          <w:rFonts w:eastAsia="Times New Roman"/>
          <w:kern w:val="22"/>
          <w:sz w:val="24"/>
          <w:szCs w:val="24"/>
          <w:lang w:eastAsia="zh-CN" w:bidi="th-TH"/>
        </w:rPr>
        <w:t>XIII/25</w:t>
      </w:r>
      <w:r w:rsidRPr="00296DF5">
        <w:rPr>
          <w:rFonts w:ascii="SimSun" w:hAnsi="SimSun" w:cs="SimSun" w:hint="eastAsia"/>
          <w:kern w:val="22"/>
          <w:sz w:val="24"/>
          <w:szCs w:val="24"/>
          <w:lang w:eastAsia="zh-CN"/>
        </w:rPr>
        <w:t>号决定，</w:t>
      </w:r>
    </w:p>
    <w:p w:rsidR="001152C0" w:rsidRDefault="001152C0" w:rsidP="001152C0">
      <w:pPr>
        <w:pStyle w:val="Para1"/>
        <w:keepNext/>
        <w:suppressLineNumbers/>
        <w:tabs>
          <w:tab w:val="clear" w:pos="360"/>
          <w:tab w:val="left" w:pos="1440"/>
        </w:tabs>
        <w:suppressAutoHyphens/>
        <w:adjustRightInd w:val="0"/>
        <w:snapToGrid w:val="0"/>
        <w:jc w:val="left"/>
        <w:rPr>
          <w:rFonts w:ascii="SimSun" w:cs="SimSun"/>
          <w:kern w:val="22"/>
          <w:sz w:val="24"/>
          <w:szCs w:val="24"/>
          <w:lang w:eastAsia="zh-CN"/>
        </w:rPr>
      </w:pPr>
      <w:r w:rsidRPr="00B60AAB">
        <w:rPr>
          <w:rFonts w:ascii="KaiTi" w:eastAsia="KaiTi" w:hAnsi="KaiTi" w:hint="eastAsia"/>
          <w:kern w:val="22"/>
          <w:sz w:val="24"/>
          <w:szCs w:val="24"/>
          <w:lang w:val="en-US" w:eastAsia="zh-CN" w:bidi="th-TH"/>
        </w:rPr>
        <w:t>认识到</w:t>
      </w:r>
      <w:r w:rsidRPr="00296DF5">
        <w:rPr>
          <w:rFonts w:ascii="SimSun" w:hAnsi="SimSun" w:cs="SimSun" w:hint="eastAsia"/>
          <w:kern w:val="22"/>
          <w:sz w:val="24"/>
          <w:szCs w:val="24"/>
          <w:lang w:eastAsia="zh-CN"/>
        </w:rPr>
        <w:t>需要加强缔约方的执行和基本承诺，从而使全球社会走上实现</w:t>
      </w:r>
      <w:r w:rsidRPr="00DB7B3E">
        <w:rPr>
          <w:rFonts w:ascii="SimSun" w:hAnsi="SimSun" w:cs="SimSun" w:hint="eastAsia"/>
          <w:kern w:val="22"/>
          <w:sz w:val="24"/>
          <w:szCs w:val="24"/>
          <w:lang w:eastAsia="zh-CN"/>
        </w:rPr>
        <w:t>《</w:t>
      </w:r>
      <w:r w:rsidRPr="00DB7B3E">
        <w:rPr>
          <w:rFonts w:eastAsia="Times New Roman"/>
          <w:kern w:val="22"/>
          <w:sz w:val="24"/>
          <w:szCs w:val="24"/>
          <w:lang w:eastAsia="zh-CN" w:bidi="th-TH"/>
        </w:rPr>
        <w:t>2011-2020</w:t>
      </w:r>
      <w:r w:rsidRPr="00296DF5">
        <w:rPr>
          <w:rFonts w:ascii="SimSun" w:hAnsi="SimSun" w:cs="SimSun" w:hint="eastAsia"/>
          <w:kern w:val="22"/>
          <w:sz w:val="24"/>
          <w:szCs w:val="24"/>
          <w:lang w:eastAsia="zh-CN"/>
        </w:rPr>
        <w:t>年生物多样性战略计划》</w:t>
      </w:r>
      <w:r w:rsidRPr="001F1AAC">
        <w:rPr>
          <w:rStyle w:val="FootnoteReference"/>
          <w:rFonts w:eastAsia="Times New Roman"/>
          <w:kern w:val="22"/>
          <w:sz w:val="24"/>
          <w:szCs w:val="24"/>
          <w:u w:val="none"/>
          <w:vertAlign w:val="superscript"/>
        </w:rPr>
        <w:footnoteReference w:id="287"/>
      </w:r>
      <w:r w:rsidRPr="001F1AAC">
        <w:rPr>
          <w:rFonts w:eastAsia="Times New Roman"/>
          <w:kern w:val="22"/>
          <w:sz w:val="24"/>
          <w:szCs w:val="24"/>
          <w:lang w:eastAsia="zh-CN" w:bidi="th-TH"/>
        </w:rPr>
        <w:t xml:space="preserve"> </w:t>
      </w:r>
      <w:r w:rsidRPr="00296DF5">
        <w:rPr>
          <w:rFonts w:ascii="SimSun" w:hAnsi="SimSun" w:cs="SimSun" w:hint="eastAsia"/>
          <w:kern w:val="22"/>
          <w:sz w:val="24"/>
          <w:szCs w:val="24"/>
          <w:lang w:eastAsia="zh-CN"/>
        </w:rPr>
        <w:t>所展现的</w:t>
      </w:r>
      <w:r w:rsidRPr="00DB7B3E">
        <w:rPr>
          <w:rFonts w:eastAsia="Times New Roman"/>
          <w:kern w:val="22"/>
          <w:sz w:val="24"/>
          <w:szCs w:val="24"/>
          <w:lang w:eastAsia="zh-CN" w:bidi="th-TH"/>
        </w:rPr>
        <w:t>2050</w:t>
      </w:r>
      <w:r w:rsidRPr="00296DF5">
        <w:rPr>
          <w:rFonts w:ascii="SimSun" w:hAnsi="SimSun" w:cs="SimSun" w:hint="eastAsia"/>
          <w:kern w:val="22"/>
          <w:sz w:val="24"/>
          <w:szCs w:val="24"/>
          <w:lang w:eastAsia="zh-CN"/>
        </w:rPr>
        <w:t>年愿景之路，</w:t>
      </w:r>
    </w:p>
    <w:p w:rsidR="001152C0" w:rsidRPr="00296DF5" w:rsidRDefault="001152C0" w:rsidP="001152C0">
      <w:pPr>
        <w:pStyle w:val="Para1"/>
        <w:keepNext/>
        <w:suppressLineNumbers/>
        <w:tabs>
          <w:tab w:val="clear" w:pos="360"/>
          <w:tab w:val="left" w:pos="1440"/>
        </w:tabs>
        <w:suppressAutoHyphens/>
        <w:adjustRightInd w:val="0"/>
        <w:snapToGrid w:val="0"/>
        <w:jc w:val="left"/>
        <w:rPr>
          <w:rFonts w:ascii="SimSun" w:eastAsia="Times New Roman" w:hAnsi="SimSun"/>
          <w:kern w:val="22"/>
          <w:sz w:val="24"/>
          <w:szCs w:val="24"/>
          <w:lang w:eastAsia="zh-CN" w:bidi="th-TH"/>
        </w:rPr>
      </w:pPr>
      <w:r w:rsidRPr="005B6735">
        <w:rPr>
          <w:rFonts w:ascii="KaiTi" w:eastAsia="KaiTi" w:hAnsi="KaiTi" w:cs="SimSun" w:hint="eastAsia"/>
          <w:iCs/>
          <w:kern w:val="22"/>
          <w:sz w:val="24"/>
          <w:szCs w:val="24"/>
          <w:lang w:eastAsia="nl-BE"/>
        </w:rPr>
        <w:t>强调</w:t>
      </w:r>
      <w:r>
        <w:rPr>
          <w:rFonts w:ascii="SimSun" w:hAnsi="SimSun" w:cs="SimSun" w:hint="eastAsia"/>
          <w:kern w:val="22"/>
          <w:sz w:val="24"/>
          <w:szCs w:val="24"/>
          <w:lang w:eastAsia="zh-CN"/>
        </w:rPr>
        <w:t>《公约》第</w:t>
      </w:r>
      <w:r w:rsidRPr="005B6735">
        <w:rPr>
          <w:kern w:val="22"/>
          <w:sz w:val="24"/>
          <w:szCs w:val="24"/>
          <w:lang w:eastAsia="zh-CN"/>
        </w:rPr>
        <w:t>26</w:t>
      </w:r>
      <w:r>
        <w:rPr>
          <w:rFonts w:ascii="SimSun" w:hAnsi="SimSun" w:cs="SimSun" w:hint="eastAsia"/>
          <w:kern w:val="22"/>
          <w:sz w:val="24"/>
          <w:szCs w:val="24"/>
          <w:lang w:eastAsia="zh-CN"/>
        </w:rPr>
        <w:t>条规定的国家报告依然是执行进展情况多层面审查办法的</w:t>
      </w:r>
      <w:r>
        <w:rPr>
          <w:rFonts w:ascii="SimSun" w:hAnsi="SimSun" w:cs="SimSun" w:hint="eastAsia"/>
          <w:kern w:val="22"/>
          <w:sz w:val="24"/>
          <w:szCs w:val="24"/>
          <w:lang w:val="en-US" w:eastAsia="zh-CN"/>
        </w:rPr>
        <w:t>核心要素</w:t>
      </w:r>
      <w:r>
        <w:rPr>
          <w:rFonts w:ascii="SimSun" w:hAnsi="SimSun" w:cs="SimSun" w:hint="eastAsia"/>
          <w:kern w:val="22"/>
          <w:sz w:val="24"/>
          <w:szCs w:val="24"/>
          <w:lang w:eastAsia="zh-CN"/>
        </w:rPr>
        <w:t>，</w:t>
      </w:r>
    </w:p>
    <w:p w:rsidR="001152C0" w:rsidRPr="00296DF5" w:rsidRDefault="001152C0" w:rsidP="001152C0">
      <w:pPr>
        <w:pStyle w:val="Para1"/>
        <w:widowControl w:val="0"/>
        <w:suppressLineNumbers/>
        <w:tabs>
          <w:tab w:val="clear" w:pos="360"/>
          <w:tab w:val="left" w:pos="1440"/>
        </w:tabs>
        <w:suppressAutoHyphens/>
        <w:adjustRightInd w:val="0"/>
        <w:snapToGrid w:val="0"/>
        <w:jc w:val="left"/>
        <w:rPr>
          <w:rFonts w:ascii="SimSun" w:eastAsia="Times New Roman" w:hAnsi="SimSun"/>
          <w:kern w:val="22"/>
          <w:sz w:val="24"/>
          <w:szCs w:val="24"/>
          <w:lang w:eastAsia="zh-CN" w:bidi="th-TH"/>
        </w:rPr>
      </w:pPr>
      <w:r w:rsidRPr="00B60AAB">
        <w:rPr>
          <w:rFonts w:ascii="KaiTi" w:eastAsia="KaiTi" w:hAnsi="KaiTi" w:hint="eastAsia"/>
          <w:kern w:val="22"/>
          <w:sz w:val="24"/>
          <w:szCs w:val="24"/>
          <w:lang w:val="en-US" w:eastAsia="zh-CN" w:bidi="th-TH"/>
        </w:rPr>
        <w:t>认识到</w:t>
      </w:r>
      <w:r w:rsidRPr="00296DF5">
        <w:rPr>
          <w:rFonts w:ascii="SimSun" w:hAnsi="SimSun" w:cs="SimSun" w:hint="eastAsia"/>
          <w:kern w:val="22"/>
          <w:sz w:val="24"/>
          <w:szCs w:val="24"/>
          <w:lang w:eastAsia="zh-CN"/>
        </w:rPr>
        <w:t>《公约》规定的多层面审查办法的要素应该是技术上合理、客观、透明、协作和建设性的，旨在推动缔约方加强努力，</w:t>
      </w:r>
    </w:p>
    <w:p w:rsidR="001152C0" w:rsidRPr="00296DF5" w:rsidRDefault="001152C0" w:rsidP="001152C0">
      <w:pPr>
        <w:pStyle w:val="Para1"/>
        <w:widowControl w:val="0"/>
        <w:suppressLineNumbers/>
        <w:tabs>
          <w:tab w:val="clear" w:pos="360"/>
          <w:tab w:val="left" w:pos="1440"/>
        </w:tabs>
        <w:suppressAutoHyphens/>
        <w:adjustRightInd w:val="0"/>
        <w:snapToGrid w:val="0"/>
        <w:jc w:val="left"/>
        <w:rPr>
          <w:rFonts w:ascii="SimSun" w:eastAsia="Times New Roman" w:hAnsi="SimSun"/>
          <w:kern w:val="22"/>
          <w:sz w:val="24"/>
          <w:szCs w:val="24"/>
          <w:lang w:eastAsia="zh-CN" w:bidi="th-TH"/>
        </w:rPr>
      </w:pPr>
      <w:r>
        <w:rPr>
          <w:rFonts w:ascii="KaiTi" w:eastAsia="KaiTi" w:hAnsi="KaiTi" w:hint="eastAsia"/>
          <w:kern w:val="22"/>
          <w:sz w:val="24"/>
          <w:szCs w:val="24"/>
          <w:lang w:eastAsia="zh-CN" w:bidi="th-TH"/>
        </w:rPr>
        <w:t>承认</w:t>
      </w:r>
      <w:r w:rsidRPr="00296DF5">
        <w:rPr>
          <w:rFonts w:ascii="SimSun" w:hAnsi="SimSun" w:cs="SimSun" w:hint="eastAsia"/>
          <w:kern w:val="22"/>
          <w:sz w:val="24"/>
          <w:szCs w:val="24"/>
          <w:lang w:eastAsia="zh-CN"/>
        </w:rPr>
        <w:t>审查应考虑到缔约方的具体需要和情况，并</w:t>
      </w:r>
      <w:r w:rsidRPr="00EB1521">
        <w:rPr>
          <w:rFonts w:ascii="SimSun" w:hAnsi="SimSun" w:cs="SimSun" w:hint="eastAsia"/>
          <w:kern w:val="22"/>
          <w:sz w:val="24"/>
          <w:szCs w:val="24"/>
          <w:lang w:eastAsia="zh-CN"/>
        </w:rPr>
        <w:t>注意到</w:t>
      </w:r>
      <w:r w:rsidRPr="00296DF5">
        <w:rPr>
          <w:rFonts w:ascii="SimSun" w:hAnsi="SimSun" w:cs="SimSun" w:hint="eastAsia"/>
          <w:kern w:val="22"/>
          <w:sz w:val="24"/>
          <w:szCs w:val="24"/>
          <w:lang w:eastAsia="zh-CN"/>
        </w:rPr>
        <w:t>各国在</w:t>
      </w:r>
      <w:r>
        <w:rPr>
          <w:rFonts w:ascii="SimSun" w:hAnsi="SimSun" w:cs="SimSun" w:hint="eastAsia"/>
          <w:kern w:val="22"/>
          <w:sz w:val="24"/>
          <w:szCs w:val="24"/>
          <w:lang w:eastAsia="zh-CN"/>
        </w:rPr>
        <w:t>办法</w:t>
      </w:r>
      <w:r w:rsidRPr="00296DF5">
        <w:rPr>
          <w:rFonts w:ascii="SimSun" w:hAnsi="SimSun" w:cs="SimSun" w:hint="eastAsia"/>
          <w:kern w:val="22"/>
          <w:sz w:val="24"/>
          <w:szCs w:val="24"/>
          <w:lang w:eastAsia="zh-CN"/>
        </w:rPr>
        <w:t>和愿景上的差异，</w:t>
      </w:r>
    </w:p>
    <w:p w:rsidR="001152C0" w:rsidRPr="00296DF5" w:rsidRDefault="001152C0" w:rsidP="001152C0">
      <w:pPr>
        <w:pStyle w:val="Para1"/>
        <w:widowControl w:val="0"/>
        <w:suppressLineNumbers/>
        <w:tabs>
          <w:tab w:val="clear" w:pos="360"/>
          <w:tab w:val="left" w:pos="1440"/>
        </w:tabs>
        <w:suppressAutoHyphens/>
        <w:adjustRightInd w:val="0"/>
        <w:snapToGrid w:val="0"/>
        <w:rPr>
          <w:rFonts w:ascii="SimSun" w:eastAsia="Times New Roman" w:hAnsi="SimSun"/>
          <w:kern w:val="22"/>
          <w:sz w:val="24"/>
          <w:szCs w:val="24"/>
          <w:lang w:eastAsia="zh-CN" w:bidi="th-TH"/>
        </w:rPr>
      </w:pPr>
      <w:r w:rsidRPr="00B60AAB">
        <w:rPr>
          <w:rFonts w:ascii="KaiTi" w:eastAsia="KaiTi" w:hAnsi="KaiTi" w:hint="eastAsia"/>
          <w:kern w:val="22"/>
          <w:sz w:val="24"/>
          <w:szCs w:val="24"/>
          <w:lang w:val="en-US" w:eastAsia="zh-CN" w:bidi="th-TH"/>
        </w:rPr>
        <w:t>注意到</w:t>
      </w:r>
      <w:r w:rsidRPr="00296DF5">
        <w:rPr>
          <w:rFonts w:ascii="SimSun" w:hAnsi="SimSun" w:cs="SimSun" w:hint="eastAsia"/>
          <w:kern w:val="22"/>
          <w:sz w:val="24"/>
          <w:szCs w:val="24"/>
          <w:lang w:eastAsia="zh-CN"/>
        </w:rPr>
        <w:t>让传统知识</w:t>
      </w:r>
      <w:r>
        <w:rPr>
          <w:rFonts w:ascii="SimSun" w:hAnsi="SimSun" w:cs="SimSun" w:hint="eastAsia"/>
          <w:kern w:val="22"/>
          <w:sz w:val="24"/>
          <w:szCs w:val="24"/>
          <w:lang w:eastAsia="zh-CN"/>
        </w:rPr>
        <w:t>的</w:t>
      </w:r>
      <w:r w:rsidRPr="00296DF5">
        <w:rPr>
          <w:rFonts w:ascii="SimSun" w:hAnsi="SimSun" w:cs="SimSun" w:hint="eastAsia"/>
          <w:kern w:val="22"/>
          <w:sz w:val="24"/>
          <w:szCs w:val="24"/>
          <w:lang w:eastAsia="zh-CN"/>
        </w:rPr>
        <w:t>持有人参与《公约》规定的</w:t>
      </w:r>
      <w:r>
        <w:rPr>
          <w:rFonts w:ascii="SimSun" w:hAnsi="SimSun" w:cs="SimSun" w:hint="eastAsia"/>
          <w:kern w:val="22"/>
          <w:sz w:val="24"/>
          <w:szCs w:val="24"/>
          <w:lang w:eastAsia="zh-CN"/>
        </w:rPr>
        <w:t>审查</w:t>
      </w:r>
      <w:r w:rsidRPr="00296DF5">
        <w:rPr>
          <w:rFonts w:ascii="SimSun" w:hAnsi="SimSun" w:cs="SimSun" w:hint="eastAsia"/>
          <w:kern w:val="22"/>
          <w:sz w:val="24"/>
          <w:szCs w:val="24"/>
          <w:lang w:eastAsia="zh-CN"/>
        </w:rPr>
        <w:t>机制至关重要，</w:t>
      </w:r>
    </w:p>
    <w:p w:rsidR="001152C0" w:rsidRPr="00296DF5" w:rsidRDefault="001152C0" w:rsidP="001152C0">
      <w:pPr>
        <w:pStyle w:val="Para1"/>
        <w:keepLines/>
        <w:numPr>
          <w:ilvl w:val="6"/>
          <w:numId w:val="256"/>
        </w:numPr>
        <w:suppressLineNumbers/>
        <w:tabs>
          <w:tab w:val="clear" w:pos="360"/>
          <w:tab w:val="left" w:pos="1440"/>
        </w:tabs>
        <w:suppressAutoHyphens/>
        <w:adjustRightInd w:val="0"/>
        <w:snapToGrid w:val="0"/>
        <w:ind w:left="0" w:firstLine="720"/>
        <w:jc w:val="left"/>
        <w:rPr>
          <w:rFonts w:ascii="SimSun" w:eastAsia="Times New Roman" w:hAnsi="SimSun"/>
          <w:kern w:val="22"/>
          <w:sz w:val="24"/>
          <w:szCs w:val="24"/>
          <w:lang w:eastAsia="zh-CN" w:bidi="th-TH"/>
        </w:rPr>
      </w:pPr>
      <w:r w:rsidRPr="001152C0">
        <w:rPr>
          <w:rFonts w:ascii="KaiTi" w:eastAsia="KaiTi" w:hAnsi="KaiTi" w:hint="eastAsia"/>
          <w:kern w:val="22"/>
          <w:sz w:val="24"/>
          <w:lang w:val="en-US" w:eastAsia="zh-CN" w:bidi="th-TH"/>
        </w:rPr>
        <w:t>认识到</w:t>
      </w:r>
      <w:r w:rsidRPr="00296DF5">
        <w:rPr>
          <w:rFonts w:ascii="SimSun" w:hAnsi="SimSun" w:cs="SimSun" w:hint="eastAsia"/>
          <w:kern w:val="22"/>
          <w:sz w:val="24"/>
          <w:szCs w:val="24"/>
          <w:lang w:eastAsia="zh-CN"/>
        </w:rPr>
        <w:t>自愿同行</w:t>
      </w:r>
      <w:r>
        <w:rPr>
          <w:rFonts w:ascii="SimSun" w:hAnsi="SimSun" w:cs="SimSun" w:hint="eastAsia"/>
          <w:kern w:val="22"/>
          <w:sz w:val="24"/>
          <w:szCs w:val="24"/>
          <w:lang w:eastAsia="zh-CN"/>
        </w:rPr>
        <w:t>审议</w:t>
      </w:r>
      <w:r w:rsidRPr="00296DF5">
        <w:rPr>
          <w:rFonts w:ascii="SimSun" w:hAnsi="SimSun" w:cs="SimSun" w:hint="eastAsia"/>
          <w:kern w:val="22"/>
          <w:sz w:val="24"/>
          <w:szCs w:val="24"/>
          <w:lang w:eastAsia="zh-CN"/>
        </w:rPr>
        <w:t>进程谋求通过以下方式帮助缔约方提高各自和集体能力，</w:t>
      </w:r>
      <w:r>
        <w:rPr>
          <w:rFonts w:ascii="SimSun" w:hAnsi="SimSun" w:cs="SimSun" w:hint="eastAsia"/>
          <w:kern w:val="22"/>
          <w:sz w:val="24"/>
          <w:szCs w:val="24"/>
          <w:lang w:eastAsia="zh-CN"/>
        </w:rPr>
        <w:t>以便</w:t>
      </w:r>
      <w:r w:rsidRPr="00296DF5">
        <w:rPr>
          <w:rFonts w:ascii="SimSun" w:hAnsi="SimSun" w:cs="SimSun" w:hint="eastAsia"/>
          <w:kern w:val="22"/>
          <w:sz w:val="24"/>
          <w:szCs w:val="24"/>
          <w:lang w:eastAsia="zh-CN"/>
        </w:rPr>
        <w:t>更有效地执行《公约》：</w:t>
      </w:r>
    </w:p>
    <w:p w:rsidR="001152C0" w:rsidRPr="00296DF5" w:rsidRDefault="001152C0" w:rsidP="001152C0">
      <w:pPr>
        <w:keepLines/>
        <w:numPr>
          <w:ilvl w:val="0"/>
          <w:numId w:val="255"/>
        </w:numPr>
        <w:suppressLineNumbers/>
        <w:tabs>
          <w:tab w:val="left" w:pos="1440"/>
        </w:tabs>
        <w:suppressAutoHyphens/>
        <w:adjustRightInd w:val="0"/>
        <w:snapToGrid w:val="0"/>
        <w:ind w:left="0" w:firstLine="720"/>
        <w:rPr>
          <w:rFonts w:ascii="SimSun" w:eastAsia="Times New Roman" w:hAnsi="SimSun" w:cs="SimSun"/>
          <w:color w:val="222222"/>
          <w:lang w:eastAsia="zh-CN"/>
        </w:rPr>
      </w:pPr>
      <w:r w:rsidRPr="00296DF5">
        <w:rPr>
          <w:rFonts w:ascii="SimSun" w:hAnsi="SimSun" w:cs="SimSun" w:hint="eastAsia"/>
          <w:color w:val="222222"/>
          <w:lang w:eastAsia="zh-CN"/>
        </w:rPr>
        <w:t>评估国家生物多样性战略和行动计划的制定和执行</w:t>
      </w:r>
      <w:r>
        <w:rPr>
          <w:rFonts w:ascii="SimSun" w:hAnsi="SimSun" w:cs="SimSun" w:hint="eastAsia"/>
          <w:color w:val="222222"/>
          <w:lang w:eastAsia="zh-CN"/>
        </w:rPr>
        <w:t>情况</w:t>
      </w:r>
      <w:r w:rsidRPr="00296DF5">
        <w:rPr>
          <w:rFonts w:ascii="SimSun" w:hAnsi="SimSun" w:cs="SimSun" w:hint="eastAsia"/>
          <w:color w:val="222222"/>
          <w:lang w:eastAsia="zh-CN"/>
        </w:rPr>
        <w:t>，并为接受审查的缔约方提出具体建议；</w:t>
      </w:r>
    </w:p>
    <w:p w:rsidR="001152C0" w:rsidRPr="00296DF5" w:rsidRDefault="001152C0" w:rsidP="001152C0">
      <w:pPr>
        <w:keepLines/>
        <w:numPr>
          <w:ilvl w:val="0"/>
          <w:numId w:val="255"/>
        </w:numPr>
        <w:suppressLineNumbers/>
        <w:tabs>
          <w:tab w:val="left" w:pos="1440"/>
        </w:tabs>
        <w:suppressAutoHyphens/>
        <w:adjustRightInd w:val="0"/>
        <w:snapToGrid w:val="0"/>
        <w:ind w:left="0" w:firstLine="720"/>
        <w:rPr>
          <w:rFonts w:ascii="SimSun" w:eastAsia="Times New Roman" w:hAnsi="SimSun" w:cs="SimSun"/>
          <w:color w:val="222222"/>
          <w:lang w:eastAsia="zh-CN"/>
        </w:rPr>
      </w:pPr>
      <w:r w:rsidRPr="00296DF5">
        <w:rPr>
          <w:rFonts w:ascii="SimSun" w:hAnsi="SimSun" w:cs="SimSun" w:hint="eastAsia"/>
          <w:color w:val="222222"/>
          <w:lang w:eastAsia="zh-CN"/>
        </w:rPr>
        <w:t>为直接涉及的缔约方和其他缔约方提供同行学习的机会；</w:t>
      </w:r>
    </w:p>
    <w:p w:rsidR="001152C0" w:rsidRPr="00296DF5" w:rsidRDefault="001152C0" w:rsidP="001152C0">
      <w:pPr>
        <w:keepLines/>
        <w:numPr>
          <w:ilvl w:val="0"/>
          <w:numId w:val="255"/>
        </w:numPr>
        <w:suppressLineNumbers/>
        <w:tabs>
          <w:tab w:val="left" w:pos="1440"/>
        </w:tabs>
        <w:suppressAutoHyphens/>
        <w:adjustRightInd w:val="0"/>
        <w:snapToGrid w:val="0"/>
        <w:ind w:left="0" w:firstLine="720"/>
        <w:rPr>
          <w:rFonts w:ascii="SimSun" w:eastAsia="Times New Roman" w:hAnsi="SimSun" w:cs="SimSun"/>
          <w:color w:val="222222"/>
          <w:lang w:eastAsia="zh-CN"/>
        </w:rPr>
      </w:pPr>
      <w:r w:rsidRPr="00296DF5">
        <w:rPr>
          <w:rFonts w:ascii="SimSun" w:hAnsi="SimSun" w:cs="SimSun" w:hint="eastAsia"/>
          <w:color w:val="222222"/>
          <w:lang w:eastAsia="zh-CN"/>
        </w:rPr>
        <w:t>改进国家生物多样性战略和行动计划的制定和执行对公众和其他缔约方的透明度和问责；</w:t>
      </w:r>
    </w:p>
    <w:p w:rsidR="001152C0" w:rsidRPr="00296DF5" w:rsidRDefault="001152C0" w:rsidP="001152C0">
      <w:pPr>
        <w:pStyle w:val="Para1"/>
        <w:keepLines/>
        <w:numPr>
          <w:ilvl w:val="6"/>
          <w:numId w:val="256"/>
        </w:numPr>
        <w:suppressLineNumbers/>
        <w:tabs>
          <w:tab w:val="clear" w:pos="360"/>
          <w:tab w:val="left" w:pos="1440"/>
        </w:tabs>
        <w:suppressAutoHyphens/>
        <w:adjustRightInd w:val="0"/>
        <w:snapToGrid w:val="0"/>
        <w:ind w:left="0" w:firstLine="720"/>
        <w:rPr>
          <w:rFonts w:ascii="SimSun" w:eastAsia="Times New Roman" w:hAnsi="SimSun"/>
          <w:kern w:val="22"/>
          <w:sz w:val="24"/>
          <w:szCs w:val="24"/>
          <w:lang w:eastAsia="zh-CN" w:bidi="th-TH"/>
        </w:rPr>
      </w:pPr>
      <w:r w:rsidRPr="001152C0">
        <w:rPr>
          <w:rFonts w:ascii="KaiTi" w:eastAsia="KaiTi" w:hAnsi="KaiTi" w:hint="eastAsia"/>
          <w:kern w:val="22"/>
          <w:sz w:val="24"/>
          <w:lang w:val="en-US" w:eastAsia="zh-CN" w:bidi="th-TH"/>
        </w:rPr>
        <w:t>欢迎</w:t>
      </w:r>
      <w:r w:rsidRPr="00296DF5">
        <w:rPr>
          <w:rFonts w:ascii="SimSun" w:hAnsi="SimSun" w:cs="SimSun" w:hint="eastAsia"/>
          <w:kern w:val="22"/>
          <w:sz w:val="24"/>
          <w:szCs w:val="24"/>
          <w:lang w:eastAsia="zh-CN"/>
        </w:rPr>
        <w:t>在制定自愿同行审查机制方面取得的进展，以及通过第</w:t>
      </w:r>
      <w:r w:rsidRPr="00B60AAB">
        <w:rPr>
          <w:rFonts w:eastAsia="Times New Roman"/>
          <w:kern w:val="22"/>
          <w:sz w:val="24"/>
          <w:szCs w:val="24"/>
          <w:lang w:eastAsia="zh-CN" w:bidi="th-TH"/>
        </w:rPr>
        <w:t>XIII/25</w:t>
      </w:r>
      <w:r w:rsidRPr="00296DF5">
        <w:rPr>
          <w:rFonts w:ascii="SimSun" w:hAnsi="SimSun" w:cs="SimSun" w:hint="eastAsia"/>
          <w:kern w:val="22"/>
          <w:sz w:val="24"/>
          <w:szCs w:val="24"/>
          <w:lang w:eastAsia="zh-CN"/>
        </w:rPr>
        <w:t>号决定启动的试验阶段的积极成果；</w:t>
      </w:r>
    </w:p>
    <w:p w:rsidR="001152C0" w:rsidRPr="00296DF5" w:rsidRDefault="001152C0" w:rsidP="001152C0">
      <w:pPr>
        <w:pStyle w:val="Para1"/>
        <w:keepLines/>
        <w:numPr>
          <w:ilvl w:val="6"/>
          <w:numId w:val="256"/>
        </w:numPr>
        <w:suppressLineNumbers/>
        <w:tabs>
          <w:tab w:val="clear" w:pos="360"/>
          <w:tab w:val="left" w:pos="1440"/>
        </w:tabs>
        <w:suppressAutoHyphens/>
        <w:adjustRightInd w:val="0"/>
        <w:snapToGrid w:val="0"/>
        <w:ind w:left="0" w:firstLine="720"/>
        <w:rPr>
          <w:rFonts w:ascii="SimSun" w:eastAsia="Times New Roman" w:hAnsi="SimSun"/>
          <w:kern w:val="22"/>
          <w:sz w:val="24"/>
          <w:szCs w:val="24"/>
          <w:lang w:eastAsia="zh-CN" w:bidi="th-TH"/>
        </w:rPr>
      </w:pPr>
      <w:r w:rsidRPr="001152C0">
        <w:rPr>
          <w:rFonts w:ascii="KaiTi" w:eastAsia="KaiTi" w:hAnsi="KaiTi" w:hint="eastAsia"/>
          <w:kern w:val="22"/>
          <w:sz w:val="24"/>
          <w:lang w:val="en-US" w:eastAsia="zh-CN" w:bidi="th-TH"/>
        </w:rPr>
        <w:t>决定</w:t>
      </w:r>
      <w:r w:rsidRPr="00296DF5">
        <w:rPr>
          <w:rStyle w:val="shorttext"/>
          <w:rFonts w:ascii="SimSun" w:hAnsi="SimSun" w:cs="SimSun" w:hint="eastAsia"/>
          <w:color w:val="222222"/>
          <w:sz w:val="24"/>
          <w:szCs w:val="24"/>
          <w:lang w:eastAsia="zh-CN"/>
        </w:rPr>
        <w:t>将</w:t>
      </w:r>
      <w:r w:rsidRPr="00296DF5">
        <w:rPr>
          <w:rFonts w:ascii="SimSun" w:hAnsi="SimSun" w:cs="SimSun" w:hint="eastAsia"/>
          <w:kern w:val="22"/>
          <w:sz w:val="24"/>
          <w:szCs w:val="24"/>
          <w:lang w:eastAsia="zh-CN"/>
        </w:rPr>
        <w:t>自愿同行</w:t>
      </w:r>
      <w:r>
        <w:rPr>
          <w:rFonts w:ascii="SimSun" w:hAnsi="SimSun" w:cs="SimSun" w:hint="eastAsia"/>
          <w:kern w:val="22"/>
          <w:sz w:val="24"/>
          <w:szCs w:val="24"/>
          <w:lang w:eastAsia="zh-CN"/>
        </w:rPr>
        <w:t>审议</w:t>
      </w:r>
      <w:r w:rsidRPr="00296DF5">
        <w:rPr>
          <w:rFonts w:ascii="SimSun" w:hAnsi="SimSun" w:cs="SimSun" w:hint="eastAsia"/>
          <w:kern w:val="22"/>
          <w:sz w:val="24"/>
          <w:szCs w:val="24"/>
          <w:lang w:eastAsia="zh-CN"/>
        </w:rPr>
        <w:t>列为《公约》规定的多层面审查办法的一个要素，并</w:t>
      </w:r>
      <w:r w:rsidRPr="00B60AAB">
        <w:rPr>
          <w:rFonts w:ascii="KaiTi" w:eastAsia="KaiTi" w:hAnsi="KaiTi" w:hint="eastAsia"/>
          <w:kern w:val="22"/>
          <w:lang w:val="en-US" w:eastAsia="zh-CN" w:bidi="th-TH"/>
        </w:rPr>
        <w:t>请</w:t>
      </w:r>
      <w:r w:rsidRPr="00296DF5">
        <w:rPr>
          <w:rFonts w:ascii="SimSun" w:hAnsi="SimSun" w:cs="SimSun" w:hint="eastAsia"/>
          <w:kern w:val="22"/>
          <w:sz w:val="24"/>
          <w:szCs w:val="24"/>
          <w:lang w:eastAsia="zh-CN"/>
        </w:rPr>
        <w:t>执行秘书为其运作提供协助；</w:t>
      </w:r>
    </w:p>
    <w:p w:rsidR="001152C0" w:rsidRPr="00296DF5" w:rsidRDefault="001152C0" w:rsidP="001152C0">
      <w:pPr>
        <w:pStyle w:val="Para1"/>
        <w:keepLines/>
        <w:numPr>
          <w:ilvl w:val="6"/>
          <w:numId w:val="256"/>
        </w:numPr>
        <w:suppressLineNumbers/>
        <w:tabs>
          <w:tab w:val="clear" w:pos="360"/>
          <w:tab w:val="left" w:pos="1440"/>
        </w:tabs>
        <w:suppressAutoHyphens/>
        <w:adjustRightInd w:val="0"/>
        <w:snapToGrid w:val="0"/>
        <w:ind w:left="0" w:firstLine="720"/>
        <w:rPr>
          <w:rFonts w:ascii="SimSun" w:eastAsia="Times New Roman" w:hAnsi="SimSun"/>
          <w:kern w:val="22"/>
          <w:sz w:val="24"/>
          <w:szCs w:val="24"/>
          <w:lang w:eastAsia="zh-CN" w:bidi="th-TH"/>
        </w:rPr>
      </w:pPr>
      <w:r w:rsidRPr="001152C0">
        <w:rPr>
          <w:rFonts w:ascii="KaiTi" w:eastAsia="KaiTi" w:hAnsi="KaiTi" w:hint="eastAsia"/>
          <w:kern w:val="22"/>
          <w:sz w:val="24"/>
          <w:lang w:val="en-US" w:eastAsia="zh-CN" w:bidi="th-TH"/>
        </w:rPr>
        <w:t>请</w:t>
      </w:r>
      <w:r w:rsidRPr="00296DF5">
        <w:rPr>
          <w:rStyle w:val="shorttext"/>
          <w:rFonts w:ascii="SimSun" w:hAnsi="SimSun" w:cs="SimSun" w:hint="eastAsia"/>
          <w:color w:val="222222"/>
          <w:sz w:val="24"/>
          <w:szCs w:val="24"/>
          <w:lang w:eastAsia="zh-CN"/>
        </w:rPr>
        <w:t>执行秘书</w:t>
      </w:r>
      <w:r>
        <w:rPr>
          <w:rStyle w:val="shorttext"/>
          <w:rFonts w:ascii="SimSun" w:hAnsi="SimSun" w:cs="SimSun" w:hint="eastAsia"/>
          <w:color w:val="222222"/>
          <w:sz w:val="24"/>
          <w:szCs w:val="24"/>
          <w:lang w:eastAsia="zh-CN"/>
        </w:rPr>
        <w:t>在资源允许的情况下</w:t>
      </w:r>
      <w:r w:rsidRPr="00296DF5">
        <w:rPr>
          <w:rStyle w:val="shorttext"/>
          <w:rFonts w:ascii="SimSun" w:hAnsi="SimSun" w:cs="SimSun" w:hint="eastAsia"/>
          <w:color w:val="222222"/>
          <w:sz w:val="24"/>
          <w:szCs w:val="24"/>
          <w:lang w:eastAsia="zh-CN"/>
        </w:rPr>
        <w:t>：</w:t>
      </w:r>
    </w:p>
    <w:p w:rsidR="001152C0" w:rsidRPr="00296DF5" w:rsidRDefault="001152C0" w:rsidP="001152C0">
      <w:pPr>
        <w:widowControl w:val="0"/>
        <w:numPr>
          <w:ilvl w:val="0"/>
          <w:numId w:val="257"/>
        </w:numPr>
        <w:suppressLineNumbers/>
        <w:tabs>
          <w:tab w:val="left" w:pos="1440"/>
        </w:tabs>
        <w:suppressAutoHyphens/>
        <w:adjustRightInd w:val="0"/>
        <w:ind w:left="0" w:firstLine="720"/>
        <w:rPr>
          <w:rFonts w:ascii="SimSun" w:eastAsia="Times New Roman" w:hAnsi="SimSun" w:cs="SimSun"/>
          <w:color w:val="222222"/>
          <w:lang w:eastAsia="zh-CN"/>
        </w:rPr>
      </w:pPr>
      <w:r w:rsidRPr="00296DF5">
        <w:rPr>
          <w:rFonts w:ascii="SimSun" w:hAnsi="SimSun" w:cs="SimSun" w:hint="eastAsia"/>
          <w:color w:val="222222"/>
          <w:lang w:eastAsia="zh-CN"/>
        </w:rPr>
        <w:t>在执行秘书关于这一事项的说明</w:t>
      </w:r>
      <w:r w:rsidRPr="001152C0">
        <w:rPr>
          <w:rStyle w:val="FootnoteReference"/>
          <w:rFonts w:eastAsia="Times New Roman"/>
          <w:kern w:val="22"/>
          <w:sz w:val="24"/>
          <w:u w:val="none"/>
          <w:vertAlign w:val="superscript"/>
        </w:rPr>
        <w:footnoteReference w:id="288"/>
      </w:r>
      <w:r w:rsidRPr="001152C0">
        <w:rPr>
          <w:color w:val="222222"/>
          <w:sz w:val="48"/>
          <w:lang w:eastAsia="zh-CN"/>
        </w:rPr>
        <w:t xml:space="preserve"> </w:t>
      </w:r>
      <w:r w:rsidRPr="00296DF5">
        <w:rPr>
          <w:rFonts w:ascii="SimSun" w:hAnsi="SimSun" w:cs="SimSun" w:hint="eastAsia"/>
          <w:color w:val="222222"/>
          <w:lang w:eastAsia="zh-CN"/>
        </w:rPr>
        <w:t>所述多层面审查办法的要素基础上，为加强</w:t>
      </w:r>
      <w:r w:rsidRPr="00296DF5">
        <w:rPr>
          <w:rFonts w:ascii="SimSun" w:eastAsia="Times New Roman" w:hAnsi="SimSun" w:cs="SimSun"/>
          <w:color w:val="222222"/>
          <w:lang w:eastAsia="zh-CN"/>
        </w:rPr>
        <w:t xml:space="preserve"> </w:t>
      </w:r>
      <w:r w:rsidRPr="00296DF5">
        <w:rPr>
          <w:rFonts w:ascii="SimSun" w:hAnsi="SimSun" w:cs="SimSun" w:hint="eastAsia"/>
          <w:color w:val="222222"/>
          <w:lang w:eastAsia="zh-CN"/>
        </w:rPr>
        <w:t>《公约》的执行进一步拟订增进审查机制的备选办法，供执行问题附属机构第三次会议审议，包括分析优势和劣势，说明缔约方、其他利益攸关方和秘书处可能的成本、惠益和负担，同时考虑到其他进程的最佳做法和经验教训以及执行问题附属机构第二次会议收到的评论意见；</w:t>
      </w:r>
    </w:p>
    <w:p w:rsidR="001152C0" w:rsidRPr="00296DF5" w:rsidRDefault="001152C0" w:rsidP="001152C0">
      <w:pPr>
        <w:keepLines/>
        <w:numPr>
          <w:ilvl w:val="0"/>
          <w:numId w:val="257"/>
        </w:numPr>
        <w:suppressLineNumbers/>
        <w:tabs>
          <w:tab w:val="left" w:pos="1440"/>
        </w:tabs>
        <w:suppressAutoHyphens/>
        <w:adjustRightInd w:val="0"/>
        <w:ind w:left="0" w:firstLine="720"/>
        <w:rPr>
          <w:rFonts w:ascii="SimSun" w:eastAsia="Times New Roman" w:hAnsi="SimSun" w:cs="SimSun"/>
          <w:color w:val="222222"/>
          <w:lang w:eastAsia="zh-CN"/>
        </w:rPr>
      </w:pPr>
      <w:r w:rsidRPr="00296DF5">
        <w:rPr>
          <w:rFonts w:ascii="SimSun" w:hAnsi="SimSun" w:cs="SimSun" w:hint="eastAsia"/>
          <w:color w:val="222222"/>
          <w:lang w:eastAsia="zh-CN"/>
        </w:rPr>
        <w:lastRenderedPageBreak/>
        <w:t>进行筹备和组织，在执行问题附属机构第三次会议通过一个不限成员名额论坛对由缔约方主导的审查进程进行测试，包括为在不限成员名额论坛自愿提交审查报告拟订指导意见；</w:t>
      </w:r>
    </w:p>
    <w:p w:rsidR="001152C0" w:rsidRPr="00296DF5" w:rsidRDefault="001152C0" w:rsidP="001152C0">
      <w:pPr>
        <w:keepLines/>
        <w:numPr>
          <w:ilvl w:val="0"/>
          <w:numId w:val="257"/>
        </w:numPr>
        <w:suppressLineNumbers/>
        <w:tabs>
          <w:tab w:val="left" w:pos="1440"/>
        </w:tabs>
        <w:suppressAutoHyphens/>
        <w:adjustRightInd w:val="0"/>
        <w:ind w:left="0" w:firstLine="720"/>
        <w:rPr>
          <w:rFonts w:ascii="SimSun" w:eastAsia="Times New Roman" w:hAnsi="SimSun" w:cs="SimSun"/>
          <w:color w:val="222222"/>
          <w:lang w:eastAsia="zh-CN"/>
        </w:rPr>
      </w:pPr>
      <w:r w:rsidRPr="00296DF5">
        <w:rPr>
          <w:rFonts w:ascii="SimSun" w:hAnsi="SimSun" w:cs="SimSun" w:hint="eastAsia"/>
          <w:color w:val="222222"/>
          <w:lang w:eastAsia="zh-CN"/>
        </w:rPr>
        <w:t>邀请</w:t>
      </w:r>
      <w:r>
        <w:rPr>
          <w:rFonts w:ascii="SimSun" w:hAnsi="SimSun" w:cs="SimSun" w:hint="eastAsia"/>
          <w:color w:val="222222"/>
          <w:lang w:eastAsia="zh-CN"/>
        </w:rPr>
        <w:t>各</w:t>
      </w:r>
      <w:r w:rsidRPr="00296DF5">
        <w:rPr>
          <w:rFonts w:ascii="SimSun" w:hAnsi="SimSun" w:cs="SimSun" w:hint="eastAsia"/>
          <w:color w:val="222222"/>
          <w:lang w:eastAsia="zh-CN"/>
        </w:rPr>
        <w:t>缔约方自愿提交审查报告，供执行问题附属机构第三次会议</w:t>
      </w:r>
      <w:r>
        <w:rPr>
          <w:rFonts w:ascii="SimSun" w:hAnsi="SimSun" w:cs="SimSun" w:hint="eastAsia"/>
          <w:color w:val="222222"/>
          <w:lang w:eastAsia="zh-CN"/>
        </w:rPr>
        <w:t>期间</w:t>
      </w:r>
      <w:r>
        <w:rPr>
          <w:rFonts w:ascii="SimSun" w:hAnsi="SimSun" w:cs="SimSun"/>
          <w:color w:val="222222"/>
          <w:lang w:eastAsia="zh-CN"/>
        </w:rPr>
        <w:t>对</w:t>
      </w:r>
      <w:r w:rsidRPr="00296DF5">
        <w:rPr>
          <w:rFonts w:ascii="SimSun" w:hAnsi="SimSun" w:cs="SimSun" w:hint="eastAsia"/>
          <w:color w:val="222222"/>
          <w:lang w:eastAsia="zh-CN"/>
        </w:rPr>
        <w:t>不限成员名额论坛</w:t>
      </w:r>
      <w:r>
        <w:rPr>
          <w:rFonts w:ascii="SimSun" w:hAnsi="SimSun" w:cs="SimSun" w:hint="eastAsia"/>
          <w:color w:val="222222"/>
          <w:lang w:eastAsia="zh-CN"/>
        </w:rPr>
        <w:t>进行</w:t>
      </w:r>
      <w:r w:rsidRPr="00296DF5">
        <w:rPr>
          <w:rFonts w:ascii="SimSun" w:hAnsi="SimSun" w:cs="SimSun" w:hint="eastAsia"/>
          <w:color w:val="222222"/>
          <w:lang w:eastAsia="zh-CN"/>
        </w:rPr>
        <w:t>测试；</w:t>
      </w:r>
    </w:p>
    <w:p w:rsidR="001152C0" w:rsidRPr="00296DF5" w:rsidRDefault="001152C0" w:rsidP="001152C0">
      <w:pPr>
        <w:keepLines/>
        <w:numPr>
          <w:ilvl w:val="0"/>
          <w:numId w:val="257"/>
        </w:numPr>
        <w:suppressLineNumbers/>
        <w:tabs>
          <w:tab w:val="left" w:pos="1440"/>
        </w:tabs>
        <w:suppressAutoHyphens/>
        <w:adjustRightInd w:val="0"/>
        <w:ind w:left="0" w:firstLine="720"/>
        <w:rPr>
          <w:rFonts w:ascii="SimSun" w:eastAsia="Times New Roman" w:hAnsi="SimSun" w:cs="SimSun"/>
          <w:color w:val="222222"/>
          <w:lang w:eastAsia="zh-CN"/>
        </w:rPr>
      </w:pPr>
      <w:r w:rsidRPr="00296DF5">
        <w:rPr>
          <w:rFonts w:ascii="SimSun" w:hAnsi="SimSun" w:cs="SimSun" w:hint="eastAsia"/>
          <w:color w:val="222222"/>
          <w:lang w:eastAsia="zh-CN"/>
        </w:rPr>
        <w:t>进一步与缔约方和其他利益攸关方</w:t>
      </w:r>
      <w:r w:rsidRPr="00562938">
        <w:rPr>
          <w:rFonts w:ascii="SimSun" w:hAnsi="SimSun" w:cs="SimSun" w:hint="eastAsia"/>
          <w:snapToGrid w:val="0"/>
          <w:kern w:val="22"/>
          <w:lang w:eastAsia="zh-CN" w:bidi="th-TH"/>
        </w:rPr>
        <w:t>以及第</w:t>
      </w:r>
      <w:r w:rsidRPr="00562938">
        <w:rPr>
          <w:rFonts w:eastAsia="Times New Roman" w:hint="eastAsia"/>
          <w:snapToGrid w:val="0"/>
          <w:kern w:val="22"/>
          <w:lang w:eastAsia="zh-CN" w:bidi="th-TH"/>
        </w:rPr>
        <w:t>14/</w:t>
      </w:r>
      <w:r>
        <w:rPr>
          <w:rFonts w:eastAsia="Times New Roman"/>
          <w:snapToGrid w:val="0"/>
          <w:kern w:val="22"/>
          <w:lang w:eastAsia="zh-CN" w:bidi="th-TH"/>
        </w:rPr>
        <w:t>34</w:t>
      </w:r>
      <w:r w:rsidRPr="00562938">
        <w:rPr>
          <w:rFonts w:ascii="SimSun" w:hAnsi="SimSun" w:cs="SimSun" w:hint="eastAsia"/>
          <w:snapToGrid w:val="0"/>
          <w:kern w:val="22"/>
          <w:lang w:eastAsia="zh-CN" w:bidi="th-TH"/>
        </w:rPr>
        <w:t>号决定所设</w:t>
      </w:r>
      <w:r>
        <w:rPr>
          <w:rFonts w:ascii="SimSun" w:hAnsi="SimSun" w:cs="SimSun" w:hint="eastAsia"/>
          <w:snapToGrid w:val="0"/>
          <w:kern w:val="22"/>
          <w:lang w:eastAsia="zh-CN" w:bidi="th-TH"/>
        </w:rPr>
        <w:t>支持</w:t>
      </w:r>
      <w:r w:rsidRPr="00562938">
        <w:rPr>
          <w:rFonts w:eastAsia="Times New Roman" w:hint="eastAsia"/>
          <w:snapToGrid w:val="0"/>
          <w:kern w:val="22"/>
          <w:lang w:eastAsia="zh-CN" w:bidi="th-TH"/>
        </w:rPr>
        <w:t>2020</w:t>
      </w:r>
      <w:r w:rsidRPr="008E21D6">
        <w:rPr>
          <w:rFonts w:ascii="SimSun" w:hAnsi="SimSun" w:cs="SimSun" w:hint="eastAsia"/>
          <w:color w:val="222222"/>
          <w:lang w:eastAsia="zh-CN"/>
        </w:rPr>
        <w:t>年后全球生物多样性框架</w:t>
      </w:r>
      <w:r>
        <w:rPr>
          <w:rFonts w:ascii="SimSun" w:hAnsi="SimSun" w:cs="SimSun" w:hint="eastAsia"/>
          <w:color w:val="222222"/>
          <w:lang w:eastAsia="zh-CN"/>
        </w:rPr>
        <w:t>筹备工作</w:t>
      </w:r>
      <w:r>
        <w:rPr>
          <w:rFonts w:ascii="SimSun" w:hAnsi="SimSun" w:cs="SimSun"/>
          <w:color w:val="222222"/>
          <w:lang w:eastAsia="zh-CN"/>
        </w:rPr>
        <w:t>的</w:t>
      </w:r>
      <w:r w:rsidRPr="008E21D6">
        <w:rPr>
          <w:rFonts w:ascii="SimSun" w:hAnsi="SimSun" w:cs="SimSun" w:hint="eastAsia"/>
          <w:color w:val="222222"/>
          <w:lang w:eastAsia="zh-CN"/>
        </w:rPr>
        <w:t>不限成员名额</w:t>
      </w:r>
      <w:r>
        <w:rPr>
          <w:rFonts w:ascii="SimSun" w:hAnsi="SimSun" w:cs="SimSun" w:hint="eastAsia"/>
          <w:color w:val="222222"/>
          <w:lang w:eastAsia="zh-CN"/>
        </w:rPr>
        <w:t>闭会期间</w:t>
      </w:r>
      <w:r w:rsidRPr="008E21D6">
        <w:rPr>
          <w:rFonts w:ascii="SimSun" w:hAnsi="SimSun" w:cs="SimSun" w:hint="eastAsia"/>
          <w:color w:val="222222"/>
          <w:lang w:eastAsia="zh-CN"/>
        </w:rPr>
        <w:t>工作组</w:t>
      </w:r>
      <w:r w:rsidRPr="00296DF5">
        <w:rPr>
          <w:rFonts w:ascii="SimSun" w:hAnsi="SimSun" w:cs="SimSun" w:hint="eastAsia"/>
          <w:color w:val="222222"/>
          <w:lang w:eastAsia="zh-CN"/>
        </w:rPr>
        <w:t>协商，探讨在制定</w:t>
      </w:r>
      <w:r w:rsidRPr="00DB7B3E">
        <w:rPr>
          <w:rFonts w:eastAsia="Times New Roman"/>
          <w:snapToGrid w:val="0"/>
          <w:kern w:val="22"/>
          <w:lang w:eastAsia="zh-CN" w:bidi="th-TH"/>
        </w:rPr>
        <w:t>2020</w:t>
      </w:r>
      <w:r w:rsidRPr="00296DF5">
        <w:rPr>
          <w:rFonts w:ascii="SimSun" w:hAnsi="SimSun" w:cs="SimSun" w:hint="eastAsia"/>
          <w:color w:val="222222"/>
          <w:lang w:eastAsia="zh-CN"/>
        </w:rPr>
        <w:t>年后全球生物多样性框架过程中采用加强执行情况审查的方法的可能模式，并向执行问题附属机构第三次会议报告进展情况；</w:t>
      </w:r>
    </w:p>
    <w:p w:rsidR="001152C0" w:rsidRPr="00296DF5" w:rsidRDefault="001152C0" w:rsidP="001152C0">
      <w:pPr>
        <w:keepLines/>
        <w:numPr>
          <w:ilvl w:val="0"/>
          <w:numId w:val="257"/>
        </w:numPr>
        <w:suppressLineNumbers/>
        <w:tabs>
          <w:tab w:val="left" w:pos="1440"/>
        </w:tabs>
        <w:suppressAutoHyphens/>
        <w:adjustRightInd w:val="0"/>
        <w:ind w:left="0" w:firstLine="720"/>
        <w:rPr>
          <w:rFonts w:ascii="SimSun" w:eastAsia="Times New Roman" w:hAnsi="SimSun" w:cs="SimSun"/>
          <w:color w:val="222222"/>
          <w:lang w:eastAsia="zh-CN"/>
        </w:rPr>
      </w:pPr>
      <w:r w:rsidRPr="00296DF5">
        <w:rPr>
          <w:rFonts w:ascii="SimSun" w:hAnsi="SimSun" w:cs="SimSun" w:hint="eastAsia"/>
          <w:color w:val="222222"/>
          <w:lang w:eastAsia="zh-CN"/>
        </w:rPr>
        <w:t>探讨采用这种</w:t>
      </w:r>
      <w:r>
        <w:rPr>
          <w:rFonts w:ascii="SimSun" w:hAnsi="SimSun" w:cs="SimSun" w:hint="eastAsia"/>
          <w:color w:val="222222"/>
          <w:lang w:eastAsia="zh-CN"/>
        </w:rPr>
        <w:t>办法</w:t>
      </w:r>
      <w:r w:rsidRPr="00296DF5">
        <w:rPr>
          <w:rFonts w:ascii="SimSun" w:hAnsi="SimSun" w:cs="SimSun" w:hint="eastAsia"/>
          <w:color w:val="222222"/>
          <w:lang w:eastAsia="zh-CN"/>
        </w:rPr>
        <w:t>加强执行情况审查的可能模式，供执行问题附属机构第三次会议审议；</w:t>
      </w:r>
    </w:p>
    <w:p w:rsidR="001152C0" w:rsidRPr="00296DF5" w:rsidRDefault="001152C0" w:rsidP="001152C0">
      <w:pPr>
        <w:keepLines/>
        <w:numPr>
          <w:ilvl w:val="0"/>
          <w:numId w:val="257"/>
        </w:numPr>
        <w:suppressLineNumbers/>
        <w:tabs>
          <w:tab w:val="left" w:pos="1440"/>
        </w:tabs>
        <w:suppressAutoHyphens/>
        <w:adjustRightInd w:val="0"/>
        <w:ind w:left="0" w:firstLine="720"/>
        <w:rPr>
          <w:rFonts w:ascii="SimSun" w:eastAsia="Times New Roman" w:hAnsi="SimSun" w:cs="SimSun"/>
          <w:color w:val="222222"/>
          <w:lang w:eastAsia="zh-CN"/>
        </w:rPr>
      </w:pPr>
      <w:r w:rsidRPr="00296DF5">
        <w:rPr>
          <w:rFonts w:ascii="SimSun" w:hAnsi="SimSun" w:cs="SimSun" w:hint="eastAsia"/>
          <w:color w:val="222222"/>
          <w:lang w:eastAsia="zh-CN"/>
        </w:rPr>
        <w:t>促进进一步的自愿同行</w:t>
      </w:r>
      <w:r>
        <w:rPr>
          <w:rFonts w:ascii="SimSun" w:hAnsi="SimSun" w:cs="SimSun" w:hint="eastAsia"/>
          <w:color w:val="222222"/>
          <w:lang w:eastAsia="zh-CN"/>
        </w:rPr>
        <w:t>审议</w:t>
      </w:r>
      <w:r w:rsidRPr="00296DF5">
        <w:rPr>
          <w:rFonts w:ascii="SimSun" w:hAnsi="SimSun" w:cs="SimSun" w:hint="eastAsia"/>
          <w:color w:val="222222"/>
          <w:lang w:eastAsia="zh-CN"/>
        </w:rPr>
        <w:t>，</w:t>
      </w:r>
      <w:r>
        <w:rPr>
          <w:rFonts w:ascii="SimSun" w:hAnsi="SimSun" w:cs="SimSun" w:hint="eastAsia"/>
          <w:color w:val="222222"/>
          <w:lang w:eastAsia="zh-CN"/>
        </w:rPr>
        <w:t>并</w:t>
      </w:r>
      <w:r w:rsidRPr="00296DF5">
        <w:rPr>
          <w:rFonts w:ascii="SimSun" w:hAnsi="SimSun" w:cs="SimSun" w:hint="eastAsia"/>
          <w:color w:val="222222"/>
          <w:lang w:eastAsia="zh-CN"/>
        </w:rPr>
        <w:t>邀请</w:t>
      </w:r>
      <w:r>
        <w:rPr>
          <w:rFonts w:ascii="SimSun" w:hAnsi="SimSun" w:cs="SimSun" w:hint="eastAsia"/>
          <w:color w:val="222222"/>
          <w:lang w:eastAsia="zh-CN"/>
        </w:rPr>
        <w:t>各</w:t>
      </w:r>
      <w:r w:rsidRPr="00296DF5">
        <w:rPr>
          <w:rFonts w:ascii="SimSun" w:hAnsi="SimSun" w:cs="SimSun" w:hint="eastAsia"/>
          <w:color w:val="222222"/>
          <w:lang w:eastAsia="zh-CN"/>
        </w:rPr>
        <w:t>缔约方自愿进行审查</w:t>
      </w:r>
      <w:r>
        <w:rPr>
          <w:rFonts w:ascii="SimSun" w:hAnsi="SimSun" w:cs="SimSun" w:hint="eastAsia"/>
          <w:color w:val="222222"/>
          <w:lang w:eastAsia="zh-CN"/>
        </w:rPr>
        <w:t>和</w:t>
      </w:r>
      <w:r w:rsidRPr="00296DF5">
        <w:rPr>
          <w:rFonts w:ascii="SimSun" w:hAnsi="SimSun" w:cs="SimSun" w:hint="eastAsia"/>
          <w:color w:val="222222"/>
          <w:lang w:eastAsia="zh-CN"/>
        </w:rPr>
        <w:t>提名审查小组的候选人。</w:t>
      </w:r>
    </w:p>
    <w:p w:rsidR="001F1AAC" w:rsidRDefault="001F1AAC">
      <w:pPr>
        <w:rPr>
          <w:b/>
          <w:bCs/>
          <w:noProof/>
          <w:kern w:val="22"/>
          <w:szCs w:val="32"/>
          <w:lang w:eastAsia="zh-CN"/>
        </w:rPr>
      </w:pPr>
      <w:r>
        <w:rPr>
          <w:noProof/>
          <w:kern w:val="22"/>
          <w:lang w:eastAsia="zh-CN"/>
        </w:rPr>
        <w:br w:type="page"/>
      </w:r>
    </w:p>
    <w:p w:rsidR="001F1AAC" w:rsidRPr="001F1AAC" w:rsidRDefault="001F1AAC" w:rsidP="001F1AAC">
      <w:pPr>
        <w:pStyle w:val="Heading1"/>
        <w:spacing w:before="120" w:after="120"/>
        <w:ind w:firstLine="0"/>
        <w:rPr>
          <w:rFonts w:eastAsiaTheme="minorEastAsia" w:cs="Times New Roman"/>
          <w:noProof/>
          <w:kern w:val="22"/>
          <w:sz w:val="24"/>
          <w:lang w:eastAsia="zh-CN"/>
        </w:rPr>
      </w:pPr>
      <w:bookmarkStart w:id="216" w:name="_Toc6243791"/>
      <w:r w:rsidRPr="001F1AAC">
        <w:rPr>
          <w:rFonts w:eastAsiaTheme="minorEastAsia" w:cs="Times New Roman"/>
          <w:noProof/>
          <w:kern w:val="22"/>
          <w:sz w:val="24"/>
          <w:lang w:eastAsia="zh-CN"/>
        </w:rPr>
        <w:lastRenderedPageBreak/>
        <w:t>14/30.</w:t>
      </w:r>
      <w:r w:rsidRPr="001F1AAC">
        <w:rPr>
          <w:rFonts w:eastAsiaTheme="minorEastAsia" w:cs="Times New Roman"/>
          <w:noProof/>
          <w:kern w:val="22"/>
          <w:sz w:val="24"/>
          <w:lang w:eastAsia="zh-CN"/>
        </w:rPr>
        <w:tab/>
        <w:t xml:space="preserve">  </w:t>
      </w:r>
      <w:r w:rsidRPr="001F1AAC">
        <w:rPr>
          <w:rFonts w:eastAsiaTheme="minorEastAsia" w:cs="Times New Roman"/>
          <w:noProof/>
          <w:kern w:val="22"/>
          <w:sz w:val="24"/>
          <w:lang w:eastAsia="zh-CN"/>
        </w:rPr>
        <w:t>与其他公约、国际组织和倡议的合作</w:t>
      </w:r>
      <w:bookmarkEnd w:id="216"/>
      <w:r w:rsidRPr="001F1AAC">
        <w:rPr>
          <w:rFonts w:eastAsiaTheme="minorEastAsia" w:cs="Times New Roman"/>
          <w:noProof/>
          <w:kern w:val="22"/>
          <w:sz w:val="24"/>
          <w:lang w:eastAsia="zh-CN"/>
        </w:rPr>
        <w:t xml:space="preserve"> </w:t>
      </w:r>
    </w:p>
    <w:p w:rsidR="001F1AAC" w:rsidRPr="00C91291" w:rsidRDefault="001F1AAC" w:rsidP="001F1AAC">
      <w:pPr>
        <w:suppressLineNumbers/>
        <w:suppressAutoHyphens/>
        <w:kinsoku w:val="0"/>
        <w:overflowPunct w:val="0"/>
        <w:autoSpaceDE w:val="0"/>
        <w:autoSpaceDN w:val="0"/>
        <w:adjustRightInd w:val="0"/>
        <w:snapToGrid w:val="0"/>
        <w:spacing w:before="240"/>
        <w:rPr>
          <w:rFonts w:ascii="KaiTi" w:eastAsia="KaiTi" w:hAnsi="KaiTi"/>
          <w:kern w:val="22"/>
          <w:lang w:eastAsia="zh-CN"/>
        </w:rPr>
      </w:pPr>
      <w:r w:rsidRPr="00C91291">
        <w:rPr>
          <w:rFonts w:ascii="KaiTi" w:eastAsia="KaiTi" w:hAnsi="KaiTi" w:cs="Microsoft YaHei" w:hint="eastAsia"/>
          <w:kern w:val="22"/>
          <w:lang w:eastAsia="zh-CN"/>
        </w:rPr>
        <w:t>缔约</w:t>
      </w:r>
      <w:r w:rsidRPr="00C91291">
        <w:rPr>
          <w:rFonts w:ascii="KaiTi" w:eastAsia="KaiTi" w:hAnsi="KaiTi" w:cs="MS Mincho"/>
          <w:kern w:val="22"/>
          <w:lang w:eastAsia="zh-CN"/>
        </w:rPr>
        <w:t>方大会，</w:t>
      </w:r>
    </w:p>
    <w:p w:rsidR="001F1AAC" w:rsidRPr="00C91291" w:rsidRDefault="001F1AAC" w:rsidP="001F1AAC">
      <w:pPr>
        <w:pStyle w:val="bodytextnoindent"/>
        <w:tabs>
          <w:tab w:val="left" w:pos="1440"/>
        </w:tabs>
        <w:snapToGrid w:val="0"/>
        <w:rPr>
          <w:rStyle w:val="Hyperlink"/>
          <w:rFonts w:eastAsiaTheme="minorEastAsia"/>
          <w:snapToGrid w:val="0"/>
          <w:color w:val="000000" w:themeColor="text1"/>
          <w:kern w:val="22"/>
          <w:sz w:val="24"/>
        </w:rPr>
      </w:pPr>
      <w:r w:rsidRPr="00C91291">
        <w:rPr>
          <w:rFonts w:ascii="KaiTi" w:eastAsia="KaiTi" w:hAnsi="KaiTi" w:cs="MS Mincho"/>
          <w:kern w:val="22"/>
          <w:sz w:val="24"/>
        </w:rPr>
        <w:t>回顾</w:t>
      </w:r>
      <w:r w:rsidRPr="00C91291">
        <w:rPr>
          <w:rFonts w:eastAsiaTheme="minorEastAsia"/>
          <w:sz w:val="24"/>
        </w:rPr>
        <w:t>其</w:t>
      </w:r>
      <w:bookmarkStart w:id="217" w:name="_Hlk516510962"/>
      <w:r w:rsidR="00FE18AA" w:rsidRPr="00C91291">
        <w:rPr>
          <w:rFonts w:eastAsiaTheme="minorEastAsia"/>
          <w:sz w:val="24"/>
        </w:rPr>
        <w:fldChar w:fldCharType="begin"/>
      </w:r>
      <w:r w:rsidRPr="00C91291">
        <w:rPr>
          <w:rFonts w:eastAsiaTheme="minorEastAsia"/>
          <w:sz w:val="24"/>
        </w:rPr>
        <w:instrText xml:space="preserve"> HYPERLINK "https://www.cbd.int/doc/decisions/cop-13/cop-13-dec-01-zh.pdf" </w:instrText>
      </w:r>
      <w:r w:rsidR="00FE18AA" w:rsidRPr="00C91291">
        <w:rPr>
          <w:rFonts w:eastAsiaTheme="minorEastAsia"/>
          <w:sz w:val="24"/>
        </w:rPr>
        <w:fldChar w:fldCharType="separate"/>
      </w:r>
      <w:r w:rsidRPr="00C91291">
        <w:rPr>
          <w:rFonts w:asciiTheme="minorEastAsia" w:eastAsiaTheme="minorEastAsia" w:hAnsiTheme="minorEastAsia"/>
          <w:sz w:val="24"/>
        </w:rPr>
        <w:t>第</w:t>
      </w:r>
      <w:bookmarkEnd w:id="217"/>
      <w:r w:rsidRPr="00C91291">
        <w:rPr>
          <w:rStyle w:val="Hyperlink"/>
          <w:rFonts w:eastAsiaTheme="minorEastAsia"/>
          <w:snapToGrid w:val="0"/>
          <w:kern w:val="22"/>
          <w:sz w:val="24"/>
        </w:rPr>
        <w:t>XIII/1</w:t>
      </w:r>
      <w:r w:rsidR="00FE18AA" w:rsidRPr="00C91291">
        <w:rPr>
          <w:rFonts w:eastAsiaTheme="minorEastAsia"/>
          <w:sz w:val="24"/>
        </w:rPr>
        <w:fldChar w:fldCharType="end"/>
      </w:r>
      <w:r w:rsidRPr="00C91291">
        <w:rPr>
          <w:rFonts w:eastAsiaTheme="minorEastAsia"/>
          <w:snapToGrid w:val="0"/>
          <w:kern w:val="22"/>
          <w:sz w:val="24"/>
        </w:rPr>
        <w:t>、第</w:t>
      </w:r>
      <w:hyperlink r:id="rId80" w:history="1">
        <w:r w:rsidRPr="00C91291">
          <w:rPr>
            <w:rStyle w:val="Hyperlink"/>
            <w:rFonts w:eastAsiaTheme="minorEastAsia"/>
            <w:snapToGrid w:val="0"/>
            <w:kern w:val="22"/>
            <w:sz w:val="24"/>
          </w:rPr>
          <w:t>XIII/3</w:t>
        </w:r>
      </w:hyperlink>
      <w:r w:rsidRPr="00C91291">
        <w:rPr>
          <w:rFonts w:eastAsiaTheme="minorEastAsia"/>
          <w:snapToGrid w:val="0"/>
          <w:kern w:val="22"/>
          <w:sz w:val="24"/>
        </w:rPr>
        <w:t>、第</w:t>
      </w:r>
      <w:hyperlink r:id="rId81" w:history="1">
        <w:r w:rsidRPr="00C91291">
          <w:rPr>
            <w:rStyle w:val="Hyperlink"/>
            <w:rFonts w:eastAsiaTheme="minorEastAsia"/>
            <w:snapToGrid w:val="0"/>
            <w:kern w:val="22"/>
            <w:sz w:val="24"/>
          </w:rPr>
          <w:t>XIII/4</w:t>
        </w:r>
      </w:hyperlink>
      <w:r w:rsidRPr="00C91291">
        <w:rPr>
          <w:rFonts w:eastAsiaTheme="minorEastAsia"/>
          <w:snapToGrid w:val="0"/>
          <w:kern w:val="22"/>
          <w:sz w:val="24"/>
        </w:rPr>
        <w:t>、第</w:t>
      </w:r>
      <w:hyperlink r:id="rId82" w:history="1">
        <w:r w:rsidRPr="00C91291">
          <w:rPr>
            <w:rStyle w:val="Hyperlink"/>
            <w:rFonts w:eastAsiaTheme="minorEastAsia"/>
            <w:snapToGrid w:val="0"/>
            <w:kern w:val="22"/>
            <w:sz w:val="24"/>
          </w:rPr>
          <w:t>XIII/5</w:t>
        </w:r>
      </w:hyperlink>
      <w:r w:rsidRPr="00C91291">
        <w:rPr>
          <w:rFonts w:eastAsiaTheme="minorEastAsia"/>
          <w:snapToGrid w:val="0"/>
          <w:kern w:val="22"/>
          <w:sz w:val="24"/>
        </w:rPr>
        <w:t>、第</w:t>
      </w:r>
      <w:hyperlink r:id="rId83" w:history="1">
        <w:r w:rsidRPr="00C91291">
          <w:rPr>
            <w:rStyle w:val="Hyperlink"/>
            <w:rFonts w:eastAsiaTheme="minorEastAsia"/>
            <w:snapToGrid w:val="0"/>
            <w:kern w:val="22"/>
            <w:sz w:val="24"/>
          </w:rPr>
          <w:t>XIII/7</w:t>
        </w:r>
      </w:hyperlink>
      <w:r w:rsidRPr="00C91291">
        <w:rPr>
          <w:rFonts w:eastAsiaTheme="minorEastAsia"/>
          <w:snapToGrid w:val="0"/>
          <w:kern w:val="22"/>
          <w:sz w:val="24"/>
        </w:rPr>
        <w:t>、第</w:t>
      </w:r>
      <w:hyperlink r:id="rId84" w:history="1">
        <w:r w:rsidRPr="00C91291">
          <w:rPr>
            <w:rStyle w:val="Hyperlink"/>
            <w:rFonts w:eastAsiaTheme="minorEastAsia"/>
            <w:snapToGrid w:val="0"/>
            <w:kern w:val="22"/>
            <w:sz w:val="24"/>
          </w:rPr>
          <w:t>XIII/23</w:t>
        </w:r>
      </w:hyperlink>
      <w:r w:rsidRPr="00C91291">
        <w:rPr>
          <w:rFonts w:eastAsiaTheme="minorEastAsia"/>
          <w:snapToGrid w:val="0"/>
          <w:kern w:val="22"/>
          <w:sz w:val="24"/>
        </w:rPr>
        <w:t>、第</w:t>
      </w:r>
      <w:hyperlink r:id="rId85" w:history="1">
        <w:r w:rsidRPr="00C91291">
          <w:rPr>
            <w:rStyle w:val="Hyperlink"/>
            <w:rFonts w:eastAsiaTheme="minorEastAsia"/>
            <w:snapToGrid w:val="0"/>
            <w:kern w:val="22"/>
            <w:sz w:val="24"/>
          </w:rPr>
          <w:t>XIII/24</w:t>
        </w:r>
      </w:hyperlink>
      <w:r w:rsidRPr="00C91291">
        <w:rPr>
          <w:rFonts w:eastAsiaTheme="minorEastAsia"/>
          <w:snapToGrid w:val="0"/>
          <w:kern w:val="22"/>
          <w:sz w:val="24"/>
        </w:rPr>
        <w:t>、第</w:t>
      </w:r>
      <w:hyperlink r:id="rId86" w:history="1">
        <w:r w:rsidRPr="00C91291">
          <w:rPr>
            <w:rStyle w:val="Hyperlink"/>
            <w:rFonts w:eastAsiaTheme="minorEastAsia"/>
            <w:snapToGrid w:val="0"/>
            <w:kern w:val="22"/>
            <w:sz w:val="24"/>
          </w:rPr>
          <w:t>XIII/27</w:t>
        </w:r>
      </w:hyperlink>
      <w:r w:rsidRPr="00C91291">
        <w:rPr>
          <w:rFonts w:eastAsiaTheme="minorEastAsia"/>
          <w:snapToGrid w:val="0"/>
          <w:kern w:val="22"/>
          <w:sz w:val="24"/>
        </w:rPr>
        <w:t>和第</w:t>
      </w:r>
      <w:hyperlink r:id="rId87" w:history="1">
        <w:r w:rsidRPr="00C91291">
          <w:rPr>
            <w:rStyle w:val="Hyperlink"/>
            <w:rFonts w:eastAsiaTheme="minorEastAsia"/>
            <w:snapToGrid w:val="0"/>
            <w:kern w:val="22"/>
            <w:sz w:val="24"/>
          </w:rPr>
          <w:t>XIII/28</w:t>
        </w:r>
      </w:hyperlink>
      <w:r>
        <w:rPr>
          <w:rFonts w:eastAsiaTheme="minorEastAsia" w:hint="eastAsia"/>
          <w:sz w:val="24"/>
        </w:rPr>
        <w:t>号决定，</w:t>
      </w:r>
    </w:p>
    <w:p w:rsidR="001F1AAC" w:rsidRPr="00C91291" w:rsidRDefault="001F1AAC" w:rsidP="001F1AAC">
      <w:pPr>
        <w:pStyle w:val="bodytextnoindent"/>
        <w:tabs>
          <w:tab w:val="left" w:pos="1440"/>
        </w:tabs>
        <w:snapToGrid w:val="0"/>
        <w:rPr>
          <w:rFonts w:eastAsiaTheme="minorEastAsia"/>
          <w:sz w:val="24"/>
        </w:rPr>
      </w:pPr>
      <w:r>
        <w:rPr>
          <w:rFonts w:ascii="KaiTi" w:eastAsia="KaiTi" w:hAnsi="KaiTi" w:cs="MS Mincho" w:hint="eastAsia"/>
          <w:kern w:val="22"/>
          <w:sz w:val="24"/>
        </w:rPr>
        <w:t>认识到</w:t>
      </w:r>
      <w:r w:rsidRPr="00C91291">
        <w:rPr>
          <w:rFonts w:eastAsiaTheme="minorEastAsia"/>
          <w:sz w:val="24"/>
        </w:rPr>
        <w:t>需要继续加强与其他公约、国际组织和伙伴关系的协作与合作，以期加快</w:t>
      </w:r>
      <w:r>
        <w:rPr>
          <w:rFonts w:eastAsiaTheme="minorEastAsia" w:hint="eastAsia"/>
          <w:sz w:val="24"/>
        </w:rPr>
        <w:t>采取</w:t>
      </w:r>
      <w:r w:rsidRPr="00C91291">
        <w:rPr>
          <w:rFonts w:eastAsiaTheme="minorEastAsia"/>
          <w:sz w:val="24"/>
        </w:rPr>
        <w:t>高效和有效行动实现《</w:t>
      </w:r>
      <w:r w:rsidRPr="00C91291">
        <w:rPr>
          <w:rFonts w:eastAsiaTheme="minorEastAsia"/>
          <w:sz w:val="24"/>
        </w:rPr>
        <w:t>2011-2020</w:t>
      </w:r>
      <w:r w:rsidRPr="00C91291">
        <w:rPr>
          <w:rFonts w:eastAsiaTheme="minorEastAsia"/>
          <w:sz w:val="24"/>
        </w:rPr>
        <w:t>年生物多样性战略计划》，</w:t>
      </w:r>
      <w:r w:rsidRPr="00466808">
        <w:rPr>
          <w:rStyle w:val="FootnoteReference"/>
          <w:rFonts w:eastAsiaTheme="minorEastAsia"/>
          <w:sz w:val="24"/>
          <w:u w:val="none"/>
          <w:vertAlign w:val="superscript"/>
        </w:rPr>
        <w:footnoteReference w:id="289"/>
      </w:r>
      <w:r w:rsidRPr="00466808">
        <w:rPr>
          <w:rFonts w:eastAsiaTheme="minorEastAsia" w:hint="eastAsia"/>
          <w:sz w:val="24"/>
        </w:rPr>
        <w:t xml:space="preserve"> </w:t>
      </w:r>
      <w:r w:rsidRPr="00C91291">
        <w:rPr>
          <w:rFonts w:eastAsiaTheme="minorEastAsia"/>
          <w:sz w:val="24"/>
        </w:rPr>
        <w:t>并建立全面和参与性的进程拟定《</w:t>
      </w:r>
      <w:r w:rsidRPr="00C91291">
        <w:rPr>
          <w:rFonts w:eastAsiaTheme="minorEastAsia"/>
          <w:sz w:val="24"/>
        </w:rPr>
        <w:t>2011-2020</w:t>
      </w:r>
      <w:r w:rsidRPr="00C91291">
        <w:rPr>
          <w:rFonts w:eastAsiaTheme="minorEastAsia"/>
          <w:sz w:val="24"/>
        </w:rPr>
        <w:t>年生物多样性战略计划》的后续行动提案，</w:t>
      </w:r>
    </w:p>
    <w:p w:rsidR="001F1AAC" w:rsidRPr="00C91291" w:rsidRDefault="001F1AAC" w:rsidP="001F1AAC">
      <w:pPr>
        <w:pStyle w:val="bodytextnoindent"/>
        <w:numPr>
          <w:ilvl w:val="0"/>
          <w:numId w:val="258"/>
        </w:numPr>
        <w:tabs>
          <w:tab w:val="left" w:pos="1440"/>
        </w:tabs>
        <w:snapToGrid w:val="0"/>
        <w:ind w:left="0" w:firstLine="720"/>
        <w:rPr>
          <w:rFonts w:eastAsiaTheme="minorEastAsia"/>
          <w:sz w:val="24"/>
        </w:rPr>
      </w:pPr>
      <w:r>
        <w:rPr>
          <w:rFonts w:ascii="KaiTi" w:eastAsia="KaiTi" w:hAnsi="KaiTi" w:cs="MS Mincho" w:hint="eastAsia"/>
          <w:kern w:val="22"/>
          <w:sz w:val="24"/>
        </w:rPr>
        <w:t>敦促</w:t>
      </w:r>
      <w:r w:rsidRPr="00C91291">
        <w:rPr>
          <w:rFonts w:eastAsiaTheme="minorEastAsia"/>
          <w:sz w:val="24"/>
        </w:rPr>
        <w:t>各缔约方和其他国家政府、其他组织、公约和利益攸关方考虑</w:t>
      </w:r>
      <w:r w:rsidRPr="00C91291">
        <w:rPr>
          <w:rFonts w:eastAsiaTheme="minorEastAsia"/>
          <w:sz w:val="24"/>
        </w:rPr>
        <w:t>2020</w:t>
      </w:r>
      <w:r w:rsidRPr="00C91291">
        <w:rPr>
          <w:rFonts w:eastAsiaTheme="minorEastAsia"/>
          <w:sz w:val="24"/>
        </w:rPr>
        <w:t>年后全球生物多样性框架下通过加强合作推动落实生物多样性承诺的新领域和新方法，并考虑</w:t>
      </w:r>
      <w:r>
        <w:rPr>
          <w:rFonts w:eastAsiaTheme="minorEastAsia" w:hint="eastAsia"/>
          <w:sz w:val="24"/>
        </w:rPr>
        <w:t>到</w:t>
      </w:r>
      <w:r w:rsidRPr="00C91291">
        <w:rPr>
          <w:rFonts w:eastAsiaTheme="minorEastAsia"/>
          <w:sz w:val="24"/>
        </w:rPr>
        <w:t>从包括代表土著人民和地方社区的组织和网络、青年、妇女、学术界和地方当局现有合作中汲取的经验教训，作为制定</w:t>
      </w:r>
      <w:r w:rsidRPr="00C91291">
        <w:rPr>
          <w:rFonts w:eastAsiaTheme="minorEastAsia"/>
          <w:sz w:val="24"/>
        </w:rPr>
        <w:t>2020</w:t>
      </w:r>
      <w:r w:rsidRPr="00C91291">
        <w:rPr>
          <w:rFonts w:eastAsiaTheme="minorEastAsia"/>
          <w:sz w:val="24"/>
        </w:rPr>
        <w:t>年后生物多样性框架进程的一部分；</w:t>
      </w:r>
    </w:p>
    <w:p w:rsidR="001F1AAC" w:rsidRPr="00F1041B" w:rsidRDefault="001F1AAC" w:rsidP="001F1AAC">
      <w:pPr>
        <w:pStyle w:val="bodytextnoindent"/>
        <w:numPr>
          <w:ilvl w:val="0"/>
          <w:numId w:val="261"/>
        </w:numPr>
        <w:snapToGrid w:val="0"/>
        <w:ind w:left="0" w:firstLine="0"/>
        <w:jc w:val="center"/>
        <w:rPr>
          <w:rFonts w:asciiTheme="minorEastAsia" w:eastAsiaTheme="minorEastAsia" w:hAnsiTheme="minorEastAsia"/>
          <w:b/>
          <w:sz w:val="24"/>
        </w:rPr>
      </w:pPr>
      <w:r w:rsidRPr="00F1041B">
        <w:rPr>
          <w:rFonts w:asciiTheme="minorEastAsia" w:eastAsiaTheme="minorEastAsia" w:hAnsiTheme="minorEastAsia"/>
          <w:b/>
          <w:sz w:val="24"/>
        </w:rPr>
        <w:t>与其他公约的合作</w:t>
      </w:r>
    </w:p>
    <w:p w:rsidR="001F1AAC" w:rsidRPr="00C91291" w:rsidRDefault="001F1AAC" w:rsidP="001F1AAC">
      <w:pPr>
        <w:pStyle w:val="bodytextnoindent"/>
        <w:numPr>
          <w:ilvl w:val="0"/>
          <w:numId w:val="258"/>
        </w:numPr>
        <w:tabs>
          <w:tab w:val="left" w:pos="1440"/>
        </w:tabs>
        <w:snapToGrid w:val="0"/>
        <w:ind w:left="0" w:firstLine="720"/>
        <w:rPr>
          <w:rFonts w:eastAsiaTheme="minorEastAsia"/>
          <w:sz w:val="24"/>
        </w:rPr>
      </w:pPr>
      <w:r w:rsidRPr="00D041BF">
        <w:rPr>
          <w:rFonts w:ascii="KaiTi" w:eastAsia="KaiTi" w:hAnsi="KaiTi" w:cs="MS Mincho"/>
          <w:kern w:val="22"/>
          <w:sz w:val="24"/>
        </w:rPr>
        <w:t>欢迎</w:t>
      </w:r>
      <w:r w:rsidRPr="00D041BF">
        <w:rPr>
          <w:rFonts w:eastAsiaTheme="minorEastAsia"/>
          <w:sz w:val="24"/>
        </w:rPr>
        <w:t>其他与生物多样性相关公约根据第</w:t>
      </w:r>
      <w:r w:rsidRPr="00C91291">
        <w:rPr>
          <w:rFonts w:eastAsiaTheme="minorEastAsia"/>
          <w:sz w:val="24"/>
        </w:rPr>
        <w:t>XIII/24</w:t>
      </w:r>
      <w:r w:rsidRPr="00C91291">
        <w:rPr>
          <w:rFonts w:eastAsiaTheme="minorEastAsia"/>
          <w:sz w:val="24"/>
        </w:rPr>
        <w:t>号决定和其理事机构的有关决定，开展加强各公约之间合作和协同作用的工作；</w:t>
      </w:r>
      <w:r w:rsidRPr="00466808">
        <w:rPr>
          <w:rStyle w:val="FootnoteReference"/>
          <w:rFonts w:eastAsiaTheme="minorEastAsia"/>
          <w:sz w:val="24"/>
          <w:u w:val="none"/>
          <w:vertAlign w:val="superscript"/>
        </w:rPr>
        <w:footnoteReference w:id="290"/>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bookmarkStart w:id="218" w:name="_Hlk516066291"/>
      <w:r w:rsidRPr="00C91291">
        <w:rPr>
          <w:rFonts w:ascii="KaiTi" w:eastAsia="KaiTi" w:hAnsi="KaiTi" w:cs="MS Mincho"/>
          <w:kern w:val="22"/>
          <w:sz w:val="24"/>
        </w:rPr>
        <w:t>确认</w:t>
      </w:r>
      <w:bookmarkEnd w:id="218"/>
      <w:r w:rsidRPr="00C91291">
        <w:rPr>
          <w:rFonts w:eastAsiaTheme="minorEastAsia"/>
          <w:sz w:val="24"/>
        </w:rPr>
        <w:t>生物多样性相关公约</w:t>
      </w:r>
      <w:r>
        <w:rPr>
          <w:rFonts w:eastAsiaTheme="minorEastAsia" w:hint="eastAsia"/>
          <w:sz w:val="24"/>
        </w:rPr>
        <w:t>、</w:t>
      </w:r>
      <w:r>
        <w:rPr>
          <w:rFonts w:eastAsiaTheme="minorEastAsia"/>
          <w:sz w:val="24"/>
        </w:rPr>
        <w:t>里约</w:t>
      </w:r>
      <w:r w:rsidRPr="005A3708">
        <w:rPr>
          <w:rFonts w:eastAsiaTheme="minorEastAsia"/>
          <w:sz w:val="24"/>
        </w:rPr>
        <w:t>公约</w:t>
      </w:r>
      <w:r w:rsidRPr="00C91291">
        <w:rPr>
          <w:rFonts w:eastAsiaTheme="minorEastAsia"/>
          <w:sz w:val="24"/>
        </w:rPr>
        <w:t>与其他国际公约之间在执行《</w:t>
      </w:r>
      <w:r w:rsidRPr="00C91291">
        <w:rPr>
          <w:rFonts w:eastAsiaTheme="minorEastAsia"/>
          <w:sz w:val="24"/>
        </w:rPr>
        <w:t>2030</w:t>
      </w:r>
      <w:r w:rsidRPr="00C91291">
        <w:rPr>
          <w:rFonts w:eastAsiaTheme="minorEastAsia"/>
          <w:sz w:val="24"/>
        </w:rPr>
        <w:t>年可持续发展议程》和可持续发展目标方面开展协作与合作的重要性；</w:t>
      </w:r>
      <w:r w:rsidRPr="00466808">
        <w:rPr>
          <w:rStyle w:val="FootnoteReference"/>
          <w:rFonts w:eastAsiaTheme="minorEastAsia"/>
          <w:sz w:val="24"/>
          <w:u w:val="none"/>
          <w:vertAlign w:val="superscript"/>
        </w:rPr>
        <w:footnoteReference w:id="291"/>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鼓励</w:t>
      </w:r>
      <w:r w:rsidRPr="00C91291">
        <w:rPr>
          <w:rFonts w:eastAsiaTheme="minorEastAsia"/>
          <w:sz w:val="24"/>
        </w:rPr>
        <w:t>在制定</w:t>
      </w:r>
      <w:r w:rsidRPr="00C91291">
        <w:rPr>
          <w:rFonts w:eastAsiaTheme="minorEastAsia"/>
          <w:sz w:val="24"/>
        </w:rPr>
        <w:t>2020</w:t>
      </w:r>
      <w:r w:rsidRPr="00C91291">
        <w:rPr>
          <w:rFonts w:eastAsiaTheme="minorEastAsia"/>
          <w:sz w:val="24"/>
        </w:rPr>
        <w:t>年后全球生物多样性框架时考虑既加强生物多样性相关公约</w:t>
      </w:r>
      <w:r>
        <w:rPr>
          <w:rFonts w:eastAsiaTheme="minorEastAsia" w:hint="eastAsia"/>
          <w:sz w:val="24"/>
        </w:rPr>
        <w:t>、</w:t>
      </w:r>
      <w:r>
        <w:rPr>
          <w:rFonts w:eastAsiaTheme="minorEastAsia"/>
          <w:sz w:val="24"/>
        </w:rPr>
        <w:t>里约</w:t>
      </w:r>
      <w:r w:rsidRPr="005A3708">
        <w:rPr>
          <w:rFonts w:eastAsiaTheme="minorEastAsia"/>
          <w:sz w:val="24"/>
        </w:rPr>
        <w:t>公约</w:t>
      </w:r>
      <w:r w:rsidRPr="00C91291">
        <w:rPr>
          <w:rFonts w:eastAsiaTheme="minorEastAsia"/>
          <w:sz w:val="24"/>
        </w:rPr>
        <w:t>和其他公约之间的协同作用又有利于实现《公约》三项目标的行动，特别是因为此类行动对于执行《</w:t>
      </w:r>
      <w:r w:rsidRPr="00C91291">
        <w:rPr>
          <w:rFonts w:eastAsiaTheme="minorEastAsia"/>
          <w:sz w:val="24"/>
        </w:rPr>
        <w:t>2030</w:t>
      </w:r>
      <w:r w:rsidRPr="00C91291">
        <w:rPr>
          <w:rFonts w:eastAsiaTheme="minorEastAsia"/>
          <w:sz w:val="24"/>
        </w:rPr>
        <w:t>年可持续发展议程》和实现可持续发展目标至关重要；</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赞赏</w:t>
      </w:r>
      <w:r w:rsidRPr="00C91291">
        <w:rPr>
          <w:rFonts w:eastAsiaTheme="minorEastAsia"/>
          <w:sz w:val="24"/>
        </w:rPr>
        <w:t>协同作用问题非正式咨询小组的工作，小组的工作促进了生物多样性相关公约之间在国际一级</w:t>
      </w:r>
      <w:bookmarkStart w:id="219" w:name="_Hlk516067581"/>
      <w:r w:rsidRPr="00C91291">
        <w:rPr>
          <w:rFonts w:eastAsiaTheme="minorEastAsia"/>
          <w:sz w:val="24"/>
        </w:rPr>
        <w:t>加强协同</w:t>
      </w:r>
      <w:bookmarkEnd w:id="219"/>
      <w:r w:rsidRPr="00C91291">
        <w:rPr>
          <w:rFonts w:eastAsiaTheme="minorEastAsia"/>
          <w:sz w:val="24"/>
        </w:rPr>
        <w:t>作用的进程；</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欢迎</w:t>
      </w:r>
      <w:r w:rsidRPr="00C91291">
        <w:rPr>
          <w:rFonts w:eastAsiaTheme="minorEastAsia"/>
          <w:sz w:val="24"/>
        </w:rPr>
        <w:t>协同作用问题的非正式咨询小组就生物多样性相关公约之间</w:t>
      </w:r>
      <w:r w:rsidRPr="00C91291">
        <w:rPr>
          <w:rFonts w:eastAsiaTheme="minorEastAsia"/>
          <w:sz w:val="24"/>
        </w:rPr>
        <w:t>2017-2020</w:t>
      </w:r>
      <w:r w:rsidRPr="00C91291">
        <w:rPr>
          <w:rFonts w:eastAsiaTheme="minorEastAsia"/>
          <w:sz w:val="24"/>
        </w:rPr>
        <w:t>年在国际一级加强协同作用路线图中理想关键行动的先后安排和实施工作向执行秘书、主席团和生物多样性相关公约联络组提供的</w:t>
      </w:r>
      <w:r w:rsidRPr="00C91291">
        <w:rPr>
          <w:rFonts w:eastAsiaTheme="minorEastAsia"/>
          <w:color w:val="212121"/>
          <w:sz w:val="24"/>
        </w:rPr>
        <w:t>执行秘书在说明</w:t>
      </w:r>
      <w:r w:rsidRPr="00466808">
        <w:rPr>
          <w:rStyle w:val="FootnoteReference"/>
          <w:rFonts w:eastAsiaTheme="minorEastAsia"/>
          <w:kern w:val="22"/>
          <w:sz w:val="24"/>
          <w:u w:val="none"/>
          <w:vertAlign w:val="superscript"/>
        </w:rPr>
        <w:footnoteReference w:id="292"/>
      </w:r>
      <w:r w:rsidRPr="00466808">
        <w:rPr>
          <w:rFonts w:eastAsiaTheme="minorEastAsia"/>
          <w:color w:val="212121"/>
          <w:sz w:val="24"/>
          <w:vertAlign w:val="superscript"/>
        </w:rPr>
        <w:t xml:space="preserve"> </w:t>
      </w:r>
      <w:r w:rsidRPr="00C91291">
        <w:rPr>
          <w:rFonts w:eastAsiaTheme="minorEastAsia"/>
          <w:color w:val="212121"/>
          <w:sz w:val="24"/>
        </w:rPr>
        <w:t>中所述的</w:t>
      </w:r>
      <w:r w:rsidRPr="00C91291">
        <w:rPr>
          <w:rFonts w:eastAsiaTheme="minorEastAsia"/>
          <w:sz w:val="24"/>
        </w:rPr>
        <w:t>咨询意见；</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bookmarkStart w:id="220" w:name="_Hlk516068205"/>
      <w:r w:rsidRPr="00C91291">
        <w:rPr>
          <w:rFonts w:ascii="KaiTi" w:eastAsia="KaiTi" w:hAnsi="KaiTi" w:cs="MS Mincho"/>
          <w:kern w:val="22"/>
          <w:sz w:val="24"/>
        </w:rPr>
        <w:t>邀请</w:t>
      </w:r>
      <w:bookmarkEnd w:id="220"/>
      <w:r w:rsidRPr="00C91291">
        <w:rPr>
          <w:rFonts w:eastAsiaTheme="minorEastAsia"/>
          <w:sz w:val="24"/>
        </w:rPr>
        <w:t>其他生物多样性相关公约以及其他有关组织的理事机构和秘书处在其各自</w:t>
      </w:r>
      <w:r w:rsidRPr="00C91291">
        <w:rPr>
          <w:rFonts w:eastAsiaTheme="minorEastAsia"/>
          <w:sz w:val="24"/>
        </w:rPr>
        <w:lastRenderedPageBreak/>
        <w:t>任务授权范围内，依照国情酌情审议这一意见，继续进行理想的协同作用关键行动，并积极参与制定</w:t>
      </w:r>
      <w:r w:rsidRPr="00C91291">
        <w:rPr>
          <w:rFonts w:eastAsiaTheme="minorEastAsia"/>
          <w:sz w:val="24"/>
        </w:rPr>
        <w:t>2020</w:t>
      </w:r>
      <w:r w:rsidRPr="00C91291">
        <w:rPr>
          <w:rFonts w:eastAsiaTheme="minorEastAsia"/>
          <w:sz w:val="24"/>
        </w:rPr>
        <w:t>年后全球生物多样性框架的进程；</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认识到</w:t>
      </w:r>
      <w:r w:rsidRPr="00C91291">
        <w:rPr>
          <w:rFonts w:eastAsiaTheme="minorEastAsia"/>
          <w:sz w:val="24"/>
        </w:rPr>
        <w:t>在国家一级加强协同作用的重要性，</w:t>
      </w:r>
      <w:r w:rsidRPr="009C66C3">
        <w:rPr>
          <w:rFonts w:ascii="KaiTi" w:eastAsia="KaiTi" w:hAnsi="KaiTi" w:cs="MS Mincho"/>
          <w:kern w:val="22"/>
          <w:sz w:val="24"/>
        </w:rPr>
        <w:t>鼓励</w:t>
      </w:r>
      <w:r w:rsidRPr="00C91291">
        <w:rPr>
          <w:rFonts w:eastAsiaTheme="minorEastAsia"/>
          <w:sz w:val="24"/>
        </w:rPr>
        <w:t>各缔约方并</w:t>
      </w:r>
      <w:r w:rsidRPr="00700ED5">
        <w:rPr>
          <w:rFonts w:ascii="KaiTi" w:eastAsia="KaiTi" w:hAnsi="KaiTi" w:cs="MS Mincho"/>
          <w:kern w:val="22"/>
          <w:sz w:val="24"/>
        </w:rPr>
        <w:t>邀请</w:t>
      </w:r>
      <w:r w:rsidRPr="00C91291">
        <w:rPr>
          <w:rFonts w:eastAsiaTheme="minorEastAsia"/>
          <w:sz w:val="24"/>
        </w:rPr>
        <w:t>其他国家政府根据本国国情，以及土著人民和地方社区、非政府组织和其他有关组织，继续从第</w:t>
      </w:r>
      <w:r w:rsidRPr="00C91291">
        <w:rPr>
          <w:rFonts w:eastAsiaTheme="minorEastAsia"/>
          <w:sz w:val="24"/>
        </w:rPr>
        <w:t>XIII/24</w:t>
      </w:r>
      <w:r w:rsidRPr="00C91291">
        <w:rPr>
          <w:rFonts w:eastAsiaTheme="minorEastAsia"/>
          <w:sz w:val="24"/>
        </w:rPr>
        <w:t>号决定附件一所载生物多样性相有关公约之间在国家一级加强协同作用的备选方案中</w:t>
      </w:r>
      <w:r>
        <w:rPr>
          <w:rFonts w:eastAsiaTheme="minorEastAsia" w:hint="eastAsia"/>
          <w:sz w:val="24"/>
        </w:rPr>
        <w:t>采取</w:t>
      </w:r>
      <w:r w:rsidRPr="00C91291">
        <w:rPr>
          <w:rFonts w:eastAsiaTheme="minorEastAsia"/>
          <w:sz w:val="24"/>
        </w:rPr>
        <w:t>行动</w:t>
      </w:r>
      <w:r>
        <w:rPr>
          <w:rFonts w:eastAsiaTheme="minorEastAsia" w:hint="eastAsia"/>
          <w:sz w:val="24"/>
        </w:rPr>
        <w:t>，又</w:t>
      </w:r>
      <w:r w:rsidRPr="009C66C3">
        <w:rPr>
          <w:rFonts w:ascii="KaiTi" w:eastAsia="KaiTi" w:hAnsi="KaiTi" w:cs="MS Mincho" w:hint="eastAsia"/>
          <w:kern w:val="22"/>
          <w:sz w:val="24"/>
        </w:rPr>
        <w:t>邀请</w:t>
      </w:r>
      <w:r>
        <w:rPr>
          <w:rFonts w:eastAsiaTheme="minorEastAsia" w:hint="eastAsia"/>
          <w:sz w:val="24"/>
        </w:rPr>
        <w:t>有能力的缔约方、其他国家政府和有关组织为发展中国家的能力建设活动提供技术和财政支持</w:t>
      </w:r>
      <w:r w:rsidRPr="00C91291">
        <w:rPr>
          <w:rFonts w:eastAsiaTheme="minorEastAsia"/>
          <w:sz w:val="24"/>
        </w:rPr>
        <w:t>；</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请</w:t>
      </w:r>
      <w:r w:rsidRPr="00C91291">
        <w:rPr>
          <w:rFonts w:eastAsiaTheme="minorEastAsia"/>
          <w:sz w:val="24"/>
        </w:rPr>
        <w:t>执行秘书同生物多样性相关公约之间</w:t>
      </w:r>
      <w:r w:rsidRPr="00C91291">
        <w:rPr>
          <w:rFonts w:eastAsiaTheme="minorEastAsia"/>
          <w:sz w:val="24"/>
        </w:rPr>
        <w:t>2017-2020</w:t>
      </w:r>
      <w:r w:rsidRPr="00C91291">
        <w:rPr>
          <w:rFonts w:eastAsiaTheme="minorEastAsia"/>
          <w:sz w:val="24"/>
        </w:rPr>
        <w:t>年在国际一级加强协同作用路线图的执行工作有关的组织</w:t>
      </w:r>
      <w:r>
        <w:rPr>
          <w:rFonts w:eastAsiaTheme="minorEastAsia" w:hint="eastAsia"/>
          <w:sz w:val="24"/>
        </w:rPr>
        <w:t>和其他举措</w:t>
      </w:r>
      <w:r w:rsidRPr="00C91291">
        <w:rPr>
          <w:rFonts w:eastAsiaTheme="minorEastAsia"/>
          <w:sz w:val="24"/>
        </w:rPr>
        <w:t>分享非正式咨询小组的工作成果；</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请</w:t>
      </w:r>
      <w:r w:rsidRPr="00C91291">
        <w:rPr>
          <w:rFonts w:eastAsiaTheme="minorEastAsia"/>
          <w:sz w:val="24"/>
        </w:rPr>
        <w:t>协同作用问题非正式咨询小组</w:t>
      </w:r>
      <w:r w:rsidRPr="00C91291">
        <w:rPr>
          <w:rFonts w:eastAsiaTheme="minorEastAsia"/>
          <w:color w:val="212121"/>
          <w:sz w:val="24"/>
          <w:shd w:val="clear" w:color="auto" w:fill="FFFFFF"/>
        </w:rPr>
        <w:t>在资源允许的情况下，</w:t>
      </w:r>
      <w:r w:rsidRPr="00C91291">
        <w:rPr>
          <w:rFonts w:eastAsiaTheme="minorEastAsia"/>
          <w:sz w:val="24"/>
        </w:rPr>
        <w:t>在嗣后</w:t>
      </w:r>
      <w:r>
        <w:rPr>
          <w:rFonts w:eastAsiaTheme="minorEastAsia" w:hint="eastAsia"/>
          <w:sz w:val="24"/>
        </w:rPr>
        <w:t>的</w:t>
      </w:r>
      <w:r w:rsidRPr="00C91291">
        <w:rPr>
          <w:rFonts w:eastAsiaTheme="minorEastAsia"/>
          <w:sz w:val="24"/>
        </w:rPr>
        <w:t>闭会期间继续工作，与执行秘书和</w:t>
      </w:r>
      <w:bookmarkStart w:id="221" w:name="_Hlk516069191"/>
      <w:r w:rsidRPr="00C91291">
        <w:rPr>
          <w:rFonts w:eastAsiaTheme="minorEastAsia"/>
          <w:sz w:val="24"/>
        </w:rPr>
        <w:t>缔约方</w:t>
      </w:r>
      <w:bookmarkEnd w:id="221"/>
      <w:r w:rsidRPr="00C91291">
        <w:rPr>
          <w:rFonts w:eastAsiaTheme="minorEastAsia"/>
          <w:sz w:val="24"/>
        </w:rPr>
        <w:t>大会主席团密切协商，</w:t>
      </w:r>
      <w:r>
        <w:rPr>
          <w:rFonts w:eastAsiaTheme="minorEastAsia" w:hint="eastAsia"/>
          <w:sz w:val="24"/>
        </w:rPr>
        <w:t xml:space="preserve">(a) </w:t>
      </w:r>
      <w:r>
        <w:rPr>
          <w:rFonts w:eastAsiaTheme="minorEastAsia"/>
          <w:sz w:val="24"/>
        </w:rPr>
        <w:t>监测路线图的执行情况，</w:t>
      </w:r>
      <w:r>
        <w:rPr>
          <w:rFonts w:eastAsiaTheme="minorEastAsia" w:hint="eastAsia"/>
          <w:sz w:val="24"/>
        </w:rPr>
        <w:t>直至</w:t>
      </w:r>
      <w:r w:rsidRPr="00C91291">
        <w:rPr>
          <w:rFonts w:eastAsiaTheme="minorEastAsia"/>
          <w:sz w:val="24"/>
        </w:rPr>
        <w:t>缔约方大会第十五届会议，</w:t>
      </w:r>
      <w:r>
        <w:rPr>
          <w:rFonts w:eastAsiaTheme="minorEastAsia" w:hint="eastAsia"/>
          <w:sz w:val="24"/>
        </w:rPr>
        <w:t>(</w:t>
      </w:r>
      <w:r w:rsidRPr="00C91291">
        <w:rPr>
          <w:rFonts w:eastAsiaTheme="minorEastAsia"/>
          <w:sz w:val="24"/>
        </w:rPr>
        <w:t>b</w:t>
      </w:r>
      <w:r>
        <w:rPr>
          <w:rFonts w:eastAsiaTheme="minorEastAsia" w:hint="eastAsia"/>
          <w:sz w:val="24"/>
        </w:rPr>
        <w:t xml:space="preserve">) </w:t>
      </w:r>
      <w:r w:rsidRPr="00C91291">
        <w:rPr>
          <w:rFonts w:eastAsiaTheme="minorEastAsia"/>
          <w:sz w:val="24"/>
        </w:rPr>
        <w:t>就制定</w:t>
      </w:r>
      <w:r w:rsidRPr="00C91291">
        <w:rPr>
          <w:rFonts w:eastAsiaTheme="minorEastAsia"/>
          <w:sz w:val="24"/>
        </w:rPr>
        <w:t>2020</w:t>
      </w:r>
      <w:r w:rsidRPr="00C91291">
        <w:rPr>
          <w:rFonts w:eastAsiaTheme="minorEastAsia"/>
          <w:sz w:val="24"/>
        </w:rPr>
        <w:t>年后生物多样性框架时如何优化生物多样性相关公约之间的协同作用</w:t>
      </w:r>
      <w:r>
        <w:rPr>
          <w:rFonts w:eastAsiaTheme="minorEastAsia" w:hint="eastAsia"/>
          <w:sz w:val="24"/>
        </w:rPr>
        <w:t>问题</w:t>
      </w:r>
      <w:r>
        <w:rPr>
          <w:rFonts w:eastAsiaTheme="minorEastAsia"/>
          <w:sz w:val="24"/>
        </w:rPr>
        <w:t>，</w:t>
      </w:r>
      <w:r w:rsidRPr="00C91291">
        <w:rPr>
          <w:rFonts w:eastAsiaTheme="minorEastAsia"/>
          <w:sz w:val="24"/>
        </w:rPr>
        <w:t>向秘书处</w:t>
      </w:r>
      <w:r>
        <w:rPr>
          <w:rFonts w:eastAsiaTheme="minorEastAsia" w:hint="eastAsia"/>
          <w:sz w:val="24"/>
        </w:rPr>
        <w:t>和缔约方大会第十四届会议所设编制</w:t>
      </w:r>
      <w:r>
        <w:rPr>
          <w:rFonts w:eastAsiaTheme="minorEastAsia" w:hint="eastAsia"/>
          <w:sz w:val="24"/>
        </w:rPr>
        <w:t>2020</w:t>
      </w:r>
      <w:r>
        <w:rPr>
          <w:rFonts w:eastAsiaTheme="minorEastAsia" w:hint="eastAsia"/>
          <w:sz w:val="24"/>
        </w:rPr>
        <w:t>年后全球生物多样性框架不限成员名额工作组</w:t>
      </w:r>
      <w:r w:rsidRPr="00C91291">
        <w:rPr>
          <w:rFonts w:eastAsiaTheme="minorEastAsia"/>
          <w:sz w:val="24"/>
        </w:rPr>
        <w:t>提供咨询意见，</w:t>
      </w:r>
      <w:r>
        <w:rPr>
          <w:rFonts w:eastAsiaTheme="minorEastAsia" w:hint="eastAsia"/>
          <w:sz w:val="24"/>
        </w:rPr>
        <w:t>(</w:t>
      </w:r>
      <w:r w:rsidRPr="00C91291">
        <w:rPr>
          <w:rFonts w:eastAsiaTheme="minorEastAsia"/>
          <w:sz w:val="24"/>
        </w:rPr>
        <w:t>c</w:t>
      </w:r>
      <w:r>
        <w:rPr>
          <w:rFonts w:eastAsiaTheme="minorEastAsia" w:hint="eastAsia"/>
          <w:sz w:val="24"/>
        </w:rPr>
        <w:t xml:space="preserve">) </w:t>
      </w:r>
      <w:r w:rsidRPr="00C91291">
        <w:rPr>
          <w:rFonts w:eastAsiaTheme="minorEastAsia"/>
          <w:sz w:val="24"/>
        </w:rPr>
        <w:t>编写一份报告，由执行秘书提交执行问题附属机构第三次会议，嗣后供缔约方大会第十五届会议审议</w:t>
      </w:r>
      <w:r>
        <w:rPr>
          <w:rFonts w:eastAsiaTheme="minorEastAsia" w:hint="eastAsia"/>
          <w:sz w:val="24"/>
        </w:rPr>
        <w:t>；</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请</w:t>
      </w:r>
      <w:r w:rsidRPr="00C91291">
        <w:rPr>
          <w:rFonts w:eastAsiaTheme="minorEastAsia"/>
          <w:sz w:val="24"/>
        </w:rPr>
        <w:t>执行秘书在现有资源内，</w:t>
      </w:r>
      <w:r>
        <w:rPr>
          <w:rFonts w:eastAsiaTheme="minorEastAsia" w:hint="eastAsia"/>
          <w:sz w:val="24"/>
        </w:rPr>
        <w:t>并</w:t>
      </w:r>
      <w:r w:rsidRPr="00D041BF">
        <w:rPr>
          <w:rFonts w:ascii="KaiTi" w:eastAsia="KaiTi" w:hAnsi="KaiTi" w:hint="eastAsia"/>
          <w:sz w:val="24"/>
        </w:rPr>
        <w:t>邀请</w:t>
      </w:r>
      <w:r w:rsidRPr="00C91291">
        <w:rPr>
          <w:rFonts w:eastAsiaTheme="minorEastAsia"/>
          <w:sz w:val="24"/>
        </w:rPr>
        <w:t>各缔约方</w:t>
      </w:r>
      <w:r>
        <w:rPr>
          <w:rFonts w:eastAsiaTheme="minorEastAsia" w:hint="eastAsia"/>
          <w:sz w:val="24"/>
        </w:rPr>
        <w:t>，</w:t>
      </w:r>
      <w:r w:rsidRPr="00C91291">
        <w:rPr>
          <w:rFonts w:eastAsiaTheme="minorEastAsia"/>
          <w:sz w:val="24"/>
        </w:rPr>
        <w:t>为上文第</w:t>
      </w:r>
      <w:r w:rsidRPr="00C91291">
        <w:rPr>
          <w:rFonts w:eastAsiaTheme="minorEastAsia"/>
          <w:sz w:val="24"/>
        </w:rPr>
        <w:t>10</w:t>
      </w:r>
      <w:r w:rsidRPr="00C91291">
        <w:rPr>
          <w:rFonts w:eastAsiaTheme="minorEastAsia"/>
          <w:sz w:val="24"/>
        </w:rPr>
        <w:t>段所列目的继续支持协同作用问题非正式咨询小组的工作；</w:t>
      </w:r>
    </w:p>
    <w:p w:rsidR="001F1AAC" w:rsidRPr="00FA642C" w:rsidRDefault="001F1AAC" w:rsidP="001F1AAC">
      <w:pPr>
        <w:pStyle w:val="bodytextnoindent"/>
        <w:numPr>
          <w:ilvl w:val="0"/>
          <w:numId w:val="260"/>
        </w:numPr>
        <w:tabs>
          <w:tab w:val="left" w:pos="1440"/>
        </w:tabs>
        <w:snapToGrid w:val="0"/>
        <w:ind w:left="0" w:firstLine="720"/>
        <w:rPr>
          <w:rFonts w:eastAsiaTheme="minorEastAsia"/>
          <w:sz w:val="24"/>
        </w:rPr>
      </w:pPr>
      <w:r w:rsidRPr="00FA642C">
        <w:rPr>
          <w:rFonts w:ascii="KaiTi" w:eastAsia="KaiTi" w:hAnsi="KaiTi" w:cs="MS Mincho"/>
          <w:kern w:val="22"/>
          <w:sz w:val="24"/>
        </w:rPr>
        <w:t>请</w:t>
      </w:r>
      <w:r w:rsidRPr="00FA642C">
        <w:rPr>
          <w:rFonts w:eastAsiaTheme="minorEastAsia"/>
          <w:sz w:val="24"/>
        </w:rPr>
        <w:t>执行秘书</w:t>
      </w:r>
      <w:r w:rsidRPr="00FA642C">
        <w:rPr>
          <w:rFonts w:eastAsiaTheme="minorEastAsia" w:hint="eastAsia"/>
          <w:sz w:val="24"/>
        </w:rPr>
        <w:t>和第</w:t>
      </w:r>
      <w:r w:rsidRPr="00FA642C">
        <w:rPr>
          <w:rFonts w:eastAsiaTheme="minorEastAsia" w:hint="eastAsia"/>
          <w:sz w:val="24"/>
        </w:rPr>
        <w:t>14</w:t>
      </w:r>
      <w:r w:rsidRPr="00FA642C">
        <w:rPr>
          <w:rFonts w:eastAsiaTheme="minorEastAsia"/>
          <w:sz w:val="24"/>
        </w:rPr>
        <w:t>/34</w:t>
      </w:r>
      <w:r w:rsidRPr="00FA642C">
        <w:rPr>
          <w:rFonts w:eastAsiaTheme="minorEastAsia" w:hint="eastAsia"/>
          <w:sz w:val="24"/>
        </w:rPr>
        <w:t>号决定所设</w:t>
      </w:r>
      <w:r w:rsidRPr="00FA642C">
        <w:rPr>
          <w:rFonts w:eastAsiaTheme="minorEastAsia" w:hint="eastAsia"/>
          <w:sz w:val="24"/>
        </w:rPr>
        <w:t>2020</w:t>
      </w:r>
      <w:r w:rsidRPr="00FA642C">
        <w:rPr>
          <w:rFonts w:eastAsiaTheme="minorEastAsia" w:hint="eastAsia"/>
          <w:sz w:val="24"/>
        </w:rPr>
        <w:t>年后全球生物多样性框架编制工作不限成员名额工作组共同主席</w:t>
      </w:r>
      <w:r w:rsidRPr="00FA642C">
        <w:rPr>
          <w:rFonts w:eastAsiaTheme="minorEastAsia"/>
          <w:sz w:val="24"/>
        </w:rPr>
        <w:t>在资源允许情况下，于</w:t>
      </w:r>
      <w:r w:rsidRPr="00FA642C">
        <w:rPr>
          <w:rFonts w:eastAsiaTheme="minorEastAsia"/>
          <w:sz w:val="24"/>
        </w:rPr>
        <w:t>2019</w:t>
      </w:r>
      <w:r w:rsidRPr="00FA642C">
        <w:rPr>
          <w:rFonts w:eastAsiaTheme="minorEastAsia"/>
          <w:sz w:val="24"/>
        </w:rPr>
        <w:t>年初组织一次讲习班，以便酌情促进各生物多样性相关公约缔约方开展讨论，探讨各公约如何促进制定</w:t>
      </w:r>
      <w:r w:rsidRPr="00FA642C">
        <w:rPr>
          <w:rFonts w:eastAsiaTheme="minorEastAsia"/>
          <w:sz w:val="24"/>
        </w:rPr>
        <w:t>2020</w:t>
      </w:r>
      <w:r w:rsidRPr="00FA642C">
        <w:rPr>
          <w:rFonts w:eastAsiaTheme="minorEastAsia"/>
          <w:sz w:val="24"/>
        </w:rPr>
        <w:t>年后全球生物多样性框架，并按照公约各自的任务授权确定可纳入框架的具体内容，</w:t>
      </w:r>
      <w:r w:rsidRPr="00FA642C">
        <w:rPr>
          <w:rFonts w:ascii="KaiTi" w:eastAsia="KaiTi" w:hAnsi="KaiTi" w:hint="eastAsia"/>
          <w:sz w:val="24"/>
        </w:rPr>
        <w:t>邀请</w:t>
      </w:r>
      <w:r w:rsidRPr="00FA642C">
        <w:rPr>
          <w:rFonts w:eastAsiaTheme="minorEastAsia"/>
          <w:sz w:val="24"/>
        </w:rPr>
        <w:t>生物多样性相关公约联络小组的成员参加讲习班，在不损害各自目标和承认各自任务规定并在资源允许的情况下加强生物多样性相关公约之间的协同作用和合作，以期推动它们更多参与</w:t>
      </w:r>
      <w:r w:rsidRPr="00FA642C">
        <w:rPr>
          <w:rFonts w:eastAsiaTheme="minorEastAsia"/>
          <w:sz w:val="24"/>
        </w:rPr>
        <w:t>2020</w:t>
      </w:r>
      <w:r w:rsidRPr="00FA642C">
        <w:rPr>
          <w:rFonts w:eastAsiaTheme="minorEastAsia"/>
          <w:sz w:val="24"/>
        </w:rPr>
        <w:t>年后</w:t>
      </w:r>
      <w:r w:rsidRPr="00FA642C">
        <w:rPr>
          <w:rFonts w:eastAsiaTheme="minorEastAsia" w:hint="eastAsia"/>
          <w:sz w:val="24"/>
        </w:rPr>
        <w:t>全球</w:t>
      </w:r>
      <w:r w:rsidRPr="00FA642C">
        <w:rPr>
          <w:rFonts w:eastAsiaTheme="minorEastAsia"/>
          <w:sz w:val="24"/>
        </w:rPr>
        <w:t>生物多样性框架的设计工作；</w:t>
      </w:r>
    </w:p>
    <w:p w:rsidR="001F1AAC"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肯定</w:t>
      </w:r>
      <w:r w:rsidRPr="00C91291">
        <w:rPr>
          <w:rFonts w:eastAsiaTheme="minorEastAsia"/>
          <w:sz w:val="24"/>
        </w:rPr>
        <w:t>执行秘书、</w:t>
      </w:r>
      <w:r w:rsidR="00780033">
        <w:rPr>
          <w:rFonts w:eastAsiaTheme="minorEastAsia"/>
          <w:sz w:val="24"/>
        </w:rPr>
        <w:t>联合国环境署</w:t>
      </w:r>
      <w:r w:rsidRPr="00C91291">
        <w:rPr>
          <w:rFonts w:eastAsiaTheme="minorEastAsia"/>
          <w:sz w:val="24"/>
        </w:rPr>
        <w:t>及其世界养护监测中心为在国际一级执行加强协同作用关键行动而开展的协作，</w:t>
      </w:r>
      <w:r w:rsidRPr="00D041BF">
        <w:rPr>
          <w:rFonts w:ascii="KaiTi" w:eastAsia="KaiTi" w:hAnsi="KaiTi" w:hint="eastAsia"/>
          <w:sz w:val="24"/>
        </w:rPr>
        <w:t>请</w:t>
      </w:r>
      <w:r w:rsidRPr="00C91291">
        <w:rPr>
          <w:rFonts w:eastAsiaTheme="minorEastAsia"/>
          <w:sz w:val="24"/>
        </w:rPr>
        <w:t>执行秘书在资源允许的情况下</w:t>
      </w:r>
      <w:r>
        <w:rPr>
          <w:rFonts w:eastAsiaTheme="minorEastAsia" w:hint="eastAsia"/>
          <w:sz w:val="24"/>
        </w:rPr>
        <w:t>，并</w:t>
      </w:r>
      <w:r w:rsidRPr="00D041BF">
        <w:rPr>
          <w:rFonts w:ascii="KaiTi" w:eastAsia="KaiTi" w:hAnsi="KaiTi" w:hint="eastAsia"/>
          <w:sz w:val="24"/>
        </w:rPr>
        <w:t>邀请</w:t>
      </w:r>
      <w:r w:rsidR="00780033">
        <w:rPr>
          <w:rFonts w:eastAsiaTheme="minorEastAsia"/>
          <w:sz w:val="24"/>
        </w:rPr>
        <w:t>联合国环境署</w:t>
      </w:r>
      <w:r w:rsidRPr="00C91291">
        <w:rPr>
          <w:rFonts w:eastAsiaTheme="minorEastAsia"/>
          <w:sz w:val="24"/>
        </w:rPr>
        <w:t>和其他有关国际组织</w:t>
      </w:r>
      <w:r>
        <w:rPr>
          <w:rFonts w:eastAsiaTheme="minorEastAsia" w:hint="eastAsia"/>
          <w:sz w:val="24"/>
        </w:rPr>
        <w:t>，</w:t>
      </w:r>
      <w:r w:rsidRPr="00C91291">
        <w:rPr>
          <w:rFonts w:eastAsiaTheme="minorEastAsia"/>
          <w:sz w:val="24"/>
        </w:rPr>
        <w:t>继续为执行路线图而开展此类举措和活动，同时酌情考虑到非正式咨询小组的意见；</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8B4FA4">
        <w:rPr>
          <w:rFonts w:ascii="KaiTi" w:eastAsia="KaiTi" w:hAnsi="KaiTi" w:cs="MS Mincho" w:hint="eastAsia"/>
          <w:kern w:val="22"/>
          <w:sz w:val="24"/>
        </w:rPr>
        <w:t>欢迎</w:t>
      </w:r>
      <w:r w:rsidRPr="00A36AAB">
        <w:rPr>
          <w:rFonts w:eastAsiaTheme="minorEastAsia" w:hint="eastAsia"/>
          <w:sz w:val="24"/>
        </w:rPr>
        <w:t>埃及政府</w:t>
      </w:r>
      <w:r>
        <w:rPr>
          <w:rFonts w:eastAsiaTheme="minorEastAsia" w:hint="eastAsia"/>
          <w:sz w:val="24"/>
        </w:rPr>
        <w:t>促进采取协调一致的办法</w:t>
      </w:r>
      <w:r w:rsidRPr="00A36AAB">
        <w:rPr>
          <w:rFonts w:eastAsiaTheme="minorEastAsia" w:hint="eastAsia"/>
          <w:sz w:val="24"/>
        </w:rPr>
        <w:t>解决生物多样性丧失</w:t>
      </w:r>
      <w:r>
        <w:rPr>
          <w:rFonts w:eastAsiaTheme="minorEastAsia" w:hint="eastAsia"/>
          <w:sz w:val="24"/>
        </w:rPr>
        <w:t>、</w:t>
      </w:r>
      <w:r w:rsidRPr="00A36AAB">
        <w:rPr>
          <w:rFonts w:eastAsiaTheme="minorEastAsia" w:hint="eastAsia"/>
          <w:sz w:val="24"/>
        </w:rPr>
        <w:t>气候变化以及土地和生态系统退化问题</w:t>
      </w:r>
      <w:r>
        <w:rPr>
          <w:rFonts w:eastAsiaTheme="minorEastAsia" w:hint="eastAsia"/>
          <w:sz w:val="24"/>
        </w:rPr>
        <w:t>的倡议；</w:t>
      </w:r>
      <w:r w:rsidRPr="008B4FA4">
        <w:rPr>
          <w:rFonts w:ascii="KaiTi" w:eastAsia="KaiTi" w:hAnsi="KaiTi" w:cs="MS Mincho" w:hint="eastAsia"/>
          <w:kern w:val="22"/>
          <w:sz w:val="24"/>
        </w:rPr>
        <w:t>请</w:t>
      </w:r>
      <w:r w:rsidRPr="00A36AAB">
        <w:rPr>
          <w:rFonts w:eastAsiaTheme="minorEastAsia" w:hint="eastAsia"/>
          <w:sz w:val="24"/>
        </w:rPr>
        <w:t>执行秘书</w:t>
      </w:r>
      <w:r>
        <w:rPr>
          <w:rFonts w:eastAsiaTheme="minorEastAsia" w:hint="eastAsia"/>
          <w:sz w:val="24"/>
        </w:rPr>
        <w:t>并</w:t>
      </w:r>
      <w:r w:rsidRPr="008B4FA4">
        <w:rPr>
          <w:rFonts w:ascii="KaiTi" w:eastAsia="KaiTi" w:hAnsi="KaiTi" w:cs="MS Mincho" w:hint="eastAsia"/>
          <w:kern w:val="22"/>
          <w:sz w:val="24"/>
        </w:rPr>
        <w:t>邀请</w:t>
      </w:r>
      <w:r w:rsidRPr="00A36AAB">
        <w:rPr>
          <w:rFonts w:eastAsiaTheme="minorEastAsia" w:hint="eastAsia"/>
          <w:sz w:val="24"/>
        </w:rPr>
        <w:t>各</w:t>
      </w:r>
      <w:r>
        <w:rPr>
          <w:rFonts w:eastAsiaTheme="minorEastAsia" w:hint="eastAsia"/>
          <w:sz w:val="24"/>
        </w:rPr>
        <w:t>缔约</w:t>
      </w:r>
      <w:r w:rsidRPr="00A36AAB">
        <w:rPr>
          <w:rFonts w:eastAsiaTheme="minorEastAsia" w:hint="eastAsia"/>
          <w:sz w:val="24"/>
        </w:rPr>
        <w:t>方和其他</w:t>
      </w:r>
      <w:r>
        <w:rPr>
          <w:rFonts w:eastAsiaTheme="minorEastAsia" w:hint="eastAsia"/>
          <w:sz w:val="24"/>
        </w:rPr>
        <w:t>国家</w:t>
      </w:r>
      <w:r w:rsidRPr="00A36AAB">
        <w:rPr>
          <w:rFonts w:eastAsiaTheme="minorEastAsia" w:hint="eastAsia"/>
          <w:sz w:val="24"/>
        </w:rPr>
        <w:t>政府以及</w:t>
      </w:r>
      <w:r>
        <w:rPr>
          <w:rFonts w:eastAsiaTheme="minorEastAsia" w:hint="eastAsia"/>
          <w:sz w:val="24"/>
        </w:rPr>
        <w:t>《</w:t>
      </w:r>
      <w:r w:rsidRPr="00A36AAB">
        <w:rPr>
          <w:rFonts w:eastAsiaTheme="minorEastAsia" w:hint="eastAsia"/>
          <w:sz w:val="24"/>
        </w:rPr>
        <w:t>联合国气候变化框架公约</w:t>
      </w:r>
      <w:r>
        <w:rPr>
          <w:rFonts w:eastAsiaTheme="minorEastAsia" w:hint="eastAsia"/>
          <w:sz w:val="24"/>
        </w:rPr>
        <w:t>》、《</w:t>
      </w:r>
      <w:r w:rsidRPr="00A36AAB">
        <w:rPr>
          <w:rFonts w:eastAsiaTheme="minorEastAsia" w:hint="eastAsia"/>
          <w:sz w:val="24"/>
        </w:rPr>
        <w:t>联合国防治荒漠化公约</w:t>
      </w:r>
      <w:r>
        <w:rPr>
          <w:rFonts w:eastAsiaTheme="minorEastAsia" w:hint="eastAsia"/>
          <w:sz w:val="24"/>
        </w:rPr>
        <w:t>》、</w:t>
      </w:r>
      <w:r w:rsidRPr="00A36AAB">
        <w:rPr>
          <w:rFonts w:eastAsiaTheme="minorEastAsia" w:hint="eastAsia"/>
          <w:sz w:val="24"/>
        </w:rPr>
        <w:t>联合国开发计划署</w:t>
      </w:r>
      <w:r>
        <w:rPr>
          <w:rFonts w:eastAsiaTheme="minorEastAsia" w:hint="eastAsia"/>
          <w:sz w:val="24"/>
        </w:rPr>
        <w:t>、</w:t>
      </w:r>
      <w:r w:rsidRPr="00A36AAB">
        <w:rPr>
          <w:rFonts w:eastAsiaTheme="minorEastAsia" w:hint="eastAsia"/>
          <w:sz w:val="24"/>
        </w:rPr>
        <w:t>全球环境基金</w:t>
      </w:r>
      <w:r>
        <w:rPr>
          <w:rFonts w:eastAsiaTheme="minorEastAsia" w:hint="eastAsia"/>
          <w:sz w:val="24"/>
        </w:rPr>
        <w:t>、</w:t>
      </w:r>
      <w:r w:rsidRPr="00A36AAB">
        <w:rPr>
          <w:rFonts w:eastAsiaTheme="minorEastAsia" w:hint="eastAsia"/>
          <w:sz w:val="24"/>
        </w:rPr>
        <w:t>绿色气候基金的理事机构和秘书处</w:t>
      </w:r>
      <w:r>
        <w:rPr>
          <w:rFonts w:eastAsiaTheme="minorEastAsia" w:hint="eastAsia"/>
          <w:sz w:val="24"/>
        </w:rPr>
        <w:t>、</w:t>
      </w:r>
      <w:r w:rsidRPr="00A36AAB">
        <w:rPr>
          <w:rFonts w:eastAsiaTheme="minorEastAsia" w:hint="eastAsia"/>
          <w:sz w:val="24"/>
        </w:rPr>
        <w:t>联合国其他相关实体</w:t>
      </w:r>
      <w:r>
        <w:rPr>
          <w:rFonts w:eastAsiaTheme="minorEastAsia" w:hint="eastAsia"/>
          <w:sz w:val="24"/>
        </w:rPr>
        <w:t>、</w:t>
      </w:r>
      <w:r w:rsidRPr="00A36AAB">
        <w:rPr>
          <w:rFonts w:eastAsiaTheme="minorEastAsia" w:hint="eastAsia"/>
          <w:sz w:val="24"/>
        </w:rPr>
        <w:t>民间社会</w:t>
      </w:r>
      <w:r>
        <w:rPr>
          <w:rFonts w:eastAsiaTheme="minorEastAsia" w:hint="eastAsia"/>
          <w:sz w:val="24"/>
        </w:rPr>
        <w:t>、</w:t>
      </w:r>
      <w:r w:rsidRPr="00A36AAB">
        <w:rPr>
          <w:rFonts w:eastAsiaTheme="minorEastAsia" w:hint="eastAsia"/>
          <w:sz w:val="24"/>
        </w:rPr>
        <w:t>土</w:t>
      </w:r>
      <w:r>
        <w:rPr>
          <w:rFonts w:eastAsiaTheme="minorEastAsia" w:hint="eastAsia"/>
          <w:sz w:val="24"/>
        </w:rPr>
        <w:t>著</w:t>
      </w:r>
      <w:r w:rsidRPr="00A36AAB">
        <w:rPr>
          <w:rFonts w:eastAsiaTheme="minorEastAsia" w:hint="eastAsia"/>
          <w:sz w:val="24"/>
        </w:rPr>
        <w:t>人民和当地社区</w:t>
      </w:r>
      <w:r>
        <w:rPr>
          <w:rFonts w:eastAsiaTheme="minorEastAsia" w:hint="eastAsia"/>
          <w:sz w:val="24"/>
        </w:rPr>
        <w:t>，</w:t>
      </w:r>
      <w:r w:rsidRPr="00A36AAB">
        <w:rPr>
          <w:rFonts w:eastAsiaTheme="minorEastAsia" w:hint="eastAsia"/>
          <w:sz w:val="24"/>
        </w:rPr>
        <w:t>酌情支持和促进这一</w:t>
      </w:r>
      <w:r>
        <w:rPr>
          <w:rFonts w:eastAsiaTheme="minorEastAsia" w:hint="eastAsia"/>
          <w:sz w:val="24"/>
        </w:rPr>
        <w:t>倡议</w:t>
      </w:r>
      <w:r w:rsidRPr="00A36AAB">
        <w:rPr>
          <w:rFonts w:eastAsiaTheme="minorEastAsia" w:hint="eastAsia"/>
          <w:sz w:val="24"/>
        </w:rPr>
        <w:t>，并考虑到</w:t>
      </w:r>
      <w:r>
        <w:rPr>
          <w:rFonts w:eastAsiaTheme="minorEastAsia" w:hint="eastAsia"/>
          <w:sz w:val="24"/>
        </w:rPr>
        <w:t>各</w:t>
      </w:r>
      <w:r w:rsidRPr="00A36AAB">
        <w:rPr>
          <w:rFonts w:eastAsiaTheme="minorEastAsia" w:hint="eastAsia"/>
          <w:sz w:val="24"/>
        </w:rPr>
        <w:t>国家和组织的</w:t>
      </w:r>
      <w:r>
        <w:rPr>
          <w:rFonts w:eastAsiaTheme="minorEastAsia" w:hint="eastAsia"/>
          <w:sz w:val="24"/>
        </w:rPr>
        <w:t>具体</w:t>
      </w:r>
      <w:r w:rsidRPr="00A36AAB">
        <w:rPr>
          <w:rFonts w:eastAsiaTheme="minorEastAsia" w:hint="eastAsia"/>
          <w:sz w:val="24"/>
        </w:rPr>
        <w:t>情况</w:t>
      </w:r>
      <w:r>
        <w:rPr>
          <w:rFonts w:eastAsiaTheme="minorEastAsia" w:hint="eastAsia"/>
          <w:sz w:val="24"/>
        </w:rPr>
        <w:t>；</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Pr>
          <w:rFonts w:ascii="KaiTi" w:eastAsia="KaiTi" w:hAnsi="KaiTi" w:cs="MS Mincho"/>
          <w:kern w:val="22"/>
          <w:sz w:val="24"/>
        </w:rPr>
        <w:t xml:space="preserve"> </w:t>
      </w:r>
      <w:r>
        <w:rPr>
          <w:rFonts w:ascii="KaiTi" w:eastAsia="KaiTi" w:hAnsi="KaiTi" w:cs="MS Mincho" w:hint="eastAsia"/>
          <w:kern w:val="22"/>
          <w:sz w:val="24"/>
        </w:rPr>
        <w:t>吁请</w:t>
      </w:r>
      <w:r w:rsidRPr="00C91291">
        <w:rPr>
          <w:rFonts w:eastAsiaTheme="minorEastAsia"/>
          <w:sz w:val="24"/>
        </w:rPr>
        <w:t>各缔约方按照本国的优先事项和能力，根据在</w:t>
      </w:r>
      <w:r w:rsidRPr="003B0B9B">
        <w:rPr>
          <w:rFonts w:asciiTheme="minorEastAsia" w:eastAsiaTheme="minorEastAsia" w:hAnsiTheme="minorEastAsia"/>
          <w:sz w:val="24"/>
        </w:rPr>
        <w:t>“关爱海岸”</w:t>
      </w:r>
      <w:r w:rsidRPr="001F1AAC">
        <w:rPr>
          <w:rFonts w:eastAsiaTheme="minorEastAsia"/>
          <w:sz w:val="24"/>
        </w:rPr>
        <w:t>倡议下进行的</w:t>
      </w:r>
      <w:r w:rsidRPr="001F1AAC">
        <w:rPr>
          <w:rFonts w:eastAsiaTheme="minorEastAsia"/>
          <w:sz w:val="24"/>
        </w:rPr>
        <w:lastRenderedPageBreak/>
        <w:t>协商进程的结果、执行秘书资料文件</w:t>
      </w:r>
      <w:r w:rsidRPr="001F1AAC">
        <w:rPr>
          <w:rStyle w:val="FootnoteReference"/>
          <w:rFonts w:eastAsiaTheme="minorEastAsia"/>
          <w:sz w:val="24"/>
          <w:u w:val="none"/>
          <w:vertAlign w:val="superscript"/>
        </w:rPr>
        <w:footnoteReference w:id="293"/>
      </w:r>
      <w:r w:rsidRPr="001F1AAC">
        <w:rPr>
          <w:rFonts w:eastAsiaTheme="minorEastAsia"/>
          <w:sz w:val="24"/>
          <w:vertAlign w:val="superscript"/>
        </w:rPr>
        <w:t xml:space="preserve"> </w:t>
      </w:r>
      <w:r w:rsidRPr="001F1AAC">
        <w:rPr>
          <w:rFonts w:eastAsiaTheme="minorEastAsia"/>
          <w:sz w:val="24"/>
        </w:rPr>
        <w:t>所载协商进程形成的工作计划以及养护野生动物</w:t>
      </w:r>
      <w:r w:rsidRPr="001F1AAC">
        <w:rPr>
          <w:rStyle w:val="style21"/>
          <w:rFonts w:hint="eastAsia"/>
          <w:color w:val="auto"/>
        </w:rPr>
        <w:t>移栖物种公约缔约方大会第十二届会议</w:t>
      </w:r>
      <w:r w:rsidRPr="001F1AAC">
        <w:rPr>
          <w:rStyle w:val="FootnoteReference"/>
          <w:rFonts w:eastAsiaTheme="minorEastAsia"/>
          <w:sz w:val="24"/>
          <w:u w:val="none"/>
          <w:vertAlign w:val="superscript"/>
        </w:rPr>
        <w:footnoteReference w:id="294"/>
      </w:r>
      <w:r w:rsidRPr="001F1AAC">
        <w:rPr>
          <w:rStyle w:val="FootnoteReference"/>
          <w:sz w:val="24"/>
          <w:u w:val="none"/>
          <w:vertAlign w:val="superscript"/>
        </w:rPr>
        <w:t xml:space="preserve"> </w:t>
      </w:r>
      <w:r w:rsidRPr="001F1AAC">
        <w:rPr>
          <w:rStyle w:val="style21"/>
          <w:rFonts w:hint="eastAsia"/>
          <w:color w:val="auto"/>
        </w:rPr>
        <w:t>和关于特别是作为水禽栖息地的国际重要湿地公约缔约方大会第十三届会议</w:t>
      </w:r>
      <w:r w:rsidRPr="001F1AAC">
        <w:rPr>
          <w:rFonts w:eastAsiaTheme="minorEastAsia"/>
          <w:sz w:val="24"/>
        </w:rPr>
        <w:t>通过的相关决议</w:t>
      </w:r>
      <w:r w:rsidRPr="001F1AAC">
        <w:rPr>
          <w:rFonts w:eastAsiaTheme="minorEastAsia" w:hint="eastAsia"/>
          <w:sz w:val="24"/>
        </w:rPr>
        <w:t>，</w:t>
      </w:r>
      <w:r w:rsidRPr="001F1AAC">
        <w:rPr>
          <w:rStyle w:val="FootnoteReference"/>
          <w:rFonts w:eastAsiaTheme="minorEastAsia"/>
          <w:sz w:val="24"/>
          <w:szCs w:val="24"/>
          <w:u w:val="none"/>
          <w:vertAlign w:val="superscript"/>
        </w:rPr>
        <w:footnoteReference w:id="295"/>
      </w:r>
      <w:r w:rsidRPr="001F1AAC">
        <w:rPr>
          <w:rFonts w:eastAsiaTheme="minorEastAsia"/>
          <w:sz w:val="24"/>
          <w:vertAlign w:val="superscript"/>
        </w:rPr>
        <w:t xml:space="preserve"> </w:t>
      </w:r>
      <w:r w:rsidRPr="001F1AAC">
        <w:rPr>
          <w:rFonts w:eastAsiaTheme="minorEastAsia"/>
          <w:sz w:val="24"/>
        </w:rPr>
        <w:t>为执行拟议工作计划所列活动尤其是重点保护沿海湿地的</w:t>
      </w:r>
      <w:r w:rsidRPr="001F1AAC">
        <w:rPr>
          <w:rFonts w:asciiTheme="minorEastAsia" w:eastAsiaTheme="minorEastAsia" w:hAnsiTheme="minorEastAsia"/>
          <w:sz w:val="24"/>
        </w:rPr>
        <w:t>全球“海岸论坛”</w:t>
      </w:r>
      <w:r w:rsidRPr="001F1AAC">
        <w:rPr>
          <w:rFonts w:eastAsiaTheme="minorEastAsia"/>
          <w:sz w:val="24"/>
        </w:rPr>
        <w:t>提供进一步支持</w:t>
      </w:r>
      <w:r w:rsidRPr="00C91291">
        <w:rPr>
          <w:rFonts w:eastAsiaTheme="minorEastAsia"/>
          <w:sz w:val="24"/>
        </w:rPr>
        <w:t>；</w:t>
      </w:r>
      <w:r>
        <w:rPr>
          <w:rFonts w:eastAsiaTheme="minorEastAsia" w:hint="eastAsia"/>
          <w:sz w:val="24"/>
        </w:rPr>
        <w:t xml:space="preserve"> </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请</w:t>
      </w:r>
      <w:r w:rsidRPr="00C91291">
        <w:rPr>
          <w:rFonts w:eastAsiaTheme="minorEastAsia"/>
          <w:sz w:val="24"/>
        </w:rPr>
        <w:t>执行秘书在资源允许的情况下，与《养护野生动物移栖物种公约》</w:t>
      </w:r>
      <w:r>
        <w:rPr>
          <w:rFonts w:eastAsiaTheme="minorEastAsia" w:hint="eastAsia"/>
          <w:sz w:val="24"/>
        </w:rPr>
        <w:t>和</w:t>
      </w:r>
      <w:r w:rsidRPr="00910352">
        <w:rPr>
          <w:rFonts w:eastAsiaTheme="minorEastAsia" w:hint="eastAsia"/>
          <w:sz w:val="24"/>
        </w:rPr>
        <w:t>《关于特别是作为水禽栖息地的国际重要湿地公约》</w:t>
      </w:r>
      <w:r>
        <w:rPr>
          <w:rFonts w:eastAsiaTheme="minorEastAsia" w:hint="eastAsia"/>
          <w:sz w:val="24"/>
        </w:rPr>
        <w:t>的</w:t>
      </w:r>
      <w:r w:rsidRPr="00C91291">
        <w:rPr>
          <w:rFonts w:eastAsiaTheme="minorEastAsia"/>
          <w:sz w:val="24"/>
        </w:rPr>
        <w:t>秘书处</w:t>
      </w:r>
      <w:r>
        <w:rPr>
          <w:rFonts w:eastAsiaTheme="minorEastAsia" w:hint="eastAsia"/>
          <w:sz w:val="24"/>
        </w:rPr>
        <w:t>以及“蓝色生物贸易倡议”范围内的联合国贸易和发展组织等</w:t>
      </w:r>
      <w:r w:rsidRPr="00C91291">
        <w:rPr>
          <w:rFonts w:eastAsiaTheme="minorEastAsia"/>
          <w:sz w:val="24"/>
        </w:rPr>
        <w:t>其他有关</w:t>
      </w:r>
      <w:r>
        <w:rPr>
          <w:rFonts w:eastAsiaTheme="minorEastAsia" w:hint="eastAsia"/>
          <w:sz w:val="24"/>
        </w:rPr>
        <w:t>组织</w:t>
      </w:r>
      <w:r w:rsidRPr="00C91291">
        <w:rPr>
          <w:rFonts w:eastAsiaTheme="minorEastAsia"/>
          <w:sz w:val="24"/>
        </w:rPr>
        <w:t>进一步协调</w:t>
      </w:r>
      <w:r w:rsidRPr="00812E4D">
        <w:rPr>
          <w:rFonts w:asciiTheme="minorEastAsia" w:eastAsiaTheme="minorEastAsia" w:hAnsiTheme="minorEastAsia"/>
          <w:sz w:val="24"/>
        </w:rPr>
        <w:t>“关爱海岸”</w:t>
      </w:r>
      <w:r w:rsidRPr="00C91291">
        <w:rPr>
          <w:rFonts w:eastAsiaTheme="minorEastAsia"/>
          <w:sz w:val="24"/>
        </w:rPr>
        <w:t>倡议，以便加强在全球沿海生态系统的管理和恢复工作中的协同作用；</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鼓励</w:t>
      </w:r>
      <w:r w:rsidRPr="00C91291">
        <w:rPr>
          <w:rFonts w:eastAsiaTheme="minorEastAsia"/>
          <w:sz w:val="24"/>
        </w:rPr>
        <w:t>同为《联合国气候变化框架公约》</w:t>
      </w:r>
      <w:r>
        <w:rPr>
          <w:rFonts w:eastAsiaTheme="minorEastAsia" w:hint="eastAsia"/>
          <w:sz w:val="24"/>
        </w:rPr>
        <w:t>或《</w:t>
      </w:r>
      <w:r w:rsidRPr="00A36AAB">
        <w:rPr>
          <w:rFonts w:eastAsiaTheme="minorEastAsia" w:hint="eastAsia"/>
          <w:sz w:val="24"/>
        </w:rPr>
        <w:t>联合国防治荒漠化公约</w:t>
      </w:r>
      <w:r>
        <w:rPr>
          <w:rFonts w:eastAsiaTheme="minorEastAsia" w:hint="eastAsia"/>
          <w:sz w:val="24"/>
        </w:rPr>
        <w:t>》</w:t>
      </w:r>
      <w:r w:rsidRPr="00C91291">
        <w:rPr>
          <w:rFonts w:eastAsiaTheme="minorEastAsia"/>
          <w:sz w:val="24"/>
        </w:rPr>
        <w:t>缔约方的《公约》缔约方</w:t>
      </w:r>
      <w:r>
        <w:rPr>
          <w:rFonts w:eastAsiaTheme="minorEastAsia" w:hint="eastAsia"/>
          <w:sz w:val="24"/>
        </w:rPr>
        <w:t>，</w:t>
      </w:r>
      <w:r w:rsidRPr="00C91291">
        <w:rPr>
          <w:rFonts w:eastAsiaTheme="minorEastAsia"/>
          <w:sz w:val="24"/>
        </w:rPr>
        <w:t>酌情考虑</w:t>
      </w:r>
      <w:r w:rsidRPr="00C91291">
        <w:rPr>
          <w:rFonts w:eastAsiaTheme="minorEastAsia"/>
          <w:color w:val="212121"/>
          <w:sz w:val="24"/>
        </w:rPr>
        <w:t>其执</w:t>
      </w:r>
      <w:r>
        <w:rPr>
          <w:rFonts w:eastAsiaTheme="minorEastAsia"/>
          <w:color w:val="212121"/>
          <w:sz w:val="24"/>
        </w:rPr>
        <w:t>行《生物多样性公约》的行动，包括其国家生物多样性战略和行动计划</w:t>
      </w:r>
      <w:r w:rsidRPr="00C91291">
        <w:rPr>
          <w:rFonts w:eastAsiaTheme="minorEastAsia"/>
          <w:color w:val="212121"/>
          <w:sz w:val="24"/>
        </w:rPr>
        <w:t>与</w:t>
      </w:r>
      <w:r>
        <w:rPr>
          <w:rFonts w:eastAsiaTheme="minorEastAsia" w:hint="eastAsia"/>
          <w:color w:val="212121"/>
          <w:sz w:val="24"/>
        </w:rPr>
        <w:t>分别</w:t>
      </w:r>
      <w:r w:rsidRPr="00C91291">
        <w:rPr>
          <w:rFonts w:eastAsiaTheme="minorEastAsia"/>
          <w:color w:val="212121"/>
          <w:sz w:val="24"/>
        </w:rPr>
        <w:t>为实现对《巴黎协定》</w:t>
      </w:r>
      <w:r w:rsidRPr="00C91291">
        <w:rPr>
          <w:rFonts w:eastAsiaTheme="minorEastAsia"/>
          <w:color w:val="000000"/>
          <w:kern w:val="22"/>
          <w:sz w:val="24"/>
          <w:vertAlign w:val="superscript"/>
        </w:rPr>
        <w:footnoteReference w:id="296"/>
      </w:r>
      <w:r w:rsidRPr="00D041BF">
        <w:rPr>
          <w:rFonts w:eastAsiaTheme="minorEastAsia"/>
          <w:color w:val="212121"/>
          <w:sz w:val="24"/>
          <w:vertAlign w:val="superscript"/>
        </w:rPr>
        <w:t xml:space="preserve"> </w:t>
      </w:r>
      <w:r>
        <w:rPr>
          <w:rFonts w:eastAsiaTheme="minorEastAsia" w:hint="eastAsia"/>
          <w:color w:val="212121"/>
          <w:sz w:val="24"/>
        </w:rPr>
        <w:t>和其国家行动方案的</w:t>
      </w:r>
      <w:r w:rsidRPr="00C91291">
        <w:rPr>
          <w:rFonts w:eastAsiaTheme="minorEastAsia"/>
          <w:color w:val="212121"/>
          <w:sz w:val="24"/>
        </w:rPr>
        <w:t>国家自主贡献采取</w:t>
      </w:r>
      <w:r>
        <w:rPr>
          <w:rFonts w:eastAsiaTheme="minorEastAsia" w:hint="eastAsia"/>
          <w:color w:val="212121"/>
          <w:sz w:val="24"/>
        </w:rPr>
        <w:t>的</w:t>
      </w:r>
      <w:r w:rsidRPr="00C91291">
        <w:rPr>
          <w:rFonts w:eastAsiaTheme="minorEastAsia"/>
          <w:color w:val="212121"/>
          <w:sz w:val="24"/>
        </w:rPr>
        <w:t>行动的相关性</w:t>
      </w:r>
      <w:r>
        <w:rPr>
          <w:rFonts w:eastAsiaTheme="minorEastAsia" w:hint="eastAsia"/>
          <w:color w:val="212121"/>
          <w:sz w:val="24"/>
        </w:rPr>
        <w:t>，并酌情考虑旨在减少人类对气候变化脆弱性的</w:t>
      </w:r>
      <w:r w:rsidRPr="00FE5C56">
        <w:rPr>
          <w:rFonts w:eastAsiaTheme="minorEastAsia"/>
          <w:color w:val="212121"/>
          <w:sz w:val="24"/>
        </w:rPr>
        <w:t>基于生态系统的适应办法</w:t>
      </w:r>
      <w:r w:rsidRPr="00C91291">
        <w:rPr>
          <w:rFonts w:eastAsiaTheme="minorEastAsia"/>
          <w:color w:val="212121"/>
          <w:sz w:val="24"/>
        </w:rPr>
        <w:t>；</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邀请</w:t>
      </w:r>
      <w:r w:rsidRPr="00C91291">
        <w:rPr>
          <w:rFonts w:eastAsiaTheme="minorEastAsia"/>
          <w:sz w:val="24"/>
        </w:rPr>
        <w:t>同为联合国森林论坛成员的《公约》缔约方</w:t>
      </w:r>
      <w:r>
        <w:rPr>
          <w:rFonts w:eastAsiaTheme="minorEastAsia" w:hint="eastAsia"/>
          <w:sz w:val="24"/>
        </w:rPr>
        <w:t>酌情</w:t>
      </w:r>
      <w:r w:rsidRPr="00C91291">
        <w:rPr>
          <w:rFonts w:eastAsiaTheme="minorEastAsia"/>
          <w:sz w:val="24"/>
        </w:rPr>
        <w:t>考虑在其国家生物多样性战略和行动计划下采取的行动，对于为实现联合国</w:t>
      </w:r>
      <w:r w:rsidRPr="00C91291">
        <w:rPr>
          <w:rFonts w:eastAsiaTheme="minorEastAsia"/>
          <w:sz w:val="24"/>
        </w:rPr>
        <w:t>2017-2030</w:t>
      </w:r>
      <w:r w:rsidRPr="00C91291">
        <w:rPr>
          <w:rFonts w:eastAsiaTheme="minorEastAsia"/>
          <w:sz w:val="24"/>
        </w:rPr>
        <w:t>年森林战略计划</w:t>
      </w:r>
      <w:r w:rsidRPr="00536722">
        <w:rPr>
          <w:rStyle w:val="FootnoteReference"/>
          <w:rFonts w:eastAsiaTheme="minorEastAsia"/>
          <w:color w:val="000000"/>
          <w:kern w:val="22"/>
          <w:sz w:val="24"/>
          <w:vertAlign w:val="superscript"/>
        </w:rPr>
        <w:footnoteReference w:id="297"/>
      </w:r>
      <w:r w:rsidRPr="00D041BF">
        <w:rPr>
          <w:rFonts w:eastAsiaTheme="minorEastAsia"/>
          <w:sz w:val="24"/>
          <w:vertAlign w:val="superscript"/>
        </w:rPr>
        <w:t xml:space="preserve"> </w:t>
      </w:r>
      <w:r w:rsidRPr="00C91291">
        <w:rPr>
          <w:rFonts w:eastAsiaTheme="minorEastAsia"/>
          <w:sz w:val="24"/>
        </w:rPr>
        <w:t>的一项或多项全球森林目标和具体目标而设计</w:t>
      </w:r>
      <w:r>
        <w:rPr>
          <w:rFonts w:eastAsiaTheme="minorEastAsia" w:hint="eastAsia"/>
          <w:sz w:val="24"/>
        </w:rPr>
        <w:t>其国家自主贡献</w:t>
      </w:r>
      <w:r w:rsidRPr="00C91291">
        <w:rPr>
          <w:rFonts w:eastAsiaTheme="minorEastAsia"/>
          <w:sz w:val="24"/>
        </w:rPr>
        <w:t>，有无相关性；</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Pr>
          <w:rFonts w:ascii="KaiTi" w:eastAsia="KaiTi" w:hAnsi="KaiTi" w:cs="MS Mincho" w:hint="eastAsia"/>
          <w:kern w:val="22"/>
          <w:sz w:val="24"/>
        </w:rPr>
        <w:t>邀</w:t>
      </w:r>
      <w:r w:rsidRPr="00C91291">
        <w:rPr>
          <w:rFonts w:ascii="KaiTi" w:eastAsia="KaiTi" w:hAnsi="KaiTi" w:cs="MS Mincho"/>
          <w:kern w:val="22"/>
          <w:sz w:val="24"/>
        </w:rPr>
        <w:t>请</w:t>
      </w:r>
      <w:r w:rsidRPr="00C91291">
        <w:rPr>
          <w:rFonts w:eastAsiaTheme="minorEastAsia"/>
          <w:sz w:val="24"/>
        </w:rPr>
        <w:t>生物多样性相关公约联络小组考虑加强各公约之间合作的方式方法，</w:t>
      </w:r>
      <w:r>
        <w:rPr>
          <w:rFonts w:eastAsiaTheme="minorEastAsia" w:hint="eastAsia"/>
          <w:sz w:val="24"/>
        </w:rPr>
        <w:t>以便</w:t>
      </w:r>
      <w:r w:rsidRPr="00C91291">
        <w:rPr>
          <w:rFonts w:eastAsiaTheme="minorEastAsia"/>
          <w:sz w:val="24"/>
        </w:rPr>
        <w:t>在现有战略联盟、网络和倡议范围内以及在执行</w:t>
      </w:r>
      <w:r w:rsidRPr="00566D60">
        <w:rPr>
          <w:rFonts w:eastAsiaTheme="minorEastAsia"/>
          <w:sz w:val="24"/>
        </w:rPr>
        <w:t>岛屿生物多样性工作方案</w:t>
      </w:r>
      <w:r>
        <w:rPr>
          <w:rFonts w:eastAsiaTheme="minorEastAsia" w:hint="eastAsia"/>
          <w:sz w:val="24"/>
        </w:rPr>
        <w:t>和</w:t>
      </w:r>
      <w:r w:rsidRPr="00C91291">
        <w:rPr>
          <w:rFonts w:eastAsiaTheme="minorEastAsia"/>
          <w:sz w:val="24"/>
        </w:rPr>
        <w:t>《萨摩亚途径》</w:t>
      </w:r>
      <w:r w:rsidRPr="00566D60">
        <w:rPr>
          <w:rStyle w:val="FootnoteReference"/>
          <w:rFonts w:eastAsiaTheme="minorEastAsia"/>
          <w:kern w:val="22"/>
          <w:sz w:val="24"/>
          <w:vertAlign w:val="superscript"/>
        </w:rPr>
        <w:footnoteReference w:id="298"/>
      </w:r>
      <w:r w:rsidRPr="00D041BF">
        <w:rPr>
          <w:rFonts w:eastAsiaTheme="minorEastAsia"/>
          <w:sz w:val="24"/>
          <w:vertAlign w:val="superscript"/>
        </w:rPr>
        <w:t xml:space="preserve"> </w:t>
      </w:r>
      <w:r w:rsidRPr="00C91291">
        <w:rPr>
          <w:rFonts w:eastAsiaTheme="minorEastAsia"/>
          <w:sz w:val="24"/>
        </w:rPr>
        <w:t>的背景下，支持小岛屿发展中国家的执行工作</w:t>
      </w:r>
      <w:r>
        <w:rPr>
          <w:rFonts w:eastAsiaTheme="minorEastAsia" w:hint="eastAsia"/>
          <w:sz w:val="24"/>
        </w:rPr>
        <w:t>，包括监测和报告方面的工作</w:t>
      </w:r>
      <w:r w:rsidRPr="00C91291">
        <w:rPr>
          <w:rFonts w:eastAsiaTheme="minorEastAsia"/>
          <w:sz w:val="24"/>
        </w:rPr>
        <w:t>；</w:t>
      </w:r>
    </w:p>
    <w:p w:rsidR="001F1AAC"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请</w:t>
      </w:r>
      <w:r w:rsidRPr="00C91291">
        <w:rPr>
          <w:rFonts w:eastAsiaTheme="minorEastAsia"/>
          <w:sz w:val="24"/>
        </w:rPr>
        <w:t>执行秘书</w:t>
      </w:r>
      <w:r>
        <w:rPr>
          <w:rFonts w:eastAsiaTheme="minorEastAsia" w:hint="eastAsia"/>
          <w:sz w:val="24"/>
        </w:rPr>
        <w:t>考虑是否有机会：</w:t>
      </w:r>
    </w:p>
    <w:p w:rsidR="001F1AAC" w:rsidRDefault="001F1AAC" w:rsidP="001F1AAC">
      <w:pPr>
        <w:pStyle w:val="bodytextnoindent"/>
        <w:numPr>
          <w:ilvl w:val="1"/>
          <w:numId w:val="258"/>
        </w:numPr>
        <w:tabs>
          <w:tab w:val="left" w:pos="1440"/>
        </w:tabs>
        <w:snapToGrid w:val="0"/>
        <w:ind w:left="0" w:firstLine="720"/>
        <w:rPr>
          <w:rFonts w:eastAsiaTheme="minorEastAsia"/>
          <w:sz w:val="24"/>
        </w:rPr>
      </w:pPr>
      <w:r w:rsidRPr="00C91291">
        <w:rPr>
          <w:rFonts w:eastAsiaTheme="minorEastAsia"/>
          <w:sz w:val="24"/>
        </w:rPr>
        <w:t>与南极条约体系</w:t>
      </w:r>
      <w:r>
        <w:rPr>
          <w:rFonts w:eastAsiaTheme="minorEastAsia" w:hint="eastAsia"/>
          <w:sz w:val="24"/>
        </w:rPr>
        <w:t>的</w:t>
      </w:r>
      <w:r w:rsidRPr="00C91291">
        <w:rPr>
          <w:rFonts w:eastAsiaTheme="minorEastAsia"/>
          <w:sz w:val="24"/>
        </w:rPr>
        <w:t>生物多样性</w:t>
      </w:r>
      <w:r>
        <w:rPr>
          <w:rFonts w:eastAsiaTheme="minorEastAsia" w:hint="eastAsia"/>
          <w:sz w:val="24"/>
        </w:rPr>
        <w:t>相关</w:t>
      </w:r>
      <w:r w:rsidRPr="00C91291">
        <w:rPr>
          <w:rFonts w:eastAsiaTheme="minorEastAsia"/>
          <w:sz w:val="24"/>
        </w:rPr>
        <w:t>公约</w:t>
      </w:r>
      <w:r>
        <w:rPr>
          <w:rFonts w:eastAsiaTheme="minorEastAsia" w:hint="eastAsia"/>
          <w:sz w:val="24"/>
        </w:rPr>
        <w:t>开展</w:t>
      </w:r>
      <w:r w:rsidRPr="00C91291">
        <w:rPr>
          <w:rFonts w:eastAsiaTheme="minorEastAsia"/>
          <w:sz w:val="24"/>
        </w:rPr>
        <w:t>合作；</w:t>
      </w:r>
    </w:p>
    <w:p w:rsidR="001F1AAC" w:rsidRDefault="001F1AAC" w:rsidP="001F1AAC">
      <w:pPr>
        <w:pStyle w:val="bodytextnoindent"/>
        <w:numPr>
          <w:ilvl w:val="1"/>
          <w:numId w:val="258"/>
        </w:numPr>
        <w:tabs>
          <w:tab w:val="left" w:pos="1440"/>
        </w:tabs>
        <w:snapToGrid w:val="0"/>
        <w:ind w:left="0" w:firstLine="720"/>
        <w:rPr>
          <w:rFonts w:eastAsiaTheme="minorEastAsia"/>
          <w:sz w:val="24"/>
        </w:rPr>
      </w:pPr>
      <w:r w:rsidRPr="00A001E0">
        <w:rPr>
          <w:rFonts w:eastAsiaTheme="minorEastAsia" w:hint="eastAsia"/>
          <w:sz w:val="24"/>
        </w:rPr>
        <w:t>加强与国际捕鲸委员会</w:t>
      </w:r>
      <w:r>
        <w:rPr>
          <w:rFonts w:eastAsiaTheme="minorEastAsia" w:hint="eastAsia"/>
          <w:sz w:val="24"/>
        </w:rPr>
        <w:t>在共同关心的领域内</w:t>
      </w:r>
      <w:r w:rsidRPr="00A001E0">
        <w:rPr>
          <w:rFonts w:eastAsiaTheme="minorEastAsia" w:hint="eastAsia"/>
          <w:sz w:val="24"/>
        </w:rPr>
        <w:t>的合作，</w:t>
      </w:r>
      <w:r>
        <w:rPr>
          <w:rFonts w:eastAsiaTheme="minorEastAsia" w:hint="eastAsia"/>
          <w:sz w:val="24"/>
        </w:rPr>
        <w:t>并在</w:t>
      </w:r>
      <w:r w:rsidRPr="00A001E0">
        <w:rPr>
          <w:rFonts w:eastAsiaTheme="minorEastAsia" w:hint="eastAsia"/>
          <w:sz w:val="24"/>
        </w:rPr>
        <w:t>有关化学品和废物问题</w:t>
      </w:r>
      <w:r>
        <w:rPr>
          <w:rFonts w:eastAsiaTheme="minorEastAsia" w:hint="eastAsia"/>
          <w:sz w:val="24"/>
        </w:rPr>
        <w:t>上加强</w:t>
      </w:r>
      <w:r w:rsidRPr="00A001E0">
        <w:rPr>
          <w:rFonts w:eastAsiaTheme="minorEastAsia" w:hint="eastAsia"/>
          <w:sz w:val="24"/>
        </w:rPr>
        <w:t>与</w:t>
      </w:r>
      <w:r>
        <w:rPr>
          <w:rFonts w:eastAsiaTheme="minorEastAsia" w:hint="eastAsia"/>
          <w:sz w:val="24"/>
        </w:rPr>
        <w:t>《</w:t>
      </w:r>
      <w:r w:rsidRPr="00A001E0">
        <w:rPr>
          <w:rFonts w:eastAsiaTheme="minorEastAsia" w:hint="eastAsia"/>
          <w:sz w:val="24"/>
        </w:rPr>
        <w:t>巴塞尔</w:t>
      </w:r>
      <w:r>
        <w:rPr>
          <w:rFonts w:eastAsiaTheme="minorEastAsia" w:hint="eastAsia"/>
          <w:sz w:val="24"/>
        </w:rPr>
        <w:t>公约》、《</w:t>
      </w:r>
      <w:r w:rsidRPr="00A001E0">
        <w:rPr>
          <w:rFonts w:eastAsiaTheme="minorEastAsia" w:hint="eastAsia"/>
          <w:sz w:val="24"/>
        </w:rPr>
        <w:t>鹿特丹</w:t>
      </w:r>
      <w:r>
        <w:rPr>
          <w:rFonts w:eastAsiaTheme="minorEastAsia" w:hint="eastAsia"/>
          <w:sz w:val="24"/>
        </w:rPr>
        <w:t>公约》、《</w:t>
      </w:r>
      <w:r w:rsidRPr="00A001E0">
        <w:rPr>
          <w:rFonts w:eastAsiaTheme="minorEastAsia" w:hint="eastAsia"/>
          <w:sz w:val="24"/>
        </w:rPr>
        <w:t>斯德哥尔摩</w:t>
      </w:r>
      <w:r>
        <w:rPr>
          <w:rFonts w:eastAsiaTheme="minorEastAsia" w:hint="eastAsia"/>
          <w:sz w:val="24"/>
        </w:rPr>
        <w:t>公约》和</w:t>
      </w:r>
      <w:r w:rsidRPr="00F1041B">
        <w:rPr>
          <w:rFonts w:eastAsiaTheme="minorEastAsia" w:hint="eastAsia"/>
          <w:sz w:val="24"/>
        </w:rPr>
        <w:t>《</w:t>
      </w:r>
      <w:r w:rsidRPr="00F1041B">
        <w:rPr>
          <w:rFonts w:eastAsiaTheme="minorEastAsia"/>
          <w:sz w:val="24"/>
        </w:rPr>
        <w:t>水俣公</w:t>
      </w:r>
      <w:r w:rsidRPr="00F1041B">
        <w:rPr>
          <w:rFonts w:eastAsiaTheme="minorEastAsia" w:hint="eastAsia"/>
          <w:sz w:val="24"/>
        </w:rPr>
        <w:t>约》</w:t>
      </w:r>
      <w:r w:rsidRPr="00A001E0">
        <w:rPr>
          <w:rFonts w:eastAsiaTheme="minorEastAsia" w:hint="eastAsia"/>
          <w:sz w:val="24"/>
        </w:rPr>
        <w:t>的合作</w:t>
      </w:r>
      <w:r>
        <w:rPr>
          <w:rFonts w:eastAsiaTheme="minorEastAsia" w:hint="eastAsia"/>
          <w:sz w:val="24"/>
        </w:rPr>
        <w:t>；</w:t>
      </w:r>
    </w:p>
    <w:p w:rsidR="001F1AAC" w:rsidRPr="00C91291" w:rsidRDefault="001F1AAC" w:rsidP="001F1AAC">
      <w:pPr>
        <w:pStyle w:val="bodytextnoindent"/>
        <w:numPr>
          <w:ilvl w:val="1"/>
          <w:numId w:val="258"/>
        </w:numPr>
        <w:tabs>
          <w:tab w:val="left" w:pos="1440"/>
        </w:tabs>
        <w:snapToGrid w:val="0"/>
        <w:ind w:left="0" w:firstLine="720"/>
        <w:rPr>
          <w:rFonts w:eastAsiaTheme="minorEastAsia"/>
          <w:sz w:val="24"/>
        </w:rPr>
      </w:pPr>
      <w:r w:rsidRPr="002C3BA5">
        <w:rPr>
          <w:rFonts w:eastAsiaTheme="minorEastAsia" w:hint="eastAsia"/>
          <w:sz w:val="24"/>
        </w:rPr>
        <w:t>进一步加强与</w:t>
      </w:r>
      <w:r>
        <w:rPr>
          <w:rFonts w:eastAsiaTheme="minorEastAsia" w:hint="eastAsia"/>
          <w:sz w:val="24"/>
        </w:rPr>
        <w:t>《</w:t>
      </w:r>
      <w:r w:rsidRPr="002C3BA5">
        <w:rPr>
          <w:rFonts w:eastAsiaTheme="minorEastAsia" w:hint="eastAsia"/>
          <w:sz w:val="24"/>
        </w:rPr>
        <w:t>联合国防治荒漠化公约</w:t>
      </w:r>
      <w:r>
        <w:rPr>
          <w:rFonts w:eastAsiaTheme="minorEastAsia" w:hint="eastAsia"/>
          <w:sz w:val="24"/>
        </w:rPr>
        <w:t>》在</w:t>
      </w:r>
      <w:r>
        <w:rPr>
          <w:rFonts w:eastAsiaTheme="minorEastAsia"/>
          <w:sz w:val="24"/>
        </w:rPr>
        <w:t>涉及</w:t>
      </w:r>
      <w:r>
        <w:rPr>
          <w:rFonts w:eastAsiaTheme="minorEastAsia" w:hint="eastAsia"/>
          <w:sz w:val="24"/>
        </w:rPr>
        <w:t>土地退化和恢复问题上的合作，以及</w:t>
      </w:r>
      <w:r w:rsidRPr="002C3BA5">
        <w:rPr>
          <w:rFonts w:eastAsiaTheme="minorEastAsia" w:hint="eastAsia"/>
          <w:sz w:val="24"/>
        </w:rPr>
        <w:t>在</w:t>
      </w:r>
      <w:r>
        <w:rPr>
          <w:rFonts w:eastAsiaTheme="minorEastAsia" w:hint="eastAsia"/>
          <w:sz w:val="24"/>
        </w:rPr>
        <w:t>《</w:t>
      </w:r>
      <w:r w:rsidRPr="002C3BA5">
        <w:rPr>
          <w:rFonts w:eastAsiaTheme="minorEastAsia" w:hint="eastAsia"/>
          <w:sz w:val="24"/>
        </w:rPr>
        <w:t>公约</w:t>
      </w:r>
      <w:r>
        <w:rPr>
          <w:rFonts w:eastAsiaTheme="minorEastAsia" w:hint="eastAsia"/>
          <w:sz w:val="24"/>
        </w:rPr>
        <w:t>》</w:t>
      </w:r>
      <w:r w:rsidRPr="002C3BA5">
        <w:rPr>
          <w:rFonts w:eastAsiaTheme="minorEastAsia" w:hint="eastAsia"/>
          <w:sz w:val="24"/>
        </w:rPr>
        <w:t>与</w:t>
      </w:r>
      <w:r>
        <w:rPr>
          <w:rFonts w:eastAsiaTheme="minorEastAsia" w:hint="eastAsia"/>
          <w:sz w:val="24"/>
        </w:rPr>
        <w:t>《</w:t>
      </w:r>
      <w:r w:rsidRPr="00377608">
        <w:rPr>
          <w:rFonts w:eastAsiaTheme="minorEastAsia"/>
          <w:sz w:val="24"/>
        </w:rPr>
        <w:t>养护野生动物移栖物种公约</w:t>
      </w:r>
      <w:r>
        <w:rPr>
          <w:rFonts w:eastAsiaTheme="minorEastAsia" w:hint="eastAsia"/>
          <w:sz w:val="24"/>
        </w:rPr>
        <w:t>》的合作</w:t>
      </w:r>
      <w:r w:rsidRPr="002C3BA5">
        <w:rPr>
          <w:rFonts w:eastAsiaTheme="minorEastAsia" w:hint="eastAsia"/>
          <w:sz w:val="24"/>
        </w:rPr>
        <w:t>框架内</w:t>
      </w:r>
      <w:r>
        <w:rPr>
          <w:rFonts w:eastAsiaTheme="minorEastAsia" w:hint="eastAsia"/>
          <w:sz w:val="24"/>
        </w:rPr>
        <w:t>的合作</w:t>
      </w:r>
      <w:r w:rsidRPr="002C3BA5">
        <w:rPr>
          <w:rFonts w:eastAsiaTheme="minorEastAsia" w:hint="eastAsia"/>
          <w:sz w:val="24"/>
        </w:rPr>
        <w:t>，与</w:t>
      </w:r>
      <w:r>
        <w:rPr>
          <w:rFonts w:eastAsiaTheme="minorEastAsia" w:hint="eastAsia"/>
          <w:sz w:val="24"/>
        </w:rPr>
        <w:t>《</w:t>
      </w:r>
      <w:r w:rsidRPr="00377608">
        <w:rPr>
          <w:rFonts w:eastAsiaTheme="minorEastAsia"/>
          <w:sz w:val="24"/>
        </w:rPr>
        <w:t>美洲保护和养护海龟公约</w:t>
      </w:r>
      <w:r>
        <w:rPr>
          <w:rFonts w:eastAsiaTheme="minorEastAsia" w:hint="eastAsia"/>
          <w:sz w:val="24"/>
        </w:rPr>
        <w:t>》</w:t>
      </w:r>
      <w:r w:rsidRPr="002C3BA5">
        <w:rPr>
          <w:rFonts w:eastAsiaTheme="minorEastAsia" w:hint="eastAsia"/>
          <w:sz w:val="24"/>
        </w:rPr>
        <w:t>和</w:t>
      </w:r>
      <w:r>
        <w:rPr>
          <w:rFonts w:eastAsiaTheme="minorEastAsia" w:hint="eastAsia"/>
          <w:sz w:val="24"/>
        </w:rPr>
        <w:t>《</w:t>
      </w:r>
      <w:r w:rsidRPr="00377608">
        <w:rPr>
          <w:rFonts w:eastAsiaTheme="minorEastAsia"/>
          <w:sz w:val="24"/>
        </w:rPr>
        <w:t>保护信天翁和海燕协定</w:t>
      </w:r>
      <w:r>
        <w:rPr>
          <w:rFonts w:eastAsiaTheme="minorEastAsia" w:hint="eastAsia"/>
          <w:sz w:val="24"/>
        </w:rPr>
        <w:t>》等</w:t>
      </w:r>
      <w:r w:rsidRPr="002C3BA5">
        <w:rPr>
          <w:rFonts w:eastAsiaTheme="minorEastAsia" w:hint="eastAsia"/>
          <w:sz w:val="24"/>
        </w:rPr>
        <w:t>其他区域和专题公约</w:t>
      </w:r>
      <w:r>
        <w:rPr>
          <w:rFonts w:eastAsiaTheme="minorEastAsia" w:hint="eastAsia"/>
          <w:sz w:val="24"/>
        </w:rPr>
        <w:t>的</w:t>
      </w:r>
      <w:r w:rsidRPr="002C3BA5">
        <w:rPr>
          <w:rFonts w:eastAsiaTheme="minorEastAsia" w:hint="eastAsia"/>
          <w:sz w:val="24"/>
        </w:rPr>
        <w:t>合作</w:t>
      </w:r>
      <w:r>
        <w:rPr>
          <w:rFonts w:eastAsiaTheme="minorEastAsia" w:hint="eastAsia"/>
          <w:sz w:val="24"/>
        </w:rPr>
        <w:t>；</w:t>
      </w:r>
      <w:r>
        <w:rPr>
          <w:rFonts w:eastAsiaTheme="minorEastAsia"/>
          <w:sz w:val="24"/>
        </w:rPr>
        <w:br/>
      </w:r>
    </w:p>
    <w:p w:rsidR="001F1AAC" w:rsidRPr="00F1041B" w:rsidRDefault="001F1AAC" w:rsidP="001F1AAC">
      <w:pPr>
        <w:pStyle w:val="bodytextnoindent"/>
        <w:numPr>
          <w:ilvl w:val="0"/>
          <w:numId w:val="261"/>
        </w:numPr>
        <w:snapToGrid w:val="0"/>
        <w:ind w:left="0" w:firstLine="0"/>
        <w:jc w:val="center"/>
        <w:rPr>
          <w:rFonts w:asciiTheme="minorEastAsia" w:eastAsiaTheme="minorEastAsia" w:hAnsiTheme="minorEastAsia"/>
          <w:b/>
          <w:sz w:val="24"/>
        </w:rPr>
      </w:pPr>
      <w:r w:rsidRPr="00F1041B">
        <w:rPr>
          <w:rFonts w:asciiTheme="minorEastAsia" w:eastAsiaTheme="minorEastAsia" w:hAnsiTheme="minorEastAsia"/>
          <w:b/>
          <w:sz w:val="24"/>
        </w:rPr>
        <w:lastRenderedPageBreak/>
        <w:t>与国际组织的合作</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欢迎</w:t>
      </w:r>
      <w:r w:rsidRPr="00C91291">
        <w:rPr>
          <w:rFonts w:eastAsiaTheme="minorEastAsia"/>
          <w:sz w:val="24"/>
        </w:rPr>
        <w:t>世界卫生大会第七十一届会议审议人类健康与生物多样性之间的相互联系；</w:t>
      </w:r>
      <w:r w:rsidRPr="001F1AAC">
        <w:rPr>
          <w:rStyle w:val="FootnoteReference"/>
          <w:rFonts w:eastAsiaTheme="minorEastAsia"/>
          <w:sz w:val="24"/>
          <w:u w:val="none"/>
          <w:vertAlign w:val="superscript"/>
        </w:rPr>
        <w:footnoteReference w:id="299"/>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赞赏</w:t>
      </w:r>
      <w:r w:rsidRPr="00C91291">
        <w:rPr>
          <w:rFonts w:eastAsiaTheme="minorEastAsia"/>
          <w:sz w:val="24"/>
        </w:rPr>
        <w:t>联合国粮食及农业组织与</w:t>
      </w:r>
      <w:r>
        <w:rPr>
          <w:rFonts w:eastAsiaTheme="minorEastAsia" w:hint="eastAsia"/>
          <w:sz w:val="24"/>
        </w:rPr>
        <w:t>《</w:t>
      </w:r>
      <w:r w:rsidRPr="00C91291">
        <w:rPr>
          <w:rFonts w:eastAsiaTheme="minorEastAsia"/>
          <w:sz w:val="24"/>
        </w:rPr>
        <w:t>公约</w:t>
      </w:r>
      <w:r>
        <w:rPr>
          <w:rFonts w:eastAsiaTheme="minorEastAsia" w:hint="eastAsia"/>
          <w:sz w:val="24"/>
        </w:rPr>
        <w:t>》</w:t>
      </w:r>
      <w:r w:rsidRPr="00C91291">
        <w:rPr>
          <w:rFonts w:eastAsiaTheme="minorEastAsia"/>
          <w:sz w:val="24"/>
        </w:rPr>
        <w:t>的有效合作，并在这方面</w:t>
      </w:r>
      <w:r w:rsidRPr="00536722">
        <w:rPr>
          <w:rFonts w:ascii="KaiTi" w:eastAsia="KaiTi" w:hAnsi="KaiTi" w:cs="MS Mincho"/>
          <w:kern w:val="22"/>
          <w:sz w:val="24"/>
        </w:rPr>
        <w:t>欢迎</w:t>
      </w:r>
      <w:r>
        <w:rPr>
          <w:rFonts w:eastAsiaTheme="minorEastAsia" w:hint="eastAsia"/>
          <w:sz w:val="24"/>
        </w:rPr>
        <w:t>：</w:t>
      </w:r>
      <w:r>
        <w:rPr>
          <w:rFonts w:eastAsiaTheme="minorEastAsia" w:hint="eastAsia"/>
          <w:sz w:val="24"/>
        </w:rPr>
        <w:t>(</w:t>
      </w:r>
      <w:r w:rsidRPr="00C91291">
        <w:rPr>
          <w:rFonts w:eastAsiaTheme="minorEastAsia"/>
          <w:sz w:val="24"/>
        </w:rPr>
        <w:t>a</w:t>
      </w:r>
      <w:r>
        <w:rPr>
          <w:rFonts w:eastAsiaTheme="minorEastAsia" w:hint="eastAsia"/>
          <w:sz w:val="24"/>
        </w:rPr>
        <w:t xml:space="preserve">) </w:t>
      </w:r>
      <w:r w:rsidRPr="00C91291">
        <w:rPr>
          <w:rFonts w:eastAsiaTheme="minorEastAsia"/>
          <w:sz w:val="24"/>
        </w:rPr>
        <w:t>第</w:t>
      </w:r>
      <w:r w:rsidRPr="00C91291">
        <w:rPr>
          <w:rFonts w:eastAsiaTheme="minorEastAsia"/>
          <w:sz w:val="24"/>
        </w:rPr>
        <w:t>XIII/3</w:t>
      </w:r>
      <w:r w:rsidRPr="00C91291">
        <w:rPr>
          <w:rFonts w:eastAsiaTheme="minorEastAsia"/>
          <w:sz w:val="24"/>
        </w:rPr>
        <w:t>号决定第</w:t>
      </w:r>
      <w:r w:rsidRPr="00C91291">
        <w:rPr>
          <w:rFonts w:eastAsiaTheme="minorEastAsia"/>
          <w:sz w:val="24"/>
        </w:rPr>
        <w:t>6</w:t>
      </w:r>
      <w:r w:rsidRPr="00C91291">
        <w:rPr>
          <w:rFonts w:eastAsiaTheme="minorEastAsia"/>
          <w:sz w:val="24"/>
        </w:rPr>
        <w:t>段所述生物多样性平台开通，</w:t>
      </w:r>
      <w:r>
        <w:rPr>
          <w:rFonts w:eastAsiaTheme="minorEastAsia" w:hint="eastAsia"/>
          <w:sz w:val="24"/>
        </w:rPr>
        <w:t xml:space="preserve">(b) </w:t>
      </w:r>
      <w:r>
        <w:rPr>
          <w:rFonts w:eastAsiaTheme="minorEastAsia" w:hint="eastAsia"/>
          <w:sz w:val="24"/>
        </w:rPr>
        <w:t>编制</w:t>
      </w:r>
      <w:r w:rsidRPr="00C91291">
        <w:rPr>
          <w:rFonts w:eastAsiaTheme="minorEastAsia"/>
          <w:sz w:val="24"/>
        </w:rPr>
        <w:t>第</w:t>
      </w:r>
      <w:r w:rsidRPr="00C91291">
        <w:rPr>
          <w:rFonts w:eastAsiaTheme="minorEastAsia"/>
          <w:sz w:val="24"/>
        </w:rPr>
        <w:t>XIII/3</w:t>
      </w:r>
      <w:r w:rsidRPr="00C91291">
        <w:rPr>
          <w:rFonts w:eastAsiaTheme="minorEastAsia"/>
          <w:sz w:val="24"/>
        </w:rPr>
        <w:t>号决定第</w:t>
      </w:r>
      <w:r w:rsidRPr="00C91291">
        <w:rPr>
          <w:rFonts w:eastAsiaTheme="minorEastAsia"/>
          <w:sz w:val="24"/>
        </w:rPr>
        <w:t>40</w:t>
      </w:r>
      <w:r w:rsidRPr="00C91291">
        <w:rPr>
          <w:rFonts w:eastAsiaTheme="minorEastAsia"/>
          <w:sz w:val="24"/>
        </w:rPr>
        <w:t>段所述《</w:t>
      </w:r>
      <w:r w:rsidRPr="00007734">
        <w:rPr>
          <w:rFonts w:ascii="KaiTi" w:eastAsia="KaiTi" w:hAnsi="KaiTi" w:cs="MS Mincho"/>
          <w:kern w:val="22"/>
          <w:sz w:val="24"/>
        </w:rPr>
        <w:t>世界粮食和农业生物多样性情况报告</w:t>
      </w:r>
      <w:r w:rsidRPr="00C91291">
        <w:rPr>
          <w:rFonts w:eastAsiaTheme="minorEastAsia"/>
          <w:sz w:val="24"/>
        </w:rPr>
        <w:t>》</w:t>
      </w:r>
      <w:r>
        <w:rPr>
          <w:rFonts w:eastAsiaTheme="minorEastAsia" w:hint="eastAsia"/>
          <w:sz w:val="24"/>
        </w:rPr>
        <w:t>方面</w:t>
      </w:r>
      <w:r>
        <w:rPr>
          <w:rFonts w:eastAsiaTheme="minorEastAsia"/>
          <w:sz w:val="24"/>
        </w:rPr>
        <w:t>的进展情况</w:t>
      </w:r>
      <w:r w:rsidRPr="00C91291">
        <w:rPr>
          <w:rFonts w:eastAsiaTheme="minorEastAsia"/>
          <w:sz w:val="24"/>
        </w:rPr>
        <w:t>；</w:t>
      </w:r>
      <w:r>
        <w:rPr>
          <w:rFonts w:eastAsiaTheme="minorEastAsia" w:hint="eastAsia"/>
          <w:sz w:val="24"/>
        </w:rPr>
        <w:t>(</w:t>
      </w:r>
      <w:r w:rsidRPr="00C91291">
        <w:rPr>
          <w:rFonts w:eastAsiaTheme="minorEastAsia"/>
          <w:sz w:val="24"/>
        </w:rPr>
        <w:t>c</w:t>
      </w:r>
      <w:r>
        <w:rPr>
          <w:rFonts w:eastAsiaTheme="minorEastAsia" w:hint="eastAsia"/>
          <w:sz w:val="24"/>
        </w:rPr>
        <w:t xml:space="preserve">) </w:t>
      </w:r>
      <w:r w:rsidRPr="00C91291">
        <w:rPr>
          <w:rFonts w:eastAsiaTheme="minorEastAsia"/>
          <w:sz w:val="24"/>
        </w:rPr>
        <w:t>由欧盟委员会联合研究中心和全球土壤生物多样性倡议编写的《</w:t>
      </w:r>
      <w:r w:rsidRPr="00E36041">
        <w:rPr>
          <w:rFonts w:ascii="KaiTi" w:eastAsia="KaiTi" w:hAnsi="KaiTi" w:cs="MS Mincho"/>
          <w:kern w:val="22"/>
          <w:sz w:val="24"/>
        </w:rPr>
        <w:t>全球土壤生物多样性地图集</w:t>
      </w:r>
      <w:bookmarkStart w:id="223" w:name="_Hlk516074299"/>
      <w:r w:rsidRPr="00C91291">
        <w:rPr>
          <w:rFonts w:eastAsiaTheme="minorEastAsia"/>
          <w:sz w:val="24"/>
        </w:rPr>
        <w:t>》；</w:t>
      </w:r>
      <w:bookmarkEnd w:id="223"/>
      <w:r>
        <w:rPr>
          <w:rFonts w:eastAsiaTheme="minorEastAsia" w:hint="eastAsia"/>
          <w:sz w:val="24"/>
        </w:rPr>
        <w:t>(</w:t>
      </w:r>
      <w:r w:rsidRPr="00C91291">
        <w:rPr>
          <w:rFonts w:eastAsiaTheme="minorEastAsia"/>
          <w:sz w:val="24"/>
        </w:rPr>
        <w:t>d</w:t>
      </w:r>
      <w:r>
        <w:rPr>
          <w:rFonts w:eastAsiaTheme="minorEastAsia" w:hint="eastAsia"/>
          <w:sz w:val="24"/>
        </w:rPr>
        <w:t xml:space="preserve">) </w:t>
      </w:r>
      <w:r w:rsidRPr="00C91291">
        <w:rPr>
          <w:rFonts w:eastAsiaTheme="minorEastAsia"/>
          <w:sz w:val="24"/>
        </w:rPr>
        <w:t>全球土壤伙伴关系及其政府间土壤技术小组承诺促进土壤生物多样性，其工作计划和提高认识的努力，包括</w:t>
      </w:r>
      <w:r w:rsidRPr="00C91291">
        <w:rPr>
          <w:rFonts w:eastAsiaTheme="minorEastAsia"/>
          <w:sz w:val="24"/>
        </w:rPr>
        <w:t>2020</w:t>
      </w:r>
      <w:r w:rsidRPr="00C91291">
        <w:rPr>
          <w:rFonts w:eastAsiaTheme="minorEastAsia"/>
          <w:sz w:val="24"/>
        </w:rPr>
        <w:t>年计划召开的国际研讨会，证明了这一点；</w:t>
      </w:r>
      <w:r>
        <w:rPr>
          <w:rFonts w:eastAsiaTheme="minorEastAsia" w:hint="eastAsia"/>
          <w:sz w:val="24"/>
        </w:rPr>
        <w:t>(</w:t>
      </w:r>
      <w:r w:rsidRPr="00C91291">
        <w:rPr>
          <w:rFonts w:eastAsiaTheme="minorEastAsia"/>
          <w:sz w:val="24"/>
        </w:rPr>
        <w:t>e</w:t>
      </w:r>
      <w:r>
        <w:rPr>
          <w:rFonts w:eastAsiaTheme="minorEastAsia" w:hint="eastAsia"/>
          <w:sz w:val="24"/>
        </w:rPr>
        <w:t xml:space="preserve">) </w:t>
      </w:r>
      <w:r w:rsidRPr="00C91291">
        <w:rPr>
          <w:rFonts w:eastAsiaTheme="minorEastAsia"/>
          <w:sz w:val="24"/>
        </w:rPr>
        <w:t>粮食和农业遗传资源委员会提议制定微生物和无脊椎动物工作计划，这些微生物和无脊椎动物关系到土壤生物多样性和持续提供可持续农业所必需的以土壤为媒介的生态系统服务；</w:t>
      </w:r>
      <w:r>
        <w:rPr>
          <w:rFonts w:eastAsiaTheme="minorEastAsia" w:hint="eastAsia"/>
          <w:sz w:val="24"/>
        </w:rPr>
        <w:t>(</w:t>
      </w:r>
      <w:r w:rsidRPr="00C91291">
        <w:rPr>
          <w:rFonts w:eastAsiaTheme="minorEastAsia"/>
          <w:sz w:val="24"/>
        </w:rPr>
        <w:t>f</w:t>
      </w:r>
      <w:r>
        <w:rPr>
          <w:rFonts w:eastAsiaTheme="minorEastAsia" w:hint="eastAsia"/>
          <w:sz w:val="24"/>
        </w:rPr>
        <w:t xml:space="preserve">) </w:t>
      </w:r>
      <w:r w:rsidRPr="00C91291">
        <w:rPr>
          <w:rFonts w:eastAsiaTheme="minorEastAsia"/>
          <w:sz w:val="24"/>
        </w:rPr>
        <w:t>为提高按照联合国粮食及农业组织森林资源评估所报国家原始森林面积数据的一致性所作的努力</w:t>
      </w:r>
      <w:r>
        <w:rPr>
          <w:rFonts w:eastAsiaTheme="minorEastAsia" w:hint="eastAsia"/>
          <w:sz w:val="24"/>
        </w:rPr>
        <w:t>，考虑到原始森林对生物多样性养护的特殊重要性</w:t>
      </w:r>
      <w:r w:rsidRPr="00C91291">
        <w:rPr>
          <w:rFonts w:eastAsiaTheme="minorEastAsia"/>
          <w:sz w:val="24"/>
        </w:rPr>
        <w:t>；</w:t>
      </w:r>
      <w:r w:rsidRPr="005D02C2">
        <w:rPr>
          <w:rFonts w:eastAsiaTheme="minorEastAsia" w:hint="eastAsia"/>
          <w:sz w:val="24"/>
        </w:rPr>
        <w:t>(g)</w:t>
      </w:r>
      <w:r>
        <w:rPr>
          <w:rFonts w:eastAsiaTheme="minorEastAsia"/>
          <w:sz w:val="24"/>
        </w:rPr>
        <w:t xml:space="preserve"> </w:t>
      </w:r>
      <w:r w:rsidRPr="005D02C2">
        <w:rPr>
          <w:rFonts w:eastAsiaTheme="minorEastAsia" w:hint="eastAsia"/>
          <w:sz w:val="24"/>
        </w:rPr>
        <w:t>联合国粮食及农业组织</w:t>
      </w:r>
      <w:r>
        <w:rPr>
          <w:rFonts w:eastAsiaTheme="minorEastAsia" w:hint="eastAsia"/>
          <w:sz w:val="24"/>
        </w:rPr>
        <w:t>就制定</w:t>
      </w:r>
      <w:r w:rsidRPr="005D02C2">
        <w:rPr>
          <w:rFonts w:eastAsiaTheme="minorEastAsia" w:hint="eastAsia"/>
          <w:sz w:val="24"/>
        </w:rPr>
        <w:t>关于生产性和可持续农业下</w:t>
      </w:r>
      <w:r>
        <w:rPr>
          <w:rFonts w:eastAsiaTheme="minorEastAsia" w:hint="eastAsia"/>
          <w:sz w:val="24"/>
        </w:rPr>
        <w:t>的</w:t>
      </w:r>
      <w:r w:rsidRPr="005D02C2">
        <w:rPr>
          <w:rFonts w:eastAsiaTheme="minorEastAsia" w:hint="eastAsia"/>
          <w:sz w:val="24"/>
        </w:rPr>
        <w:t>农</w:t>
      </w:r>
      <w:r>
        <w:rPr>
          <w:rFonts w:eastAsiaTheme="minorEastAsia" w:hint="eastAsia"/>
          <w:sz w:val="24"/>
        </w:rPr>
        <w:t>用</w:t>
      </w:r>
      <w:r w:rsidRPr="005D02C2">
        <w:rPr>
          <w:rFonts w:eastAsiaTheme="minorEastAsia" w:hint="eastAsia"/>
          <w:sz w:val="24"/>
        </w:rPr>
        <w:t>面积比例指标</w:t>
      </w:r>
      <w:r>
        <w:rPr>
          <w:rFonts w:eastAsiaTheme="minorEastAsia" w:hint="eastAsia"/>
          <w:sz w:val="24"/>
        </w:rPr>
        <w:t>开展了</w:t>
      </w:r>
      <w:r w:rsidRPr="005D02C2">
        <w:rPr>
          <w:rFonts w:eastAsiaTheme="minorEastAsia" w:hint="eastAsia"/>
          <w:sz w:val="24"/>
        </w:rPr>
        <w:t>工作</w:t>
      </w:r>
      <w:r>
        <w:rPr>
          <w:rFonts w:ascii="KaiTi" w:eastAsia="KaiTi" w:hAnsi="KaiTi" w:cs="MS Mincho" w:hint="eastAsia"/>
          <w:kern w:val="22"/>
          <w:sz w:val="24"/>
        </w:rPr>
        <w:t>；</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邀请</w:t>
      </w:r>
      <w:r w:rsidRPr="00C91291">
        <w:rPr>
          <w:rFonts w:eastAsiaTheme="minorEastAsia"/>
          <w:sz w:val="24"/>
        </w:rPr>
        <w:t>联合国粮食及农业组织与其他组织合作，在资源允许的情况下考虑编写一份涵盖当前状况、挑战和潜力的土壤生物多样性知识现状报告，供科学、技术和工艺咨询附属机构在缔约方大会第十五届会议之前举行的一次会议上审议；</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请</w:t>
      </w:r>
      <w:r w:rsidRPr="00C91291">
        <w:rPr>
          <w:rFonts w:eastAsiaTheme="minorEastAsia"/>
          <w:sz w:val="24"/>
        </w:rPr>
        <w:t>执行秘书在资源允许的情况下采取下列行动：</w:t>
      </w:r>
    </w:p>
    <w:p w:rsidR="001F1AAC" w:rsidRPr="00C91291" w:rsidRDefault="001F1AAC" w:rsidP="001F1AAC">
      <w:pPr>
        <w:pStyle w:val="bodytextnoindent"/>
        <w:numPr>
          <w:ilvl w:val="0"/>
          <w:numId w:val="259"/>
        </w:numPr>
        <w:tabs>
          <w:tab w:val="left" w:pos="1440"/>
        </w:tabs>
        <w:snapToGrid w:val="0"/>
        <w:ind w:left="0" w:firstLine="720"/>
        <w:rPr>
          <w:rFonts w:eastAsiaTheme="minorEastAsia"/>
          <w:sz w:val="24"/>
        </w:rPr>
      </w:pPr>
      <w:r w:rsidRPr="00C91291">
        <w:rPr>
          <w:rFonts w:eastAsiaTheme="minorEastAsia"/>
          <w:sz w:val="24"/>
        </w:rPr>
        <w:t>继续与</w:t>
      </w:r>
      <w:r>
        <w:rPr>
          <w:rFonts w:eastAsiaTheme="minorEastAsia" w:hint="eastAsia"/>
          <w:sz w:val="24"/>
        </w:rPr>
        <w:t>联合国</w:t>
      </w:r>
      <w:r w:rsidRPr="00C91291">
        <w:rPr>
          <w:rFonts w:eastAsiaTheme="minorEastAsia"/>
          <w:sz w:val="24"/>
        </w:rPr>
        <w:t>粮食</w:t>
      </w:r>
      <w:r>
        <w:rPr>
          <w:rFonts w:eastAsiaTheme="minorEastAsia" w:hint="eastAsia"/>
          <w:sz w:val="24"/>
        </w:rPr>
        <w:t>及</w:t>
      </w:r>
      <w:r w:rsidRPr="00C91291">
        <w:rPr>
          <w:rFonts w:eastAsiaTheme="minorEastAsia"/>
          <w:sz w:val="24"/>
        </w:rPr>
        <w:t>农业组织</w:t>
      </w:r>
      <w:r>
        <w:rPr>
          <w:rFonts w:eastAsiaTheme="minorEastAsia" w:hint="eastAsia"/>
          <w:sz w:val="24"/>
        </w:rPr>
        <w:t>共同努力</w:t>
      </w:r>
      <w:r w:rsidRPr="00C91291">
        <w:rPr>
          <w:rFonts w:eastAsiaTheme="minorEastAsia"/>
          <w:sz w:val="24"/>
        </w:rPr>
        <w:t>，促进</w:t>
      </w:r>
      <w:r>
        <w:rPr>
          <w:rFonts w:eastAsiaTheme="minorEastAsia" w:hint="eastAsia"/>
          <w:sz w:val="24"/>
        </w:rPr>
        <w:t>将</w:t>
      </w:r>
      <w:r>
        <w:rPr>
          <w:rFonts w:eastAsiaTheme="minorEastAsia"/>
          <w:sz w:val="24"/>
        </w:rPr>
        <w:t>生物多样性纳入</w:t>
      </w:r>
      <w:r w:rsidRPr="00C91291">
        <w:rPr>
          <w:rFonts w:eastAsiaTheme="minorEastAsia"/>
          <w:sz w:val="24"/>
        </w:rPr>
        <w:t>农林渔各部门</w:t>
      </w:r>
      <w:r>
        <w:rPr>
          <w:rFonts w:eastAsiaTheme="minorEastAsia" w:hint="eastAsia"/>
          <w:sz w:val="24"/>
        </w:rPr>
        <w:t>的</w:t>
      </w:r>
      <w:r w:rsidRPr="00C91291">
        <w:rPr>
          <w:rFonts w:eastAsiaTheme="minorEastAsia"/>
          <w:sz w:val="24"/>
        </w:rPr>
        <w:t>主流；</w:t>
      </w:r>
    </w:p>
    <w:p w:rsidR="001F1AAC" w:rsidRPr="00C91291" w:rsidRDefault="001F1AAC" w:rsidP="001F1AAC">
      <w:pPr>
        <w:pStyle w:val="bodytextnoindent"/>
        <w:numPr>
          <w:ilvl w:val="0"/>
          <w:numId w:val="259"/>
        </w:numPr>
        <w:tabs>
          <w:tab w:val="left" w:pos="1440"/>
        </w:tabs>
        <w:snapToGrid w:val="0"/>
        <w:ind w:left="0" w:firstLine="720"/>
        <w:rPr>
          <w:rFonts w:eastAsiaTheme="minorEastAsia"/>
          <w:sz w:val="24"/>
        </w:rPr>
      </w:pPr>
      <w:r w:rsidRPr="00C91291">
        <w:rPr>
          <w:rFonts w:eastAsiaTheme="minorEastAsia"/>
          <w:sz w:val="24"/>
        </w:rPr>
        <w:t>在全球土壤伙伴关系框架内</w:t>
      </w:r>
      <w:r>
        <w:rPr>
          <w:rFonts w:eastAsiaTheme="minorEastAsia" w:hint="eastAsia"/>
          <w:sz w:val="24"/>
        </w:rPr>
        <w:t>与</w:t>
      </w:r>
      <w:r w:rsidRPr="00C91291">
        <w:rPr>
          <w:rFonts w:eastAsiaTheme="minorEastAsia"/>
          <w:sz w:val="24"/>
        </w:rPr>
        <w:t>联合国粮食及农业组织和其他有关</w:t>
      </w:r>
      <w:r>
        <w:rPr>
          <w:rFonts w:eastAsiaTheme="minorEastAsia" w:hint="eastAsia"/>
          <w:sz w:val="24"/>
        </w:rPr>
        <w:t>合作</w:t>
      </w:r>
      <w:r w:rsidRPr="00C91291">
        <w:rPr>
          <w:rFonts w:eastAsiaTheme="minorEastAsia"/>
          <w:sz w:val="24"/>
        </w:rPr>
        <w:t>伙伴协商，审查国际保护和可持续利用土壤生物多样性倡议的实施情况，并</w:t>
      </w:r>
      <w:r>
        <w:rPr>
          <w:rFonts w:eastAsiaTheme="minorEastAsia" w:hint="eastAsia"/>
          <w:sz w:val="24"/>
        </w:rPr>
        <w:t>提交</w:t>
      </w:r>
      <w:r w:rsidRPr="00C91291">
        <w:rPr>
          <w:rFonts w:eastAsiaTheme="minorEastAsia"/>
          <w:sz w:val="24"/>
        </w:rPr>
        <w:t>一份</w:t>
      </w:r>
      <w:r>
        <w:rPr>
          <w:rFonts w:eastAsiaTheme="minorEastAsia" w:hint="eastAsia"/>
          <w:sz w:val="24"/>
        </w:rPr>
        <w:t>更新的</w:t>
      </w:r>
      <w:r w:rsidRPr="00C91291">
        <w:rPr>
          <w:rFonts w:eastAsiaTheme="minorEastAsia"/>
          <w:sz w:val="24"/>
        </w:rPr>
        <w:t>行动计划草案，供科学、技术和工艺咨询附属机构在缔约方大会第十五届会议之前举行的一次会议上审议；</w:t>
      </w:r>
    </w:p>
    <w:p w:rsidR="001F1AAC" w:rsidRPr="00C91291" w:rsidRDefault="001F1AAC" w:rsidP="001F1AAC">
      <w:pPr>
        <w:pStyle w:val="bodytextnoindent"/>
        <w:numPr>
          <w:ilvl w:val="0"/>
          <w:numId w:val="259"/>
        </w:numPr>
        <w:tabs>
          <w:tab w:val="left" w:pos="1440"/>
        </w:tabs>
        <w:snapToGrid w:val="0"/>
        <w:ind w:left="0" w:firstLine="720"/>
        <w:rPr>
          <w:rFonts w:eastAsiaTheme="minorEastAsia"/>
          <w:sz w:val="24"/>
        </w:rPr>
      </w:pPr>
      <w:r w:rsidRPr="00C91291">
        <w:rPr>
          <w:rFonts w:eastAsiaTheme="minorEastAsia"/>
          <w:sz w:val="24"/>
        </w:rPr>
        <w:t>继续与联合国粮食及农业组织</w:t>
      </w:r>
      <w:r>
        <w:rPr>
          <w:rFonts w:eastAsiaTheme="minorEastAsia" w:hint="eastAsia"/>
          <w:sz w:val="24"/>
        </w:rPr>
        <w:t>共同努力</w:t>
      </w:r>
      <w:r w:rsidRPr="00C91291">
        <w:rPr>
          <w:rFonts w:eastAsiaTheme="minorEastAsia"/>
          <w:sz w:val="24"/>
        </w:rPr>
        <w:t>开展全球森林资源评估，改善对</w:t>
      </w:r>
      <w:r>
        <w:rPr>
          <w:rFonts w:eastAsiaTheme="minorEastAsia"/>
          <w:sz w:val="24"/>
        </w:rPr>
        <w:t>爱知生物多样性指标</w:t>
      </w:r>
      <w:r w:rsidRPr="00C91291">
        <w:rPr>
          <w:rFonts w:eastAsiaTheme="minorEastAsia"/>
          <w:sz w:val="24"/>
        </w:rPr>
        <w:t>5</w:t>
      </w:r>
      <w:r w:rsidRPr="00C91291">
        <w:rPr>
          <w:rFonts w:eastAsiaTheme="minorEastAsia"/>
          <w:sz w:val="24"/>
        </w:rPr>
        <w:t>进展情况的监测；</w:t>
      </w:r>
    </w:p>
    <w:p w:rsidR="001F1AAC" w:rsidRPr="00C91291" w:rsidRDefault="001F1AAC" w:rsidP="001F1AAC">
      <w:pPr>
        <w:pStyle w:val="bodytextnoindent"/>
        <w:numPr>
          <w:ilvl w:val="0"/>
          <w:numId w:val="259"/>
        </w:numPr>
        <w:tabs>
          <w:tab w:val="left" w:pos="1440"/>
        </w:tabs>
        <w:snapToGrid w:val="0"/>
        <w:ind w:left="0" w:firstLine="720"/>
        <w:rPr>
          <w:rFonts w:eastAsiaTheme="minorEastAsia"/>
          <w:sz w:val="24"/>
        </w:rPr>
      </w:pPr>
      <w:r w:rsidRPr="00C91291">
        <w:rPr>
          <w:rFonts w:eastAsiaTheme="minorEastAsia"/>
          <w:sz w:val="24"/>
        </w:rPr>
        <w:t>将本决定的案文转交联合国粮食及农业组织总干事；</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Pr>
          <w:rFonts w:ascii="KaiTi" w:eastAsia="KaiTi" w:hAnsi="KaiTi" w:cs="MS Mincho" w:hint="eastAsia"/>
          <w:kern w:val="22"/>
          <w:sz w:val="24"/>
        </w:rPr>
        <w:t>确认</w:t>
      </w:r>
      <w:r w:rsidRPr="00C91291">
        <w:rPr>
          <w:rFonts w:eastAsiaTheme="minorEastAsia"/>
          <w:sz w:val="24"/>
        </w:rPr>
        <w:t>关于生物多样性与文化多样性之间联系的联合工作方案一直是秘书处与联合国教育、科学及文化组织之间为实现自然和文化方面共同目标的一个有用的合作平台；</w:t>
      </w:r>
    </w:p>
    <w:p w:rsidR="001F1AAC" w:rsidRPr="000C7CA2" w:rsidRDefault="001F1AAC" w:rsidP="001F1AAC">
      <w:pPr>
        <w:pStyle w:val="bodytextnoindent"/>
        <w:numPr>
          <w:ilvl w:val="0"/>
          <w:numId w:val="260"/>
        </w:numPr>
        <w:tabs>
          <w:tab w:val="left" w:pos="1440"/>
        </w:tabs>
        <w:snapToGrid w:val="0"/>
        <w:ind w:left="0" w:firstLine="720"/>
        <w:rPr>
          <w:rFonts w:eastAsiaTheme="minorEastAsia"/>
          <w:sz w:val="24"/>
          <w:lang w:val="en-US"/>
        </w:rPr>
      </w:pPr>
      <w:r w:rsidRPr="00C91291">
        <w:rPr>
          <w:rFonts w:ascii="KaiTi" w:eastAsia="KaiTi" w:hAnsi="KaiTi" w:cs="MS Mincho"/>
          <w:kern w:val="22"/>
          <w:sz w:val="24"/>
        </w:rPr>
        <w:t>请</w:t>
      </w:r>
      <w:r w:rsidRPr="00C91291">
        <w:rPr>
          <w:rFonts w:eastAsiaTheme="minorEastAsia"/>
          <w:sz w:val="24"/>
        </w:rPr>
        <w:t>执行秘书与联合国教育、科学及文化组织秘书处进行协商，以期在资源允许的情况下，为在</w:t>
      </w:r>
      <w:r w:rsidRPr="00C91291">
        <w:rPr>
          <w:rFonts w:eastAsiaTheme="minorEastAsia"/>
          <w:sz w:val="24"/>
        </w:rPr>
        <w:t>2020</w:t>
      </w:r>
      <w:r w:rsidRPr="00C91291">
        <w:rPr>
          <w:rFonts w:eastAsiaTheme="minorEastAsia"/>
          <w:sz w:val="24"/>
        </w:rPr>
        <w:t>年后全球生物多样性框架内实现自然和文化互补的可能的工作要点编制备选方案，供第</w:t>
      </w:r>
      <w:r w:rsidRPr="00C91291">
        <w:rPr>
          <w:rFonts w:eastAsiaTheme="minorEastAsia"/>
          <w:sz w:val="24"/>
        </w:rPr>
        <w:t>8</w:t>
      </w:r>
      <w:r>
        <w:rPr>
          <w:rFonts w:eastAsiaTheme="minorEastAsia"/>
          <w:sz w:val="24"/>
        </w:rPr>
        <w:t>(</w:t>
      </w:r>
      <w:r w:rsidRPr="00C91291">
        <w:rPr>
          <w:rFonts w:eastAsiaTheme="minorEastAsia"/>
          <w:sz w:val="24"/>
        </w:rPr>
        <w:t>j</w:t>
      </w:r>
      <w:r>
        <w:rPr>
          <w:rFonts w:eastAsiaTheme="minorEastAsia"/>
          <w:sz w:val="24"/>
        </w:rPr>
        <w:t>)</w:t>
      </w:r>
      <w:r w:rsidRPr="00C91291">
        <w:rPr>
          <w:rFonts w:eastAsiaTheme="minorEastAsia"/>
          <w:sz w:val="24"/>
        </w:rPr>
        <w:t>条工作组第十一次会议</w:t>
      </w:r>
      <w:r>
        <w:rPr>
          <w:rFonts w:eastAsiaTheme="minorEastAsia" w:hint="eastAsia"/>
          <w:sz w:val="24"/>
        </w:rPr>
        <w:t>、</w:t>
      </w:r>
      <w:r w:rsidRPr="000C7CA2">
        <w:rPr>
          <w:rFonts w:eastAsiaTheme="minorEastAsia"/>
          <w:sz w:val="24"/>
        </w:rPr>
        <w:t>科学、技术和工艺咨询附属机构</w:t>
      </w:r>
      <w:r>
        <w:rPr>
          <w:rFonts w:eastAsiaTheme="minorEastAsia" w:hint="eastAsia"/>
          <w:sz w:val="24"/>
        </w:rPr>
        <w:t>第二十三次会</w:t>
      </w:r>
      <w:r>
        <w:rPr>
          <w:rFonts w:eastAsiaTheme="minorEastAsia" w:hint="eastAsia"/>
          <w:sz w:val="24"/>
        </w:rPr>
        <w:lastRenderedPageBreak/>
        <w:t>议、</w:t>
      </w:r>
      <w:r w:rsidRPr="000C7CA2">
        <w:rPr>
          <w:rFonts w:eastAsiaTheme="minorEastAsia"/>
          <w:sz w:val="24"/>
        </w:rPr>
        <w:t>执行问题附属机构第三次会议</w:t>
      </w:r>
      <w:r>
        <w:rPr>
          <w:rFonts w:eastAsiaTheme="minorEastAsia" w:hint="eastAsia"/>
          <w:sz w:val="24"/>
        </w:rPr>
        <w:t>和编制</w:t>
      </w:r>
      <w:r>
        <w:rPr>
          <w:rFonts w:eastAsiaTheme="minorEastAsia" w:hint="eastAsia"/>
          <w:sz w:val="24"/>
        </w:rPr>
        <w:t>2020</w:t>
      </w:r>
      <w:r>
        <w:rPr>
          <w:rFonts w:eastAsiaTheme="minorEastAsia" w:hint="eastAsia"/>
          <w:sz w:val="24"/>
        </w:rPr>
        <w:t>年后全球生物多样性框架不限成员名额工作组</w:t>
      </w:r>
      <w:r w:rsidRPr="000C7CA2">
        <w:rPr>
          <w:rFonts w:eastAsiaTheme="minorEastAsia"/>
          <w:sz w:val="24"/>
        </w:rPr>
        <w:t>审议，使得这些可能的工作要点同其他提案一同审议，以便缔约方大会第十五届会议为第</w:t>
      </w:r>
      <w:r w:rsidRPr="000C7CA2">
        <w:rPr>
          <w:rFonts w:eastAsiaTheme="minorEastAsia"/>
          <w:sz w:val="24"/>
        </w:rPr>
        <w:t>8</w:t>
      </w:r>
      <w:r>
        <w:rPr>
          <w:rFonts w:eastAsiaTheme="minorEastAsia"/>
          <w:sz w:val="24"/>
        </w:rPr>
        <w:t>(</w:t>
      </w:r>
      <w:r w:rsidRPr="000C7CA2">
        <w:rPr>
          <w:rFonts w:eastAsiaTheme="minorEastAsia"/>
          <w:sz w:val="24"/>
        </w:rPr>
        <w:t>j</w:t>
      </w:r>
      <w:r>
        <w:rPr>
          <w:rFonts w:eastAsiaTheme="minorEastAsia"/>
          <w:sz w:val="24"/>
        </w:rPr>
        <w:t>)</w:t>
      </w:r>
      <w:r w:rsidRPr="000C7CA2">
        <w:rPr>
          <w:rFonts w:eastAsiaTheme="minorEastAsia"/>
          <w:sz w:val="24"/>
        </w:rPr>
        <w:t>条和</w:t>
      </w:r>
      <w:r w:rsidRPr="000C7CA2">
        <w:rPr>
          <w:rFonts w:eastAsiaTheme="minorEastAsia"/>
          <w:sz w:val="24"/>
        </w:rPr>
        <w:t>2020</w:t>
      </w:r>
      <w:r w:rsidRPr="000C7CA2">
        <w:rPr>
          <w:rFonts w:eastAsiaTheme="minorEastAsia"/>
          <w:sz w:val="24"/>
        </w:rPr>
        <w:t>年后全球生物多样性的相关条款制定充分一体化的工作方案；</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又请</w:t>
      </w:r>
      <w:r w:rsidRPr="00C91291">
        <w:rPr>
          <w:rFonts w:eastAsiaTheme="minorEastAsia"/>
          <w:sz w:val="24"/>
        </w:rPr>
        <w:t>执行秘书与世界贸易组织保持联络，就共同关心的问题</w:t>
      </w:r>
      <w:r>
        <w:rPr>
          <w:rFonts w:eastAsiaTheme="minorEastAsia" w:hint="eastAsia"/>
          <w:sz w:val="24"/>
        </w:rPr>
        <w:t>开展</w:t>
      </w:r>
      <w:r w:rsidRPr="00C91291">
        <w:rPr>
          <w:rFonts w:eastAsiaTheme="minorEastAsia"/>
          <w:sz w:val="24"/>
        </w:rPr>
        <w:t>技术合作，落实在世界贸易组织有关委员会中未决的观察员地位申请</w:t>
      </w:r>
      <w:r>
        <w:rPr>
          <w:rFonts w:eastAsiaTheme="minorEastAsia" w:hint="eastAsia"/>
          <w:sz w:val="24"/>
        </w:rPr>
        <w:t>，并</w:t>
      </w:r>
      <w:r w:rsidRPr="000C7CA2">
        <w:rPr>
          <w:rFonts w:eastAsiaTheme="minorEastAsia" w:hint="eastAsia"/>
          <w:sz w:val="24"/>
        </w:rPr>
        <w:t>编写一份报告，向缔约方通报这项工作的任何</w:t>
      </w:r>
      <w:r>
        <w:rPr>
          <w:rFonts w:eastAsiaTheme="minorEastAsia" w:hint="eastAsia"/>
          <w:sz w:val="24"/>
        </w:rPr>
        <w:t>成</w:t>
      </w:r>
      <w:r w:rsidRPr="000C7CA2">
        <w:rPr>
          <w:rFonts w:eastAsiaTheme="minorEastAsia" w:hint="eastAsia"/>
          <w:sz w:val="24"/>
        </w:rPr>
        <w:t>果，供执行问题附属机构第三次会议审议</w:t>
      </w:r>
      <w:r>
        <w:rPr>
          <w:rFonts w:eastAsiaTheme="minorEastAsia" w:hint="eastAsia"/>
          <w:sz w:val="24"/>
        </w:rPr>
        <w:t>；</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还请</w:t>
      </w:r>
      <w:r w:rsidRPr="00C91291">
        <w:rPr>
          <w:rFonts w:eastAsiaTheme="minorEastAsia"/>
          <w:sz w:val="24"/>
        </w:rPr>
        <w:t>执行秘书在资源允许的情况下，进一步加强秘书处与国际热带木材组织在热带森林生物多样性合作倡议下的合作，包括促进生产森林的生物多样性保护，改善保护区的保护和管理和热带森林的可持续管理，包括制定战略宣传该倡议的成果以及这些成果如何支持实现《</w:t>
      </w:r>
      <w:r w:rsidRPr="00C91291">
        <w:rPr>
          <w:rFonts w:eastAsiaTheme="minorEastAsia"/>
          <w:sz w:val="24"/>
        </w:rPr>
        <w:t>2011-2020</w:t>
      </w:r>
      <w:r w:rsidRPr="00C91291">
        <w:rPr>
          <w:rFonts w:eastAsiaTheme="minorEastAsia"/>
          <w:sz w:val="24"/>
        </w:rPr>
        <w:t>年生物多样性战略计划》，并向执行问题附属机构第三次会议提出报告；</w:t>
      </w:r>
    </w:p>
    <w:p w:rsidR="001F1AAC"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请</w:t>
      </w:r>
      <w:r w:rsidRPr="00C91291">
        <w:rPr>
          <w:rFonts w:eastAsiaTheme="minorEastAsia"/>
          <w:sz w:val="24"/>
        </w:rPr>
        <w:t>执行秘书加强与从事海洋垃圾和微塑料工作的所有相关国际</w:t>
      </w:r>
      <w:r>
        <w:rPr>
          <w:rFonts w:eastAsiaTheme="minorEastAsia" w:hint="eastAsia"/>
          <w:sz w:val="24"/>
        </w:rPr>
        <w:t>和</w:t>
      </w:r>
      <w:r w:rsidRPr="00C91291">
        <w:rPr>
          <w:rFonts w:eastAsiaTheme="minorEastAsia"/>
          <w:sz w:val="24"/>
        </w:rPr>
        <w:t>区域组织</w:t>
      </w:r>
      <w:r>
        <w:rPr>
          <w:rFonts w:eastAsiaTheme="minorEastAsia" w:hint="eastAsia"/>
          <w:sz w:val="24"/>
        </w:rPr>
        <w:t>及</w:t>
      </w:r>
      <w:r w:rsidRPr="00C91291">
        <w:rPr>
          <w:rFonts w:eastAsiaTheme="minorEastAsia"/>
          <w:sz w:val="24"/>
        </w:rPr>
        <w:t>公约</w:t>
      </w:r>
      <w:r>
        <w:rPr>
          <w:rFonts w:eastAsiaTheme="minorEastAsia" w:hint="eastAsia"/>
          <w:sz w:val="24"/>
        </w:rPr>
        <w:t>的协同作用以及与</w:t>
      </w:r>
      <w:r w:rsidR="00780033">
        <w:rPr>
          <w:rFonts w:eastAsiaTheme="minorEastAsia" w:hint="eastAsia"/>
          <w:sz w:val="24"/>
        </w:rPr>
        <w:t>联合国环境署</w:t>
      </w:r>
      <w:r>
        <w:rPr>
          <w:rFonts w:eastAsiaTheme="minorEastAsia" w:hint="eastAsia"/>
          <w:sz w:val="24"/>
        </w:rPr>
        <w:t>在该领域开展的工作的</w:t>
      </w:r>
      <w:r w:rsidRPr="00C91291">
        <w:rPr>
          <w:rFonts w:eastAsiaTheme="minorEastAsia"/>
          <w:sz w:val="24"/>
        </w:rPr>
        <w:t>协同作用，</w:t>
      </w:r>
      <w:r>
        <w:rPr>
          <w:rFonts w:eastAsiaTheme="minorEastAsia" w:hint="eastAsia"/>
          <w:sz w:val="24"/>
        </w:rPr>
        <w:t>并</w:t>
      </w:r>
      <w:r w:rsidRPr="00C91291">
        <w:rPr>
          <w:rFonts w:eastAsiaTheme="minorEastAsia"/>
          <w:sz w:val="24"/>
        </w:rPr>
        <w:t>进一步加强</w:t>
      </w:r>
      <w:r>
        <w:rPr>
          <w:rFonts w:eastAsiaTheme="minorEastAsia" w:hint="eastAsia"/>
          <w:sz w:val="24"/>
        </w:rPr>
        <w:t>与它们</w:t>
      </w:r>
      <w:r w:rsidRPr="00C91291">
        <w:rPr>
          <w:rFonts w:eastAsiaTheme="minorEastAsia"/>
          <w:sz w:val="24"/>
        </w:rPr>
        <w:t>的合作，</w:t>
      </w:r>
      <w:r>
        <w:rPr>
          <w:rFonts w:eastAsiaTheme="minorEastAsia" w:hint="eastAsia"/>
          <w:sz w:val="24"/>
        </w:rPr>
        <w:t>以便改进处理海洋塑料垃圾和微塑料的治理战略和办法</w:t>
      </w:r>
      <w:r>
        <w:rPr>
          <w:rFonts w:ascii="KaiTi" w:eastAsia="KaiTi" w:hAnsi="KaiTi" w:cs="MS Mincho" w:hint="eastAsia"/>
          <w:kern w:val="22"/>
          <w:sz w:val="24"/>
        </w:rPr>
        <w:t>，</w:t>
      </w:r>
      <w:r w:rsidRPr="00FA616F">
        <w:rPr>
          <w:rFonts w:ascii="KaiTi" w:eastAsia="KaiTi" w:hAnsi="KaiTi" w:cs="MS Mincho"/>
          <w:kern w:val="22"/>
          <w:sz w:val="24"/>
        </w:rPr>
        <w:t>又请</w:t>
      </w:r>
      <w:r w:rsidRPr="00C91291">
        <w:rPr>
          <w:rFonts w:eastAsiaTheme="minorEastAsia"/>
          <w:sz w:val="24"/>
        </w:rPr>
        <w:t>执行秘书向</w:t>
      </w:r>
      <w:r w:rsidR="00780033">
        <w:rPr>
          <w:rFonts w:eastAsiaTheme="minorEastAsia"/>
          <w:sz w:val="24"/>
        </w:rPr>
        <w:t>联合国环境署</w:t>
      </w:r>
      <w:r w:rsidRPr="00C91291">
        <w:rPr>
          <w:rFonts w:eastAsiaTheme="minorEastAsia"/>
          <w:sz w:val="24"/>
        </w:rPr>
        <w:t>和联合国环境大会所设不限成员名额特设专家组通报《公约》在海洋垃圾方面的工作</w:t>
      </w:r>
      <w:r>
        <w:rPr>
          <w:rFonts w:eastAsiaTheme="minorEastAsia" w:hint="eastAsia"/>
          <w:sz w:val="24"/>
        </w:rPr>
        <w:t>，</w:t>
      </w:r>
      <w:r w:rsidRPr="00C91291">
        <w:rPr>
          <w:rFonts w:eastAsiaTheme="minorEastAsia"/>
          <w:sz w:val="24"/>
        </w:rPr>
        <w:t>并酌情参与其工作；</w:t>
      </w:r>
    </w:p>
    <w:p w:rsidR="001F1AAC" w:rsidRPr="000C7CA2" w:rsidRDefault="001F1AAC" w:rsidP="001F1AAC">
      <w:pPr>
        <w:pStyle w:val="bodytextnoindent"/>
        <w:numPr>
          <w:ilvl w:val="0"/>
          <w:numId w:val="260"/>
        </w:numPr>
        <w:tabs>
          <w:tab w:val="left" w:pos="1440"/>
        </w:tabs>
        <w:snapToGrid w:val="0"/>
        <w:ind w:left="0" w:firstLine="720"/>
        <w:rPr>
          <w:rFonts w:eastAsiaTheme="minorEastAsia"/>
          <w:sz w:val="24"/>
        </w:rPr>
      </w:pPr>
      <w:r w:rsidRPr="005019BC">
        <w:rPr>
          <w:rFonts w:ascii="KaiTi" w:eastAsia="KaiTi" w:hAnsi="KaiTi" w:cs="MS Mincho" w:hint="eastAsia"/>
          <w:kern w:val="22"/>
          <w:sz w:val="24"/>
        </w:rPr>
        <w:t>欢迎</w:t>
      </w:r>
      <w:r w:rsidRPr="000C7CA2">
        <w:rPr>
          <w:rFonts w:eastAsiaTheme="minorEastAsia" w:hint="eastAsia"/>
          <w:sz w:val="24"/>
        </w:rPr>
        <w:t>与联合国妇女署合</w:t>
      </w:r>
      <w:r>
        <w:rPr>
          <w:rFonts w:eastAsiaTheme="minorEastAsia" w:hint="eastAsia"/>
          <w:sz w:val="24"/>
        </w:rPr>
        <w:t>作，</w:t>
      </w:r>
      <w:r w:rsidRPr="000C7CA2">
        <w:rPr>
          <w:rFonts w:eastAsiaTheme="minorEastAsia" w:hint="eastAsia"/>
          <w:sz w:val="24"/>
        </w:rPr>
        <w:t>加强对</w:t>
      </w:r>
      <w:r>
        <w:rPr>
          <w:rFonts w:eastAsiaTheme="minorEastAsia" w:hint="eastAsia"/>
          <w:sz w:val="24"/>
        </w:rPr>
        <w:t>性别</w:t>
      </w:r>
      <w:r w:rsidRPr="000C7CA2">
        <w:rPr>
          <w:rFonts w:eastAsiaTheme="minorEastAsia" w:hint="eastAsia"/>
          <w:sz w:val="24"/>
        </w:rPr>
        <w:t>平等</w:t>
      </w:r>
      <w:r>
        <w:rPr>
          <w:rFonts w:eastAsiaTheme="minorEastAsia" w:hint="eastAsia"/>
          <w:sz w:val="24"/>
        </w:rPr>
        <w:t>、</w:t>
      </w:r>
      <w:r w:rsidRPr="005019BC">
        <w:rPr>
          <w:rFonts w:eastAsiaTheme="minorEastAsia"/>
          <w:sz w:val="24"/>
        </w:rPr>
        <w:t>增强妇女权能</w:t>
      </w:r>
      <w:r w:rsidRPr="000C7CA2">
        <w:rPr>
          <w:rFonts w:eastAsiaTheme="minorEastAsia" w:hint="eastAsia"/>
          <w:sz w:val="24"/>
        </w:rPr>
        <w:t>和妇女权利与生物多样性</w:t>
      </w:r>
      <w:r>
        <w:rPr>
          <w:rFonts w:eastAsiaTheme="minorEastAsia" w:hint="eastAsia"/>
          <w:sz w:val="24"/>
        </w:rPr>
        <w:t>养护</w:t>
      </w:r>
      <w:r w:rsidRPr="000C7CA2">
        <w:rPr>
          <w:rFonts w:eastAsiaTheme="minorEastAsia" w:hint="eastAsia"/>
          <w:sz w:val="24"/>
        </w:rPr>
        <w:t>之间相互联系的理解</w:t>
      </w:r>
      <w:r>
        <w:rPr>
          <w:rFonts w:eastAsiaTheme="minorEastAsia" w:hint="eastAsia"/>
          <w:sz w:val="24"/>
        </w:rPr>
        <w:t>；</w:t>
      </w:r>
    </w:p>
    <w:p w:rsidR="001F1AAC" w:rsidRDefault="001F1AAC" w:rsidP="001F1AAC">
      <w:pPr>
        <w:pStyle w:val="bodytextnoindent"/>
        <w:numPr>
          <w:ilvl w:val="0"/>
          <w:numId w:val="260"/>
        </w:numPr>
        <w:tabs>
          <w:tab w:val="left" w:pos="1440"/>
        </w:tabs>
        <w:snapToGrid w:val="0"/>
        <w:ind w:left="0" w:firstLine="720"/>
        <w:rPr>
          <w:rFonts w:eastAsiaTheme="minorEastAsia"/>
          <w:sz w:val="24"/>
        </w:rPr>
      </w:pPr>
      <w:r w:rsidRPr="005019BC">
        <w:rPr>
          <w:rFonts w:ascii="KaiTi" w:eastAsia="KaiTi" w:hAnsi="KaiTi" w:cs="MS Mincho" w:hint="eastAsia"/>
          <w:kern w:val="22"/>
          <w:sz w:val="24"/>
        </w:rPr>
        <w:t>确认</w:t>
      </w:r>
      <w:r w:rsidRPr="000C7CA2">
        <w:rPr>
          <w:rFonts w:eastAsiaTheme="minorEastAsia" w:hint="eastAsia"/>
          <w:sz w:val="24"/>
        </w:rPr>
        <w:t>联合国贸易和发展会议等组织和倡议为执行</w:t>
      </w:r>
      <w:r>
        <w:rPr>
          <w:rFonts w:eastAsiaTheme="minorEastAsia" w:hint="eastAsia"/>
          <w:sz w:val="24"/>
        </w:rPr>
        <w:t>《</w:t>
      </w:r>
      <w:r w:rsidRPr="000C7CA2">
        <w:rPr>
          <w:rFonts w:eastAsiaTheme="minorEastAsia" w:hint="eastAsia"/>
          <w:sz w:val="24"/>
        </w:rPr>
        <w:t>公约</w:t>
      </w:r>
      <w:r>
        <w:rPr>
          <w:rFonts w:eastAsiaTheme="minorEastAsia" w:hint="eastAsia"/>
          <w:sz w:val="24"/>
        </w:rPr>
        <w:t>》和爱知生物多样性指标</w:t>
      </w:r>
      <w:r w:rsidRPr="000C7CA2">
        <w:rPr>
          <w:rFonts w:eastAsiaTheme="minorEastAsia" w:hint="eastAsia"/>
          <w:sz w:val="24"/>
        </w:rPr>
        <w:t>3</w:t>
      </w:r>
      <w:r w:rsidRPr="000C7CA2">
        <w:rPr>
          <w:rFonts w:eastAsiaTheme="minorEastAsia" w:hint="eastAsia"/>
          <w:sz w:val="24"/>
        </w:rPr>
        <w:t>提供技术支持和能力建设的工作，并</w:t>
      </w:r>
      <w:r w:rsidRPr="00AC17D5">
        <w:rPr>
          <w:rFonts w:ascii="KaiTi" w:eastAsia="KaiTi" w:hAnsi="KaiTi" w:cs="MS Mincho" w:hint="eastAsia"/>
          <w:kern w:val="22"/>
          <w:sz w:val="24"/>
        </w:rPr>
        <w:t>邀请</w:t>
      </w:r>
      <w:r w:rsidRPr="000C7CA2">
        <w:rPr>
          <w:rFonts w:eastAsiaTheme="minorEastAsia" w:hint="eastAsia"/>
          <w:sz w:val="24"/>
        </w:rPr>
        <w:t>它们继续</w:t>
      </w:r>
      <w:r>
        <w:rPr>
          <w:rFonts w:eastAsiaTheme="minorEastAsia" w:hint="eastAsia"/>
          <w:sz w:val="24"/>
        </w:rPr>
        <w:t>和</w:t>
      </w:r>
      <w:r w:rsidRPr="000C7CA2">
        <w:rPr>
          <w:rFonts w:eastAsiaTheme="minorEastAsia" w:hint="eastAsia"/>
          <w:sz w:val="24"/>
        </w:rPr>
        <w:t>加强这项工作</w:t>
      </w:r>
      <w:r>
        <w:rPr>
          <w:rFonts w:eastAsiaTheme="minorEastAsia" w:hint="eastAsia"/>
          <w:sz w:val="24"/>
        </w:rPr>
        <w:t>；</w:t>
      </w:r>
    </w:p>
    <w:p w:rsidR="001F1AAC" w:rsidRPr="00F1041B" w:rsidRDefault="001F1AAC" w:rsidP="001F1AAC">
      <w:pPr>
        <w:pStyle w:val="bodytextnoindent"/>
        <w:numPr>
          <w:ilvl w:val="0"/>
          <w:numId w:val="261"/>
        </w:numPr>
        <w:snapToGrid w:val="0"/>
        <w:ind w:left="0" w:firstLine="0"/>
        <w:jc w:val="center"/>
        <w:rPr>
          <w:rFonts w:asciiTheme="minorEastAsia" w:eastAsiaTheme="minorEastAsia" w:hAnsiTheme="minorEastAsia"/>
          <w:b/>
          <w:sz w:val="24"/>
        </w:rPr>
      </w:pPr>
      <w:r w:rsidRPr="00F1041B">
        <w:rPr>
          <w:rFonts w:asciiTheme="minorEastAsia" w:eastAsiaTheme="minorEastAsia" w:hAnsiTheme="minorEastAsia"/>
          <w:b/>
          <w:sz w:val="24"/>
        </w:rPr>
        <w:t>与机构间网络和协调网络的合作</w:t>
      </w:r>
    </w:p>
    <w:p w:rsidR="001F1AAC" w:rsidRPr="00DF5741" w:rsidRDefault="001F1AAC" w:rsidP="001F1AAC">
      <w:pPr>
        <w:pStyle w:val="bodytextnoindent"/>
        <w:numPr>
          <w:ilvl w:val="0"/>
          <w:numId w:val="260"/>
        </w:numPr>
        <w:tabs>
          <w:tab w:val="left" w:pos="1440"/>
        </w:tabs>
        <w:snapToGrid w:val="0"/>
        <w:ind w:left="0" w:firstLine="720"/>
        <w:rPr>
          <w:rFonts w:eastAsiaTheme="minorEastAsia"/>
          <w:sz w:val="24"/>
        </w:rPr>
      </w:pPr>
      <w:r w:rsidRPr="00DF5741">
        <w:rPr>
          <w:rFonts w:ascii="KaiTi" w:eastAsia="KaiTi" w:hAnsi="KaiTi" w:cs="MS Mincho" w:hint="eastAsia"/>
          <w:kern w:val="22"/>
          <w:sz w:val="24"/>
        </w:rPr>
        <w:t>赞赏地注意到</w:t>
      </w:r>
      <w:r w:rsidRPr="00DF5741">
        <w:rPr>
          <w:rFonts w:eastAsiaTheme="minorEastAsia" w:hint="eastAsia"/>
          <w:sz w:val="24"/>
        </w:rPr>
        <w:t>全球植物保护伙伴关系在执行《全球植物保护战略》和审查其进展以及对《</w:t>
      </w:r>
      <w:r w:rsidRPr="00DF5741">
        <w:rPr>
          <w:rFonts w:eastAsiaTheme="minorEastAsia" w:hint="eastAsia"/>
          <w:sz w:val="24"/>
        </w:rPr>
        <w:t>2011-2020</w:t>
      </w:r>
      <w:r w:rsidRPr="00DF5741">
        <w:rPr>
          <w:rFonts w:eastAsiaTheme="minorEastAsia" w:hint="eastAsia"/>
          <w:sz w:val="24"/>
        </w:rPr>
        <w:t>年生物多样性战略计划》和第五版《</w:t>
      </w:r>
      <w:r w:rsidRPr="001B7AF8">
        <w:rPr>
          <w:rFonts w:ascii="KaiTi" w:eastAsia="KaiTi" w:hAnsi="KaiTi" w:hint="eastAsia"/>
          <w:sz w:val="24"/>
        </w:rPr>
        <w:t>全球生物多样性展望</w:t>
      </w:r>
      <w:r w:rsidRPr="00DF5741">
        <w:rPr>
          <w:rFonts w:eastAsiaTheme="minorEastAsia" w:hint="eastAsia"/>
          <w:sz w:val="24"/>
        </w:rPr>
        <w:t>》的贡献方面所做的努力，并</w:t>
      </w:r>
      <w:r w:rsidRPr="00DF5741">
        <w:rPr>
          <w:rFonts w:ascii="KaiTi" w:eastAsia="KaiTi" w:hAnsi="KaiTi" w:cs="MS Mincho" w:hint="eastAsia"/>
          <w:kern w:val="22"/>
          <w:sz w:val="24"/>
        </w:rPr>
        <w:t>请</w:t>
      </w:r>
      <w:r w:rsidRPr="00DF5741">
        <w:rPr>
          <w:rFonts w:eastAsiaTheme="minorEastAsia" w:hint="eastAsia"/>
          <w:sz w:val="24"/>
        </w:rPr>
        <w:t>执行秘书与全球植物保护伙伴关系进一步互动协作，探讨如何</w:t>
      </w:r>
      <w:r w:rsidRPr="00DF5741">
        <w:rPr>
          <w:rFonts w:eastAsiaTheme="minorEastAsia"/>
          <w:sz w:val="24"/>
        </w:rPr>
        <w:t>在</w:t>
      </w:r>
      <w:r w:rsidRPr="00DF5741">
        <w:rPr>
          <w:rFonts w:eastAsiaTheme="minorEastAsia" w:hint="eastAsia"/>
          <w:sz w:val="24"/>
        </w:rPr>
        <w:t>2020</w:t>
      </w:r>
      <w:r w:rsidRPr="00DF5741">
        <w:rPr>
          <w:rFonts w:eastAsiaTheme="minorEastAsia" w:hint="eastAsia"/>
          <w:sz w:val="24"/>
        </w:rPr>
        <w:t>年后全球生物多样性框架下考虑全球植物保护伙伴关系</w:t>
      </w:r>
      <w:r>
        <w:rPr>
          <w:rFonts w:eastAsiaTheme="minorEastAsia" w:hint="eastAsia"/>
          <w:sz w:val="24"/>
        </w:rPr>
        <w:t>；</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欢迎</w:t>
      </w:r>
      <w:r w:rsidRPr="00C91291">
        <w:rPr>
          <w:rFonts w:eastAsiaTheme="minorEastAsia"/>
          <w:kern w:val="22"/>
          <w:sz w:val="24"/>
        </w:rPr>
        <w:t>通过联合国</w:t>
      </w:r>
      <w:r w:rsidRPr="00C91291">
        <w:rPr>
          <w:rFonts w:eastAsiaTheme="minorEastAsia"/>
          <w:kern w:val="22"/>
          <w:sz w:val="24"/>
        </w:rPr>
        <w:t>2017-2030</w:t>
      </w:r>
      <w:r w:rsidRPr="00C91291">
        <w:rPr>
          <w:rFonts w:eastAsiaTheme="minorEastAsia"/>
          <w:kern w:val="22"/>
          <w:sz w:val="24"/>
        </w:rPr>
        <w:t>年森林战略计划和全球森林目标和具体目标，作为联合国系统在森林</w:t>
      </w:r>
      <w:r w:rsidRPr="00376C11">
        <w:rPr>
          <w:rFonts w:eastAsiaTheme="minorEastAsia"/>
          <w:sz w:val="24"/>
        </w:rPr>
        <w:t>领域</w:t>
      </w:r>
      <w:r w:rsidRPr="00C91291">
        <w:rPr>
          <w:rFonts w:eastAsiaTheme="minorEastAsia"/>
          <w:kern w:val="22"/>
          <w:sz w:val="24"/>
        </w:rPr>
        <w:t>的工作的参考，并促进加强各联合国机构之间的一致性、协作和协同作用；</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赞赏地注意到</w:t>
      </w:r>
      <w:r w:rsidRPr="00C91291">
        <w:rPr>
          <w:rFonts w:eastAsiaTheme="minorEastAsia"/>
          <w:sz w:val="24"/>
        </w:rPr>
        <w:t>对与森林有关的</w:t>
      </w:r>
      <w:r>
        <w:rPr>
          <w:rFonts w:eastAsiaTheme="minorEastAsia"/>
          <w:sz w:val="24"/>
        </w:rPr>
        <w:t>爱知生物多样性指标</w:t>
      </w:r>
      <w:r w:rsidRPr="00C91291">
        <w:rPr>
          <w:rFonts w:eastAsiaTheme="minorEastAsia"/>
          <w:sz w:val="24"/>
        </w:rPr>
        <w:t>和其他与森林有关的多边承诺之间的切合问题的分析以及对实现与森林有关的</w:t>
      </w:r>
      <w:r>
        <w:rPr>
          <w:rFonts w:eastAsiaTheme="minorEastAsia"/>
          <w:sz w:val="24"/>
        </w:rPr>
        <w:t>爱知生物多样性指标</w:t>
      </w:r>
      <w:r w:rsidRPr="00C91291">
        <w:rPr>
          <w:rFonts w:eastAsiaTheme="minorEastAsia"/>
          <w:sz w:val="24"/>
        </w:rPr>
        <w:t>的进一步行动的备选方案的分析，它们主要在以下方面相互支持：</w:t>
      </w:r>
      <w:r>
        <w:rPr>
          <w:rFonts w:eastAsiaTheme="minorEastAsia" w:hint="eastAsia"/>
          <w:kern w:val="22"/>
          <w:sz w:val="24"/>
        </w:rPr>
        <w:t>(</w:t>
      </w:r>
      <w:r w:rsidRPr="00C91291">
        <w:rPr>
          <w:rFonts w:eastAsiaTheme="minorEastAsia"/>
          <w:kern w:val="22"/>
          <w:sz w:val="24"/>
        </w:rPr>
        <w:t>a</w:t>
      </w:r>
      <w:r>
        <w:rPr>
          <w:rFonts w:eastAsiaTheme="minorEastAsia" w:hint="eastAsia"/>
          <w:kern w:val="22"/>
          <w:sz w:val="24"/>
        </w:rPr>
        <w:t xml:space="preserve">) </w:t>
      </w:r>
      <w:r w:rsidRPr="00C91291">
        <w:rPr>
          <w:rFonts w:eastAsiaTheme="minorEastAsia"/>
          <w:sz w:val="24"/>
        </w:rPr>
        <w:t>减少毁林和森林退化，</w:t>
      </w:r>
      <w:r>
        <w:rPr>
          <w:rFonts w:eastAsiaTheme="minorEastAsia" w:hint="eastAsia"/>
          <w:kern w:val="22"/>
          <w:sz w:val="24"/>
        </w:rPr>
        <w:t>(</w:t>
      </w:r>
      <w:r w:rsidRPr="00C91291">
        <w:rPr>
          <w:rFonts w:eastAsiaTheme="minorEastAsia"/>
          <w:kern w:val="22"/>
          <w:sz w:val="24"/>
        </w:rPr>
        <w:t>b</w:t>
      </w:r>
      <w:r>
        <w:rPr>
          <w:rFonts w:eastAsiaTheme="minorEastAsia" w:hint="eastAsia"/>
          <w:kern w:val="22"/>
          <w:sz w:val="24"/>
        </w:rPr>
        <w:t xml:space="preserve">) </w:t>
      </w:r>
      <w:r w:rsidRPr="00C91291">
        <w:rPr>
          <w:rFonts w:eastAsiaTheme="minorEastAsia"/>
          <w:sz w:val="24"/>
        </w:rPr>
        <w:t>恢复森林</w:t>
      </w:r>
      <w:r>
        <w:rPr>
          <w:rFonts w:eastAsiaTheme="minorEastAsia" w:hint="eastAsia"/>
          <w:sz w:val="24"/>
        </w:rPr>
        <w:t>，</w:t>
      </w:r>
      <w:r>
        <w:rPr>
          <w:rFonts w:eastAsiaTheme="minorEastAsia" w:hint="eastAsia"/>
          <w:sz w:val="24"/>
        </w:rPr>
        <w:t xml:space="preserve">(c) </w:t>
      </w:r>
      <w:r w:rsidRPr="004F66A4">
        <w:rPr>
          <w:rFonts w:eastAsiaTheme="minorEastAsia" w:hint="eastAsia"/>
          <w:sz w:val="24"/>
        </w:rPr>
        <w:t>迫切需要避免地球上原始森林的</w:t>
      </w:r>
      <w:r>
        <w:rPr>
          <w:rFonts w:eastAsiaTheme="minorEastAsia" w:hint="eastAsia"/>
          <w:sz w:val="24"/>
        </w:rPr>
        <w:t>严重碎片化、</w:t>
      </w:r>
      <w:r w:rsidRPr="004F66A4">
        <w:rPr>
          <w:rFonts w:eastAsiaTheme="minorEastAsia" w:hint="eastAsia"/>
          <w:sz w:val="24"/>
        </w:rPr>
        <w:t>破坏和丧失</w:t>
      </w:r>
      <w:r w:rsidRPr="00C91291">
        <w:rPr>
          <w:rFonts w:eastAsiaTheme="minorEastAsia"/>
          <w:sz w:val="24"/>
        </w:rPr>
        <w:t>；</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请</w:t>
      </w:r>
      <w:r w:rsidRPr="00C91291">
        <w:rPr>
          <w:rFonts w:eastAsiaTheme="minorEastAsia"/>
          <w:kern w:val="22"/>
          <w:sz w:val="24"/>
        </w:rPr>
        <w:t>执行秘书继续与森林合作伙伴关系</w:t>
      </w:r>
      <w:r w:rsidRPr="00DF5741">
        <w:rPr>
          <w:rFonts w:eastAsiaTheme="minorEastAsia" w:hint="eastAsia"/>
          <w:sz w:val="24"/>
        </w:rPr>
        <w:t>互动协作</w:t>
      </w:r>
      <w:r w:rsidRPr="00C91291">
        <w:rPr>
          <w:rFonts w:eastAsiaTheme="minorEastAsia"/>
          <w:kern w:val="22"/>
          <w:sz w:val="24"/>
        </w:rPr>
        <w:t>，进一步制定其工作计划和联合倡议，以执行</w:t>
      </w:r>
      <w:r w:rsidRPr="00ED2779">
        <w:rPr>
          <w:rFonts w:asciiTheme="minorEastAsia" w:eastAsiaTheme="minorEastAsia" w:hAnsiTheme="minorEastAsia"/>
          <w:kern w:val="22"/>
          <w:sz w:val="24"/>
        </w:rPr>
        <w:t>“</w:t>
      </w:r>
      <w:r w:rsidRPr="00C91291">
        <w:rPr>
          <w:rFonts w:eastAsiaTheme="minorEastAsia"/>
          <w:kern w:val="22"/>
          <w:sz w:val="24"/>
        </w:rPr>
        <w:t>2017-2030</w:t>
      </w:r>
      <w:r w:rsidRPr="00C91291">
        <w:rPr>
          <w:rFonts w:eastAsiaTheme="minorEastAsia"/>
          <w:kern w:val="22"/>
          <w:sz w:val="24"/>
        </w:rPr>
        <w:t>年联合国森林战略计划</w:t>
      </w:r>
      <w:r w:rsidRPr="00ED2779">
        <w:rPr>
          <w:rFonts w:asciiTheme="minorEastAsia" w:eastAsiaTheme="minorEastAsia" w:hAnsiTheme="minorEastAsia"/>
          <w:kern w:val="22"/>
          <w:sz w:val="24"/>
        </w:rPr>
        <w:t>”和</w:t>
      </w:r>
      <w:r w:rsidRPr="00C91291">
        <w:rPr>
          <w:rFonts w:eastAsiaTheme="minorEastAsia"/>
          <w:kern w:val="22"/>
          <w:sz w:val="24"/>
        </w:rPr>
        <w:t>全球森林目标及其与</w:t>
      </w:r>
      <w:r>
        <w:rPr>
          <w:rFonts w:eastAsiaTheme="minorEastAsia"/>
          <w:kern w:val="22"/>
          <w:sz w:val="24"/>
        </w:rPr>
        <w:t>爱知生物多样性指</w:t>
      </w:r>
      <w:r>
        <w:rPr>
          <w:rFonts w:eastAsiaTheme="minorEastAsia"/>
          <w:kern w:val="22"/>
          <w:sz w:val="24"/>
        </w:rPr>
        <w:lastRenderedPageBreak/>
        <w:t>标</w:t>
      </w:r>
      <w:r w:rsidRPr="00C91291">
        <w:rPr>
          <w:rFonts w:eastAsiaTheme="minorEastAsia"/>
          <w:kern w:val="22"/>
          <w:sz w:val="24"/>
        </w:rPr>
        <w:t>的一致性，并向</w:t>
      </w:r>
      <w:r w:rsidRPr="00376C11">
        <w:rPr>
          <w:rFonts w:eastAsiaTheme="minorEastAsia"/>
          <w:sz w:val="24"/>
        </w:rPr>
        <w:t>执行</w:t>
      </w:r>
      <w:r w:rsidRPr="00C91291">
        <w:rPr>
          <w:rFonts w:eastAsiaTheme="minorEastAsia"/>
          <w:kern w:val="22"/>
          <w:sz w:val="24"/>
        </w:rPr>
        <w:t>问题附属机构第三次会议提出报告，</w:t>
      </w:r>
      <w:r w:rsidRPr="00A5224C">
        <w:rPr>
          <w:rFonts w:ascii="KaiTi" w:eastAsia="KaiTi" w:hAnsi="KaiTi" w:cs="MS Mincho"/>
          <w:kern w:val="22"/>
          <w:sz w:val="24"/>
        </w:rPr>
        <w:t>鼓励</w:t>
      </w:r>
      <w:r w:rsidRPr="00C91291">
        <w:rPr>
          <w:rFonts w:eastAsiaTheme="minorEastAsia"/>
          <w:sz w:val="24"/>
        </w:rPr>
        <w:t>森林合作伙伴关系成员组织进一步协调生物多样性相关数据和方法，酌情通过全球森林目标、</w:t>
      </w:r>
      <w:r>
        <w:rPr>
          <w:rFonts w:eastAsiaTheme="minorEastAsia" w:hint="eastAsia"/>
          <w:sz w:val="24"/>
        </w:rPr>
        <w:t>“</w:t>
      </w:r>
      <w:r>
        <w:rPr>
          <w:rFonts w:eastAsiaTheme="minorEastAsia"/>
          <w:sz w:val="24"/>
        </w:rPr>
        <w:t>减排</w:t>
      </w:r>
      <w:r w:rsidRPr="00C91291">
        <w:rPr>
          <w:rFonts w:eastAsiaTheme="minorEastAsia"/>
          <w:sz w:val="24"/>
        </w:rPr>
        <w:t>+</w:t>
      </w:r>
      <w:r w:rsidRPr="00A5224C">
        <w:rPr>
          <w:rFonts w:asciiTheme="minorEastAsia" w:eastAsiaTheme="minorEastAsia" w:hAnsiTheme="minorEastAsia"/>
          <w:sz w:val="24"/>
        </w:rPr>
        <w:t>”</w:t>
      </w:r>
      <w:r w:rsidRPr="00C91291">
        <w:rPr>
          <w:rFonts w:eastAsiaTheme="minorEastAsia"/>
          <w:sz w:val="24"/>
        </w:rPr>
        <w:t>和全球恢复森林景观伙伴关系的工作</w:t>
      </w:r>
      <w:r>
        <w:rPr>
          <w:rFonts w:eastAsiaTheme="minorEastAsia" w:hint="eastAsia"/>
          <w:sz w:val="24"/>
        </w:rPr>
        <w:t>，以及有助于森林恢复的替代性适应和缓解办法</w:t>
      </w:r>
      <w:r w:rsidRPr="00C91291">
        <w:rPr>
          <w:rFonts w:eastAsiaTheme="minorEastAsia"/>
          <w:sz w:val="24"/>
        </w:rPr>
        <w:t>，对促进生物多样性承诺的机会进行空间评估；</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请</w:t>
      </w:r>
      <w:r w:rsidRPr="00C91291">
        <w:rPr>
          <w:rFonts w:eastAsiaTheme="minorEastAsia"/>
          <w:sz w:val="24"/>
        </w:rPr>
        <w:t>执行秘书在资源允许的情况下</w:t>
      </w:r>
      <w:r>
        <w:rPr>
          <w:rFonts w:eastAsiaTheme="minorEastAsia" w:hint="eastAsia"/>
          <w:sz w:val="24"/>
        </w:rPr>
        <w:t>，</w:t>
      </w:r>
      <w:r w:rsidRPr="00C91291">
        <w:rPr>
          <w:rFonts w:eastAsiaTheme="minorEastAsia"/>
          <w:sz w:val="24"/>
        </w:rPr>
        <w:t>提供进一步指导说明缔约方在《公约》具体执行领域</w:t>
      </w:r>
      <w:r>
        <w:rPr>
          <w:rFonts w:eastAsiaTheme="minorEastAsia" w:hint="eastAsia"/>
          <w:sz w:val="24"/>
        </w:rPr>
        <w:t>（</w:t>
      </w:r>
      <w:r w:rsidRPr="00C91291">
        <w:rPr>
          <w:rFonts w:eastAsiaTheme="minorEastAsia"/>
          <w:sz w:val="24"/>
        </w:rPr>
        <w:t>例如生态系统恢复短期行动计划</w:t>
      </w:r>
      <w:r w:rsidRPr="00A331D5">
        <w:rPr>
          <w:rStyle w:val="FootnoteReference"/>
          <w:rFonts w:eastAsiaTheme="minorEastAsia"/>
          <w:sz w:val="24"/>
          <w:vertAlign w:val="superscript"/>
        </w:rPr>
        <w:footnoteReference w:id="300"/>
      </w:r>
      <w:r w:rsidRPr="00D041BF">
        <w:rPr>
          <w:rFonts w:eastAsiaTheme="minorEastAsia"/>
          <w:sz w:val="24"/>
          <w:vertAlign w:val="superscript"/>
        </w:rPr>
        <w:t xml:space="preserve"> </w:t>
      </w:r>
      <w:r>
        <w:rPr>
          <w:rFonts w:eastAsiaTheme="minorEastAsia" w:hint="eastAsia"/>
          <w:sz w:val="24"/>
        </w:rPr>
        <w:t>）</w:t>
      </w:r>
      <w:r w:rsidRPr="00C91291">
        <w:rPr>
          <w:rFonts w:eastAsiaTheme="minorEastAsia"/>
          <w:sz w:val="24"/>
        </w:rPr>
        <w:t>可从森林合作伙伴关系成员处获得哪类支持；</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赞赏地注意到</w:t>
      </w:r>
      <w:r w:rsidRPr="00C91291">
        <w:rPr>
          <w:rFonts w:eastAsiaTheme="minorEastAsia"/>
          <w:sz w:val="24"/>
        </w:rPr>
        <w:t>全球恢复森林和景观伙伴关系成员作出努力，为实施森林景观恢复制定明确的原则，并制定了监测工具和程序，顾及森林景观恢复的多个方面，包括生物多样性在内，</w:t>
      </w:r>
      <w:r>
        <w:rPr>
          <w:rFonts w:eastAsiaTheme="minorEastAsia" w:hint="eastAsia"/>
          <w:sz w:val="24"/>
        </w:rPr>
        <w:t>它们</w:t>
      </w:r>
      <w:r w:rsidRPr="00C91291">
        <w:rPr>
          <w:rFonts w:eastAsiaTheme="minorEastAsia"/>
          <w:sz w:val="24"/>
        </w:rPr>
        <w:t>既是</w:t>
      </w:r>
      <w:bookmarkStart w:id="224" w:name="_Hlk516080316"/>
      <w:r w:rsidRPr="00C91291">
        <w:rPr>
          <w:rFonts w:eastAsiaTheme="minorEastAsia"/>
          <w:sz w:val="24"/>
        </w:rPr>
        <w:t>恢复干预</w:t>
      </w:r>
      <w:bookmarkEnd w:id="224"/>
      <w:r>
        <w:rPr>
          <w:rFonts w:eastAsiaTheme="minorEastAsia" w:hint="eastAsia"/>
          <w:sz w:val="24"/>
        </w:rPr>
        <w:t>措施</w:t>
      </w:r>
      <w:r w:rsidRPr="00C91291">
        <w:rPr>
          <w:rFonts w:eastAsiaTheme="minorEastAsia"/>
          <w:sz w:val="24"/>
        </w:rPr>
        <w:t>的手段，也是恢复干预</w:t>
      </w:r>
      <w:r>
        <w:rPr>
          <w:rFonts w:eastAsiaTheme="minorEastAsia" w:hint="eastAsia"/>
          <w:sz w:val="24"/>
        </w:rPr>
        <w:t>措施</w:t>
      </w:r>
      <w:r w:rsidRPr="00C91291">
        <w:rPr>
          <w:rFonts w:eastAsiaTheme="minorEastAsia"/>
          <w:sz w:val="24"/>
        </w:rPr>
        <w:t>的结果；</w:t>
      </w:r>
    </w:p>
    <w:p w:rsidR="001F1AAC" w:rsidRDefault="001F1AAC" w:rsidP="001F1AAC">
      <w:pPr>
        <w:pStyle w:val="bodytextnoindent"/>
        <w:numPr>
          <w:ilvl w:val="0"/>
          <w:numId w:val="260"/>
        </w:numPr>
        <w:tabs>
          <w:tab w:val="left" w:pos="1440"/>
        </w:tabs>
        <w:snapToGrid w:val="0"/>
        <w:ind w:left="0" w:firstLine="720"/>
        <w:rPr>
          <w:rFonts w:eastAsiaTheme="minorEastAsia"/>
          <w:sz w:val="24"/>
        </w:rPr>
      </w:pPr>
      <w:r w:rsidRPr="00C91291">
        <w:rPr>
          <w:rFonts w:ascii="KaiTi" w:eastAsia="KaiTi" w:hAnsi="KaiTi" w:cs="MS Mincho"/>
          <w:kern w:val="22"/>
          <w:sz w:val="24"/>
        </w:rPr>
        <w:t>邀请</w:t>
      </w:r>
      <w:r w:rsidRPr="00C91291">
        <w:rPr>
          <w:rFonts w:eastAsiaTheme="minorEastAsia"/>
          <w:sz w:val="24"/>
        </w:rPr>
        <w:t>各缔约方在执行国家森林景观恢复战略时，根据其国家优先事项和能力，充分利用</w:t>
      </w:r>
      <w:r w:rsidRPr="003B0B9B">
        <w:rPr>
          <w:rFonts w:asciiTheme="minorEastAsia" w:eastAsiaTheme="minorEastAsia" w:hAnsiTheme="minorEastAsia"/>
          <w:sz w:val="24"/>
        </w:rPr>
        <w:t>题为“</w:t>
      </w:r>
      <w:r w:rsidRPr="00376C11">
        <w:rPr>
          <w:rFonts w:eastAsiaTheme="minorEastAsia"/>
          <w:sz w:val="24"/>
        </w:rPr>
        <w:t>生态系统</w:t>
      </w:r>
      <w:r w:rsidRPr="003B0B9B">
        <w:rPr>
          <w:rFonts w:asciiTheme="minorEastAsia" w:eastAsiaTheme="minorEastAsia" w:hAnsiTheme="minorEastAsia"/>
          <w:sz w:val="24"/>
        </w:rPr>
        <w:t>恢复：短期行动计划”</w:t>
      </w:r>
      <w:r w:rsidRPr="00C91291">
        <w:rPr>
          <w:rFonts w:eastAsiaTheme="minorEastAsia"/>
          <w:sz w:val="24"/>
        </w:rPr>
        <w:t>的第</w:t>
      </w:r>
      <w:r w:rsidRPr="00C91291">
        <w:rPr>
          <w:rFonts w:eastAsiaTheme="minorEastAsia"/>
          <w:sz w:val="24"/>
        </w:rPr>
        <w:t>XIII/5</w:t>
      </w:r>
      <w:r w:rsidRPr="00C91291">
        <w:rPr>
          <w:rFonts w:eastAsiaTheme="minorEastAsia"/>
          <w:sz w:val="24"/>
        </w:rPr>
        <w:t>号决定提供的指导意见，特别是关于生物多样性考虑的章节；</w:t>
      </w:r>
    </w:p>
    <w:p w:rsidR="001F1AAC" w:rsidRPr="00C91291" w:rsidRDefault="001F1AAC" w:rsidP="001F1AAC">
      <w:pPr>
        <w:pStyle w:val="bodytextnoindent"/>
        <w:numPr>
          <w:ilvl w:val="0"/>
          <w:numId w:val="260"/>
        </w:numPr>
        <w:tabs>
          <w:tab w:val="left" w:pos="1440"/>
        </w:tabs>
        <w:snapToGrid w:val="0"/>
        <w:ind w:left="0" w:firstLine="720"/>
        <w:rPr>
          <w:rFonts w:eastAsiaTheme="minorEastAsia"/>
          <w:sz w:val="24"/>
        </w:rPr>
      </w:pPr>
      <w:r>
        <w:rPr>
          <w:rFonts w:ascii="KaiTi" w:eastAsia="KaiTi" w:hAnsi="KaiTi" w:cs="MS Mincho" w:hint="eastAsia"/>
          <w:kern w:val="22"/>
          <w:sz w:val="24"/>
        </w:rPr>
        <w:t>邀请</w:t>
      </w:r>
      <w:r w:rsidRPr="00452A5C">
        <w:rPr>
          <w:rFonts w:eastAsiaTheme="minorEastAsia" w:hint="eastAsia"/>
          <w:sz w:val="24"/>
        </w:rPr>
        <w:t>联合国大会指定</w:t>
      </w:r>
      <w:r w:rsidRPr="00452A5C">
        <w:rPr>
          <w:rFonts w:eastAsiaTheme="minorEastAsia" w:hint="eastAsia"/>
          <w:sz w:val="24"/>
        </w:rPr>
        <w:t>2021</w:t>
      </w:r>
      <w:r w:rsidRPr="00452A5C">
        <w:rPr>
          <w:rFonts w:eastAsiaTheme="minorEastAsia" w:hint="eastAsia"/>
          <w:sz w:val="24"/>
        </w:rPr>
        <w:t>年至</w:t>
      </w:r>
      <w:r w:rsidRPr="00452A5C">
        <w:rPr>
          <w:rFonts w:eastAsiaTheme="minorEastAsia" w:hint="eastAsia"/>
          <w:sz w:val="24"/>
        </w:rPr>
        <w:t>2030</w:t>
      </w:r>
      <w:r w:rsidRPr="00452A5C">
        <w:rPr>
          <w:rFonts w:eastAsiaTheme="minorEastAsia" w:hint="eastAsia"/>
          <w:sz w:val="24"/>
        </w:rPr>
        <w:t>年</w:t>
      </w:r>
      <w:r>
        <w:rPr>
          <w:rFonts w:eastAsiaTheme="minorEastAsia" w:hint="eastAsia"/>
          <w:sz w:val="24"/>
        </w:rPr>
        <w:t>为</w:t>
      </w:r>
      <w:r w:rsidRPr="00452A5C">
        <w:rPr>
          <w:rFonts w:eastAsiaTheme="minorEastAsia" w:hint="eastAsia"/>
          <w:sz w:val="24"/>
        </w:rPr>
        <w:t>联合国生态系统恢复十年的</w:t>
      </w:r>
      <w:r>
        <w:rPr>
          <w:rFonts w:eastAsiaTheme="minorEastAsia" w:hint="eastAsia"/>
          <w:sz w:val="24"/>
        </w:rPr>
        <w:t>提案；</w:t>
      </w:r>
    </w:p>
    <w:p w:rsidR="001F1AAC" w:rsidRPr="00C91291" w:rsidRDefault="001F1AAC" w:rsidP="001F1AAC">
      <w:pPr>
        <w:pStyle w:val="bodytextnoindent"/>
        <w:numPr>
          <w:ilvl w:val="0"/>
          <w:numId w:val="260"/>
        </w:numPr>
        <w:tabs>
          <w:tab w:val="left" w:pos="1440"/>
        </w:tabs>
        <w:snapToGrid w:val="0"/>
        <w:ind w:left="0" w:firstLine="720"/>
        <w:rPr>
          <w:rFonts w:eastAsiaTheme="minorEastAsia"/>
          <w:kern w:val="22"/>
          <w:sz w:val="24"/>
        </w:rPr>
      </w:pPr>
      <w:r w:rsidRPr="00C91291">
        <w:rPr>
          <w:rFonts w:ascii="KaiTi" w:eastAsia="KaiTi" w:hAnsi="KaiTi" w:cs="MS Mincho"/>
          <w:kern w:val="22"/>
          <w:sz w:val="24"/>
        </w:rPr>
        <w:t>请</w:t>
      </w:r>
      <w:r w:rsidRPr="00C91291">
        <w:rPr>
          <w:rFonts w:eastAsiaTheme="minorEastAsia"/>
          <w:kern w:val="22"/>
          <w:sz w:val="24"/>
        </w:rPr>
        <w:t>执行</w:t>
      </w:r>
      <w:r w:rsidRPr="00C91291">
        <w:rPr>
          <w:rFonts w:eastAsiaTheme="minorEastAsia"/>
          <w:sz w:val="24"/>
        </w:rPr>
        <w:t>秘书</w:t>
      </w:r>
      <w:r w:rsidRPr="00C91291">
        <w:rPr>
          <w:rFonts w:eastAsiaTheme="minorEastAsia"/>
          <w:kern w:val="22"/>
          <w:sz w:val="24"/>
        </w:rPr>
        <w:t>邀请和动员《</w:t>
      </w:r>
      <w:r w:rsidRPr="00C91291">
        <w:rPr>
          <w:rFonts w:eastAsiaTheme="minorEastAsia"/>
          <w:kern w:val="22"/>
          <w:sz w:val="24"/>
        </w:rPr>
        <w:t>2011-2020</w:t>
      </w:r>
      <w:r w:rsidRPr="00C91291">
        <w:rPr>
          <w:rFonts w:eastAsiaTheme="minorEastAsia"/>
          <w:kern w:val="22"/>
          <w:sz w:val="24"/>
        </w:rPr>
        <w:t>生物多样性战略计划》框架下建立的倡议</w:t>
      </w:r>
      <w:r>
        <w:rPr>
          <w:rFonts w:eastAsiaTheme="minorEastAsia" w:hint="eastAsia"/>
          <w:kern w:val="22"/>
          <w:sz w:val="24"/>
        </w:rPr>
        <w:t>（</w:t>
      </w:r>
      <w:r w:rsidRPr="00C91291">
        <w:rPr>
          <w:rFonts w:eastAsiaTheme="minorEastAsia"/>
          <w:kern w:val="22"/>
          <w:sz w:val="24"/>
        </w:rPr>
        <w:t>例如里山倡议</w:t>
      </w:r>
      <w:r>
        <w:rPr>
          <w:rFonts w:eastAsiaTheme="minorEastAsia" w:hint="eastAsia"/>
          <w:kern w:val="22"/>
          <w:sz w:val="24"/>
        </w:rPr>
        <w:t>）</w:t>
      </w:r>
      <w:r w:rsidRPr="00C91291">
        <w:rPr>
          <w:rFonts w:eastAsiaTheme="minorEastAsia"/>
          <w:kern w:val="22"/>
          <w:sz w:val="24"/>
        </w:rPr>
        <w:t>的</w:t>
      </w:r>
      <w:r>
        <w:rPr>
          <w:rFonts w:eastAsiaTheme="minorEastAsia" w:hint="eastAsia"/>
          <w:kern w:val="22"/>
          <w:sz w:val="24"/>
        </w:rPr>
        <w:t>各</w:t>
      </w:r>
      <w:r w:rsidRPr="00376C11">
        <w:rPr>
          <w:rFonts w:eastAsiaTheme="minorEastAsia"/>
          <w:sz w:val="24"/>
        </w:rPr>
        <w:t>执行机构</w:t>
      </w:r>
      <w:r w:rsidRPr="00C91291">
        <w:rPr>
          <w:rFonts w:eastAsiaTheme="minorEastAsia"/>
          <w:kern w:val="22"/>
          <w:sz w:val="24"/>
        </w:rPr>
        <w:t>继续在执行过程中建立协同作用，</w:t>
      </w:r>
      <w:r>
        <w:rPr>
          <w:rFonts w:eastAsiaTheme="minorEastAsia" w:hint="eastAsia"/>
          <w:kern w:val="22"/>
          <w:sz w:val="24"/>
        </w:rPr>
        <w:t>并</w:t>
      </w:r>
      <w:r>
        <w:rPr>
          <w:rFonts w:eastAsiaTheme="minorEastAsia"/>
          <w:kern w:val="22"/>
          <w:sz w:val="24"/>
        </w:rPr>
        <w:t>为</w:t>
      </w:r>
      <w:r w:rsidRPr="00C91291">
        <w:rPr>
          <w:rFonts w:eastAsiaTheme="minorEastAsia"/>
          <w:kern w:val="22"/>
          <w:sz w:val="24"/>
        </w:rPr>
        <w:t>关于</w:t>
      </w:r>
      <w:r w:rsidRPr="00C91291">
        <w:rPr>
          <w:rFonts w:eastAsiaTheme="minorEastAsia"/>
          <w:kern w:val="22"/>
          <w:sz w:val="24"/>
        </w:rPr>
        <w:t>2020</w:t>
      </w:r>
      <w:r w:rsidRPr="00C91291">
        <w:rPr>
          <w:rFonts w:eastAsiaTheme="minorEastAsia"/>
          <w:kern w:val="22"/>
          <w:sz w:val="24"/>
        </w:rPr>
        <w:t>年后全球生物多样性框架的讨论</w:t>
      </w:r>
      <w:r>
        <w:rPr>
          <w:rFonts w:eastAsiaTheme="minorEastAsia" w:hint="eastAsia"/>
          <w:kern w:val="22"/>
          <w:sz w:val="24"/>
        </w:rPr>
        <w:t>建言献策</w:t>
      </w:r>
      <w:r w:rsidRPr="00C91291">
        <w:rPr>
          <w:rFonts w:eastAsiaTheme="minorEastAsia"/>
          <w:kern w:val="22"/>
          <w:sz w:val="24"/>
        </w:rPr>
        <w:t>。</w:t>
      </w:r>
      <w:r>
        <w:rPr>
          <w:rFonts w:eastAsiaTheme="minorEastAsia" w:hint="eastAsia"/>
          <w:kern w:val="22"/>
          <w:sz w:val="24"/>
        </w:rPr>
        <w:t xml:space="preserve"> </w:t>
      </w:r>
    </w:p>
    <w:p w:rsidR="001F1AAC" w:rsidRPr="001F1AAC" w:rsidRDefault="001F1AAC" w:rsidP="001F1AAC">
      <w:pPr>
        <w:ind w:firstLine="0"/>
        <w:jc w:val="center"/>
        <w:rPr>
          <w:kern w:val="22"/>
          <w:lang w:val="en-GB" w:eastAsia="zh-CN"/>
        </w:rPr>
      </w:pPr>
    </w:p>
    <w:p w:rsidR="001F1AAC" w:rsidRDefault="001F1AAC">
      <w:pPr>
        <w:rPr>
          <w:b/>
          <w:bCs/>
          <w:noProof/>
          <w:kern w:val="22"/>
          <w:szCs w:val="32"/>
          <w:lang w:eastAsia="zh-CN"/>
        </w:rPr>
      </w:pPr>
      <w:r>
        <w:rPr>
          <w:noProof/>
          <w:kern w:val="22"/>
          <w:lang w:eastAsia="zh-CN"/>
        </w:rPr>
        <w:br w:type="page"/>
      </w:r>
    </w:p>
    <w:p w:rsidR="001F1AAC" w:rsidRPr="001F1AAC" w:rsidRDefault="001F1AAC" w:rsidP="001F1AAC">
      <w:pPr>
        <w:pStyle w:val="Heading1"/>
        <w:spacing w:before="120" w:after="120"/>
        <w:ind w:left="2347" w:right="1570" w:hanging="907"/>
        <w:jc w:val="left"/>
        <w:rPr>
          <w:rFonts w:eastAsiaTheme="minorEastAsia" w:cs="Times New Roman"/>
          <w:noProof/>
          <w:kern w:val="22"/>
          <w:sz w:val="24"/>
          <w:lang w:eastAsia="zh-CN"/>
        </w:rPr>
      </w:pPr>
      <w:bookmarkStart w:id="225" w:name="_Toc6243792"/>
      <w:r w:rsidRPr="001F1AAC">
        <w:rPr>
          <w:rFonts w:eastAsiaTheme="minorEastAsia" w:cs="Times New Roman"/>
          <w:noProof/>
          <w:kern w:val="22"/>
          <w:sz w:val="24"/>
          <w:lang w:eastAsia="zh-CN"/>
        </w:rPr>
        <w:lastRenderedPageBreak/>
        <w:t>14/31.</w:t>
      </w:r>
      <w:r w:rsidRPr="001F1AAC">
        <w:rPr>
          <w:rFonts w:eastAsiaTheme="minorEastAsia" w:cs="Times New Roman"/>
          <w:noProof/>
          <w:kern w:val="22"/>
          <w:sz w:val="24"/>
          <w:lang w:eastAsia="zh-CN"/>
        </w:rPr>
        <w:tab/>
      </w:r>
      <w:r w:rsidRPr="001F1AAC">
        <w:rPr>
          <w:rFonts w:eastAsiaTheme="minorEastAsia" w:cs="Times New Roman"/>
          <w:noProof/>
          <w:kern w:val="22"/>
          <w:sz w:val="24"/>
          <w:lang w:eastAsia="zh-CN"/>
        </w:rPr>
        <w:t>加强《公约》及其《议定书》有关生物安全条款和有关获取和惠益分享条款的一体化</w:t>
      </w:r>
      <w:bookmarkEnd w:id="225"/>
    </w:p>
    <w:p w:rsidR="001F1AAC" w:rsidRPr="000A4738" w:rsidRDefault="001F1AAC" w:rsidP="001F1AAC">
      <w:pPr>
        <w:pStyle w:val="Para1"/>
        <w:keepNext/>
        <w:suppressLineNumbers/>
        <w:tabs>
          <w:tab w:val="clear" w:pos="360"/>
        </w:tabs>
        <w:suppressAutoHyphens/>
        <w:adjustRightInd w:val="0"/>
        <w:snapToGrid w:val="0"/>
        <w:rPr>
          <w:rFonts w:ascii="KaiTi" w:eastAsia="KaiTi" w:hAnsi="KaiTi"/>
          <w:iCs/>
          <w:kern w:val="22"/>
          <w:sz w:val="24"/>
          <w:szCs w:val="24"/>
          <w:lang w:eastAsia="nl-BE"/>
        </w:rPr>
      </w:pPr>
      <w:r w:rsidRPr="000A4738">
        <w:rPr>
          <w:rFonts w:ascii="KaiTi" w:eastAsia="KaiTi" w:hAnsi="KaiTi" w:cs="SimSun" w:hint="eastAsia"/>
          <w:iCs/>
          <w:kern w:val="22"/>
          <w:sz w:val="24"/>
          <w:szCs w:val="24"/>
          <w:lang w:eastAsia="nl-BE"/>
        </w:rPr>
        <w:t>缔约方大会，</w:t>
      </w:r>
    </w:p>
    <w:p w:rsidR="001F1AAC" w:rsidRPr="00DB7B3E" w:rsidRDefault="001F1AAC" w:rsidP="001F1AAC">
      <w:pPr>
        <w:pStyle w:val="Para1"/>
        <w:keepNext/>
        <w:suppressLineNumbers/>
        <w:tabs>
          <w:tab w:val="clear" w:pos="360"/>
        </w:tabs>
        <w:suppressAutoHyphens/>
        <w:adjustRightInd w:val="0"/>
        <w:snapToGrid w:val="0"/>
        <w:ind w:firstLine="0"/>
        <w:jc w:val="center"/>
        <w:rPr>
          <w:rFonts w:ascii="KaiTi" w:eastAsia="KaiTi" w:hAnsi="KaiTi" w:cs="SimSun"/>
          <w:iCs/>
          <w:kern w:val="22"/>
          <w:sz w:val="24"/>
          <w:szCs w:val="24"/>
          <w:lang w:eastAsia="nl-BE"/>
        </w:rPr>
      </w:pPr>
      <w:r w:rsidRPr="00323055">
        <w:rPr>
          <w:rFonts w:eastAsia="KaiTi"/>
          <w:iCs/>
          <w:kern w:val="22"/>
          <w:sz w:val="24"/>
          <w:szCs w:val="24"/>
          <w:lang w:eastAsia="zh-CN"/>
        </w:rPr>
        <w:t>A.</w:t>
      </w:r>
      <w:r>
        <w:rPr>
          <w:rFonts w:eastAsia="KaiTi"/>
          <w:iCs/>
          <w:kern w:val="22"/>
          <w:sz w:val="24"/>
          <w:szCs w:val="24"/>
          <w:lang w:eastAsia="zh-CN"/>
        </w:rPr>
        <w:t xml:space="preserve">     </w:t>
      </w:r>
      <w:r>
        <w:rPr>
          <w:rFonts w:ascii="KaiTi" w:eastAsia="KaiTi" w:hAnsi="KaiTi" w:cs="SimSun" w:hint="eastAsia"/>
          <w:iCs/>
          <w:kern w:val="22"/>
          <w:sz w:val="24"/>
          <w:szCs w:val="24"/>
          <w:lang w:eastAsia="zh-CN"/>
        </w:rPr>
        <w:t>关于生物安全的条款</w:t>
      </w:r>
    </w:p>
    <w:p w:rsidR="001F1AAC" w:rsidRPr="00917EE2" w:rsidRDefault="001F1AAC" w:rsidP="001F1AAC">
      <w:pPr>
        <w:pStyle w:val="Para1"/>
        <w:tabs>
          <w:tab w:val="clear" w:pos="360"/>
          <w:tab w:val="left" w:pos="1440"/>
        </w:tabs>
        <w:kinsoku w:val="0"/>
        <w:overflowPunct w:val="0"/>
        <w:autoSpaceDE w:val="0"/>
        <w:autoSpaceDN w:val="0"/>
        <w:rPr>
          <w:kern w:val="22"/>
          <w:sz w:val="24"/>
          <w:szCs w:val="24"/>
          <w:lang w:eastAsia="zh-CN"/>
        </w:rPr>
      </w:pPr>
      <w:r w:rsidRPr="00917EE2">
        <w:rPr>
          <w:rFonts w:ascii="KaiTi" w:eastAsia="KaiTi" w:hAnsi="KaiTi" w:cs="SimSun" w:hint="eastAsia"/>
          <w:spacing w:val="-8"/>
          <w:kern w:val="22"/>
          <w:sz w:val="24"/>
          <w:szCs w:val="24"/>
          <w:lang w:eastAsia="zh-CN"/>
        </w:rPr>
        <w:t>回顾</w:t>
      </w:r>
      <w:r>
        <w:rPr>
          <w:rFonts w:ascii="SimSun" w:hAnsi="SimSun" w:cs="SimSun" w:hint="eastAsia"/>
          <w:spacing w:val="-8"/>
          <w:kern w:val="22"/>
          <w:sz w:val="24"/>
          <w:szCs w:val="24"/>
          <w:lang w:eastAsia="zh-CN"/>
        </w:rPr>
        <w:t>曾经呼吁缔约方酌情将生物安全纳入国家生</w:t>
      </w:r>
      <w:r w:rsidRPr="00E85334">
        <w:rPr>
          <w:rFonts w:ascii="SimSun" w:hAnsi="SimSun" w:cs="SimSun" w:hint="eastAsia"/>
          <w:spacing w:val="8"/>
          <w:kern w:val="22"/>
          <w:sz w:val="24"/>
          <w:szCs w:val="24"/>
          <w:lang w:eastAsia="zh-CN"/>
        </w:rPr>
        <w:t>物多样性战略和行动计划</w:t>
      </w:r>
      <w:r>
        <w:rPr>
          <w:rFonts w:ascii="SimSun" w:hAnsi="SimSun" w:cs="SimSun" w:hint="eastAsia"/>
          <w:spacing w:val="-8"/>
          <w:kern w:val="22"/>
          <w:sz w:val="24"/>
          <w:szCs w:val="24"/>
          <w:lang w:eastAsia="zh-CN"/>
        </w:rPr>
        <w:t>、</w:t>
      </w:r>
      <w:r w:rsidRPr="00917EE2">
        <w:rPr>
          <w:rFonts w:ascii="SimSun" w:hAnsi="SimSun" w:cs="SimSun" w:hint="eastAsia"/>
          <w:kern w:val="22"/>
          <w:sz w:val="24"/>
          <w:szCs w:val="24"/>
          <w:lang w:eastAsia="zh-CN"/>
        </w:rPr>
        <w:t>国家发展计划和其他相关部门和跨</w:t>
      </w:r>
      <w:r w:rsidRPr="00B027C2">
        <w:rPr>
          <w:rFonts w:ascii="SimSun" w:hAnsi="SimSun" w:cs="SimSun" w:hint="eastAsia"/>
          <w:spacing w:val="-20"/>
          <w:kern w:val="22"/>
          <w:sz w:val="24"/>
          <w:szCs w:val="24"/>
          <w:lang w:eastAsia="zh-CN"/>
        </w:rPr>
        <w:t>部门政策、计划和方案，同时考虑到国情、立法和优先事项</w:t>
      </w:r>
      <w:r w:rsidRPr="00917EE2">
        <w:rPr>
          <w:rFonts w:ascii="SimSun" w:hAnsi="SimSun" w:cs="SimSun" w:hint="eastAsia"/>
          <w:kern w:val="22"/>
          <w:sz w:val="24"/>
          <w:szCs w:val="24"/>
          <w:lang w:eastAsia="zh-CN"/>
        </w:rPr>
        <w:t>，</w:t>
      </w:r>
      <w:r w:rsidRPr="00466808">
        <w:rPr>
          <w:rStyle w:val="FootnoteReference"/>
          <w:rFonts w:eastAsiaTheme="majorEastAsia"/>
          <w:kern w:val="22"/>
          <w:sz w:val="24"/>
          <w:szCs w:val="24"/>
          <w:u w:val="none"/>
          <w:vertAlign w:val="superscript"/>
        </w:rPr>
        <w:footnoteReference w:id="301"/>
      </w:r>
    </w:p>
    <w:p w:rsidR="001F1AAC" w:rsidRPr="00917EE2" w:rsidRDefault="001F1AAC" w:rsidP="001F1AAC">
      <w:pPr>
        <w:pStyle w:val="Para1"/>
        <w:tabs>
          <w:tab w:val="clear" w:pos="360"/>
          <w:tab w:val="left" w:pos="1440"/>
        </w:tabs>
        <w:kinsoku w:val="0"/>
        <w:overflowPunct w:val="0"/>
        <w:autoSpaceDE w:val="0"/>
        <w:autoSpaceDN w:val="0"/>
        <w:rPr>
          <w:kern w:val="22"/>
          <w:sz w:val="24"/>
          <w:szCs w:val="24"/>
          <w:lang w:eastAsia="zh-CN"/>
        </w:rPr>
      </w:pPr>
      <w:r w:rsidRPr="00917EE2">
        <w:rPr>
          <w:rFonts w:ascii="KaiTi" w:eastAsia="KaiTi" w:hAnsi="KaiTi" w:cs="SimSun" w:hint="eastAsia"/>
          <w:kern w:val="22"/>
          <w:sz w:val="24"/>
          <w:szCs w:val="24"/>
          <w:lang w:eastAsia="zh-CN"/>
        </w:rPr>
        <w:t>注意到</w:t>
      </w:r>
      <w:r w:rsidRPr="00917EE2">
        <w:rPr>
          <w:rFonts w:hint="eastAsia"/>
          <w:kern w:val="22"/>
          <w:sz w:val="24"/>
          <w:szCs w:val="24"/>
          <w:lang w:eastAsia="zh-CN"/>
        </w:rPr>
        <w:t>《</w:t>
      </w:r>
      <w:r w:rsidRPr="00917EE2">
        <w:rPr>
          <w:rFonts w:ascii="SimSun" w:hAnsi="SimSun" w:cs="SimSun" w:hint="eastAsia"/>
          <w:kern w:val="22"/>
          <w:sz w:val="24"/>
          <w:szCs w:val="24"/>
          <w:lang w:eastAsia="zh-CN"/>
        </w:rPr>
        <w:t>公约</w:t>
      </w:r>
      <w:r w:rsidRPr="00917EE2">
        <w:rPr>
          <w:rFonts w:hint="eastAsia"/>
          <w:kern w:val="22"/>
          <w:sz w:val="24"/>
          <w:szCs w:val="24"/>
          <w:lang w:eastAsia="zh-CN"/>
        </w:rPr>
        <w:t>》</w:t>
      </w:r>
      <w:r>
        <w:rPr>
          <w:rFonts w:ascii="SimSun" w:hAnsi="SimSun" w:cs="SimSun" w:hint="eastAsia"/>
          <w:kern w:val="22"/>
          <w:sz w:val="24"/>
          <w:szCs w:val="24"/>
          <w:lang w:eastAsia="zh-CN"/>
        </w:rPr>
        <w:t>关于</w:t>
      </w:r>
      <w:r w:rsidRPr="00917EE2">
        <w:rPr>
          <w:rFonts w:ascii="SimSun" w:hAnsi="SimSun" w:cs="SimSun" w:hint="eastAsia"/>
          <w:kern w:val="22"/>
          <w:sz w:val="24"/>
          <w:szCs w:val="24"/>
          <w:lang w:eastAsia="zh-CN"/>
        </w:rPr>
        <w:t>生物安全的</w:t>
      </w:r>
      <w:r>
        <w:rPr>
          <w:rFonts w:ascii="SimSun" w:hAnsi="SimSun" w:cs="SimSun" w:hint="eastAsia"/>
          <w:kern w:val="22"/>
          <w:sz w:val="24"/>
          <w:szCs w:val="24"/>
          <w:lang w:eastAsia="zh-CN"/>
        </w:rPr>
        <w:t>条款</w:t>
      </w:r>
      <w:r w:rsidRPr="00917EE2">
        <w:rPr>
          <w:rFonts w:ascii="SimSun" w:hAnsi="SimSun" w:cs="SimSun" w:hint="eastAsia"/>
          <w:kern w:val="22"/>
          <w:sz w:val="24"/>
          <w:szCs w:val="24"/>
          <w:lang w:eastAsia="zh-CN"/>
        </w:rPr>
        <w:t>，特别是第</w:t>
      </w:r>
      <w:r w:rsidRPr="00917EE2">
        <w:rPr>
          <w:kern w:val="22"/>
          <w:sz w:val="24"/>
          <w:szCs w:val="24"/>
          <w:lang w:eastAsia="zh-CN"/>
        </w:rPr>
        <w:t>8</w:t>
      </w:r>
      <w:r>
        <w:rPr>
          <w:kern w:val="22"/>
          <w:sz w:val="24"/>
          <w:szCs w:val="24"/>
          <w:lang w:eastAsia="zh-CN"/>
        </w:rPr>
        <w:t>(</w:t>
      </w:r>
      <w:r w:rsidRPr="00917EE2">
        <w:rPr>
          <w:kern w:val="22"/>
          <w:sz w:val="24"/>
          <w:szCs w:val="24"/>
          <w:lang w:eastAsia="zh-CN"/>
        </w:rPr>
        <w:t>g</w:t>
      </w:r>
      <w:r>
        <w:rPr>
          <w:kern w:val="22"/>
          <w:sz w:val="24"/>
          <w:szCs w:val="24"/>
          <w:lang w:eastAsia="zh-CN"/>
        </w:rPr>
        <w:t>)</w:t>
      </w:r>
      <w:r w:rsidRPr="00917EE2">
        <w:rPr>
          <w:rFonts w:ascii="SimSun" w:hAnsi="SimSun" w:cs="SimSun" w:hint="eastAsia"/>
          <w:kern w:val="22"/>
          <w:sz w:val="24"/>
          <w:szCs w:val="24"/>
          <w:lang w:eastAsia="zh-CN"/>
        </w:rPr>
        <w:t>条和第</w:t>
      </w:r>
      <w:r w:rsidRPr="00917EE2">
        <w:rPr>
          <w:kern w:val="22"/>
          <w:sz w:val="24"/>
          <w:szCs w:val="24"/>
          <w:lang w:eastAsia="zh-CN"/>
        </w:rPr>
        <w:t>19</w:t>
      </w:r>
      <w:r w:rsidRPr="00917EE2">
        <w:rPr>
          <w:rFonts w:ascii="SimSun" w:hAnsi="SimSun" w:cs="SimSun" w:hint="eastAsia"/>
          <w:kern w:val="22"/>
          <w:sz w:val="24"/>
          <w:szCs w:val="24"/>
          <w:lang w:eastAsia="zh-CN"/>
        </w:rPr>
        <w:t>条第</w:t>
      </w:r>
      <w:r w:rsidRPr="00917EE2">
        <w:rPr>
          <w:kern w:val="22"/>
          <w:sz w:val="24"/>
          <w:szCs w:val="24"/>
          <w:lang w:eastAsia="zh-CN"/>
        </w:rPr>
        <w:t>4</w:t>
      </w:r>
      <w:r w:rsidRPr="00917EE2">
        <w:rPr>
          <w:rFonts w:ascii="SimSun" w:hAnsi="SimSun" w:cs="SimSun" w:hint="eastAsia"/>
          <w:kern w:val="22"/>
          <w:sz w:val="24"/>
          <w:szCs w:val="24"/>
          <w:lang w:eastAsia="zh-CN"/>
        </w:rPr>
        <w:t>款</w:t>
      </w:r>
      <w:r>
        <w:rPr>
          <w:rFonts w:ascii="SimSun" w:hAnsi="SimSun" w:cs="SimSun" w:hint="eastAsia"/>
          <w:kern w:val="22"/>
          <w:sz w:val="24"/>
          <w:szCs w:val="24"/>
          <w:lang w:eastAsia="zh-CN"/>
        </w:rPr>
        <w:t>，</w:t>
      </w:r>
      <w:r w:rsidRPr="00917EE2">
        <w:rPr>
          <w:rFonts w:ascii="SimSun" w:hAnsi="SimSun" w:cs="SimSun" w:hint="eastAsia"/>
          <w:kern w:val="22"/>
          <w:sz w:val="24"/>
          <w:szCs w:val="24"/>
          <w:lang w:eastAsia="zh-CN"/>
        </w:rPr>
        <w:t>与</w:t>
      </w:r>
      <w:r w:rsidRPr="00187174">
        <w:rPr>
          <w:rFonts w:ascii="SimSun" w:hAnsi="SimSun" w:cs="SimSun" w:hint="eastAsia"/>
          <w:spacing w:val="-8"/>
          <w:kern w:val="22"/>
          <w:sz w:val="24"/>
          <w:szCs w:val="24"/>
          <w:lang w:eastAsia="zh-CN"/>
        </w:rPr>
        <w:t>《卡塔赫纳生物安全议定书》</w:t>
      </w:r>
      <w:r w:rsidRPr="00917EE2">
        <w:rPr>
          <w:rFonts w:ascii="SimSun" w:hAnsi="SimSun" w:cs="SimSun" w:hint="eastAsia"/>
          <w:kern w:val="22"/>
          <w:sz w:val="24"/>
          <w:szCs w:val="24"/>
          <w:lang w:eastAsia="zh-CN"/>
        </w:rPr>
        <w:t>之间的关系，</w:t>
      </w:r>
    </w:p>
    <w:p w:rsidR="001F1AAC" w:rsidRDefault="001F1AAC" w:rsidP="001F1AAC">
      <w:pPr>
        <w:pStyle w:val="Para1"/>
        <w:tabs>
          <w:tab w:val="clear" w:pos="360"/>
          <w:tab w:val="left" w:pos="1440"/>
        </w:tabs>
        <w:kinsoku w:val="0"/>
        <w:overflowPunct w:val="0"/>
        <w:autoSpaceDE w:val="0"/>
        <w:autoSpaceDN w:val="0"/>
        <w:rPr>
          <w:rFonts w:ascii="SimSun" w:hAnsi="SimSun" w:cs="SimSun"/>
          <w:kern w:val="22"/>
          <w:sz w:val="24"/>
          <w:szCs w:val="24"/>
          <w:lang w:eastAsia="zh-CN"/>
        </w:rPr>
      </w:pPr>
      <w:r>
        <w:rPr>
          <w:rFonts w:ascii="KaiTi" w:eastAsia="KaiTi" w:hAnsi="KaiTi" w:cs="SimSun" w:hint="eastAsia"/>
          <w:kern w:val="22"/>
          <w:sz w:val="24"/>
          <w:szCs w:val="24"/>
          <w:lang w:eastAsia="zh-CN"/>
        </w:rPr>
        <w:t>认识到</w:t>
      </w:r>
      <w:r w:rsidRPr="00917EE2">
        <w:rPr>
          <w:rFonts w:ascii="SimSun" w:hAnsi="SimSun" w:cs="SimSun" w:hint="eastAsia"/>
          <w:kern w:val="22"/>
          <w:sz w:val="24"/>
          <w:szCs w:val="24"/>
          <w:lang w:eastAsia="zh-CN"/>
        </w:rPr>
        <w:t>批准和执行</w:t>
      </w:r>
      <w:r w:rsidRPr="00187174">
        <w:rPr>
          <w:rFonts w:ascii="SimSun" w:hAnsi="SimSun" w:cs="SimSun" w:hint="eastAsia"/>
          <w:spacing w:val="-8"/>
          <w:kern w:val="22"/>
          <w:sz w:val="24"/>
          <w:szCs w:val="24"/>
          <w:lang w:eastAsia="zh-CN"/>
        </w:rPr>
        <w:t>《卡塔赫纳议定书》</w:t>
      </w:r>
      <w:r w:rsidRPr="00917EE2">
        <w:rPr>
          <w:rFonts w:ascii="SimSun" w:hAnsi="SimSun" w:cs="SimSun" w:hint="eastAsia"/>
          <w:kern w:val="22"/>
          <w:sz w:val="24"/>
          <w:szCs w:val="24"/>
          <w:lang w:eastAsia="zh-CN"/>
        </w:rPr>
        <w:t>和</w:t>
      </w:r>
      <w:r w:rsidRPr="00917EE2">
        <w:rPr>
          <w:rFonts w:hint="eastAsia"/>
          <w:kern w:val="22"/>
          <w:sz w:val="24"/>
          <w:szCs w:val="24"/>
          <w:lang w:eastAsia="zh-CN"/>
        </w:rPr>
        <w:t>《</w:t>
      </w:r>
      <w:r w:rsidRPr="00917EE2">
        <w:rPr>
          <w:rFonts w:ascii="SimSun" w:hAnsi="SimSun" w:cs="SimSun" w:hint="eastAsia"/>
          <w:kern w:val="22"/>
          <w:sz w:val="24"/>
          <w:szCs w:val="24"/>
          <w:lang w:eastAsia="zh-CN"/>
        </w:rPr>
        <w:t>关于赔偿责任和补救的名古屋</w:t>
      </w:r>
      <w:r w:rsidRPr="00917EE2">
        <w:rPr>
          <w:rFonts w:ascii="SimSun" w:hAnsi="SimSun"/>
          <w:kern w:val="22"/>
          <w:sz w:val="24"/>
          <w:szCs w:val="24"/>
          <w:lang w:eastAsia="zh-CN"/>
        </w:rPr>
        <w:t>-</w:t>
      </w:r>
      <w:r w:rsidRPr="00917EE2">
        <w:rPr>
          <w:rFonts w:ascii="SimSun" w:hAnsi="SimSun" w:cs="SimSun" w:hint="eastAsia"/>
          <w:kern w:val="22"/>
          <w:sz w:val="24"/>
          <w:szCs w:val="24"/>
          <w:lang w:eastAsia="zh-CN"/>
        </w:rPr>
        <w:t>吉隆坡补充议定书》有助于实现</w:t>
      </w:r>
      <w:r w:rsidRPr="00917EE2">
        <w:rPr>
          <w:rFonts w:hint="eastAsia"/>
          <w:kern w:val="22"/>
          <w:sz w:val="24"/>
          <w:szCs w:val="24"/>
          <w:lang w:eastAsia="zh-CN"/>
        </w:rPr>
        <w:t>《</w:t>
      </w:r>
      <w:r w:rsidRPr="00917EE2">
        <w:rPr>
          <w:rFonts w:ascii="SimSun" w:hAnsi="SimSun" w:cs="SimSun" w:hint="eastAsia"/>
          <w:kern w:val="22"/>
          <w:sz w:val="24"/>
          <w:szCs w:val="24"/>
          <w:lang w:eastAsia="zh-CN"/>
        </w:rPr>
        <w:t>公约</w:t>
      </w:r>
      <w:r w:rsidRPr="00917EE2">
        <w:rPr>
          <w:rFonts w:hint="eastAsia"/>
          <w:kern w:val="22"/>
          <w:sz w:val="24"/>
          <w:szCs w:val="24"/>
          <w:lang w:eastAsia="zh-CN"/>
        </w:rPr>
        <w:t>》</w:t>
      </w:r>
      <w:r w:rsidRPr="00917EE2">
        <w:rPr>
          <w:rFonts w:ascii="SimSun" w:hAnsi="SimSun" w:cs="SimSun" w:hint="eastAsia"/>
          <w:kern w:val="22"/>
          <w:sz w:val="24"/>
          <w:szCs w:val="24"/>
          <w:lang w:eastAsia="zh-CN"/>
        </w:rPr>
        <w:t>的</w:t>
      </w:r>
      <w:r>
        <w:rPr>
          <w:rFonts w:ascii="SimSun" w:hAnsi="SimSun" w:cs="SimSun" w:hint="eastAsia"/>
          <w:kern w:val="22"/>
          <w:sz w:val="24"/>
          <w:szCs w:val="24"/>
          <w:lang w:eastAsia="zh-CN"/>
        </w:rPr>
        <w:t>各项</w:t>
      </w:r>
      <w:r w:rsidRPr="00917EE2">
        <w:rPr>
          <w:rFonts w:ascii="SimSun" w:hAnsi="SimSun" w:cs="SimSun" w:hint="eastAsia"/>
          <w:kern w:val="22"/>
          <w:sz w:val="24"/>
          <w:szCs w:val="24"/>
          <w:lang w:eastAsia="zh-CN"/>
        </w:rPr>
        <w:t>目标</w:t>
      </w:r>
      <w:r>
        <w:rPr>
          <w:rFonts w:ascii="SimSun" w:hAnsi="SimSun" w:cs="SimSun" w:hint="eastAsia"/>
          <w:kern w:val="22"/>
          <w:sz w:val="24"/>
          <w:szCs w:val="24"/>
          <w:lang w:eastAsia="zh-CN"/>
        </w:rPr>
        <w:t>，</w:t>
      </w:r>
    </w:p>
    <w:p w:rsidR="001F1AAC" w:rsidRPr="00917EE2" w:rsidRDefault="001F1AAC" w:rsidP="001F1AAC">
      <w:pPr>
        <w:pStyle w:val="Para1"/>
        <w:numPr>
          <w:ilvl w:val="0"/>
          <w:numId w:val="262"/>
        </w:numPr>
        <w:tabs>
          <w:tab w:val="left" w:pos="1440"/>
        </w:tabs>
        <w:kinsoku w:val="0"/>
        <w:overflowPunct w:val="0"/>
        <w:autoSpaceDE w:val="0"/>
        <w:autoSpaceDN w:val="0"/>
        <w:ind w:left="0" w:firstLine="720"/>
        <w:rPr>
          <w:kern w:val="22"/>
          <w:sz w:val="24"/>
          <w:szCs w:val="24"/>
          <w:lang w:eastAsia="zh-CN"/>
        </w:rPr>
      </w:pPr>
      <w:r w:rsidRPr="00917EE2">
        <w:rPr>
          <w:rFonts w:ascii="KaiTi" w:eastAsia="KaiTi" w:hAnsi="KaiTi" w:cs="SimSun" w:hint="eastAsia"/>
          <w:sz w:val="24"/>
          <w:szCs w:val="24"/>
          <w:lang w:eastAsia="zh-CN"/>
        </w:rPr>
        <w:t>敦促</w:t>
      </w:r>
      <w:r w:rsidRPr="00917EE2">
        <w:rPr>
          <w:rFonts w:ascii="SimSun" w:hAnsi="SimSun" w:cs="SimSun" w:hint="eastAsia"/>
          <w:sz w:val="24"/>
          <w:szCs w:val="24"/>
          <w:lang w:eastAsia="zh-CN"/>
        </w:rPr>
        <w:t>尚未交存批准、接受、核准或加入《卡塔赫纳议定书》的</w:t>
      </w:r>
      <w:r>
        <w:rPr>
          <w:rFonts w:ascii="SimSun" w:hAnsi="SimSun" w:cs="SimSun" w:hint="eastAsia"/>
          <w:sz w:val="24"/>
          <w:szCs w:val="24"/>
          <w:lang w:eastAsia="zh-CN"/>
        </w:rPr>
        <w:t>《</w:t>
      </w:r>
      <w:r w:rsidRPr="00917EE2">
        <w:rPr>
          <w:rFonts w:ascii="SimSun" w:hAnsi="SimSun" w:cs="SimSun" w:hint="eastAsia"/>
          <w:sz w:val="24"/>
          <w:szCs w:val="24"/>
          <w:lang w:eastAsia="zh-CN"/>
        </w:rPr>
        <w:t>生物多样性公约</w:t>
      </w:r>
      <w:r>
        <w:rPr>
          <w:rFonts w:ascii="SimSun" w:hAnsi="SimSun" w:cs="SimSun" w:hint="eastAsia"/>
          <w:sz w:val="24"/>
          <w:szCs w:val="24"/>
          <w:lang w:eastAsia="zh-CN"/>
        </w:rPr>
        <w:t>》</w:t>
      </w:r>
      <w:r w:rsidRPr="00917EE2">
        <w:rPr>
          <w:rFonts w:ascii="SimSun" w:hAnsi="SimSun" w:cs="SimSun" w:hint="eastAsia"/>
          <w:sz w:val="24"/>
          <w:szCs w:val="24"/>
          <w:lang w:eastAsia="zh-CN"/>
        </w:rPr>
        <w:t>缔约方尽快交存这些文书，并采取步骤执行</w:t>
      </w:r>
      <w:r>
        <w:rPr>
          <w:rFonts w:ascii="SimSun" w:hAnsi="SimSun" w:cs="SimSun" w:hint="eastAsia"/>
          <w:sz w:val="24"/>
          <w:szCs w:val="24"/>
          <w:lang w:eastAsia="zh-CN"/>
        </w:rPr>
        <w:t>该</w:t>
      </w:r>
      <w:r w:rsidRPr="00917EE2">
        <w:rPr>
          <w:rFonts w:ascii="SimSun" w:hAnsi="SimSun" w:cs="SimSun" w:hint="eastAsia"/>
          <w:sz w:val="24"/>
          <w:szCs w:val="24"/>
          <w:lang w:eastAsia="zh-CN"/>
        </w:rPr>
        <w:t>议定书，包括</w:t>
      </w:r>
      <w:r>
        <w:rPr>
          <w:rFonts w:ascii="SimSun" w:hAnsi="SimSun" w:cs="SimSun" w:hint="eastAsia"/>
          <w:sz w:val="24"/>
          <w:szCs w:val="24"/>
          <w:lang w:eastAsia="zh-CN"/>
        </w:rPr>
        <w:t>建立</w:t>
      </w:r>
      <w:r w:rsidRPr="00917EE2">
        <w:rPr>
          <w:rFonts w:ascii="SimSun" w:hAnsi="SimSun" w:cs="SimSun" w:hint="eastAsia"/>
          <w:sz w:val="24"/>
          <w:szCs w:val="24"/>
          <w:lang w:eastAsia="zh-CN"/>
        </w:rPr>
        <w:t>体制</w:t>
      </w:r>
      <w:r>
        <w:rPr>
          <w:rFonts w:ascii="SimSun" w:hAnsi="SimSun" w:cs="SimSun" w:hint="eastAsia"/>
          <w:sz w:val="24"/>
          <w:szCs w:val="24"/>
          <w:lang w:eastAsia="zh-CN"/>
        </w:rPr>
        <w:t>性</w:t>
      </w:r>
      <w:r w:rsidRPr="00917EE2">
        <w:rPr>
          <w:rFonts w:ascii="SimSun" w:hAnsi="SimSun" w:cs="SimSun" w:hint="eastAsia"/>
          <w:sz w:val="24"/>
          <w:szCs w:val="24"/>
          <w:lang w:eastAsia="zh-CN"/>
        </w:rPr>
        <w:t>结构</w:t>
      </w:r>
      <w:r>
        <w:rPr>
          <w:rFonts w:ascii="SimSun" w:hAnsi="SimSun" w:cs="SimSun" w:hint="eastAsia"/>
          <w:sz w:val="24"/>
          <w:szCs w:val="24"/>
          <w:lang w:eastAsia="zh-CN"/>
        </w:rPr>
        <w:t>和制订</w:t>
      </w:r>
      <w:r w:rsidRPr="00917EE2">
        <w:rPr>
          <w:rFonts w:ascii="SimSun" w:hAnsi="SimSun" w:cs="SimSun" w:hint="eastAsia"/>
          <w:sz w:val="24"/>
          <w:szCs w:val="24"/>
          <w:lang w:eastAsia="zh-CN"/>
        </w:rPr>
        <w:t>关于生物</w:t>
      </w:r>
      <w:r>
        <w:rPr>
          <w:rFonts w:ascii="SimSun" w:hAnsi="SimSun" w:cs="SimSun" w:hint="eastAsia"/>
          <w:sz w:val="24"/>
          <w:szCs w:val="24"/>
          <w:lang w:eastAsia="zh-CN"/>
        </w:rPr>
        <w:t>安全</w:t>
      </w:r>
      <w:r w:rsidRPr="00917EE2">
        <w:rPr>
          <w:rFonts w:ascii="SimSun" w:hAnsi="SimSun" w:cs="SimSun" w:hint="eastAsia"/>
          <w:sz w:val="24"/>
          <w:szCs w:val="24"/>
          <w:lang w:eastAsia="zh-CN"/>
        </w:rPr>
        <w:t>的立法、行政或政策措施</w:t>
      </w:r>
      <w:r>
        <w:rPr>
          <w:rFonts w:ascii="SimSun" w:hAnsi="SimSun" w:cs="SimSun" w:hint="eastAsia"/>
          <w:sz w:val="24"/>
          <w:szCs w:val="24"/>
          <w:lang w:eastAsia="zh-CN"/>
        </w:rPr>
        <w:t>，同时考虑到土著人民和地方社区及其他有关利益攸关方参与制订这些措施</w:t>
      </w:r>
      <w:r w:rsidRPr="00917EE2">
        <w:rPr>
          <w:rFonts w:ascii="SimSun" w:hAnsi="SimSun" w:cs="SimSun" w:hint="eastAsia"/>
          <w:sz w:val="24"/>
          <w:szCs w:val="24"/>
          <w:lang w:eastAsia="zh-CN"/>
        </w:rPr>
        <w:t>；</w:t>
      </w:r>
    </w:p>
    <w:p w:rsidR="001F1AAC" w:rsidRPr="00917EE2" w:rsidRDefault="001F1AAC" w:rsidP="001F1AAC">
      <w:pPr>
        <w:pStyle w:val="Para1"/>
        <w:numPr>
          <w:ilvl w:val="0"/>
          <w:numId w:val="262"/>
        </w:numPr>
        <w:tabs>
          <w:tab w:val="left" w:pos="1440"/>
        </w:tabs>
        <w:kinsoku w:val="0"/>
        <w:overflowPunct w:val="0"/>
        <w:autoSpaceDE w:val="0"/>
        <w:autoSpaceDN w:val="0"/>
        <w:ind w:left="0" w:firstLine="720"/>
        <w:rPr>
          <w:kern w:val="22"/>
          <w:sz w:val="24"/>
          <w:szCs w:val="24"/>
          <w:lang w:eastAsia="zh-CN"/>
        </w:rPr>
      </w:pPr>
      <w:r w:rsidRPr="00917EE2">
        <w:rPr>
          <w:rFonts w:ascii="KaiTi" w:eastAsia="KaiTi" w:hAnsi="KaiTi" w:hint="eastAsia"/>
          <w:sz w:val="24"/>
          <w:szCs w:val="24"/>
          <w:lang w:eastAsia="zh-CN"/>
        </w:rPr>
        <w:t>提醒</w:t>
      </w:r>
      <w:r>
        <w:rPr>
          <w:rFonts w:hint="eastAsia"/>
          <w:sz w:val="24"/>
          <w:szCs w:val="24"/>
          <w:lang w:eastAsia="zh-CN"/>
        </w:rPr>
        <w:t>非</w:t>
      </w:r>
      <w:r w:rsidRPr="002546EC">
        <w:rPr>
          <w:rFonts w:hint="eastAsia"/>
          <w:spacing w:val="-20"/>
          <w:sz w:val="24"/>
          <w:szCs w:val="24"/>
          <w:lang w:eastAsia="zh-CN"/>
        </w:rPr>
        <w:t>《</w:t>
      </w:r>
      <w:r w:rsidRPr="002546EC">
        <w:rPr>
          <w:rFonts w:ascii="SimSun" w:hAnsi="SimSun" w:cs="SimSun" w:hint="eastAsia"/>
          <w:spacing w:val="-20"/>
          <w:sz w:val="24"/>
          <w:szCs w:val="24"/>
          <w:lang w:eastAsia="zh-CN"/>
        </w:rPr>
        <w:t>卡塔赫纳议定书</w:t>
      </w:r>
      <w:r w:rsidRPr="002546EC">
        <w:rPr>
          <w:rFonts w:hint="eastAsia"/>
          <w:spacing w:val="-20"/>
          <w:sz w:val="24"/>
          <w:szCs w:val="24"/>
          <w:lang w:eastAsia="zh-CN"/>
        </w:rPr>
        <w:t>》</w:t>
      </w:r>
      <w:r w:rsidRPr="002546EC">
        <w:rPr>
          <w:rFonts w:ascii="SimSun" w:hAnsi="SimSun" w:cs="SimSun" w:hint="eastAsia"/>
          <w:spacing w:val="-20"/>
          <w:sz w:val="24"/>
          <w:szCs w:val="24"/>
          <w:lang w:eastAsia="zh-CN"/>
        </w:rPr>
        <w:t>缔约方的</w:t>
      </w:r>
      <w:r w:rsidRPr="002546EC">
        <w:rPr>
          <w:rFonts w:hint="eastAsia"/>
          <w:spacing w:val="-20"/>
          <w:sz w:val="24"/>
          <w:szCs w:val="24"/>
          <w:lang w:eastAsia="zh-CN"/>
        </w:rPr>
        <w:t>《</w:t>
      </w:r>
      <w:r w:rsidRPr="002546EC">
        <w:rPr>
          <w:rFonts w:ascii="SimSun" w:hAnsi="SimSun" w:cs="SimSun" w:hint="eastAsia"/>
          <w:spacing w:val="-20"/>
          <w:sz w:val="24"/>
          <w:szCs w:val="24"/>
          <w:lang w:eastAsia="zh-CN"/>
        </w:rPr>
        <w:t>生物多样性公约</w:t>
      </w:r>
      <w:r w:rsidRPr="002546EC">
        <w:rPr>
          <w:rFonts w:hint="eastAsia"/>
          <w:spacing w:val="-20"/>
          <w:sz w:val="24"/>
          <w:szCs w:val="24"/>
          <w:lang w:eastAsia="zh-CN"/>
        </w:rPr>
        <w:t>》</w:t>
      </w:r>
      <w:r w:rsidRPr="002546EC">
        <w:rPr>
          <w:rFonts w:ascii="SimSun" w:hAnsi="SimSun" w:cs="SimSun" w:hint="eastAsia"/>
          <w:spacing w:val="-20"/>
          <w:sz w:val="24"/>
          <w:szCs w:val="24"/>
          <w:lang w:eastAsia="zh-CN"/>
        </w:rPr>
        <w:t>缔约方履行</w:t>
      </w:r>
      <w:r w:rsidRPr="002546EC">
        <w:rPr>
          <w:rFonts w:hint="eastAsia"/>
          <w:spacing w:val="-20"/>
          <w:sz w:val="24"/>
          <w:szCs w:val="24"/>
          <w:lang w:eastAsia="zh-CN"/>
        </w:rPr>
        <w:t>《</w:t>
      </w:r>
      <w:r w:rsidRPr="002546EC">
        <w:rPr>
          <w:rFonts w:ascii="SimSun" w:hAnsi="SimSun" w:cs="SimSun" w:hint="eastAsia"/>
          <w:spacing w:val="-20"/>
          <w:sz w:val="24"/>
          <w:szCs w:val="24"/>
          <w:lang w:eastAsia="zh-CN"/>
        </w:rPr>
        <w:t>公约</w:t>
      </w:r>
      <w:r w:rsidRPr="002546EC">
        <w:rPr>
          <w:rFonts w:hint="eastAsia"/>
          <w:spacing w:val="-20"/>
          <w:sz w:val="24"/>
          <w:szCs w:val="24"/>
          <w:lang w:eastAsia="zh-CN"/>
        </w:rPr>
        <w:t>》</w:t>
      </w:r>
      <w:r w:rsidRPr="00917EE2">
        <w:rPr>
          <w:rFonts w:ascii="SimSun" w:hAnsi="SimSun" w:cs="SimSun" w:hint="eastAsia"/>
          <w:sz w:val="24"/>
          <w:szCs w:val="24"/>
          <w:lang w:eastAsia="zh-CN"/>
        </w:rPr>
        <w:t>的与生物安全有关的义务，并</w:t>
      </w:r>
      <w:r w:rsidRPr="005250EB">
        <w:rPr>
          <w:rFonts w:ascii="KaiTi" w:eastAsia="KaiTi" w:hAnsi="KaiTi" w:cs="SimSun" w:hint="eastAsia"/>
          <w:sz w:val="24"/>
          <w:szCs w:val="24"/>
          <w:lang w:eastAsia="zh-CN"/>
        </w:rPr>
        <w:t>邀请</w:t>
      </w:r>
      <w:r>
        <w:rPr>
          <w:rFonts w:ascii="SimSun" w:hAnsi="SimSun" w:cs="SimSun" w:hint="eastAsia"/>
          <w:sz w:val="24"/>
          <w:szCs w:val="24"/>
          <w:lang w:eastAsia="zh-CN"/>
        </w:rPr>
        <w:t>其</w:t>
      </w:r>
      <w:r w:rsidRPr="00917EE2">
        <w:rPr>
          <w:rFonts w:ascii="SimSun" w:hAnsi="SimSun" w:cs="SimSun" w:hint="eastAsia"/>
          <w:sz w:val="24"/>
          <w:szCs w:val="24"/>
          <w:lang w:eastAsia="zh-CN"/>
        </w:rPr>
        <w:t>继续向生物安全信息交换所提供相关信息</w:t>
      </w:r>
      <w:r>
        <w:rPr>
          <w:rFonts w:ascii="SimSun" w:hAnsi="SimSun" w:cs="SimSun" w:hint="eastAsia"/>
          <w:sz w:val="24"/>
          <w:szCs w:val="24"/>
          <w:lang w:eastAsia="zh-CN"/>
        </w:rPr>
        <w:t>和提交</w:t>
      </w:r>
      <w:r w:rsidRPr="00917EE2">
        <w:rPr>
          <w:rFonts w:ascii="SimSun" w:hAnsi="SimSun" w:cs="SimSun" w:hint="eastAsia"/>
          <w:sz w:val="24"/>
          <w:szCs w:val="24"/>
          <w:lang w:eastAsia="zh-CN"/>
        </w:rPr>
        <w:t>《卡塔赫纳议定书》第四次国家报告；</w:t>
      </w:r>
    </w:p>
    <w:p w:rsidR="001F1AAC" w:rsidRPr="00917EE2" w:rsidRDefault="001F1AAC" w:rsidP="001F1AAC">
      <w:pPr>
        <w:pStyle w:val="Para1"/>
        <w:numPr>
          <w:ilvl w:val="0"/>
          <w:numId w:val="262"/>
        </w:numPr>
        <w:tabs>
          <w:tab w:val="left" w:pos="1440"/>
        </w:tabs>
        <w:kinsoku w:val="0"/>
        <w:overflowPunct w:val="0"/>
        <w:autoSpaceDE w:val="0"/>
        <w:autoSpaceDN w:val="0"/>
        <w:ind w:left="0" w:firstLine="720"/>
        <w:rPr>
          <w:kern w:val="22"/>
          <w:sz w:val="24"/>
          <w:szCs w:val="24"/>
          <w:lang w:eastAsia="zh-CN"/>
        </w:rPr>
      </w:pPr>
      <w:r w:rsidRPr="00917EE2">
        <w:rPr>
          <w:rFonts w:ascii="KaiTi" w:eastAsia="KaiTi" w:hAnsi="KaiTi" w:cs="SimSun" w:hint="eastAsia"/>
          <w:color w:val="222222"/>
          <w:sz w:val="24"/>
          <w:szCs w:val="24"/>
          <w:lang w:eastAsia="zh-CN"/>
        </w:rPr>
        <w:t>鼓励</w:t>
      </w:r>
      <w:r w:rsidRPr="00747344">
        <w:rPr>
          <w:rFonts w:asciiTheme="minorEastAsia" w:hAnsiTheme="minorEastAsia" w:cs="SimSun" w:hint="eastAsia"/>
          <w:color w:val="222222"/>
          <w:sz w:val="24"/>
          <w:szCs w:val="24"/>
          <w:lang w:eastAsia="zh-CN"/>
        </w:rPr>
        <w:t>各</w:t>
      </w:r>
      <w:r w:rsidRPr="00917EE2">
        <w:rPr>
          <w:rFonts w:ascii="SimSun" w:hAnsi="SimSun" w:cs="SimSun" w:hint="eastAsia"/>
          <w:color w:val="222222"/>
          <w:sz w:val="24"/>
          <w:szCs w:val="24"/>
          <w:lang w:eastAsia="zh-CN"/>
        </w:rPr>
        <w:t>缔约方</w:t>
      </w:r>
      <w:r>
        <w:rPr>
          <w:rFonts w:ascii="SimSun" w:hAnsi="SimSun" w:cs="SimSun" w:hint="eastAsia"/>
          <w:color w:val="222222"/>
          <w:sz w:val="24"/>
          <w:szCs w:val="24"/>
          <w:lang w:eastAsia="zh-CN"/>
        </w:rPr>
        <w:t>制订</w:t>
      </w:r>
      <w:r w:rsidRPr="00917EE2">
        <w:rPr>
          <w:rFonts w:ascii="SimSun" w:hAnsi="SimSun" w:cs="SimSun" w:hint="eastAsia"/>
          <w:color w:val="222222"/>
          <w:sz w:val="24"/>
          <w:szCs w:val="24"/>
          <w:lang w:eastAsia="zh-CN"/>
        </w:rPr>
        <w:t>和</w:t>
      </w:r>
      <w:r>
        <w:rPr>
          <w:rFonts w:ascii="SimSun" w:hAnsi="SimSun" w:cs="SimSun" w:hint="eastAsia"/>
          <w:color w:val="222222"/>
          <w:sz w:val="24"/>
          <w:szCs w:val="24"/>
          <w:lang w:eastAsia="zh-CN"/>
        </w:rPr>
        <w:t>实施</w:t>
      </w:r>
      <w:r w:rsidRPr="00917EE2">
        <w:rPr>
          <w:rFonts w:ascii="SimSun" w:hAnsi="SimSun" w:cs="SimSun" w:hint="eastAsia"/>
          <w:color w:val="222222"/>
          <w:sz w:val="24"/>
          <w:szCs w:val="24"/>
          <w:lang w:eastAsia="zh-CN"/>
        </w:rPr>
        <w:t>国家行动计划，将生物安全纳入国家法律和政策文书的主流，并在其国家报告中报告这方面的进展情况；</w:t>
      </w:r>
      <w:r>
        <w:rPr>
          <w:rFonts w:ascii="SimSun" w:hAnsi="SimSun" w:cs="SimSun" w:hint="eastAsia"/>
          <w:color w:val="222222"/>
          <w:sz w:val="24"/>
          <w:szCs w:val="24"/>
          <w:lang w:eastAsia="zh-CN"/>
        </w:rPr>
        <w:t xml:space="preserve"> </w:t>
      </w:r>
    </w:p>
    <w:p w:rsidR="001F1AAC" w:rsidRPr="00B62832" w:rsidRDefault="001F1AAC" w:rsidP="001F1AAC">
      <w:pPr>
        <w:pStyle w:val="Para1"/>
        <w:numPr>
          <w:ilvl w:val="0"/>
          <w:numId w:val="262"/>
        </w:numPr>
        <w:tabs>
          <w:tab w:val="left" w:pos="1440"/>
        </w:tabs>
        <w:kinsoku w:val="0"/>
        <w:overflowPunct w:val="0"/>
        <w:autoSpaceDE w:val="0"/>
        <w:autoSpaceDN w:val="0"/>
        <w:ind w:left="0" w:firstLine="720"/>
        <w:rPr>
          <w:rFonts w:ascii="SimSun" w:hAnsi="SimSun" w:cs="SimSun"/>
          <w:color w:val="222222"/>
          <w:sz w:val="24"/>
          <w:szCs w:val="24"/>
          <w:lang w:eastAsia="zh-CN"/>
        </w:rPr>
      </w:pPr>
      <w:r w:rsidRPr="00917EE2">
        <w:rPr>
          <w:rFonts w:ascii="KaiTi" w:eastAsia="KaiTi" w:hAnsi="KaiTi" w:cs="SimSun" w:hint="eastAsia"/>
          <w:kern w:val="22"/>
          <w:sz w:val="24"/>
          <w:szCs w:val="24"/>
          <w:lang w:val="zh-CN" w:eastAsia="zh-CN"/>
        </w:rPr>
        <w:t>邀请</w:t>
      </w:r>
      <w:r w:rsidRPr="00B62832">
        <w:rPr>
          <w:rFonts w:ascii="SimSun" w:hAnsi="SimSun" w:cs="SimSun" w:hint="eastAsia"/>
          <w:color w:val="222222"/>
          <w:sz w:val="24"/>
          <w:szCs w:val="24"/>
          <w:lang w:eastAsia="zh-CN"/>
        </w:rPr>
        <w:t>有能力的国家政府和相关组织提供解决能力建设和发展活动需要的技术和财政支持，并提供资金</w:t>
      </w:r>
      <w:r w:rsidRPr="00B62832">
        <w:rPr>
          <w:rFonts w:ascii="SimSun" w:hAnsi="SimSun" w:cs="SimSun"/>
          <w:color w:val="222222"/>
          <w:sz w:val="24"/>
          <w:szCs w:val="24"/>
          <w:lang w:eastAsia="zh-CN"/>
        </w:rPr>
        <w:t>支持</w:t>
      </w:r>
      <w:r w:rsidRPr="00B62832">
        <w:rPr>
          <w:rFonts w:ascii="SimSun" w:hAnsi="SimSun" w:cs="SimSun" w:hint="eastAsia"/>
          <w:color w:val="222222"/>
          <w:sz w:val="24"/>
          <w:szCs w:val="24"/>
          <w:lang w:eastAsia="zh-CN"/>
        </w:rPr>
        <w:t>批</w:t>
      </w:r>
      <w:r w:rsidRPr="00917EE2">
        <w:rPr>
          <w:rFonts w:ascii="SimSun" w:hAnsi="SimSun" w:cs="SimSun" w:hint="eastAsia"/>
          <w:color w:val="222222"/>
          <w:sz w:val="24"/>
          <w:szCs w:val="24"/>
          <w:lang w:eastAsia="zh-CN"/>
        </w:rPr>
        <w:t>准和执行《卡塔赫纳议定书》；</w:t>
      </w:r>
    </w:p>
    <w:p w:rsidR="001F1AAC" w:rsidRPr="00060486" w:rsidRDefault="001F1AAC" w:rsidP="001F1AAC">
      <w:pPr>
        <w:pStyle w:val="Para1"/>
        <w:numPr>
          <w:ilvl w:val="0"/>
          <w:numId w:val="262"/>
        </w:numPr>
        <w:tabs>
          <w:tab w:val="left" w:pos="1440"/>
        </w:tabs>
        <w:kinsoku w:val="0"/>
        <w:overflowPunct w:val="0"/>
        <w:autoSpaceDE w:val="0"/>
        <w:autoSpaceDN w:val="0"/>
        <w:ind w:left="0" w:firstLine="720"/>
        <w:rPr>
          <w:rFonts w:ascii="SimSun" w:hAnsi="SimSun" w:cs="SimSun"/>
          <w:color w:val="222222"/>
          <w:sz w:val="24"/>
          <w:szCs w:val="24"/>
          <w:lang w:eastAsia="zh-CN"/>
        </w:rPr>
      </w:pPr>
      <w:r w:rsidRPr="00060486">
        <w:rPr>
          <w:rFonts w:ascii="KaiTi" w:eastAsia="KaiTi" w:hAnsi="KaiTi" w:cs="SimSun" w:hint="eastAsia"/>
          <w:kern w:val="22"/>
          <w:sz w:val="24"/>
          <w:szCs w:val="24"/>
          <w:lang w:val="zh-CN" w:eastAsia="zh-CN"/>
        </w:rPr>
        <w:t>同意</w:t>
      </w:r>
      <w:r w:rsidRPr="00060486">
        <w:rPr>
          <w:rFonts w:ascii="SimSun" w:hAnsi="SimSun" w:cs="SimSun" w:hint="eastAsia"/>
          <w:color w:val="222222"/>
          <w:sz w:val="24"/>
          <w:szCs w:val="24"/>
          <w:lang w:eastAsia="zh-CN"/>
        </w:rPr>
        <w:t>考虑将生物安全因素纳入</w:t>
      </w:r>
      <w:r w:rsidRPr="00060486">
        <w:rPr>
          <w:rFonts w:ascii="SimSun" w:hAnsi="SimSun" w:cs="SimSun"/>
          <w:color w:val="222222"/>
          <w:sz w:val="24"/>
          <w:szCs w:val="24"/>
          <w:lang w:eastAsia="zh-CN"/>
        </w:rPr>
        <w:t>2020</w:t>
      </w:r>
      <w:r w:rsidRPr="00060486">
        <w:rPr>
          <w:rFonts w:ascii="SimSun" w:hAnsi="SimSun" w:cs="SimSun" w:hint="eastAsia"/>
          <w:color w:val="222222"/>
          <w:sz w:val="24"/>
          <w:szCs w:val="24"/>
          <w:lang w:eastAsia="zh-CN"/>
        </w:rPr>
        <w:t>年后全球生物多样性框架和《公约》国家报告格式以及《公约》的其他工作领域；</w:t>
      </w:r>
    </w:p>
    <w:p w:rsidR="001F1AAC" w:rsidRPr="004A3239" w:rsidRDefault="001F1AAC" w:rsidP="001F1AAC">
      <w:pPr>
        <w:pStyle w:val="Para1"/>
        <w:numPr>
          <w:ilvl w:val="0"/>
          <w:numId w:val="262"/>
        </w:numPr>
        <w:tabs>
          <w:tab w:val="left" w:pos="1440"/>
        </w:tabs>
        <w:kinsoku w:val="0"/>
        <w:overflowPunct w:val="0"/>
        <w:autoSpaceDE w:val="0"/>
        <w:autoSpaceDN w:val="0"/>
        <w:ind w:left="0" w:firstLine="720"/>
        <w:rPr>
          <w:rFonts w:ascii="SimSun" w:hAnsi="SimSun"/>
          <w:kern w:val="22"/>
          <w:sz w:val="24"/>
          <w:szCs w:val="24"/>
          <w:lang w:eastAsia="zh-CN"/>
        </w:rPr>
      </w:pPr>
      <w:r w:rsidRPr="00917EE2">
        <w:rPr>
          <w:rFonts w:ascii="KaiTi" w:eastAsia="KaiTi" w:hAnsi="KaiTi" w:cs="SimSun" w:hint="eastAsia"/>
          <w:color w:val="222222"/>
          <w:sz w:val="24"/>
          <w:szCs w:val="24"/>
          <w:lang w:eastAsia="zh-CN"/>
        </w:rPr>
        <w:t>请</w:t>
      </w:r>
      <w:r w:rsidRPr="00917EE2">
        <w:rPr>
          <w:rFonts w:ascii="SimSun" w:hAnsi="SimSun" w:cs="SimSun" w:hint="eastAsia"/>
          <w:color w:val="222222"/>
          <w:sz w:val="24"/>
          <w:szCs w:val="24"/>
          <w:lang w:eastAsia="zh-CN"/>
        </w:rPr>
        <w:t>执行秘书</w:t>
      </w:r>
      <w:r>
        <w:rPr>
          <w:rFonts w:ascii="SimSun" w:hAnsi="SimSun" w:cs="SimSun" w:hint="eastAsia"/>
          <w:color w:val="222222"/>
          <w:sz w:val="24"/>
          <w:szCs w:val="24"/>
          <w:lang w:eastAsia="zh-CN"/>
        </w:rPr>
        <w:t>在</w:t>
      </w:r>
      <w:r w:rsidRPr="00917EE2">
        <w:rPr>
          <w:rFonts w:ascii="SimSun" w:hAnsi="SimSun" w:cs="SimSun" w:hint="eastAsia"/>
          <w:color w:val="222222"/>
          <w:sz w:val="24"/>
          <w:szCs w:val="24"/>
          <w:lang w:eastAsia="zh-CN"/>
        </w:rPr>
        <w:t>资源</w:t>
      </w:r>
      <w:r>
        <w:rPr>
          <w:rFonts w:ascii="SimSun" w:hAnsi="SimSun" w:cs="SimSun" w:hint="eastAsia"/>
          <w:color w:val="222222"/>
          <w:sz w:val="24"/>
          <w:szCs w:val="24"/>
          <w:lang w:eastAsia="zh-CN"/>
        </w:rPr>
        <w:t>允许的</w:t>
      </w:r>
      <w:r>
        <w:rPr>
          <w:rFonts w:ascii="SimSun" w:hAnsi="SimSun" w:cs="SimSun"/>
          <w:color w:val="222222"/>
          <w:sz w:val="24"/>
          <w:szCs w:val="24"/>
          <w:lang w:eastAsia="zh-CN"/>
        </w:rPr>
        <w:t>情况下</w:t>
      </w:r>
      <w:r w:rsidRPr="00917EE2">
        <w:rPr>
          <w:rFonts w:ascii="SimSun" w:hAnsi="SimSun" w:cs="SimSun" w:hint="eastAsia"/>
          <w:color w:val="222222"/>
          <w:sz w:val="24"/>
          <w:szCs w:val="24"/>
          <w:lang w:eastAsia="zh-CN"/>
        </w:rPr>
        <w:t>并考虑到《公约》、《卡塔赫纳议定书》和《关于赔偿责任和补救的名古屋</w:t>
      </w:r>
      <w:r w:rsidRPr="00917EE2">
        <w:rPr>
          <w:rFonts w:ascii="SimSun" w:hAnsi="SimSun" w:cs="Arial"/>
          <w:color w:val="222222"/>
          <w:sz w:val="24"/>
          <w:szCs w:val="24"/>
          <w:lang w:eastAsia="zh-CN"/>
        </w:rPr>
        <w:t>-</w:t>
      </w:r>
      <w:r w:rsidRPr="00917EE2">
        <w:rPr>
          <w:rFonts w:ascii="SimSun" w:hAnsi="SimSun" w:cs="SimSun" w:hint="eastAsia"/>
          <w:color w:val="222222"/>
          <w:sz w:val="24"/>
          <w:szCs w:val="24"/>
          <w:lang w:eastAsia="zh-CN"/>
        </w:rPr>
        <w:t>吉隆坡补充议定书》的目标，继续</w:t>
      </w:r>
      <w:r>
        <w:rPr>
          <w:rFonts w:ascii="SimSun" w:hAnsi="SimSun" w:cs="SimSun" w:hint="eastAsia"/>
          <w:color w:val="222222"/>
          <w:sz w:val="24"/>
          <w:szCs w:val="24"/>
          <w:lang w:eastAsia="zh-CN"/>
        </w:rPr>
        <w:t>致力于</w:t>
      </w:r>
      <w:r>
        <w:rPr>
          <w:rFonts w:ascii="SimSun" w:hAnsi="SimSun" w:cs="SimSun"/>
          <w:color w:val="222222"/>
          <w:sz w:val="24"/>
          <w:szCs w:val="24"/>
          <w:lang w:eastAsia="zh-CN"/>
        </w:rPr>
        <w:t>：</w:t>
      </w:r>
      <w:r w:rsidRPr="009B0DB5">
        <w:rPr>
          <w:color w:val="222222"/>
          <w:sz w:val="24"/>
          <w:szCs w:val="24"/>
          <w:lang w:eastAsia="zh-CN"/>
        </w:rPr>
        <w:t>(</w:t>
      </w:r>
      <w:r w:rsidRPr="00917EE2">
        <w:rPr>
          <w:color w:val="222222"/>
          <w:sz w:val="24"/>
          <w:szCs w:val="24"/>
          <w:lang w:eastAsia="zh-CN"/>
        </w:rPr>
        <w:t>a</w:t>
      </w:r>
      <w:r>
        <w:rPr>
          <w:color w:val="222222"/>
          <w:sz w:val="24"/>
          <w:szCs w:val="24"/>
          <w:lang w:eastAsia="zh-CN"/>
        </w:rPr>
        <w:t xml:space="preserve">) </w:t>
      </w:r>
      <w:r w:rsidRPr="00917EE2">
        <w:rPr>
          <w:rFonts w:hAnsi="SimSun"/>
          <w:color w:val="222222"/>
          <w:sz w:val="24"/>
          <w:szCs w:val="24"/>
          <w:lang w:eastAsia="zh-CN"/>
        </w:rPr>
        <w:t>将生物安全</w:t>
      </w:r>
      <w:r>
        <w:rPr>
          <w:rFonts w:hAnsi="SimSun" w:hint="eastAsia"/>
          <w:color w:val="222222"/>
          <w:sz w:val="24"/>
          <w:szCs w:val="24"/>
          <w:lang w:eastAsia="zh-CN"/>
        </w:rPr>
        <w:t>纳入</w:t>
      </w:r>
      <w:r w:rsidRPr="00917EE2">
        <w:rPr>
          <w:rFonts w:hAnsi="SimSun"/>
          <w:color w:val="222222"/>
          <w:sz w:val="24"/>
          <w:szCs w:val="24"/>
          <w:lang w:eastAsia="zh-CN"/>
        </w:rPr>
        <w:t>到秘书处各项工作方案</w:t>
      </w:r>
      <w:r>
        <w:rPr>
          <w:rFonts w:hAnsi="SimSun" w:hint="eastAsia"/>
          <w:color w:val="222222"/>
          <w:sz w:val="24"/>
          <w:szCs w:val="24"/>
          <w:lang w:eastAsia="zh-CN"/>
        </w:rPr>
        <w:t>中</w:t>
      </w:r>
      <w:r w:rsidRPr="00917EE2">
        <w:rPr>
          <w:color w:val="222222"/>
          <w:sz w:val="24"/>
          <w:szCs w:val="24"/>
          <w:lang w:eastAsia="zh-CN"/>
        </w:rPr>
        <w:t>；</w:t>
      </w:r>
      <w:r>
        <w:rPr>
          <w:rFonts w:hint="eastAsia"/>
          <w:color w:val="222222"/>
          <w:sz w:val="24"/>
          <w:szCs w:val="24"/>
          <w:lang w:eastAsia="zh-CN"/>
        </w:rPr>
        <w:t>(</w:t>
      </w:r>
      <w:r w:rsidRPr="00917EE2">
        <w:rPr>
          <w:color w:val="222222"/>
          <w:sz w:val="24"/>
          <w:szCs w:val="24"/>
          <w:lang w:eastAsia="zh-CN"/>
        </w:rPr>
        <w:t>b</w:t>
      </w:r>
      <w:r>
        <w:rPr>
          <w:color w:val="222222"/>
          <w:sz w:val="24"/>
          <w:szCs w:val="24"/>
          <w:lang w:eastAsia="zh-CN"/>
        </w:rPr>
        <w:t xml:space="preserve">) </w:t>
      </w:r>
      <w:r w:rsidRPr="00917EE2">
        <w:rPr>
          <w:rFonts w:hAnsi="SimSun"/>
          <w:color w:val="222222"/>
          <w:sz w:val="24"/>
          <w:szCs w:val="24"/>
          <w:lang w:eastAsia="zh-CN"/>
        </w:rPr>
        <w:t>提高对《公约》和《卡塔赫纳议定书》中生物安全</w:t>
      </w:r>
      <w:r>
        <w:rPr>
          <w:rFonts w:hAnsi="SimSun" w:hint="eastAsia"/>
          <w:color w:val="222222"/>
          <w:sz w:val="24"/>
          <w:szCs w:val="24"/>
          <w:lang w:eastAsia="zh-CN"/>
        </w:rPr>
        <w:t>相关</w:t>
      </w:r>
      <w:r w:rsidRPr="00917EE2">
        <w:rPr>
          <w:rFonts w:hAnsi="SimSun"/>
          <w:color w:val="222222"/>
          <w:sz w:val="24"/>
          <w:szCs w:val="24"/>
          <w:lang w:eastAsia="zh-CN"/>
        </w:rPr>
        <w:t>规定的认识；</w:t>
      </w:r>
      <w:r>
        <w:rPr>
          <w:rFonts w:hAnsi="SimSun" w:hint="eastAsia"/>
          <w:color w:val="222222"/>
          <w:sz w:val="24"/>
          <w:szCs w:val="24"/>
          <w:lang w:eastAsia="zh-CN"/>
        </w:rPr>
        <w:t xml:space="preserve"> (</w:t>
      </w:r>
      <w:r w:rsidRPr="00917EE2">
        <w:rPr>
          <w:color w:val="222222"/>
          <w:sz w:val="24"/>
          <w:szCs w:val="24"/>
          <w:lang w:eastAsia="zh-CN"/>
        </w:rPr>
        <w:t>c</w:t>
      </w:r>
      <w:r>
        <w:rPr>
          <w:color w:val="222222"/>
          <w:sz w:val="24"/>
          <w:szCs w:val="24"/>
          <w:lang w:eastAsia="zh-CN"/>
        </w:rPr>
        <w:t xml:space="preserve">) </w:t>
      </w:r>
      <w:r w:rsidRPr="00917EE2">
        <w:rPr>
          <w:rFonts w:hAnsi="SimSun"/>
          <w:color w:val="222222"/>
          <w:sz w:val="24"/>
          <w:szCs w:val="24"/>
          <w:lang w:eastAsia="zh-CN"/>
        </w:rPr>
        <w:t>支持</w:t>
      </w:r>
      <w:r>
        <w:rPr>
          <w:rFonts w:hAnsi="SimSun" w:hint="eastAsia"/>
          <w:color w:val="222222"/>
          <w:sz w:val="24"/>
          <w:szCs w:val="24"/>
          <w:lang w:eastAsia="zh-CN"/>
        </w:rPr>
        <w:t>各</w:t>
      </w:r>
      <w:r w:rsidRPr="00917EE2">
        <w:rPr>
          <w:rFonts w:hAnsi="SimSun"/>
          <w:color w:val="222222"/>
          <w:sz w:val="24"/>
          <w:szCs w:val="24"/>
          <w:lang w:eastAsia="zh-CN"/>
        </w:rPr>
        <w:t>缔约方努力将生物安全</w:t>
      </w:r>
      <w:r>
        <w:rPr>
          <w:rFonts w:hAnsi="SimSun" w:hint="eastAsia"/>
          <w:color w:val="222222"/>
          <w:sz w:val="24"/>
          <w:szCs w:val="24"/>
          <w:lang w:eastAsia="zh-CN"/>
        </w:rPr>
        <w:t>纳入</w:t>
      </w:r>
      <w:r w:rsidRPr="00917EE2">
        <w:rPr>
          <w:rFonts w:ascii="SimSun" w:hAnsi="SimSun" w:cs="SimSun" w:hint="eastAsia"/>
          <w:color w:val="222222"/>
          <w:sz w:val="24"/>
          <w:szCs w:val="24"/>
          <w:lang w:eastAsia="zh-CN"/>
        </w:rPr>
        <w:t>到国家级各部门</w:t>
      </w:r>
      <w:r>
        <w:rPr>
          <w:rFonts w:ascii="SimSun" w:hAnsi="SimSun" w:cs="SimSun" w:hint="eastAsia"/>
          <w:color w:val="222222"/>
          <w:sz w:val="24"/>
          <w:szCs w:val="24"/>
          <w:lang w:eastAsia="zh-CN"/>
        </w:rPr>
        <w:t>中；</w:t>
      </w:r>
    </w:p>
    <w:p w:rsidR="001F1AAC" w:rsidRPr="00B027C2" w:rsidRDefault="001F1AAC" w:rsidP="001F1AAC">
      <w:pPr>
        <w:pStyle w:val="Para1"/>
        <w:widowControl w:val="0"/>
        <w:suppressLineNumbers/>
        <w:tabs>
          <w:tab w:val="clear" w:pos="360"/>
        </w:tabs>
        <w:suppressAutoHyphens/>
        <w:adjustRightInd w:val="0"/>
        <w:snapToGrid w:val="0"/>
        <w:ind w:firstLine="0"/>
        <w:jc w:val="center"/>
        <w:rPr>
          <w:rFonts w:ascii="KaiTi" w:eastAsia="KaiTi" w:hAnsi="KaiTi" w:cs="SimSun"/>
          <w:iCs/>
          <w:kern w:val="22"/>
          <w:sz w:val="24"/>
          <w:szCs w:val="24"/>
          <w:lang w:eastAsia="zh-CN"/>
        </w:rPr>
      </w:pPr>
      <w:r w:rsidRPr="00323055">
        <w:rPr>
          <w:rFonts w:eastAsia="KaiTi"/>
          <w:iCs/>
          <w:kern w:val="22"/>
          <w:sz w:val="24"/>
          <w:szCs w:val="24"/>
          <w:lang w:eastAsia="zh-CN"/>
        </w:rPr>
        <w:t>B</w:t>
      </w:r>
      <w:r>
        <w:rPr>
          <w:rFonts w:eastAsia="KaiTi" w:hAnsi="KaiTi" w:hint="eastAsia"/>
          <w:iCs/>
          <w:kern w:val="22"/>
          <w:sz w:val="24"/>
          <w:szCs w:val="24"/>
          <w:lang w:eastAsia="zh-CN"/>
        </w:rPr>
        <w:t>.</w:t>
      </w:r>
      <w:r>
        <w:rPr>
          <w:rFonts w:eastAsia="KaiTi" w:hAnsi="KaiTi"/>
          <w:iCs/>
          <w:kern w:val="22"/>
          <w:sz w:val="24"/>
          <w:szCs w:val="24"/>
          <w:lang w:eastAsia="zh-CN"/>
        </w:rPr>
        <w:t xml:space="preserve">     </w:t>
      </w:r>
      <w:r w:rsidRPr="00B027C2">
        <w:rPr>
          <w:rFonts w:ascii="KaiTi" w:eastAsia="KaiTi" w:hAnsi="KaiTi" w:cs="SimSun" w:hint="eastAsia"/>
          <w:iCs/>
          <w:kern w:val="22"/>
          <w:sz w:val="24"/>
          <w:szCs w:val="24"/>
          <w:lang w:eastAsia="zh-CN"/>
        </w:rPr>
        <w:t>关于获取和惠益分享的条款</w:t>
      </w:r>
    </w:p>
    <w:p w:rsidR="001F1AAC" w:rsidRPr="00223F3B" w:rsidRDefault="001F1AAC" w:rsidP="001F1AAC">
      <w:pPr>
        <w:pStyle w:val="Para1"/>
        <w:widowControl w:val="0"/>
        <w:numPr>
          <w:ilvl w:val="0"/>
          <w:numId w:val="262"/>
        </w:numPr>
        <w:tabs>
          <w:tab w:val="left" w:pos="1440"/>
        </w:tabs>
        <w:kinsoku w:val="0"/>
        <w:overflowPunct w:val="0"/>
        <w:autoSpaceDE w:val="0"/>
        <w:autoSpaceDN w:val="0"/>
        <w:ind w:left="0" w:firstLine="720"/>
        <w:rPr>
          <w:kern w:val="22"/>
          <w:sz w:val="24"/>
          <w:szCs w:val="24"/>
          <w:lang w:eastAsia="zh-CN"/>
        </w:rPr>
      </w:pPr>
      <w:r w:rsidRPr="0030521C">
        <w:rPr>
          <w:rFonts w:ascii="KaiTi" w:eastAsia="KaiTi" w:hAnsi="KaiTi" w:cs="SimSun" w:hint="eastAsia"/>
          <w:sz w:val="24"/>
          <w:szCs w:val="24"/>
          <w:lang w:val="zh-CN" w:eastAsia="zh-CN"/>
        </w:rPr>
        <w:t>欢迎</w:t>
      </w:r>
      <w:r>
        <w:rPr>
          <w:rFonts w:ascii="KaiTi" w:eastAsia="KaiTi" w:hAnsi="KaiTi" w:cs="SimSun" w:hint="eastAsia"/>
          <w:sz w:val="24"/>
          <w:szCs w:val="24"/>
          <w:lang w:val="zh-CN" w:eastAsia="zh-CN"/>
        </w:rPr>
        <w:t>各</w:t>
      </w:r>
      <w:r w:rsidRPr="0030521C">
        <w:rPr>
          <w:rFonts w:ascii="SimSun" w:hAnsi="SimSun" w:cs="SimSun" w:hint="eastAsia"/>
          <w:sz w:val="24"/>
          <w:szCs w:val="24"/>
          <w:lang w:val="zh-CN" w:eastAsia="zh-CN"/>
        </w:rPr>
        <w:t>缔约方为执行《获取遗传资源和公正和公平地分享其利用所产生惠益的</w:t>
      </w:r>
      <w:r w:rsidRPr="0030521C">
        <w:rPr>
          <w:rFonts w:ascii="SimSun" w:hAnsi="SimSun" w:cs="SimSun" w:hint="eastAsia"/>
          <w:sz w:val="24"/>
          <w:szCs w:val="24"/>
          <w:lang w:val="zh-CN" w:eastAsia="zh-CN"/>
        </w:rPr>
        <w:lastRenderedPageBreak/>
        <w:t>名古屋议定书》和非缔约方为批准</w:t>
      </w:r>
      <w:r>
        <w:rPr>
          <w:rFonts w:ascii="SimSun" w:hAnsi="SimSun" w:cs="SimSun" w:hint="eastAsia"/>
          <w:sz w:val="24"/>
          <w:szCs w:val="24"/>
          <w:lang w:val="zh-CN" w:eastAsia="zh-CN"/>
        </w:rPr>
        <w:t>该</w:t>
      </w:r>
      <w:r w:rsidRPr="0030521C">
        <w:rPr>
          <w:rFonts w:ascii="SimSun" w:hAnsi="SimSun" w:cs="SimSun" w:hint="eastAsia"/>
          <w:sz w:val="24"/>
          <w:szCs w:val="24"/>
          <w:lang w:val="zh-CN" w:eastAsia="zh-CN"/>
        </w:rPr>
        <w:t>议定书</w:t>
      </w:r>
      <w:r>
        <w:rPr>
          <w:rFonts w:ascii="SimSun" w:hAnsi="SimSun" w:cs="SimSun" w:hint="eastAsia"/>
          <w:sz w:val="24"/>
          <w:szCs w:val="24"/>
          <w:lang w:val="zh-CN" w:eastAsia="zh-CN"/>
        </w:rPr>
        <w:t>所作的</w:t>
      </w:r>
      <w:r w:rsidRPr="0030521C">
        <w:rPr>
          <w:rFonts w:ascii="SimSun" w:hAnsi="SimSun" w:cs="SimSun" w:hint="eastAsia"/>
          <w:sz w:val="24"/>
          <w:szCs w:val="24"/>
          <w:lang w:val="zh-CN" w:eastAsia="zh-CN"/>
        </w:rPr>
        <w:t>努力</w:t>
      </w:r>
      <w:r w:rsidRPr="00223F3B">
        <w:rPr>
          <w:rFonts w:ascii="SimSun" w:hAnsi="SimSun" w:cs="SimSun" w:hint="eastAsia"/>
          <w:sz w:val="24"/>
          <w:szCs w:val="24"/>
          <w:lang w:eastAsia="zh-CN"/>
        </w:rPr>
        <w:t>；</w:t>
      </w:r>
    </w:p>
    <w:p w:rsidR="001F1AAC" w:rsidRPr="00E90CCC" w:rsidRDefault="001F1AAC" w:rsidP="001F1AAC">
      <w:pPr>
        <w:pStyle w:val="Para1"/>
        <w:numPr>
          <w:ilvl w:val="0"/>
          <w:numId w:val="262"/>
        </w:numPr>
        <w:tabs>
          <w:tab w:val="left" w:pos="1440"/>
        </w:tabs>
        <w:kinsoku w:val="0"/>
        <w:overflowPunct w:val="0"/>
        <w:autoSpaceDE w:val="0"/>
        <w:autoSpaceDN w:val="0"/>
        <w:ind w:left="0" w:firstLine="720"/>
        <w:rPr>
          <w:kern w:val="22"/>
          <w:sz w:val="24"/>
          <w:szCs w:val="24"/>
          <w:lang w:eastAsia="zh-CN"/>
        </w:rPr>
      </w:pPr>
      <w:r w:rsidRPr="00E90CCC">
        <w:rPr>
          <w:rFonts w:ascii="KaiTi" w:eastAsia="KaiTi" w:hAnsi="KaiTi" w:cs="SimSun" w:hint="eastAsia"/>
          <w:kern w:val="22"/>
          <w:sz w:val="24"/>
          <w:szCs w:val="24"/>
          <w:lang w:val="zh-CN" w:eastAsia="zh-CN"/>
        </w:rPr>
        <w:t>敦促</w:t>
      </w:r>
      <w:r w:rsidRPr="00223F3B">
        <w:rPr>
          <w:rFonts w:ascii="SimSun" w:hAnsi="SimSun" w:cs="SimSun" w:hint="eastAsia"/>
          <w:kern w:val="22"/>
          <w:sz w:val="24"/>
          <w:szCs w:val="24"/>
          <w:lang w:val="zh-CN" w:eastAsia="zh-CN"/>
        </w:rPr>
        <w:t>尚未交存批准、</w:t>
      </w:r>
      <w:r>
        <w:rPr>
          <w:rFonts w:ascii="SimSun" w:hAnsi="SimSun" w:cs="SimSun" w:hint="eastAsia"/>
          <w:kern w:val="22"/>
          <w:sz w:val="24"/>
          <w:szCs w:val="24"/>
          <w:lang w:val="zh-CN" w:eastAsia="zh-CN"/>
        </w:rPr>
        <w:t>接受</w:t>
      </w:r>
      <w:r w:rsidRPr="00223F3B">
        <w:rPr>
          <w:rFonts w:ascii="SimSun" w:hAnsi="SimSun" w:cs="SimSun" w:hint="eastAsia"/>
          <w:kern w:val="22"/>
          <w:sz w:val="24"/>
          <w:szCs w:val="24"/>
          <w:lang w:val="zh-CN" w:eastAsia="zh-CN"/>
        </w:rPr>
        <w:t>或核准或加入《名古屋议定书》的文书的</w:t>
      </w:r>
      <w:r>
        <w:rPr>
          <w:rFonts w:ascii="SimSun" w:hAnsi="SimSun" w:cs="SimSun" w:hint="eastAsia"/>
          <w:kern w:val="22"/>
          <w:sz w:val="24"/>
          <w:szCs w:val="24"/>
          <w:lang w:val="zh-CN" w:eastAsia="zh-CN"/>
        </w:rPr>
        <w:t>《</w:t>
      </w:r>
      <w:r w:rsidRPr="00223F3B">
        <w:rPr>
          <w:rFonts w:ascii="SimSun" w:hAnsi="SimSun" w:cs="SimSun" w:hint="eastAsia"/>
          <w:kern w:val="22"/>
          <w:sz w:val="24"/>
          <w:szCs w:val="24"/>
          <w:lang w:val="zh-CN" w:eastAsia="zh-CN"/>
        </w:rPr>
        <w:t>生物多样性公约</w:t>
      </w:r>
      <w:r>
        <w:rPr>
          <w:rFonts w:ascii="SimSun" w:hAnsi="SimSun" w:cs="SimSun" w:hint="eastAsia"/>
          <w:kern w:val="22"/>
          <w:sz w:val="24"/>
          <w:szCs w:val="24"/>
          <w:lang w:val="zh-CN" w:eastAsia="zh-CN"/>
        </w:rPr>
        <w:t>》</w:t>
      </w:r>
      <w:r w:rsidRPr="00223F3B">
        <w:rPr>
          <w:rFonts w:ascii="SimSun" w:hAnsi="SimSun" w:cs="SimSun" w:hint="eastAsia"/>
          <w:kern w:val="22"/>
          <w:sz w:val="24"/>
          <w:szCs w:val="24"/>
          <w:lang w:val="zh-CN" w:eastAsia="zh-CN"/>
        </w:rPr>
        <w:t>缔约方尽早交存</w:t>
      </w:r>
      <w:r>
        <w:rPr>
          <w:rFonts w:ascii="SimSun" w:hAnsi="SimSun" w:cs="SimSun" w:hint="eastAsia"/>
          <w:kern w:val="22"/>
          <w:sz w:val="24"/>
          <w:szCs w:val="24"/>
          <w:lang w:val="zh-CN" w:eastAsia="zh-CN"/>
        </w:rPr>
        <w:t>这些</w:t>
      </w:r>
      <w:r w:rsidRPr="00223F3B">
        <w:rPr>
          <w:rFonts w:ascii="SimSun" w:hAnsi="SimSun" w:cs="SimSun" w:hint="eastAsia"/>
          <w:kern w:val="22"/>
          <w:sz w:val="24"/>
          <w:szCs w:val="24"/>
          <w:lang w:val="zh-CN" w:eastAsia="zh-CN"/>
        </w:rPr>
        <w:t>文书</w:t>
      </w:r>
      <w:r w:rsidRPr="00223F3B">
        <w:rPr>
          <w:rFonts w:ascii="SimSun" w:hAnsi="SimSun" w:cs="SimSun" w:hint="eastAsia"/>
          <w:kern w:val="22"/>
          <w:sz w:val="24"/>
          <w:szCs w:val="24"/>
          <w:lang w:eastAsia="zh-CN"/>
        </w:rPr>
        <w:t>，</w:t>
      </w:r>
      <w:r>
        <w:rPr>
          <w:rFonts w:ascii="SimSun" w:hAnsi="SimSun" w:cs="SimSun" w:hint="eastAsia"/>
          <w:kern w:val="22"/>
          <w:sz w:val="24"/>
          <w:szCs w:val="24"/>
          <w:lang w:val="zh-CN" w:eastAsia="zh-CN"/>
        </w:rPr>
        <w:t>并</w:t>
      </w:r>
      <w:r w:rsidRPr="00223F3B">
        <w:rPr>
          <w:rFonts w:ascii="SimSun" w:hAnsi="SimSun" w:cs="SimSun" w:hint="eastAsia"/>
          <w:kern w:val="22"/>
          <w:sz w:val="24"/>
          <w:szCs w:val="24"/>
          <w:lang w:val="zh-CN" w:eastAsia="zh-CN"/>
        </w:rPr>
        <w:t>采取步骤执行</w:t>
      </w:r>
      <w:r>
        <w:rPr>
          <w:rFonts w:ascii="SimSun" w:hAnsi="SimSun" w:cs="SimSun" w:hint="eastAsia"/>
          <w:kern w:val="22"/>
          <w:sz w:val="24"/>
          <w:szCs w:val="24"/>
          <w:lang w:val="zh-CN" w:eastAsia="zh-CN"/>
        </w:rPr>
        <w:t>该</w:t>
      </w:r>
      <w:r w:rsidRPr="00223F3B">
        <w:rPr>
          <w:rFonts w:ascii="SimSun" w:hAnsi="SimSun" w:cs="SimSun" w:hint="eastAsia"/>
          <w:kern w:val="22"/>
          <w:sz w:val="24"/>
          <w:szCs w:val="24"/>
          <w:lang w:val="zh-CN" w:eastAsia="zh-CN"/>
        </w:rPr>
        <w:t>议定书</w:t>
      </w:r>
      <w:r w:rsidRPr="00223F3B">
        <w:rPr>
          <w:rFonts w:ascii="SimSun" w:hAnsi="SimSun" w:cs="SimSun" w:hint="eastAsia"/>
          <w:kern w:val="22"/>
          <w:sz w:val="24"/>
          <w:szCs w:val="24"/>
          <w:lang w:eastAsia="zh-CN"/>
        </w:rPr>
        <w:t>，</w:t>
      </w:r>
      <w:r w:rsidRPr="00223F3B">
        <w:rPr>
          <w:rFonts w:ascii="SimSun" w:hAnsi="SimSun" w:cs="SimSun" w:hint="eastAsia"/>
          <w:kern w:val="22"/>
          <w:sz w:val="24"/>
          <w:szCs w:val="24"/>
          <w:lang w:val="zh-CN" w:eastAsia="zh-CN"/>
        </w:rPr>
        <w:t>包括</w:t>
      </w:r>
      <w:r>
        <w:rPr>
          <w:rFonts w:ascii="SimSun" w:hAnsi="SimSun" w:cs="SimSun" w:hint="eastAsia"/>
          <w:kern w:val="22"/>
          <w:sz w:val="24"/>
          <w:szCs w:val="24"/>
          <w:lang w:val="zh-CN" w:eastAsia="zh-CN"/>
        </w:rPr>
        <w:t>建立</w:t>
      </w:r>
      <w:r w:rsidRPr="00223F3B">
        <w:rPr>
          <w:rFonts w:ascii="SimSun" w:hAnsi="SimSun" w:cs="SimSun" w:hint="eastAsia"/>
          <w:kern w:val="22"/>
          <w:sz w:val="24"/>
          <w:szCs w:val="24"/>
          <w:lang w:val="zh-CN" w:eastAsia="zh-CN"/>
        </w:rPr>
        <w:t>体制结构</w:t>
      </w:r>
      <w:r>
        <w:rPr>
          <w:rFonts w:ascii="SimSun" w:hAnsi="SimSun" w:cs="SimSun" w:hint="eastAsia"/>
          <w:kern w:val="22"/>
          <w:sz w:val="24"/>
          <w:szCs w:val="24"/>
          <w:lang w:val="zh-CN" w:eastAsia="zh-CN"/>
        </w:rPr>
        <w:t>和制订</w:t>
      </w:r>
      <w:r w:rsidRPr="00223F3B">
        <w:rPr>
          <w:rFonts w:ascii="SimSun" w:hAnsi="SimSun" w:cs="SimSun" w:hint="eastAsia"/>
          <w:kern w:val="22"/>
          <w:sz w:val="24"/>
          <w:szCs w:val="24"/>
          <w:lang w:val="zh-CN" w:eastAsia="zh-CN"/>
        </w:rPr>
        <w:t>关于资源获取和惠益分享的立法、行政或政策措施</w:t>
      </w:r>
      <w:r w:rsidRPr="00223F3B">
        <w:rPr>
          <w:rFonts w:ascii="SimSun" w:hAnsi="SimSun" w:cs="SimSun" w:hint="eastAsia"/>
          <w:kern w:val="22"/>
          <w:sz w:val="24"/>
          <w:szCs w:val="24"/>
          <w:lang w:eastAsia="zh-CN"/>
        </w:rPr>
        <w:t>，</w:t>
      </w:r>
      <w:r>
        <w:rPr>
          <w:rFonts w:ascii="SimSun" w:hAnsi="SimSun" w:cs="SimSun" w:hint="eastAsia"/>
          <w:kern w:val="22"/>
          <w:sz w:val="24"/>
          <w:szCs w:val="24"/>
          <w:lang w:eastAsia="zh-CN"/>
        </w:rPr>
        <w:t>包括</w:t>
      </w:r>
      <w:r w:rsidRPr="00E03075">
        <w:rPr>
          <w:rFonts w:ascii="SimSun" w:hAnsi="SimSun" w:cs="SimSun" w:hint="eastAsia"/>
          <w:kern w:val="22"/>
          <w:sz w:val="24"/>
          <w:szCs w:val="24"/>
          <w:lang w:eastAsia="zh-CN"/>
        </w:rPr>
        <w:t>确保与</w:t>
      </w:r>
      <w:r>
        <w:rPr>
          <w:rFonts w:ascii="SimSun" w:hAnsi="SimSun" w:cs="SimSun" w:hint="eastAsia"/>
          <w:kern w:val="22"/>
          <w:sz w:val="24"/>
          <w:szCs w:val="24"/>
          <w:lang w:eastAsia="zh-CN"/>
        </w:rPr>
        <w:t>拥有</w:t>
      </w:r>
      <w:r w:rsidRPr="00E03075">
        <w:rPr>
          <w:rFonts w:ascii="SimSun" w:hAnsi="SimSun" w:cs="SimSun" w:hint="eastAsia"/>
          <w:kern w:val="22"/>
          <w:sz w:val="24"/>
          <w:szCs w:val="24"/>
          <w:lang w:eastAsia="zh-CN"/>
        </w:rPr>
        <w:t>遗传资源</w:t>
      </w:r>
      <w:r>
        <w:rPr>
          <w:rFonts w:ascii="SimSun" w:hAnsi="SimSun" w:cs="SimSun" w:hint="eastAsia"/>
          <w:kern w:val="22"/>
          <w:sz w:val="24"/>
          <w:szCs w:val="24"/>
          <w:lang w:eastAsia="zh-CN"/>
        </w:rPr>
        <w:t>相关</w:t>
      </w:r>
      <w:r w:rsidRPr="00E03075">
        <w:rPr>
          <w:rFonts w:ascii="SimSun" w:hAnsi="SimSun" w:cs="SimSun" w:hint="eastAsia"/>
          <w:kern w:val="22"/>
          <w:sz w:val="24"/>
          <w:szCs w:val="24"/>
          <w:lang w:eastAsia="zh-CN"/>
        </w:rPr>
        <w:t>传统知识</w:t>
      </w:r>
      <w:r>
        <w:rPr>
          <w:rFonts w:ascii="SimSun" w:hAnsi="SimSun" w:cs="SimSun" w:hint="eastAsia"/>
          <w:kern w:val="22"/>
          <w:sz w:val="24"/>
          <w:szCs w:val="24"/>
          <w:lang w:eastAsia="zh-CN"/>
        </w:rPr>
        <w:t>的土著人民和地方社区公正和公平地分享利用这种</w:t>
      </w:r>
      <w:r w:rsidRPr="00E03075">
        <w:rPr>
          <w:rFonts w:ascii="SimSun" w:hAnsi="SimSun" w:cs="SimSun" w:hint="eastAsia"/>
          <w:kern w:val="22"/>
          <w:sz w:val="24"/>
          <w:szCs w:val="24"/>
          <w:lang w:eastAsia="zh-CN"/>
        </w:rPr>
        <w:t>传统知识所产生的惠益</w:t>
      </w:r>
      <w:r>
        <w:rPr>
          <w:rFonts w:ascii="SimSun" w:hAnsi="SimSun" w:cs="SimSun" w:hint="eastAsia"/>
          <w:kern w:val="22"/>
          <w:sz w:val="24"/>
          <w:szCs w:val="24"/>
          <w:lang w:eastAsia="zh-CN"/>
        </w:rPr>
        <w:t>的措施，</w:t>
      </w:r>
      <w:r w:rsidRPr="00223F3B">
        <w:rPr>
          <w:rFonts w:ascii="SimSun" w:hAnsi="SimSun" w:cs="SimSun" w:hint="eastAsia"/>
          <w:kern w:val="22"/>
          <w:sz w:val="24"/>
          <w:szCs w:val="24"/>
          <w:lang w:val="zh-CN" w:eastAsia="zh-CN"/>
        </w:rPr>
        <w:t>并向获取和惠益分享信息交换所提供相关</w:t>
      </w:r>
      <w:r>
        <w:rPr>
          <w:rFonts w:ascii="SimSun" w:hAnsi="SimSun" w:cs="SimSun" w:hint="eastAsia"/>
          <w:kern w:val="22"/>
          <w:sz w:val="24"/>
          <w:szCs w:val="24"/>
          <w:lang w:val="zh-CN" w:eastAsia="zh-CN"/>
        </w:rPr>
        <w:t>的</w:t>
      </w:r>
      <w:r w:rsidRPr="00223F3B">
        <w:rPr>
          <w:rFonts w:ascii="SimSun" w:hAnsi="SimSun" w:cs="SimSun" w:hint="eastAsia"/>
          <w:kern w:val="22"/>
          <w:sz w:val="24"/>
          <w:szCs w:val="24"/>
          <w:lang w:val="zh-CN" w:eastAsia="zh-CN"/>
        </w:rPr>
        <w:t>信息</w:t>
      </w:r>
      <w:r w:rsidRPr="00223F3B">
        <w:rPr>
          <w:rFonts w:ascii="SimSun" w:hAnsi="SimSun" w:cs="SimSun" w:hint="eastAsia"/>
          <w:kern w:val="22"/>
          <w:sz w:val="24"/>
          <w:szCs w:val="24"/>
          <w:lang w:eastAsia="zh-CN"/>
        </w:rPr>
        <w:t>；</w:t>
      </w:r>
    </w:p>
    <w:p w:rsidR="001F1AAC" w:rsidRPr="00223F3B" w:rsidRDefault="001F1AAC" w:rsidP="001F1AAC">
      <w:pPr>
        <w:pStyle w:val="Para1"/>
        <w:numPr>
          <w:ilvl w:val="0"/>
          <w:numId w:val="262"/>
        </w:numPr>
        <w:tabs>
          <w:tab w:val="left" w:pos="1440"/>
        </w:tabs>
        <w:kinsoku w:val="0"/>
        <w:overflowPunct w:val="0"/>
        <w:autoSpaceDE w:val="0"/>
        <w:autoSpaceDN w:val="0"/>
        <w:ind w:left="0" w:firstLine="720"/>
        <w:rPr>
          <w:kern w:val="22"/>
          <w:sz w:val="24"/>
          <w:szCs w:val="24"/>
          <w:lang w:eastAsia="zh-CN"/>
        </w:rPr>
      </w:pPr>
      <w:r w:rsidRPr="00E90CCC">
        <w:rPr>
          <w:rFonts w:ascii="KaiTi" w:eastAsia="KaiTi" w:hAnsi="KaiTi" w:cs="SimSun" w:hint="eastAsia"/>
          <w:kern w:val="22"/>
          <w:sz w:val="24"/>
          <w:szCs w:val="24"/>
          <w:lang w:val="zh-CN" w:eastAsia="zh-CN"/>
        </w:rPr>
        <w:t>请</w:t>
      </w:r>
      <w:r w:rsidRPr="00E90CCC">
        <w:rPr>
          <w:rFonts w:ascii="SimSun" w:hAnsi="SimSun" w:cs="SimSun" w:hint="eastAsia"/>
          <w:kern w:val="22"/>
          <w:sz w:val="24"/>
          <w:szCs w:val="24"/>
          <w:lang w:eastAsia="zh-CN"/>
        </w:rPr>
        <w:t>执行秘书支持战略</w:t>
      </w:r>
      <w:r>
        <w:rPr>
          <w:rFonts w:ascii="SimSun" w:hAnsi="SimSun" w:cs="SimSun" w:hint="eastAsia"/>
          <w:kern w:val="22"/>
          <w:sz w:val="24"/>
          <w:szCs w:val="24"/>
          <w:lang w:eastAsia="zh-CN"/>
        </w:rPr>
        <w:t>传播</w:t>
      </w:r>
      <w:r w:rsidRPr="00E90CCC">
        <w:rPr>
          <w:rFonts w:ascii="SimSun" w:hAnsi="SimSun" w:cs="SimSun" w:hint="eastAsia"/>
          <w:kern w:val="22"/>
          <w:sz w:val="24"/>
          <w:szCs w:val="24"/>
          <w:lang w:eastAsia="zh-CN"/>
        </w:rPr>
        <w:t>，以提高对</w:t>
      </w:r>
      <w:r>
        <w:rPr>
          <w:rFonts w:ascii="SimSun" w:hAnsi="SimSun" w:cs="SimSun" w:hint="eastAsia"/>
          <w:kern w:val="22"/>
          <w:sz w:val="24"/>
          <w:szCs w:val="24"/>
          <w:lang w:eastAsia="zh-CN"/>
        </w:rPr>
        <w:t>《</w:t>
      </w:r>
      <w:r w:rsidRPr="00E90CCC">
        <w:rPr>
          <w:rFonts w:ascii="SimSun" w:hAnsi="SimSun" w:cs="SimSun" w:hint="eastAsia"/>
          <w:kern w:val="22"/>
          <w:sz w:val="24"/>
          <w:szCs w:val="24"/>
          <w:lang w:eastAsia="zh-CN"/>
        </w:rPr>
        <w:t>名古屋议定书</w:t>
      </w:r>
      <w:r>
        <w:rPr>
          <w:rFonts w:ascii="SimSun" w:hAnsi="SimSun" w:cs="SimSun" w:hint="eastAsia"/>
          <w:kern w:val="22"/>
          <w:sz w:val="24"/>
          <w:szCs w:val="24"/>
          <w:lang w:eastAsia="zh-CN"/>
        </w:rPr>
        <w:t>》</w:t>
      </w:r>
      <w:r w:rsidRPr="00E90CCC">
        <w:rPr>
          <w:rFonts w:ascii="SimSun" w:hAnsi="SimSun" w:cs="SimSun" w:hint="eastAsia"/>
          <w:kern w:val="22"/>
          <w:sz w:val="24"/>
          <w:szCs w:val="24"/>
          <w:lang w:eastAsia="zh-CN"/>
        </w:rPr>
        <w:t>的认识</w:t>
      </w:r>
      <w:r>
        <w:rPr>
          <w:rFonts w:ascii="SimSun" w:hAnsi="SimSun" w:cs="SimSun" w:hint="eastAsia"/>
          <w:kern w:val="22"/>
          <w:sz w:val="24"/>
          <w:szCs w:val="24"/>
          <w:lang w:eastAsia="zh-CN"/>
        </w:rPr>
        <w:t>和</w:t>
      </w:r>
      <w:r w:rsidRPr="00E90CCC">
        <w:rPr>
          <w:rFonts w:ascii="SimSun" w:hAnsi="SimSun" w:cs="SimSun" w:hint="eastAsia"/>
          <w:kern w:val="22"/>
          <w:sz w:val="24"/>
          <w:szCs w:val="24"/>
          <w:lang w:eastAsia="zh-CN"/>
        </w:rPr>
        <w:t>加强其与其他部门的</w:t>
      </w:r>
      <w:r>
        <w:rPr>
          <w:rFonts w:ascii="SimSun" w:hAnsi="SimSun" w:cs="SimSun" w:hint="eastAsia"/>
          <w:kern w:val="22"/>
          <w:sz w:val="24"/>
          <w:szCs w:val="24"/>
          <w:lang w:eastAsia="zh-CN"/>
        </w:rPr>
        <w:t>融合</w:t>
      </w:r>
      <w:r>
        <w:rPr>
          <w:rFonts w:hint="eastAsia"/>
          <w:kern w:val="22"/>
          <w:sz w:val="24"/>
          <w:szCs w:val="24"/>
          <w:lang w:eastAsia="zh-CN"/>
        </w:rPr>
        <w:t>；</w:t>
      </w:r>
    </w:p>
    <w:p w:rsidR="001F1AAC" w:rsidRPr="00223F3B" w:rsidRDefault="001F1AAC" w:rsidP="001F1AAC">
      <w:pPr>
        <w:pStyle w:val="Para1"/>
        <w:numPr>
          <w:ilvl w:val="0"/>
          <w:numId w:val="262"/>
        </w:numPr>
        <w:tabs>
          <w:tab w:val="left" w:pos="1440"/>
        </w:tabs>
        <w:kinsoku w:val="0"/>
        <w:overflowPunct w:val="0"/>
        <w:autoSpaceDE w:val="0"/>
        <w:autoSpaceDN w:val="0"/>
        <w:ind w:left="0" w:firstLine="720"/>
        <w:rPr>
          <w:kern w:val="22"/>
          <w:sz w:val="24"/>
          <w:szCs w:val="24"/>
          <w:lang w:eastAsia="zh-CN"/>
        </w:rPr>
      </w:pPr>
      <w:r w:rsidRPr="00E90CCC">
        <w:rPr>
          <w:rFonts w:ascii="KaiTi" w:eastAsia="KaiTi" w:hAnsi="KaiTi" w:cs="SimSun" w:hint="eastAsia"/>
          <w:kern w:val="22"/>
          <w:sz w:val="24"/>
          <w:szCs w:val="24"/>
          <w:lang w:val="zh-CN" w:eastAsia="zh-CN"/>
        </w:rPr>
        <w:t>敦促</w:t>
      </w:r>
      <w:r w:rsidRPr="00223F3B">
        <w:rPr>
          <w:rFonts w:ascii="SimSun" w:hAnsi="SimSun" w:cs="SimSun" w:hint="eastAsia"/>
          <w:kern w:val="22"/>
          <w:sz w:val="24"/>
          <w:szCs w:val="24"/>
          <w:lang w:val="zh-CN" w:eastAsia="zh-CN"/>
        </w:rPr>
        <w:t>尚未加入《名古屋议定书》的</w:t>
      </w:r>
      <w:r>
        <w:rPr>
          <w:rFonts w:ascii="SimSun" w:hAnsi="SimSun" w:cs="SimSun" w:hint="eastAsia"/>
          <w:kern w:val="22"/>
          <w:sz w:val="24"/>
          <w:szCs w:val="24"/>
          <w:lang w:val="zh-CN" w:eastAsia="zh-CN"/>
        </w:rPr>
        <w:t>《</w:t>
      </w:r>
      <w:r w:rsidRPr="00223F3B">
        <w:rPr>
          <w:rFonts w:ascii="SimSun" w:hAnsi="SimSun" w:cs="SimSun" w:hint="eastAsia"/>
          <w:kern w:val="22"/>
          <w:sz w:val="24"/>
          <w:szCs w:val="24"/>
          <w:lang w:val="zh-CN" w:eastAsia="zh-CN"/>
        </w:rPr>
        <w:t>公约</w:t>
      </w:r>
      <w:r>
        <w:rPr>
          <w:rFonts w:ascii="SimSun" w:hAnsi="SimSun" w:cs="SimSun" w:hint="eastAsia"/>
          <w:kern w:val="22"/>
          <w:sz w:val="24"/>
          <w:szCs w:val="24"/>
          <w:lang w:val="zh-CN" w:eastAsia="zh-CN"/>
        </w:rPr>
        <w:t>》</w:t>
      </w:r>
      <w:r w:rsidRPr="00223F3B">
        <w:rPr>
          <w:rFonts w:ascii="SimSun" w:hAnsi="SimSun" w:cs="SimSun" w:hint="eastAsia"/>
          <w:kern w:val="22"/>
          <w:sz w:val="24"/>
          <w:szCs w:val="24"/>
          <w:lang w:val="zh-CN" w:eastAsia="zh-CN"/>
        </w:rPr>
        <w:t>缔约方在第六次国家报告中报告获取和惠益分享的执行情况</w:t>
      </w:r>
      <w:r w:rsidRPr="00223F3B">
        <w:rPr>
          <w:rFonts w:ascii="SimSun" w:hAnsi="SimSun" w:cs="SimSun" w:hint="eastAsia"/>
          <w:kern w:val="22"/>
          <w:sz w:val="24"/>
          <w:szCs w:val="24"/>
          <w:lang w:eastAsia="zh-CN"/>
        </w:rPr>
        <w:t>；</w:t>
      </w:r>
    </w:p>
    <w:p w:rsidR="001F1AAC" w:rsidRPr="00223F3B" w:rsidRDefault="001F1AAC" w:rsidP="001F1AAC">
      <w:pPr>
        <w:pStyle w:val="Para1"/>
        <w:numPr>
          <w:ilvl w:val="0"/>
          <w:numId w:val="262"/>
        </w:numPr>
        <w:tabs>
          <w:tab w:val="left" w:pos="1440"/>
        </w:tabs>
        <w:kinsoku w:val="0"/>
        <w:overflowPunct w:val="0"/>
        <w:autoSpaceDE w:val="0"/>
        <w:autoSpaceDN w:val="0"/>
        <w:ind w:left="0" w:firstLine="720"/>
        <w:rPr>
          <w:kern w:val="22"/>
          <w:sz w:val="24"/>
          <w:lang w:eastAsia="zh-CN"/>
        </w:rPr>
      </w:pPr>
      <w:r w:rsidRPr="00E90CCC">
        <w:rPr>
          <w:rFonts w:ascii="KaiTi" w:eastAsia="KaiTi" w:hAnsi="KaiTi" w:cs="SimSun" w:hint="eastAsia"/>
          <w:kern w:val="22"/>
          <w:sz w:val="24"/>
          <w:lang w:val="zh-CN" w:eastAsia="zh-CN"/>
        </w:rPr>
        <w:t>重申</w:t>
      </w:r>
      <w:r w:rsidRPr="00B027C2">
        <w:rPr>
          <w:rFonts w:asciiTheme="minorEastAsia" w:hAnsiTheme="minorEastAsia" w:cs="SimSun" w:hint="eastAsia"/>
          <w:kern w:val="22"/>
          <w:sz w:val="24"/>
          <w:lang w:val="zh-CN" w:eastAsia="zh-CN"/>
        </w:rPr>
        <w:t>需要</w:t>
      </w:r>
      <w:r w:rsidRPr="00B027C2">
        <w:rPr>
          <w:rFonts w:asciiTheme="minorEastAsia" w:hAnsiTheme="minorEastAsia" w:hint="eastAsia"/>
          <w:kern w:val="22"/>
          <w:sz w:val="24"/>
          <w:lang w:val="zh-CN" w:eastAsia="zh-CN"/>
        </w:rPr>
        <w:t>能力建设和发展活动及</w:t>
      </w:r>
      <w:r>
        <w:rPr>
          <w:rFonts w:asciiTheme="minorEastAsia" w:hAnsiTheme="minorEastAsia" w:hint="eastAsia"/>
          <w:kern w:val="22"/>
          <w:sz w:val="24"/>
          <w:lang w:val="zh-CN" w:eastAsia="zh-CN"/>
        </w:rPr>
        <w:t>资金</w:t>
      </w:r>
      <w:r w:rsidRPr="00B027C2">
        <w:rPr>
          <w:rFonts w:asciiTheme="minorEastAsia" w:hAnsiTheme="minorEastAsia" w:hint="eastAsia"/>
          <w:kern w:val="22"/>
          <w:sz w:val="24"/>
          <w:lang w:val="zh-CN" w:eastAsia="zh-CN"/>
        </w:rPr>
        <w:t>支持</w:t>
      </w:r>
      <w:r>
        <w:rPr>
          <w:rFonts w:asciiTheme="minorEastAsia" w:hAnsiTheme="minorEastAsia" w:hint="eastAsia"/>
          <w:kern w:val="22"/>
          <w:sz w:val="24"/>
          <w:lang w:val="zh-CN" w:eastAsia="zh-CN"/>
        </w:rPr>
        <w:t>批准</w:t>
      </w:r>
      <w:r>
        <w:rPr>
          <w:rFonts w:asciiTheme="minorEastAsia" w:hAnsiTheme="minorEastAsia"/>
          <w:kern w:val="22"/>
          <w:sz w:val="24"/>
          <w:lang w:val="zh-CN" w:eastAsia="zh-CN"/>
        </w:rPr>
        <w:t>和有效执行</w:t>
      </w:r>
      <w:r w:rsidRPr="00B027C2">
        <w:rPr>
          <w:rFonts w:asciiTheme="minorEastAsia" w:hAnsiTheme="minorEastAsia" w:hint="eastAsia"/>
          <w:kern w:val="22"/>
          <w:sz w:val="24"/>
          <w:lang w:val="zh-CN" w:eastAsia="zh-CN"/>
        </w:rPr>
        <w:t>《名古屋议定书》</w:t>
      </w:r>
      <w:r w:rsidRPr="00B027C2">
        <w:rPr>
          <w:rFonts w:asciiTheme="minorEastAsia" w:hAnsiTheme="minorEastAsia" w:hint="eastAsia"/>
          <w:kern w:val="22"/>
          <w:sz w:val="24"/>
          <w:lang w:eastAsia="zh-CN"/>
        </w:rPr>
        <w:t>，</w:t>
      </w:r>
      <w:r w:rsidRPr="00B027C2">
        <w:rPr>
          <w:rFonts w:asciiTheme="minorEastAsia" w:hAnsiTheme="minorEastAsia" w:hint="eastAsia"/>
          <w:kern w:val="22"/>
          <w:sz w:val="24"/>
          <w:lang w:val="zh-CN" w:eastAsia="zh-CN"/>
        </w:rPr>
        <w:t>并邀请</w:t>
      </w:r>
      <w:r>
        <w:rPr>
          <w:rFonts w:asciiTheme="minorEastAsia" w:hAnsiTheme="minorEastAsia" w:hint="eastAsia"/>
          <w:kern w:val="22"/>
          <w:sz w:val="24"/>
          <w:lang w:val="zh-CN" w:eastAsia="zh-CN"/>
        </w:rPr>
        <w:t>各国</w:t>
      </w:r>
      <w:r w:rsidRPr="00B027C2">
        <w:rPr>
          <w:rFonts w:asciiTheme="minorEastAsia" w:hAnsiTheme="minorEastAsia" w:hint="eastAsia"/>
          <w:kern w:val="22"/>
          <w:sz w:val="24"/>
          <w:lang w:val="zh-CN" w:eastAsia="zh-CN"/>
        </w:rPr>
        <w:t>政府和相关组织</w:t>
      </w:r>
      <w:r>
        <w:rPr>
          <w:rFonts w:asciiTheme="minorEastAsia" w:hAnsiTheme="minorEastAsia" w:hint="eastAsia"/>
          <w:kern w:val="22"/>
          <w:sz w:val="24"/>
          <w:lang w:val="zh-CN" w:eastAsia="zh-CN"/>
        </w:rPr>
        <w:t>在可能的情况下</w:t>
      </w:r>
      <w:r w:rsidRPr="00B027C2">
        <w:rPr>
          <w:rFonts w:asciiTheme="minorEastAsia" w:hAnsiTheme="minorEastAsia" w:hint="eastAsia"/>
          <w:kern w:val="22"/>
          <w:sz w:val="24"/>
          <w:lang w:val="zh-CN" w:eastAsia="zh-CN"/>
        </w:rPr>
        <w:t>提供技术和</w:t>
      </w:r>
      <w:r w:rsidRPr="00B027C2">
        <w:rPr>
          <w:rFonts w:asciiTheme="minorEastAsia" w:hAnsiTheme="minorEastAsia" w:cs="SimSun" w:hint="eastAsia"/>
          <w:kern w:val="22"/>
          <w:sz w:val="24"/>
          <w:lang w:val="zh-CN" w:eastAsia="zh-CN"/>
        </w:rPr>
        <w:t>财务</w:t>
      </w:r>
      <w:r w:rsidRPr="00B027C2">
        <w:rPr>
          <w:rFonts w:asciiTheme="minorEastAsia" w:hAnsiTheme="minorEastAsia" w:hint="eastAsia"/>
          <w:kern w:val="22"/>
          <w:sz w:val="24"/>
          <w:lang w:val="zh-CN" w:eastAsia="zh-CN"/>
        </w:rPr>
        <w:t>支持</w:t>
      </w:r>
      <w:r w:rsidRPr="00B027C2">
        <w:rPr>
          <w:rFonts w:asciiTheme="minorEastAsia" w:hAnsiTheme="minorEastAsia" w:hint="eastAsia"/>
          <w:kern w:val="22"/>
          <w:sz w:val="24"/>
          <w:lang w:eastAsia="zh-CN"/>
        </w:rPr>
        <w:t>；</w:t>
      </w:r>
    </w:p>
    <w:p w:rsidR="001F1AAC" w:rsidRDefault="001F1AAC" w:rsidP="001F1AAC">
      <w:pPr>
        <w:pStyle w:val="Para1"/>
        <w:numPr>
          <w:ilvl w:val="0"/>
          <w:numId w:val="262"/>
        </w:numPr>
        <w:tabs>
          <w:tab w:val="left" w:pos="1440"/>
        </w:tabs>
        <w:kinsoku w:val="0"/>
        <w:overflowPunct w:val="0"/>
        <w:autoSpaceDE w:val="0"/>
        <w:autoSpaceDN w:val="0"/>
        <w:ind w:left="0" w:firstLine="720"/>
        <w:rPr>
          <w:kern w:val="22"/>
          <w:sz w:val="24"/>
          <w:szCs w:val="24"/>
          <w:lang w:eastAsia="zh-CN"/>
        </w:rPr>
      </w:pPr>
      <w:r w:rsidRPr="00E90CCC">
        <w:rPr>
          <w:rFonts w:ascii="KaiTi" w:eastAsia="KaiTi" w:hAnsi="KaiTi" w:cs="SimSun" w:hint="eastAsia"/>
          <w:kern w:val="22"/>
          <w:sz w:val="24"/>
          <w:szCs w:val="24"/>
          <w:lang w:val="zh-CN" w:eastAsia="zh-CN"/>
        </w:rPr>
        <w:t>鼓励</w:t>
      </w:r>
      <w:r>
        <w:rPr>
          <w:rFonts w:ascii="SimSun" w:hAnsi="SimSun" w:cs="SimSun" w:hint="eastAsia"/>
          <w:kern w:val="22"/>
          <w:sz w:val="24"/>
          <w:szCs w:val="24"/>
          <w:lang w:eastAsia="zh-CN"/>
        </w:rPr>
        <w:t>各</w:t>
      </w:r>
      <w:r w:rsidRPr="00223F3B">
        <w:rPr>
          <w:rFonts w:ascii="SimSun" w:hAnsi="SimSun" w:cs="SimSun" w:hint="eastAsia"/>
          <w:kern w:val="22"/>
          <w:sz w:val="24"/>
          <w:szCs w:val="24"/>
          <w:lang w:val="zh-CN" w:eastAsia="zh-CN"/>
        </w:rPr>
        <w:t>缔约方</w:t>
      </w:r>
      <w:r>
        <w:rPr>
          <w:rFonts w:ascii="SimSun" w:hAnsi="SimSun" w:cs="SimSun" w:hint="eastAsia"/>
          <w:kern w:val="22"/>
          <w:sz w:val="24"/>
          <w:szCs w:val="24"/>
          <w:lang w:eastAsia="zh-CN"/>
        </w:rPr>
        <w:t>在讨论</w:t>
      </w:r>
      <w:r w:rsidRPr="00223F3B">
        <w:rPr>
          <w:kern w:val="22"/>
          <w:sz w:val="24"/>
          <w:szCs w:val="24"/>
          <w:lang w:eastAsia="zh-CN"/>
        </w:rPr>
        <w:t>2020</w:t>
      </w:r>
      <w:r w:rsidRPr="00223F3B">
        <w:rPr>
          <w:rFonts w:ascii="SimSun" w:hAnsi="SimSun" w:cs="SimSun" w:hint="eastAsia"/>
          <w:kern w:val="22"/>
          <w:sz w:val="24"/>
          <w:szCs w:val="24"/>
          <w:lang w:val="zh-CN" w:eastAsia="zh-CN"/>
        </w:rPr>
        <w:t>年后全球生物多样性框架</w:t>
      </w:r>
      <w:r>
        <w:rPr>
          <w:rFonts w:ascii="SimSun" w:hAnsi="SimSun" w:cs="SimSun" w:hint="eastAsia"/>
          <w:kern w:val="22"/>
          <w:sz w:val="24"/>
          <w:szCs w:val="24"/>
          <w:lang w:val="zh-CN" w:eastAsia="zh-CN"/>
        </w:rPr>
        <w:t>时</w:t>
      </w:r>
      <w:r w:rsidRPr="00223F3B">
        <w:rPr>
          <w:rFonts w:ascii="SimSun" w:hAnsi="SimSun" w:cs="SimSun" w:hint="eastAsia"/>
          <w:kern w:val="22"/>
          <w:sz w:val="24"/>
          <w:szCs w:val="24"/>
          <w:lang w:val="zh-CN" w:eastAsia="zh-CN"/>
        </w:rPr>
        <w:t>进一步考虑将获取和惠益分享</w:t>
      </w:r>
      <w:r>
        <w:rPr>
          <w:rFonts w:ascii="SimSun" w:hAnsi="SimSun" w:cs="SimSun" w:hint="eastAsia"/>
          <w:kern w:val="22"/>
          <w:sz w:val="24"/>
          <w:szCs w:val="24"/>
          <w:lang w:val="zh-CN" w:eastAsia="zh-CN"/>
        </w:rPr>
        <w:t>纳入</w:t>
      </w:r>
      <w:r w:rsidRPr="00223F3B">
        <w:rPr>
          <w:rFonts w:ascii="SimSun" w:hAnsi="SimSun" w:cs="SimSun" w:hint="eastAsia"/>
          <w:kern w:val="22"/>
          <w:sz w:val="24"/>
          <w:szCs w:val="24"/>
          <w:lang w:val="zh-CN" w:eastAsia="zh-CN"/>
        </w:rPr>
        <w:t>《公约》的其他工作领域</w:t>
      </w:r>
      <w:r w:rsidRPr="00223F3B">
        <w:rPr>
          <w:rFonts w:ascii="SimSun" w:hAnsi="SimSun" w:cs="SimSun" w:hint="eastAsia"/>
          <w:kern w:val="22"/>
          <w:sz w:val="24"/>
          <w:szCs w:val="24"/>
          <w:lang w:eastAsia="zh-CN"/>
        </w:rPr>
        <w:t>；</w:t>
      </w:r>
      <w:r>
        <w:rPr>
          <w:kern w:val="22"/>
          <w:sz w:val="24"/>
          <w:szCs w:val="24"/>
          <w:lang w:eastAsia="zh-CN"/>
        </w:rPr>
        <w:t xml:space="preserve"> </w:t>
      </w:r>
    </w:p>
    <w:p w:rsidR="001F1AAC" w:rsidRPr="00060486" w:rsidRDefault="001F1AAC" w:rsidP="001F1AAC">
      <w:pPr>
        <w:pStyle w:val="Para1"/>
        <w:numPr>
          <w:ilvl w:val="0"/>
          <w:numId w:val="262"/>
        </w:numPr>
        <w:tabs>
          <w:tab w:val="left" w:pos="1440"/>
        </w:tabs>
        <w:kinsoku w:val="0"/>
        <w:overflowPunct w:val="0"/>
        <w:autoSpaceDE w:val="0"/>
        <w:autoSpaceDN w:val="0"/>
        <w:ind w:left="0" w:firstLine="720"/>
        <w:rPr>
          <w:kern w:val="22"/>
          <w:sz w:val="24"/>
          <w:szCs w:val="24"/>
          <w:lang w:eastAsia="zh-CN"/>
        </w:rPr>
      </w:pPr>
      <w:r w:rsidRPr="00060486">
        <w:rPr>
          <w:rFonts w:ascii="KaiTi" w:eastAsia="KaiTi" w:hAnsi="KaiTi" w:cs="SimSun" w:hint="eastAsia"/>
          <w:kern w:val="22"/>
          <w:sz w:val="24"/>
          <w:szCs w:val="24"/>
          <w:lang w:val="zh-CN" w:eastAsia="zh-CN"/>
        </w:rPr>
        <w:t>请</w:t>
      </w:r>
      <w:r w:rsidRPr="00060486">
        <w:rPr>
          <w:rFonts w:ascii="SimSun" w:hAnsi="SimSun" w:cs="SimSun" w:hint="eastAsia"/>
          <w:kern w:val="22"/>
          <w:sz w:val="24"/>
          <w:szCs w:val="24"/>
          <w:lang w:val="zh-CN" w:eastAsia="zh-CN"/>
        </w:rPr>
        <w:t>执行秘书继续努力将获取和惠益分享，</w:t>
      </w:r>
      <w:r w:rsidRPr="00060486">
        <w:rPr>
          <w:rFonts w:asciiTheme="minorEastAsia" w:hAnsiTheme="minorEastAsia" w:cs="SimSun" w:hint="eastAsia"/>
          <w:kern w:val="22"/>
          <w:sz w:val="24"/>
          <w:szCs w:val="24"/>
          <w:lang w:val="zh-CN" w:eastAsia="zh-CN"/>
        </w:rPr>
        <w:t>包括与</w:t>
      </w:r>
      <w:r w:rsidRPr="00060486">
        <w:rPr>
          <w:rFonts w:ascii="SimSun" w:hAnsi="SimSun" w:cs="SimSun" w:hint="eastAsia"/>
          <w:kern w:val="22"/>
          <w:sz w:val="24"/>
          <w:szCs w:val="24"/>
          <w:lang w:eastAsia="zh-CN"/>
        </w:rPr>
        <w:t>土著人民和地方社区所持有遗传资源相关的传统知识相关的问题，</w:t>
      </w:r>
      <w:r w:rsidRPr="00060486">
        <w:rPr>
          <w:rFonts w:ascii="SimSun" w:hAnsi="SimSun" w:cs="SimSun" w:hint="eastAsia"/>
          <w:kern w:val="22"/>
          <w:sz w:val="24"/>
          <w:szCs w:val="24"/>
          <w:lang w:val="zh-CN" w:eastAsia="zh-CN"/>
        </w:rPr>
        <w:t>纳入整个秘书处的工作；</w:t>
      </w:r>
    </w:p>
    <w:p w:rsidR="001F1AAC" w:rsidRPr="00E90CCC" w:rsidRDefault="001F1AAC" w:rsidP="001F1AAC">
      <w:pPr>
        <w:pStyle w:val="Para1"/>
        <w:numPr>
          <w:ilvl w:val="0"/>
          <w:numId w:val="262"/>
        </w:numPr>
        <w:tabs>
          <w:tab w:val="left" w:pos="1440"/>
        </w:tabs>
        <w:kinsoku w:val="0"/>
        <w:overflowPunct w:val="0"/>
        <w:autoSpaceDE w:val="0"/>
        <w:autoSpaceDN w:val="0"/>
        <w:ind w:left="0" w:firstLine="720"/>
        <w:rPr>
          <w:kern w:val="22"/>
          <w:sz w:val="24"/>
          <w:szCs w:val="24"/>
          <w:lang w:eastAsia="zh-CN"/>
        </w:rPr>
      </w:pPr>
      <w:r>
        <w:rPr>
          <w:rFonts w:ascii="KaiTi" w:eastAsia="KaiTi" w:hAnsi="KaiTi" w:cs="SimSun" w:hint="eastAsia"/>
          <w:kern w:val="22"/>
          <w:sz w:val="24"/>
          <w:szCs w:val="24"/>
          <w:lang w:val="zh-CN" w:eastAsia="zh-CN"/>
        </w:rPr>
        <w:t>又</w:t>
      </w:r>
      <w:r w:rsidRPr="00E214FA">
        <w:rPr>
          <w:rFonts w:ascii="KaiTi" w:eastAsia="KaiTi" w:hAnsi="KaiTi" w:cs="SimSun" w:hint="eastAsia"/>
          <w:kern w:val="22"/>
          <w:sz w:val="24"/>
          <w:szCs w:val="24"/>
          <w:lang w:val="zh-CN" w:eastAsia="zh-CN"/>
        </w:rPr>
        <w:t>请</w:t>
      </w:r>
      <w:r w:rsidRPr="004422AF">
        <w:rPr>
          <w:rFonts w:ascii="SimSun" w:hAnsi="SimSun" w:cs="SimSun" w:hint="eastAsia"/>
          <w:kern w:val="22"/>
          <w:sz w:val="24"/>
          <w:szCs w:val="24"/>
          <w:lang w:val="zh-CN" w:eastAsia="zh-CN"/>
        </w:rPr>
        <w:t>执行秘书并</w:t>
      </w:r>
      <w:r w:rsidRPr="00D751DB">
        <w:rPr>
          <w:rFonts w:ascii="KaiTi" w:eastAsia="KaiTi" w:hAnsi="KaiTi" w:cs="SimSun" w:hint="eastAsia"/>
          <w:kern w:val="22"/>
          <w:sz w:val="24"/>
          <w:szCs w:val="24"/>
          <w:lang w:val="zh-CN" w:eastAsia="zh-CN"/>
        </w:rPr>
        <w:t>鼓励</w:t>
      </w:r>
      <w:r w:rsidRPr="004422AF">
        <w:rPr>
          <w:rFonts w:ascii="SimSun" w:hAnsi="SimSun" w:cs="SimSun" w:hint="eastAsia"/>
          <w:kern w:val="22"/>
          <w:sz w:val="24"/>
          <w:szCs w:val="24"/>
          <w:lang w:val="zh-CN" w:eastAsia="zh-CN"/>
        </w:rPr>
        <w:t>有能力的缔约方和相关组织支持</w:t>
      </w:r>
      <w:r>
        <w:rPr>
          <w:rFonts w:ascii="SimSun" w:hAnsi="SimSun" w:cs="SimSun" w:hint="eastAsia"/>
          <w:kern w:val="22"/>
          <w:sz w:val="24"/>
          <w:szCs w:val="24"/>
          <w:lang w:val="zh-CN" w:eastAsia="zh-CN"/>
        </w:rPr>
        <w:t>各</w:t>
      </w:r>
      <w:r w:rsidRPr="004422AF">
        <w:rPr>
          <w:rFonts w:ascii="SimSun" w:hAnsi="SimSun" w:cs="SimSun" w:hint="eastAsia"/>
          <w:kern w:val="22"/>
          <w:sz w:val="24"/>
          <w:szCs w:val="24"/>
          <w:lang w:val="zh-CN" w:eastAsia="zh-CN"/>
        </w:rPr>
        <w:t>缔约方努力</w:t>
      </w:r>
      <w:r w:rsidRPr="00E90CCC">
        <w:rPr>
          <w:rFonts w:ascii="SimSun" w:hAnsi="SimSun" w:cs="SimSun" w:hint="eastAsia"/>
          <w:kern w:val="22"/>
          <w:sz w:val="24"/>
          <w:szCs w:val="24"/>
          <w:lang w:val="zh-CN" w:eastAsia="zh-CN"/>
        </w:rPr>
        <w:t>将获取和惠益分享</w:t>
      </w:r>
      <w:r>
        <w:rPr>
          <w:rFonts w:ascii="SimSun" w:hAnsi="SimSun" w:cs="SimSun" w:hint="eastAsia"/>
          <w:kern w:val="22"/>
          <w:sz w:val="24"/>
          <w:szCs w:val="24"/>
          <w:lang w:val="zh-CN" w:eastAsia="zh-CN"/>
        </w:rPr>
        <w:t>纳入</w:t>
      </w:r>
      <w:r w:rsidRPr="004422AF">
        <w:rPr>
          <w:rFonts w:ascii="SimSun" w:hAnsi="SimSun" w:cs="SimSun" w:hint="eastAsia"/>
          <w:kern w:val="22"/>
          <w:sz w:val="24"/>
          <w:szCs w:val="24"/>
          <w:lang w:val="zh-CN" w:eastAsia="zh-CN"/>
        </w:rPr>
        <w:t>国家级各部门。</w:t>
      </w:r>
      <w:r>
        <w:rPr>
          <w:rFonts w:asciiTheme="minorEastAsia" w:hAnsiTheme="minorEastAsia" w:cs="SimSun" w:hint="eastAsia"/>
          <w:kern w:val="22"/>
          <w:sz w:val="24"/>
          <w:szCs w:val="24"/>
          <w:lang w:val="zh-CN" w:eastAsia="zh-CN"/>
        </w:rPr>
        <w:t xml:space="preserve"> </w:t>
      </w:r>
    </w:p>
    <w:p w:rsidR="001F1AAC" w:rsidRDefault="001F1AAC">
      <w:pPr>
        <w:rPr>
          <w:b/>
          <w:bCs/>
          <w:noProof/>
          <w:kern w:val="22"/>
          <w:szCs w:val="32"/>
          <w:lang w:eastAsia="zh-CN"/>
        </w:rPr>
      </w:pPr>
      <w:r>
        <w:rPr>
          <w:noProof/>
          <w:kern w:val="22"/>
          <w:lang w:eastAsia="zh-CN"/>
        </w:rPr>
        <w:br w:type="page"/>
      </w:r>
    </w:p>
    <w:p w:rsidR="001F1AAC" w:rsidRPr="001F1AAC" w:rsidRDefault="001F1AAC" w:rsidP="001F1AAC">
      <w:pPr>
        <w:pStyle w:val="Heading1"/>
        <w:spacing w:before="120" w:after="120"/>
        <w:ind w:left="2340" w:right="1569" w:hanging="900"/>
        <w:jc w:val="left"/>
        <w:rPr>
          <w:rFonts w:eastAsiaTheme="minorEastAsia" w:cs="Times New Roman"/>
          <w:noProof/>
          <w:kern w:val="22"/>
          <w:sz w:val="24"/>
          <w:lang w:eastAsia="zh-CN"/>
        </w:rPr>
      </w:pPr>
      <w:bookmarkStart w:id="226" w:name="_Toc6243793"/>
      <w:r w:rsidRPr="001F1AAC">
        <w:rPr>
          <w:rFonts w:eastAsiaTheme="minorEastAsia" w:cs="Times New Roman"/>
          <w:noProof/>
          <w:kern w:val="22"/>
          <w:sz w:val="24"/>
          <w:lang w:eastAsia="zh-CN"/>
        </w:rPr>
        <w:lastRenderedPageBreak/>
        <w:t>14/32.</w:t>
      </w:r>
      <w:r w:rsidRPr="001F1AAC">
        <w:rPr>
          <w:rFonts w:eastAsiaTheme="minorEastAsia" w:cs="Times New Roman"/>
          <w:noProof/>
          <w:kern w:val="22"/>
          <w:sz w:val="24"/>
          <w:lang w:eastAsia="zh-CN"/>
        </w:rPr>
        <w:tab/>
      </w:r>
      <w:r w:rsidRPr="001F1AAC">
        <w:rPr>
          <w:rFonts w:eastAsiaTheme="minorEastAsia" w:cs="Times New Roman"/>
          <w:noProof/>
          <w:kern w:val="22"/>
          <w:sz w:val="24"/>
          <w:lang w:eastAsia="zh-CN"/>
        </w:rPr>
        <w:t>审查同时举行公约缔约方大会、作为卡塔赫纳议定书缔约方会议的缔约方大会和作为名古屋议定书缔约方会议的缔约方大会会议的经验</w:t>
      </w:r>
      <w:bookmarkEnd w:id="226"/>
    </w:p>
    <w:p w:rsidR="001F1AAC" w:rsidRDefault="001F1AAC" w:rsidP="001F1AAC">
      <w:pPr>
        <w:pStyle w:val="Para1"/>
        <w:keepNext/>
        <w:keepLines/>
        <w:tabs>
          <w:tab w:val="clear" w:pos="360"/>
        </w:tabs>
        <w:spacing w:before="0" w:after="0"/>
        <w:rPr>
          <w:rFonts w:ascii="SimSun" w:hAnsi="SimSun"/>
          <w:sz w:val="24"/>
          <w:szCs w:val="24"/>
          <w:lang w:eastAsia="zh-CN"/>
        </w:rPr>
      </w:pPr>
      <w:r w:rsidRPr="005620FA">
        <w:rPr>
          <w:rFonts w:ascii="KaiTi" w:eastAsia="KaiTi" w:hAnsi="KaiTi" w:hint="eastAsia"/>
          <w:sz w:val="24"/>
          <w:szCs w:val="24"/>
          <w:lang w:eastAsia="zh-CN"/>
        </w:rPr>
        <w:t>缔约方大会</w:t>
      </w:r>
      <w:r w:rsidRPr="005620FA">
        <w:rPr>
          <w:rFonts w:ascii="SimSun" w:hAnsi="SimSun" w:hint="eastAsia"/>
          <w:sz w:val="24"/>
          <w:szCs w:val="24"/>
          <w:lang w:eastAsia="zh-CN"/>
        </w:rPr>
        <w:t>，</w:t>
      </w:r>
    </w:p>
    <w:p w:rsidR="001F1AAC" w:rsidRPr="00984C8C" w:rsidRDefault="001F1AAC" w:rsidP="001F1AAC">
      <w:pPr>
        <w:tabs>
          <w:tab w:val="left" w:pos="1440"/>
        </w:tabs>
        <w:adjustRightInd w:val="0"/>
        <w:rPr>
          <w:kern w:val="22"/>
          <w:lang w:eastAsia="zh-CN" w:bidi="th-TH"/>
        </w:rPr>
      </w:pPr>
      <w:r w:rsidRPr="007058C8">
        <w:rPr>
          <w:rFonts w:ascii="KaiTi" w:eastAsia="KaiTi" w:hAnsi="KaiTi" w:hint="eastAsia"/>
          <w:lang w:val="zh-CN" w:eastAsia="zh-CN" w:bidi="th-TH"/>
        </w:rPr>
        <w:t>回顾</w:t>
      </w:r>
      <w:r w:rsidRPr="009D655A">
        <w:rPr>
          <w:rFonts w:ascii="SimSun" w:hAnsi="SimSun" w:cs="SimSun" w:hint="eastAsia"/>
          <w:kern w:val="22"/>
          <w:lang w:val="zh-CN" w:eastAsia="zh-CN" w:bidi="th-TH"/>
        </w:rPr>
        <w:t>第</w:t>
      </w:r>
      <w:hyperlink r:id="rId88" w:history="1">
        <w:r w:rsidRPr="007058C8">
          <w:rPr>
            <w:rStyle w:val="Hyperlink"/>
            <w:kern w:val="22"/>
            <w:lang w:eastAsia="zh-CN"/>
          </w:rPr>
          <w:t>XII/27</w:t>
        </w:r>
      </w:hyperlink>
      <w:r w:rsidRPr="009D655A">
        <w:rPr>
          <w:rFonts w:ascii="SimSun" w:hAnsi="SimSun" w:cs="SimSun" w:hint="eastAsia"/>
          <w:kern w:val="22"/>
          <w:lang w:val="zh-CN" w:eastAsia="zh-CN" w:bidi="th-TH"/>
        </w:rPr>
        <w:t>号</w:t>
      </w:r>
      <w:r w:rsidRPr="00984C8C">
        <w:rPr>
          <w:rFonts w:ascii="SimSun" w:hAnsi="SimSun" w:cs="SimSun" w:hint="eastAsia"/>
          <w:lang w:val="zh-CN" w:eastAsia="zh-CN" w:bidi="th-TH"/>
        </w:rPr>
        <w:t>、</w:t>
      </w:r>
      <w:hyperlink r:id="rId89" w:history="1">
        <w:r w:rsidRPr="009D655A">
          <w:rPr>
            <w:rFonts w:ascii="SimSun" w:hAnsi="SimSun" w:cs="SimSun" w:hint="eastAsia"/>
            <w:kern w:val="22"/>
            <w:lang w:val="zh-CN" w:eastAsia="zh-CN" w:bidi="th-TH"/>
          </w:rPr>
          <w:t>第</w:t>
        </w:r>
        <w:r w:rsidRPr="007058C8">
          <w:rPr>
            <w:rStyle w:val="Hyperlink"/>
            <w:kern w:val="22"/>
            <w:lang w:eastAsia="zh-CN"/>
          </w:rPr>
          <w:t>XIII/26</w:t>
        </w:r>
      </w:hyperlink>
      <w:r w:rsidRPr="009D655A">
        <w:rPr>
          <w:rFonts w:ascii="SimSun" w:hAnsi="SimSun" w:cs="SimSun" w:hint="eastAsia"/>
          <w:kern w:val="22"/>
          <w:lang w:val="zh-CN" w:eastAsia="zh-CN" w:bidi="th-TH"/>
        </w:rPr>
        <w:t>号</w:t>
      </w:r>
      <w:r>
        <w:rPr>
          <w:rFonts w:ascii="SimSun" w:hAnsi="SimSun" w:cs="SimSun" w:hint="eastAsia"/>
          <w:lang w:val="zh-CN" w:eastAsia="zh-CN" w:bidi="th-TH"/>
        </w:rPr>
        <w:t>和</w:t>
      </w:r>
      <w:hyperlink r:id="rId90" w:history="1">
        <w:r w:rsidRPr="009D655A">
          <w:rPr>
            <w:rFonts w:ascii="SimSun" w:hAnsi="SimSun" w:cs="SimSun" w:hint="eastAsia"/>
            <w:kern w:val="22"/>
            <w:lang w:val="zh-CN" w:eastAsia="zh-CN" w:bidi="th-TH"/>
          </w:rPr>
          <w:t>第</w:t>
        </w:r>
        <w:r w:rsidRPr="007058C8">
          <w:rPr>
            <w:rStyle w:val="Hyperlink"/>
            <w:kern w:val="22"/>
            <w:lang w:eastAsia="zh-CN"/>
          </w:rPr>
          <w:t>XIII/33</w:t>
        </w:r>
      </w:hyperlink>
      <w:r w:rsidRPr="009D655A">
        <w:rPr>
          <w:rFonts w:ascii="SimSun" w:hAnsi="SimSun" w:cs="SimSun" w:hint="eastAsia"/>
          <w:kern w:val="22"/>
          <w:lang w:val="zh-CN" w:eastAsia="zh-CN" w:bidi="th-TH"/>
        </w:rPr>
        <w:t>号</w:t>
      </w:r>
      <w:r>
        <w:rPr>
          <w:rFonts w:ascii="SimSun" w:hAnsi="SimSun" w:cs="SimSun" w:hint="eastAsia"/>
          <w:lang w:eastAsia="zh-CN" w:bidi="th-TH"/>
        </w:rPr>
        <w:t>决定</w:t>
      </w:r>
      <w:r w:rsidRPr="00984C8C">
        <w:rPr>
          <w:rFonts w:ascii="SimSun" w:hAnsi="SimSun" w:cs="SimSun" w:hint="eastAsia"/>
          <w:lang w:eastAsia="zh-CN" w:bidi="th-TH"/>
        </w:rPr>
        <w:t>，</w:t>
      </w:r>
    </w:p>
    <w:p w:rsidR="001F1AAC" w:rsidRPr="009D655A" w:rsidRDefault="001F1AAC" w:rsidP="001F1AAC">
      <w:pPr>
        <w:tabs>
          <w:tab w:val="left" w:pos="1440"/>
        </w:tabs>
        <w:adjustRightInd w:val="0"/>
        <w:rPr>
          <w:rFonts w:ascii="KaiTi" w:eastAsia="KaiTi" w:hAnsi="KaiTi"/>
          <w:kern w:val="22"/>
          <w:lang w:val="zh-CN" w:eastAsia="zh-CN" w:bidi="th-TH"/>
        </w:rPr>
      </w:pPr>
      <w:bookmarkStart w:id="227" w:name="_Ref516065392"/>
      <w:bookmarkStart w:id="228" w:name="_Ref516065398"/>
      <w:r w:rsidRPr="009D655A">
        <w:rPr>
          <w:rFonts w:ascii="SimSun" w:hAnsi="SimSun" w:cs="SimSun" w:hint="eastAsia"/>
          <w:kern w:val="22"/>
          <w:lang w:val="zh-CN" w:eastAsia="zh-CN" w:bidi="th-TH"/>
        </w:rPr>
        <w:t>使用第</w:t>
      </w:r>
      <w:r w:rsidRPr="009D655A">
        <w:rPr>
          <w:kern w:val="22"/>
          <w:lang w:eastAsia="zh-CN" w:bidi="th-TH"/>
        </w:rPr>
        <w:t>XIII/26</w:t>
      </w:r>
      <w:r w:rsidRPr="009D655A">
        <w:rPr>
          <w:rFonts w:ascii="SimSun" w:hAnsi="SimSun" w:cs="SimSun" w:hint="eastAsia"/>
          <w:kern w:val="22"/>
          <w:lang w:val="zh-CN" w:eastAsia="zh-CN" w:bidi="th-TH"/>
        </w:rPr>
        <w:t>号决定所载</w:t>
      </w:r>
      <w:r>
        <w:rPr>
          <w:rFonts w:ascii="SimSun" w:hAnsi="SimSun" w:cs="SimSun" w:hint="eastAsia"/>
          <w:kern w:val="22"/>
          <w:lang w:val="zh-CN" w:eastAsia="zh-CN" w:bidi="th-TH"/>
        </w:rPr>
        <w:t>标准</w:t>
      </w:r>
      <w:r w:rsidRPr="009D655A">
        <w:rPr>
          <w:rFonts w:ascii="SimSun" w:hAnsi="SimSun" w:cs="SimSun" w:hint="eastAsia"/>
          <w:kern w:val="22"/>
          <w:lang w:eastAsia="zh-CN" w:bidi="th-TH"/>
        </w:rPr>
        <w:t>，</w:t>
      </w:r>
      <w:r w:rsidRPr="009D655A">
        <w:rPr>
          <w:rFonts w:ascii="KaiTi" w:eastAsia="KaiTi" w:hAnsi="KaiTi" w:hint="eastAsia"/>
          <w:kern w:val="22"/>
          <w:lang w:val="zh-CN" w:eastAsia="zh-CN" w:bidi="th-TH"/>
        </w:rPr>
        <w:t>审查了</w:t>
      </w:r>
      <w:r w:rsidRPr="009D655A">
        <w:rPr>
          <w:rFonts w:ascii="SimSun" w:hAnsi="SimSun" w:cs="SimSun" w:hint="eastAsia"/>
          <w:kern w:val="22"/>
          <w:lang w:val="zh-CN" w:eastAsia="zh-CN" w:bidi="th-TH"/>
        </w:rPr>
        <w:t>同时举行公约缔约方大会、作为卡塔赫纳议定书缔约方会议的缔约方大会</w:t>
      </w:r>
      <w:r>
        <w:rPr>
          <w:rFonts w:ascii="SimSun" w:hAnsi="SimSun" w:cs="SimSun" w:hint="eastAsia"/>
          <w:kern w:val="22"/>
          <w:lang w:val="zh-CN" w:eastAsia="zh-CN" w:bidi="th-TH"/>
        </w:rPr>
        <w:t>、</w:t>
      </w:r>
      <w:r w:rsidRPr="009D655A">
        <w:rPr>
          <w:rFonts w:ascii="SimSun" w:hAnsi="SimSun" w:cs="SimSun" w:hint="eastAsia"/>
          <w:kern w:val="22"/>
          <w:lang w:val="zh-CN" w:eastAsia="zh-CN" w:bidi="th-TH"/>
        </w:rPr>
        <w:t>作为名古屋议定书缔约方会议的缔约方大会会议的经验</w:t>
      </w:r>
      <w:r w:rsidRPr="009D655A">
        <w:rPr>
          <w:rFonts w:ascii="SimSun" w:hAnsi="SimSun" w:cs="SimSun" w:hint="eastAsia"/>
          <w:kern w:val="22"/>
          <w:lang w:eastAsia="zh-CN" w:bidi="th-TH"/>
        </w:rPr>
        <w:t>，</w:t>
      </w:r>
      <w:r w:rsidRPr="009D655A">
        <w:rPr>
          <w:rFonts w:ascii="SimSun" w:hAnsi="SimSun" w:cs="SimSun" w:hint="eastAsia"/>
          <w:kern w:val="22"/>
          <w:lang w:val="zh-CN" w:eastAsia="zh-CN" w:bidi="th-TH"/>
        </w:rPr>
        <w:t>并</w:t>
      </w:r>
      <w:r w:rsidRPr="009D655A">
        <w:rPr>
          <w:rFonts w:ascii="KaiTi" w:eastAsia="KaiTi" w:hAnsi="KaiTi" w:hint="eastAsia"/>
          <w:kern w:val="22"/>
          <w:lang w:val="zh-CN" w:eastAsia="zh-CN" w:bidi="th-TH"/>
        </w:rPr>
        <w:t>考虑到</w:t>
      </w:r>
      <w:r w:rsidRPr="009D655A">
        <w:rPr>
          <w:rFonts w:ascii="SimSun" w:hAnsi="SimSun" w:cs="SimSun" w:hint="eastAsia"/>
          <w:kern w:val="22"/>
          <w:lang w:val="zh-CN" w:eastAsia="zh-CN" w:bidi="th-TH"/>
        </w:rPr>
        <w:t>参加公约缔约方大会第十三届会议、作为卡塔赫纳议定书缔约方会议的缔约方大会第八次会议</w:t>
      </w:r>
      <w:r>
        <w:rPr>
          <w:rFonts w:ascii="SimSun" w:hAnsi="SimSun" w:cs="SimSun" w:hint="eastAsia"/>
          <w:kern w:val="22"/>
          <w:lang w:val="zh-CN" w:eastAsia="zh-CN" w:bidi="th-TH"/>
        </w:rPr>
        <w:t>、</w:t>
      </w:r>
      <w:r w:rsidRPr="009D655A">
        <w:rPr>
          <w:rFonts w:ascii="SimSun" w:hAnsi="SimSun" w:cs="SimSun" w:hint="eastAsia"/>
          <w:kern w:val="22"/>
          <w:lang w:val="zh-CN" w:eastAsia="zh-CN" w:bidi="th-TH"/>
        </w:rPr>
        <w:t>作为名古屋议定书缔约方会议的缔约方大会第二次会议的缔约方、观察员和与会人员的看法以及会后调查得到的意见</w:t>
      </w:r>
      <w:bookmarkEnd w:id="227"/>
      <w:bookmarkEnd w:id="228"/>
      <w:r w:rsidRPr="009D655A">
        <w:rPr>
          <w:rFonts w:ascii="SimSun" w:hAnsi="SimSun" w:cs="SimSun" w:hint="eastAsia"/>
          <w:kern w:val="22"/>
          <w:lang w:val="zh-CN" w:eastAsia="zh-CN" w:bidi="th-TH"/>
        </w:rPr>
        <w:t>，</w:t>
      </w:r>
    </w:p>
    <w:p w:rsidR="001F1AAC" w:rsidRPr="00984C8C" w:rsidRDefault="001F1AAC" w:rsidP="001F1AAC">
      <w:pPr>
        <w:tabs>
          <w:tab w:val="left" w:pos="1440"/>
        </w:tabs>
        <w:adjustRightInd w:val="0"/>
        <w:rPr>
          <w:kern w:val="22"/>
          <w:lang w:eastAsia="zh-CN" w:bidi="th-TH"/>
        </w:rPr>
      </w:pPr>
      <w:r>
        <w:rPr>
          <w:rFonts w:ascii="KaiTi" w:eastAsia="KaiTi" w:hAnsi="KaiTi" w:hint="eastAsia"/>
          <w:kern w:val="22"/>
          <w:lang w:val="zh-CN" w:eastAsia="zh-CN" w:bidi="th-TH"/>
        </w:rPr>
        <w:t>认识到</w:t>
      </w:r>
      <w:r w:rsidRPr="009D655A">
        <w:rPr>
          <w:rFonts w:ascii="SimSun" w:hAnsi="SimSun" w:cs="SimSun" w:hint="eastAsia"/>
          <w:kern w:val="22"/>
          <w:lang w:val="zh-CN" w:eastAsia="zh-CN" w:bidi="th-TH"/>
        </w:rPr>
        <w:t>将在</w:t>
      </w:r>
      <w:r w:rsidRPr="00984C8C">
        <w:rPr>
          <w:rFonts w:ascii="SimSun" w:hAnsi="SimSun" w:cs="SimSun" w:hint="eastAsia"/>
          <w:kern w:val="22"/>
          <w:lang w:val="zh-CN" w:eastAsia="zh-CN" w:bidi="th-TH"/>
        </w:rPr>
        <w:t>公约缔约方大会第十五届会议、作为卡塔赫纳议定书缔约方会议的缔约方大会第十次会议</w:t>
      </w:r>
      <w:r>
        <w:rPr>
          <w:rFonts w:ascii="SimSun" w:hAnsi="SimSun" w:cs="SimSun" w:hint="eastAsia"/>
          <w:kern w:val="22"/>
          <w:lang w:val="zh-CN" w:eastAsia="zh-CN" w:bidi="th-TH"/>
        </w:rPr>
        <w:t>、</w:t>
      </w:r>
      <w:r w:rsidRPr="00984C8C">
        <w:rPr>
          <w:rFonts w:ascii="SimSun" w:hAnsi="SimSun" w:cs="SimSun" w:hint="eastAsia"/>
          <w:kern w:val="22"/>
          <w:lang w:val="zh-CN" w:eastAsia="zh-CN" w:bidi="th-TH"/>
        </w:rPr>
        <w:t>作为名古屋议定书缔约方会议的缔约方大会第四次会议</w:t>
      </w:r>
      <w:r>
        <w:rPr>
          <w:rFonts w:ascii="SimSun" w:hAnsi="SimSun" w:cs="SimSun" w:hint="eastAsia"/>
          <w:kern w:val="22"/>
          <w:lang w:val="zh-CN" w:eastAsia="zh-CN" w:bidi="th-TH"/>
        </w:rPr>
        <w:t>上作</w:t>
      </w:r>
      <w:r w:rsidRPr="00984C8C">
        <w:rPr>
          <w:rFonts w:ascii="SimSun" w:hAnsi="SimSun" w:cs="SimSun" w:hint="eastAsia"/>
          <w:kern w:val="22"/>
          <w:lang w:val="zh-CN" w:eastAsia="zh-CN" w:bidi="th-TH"/>
        </w:rPr>
        <w:t>进一步</w:t>
      </w:r>
      <w:r>
        <w:rPr>
          <w:rFonts w:ascii="SimSun" w:hAnsi="SimSun" w:cs="SimSun" w:hint="eastAsia"/>
          <w:kern w:val="22"/>
          <w:lang w:val="zh-CN" w:eastAsia="zh-CN" w:bidi="th-TH"/>
        </w:rPr>
        <w:t>的</w:t>
      </w:r>
      <w:r w:rsidRPr="00984C8C">
        <w:rPr>
          <w:rFonts w:ascii="SimSun" w:hAnsi="SimSun" w:cs="SimSun" w:hint="eastAsia"/>
          <w:kern w:val="22"/>
          <w:lang w:val="zh-CN" w:eastAsia="zh-CN" w:bidi="th-TH"/>
        </w:rPr>
        <w:t>审查</w:t>
      </w:r>
      <w:r w:rsidRPr="00984C8C">
        <w:rPr>
          <w:rFonts w:ascii="SimSun" w:hAnsi="SimSun" w:cs="SimSun" w:hint="eastAsia"/>
          <w:kern w:val="22"/>
          <w:lang w:eastAsia="zh-CN" w:bidi="th-TH"/>
        </w:rPr>
        <w:t>，</w:t>
      </w:r>
    </w:p>
    <w:p w:rsidR="001F1AAC" w:rsidRPr="00984C8C" w:rsidRDefault="001F1AAC" w:rsidP="001F1AAC">
      <w:pPr>
        <w:numPr>
          <w:ilvl w:val="0"/>
          <w:numId w:val="263"/>
        </w:numPr>
        <w:tabs>
          <w:tab w:val="left" w:pos="1440"/>
        </w:tabs>
        <w:adjustRightInd w:val="0"/>
        <w:ind w:left="0" w:firstLine="720"/>
        <w:rPr>
          <w:kern w:val="22"/>
          <w:lang w:eastAsia="zh-CN" w:bidi="th-TH"/>
        </w:rPr>
      </w:pPr>
      <w:r w:rsidRPr="007058C8">
        <w:rPr>
          <w:rFonts w:ascii="KaiTi" w:eastAsia="KaiTi" w:hAnsi="KaiTi" w:hint="eastAsia"/>
          <w:kern w:val="22"/>
          <w:lang w:val="zh-CN" w:eastAsia="zh-CN" w:bidi="th-TH"/>
        </w:rPr>
        <w:t>满意地注意到</w:t>
      </w:r>
      <w:r>
        <w:rPr>
          <w:rFonts w:ascii="SimSun" w:hAnsi="SimSun" w:cs="SimSun" w:hint="eastAsia"/>
          <w:kern w:val="22"/>
          <w:lang w:val="zh-CN" w:eastAsia="zh-CN" w:bidi="th-TH"/>
        </w:rPr>
        <w:t>同时举行会议能够增强</w:t>
      </w:r>
      <w:r w:rsidRPr="00984C8C">
        <w:rPr>
          <w:rFonts w:ascii="SimSun" w:hAnsi="SimSun" w:cs="SimSun" w:hint="eastAsia"/>
          <w:kern w:val="22"/>
          <w:lang w:val="zh-CN" w:eastAsia="zh-CN" w:bidi="th-TH"/>
        </w:rPr>
        <w:t>《公约》及其《议定书》的</w:t>
      </w:r>
      <w:r>
        <w:rPr>
          <w:rFonts w:ascii="SimSun" w:hAnsi="SimSun" w:cs="SimSun" w:hint="eastAsia"/>
          <w:kern w:val="22"/>
          <w:lang w:val="zh-CN" w:eastAsia="zh-CN" w:bidi="th-TH"/>
        </w:rPr>
        <w:t>一体化和</w:t>
      </w:r>
      <w:r>
        <w:rPr>
          <w:rFonts w:ascii="SimSun" w:hAnsi="SimSun" w:cs="SimSun"/>
          <w:kern w:val="22"/>
          <w:lang w:val="zh-CN" w:eastAsia="zh-CN" w:bidi="th-TH"/>
        </w:rPr>
        <w:t>加强</w:t>
      </w:r>
      <w:r w:rsidRPr="00984C8C">
        <w:rPr>
          <w:rFonts w:ascii="SimSun" w:hAnsi="SimSun" w:cs="SimSun" w:hint="eastAsia"/>
          <w:kern w:val="22"/>
          <w:lang w:val="zh-CN" w:eastAsia="zh-CN" w:bidi="th-TH"/>
        </w:rPr>
        <w:t>各国家联络点之间的协商、协调和协同</w:t>
      </w:r>
      <w:r>
        <w:rPr>
          <w:rFonts w:ascii="SimSun" w:hAnsi="SimSun" w:cs="SimSun" w:hint="eastAsia"/>
          <w:kern w:val="22"/>
          <w:lang w:val="zh-CN" w:eastAsia="zh-CN" w:bidi="th-TH"/>
        </w:rPr>
        <w:t>作用</w:t>
      </w:r>
      <w:r w:rsidRPr="00984C8C">
        <w:rPr>
          <w:rFonts w:ascii="SimSun" w:hAnsi="SimSun" w:cs="SimSun" w:hint="eastAsia"/>
          <w:kern w:val="22"/>
          <w:lang w:eastAsia="zh-CN" w:bidi="th-TH"/>
        </w:rPr>
        <w:t>；</w:t>
      </w:r>
    </w:p>
    <w:p w:rsidR="001F1AAC" w:rsidRPr="00984C8C" w:rsidRDefault="001F1AAC" w:rsidP="001F1AAC">
      <w:pPr>
        <w:numPr>
          <w:ilvl w:val="0"/>
          <w:numId w:val="263"/>
        </w:numPr>
        <w:tabs>
          <w:tab w:val="left" w:pos="1440"/>
        </w:tabs>
        <w:adjustRightInd w:val="0"/>
        <w:ind w:left="0" w:firstLine="720"/>
        <w:rPr>
          <w:kern w:val="22"/>
          <w:lang w:eastAsia="zh-CN" w:bidi="th-TH"/>
        </w:rPr>
      </w:pPr>
      <w:r w:rsidRPr="007058C8">
        <w:rPr>
          <w:rFonts w:ascii="KaiTi" w:eastAsia="KaiTi" w:hAnsi="KaiTi" w:hint="eastAsia"/>
          <w:kern w:val="22"/>
          <w:lang w:val="zh-CN" w:eastAsia="zh-CN" w:bidi="th-TH"/>
        </w:rPr>
        <w:t>注意到</w:t>
      </w:r>
      <w:r w:rsidRPr="00984C8C">
        <w:rPr>
          <w:rFonts w:ascii="SimSun" w:hAnsi="SimSun" w:cs="SimSun" w:hint="eastAsia"/>
          <w:kern w:val="22"/>
          <w:lang w:val="zh-CN" w:eastAsia="zh-CN" w:bidi="th-TH"/>
        </w:rPr>
        <w:t>大多数</w:t>
      </w:r>
      <w:r>
        <w:rPr>
          <w:rFonts w:ascii="SimSun" w:hAnsi="SimSun" w:cs="SimSun" w:hint="eastAsia"/>
          <w:kern w:val="22"/>
          <w:lang w:val="zh-CN" w:eastAsia="zh-CN" w:bidi="th-TH"/>
        </w:rPr>
        <w:t>标准</w:t>
      </w:r>
      <w:r w:rsidRPr="00984C8C">
        <w:rPr>
          <w:rFonts w:ascii="SimSun" w:hAnsi="SimSun" w:cs="SimSun" w:hint="eastAsia"/>
          <w:kern w:val="22"/>
          <w:lang w:val="zh-CN" w:eastAsia="zh-CN" w:bidi="th-TH"/>
        </w:rPr>
        <w:t>被认为已经达到或部分达到</w:t>
      </w:r>
      <w:r w:rsidRPr="00984C8C">
        <w:rPr>
          <w:rFonts w:ascii="SimSun" w:hAnsi="SimSun" w:cs="SimSun" w:hint="eastAsia"/>
          <w:kern w:val="22"/>
          <w:lang w:eastAsia="zh-CN" w:bidi="th-TH"/>
        </w:rPr>
        <w:t>，</w:t>
      </w:r>
      <w:r w:rsidRPr="00984C8C">
        <w:rPr>
          <w:rFonts w:ascii="SimSun" w:hAnsi="SimSun" w:cs="SimSun" w:hint="eastAsia"/>
          <w:kern w:val="22"/>
          <w:lang w:val="zh-CN" w:eastAsia="zh-CN" w:bidi="th-TH"/>
        </w:rPr>
        <w:t>但同时举行会议的运作可进一步加以改进</w:t>
      </w:r>
      <w:r w:rsidRPr="00984C8C">
        <w:rPr>
          <w:rFonts w:ascii="SimSun" w:hAnsi="SimSun" w:cs="SimSun" w:hint="eastAsia"/>
          <w:kern w:val="22"/>
          <w:lang w:eastAsia="zh-CN" w:bidi="th-TH"/>
        </w:rPr>
        <w:t>，</w:t>
      </w:r>
      <w:r w:rsidRPr="00984C8C">
        <w:rPr>
          <w:rFonts w:ascii="SimSun" w:hAnsi="SimSun" w:cs="SimSun" w:hint="eastAsia"/>
          <w:kern w:val="22"/>
          <w:lang w:val="zh-CN" w:eastAsia="zh-CN" w:bidi="th-TH"/>
        </w:rPr>
        <w:t>特别是改进</w:t>
      </w:r>
      <w:r>
        <w:rPr>
          <w:rFonts w:ascii="SimSun" w:hAnsi="SimSun" w:cs="SimSun" w:hint="eastAsia"/>
          <w:kern w:val="22"/>
          <w:lang w:val="zh-CN" w:eastAsia="zh-CN" w:bidi="th-TH"/>
        </w:rPr>
        <w:t>各《</w:t>
      </w:r>
      <w:r w:rsidRPr="00984C8C">
        <w:rPr>
          <w:rFonts w:ascii="SimSun" w:hAnsi="SimSun" w:cs="SimSun" w:hint="eastAsia"/>
          <w:kern w:val="22"/>
          <w:lang w:val="zh-CN" w:eastAsia="zh-CN" w:bidi="th-TH"/>
        </w:rPr>
        <w:t>议定书</w:t>
      </w:r>
      <w:r>
        <w:rPr>
          <w:rFonts w:ascii="SimSun" w:hAnsi="SimSun" w:cs="SimSun" w:hint="eastAsia"/>
          <w:kern w:val="22"/>
          <w:lang w:val="zh-CN" w:eastAsia="zh-CN" w:bidi="th-TH"/>
        </w:rPr>
        <w:t>》缔约方</w:t>
      </w:r>
      <w:r w:rsidRPr="00984C8C">
        <w:rPr>
          <w:rFonts w:ascii="SimSun" w:hAnsi="SimSun" w:cs="SimSun" w:hint="eastAsia"/>
          <w:kern w:val="22"/>
          <w:lang w:val="zh-CN" w:eastAsia="zh-CN" w:bidi="th-TH"/>
        </w:rPr>
        <w:t>会议</w:t>
      </w:r>
      <w:r>
        <w:rPr>
          <w:rFonts w:ascii="SimSun" w:hAnsi="SimSun" w:cs="SimSun" w:hint="eastAsia"/>
          <w:kern w:val="22"/>
          <w:lang w:val="zh-CN" w:eastAsia="zh-CN" w:bidi="th-TH"/>
        </w:rPr>
        <w:t>的</w:t>
      </w:r>
      <w:r w:rsidRPr="00984C8C">
        <w:rPr>
          <w:rFonts w:ascii="SimSun" w:hAnsi="SimSun" w:cs="SimSun" w:hint="eastAsia"/>
          <w:kern w:val="22"/>
          <w:lang w:val="zh-CN" w:eastAsia="zh-CN" w:bidi="th-TH"/>
        </w:rPr>
        <w:t>成果和成效</w:t>
      </w:r>
      <w:r w:rsidRPr="00984C8C">
        <w:rPr>
          <w:rFonts w:ascii="SimSun" w:hAnsi="SimSun" w:cs="SimSun" w:hint="eastAsia"/>
          <w:kern w:val="22"/>
          <w:lang w:eastAsia="zh-CN" w:bidi="th-TH"/>
        </w:rPr>
        <w:t>；</w:t>
      </w:r>
    </w:p>
    <w:p w:rsidR="001F1AAC" w:rsidRPr="007C50F5" w:rsidRDefault="001F1AAC" w:rsidP="001F1AAC">
      <w:pPr>
        <w:numPr>
          <w:ilvl w:val="0"/>
          <w:numId w:val="263"/>
        </w:numPr>
        <w:tabs>
          <w:tab w:val="left" w:pos="1440"/>
        </w:tabs>
        <w:adjustRightInd w:val="0"/>
        <w:ind w:left="0" w:firstLine="720"/>
        <w:rPr>
          <w:kern w:val="22"/>
          <w:lang w:eastAsia="zh-CN" w:bidi="th-TH"/>
        </w:rPr>
      </w:pPr>
      <w:r w:rsidRPr="00AB6D2A">
        <w:rPr>
          <w:rFonts w:ascii="KaiTi" w:eastAsia="KaiTi" w:hAnsi="KaiTi" w:hint="eastAsia"/>
          <w:kern w:val="22"/>
          <w:lang w:val="zh-CN" w:eastAsia="zh-CN" w:bidi="th-TH"/>
        </w:rPr>
        <w:t>重申</w:t>
      </w:r>
      <w:r>
        <w:rPr>
          <w:rFonts w:ascii="SimSun" w:hAnsi="SimSun" w:cs="SimSun" w:hint="eastAsia"/>
          <w:kern w:val="22"/>
          <w:lang w:val="zh-CN" w:eastAsia="zh-CN" w:bidi="th-TH"/>
        </w:rPr>
        <w:t>必须</w:t>
      </w:r>
      <w:r w:rsidRPr="00984C8C">
        <w:rPr>
          <w:rFonts w:ascii="SimSun" w:hAnsi="SimSun" w:cs="SimSun" w:hint="eastAsia"/>
          <w:kern w:val="22"/>
          <w:lang w:val="zh-CN" w:eastAsia="zh-CN" w:bidi="th-TH"/>
        </w:rPr>
        <w:t>确保发展中国家缔约方</w:t>
      </w:r>
      <w:r>
        <w:rPr>
          <w:rFonts w:ascii="SimSun" w:hAnsi="SimSun" w:cs="SimSun" w:hint="eastAsia"/>
          <w:kern w:val="22"/>
          <w:lang w:val="zh-CN" w:eastAsia="zh-CN" w:bidi="th-TH"/>
        </w:rPr>
        <w:t>的</w:t>
      </w:r>
      <w:r w:rsidRPr="00984C8C">
        <w:rPr>
          <w:rFonts w:ascii="SimSun" w:hAnsi="SimSun" w:cs="SimSun" w:hint="eastAsia"/>
          <w:kern w:val="22"/>
          <w:lang w:val="zh-CN" w:eastAsia="zh-CN" w:bidi="th-TH"/>
        </w:rPr>
        <w:t>代表</w:t>
      </w:r>
      <w:r w:rsidRPr="00920F17">
        <w:rPr>
          <w:rFonts w:ascii="SimSun" w:hAnsi="SimSun" w:cs="SimSun" w:hint="eastAsia"/>
          <w:kern w:val="22"/>
          <w:lang w:val="zh-CN" w:eastAsia="zh-CN" w:bidi="th-TH"/>
        </w:rPr>
        <w:t>，</w:t>
      </w:r>
      <w:r w:rsidRPr="00984C8C">
        <w:rPr>
          <w:rFonts w:ascii="SimSun" w:hAnsi="SimSun" w:cs="SimSun" w:hint="eastAsia"/>
          <w:kern w:val="22"/>
          <w:lang w:val="zh-CN" w:eastAsia="zh-CN" w:bidi="th-TH"/>
        </w:rPr>
        <w:t>尤其是其中最不发达国家和小岛屿发展中国家以及经济转型国家缔约方的代表</w:t>
      </w:r>
      <w:r w:rsidRPr="00920F17">
        <w:rPr>
          <w:rFonts w:ascii="SimSun" w:hAnsi="SimSun" w:cs="SimSun" w:hint="eastAsia"/>
          <w:kern w:val="22"/>
          <w:lang w:val="zh-CN" w:eastAsia="zh-CN" w:bidi="th-TH"/>
        </w:rPr>
        <w:t>，</w:t>
      </w:r>
      <w:r w:rsidRPr="00984C8C">
        <w:rPr>
          <w:rFonts w:ascii="SimSun" w:hAnsi="SimSun" w:cs="SimSun" w:hint="eastAsia"/>
          <w:kern w:val="22"/>
          <w:lang w:val="zh-CN" w:eastAsia="zh-CN" w:bidi="th-TH"/>
        </w:rPr>
        <w:t>充分有效地参与同时举行的会议</w:t>
      </w:r>
      <w:r w:rsidRPr="00920F17">
        <w:rPr>
          <w:rFonts w:ascii="SimSun" w:hAnsi="SimSun" w:cs="SimSun" w:hint="eastAsia"/>
          <w:kern w:val="22"/>
          <w:lang w:val="zh-CN" w:eastAsia="zh-CN" w:bidi="th-TH"/>
        </w:rPr>
        <w:t>，</w:t>
      </w:r>
      <w:r w:rsidRPr="00984C8C">
        <w:rPr>
          <w:rFonts w:ascii="SimSun" w:hAnsi="SimSun" w:cs="SimSun" w:hint="eastAsia"/>
          <w:kern w:val="22"/>
          <w:lang w:val="zh-CN" w:eastAsia="zh-CN" w:bidi="th-TH"/>
        </w:rPr>
        <w:t>在这方面</w:t>
      </w:r>
      <w:r>
        <w:rPr>
          <w:rFonts w:ascii="SimSun" w:hAnsi="SimSun" w:cs="SimSun" w:hint="eastAsia"/>
          <w:kern w:val="22"/>
          <w:lang w:val="zh-CN" w:eastAsia="zh-CN" w:bidi="th-TH"/>
        </w:rPr>
        <w:t>，</w:t>
      </w:r>
      <w:r>
        <w:rPr>
          <w:rFonts w:ascii="SimSun" w:hAnsi="SimSun" w:cs="SimSun"/>
          <w:kern w:val="22"/>
          <w:lang w:val="zh-CN" w:eastAsia="zh-CN" w:bidi="th-TH"/>
        </w:rPr>
        <w:t>强调</w:t>
      </w:r>
      <w:r>
        <w:rPr>
          <w:rFonts w:ascii="SimSun" w:hAnsi="SimSun" w:cs="SimSun" w:hint="eastAsia"/>
          <w:kern w:val="22"/>
          <w:lang w:val="zh-CN" w:eastAsia="zh-CN" w:bidi="th-TH"/>
        </w:rPr>
        <w:t>必须</w:t>
      </w:r>
      <w:r w:rsidRPr="00984C8C">
        <w:rPr>
          <w:rFonts w:ascii="SimSun" w:hAnsi="SimSun" w:cs="SimSun" w:hint="eastAsia"/>
          <w:kern w:val="22"/>
          <w:lang w:val="zh-CN" w:eastAsia="zh-CN" w:bidi="th-TH"/>
        </w:rPr>
        <w:t>特别</w:t>
      </w:r>
      <w:r>
        <w:rPr>
          <w:rFonts w:ascii="SimSun" w:hAnsi="SimSun" w:cs="SimSun" w:hint="eastAsia"/>
          <w:kern w:val="22"/>
          <w:lang w:val="zh-CN" w:eastAsia="zh-CN" w:bidi="th-TH"/>
        </w:rPr>
        <w:t>为参加会议包括闭会期间会议提供资金，以</w:t>
      </w:r>
      <w:r w:rsidRPr="00984C8C">
        <w:rPr>
          <w:rFonts w:ascii="SimSun" w:hAnsi="SimSun" w:cs="SimSun" w:hint="eastAsia"/>
          <w:kern w:val="22"/>
          <w:lang w:val="zh-CN" w:eastAsia="zh-CN" w:bidi="th-TH"/>
        </w:rPr>
        <w:t>确保代表充分</w:t>
      </w:r>
      <w:r>
        <w:rPr>
          <w:rFonts w:ascii="SimSun" w:hAnsi="SimSun" w:cs="SimSun" w:hint="eastAsia"/>
          <w:kern w:val="22"/>
          <w:lang w:val="zh-CN" w:eastAsia="zh-CN" w:bidi="th-TH"/>
        </w:rPr>
        <w:t>参加《</w:t>
      </w:r>
      <w:r w:rsidRPr="00984C8C">
        <w:rPr>
          <w:rFonts w:ascii="SimSun" w:hAnsi="SimSun" w:cs="SimSun" w:hint="eastAsia"/>
          <w:kern w:val="22"/>
          <w:lang w:val="zh-CN" w:eastAsia="zh-CN" w:bidi="th-TH"/>
        </w:rPr>
        <w:t>议定书</w:t>
      </w:r>
      <w:r>
        <w:rPr>
          <w:rFonts w:ascii="SimSun" w:hAnsi="SimSun" w:cs="SimSun" w:hint="eastAsia"/>
          <w:kern w:val="22"/>
          <w:lang w:val="zh-CN" w:eastAsia="zh-CN" w:bidi="th-TH"/>
        </w:rPr>
        <w:t>》的</w:t>
      </w:r>
      <w:r w:rsidRPr="00984C8C">
        <w:rPr>
          <w:rFonts w:ascii="SimSun" w:hAnsi="SimSun" w:cs="SimSun" w:hint="eastAsia"/>
          <w:kern w:val="22"/>
          <w:lang w:val="zh-CN" w:eastAsia="zh-CN" w:bidi="th-TH"/>
        </w:rPr>
        <w:t>会议</w:t>
      </w:r>
      <w:r w:rsidRPr="00920F17">
        <w:rPr>
          <w:rFonts w:ascii="SimSun" w:hAnsi="SimSun" w:cs="SimSun" w:hint="eastAsia"/>
          <w:kern w:val="22"/>
          <w:lang w:val="zh-CN" w:eastAsia="zh-CN" w:bidi="th-TH"/>
        </w:rPr>
        <w:t>；</w:t>
      </w:r>
    </w:p>
    <w:p w:rsidR="001F1AAC" w:rsidRPr="00920F17" w:rsidRDefault="001F1AAC" w:rsidP="001F1AAC">
      <w:pPr>
        <w:numPr>
          <w:ilvl w:val="0"/>
          <w:numId w:val="263"/>
        </w:numPr>
        <w:tabs>
          <w:tab w:val="left" w:pos="1440"/>
        </w:tabs>
        <w:adjustRightInd w:val="0"/>
        <w:ind w:left="0" w:firstLine="720"/>
        <w:rPr>
          <w:rFonts w:ascii="SimSun" w:hAnsi="SimSun" w:cs="SimSun"/>
          <w:kern w:val="22"/>
          <w:lang w:val="zh-CN" w:eastAsia="zh-CN" w:bidi="th-TH"/>
        </w:rPr>
      </w:pPr>
      <w:bookmarkStart w:id="229" w:name="_Hlk530732359"/>
      <w:r w:rsidRPr="00920F17">
        <w:rPr>
          <w:rFonts w:ascii="KaiTi" w:eastAsia="KaiTi" w:hAnsi="KaiTi" w:hint="eastAsia"/>
          <w:kern w:val="22"/>
          <w:lang w:val="zh-CN" w:eastAsia="zh-CN" w:bidi="th-TH"/>
        </w:rPr>
        <w:t>请</w:t>
      </w:r>
      <w:r w:rsidRPr="00920F17">
        <w:rPr>
          <w:rFonts w:ascii="SimSun" w:hAnsi="SimSun" w:cs="SimSun" w:hint="eastAsia"/>
          <w:kern w:val="22"/>
          <w:lang w:val="zh-CN" w:eastAsia="zh-CN" w:bidi="th-TH"/>
        </w:rPr>
        <w:t>执行秘书根据同时举行缔约方大会第十四届会议、作为卡塔赫纳议定书缔约方会议的缔约方大会第九次会议和作为名古屋议定书缔约方会议的缔约方大会第三次会议的经验，利用第</w:t>
      </w:r>
      <w:r w:rsidRPr="001A6980">
        <w:rPr>
          <w:kern w:val="22"/>
          <w:lang w:val="zh-CN" w:eastAsia="zh-CN" w:bidi="th-TH"/>
        </w:rPr>
        <w:t>XIII/26</w:t>
      </w:r>
      <w:r w:rsidRPr="00920F17">
        <w:rPr>
          <w:rFonts w:ascii="SimSun" w:hAnsi="SimSun" w:cs="SimSun" w:hint="eastAsia"/>
          <w:kern w:val="22"/>
          <w:lang w:val="zh-CN" w:eastAsia="zh-CN" w:bidi="th-TH"/>
        </w:rPr>
        <w:t>号决定所述标准，</w:t>
      </w:r>
      <w:r>
        <w:rPr>
          <w:rFonts w:ascii="SimSun" w:hAnsi="SimSun" w:cs="SimSun" w:hint="eastAsia"/>
          <w:kern w:val="22"/>
          <w:lang w:val="zh-CN" w:eastAsia="zh-CN" w:bidi="th-TH"/>
        </w:rPr>
        <w:t>进一步</w:t>
      </w:r>
      <w:r>
        <w:rPr>
          <w:rFonts w:ascii="SimSun" w:hAnsi="SimSun" w:cs="SimSun"/>
          <w:kern w:val="22"/>
          <w:lang w:val="zh-CN" w:eastAsia="zh-CN" w:bidi="th-TH"/>
        </w:rPr>
        <w:t>拟定关于</w:t>
      </w:r>
      <w:r w:rsidRPr="00920F17">
        <w:rPr>
          <w:rFonts w:ascii="SimSun" w:hAnsi="SimSun" w:cs="SimSun" w:hint="eastAsia"/>
          <w:kern w:val="22"/>
          <w:lang w:val="zh-CN" w:eastAsia="zh-CN" w:bidi="th-TH"/>
        </w:rPr>
        <w:t>同时举行会议的经验</w:t>
      </w:r>
      <w:r>
        <w:rPr>
          <w:rFonts w:ascii="SimSun" w:hAnsi="SimSun" w:cs="SimSun" w:hint="eastAsia"/>
          <w:kern w:val="22"/>
          <w:lang w:val="zh-CN" w:eastAsia="zh-CN" w:bidi="th-TH"/>
        </w:rPr>
        <w:t>的初步</w:t>
      </w:r>
      <w:r w:rsidRPr="00920F17">
        <w:rPr>
          <w:rFonts w:ascii="SimSun" w:hAnsi="SimSun" w:cs="SimSun" w:hint="eastAsia"/>
          <w:kern w:val="22"/>
          <w:lang w:val="zh-CN" w:eastAsia="zh-CN" w:bidi="th-TH"/>
        </w:rPr>
        <w:t>审查，供执行问题附属机构第三次会议审议</w:t>
      </w:r>
      <w:bookmarkEnd w:id="229"/>
      <w:r w:rsidRPr="00920F17">
        <w:rPr>
          <w:rFonts w:ascii="SimSun" w:hAnsi="SimSun" w:cs="SimSun" w:hint="eastAsia"/>
          <w:kern w:val="22"/>
          <w:lang w:val="zh-CN" w:eastAsia="zh-CN" w:bidi="th-TH"/>
        </w:rPr>
        <w:t>；</w:t>
      </w:r>
    </w:p>
    <w:p w:rsidR="001F1AAC" w:rsidRPr="00920F17" w:rsidRDefault="001F1AAC" w:rsidP="001F1AAC">
      <w:pPr>
        <w:numPr>
          <w:ilvl w:val="0"/>
          <w:numId w:val="263"/>
        </w:numPr>
        <w:tabs>
          <w:tab w:val="left" w:pos="1440"/>
        </w:tabs>
        <w:adjustRightInd w:val="0"/>
        <w:ind w:left="0" w:firstLine="720"/>
        <w:rPr>
          <w:rFonts w:ascii="SimSun" w:hAnsi="SimSun" w:cs="SimSun"/>
          <w:kern w:val="22"/>
          <w:lang w:val="zh-CN" w:eastAsia="zh-CN" w:bidi="th-TH"/>
        </w:rPr>
      </w:pPr>
      <w:bookmarkStart w:id="230" w:name="_Hlk530732728"/>
      <w:r w:rsidRPr="00920F17">
        <w:rPr>
          <w:rFonts w:ascii="KaiTi" w:eastAsia="KaiTi" w:hAnsi="KaiTi" w:hint="eastAsia"/>
          <w:kern w:val="22"/>
          <w:lang w:val="zh-CN" w:eastAsia="zh-CN" w:bidi="th-TH"/>
        </w:rPr>
        <w:t>请</w:t>
      </w:r>
      <w:r w:rsidRPr="00920F17">
        <w:rPr>
          <w:rFonts w:ascii="SimSun" w:hAnsi="SimSun" w:cs="SimSun" w:hint="eastAsia"/>
          <w:kern w:val="22"/>
          <w:lang w:val="zh-CN" w:eastAsia="zh-CN" w:bidi="th-TH"/>
        </w:rPr>
        <w:t>主席团和执行秘书在拟定公约缔约方大会第十五届会议</w:t>
      </w:r>
      <w:r w:rsidRPr="00984C8C">
        <w:rPr>
          <w:rFonts w:ascii="SimSun" w:hAnsi="SimSun" w:cs="SimSun" w:hint="eastAsia"/>
          <w:kern w:val="22"/>
          <w:lang w:val="zh-CN" w:eastAsia="zh-CN" w:bidi="th-TH"/>
        </w:rPr>
        <w:t>、作为卡塔赫纳议定书缔约方会议的缔约方大会第十次会议</w:t>
      </w:r>
      <w:r>
        <w:rPr>
          <w:rFonts w:ascii="SimSun" w:hAnsi="SimSun" w:cs="SimSun" w:hint="eastAsia"/>
          <w:kern w:val="22"/>
          <w:lang w:val="zh-CN" w:eastAsia="zh-CN" w:bidi="th-TH"/>
        </w:rPr>
        <w:t>、</w:t>
      </w:r>
      <w:r w:rsidRPr="00984C8C">
        <w:rPr>
          <w:rFonts w:ascii="SimSun" w:hAnsi="SimSun" w:cs="SimSun" w:hint="eastAsia"/>
          <w:kern w:val="22"/>
          <w:lang w:val="zh-CN" w:eastAsia="zh-CN" w:bidi="th-TH"/>
        </w:rPr>
        <w:t>作为名古屋议定书缔约方会议的缔约方大会第四次会议的拟议工作安排时</w:t>
      </w:r>
      <w:r w:rsidRPr="00920F17">
        <w:rPr>
          <w:rFonts w:ascii="SimSun" w:hAnsi="SimSun" w:cs="SimSun" w:hint="eastAsia"/>
          <w:kern w:val="22"/>
          <w:lang w:val="zh-CN" w:eastAsia="zh-CN" w:bidi="th-TH"/>
        </w:rPr>
        <w:t>，</w:t>
      </w:r>
      <w:r w:rsidRPr="00984C8C">
        <w:rPr>
          <w:rFonts w:ascii="SimSun" w:hAnsi="SimSun" w:cs="SimSun" w:hint="eastAsia"/>
          <w:kern w:val="22"/>
          <w:lang w:val="zh-CN" w:eastAsia="zh-CN" w:bidi="th-TH"/>
        </w:rPr>
        <w:t>考虑到本决定</w:t>
      </w:r>
      <w:r>
        <w:rPr>
          <w:rFonts w:ascii="SimSun" w:hAnsi="SimSun" w:cs="SimSun" w:hint="eastAsia"/>
          <w:kern w:val="22"/>
          <w:lang w:val="zh-CN" w:eastAsia="zh-CN" w:bidi="th-TH"/>
        </w:rPr>
        <w:t>、</w:t>
      </w:r>
      <w:r w:rsidRPr="00984C8C">
        <w:rPr>
          <w:rFonts w:ascii="SimSun" w:hAnsi="SimSun" w:cs="SimSun" w:hint="eastAsia"/>
          <w:kern w:val="22"/>
          <w:lang w:val="zh-CN" w:eastAsia="zh-CN" w:bidi="th-TH"/>
        </w:rPr>
        <w:t>执行秘书的说明</w:t>
      </w:r>
      <w:r w:rsidRPr="00740CFD">
        <w:rPr>
          <w:kern w:val="22"/>
          <w:vertAlign w:val="superscript"/>
          <w:lang w:val="zh-CN" w:eastAsia="zh-CN" w:bidi="th-TH"/>
        </w:rPr>
        <w:footnoteReference w:id="302"/>
      </w:r>
      <w:r w:rsidRPr="00740CFD">
        <w:rPr>
          <w:kern w:val="22"/>
          <w:vertAlign w:val="superscript"/>
          <w:lang w:val="zh-CN" w:eastAsia="zh-CN" w:bidi="th-TH"/>
        </w:rPr>
        <w:t xml:space="preserve"> </w:t>
      </w:r>
      <w:r>
        <w:rPr>
          <w:rFonts w:ascii="SimSun" w:hAnsi="SimSun" w:cs="SimSun" w:hint="eastAsia"/>
          <w:kern w:val="22"/>
          <w:lang w:val="zh-CN" w:eastAsia="zh-CN" w:bidi="th-TH"/>
        </w:rPr>
        <w:t>中</w:t>
      </w:r>
      <w:r w:rsidRPr="00984C8C">
        <w:rPr>
          <w:rFonts w:ascii="SimSun" w:hAnsi="SimSun" w:cs="SimSun" w:hint="eastAsia"/>
          <w:kern w:val="22"/>
          <w:lang w:val="zh-CN" w:eastAsia="zh-CN" w:bidi="th-TH"/>
        </w:rPr>
        <w:t>所载信息</w:t>
      </w:r>
      <w:r>
        <w:rPr>
          <w:rFonts w:ascii="SimSun" w:hAnsi="SimSun" w:cs="SimSun" w:hint="eastAsia"/>
          <w:kern w:val="22"/>
          <w:lang w:val="zh-CN" w:eastAsia="zh-CN" w:bidi="th-TH"/>
        </w:rPr>
        <w:t>以及同时举行</w:t>
      </w:r>
      <w:r w:rsidRPr="00920F17">
        <w:rPr>
          <w:rFonts w:ascii="SimSun" w:hAnsi="SimSun" w:cs="SimSun" w:hint="eastAsia"/>
          <w:kern w:val="22"/>
          <w:lang w:val="zh-CN" w:eastAsia="zh-CN" w:bidi="th-TH"/>
        </w:rPr>
        <w:t>缔约方大会第十四届会议、作为卡塔赫纳议定书缔约方会议的缔约方大会第九次会议和作为名古屋议定书缔约方会议的缔约方大会第三次会议的经验</w:t>
      </w:r>
      <w:bookmarkEnd w:id="230"/>
      <w:r w:rsidRPr="00920F17">
        <w:rPr>
          <w:rFonts w:ascii="SimSun" w:hAnsi="SimSun" w:cs="SimSun" w:hint="eastAsia"/>
          <w:kern w:val="22"/>
          <w:lang w:val="zh-CN" w:eastAsia="zh-CN" w:bidi="th-TH"/>
        </w:rPr>
        <w:t>。</w:t>
      </w:r>
      <w:r>
        <w:rPr>
          <w:rFonts w:ascii="SimSun" w:hAnsi="SimSun" w:cs="SimSun" w:hint="eastAsia"/>
          <w:kern w:val="22"/>
          <w:lang w:val="zh-CN" w:eastAsia="zh-CN" w:bidi="th-TH"/>
        </w:rPr>
        <w:t xml:space="preserve"> </w:t>
      </w:r>
    </w:p>
    <w:p w:rsidR="001F1AAC" w:rsidRDefault="001F1AAC" w:rsidP="001F1AAC">
      <w:pPr>
        <w:suppressLineNumbers/>
        <w:suppressAutoHyphens/>
        <w:spacing w:after="200"/>
        <w:ind w:firstLine="0"/>
        <w:jc w:val="center"/>
        <w:rPr>
          <w:snapToGrid w:val="0"/>
          <w:kern w:val="22"/>
          <w:lang w:val="en-GB" w:eastAsia="zh-CN"/>
        </w:rPr>
      </w:pPr>
    </w:p>
    <w:p w:rsidR="001F1AAC" w:rsidRPr="0044481C" w:rsidRDefault="001F1AAC" w:rsidP="0044481C">
      <w:pPr>
        <w:pStyle w:val="Heading1"/>
        <w:spacing w:before="120" w:after="120"/>
        <w:rPr>
          <w:rFonts w:eastAsiaTheme="minorEastAsia" w:cs="Times New Roman"/>
          <w:noProof/>
          <w:kern w:val="22"/>
          <w:sz w:val="24"/>
          <w:lang w:eastAsia="zh-CN"/>
        </w:rPr>
      </w:pPr>
      <w:bookmarkStart w:id="231" w:name="_Toc6243794"/>
      <w:r w:rsidRPr="0044481C">
        <w:rPr>
          <w:rFonts w:eastAsiaTheme="minorEastAsia" w:cs="Times New Roman"/>
          <w:noProof/>
          <w:kern w:val="22"/>
          <w:sz w:val="24"/>
          <w:lang w:eastAsia="zh-CN"/>
        </w:rPr>
        <w:lastRenderedPageBreak/>
        <w:t>14/33.</w:t>
      </w:r>
      <w:r w:rsidRPr="0044481C">
        <w:rPr>
          <w:rFonts w:eastAsiaTheme="minorEastAsia" w:cs="Times New Roman"/>
          <w:noProof/>
          <w:kern w:val="22"/>
          <w:sz w:val="24"/>
          <w:lang w:eastAsia="zh-CN"/>
        </w:rPr>
        <w:tab/>
        <w:t xml:space="preserve">    </w:t>
      </w:r>
      <w:r w:rsidRPr="0044481C">
        <w:rPr>
          <w:rFonts w:eastAsiaTheme="minorEastAsia" w:cs="Times New Roman"/>
          <w:noProof/>
          <w:kern w:val="22"/>
          <w:sz w:val="24"/>
          <w:lang w:eastAsia="zh-CN"/>
        </w:rPr>
        <w:t>规避或管理专家组利益冲突的程序</w:t>
      </w:r>
      <w:bookmarkEnd w:id="231"/>
      <w:r w:rsidRPr="0044481C">
        <w:rPr>
          <w:rFonts w:eastAsiaTheme="minorEastAsia" w:cs="Times New Roman"/>
          <w:noProof/>
          <w:kern w:val="22"/>
          <w:sz w:val="24"/>
          <w:lang w:eastAsia="zh-CN"/>
        </w:rPr>
        <w:t xml:space="preserve"> </w:t>
      </w:r>
    </w:p>
    <w:p w:rsidR="001F1AAC" w:rsidRDefault="001F1AAC" w:rsidP="001F1AAC">
      <w:pPr>
        <w:pStyle w:val="Para1"/>
        <w:tabs>
          <w:tab w:val="clear" w:pos="360"/>
        </w:tabs>
        <w:rPr>
          <w:rFonts w:ascii="KaiTi" w:eastAsia="KaiTi" w:hAnsi="KaiTi"/>
          <w:kern w:val="22"/>
          <w:sz w:val="24"/>
          <w:szCs w:val="24"/>
          <w:lang w:val="zh-CN" w:eastAsia="zh-CN"/>
        </w:rPr>
      </w:pPr>
      <w:r w:rsidRPr="00E40630">
        <w:rPr>
          <w:rFonts w:ascii="KaiTi" w:eastAsia="KaiTi" w:hAnsi="KaiTi" w:hint="eastAsia"/>
          <w:kern w:val="22"/>
          <w:sz w:val="24"/>
          <w:szCs w:val="24"/>
          <w:lang w:val="zh-CN" w:eastAsia="zh-CN"/>
        </w:rPr>
        <w:t>缔约方大会</w:t>
      </w:r>
      <w:r>
        <w:rPr>
          <w:rFonts w:ascii="KaiTi" w:eastAsia="KaiTi" w:hAnsi="KaiTi" w:hint="eastAsia"/>
          <w:kern w:val="22"/>
          <w:sz w:val="24"/>
          <w:szCs w:val="24"/>
          <w:lang w:val="zh-CN" w:eastAsia="zh-CN"/>
        </w:rPr>
        <w:t>，</w:t>
      </w:r>
    </w:p>
    <w:p w:rsidR="001F1AAC" w:rsidRPr="00984C8C" w:rsidRDefault="001F1AAC" w:rsidP="001F1AAC">
      <w:pPr>
        <w:pStyle w:val="ListParagraph"/>
        <w:adjustRightInd w:val="0"/>
        <w:ind w:left="0"/>
        <w:rPr>
          <w:kern w:val="22"/>
          <w:lang w:eastAsia="zh-CN" w:bidi="th-TH"/>
        </w:rPr>
      </w:pPr>
      <w:r>
        <w:rPr>
          <w:rFonts w:ascii="KaiTi" w:eastAsia="KaiTi" w:hAnsi="KaiTi" w:hint="eastAsia"/>
          <w:kern w:val="22"/>
          <w:lang w:val="zh-CN" w:eastAsia="zh-CN" w:bidi="th-TH"/>
        </w:rPr>
        <w:t>认识到</w:t>
      </w:r>
      <w:r w:rsidRPr="00984C8C">
        <w:rPr>
          <w:rFonts w:eastAsia="Times New Roman" w:hAnsi="SimSun"/>
          <w:kern w:val="22"/>
          <w:lang w:val="zh-CN" w:eastAsia="zh-CN" w:bidi="th-TH"/>
        </w:rPr>
        <w:t>根据最好的专家意见作出决定极其重要</w:t>
      </w:r>
      <w:r w:rsidRPr="00984C8C">
        <w:rPr>
          <w:rFonts w:eastAsia="Times New Roman" w:hAnsi="SimSun"/>
          <w:kern w:val="22"/>
          <w:lang w:eastAsia="zh-CN" w:bidi="th-TH"/>
        </w:rPr>
        <w:t>，</w:t>
      </w:r>
    </w:p>
    <w:p w:rsidR="001F1AAC" w:rsidRPr="00984C8C" w:rsidRDefault="001F1AAC" w:rsidP="001F1AAC">
      <w:pPr>
        <w:pStyle w:val="ListParagraph"/>
        <w:adjustRightInd w:val="0"/>
        <w:ind w:left="0"/>
        <w:rPr>
          <w:kern w:val="22"/>
          <w:lang w:eastAsia="zh-CN" w:bidi="th-TH"/>
        </w:rPr>
      </w:pPr>
      <w:r>
        <w:rPr>
          <w:rFonts w:ascii="KaiTi" w:eastAsia="KaiTi" w:hAnsi="KaiTi" w:hint="eastAsia"/>
          <w:kern w:val="22"/>
          <w:lang w:val="zh-CN" w:eastAsia="zh-CN" w:bidi="th-TH"/>
        </w:rPr>
        <w:t>又认识到</w:t>
      </w:r>
      <w:r w:rsidRPr="00984C8C">
        <w:rPr>
          <w:rFonts w:eastAsia="Times New Roman" w:hAnsi="SimSun"/>
          <w:kern w:val="22"/>
          <w:lang w:val="zh-CN" w:eastAsia="zh-CN" w:bidi="th-TH"/>
        </w:rPr>
        <w:t>为拟定建议而设立的专家组成员</w:t>
      </w:r>
      <w:r>
        <w:rPr>
          <w:rFonts w:eastAsiaTheme="minorEastAsia" w:hAnsi="SimSun" w:hint="eastAsia"/>
          <w:kern w:val="22"/>
          <w:lang w:val="zh-CN" w:eastAsia="zh-CN" w:bidi="th-TH"/>
        </w:rPr>
        <w:t>有必要不时</w:t>
      </w:r>
      <w:r>
        <w:rPr>
          <w:rFonts w:eastAsiaTheme="minorEastAsia" w:hAnsi="SimSun"/>
          <w:kern w:val="22"/>
          <w:lang w:val="zh-CN" w:eastAsia="zh-CN" w:bidi="th-TH"/>
        </w:rPr>
        <w:t>地以</w:t>
      </w:r>
      <w:r>
        <w:rPr>
          <w:rFonts w:eastAsiaTheme="minorEastAsia" w:hAnsi="SimSun" w:hint="eastAsia"/>
          <w:kern w:val="22"/>
          <w:lang w:val="zh-CN" w:eastAsia="zh-CN" w:bidi="th-TH"/>
        </w:rPr>
        <w:t>透明</w:t>
      </w:r>
      <w:r>
        <w:rPr>
          <w:rFonts w:eastAsiaTheme="minorEastAsia" w:hAnsi="SimSun"/>
          <w:kern w:val="22"/>
          <w:lang w:val="zh-CN" w:eastAsia="zh-CN" w:bidi="th-TH"/>
        </w:rPr>
        <w:t>的方式</w:t>
      </w:r>
      <w:r>
        <w:rPr>
          <w:rFonts w:eastAsia="Times New Roman" w:hAnsi="SimSun"/>
          <w:kern w:val="22"/>
          <w:lang w:val="zh-CN" w:eastAsia="zh-CN" w:bidi="th-TH"/>
        </w:rPr>
        <w:t>规避</w:t>
      </w:r>
      <w:r>
        <w:rPr>
          <w:rFonts w:eastAsiaTheme="minorEastAsia" w:hAnsi="SimSun" w:hint="eastAsia"/>
          <w:kern w:val="22"/>
          <w:lang w:val="zh-CN" w:eastAsia="zh-CN" w:bidi="th-TH"/>
        </w:rPr>
        <w:t>或</w:t>
      </w:r>
      <w:r>
        <w:rPr>
          <w:rFonts w:eastAsiaTheme="minorEastAsia" w:hAnsi="SimSun"/>
          <w:kern w:val="22"/>
          <w:lang w:val="zh-CN" w:eastAsia="zh-CN" w:bidi="th-TH"/>
        </w:rPr>
        <w:t>管理</w:t>
      </w:r>
      <w:r w:rsidRPr="00984C8C">
        <w:rPr>
          <w:rFonts w:eastAsia="Times New Roman" w:hAnsi="SimSun"/>
          <w:kern w:val="22"/>
          <w:lang w:val="zh-CN" w:eastAsia="zh-CN" w:bidi="th-TH"/>
        </w:rPr>
        <w:t>利益冲突</w:t>
      </w:r>
      <w:r w:rsidRPr="00984C8C">
        <w:rPr>
          <w:rFonts w:eastAsia="Times New Roman" w:hAnsi="SimSun"/>
          <w:kern w:val="22"/>
          <w:lang w:eastAsia="zh-CN" w:bidi="th-TH"/>
        </w:rPr>
        <w:t>，</w:t>
      </w:r>
    </w:p>
    <w:p w:rsidR="001F1AAC" w:rsidRPr="00DE2DE2" w:rsidRDefault="001F1AAC" w:rsidP="001F1AAC">
      <w:pPr>
        <w:pStyle w:val="ListParagraph"/>
        <w:numPr>
          <w:ilvl w:val="0"/>
          <w:numId w:val="265"/>
        </w:numPr>
        <w:tabs>
          <w:tab w:val="left" w:pos="1440"/>
        </w:tabs>
        <w:adjustRightInd w:val="0"/>
        <w:ind w:left="0" w:firstLine="720"/>
        <w:rPr>
          <w:kern w:val="22"/>
          <w:lang w:eastAsia="zh-CN" w:bidi="th-TH"/>
        </w:rPr>
      </w:pPr>
      <w:r w:rsidRPr="00AB6D2A">
        <w:rPr>
          <w:rFonts w:ascii="KaiTi" w:eastAsia="KaiTi" w:hAnsi="KaiTi" w:hint="eastAsia"/>
          <w:kern w:val="22"/>
          <w:lang w:val="zh-CN" w:eastAsia="zh-CN" w:bidi="th-TH"/>
        </w:rPr>
        <w:t>核准</w:t>
      </w:r>
      <w:r w:rsidRPr="00984C8C">
        <w:rPr>
          <w:rFonts w:eastAsia="Times New Roman" w:hAnsi="SimSun"/>
          <w:kern w:val="22"/>
          <w:lang w:val="zh-CN" w:eastAsia="zh-CN" w:bidi="th-TH"/>
        </w:rPr>
        <w:t>本决定附件所载的</w:t>
      </w:r>
      <w:r>
        <w:rPr>
          <w:rFonts w:eastAsia="Times New Roman" w:hAnsi="SimSun"/>
          <w:kern w:val="22"/>
          <w:lang w:val="zh-CN" w:eastAsia="zh-CN" w:bidi="th-TH"/>
        </w:rPr>
        <w:t>规避</w:t>
      </w:r>
      <w:r w:rsidRPr="00984C8C">
        <w:rPr>
          <w:rFonts w:eastAsia="Times New Roman" w:hAnsi="SimSun"/>
          <w:kern w:val="22"/>
          <w:lang w:val="zh-CN" w:eastAsia="zh-CN" w:bidi="th-TH"/>
        </w:rPr>
        <w:t>或管理利益冲突的程序</w:t>
      </w:r>
      <w:r w:rsidRPr="00984C8C">
        <w:rPr>
          <w:rFonts w:eastAsia="Times New Roman" w:hAnsi="SimSun"/>
          <w:kern w:val="22"/>
          <w:lang w:eastAsia="zh-CN" w:bidi="th-TH"/>
        </w:rPr>
        <w:t>；</w:t>
      </w:r>
    </w:p>
    <w:p w:rsidR="001F1AAC" w:rsidRDefault="001F1AAC" w:rsidP="001F1AAC">
      <w:pPr>
        <w:pStyle w:val="ListParagraph"/>
        <w:numPr>
          <w:ilvl w:val="0"/>
          <w:numId w:val="265"/>
        </w:numPr>
        <w:tabs>
          <w:tab w:val="left" w:pos="1440"/>
        </w:tabs>
        <w:adjustRightInd w:val="0"/>
        <w:ind w:left="0" w:firstLine="720"/>
        <w:rPr>
          <w:rFonts w:hAnsi="SimSun"/>
          <w:kern w:val="22"/>
          <w:lang w:val="zh-CN" w:eastAsia="zh-CN" w:bidi="th-TH"/>
        </w:rPr>
      </w:pPr>
      <w:r w:rsidRPr="00AB6D2A">
        <w:rPr>
          <w:rFonts w:ascii="KaiTi" w:eastAsia="KaiTi" w:hAnsi="KaiTi" w:hint="eastAsia"/>
          <w:kern w:val="22"/>
          <w:lang w:val="zh-CN" w:eastAsia="zh-CN" w:bidi="th-TH"/>
        </w:rPr>
        <w:t>请</w:t>
      </w:r>
      <w:r w:rsidRPr="00984C8C">
        <w:rPr>
          <w:rFonts w:eastAsia="Times New Roman" w:hAnsi="SimSun"/>
          <w:kern w:val="22"/>
          <w:lang w:val="zh-CN" w:eastAsia="zh-CN" w:bidi="th-TH"/>
        </w:rPr>
        <w:t>执行秘书酌情与科学、技术和工艺咨询</w:t>
      </w:r>
      <w:r>
        <w:rPr>
          <w:rFonts w:eastAsia="Times New Roman" w:hAnsi="SimSun"/>
          <w:kern w:val="22"/>
          <w:lang w:val="zh-CN" w:eastAsia="zh-CN" w:bidi="th-TH"/>
        </w:rPr>
        <w:t>附属</w:t>
      </w:r>
      <w:r w:rsidRPr="00984C8C">
        <w:rPr>
          <w:rFonts w:eastAsia="Times New Roman" w:hAnsi="SimSun"/>
          <w:kern w:val="22"/>
          <w:lang w:val="zh-CN" w:eastAsia="zh-CN" w:bidi="th-TH"/>
        </w:rPr>
        <w:t>机构主席团或缔约方大会</w:t>
      </w:r>
      <w:r>
        <w:rPr>
          <w:rFonts w:eastAsia="Times New Roman" w:hAnsi="SimSun"/>
          <w:kern w:val="22"/>
          <w:lang w:val="zh-CN" w:eastAsia="zh-CN" w:bidi="th-TH"/>
        </w:rPr>
        <w:t>主席团协商</w:t>
      </w:r>
      <w:r>
        <w:rPr>
          <w:rFonts w:eastAsia="Times New Roman" w:hAnsi="SimSun"/>
          <w:kern w:val="22"/>
          <w:lang w:eastAsia="zh-CN" w:bidi="th-TH"/>
        </w:rPr>
        <w:t>，</w:t>
      </w:r>
      <w:r>
        <w:rPr>
          <w:rFonts w:eastAsia="Times New Roman" w:hAnsi="SimSun"/>
          <w:kern w:val="22"/>
          <w:lang w:val="zh-CN" w:eastAsia="zh-CN" w:bidi="th-TH"/>
        </w:rPr>
        <w:t>确保</w:t>
      </w:r>
      <w:r>
        <w:rPr>
          <w:rFonts w:eastAsia="Times New Roman" w:hAnsi="SimSun"/>
          <w:kern w:val="22"/>
          <w:lang w:eastAsia="zh-CN" w:bidi="th-TH"/>
        </w:rPr>
        <w:t>执行本决定</w:t>
      </w:r>
      <w:r>
        <w:rPr>
          <w:rFonts w:eastAsiaTheme="minorEastAsia" w:hAnsi="SimSun" w:hint="eastAsia"/>
          <w:kern w:val="22"/>
          <w:lang w:eastAsia="zh-CN" w:bidi="th-TH"/>
        </w:rPr>
        <w:t>附件</w:t>
      </w:r>
      <w:r>
        <w:rPr>
          <w:rFonts w:eastAsiaTheme="minorEastAsia" w:hAnsi="SimSun"/>
          <w:kern w:val="22"/>
          <w:lang w:eastAsia="zh-CN" w:bidi="th-TH"/>
        </w:rPr>
        <w:t>中所载</w:t>
      </w:r>
      <w:r>
        <w:rPr>
          <w:rFonts w:asciiTheme="minorEastAsia" w:eastAsiaTheme="minorEastAsia" w:hAnsiTheme="minorEastAsia" w:hint="eastAsia"/>
          <w:kern w:val="22"/>
          <w:lang w:eastAsia="zh-CN" w:bidi="th-TH"/>
        </w:rPr>
        <w:t>《</w:t>
      </w:r>
      <w:r>
        <w:rPr>
          <w:rFonts w:eastAsia="Times New Roman" w:hAnsi="SimSun"/>
          <w:kern w:val="22"/>
          <w:lang w:eastAsia="zh-CN" w:bidi="th-TH"/>
        </w:rPr>
        <w:t>规避或</w:t>
      </w:r>
      <w:r>
        <w:rPr>
          <w:rFonts w:eastAsia="Times New Roman" w:hAnsi="SimSun"/>
          <w:kern w:val="22"/>
          <w:lang w:val="zh-CN" w:eastAsia="zh-CN" w:bidi="th-TH"/>
        </w:rPr>
        <w:t>管理技术专家组利益冲突的程序</w:t>
      </w:r>
      <w:r>
        <w:rPr>
          <w:rFonts w:asciiTheme="minorEastAsia" w:eastAsiaTheme="minorEastAsia" w:hAnsiTheme="minorEastAsia" w:hint="eastAsia"/>
          <w:kern w:val="22"/>
          <w:lang w:val="zh-CN" w:eastAsia="zh-CN" w:bidi="th-TH"/>
        </w:rPr>
        <w:t>》</w:t>
      </w:r>
      <w:r>
        <w:rPr>
          <w:rFonts w:eastAsia="Times New Roman" w:hAnsi="SimSun"/>
          <w:kern w:val="22"/>
          <w:lang w:val="zh-CN" w:eastAsia="zh-CN" w:bidi="th-TH"/>
        </w:rPr>
        <w:t>；</w:t>
      </w:r>
    </w:p>
    <w:p w:rsidR="001F1AAC" w:rsidRPr="00326911" w:rsidRDefault="001F1AAC" w:rsidP="001F1AAC">
      <w:pPr>
        <w:pStyle w:val="ListParagraph"/>
        <w:numPr>
          <w:ilvl w:val="0"/>
          <w:numId w:val="265"/>
        </w:numPr>
        <w:tabs>
          <w:tab w:val="left" w:pos="1440"/>
        </w:tabs>
        <w:adjustRightInd w:val="0"/>
        <w:ind w:left="0" w:firstLine="720"/>
        <w:rPr>
          <w:kern w:val="22"/>
          <w:lang w:eastAsia="zh-CN"/>
        </w:rPr>
      </w:pPr>
      <w:r w:rsidRPr="00097144">
        <w:rPr>
          <w:rFonts w:ascii="KaiTi" w:eastAsia="KaiTi" w:hAnsi="KaiTi" w:hint="eastAsia"/>
          <w:kern w:val="22"/>
          <w:lang w:val="zh-CN" w:eastAsia="zh-CN" w:bidi="th-TH"/>
        </w:rPr>
        <w:t>又请</w:t>
      </w:r>
      <w:r>
        <w:rPr>
          <w:rFonts w:hint="eastAsia"/>
          <w:kern w:val="22"/>
          <w:lang w:eastAsia="zh-CN"/>
        </w:rPr>
        <w:t>执行秘书编制一份报告，说明：</w:t>
      </w:r>
      <w:r w:rsidRPr="00326911">
        <w:rPr>
          <w:kern w:val="22"/>
          <w:lang w:eastAsia="zh-CN"/>
        </w:rPr>
        <w:t xml:space="preserve">(a) </w:t>
      </w:r>
      <w:r>
        <w:rPr>
          <w:rFonts w:hint="eastAsia"/>
          <w:kern w:val="22"/>
          <w:lang w:eastAsia="zh-CN"/>
        </w:rPr>
        <w:t>该程序的执行情况；</w:t>
      </w:r>
      <w:r w:rsidRPr="00326911">
        <w:rPr>
          <w:kern w:val="22"/>
          <w:lang w:eastAsia="zh-CN"/>
        </w:rPr>
        <w:t xml:space="preserve">(b) </w:t>
      </w:r>
      <w:r>
        <w:rPr>
          <w:rFonts w:hint="eastAsia"/>
          <w:kern w:val="22"/>
          <w:lang w:eastAsia="zh-CN"/>
        </w:rPr>
        <w:t>其他多边环境协定、政府间倡议或组织在规避或管理利益冲突方面的相关发展情况，并在适当情况下在缔约方大会第十六届会议之前的一次会议上，提出关于更新和修订目前程序的建议供执行问题附属机构审议；</w:t>
      </w:r>
      <w:r w:rsidRPr="00326911">
        <w:rPr>
          <w:kern w:val="22"/>
          <w:lang w:eastAsia="zh-CN"/>
        </w:rPr>
        <w:t xml:space="preserve"> </w:t>
      </w:r>
    </w:p>
    <w:p w:rsidR="001F1AAC" w:rsidRPr="00984C8C" w:rsidRDefault="001F1AAC" w:rsidP="001F1AAC">
      <w:pPr>
        <w:pStyle w:val="ListParagraph"/>
        <w:numPr>
          <w:ilvl w:val="0"/>
          <w:numId w:val="265"/>
        </w:numPr>
        <w:tabs>
          <w:tab w:val="left" w:pos="1440"/>
        </w:tabs>
        <w:adjustRightInd w:val="0"/>
        <w:ind w:left="0" w:firstLine="720"/>
        <w:rPr>
          <w:kern w:val="22"/>
          <w:lang w:eastAsia="zh-CN" w:bidi="th-TH"/>
        </w:rPr>
      </w:pPr>
      <w:r w:rsidRPr="00097144">
        <w:rPr>
          <w:rFonts w:ascii="KaiTi" w:eastAsia="KaiTi" w:hAnsi="KaiTi" w:hint="eastAsia"/>
          <w:kern w:val="22"/>
          <w:lang w:val="zh-CN" w:eastAsia="zh-CN" w:bidi="th-TH"/>
        </w:rPr>
        <w:t>请</w:t>
      </w:r>
      <w:r>
        <w:rPr>
          <w:rFonts w:hint="eastAsia"/>
          <w:kern w:val="22"/>
          <w:lang w:eastAsia="zh-CN"/>
        </w:rPr>
        <w:t>执行问题附属机构审议上文第</w:t>
      </w:r>
      <w:r>
        <w:rPr>
          <w:kern w:val="22"/>
          <w:lang w:eastAsia="zh-CN"/>
        </w:rPr>
        <w:t>3</w:t>
      </w:r>
      <w:r>
        <w:rPr>
          <w:rFonts w:hint="eastAsia"/>
          <w:kern w:val="22"/>
          <w:lang w:eastAsia="zh-CN"/>
        </w:rPr>
        <w:t>段中提及的报告，并酌情提出建议供缔约方大会第十六届会议审议。</w:t>
      </w:r>
    </w:p>
    <w:p w:rsidR="001F1AAC" w:rsidRPr="00B44417" w:rsidRDefault="001F1AAC" w:rsidP="0044481C">
      <w:pPr>
        <w:ind w:firstLine="0"/>
        <w:jc w:val="center"/>
        <w:rPr>
          <w:rFonts w:ascii="KaiTi" w:eastAsia="KaiTi" w:hAnsi="KaiTi"/>
          <w:kern w:val="22"/>
          <w:lang w:eastAsia="zh-CN" w:bidi="th-TH"/>
        </w:rPr>
      </w:pPr>
      <w:r w:rsidRPr="00B44417">
        <w:rPr>
          <w:rFonts w:ascii="KaiTi" w:eastAsia="KaiTi" w:hAnsi="KaiTi" w:hint="eastAsia"/>
          <w:kern w:val="22"/>
          <w:lang w:val="zh-CN" w:eastAsia="zh-CN" w:bidi="th-TH"/>
        </w:rPr>
        <w:t>附件</w:t>
      </w:r>
    </w:p>
    <w:p w:rsidR="001F1AAC" w:rsidRPr="00FC1220" w:rsidRDefault="001F1AAC" w:rsidP="0044481C">
      <w:pPr>
        <w:pStyle w:val="Heading1"/>
        <w:shd w:val="clear" w:color="auto" w:fill="FFFFFF"/>
        <w:spacing w:before="120" w:after="120"/>
        <w:ind w:firstLine="0"/>
        <w:rPr>
          <w:kern w:val="22"/>
          <w:sz w:val="24"/>
          <w:lang w:eastAsia="zh-CN" w:bidi="th-TH"/>
        </w:rPr>
      </w:pPr>
      <w:bookmarkStart w:id="232" w:name="_Toc6243795"/>
      <w:r>
        <w:rPr>
          <w:rFonts w:eastAsia="Times New Roman" w:hAnsi="SimSun"/>
          <w:kern w:val="22"/>
          <w:sz w:val="24"/>
          <w:lang w:val="zh-CN" w:eastAsia="zh-CN" w:bidi="th-TH"/>
        </w:rPr>
        <w:t>规避</w:t>
      </w:r>
      <w:r w:rsidRPr="00FC1220">
        <w:rPr>
          <w:rFonts w:eastAsia="Times New Roman" w:hAnsi="SimSun"/>
          <w:kern w:val="22"/>
          <w:sz w:val="24"/>
          <w:lang w:val="zh-CN" w:eastAsia="zh-CN" w:bidi="th-TH"/>
        </w:rPr>
        <w:t>或管理利益冲突的程序</w:t>
      </w:r>
      <w:bookmarkEnd w:id="232"/>
    </w:p>
    <w:p w:rsidR="001F1AAC" w:rsidRPr="00416C71" w:rsidRDefault="001F1AAC" w:rsidP="0044481C">
      <w:pPr>
        <w:keepNext/>
        <w:shd w:val="clear" w:color="auto" w:fill="FFFFFF"/>
        <w:adjustRightInd w:val="0"/>
        <w:ind w:firstLine="0"/>
        <w:rPr>
          <w:b/>
          <w:kern w:val="22"/>
          <w:lang w:bidi="th-TH"/>
        </w:rPr>
      </w:pPr>
      <w:r w:rsidRPr="00416C71">
        <w:rPr>
          <w:rFonts w:eastAsia="Times New Roman" w:hAnsi="SimSun"/>
          <w:b/>
          <w:kern w:val="22"/>
          <w:lang w:val="zh-CN" w:bidi="th-TH"/>
        </w:rPr>
        <w:t xml:space="preserve">1.     </w:t>
      </w:r>
      <w:r>
        <w:rPr>
          <w:rFonts w:eastAsia="Times New Roman" w:hAnsi="SimSun"/>
          <w:b/>
          <w:kern w:val="22"/>
          <w:lang w:val="zh-CN" w:bidi="th-TH"/>
        </w:rPr>
        <w:t xml:space="preserve"> </w:t>
      </w:r>
      <w:r w:rsidRPr="00416C71">
        <w:rPr>
          <w:rFonts w:eastAsia="Times New Roman" w:hAnsi="SimSun"/>
          <w:b/>
          <w:kern w:val="22"/>
          <w:lang w:val="zh-CN" w:bidi="th-TH"/>
        </w:rPr>
        <w:t xml:space="preserve"> </w:t>
      </w:r>
      <w:r>
        <w:rPr>
          <w:rFonts w:eastAsia="Times New Roman" w:hAnsi="SimSun"/>
          <w:b/>
          <w:kern w:val="22"/>
          <w:lang w:val="zh-CN" w:bidi="th-TH"/>
        </w:rPr>
        <w:t xml:space="preserve">  </w:t>
      </w:r>
      <w:r w:rsidRPr="00416C71">
        <w:rPr>
          <w:rFonts w:eastAsia="Times New Roman" w:hAnsi="SimSun"/>
          <w:b/>
          <w:kern w:val="22"/>
          <w:lang w:val="zh-CN" w:bidi="th-TH"/>
        </w:rPr>
        <w:t>目的和范围</w:t>
      </w:r>
    </w:p>
    <w:p w:rsidR="001F1AAC" w:rsidRPr="00984C8C" w:rsidRDefault="001F1AAC" w:rsidP="001F1AAC">
      <w:pPr>
        <w:pStyle w:val="ListParagraph"/>
        <w:numPr>
          <w:ilvl w:val="1"/>
          <w:numId w:val="264"/>
        </w:numPr>
        <w:shd w:val="clear" w:color="auto" w:fill="FFFFFF"/>
        <w:rPr>
          <w:kern w:val="22"/>
          <w:lang w:eastAsia="zh-CN" w:bidi="th-TH"/>
        </w:rPr>
      </w:pPr>
      <w:r>
        <w:rPr>
          <w:rFonts w:eastAsia="Times New Roman" w:hAnsi="SimSun"/>
          <w:lang w:eastAsia="zh-CN" w:bidi="th-TH"/>
        </w:rPr>
        <w:t>本</w:t>
      </w:r>
      <w:r>
        <w:rPr>
          <w:rFonts w:eastAsia="Times New Roman" w:hAnsi="SimSun"/>
          <w:lang w:val="zh-CN" w:eastAsia="zh-CN" w:bidi="th-TH"/>
        </w:rPr>
        <w:t>程序的目的是提高透明度和协助</w:t>
      </w:r>
      <w:r w:rsidRPr="00984C8C">
        <w:rPr>
          <w:rFonts w:eastAsia="Times New Roman" w:hAnsi="SimSun"/>
          <w:lang w:val="zh-CN" w:eastAsia="zh-CN" w:bidi="th-TH"/>
        </w:rPr>
        <w:t>确保</w:t>
      </w:r>
      <w:r>
        <w:rPr>
          <w:rFonts w:eastAsia="Times New Roman" w:hAnsi="SimSun"/>
          <w:lang w:val="zh-CN" w:eastAsia="zh-CN" w:bidi="th-TH"/>
        </w:rPr>
        <w:t>诸如</w:t>
      </w:r>
      <w:r w:rsidRPr="00984C8C">
        <w:rPr>
          <w:rFonts w:eastAsia="Times New Roman" w:hAnsi="SimSun"/>
          <w:lang w:val="zh-CN" w:eastAsia="zh-CN" w:bidi="th-TH"/>
        </w:rPr>
        <w:t>特设技术专家组等专家组的工作的科学完整性</w:t>
      </w:r>
      <w:r>
        <w:rPr>
          <w:rFonts w:eastAsia="Times New Roman" w:hAnsi="SimSun"/>
          <w:lang w:val="zh-CN" w:eastAsia="zh-CN" w:bidi="th-TH"/>
        </w:rPr>
        <w:t>和独立性</w:t>
      </w:r>
      <w:r w:rsidRPr="00984C8C">
        <w:rPr>
          <w:rFonts w:eastAsia="Times New Roman" w:hAnsi="SimSun"/>
          <w:lang w:eastAsia="zh-CN" w:bidi="th-TH"/>
        </w:rPr>
        <w:t>，</w:t>
      </w:r>
      <w:r w:rsidRPr="00984C8C">
        <w:rPr>
          <w:rFonts w:eastAsia="Times New Roman" w:hAnsi="SimSun"/>
          <w:lang w:val="zh-CN" w:eastAsia="zh-CN" w:bidi="th-TH"/>
        </w:rPr>
        <w:t>并</w:t>
      </w:r>
      <w:r>
        <w:rPr>
          <w:rFonts w:eastAsia="Times New Roman" w:hAnsi="SimSun"/>
          <w:lang w:val="zh-CN" w:eastAsia="zh-CN" w:bidi="th-TH"/>
        </w:rPr>
        <w:t>酌情</w:t>
      </w:r>
      <w:r w:rsidRPr="00984C8C">
        <w:rPr>
          <w:rFonts w:eastAsia="Times New Roman" w:hAnsi="SimSun"/>
          <w:lang w:val="zh-CN" w:eastAsia="zh-CN" w:bidi="th-TH"/>
        </w:rPr>
        <w:t>使科学、技术和工艺咨询附属机构和执行问题附属机构</w:t>
      </w:r>
      <w:r>
        <w:rPr>
          <w:rFonts w:eastAsia="Times New Roman" w:hAnsi="SimSun"/>
          <w:lang w:val="zh-CN" w:eastAsia="zh-CN" w:bidi="th-TH"/>
        </w:rPr>
        <w:t>能</w:t>
      </w:r>
      <w:r w:rsidRPr="00984C8C">
        <w:rPr>
          <w:rFonts w:eastAsia="Times New Roman" w:hAnsi="SimSun"/>
          <w:lang w:val="zh-CN" w:eastAsia="zh-CN" w:bidi="th-TH"/>
        </w:rPr>
        <w:t>根据</w:t>
      </w:r>
      <w:r>
        <w:rPr>
          <w:rFonts w:hAnsi="SimSun" w:hint="eastAsia"/>
          <w:lang w:val="zh-CN" w:eastAsia="zh-CN" w:bidi="th-TH"/>
        </w:rPr>
        <w:t>所收到</w:t>
      </w:r>
      <w:r w:rsidRPr="00984C8C">
        <w:rPr>
          <w:rFonts w:eastAsia="Times New Roman" w:hAnsi="SimSun"/>
          <w:lang w:val="zh-CN" w:eastAsia="zh-CN" w:bidi="th-TH"/>
        </w:rPr>
        <w:t>这些专家组的</w:t>
      </w:r>
      <w:r>
        <w:rPr>
          <w:rFonts w:hAnsi="SimSun" w:hint="eastAsia"/>
          <w:lang w:val="zh-CN" w:eastAsia="zh-CN" w:bidi="th-TH"/>
        </w:rPr>
        <w:t>现有</w:t>
      </w:r>
      <w:r w:rsidRPr="00984C8C">
        <w:rPr>
          <w:rFonts w:eastAsia="Times New Roman" w:hAnsi="SimSun"/>
          <w:lang w:val="zh-CN" w:eastAsia="zh-CN" w:bidi="th-TH"/>
        </w:rPr>
        <w:t>最佳意见作出结论和提出建议</w:t>
      </w:r>
      <w:r w:rsidRPr="00984C8C">
        <w:rPr>
          <w:rFonts w:eastAsia="Times New Roman" w:hAnsi="SimSun"/>
          <w:lang w:eastAsia="zh-CN" w:bidi="th-TH"/>
        </w:rPr>
        <w:t>，</w:t>
      </w:r>
      <w:r w:rsidRPr="00984C8C">
        <w:rPr>
          <w:rFonts w:eastAsia="Times New Roman" w:hAnsi="SimSun"/>
          <w:lang w:val="zh-CN" w:eastAsia="zh-CN" w:bidi="th-TH"/>
        </w:rPr>
        <w:t>和</w:t>
      </w:r>
      <w:r>
        <w:rPr>
          <w:rFonts w:eastAsia="Times New Roman" w:hAnsi="SimSun"/>
          <w:lang w:val="zh-CN" w:eastAsia="zh-CN" w:bidi="th-TH"/>
        </w:rPr>
        <w:t>（</w:t>
      </w:r>
      <w:r w:rsidRPr="00984C8C">
        <w:rPr>
          <w:rFonts w:eastAsia="Times New Roman" w:hAnsi="SimSun"/>
          <w:lang w:val="zh-CN" w:eastAsia="zh-CN" w:bidi="th-TH"/>
        </w:rPr>
        <w:t>或</w:t>
      </w:r>
      <w:r>
        <w:rPr>
          <w:rFonts w:eastAsia="Times New Roman" w:hAnsi="SimSun"/>
          <w:lang w:val="zh-CN" w:eastAsia="zh-CN" w:bidi="th-TH"/>
        </w:rPr>
        <w:t>）为</w:t>
      </w:r>
      <w:r w:rsidRPr="00984C8C">
        <w:rPr>
          <w:rFonts w:eastAsia="Times New Roman" w:hAnsi="SimSun"/>
          <w:lang w:val="zh-CN" w:eastAsia="zh-CN" w:bidi="th-TH"/>
        </w:rPr>
        <w:t>公约缔约方大会以及作为卡塔赫纳议定书和名古屋议定书缔约方会议的缔约方大会</w:t>
      </w:r>
      <w:r>
        <w:rPr>
          <w:rFonts w:eastAsia="Times New Roman" w:hAnsi="SimSun"/>
          <w:lang w:val="zh-CN" w:eastAsia="zh-CN" w:bidi="th-TH"/>
        </w:rPr>
        <w:t>决策提供</w:t>
      </w:r>
      <w:r w:rsidRPr="00984C8C">
        <w:rPr>
          <w:rFonts w:eastAsia="Times New Roman" w:hAnsi="SimSun"/>
          <w:lang w:val="zh-CN" w:eastAsia="zh-CN" w:bidi="th-TH"/>
        </w:rPr>
        <w:t>可信、</w:t>
      </w:r>
      <w:r>
        <w:rPr>
          <w:rFonts w:eastAsiaTheme="minorEastAsia" w:hAnsi="SimSun" w:hint="eastAsia"/>
          <w:lang w:val="zh-CN" w:eastAsia="zh-CN" w:bidi="th-TH"/>
        </w:rPr>
        <w:t>循证和</w:t>
      </w:r>
      <w:r w:rsidRPr="00984C8C">
        <w:rPr>
          <w:rFonts w:eastAsia="Times New Roman" w:hAnsi="SimSun"/>
          <w:lang w:val="zh-CN" w:eastAsia="zh-CN" w:bidi="th-TH"/>
        </w:rPr>
        <w:t>平衡的信息。</w:t>
      </w:r>
    </w:p>
    <w:p w:rsidR="001F1AAC" w:rsidRPr="00DE2DE2" w:rsidRDefault="001F1AAC" w:rsidP="001F1AAC">
      <w:pPr>
        <w:pStyle w:val="ListParagraph"/>
        <w:numPr>
          <w:ilvl w:val="1"/>
          <w:numId w:val="264"/>
        </w:numPr>
        <w:shd w:val="clear" w:color="auto" w:fill="FFFFFF"/>
        <w:rPr>
          <w:lang w:eastAsia="zh-CN" w:bidi="th-TH"/>
        </w:rPr>
      </w:pPr>
      <w:r>
        <w:rPr>
          <w:rFonts w:ascii="SimSun" w:hAnsi="SimSun" w:cs="SimSun" w:hint="eastAsia"/>
          <w:lang w:val="zh-CN" w:eastAsia="zh-CN" w:bidi="th-TH"/>
        </w:rPr>
        <w:t>本</w:t>
      </w:r>
      <w:r w:rsidRPr="00984C8C">
        <w:rPr>
          <w:rFonts w:eastAsia="Times New Roman" w:hAnsi="SimSun"/>
          <w:lang w:val="zh-CN" w:eastAsia="zh-CN" w:bidi="th-TH"/>
        </w:rPr>
        <w:t>程序适用于缔约方、其他国家政府</w:t>
      </w:r>
      <w:r>
        <w:rPr>
          <w:rFonts w:hAnsi="SimSun" w:hint="eastAsia"/>
          <w:lang w:val="zh-CN" w:eastAsia="zh-CN" w:bidi="th-TH"/>
        </w:rPr>
        <w:t>、《公约》及其《议定书》的观察员的</w:t>
      </w:r>
      <w:r>
        <w:rPr>
          <w:rFonts w:eastAsia="Times New Roman" w:hAnsi="SimSun"/>
          <w:lang w:val="zh-CN" w:eastAsia="zh-CN" w:bidi="th-TH"/>
        </w:rPr>
        <w:t>和</w:t>
      </w:r>
      <w:r w:rsidRPr="00984C8C">
        <w:rPr>
          <w:rFonts w:eastAsia="Times New Roman" w:hAnsi="SimSun"/>
          <w:lang w:val="zh-CN" w:eastAsia="zh-CN" w:bidi="th-TH"/>
        </w:rPr>
        <w:t>任何政府或非政府机构提名作为特设技术专家组或其他技术专家组的专家成员的</w:t>
      </w:r>
      <w:r>
        <w:rPr>
          <w:rFonts w:eastAsia="Times New Roman" w:hAnsi="SimSun"/>
          <w:lang w:val="zh-CN" w:eastAsia="zh-CN" w:bidi="th-TH"/>
        </w:rPr>
        <w:t>专家</w:t>
      </w:r>
      <w:r>
        <w:rPr>
          <w:rFonts w:asciiTheme="minorEastAsia" w:eastAsiaTheme="minorEastAsia" w:hAnsiTheme="minorEastAsia" w:hint="eastAsia"/>
          <w:lang w:val="zh-CN" w:eastAsia="zh-CN" w:bidi="th-TH"/>
        </w:rPr>
        <w:t>，</w:t>
      </w:r>
      <w:r>
        <w:rPr>
          <w:rFonts w:eastAsia="Times New Roman" w:hAnsi="SimSun"/>
          <w:lang w:val="zh-CN" w:eastAsia="zh-CN" w:bidi="th-TH"/>
        </w:rPr>
        <w:t>包括担任主席的</w:t>
      </w:r>
      <w:r w:rsidRPr="00984C8C">
        <w:rPr>
          <w:rFonts w:eastAsia="Times New Roman" w:hAnsi="SimSun"/>
          <w:lang w:val="zh-CN" w:eastAsia="zh-CN" w:bidi="th-TH"/>
        </w:rPr>
        <w:t>专家。</w:t>
      </w:r>
      <w:r>
        <w:rPr>
          <w:rFonts w:eastAsia="Times New Roman" w:hAnsi="SimSun"/>
          <w:lang w:val="zh-CN" w:eastAsia="zh-CN" w:bidi="th-TH"/>
        </w:rPr>
        <w:t>本程序</w:t>
      </w:r>
      <w:r w:rsidRPr="00984C8C">
        <w:rPr>
          <w:rFonts w:eastAsia="Times New Roman" w:hAnsi="SimSun"/>
          <w:lang w:val="zh-CN" w:eastAsia="zh-CN" w:bidi="th-TH"/>
        </w:rPr>
        <w:t>不适用于</w:t>
      </w:r>
      <w:r>
        <w:rPr>
          <w:rFonts w:eastAsia="Times New Roman" w:hAnsi="SimSun"/>
          <w:lang w:val="zh-CN" w:eastAsia="zh-CN" w:bidi="th-TH"/>
        </w:rPr>
        <w:t>出席政府间会议</w:t>
      </w:r>
      <w:r w:rsidRPr="00984C8C">
        <w:rPr>
          <w:rFonts w:eastAsia="Times New Roman" w:hAnsi="SimSun"/>
          <w:lang w:val="zh-CN" w:eastAsia="zh-CN" w:bidi="th-TH"/>
        </w:rPr>
        <w:t>或由代表缔约方或观察员</w:t>
      </w:r>
      <w:r>
        <w:rPr>
          <w:rFonts w:eastAsiaTheme="minorEastAsia" w:hAnsi="SimSun" w:hint="eastAsia"/>
          <w:lang w:val="zh-CN" w:eastAsia="zh-CN" w:bidi="th-TH"/>
        </w:rPr>
        <w:t>的</w:t>
      </w:r>
      <w:r>
        <w:rPr>
          <w:rFonts w:eastAsiaTheme="minorEastAsia" w:hAnsi="SimSun"/>
          <w:lang w:val="zh-CN" w:eastAsia="zh-CN" w:bidi="th-TH"/>
        </w:rPr>
        <w:t>成员</w:t>
      </w:r>
      <w:r w:rsidRPr="00984C8C">
        <w:rPr>
          <w:rFonts w:eastAsia="Times New Roman" w:hAnsi="SimSun"/>
          <w:lang w:val="zh-CN" w:eastAsia="zh-CN" w:bidi="th-TH"/>
        </w:rPr>
        <w:t>组成的其他</w:t>
      </w:r>
      <w:r>
        <w:rPr>
          <w:rFonts w:eastAsia="Times New Roman" w:hAnsi="SimSun"/>
          <w:lang w:val="zh-CN" w:eastAsia="zh-CN" w:bidi="th-TH"/>
        </w:rPr>
        <w:t>机构</w:t>
      </w:r>
      <w:r w:rsidRPr="00984C8C">
        <w:rPr>
          <w:rFonts w:eastAsia="Times New Roman" w:hAnsi="SimSun"/>
          <w:lang w:val="zh-CN" w:eastAsia="zh-CN" w:bidi="th-TH"/>
        </w:rPr>
        <w:t>的会议的缔约方代表或</w:t>
      </w:r>
      <w:r>
        <w:rPr>
          <w:rFonts w:eastAsia="Times New Roman" w:hAnsi="SimSun"/>
          <w:lang w:val="zh-CN" w:eastAsia="zh-CN" w:bidi="th-TH"/>
        </w:rPr>
        <w:t>观察员</w:t>
      </w:r>
      <w:r w:rsidRPr="00984C8C">
        <w:rPr>
          <w:rFonts w:eastAsia="Times New Roman" w:hAnsi="SimSun"/>
          <w:lang w:val="zh-CN" w:eastAsia="zh-CN" w:bidi="th-TH"/>
        </w:rPr>
        <w:t>。</w:t>
      </w:r>
    </w:p>
    <w:p w:rsidR="001F1AAC" w:rsidRPr="00DE2DE2" w:rsidRDefault="001F1AAC" w:rsidP="001F1AAC">
      <w:pPr>
        <w:pStyle w:val="ListParagraph"/>
        <w:numPr>
          <w:ilvl w:val="1"/>
          <w:numId w:val="264"/>
        </w:numPr>
        <w:shd w:val="clear" w:color="auto" w:fill="FFFFFF"/>
        <w:rPr>
          <w:rFonts w:hAnsi="SimSun"/>
          <w:lang w:eastAsia="zh-CN" w:bidi="th-TH"/>
        </w:rPr>
      </w:pPr>
      <w:r>
        <w:rPr>
          <w:rFonts w:hAnsi="SimSun" w:hint="eastAsia"/>
          <w:lang w:eastAsia="zh-CN" w:bidi="th-TH"/>
        </w:rPr>
        <w:t>为了本程序的目的，利益冲突是指目前的任何状况或利益可使人有理由认为个人在为特定专家组履行职责和责任时的客观性可能受到质疑或可能对任何个人或组织造成不公平的优势。</w:t>
      </w:r>
    </w:p>
    <w:p w:rsidR="001F1AAC" w:rsidRPr="0074411C" w:rsidRDefault="001F1AAC" w:rsidP="001F1AAC">
      <w:pPr>
        <w:pStyle w:val="ListParagraph"/>
        <w:numPr>
          <w:ilvl w:val="1"/>
          <w:numId w:val="264"/>
        </w:numPr>
        <w:shd w:val="clear" w:color="auto" w:fill="FFFFFF"/>
        <w:rPr>
          <w:lang w:eastAsia="zh-CN" w:bidi="th-TH"/>
        </w:rPr>
      </w:pPr>
      <w:r w:rsidRPr="00DE2DE2">
        <w:rPr>
          <w:rFonts w:eastAsia="Times New Roman" w:hAnsi="SimSun"/>
          <w:lang w:eastAsia="zh-CN" w:bidi="th-TH"/>
        </w:rPr>
        <w:lastRenderedPageBreak/>
        <w:t>“</w:t>
      </w:r>
      <w:r>
        <w:rPr>
          <w:rFonts w:hAnsi="SimSun" w:hint="eastAsia"/>
          <w:lang w:eastAsia="zh-CN" w:bidi="th-TH"/>
        </w:rPr>
        <w:t>利益冲突</w:t>
      </w:r>
      <w:r w:rsidRPr="00DE2DE2">
        <w:rPr>
          <w:rFonts w:eastAsia="Times New Roman" w:hAnsi="SimSun"/>
          <w:lang w:eastAsia="zh-CN" w:bidi="th-TH"/>
        </w:rPr>
        <w:t>”</w:t>
      </w:r>
      <w:r>
        <w:rPr>
          <w:rFonts w:hAnsi="SimSun" w:hint="eastAsia"/>
          <w:lang w:eastAsia="zh-CN" w:bidi="th-TH"/>
        </w:rPr>
        <w:t>和</w:t>
      </w:r>
      <w:r w:rsidRPr="00DE2DE2">
        <w:rPr>
          <w:rFonts w:eastAsia="Times New Roman" w:hAnsi="SimSun"/>
          <w:lang w:eastAsia="zh-CN" w:bidi="th-TH"/>
        </w:rPr>
        <w:t>“</w:t>
      </w:r>
      <w:r>
        <w:rPr>
          <w:rFonts w:hAnsi="SimSun" w:hint="eastAsia"/>
          <w:lang w:eastAsia="zh-CN" w:bidi="th-TH"/>
        </w:rPr>
        <w:t>偏见</w:t>
      </w:r>
      <w:r w:rsidRPr="00DE2DE2">
        <w:rPr>
          <w:rFonts w:eastAsia="Times New Roman" w:hAnsi="SimSun"/>
          <w:lang w:eastAsia="zh-CN" w:bidi="th-TH"/>
        </w:rPr>
        <w:t>”</w:t>
      </w:r>
      <w:r>
        <w:rPr>
          <w:rFonts w:hAnsi="SimSun" w:hint="eastAsia"/>
          <w:lang w:eastAsia="zh-CN" w:bidi="th-TH"/>
        </w:rPr>
        <w:t>之间有区别。</w:t>
      </w:r>
      <w:r w:rsidRPr="00AA11D0">
        <w:rPr>
          <w:rFonts w:eastAsia="Times New Roman" w:hAnsi="SimSun"/>
          <w:lang w:eastAsia="zh-CN" w:bidi="th-TH"/>
        </w:rPr>
        <w:t>“</w:t>
      </w:r>
      <w:r>
        <w:rPr>
          <w:rFonts w:hAnsi="SimSun" w:hint="eastAsia"/>
          <w:lang w:val="zh-CN" w:eastAsia="zh-CN" w:bidi="th-TH"/>
        </w:rPr>
        <w:t>偏见</w:t>
      </w:r>
      <w:r w:rsidRPr="00AA11D0">
        <w:rPr>
          <w:rFonts w:eastAsia="Times New Roman" w:hAnsi="SimSun"/>
          <w:lang w:eastAsia="zh-CN" w:bidi="th-TH"/>
        </w:rPr>
        <w:t>”</w:t>
      </w:r>
      <w:r>
        <w:rPr>
          <w:rFonts w:hAnsi="SimSun" w:hint="eastAsia"/>
          <w:lang w:eastAsia="zh-CN" w:bidi="th-TH"/>
        </w:rPr>
        <w:t>是指针对特定问题或一套问题强烈持有的意见或观点。持有本人认为正确、但本人不会因此获益的意见，不一定构成利益冲突，但有可能是一种偏见。</w:t>
      </w:r>
    </w:p>
    <w:p w:rsidR="001F1AAC" w:rsidRPr="00984C8C" w:rsidRDefault="001F1AAC" w:rsidP="001F1AAC">
      <w:pPr>
        <w:pStyle w:val="ListParagraph"/>
        <w:numPr>
          <w:ilvl w:val="1"/>
          <w:numId w:val="264"/>
        </w:numPr>
        <w:shd w:val="clear" w:color="auto" w:fill="FFFFFF"/>
        <w:rPr>
          <w:lang w:eastAsia="zh-CN" w:bidi="th-TH"/>
        </w:rPr>
      </w:pPr>
      <w:r w:rsidRPr="001C1B68">
        <w:rPr>
          <w:rFonts w:ascii="SimSun" w:hAnsi="SimSun" w:cs="SimSun" w:hint="eastAsia"/>
          <w:lang w:eastAsia="zh-CN"/>
        </w:rPr>
        <w:t>提名专家</w:t>
      </w:r>
      <w:r>
        <w:rPr>
          <w:rFonts w:ascii="SimSun" w:hAnsi="SimSun" w:cs="SimSun" w:hint="eastAsia"/>
          <w:lang w:eastAsia="zh-CN"/>
        </w:rPr>
        <w:t>仅仅</w:t>
      </w:r>
      <w:r w:rsidRPr="001C1B68">
        <w:rPr>
          <w:rFonts w:ascii="SimSun" w:hAnsi="SimSun" w:cs="SimSun" w:hint="eastAsia"/>
          <w:lang w:eastAsia="zh-CN"/>
        </w:rPr>
        <w:t>与属于公共部门的行政</w:t>
      </w:r>
      <w:r>
        <w:rPr>
          <w:rFonts w:ascii="SimSun" w:hAnsi="SimSun" w:cs="SimSun" w:hint="eastAsia"/>
          <w:lang w:eastAsia="zh-CN"/>
        </w:rPr>
        <w:t>、</w:t>
      </w:r>
      <w:r w:rsidRPr="001C1B68">
        <w:rPr>
          <w:rFonts w:ascii="SimSun" w:hAnsi="SimSun" w:cs="SimSun" w:hint="eastAsia"/>
          <w:lang w:eastAsia="zh-CN"/>
        </w:rPr>
        <w:t>教育</w:t>
      </w:r>
      <w:r>
        <w:rPr>
          <w:rFonts w:ascii="SimSun" w:hAnsi="SimSun" w:cs="SimSun" w:hint="eastAsia"/>
          <w:lang w:eastAsia="zh-CN"/>
        </w:rPr>
        <w:t>、</w:t>
      </w:r>
      <w:r w:rsidRPr="001C1B68">
        <w:rPr>
          <w:rFonts w:ascii="SimSun" w:hAnsi="SimSun" w:cs="SimSun" w:hint="eastAsia"/>
          <w:lang w:eastAsia="zh-CN"/>
        </w:rPr>
        <w:t>研究或科学技术</w:t>
      </w:r>
      <w:r>
        <w:rPr>
          <w:rFonts w:ascii="SimSun" w:hAnsi="SimSun" w:cs="SimSun" w:hint="eastAsia"/>
          <w:lang w:eastAsia="zh-CN"/>
        </w:rPr>
        <w:t>开发</w:t>
      </w:r>
      <w:r w:rsidRPr="001C1B68">
        <w:rPr>
          <w:rFonts w:ascii="SimSun" w:hAnsi="SimSun" w:cs="SimSun" w:hint="eastAsia"/>
          <w:lang w:eastAsia="zh-CN"/>
        </w:rPr>
        <w:t>实体</w:t>
      </w:r>
      <w:r>
        <w:rPr>
          <w:rFonts w:ascii="SimSun" w:hAnsi="SimSun" w:cs="SimSun" w:hint="eastAsia"/>
          <w:lang w:eastAsia="zh-CN"/>
        </w:rPr>
        <w:t>有</w:t>
      </w:r>
      <w:r w:rsidRPr="001C1B68">
        <w:rPr>
          <w:rFonts w:ascii="SimSun" w:hAnsi="SimSun" w:cs="SimSun" w:hint="eastAsia"/>
          <w:lang w:eastAsia="zh-CN"/>
        </w:rPr>
        <w:t>联系</w:t>
      </w:r>
      <w:r>
        <w:rPr>
          <w:rFonts w:ascii="SimSun" w:hAnsi="SimSun" w:cs="SimSun" w:hint="eastAsia"/>
          <w:lang w:eastAsia="zh-CN"/>
        </w:rPr>
        <w:t>，</w:t>
      </w:r>
      <w:r w:rsidRPr="001C1B68">
        <w:rPr>
          <w:rFonts w:ascii="SimSun" w:hAnsi="SimSun" w:cs="SimSun" w:hint="eastAsia"/>
          <w:lang w:eastAsia="zh-CN"/>
        </w:rPr>
        <w:t>不能</w:t>
      </w:r>
      <w:r>
        <w:rPr>
          <w:rFonts w:ascii="SimSun" w:hAnsi="SimSun" w:cs="SimSun" w:hint="eastAsia"/>
          <w:lang w:eastAsia="zh-CN"/>
        </w:rPr>
        <w:t>因此</w:t>
      </w:r>
      <w:r>
        <w:rPr>
          <w:rFonts w:ascii="SimSun" w:hAnsi="SimSun" w:cs="SimSun"/>
          <w:lang w:eastAsia="zh-CN"/>
        </w:rPr>
        <w:t>而</w:t>
      </w:r>
      <w:r>
        <w:rPr>
          <w:rFonts w:ascii="SimSun" w:hAnsi="SimSun" w:cs="SimSun" w:hint="eastAsia"/>
          <w:lang w:eastAsia="zh-CN"/>
        </w:rPr>
        <w:t>断定说明其具有</w:t>
      </w:r>
      <w:r w:rsidRPr="001C1B68">
        <w:rPr>
          <w:rFonts w:ascii="SimSun" w:hAnsi="SimSun" w:cs="SimSun" w:hint="eastAsia"/>
          <w:lang w:eastAsia="zh-CN"/>
        </w:rPr>
        <w:t>利益冲突，但</w:t>
      </w:r>
      <w:r>
        <w:rPr>
          <w:rFonts w:ascii="SimSun" w:hAnsi="SimSun" w:cs="SimSun" w:hint="eastAsia"/>
          <w:lang w:eastAsia="zh-CN"/>
        </w:rPr>
        <w:t>这种</w:t>
      </w:r>
      <w:r w:rsidRPr="001C1B68">
        <w:rPr>
          <w:rFonts w:ascii="SimSun" w:hAnsi="SimSun" w:cs="SimSun" w:hint="eastAsia"/>
          <w:lang w:eastAsia="zh-CN"/>
        </w:rPr>
        <w:t>联系应在</w:t>
      </w:r>
      <w:r>
        <w:rPr>
          <w:rFonts w:ascii="SimSun" w:hAnsi="SimSun" w:cs="SimSun" w:hint="eastAsia"/>
          <w:lang w:eastAsia="zh-CN"/>
        </w:rPr>
        <w:t>以下</w:t>
      </w:r>
      <w:r w:rsidRPr="001C1B68">
        <w:rPr>
          <w:rFonts w:ascii="SimSun" w:hAnsi="SimSun" w:cs="SimSun" w:hint="eastAsia"/>
          <w:lang w:eastAsia="zh-CN"/>
        </w:rPr>
        <w:t>附录</w:t>
      </w:r>
      <w:r>
        <w:rPr>
          <w:rFonts w:ascii="SimSun" w:hAnsi="SimSun" w:cs="SimSun" w:hint="eastAsia"/>
          <w:lang w:eastAsia="zh-CN"/>
        </w:rPr>
        <w:t>所列的利益披露表中注明</w:t>
      </w:r>
      <w:r w:rsidRPr="001C1B68">
        <w:rPr>
          <w:rFonts w:ascii="SimSun" w:hAnsi="SimSun" w:cs="SimSun" w:hint="eastAsia"/>
          <w:lang w:eastAsia="zh-CN"/>
        </w:rPr>
        <w:t>。</w:t>
      </w:r>
    </w:p>
    <w:p w:rsidR="001F1AAC" w:rsidRPr="00416C71" w:rsidRDefault="001F1AAC" w:rsidP="0044481C">
      <w:pPr>
        <w:keepNext/>
        <w:shd w:val="clear" w:color="auto" w:fill="FFFFFF"/>
        <w:adjustRightInd w:val="0"/>
        <w:ind w:firstLine="0"/>
        <w:rPr>
          <w:b/>
          <w:kern w:val="22"/>
          <w:lang w:eastAsia="zh-CN" w:bidi="th-TH"/>
        </w:rPr>
      </w:pPr>
      <w:r w:rsidRPr="00416C71">
        <w:rPr>
          <w:b/>
          <w:kern w:val="22"/>
          <w:lang w:eastAsia="zh-CN" w:bidi="th-TH"/>
        </w:rPr>
        <w:t>2.</w:t>
      </w:r>
      <w:r w:rsidRPr="00416C71">
        <w:rPr>
          <w:b/>
          <w:kern w:val="22"/>
          <w:lang w:eastAsia="zh-CN" w:bidi="th-TH"/>
        </w:rPr>
        <w:tab/>
      </w:r>
      <w:r w:rsidRPr="00416C71">
        <w:rPr>
          <w:rFonts w:eastAsia="Times New Roman" w:hAnsi="SimSun"/>
          <w:b/>
          <w:kern w:val="22"/>
          <w:lang w:val="zh-CN" w:eastAsia="zh-CN" w:bidi="th-TH"/>
        </w:rPr>
        <w:t>要求</w:t>
      </w:r>
    </w:p>
    <w:p w:rsidR="001F1AAC" w:rsidRPr="00015452" w:rsidRDefault="001F1AAC" w:rsidP="001F1AAC">
      <w:pPr>
        <w:shd w:val="clear" w:color="auto" w:fill="FFFFFF"/>
        <w:ind w:left="720" w:hanging="720"/>
        <w:rPr>
          <w:rFonts w:hAnsi="SimSun"/>
          <w:lang w:val="zh-CN" w:eastAsia="zh-CN" w:bidi="th-TH"/>
        </w:rPr>
      </w:pPr>
      <w:r w:rsidRPr="00015452">
        <w:rPr>
          <w:kern w:val="22"/>
          <w:lang w:eastAsia="zh-CN" w:bidi="th-TH"/>
        </w:rPr>
        <w:t>2.1</w:t>
      </w:r>
      <w:r w:rsidRPr="00015452">
        <w:rPr>
          <w:kern w:val="22"/>
          <w:lang w:eastAsia="zh-CN" w:bidi="th-TH"/>
        </w:rPr>
        <w:tab/>
      </w:r>
      <w:r w:rsidRPr="00015452">
        <w:rPr>
          <w:rFonts w:hAnsi="SimSun" w:hint="eastAsia"/>
          <w:kern w:val="22"/>
          <w:lang w:val="zh-CN" w:eastAsia="zh-CN" w:bidi="th-TH"/>
        </w:rPr>
        <w:t>不论</w:t>
      </w:r>
      <w:r>
        <w:rPr>
          <w:rFonts w:hAnsi="SimSun" w:hint="eastAsia"/>
          <w:kern w:val="22"/>
          <w:lang w:val="zh-CN" w:eastAsia="zh-CN" w:bidi="th-TH"/>
        </w:rPr>
        <w:t>来自何种</w:t>
      </w:r>
      <w:r w:rsidRPr="00015452">
        <w:rPr>
          <w:rFonts w:hAnsi="SimSun" w:hint="eastAsia"/>
          <w:kern w:val="22"/>
          <w:lang w:val="zh-CN" w:eastAsia="zh-CN" w:bidi="th-TH"/>
        </w:rPr>
        <w:t>政府、行业、组织或学术</w:t>
      </w:r>
      <w:r>
        <w:rPr>
          <w:rFonts w:hAnsi="SimSun" w:hint="eastAsia"/>
          <w:kern w:val="22"/>
          <w:lang w:val="zh-CN" w:eastAsia="zh-CN" w:bidi="th-TH"/>
        </w:rPr>
        <w:t>机构</w:t>
      </w:r>
      <w:r w:rsidRPr="00015452">
        <w:rPr>
          <w:rFonts w:hAnsi="SimSun" w:hint="eastAsia"/>
          <w:kern w:val="22"/>
          <w:lang w:val="zh-CN" w:eastAsia="zh-CN" w:bidi="th-TH"/>
        </w:rPr>
        <w:t>，</w:t>
      </w:r>
      <w:r w:rsidRPr="00015452">
        <w:rPr>
          <w:rFonts w:ascii="SimSun" w:hAnsi="SimSun" w:cs="SimSun" w:hint="eastAsia"/>
          <w:kern w:val="22"/>
          <w:lang w:val="zh-CN" w:eastAsia="zh-CN" w:bidi="th-TH"/>
        </w:rPr>
        <w:t>专家</w:t>
      </w:r>
      <w:r w:rsidRPr="00015452">
        <w:rPr>
          <w:rFonts w:eastAsiaTheme="minorEastAsia" w:hAnsi="SimSun" w:hint="eastAsia"/>
          <w:kern w:val="22"/>
          <w:lang w:val="zh-CN" w:eastAsia="zh-CN" w:bidi="th-TH"/>
        </w:rPr>
        <w:t>均应</w:t>
      </w:r>
      <w:r w:rsidRPr="00015452">
        <w:rPr>
          <w:rFonts w:eastAsiaTheme="minorEastAsia" w:hAnsi="SimSun"/>
          <w:kern w:val="22"/>
          <w:lang w:val="zh-CN" w:eastAsia="zh-CN" w:bidi="th-TH"/>
        </w:rPr>
        <w:t>客观</w:t>
      </w:r>
      <w:r w:rsidRPr="00015452">
        <w:rPr>
          <w:rFonts w:eastAsiaTheme="minorEastAsia" w:hAnsi="SimSun" w:hint="eastAsia"/>
          <w:kern w:val="22"/>
          <w:lang w:val="zh-CN" w:eastAsia="zh-CN" w:bidi="th-TH"/>
        </w:rPr>
        <w:t>行事</w:t>
      </w:r>
      <w:r w:rsidRPr="00015452">
        <w:rPr>
          <w:rFonts w:hAnsi="SimSun" w:hint="eastAsia"/>
          <w:kern w:val="22"/>
          <w:lang w:val="zh-CN" w:eastAsia="zh-CN" w:bidi="th-TH"/>
        </w:rPr>
        <w:t>，遵守最高专业标准和体现高度的专业操守和尊严</w:t>
      </w:r>
      <w:r w:rsidRPr="00015452">
        <w:rPr>
          <w:rFonts w:ascii="SimSun" w:hAnsi="SimSun" w:cs="SimSun" w:hint="eastAsia"/>
          <w:kern w:val="22"/>
          <w:lang w:val="zh-CN" w:eastAsia="zh-CN" w:bidi="th-TH"/>
        </w:rPr>
        <w:t>。</w:t>
      </w:r>
      <w:r w:rsidRPr="00015452">
        <w:rPr>
          <w:rFonts w:ascii="SimSun" w:hAnsi="SimSun" w:cs="SimSun" w:hint="eastAsia"/>
          <w:lang w:val="zh-CN" w:eastAsia="zh-CN" w:bidi="th-TH"/>
        </w:rPr>
        <w:t>专家应</w:t>
      </w:r>
      <w:r w:rsidRPr="00015452">
        <w:rPr>
          <w:rFonts w:hAnsi="SimSun" w:hint="eastAsia"/>
          <w:lang w:val="zh-CN" w:eastAsia="zh-CN" w:bidi="th-TH"/>
        </w:rPr>
        <w:t>披露任何</w:t>
      </w:r>
      <w:r w:rsidRPr="00015452">
        <w:rPr>
          <w:rFonts w:ascii="SimSun" w:hAnsi="SimSun" w:cs="SimSun" w:hint="eastAsia"/>
          <w:lang w:val="zh-CN" w:eastAsia="zh-CN" w:bidi="th-TH"/>
        </w:rPr>
        <w:t>可能被认为影响专家所做贡献的客观性和独立性从而影响专家组工作结果的</w:t>
      </w:r>
      <w:r w:rsidRPr="00015452">
        <w:rPr>
          <w:rFonts w:hAnsi="SimSun" w:hint="eastAsia"/>
          <w:lang w:val="zh-CN" w:eastAsia="zh-CN" w:bidi="th-TH"/>
        </w:rPr>
        <w:t>情况，不论是</w:t>
      </w:r>
      <w:r w:rsidRPr="00015452">
        <w:rPr>
          <w:rFonts w:ascii="SimSun" w:hAnsi="SimSun" w:cs="SimSun" w:hint="eastAsia"/>
          <w:lang w:val="zh-CN" w:eastAsia="zh-CN" w:bidi="th-TH"/>
        </w:rPr>
        <w:t>财务或</w:t>
      </w:r>
      <w:r w:rsidRPr="00015452">
        <w:rPr>
          <w:rFonts w:hAnsi="SimSun" w:hint="eastAsia"/>
          <w:lang w:val="zh-CN" w:eastAsia="zh-CN" w:bidi="th-TH"/>
        </w:rPr>
        <w:t>是</w:t>
      </w:r>
      <w:r w:rsidRPr="00015452">
        <w:rPr>
          <w:rFonts w:ascii="SimSun" w:hAnsi="SimSun" w:cs="SimSun" w:hint="eastAsia"/>
          <w:lang w:val="zh-CN" w:eastAsia="zh-CN" w:bidi="th-TH"/>
        </w:rPr>
        <w:t>其他情况。</w:t>
      </w:r>
    </w:p>
    <w:p w:rsidR="001F1AAC" w:rsidRPr="00984C8C" w:rsidRDefault="001F1AAC" w:rsidP="001F1AAC">
      <w:pPr>
        <w:suppressLineNumbers/>
        <w:shd w:val="clear" w:color="auto" w:fill="FFFFFF" w:themeFill="background1"/>
        <w:suppressAutoHyphens/>
        <w:kinsoku w:val="0"/>
        <w:overflowPunct w:val="0"/>
        <w:autoSpaceDE w:val="0"/>
        <w:autoSpaceDN w:val="0"/>
        <w:adjustRightInd w:val="0"/>
        <w:snapToGrid w:val="0"/>
        <w:ind w:left="720" w:hanging="720"/>
        <w:rPr>
          <w:kern w:val="22"/>
          <w:lang w:eastAsia="zh-CN" w:bidi="th-TH"/>
        </w:rPr>
      </w:pPr>
      <w:r w:rsidRPr="007E3845">
        <w:rPr>
          <w:kern w:val="22"/>
          <w:szCs w:val="22"/>
          <w:lang w:eastAsia="zh-CN"/>
        </w:rPr>
        <w:t>2.2.</w:t>
      </w:r>
      <w:r w:rsidRPr="007E3845">
        <w:rPr>
          <w:kern w:val="22"/>
          <w:szCs w:val="22"/>
          <w:lang w:eastAsia="zh-CN"/>
        </w:rPr>
        <w:tab/>
      </w:r>
      <w:r>
        <w:rPr>
          <w:rFonts w:eastAsiaTheme="minorEastAsia" w:hAnsi="SimSun" w:hint="eastAsia"/>
          <w:lang w:val="zh-CN" w:eastAsia="zh-CN" w:bidi="th-TH"/>
        </w:rPr>
        <w:t>有关</w:t>
      </w:r>
      <w:r w:rsidRPr="00984C8C">
        <w:rPr>
          <w:rFonts w:eastAsia="Times New Roman" w:hAnsi="SimSun"/>
          <w:lang w:val="zh-CN" w:eastAsia="zh-CN" w:bidi="th-TH"/>
        </w:rPr>
        <w:t>专家组成员</w:t>
      </w:r>
      <w:r>
        <w:rPr>
          <w:rFonts w:eastAsiaTheme="minorEastAsia" w:hAnsi="SimSun" w:hint="eastAsia"/>
          <w:lang w:val="zh-CN" w:eastAsia="zh-CN" w:bidi="th-TH"/>
        </w:rPr>
        <w:t>的</w:t>
      </w:r>
      <w:r>
        <w:rPr>
          <w:rFonts w:eastAsiaTheme="minorEastAsia" w:hAnsi="SimSun"/>
          <w:lang w:val="zh-CN" w:eastAsia="zh-CN" w:bidi="th-TH"/>
        </w:rPr>
        <w:t>遴选</w:t>
      </w:r>
      <w:r>
        <w:rPr>
          <w:rFonts w:eastAsiaTheme="minorEastAsia" w:hAnsi="SimSun" w:hint="eastAsia"/>
          <w:lang w:val="zh-CN" w:eastAsia="zh-CN" w:bidi="th-TH"/>
        </w:rPr>
        <w:t>之前</w:t>
      </w:r>
      <w:r w:rsidRPr="00984C8C">
        <w:rPr>
          <w:rFonts w:eastAsia="Times New Roman" w:hAnsi="SimSun"/>
          <w:lang w:eastAsia="zh-CN" w:bidi="th-TH"/>
        </w:rPr>
        <w:t>，</w:t>
      </w:r>
      <w:r>
        <w:rPr>
          <w:rFonts w:eastAsiaTheme="minorEastAsia" w:hAnsi="SimSun" w:hint="eastAsia"/>
          <w:lang w:eastAsia="zh-CN" w:bidi="th-TH"/>
        </w:rPr>
        <w:t>经</w:t>
      </w:r>
      <w:r w:rsidRPr="00984C8C">
        <w:rPr>
          <w:rFonts w:eastAsia="Times New Roman" w:hAnsi="SimSun"/>
          <w:lang w:val="zh-CN" w:eastAsia="zh-CN" w:bidi="th-TH"/>
        </w:rPr>
        <w:t>缔约方、非缔约方政府或任何政府或非政府机构提名作为专家组成员的每位专家</w:t>
      </w:r>
      <w:r w:rsidRPr="00984C8C">
        <w:rPr>
          <w:rFonts w:eastAsia="Times New Roman" w:hAnsi="SimSun"/>
          <w:lang w:eastAsia="zh-CN" w:bidi="th-TH"/>
        </w:rPr>
        <w:t>，</w:t>
      </w:r>
      <w:r w:rsidRPr="00984C8C">
        <w:rPr>
          <w:rFonts w:eastAsia="Times New Roman" w:hAnsi="SimSun"/>
          <w:lang w:val="zh-CN" w:eastAsia="zh-CN" w:bidi="th-TH"/>
        </w:rPr>
        <w:t>除填写提名表</w:t>
      </w:r>
      <w:r w:rsidRPr="00D632B2">
        <w:rPr>
          <w:rStyle w:val="FootnoteReference"/>
          <w:kern w:val="22"/>
          <w:vertAlign w:val="superscript"/>
          <w:lang w:val="zh-CN"/>
        </w:rPr>
        <w:footnoteReference w:id="303"/>
      </w:r>
      <w:r>
        <w:rPr>
          <w:rFonts w:eastAsiaTheme="minorEastAsia" w:hAnsi="SimSun" w:hint="eastAsia"/>
          <w:lang w:val="zh-CN" w:eastAsia="zh-CN" w:bidi="th-TH"/>
        </w:rPr>
        <w:t xml:space="preserve"> </w:t>
      </w:r>
      <w:r w:rsidRPr="00984C8C">
        <w:rPr>
          <w:rFonts w:eastAsia="Times New Roman" w:hAnsi="SimSun"/>
          <w:lang w:val="zh-CN" w:eastAsia="zh-CN" w:bidi="th-TH"/>
        </w:rPr>
        <w:t>外</w:t>
      </w:r>
      <w:r w:rsidRPr="00984C8C">
        <w:rPr>
          <w:rFonts w:eastAsia="Times New Roman" w:hAnsi="SimSun"/>
          <w:lang w:eastAsia="zh-CN" w:bidi="th-TH"/>
        </w:rPr>
        <w:t>，</w:t>
      </w:r>
      <w:r w:rsidRPr="00984C8C">
        <w:rPr>
          <w:rFonts w:eastAsia="Times New Roman" w:hAnsi="SimSun"/>
          <w:lang w:val="zh-CN" w:eastAsia="zh-CN" w:bidi="th-TH"/>
        </w:rPr>
        <w:t>还需填写并签署</w:t>
      </w:r>
      <w:r>
        <w:rPr>
          <w:rFonts w:ascii="SimSun" w:hAnsi="SimSun" w:cs="SimSun" w:hint="eastAsia"/>
          <w:lang w:val="zh-CN" w:eastAsia="zh-CN" w:bidi="th-TH"/>
        </w:rPr>
        <w:t>以下</w:t>
      </w:r>
      <w:r w:rsidRPr="00984C8C">
        <w:rPr>
          <w:rFonts w:eastAsia="Times New Roman" w:hAnsi="SimSun"/>
          <w:lang w:val="zh-CN" w:eastAsia="zh-CN" w:bidi="th-TH"/>
        </w:rPr>
        <w:t>附录所列</w:t>
      </w:r>
      <w:r>
        <w:rPr>
          <w:rFonts w:eastAsia="Times New Roman" w:hAnsi="SimSun"/>
          <w:lang w:val="zh-CN" w:eastAsia="zh-CN" w:bidi="th-TH"/>
        </w:rPr>
        <w:t>利益披露表。</w:t>
      </w:r>
    </w:p>
    <w:p w:rsidR="001F1AAC" w:rsidRPr="00984C8C" w:rsidRDefault="001F1AAC" w:rsidP="001F1AAC">
      <w:pPr>
        <w:shd w:val="clear" w:color="auto" w:fill="FFFFFF"/>
        <w:ind w:left="720" w:hanging="720"/>
        <w:rPr>
          <w:kern w:val="22"/>
          <w:lang w:eastAsia="zh-CN" w:bidi="th-TH"/>
        </w:rPr>
      </w:pPr>
      <w:r w:rsidRPr="00984C8C">
        <w:rPr>
          <w:kern w:val="22"/>
          <w:lang w:eastAsia="zh-CN" w:bidi="th-TH"/>
        </w:rPr>
        <w:t>2.3</w:t>
      </w:r>
      <w:r w:rsidRPr="00984C8C">
        <w:rPr>
          <w:kern w:val="22"/>
          <w:lang w:eastAsia="zh-CN" w:bidi="th-TH"/>
        </w:rPr>
        <w:tab/>
      </w:r>
      <w:r w:rsidRPr="00984C8C">
        <w:rPr>
          <w:rFonts w:ascii="SimSun" w:hAnsi="SimSun" w:cs="SimSun" w:hint="eastAsia"/>
          <w:lang w:val="zh-CN" w:eastAsia="zh-CN" w:bidi="th-TH"/>
        </w:rPr>
        <w:t>披露利益的要求应适用于公约缔约方大会、作为卡塔赫纳生物安全议定书缔约方会议的缔约方大会</w:t>
      </w:r>
      <w:r>
        <w:rPr>
          <w:rFonts w:ascii="SimSun" w:hAnsi="SimSun" w:cs="SimSun" w:hint="eastAsia"/>
          <w:lang w:val="zh-CN" w:eastAsia="zh-CN" w:bidi="th-TH"/>
        </w:rPr>
        <w:t>、</w:t>
      </w:r>
      <w:r w:rsidRPr="00984C8C">
        <w:rPr>
          <w:rFonts w:ascii="SimSun" w:hAnsi="SimSun" w:cs="SimSun" w:hint="eastAsia"/>
          <w:lang w:val="zh-CN" w:eastAsia="zh-CN" w:bidi="th-TH"/>
        </w:rPr>
        <w:t>作为关于获取和惠益分享的名古屋议定书缔约方会议的缔约方大会或附属机构设立的每个专家组</w:t>
      </w:r>
      <w:r>
        <w:rPr>
          <w:rFonts w:hAnsi="SimSun" w:hint="eastAsia"/>
          <w:lang w:val="zh-CN" w:eastAsia="zh-CN" w:bidi="th-TH"/>
        </w:rPr>
        <w:t>的</w:t>
      </w:r>
      <w:r w:rsidRPr="00984C8C">
        <w:rPr>
          <w:rFonts w:ascii="SimSun" w:hAnsi="SimSun" w:cs="SimSun" w:hint="eastAsia"/>
          <w:lang w:val="zh-CN" w:eastAsia="zh-CN" w:bidi="th-TH"/>
        </w:rPr>
        <w:t>每个</w:t>
      </w:r>
      <w:r>
        <w:rPr>
          <w:rFonts w:ascii="SimSun" w:hAnsi="SimSun" w:cs="SimSun" w:hint="eastAsia"/>
          <w:lang w:val="zh-CN" w:eastAsia="zh-CN" w:bidi="th-TH"/>
        </w:rPr>
        <w:t>被</w:t>
      </w:r>
      <w:r w:rsidRPr="00984C8C">
        <w:rPr>
          <w:rFonts w:ascii="SimSun" w:hAnsi="SimSun" w:cs="SimSun" w:hint="eastAsia"/>
          <w:lang w:val="zh-CN" w:eastAsia="zh-CN" w:bidi="th-TH"/>
        </w:rPr>
        <w:t>提名</w:t>
      </w:r>
      <w:r>
        <w:rPr>
          <w:rFonts w:ascii="SimSun" w:hAnsi="SimSun" w:cs="SimSun" w:hint="eastAsia"/>
          <w:lang w:val="zh-CN" w:eastAsia="zh-CN" w:bidi="th-TH"/>
        </w:rPr>
        <w:t>的</w:t>
      </w:r>
      <w:r>
        <w:rPr>
          <w:rFonts w:ascii="SimSun" w:hAnsi="SimSun" w:cs="SimSun"/>
          <w:lang w:val="zh-CN" w:eastAsia="zh-CN" w:bidi="th-TH"/>
        </w:rPr>
        <w:t>人员</w:t>
      </w:r>
      <w:r>
        <w:rPr>
          <w:rFonts w:hAnsi="SimSun" w:hint="eastAsia"/>
          <w:lang w:val="zh-CN" w:eastAsia="zh-CN" w:bidi="th-TH"/>
        </w:rPr>
        <w:t>，除非这些机构另行</w:t>
      </w:r>
      <w:r>
        <w:rPr>
          <w:rFonts w:hAnsi="SimSun"/>
          <w:lang w:val="zh-CN" w:eastAsia="zh-CN" w:bidi="th-TH"/>
        </w:rPr>
        <w:t>做出</w:t>
      </w:r>
      <w:r>
        <w:rPr>
          <w:rFonts w:hAnsi="SimSun" w:hint="eastAsia"/>
          <w:lang w:val="zh-CN" w:eastAsia="zh-CN" w:bidi="th-TH"/>
        </w:rPr>
        <w:t>决定</w:t>
      </w:r>
      <w:r w:rsidRPr="00984C8C">
        <w:rPr>
          <w:rFonts w:ascii="SimSun" w:hAnsi="SimSun" w:cs="SimSun" w:hint="eastAsia"/>
          <w:lang w:val="zh-CN" w:eastAsia="zh-CN" w:bidi="th-TH"/>
        </w:rPr>
        <w:t>。</w:t>
      </w:r>
    </w:p>
    <w:p w:rsidR="001F1AAC" w:rsidRPr="00984C8C" w:rsidRDefault="001F1AAC" w:rsidP="001F1AAC">
      <w:pPr>
        <w:suppressLineNumbers/>
        <w:shd w:val="clear" w:color="auto" w:fill="FFFFFF" w:themeFill="background1"/>
        <w:suppressAutoHyphens/>
        <w:kinsoku w:val="0"/>
        <w:overflowPunct w:val="0"/>
        <w:autoSpaceDE w:val="0"/>
        <w:autoSpaceDN w:val="0"/>
        <w:adjustRightInd w:val="0"/>
        <w:snapToGrid w:val="0"/>
        <w:ind w:left="720" w:hanging="720"/>
        <w:rPr>
          <w:kern w:val="22"/>
          <w:lang w:eastAsia="zh-CN" w:bidi="th-TH"/>
        </w:rPr>
      </w:pPr>
      <w:r w:rsidRPr="00C15494">
        <w:rPr>
          <w:kern w:val="22"/>
          <w:lang w:eastAsia="zh-CN" w:bidi="th-TH"/>
        </w:rPr>
        <w:t>2.4</w:t>
      </w:r>
      <w:r w:rsidRPr="00C15494">
        <w:rPr>
          <w:kern w:val="22"/>
          <w:lang w:eastAsia="zh-CN" w:bidi="th-TH"/>
        </w:rPr>
        <w:tab/>
      </w:r>
      <w:r>
        <w:rPr>
          <w:rFonts w:eastAsia="Times New Roman" w:hAnsi="SimSun"/>
          <w:lang w:val="zh-CN" w:eastAsia="zh-CN" w:bidi="th-TH"/>
        </w:rPr>
        <w:t>已</w:t>
      </w:r>
      <w:r w:rsidRPr="00984C8C">
        <w:rPr>
          <w:rFonts w:eastAsia="Times New Roman" w:hAnsi="SimSun"/>
          <w:lang w:val="zh-CN" w:eastAsia="zh-CN" w:bidi="th-TH"/>
        </w:rPr>
        <w:t>在专家组任职的专家</w:t>
      </w:r>
      <w:r>
        <w:rPr>
          <w:rFonts w:eastAsiaTheme="minorEastAsia" w:hAnsi="SimSun" w:hint="eastAsia"/>
          <w:lang w:val="zh-CN" w:eastAsia="zh-CN" w:bidi="th-TH"/>
        </w:rPr>
        <w:t>因</w:t>
      </w:r>
      <w:r w:rsidRPr="00984C8C">
        <w:rPr>
          <w:rFonts w:eastAsia="Times New Roman" w:hAnsi="SimSun"/>
          <w:lang w:val="zh-CN" w:eastAsia="zh-CN" w:bidi="th-TH"/>
        </w:rPr>
        <w:t>情况发生变化面临</w:t>
      </w:r>
      <w:r>
        <w:rPr>
          <w:rFonts w:hAnsi="SimSun" w:hint="eastAsia"/>
          <w:lang w:val="zh-CN" w:eastAsia="zh-CN" w:bidi="th-TH"/>
        </w:rPr>
        <w:t>潜在</w:t>
      </w:r>
      <w:r w:rsidRPr="00984C8C">
        <w:rPr>
          <w:rFonts w:eastAsia="Times New Roman" w:hAnsi="SimSun"/>
          <w:lang w:val="zh-CN" w:eastAsia="zh-CN" w:bidi="th-TH"/>
        </w:rPr>
        <w:t>利益冲突</w:t>
      </w:r>
      <w:r>
        <w:rPr>
          <w:rFonts w:eastAsiaTheme="minorEastAsia" w:hAnsi="SimSun" w:hint="eastAsia"/>
          <w:lang w:val="zh-CN" w:eastAsia="zh-CN" w:bidi="th-TH"/>
        </w:rPr>
        <w:t>而</w:t>
      </w:r>
      <w:r>
        <w:rPr>
          <w:rFonts w:eastAsia="Times New Roman" w:hAnsi="SimSun"/>
          <w:lang w:val="zh-CN" w:eastAsia="zh-CN" w:bidi="th-TH"/>
        </w:rPr>
        <w:t>可能影响专家对专家组工作</w:t>
      </w:r>
      <w:r>
        <w:rPr>
          <w:rFonts w:eastAsiaTheme="minorEastAsia" w:hAnsi="SimSun" w:hint="eastAsia"/>
          <w:lang w:val="zh-CN" w:eastAsia="zh-CN" w:bidi="th-TH"/>
        </w:rPr>
        <w:t>做</w:t>
      </w:r>
      <w:r w:rsidRPr="00984C8C">
        <w:rPr>
          <w:rFonts w:eastAsia="Times New Roman" w:hAnsi="SimSun"/>
          <w:lang w:val="zh-CN" w:eastAsia="zh-CN" w:bidi="th-TH"/>
        </w:rPr>
        <w:t>出独立贡献时</w:t>
      </w:r>
      <w:r w:rsidRPr="00984C8C">
        <w:rPr>
          <w:rFonts w:eastAsia="Times New Roman" w:hAnsi="SimSun"/>
          <w:lang w:eastAsia="zh-CN" w:bidi="th-TH"/>
        </w:rPr>
        <w:t>，</w:t>
      </w:r>
      <w:r w:rsidRPr="00984C8C">
        <w:rPr>
          <w:rFonts w:eastAsia="Times New Roman" w:hAnsi="SimSun"/>
          <w:lang w:val="zh-CN" w:eastAsia="zh-CN" w:bidi="th-TH"/>
        </w:rPr>
        <w:t>该名专家应立即将情况通知秘书处</w:t>
      </w:r>
      <w:r>
        <w:rPr>
          <w:rFonts w:hAnsi="SimSun" w:hint="eastAsia"/>
          <w:lang w:val="zh-CN" w:eastAsia="zh-CN" w:bidi="th-TH"/>
        </w:rPr>
        <w:t>和专家组主席</w:t>
      </w:r>
      <w:r w:rsidRPr="00984C8C">
        <w:rPr>
          <w:rFonts w:eastAsia="Times New Roman" w:hAnsi="SimSun"/>
          <w:lang w:val="zh-CN" w:eastAsia="zh-CN" w:bidi="th-TH"/>
        </w:rPr>
        <w:t>。</w:t>
      </w:r>
    </w:p>
    <w:p w:rsidR="001F1AAC" w:rsidRPr="00416C71" w:rsidRDefault="001F1AAC" w:rsidP="0044481C">
      <w:pPr>
        <w:keepNext/>
        <w:shd w:val="clear" w:color="auto" w:fill="FFFFFF"/>
        <w:adjustRightInd w:val="0"/>
        <w:ind w:firstLine="0"/>
        <w:rPr>
          <w:rFonts w:ascii="SimSun" w:hAnsi="SimSun"/>
          <w:b/>
          <w:kern w:val="22"/>
          <w:lang w:eastAsia="zh-CN" w:bidi="th-TH"/>
        </w:rPr>
      </w:pPr>
      <w:r w:rsidRPr="00416C71">
        <w:rPr>
          <w:rFonts w:ascii="SimSun" w:hAnsi="SimSun"/>
          <w:b/>
          <w:kern w:val="22"/>
          <w:lang w:eastAsia="zh-CN" w:bidi="th-TH"/>
        </w:rPr>
        <w:t>3.</w:t>
      </w:r>
      <w:r w:rsidRPr="00416C71">
        <w:rPr>
          <w:rFonts w:ascii="SimSun" w:hAnsi="SimSun"/>
          <w:b/>
          <w:kern w:val="22"/>
          <w:lang w:eastAsia="zh-CN" w:bidi="th-TH"/>
        </w:rPr>
        <w:tab/>
      </w:r>
      <w:r>
        <w:rPr>
          <w:rFonts w:ascii="SimSun" w:hAnsi="SimSun" w:hint="eastAsia"/>
          <w:b/>
          <w:kern w:val="22"/>
          <w:lang w:eastAsia="zh-CN" w:bidi="th-TH"/>
        </w:rPr>
        <w:t>利益</w:t>
      </w:r>
      <w:r w:rsidRPr="00416C71">
        <w:rPr>
          <w:rFonts w:ascii="SimSun" w:hAnsi="SimSun" w:hint="eastAsia"/>
          <w:b/>
          <w:kern w:val="22"/>
          <w:lang w:val="zh-CN" w:eastAsia="zh-CN" w:bidi="th-TH"/>
        </w:rPr>
        <w:t>披露表</w:t>
      </w:r>
    </w:p>
    <w:p w:rsidR="001F1AAC" w:rsidRPr="00984C8C" w:rsidRDefault="001F1AAC" w:rsidP="001F1AAC">
      <w:pPr>
        <w:shd w:val="clear" w:color="auto" w:fill="FFFFFF"/>
        <w:ind w:left="720" w:hanging="720"/>
        <w:rPr>
          <w:kern w:val="22"/>
          <w:lang w:eastAsia="zh-CN" w:bidi="th-TH"/>
        </w:rPr>
      </w:pPr>
      <w:r w:rsidRPr="00984C8C">
        <w:rPr>
          <w:kern w:val="22"/>
          <w:lang w:eastAsia="zh-CN" w:bidi="th-TH"/>
        </w:rPr>
        <w:t>3.1</w:t>
      </w:r>
      <w:r w:rsidRPr="00984C8C">
        <w:rPr>
          <w:kern w:val="22"/>
          <w:lang w:eastAsia="zh-CN" w:bidi="th-TH"/>
        </w:rPr>
        <w:tab/>
      </w:r>
      <w:r>
        <w:rPr>
          <w:rFonts w:ascii="SimSun" w:hAnsi="SimSun" w:cs="SimSun" w:hint="eastAsia"/>
          <w:lang w:val="zh-CN" w:eastAsia="zh-CN" w:bidi="th-TH"/>
        </w:rPr>
        <w:t>以下</w:t>
      </w:r>
      <w:r w:rsidRPr="00984C8C">
        <w:rPr>
          <w:rFonts w:ascii="SimSun" w:hAnsi="SimSun" w:cs="SimSun" w:hint="eastAsia"/>
          <w:lang w:val="zh-CN" w:eastAsia="zh-CN" w:bidi="th-TH"/>
        </w:rPr>
        <w:t>附录</w:t>
      </w:r>
      <w:r>
        <w:rPr>
          <w:rFonts w:ascii="SimSun" w:hAnsi="SimSun" w:cs="SimSun" w:hint="eastAsia"/>
          <w:lang w:val="zh-CN" w:eastAsia="zh-CN" w:bidi="th-TH"/>
        </w:rPr>
        <w:t>所</w:t>
      </w:r>
      <w:r w:rsidRPr="00984C8C">
        <w:rPr>
          <w:rFonts w:ascii="SimSun" w:hAnsi="SimSun" w:cs="SimSun" w:hint="eastAsia"/>
          <w:lang w:val="zh-CN" w:eastAsia="zh-CN" w:bidi="th-TH"/>
        </w:rPr>
        <w:t>列利益披露表</w:t>
      </w:r>
      <w:r>
        <w:rPr>
          <w:rFonts w:ascii="SimSun" w:hAnsi="SimSun" w:cs="SimSun" w:hint="eastAsia"/>
          <w:lang w:val="zh-CN" w:eastAsia="zh-CN" w:bidi="th-TH"/>
        </w:rPr>
        <w:t>应在</w:t>
      </w:r>
      <w:r w:rsidRPr="00984C8C">
        <w:rPr>
          <w:rFonts w:ascii="SimSun" w:hAnsi="SimSun" w:cs="SimSun" w:hint="eastAsia"/>
          <w:lang w:val="zh-CN" w:eastAsia="zh-CN" w:bidi="th-TH"/>
        </w:rPr>
        <w:t>指派和审查</w:t>
      </w:r>
      <w:r>
        <w:rPr>
          <w:rFonts w:ascii="SimSun" w:hAnsi="SimSun" w:cs="SimSun" w:hint="eastAsia"/>
          <w:lang w:val="zh-CN" w:eastAsia="zh-CN" w:bidi="th-TH"/>
        </w:rPr>
        <w:t>被</w:t>
      </w:r>
      <w:r w:rsidRPr="00984C8C">
        <w:rPr>
          <w:rFonts w:ascii="SimSun" w:hAnsi="SimSun" w:cs="SimSun" w:hint="eastAsia"/>
          <w:lang w:val="zh-CN" w:eastAsia="zh-CN" w:bidi="th-TH"/>
        </w:rPr>
        <w:t>提名</w:t>
      </w:r>
      <w:r>
        <w:rPr>
          <w:rFonts w:ascii="SimSun" w:hAnsi="SimSun" w:cs="SimSun" w:hint="eastAsia"/>
          <w:lang w:val="zh-CN" w:eastAsia="zh-CN" w:bidi="th-TH"/>
        </w:rPr>
        <w:t>的</w:t>
      </w:r>
      <w:r w:rsidRPr="00984C8C">
        <w:rPr>
          <w:rFonts w:ascii="SimSun" w:hAnsi="SimSun" w:cs="SimSun" w:hint="eastAsia"/>
          <w:lang w:val="zh-CN" w:eastAsia="zh-CN" w:bidi="th-TH"/>
        </w:rPr>
        <w:t>专家组成员</w:t>
      </w:r>
      <w:r>
        <w:rPr>
          <w:rFonts w:ascii="SimSun" w:hAnsi="SimSun" w:cs="SimSun" w:hint="eastAsia"/>
          <w:lang w:val="zh-CN" w:eastAsia="zh-CN" w:bidi="th-TH"/>
        </w:rPr>
        <w:t>时使用</w:t>
      </w:r>
      <w:r w:rsidRPr="00984C8C">
        <w:rPr>
          <w:rFonts w:ascii="SimSun" w:hAnsi="SimSun" w:cs="SimSun" w:hint="eastAsia"/>
          <w:lang w:val="zh-CN" w:eastAsia="zh-CN" w:bidi="th-TH"/>
        </w:rPr>
        <w:t>。</w:t>
      </w:r>
    </w:p>
    <w:p w:rsidR="001F1AAC" w:rsidRDefault="001F1AAC" w:rsidP="001F1AAC">
      <w:pPr>
        <w:shd w:val="clear" w:color="auto" w:fill="FFFFFF"/>
        <w:ind w:left="720" w:hanging="720"/>
        <w:rPr>
          <w:rFonts w:hAnsi="SimSun"/>
          <w:lang w:val="zh-CN" w:eastAsia="zh-CN" w:bidi="th-TH"/>
        </w:rPr>
      </w:pPr>
      <w:r w:rsidRPr="00984C8C">
        <w:rPr>
          <w:kern w:val="22"/>
          <w:lang w:eastAsia="zh-CN" w:bidi="th-TH"/>
        </w:rPr>
        <w:t>3.2</w:t>
      </w:r>
      <w:r w:rsidRPr="00984C8C">
        <w:rPr>
          <w:kern w:val="22"/>
          <w:lang w:eastAsia="zh-CN" w:bidi="th-TH"/>
        </w:rPr>
        <w:tab/>
      </w:r>
      <w:r w:rsidRPr="00984C8C">
        <w:rPr>
          <w:rFonts w:eastAsia="Times New Roman" w:hAnsi="SimSun"/>
          <w:lang w:val="zh-CN" w:eastAsia="zh-CN" w:bidi="th-TH"/>
        </w:rPr>
        <w:t>披露表将以联合国所有六种正式语文提供。</w:t>
      </w:r>
    </w:p>
    <w:p w:rsidR="001F1AAC" w:rsidRPr="00015452" w:rsidRDefault="001F1AAC" w:rsidP="001F1AAC">
      <w:pPr>
        <w:shd w:val="clear" w:color="auto" w:fill="FFFFFF"/>
        <w:ind w:left="720" w:hanging="720"/>
        <w:rPr>
          <w:rFonts w:eastAsia="Times New Roman" w:hAnsi="SimSun"/>
          <w:lang w:val="zh-CN" w:eastAsia="zh-CN" w:bidi="th-TH"/>
        </w:rPr>
      </w:pPr>
      <w:r w:rsidRPr="00015452">
        <w:rPr>
          <w:rFonts w:eastAsia="Times New Roman" w:hAnsi="SimSun"/>
          <w:lang w:eastAsia="zh-CN" w:bidi="th-TH"/>
        </w:rPr>
        <w:t>3.3</w:t>
      </w:r>
      <w:r w:rsidRPr="00015452">
        <w:rPr>
          <w:rFonts w:eastAsia="Times New Roman" w:hAnsi="SimSun"/>
          <w:lang w:eastAsia="zh-CN" w:bidi="th-TH"/>
        </w:rPr>
        <w:tab/>
      </w:r>
      <w:r w:rsidRPr="00015452">
        <w:rPr>
          <w:rFonts w:ascii="SimSun" w:hAnsi="SimSun" w:cs="SimSun" w:hint="eastAsia"/>
          <w:lang w:val="zh-CN" w:eastAsia="zh-CN" w:bidi="th-TH"/>
        </w:rPr>
        <w:t>填写完毕后，披露表应交存秘书处。</w:t>
      </w:r>
    </w:p>
    <w:p w:rsidR="001F1AAC" w:rsidRPr="00416C71" w:rsidRDefault="001F1AAC" w:rsidP="0044481C">
      <w:pPr>
        <w:keepNext/>
        <w:shd w:val="clear" w:color="auto" w:fill="FFFFFF"/>
        <w:adjustRightInd w:val="0"/>
        <w:ind w:firstLine="0"/>
        <w:rPr>
          <w:rFonts w:ascii="SimSun" w:hAnsi="SimSun"/>
          <w:b/>
          <w:kern w:val="22"/>
          <w:lang w:eastAsia="zh-CN" w:bidi="th-TH"/>
        </w:rPr>
      </w:pPr>
      <w:r w:rsidRPr="00416C71">
        <w:rPr>
          <w:rFonts w:ascii="SimSun" w:hAnsi="SimSun"/>
          <w:b/>
          <w:kern w:val="22"/>
          <w:lang w:eastAsia="zh-CN" w:bidi="th-TH"/>
        </w:rPr>
        <w:t>4.</w:t>
      </w:r>
      <w:r w:rsidRPr="00416C71">
        <w:rPr>
          <w:rFonts w:ascii="SimSun" w:hAnsi="SimSun"/>
          <w:b/>
          <w:kern w:val="22"/>
          <w:lang w:eastAsia="zh-CN" w:bidi="th-TH"/>
        </w:rPr>
        <w:tab/>
      </w:r>
      <w:r w:rsidRPr="00416C71">
        <w:rPr>
          <w:rFonts w:ascii="SimSun" w:hAnsi="SimSun" w:hint="eastAsia"/>
          <w:b/>
          <w:kern w:val="22"/>
          <w:lang w:val="zh-CN" w:eastAsia="zh-CN" w:bidi="th-TH"/>
        </w:rPr>
        <w:t>执行</w:t>
      </w:r>
      <w:r w:rsidRPr="00416C71">
        <w:rPr>
          <w:rFonts w:ascii="SimSun" w:hAnsi="SimSun"/>
          <w:b/>
          <w:kern w:val="22"/>
          <w:lang w:val="zh-CN" w:eastAsia="zh-CN" w:bidi="th-TH"/>
        </w:rPr>
        <w:t xml:space="preserve"> </w:t>
      </w:r>
    </w:p>
    <w:p w:rsidR="001F1AAC" w:rsidRPr="00984C8C" w:rsidRDefault="001F1AAC" w:rsidP="001F1AAC">
      <w:pPr>
        <w:shd w:val="clear" w:color="auto" w:fill="FFFFFF"/>
        <w:ind w:left="720" w:hanging="720"/>
        <w:rPr>
          <w:kern w:val="22"/>
          <w:lang w:eastAsia="zh-CN" w:bidi="th-TH"/>
        </w:rPr>
      </w:pPr>
      <w:r w:rsidRPr="00984C8C">
        <w:rPr>
          <w:kern w:val="22"/>
          <w:lang w:eastAsia="zh-CN" w:bidi="th-TH"/>
        </w:rPr>
        <w:t>4.1</w:t>
      </w:r>
      <w:r w:rsidRPr="00984C8C">
        <w:rPr>
          <w:kern w:val="22"/>
          <w:lang w:eastAsia="zh-CN" w:bidi="th-TH"/>
        </w:rPr>
        <w:tab/>
      </w:r>
      <w:r w:rsidRPr="00984C8C">
        <w:rPr>
          <w:rFonts w:eastAsia="Times New Roman" w:hAnsi="SimSun"/>
          <w:lang w:val="zh-CN" w:eastAsia="zh-CN" w:bidi="th-TH"/>
        </w:rPr>
        <w:t>专家组成员的提名应附有每位被提名</w:t>
      </w:r>
      <w:r>
        <w:rPr>
          <w:rFonts w:eastAsiaTheme="minorEastAsia" w:hAnsi="SimSun" w:hint="eastAsia"/>
          <w:lang w:val="zh-CN" w:eastAsia="zh-CN" w:bidi="th-TH"/>
        </w:rPr>
        <w:t>的</w:t>
      </w:r>
      <w:r>
        <w:rPr>
          <w:rFonts w:eastAsiaTheme="minorEastAsia" w:hAnsi="SimSun"/>
          <w:lang w:val="zh-CN" w:eastAsia="zh-CN" w:bidi="th-TH"/>
        </w:rPr>
        <w:t>人员</w:t>
      </w:r>
      <w:r w:rsidRPr="00984C8C">
        <w:rPr>
          <w:rFonts w:eastAsia="Times New Roman" w:hAnsi="SimSun"/>
          <w:lang w:val="zh-CN" w:eastAsia="zh-CN" w:bidi="th-TH"/>
        </w:rPr>
        <w:t>正式填写和签署的利益披露表。</w:t>
      </w:r>
    </w:p>
    <w:p w:rsidR="001F1AAC" w:rsidRPr="00FD07C5" w:rsidRDefault="001F1AAC" w:rsidP="001F1AAC">
      <w:pPr>
        <w:suppressLineNumbers/>
        <w:shd w:val="clear" w:color="auto" w:fill="FFFFFF" w:themeFill="background1"/>
        <w:suppressAutoHyphens/>
        <w:kinsoku w:val="0"/>
        <w:overflowPunct w:val="0"/>
        <w:autoSpaceDE w:val="0"/>
        <w:autoSpaceDN w:val="0"/>
        <w:adjustRightInd w:val="0"/>
        <w:snapToGrid w:val="0"/>
        <w:ind w:left="720" w:hanging="720"/>
        <w:rPr>
          <w:rFonts w:hAnsi="SimSun"/>
          <w:lang w:val="zh-CN" w:eastAsia="zh-CN" w:bidi="th-TH"/>
        </w:rPr>
      </w:pPr>
      <w:r w:rsidRPr="00921D9D">
        <w:rPr>
          <w:kern w:val="22"/>
          <w:sz w:val="28"/>
          <w:lang w:eastAsia="zh-CN" w:bidi="th-TH"/>
        </w:rPr>
        <w:t>4.2</w:t>
      </w:r>
      <w:r w:rsidRPr="00921D9D">
        <w:rPr>
          <w:kern w:val="22"/>
          <w:sz w:val="28"/>
          <w:lang w:eastAsia="zh-CN" w:bidi="th-TH"/>
        </w:rPr>
        <w:tab/>
      </w:r>
      <w:r w:rsidRPr="00984C8C">
        <w:rPr>
          <w:rFonts w:ascii="SimSun" w:hAnsi="SimSun" w:cs="SimSun" w:hint="eastAsia"/>
          <w:lang w:val="zh-CN" w:eastAsia="zh-CN" w:bidi="th-TH"/>
        </w:rPr>
        <w:t>在</w:t>
      </w:r>
      <w:r w:rsidRPr="00984C8C">
        <w:rPr>
          <w:rFonts w:eastAsia="Times New Roman" w:hAnsi="SimSun"/>
          <w:lang w:val="zh-CN" w:eastAsia="zh-CN" w:bidi="th-TH"/>
        </w:rPr>
        <w:t>收到提名以及正式填写的利益披露表后</w:t>
      </w:r>
      <w:r w:rsidRPr="00984C8C">
        <w:rPr>
          <w:rFonts w:eastAsia="Times New Roman" w:hAnsi="SimSun"/>
          <w:lang w:eastAsia="zh-CN" w:bidi="th-TH"/>
        </w:rPr>
        <w:t>，</w:t>
      </w:r>
      <w:r w:rsidRPr="00984C8C">
        <w:rPr>
          <w:rFonts w:eastAsia="Times New Roman" w:hAnsi="SimSun"/>
          <w:lang w:val="zh-CN" w:eastAsia="zh-CN" w:bidi="th-TH"/>
        </w:rPr>
        <w:t>秘书处将</w:t>
      </w:r>
      <w:r>
        <w:rPr>
          <w:rFonts w:eastAsiaTheme="minorEastAsia" w:hAnsi="SimSun" w:hint="eastAsia"/>
          <w:lang w:val="zh-CN" w:eastAsia="zh-CN" w:bidi="th-TH"/>
        </w:rPr>
        <w:t>对</w:t>
      </w:r>
      <w:r>
        <w:rPr>
          <w:rFonts w:eastAsiaTheme="minorEastAsia" w:hAnsi="SimSun"/>
          <w:lang w:val="zh-CN" w:eastAsia="zh-CN" w:bidi="th-TH"/>
        </w:rPr>
        <w:t>所</w:t>
      </w:r>
      <w:r w:rsidRPr="00984C8C">
        <w:rPr>
          <w:rFonts w:eastAsia="Times New Roman" w:hAnsi="SimSun"/>
          <w:lang w:val="zh-CN" w:eastAsia="zh-CN" w:bidi="th-TH"/>
        </w:rPr>
        <w:t>提供信息</w:t>
      </w:r>
      <w:r>
        <w:rPr>
          <w:rFonts w:eastAsiaTheme="minorEastAsia" w:hAnsi="SimSun" w:hint="eastAsia"/>
          <w:lang w:val="zh-CN" w:eastAsia="zh-CN" w:bidi="th-TH"/>
        </w:rPr>
        <w:t>进行</w:t>
      </w:r>
      <w:r>
        <w:rPr>
          <w:rFonts w:eastAsiaTheme="minorEastAsia" w:hAnsi="SimSun"/>
          <w:lang w:val="zh-CN" w:eastAsia="zh-CN" w:bidi="th-TH"/>
        </w:rPr>
        <w:t>审查</w:t>
      </w:r>
      <w:r>
        <w:rPr>
          <w:rFonts w:hAnsi="SimSun" w:hint="eastAsia"/>
          <w:lang w:val="zh-CN" w:eastAsia="zh-CN" w:bidi="th-TH"/>
        </w:rPr>
        <w:t>，</w:t>
      </w:r>
      <w:r w:rsidRPr="00984C8C">
        <w:rPr>
          <w:rFonts w:eastAsia="Times New Roman" w:hAnsi="SimSun"/>
          <w:lang w:val="zh-CN" w:eastAsia="zh-CN" w:bidi="th-TH"/>
        </w:rPr>
        <w:t>以确定是否</w:t>
      </w:r>
      <w:r>
        <w:rPr>
          <w:rFonts w:hAnsi="SimSun" w:hint="eastAsia"/>
          <w:lang w:val="zh-CN" w:eastAsia="zh-CN" w:bidi="th-TH"/>
        </w:rPr>
        <w:t>可能存在利益冲突</w:t>
      </w:r>
      <w:r w:rsidRPr="00984C8C">
        <w:rPr>
          <w:rFonts w:eastAsia="Times New Roman" w:hAnsi="SimSun"/>
          <w:lang w:eastAsia="zh-CN" w:bidi="th-TH"/>
        </w:rPr>
        <w:t>，</w:t>
      </w:r>
      <w:r>
        <w:rPr>
          <w:rFonts w:eastAsia="Times New Roman" w:hAnsi="SimSun"/>
          <w:lang w:val="zh-CN" w:eastAsia="zh-CN" w:bidi="th-TH"/>
        </w:rPr>
        <w:t>如</w:t>
      </w:r>
      <w:r>
        <w:rPr>
          <w:rFonts w:hAnsi="SimSun" w:hint="eastAsia"/>
          <w:lang w:val="zh-CN" w:eastAsia="zh-CN" w:bidi="th-TH"/>
        </w:rPr>
        <w:t>存在</w:t>
      </w:r>
      <w:r w:rsidRPr="00984C8C">
        <w:rPr>
          <w:rFonts w:eastAsia="Times New Roman" w:hAnsi="SimSun"/>
          <w:lang w:eastAsia="zh-CN" w:bidi="th-TH"/>
        </w:rPr>
        <w:t>，</w:t>
      </w:r>
      <w:r>
        <w:rPr>
          <w:rFonts w:hAnsi="SimSun" w:hint="eastAsia"/>
          <w:lang w:eastAsia="zh-CN" w:bidi="th-TH"/>
        </w:rPr>
        <w:t>是否</w:t>
      </w:r>
      <w:r w:rsidRPr="00984C8C">
        <w:rPr>
          <w:rFonts w:eastAsia="Times New Roman" w:hAnsi="SimSun"/>
          <w:lang w:val="zh-CN" w:eastAsia="zh-CN" w:bidi="th-TH"/>
        </w:rPr>
        <w:t>与</w:t>
      </w:r>
      <w:r>
        <w:rPr>
          <w:rFonts w:hAnsi="SimSun" w:hint="eastAsia"/>
          <w:lang w:val="zh-CN" w:eastAsia="zh-CN" w:bidi="th-TH"/>
        </w:rPr>
        <w:t>有关</w:t>
      </w:r>
      <w:r w:rsidRPr="00984C8C">
        <w:rPr>
          <w:rFonts w:eastAsia="Times New Roman" w:hAnsi="SimSun"/>
          <w:lang w:val="zh-CN" w:eastAsia="zh-CN" w:bidi="th-TH"/>
        </w:rPr>
        <w:t>专家组的主题事务或工作相关</w:t>
      </w:r>
      <w:r w:rsidRPr="00984C8C">
        <w:rPr>
          <w:rFonts w:eastAsia="Times New Roman" w:hAnsi="SimSun"/>
          <w:lang w:eastAsia="zh-CN" w:bidi="th-TH"/>
        </w:rPr>
        <w:t>，</w:t>
      </w:r>
      <w:r w:rsidRPr="00984C8C">
        <w:rPr>
          <w:rFonts w:eastAsia="Times New Roman" w:hAnsi="SimSun"/>
          <w:lang w:val="zh-CN" w:eastAsia="zh-CN" w:bidi="th-TH"/>
        </w:rPr>
        <w:t>并可能影响或</w:t>
      </w:r>
      <w:r>
        <w:rPr>
          <w:rFonts w:eastAsiaTheme="minorEastAsia" w:hAnsi="SimSun" w:hint="eastAsia"/>
          <w:lang w:val="zh-CN" w:eastAsia="zh-CN" w:bidi="th-TH"/>
        </w:rPr>
        <w:t>有理由</w:t>
      </w:r>
      <w:r>
        <w:rPr>
          <w:rFonts w:eastAsia="Times New Roman" w:hAnsi="SimSun"/>
          <w:lang w:val="zh-CN" w:eastAsia="zh-CN" w:bidi="th-TH"/>
        </w:rPr>
        <w:t>被</w:t>
      </w:r>
      <w:r w:rsidRPr="00984C8C">
        <w:rPr>
          <w:rFonts w:eastAsia="Times New Roman" w:hAnsi="SimSun"/>
          <w:lang w:val="zh-CN" w:eastAsia="zh-CN" w:bidi="th-TH"/>
        </w:rPr>
        <w:t>地认为会影响专家作出客观和独立的判断</w:t>
      </w:r>
      <w:r>
        <w:rPr>
          <w:rFonts w:hAnsi="SimSun" w:hint="eastAsia"/>
          <w:lang w:val="zh-CN" w:eastAsia="zh-CN" w:bidi="th-TH"/>
        </w:rPr>
        <w:t>。这一审查还包括被提名的</w:t>
      </w:r>
      <w:r>
        <w:rPr>
          <w:rFonts w:hAnsi="SimSun"/>
          <w:lang w:val="zh-CN" w:eastAsia="zh-CN" w:bidi="th-TH"/>
        </w:rPr>
        <w:t>人员</w:t>
      </w:r>
      <w:r>
        <w:rPr>
          <w:rFonts w:hAnsi="SimSun" w:hint="eastAsia"/>
          <w:lang w:val="zh-CN" w:eastAsia="zh-CN" w:bidi="th-TH"/>
        </w:rPr>
        <w:t>提出的为管理冲突拟议采取的任何步骤。</w:t>
      </w:r>
      <w:r w:rsidRPr="00984C8C">
        <w:rPr>
          <w:rFonts w:eastAsia="Times New Roman" w:hAnsi="SimSun"/>
          <w:lang w:val="zh-CN" w:eastAsia="zh-CN" w:bidi="th-TH"/>
        </w:rPr>
        <w:t>如</w:t>
      </w:r>
      <w:r>
        <w:rPr>
          <w:rFonts w:hAnsi="SimSun" w:hint="eastAsia"/>
          <w:lang w:val="zh-CN" w:eastAsia="zh-CN" w:bidi="th-TH"/>
        </w:rPr>
        <w:t>审查的结果</w:t>
      </w:r>
      <w:r w:rsidRPr="00984C8C">
        <w:rPr>
          <w:rFonts w:eastAsia="Times New Roman" w:hAnsi="SimSun"/>
          <w:lang w:val="zh-CN" w:eastAsia="zh-CN" w:bidi="th-TH"/>
        </w:rPr>
        <w:t>引起潜在关切</w:t>
      </w:r>
      <w:r w:rsidRPr="00984C8C">
        <w:rPr>
          <w:rFonts w:eastAsia="Times New Roman" w:hAnsi="SimSun"/>
          <w:lang w:eastAsia="zh-CN" w:bidi="th-TH"/>
        </w:rPr>
        <w:t>，</w:t>
      </w:r>
      <w:r w:rsidRPr="00984C8C">
        <w:rPr>
          <w:rFonts w:eastAsia="Times New Roman" w:hAnsi="SimSun"/>
          <w:lang w:val="zh-CN" w:eastAsia="zh-CN" w:bidi="th-TH"/>
        </w:rPr>
        <w:t>秘书处可直接</w:t>
      </w:r>
      <w:r>
        <w:rPr>
          <w:rFonts w:hAnsi="SimSun" w:hint="eastAsia"/>
          <w:lang w:val="zh-CN" w:eastAsia="zh-CN" w:bidi="th-TH"/>
        </w:rPr>
        <w:t>和</w:t>
      </w:r>
      <w:r w:rsidRPr="00984C8C">
        <w:rPr>
          <w:rFonts w:eastAsia="Times New Roman" w:hAnsi="SimSun"/>
          <w:lang w:val="zh-CN" w:eastAsia="zh-CN" w:bidi="th-TH"/>
        </w:rPr>
        <w:t>通过</w:t>
      </w:r>
      <w:r>
        <w:rPr>
          <w:rFonts w:hAnsi="SimSun" w:hint="eastAsia"/>
          <w:lang w:val="zh-CN" w:eastAsia="zh-CN" w:bidi="th-TH"/>
        </w:rPr>
        <w:t>提名该专家的</w:t>
      </w:r>
      <w:r w:rsidRPr="00984C8C">
        <w:rPr>
          <w:rFonts w:eastAsia="Times New Roman" w:hAnsi="SimSun"/>
          <w:lang w:val="zh-CN" w:eastAsia="zh-CN" w:bidi="th-TH"/>
        </w:rPr>
        <w:t>缔约方或观察员要求</w:t>
      </w:r>
      <w:r>
        <w:rPr>
          <w:rFonts w:hAnsi="SimSun" w:hint="eastAsia"/>
          <w:lang w:val="zh-CN" w:eastAsia="zh-CN" w:bidi="th-TH"/>
        </w:rPr>
        <w:t>该</w:t>
      </w:r>
      <w:r w:rsidRPr="00984C8C">
        <w:rPr>
          <w:rFonts w:eastAsia="Times New Roman" w:hAnsi="SimSun"/>
          <w:lang w:val="zh-CN" w:eastAsia="zh-CN" w:bidi="th-TH"/>
        </w:rPr>
        <w:t>专家提供进一步信息</w:t>
      </w:r>
      <w:r>
        <w:rPr>
          <w:rFonts w:hAnsi="SimSun" w:hint="eastAsia"/>
          <w:lang w:val="zh-CN" w:eastAsia="zh-CN" w:bidi="th-TH"/>
        </w:rPr>
        <w:t>，并可根据以下</w:t>
      </w:r>
      <w:r>
        <w:rPr>
          <w:rFonts w:hAnsi="SimSun" w:hint="eastAsia"/>
          <w:lang w:val="zh-CN" w:eastAsia="zh-CN" w:bidi="th-TH"/>
        </w:rPr>
        <w:lastRenderedPageBreak/>
        <w:t>第</w:t>
      </w:r>
      <w:r>
        <w:rPr>
          <w:rFonts w:hAnsi="SimSun"/>
          <w:lang w:val="zh-CN" w:eastAsia="zh-CN" w:bidi="th-TH"/>
        </w:rPr>
        <w:t>4.3</w:t>
      </w:r>
      <w:r>
        <w:rPr>
          <w:rFonts w:hAnsi="SimSun" w:hint="eastAsia"/>
          <w:lang w:val="zh-CN" w:eastAsia="zh-CN" w:bidi="th-TH"/>
        </w:rPr>
        <w:t>段向相关主席团发出通报</w:t>
      </w:r>
      <w:r w:rsidRPr="00984C8C">
        <w:rPr>
          <w:rFonts w:eastAsia="Times New Roman" w:hAnsi="SimSun"/>
          <w:lang w:val="zh-CN" w:eastAsia="zh-CN" w:bidi="th-TH"/>
        </w:rPr>
        <w:t>。</w:t>
      </w:r>
      <w:r>
        <w:rPr>
          <w:rFonts w:hAnsi="SimSun" w:hint="eastAsia"/>
          <w:lang w:val="zh-CN" w:eastAsia="zh-CN" w:bidi="th-TH"/>
        </w:rPr>
        <w:t>如该专家由《公约》的国家联络点提名，则也将通知该联络点。</w:t>
      </w:r>
    </w:p>
    <w:p w:rsidR="001F1AAC" w:rsidRPr="005A6781" w:rsidRDefault="001F1AAC" w:rsidP="001F1AAC">
      <w:pPr>
        <w:shd w:val="clear" w:color="auto" w:fill="FFFFFF"/>
        <w:ind w:left="720" w:hanging="720"/>
        <w:rPr>
          <w:rFonts w:hAnsi="SimSun"/>
          <w:kern w:val="22"/>
          <w:lang w:val="zh-CN" w:eastAsia="zh-CN" w:bidi="th-TH"/>
        </w:rPr>
      </w:pPr>
      <w:r w:rsidRPr="00984C8C">
        <w:rPr>
          <w:kern w:val="22"/>
          <w:lang w:eastAsia="zh-CN" w:bidi="th-TH"/>
        </w:rPr>
        <w:t>4.3</w:t>
      </w:r>
      <w:r w:rsidRPr="00984C8C">
        <w:rPr>
          <w:kern w:val="22"/>
          <w:lang w:eastAsia="zh-CN" w:bidi="th-TH"/>
        </w:rPr>
        <w:tab/>
      </w:r>
      <w:r>
        <w:rPr>
          <w:rFonts w:hint="eastAsia"/>
          <w:kern w:val="22"/>
          <w:lang w:eastAsia="zh-CN" w:bidi="th-TH"/>
        </w:rPr>
        <w:t>根据所审议的问题，《公约》缔约方大会的主席团或科学、技术和工艺咨询附属机构的主席团，根据秘书处的评估，并酌情根据科学、技术和工艺咨询附属机构的的工作方法，应在以下基础上核准供遴选和受邀担任有关专家组成员的被提名者：</w:t>
      </w:r>
      <w:r>
        <w:rPr>
          <w:rFonts w:eastAsia="Times New Roman" w:hAnsi="SimSun"/>
          <w:lang w:val="zh-CN" w:eastAsia="zh-CN" w:bidi="th-TH"/>
        </w:rPr>
        <w:t xml:space="preserve"> (</w:t>
      </w:r>
      <w:r w:rsidRPr="00984C8C">
        <w:rPr>
          <w:lang w:eastAsia="zh-CN" w:bidi="th-TH"/>
        </w:rPr>
        <w:t>a</w:t>
      </w:r>
      <w:r>
        <w:rPr>
          <w:lang w:eastAsia="zh-CN" w:bidi="th-TH"/>
        </w:rPr>
        <w:t xml:space="preserve">) </w:t>
      </w:r>
      <w:r w:rsidRPr="00984C8C">
        <w:rPr>
          <w:rFonts w:ascii="SimSun" w:hAnsi="SimSun" w:cs="SimSun" w:hint="eastAsia"/>
          <w:lang w:val="zh-CN" w:eastAsia="zh-CN" w:bidi="th-TH"/>
        </w:rPr>
        <w:t>专家组的</w:t>
      </w:r>
      <w:r>
        <w:rPr>
          <w:rFonts w:eastAsiaTheme="minorEastAsia" w:hAnsi="SimSun" w:hint="eastAsia"/>
          <w:lang w:val="zh-CN" w:eastAsia="zh-CN" w:bidi="th-TH"/>
        </w:rPr>
        <w:t>任务</w:t>
      </w:r>
      <w:r w:rsidRPr="00984C8C">
        <w:rPr>
          <w:rFonts w:ascii="SimSun" w:hAnsi="SimSun" w:cs="SimSun" w:hint="eastAsia"/>
          <w:lang w:val="zh-CN" w:eastAsia="zh-CN" w:bidi="th-TH"/>
        </w:rPr>
        <w:t>范围</w:t>
      </w:r>
      <w:r w:rsidRPr="00984C8C">
        <w:rPr>
          <w:rFonts w:ascii="SimSun" w:hAnsi="SimSun" w:cs="SimSun" w:hint="eastAsia"/>
          <w:lang w:eastAsia="zh-CN" w:bidi="th-TH"/>
        </w:rPr>
        <w:t>；</w:t>
      </w:r>
      <w:r>
        <w:rPr>
          <w:rFonts w:eastAsia="Times New Roman" w:hAnsi="SimSun"/>
          <w:lang w:eastAsia="zh-CN" w:bidi="th-TH"/>
        </w:rPr>
        <w:t>(</w:t>
      </w:r>
      <w:r w:rsidRPr="00984C8C">
        <w:rPr>
          <w:lang w:eastAsia="zh-CN" w:bidi="th-TH"/>
        </w:rPr>
        <w:t>b</w:t>
      </w:r>
      <w:r>
        <w:rPr>
          <w:lang w:eastAsia="zh-CN" w:bidi="th-TH"/>
        </w:rPr>
        <w:t xml:space="preserve">) </w:t>
      </w:r>
      <w:r w:rsidRPr="00984C8C">
        <w:rPr>
          <w:rFonts w:ascii="SimSun" w:hAnsi="SimSun" w:cs="SimSun" w:hint="eastAsia"/>
          <w:lang w:val="zh-CN" w:eastAsia="zh-CN" w:bidi="th-TH"/>
        </w:rPr>
        <w:t>提名通知中可能列出的标准</w:t>
      </w:r>
      <w:r w:rsidRPr="00984C8C">
        <w:rPr>
          <w:rFonts w:ascii="SimSun" w:hAnsi="SimSun" w:cs="SimSun" w:hint="eastAsia"/>
          <w:lang w:eastAsia="zh-CN" w:bidi="th-TH"/>
        </w:rPr>
        <w:t>；</w:t>
      </w:r>
      <w:r>
        <w:rPr>
          <w:rFonts w:eastAsia="Times New Roman" w:hAnsi="SimSun"/>
          <w:lang w:eastAsia="zh-CN" w:bidi="th-TH"/>
        </w:rPr>
        <w:t>(</w:t>
      </w:r>
      <w:r w:rsidRPr="00984C8C">
        <w:rPr>
          <w:lang w:eastAsia="zh-CN" w:bidi="th-TH"/>
        </w:rPr>
        <w:t>c</w:t>
      </w:r>
      <w:r>
        <w:rPr>
          <w:lang w:eastAsia="zh-CN" w:bidi="th-TH"/>
        </w:rPr>
        <w:t xml:space="preserve">) </w:t>
      </w:r>
      <w:r>
        <w:rPr>
          <w:rFonts w:ascii="SimSun" w:hAnsi="SimSun" w:cs="SimSun" w:hint="eastAsia"/>
          <w:lang w:eastAsia="zh-CN" w:bidi="th-TH"/>
        </w:rPr>
        <w:t>对</w:t>
      </w:r>
      <w:r>
        <w:rPr>
          <w:rFonts w:ascii="SimSun" w:hAnsi="SimSun" w:cs="SimSun" w:hint="eastAsia"/>
          <w:lang w:val="zh-CN" w:eastAsia="zh-CN" w:bidi="th-TH"/>
        </w:rPr>
        <w:t>利益披露表</w:t>
      </w:r>
      <w:r w:rsidRPr="00984C8C">
        <w:rPr>
          <w:rFonts w:ascii="SimSun" w:hAnsi="SimSun" w:cs="SimSun" w:hint="eastAsia"/>
          <w:lang w:val="zh-CN" w:eastAsia="zh-CN" w:bidi="th-TH"/>
        </w:rPr>
        <w:t>提供的信息的</w:t>
      </w:r>
      <w:r>
        <w:rPr>
          <w:rFonts w:ascii="SimSun" w:hAnsi="SimSun" w:cs="SimSun" w:hint="eastAsia"/>
          <w:lang w:val="zh-CN" w:eastAsia="zh-CN" w:bidi="th-TH"/>
        </w:rPr>
        <w:t>审查</w:t>
      </w:r>
      <w:r w:rsidRPr="00984C8C">
        <w:rPr>
          <w:rFonts w:ascii="SimSun" w:hAnsi="SimSun" w:cs="SimSun" w:hint="eastAsia"/>
          <w:lang w:val="zh-CN" w:eastAsia="zh-CN" w:bidi="th-TH"/>
        </w:rPr>
        <w:t>结果</w:t>
      </w:r>
      <w:r>
        <w:rPr>
          <w:rFonts w:hAnsi="SimSun" w:hint="eastAsia"/>
          <w:lang w:eastAsia="zh-CN" w:bidi="th-TH"/>
        </w:rPr>
        <w:t>以及任何相关的协商</w:t>
      </w:r>
      <w:r w:rsidRPr="00984C8C">
        <w:rPr>
          <w:rFonts w:ascii="SimSun" w:hAnsi="SimSun" w:cs="SimSun" w:hint="eastAsia"/>
          <w:kern w:val="22"/>
          <w:lang w:val="zh-CN" w:eastAsia="zh-CN" w:bidi="th-TH"/>
        </w:rPr>
        <w:t>。</w:t>
      </w:r>
      <w:r>
        <w:rPr>
          <w:rFonts w:hAnsi="SimSun" w:hint="eastAsia"/>
          <w:kern w:val="22"/>
          <w:lang w:val="zh-CN" w:eastAsia="zh-CN" w:bidi="th-TH"/>
        </w:rPr>
        <w:t>如因利益冲突某专家未被</w:t>
      </w:r>
      <w:r>
        <w:rPr>
          <w:rFonts w:hAnsi="SimSun"/>
          <w:kern w:val="22"/>
          <w:lang w:val="zh-CN" w:eastAsia="zh-CN" w:bidi="th-TH"/>
        </w:rPr>
        <w:t>选用</w:t>
      </w:r>
      <w:r>
        <w:rPr>
          <w:rFonts w:hAnsi="SimSun" w:hint="eastAsia"/>
          <w:kern w:val="22"/>
          <w:lang w:val="zh-CN" w:eastAsia="zh-CN" w:bidi="th-TH"/>
        </w:rPr>
        <w:t>，应</w:t>
      </w:r>
      <w:r>
        <w:rPr>
          <w:rFonts w:hAnsi="SimSun"/>
          <w:kern w:val="22"/>
          <w:lang w:val="zh-CN" w:eastAsia="zh-CN" w:bidi="th-TH"/>
        </w:rPr>
        <w:t>将此</w:t>
      </w:r>
      <w:r>
        <w:rPr>
          <w:rFonts w:hAnsi="SimSun" w:hint="eastAsia"/>
          <w:kern w:val="22"/>
          <w:lang w:val="zh-CN" w:eastAsia="zh-CN" w:bidi="th-TH"/>
        </w:rPr>
        <w:t>通知该专家和相关的主席团。根据需要，主席团可直接通过秘书处，或通过相关缔约方或观察员，要求</w:t>
      </w:r>
      <w:r>
        <w:rPr>
          <w:rFonts w:hAnsi="SimSun"/>
          <w:kern w:val="22"/>
          <w:lang w:val="zh-CN" w:eastAsia="zh-CN" w:bidi="th-TH"/>
        </w:rPr>
        <w:t>该专家</w:t>
      </w:r>
      <w:r>
        <w:rPr>
          <w:rFonts w:hAnsi="SimSun" w:hint="eastAsia"/>
          <w:kern w:val="22"/>
          <w:lang w:val="zh-CN" w:eastAsia="zh-CN" w:bidi="th-TH"/>
        </w:rPr>
        <w:t>提供进一步信息。如该专家由《公约》的某一联络点提名，该联络点也应</w:t>
      </w:r>
      <w:r>
        <w:rPr>
          <w:rFonts w:hAnsi="SimSun"/>
          <w:kern w:val="22"/>
          <w:lang w:val="zh-CN" w:eastAsia="zh-CN" w:bidi="th-TH"/>
        </w:rPr>
        <w:t>接获通知</w:t>
      </w:r>
      <w:r>
        <w:rPr>
          <w:rFonts w:hAnsi="SimSun" w:hint="eastAsia"/>
          <w:kern w:val="22"/>
          <w:lang w:val="zh-CN" w:eastAsia="zh-CN" w:bidi="th-TH"/>
        </w:rPr>
        <w:t>。因看似存在的利益冲突而未获选参加专家组的专家，以及由国家联络点提名</w:t>
      </w:r>
      <w:r>
        <w:rPr>
          <w:rFonts w:hAnsi="SimSun"/>
          <w:kern w:val="22"/>
          <w:lang w:val="zh-CN" w:eastAsia="zh-CN" w:bidi="th-TH"/>
        </w:rPr>
        <w:t>的专家所</w:t>
      </w:r>
      <w:r>
        <w:rPr>
          <w:rFonts w:hAnsi="SimSun" w:hint="eastAsia"/>
          <w:kern w:val="22"/>
          <w:lang w:val="zh-CN" w:eastAsia="zh-CN" w:bidi="th-TH"/>
        </w:rPr>
        <w:t>在</w:t>
      </w:r>
      <w:r>
        <w:rPr>
          <w:rFonts w:hAnsi="SimSun"/>
          <w:kern w:val="22"/>
          <w:lang w:val="zh-CN" w:eastAsia="zh-CN" w:bidi="th-TH"/>
        </w:rPr>
        <w:t>的联络点</w:t>
      </w:r>
      <w:r>
        <w:rPr>
          <w:rFonts w:hAnsi="SimSun" w:hint="eastAsia"/>
          <w:kern w:val="22"/>
          <w:lang w:val="zh-CN" w:eastAsia="zh-CN" w:bidi="th-TH"/>
        </w:rPr>
        <w:t>，都应</w:t>
      </w:r>
      <w:r>
        <w:rPr>
          <w:rFonts w:hAnsi="SimSun"/>
          <w:kern w:val="22"/>
          <w:lang w:val="zh-CN" w:eastAsia="zh-CN" w:bidi="th-TH"/>
        </w:rPr>
        <w:t>接获</w:t>
      </w:r>
      <w:r>
        <w:rPr>
          <w:rFonts w:hAnsi="SimSun" w:hint="eastAsia"/>
          <w:kern w:val="22"/>
          <w:lang w:val="zh-CN" w:eastAsia="zh-CN" w:bidi="th-TH"/>
        </w:rPr>
        <w:t>作出此项决定的理由，</w:t>
      </w:r>
      <w:r>
        <w:rPr>
          <w:rFonts w:hAnsi="SimSun" w:hint="eastAsia"/>
          <w:kern w:val="22"/>
          <w:lang w:eastAsia="zh-CN" w:bidi="th-TH"/>
        </w:rPr>
        <w:t>以便</w:t>
      </w:r>
      <w:r>
        <w:rPr>
          <w:rFonts w:hAnsi="SimSun"/>
          <w:kern w:val="22"/>
          <w:lang w:eastAsia="zh-CN" w:bidi="th-TH"/>
        </w:rPr>
        <w:t>让</w:t>
      </w:r>
      <w:r>
        <w:rPr>
          <w:rFonts w:hAnsi="SimSun" w:hint="eastAsia"/>
          <w:kern w:val="22"/>
          <w:lang w:eastAsia="zh-CN" w:bidi="th-TH"/>
        </w:rPr>
        <w:t>该</w:t>
      </w:r>
      <w:r>
        <w:rPr>
          <w:rFonts w:hAnsi="SimSun" w:hint="eastAsia"/>
          <w:kern w:val="22"/>
          <w:lang w:val="zh-CN" w:eastAsia="zh-CN" w:bidi="th-TH"/>
        </w:rPr>
        <w:t>专家和联络点能够对任何关切作出回应，供相应</w:t>
      </w:r>
      <w:r>
        <w:rPr>
          <w:rFonts w:hAnsi="SimSun"/>
          <w:kern w:val="22"/>
          <w:lang w:val="zh-CN" w:eastAsia="zh-CN" w:bidi="th-TH"/>
        </w:rPr>
        <w:t>的</w:t>
      </w:r>
      <w:r>
        <w:rPr>
          <w:rFonts w:hAnsi="SimSun" w:hint="eastAsia"/>
          <w:kern w:val="22"/>
          <w:lang w:val="zh-CN" w:eastAsia="zh-CN" w:bidi="th-TH"/>
        </w:rPr>
        <w:t>主席团进一步考虑和作出最后决定。</w:t>
      </w:r>
      <w:r w:rsidRPr="005A6781">
        <w:rPr>
          <w:rFonts w:hAnsi="SimSun" w:hint="eastAsia"/>
          <w:kern w:val="22"/>
          <w:lang w:val="zh-CN" w:eastAsia="zh-CN" w:bidi="th-TH"/>
        </w:rPr>
        <w:t>如专家</w:t>
      </w:r>
      <w:r>
        <w:rPr>
          <w:rFonts w:hAnsi="SimSun" w:hint="eastAsia"/>
          <w:kern w:val="22"/>
          <w:lang w:val="zh-CN" w:eastAsia="zh-CN" w:bidi="th-TH"/>
        </w:rPr>
        <w:t>有</w:t>
      </w:r>
      <w:r>
        <w:rPr>
          <w:rFonts w:hAnsi="SimSun"/>
          <w:kern w:val="22"/>
          <w:lang w:val="zh-CN" w:eastAsia="zh-CN" w:bidi="th-TH"/>
        </w:rPr>
        <w:t>不对利益作出</w:t>
      </w:r>
      <w:r w:rsidRPr="005A6781">
        <w:rPr>
          <w:rFonts w:hAnsi="SimSun" w:hint="eastAsia"/>
          <w:kern w:val="22"/>
          <w:lang w:val="zh-CN" w:eastAsia="zh-CN" w:bidi="th-TH"/>
        </w:rPr>
        <w:t>披露</w:t>
      </w:r>
      <w:r>
        <w:rPr>
          <w:rFonts w:hAnsi="SimSun" w:hint="eastAsia"/>
          <w:kern w:val="22"/>
          <w:lang w:val="zh-CN" w:eastAsia="zh-CN" w:bidi="th-TH"/>
        </w:rPr>
        <w:t>的</w:t>
      </w:r>
      <w:r>
        <w:rPr>
          <w:rFonts w:hAnsi="SimSun"/>
          <w:kern w:val="22"/>
          <w:lang w:val="zh-CN" w:eastAsia="zh-CN" w:bidi="th-TH"/>
        </w:rPr>
        <w:t>严重失职</w:t>
      </w:r>
      <w:r w:rsidRPr="005A6781">
        <w:rPr>
          <w:rFonts w:hAnsi="SimSun" w:hint="eastAsia"/>
          <w:kern w:val="22"/>
          <w:lang w:val="zh-CN" w:eastAsia="zh-CN" w:bidi="th-TH"/>
        </w:rPr>
        <w:t>，则可能导致</w:t>
      </w:r>
      <w:r>
        <w:rPr>
          <w:rFonts w:hAnsi="SimSun" w:hint="eastAsia"/>
          <w:kern w:val="22"/>
          <w:lang w:val="zh-CN" w:eastAsia="zh-CN" w:bidi="th-TH"/>
        </w:rPr>
        <w:t>该</w:t>
      </w:r>
      <w:r w:rsidRPr="005A6781">
        <w:rPr>
          <w:rFonts w:hAnsi="SimSun" w:hint="eastAsia"/>
          <w:kern w:val="22"/>
          <w:lang w:val="zh-CN" w:eastAsia="zh-CN" w:bidi="th-TH"/>
        </w:rPr>
        <w:t>专家</w:t>
      </w:r>
      <w:r>
        <w:rPr>
          <w:rFonts w:hAnsi="SimSun" w:hint="eastAsia"/>
          <w:kern w:val="22"/>
          <w:lang w:val="zh-CN" w:eastAsia="zh-CN" w:bidi="th-TH"/>
        </w:rPr>
        <w:t>依照</w:t>
      </w:r>
      <w:r>
        <w:rPr>
          <w:rFonts w:hAnsi="SimSun"/>
          <w:kern w:val="22"/>
          <w:lang w:val="zh-CN" w:eastAsia="zh-CN" w:bidi="th-TH"/>
        </w:rPr>
        <w:t>以下</w:t>
      </w:r>
      <w:r w:rsidRPr="005A6781">
        <w:rPr>
          <w:rFonts w:hAnsi="SimSun" w:hint="eastAsia"/>
          <w:kern w:val="22"/>
          <w:lang w:val="zh-CN" w:eastAsia="zh-CN" w:bidi="th-TH"/>
        </w:rPr>
        <w:t>第</w:t>
      </w:r>
      <w:r w:rsidRPr="005A6781">
        <w:rPr>
          <w:rFonts w:hAnsi="SimSun"/>
          <w:kern w:val="22"/>
          <w:lang w:val="zh-CN" w:eastAsia="zh-CN" w:bidi="th-TH"/>
        </w:rPr>
        <w:t>4.5</w:t>
      </w:r>
      <w:r w:rsidRPr="005A6781">
        <w:rPr>
          <w:rFonts w:hAnsi="SimSun" w:hint="eastAsia"/>
          <w:kern w:val="22"/>
          <w:lang w:val="zh-CN" w:eastAsia="zh-CN" w:bidi="th-TH"/>
        </w:rPr>
        <w:t>段排除在专家组成员的甄选程序之外</w:t>
      </w:r>
      <w:r>
        <w:rPr>
          <w:rFonts w:hAnsi="SimSun" w:hint="eastAsia"/>
          <w:kern w:val="22"/>
          <w:lang w:val="zh-CN" w:eastAsia="zh-CN" w:bidi="th-TH"/>
        </w:rPr>
        <w:t>。</w:t>
      </w:r>
    </w:p>
    <w:p w:rsidR="001F1AAC" w:rsidRPr="00984C8C" w:rsidRDefault="001F1AAC" w:rsidP="001F1AAC">
      <w:pPr>
        <w:shd w:val="clear" w:color="auto" w:fill="FFFFFF"/>
        <w:ind w:left="720" w:hanging="720"/>
        <w:rPr>
          <w:kern w:val="22"/>
          <w:lang w:eastAsia="zh-CN" w:bidi="th-TH"/>
        </w:rPr>
      </w:pPr>
      <w:r w:rsidRPr="00984C8C">
        <w:rPr>
          <w:kern w:val="22"/>
          <w:lang w:eastAsia="zh-CN" w:bidi="th-TH"/>
        </w:rPr>
        <w:t xml:space="preserve">4.4 </w:t>
      </w:r>
      <w:r w:rsidRPr="00984C8C">
        <w:rPr>
          <w:kern w:val="22"/>
          <w:lang w:eastAsia="zh-CN" w:bidi="th-TH"/>
        </w:rPr>
        <w:tab/>
      </w:r>
      <w:r>
        <w:rPr>
          <w:rFonts w:hint="eastAsia"/>
          <w:kern w:val="22"/>
          <w:lang w:eastAsia="zh-CN" w:bidi="th-TH"/>
        </w:rPr>
        <w:t>专家组的组成应尽可能避免利益冲突。不过，认识到科学完整性和能够获得现有最佳专门知识和咨询意见需要拥有相关科技经验和专门知识的专家参与本主题事项，</w:t>
      </w:r>
      <w:r w:rsidRPr="00984C8C">
        <w:rPr>
          <w:rFonts w:eastAsia="Times New Roman" w:hAnsi="SimSun"/>
          <w:lang w:val="zh-CN" w:eastAsia="zh-CN" w:bidi="th-TH"/>
        </w:rPr>
        <w:t>在组建拥有需其效执行任务规定所需全部专门知识而其中又没有符合资格但可能具有潜在利益冲突的个别专家的专家组</w:t>
      </w:r>
      <w:r>
        <w:rPr>
          <w:rFonts w:hAnsi="SimSun" w:hint="eastAsia"/>
          <w:lang w:val="zh-CN" w:eastAsia="zh-CN" w:bidi="th-TH"/>
        </w:rPr>
        <w:t>的可能性受到限制</w:t>
      </w:r>
      <w:r w:rsidRPr="00984C8C">
        <w:rPr>
          <w:rFonts w:eastAsia="Times New Roman" w:hAnsi="SimSun"/>
          <w:lang w:val="zh-CN" w:eastAsia="zh-CN" w:bidi="th-TH"/>
        </w:rPr>
        <w:t>时</w:t>
      </w:r>
      <w:r w:rsidRPr="00984C8C">
        <w:rPr>
          <w:rFonts w:eastAsia="Times New Roman" w:hAnsi="SimSun"/>
          <w:lang w:eastAsia="zh-CN" w:bidi="th-TH"/>
        </w:rPr>
        <w:t>，</w:t>
      </w:r>
      <w:r w:rsidRPr="00984C8C">
        <w:rPr>
          <w:rFonts w:eastAsia="Times New Roman" w:hAnsi="SimSun"/>
          <w:lang w:val="zh-CN" w:eastAsia="zh-CN" w:bidi="th-TH"/>
        </w:rPr>
        <w:t>主席团</w:t>
      </w:r>
      <w:r>
        <w:rPr>
          <w:rFonts w:eastAsiaTheme="minorEastAsia" w:hAnsi="SimSun" w:hint="eastAsia"/>
          <w:lang w:val="zh-CN" w:eastAsia="zh-CN" w:bidi="th-TH"/>
        </w:rPr>
        <w:t>可</w:t>
      </w:r>
      <w:r>
        <w:rPr>
          <w:rFonts w:hAnsi="SimSun" w:hint="eastAsia"/>
          <w:lang w:val="zh-CN" w:eastAsia="zh-CN" w:bidi="th-TH"/>
        </w:rPr>
        <w:t>在秘书处的建议下</w:t>
      </w:r>
      <w:r w:rsidRPr="00227EF2">
        <w:rPr>
          <w:rFonts w:hAnsi="SimSun" w:hint="eastAsia"/>
          <w:lang w:eastAsia="zh-CN" w:bidi="th-TH"/>
        </w:rPr>
        <w:t>，</w:t>
      </w:r>
      <w:r w:rsidRPr="00984C8C">
        <w:rPr>
          <w:rFonts w:eastAsia="Times New Roman" w:hAnsi="SimSun"/>
          <w:lang w:val="zh-CN" w:eastAsia="zh-CN" w:bidi="th-TH"/>
        </w:rPr>
        <w:t>将</w:t>
      </w:r>
      <w:r>
        <w:rPr>
          <w:rFonts w:eastAsiaTheme="minorEastAsia" w:hAnsi="SimSun" w:hint="eastAsia"/>
          <w:lang w:val="zh-CN" w:eastAsia="zh-CN" w:bidi="th-TH"/>
        </w:rPr>
        <w:t>此种</w:t>
      </w:r>
      <w:r w:rsidRPr="00984C8C">
        <w:rPr>
          <w:rFonts w:eastAsia="Times New Roman" w:hAnsi="SimSun"/>
          <w:lang w:val="zh-CN" w:eastAsia="zh-CN" w:bidi="th-TH"/>
        </w:rPr>
        <w:t>专家包括在内</w:t>
      </w:r>
      <w:r w:rsidRPr="00984C8C">
        <w:rPr>
          <w:rFonts w:eastAsia="Times New Roman" w:hAnsi="SimSun"/>
          <w:lang w:eastAsia="zh-CN" w:bidi="th-TH"/>
        </w:rPr>
        <w:t>，</w:t>
      </w:r>
      <w:r w:rsidRPr="00984C8C">
        <w:rPr>
          <w:rFonts w:eastAsia="Times New Roman" w:hAnsi="SimSun"/>
          <w:lang w:val="zh-CN" w:eastAsia="zh-CN" w:bidi="th-TH"/>
        </w:rPr>
        <w:t>但须符合以下条件</w:t>
      </w:r>
      <w:r w:rsidRPr="00984C8C">
        <w:rPr>
          <w:rFonts w:eastAsia="Times New Roman" w:hAnsi="SimSun"/>
          <w:lang w:eastAsia="zh-CN" w:bidi="th-TH"/>
        </w:rPr>
        <w:t>：</w:t>
      </w:r>
      <w:r w:rsidRPr="00B36F93">
        <w:rPr>
          <w:rFonts w:eastAsia="Times New Roman" w:hAnsi="SimSun"/>
          <w:lang w:eastAsia="zh-CN" w:bidi="th-TH"/>
        </w:rPr>
        <w:t>(</w:t>
      </w:r>
      <w:r w:rsidRPr="00984C8C">
        <w:rPr>
          <w:lang w:eastAsia="zh-CN" w:bidi="th-TH"/>
        </w:rPr>
        <w:t>a</w:t>
      </w:r>
      <w:r>
        <w:rPr>
          <w:lang w:eastAsia="zh-CN" w:bidi="th-TH"/>
        </w:rPr>
        <w:t xml:space="preserve">) </w:t>
      </w:r>
      <w:r w:rsidRPr="00984C8C">
        <w:rPr>
          <w:rFonts w:eastAsia="Times New Roman" w:hAnsi="SimSun"/>
          <w:lang w:val="zh-CN" w:eastAsia="zh-CN" w:bidi="th-TH"/>
        </w:rPr>
        <w:t>此类潜在利益得到平衡</w:t>
      </w:r>
      <w:r w:rsidRPr="00B36F93">
        <w:rPr>
          <w:rFonts w:eastAsia="Times New Roman" w:hAnsi="SimSun"/>
          <w:lang w:eastAsia="zh-CN" w:bidi="th-TH"/>
        </w:rPr>
        <w:t>，</w:t>
      </w:r>
      <w:r>
        <w:rPr>
          <w:rFonts w:hAnsi="SimSun" w:hint="eastAsia"/>
          <w:lang w:eastAsia="zh-CN" w:bidi="th-TH"/>
        </w:rPr>
        <w:t>根据情况有助于</w:t>
      </w:r>
      <w:r>
        <w:rPr>
          <w:rFonts w:eastAsia="Times New Roman" w:hAnsi="SimSun"/>
          <w:lang w:val="zh-CN" w:eastAsia="zh-CN" w:bidi="th-TH"/>
        </w:rPr>
        <w:t>《公约》和各《议定书》的目标</w:t>
      </w:r>
      <w:r w:rsidRPr="00227EF2">
        <w:rPr>
          <w:rFonts w:hAnsi="SimSun" w:hint="eastAsia"/>
          <w:lang w:eastAsia="zh-CN" w:bidi="th-TH"/>
        </w:rPr>
        <w:t>，</w:t>
      </w:r>
      <w:r>
        <w:rPr>
          <w:rFonts w:hAnsi="SimSun" w:hint="eastAsia"/>
          <w:lang w:val="zh-CN" w:eastAsia="zh-CN" w:bidi="th-TH"/>
        </w:rPr>
        <w:t>同时能够确保专家组的产出是全面和客观的产出</w:t>
      </w:r>
      <w:r w:rsidRPr="00984C8C">
        <w:rPr>
          <w:rFonts w:eastAsia="Times New Roman" w:hAnsi="SimSun"/>
          <w:lang w:eastAsia="zh-CN" w:bidi="th-TH"/>
        </w:rPr>
        <w:t>；</w:t>
      </w:r>
      <w:r w:rsidRPr="00B36F93">
        <w:rPr>
          <w:rFonts w:eastAsia="Times New Roman" w:hAnsi="SimSun"/>
          <w:lang w:eastAsia="zh-CN" w:bidi="th-TH"/>
        </w:rPr>
        <w:t>(</w:t>
      </w:r>
      <w:r>
        <w:rPr>
          <w:lang w:eastAsia="zh-CN" w:bidi="th-TH"/>
        </w:rPr>
        <w:t xml:space="preserve">b) </w:t>
      </w:r>
      <w:r>
        <w:rPr>
          <w:rFonts w:hint="eastAsia"/>
          <w:lang w:eastAsia="zh-CN" w:bidi="th-TH"/>
        </w:rPr>
        <w:t>应</w:t>
      </w:r>
      <w:r>
        <w:rPr>
          <w:rFonts w:hAnsi="SimSun" w:hint="eastAsia"/>
          <w:lang w:val="zh-CN" w:eastAsia="zh-CN" w:bidi="th-TH"/>
        </w:rPr>
        <w:t>要求向专家组提供和</w:t>
      </w:r>
      <w:r w:rsidRPr="00984C8C">
        <w:rPr>
          <w:rFonts w:eastAsia="Times New Roman" w:hAnsi="SimSun"/>
          <w:lang w:val="zh-CN" w:eastAsia="zh-CN" w:bidi="th-TH"/>
        </w:rPr>
        <w:t>公布潜在利益冲突的信息</w:t>
      </w:r>
      <w:r w:rsidRPr="00984C8C">
        <w:rPr>
          <w:rFonts w:eastAsia="Times New Roman" w:hAnsi="SimSun"/>
          <w:lang w:eastAsia="zh-CN" w:bidi="th-TH"/>
        </w:rPr>
        <w:t>；</w:t>
      </w:r>
      <w:r w:rsidRPr="00B36F93">
        <w:rPr>
          <w:rFonts w:eastAsia="Times New Roman" w:hAnsi="SimSun"/>
          <w:lang w:eastAsia="zh-CN" w:bidi="th-TH"/>
        </w:rPr>
        <w:t>(</w:t>
      </w:r>
      <w:r>
        <w:rPr>
          <w:lang w:eastAsia="zh-CN" w:bidi="th-TH"/>
        </w:rPr>
        <w:t xml:space="preserve">c) </w:t>
      </w:r>
      <w:r>
        <w:rPr>
          <w:rFonts w:eastAsia="Times New Roman" w:hAnsi="SimSun"/>
          <w:lang w:val="zh-CN" w:eastAsia="zh-CN" w:bidi="th-TH"/>
        </w:rPr>
        <w:t>专家同意努力以客观的态度为专家组的工作</w:t>
      </w:r>
      <w:r>
        <w:rPr>
          <w:rFonts w:eastAsiaTheme="minorEastAsia" w:hAnsi="SimSun" w:hint="eastAsia"/>
          <w:lang w:val="zh-CN" w:eastAsia="zh-CN" w:bidi="th-TH"/>
        </w:rPr>
        <w:t>做出</w:t>
      </w:r>
      <w:r w:rsidRPr="00984C8C">
        <w:rPr>
          <w:rFonts w:eastAsia="Times New Roman" w:hAnsi="SimSun"/>
          <w:lang w:val="zh-CN" w:eastAsia="zh-CN" w:bidi="th-TH"/>
        </w:rPr>
        <w:t>出贡献</w:t>
      </w:r>
      <w:r w:rsidRPr="00984C8C">
        <w:rPr>
          <w:rFonts w:eastAsia="Times New Roman" w:hAnsi="SimSun"/>
          <w:lang w:eastAsia="zh-CN" w:bidi="th-TH"/>
        </w:rPr>
        <w:t>，</w:t>
      </w:r>
      <w:r>
        <w:rPr>
          <w:rFonts w:hAnsi="SimSun" w:hint="eastAsia"/>
          <w:lang w:eastAsia="zh-CN" w:bidi="th-TH"/>
        </w:rPr>
        <w:t>或</w:t>
      </w:r>
      <w:r w:rsidRPr="00984C8C">
        <w:rPr>
          <w:rFonts w:eastAsia="Times New Roman" w:hAnsi="SimSun"/>
          <w:lang w:val="zh-CN" w:eastAsia="zh-CN" w:bidi="th-TH"/>
        </w:rPr>
        <w:t>在不可能或不确定的情况下回避参与工作。</w:t>
      </w:r>
    </w:p>
    <w:p w:rsidR="001F1AAC" w:rsidRPr="00622E3A" w:rsidRDefault="001F1AAC" w:rsidP="001F1AAC">
      <w:pPr>
        <w:shd w:val="clear" w:color="auto" w:fill="FFFFFF"/>
        <w:ind w:left="720" w:hanging="720"/>
        <w:rPr>
          <w:rFonts w:hAnsi="SimSun"/>
          <w:lang w:val="zh-CN" w:eastAsia="zh-CN" w:bidi="th-TH"/>
        </w:rPr>
      </w:pPr>
      <w:r w:rsidRPr="00622E3A">
        <w:rPr>
          <w:rFonts w:eastAsia="Times New Roman" w:hAnsi="SimSun"/>
          <w:lang w:val="zh-CN" w:eastAsia="zh-CN" w:bidi="th-TH"/>
        </w:rPr>
        <w:t>4.5</w:t>
      </w:r>
      <w:r w:rsidRPr="00622E3A">
        <w:rPr>
          <w:rFonts w:eastAsia="Times New Roman" w:hAnsi="SimSun"/>
          <w:lang w:val="zh-CN" w:eastAsia="zh-CN" w:bidi="th-TH"/>
        </w:rPr>
        <w:tab/>
      </w:r>
      <w:r>
        <w:rPr>
          <w:rFonts w:eastAsia="Times New Roman" w:hAnsi="SimSun"/>
          <w:lang w:val="zh-CN" w:eastAsia="zh-CN" w:bidi="th-TH"/>
        </w:rPr>
        <w:t>如</w:t>
      </w:r>
      <w:r w:rsidRPr="001E153D">
        <w:rPr>
          <w:rFonts w:eastAsia="Times New Roman" w:hAnsi="SimSun"/>
          <w:lang w:val="zh-CN" w:eastAsia="zh-CN" w:bidi="th-TH"/>
        </w:rPr>
        <w:t>专家和秘书处在确定利益冲突方面存在分歧，或</w:t>
      </w:r>
      <w:r>
        <w:rPr>
          <w:rFonts w:hAnsi="SimSun" w:hint="eastAsia"/>
          <w:lang w:val="zh-CN" w:eastAsia="zh-CN" w:bidi="th-TH"/>
        </w:rPr>
        <w:t>在</w:t>
      </w:r>
      <w:r w:rsidRPr="001E153D">
        <w:rPr>
          <w:rFonts w:eastAsia="Times New Roman" w:hAnsi="SimSun"/>
          <w:lang w:val="zh-CN" w:eastAsia="zh-CN" w:bidi="th-TH"/>
        </w:rPr>
        <w:t>专家组任务期间专家情况发生变化</w:t>
      </w:r>
      <w:r>
        <w:rPr>
          <w:rFonts w:hAnsi="SimSun" w:hint="eastAsia"/>
          <w:lang w:val="zh-CN" w:eastAsia="zh-CN" w:bidi="th-TH"/>
        </w:rPr>
        <w:t>并依照以上</w:t>
      </w:r>
      <w:r w:rsidRPr="001E153D">
        <w:rPr>
          <w:rFonts w:eastAsia="Times New Roman" w:hAnsi="SimSun"/>
          <w:lang w:val="zh-CN" w:eastAsia="zh-CN" w:bidi="th-TH"/>
        </w:rPr>
        <w:t>第2.4段</w:t>
      </w:r>
      <w:r>
        <w:rPr>
          <w:rFonts w:hAnsi="SimSun" w:hint="eastAsia"/>
          <w:lang w:val="zh-CN" w:eastAsia="zh-CN" w:bidi="th-TH"/>
        </w:rPr>
        <w:t>告知秘书处</w:t>
      </w:r>
      <w:r w:rsidRPr="001E153D">
        <w:rPr>
          <w:rFonts w:eastAsia="Times New Roman" w:hAnsi="SimSun"/>
          <w:lang w:val="zh-CN" w:eastAsia="zh-CN" w:bidi="th-TH"/>
        </w:rPr>
        <w:t>，或</w:t>
      </w:r>
      <w:r>
        <w:rPr>
          <w:rFonts w:hAnsi="SimSun" w:hint="eastAsia"/>
          <w:lang w:val="zh-CN" w:eastAsia="zh-CN" w:bidi="th-TH"/>
        </w:rPr>
        <w:t>当</w:t>
      </w:r>
      <w:r w:rsidRPr="001E153D">
        <w:rPr>
          <w:rFonts w:eastAsia="Times New Roman" w:hAnsi="SimSun"/>
          <w:lang w:val="zh-CN" w:eastAsia="zh-CN" w:bidi="th-TH"/>
        </w:rPr>
        <w:t>秘书处</w:t>
      </w:r>
      <w:r>
        <w:rPr>
          <w:rFonts w:hAnsi="SimSun" w:hint="eastAsia"/>
          <w:lang w:val="zh-CN" w:eastAsia="zh-CN" w:bidi="th-TH"/>
        </w:rPr>
        <w:t>获悉证明</w:t>
      </w:r>
      <w:r w:rsidRPr="001E153D">
        <w:rPr>
          <w:rFonts w:eastAsia="Times New Roman" w:hAnsi="SimSun"/>
          <w:lang w:val="zh-CN" w:eastAsia="zh-CN" w:bidi="th-TH"/>
        </w:rPr>
        <w:t>存在</w:t>
      </w:r>
      <w:r>
        <w:rPr>
          <w:rFonts w:hAnsi="SimSun" w:hint="eastAsia"/>
          <w:lang w:val="zh-CN" w:eastAsia="zh-CN" w:bidi="th-TH"/>
        </w:rPr>
        <w:t>利益</w:t>
      </w:r>
      <w:r w:rsidRPr="001E153D">
        <w:rPr>
          <w:rFonts w:eastAsia="Times New Roman" w:hAnsi="SimSun"/>
          <w:lang w:val="zh-CN" w:eastAsia="zh-CN" w:bidi="th-TH"/>
        </w:rPr>
        <w:t>冲突的信息或文件</w:t>
      </w:r>
      <w:r>
        <w:rPr>
          <w:rFonts w:hAnsi="SimSun" w:hint="eastAsia"/>
          <w:lang w:val="zh-CN" w:eastAsia="zh-CN" w:bidi="th-TH"/>
        </w:rPr>
        <w:t>时</w:t>
      </w:r>
      <w:r w:rsidRPr="001E153D">
        <w:rPr>
          <w:rFonts w:eastAsia="Times New Roman" w:hAnsi="SimSun"/>
          <w:lang w:val="zh-CN" w:eastAsia="zh-CN" w:bidi="th-TH"/>
        </w:rPr>
        <w:t>，秘书处将与</w:t>
      </w:r>
      <w:r>
        <w:rPr>
          <w:rFonts w:hAnsi="SimSun" w:hint="eastAsia"/>
          <w:lang w:val="zh-CN" w:eastAsia="zh-CN" w:bidi="th-TH"/>
        </w:rPr>
        <w:t>该</w:t>
      </w:r>
      <w:r w:rsidRPr="001E153D">
        <w:rPr>
          <w:rFonts w:eastAsia="Times New Roman" w:hAnsi="SimSun"/>
          <w:lang w:val="zh-CN" w:eastAsia="zh-CN" w:bidi="th-TH"/>
        </w:rPr>
        <w:t>专家讨论</w:t>
      </w:r>
      <w:r>
        <w:rPr>
          <w:rFonts w:hAnsi="SimSun" w:hint="eastAsia"/>
          <w:lang w:val="zh-CN" w:eastAsia="zh-CN" w:bidi="th-TH"/>
        </w:rPr>
        <w:t>这一</w:t>
      </w:r>
      <w:r w:rsidRPr="001E153D">
        <w:rPr>
          <w:rFonts w:eastAsia="Times New Roman" w:hAnsi="SimSun"/>
          <w:lang w:val="zh-CN" w:eastAsia="zh-CN" w:bidi="th-TH"/>
        </w:rPr>
        <w:t>问题，并提请专家组</w:t>
      </w:r>
      <w:r>
        <w:rPr>
          <w:rFonts w:eastAsiaTheme="minorEastAsia" w:hAnsi="SimSun" w:hint="eastAsia"/>
          <w:lang w:val="zh-CN" w:eastAsia="zh-CN" w:bidi="th-TH"/>
        </w:rPr>
        <w:t>的</w:t>
      </w:r>
      <w:r w:rsidRPr="001E153D">
        <w:rPr>
          <w:rFonts w:eastAsia="Times New Roman" w:hAnsi="SimSun"/>
          <w:lang w:val="zh-CN" w:eastAsia="zh-CN" w:bidi="th-TH"/>
        </w:rPr>
        <w:t>主席注意</w:t>
      </w:r>
      <w:r>
        <w:rPr>
          <w:rFonts w:hAnsi="SimSun" w:hint="eastAsia"/>
          <w:lang w:val="zh-CN" w:eastAsia="zh-CN" w:bidi="th-TH"/>
        </w:rPr>
        <w:t>和</w:t>
      </w:r>
      <w:r w:rsidRPr="001E153D">
        <w:rPr>
          <w:rFonts w:eastAsia="Times New Roman" w:hAnsi="SimSun"/>
          <w:lang w:val="zh-CN" w:eastAsia="zh-CN" w:bidi="th-TH"/>
        </w:rPr>
        <w:t>提请</w:t>
      </w:r>
      <w:r>
        <w:rPr>
          <w:rFonts w:eastAsiaTheme="minorEastAsia" w:hAnsi="SimSun" w:hint="eastAsia"/>
          <w:lang w:val="zh-CN" w:eastAsia="zh-CN" w:bidi="th-TH"/>
        </w:rPr>
        <w:t>相关</w:t>
      </w:r>
      <w:r w:rsidRPr="001E153D">
        <w:rPr>
          <w:rFonts w:eastAsia="Times New Roman" w:hAnsi="SimSun"/>
          <w:lang w:val="zh-CN" w:eastAsia="zh-CN" w:bidi="th-TH"/>
        </w:rPr>
        <w:t>主席团注意</w:t>
      </w:r>
      <w:r>
        <w:rPr>
          <w:rFonts w:eastAsiaTheme="minorEastAsia" w:hAnsi="SimSun" w:hint="eastAsia"/>
          <w:lang w:val="zh-CN" w:eastAsia="zh-CN" w:bidi="th-TH"/>
        </w:rPr>
        <w:t>和</w:t>
      </w:r>
      <w:r>
        <w:rPr>
          <w:rFonts w:hAnsi="SimSun" w:hint="eastAsia"/>
          <w:lang w:val="zh-CN" w:eastAsia="zh-CN" w:bidi="th-TH"/>
        </w:rPr>
        <w:t>征求其</w:t>
      </w:r>
      <w:r w:rsidRPr="001E153D">
        <w:rPr>
          <w:rFonts w:eastAsia="Times New Roman" w:hAnsi="SimSun"/>
          <w:lang w:val="zh-CN" w:eastAsia="zh-CN" w:bidi="th-TH"/>
        </w:rPr>
        <w:t>指导</w:t>
      </w:r>
      <w:r>
        <w:rPr>
          <w:rFonts w:hAnsi="SimSun" w:hint="eastAsia"/>
          <w:lang w:val="zh-CN" w:eastAsia="zh-CN" w:bidi="th-TH"/>
        </w:rPr>
        <w:t>意见</w:t>
      </w:r>
      <w:r w:rsidRPr="001E153D">
        <w:rPr>
          <w:rFonts w:eastAsia="Times New Roman" w:hAnsi="SimSun"/>
          <w:lang w:val="zh-CN" w:eastAsia="zh-CN" w:bidi="th-TH"/>
        </w:rPr>
        <w:t>。如该专家组</w:t>
      </w:r>
      <w:r>
        <w:rPr>
          <w:rFonts w:eastAsiaTheme="minorEastAsia" w:hAnsi="SimSun" w:hint="eastAsia"/>
          <w:lang w:val="zh-CN" w:eastAsia="zh-CN" w:bidi="th-TH"/>
        </w:rPr>
        <w:t>的</w:t>
      </w:r>
      <w:r w:rsidRPr="001E153D">
        <w:rPr>
          <w:rFonts w:eastAsia="Times New Roman" w:hAnsi="SimSun"/>
          <w:lang w:val="zh-CN" w:eastAsia="zh-CN" w:bidi="th-TH"/>
        </w:rPr>
        <w:t>主席</w:t>
      </w:r>
      <w:r>
        <w:rPr>
          <w:rFonts w:eastAsiaTheme="minorEastAsia" w:hAnsi="SimSun" w:hint="eastAsia"/>
          <w:lang w:val="zh-CN" w:eastAsia="zh-CN" w:bidi="th-TH"/>
        </w:rPr>
        <w:t>出现</w:t>
      </w:r>
      <w:r>
        <w:rPr>
          <w:rFonts w:eastAsiaTheme="minorEastAsia" w:hAnsi="SimSun"/>
          <w:lang w:val="zh-CN" w:eastAsia="zh-CN" w:bidi="th-TH"/>
        </w:rPr>
        <w:t>此种</w:t>
      </w:r>
      <w:r w:rsidRPr="001E153D">
        <w:rPr>
          <w:rFonts w:eastAsia="Times New Roman" w:hAnsi="SimSun"/>
          <w:lang w:val="zh-CN" w:eastAsia="zh-CN" w:bidi="th-TH"/>
        </w:rPr>
        <w:t>分歧或情况变化，秘书处将与</w:t>
      </w:r>
      <w:r>
        <w:rPr>
          <w:rFonts w:hAnsi="SimSun" w:hint="eastAsia"/>
          <w:lang w:val="zh-CN" w:eastAsia="zh-CN" w:bidi="th-TH"/>
        </w:rPr>
        <w:t>该</w:t>
      </w:r>
      <w:r w:rsidRPr="001E153D">
        <w:rPr>
          <w:rFonts w:eastAsia="Times New Roman" w:hAnsi="SimSun"/>
          <w:lang w:val="zh-CN" w:eastAsia="zh-CN" w:bidi="th-TH"/>
        </w:rPr>
        <w:t>主席讨论</w:t>
      </w:r>
      <w:r>
        <w:rPr>
          <w:rFonts w:hAnsi="SimSun" w:hint="eastAsia"/>
          <w:lang w:val="zh-CN" w:eastAsia="zh-CN" w:bidi="th-TH"/>
        </w:rPr>
        <w:t>这一</w:t>
      </w:r>
      <w:r w:rsidRPr="001E153D">
        <w:rPr>
          <w:rFonts w:eastAsia="Times New Roman" w:hAnsi="SimSun"/>
          <w:lang w:val="zh-CN" w:eastAsia="zh-CN" w:bidi="th-TH"/>
        </w:rPr>
        <w:t>问题，并提请</w:t>
      </w:r>
      <w:r>
        <w:rPr>
          <w:rFonts w:eastAsiaTheme="minorEastAsia" w:hAnsi="SimSun" w:hint="eastAsia"/>
          <w:lang w:val="zh-CN" w:eastAsia="zh-CN" w:bidi="th-TH"/>
        </w:rPr>
        <w:t>相关</w:t>
      </w:r>
      <w:r w:rsidRPr="001E153D">
        <w:rPr>
          <w:rFonts w:eastAsia="Times New Roman" w:hAnsi="SimSun"/>
          <w:lang w:val="zh-CN" w:eastAsia="zh-CN" w:bidi="th-TH"/>
        </w:rPr>
        <w:t>主席团注意</w:t>
      </w:r>
      <w:r>
        <w:rPr>
          <w:rFonts w:hAnsi="SimSun" w:hint="eastAsia"/>
          <w:lang w:val="zh-CN" w:eastAsia="zh-CN" w:bidi="th-TH"/>
        </w:rPr>
        <w:t>和征求</w:t>
      </w:r>
      <w:r>
        <w:rPr>
          <w:rFonts w:hAnsi="SimSun"/>
          <w:lang w:val="zh-CN" w:eastAsia="zh-CN" w:bidi="th-TH"/>
        </w:rPr>
        <w:t>其</w:t>
      </w:r>
      <w:r w:rsidRPr="001E153D">
        <w:rPr>
          <w:rFonts w:eastAsia="Times New Roman" w:hAnsi="SimSun"/>
          <w:lang w:val="zh-CN" w:eastAsia="zh-CN" w:bidi="th-TH"/>
        </w:rPr>
        <w:t>指导</w:t>
      </w:r>
      <w:r>
        <w:rPr>
          <w:rFonts w:hAnsi="SimSun" w:hint="eastAsia"/>
          <w:lang w:val="zh-CN" w:eastAsia="zh-CN" w:bidi="th-TH"/>
        </w:rPr>
        <w:t>意见</w:t>
      </w:r>
      <w:r w:rsidRPr="001E153D">
        <w:rPr>
          <w:rFonts w:eastAsia="Times New Roman" w:hAnsi="SimSun"/>
          <w:lang w:val="zh-CN" w:eastAsia="zh-CN" w:bidi="th-TH"/>
        </w:rPr>
        <w:t>。秘书处将按照</w:t>
      </w:r>
      <w:r>
        <w:rPr>
          <w:rFonts w:hAnsi="SimSun" w:hint="eastAsia"/>
          <w:lang w:val="zh-CN" w:eastAsia="zh-CN" w:bidi="th-TH"/>
        </w:rPr>
        <w:t>相应</w:t>
      </w:r>
      <w:r w:rsidRPr="001E153D">
        <w:rPr>
          <w:rFonts w:eastAsia="Times New Roman" w:hAnsi="SimSun"/>
          <w:lang w:val="zh-CN" w:eastAsia="zh-CN" w:bidi="th-TH"/>
        </w:rPr>
        <w:t>主席团的指示</w:t>
      </w:r>
      <w:r>
        <w:rPr>
          <w:rFonts w:hAnsi="SimSun" w:hint="eastAsia"/>
          <w:lang w:val="zh-CN" w:eastAsia="zh-CN" w:bidi="th-TH"/>
        </w:rPr>
        <w:t>行事</w:t>
      </w:r>
      <w:r w:rsidRPr="001E153D">
        <w:rPr>
          <w:rFonts w:eastAsia="Times New Roman" w:hAnsi="SimSun"/>
          <w:lang w:val="zh-CN" w:eastAsia="zh-CN" w:bidi="th-TH"/>
        </w:rPr>
        <w:t>。</w:t>
      </w:r>
    </w:p>
    <w:p w:rsidR="001F1AAC" w:rsidRPr="002B60B0" w:rsidRDefault="001F1AAC" w:rsidP="00466808">
      <w:pPr>
        <w:pStyle w:val="Para1"/>
        <w:tabs>
          <w:tab w:val="clear" w:pos="360"/>
        </w:tabs>
        <w:jc w:val="center"/>
        <w:rPr>
          <w:kern w:val="22"/>
          <w:sz w:val="24"/>
          <w:lang w:eastAsia="zh-CN" w:bidi="th-TH"/>
        </w:rPr>
      </w:pPr>
      <w:r w:rsidRPr="002B60B0">
        <w:rPr>
          <w:rFonts w:ascii="KaiTi" w:eastAsia="KaiTi" w:hAnsi="KaiTi" w:hint="eastAsia"/>
          <w:kern w:val="22"/>
          <w:sz w:val="24"/>
          <w:szCs w:val="24"/>
          <w:lang w:val="zh-CN" w:eastAsia="zh-CN"/>
        </w:rPr>
        <w:t>附录</w:t>
      </w:r>
    </w:p>
    <w:p w:rsidR="001F1AAC" w:rsidRPr="00466808" w:rsidRDefault="001F1AAC" w:rsidP="00466808">
      <w:pPr>
        <w:pStyle w:val="HEADING"/>
        <w:shd w:val="clear" w:color="auto" w:fill="FFFFFF"/>
        <w:spacing w:before="120"/>
        <w:rPr>
          <w:b/>
          <w:bCs/>
          <w:kern w:val="22"/>
          <w:lang w:eastAsia="zh-CN"/>
        </w:rPr>
      </w:pPr>
      <w:r w:rsidRPr="00466808">
        <w:rPr>
          <w:rFonts w:eastAsia="Times New Roman" w:hAnsi="SimSun"/>
          <w:b/>
          <w:kern w:val="22"/>
          <w:lang w:val="zh-CN" w:eastAsia="zh-CN"/>
        </w:rPr>
        <w:t>利益披露表</w:t>
      </w:r>
    </w:p>
    <w:p w:rsidR="001F1AAC" w:rsidRPr="00984C8C" w:rsidRDefault="001F1AAC" w:rsidP="00B41940">
      <w:pPr>
        <w:shd w:val="clear" w:color="auto" w:fill="FFFFFF"/>
        <w:ind w:firstLine="0"/>
        <w:rPr>
          <w:lang w:eastAsia="zh-CN" w:bidi="th-TH"/>
        </w:rPr>
      </w:pPr>
      <w:r w:rsidRPr="00984C8C">
        <w:rPr>
          <w:rFonts w:eastAsia="Times New Roman" w:hAnsi="SimSun"/>
          <w:lang w:val="zh-CN" w:eastAsia="zh-CN" w:bidi="th-TH"/>
        </w:rPr>
        <w:t>请在此表最后一页签名和注明日期后交回</w:t>
      </w:r>
      <w:r>
        <w:rPr>
          <w:rFonts w:eastAsiaTheme="minorEastAsia" w:hAnsi="SimSun" w:hint="eastAsia"/>
          <w:lang w:val="zh-CN" w:eastAsia="zh-CN" w:bidi="th-TH"/>
        </w:rPr>
        <w:t>《</w:t>
      </w:r>
      <w:r w:rsidRPr="00984C8C">
        <w:rPr>
          <w:rFonts w:eastAsia="Times New Roman" w:hAnsi="SimSun"/>
          <w:lang w:val="zh-CN" w:eastAsia="zh-CN" w:bidi="th-TH"/>
        </w:rPr>
        <w:t>生物多样性公约</w:t>
      </w:r>
      <w:r>
        <w:rPr>
          <w:rFonts w:eastAsiaTheme="minorEastAsia" w:hAnsi="SimSun" w:hint="eastAsia"/>
          <w:lang w:val="zh-CN" w:eastAsia="zh-CN" w:bidi="th-TH"/>
        </w:rPr>
        <w:t>》</w:t>
      </w:r>
      <w:r>
        <w:rPr>
          <w:rFonts w:eastAsiaTheme="minorEastAsia" w:hAnsi="SimSun"/>
          <w:lang w:val="zh-CN" w:eastAsia="zh-CN" w:bidi="th-TH"/>
        </w:rPr>
        <w:t>的</w:t>
      </w:r>
      <w:r w:rsidRPr="00984C8C">
        <w:rPr>
          <w:rFonts w:eastAsia="Times New Roman" w:hAnsi="SimSun"/>
          <w:lang w:val="zh-CN" w:eastAsia="zh-CN" w:bidi="th-TH"/>
        </w:rPr>
        <w:t>执行秘书。</w:t>
      </w:r>
      <w:r w:rsidRPr="00984C8C">
        <w:rPr>
          <w:rStyle w:val="shorttext"/>
          <w:rFonts w:eastAsia="Times New Roman" w:hAnsi="SimSun"/>
          <w:lang w:val="zh-CN" w:eastAsia="zh-CN" w:bidi="th-TH"/>
        </w:rPr>
        <w:t>请保留一份副本作为记录。</w:t>
      </w:r>
    </w:p>
    <w:p w:rsidR="001F1AAC" w:rsidRDefault="001F1AAC" w:rsidP="0044481C">
      <w:pPr>
        <w:shd w:val="clear" w:color="auto" w:fill="FFFFFF"/>
        <w:ind w:firstLine="0"/>
        <w:rPr>
          <w:rFonts w:hAnsi="SimSun"/>
          <w:b/>
          <w:kern w:val="22"/>
          <w:lang w:val="zh-CN" w:bidi="th-TH"/>
        </w:rPr>
      </w:pPr>
      <w:r w:rsidRPr="00FD6C1A">
        <w:rPr>
          <w:rFonts w:eastAsia="Times New Roman" w:hAnsi="SimSun"/>
          <w:b/>
          <w:kern w:val="22"/>
          <w:lang w:val="zh-CN" w:bidi="th-TH"/>
        </w:rPr>
        <w:t>注</w:t>
      </w:r>
      <w:r>
        <w:rPr>
          <w:rFonts w:hAnsi="SimSun" w:hint="eastAsia"/>
          <w:b/>
          <w:kern w:val="22"/>
          <w:lang w:val="zh-CN" w:bidi="th-TH"/>
        </w:rPr>
        <w:t>：</w:t>
      </w:r>
    </w:p>
    <w:p w:rsidR="001F1AAC" w:rsidRDefault="001F1AAC" w:rsidP="001F1AAC">
      <w:pPr>
        <w:numPr>
          <w:ilvl w:val="0"/>
          <w:numId w:val="266"/>
        </w:numPr>
        <w:shd w:val="clear" w:color="auto" w:fill="FFFFFF"/>
        <w:ind w:firstLine="0"/>
        <w:rPr>
          <w:rFonts w:hAnsi="SimSun"/>
          <w:lang w:val="zh-CN" w:eastAsia="zh-CN" w:bidi="th-TH"/>
        </w:rPr>
      </w:pPr>
      <w:r w:rsidRPr="00984C8C">
        <w:rPr>
          <w:rFonts w:eastAsia="Times New Roman" w:hAnsi="SimSun"/>
          <w:lang w:val="zh-CN" w:eastAsia="zh-CN" w:bidi="th-TH"/>
        </w:rPr>
        <w:t>由于您的专业地位和专业知识</w:t>
      </w:r>
      <w:r w:rsidRPr="00984C8C">
        <w:rPr>
          <w:rFonts w:eastAsia="Times New Roman" w:hAnsi="SimSun"/>
          <w:lang w:eastAsia="zh-CN" w:bidi="th-TH"/>
        </w:rPr>
        <w:t>，</w:t>
      </w:r>
      <w:r w:rsidRPr="00984C8C">
        <w:rPr>
          <w:rFonts w:eastAsia="Times New Roman" w:hAnsi="SimSun"/>
          <w:lang w:val="zh-CN" w:eastAsia="zh-CN" w:bidi="th-TH"/>
        </w:rPr>
        <w:t>您已被提名并暂时确定为</w:t>
      </w:r>
      <w:r>
        <w:rPr>
          <w:rFonts w:hAnsi="SimSun"/>
          <w:lang w:val="zh-CN" w:eastAsia="zh-CN" w:bidi="th-TH"/>
        </w:rPr>
        <w:t>[</w:t>
      </w:r>
      <w:r w:rsidRPr="00466808">
        <w:rPr>
          <w:rFonts w:ascii="KaiTi" w:eastAsia="KaiTi" w:hAnsi="KaiTi"/>
          <w:u w:val="single"/>
          <w:lang w:val="zh-CN" w:eastAsia="zh-CN" w:bidi="th-TH"/>
        </w:rPr>
        <w:t>专家组名称或描述</w:t>
      </w:r>
      <w:r>
        <w:rPr>
          <w:rFonts w:hAnsi="SimSun"/>
          <w:lang w:val="zh-CN" w:eastAsia="zh-CN" w:bidi="th-TH"/>
        </w:rPr>
        <w:t>]</w:t>
      </w:r>
      <w:r w:rsidRPr="00984C8C">
        <w:rPr>
          <w:rFonts w:eastAsia="Times New Roman" w:hAnsi="SimSun"/>
          <w:lang w:val="zh-CN" w:eastAsia="zh-CN" w:bidi="th-TH"/>
        </w:rPr>
        <w:t>的专家。根据</w:t>
      </w:r>
      <w:r>
        <w:rPr>
          <w:rFonts w:eastAsia="Times New Roman" w:hAnsi="SimSun"/>
          <w:lang w:val="zh-CN" w:eastAsia="zh-CN" w:bidi="th-TH"/>
        </w:rPr>
        <w:t>规避</w:t>
      </w:r>
      <w:r w:rsidRPr="00984C8C">
        <w:rPr>
          <w:rFonts w:eastAsia="Times New Roman" w:hAnsi="SimSun"/>
          <w:lang w:val="zh-CN" w:eastAsia="zh-CN" w:bidi="th-TH"/>
        </w:rPr>
        <w:t>或管理利益冲突的程序</w:t>
      </w:r>
      <w:r w:rsidRPr="00984C8C">
        <w:rPr>
          <w:rFonts w:eastAsia="Times New Roman" w:hAnsi="SimSun"/>
          <w:lang w:eastAsia="zh-CN" w:bidi="th-TH"/>
        </w:rPr>
        <w:t>（</w:t>
      </w:r>
      <w:r w:rsidRPr="00984C8C">
        <w:rPr>
          <w:rFonts w:eastAsia="Times New Roman" w:hAnsi="SimSun"/>
          <w:lang w:val="zh-CN" w:eastAsia="zh-CN" w:bidi="th-TH"/>
        </w:rPr>
        <w:t>第</w:t>
      </w:r>
      <w:r>
        <w:rPr>
          <w:rFonts w:eastAsia="Times New Roman" w:hAnsi="SimSun"/>
          <w:lang w:val="zh-CN" w:eastAsia="zh-CN" w:bidi="th-TH"/>
        </w:rPr>
        <w:t>14/</w:t>
      </w:r>
      <w:r>
        <w:rPr>
          <w:rFonts w:eastAsia="Times New Roman" w:hAnsi="SimSun"/>
          <w:lang w:eastAsia="zh-CN" w:bidi="th-TH"/>
        </w:rPr>
        <w:t>33</w:t>
      </w:r>
      <w:r w:rsidRPr="00984C8C">
        <w:rPr>
          <w:rFonts w:eastAsia="Times New Roman" w:hAnsi="SimSun"/>
          <w:lang w:val="zh-CN" w:eastAsia="zh-CN" w:bidi="th-TH"/>
        </w:rPr>
        <w:t>号决定</w:t>
      </w:r>
      <w:r w:rsidRPr="00984C8C">
        <w:rPr>
          <w:rFonts w:eastAsia="Times New Roman" w:hAnsi="SimSun"/>
          <w:lang w:eastAsia="zh-CN" w:bidi="th-TH"/>
        </w:rPr>
        <w:t>），</w:t>
      </w:r>
      <w:r w:rsidRPr="00984C8C">
        <w:rPr>
          <w:rFonts w:eastAsia="Times New Roman" w:hAnsi="SimSun"/>
          <w:lang w:val="zh-CN" w:eastAsia="zh-CN" w:bidi="th-TH"/>
        </w:rPr>
        <w:t>您在</w:t>
      </w:r>
      <w:r>
        <w:rPr>
          <w:rFonts w:eastAsia="Times New Roman" w:hAnsi="SimSun"/>
          <w:lang w:val="zh-CN" w:eastAsia="zh-CN" w:bidi="th-TH"/>
        </w:rPr>
        <w:t>为</w:t>
      </w:r>
      <w:r w:rsidRPr="00984C8C">
        <w:rPr>
          <w:rFonts w:eastAsia="Times New Roman" w:hAnsi="SimSun"/>
          <w:lang w:val="zh-CN" w:eastAsia="zh-CN" w:bidi="th-TH"/>
        </w:rPr>
        <w:t>专家组工作时应</w:t>
      </w:r>
      <w:r>
        <w:rPr>
          <w:rFonts w:hAnsi="SimSun" w:hint="eastAsia"/>
          <w:lang w:val="zh-CN" w:eastAsia="zh-CN" w:bidi="th-TH"/>
        </w:rPr>
        <w:t>披露</w:t>
      </w:r>
      <w:r w:rsidRPr="00984C8C">
        <w:rPr>
          <w:rFonts w:eastAsia="Times New Roman" w:hAnsi="SimSun"/>
          <w:lang w:val="zh-CN" w:eastAsia="zh-CN" w:bidi="th-TH"/>
        </w:rPr>
        <w:t>可能</w:t>
      </w:r>
      <w:r>
        <w:rPr>
          <w:rFonts w:eastAsia="Times New Roman" w:hAnsi="SimSun"/>
          <w:lang w:val="zh-CN" w:eastAsia="zh-CN" w:bidi="th-TH"/>
        </w:rPr>
        <w:t>被认为</w:t>
      </w:r>
      <w:r w:rsidRPr="00984C8C">
        <w:rPr>
          <w:rFonts w:eastAsia="Times New Roman" w:hAnsi="SimSun"/>
          <w:lang w:val="zh-CN" w:eastAsia="zh-CN" w:bidi="th-TH"/>
        </w:rPr>
        <w:t>影响您作出客观判断和独立性的</w:t>
      </w:r>
      <w:r>
        <w:rPr>
          <w:rFonts w:hAnsi="SimSun" w:hint="eastAsia"/>
          <w:lang w:val="zh-CN" w:eastAsia="zh-CN" w:bidi="th-TH"/>
        </w:rPr>
        <w:t>利益冲突</w:t>
      </w:r>
      <w:r w:rsidRPr="00984C8C">
        <w:rPr>
          <w:rFonts w:eastAsia="Times New Roman" w:hAnsi="SimSun"/>
          <w:lang w:val="zh-CN" w:eastAsia="zh-CN" w:bidi="th-TH"/>
        </w:rPr>
        <w:t>。因此</w:t>
      </w:r>
      <w:r w:rsidRPr="00984C8C">
        <w:rPr>
          <w:rFonts w:eastAsia="Times New Roman" w:hAnsi="SimSun"/>
          <w:lang w:eastAsia="zh-CN" w:bidi="th-TH"/>
        </w:rPr>
        <w:t>，</w:t>
      </w:r>
      <w:r w:rsidRPr="00984C8C">
        <w:rPr>
          <w:rFonts w:eastAsia="Times New Roman" w:hAnsi="SimSun"/>
          <w:lang w:val="zh-CN" w:eastAsia="zh-CN" w:bidi="th-TH"/>
        </w:rPr>
        <w:t>有必要披露某些事项</w:t>
      </w:r>
      <w:r w:rsidRPr="00984C8C">
        <w:rPr>
          <w:rFonts w:eastAsia="Times New Roman" w:hAnsi="SimSun"/>
          <w:lang w:eastAsia="zh-CN" w:bidi="th-TH"/>
        </w:rPr>
        <w:t>，</w:t>
      </w:r>
      <w:r w:rsidRPr="00984C8C">
        <w:rPr>
          <w:rFonts w:eastAsia="Times New Roman" w:hAnsi="SimSun"/>
          <w:lang w:val="zh-CN" w:eastAsia="zh-CN" w:bidi="th-TH"/>
        </w:rPr>
        <w:t>以确保专家组的</w:t>
      </w:r>
      <w:r w:rsidRPr="00984C8C">
        <w:rPr>
          <w:rFonts w:eastAsia="Times New Roman" w:hAnsi="SimSun"/>
          <w:lang w:val="zh-CN" w:eastAsia="zh-CN" w:bidi="th-TH"/>
        </w:rPr>
        <w:lastRenderedPageBreak/>
        <w:t>工作不受利益冲突的影响。</w:t>
      </w:r>
      <w:r>
        <w:rPr>
          <w:rFonts w:hAnsi="SimSun" w:hint="eastAsia"/>
          <w:lang w:eastAsia="zh-CN" w:bidi="th-TH"/>
        </w:rPr>
        <w:t>鉴于专家组的工作必须</w:t>
      </w:r>
      <w:r>
        <w:rPr>
          <w:rFonts w:hAnsi="SimSun"/>
          <w:lang w:eastAsia="zh-CN" w:bidi="th-TH"/>
        </w:rPr>
        <w:t>具备</w:t>
      </w:r>
      <w:r>
        <w:rPr>
          <w:rFonts w:hAnsi="SimSun" w:hint="eastAsia"/>
          <w:lang w:eastAsia="zh-CN" w:bidi="th-TH"/>
        </w:rPr>
        <w:t>高标准和取得无懈可击的成果，</w:t>
      </w:r>
      <w:r>
        <w:rPr>
          <w:rFonts w:eastAsia="Times New Roman" w:hAnsi="SimSun"/>
          <w:lang w:val="zh-CN" w:eastAsia="zh-CN" w:bidi="th-TH"/>
        </w:rPr>
        <w:t>请</w:t>
      </w:r>
      <w:r>
        <w:rPr>
          <w:rFonts w:eastAsiaTheme="minorEastAsia" w:hAnsi="SimSun" w:hint="eastAsia"/>
          <w:lang w:val="zh-CN" w:eastAsia="zh-CN" w:bidi="th-TH"/>
        </w:rPr>
        <w:t>秉持</w:t>
      </w:r>
      <w:r w:rsidRPr="00984C8C">
        <w:rPr>
          <w:rFonts w:eastAsia="Times New Roman" w:hAnsi="SimSun"/>
          <w:lang w:val="zh-CN" w:eastAsia="zh-CN" w:bidi="th-TH"/>
        </w:rPr>
        <w:t>专业精神、常识和诚实</w:t>
      </w:r>
      <w:r>
        <w:rPr>
          <w:rFonts w:eastAsiaTheme="minorEastAsia" w:hAnsi="SimSun" w:hint="eastAsia"/>
          <w:lang w:val="zh-CN" w:eastAsia="zh-CN" w:bidi="th-TH"/>
        </w:rPr>
        <w:t>认真</w:t>
      </w:r>
      <w:r w:rsidRPr="00984C8C">
        <w:rPr>
          <w:rFonts w:eastAsia="Times New Roman" w:hAnsi="SimSun"/>
          <w:lang w:val="zh-CN" w:eastAsia="zh-CN" w:bidi="th-TH"/>
        </w:rPr>
        <w:t>填写此表。</w:t>
      </w:r>
    </w:p>
    <w:p w:rsidR="001F1AAC" w:rsidRPr="001F615E" w:rsidRDefault="001F1AAC" w:rsidP="001F1AAC">
      <w:pPr>
        <w:numPr>
          <w:ilvl w:val="0"/>
          <w:numId w:val="266"/>
        </w:numPr>
        <w:shd w:val="clear" w:color="auto" w:fill="FFFFFF"/>
        <w:ind w:firstLine="0"/>
        <w:rPr>
          <w:rFonts w:ascii="SimSun" w:hAnsi="SimSun" w:cs="SimSun"/>
          <w:lang w:eastAsia="zh-CN"/>
        </w:rPr>
      </w:pPr>
      <w:r w:rsidRPr="001F615E">
        <w:rPr>
          <w:rFonts w:ascii="SimSun" w:hAnsi="SimSun" w:cs="SimSun" w:hint="eastAsia"/>
          <w:lang w:eastAsia="zh-CN"/>
        </w:rPr>
        <w:t>请注意，在“规避或管理利益冲突的程序”第</w:t>
      </w:r>
      <w:r w:rsidRPr="001F615E">
        <w:rPr>
          <w:lang w:eastAsia="zh-CN"/>
        </w:rPr>
        <w:t>1.4</w:t>
      </w:r>
      <w:r w:rsidRPr="001F615E">
        <w:rPr>
          <w:rFonts w:ascii="SimSun" w:hAnsi="SimSun" w:cs="SimSun" w:hint="eastAsia"/>
          <w:lang w:eastAsia="zh-CN"/>
        </w:rPr>
        <w:t>节中，</w:t>
      </w:r>
      <w:r w:rsidRPr="001F615E">
        <w:rPr>
          <w:rFonts w:asciiTheme="minorEastAsia" w:eastAsiaTheme="minorEastAsia" w:hAnsiTheme="minorEastAsia"/>
          <w:lang w:eastAsia="zh-CN"/>
        </w:rPr>
        <w:t>“</w:t>
      </w:r>
      <w:r w:rsidRPr="001F615E">
        <w:rPr>
          <w:rFonts w:asciiTheme="minorEastAsia" w:eastAsiaTheme="minorEastAsia" w:hAnsiTheme="minorEastAsia" w:cs="SimSun" w:hint="eastAsia"/>
          <w:lang w:eastAsia="zh-CN"/>
        </w:rPr>
        <w:t>利益冲突</w:t>
      </w:r>
      <w:r w:rsidRPr="001F615E">
        <w:rPr>
          <w:rFonts w:asciiTheme="minorEastAsia" w:eastAsiaTheme="minorEastAsia" w:hAnsiTheme="minorEastAsia"/>
          <w:lang w:eastAsia="zh-CN"/>
        </w:rPr>
        <w:t>”</w:t>
      </w:r>
      <w:r w:rsidRPr="001F615E">
        <w:rPr>
          <w:rFonts w:asciiTheme="minorEastAsia" w:eastAsiaTheme="minorEastAsia" w:hAnsiTheme="minorEastAsia" w:cs="SimSun" w:hint="eastAsia"/>
          <w:lang w:eastAsia="zh-CN"/>
        </w:rPr>
        <w:t>和</w:t>
      </w:r>
      <w:r w:rsidRPr="001F615E">
        <w:rPr>
          <w:rFonts w:asciiTheme="minorEastAsia" w:eastAsiaTheme="minorEastAsia" w:hAnsiTheme="minorEastAsia"/>
          <w:lang w:eastAsia="zh-CN"/>
        </w:rPr>
        <w:t>“</w:t>
      </w:r>
      <w:r w:rsidRPr="001F615E">
        <w:rPr>
          <w:rFonts w:asciiTheme="minorEastAsia" w:eastAsiaTheme="minorEastAsia" w:hAnsiTheme="minorEastAsia" w:cs="SimSun" w:hint="eastAsia"/>
          <w:lang w:eastAsia="zh-CN"/>
        </w:rPr>
        <w:t>偏见</w:t>
      </w:r>
      <w:r w:rsidRPr="001F615E">
        <w:rPr>
          <w:rFonts w:asciiTheme="minorEastAsia" w:eastAsiaTheme="minorEastAsia" w:hAnsiTheme="minorEastAsia"/>
          <w:lang w:eastAsia="zh-CN"/>
        </w:rPr>
        <w:t>”</w:t>
      </w:r>
      <w:r w:rsidRPr="001F615E">
        <w:rPr>
          <w:rFonts w:asciiTheme="minorEastAsia" w:eastAsiaTheme="minorEastAsia" w:hAnsiTheme="minorEastAsia" w:hint="eastAsia"/>
          <w:lang w:eastAsia="zh-CN"/>
        </w:rPr>
        <w:t>之间</w:t>
      </w:r>
      <w:r w:rsidRPr="001F615E">
        <w:rPr>
          <w:rFonts w:asciiTheme="minorEastAsia" w:eastAsiaTheme="minorEastAsia" w:hAnsiTheme="minorEastAsia"/>
          <w:lang w:eastAsia="zh-CN"/>
        </w:rPr>
        <w:t>有所</w:t>
      </w:r>
      <w:r w:rsidRPr="001F615E">
        <w:rPr>
          <w:rFonts w:asciiTheme="minorEastAsia" w:eastAsiaTheme="minorEastAsia" w:hAnsiTheme="minorEastAsia" w:cs="SimSun" w:hint="eastAsia"/>
          <w:lang w:eastAsia="zh-CN"/>
        </w:rPr>
        <w:t>区别。</w:t>
      </w:r>
      <w:r w:rsidRPr="001F615E">
        <w:rPr>
          <w:rFonts w:asciiTheme="minorEastAsia" w:eastAsiaTheme="minorEastAsia" w:hAnsiTheme="minorEastAsia"/>
          <w:lang w:eastAsia="zh-CN"/>
        </w:rPr>
        <w:t>“</w:t>
      </w:r>
      <w:r w:rsidRPr="001F615E">
        <w:rPr>
          <w:rFonts w:asciiTheme="minorEastAsia" w:eastAsiaTheme="minorEastAsia" w:hAnsiTheme="minorEastAsia" w:cs="SimSun" w:hint="eastAsia"/>
          <w:lang w:eastAsia="zh-CN"/>
        </w:rPr>
        <w:t>偏见</w:t>
      </w:r>
      <w:r w:rsidRPr="001F615E">
        <w:rPr>
          <w:rFonts w:asciiTheme="minorEastAsia" w:eastAsiaTheme="minorEastAsia" w:hAnsiTheme="minorEastAsia"/>
          <w:lang w:eastAsia="zh-CN"/>
        </w:rPr>
        <w:t>”</w:t>
      </w:r>
      <w:r w:rsidRPr="001F615E">
        <w:rPr>
          <w:rFonts w:asciiTheme="minorEastAsia" w:eastAsiaTheme="minorEastAsia" w:hAnsiTheme="minorEastAsia" w:cs="SimSun" w:hint="eastAsia"/>
          <w:lang w:eastAsia="zh-CN"/>
        </w:rPr>
        <w:t>是指对某一特定问题或一组问题所持</w:t>
      </w:r>
      <w:r w:rsidRPr="001F615E">
        <w:rPr>
          <w:rFonts w:asciiTheme="minorEastAsia" w:eastAsiaTheme="minorEastAsia" w:hAnsiTheme="minorEastAsia" w:cs="SimSun"/>
          <w:lang w:eastAsia="zh-CN"/>
        </w:rPr>
        <w:t>的</w:t>
      </w:r>
      <w:r w:rsidRPr="001F615E">
        <w:rPr>
          <w:rFonts w:asciiTheme="minorEastAsia" w:eastAsiaTheme="minorEastAsia" w:hAnsiTheme="minorEastAsia" w:cs="SimSun" w:hint="eastAsia"/>
          <w:lang w:eastAsia="zh-CN"/>
        </w:rPr>
        <w:t>强烈</w:t>
      </w:r>
      <w:r w:rsidRPr="001F615E">
        <w:rPr>
          <w:rFonts w:ascii="SimSun" w:hAnsi="SimSun" w:cs="SimSun" w:hint="eastAsia"/>
          <w:lang w:eastAsia="zh-CN"/>
        </w:rPr>
        <w:t>观点或看法。一个人持有其认为正确但不会令其个人从中获益的观点不一定构成利益冲突，也可能是偏见。</w:t>
      </w:r>
    </w:p>
    <w:p w:rsidR="001F1AAC" w:rsidRPr="005A6A7F" w:rsidRDefault="001F1AAC" w:rsidP="001F1AAC">
      <w:pPr>
        <w:numPr>
          <w:ilvl w:val="0"/>
          <w:numId w:val="266"/>
        </w:numPr>
        <w:shd w:val="clear" w:color="auto" w:fill="FFFFFF"/>
        <w:ind w:firstLine="0"/>
        <w:rPr>
          <w:rFonts w:ascii="SimSun" w:hAnsi="SimSun" w:cs="SimSun"/>
          <w:lang w:val="zh-CN" w:eastAsia="zh-CN" w:bidi="th-TH"/>
        </w:rPr>
      </w:pPr>
      <w:r w:rsidRPr="005A6A7F">
        <w:rPr>
          <w:rFonts w:ascii="SimSun" w:hAnsi="SimSun" w:cs="SimSun" w:hint="eastAsia"/>
          <w:lang w:eastAsia="zh-CN"/>
        </w:rPr>
        <w:t>请注意，无论其</w:t>
      </w:r>
      <w:r w:rsidRPr="005A6A7F">
        <w:rPr>
          <w:rFonts w:ascii="SimSun" w:hAnsi="SimSun" w:cs="SimSun"/>
          <w:lang w:eastAsia="zh-CN"/>
        </w:rPr>
        <w:t>来自何种</w:t>
      </w:r>
      <w:r w:rsidRPr="005A6A7F">
        <w:rPr>
          <w:rFonts w:ascii="SimSun" w:hAnsi="SimSun" w:cs="SimSun" w:hint="eastAsia"/>
          <w:lang w:eastAsia="zh-CN"/>
        </w:rPr>
        <w:t>政府、行业、组织或学术机构，专家</w:t>
      </w:r>
      <w:r>
        <w:rPr>
          <w:rFonts w:ascii="SimSun" w:hAnsi="SimSun" w:cs="SimSun"/>
          <w:lang w:eastAsia="zh-CN"/>
        </w:rPr>
        <w:t>均</w:t>
      </w:r>
      <w:r>
        <w:rPr>
          <w:rFonts w:ascii="SimSun" w:hAnsi="SimSun" w:cs="SimSun" w:hint="eastAsia"/>
          <w:lang w:eastAsia="zh-CN"/>
        </w:rPr>
        <w:t>应</w:t>
      </w:r>
      <w:r w:rsidRPr="005A6A7F">
        <w:rPr>
          <w:rFonts w:ascii="SimSun" w:hAnsi="SimSun" w:cs="SimSun" w:hint="eastAsia"/>
          <w:lang w:eastAsia="zh-CN"/>
        </w:rPr>
        <w:t>客观行事</w:t>
      </w:r>
      <w:r w:rsidRPr="005A6A7F">
        <w:rPr>
          <w:rFonts w:ascii="SimSun" w:hAnsi="SimSun" w:cs="SimSun"/>
          <w:lang w:eastAsia="zh-CN"/>
        </w:rPr>
        <w:t>，</w:t>
      </w:r>
      <w:r w:rsidRPr="005A6A7F">
        <w:rPr>
          <w:rFonts w:hAnsi="SimSun" w:hint="eastAsia"/>
          <w:kern w:val="22"/>
          <w:lang w:val="zh-CN" w:eastAsia="zh-CN" w:bidi="th-TH"/>
        </w:rPr>
        <w:t>遵守最高专业标准和体现高度的专业操守和尊严</w:t>
      </w:r>
      <w:r w:rsidRPr="005A6A7F">
        <w:rPr>
          <w:rFonts w:ascii="SimSun" w:hAnsi="SimSun" w:cs="SimSun" w:hint="eastAsia"/>
          <w:kern w:val="22"/>
          <w:lang w:val="zh-CN" w:eastAsia="zh-CN" w:bidi="th-TH"/>
        </w:rPr>
        <w:t>。</w:t>
      </w:r>
      <w:r w:rsidRPr="005A6A7F">
        <w:rPr>
          <w:rFonts w:ascii="SimSun" w:hAnsi="SimSun" w:cs="SimSun" w:hint="eastAsia"/>
          <w:lang w:val="zh-CN" w:eastAsia="zh-CN" w:bidi="th-TH"/>
        </w:rPr>
        <w:t>专家应</w:t>
      </w:r>
      <w:r w:rsidRPr="005A6A7F">
        <w:rPr>
          <w:rFonts w:hAnsi="SimSun" w:hint="eastAsia"/>
          <w:lang w:val="zh-CN" w:eastAsia="zh-CN" w:bidi="th-TH"/>
        </w:rPr>
        <w:t>披露任何</w:t>
      </w:r>
      <w:r w:rsidRPr="005A6A7F">
        <w:rPr>
          <w:rFonts w:ascii="SimSun" w:hAnsi="SimSun" w:cs="SimSun" w:hint="eastAsia"/>
          <w:lang w:val="zh-CN" w:eastAsia="zh-CN" w:bidi="th-TH"/>
        </w:rPr>
        <w:t>可能被认为影响专家所做贡献的客观性和独立性从而影响专家组工作结果的</w:t>
      </w:r>
      <w:r w:rsidRPr="005A6A7F">
        <w:rPr>
          <w:rFonts w:hAnsi="SimSun" w:hint="eastAsia"/>
          <w:lang w:val="zh-CN" w:eastAsia="zh-CN" w:bidi="th-TH"/>
        </w:rPr>
        <w:t>情况，不论是</w:t>
      </w:r>
      <w:r w:rsidRPr="005A6A7F">
        <w:rPr>
          <w:rFonts w:ascii="SimSun" w:hAnsi="SimSun" w:cs="SimSun" w:hint="eastAsia"/>
          <w:lang w:val="zh-CN" w:eastAsia="zh-CN" w:bidi="th-TH"/>
        </w:rPr>
        <w:t>财务或</w:t>
      </w:r>
      <w:r w:rsidRPr="005A6A7F">
        <w:rPr>
          <w:rFonts w:hAnsi="SimSun" w:hint="eastAsia"/>
          <w:lang w:val="zh-CN" w:eastAsia="zh-CN" w:bidi="th-TH"/>
        </w:rPr>
        <w:t>是</w:t>
      </w:r>
      <w:r w:rsidRPr="005A6A7F">
        <w:rPr>
          <w:rFonts w:ascii="SimSun" w:hAnsi="SimSun" w:cs="SimSun" w:hint="eastAsia"/>
          <w:lang w:val="zh-CN" w:eastAsia="zh-CN" w:bidi="th-TH"/>
        </w:rPr>
        <w:t>其他情况。</w:t>
      </w:r>
    </w:p>
    <w:p w:rsidR="001F1AAC" w:rsidRPr="00052B0E" w:rsidRDefault="001F1AAC" w:rsidP="001F1AAC">
      <w:pPr>
        <w:numPr>
          <w:ilvl w:val="0"/>
          <w:numId w:val="266"/>
        </w:numPr>
        <w:shd w:val="clear" w:color="auto" w:fill="FFFFFF"/>
        <w:ind w:firstLine="0"/>
        <w:rPr>
          <w:kern w:val="22"/>
          <w:lang w:eastAsia="zh-CN" w:bidi="th-TH"/>
        </w:rPr>
      </w:pPr>
      <w:r w:rsidRPr="00984C8C">
        <w:rPr>
          <w:rFonts w:eastAsia="Times New Roman" w:hAnsi="SimSun"/>
          <w:lang w:val="zh-CN" w:eastAsia="zh-CN" w:bidi="th-TH"/>
        </w:rPr>
        <w:t>您</w:t>
      </w:r>
      <w:r>
        <w:rPr>
          <w:rFonts w:eastAsiaTheme="minorEastAsia" w:hAnsi="SimSun" w:hint="eastAsia"/>
          <w:lang w:val="zh-CN" w:eastAsia="zh-CN" w:bidi="th-TH"/>
        </w:rPr>
        <w:t>必须</w:t>
      </w:r>
      <w:r w:rsidRPr="00984C8C">
        <w:rPr>
          <w:rFonts w:eastAsia="Times New Roman" w:hAnsi="SimSun"/>
          <w:lang w:val="zh-CN" w:eastAsia="zh-CN" w:bidi="th-TH"/>
        </w:rPr>
        <w:t>披露与您在专家组中的角色相关</w:t>
      </w:r>
      <w:r>
        <w:rPr>
          <w:rFonts w:hAnsi="SimSun" w:hint="eastAsia"/>
          <w:lang w:val="zh-CN" w:eastAsia="zh-CN" w:bidi="th-TH"/>
        </w:rPr>
        <w:t>和</w:t>
      </w:r>
      <w:r w:rsidRPr="00984C8C">
        <w:rPr>
          <w:rFonts w:eastAsia="Times New Roman" w:hAnsi="SimSun"/>
          <w:lang w:val="zh-CN" w:eastAsia="zh-CN" w:bidi="th-TH"/>
        </w:rPr>
        <w:t>有关的利益</w:t>
      </w:r>
      <w:r w:rsidRPr="00984C8C">
        <w:rPr>
          <w:rFonts w:eastAsia="Times New Roman" w:hAnsi="SimSun"/>
          <w:lang w:eastAsia="zh-CN" w:bidi="th-TH"/>
        </w:rPr>
        <w:t>，</w:t>
      </w:r>
      <w:r w:rsidRPr="00984C8C">
        <w:rPr>
          <w:rFonts w:eastAsia="Times New Roman" w:hAnsi="SimSun"/>
          <w:lang w:val="zh-CN" w:eastAsia="zh-CN" w:bidi="th-TH"/>
        </w:rPr>
        <w:t>这可能</w:t>
      </w:r>
      <w:r w:rsidRPr="00984C8C">
        <w:rPr>
          <w:rFonts w:eastAsia="Times New Roman" w:hAnsi="SimSun"/>
          <w:lang w:eastAsia="zh-CN" w:bidi="th-TH"/>
        </w:rPr>
        <w:t>：</w:t>
      </w:r>
      <w:r>
        <w:rPr>
          <w:rFonts w:eastAsiaTheme="minorEastAsia" w:hAnsi="SimSun" w:hint="eastAsia"/>
          <w:lang w:eastAsia="zh-CN" w:bidi="th-TH"/>
        </w:rPr>
        <w:t>(</w:t>
      </w:r>
      <w:r>
        <w:rPr>
          <w:rFonts w:hAnsi="SimSun"/>
          <w:lang w:eastAsia="zh-CN" w:bidi="th-TH"/>
        </w:rPr>
        <w:t xml:space="preserve">a) </w:t>
      </w:r>
      <w:r w:rsidRPr="0027477A">
        <w:rPr>
          <w:rFonts w:eastAsia="Times New Roman" w:hAnsi="SimSun"/>
          <w:lang w:val="zh-CN" w:eastAsia="zh-CN" w:bidi="th-TH"/>
        </w:rPr>
        <w:t>当您作为专家组成员履行职责时</w:t>
      </w:r>
      <w:r w:rsidRPr="0027477A">
        <w:rPr>
          <w:rFonts w:eastAsia="Times New Roman" w:hAnsi="SimSun"/>
          <w:lang w:eastAsia="zh-CN" w:bidi="th-TH"/>
        </w:rPr>
        <w:t>，</w:t>
      </w:r>
      <w:r w:rsidRPr="0027477A">
        <w:rPr>
          <w:rFonts w:eastAsia="Times New Roman" w:hAnsi="SimSun"/>
          <w:lang w:val="zh-CN" w:eastAsia="zh-CN" w:bidi="th-TH"/>
        </w:rPr>
        <w:t>严重影响您的客观性</w:t>
      </w:r>
      <w:r w:rsidRPr="0027477A">
        <w:rPr>
          <w:rFonts w:eastAsia="Times New Roman" w:hAnsi="SimSun"/>
          <w:lang w:eastAsia="zh-CN" w:bidi="th-TH"/>
        </w:rPr>
        <w:t>；</w:t>
      </w:r>
      <w:r>
        <w:rPr>
          <w:rFonts w:hAnsi="SimSun" w:hint="eastAsia"/>
          <w:lang w:eastAsia="zh-CN" w:bidi="th-TH"/>
        </w:rPr>
        <w:t>或</w:t>
      </w:r>
      <w:r>
        <w:rPr>
          <w:rFonts w:hAnsi="SimSun" w:hint="eastAsia"/>
          <w:lang w:eastAsia="zh-CN" w:bidi="th-TH"/>
        </w:rPr>
        <w:t xml:space="preserve"> (</w:t>
      </w:r>
      <w:r>
        <w:rPr>
          <w:rFonts w:hAnsi="SimSun"/>
          <w:lang w:eastAsia="zh-CN" w:bidi="th-TH"/>
        </w:rPr>
        <w:t xml:space="preserve">b) </w:t>
      </w:r>
      <w:r w:rsidRPr="0027477A">
        <w:rPr>
          <w:rFonts w:eastAsia="Times New Roman" w:hAnsi="SimSun"/>
          <w:lang w:val="zh-CN" w:eastAsia="zh-CN" w:bidi="th-TH"/>
        </w:rPr>
        <w:t>为您或任何个人或组织</w:t>
      </w:r>
      <w:r>
        <w:rPr>
          <w:rFonts w:eastAsiaTheme="minorEastAsia" w:hAnsi="SimSun" w:hint="eastAsia"/>
          <w:lang w:val="zh-CN" w:eastAsia="zh-CN" w:bidi="th-TH"/>
        </w:rPr>
        <w:t>带来</w:t>
      </w:r>
      <w:r w:rsidRPr="0027477A">
        <w:rPr>
          <w:rFonts w:eastAsia="Times New Roman" w:hAnsi="SimSun"/>
          <w:lang w:val="zh-CN" w:eastAsia="zh-CN" w:bidi="th-TH"/>
        </w:rPr>
        <w:t>不公平优势</w:t>
      </w:r>
      <w:r>
        <w:rPr>
          <w:rFonts w:hAnsi="SimSun" w:hint="eastAsia"/>
          <w:lang w:val="zh-CN" w:eastAsia="zh-CN" w:bidi="th-TH"/>
        </w:rPr>
        <w:t>。</w:t>
      </w:r>
    </w:p>
    <w:p w:rsidR="001F1AAC" w:rsidRPr="001D3131" w:rsidRDefault="001F1AAC" w:rsidP="001F1AAC">
      <w:pPr>
        <w:numPr>
          <w:ilvl w:val="0"/>
          <w:numId w:val="266"/>
        </w:numPr>
        <w:shd w:val="clear" w:color="auto" w:fill="FFFFFF"/>
        <w:ind w:firstLine="0"/>
        <w:rPr>
          <w:kern w:val="22"/>
          <w:lang w:eastAsia="zh-CN" w:bidi="th-TH"/>
        </w:rPr>
      </w:pPr>
      <w:r w:rsidRPr="00052B0E">
        <w:rPr>
          <w:rFonts w:ascii="SimSun" w:hAnsi="SimSun" w:cs="SimSun" w:hint="eastAsia"/>
          <w:lang w:val="zh-CN" w:eastAsia="zh-CN"/>
        </w:rPr>
        <w:t>出于这一要求的目的</w:t>
      </w:r>
      <w:r w:rsidRPr="00052B0E">
        <w:rPr>
          <w:rFonts w:eastAsia="Times New Roman" w:hAnsi="SimSun"/>
          <w:lang w:eastAsia="zh-CN" w:bidi="th-TH"/>
        </w:rPr>
        <w:t>，</w:t>
      </w:r>
      <w:r w:rsidRPr="00052B0E">
        <w:rPr>
          <w:rFonts w:eastAsia="Times New Roman" w:hAnsi="SimSun"/>
          <w:lang w:val="zh-CN" w:eastAsia="zh-CN" w:bidi="th-TH"/>
        </w:rPr>
        <w:t>可能使人</w:t>
      </w:r>
      <w:r>
        <w:rPr>
          <w:rFonts w:eastAsiaTheme="minorEastAsia" w:hAnsi="SimSun" w:hint="eastAsia"/>
          <w:lang w:val="zh-CN" w:eastAsia="zh-CN" w:bidi="th-TH"/>
        </w:rPr>
        <w:t>有理由</w:t>
      </w:r>
      <w:r w:rsidRPr="00052B0E">
        <w:rPr>
          <w:rFonts w:eastAsia="Times New Roman" w:hAnsi="SimSun"/>
          <w:lang w:val="zh-CN" w:eastAsia="zh-CN" w:bidi="th-TH"/>
        </w:rPr>
        <w:t>质疑您的客观性或是否可能已经造成不公平的优势的状况都构成</w:t>
      </w:r>
      <w:r>
        <w:rPr>
          <w:rFonts w:eastAsiaTheme="minorEastAsia" w:hAnsi="SimSun" w:hint="eastAsia"/>
          <w:lang w:val="zh-CN" w:eastAsia="zh-CN" w:bidi="th-TH"/>
        </w:rPr>
        <w:t>可能</w:t>
      </w:r>
      <w:r w:rsidRPr="00052B0E">
        <w:rPr>
          <w:rFonts w:eastAsia="Times New Roman" w:hAnsi="SimSun"/>
          <w:lang w:val="zh-CN" w:eastAsia="zh-CN" w:bidi="th-TH"/>
        </w:rPr>
        <w:t>的利益冲突</w:t>
      </w:r>
      <w:r w:rsidRPr="00052B0E">
        <w:rPr>
          <w:rFonts w:eastAsia="Times New Roman" w:hAnsi="SimSun"/>
          <w:lang w:eastAsia="zh-CN" w:bidi="th-TH"/>
        </w:rPr>
        <w:t>，</w:t>
      </w:r>
      <w:r w:rsidRPr="00052B0E">
        <w:rPr>
          <w:rFonts w:eastAsia="Times New Roman" w:hAnsi="SimSun"/>
          <w:lang w:val="zh-CN" w:eastAsia="zh-CN" w:bidi="th-TH"/>
        </w:rPr>
        <w:t>应在表中予以披露。在表上披露利益并不就意味着存在冲突或您将无法参与专家组的工作。如果您对是否应披露一项利益存有疑问</w:t>
      </w:r>
      <w:r w:rsidRPr="00052B0E">
        <w:rPr>
          <w:rFonts w:eastAsia="Times New Roman" w:hAnsi="SimSun"/>
          <w:lang w:eastAsia="zh-CN" w:bidi="th-TH"/>
        </w:rPr>
        <w:t>，</w:t>
      </w:r>
      <w:r w:rsidRPr="00052B0E">
        <w:rPr>
          <w:rFonts w:eastAsia="Times New Roman" w:hAnsi="SimSun"/>
          <w:lang w:val="zh-CN" w:eastAsia="zh-CN" w:bidi="th-TH"/>
        </w:rPr>
        <w:t>则应披露此利益。</w:t>
      </w:r>
    </w:p>
    <w:p w:rsidR="001F1AAC" w:rsidRPr="00052B0E" w:rsidRDefault="001F1AAC" w:rsidP="001F1AAC">
      <w:pPr>
        <w:numPr>
          <w:ilvl w:val="0"/>
          <w:numId w:val="266"/>
        </w:numPr>
        <w:shd w:val="clear" w:color="auto" w:fill="FFFFFF"/>
        <w:ind w:firstLine="0"/>
        <w:rPr>
          <w:kern w:val="22"/>
          <w:lang w:eastAsia="zh-CN" w:bidi="th-TH"/>
        </w:rPr>
      </w:pPr>
      <w:r w:rsidRPr="001D3131">
        <w:rPr>
          <w:rFonts w:hAnsi="SimSun" w:hint="eastAsia"/>
          <w:lang w:val="zh-CN" w:eastAsia="zh-CN" w:bidi="th-TH"/>
        </w:rPr>
        <w:t>除了您的联系方式外，任何人都可</w:t>
      </w:r>
      <w:r>
        <w:rPr>
          <w:rFonts w:hAnsi="SimSun" w:hint="eastAsia"/>
          <w:lang w:val="zh-CN" w:eastAsia="zh-CN" w:bidi="th-TH"/>
        </w:rPr>
        <w:t>提出</w:t>
      </w:r>
      <w:r w:rsidRPr="001D3131">
        <w:rPr>
          <w:rFonts w:hAnsi="SimSun" w:hint="eastAsia"/>
          <w:lang w:val="zh-CN" w:eastAsia="zh-CN" w:bidi="th-TH"/>
        </w:rPr>
        <w:t>要求</w:t>
      </w:r>
      <w:r>
        <w:rPr>
          <w:rFonts w:hAnsi="SimSun" w:hint="eastAsia"/>
          <w:lang w:val="zh-CN" w:eastAsia="zh-CN" w:bidi="th-TH"/>
        </w:rPr>
        <w:t>，查阅</w:t>
      </w:r>
      <w:r w:rsidRPr="001D3131">
        <w:rPr>
          <w:rFonts w:hAnsi="SimSun" w:hint="eastAsia"/>
          <w:lang w:val="zh-CN" w:eastAsia="zh-CN" w:bidi="th-TH"/>
        </w:rPr>
        <w:t>此表内容。请说明出于隐私原因应从公开披露中删除的任何信息，以便秘书处评估</w:t>
      </w:r>
      <w:r>
        <w:rPr>
          <w:rFonts w:hAnsi="SimSun" w:hint="eastAsia"/>
          <w:lang w:val="zh-CN" w:eastAsia="zh-CN" w:bidi="th-TH"/>
        </w:rPr>
        <w:t>是否适于删除此项信息。</w:t>
      </w:r>
    </w:p>
    <w:p w:rsidR="001F1AAC" w:rsidRPr="003C6A22" w:rsidRDefault="001F1AAC" w:rsidP="001F1AAC">
      <w:pPr>
        <w:shd w:val="clear" w:color="auto" w:fill="FFFFFF"/>
        <w:jc w:val="center"/>
        <w:rPr>
          <w:rFonts w:ascii="SimSun" w:hAnsi="SimSun"/>
          <w:b/>
          <w:kern w:val="22"/>
          <w:szCs w:val="22"/>
          <w:lang w:bidi="th-TH"/>
        </w:rPr>
      </w:pPr>
      <w:r w:rsidRPr="003C6A22">
        <w:rPr>
          <w:rFonts w:ascii="SimSun" w:hAnsi="SimSun" w:hint="eastAsia"/>
          <w:b/>
          <w:kern w:val="22"/>
          <w:szCs w:val="22"/>
          <w:lang w:val="zh-CN" w:bidi="th-TH"/>
        </w:rPr>
        <w:t>利益披露表</w:t>
      </w:r>
    </w:p>
    <w:p w:rsidR="001F1AAC" w:rsidRPr="00052B0E" w:rsidRDefault="001F1AAC" w:rsidP="00466808">
      <w:pPr>
        <w:shd w:val="clear" w:color="auto" w:fill="FFFFFF"/>
        <w:spacing w:before="0"/>
        <w:ind w:firstLine="0"/>
        <w:jc w:val="left"/>
        <w:rPr>
          <w:rFonts w:ascii="SimSun" w:hAnsi="SimSun"/>
          <w:szCs w:val="22"/>
          <w:lang w:bidi="th-TH"/>
        </w:rPr>
      </w:pPr>
      <w:r w:rsidRPr="00052B0E">
        <w:rPr>
          <w:rFonts w:ascii="SimSun" w:hAnsi="SimSun" w:hint="eastAsia"/>
          <w:kern w:val="22"/>
          <w:szCs w:val="22"/>
          <w:lang w:val="zh-CN" w:bidi="th-TH"/>
        </w:rPr>
        <w:t>姓名</w:t>
      </w:r>
      <w:r w:rsidRPr="00052B0E">
        <w:rPr>
          <w:rFonts w:ascii="SimSun" w:hAnsi="SimSun" w:hint="eastAsia"/>
          <w:kern w:val="22"/>
          <w:szCs w:val="22"/>
          <w:lang w:bidi="th-TH"/>
        </w:rPr>
        <w:t>：</w:t>
      </w:r>
      <w:r w:rsidRPr="00052B0E">
        <w:rPr>
          <w:rFonts w:ascii="SimSun" w:hAnsi="SimSun"/>
          <w:kern w:val="22"/>
          <w:szCs w:val="22"/>
          <w:lang w:bidi="th-TH"/>
        </w:rPr>
        <w:t xml:space="preserve"> ___________________________________________________________________________</w:t>
      </w:r>
    </w:p>
    <w:p w:rsidR="001F1AAC" w:rsidRPr="00052B0E" w:rsidRDefault="001F1AAC" w:rsidP="00466808">
      <w:pPr>
        <w:shd w:val="clear" w:color="auto" w:fill="FFFFFF"/>
        <w:spacing w:before="0"/>
        <w:ind w:firstLine="0"/>
        <w:jc w:val="left"/>
        <w:rPr>
          <w:rFonts w:ascii="SimSun" w:hAnsi="SimSun"/>
          <w:szCs w:val="22"/>
          <w:lang w:bidi="th-TH"/>
        </w:rPr>
      </w:pPr>
      <w:r w:rsidRPr="00052B0E">
        <w:rPr>
          <w:rFonts w:ascii="SimSun" w:hAnsi="SimSun" w:hint="eastAsia"/>
          <w:kern w:val="22"/>
          <w:szCs w:val="22"/>
          <w:lang w:val="zh-CN" w:bidi="th-TH"/>
        </w:rPr>
        <w:t>地址</w:t>
      </w:r>
      <w:r w:rsidRPr="00460AA9">
        <w:rPr>
          <w:rFonts w:ascii="SimSun" w:hAnsi="SimSun" w:hint="eastAsia"/>
          <w:kern w:val="22"/>
          <w:szCs w:val="22"/>
          <w:lang w:bidi="th-TH"/>
        </w:rPr>
        <w:t>：</w:t>
      </w:r>
      <w:r w:rsidRPr="00052B0E">
        <w:rPr>
          <w:rFonts w:ascii="SimSun" w:hAnsi="SimSun"/>
          <w:kern w:val="22"/>
          <w:szCs w:val="22"/>
          <w:lang w:bidi="th-TH"/>
        </w:rPr>
        <w:t xml:space="preserve"> ___________________________________________________________________________</w:t>
      </w:r>
    </w:p>
    <w:p w:rsidR="001F1AAC" w:rsidRPr="00052B0E" w:rsidRDefault="00B41940" w:rsidP="00466808">
      <w:pPr>
        <w:shd w:val="clear" w:color="auto" w:fill="FFFFFF"/>
        <w:spacing w:before="0"/>
        <w:ind w:firstLine="0"/>
        <w:jc w:val="left"/>
        <w:rPr>
          <w:rFonts w:ascii="SimSun" w:hAnsi="SimSun"/>
          <w:kern w:val="22"/>
          <w:szCs w:val="22"/>
          <w:lang w:eastAsia="zh-CN" w:bidi="th-TH"/>
        </w:rPr>
      </w:pPr>
      <w:r w:rsidRPr="00052B0E">
        <w:rPr>
          <w:rFonts w:ascii="SimSun" w:hAnsi="SimSun"/>
          <w:kern w:val="22"/>
          <w:szCs w:val="22"/>
          <w:lang w:eastAsia="zh-CN" w:bidi="th-TH"/>
        </w:rPr>
        <w:t>______</w:t>
      </w:r>
      <w:r w:rsidR="001F1AAC" w:rsidRPr="00052B0E">
        <w:rPr>
          <w:rFonts w:ascii="SimSun" w:hAnsi="SimSun"/>
          <w:kern w:val="22"/>
          <w:szCs w:val="22"/>
          <w:lang w:eastAsia="zh-CN" w:bidi="th-TH"/>
        </w:rPr>
        <w:t>_____________________________________________________________________</w:t>
      </w:r>
    </w:p>
    <w:p w:rsidR="001F1AAC" w:rsidRPr="00052B0E" w:rsidRDefault="001F1AAC" w:rsidP="00466808">
      <w:pPr>
        <w:shd w:val="clear" w:color="auto" w:fill="FFFFFF"/>
        <w:spacing w:before="0"/>
        <w:ind w:firstLine="0"/>
        <w:jc w:val="left"/>
        <w:rPr>
          <w:rFonts w:ascii="SimSun" w:hAnsi="SimSun"/>
          <w:szCs w:val="22"/>
          <w:lang w:eastAsia="zh-CN" w:bidi="th-TH"/>
        </w:rPr>
      </w:pPr>
      <w:r w:rsidRPr="00052B0E">
        <w:rPr>
          <w:rFonts w:ascii="SimSun" w:hAnsi="SimSun" w:hint="eastAsia"/>
          <w:kern w:val="22"/>
          <w:szCs w:val="22"/>
          <w:lang w:val="zh-CN" w:eastAsia="zh-CN" w:bidi="th-TH"/>
        </w:rPr>
        <w:t>电话</w:t>
      </w:r>
      <w:r w:rsidRPr="00052B0E">
        <w:rPr>
          <w:rFonts w:ascii="SimSun" w:hAnsi="SimSun" w:hint="eastAsia"/>
          <w:kern w:val="22"/>
          <w:szCs w:val="22"/>
          <w:lang w:eastAsia="zh-CN" w:bidi="th-TH"/>
        </w:rPr>
        <w:t>：</w:t>
      </w:r>
      <w:r w:rsidR="00B41940" w:rsidRPr="00052B0E">
        <w:rPr>
          <w:rFonts w:ascii="SimSun" w:hAnsi="SimSun"/>
          <w:kern w:val="22"/>
          <w:szCs w:val="22"/>
          <w:lang w:eastAsia="zh-CN" w:bidi="th-TH"/>
        </w:rPr>
        <w:t>__</w:t>
      </w:r>
      <w:r w:rsidRPr="00052B0E">
        <w:rPr>
          <w:rFonts w:ascii="SimSun" w:hAnsi="SimSun"/>
          <w:kern w:val="22"/>
          <w:szCs w:val="22"/>
          <w:lang w:eastAsia="zh-CN" w:bidi="th-TH"/>
        </w:rPr>
        <w:t>___________________________</w:t>
      </w:r>
      <w:r w:rsidRPr="00052B0E">
        <w:rPr>
          <w:rFonts w:ascii="SimSun" w:hAnsi="SimSun" w:hint="eastAsia"/>
          <w:kern w:val="22"/>
          <w:szCs w:val="22"/>
          <w:lang w:val="zh-CN" w:eastAsia="zh-CN" w:bidi="th-TH"/>
        </w:rPr>
        <w:t>电邮地址</w:t>
      </w:r>
      <w:r w:rsidRPr="00052B0E">
        <w:rPr>
          <w:rFonts w:ascii="SimSun" w:hAnsi="SimSun" w:hint="eastAsia"/>
          <w:kern w:val="22"/>
          <w:szCs w:val="22"/>
          <w:lang w:eastAsia="zh-CN" w:bidi="th-TH"/>
        </w:rPr>
        <w:t>：</w:t>
      </w:r>
      <w:r w:rsidR="00B41940" w:rsidRPr="00052B0E">
        <w:rPr>
          <w:rFonts w:ascii="SimSun" w:hAnsi="SimSun"/>
          <w:kern w:val="22"/>
          <w:szCs w:val="22"/>
          <w:lang w:eastAsia="zh-CN" w:bidi="th-TH"/>
        </w:rPr>
        <w:t>__</w:t>
      </w:r>
      <w:r w:rsidRPr="00052B0E">
        <w:rPr>
          <w:rFonts w:ascii="SimSun" w:hAnsi="SimSun"/>
          <w:kern w:val="22"/>
          <w:szCs w:val="22"/>
          <w:lang w:eastAsia="zh-CN" w:bidi="th-TH"/>
        </w:rPr>
        <w:t>____________________________</w:t>
      </w:r>
    </w:p>
    <w:p w:rsidR="001F1AAC" w:rsidRPr="00052B0E" w:rsidRDefault="001F1AAC" w:rsidP="00466808">
      <w:pPr>
        <w:shd w:val="clear" w:color="auto" w:fill="FFFFFF"/>
        <w:spacing w:before="0"/>
        <w:ind w:firstLine="0"/>
        <w:jc w:val="left"/>
        <w:rPr>
          <w:rFonts w:ascii="SimSun" w:hAnsi="SimSun"/>
          <w:szCs w:val="22"/>
          <w:lang w:eastAsia="zh-CN" w:bidi="th-TH"/>
        </w:rPr>
      </w:pPr>
      <w:r w:rsidRPr="00052B0E">
        <w:rPr>
          <w:rFonts w:ascii="SimSun" w:hAnsi="SimSun" w:hint="eastAsia"/>
          <w:kern w:val="22"/>
          <w:szCs w:val="22"/>
          <w:lang w:val="zh-CN" w:eastAsia="zh-CN" w:bidi="th-TH"/>
        </w:rPr>
        <w:t>目前工作单位</w:t>
      </w:r>
      <w:r w:rsidRPr="00052B0E">
        <w:rPr>
          <w:rFonts w:ascii="SimSun" w:hAnsi="SimSun" w:hint="eastAsia"/>
          <w:kern w:val="22"/>
          <w:szCs w:val="22"/>
          <w:lang w:eastAsia="zh-CN" w:bidi="th-TH"/>
        </w:rPr>
        <w:t>：</w:t>
      </w:r>
      <w:r w:rsidR="00B41940" w:rsidRPr="00052B0E">
        <w:rPr>
          <w:rFonts w:ascii="SimSun" w:hAnsi="SimSun"/>
          <w:kern w:val="22"/>
          <w:szCs w:val="22"/>
          <w:lang w:eastAsia="zh-CN" w:bidi="th-TH"/>
        </w:rPr>
        <w:t>________</w:t>
      </w:r>
      <w:r w:rsidRPr="00052B0E">
        <w:rPr>
          <w:rFonts w:ascii="SimSun" w:hAnsi="SimSun"/>
          <w:kern w:val="22"/>
          <w:szCs w:val="22"/>
          <w:lang w:eastAsia="zh-CN" w:bidi="th-TH"/>
        </w:rPr>
        <w:t>___________________________________________________________________</w:t>
      </w:r>
    </w:p>
    <w:p w:rsidR="001F1AAC" w:rsidRPr="00052B0E" w:rsidRDefault="001F1AAC" w:rsidP="00466808">
      <w:pPr>
        <w:shd w:val="clear" w:color="auto" w:fill="FFFFFF"/>
        <w:spacing w:before="0"/>
        <w:ind w:firstLine="0"/>
        <w:jc w:val="left"/>
        <w:rPr>
          <w:rFonts w:ascii="SimSun" w:hAnsi="SimSun"/>
          <w:szCs w:val="22"/>
          <w:lang w:eastAsia="zh-CN" w:bidi="th-TH"/>
        </w:rPr>
      </w:pPr>
      <w:r w:rsidRPr="00052B0E">
        <w:rPr>
          <w:rFonts w:ascii="SimSun" w:hAnsi="SimSun" w:hint="eastAsia"/>
          <w:kern w:val="22"/>
          <w:szCs w:val="22"/>
          <w:lang w:val="zh-CN" w:eastAsia="zh-CN" w:bidi="th-TH"/>
        </w:rPr>
        <w:t>提名人</w:t>
      </w:r>
      <w:r w:rsidRPr="00052B0E">
        <w:rPr>
          <w:rFonts w:ascii="SimSun" w:hAnsi="SimSun" w:hint="eastAsia"/>
          <w:kern w:val="22"/>
          <w:szCs w:val="22"/>
          <w:lang w:eastAsia="zh-CN" w:bidi="th-TH"/>
        </w:rPr>
        <w:t>：</w:t>
      </w:r>
      <w:r w:rsidRPr="00052B0E">
        <w:rPr>
          <w:rFonts w:ascii="SimSun" w:hAnsi="SimSun"/>
          <w:kern w:val="22"/>
          <w:szCs w:val="22"/>
          <w:lang w:eastAsia="zh-CN" w:bidi="th-TH"/>
        </w:rPr>
        <w:t xml:space="preserve"> _</w:t>
      </w:r>
      <w:r w:rsidR="00B41940" w:rsidRPr="00052B0E">
        <w:rPr>
          <w:rFonts w:ascii="SimSun" w:hAnsi="SimSun"/>
          <w:kern w:val="22"/>
          <w:szCs w:val="22"/>
          <w:lang w:eastAsia="zh-CN" w:bidi="th-TH"/>
        </w:rPr>
        <w:t>__</w:t>
      </w:r>
      <w:r w:rsidRPr="00052B0E">
        <w:rPr>
          <w:rFonts w:ascii="SimSun" w:hAnsi="SimSun"/>
          <w:kern w:val="22"/>
          <w:szCs w:val="22"/>
          <w:lang w:eastAsia="zh-CN" w:bidi="th-TH"/>
        </w:rPr>
        <w:t>________________________________________________________________________</w:t>
      </w:r>
    </w:p>
    <w:p w:rsidR="001F1AAC" w:rsidRPr="00052B0E" w:rsidRDefault="001F1AAC" w:rsidP="00466808">
      <w:pPr>
        <w:shd w:val="clear" w:color="auto" w:fill="FFFFFF"/>
        <w:tabs>
          <w:tab w:val="center" w:pos="4680"/>
        </w:tabs>
        <w:spacing w:before="0"/>
        <w:ind w:firstLine="0"/>
        <w:rPr>
          <w:rFonts w:ascii="SimSun" w:hAnsi="SimSun"/>
          <w:kern w:val="22"/>
          <w:szCs w:val="22"/>
          <w:lang w:eastAsia="zh-CN" w:bidi="th-TH"/>
        </w:rPr>
      </w:pPr>
      <w:r w:rsidRPr="00052B0E">
        <w:rPr>
          <w:kern w:val="22"/>
          <w:szCs w:val="22"/>
          <w:lang w:eastAsia="zh-CN" w:bidi="th-TH"/>
        </w:rPr>
        <w:t>1.</w:t>
      </w:r>
      <w:r w:rsidRPr="00052B0E">
        <w:rPr>
          <w:rFonts w:ascii="SimSun" w:hAnsi="SimSun"/>
          <w:kern w:val="22"/>
          <w:szCs w:val="22"/>
          <w:lang w:eastAsia="zh-CN" w:bidi="th-TH"/>
        </w:rPr>
        <w:t xml:space="preserve"> </w:t>
      </w:r>
      <w:r w:rsidRPr="00052B0E">
        <w:rPr>
          <w:rFonts w:ascii="SimSun" w:hAnsi="SimSun" w:hint="eastAsia"/>
          <w:kern w:val="22"/>
          <w:szCs w:val="22"/>
          <w:lang w:val="zh-CN" w:eastAsia="zh-CN" w:bidi="th-TH"/>
        </w:rPr>
        <w:t>您是否参与可能被认为构成利益冲突的任何相关专业</w:t>
      </w:r>
      <w:r>
        <w:rPr>
          <w:rFonts w:ascii="SimSun" w:hAnsi="SimSun" w:hint="eastAsia"/>
          <w:kern w:val="22"/>
          <w:szCs w:val="22"/>
          <w:lang w:val="zh-CN" w:eastAsia="zh-CN" w:bidi="th-TH"/>
        </w:rPr>
        <w:t>或其他</w:t>
      </w:r>
      <w:r w:rsidRPr="00052B0E">
        <w:rPr>
          <w:rFonts w:ascii="SimSun" w:hAnsi="SimSun" w:hint="eastAsia"/>
          <w:kern w:val="22"/>
          <w:szCs w:val="22"/>
          <w:lang w:val="zh-CN" w:eastAsia="zh-CN" w:bidi="th-TH"/>
        </w:rPr>
        <w:t>活动</w:t>
      </w:r>
      <w:r w:rsidRPr="00052B0E">
        <w:rPr>
          <w:rFonts w:ascii="SimSun" w:hAnsi="SimSun" w:hint="eastAsia"/>
          <w:kern w:val="22"/>
          <w:szCs w:val="22"/>
          <w:lang w:eastAsia="zh-CN" w:bidi="th-TH"/>
        </w:rPr>
        <w:t>？</w:t>
      </w:r>
    </w:p>
    <w:p w:rsidR="001F1AAC" w:rsidRPr="00052B0E" w:rsidRDefault="001F1AAC" w:rsidP="00466808">
      <w:pPr>
        <w:shd w:val="clear" w:color="auto" w:fill="FFFFFF"/>
        <w:tabs>
          <w:tab w:val="center" w:pos="4680"/>
        </w:tabs>
        <w:spacing w:before="0"/>
        <w:ind w:firstLine="0"/>
        <w:rPr>
          <w:rFonts w:ascii="SimSun" w:hAnsi="SimSun"/>
          <w:kern w:val="22"/>
          <w:szCs w:val="22"/>
          <w:lang w:eastAsia="zh-CN" w:bidi="th-TH"/>
        </w:rPr>
      </w:pPr>
      <w:r w:rsidRPr="00052B0E">
        <w:rPr>
          <w:rFonts w:ascii="SimSun" w:hAnsi="SimSun"/>
          <w:kern w:val="22"/>
          <w:szCs w:val="22"/>
          <w:lang w:eastAsia="zh-CN" w:bidi="th-TH"/>
        </w:rPr>
        <w:t xml:space="preserve">___ </w:t>
      </w:r>
      <w:r w:rsidRPr="00052B0E">
        <w:rPr>
          <w:rFonts w:ascii="SimSun" w:hAnsi="SimSun" w:hint="eastAsia"/>
          <w:kern w:val="22"/>
          <w:szCs w:val="22"/>
          <w:lang w:val="zh-CN" w:eastAsia="zh-CN" w:bidi="th-TH"/>
        </w:rPr>
        <w:t>是</w:t>
      </w:r>
      <w:r w:rsidRPr="00052B0E">
        <w:rPr>
          <w:rFonts w:ascii="SimSun" w:hAnsi="SimSun"/>
          <w:kern w:val="22"/>
          <w:szCs w:val="22"/>
          <w:lang w:eastAsia="zh-CN" w:bidi="th-TH"/>
        </w:rPr>
        <w:t xml:space="preserve"> ____ </w:t>
      </w:r>
      <w:r w:rsidRPr="00052B0E">
        <w:rPr>
          <w:rFonts w:ascii="SimSun" w:hAnsi="SimSun" w:hint="eastAsia"/>
          <w:kern w:val="22"/>
          <w:szCs w:val="22"/>
          <w:lang w:val="zh-CN" w:eastAsia="zh-CN" w:bidi="th-TH"/>
        </w:rPr>
        <w:t>否</w:t>
      </w:r>
      <w:r w:rsidRPr="00052B0E">
        <w:rPr>
          <w:rFonts w:ascii="SimSun" w:hAnsi="SimSun" w:hint="eastAsia"/>
          <w:kern w:val="22"/>
          <w:szCs w:val="22"/>
          <w:lang w:eastAsia="zh-CN" w:bidi="th-TH"/>
        </w:rPr>
        <w:t>（</w:t>
      </w:r>
      <w:r w:rsidRPr="00052B0E">
        <w:rPr>
          <w:rFonts w:ascii="SimSun" w:hAnsi="SimSun" w:hint="eastAsia"/>
          <w:kern w:val="22"/>
          <w:szCs w:val="22"/>
          <w:lang w:val="zh-CN" w:eastAsia="zh-CN" w:bidi="th-TH"/>
        </w:rPr>
        <w:t>如果是</w:t>
      </w:r>
      <w:r w:rsidRPr="00052B0E">
        <w:rPr>
          <w:rFonts w:ascii="SimSun" w:hAnsi="SimSun" w:hint="eastAsia"/>
          <w:kern w:val="22"/>
          <w:szCs w:val="22"/>
          <w:lang w:eastAsia="zh-CN" w:bidi="th-TH"/>
        </w:rPr>
        <w:t>，</w:t>
      </w:r>
      <w:r w:rsidRPr="00052B0E">
        <w:rPr>
          <w:rFonts w:ascii="SimSun" w:hAnsi="SimSun" w:hint="eastAsia"/>
          <w:kern w:val="22"/>
          <w:szCs w:val="22"/>
          <w:lang w:val="zh-CN" w:eastAsia="zh-CN" w:bidi="th-TH"/>
        </w:rPr>
        <w:t>请在下面说明详情</w:t>
      </w:r>
      <w:r w:rsidRPr="00052B0E">
        <w:rPr>
          <w:rFonts w:ascii="SimSun" w:hAnsi="SimSun" w:hint="eastAsia"/>
          <w:kern w:val="22"/>
          <w:szCs w:val="22"/>
          <w:lang w:eastAsia="zh-CN" w:bidi="th-TH"/>
        </w:rPr>
        <w:t>）</w:t>
      </w:r>
    </w:p>
    <w:p w:rsidR="001F1AAC" w:rsidRPr="00052B0E" w:rsidRDefault="00B41940" w:rsidP="00466808">
      <w:pPr>
        <w:shd w:val="clear" w:color="auto" w:fill="FFFFFF"/>
        <w:tabs>
          <w:tab w:val="center" w:pos="4680"/>
        </w:tabs>
        <w:spacing w:before="0"/>
        <w:ind w:firstLine="0"/>
        <w:rPr>
          <w:rFonts w:ascii="SimSun" w:hAnsi="SimSun"/>
          <w:kern w:val="22"/>
          <w:szCs w:val="22"/>
          <w:lang w:eastAsia="zh-CN" w:bidi="th-TH"/>
        </w:rPr>
      </w:pPr>
      <w:r w:rsidRPr="00052B0E">
        <w:rPr>
          <w:rFonts w:ascii="SimSun" w:hAnsi="SimSun"/>
          <w:kern w:val="22"/>
          <w:szCs w:val="22"/>
          <w:lang w:eastAsia="zh-CN" w:bidi="th-TH"/>
        </w:rPr>
        <w:t>__</w:t>
      </w:r>
      <w:r w:rsidR="001F1AAC" w:rsidRPr="00052B0E">
        <w:rPr>
          <w:rFonts w:ascii="SimSun" w:hAnsi="SimSun"/>
          <w:kern w:val="22"/>
          <w:szCs w:val="22"/>
          <w:lang w:eastAsia="zh-CN" w:bidi="th-TH"/>
        </w:rPr>
        <w:t>___________________________________________________________________________</w:t>
      </w:r>
    </w:p>
    <w:p w:rsidR="001F1AAC" w:rsidRPr="00052B0E" w:rsidRDefault="001F1AAC" w:rsidP="00466808">
      <w:pPr>
        <w:shd w:val="clear" w:color="auto" w:fill="FFFFFF"/>
        <w:tabs>
          <w:tab w:val="center" w:pos="4680"/>
        </w:tabs>
        <w:spacing w:before="0"/>
        <w:ind w:firstLine="0"/>
        <w:rPr>
          <w:rFonts w:ascii="SimSun" w:hAnsi="SimSun"/>
          <w:kern w:val="22"/>
          <w:szCs w:val="22"/>
          <w:lang w:eastAsia="zh-CN" w:bidi="th-TH"/>
        </w:rPr>
      </w:pPr>
      <w:r w:rsidRPr="00052B0E">
        <w:rPr>
          <w:rFonts w:ascii="SimSun" w:hAnsi="SimSun" w:hint="eastAsia"/>
          <w:szCs w:val="22"/>
          <w:lang w:val="zh-CN" w:eastAsia="zh-CN" w:bidi="th-TH"/>
        </w:rPr>
        <w:t>请列出您在专家组中涉及或可能与您的职责有关的</w:t>
      </w:r>
      <w:r>
        <w:rPr>
          <w:rFonts w:ascii="SimSun" w:hAnsi="SimSun" w:hint="eastAsia"/>
          <w:szCs w:val="22"/>
          <w:lang w:val="zh-CN" w:eastAsia="zh-CN" w:bidi="th-TH"/>
        </w:rPr>
        <w:t>任何</w:t>
      </w:r>
      <w:r w:rsidRPr="00052B0E">
        <w:rPr>
          <w:rFonts w:ascii="SimSun" w:hAnsi="SimSun" w:hint="eastAsia"/>
          <w:szCs w:val="22"/>
          <w:lang w:val="zh-CN" w:eastAsia="zh-CN" w:bidi="th-TH"/>
        </w:rPr>
        <w:t>相关</w:t>
      </w:r>
      <w:r>
        <w:rPr>
          <w:rFonts w:ascii="SimSun" w:hAnsi="SimSun" w:hint="eastAsia"/>
          <w:szCs w:val="22"/>
          <w:lang w:val="zh-CN" w:eastAsia="zh-CN" w:bidi="th-TH"/>
        </w:rPr>
        <w:t>财务</w:t>
      </w:r>
      <w:r w:rsidRPr="00052B0E">
        <w:rPr>
          <w:rFonts w:ascii="SimSun" w:hAnsi="SimSun" w:hint="eastAsia"/>
          <w:szCs w:val="22"/>
          <w:lang w:val="zh-CN" w:eastAsia="zh-CN" w:bidi="th-TH"/>
        </w:rPr>
        <w:t>和非财务利益</w:t>
      </w:r>
      <w:r>
        <w:rPr>
          <w:rFonts w:ascii="SimSun" w:hAnsi="SimSun" w:hint="eastAsia"/>
          <w:szCs w:val="22"/>
          <w:lang w:val="zh-CN" w:eastAsia="zh-CN" w:bidi="th-TH"/>
        </w:rPr>
        <w:t>和活动</w:t>
      </w:r>
      <w:r w:rsidRPr="00052B0E">
        <w:rPr>
          <w:rFonts w:ascii="SimSun" w:hAnsi="SimSun" w:hint="eastAsia"/>
          <w:szCs w:val="22"/>
          <w:lang w:eastAsia="zh-CN" w:bidi="th-TH"/>
        </w:rPr>
        <w:t>，</w:t>
      </w:r>
      <w:r w:rsidRPr="00052B0E">
        <w:rPr>
          <w:rFonts w:ascii="SimSun" w:hAnsi="SimSun" w:hint="eastAsia"/>
          <w:szCs w:val="22"/>
          <w:lang w:val="zh-CN" w:eastAsia="zh-CN" w:bidi="th-TH"/>
        </w:rPr>
        <w:t>并可以解释为</w:t>
      </w:r>
      <w:r w:rsidRPr="00052B0E">
        <w:rPr>
          <w:rFonts w:ascii="SimSun" w:hAnsi="SimSun" w:hint="eastAsia"/>
          <w:szCs w:val="22"/>
          <w:lang w:eastAsia="zh-CN" w:bidi="th-TH"/>
        </w:rPr>
        <w:t>：</w:t>
      </w:r>
    </w:p>
    <w:p w:rsidR="001F1AAC" w:rsidRPr="00052B0E" w:rsidRDefault="001F1AAC" w:rsidP="00466808">
      <w:pPr>
        <w:shd w:val="clear" w:color="auto" w:fill="FFFFFF"/>
        <w:tabs>
          <w:tab w:val="center" w:pos="4680"/>
        </w:tabs>
        <w:spacing w:before="0"/>
        <w:rPr>
          <w:rFonts w:ascii="SimSun" w:hAnsi="SimSun"/>
          <w:kern w:val="22"/>
          <w:szCs w:val="22"/>
          <w:lang w:eastAsia="zh-CN" w:bidi="th-TH"/>
        </w:rPr>
      </w:pPr>
      <w:r w:rsidRPr="00052B0E">
        <w:rPr>
          <w:rFonts w:ascii="SimSun" w:hAnsi="SimSun" w:hint="eastAsia"/>
          <w:kern w:val="22"/>
          <w:szCs w:val="22"/>
          <w:lang w:eastAsia="zh-CN" w:bidi="th-TH"/>
        </w:rPr>
        <w:t>（</w:t>
      </w:r>
      <w:r w:rsidRPr="00052B0E">
        <w:rPr>
          <w:rFonts w:ascii="SimSun" w:hAnsi="SimSun" w:hint="eastAsia"/>
          <w:kern w:val="22"/>
          <w:szCs w:val="22"/>
          <w:lang w:val="zh-CN" w:eastAsia="zh-CN" w:bidi="th-TH"/>
        </w:rPr>
        <w:t>一</w:t>
      </w:r>
      <w:r w:rsidRPr="00052B0E">
        <w:rPr>
          <w:rFonts w:ascii="SimSun" w:hAnsi="SimSun" w:hint="eastAsia"/>
          <w:kern w:val="22"/>
          <w:szCs w:val="22"/>
          <w:lang w:eastAsia="zh-CN" w:bidi="th-TH"/>
        </w:rPr>
        <w:t>）</w:t>
      </w:r>
      <w:r w:rsidRPr="00052B0E">
        <w:rPr>
          <w:rFonts w:ascii="SimSun" w:hAnsi="SimSun" w:hint="eastAsia"/>
          <w:szCs w:val="22"/>
          <w:lang w:val="zh-CN" w:eastAsia="zh-CN" w:bidi="th-TH"/>
        </w:rPr>
        <w:t>影响您在专家组履行职责时的客观性</w:t>
      </w:r>
      <w:r w:rsidRPr="00052B0E">
        <w:rPr>
          <w:rFonts w:ascii="SimSun" w:hAnsi="SimSun" w:hint="eastAsia"/>
          <w:szCs w:val="22"/>
          <w:lang w:eastAsia="zh-CN" w:bidi="th-TH"/>
        </w:rPr>
        <w:t>；</w:t>
      </w:r>
    </w:p>
    <w:p w:rsidR="001F1AAC" w:rsidRPr="00052B0E" w:rsidRDefault="001F1AAC" w:rsidP="00466808">
      <w:pPr>
        <w:shd w:val="clear" w:color="auto" w:fill="FFFFFF"/>
        <w:tabs>
          <w:tab w:val="center" w:pos="4680"/>
        </w:tabs>
        <w:spacing w:before="0"/>
        <w:rPr>
          <w:rFonts w:ascii="SimSun" w:hAnsi="SimSun"/>
          <w:szCs w:val="22"/>
          <w:lang w:eastAsia="zh-CN" w:bidi="th-TH"/>
        </w:rPr>
      </w:pPr>
      <w:r w:rsidRPr="00052B0E">
        <w:rPr>
          <w:rFonts w:ascii="SimSun" w:hAnsi="SimSun" w:hint="eastAsia"/>
          <w:kern w:val="22"/>
          <w:szCs w:val="22"/>
          <w:lang w:eastAsia="zh-CN" w:bidi="th-TH"/>
        </w:rPr>
        <w:lastRenderedPageBreak/>
        <w:t>（</w:t>
      </w:r>
      <w:r w:rsidRPr="00052B0E">
        <w:rPr>
          <w:rFonts w:ascii="SimSun" w:hAnsi="SimSun" w:hint="eastAsia"/>
          <w:kern w:val="22"/>
          <w:szCs w:val="22"/>
          <w:lang w:val="zh-CN" w:eastAsia="zh-CN" w:bidi="th-TH"/>
        </w:rPr>
        <w:t>二</w:t>
      </w:r>
      <w:r w:rsidRPr="00052B0E">
        <w:rPr>
          <w:rFonts w:ascii="SimSun" w:hAnsi="SimSun" w:hint="eastAsia"/>
          <w:kern w:val="22"/>
          <w:szCs w:val="22"/>
          <w:lang w:eastAsia="zh-CN" w:bidi="th-TH"/>
        </w:rPr>
        <w:t>）</w:t>
      </w:r>
      <w:r w:rsidRPr="00052B0E">
        <w:rPr>
          <w:rFonts w:ascii="SimSun" w:hAnsi="SimSun" w:hint="eastAsia"/>
          <w:szCs w:val="22"/>
          <w:lang w:val="zh-CN" w:eastAsia="zh-CN" w:bidi="th-TH"/>
        </w:rPr>
        <w:t>为您或任何个人或组织创造不公平的优势。</w:t>
      </w:r>
    </w:p>
    <w:p w:rsidR="001F1AAC" w:rsidRPr="00052B0E" w:rsidRDefault="001F1AAC" w:rsidP="00466808">
      <w:pPr>
        <w:shd w:val="clear" w:color="auto" w:fill="FFFFFF"/>
        <w:tabs>
          <w:tab w:val="center" w:pos="4680"/>
        </w:tabs>
        <w:spacing w:before="0"/>
        <w:ind w:firstLine="0"/>
        <w:rPr>
          <w:rFonts w:ascii="SimSun" w:hAnsi="SimSun"/>
          <w:kern w:val="22"/>
          <w:szCs w:val="22"/>
          <w:lang w:eastAsia="zh-CN" w:bidi="th-TH"/>
        </w:rPr>
      </w:pPr>
      <w:r w:rsidRPr="00052B0E">
        <w:rPr>
          <w:kern w:val="22"/>
          <w:szCs w:val="22"/>
          <w:lang w:eastAsia="zh-CN" w:bidi="th-TH"/>
        </w:rPr>
        <w:t>2.</w:t>
      </w:r>
      <w:r w:rsidRPr="00052B0E">
        <w:rPr>
          <w:rFonts w:ascii="SimSun" w:hAnsi="SimSun"/>
          <w:kern w:val="22"/>
          <w:szCs w:val="22"/>
          <w:lang w:eastAsia="zh-CN" w:bidi="th-TH"/>
        </w:rPr>
        <w:t xml:space="preserve"> </w:t>
      </w:r>
      <w:r w:rsidRPr="00052B0E">
        <w:rPr>
          <w:rFonts w:ascii="SimSun" w:hAnsi="SimSun" w:hint="eastAsia"/>
          <w:szCs w:val="22"/>
          <w:lang w:val="zh-CN" w:eastAsia="zh-CN" w:bidi="th-TH"/>
        </w:rPr>
        <w:t>您</w:t>
      </w:r>
      <w:r>
        <w:rPr>
          <w:rFonts w:ascii="SimSun" w:hAnsi="SimSun" w:hint="eastAsia"/>
          <w:szCs w:val="22"/>
          <w:lang w:val="zh-CN" w:eastAsia="zh-CN" w:bidi="th-TH"/>
        </w:rPr>
        <w:t>、您的雇主或提名您的组织</w:t>
      </w:r>
      <w:r w:rsidRPr="00052B0E">
        <w:rPr>
          <w:rFonts w:ascii="SimSun" w:hAnsi="SimSun" w:hint="eastAsia"/>
          <w:szCs w:val="22"/>
          <w:lang w:val="zh-CN" w:eastAsia="zh-CN" w:bidi="th-TH"/>
        </w:rPr>
        <w:t>在涉及的工作主题中是否存在</w:t>
      </w:r>
      <w:r>
        <w:rPr>
          <w:rFonts w:ascii="SimSun" w:hAnsi="SimSun" w:hint="eastAsia"/>
          <w:szCs w:val="22"/>
          <w:lang w:val="zh-CN" w:eastAsia="zh-CN" w:bidi="th-TH"/>
        </w:rPr>
        <w:t>经济</w:t>
      </w:r>
      <w:r w:rsidRPr="00052B0E">
        <w:rPr>
          <w:rFonts w:ascii="SimSun" w:hAnsi="SimSun" w:hint="eastAsia"/>
          <w:szCs w:val="22"/>
          <w:lang w:val="zh-CN" w:eastAsia="zh-CN" w:bidi="th-TH"/>
        </w:rPr>
        <w:t>利益</w:t>
      </w:r>
      <w:r w:rsidRPr="00052B0E">
        <w:rPr>
          <w:rFonts w:ascii="SimSun" w:hAnsi="SimSun" w:hint="eastAsia"/>
          <w:szCs w:val="22"/>
          <w:lang w:eastAsia="zh-CN" w:bidi="th-TH"/>
        </w:rPr>
        <w:t>？</w:t>
      </w:r>
    </w:p>
    <w:p w:rsidR="001F1AAC" w:rsidRPr="00052B0E" w:rsidRDefault="001F1AAC" w:rsidP="00466808">
      <w:pPr>
        <w:shd w:val="clear" w:color="auto" w:fill="FFFFFF"/>
        <w:tabs>
          <w:tab w:val="center" w:pos="4680"/>
        </w:tabs>
        <w:spacing w:before="0"/>
        <w:ind w:firstLine="0"/>
        <w:rPr>
          <w:rFonts w:ascii="SimSun" w:hAnsi="SimSun"/>
          <w:kern w:val="22"/>
          <w:szCs w:val="22"/>
          <w:lang w:eastAsia="zh-CN" w:bidi="th-TH"/>
        </w:rPr>
      </w:pPr>
      <w:r w:rsidRPr="00052B0E">
        <w:rPr>
          <w:rFonts w:ascii="SimSun" w:hAnsi="SimSun"/>
          <w:kern w:val="22"/>
          <w:szCs w:val="22"/>
          <w:lang w:eastAsia="zh-CN" w:bidi="th-TH"/>
        </w:rPr>
        <w:t xml:space="preserve">___ </w:t>
      </w:r>
      <w:r w:rsidRPr="00052B0E">
        <w:rPr>
          <w:rFonts w:ascii="SimSun" w:hAnsi="SimSun" w:hint="eastAsia"/>
          <w:kern w:val="22"/>
          <w:szCs w:val="22"/>
          <w:lang w:val="zh-CN" w:eastAsia="zh-CN" w:bidi="th-TH"/>
        </w:rPr>
        <w:t>是</w:t>
      </w:r>
      <w:r w:rsidRPr="00052B0E">
        <w:rPr>
          <w:rFonts w:ascii="SimSun" w:hAnsi="SimSun"/>
          <w:kern w:val="22"/>
          <w:szCs w:val="22"/>
          <w:lang w:eastAsia="zh-CN" w:bidi="th-TH"/>
        </w:rPr>
        <w:t xml:space="preserve"> ____ </w:t>
      </w:r>
      <w:r w:rsidRPr="00052B0E">
        <w:rPr>
          <w:rFonts w:ascii="SimSun" w:hAnsi="SimSun" w:hint="eastAsia"/>
          <w:kern w:val="22"/>
          <w:szCs w:val="22"/>
          <w:lang w:val="zh-CN" w:eastAsia="zh-CN" w:bidi="th-TH"/>
        </w:rPr>
        <w:t>否</w:t>
      </w:r>
      <w:r w:rsidRPr="00052B0E">
        <w:rPr>
          <w:rFonts w:ascii="SimSun" w:hAnsi="SimSun" w:hint="eastAsia"/>
          <w:kern w:val="22"/>
          <w:szCs w:val="22"/>
          <w:lang w:eastAsia="zh-CN" w:bidi="th-TH"/>
        </w:rPr>
        <w:t>（</w:t>
      </w:r>
      <w:r w:rsidRPr="00052B0E">
        <w:rPr>
          <w:rFonts w:ascii="SimSun" w:hAnsi="SimSun" w:hint="eastAsia"/>
          <w:kern w:val="22"/>
          <w:szCs w:val="22"/>
          <w:lang w:val="zh-CN" w:eastAsia="zh-CN" w:bidi="th-TH"/>
        </w:rPr>
        <w:t>如果是</w:t>
      </w:r>
      <w:r w:rsidRPr="00052B0E">
        <w:rPr>
          <w:rFonts w:ascii="SimSun" w:hAnsi="SimSun" w:hint="eastAsia"/>
          <w:kern w:val="22"/>
          <w:szCs w:val="22"/>
          <w:lang w:eastAsia="zh-CN" w:bidi="th-TH"/>
        </w:rPr>
        <w:t>，</w:t>
      </w:r>
      <w:r w:rsidRPr="00052B0E">
        <w:rPr>
          <w:rFonts w:ascii="SimSun" w:hAnsi="SimSun" w:hint="eastAsia"/>
          <w:kern w:val="22"/>
          <w:szCs w:val="22"/>
          <w:lang w:val="zh-CN" w:eastAsia="zh-CN" w:bidi="th-TH"/>
        </w:rPr>
        <w:t>请在下面说明详情</w:t>
      </w:r>
      <w:r w:rsidRPr="00052B0E">
        <w:rPr>
          <w:rFonts w:ascii="SimSun" w:hAnsi="SimSun" w:hint="eastAsia"/>
          <w:kern w:val="22"/>
          <w:szCs w:val="22"/>
          <w:lang w:eastAsia="zh-CN" w:bidi="th-TH"/>
        </w:rPr>
        <w:t>）</w:t>
      </w:r>
    </w:p>
    <w:p w:rsidR="001F1AAC" w:rsidRPr="00052B0E" w:rsidRDefault="001F1AAC" w:rsidP="00466808">
      <w:pPr>
        <w:shd w:val="clear" w:color="auto" w:fill="FFFFFF"/>
        <w:tabs>
          <w:tab w:val="center" w:pos="4680"/>
        </w:tabs>
        <w:spacing w:before="0"/>
        <w:ind w:firstLine="0"/>
        <w:rPr>
          <w:rFonts w:ascii="SimSun" w:hAnsi="SimSun"/>
          <w:kern w:val="22"/>
          <w:szCs w:val="22"/>
          <w:lang w:eastAsia="zh-CN" w:bidi="th-TH"/>
        </w:rPr>
      </w:pPr>
      <w:r w:rsidRPr="00052B0E">
        <w:rPr>
          <w:rFonts w:ascii="SimSun" w:hAnsi="SimSun"/>
          <w:kern w:val="22"/>
          <w:szCs w:val="22"/>
          <w:lang w:eastAsia="zh-CN" w:bidi="th-TH"/>
        </w:rPr>
        <w:t>___________________________________________________________________________</w:t>
      </w:r>
    </w:p>
    <w:p w:rsidR="001F1AAC" w:rsidRPr="00052B0E" w:rsidRDefault="001F1AAC" w:rsidP="00466808">
      <w:pPr>
        <w:shd w:val="clear" w:color="auto" w:fill="FFFFFF"/>
        <w:tabs>
          <w:tab w:val="center" w:pos="4680"/>
        </w:tabs>
        <w:spacing w:before="0"/>
        <w:ind w:firstLine="0"/>
        <w:rPr>
          <w:rFonts w:ascii="SimSun" w:hAnsi="SimSun"/>
          <w:kern w:val="22"/>
          <w:szCs w:val="22"/>
          <w:lang w:eastAsia="zh-CN" w:bidi="th-TH"/>
        </w:rPr>
      </w:pPr>
      <w:r w:rsidRPr="00052B0E">
        <w:rPr>
          <w:rFonts w:ascii="SimSun" w:hAnsi="SimSun" w:hint="eastAsia"/>
          <w:kern w:val="22"/>
          <w:szCs w:val="22"/>
          <w:lang w:val="zh-CN" w:eastAsia="zh-CN" w:bidi="th-TH"/>
        </w:rPr>
        <w:t>请列出您在</w:t>
      </w:r>
      <w:r>
        <w:rPr>
          <w:rFonts w:ascii="SimSun" w:hAnsi="SimSun" w:hint="eastAsia"/>
          <w:kern w:val="22"/>
          <w:szCs w:val="22"/>
          <w:lang w:val="zh-CN" w:eastAsia="zh-CN" w:bidi="th-TH"/>
        </w:rPr>
        <w:t>专家组</w:t>
      </w:r>
      <w:r w:rsidRPr="00052B0E">
        <w:rPr>
          <w:rFonts w:ascii="SimSun" w:hAnsi="SimSun" w:hint="eastAsia"/>
          <w:kern w:val="22"/>
          <w:szCs w:val="22"/>
          <w:lang w:val="zh-CN" w:eastAsia="zh-CN" w:bidi="th-TH"/>
        </w:rPr>
        <w:t>的职责中涉及或可能与您的职责有关</w:t>
      </w:r>
      <w:r>
        <w:rPr>
          <w:rFonts w:ascii="SimSun" w:hAnsi="SimSun" w:hint="eastAsia"/>
          <w:kern w:val="22"/>
          <w:szCs w:val="22"/>
          <w:lang w:val="zh-CN" w:eastAsia="zh-CN" w:bidi="th-TH"/>
        </w:rPr>
        <w:t>的任何经济</w:t>
      </w:r>
      <w:r w:rsidRPr="00052B0E">
        <w:rPr>
          <w:rFonts w:ascii="SimSun" w:hAnsi="SimSun" w:hint="eastAsia"/>
          <w:kern w:val="22"/>
          <w:szCs w:val="22"/>
          <w:lang w:val="zh-CN" w:eastAsia="zh-CN" w:bidi="th-TH"/>
        </w:rPr>
        <w:t>利益</w:t>
      </w:r>
      <w:r w:rsidRPr="00052B0E">
        <w:rPr>
          <w:rFonts w:ascii="SimSun" w:hAnsi="SimSun" w:hint="eastAsia"/>
          <w:kern w:val="22"/>
          <w:szCs w:val="22"/>
          <w:lang w:eastAsia="zh-CN" w:bidi="th-TH"/>
        </w:rPr>
        <w:t>，</w:t>
      </w:r>
      <w:r w:rsidRPr="00052B0E">
        <w:rPr>
          <w:rFonts w:ascii="SimSun" w:hAnsi="SimSun" w:hint="eastAsia"/>
          <w:kern w:val="22"/>
          <w:szCs w:val="22"/>
          <w:lang w:val="zh-CN" w:eastAsia="zh-CN" w:bidi="th-TH"/>
        </w:rPr>
        <w:t>并可以解释为</w:t>
      </w:r>
      <w:r w:rsidRPr="00052B0E">
        <w:rPr>
          <w:rFonts w:ascii="SimSun" w:hAnsi="SimSun" w:hint="eastAsia"/>
          <w:kern w:val="22"/>
          <w:szCs w:val="22"/>
          <w:lang w:eastAsia="zh-CN" w:bidi="th-TH"/>
        </w:rPr>
        <w:t>：</w:t>
      </w:r>
    </w:p>
    <w:p w:rsidR="001F1AAC" w:rsidRPr="00052B0E" w:rsidRDefault="001F1AAC" w:rsidP="00466808">
      <w:pPr>
        <w:shd w:val="clear" w:color="auto" w:fill="FFFFFF"/>
        <w:tabs>
          <w:tab w:val="center" w:pos="4680"/>
        </w:tabs>
        <w:spacing w:before="0"/>
        <w:ind w:left="709" w:firstLine="0"/>
        <w:rPr>
          <w:rFonts w:ascii="SimSun" w:hAnsi="SimSun"/>
          <w:szCs w:val="22"/>
          <w:lang w:eastAsia="zh-CN" w:bidi="th-TH"/>
        </w:rPr>
      </w:pPr>
      <w:r w:rsidRPr="00052B0E">
        <w:rPr>
          <w:rFonts w:ascii="SimSun" w:hAnsi="SimSun" w:hint="eastAsia"/>
          <w:kern w:val="22"/>
          <w:szCs w:val="22"/>
          <w:lang w:eastAsia="zh-CN" w:bidi="th-TH"/>
        </w:rPr>
        <w:t>（</w:t>
      </w:r>
      <w:r w:rsidRPr="00052B0E">
        <w:rPr>
          <w:rFonts w:ascii="SimSun" w:hAnsi="SimSun" w:hint="eastAsia"/>
          <w:kern w:val="22"/>
          <w:szCs w:val="22"/>
          <w:lang w:val="zh-CN" w:eastAsia="zh-CN" w:bidi="th-TH"/>
        </w:rPr>
        <w:t>一）影响您在专家组履行职责时的客观性</w:t>
      </w:r>
      <w:r>
        <w:rPr>
          <w:rFonts w:ascii="SimSun" w:hAnsi="SimSun" w:hint="eastAsia"/>
          <w:kern w:val="22"/>
          <w:szCs w:val="22"/>
          <w:lang w:eastAsia="zh-CN" w:bidi="th-TH"/>
        </w:rPr>
        <w:t>；</w:t>
      </w:r>
    </w:p>
    <w:p w:rsidR="001F1AAC" w:rsidRPr="00052B0E" w:rsidRDefault="001F1AAC" w:rsidP="00466808">
      <w:pPr>
        <w:shd w:val="clear" w:color="auto" w:fill="FFFFFF"/>
        <w:tabs>
          <w:tab w:val="center" w:pos="4680"/>
        </w:tabs>
        <w:spacing w:before="0"/>
        <w:ind w:left="709" w:firstLine="0"/>
        <w:rPr>
          <w:rFonts w:ascii="SimSun" w:hAnsi="SimSun"/>
          <w:szCs w:val="22"/>
          <w:lang w:eastAsia="zh-CN" w:bidi="th-TH"/>
        </w:rPr>
      </w:pPr>
      <w:r w:rsidRPr="00052B0E">
        <w:rPr>
          <w:rFonts w:ascii="SimSun" w:hAnsi="SimSun" w:hint="eastAsia"/>
          <w:kern w:val="22"/>
          <w:szCs w:val="22"/>
          <w:lang w:eastAsia="zh-CN" w:bidi="th-TH"/>
        </w:rPr>
        <w:t>（</w:t>
      </w:r>
      <w:r w:rsidRPr="00052B0E">
        <w:rPr>
          <w:rFonts w:ascii="SimSun" w:hAnsi="SimSun" w:hint="eastAsia"/>
          <w:kern w:val="22"/>
          <w:szCs w:val="22"/>
          <w:lang w:val="zh-CN" w:eastAsia="zh-CN" w:bidi="th-TH"/>
        </w:rPr>
        <w:t>二</w:t>
      </w:r>
      <w:r w:rsidRPr="00052B0E">
        <w:rPr>
          <w:rFonts w:ascii="SimSun" w:hAnsi="SimSun" w:hint="eastAsia"/>
          <w:kern w:val="22"/>
          <w:szCs w:val="22"/>
          <w:lang w:eastAsia="zh-CN" w:bidi="th-TH"/>
        </w:rPr>
        <w:t>）</w:t>
      </w:r>
      <w:r w:rsidRPr="00052B0E">
        <w:rPr>
          <w:rFonts w:ascii="SimSun" w:hAnsi="SimSun" w:hint="eastAsia"/>
          <w:kern w:val="22"/>
          <w:szCs w:val="22"/>
          <w:lang w:val="zh-CN" w:eastAsia="zh-CN" w:bidi="th-TH"/>
        </w:rPr>
        <w:t>为您或任何个人或组织</w:t>
      </w:r>
      <w:r>
        <w:rPr>
          <w:rFonts w:ascii="SimSun" w:hAnsi="SimSun" w:hint="eastAsia"/>
          <w:kern w:val="22"/>
          <w:szCs w:val="22"/>
          <w:lang w:val="zh-CN" w:eastAsia="zh-CN" w:bidi="th-TH"/>
        </w:rPr>
        <w:t>带来</w:t>
      </w:r>
      <w:r w:rsidRPr="00052B0E">
        <w:rPr>
          <w:rFonts w:ascii="SimSun" w:hAnsi="SimSun" w:hint="eastAsia"/>
          <w:kern w:val="22"/>
          <w:szCs w:val="22"/>
          <w:lang w:val="zh-CN" w:eastAsia="zh-CN" w:bidi="th-TH"/>
        </w:rPr>
        <w:t>不公平优势。</w:t>
      </w:r>
      <w:r w:rsidRPr="00052B0E">
        <w:rPr>
          <w:rFonts w:ascii="SimSun" w:hAnsi="SimSun" w:hint="eastAsia"/>
          <w:szCs w:val="22"/>
          <w:lang w:val="zh-CN" w:eastAsia="zh-CN" w:bidi="th-TH"/>
        </w:rPr>
        <w:t>这些可包括雇佣关系、咨询关系、金融投资、知识产权利益和商业利益以及私营部门研究支持的来源。</w:t>
      </w:r>
    </w:p>
    <w:p w:rsidR="001F1AAC" w:rsidRPr="00052B0E" w:rsidRDefault="001F1AAC" w:rsidP="00466808">
      <w:pPr>
        <w:shd w:val="clear" w:color="auto" w:fill="FFFFFF"/>
        <w:tabs>
          <w:tab w:val="center" w:pos="4680"/>
        </w:tabs>
        <w:spacing w:before="0"/>
        <w:ind w:firstLine="0"/>
        <w:rPr>
          <w:rFonts w:ascii="SimSun" w:hAnsi="SimSun"/>
          <w:kern w:val="22"/>
          <w:szCs w:val="22"/>
          <w:lang w:eastAsia="zh-CN" w:bidi="th-TH"/>
        </w:rPr>
      </w:pPr>
      <w:r w:rsidRPr="00052B0E">
        <w:rPr>
          <w:kern w:val="22"/>
          <w:szCs w:val="22"/>
          <w:lang w:eastAsia="zh-CN" w:bidi="th-TH"/>
        </w:rPr>
        <w:t>3.</w:t>
      </w:r>
      <w:r w:rsidRPr="00052B0E">
        <w:rPr>
          <w:rFonts w:ascii="SimSun" w:hAnsi="SimSun"/>
          <w:kern w:val="22"/>
          <w:szCs w:val="22"/>
          <w:lang w:eastAsia="zh-CN" w:bidi="th-TH"/>
        </w:rPr>
        <w:t xml:space="preserve"> </w:t>
      </w:r>
      <w:r w:rsidRPr="00052B0E">
        <w:rPr>
          <w:rFonts w:ascii="SimSun" w:hAnsi="SimSun" w:hint="eastAsia"/>
          <w:szCs w:val="22"/>
          <w:lang w:val="zh-CN" w:eastAsia="zh-CN" w:bidi="th-TH"/>
        </w:rPr>
        <w:t>是否有其他利益</w:t>
      </w:r>
      <w:r>
        <w:rPr>
          <w:rFonts w:ascii="SimSun" w:hAnsi="SimSun" w:hint="eastAsia"/>
          <w:szCs w:val="22"/>
          <w:lang w:val="zh-CN" w:eastAsia="zh-CN" w:bidi="th-TH"/>
        </w:rPr>
        <w:t>（例如，以前的工作和</w:t>
      </w:r>
      <w:r>
        <w:rPr>
          <w:rFonts w:ascii="SimSun" w:hAnsi="SimSun"/>
          <w:szCs w:val="22"/>
          <w:lang w:val="zh-CN" w:eastAsia="zh-CN" w:bidi="th-TH"/>
        </w:rPr>
        <w:t>/</w:t>
      </w:r>
      <w:r>
        <w:rPr>
          <w:rFonts w:ascii="SimSun" w:hAnsi="SimSun" w:hint="eastAsia"/>
          <w:szCs w:val="22"/>
          <w:lang w:val="zh-CN" w:eastAsia="zh-CN" w:bidi="th-TH"/>
        </w:rPr>
        <w:t>或其他从属关系）</w:t>
      </w:r>
      <w:r w:rsidRPr="00052B0E">
        <w:rPr>
          <w:rFonts w:ascii="SimSun" w:hAnsi="SimSun" w:hint="eastAsia"/>
          <w:szCs w:val="22"/>
          <w:lang w:val="zh-CN" w:eastAsia="zh-CN" w:bidi="th-TH"/>
        </w:rPr>
        <w:t>可能会影响您参与工作的客观性或独立性</w:t>
      </w:r>
      <w:r w:rsidRPr="00052B0E">
        <w:rPr>
          <w:rFonts w:ascii="SimSun" w:hAnsi="SimSun" w:hint="eastAsia"/>
          <w:szCs w:val="22"/>
          <w:lang w:eastAsia="zh-CN" w:bidi="th-TH"/>
        </w:rPr>
        <w:t>？</w:t>
      </w:r>
    </w:p>
    <w:p w:rsidR="001F1AAC" w:rsidRPr="00052B0E" w:rsidRDefault="001F1AAC" w:rsidP="00466808">
      <w:pPr>
        <w:shd w:val="clear" w:color="auto" w:fill="FFFFFF"/>
        <w:tabs>
          <w:tab w:val="center" w:pos="4680"/>
        </w:tabs>
        <w:spacing w:before="0"/>
        <w:ind w:firstLine="0"/>
        <w:rPr>
          <w:rFonts w:ascii="SimSun" w:hAnsi="SimSun"/>
          <w:kern w:val="22"/>
          <w:szCs w:val="22"/>
          <w:lang w:eastAsia="zh-CN" w:bidi="th-TH"/>
        </w:rPr>
      </w:pPr>
      <w:r w:rsidRPr="00052B0E">
        <w:rPr>
          <w:rFonts w:ascii="SimSun" w:hAnsi="SimSun"/>
          <w:kern w:val="22"/>
          <w:szCs w:val="22"/>
          <w:lang w:eastAsia="zh-CN" w:bidi="th-TH"/>
        </w:rPr>
        <w:t xml:space="preserve">___ </w:t>
      </w:r>
      <w:r w:rsidRPr="00052B0E">
        <w:rPr>
          <w:rFonts w:ascii="SimSun" w:hAnsi="SimSun" w:hint="eastAsia"/>
          <w:kern w:val="22"/>
          <w:szCs w:val="22"/>
          <w:lang w:val="zh-CN" w:eastAsia="zh-CN" w:bidi="th-TH"/>
        </w:rPr>
        <w:t>是</w:t>
      </w:r>
      <w:r w:rsidRPr="00052B0E">
        <w:rPr>
          <w:rFonts w:ascii="SimSun" w:hAnsi="SimSun"/>
          <w:kern w:val="22"/>
          <w:szCs w:val="22"/>
          <w:lang w:eastAsia="zh-CN" w:bidi="th-TH"/>
        </w:rPr>
        <w:t xml:space="preserve"> ____ </w:t>
      </w:r>
      <w:r w:rsidRPr="00052B0E">
        <w:rPr>
          <w:rFonts w:ascii="SimSun" w:hAnsi="SimSun" w:hint="eastAsia"/>
          <w:kern w:val="22"/>
          <w:szCs w:val="22"/>
          <w:lang w:val="zh-CN" w:eastAsia="zh-CN" w:bidi="th-TH"/>
        </w:rPr>
        <w:t>否</w:t>
      </w:r>
      <w:r w:rsidRPr="00052B0E">
        <w:rPr>
          <w:rFonts w:ascii="SimSun" w:hAnsi="SimSun" w:hint="eastAsia"/>
          <w:kern w:val="22"/>
          <w:szCs w:val="22"/>
          <w:lang w:eastAsia="zh-CN" w:bidi="th-TH"/>
        </w:rPr>
        <w:t>（</w:t>
      </w:r>
      <w:r w:rsidRPr="00052B0E">
        <w:rPr>
          <w:rFonts w:ascii="SimSun" w:hAnsi="SimSun" w:hint="eastAsia"/>
          <w:kern w:val="22"/>
          <w:szCs w:val="22"/>
          <w:lang w:val="zh-CN" w:eastAsia="zh-CN" w:bidi="th-TH"/>
        </w:rPr>
        <w:t>如果是</w:t>
      </w:r>
      <w:r w:rsidRPr="00052B0E">
        <w:rPr>
          <w:rFonts w:ascii="SimSun" w:hAnsi="SimSun" w:hint="eastAsia"/>
          <w:kern w:val="22"/>
          <w:szCs w:val="22"/>
          <w:lang w:eastAsia="zh-CN" w:bidi="th-TH"/>
        </w:rPr>
        <w:t>，</w:t>
      </w:r>
      <w:r w:rsidRPr="00052B0E">
        <w:rPr>
          <w:rFonts w:ascii="SimSun" w:hAnsi="SimSun" w:hint="eastAsia"/>
          <w:kern w:val="22"/>
          <w:szCs w:val="22"/>
          <w:lang w:val="zh-CN" w:eastAsia="zh-CN" w:bidi="th-TH"/>
        </w:rPr>
        <w:t>请在下面说明详情</w:t>
      </w:r>
      <w:r w:rsidRPr="00052B0E">
        <w:rPr>
          <w:rFonts w:ascii="SimSun" w:hAnsi="SimSun" w:hint="eastAsia"/>
          <w:kern w:val="22"/>
          <w:szCs w:val="22"/>
          <w:lang w:eastAsia="zh-CN" w:bidi="th-TH"/>
        </w:rPr>
        <w:t>）</w:t>
      </w:r>
    </w:p>
    <w:p w:rsidR="001F1AAC" w:rsidRPr="00052B0E" w:rsidRDefault="001F1AAC" w:rsidP="00466808">
      <w:pPr>
        <w:shd w:val="clear" w:color="auto" w:fill="FFFFFF"/>
        <w:tabs>
          <w:tab w:val="center" w:pos="4680"/>
        </w:tabs>
        <w:spacing w:before="0"/>
        <w:ind w:firstLine="0"/>
        <w:rPr>
          <w:rFonts w:ascii="SimSun" w:hAnsi="SimSun"/>
          <w:kern w:val="22"/>
          <w:szCs w:val="22"/>
          <w:lang w:eastAsia="zh-CN" w:bidi="th-TH"/>
        </w:rPr>
      </w:pPr>
      <w:r w:rsidRPr="00052B0E">
        <w:rPr>
          <w:rFonts w:ascii="SimSun" w:hAnsi="SimSun"/>
          <w:kern w:val="22"/>
          <w:szCs w:val="22"/>
          <w:lang w:eastAsia="zh-CN" w:bidi="th-TH"/>
        </w:rPr>
        <w:t>____________________________</w:t>
      </w:r>
      <w:r w:rsidRPr="00052B0E">
        <w:rPr>
          <w:rFonts w:ascii="SimSun" w:hAnsi="SimSun"/>
          <w:kern w:val="22"/>
          <w:szCs w:val="22"/>
          <w:lang w:eastAsia="zh-CN" w:bidi="th-TH"/>
        </w:rPr>
        <w:tab/>
        <w:t>_____________________________________________</w:t>
      </w:r>
    </w:p>
    <w:p w:rsidR="001F1AAC" w:rsidRPr="00052B0E" w:rsidRDefault="001F1AAC" w:rsidP="00466808">
      <w:pPr>
        <w:shd w:val="clear" w:color="auto" w:fill="FFFFFF"/>
        <w:spacing w:before="0"/>
        <w:ind w:firstLine="0"/>
        <w:jc w:val="left"/>
        <w:rPr>
          <w:rFonts w:ascii="SimSun" w:hAnsi="SimSun"/>
          <w:kern w:val="22"/>
          <w:szCs w:val="22"/>
          <w:lang w:eastAsia="zh-CN" w:bidi="th-TH"/>
        </w:rPr>
      </w:pPr>
      <w:r w:rsidRPr="00052B0E">
        <w:rPr>
          <w:rFonts w:ascii="SimSun" w:hAnsi="SimSun" w:hint="eastAsia"/>
          <w:kern w:val="22"/>
          <w:szCs w:val="22"/>
          <w:lang w:val="zh-CN" w:eastAsia="zh-CN" w:bidi="th-TH"/>
        </w:rPr>
        <w:t>说明进一步详情</w:t>
      </w:r>
      <w:r w:rsidRPr="00052B0E">
        <w:rPr>
          <w:rFonts w:ascii="SimSun" w:hAnsi="SimSun" w:hint="eastAsia"/>
          <w:kern w:val="22"/>
          <w:szCs w:val="22"/>
          <w:lang w:eastAsia="zh-CN" w:bidi="th-TH"/>
        </w:rPr>
        <w:t>（</w:t>
      </w:r>
      <w:r w:rsidRPr="00052B0E">
        <w:rPr>
          <w:rFonts w:ascii="SimSun" w:hAnsi="SimSun" w:hint="eastAsia"/>
          <w:kern w:val="22"/>
          <w:szCs w:val="22"/>
          <w:lang w:val="zh-CN" w:eastAsia="zh-CN" w:bidi="th-TH"/>
        </w:rPr>
        <w:t>如果</w:t>
      </w:r>
      <w:r>
        <w:rPr>
          <w:rFonts w:ascii="SimSun" w:hAnsi="SimSun" w:hint="eastAsia"/>
          <w:kern w:val="22"/>
          <w:szCs w:val="22"/>
          <w:lang w:val="zh-CN" w:eastAsia="zh-CN" w:bidi="th-TH"/>
        </w:rPr>
        <w:t>以上</w:t>
      </w:r>
      <w:r>
        <w:rPr>
          <w:rFonts w:ascii="SimSun" w:hAnsi="SimSun"/>
          <w:kern w:val="22"/>
          <w:szCs w:val="22"/>
          <w:lang w:val="zh-CN" w:eastAsia="zh-CN" w:bidi="th-TH"/>
        </w:rPr>
        <w:t>问题</w:t>
      </w:r>
      <w:r>
        <w:rPr>
          <w:kern w:val="22"/>
          <w:szCs w:val="22"/>
          <w:lang w:eastAsia="zh-CN" w:bidi="th-TH"/>
        </w:rPr>
        <w:t>1</w:t>
      </w:r>
      <w:r w:rsidRPr="00075A34">
        <w:rPr>
          <w:kern w:val="22"/>
          <w:szCs w:val="22"/>
          <w:lang w:eastAsia="zh-CN" w:bidi="th-TH"/>
        </w:rPr>
        <w:t>-3</w:t>
      </w:r>
      <w:r w:rsidRPr="00052B0E">
        <w:rPr>
          <w:rFonts w:ascii="SimSun" w:hAnsi="SimSun" w:hint="eastAsia"/>
          <w:kern w:val="22"/>
          <w:szCs w:val="22"/>
          <w:lang w:val="zh-CN" w:eastAsia="zh-CN" w:bidi="th-TH"/>
        </w:rPr>
        <w:t>有任何</w:t>
      </w:r>
      <w:r w:rsidRPr="00052B0E">
        <w:rPr>
          <w:rFonts w:ascii="SimSun" w:hAnsi="SimSun" w:hint="eastAsia"/>
          <w:kern w:val="22"/>
          <w:szCs w:val="22"/>
          <w:lang w:eastAsia="zh-CN" w:bidi="th-TH"/>
        </w:rPr>
        <w:t>“</w:t>
      </w:r>
      <w:r w:rsidRPr="00052B0E">
        <w:rPr>
          <w:rFonts w:ascii="SimSun" w:hAnsi="SimSun" w:hint="eastAsia"/>
          <w:kern w:val="22"/>
          <w:szCs w:val="22"/>
          <w:lang w:val="zh-CN" w:eastAsia="zh-CN" w:bidi="th-TH"/>
        </w:rPr>
        <w:t>是</w:t>
      </w:r>
      <w:r w:rsidRPr="00052B0E">
        <w:rPr>
          <w:rFonts w:ascii="SimSun" w:hAnsi="SimSun" w:hint="eastAsia"/>
          <w:kern w:val="22"/>
          <w:szCs w:val="22"/>
          <w:lang w:eastAsia="zh-CN" w:bidi="th-TH"/>
        </w:rPr>
        <w:t>”</w:t>
      </w:r>
      <w:r w:rsidRPr="00052B0E">
        <w:rPr>
          <w:rFonts w:ascii="SimSun" w:hAnsi="SimSun" w:hint="eastAsia"/>
          <w:kern w:val="22"/>
          <w:szCs w:val="22"/>
          <w:lang w:val="zh-CN" w:eastAsia="zh-CN" w:bidi="th-TH"/>
        </w:rPr>
        <w:t>的答案</w:t>
      </w:r>
      <w:r w:rsidRPr="00052B0E">
        <w:rPr>
          <w:rFonts w:ascii="SimSun" w:hAnsi="SimSun" w:hint="eastAsia"/>
          <w:kern w:val="22"/>
          <w:szCs w:val="22"/>
          <w:lang w:eastAsia="zh-CN" w:bidi="th-TH"/>
        </w:rPr>
        <w:t>）：</w:t>
      </w:r>
    </w:p>
    <w:p w:rsidR="001F1AAC" w:rsidRPr="00052B0E" w:rsidRDefault="001F1AAC" w:rsidP="00466808">
      <w:pPr>
        <w:shd w:val="clear" w:color="auto" w:fill="FFFFFF"/>
        <w:spacing w:before="0"/>
        <w:ind w:firstLine="0"/>
        <w:jc w:val="left"/>
        <w:rPr>
          <w:rFonts w:ascii="SimSun" w:hAnsi="SimSun"/>
          <w:kern w:val="22"/>
          <w:szCs w:val="22"/>
          <w:lang w:eastAsia="zh-CN" w:bidi="th-TH"/>
        </w:rPr>
      </w:pPr>
      <w:r w:rsidRPr="00052B0E">
        <w:rPr>
          <w:rFonts w:ascii="SimSun" w:hAnsi="SimSun"/>
          <w:kern w:val="22"/>
          <w:szCs w:val="22"/>
          <w:lang w:eastAsia="zh-CN" w:bidi="th-TH"/>
        </w:rPr>
        <w:t>__________________________________________________________________________</w:t>
      </w:r>
    </w:p>
    <w:p w:rsidR="001F1AAC" w:rsidRPr="00691DB5" w:rsidRDefault="001F1AAC" w:rsidP="00466808">
      <w:pPr>
        <w:shd w:val="clear" w:color="auto" w:fill="FFFFFF"/>
        <w:adjustRightInd w:val="0"/>
        <w:spacing w:before="0"/>
        <w:ind w:firstLine="0"/>
        <w:jc w:val="left"/>
        <w:rPr>
          <w:rFonts w:ascii="SimSun" w:hAnsi="SimSun"/>
          <w:szCs w:val="22"/>
          <w:lang w:val="zh-CN" w:eastAsia="zh-CN" w:bidi="th-TH"/>
        </w:rPr>
      </w:pPr>
      <w:r w:rsidRPr="00052B0E">
        <w:rPr>
          <w:rFonts w:ascii="SimSun" w:hAnsi="SimSun" w:hint="eastAsia"/>
          <w:szCs w:val="22"/>
          <w:lang w:val="zh-CN" w:eastAsia="zh-CN" w:bidi="th-TH"/>
        </w:rPr>
        <w:t>我特此申明</w:t>
      </w:r>
      <w:r w:rsidRPr="00052B0E">
        <w:rPr>
          <w:rFonts w:ascii="SimSun" w:hAnsi="SimSun" w:hint="eastAsia"/>
          <w:szCs w:val="22"/>
          <w:lang w:eastAsia="zh-CN" w:bidi="th-TH"/>
        </w:rPr>
        <w:t>，</w:t>
      </w:r>
      <w:r w:rsidRPr="00052B0E">
        <w:rPr>
          <w:rFonts w:ascii="SimSun" w:hAnsi="SimSun" w:hint="eastAsia"/>
          <w:szCs w:val="22"/>
          <w:lang w:val="zh-CN" w:eastAsia="zh-CN" w:bidi="th-TH"/>
        </w:rPr>
        <w:t>在此披露的信息是完整和正确的。我承诺</w:t>
      </w:r>
      <w:r w:rsidRPr="00052B0E">
        <w:rPr>
          <w:rFonts w:ascii="SimSun" w:hAnsi="SimSun" w:hint="eastAsia"/>
          <w:szCs w:val="22"/>
          <w:lang w:eastAsia="zh-CN" w:bidi="th-TH"/>
        </w:rPr>
        <w:t>，</w:t>
      </w:r>
      <w:r w:rsidRPr="00052B0E">
        <w:rPr>
          <w:rFonts w:ascii="SimSun" w:hAnsi="SimSun" w:hint="eastAsia"/>
          <w:szCs w:val="22"/>
          <w:lang w:val="zh-CN" w:eastAsia="zh-CN" w:bidi="th-TH"/>
        </w:rPr>
        <w:t>在分配给我执行的工作的过程中</w:t>
      </w:r>
      <w:r w:rsidRPr="00052B0E">
        <w:rPr>
          <w:rFonts w:ascii="SimSun" w:hAnsi="SimSun" w:hint="eastAsia"/>
          <w:szCs w:val="22"/>
          <w:lang w:eastAsia="zh-CN" w:bidi="th-TH"/>
        </w:rPr>
        <w:t>，</w:t>
      </w:r>
      <w:r w:rsidRPr="00052B0E">
        <w:rPr>
          <w:rFonts w:ascii="SimSun" w:hAnsi="SimSun" w:hint="eastAsia"/>
          <w:szCs w:val="22"/>
          <w:lang w:val="zh-CN" w:eastAsia="zh-CN" w:bidi="th-TH"/>
        </w:rPr>
        <w:t>如我的情况有任何变化将立即通知秘书处</w:t>
      </w:r>
      <w:r>
        <w:rPr>
          <w:rFonts w:ascii="SimSun" w:hAnsi="SimSun" w:hint="eastAsia"/>
          <w:szCs w:val="22"/>
          <w:lang w:val="zh-CN" w:eastAsia="zh-CN" w:bidi="th-TH"/>
        </w:rPr>
        <w:t>和专家组主席</w:t>
      </w:r>
      <w:r w:rsidRPr="00052B0E">
        <w:rPr>
          <w:rFonts w:ascii="SimSun" w:hAnsi="SimSun" w:hint="eastAsia"/>
          <w:szCs w:val="22"/>
          <w:lang w:val="zh-CN" w:eastAsia="zh-CN" w:bidi="th-TH"/>
        </w:rPr>
        <w:t>。</w:t>
      </w:r>
      <w:r w:rsidRPr="00691DB5">
        <w:rPr>
          <w:rFonts w:ascii="SimSun" w:hAnsi="SimSun" w:hint="eastAsia"/>
          <w:szCs w:val="22"/>
          <w:lang w:val="zh-CN" w:eastAsia="zh-CN" w:bidi="th-TH"/>
        </w:rPr>
        <w:t>在我被任命为专家或主席的任期内，我不</w:t>
      </w:r>
      <w:r>
        <w:rPr>
          <w:rFonts w:ascii="SimSun" w:hAnsi="SimSun" w:hint="eastAsia"/>
          <w:szCs w:val="22"/>
          <w:lang w:val="zh-CN" w:eastAsia="zh-CN" w:bidi="th-TH"/>
        </w:rPr>
        <w:t>会</w:t>
      </w:r>
      <w:r w:rsidRPr="00691DB5">
        <w:rPr>
          <w:rFonts w:ascii="SimSun" w:hAnsi="SimSun" w:hint="eastAsia"/>
          <w:szCs w:val="22"/>
          <w:lang w:val="zh-CN" w:eastAsia="zh-CN" w:bidi="th-TH"/>
        </w:rPr>
        <w:t>接受任何可能被视为利益冲突的礼物或款待或</w:t>
      </w:r>
      <w:r>
        <w:rPr>
          <w:rFonts w:ascii="SimSun" w:hAnsi="SimSun" w:hint="eastAsia"/>
          <w:szCs w:val="22"/>
          <w:lang w:val="zh-CN" w:eastAsia="zh-CN" w:bidi="th-TH"/>
        </w:rPr>
        <w:t>从任何人</w:t>
      </w:r>
      <w:r w:rsidRPr="00691DB5">
        <w:rPr>
          <w:rFonts w:ascii="SimSun" w:hAnsi="SimSun" w:hint="eastAsia"/>
          <w:szCs w:val="22"/>
          <w:lang w:val="zh-CN" w:eastAsia="zh-CN" w:bidi="th-TH"/>
        </w:rPr>
        <w:t>获得其他利益。</w:t>
      </w:r>
    </w:p>
    <w:p w:rsidR="001F1AAC" w:rsidRDefault="001F1AAC" w:rsidP="00466808">
      <w:pPr>
        <w:shd w:val="clear" w:color="auto" w:fill="FFFFFF"/>
        <w:spacing w:before="0"/>
        <w:ind w:firstLine="0"/>
        <w:rPr>
          <w:rFonts w:ascii="SimSun" w:hAnsi="SimSun"/>
          <w:szCs w:val="22"/>
          <w:lang w:val="zh-CN" w:eastAsia="zh-CN" w:bidi="th-TH"/>
        </w:rPr>
      </w:pPr>
      <w:r w:rsidRPr="00052B0E">
        <w:rPr>
          <w:rFonts w:ascii="SimSun" w:hAnsi="SimSun" w:hint="eastAsia"/>
          <w:szCs w:val="22"/>
          <w:lang w:val="zh-CN" w:eastAsia="zh-CN" w:bidi="th-TH"/>
        </w:rPr>
        <w:t>我了解</w:t>
      </w:r>
      <w:r w:rsidRPr="00052B0E">
        <w:rPr>
          <w:rFonts w:ascii="SimSun" w:hAnsi="SimSun" w:hint="eastAsia"/>
          <w:szCs w:val="22"/>
          <w:lang w:eastAsia="zh-CN" w:bidi="th-TH"/>
        </w:rPr>
        <w:t>，</w:t>
      </w:r>
      <w:r w:rsidRPr="00052B0E">
        <w:rPr>
          <w:rFonts w:ascii="SimSun" w:hAnsi="SimSun" w:hint="eastAsia"/>
          <w:szCs w:val="22"/>
          <w:lang w:val="zh-CN" w:eastAsia="zh-CN" w:bidi="th-TH"/>
        </w:rPr>
        <w:t>在我参与的活动结束后</w:t>
      </w:r>
      <w:r w:rsidRPr="00052B0E">
        <w:rPr>
          <w:rFonts w:ascii="SimSun" w:hAnsi="SimSun" w:hint="eastAsia"/>
          <w:szCs w:val="22"/>
          <w:lang w:eastAsia="zh-CN" w:bidi="th-TH"/>
        </w:rPr>
        <w:t>，</w:t>
      </w:r>
      <w:r w:rsidRPr="00052B0E">
        <w:rPr>
          <w:rFonts w:ascii="SimSun" w:hAnsi="SimSun" w:hint="eastAsia"/>
          <w:szCs w:val="22"/>
          <w:lang w:val="zh-CN" w:eastAsia="zh-CN" w:bidi="th-TH"/>
        </w:rPr>
        <w:t>秘书处将把有关我申报的利益信息保留五年</w:t>
      </w:r>
      <w:r w:rsidRPr="00052B0E">
        <w:rPr>
          <w:rFonts w:ascii="SimSun" w:hAnsi="SimSun" w:hint="eastAsia"/>
          <w:szCs w:val="22"/>
          <w:lang w:eastAsia="zh-CN" w:bidi="th-TH"/>
        </w:rPr>
        <w:t>，</w:t>
      </w:r>
      <w:r w:rsidRPr="00052B0E">
        <w:rPr>
          <w:rFonts w:ascii="SimSun" w:hAnsi="SimSun" w:hint="eastAsia"/>
          <w:szCs w:val="22"/>
          <w:lang w:val="zh-CN" w:eastAsia="zh-CN" w:bidi="th-TH"/>
        </w:rPr>
        <w:t>之后这项信息将被销毁。</w:t>
      </w:r>
    </w:p>
    <w:p w:rsidR="001F1AAC" w:rsidRDefault="001F1AAC" w:rsidP="00466808">
      <w:pPr>
        <w:shd w:val="clear" w:color="auto" w:fill="FFFFFF"/>
        <w:spacing w:before="0"/>
        <w:ind w:firstLine="0"/>
        <w:rPr>
          <w:rFonts w:ascii="SimSun" w:hAnsi="SimSun"/>
          <w:szCs w:val="22"/>
          <w:lang w:val="zh-CN" w:eastAsia="zh-CN" w:bidi="th-TH"/>
        </w:rPr>
      </w:pPr>
      <w:r>
        <w:rPr>
          <w:rFonts w:ascii="SimSun" w:hAnsi="SimSun" w:hint="eastAsia"/>
          <w:szCs w:val="22"/>
          <w:lang w:val="zh-CN" w:eastAsia="zh-CN" w:bidi="th-TH"/>
        </w:rPr>
        <w:t>我了解，在填写完毕后，依照本表序言部分的程序，任何人可提出要求，查阅本表。</w:t>
      </w:r>
    </w:p>
    <w:p w:rsidR="001F1AAC" w:rsidRPr="005F30F4" w:rsidRDefault="001F1AAC" w:rsidP="00466808">
      <w:pPr>
        <w:shd w:val="clear" w:color="auto" w:fill="FFFFFF"/>
        <w:spacing w:before="0"/>
        <w:ind w:firstLine="0"/>
        <w:rPr>
          <w:rFonts w:ascii="SimSun" w:hAnsi="SimSun"/>
          <w:szCs w:val="22"/>
          <w:lang w:eastAsia="zh-CN" w:bidi="th-TH"/>
        </w:rPr>
      </w:pPr>
      <w:r w:rsidRPr="005F30F4">
        <w:rPr>
          <w:rFonts w:ascii="SimSun" w:hAnsi="SimSun" w:hint="eastAsia"/>
          <w:szCs w:val="22"/>
          <w:lang w:eastAsia="zh-CN" w:bidi="th-TH"/>
        </w:rPr>
        <w:t>出于隐私</w:t>
      </w:r>
      <w:r>
        <w:rPr>
          <w:rFonts w:ascii="SimSun" w:hAnsi="SimSun" w:hint="eastAsia"/>
          <w:szCs w:val="22"/>
          <w:lang w:eastAsia="zh-CN" w:bidi="th-TH"/>
        </w:rPr>
        <w:t>的</w:t>
      </w:r>
      <w:r w:rsidRPr="005F30F4">
        <w:rPr>
          <w:rFonts w:ascii="SimSun" w:hAnsi="SimSun" w:hint="eastAsia"/>
          <w:szCs w:val="22"/>
          <w:lang w:eastAsia="zh-CN" w:bidi="th-TH"/>
        </w:rPr>
        <w:t>原因</w:t>
      </w:r>
      <w:r>
        <w:rPr>
          <w:rFonts w:ascii="SimSun" w:hAnsi="SimSun" w:hint="eastAsia"/>
          <w:szCs w:val="22"/>
          <w:lang w:eastAsia="zh-CN" w:bidi="th-TH"/>
        </w:rPr>
        <w:t>，我要求以下信息从公开披露中删除。</w:t>
      </w:r>
    </w:p>
    <w:p w:rsidR="001F1AAC" w:rsidRDefault="001F1AAC" w:rsidP="00466808">
      <w:pPr>
        <w:shd w:val="clear" w:color="auto" w:fill="FFFFFF"/>
        <w:spacing w:before="0"/>
        <w:ind w:firstLine="0"/>
        <w:rPr>
          <w:rFonts w:ascii="SimSun" w:hAnsi="SimSun"/>
          <w:szCs w:val="22"/>
          <w:lang w:val="zh-CN" w:eastAsia="zh-CN" w:bidi="th-TH"/>
        </w:rPr>
      </w:pPr>
      <w:r w:rsidRPr="00052B0E">
        <w:rPr>
          <w:rFonts w:ascii="SimSun" w:hAnsi="SimSun"/>
          <w:kern w:val="22"/>
          <w:szCs w:val="20"/>
          <w:lang w:eastAsia="zh-CN" w:bidi="th-TH"/>
        </w:rPr>
        <w:t>________________________________________________</w:t>
      </w:r>
      <w:r>
        <w:rPr>
          <w:rFonts w:ascii="SimSun" w:hAnsi="SimSun"/>
          <w:kern w:val="22"/>
          <w:szCs w:val="20"/>
          <w:lang w:eastAsia="zh-CN" w:bidi="th-TH"/>
        </w:rPr>
        <w:t>___________________________</w:t>
      </w:r>
      <w:r w:rsidRPr="00052B0E">
        <w:rPr>
          <w:rFonts w:ascii="SimSun" w:hAnsi="SimSun"/>
          <w:kern w:val="22"/>
          <w:szCs w:val="20"/>
          <w:lang w:eastAsia="zh-CN" w:bidi="th-TH"/>
        </w:rPr>
        <w:t xml:space="preserve">   </w:t>
      </w:r>
    </w:p>
    <w:p w:rsidR="001F1AAC" w:rsidRPr="00052B0E" w:rsidRDefault="001F1AAC" w:rsidP="00466808">
      <w:pPr>
        <w:shd w:val="clear" w:color="auto" w:fill="FFFFFF"/>
        <w:spacing w:before="0"/>
        <w:ind w:firstLine="0"/>
        <w:rPr>
          <w:rFonts w:ascii="SimSun" w:hAnsi="SimSun"/>
          <w:kern w:val="22"/>
          <w:szCs w:val="22"/>
          <w:lang w:eastAsia="zh-CN" w:bidi="th-TH"/>
        </w:rPr>
      </w:pPr>
      <w:r w:rsidRPr="00052B0E">
        <w:rPr>
          <w:rFonts w:ascii="SimSun" w:hAnsi="SimSun" w:hint="eastAsia"/>
          <w:szCs w:val="22"/>
          <w:lang w:val="zh-CN" w:eastAsia="zh-CN" w:bidi="th-TH"/>
        </w:rPr>
        <w:t>特此声明</w:t>
      </w:r>
      <w:r w:rsidRPr="00052B0E">
        <w:rPr>
          <w:rFonts w:ascii="SimSun" w:hAnsi="SimSun" w:hint="eastAsia"/>
          <w:szCs w:val="22"/>
          <w:lang w:eastAsia="zh-CN" w:bidi="th-TH"/>
        </w:rPr>
        <w:t>，</w:t>
      </w:r>
      <w:r w:rsidRPr="00052B0E">
        <w:rPr>
          <w:rFonts w:ascii="SimSun" w:hAnsi="SimSun" w:hint="eastAsia"/>
          <w:szCs w:val="22"/>
          <w:lang w:val="zh-CN" w:eastAsia="zh-CN" w:bidi="th-TH"/>
        </w:rPr>
        <w:t>我将遵守第</w:t>
      </w:r>
      <w:r>
        <w:rPr>
          <w:szCs w:val="22"/>
          <w:lang w:val="zh-CN" w:eastAsia="zh-CN" w:bidi="th-TH"/>
        </w:rPr>
        <w:t>14/33</w:t>
      </w:r>
      <w:r w:rsidRPr="00052B0E">
        <w:rPr>
          <w:rFonts w:ascii="SimSun" w:hAnsi="SimSun" w:hint="eastAsia"/>
          <w:szCs w:val="22"/>
          <w:lang w:val="zh-CN" w:eastAsia="zh-CN" w:bidi="th-TH"/>
        </w:rPr>
        <w:t>号决定附件所载</w:t>
      </w:r>
      <w:r w:rsidRPr="00052B0E">
        <w:rPr>
          <w:rFonts w:ascii="SimSun" w:hAnsi="SimSun" w:hint="eastAsia"/>
          <w:kern w:val="22"/>
          <w:szCs w:val="22"/>
          <w:lang w:val="zh-CN" w:eastAsia="zh-CN" w:bidi="th-TH"/>
        </w:rPr>
        <w:t>的规避或管理利益冲突的程序。</w:t>
      </w:r>
    </w:p>
    <w:p w:rsidR="001F1AAC" w:rsidRPr="0027477A" w:rsidRDefault="001F1AAC" w:rsidP="00466808">
      <w:pPr>
        <w:shd w:val="clear" w:color="auto" w:fill="FFFFFF"/>
        <w:spacing w:before="0"/>
        <w:rPr>
          <w:rFonts w:ascii="SimSun" w:hAnsi="SimSun"/>
          <w:kern w:val="22"/>
          <w:sz w:val="20"/>
          <w:szCs w:val="20"/>
          <w:lang w:eastAsia="zh-CN" w:bidi="th-TH"/>
        </w:rPr>
      </w:pPr>
    </w:p>
    <w:p w:rsidR="001F1AAC" w:rsidRPr="00052B0E" w:rsidRDefault="001F1AAC" w:rsidP="00466808">
      <w:pPr>
        <w:shd w:val="clear" w:color="auto" w:fill="FFFFFF"/>
        <w:spacing w:before="0"/>
        <w:ind w:firstLine="0"/>
        <w:rPr>
          <w:rFonts w:ascii="SimSun" w:hAnsi="SimSun"/>
          <w:kern w:val="22"/>
          <w:szCs w:val="20"/>
          <w:lang w:eastAsia="zh-CN" w:bidi="th-TH"/>
        </w:rPr>
      </w:pPr>
      <w:r w:rsidRPr="00052B0E">
        <w:rPr>
          <w:rFonts w:ascii="SimSun" w:hAnsi="SimSun"/>
          <w:kern w:val="22"/>
          <w:szCs w:val="20"/>
          <w:lang w:eastAsia="zh-CN" w:bidi="th-TH"/>
        </w:rPr>
        <w:t>______________________________           _____________________________</w:t>
      </w:r>
    </w:p>
    <w:p w:rsidR="001F1AAC" w:rsidRPr="00052B0E" w:rsidRDefault="001F1AAC" w:rsidP="00466808">
      <w:pPr>
        <w:shd w:val="clear" w:color="auto" w:fill="FFFFFF"/>
        <w:tabs>
          <w:tab w:val="left" w:pos="5040"/>
        </w:tabs>
        <w:spacing w:before="0"/>
        <w:ind w:firstLine="0"/>
        <w:rPr>
          <w:rFonts w:ascii="SimSun" w:hAnsi="SimSun"/>
          <w:szCs w:val="20"/>
          <w:lang w:eastAsia="zh-CN" w:bidi="th-TH"/>
        </w:rPr>
      </w:pPr>
      <w:r w:rsidRPr="00052B0E">
        <w:rPr>
          <w:rFonts w:ascii="SimSun" w:hAnsi="SimSun" w:hint="eastAsia"/>
          <w:kern w:val="22"/>
          <w:szCs w:val="20"/>
          <w:lang w:val="zh-CN" w:eastAsia="zh-CN" w:bidi="th-TH"/>
        </w:rPr>
        <w:t>签名</w:t>
      </w:r>
      <w:r w:rsidR="00B41940">
        <w:rPr>
          <w:rFonts w:ascii="SimSun" w:hAnsi="SimSun"/>
          <w:kern w:val="22"/>
          <w:szCs w:val="20"/>
          <w:lang w:eastAsia="zh-CN" w:bidi="th-TH"/>
        </w:rPr>
        <w:tab/>
      </w:r>
      <w:r w:rsidRPr="00052B0E">
        <w:rPr>
          <w:rFonts w:ascii="SimSun" w:hAnsi="SimSun" w:hint="eastAsia"/>
          <w:kern w:val="22"/>
          <w:szCs w:val="20"/>
          <w:lang w:val="zh-CN" w:eastAsia="zh-CN" w:bidi="th-TH"/>
        </w:rPr>
        <w:t>日期</w:t>
      </w:r>
    </w:p>
    <w:p w:rsidR="001F1AAC" w:rsidRDefault="001F1AAC" w:rsidP="001F1AAC">
      <w:pPr>
        <w:pStyle w:val="Para1"/>
        <w:tabs>
          <w:tab w:val="clear" w:pos="360"/>
        </w:tabs>
        <w:spacing w:beforeLines="50" w:line="240" w:lineRule="atLeast"/>
        <w:rPr>
          <w:rFonts w:ascii="KaiTi" w:eastAsia="KaiTi" w:hAnsi="KaiTi"/>
          <w:kern w:val="22"/>
          <w:sz w:val="24"/>
          <w:szCs w:val="24"/>
          <w:lang w:val="zh-CN" w:eastAsia="zh-CN"/>
        </w:rPr>
      </w:pPr>
    </w:p>
    <w:p w:rsidR="00466808" w:rsidRDefault="00466808">
      <w:pPr>
        <w:rPr>
          <w:rFonts w:eastAsiaTheme="minorEastAsia"/>
          <w:b/>
          <w:bCs/>
          <w:noProof/>
          <w:kern w:val="22"/>
          <w:szCs w:val="32"/>
          <w:lang w:eastAsia="zh-CN"/>
        </w:rPr>
      </w:pPr>
      <w:bookmarkStart w:id="233" w:name="_Toc6243796"/>
      <w:r>
        <w:rPr>
          <w:rFonts w:eastAsiaTheme="minorEastAsia"/>
          <w:noProof/>
          <w:kern w:val="22"/>
          <w:lang w:eastAsia="zh-CN"/>
        </w:rPr>
        <w:br w:type="page"/>
      </w:r>
    </w:p>
    <w:p w:rsidR="00B41940" w:rsidRPr="00B41940" w:rsidRDefault="00B41940" w:rsidP="00466808">
      <w:pPr>
        <w:pStyle w:val="Heading1"/>
        <w:spacing w:before="120" w:after="120"/>
        <w:ind w:firstLine="0"/>
        <w:rPr>
          <w:rFonts w:eastAsiaTheme="minorEastAsia" w:cs="Times New Roman"/>
          <w:noProof/>
          <w:kern w:val="22"/>
          <w:sz w:val="24"/>
          <w:lang w:eastAsia="zh-CN"/>
        </w:rPr>
      </w:pPr>
      <w:r w:rsidRPr="00B41940">
        <w:rPr>
          <w:rFonts w:eastAsiaTheme="minorEastAsia" w:cs="Times New Roman"/>
          <w:noProof/>
          <w:kern w:val="22"/>
          <w:sz w:val="24"/>
          <w:lang w:eastAsia="zh-CN"/>
        </w:rPr>
        <w:lastRenderedPageBreak/>
        <w:t>14/34.</w:t>
      </w:r>
      <w:r w:rsidRPr="00B41940">
        <w:rPr>
          <w:rFonts w:eastAsiaTheme="minorEastAsia" w:cs="Times New Roman"/>
          <w:noProof/>
          <w:kern w:val="22"/>
          <w:sz w:val="24"/>
          <w:lang w:eastAsia="zh-CN"/>
        </w:rPr>
        <w:tab/>
        <w:t xml:space="preserve">  </w:t>
      </w:r>
      <w:r w:rsidRPr="00B41940">
        <w:rPr>
          <w:rFonts w:eastAsiaTheme="minorEastAsia" w:cs="Times New Roman"/>
          <w:noProof/>
          <w:kern w:val="22"/>
          <w:sz w:val="24"/>
          <w:lang w:eastAsia="zh-CN"/>
        </w:rPr>
        <w:t>关于制定</w:t>
      </w:r>
      <w:r w:rsidRPr="00B41940">
        <w:rPr>
          <w:rFonts w:eastAsiaTheme="minorEastAsia" w:cs="Times New Roman"/>
          <w:noProof/>
          <w:kern w:val="22"/>
          <w:sz w:val="24"/>
          <w:lang w:eastAsia="zh-CN"/>
        </w:rPr>
        <w:t>2020</w:t>
      </w:r>
      <w:r w:rsidRPr="00B41940">
        <w:rPr>
          <w:rFonts w:eastAsiaTheme="minorEastAsia" w:cs="Times New Roman"/>
          <w:noProof/>
          <w:kern w:val="22"/>
          <w:sz w:val="24"/>
          <w:lang w:eastAsia="zh-CN"/>
        </w:rPr>
        <w:t>年后全球生物多样性框架的全面和参与性筹备进程的提案</w:t>
      </w:r>
      <w:bookmarkEnd w:id="233"/>
      <w:r w:rsidRPr="00B41940">
        <w:rPr>
          <w:rFonts w:eastAsiaTheme="minorEastAsia" w:cs="Times New Roman"/>
          <w:noProof/>
          <w:kern w:val="22"/>
          <w:sz w:val="24"/>
          <w:lang w:eastAsia="zh-CN"/>
        </w:rPr>
        <w:t xml:space="preserve"> </w:t>
      </w:r>
    </w:p>
    <w:p w:rsidR="00B41940" w:rsidRDefault="00B41940" w:rsidP="00B41940">
      <w:pPr>
        <w:keepNext/>
        <w:spacing w:before="240"/>
        <w:ind w:firstLine="706"/>
        <w:rPr>
          <w:rFonts w:ascii="KaiTi" w:eastAsia="KaiTi" w:hAnsi="KaiTi"/>
          <w:kern w:val="22"/>
          <w:lang w:bidi="th-TH"/>
        </w:rPr>
      </w:pPr>
      <w:r w:rsidRPr="00257741">
        <w:rPr>
          <w:rFonts w:ascii="KaiTi" w:eastAsia="KaiTi" w:hAnsi="KaiTi" w:hint="eastAsia"/>
          <w:kern w:val="22"/>
          <w:lang w:bidi="th-TH"/>
        </w:rPr>
        <w:t>缔约方大会</w:t>
      </w:r>
      <w:r>
        <w:rPr>
          <w:rFonts w:ascii="KaiTi" w:eastAsia="KaiTi" w:hAnsi="KaiTi" w:hint="eastAsia"/>
          <w:kern w:val="22"/>
          <w:lang w:bidi="th-TH"/>
        </w:rPr>
        <w:t>，</w:t>
      </w:r>
    </w:p>
    <w:p w:rsidR="00B41940" w:rsidRDefault="00B41940" w:rsidP="00615E7F">
      <w:pPr>
        <w:numPr>
          <w:ilvl w:val="0"/>
          <w:numId w:val="267"/>
        </w:numPr>
        <w:suppressLineNumbers/>
        <w:suppressAutoHyphens/>
        <w:topLinePunct/>
        <w:autoSpaceDE w:val="0"/>
        <w:autoSpaceDN w:val="0"/>
        <w:adjustRightInd w:val="0"/>
        <w:ind w:left="0" w:firstLine="720"/>
        <w:rPr>
          <w:rFonts w:eastAsiaTheme="minorEastAsia"/>
          <w:snapToGrid w:val="0"/>
          <w:kern w:val="22"/>
          <w:lang w:eastAsia="zh-CN"/>
        </w:rPr>
      </w:pPr>
      <w:r w:rsidRPr="001A551C">
        <w:rPr>
          <w:rFonts w:ascii="KaiTi" w:eastAsia="KaiTi" w:hAnsi="KaiTi"/>
          <w:snapToGrid w:val="0"/>
          <w:kern w:val="22"/>
          <w:lang w:eastAsia="zh-CN"/>
        </w:rPr>
        <w:t>通过</w:t>
      </w:r>
      <w:r>
        <w:rPr>
          <w:rFonts w:asciiTheme="minorEastAsia" w:eastAsiaTheme="minorEastAsia" w:hAnsiTheme="minorEastAsia" w:hint="eastAsia"/>
          <w:snapToGrid w:val="0"/>
          <w:kern w:val="22"/>
          <w:lang w:eastAsia="zh-CN"/>
        </w:rPr>
        <w:t>本决定</w:t>
      </w:r>
      <w:r>
        <w:rPr>
          <w:rFonts w:asciiTheme="minorEastAsia" w:eastAsiaTheme="minorEastAsia" w:hAnsiTheme="minorEastAsia"/>
          <w:snapToGrid w:val="0"/>
          <w:kern w:val="22"/>
          <w:lang w:eastAsia="zh-CN"/>
        </w:rPr>
        <w:t>附件所载</w:t>
      </w:r>
      <w:r w:rsidRPr="001A551C">
        <w:rPr>
          <w:rFonts w:asciiTheme="minorEastAsia" w:eastAsiaTheme="minorEastAsia" w:hAnsiTheme="minorEastAsia"/>
          <w:snapToGrid w:val="0"/>
          <w:kern w:val="22"/>
          <w:lang w:eastAsia="zh-CN"/>
        </w:rPr>
        <w:t>制定</w:t>
      </w:r>
      <w:r w:rsidRPr="00A95ACD">
        <w:rPr>
          <w:rFonts w:eastAsiaTheme="minorEastAsia"/>
          <w:snapToGrid w:val="0"/>
          <w:kern w:val="22"/>
          <w:lang w:eastAsia="zh-CN"/>
        </w:rPr>
        <w:t>2020</w:t>
      </w:r>
      <w:r w:rsidRPr="00A95ACD">
        <w:rPr>
          <w:rFonts w:eastAsiaTheme="minorEastAsia"/>
          <w:snapToGrid w:val="0"/>
          <w:kern w:val="22"/>
          <w:lang w:eastAsia="zh-CN"/>
        </w:rPr>
        <w:t>年后全球生物多样性框架的筹备进程，并</w:t>
      </w:r>
      <w:r w:rsidRPr="001A551C">
        <w:rPr>
          <w:rFonts w:ascii="KaiTi" w:eastAsia="KaiTi" w:hAnsi="KaiTi"/>
          <w:snapToGrid w:val="0"/>
          <w:kern w:val="22"/>
          <w:lang w:eastAsia="zh-CN"/>
        </w:rPr>
        <w:t>请</w:t>
      </w:r>
      <w:r w:rsidRPr="00A95ACD">
        <w:rPr>
          <w:rFonts w:eastAsiaTheme="minorEastAsia"/>
          <w:snapToGrid w:val="0"/>
          <w:kern w:val="22"/>
          <w:lang w:eastAsia="zh-CN"/>
        </w:rPr>
        <w:t>执行秘书协助</w:t>
      </w:r>
      <w:r>
        <w:rPr>
          <w:rFonts w:eastAsiaTheme="minorEastAsia" w:hint="eastAsia"/>
          <w:snapToGrid w:val="0"/>
          <w:kern w:val="22"/>
          <w:lang w:eastAsia="zh-CN"/>
        </w:rPr>
        <w:t>将其</w:t>
      </w:r>
      <w:r>
        <w:rPr>
          <w:rFonts w:eastAsiaTheme="minorEastAsia"/>
          <w:snapToGrid w:val="0"/>
          <w:kern w:val="22"/>
          <w:lang w:eastAsia="zh-CN"/>
        </w:rPr>
        <w:t>付诸实施</w:t>
      </w:r>
      <w:r w:rsidRPr="00A95ACD">
        <w:rPr>
          <w:rFonts w:eastAsiaTheme="minorEastAsia"/>
          <w:snapToGrid w:val="0"/>
          <w:kern w:val="22"/>
          <w:lang w:eastAsia="zh-CN"/>
        </w:rPr>
        <w:t>，同时注意到筹备进程的实施需要灵活性，以适应不断变化的环境</w:t>
      </w:r>
      <w:r>
        <w:rPr>
          <w:rFonts w:eastAsiaTheme="minorEastAsia" w:hint="eastAsia"/>
          <w:snapToGrid w:val="0"/>
          <w:kern w:val="22"/>
          <w:lang w:eastAsia="zh-CN"/>
        </w:rPr>
        <w:t>和</w:t>
      </w:r>
      <w:r w:rsidRPr="00A95ACD">
        <w:rPr>
          <w:rFonts w:eastAsiaTheme="minorEastAsia"/>
          <w:snapToGrid w:val="0"/>
          <w:kern w:val="22"/>
          <w:lang w:eastAsia="zh-CN"/>
        </w:rPr>
        <w:t>应对新出现的机会；</w:t>
      </w:r>
    </w:p>
    <w:p w:rsidR="00B41940" w:rsidRPr="001A551C" w:rsidRDefault="00B41940" w:rsidP="00615E7F">
      <w:pPr>
        <w:numPr>
          <w:ilvl w:val="0"/>
          <w:numId w:val="267"/>
        </w:numPr>
        <w:suppressLineNumbers/>
        <w:suppressAutoHyphens/>
        <w:topLinePunct/>
        <w:autoSpaceDE w:val="0"/>
        <w:autoSpaceDN w:val="0"/>
        <w:adjustRightInd w:val="0"/>
        <w:ind w:left="0" w:firstLine="720"/>
        <w:rPr>
          <w:rFonts w:eastAsiaTheme="minorEastAsia"/>
          <w:snapToGrid w:val="0"/>
          <w:kern w:val="22"/>
          <w:lang w:eastAsia="zh-CN"/>
        </w:rPr>
      </w:pPr>
      <w:r w:rsidRPr="00181023">
        <w:rPr>
          <w:rFonts w:ascii="KaiTi" w:eastAsia="KaiTi" w:hAnsi="KaiTi" w:hint="eastAsia"/>
          <w:snapToGrid w:val="0"/>
          <w:kern w:val="22"/>
          <w:lang w:eastAsia="zh-CN"/>
        </w:rPr>
        <w:t>决定</w:t>
      </w:r>
      <w:r>
        <w:rPr>
          <w:rFonts w:eastAsiaTheme="minorEastAsia"/>
          <w:snapToGrid w:val="0"/>
          <w:kern w:val="22"/>
          <w:lang w:eastAsia="zh-CN"/>
        </w:rPr>
        <w:t>设立不限成员名额闭会期间工作组支持本决定附件所述</w:t>
      </w:r>
      <w:r>
        <w:rPr>
          <w:rFonts w:eastAsiaTheme="minorEastAsia" w:hint="eastAsia"/>
          <w:snapToGrid w:val="0"/>
          <w:kern w:val="22"/>
          <w:lang w:eastAsia="zh-CN"/>
        </w:rPr>
        <w:t>2020</w:t>
      </w:r>
      <w:r>
        <w:rPr>
          <w:rFonts w:eastAsiaTheme="minorEastAsia" w:hint="eastAsia"/>
          <w:snapToGrid w:val="0"/>
          <w:kern w:val="22"/>
          <w:lang w:eastAsia="zh-CN"/>
        </w:rPr>
        <w:t>年后</w:t>
      </w:r>
      <w:r>
        <w:rPr>
          <w:rFonts w:eastAsiaTheme="minorEastAsia"/>
          <w:snapToGrid w:val="0"/>
          <w:kern w:val="22"/>
          <w:lang w:eastAsia="zh-CN"/>
        </w:rPr>
        <w:t>生物多样性框架</w:t>
      </w:r>
      <w:r>
        <w:rPr>
          <w:rFonts w:eastAsiaTheme="minorEastAsia" w:hint="eastAsia"/>
          <w:snapToGrid w:val="0"/>
          <w:kern w:val="22"/>
          <w:lang w:eastAsia="zh-CN"/>
        </w:rPr>
        <w:t>的</w:t>
      </w:r>
      <w:r>
        <w:rPr>
          <w:rFonts w:eastAsiaTheme="minorEastAsia"/>
          <w:snapToGrid w:val="0"/>
          <w:kern w:val="22"/>
          <w:lang w:eastAsia="zh-CN"/>
        </w:rPr>
        <w:t>筹备工作，</w:t>
      </w:r>
      <w:r>
        <w:rPr>
          <w:rFonts w:eastAsiaTheme="minorEastAsia" w:hint="eastAsia"/>
          <w:snapToGrid w:val="0"/>
          <w:kern w:val="22"/>
          <w:lang w:eastAsia="zh-CN"/>
        </w:rPr>
        <w:t>又</w:t>
      </w:r>
      <w:r w:rsidRPr="0019040E">
        <w:rPr>
          <w:rFonts w:ascii="KaiTi" w:eastAsia="KaiTi" w:hAnsi="KaiTi"/>
          <w:kern w:val="22"/>
          <w:lang w:eastAsia="zh-CN" w:bidi="th-TH"/>
        </w:rPr>
        <w:t>决定</w:t>
      </w:r>
      <w:r>
        <w:rPr>
          <w:rFonts w:eastAsiaTheme="minorEastAsia" w:hint="eastAsia"/>
          <w:snapToGrid w:val="0"/>
          <w:kern w:val="22"/>
          <w:lang w:eastAsia="zh-CN"/>
        </w:rPr>
        <w:t>指定</w:t>
      </w:r>
      <w:r>
        <w:rPr>
          <w:rFonts w:eastAsiaTheme="minorEastAsia" w:hint="eastAsia"/>
          <w:snapToGrid w:val="0"/>
          <w:kern w:val="22"/>
          <w:lang w:eastAsia="zh-CN"/>
        </w:rPr>
        <w:t xml:space="preserve"> </w:t>
      </w:r>
      <w:r w:rsidRPr="0019040E">
        <w:rPr>
          <w:iCs/>
          <w:snapToGrid w:val="0"/>
          <w:kern w:val="22"/>
          <w:szCs w:val="22"/>
          <w:lang w:eastAsia="zh-CN"/>
        </w:rPr>
        <w:t>Francis Ogwal</w:t>
      </w:r>
      <w:r>
        <w:rPr>
          <w:iCs/>
          <w:snapToGrid w:val="0"/>
          <w:kern w:val="22"/>
          <w:szCs w:val="22"/>
          <w:lang w:eastAsia="zh-CN"/>
        </w:rPr>
        <w:t xml:space="preserve"> </w:t>
      </w:r>
      <w:r>
        <w:rPr>
          <w:rFonts w:hint="eastAsia"/>
          <w:iCs/>
          <w:snapToGrid w:val="0"/>
          <w:kern w:val="22"/>
          <w:szCs w:val="22"/>
          <w:lang w:eastAsia="zh-CN"/>
        </w:rPr>
        <w:t>先生</w:t>
      </w:r>
      <w:r>
        <w:rPr>
          <w:iCs/>
          <w:snapToGrid w:val="0"/>
          <w:kern w:val="22"/>
          <w:szCs w:val="22"/>
          <w:lang w:eastAsia="zh-CN"/>
        </w:rPr>
        <w:t>（乌干达）和</w:t>
      </w:r>
      <w:r>
        <w:rPr>
          <w:rFonts w:hint="eastAsia"/>
          <w:iCs/>
          <w:snapToGrid w:val="0"/>
          <w:kern w:val="22"/>
          <w:szCs w:val="22"/>
          <w:lang w:eastAsia="zh-CN"/>
        </w:rPr>
        <w:t xml:space="preserve"> </w:t>
      </w:r>
      <w:r w:rsidRPr="0019040E">
        <w:rPr>
          <w:iCs/>
          <w:snapToGrid w:val="0"/>
          <w:kern w:val="22"/>
          <w:szCs w:val="22"/>
          <w:lang w:eastAsia="zh-CN"/>
        </w:rPr>
        <w:t>Basile van </w:t>
      </w:r>
      <w:r w:rsidRPr="0068471A">
        <w:rPr>
          <w:iCs/>
          <w:snapToGrid w:val="0"/>
          <w:kern w:val="22"/>
          <w:szCs w:val="22"/>
          <w:lang w:eastAsia="zh-CN"/>
        </w:rPr>
        <w:t>Havre</w:t>
      </w:r>
      <w:r>
        <w:rPr>
          <w:iCs/>
          <w:snapToGrid w:val="0"/>
          <w:kern w:val="22"/>
          <w:szCs w:val="22"/>
          <w:lang w:eastAsia="zh-CN"/>
        </w:rPr>
        <w:t xml:space="preserve"> </w:t>
      </w:r>
      <w:r>
        <w:rPr>
          <w:rFonts w:hint="eastAsia"/>
          <w:iCs/>
          <w:snapToGrid w:val="0"/>
          <w:kern w:val="22"/>
          <w:szCs w:val="22"/>
          <w:lang w:eastAsia="zh-CN"/>
        </w:rPr>
        <w:t>先生</w:t>
      </w:r>
      <w:r>
        <w:rPr>
          <w:iCs/>
          <w:snapToGrid w:val="0"/>
          <w:kern w:val="22"/>
          <w:szCs w:val="22"/>
          <w:lang w:eastAsia="zh-CN"/>
        </w:rPr>
        <w:t>（加拿大）</w:t>
      </w:r>
      <w:r>
        <w:rPr>
          <w:rFonts w:eastAsiaTheme="minorEastAsia"/>
          <w:snapToGrid w:val="0"/>
          <w:kern w:val="22"/>
          <w:lang w:eastAsia="zh-CN"/>
        </w:rPr>
        <w:t>为</w:t>
      </w:r>
      <w:r>
        <w:rPr>
          <w:rFonts w:eastAsiaTheme="minorEastAsia" w:hint="eastAsia"/>
          <w:snapToGrid w:val="0"/>
          <w:kern w:val="22"/>
          <w:lang w:eastAsia="zh-CN"/>
        </w:rPr>
        <w:t>共同主席</w:t>
      </w:r>
      <w:r>
        <w:rPr>
          <w:rFonts w:eastAsiaTheme="minorEastAsia"/>
          <w:snapToGrid w:val="0"/>
          <w:kern w:val="22"/>
          <w:lang w:eastAsia="zh-CN"/>
        </w:rPr>
        <w:t>；</w:t>
      </w:r>
    </w:p>
    <w:p w:rsidR="00B41940" w:rsidRPr="001A551C" w:rsidRDefault="00B41940" w:rsidP="00615E7F">
      <w:pPr>
        <w:numPr>
          <w:ilvl w:val="0"/>
          <w:numId w:val="267"/>
        </w:numPr>
        <w:suppressLineNumbers/>
        <w:suppressAutoHyphens/>
        <w:topLinePunct/>
        <w:autoSpaceDE w:val="0"/>
        <w:autoSpaceDN w:val="0"/>
        <w:adjustRightInd w:val="0"/>
        <w:ind w:left="0" w:firstLine="720"/>
        <w:rPr>
          <w:rFonts w:eastAsiaTheme="minorEastAsia"/>
          <w:snapToGrid w:val="0"/>
          <w:kern w:val="22"/>
          <w:lang w:eastAsia="zh-CN"/>
        </w:rPr>
      </w:pPr>
      <w:r w:rsidRPr="00181023">
        <w:rPr>
          <w:rFonts w:ascii="KaiTi" w:eastAsia="KaiTi" w:hAnsi="KaiTi" w:hint="eastAsia"/>
          <w:snapToGrid w:val="0"/>
          <w:kern w:val="22"/>
          <w:lang w:eastAsia="zh-CN"/>
        </w:rPr>
        <w:t>请</w:t>
      </w:r>
      <w:r>
        <w:rPr>
          <w:rFonts w:eastAsiaTheme="minorEastAsia"/>
          <w:snapToGrid w:val="0"/>
          <w:kern w:val="22"/>
          <w:lang w:eastAsia="zh-CN"/>
        </w:rPr>
        <w:t>执行秘书</w:t>
      </w:r>
      <w:r>
        <w:rPr>
          <w:rFonts w:eastAsiaTheme="minorEastAsia" w:hint="eastAsia"/>
          <w:snapToGrid w:val="0"/>
          <w:kern w:val="22"/>
          <w:lang w:eastAsia="zh-CN"/>
        </w:rPr>
        <w:t>支持</w:t>
      </w:r>
      <w:r>
        <w:rPr>
          <w:rFonts w:eastAsiaTheme="minorEastAsia"/>
          <w:snapToGrid w:val="0"/>
          <w:kern w:val="22"/>
          <w:lang w:eastAsia="zh-CN"/>
        </w:rPr>
        <w:t>不限成员名额工作组和共同主席；</w:t>
      </w:r>
    </w:p>
    <w:p w:rsidR="00B41940" w:rsidRPr="001A551C" w:rsidRDefault="00B41940" w:rsidP="00615E7F">
      <w:pPr>
        <w:numPr>
          <w:ilvl w:val="0"/>
          <w:numId w:val="267"/>
        </w:numPr>
        <w:suppressLineNumbers/>
        <w:suppressAutoHyphens/>
        <w:topLinePunct/>
        <w:autoSpaceDE w:val="0"/>
        <w:autoSpaceDN w:val="0"/>
        <w:adjustRightInd w:val="0"/>
        <w:ind w:left="0" w:firstLine="720"/>
        <w:rPr>
          <w:rFonts w:eastAsiaTheme="minorEastAsia"/>
          <w:snapToGrid w:val="0"/>
          <w:kern w:val="22"/>
          <w:lang w:eastAsia="zh-CN"/>
        </w:rPr>
      </w:pPr>
      <w:r>
        <w:rPr>
          <w:rFonts w:ascii="KaiTi" w:eastAsia="KaiTi" w:hAnsi="KaiTi" w:hint="eastAsia"/>
          <w:snapToGrid w:val="0"/>
          <w:kern w:val="22"/>
          <w:lang w:eastAsia="zh-CN"/>
        </w:rPr>
        <w:t>又</w:t>
      </w:r>
      <w:r w:rsidRPr="00181023">
        <w:rPr>
          <w:rFonts w:ascii="KaiTi" w:eastAsia="KaiTi" w:hAnsi="KaiTi" w:hint="eastAsia"/>
          <w:snapToGrid w:val="0"/>
          <w:kern w:val="22"/>
          <w:lang w:eastAsia="zh-CN"/>
        </w:rPr>
        <w:t>请</w:t>
      </w:r>
      <w:r>
        <w:rPr>
          <w:rFonts w:eastAsiaTheme="minorEastAsia"/>
          <w:snapToGrid w:val="0"/>
          <w:kern w:val="22"/>
          <w:lang w:eastAsia="zh-CN"/>
        </w:rPr>
        <w:t>执行秘书</w:t>
      </w:r>
      <w:r>
        <w:rPr>
          <w:rFonts w:eastAsiaTheme="minorEastAsia" w:hint="eastAsia"/>
          <w:snapToGrid w:val="0"/>
          <w:kern w:val="22"/>
          <w:lang w:eastAsia="zh-CN"/>
        </w:rPr>
        <w:t>在</w:t>
      </w:r>
      <w:r>
        <w:rPr>
          <w:rFonts w:eastAsiaTheme="minorEastAsia"/>
          <w:snapToGrid w:val="0"/>
          <w:kern w:val="22"/>
          <w:lang w:eastAsia="zh-CN"/>
        </w:rPr>
        <w:t>资源允许的情况下设立本决定附件所述</w:t>
      </w:r>
      <w:r>
        <w:rPr>
          <w:rFonts w:eastAsiaTheme="minorEastAsia" w:hint="eastAsia"/>
          <w:snapToGrid w:val="0"/>
          <w:kern w:val="22"/>
          <w:lang w:eastAsia="zh-CN"/>
        </w:rPr>
        <w:t>的</w:t>
      </w:r>
      <w:r>
        <w:rPr>
          <w:rFonts w:eastAsiaTheme="minorEastAsia"/>
          <w:snapToGrid w:val="0"/>
          <w:kern w:val="22"/>
          <w:lang w:eastAsia="zh-CN"/>
        </w:rPr>
        <w:t>高级别</w:t>
      </w:r>
      <w:r>
        <w:rPr>
          <w:rFonts w:eastAsiaTheme="minorEastAsia" w:hint="eastAsia"/>
          <w:snapToGrid w:val="0"/>
          <w:kern w:val="22"/>
          <w:lang w:eastAsia="zh-CN"/>
        </w:rPr>
        <w:t>小组</w:t>
      </w:r>
      <w:r>
        <w:rPr>
          <w:rFonts w:eastAsiaTheme="minorEastAsia"/>
          <w:snapToGrid w:val="0"/>
          <w:kern w:val="22"/>
          <w:lang w:eastAsia="zh-CN"/>
        </w:rPr>
        <w:t>；</w:t>
      </w:r>
    </w:p>
    <w:p w:rsidR="00B41940" w:rsidRPr="00A95ACD" w:rsidRDefault="00B41940" w:rsidP="00615E7F">
      <w:pPr>
        <w:numPr>
          <w:ilvl w:val="0"/>
          <w:numId w:val="267"/>
        </w:numPr>
        <w:suppressLineNumbers/>
        <w:suppressAutoHyphens/>
        <w:topLinePunct/>
        <w:autoSpaceDE w:val="0"/>
        <w:autoSpaceDN w:val="0"/>
        <w:adjustRightInd w:val="0"/>
        <w:ind w:left="0" w:firstLine="720"/>
        <w:rPr>
          <w:rFonts w:eastAsiaTheme="minorEastAsia"/>
          <w:snapToGrid w:val="0"/>
          <w:kern w:val="22"/>
          <w:lang w:eastAsia="zh-CN"/>
        </w:rPr>
      </w:pPr>
      <w:r w:rsidRPr="00A01E80">
        <w:rPr>
          <w:rFonts w:ascii="KaiTi" w:eastAsia="KaiTi" w:hAnsi="KaiTi"/>
          <w:snapToGrid w:val="0"/>
          <w:kern w:val="22"/>
          <w:lang w:eastAsia="zh-CN"/>
        </w:rPr>
        <w:t>决定</w:t>
      </w:r>
      <w:r w:rsidRPr="00A95ACD">
        <w:rPr>
          <w:rFonts w:eastAsiaTheme="minorEastAsia"/>
          <w:snapToGrid w:val="0"/>
          <w:kern w:val="22"/>
          <w:lang w:eastAsia="zh-CN"/>
        </w:rPr>
        <w:t>2020</w:t>
      </w:r>
      <w:r w:rsidRPr="00A95ACD">
        <w:rPr>
          <w:rFonts w:eastAsiaTheme="minorEastAsia"/>
          <w:snapToGrid w:val="0"/>
          <w:kern w:val="22"/>
          <w:lang w:eastAsia="zh-CN"/>
        </w:rPr>
        <w:t>年后全球生物多样性框架</w:t>
      </w:r>
      <w:r>
        <w:rPr>
          <w:rFonts w:eastAsiaTheme="minorEastAsia" w:hint="eastAsia"/>
          <w:snapToGrid w:val="0"/>
          <w:kern w:val="22"/>
          <w:lang w:eastAsia="zh-CN"/>
        </w:rPr>
        <w:t>的同时</w:t>
      </w:r>
      <w:r w:rsidRPr="00A95ACD">
        <w:rPr>
          <w:rFonts w:eastAsiaTheme="minorEastAsia"/>
          <w:snapToGrid w:val="0"/>
          <w:kern w:val="22"/>
          <w:lang w:eastAsia="zh-CN"/>
        </w:rPr>
        <w:t>应</w:t>
      </w:r>
      <w:r>
        <w:rPr>
          <w:rFonts w:eastAsiaTheme="minorEastAsia" w:hint="eastAsia"/>
          <w:snapToGrid w:val="0"/>
          <w:kern w:val="22"/>
          <w:lang w:eastAsia="zh-CN"/>
        </w:rPr>
        <w:t>开展</w:t>
      </w:r>
      <w:r w:rsidRPr="00A95ACD">
        <w:rPr>
          <w:rFonts w:eastAsiaTheme="minorEastAsia"/>
          <w:snapToGrid w:val="0"/>
          <w:kern w:val="22"/>
          <w:lang w:eastAsia="zh-CN"/>
        </w:rPr>
        <w:t>鼓舞和激励</w:t>
      </w:r>
      <w:r>
        <w:rPr>
          <w:rFonts w:eastAsiaTheme="minorEastAsia" w:hint="eastAsia"/>
          <w:snapToGrid w:val="0"/>
          <w:kern w:val="22"/>
          <w:lang w:eastAsia="zh-CN"/>
        </w:rPr>
        <w:t>人心</w:t>
      </w:r>
      <w:r w:rsidRPr="00A95ACD">
        <w:rPr>
          <w:rFonts w:eastAsiaTheme="minorEastAsia"/>
          <w:snapToGrid w:val="0"/>
          <w:kern w:val="22"/>
          <w:lang w:eastAsia="zh-CN"/>
        </w:rPr>
        <w:t>的</w:t>
      </w:r>
      <w:r w:rsidRPr="00A95ACD">
        <w:rPr>
          <w:rFonts w:eastAsiaTheme="minorEastAsia"/>
          <w:snapToGrid w:val="0"/>
          <w:kern w:val="22"/>
          <w:lang w:eastAsia="zh-CN"/>
        </w:rPr>
        <w:t>2030</w:t>
      </w:r>
      <w:r w:rsidRPr="00A95ACD">
        <w:rPr>
          <w:rFonts w:eastAsiaTheme="minorEastAsia"/>
          <w:snapToGrid w:val="0"/>
          <w:kern w:val="22"/>
          <w:lang w:eastAsia="zh-CN"/>
        </w:rPr>
        <w:t>年使命，作为实现</w:t>
      </w:r>
      <w:r w:rsidRPr="00A95ACD">
        <w:rPr>
          <w:rFonts w:eastAsiaTheme="minorEastAsia"/>
          <w:snapToGrid w:val="0"/>
          <w:kern w:val="22"/>
          <w:lang w:eastAsia="zh-CN"/>
        </w:rPr>
        <w:t>2050</w:t>
      </w:r>
      <w:r w:rsidRPr="00A95ACD">
        <w:rPr>
          <w:rFonts w:eastAsiaTheme="minorEastAsia"/>
          <w:snapToGrid w:val="0"/>
          <w:kern w:val="22"/>
          <w:lang w:eastAsia="zh-CN"/>
        </w:rPr>
        <w:t>年愿景</w:t>
      </w:r>
      <w:r w:rsidRPr="0019040E">
        <w:rPr>
          <w:rFonts w:asciiTheme="minorEastAsia" w:eastAsiaTheme="minorEastAsia" w:hAnsiTheme="minorEastAsia"/>
          <w:lang w:eastAsia="zh-CN"/>
        </w:rPr>
        <w:t>“与自然和谐相处”</w:t>
      </w:r>
      <w:r w:rsidRPr="00A95ACD">
        <w:rPr>
          <w:rFonts w:eastAsiaTheme="minorEastAsia"/>
          <w:snapToGrid w:val="0"/>
          <w:kern w:val="22"/>
          <w:lang w:eastAsia="zh-CN"/>
        </w:rPr>
        <w:t>的踏脚石</w:t>
      </w:r>
      <w:r>
        <w:rPr>
          <w:rFonts w:eastAsiaTheme="minorEastAsia" w:hint="eastAsia"/>
          <w:snapToGrid w:val="0"/>
          <w:kern w:val="22"/>
          <w:lang w:eastAsia="zh-CN"/>
        </w:rPr>
        <w:t>，将采取协调一致</w:t>
      </w:r>
      <w:r>
        <w:rPr>
          <w:rFonts w:eastAsiaTheme="minorEastAsia"/>
          <w:snapToGrid w:val="0"/>
          <w:kern w:val="22"/>
          <w:lang w:eastAsia="zh-CN"/>
        </w:rPr>
        <w:t>、全面和创新</w:t>
      </w:r>
      <w:r>
        <w:rPr>
          <w:rFonts w:eastAsiaTheme="minorEastAsia" w:hint="eastAsia"/>
          <w:snapToGrid w:val="0"/>
          <w:kern w:val="22"/>
          <w:lang w:eastAsia="zh-CN"/>
        </w:rPr>
        <w:t>的</w:t>
      </w:r>
      <w:r>
        <w:rPr>
          <w:rFonts w:eastAsiaTheme="minorEastAsia"/>
          <w:snapToGrid w:val="0"/>
          <w:kern w:val="22"/>
          <w:lang w:eastAsia="zh-CN"/>
        </w:rPr>
        <w:t>传播战略支持这一使命</w:t>
      </w:r>
      <w:r w:rsidRPr="00A95ACD">
        <w:rPr>
          <w:rFonts w:eastAsiaTheme="minorEastAsia"/>
          <w:snapToGrid w:val="0"/>
          <w:kern w:val="22"/>
          <w:lang w:eastAsia="zh-CN"/>
        </w:rPr>
        <w:t>；</w:t>
      </w:r>
    </w:p>
    <w:p w:rsidR="00B41940" w:rsidRPr="00A95ACD" w:rsidRDefault="00B41940" w:rsidP="00615E7F">
      <w:pPr>
        <w:numPr>
          <w:ilvl w:val="0"/>
          <w:numId w:val="267"/>
        </w:numPr>
        <w:suppressLineNumbers/>
        <w:suppressAutoHyphens/>
        <w:topLinePunct/>
        <w:autoSpaceDE w:val="0"/>
        <w:autoSpaceDN w:val="0"/>
        <w:adjustRightInd w:val="0"/>
        <w:ind w:left="0" w:firstLine="720"/>
        <w:rPr>
          <w:rFonts w:eastAsiaTheme="minorEastAsia"/>
          <w:snapToGrid w:val="0"/>
          <w:kern w:val="22"/>
          <w:lang w:eastAsia="zh-CN"/>
        </w:rPr>
      </w:pPr>
      <w:r w:rsidRPr="00A01E80">
        <w:rPr>
          <w:rFonts w:ascii="KaiTi" w:eastAsia="KaiTi" w:hAnsi="KaiTi"/>
          <w:snapToGrid w:val="0"/>
          <w:kern w:val="22"/>
          <w:lang w:eastAsia="zh-CN"/>
        </w:rPr>
        <w:t>敦促</w:t>
      </w:r>
      <w:r w:rsidRPr="00A95ACD">
        <w:rPr>
          <w:rFonts w:eastAsiaTheme="minorEastAsia"/>
          <w:snapToGrid w:val="0"/>
          <w:kern w:val="22"/>
          <w:lang w:eastAsia="zh-CN"/>
        </w:rPr>
        <w:t>各缔约方并</w:t>
      </w:r>
      <w:r w:rsidRPr="006E7EC2">
        <w:rPr>
          <w:rFonts w:ascii="KaiTi" w:eastAsia="KaiTi" w:hAnsi="KaiTi"/>
          <w:snapToGrid w:val="0"/>
          <w:kern w:val="22"/>
          <w:lang w:eastAsia="zh-CN"/>
        </w:rPr>
        <w:t>邀请</w:t>
      </w:r>
      <w:r w:rsidRPr="00A95ACD">
        <w:rPr>
          <w:rFonts w:eastAsiaTheme="minorEastAsia"/>
          <w:snapToGrid w:val="0"/>
          <w:kern w:val="22"/>
          <w:lang w:eastAsia="zh-CN"/>
        </w:rPr>
        <w:t>其他国家政府、土著人民和地方社区、</w:t>
      </w:r>
      <w:r>
        <w:rPr>
          <w:rFonts w:eastAsiaTheme="minorEastAsia" w:hint="eastAsia"/>
          <w:snapToGrid w:val="0"/>
          <w:kern w:val="22"/>
          <w:lang w:eastAsia="zh-CN"/>
        </w:rPr>
        <w:t>联合国</w:t>
      </w:r>
      <w:r>
        <w:rPr>
          <w:rFonts w:eastAsiaTheme="minorEastAsia"/>
          <w:snapToGrid w:val="0"/>
          <w:kern w:val="22"/>
          <w:lang w:eastAsia="zh-CN"/>
        </w:rPr>
        <w:t>组织</w:t>
      </w:r>
      <w:r>
        <w:rPr>
          <w:rFonts w:eastAsiaTheme="minorEastAsia" w:hint="eastAsia"/>
          <w:snapToGrid w:val="0"/>
          <w:kern w:val="22"/>
          <w:lang w:eastAsia="zh-CN"/>
        </w:rPr>
        <w:t>和</w:t>
      </w:r>
      <w:r>
        <w:rPr>
          <w:rFonts w:eastAsiaTheme="minorEastAsia"/>
          <w:snapToGrid w:val="0"/>
          <w:kern w:val="22"/>
          <w:lang w:eastAsia="zh-CN"/>
        </w:rPr>
        <w:t>方案、其他多边环境协定</w:t>
      </w:r>
      <w:r>
        <w:rPr>
          <w:rFonts w:eastAsiaTheme="minorEastAsia" w:hint="eastAsia"/>
          <w:snapToGrid w:val="0"/>
          <w:kern w:val="22"/>
          <w:lang w:eastAsia="zh-CN"/>
        </w:rPr>
        <w:t>、</w:t>
      </w:r>
      <w:r>
        <w:rPr>
          <w:rFonts w:eastAsiaTheme="minorEastAsia"/>
          <w:snapToGrid w:val="0"/>
          <w:kern w:val="22"/>
          <w:lang w:eastAsia="zh-CN"/>
        </w:rPr>
        <w:t>国家以下级政府、</w:t>
      </w:r>
      <w:r>
        <w:rPr>
          <w:rFonts w:eastAsiaTheme="minorEastAsia" w:hint="eastAsia"/>
          <w:snapToGrid w:val="0"/>
          <w:kern w:val="22"/>
          <w:lang w:eastAsia="zh-CN"/>
        </w:rPr>
        <w:t>城市和</w:t>
      </w:r>
      <w:r>
        <w:rPr>
          <w:rFonts w:eastAsiaTheme="minorEastAsia"/>
          <w:snapToGrid w:val="0"/>
          <w:kern w:val="22"/>
          <w:lang w:eastAsia="zh-CN"/>
        </w:rPr>
        <w:t>其他地方当局、政府间组织、非政府组织、妇女团体</w:t>
      </w:r>
      <w:r>
        <w:rPr>
          <w:rFonts w:eastAsiaTheme="minorEastAsia" w:hint="eastAsia"/>
          <w:snapToGrid w:val="0"/>
          <w:kern w:val="22"/>
          <w:lang w:eastAsia="zh-CN"/>
        </w:rPr>
        <w:t>、</w:t>
      </w:r>
      <w:r>
        <w:rPr>
          <w:rFonts w:eastAsiaTheme="minorEastAsia"/>
          <w:snapToGrid w:val="0"/>
          <w:kern w:val="22"/>
          <w:lang w:eastAsia="zh-CN"/>
        </w:rPr>
        <w:t>青年团体、企业和金融界、科学界、学术界</w:t>
      </w:r>
      <w:r w:rsidRPr="00A95ACD">
        <w:rPr>
          <w:rFonts w:eastAsiaTheme="minorEastAsia"/>
          <w:snapToGrid w:val="0"/>
          <w:kern w:val="22"/>
          <w:lang w:eastAsia="zh-CN"/>
        </w:rPr>
        <w:t>、</w:t>
      </w:r>
      <w:r>
        <w:rPr>
          <w:rFonts w:eastAsiaTheme="minorEastAsia" w:hint="eastAsia"/>
          <w:snapToGrid w:val="0"/>
          <w:kern w:val="22"/>
          <w:lang w:eastAsia="zh-CN"/>
        </w:rPr>
        <w:t>信仰组织</w:t>
      </w:r>
      <w:r>
        <w:rPr>
          <w:rFonts w:eastAsiaTheme="minorEastAsia"/>
          <w:snapToGrid w:val="0"/>
          <w:kern w:val="22"/>
          <w:lang w:eastAsia="zh-CN"/>
        </w:rPr>
        <w:t>、</w:t>
      </w:r>
      <w:r>
        <w:rPr>
          <w:rFonts w:eastAsiaTheme="minorEastAsia" w:hint="eastAsia"/>
          <w:snapToGrid w:val="0"/>
          <w:kern w:val="22"/>
          <w:lang w:eastAsia="zh-CN"/>
        </w:rPr>
        <w:t>与</w:t>
      </w:r>
      <w:r>
        <w:rPr>
          <w:rFonts w:eastAsiaTheme="minorEastAsia"/>
          <w:snapToGrid w:val="0"/>
          <w:kern w:val="22"/>
          <w:lang w:eastAsia="zh-CN"/>
        </w:rPr>
        <w:t>生物多样性相关或依赖生物多样性的部门代表、</w:t>
      </w:r>
      <w:r>
        <w:rPr>
          <w:rFonts w:eastAsiaTheme="minorEastAsia" w:hint="eastAsia"/>
          <w:snapToGrid w:val="0"/>
          <w:kern w:val="22"/>
          <w:lang w:eastAsia="zh-CN"/>
        </w:rPr>
        <w:t>广大公民</w:t>
      </w:r>
      <w:r>
        <w:rPr>
          <w:rFonts w:eastAsiaTheme="minorEastAsia"/>
          <w:snapToGrid w:val="0"/>
          <w:kern w:val="22"/>
          <w:lang w:eastAsia="zh-CN"/>
        </w:rPr>
        <w:t>和其他利益攸关方</w:t>
      </w:r>
      <w:r w:rsidRPr="00A95ACD">
        <w:rPr>
          <w:rFonts w:eastAsiaTheme="minorEastAsia"/>
          <w:snapToGrid w:val="0"/>
          <w:kern w:val="22"/>
          <w:lang w:eastAsia="zh-CN"/>
        </w:rPr>
        <w:t>积极参与和促成制定稳健的</w:t>
      </w:r>
      <w:r w:rsidRPr="00A95ACD">
        <w:rPr>
          <w:rFonts w:eastAsiaTheme="minorEastAsia"/>
          <w:snapToGrid w:val="0"/>
          <w:kern w:val="22"/>
          <w:lang w:eastAsia="zh-CN"/>
        </w:rPr>
        <w:t>2020</w:t>
      </w:r>
      <w:r w:rsidRPr="00A95ACD">
        <w:rPr>
          <w:rFonts w:eastAsiaTheme="minorEastAsia"/>
          <w:snapToGrid w:val="0"/>
          <w:kern w:val="22"/>
          <w:lang w:eastAsia="zh-CN"/>
        </w:rPr>
        <w:t>年后全球生物多样性框架的进程，以期</w:t>
      </w:r>
      <w:r>
        <w:rPr>
          <w:rFonts w:eastAsiaTheme="minorEastAsia" w:hint="eastAsia"/>
          <w:snapToGrid w:val="0"/>
          <w:kern w:val="22"/>
          <w:lang w:eastAsia="zh-CN"/>
        </w:rPr>
        <w:t>树立对</w:t>
      </w:r>
      <w:r>
        <w:rPr>
          <w:rFonts w:eastAsiaTheme="minorEastAsia"/>
          <w:snapToGrid w:val="0"/>
          <w:kern w:val="22"/>
          <w:lang w:eastAsia="zh-CN"/>
        </w:rPr>
        <w:t>将要商定</w:t>
      </w:r>
      <w:r w:rsidRPr="00A95ACD">
        <w:rPr>
          <w:rFonts w:eastAsiaTheme="minorEastAsia"/>
          <w:snapToGrid w:val="0"/>
          <w:kern w:val="22"/>
          <w:lang w:eastAsia="zh-CN"/>
        </w:rPr>
        <w:t>的框架</w:t>
      </w:r>
      <w:r>
        <w:rPr>
          <w:rFonts w:eastAsiaTheme="minorEastAsia" w:hint="eastAsia"/>
          <w:snapToGrid w:val="0"/>
          <w:kern w:val="22"/>
          <w:lang w:eastAsia="zh-CN"/>
        </w:rPr>
        <w:t>的</w:t>
      </w:r>
      <w:r w:rsidRPr="00A95ACD">
        <w:rPr>
          <w:rFonts w:eastAsiaTheme="minorEastAsia"/>
          <w:snapToGrid w:val="0"/>
          <w:kern w:val="22"/>
          <w:lang w:eastAsia="zh-CN"/>
        </w:rPr>
        <w:t>强烈拥有感</w:t>
      </w:r>
      <w:r>
        <w:rPr>
          <w:rFonts w:eastAsiaTheme="minorEastAsia" w:hint="eastAsia"/>
          <w:snapToGrid w:val="0"/>
          <w:kern w:val="22"/>
          <w:lang w:eastAsia="zh-CN"/>
        </w:rPr>
        <w:t>和</w:t>
      </w:r>
      <w:r w:rsidRPr="00A95ACD">
        <w:rPr>
          <w:rFonts w:eastAsiaTheme="minorEastAsia"/>
          <w:snapToGrid w:val="0"/>
          <w:kern w:val="22"/>
          <w:lang w:eastAsia="zh-CN"/>
        </w:rPr>
        <w:t>有力</w:t>
      </w:r>
      <w:r>
        <w:rPr>
          <w:rFonts w:eastAsiaTheme="minorEastAsia" w:hint="eastAsia"/>
          <w:snapToGrid w:val="0"/>
          <w:kern w:val="22"/>
          <w:lang w:eastAsia="zh-CN"/>
        </w:rPr>
        <w:t>地</w:t>
      </w:r>
      <w:r w:rsidRPr="00A95ACD">
        <w:rPr>
          <w:rFonts w:eastAsiaTheme="minorEastAsia"/>
          <w:snapToGrid w:val="0"/>
          <w:kern w:val="22"/>
          <w:lang w:eastAsia="zh-CN"/>
        </w:rPr>
        <w:t>支持</w:t>
      </w:r>
      <w:r>
        <w:rPr>
          <w:rFonts w:eastAsiaTheme="minorEastAsia" w:hint="eastAsia"/>
          <w:snapToGrid w:val="0"/>
          <w:kern w:val="22"/>
          <w:lang w:eastAsia="zh-CN"/>
        </w:rPr>
        <w:t>该</w:t>
      </w:r>
      <w:r>
        <w:rPr>
          <w:rFonts w:eastAsiaTheme="minorEastAsia"/>
          <w:snapToGrid w:val="0"/>
          <w:kern w:val="22"/>
          <w:lang w:eastAsia="zh-CN"/>
        </w:rPr>
        <w:t>框架的</w:t>
      </w:r>
      <w:r>
        <w:rPr>
          <w:rFonts w:eastAsiaTheme="minorEastAsia" w:hint="eastAsia"/>
          <w:snapToGrid w:val="0"/>
          <w:kern w:val="22"/>
          <w:lang w:eastAsia="zh-CN"/>
        </w:rPr>
        <w:t>立即</w:t>
      </w:r>
      <w:r>
        <w:rPr>
          <w:rFonts w:eastAsiaTheme="minorEastAsia"/>
          <w:snapToGrid w:val="0"/>
          <w:kern w:val="22"/>
          <w:lang w:eastAsia="zh-CN"/>
        </w:rPr>
        <w:t>实施</w:t>
      </w:r>
      <w:r w:rsidRPr="00A95ACD">
        <w:rPr>
          <w:rFonts w:eastAsiaTheme="minorEastAsia"/>
          <w:snapToGrid w:val="0"/>
          <w:kern w:val="22"/>
          <w:lang w:eastAsia="zh-CN"/>
        </w:rPr>
        <w:t>；</w:t>
      </w:r>
    </w:p>
    <w:p w:rsidR="00B41940" w:rsidRPr="00A95ACD" w:rsidRDefault="00B41940" w:rsidP="00615E7F">
      <w:pPr>
        <w:numPr>
          <w:ilvl w:val="0"/>
          <w:numId w:val="267"/>
        </w:numPr>
        <w:suppressLineNumbers/>
        <w:suppressAutoHyphens/>
        <w:topLinePunct/>
        <w:autoSpaceDE w:val="0"/>
        <w:autoSpaceDN w:val="0"/>
        <w:adjustRightInd w:val="0"/>
        <w:ind w:left="0" w:firstLine="720"/>
        <w:rPr>
          <w:rFonts w:eastAsiaTheme="minorEastAsia"/>
          <w:iCs/>
          <w:snapToGrid w:val="0"/>
          <w:kern w:val="22"/>
          <w:lang w:eastAsia="zh-CN"/>
        </w:rPr>
      </w:pPr>
      <w:r w:rsidRPr="00A01E80">
        <w:rPr>
          <w:rFonts w:ascii="KaiTi" w:eastAsia="KaiTi" w:hAnsi="KaiTi"/>
          <w:snapToGrid w:val="0"/>
          <w:kern w:val="22"/>
          <w:lang w:eastAsia="zh-CN"/>
        </w:rPr>
        <w:t>又敦促</w:t>
      </w:r>
      <w:r w:rsidRPr="00A95ACD">
        <w:rPr>
          <w:rFonts w:eastAsiaTheme="minorEastAsia"/>
          <w:snapToGrid w:val="0"/>
          <w:kern w:val="22"/>
          <w:lang w:eastAsia="zh-CN"/>
        </w:rPr>
        <w:t>各缔约方并</w:t>
      </w:r>
      <w:r w:rsidRPr="00DF2F97">
        <w:rPr>
          <w:rFonts w:ascii="KaiTi" w:eastAsia="KaiTi" w:hAnsi="KaiTi"/>
          <w:snapToGrid w:val="0"/>
          <w:kern w:val="22"/>
          <w:lang w:eastAsia="zh-CN"/>
        </w:rPr>
        <w:t>邀请</w:t>
      </w:r>
      <w:r w:rsidRPr="00A95ACD">
        <w:rPr>
          <w:rFonts w:eastAsiaTheme="minorEastAsia"/>
          <w:snapToGrid w:val="0"/>
          <w:kern w:val="22"/>
          <w:lang w:eastAsia="zh-CN"/>
        </w:rPr>
        <w:t>其他国家政府、土著人民和地方社区、</w:t>
      </w:r>
      <w:r>
        <w:rPr>
          <w:rFonts w:eastAsiaTheme="minorEastAsia" w:hint="eastAsia"/>
          <w:snapToGrid w:val="0"/>
          <w:kern w:val="22"/>
          <w:lang w:eastAsia="zh-CN"/>
        </w:rPr>
        <w:t>联合国</w:t>
      </w:r>
      <w:r>
        <w:rPr>
          <w:rFonts w:eastAsiaTheme="minorEastAsia"/>
          <w:snapToGrid w:val="0"/>
          <w:kern w:val="22"/>
          <w:lang w:eastAsia="zh-CN"/>
        </w:rPr>
        <w:t>组织</w:t>
      </w:r>
      <w:r>
        <w:rPr>
          <w:rFonts w:eastAsiaTheme="minorEastAsia" w:hint="eastAsia"/>
          <w:snapToGrid w:val="0"/>
          <w:kern w:val="22"/>
          <w:lang w:eastAsia="zh-CN"/>
        </w:rPr>
        <w:t>和</w:t>
      </w:r>
      <w:r>
        <w:rPr>
          <w:rFonts w:eastAsiaTheme="minorEastAsia"/>
          <w:snapToGrid w:val="0"/>
          <w:kern w:val="22"/>
          <w:lang w:eastAsia="zh-CN"/>
        </w:rPr>
        <w:t>方案、其他多边环境协定</w:t>
      </w:r>
      <w:r>
        <w:rPr>
          <w:rFonts w:eastAsiaTheme="minorEastAsia" w:hint="eastAsia"/>
          <w:snapToGrid w:val="0"/>
          <w:kern w:val="22"/>
          <w:lang w:eastAsia="zh-CN"/>
        </w:rPr>
        <w:t>、</w:t>
      </w:r>
      <w:r>
        <w:rPr>
          <w:rFonts w:eastAsiaTheme="minorEastAsia"/>
          <w:snapToGrid w:val="0"/>
          <w:kern w:val="22"/>
          <w:lang w:eastAsia="zh-CN"/>
        </w:rPr>
        <w:t>国家以下级政府、</w:t>
      </w:r>
      <w:r>
        <w:rPr>
          <w:rFonts w:eastAsiaTheme="minorEastAsia" w:hint="eastAsia"/>
          <w:snapToGrid w:val="0"/>
          <w:kern w:val="22"/>
          <w:lang w:eastAsia="zh-CN"/>
        </w:rPr>
        <w:t>城市和</w:t>
      </w:r>
      <w:r>
        <w:rPr>
          <w:rFonts w:eastAsiaTheme="minorEastAsia"/>
          <w:snapToGrid w:val="0"/>
          <w:kern w:val="22"/>
          <w:lang w:eastAsia="zh-CN"/>
        </w:rPr>
        <w:t>其他地方当局、政府间组织、非政府组织、妇女团体</w:t>
      </w:r>
      <w:r>
        <w:rPr>
          <w:rFonts w:eastAsiaTheme="minorEastAsia" w:hint="eastAsia"/>
          <w:snapToGrid w:val="0"/>
          <w:kern w:val="22"/>
          <w:lang w:eastAsia="zh-CN"/>
        </w:rPr>
        <w:t>、</w:t>
      </w:r>
      <w:r>
        <w:rPr>
          <w:rFonts w:eastAsiaTheme="minorEastAsia"/>
          <w:snapToGrid w:val="0"/>
          <w:kern w:val="22"/>
          <w:lang w:eastAsia="zh-CN"/>
        </w:rPr>
        <w:t>青年团体、企业和金融界、科学界、学术界</w:t>
      </w:r>
      <w:r w:rsidRPr="00A95ACD">
        <w:rPr>
          <w:rFonts w:eastAsiaTheme="minorEastAsia"/>
          <w:snapToGrid w:val="0"/>
          <w:kern w:val="22"/>
          <w:lang w:eastAsia="zh-CN"/>
        </w:rPr>
        <w:t>、</w:t>
      </w:r>
      <w:r>
        <w:rPr>
          <w:rFonts w:eastAsiaTheme="minorEastAsia" w:hint="eastAsia"/>
          <w:snapToGrid w:val="0"/>
          <w:kern w:val="22"/>
          <w:lang w:eastAsia="zh-CN"/>
        </w:rPr>
        <w:t>信仰组织</w:t>
      </w:r>
      <w:r>
        <w:rPr>
          <w:rFonts w:eastAsiaTheme="minorEastAsia"/>
          <w:snapToGrid w:val="0"/>
          <w:kern w:val="22"/>
          <w:lang w:eastAsia="zh-CN"/>
        </w:rPr>
        <w:t>、</w:t>
      </w:r>
      <w:r>
        <w:rPr>
          <w:rFonts w:eastAsiaTheme="minorEastAsia" w:hint="eastAsia"/>
          <w:snapToGrid w:val="0"/>
          <w:kern w:val="22"/>
          <w:lang w:eastAsia="zh-CN"/>
        </w:rPr>
        <w:t>与</w:t>
      </w:r>
      <w:r>
        <w:rPr>
          <w:rFonts w:eastAsiaTheme="minorEastAsia"/>
          <w:snapToGrid w:val="0"/>
          <w:kern w:val="22"/>
          <w:lang w:eastAsia="zh-CN"/>
        </w:rPr>
        <w:t>生物多样性相关或依赖生物多样性的部门代表、</w:t>
      </w:r>
      <w:r>
        <w:rPr>
          <w:rFonts w:eastAsiaTheme="minorEastAsia" w:hint="eastAsia"/>
          <w:snapToGrid w:val="0"/>
          <w:kern w:val="22"/>
          <w:lang w:eastAsia="zh-CN"/>
        </w:rPr>
        <w:t>广大公民</w:t>
      </w:r>
      <w:r>
        <w:rPr>
          <w:rFonts w:eastAsiaTheme="minorEastAsia"/>
          <w:snapToGrid w:val="0"/>
          <w:kern w:val="22"/>
          <w:lang w:eastAsia="zh-CN"/>
        </w:rPr>
        <w:t>和其他利益攸关方</w:t>
      </w:r>
      <w:r w:rsidRPr="00A95ACD">
        <w:rPr>
          <w:rFonts w:eastAsiaTheme="minorEastAsia"/>
          <w:snapToGrid w:val="0"/>
          <w:kern w:val="22"/>
          <w:lang w:eastAsia="zh-CN"/>
        </w:rPr>
        <w:t>，促进关于</w:t>
      </w:r>
      <w:r w:rsidRPr="00A95ACD">
        <w:rPr>
          <w:rFonts w:eastAsiaTheme="minorEastAsia"/>
          <w:snapToGrid w:val="0"/>
          <w:kern w:val="22"/>
          <w:lang w:eastAsia="zh-CN"/>
        </w:rPr>
        <w:t>2020</w:t>
      </w:r>
      <w:r w:rsidRPr="00A95ACD">
        <w:rPr>
          <w:rFonts w:eastAsiaTheme="minorEastAsia"/>
          <w:snapToGrid w:val="0"/>
          <w:kern w:val="22"/>
          <w:lang w:eastAsia="zh-CN"/>
        </w:rPr>
        <w:t>年后全球生物多样性框架的对话，并通过《公约》的信息交换所机制和其他适当方式发布这些对话的结果；</w:t>
      </w:r>
    </w:p>
    <w:p w:rsidR="00B41940" w:rsidRPr="00A95ACD" w:rsidRDefault="00B41940" w:rsidP="00615E7F">
      <w:pPr>
        <w:numPr>
          <w:ilvl w:val="0"/>
          <w:numId w:val="267"/>
        </w:numPr>
        <w:suppressLineNumbers/>
        <w:suppressAutoHyphens/>
        <w:topLinePunct/>
        <w:autoSpaceDE w:val="0"/>
        <w:autoSpaceDN w:val="0"/>
        <w:adjustRightInd w:val="0"/>
        <w:ind w:left="0" w:firstLine="720"/>
        <w:rPr>
          <w:rFonts w:eastAsiaTheme="minorEastAsia"/>
          <w:iCs/>
          <w:snapToGrid w:val="0"/>
          <w:kern w:val="22"/>
          <w:lang w:eastAsia="zh-CN"/>
        </w:rPr>
      </w:pPr>
      <w:r w:rsidRPr="00A01E80">
        <w:rPr>
          <w:rFonts w:ascii="KaiTi" w:eastAsia="KaiTi" w:hAnsi="KaiTi"/>
          <w:snapToGrid w:val="0"/>
          <w:kern w:val="22"/>
          <w:lang w:eastAsia="zh-CN"/>
        </w:rPr>
        <w:t>欢迎</w:t>
      </w:r>
      <w:r w:rsidRPr="00A95ACD">
        <w:rPr>
          <w:rFonts w:eastAsiaTheme="minorEastAsia"/>
          <w:iCs/>
          <w:snapToGrid w:val="0"/>
          <w:kern w:val="22"/>
          <w:lang w:eastAsia="zh-CN"/>
        </w:rPr>
        <w:t>就如何为制定</w:t>
      </w:r>
      <w:r w:rsidRPr="00A95ACD">
        <w:rPr>
          <w:rFonts w:eastAsiaTheme="minorEastAsia"/>
          <w:iCs/>
          <w:snapToGrid w:val="0"/>
          <w:kern w:val="22"/>
          <w:lang w:eastAsia="zh-CN"/>
        </w:rPr>
        <w:t>2020</w:t>
      </w:r>
      <w:r w:rsidRPr="00A95ACD">
        <w:rPr>
          <w:rFonts w:eastAsiaTheme="minorEastAsia"/>
          <w:iCs/>
          <w:snapToGrid w:val="0"/>
          <w:kern w:val="22"/>
          <w:lang w:eastAsia="zh-CN"/>
        </w:rPr>
        <w:t>年后全球生物多样性框架</w:t>
      </w:r>
      <w:r w:rsidRPr="00B56F14">
        <w:rPr>
          <w:rStyle w:val="FootnoteReference"/>
          <w:rFonts w:eastAsiaTheme="minorEastAsia"/>
          <w:iCs/>
          <w:snapToGrid w:val="0"/>
          <w:kern w:val="22"/>
          <w:vertAlign w:val="superscript"/>
        </w:rPr>
        <w:footnoteReference w:id="304"/>
      </w:r>
      <w:r>
        <w:rPr>
          <w:rFonts w:eastAsiaTheme="minorEastAsia" w:hint="eastAsia"/>
          <w:iCs/>
          <w:snapToGrid w:val="0"/>
          <w:kern w:val="22"/>
          <w:lang w:eastAsia="zh-CN"/>
        </w:rPr>
        <w:t xml:space="preserve"> </w:t>
      </w:r>
      <w:r w:rsidRPr="00A95ACD">
        <w:rPr>
          <w:rFonts w:eastAsiaTheme="minorEastAsia"/>
          <w:iCs/>
          <w:snapToGrid w:val="0"/>
          <w:kern w:val="22"/>
          <w:lang w:eastAsia="zh-CN"/>
        </w:rPr>
        <w:t>开启一个促进性别平等</w:t>
      </w:r>
      <w:r>
        <w:rPr>
          <w:rFonts w:eastAsiaTheme="minorEastAsia" w:hint="eastAsia"/>
          <w:iCs/>
          <w:snapToGrid w:val="0"/>
          <w:kern w:val="22"/>
          <w:lang w:eastAsia="zh-CN"/>
        </w:rPr>
        <w:t>和</w:t>
      </w:r>
      <w:r>
        <w:rPr>
          <w:rFonts w:eastAsiaTheme="minorEastAsia"/>
          <w:iCs/>
          <w:snapToGrid w:val="0"/>
          <w:kern w:val="22"/>
          <w:lang w:eastAsia="zh-CN"/>
        </w:rPr>
        <w:t>均衡</w:t>
      </w:r>
      <w:r w:rsidRPr="00A95ACD">
        <w:rPr>
          <w:rFonts w:eastAsiaTheme="minorEastAsia"/>
          <w:iCs/>
          <w:snapToGrid w:val="0"/>
          <w:kern w:val="22"/>
          <w:lang w:eastAsia="zh-CN"/>
        </w:rPr>
        <w:t>的进程，向各缔约方、秘书处和其他相关组织提供</w:t>
      </w:r>
      <w:bookmarkStart w:id="234" w:name="_Hlk519126675"/>
      <w:r w:rsidRPr="00A95ACD">
        <w:rPr>
          <w:rFonts w:eastAsiaTheme="minorEastAsia"/>
          <w:iCs/>
          <w:snapToGrid w:val="0"/>
          <w:kern w:val="22"/>
          <w:lang w:eastAsia="zh-CN"/>
        </w:rPr>
        <w:t>咨询意见</w:t>
      </w:r>
      <w:bookmarkEnd w:id="234"/>
      <w:r w:rsidRPr="00A95ACD">
        <w:rPr>
          <w:rFonts w:eastAsiaTheme="minorEastAsia"/>
          <w:iCs/>
          <w:snapToGrid w:val="0"/>
          <w:kern w:val="22"/>
          <w:lang w:eastAsia="zh-CN"/>
        </w:rPr>
        <w:t>，并</w:t>
      </w:r>
      <w:r w:rsidRPr="00525275">
        <w:rPr>
          <w:rFonts w:ascii="KaiTi" w:eastAsia="KaiTi" w:hAnsi="KaiTi"/>
          <w:snapToGrid w:val="0"/>
          <w:kern w:val="22"/>
          <w:lang w:eastAsia="zh-CN"/>
        </w:rPr>
        <w:t>敦促</w:t>
      </w:r>
      <w:r w:rsidRPr="00A95ACD">
        <w:rPr>
          <w:rFonts w:eastAsiaTheme="minorEastAsia"/>
          <w:iCs/>
          <w:snapToGrid w:val="0"/>
          <w:kern w:val="22"/>
          <w:lang w:eastAsia="zh-CN"/>
        </w:rPr>
        <w:t>各缔约方、秘书处和其他</w:t>
      </w:r>
      <w:r>
        <w:rPr>
          <w:rFonts w:eastAsiaTheme="minorEastAsia" w:hint="eastAsia"/>
          <w:iCs/>
          <w:snapToGrid w:val="0"/>
          <w:kern w:val="22"/>
          <w:lang w:eastAsia="zh-CN"/>
        </w:rPr>
        <w:t>相关</w:t>
      </w:r>
      <w:r w:rsidRPr="00A95ACD">
        <w:rPr>
          <w:rFonts w:eastAsiaTheme="minorEastAsia"/>
          <w:iCs/>
          <w:snapToGrid w:val="0"/>
          <w:kern w:val="22"/>
          <w:lang w:eastAsia="zh-CN"/>
        </w:rPr>
        <w:t>组织在其</w:t>
      </w:r>
      <w:r w:rsidRPr="00A95ACD">
        <w:rPr>
          <w:rFonts w:eastAsiaTheme="minorEastAsia"/>
          <w:iCs/>
          <w:snapToGrid w:val="0"/>
          <w:kern w:val="22"/>
          <w:lang w:eastAsia="zh-CN"/>
        </w:rPr>
        <w:t>2020</w:t>
      </w:r>
      <w:r w:rsidRPr="00A95ACD">
        <w:rPr>
          <w:rFonts w:eastAsiaTheme="minorEastAsia"/>
          <w:iCs/>
          <w:snapToGrid w:val="0"/>
          <w:kern w:val="22"/>
          <w:lang w:eastAsia="zh-CN"/>
        </w:rPr>
        <w:t>年后全球生物多样性框架进程中考虑这种咨询意见；</w:t>
      </w:r>
    </w:p>
    <w:p w:rsidR="00B41940" w:rsidRPr="00A95ACD" w:rsidRDefault="00B41940" w:rsidP="00615E7F">
      <w:pPr>
        <w:numPr>
          <w:ilvl w:val="0"/>
          <w:numId w:val="267"/>
        </w:numPr>
        <w:suppressLineNumbers/>
        <w:suppressAutoHyphens/>
        <w:topLinePunct/>
        <w:autoSpaceDE w:val="0"/>
        <w:autoSpaceDN w:val="0"/>
        <w:adjustRightInd w:val="0"/>
        <w:ind w:left="0" w:firstLine="720"/>
        <w:rPr>
          <w:rFonts w:eastAsiaTheme="minorEastAsia"/>
          <w:snapToGrid w:val="0"/>
          <w:kern w:val="22"/>
          <w:lang w:eastAsia="zh-CN"/>
        </w:rPr>
      </w:pPr>
      <w:r w:rsidRPr="00A01E80">
        <w:rPr>
          <w:rFonts w:ascii="KaiTi" w:eastAsia="KaiTi" w:hAnsi="KaiTi"/>
          <w:snapToGrid w:val="0"/>
          <w:kern w:val="22"/>
          <w:lang w:eastAsia="zh-CN"/>
        </w:rPr>
        <w:t>邀请</w:t>
      </w:r>
      <w:r w:rsidRPr="00A95ACD">
        <w:rPr>
          <w:rFonts w:eastAsiaTheme="minorEastAsia"/>
          <w:snapToGrid w:val="0"/>
          <w:kern w:val="22"/>
          <w:lang w:eastAsia="zh-CN"/>
        </w:rPr>
        <w:t>各缔约方、</w:t>
      </w:r>
      <w:r>
        <w:rPr>
          <w:rFonts w:eastAsiaTheme="minorEastAsia"/>
          <w:snapToGrid w:val="0"/>
          <w:kern w:val="22"/>
          <w:lang w:eastAsia="zh-CN"/>
        </w:rPr>
        <w:t>其他国家政府</w:t>
      </w:r>
      <w:r w:rsidRPr="00A95ACD">
        <w:rPr>
          <w:rFonts w:eastAsiaTheme="minorEastAsia"/>
          <w:snapToGrid w:val="0"/>
          <w:kern w:val="22"/>
          <w:lang w:eastAsia="zh-CN"/>
        </w:rPr>
        <w:t>、所有相关组织和有关利益攸关方，包括私营部门</w:t>
      </w:r>
      <w:r>
        <w:rPr>
          <w:rFonts w:eastAsiaTheme="minorEastAsia" w:hint="eastAsia"/>
          <w:snapToGrid w:val="0"/>
          <w:kern w:val="22"/>
          <w:lang w:eastAsia="zh-CN"/>
        </w:rPr>
        <w:t>、</w:t>
      </w:r>
      <w:r>
        <w:rPr>
          <w:rFonts w:eastAsiaTheme="minorEastAsia"/>
          <w:snapToGrid w:val="0"/>
          <w:kern w:val="22"/>
          <w:lang w:eastAsia="zh-CN"/>
        </w:rPr>
        <w:t>土著人民和地方社区、妇女</w:t>
      </w:r>
      <w:r w:rsidRPr="00A95ACD">
        <w:rPr>
          <w:rFonts w:eastAsiaTheme="minorEastAsia"/>
          <w:snapToGrid w:val="0"/>
          <w:kern w:val="22"/>
          <w:lang w:eastAsia="zh-CN"/>
        </w:rPr>
        <w:t>和青年，在组织与生物多样性</w:t>
      </w:r>
      <w:r>
        <w:rPr>
          <w:rFonts w:eastAsiaTheme="minorEastAsia" w:hint="eastAsia"/>
          <w:snapToGrid w:val="0"/>
          <w:kern w:val="22"/>
          <w:lang w:eastAsia="zh-CN"/>
        </w:rPr>
        <w:t>和</w:t>
      </w:r>
      <w:r>
        <w:rPr>
          <w:rFonts w:eastAsiaTheme="minorEastAsia"/>
          <w:snapToGrid w:val="0"/>
          <w:kern w:val="22"/>
          <w:lang w:eastAsia="zh-CN"/>
        </w:rPr>
        <w:t>生态系统</w:t>
      </w:r>
      <w:r>
        <w:rPr>
          <w:rFonts w:eastAsiaTheme="minorEastAsia" w:hint="eastAsia"/>
          <w:snapToGrid w:val="0"/>
          <w:kern w:val="22"/>
          <w:lang w:eastAsia="zh-CN"/>
        </w:rPr>
        <w:t>功能和</w:t>
      </w:r>
      <w:r>
        <w:rPr>
          <w:rFonts w:eastAsiaTheme="minorEastAsia"/>
          <w:snapToGrid w:val="0"/>
          <w:kern w:val="22"/>
          <w:lang w:eastAsia="zh-CN"/>
        </w:rPr>
        <w:t>服务相关</w:t>
      </w:r>
      <w:r w:rsidRPr="00A95ACD">
        <w:rPr>
          <w:rFonts w:eastAsiaTheme="minorEastAsia"/>
          <w:snapToGrid w:val="0"/>
          <w:kern w:val="22"/>
          <w:lang w:eastAsia="zh-CN"/>
        </w:rPr>
        <w:t>的会议和协商时，考虑召开专门会议或开辟空间，为讨论制定</w:t>
      </w:r>
      <w:r w:rsidRPr="00A95ACD">
        <w:rPr>
          <w:rFonts w:eastAsiaTheme="minorEastAsia"/>
          <w:snapToGrid w:val="0"/>
          <w:kern w:val="22"/>
          <w:lang w:eastAsia="zh-CN"/>
        </w:rPr>
        <w:t>2020</w:t>
      </w:r>
      <w:r w:rsidRPr="00A95ACD">
        <w:rPr>
          <w:rFonts w:eastAsiaTheme="minorEastAsia"/>
          <w:snapToGrid w:val="0"/>
          <w:kern w:val="22"/>
          <w:lang w:eastAsia="zh-CN"/>
        </w:rPr>
        <w:t>年后全球生物多样性框架提供便利；</w:t>
      </w:r>
    </w:p>
    <w:p w:rsidR="00B41940" w:rsidRPr="00D60F0A" w:rsidRDefault="00B41940" w:rsidP="00615E7F">
      <w:pPr>
        <w:numPr>
          <w:ilvl w:val="0"/>
          <w:numId w:val="267"/>
        </w:numPr>
        <w:suppressLineNumbers/>
        <w:suppressAutoHyphens/>
        <w:topLinePunct/>
        <w:autoSpaceDE w:val="0"/>
        <w:autoSpaceDN w:val="0"/>
        <w:adjustRightInd w:val="0"/>
        <w:ind w:left="0" w:firstLine="720"/>
        <w:rPr>
          <w:rFonts w:eastAsiaTheme="minorEastAsia"/>
          <w:snapToGrid w:val="0"/>
          <w:kern w:val="22"/>
          <w:lang w:eastAsia="zh-CN"/>
        </w:rPr>
      </w:pPr>
      <w:r w:rsidRPr="00D60F0A">
        <w:rPr>
          <w:rFonts w:ascii="KaiTi" w:eastAsia="KaiTi" w:hAnsi="KaiTi" w:hint="eastAsia"/>
          <w:snapToGrid w:val="0"/>
          <w:kern w:val="22"/>
          <w:lang w:eastAsia="zh-CN"/>
        </w:rPr>
        <w:lastRenderedPageBreak/>
        <w:t>敦促</w:t>
      </w:r>
      <w:r w:rsidRPr="00D60F0A">
        <w:rPr>
          <w:rFonts w:eastAsiaTheme="minorEastAsia" w:hint="eastAsia"/>
          <w:snapToGrid w:val="0"/>
          <w:kern w:val="22"/>
          <w:lang w:eastAsia="zh-CN"/>
        </w:rPr>
        <w:t>各</w:t>
      </w:r>
      <w:r w:rsidRPr="00D60F0A">
        <w:rPr>
          <w:rFonts w:eastAsiaTheme="minorEastAsia"/>
          <w:snapToGrid w:val="0"/>
          <w:kern w:val="22"/>
          <w:lang w:eastAsia="zh-CN"/>
        </w:rPr>
        <w:t>缔约方</w:t>
      </w:r>
      <w:r w:rsidRPr="00D60F0A">
        <w:rPr>
          <w:rFonts w:eastAsiaTheme="minorEastAsia" w:hint="eastAsia"/>
          <w:snapToGrid w:val="0"/>
          <w:kern w:val="22"/>
          <w:lang w:eastAsia="zh-CN"/>
        </w:rPr>
        <w:t>根据</w:t>
      </w:r>
      <w:r w:rsidRPr="00D60F0A">
        <w:rPr>
          <w:rFonts w:eastAsiaTheme="minorEastAsia"/>
          <w:snapToGrid w:val="0"/>
          <w:kern w:val="22"/>
          <w:lang w:eastAsia="zh-CN"/>
        </w:rPr>
        <w:t>其能力，</w:t>
      </w:r>
      <w:r w:rsidRPr="00D60F0A">
        <w:rPr>
          <w:rFonts w:eastAsiaTheme="minorEastAsia" w:hint="eastAsia"/>
          <w:snapToGrid w:val="0"/>
          <w:kern w:val="22"/>
          <w:lang w:eastAsia="zh-CN"/>
        </w:rPr>
        <w:t>同时</w:t>
      </w:r>
      <w:r w:rsidRPr="00D60F0A">
        <w:rPr>
          <w:rFonts w:ascii="KaiTi" w:eastAsia="KaiTi" w:hAnsi="KaiTi"/>
          <w:snapToGrid w:val="0"/>
          <w:kern w:val="22"/>
          <w:lang w:eastAsia="zh-CN"/>
        </w:rPr>
        <w:t>鼓励</w:t>
      </w:r>
      <w:r w:rsidRPr="00D60F0A">
        <w:rPr>
          <w:rFonts w:eastAsiaTheme="minorEastAsia"/>
          <w:snapToGrid w:val="0"/>
          <w:kern w:val="22"/>
          <w:lang w:eastAsia="zh-CN"/>
        </w:rPr>
        <w:t>其他国家政府</w:t>
      </w:r>
      <w:r w:rsidRPr="00D60F0A">
        <w:rPr>
          <w:rFonts w:eastAsiaTheme="minorEastAsia" w:hint="eastAsia"/>
          <w:snapToGrid w:val="0"/>
          <w:kern w:val="22"/>
          <w:lang w:eastAsia="zh-CN"/>
        </w:rPr>
        <w:t>和</w:t>
      </w:r>
      <w:r w:rsidRPr="00D60F0A">
        <w:rPr>
          <w:rFonts w:eastAsiaTheme="minorEastAsia"/>
          <w:snapToGrid w:val="0"/>
          <w:kern w:val="22"/>
          <w:lang w:eastAsia="zh-CN"/>
        </w:rPr>
        <w:t>所有</w:t>
      </w:r>
      <w:r w:rsidRPr="00D60F0A">
        <w:rPr>
          <w:rFonts w:eastAsiaTheme="minorEastAsia" w:hint="eastAsia"/>
          <w:snapToGrid w:val="0"/>
          <w:kern w:val="22"/>
          <w:lang w:eastAsia="zh-CN"/>
        </w:rPr>
        <w:t>有能力</w:t>
      </w:r>
      <w:r w:rsidRPr="00D60F0A">
        <w:rPr>
          <w:rFonts w:eastAsiaTheme="minorEastAsia"/>
          <w:snapToGrid w:val="0"/>
          <w:kern w:val="22"/>
          <w:lang w:eastAsia="zh-CN"/>
        </w:rPr>
        <w:t>的相关组织和利益攸关方为</w:t>
      </w:r>
      <w:r w:rsidRPr="00D60F0A">
        <w:rPr>
          <w:rFonts w:eastAsiaTheme="minorEastAsia"/>
          <w:snapToGrid w:val="0"/>
          <w:kern w:val="22"/>
          <w:lang w:eastAsia="zh-CN"/>
        </w:rPr>
        <w:t>2020</w:t>
      </w:r>
      <w:r w:rsidRPr="00D60F0A">
        <w:rPr>
          <w:rFonts w:eastAsiaTheme="minorEastAsia"/>
          <w:snapToGrid w:val="0"/>
          <w:kern w:val="22"/>
          <w:lang w:eastAsia="zh-CN"/>
        </w:rPr>
        <w:t>年后全球生物多样性框架的制定进程及时提供财务捐助和其他支持，包括主办关于此议题的全球、区域</w:t>
      </w:r>
      <w:r w:rsidRPr="00D60F0A">
        <w:rPr>
          <w:rFonts w:eastAsiaTheme="minorEastAsia" w:hint="eastAsia"/>
          <w:snapToGrid w:val="0"/>
          <w:kern w:val="22"/>
          <w:lang w:eastAsia="zh-CN"/>
        </w:rPr>
        <w:t>、</w:t>
      </w:r>
      <w:r w:rsidRPr="00D60F0A">
        <w:rPr>
          <w:rFonts w:eastAsiaTheme="minorEastAsia"/>
          <w:snapToGrid w:val="0"/>
          <w:kern w:val="22"/>
          <w:lang w:eastAsia="zh-CN"/>
        </w:rPr>
        <w:t>部门</w:t>
      </w:r>
      <w:r w:rsidRPr="00D60F0A">
        <w:rPr>
          <w:rFonts w:eastAsiaTheme="minorEastAsia" w:hint="eastAsia"/>
          <w:snapToGrid w:val="0"/>
          <w:kern w:val="22"/>
          <w:lang w:eastAsia="zh-CN"/>
        </w:rPr>
        <w:t>或</w:t>
      </w:r>
      <w:r w:rsidRPr="00D60F0A">
        <w:rPr>
          <w:rFonts w:eastAsiaTheme="minorEastAsia"/>
          <w:snapToGrid w:val="0"/>
          <w:kern w:val="22"/>
          <w:lang w:eastAsia="zh-CN"/>
        </w:rPr>
        <w:t>专题协商；</w:t>
      </w:r>
    </w:p>
    <w:p w:rsidR="00B41940" w:rsidRPr="002B7FC4" w:rsidRDefault="00B41940" w:rsidP="00615E7F">
      <w:pPr>
        <w:numPr>
          <w:ilvl w:val="0"/>
          <w:numId w:val="267"/>
        </w:numPr>
        <w:suppressLineNumbers/>
        <w:suppressAutoHyphens/>
        <w:topLinePunct/>
        <w:autoSpaceDE w:val="0"/>
        <w:autoSpaceDN w:val="0"/>
        <w:adjustRightInd w:val="0"/>
        <w:ind w:left="0" w:firstLine="720"/>
        <w:rPr>
          <w:rFonts w:eastAsiaTheme="minorEastAsia"/>
          <w:snapToGrid w:val="0"/>
          <w:kern w:val="22"/>
          <w:lang w:eastAsia="zh-CN"/>
        </w:rPr>
      </w:pPr>
      <w:r w:rsidRPr="002B7FC4">
        <w:rPr>
          <w:rFonts w:ascii="KaiTi" w:eastAsia="KaiTi" w:hAnsi="KaiTi" w:hint="eastAsia"/>
          <w:snapToGrid w:val="0"/>
          <w:kern w:val="22"/>
          <w:lang w:eastAsia="zh-CN"/>
        </w:rPr>
        <w:t>邀请</w:t>
      </w:r>
      <w:r w:rsidRPr="002B7FC4">
        <w:rPr>
          <w:rFonts w:eastAsiaTheme="minorEastAsia" w:hint="eastAsia"/>
          <w:snapToGrid w:val="0"/>
          <w:kern w:val="22"/>
          <w:lang w:eastAsia="zh-CN"/>
        </w:rPr>
        <w:t>各</w:t>
      </w:r>
      <w:r w:rsidRPr="002B7FC4">
        <w:rPr>
          <w:rFonts w:eastAsiaTheme="minorEastAsia"/>
          <w:snapToGrid w:val="0"/>
          <w:kern w:val="22"/>
          <w:lang w:eastAsia="zh-CN"/>
        </w:rPr>
        <w:t>缔约方</w:t>
      </w:r>
      <w:r w:rsidRPr="002B7FC4">
        <w:rPr>
          <w:rFonts w:eastAsiaTheme="minorEastAsia" w:hint="eastAsia"/>
          <w:snapToGrid w:val="0"/>
          <w:kern w:val="22"/>
          <w:lang w:eastAsia="zh-CN"/>
        </w:rPr>
        <w:t>和</w:t>
      </w:r>
      <w:r w:rsidRPr="002B7FC4">
        <w:rPr>
          <w:rFonts w:eastAsiaTheme="minorEastAsia"/>
          <w:snapToGrid w:val="0"/>
          <w:kern w:val="22"/>
          <w:lang w:eastAsia="zh-CN"/>
        </w:rPr>
        <w:t>其他国家政府</w:t>
      </w:r>
      <w:r w:rsidRPr="002B7FC4">
        <w:rPr>
          <w:rFonts w:eastAsiaTheme="minorEastAsia" w:hint="eastAsia"/>
          <w:snapToGrid w:val="0"/>
          <w:kern w:val="22"/>
          <w:lang w:eastAsia="zh-CN"/>
        </w:rPr>
        <w:t>酌情</w:t>
      </w:r>
      <w:r w:rsidRPr="002B7FC4">
        <w:rPr>
          <w:rFonts w:eastAsiaTheme="minorEastAsia"/>
          <w:snapToGrid w:val="0"/>
          <w:kern w:val="22"/>
          <w:lang w:eastAsia="zh-CN"/>
        </w:rPr>
        <w:t>根据国情，</w:t>
      </w:r>
      <w:r w:rsidRPr="002B7FC4">
        <w:rPr>
          <w:rFonts w:eastAsiaTheme="minorEastAsia" w:hint="eastAsia"/>
          <w:snapToGrid w:val="0"/>
          <w:kern w:val="22"/>
          <w:lang w:eastAsia="zh-CN"/>
        </w:rPr>
        <w:t>单独</w:t>
      </w:r>
      <w:r w:rsidRPr="002B7FC4">
        <w:rPr>
          <w:rFonts w:eastAsiaTheme="minorEastAsia"/>
          <w:snapToGrid w:val="0"/>
          <w:kern w:val="22"/>
          <w:lang w:eastAsia="zh-CN"/>
        </w:rPr>
        <w:t>或</w:t>
      </w:r>
      <w:r w:rsidRPr="002B7FC4">
        <w:rPr>
          <w:rFonts w:eastAsiaTheme="minorEastAsia" w:hint="eastAsia"/>
          <w:snapToGrid w:val="0"/>
          <w:kern w:val="22"/>
          <w:lang w:eastAsia="zh-CN"/>
        </w:rPr>
        <w:t>集体地</w:t>
      </w:r>
      <w:r w:rsidRPr="002B7FC4">
        <w:rPr>
          <w:rFonts w:eastAsiaTheme="minorEastAsia"/>
          <w:snapToGrid w:val="0"/>
          <w:kern w:val="22"/>
          <w:lang w:eastAsia="zh-CN"/>
        </w:rPr>
        <w:t>，</w:t>
      </w:r>
      <w:r w:rsidRPr="002B7FC4">
        <w:rPr>
          <w:rFonts w:eastAsiaTheme="minorEastAsia" w:hint="eastAsia"/>
          <w:snapToGrid w:val="0"/>
          <w:kern w:val="22"/>
          <w:lang w:eastAsia="zh-CN"/>
        </w:rPr>
        <w:t>并</w:t>
      </w:r>
      <w:r w:rsidRPr="002B7FC4">
        <w:rPr>
          <w:rFonts w:eastAsiaTheme="minorEastAsia"/>
          <w:snapToGrid w:val="0"/>
          <w:kern w:val="22"/>
          <w:lang w:eastAsia="zh-CN"/>
        </w:rPr>
        <w:t>在自愿基础上，</w:t>
      </w:r>
      <w:r w:rsidRPr="002B7FC4">
        <w:rPr>
          <w:rFonts w:eastAsiaTheme="minorEastAsia" w:hint="eastAsia"/>
          <w:snapToGrid w:val="0"/>
          <w:kern w:val="22"/>
          <w:lang w:eastAsia="zh-CN"/>
        </w:rPr>
        <w:t>考虑确立</w:t>
      </w:r>
      <w:r w:rsidRPr="002B7FC4">
        <w:rPr>
          <w:rFonts w:eastAsiaTheme="minorEastAsia"/>
          <w:snapToGrid w:val="0"/>
          <w:kern w:val="22"/>
          <w:lang w:eastAsia="zh-CN"/>
        </w:rPr>
        <w:t>对生物多样性的承诺，这种承诺将助于实现</w:t>
      </w:r>
      <w:r w:rsidRPr="002B7FC4">
        <w:rPr>
          <w:rFonts w:eastAsiaTheme="minorEastAsia" w:hint="eastAsia"/>
          <w:snapToGrid w:val="0"/>
          <w:kern w:val="22"/>
          <w:lang w:eastAsia="zh-CN"/>
        </w:rPr>
        <w:t>《</w:t>
      </w:r>
      <w:r w:rsidRPr="002B7FC4">
        <w:rPr>
          <w:rFonts w:eastAsiaTheme="minorEastAsia"/>
          <w:snapToGrid w:val="0"/>
          <w:kern w:val="22"/>
          <w:lang w:eastAsia="zh-CN"/>
        </w:rPr>
        <w:t>公约</w:t>
      </w:r>
      <w:r w:rsidRPr="002B7FC4">
        <w:rPr>
          <w:rFonts w:eastAsiaTheme="minorEastAsia" w:hint="eastAsia"/>
          <w:snapToGrid w:val="0"/>
          <w:kern w:val="22"/>
          <w:lang w:eastAsia="zh-CN"/>
        </w:rPr>
        <w:t>》</w:t>
      </w:r>
      <w:r w:rsidRPr="002B7FC4">
        <w:rPr>
          <w:rFonts w:eastAsiaTheme="minorEastAsia"/>
          <w:snapToGrid w:val="0"/>
          <w:kern w:val="22"/>
          <w:lang w:eastAsia="zh-CN"/>
        </w:rPr>
        <w:t>三项目标，</w:t>
      </w:r>
      <w:r w:rsidRPr="002B7FC4">
        <w:rPr>
          <w:rFonts w:eastAsiaTheme="minorEastAsia" w:hint="eastAsia"/>
          <w:snapToGrid w:val="0"/>
          <w:kern w:val="22"/>
          <w:lang w:eastAsia="zh-CN"/>
        </w:rPr>
        <w:t>增进</w:t>
      </w:r>
      <w:r w:rsidRPr="002B7FC4">
        <w:rPr>
          <w:rFonts w:eastAsiaTheme="minorEastAsia"/>
          <w:snapToGrid w:val="0"/>
          <w:kern w:val="22"/>
          <w:lang w:eastAsia="zh-CN"/>
        </w:rPr>
        <w:t>国家生物多样性战略和行动计划，</w:t>
      </w:r>
      <w:r w:rsidRPr="002B7FC4">
        <w:rPr>
          <w:rFonts w:eastAsiaTheme="minorEastAsia" w:hint="eastAsia"/>
          <w:snapToGrid w:val="0"/>
          <w:kern w:val="22"/>
          <w:lang w:eastAsia="zh-CN"/>
        </w:rPr>
        <w:t>在</w:t>
      </w:r>
      <w:r w:rsidRPr="002B7FC4">
        <w:rPr>
          <w:rFonts w:eastAsiaTheme="minorEastAsia"/>
          <w:snapToGrid w:val="0"/>
          <w:kern w:val="22"/>
          <w:lang w:eastAsia="zh-CN"/>
        </w:rPr>
        <w:t>不预断确立这一</w:t>
      </w:r>
      <w:r w:rsidRPr="002B7FC4">
        <w:rPr>
          <w:rFonts w:eastAsiaTheme="minorEastAsia" w:hint="eastAsia"/>
          <w:snapToGrid w:val="0"/>
          <w:kern w:val="22"/>
          <w:lang w:eastAsia="zh-CN"/>
        </w:rPr>
        <w:t>框架</w:t>
      </w:r>
      <w:r w:rsidRPr="002B7FC4">
        <w:rPr>
          <w:rFonts w:eastAsiaTheme="minorEastAsia"/>
          <w:snapToGrid w:val="0"/>
          <w:kern w:val="22"/>
          <w:lang w:eastAsia="zh-CN"/>
        </w:rPr>
        <w:t>的进程的</w:t>
      </w:r>
      <w:r>
        <w:rPr>
          <w:rFonts w:eastAsiaTheme="minorEastAsia" w:hint="eastAsia"/>
          <w:snapToGrid w:val="0"/>
          <w:kern w:val="22"/>
          <w:lang w:eastAsia="zh-CN"/>
        </w:rPr>
        <w:t>成果的</w:t>
      </w:r>
      <w:r w:rsidRPr="002B7FC4">
        <w:rPr>
          <w:rFonts w:eastAsiaTheme="minorEastAsia"/>
          <w:snapToGrid w:val="0"/>
          <w:kern w:val="22"/>
          <w:lang w:eastAsia="zh-CN"/>
        </w:rPr>
        <w:t>情况下，</w:t>
      </w:r>
      <w:r w:rsidRPr="002B7FC4">
        <w:rPr>
          <w:rFonts w:eastAsiaTheme="minorEastAsia" w:hint="eastAsia"/>
          <w:snapToGrid w:val="0"/>
          <w:kern w:val="22"/>
          <w:lang w:eastAsia="zh-CN"/>
        </w:rPr>
        <w:t>促进</w:t>
      </w:r>
      <w:r w:rsidRPr="002B7FC4">
        <w:rPr>
          <w:rFonts w:eastAsiaTheme="minorEastAsia"/>
          <w:snapToGrid w:val="0"/>
          <w:kern w:val="22"/>
          <w:lang w:eastAsia="zh-CN"/>
        </w:rPr>
        <w:t>实现</w:t>
      </w:r>
      <w:r w:rsidRPr="002B7FC4">
        <w:rPr>
          <w:rFonts w:eastAsiaTheme="minorEastAsia" w:hint="eastAsia"/>
          <w:snapToGrid w:val="0"/>
          <w:kern w:val="22"/>
          <w:lang w:eastAsia="zh-CN"/>
        </w:rPr>
        <w:t>爱知</w:t>
      </w:r>
      <w:r w:rsidRPr="002B7FC4">
        <w:rPr>
          <w:rFonts w:eastAsiaTheme="minorEastAsia"/>
          <w:snapToGrid w:val="0"/>
          <w:kern w:val="22"/>
          <w:lang w:eastAsia="zh-CN"/>
        </w:rPr>
        <w:t>生物多样性指标和有助于</w:t>
      </w:r>
      <w:r w:rsidRPr="002B7FC4">
        <w:rPr>
          <w:rFonts w:eastAsiaTheme="minorEastAsia" w:hint="eastAsia"/>
          <w:snapToGrid w:val="0"/>
          <w:kern w:val="22"/>
          <w:lang w:eastAsia="zh-CN"/>
        </w:rPr>
        <w:t>有效</w:t>
      </w:r>
      <w:r w:rsidRPr="002B7FC4">
        <w:rPr>
          <w:rFonts w:eastAsiaTheme="minorEastAsia"/>
          <w:snapToGrid w:val="0"/>
          <w:kern w:val="22"/>
          <w:lang w:eastAsia="zh-CN"/>
        </w:rPr>
        <w:t>的</w:t>
      </w:r>
      <w:r w:rsidRPr="002B7FC4">
        <w:rPr>
          <w:rFonts w:eastAsiaTheme="minorEastAsia" w:hint="eastAsia"/>
          <w:snapToGrid w:val="0"/>
          <w:kern w:val="22"/>
          <w:lang w:eastAsia="zh-CN"/>
        </w:rPr>
        <w:t>2020</w:t>
      </w:r>
      <w:r w:rsidRPr="002B7FC4">
        <w:rPr>
          <w:rFonts w:eastAsiaTheme="minorEastAsia" w:hint="eastAsia"/>
          <w:snapToGrid w:val="0"/>
          <w:kern w:val="22"/>
          <w:lang w:eastAsia="zh-CN"/>
        </w:rPr>
        <w:t>年后全球</w:t>
      </w:r>
      <w:r w:rsidRPr="002B7FC4">
        <w:rPr>
          <w:rFonts w:eastAsiaTheme="minorEastAsia"/>
          <w:snapToGrid w:val="0"/>
          <w:kern w:val="22"/>
          <w:lang w:eastAsia="zh-CN"/>
        </w:rPr>
        <w:t>生物多样性框架，</w:t>
      </w:r>
      <w:r w:rsidRPr="002B7FC4">
        <w:rPr>
          <w:rFonts w:eastAsiaTheme="minorEastAsia" w:hint="eastAsia"/>
          <w:snapToGrid w:val="0"/>
          <w:kern w:val="22"/>
          <w:lang w:eastAsia="zh-CN"/>
        </w:rPr>
        <w:t>同时</w:t>
      </w:r>
      <w:r w:rsidRPr="002B7FC4">
        <w:rPr>
          <w:rFonts w:eastAsiaTheme="minorEastAsia"/>
          <w:snapToGrid w:val="0"/>
          <w:kern w:val="22"/>
          <w:lang w:eastAsia="zh-CN"/>
        </w:rPr>
        <w:t>有助于实现</w:t>
      </w:r>
      <w:r w:rsidRPr="002B7FC4">
        <w:rPr>
          <w:rFonts w:eastAsiaTheme="minorEastAsia"/>
          <w:snapToGrid w:val="0"/>
          <w:kern w:val="22"/>
          <w:lang w:eastAsia="zh-CN"/>
        </w:rPr>
        <w:t>2050</w:t>
      </w:r>
      <w:r w:rsidRPr="002B7FC4">
        <w:rPr>
          <w:rFonts w:eastAsiaTheme="minorEastAsia" w:hint="eastAsia"/>
          <w:snapToGrid w:val="0"/>
          <w:kern w:val="22"/>
          <w:lang w:eastAsia="zh-CN"/>
        </w:rPr>
        <w:t>年</w:t>
      </w:r>
      <w:r w:rsidRPr="002B7FC4">
        <w:rPr>
          <w:rFonts w:eastAsiaTheme="minorEastAsia"/>
          <w:snapToGrid w:val="0"/>
          <w:kern w:val="22"/>
          <w:lang w:eastAsia="zh-CN"/>
        </w:rPr>
        <w:t>生物多样性愿景</w:t>
      </w:r>
      <w:r w:rsidRPr="002B7FC4">
        <w:rPr>
          <w:rFonts w:eastAsiaTheme="minorEastAsia" w:hint="eastAsia"/>
          <w:snapToGrid w:val="0"/>
          <w:kern w:val="22"/>
          <w:lang w:eastAsia="zh-CN"/>
        </w:rPr>
        <w:t>，</w:t>
      </w:r>
      <w:r w:rsidRPr="002B7FC4">
        <w:rPr>
          <w:rFonts w:eastAsiaTheme="minorEastAsia"/>
          <w:snapToGrid w:val="0"/>
          <w:kern w:val="22"/>
          <w:lang w:eastAsia="zh-CN"/>
        </w:rPr>
        <w:t>并</w:t>
      </w:r>
      <w:r w:rsidRPr="002B7FC4">
        <w:rPr>
          <w:rFonts w:eastAsiaTheme="minorEastAsia" w:hint="eastAsia"/>
          <w:snapToGrid w:val="0"/>
          <w:kern w:val="22"/>
          <w:lang w:eastAsia="zh-CN"/>
        </w:rPr>
        <w:t>通过</w:t>
      </w:r>
      <w:r w:rsidRPr="002B7FC4">
        <w:rPr>
          <w:rFonts w:eastAsiaTheme="minorEastAsia"/>
          <w:snapToGrid w:val="0"/>
          <w:kern w:val="22"/>
          <w:lang w:eastAsia="zh-CN"/>
        </w:rPr>
        <w:t>信息交换所机制和其他手段分享有关这些承诺的信息；</w:t>
      </w:r>
    </w:p>
    <w:p w:rsidR="00B41940" w:rsidRDefault="00B41940" w:rsidP="00615E7F">
      <w:pPr>
        <w:numPr>
          <w:ilvl w:val="0"/>
          <w:numId w:val="267"/>
        </w:numPr>
        <w:suppressLineNumbers/>
        <w:suppressAutoHyphens/>
        <w:topLinePunct/>
        <w:autoSpaceDE w:val="0"/>
        <w:autoSpaceDN w:val="0"/>
        <w:adjustRightInd w:val="0"/>
        <w:ind w:left="0" w:firstLine="720"/>
        <w:rPr>
          <w:rFonts w:eastAsiaTheme="minorEastAsia"/>
          <w:snapToGrid w:val="0"/>
          <w:kern w:val="22"/>
          <w:lang w:eastAsia="zh-CN"/>
        </w:rPr>
      </w:pPr>
      <w:r w:rsidRPr="00181023">
        <w:rPr>
          <w:rFonts w:ascii="KaiTi" w:eastAsia="KaiTi" w:hAnsi="KaiTi" w:hint="eastAsia"/>
          <w:snapToGrid w:val="0"/>
          <w:kern w:val="22"/>
          <w:lang w:eastAsia="zh-CN"/>
        </w:rPr>
        <w:t>鼓励</w:t>
      </w:r>
      <w:r>
        <w:rPr>
          <w:rFonts w:eastAsiaTheme="minorEastAsia" w:hint="eastAsia"/>
          <w:snapToGrid w:val="0"/>
          <w:kern w:val="22"/>
          <w:lang w:eastAsia="zh-CN"/>
        </w:rPr>
        <w:t>土著人民</w:t>
      </w:r>
      <w:r>
        <w:rPr>
          <w:rFonts w:eastAsiaTheme="minorEastAsia"/>
          <w:snapToGrid w:val="0"/>
          <w:kern w:val="22"/>
          <w:lang w:eastAsia="zh-CN"/>
        </w:rPr>
        <w:t>和地方社区以及所有相关组织和利益攸关方，</w:t>
      </w:r>
      <w:r>
        <w:rPr>
          <w:rFonts w:eastAsiaTheme="minorEastAsia" w:hint="eastAsia"/>
          <w:snapToGrid w:val="0"/>
          <w:kern w:val="22"/>
          <w:lang w:eastAsia="zh-CN"/>
        </w:rPr>
        <w:t>包括</w:t>
      </w:r>
      <w:r>
        <w:rPr>
          <w:rFonts w:eastAsiaTheme="minorEastAsia"/>
          <w:snapToGrid w:val="0"/>
          <w:kern w:val="22"/>
          <w:lang w:eastAsia="zh-CN"/>
        </w:rPr>
        <w:t>私人部门，</w:t>
      </w:r>
      <w:r w:rsidRPr="00A134FD">
        <w:rPr>
          <w:rFonts w:eastAsiaTheme="minorEastAsia"/>
          <w:snapToGrid w:val="0"/>
          <w:kern w:val="22"/>
          <w:lang w:eastAsia="zh-CN"/>
        </w:rPr>
        <w:t xml:space="preserve"> </w:t>
      </w:r>
      <w:r w:rsidRPr="00A95ACD">
        <w:rPr>
          <w:rFonts w:eastAsiaTheme="minorEastAsia"/>
          <w:snapToGrid w:val="0"/>
          <w:kern w:val="22"/>
          <w:lang w:eastAsia="zh-CN"/>
        </w:rPr>
        <w:t>考虑在缔约方大会第十五届会议之前，</w:t>
      </w:r>
      <w:r>
        <w:rPr>
          <w:rFonts w:eastAsiaTheme="minorEastAsia" w:hint="eastAsia"/>
          <w:snapToGrid w:val="0"/>
          <w:kern w:val="22"/>
          <w:lang w:eastAsia="zh-CN"/>
        </w:rPr>
        <w:t>确立</w:t>
      </w:r>
      <w:r>
        <w:rPr>
          <w:rFonts w:eastAsiaTheme="minorEastAsia"/>
          <w:snapToGrid w:val="0"/>
          <w:kern w:val="22"/>
          <w:lang w:eastAsia="zh-CN"/>
        </w:rPr>
        <w:t>对生物多样性的承诺</w:t>
      </w:r>
      <w:r>
        <w:rPr>
          <w:rFonts w:eastAsiaTheme="minorEastAsia" w:hint="eastAsia"/>
          <w:snapToGrid w:val="0"/>
          <w:kern w:val="22"/>
          <w:lang w:eastAsia="zh-CN"/>
        </w:rPr>
        <w:t>，</w:t>
      </w:r>
      <w:r>
        <w:rPr>
          <w:rFonts w:eastAsiaTheme="minorEastAsia"/>
          <w:snapToGrid w:val="0"/>
          <w:kern w:val="22"/>
          <w:lang w:eastAsia="zh-CN"/>
        </w:rPr>
        <w:t>这种承诺可能有助于有效的</w:t>
      </w:r>
      <w:r>
        <w:rPr>
          <w:rFonts w:eastAsiaTheme="minorEastAsia" w:hint="eastAsia"/>
          <w:snapToGrid w:val="0"/>
          <w:kern w:val="22"/>
          <w:lang w:eastAsia="zh-CN"/>
        </w:rPr>
        <w:t>2020</w:t>
      </w:r>
      <w:r>
        <w:rPr>
          <w:rFonts w:eastAsiaTheme="minorEastAsia" w:hint="eastAsia"/>
          <w:snapToGrid w:val="0"/>
          <w:kern w:val="22"/>
          <w:lang w:eastAsia="zh-CN"/>
        </w:rPr>
        <w:t>年后</w:t>
      </w:r>
      <w:r>
        <w:rPr>
          <w:rFonts w:eastAsiaTheme="minorEastAsia"/>
          <w:snapToGrid w:val="0"/>
          <w:kern w:val="22"/>
          <w:lang w:eastAsia="zh-CN"/>
        </w:rPr>
        <w:t>生物多样性框架和</w:t>
      </w:r>
      <w:r>
        <w:rPr>
          <w:rFonts w:eastAsiaTheme="minorEastAsia" w:hint="eastAsia"/>
          <w:snapToGrid w:val="0"/>
          <w:kern w:val="22"/>
          <w:lang w:eastAsia="zh-CN"/>
        </w:rPr>
        <w:t>提供</w:t>
      </w:r>
      <w:r>
        <w:rPr>
          <w:rFonts w:eastAsiaTheme="minorEastAsia"/>
          <w:snapToGrid w:val="0"/>
          <w:kern w:val="22"/>
          <w:lang w:eastAsia="zh-CN"/>
        </w:rPr>
        <w:t>此种可得信息，作为对</w:t>
      </w:r>
      <w:r>
        <w:rPr>
          <w:rFonts w:eastAsiaTheme="minorEastAsia" w:hint="eastAsia"/>
          <w:snapToGrid w:val="0"/>
          <w:kern w:val="22"/>
          <w:lang w:eastAsia="zh-CN"/>
        </w:rPr>
        <w:t>“</w:t>
      </w:r>
      <w:r w:rsidRPr="00FA2E6B">
        <w:rPr>
          <w:rFonts w:hint="eastAsia"/>
          <w:bCs/>
          <w:iCs/>
          <w:lang w:eastAsia="zh-CN" w:bidi="th-TH"/>
        </w:rPr>
        <w:t>沙姆沙伊赫</w:t>
      </w:r>
      <w:r>
        <w:rPr>
          <w:rFonts w:hint="eastAsia"/>
          <w:bCs/>
          <w:iCs/>
          <w:lang w:eastAsia="zh-CN" w:bidi="th-TH"/>
        </w:rPr>
        <w:t>至北京</w:t>
      </w:r>
      <w:r>
        <w:rPr>
          <w:bCs/>
          <w:iCs/>
          <w:lang w:eastAsia="zh-CN" w:bidi="th-TH"/>
        </w:rPr>
        <w:t>自然与人民</w:t>
      </w:r>
      <w:r>
        <w:rPr>
          <w:rFonts w:hint="eastAsia"/>
          <w:bCs/>
          <w:iCs/>
          <w:lang w:eastAsia="zh-CN" w:bidi="th-TH"/>
        </w:rPr>
        <w:t>行动</w:t>
      </w:r>
      <w:r>
        <w:rPr>
          <w:bCs/>
          <w:iCs/>
          <w:lang w:eastAsia="zh-CN" w:bidi="th-TH"/>
        </w:rPr>
        <w:t>议程</w:t>
      </w:r>
      <w:r>
        <w:rPr>
          <w:rFonts w:hint="eastAsia"/>
          <w:bCs/>
          <w:iCs/>
          <w:lang w:eastAsia="zh-CN" w:bidi="th-TH"/>
        </w:rPr>
        <w:t>”</w:t>
      </w:r>
      <w:r w:rsidRPr="00E66DD8">
        <w:rPr>
          <w:rStyle w:val="EndnoteTextChar"/>
          <w:snapToGrid w:val="0"/>
          <w:kern w:val="22"/>
          <w:szCs w:val="22"/>
          <w:lang w:eastAsia="zh-CN"/>
        </w:rPr>
        <w:t xml:space="preserve"> </w:t>
      </w:r>
      <w:r w:rsidRPr="00B72FA3">
        <w:rPr>
          <w:rStyle w:val="FootnoteReference"/>
          <w:rFonts w:eastAsiaTheme="minorEastAsia"/>
          <w:snapToGrid w:val="0"/>
          <w:kern w:val="22"/>
          <w:sz w:val="24"/>
          <w:u w:val="none"/>
          <w:vertAlign w:val="superscript"/>
        </w:rPr>
        <w:footnoteReference w:id="305"/>
      </w:r>
      <w:r w:rsidRPr="00B72FA3">
        <w:rPr>
          <w:rStyle w:val="FootnoteReference"/>
          <w:rFonts w:eastAsiaTheme="minorEastAsia"/>
          <w:sz w:val="24"/>
          <w:u w:val="none"/>
          <w:vertAlign w:val="superscript"/>
          <w:lang w:eastAsia="zh-CN"/>
        </w:rPr>
        <w:t xml:space="preserve"> </w:t>
      </w:r>
      <w:r>
        <w:rPr>
          <w:bCs/>
          <w:iCs/>
          <w:lang w:eastAsia="zh-CN" w:bidi="th-TH"/>
        </w:rPr>
        <w:t>的贡献</w:t>
      </w:r>
      <w:r>
        <w:rPr>
          <w:rFonts w:hint="eastAsia"/>
          <w:bCs/>
          <w:iCs/>
          <w:lang w:eastAsia="zh-CN" w:bidi="th-TH"/>
        </w:rPr>
        <w:t>；</w:t>
      </w:r>
    </w:p>
    <w:p w:rsidR="00B41940" w:rsidRPr="00A95ACD" w:rsidRDefault="00B41940" w:rsidP="00615E7F">
      <w:pPr>
        <w:numPr>
          <w:ilvl w:val="0"/>
          <w:numId w:val="270"/>
        </w:numPr>
        <w:suppressLineNumbers/>
        <w:suppressAutoHyphens/>
        <w:topLinePunct/>
        <w:autoSpaceDE w:val="0"/>
        <w:autoSpaceDN w:val="0"/>
        <w:adjustRightInd w:val="0"/>
        <w:ind w:left="0" w:firstLine="720"/>
        <w:rPr>
          <w:rFonts w:eastAsiaTheme="minorEastAsia"/>
          <w:snapToGrid w:val="0"/>
          <w:kern w:val="22"/>
          <w:lang w:eastAsia="zh-CN"/>
        </w:rPr>
      </w:pPr>
      <w:r w:rsidRPr="00A01E80">
        <w:rPr>
          <w:rFonts w:ascii="KaiTi" w:eastAsia="KaiTi" w:hAnsi="KaiTi"/>
          <w:snapToGrid w:val="0"/>
          <w:kern w:val="22"/>
          <w:lang w:eastAsia="zh-CN"/>
        </w:rPr>
        <w:t>邀请</w:t>
      </w:r>
      <w:r w:rsidRPr="00A95ACD">
        <w:rPr>
          <w:rFonts w:eastAsiaTheme="minorEastAsia"/>
          <w:snapToGrid w:val="0"/>
          <w:kern w:val="22"/>
          <w:lang w:eastAsia="zh-CN"/>
        </w:rPr>
        <w:t>联合国大会在</w:t>
      </w:r>
      <w:r w:rsidRPr="00A95ACD">
        <w:rPr>
          <w:rFonts w:eastAsiaTheme="minorEastAsia"/>
          <w:snapToGrid w:val="0"/>
          <w:kern w:val="22"/>
          <w:lang w:eastAsia="zh-CN"/>
        </w:rPr>
        <w:t>2020</w:t>
      </w:r>
      <w:r w:rsidRPr="00A95ACD">
        <w:rPr>
          <w:rFonts w:eastAsiaTheme="minorEastAsia"/>
          <w:snapToGrid w:val="0"/>
          <w:kern w:val="22"/>
          <w:lang w:eastAsia="zh-CN"/>
        </w:rPr>
        <w:t>年举行国家元首和政府首脑级别的高级别生物多样性峰会，以提升生物多样性</w:t>
      </w:r>
      <w:r>
        <w:rPr>
          <w:rFonts w:eastAsiaTheme="minorEastAsia" w:hint="eastAsia"/>
          <w:snapToGrid w:val="0"/>
          <w:kern w:val="22"/>
          <w:lang w:eastAsia="zh-CN"/>
        </w:rPr>
        <w:t>的政治</w:t>
      </w:r>
      <w:r>
        <w:rPr>
          <w:rFonts w:eastAsiaTheme="minorEastAsia"/>
          <w:snapToGrid w:val="0"/>
          <w:kern w:val="22"/>
          <w:lang w:eastAsia="zh-CN"/>
        </w:rPr>
        <w:t>能见度</w:t>
      </w:r>
      <w:r w:rsidRPr="00A95ACD">
        <w:rPr>
          <w:rFonts w:eastAsiaTheme="minorEastAsia"/>
          <w:snapToGrid w:val="0"/>
          <w:kern w:val="22"/>
          <w:lang w:eastAsia="zh-CN"/>
        </w:rPr>
        <w:t>及其对《</w:t>
      </w:r>
      <w:r w:rsidRPr="00A95ACD">
        <w:rPr>
          <w:rFonts w:eastAsiaTheme="minorEastAsia"/>
          <w:snapToGrid w:val="0"/>
          <w:kern w:val="22"/>
          <w:lang w:eastAsia="zh-CN"/>
        </w:rPr>
        <w:t>2030</w:t>
      </w:r>
      <w:r w:rsidRPr="00A95ACD">
        <w:rPr>
          <w:rFonts w:eastAsiaTheme="minorEastAsia"/>
          <w:snapToGrid w:val="0"/>
          <w:kern w:val="22"/>
          <w:lang w:eastAsia="zh-CN"/>
        </w:rPr>
        <w:t>年可持续发展议程》</w:t>
      </w:r>
      <w:r w:rsidRPr="00B72FA3">
        <w:rPr>
          <w:rStyle w:val="FootnoteReference"/>
          <w:rFonts w:eastAsiaTheme="minorEastAsia"/>
          <w:snapToGrid w:val="0"/>
          <w:kern w:val="22"/>
          <w:sz w:val="24"/>
          <w:u w:val="none"/>
          <w:vertAlign w:val="superscript"/>
        </w:rPr>
        <w:footnoteReference w:id="306"/>
      </w:r>
      <w:r w:rsidRPr="00B72FA3">
        <w:rPr>
          <w:rFonts w:eastAsiaTheme="minorEastAsia" w:hint="eastAsia"/>
          <w:snapToGrid w:val="0"/>
          <w:kern w:val="22"/>
          <w:sz w:val="36"/>
          <w:vertAlign w:val="superscript"/>
          <w:lang w:eastAsia="zh-CN"/>
        </w:rPr>
        <w:t xml:space="preserve"> </w:t>
      </w:r>
      <w:r>
        <w:rPr>
          <w:rFonts w:eastAsiaTheme="minorEastAsia" w:hint="eastAsia"/>
          <w:snapToGrid w:val="0"/>
          <w:kern w:val="22"/>
          <w:lang w:eastAsia="zh-CN"/>
        </w:rPr>
        <w:t>和</w:t>
      </w:r>
      <w:r>
        <w:rPr>
          <w:rFonts w:eastAsiaTheme="minorEastAsia"/>
          <w:snapToGrid w:val="0"/>
          <w:kern w:val="22"/>
          <w:lang w:eastAsia="zh-CN"/>
        </w:rPr>
        <w:t>制定</w:t>
      </w:r>
      <w:r>
        <w:rPr>
          <w:rFonts w:eastAsiaTheme="minorEastAsia" w:hint="eastAsia"/>
          <w:snapToGrid w:val="0"/>
          <w:kern w:val="22"/>
          <w:lang w:eastAsia="zh-CN"/>
        </w:rPr>
        <w:t>健全</w:t>
      </w:r>
      <w:r w:rsidRPr="00A95ACD">
        <w:rPr>
          <w:rFonts w:eastAsiaTheme="minorEastAsia"/>
          <w:snapToGrid w:val="0"/>
          <w:kern w:val="22"/>
          <w:lang w:eastAsia="zh-CN"/>
        </w:rPr>
        <w:t>的</w:t>
      </w:r>
      <w:r w:rsidRPr="00A95ACD">
        <w:rPr>
          <w:rFonts w:eastAsiaTheme="minorEastAsia"/>
          <w:snapToGrid w:val="0"/>
          <w:kern w:val="22"/>
          <w:lang w:eastAsia="zh-CN"/>
        </w:rPr>
        <w:t>2020</w:t>
      </w:r>
      <w:r w:rsidRPr="00A95ACD">
        <w:rPr>
          <w:rFonts w:eastAsiaTheme="minorEastAsia"/>
          <w:snapToGrid w:val="0"/>
          <w:kern w:val="22"/>
          <w:lang w:eastAsia="zh-CN"/>
        </w:rPr>
        <w:t>年后全球生物多样性框架</w:t>
      </w:r>
      <w:r>
        <w:rPr>
          <w:rFonts w:eastAsiaTheme="minorEastAsia" w:hint="eastAsia"/>
          <w:snapToGrid w:val="0"/>
          <w:kern w:val="22"/>
          <w:lang w:eastAsia="zh-CN"/>
        </w:rPr>
        <w:t>的</w:t>
      </w:r>
      <w:r>
        <w:rPr>
          <w:rFonts w:eastAsiaTheme="minorEastAsia"/>
          <w:snapToGrid w:val="0"/>
          <w:kern w:val="22"/>
          <w:lang w:eastAsia="zh-CN"/>
        </w:rPr>
        <w:t>贡献</w:t>
      </w:r>
      <w:r w:rsidRPr="00A95ACD">
        <w:rPr>
          <w:rFonts w:eastAsiaTheme="minorEastAsia"/>
          <w:snapToGrid w:val="0"/>
          <w:kern w:val="22"/>
          <w:lang w:eastAsia="zh-CN"/>
        </w:rPr>
        <w:t>；</w:t>
      </w:r>
    </w:p>
    <w:p w:rsidR="00B41940" w:rsidRPr="00A73C09" w:rsidRDefault="00B41940" w:rsidP="00615E7F">
      <w:pPr>
        <w:numPr>
          <w:ilvl w:val="0"/>
          <w:numId w:val="270"/>
        </w:numPr>
        <w:suppressLineNumbers/>
        <w:suppressAutoHyphens/>
        <w:topLinePunct/>
        <w:autoSpaceDE w:val="0"/>
        <w:autoSpaceDN w:val="0"/>
        <w:adjustRightInd w:val="0"/>
        <w:ind w:left="0" w:firstLine="720"/>
        <w:rPr>
          <w:rFonts w:eastAsiaTheme="minorEastAsia"/>
          <w:snapToGrid w:val="0"/>
          <w:kern w:val="22"/>
          <w:lang w:eastAsia="zh-CN"/>
        </w:rPr>
      </w:pPr>
      <w:r w:rsidRPr="00181023">
        <w:rPr>
          <w:rFonts w:ascii="KaiTi" w:eastAsia="KaiTi" w:hAnsi="KaiTi" w:hint="eastAsia"/>
          <w:snapToGrid w:val="0"/>
          <w:kern w:val="22"/>
          <w:lang w:eastAsia="zh-CN"/>
        </w:rPr>
        <w:t>鼓励</w:t>
      </w:r>
      <w:r>
        <w:rPr>
          <w:rFonts w:eastAsiaTheme="minorEastAsia"/>
          <w:snapToGrid w:val="0"/>
          <w:kern w:val="22"/>
          <w:lang w:eastAsia="zh-CN"/>
        </w:rPr>
        <w:t>各缔约方探讨对</w:t>
      </w:r>
      <w:r>
        <w:rPr>
          <w:rFonts w:eastAsiaTheme="minorEastAsia" w:hint="eastAsia"/>
          <w:snapToGrid w:val="0"/>
          <w:kern w:val="22"/>
          <w:lang w:eastAsia="zh-CN"/>
        </w:rPr>
        <w:t>2020</w:t>
      </w:r>
      <w:r>
        <w:rPr>
          <w:rFonts w:eastAsiaTheme="minorEastAsia" w:hint="eastAsia"/>
          <w:snapToGrid w:val="0"/>
          <w:kern w:val="22"/>
          <w:lang w:eastAsia="zh-CN"/>
        </w:rPr>
        <w:t>年后</w:t>
      </w:r>
      <w:r>
        <w:rPr>
          <w:rFonts w:eastAsiaTheme="minorEastAsia"/>
          <w:snapToGrid w:val="0"/>
          <w:kern w:val="22"/>
          <w:lang w:eastAsia="zh-CN"/>
        </w:rPr>
        <w:t>全球生物多样性框架筹备进程的高级别</w:t>
      </w:r>
      <w:r>
        <w:rPr>
          <w:rFonts w:eastAsiaTheme="minorEastAsia" w:hint="eastAsia"/>
          <w:snapToGrid w:val="0"/>
          <w:kern w:val="22"/>
          <w:lang w:eastAsia="zh-CN"/>
        </w:rPr>
        <w:t>区域</w:t>
      </w:r>
      <w:r>
        <w:rPr>
          <w:rFonts w:eastAsiaTheme="minorEastAsia"/>
          <w:snapToGrid w:val="0"/>
          <w:kern w:val="22"/>
          <w:lang w:eastAsia="zh-CN"/>
        </w:rPr>
        <w:t>参与的机会；</w:t>
      </w:r>
    </w:p>
    <w:p w:rsidR="00B41940" w:rsidRDefault="00B41940" w:rsidP="00615E7F">
      <w:pPr>
        <w:numPr>
          <w:ilvl w:val="0"/>
          <w:numId w:val="270"/>
        </w:numPr>
        <w:suppressLineNumbers/>
        <w:suppressAutoHyphens/>
        <w:topLinePunct/>
        <w:autoSpaceDE w:val="0"/>
        <w:autoSpaceDN w:val="0"/>
        <w:adjustRightInd w:val="0"/>
        <w:ind w:left="0" w:firstLine="720"/>
        <w:rPr>
          <w:rFonts w:eastAsiaTheme="minorEastAsia"/>
          <w:snapToGrid w:val="0"/>
          <w:kern w:val="22"/>
          <w:lang w:eastAsia="zh-CN"/>
        </w:rPr>
      </w:pPr>
      <w:r w:rsidRPr="00313192">
        <w:rPr>
          <w:rFonts w:ascii="KaiTi" w:eastAsia="KaiTi" w:hAnsi="KaiTi"/>
          <w:snapToGrid w:val="0"/>
          <w:spacing w:val="-20"/>
          <w:kern w:val="22"/>
          <w:lang w:eastAsia="zh-CN"/>
        </w:rPr>
        <w:t>注意到</w:t>
      </w:r>
      <w:r w:rsidRPr="00313192">
        <w:rPr>
          <w:rFonts w:eastAsiaTheme="minorEastAsia"/>
          <w:snapToGrid w:val="0"/>
          <w:spacing w:val="-20"/>
          <w:kern w:val="22"/>
          <w:lang w:eastAsia="zh-CN"/>
        </w:rPr>
        <w:t>《</w:t>
      </w:r>
      <w:r w:rsidRPr="00313192">
        <w:rPr>
          <w:rFonts w:eastAsiaTheme="minorEastAsia"/>
          <w:snapToGrid w:val="0"/>
          <w:spacing w:val="-20"/>
          <w:kern w:val="22"/>
          <w:lang w:eastAsia="zh-CN"/>
        </w:rPr>
        <w:t>2030</w:t>
      </w:r>
      <w:r w:rsidRPr="00313192">
        <w:rPr>
          <w:rFonts w:eastAsiaTheme="minorEastAsia"/>
          <w:snapToGrid w:val="0"/>
          <w:spacing w:val="-20"/>
          <w:kern w:val="22"/>
          <w:lang w:eastAsia="zh-CN"/>
        </w:rPr>
        <w:t>年可持续发展议程》下多个生物多样性相关目标都将</w:t>
      </w:r>
      <w:r w:rsidRPr="00A95ACD">
        <w:rPr>
          <w:rFonts w:eastAsiaTheme="minorEastAsia"/>
          <w:snapToGrid w:val="0"/>
          <w:kern w:val="22"/>
          <w:lang w:eastAsia="zh-CN"/>
        </w:rPr>
        <w:t>2020</w:t>
      </w:r>
      <w:r w:rsidRPr="00A95ACD">
        <w:rPr>
          <w:rFonts w:eastAsiaTheme="minorEastAsia"/>
          <w:snapToGrid w:val="0"/>
          <w:kern w:val="22"/>
          <w:lang w:eastAsia="zh-CN"/>
        </w:rPr>
        <w:t>年作为最终的实现期限，并</w:t>
      </w:r>
      <w:r w:rsidRPr="000B6003">
        <w:rPr>
          <w:rFonts w:ascii="KaiTi" w:eastAsia="KaiTi" w:hAnsi="KaiTi"/>
          <w:snapToGrid w:val="0"/>
          <w:kern w:val="22"/>
          <w:lang w:eastAsia="zh-CN"/>
        </w:rPr>
        <w:t>请</w:t>
      </w:r>
      <w:r w:rsidRPr="00A95ACD">
        <w:rPr>
          <w:rFonts w:eastAsiaTheme="minorEastAsia"/>
          <w:snapToGrid w:val="0"/>
          <w:kern w:val="22"/>
          <w:lang w:eastAsia="zh-CN"/>
        </w:rPr>
        <w:t>执行秘书提请联合国大会关注</w:t>
      </w:r>
      <w:r w:rsidRPr="00A95ACD">
        <w:rPr>
          <w:rFonts w:eastAsiaTheme="minorEastAsia"/>
          <w:snapToGrid w:val="0"/>
          <w:kern w:val="22"/>
          <w:lang w:eastAsia="zh-CN"/>
        </w:rPr>
        <w:t>2020</w:t>
      </w:r>
      <w:r w:rsidRPr="00A95ACD">
        <w:rPr>
          <w:rFonts w:eastAsiaTheme="minorEastAsia"/>
          <w:snapToGrid w:val="0"/>
          <w:kern w:val="22"/>
          <w:lang w:eastAsia="zh-CN"/>
        </w:rPr>
        <w:t>年后全球生物多样性框架的筹备进程；</w:t>
      </w:r>
    </w:p>
    <w:p w:rsidR="00B41940" w:rsidRDefault="00B41940" w:rsidP="00615E7F">
      <w:pPr>
        <w:numPr>
          <w:ilvl w:val="0"/>
          <w:numId w:val="270"/>
        </w:numPr>
        <w:suppressLineNumbers/>
        <w:suppressAutoHyphens/>
        <w:topLinePunct/>
        <w:autoSpaceDE w:val="0"/>
        <w:autoSpaceDN w:val="0"/>
        <w:adjustRightInd w:val="0"/>
        <w:ind w:left="0" w:firstLine="720"/>
        <w:rPr>
          <w:rFonts w:eastAsiaTheme="minorEastAsia"/>
          <w:snapToGrid w:val="0"/>
          <w:kern w:val="22"/>
          <w:lang w:eastAsia="zh-CN"/>
        </w:rPr>
      </w:pPr>
      <w:r w:rsidRPr="00A01E80">
        <w:rPr>
          <w:rFonts w:ascii="KaiTi" w:eastAsia="KaiTi" w:hAnsi="KaiTi"/>
          <w:snapToGrid w:val="0"/>
          <w:kern w:val="22"/>
          <w:lang w:eastAsia="zh-CN"/>
        </w:rPr>
        <w:t>请</w:t>
      </w:r>
      <w:r w:rsidRPr="00A95ACD">
        <w:rPr>
          <w:rFonts w:eastAsiaTheme="minorEastAsia"/>
          <w:snapToGrid w:val="0"/>
          <w:kern w:val="22"/>
          <w:lang w:eastAsia="zh-CN"/>
        </w:rPr>
        <w:t>科学、技术和工艺咨询附属机构第二十三</w:t>
      </w:r>
      <w:r>
        <w:rPr>
          <w:rFonts w:eastAsiaTheme="minorEastAsia" w:hint="eastAsia"/>
          <w:snapToGrid w:val="0"/>
          <w:kern w:val="22"/>
          <w:lang w:eastAsia="zh-CN"/>
        </w:rPr>
        <w:t>次和</w:t>
      </w:r>
      <w:r>
        <w:rPr>
          <w:rFonts w:eastAsiaTheme="minorEastAsia"/>
          <w:snapToGrid w:val="0"/>
          <w:kern w:val="22"/>
          <w:lang w:eastAsia="zh-CN"/>
        </w:rPr>
        <w:t>第二十四次</w:t>
      </w:r>
      <w:r w:rsidRPr="00A95ACD">
        <w:rPr>
          <w:rFonts w:eastAsiaTheme="minorEastAsia"/>
          <w:snapToGrid w:val="0"/>
          <w:kern w:val="22"/>
          <w:lang w:eastAsia="zh-CN"/>
        </w:rPr>
        <w:t>会议</w:t>
      </w:r>
      <w:r>
        <w:rPr>
          <w:rFonts w:eastAsiaTheme="minorEastAsia" w:hint="eastAsia"/>
          <w:snapToGrid w:val="0"/>
          <w:kern w:val="22"/>
          <w:lang w:eastAsia="zh-CN"/>
        </w:rPr>
        <w:t>推动制定</w:t>
      </w:r>
      <w:r>
        <w:rPr>
          <w:rFonts w:eastAsiaTheme="minorEastAsia" w:hint="eastAsia"/>
          <w:snapToGrid w:val="0"/>
          <w:kern w:val="22"/>
          <w:lang w:eastAsia="zh-CN"/>
        </w:rPr>
        <w:t>2020</w:t>
      </w:r>
      <w:r>
        <w:rPr>
          <w:rFonts w:eastAsiaTheme="minorEastAsia" w:hint="eastAsia"/>
          <w:snapToGrid w:val="0"/>
          <w:kern w:val="22"/>
          <w:lang w:eastAsia="zh-CN"/>
        </w:rPr>
        <w:t>年后</w:t>
      </w:r>
      <w:r>
        <w:rPr>
          <w:rFonts w:eastAsiaTheme="minorEastAsia"/>
          <w:snapToGrid w:val="0"/>
          <w:kern w:val="22"/>
          <w:lang w:eastAsia="zh-CN"/>
        </w:rPr>
        <w:t>全球生物多样性框架</w:t>
      </w:r>
      <w:r>
        <w:rPr>
          <w:rFonts w:eastAsiaTheme="minorEastAsia" w:hint="eastAsia"/>
          <w:snapToGrid w:val="0"/>
          <w:kern w:val="22"/>
          <w:lang w:eastAsia="zh-CN"/>
        </w:rPr>
        <w:t>和</w:t>
      </w:r>
      <w:r>
        <w:rPr>
          <w:rFonts w:eastAsiaTheme="minorEastAsia"/>
          <w:snapToGrid w:val="0"/>
          <w:kern w:val="22"/>
          <w:lang w:eastAsia="zh-CN"/>
        </w:rPr>
        <w:t>支持不限成员名额闭会期间工作组的工作；</w:t>
      </w:r>
    </w:p>
    <w:p w:rsidR="00B41940" w:rsidRPr="001C22F3" w:rsidRDefault="00B41940" w:rsidP="00615E7F">
      <w:pPr>
        <w:numPr>
          <w:ilvl w:val="0"/>
          <w:numId w:val="270"/>
        </w:numPr>
        <w:suppressLineNumbers/>
        <w:suppressAutoHyphens/>
        <w:topLinePunct/>
        <w:autoSpaceDE w:val="0"/>
        <w:autoSpaceDN w:val="0"/>
        <w:adjustRightInd w:val="0"/>
        <w:ind w:left="0" w:firstLine="720"/>
        <w:rPr>
          <w:rFonts w:eastAsiaTheme="minorEastAsia"/>
          <w:snapToGrid w:val="0"/>
          <w:kern w:val="22"/>
          <w:lang w:eastAsia="zh-CN"/>
        </w:rPr>
      </w:pPr>
      <w:r w:rsidRPr="000837D0">
        <w:rPr>
          <w:rFonts w:ascii="KaiTi" w:eastAsia="KaiTi" w:hAnsi="KaiTi" w:hint="eastAsia"/>
          <w:snapToGrid w:val="0"/>
          <w:kern w:val="22"/>
          <w:lang w:eastAsia="zh-CN"/>
        </w:rPr>
        <w:t>请</w:t>
      </w:r>
      <w:r w:rsidRPr="001C22F3">
        <w:rPr>
          <w:rFonts w:eastAsiaTheme="minorEastAsia" w:hint="eastAsia"/>
          <w:snapToGrid w:val="0"/>
          <w:kern w:val="22"/>
          <w:lang w:eastAsia="zh-CN"/>
        </w:rPr>
        <w:t>第</w:t>
      </w:r>
      <w:r>
        <w:rPr>
          <w:rFonts w:eastAsiaTheme="minorEastAsia"/>
          <w:snapToGrid w:val="0"/>
          <w:kern w:val="22"/>
          <w:lang w:eastAsia="zh-CN"/>
        </w:rPr>
        <w:t>8(j)</w:t>
      </w:r>
      <w:r>
        <w:rPr>
          <w:rFonts w:eastAsiaTheme="minorEastAsia" w:hint="eastAsia"/>
          <w:snapToGrid w:val="0"/>
          <w:kern w:val="22"/>
          <w:lang w:eastAsia="zh-CN"/>
        </w:rPr>
        <w:t>和</w:t>
      </w:r>
      <w:r>
        <w:rPr>
          <w:rFonts w:eastAsiaTheme="minorEastAsia"/>
          <w:snapToGrid w:val="0"/>
          <w:kern w:val="22"/>
          <w:lang w:eastAsia="zh-CN"/>
        </w:rPr>
        <w:t>相关条款问题</w:t>
      </w:r>
      <w:r w:rsidRPr="001C22F3">
        <w:rPr>
          <w:rFonts w:eastAsiaTheme="minorEastAsia"/>
          <w:snapToGrid w:val="0"/>
          <w:kern w:val="22"/>
          <w:lang w:eastAsia="zh-CN"/>
        </w:rPr>
        <w:t>不限成员名额特设工作组第十一次会议</w:t>
      </w:r>
      <w:r w:rsidRPr="001C22F3">
        <w:rPr>
          <w:rFonts w:eastAsiaTheme="minorEastAsia" w:hint="eastAsia"/>
          <w:snapToGrid w:val="0"/>
          <w:kern w:val="22"/>
          <w:lang w:eastAsia="zh-CN"/>
        </w:rPr>
        <w:t>就传统知识的</w:t>
      </w:r>
      <w:r w:rsidRPr="001C22F3">
        <w:rPr>
          <w:rFonts w:eastAsiaTheme="minorEastAsia"/>
          <w:snapToGrid w:val="0"/>
          <w:kern w:val="22"/>
          <w:lang w:eastAsia="zh-CN"/>
        </w:rPr>
        <w:t>潜在作用、可持续</w:t>
      </w:r>
      <w:r w:rsidRPr="001C22F3">
        <w:rPr>
          <w:rFonts w:eastAsiaTheme="minorEastAsia" w:hint="eastAsia"/>
          <w:snapToGrid w:val="0"/>
          <w:kern w:val="22"/>
          <w:lang w:eastAsia="zh-CN"/>
        </w:rPr>
        <w:t>习惯使用</w:t>
      </w:r>
      <w:r w:rsidRPr="001C22F3">
        <w:rPr>
          <w:rFonts w:eastAsiaTheme="minorEastAsia"/>
          <w:snapToGrid w:val="0"/>
          <w:kern w:val="22"/>
          <w:lang w:eastAsia="zh-CN"/>
        </w:rPr>
        <w:t>以及土著人民</w:t>
      </w:r>
      <w:r w:rsidRPr="001C22F3">
        <w:rPr>
          <w:rFonts w:eastAsiaTheme="minorEastAsia" w:hint="eastAsia"/>
          <w:snapToGrid w:val="0"/>
          <w:kern w:val="22"/>
          <w:lang w:eastAsia="zh-CN"/>
        </w:rPr>
        <w:t>和</w:t>
      </w:r>
      <w:r w:rsidRPr="001C22F3">
        <w:rPr>
          <w:rFonts w:eastAsiaTheme="minorEastAsia"/>
          <w:snapToGrid w:val="0"/>
          <w:kern w:val="22"/>
          <w:lang w:eastAsia="zh-CN"/>
        </w:rPr>
        <w:t>地方社区</w:t>
      </w:r>
      <w:r w:rsidRPr="001C22F3">
        <w:rPr>
          <w:rFonts w:eastAsiaTheme="minorEastAsia" w:hint="eastAsia"/>
          <w:snapToGrid w:val="0"/>
          <w:kern w:val="22"/>
          <w:lang w:eastAsia="zh-CN"/>
        </w:rPr>
        <w:t>的</w:t>
      </w:r>
      <w:r w:rsidRPr="001C22F3">
        <w:rPr>
          <w:rFonts w:eastAsiaTheme="minorEastAsia"/>
          <w:snapToGrid w:val="0"/>
          <w:kern w:val="22"/>
          <w:lang w:eastAsia="zh-CN"/>
        </w:rPr>
        <w:t>集体行动对</w:t>
      </w:r>
      <w:r w:rsidRPr="001C22F3">
        <w:rPr>
          <w:rFonts w:eastAsiaTheme="minorEastAsia" w:hint="eastAsia"/>
          <w:snapToGrid w:val="0"/>
          <w:kern w:val="22"/>
          <w:lang w:eastAsia="zh-CN"/>
        </w:rPr>
        <w:t>2020</w:t>
      </w:r>
      <w:r w:rsidRPr="001C22F3">
        <w:rPr>
          <w:rFonts w:eastAsiaTheme="minorEastAsia" w:hint="eastAsia"/>
          <w:snapToGrid w:val="0"/>
          <w:kern w:val="22"/>
          <w:lang w:eastAsia="zh-CN"/>
        </w:rPr>
        <w:t>年后</w:t>
      </w:r>
      <w:r w:rsidRPr="001C22F3">
        <w:rPr>
          <w:rFonts w:eastAsiaTheme="minorEastAsia"/>
          <w:snapToGrid w:val="0"/>
          <w:kern w:val="22"/>
          <w:lang w:eastAsia="zh-CN"/>
        </w:rPr>
        <w:t>全球生物多样性框架</w:t>
      </w:r>
      <w:r w:rsidRPr="001C22F3">
        <w:rPr>
          <w:rFonts w:eastAsiaTheme="minorEastAsia" w:hint="eastAsia"/>
          <w:snapToGrid w:val="0"/>
          <w:kern w:val="22"/>
          <w:lang w:eastAsia="zh-CN"/>
        </w:rPr>
        <w:t>的</w:t>
      </w:r>
      <w:r w:rsidRPr="001C22F3">
        <w:rPr>
          <w:rFonts w:eastAsiaTheme="minorEastAsia"/>
          <w:snapToGrid w:val="0"/>
          <w:kern w:val="22"/>
          <w:lang w:eastAsia="zh-CN"/>
        </w:rPr>
        <w:t>贡献</w:t>
      </w:r>
      <w:r w:rsidRPr="001C22F3">
        <w:rPr>
          <w:rFonts w:eastAsiaTheme="minorEastAsia" w:hint="eastAsia"/>
          <w:snapToGrid w:val="0"/>
          <w:kern w:val="22"/>
          <w:lang w:eastAsia="zh-CN"/>
        </w:rPr>
        <w:t>提供</w:t>
      </w:r>
      <w:r w:rsidRPr="001C22F3">
        <w:rPr>
          <w:rFonts w:eastAsiaTheme="minorEastAsia"/>
          <w:snapToGrid w:val="0"/>
          <w:kern w:val="22"/>
          <w:lang w:eastAsia="zh-CN"/>
        </w:rPr>
        <w:t>建议，</w:t>
      </w:r>
      <w:r w:rsidRPr="001C22F3">
        <w:rPr>
          <w:rFonts w:eastAsiaTheme="minorEastAsia" w:hint="eastAsia"/>
          <w:snapToGrid w:val="0"/>
          <w:kern w:val="22"/>
          <w:lang w:eastAsia="zh-CN"/>
        </w:rPr>
        <w:t>以支持</w:t>
      </w:r>
      <w:r w:rsidRPr="001C22F3">
        <w:rPr>
          <w:rFonts w:eastAsiaTheme="minorEastAsia"/>
          <w:snapToGrid w:val="0"/>
          <w:kern w:val="22"/>
          <w:lang w:eastAsia="zh-CN"/>
        </w:rPr>
        <w:t>不限成员名额闭会期间工作组的工作；</w:t>
      </w:r>
    </w:p>
    <w:p w:rsidR="00B41940" w:rsidRPr="00210558" w:rsidRDefault="00B41940" w:rsidP="00615E7F">
      <w:pPr>
        <w:numPr>
          <w:ilvl w:val="0"/>
          <w:numId w:val="270"/>
        </w:numPr>
        <w:suppressLineNumbers/>
        <w:suppressAutoHyphens/>
        <w:topLinePunct/>
        <w:autoSpaceDE w:val="0"/>
        <w:autoSpaceDN w:val="0"/>
        <w:adjustRightInd w:val="0"/>
        <w:ind w:left="0" w:firstLine="720"/>
        <w:rPr>
          <w:rFonts w:eastAsiaTheme="minorEastAsia"/>
          <w:snapToGrid w:val="0"/>
          <w:kern w:val="22"/>
          <w:lang w:eastAsia="zh-CN"/>
        </w:rPr>
      </w:pPr>
      <w:r w:rsidRPr="000837D0">
        <w:rPr>
          <w:rFonts w:ascii="KaiTi" w:eastAsia="KaiTi" w:hAnsi="KaiTi" w:hint="eastAsia"/>
          <w:snapToGrid w:val="0"/>
          <w:kern w:val="22"/>
          <w:lang w:eastAsia="zh-CN"/>
        </w:rPr>
        <w:t>请</w:t>
      </w:r>
      <w:r>
        <w:rPr>
          <w:rFonts w:eastAsiaTheme="minorEastAsia" w:hint="eastAsia"/>
          <w:snapToGrid w:val="0"/>
          <w:kern w:val="22"/>
          <w:lang w:eastAsia="zh-CN"/>
        </w:rPr>
        <w:t>执行问题</w:t>
      </w:r>
      <w:r>
        <w:rPr>
          <w:rFonts w:eastAsiaTheme="minorEastAsia"/>
          <w:snapToGrid w:val="0"/>
          <w:kern w:val="22"/>
          <w:lang w:eastAsia="zh-CN"/>
        </w:rPr>
        <w:t>附属机构第三次会议</w:t>
      </w:r>
      <w:r>
        <w:rPr>
          <w:rFonts w:eastAsiaTheme="minorEastAsia" w:hint="eastAsia"/>
          <w:snapToGrid w:val="0"/>
          <w:kern w:val="22"/>
          <w:lang w:eastAsia="zh-CN"/>
        </w:rPr>
        <w:t>为</w:t>
      </w:r>
      <w:r>
        <w:rPr>
          <w:rFonts w:eastAsiaTheme="minorEastAsia"/>
          <w:snapToGrid w:val="0"/>
          <w:kern w:val="22"/>
          <w:lang w:eastAsia="zh-CN"/>
        </w:rPr>
        <w:t>不限成员名额闭会期间工作组筹备的</w:t>
      </w:r>
      <w:r>
        <w:rPr>
          <w:rFonts w:eastAsiaTheme="minorEastAsia" w:hint="eastAsia"/>
          <w:snapToGrid w:val="0"/>
          <w:kern w:val="22"/>
          <w:lang w:eastAsia="zh-CN"/>
        </w:rPr>
        <w:t>2020</w:t>
      </w:r>
      <w:r>
        <w:rPr>
          <w:rFonts w:eastAsiaTheme="minorEastAsia" w:hint="eastAsia"/>
          <w:snapToGrid w:val="0"/>
          <w:kern w:val="22"/>
          <w:lang w:eastAsia="zh-CN"/>
        </w:rPr>
        <w:t>年后</w:t>
      </w:r>
      <w:r>
        <w:rPr>
          <w:rFonts w:eastAsiaTheme="minorEastAsia"/>
          <w:snapToGrid w:val="0"/>
          <w:kern w:val="22"/>
          <w:lang w:eastAsia="zh-CN"/>
        </w:rPr>
        <w:t>全球生物多样性框架的制定作出贡献，并通过</w:t>
      </w:r>
      <w:r>
        <w:rPr>
          <w:rFonts w:eastAsiaTheme="minorEastAsia" w:hint="eastAsia"/>
          <w:snapToGrid w:val="0"/>
          <w:kern w:val="22"/>
          <w:lang w:eastAsia="zh-CN"/>
        </w:rPr>
        <w:t>与</w:t>
      </w:r>
      <w:r>
        <w:rPr>
          <w:rFonts w:eastAsiaTheme="minorEastAsia"/>
          <w:snapToGrid w:val="0"/>
          <w:kern w:val="22"/>
          <w:lang w:eastAsia="zh-CN"/>
        </w:rPr>
        <w:t>支持和审查实施情况相关的要点</w:t>
      </w:r>
      <w:r>
        <w:rPr>
          <w:rFonts w:eastAsiaTheme="minorEastAsia" w:hint="eastAsia"/>
          <w:snapToGrid w:val="0"/>
          <w:kern w:val="22"/>
          <w:lang w:eastAsia="zh-CN"/>
        </w:rPr>
        <w:t>予以</w:t>
      </w:r>
      <w:r>
        <w:rPr>
          <w:rFonts w:eastAsiaTheme="minorEastAsia"/>
          <w:snapToGrid w:val="0"/>
          <w:kern w:val="22"/>
          <w:lang w:eastAsia="zh-CN"/>
        </w:rPr>
        <w:t>补充</w:t>
      </w:r>
      <w:r>
        <w:rPr>
          <w:rFonts w:eastAsiaTheme="minorEastAsia" w:hint="eastAsia"/>
          <w:snapToGrid w:val="0"/>
          <w:kern w:val="22"/>
          <w:lang w:eastAsia="zh-CN"/>
        </w:rPr>
        <w:t>；</w:t>
      </w:r>
    </w:p>
    <w:p w:rsidR="00B41940" w:rsidRDefault="00B41940" w:rsidP="00313192">
      <w:pPr>
        <w:widowControl w:val="0"/>
        <w:numPr>
          <w:ilvl w:val="0"/>
          <w:numId w:val="270"/>
        </w:numPr>
        <w:suppressLineNumbers/>
        <w:suppressAutoHyphens/>
        <w:topLinePunct/>
        <w:autoSpaceDE w:val="0"/>
        <w:autoSpaceDN w:val="0"/>
        <w:adjustRightInd w:val="0"/>
        <w:ind w:left="0" w:firstLine="720"/>
        <w:rPr>
          <w:rFonts w:eastAsiaTheme="minorEastAsia"/>
          <w:snapToGrid w:val="0"/>
          <w:kern w:val="22"/>
          <w:lang w:eastAsia="zh-CN"/>
        </w:rPr>
      </w:pPr>
      <w:r w:rsidRPr="000837D0">
        <w:rPr>
          <w:rFonts w:ascii="KaiTi" w:eastAsia="KaiTi" w:hAnsi="KaiTi" w:hint="eastAsia"/>
          <w:snapToGrid w:val="0"/>
          <w:kern w:val="22"/>
          <w:lang w:eastAsia="zh-CN"/>
        </w:rPr>
        <w:t>请</w:t>
      </w:r>
      <w:r>
        <w:rPr>
          <w:rFonts w:eastAsiaTheme="minorEastAsia"/>
          <w:snapToGrid w:val="0"/>
          <w:kern w:val="22"/>
          <w:lang w:eastAsia="zh-CN"/>
        </w:rPr>
        <w:t>不限成员名额工作组共同主席</w:t>
      </w:r>
      <w:r>
        <w:rPr>
          <w:rFonts w:eastAsiaTheme="minorEastAsia" w:hint="eastAsia"/>
          <w:snapToGrid w:val="0"/>
          <w:kern w:val="22"/>
          <w:lang w:eastAsia="zh-CN"/>
        </w:rPr>
        <w:t>为将于</w:t>
      </w:r>
      <w:r w:rsidRPr="002300A8">
        <w:rPr>
          <w:rFonts w:eastAsiaTheme="minorEastAsia" w:hint="eastAsia"/>
          <w:snapToGrid w:val="0"/>
          <w:kern w:val="22"/>
          <w:lang w:eastAsia="zh-CN"/>
        </w:rPr>
        <w:t>科</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学</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技</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术</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和</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工</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艺</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咨</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询</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附</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属</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机</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构</w:t>
      </w:r>
      <w:r>
        <w:rPr>
          <w:rFonts w:eastAsiaTheme="minorEastAsia"/>
          <w:snapToGrid w:val="0"/>
          <w:kern w:val="22"/>
          <w:lang w:eastAsia="zh-CN"/>
        </w:rPr>
        <w:t>第二十三</w:t>
      </w:r>
      <w:r>
        <w:rPr>
          <w:rFonts w:eastAsiaTheme="minorEastAsia" w:hint="eastAsia"/>
          <w:snapToGrid w:val="0"/>
          <w:kern w:val="22"/>
          <w:lang w:eastAsia="zh-CN"/>
        </w:rPr>
        <w:t>次</w:t>
      </w:r>
      <w:r>
        <w:rPr>
          <w:rFonts w:eastAsiaTheme="minorEastAsia"/>
          <w:snapToGrid w:val="0"/>
          <w:kern w:val="22"/>
          <w:lang w:eastAsia="zh-CN"/>
        </w:rPr>
        <w:t>和第二十四次会议、</w:t>
      </w:r>
      <w:r w:rsidRPr="002300A8">
        <w:rPr>
          <w:rFonts w:eastAsiaTheme="minorEastAsia"/>
          <w:snapToGrid w:val="0"/>
          <w:kern w:val="22"/>
          <w:lang w:eastAsia="zh-CN"/>
        </w:rPr>
        <w:t>​</w:t>
      </w:r>
      <w:r w:rsidRPr="002300A8">
        <w:rPr>
          <w:rFonts w:eastAsiaTheme="minorEastAsia" w:hint="eastAsia"/>
          <w:snapToGrid w:val="0"/>
          <w:kern w:val="22"/>
          <w:lang w:eastAsia="zh-CN"/>
        </w:rPr>
        <w:t>执</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行</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问</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题</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附</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属</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机</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构</w:t>
      </w:r>
      <w:r>
        <w:rPr>
          <w:rFonts w:ascii="SimSun" w:hAnsi="SimSun" w:cs="SimSun" w:hint="eastAsia"/>
          <w:snapToGrid w:val="0"/>
          <w:kern w:val="22"/>
          <w:lang w:eastAsia="zh-CN"/>
        </w:rPr>
        <w:t>第三次会议和</w:t>
      </w:r>
      <w:r w:rsidRPr="002300A8">
        <w:rPr>
          <w:rFonts w:ascii="MS Gothic" w:eastAsia="MS Gothic" w:hAnsi="MS Gothic" w:cs="MS Gothic" w:hint="eastAsia"/>
          <w:snapToGrid w:val="0"/>
          <w:kern w:val="22"/>
          <w:lang w:eastAsia="zh-CN"/>
        </w:rPr>
        <w:t>​</w:t>
      </w:r>
      <w:r w:rsidRPr="002071E3">
        <w:rPr>
          <w:rFonts w:eastAsiaTheme="minorEastAsia" w:hint="eastAsia"/>
          <w:snapToGrid w:val="0"/>
          <w:kern w:val="22"/>
          <w:lang w:eastAsia="zh-CN"/>
        </w:rPr>
        <w:t>第</w:t>
      </w:r>
      <w:r w:rsidRPr="002071E3">
        <w:rPr>
          <w:rFonts w:ascii="MS Mincho" w:eastAsia="MS Mincho" w:hAnsi="MS Mincho" w:cs="MS Mincho" w:hint="eastAsia"/>
          <w:snapToGrid w:val="0"/>
          <w:kern w:val="22"/>
          <w:lang w:eastAsia="zh-CN"/>
        </w:rPr>
        <w:t>​</w:t>
      </w:r>
      <w:r w:rsidRPr="002071E3">
        <w:rPr>
          <w:rFonts w:eastAsiaTheme="minorEastAsia"/>
          <w:snapToGrid w:val="0"/>
          <w:kern w:val="22"/>
          <w:lang w:eastAsia="zh-CN"/>
        </w:rPr>
        <w:t>8</w:t>
      </w:r>
      <w:r w:rsidRPr="002071E3">
        <w:rPr>
          <w:rFonts w:ascii="MS Mincho" w:eastAsia="MS Mincho" w:hAnsi="MS Mincho" w:cs="MS Mincho" w:hint="eastAsia"/>
          <w:snapToGrid w:val="0"/>
          <w:kern w:val="22"/>
          <w:lang w:eastAsia="zh-CN"/>
        </w:rPr>
        <w:t>​</w:t>
      </w:r>
      <w:r w:rsidRPr="002071E3">
        <w:rPr>
          <w:rFonts w:eastAsiaTheme="minorEastAsia"/>
          <w:snapToGrid w:val="0"/>
          <w:kern w:val="22"/>
          <w:lang w:eastAsia="zh-CN"/>
        </w:rPr>
        <w:t>(</w:t>
      </w:r>
      <w:r w:rsidRPr="002071E3">
        <w:rPr>
          <w:rFonts w:ascii="MS Mincho" w:eastAsia="MS Mincho" w:hAnsi="MS Mincho" w:cs="MS Mincho" w:hint="eastAsia"/>
          <w:snapToGrid w:val="0"/>
          <w:kern w:val="22"/>
          <w:lang w:eastAsia="zh-CN"/>
        </w:rPr>
        <w:t>​</w:t>
      </w:r>
      <w:r w:rsidRPr="002071E3">
        <w:rPr>
          <w:rFonts w:eastAsiaTheme="minorEastAsia"/>
          <w:snapToGrid w:val="0"/>
          <w:kern w:val="22"/>
          <w:lang w:eastAsia="zh-CN"/>
        </w:rPr>
        <w:t>j</w:t>
      </w:r>
      <w:r w:rsidRPr="002071E3">
        <w:rPr>
          <w:rFonts w:ascii="MS Mincho" w:eastAsia="MS Mincho" w:hAnsi="MS Mincho" w:cs="MS Mincho" w:hint="eastAsia"/>
          <w:snapToGrid w:val="0"/>
          <w:kern w:val="22"/>
          <w:lang w:eastAsia="zh-CN"/>
        </w:rPr>
        <w:t>​</w:t>
      </w:r>
      <w:r w:rsidRPr="002071E3">
        <w:rPr>
          <w:rFonts w:eastAsiaTheme="minorEastAsia"/>
          <w:snapToGrid w:val="0"/>
          <w:kern w:val="22"/>
          <w:lang w:eastAsia="zh-CN"/>
        </w:rPr>
        <w:t>)</w:t>
      </w:r>
      <w:r w:rsidRPr="002071E3">
        <w:rPr>
          <w:rFonts w:ascii="MS Mincho" w:eastAsia="MS Mincho" w:hAnsi="MS Mincho" w:cs="MS Mincho" w:hint="eastAsia"/>
          <w:snapToGrid w:val="0"/>
          <w:kern w:val="22"/>
          <w:lang w:eastAsia="zh-CN"/>
        </w:rPr>
        <w:t>​</w:t>
      </w:r>
      <w:r w:rsidRPr="002071E3">
        <w:rPr>
          <w:rFonts w:eastAsiaTheme="minorEastAsia" w:hint="eastAsia"/>
          <w:snapToGrid w:val="0"/>
          <w:kern w:val="22"/>
          <w:lang w:eastAsia="zh-CN"/>
        </w:rPr>
        <w:t>条</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和</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相</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关</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条</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款</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问</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题</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不</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限</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成</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员</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名</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额</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特</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设</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工</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作</w:t>
      </w:r>
      <w:r w:rsidRPr="002300A8">
        <w:rPr>
          <w:rFonts w:ascii="MS Gothic" w:eastAsia="MS Gothic" w:hAnsi="MS Gothic" w:cs="MS Gothic" w:hint="eastAsia"/>
          <w:snapToGrid w:val="0"/>
          <w:kern w:val="22"/>
          <w:lang w:eastAsia="zh-CN"/>
        </w:rPr>
        <w:t>​</w:t>
      </w:r>
      <w:r w:rsidRPr="002300A8">
        <w:rPr>
          <w:rFonts w:ascii="SimSun" w:hAnsi="SimSun" w:cs="SimSun" w:hint="eastAsia"/>
          <w:snapToGrid w:val="0"/>
          <w:kern w:val="22"/>
          <w:lang w:eastAsia="zh-CN"/>
        </w:rPr>
        <w:t>组</w:t>
      </w:r>
      <w:r w:rsidRPr="002300A8">
        <w:rPr>
          <w:rFonts w:ascii="MS Gothic" w:eastAsia="MS Gothic" w:hAnsi="MS Gothic" w:cs="MS Gothic" w:hint="eastAsia"/>
          <w:snapToGrid w:val="0"/>
          <w:kern w:val="22"/>
          <w:lang w:eastAsia="zh-CN"/>
        </w:rPr>
        <w:t>​</w:t>
      </w:r>
      <w:r w:rsidRPr="00331E1A">
        <w:rPr>
          <w:rFonts w:ascii="SimSun" w:hAnsi="SimSun" w:cs="SimSun" w:hint="eastAsia"/>
          <w:snapToGrid w:val="0"/>
          <w:kern w:val="22"/>
          <w:lang w:eastAsia="zh-CN"/>
        </w:rPr>
        <w:t>第十一次会议</w:t>
      </w:r>
      <w:r w:rsidRPr="00331E1A">
        <w:rPr>
          <w:rFonts w:ascii="SimSun" w:hAnsi="SimSun" w:cs="SimSun"/>
          <w:snapToGrid w:val="0"/>
          <w:kern w:val="22"/>
          <w:lang w:eastAsia="zh-CN"/>
        </w:rPr>
        <w:t>​</w:t>
      </w:r>
      <w:r>
        <w:rPr>
          <w:rFonts w:eastAsiaTheme="minorEastAsia"/>
          <w:snapToGrid w:val="0"/>
          <w:kern w:val="22"/>
          <w:lang w:eastAsia="zh-CN"/>
        </w:rPr>
        <w:t>期间制定</w:t>
      </w:r>
      <w:r>
        <w:rPr>
          <w:rFonts w:eastAsiaTheme="minorEastAsia" w:hint="eastAsia"/>
          <w:snapToGrid w:val="0"/>
          <w:kern w:val="22"/>
          <w:lang w:eastAsia="zh-CN"/>
        </w:rPr>
        <w:t>2020</w:t>
      </w:r>
      <w:r>
        <w:rPr>
          <w:rFonts w:eastAsiaTheme="minorEastAsia" w:hint="eastAsia"/>
          <w:snapToGrid w:val="0"/>
          <w:kern w:val="22"/>
          <w:lang w:eastAsia="zh-CN"/>
        </w:rPr>
        <w:t>年后</w:t>
      </w:r>
      <w:r>
        <w:rPr>
          <w:rFonts w:eastAsiaTheme="minorEastAsia"/>
          <w:snapToGrid w:val="0"/>
          <w:kern w:val="22"/>
          <w:lang w:eastAsia="zh-CN"/>
        </w:rPr>
        <w:t>全球生物多样性框架工作要点提供进一步的指导意见，</w:t>
      </w:r>
      <w:r>
        <w:rPr>
          <w:rFonts w:eastAsiaTheme="minorEastAsia" w:hint="eastAsia"/>
          <w:snapToGrid w:val="0"/>
          <w:kern w:val="22"/>
          <w:lang w:eastAsia="zh-CN"/>
        </w:rPr>
        <w:t>并</w:t>
      </w:r>
      <w:r>
        <w:rPr>
          <w:rFonts w:eastAsiaTheme="minorEastAsia"/>
          <w:snapToGrid w:val="0"/>
          <w:kern w:val="22"/>
          <w:lang w:eastAsia="zh-CN"/>
        </w:rPr>
        <w:t>将这些会议的成果以及其他考虑纳入其框架草案，并进一步</w:t>
      </w:r>
      <w:r>
        <w:rPr>
          <w:rFonts w:eastAsiaTheme="minorEastAsia" w:hint="eastAsia"/>
          <w:snapToGrid w:val="0"/>
          <w:kern w:val="22"/>
          <w:lang w:eastAsia="zh-CN"/>
        </w:rPr>
        <w:t>拟定</w:t>
      </w:r>
      <w:r>
        <w:rPr>
          <w:rFonts w:eastAsiaTheme="minorEastAsia"/>
          <w:snapToGrid w:val="0"/>
          <w:kern w:val="22"/>
          <w:lang w:eastAsia="zh-CN"/>
        </w:rPr>
        <w:t>该框架，以期</w:t>
      </w:r>
      <w:r>
        <w:rPr>
          <w:rFonts w:eastAsiaTheme="minorEastAsia" w:hint="eastAsia"/>
          <w:snapToGrid w:val="0"/>
          <w:kern w:val="22"/>
          <w:lang w:eastAsia="zh-CN"/>
        </w:rPr>
        <w:t>向</w:t>
      </w:r>
      <w:r>
        <w:rPr>
          <w:rFonts w:eastAsiaTheme="minorEastAsia"/>
          <w:snapToGrid w:val="0"/>
          <w:kern w:val="22"/>
          <w:lang w:eastAsia="zh-CN"/>
        </w:rPr>
        <w:t>缔约方大会第十五届会议提交</w:t>
      </w:r>
      <w:r>
        <w:rPr>
          <w:rFonts w:eastAsiaTheme="minorEastAsia" w:hint="eastAsia"/>
          <w:snapToGrid w:val="0"/>
          <w:kern w:val="22"/>
          <w:lang w:eastAsia="zh-CN"/>
        </w:rPr>
        <w:t>最后</w:t>
      </w:r>
      <w:r>
        <w:rPr>
          <w:rFonts w:eastAsiaTheme="minorEastAsia"/>
          <w:snapToGrid w:val="0"/>
          <w:kern w:val="22"/>
          <w:lang w:eastAsia="zh-CN"/>
        </w:rPr>
        <w:t>框架草案；</w:t>
      </w:r>
      <w:r w:rsidRPr="00210558">
        <w:rPr>
          <w:rFonts w:eastAsiaTheme="minorEastAsia"/>
          <w:snapToGrid w:val="0"/>
          <w:kern w:val="22"/>
          <w:lang w:eastAsia="zh-CN"/>
        </w:rPr>
        <w:t xml:space="preserve"> </w:t>
      </w:r>
    </w:p>
    <w:p w:rsidR="00B41940" w:rsidRDefault="00B41940" w:rsidP="00615E7F">
      <w:pPr>
        <w:numPr>
          <w:ilvl w:val="0"/>
          <w:numId w:val="270"/>
        </w:numPr>
        <w:suppressLineNumbers/>
        <w:suppressAutoHyphens/>
        <w:topLinePunct/>
        <w:autoSpaceDE w:val="0"/>
        <w:autoSpaceDN w:val="0"/>
        <w:adjustRightInd w:val="0"/>
        <w:ind w:left="0" w:firstLine="720"/>
        <w:rPr>
          <w:rFonts w:eastAsiaTheme="minorEastAsia"/>
          <w:snapToGrid w:val="0"/>
          <w:kern w:val="22"/>
          <w:lang w:eastAsia="zh-CN"/>
        </w:rPr>
      </w:pPr>
      <w:r w:rsidRPr="0052695B">
        <w:rPr>
          <w:rFonts w:ascii="KaiTi" w:eastAsia="KaiTi" w:hAnsi="KaiTi" w:hint="eastAsia"/>
          <w:snapToGrid w:val="0"/>
          <w:kern w:val="22"/>
          <w:lang w:eastAsia="zh-CN"/>
        </w:rPr>
        <w:lastRenderedPageBreak/>
        <w:t>请</w:t>
      </w:r>
      <w:r>
        <w:rPr>
          <w:rFonts w:eastAsiaTheme="minorEastAsia"/>
          <w:snapToGrid w:val="0"/>
          <w:kern w:val="22"/>
          <w:lang w:eastAsia="zh-CN"/>
        </w:rPr>
        <w:t>执行秘书</w:t>
      </w:r>
      <w:r>
        <w:rPr>
          <w:rFonts w:eastAsiaTheme="minorEastAsia" w:hint="eastAsia"/>
          <w:snapToGrid w:val="0"/>
          <w:kern w:val="22"/>
          <w:lang w:eastAsia="zh-CN"/>
        </w:rPr>
        <w:t>尽快</w:t>
      </w:r>
      <w:r>
        <w:rPr>
          <w:rFonts w:eastAsiaTheme="minorEastAsia"/>
          <w:snapToGrid w:val="0"/>
          <w:kern w:val="22"/>
          <w:lang w:eastAsia="zh-CN"/>
        </w:rPr>
        <w:t>向不限成员名额闭会期间工作组共同主席</w:t>
      </w:r>
      <w:r>
        <w:rPr>
          <w:rFonts w:eastAsiaTheme="minorEastAsia" w:hint="eastAsia"/>
          <w:snapToGrid w:val="0"/>
          <w:kern w:val="22"/>
          <w:lang w:eastAsia="zh-CN"/>
        </w:rPr>
        <w:t>以及缔约方大会和</w:t>
      </w:r>
      <w:r>
        <w:rPr>
          <w:rFonts w:eastAsiaTheme="minorEastAsia"/>
          <w:snapToGrid w:val="0"/>
          <w:kern w:val="22"/>
          <w:lang w:eastAsia="zh-CN"/>
        </w:rPr>
        <w:t>科学、技术和工艺咨询附属机构的主席团提供</w:t>
      </w:r>
      <w:r>
        <w:rPr>
          <w:rFonts w:eastAsiaTheme="minorEastAsia" w:hint="eastAsia"/>
          <w:snapToGrid w:val="0"/>
          <w:kern w:val="22"/>
          <w:lang w:eastAsia="zh-CN"/>
        </w:rPr>
        <w:t>一份</w:t>
      </w:r>
      <w:r>
        <w:rPr>
          <w:rFonts w:eastAsiaTheme="minorEastAsia"/>
          <w:snapToGrid w:val="0"/>
          <w:kern w:val="22"/>
          <w:lang w:eastAsia="zh-CN"/>
        </w:rPr>
        <w:t>缔约方大会第十四届会议通过的</w:t>
      </w:r>
      <w:r>
        <w:rPr>
          <w:rFonts w:eastAsiaTheme="minorEastAsia" w:hint="eastAsia"/>
          <w:snapToGrid w:val="0"/>
          <w:kern w:val="22"/>
          <w:lang w:eastAsia="zh-CN"/>
        </w:rPr>
        <w:t>与</w:t>
      </w:r>
      <w:r>
        <w:rPr>
          <w:rFonts w:eastAsiaTheme="minorEastAsia"/>
          <w:snapToGrid w:val="0"/>
          <w:kern w:val="22"/>
          <w:lang w:eastAsia="zh-CN"/>
        </w:rPr>
        <w:t>制订</w:t>
      </w:r>
      <w:r>
        <w:rPr>
          <w:rFonts w:eastAsiaTheme="minorEastAsia" w:hint="eastAsia"/>
          <w:snapToGrid w:val="0"/>
          <w:kern w:val="22"/>
          <w:lang w:eastAsia="zh-CN"/>
        </w:rPr>
        <w:t>2020</w:t>
      </w:r>
      <w:r>
        <w:rPr>
          <w:rFonts w:eastAsiaTheme="minorEastAsia" w:hint="eastAsia"/>
          <w:snapToGrid w:val="0"/>
          <w:kern w:val="22"/>
          <w:lang w:eastAsia="zh-CN"/>
        </w:rPr>
        <w:t>年后</w:t>
      </w:r>
      <w:r>
        <w:rPr>
          <w:rFonts w:eastAsiaTheme="minorEastAsia"/>
          <w:snapToGrid w:val="0"/>
          <w:kern w:val="22"/>
          <w:lang w:eastAsia="zh-CN"/>
        </w:rPr>
        <w:t>全球生物多样性框架相关的决定的概览</w:t>
      </w:r>
      <w:r>
        <w:rPr>
          <w:rFonts w:eastAsiaTheme="minorEastAsia" w:hint="eastAsia"/>
          <w:snapToGrid w:val="0"/>
          <w:kern w:val="22"/>
          <w:lang w:eastAsia="zh-CN"/>
        </w:rPr>
        <w:t>；</w:t>
      </w:r>
    </w:p>
    <w:p w:rsidR="00B41940" w:rsidRPr="0052695B" w:rsidRDefault="00B41940" w:rsidP="00615E7F">
      <w:pPr>
        <w:numPr>
          <w:ilvl w:val="0"/>
          <w:numId w:val="270"/>
        </w:numPr>
        <w:suppressLineNumbers/>
        <w:suppressAutoHyphens/>
        <w:topLinePunct/>
        <w:autoSpaceDE w:val="0"/>
        <w:autoSpaceDN w:val="0"/>
        <w:adjustRightInd w:val="0"/>
        <w:ind w:left="0" w:firstLine="720"/>
        <w:rPr>
          <w:rFonts w:eastAsiaTheme="minorEastAsia"/>
          <w:snapToGrid w:val="0"/>
          <w:kern w:val="22"/>
          <w:lang w:eastAsia="zh-CN"/>
        </w:rPr>
      </w:pPr>
      <w:r w:rsidRPr="004E305D">
        <w:rPr>
          <w:rFonts w:ascii="KaiTi" w:eastAsia="KaiTi" w:hAnsi="KaiTi" w:hint="eastAsia"/>
          <w:snapToGrid w:val="0"/>
          <w:kern w:val="22"/>
          <w:lang w:eastAsia="zh-CN"/>
        </w:rPr>
        <w:t>表示注意到</w:t>
      </w:r>
      <w:r w:rsidRPr="0052695B">
        <w:rPr>
          <w:rFonts w:eastAsiaTheme="minorEastAsia"/>
          <w:snapToGrid w:val="0"/>
          <w:kern w:val="22"/>
          <w:lang w:eastAsia="zh-CN"/>
        </w:rPr>
        <w:t>关于</w:t>
      </w:r>
      <w:r w:rsidRPr="0052695B">
        <w:rPr>
          <w:noProof/>
          <w:kern w:val="22"/>
          <w:lang w:eastAsia="zh-CN"/>
        </w:rPr>
        <w:t>遗传资源数字序列信息</w:t>
      </w:r>
      <w:r w:rsidRPr="0052695B">
        <w:rPr>
          <w:rFonts w:eastAsiaTheme="minorEastAsia"/>
          <w:snapToGrid w:val="0"/>
          <w:kern w:val="22"/>
          <w:lang w:eastAsia="zh-CN"/>
        </w:rPr>
        <w:t>的</w:t>
      </w:r>
      <w:r w:rsidRPr="0052695B">
        <w:rPr>
          <w:rFonts w:eastAsiaTheme="minorEastAsia" w:hint="eastAsia"/>
          <w:snapToGrid w:val="0"/>
          <w:kern w:val="22"/>
          <w:lang w:eastAsia="zh-CN"/>
        </w:rPr>
        <w:t>第</w:t>
      </w:r>
      <w:r w:rsidRPr="0052695B">
        <w:rPr>
          <w:rFonts w:eastAsiaTheme="minorEastAsia"/>
          <w:snapToGrid w:val="0"/>
          <w:kern w:val="22"/>
          <w:lang w:eastAsia="zh-CN"/>
        </w:rPr>
        <w:t>14/20</w:t>
      </w:r>
      <w:r w:rsidRPr="0052695B">
        <w:rPr>
          <w:rFonts w:eastAsiaTheme="minorEastAsia" w:hint="eastAsia"/>
          <w:snapToGrid w:val="0"/>
          <w:kern w:val="22"/>
          <w:lang w:eastAsia="zh-CN"/>
        </w:rPr>
        <w:t>号决定</w:t>
      </w:r>
      <w:r w:rsidRPr="0052695B">
        <w:rPr>
          <w:rFonts w:eastAsiaTheme="minorEastAsia"/>
          <w:snapToGrid w:val="0"/>
          <w:kern w:val="22"/>
          <w:lang w:eastAsia="zh-CN"/>
        </w:rPr>
        <w:t>。</w:t>
      </w:r>
    </w:p>
    <w:p w:rsidR="00B41940" w:rsidRPr="002E257D" w:rsidRDefault="00B41940" w:rsidP="00B41940">
      <w:pPr>
        <w:suppressLineNumbers/>
        <w:suppressAutoHyphens/>
        <w:topLinePunct/>
        <w:autoSpaceDE w:val="0"/>
        <w:autoSpaceDN w:val="0"/>
        <w:adjustRightInd w:val="0"/>
        <w:ind w:firstLine="0"/>
        <w:jc w:val="center"/>
        <w:rPr>
          <w:rFonts w:ascii="KaiTi" w:eastAsia="KaiTi" w:hAnsi="KaiTi"/>
          <w:snapToGrid w:val="0"/>
          <w:kern w:val="22"/>
          <w:lang w:eastAsia="zh-CN"/>
        </w:rPr>
      </w:pPr>
      <w:r w:rsidRPr="002E257D">
        <w:rPr>
          <w:rFonts w:ascii="KaiTi" w:eastAsia="KaiTi" w:hAnsi="KaiTi" w:hint="eastAsia"/>
          <w:snapToGrid w:val="0"/>
          <w:kern w:val="22"/>
          <w:lang w:eastAsia="zh-CN"/>
        </w:rPr>
        <w:t>附件</w:t>
      </w:r>
    </w:p>
    <w:p w:rsidR="00B41940" w:rsidRPr="006915F5" w:rsidRDefault="00B41940" w:rsidP="00B41940">
      <w:pPr>
        <w:suppressLineNumbers/>
        <w:ind w:firstLine="0"/>
        <w:jc w:val="center"/>
        <w:rPr>
          <w:b/>
          <w:caps/>
          <w:kern w:val="22"/>
          <w:lang w:eastAsia="zh-CN"/>
        </w:rPr>
      </w:pPr>
      <w:r w:rsidRPr="006915F5">
        <w:rPr>
          <w:rFonts w:hAnsi="SimSun" w:hint="eastAsia"/>
          <w:b/>
          <w:kern w:val="22"/>
          <w:lang w:val="zh-CN" w:eastAsia="zh-CN"/>
        </w:rPr>
        <w:t>制定</w:t>
      </w:r>
      <w:r w:rsidRPr="002071E3">
        <w:rPr>
          <w:b/>
          <w:kern w:val="22"/>
          <w:lang w:eastAsia="zh-CN"/>
        </w:rPr>
        <w:t>2020</w:t>
      </w:r>
      <w:r w:rsidRPr="006915F5">
        <w:rPr>
          <w:rFonts w:hAnsi="SimSun" w:hint="eastAsia"/>
          <w:b/>
          <w:kern w:val="22"/>
          <w:lang w:val="zh-CN" w:eastAsia="zh-CN"/>
        </w:rPr>
        <w:t>年后全球生物多样性框架的</w:t>
      </w:r>
      <w:r>
        <w:rPr>
          <w:rFonts w:hAnsi="SimSun" w:hint="eastAsia"/>
          <w:b/>
          <w:kern w:val="22"/>
          <w:lang w:val="zh-CN" w:eastAsia="zh-CN"/>
        </w:rPr>
        <w:t>筹备</w:t>
      </w:r>
      <w:r w:rsidRPr="006915F5">
        <w:rPr>
          <w:rFonts w:hAnsi="SimSun" w:hint="eastAsia"/>
          <w:b/>
          <w:kern w:val="22"/>
          <w:lang w:val="zh-CN" w:eastAsia="zh-CN"/>
        </w:rPr>
        <w:t>进程</w:t>
      </w:r>
    </w:p>
    <w:p w:rsidR="00B41940" w:rsidRPr="00177070" w:rsidRDefault="00B41940" w:rsidP="00615E7F">
      <w:pPr>
        <w:pStyle w:val="Para1"/>
        <w:numPr>
          <w:ilvl w:val="0"/>
          <w:numId w:val="268"/>
        </w:numPr>
        <w:suppressLineNumbers/>
        <w:adjustRightInd w:val="0"/>
        <w:snapToGrid w:val="0"/>
        <w:ind w:left="0" w:firstLine="0"/>
        <w:rPr>
          <w:kern w:val="22"/>
          <w:sz w:val="24"/>
          <w:szCs w:val="24"/>
          <w:lang w:eastAsia="zh-CN"/>
        </w:rPr>
      </w:pPr>
      <w:r w:rsidRPr="006915F5">
        <w:rPr>
          <w:rFonts w:hAnsi="SimSun" w:hint="eastAsia"/>
          <w:kern w:val="22"/>
          <w:sz w:val="24"/>
          <w:szCs w:val="24"/>
          <w:lang w:val="zh-CN" w:eastAsia="zh-CN"/>
        </w:rPr>
        <w:t>缔约方大会</w:t>
      </w:r>
      <w:r w:rsidRPr="006915F5">
        <w:rPr>
          <w:kern w:val="22"/>
          <w:sz w:val="24"/>
          <w:szCs w:val="24"/>
          <w:lang w:eastAsia="zh-CN"/>
        </w:rPr>
        <w:t>2020</w:t>
      </w:r>
      <w:r w:rsidRPr="006915F5">
        <w:rPr>
          <w:rFonts w:hAnsi="SimSun" w:hint="eastAsia"/>
          <w:kern w:val="22"/>
          <w:sz w:val="24"/>
          <w:szCs w:val="24"/>
          <w:lang w:val="zh-CN" w:eastAsia="zh-CN"/>
        </w:rPr>
        <w:t>年第十五届会议将通过</w:t>
      </w:r>
      <w:hyperlink r:id="rId91" w:history="1">
        <w:r w:rsidRPr="007D32CD">
          <w:rPr>
            <w:rFonts w:hAnsi="SimSun"/>
            <w:kern w:val="22"/>
            <w:sz w:val="24"/>
            <w:szCs w:val="24"/>
            <w:lang w:val="zh-CN" w:eastAsia="zh-CN"/>
          </w:rPr>
          <w:t>2020</w:t>
        </w:r>
        <w:r w:rsidRPr="007D32CD">
          <w:rPr>
            <w:rFonts w:hAnsi="SimSun" w:hint="eastAsia"/>
            <w:kern w:val="22"/>
            <w:sz w:val="24"/>
            <w:szCs w:val="24"/>
            <w:lang w:val="zh-CN" w:eastAsia="zh-CN"/>
          </w:rPr>
          <w:t>年后全球生物多样性框架</w:t>
        </w:r>
      </w:hyperlink>
      <w:r w:rsidRPr="006915F5">
        <w:rPr>
          <w:rFonts w:hAnsi="SimSun" w:hint="eastAsia"/>
          <w:kern w:val="22"/>
          <w:sz w:val="24"/>
          <w:szCs w:val="24"/>
          <w:lang w:val="zh-CN" w:eastAsia="zh-CN"/>
        </w:rPr>
        <w:t>。</w:t>
      </w:r>
      <w:r w:rsidRPr="006915F5">
        <w:rPr>
          <w:kern w:val="22"/>
          <w:sz w:val="24"/>
          <w:szCs w:val="24"/>
          <w:vertAlign w:val="superscript"/>
          <w:lang w:val="zh-CN"/>
        </w:rPr>
        <w:footnoteReference w:id="307"/>
      </w:r>
      <w:r>
        <w:rPr>
          <w:rFonts w:hAnsi="SimSun" w:hint="eastAsia"/>
          <w:kern w:val="22"/>
          <w:sz w:val="24"/>
          <w:szCs w:val="24"/>
          <w:lang w:val="zh-CN" w:eastAsia="zh-CN"/>
        </w:rPr>
        <w:t xml:space="preserve"> </w:t>
      </w:r>
      <w:r w:rsidRPr="006915F5">
        <w:rPr>
          <w:rFonts w:hAnsi="SimSun" w:hint="eastAsia"/>
          <w:kern w:val="22"/>
          <w:sz w:val="24"/>
          <w:szCs w:val="24"/>
          <w:lang w:val="zh-CN" w:eastAsia="zh-CN"/>
        </w:rPr>
        <w:t>第</w:t>
      </w:r>
      <w:r w:rsidRPr="006915F5">
        <w:rPr>
          <w:kern w:val="22"/>
          <w:sz w:val="24"/>
          <w:szCs w:val="24"/>
          <w:lang w:val="zh-CN" w:eastAsia="zh-CN"/>
        </w:rPr>
        <w:t>XIII/1</w:t>
      </w:r>
      <w:r w:rsidRPr="006915F5">
        <w:rPr>
          <w:rFonts w:hAnsi="SimSun" w:hint="eastAsia"/>
          <w:kern w:val="22"/>
          <w:sz w:val="24"/>
          <w:szCs w:val="24"/>
          <w:lang w:val="zh-CN" w:eastAsia="zh-CN"/>
        </w:rPr>
        <w:t>号决定规定了制定</w:t>
      </w:r>
      <w:r w:rsidRPr="006915F5">
        <w:rPr>
          <w:kern w:val="22"/>
          <w:sz w:val="24"/>
          <w:szCs w:val="24"/>
          <w:lang w:val="zh-CN" w:eastAsia="zh-CN"/>
        </w:rPr>
        <w:t>2020</w:t>
      </w:r>
      <w:r w:rsidRPr="006915F5">
        <w:rPr>
          <w:rFonts w:hAnsi="SimSun" w:hint="eastAsia"/>
          <w:kern w:val="22"/>
          <w:sz w:val="24"/>
          <w:szCs w:val="24"/>
          <w:lang w:val="zh-CN" w:eastAsia="zh-CN"/>
        </w:rPr>
        <w:t>年后全球生物多样性框架的任务</w:t>
      </w:r>
      <w:r>
        <w:rPr>
          <w:rFonts w:hAnsi="SimSun" w:hint="eastAsia"/>
          <w:kern w:val="22"/>
          <w:sz w:val="24"/>
          <w:szCs w:val="24"/>
          <w:lang w:val="zh-CN" w:eastAsia="zh-CN"/>
        </w:rPr>
        <w:t>，</w:t>
      </w:r>
      <w:r w:rsidRPr="006915F5">
        <w:rPr>
          <w:rFonts w:hAnsi="SimSun" w:hint="eastAsia"/>
          <w:kern w:val="22"/>
          <w:sz w:val="24"/>
          <w:szCs w:val="24"/>
          <w:lang w:val="zh-CN" w:eastAsia="zh-CN"/>
        </w:rPr>
        <w:t>并就其特点提供了指导，这些特点反映在下文一系列总体原则、工作安排、协商进程、文件编制和</w:t>
      </w:r>
      <w:r>
        <w:rPr>
          <w:rFonts w:hAnsi="SimSun" w:hint="eastAsia"/>
          <w:kern w:val="22"/>
          <w:sz w:val="24"/>
          <w:szCs w:val="24"/>
          <w:lang w:val="zh-CN" w:eastAsia="zh-CN"/>
        </w:rPr>
        <w:t>主要</w:t>
      </w:r>
      <w:r w:rsidRPr="006915F5">
        <w:rPr>
          <w:rFonts w:hAnsi="SimSun" w:hint="eastAsia"/>
          <w:kern w:val="22"/>
          <w:sz w:val="24"/>
          <w:szCs w:val="24"/>
          <w:lang w:val="zh-CN" w:eastAsia="zh-CN"/>
        </w:rPr>
        <w:t>信息来源中。</w:t>
      </w:r>
    </w:p>
    <w:p w:rsidR="00B41940" w:rsidRPr="007D32CD" w:rsidRDefault="00B41940" w:rsidP="00B41940">
      <w:pPr>
        <w:pStyle w:val="Heading2"/>
        <w:keepNext w:val="0"/>
        <w:suppressLineNumbers/>
        <w:suppressAutoHyphens/>
        <w:ind w:firstLine="0"/>
        <w:rPr>
          <w:bCs w:val="0"/>
          <w:i/>
          <w:iCs w:val="0"/>
          <w:sz w:val="24"/>
          <w:lang w:eastAsia="zh-CN"/>
        </w:rPr>
      </w:pPr>
      <w:bookmarkStart w:id="235" w:name="_Toc6243797"/>
      <w:r w:rsidRPr="007D32CD">
        <w:rPr>
          <w:bCs w:val="0"/>
          <w:iCs w:val="0"/>
          <w:noProof/>
          <w:kern w:val="22"/>
          <w:sz w:val="24"/>
          <w:lang w:eastAsia="zh-CN"/>
        </w:rPr>
        <w:t>A.</w:t>
      </w:r>
      <w:r w:rsidRPr="007D32CD">
        <w:rPr>
          <w:bCs w:val="0"/>
          <w:iCs w:val="0"/>
          <w:kern w:val="22"/>
          <w:sz w:val="24"/>
          <w:lang w:eastAsia="zh-CN"/>
        </w:rPr>
        <w:tab/>
      </w:r>
      <w:r w:rsidRPr="00B41940">
        <w:rPr>
          <w:rFonts w:ascii="Times New Roman Bold" w:hAnsi="Times New Roman Bold" w:hint="eastAsia"/>
          <w:snapToGrid w:val="0"/>
          <w:sz w:val="24"/>
          <w:shd w:val="clear" w:color="auto" w:fill="FFFFFF"/>
          <w:lang w:eastAsia="zh-CN"/>
        </w:rPr>
        <w:t>指导</w:t>
      </w:r>
      <w:r w:rsidRPr="007D32CD">
        <w:rPr>
          <w:bCs w:val="0"/>
          <w:iCs w:val="0"/>
          <w:sz w:val="24"/>
          <w:lang w:eastAsia="zh-CN"/>
        </w:rPr>
        <w:t>2020</w:t>
      </w:r>
      <w:r w:rsidRPr="007D32CD">
        <w:rPr>
          <w:rFonts w:hAnsi="SimSun" w:hint="eastAsia"/>
          <w:bCs w:val="0"/>
          <w:iCs w:val="0"/>
          <w:sz w:val="24"/>
          <w:lang w:val="zh-CN" w:eastAsia="zh-CN"/>
        </w:rPr>
        <w:t>年后全球生物多样性框架筹备进程的总体原则</w:t>
      </w:r>
      <w:bookmarkEnd w:id="235"/>
    </w:p>
    <w:p w:rsidR="00B41940" w:rsidRPr="006915F5" w:rsidRDefault="00B41940" w:rsidP="00615E7F">
      <w:pPr>
        <w:pStyle w:val="Para1"/>
        <w:numPr>
          <w:ilvl w:val="0"/>
          <w:numId w:val="268"/>
        </w:numPr>
        <w:suppressLineNumbers/>
        <w:adjustRightInd w:val="0"/>
        <w:snapToGrid w:val="0"/>
        <w:ind w:left="0" w:firstLine="0"/>
        <w:rPr>
          <w:kern w:val="22"/>
          <w:sz w:val="24"/>
          <w:szCs w:val="24"/>
          <w:lang w:eastAsia="zh-CN"/>
        </w:rPr>
      </w:pPr>
      <w:r w:rsidRPr="006915F5">
        <w:rPr>
          <w:rFonts w:hAnsi="SimSun" w:hint="eastAsia"/>
          <w:kern w:val="22"/>
          <w:sz w:val="24"/>
          <w:szCs w:val="24"/>
          <w:lang w:val="zh-CN" w:eastAsia="zh-CN"/>
        </w:rPr>
        <w:t>制定</w:t>
      </w:r>
      <w:r w:rsidRPr="006915F5">
        <w:rPr>
          <w:kern w:val="22"/>
          <w:sz w:val="24"/>
          <w:szCs w:val="24"/>
          <w:lang w:eastAsia="zh-CN"/>
        </w:rPr>
        <w:t>2020</w:t>
      </w:r>
      <w:r w:rsidRPr="006915F5">
        <w:rPr>
          <w:rFonts w:hAnsi="SimSun" w:hint="eastAsia"/>
          <w:kern w:val="22"/>
          <w:sz w:val="24"/>
          <w:szCs w:val="24"/>
          <w:lang w:val="zh-CN" w:eastAsia="zh-CN"/>
        </w:rPr>
        <w:t>年后全球生物多样性框架的进程将由缔约方主导</w:t>
      </w:r>
      <w:r w:rsidRPr="006915F5">
        <w:rPr>
          <w:rFonts w:hAnsi="SimSun" w:hint="eastAsia"/>
          <w:kern w:val="22"/>
          <w:sz w:val="24"/>
          <w:szCs w:val="24"/>
          <w:lang w:eastAsia="zh-CN"/>
        </w:rPr>
        <w:t>，</w:t>
      </w:r>
      <w:r w:rsidRPr="006915F5">
        <w:rPr>
          <w:rFonts w:hAnsi="SimSun" w:hint="eastAsia"/>
          <w:kern w:val="22"/>
          <w:sz w:val="24"/>
          <w:szCs w:val="24"/>
          <w:lang w:val="zh-CN" w:eastAsia="zh-CN"/>
        </w:rPr>
        <w:t>并以下列原则为指导</w:t>
      </w:r>
      <w:r w:rsidRPr="006915F5">
        <w:rPr>
          <w:rFonts w:hAnsi="SimSun" w:hint="eastAsia"/>
          <w:kern w:val="22"/>
          <w:sz w:val="24"/>
          <w:szCs w:val="24"/>
          <w:lang w:eastAsia="zh-CN"/>
        </w:rPr>
        <w:t>：</w:t>
      </w:r>
    </w:p>
    <w:p w:rsidR="00B41940" w:rsidRPr="00CC7688" w:rsidRDefault="00B41940" w:rsidP="00615E7F">
      <w:pPr>
        <w:numPr>
          <w:ilvl w:val="1"/>
          <w:numId w:val="269"/>
        </w:numPr>
        <w:suppressLineNumbers/>
        <w:ind w:left="0" w:firstLine="709"/>
        <w:rPr>
          <w:lang w:eastAsia="zh-CN"/>
        </w:rPr>
      </w:pPr>
      <w:r w:rsidRPr="00CC7688">
        <w:rPr>
          <w:rFonts w:ascii="KaiTi" w:eastAsia="KaiTi" w:hAnsi="KaiTi" w:hint="eastAsia"/>
          <w:lang w:eastAsia="zh-CN" w:bidi="th-TH"/>
        </w:rPr>
        <w:t>参与性</w:t>
      </w:r>
      <w:r w:rsidRPr="00CC7688">
        <w:rPr>
          <w:lang w:eastAsia="zh-CN"/>
        </w:rPr>
        <w:t xml:space="preserve"> </w:t>
      </w:r>
      <w:r w:rsidRPr="00CC7688">
        <w:rPr>
          <w:rFonts w:ascii="SimSun"/>
          <w:lang w:eastAsia="zh-CN"/>
        </w:rPr>
        <w:t>-</w:t>
      </w:r>
      <w:r w:rsidRPr="00CC7688">
        <w:rPr>
          <w:lang w:eastAsia="zh-CN"/>
        </w:rPr>
        <w:t xml:space="preserve"> </w:t>
      </w:r>
      <w:r w:rsidRPr="00CC7688">
        <w:rPr>
          <w:rFonts w:hint="eastAsia"/>
          <w:lang w:val="zh-CN" w:eastAsia="zh-CN"/>
        </w:rPr>
        <w:t>虽然由缔约方主导</w:t>
      </w:r>
      <w:r w:rsidRPr="00CC7688">
        <w:rPr>
          <w:rFonts w:hint="eastAsia"/>
          <w:lang w:eastAsia="zh-CN"/>
        </w:rPr>
        <w:t>，</w:t>
      </w:r>
      <w:r w:rsidRPr="00CC7688">
        <w:rPr>
          <w:rFonts w:hint="eastAsia"/>
          <w:lang w:val="zh-CN" w:eastAsia="zh-CN"/>
        </w:rPr>
        <w:t>但鉴于关于</w:t>
      </w:r>
      <w:r w:rsidRPr="00CC7688">
        <w:rPr>
          <w:lang w:val="zh-CN" w:eastAsia="zh-CN"/>
        </w:rPr>
        <w:t>参与</w:t>
      </w:r>
      <w:r>
        <w:rPr>
          <w:rFonts w:hint="eastAsia"/>
          <w:lang w:val="zh-CN" w:eastAsia="zh-CN"/>
        </w:rPr>
        <w:t>问题</w:t>
      </w:r>
      <w:r w:rsidRPr="00CC7688">
        <w:rPr>
          <w:lang w:val="zh-CN" w:eastAsia="zh-CN"/>
        </w:rPr>
        <w:t>的</w:t>
      </w:r>
      <w:r w:rsidRPr="00CC7688">
        <w:rPr>
          <w:rFonts w:hint="eastAsia"/>
          <w:lang w:val="zh-CN" w:eastAsia="zh-CN"/>
        </w:rPr>
        <w:t>《环境与发展确认里约宣言》</w:t>
      </w:r>
      <w:r w:rsidRPr="00B72FA3">
        <w:rPr>
          <w:rStyle w:val="FootnoteReference"/>
          <w:sz w:val="24"/>
          <w:u w:val="none"/>
          <w:vertAlign w:val="superscript"/>
          <w:lang w:val="zh-CN"/>
        </w:rPr>
        <w:footnoteReference w:id="308"/>
      </w:r>
      <w:r w:rsidRPr="00B72FA3">
        <w:rPr>
          <w:rStyle w:val="FootnoteReference"/>
          <w:sz w:val="24"/>
          <w:u w:val="none"/>
          <w:vertAlign w:val="superscript"/>
          <w:lang w:val="zh-CN" w:eastAsia="zh-CN"/>
        </w:rPr>
        <w:t xml:space="preserve"> </w:t>
      </w:r>
      <w:r>
        <w:rPr>
          <w:rFonts w:hint="eastAsia"/>
          <w:lang w:val="zh-CN" w:eastAsia="zh-CN"/>
        </w:rPr>
        <w:t>的</w:t>
      </w:r>
      <w:r>
        <w:rPr>
          <w:lang w:val="zh-CN" w:eastAsia="zh-CN"/>
        </w:rPr>
        <w:t>原则，</w:t>
      </w:r>
      <w:r>
        <w:rPr>
          <w:rFonts w:hint="eastAsia"/>
          <w:lang w:val="zh-CN" w:eastAsia="zh-CN"/>
        </w:rPr>
        <w:t>本</w:t>
      </w:r>
      <w:r w:rsidRPr="00CC7688">
        <w:rPr>
          <w:rFonts w:hint="eastAsia"/>
          <w:lang w:val="zh-CN" w:eastAsia="zh-CN"/>
        </w:rPr>
        <w:t>进程将使所有希望参与</w:t>
      </w:r>
      <w:r>
        <w:rPr>
          <w:rFonts w:hint="eastAsia"/>
          <w:lang w:val="zh-CN" w:eastAsia="zh-CN"/>
        </w:rPr>
        <w:t>进程</w:t>
      </w:r>
      <w:r w:rsidRPr="00CC7688">
        <w:rPr>
          <w:rFonts w:hint="eastAsia"/>
          <w:lang w:val="zh-CN" w:eastAsia="zh-CN"/>
        </w:rPr>
        <w:t>的所有各方均能切实有效地参与</w:t>
      </w:r>
      <w:r w:rsidRPr="00CC7688">
        <w:rPr>
          <w:rFonts w:hint="eastAsia"/>
          <w:lang w:eastAsia="zh-CN"/>
        </w:rPr>
        <w:t>，</w:t>
      </w:r>
      <w:r w:rsidRPr="00CC7688">
        <w:rPr>
          <w:rFonts w:hint="eastAsia"/>
          <w:lang w:val="zh-CN" w:eastAsia="zh-CN"/>
        </w:rPr>
        <w:t>包括参加相关的讲习班、磋商和正式会议以及依照《公约》的议事规则就讨论和正式文件提出反馈和</w:t>
      </w:r>
      <w:r>
        <w:rPr>
          <w:rFonts w:hint="eastAsia"/>
          <w:lang w:val="zh-CN" w:eastAsia="zh-CN"/>
        </w:rPr>
        <w:t>评论</w:t>
      </w:r>
      <w:r w:rsidRPr="00CC7688">
        <w:rPr>
          <w:rFonts w:hint="eastAsia"/>
          <w:lang w:eastAsia="zh-CN"/>
        </w:rPr>
        <w:t>；</w:t>
      </w:r>
    </w:p>
    <w:p w:rsidR="00B41940" w:rsidRPr="006915F5" w:rsidRDefault="00B41940" w:rsidP="00615E7F">
      <w:pPr>
        <w:numPr>
          <w:ilvl w:val="1"/>
          <w:numId w:val="269"/>
        </w:numPr>
        <w:suppressLineNumbers/>
        <w:ind w:left="0" w:firstLine="709"/>
        <w:rPr>
          <w:lang w:eastAsia="zh-CN"/>
        </w:rPr>
      </w:pPr>
      <w:r w:rsidRPr="00C81A13">
        <w:rPr>
          <w:rFonts w:ascii="KaiTi" w:eastAsia="KaiTi" w:hAnsi="KaiTi" w:hint="eastAsia"/>
          <w:kern w:val="22"/>
          <w:lang w:eastAsia="zh-CN" w:bidi="th-TH"/>
        </w:rPr>
        <w:t>包容性</w:t>
      </w:r>
      <w:r w:rsidRPr="006915F5">
        <w:rPr>
          <w:i/>
          <w:kern w:val="22"/>
          <w:lang w:eastAsia="zh-CN"/>
        </w:rPr>
        <w:t xml:space="preserve"> – </w:t>
      </w:r>
      <w:r>
        <w:rPr>
          <w:rFonts w:hAnsi="SimSun" w:hint="eastAsia"/>
          <w:kern w:val="22"/>
          <w:lang w:val="zh-CN" w:eastAsia="zh-CN"/>
        </w:rPr>
        <w:t>本</w:t>
      </w:r>
      <w:r w:rsidRPr="006915F5">
        <w:rPr>
          <w:rFonts w:hAnsi="SimSun" w:hint="eastAsia"/>
          <w:kern w:val="22"/>
          <w:lang w:val="zh-CN" w:eastAsia="zh-CN"/>
        </w:rPr>
        <w:t>进程将</w:t>
      </w:r>
      <w:r>
        <w:rPr>
          <w:rFonts w:hAnsi="SimSun" w:hint="eastAsia"/>
          <w:kern w:val="22"/>
          <w:lang w:val="zh-CN" w:eastAsia="zh-CN"/>
        </w:rPr>
        <w:t>有助于所有相关群体</w:t>
      </w:r>
      <w:r w:rsidRPr="006915F5">
        <w:rPr>
          <w:rFonts w:hAnsi="SimSun" w:hint="eastAsia"/>
          <w:kern w:val="22"/>
          <w:lang w:val="zh-CN" w:eastAsia="zh-CN"/>
        </w:rPr>
        <w:t>和利益攸关方提出它们备供审议的意见。这包括缔约方、其他各国政府、土著人民和地方社区、联合国组织和方案、其他多边环境协定、国家以下级政府</w:t>
      </w:r>
      <w:r>
        <w:rPr>
          <w:rFonts w:hAnsi="SimSun" w:hint="eastAsia"/>
          <w:kern w:val="22"/>
          <w:lang w:val="zh-CN" w:eastAsia="zh-CN"/>
        </w:rPr>
        <w:t>、</w:t>
      </w:r>
      <w:r>
        <w:rPr>
          <w:rFonts w:hAnsi="SimSun"/>
          <w:kern w:val="22"/>
          <w:lang w:val="zh-CN" w:eastAsia="zh-CN"/>
        </w:rPr>
        <w:t>城市和其他地方当局</w:t>
      </w:r>
      <w:r w:rsidRPr="006915F5">
        <w:rPr>
          <w:rFonts w:hAnsi="SimSun" w:hint="eastAsia"/>
          <w:kern w:val="22"/>
          <w:lang w:val="zh-CN" w:eastAsia="zh-CN"/>
        </w:rPr>
        <w:t>、政府间组织、非政府组织、妇女团体、青年团体、企业界和金融界、科学界、学术界、宗教组织、与生物多样性有关或依赖生物多样性的部门代表、广大公民以及其他利益攸关方。应努力在一向参与《公约》和两项《议定书》工作的行为者之外广泛征求意见</w:t>
      </w:r>
      <w:r w:rsidRPr="006915F5">
        <w:rPr>
          <w:rFonts w:hAnsi="SimSun" w:hint="eastAsia"/>
          <w:kern w:val="22"/>
          <w:lang w:eastAsia="zh-CN"/>
        </w:rPr>
        <w:t>；</w:t>
      </w:r>
    </w:p>
    <w:p w:rsidR="00B41940" w:rsidRPr="006915F5" w:rsidRDefault="00B41940" w:rsidP="00615E7F">
      <w:pPr>
        <w:widowControl w:val="0"/>
        <w:numPr>
          <w:ilvl w:val="1"/>
          <w:numId w:val="269"/>
        </w:numPr>
        <w:suppressLineNumbers/>
        <w:ind w:left="0" w:firstLine="706"/>
        <w:rPr>
          <w:kern w:val="22"/>
          <w:lang w:eastAsia="zh-CN"/>
        </w:rPr>
      </w:pPr>
      <w:r w:rsidRPr="00C81A13">
        <w:rPr>
          <w:rFonts w:ascii="KaiTi" w:eastAsia="KaiTi" w:hAnsi="KaiTi" w:hint="eastAsia"/>
          <w:kern w:val="22"/>
          <w:lang w:eastAsia="zh-CN" w:bidi="th-TH"/>
        </w:rPr>
        <w:t>促进性别平等</w:t>
      </w:r>
      <w:r w:rsidRPr="006915F5">
        <w:rPr>
          <w:kern w:val="22"/>
          <w:lang w:eastAsia="zh-CN"/>
        </w:rPr>
        <w:t xml:space="preserve"> – </w:t>
      </w:r>
      <w:r>
        <w:rPr>
          <w:rFonts w:hAnsi="SimSun" w:hint="eastAsia"/>
          <w:kern w:val="22"/>
          <w:lang w:val="zh-CN" w:eastAsia="zh-CN"/>
        </w:rPr>
        <w:t>本</w:t>
      </w:r>
      <w:r w:rsidRPr="006915F5">
        <w:rPr>
          <w:rFonts w:hAnsi="SimSun" w:hint="eastAsia"/>
          <w:kern w:val="22"/>
          <w:lang w:val="zh-CN" w:eastAsia="zh-CN"/>
        </w:rPr>
        <w:t>进程将促进性别平等</w:t>
      </w:r>
      <w:r w:rsidRPr="006915F5">
        <w:rPr>
          <w:rFonts w:hAnsi="SimSun" w:hint="eastAsia"/>
          <w:kern w:val="22"/>
          <w:lang w:eastAsia="zh-CN"/>
        </w:rPr>
        <w:t>，</w:t>
      </w:r>
      <w:r w:rsidRPr="006915F5">
        <w:rPr>
          <w:rFonts w:hAnsi="SimSun" w:hint="eastAsia"/>
          <w:kern w:val="22"/>
          <w:lang w:val="zh-CN" w:eastAsia="zh-CN"/>
        </w:rPr>
        <w:t>有系统地</w:t>
      </w:r>
      <w:r>
        <w:rPr>
          <w:rFonts w:hAnsi="SimSun" w:hint="eastAsia"/>
          <w:kern w:val="22"/>
          <w:lang w:val="zh-CN" w:eastAsia="zh-CN"/>
        </w:rPr>
        <w:t>纳入</w:t>
      </w:r>
      <w:r w:rsidRPr="006915F5">
        <w:rPr>
          <w:rFonts w:hAnsi="SimSun" w:hint="eastAsia"/>
          <w:kern w:val="22"/>
          <w:lang w:val="zh-CN" w:eastAsia="zh-CN"/>
        </w:rPr>
        <w:t>性别观点</w:t>
      </w:r>
      <w:r>
        <w:rPr>
          <w:rFonts w:hAnsi="SimSun" w:hint="eastAsia"/>
          <w:kern w:val="22"/>
          <w:lang w:val="zh-CN" w:eastAsia="zh-CN"/>
        </w:rPr>
        <w:t>和</w:t>
      </w:r>
      <w:r w:rsidRPr="006915F5">
        <w:rPr>
          <w:rFonts w:hAnsi="SimSun" w:hint="eastAsia"/>
          <w:kern w:val="22"/>
          <w:lang w:val="zh-CN" w:eastAsia="zh-CN"/>
        </w:rPr>
        <w:t>确保</w:t>
      </w:r>
      <w:r>
        <w:rPr>
          <w:rFonts w:hAnsi="SimSun" w:hint="eastAsia"/>
          <w:kern w:val="22"/>
          <w:lang w:val="zh-CN" w:eastAsia="zh-CN"/>
        </w:rPr>
        <w:t>进程</w:t>
      </w:r>
      <w:r>
        <w:rPr>
          <w:rFonts w:hAnsi="SimSun"/>
          <w:kern w:val="22"/>
          <w:lang w:val="zh-CN" w:eastAsia="zh-CN"/>
        </w:rPr>
        <w:t>具有</w:t>
      </w:r>
      <w:r w:rsidRPr="006915F5">
        <w:rPr>
          <w:rFonts w:hAnsi="SimSun" w:hint="eastAsia"/>
          <w:kern w:val="22"/>
          <w:lang w:val="zh-CN" w:eastAsia="zh-CN"/>
        </w:rPr>
        <w:t>适当的代表性</w:t>
      </w:r>
      <w:r w:rsidRPr="006915F5">
        <w:rPr>
          <w:rFonts w:hAnsi="SimSun" w:hint="eastAsia"/>
          <w:kern w:val="22"/>
          <w:lang w:eastAsia="zh-CN"/>
        </w:rPr>
        <w:t>，</w:t>
      </w:r>
      <w:r w:rsidRPr="006915F5">
        <w:rPr>
          <w:rFonts w:hAnsi="SimSun" w:hint="eastAsia"/>
          <w:kern w:val="22"/>
          <w:lang w:val="zh-CN" w:eastAsia="zh-CN"/>
        </w:rPr>
        <w:t>特别是妇女和</w:t>
      </w:r>
      <w:r>
        <w:rPr>
          <w:rFonts w:hAnsi="SimSun" w:hint="eastAsia"/>
          <w:kern w:val="22"/>
          <w:lang w:val="zh-CN" w:eastAsia="zh-CN"/>
        </w:rPr>
        <w:t>女童</w:t>
      </w:r>
      <w:r w:rsidRPr="006915F5">
        <w:rPr>
          <w:rFonts w:hAnsi="SimSun" w:hint="eastAsia"/>
          <w:kern w:val="22"/>
          <w:lang w:val="zh-CN" w:eastAsia="zh-CN"/>
        </w:rPr>
        <w:t>的代表性。</w:t>
      </w:r>
      <w:r w:rsidRPr="006915F5">
        <w:rPr>
          <w:rFonts w:hAnsi="SimSun" w:hint="eastAsia"/>
          <w:lang w:val="zh-CN" w:eastAsia="zh-CN"/>
        </w:rPr>
        <w:t>应努力推动收集、分析和使用与</w:t>
      </w:r>
      <w:r>
        <w:rPr>
          <w:rFonts w:hAnsi="SimSun" w:hint="eastAsia"/>
          <w:lang w:val="zh-CN" w:eastAsia="zh-CN"/>
        </w:rPr>
        <w:t>促进</w:t>
      </w:r>
      <w:r w:rsidRPr="006915F5">
        <w:rPr>
          <w:rFonts w:hAnsi="SimSun" w:hint="eastAsia"/>
          <w:lang w:val="zh-CN" w:eastAsia="zh-CN"/>
        </w:rPr>
        <w:t>性别</w:t>
      </w:r>
      <w:r>
        <w:rPr>
          <w:rFonts w:hAnsi="SimSun" w:hint="eastAsia"/>
          <w:lang w:val="zh-CN" w:eastAsia="zh-CN"/>
        </w:rPr>
        <w:t>平等</w:t>
      </w:r>
      <w:r w:rsidRPr="006915F5">
        <w:rPr>
          <w:rFonts w:hAnsi="SimSun" w:hint="eastAsia"/>
          <w:lang w:val="zh-CN" w:eastAsia="zh-CN"/>
        </w:rPr>
        <w:t>的数据</w:t>
      </w:r>
      <w:r w:rsidRPr="006915F5">
        <w:rPr>
          <w:rFonts w:hAnsi="SimSun" w:hint="eastAsia"/>
          <w:lang w:eastAsia="zh-CN"/>
        </w:rPr>
        <w:t>，</w:t>
      </w:r>
      <w:r w:rsidRPr="006915F5">
        <w:rPr>
          <w:rFonts w:hAnsi="SimSun" w:hint="eastAsia"/>
          <w:lang w:val="zh-CN" w:eastAsia="zh-CN"/>
        </w:rPr>
        <w:t>包括按性别分类的数据</w:t>
      </w:r>
      <w:r w:rsidRPr="006915F5">
        <w:rPr>
          <w:rFonts w:hAnsi="SimSun" w:hint="eastAsia"/>
          <w:lang w:eastAsia="zh-CN"/>
        </w:rPr>
        <w:t>；</w:t>
      </w:r>
      <w:r w:rsidRPr="00B72FA3">
        <w:rPr>
          <w:rStyle w:val="FootnoteReference"/>
          <w:sz w:val="24"/>
          <w:u w:val="none"/>
          <w:vertAlign w:val="superscript"/>
          <w:lang w:val="zh-CN"/>
        </w:rPr>
        <w:footnoteReference w:id="309"/>
      </w:r>
    </w:p>
    <w:p w:rsidR="00B41940" w:rsidRPr="006915F5" w:rsidRDefault="00B41940" w:rsidP="00615E7F">
      <w:pPr>
        <w:widowControl w:val="0"/>
        <w:numPr>
          <w:ilvl w:val="1"/>
          <w:numId w:val="269"/>
        </w:numPr>
        <w:suppressLineNumbers/>
        <w:ind w:left="0" w:firstLine="706"/>
        <w:rPr>
          <w:lang w:eastAsia="zh-CN"/>
        </w:rPr>
      </w:pPr>
      <w:r w:rsidRPr="00C81A13">
        <w:rPr>
          <w:rFonts w:ascii="KaiTi" w:eastAsia="KaiTi" w:hAnsi="KaiTi" w:hint="eastAsia"/>
          <w:kern w:val="22"/>
          <w:lang w:eastAsia="zh-CN" w:bidi="th-TH"/>
        </w:rPr>
        <w:t>变革性</w:t>
      </w:r>
      <w:r w:rsidRPr="006915F5">
        <w:rPr>
          <w:kern w:val="22"/>
          <w:lang w:eastAsia="zh-CN"/>
        </w:rPr>
        <w:t xml:space="preserve"> – </w:t>
      </w:r>
      <w:r>
        <w:rPr>
          <w:rFonts w:hAnsi="SimSun" w:hint="eastAsia"/>
          <w:kern w:val="22"/>
          <w:lang w:val="zh-CN" w:eastAsia="zh-CN"/>
        </w:rPr>
        <w:t>本</w:t>
      </w:r>
      <w:r w:rsidRPr="006915F5">
        <w:rPr>
          <w:rFonts w:hAnsi="SimSun" w:hint="eastAsia"/>
          <w:kern w:val="22"/>
          <w:lang w:val="zh-CN" w:eastAsia="zh-CN"/>
        </w:rPr>
        <w:t>进程将动员广泛的社会参与以实现可持续的快速转型</w:t>
      </w:r>
      <w:r w:rsidRPr="006915F5">
        <w:rPr>
          <w:rFonts w:hAnsi="SimSun" w:hint="eastAsia"/>
          <w:kern w:val="22"/>
          <w:lang w:eastAsia="zh-CN"/>
        </w:rPr>
        <w:t>，</w:t>
      </w:r>
      <w:r w:rsidRPr="006915F5">
        <w:rPr>
          <w:rFonts w:hAnsi="SimSun" w:hint="eastAsia"/>
          <w:kern w:val="22"/>
          <w:lang w:val="zh-CN" w:eastAsia="zh-CN"/>
        </w:rPr>
        <w:t>以便落实《公约》的三项目标</w:t>
      </w:r>
      <w:r w:rsidRPr="006915F5">
        <w:rPr>
          <w:rFonts w:hAnsi="SimSun" w:hint="eastAsia"/>
          <w:kern w:val="22"/>
          <w:lang w:eastAsia="zh-CN"/>
        </w:rPr>
        <w:t>，</w:t>
      </w:r>
      <w:r w:rsidRPr="006915F5">
        <w:rPr>
          <w:rFonts w:hAnsi="SimSun" w:hint="eastAsia"/>
          <w:kern w:val="22"/>
          <w:lang w:val="zh-CN" w:eastAsia="zh-CN"/>
        </w:rPr>
        <w:t>从而将生物多样性和生态系统视为支持地球上生命的必要基础设施</w:t>
      </w:r>
      <w:r w:rsidRPr="006915F5">
        <w:rPr>
          <w:rFonts w:hAnsi="SimSun" w:hint="eastAsia"/>
          <w:kern w:val="22"/>
          <w:lang w:eastAsia="zh-CN"/>
        </w:rPr>
        <w:t>，</w:t>
      </w:r>
      <w:r w:rsidRPr="006915F5">
        <w:rPr>
          <w:rFonts w:hAnsi="SimSun" w:hint="eastAsia"/>
          <w:kern w:val="22"/>
          <w:lang w:val="zh-CN" w:eastAsia="zh-CN"/>
        </w:rPr>
        <w:lastRenderedPageBreak/>
        <w:t>如缺乏这一基础设施</w:t>
      </w:r>
      <w:r w:rsidRPr="006915F5">
        <w:rPr>
          <w:rFonts w:hAnsi="SimSun" w:hint="eastAsia"/>
          <w:kern w:val="22"/>
          <w:lang w:eastAsia="zh-CN"/>
        </w:rPr>
        <w:t>，</w:t>
      </w:r>
      <w:r w:rsidRPr="006915F5">
        <w:rPr>
          <w:rFonts w:hAnsi="SimSun" w:hint="eastAsia"/>
          <w:kern w:val="22"/>
          <w:lang w:val="zh-CN" w:eastAsia="zh-CN"/>
        </w:rPr>
        <w:t>人类发展和福祉便无从谈起。该进程将把生物多样性、其养护、可持续使用其组成部分以及公正和公平地分享利用遗传资源所产生的惠益置于可持续发展议程的核心位置，同时认识到生物多样性和文化多样性之间的重要联系；</w:t>
      </w:r>
    </w:p>
    <w:p w:rsidR="00B41940" w:rsidRPr="00C84E39" w:rsidRDefault="00B41940" w:rsidP="00615E7F">
      <w:pPr>
        <w:widowControl w:val="0"/>
        <w:numPr>
          <w:ilvl w:val="1"/>
          <w:numId w:val="269"/>
        </w:numPr>
        <w:suppressLineNumbers/>
        <w:ind w:left="0" w:firstLine="706"/>
        <w:rPr>
          <w:lang w:eastAsia="zh-CN"/>
        </w:rPr>
      </w:pPr>
      <w:r>
        <w:rPr>
          <w:rFonts w:ascii="KaiTi" w:eastAsia="KaiTi" w:hAnsi="KaiTi" w:hint="eastAsia"/>
          <w:kern w:val="22"/>
          <w:lang w:eastAsia="zh-CN" w:bidi="th-TH"/>
        </w:rPr>
        <w:t>全面</w:t>
      </w:r>
      <w:r w:rsidRPr="00C81A13">
        <w:rPr>
          <w:rFonts w:ascii="KaiTi" w:eastAsia="KaiTi" w:hAnsi="KaiTi" w:hint="eastAsia"/>
          <w:kern w:val="22"/>
          <w:lang w:eastAsia="zh-CN" w:bidi="th-TH"/>
        </w:rPr>
        <w:t>性</w:t>
      </w:r>
      <w:r w:rsidRPr="006915F5">
        <w:rPr>
          <w:kern w:val="22"/>
          <w:lang w:eastAsia="zh-CN"/>
        </w:rPr>
        <w:t xml:space="preserve"> – </w:t>
      </w:r>
      <w:r>
        <w:rPr>
          <w:rFonts w:hAnsi="SimSun" w:hint="eastAsia"/>
          <w:kern w:val="22"/>
          <w:lang w:val="zh-CN" w:eastAsia="zh-CN"/>
        </w:rPr>
        <w:t>本</w:t>
      </w:r>
      <w:r w:rsidRPr="006915F5">
        <w:rPr>
          <w:rFonts w:hAnsi="SimSun" w:hint="eastAsia"/>
          <w:kern w:val="22"/>
          <w:lang w:val="zh-CN" w:eastAsia="zh-CN"/>
        </w:rPr>
        <w:t>进程将使对与《公约》及其《议定书》有关的所有问题提出反馈成为可能。它还将利用一切可得的信息并考虑其他相关国际框架、战略和计划；</w:t>
      </w:r>
    </w:p>
    <w:p w:rsidR="00B41940" w:rsidRPr="006915F5" w:rsidRDefault="00B41940" w:rsidP="00615E7F">
      <w:pPr>
        <w:widowControl w:val="0"/>
        <w:numPr>
          <w:ilvl w:val="1"/>
          <w:numId w:val="269"/>
        </w:numPr>
        <w:suppressLineNumbers/>
        <w:ind w:left="0" w:firstLine="706"/>
        <w:rPr>
          <w:kern w:val="22"/>
          <w:lang w:eastAsia="zh-CN"/>
        </w:rPr>
      </w:pPr>
      <w:r w:rsidRPr="00C81A13">
        <w:rPr>
          <w:rFonts w:ascii="KaiTi" w:eastAsia="KaiTi" w:hAnsi="KaiTi" w:hint="eastAsia"/>
          <w:kern w:val="22"/>
          <w:lang w:eastAsia="zh-CN" w:bidi="th-TH"/>
        </w:rPr>
        <w:t>催化作用</w:t>
      </w:r>
      <w:r w:rsidRPr="006915F5">
        <w:rPr>
          <w:kern w:val="22"/>
          <w:lang w:eastAsia="zh-CN"/>
        </w:rPr>
        <w:t xml:space="preserve"> – </w:t>
      </w:r>
      <w:r>
        <w:rPr>
          <w:rFonts w:hAnsi="SimSun" w:hint="eastAsia"/>
          <w:kern w:val="22"/>
          <w:lang w:val="zh-CN" w:eastAsia="zh-CN"/>
        </w:rPr>
        <w:t>本</w:t>
      </w:r>
      <w:r w:rsidRPr="006915F5">
        <w:rPr>
          <w:rFonts w:hAnsi="SimSun" w:hint="eastAsia"/>
          <w:kern w:val="22"/>
          <w:lang w:val="zh-CN" w:eastAsia="zh-CN"/>
        </w:rPr>
        <w:t>进程应有助于掀起一场全球范围的生物多样性运动</w:t>
      </w:r>
      <w:r w:rsidRPr="006915F5">
        <w:rPr>
          <w:rFonts w:hAnsi="SimSun" w:hint="eastAsia"/>
          <w:kern w:val="22"/>
          <w:lang w:eastAsia="zh-CN"/>
        </w:rPr>
        <w:t>，</w:t>
      </w:r>
      <w:r w:rsidRPr="006915F5">
        <w:rPr>
          <w:rFonts w:hAnsi="SimSun" w:hint="eastAsia"/>
          <w:kern w:val="22"/>
          <w:lang w:val="zh-CN" w:eastAsia="zh-CN"/>
        </w:rPr>
        <w:t>强调政治紧迫感</w:t>
      </w:r>
      <w:r w:rsidRPr="006915F5">
        <w:rPr>
          <w:rFonts w:hAnsi="SimSun" w:hint="eastAsia"/>
          <w:kern w:val="22"/>
          <w:lang w:eastAsia="zh-CN"/>
        </w:rPr>
        <w:t>，</w:t>
      </w:r>
      <w:r w:rsidRPr="006915F5">
        <w:rPr>
          <w:rFonts w:hAnsi="SimSun" w:hint="eastAsia"/>
          <w:kern w:val="22"/>
          <w:lang w:val="zh-CN" w:eastAsia="zh-CN"/>
        </w:rPr>
        <w:t>并动员多利益攸关方伙伴关系在地方、国家、区域和全球各级开展具体行动</w:t>
      </w:r>
      <w:r w:rsidRPr="006915F5">
        <w:rPr>
          <w:rFonts w:hAnsi="SimSun" w:hint="eastAsia"/>
          <w:kern w:val="22"/>
          <w:lang w:eastAsia="zh-CN"/>
        </w:rPr>
        <w:t>；</w:t>
      </w:r>
    </w:p>
    <w:p w:rsidR="00B41940" w:rsidRPr="006915F5" w:rsidRDefault="00B41940" w:rsidP="00615E7F">
      <w:pPr>
        <w:widowControl w:val="0"/>
        <w:numPr>
          <w:ilvl w:val="1"/>
          <w:numId w:val="269"/>
        </w:numPr>
        <w:suppressLineNumbers/>
        <w:ind w:left="0" w:firstLine="706"/>
        <w:rPr>
          <w:kern w:val="22"/>
          <w:lang w:eastAsia="zh-CN"/>
        </w:rPr>
      </w:pPr>
      <w:r w:rsidRPr="00C81A13">
        <w:rPr>
          <w:rFonts w:ascii="KaiTi" w:eastAsia="KaiTi" w:hAnsi="KaiTi" w:hint="eastAsia"/>
          <w:kern w:val="22"/>
          <w:lang w:eastAsia="zh-CN" w:bidi="th-TH"/>
        </w:rPr>
        <w:t>可见性</w:t>
      </w:r>
      <w:r w:rsidRPr="006915F5">
        <w:rPr>
          <w:lang w:eastAsia="zh-CN"/>
        </w:rPr>
        <w:t xml:space="preserve"> </w:t>
      </w:r>
      <w:r w:rsidRPr="006915F5">
        <w:rPr>
          <w:rFonts w:ascii="SimSun" w:hAnsi="SimSun"/>
          <w:lang w:eastAsia="zh-CN"/>
        </w:rPr>
        <w:t>-</w:t>
      </w:r>
      <w:r w:rsidRPr="006915F5">
        <w:rPr>
          <w:lang w:eastAsia="zh-CN"/>
        </w:rPr>
        <w:t xml:space="preserve"> </w:t>
      </w:r>
      <w:r w:rsidRPr="006915F5">
        <w:rPr>
          <w:rFonts w:hAnsi="SimSun" w:hint="eastAsia"/>
          <w:lang w:val="zh-CN" w:eastAsia="zh-CN"/>
        </w:rPr>
        <w:t>制定</w:t>
      </w:r>
      <w:r w:rsidRPr="006915F5">
        <w:rPr>
          <w:lang w:eastAsia="zh-CN"/>
        </w:rPr>
        <w:t>2020</w:t>
      </w:r>
      <w:r w:rsidRPr="006915F5">
        <w:rPr>
          <w:rFonts w:hAnsi="SimSun" w:hint="eastAsia"/>
          <w:lang w:val="zh-CN" w:eastAsia="zh-CN"/>
        </w:rPr>
        <w:t>年后生物多样性框架的进程将在全球范围内展示</w:t>
      </w:r>
      <w:r w:rsidRPr="006915F5">
        <w:rPr>
          <w:rFonts w:hAnsi="SimSun" w:hint="eastAsia"/>
          <w:lang w:eastAsia="zh-CN"/>
        </w:rPr>
        <w:t>，</w:t>
      </w:r>
      <w:r w:rsidRPr="006915F5">
        <w:rPr>
          <w:rFonts w:hAnsi="SimSun" w:hint="eastAsia"/>
          <w:lang w:val="zh-CN" w:eastAsia="zh-CN"/>
        </w:rPr>
        <w:t>以便将该进程置于国际议程中</w:t>
      </w:r>
      <w:r w:rsidRPr="006915F5">
        <w:rPr>
          <w:rFonts w:hAnsi="SimSun" w:hint="eastAsia"/>
          <w:lang w:eastAsia="zh-CN"/>
        </w:rPr>
        <w:t>，</w:t>
      </w:r>
      <w:r w:rsidRPr="006915F5">
        <w:rPr>
          <w:rFonts w:hAnsi="SimSun" w:hint="eastAsia"/>
          <w:lang w:val="zh-CN" w:eastAsia="zh-CN"/>
        </w:rPr>
        <w:t>使其具有国家相关性</w:t>
      </w:r>
      <w:r w:rsidRPr="006915F5">
        <w:rPr>
          <w:rFonts w:hAnsi="SimSun" w:hint="eastAsia"/>
          <w:lang w:eastAsia="zh-CN"/>
        </w:rPr>
        <w:t>，</w:t>
      </w:r>
      <w:r w:rsidRPr="006915F5">
        <w:rPr>
          <w:rFonts w:hAnsi="SimSun" w:hint="eastAsia"/>
          <w:lang w:val="zh-CN" w:eastAsia="zh-CN"/>
        </w:rPr>
        <w:t>并使尽可能多的人注意到</w:t>
      </w:r>
      <w:r>
        <w:rPr>
          <w:rFonts w:hAnsi="SimSun" w:hint="eastAsia"/>
          <w:lang w:val="zh-CN" w:eastAsia="zh-CN"/>
        </w:rPr>
        <w:t>；</w:t>
      </w:r>
    </w:p>
    <w:p w:rsidR="00B41940" w:rsidRPr="006915F5" w:rsidRDefault="00B41940" w:rsidP="00615E7F">
      <w:pPr>
        <w:widowControl w:val="0"/>
        <w:numPr>
          <w:ilvl w:val="1"/>
          <w:numId w:val="269"/>
        </w:numPr>
        <w:suppressLineNumbers/>
        <w:ind w:left="0" w:firstLine="706"/>
        <w:rPr>
          <w:kern w:val="22"/>
          <w:lang w:eastAsia="zh-CN"/>
        </w:rPr>
      </w:pPr>
      <w:r w:rsidRPr="00C81A13">
        <w:rPr>
          <w:rFonts w:ascii="KaiTi" w:eastAsia="KaiTi" w:hAnsi="KaiTi" w:hint="eastAsia"/>
          <w:kern w:val="22"/>
          <w:lang w:eastAsia="zh-CN" w:bidi="th-TH"/>
        </w:rPr>
        <w:t>以知识为基础</w:t>
      </w:r>
      <w:r w:rsidRPr="006915F5">
        <w:rPr>
          <w:kern w:val="22"/>
          <w:lang w:eastAsia="zh-CN"/>
        </w:rPr>
        <w:t xml:space="preserve"> – </w:t>
      </w:r>
      <w:r>
        <w:rPr>
          <w:rFonts w:hAnsi="SimSun" w:hint="eastAsia"/>
          <w:kern w:val="22"/>
          <w:lang w:val="zh-CN" w:eastAsia="zh-CN"/>
        </w:rPr>
        <w:t>本</w:t>
      </w:r>
      <w:r w:rsidRPr="006915F5">
        <w:rPr>
          <w:rFonts w:hAnsi="SimSun" w:hint="eastAsia"/>
          <w:kern w:val="22"/>
          <w:lang w:val="zh-CN" w:eastAsia="zh-CN"/>
        </w:rPr>
        <w:t>进程将以来自相关知识系统的现有最佳科学知识和证据为基础</w:t>
      </w:r>
      <w:r w:rsidRPr="006915F5">
        <w:rPr>
          <w:rFonts w:hAnsi="SimSun" w:hint="eastAsia"/>
          <w:kern w:val="22"/>
          <w:lang w:eastAsia="zh-CN"/>
        </w:rPr>
        <w:t>，</w:t>
      </w:r>
      <w:r w:rsidRPr="006915F5">
        <w:rPr>
          <w:rFonts w:hAnsi="SimSun" w:hint="eastAsia"/>
          <w:kern w:val="22"/>
          <w:lang w:val="zh-CN" w:eastAsia="zh-CN"/>
        </w:rPr>
        <w:t>包括自然科学和社会科学、地方知识、传统知识和土著知识、市民科学</w:t>
      </w:r>
      <w:r w:rsidRPr="006915F5">
        <w:rPr>
          <w:rFonts w:hAnsi="SimSun" w:hint="eastAsia"/>
          <w:kern w:val="22"/>
          <w:lang w:eastAsia="zh-CN"/>
        </w:rPr>
        <w:t>，</w:t>
      </w:r>
      <w:r w:rsidRPr="006915F5">
        <w:rPr>
          <w:rFonts w:hAnsi="SimSun" w:hint="eastAsia"/>
          <w:kern w:val="22"/>
          <w:lang w:val="zh-CN" w:eastAsia="zh-CN"/>
        </w:rPr>
        <w:t>以及迄今在执行《公约》及其《议定书》方面的最佳做法和经验教训</w:t>
      </w:r>
      <w:r w:rsidRPr="006915F5">
        <w:rPr>
          <w:rFonts w:hAnsi="SimSun" w:hint="eastAsia"/>
          <w:kern w:val="22"/>
          <w:lang w:eastAsia="zh-CN"/>
        </w:rPr>
        <w:t>；</w:t>
      </w:r>
    </w:p>
    <w:p w:rsidR="00B41940" w:rsidRPr="006915F5" w:rsidRDefault="00B41940" w:rsidP="00615E7F">
      <w:pPr>
        <w:widowControl w:val="0"/>
        <w:numPr>
          <w:ilvl w:val="1"/>
          <w:numId w:val="269"/>
        </w:numPr>
        <w:suppressLineNumbers/>
        <w:ind w:left="0" w:firstLine="706"/>
        <w:rPr>
          <w:lang w:eastAsia="zh-CN"/>
        </w:rPr>
      </w:pPr>
      <w:r w:rsidRPr="00C81A13">
        <w:rPr>
          <w:rFonts w:ascii="KaiTi" w:eastAsia="KaiTi" w:hAnsi="KaiTi" w:hint="eastAsia"/>
          <w:kern w:val="22"/>
          <w:lang w:eastAsia="zh-CN" w:bidi="th-TH"/>
        </w:rPr>
        <w:t>透明</w:t>
      </w:r>
      <w:r w:rsidRPr="006915F5">
        <w:rPr>
          <w:kern w:val="22"/>
          <w:lang w:eastAsia="zh-CN"/>
        </w:rPr>
        <w:t xml:space="preserve"> – </w:t>
      </w:r>
      <w:r>
        <w:rPr>
          <w:rFonts w:hAnsi="SimSun" w:hint="eastAsia"/>
          <w:kern w:val="22"/>
          <w:lang w:val="zh-CN" w:eastAsia="zh-CN"/>
        </w:rPr>
        <w:t>本</w:t>
      </w:r>
      <w:r w:rsidRPr="006915F5">
        <w:rPr>
          <w:rFonts w:hAnsi="SimSun" w:hint="eastAsia"/>
          <w:kern w:val="22"/>
          <w:lang w:val="zh-CN" w:eastAsia="zh-CN"/>
        </w:rPr>
        <w:t>进程将有清晰的记录</w:t>
      </w:r>
      <w:r w:rsidRPr="006915F5">
        <w:rPr>
          <w:rFonts w:hAnsi="SimSun" w:hint="eastAsia"/>
          <w:kern w:val="22"/>
          <w:lang w:eastAsia="zh-CN"/>
        </w:rPr>
        <w:t>，</w:t>
      </w:r>
      <w:r w:rsidRPr="006915F5">
        <w:rPr>
          <w:rFonts w:hAnsi="SimSun" w:hint="eastAsia"/>
          <w:kern w:val="22"/>
          <w:lang w:val="zh-CN" w:eastAsia="zh-CN"/>
        </w:rPr>
        <w:t>包括不限成员名额</w:t>
      </w:r>
      <w:r>
        <w:rPr>
          <w:rFonts w:hAnsi="SimSun" w:hint="eastAsia"/>
          <w:kern w:val="22"/>
          <w:lang w:val="zh-CN" w:eastAsia="zh-CN"/>
        </w:rPr>
        <w:t>闭会期间</w:t>
      </w:r>
      <w:r w:rsidRPr="006915F5">
        <w:rPr>
          <w:rFonts w:hAnsi="SimSun" w:hint="eastAsia"/>
          <w:kern w:val="22"/>
          <w:lang w:val="zh-CN" w:eastAsia="zh-CN"/>
        </w:rPr>
        <w:t>工作组共同主席向缔约方大会主席团以及附属机构会议提供最新进展报告。还将有效通报制定</w:t>
      </w:r>
      <w:r w:rsidRPr="006915F5">
        <w:rPr>
          <w:kern w:val="22"/>
          <w:lang w:val="zh-CN" w:eastAsia="zh-CN"/>
        </w:rPr>
        <w:t>2020</w:t>
      </w:r>
      <w:r w:rsidRPr="006915F5">
        <w:rPr>
          <w:rFonts w:hAnsi="SimSun" w:hint="eastAsia"/>
          <w:kern w:val="22"/>
          <w:lang w:val="zh-CN" w:eastAsia="zh-CN"/>
        </w:rPr>
        <w:t>年后全球生物多样性框架方面取得的进展以及参与</w:t>
      </w:r>
      <w:r>
        <w:rPr>
          <w:rFonts w:hAnsi="SimSun" w:hint="eastAsia"/>
          <w:kern w:val="22"/>
          <w:lang w:val="zh-CN" w:eastAsia="zh-CN"/>
        </w:rPr>
        <w:t>本</w:t>
      </w:r>
      <w:r w:rsidRPr="006915F5">
        <w:rPr>
          <w:rFonts w:hAnsi="SimSun" w:hint="eastAsia"/>
          <w:kern w:val="22"/>
          <w:lang w:val="zh-CN" w:eastAsia="zh-CN"/>
        </w:rPr>
        <w:t>进程的机会；</w:t>
      </w:r>
    </w:p>
    <w:p w:rsidR="00B41940" w:rsidRPr="006915F5" w:rsidRDefault="00B41940" w:rsidP="00615E7F">
      <w:pPr>
        <w:widowControl w:val="0"/>
        <w:numPr>
          <w:ilvl w:val="1"/>
          <w:numId w:val="269"/>
        </w:numPr>
        <w:suppressLineNumbers/>
        <w:ind w:left="0" w:firstLine="706"/>
        <w:rPr>
          <w:kern w:val="22"/>
          <w:lang w:eastAsia="zh-CN"/>
        </w:rPr>
      </w:pPr>
      <w:r w:rsidRPr="00C81A13">
        <w:rPr>
          <w:rFonts w:ascii="KaiTi" w:eastAsia="KaiTi" w:hAnsi="KaiTi" w:hint="eastAsia"/>
          <w:kern w:val="22"/>
          <w:lang w:eastAsia="zh-CN" w:bidi="th-TH"/>
        </w:rPr>
        <w:t>高效</w:t>
      </w:r>
      <w:r w:rsidRPr="006915F5">
        <w:rPr>
          <w:kern w:val="22"/>
          <w:lang w:eastAsia="zh-CN"/>
        </w:rPr>
        <w:t xml:space="preserve"> – </w:t>
      </w:r>
      <w:r>
        <w:rPr>
          <w:rFonts w:hAnsi="SimSun" w:hint="eastAsia"/>
          <w:kern w:val="22"/>
          <w:lang w:val="zh-CN" w:eastAsia="zh-CN"/>
        </w:rPr>
        <w:t>本</w:t>
      </w:r>
      <w:r w:rsidRPr="006915F5">
        <w:rPr>
          <w:rFonts w:hAnsi="SimSun" w:hint="eastAsia"/>
          <w:kern w:val="22"/>
          <w:lang w:val="zh-CN" w:eastAsia="zh-CN"/>
        </w:rPr>
        <w:t>进程将以现有进程为基础、符合成本效益并利用各种机会来分享观点和达成共识</w:t>
      </w:r>
      <w:r w:rsidRPr="006915F5">
        <w:rPr>
          <w:rFonts w:hAnsi="SimSun" w:hint="eastAsia"/>
          <w:kern w:val="22"/>
          <w:lang w:eastAsia="zh-CN"/>
        </w:rPr>
        <w:t>；</w:t>
      </w:r>
    </w:p>
    <w:p w:rsidR="00B41940" w:rsidRPr="006915F5" w:rsidRDefault="00B41940" w:rsidP="00615E7F">
      <w:pPr>
        <w:widowControl w:val="0"/>
        <w:numPr>
          <w:ilvl w:val="1"/>
          <w:numId w:val="269"/>
        </w:numPr>
        <w:suppressLineNumbers/>
        <w:ind w:left="0" w:firstLine="706"/>
        <w:rPr>
          <w:lang w:eastAsia="zh-CN"/>
        </w:rPr>
      </w:pPr>
      <w:r w:rsidRPr="00C81A13">
        <w:rPr>
          <w:rFonts w:ascii="KaiTi" w:eastAsia="KaiTi" w:hAnsi="KaiTi" w:hint="eastAsia"/>
          <w:kern w:val="22"/>
          <w:lang w:eastAsia="zh-CN" w:bidi="th-TH"/>
        </w:rPr>
        <w:t>以结果为导向</w:t>
      </w:r>
      <w:r>
        <w:rPr>
          <w:kern w:val="22"/>
          <w:lang w:eastAsia="zh-CN"/>
        </w:rPr>
        <w:t xml:space="preserve"> </w:t>
      </w:r>
      <w:r w:rsidRPr="006915F5">
        <w:rPr>
          <w:rFonts w:ascii="SimSun" w:hAnsi="SimSun"/>
          <w:kern w:val="22"/>
          <w:lang w:eastAsia="zh-CN"/>
        </w:rPr>
        <w:t>-</w:t>
      </w:r>
      <w:r>
        <w:rPr>
          <w:kern w:val="22"/>
          <w:lang w:eastAsia="zh-CN"/>
        </w:rPr>
        <w:t xml:space="preserve"> </w:t>
      </w:r>
      <w:r w:rsidRPr="006915F5">
        <w:rPr>
          <w:rFonts w:hAnsi="SimSun" w:hint="eastAsia"/>
          <w:kern w:val="22"/>
          <w:lang w:val="zh-CN" w:eastAsia="zh-CN"/>
        </w:rPr>
        <w:t>该进程将力求在早期阶段查明问题</w:t>
      </w:r>
      <w:r w:rsidRPr="006915F5">
        <w:rPr>
          <w:rFonts w:hAnsi="SimSun" w:hint="eastAsia"/>
          <w:kern w:val="22"/>
          <w:lang w:eastAsia="zh-CN"/>
        </w:rPr>
        <w:t>，</w:t>
      </w:r>
      <w:r w:rsidRPr="006915F5">
        <w:rPr>
          <w:rFonts w:hAnsi="SimSun" w:hint="eastAsia"/>
          <w:kern w:val="22"/>
          <w:lang w:val="zh-CN" w:eastAsia="zh-CN"/>
        </w:rPr>
        <w:t>以便作出进一步澄清、讨论和探究。在执行《</w:t>
      </w:r>
      <w:r w:rsidRPr="006915F5">
        <w:rPr>
          <w:kern w:val="22"/>
          <w:lang w:val="zh-CN" w:eastAsia="zh-CN"/>
        </w:rPr>
        <w:t>2011-2020</w:t>
      </w:r>
      <w:r w:rsidRPr="006915F5">
        <w:rPr>
          <w:rFonts w:hAnsi="SimSun" w:hint="eastAsia"/>
          <w:kern w:val="22"/>
          <w:lang w:val="zh-CN" w:eastAsia="zh-CN"/>
        </w:rPr>
        <w:t>年生物多样性战略计划》的经验的基础上，相关专家和利益攸关方将参与讨论各种潜在的问题和取得切实的解决方案；</w:t>
      </w:r>
    </w:p>
    <w:p w:rsidR="00B41940" w:rsidRPr="006915F5" w:rsidRDefault="00B41940" w:rsidP="00615E7F">
      <w:pPr>
        <w:widowControl w:val="0"/>
        <w:numPr>
          <w:ilvl w:val="1"/>
          <w:numId w:val="269"/>
        </w:numPr>
        <w:suppressLineNumbers/>
        <w:ind w:left="0" w:firstLine="706"/>
        <w:rPr>
          <w:lang w:eastAsia="zh-CN"/>
        </w:rPr>
      </w:pPr>
      <w:r w:rsidRPr="00C81A13">
        <w:rPr>
          <w:rFonts w:ascii="KaiTi" w:eastAsia="KaiTi" w:hAnsi="KaiTi" w:hint="eastAsia"/>
          <w:kern w:val="22"/>
          <w:lang w:eastAsia="zh-CN" w:bidi="th-TH"/>
        </w:rPr>
        <w:t>反复</w:t>
      </w:r>
      <w:r>
        <w:rPr>
          <w:rFonts w:ascii="KaiTi" w:eastAsia="KaiTi" w:hAnsi="KaiTi" w:hint="eastAsia"/>
          <w:kern w:val="22"/>
          <w:lang w:eastAsia="zh-CN" w:bidi="th-TH"/>
        </w:rPr>
        <w:t>进行</w:t>
      </w:r>
      <w:r w:rsidRPr="006915F5">
        <w:rPr>
          <w:rFonts w:ascii="SimSun" w:hAnsi="SimSun"/>
          <w:kern w:val="22"/>
          <w:lang w:eastAsia="zh-CN"/>
        </w:rPr>
        <w:t xml:space="preserve"> - </w:t>
      </w:r>
      <w:r w:rsidRPr="006915F5">
        <w:rPr>
          <w:rFonts w:hAnsi="SimSun" w:hint="eastAsia"/>
          <w:kern w:val="22"/>
          <w:lang w:val="zh-CN" w:eastAsia="zh-CN"/>
        </w:rPr>
        <w:t>将以反复进行的方式制定</w:t>
      </w:r>
      <w:r w:rsidRPr="006915F5">
        <w:rPr>
          <w:kern w:val="22"/>
          <w:lang w:eastAsia="zh-CN"/>
        </w:rPr>
        <w:t>2020</w:t>
      </w:r>
      <w:r w:rsidRPr="006915F5">
        <w:rPr>
          <w:rFonts w:hAnsi="SimSun" w:hint="eastAsia"/>
          <w:kern w:val="22"/>
          <w:lang w:val="zh-CN" w:eastAsia="zh-CN"/>
        </w:rPr>
        <w:t>年后全球生物多样性框架</w:t>
      </w:r>
      <w:r w:rsidRPr="006915F5">
        <w:rPr>
          <w:rFonts w:hAnsi="SimSun" w:hint="eastAsia"/>
          <w:kern w:val="22"/>
          <w:lang w:eastAsia="zh-CN"/>
        </w:rPr>
        <w:t>，</w:t>
      </w:r>
      <w:r w:rsidRPr="006915F5">
        <w:rPr>
          <w:rFonts w:hAnsi="SimSun" w:hint="eastAsia"/>
          <w:kern w:val="22"/>
          <w:lang w:val="zh-CN" w:eastAsia="zh-CN"/>
        </w:rPr>
        <w:t>以便达成共识并形成自主权。</w:t>
      </w:r>
      <w:r>
        <w:rPr>
          <w:rFonts w:hAnsi="SimSun" w:hint="eastAsia"/>
          <w:kern w:val="22"/>
          <w:lang w:val="zh-CN" w:eastAsia="zh-CN"/>
        </w:rPr>
        <w:t>有关的</w:t>
      </w:r>
      <w:r>
        <w:rPr>
          <w:rFonts w:hAnsi="SimSun"/>
          <w:kern w:val="22"/>
          <w:lang w:val="zh-CN" w:eastAsia="zh-CN"/>
        </w:rPr>
        <w:t>人士会</w:t>
      </w:r>
      <w:r>
        <w:rPr>
          <w:rFonts w:hAnsi="SimSun" w:hint="eastAsia"/>
          <w:kern w:val="22"/>
          <w:lang w:val="zh-CN" w:eastAsia="zh-CN"/>
        </w:rPr>
        <w:t>有</w:t>
      </w:r>
      <w:r>
        <w:rPr>
          <w:rFonts w:hAnsi="SimSun"/>
          <w:kern w:val="22"/>
          <w:lang w:val="zh-CN" w:eastAsia="zh-CN"/>
        </w:rPr>
        <w:t>很多</w:t>
      </w:r>
      <w:r w:rsidRPr="006915F5">
        <w:rPr>
          <w:rFonts w:hAnsi="SimSun" w:hint="eastAsia"/>
          <w:kern w:val="22"/>
          <w:lang w:val="zh-CN" w:eastAsia="zh-CN"/>
        </w:rPr>
        <w:t>机会对相关文件提出意见和</w:t>
      </w:r>
      <w:r w:rsidRPr="006915F5">
        <w:rPr>
          <w:kern w:val="22"/>
          <w:lang w:val="zh-CN" w:eastAsia="zh-CN"/>
        </w:rPr>
        <w:t>/</w:t>
      </w:r>
      <w:r w:rsidRPr="006915F5">
        <w:rPr>
          <w:rFonts w:hAnsi="SimSun" w:hint="eastAsia"/>
          <w:kern w:val="22"/>
          <w:lang w:val="zh-CN" w:eastAsia="zh-CN"/>
        </w:rPr>
        <w:t>或参与相关磋商；</w:t>
      </w:r>
    </w:p>
    <w:p w:rsidR="00B41940" w:rsidRDefault="00B41940" w:rsidP="00615E7F">
      <w:pPr>
        <w:widowControl w:val="0"/>
        <w:numPr>
          <w:ilvl w:val="1"/>
          <w:numId w:val="269"/>
        </w:numPr>
        <w:suppressLineNumbers/>
        <w:ind w:left="0" w:firstLine="706"/>
        <w:rPr>
          <w:kern w:val="22"/>
          <w:lang w:eastAsia="zh-CN"/>
        </w:rPr>
      </w:pPr>
      <w:r w:rsidRPr="00C81A13">
        <w:rPr>
          <w:rFonts w:ascii="KaiTi" w:eastAsia="KaiTi" w:hAnsi="KaiTi" w:hint="eastAsia"/>
          <w:kern w:val="22"/>
          <w:lang w:eastAsia="zh-CN" w:bidi="th-TH"/>
        </w:rPr>
        <w:t>灵活</w:t>
      </w:r>
      <w:r w:rsidRPr="006915F5">
        <w:rPr>
          <w:lang w:eastAsia="zh-CN"/>
        </w:rPr>
        <w:t xml:space="preserve"> – </w:t>
      </w:r>
      <w:r>
        <w:rPr>
          <w:rFonts w:hAnsi="SimSun" w:hint="eastAsia"/>
          <w:lang w:val="zh-CN" w:eastAsia="zh-CN"/>
        </w:rPr>
        <w:t>本</w:t>
      </w:r>
      <w:r w:rsidRPr="006915F5">
        <w:rPr>
          <w:rFonts w:hAnsi="SimSun" w:hint="eastAsia"/>
          <w:lang w:val="zh-CN" w:eastAsia="zh-CN"/>
        </w:rPr>
        <w:t>进程将以灵活的方式实施</w:t>
      </w:r>
      <w:r w:rsidRPr="006915F5">
        <w:rPr>
          <w:rFonts w:hAnsi="SimSun" w:hint="eastAsia"/>
          <w:lang w:eastAsia="zh-CN"/>
        </w:rPr>
        <w:t>，</w:t>
      </w:r>
      <w:r w:rsidRPr="006915F5">
        <w:rPr>
          <w:rFonts w:hAnsi="SimSun" w:hint="eastAsia"/>
          <w:lang w:val="zh-CN" w:eastAsia="zh-CN"/>
        </w:rPr>
        <w:t>以适应不断变化的环境、新的全球发展以及利用闭会期间出现的新机会和最妥善地利用资源和知识。</w:t>
      </w:r>
    </w:p>
    <w:p w:rsidR="00B41940" w:rsidRPr="006753C2" w:rsidRDefault="00B41940" w:rsidP="00B41940">
      <w:pPr>
        <w:pStyle w:val="Heading2"/>
        <w:keepNext w:val="0"/>
        <w:suppressLineNumbers/>
        <w:suppressAutoHyphens/>
        <w:ind w:firstLine="0"/>
        <w:rPr>
          <w:i/>
          <w:kern w:val="22"/>
          <w:sz w:val="24"/>
          <w:lang w:eastAsia="zh-CN"/>
        </w:rPr>
      </w:pPr>
      <w:bookmarkStart w:id="236" w:name="_Toc6243798"/>
      <w:r w:rsidRPr="006753C2">
        <w:rPr>
          <w:kern w:val="22"/>
          <w:sz w:val="24"/>
          <w:lang w:eastAsia="zh-CN"/>
        </w:rPr>
        <w:t>B.</w:t>
      </w:r>
      <w:r w:rsidRPr="006753C2">
        <w:rPr>
          <w:kern w:val="22"/>
          <w:sz w:val="24"/>
          <w:lang w:eastAsia="zh-CN"/>
        </w:rPr>
        <w:tab/>
      </w:r>
      <w:r w:rsidRPr="006753C2">
        <w:rPr>
          <w:snapToGrid w:val="0"/>
          <w:kern w:val="22"/>
          <w:sz w:val="24"/>
          <w:lang w:eastAsia="zh-CN"/>
        </w:rPr>
        <w:t>筹备</w:t>
      </w:r>
      <w:r w:rsidRPr="006753C2">
        <w:rPr>
          <w:snapToGrid w:val="0"/>
          <w:kern w:val="22"/>
          <w:sz w:val="24"/>
          <w:lang w:eastAsia="zh-CN"/>
        </w:rPr>
        <w:t>2020</w:t>
      </w:r>
      <w:r w:rsidRPr="006753C2">
        <w:rPr>
          <w:snapToGrid w:val="0"/>
          <w:kern w:val="22"/>
          <w:sz w:val="24"/>
          <w:lang w:eastAsia="zh-CN"/>
        </w:rPr>
        <w:t>年后全球生物多样性框架的组织工作</w:t>
      </w:r>
      <w:bookmarkEnd w:id="236"/>
    </w:p>
    <w:p w:rsidR="00B41940" w:rsidRPr="006753C2" w:rsidRDefault="00B41940" w:rsidP="00615E7F">
      <w:pPr>
        <w:pStyle w:val="Para1"/>
        <w:numPr>
          <w:ilvl w:val="0"/>
          <w:numId w:val="268"/>
        </w:numPr>
        <w:suppressLineNumbers/>
        <w:suppressAutoHyphens/>
        <w:kinsoku w:val="0"/>
        <w:overflowPunct w:val="0"/>
        <w:autoSpaceDE w:val="0"/>
        <w:autoSpaceDN w:val="0"/>
        <w:adjustRightInd w:val="0"/>
        <w:snapToGrid w:val="0"/>
        <w:ind w:left="0" w:firstLine="0"/>
        <w:rPr>
          <w:kern w:val="22"/>
          <w:sz w:val="24"/>
          <w:szCs w:val="24"/>
          <w:lang w:eastAsia="zh-CN"/>
        </w:rPr>
      </w:pPr>
      <w:r w:rsidRPr="006753C2">
        <w:rPr>
          <w:kern w:val="22"/>
          <w:sz w:val="24"/>
          <w:szCs w:val="24"/>
          <w:lang w:eastAsia="zh-CN"/>
        </w:rPr>
        <w:t>生物多样性公约缔约方大会第十五届会议之前，制定</w:t>
      </w:r>
      <w:r w:rsidRPr="006753C2">
        <w:rPr>
          <w:kern w:val="22"/>
          <w:sz w:val="24"/>
          <w:szCs w:val="24"/>
          <w:lang w:eastAsia="zh-CN"/>
        </w:rPr>
        <w:t>2020</w:t>
      </w:r>
      <w:r w:rsidRPr="006753C2">
        <w:rPr>
          <w:kern w:val="22"/>
          <w:sz w:val="24"/>
          <w:szCs w:val="24"/>
          <w:lang w:eastAsia="zh-CN"/>
        </w:rPr>
        <w:t>年后全球生物多样性框架的谈判将由一个有两名共同主席领导的</w:t>
      </w:r>
      <w:r>
        <w:rPr>
          <w:rFonts w:hint="eastAsia"/>
          <w:kern w:val="22"/>
          <w:sz w:val="24"/>
          <w:szCs w:val="24"/>
          <w:lang w:eastAsia="zh-CN"/>
        </w:rPr>
        <w:t>专门</w:t>
      </w:r>
      <w:r>
        <w:rPr>
          <w:kern w:val="22"/>
          <w:sz w:val="24"/>
          <w:szCs w:val="24"/>
          <w:lang w:eastAsia="zh-CN"/>
        </w:rPr>
        <w:t>的不限成员名额</w:t>
      </w:r>
      <w:r>
        <w:rPr>
          <w:rFonts w:hint="eastAsia"/>
          <w:kern w:val="22"/>
          <w:sz w:val="24"/>
          <w:szCs w:val="24"/>
          <w:lang w:eastAsia="zh-CN"/>
        </w:rPr>
        <w:t>闭会期间</w:t>
      </w:r>
      <w:r w:rsidRPr="006753C2">
        <w:rPr>
          <w:kern w:val="22"/>
          <w:sz w:val="24"/>
          <w:szCs w:val="24"/>
          <w:lang w:eastAsia="zh-CN"/>
        </w:rPr>
        <w:t>工作组进行，受缔约方大会主席团监督。谈判</w:t>
      </w:r>
      <w:r w:rsidRPr="006753C2">
        <w:rPr>
          <w:kern w:val="22"/>
          <w:sz w:val="24"/>
          <w:szCs w:val="24"/>
          <w:lang w:eastAsia="zh-CN"/>
        </w:rPr>
        <w:t>2020</w:t>
      </w:r>
      <w:r w:rsidRPr="006753C2">
        <w:rPr>
          <w:kern w:val="22"/>
          <w:sz w:val="24"/>
          <w:szCs w:val="24"/>
          <w:lang w:eastAsia="zh-CN"/>
        </w:rPr>
        <w:t>年后全球生物多样性框架的正式程序最终导致缔约方大会通过</w:t>
      </w:r>
      <w:r w:rsidRPr="006753C2">
        <w:rPr>
          <w:kern w:val="22"/>
          <w:sz w:val="24"/>
          <w:szCs w:val="24"/>
          <w:lang w:eastAsia="zh-CN"/>
        </w:rPr>
        <w:t>2020</w:t>
      </w:r>
      <w:r w:rsidRPr="006753C2">
        <w:rPr>
          <w:kern w:val="22"/>
          <w:sz w:val="24"/>
          <w:szCs w:val="24"/>
          <w:lang w:eastAsia="zh-CN"/>
        </w:rPr>
        <w:t>年后全球生物多样性框架，并得到作为议定书缔约方会议的缔约方大会</w:t>
      </w:r>
      <w:r w:rsidRPr="006753C2">
        <w:rPr>
          <w:kern w:val="22"/>
          <w:sz w:val="24"/>
          <w:szCs w:val="24"/>
          <w:lang w:eastAsia="zh-CN"/>
        </w:rPr>
        <w:t>2020</w:t>
      </w:r>
      <w:r w:rsidRPr="006753C2">
        <w:rPr>
          <w:kern w:val="22"/>
          <w:sz w:val="24"/>
          <w:szCs w:val="24"/>
          <w:lang w:eastAsia="zh-CN"/>
        </w:rPr>
        <w:t>年会议的核可。</w:t>
      </w:r>
      <w:r w:rsidRPr="006753C2">
        <w:rPr>
          <w:kern w:val="22"/>
          <w:sz w:val="24"/>
          <w:szCs w:val="24"/>
          <w:lang w:eastAsia="zh-CN"/>
        </w:rPr>
        <w:t xml:space="preserve"> </w:t>
      </w:r>
    </w:p>
    <w:p w:rsidR="00B41940" w:rsidRPr="006753C2" w:rsidRDefault="00B41940" w:rsidP="00313192">
      <w:pPr>
        <w:pStyle w:val="Para1"/>
        <w:widowControl w:val="0"/>
        <w:numPr>
          <w:ilvl w:val="0"/>
          <w:numId w:val="268"/>
        </w:numPr>
        <w:suppressLineNumbers/>
        <w:suppressAutoHyphens/>
        <w:kinsoku w:val="0"/>
        <w:overflowPunct w:val="0"/>
        <w:autoSpaceDE w:val="0"/>
        <w:autoSpaceDN w:val="0"/>
        <w:adjustRightInd w:val="0"/>
        <w:snapToGrid w:val="0"/>
        <w:ind w:left="0" w:firstLine="0"/>
        <w:rPr>
          <w:sz w:val="24"/>
          <w:szCs w:val="24"/>
          <w:lang w:eastAsia="zh-CN"/>
        </w:rPr>
      </w:pPr>
      <w:r w:rsidRPr="006753C2">
        <w:rPr>
          <w:sz w:val="24"/>
          <w:szCs w:val="24"/>
          <w:lang w:eastAsia="zh-CN"/>
        </w:rPr>
        <w:t>不限成员名额</w:t>
      </w:r>
      <w:r>
        <w:rPr>
          <w:rFonts w:hint="eastAsia"/>
          <w:sz w:val="24"/>
          <w:szCs w:val="24"/>
          <w:lang w:eastAsia="zh-CN"/>
        </w:rPr>
        <w:t>闭会期间</w:t>
      </w:r>
      <w:r w:rsidRPr="006753C2">
        <w:rPr>
          <w:sz w:val="24"/>
          <w:szCs w:val="24"/>
          <w:lang w:eastAsia="zh-CN"/>
        </w:rPr>
        <w:t>工作组将由《公约》和《议定书》缔约方的代表组成，并向观察员开放，包括来自其他国家政府、土著人民和地方社区、联合国组织和方案、其他多边环境协定、国家以下</w:t>
      </w:r>
      <w:r>
        <w:rPr>
          <w:rFonts w:hint="eastAsia"/>
          <w:sz w:val="24"/>
          <w:szCs w:val="24"/>
          <w:lang w:eastAsia="zh-CN"/>
        </w:rPr>
        <w:t>级</w:t>
      </w:r>
      <w:r w:rsidRPr="006753C2">
        <w:rPr>
          <w:sz w:val="24"/>
          <w:szCs w:val="24"/>
          <w:lang w:eastAsia="zh-CN"/>
        </w:rPr>
        <w:t>政府</w:t>
      </w:r>
      <w:r>
        <w:rPr>
          <w:rFonts w:hint="eastAsia"/>
          <w:sz w:val="24"/>
          <w:szCs w:val="24"/>
          <w:lang w:eastAsia="zh-CN"/>
        </w:rPr>
        <w:t>、</w:t>
      </w:r>
      <w:r>
        <w:rPr>
          <w:sz w:val="24"/>
          <w:szCs w:val="24"/>
          <w:lang w:eastAsia="zh-CN"/>
        </w:rPr>
        <w:t>城市和其他地方当局</w:t>
      </w:r>
      <w:r w:rsidRPr="006753C2">
        <w:rPr>
          <w:sz w:val="24"/>
          <w:szCs w:val="24"/>
          <w:lang w:eastAsia="zh-CN"/>
        </w:rPr>
        <w:t>的观察员</w:t>
      </w:r>
      <w:r w:rsidRPr="006753C2">
        <w:rPr>
          <w:sz w:val="24"/>
          <w:szCs w:val="24"/>
          <w:lang w:eastAsia="zh-CN"/>
        </w:rPr>
        <w:t xml:space="preserve"> </w:t>
      </w:r>
      <w:r w:rsidRPr="006753C2">
        <w:rPr>
          <w:sz w:val="24"/>
          <w:szCs w:val="24"/>
          <w:lang w:eastAsia="zh-CN"/>
        </w:rPr>
        <w:t>、政府间组织、非政府组织、妇女团体、青年团体、商业和金融界、科学界、学术界、宗教组织、有关或依赖生物多样性的部</w:t>
      </w:r>
      <w:r w:rsidRPr="006753C2">
        <w:rPr>
          <w:sz w:val="24"/>
          <w:szCs w:val="24"/>
          <w:lang w:eastAsia="zh-CN"/>
        </w:rPr>
        <w:lastRenderedPageBreak/>
        <w:t>门的代表、广大公民和其他利益攸关方的观察员。</w:t>
      </w:r>
      <w:r w:rsidRPr="006753C2">
        <w:rPr>
          <w:kern w:val="22"/>
          <w:sz w:val="24"/>
          <w:szCs w:val="24"/>
          <w:lang w:eastAsia="zh-CN"/>
        </w:rPr>
        <w:t xml:space="preserve"> </w:t>
      </w:r>
    </w:p>
    <w:p w:rsidR="00B41940" w:rsidRPr="006753C2" w:rsidRDefault="00B41940" w:rsidP="00615E7F">
      <w:pPr>
        <w:pStyle w:val="Para1"/>
        <w:numPr>
          <w:ilvl w:val="0"/>
          <w:numId w:val="268"/>
        </w:numPr>
        <w:suppressLineNumbers/>
        <w:suppressAutoHyphens/>
        <w:kinsoku w:val="0"/>
        <w:overflowPunct w:val="0"/>
        <w:autoSpaceDE w:val="0"/>
        <w:autoSpaceDN w:val="0"/>
        <w:adjustRightInd w:val="0"/>
        <w:snapToGrid w:val="0"/>
        <w:ind w:left="0" w:firstLine="0"/>
        <w:rPr>
          <w:kern w:val="22"/>
          <w:sz w:val="24"/>
          <w:szCs w:val="24"/>
          <w:lang w:eastAsia="zh-CN"/>
        </w:rPr>
      </w:pPr>
      <w:r w:rsidRPr="006753C2">
        <w:rPr>
          <w:kern w:val="22"/>
          <w:sz w:val="24"/>
          <w:szCs w:val="24"/>
          <w:lang w:eastAsia="zh-CN"/>
        </w:rPr>
        <w:t>预计不限成员名额</w:t>
      </w:r>
      <w:r>
        <w:rPr>
          <w:rFonts w:hint="eastAsia"/>
          <w:kern w:val="22"/>
          <w:sz w:val="24"/>
          <w:szCs w:val="24"/>
          <w:lang w:eastAsia="zh-CN"/>
        </w:rPr>
        <w:t>闭会期间</w:t>
      </w:r>
      <w:r w:rsidRPr="006753C2">
        <w:rPr>
          <w:kern w:val="22"/>
          <w:sz w:val="24"/>
          <w:szCs w:val="24"/>
          <w:lang w:eastAsia="zh-CN"/>
        </w:rPr>
        <w:t>工作组在闭会期间至少举行两次会议。如有需要，可根据资源情况设</w:t>
      </w:r>
      <w:r>
        <w:rPr>
          <w:kern w:val="22"/>
          <w:sz w:val="24"/>
          <w:szCs w:val="24"/>
          <w:lang w:eastAsia="zh-CN"/>
        </w:rPr>
        <w:t>想增加会议。关于不限成员名额</w:t>
      </w:r>
      <w:r>
        <w:rPr>
          <w:rFonts w:hint="eastAsia"/>
          <w:kern w:val="22"/>
          <w:sz w:val="24"/>
          <w:szCs w:val="24"/>
          <w:lang w:eastAsia="zh-CN"/>
        </w:rPr>
        <w:t>闭会期间</w:t>
      </w:r>
      <w:r>
        <w:rPr>
          <w:kern w:val="22"/>
          <w:sz w:val="24"/>
          <w:szCs w:val="24"/>
          <w:lang w:eastAsia="zh-CN"/>
        </w:rPr>
        <w:t>工作组会议时间安排的考虑因素包括：</w:t>
      </w:r>
      <w:r>
        <w:rPr>
          <w:kern w:val="22"/>
          <w:sz w:val="24"/>
          <w:szCs w:val="24"/>
          <w:lang w:eastAsia="zh-CN"/>
        </w:rPr>
        <w:t>(</w:t>
      </w:r>
      <w:r>
        <w:rPr>
          <w:rFonts w:hint="eastAsia"/>
          <w:kern w:val="22"/>
          <w:sz w:val="24"/>
          <w:szCs w:val="24"/>
          <w:lang w:eastAsia="zh-CN"/>
        </w:rPr>
        <w:t>a</w:t>
      </w:r>
      <w:r>
        <w:rPr>
          <w:kern w:val="22"/>
          <w:sz w:val="24"/>
          <w:szCs w:val="24"/>
          <w:lang w:eastAsia="zh-CN"/>
        </w:rPr>
        <w:t xml:space="preserve">) </w:t>
      </w:r>
      <w:r w:rsidRPr="006753C2">
        <w:rPr>
          <w:kern w:val="22"/>
          <w:sz w:val="24"/>
          <w:szCs w:val="24"/>
          <w:lang w:eastAsia="zh-CN"/>
        </w:rPr>
        <w:t>需要充分发展的协商进程作为进行讨论基础；</w:t>
      </w:r>
      <w:r>
        <w:rPr>
          <w:rFonts w:hint="eastAsia"/>
          <w:kern w:val="22"/>
          <w:sz w:val="24"/>
          <w:szCs w:val="24"/>
          <w:lang w:eastAsia="zh-CN"/>
        </w:rPr>
        <w:t>(b</w:t>
      </w:r>
      <w:r>
        <w:rPr>
          <w:kern w:val="22"/>
          <w:sz w:val="24"/>
          <w:szCs w:val="24"/>
          <w:lang w:eastAsia="zh-CN"/>
        </w:rPr>
        <w:t xml:space="preserve">) </w:t>
      </w:r>
      <w:r>
        <w:rPr>
          <w:rFonts w:hint="eastAsia"/>
          <w:kern w:val="22"/>
          <w:sz w:val="24"/>
          <w:szCs w:val="24"/>
          <w:lang w:eastAsia="zh-CN"/>
        </w:rPr>
        <w:t>时间</w:t>
      </w:r>
      <w:r>
        <w:rPr>
          <w:kern w:val="22"/>
          <w:sz w:val="24"/>
          <w:szCs w:val="24"/>
          <w:lang w:eastAsia="zh-CN"/>
        </w:rPr>
        <w:t>安排和顺序以及</w:t>
      </w:r>
      <w:r w:rsidRPr="006753C2">
        <w:rPr>
          <w:kern w:val="22"/>
          <w:sz w:val="24"/>
          <w:szCs w:val="24"/>
          <w:lang w:eastAsia="zh-CN"/>
        </w:rPr>
        <w:t>与计划在闭会期间举行的其他会议</w:t>
      </w:r>
      <w:r>
        <w:rPr>
          <w:rFonts w:hint="eastAsia"/>
          <w:kern w:val="22"/>
          <w:sz w:val="24"/>
          <w:szCs w:val="24"/>
          <w:lang w:eastAsia="zh-CN"/>
        </w:rPr>
        <w:t>的</w:t>
      </w:r>
      <w:r w:rsidRPr="006753C2">
        <w:rPr>
          <w:kern w:val="22"/>
          <w:sz w:val="24"/>
          <w:szCs w:val="24"/>
          <w:lang w:eastAsia="zh-CN"/>
        </w:rPr>
        <w:t>关系；</w:t>
      </w:r>
      <w:r>
        <w:rPr>
          <w:rFonts w:hint="eastAsia"/>
          <w:kern w:val="22"/>
          <w:sz w:val="24"/>
          <w:szCs w:val="24"/>
          <w:lang w:eastAsia="zh-CN"/>
        </w:rPr>
        <w:t>(c</w:t>
      </w:r>
      <w:r>
        <w:rPr>
          <w:kern w:val="22"/>
          <w:sz w:val="24"/>
          <w:szCs w:val="24"/>
          <w:lang w:eastAsia="zh-CN"/>
        </w:rPr>
        <w:t xml:space="preserve">) </w:t>
      </w:r>
      <w:r w:rsidRPr="006753C2">
        <w:rPr>
          <w:kern w:val="22"/>
          <w:sz w:val="24"/>
          <w:szCs w:val="24"/>
          <w:lang w:eastAsia="zh-CN"/>
        </w:rPr>
        <w:t>是否有适当的设施来容纳预计参加的代表人数。不限成员名额</w:t>
      </w:r>
      <w:r>
        <w:rPr>
          <w:rFonts w:hint="eastAsia"/>
          <w:kern w:val="22"/>
          <w:sz w:val="24"/>
          <w:szCs w:val="24"/>
          <w:lang w:eastAsia="zh-CN"/>
        </w:rPr>
        <w:t>闭会期间</w:t>
      </w:r>
      <w:r w:rsidRPr="006753C2">
        <w:rPr>
          <w:kern w:val="22"/>
          <w:sz w:val="24"/>
          <w:szCs w:val="24"/>
          <w:lang w:eastAsia="zh-CN"/>
        </w:rPr>
        <w:t>工作组的共同主席和执行秘书将与缔约方大会主席团协商，尽快制定并定期更新制定</w:t>
      </w:r>
      <w:r w:rsidRPr="006753C2">
        <w:rPr>
          <w:kern w:val="22"/>
          <w:sz w:val="24"/>
          <w:szCs w:val="24"/>
          <w:lang w:eastAsia="zh-CN"/>
        </w:rPr>
        <w:t>2020</w:t>
      </w:r>
      <w:r w:rsidRPr="006753C2">
        <w:rPr>
          <w:kern w:val="22"/>
          <w:sz w:val="24"/>
          <w:szCs w:val="24"/>
          <w:lang w:eastAsia="zh-CN"/>
        </w:rPr>
        <w:t>年后全球生物多样性框架的关键活动的时间表，并将其提供给缔约方和利益攸关方。</w:t>
      </w:r>
    </w:p>
    <w:p w:rsidR="00B41940" w:rsidRPr="006753C2" w:rsidRDefault="00B41940" w:rsidP="00615E7F">
      <w:pPr>
        <w:pStyle w:val="Para1"/>
        <w:widowControl w:val="0"/>
        <w:numPr>
          <w:ilvl w:val="0"/>
          <w:numId w:val="268"/>
        </w:numPr>
        <w:suppressLineNumbers/>
        <w:suppressAutoHyphens/>
        <w:kinsoku w:val="0"/>
        <w:overflowPunct w:val="0"/>
        <w:autoSpaceDE w:val="0"/>
        <w:autoSpaceDN w:val="0"/>
        <w:adjustRightInd w:val="0"/>
        <w:snapToGrid w:val="0"/>
        <w:ind w:left="0" w:firstLine="0"/>
        <w:rPr>
          <w:kern w:val="22"/>
          <w:sz w:val="24"/>
          <w:szCs w:val="24"/>
          <w:lang w:eastAsia="zh-CN"/>
        </w:rPr>
      </w:pPr>
      <w:r w:rsidRPr="006753C2">
        <w:rPr>
          <w:kern w:val="22"/>
          <w:sz w:val="24"/>
          <w:szCs w:val="24"/>
          <w:lang w:eastAsia="zh-CN"/>
        </w:rPr>
        <w:t>由科学、技术和工艺咨询附属机构、执行问题附属机构和第</w:t>
      </w:r>
      <w:r>
        <w:rPr>
          <w:kern w:val="22"/>
          <w:sz w:val="24"/>
          <w:szCs w:val="24"/>
          <w:lang w:eastAsia="zh-CN"/>
        </w:rPr>
        <w:t>8(j)</w:t>
      </w:r>
      <w:r w:rsidRPr="006753C2">
        <w:rPr>
          <w:kern w:val="22"/>
          <w:sz w:val="24"/>
          <w:szCs w:val="24"/>
          <w:lang w:eastAsia="zh-CN"/>
        </w:rPr>
        <w:t>条</w:t>
      </w:r>
      <w:r>
        <w:rPr>
          <w:kern w:val="22"/>
          <w:sz w:val="24"/>
          <w:szCs w:val="24"/>
          <w:lang w:eastAsia="zh-CN"/>
        </w:rPr>
        <w:t>不限成员名额特设</w:t>
      </w:r>
      <w:r w:rsidRPr="006753C2">
        <w:rPr>
          <w:kern w:val="22"/>
          <w:sz w:val="24"/>
          <w:szCs w:val="24"/>
          <w:lang w:eastAsia="zh-CN"/>
        </w:rPr>
        <w:t>工作组制定</w:t>
      </w:r>
      <w:r w:rsidRPr="006753C2">
        <w:rPr>
          <w:kern w:val="22"/>
          <w:sz w:val="24"/>
          <w:szCs w:val="24"/>
          <w:lang w:eastAsia="zh-CN"/>
        </w:rPr>
        <w:t>2020</w:t>
      </w:r>
      <w:r w:rsidRPr="006753C2">
        <w:rPr>
          <w:kern w:val="22"/>
          <w:sz w:val="24"/>
          <w:szCs w:val="24"/>
          <w:lang w:eastAsia="zh-CN"/>
        </w:rPr>
        <w:t>年后全球生物多样性框架相关工作</w:t>
      </w:r>
      <w:r>
        <w:rPr>
          <w:rFonts w:hint="eastAsia"/>
          <w:kern w:val="22"/>
          <w:sz w:val="24"/>
          <w:szCs w:val="24"/>
          <w:lang w:eastAsia="zh-CN"/>
        </w:rPr>
        <w:t>的</w:t>
      </w:r>
      <w:r>
        <w:rPr>
          <w:kern w:val="22"/>
          <w:sz w:val="24"/>
          <w:szCs w:val="24"/>
          <w:lang w:eastAsia="zh-CN"/>
        </w:rPr>
        <w:t>各项</w:t>
      </w:r>
      <w:r w:rsidRPr="006753C2">
        <w:rPr>
          <w:kern w:val="22"/>
          <w:sz w:val="24"/>
          <w:szCs w:val="24"/>
          <w:lang w:eastAsia="zh-CN"/>
        </w:rPr>
        <w:t>要素，</w:t>
      </w:r>
      <w:r>
        <w:rPr>
          <w:rFonts w:hint="eastAsia"/>
          <w:kern w:val="22"/>
          <w:sz w:val="24"/>
          <w:szCs w:val="24"/>
          <w:lang w:eastAsia="zh-CN"/>
        </w:rPr>
        <w:t>将与</w:t>
      </w:r>
      <w:r w:rsidRPr="006753C2">
        <w:rPr>
          <w:kern w:val="22"/>
          <w:sz w:val="24"/>
          <w:szCs w:val="24"/>
          <w:lang w:eastAsia="zh-CN"/>
        </w:rPr>
        <w:t>不限成员名额的工作组的工作将相互支持，避免工作重叠。</w:t>
      </w:r>
      <w:r w:rsidRPr="006753C2">
        <w:rPr>
          <w:kern w:val="22"/>
          <w:sz w:val="24"/>
          <w:szCs w:val="24"/>
          <w:lang w:eastAsia="zh-CN"/>
        </w:rPr>
        <w:t xml:space="preserve">  </w:t>
      </w:r>
    </w:p>
    <w:p w:rsidR="00B41940" w:rsidRPr="006753C2" w:rsidRDefault="00B41940" w:rsidP="00615E7F">
      <w:pPr>
        <w:pStyle w:val="Para1"/>
        <w:numPr>
          <w:ilvl w:val="0"/>
          <w:numId w:val="268"/>
        </w:numPr>
        <w:suppressLineNumbers/>
        <w:suppressAutoHyphens/>
        <w:kinsoku w:val="0"/>
        <w:overflowPunct w:val="0"/>
        <w:autoSpaceDE w:val="0"/>
        <w:autoSpaceDN w:val="0"/>
        <w:adjustRightInd w:val="0"/>
        <w:snapToGrid w:val="0"/>
        <w:ind w:left="0" w:firstLine="0"/>
        <w:rPr>
          <w:kern w:val="22"/>
          <w:sz w:val="24"/>
          <w:szCs w:val="24"/>
          <w:lang w:eastAsia="zh-CN"/>
        </w:rPr>
      </w:pPr>
      <w:r w:rsidRPr="006753C2">
        <w:rPr>
          <w:kern w:val="22"/>
          <w:sz w:val="24"/>
          <w:szCs w:val="24"/>
          <w:lang w:eastAsia="zh-CN"/>
        </w:rPr>
        <w:t>对于分别来自</w:t>
      </w:r>
      <w:r>
        <w:rPr>
          <w:rFonts w:hint="eastAsia"/>
          <w:kern w:val="22"/>
          <w:sz w:val="24"/>
          <w:szCs w:val="24"/>
          <w:lang w:eastAsia="zh-CN"/>
        </w:rPr>
        <w:t>科学</w:t>
      </w:r>
      <w:r>
        <w:rPr>
          <w:kern w:val="22"/>
          <w:sz w:val="24"/>
          <w:szCs w:val="24"/>
          <w:lang w:eastAsia="zh-CN"/>
        </w:rPr>
        <w:t>、技术和工艺</w:t>
      </w:r>
      <w:r>
        <w:rPr>
          <w:rFonts w:hint="eastAsia"/>
          <w:kern w:val="22"/>
          <w:sz w:val="24"/>
          <w:szCs w:val="24"/>
          <w:lang w:eastAsia="zh-CN"/>
        </w:rPr>
        <w:t>咨询</w:t>
      </w:r>
      <w:r>
        <w:rPr>
          <w:kern w:val="22"/>
          <w:sz w:val="24"/>
          <w:szCs w:val="24"/>
          <w:lang w:eastAsia="zh-CN"/>
        </w:rPr>
        <w:t>附属机构</w:t>
      </w:r>
      <w:r w:rsidRPr="006753C2">
        <w:rPr>
          <w:kern w:val="22"/>
          <w:sz w:val="24"/>
          <w:szCs w:val="24"/>
          <w:lang w:eastAsia="zh-CN"/>
        </w:rPr>
        <w:t>、执行问题附属机构和第</w:t>
      </w:r>
      <w:r>
        <w:rPr>
          <w:kern w:val="22"/>
          <w:sz w:val="24"/>
          <w:szCs w:val="24"/>
          <w:lang w:eastAsia="zh-CN"/>
        </w:rPr>
        <w:t>8(j)</w:t>
      </w:r>
      <w:r w:rsidRPr="006753C2">
        <w:rPr>
          <w:kern w:val="22"/>
          <w:sz w:val="24"/>
          <w:szCs w:val="24"/>
          <w:lang w:eastAsia="zh-CN"/>
        </w:rPr>
        <w:t>条</w:t>
      </w:r>
      <w:r>
        <w:rPr>
          <w:rFonts w:hint="eastAsia"/>
          <w:kern w:val="22"/>
          <w:sz w:val="24"/>
          <w:szCs w:val="24"/>
          <w:lang w:eastAsia="zh-CN"/>
        </w:rPr>
        <w:t>和</w:t>
      </w:r>
      <w:r>
        <w:rPr>
          <w:kern w:val="22"/>
          <w:sz w:val="24"/>
          <w:szCs w:val="24"/>
          <w:lang w:eastAsia="zh-CN"/>
        </w:rPr>
        <w:t>相关条款问题不限成员名额特设工作组</w:t>
      </w:r>
      <w:r>
        <w:rPr>
          <w:rFonts w:hint="eastAsia"/>
          <w:kern w:val="22"/>
          <w:sz w:val="24"/>
          <w:szCs w:val="24"/>
          <w:lang w:eastAsia="zh-CN"/>
        </w:rPr>
        <w:t>以及</w:t>
      </w:r>
      <w:r w:rsidRPr="006753C2">
        <w:rPr>
          <w:kern w:val="22"/>
          <w:sz w:val="24"/>
          <w:szCs w:val="24"/>
          <w:lang w:eastAsia="zh-CN"/>
        </w:rPr>
        <w:t>不限成员名额</w:t>
      </w:r>
      <w:r>
        <w:rPr>
          <w:kern w:val="22"/>
          <w:sz w:val="24"/>
          <w:szCs w:val="24"/>
          <w:lang w:eastAsia="zh-CN"/>
        </w:rPr>
        <w:t>闭会期间</w:t>
      </w:r>
      <w:r w:rsidRPr="006753C2">
        <w:rPr>
          <w:kern w:val="22"/>
          <w:sz w:val="24"/>
          <w:szCs w:val="24"/>
          <w:lang w:eastAsia="zh-CN"/>
        </w:rPr>
        <w:t>工作组的意见</w:t>
      </w:r>
      <w:r>
        <w:rPr>
          <w:rFonts w:hint="eastAsia"/>
          <w:kern w:val="22"/>
          <w:sz w:val="24"/>
          <w:szCs w:val="24"/>
          <w:lang w:eastAsia="zh-CN"/>
        </w:rPr>
        <w:t>尚未</w:t>
      </w:r>
      <w:r w:rsidRPr="006753C2">
        <w:rPr>
          <w:kern w:val="22"/>
          <w:sz w:val="24"/>
          <w:szCs w:val="24"/>
          <w:lang w:eastAsia="zh-CN"/>
        </w:rPr>
        <w:t>确定的问题，不限成员名额</w:t>
      </w:r>
      <w:r>
        <w:rPr>
          <w:kern w:val="22"/>
          <w:sz w:val="24"/>
          <w:szCs w:val="24"/>
          <w:lang w:eastAsia="zh-CN"/>
        </w:rPr>
        <w:t>闭会期间</w:t>
      </w:r>
      <w:r w:rsidRPr="006753C2">
        <w:rPr>
          <w:kern w:val="22"/>
          <w:sz w:val="24"/>
          <w:szCs w:val="24"/>
          <w:lang w:eastAsia="zh-CN"/>
        </w:rPr>
        <w:t>工作组的共同主席应与</w:t>
      </w:r>
      <w:r>
        <w:rPr>
          <w:rFonts w:hint="eastAsia"/>
          <w:kern w:val="22"/>
          <w:sz w:val="24"/>
          <w:szCs w:val="24"/>
          <w:lang w:eastAsia="zh-CN"/>
        </w:rPr>
        <w:t>缔约方大会</w:t>
      </w:r>
      <w:r>
        <w:rPr>
          <w:kern w:val="22"/>
          <w:sz w:val="24"/>
          <w:szCs w:val="24"/>
          <w:lang w:eastAsia="zh-CN"/>
        </w:rPr>
        <w:t>的主席以及</w:t>
      </w:r>
      <w:r>
        <w:rPr>
          <w:rFonts w:hint="eastAsia"/>
          <w:kern w:val="22"/>
          <w:sz w:val="24"/>
          <w:szCs w:val="24"/>
          <w:lang w:eastAsia="zh-CN"/>
        </w:rPr>
        <w:t>科学</w:t>
      </w:r>
      <w:r>
        <w:rPr>
          <w:kern w:val="22"/>
          <w:sz w:val="24"/>
          <w:szCs w:val="24"/>
          <w:lang w:eastAsia="zh-CN"/>
        </w:rPr>
        <w:t>、技术和工艺</w:t>
      </w:r>
      <w:r>
        <w:rPr>
          <w:rFonts w:hint="eastAsia"/>
          <w:kern w:val="22"/>
          <w:sz w:val="24"/>
          <w:szCs w:val="24"/>
          <w:lang w:eastAsia="zh-CN"/>
        </w:rPr>
        <w:t>咨询</w:t>
      </w:r>
      <w:r>
        <w:rPr>
          <w:kern w:val="22"/>
          <w:sz w:val="24"/>
          <w:szCs w:val="24"/>
          <w:lang w:eastAsia="zh-CN"/>
        </w:rPr>
        <w:t>附属机构</w:t>
      </w:r>
      <w:r>
        <w:rPr>
          <w:rFonts w:hint="eastAsia"/>
          <w:kern w:val="22"/>
          <w:sz w:val="24"/>
          <w:szCs w:val="24"/>
          <w:lang w:eastAsia="zh-CN"/>
        </w:rPr>
        <w:t>和</w:t>
      </w:r>
      <w:r w:rsidRPr="006753C2">
        <w:rPr>
          <w:kern w:val="22"/>
          <w:sz w:val="24"/>
          <w:szCs w:val="24"/>
          <w:lang w:eastAsia="zh-CN"/>
        </w:rPr>
        <w:t>执行问题附属机构</w:t>
      </w:r>
      <w:r>
        <w:rPr>
          <w:rFonts w:hint="eastAsia"/>
          <w:kern w:val="22"/>
          <w:sz w:val="24"/>
          <w:szCs w:val="24"/>
          <w:lang w:eastAsia="zh-CN"/>
        </w:rPr>
        <w:t>的</w:t>
      </w:r>
      <w:r w:rsidRPr="006753C2">
        <w:rPr>
          <w:kern w:val="22"/>
          <w:sz w:val="24"/>
          <w:szCs w:val="24"/>
          <w:lang w:eastAsia="zh-CN"/>
        </w:rPr>
        <w:t>主席联络，</w:t>
      </w:r>
      <w:r>
        <w:rPr>
          <w:rFonts w:hint="eastAsia"/>
          <w:kern w:val="22"/>
          <w:sz w:val="24"/>
          <w:szCs w:val="24"/>
          <w:lang w:eastAsia="zh-CN"/>
        </w:rPr>
        <w:t>建议</w:t>
      </w:r>
      <w:r>
        <w:rPr>
          <w:kern w:val="22"/>
          <w:sz w:val="24"/>
          <w:szCs w:val="24"/>
          <w:lang w:eastAsia="zh-CN"/>
        </w:rPr>
        <w:t>各自主席团</w:t>
      </w:r>
      <w:r w:rsidRPr="006753C2">
        <w:rPr>
          <w:kern w:val="22"/>
          <w:sz w:val="24"/>
          <w:szCs w:val="24"/>
          <w:lang w:eastAsia="zh-CN"/>
        </w:rPr>
        <w:t>及时</w:t>
      </w:r>
      <w:r>
        <w:rPr>
          <w:kern w:val="22"/>
          <w:sz w:val="24"/>
          <w:szCs w:val="24"/>
          <w:lang w:eastAsia="zh-CN"/>
        </w:rPr>
        <w:t>确定</w:t>
      </w:r>
      <w:r w:rsidRPr="006753C2">
        <w:rPr>
          <w:kern w:val="22"/>
          <w:sz w:val="24"/>
          <w:szCs w:val="24"/>
          <w:lang w:eastAsia="zh-CN"/>
        </w:rPr>
        <w:t>相关会议的</w:t>
      </w:r>
      <w:r>
        <w:rPr>
          <w:rFonts w:hint="eastAsia"/>
          <w:kern w:val="22"/>
          <w:sz w:val="24"/>
          <w:szCs w:val="24"/>
          <w:lang w:eastAsia="zh-CN"/>
        </w:rPr>
        <w:t>相关</w:t>
      </w:r>
      <w:r w:rsidRPr="006753C2">
        <w:rPr>
          <w:kern w:val="22"/>
          <w:sz w:val="24"/>
          <w:szCs w:val="24"/>
          <w:lang w:eastAsia="zh-CN"/>
        </w:rPr>
        <w:t>议程</w:t>
      </w:r>
      <w:r>
        <w:rPr>
          <w:rFonts w:hint="eastAsia"/>
          <w:kern w:val="22"/>
          <w:sz w:val="24"/>
          <w:szCs w:val="24"/>
          <w:lang w:eastAsia="zh-CN"/>
        </w:rPr>
        <w:t>和</w:t>
      </w:r>
      <w:r>
        <w:rPr>
          <w:kern w:val="22"/>
          <w:sz w:val="24"/>
          <w:szCs w:val="24"/>
          <w:lang w:eastAsia="zh-CN"/>
        </w:rPr>
        <w:t>编制相关的文件</w:t>
      </w:r>
      <w:r w:rsidRPr="006753C2">
        <w:rPr>
          <w:kern w:val="22"/>
          <w:sz w:val="24"/>
          <w:szCs w:val="24"/>
          <w:lang w:eastAsia="zh-CN"/>
        </w:rPr>
        <w:t>。</w:t>
      </w:r>
    </w:p>
    <w:p w:rsidR="00B41940" w:rsidRPr="00622344" w:rsidRDefault="00B41940" w:rsidP="00615E7F">
      <w:pPr>
        <w:pStyle w:val="Para1"/>
        <w:numPr>
          <w:ilvl w:val="0"/>
          <w:numId w:val="268"/>
        </w:numPr>
        <w:suppressLineNumbers/>
        <w:suppressAutoHyphens/>
        <w:kinsoku w:val="0"/>
        <w:overflowPunct w:val="0"/>
        <w:autoSpaceDE w:val="0"/>
        <w:autoSpaceDN w:val="0"/>
        <w:adjustRightInd w:val="0"/>
        <w:snapToGrid w:val="0"/>
        <w:ind w:left="0" w:firstLine="0"/>
        <w:rPr>
          <w:kern w:val="22"/>
          <w:sz w:val="24"/>
          <w:szCs w:val="22"/>
          <w:lang w:eastAsia="zh-CN"/>
        </w:rPr>
      </w:pPr>
      <w:r w:rsidRPr="00F642D2">
        <w:rPr>
          <w:kern w:val="22"/>
          <w:sz w:val="24"/>
          <w:szCs w:val="24"/>
          <w:lang w:eastAsia="zh-CN"/>
        </w:rPr>
        <w:t>预期</w:t>
      </w:r>
      <w:r w:rsidRPr="00F642D2">
        <w:rPr>
          <w:rFonts w:hint="eastAsia"/>
          <w:kern w:val="22"/>
          <w:sz w:val="24"/>
          <w:szCs w:val="24"/>
          <w:lang w:eastAsia="zh-CN"/>
        </w:rPr>
        <w:t>制订</w:t>
      </w:r>
      <w:r w:rsidRPr="00F642D2">
        <w:rPr>
          <w:kern w:val="22"/>
          <w:sz w:val="24"/>
          <w:szCs w:val="24"/>
          <w:lang w:eastAsia="zh-CN"/>
        </w:rPr>
        <w:t>2020</w:t>
      </w:r>
      <w:r w:rsidRPr="00F642D2">
        <w:rPr>
          <w:kern w:val="22"/>
          <w:sz w:val="24"/>
          <w:szCs w:val="24"/>
          <w:lang w:eastAsia="zh-CN"/>
        </w:rPr>
        <w:t>年后全球生物多样性框架的不限成员名额</w:t>
      </w:r>
      <w:r w:rsidRPr="00F642D2">
        <w:rPr>
          <w:rFonts w:hint="eastAsia"/>
          <w:kern w:val="22"/>
          <w:sz w:val="24"/>
          <w:szCs w:val="24"/>
          <w:lang w:eastAsia="zh-CN"/>
        </w:rPr>
        <w:t>闭会期间</w:t>
      </w:r>
      <w:r w:rsidRPr="00F642D2">
        <w:rPr>
          <w:kern w:val="22"/>
          <w:sz w:val="24"/>
          <w:szCs w:val="24"/>
          <w:lang w:eastAsia="zh-CN"/>
        </w:rPr>
        <w:t>工作组</w:t>
      </w:r>
      <w:r w:rsidRPr="00F642D2">
        <w:rPr>
          <w:rFonts w:hint="eastAsia"/>
          <w:kern w:val="22"/>
          <w:sz w:val="24"/>
          <w:szCs w:val="24"/>
          <w:lang w:eastAsia="zh-CN"/>
        </w:rPr>
        <w:t>的</w:t>
      </w:r>
      <w:r w:rsidRPr="00F642D2">
        <w:rPr>
          <w:kern w:val="22"/>
          <w:sz w:val="24"/>
          <w:szCs w:val="24"/>
          <w:lang w:eastAsia="zh-CN"/>
        </w:rPr>
        <w:t>共同主席</w:t>
      </w:r>
      <w:r w:rsidRPr="00F642D2">
        <w:rPr>
          <w:rFonts w:hint="eastAsia"/>
          <w:kern w:val="22"/>
          <w:sz w:val="24"/>
          <w:szCs w:val="24"/>
          <w:lang w:eastAsia="zh-CN"/>
        </w:rPr>
        <w:t>将</w:t>
      </w:r>
      <w:r w:rsidRPr="00F642D2">
        <w:rPr>
          <w:kern w:val="22"/>
          <w:sz w:val="24"/>
          <w:szCs w:val="24"/>
          <w:lang w:eastAsia="zh-CN"/>
        </w:rPr>
        <w:t>在制定框架的</w:t>
      </w:r>
      <w:r w:rsidRPr="00F642D2">
        <w:rPr>
          <w:kern w:val="22"/>
          <w:sz w:val="24"/>
          <w:szCs w:val="24"/>
          <w:lang w:eastAsia="zh-CN"/>
        </w:rPr>
        <w:t>22</w:t>
      </w:r>
      <w:r w:rsidRPr="00F642D2">
        <w:rPr>
          <w:kern w:val="22"/>
          <w:sz w:val="24"/>
          <w:szCs w:val="24"/>
          <w:lang w:eastAsia="zh-CN"/>
        </w:rPr>
        <w:t>个月内将花费大量时间领导这一进程。</w:t>
      </w:r>
      <w:r w:rsidRPr="00F642D2">
        <w:rPr>
          <w:rFonts w:hint="eastAsia"/>
          <w:kern w:val="22"/>
          <w:sz w:val="24"/>
          <w:szCs w:val="24"/>
          <w:lang w:eastAsia="zh-CN"/>
        </w:rPr>
        <w:t>他们将</w:t>
      </w:r>
      <w:r w:rsidRPr="00F642D2">
        <w:rPr>
          <w:kern w:val="22"/>
          <w:sz w:val="24"/>
          <w:szCs w:val="24"/>
          <w:lang w:eastAsia="zh-CN"/>
        </w:rPr>
        <w:t>指导</w:t>
      </w:r>
      <w:r w:rsidRPr="00F642D2">
        <w:rPr>
          <w:rFonts w:hint="eastAsia"/>
          <w:kern w:val="22"/>
          <w:sz w:val="24"/>
          <w:szCs w:val="24"/>
          <w:lang w:eastAsia="zh-CN"/>
        </w:rPr>
        <w:t>秘书处</w:t>
      </w:r>
      <w:r w:rsidRPr="00F642D2">
        <w:rPr>
          <w:kern w:val="22"/>
          <w:sz w:val="24"/>
          <w:szCs w:val="24"/>
          <w:lang w:eastAsia="zh-CN"/>
        </w:rPr>
        <w:t>促进进程的工作。</w:t>
      </w:r>
      <w:r w:rsidRPr="00F642D2">
        <w:rPr>
          <w:rFonts w:hint="eastAsia"/>
          <w:kern w:val="22"/>
          <w:sz w:val="24"/>
          <w:szCs w:val="24"/>
          <w:lang w:eastAsia="zh-CN"/>
        </w:rPr>
        <w:t>共同主席</w:t>
      </w:r>
      <w:r w:rsidRPr="00F642D2">
        <w:rPr>
          <w:kern w:val="22"/>
          <w:sz w:val="24"/>
          <w:szCs w:val="24"/>
          <w:lang w:eastAsia="zh-CN"/>
        </w:rPr>
        <w:t>将</w:t>
      </w:r>
      <w:r w:rsidRPr="00F642D2">
        <w:rPr>
          <w:rFonts w:hint="eastAsia"/>
          <w:kern w:val="22"/>
          <w:sz w:val="24"/>
          <w:szCs w:val="24"/>
          <w:lang w:eastAsia="zh-CN"/>
        </w:rPr>
        <w:t>依据职权</w:t>
      </w:r>
      <w:r w:rsidRPr="00F642D2">
        <w:rPr>
          <w:kern w:val="22"/>
          <w:sz w:val="24"/>
          <w:szCs w:val="24"/>
          <w:lang w:eastAsia="zh-CN"/>
        </w:rPr>
        <w:t>参加缔约方大会主席团的会议，</w:t>
      </w:r>
      <w:r w:rsidRPr="00F642D2">
        <w:rPr>
          <w:rFonts w:hint="eastAsia"/>
          <w:kern w:val="22"/>
          <w:sz w:val="24"/>
          <w:szCs w:val="24"/>
          <w:lang w:eastAsia="zh-CN"/>
        </w:rPr>
        <w:t>将对</w:t>
      </w:r>
      <w:r w:rsidRPr="00F642D2">
        <w:rPr>
          <w:kern w:val="22"/>
          <w:sz w:val="24"/>
          <w:szCs w:val="24"/>
          <w:lang w:eastAsia="zh-CN"/>
        </w:rPr>
        <w:t>制订</w:t>
      </w:r>
      <w:r w:rsidRPr="00F642D2">
        <w:rPr>
          <w:rFonts w:hint="eastAsia"/>
          <w:kern w:val="22"/>
          <w:sz w:val="24"/>
          <w:szCs w:val="24"/>
          <w:lang w:eastAsia="zh-CN"/>
        </w:rPr>
        <w:t>2020</w:t>
      </w:r>
      <w:r w:rsidRPr="00F642D2">
        <w:rPr>
          <w:rFonts w:hint="eastAsia"/>
          <w:kern w:val="22"/>
          <w:sz w:val="24"/>
          <w:szCs w:val="24"/>
          <w:lang w:eastAsia="zh-CN"/>
        </w:rPr>
        <w:t>年后</w:t>
      </w:r>
      <w:r w:rsidRPr="00F642D2">
        <w:rPr>
          <w:kern w:val="22"/>
          <w:sz w:val="24"/>
          <w:szCs w:val="24"/>
          <w:lang w:eastAsia="zh-CN"/>
        </w:rPr>
        <w:t>全球生物多样性框架的进程提供监督。</w:t>
      </w:r>
      <w:r w:rsidRPr="00F642D2">
        <w:rPr>
          <w:rFonts w:hint="eastAsia"/>
          <w:kern w:val="22"/>
          <w:sz w:val="24"/>
          <w:szCs w:val="24"/>
          <w:lang w:eastAsia="zh-CN"/>
        </w:rPr>
        <w:t>共同主席</w:t>
      </w:r>
      <w:r w:rsidRPr="00F642D2">
        <w:rPr>
          <w:kern w:val="22"/>
          <w:sz w:val="24"/>
          <w:szCs w:val="24"/>
          <w:lang w:eastAsia="zh-CN"/>
        </w:rPr>
        <w:t>还将参加</w:t>
      </w:r>
      <w:r w:rsidRPr="00F642D2">
        <w:rPr>
          <w:rFonts w:hint="eastAsia"/>
          <w:kern w:val="22"/>
          <w:sz w:val="24"/>
          <w:szCs w:val="24"/>
          <w:lang w:eastAsia="zh-CN"/>
        </w:rPr>
        <w:t>科学</w:t>
      </w:r>
      <w:r w:rsidRPr="00F642D2">
        <w:rPr>
          <w:kern w:val="22"/>
          <w:sz w:val="24"/>
          <w:szCs w:val="24"/>
          <w:lang w:eastAsia="zh-CN"/>
        </w:rPr>
        <w:t>、技术和工艺</w:t>
      </w:r>
      <w:r w:rsidRPr="00F642D2">
        <w:rPr>
          <w:rFonts w:hint="eastAsia"/>
          <w:kern w:val="22"/>
          <w:sz w:val="24"/>
          <w:szCs w:val="24"/>
          <w:lang w:eastAsia="zh-CN"/>
        </w:rPr>
        <w:t>咨询</w:t>
      </w:r>
      <w:r w:rsidRPr="00F642D2">
        <w:rPr>
          <w:kern w:val="22"/>
          <w:sz w:val="24"/>
          <w:szCs w:val="24"/>
          <w:lang w:eastAsia="zh-CN"/>
        </w:rPr>
        <w:t>附属机构</w:t>
      </w:r>
      <w:r w:rsidRPr="00F642D2">
        <w:rPr>
          <w:rFonts w:hint="eastAsia"/>
          <w:kern w:val="22"/>
          <w:sz w:val="24"/>
          <w:szCs w:val="24"/>
          <w:lang w:eastAsia="zh-CN"/>
        </w:rPr>
        <w:t>主席团</w:t>
      </w:r>
      <w:r w:rsidRPr="00F642D2">
        <w:rPr>
          <w:kern w:val="22"/>
          <w:sz w:val="24"/>
          <w:szCs w:val="24"/>
          <w:lang w:eastAsia="zh-CN"/>
        </w:rPr>
        <w:t>的相关会议。除</w:t>
      </w:r>
      <w:r w:rsidRPr="00F642D2">
        <w:rPr>
          <w:rFonts w:hint="eastAsia"/>
          <w:kern w:val="22"/>
          <w:sz w:val="24"/>
          <w:szCs w:val="24"/>
          <w:lang w:eastAsia="zh-CN"/>
        </w:rPr>
        <w:t>执行问题</w:t>
      </w:r>
      <w:r w:rsidRPr="00F642D2">
        <w:rPr>
          <w:kern w:val="22"/>
          <w:sz w:val="24"/>
          <w:szCs w:val="24"/>
          <w:lang w:eastAsia="zh-CN"/>
        </w:rPr>
        <w:t>附属机构的主席外，</w:t>
      </w:r>
      <w:r w:rsidRPr="00F642D2">
        <w:rPr>
          <w:rFonts w:hint="eastAsia"/>
          <w:kern w:val="22"/>
          <w:sz w:val="24"/>
          <w:szCs w:val="24"/>
          <w:lang w:eastAsia="zh-CN"/>
        </w:rPr>
        <w:t>还将</w:t>
      </w:r>
      <w:r w:rsidRPr="00F642D2">
        <w:rPr>
          <w:kern w:val="22"/>
          <w:sz w:val="24"/>
          <w:szCs w:val="24"/>
          <w:lang w:eastAsia="zh-CN"/>
        </w:rPr>
        <w:t>邀请</w:t>
      </w:r>
      <w:r w:rsidRPr="00F642D2">
        <w:rPr>
          <w:rFonts w:hint="eastAsia"/>
          <w:kern w:val="22"/>
          <w:sz w:val="24"/>
          <w:szCs w:val="24"/>
          <w:lang w:eastAsia="zh-CN"/>
        </w:rPr>
        <w:t>科学</w:t>
      </w:r>
      <w:r w:rsidRPr="00F642D2">
        <w:rPr>
          <w:kern w:val="22"/>
          <w:sz w:val="24"/>
          <w:szCs w:val="24"/>
          <w:lang w:eastAsia="zh-CN"/>
        </w:rPr>
        <w:t>、技术和工艺</w:t>
      </w:r>
      <w:r w:rsidRPr="00F642D2">
        <w:rPr>
          <w:rFonts w:hint="eastAsia"/>
          <w:kern w:val="22"/>
          <w:sz w:val="24"/>
          <w:szCs w:val="24"/>
          <w:lang w:eastAsia="zh-CN"/>
        </w:rPr>
        <w:t>咨询</w:t>
      </w:r>
      <w:r w:rsidRPr="00F642D2">
        <w:rPr>
          <w:kern w:val="22"/>
          <w:sz w:val="24"/>
          <w:szCs w:val="24"/>
          <w:lang w:eastAsia="zh-CN"/>
        </w:rPr>
        <w:t>附属机构</w:t>
      </w:r>
      <w:r w:rsidRPr="00F642D2">
        <w:rPr>
          <w:rFonts w:hint="eastAsia"/>
          <w:kern w:val="22"/>
          <w:sz w:val="24"/>
          <w:szCs w:val="24"/>
          <w:lang w:eastAsia="zh-CN"/>
        </w:rPr>
        <w:t>的</w:t>
      </w:r>
      <w:r w:rsidRPr="00F642D2">
        <w:rPr>
          <w:kern w:val="22"/>
          <w:sz w:val="24"/>
          <w:szCs w:val="24"/>
          <w:lang w:eastAsia="zh-CN"/>
        </w:rPr>
        <w:t>主席和缔约方大会第十五届会议的主席</w:t>
      </w:r>
      <w:r w:rsidRPr="00F642D2">
        <w:rPr>
          <w:rFonts w:hint="eastAsia"/>
          <w:kern w:val="22"/>
          <w:sz w:val="24"/>
          <w:szCs w:val="24"/>
          <w:lang w:eastAsia="zh-CN"/>
        </w:rPr>
        <w:t>依据</w:t>
      </w:r>
      <w:r w:rsidRPr="00F642D2">
        <w:rPr>
          <w:kern w:val="22"/>
          <w:sz w:val="24"/>
          <w:szCs w:val="24"/>
          <w:lang w:eastAsia="zh-CN"/>
        </w:rPr>
        <w:t>职权参加缔约方大会主席团</w:t>
      </w:r>
      <w:r w:rsidRPr="00F642D2">
        <w:rPr>
          <w:rFonts w:hint="eastAsia"/>
          <w:kern w:val="22"/>
          <w:sz w:val="24"/>
          <w:szCs w:val="24"/>
          <w:lang w:eastAsia="zh-CN"/>
        </w:rPr>
        <w:t>与</w:t>
      </w:r>
      <w:r w:rsidRPr="00F642D2">
        <w:rPr>
          <w:kern w:val="22"/>
          <w:sz w:val="24"/>
          <w:szCs w:val="24"/>
          <w:lang w:eastAsia="zh-CN"/>
        </w:rPr>
        <w:t>制订</w:t>
      </w:r>
      <w:r w:rsidRPr="00F642D2">
        <w:rPr>
          <w:rFonts w:hint="eastAsia"/>
          <w:kern w:val="22"/>
          <w:sz w:val="24"/>
          <w:szCs w:val="24"/>
          <w:lang w:eastAsia="zh-CN"/>
        </w:rPr>
        <w:t>2020</w:t>
      </w:r>
      <w:r w:rsidRPr="00F642D2">
        <w:rPr>
          <w:rFonts w:hint="eastAsia"/>
          <w:kern w:val="22"/>
          <w:sz w:val="24"/>
          <w:szCs w:val="24"/>
          <w:lang w:eastAsia="zh-CN"/>
        </w:rPr>
        <w:t>年后</w:t>
      </w:r>
      <w:r w:rsidRPr="00F642D2">
        <w:rPr>
          <w:kern w:val="22"/>
          <w:sz w:val="24"/>
          <w:szCs w:val="24"/>
          <w:lang w:eastAsia="zh-CN"/>
        </w:rPr>
        <w:t>全球生物多样性框架有关的事项的会议。</w:t>
      </w:r>
    </w:p>
    <w:p w:rsidR="00622344" w:rsidRPr="00313192" w:rsidRDefault="00B41940" w:rsidP="00622344">
      <w:pPr>
        <w:pStyle w:val="Para1"/>
        <w:widowControl w:val="0"/>
        <w:numPr>
          <w:ilvl w:val="0"/>
          <w:numId w:val="268"/>
        </w:numPr>
        <w:suppressLineNumbers/>
        <w:suppressAutoHyphens/>
        <w:kinsoku w:val="0"/>
        <w:overflowPunct w:val="0"/>
        <w:autoSpaceDE w:val="0"/>
        <w:autoSpaceDN w:val="0"/>
        <w:adjustRightInd w:val="0"/>
        <w:snapToGrid w:val="0"/>
        <w:ind w:left="0" w:firstLine="0"/>
        <w:rPr>
          <w:rFonts w:eastAsiaTheme="minorEastAsia"/>
          <w:sz w:val="24"/>
          <w:szCs w:val="24"/>
          <w:lang w:eastAsia="zh-CN"/>
        </w:rPr>
      </w:pPr>
      <w:r w:rsidRPr="00313192">
        <w:rPr>
          <w:rFonts w:eastAsiaTheme="minorEastAsia"/>
          <w:sz w:val="24"/>
          <w:szCs w:val="24"/>
          <w:lang w:eastAsia="zh-CN"/>
        </w:rPr>
        <w:t>共同主席将力求确保</w:t>
      </w:r>
      <w:r w:rsidRPr="00313192">
        <w:rPr>
          <w:rFonts w:eastAsiaTheme="minorEastAsia"/>
          <w:sz w:val="24"/>
          <w:szCs w:val="24"/>
          <w:lang w:eastAsia="zh-CN"/>
        </w:rPr>
        <w:t>2020</w:t>
      </w:r>
      <w:r w:rsidRPr="00313192">
        <w:rPr>
          <w:rFonts w:eastAsiaTheme="minorEastAsia"/>
          <w:sz w:val="24"/>
          <w:szCs w:val="24"/>
          <w:lang w:eastAsia="zh-CN"/>
        </w:rPr>
        <w:t>年后全球生物多样性框架与其他现有或即将开展的国际进程保持一致并相互补充，特别是与《</w:t>
      </w:r>
      <w:r w:rsidRPr="00313192">
        <w:rPr>
          <w:rFonts w:eastAsiaTheme="minorEastAsia"/>
          <w:sz w:val="24"/>
          <w:szCs w:val="24"/>
          <w:lang w:eastAsia="zh-CN"/>
        </w:rPr>
        <w:t>2030</w:t>
      </w:r>
      <w:r w:rsidRPr="00313192">
        <w:rPr>
          <w:rFonts w:eastAsiaTheme="minorEastAsia"/>
          <w:sz w:val="24"/>
          <w:szCs w:val="24"/>
          <w:lang w:eastAsia="zh-CN"/>
        </w:rPr>
        <w:t>年可持续发展议程》、</w:t>
      </w:r>
      <w:r w:rsidR="00622344" w:rsidRPr="00313192">
        <w:rPr>
          <w:rFonts w:eastAsiaTheme="minorEastAsia"/>
          <w:sz w:val="24"/>
          <w:szCs w:val="24"/>
          <w:lang w:eastAsia="zh-CN"/>
        </w:rPr>
        <w:t>《巴黎协定》</w:t>
      </w:r>
      <w:r w:rsidR="00622344" w:rsidRPr="00313192">
        <w:rPr>
          <w:rFonts w:eastAsiaTheme="minorEastAsia"/>
          <w:sz w:val="24"/>
          <w:szCs w:val="24"/>
          <w:lang w:eastAsia="zh-CN"/>
        </w:rPr>
        <w:footnoteReference w:id="310"/>
      </w:r>
      <w:r w:rsidR="00622344" w:rsidRPr="00313192">
        <w:rPr>
          <w:rFonts w:eastAsiaTheme="minorEastAsia" w:hint="eastAsia"/>
          <w:sz w:val="24"/>
          <w:szCs w:val="24"/>
          <w:lang w:eastAsia="zh-CN"/>
        </w:rPr>
        <w:t xml:space="preserve"> </w:t>
      </w:r>
      <w:r w:rsidR="00622344" w:rsidRPr="00313192">
        <w:rPr>
          <w:rFonts w:eastAsiaTheme="minorEastAsia"/>
          <w:sz w:val="24"/>
          <w:szCs w:val="24"/>
          <w:lang w:eastAsia="zh-CN"/>
        </w:rPr>
        <w:t>和其他相关进程、框架和战略</w:t>
      </w:r>
      <w:r w:rsidR="00622344" w:rsidRPr="00313192">
        <w:rPr>
          <w:sz w:val="24"/>
          <w:szCs w:val="24"/>
          <w:vertAlign w:val="superscript"/>
          <w:lang w:eastAsia="zh-CN"/>
        </w:rPr>
        <w:footnoteReference w:id="311"/>
      </w:r>
      <w:r w:rsidR="00622344" w:rsidRPr="00313192">
        <w:rPr>
          <w:rFonts w:eastAsiaTheme="minorEastAsia" w:hint="eastAsia"/>
          <w:sz w:val="24"/>
          <w:szCs w:val="24"/>
          <w:vertAlign w:val="superscript"/>
          <w:lang w:eastAsia="zh-CN"/>
        </w:rPr>
        <w:t xml:space="preserve"> </w:t>
      </w:r>
      <w:r w:rsidR="00622344" w:rsidRPr="00313192">
        <w:rPr>
          <w:rFonts w:eastAsiaTheme="minorEastAsia"/>
          <w:sz w:val="24"/>
          <w:szCs w:val="24"/>
          <w:lang w:eastAsia="zh-CN"/>
        </w:rPr>
        <w:t>保持一致。</w:t>
      </w:r>
    </w:p>
    <w:p w:rsidR="00B41940" w:rsidRPr="00ED34A2" w:rsidRDefault="00B41940" w:rsidP="00622344">
      <w:pPr>
        <w:pStyle w:val="ListParagraph"/>
        <w:widowControl w:val="0"/>
        <w:numPr>
          <w:ilvl w:val="0"/>
          <w:numId w:val="271"/>
        </w:numPr>
        <w:snapToGrid w:val="0"/>
        <w:ind w:left="0" w:firstLine="0"/>
        <w:rPr>
          <w:rFonts w:eastAsiaTheme="minorEastAsia"/>
          <w:lang w:eastAsia="zh-CN"/>
        </w:rPr>
      </w:pPr>
      <w:r w:rsidRPr="00ED34A2">
        <w:rPr>
          <w:rFonts w:eastAsiaTheme="minorEastAsia"/>
          <w:lang w:eastAsia="zh-CN"/>
        </w:rPr>
        <w:t>共同主席将鼓励其他多边环境协定，包括生物多样性各相关公约和里约各公约、相关国际组织及其方案以及其他相关进程，积极参与</w:t>
      </w:r>
      <w:r w:rsidRPr="00ED34A2">
        <w:rPr>
          <w:rFonts w:eastAsiaTheme="minorEastAsia"/>
          <w:lang w:eastAsia="zh-CN"/>
        </w:rPr>
        <w:t>2020</w:t>
      </w:r>
      <w:r w:rsidRPr="00ED34A2">
        <w:rPr>
          <w:rFonts w:eastAsiaTheme="minorEastAsia"/>
          <w:lang w:eastAsia="zh-CN"/>
        </w:rPr>
        <w:t>年后全球生物多样性框架的制定进程。</w:t>
      </w:r>
      <w:r>
        <w:rPr>
          <w:rFonts w:eastAsiaTheme="minorEastAsia" w:hint="eastAsia"/>
          <w:lang w:eastAsia="zh-CN"/>
        </w:rPr>
        <w:lastRenderedPageBreak/>
        <w:t>本</w:t>
      </w:r>
      <w:r w:rsidRPr="00ED34A2">
        <w:rPr>
          <w:rFonts w:eastAsiaTheme="minorEastAsia"/>
          <w:lang w:eastAsia="zh-CN"/>
        </w:rPr>
        <w:t>进程将以《公约》和两项《议定书》为加强执行支助机制和审查执行情况而正在开展的工作为基础。</w:t>
      </w:r>
    </w:p>
    <w:p w:rsidR="00B41940" w:rsidRPr="00ED34A2" w:rsidRDefault="00B41940" w:rsidP="00622344">
      <w:pPr>
        <w:widowControl w:val="0"/>
        <w:snapToGrid w:val="0"/>
        <w:jc w:val="center"/>
        <w:rPr>
          <w:rFonts w:eastAsiaTheme="minorEastAsia"/>
          <w:b/>
        </w:rPr>
      </w:pPr>
      <w:r w:rsidRPr="00ED34A2">
        <w:rPr>
          <w:rFonts w:eastAsiaTheme="minorEastAsia"/>
          <w:b/>
        </w:rPr>
        <w:t xml:space="preserve">C.   </w:t>
      </w:r>
      <w:r>
        <w:rPr>
          <w:rFonts w:eastAsiaTheme="minorEastAsia"/>
          <w:b/>
        </w:rPr>
        <w:t xml:space="preserve">  </w:t>
      </w:r>
      <w:r w:rsidRPr="00ED34A2">
        <w:rPr>
          <w:rFonts w:eastAsiaTheme="minorEastAsia"/>
          <w:b/>
        </w:rPr>
        <w:t>协商进程</w:t>
      </w:r>
    </w:p>
    <w:p w:rsidR="00B41940" w:rsidRPr="00ED34A2" w:rsidRDefault="00B41940" w:rsidP="00622344">
      <w:pPr>
        <w:pStyle w:val="ListParagraph"/>
        <w:widowControl w:val="0"/>
        <w:numPr>
          <w:ilvl w:val="0"/>
          <w:numId w:val="271"/>
        </w:numPr>
        <w:adjustRightInd w:val="0"/>
        <w:snapToGrid w:val="0"/>
        <w:ind w:left="0" w:firstLine="0"/>
        <w:rPr>
          <w:rFonts w:eastAsiaTheme="minorEastAsia"/>
          <w:noProof/>
          <w:kern w:val="22"/>
          <w:lang w:eastAsia="zh-CN"/>
        </w:rPr>
      </w:pPr>
      <w:r w:rsidRPr="00ED34A2">
        <w:rPr>
          <w:rFonts w:eastAsiaTheme="minorEastAsia"/>
          <w:noProof/>
          <w:kern w:val="22"/>
          <w:lang w:eastAsia="zh-CN"/>
        </w:rPr>
        <w:t>在不限成员名额</w:t>
      </w:r>
      <w:r>
        <w:rPr>
          <w:rFonts w:eastAsiaTheme="minorEastAsia" w:hint="eastAsia"/>
          <w:noProof/>
          <w:kern w:val="22"/>
          <w:lang w:eastAsia="zh-CN"/>
        </w:rPr>
        <w:t>闭会期间</w:t>
      </w:r>
      <w:r w:rsidRPr="00ED34A2">
        <w:rPr>
          <w:rFonts w:eastAsiaTheme="minorEastAsia"/>
          <w:noProof/>
          <w:kern w:val="22"/>
          <w:lang w:eastAsia="zh-CN"/>
        </w:rPr>
        <w:t>工作组共同主席的指导下，将通过适当程序组织协商，包括但不限于</w:t>
      </w:r>
      <w:r w:rsidRPr="00ED34A2">
        <w:rPr>
          <w:rFonts w:eastAsiaTheme="minorEastAsia"/>
          <w:lang w:eastAsia="zh-CN"/>
        </w:rPr>
        <w:t>在线</w:t>
      </w:r>
      <w:r w:rsidRPr="00ED34A2">
        <w:rPr>
          <w:rFonts w:eastAsiaTheme="minorEastAsia"/>
          <w:noProof/>
          <w:kern w:val="22"/>
          <w:lang w:eastAsia="zh-CN"/>
        </w:rPr>
        <w:t>讨论论坛和全球、区域和专题讲习班。最初的区域协商应在进程初期进行。协商的结果将公之于众，并提交不限成员名额闭会期间工作组审议。</w:t>
      </w:r>
    </w:p>
    <w:p w:rsidR="00B41940" w:rsidRPr="00ED34A2" w:rsidRDefault="00B41940" w:rsidP="00615E7F">
      <w:pPr>
        <w:pStyle w:val="ListParagraph"/>
        <w:widowControl w:val="0"/>
        <w:numPr>
          <w:ilvl w:val="0"/>
          <w:numId w:val="271"/>
        </w:numPr>
        <w:adjustRightInd w:val="0"/>
        <w:snapToGrid w:val="0"/>
        <w:ind w:left="0" w:firstLine="0"/>
        <w:rPr>
          <w:rFonts w:eastAsiaTheme="minorEastAsia"/>
          <w:noProof/>
          <w:kern w:val="22"/>
          <w:lang w:eastAsia="zh-CN"/>
        </w:rPr>
      </w:pPr>
      <w:r w:rsidRPr="00ED34A2">
        <w:rPr>
          <w:rFonts w:eastAsiaTheme="minorEastAsia"/>
          <w:noProof/>
          <w:kern w:val="22"/>
          <w:lang w:eastAsia="zh-CN"/>
        </w:rPr>
        <w:t>制定</w:t>
      </w:r>
      <w:r w:rsidRPr="00ED34A2">
        <w:rPr>
          <w:rFonts w:eastAsiaTheme="minorEastAsia"/>
          <w:noProof/>
          <w:kern w:val="22"/>
          <w:lang w:eastAsia="zh-CN"/>
        </w:rPr>
        <w:t>2020</w:t>
      </w:r>
      <w:r w:rsidRPr="00ED34A2">
        <w:rPr>
          <w:rFonts w:eastAsiaTheme="minorEastAsia"/>
          <w:noProof/>
          <w:kern w:val="22"/>
          <w:lang w:eastAsia="zh-CN"/>
        </w:rPr>
        <w:t>年后全球生物多样性框架的进程的有效性取决于《公约》和《议定书》所有缔约方的积极参与，包括促进有意义的国家协商。具体而言，在制定</w:t>
      </w:r>
      <w:r w:rsidRPr="00ED34A2">
        <w:rPr>
          <w:rFonts w:eastAsiaTheme="minorEastAsia"/>
          <w:noProof/>
          <w:kern w:val="22"/>
          <w:lang w:eastAsia="zh-CN"/>
        </w:rPr>
        <w:t>2020</w:t>
      </w:r>
      <w:r w:rsidRPr="00ED34A2">
        <w:rPr>
          <w:rFonts w:eastAsiaTheme="minorEastAsia"/>
          <w:noProof/>
          <w:kern w:val="22"/>
          <w:lang w:eastAsia="zh-CN"/>
        </w:rPr>
        <w:t>年后全球生物多样性框架时，</w:t>
      </w:r>
      <w:r>
        <w:rPr>
          <w:rFonts w:eastAsiaTheme="minorEastAsia" w:hint="eastAsia"/>
          <w:noProof/>
          <w:kern w:val="22"/>
          <w:lang w:eastAsia="zh-CN"/>
        </w:rPr>
        <w:t>将</w:t>
      </w:r>
      <w:r w:rsidRPr="00ED34A2">
        <w:rPr>
          <w:rFonts w:eastAsiaTheme="minorEastAsia"/>
          <w:noProof/>
          <w:kern w:val="22"/>
          <w:lang w:eastAsia="zh-CN"/>
        </w:rPr>
        <w:t>鼓励缔约方</w:t>
      </w:r>
      <w:r>
        <w:rPr>
          <w:rFonts w:eastAsiaTheme="minorEastAsia" w:hint="eastAsia"/>
          <w:noProof/>
          <w:kern w:val="22"/>
          <w:lang w:eastAsia="zh-CN"/>
        </w:rPr>
        <w:t>开展</w:t>
      </w:r>
      <w:r>
        <w:rPr>
          <w:rFonts w:eastAsiaTheme="minorEastAsia"/>
          <w:noProof/>
          <w:kern w:val="22"/>
          <w:lang w:eastAsia="zh-CN"/>
        </w:rPr>
        <w:t>以下工作</w:t>
      </w:r>
      <w:r w:rsidRPr="00ED34A2">
        <w:rPr>
          <w:rFonts w:eastAsiaTheme="minorEastAsia"/>
          <w:noProof/>
          <w:kern w:val="22"/>
          <w:lang w:eastAsia="zh-CN"/>
        </w:rPr>
        <w:t>：</w:t>
      </w:r>
    </w:p>
    <w:p w:rsidR="00B41940" w:rsidRPr="00ED34A2" w:rsidRDefault="00B41940" w:rsidP="00615E7F">
      <w:pPr>
        <w:pStyle w:val="ListParagraph"/>
        <w:widowControl w:val="0"/>
        <w:numPr>
          <w:ilvl w:val="1"/>
          <w:numId w:val="271"/>
        </w:numPr>
        <w:tabs>
          <w:tab w:val="left" w:pos="1440"/>
        </w:tabs>
        <w:adjustRightInd w:val="0"/>
        <w:snapToGrid w:val="0"/>
        <w:ind w:left="0" w:firstLine="720"/>
        <w:rPr>
          <w:rFonts w:eastAsiaTheme="minorEastAsia"/>
          <w:noProof/>
          <w:kern w:val="22"/>
          <w:lang w:eastAsia="zh-CN"/>
        </w:rPr>
      </w:pPr>
      <w:r w:rsidRPr="00ED34A2">
        <w:rPr>
          <w:rFonts w:eastAsiaTheme="minorEastAsia"/>
          <w:noProof/>
          <w:kern w:val="22"/>
          <w:lang w:eastAsia="zh-CN"/>
        </w:rPr>
        <w:t>促进《公约》和《议定书》联络点的积极参与，鼓励其他有关国际和区域协定和进程包括其他生物多样性相关公约的国家联络点、联合国各组织和方案例如联合国粮食及农业组织的协调中心以及其他部门的代表参与；</w:t>
      </w:r>
    </w:p>
    <w:p w:rsidR="00B41940" w:rsidRPr="00ED34A2" w:rsidRDefault="00B41940" w:rsidP="00615E7F">
      <w:pPr>
        <w:pStyle w:val="ListParagraph"/>
        <w:widowControl w:val="0"/>
        <w:numPr>
          <w:ilvl w:val="1"/>
          <w:numId w:val="271"/>
        </w:numPr>
        <w:tabs>
          <w:tab w:val="left" w:pos="1440"/>
        </w:tabs>
        <w:adjustRightInd w:val="0"/>
        <w:snapToGrid w:val="0"/>
        <w:ind w:left="0" w:firstLine="720"/>
        <w:rPr>
          <w:rFonts w:eastAsiaTheme="minorEastAsia"/>
          <w:noProof/>
          <w:kern w:val="22"/>
          <w:lang w:eastAsia="zh-CN"/>
        </w:rPr>
      </w:pPr>
      <w:r w:rsidRPr="00ED34A2">
        <w:rPr>
          <w:rFonts w:eastAsiaTheme="minorEastAsia"/>
          <w:noProof/>
          <w:kern w:val="22"/>
          <w:lang w:eastAsia="zh-CN"/>
        </w:rPr>
        <w:t>促进观察员和利益攸关方的积极参与；</w:t>
      </w:r>
    </w:p>
    <w:p w:rsidR="00B41940" w:rsidRPr="00ED34A2" w:rsidRDefault="00B41940" w:rsidP="00615E7F">
      <w:pPr>
        <w:pStyle w:val="ListParagraph"/>
        <w:widowControl w:val="0"/>
        <w:numPr>
          <w:ilvl w:val="1"/>
          <w:numId w:val="271"/>
        </w:numPr>
        <w:tabs>
          <w:tab w:val="left" w:pos="1440"/>
        </w:tabs>
        <w:adjustRightInd w:val="0"/>
        <w:snapToGrid w:val="0"/>
        <w:ind w:left="0" w:firstLine="720"/>
        <w:rPr>
          <w:rFonts w:eastAsiaTheme="minorEastAsia"/>
          <w:noProof/>
          <w:kern w:val="22"/>
          <w:lang w:eastAsia="zh-CN"/>
        </w:rPr>
      </w:pPr>
      <w:r w:rsidRPr="00ED34A2">
        <w:rPr>
          <w:rFonts w:eastAsiaTheme="minorEastAsia"/>
          <w:noProof/>
          <w:kern w:val="22"/>
          <w:lang w:eastAsia="zh-CN"/>
        </w:rPr>
        <w:t>寻求支持国家和</w:t>
      </w:r>
      <w:r>
        <w:rPr>
          <w:rFonts w:eastAsiaTheme="minorEastAsia" w:hint="eastAsia"/>
          <w:noProof/>
          <w:kern w:val="22"/>
          <w:lang w:eastAsia="zh-CN"/>
        </w:rPr>
        <w:t>国家以下级</w:t>
      </w:r>
      <w:r w:rsidRPr="00ED34A2">
        <w:rPr>
          <w:rFonts w:eastAsiaTheme="minorEastAsia"/>
          <w:noProof/>
          <w:kern w:val="22"/>
          <w:lang w:eastAsia="zh-CN"/>
        </w:rPr>
        <w:t>所有相关利益攸关方的积极参与，包括地方当局、城市、企业、金融部门、生产部门例如农林渔业、旅游业、卫生、基础设施、能源和采矿、基础设施、制造和加工业部门、民间社会、妇女组织、青年、学术界、公民、土著人民和地方社区等。</w:t>
      </w:r>
    </w:p>
    <w:p w:rsidR="00B41940" w:rsidRPr="007D32CD" w:rsidRDefault="00B41940" w:rsidP="00B41940">
      <w:pPr>
        <w:pStyle w:val="Heading2"/>
        <w:keepNext w:val="0"/>
        <w:suppressLineNumbers/>
        <w:suppressAutoHyphens/>
        <w:ind w:firstLine="0"/>
        <w:rPr>
          <w:i/>
          <w:kern w:val="22"/>
          <w:sz w:val="24"/>
        </w:rPr>
      </w:pPr>
      <w:bookmarkStart w:id="237" w:name="_Toc6243799"/>
      <w:r w:rsidRPr="007D32CD">
        <w:rPr>
          <w:kern w:val="22"/>
          <w:sz w:val="24"/>
        </w:rPr>
        <w:t xml:space="preserve">D.    </w:t>
      </w:r>
      <w:r w:rsidRPr="007D32CD">
        <w:rPr>
          <w:snapToGrid w:val="0"/>
          <w:color w:val="212121"/>
          <w:sz w:val="24"/>
          <w:shd w:val="clear" w:color="auto" w:fill="FFFFFF"/>
        </w:rPr>
        <w:t>文件</w:t>
      </w:r>
      <w:bookmarkEnd w:id="237"/>
    </w:p>
    <w:p w:rsidR="00B41940" w:rsidRPr="00645B92" w:rsidRDefault="00B41940" w:rsidP="00615E7F">
      <w:pPr>
        <w:pStyle w:val="ListParagraph"/>
        <w:widowControl w:val="0"/>
        <w:numPr>
          <w:ilvl w:val="0"/>
          <w:numId w:val="271"/>
        </w:numPr>
        <w:adjustRightInd w:val="0"/>
        <w:snapToGrid w:val="0"/>
        <w:ind w:left="0" w:firstLine="0"/>
        <w:rPr>
          <w:kern w:val="22"/>
        </w:rPr>
      </w:pPr>
      <w:r w:rsidRPr="00645B92">
        <w:rPr>
          <w:color w:val="212121"/>
          <w:shd w:val="clear" w:color="auto" w:fill="FFFFFF"/>
          <w:lang w:eastAsia="zh-CN"/>
        </w:rPr>
        <w:t>2019</w:t>
      </w:r>
      <w:r w:rsidRPr="00645B92">
        <w:rPr>
          <w:color w:val="212121"/>
          <w:shd w:val="clear" w:color="auto" w:fill="FFFFFF"/>
          <w:lang w:eastAsia="zh-CN"/>
        </w:rPr>
        <w:t>年</w:t>
      </w:r>
      <w:r w:rsidRPr="00645B92">
        <w:rPr>
          <w:color w:val="212121"/>
          <w:shd w:val="clear" w:color="auto" w:fill="FFFFFF"/>
          <w:lang w:eastAsia="zh-CN"/>
        </w:rPr>
        <w:t>1</w:t>
      </w:r>
      <w:r>
        <w:rPr>
          <w:color w:val="212121"/>
          <w:shd w:val="clear" w:color="auto" w:fill="FFFFFF"/>
          <w:lang w:eastAsia="zh-CN"/>
        </w:rPr>
        <w:t>月将</w:t>
      </w:r>
      <w:r>
        <w:rPr>
          <w:rFonts w:hint="eastAsia"/>
          <w:color w:val="212121"/>
          <w:shd w:val="clear" w:color="auto" w:fill="FFFFFF"/>
          <w:lang w:eastAsia="zh-CN"/>
        </w:rPr>
        <w:t>要</w:t>
      </w:r>
      <w:r w:rsidRPr="00645B92">
        <w:rPr>
          <w:color w:val="212121"/>
          <w:shd w:val="clear" w:color="auto" w:fill="FFFFFF"/>
          <w:lang w:eastAsia="zh-CN"/>
        </w:rPr>
        <w:t>提供初步讨论文件，概述</w:t>
      </w:r>
      <w:r>
        <w:rPr>
          <w:rFonts w:hint="eastAsia"/>
          <w:color w:val="212121"/>
          <w:shd w:val="clear" w:color="auto" w:fill="FFFFFF"/>
          <w:lang w:eastAsia="zh-CN"/>
        </w:rPr>
        <w:t>并</w:t>
      </w:r>
      <w:r w:rsidRPr="00645B92">
        <w:rPr>
          <w:color w:val="212121"/>
          <w:shd w:val="clear" w:color="auto" w:fill="FFFFFF"/>
          <w:lang w:eastAsia="zh-CN"/>
        </w:rPr>
        <w:t>分析</w:t>
      </w:r>
      <w:r>
        <w:rPr>
          <w:rFonts w:hint="eastAsia"/>
          <w:color w:val="212121"/>
          <w:shd w:val="clear" w:color="auto" w:fill="FFFFFF"/>
          <w:lang w:eastAsia="zh-CN"/>
        </w:rPr>
        <w:t>各</w:t>
      </w:r>
      <w:r>
        <w:rPr>
          <w:color w:val="212121"/>
          <w:shd w:val="clear" w:color="auto" w:fill="FFFFFF"/>
          <w:lang w:eastAsia="zh-CN"/>
        </w:rPr>
        <w:t>缔约方和观察员的初步意见。</w:t>
      </w:r>
      <w:r w:rsidRPr="00645B92">
        <w:rPr>
          <w:color w:val="212121"/>
          <w:shd w:val="clear" w:color="auto" w:fill="FFFFFF"/>
          <w:lang w:eastAsia="zh-CN"/>
        </w:rPr>
        <w:t>初步讨论文件以及</w:t>
      </w:r>
      <w:r>
        <w:rPr>
          <w:rFonts w:hint="eastAsia"/>
          <w:color w:val="212121"/>
          <w:shd w:val="clear" w:color="auto" w:fill="FFFFFF"/>
          <w:lang w:eastAsia="zh-CN"/>
        </w:rPr>
        <w:t>各</w:t>
      </w:r>
      <w:r w:rsidRPr="00645B92">
        <w:rPr>
          <w:color w:val="212121"/>
          <w:shd w:val="clear" w:color="auto" w:fill="FFFFFF"/>
          <w:lang w:eastAsia="zh-CN"/>
        </w:rPr>
        <w:t>缔约方、观察员和利益攸关方</w:t>
      </w:r>
      <w:r>
        <w:rPr>
          <w:rFonts w:hint="eastAsia"/>
          <w:color w:val="212121"/>
          <w:shd w:val="clear" w:color="auto" w:fill="FFFFFF"/>
          <w:lang w:eastAsia="zh-CN"/>
        </w:rPr>
        <w:t>嗣后</w:t>
      </w:r>
      <w:r w:rsidRPr="00645B92">
        <w:rPr>
          <w:color w:val="212121"/>
          <w:shd w:val="clear" w:color="auto" w:fill="FFFFFF"/>
          <w:lang w:eastAsia="zh-CN"/>
        </w:rPr>
        <w:t>就此所作评论将以反复方式进一步提出，</w:t>
      </w:r>
      <w:r>
        <w:rPr>
          <w:rFonts w:hint="eastAsia"/>
          <w:color w:val="212121"/>
          <w:shd w:val="clear" w:color="auto" w:fill="FFFFFF"/>
          <w:lang w:eastAsia="zh-CN"/>
        </w:rPr>
        <w:t>同时</w:t>
      </w:r>
      <w:r>
        <w:rPr>
          <w:color w:val="212121"/>
          <w:shd w:val="clear" w:color="auto" w:fill="FFFFFF"/>
          <w:lang w:eastAsia="zh-CN"/>
        </w:rPr>
        <w:t>借鉴</w:t>
      </w:r>
      <w:r>
        <w:rPr>
          <w:rFonts w:hint="eastAsia"/>
          <w:color w:val="212121"/>
          <w:shd w:val="clear" w:color="auto" w:fill="FFFFFF"/>
          <w:lang w:eastAsia="zh-CN"/>
        </w:rPr>
        <w:t>各类</w:t>
      </w:r>
      <w:r w:rsidRPr="00645B92">
        <w:rPr>
          <w:color w:val="212121"/>
          <w:shd w:val="clear" w:color="auto" w:fill="FFFFFF"/>
          <w:lang w:eastAsia="zh-CN"/>
        </w:rPr>
        <w:t>磋商、</w:t>
      </w:r>
      <w:r>
        <w:rPr>
          <w:rFonts w:hint="eastAsia"/>
          <w:color w:val="212121"/>
          <w:shd w:val="clear" w:color="auto" w:fill="FFFFFF"/>
          <w:lang w:eastAsia="zh-CN"/>
        </w:rPr>
        <w:t>意见</w:t>
      </w:r>
      <w:r w:rsidRPr="00645B92">
        <w:rPr>
          <w:color w:val="212121"/>
          <w:shd w:val="clear" w:color="auto" w:fill="FFFFFF"/>
          <w:lang w:eastAsia="zh-CN"/>
        </w:rPr>
        <w:t>和审查程序，为闭会期间</w:t>
      </w:r>
      <w:r>
        <w:rPr>
          <w:rFonts w:hint="eastAsia"/>
          <w:color w:val="212121"/>
          <w:shd w:val="clear" w:color="auto" w:fill="FFFFFF"/>
          <w:lang w:eastAsia="zh-CN"/>
        </w:rPr>
        <w:t>将要</w:t>
      </w:r>
      <w:r w:rsidRPr="00645B92">
        <w:rPr>
          <w:color w:val="212121"/>
          <w:shd w:val="clear" w:color="auto" w:fill="FFFFFF"/>
          <w:lang w:eastAsia="zh-CN"/>
        </w:rPr>
        <w:t>审议的文件提供依据。</w:t>
      </w:r>
      <w:r>
        <w:rPr>
          <w:rFonts w:hint="eastAsia"/>
          <w:color w:val="212121"/>
          <w:shd w:val="clear" w:color="auto" w:fill="FFFFFF"/>
        </w:rPr>
        <w:t>文件</w:t>
      </w:r>
      <w:r>
        <w:rPr>
          <w:color w:val="212121"/>
          <w:shd w:val="clear" w:color="auto" w:fill="FFFFFF"/>
        </w:rPr>
        <w:t>将为以下讨论提供依据：</w:t>
      </w:r>
    </w:p>
    <w:p w:rsidR="00B41940" w:rsidRPr="00645B92" w:rsidRDefault="00B41940" w:rsidP="00615E7F">
      <w:pPr>
        <w:pStyle w:val="Para1"/>
        <w:numPr>
          <w:ilvl w:val="1"/>
          <w:numId w:val="268"/>
        </w:numPr>
        <w:suppressLineNumbers/>
        <w:suppressAutoHyphens/>
        <w:kinsoku w:val="0"/>
        <w:overflowPunct w:val="0"/>
        <w:autoSpaceDE w:val="0"/>
        <w:autoSpaceDN w:val="0"/>
        <w:adjustRightInd w:val="0"/>
        <w:snapToGrid w:val="0"/>
        <w:ind w:left="0" w:firstLine="720"/>
        <w:rPr>
          <w:kern w:val="22"/>
          <w:sz w:val="24"/>
          <w:szCs w:val="24"/>
          <w:lang w:eastAsia="zh-CN"/>
        </w:rPr>
      </w:pPr>
      <w:r w:rsidRPr="00645B92">
        <w:rPr>
          <w:color w:val="212121"/>
          <w:sz w:val="24"/>
          <w:szCs w:val="24"/>
          <w:shd w:val="clear" w:color="auto" w:fill="FFFFFF"/>
          <w:lang w:eastAsia="zh-CN"/>
        </w:rPr>
        <w:t>2020</w:t>
      </w:r>
      <w:r w:rsidRPr="00645B92">
        <w:rPr>
          <w:color w:val="212121"/>
          <w:sz w:val="24"/>
          <w:szCs w:val="24"/>
          <w:shd w:val="clear" w:color="auto" w:fill="FFFFFF"/>
          <w:lang w:eastAsia="zh-CN"/>
        </w:rPr>
        <w:t>年后全球生物多样性框架的范围、要素和结构</w:t>
      </w:r>
      <w:r w:rsidRPr="00645B92">
        <w:rPr>
          <w:kern w:val="22"/>
          <w:sz w:val="24"/>
          <w:szCs w:val="24"/>
          <w:lang w:eastAsia="zh-CN"/>
        </w:rPr>
        <w:t>；</w:t>
      </w:r>
    </w:p>
    <w:p w:rsidR="00B41940" w:rsidRPr="00645B92" w:rsidRDefault="00B41940" w:rsidP="00615E7F">
      <w:pPr>
        <w:pStyle w:val="Para1"/>
        <w:numPr>
          <w:ilvl w:val="1"/>
          <w:numId w:val="268"/>
        </w:numPr>
        <w:suppressLineNumbers/>
        <w:suppressAutoHyphens/>
        <w:kinsoku w:val="0"/>
        <w:overflowPunct w:val="0"/>
        <w:autoSpaceDE w:val="0"/>
        <w:autoSpaceDN w:val="0"/>
        <w:adjustRightInd w:val="0"/>
        <w:snapToGrid w:val="0"/>
        <w:ind w:left="0" w:firstLine="720"/>
        <w:rPr>
          <w:kern w:val="22"/>
          <w:sz w:val="24"/>
          <w:szCs w:val="24"/>
          <w:lang w:eastAsia="zh-CN"/>
        </w:rPr>
      </w:pPr>
      <w:r w:rsidRPr="00645B92">
        <w:rPr>
          <w:color w:val="212121"/>
          <w:sz w:val="24"/>
          <w:szCs w:val="24"/>
          <w:shd w:val="clear" w:color="auto" w:fill="FFFFFF"/>
          <w:lang w:eastAsia="zh-CN"/>
        </w:rPr>
        <w:t>有待以连贯方式制定的宏伟、切实、在可能情况下可衡量的有时限的指标和相应的指标、报告和监测框架和基线方面相关考虑因素</w:t>
      </w:r>
      <w:r w:rsidRPr="00645B92">
        <w:rPr>
          <w:kern w:val="22"/>
          <w:sz w:val="24"/>
          <w:szCs w:val="24"/>
          <w:lang w:eastAsia="zh-CN"/>
        </w:rPr>
        <w:t>；</w:t>
      </w:r>
      <w:r w:rsidRPr="00645B92">
        <w:rPr>
          <w:kern w:val="22"/>
          <w:sz w:val="24"/>
          <w:szCs w:val="24"/>
          <w:lang w:eastAsia="zh-CN"/>
        </w:rPr>
        <w:t xml:space="preserve"> </w:t>
      </w:r>
    </w:p>
    <w:p w:rsidR="00B41940" w:rsidRPr="00645B92" w:rsidRDefault="00B41940" w:rsidP="00615E7F">
      <w:pPr>
        <w:pStyle w:val="Para1"/>
        <w:numPr>
          <w:ilvl w:val="1"/>
          <w:numId w:val="268"/>
        </w:numPr>
        <w:suppressLineNumbers/>
        <w:suppressAutoHyphens/>
        <w:kinsoku w:val="0"/>
        <w:overflowPunct w:val="0"/>
        <w:autoSpaceDE w:val="0"/>
        <w:autoSpaceDN w:val="0"/>
        <w:adjustRightInd w:val="0"/>
        <w:snapToGrid w:val="0"/>
        <w:ind w:left="0" w:firstLine="720"/>
        <w:rPr>
          <w:kern w:val="22"/>
          <w:sz w:val="24"/>
          <w:szCs w:val="24"/>
          <w:lang w:eastAsia="zh-CN"/>
        </w:rPr>
      </w:pPr>
      <w:r w:rsidRPr="00645B92">
        <w:rPr>
          <w:color w:val="212121"/>
          <w:sz w:val="24"/>
          <w:szCs w:val="24"/>
          <w:shd w:val="clear" w:color="auto" w:fill="FFFFFF"/>
          <w:lang w:eastAsia="zh-CN"/>
        </w:rPr>
        <w:t>监测和审查</w:t>
      </w:r>
      <w:r>
        <w:rPr>
          <w:rFonts w:hint="eastAsia"/>
          <w:color w:val="212121"/>
          <w:sz w:val="24"/>
          <w:szCs w:val="24"/>
          <w:shd w:val="clear" w:color="auto" w:fill="FFFFFF"/>
          <w:lang w:eastAsia="zh-CN"/>
        </w:rPr>
        <w:t>执行情况</w:t>
      </w:r>
      <w:r>
        <w:rPr>
          <w:color w:val="212121"/>
          <w:sz w:val="24"/>
          <w:szCs w:val="24"/>
          <w:shd w:val="clear" w:color="auto" w:fill="FFFFFF"/>
          <w:lang w:eastAsia="zh-CN"/>
        </w:rPr>
        <w:t>的</w:t>
      </w:r>
      <w:r w:rsidRPr="00645B92">
        <w:rPr>
          <w:color w:val="212121"/>
          <w:sz w:val="24"/>
          <w:szCs w:val="24"/>
          <w:shd w:val="clear" w:color="auto" w:fill="FFFFFF"/>
          <w:lang w:eastAsia="zh-CN"/>
        </w:rPr>
        <w:t>机制，包括通过使用指标和《</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公</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约</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及</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其</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议</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定</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书</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国</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家</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报</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告</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的</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一</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致</w:t>
      </w:r>
      <w:r w:rsidRPr="00645B92">
        <w:rPr>
          <w:rFonts w:eastAsia="MS Mincho"/>
          <w:color w:val="212121"/>
          <w:sz w:val="24"/>
          <w:szCs w:val="24"/>
          <w:shd w:val="clear" w:color="auto" w:fill="FFFFFF"/>
          <w:lang w:eastAsia="zh-CN"/>
        </w:rPr>
        <w:t>​</w:t>
      </w:r>
      <w:r w:rsidRPr="00645B92">
        <w:rPr>
          <w:color w:val="212121"/>
          <w:sz w:val="24"/>
          <w:szCs w:val="24"/>
          <w:shd w:val="clear" w:color="auto" w:fill="FFFFFF"/>
          <w:lang w:eastAsia="zh-CN"/>
        </w:rPr>
        <w:t>性；</w:t>
      </w:r>
    </w:p>
    <w:p w:rsidR="00B41940" w:rsidRPr="0044672C" w:rsidRDefault="00B41940" w:rsidP="00615E7F">
      <w:pPr>
        <w:pStyle w:val="Para1"/>
        <w:numPr>
          <w:ilvl w:val="1"/>
          <w:numId w:val="268"/>
        </w:numPr>
        <w:suppressLineNumbers/>
        <w:suppressAutoHyphens/>
        <w:kinsoku w:val="0"/>
        <w:overflowPunct w:val="0"/>
        <w:autoSpaceDE w:val="0"/>
        <w:autoSpaceDN w:val="0"/>
        <w:adjustRightInd w:val="0"/>
        <w:snapToGrid w:val="0"/>
        <w:ind w:left="0" w:firstLine="720"/>
        <w:rPr>
          <w:kern w:val="22"/>
          <w:sz w:val="24"/>
          <w:szCs w:val="24"/>
          <w:lang w:eastAsia="zh-CN"/>
        </w:rPr>
      </w:pPr>
      <w:r w:rsidRPr="00645B92">
        <w:rPr>
          <w:color w:val="212121"/>
          <w:sz w:val="24"/>
          <w:szCs w:val="24"/>
          <w:shd w:val="clear" w:color="auto" w:fill="FFFFFF"/>
          <w:lang w:eastAsia="zh-CN"/>
        </w:rPr>
        <w:t>加强执行手段和执行机制的</w:t>
      </w:r>
      <w:r>
        <w:rPr>
          <w:rFonts w:hint="eastAsia"/>
          <w:color w:val="212121"/>
          <w:sz w:val="24"/>
          <w:szCs w:val="24"/>
          <w:shd w:val="clear" w:color="auto" w:fill="FFFFFF"/>
          <w:lang w:eastAsia="zh-CN"/>
        </w:rPr>
        <w:t>途径</w:t>
      </w:r>
      <w:r w:rsidRPr="00645B92">
        <w:rPr>
          <w:color w:val="212121"/>
          <w:sz w:val="24"/>
          <w:szCs w:val="24"/>
          <w:shd w:val="clear" w:color="auto" w:fill="FFFFFF"/>
          <w:lang w:eastAsia="zh-CN"/>
        </w:rPr>
        <w:t>，包括技术转让、能力建设和资源调动</w:t>
      </w:r>
      <w:r>
        <w:rPr>
          <w:rFonts w:hint="eastAsia"/>
          <w:color w:val="212121"/>
          <w:sz w:val="24"/>
          <w:szCs w:val="24"/>
          <w:shd w:val="clear" w:color="auto" w:fill="FFFFFF"/>
          <w:lang w:eastAsia="zh-CN"/>
        </w:rPr>
        <w:t>；</w:t>
      </w:r>
    </w:p>
    <w:p w:rsidR="00B41940" w:rsidRPr="00645B92" w:rsidRDefault="00B41940" w:rsidP="00615E7F">
      <w:pPr>
        <w:pStyle w:val="Para1"/>
        <w:numPr>
          <w:ilvl w:val="1"/>
          <w:numId w:val="268"/>
        </w:numPr>
        <w:suppressLineNumbers/>
        <w:suppressAutoHyphens/>
        <w:kinsoku w:val="0"/>
        <w:overflowPunct w:val="0"/>
        <w:autoSpaceDE w:val="0"/>
        <w:autoSpaceDN w:val="0"/>
        <w:adjustRightInd w:val="0"/>
        <w:snapToGrid w:val="0"/>
        <w:ind w:left="0" w:firstLine="720"/>
        <w:rPr>
          <w:kern w:val="22"/>
          <w:sz w:val="24"/>
          <w:szCs w:val="24"/>
          <w:lang w:eastAsia="zh-CN"/>
        </w:rPr>
      </w:pPr>
      <w:r w:rsidRPr="00645B92">
        <w:rPr>
          <w:color w:val="212121"/>
          <w:sz w:val="24"/>
          <w:szCs w:val="24"/>
          <w:shd w:val="clear" w:color="auto" w:fill="FFFFFF"/>
          <w:lang w:eastAsia="zh-CN"/>
        </w:rPr>
        <w:t>自愿承诺的</w:t>
      </w:r>
      <w:r>
        <w:rPr>
          <w:rFonts w:hint="eastAsia"/>
          <w:color w:val="212121"/>
          <w:sz w:val="24"/>
          <w:szCs w:val="24"/>
          <w:shd w:val="clear" w:color="auto" w:fill="FFFFFF"/>
          <w:lang w:eastAsia="zh-CN"/>
        </w:rPr>
        <w:t>潜在</w:t>
      </w:r>
      <w:r>
        <w:rPr>
          <w:color w:val="212121"/>
          <w:sz w:val="24"/>
          <w:szCs w:val="24"/>
          <w:shd w:val="clear" w:color="auto" w:fill="FFFFFF"/>
          <w:lang w:eastAsia="zh-CN"/>
        </w:rPr>
        <w:t>作用和方式</w:t>
      </w:r>
      <w:r w:rsidRPr="00645B92">
        <w:rPr>
          <w:kern w:val="22"/>
          <w:sz w:val="24"/>
          <w:szCs w:val="24"/>
          <w:lang w:eastAsia="zh-CN"/>
        </w:rPr>
        <w:t>；</w:t>
      </w:r>
    </w:p>
    <w:p w:rsidR="00B41940" w:rsidRPr="00645B92" w:rsidRDefault="00B41940" w:rsidP="00615E7F">
      <w:pPr>
        <w:pStyle w:val="Para1"/>
        <w:numPr>
          <w:ilvl w:val="1"/>
          <w:numId w:val="268"/>
        </w:numPr>
        <w:suppressLineNumbers/>
        <w:suppressAutoHyphens/>
        <w:kinsoku w:val="0"/>
        <w:overflowPunct w:val="0"/>
        <w:autoSpaceDE w:val="0"/>
        <w:autoSpaceDN w:val="0"/>
        <w:adjustRightInd w:val="0"/>
        <w:snapToGrid w:val="0"/>
        <w:ind w:left="0" w:firstLine="720"/>
        <w:rPr>
          <w:kern w:val="22"/>
          <w:sz w:val="24"/>
          <w:szCs w:val="24"/>
          <w:lang w:eastAsia="zh-CN"/>
        </w:rPr>
      </w:pPr>
      <w:r w:rsidRPr="00645B92">
        <w:rPr>
          <w:color w:val="212121"/>
          <w:sz w:val="24"/>
          <w:szCs w:val="24"/>
          <w:shd w:val="clear" w:color="auto" w:fill="FFFFFF"/>
          <w:lang w:eastAsia="zh-CN"/>
        </w:rPr>
        <w:lastRenderedPageBreak/>
        <w:t>为</w:t>
      </w:r>
      <w:r>
        <w:rPr>
          <w:rFonts w:hint="eastAsia"/>
          <w:color w:val="212121"/>
          <w:sz w:val="24"/>
          <w:szCs w:val="24"/>
          <w:shd w:val="clear" w:color="auto" w:fill="FFFFFF"/>
          <w:lang w:eastAsia="zh-CN"/>
        </w:rPr>
        <w:t>在</w:t>
      </w:r>
      <w:r>
        <w:rPr>
          <w:color w:val="212121"/>
          <w:sz w:val="24"/>
          <w:szCs w:val="24"/>
          <w:shd w:val="clear" w:color="auto" w:fill="FFFFFF"/>
          <w:lang w:eastAsia="zh-CN"/>
        </w:rPr>
        <w:t>落实</w:t>
      </w:r>
      <w:r w:rsidRPr="00645B92">
        <w:rPr>
          <w:color w:val="212121"/>
          <w:sz w:val="24"/>
          <w:szCs w:val="24"/>
          <w:shd w:val="clear" w:color="auto" w:fill="FFFFFF"/>
          <w:lang w:eastAsia="zh-CN"/>
        </w:rPr>
        <w:t>2050</w:t>
      </w:r>
      <w:r w:rsidRPr="00645B92">
        <w:rPr>
          <w:color w:val="212121"/>
          <w:sz w:val="24"/>
          <w:szCs w:val="24"/>
          <w:shd w:val="clear" w:color="auto" w:fill="FFFFFF"/>
          <w:lang w:eastAsia="zh-CN"/>
        </w:rPr>
        <w:t>年愿景、</w:t>
      </w:r>
      <w:r>
        <w:rPr>
          <w:rFonts w:hint="eastAsia"/>
          <w:color w:val="212121"/>
          <w:sz w:val="24"/>
          <w:szCs w:val="24"/>
          <w:shd w:val="clear" w:color="auto" w:fill="FFFFFF"/>
          <w:lang w:eastAsia="zh-CN"/>
        </w:rPr>
        <w:t>2030</w:t>
      </w:r>
      <w:r>
        <w:rPr>
          <w:rFonts w:hint="eastAsia"/>
          <w:color w:val="212121"/>
          <w:sz w:val="24"/>
          <w:szCs w:val="24"/>
          <w:shd w:val="clear" w:color="auto" w:fill="FFFFFF"/>
          <w:lang w:eastAsia="zh-CN"/>
        </w:rPr>
        <w:t>年</w:t>
      </w:r>
      <w:r>
        <w:rPr>
          <w:color w:val="212121"/>
          <w:sz w:val="24"/>
          <w:szCs w:val="24"/>
          <w:shd w:val="clear" w:color="auto" w:fill="FFFFFF"/>
          <w:lang w:eastAsia="zh-CN"/>
        </w:rPr>
        <w:t>可持续发展</w:t>
      </w:r>
      <w:r w:rsidRPr="002D28A0">
        <w:rPr>
          <w:rFonts w:asciiTheme="minorEastAsia" w:eastAsiaTheme="minorEastAsia" w:hAnsiTheme="minorEastAsia"/>
          <w:color w:val="212121"/>
          <w:sz w:val="24"/>
          <w:szCs w:val="24"/>
          <w:shd w:val="clear" w:color="auto" w:fill="FFFFFF"/>
          <w:lang w:eastAsia="zh-CN"/>
        </w:rPr>
        <w:t>议程</w:t>
      </w:r>
      <w:r>
        <w:rPr>
          <w:rFonts w:asciiTheme="minorEastAsia" w:eastAsiaTheme="minorEastAsia" w:hAnsiTheme="minorEastAsia" w:hint="eastAsia"/>
          <w:color w:val="212121"/>
          <w:sz w:val="24"/>
          <w:szCs w:val="24"/>
          <w:shd w:val="clear" w:color="auto" w:fill="FFFFFF"/>
          <w:lang w:eastAsia="zh-CN"/>
        </w:rPr>
        <w:t>和</w:t>
      </w:r>
      <w:r>
        <w:rPr>
          <w:rFonts w:asciiTheme="minorEastAsia" w:eastAsiaTheme="minorEastAsia" w:hAnsiTheme="minorEastAsia"/>
          <w:color w:val="212121"/>
          <w:sz w:val="24"/>
          <w:szCs w:val="24"/>
          <w:shd w:val="clear" w:color="auto" w:fill="FFFFFF"/>
          <w:lang w:eastAsia="zh-CN"/>
        </w:rPr>
        <w:t>《可持续发展目标</w:t>
      </w:r>
      <w:r>
        <w:rPr>
          <w:rFonts w:asciiTheme="minorEastAsia" w:eastAsiaTheme="minorEastAsia" w:hAnsiTheme="minorEastAsia" w:hint="eastAsia"/>
          <w:color w:val="212121"/>
          <w:sz w:val="24"/>
          <w:szCs w:val="24"/>
          <w:shd w:val="clear" w:color="auto" w:fill="FFFFFF"/>
          <w:lang w:eastAsia="zh-CN"/>
        </w:rPr>
        <w:t>》</w:t>
      </w:r>
      <w:r>
        <w:rPr>
          <w:rFonts w:asciiTheme="minorEastAsia" w:eastAsiaTheme="minorEastAsia" w:hAnsiTheme="minorEastAsia"/>
          <w:color w:val="212121"/>
          <w:sz w:val="24"/>
          <w:szCs w:val="24"/>
          <w:shd w:val="clear" w:color="auto" w:fill="FFFFFF"/>
          <w:lang w:eastAsia="zh-CN"/>
        </w:rPr>
        <w:t>、《巴黎协定</w:t>
      </w:r>
      <w:r>
        <w:rPr>
          <w:rFonts w:asciiTheme="minorEastAsia" w:eastAsiaTheme="minorEastAsia" w:hAnsiTheme="minorEastAsia" w:hint="eastAsia"/>
          <w:color w:val="212121"/>
          <w:sz w:val="24"/>
          <w:szCs w:val="24"/>
          <w:shd w:val="clear" w:color="auto" w:fill="FFFFFF"/>
          <w:lang w:eastAsia="zh-CN"/>
        </w:rPr>
        <w:t>》</w:t>
      </w:r>
      <w:r w:rsidRPr="00B41940">
        <w:rPr>
          <w:rStyle w:val="FootnoteReference"/>
          <w:kern w:val="22"/>
          <w:sz w:val="24"/>
          <w:szCs w:val="22"/>
          <w:u w:val="none"/>
          <w:vertAlign w:val="superscript"/>
        </w:rPr>
        <w:footnoteReference w:id="312"/>
      </w:r>
      <w:r w:rsidRPr="00B41940">
        <w:rPr>
          <w:rFonts w:asciiTheme="minorEastAsia" w:eastAsiaTheme="minorEastAsia" w:hAnsiTheme="minorEastAsia" w:hint="eastAsia"/>
          <w:color w:val="212121"/>
          <w:sz w:val="24"/>
          <w:szCs w:val="24"/>
          <w:shd w:val="clear" w:color="auto" w:fill="FFFFFF"/>
          <w:vertAlign w:val="superscript"/>
          <w:lang w:eastAsia="zh-CN"/>
        </w:rPr>
        <w:t xml:space="preserve"> </w:t>
      </w:r>
      <w:r>
        <w:rPr>
          <w:rFonts w:asciiTheme="minorEastAsia" w:eastAsiaTheme="minorEastAsia" w:hAnsiTheme="minorEastAsia"/>
          <w:color w:val="212121"/>
          <w:sz w:val="24"/>
          <w:szCs w:val="24"/>
          <w:shd w:val="clear" w:color="auto" w:fill="FFFFFF"/>
          <w:lang w:eastAsia="zh-CN"/>
        </w:rPr>
        <w:t>和</w:t>
      </w:r>
      <w:r w:rsidRPr="00645B92">
        <w:rPr>
          <w:color w:val="212121"/>
          <w:sz w:val="24"/>
          <w:szCs w:val="24"/>
          <w:shd w:val="clear" w:color="auto" w:fill="FFFFFF"/>
          <w:lang w:eastAsia="zh-CN"/>
        </w:rPr>
        <w:t>扭转生物多样性丧失趋势</w:t>
      </w:r>
      <w:r>
        <w:rPr>
          <w:rFonts w:hint="eastAsia"/>
          <w:color w:val="212121"/>
          <w:sz w:val="24"/>
          <w:szCs w:val="24"/>
          <w:shd w:val="clear" w:color="auto" w:fill="FFFFFF"/>
          <w:lang w:eastAsia="zh-CN"/>
        </w:rPr>
        <w:t>以及</w:t>
      </w:r>
      <w:r w:rsidRPr="00645B92">
        <w:rPr>
          <w:color w:val="212121"/>
          <w:sz w:val="24"/>
          <w:szCs w:val="24"/>
          <w:shd w:val="clear" w:color="auto" w:fill="FFFFFF"/>
          <w:lang w:eastAsia="zh-CN"/>
        </w:rPr>
        <w:t>转型变革</w:t>
      </w:r>
      <w:r>
        <w:rPr>
          <w:rFonts w:hint="eastAsia"/>
          <w:color w:val="212121"/>
          <w:sz w:val="24"/>
          <w:szCs w:val="24"/>
          <w:shd w:val="clear" w:color="auto" w:fill="FFFFFF"/>
          <w:lang w:eastAsia="zh-CN"/>
        </w:rPr>
        <w:t>方面</w:t>
      </w:r>
      <w:r>
        <w:rPr>
          <w:color w:val="212121"/>
          <w:sz w:val="24"/>
          <w:szCs w:val="24"/>
          <w:shd w:val="clear" w:color="auto" w:fill="FFFFFF"/>
          <w:lang w:eastAsia="zh-CN"/>
        </w:rPr>
        <w:t>取得进展</w:t>
      </w:r>
      <w:r>
        <w:rPr>
          <w:rFonts w:hint="eastAsia"/>
          <w:color w:val="212121"/>
          <w:sz w:val="24"/>
          <w:szCs w:val="24"/>
          <w:shd w:val="clear" w:color="auto" w:fill="FFFFFF"/>
          <w:lang w:eastAsia="zh-CN"/>
        </w:rPr>
        <w:t>需要</w:t>
      </w:r>
      <w:r w:rsidRPr="00645B92">
        <w:rPr>
          <w:color w:val="212121"/>
          <w:sz w:val="24"/>
          <w:szCs w:val="24"/>
          <w:shd w:val="clear" w:color="auto" w:fill="FFFFFF"/>
          <w:lang w:eastAsia="zh-CN"/>
        </w:rPr>
        <w:t>采取行动的规模和范围的科学基础</w:t>
      </w:r>
      <w:r w:rsidRPr="00645B92">
        <w:rPr>
          <w:kern w:val="22"/>
          <w:sz w:val="24"/>
          <w:szCs w:val="24"/>
          <w:lang w:eastAsia="zh-CN"/>
        </w:rPr>
        <w:t>；</w:t>
      </w:r>
    </w:p>
    <w:p w:rsidR="00B41940" w:rsidRPr="006A0344" w:rsidRDefault="00B41940" w:rsidP="00615E7F">
      <w:pPr>
        <w:pStyle w:val="Para1"/>
        <w:numPr>
          <w:ilvl w:val="1"/>
          <w:numId w:val="268"/>
        </w:numPr>
        <w:suppressLineNumbers/>
        <w:suppressAutoHyphens/>
        <w:kinsoku w:val="0"/>
        <w:overflowPunct w:val="0"/>
        <w:autoSpaceDE w:val="0"/>
        <w:autoSpaceDN w:val="0"/>
        <w:adjustRightInd w:val="0"/>
        <w:snapToGrid w:val="0"/>
        <w:ind w:left="0" w:firstLine="720"/>
        <w:rPr>
          <w:kern w:val="22"/>
          <w:sz w:val="24"/>
          <w:szCs w:val="24"/>
          <w:lang w:eastAsia="zh-CN"/>
        </w:rPr>
      </w:pPr>
      <w:r w:rsidRPr="006A0344">
        <w:rPr>
          <w:color w:val="212121"/>
          <w:sz w:val="24"/>
          <w:szCs w:val="24"/>
          <w:shd w:val="clear" w:color="auto" w:fill="FFFFFF"/>
          <w:lang w:eastAsia="zh-CN"/>
        </w:rPr>
        <w:t>未来</w:t>
      </w:r>
      <w:r w:rsidRPr="006A0344">
        <w:rPr>
          <w:rFonts w:hint="eastAsia"/>
          <w:color w:val="212121"/>
          <w:sz w:val="24"/>
          <w:szCs w:val="24"/>
          <w:shd w:val="clear" w:color="auto" w:fill="FFFFFF"/>
          <w:lang w:eastAsia="zh-CN"/>
        </w:rPr>
        <w:t>数十年</w:t>
      </w:r>
      <w:r w:rsidRPr="006A0344">
        <w:rPr>
          <w:color w:val="212121"/>
          <w:sz w:val="24"/>
          <w:szCs w:val="24"/>
          <w:shd w:val="clear" w:color="auto" w:fill="FFFFFF"/>
          <w:lang w:eastAsia="zh-CN"/>
        </w:rPr>
        <w:t>可能影响生物多样性和生态系统的其他全球趋势和关键生物多样性挑战，包括技术发展、</w:t>
      </w:r>
      <w:r w:rsidRPr="006A0344">
        <w:rPr>
          <w:rFonts w:hint="eastAsia"/>
          <w:color w:val="212121"/>
          <w:sz w:val="24"/>
          <w:szCs w:val="24"/>
          <w:shd w:val="clear" w:color="auto" w:fill="FFFFFF"/>
          <w:lang w:eastAsia="zh-CN"/>
        </w:rPr>
        <w:t>消费模式</w:t>
      </w:r>
      <w:r>
        <w:rPr>
          <w:rFonts w:hint="eastAsia"/>
          <w:color w:val="212121"/>
          <w:sz w:val="24"/>
          <w:szCs w:val="24"/>
          <w:shd w:val="clear" w:color="auto" w:fill="FFFFFF"/>
          <w:lang w:eastAsia="zh-CN"/>
        </w:rPr>
        <w:t>、</w:t>
      </w:r>
      <w:r w:rsidRPr="006A0344">
        <w:rPr>
          <w:color w:val="212121"/>
          <w:sz w:val="24"/>
          <w:szCs w:val="24"/>
          <w:shd w:val="clear" w:color="auto" w:fill="FFFFFF"/>
          <w:lang w:eastAsia="zh-CN"/>
        </w:rPr>
        <w:t>人口和移徙趋势以及其他社会经济发展；</w:t>
      </w:r>
    </w:p>
    <w:p w:rsidR="00B41940" w:rsidRPr="006A0344" w:rsidRDefault="00B41940" w:rsidP="00615E7F">
      <w:pPr>
        <w:pStyle w:val="Para1"/>
        <w:numPr>
          <w:ilvl w:val="1"/>
          <w:numId w:val="268"/>
        </w:numPr>
        <w:suppressLineNumbers/>
        <w:suppressAutoHyphens/>
        <w:kinsoku w:val="0"/>
        <w:overflowPunct w:val="0"/>
        <w:autoSpaceDE w:val="0"/>
        <w:autoSpaceDN w:val="0"/>
        <w:adjustRightInd w:val="0"/>
        <w:snapToGrid w:val="0"/>
        <w:ind w:left="0" w:firstLine="720"/>
        <w:rPr>
          <w:kern w:val="22"/>
          <w:sz w:val="24"/>
          <w:szCs w:val="24"/>
          <w:lang w:eastAsia="zh-CN"/>
        </w:rPr>
      </w:pPr>
      <w:r w:rsidRPr="006A0344">
        <w:rPr>
          <w:color w:val="212121"/>
          <w:sz w:val="24"/>
          <w:szCs w:val="24"/>
          <w:shd w:val="clear" w:color="auto" w:fill="FFFFFF"/>
          <w:lang w:eastAsia="zh-CN"/>
        </w:rPr>
        <w:t>促进</w:t>
      </w:r>
      <w:r w:rsidRPr="006A0344">
        <w:rPr>
          <w:rStyle w:val="style21"/>
          <w:rFonts w:eastAsia="MS Mincho"/>
          <w:lang w:eastAsia="zh-CN"/>
        </w:rPr>
        <w:t>​</w:t>
      </w:r>
      <w:r w:rsidRPr="006A0344">
        <w:rPr>
          <w:rFonts w:asciiTheme="minorEastAsia" w:eastAsiaTheme="minorEastAsia" w:hAnsiTheme="minorEastAsia"/>
          <w:color w:val="212121"/>
          <w:sz w:val="24"/>
          <w:szCs w:val="24"/>
          <w:shd w:val="clear" w:color="auto" w:fill="FFFFFF"/>
          <w:lang w:eastAsia="zh-CN"/>
        </w:rPr>
        <w:t>转</w:t>
      </w:r>
      <w:r w:rsidRPr="006A0344">
        <w:rPr>
          <w:rFonts w:ascii="MS Mincho" w:eastAsia="MS Mincho" w:hAnsi="MS Mincho" w:cs="MS Mincho" w:hint="eastAsia"/>
          <w:color w:val="212121"/>
          <w:sz w:val="24"/>
          <w:szCs w:val="24"/>
          <w:shd w:val="clear" w:color="auto" w:fill="FFFFFF"/>
          <w:lang w:eastAsia="zh-CN"/>
        </w:rPr>
        <w:t>​</w:t>
      </w:r>
      <w:r w:rsidRPr="006A0344">
        <w:rPr>
          <w:rFonts w:asciiTheme="minorEastAsia" w:eastAsiaTheme="minorEastAsia" w:hAnsiTheme="minorEastAsia"/>
          <w:color w:val="212121"/>
          <w:sz w:val="24"/>
          <w:szCs w:val="24"/>
          <w:shd w:val="clear" w:color="auto" w:fill="FFFFFF"/>
          <w:lang w:eastAsia="zh-CN"/>
        </w:rPr>
        <w:t>型</w:t>
      </w:r>
      <w:r w:rsidRPr="006A0344">
        <w:rPr>
          <w:rFonts w:ascii="MS Mincho" w:eastAsia="MS Mincho" w:hAnsi="MS Mincho" w:cs="MS Mincho" w:hint="eastAsia"/>
          <w:color w:val="212121"/>
          <w:sz w:val="24"/>
          <w:szCs w:val="24"/>
          <w:shd w:val="clear" w:color="auto" w:fill="FFFFFF"/>
          <w:lang w:eastAsia="zh-CN"/>
        </w:rPr>
        <w:t>​</w:t>
      </w:r>
      <w:r w:rsidRPr="006A0344">
        <w:rPr>
          <w:color w:val="212121"/>
          <w:sz w:val="24"/>
          <w:szCs w:val="24"/>
          <w:shd w:val="clear" w:color="auto" w:fill="FFFFFF"/>
          <w:lang w:eastAsia="zh-CN"/>
        </w:rPr>
        <w:t>变革和在</w:t>
      </w:r>
      <w:r w:rsidRPr="006A0344">
        <w:rPr>
          <w:color w:val="212121"/>
          <w:sz w:val="24"/>
          <w:szCs w:val="24"/>
          <w:shd w:val="clear" w:color="auto" w:fill="FFFFFF"/>
          <w:lang w:eastAsia="zh-CN"/>
        </w:rPr>
        <w:t>2020</w:t>
      </w:r>
      <w:r w:rsidRPr="006A0344">
        <w:rPr>
          <w:color w:val="212121"/>
          <w:sz w:val="24"/>
          <w:szCs w:val="24"/>
          <w:shd w:val="clear" w:color="auto" w:fill="FFFFFF"/>
          <w:lang w:eastAsia="zh-CN"/>
        </w:rPr>
        <w:t>年后更有效地提供积极的生物多样性成果的方法；</w:t>
      </w:r>
    </w:p>
    <w:p w:rsidR="00B41940" w:rsidRPr="006A0344" w:rsidRDefault="00B41940" w:rsidP="00615E7F">
      <w:pPr>
        <w:pStyle w:val="Para1"/>
        <w:numPr>
          <w:ilvl w:val="1"/>
          <w:numId w:val="268"/>
        </w:numPr>
        <w:suppressLineNumbers/>
        <w:suppressAutoHyphens/>
        <w:kinsoku w:val="0"/>
        <w:overflowPunct w:val="0"/>
        <w:autoSpaceDE w:val="0"/>
        <w:autoSpaceDN w:val="0"/>
        <w:adjustRightInd w:val="0"/>
        <w:snapToGrid w:val="0"/>
        <w:ind w:left="0" w:firstLine="720"/>
        <w:rPr>
          <w:kern w:val="22"/>
          <w:sz w:val="24"/>
          <w:szCs w:val="24"/>
          <w:lang w:eastAsia="zh-CN"/>
        </w:rPr>
      </w:pPr>
      <w:r w:rsidRPr="006A0344">
        <w:rPr>
          <w:color w:val="212121"/>
          <w:sz w:val="24"/>
          <w:szCs w:val="24"/>
          <w:shd w:val="clear" w:color="auto" w:fill="FFFFFF"/>
          <w:lang w:eastAsia="zh-CN"/>
        </w:rPr>
        <w:t>加强主流化的方法、影响和机会；</w:t>
      </w:r>
    </w:p>
    <w:p w:rsidR="00B41940" w:rsidRPr="006A0344" w:rsidRDefault="00B41940" w:rsidP="00615E7F">
      <w:pPr>
        <w:pStyle w:val="Para1"/>
        <w:numPr>
          <w:ilvl w:val="1"/>
          <w:numId w:val="268"/>
        </w:numPr>
        <w:suppressLineNumbers/>
        <w:suppressAutoHyphens/>
        <w:kinsoku w:val="0"/>
        <w:overflowPunct w:val="0"/>
        <w:autoSpaceDE w:val="0"/>
        <w:autoSpaceDN w:val="0"/>
        <w:adjustRightInd w:val="0"/>
        <w:snapToGrid w:val="0"/>
        <w:ind w:left="0" w:firstLine="720"/>
        <w:rPr>
          <w:kern w:val="22"/>
          <w:sz w:val="24"/>
          <w:szCs w:val="24"/>
        </w:rPr>
      </w:pPr>
      <w:r w:rsidRPr="006A0344">
        <w:rPr>
          <w:color w:val="212121"/>
          <w:sz w:val="24"/>
          <w:szCs w:val="24"/>
          <w:shd w:val="clear" w:color="auto" w:fill="FFFFFF"/>
        </w:rPr>
        <w:t>促进两性平等的方法</w:t>
      </w:r>
      <w:r w:rsidRPr="006A0344">
        <w:rPr>
          <w:kern w:val="22"/>
          <w:sz w:val="24"/>
          <w:szCs w:val="24"/>
        </w:rPr>
        <w:t>；</w:t>
      </w:r>
    </w:p>
    <w:p w:rsidR="00B41940" w:rsidRPr="006A0344" w:rsidRDefault="00B41940" w:rsidP="00615E7F">
      <w:pPr>
        <w:pStyle w:val="Para1"/>
        <w:numPr>
          <w:ilvl w:val="1"/>
          <w:numId w:val="268"/>
        </w:numPr>
        <w:suppressLineNumbers/>
        <w:suppressAutoHyphens/>
        <w:kinsoku w:val="0"/>
        <w:overflowPunct w:val="0"/>
        <w:autoSpaceDE w:val="0"/>
        <w:autoSpaceDN w:val="0"/>
        <w:adjustRightInd w:val="0"/>
        <w:snapToGrid w:val="0"/>
        <w:ind w:left="0" w:firstLine="720"/>
        <w:rPr>
          <w:sz w:val="24"/>
          <w:szCs w:val="24"/>
          <w:lang w:eastAsia="zh-CN"/>
        </w:rPr>
      </w:pPr>
      <w:r w:rsidRPr="006A0344">
        <w:rPr>
          <w:color w:val="212121"/>
          <w:sz w:val="24"/>
          <w:szCs w:val="24"/>
          <w:shd w:val="clear" w:color="auto" w:fill="FFFFFF"/>
          <w:lang w:eastAsia="zh-CN"/>
        </w:rPr>
        <w:t>加强生物多样性相关公约之间的一致性和合作的手段，包括加强生物多样性相关公约、里约公约和可持续发展目标之间在国家报告上协同作用的备选方案。</w:t>
      </w:r>
    </w:p>
    <w:p w:rsidR="00B41940" w:rsidRPr="00D70A6C" w:rsidRDefault="00B41940" w:rsidP="00B41940">
      <w:pPr>
        <w:pStyle w:val="Heading2"/>
        <w:keepNext w:val="0"/>
        <w:suppressLineNumbers/>
        <w:suppressAutoHyphens/>
        <w:ind w:firstLine="0"/>
        <w:rPr>
          <w:rFonts w:asciiTheme="minorEastAsia" w:eastAsiaTheme="minorEastAsia" w:hAnsiTheme="minorEastAsia"/>
          <w:i/>
          <w:snapToGrid w:val="0"/>
          <w:kern w:val="22"/>
          <w:sz w:val="24"/>
        </w:rPr>
      </w:pPr>
      <w:bookmarkStart w:id="238" w:name="_Toc6243800"/>
      <w:r w:rsidRPr="00D70A6C">
        <w:rPr>
          <w:rFonts w:asciiTheme="minorEastAsia" w:eastAsiaTheme="minorEastAsia" w:hAnsiTheme="minorEastAsia"/>
          <w:snapToGrid w:val="0"/>
          <w:kern w:val="22"/>
          <w:sz w:val="24"/>
        </w:rPr>
        <w:t>E.</w:t>
      </w:r>
      <w:r w:rsidRPr="00D70A6C">
        <w:rPr>
          <w:rFonts w:asciiTheme="minorEastAsia" w:eastAsiaTheme="minorEastAsia" w:hAnsiTheme="minorEastAsia"/>
          <w:snapToGrid w:val="0"/>
          <w:kern w:val="22"/>
          <w:sz w:val="24"/>
        </w:rPr>
        <w:tab/>
      </w:r>
      <w:r>
        <w:rPr>
          <w:rFonts w:asciiTheme="minorEastAsia" w:eastAsiaTheme="minorEastAsia" w:hAnsiTheme="minorEastAsia"/>
          <w:snapToGrid w:val="0"/>
          <w:kern w:val="22"/>
          <w:sz w:val="24"/>
        </w:rPr>
        <w:t xml:space="preserve">  </w:t>
      </w:r>
      <w:r w:rsidRPr="00D70A6C">
        <w:rPr>
          <w:rFonts w:asciiTheme="minorEastAsia" w:eastAsiaTheme="minorEastAsia" w:hAnsiTheme="minorEastAsia" w:cs="SimSun" w:hint="eastAsia"/>
          <w:snapToGrid w:val="0"/>
          <w:kern w:val="22"/>
          <w:sz w:val="24"/>
        </w:rPr>
        <w:t>主要信息来源</w:t>
      </w:r>
      <w:bookmarkEnd w:id="238"/>
    </w:p>
    <w:p w:rsidR="00B41940" w:rsidRPr="0083128B" w:rsidRDefault="00B41940" w:rsidP="00615E7F">
      <w:pPr>
        <w:pStyle w:val="ListParagraph"/>
        <w:widowControl w:val="0"/>
        <w:numPr>
          <w:ilvl w:val="0"/>
          <w:numId w:val="271"/>
        </w:numPr>
        <w:adjustRightInd w:val="0"/>
        <w:snapToGrid w:val="0"/>
        <w:ind w:left="0" w:firstLine="0"/>
        <w:rPr>
          <w:rFonts w:asciiTheme="minorEastAsia" w:eastAsiaTheme="minorEastAsia" w:hAnsiTheme="minorEastAsia"/>
          <w:kern w:val="22"/>
          <w:lang w:eastAsia="zh-CN"/>
        </w:rPr>
      </w:pPr>
      <w:r w:rsidRPr="0083128B">
        <w:rPr>
          <w:rFonts w:asciiTheme="minorEastAsia" w:eastAsiaTheme="minorEastAsia" w:hAnsiTheme="minorEastAsia" w:cs="SimSun" w:hint="eastAsia"/>
          <w:kern w:val="22"/>
          <w:lang w:eastAsia="zh-CN"/>
        </w:rPr>
        <w:t>将用于编制与</w:t>
      </w:r>
      <w:r w:rsidRPr="00CF5EF1">
        <w:rPr>
          <w:rFonts w:eastAsiaTheme="minorEastAsia"/>
          <w:kern w:val="22"/>
          <w:lang w:eastAsia="zh-CN"/>
        </w:rPr>
        <w:t>2020</w:t>
      </w:r>
      <w:r w:rsidRPr="0083128B">
        <w:rPr>
          <w:rFonts w:asciiTheme="minorEastAsia" w:eastAsiaTheme="minorEastAsia" w:hAnsiTheme="minorEastAsia" w:cs="SimSun" w:hint="eastAsia"/>
          <w:kern w:val="22"/>
          <w:lang w:eastAsia="zh-CN"/>
        </w:rPr>
        <w:t>年后进程有关的文件和通报所开展的活动的主要信息来源是</w:t>
      </w:r>
      <w:r w:rsidRPr="0083128B">
        <w:rPr>
          <w:rFonts w:asciiTheme="minorEastAsia" w:eastAsiaTheme="minorEastAsia" w:hAnsiTheme="minorEastAsia"/>
          <w:kern w:val="22"/>
          <w:lang w:eastAsia="zh-CN"/>
        </w:rPr>
        <w:t>:</w:t>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83128B">
        <w:rPr>
          <w:rFonts w:asciiTheme="minorEastAsia" w:eastAsiaTheme="minorEastAsia" w:hAnsiTheme="minorEastAsia" w:cs="SimSun" w:hint="eastAsia"/>
          <w:kern w:val="22"/>
          <w:sz w:val="24"/>
          <w:szCs w:val="24"/>
          <w:lang w:eastAsia="zh-CN"/>
        </w:rPr>
        <w:t>《公约》和</w:t>
      </w:r>
      <w:r>
        <w:rPr>
          <w:rFonts w:asciiTheme="minorEastAsia" w:eastAsiaTheme="minorEastAsia" w:hAnsiTheme="minorEastAsia" w:cs="SimSun" w:hint="eastAsia"/>
          <w:kern w:val="22"/>
          <w:sz w:val="24"/>
          <w:szCs w:val="24"/>
          <w:lang w:eastAsia="zh-CN"/>
        </w:rPr>
        <w:t>《议定书》缔约方和观察员和</w:t>
      </w:r>
      <w:r w:rsidRPr="0083128B">
        <w:rPr>
          <w:rFonts w:asciiTheme="minorEastAsia" w:eastAsiaTheme="minorEastAsia" w:hAnsiTheme="minorEastAsia" w:cs="SimSun" w:hint="eastAsia"/>
          <w:kern w:val="22"/>
          <w:sz w:val="24"/>
          <w:szCs w:val="24"/>
          <w:lang w:eastAsia="zh-CN"/>
        </w:rPr>
        <w:t>利益攸关方提交的资料和意见书；</w:t>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83128B">
        <w:rPr>
          <w:rFonts w:asciiTheme="minorEastAsia" w:eastAsiaTheme="minorEastAsia" w:hAnsiTheme="minorEastAsia" w:cs="SimSun" w:hint="eastAsia"/>
          <w:kern w:val="22"/>
          <w:sz w:val="24"/>
          <w:szCs w:val="24"/>
          <w:lang w:eastAsia="zh-CN"/>
        </w:rPr>
        <w:t>提交《公约》及其《议定书》的国别报告；</w:t>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83128B">
        <w:rPr>
          <w:rFonts w:asciiTheme="minorEastAsia" w:eastAsiaTheme="minorEastAsia" w:hAnsiTheme="minorEastAsia" w:cs="SimSun" w:hint="eastAsia"/>
          <w:kern w:val="22"/>
          <w:sz w:val="24"/>
          <w:szCs w:val="24"/>
          <w:lang w:eastAsia="zh-CN"/>
        </w:rPr>
        <w:t>国家</w:t>
      </w:r>
      <w:r w:rsidRPr="0083128B">
        <w:rPr>
          <w:rFonts w:asciiTheme="minorEastAsia" w:eastAsiaTheme="minorEastAsia" w:hAnsiTheme="minorEastAsia" w:hint="eastAsia"/>
          <w:kern w:val="22"/>
          <w:sz w:val="24"/>
          <w:szCs w:val="24"/>
          <w:lang w:eastAsia="zh-CN"/>
        </w:rPr>
        <w:t>生物多样性战略和行动计划</w:t>
      </w:r>
      <w:r w:rsidRPr="0083128B">
        <w:rPr>
          <w:rFonts w:asciiTheme="minorEastAsia" w:eastAsiaTheme="minorEastAsia" w:hAnsiTheme="minorEastAsia" w:cs="SimSun" w:hint="eastAsia"/>
          <w:kern w:val="22"/>
          <w:sz w:val="24"/>
          <w:szCs w:val="24"/>
          <w:lang w:eastAsia="zh-CN"/>
        </w:rPr>
        <w:t>；</w:t>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313192">
        <w:rPr>
          <w:rFonts w:asciiTheme="minorEastAsia" w:eastAsiaTheme="minorEastAsia" w:hAnsiTheme="minorEastAsia" w:cs="SimSun" w:hint="eastAsia"/>
          <w:spacing w:val="-20"/>
          <w:kern w:val="22"/>
          <w:sz w:val="24"/>
          <w:szCs w:val="24"/>
          <w:lang w:eastAsia="zh-CN"/>
        </w:rPr>
        <w:t>作为名古屋议定书缔约方会议的缔约方大会第三次会议进行的《名古屋议定书》</w:t>
      </w:r>
      <w:r w:rsidRPr="0083128B">
        <w:rPr>
          <w:rFonts w:asciiTheme="minorEastAsia" w:eastAsiaTheme="minorEastAsia" w:hAnsiTheme="minorEastAsia" w:cs="SimSun" w:hint="eastAsia"/>
          <w:kern w:val="22"/>
          <w:sz w:val="24"/>
          <w:szCs w:val="24"/>
          <w:lang w:eastAsia="zh-CN"/>
        </w:rPr>
        <w:t>效力评估和审查的结果；</w:t>
      </w:r>
      <w:r w:rsidRPr="00B72FA3">
        <w:rPr>
          <w:rStyle w:val="FootnoteReference"/>
          <w:kern w:val="22"/>
          <w:sz w:val="24"/>
          <w:szCs w:val="22"/>
          <w:u w:val="none"/>
          <w:vertAlign w:val="superscript"/>
          <w:lang w:eastAsia="en-CA"/>
        </w:rPr>
        <w:footnoteReference w:id="313"/>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83128B">
        <w:rPr>
          <w:rFonts w:asciiTheme="minorEastAsia" w:eastAsiaTheme="minorEastAsia" w:hAnsiTheme="minorEastAsia" w:cs="SimSun" w:hint="eastAsia"/>
          <w:kern w:val="22"/>
          <w:sz w:val="24"/>
          <w:szCs w:val="24"/>
          <w:lang w:eastAsia="zh-CN"/>
        </w:rPr>
        <w:t>在</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作</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为</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卡</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塔</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赫</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纳</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生</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物</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安</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全</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议</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定</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书</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缔</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约</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方</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会</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议</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缔</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约</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方</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大</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会</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第</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九</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次</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会</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议</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筹</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备</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过</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程</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中</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对</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卡</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塔</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赫</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纳</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议</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定</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书</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效</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力</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进</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行</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第</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三</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次</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估</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和</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审</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查</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以</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及</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对</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其</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战</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略</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计</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划</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进</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行</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的</w:t>
      </w:r>
      <w:r w:rsidRPr="0083128B">
        <w:rPr>
          <w:rFonts w:ascii="MS Gothic" w:eastAsia="MS Gothic" w:hAnsi="MS Gothic" w:cs="MS Gothic" w:hint="eastAsia"/>
          <w:kern w:val="22"/>
          <w:sz w:val="24"/>
          <w:szCs w:val="24"/>
          <w:lang w:eastAsia="zh-CN"/>
        </w:rPr>
        <w:t>​</w:t>
      </w:r>
      <w:r>
        <w:rPr>
          <w:rFonts w:asciiTheme="minorEastAsia" w:eastAsiaTheme="minorEastAsia" w:hAnsiTheme="minorEastAsia" w:cs="SimSun" w:hint="eastAsia"/>
          <w:kern w:val="22"/>
          <w:sz w:val="24"/>
          <w:szCs w:val="24"/>
          <w:lang w:eastAsia="zh-CN"/>
        </w:rPr>
        <w:t>中期</w:t>
      </w:r>
      <w:r w:rsidRPr="0083128B">
        <w:rPr>
          <w:rFonts w:asciiTheme="minorEastAsia" w:eastAsiaTheme="minorEastAsia" w:hAnsiTheme="minorEastAsia" w:cs="SimSun" w:hint="eastAsia"/>
          <w:kern w:val="22"/>
          <w:sz w:val="24"/>
          <w:szCs w:val="24"/>
          <w:lang w:eastAsia="zh-CN"/>
        </w:rPr>
        <w:t>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估</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结</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论；</w:t>
      </w:r>
      <w:r w:rsidRPr="00B72FA3">
        <w:rPr>
          <w:rStyle w:val="FootnoteReference"/>
          <w:kern w:val="22"/>
          <w:sz w:val="24"/>
          <w:szCs w:val="22"/>
          <w:u w:val="none"/>
          <w:vertAlign w:val="superscript"/>
          <w:lang w:eastAsia="en-CA"/>
        </w:rPr>
        <w:footnoteReference w:id="314"/>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83128B">
        <w:rPr>
          <w:rFonts w:asciiTheme="minorEastAsia" w:eastAsiaTheme="minorEastAsia" w:hAnsiTheme="minorEastAsia" w:cs="SimSun" w:hint="eastAsia"/>
          <w:kern w:val="22"/>
          <w:sz w:val="24"/>
          <w:szCs w:val="24"/>
          <w:lang w:eastAsia="zh-CN"/>
        </w:rPr>
        <w:t>第</w:t>
      </w:r>
      <w:r>
        <w:rPr>
          <w:rFonts w:eastAsiaTheme="minorEastAsia"/>
          <w:kern w:val="22"/>
          <w:sz w:val="24"/>
          <w:szCs w:val="24"/>
          <w:lang w:eastAsia="zh-CN"/>
        </w:rPr>
        <w:t>14</w:t>
      </w:r>
      <w:r w:rsidRPr="0083128B">
        <w:rPr>
          <w:rFonts w:eastAsiaTheme="minorEastAsia"/>
          <w:kern w:val="22"/>
          <w:sz w:val="24"/>
          <w:szCs w:val="24"/>
          <w:lang w:eastAsia="zh-CN"/>
        </w:rPr>
        <w:t>/</w:t>
      </w:r>
      <w:r>
        <w:rPr>
          <w:rFonts w:eastAsiaTheme="minorEastAsia"/>
          <w:kern w:val="22"/>
          <w:sz w:val="24"/>
          <w:szCs w:val="24"/>
          <w:lang w:eastAsia="zh-CN"/>
        </w:rPr>
        <w:t>22</w:t>
      </w:r>
      <w:r w:rsidRPr="0083128B">
        <w:rPr>
          <w:rFonts w:asciiTheme="minorEastAsia" w:eastAsiaTheme="minorEastAsia" w:hAnsiTheme="minorEastAsia" w:cs="SimSun" w:hint="eastAsia"/>
          <w:kern w:val="22"/>
          <w:sz w:val="24"/>
          <w:szCs w:val="24"/>
          <w:lang w:eastAsia="zh-CN"/>
        </w:rPr>
        <w:t>号决定规定的资源调动工作的</w:t>
      </w:r>
      <w:r w:rsidRPr="0083128B">
        <w:rPr>
          <w:rFonts w:asciiTheme="minorEastAsia" w:eastAsiaTheme="minorEastAsia" w:hAnsiTheme="minorEastAsia" w:cs="SimSun" w:hint="eastAsia"/>
          <w:kern w:val="22"/>
          <w:sz w:val="24"/>
          <w:szCs w:val="24"/>
          <w:lang w:val="en-CA" w:eastAsia="zh-CN"/>
        </w:rPr>
        <w:t>成果</w:t>
      </w:r>
      <w:r>
        <w:rPr>
          <w:rFonts w:asciiTheme="minorEastAsia" w:eastAsiaTheme="minorEastAsia" w:hAnsiTheme="minorEastAsia" w:cs="SimSun" w:hint="eastAsia"/>
          <w:kern w:val="22"/>
          <w:sz w:val="24"/>
          <w:szCs w:val="24"/>
          <w:lang w:eastAsia="zh-CN"/>
        </w:rPr>
        <w:t>；</w:t>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83128B">
        <w:rPr>
          <w:rFonts w:asciiTheme="minorEastAsia" w:eastAsiaTheme="minorEastAsia" w:hAnsiTheme="minorEastAsia" w:cs="SimSun" w:hint="eastAsia"/>
          <w:kern w:val="22"/>
          <w:sz w:val="24"/>
          <w:szCs w:val="24"/>
          <w:lang w:eastAsia="zh-CN"/>
        </w:rPr>
        <w:t>第五版《</w:t>
      </w:r>
      <w:r w:rsidRPr="00EB27E8">
        <w:rPr>
          <w:rFonts w:ascii="KaiTi" w:eastAsia="KaiTi" w:hAnsi="KaiTi" w:cs="SimSun" w:hint="eastAsia"/>
          <w:kern w:val="22"/>
          <w:sz w:val="24"/>
          <w:szCs w:val="24"/>
          <w:lang w:eastAsia="zh-CN"/>
        </w:rPr>
        <w:t>全球生物多样性展望</w:t>
      </w:r>
      <w:r w:rsidRPr="0083128B">
        <w:rPr>
          <w:rFonts w:asciiTheme="minorEastAsia" w:eastAsiaTheme="minorEastAsia" w:hAnsiTheme="minorEastAsia" w:cs="SimSun" w:hint="eastAsia"/>
          <w:kern w:val="22"/>
          <w:sz w:val="24"/>
          <w:szCs w:val="24"/>
          <w:lang w:eastAsia="zh-CN"/>
        </w:rPr>
        <w:t>》、第二版《</w:t>
      </w:r>
      <w:r w:rsidRPr="00EB27E8">
        <w:rPr>
          <w:rFonts w:ascii="KaiTi" w:eastAsia="KaiTi" w:hAnsi="KaiTi" w:cs="SimSun" w:hint="eastAsia"/>
          <w:kern w:val="22"/>
          <w:sz w:val="24"/>
          <w:szCs w:val="24"/>
          <w:lang w:eastAsia="zh-CN"/>
        </w:rPr>
        <w:t>地方生物多样性展望</w:t>
      </w:r>
      <w:r w:rsidRPr="0083128B">
        <w:rPr>
          <w:rFonts w:asciiTheme="minorEastAsia" w:eastAsiaTheme="minorEastAsia" w:hAnsiTheme="minorEastAsia" w:cs="SimSun" w:hint="eastAsia"/>
          <w:kern w:val="22"/>
          <w:sz w:val="24"/>
          <w:szCs w:val="24"/>
          <w:lang w:eastAsia="zh-CN"/>
        </w:rPr>
        <w:t>》、《全球</w:t>
      </w:r>
      <w:r>
        <w:rPr>
          <w:rFonts w:asciiTheme="minorEastAsia" w:eastAsiaTheme="minorEastAsia" w:hAnsiTheme="minorEastAsia" w:cs="SimSun" w:hint="eastAsia"/>
          <w:kern w:val="22"/>
          <w:sz w:val="24"/>
          <w:szCs w:val="24"/>
          <w:lang w:eastAsia="zh-CN"/>
        </w:rPr>
        <w:t>植物保护战略</w:t>
      </w:r>
      <w:r w:rsidRPr="0083128B">
        <w:rPr>
          <w:rFonts w:asciiTheme="minorEastAsia" w:eastAsiaTheme="minorEastAsia" w:hAnsiTheme="minorEastAsia" w:cs="SimSun" w:hint="eastAsia"/>
          <w:kern w:val="22"/>
          <w:sz w:val="24"/>
          <w:szCs w:val="24"/>
          <w:lang w:eastAsia="zh-CN"/>
        </w:rPr>
        <w:t>》执行情况报告和相关报告；</w:t>
      </w:r>
      <w:r>
        <w:rPr>
          <w:rFonts w:asciiTheme="minorEastAsia" w:eastAsiaTheme="minorEastAsia" w:hAnsiTheme="minorEastAsia" w:cs="SimSun" w:hint="eastAsia"/>
          <w:kern w:val="22"/>
          <w:sz w:val="24"/>
          <w:szCs w:val="24"/>
          <w:lang w:eastAsia="zh-CN"/>
        </w:rPr>
        <w:t xml:space="preserve"> </w:t>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83128B">
        <w:rPr>
          <w:rFonts w:asciiTheme="minorEastAsia" w:eastAsiaTheme="minorEastAsia" w:hAnsiTheme="minorEastAsia" w:cs="SimSun" w:hint="eastAsia"/>
          <w:kern w:val="22"/>
          <w:sz w:val="24"/>
          <w:szCs w:val="24"/>
          <w:lang w:eastAsia="zh-CN"/>
        </w:rPr>
        <w:t>《</w:t>
      </w:r>
      <w:r w:rsidRPr="002005BE">
        <w:rPr>
          <w:rFonts w:eastAsiaTheme="minorEastAsia"/>
          <w:kern w:val="22"/>
          <w:sz w:val="24"/>
          <w:szCs w:val="24"/>
          <w:lang w:eastAsia="zh-CN"/>
        </w:rPr>
        <w:t>2015-2020</w:t>
      </w:r>
      <w:r w:rsidRPr="0083128B">
        <w:rPr>
          <w:rFonts w:asciiTheme="minorEastAsia" w:eastAsiaTheme="minorEastAsia" w:hAnsiTheme="minorEastAsia" w:cs="SimSun" w:hint="eastAsia"/>
          <w:kern w:val="22"/>
          <w:sz w:val="24"/>
          <w:szCs w:val="24"/>
          <w:lang w:eastAsia="zh-CN"/>
        </w:rPr>
        <w:t>年性别平等行动计划》执行情况审查；</w:t>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83128B">
        <w:rPr>
          <w:rFonts w:asciiTheme="minorEastAsia" w:eastAsiaTheme="minorEastAsia" w:hAnsiTheme="minorEastAsia" w:cs="SimSun" w:hint="eastAsia"/>
          <w:kern w:val="22"/>
          <w:sz w:val="24"/>
          <w:szCs w:val="24"/>
          <w:lang w:eastAsia="zh-CN"/>
        </w:rPr>
        <w:lastRenderedPageBreak/>
        <w:t>全</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球</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和</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区</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域</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生</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物</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多</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样</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性</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和</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生</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态</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系</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统</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服</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务</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估</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以</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及</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生</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物</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多</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样</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性</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和</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生</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态</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系</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统</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服</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务</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政</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府</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间</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科</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学</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政</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策</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平</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台</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政</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府</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间</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科</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学</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政</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策</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平</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台</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）和政府间科学政策平台其他产品</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完</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成</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专</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题</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估；</w:t>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83128B">
        <w:rPr>
          <w:rFonts w:asciiTheme="minorEastAsia" w:eastAsiaTheme="minorEastAsia" w:hAnsiTheme="minorEastAsia" w:cs="SimSun" w:hint="eastAsia"/>
          <w:kern w:val="22"/>
          <w:sz w:val="24"/>
          <w:szCs w:val="24"/>
          <w:lang w:eastAsia="zh-CN"/>
        </w:rPr>
        <w:t>其</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他</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相</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关</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进</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程</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，如政府间气候变化专门委员会和第六版《</w:t>
      </w:r>
      <w:r w:rsidRPr="00EB27E8">
        <w:rPr>
          <w:rFonts w:ascii="KaiTi" w:eastAsia="KaiTi" w:hAnsi="KaiTi" w:cs="SimSun" w:hint="eastAsia"/>
          <w:kern w:val="22"/>
          <w:sz w:val="24"/>
          <w:szCs w:val="24"/>
          <w:lang w:eastAsia="zh-CN"/>
        </w:rPr>
        <w:t>全球环境展望</w:t>
      </w:r>
      <w:r w:rsidRPr="0083128B">
        <w:rPr>
          <w:rFonts w:asciiTheme="minorEastAsia" w:eastAsiaTheme="minorEastAsia" w:hAnsiTheme="minorEastAsia" w:cs="SimSun" w:hint="eastAsia"/>
          <w:kern w:val="22"/>
          <w:sz w:val="24"/>
          <w:szCs w:val="24"/>
          <w:lang w:eastAsia="zh-CN"/>
        </w:rPr>
        <w:t>》的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估</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以</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及</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相</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关</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国</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家</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和</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次</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区</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域</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估；</w:t>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83128B">
        <w:rPr>
          <w:rFonts w:asciiTheme="minorEastAsia" w:eastAsiaTheme="minorEastAsia" w:hAnsiTheme="minorEastAsia" w:cs="SimSun" w:hint="eastAsia"/>
          <w:kern w:val="22"/>
          <w:sz w:val="24"/>
          <w:szCs w:val="24"/>
          <w:lang w:eastAsia="zh-CN"/>
        </w:rPr>
        <w:t>来</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自</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其</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他</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生</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物</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多</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样</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性</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相</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关</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公</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约</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和</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里</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约</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公</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约</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以</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及</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其</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他</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相</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关</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织</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信</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息</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包</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括</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向</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其</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他</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多</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边</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环</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境</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协</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定</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提</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交</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相</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关</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国</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别</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报</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告</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以</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及</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其</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他</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生</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物</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多</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样</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性</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相</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关</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公</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约</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通</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过</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相</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关</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战</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略；</w:t>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83128B">
        <w:rPr>
          <w:rFonts w:asciiTheme="minorEastAsia" w:eastAsiaTheme="minorEastAsia" w:hAnsiTheme="minorEastAsia" w:cs="SimSun" w:hint="eastAsia"/>
          <w:kern w:val="22"/>
          <w:sz w:val="24"/>
          <w:szCs w:val="24"/>
          <w:lang w:eastAsia="zh-CN"/>
        </w:rPr>
        <w:t>可</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持</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续</w:t>
      </w:r>
      <w:r w:rsidRPr="0083128B">
        <w:rPr>
          <w:rFonts w:ascii="MS Gothic" w:eastAsia="MS Gothic" w:hAnsi="MS Gothic" w:cs="MS Gothic" w:hint="eastAsia"/>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发</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展</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问</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题</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高</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级</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别</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政</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治</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论</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坛</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自</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愿</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国</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别</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评</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估</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和</w:t>
      </w:r>
      <w:r w:rsidRPr="00313192">
        <w:rPr>
          <w:rFonts w:ascii="MS Gothic" w:eastAsia="MS Gothic" w:hAnsi="MS Gothic" w:cs="MS Gothic" w:hint="eastAsia"/>
          <w:spacing w:val="-20"/>
          <w:kern w:val="22"/>
          <w:sz w:val="24"/>
          <w:szCs w:val="24"/>
          <w:lang w:eastAsia="zh-CN"/>
        </w:rPr>
        <w:t>​</w:t>
      </w:r>
      <w:r w:rsidRPr="00313192">
        <w:rPr>
          <w:rFonts w:eastAsiaTheme="minorEastAsia"/>
          <w:spacing w:val="-20"/>
          <w:kern w:val="22"/>
          <w:sz w:val="24"/>
          <w:szCs w:val="24"/>
          <w:lang w:eastAsia="zh-CN"/>
        </w:rPr>
        <w:t>2</w:t>
      </w:r>
      <w:r w:rsidRPr="00313192">
        <w:rPr>
          <w:rFonts w:eastAsia="MS Gothic"/>
          <w:spacing w:val="-20"/>
          <w:kern w:val="22"/>
          <w:sz w:val="24"/>
          <w:szCs w:val="24"/>
          <w:lang w:eastAsia="zh-CN"/>
        </w:rPr>
        <w:t>​</w:t>
      </w:r>
      <w:r w:rsidRPr="00313192">
        <w:rPr>
          <w:rFonts w:eastAsiaTheme="minorEastAsia"/>
          <w:spacing w:val="-20"/>
          <w:kern w:val="22"/>
          <w:sz w:val="24"/>
          <w:szCs w:val="24"/>
          <w:lang w:eastAsia="zh-CN"/>
        </w:rPr>
        <w:t>0</w:t>
      </w:r>
      <w:r w:rsidRPr="00313192">
        <w:rPr>
          <w:rFonts w:eastAsia="MS Gothic"/>
          <w:spacing w:val="-20"/>
          <w:kern w:val="22"/>
          <w:sz w:val="24"/>
          <w:szCs w:val="24"/>
          <w:lang w:eastAsia="zh-CN"/>
        </w:rPr>
        <w:t>​</w:t>
      </w:r>
      <w:r w:rsidRPr="00313192">
        <w:rPr>
          <w:rFonts w:eastAsiaTheme="minorEastAsia"/>
          <w:spacing w:val="-20"/>
          <w:kern w:val="22"/>
          <w:sz w:val="24"/>
          <w:szCs w:val="24"/>
          <w:lang w:eastAsia="zh-CN"/>
        </w:rPr>
        <w:t>1</w:t>
      </w:r>
      <w:r w:rsidRPr="00313192">
        <w:rPr>
          <w:rFonts w:eastAsia="MS Gothic"/>
          <w:spacing w:val="-20"/>
          <w:kern w:val="22"/>
          <w:sz w:val="24"/>
          <w:szCs w:val="24"/>
          <w:lang w:eastAsia="zh-CN"/>
        </w:rPr>
        <w:t>​</w:t>
      </w:r>
      <w:r w:rsidRPr="00313192">
        <w:rPr>
          <w:rFonts w:eastAsiaTheme="minorEastAsia"/>
          <w:spacing w:val="-20"/>
          <w:kern w:val="22"/>
          <w:sz w:val="24"/>
          <w:szCs w:val="24"/>
          <w:lang w:eastAsia="zh-CN"/>
        </w:rPr>
        <w:t>9</w:t>
      </w:r>
      <w:r w:rsidRPr="00313192">
        <w:rPr>
          <w:rFonts w:eastAsia="MS Gothic"/>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年</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全</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球</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可</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持</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续</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发</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展</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报</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告</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w:t>
      </w:r>
      <w:r w:rsidRPr="00313192">
        <w:rPr>
          <w:rFonts w:ascii="MS Gothic" w:eastAsia="MS Gothic" w:hAnsi="MS Gothic" w:cs="MS Gothic" w:hint="eastAsia"/>
          <w:spacing w:val="-20"/>
          <w:kern w:val="22"/>
          <w:sz w:val="24"/>
          <w:szCs w:val="24"/>
          <w:lang w:eastAsia="zh-CN"/>
        </w:rPr>
        <w:t>​</w:t>
      </w:r>
      <w:r w:rsidRPr="00313192">
        <w:rPr>
          <w:rFonts w:asciiTheme="minorEastAsia" w:eastAsiaTheme="minorEastAsia" w:hAnsiTheme="minorEastAsia" w:cs="SimSun" w:hint="eastAsia"/>
          <w:spacing w:val="-20"/>
          <w:kern w:val="22"/>
          <w:sz w:val="24"/>
          <w:szCs w:val="24"/>
          <w:lang w:eastAsia="zh-CN"/>
        </w:rPr>
        <w:t>；</w:t>
      </w:r>
      <w:r w:rsidRPr="00D70A6C">
        <w:rPr>
          <w:rFonts w:eastAsiaTheme="minorEastAsia"/>
          <w:kern w:val="22"/>
          <w:sz w:val="24"/>
          <w:szCs w:val="24"/>
          <w:vertAlign w:val="superscript"/>
          <w:lang w:eastAsia="en-CA"/>
        </w:rPr>
        <w:footnoteReference w:id="315"/>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83128B">
        <w:rPr>
          <w:rFonts w:asciiTheme="minorEastAsia" w:eastAsiaTheme="minorEastAsia" w:hAnsiTheme="minorEastAsia" w:cs="SimSun" w:hint="eastAsia"/>
          <w:kern w:val="22"/>
          <w:sz w:val="24"/>
          <w:szCs w:val="24"/>
          <w:lang w:eastAsia="zh-CN"/>
        </w:rPr>
        <w:t>通</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过</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生</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物</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多</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样</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性</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指</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标</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伙</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伴</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关</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系</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提</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供</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的</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信</w:t>
      </w:r>
      <w:r w:rsidRPr="0083128B">
        <w:rPr>
          <w:rFonts w:ascii="MS Gothic" w:eastAsia="MS Gothic" w:hAnsi="MS Gothic" w:cs="MS Gothic"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息；</w:t>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83128B">
        <w:rPr>
          <w:rFonts w:asciiTheme="minorEastAsia" w:eastAsiaTheme="minorEastAsia" w:hAnsiTheme="minorEastAsia" w:cs="SimSun" w:hint="eastAsia"/>
          <w:kern w:val="22"/>
          <w:sz w:val="24"/>
          <w:szCs w:val="24"/>
          <w:lang w:eastAsia="zh-CN"/>
        </w:rPr>
        <w:t>相关同行评议文献以及其他相关报告，包括关于系统转型、转型管理和转型变革的报告，以及来自其他知识系统的信息；</w:t>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331E1A">
        <w:rPr>
          <w:rFonts w:asciiTheme="minorEastAsia" w:eastAsiaTheme="minorEastAsia" w:hAnsiTheme="minorEastAsia" w:cs="SimSun" w:hint="eastAsia"/>
          <w:kern w:val="22"/>
          <w:sz w:val="24"/>
          <w:szCs w:val="24"/>
          <w:lang w:eastAsia="zh-CN"/>
        </w:rPr>
        <w:t>缔约方大会第十四届会议</w:t>
      </w:r>
      <w:r>
        <w:rPr>
          <w:rFonts w:asciiTheme="minorEastAsia" w:eastAsiaTheme="minorEastAsia" w:hAnsiTheme="minorEastAsia" w:cs="SimSun" w:hint="eastAsia"/>
          <w:kern w:val="22"/>
          <w:sz w:val="24"/>
          <w:szCs w:val="24"/>
          <w:lang w:eastAsia="zh-CN"/>
        </w:rPr>
        <w:t>、</w:t>
      </w:r>
      <w:r w:rsidRPr="00331E1A">
        <w:rPr>
          <w:rFonts w:asciiTheme="minorEastAsia" w:eastAsiaTheme="minorEastAsia" w:hAnsiTheme="minorEastAsia" w:cs="SimSun" w:hint="eastAsia"/>
          <w:kern w:val="22"/>
          <w:sz w:val="24"/>
          <w:szCs w:val="24"/>
          <w:lang w:eastAsia="zh-CN"/>
        </w:rPr>
        <w:t>作为卡塔赫纳议定书缔约方会议的缔约方大会第九次会议和作为名古屋议定书缔约方会议的缔约方大会第三次会议</w:t>
      </w:r>
      <w:r>
        <w:rPr>
          <w:rFonts w:asciiTheme="minorEastAsia" w:eastAsiaTheme="minorEastAsia" w:hAnsiTheme="minorEastAsia" w:cs="SimSun" w:hint="eastAsia"/>
          <w:kern w:val="22"/>
          <w:sz w:val="24"/>
          <w:szCs w:val="24"/>
          <w:lang w:eastAsia="zh-CN"/>
        </w:rPr>
        <w:t>期间举行</w:t>
      </w:r>
      <w:r>
        <w:rPr>
          <w:rFonts w:asciiTheme="minorEastAsia" w:eastAsiaTheme="minorEastAsia" w:hAnsiTheme="minorEastAsia" w:cs="SimSun"/>
          <w:kern w:val="22"/>
          <w:sz w:val="24"/>
          <w:szCs w:val="24"/>
          <w:lang w:eastAsia="zh-CN"/>
        </w:rPr>
        <w:t>的</w:t>
      </w:r>
      <w:r w:rsidRPr="0083128B">
        <w:rPr>
          <w:rFonts w:asciiTheme="minorEastAsia" w:eastAsiaTheme="minorEastAsia" w:hAnsiTheme="minorEastAsia" w:cs="SimSun" w:hint="eastAsia"/>
          <w:kern w:val="22"/>
          <w:sz w:val="24"/>
          <w:szCs w:val="24"/>
          <w:lang w:eastAsia="zh-CN"/>
        </w:rPr>
        <w:t>论坛和活动的</w:t>
      </w:r>
      <w:r>
        <w:rPr>
          <w:rFonts w:asciiTheme="minorEastAsia" w:eastAsiaTheme="minorEastAsia" w:hAnsiTheme="minorEastAsia" w:cs="SimSun" w:hint="eastAsia"/>
          <w:kern w:val="22"/>
          <w:sz w:val="24"/>
          <w:szCs w:val="24"/>
          <w:lang w:eastAsia="zh-CN"/>
        </w:rPr>
        <w:t>结果和</w:t>
      </w:r>
      <w:r>
        <w:rPr>
          <w:rFonts w:asciiTheme="minorEastAsia" w:eastAsiaTheme="minorEastAsia" w:hAnsiTheme="minorEastAsia" w:cs="SimSun"/>
          <w:kern w:val="22"/>
          <w:sz w:val="24"/>
          <w:szCs w:val="24"/>
          <w:lang w:eastAsia="zh-CN"/>
        </w:rPr>
        <w:t>产出</w:t>
      </w:r>
      <w:r w:rsidRPr="0083128B">
        <w:rPr>
          <w:rFonts w:asciiTheme="minorEastAsia" w:eastAsiaTheme="minorEastAsia" w:hAnsiTheme="minorEastAsia" w:cs="SimSun" w:hint="eastAsia"/>
          <w:kern w:val="22"/>
          <w:sz w:val="24"/>
          <w:szCs w:val="24"/>
          <w:lang w:eastAsia="zh-CN"/>
        </w:rPr>
        <w:t>，包括</w:t>
      </w:r>
      <w:r>
        <w:rPr>
          <w:rFonts w:asciiTheme="minorEastAsia" w:eastAsiaTheme="minorEastAsia" w:hAnsiTheme="minorEastAsia" w:cs="SimSun" w:hint="eastAsia"/>
          <w:kern w:val="22"/>
          <w:sz w:val="24"/>
          <w:szCs w:val="24"/>
          <w:lang w:eastAsia="zh-CN"/>
        </w:rPr>
        <w:t>非洲</w:t>
      </w:r>
      <w:r>
        <w:rPr>
          <w:rFonts w:asciiTheme="minorEastAsia" w:eastAsiaTheme="minorEastAsia" w:hAnsiTheme="minorEastAsia" w:cs="SimSun"/>
          <w:kern w:val="22"/>
          <w:sz w:val="24"/>
          <w:szCs w:val="24"/>
          <w:lang w:eastAsia="zh-CN"/>
        </w:rPr>
        <w:t>生物多样性问题部长级峰会、</w:t>
      </w:r>
      <w:r w:rsidRPr="00313192">
        <w:rPr>
          <w:rStyle w:val="FootnoteReference"/>
          <w:kern w:val="22"/>
          <w:sz w:val="24"/>
          <w:szCs w:val="22"/>
          <w:u w:val="none"/>
          <w:vertAlign w:val="superscript"/>
          <w:lang w:eastAsia="en-CA"/>
        </w:rPr>
        <w:footnoteReference w:id="316"/>
      </w:r>
      <w:r w:rsidRPr="00313192">
        <w:rPr>
          <w:kern w:val="22"/>
          <w:sz w:val="24"/>
          <w:szCs w:val="22"/>
          <w:vertAlign w:val="superscript"/>
          <w:lang w:eastAsia="zh-CN"/>
        </w:rPr>
        <w:t xml:space="preserve"> </w:t>
      </w:r>
      <w:r w:rsidRPr="0083128B">
        <w:rPr>
          <w:rFonts w:asciiTheme="minorEastAsia" w:eastAsiaTheme="minorEastAsia" w:hAnsiTheme="minorEastAsia" w:cs="SimSun" w:hint="eastAsia"/>
          <w:kern w:val="22"/>
          <w:sz w:val="24"/>
          <w:szCs w:val="24"/>
          <w:lang w:eastAsia="zh-CN"/>
        </w:rPr>
        <w:t>科学论坛</w:t>
      </w:r>
      <w:r>
        <w:rPr>
          <w:rFonts w:asciiTheme="minorEastAsia" w:eastAsiaTheme="minorEastAsia" w:hAnsiTheme="minorEastAsia" w:cs="SimSun" w:hint="eastAsia"/>
          <w:kern w:val="22"/>
          <w:sz w:val="24"/>
          <w:szCs w:val="24"/>
          <w:lang w:eastAsia="zh-CN"/>
        </w:rPr>
        <w:t>、</w:t>
      </w:r>
      <w:r w:rsidRPr="00313192">
        <w:rPr>
          <w:rStyle w:val="FootnoteReference"/>
          <w:kern w:val="22"/>
          <w:sz w:val="24"/>
          <w:szCs w:val="22"/>
          <w:u w:val="none"/>
          <w:vertAlign w:val="superscript"/>
          <w:lang w:eastAsia="en-CA"/>
        </w:rPr>
        <w:footnoteReference w:id="317"/>
      </w:r>
      <w:r w:rsidRPr="00313192">
        <w:rPr>
          <w:rStyle w:val="FootnoteReference"/>
          <w:sz w:val="24"/>
          <w:szCs w:val="22"/>
          <w:u w:val="none"/>
          <w:vertAlign w:val="superscript"/>
          <w:lang w:eastAsia="zh-CN"/>
        </w:rPr>
        <w:t xml:space="preserve"> </w:t>
      </w:r>
      <w:r w:rsidRPr="0083128B">
        <w:rPr>
          <w:rFonts w:asciiTheme="minorEastAsia" w:eastAsiaTheme="minorEastAsia" w:hAnsiTheme="minorEastAsia" w:cs="SimSun" w:hint="eastAsia"/>
          <w:kern w:val="22"/>
          <w:sz w:val="24"/>
          <w:szCs w:val="24"/>
          <w:lang w:eastAsia="zh-CN"/>
        </w:rPr>
        <w:t>商业和生物多样性论坛</w:t>
      </w:r>
      <w:r>
        <w:rPr>
          <w:rFonts w:asciiTheme="minorEastAsia" w:eastAsiaTheme="minorEastAsia" w:hAnsiTheme="minorEastAsia" w:cs="SimSun" w:hint="eastAsia"/>
          <w:kern w:val="22"/>
          <w:sz w:val="24"/>
          <w:szCs w:val="24"/>
          <w:lang w:eastAsia="zh-CN"/>
        </w:rPr>
        <w:t>、</w:t>
      </w:r>
      <w:r w:rsidRPr="00331E1A">
        <w:rPr>
          <w:rStyle w:val="FootnoteReference"/>
          <w:sz w:val="24"/>
          <w:szCs w:val="24"/>
          <w:vertAlign w:val="superscript"/>
        </w:rPr>
        <w:footnoteReference w:id="318"/>
      </w:r>
      <w:r>
        <w:rPr>
          <w:rFonts w:asciiTheme="minorEastAsia" w:eastAsiaTheme="minorEastAsia" w:hAnsiTheme="minorEastAsia" w:cs="SimSun"/>
          <w:kern w:val="22"/>
          <w:sz w:val="24"/>
          <w:szCs w:val="24"/>
          <w:lang w:eastAsia="zh-CN"/>
        </w:rPr>
        <w:t xml:space="preserve"> </w:t>
      </w:r>
      <w:r w:rsidRPr="0083128B">
        <w:rPr>
          <w:rFonts w:asciiTheme="minorEastAsia" w:eastAsiaTheme="minorEastAsia" w:hAnsiTheme="minorEastAsia" w:cs="SimSun" w:hint="eastAsia"/>
          <w:kern w:val="22"/>
          <w:sz w:val="24"/>
          <w:szCs w:val="24"/>
          <w:lang w:eastAsia="zh-CN"/>
        </w:rPr>
        <w:t>自然和文化峰会</w:t>
      </w:r>
      <w:r w:rsidRPr="0083128B">
        <w:rPr>
          <w:rFonts w:asciiTheme="minorEastAsia" w:eastAsiaTheme="minorEastAsia" w:hAnsiTheme="minorEastAsia"/>
          <w:kern w:val="22"/>
          <w:sz w:val="24"/>
          <w:szCs w:val="24"/>
          <w:lang w:eastAsia="zh-CN"/>
        </w:rPr>
        <w:t xml:space="preserve"> </w:t>
      </w:r>
      <w:r w:rsidRPr="00331E1A">
        <w:rPr>
          <w:rStyle w:val="FootnoteReference"/>
          <w:sz w:val="24"/>
          <w:szCs w:val="24"/>
          <w:vertAlign w:val="superscript"/>
        </w:rPr>
        <w:footnoteReference w:id="319"/>
      </w:r>
      <w:r>
        <w:rPr>
          <w:rFonts w:asciiTheme="minorEastAsia" w:eastAsiaTheme="minorEastAsia" w:hAnsiTheme="minorEastAsia"/>
          <w:kern w:val="22"/>
          <w:sz w:val="24"/>
          <w:szCs w:val="24"/>
          <w:lang w:eastAsia="zh-CN"/>
        </w:rPr>
        <w:t xml:space="preserve"> </w:t>
      </w:r>
      <w:r>
        <w:rPr>
          <w:rFonts w:asciiTheme="minorEastAsia" w:eastAsiaTheme="minorEastAsia" w:hAnsiTheme="minorEastAsia" w:hint="eastAsia"/>
          <w:kern w:val="22"/>
          <w:sz w:val="24"/>
          <w:szCs w:val="24"/>
          <w:lang w:eastAsia="zh-CN"/>
        </w:rPr>
        <w:t>以及第六届地方</w:t>
      </w:r>
      <w:r>
        <w:rPr>
          <w:rFonts w:asciiTheme="minorEastAsia" w:eastAsiaTheme="minorEastAsia" w:hAnsiTheme="minorEastAsia"/>
          <w:kern w:val="22"/>
          <w:sz w:val="24"/>
          <w:szCs w:val="24"/>
          <w:lang w:eastAsia="zh-CN"/>
        </w:rPr>
        <w:t>和国家以下级政府全球生物多样性峰会</w:t>
      </w:r>
      <w:r w:rsidRPr="006163E3">
        <w:rPr>
          <w:rStyle w:val="FootnoteReference"/>
          <w:kern w:val="22"/>
          <w:sz w:val="24"/>
          <w:szCs w:val="22"/>
          <w:vertAlign w:val="superscript"/>
          <w:lang w:eastAsia="en-CA"/>
        </w:rPr>
        <w:footnoteReference w:id="320"/>
      </w:r>
      <w:r w:rsidRPr="006163E3">
        <w:rPr>
          <w:rFonts w:asciiTheme="minorEastAsia" w:eastAsiaTheme="minorEastAsia" w:hAnsiTheme="minorEastAsia" w:hint="eastAsia"/>
          <w:kern w:val="22"/>
          <w:sz w:val="24"/>
          <w:szCs w:val="24"/>
          <w:vertAlign w:val="superscript"/>
          <w:lang w:eastAsia="zh-CN"/>
        </w:rPr>
        <w:t xml:space="preserve"> </w:t>
      </w:r>
      <w:r>
        <w:rPr>
          <w:rFonts w:asciiTheme="minorEastAsia" w:eastAsiaTheme="minorEastAsia" w:hAnsiTheme="minorEastAsia" w:cs="SimSun" w:hint="eastAsia"/>
          <w:kern w:val="22"/>
          <w:sz w:val="24"/>
          <w:szCs w:val="24"/>
          <w:lang w:eastAsia="zh-CN"/>
        </w:rPr>
        <w:t>的结果</w:t>
      </w:r>
      <w:r>
        <w:rPr>
          <w:rFonts w:asciiTheme="minorEastAsia" w:eastAsiaTheme="minorEastAsia" w:hAnsiTheme="minorEastAsia" w:cs="SimSun"/>
          <w:kern w:val="22"/>
          <w:sz w:val="24"/>
          <w:szCs w:val="24"/>
          <w:lang w:eastAsia="zh-CN"/>
        </w:rPr>
        <w:t>和产出</w:t>
      </w:r>
      <w:r w:rsidRPr="0083128B">
        <w:rPr>
          <w:rFonts w:asciiTheme="minorEastAsia" w:eastAsiaTheme="minorEastAsia" w:hAnsiTheme="minorEastAsia" w:cs="SimSun" w:hint="eastAsia"/>
          <w:kern w:val="22"/>
          <w:sz w:val="24"/>
          <w:szCs w:val="24"/>
          <w:lang w:eastAsia="zh-CN"/>
        </w:rPr>
        <w:t>；</w:t>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313192">
        <w:rPr>
          <w:rFonts w:asciiTheme="minorEastAsia" w:eastAsiaTheme="minorEastAsia" w:hAnsiTheme="minorEastAsia" w:cs="SimSun" w:hint="eastAsia"/>
          <w:spacing w:val="-20"/>
          <w:kern w:val="22"/>
          <w:sz w:val="24"/>
          <w:szCs w:val="24"/>
          <w:lang w:eastAsia="zh-CN"/>
        </w:rPr>
        <w:t>与生物多样性和其他社会和经济进程之间更广泛相互联系有关的其他信息来源，</w:t>
      </w:r>
      <w:r w:rsidRPr="0083128B">
        <w:rPr>
          <w:rFonts w:asciiTheme="minorEastAsia" w:eastAsiaTheme="minorEastAsia" w:hAnsiTheme="minorEastAsia" w:cs="SimSun" w:hint="eastAsia"/>
          <w:kern w:val="22"/>
          <w:sz w:val="24"/>
          <w:szCs w:val="24"/>
          <w:lang w:eastAsia="zh-CN"/>
        </w:rPr>
        <w:t>尤其是关于经济和金融部门及产业转型以便在地球生态承载极限内实现可持续发展（即</w:t>
      </w:r>
      <w:r>
        <w:rPr>
          <w:rFonts w:asciiTheme="minorEastAsia" w:eastAsiaTheme="minorEastAsia" w:hAnsiTheme="minorEastAsia" w:cs="SimSun" w:hint="eastAsia"/>
          <w:kern w:val="22"/>
          <w:sz w:val="24"/>
          <w:szCs w:val="24"/>
          <w:lang w:eastAsia="zh-CN"/>
        </w:rPr>
        <w:t>：</w:t>
      </w:r>
      <w:r w:rsidRPr="0083128B">
        <w:rPr>
          <w:rFonts w:asciiTheme="minorEastAsia" w:eastAsiaTheme="minorEastAsia" w:hAnsiTheme="minorEastAsia" w:cs="SimSun" w:hint="eastAsia"/>
          <w:kern w:val="22"/>
          <w:sz w:val="24"/>
          <w:szCs w:val="24"/>
          <w:lang w:eastAsia="zh-CN"/>
        </w:rPr>
        <w:t>粮食和环境安全、卫生、城市和城市发展、商业创新、技术、可持续消费和生产、水和有效利用资源等等）；</w:t>
      </w:r>
    </w:p>
    <w:p w:rsidR="00B41940" w:rsidRPr="0083128B" w:rsidRDefault="00B41940" w:rsidP="00615E7F">
      <w:pPr>
        <w:pStyle w:val="Para1"/>
        <w:numPr>
          <w:ilvl w:val="0"/>
          <w:numId w:val="272"/>
        </w:numPr>
        <w:suppressLineNumbers/>
        <w:suppressAutoHyphens/>
        <w:kinsoku w:val="0"/>
        <w:overflowPunct w:val="0"/>
        <w:autoSpaceDE w:val="0"/>
        <w:autoSpaceDN w:val="0"/>
        <w:ind w:left="0" w:firstLine="720"/>
        <w:rPr>
          <w:rFonts w:asciiTheme="minorEastAsia" w:eastAsiaTheme="minorEastAsia" w:hAnsiTheme="minorEastAsia"/>
          <w:kern w:val="22"/>
          <w:sz w:val="24"/>
          <w:szCs w:val="24"/>
          <w:lang w:eastAsia="zh-CN"/>
        </w:rPr>
      </w:pPr>
      <w:r w:rsidRPr="0083128B">
        <w:rPr>
          <w:rFonts w:asciiTheme="minorEastAsia" w:eastAsiaTheme="minorEastAsia" w:hAnsiTheme="minorEastAsia" w:cs="SimSun" w:hint="eastAsia"/>
          <w:kern w:val="22"/>
          <w:sz w:val="24"/>
          <w:szCs w:val="24"/>
          <w:lang w:eastAsia="zh-CN"/>
        </w:rPr>
        <w:t>《</w:t>
      </w:r>
      <w:r w:rsidRPr="00EB27E8">
        <w:rPr>
          <w:rFonts w:ascii="KaiTi" w:eastAsia="KaiTi" w:hAnsi="KaiTi" w:cs="SimSun" w:hint="eastAsia"/>
          <w:kern w:val="22"/>
          <w:sz w:val="24"/>
          <w:szCs w:val="24"/>
          <w:lang w:eastAsia="zh-CN"/>
        </w:rPr>
        <w:t>世界状况</w:t>
      </w:r>
      <w:r w:rsidRPr="0083128B">
        <w:rPr>
          <w:rFonts w:asciiTheme="minorEastAsia" w:eastAsiaTheme="minorEastAsia" w:hAnsiTheme="minorEastAsia" w:cs="SimSun" w:hint="eastAsia"/>
          <w:kern w:val="22"/>
          <w:sz w:val="24"/>
          <w:szCs w:val="24"/>
          <w:lang w:eastAsia="zh-CN"/>
        </w:rPr>
        <w:t>》报告和联合国粮食及农业组织编写的其他评估报告；</w:t>
      </w:r>
    </w:p>
    <w:p w:rsidR="00B41940" w:rsidRPr="00D70A6C" w:rsidRDefault="00B41940" w:rsidP="00615E7F">
      <w:pPr>
        <w:pStyle w:val="Para1"/>
        <w:numPr>
          <w:ilvl w:val="0"/>
          <w:numId w:val="272"/>
        </w:numPr>
        <w:suppressLineNumbers/>
        <w:suppressAutoHyphens/>
        <w:kinsoku w:val="0"/>
        <w:overflowPunct w:val="0"/>
        <w:autoSpaceDE w:val="0"/>
        <w:autoSpaceDN w:val="0"/>
        <w:ind w:left="0" w:firstLine="720"/>
        <w:rPr>
          <w:rFonts w:eastAsiaTheme="minorEastAsia"/>
          <w:kern w:val="22"/>
          <w:sz w:val="24"/>
          <w:szCs w:val="24"/>
          <w:lang w:eastAsia="zh-CN"/>
        </w:rPr>
      </w:pPr>
      <w:r>
        <w:rPr>
          <w:rFonts w:eastAsiaTheme="minorEastAsia" w:hint="eastAsia"/>
          <w:kern w:val="22"/>
          <w:sz w:val="24"/>
          <w:szCs w:val="24"/>
          <w:lang w:eastAsia="zh-CN"/>
        </w:rPr>
        <w:t>依照</w:t>
      </w:r>
      <w:r>
        <w:rPr>
          <w:rFonts w:eastAsiaTheme="minorEastAsia"/>
          <w:kern w:val="22"/>
          <w:sz w:val="24"/>
          <w:szCs w:val="24"/>
          <w:lang w:eastAsia="zh-CN"/>
        </w:rPr>
        <w:t>科学、技术和工艺咨询附属机构</w:t>
      </w:r>
      <w:r w:rsidRPr="00D70A6C">
        <w:rPr>
          <w:rFonts w:eastAsiaTheme="minorEastAsia"/>
          <w:kern w:val="22"/>
          <w:sz w:val="24"/>
          <w:szCs w:val="24"/>
          <w:lang w:eastAsia="zh-CN"/>
        </w:rPr>
        <w:t>第</w:t>
      </w:r>
      <w:r w:rsidRPr="00D70A6C">
        <w:rPr>
          <w:rFonts w:eastAsiaTheme="minorEastAsia"/>
          <w:kern w:val="22"/>
          <w:sz w:val="24"/>
          <w:szCs w:val="24"/>
          <w:lang w:eastAsia="zh-CN"/>
        </w:rPr>
        <w:t>XXI/1</w:t>
      </w:r>
      <w:r w:rsidRPr="00D70A6C">
        <w:rPr>
          <w:rFonts w:eastAsiaTheme="minorEastAsia"/>
          <w:kern w:val="22"/>
          <w:sz w:val="24"/>
          <w:szCs w:val="24"/>
          <w:lang w:eastAsia="zh-CN"/>
        </w:rPr>
        <w:t>号</w:t>
      </w:r>
      <w:r>
        <w:rPr>
          <w:rFonts w:eastAsiaTheme="minorEastAsia" w:hint="eastAsia"/>
          <w:kern w:val="22"/>
          <w:sz w:val="24"/>
          <w:szCs w:val="24"/>
          <w:lang w:eastAsia="zh-CN"/>
        </w:rPr>
        <w:t>和</w:t>
      </w:r>
      <w:r w:rsidRPr="00D70A6C">
        <w:rPr>
          <w:rFonts w:eastAsiaTheme="minorEastAsia"/>
          <w:kern w:val="22"/>
          <w:sz w:val="24"/>
          <w:szCs w:val="24"/>
          <w:lang w:eastAsia="zh-CN"/>
        </w:rPr>
        <w:t>第</w:t>
      </w:r>
      <w:r w:rsidRPr="00D70A6C">
        <w:rPr>
          <w:rFonts w:eastAsiaTheme="minorEastAsia"/>
          <w:kern w:val="22"/>
          <w:sz w:val="24"/>
          <w:szCs w:val="24"/>
          <w:lang w:eastAsia="zh-CN"/>
        </w:rPr>
        <w:t>XXI/5</w:t>
      </w:r>
      <w:r w:rsidRPr="00D70A6C">
        <w:rPr>
          <w:rFonts w:eastAsiaTheme="minorEastAsia"/>
          <w:kern w:val="22"/>
          <w:sz w:val="24"/>
          <w:szCs w:val="24"/>
          <w:lang w:eastAsia="zh-CN"/>
        </w:rPr>
        <w:t>号建议</w:t>
      </w:r>
      <w:r>
        <w:rPr>
          <w:rFonts w:eastAsiaTheme="minorEastAsia" w:hint="eastAsia"/>
          <w:kern w:val="22"/>
          <w:sz w:val="24"/>
          <w:szCs w:val="24"/>
          <w:lang w:eastAsia="zh-CN"/>
        </w:rPr>
        <w:t>以及</w:t>
      </w:r>
      <w:r>
        <w:rPr>
          <w:rFonts w:eastAsiaTheme="minorEastAsia"/>
          <w:kern w:val="22"/>
          <w:sz w:val="24"/>
          <w:szCs w:val="24"/>
          <w:lang w:eastAsia="zh-CN"/>
        </w:rPr>
        <w:t>缔约方大会</w:t>
      </w:r>
      <w:r w:rsidRPr="00D70A6C">
        <w:rPr>
          <w:rFonts w:eastAsiaTheme="minorEastAsia"/>
          <w:kern w:val="22"/>
          <w:sz w:val="24"/>
          <w:szCs w:val="24"/>
          <w:lang w:eastAsia="zh-CN"/>
        </w:rPr>
        <w:t>第</w:t>
      </w:r>
      <w:r>
        <w:rPr>
          <w:rFonts w:eastAsiaTheme="minorEastAsia" w:hint="eastAsia"/>
          <w:kern w:val="22"/>
          <w:sz w:val="24"/>
          <w:szCs w:val="24"/>
          <w:lang w:eastAsia="zh-CN"/>
        </w:rPr>
        <w:t>14</w:t>
      </w:r>
      <w:r w:rsidRPr="00D70A6C">
        <w:rPr>
          <w:rFonts w:eastAsiaTheme="minorEastAsia"/>
          <w:kern w:val="22"/>
          <w:sz w:val="24"/>
          <w:szCs w:val="24"/>
          <w:lang w:eastAsia="zh-CN"/>
        </w:rPr>
        <w:t>/</w:t>
      </w:r>
      <w:r>
        <w:rPr>
          <w:rFonts w:eastAsiaTheme="minorEastAsia"/>
          <w:kern w:val="22"/>
          <w:sz w:val="24"/>
          <w:szCs w:val="24"/>
          <w:lang w:eastAsia="zh-CN"/>
        </w:rPr>
        <w:t>35</w:t>
      </w:r>
      <w:r w:rsidRPr="00D70A6C">
        <w:rPr>
          <w:rFonts w:eastAsiaTheme="minorEastAsia"/>
          <w:kern w:val="22"/>
          <w:sz w:val="24"/>
          <w:szCs w:val="24"/>
          <w:lang w:eastAsia="zh-CN"/>
        </w:rPr>
        <w:t>号决定准备的分析工作。其中包括关于以下方面的分析工作：</w:t>
      </w:r>
    </w:p>
    <w:p w:rsidR="00B41940" w:rsidRPr="00D70A6C" w:rsidRDefault="00B41940" w:rsidP="00615E7F">
      <w:pPr>
        <w:pStyle w:val="Para1"/>
        <w:numPr>
          <w:ilvl w:val="0"/>
          <w:numId w:val="273"/>
        </w:numPr>
        <w:suppressLineNumbers/>
        <w:suppressAutoHyphens/>
        <w:kinsoku w:val="0"/>
        <w:overflowPunct w:val="0"/>
        <w:autoSpaceDE w:val="0"/>
        <w:autoSpaceDN w:val="0"/>
        <w:spacing w:before="0"/>
        <w:ind w:left="2160"/>
        <w:rPr>
          <w:rFonts w:eastAsiaTheme="minorEastAsia"/>
          <w:kern w:val="22"/>
          <w:sz w:val="24"/>
          <w:szCs w:val="24"/>
          <w:lang w:eastAsia="zh-CN"/>
        </w:rPr>
      </w:pPr>
      <w:r w:rsidRPr="00D70A6C">
        <w:rPr>
          <w:rFonts w:eastAsiaTheme="minorEastAsia"/>
          <w:kern w:val="22"/>
          <w:sz w:val="24"/>
          <w:szCs w:val="24"/>
          <w:lang w:eastAsia="zh-CN"/>
        </w:rPr>
        <w:t>生物多样性与可持续发展目标之间的联系以及《</w:t>
      </w:r>
      <w:r w:rsidRPr="00D70A6C">
        <w:rPr>
          <w:rFonts w:eastAsiaTheme="minorEastAsia"/>
          <w:kern w:val="22"/>
          <w:sz w:val="24"/>
          <w:szCs w:val="24"/>
          <w:lang w:eastAsia="zh-CN"/>
        </w:rPr>
        <w:t>2030</w:t>
      </w:r>
      <w:r w:rsidRPr="00D70A6C">
        <w:rPr>
          <w:rFonts w:eastAsiaTheme="minorEastAsia"/>
          <w:kern w:val="22"/>
          <w:sz w:val="24"/>
          <w:szCs w:val="24"/>
          <w:lang w:eastAsia="zh-CN"/>
        </w:rPr>
        <w:t>年可持续发展议程》在营造解决生物多样性丧失驱动因素的有利环境中的作用；</w:t>
      </w:r>
    </w:p>
    <w:p w:rsidR="00B41940" w:rsidRPr="00D70A6C" w:rsidRDefault="00B41940" w:rsidP="00615E7F">
      <w:pPr>
        <w:pStyle w:val="Para1"/>
        <w:numPr>
          <w:ilvl w:val="0"/>
          <w:numId w:val="273"/>
        </w:numPr>
        <w:suppressLineNumbers/>
        <w:suppressAutoHyphens/>
        <w:kinsoku w:val="0"/>
        <w:overflowPunct w:val="0"/>
        <w:autoSpaceDE w:val="0"/>
        <w:autoSpaceDN w:val="0"/>
        <w:spacing w:before="0"/>
        <w:ind w:left="2160"/>
        <w:rPr>
          <w:rFonts w:eastAsiaTheme="minorEastAsia"/>
          <w:kern w:val="22"/>
          <w:sz w:val="24"/>
          <w:szCs w:val="24"/>
          <w:lang w:eastAsia="zh-CN"/>
        </w:rPr>
      </w:pPr>
      <w:r w:rsidRPr="00D70A6C">
        <w:rPr>
          <w:rFonts w:eastAsiaTheme="minorEastAsia"/>
          <w:kern w:val="22"/>
          <w:sz w:val="24"/>
          <w:szCs w:val="24"/>
          <w:lang w:eastAsia="zh-CN"/>
        </w:rPr>
        <w:t>执行《公约》</w:t>
      </w:r>
      <w:r>
        <w:rPr>
          <w:rFonts w:eastAsiaTheme="minorEastAsia" w:hint="eastAsia"/>
          <w:kern w:val="22"/>
          <w:sz w:val="24"/>
          <w:szCs w:val="24"/>
          <w:lang w:eastAsia="zh-CN"/>
        </w:rPr>
        <w:t>、</w:t>
      </w:r>
      <w:r w:rsidRPr="00D70A6C">
        <w:rPr>
          <w:rFonts w:eastAsiaTheme="minorEastAsia"/>
          <w:kern w:val="22"/>
          <w:sz w:val="24"/>
          <w:szCs w:val="24"/>
          <w:lang w:eastAsia="zh-CN"/>
        </w:rPr>
        <w:t>其</w:t>
      </w:r>
      <w:r>
        <w:rPr>
          <w:rFonts w:eastAsiaTheme="minorEastAsia" w:hint="eastAsia"/>
          <w:kern w:val="22"/>
          <w:sz w:val="24"/>
          <w:szCs w:val="24"/>
          <w:lang w:eastAsia="zh-CN"/>
        </w:rPr>
        <w:t>各项</w:t>
      </w:r>
      <w:r w:rsidRPr="00D70A6C">
        <w:rPr>
          <w:rFonts w:eastAsiaTheme="minorEastAsia"/>
          <w:kern w:val="22"/>
          <w:sz w:val="24"/>
          <w:szCs w:val="24"/>
          <w:lang w:eastAsia="zh-CN"/>
        </w:rPr>
        <w:t>《议定书》</w:t>
      </w:r>
      <w:r>
        <w:rPr>
          <w:rFonts w:eastAsiaTheme="minorEastAsia" w:hint="eastAsia"/>
          <w:kern w:val="22"/>
          <w:sz w:val="24"/>
          <w:szCs w:val="24"/>
          <w:lang w:eastAsia="zh-CN"/>
        </w:rPr>
        <w:t>以及</w:t>
      </w:r>
      <w:r w:rsidRPr="00D70A6C">
        <w:rPr>
          <w:rFonts w:eastAsiaTheme="minorEastAsia"/>
          <w:kern w:val="22"/>
          <w:sz w:val="24"/>
          <w:szCs w:val="24"/>
          <w:lang w:eastAsia="zh-CN"/>
        </w:rPr>
        <w:t>《</w:t>
      </w:r>
      <w:r w:rsidRPr="00D70A6C">
        <w:rPr>
          <w:rFonts w:eastAsiaTheme="minorEastAsia"/>
          <w:kern w:val="22"/>
          <w:sz w:val="24"/>
          <w:szCs w:val="24"/>
          <w:lang w:eastAsia="zh-CN"/>
        </w:rPr>
        <w:t>2011-2020</w:t>
      </w:r>
      <w:r w:rsidRPr="00D70A6C">
        <w:rPr>
          <w:rFonts w:eastAsiaTheme="minorEastAsia"/>
          <w:kern w:val="22"/>
          <w:sz w:val="24"/>
          <w:szCs w:val="24"/>
          <w:lang w:eastAsia="zh-CN"/>
        </w:rPr>
        <w:t>年生物多样性战略计划》的经验教训，包括成功之处、挑战、机会和能力建设需求；</w:t>
      </w:r>
    </w:p>
    <w:p w:rsidR="00B41940" w:rsidRPr="00D70A6C" w:rsidRDefault="00B41940" w:rsidP="00615E7F">
      <w:pPr>
        <w:pStyle w:val="Para1"/>
        <w:numPr>
          <w:ilvl w:val="0"/>
          <w:numId w:val="273"/>
        </w:numPr>
        <w:suppressLineNumbers/>
        <w:suppressAutoHyphens/>
        <w:kinsoku w:val="0"/>
        <w:overflowPunct w:val="0"/>
        <w:autoSpaceDE w:val="0"/>
        <w:autoSpaceDN w:val="0"/>
        <w:spacing w:before="0"/>
        <w:ind w:left="2160"/>
        <w:rPr>
          <w:rFonts w:eastAsiaTheme="minorEastAsia"/>
          <w:kern w:val="22"/>
          <w:sz w:val="24"/>
          <w:szCs w:val="24"/>
          <w:lang w:eastAsia="zh-CN"/>
        </w:rPr>
      </w:pPr>
      <w:r w:rsidRPr="00D70A6C">
        <w:rPr>
          <w:rFonts w:eastAsiaTheme="minorEastAsia"/>
          <w:kern w:val="22"/>
          <w:sz w:val="24"/>
          <w:szCs w:val="24"/>
          <w:lang w:eastAsia="zh-CN"/>
        </w:rPr>
        <w:lastRenderedPageBreak/>
        <w:t>实现爱知生物多样性指标方面进展程度不一的可能原因；</w:t>
      </w:r>
    </w:p>
    <w:p w:rsidR="00B41940" w:rsidRPr="00D70A6C" w:rsidRDefault="00B41940" w:rsidP="00615E7F">
      <w:pPr>
        <w:pStyle w:val="Para1"/>
        <w:numPr>
          <w:ilvl w:val="0"/>
          <w:numId w:val="273"/>
        </w:numPr>
        <w:suppressLineNumbers/>
        <w:suppressAutoHyphens/>
        <w:kinsoku w:val="0"/>
        <w:overflowPunct w:val="0"/>
        <w:autoSpaceDE w:val="0"/>
        <w:autoSpaceDN w:val="0"/>
        <w:spacing w:before="0"/>
        <w:ind w:left="2160"/>
        <w:rPr>
          <w:rFonts w:eastAsiaTheme="minorEastAsia"/>
          <w:kern w:val="22"/>
          <w:sz w:val="24"/>
          <w:szCs w:val="24"/>
          <w:lang w:eastAsia="zh-CN"/>
        </w:rPr>
      </w:pPr>
      <w:r w:rsidRPr="00D70A6C">
        <w:rPr>
          <w:rFonts w:eastAsiaTheme="minorEastAsia"/>
          <w:kern w:val="22"/>
          <w:sz w:val="24"/>
          <w:szCs w:val="24"/>
          <w:lang w:eastAsia="zh-CN"/>
        </w:rPr>
        <w:t>能够利用实现</w:t>
      </w:r>
      <w:r>
        <w:rPr>
          <w:rFonts w:eastAsiaTheme="minorEastAsia" w:hint="eastAsia"/>
          <w:kern w:val="22"/>
          <w:sz w:val="24"/>
          <w:szCs w:val="24"/>
          <w:lang w:eastAsia="zh-CN"/>
        </w:rPr>
        <w:t>《</w:t>
      </w:r>
      <w:r w:rsidRPr="00D70A6C">
        <w:rPr>
          <w:rFonts w:eastAsiaTheme="minorEastAsia"/>
          <w:kern w:val="22"/>
          <w:sz w:val="24"/>
          <w:szCs w:val="24"/>
          <w:lang w:eastAsia="zh-CN"/>
        </w:rPr>
        <w:t>2050</w:t>
      </w:r>
      <w:r w:rsidRPr="00D70A6C">
        <w:rPr>
          <w:rFonts w:eastAsiaTheme="minorEastAsia"/>
          <w:kern w:val="22"/>
          <w:sz w:val="24"/>
          <w:szCs w:val="24"/>
          <w:lang w:eastAsia="zh-CN"/>
        </w:rPr>
        <w:t>年生物多样性愿景</w:t>
      </w:r>
      <w:r>
        <w:rPr>
          <w:rFonts w:eastAsiaTheme="minorEastAsia" w:hint="eastAsia"/>
          <w:kern w:val="22"/>
          <w:sz w:val="24"/>
          <w:szCs w:val="24"/>
          <w:lang w:eastAsia="zh-CN"/>
        </w:rPr>
        <w:t>》</w:t>
      </w:r>
      <w:r w:rsidRPr="00D70A6C">
        <w:rPr>
          <w:rFonts w:eastAsiaTheme="minorEastAsia"/>
          <w:kern w:val="22"/>
          <w:sz w:val="24"/>
          <w:szCs w:val="24"/>
          <w:lang w:eastAsia="zh-CN"/>
        </w:rPr>
        <w:t>所需</w:t>
      </w:r>
      <w:r>
        <w:rPr>
          <w:rFonts w:eastAsiaTheme="minorEastAsia" w:hint="eastAsia"/>
          <w:kern w:val="22"/>
          <w:sz w:val="24"/>
          <w:szCs w:val="24"/>
          <w:lang w:eastAsia="zh-CN"/>
        </w:rPr>
        <w:t>要</w:t>
      </w:r>
      <w:r w:rsidRPr="00D70A6C">
        <w:rPr>
          <w:rFonts w:eastAsiaTheme="minorEastAsia"/>
          <w:kern w:val="22"/>
          <w:sz w:val="24"/>
          <w:szCs w:val="24"/>
          <w:lang w:eastAsia="zh-CN"/>
        </w:rPr>
        <w:t>的转型变革以及为执行《</w:t>
      </w:r>
      <w:r w:rsidRPr="00D70A6C">
        <w:rPr>
          <w:rFonts w:eastAsiaTheme="minorEastAsia"/>
          <w:kern w:val="22"/>
          <w:sz w:val="24"/>
          <w:szCs w:val="24"/>
          <w:lang w:eastAsia="zh-CN"/>
        </w:rPr>
        <w:t>2030</w:t>
      </w:r>
      <w:r w:rsidRPr="00D70A6C">
        <w:rPr>
          <w:rFonts w:eastAsiaTheme="minorEastAsia"/>
          <w:kern w:val="22"/>
          <w:sz w:val="24"/>
          <w:szCs w:val="24"/>
          <w:lang w:eastAsia="zh-CN"/>
        </w:rPr>
        <w:t>年可持续发展议程》作出贡献的《公约》下的政策选择和建议；</w:t>
      </w:r>
    </w:p>
    <w:p w:rsidR="00B41940" w:rsidRPr="00D70A6C" w:rsidRDefault="00B41940" w:rsidP="00615E7F">
      <w:pPr>
        <w:pStyle w:val="Para1"/>
        <w:numPr>
          <w:ilvl w:val="0"/>
          <w:numId w:val="273"/>
        </w:numPr>
        <w:suppressLineNumbers/>
        <w:suppressAutoHyphens/>
        <w:kinsoku w:val="0"/>
        <w:overflowPunct w:val="0"/>
        <w:autoSpaceDE w:val="0"/>
        <w:autoSpaceDN w:val="0"/>
        <w:spacing w:before="0"/>
        <w:ind w:left="2160"/>
        <w:rPr>
          <w:rFonts w:eastAsiaTheme="minorEastAsia"/>
          <w:kern w:val="22"/>
          <w:sz w:val="24"/>
          <w:szCs w:val="24"/>
          <w:lang w:eastAsia="zh-CN"/>
        </w:rPr>
      </w:pPr>
      <w:r w:rsidRPr="00D70A6C">
        <w:rPr>
          <w:rFonts w:eastAsiaTheme="minorEastAsia"/>
          <w:kern w:val="22"/>
          <w:sz w:val="24"/>
          <w:szCs w:val="24"/>
          <w:lang w:eastAsia="zh-CN"/>
        </w:rPr>
        <w:t>其他生物多样性相关公约，其他里约公约以及其他相关的国际公约和协定如何能够促进</w:t>
      </w:r>
      <w:r w:rsidRPr="00D70A6C">
        <w:rPr>
          <w:rFonts w:eastAsiaTheme="minorEastAsia"/>
          <w:kern w:val="22"/>
          <w:sz w:val="24"/>
          <w:szCs w:val="24"/>
          <w:lang w:eastAsia="zh-CN"/>
        </w:rPr>
        <w:t>2020</w:t>
      </w:r>
      <w:r w:rsidRPr="00D70A6C">
        <w:rPr>
          <w:rFonts w:eastAsiaTheme="minorEastAsia"/>
          <w:kern w:val="22"/>
          <w:sz w:val="24"/>
          <w:szCs w:val="24"/>
          <w:lang w:eastAsia="zh-CN"/>
        </w:rPr>
        <w:t>年后全球生物多样性框架和</w:t>
      </w:r>
      <w:r>
        <w:rPr>
          <w:rFonts w:eastAsiaTheme="minorEastAsia" w:hint="eastAsia"/>
          <w:kern w:val="22"/>
          <w:sz w:val="24"/>
          <w:szCs w:val="24"/>
          <w:lang w:eastAsia="zh-CN"/>
        </w:rPr>
        <w:t>《</w:t>
      </w:r>
      <w:r w:rsidRPr="00D70A6C">
        <w:rPr>
          <w:rFonts w:eastAsiaTheme="minorEastAsia"/>
          <w:kern w:val="22"/>
          <w:sz w:val="24"/>
          <w:szCs w:val="24"/>
          <w:lang w:eastAsia="zh-CN"/>
        </w:rPr>
        <w:t>2050</w:t>
      </w:r>
      <w:r w:rsidRPr="00D70A6C">
        <w:rPr>
          <w:rFonts w:eastAsiaTheme="minorEastAsia"/>
          <w:kern w:val="22"/>
          <w:sz w:val="24"/>
          <w:szCs w:val="24"/>
          <w:lang w:eastAsia="zh-CN"/>
        </w:rPr>
        <w:t>年生物多样性愿景</w:t>
      </w:r>
      <w:r>
        <w:rPr>
          <w:rFonts w:eastAsiaTheme="minorEastAsia" w:hint="eastAsia"/>
          <w:kern w:val="22"/>
          <w:sz w:val="24"/>
          <w:szCs w:val="24"/>
          <w:lang w:eastAsia="zh-CN"/>
        </w:rPr>
        <w:t>》</w:t>
      </w:r>
      <w:r w:rsidRPr="00D70A6C">
        <w:rPr>
          <w:rFonts w:eastAsiaTheme="minorEastAsia"/>
          <w:kern w:val="22"/>
          <w:sz w:val="24"/>
          <w:szCs w:val="24"/>
          <w:lang w:eastAsia="zh-CN"/>
        </w:rPr>
        <w:t>；</w:t>
      </w:r>
    </w:p>
    <w:p w:rsidR="00B41940" w:rsidRPr="00313192" w:rsidRDefault="00B41940" w:rsidP="00615E7F">
      <w:pPr>
        <w:pStyle w:val="Para1"/>
        <w:numPr>
          <w:ilvl w:val="0"/>
          <w:numId w:val="273"/>
        </w:numPr>
        <w:suppressLineNumbers/>
        <w:suppressAutoHyphens/>
        <w:kinsoku w:val="0"/>
        <w:overflowPunct w:val="0"/>
        <w:autoSpaceDE w:val="0"/>
        <w:autoSpaceDN w:val="0"/>
        <w:spacing w:before="0"/>
        <w:ind w:left="2160"/>
        <w:rPr>
          <w:rFonts w:eastAsiaTheme="minorEastAsia"/>
          <w:spacing w:val="-20"/>
          <w:kern w:val="22"/>
          <w:sz w:val="24"/>
          <w:szCs w:val="24"/>
          <w:lang w:eastAsia="zh-CN"/>
        </w:rPr>
      </w:pPr>
      <w:r w:rsidRPr="00313192">
        <w:rPr>
          <w:rFonts w:eastAsiaTheme="minorEastAsia"/>
          <w:spacing w:val="-20"/>
          <w:kern w:val="22"/>
          <w:sz w:val="24"/>
          <w:szCs w:val="24"/>
          <w:lang w:eastAsia="zh-CN"/>
        </w:rPr>
        <w:t>土著人民和地方社区的传统知识和其他信息，如《</w:t>
      </w:r>
      <w:r w:rsidRPr="00313192">
        <w:rPr>
          <w:rFonts w:ascii="KaiTi" w:eastAsia="KaiTi" w:hAnsi="KaiTi"/>
          <w:spacing w:val="-20"/>
          <w:kern w:val="22"/>
          <w:sz w:val="24"/>
          <w:szCs w:val="24"/>
          <w:lang w:eastAsia="zh-CN"/>
        </w:rPr>
        <w:t>地方生物多样性展望</w:t>
      </w:r>
      <w:r w:rsidRPr="00313192">
        <w:rPr>
          <w:rFonts w:eastAsiaTheme="minorEastAsia"/>
          <w:spacing w:val="-20"/>
          <w:kern w:val="22"/>
          <w:sz w:val="24"/>
          <w:szCs w:val="24"/>
          <w:lang w:eastAsia="zh-CN"/>
        </w:rPr>
        <w:t>》。</w:t>
      </w:r>
    </w:p>
    <w:p w:rsidR="00B41940" w:rsidRPr="006753C2" w:rsidRDefault="00B41940" w:rsidP="00B41940">
      <w:pPr>
        <w:pStyle w:val="Heading2"/>
        <w:keepNext w:val="0"/>
        <w:suppressLineNumbers/>
        <w:suppressAutoHyphens/>
        <w:ind w:firstLine="0"/>
        <w:rPr>
          <w:i/>
          <w:snapToGrid w:val="0"/>
          <w:color w:val="212121"/>
          <w:sz w:val="24"/>
          <w:shd w:val="clear" w:color="auto" w:fill="FFFFFF"/>
        </w:rPr>
      </w:pPr>
      <w:bookmarkStart w:id="239" w:name="_Toc6243801"/>
      <w:r w:rsidRPr="006753C2">
        <w:rPr>
          <w:snapToGrid w:val="0"/>
          <w:color w:val="212121"/>
          <w:sz w:val="24"/>
          <w:shd w:val="clear" w:color="auto" w:fill="FFFFFF"/>
        </w:rPr>
        <w:t>F.</w:t>
      </w:r>
      <w:r w:rsidRPr="006753C2">
        <w:rPr>
          <w:rFonts w:hint="eastAsia"/>
          <w:snapToGrid w:val="0"/>
          <w:color w:val="212121"/>
          <w:sz w:val="24"/>
          <w:shd w:val="clear" w:color="auto" w:fill="FFFFFF"/>
        </w:rPr>
        <w:tab/>
        <w:t xml:space="preserve">  </w:t>
      </w:r>
      <w:r w:rsidRPr="006753C2">
        <w:rPr>
          <w:rFonts w:hint="eastAsia"/>
          <w:snapToGrid w:val="0"/>
          <w:color w:val="212121"/>
          <w:sz w:val="24"/>
          <w:shd w:val="clear" w:color="auto" w:fill="FFFFFF"/>
        </w:rPr>
        <w:t>传播和外联</w:t>
      </w:r>
      <w:bookmarkEnd w:id="239"/>
    </w:p>
    <w:p w:rsidR="00B41940" w:rsidRPr="00E562B4" w:rsidRDefault="00B41940" w:rsidP="00615E7F">
      <w:pPr>
        <w:pStyle w:val="ListParagraph"/>
        <w:widowControl w:val="0"/>
        <w:numPr>
          <w:ilvl w:val="0"/>
          <w:numId w:val="271"/>
        </w:numPr>
        <w:adjustRightInd w:val="0"/>
        <w:snapToGrid w:val="0"/>
        <w:ind w:left="0" w:firstLine="0"/>
        <w:rPr>
          <w:rFonts w:ascii="SimSun" w:hAnsi="SimSun" w:cs="SimSun"/>
          <w:kern w:val="22"/>
          <w:lang w:eastAsia="zh-CN"/>
        </w:rPr>
      </w:pPr>
      <w:r w:rsidRPr="00AD79F1">
        <w:rPr>
          <w:rFonts w:ascii="SimSun" w:hAnsi="SimSun" w:cs="SimSun" w:hint="eastAsia"/>
          <w:kern w:val="22"/>
          <w:lang w:eastAsia="zh-CN"/>
        </w:rPr>
        <w:t>在制定</w:t>
      </w:r>
      <w:r w:rsidRPr="00AD79F1">
        <w:rPr>
          <w:kern w:val="22"/>
          <w:lang w:eastAsia="zh-CN"/>
        </w:rPr>
        <w:t>2020</w:t>
      </w:r>
      <w:r w:rsidRPr="00AD79F1">
        <w:rPr>
          <w:rFonts w:ascii="SimSun" w:hAnsi="SimSun" w:cs="SimSun" w:hint="eastAsia"/>
          <w:kern w:val="22"/>
          <w:lang w:eastAsia="zh-CN"/>
        </w:rPr>
        <w:t>年后全球生物多样性框架的进程</w:t>
      </w:r>
      <w:r>
        <w:rPr>
          <w:rFonts w:ascii="SimSun" w:hAnsi="SimSun" w:cs="SimSun" w:hint="eastAsia"/>
          <w:kern w:val="22"/>
          <w:lang w:eastAsia="zh-CN"/>
        </w:rPr>
        <w:t>中</w:t>
      </w:r>
      <w:r w:rsidRPr="00AD79F1">
        <w:rPr>
          <w:rFonts w:ascii="SimSun" w:hAnsi="SimSun" w:cs="SimSun" w:hint="eastAsia"/>
          <w:kern w:val="22"/>
          <w:lang w:eastAsia="zh-CN"/>
        </w:rPr>
        <w:t>，秘书处将在</w:t>
      </w:r>
      <w:r>
        <w:rPr>
          <w:rFonts w:ascii="SimSun" w:hAnsi="SimSun" w:cs="SimSun" w:hint="eastAsia"/>
          <w:kern w:val="22"/>
          <w:lang w:eastAsia="zh-CN"/>
        </w:rPr>
        <w:t>主要</w:t>
      </w:r>
      <w:r w:rsidRPr="00AD79F1">
        <w:rPr>
          <w:rFonts w:ascii="SimSun" w:hAnsi="SimSun" w:cs="SimSun" w:hint="eastAsia"/>
          <w:kern w:val="22"/>
          <w:lang w:eastAsia="zh-CN"/>
        </w:rPr>
        <w:t>战略会议上促进所有相关群体和利益攸关方的高级</w:t>
      </w:r>
      <w:r>
        <w:rPr>
          <w:rFonts w:ascii="SimSun" w:hAnsi="SimSun" w:cs="SimSun" w:hint="eastAsia"/>
          <w:kern w:val="22"/>
          <w:lang w:eastAsia="zh-CN"/>
        </w:rPr>
        <w:t>别</w:t>
      </w:r>
      <w:r w:rsidRPr="00AD79F1">
        <w:rPr>
          <w:rFonts w:ascii="SimSun" w:hAnsi="SimSun" w:cs="SimSun" w:hint="eastAsia"/>
          <w:kern w:val="22"/>
          <w:lang w:eastAsia="zh-CN"/>
        </w:rPr>
        <w:t>政治</w:t>
      </w:r>
      <w:r>
        <w:rPr>
          <w:rFonts w:ascii="SimSun" w:hAnsi="SimSun" w:cs="SimSun" w:hint="eastAsia"/>
          <w:kern w:val="22"/>
          <w:lang w:eastAsia="zh-CN"/>
        </w:rPr>
        <w:t>参与</w:t>
      </w:r>
      <w:r w:rsidRPr="00AD79F1">
        <w:rPr>
          <w:rFonts w:ascii="SimSun" w:hAnsi="SimSun" w:cs="SimSun" w:hint="eastAsia"/>
          <w:kern w:val="22"/>
          <w:lang w:eastAsia="zh-CN"/>
        </w:rPr>
        <w:t>，包括提高</w:t>
      </w:r>
      <w:r w:rsidRPr="00E562B4">
        <w:rPr>
          <w:rFonts w:ascii="SimSun" w:hAnsi="SimSun" w:cs="SimSun" w:hint="eastAsia"/>
          <w:kern w:val="22"/>
          <w:lang w:eastAsia="zh-CN"/>
        </w:rPr>
        <w:t>各方</w:t>
      </w:r>
      <w:r w:rsidRPr="00AD79F1">
        <w:rPr>
          <w:rFonts w:ascii="SimSun" w:hAnsi="SimSun" w:cs="SimSun" w:hint="eastAsia"/>
          <w:kern w:val="22"/>
          <w:lang w:eastAsia="zh-CN"/>
        </w:rPr>
        <w:t>对</w:t>
      </w:r>
      <w:r w:rsidRPr="00860B12">
        <w:rPr>
          <w:kern w:val="22"/>
          <w:lang w:eastAsia="zh-CN"/>
        </w:rPr>
        <w:t>2020</w:t>
      </w:r>
      <w:r w:rsidRPr="00AD79F1">
        <w:rPr>
          <w:rFonts w:ascii="SimSun" w:hAnsi="SimSun" w:cs="SimSun" w:hint="eastAsia"/>
          <w:kern w:val="22"/>
          <w:lang w:eastAsia="zh-CN"/>
        </w:rPr>
        <w:t>年后进程以及</w:t>
      </w:r>
      <w:r w:rsidRPr="00E562B4">
        <w:rPr>
          <w:rFonts w:ascii="SimSun" w:hAnsi="SimSun" w:cs="SimSun" w:hint="eastAsia"/>
          <w:kern w:val="22"/>
          <w:lang w:eastAsia="zh-CN"/>
        </w:rPr>
        <w:t>更广泛的</w:t>
      </w:r>
      <w:r>
        <w:rPr>
          <w:rFonts w:ascii="SimSun" w:hAnsi="SimSun" w:cs="SimSun" w:hint="eastAsia"/>
          <w:kern w:val="22"/>
          <w:lang w:eastAsia="zh-CN"/>
        </w:rPr>
        <w:t>《</w:t>
      </w:r>
      <w:r w:rsidRPr="00AD79F1">
        <w:rPr>
          <w:rFonts w:ascii="SimSun" w:hAnsi="SimSun" w:cs="SimSun" w:hint="eastAsia"/>
          <w:kern w:val="22"/>
          <w:lang w:eastAsia="zh-CN"/>
        </w:rPr>
        <w:t>公约</w:t>
      </w:r>
      <w:r>
        <w:rPr>
          <w:rFonts w:ascii="SimSun" w:hAnsi="SimSun" w:cs="SimSun" w:hint="eastAsia"/>
          <w:kern w:val="22"/>
          <w:lang w:eastAsia="zh-CN"/>
        </w:rPr>
        <w:t>》</w:t>
      </w:r>
      <w:r w:rsidRPr="00AD79F1">
        <w:rPr>
          <w:rFonts w:ascii="SimSun" w:hAnsi="SimSun" w:cs="SimSun" w:hint="eastAsia"/>
          <w:kern w:val="22"/>
          <w:lang w:eastAsia="zh-CN"/>
        </w:rPr>
        <w:t>和生物多样性</w:t>
      </w:r>
      <w:r>
        <w:rPr>
          <w:rFonts w:ascii="SimSun" w:hAnsi="SimSun" w:cs="SimSun" w:hint="eastAsia"/>
          <w:kern w:val="22"/>
          <w:lang w:eastAsia="zh-CN"/>
        </w:rPr>
        <w:t>的</w:t>
      </w:r>
      <w:r w:rsidRPr="00E562B4">
        <w:rPr>
          <w:rFonts w:ascii="SimSun" w:hAnsi="SimSun" w:cs="SimSun" w:hint="eastAsia"/>
          <w:kern w:val="22"/>
          <w:lang w:eastAsia="zh-CN"/>
        </w:rPr>
        <w:t>认识</w:t>
      </w:r>
      <w:r w:rsidRPr="00AD79F1">
        <w:rPr>
          <w:rFonts w:ascii="SimSun" w:hAnsi="SimSun" w:cs="SimSun" w:hint="eastAsia"/>
          <w:kern w:val="22"/>
          <w:lang w:eastAsia="zh-CN"/>
        </w:rPr>
        <w:t>。</w:t>
      </w:r>
    </w:p>
    <w:p w:rsidR="00B41940" w:rsidRPr="00860B12" w:rsidRDefault="00B41940" w:rsidP="00615E7F">
      <w:pPr>
        <w:pStyle w:val="ListParagraph"/>
        <w:widowControl w:val="0"/>
        <w:numPr>
          <w:ilvl w:val="0"/>
          <w:numId w:val="271"/>
        </w:numPr>
        <w:adjustRightInd w:val="0"/>
        <w:snapToGrid w:val="0"/>
        <w:ind w:left="0" w:firstLine="0"/>
        <w:rPr>
          <w:kern w:val="22"/>
          <w:szCs w:val="22"/>
          <w:lang w:eastAsia="zh-CN"/>
        </w:rPr>
      </w:pPr>
      <w:r w:rsidRPr="00860B12">
        <w:rPr>
          <w:rFonts w:hAnsi="SimSun"/>
          <w:kern w:val="22"/>
          <w:lang w:eastAsia="zh-CN"/>
        </w:rPr>
        <w:t>制定</w:t>
      </w:r>
      <w:r w:rsidRPr="00860B12">
        <w:rPr>
          <w:kern w:val="22"/>
          <w:lang w:eastAsia="zh-CN"/>
        </w:rPr>
        <w:t>2020</w:t>
      </w:r>
      <w:r w:rsidRPr="00860B12">
        <w:rPr>
          <w:rFonts w:hAnsi="SimSun"/>
          <w:kern w:val="22"/>
          <w:lang w:eastAsia="zh-CN"/>
        </w:rPr>
        <w:t>年后全球生物多样性框架进程</w:t>
      </w:r>
      <w:r>
        <w:rPr>
          <w:rFonts w:hAnsi="SimSun" w:hint="eastAsia"/>
          <w:kern w:val="22"/>
          <w:lang w:eastAsia="zh-CN"/>
        </w:rPr>
        <w:t>的</w:t>
      </w:r>
      <w:r>
        <w:rPr>
          <w:rFonts w:hAnsi="SimSun"/>
          <w:kern w:val="22"/>
          <w:lang w:eastAsia="zh-CN"/>
        </w:rPr>
        <w:t>落实</w:t>
      </w:r>
      <w:r w:rsidRPr="00860B12">
        <w:rPr>
          <w:rFonts w:hAnsi="SimSun"/>
          <w:kern w:val="22"/>
          <w:lang w:eastAsia="zh-CN"/>
        </w:rPr>
        <w:t>，将得到</w:t>
      </w:r>
      <w:r>
        <w:rPr>
          <w:rFonts w:hAnsi="SimSun" w:hint="eastAsia"/>
          <w:kern w:val="22"/>
          <w:lang w:eastAsia="zh-CN"/>
        </w:rPr>
        <w:t>协调一致</w:t>
      </w:r>
      <w:r w:rsidRPr="00860B12">
        <w:rPr>
          <w:rFonts w:hAnsi="SimSun"/>
          <w:kern w:val="22"/>
          <w:lang w:eastAsia="zh-CN"/>
        </w:rPr>
        <w:t>、全面和</w:t>
      </w:r>
      <w:r>
        <w:rPr>
          <w:rFonts w:hAnsi="SimSun" w:hint="eastAsia"/>
          <w:kern w:val="22"/>
          <w:lang w:eastAsia="zh-CN"/>
        </w:rPr>
        <w:t>创新性</w:t>
      </w:r>
      <w:r w:rsidRPr="00860B12">
        <w:rPr>
          <w:rFonts w:hAnsi="SimSun"/>
          <w:kern w:val="22"/>
          <w:lang w:eastAsia="zh-CN"/>
        </w:rPr>
        <w:t>传播战略的支持，其中将包含秘书处根据第</w:t>
      </w:r>
      <w:r w:rsidRPr="00860B12">
        <w:rPr>
          <w:kern w:val="22"/>
          <w:lang w:eastAsia="zh-CN"/>
        </w:rPr>
        <w:t>XIII/2</w:t>
      </w:r>
      <w:r w:rsidRPr="00860B12">
        <w:rPr>
          <w:rFonts w:hAnsi="SimSun"/>
          <w:kern w:val="22"/>
          <w:lang w:eastAsia="zh-CN"/>
        </w:rPr>
        <w:t>号和</w:t>
      </w:r>
      <w:r>
        <w:rPr>
          <w:rFonts w:hAnsi="SimSun"/>
          <w:kern w:val="22"/>
          <w:lang w:eastAsia="zh-CN"/>
        </w:rPr>
        <w:t>第</w:t>
      </w:r>
      <w:r>
        <w:rPr>
          <w:rFonts w:hAnsi="SimSun" w:hint="eastAsia"/>
          <w:kern w:val="22"/>
          <w:lang w:eastAsia="zh-CN"/>
        </w:rPr>
        <w:t>14</w:t>
      </w:r>
      <w:r w:rsidRPr="00860B12">
        <w:rPr>
          <w:kern w:val="22"/>
          <w:lang w:eastAsia="zh-CN"/>
        </w:rPr>
        <w:t>/</w:t>
      </w:r>
      <w:r w:rsidRPr="007B5399">
        <w:rPr>
          <w:kern w:val="22"/>
          <w:lang w:eastAsia="zh-CN"/>
        </w:rPr>
        <w:t>26</w:t>
      </w:r>
      <w:r>
        <w:rPr>
          <w:rFonts w:ascii="SimSun" w:hAnsi="SimSun"/>
          <w:kern w:val="22"/>
          <w:lang w:eastAsia="zh-CN"/>
        </w:rPr>
        <w:t>号</w:t>
      </w:r>
      <w:r w:rsidRPr="00860B12">
        <w:rPr>
          <w:rFonts w:hAnsi="SimSun"/>
          <w:kern w:val="22"/>
          <w:lang w:eastAsia="zh-CN"/>
        </w:rPr>
        <w:t>决定与其他组织合作开展的传播和外联行动。传播战略将提高对进程的认识，促进有效参与</w:t>
      </w:r>
      <w:r>
        <w:rPr>
          <w:rFonts w:hAnsi="SimSun" w:hint="eastAsia"/>
          <w:kern w:val="22"/>
          <w:lang w:eastAsia="zh-CN"/>
        </w:rPr>
        <w:t>和</w:t>
      </w:r>
      <w:r>
        <w:rPr>
          <w:rFonts w:hAnsi="SimSun"/>
          <w:kern w:val="22"/>
          <w:lang w:eastAsia="zh-CN"/>
        </w:rPr>
        <w:t>为执行工作造势</w:t>
      </w:r>
      <w:r w:rsidRPr="00860B12">
        <w:rPr>
          <w:rFonts w:hAnsi="SimSun"/>
          <w:kern w:val="22"/>
          <w:lang w:eastAsia="zh-CN"/>
        </w:rPr>
        <w:t>。将定期</w:t>
      </w:r>
      <w:r>
        <w:rPr>
          <w:rFonts w:hAnsi="SimSun" w:hint="eastAsia"/>
          <w:kern w:val="22"/>
          <w:lang w:eastAsia="zh-CN"/>
        </w:rPr>
        <w:t>公布</w:t>
      </w:r>
      <w:r w:rsidRPr="00860B12">
        <w:rPr>
          <w:rFonts w:hAnsi="SimSun"/>
          <w:kern w:val="22"/>
          <w:lang w:eastAsia="zh-CN"/>
        </w:rPr>
        <w:t>有关制定</w:t>
      </w:r>
      <w:r w:rsidRPr="00860B12">
        <w:rPr>
          <w:kern w:val="22"/>
          <w:lang w:eastAsia="zh-CN"/>
        </w:rPr>
        <w:t>2020</w:t>
      </w:r>
      <w:r w:rsidRPr="00860B12">
        <w:rPr>
          <w:rFonts w:hAnsi="SimSun"/>
          <w:kern w:val="22"/>
          <w:lang w:eastAsia="zh-CN"/>
        </w:rPr>
        <w:t>年后全球生物多样性框架的状况</w:t>
      </w:r>
      <w:r>
        <w:rPr>
          <w:rFonts w:hAnsi="SimSun" w:hint="eastAsia"/>
          <w:kern w:val="22"/>
          <w:lang w:eastAsia="zh-CN"/>
        </w:rPr>
        <w:t>和</w:t>
      </w:r>
      <w:r w:rsidRPr="00860B12">
        <w:rPr>
          <w:rFonts w:hAnsi="SimSun"/>
          <w:kern w:val="22"/>
          <w:lang w:eastAsia="zh-CN"/>
        </w:rPr>
        <w:t>内容的信息，包括通过《公约》的信息交换所机制和其他手段</w:t>
      </w:r>
      <w:r>
        <w:rPr>
          <w:rFonts w:hAnsi="SimSun" w:hint="eastAsia"/>
          <w:kern w:val="22"/>
          <w:lang w:eastAsia="zh-CN"/>
        </w:rPr>
        <w:t>予以</w:t>
      </w:r>
      <w:r>
        <w:rPr>
          <w:rFonts w:hAnsi="SimSun"/>
          <w:kern w:val="22"/>
          <w:lang w:eastAsia="zh-CN"/>
        </w:rPr>
        <w:t>提供</w:t>
      </w:r>
      <w:r w:rsidRPr="00860B12">
        <w:rPr>
          <w:rFonts w:hAnsi="SimSun"/>
          <w:kern w:val="22"/>
          <w:lang w:eastAsia="zh-CN"/>
        </w:rPr>
        <w:t>。</w:t>
      </w:r>
    </w:p>
    <w:p w:rsidR="00B41940" w:rsidRPr="00860B12" w:rsidRDefault="00B41940" w:rsidP="00615E7F">
      <w:pPr>
        <w:pStyle w:val="ListParagraph"/>
        <w:widowControl w:val="0"/>
        <w:numPr>
          <w:ilvl w:val="0"/>
          <w:numId w:val="271"/>
        </w:numPr>
        <w:adjustRightInd w:val="0"/>
        <w:snapToGrid w:val="0"/>
        <w:ind w:left="0" w:firstLine="0"/>
        <w:rPr>
          <w:kern w:val="22"/>
          <w:lang w:eastAsia="zh-CN"/>
        </w:rPr>
      </w:pPr>
      <w:r w:rsidRPr="00860B12">
        <w:rPr>
          <w:rFonts w:hAnsi="SimSun"/>
          <w:kern w:val="22"/>
          <w:lang w:eastAsia="zh-CN"/>
        </w:rPr>
        <w:t>将设立一高级别小组</w:t>
      </w:r>
      <w:r>
        <w:rPr>
          <w:rFonts w:hAnsi="SimSun" w:hint="eastAsia"/>
          <w:kern w:val="22"/>
          <w:lang w:eastAsia="zh-CN"/>
        </w:rPr>
        <w:t>以</w:t>
      </w:r>
      <w:r w:rsidRPr="00860B12">
        <w:rPr>
          <w:rFonts w:hAnsi="SimSun"/>
          <w:kern w:val="22"/>
          <w:lang w:eastAsia="zh-CN"/>
        </w:rPr>
        <w:t>提高对制定</w:t>
      </w:r>
      <w:r w:rsidRPr="00860B12">
        <w:rPr>
          <w:kern w:val="22"/>
          <w:lang w:eastAsia="zh-CN"/>
        </w:rPr>
        <w:t>2020</w:t>
      </w:r>
      <w:r w:rsidRPr="00860B12">
        <w:rPr>
          <w:rFonts w:hAnsi="SimSun"/>
          <w:kern w:val="22"/>
          <w:lang w:eastAsia="zh-CN"/>
        </w:rPr>
        <w:t>年后全球生物多样性框架进程的认识。</w:t>
      </w:r>
      <w:r>
        <w:rPr>
          <w:rFonts w:hAnsi="SimSun" w:hint="eastAsia"/>
          <w:kern w:val="22"/>
          <w:lang w:eastAsia="zh-CN"/>
        </w:rPr>
        <w:t>该</w:t>
      </w:r>
      <w:r w:rsidRPr="00860B12">
        <w:rPr>
          <w:rFonts w:hAnsi="SimSun"/>
          <w:kern w:val="22"/>
          <w:lang w:eastAsia="zh-CN"/>
        </w:rPr>
        <w:t>小组的任务包括促进和鼓励所有相关利益攸关方参与制定</w:t>
      </w:r>
      <w:r w:rsidRPr="00860B12">
        <w:rPr>
          <w:kern w:val="22"/>
          <w:lang w:eastAsia="zh-CN"/>
        </w:rPr>
        <w:t>2020</w:t>
      </w:r>
      <w:r w:rsidRPr="00860B12">
        <w:rPr>
          <w:rFonts w:hAnsi="SimSun"/>
          <w:kern w:val="22"/>
          <w:lang w:eastAsia="zh-CN"/>
        </w:rPr>
        <w:t>年后全球生物多样性框架并为</w:t>
      </w:r>
      <w:r>
        <w:rPr>
          <w:rFonts w:hAnsi="SimSun" w:hint="eastAsia"/>
          <w:kern w:val="22"/>
          <w:lang w:eastAsia="zh-CN"/>
        </w:rPr>
        <w:t>之</w:t>
      </w:r>
      <w:r w:rsidRPr="00860B12">
        <w:rPr>
          <w:rFonts w:hAnsi="SimSun"/>
          <w:kern w:val="22"/>
          <w:lang w:eastAsia="zh-CN"/>
        </w:rPr>
        <w:t>做出贡献，利用资源支持框架的制定，并与各部门联络和接触，包括土著人民和地方社区、民间社会和</w:t>
      </w:r>
      <w:r>
        <w:rPr>
          <w:rFonts w:hAnsi="SimSun" w:hint="eastAsia"/>
          <w:kern w:val="22"/>
          <w:lang w:eastAsia="zh-CN"/>
        </w:rPr>
        <w:t>企业界</w:t>
      </w:r>
      <w:r w:rsidRPr="00860B12">
        <w:rPr>
          <w:rFonts w:hAnsi="SimSun"/>
          <w:kern w:val="22"/>
          <w:lang w:eastAsia="zh-CN"/>
        </w:rPr>
        <w:t>。小组</w:t>
      </w:r>
      <w:r>
        <w:rPr>
          <w:rFonts w:hAnsi="SimSun" w:hint="eastAsia"/>
          <w:kern w:val="22"/>
          <w:lang w:eastAsia="zh-CN"/>
        </w:rPr>
        <w:t>内</w:t>
      </w:r>
      <w:r w:rsidRPr="00860B12">
        <w:rPr>
          <w:rFonts w:hAnsi="SimSun"/>
          <w:kern w:val="22"/>
          <w:lang w:eastAsia="zh-CN"/>
        </w:rPr>
        <w:t>将包括政治宣传家，以提高对制定</w:t>
      </w:r>
      <w:r w:rsidRPr="00860B12">
        <w:rPr>
          <w:kern w:val="22"/>
          <w:lang w:eastAsia="zh-CN"/>
        </w:rPr>
        <w:t>2020</w:t>
      </w:r>
      <w:r w:rsidRPr="00860B12">
        <w:rPr>
          <w:rFonts w:hAnsi="SimSun"/>
          <w:kern w:val="22"/>
          <w:lang w:eastAsia="zh-CN"/>
        </w:rPr>
        <w:t>年后全球生物多样性框架进程的认识</w:t>
      </w:r>
      <w:r>
        <w:rPr>
          <w:rFonts w:hint="eastAsia"/>
          <w:kern w:val="22"/>
          <w:lang w:eastAsia="zh-CN"/>
        </w:rPr>
        <w:t>。</w:t>
      </w:r>
    </w:p>
    <w:p w:rsidR="00B41940" w:rsidRPr="00FC2E36" w:rsidRDefault="00B41940" w:rsidP="00B41940">
      <w:pPr>
        <w:pStyle w:val="Heading2"/>
        <w:keepNext w:val="0"/>
        <w:suppressLineNumbers/>
        <w:suppressAutoHyphens/>
        <w:ind w:firstLine="0"/>
        <w:rPr>
          <w:rFonts w:ascii="Times New Roman Bold" w:hAnsi="Times New Roman Bold"/>
          <w:i/>
          <w:snapToGrid w:val="0"/>
          <w:sz w:val="24"/>
          <w:shd w:val="clear" w:color="auto" w:fill="FFFFFF"/>
        </w:rPr>
      </w:pPr>
      <w:bookmarkStart w:id="240" w:name="_Toc6243802"/>
      <w:r w:rsidRPr="00FC2E36">
        <w:rPr>
          <w:rFonts w:ascii="Times New Roman Bold" w:hAnsi="Times New Roman Bold"/>
          <w:snapToGrid w:val="0"/>
          <w:sz w:val="24"/>
          <w:shd w:val="clear" w:color="auto" w:fill="FFFFFF"/>
        </w:rPr>
        <w:t>G.</w:t>
      </w:r>
      <w:r w:rsidRPr="00FC2E36">
        <w:rPr>
          <w:rFonts w:ascii="Times New Roman Bold" w:hAnsi="Times New Roman Bold" w:hint="eastAsia"/>
          <w:snapToGrid w:val="0"/>
          <w:sz w:val="24"/>
          <w:shd w:val="clear" w:color="auto" w:fill="FFFFFF"/>
        </w:rPr>
        <w:t xml:space="preserve">    </w:t>
      </w:r>
      <w:r w:rsidRPr="00FC2E36">
        <w:rPr>
          <w:rFonts w:ascii="Times New Roman Bold" w:hAnsi="Times New Roman Bold"/>
          <w:snapToGrid w:val="0"/>
          <w:sz w:val="24"/>
          <w:shd w:val="clear" w:color="auto" w:fill="FFFFFF"/>
        </w:rPr>
        <w:t xml:space="preserve">  </w:t>
      </w:r>
      <w:r w:rsidRPr="00FC2E36">
        <w:rPr>
          <w:rFonts w:ascii="Times New Roman Bold" w:hAnsi="Times New Roman Bold"/>
          <w:snapToGrid w:val="0"/>
          <w:sz w:val="24"/>
          <w:shd w:val="clear" w:color="auto" w:fill="FFFFFF"/>
        </w:rPr>
        <w:t>资源和后勤需求</w:t>
      </w:r>
      <w:bookmarkEnd w:id="240"/>
    </w:p>
    <w:p w:rsidR="00B41940" w:rsidRPr="00A57E2A" w:rsidRDefault="00B41940" w:rsidP="00615E7F">
      <w:pPr>
        <w:pStyle w:val="ListParagraph"/>
        <w:widowControl w:val="0"/>
        <w:numPr>
          <w:ilvl w:val="0"/>
          <w:numId w:val="271"/>
        </w:numPr>
        <w:adjustRightInd w:val="0"/>
        <w:snapToGrid w:val="0"/>
        <w:ind w:left="0" w:firstLine="0"/>
        <w:rPr>
          <w:kern w:val="22"/>
          <w:szCs w:val="22"/>
          <w:lang w:eastAsia="zh-CN"/>
        </w:rPr>
      </w:pPr>
      <w:r w:rsidRPr="00A57E2A">
        <w:rPr>
          <w:rFonts w:hAnsi="SimSun"/>
          <w:kern w:val="22"/>
          <w:lang w:eastAsia="zh-CN"/>
        </w:rPr>
        <w:t>秘书处将支持</w:t>
      </w:r>
      <w:r w:rsidRPr="00A57E2A">
        <w:rPr>
          <w:kern w:val="22"/>
          <w:lang w:eastAsia="zh-CN"/>
        </w:rPr>
        <w:t>2020</w:t>
      </w:r>
      <w:r w:rsidRPr="00A57E2A">
        <w:rPr>
          <w:rFonts w:hAnsi="SimSun"/>
          <w:kern w:val="22"/>
          <w:lang w:eastAsia="zh-CN"/>
        </w:rPr>
        <w:t>年后全球生物多样性框架的制定进程。因此，秘书处可能需要重新调整其部分能力的侧重点，以支持</w:t>
      </w:r>
      <w:r w:rsidRPr="00A57E2A">
        <w:rPr>
          <w:kern w:val="22"/>
          <w:lang w:eastAsia="zh-CN"/>
        </w:rPr>
        <w:t>2020</w:t>
      </w:r>
      <w:r w:rsidRPr="00A57E2A">
        <w:rPr>
          <w:rFonts w:hAnsi="SimSun"/>
          <w:kern w:val="22"/>
          <w:lang w:eastAsia="zh-CN"/>
        </w:rPr>
        <w:t>年后进程。</w:t>
      </w:r>
      <w:r>
        <w:rPr>
          <w:rFonts w:hAnsi="SimSun" w:hint="eastAsia"/>
          <w:kern w:val="22"/>
          <w:lang w:eastAsia="zh-CN"/>
        </w:rPr>
        <w:t>将</w:t>
      </w:r>
      <w:r w:rsidRPr="00A57E2A">
        <w:rPr>
          <w:rFonts w:hAnsi="SimSun"/>
          <w:kern w:val="22"/>
          <w:lang w:eastAsia="zh-CN"/>
        </w:rPr>
        <w:t>根据</w:t>
      </w:r>
      <w:r>
        <w:rPr>
          <w:rFonts w:hAnsi="SimSun" w:hint="eastAsia"/>
          <w:kern w:val="22"/>
          <w:lang w:eastAsia="zh-CN"/>
        </w:rPr>
        <w:t>第</w:t>
      </w:r>
      <w:r>
        <w:rPr>
          <w:rFonts w:hAnsi="SimSun" w:hint="eastAsia"/>
          <w:kern w:val="22"/>
          <w:lang w:eastAsia="zh-CN"/>
        </w:rPr>
        <w:t>14</w:t>
      </w:r>
      <w:r w:rsidRPr="00A57E2A">
        <w:rPr>
          <w:kern w:val="22"/>
          <w:lang w:eastAsia="zh-CN"/>
        </w:rPr>
        <w:t>/</w:t>
      </w:r>
      <w:r>
        <w:rPr>
          <w:kern w:val="22"/>
          <w:lang w:eastAsia="zh-CN"/>
        </w:rPr>
        <w:t>37</w:t>
      </w:r>
      <w:r>
        <w:rPr>
          <w:rFonts w:hint="eastAsia"/>
          <w:kern w:val="22"/>
          <w:lang w:eastAsia="zh-CN"/>
        </w:rPr>
        <w:t>号决定</w:t>
      </w:r>
      <w:r w:rsidRPr="00A57E2A">
        <w:rPr>
          <w:rFonts w:hAnsi="SimSun"/>
          <w:kern w:val="22"/>
          <w:lang w:eastAsia="zh-CN"/>
        </w:rPr>
        <w:t>，将向秘书处提供财政手段。</w:t>
      </w:r>
    </w:p>
    <w:p w:rsidR="00B41940" w:rsidRPr="00BE3222" w:rsidRDefault="00B41940" w:rsidP="00B41940">
      <w:pPr>
        <w:jc w:val="center"/>
        <w:rPr>
          <w:kern w:val="22"/>
          <w:lang w:eastAsia="zh-CN"/>
        </w:rPr>
      </w:pPr>
      <w:r w:rsidRPr="00BE3222">
        <w:rPr>
          <w:kern w:val="22"/>
          <w:lang w:eastAsia="zh-CN"/>
        </w:rPr>
        <w:t xml:space="preserve"> </w:t>
      </w:r>
    </w:p>
    <w:p w:rsidR="001F1AAC" w:rsidRPr="00E40630" w:rsidRDefault="001F1AAC" w:rsidP="00B41940">
      <w:pPr>
        <w:ind w:firstLine="0"/>
        <w:jc w:val="center"/>
        <w:rPr>
          <w:kern w:val="22"/>
          <w:lang w:eastAsia="zh-CN"/>
        </w:rPr>
      </w:pPr>
      <w:r w:rsidRPr="00E40630">
        <w:rPr>
          <w:kern w:val="22"/>
          <w:lang w:eastAsia="zh-CN"/>
        </w:rPr>
        <w:t xml:space="preserve"> </w:t>
      </w:r>
      <w:r>
        <w:rPr>
          <w:kern w:val="22"/>
          <w:lang w:eastAsia="zh-CN"/>
        </w:rPr>
        <w:t xml:space="preserve"> </w:t>
      </w:r>
    </w:p>
    <w:p w:rsidR="00B72FA3" w:rsidRPr="00B72FA3" w:rsidRDefault="00B72FA3" w:rsidP="00B72FA3">
      <w:pPr>
        <w:pStyle w:val="Heading1"/>
        <w:spacing w:before="120" w:after="120"/>
        <w:rPr>
          <w:rFonts w:eastAsiaTheme="minorEastAsia" w:cs="Times New Roman"/>
          <w:noProof/>
          <w:kern w:val="22"/>
          <w:sz w:val="24"/>
          <w:lang w:eastAsia="zh-CN"/>
        </w:rPr>
      </w:pPr>
      <w:bookmarkStart w:id="241" w:name="_Toc6243803"/>
      <w:r w:rsidRPr="00B72FA3">
        <w:rPr>
          <w:rFonts w:eastAsiaTheme="minorEastAsia" w:cs="Times New Roman"/>
          <w:noProof/>
          <w:kern w:val="22"/>
          <w:sz w:val="24"/>
          <w:lang w:eastAsia="zh-CN"/>
        </w:rPr>
        <w:lastRenderedPageBreak/>
        <w:t>14/35.</w:t>
      </w:r>
      <w:r w:rsidRPr="00B72FA3">
        <w:rPr>
          <w:rFonts w:eastAsiaTheme="minorEastAsia" w:cs="Times New Roman"/>
          <w:noProof/>
          <w:kern w:val="22"/>
          <w:sz w:val="24"/>
          <w:lang w:eastAsia="zh-CN"/>
        </w:rPr>
        <w:tab/>
        <w:t xml:space="preserve">  </w:t>
      </w:r>
      <w:r w:rsidRPr="00B72FA3">
        <w:rPr>
          <w:rFonts w:eastAsiaTheme="minorEastAsia" w:cs="Times New Roman"/>
          <w:noProof/>
          <w:kern w:val="22"/>
          <w:sz w:val="24"/>
          <w:lang w:eastAsia="zh-CN"/>
        </w:rPr>
        <w:t>全球生物多样性展望</w:t>
      </w:r>
      <w:bookmarkEnd w:id="241"/>
    </w:p>
    <w:p w:rsidR="00B72FA3" w:rsidRPr="00BF434E" w:rsidRDefault="00B72FA3" w:rsidP="00B72FA3">
      <w:pPr>
        <w:pStyle w:val="sub-item"/>
        <w:tabs>
          <w:tab w:val="clear" w:pos="720"/>
        </w:tabs>
        <w:rPr>
          <w:rFonts w:ascii="SimSun" w:eastAsia="SimSun" w:hAnsi="SimSun" w:cs="SimSun"/>
          <w:b w:val="0"/>
          <w:noProof/>
          <w:kern w:val="22"/>
          <w:sz w:val="24"/>
          <w:szCs w:val="24"/>
          <w:lang w:eastAsia="zh-CN"/>
        </w:rPr>
      </w:pPr>
      <w:bookmarkStart w:id="242" w:name="_Toc6243804"/>
      <w:r w:rsidRPr="00BF434E">
        <w:rPr>
          <w:rFonts w:ascii="KaiTi" w:eastAsia="KaiTi" w:hAnsi="KaiTi"/>
          <w:b w:val="0"/>
          <w:kern w:val="22"/>
          <w:sz w:val="24"/>
          <w:szCs w:val="24"/>
          <w:lang w:val="zh-CN" w:eastAsia="zh-CN"/>
        </w:rPr>
        <w:t>缔约方大会</w:t>
      </w:r>
      <w:r w:rsidRPr="00BF434E">
        <w:rPr>
          <w:rFonts w:ascii="SimSun" w:eastAsia="SimSun" w:hAnsi="SimSun" w:cs="SimSun" w:hint="eastAsia"/>
          <w:b w:val="0"/>
          <w:noProof/>
          <w:kern w:val="22"/>
          <w:sz w:val="24"/>
          <w:szCs w:val="24"/>
          <w:lang w:eastAsia="zh-CN"/>
        </w:rPr>
        <w:t>，</w:t>
      </w:r>
      <w:bookmarkEnd w:id="242"/>
    </w:p>
    <w:p w:rsidR="00B72FA3" w:rsidRPr="00534165" w:rsidRDefault="00B72FA3" w:rsidP="00615E7F">
      <w:pPr>
        <w:pStyle w:val="Para1"/>
        <w:numPr>
          <w:ilvl w:val="0"/>
          <w:numId w:val="275"/>
        </w:numPr>
        <w:tabs>
          <w:tab w:val="clear" w:pos="360"/>
        </w:tabs>
        <w:snapToGrid w:val="0"/>
        <w:rPr>
          <w:rFonts w:eastAsiaTheme="minorEastAsia"/>
          <w:kern w:val="22"/>
          <w:sz w:val="24"/>
          <w:lang w:eastAsia="zh-CN"/>
        </w:rPr>
      </w:pPr>
      <w:r w:rsidRPr="00A01E80">
        <w:rPr>
          <w:rFonts w:ascii="KaiTi" w:eastAsia="KaiTi" w:hAnsi="KaiTi"/>
          <w:sz w:val="24"/>
          <w:lang w:eastAsia="zh-CN"/>
        </w:rPr>
        <w:t>回顾</w:t>
      </w:r>
      <w:hyperlink r:id="rId92" w:history="1">
        <w:r w:rsidRPr="00384103">
          <w:rPr>
            <w:rFonts w:eastAsiaTheme="minorEastAsia" w:hint="eastAsia"/>
            <w:color w:val="0000FF"/>
            <w:kern w:val="22"/>
            <w:sz w:val="24"/>
            <w:u w:val="single"/>
            <w:lang w:eastAsia="zh-CN"/>
          </w:rPr>
          <w:t>第</w:t>
        </w:r>
        <w:r w:rsidRPr="00384103">
          <w:rPr>
            <w:rFonts w:eastAsiaTheme="minorEastAsia"/>
            <w:color w:val="0000FF"/>
            <w:kern w:val="22"/>
            <w:sz w:val="24"/>
            <w:u w:val="single"/>
            <w:lang w:eastAsia="zh-CN"/>
          </w:rPr>
          <w:t>XIII/29</w:t>
        </w:r>
        <w:r w:rsidRPr="00384103">
          <w:rPr>
            <w:rFonts w:eastAsiaTheme="minorEastAsia" w:hint="eastAsia"/>
            <w:color w:val="0000FF"/>
            <w:kern w:val="22"/>
            <w:sz w:val="24"/>
            <w:u w:val="single"/>
            <w:lang w:eastAsia="zh-CN"/>
          </w:rPr>
          <w:t>号决定</w:t>
        </w:r>
      </w:hyperlink>
      <w:r w:rsidRPr="00534165">
        <w:rPr>
          <w:rFonts w:eastAsiaTheme="minorEastAsia"/>
          <w:kern w:val="22"/>
          <w:sz w:val="24"/>
          <w:lang w:eastAsia="zh-CN"/>
        </w:rPr>
        <w:t>，缔约方大会在该决定中决定第五版《</w:t>
      </w:r>
      <w:r w:rsidRPr="00624801">
        <w:rPr>
          <w:rFonts w:ascii="KaiTi" w:eastAsia="KaiTi" w:hAnsi="KaiTi"/>
          <w:iCs/>
          <w:kern w:val="22"/>
          <w:sz w:val="24"/>
          <w:lang w:eastAsia="zh-CN"/>
        </w:rPr>
        <w:t>全球生物多样性展望</w:t>
      </w:r>
      <w:r w:rsidRPr="00534165">
        <w:rPr>
          <w:rFonts w:eastAsiaTheme="minorEastAsia"/>
          <w:kern w:val="22"/>
          <w:sz w:val="24"/>
          <w:lang w:eastAsia="zh-CN"/>
        </w:rPr>
        <w:t>》</w:t>
      </w:r>
      <w:r w:rsidRPr="00534165">
        <w:rPr>
          <w:rFonts w:eastAsiaTheme="minorEastAsia"/>
          <w:sz w:val="24"/>
          <w:lang w:eastAsia="zh-CN"/>
        </w:rPr>
        <w:t>应作为缔约方大会第十五届会议要审议的《</w:t>
      </w:r>
      <w:r w:rsidRPr="00534165">
        <w:rPr>
          <w:rFonts w:eastAsiaTheme="minorEastAsia"/>
          <w:sz w:val="24"/>
          <w:lang w:val="nb-NO" w:eastAsia="zh-CN"/>
        </w:rPr>
        <w:t>2011-2020</w:t>
      </w:r>
      <w:r w:rsidRPr="00534165">
        <w:rPr>
          <w:rFonts w:eastAsiaTheme="minorEastAsia"/>
          <w:sz w:val="24"/>
          <w:lang w:eastAsia="zh-CN"/>
        </w:rPr>
        <w:t>年生物多样性战略计划》</w:t>
      </w:r>
      <w:r w:rsidRPr="00C26C54">
        <w:rPr>
          <w:rFonts w:eastAsiaTheme="minorEastAsia"/>
          <w:kern w:val="22"/>
          <w:sz w:val="24"/>
          <w:szCs w:val="24"/>
          <w:vertAlign w:val="superscript"/>
        </w:rPr>
        <w:footnoteReference w:id="321"/>
      </w:r>
      <w:r w:rsidRPr="00C26C54">
        <w:rPr>
          <w:rFonts w:eastAsiaTheme="minorEastAsia"/>
          <w:sz w:val="24"/>
          <w:vertAlign w:val="superscript"/>
          <w:lang w:eastAsia="zh-CN"/>
        </w:rPr>
        <w:t xml:space="preserve"> </w:t>
      </w:r>
      <w:r w:rsidRPr="00534165">
        <w:rPr>
          <w:rFonts w:eastAsiaTheme="minorEastAsia"/>
          <w:sz w:val="24"/>
          <w:lang w:eastAsia="zh-CN"/>
        </w:rPr>
        <w:t>后续行动的依据；</w:t>
      </w:r>
    </w:p>
    <w:p w:rsidR="00B72FA3" w:rsidRDefault="00B72FA3" w:rsidP="00615E7F">
      <w:pPr>
        <w:pStyle w:val="Para1"/>
        <w:numPr>
          <w:ilvl w:val="0"/>
          <w:numId w:val="275"/>
        </w:numPr>
        <w:tabs>
          <w:tab w:val="clear" w:pos="360"/>
        </w:tabs>
        <w:snapToGrid w:val="0"/>
        <w:rPr>
          <w:rFonts w:eastAsiaTheme="minorEastAsia"/>
          <w:kern w:val="22"/>
          <w:sz w:val="24"/>
          <w:lang w:eastAsia="zh-CN"/>
        </w:rPr>
      </w:pPr>
      <w:r w:rsidRPr="00A01E80">
        <w:rPr>
          <w:rFonts w:ascii="KaiTi" w:eastAsia="KaiTi" w:hAnsi="KaiTi"/>
          <w:sz w:val="24"/>
          <w:lang w:eastAsia="zh-CN"/>
        </w:rPr>
        <w:t>注意到</w:t>
      </w:r>
      <w:r w:rsidRPr="00A95ACD">
        <w:rPr>
          <w:rFonts w:eastAsiaTheme="minorEastAsia"/>
          <w:kern w:val="22"/>
          <w:sz w:val="24"/>
          <w:lang w:eastAsia="zh-CN"/>
        </w:rPr>
        <w:t>第六次国家报告对编制第五版《</w:t>
      </w:r>
      <w:r w:rsidRPr="00624801">
        <w:rPr>
          <w:rFonts w:ascii="KaiTi" w:eastAsia="KaiTi" w:hAnsi="KaiTi"/>
          <w:iCs/>
          <w:kern w:val="22"/>
          <w:sz w:val="24"/>
          <w:lang w:eastAsia="zh-CN"/>
        </w:rPr>
        <w:t>全球生物多样性展望</w:t>
      </w:r>
      <w:r w:rsidRPr="00A95ACD">
        <w:rPr>
          <w:rFonts w:eastAsiaTheme="minorEastAsia"/>
          <w:kern w:val="22"/>
          <w:sz w:val="24"/>
          <w:lang w:eastAsia="zh-CN"/>
        </w:rPr>
        <w:t>》的重要性，</w:t>
      </w:r>
      <w:r w:rsidRPr="00384103">
        <w:rPr>
          <w:rFonts w:ascii="KaiTi" w:eastAsia="KaiTi" w:hAnsi="KaiTi"/>
          <w:sz w:val="24"/>
          <w:lang w:eastAsia="zh-CN"/>
        </w:rPr>
        <w:t>回顾</w:t>
      </w:r>
      <w:hyperlink r:id="rId93" w:history="1">
        <w:r w:rsidRPr="00384103">
          <w:rPr>
            <w:rFonts w:eastAsiaTheme="minorEastAsia" w:hint="eastAsia"/>
            <w:color w:val="0000FF"/>
            <w:kern w:val="22"/>
            <w:sz w:val="24"/>
            <w:u w:val="single"/>
            <w:lang w:eastAsia="zh-CN"/>
          </w:rPr>
          <w:t>第</w:t>
        </w:r>
        <w:r w:rsidRPr="00384103">
          <w:rPr>
            <w:rFonts w:eastAsiaTheme="minorEastAsia"/>
            <w:color w:val="0000FF"/>
            <w:kern w:val="22"/>
            <w:sz w:val="24"/>
            <w:u w:val="single"/>
            <w:lang w:eastAsia="zh-CN"/>
          </w:rPr>
          <w:t>XIII/27</w:t>
        </w:r>
        <w:r w:rsidRPr="00384103">
          <w:rPr>
            <w:rFonts w:eastAsiaTheme="minorEastAsia" w:hint="eastAsia"/>
            <w:color w:val="0000FF"/>
            <w:kern w:val="22"/>
            <w:sz w:val="24"/>
            <w:u w:val="single"/>
            <w:lang w:eastAsia="zh-CN"/>
          </w:rPr>
          <w:t>号决定</w:t>
        </w:r>
      </w:hyperlink>
      <w:r w:rsidRPr="00A95ACD">
        <w:rPr>
          <w:rFonts w:eastAsiaTheme="minorEastAsia"/>
          <w:kern w:val="22"/>
          <w:sz w:val="24"/>
          <w:lang w:eastAsia="zh-CN"/>
        </w:rPr>
        <w:t>，并</w:t>
      </w:r>
      <w:r w:rsidRPr="00C26C54">
        <w:rPr>
          <w:rFonts w:ascii="KaiTi" w:eastAsia="KaiTi" w:hAnsi="KaiTi"/>
          <w:sz w:val="24"/>
          <w:lang w:eastAsia="zh-CN"/>
        </w:rPr>
        <w:t>敦促</w:t>
      </w:r>
      <w:r w:rsidRPr="00A95ACD">
        <w:rPr>
          <w:rFonts w:eastAsiaTheme="minorEastAsia"/>
          <w:sz w:val="24"/>
          <w:lang w:eastAsia="zh-CN"/>
        </w:rPr>
        <w:t>缔约方不迟于</w:t>
      </w:r>
      <w:r w:rsidRPr="00A95ACD">
        <w:rPr>
          <w:rFonts w:eastAsiaTheme="minorEastAsia"/>
          <w:sz w:val="24"/>
          <w:lang w:eastAsia="zh-CN"/>
        </w:rPr>
        <w:t>2018</w:t>
      </w:r>
      <w:r w:rsidRPr="00A95ACD">
        <w:rPr>
          <w:rFonts w:eastAsiaTheme="minorEastAsia"/>
          <w:sz w:val="24"/>
          <w:lang w:eastAsia="zh-CN"/>
        </w:rPr>
        <w:t>年</w:t>
      </w:r>
      <w:r w:rsidRPr="00A95ACD">
        <w:rPr>
          <w:rFonts w:eastAsiaTheme="minorEastAsia"/>
          <w:sz w:val="24"/>
          <w:lang w:eastAsia="zh-CN"/>
        </w:rPr>
        <w:t>12</w:t>
      </w:r>
      <w:r w:rsidRPr="00A95ACD">
        <w:rPr>
          <w:rFonts w:eastAsiaTheme="minorEastAsia"/>
          <w:sz w:val="24"/>
          <w:lang w:eastAsia="zh-CN"/>
        </w:rPr>
        <w:t>月</w:t>
      </w:r>
      <w:r w:rsidRPr="00A95ACD">
        <w:rPr>
          <w:rFonts w:eastAsiaTheme="minorEastAsia"/>
          <w:sz w:val="24"/>
          <w:lang w:eastAsia="zh-CN"/>
        </w:rPr>
        <w:t>31</w:t>
      </w:r>
      <w:r w:rsidRPr="00A95ACD">
        <w:rPr>
          <w:rFonts w:eastAsiaTheme="minorEastAsia"/>
          <w:sz w:val="24"/>
          <w:lang w:eastAsia="zh-CN"/>
        </w:rPr>
        <w:t>日提交第六次国家报告；</w:t>
      </w:r>
    </w:p>
    <w:p w:rsidR="00B72FA3" w:rsidRPr="00A95ACD" w:rsidRDefault="00B72FA3" w:rsidP="00615E7F">
      <w:pPr>
        <w:pStyle w:val="Para1"/>
        <w:numPr>
          <w:ilvl w:val="0"/>
          <w:numId w:val="275"/>
        </w:numPr>
        <w:tabs>
          <w:tab w:val="clear" w:pos="360"/>
        </w:tabs>
        <w:snapToGrid w:val="0"/>
        <w:rPr>
          <w:rFonts w:eastAsiaTheme="minorEastAsia"/>
          <w:iCs/>
          <w:kern w:val="22"/>
          <w:sz w:val="24"/>
          <w:lang w:eastAsia="zh-CN"/>
        </w:rPr>
      </w:pPr>
      <w:r w:rsidRPr="00A01E80">
        <w:rPr>
          <w:rFonts w:ascii="KaiTi" w:eastAsia="KaiTi" w:hAnsi="KaiTi"/>
          <w:sz w:val="24"/>
          <w:lang w:eastAsia="zh-CN"/>
        </w:rPr>
        <w:t>又回顾</w:t>
      </w:r>
      <w:hyperlink r:id="rId94" w:history="1">
        <w:r w:rsidRPr="00DD0EF1">
          <w:rPr>
            <w:rFonts w:eastAsiaTheme="minorEastAsia" w:hint="eastAsia"/>
            <w:iCs/>
            <w:color w:val="0000FF"/>
            <w:kern w:val="22"/>
            <w:sz w:val="24"/>
            <w:u w:val="single"/>
            <w:lang w:eastAsia="zh-CN"/>
          </w:rPr>
          <w:t>第</w:t>
        </w:r>
        <w:r w:rsidRPr="00DD0EF1">
          <w:rPr>
            <w:rFonts w:eastAsiaTheme="minorEastAsia"/>
            <w:iCs/>
            <w:color w:val="0000FF"/>
            <w:kern w:val="22"/>
            <w:sz w:val="24"/>
            <w:u w:val="single"/>
            <w:lang w:eastAsia="zh-CN"/>
          </w:rPr>
          <w:t>XI/2</w:t>
        </w:r>
        <w:r w:rsidRPr="00DD0EF1">
          <w:rPr>
            <w:rFonts w:eastAsiaTheme="minorEastAsia" w:hint="eastAsia"/>
            <w:iCs/>
            <w:color w:val="0000FF"/>
            <w:kern w:val="22"/>
            <w:sz w:val="24"/>
            <w:u w:val="single"/>
            <w:lang w:eastAsia="zh-CN"/>
          </w:rPr>
          <w:t>号决定</w:t>
        </w:r>
      </w:hyperlink>
      <w:r w:rsidRPr="00A95ACD">
        <w:rPr>
          <w:rFonts w:eastAsiaTheme="minorEastAsia"/>
          <w:iCs/>
          <w:kern w:val="22"/>
          <w:sz w:val="24"/>
          <w:lang w:eastAsia="zh-CN"/>
        </w:rPr>
        <w:t>，</w:t>
      </w:r>
      <w:r w:rsidRPr="00624801">
        <w:rPr>
          <w:rFonts w:ascii="KaiTi" w:eastAsia="KaiTi" w:hAnsi="KaiTi"/>
          <w:sz w:val="24"/>
          <w:lang w:eastAsia="zh-CN"/>
        </w:rPr>
        <w:t>强调</w:t>
      </w:r>
      <w:r w:rsidRPr="00A95ACD">
        <w:rPr>
          <w:rFonts w:eastAsiaTheme="minorEastAsia"/>
          <w:iCs/>
          <w:kern w:val="22"/>
          <w:sz w:val="24"/>
          <w:lang w:eastAsia="zh-CN"/>
        </w:rPr>
        <w:t>生物多样性和生态系统服务政府间科学政策平台进行的生物多样性和生态系统服务全球</w:t>
      </w:r>
      <w:r>
        <w:rPr>
          <w:rFonts w:eastAsiaTheme="minorEastAsia" w:hint="eastAsia"/>
          <w:iCs/>
          <w:kern w:val="22"/>
          <w:sz w:val="24"/>
          <w:lang w:eastAsia="zh-CN"/>
        </w:rPr>
        <w:t>和</w:t>
      </w:r>
      <w:r w:rsidRPr="00A95ACD">
        <w:rPr>
          <w:rFonts w:eastAsiaTheme="minorEastAsia"/>
          <w:iCs/>
          <w:kern w:val="22"/>
          <w:sz w:val="24"/>
          <w:lang w:eastAsia="zh-CN"/>
        </w:rPr>
        <w:t>区域评估和专题评估以及其他国家和次区域评估构成了评估</w:t>
      </w:r>
      <w:r w:rsidRPr="00A95ACD">
        <w:rPr>
          <w:rFonts w:eastAsiaTheme="minorEastAsia"/>
          <w:kern w:val="22"/>
          <w:sz w:val="24"/>
          <w:lang w:eastAsia="zh-CN"/>
        </w:rPr>
        <w:t>实现</w:t>
      </w:r>
      <w:r w:rsidRPr="00A95ACD">
        <w:rPr>
          <w:rFonts w:eastAsiaTheme="minorEastAsia"/>
          <w:iCs/>
          <w:kern w:val="22"/>
          <w:sz w:val="24"/>
          <w:lang w:eastAsia="zh-CN"/>
        </w:rPr>
        <w:t>第五版《</w:t>
      </w:r>
      <w:r w:rsidRPr="00624801">
        <w:rPr>
          <w:rFonts w:ascii="KaiTi" w:eastAsia="KaiTi" w:hAnsi="KaiTi"/>
          <w:iCs/>
          <w:kern w:val="22"/>
          <w:sz w:val="24"/>
          <w:lang w:eastAsia="zh-CN"/>
        </w:rPr>
        <w:t>全球生物多样性展望</w:t>
      </w:r>
      <w:r w:rsidRPr="00A95ACD">
        <w:rPr>
          <w:rFonts w:eastAsiaTheme="minorEastAsia"/>
          <w:iCs/>
          <w:kern w:val="22"/>
          <w:sz w:val="24"/>
          <w:lang w:eastAsia="zh-CN"/>
        </w:rPr>
        <w:t>》中</w:t>
      </w:r>
      <w:r>
        <w:rPr>
          <w:rFonts w:eastAsiaTheme="minorEastAsia" w:hint="eastAsia"/>
          <w:iCs/>
          <w:kern w:val="22"/>
          <w:sz w:val="24"/>
          <w:lang w:eastAsia="zh-CN"/>
        </w:rPr>
        <w:t>的</w:t>
      </w:r>
      <w:r>
        <w:rPr>
          <w:rFonts w:eastAsiaTheme="minorEastAsia"/>
          <w:iCs/>
          <w:kern w:val="22"/>
          <w:sz w:val="24"/>
          <w:lang w:eastAsia="zh-CN"/>
        </w:rPr>
        <w:t>爱知生物多样性指标</w:t>
      </w:r>
      <w:r w:rsidRPr="00A95ACD">
        <w:rPr>
          <w:rFonts w:eastAsiaTheme="minorEastAsia"/>
          <w:iCs/>
          <w:kern w:val="22"/>
          <w:sz w:val="24"/>
          <w:lang w:eastAsia="zh-CN"/>
        </w:rPr>
        <w:t>进展情况的重要证据基础；</w:t>
      </w:r>
    </w:p>
    <w:p w:rsidR="00B72FA3" w:rsidRPr="00FF71F6" w:rsidRDefault="00B72FA3" w:rsidP="00615E7F">
      <w:pPr>
        <w:pStyle w:val="Para1"/>
        <w:numPr>
          <w:ilvl w:val="0"/>
          <w:numId w:val="275"/>
        </w:numPr>
        <w:tabs>
          <w:tab w:val="clear" w:pos="360"/>
        </w:tabs>
        <w:snapToGrid w:val="0"/>
        <w:rPr>
          <w:rFonts w:eastAsiaTheme="minorEastAsia"/>
          <w:kern w:val="22"/>
          <w:sz w:val="24"/>
          <w:lang w:eastAsia="zh-CN"/>
        </w:rPr>
      </w:pPr>
      <w:r w:rsidRPr="00C26C54">
        <w:rPr>
          <w:rFonts w:ascii="KaiTi" w:eastAsia="KaiTi" w:hAnsi="KaiTi" w:hint="eastAsia"/>
          <w:sz w:val="24"/>
          <w:lang w:eastAsia="zh-CN"/>
        </w:rPr>
        <w:t>确认</w:t>
      </w:r>
      <w:r w:rsidRPr="00FF71F6">
        <w:rPr>
          <w:rFonts w:eastAsiaTheme="minorEastAsia" w:hint="eastAsia"/>
          <w:kern w:val="22"/>
          <w:sz w:val="24"/>
          <w:lang w:eastAsia="zh-CN"/>
        </w:rPr>
        <w:t>全球植物保护伙伴关系在实施全球植物保护战略和审查</w:t>
      </w:r>
      <w:bookmarkStart w:id="243" w:name="_Hlk530976044"/>
      <w:r w:rsidRPr="00FF71F6">
        <w:rPr>
          <w:rFonts w:eastAsiaTheme="minorEastAsia" w:hint="eastAsia"/>
          <w:kern w:val="22"/>
          <w:sz w:val="24"/>
          <w:lang w:eastAsia="zh-CN"/>
        </w:rPr>
        <w:t>全球植物保护战略</w:t>
      </w:r>
      <w:bookmarkEnd w:id="243"/>
      <w:r w:rsidRPr="00FF71F6">
        <w:rPr>
          <w:rFonts w:eastAsiaTheme="minorEastAsia" w:hint="eastAsia"/>
          <w:kern w:val="22"/>
          <w:sz w:val="24"/>
          <w:lang w:eastAsia="zh-CN"/>
        </w:rPr>
        <w:t>实施进展方面所做的贡献，并</w:t>
      </w:r>
      <w:r w:rsidRPr="00C26C54">
        <w:rPr>
          <w:rFonts w:ascii="KaiTi" w:eastAsia="KaiTi" w:hAnsi="KaiTi" w:hint="eastAsia"/>
          <w:sz w:val="24"/>
          <w:lang w:eastAsia="zh-CN"/>
        </w:rPr>
        <w:t>请</w:t>
      </w:r>
      <w:r w:rsidRPr="00FF71F6">
        <w:rPr>
          <w:rFonts w:eastAsiaTheme="minorEastAsia" w:hint="eastAsia"/>
          <w:kern w:val="22"/>
          <w:sz w:val="24"/>
          <w:lang w:eastAsia="zh-CN"/>
        </w:rPr>
        <w:t>执行秘书在编写第五版</w:t>
      </w:r>
      <w:r>
        <w:rPr>
          <w:rFonts w:eastAsiaTheme="minorEastAsia" w:hint="eastAsia"/>
          <w:kern w:val="22"/>
          <w:sz w:val="24"/>
          <w:lang w:val="en-US" w:eastAsia="zh-CN"/>
        </w:rPr>
        <w:t>《</w:t>
      </w:r>
      <w:r w:rsidRPr="00C26C54">
        <w:rPr>
          <w:rFonts w:ascii="KaiTi" w:eastAsia="KaiTi" w:hAnsi="KaiTi" w:hint="eastAsia"/>
          <w:iCs/>
          <w:kern w:val="22"/>
          <w:sz w:val="24"/>
          <w:lang w:eastAsia="zh-CN"/>
        </w:rPr>
        <w:t>全球生物多样性展望</w:t>
      </w:r>
      <w:r>
        <w:rPr>
          <w:rFonts w:eastAsiaTheme="minorEastAsia" w:hint="eastAsia"/>
          <w:kern w:val="22"/>
          <w:sz w:val="24"/>
          <w:lang w:eastAsia="zh-CN"/>
        </w:rPr>
        <w:t>》</w:t>
      </w:r>
      <w:r w:rsidRPr="00FF71F6">
        <w:rPr>
          <w:rFonts w:eastAsiaTheme="minorEastAsia" w:hint="eastAsia"/>
          <w:kern w:val="22"/>
          <w:sz w:val="24"/>
          <w:lang w:eastAsia="zh-CN"/>
        </w:rPr>
        <w:t>时</w:t>
      </w:r>
      <w:r>
        <w:rPr>
          <w:rFonts w:eastAsiaTheme="minorEastAsia" w:hint="eastAsia"/>
          <w:kern w:val="22"/>
          <w:sz w:val="24"/>
          <w:lang w:eastAsia="zh-CN"/>
        </w:rPr>
        <w:t>考虑</w:t>
      </w:r>
      <w:r w:rsidRPr="00FF71F6">
        <w:rPr>
          <w:rFonts w:eastAsiaTheme="minorEastAsia" w:hint="eastAsia"/>
          <w:kern w:val="22"/>
          <w:sz w:val="24"/>
          <w:lang w:eastAsia="zh-CN"/>
        </w:rPr>
        <w:t>关于植物保护的报告和评估</w:t>
      </w:r>
      <w:r>
        <w:rPr>
          <w:rFonts w:eastAsiaTheme="minorEastAsia" w:hint="eastAsia"/>
          <w:kern w:val="22"/>
          <w:sz w:val="24"/>
          <w:lang w:eastAsia="zh-CN"/>
        </w:rPr>
        <w:t>；</w:t>
      </w:r>
    </w:p>
    <w:p w:rsidR="00B72FA3" w:rsidRPr="00A95ACD" w:rsidRDefault="00B72FA3" w:rsidP="00615E7F">
      <w:pPr>
        <w:pStyle w:val="Para1"/>
        <w:numPr>
          <w:ilvl w:val="0"/>
          <w:numId w:val="275"/>
        </w:numPr>
        <w:tabs>
          <w:tab w:val="clear" w:pos="360"/>
        </w:tabs>
        <w:snapToGrid w:val="0"/>
        <w:rPr>
          <w:rFonts w:eastAsiaTheme="minorEastAsia"/>
          <w:kern w:val="22"/>
          <w:sz w:val="24"/>
          <w:lang w:eastAsia="zh-CN"/>
        </w:rPr>
      </w:pPr>
      <w:r w:rsidRPr="00A01E80">
        <w:rPr>
          <w:rFonts w:ascii="KaiTi" w:eastAsia="KaiTi" w:hAnsi="KaiTi"/>
          <w:sz w:val="24"/>
          <w:lang w:eastAsia="zh-CN"/>
        </w:rPr>
        <w:t>表示注意</w:t>
      </w:r>
      <w:r w:rsidRPr="00A95ACD">
        <w:rPr>
          <w:rFonts w:eastAsiaTheme="minorEastAsia"/>
          <w:sz w:val="24"/>
          <w:lang w:eastAsia="zh-CN"/>
        </w:rPr>
        <w:t>到</w:t>
      </w:r>
      <w:r w:rsidRPr="00A95ACD">
        <w:rPr>
          <w:rFonts w:eastAsiaTheme="minorEastAsia"/>
          <w:kern w:val="22"/>
          <w:sz w:val="24"/>
          <w:lang w:eastAsia="zh-CN"/>
        </w:rPr>
        <w:t>编制第五版《</w:t>
      </w:r>
      <w:r w:rsidRPr="00624801">
        <w:rPr>
          <w:rFonts w:ascii="KaiTi" w:eastAsia="KaiTi" w:hAnsi="KaiTi"/>
          <w:iCs/>
          <w:kern w:val="22"/>
          <w:sz w:val="24"/>
          <w:lang w:eastAsia="zh-CN"/>
        </w:rPr>
        <w:t>全球生物多样性展望</w:t>
      </w:r>
      <w:r w:rsidRPr="00A95ACD">
        <w:rPr>
          <w:rFonts w:eastAsiaTheme="minorEastAsia"/>
          <w:kern w:val="22"/>
          <w:sz w:val="24"/>
          <w:lang w:eastAsia="zh-CN"/>
        </w:rPr>
        <w:t>》的计划和成本估计，包括本决定附件所载指示性时间表，</w:t>
      </w:r>
      <w:r>
        <w:rPr>
          <w:rFonts w:eastAsiaTheme="minorEastAsia" w:hint="eastAsia"/>
          <w:kern w:val="22"/>
          <w:sz w:val="24"/>
          <w:lang w:eastAsia="zh-CN"/>
        </w:rPr>
        <w:t>并</w:t>
      </w:r>
      <w:r w:rsidRPr="00DD0EF1">
        <w:rPr>
          <w:rFonts w:ascii="KaiTi" w:eastAsia="KaiTi" w:hAnsi="KaiTi"/>
          <w:sz w:val="24"/>
          <w:lang w:eastAsia="zh-CN"/>
        </w:rPr>
        <w:t>请</w:t>
      </w:r>
      <w:r w:rsidRPr="00A95ACD">
        <w:rPr>
          <w:rFonts w:eastAsiaTheme="minorEastAsia"/>
          <w:kern w:val="22"/>
          <w:sz w:val="24"/>
          <w:lang w:eastAsia="zh-CN"/>
        </w:rPr>
        <w:t>执行秘书：</w:t>
      </w:r>
    </w:p>
    <w:p w:rsidR="00B72FA3" w:rsidRPr="00A95ACD" w:rsidRDefault="00B72FA3" w:rsidP="00615E7F">
      <w:pPr>
        <w:numPr>
          <w:ilvl w:val="0"/>
          <w:numId w:val="274"/>
        </w:numPr>
        <w:ind w:left="0" w:firstLine="720"/>
        <w:rPr>
          <w:rFonts w:eastAsiaTheme="minorEastAsia"/>
          <w:bCs/>
          <w:iCs/>
          <w:snapToGrid w:val="0"/>
          <w:kern w:val="22"/>
          <w:lang w:eastAsia="zh-CN"/>
        </w:rPr>
      </w:pPr>
      <w:r w:rsidRPr="00A95ACD">
        <w:rPr>
          <w:rFonts w:eastAsiaTheme="minorEastAsia"/>
          <w:bCs/>
          <w:iCs/>
          <w:snapToGrid w:val="0"/>
          <w:kern w:val="22"/>
          <w:lang w:eastAsia="zh-CN"/>
        </w:rPr>
        <w:t>根据该计划编制第五版《</w:t>
      </w:r>
      <w:r w:rsidRPr="00624801">
        <w:rPr>
          <w:rFonts w:ascii="KaiTi" w:eastAsia="KaiTi" w:hAnsi="KaiTi"/>
          <w:iCs/>
          <w:snapToGrid w:val="0"/>
          <w:kern w:val="22"/>
          <w:szCs w:val="18"/>
          <w:lang w:eastAsia="zh-CN"/>
        </w:rPr>
        <w:t>全球生物多样性展望</w:t>
      </w:r>
      <w:r w:rsidRPr="00A95ACD">
        <w:rPr>
          <w:rFonts w:eastAsiaTheme="minorEastAsia"/>
          <w:bCs/>
          <w:iCs/>
          <w:snapToGrid w:val="0"/>
          <w:kern w:val="22"/>
          <w:lang w:eastAsia="zh-CN"/>
        </w:rPr>
        <w:t>》，包括编制决策者摘要；</w:t>
      </w:r>
    </w:p>
    <w:p w:rsidR="00B72FA3" w:rsidRPr="00A95ACD" w:rsidRDefault="00B72FA3" w:rsidP="00615E7F">
      <w:pPr>
        <w:numPr>
          <w:ilvl w:val="0"/>
          <w:numId w:val="274"/>
        </w:numPr>
        <w:ind w:left="0" w:firstLine="720"/>
        <w:rPr>
          <w:rFonts w:eastAsiaTheme="minorEastAsia"/>
          <w:bCs/>
          <w:iCs/>
          <w:snapToGrid w:val="0"/>
          <w:kern w:val="22"/>
          <w:lang w:eastAsia="zh-CN"/>
        </w:rPr>
      </w:pPr>
      <w:r w:rsidRPr="00A95ACD">
        <w:rPr>
          <w:rFonts w:eastAsiaTheme="minorEastAsia"/>
          <w:bCs/>
          <w:iCs/>
          <w:snapToGrid w:val="0"/>
          <w:kern w:val="22"/>
          <w:lang w:eastAsia="zh-CN"/>
        </w:rPr>
        <w:t>向相关合作伙伴和潜在供稿人通报编制第五版《</w:t>
      </w:r>
      <w:r w:rsidRPr="00624801">
        <w:rPr>
          <w:rFonts w:ascii="KaiTi" w:eastAsia="KaiTi" w:hAnsi="KaiTi"/>
          <w:iCs/>
          <w:snapToGrid w:val="0"/>
          <w:kern w:val="22"/>
          <w:szCs w:val="18"/>
          <w:lang w:eastAsia="zh-CN"/>
        </w:rPr>
        <w:t>全球生物多样性展望</w:t>
      </w:r>
      <w:r w:rsidRPr="00A95ACD">
        <w:rPr>
          <w:rFonts w:eastAsiaTheme="minorEastAsia"/>
          <w:bCs/>
          <w:iCs/>
          <w:snapToGrid w:val="0"/>
          <w:kern w:val="22"/>
          <w:lang w:eastAsia="zh-CN"/>
        </w:rPr>
        <w:t>》及其相关产品的时间表；</w:t>
      </w:r>
    </w:p>
    <w:p w:rsidR="00B72FA3" w:rsidRPr="00A95ACD" w:rsidRDefault="00B72FA3" w:rsidP="00615E7F">
      <w:pPr>
        <w:widowControl w:val="0"/>
        <w:numPr>
          <w:ilvl w:val="0"/>
          <w:numId w:val="274"/>
        </w:numPr>
        <w:ind w:left="0" w:firstLine="720"/>
        <w:rPr>
          <w:rFonts w:eastAsiaTheme="minorEastAsia"/>
          <w:bCs/>
          <w:iCs/>
          <w:snapToGrid w:val="0"/>
          <w:kern w:val="22"/>
          <w:lang w:eastAsia="zh-CN"/>
        </w:rPr>
      </w:pPr>
      <w:r w:rsidRPr="00A95ACD">
        <w:rPr>
          <w:rFonts w:eastAsiaTheme="minorEastAsia"/>
          <w:bCs/>
          <w:iCs/>
          <w:snapToGrid w:val="0"/>
          <w:kern w:val="22"/>
          <w:lang w:eastAsia="zh-CN"/>
        </w:rPr>
        <w:t>酌情并依照其他各生物多样性相关公约和其他相关进程和组织包括</w:t>
      </w:r>
      <w:r w:rsidRPr="00A95ACD">
        <w:rPr>
          <w:rFonts w:eastAsiaTheme="minorEastAsia"/>
          <w:iCs/>
          <w:kern w:val="24"/>
          <w:lang w:eastAsia="zh-CN"/>
        </w:rPr>
        <w:t>生物多样性和生态系统服务政府间科学政策平台和联合国粮食和农业组织等</w:t>
      </w:r>
      <w:r w:rsidRPr="00A95ACD">
        <w:rPr>
          <w:rFonts w:eastAsiaTheme="minorEastAsia"/>
          <w:bCs/>
          <w:iCs/>
          <w:snapToGrid w:val="0"/>
          <w:kern w:val="22"/>
          <w:lang w:eastAsia="zh-CN"/>
        </w:rPr>
        <w:t>的任务，继续与其</w:t>
      </w:r>
      <w:r>
        <w:rPr>
          <w:rFonts w:eastAsiaTheme="minorEastAsia" w:hint="eastAsia"/>
          <w:bCs/>
          <w:iCs/>
          <w:snapToGrid w:val="0"/>
          <w:kern w:val="22"/>
          <w:lang w:eastAsia="zh-CN"/>
        </w:rPr>
        <w:t>合作</w:t>
      </w:r>
      <w:r w:rsidRPr="00A95ACD">
        <w:rPr>
          <w:rFonts w:eastAsiaTheme="minorEastAsia"/>
          <w:bCs/>
          <w:iCs/>
          <w:snapToGrid w:val="0"/>
          <w:kern w:val="22"/>
          <w:lang w:eastAsia="zh-CN"/>
        </w:rPr>
        <w:t>编制和审查第五版</w:t>
      </w:r>
      <w:r w:rsidRPr="00A95ACD">
        <w:rPr>
          <w:rFonts w:eastAsiaTheme="minorEastAsia"/>
          <w:iCs/>
          <w:kern w:val="22"/>
          <w:lang w:eastAsia="zh-CN"/>
        </w:rPr>
        <w:t>《</w:t>
      </w:r>
      <w:r w:rsidRPr="00624801">
        <w:rPr>
          <w:rFonts w:ascii="KaiTi" w:eastAsia="KaiTi" w:hAnsi="KaiTi"/>
          <w:iCs/>
          <w:snapToGrid w:val="0"/>
          <w:kern w:val="22"/>
          <w:szCs w:val="18"/>
          <w:lang w:eastAsia="zh-CN"/>
        </w:rPr>
        <w:t>全球生物多样性展望</w:t>
      </w:r>
      <w:r w:rsidRPr="00A95ACD">
        <w:rPr>
          <w:rFonts w:eastAsiaTheme="minorEastAsia"/>
          <w:bCs/>
          <w:iCs/>
          <w:snapToGrid w:val="0"/>
          <w:kern w:val="22"/>
          <w:lang w:eastAsia="zh-CN"/>
        </w:rPr>
        <w:t>》</w:t>
      </w:r>
      <w:r w:rsidRPr="00A95ACD">
        <w:rPr>
          <w:rFonts w:eastAsiaTheme="minorEastAsia"/>
          <w:iCs/>
          <w:kern w:val="22"/>
          <w:lang w:eastAsia="zh-CN"/>
        </w:rPr>
        <w:t>；</w:t>
      </w:r>
    </w:p>
    <w:p w:rsidR="00B72FA3" w:rsidRPr="00A95ACD" w:rsidRDefault="00B72FA3" w:rsidP="00615E7F">
      <w:pPr>
        <w:numPr>
          <w:ilvl w:val="0"/>
          <w:numId w:val="274"/>
        </w:numPr>
        <w:ind w:left="0" w:firstLine="720"/>
        <w:rPr>
          <w:rFonts w:eastAsiaTheme="minorEastAsia"/>
          <w:bCs/>
          <w:iCs/>
          <w:snapToGrid w:val="0"/>
          <w:kern w:val="22"/>
          <w:lang w:eastAsia="zh-CN"/>
        </w:rPr>
      </w:pPr>
      <w:r w:rsidRPr="00A95ACD">
        <w:rPr>
          <w:rFonts w:eastAsiaTheme="minorEastAsia"/>
          <w:bCs/>
          <w:iCs/>
          <w:snapToGrid w:val="0"/>
          <w:kern w:val="22"/>
          <w:lang w:eastAsia="zh-CN"/>
        </w:rPr>
        <w:t>注意到科学、技术和工艺咨询附属机构第二十一次会议关于缔约方大会第</w:t>
      </w:r>
      <w:r>
        <w:rPr>
          <w:rFonts w:eastAsiaTheme="minorEastAsia"/>
          <w:iCs/>
          <w:kern w:val="22"/>
          <w:lang w:eastAsia="zh-CN"/>
        </w:rPr>
        <w:t>14</w:t>
      </w:r>
      <w:r w:rsidRPr="00A95ACD">
        <w:rPr>
          <w:rFonts w:eastAsiaTheme="minorEastAsia"/>
          <w:iCs/>
          <w:kern w:val="22"/>
          <w:lang w:eastAsia="zh-CN"/>
        </w:rPr>
        <w:t>/</w:t>
      </w:r>
      <w:r>
        <w:rPr>
          <w:rFonts w:eastAsiaTheme="minorEastAsia"/>
          <w:iCs/>
          <w:kern w:val="22"/>
          <w:lang w:eastAsia="zh-CN"/>
        </w:rPr>
        <w:t>2</w:t>
      </w:r>
      <w:r w:rsidRPr="00A95ACD">
        <w:rPr>
          <w:rFonts w:eastAsiaTheme="minorEastAsia"/>
          <w:bCs/>
          <w:iCs/>
          <w:snapToGrid w:val="0"/>
          <w:kern w:val="22"/>
          <w:lang w:eastAsia="zh-CN"/>
        </w:rPr>
        <w:t>号决定附件</w:t>
      </w:r>
      <w:r w:rsidRPr="00A95ACD">
        <w:rPr>
          <w:rFonts w:eastAsiaTheme="minorEastAsia"/>
          <w:bCs/>
          <w:iCs/>
          <w:snapToGrid w:val="0"/>
          <w:kern w:val="22"/>
          <w:vertAlign w:val="superscript"/>
        </w:rPr>
        <w:footnoteReference w:id="322"/>
      </w:r>
      <w:r>
        <w:rPr>
          <w:rFonts w:eastAsiaTheme="minorEastAsia" w:hint="eastAsia"/>
          <w:bCs/>
          <w:iCs/>
          <w:snapToGrid w:val="0"/>
          <w:kern w:val="22"/>
          <w:lang w:eastAsia="zh-CN"/>
        </w:rPr>
        <w:t xml:space="preserve"> </w:t>
      </w:r>
      <w:r w:rsidRPr="00A95ACD">
        <w:rPr>
          <w:rFonts w:eastAsiaTheme="minorEastAsia"/>
          <w:bCs/>
          <w:iCs/>
          <w:snapToGrid w:val="0"/>
          <w:kern w:val="22"/>
          <w:lang w:eastAsia="zh-CN"/>
        </w:rPr>
        <w:t>所载</w:t>
      </w:r>
      <w:r w:rsidRPr="00A95ACD">
        <w:rPr>
          <w:rFonts w:eastAsiaTheme="minorEastAsia"/>
          <w:bCs/>
          <w:iCs/>
          <w:snapToGrid w:val="0"/>
          <w:kern w:val="22"/>
          <w:lang w:eastAsia="zh-CN"/>
        </w:rPr>
        <w:t>2050</w:t>
      </w:r>
      <w:r w:rsidRPr="00A95ACD">
        <w:rPr>
          <w:rFonts w:eastAsiaTheme="minorEastAsia"/>
          <w:bCs/>
          <w:iCs/>
          <w:snapToGrid w:val="0"/>
          <w:kern w:val="22"/>
          <w:lang w:eastAsia="zh-CN"/>
        </w:rPr>
        <w:t>年生物多样性愿景</w:t>
      </w:r>
      <w:r>
        <w:rPr>
          <w:rFonts w:eastAsiaTheme="minorEastAsia" w:hint="eastAsia"/>
          <w:bCs/>
          <w:iCs/>
          <w:snapToGrid w:val="0"/>
          <w:kern w:val="22"/>
          <w:lang w:eastAsia="zh-CN"/>
        </w:rPr>
        <w:t>情景设想</w:t>
      </w:r>
      <w:r w:rsidRPr="00A95ACD">
        <w:rPr>
          <w:rFonts w:eastAsiaTheme="minorEastAsia"/>
          <w:bCs/>
          <w:iCs/>
          <w:snapToGrid w:val="0"/>
          <w:kern w:val="22"/>
          <w:lang w:eastAsia="zh-CN"/>
        </w:rPr>
        <w:t>的结论；</w:t>
      </w:r>
    </w:p>
    <w:p w:rsidR="00B72FA3" w:rsidRPr="00A95ACD" w:rsidRDefault="00B72FA3" w:rsidP="00615E7F">
      <w:pPr>
        <w:pStyle w:val="Para1"/>
        <w:numPr>
          <w:ilvl w:val="0"/>
          <w:numId w:val="275"/>
        </w:numPr>
        <w:tabs>
          <w:tab w:val="clear" w:pos="360"/>
        </w:tabs>
        <w:snapToGrid w:val="0"/>
        <w:rPr>
          <w:rFonts w:eastAsiaTheme="minorEastAsia"/>
          <w:sz w:val="24"/>
          <w:lang w:eastAsia="zh-CN"/>
        </w:rPr>
      </w:pPr>
      <w:r w:rsidRPr="00A01E80">
        <w:rPr>
          <w:rFonts w:ascii="KaiTi" w:eastAsia="KaiTi" w:hAnsi="KaiTi"/>
          <w:sz w:val="24"/>
          <w:lang w:eastAsia="zh-CN"/>
        </w:rPr>
        <w:t>敦促</w:t>
      </w:r>
      <w:r w:rsidRPr="00A95ACD">
        <w:rPr>
          <w:rFonts w:eastAsiaTheme="minorEastAsia"/>
          <w:sz w:val="24"/>
          <w:lang w:eastAsia="zh-CN"/>
        </w:rPr>
        <w:t>各缔约方并</w:t>
      </w:r>
      <w:r w:rsidRPr="00C26C54">
        <w:rPr>
          <w:rFonts w:ascii="KaiTi" w:eastAsia="KaiTi" w:hAnsi="KaiTi" w:hint="eastAsia"/>
          <w:sz w:val="24"/>
          <w:lang w:eastAsia="zh-CN"/>
        </w:rPr>
        <w:t>邀请</w:t>
      </w:r>
      <w:r w:rsidRPr="00A95ACD">
        <w:rPr>
          <w:rFonts w:eastAsiaTheme="minorEastAsia"/>
          <w:sz w:val="24"/>
          <w:lang w:eastAsia="zh-CN"/>
        </w:rPr>
        <w:t>其他国家政府和</w:t>
      </w:r>
      <w:r>
        <w:rPr>
          <w:rFonts w:eastAsiaTheme="minorEastAsia" w:hint="eastAsia"/>
          <w:sz w:val="24"/>
          <w:lang w:eastAsia="zh-CN"/>
        </w:rPr>
        <w:t>相关</w:t>
      </w:r>
      <w:r w:rsidRPr="00A95ACD">
        <w:rPr>
          <w:rFonts w:eastAsiaTheme="minorEastAsia"/>
          <w:sz w:val="24"/>
          <w:lang w:eastAsia="zh-CN"/>
        </w:rPr>
        <w:t>组织以公开方式提供关于生物多样性的现状、趋势和面临的威胁及对其预测以及关于《公约》和《</w:t>
      </w:r>
      <w:r w:rsidRPr="00A95ACD">
        <w:rPr>
          <w:rFonts w:eastAsiaTheme="minorEastAsia"/>
          <w:sz w:val="24"/>
          <w:lang w:eastAsia="zh-CN"/>
        </w:rPr>
        <w:t>2011-2020</w:t>
      </w:r>
      <w:r w:rsidRPr="00A95ACD">
        <w:rPr>
          <w:rFonts w:eastAsiaTheme="minorEastAsia"/>
          <w:sz w:val="24"/>
          <w:lang w:eastAsia="zh-CN"/>
        </w:rPr>
        <w:t>年生物多样性战略计划》执行进展情况包括主流化活动的准确和可靠数据和数据更新；</w:t>
      </w:r>
    </w:p>
    <w:p w:rsidR="00B72FA3" w:rsidRPr="00A95ACD" w:rsidRDefault="00B72FA3" w:rsidP="00615E7F">
      <w:pPr>
        <w:pStyle w:val="Para1"/>
        <w:numPr>
          <w:ilvl w:val="0"/>
          <w:numId w:val="275"/>
        </w:numPr>
        <w:tabs>
          <w:tab w:val="clear" w:pos="360"/>
        </w:tabs>
        <w:snapToGrid w:val="0"/>
        <w:rPr>
          <w:rFonts w:eastAsiaTheme="minorEastAsia"/>
          <w:iCs/>
          <w:kern w:val="22"/>
          <w:sz w:val="24"/>
          <w:lang w:eastAsia="zh-CN"/>
        </w:rPr>
      </w:pPr>
      <w:r w:rsidRPr="00A01E80">
        <w:rPr>
          <w:rFonts w:ascii="KaiTi" w:eastAsia="KaiTi" w:hAnsi="KaiTi"/>
          <w:sz w:val="24"/>
          <w:lang w:eastAsia="zh-CN"/>
        </w:rPr>
        <w:lastRenderedPageBreak/>
        <w:t>邀请</w:t>
      </w:r>
      <w:r w:rsidRPr="00A95ACD">
        <w:rPr>
          <w:rFonts w:eastAsiaTheme="minorEastAsia"/>
          <w:kern w:val="22"/>
          <w:sz w:val="24"/>
          <w:lang w:eastAsia="zh-CN"/>
        </w:rPr>
        <w:t>各缔约方、其他国家政府和相关组织</w:t>
      </w:r>
      <w:r>
        <w:rPr>
          <w:rFonts w:eastAsiaTheme="minorEastAsia" w:hint="eastAsia"/>
          <w:kern w:val="22"/>
          <w:sz w:val="24"/>
          <w:lang w:eastAsia="zh-CN"/>
        </w:rPr>
        <w:t>在</w:t>
      </w:r>
      <w:r>
        <w:rPr>
          <w:rFonts w:eastAsiaTheme="minorEastAsia"/>
          <w:kern w:val="22"/>
          <w:sz w:val="24"/>
          <w:lang w:eastAsia="zh-CN"/>
        </w:rPr>
        <w:t>可能的情况下</w:t>
      </w:r>
      <w:r w:rsidRPr="00A95ACD">
        <w:rPr>
          <w:rFonts w:eastAsiaTheme="minorEastAsia"/>
          <w:kern w:val="22"/>
          <w:sz w:val="24"/>
          <w:lang w:eastAsia="zh-CN"/>
        </w:rPr>
        <w:t>为第五版</w:t>
      </w:r>
      <w:r w:rsidRPr="00624801">
        <w:rPr>
          <w:rFonts w:ascii="KaiTi" w:eastAsia="KaiTi" w:hAnsi="KaiTi"/>
          <w:iCs/>
          <w:kern w:val="22"/>
          <w:sz w:val="24"/>
          <w:lang w:eastAsia="zh-CN"/>
        </w:rPr>
        <w:t>《全球生物多样性展望</w:t>
      </w:r>
      <w:r w:rsidRPr="00A95ACD">
        <w:rPr>
          <w:rFonts w:eastAsiaTheme="minorEastAsia"/>
          <w:kern w:val="22"/>
          <w:sz w:val="24"/>
          <w:lang w:eastAsia="zh-CN"/>
        </w:rPr>
        <w:t>》</w:t>
      </w:r>
      <w:r>
        <w:rPr>
          <w:rFonts w:eastAsiaTheme="minorEastAsia" w:hint="eastAsia"/>
          <w:iCs/>
          <w:kern w:val="22"/>
          <w:sz w:val="24"/>
          <w:lang w:eastAsia="zh-CN"/>
        </w:rPr>
        <w:t>及</w:t>
      </w:r>
      <w:r w:rsidRPr="00A95ACD">
        <w:rPr>
          <w:rFonts w:eastAsiaTheme="minorEastAsia"/>
          <w:iCs/>
          <w:kern w:val="22"/>
          <w:sz w:val="24"/>
          <w:lang w:eastAsia="zh-CN"/>
        </w:rPr>
        <w:t>其相关产品包括第二版《</w:t>
      </w:r>
      <w:r w:rsidRPr="00624801">
        <w:rPr>
          <w:rFonts w:ascii="KaiTi" w:eastAsia="KaiTi" w:hAnsi="KaiTi"/>
          <w:iCs/>
          <w:kern w:val="22"/>
          <w:sz w:val="24"/>
          <w:lang w:eastAsia="zh-CN"/>
        </w:rPr>
        <w:t>地方生物多样性展望</w:t>
      </w:r>
      <w:r w:rsidRPr="00A95ACD">
        <w:rPr>
          <w:rFonts w:eastAsiaTheme="minorEastAsia"/>
          <w:iCs/>
          <w:kern w:val="22"/>
          <w:sz w:val="24"/>
          <w:lang w:eastAsia="zh-CN"/>
        </w:rPr>
        <w:t>》的编写和制作</w:t>
      </w:r>
      <w:r>
        <w:rPr>
          <w:rFonts w:eastAsiaTheme="minorEastAsia" w:hint="eastAsia"/>
          <w:iCs/>
          <w:kern w:val="22"/>
          <w:sz w:val="24"/>
          <w:lang w:eastAsia="zh-CN"/>
        </w:rPr>
        <w:t>以及《</w:t>
      </w:r>
      <w:r>
        <w:rPr>
          <w:rFonts w:eastAsiaTheme="minorEastAsia" w:hint="eastAsia"/>
          <w:iCs/>
          <w:kern w:val="22"/>
          <w:sz w:val="24"/>
          <w:lang w:eastAsia="zh-CN"/>
        </w:rPr>
        <w:t>2011-2020</w:t>
      </w:r>
      <w:r>
        <w:rPr>
          <w:rFonts w:eastAsiaTheme="minorEastAsia" w:hint="eastAsia"/>
          <w:iCs/>
          <w:kern w:val="22"/>
          <w:sz w:val="24"/>
          <w:lang w:eastAsia="zh-CN"/>
        </w:rPr>
        <w:t>年</w:t>
      </w:r>
      <w:r w:rsidRPr="00FF71F6">
        <w:rPr>
          <w:rFonts w:eastAsiaTheme="minorEastAsia" w:hint="eastAsia"/>
          <w:kern w:val="22"/>
          <w:sz w:val="24"/>
          <w:lang w:eastAsia="zh-CN"/>
        </w:rPr>
        <w:t>全球植物保护战略</w:t>
      </w:r>
      <w:r>
        <w:rPr>
          <w:rFonts w:eastAsiaTheme="minorEastAsia" w:hint="eastAsia"/>
          <w:kern w:val="22"/>
          <w:sz w:val="24"/>
          <w:lang w:eastAsia="zh-CN"/>
        </w:rPr>
        <w:t>》执行情况的评估</w:t>
      </w:r>
      <w:r w:rsidRPr="00A95ACD">
        <w:rPr>
          <w:rFonts w:eastAsiaTheme="minorEastAsia"/>
          <w:iCs/>
          <w:kern w:val="22"/>
          <w:sz w:val="24"/>
          <w:lang w:eastAsia="zh-CN"/>
        </w:rPr>
        <w:t>及时提供财政捐助。</w:t>
      </w:r>
    </w:p>
    <w:p w:rsidR="00B72FA3" w:rsidRPr="005C02ED" w:rsidRDefault="00B72FA3" w:rsidP="00B72FA3">
      <w:pPr>
        <w:ind w:firstLine="0"/>
        <w:jc w:val="center"/>
        <w:rPr>
          <w:rFonts w:ascii="KaiTi" w:eastAsia="KaiTi" w:hAnsi="KaiTi"/>
          <w:lang w:eastAsia="zh-CN"/>
        </w:rPr>
      </w:pPr>
      <w:r w:rsidRPr="005C02ED">
        <w:rPr>
          <w:rFonts w:ascii="KaiTi" w:eastAsia="KaiTi" w:hAnsi="KaiTi" w:hint="eastAsia"/>
          <w:lang w:eastAsia="zh-CN"/>
        </w:rPr>
        <w:t>附件</w:t>
      </w:r>
    </w:p>
    <w:p w:rsidR="00B72FA3" w:rsidRPr="005C02ED" w:rsidRDefault="00B72FA3" w:rsidP="00B72FA3">
      <w:pPr>
        <w:pStyle w:val="Para1"/>
        <w:keepNext/>
        <w:keepLines/>
        <w:tabs>
          <w:tab w:val="clear" w:pos="360"/>
        </w:tabs>
        <w:spacing w:line="240" w:lineRule="atLeast"/>
        <w:ind w:left="720" w:firstLine="0"/>
        <w:jc w:val="center"/>
        <w:rPr>
          <w:rFonts w:eastAsiaTheme="minorEastAsia"/>
          <w:b/>
          <w:kern w:val="22"/>
          <w:sz w:val="24"/>
          <w:szCs w:val="24"/>
          <w:lang w:eastAsia="zh-CN"/>
        </w:rPr>
      </w:pPr>
      <w:r w:rsidRPr="005C02ED">
        <w:rPr>
          <w:rFonts w:eastAsiaTheme="minorEastAsia"/>
          <w:b/>
          <w:kern w:val="22"/>
          <w:sz w:val="24"/>
          <w:szCs w:val="24"/>
          <w:lang w:eastAsia="zh-CN"/>
        </w:rPr>
        <w:t>编制第五版《</w:t>
      </w:r>
      <w:r w:rsidRPr="00A317D3">
        <w:rPr>
          <w:rFonts w:ascii="KaiTi" w:eastAsia="KaiTi" w:hAnsi="KaiTi"/>
          <w:b/>
          <w:kern w:val="22"/>
          <w:sz w:val="24"/>
          <w:szCs w:val="24"/>
          <w:lang w:eastAsia="zh-CN"/>
        </w:rPr>
        <w:t>全球生物多样性展望</w:t>
      </w:r>
      <w:r w:rsidRPr="005C02ED">
        <w:rPr>
          <w:rFonts w:eastAsiaTheme="minorEastAsia"/>
          <w:b/>
          <w:kern w:val="22"/>
          <w:sz w:val="24"/>
          <w:szCs w:val="24"/>
          <w:lang w:eastAsia="zh-CN"/>
        </w:rPr>
        <w:t>》指示性时间表</w:t>
      </w:r>
    </w:p>
    <w:p w:rsidR="00B72FA3" w:rsidRPr="00A317D3" w:rsidRDefault="00B72FA3" w:rsidP="00B72FA3">
      <w:pPr>
        <w:pStyle w:val="Para1"/>
        <w:keepNext/>
        <w:keepLines/>
        <w:pBdr>
          <w:top w:val="single" w:sz="4" w:space="1" w:color="auto"/>
          <w:bottom w:val="single" w:sz="4" w:space="1" w:color="auto"/>
        </w:pBdr>
        <w:tabs>
          <w:tab w:val="clear" w:pos="360"/>
        </w:tabs>
        <w:spacing w:before="0" w:after="0"/>
        <w:ind w:left="720" w:right="1422" w:firstLine="0"/>
        <w:rPr>
          <w:rFonts w:ascii="KaiTi" w:eastAsia="KaiTi" w:hAnsi="KaiTi"/>
          <w:kern w:val="22"/>
          <w:sz w:val="24"/>
          <w:szCs w:val="24"/>
          <w:lang w:eastAsia="zh-CN"/>
        </w:rPr>
      </w:pPr>
      <w:r w:rsidRPr="00A317D3">
        <w:rPr>
          <w:rFonts w:ascii="KaiTi" w:eastAsia="KaiTi" w:hAnsi="KaiTi"/>
          <w:kern w:val="22"/>
          <w:sz w:val="24"/>
          <w:szCs w:val="24"/>
          <w:lang w:eastAsia="zh-CN"/>
        </w:rPr>
        <w:t>产品/要点</w:t>
      </w:r>
      <w:r w:rsidRPr="00A317D3">
        <w:rPr>
          <w:rFonts w:ascii="KaiTi" w:eastAsia="KaiTi" w:hAnsi="KaiTi"/>
          <w:kern w:val="22"/>
          <w:sz w:val="24"/>
          <w:szCs w:val="24"/>
          <w:lang w:eastAsia="zh-CN"/>
        </w:rPr>
        <w:tab/>
      </w:r>
      <w:r w:rsidRPr="00A317D3">
        <w:rPr>
          <w:rFonts w:ascii="KaiTi" w:eastAsia="KaiTi" w:hAnsi="KaiTi"/>
          <w:kern w:val="22"/>
          <w:sz w:val="24"/>
          <w:szCs w:val="24"/>
          <w:lang w:eastAsia="zh-CN"/>
        </w:rPr>
        <w:tab/>
      </w:r>
      <w:r w:rsidRPr="00A317D3">
        <w:rPr>
          <w:rFonts w:ascii="KaiTi" w:eastAsia="KaiTi" w:hAnsi="KaiTi"/>
          <w:kern w:val="22"/>
          <w:sz w:val="24"/>
          <w:szCs w:val="24"/>
          <w:lang w:eastAsia="zh-CN"/>
        </w:rPr>
        <w:tab/>
      </w:r>
      <w:r w:rsidRPr="00A317D3">
        <w:rPr>
          <w:rFonts w:ascii="KaiTi" w:eastAsia="KaiTi" w:hAnsi="KaiTi"/>
          <w:kern w:val="22"/>
          <w:sz w:val="24"/>
          <w:szCs w:val="24"/>
          <w:lang w:eastAsia="zh-CN"/>
        </w:rPr>
        <w:tab/>
      </w:r>
      <w:r w:rsidRPr="00A317D3">
        <w:rPr>
          <w:rFonts w:ascii="KaiTi" w:eastAsia="KaiTi" w:hAnsi="KaiTi"/>
          <w:kern w:val="22"/>
          <w:sz w:val="24"/>
          <w:szCs w:val="24"/>
          <w:lang w:eastAsia="zh-CN"/>
        </w:rPr>
        <w:tab/>
      </w:r>
      <w:r w:rsidRPr="00A317D3">
        <w:rPr>
          <w:rFonts w:ascii="KaiTi" w:eastAsia="KaiTi" w:hAnsi="KaiTi"/>
          <w:kern w:val="22"/>
          <w:sz w:val="24"/>
          <w:szCs w:val="24"/>
          <w:lang w:eastAsia="zh-CN"/>
        </w:rPr>
        <w:tab/>
      </w:r>
      <w:r w:rsidRPr="00A317D3">
        <w:rPr>
          <w:rFonts w:ascii="KaiTi" w:eastAsia="KaiTi" w:hAnsi="KaiTi"/>
          <w:kern w:val="22"/>
          <w:sz w:val="24"/>
          <w:szCs w:val="24"/>
          <w:lang w:eastAsia="zh-CN"/>
        </w:rPr>
        <w:tab/>
      </w:r>
      <w:r w:rsidRPr="00A317D3">
        <w:rPr>
          <w:rFonts w:ascii="KaiTi" w:eastAsia="KaiTi" w:hAnsi="KaiTi"/>
          <w:kern w:val="22"/>
          <w:sz w:val="24"/>
          <w:szCs w:val="24"/>
          <w:lang w:eastAsia="zh-CN"/>
        </w:rPr>
        <w:tab/>
        <w:t>日期</w:t>
      </w:r>
    </w:p>
    <w:p w:rsidR="00B72FA3" w:rsidRPr="005C02ED" w:rsidRDefault="00B72FA3" w:rsidP="00B72FA3">
      <w:pPr>
        <w:pStyle w:val="Para1"/>
        <w:keepNext/>
        <w:keepLines/>
        <w:tabs>
          <w:tab w:val="clear" w:pos="360"/>
        </w:tabs>
        <w:spacing w:before="0" w:after="0"/>
        <w:ind w:left="720" w:firstLine="0"/>
        <w:rPr>
          <w:rFonts w:eastAsiaTheme="minorEastAsia"/>
          <w:b/>
          <w:kern w:val="22"/>
          <w:sz w:val="24"/>
          <w:szCs w:val="24"/>
          <w:lang w:eastAsia="zh-CN"/>
        </w:rPr>
      </w:pPr>
      <w:r w:rsidRPr="005C02ED">
        <w:rPr>
          <w:rFonts w:eastAsiaTheme="minorEastAsia"/>
          <w:b/>
          <w:kern w:val="22"/>
          <w:sz w:val="24"/>
          <w:szCs w:val="24"/>
          <w:lang w:eastAsia="zh-CN"/>
        </w:rPr>
        <w:t>政府间科学政策平台区域评估</w:t>
      </w:r>
      <w:r w:rsidRPr="005C02ED">
        <w:rPr>
          <w:rFonts w:eastAsiaTheme="minorEastAsia"/>
          <w:b/>
          <w:kern w:val="22"/>
          <w:sz w:val="24"/>
          <w:szCs w:val="24"/>
          <w:lang w:eastAsia="zh-CN"/>
        </w:rPr>
        <w:tab/>
      </w:r>
      <w:r w:rsidRPr="005C02ED">
        <w:rPr>
          <w:rFonts w:eastAsiaTheme="minorEastAsia"/>
          <w:b/>
          <w:kern w:val="22"/>
          <w:sz w:val="24"/>
          <w:szCs w:val="24"/>
          <w:lang w:eastAsia="zh-CN"/>
        </w:rPr>
        <w:tab/>
      </w:r>
      <w:r w:rsidRPr="005C02ED">
        <w:rPr>
          <w:rFonts w:eastAsiaTheme="minorEastAsia"/>
          <w:b/>
          <w:kern w:val="22"/>
          <w:sz w:val="24"/>
          <w:szCs w:val="24"/>
          <w:lang w:eastAsia="zh-CN"/>
        </w:rPr>
        <w:tab/>
      </w:r>
      <w:r>
        <w:rPr>
          <w:rFonts w:eastAsiaTheme="minorEastAsia" w:hint="eastAsia"/>
          <w:b/>
          <w:kern w:val="22"/>
          <w:sz w:val="24"/>
          <w:szCs w:val="24"/>
          <w:lang w:eastAsia="zh-CN"/>
        </w:rPr>
        <w:tab/>
      </w:r>
      <w:r w:rsidRPr="005C02ED">
        <w:rPr>
          <w:rFonts w:eastAsiaTheme="minorEastAsia"/>
          <w:b/>
          <w:kern w:val="22"/>
          <w:sz w:val="24"/>
          <w:szCs w:val="24"/>
          <w:lang w:eastAsia="zh-CN"/>
        </w:rPr>
        <w:t>2018</w:t>
      </w:r>
      <w:r w:rsidRPr="005C02ED">
        <w:rPr>
          <w:rFonts w:eastAsiaTheme="minorEastAsia"/>
          <w:b/>
          <w:kern w:val="22"/>
          <w:sz w:val="24"/>
          <w:szCs w:val="24"/>
          <w:lang w:eastAsia="zh-CN"/>
        </w:rPr>
        <w:t>年</w:t>
      </w:r>
      <w:r w:rsidRPr="005C02ED">
        <w:rPr>
          <w:rFonts w:eastAsiaTheme="minorEastAsia"/>
          <w:b/>
          <w:kern w:val="22"/>
          <w:sz w:val="24"/>
          <w:szCs w:val="24"/>
          <w:lang w:eastAsia="zh-CN"/>
        </w:rPr>
        <w:t>3</w:t>
      </w:r>
      <w:r w:rsidRPr="005C02ED">
        <w:rPr>
          <w:rFonts w:eastAsiaTheme="minorEastAsia"/>
          <w:b/>
          <w:kern w:val="22"/>
          <w:sz w:val="24"/>
          <w:szCs w:val="24"/>
          <w:lang w:eastAsia="zh-CN"/>
        </w:rPr>
        <w:t>月</w:t>
      </w:r>
    </w:p>
    <w:p w:rsidR="00B72FA3" w:rsidRPr="005C02ED" w:rsidRDefault="00B72FA3" w:rsidP="00B72FA3">
      <w:pPr>
        <w:pStyle w:val="Para1"/>
        <w:keepNext/>
        <w:keepLines/>
        <w:tabs>
          <w:tab w:val="clear" w:pos="360"/>
        </w:tabs>
        <w:spacing w:before="0" w:after="0"/>
        <w:ind w:left="720" w:firstLine="0"/>
        <w:rPr>
          <w:rFonts w:eastAsiaTheme="minorEastAsia"/>
          <w:i/>
          <w:kern w:val="22"/>
          <w:sz w:val="24"/>
          <w:szCs w:val="24"/>
          <w:lang w:eastAsia="zh-CN"/>
        </w:rPr>
      </w:pPr>
      <w:r w:rsidRPr="005C02ED">
        <w:rPr>
          <w:rFonts w:eastAsiaTheme="minorEastAsia"/>
          <w:b/>
          <w:kern w:val="22"/>
          <w:sz w:val="24"/>
          <w:szCs w:val="24"/>
          <w:lang w:eastAsia="zh-CN"/>
        </w:rPr>
        <w:t>国家报告时间表</w:t>
      </w:r>
      <w:r w:rsidRPr="005C02ED">
        <w:rPr>
          <w:rFonts w:eastAsiaTheme="minorEastAsia"/>
          <w:b/>
          <w:kern w:val="22"/>
          <w:sz w:val="24"/>
          <w:szCs w:val="24"/>
          <w:lang w:eastAsia="zh-CN"/>
        </w:rPr>
        <w:tab/>
      </w:r>
      <w:r w:rsidRPr="005C02ED">
        <w:rPr>
          <w:rFonts w:eastAsiaTheme="minorEastAsia"/>
          <w:b/>
          <w:kern w:val="22"/>
          <w:sz w:val="24"/>
          <w:szCs w:val="24"/>
          <w:lang w:eastAsia="zh-CN"/>
        </w:rPr>
        <w:tab/>
      </w:r>
      <w:r w:rsidRPr="005C02ED">
        <w:rPr>
          <w:rFonts w:eastAsiaTheme="minorEastAsia"/>
          <w:b/>
          <w:kern w:val="22"/>
          <w:sz w:val="24"/>
          <w:szCs w:val="24"/>
          <w:lang w:eastAsia="zh-CN"/>
        </w:rPr>
        <w:tab/>
      </w:r>
      <w:r w:rsidRPr="005C02ED">
        <w:rPr>
          <w:rFonts w:eastAsiaTheme="minorEastAsia"/>
          <w:b/>
          <w:kern w:val="22"/>
          <w:sz w:val="24"/>
          <w:szCs w:val="24"/>
          <w:lang w:eastAsia="zh-CN"/>
        </w:rPr>
        <w:tab/>
      </w:r>
      <w:r w:rsidRPr="005C02ED">
        <w:rPr>
          <w:rFonts w:eastAsiaTheme="minorEastAsia"/>
          <w:b/>
          <w:kern w:val="22"/>
          <w:sz w:val="24"/>
          <w:szCs w:val="24"/>
          <w:lang w:eastAsia="zh-CN"/>
        </w:rPr>
        <w:tab/>
      </w:r>
      <w:r w:rsidRPr="005C02ED">
        <w:rPr>
          <w:rFonts w:eastAsiaTheme="minorEastAsia"/>
          <w:b/>
          <w:kern w:val="22"/>
          <w:sz w:val="24"/>
          <w:szCs w:val="24"/>
          <w:lang w:eastAsia="zh-CN"/>
        </w:rPr>
        <w:tab/>
        <w:t>2018</w:t>
      </w:r>
      <w:r w:rsidRPr="005C02ED">
        <w:rPr>
          <w:rFonts w:eastAsiaTheme="minorEastAsia"/>
          <w:b/>
          <w:kern w:val="22"/>
          <w:sz w:val="24"/>
          <w:szCs w:val="24"/>
          <w:lang w:eastAsia="zh-CN"/>
        </w:rPr>
        <w:t>年</w:t>
      </w:r>
      <w:r w:rsidRPr="005C02ED">
        <w:rPr>
          <w:rFonts w:eastAsiaTheme="minorEastAsia"/>
          <w:b/>
          <w:kern w:val="22"/>
          <w:sz w:val="24"/>
          <w:szCs w:val="24"/>
          <w:lang w:eastAsia="zh-CN"/>
        </w:rPr>
        <w:t>12</w:t>
      </w:r>
      <w:r w:rsidRPr="005C02ED">
        <w:rPr>
          <w:rFonts w:eastAsiaTheme="minorEastAsia"/>
          <w:b/>
          <w:kern w:val="22"/>
          <w:sz w:val="24"/>
          <w:szCs w:val="24"/>
          <w:lang w:eastAsia="zh-CN"/>
        </w:rPr>
        <w:t>月</w:t>
      </w:r>
      <w:r w:rsidRPr="005C02ED">
        <w:rPr>
          <w:rFonts w:eastAsiaTheme="minorEastAsia"/>
          <w:b/>
          <w:kern w:val="22"/>
          <w:sz w:val="24"/>
          <w:szCs w:val="24"/>
          <w:lang w:eastAsia="zh-CN"/>
        </w:rPr>
        <w:t>31</w:t>
      </w:r>
      <w:r w:rsidRPr="005C02ED">
        <w:rPr>
          <w:rFonts w:eastAsiaTheme="minorEastAsia"/>
          <w:b/>
          <w:kern w:val="22"/>
          <w:sz w:val="24"/>
          <w:szCs w:val="24"/>
          <w:lang w:eastAsia="zh-CN"/>
        </w:rPr>
        <w:t>日</w:t>
      </w:r>
    </w:p>
    <w:p w:rsidR="00B72FA3" w:rsidRPr="005C02ED" w:rsidRDefault="00B72FA3" w:rsidP="00B72FA3">
      <w:pPr>
        <w:pStyle w:val="Para1"/>
        <w:keepNext/>
        <w:keepLines/>
        <w:tabs>
          <w:tab w:val="clear" w:pos="360"/>
        </w:tabs>
        <w:spacing w:before="0" w:after="0"/>
        <w:ind w:left="720" w:firstLine="0"/>
        <w:rPr>
          <w:rFonts w:eastAsiaTheme="minorEastAsia"/>
          <w:kern w:val="22"/>
          <w:sz w:val="24"/>
          <w:szCs w:val="24"/>
          <w:lang w:eastAsia="zh-CN"/>
        </w:rPr>
      </w:pPr>
      <w:r w:rsidRPr="005C02ED">
        <w:rPr>
          <w:rFonts w:eastAsiaTheme="minorEastAsia"/>
          <w:kern w:val="22"/>
          <w:sz w:val="24"/>
          <w:szCs w:val="24"/>
          <w:lang w:eastAsia="zh-CN"/>
        </w:rPr>
        <w:t>报告大纲草案</w:t>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t>2018</w:t>
      </w:r>
      <w:r w:rsidRPr="005C02ED">
        <w:rPr>
          <w:rFonts w:eastAsiaTheme="minorEastAsia"/>
          <w:kern w:val="22"/>
          <w:sz w:val="24"/>
          <w:szCs w:val="24"/>
          <w:lang w:eastAsia="zh-CN"/>
        </w:rPr>
        <w:t>年</w:t>
      </w:r>
      <w:r w:rsidRPr="005C02ED">
        <w:rPr>
          <w:rFonts w:eastAsiaTheme="minorEastAsia"/>
          <w:kern w:val="22"/>
          <w:sz w:val="24"/>
          <w:szCs w:val="24"/>
          <w:lang w:eastAsia="zh-CN"/>
        </w:rPr>
        <w:t>12</w:t>
      </w:r>
      <w:r w:rsidRPr="005C02ED">
        <w:rPr>
          <w:rFonts w:eastAsiaTheme="minorEastAsia"/>
          <w:kern w:val="22"/>
          <w:sz w:val="24"/>
          <w:szCs w:val="24"/>
          <w:lang w:eastAsia="zh-CN"/>
        </w:rPr>
        <w:t>月</w:t>
      </w:r>
    </w:p>
    <w:p w:rsidR="00B72FA3" w:rsidRPr="005C02ED" w:rsidRDefault="00B72FA3" w:rsidP="00B72FA3">
      <w:pPr>
        <w:pStyle w:val="Para1"/>
        <w:keepNext/>
        <w:keepLines/>
        <w:tabs>
          <w:tab w:val="clear" w:pos="360"/>
        </w:tabs>
        <w:spacing w:before="0" w:after="0"/>
        <w:ind w:left="720" w:firstLine="0"/>
        <w:rPr>
          <w:rFonts w:eastAsiaTheme="minorEastAsia"/>
          <w:kern w:val="22"/>
          <w:sz w:val="24"/>
          <w:szCs w:val="24"/>
          <w:lang w:eastAsia="zh-CN"/>
        </w:rPr>
      </w:pPr>
      <w:r w:rsidRPr="005C02ED">
        <w:rPr>
          <w:rFonts w:eastAsiaTheme="minorEastAsia"/>
          <w:kern w:val="22"/>
          <w:sz w:val="24"/>
          <w:szCs w:val="24"/>
          <w:lang w:eastAsia="zh-CN"/>
        </w:rPr>
        <w:t>编制第一份案文要点</w:t>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t>2019</w:t>
      </w:r>
      <w:r w:rsidRPr="005C02ED">
        <w:rPr>
          <w:rFonts w:eastAsiaTheme="minorEastAsia"/>
          <w:kern w:val="22"/>
          <w:sz w:val="24"/>
          <w:szCs w:val="24"/>
          <w:lang w:eastAsia="zh-CN"/>
        </w:rPr>
        <w:t>年</w:t>
      </w:r>
      <w:r w:rsidRPr="005C02ED">
        <w:rPr>
          <w:rFonts w:eastAsiaTheme="minorEastAsia"/>
          <w:kern w:val="22"/>
          <w:sz w:val="24"/>
          <w:szCs w:val="24"/>
          <w:lang w:eastAsia="zh-CN"/>
        </w:rPr>
        <w:t>1</w:t>
      </w:r>
      <w:r w:rsidRPr="005C02ED">
        <w:rPr>
          <w:rFonts w:eastAsiaTheme="minorEastAsia"/>
          <w:kern w:val="22"/>
          <w:sz w:val="24"/>
          <w:szCs w:val="24"/>
          <w:lang w:eastAsia="zh-CN"/>
        </w:rPr>
        <w:t>月</w:t>
      </w:r>
    </w:p>
    <w:p w:rsidR="00B72FA3" w:rsidRPr="005C02ED" w:rsidRDefault="00B72FA3" w:rsidP="00B72FA3">
      <w:pPr>
        <w:pStyle w:val="Para1"/>
        <w:keepNext/>
        <w:keepLines/>
        <w:tabs>
          <w:tab w:val="clear" w:pos="360"/>
        </w:tabs>
        <w:spacing w:before="0" w:after="0"/>
        <w:ind w:left="720" w:firstLine="0"/>
        <w:rPr>
          <w:rFonts w:eastAsiaTheme="minorEastAsia"/>
          <w:b/>
          <w:kern w:val="22"/>
          <w:sz w:val="24"/>
          <w:szCs w:val="24"/>
          <w:lang w:eastAsia="zh-CN"/>
        </w:rPr>
      </w:pPr>
      <w:r w:rsidRPr="005C02ED">
        <w:rPr>
          <w:rFonts w:eastAsiaTheme="minorEastAsia"/>
          <w:b/>
          <w:kern w:val="22"/>
          <w:sz w:val="24"/>
          <w:szCs w:val="24"/>
          <w:lang w:eastAsia="zh-CN"/>
        </w:rPr>
        <w:t>政府间科学政策平台全球评估</w:t>
      </w:r>
      <w:r w:rsidRPr="005C02ED">
        <w:rPr>
          <w:rFonts w:eastAsiaTheme="minorEastAsia"/>
          <w:b/>
          <w:kern w:val="22"/>
          <w:sz w:val="24"/>
          <w:szCs w:val="24"/>
          <w:lang w:eastAsia="zh-CN"/>
        </w:rPr>
        <w:tab/>
      </w:r>
      <w:r w:rsidRPr="005C02ED">
        <w:rPr>
          <w:rFonts w:eastAsiaTheme="minorEastAsia"/>
          <w:b/>
          <w:kern w:val="22"/>
          <w:sz w:val="24"/>
          <w:szCs w:val="24"/>
          <w:lang w:eastAsia="zh-CN"/>
        </w:rPr>
        <w:tab/>
      </w:r>
      <w:r w:rsidRPr="005C02ED">
        <w:rPr>
          <w:rFonts w:eastAsiaTheme="minorEastAsia"/>
          <w:b/>
          <w:kern w:val="22"/>
          <w:sz w:val="24"/>
          <w:szCs w:val="24"/>
          <w:lang w:eastAsia="zh-CN"/>
        </w:rPr>
        <w:tab/>
      </w:r>
      <w:r>
        <w:rPr>
          <w:rFonts w:eastAsiaTheme="minorEastAsia" w:hint="eastAsia"/>
          <w:b/>
          <w:kern w:val="22"/>
          <w:sz w:val="24"/>
          <w:szCs w:val="24"/>
          <w:lang w:eastAsia="zh-CN"/>
        </w:rPr>
        <w:tab/>
      </w:r>
      <w:r w:rsidRPr="005C02ED">
        <w:rPr>
          <w:rFonts w:eastAsiaTheme="minorEastAsia"/>
          <w:b/>
          <w:kern w:val="22"/>
          <w:sz w:val="24"/>
          <w:szCs w:val="24"/>
          <w:lang w:eastAsia="zh-CN"/>
        </w:rPr>
        <w:t>2019</w:t>
      </w:r>
      <w:r w:rsidRPr="005C02ED">
        <w:rPr>
          <w:rFonts w:eastAsiaTheme="minorEastAsia"/>
          <w:b/>
          <w:kern w:val="22"/>
          <w:sz w:val="24"/>
          <w:szCs w:val="24"/>
          <w:lang w:eastAsia="zh-CN"/>
        </w:rPr>
        <w:t>年</w:t>
      </w:r>
      <w:r w:rsidRPr="005C02ED">
        <w:rPr>
          <w:rFonts w:eastAsiaTheme="minorEastAsia"/>
          <w:b/>
          <w:kern w:val="22"/>
          <w:sz w:val="24"/>
          <w:szCs w:val="24"/>
          <w:lang w:eastAsia="zh-CN"/>
        </w:rPr>
        <w:t>5</w:t>
      </w:r>
      <w:r w:rsidRPr="005C02ED">
        <w:rPr>
          <w:rFonts w:eastAsiaTheme="minorEastAsia"/>
          <w:b/>
          <w:kern w:val="22"/>
          <w:sz w:val="24"/>
          <w:szCs w:val="24"/>
          <w:lang w:eastAsia="zh-CN"/>
        </w:rPr>
        <w:t>月</w:t>
      </w:r>
    </w:p>
    <w:p w:rsidR="00B72FA3" w:rsidRPr="005C02ED" w:rsidRDefault="00B72FA3" w:rsidP="00B72FA3">
      <w:pPr>
        <w:pStyle w:val="Para1"/>
        <w:keepNext/>
        <w:keepLines/>
        <w:tabs>
          <w:tab w:val="clear" w:pos="360"/>
        </w:tabs>
        <w:spacing w:before="0" w:after="0"/>
        <w:ind w:left="720" w:firstLine="0"/>
        <w:rPr>
          <w:rFonts w:eastAsiaTheme="minorEastAsia"/>
          <w:kern w:val="22"/>
          <w:sz w:val="24"/>
          <w:szCs w:val="24"/>
          <w:lang w:eastAsia="zh-CN"/>
        </w:rPr>
      </w:pPr>
      <w:r w:rsidRPr="005C02ED">
        <w:rPr>
          <w:rFonts w:eastAsiaTheme="minorEastAsia"/>
          <w:kern w:val="22"/>
          <w:sz w:val="24"/>
          <w:szCs w:val="24"/>
          <w:lang w:eastAsia="zh-CN"/>
        </w:rPr>
        <w:t>编制零版报告草案</w:t>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Pr>
          <w:rFonts w:eastAsiaTheme="minorEastAsia" w:hint="eastAsia"/>
          <w:kern w:val="22"/>
          <w:sz w:val="24"/>
          <w:szCs w:val="24"/>
          <w:lang w:eastAsia="zh-CN"/>
        </w:rPr>
        <w:tab/>
      </w:r>
      <w:r w:rsidRPr="005C02ED">
        <w:rPr>
          <w:rFonts w:eastAsiaTheme="minorEastAsia"/>
          <w:kern w:val="22"/>
          <w:sz w:val="24"/>
          <w:szCs w:val="24"/>
          <w:lang w:eastAsia="zh-CN"/>
        </w:rPr>
        <w:t>2019</w:t>
      </w:r>
      <w:r w:rsidRPr="005C02ED">
        <w:rPr>
          <w:rFonts w:eastAsiaTheme="minorEastAsia"/>
          <w:kern w:val="22"/>
          <w:sz w:val="24"/>
          <w:szCs w:val="24"/>
          <w:lang w:eastAsia="zh-CN"/>
        </w:rPr>
        <w:t>年</w:t>
      </w:r>
      <w:r w:rsidRPr="005C02ED">
        <w:rPr>
          <w:rFonts w:eastAsiaTheme="minorEastAsia"/>
          <w:kern w:val="22"/>
          <w:sz w:val="24"/>
          <w:szCs w:val="24"/>
          <w:lang w:eastAsia="zh-CN"/>
        </w:rPr>
        <w:t>5-8</w:t>
      </w:r>
      <w:r w:rsidRPr="005C02ED">
        <w:rPr>
          <w:rFonts w:eastAsiaTheme="minorEastAsia"/>
          <w:kern w:val="22"/>
          <w:sz w:val="24"/>
          <w:szCs w:val="24"/>
          <w:lang w:eastAsia="zh-CN"/>
        </w:rPr>
        <w:t>月</w:t>
      </w:r>
    </w:p>
    <w:p w:rsidR="00B72FA3" w:rsidRPr="005C02ED" w:rsidRDefault="00B72FA3" w:rsidP="00B72FA3">
      <w:pPr>
        <w:pStyle w:val="Para1"/>
        <w:keepNext/>
        <w:keepLines/>
        <w:tabs>
          <w:tab w:val="clear" w:pos="360"/>
        </w:tabs>
        <w:spacing w:before="0" w:after="0"/>
        <w:ind w:left="720" w:firstLine="0"/>
        <w:rPr>
          <w:rFonts w:eastAsiaTheme="minorEastAsia"/>
          <w:kern w:val="22"/>
          <w:sz w:val="24"/>
          <w:szCs w:val="24"/>
          <w:lang w:eastAsia="zh-CN"/>
        </w:rPr>
      </w:pPr>
      <w:r w:rsidRPr="005C02ED">
        <w:rPr>
          <w:rFonts w:eastAsiaTheme="minorEastAsia"/>
          <w:kern w:val="22"/>
          <w:sz w:val="24"/>
          <w:szCs w:val="24"/>
          <w:lang w:eastAsia="zh-CN"/>
        </w:rPr>
        <w:t>受邀专家的审议</w:t>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t>2019</w:t>
      </w:r>
      <w:r w:rsidRPr="005C02ED">
        <w:rPr>
          <w:rFonts w:eastAsiaTheme="minorEastAsia"/>
          <w:kern w:val="22"/>
          <w:sz w:val="24"/>
          <w:szCs w:val="24"/>
          <w:lang w:eastAsia="zh-CN"/>
        </w:rPr>
        <w:t>年</w:t>
      </w:r>
      <w:r w:rsidRPr="005C02ED">
        <w:rPr>
          <w:rFonts w:eastAsiaTheme="minorEastAsia"/>
          <w:kern w:val="22"/>
          <w:sz w:val="24"/>
          <w:szCs w:val="24"/>
          <w:lang w:eastAsia="zh-CN"/>
        </w:rPr>
        <w:t>8-9</w:t>
      </w:r>
      <w:r w:rsidRPr="005C02ED">
        <w:rPr>
          <w:rFonts w:eastAsiaTheme="minorEastAsia"/>
          <w:kern w:val="22"/>
          <w:sz w:val="24"/>
          <w:szCs w:val="24"/>
          <w:lang w:eastAsia="zh-CN"/>
        </w:rPr>
        <w:t>月</w:t>
      </w:r>
    </w:p>
    <w:p w:rsidR="00B72FA3" w:rsidRPr="005C02ED" w:rsidRDefault="00B72FA3" w:rsidP="00B72FA3">
      <w:pPr>
        <w:pStyle w:val="Para1"/>
        <w:keepNext/>
        <w:keepLines/>
        <w:tabs>
          <w:tab w:val="clear" w:pos="360"/>
        </w:tabs>
        <w:spacing w:before="0" w:after="0"/>
        <w:ind w:left="720" w:firstLine="0"/>
        <w:rPr>
          <w:rFonts w:eastAsiaTheme="minorEastAsia"/>
          <w:kern w:val="22"/>
          <w:sz w:val="24"/>
          <w:szCs w:val="24"/>
          <w:lang w:eastAsia="zh-CN"/>
        </w:rPr>
      </w:pPr>
      <w:r w:rsidRPr="005C02ED">
        <w:rPr>
          <w:rFonts w:eastAsiaTheme="minorEastAsia"/>
          <w:kern w:val="22"/>
          <w:sz w:val="24"/>
          <w:szCs w:val="24"/>
          <w:lang w:eastAsia="zh-CN"/>
        </w:rPr>
        <w:t>修订草案</w:t>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t>2019</w:t>
      </w:r>
      <w:r w:rsidRPr="005C02ED">
        <w:rPr>
          <w:rFonts w:eastAsiaTheme="minorEastAsia"/>
          <w:kern w:val="22"/>
          <w:sz w:val="24"/>
          <w:szCs w:val="24"/>
          <w:lang w:eastAsia="zh-CN"/>
        </w:rPr>
        <w:t>年</w:t>
      </w:r>
      <w:r w:rsidRPr="005C02ED">
        <w:rPr>
          <w:rFonts w:eastAsiaTheme="minorEastAsia"/>
          <w:kern w:val="22"/>
          <w:sz w:val="24"/>
          <w:szCs w:val="24"/>
          <w:lang w:eastAsia="zh-CN"/>
        </w:rPr>
        <w:t>8-9</w:t>
      </w:r>
      <w:r w:rsidRPr="005C02ED">
        <w:rPr>
          <w:rFonts w:eastAsiaTheme="minorEastAsia"/>
          <w:kern w:val="22"/>
          <w:sz w:val="24"/>
          <w:szCs w:val="24"/>
          <w:lang w:eastAsia="zh-CN"/>
        </w:rPr>
        <w:t>月</w:t>
      </w:r>
    </w:p>
    <w:p w:rsidR="00B72FA3" w:rsidRPr="005C02ED" w:rsidRDefault="00B72FA3" w:rsidP="00B72FA3">
      <w:pPr>
        <w:pStyle w:val="Para1"/>
        <w:keepNext/>
        <w:keepLines/>
        <w:tabs>
          <w:tab w:val="clear" w:pos="360"/>
        </w:tabs>
        <w:spacing w:before="0" w:after="0"/>
        <w:ind w:left="720" w:firstLine="0"/>
        <w:rPr>
          <w:rFonts w:eastAsiaTheme="minorEastAsia"/>
          <w:kern w:val="22"/>
          <w:sz w:val="24"/>
          <w:szCs w:val="24"/>
          <w:lang w:eastAsia="zh-CN"/>
        </w:rPr>
      </w:pPr>
      <w:r w:rsidRPr="005C02ED">
        <w:rPr>
          <w:rFonts w:eastAsiaTheme="minorEastAsia"/>
          <w:kern w:val="22"/>
          <w:sz w:val="24"/>
          <w:szCs w:val="24"/>
          <w:lang w:eastAsia="zh-CN"/>
        </w:rPr>
        <w:t>缔约方和各种审议</w:t>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Pr>
          <w:rFonts w:eastAsiaTheme="minorEastAsia" w:hint="eastAsia"/>
          <w:kern w:val="22"/>
          <w:sz w:val="24"/>
          <w:szCs w:val="24"/>
          <w:lang w:eastAsia="zh-CN"/>
        </w:rPr>
        <w:tab/>
      </w:r>
      <w:r w:rsidRPr="005C02ED">
        <w:rPr>
          <w:rFonts w:eastAsiaTheme="minorEastAsia"/>
          <w:kern w:val="22"/>
          <w:sz w:val="24"/>
          <w:szCs w:val="24"/>
          <w:lang w:eastAsia="zh-CN"/>
        </w:rPr>
        <w:t>2019</w:t>
      </w:r>
      <w:r w:rsidRPr="005C02ED">
        <w:rPr>
          <w:rFonts w:eastAsiaTheme="minorEastAsia"/>
          <w:kern w:val="22"/>
          <w:sz w:val="24"/>
          <w:szCs w:val="24"/>
          <w:lang w:eastAsia="zh-CN"/>
        </w:rPr>
        <w:t>年</w:t>
      </w:r>
      <w:r w:rsidRPr="005C02ED">
        <w:rPr>
          <w:rFonts w:eastAsiaTheme="minorEastAsia"/>
          <w:kern w:val="22"/>
          <w:sz w:val="24"/>
          <w:szCs w:val="24"/>
          <w:lang w:eastAsia="zh-CN"/>
        </w:rPr>
        <w:t>10-12</w:t>
      </w:r>
      <w:r w:rsidRPr="005C02ED">
        <w:rPr>
          <w:rFonts w:eastAsiaTheme="minorEastAsia"/>
          <w:kern w:val="22"/>
          <w:sz w:val="24"/>
          <w:szCs w:val="24"/>
          <w:lang w:eastAsia="zh-CN"/>
        </w:rPr>
        <w:t>月</w:t>
      </w:r>
    </w:p>
    <w:p w:rsidR="00B72FA3" w:rsidRPr="005C02ED" w:rsidRDefault="00B72FA3" w:rsidP="00B72FA3">
      <w:pPr>
        <w:pStyle w:val="Para1"/>
        <w:keepNext/>
        <w:keepLines/>
        <w:tabs>
          <w:tab w:val="clear" w:pos="360"/>
        </w:tabs>
        <w:spacing w:before="0" w:after="0"/>
        <w:ind w:left="720" w:firstLine="0"/>
        <w:rPr>
          <w:rFonts w:eastAsiaTheme="minorEastAsia"/>
          <w:kern w:val="22"/>
          <w:sz w:val="24"/>
          <w:szCs w:val="24"/>
          <w:lang w:eastAsia="zh-CN"/>
        </w:rPr>
      </w:pPr>
      <w:r w:rsidRPr="005C02ED">
        <w:rPr>
          <w:rFonts w:eastAsiaTheme="minorEastAsia"/>
          <w:kern w:val="22"/>
          <w:sz w:val="24"/>
          <w:szCs w:val="24"/>
          <w:lang w:eastAsia="zh-CN"/>
        </w:rPr>
        <w:t>制定图像要点</w:t>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t>2019</w:t>
      </w:r>
      <w:r w:rsidRPr="005C02ED">
        <w:rPr>
          <w:rFonts w:eastAsiaTheme="minorEastAsia"/>
          <w:kern w:val="22"/>
          <w:sz w:val="24"/>
          <w:szCs w:val="24"/>
          <w:lang w:eastAsia="zh-CN"/>
        </w:rPr>
        <w:t>年</w:t>
      </w:r>
      <w:r w:rsidRPr="005C02ED">
        <w:rPr>
          <w:rFonts w:eastAsiaTheme="minorEastAsia"/>
          <w:kern w:val="22"/>
          <w:sz w:val="24"/>
          <w:szCs w:val="24"/>
          <w:lang w:eastAsia="zh-CN"/>
        </w:rPr>
        <w:t>11</w:t>
      </w:r>
      <w:r w:rsidRPr="005C02ED">
        <w:rPr>
          <w:rFonts w:eastAsiaTheme="minorEastAsia"/>
          <w:kern w:val="22"/>
          <w:sz w:val="24"/>
          <w:szCs w:val="24"/>
          <w:lang w:eastAsia="zh-CN"/>
        </w:rPr>
        <w:t>月</w:t>
      </w:r>
    </w:p>
    <w:p w:rsidR="00B72FA3" w:rsidRPr="005C02ED" w:rsidRDefault="00B72FA3" w:rsidP="00B72FA3">
      <w:pPr>
        <w:pStyle w:val="Para1"/>
        <w:keepNext/>
        <w:keepLines/>
        <w:tabs>
          <w:tab w:val="clear" w:pos="360"/>
        </w:tabs>
        <w:spacing w:before="0" w:after="0"/>
        <w:ind w:left="720" w:firstLine="0"/>
        <w:rPr>
          <w:rFonts w:eastAsiaTheme="minorEastAsia"/>
          <w:b/>
          <w:kern w:val="22"/>
          <w:sz w:val="24"/>
          <w:szCs w:val="24"/>
          <w:lang w:eastAsia="zh-CN"/>
        </w:rPr>
      </w:pPr>
      <w:r w:rsidRPr="005C02ED">
        <w:rPr>
          <w:rFonts w:eastAsiaTheme="minorEastAsia"/>
          <w:b/>
          <w:bCs/>
          <w:kern w:val="22"/>
          <w:sz w:val="24"/>
          <w:szCs w:val="24"/>
          <w:lang w:eastAsia="zh-CN"/>
        </w:rPr>
        <w:t>科咨机构第二十三次会议</w:t>
      </w:r>
      <w:r w:rsidRPr="005C02ED">
        <w:rPr>
          <w:rFonts w:eastAsiaTheme="minorEastAsia"/>
          <w:b/>
          <w:bCs/>
          <w:kern w:val="22"/>
          <w:sz w:val="24"/>
          <w:szCs w:val="24"/>
          <w:lang w:eastAsia="zh-CN"/>
        </w:rPr>
        <w:tab/>
      </w:r>
      <w:r w:rsidRPr="005C02ED">
        <w:rPr>
          <w:rFonts w:eastAsiaTheme="minorEastAsia"/>
          <w:b/>
          <w:bCs/>
          <w:kern w:val="22"/>
          <w:sz w:val="24"/>
          <w:szCs w:val="24"/>
          <w:lang w:eastAsia="zh-CN"/>
        </w:rPr>
        <w:tab/>
      </w:r>
      <w:r w:rsidRPr="005C02ED">
        <w:rPr>
          <w:rFonts w:eastAsiaTheme="minorEastAsia"/>
          <w:b/>
          <w:bCs/>
          <w:kern w:val="22"/>
          <w:sz w:val="24"/>
          <w:szCs w:val="24"/>
          <w:lang w:eastAsia="zh-CN"/>
        </w:rPr>
        <w:tab/>
      </w:r>
      <w:r w:rsidRPr="005C02ED">
        <w:rPr>
          <w:rFonts w:eastAsiaTheme="minorEastAsia"/>
          <w:b/>
          <w:bCs/>
          <w:kern w:val="22"/>
          <w:sz w:val="24"/>
          <w:szCs w:val="24"/>
          <w:lang w:eastAsia="zh-CN"/>
        </w:rPr>
        <w:tab/>
      </w:r>
      <w:r>
        <w:rPr>
          <w:rFonts w:eastAsiaTheme="minorEastAsia" w:hint="eastAsia"/>
          <w:b/>
          <w:bCs/>
          <w:kern w:val="22"/>
          <w:sz w:val="24"/>
          <w:szCs w:val="24"/>
          <w:lang w:eastAsia="zh-CN"/>
        </w:rPr>
        <w:tab/>
      </w:r>
      <w:r w:rsidRPr="005C02ED">
        <w:rPr>
          <w:rFonts w:eastAsiaTheme="minorEastAsia"/>
          <w:b/>
          <w:kern w:val="22"/>
          <w:sz w:val="24"/>
          <w:szCs w:val="24"/>
          <w:lang w:eastAsia="zh-CN"/>
        </w:rPr>
        <w:t>2019</w:t>
      </w:r>
      <w:r w:rsidRPr="005C02ED">
        <w:rPr>
          <w:rFonts w:eastAsiaTheme="minorEastAsia"/>
          <w:b/>
          <w:kern w:val="22"/>
          <w:sz w:val="24"/>
          <w:szCs w:val="24"/>
          <w:lang w:eastAsia="zh-CN"/>
        </w:rPr>
        <w:t>年</w:t>
      </w:r>
      <w:r w:rsidRPr="005C02ED">
        <w:rPr>
          <w:rFonts w:eastAsiaTheme="minorEastAsia"/>
          <w:b/>
          <w:kern w:val="22"/>
          <w:sz w:val="24"/>
          <w:szCs w:val="24"/>
          <w:lang w:eastAsia="zh-CN"/>
        </w:rPr>
        <w:t>11</w:t>
      </w:r>
      <w:r w:rsidRPr="005C02ED">
        <w:rPr>
          <w:rFonts w:eastAsiaTheme="minorEastAsia"/>
          <w:b/>
          <w:kern w:val="22"/>
          <w:sz w:val="24"/>
          <w:szCs w:val="24"/>
          <w:lang w:eastAsia="zh-CN"/>
        </w:rPr>
        <w:t>月</w:t>
      </w:r>
    </w:p>
    <w:p w:rsidR="00B72FA3" w:rsidRPr="005C02ED" w:rsidRDefault="00B72FA3" w:rsidP="00B72FA3">
      <w:pPr>
        <w:pStyle w:val="Para1"/>
        <w:keepNext/>
        <w:keepLines/>
        <w:tabs>
          <w:tab w:val="clear" w:pos="360"/>
        </w:tabs>
        <w:spacing w:before="0" w:after="0"/>
        <w:ind w:left="720" w:firstLine="0"/>
        <w:rPr>
          <w:rFonts w:eastAsiaTheme="minorEastAsia"/>
          <w:kern w:val="22"/>
          <w:sz w:val="24"/>
          <w:szCs w:val="24"/>
          <w:lang w:eastAsia="zh-CN"/>
        </w:rPr>
      </w:pPr>
      <w:r w:rsidRPr="005C02ED">
        <w:rPr>
          <w:rFonts w:eastAsiaTheme="minorEastAsia"/>
          <w:kern w:val="22"/>
          <w:sz w:val="24"/>
          <w:szCs w:val="24"/>
          <w:lang w:eastAsia="zh-CN"/>
        </w:rPr>
        <w:t>修订报告草案</w:t>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t>2020</w:t>
      </w:r>
      <w:r w:rsidRPr="005C02ED">
        <w:rPr>
          <w:rFonts w:eastAsiaTheme="minorEastAsia"/>
          <w:kern w:val="22"/>
          <w:sz w:val="24"/>
          <w:szCs w:val="24"/>
          <w:lang w:eastAsia="zh-CN"/>
        </w:rPr>
        <w:t>年</w:t>
      </w:r>
      <w:r w:rsidRPr="005C02ED">
        <w:rPr>
          <w:rFonts w:eastAsiaTheme="minorEastAsia"/>
          <w:kern w:val="22"/>
          <w:sz w:val="24"/>
          <w:szCs w:val="24"/>
          <w:lang w:eastAsia="zh-CN"/>
        </w:rPr>
        <w:t>1-3</w:t>
      </w:r>
      <w:r w:rsidRPr="005C02ED">
        <w:rPr>
          <w:rFonts w:eastAsiaTheme="minorEastAsia"/>
          <w:kern w:val="22"/>
          <w:sz w:val="24"/>
          <w:szCs w:val="24"/>
          <w:lang w:eastAsia="zh-CN"/>
        </w:rPr>
        <w:t>月</w:t>
      </w:r>
    </w:p>
    <w:p w:rsidR="00B72FA3" w:rsidRPr="005C02ED" w:rsidRDefault="00B72FA3" w:rsidP="00B72FA3">
      <w:pPr>
        <w:pStyle w:val="Para1"/>
        <w:keepNext/>
        <w:keepLines/>
        <w:tabs>
          <w:tab w:val="clear" w:pos="360"/>
        </w:tabs>
        <w:spacing w:before="0" w:after="0"/>
        <w:ind w:left="720" w:firstLine="0"/>
        <w:rPr>
          <w:rFonts w:eastAsiaTheme="minorEastAsia"/>
          <w:kern w:val="22"/>
          <w:sz w:val="24"/>
          <w:szCs w:val="24"/>
          <w:lang w:eastAsia="zh-CN"/>
        </w:rPr>
      </w:pPr>
      <w:r w:rsidRPr="005C02ED">
        <w:rPr>
          <w:rFonts w:eastAsiaTheme="minorEastAsia"/>
          <w:kern w:val="22"/>
          <w:sz w:val="24"/>
          <w:szCs w:val="24"/>
          <w:lang w:eastAsia="zh-CN"/>
        </w:rPr>
        <w:t>翻译成联合国正式语文</w:t>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Pr>
          <w:rFonts w:eastAsiaTheme="minorEastAsia" w:hint="eastAsia"/>
          <w:kern w:val="22"/>
          <w:sz w:val="24"/>
          <w:szCs w:val="24"/>
          <w:lang w:eastAsia="zh-CN"/>
        </w:rPr>
        <w:tab/>
      </w:r>
      <w:r w:rsidRPr="005C02ED">
        <w:rPr>
          <w:rFonts w:eastAsiaTheme="minorEastAsia"/>
          <w:kern w:val="22"/>
          <w:sz w:val="24"/>
          <w:szCs w:val="24"/>
          <w:lang w:eastAsia="zh-CN"/>
        </w:rPr>
        <w:t>2020</w:t>
      </w:r>
      <w:r w:rsidRPr="005C02ED">
        <w:rPr>
          <w:rFonts w:eastAsiaTheme="minorEastAsia"/>
          <w:kern w:val="22"/>
          <w:sz w:val="24"/>
          <w:szCs w:val="24"/>
          <w:lang w:eastAsia="zh-CN"/>
        </w:rPr>
        <w:t>年</w:t>
      </w:r>
      <w:r w:rsidRPr="005C02ED">
        <w:rPr>
          <w:rFonts w:eastAsiaTheme="minorEastAsia"/>
          <w:kern w:val="22"/>
          <w:sz w:val="24"/>
          <w:szCs w:val="24"/>
          <w:lang w:eastAsia="zh-CN"/>
        </w:rPr>
        <w:t>3</w:t>
      </w:r>
      <w:r w:rsidRPr="005C02ED">
        <w:rPr>
          <w:rFonts w:eastAsiaTheme="minorEastAsia"/>
          <w:kern w:val="22"/>
          <w:sz w:val="24"/>
          <w:szCs w:val="24"/>
          <w:lang w:eastAsia="zh-CN"/>
        </w:rPr>
        <w:t>月</w:t>
      </w:r>
    </w:p>
    <w:p w:rsidR="00B72FA3" w:rsidRPr="005C02ED" w:rsidRDefault="00B72FA3" w:rsidP="00B72FA3">
      <w:pPr>
        <w:pStyle w:val="Para1"/>
        <w:keepNext/>
        <w:keepLines/>
        <w:tabs>
          <w:tab w:val="clear" w:pos="360"/>
        </w:tabs>
        <w:spacing w:before="0" w:after="0"/>
        <w:ind w:left="720" w:firstLine="0"/>
        <w:rPr>
          <w:rFonts w:eastAsiaTheme="minorEastAsia"/>
          <w:kern w:val="22"/>
          <w:sz w:val="24"/>
          <w:szCs w:val="24"/>
          <w:lang w:eastAsia="zh-CN"/>
        </w:rPr>
      </w:pPr>
      <w:r w:rsidRPr="005C02ED">
        <w:rPr>
          <w:rFonts w:eastAsiaTheme="minorEastAsia"/>
          <w:kern w:val="22"/>
          <w:sz w:val="24"/>
          <w:szCs w:val="24"/>
          <w:lang w:eastAsia="zh-CN"/>
        </w:rPr>
        <w:t>编排</w:t>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t>2020</w:t>
      </w:r>
      <w:r w:rsidRPr="005C02ED">
        <w:rPr>
          <w:rFonts w:eastAsiaTheme="minorEastAsia"/>
          <w:kern w:val="22"/>
          <w:sz w:val="24"/>
          <w:szCs w:val="24"/>
          <w:lang w:eastAsia="zh-CN"/>
        </w:rPr>
        <w:t>年</w:t>
      </w:r>
      <w:r w:rsidRPr="005C02ED">
        <w:rPr>
          <w:rFonts w:eastAsiaTheme="minorEastAsia"/>
          <w:kern w:val="22"/>
          <w:sz w:val="24"/>
          <w:szCs w:val="24"/>
          <w:lang w:eastAsia="zh-CN"/>
        </w:rPr>
        <w:t>3-4</w:t>
      </w:r>
      <w:r w:rsidRPr="005C02ED">
        <w:rPr>
          <w:rFonts w:eastAsiaTheme="minorEastAsia"/>
          <w:kern w:val="22"/>
          <w:sz w:val="24"/>
          <w:szCs w:val="24"/>
          <w:lang w:eastAsia="zh-CN"/>
        </w:rPr>
        <w:t>月</w:t>
      </w:r>
    </w:p>
    <w:p w:rsidR="00B72FA3" w:rsidRPr="005C02ED" w:rsidRDefault="00B72FA3" w:rsidP="00B72FA3">
      <w:pPr>
        <w:pStyle w:val="Para1"/>
        <w:keepNext/>
        <w:keepLines/>
        <w:tabs>
          <w:tab w:val="clear" w:pos="360"/>
        </w:tabs>
        <w:spacing w:before="0" w:after="0"/>
        <w:ind w:left="720" w:firstLine="0"/>
        <w:rPr>
          <w:rFonts w:eastAsiaTheme="minorEastAsia"/>
          <w:kern w:val="22"/>
          <w:sz w:val="24"/>
          <w:szCs w:val="24"/>
          <w:lang w:eastAsia="zh-CN"/>
        </w:rPr>
      </w:pPr>
      <w:r w:rsidRPr="005C02ED">
        <w:rPr>
          <w:rFonts w:eastAsiaTheme="minorEastAsia"/>
          <w:kern w:val="22"/>
          <w:sz w:val="24"/>
          <w:szCs w:val="24"/>
          <w:lang w:eastAsia="zh-CN"/>
        </w:rPr>
        <w:t>印刷及分发给发布活动</w:t>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Pr>
          <w:rFonts w:eastAsiaTheme="minorEastAsia" w:hint="eastAsia"/>
          <w:kern w:val="22"/>
          <w:sz w:val="24"/>
          <w:szCs w:val="24"/>
          <w:lang w:eastAsia="zh-CN"/>
        </w:rPr>
        <w:tab/>
      </w:r>
      <w:r w:rsidRPr="005C02ED">
        <w:rPr>
          <w:rFonts w:eastAsiaTheme="minorEastAsia"/>
          <w:kern w:val="22"/>
          <w:sz w:val="24"/>
          <w:szCs w:val="24"/>
          <w:lang w:eastAsia="zh-CN"/>
        </w:rPr>
        <w:t>2020</w:t>
      </w:r>
      <w:r w:rsidRPr="005C02ED">
        <w:rPr>
          <w:rFonts w:eastAsiaTheme="minorEastAsia"/>
          <w:kern w:val="22"/>
          <w:sz w:val="24"/>
          <w:szCs w:val="24"/>
          <w:lang w:eastAsia="zh-CN"/>
        </w:rPr>
        <w:t>年</w:t>
      </w:r>
      <w:r w:rsidRPr="005C02ED">
        <w:rPr>
          <w:rFonts w:eastAsiaTheme="minorEastAsia"/>
          <w:kern w:val="22"/>
          <w:sz w:val="24"/>
          <w:szCs w:val="24"/>
          <w:lang w:eastAsia="zh-CN"/>
        </w:rPr>
        <w:t>5</w:t>
      </w:r>
      <w:r w:rsidRPr="005C02ED">
        <w:rPr>
          <w:rFonts w:eastAsiaTheme="minorEastAsia"/>
          <w:kern w:val="22"/>
          <w:sz w:val="24"/>
          <w:szCs w:val="24"/>
          <w:lang w:eastAsia="zh-CN"/>
        </w:rPr>
        <w:t>月</w:t>
      </w:r>
    </w:p>
    <w:p w:rsidR="00B72FA3" w:rsidRPr="005C02ED" w:rsidRDefault="00B72FA3" w:rsidP="00B72FA3">
      <w:pPr>
        <w:pStyle w:val="Para1"/>
        <w:keepNext/>
        <w:keepLines/>
        <w:pBdr>
          <w:bottom w:val="single" w:sz="4" w:space="1" w:color="auto"/>
        </w:pBdr>
        <w:tabs>
          <w:tab w:val="clear" w:pos="360"/>
        </w:tabs>
        <w:spacing w:before="0" w:after="0"/>
        <w:ind w:left="720" w:right="1422" w:firstLine="0"/>
        <w:rPr>
          <w:rFonts w:eastAsiaTheme="minorEastAsia"/>
          <w:b/>
          <w:bCs/>
          <w:kern w:val="22"/>
          <w:sz w:val="24"/>
          <w:szCs w:val="24"/>
          <w:lang w:eastAsia="zh-CN"/>
        </w:rPr>
      </w:pPr>
      <w:r w:rsidRPr="005C02ED">
        <w:rPr>
          <w:rFonts w:eastAsiaTheme="minorEastAsia"/>
          <w:b/>
          <w:bCs/>
          <w:kern w:val="22"/>
          <w:sz w:val="24"/>
          <w:szCs w:val="24"/>
          <w:lang w:eastAsia="zh-CN"/>
        </w:rPr>
        <w:t>科咨机构第二十四次会议</w:t>
      </w:r>
      <w:r w:rsidRPr="005C02ED">
        <w:rPr>
          <w:rFonts w:eastAsiaTheme="minorEastAsia"/>
          <w:b/>
          <w:bCs/>
          <w:kern w:val="22"/>
          <w:sz w:val="24"/>
          <w:szCs w:val="24"/>
          <w:lang w:eastAsia="zh-CN"/>
        </w:rPr>
        <w:t>/</w:t>
      </w:r>
    </w:p>
    <w:p w:rsidR="00B72FA3" w:rsidRPr="005C02ED" w:rsidRDefault="00B72FA3" w:rsidP="00B72FA3">
      <w:pPr>
        <w:pStyle w:val="Para1"/>
        <w:keepNext/>
        <w:keepLines/>
        <w:pBdr>
          <w:bottom w:val="single" w:sz="4" w:space="1" w:color="auto"/>
        </w:pBdr>
        <w:tabs>
          <w:tab w:val="clear" w:pos="360"/>
        </w:tabs>
        <w:spacing w:before="0" w:after="0"/>
        <w:ind w:left="720" w:right="1422" w:firstLine="0"/>
        <w:rPr>
          <w:rFonts w:eastAsiaTheme="minorEastAsia"/>
          <w:b/>
          <w:bCs/>
          <w:kern w:val="22"/>
          <w:sz w:val="24"/>
          <w:szCs w:val="24"/>
          <w:lang w:eastAsia="zh-CN"/>
        </w:rPr>
      </w:pPr>
      <w:r w:rsidRPr="005C02ED">
        <w:rPr>
          <w:rFonts w:eastAsiaTheme="minorEastAsia"/>
          <w:b/>
          <w:bCs/>
          <w:kern w:val="22"/>
          <w:sz w:val="24"/>
          <w:szCs w:val="24"/>
          <w:lang w:eastAsia="zh-CN"/>
        </w:rPr>
        <w:t>执行问题附属机构第三次会议</w:t>
      </w:r>
      <w:r w:rsidRPr="005C02ED">
        <w:rPr>
          <w:rFonts w:eastAsiaTheme="minorEastAsia"/>
          <w:b/>
          <w:bCs/>
          <w:kern w:val="22"/>
          <w:sz w:val="24"/>
          <w:szCs w:val="24"/>
          <w:lang w:eastAsia="zh-CN"/>
        </w:rPr>
        <w:tab/>
      </w:r>
      <w:r w:rsidRPr="005C02ED">
        <w:rPr>
          <w:rFonts w:eastAsiaTheme="minorEastAsia"/>
          <w:b/>
          <w:bCs/>
          <w:kern w:val="22"/>
          <w:sz w:val="24"/>
          <w:szCs w:val="24"/>
          <w:lang w:eastAsia="zh-CN"/>
        </w:rPr>
        <w:tab/>
      </w:r>
      <w:r w:rsidRPr="005C02ED">
        <w:rPr>
          <w:rFonts w:eastAsiaTheme="minorEastAsia"/>
          <w:b/>
          <w:bCs/>
          <w:kern w:val="22"/>
          <w:sz w:val="24"/>
          <w:szCs w:val="24"/>
          <w:lang w:eastAsia="zh-CN"/>
        </w:rPr>
        <w:tab/>
      </w:r>
      <w:r>
        <w:rPr>
          <w:rFonts w:eastAsiaTheme="minorEastAsia" w:hint="eastAsia"/>
          <w:b/>
          <w:bCs/>
          <w:kern w:val="22"/>
          <w:sz w:val="24"/>
          <w:szCs w:val="24"/>
          <w:lang w:eastAsia="zh-CN"/>
        </w:rPr>
        <w:tab/>
      </w:r>
      <w:r w:rsidRPr="005C02ED">
        <w:rPr>
          <w:rFonts w:eastAsiaTheme="minorEastAsia"/>
          <w:b/>
          <w:bCs/>
          <w:kern w:val="22"/>
          <w:sz w:val="24"/>
          <w:szCs w:val="24"/>
          <w:lang w:eastAsia="zh-CN"/>
        </w:rPr>
        <w:t>2020</w:t>
      </w:r>
      <w:r w:rsidRPr="005C02ED">
        <w:rPr>
          <w:rFonts w:eastAsiaTheme="minorEastAsia"/>
          <w:b/>
          <w:bCs/>
          <w:kern w:val="22"/>
          <w:sz w:val="24"/>
          <w:szCs w:val="24"/>
          <w:lang w:eastAsia="zh-CN"/>
        </w:rPr>
        <w:t>年</w:t>
      </w:r>
      <w:r w:rsidRPr="005C02ED">
        <w:rPr>
          <w:rFonts w:eastAsiaTheme="minorEastAsia"/>
          <w:b/>
          <w:bCs/>
          <w:kern w:val="22"/>
          <w:sz w:val="24"/>
          <w:szCs w:val="24"/>
          <w:lang w:eastAsia="zh-CN"/>
        </w:rPr>
        <w:t>5</w:t>
      </w:r>
      <w:r w:rsidRPr="005C02ED">
        <w:rPr>
          <w:rFonts w:eastAsiaTheme="minorEastAsia"/>
          <w:b/>
          <w:bCs/>
          <w:kern w:val="22"/>
          <w:sz w:val="24"/>
          <w:szCs w:val="24"/>
          <w:lang w:eastAsia="zh-CN"/>
        </w:rPr>
        <w:t>月</w:t>
      </w:r>
    </w:p>
    <w:p w:rsidR="00B72FA3" w:rsidRPr="005C02ED" w:rsidRDefault="00B72FA3" w:rsidP="00B72FA3">
      <w:pPr>
        <w:pStyle w:val="Para1"/>
        <w:keepNext/>
        <w:keepLines/>
        <w:pBdr>
          <w:bottom w:val="single" w:sz="4" w:space="1" w:color="auto"/>
        </w:pBdr>
        <w:tabs>
          <w:tab w:val="clear" w:pos="360"/>
        </w:tabs>
        <w:spacing w:before="0" w:after="0"/>
        <w:ind w:left="720" w:right="1422" w:firstLine="0"/>
        <w:rPr>
          <w:rFonts w:eastAsiaTheme="minorEastAsia"/>
          <w:kern w:val="22"/>
          <w:sz w:val="24"/>
          <w:szCs w:val="24"/>
          <w:lang w:eastAsia="zh-CN"/>
        </w:rPr>
      </w:pPr>
      <w:r w:rsidRPr="005C02ED">
        <w:rPr>
          <w:rFonts w:eastAsiaTheme="minorEastAsia"/>
          <w:kern w:val="22"/>
          <w:sz w:val="24"/>
          <w:szCs w:val="24"/>
          <w:lang w:eastAsia="zh-CN"/>
        </w:rPr>
        <w:t>主要报告的发布</w:t>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r>
      <w:r w:rsidRPr="005C02ED">
        <w:rPr>
          <w:rFonts w:eastAsiaTheme="minorEastAsia"/>
          <w:kern w:val="22"/>
          <w:sz w:val="24"/>
          <w:szCs w:val="24"/>
          <w:lang w:eastAsia="zh-CN"/>
        </w:rPr>
        <w:tab/>
        <w:t>2020</w:t>
      </w:r>
      <w:r w:rsidRPr="005C02ED">
        <w:rPr>
          <w:rFonts w:eastAsiaTheme="minorEastAsia"/>
          <w:kern w:val="22"/>
          <w:sz w:val="24"/>
          <w:szCs w:val="24"/>
          <w:lang w:eastAsia="zh-CN"/>
        </w:rPr>
        <w:t>年</w:t>
      </w:r>
      <w:r w:rsidRPr="005C02ED">
        <w:rPr>
          <w:rFonts w:eastAsiaTheme="minorEastAsia"/>
          <w:kern w:val="22"/>
          <w:sz w:val="24"/>
          <w:szCs w:val="24"/>
          <w:lang w:eastAsia="zh-CN"/>
        </w:rPr>
        <w:t>5</w:t>
      </w:r>
      <w:r w:rsidRPr="005C02ED">
        <w:rPr>
          <w:rFonts w:eastAsiaTheme="minorEastAsia"/>
          <w:kern w:val="22"/>
          <w:sz w:val="24"/>
          <w:szCs w:val="24"/>
          <w:lang w:eastAsia="zh-CN"/>
        </w:rPr>
        <w:t>月</w:t>
      </w:r>
    </w:p>
    <w:p w:rsidR="00B72FA3" w:rsidRPr="005C02ED" w:rsidRDefault="00B72FA3" w:rsidP="00B72FA3">
      <w:pPr>
        <w:pStyle w:val="Para1"/>
        <w:keepLines/>
        <w:pBdr>
          <w:bottom w:val="single" w:sz="4" w:space="1" w:color="auto"/>
        </w:pBdr>
        <w:tabs>
          <w:tab w:val="clear" w:pos="360"/>
        </w:tabs>
        <w:spacing w:before="0" w:after="0"/>
        <w:ind w:left="720" w:right="1422" w:firstLine="0"/>
        <w:rPr>
          <w:rFonts w:eastAsiaTheme="minorEastAsia"/>
          <w:b/>
          <w:kern w:val="22"/>
          <w:sz w:val="24"/>
          <w:szCs w:val="24"/>
          <w:lang w:eastAsia="zh-CN"/>
        </w:rPr>
      </w:pPr>
      <w:r w:rsidRPr="005C02ED">
        <w:rPr>
          <w:rFonts w:eastAsiaTheme="minorEastAsia"/>
          <w:b/>
          <w:kern w:val="22"/>
          <w:sz w:val="24"/>
          <w:szCs w:val="24"/>
          <w:lang w:eastAsia="zh-CN"/>
        </w:rPr>
        <w:t>缔约方大会第十五届会议、卡塔赫纳</w:t>
      </w:r>
    </w:p>
    <w:p w:rsidR="00B72FA3" w:rsidRPr="005C02ED" w:rsidRDefault="00B72FA3" w:rsidP="00B72FA3">
      <w:pPr>
        <w:pStyle w:val="Para1"/>
        <w:keepLines/>
        <w:pBdr>
          <w:bottom w:val="single" w:sz="4" w:space="1" w:color="auto"/>
        </w:pBdr>
        <w:tabs>
          <w:tab w:val="clear" w:pos="360"/>
        </w:tabs>
        <w:spacing w:before="0" w:after="0"/>
        <w:ind w:left="720" w:right="1422" w:firstLine="0"/>
        <w:rPr>
          <w:rFonts w:eastAsiaTheme="minorEastAsia"/>
          <w:b/>
          <w:kern w:val="22"/>
          <w:sz w:val="24"/>
          <w:szCs w:val="24"/>
          <w:lang w:eastAsia="zh-CN"/>
        </w:rPr>
      </w:pPr>
      <w:r w:rsidRPr="005C02ED">
        <w:rPr>
          <w:rFonts w:eastAsiaTheme="minorEastAsia"/>
          <w:b/>
          <w:kern w:val="22"/>
          <w:sz w:val="24"/>
          <w:szCs w:val="24"/>
          <w:lang w:eastAsia="zh-CN"/>
        </w:rPr>
        <w:t>议定书缔约方第十次会议、名古屋</w:t>
      </w:r>
    </w:p>
    <w:p w:rsidR="00B72FA3" w:rsidRPr="005C02ED" w:rsidRDefault="00B72FA3" w:rsidP="00B72FA3">
      <w:pPr>
        <w:pStyle w:val="Para1"/>
        <w:keepLines/>
        <w:pBdr>
          <w:bottom w:val="single" w:sz="4" w:space="1" w:color="auto"/>
        </w:pBdr>
        <w:tabs>
          <w:tab w:val="clear" w:pos="360"/>
        </w:tabs>
        <w:spacing w:before="0" w:after="0"/>
        <w:ind w:left="720" w:right="1422" w:firstLine="0"/>
        <w:rPr>
          <w:rFonts w:eastAsiaTheme="minorEastAsia"/>
          <w:b/>
          <w:kern w:val="22"/>
          <w:sz w:val="24"/>
          <w:szCs w:val="24"/>
          <w:lang w:eastAsia="zh-CN"/>
        </w:rPr>
      </w:pPr>
      <w:r w:rsidRPr="005C02ED">
        <w:rPr>
          <w:rFonts w:eastAsiaTheme="minorEastAsia"/>
          <w:b/>
          <w:kern w:val="22"/>
          <w:sz w:val="24"/>
          <w:szCs w:val="24"/>
          <w:lang w:eastAsia="zh-CN"/>
        </w:rPr>
        <w:t>议定书第四次会议</w:t>
      </w:r>
      <w:r w:rsidRPr="005C02ED">
        <w:rPr>
          <w:rFonts w:eastAsiaTheme="minorEastAsia"/>
          <w:b/>
          <w:kern w:val="22"/>
          <w:sz w:val="24"/>
          <w:szCs w:val="24"/>
          <w:lang w:eastAsia="zh-CN"/>
        </w:rPr>
        <w:tab/>
      </w:r>
      <w:r w:rsidRPr="005C02ED">
        <w:rPr>
          <w:rFonts w:eastAsiaTheme="minorEastAsia"/>
          <w:b/>
          <w:kern w:val="22"/>
          <w:sz w:val="24"/>
          <w:szCs w:val="24"/>
          <w:lang w:eastAsia="zh-CN"/>
        </w:rPr>
        <w:tab/>
      </w:r>
      <w:r w:rsidRPr="005C02ED">
        <w:rPr>
          <w:rFonts w:eastAsiaTheme="minorEastAsia"/>
          <w:b/>
          <w:kern w:val="22"/>
          <w:sz w:val="24"/>
          <w:szCs w:val="24"/>
          <w:lang w:eastAsia="zh-CN"/>
        </w:rPr>
        <w:tab/>
      </w:r>
      <w:r w:rsidRPr="005C02ED">
        <w:rPr>
          <w:rFonts w:eastAsiaTheme="minorEastAsia"/>
          <w:b/>
          <w:kern w:val="22"/>
          <w:sz w:val="24"/>
          <w:szCs w:val="24"/>
          <w:lang w:eastAsia="zh-CN"/>
        </w:rPr>
        <w:tab/>
      </w:r>
      <w:r w:rsidRPr="005C02ED">
        <w:rPr>
          <w:rFonts w:eastAsiaTheme="minorEastAsia"/>
          <w:b/>
          <w:kern w:val="22"/>
          <w:sz w:val="24"/>
          <w:szCs w:val="24"/>
          <w:lang w:eastAsia="zh-CN"/>
        </w:rPr>
        <w:tab/>
      </w:r>
      <w:r>
        <w:rPr>
          <w:rFonts w:eastAsiaTheme="minorEastAsia" w:hint="eastAsia"/>
          <w:b/>
          <w:kern w:val="22"/>
          <w:sz w:val="24"/>
          <w:szCs w:val="24"/>
          <w:lang w:eastAsia="zh-CN"/>
        </w:rPr>
        <w:tab/>
      </w:r>
      <w:r w:rsidRPr="005C02ED">
        <w:rPr>
          <w:rFonts w:eastAsiaTheme="minorEastAsia"/>
          <w:b/>
          <w:kern w:val="22"/>
          <w:sz w:val="24"/>
          <w:szCs w:val="24"/>
          <w:lang w:eastAsia="zh-CN"/>
        </w:rPr>
        <w:t>2020</w:t>
      </w:r>
      <w:r w:rsidRPr="005C02ED">
        <w:rPr>
          <w:rFonts w:eastAsiaTheme="minorEastAsia"/>
          <w:b/>
          <w:kern w:val="22"/>
          <w:sz w:val="24"/>
          <w:szCs w:val="24"/>
          <w:lang w:eastAsia="zh-CN"/>
        </w:rPr>
        <w:t>年</w:t>
      </w:r>
      <w:r w:rsidRPr="005C02ED">
        <w:rPr>
          <w:rFonts w:eastAsiaTheme="minorEastAsia"/>
          <w:b/>
          <w:kern w:val="22"/>
          <w:sz w:val="24"/>
          <w:szCs w:val="24"/>
          <w:lang w:eastAsia="zh-CN"/>
        </w:rPr>
        <w:t>10</w:t>
      </w:r>
      <w:r w:rsidRPr="005C02ED">
        <w:rPr>
          <w:rFonts w:eastAsiaTheme="minorEastAsia"/>
          <w:b/>
          <w:kern w:val="22"/>
          <w:sz w:val="24"/>
          <w:szCs w:val="24"/>
          <w:lang w:eastAsia="zh-CN"/>
        </w:rPr>
        <w:t>月</w:t>
      </w:r>
    </w:p>
    <w:p w:rsidR="00B72FA3" w:rsidRDefault="00B72FA3" w:rsidP="00B72FA3">
      <w:pPr>
        <w:pStyle w:val="Para1"/>
        <w:tabs>
          <w:tab w:val="clear" w:pos="360"/>
        </w:tabs>
        <w:spacing w:after="0"/>
        <w:ind w:left="720" w:firstLine="0"/>
        <w:rPr>
          <w:rFonts w:eastAsiaTheme="minorEastAsia"/>
          <w:sz w:val="24"/>
          <w:szCs w:val="24"/>
          <w:lang w:eastAsia="zh-CN"/>
        </w:rPr>
      </w:pPr>
    </w:p>
    <w:p w:rsidR="00B72FA3" w:rsidRPr="00BE3222" w:rsidRDefault="00B72FA3" w:rsidP="00B72FA3">
      <w:pPr>
        <w:jc w:val="center"/>
        <w:rPr>
          <w:kern w:val="22"/>
          <w:lang w:eastAsia="zh-CN"/>
        </w:rPr>
      </w:pPr>
    </w:p>
    <w:p w:rsidR="00B72FA3" w:rsidRDefault="00B72FA3">
      <w:pPr>
        <w:rPr>
          <w:b/>
          <w:bCs/>
          <w:noProof/>
          <w:kern w:val="22"/>
          <w:szCs w:val="32"/>
          <w:lang w:eastAsia="zh-CN"/>
        </w:rPr>
      </w:pPr>
      <w:r>
        <w:rPr>
          <w:noProof/>
          <w:kern w:val="22"/>
          <w:lang w:eastAsia="zh-CN"/>
        </w:rPr>
        <w:br w:type="page"/>
      </w:r>
    </w:p>
    <w:p w:rsidR="00B72FA3" w:rsidRPr="00B72FA3" w:rsidRDefault="00B72FA3" w:rsidP="00B72FA3">
      <w:pPr>
        <w:pStyle w:val="Heading1"/>
        <w:spacing w:before="120" w:after="120"/>
        <w:ind w:firstLine="0"/>
        <w:rPr>
          <w:rFonts w:eastAsiaTheme="minorEastAsia" w:cs="Times New Roman"/>
          <w:noProof/>
          <w:kern w:val="22"/>
          <w:sz w:val="24"/>
          <w:lang w:eastAsia="zh-CN"/>
        </w:rPr>
      </w:pPr>
      <w:bookmarkStart w:id="244" w:name="_Toc6243805"/>
      <w:r w:rsidRPr="00B72FA3">
        <w:rPr>
          <w:rFonts w:eastAsiaTheme="minorEastAsia" w:cs="Times New Roman"/>
          <w:noProof/>
          <w:kern w:val="22"/>
          <w:sz w:val="24"/>
          <w:lang w:eastAsia="zh-CN"/>
        </w:rPr>
        <w:lastRenderedPageBreak/>
        <w:t>14/36.</w:t>
      </w:r>
      <w:r w:rsidRPr="00B72FA3">
        <w:rPr>
          <w:rFonts w:eastAsiaTheme="minorEastAsia" w:cs="Times New Roman"/>
          <w:noProof/>
          <w:kern w:val="22"/>
          <w:sz w:val="24"/>
          <w:lang w:eastAsia="zh-CN"/>
        </w:rPr>
        <w:tab/>
        <w:t xml:space="preserve"> </w:t>
      </w:r>
      <w:r w:rsidRPr="00B72FA3">
        <w:rPr>
          <w:rFonts w:eastAsiaTheme="minorEastAsia" w:cs="Times New Roman"/>
          <w:noProof/>
          <w:kern w:val="22"/>
          <w:sz w:val="24"/>
          <w:lang w:eastAsia="zh-CN"/>
        </w:rPr>
        <w:t>生物多样性和生态系统服务政府间科学政策平台的第二个工作方案</w:t>
      </w:r>
      <w:bookmarkEnd w:id="244"/>
    </w:p>
    <w:p w:rsidR="00B72FA3" w:rsidRPr="00BD5DD6" w:rsidRDefault="00B72FA3" w:rsidP="00B72FA3">
      <w:pPr>
        <w:pStyle w:val="Para1"/>
        <w:suppressLineNumbers/>
        <w:tabs>
          <w:tab w:val="clear" w:pos="360"/>
          <w:tab w:val="left" w:pos="1440"/>
        </w:tabs>
        <w:suppressAutoHyphens/>
        <w:kinsoku w:val="0"/>
        <w:overflowPunct w:val="0"/>
        <w:autoSpaceDE w:val="0"/>
        <w:autoSpaceDN w:val="0"/>
        <w:adjustRightInd w:val="0"/>
        <w:snapToGrid w:val="0"/>
        <w:rPr>
          <w:rFonts w:ascii="KaiTi" w:eastAsia="KaiTi" w:hAnsi="KaiTi"/>
          <w:iCs/>
          <w:kern w:val="22"/>
          <w:sz w:val="24"/>
          <w:szCs w:val="24"/>
          <w:lang w:eastAsia="zh-CN" w:bidi="th-TH"/>
        </w:rPr>
      </w:pPr>
      <w:r w:rsidRPr="00BD5DD6">
        <w:rPr>
          <w:rFonts w:ascii="KaiTi" w:eastAsia="KaiTi" w:hAnsi="KaiTi" w:cs="SimSun" w:hint="eastAsia"/>
          <w:iCs/>
          <w:kern w:val="22"/>
          <w:sz w:val="24"/>
          <w:szCs w:val="24"/>
          <w:lang w:eastAsia="zh-CN"/>
        </w:rPr>
        <w:t>缔约方大会，</w:t>
      </w:r>
    </w:p>
    <w:p w:rsidR="00B72FA3" w:rsidRPr="00B72FA3" w:rsidRDefault="00B72FA3" w:rsidP="00B72FA3">
      <w:pPr>
        <w:pStyle w:val="Para1"/>
        <w:suppressLineNumbers/>
        <w:tabs>
          <w:tab w:val="clear" w:pos="360"/>
          <w:tab w:val="left" w:pos="1440"/>
        </w:tabs>
        <w:suppressAutoHyphens/>
        <w:kinsoku w:val="0"/>
        <w:overflowPunct w:val="0"/>
        <w:autoSpaceDE w:val="0"/>
        <w:autoSpaceDN w:val="0"/>
        <w:adjustRightInd w:val="0"/>
        <w:snapToGrid w:val="0"/>
        <w:rPr>
          <w:rFonts w:eastAsiaTheme="minorEastAsia"/>
          <w:iCs/>
          <w:kern w:val="22"/>
          <w:sz w:val="24"/>
          <w:szCs w:val="24"/>
          <w:lang w:eastAsia="zh-CN"/>
        </w:rPr>
      </w:pPr>
      <w:r w:rsidRPr="00B72FA3">
        <w:rPr>
          <w:rFonts w:ascii="KaiTi" w:eastAsia="KaiTi" w:hAnsi="KaiTi" w:cs="SimSun"/>
          <w:iCs/>
          <w:kern w:val="22"/>
          <w:sz w:val="24"/>
          <w:szCs w:val="24"/>
          <w:lang w:eastAsia="zh-CN"/>
        </w:rPr>
        <w:t>回顾</w:t>
      </w:r>
      <w:r w:rsidRPr="00B72FA3">
        <w:rPr>
          <w:rFonts w:eastAsiaTheme="minorEastAsia"/>
          <w:iCs/>
          <w:kern w:val="22"/>
          <w:sz w:val="24"/>
          <w:szCs w:val="24"/>
          <w:lang w:eastAsia="zh-CN"/>
        </w:rPr>
        <w:t>第</w:t>
      </w:r>
      <w:r w:rsidRPr="00B72FA3">
        <w:rPr>
          <w:rFonts w:eastAsiaTheme="minorEastAsia"/>
          <w:iCs/>
          <w:kern w:val="22"/>
          <w:sz w:val="24"/>
          <w:szCs w:val="24"/>
          <w:lang w:eastAsia="zh-CN" w:bidi="th-TH"/>
        </w:rPr>
        <w:t>XII/25</w:t>
      </w:r>
      <w:r w:rsidRPr="00B72FA3">
        <w:rPr>
          <w:rFonts w:eastAsiaTheme="minorEastAsia"/>
          <w:iCs/>
          <w:kern w:val="22"/>
          <w:sz w:val="24"/>
          <w:szCs w:val="24"/>
          <w:lang w:eastAsia="zh-CN"/>
        </w:rPr>
        <w:t>号和第</w:t>
      </w:r>
      <w:r w:rsidRPr="00B72FA3">
        <w:rPr>
          <w:rFonts w:eastAsiaTheme="minorEastAsia"/>
          <w:iCs/>
          <w:kern w:val="22"/>
          <w:sz w:val="24"/>
          <w:szCs w:val="24"/>
          <w:lang w:eastAsia="zh-CN" w:bidi="th-TH"/>
        </w:rPr>
        <w:t>XIII/29</w:t>
      </w:r>
      <w:r w:rsidRPr="00B72FA3">
        <w:rPr>
          <w:rFonts w:eastAsiaTheme="minorEastAsia"/>
          <w:iCs/>
          <w:kern w:val="22"/>
          <w:sz w:val="24"/>
          <w:szCs w:val="24"/>
          <w:lang w:eastAsia="zh-CN"/>
        </w:rPr>
        <w:t>号决定，</w:t>
      </w:r>
    </w:p>
    <w:p w:rsidR="00B72FA3" w:rsidRPr="00B72FA3" w:rsidRDefault="00B72FA3" w:rsidP="00B72FA3">
      <w:pPr>
        <w:pStyle w:val="Para1"/>
        <w:suppressLineNumbers/>
        <w:tabs>
          <w:tab w:val="clear" w:pos="360"/>
          <w:tab w:val="left" w:pos="1440"/>
        </w:tabs>
        <w:suppressAutoHyphens/>
        <w:kinsoku w:val="0"/>
        <w:overflowPunct w:val="0"/>
        <w:autoSpaceDE w:val="0"/>
        <w:autoSpaceDN w:val="0"/>
        <w:adjustRightInd w:val="0"/>
        <w:snapToGrid w:val="0"/>
        <w:rPr>
          <w:rFonts w:eastAsiaTheme="minorEastAsia"/>
          <w:i/>
          <w:iCs/>
          <w:kern w:val="22"/>
          <w:sz w:val="24"/>
          <w:szCs w:val="24"/>
          <w:lang w:eastAsia="zh-CN" w:bidi="th-TH"/>
        </w:rPr>
      </w:pPr>
      <w:r w:rsidRPr="00B72FA3">
        <w:rPr>
          <w:rFonts w:ascii="KaiTi" w:eastAsia="KaiTi" w:hAnsi="KaiTi" w:cs="SimSun"/>
          <w:iCs/>
          <w:kern w:val="22"/>
          <w:sz w:val="24"/>
          <w:szCs w:val="24"/>
          <w:lang w:eastAsia="zh-CN"/>
        </w:rPr>
        <w:t>认识到</w:t>
      </w:r>
      <w:r w:rsidRPr="00B72FA3">
        <w:rPr>
          <w:rFonts w:eastAsiaTheme="minorEastAsia"/>
          <w:sz w:val="24"/>
          <w:szCs w:val="24"/>
          <w:lang w:eastAsia="zh-CN"/>
        </w:rPr>
        <w:t>生物多样性和生态系统政府间科学政策平台对于《公约》下的工作日益息息</w:t>
      </w:r>
      <w:r w:rsidRPr="00B72FA3">
        <w:rPr>
          <w:rFonts w:eastAsiaTheme="minorEastAsia"/>
          <w:sz w:val="24"/>
          <w:szCs w:val="24"/>
          <w:lang w:eastAsia="zh-CN"/>
        </w:rPr>
        <w:t xml:space="preserve">     </w:t>
      </w:r>
      <w:r w:rsidRPr="00B72FA3">
        <w:rPr>
          <w:rFonts w:eastAsiaTheme="minorEastAsia"/>
          <w:sz w:val="24"/>
          <w:szCs w:val="24"/>
          <w:lang w:eastAsia="zh-CN"/>
        </w:rPr>
        <w:t>相关，</w:t>
      </w:r>
    </w:p>
    <w:p w:rsidR="00B72FA3" w:rsidRPr="00B72FA3" w:rsidRDefault="00B72FA3" w:rsidP="00615E7F">
      <w:pPr>
        <w:pStyle w:val="StylePara1HeadingsCSTimesNewRoman"/>
        <w:numPr>
          <w:ilvl w:val="0"/>
          <w:numId w:val="276"/>
        </w:numPr>
        <w:suppressLineNumbers/>
        <w:tabs>
          <w:tab w:val="left" w:pos="1440"/>
        </w:tabs>
        <w:suppressAutoHyphens/>
        <w:kinsoku w:val="0"/>
        <w:overflowPunct w:val="0"/>
        <w:autoSpaceDE w:val="0"/>
        <w:autoSpaceDN w:val="0"/>
        <w:adjustRightInd w:val="0"/>
        <w:snapToGrid w:val="0"/>
        <w:ind w:left="0" w:firstLine="720"/>
        <w:rPr>
          <w:rFonts w:ascii="Times New Roman" w:eastAsiaTheme="minorEastAsia" w:hAnsi="Times New Roman"/>
          <w:kern w:val="22"/>
          <w:sz w:val="24"/>
          <w:szCs w:val="24"/>
          <w:lang w:eastAsia="zh-CN"/>
        </w:rPr>
      </w:pPr>
      <w:r w:rsidRPr="00B72FA3">
        <w:rPr>
          <w:rFonts w:ascii="KaiTi" w:eastAsia="KaiTi" w:hAnsi="KaiTi" w:cs="SimSun"/>
          <w:iCs/>
          <w:snapToGrid/>
          <w:kern w:val="22"/>
          <w:sz w:val="24"/>
          <w:szCs w:val="24"/>
          <w:lang w:eastAsia="zh-CN"/>
        </w:rPr>
        <w:t>赞赏地欢迎</w:t>
      </w:r>
      <w:r w:rsidRPr="00B72FA3">
        <w:rPr>
          <w:rFonts w:ascii="Times New Roman" w:eastAsiaTheme="minorEastAsia" w:hAnsi="Times New Roman"/>
          <w:sz w:val="24"/>
          <w:szCs w:val="24"/>
          <w:lang w:eastAsia="zh-CN"/>
        </w:rPr>
        <w:t>生物多样性和生态系统政府间科学政策平台第一个工作方案的执行工作取得进展；</w:t>
      </w:r>
    </w:p>
    <w:p w:rsidR="00B72FA3" w:rsidRPr="00B72FA3" w:rsidRDefault="00B72FA3" w:rsidP="00615E7F">
      <w:pPr>
        <w:pStyle w:val="StylePara1HeadingsCSTimesNewRoman"/>
        <w:numPr>
          <w:ilvl w:val="0"/>
          <w:numId w:val="276"/>
        </w:numPr>
        <w:suppressLineNumbers/>
        <w:tabs>
          <w:tab w:val="left" w:pos="1440"/>
        </w:tabs>
        <w:suppressAutoHyphens/>
        <w:kinsoku w:val="0"/>
        <w:overflowPunct w:val="0"/>
        <w:autoSpaceDE w:val="0"/>
        <w:autoSpaceDN w:val="0"/>
        <w:adjustRightInd w:val="0"/>
        <w:snapToGrid w:val="0"/>
        <w:ind w:left="0" w:firstLine="720"/>
        <w:rPr>
          <w:rFonts w:ascii="Times New Roman" w:eastAsiaTheme="minorEastAsia" w:hAnsi="Times New Roman"/>
          <w:sz w:val="24"/>
          <w:szCs w:val="24"/>
          <w:lang w:eastAsia="zh-CN"/>
        </w:rPr>
      </w:pPr>
      <w:r w:rsidRPr="00B72FA3">
        <w:rPr>
          <w:rFonts w:ascii="KaiTi" w:eastAsia="KaiTi" w:hAnsi="KaiTi" w:cs="SimSun"/>
          <w:iCs/>
          <w:snapToGrid/>
          <w:kern w:val="22"/>
          <w:sz w:val="24"/>
          <w:szCs w:val="24"/>
          <w:lang w:eastAsia="zh-CN"/>
        </w:rPr>
        <w:t>又欢迎</w:t>
      </w:r>
      <w:r w:rsidRPr="00B72FA3">
        <w:rPr>
          <w:rFonts w:ascii="Times New Roman" w:eastAsiaTheme="minorEastAsia" w:hAnsi="Times New Roman"/>
          <w:iCs/>
          <w:sz w:val="24"/>
          <w:szCs w:val="24"/>
          <w:lang w:eastAsia="zh-CN"/>
        </w:rPr>
        <w:t>生物多样性和生态系统政府间科学政策平台</w:t>
      </w:r>
      <w:r w:rsidRPr="00B72FA3">
        <w:rPr>
          <w:rFonts w:ascii="Times New Roman" w:eastAsiaTheme="minorEastAsia" w:hAnsi="Times New Roman"/>
          <w:sz w:val="24"/>
          <w:szCs w:val="24"/>
          <w:lang w:eastAsia="zh-CN"/>
        </w:rPr>
        <w:t>全体会议核准进行野生物种可持续利用的专题评估、外来入侵物种的专题评估和关于自然及其惠益的多重价值的多元概念化的方法论评估；</w:t>
      </w:r>
    </w:p>
    <w:p w:rsidR="00B72FA3" w:rsidRPr="00B72FA3" w:rsidRDefault="00B72FA3" w:rsidP="00615E7F">
      <w:pPr>
        <w:pStyle w:val="StylePara1HeadingsCSTimesNewRoman"/>
        <w:numPr>
          <w:ilvl w:val="0"/>
          <w:numId w:val="276"/>
        </w:numPr>
        <w:suppressLineNumbers/>
        <w:tabs>
          <w:tab w:val="left" w:pos="1440"/>
        </w:tabs>
        <w:suppressAutoHyphens/>
        <w:kinsoku w:val="0"/>
        <w:overflowPunct w:val="0"/>
        <w:autoSpaceDE w:val="0"/>
        <w:autoSpaceDN w:val="0"/>
        <w:adjustRightInd w:val="0"/>
        <w:snapToGrid w:val="0"/>
        <w:ind w:left="0" w:firstLine="720"/>
        <w:rPr>
          <w:rFonts w:ascii="Times New Roman" w:eastAsiaTheme="minorEastAsia" w:hAnsi="Times New Roman"/>
          <w:iCs/>
          <w:kern w:val="22"/>
          <w:sz w:val="24"/>
          <w:szCs w:val="24"/>
          <w:lang w:eastAsia="zh-CN"/>
        </w:rPr>
      </w:pPr>
      <w:r w:rsidRPr="00B72FA3">
        <w:rPr>
          <w:rFonts w:ascii="KaiTi" w:eastAsia="KaiTi" w:hAnsi="KaiTi" w:cs="SimSun"/>
          <w:iCs/>
          <w:snapToGrid/>
          <w:kern w:val="22"/>
          <w:sz w:val="24"/>
          <w:szCs w:val="24"/>
          <w:lang w:eastAsia="zh-CN"/>
        </w:rPr>
        <w:t>同意</w:t>
      </w:r>
      <w:r w:rsidRPr="00B72FA3">
        <w:rPr>
          <w:rFonts w:ascii="Times New Roman" w:eastAsiaTheme="minorEastAsia" w:hAnsi="Times New Roman"/>
          <w:iCs/>
          <w:kern w:val="22"/>
          <w:sz w:val="24"/>
          <w:szCs w:val="24"/>
          <w:lang w:eastAsia="zh-CN"/>
        </w:rPr>
        <w:t>生物多样性和生态系统服务政府间科学政策平台</w:t>
      </w:r>
      <w:r w:rsidRPr="00B72FA3">
        <w:rPr>
          <w:rFonts w:ascii="Times New Roman" w:eastAsiaTheme="minorEastAsia" w:hAnsi="Times New Roman"/>
          <w:iCs/>
          <w:kern w:val="22"/>
          <w:sz w:val="24"/>
          <w:szCs w:val="24"/>
          <w:lang w:eastAsia="zh-CN"/>
        </w:rPr>
        <w:t>2030</w:t>
      </w:r>
      <w:r w:rsidRPr="00B72FA3">
        <w:rPr>
          <w:rFonts w:ascii="Times New Roman" w:eastAsiaTheme="minorEastAsia" w:hAnsi="Times New Roman"/>
          <w:iCs/>
          <w:kern w:val="22"/>
          <w:sz w:val="24"/>
          <w:szCs w:val="24"/>
          <w:lang w:eastAsia="zh-CN"/>
        </w:rPr>
        <w:t>年的战略框架和滚动工作计划的内容应与</w:t>
      </w:r>
      <w:r w:rsidRPr="00B72FA3">
        <w:rPr>
          <w:rFonts w:ascii="Times New Roman" w:eastAsiaTheme="minorEastAsia" w:hAnsi="Times New Roman"/>
          <w:iCs/>
          <w:kern w:val="22"/>
          <w:sz w:val="24"/>
          <w:szCs w:val="24"/>
          <w:lang w:eastAsia="zh-CN"/>
        </w:rPr>
        <w:t>2020</w:t>
      </w:r>
      <w:r w:rsidRPr="00B72FA3">
        <w:rPr>
          <w:rFonts w:ascii="Times New Roman" w:eastAsiaTheme="minorEastAsia" w:hAnsi="Times New Roman"/>
          <w:iCs/>
          <w:kern w:val="22"/>
          <w:sz w:val="24"/>
          <w:szCs w:val="24"/>
          <w:lang w:eastAsia="zh-CN"/>
        </w:rPr>
        <w:t>年后全球生物多样性框架相关，并有助于支持其实施和评估进展情况，包括使该平台的四项功能进一步一体化，并认识到工作计划的滚动性质应容许不断交流信息，并使《公约》能根据</w:t>
      </w:r>
      <w:r w:rsidRPr="00B72FA3">
        <w:rPr>
          <w:rFonts w:ascii="Times New Roman" w:eastAsiaTheme="minorEastAsia" w:hAnsi="Times New Roman"/>
          <w:iCs/>
          <w:kern w:val="22"/>
          <w:sz w:val="24"/>
          <w:szCs w:val="24"/>
          <w:lang w:eastAsia="zh-CN"/>
        </w:rPr>
        <w:t>2020</w:t>
      </w:r>
      <w:r w:rsidRPr="00B72FA3">
        <w:rPr>
          <w:rFonts w:ascii="Times New Roman" w:eastAsiaTheme="minorEastAsia" w:hAnsi="Times New Roman"/>
          <w:iCs/>
          <w:kern w:val="22"/>
          <w:sz w:val="24"/>
          <w:szCs w:val="24"/>
          <w:lang w:eastAsia="zh-CN"/>
        </w:rPr>
        <w:t>年后全球生物多样性框架的最终形式和执行情况的需求，提出进一步的要求；</w:t>
      </w:r>
    </w:p>
    <w:p w:rsidR="00B72FA3" w:rsidRPr="00313192" w:rsidRDefault="00B72FA3" w:rsidP="00615E7F">
      <w:pPr>
        <w:pStyle w:val="StylePara1HeadingsCSTimesNewRoman"/>
        <w:widowControl w:val="0"/>
        <w:numPr>
          <w:ilvl w:val="0"/>
          <w:numId w:val="276"/>
        </w:numPr>
        <w:suppressLineNumbers/>
        <w:tabs>
          <w:tab w:val="left" w:pos="1440"/>
        </w:tabs>
        <w:suppressAutoHyphens/>
        <w:kinsoku w:val="0"/>
        <w:overflowPunct w:val="0"/>
        <w:autoSpaceDE w:val="0"/>
        <w:autoSpaceDN w:val="0"/>
        <w:adjustRightInd w:val="0"/>
        <w:snapToGrid w:val="0"/>
        <w:ind w:left="0" w:firstLine="720"/>
        <w:rPr>
          <w:rFonts w:ascii="Times New Roman" w:eastAsiaTheme="minorEastAsia" w:hAnsi="Times New Roman"/>
          <w:iCs/>
          <w:spacing w:val="-20"/>
          <w:kern w:val="22"/>
          <w:sz w:val="24"/>
          <w:szCs w:val="24"/>
          <w:lang w:eastAsia="zh-CN"/>
        </w:rPr>
      </w:pPr>
      <w:r w:rsidRPr="00313192">
        <w:rPr>
          <w:rFonts w:ascii="KaiTi" w:eastAsia="KaiTi" w:hAnsi="KaiTi" w:cs="SimSun"/>
          <w:iCs/>
          <w:snapToGrid/>
          <w:spacing w:val="-20"/>
          <w:kern w:val="22"/>
          <w:sz w:val="24"/>
          <w:szCs w:val="24"/>
          <w:lang w:eastAsia="zh-CN"/>
        </w:rPr>
        <w:t>注意到</w:t>
      </w:r>
      <w:r w:rsidRPr="00313192">
        <w:rPr>
          <w:rFonts w:ascii="Times New Roman" w:eastAsiaTheme="minorEastAsia" w:hAnsi="Times New Roman"/>
          <w:spacing w:val="-20"/>
          <w:kern w:val="22"/>
          <w:sz w:val="24"/>
          <w:szCs w:val="24"/>
          <w:lang w:eastAsia="zh-CN"/>
        </w:rPr>
        <w:t>到</w:t>
      </w:r>
      <w:r w:rsidRPr="00313192">
        <w:rPr>
          <w:rFonts w:ascii="Times New Roman" w:eastAsiaTheme="minorEastAsia" w:hAnsi="Times New Roman"/>
          <w:spacing w:val="-20"/>
          <w:kern w:val="22"/>
          <w:sz w:val="24"/>
          <w:szCs w:val="24"/>
          <w:lang w:eastAsia="zh-CN"/>
        </w:rPr>
        <w:t>2030</w:t>
      </w:r>
      <w:r w:rsidRPr="00313192">
        <w:rPr>
          <w:rFonts w:ascii="Times New Roman" w:eastAsiaTheme="minorEastAsia" w:hAnsi="Times New Roman"/>
          <w:spacing w:val="-20"/>
          <w:kern w:val="22"/>
          <w:sz w:val="24"/>
          <w:szCs w:val="24"/>
          <w:lang w:eastAsia="zh-CN"/>
        </w:rPr>
        <w:t>年战略框架和生物多样性和生态系统服务政府间科学政策平台滚动工作方案的内容预计也会与《</w:t>
      </w:r>
      <w:r w:rsidRPr="00313192">
        <w:rPr>
          <w:rFonts w:ascii="Times New Roman" w:eastAsiaTheme="minorEastAsia" w:hAnsi="Times New Roman"/>
          <w:spacing w:val="-20"/>
          <w:kern w:val="22"/>
          <w:sz w:val="24"/>
          <w:szCs w:val="24"/>
          <w:lang w:eastAsia="zh-CN"/>
        </w:rPr>
        <w:t>2030</w:t>
      </w:r>
      <w:r w:rsidRPr="00313192">
        <w:rPr>
          <w:rFonts w:ascii="Times New Roman" w:eastAsiaTheme="minorEastAsia" w:hAnsi="Times New Roman"/>
          <w:spacing w:val="-20"/>
          <w:kern w:val="22"/>
          <w:sz w:val="24"/>
          <w:szCs w:val="24"/>
          <w:lang w:eastAsia="zh-CN"/>
        </w:rPr>
        <w:t>年可持续发展议程》</w:t>
      </w:r>
      <w:r w:rsidRPr="00313192">
        <w:rPr>
          <w:rStyle w:val="FootnoteReference"/>
          <w:rFonts w:ascii="Times New Roman" w:eastAsiaTheme="minorEastAsia" w:hAnsi="Times New Roman"/>
          <w:iCs/>
          <w:spacing w:val="-20"/>
          <w:kern w:val="22"/>
          <w:sz w:val="24"/>
          <w:szCs w:val="24"/>
          <w:u w:val="none"/>
          <w:vertAlign w:val="superscript"/>
        </w:rPr>
        <w:footnoteReference w:id="323"/>
      </w:r>
      <w:r w:rsidRPr="00313192">
        <w:rPr>
          <w:rFonts w:ascii="Times New Roman" w:eastAsiaTheme="minorEastAsia" w:hAnsi="Times New Roman"/>
          <w:spacing w:val="-20"/>
          <w:kern w:val="22"/>
          <w:sz w:val="24"/>
          <w:szCs w:val="24"/>
          <w:lang w:eastAsia="zh-CN"/>
        </w:rPr>
        <w:t xml:space="preserve"> </w:t>
      </w:r>
      <w:r w:rsidRPr="00313192">
        <w:rPr>
          <w:rFonts w:ascii="Times New Roman" w:eastAsiaTheme="minorEastAsia" w:hAnsi="Times New Roman"/>
          <w:spacing w:val="-20"/>
          <w:kern w:val="22"/>
          <w:sz w:val="24"/>
          <w:szCs w:val="24"/>
          <w:lang w:eastAsia="zh-CN"/>
        </w:rPr>
        <w:t>和《关于气候变化的巴黎协定》</w:t>
      </w:r>
      <w:r w:rsidRPr="00313192">
        <w:rPr>
          <w:rStyle w:val="FootnoteReference"/>
          <w:rFonts w:ascii="Times New Roman" w:eastAsiaTheme="minorEastAsia" w:hAnsi="Times New Roman"/>
          <w:iCs/>
          <w:spacing w:val="-20"/>
          <w:kern w:val="22"/>
          <w:sz w:val="24"/>
          <w:szCs w:val="24"/>
          <w:u w:val="none"/>
          <w:vertAlign w:val="superscript"/>
        </w:rPr>
        <w:footnoteReference w:id="324"/>
      </w:r>
      <w:r w:rsidRPr="00313192">
        <w:rPr>
          <w:rFonts w:ascii="Times New Roman" w:eastAsiaTheme="minorEastAsia" w:hAnsi="Times New Roman"/>
          <w:spacing w:val="-20"/>
          <w:kern w:val="22"/>
          <w:sz w:val="24"/>
          <w:szCs w:val="24"/>
          <w:vertAlign w:val="superscript"/>
          <w:lang w:eastAsia="zh-CN"/>
        </w:rPr>
        <w:t xml:space="preserve"> </w:t>
      </w:r>
      <w:r w:rsidRPr="00313192">
        <w:rPr>
          <w:rFonts w:ascii="Times New Roman" w:eastAsiaTheme="minorEastAsia" w:hAnsi="Times New Roman"/>
          <w:spacing w:val="-20"/>
          <w:kern w:val="22"/>
          <w:sz w:val="24"/>
          <w:szCs w:val="24"/>
          <w:lang w:eastAsia="zh-CN"/>
        </w:rPr>
        <w:t>以及其他生物多样性进程有关；</w:t>
      </w:r>
    </w:p>
    <w:p w:rsidR="00B72FA3" w:rsidRPr="00B72FA3" w:rsidRDefault="00B72FA3" w:rsidP="00615E7F">
      <w:pPr>
        <w:pStyle w:val="StylePara1HeadingsCSTimesNewRoman"/>
        <w:numPr>
          <w:ilvl w:val="0"/>
          <w:numId w:val="276"/>
        </w:numPr>
        <w:suppressLineNumbers/>
        <w:tabs>
          <w:tab w:val="left" w:pos="1440"/>
        </w:tabs>
        <w:suppressAutoHyphens/>
        <w:kinsoku w:val="0"/>
        <w:overflowPunct w:val="0"/>
        <w:autoSpaceDE w:val="0"/>
        <w:autoSpaceDN w:val="0"/>
        <w:adjustRightInd w:val="0"/>
        <w:snapToGrid w:val="0"/>
        <w:ind w:left="0" w:firstLine="720"/>
        <w:rPr>
          <w:rFonts w:ascii="Times New Roman" w:eastAsiaTheme="minorEastAsia" w:hAnsi="Times New Roman"/>
          <w:kern w:val="22"/>
          <w:sz w:val="24"/>
          <w:szCs w:val="24"/>
          <w:lang w:eastAsia="zh-CN"/>
        </w:rPr>
      </w:pPr>
      <w:r w:rsidRPr="00B72FA3">
        <w:rPr>
          <w:rFonts w:ascii="KaiTi" w:eastAsia="KaiTi" w:hAnsi="KaiTi" w:cs="SimSun"/>
          <w:iCs/>
          <w:snapToGrid/>
          <w:kern w:val="22"/>
          <w:sz w:val="24"/>
          <w:szCs w:val="24"/>
          <w:lang w:eastAsia="zh-CN"/>
        </w:rPr>
        <w:t>欢迎</w:t>
      </w:r>
      <w:r w:rsidRPr="00B72FA3">
        <w:rPr>
          <w:rFonts w:ascii="Times New Roman" w:eastAsiaTheme="minorEastAsia" w:hAnsi="Times New Roman"/>
          <w:sz w:val="24"/>
          <w:szCs w:val="24"/>
          <w:lang w:eastAsia="zh-CN"/>
        </w:rPr>
        <w:t>生物多样性和生态系统政府间科学政策平台努力进一步加强与政府间气候变化专门委员会开展，合作制定和执行其工作方案</w:t>
      </w:r>
      <w:r w:rsidRPr="00B72FA3">
        <w:rPr>
          <w:rFonts w:ascii="Times New Roman" w:eastAsiaTheme="minorEastAsia" w:hAnsi="Times New Roman"/>
          <w:iCs/>
          <w:sz w:val="24"/>
          <w:szCs w:val="24"/>
          <w:lang w:eastAsia="zh-CN"/>
        </w:rPr>
        <w:t>，同时注意到，根据生物多样性和气候变化情况编制的情景设想和相关评估以及综合报告之间的协调一致，以及除其他外，为了推动将生物多样性</w:t>
      </w:r>
      <w:r w:rsidRPr="00B72FA3">
        <w:rPr>
          <w:rFonts w:ascii="Times New Roman" w:eastAsiaTheme="minorEastAsia" w:hAnsi="Times New Roman"/>
          <w:iCs/>
          <w:sz w:val="24"/>
          <w:szCs w:val="24"/>
          <w:lang w:eastAsia="zh-CN"/>
        </w:rPr>
        <w:t>-</w:t>
      </w:r>
      <w:r w:rsidRPr="00B72FA3">
        <w:rPr>
          <w:rFonts w:ascii="Times New Roman" w:eastAsiaTheme="minorEastAsia" w:hAnsi="Times New Roman"/>
          <w:iCs/>
          <w:sz w:val="24"/>
          <w:szCs w:val="24"/>
          <w:lang w:eastAsia="zh-CN"/>
        </w:rPr>
        <w:t>气候变化的联系及其对人类福祉的影响纳入该平台的所有评估，与这些机构相关的科学机构之间加强合作，都将对《公约》大有助益；</w:t>
      </w:r>
    </w:p>
    <w:p w:rsidR="00B72FA3" w:rsidRPr="00B72FA3" w:rsidRDefault="00B72FA3" w:rsidP="00615E7F">
      <w:pPr>
        <w:pStyle w:val="StylePara1HeadingsCSTimesNewRoman"/>
        <w:numPr>
          <w:ilvl w:val="0"/>
          <w:numId w:val="276"/>
        </w:numPr>
        <w:suppressLineNumbers/>
        <w:tabs>
          <w:tab w:val="left" w:pos="1440"/>
        </w:tabs>
        <w:suppressAutoHyphens/>
        <w:kinsoku w:val="0"/>
        <w:overflowPunct w:val="0"/>
        <w:autoSpaceDE w:val="0"/>
        <w:autoSpaceDN w:val="0"/>
        <w:adjustRightInd w:val="0"/>
        <w:snapToGrid w:val="0"/>
        <w:ind w:left="0" w:firstLine="720"/>
        <w:rPr>
          <w:rFonts w:ascii="Times New Roman" w:eastAsiaTheme="minorEastAsia" w:hAnsi="Times New Roman"/>
          <w:kern w:val="22"/>
          <w:sz w:val="24"/>
          <w:szCs w:val="24"/>
          <w:lang w:eastAsia="zh-CN"/>
        </w:rPr>
      </w:pPr>
      <w:r w:rsidRPr="00B72FA3">
        <w:rPr>
          <w:rFonts w:ascii="KaiTi" w:eastAsia="KaiTi" w:hAnsi="KaiTi" w:cs="SimSun"/>
          <w:iCs/>
          <w:snapToGrid/>
          <w:kern w:val="22"/>
          <w:sz w:val="24"/>
          <w:szCs w:val="24"/>
          <w:lang w:eastAsia="zh-CN"/>
        </w:rPr>
        <w:t>确认</w:t>
      </w:r>
      <w:r w:rsidRPr="00B72FA3">
        <w:rPr>
          <w:rFonts w:ascii="Times New Roman" w:eastAsiaTheme="minorEastAsia" w:hAnsi="Times New Roman"/>
          <w:kern w:val="22"/>
          <w:sz w:val="24"/>
          <w:szCs w:val="24"/>
          <w:lang w:eastAsia="zh-CN"/>
        </w:rPr>
        <w:t>生物多样性和生态系统服务政府间科学政策平台与联合国各机构和多边环境协定开展的其他相关评估活动之间加强合作对《公约》有益，并</w:t>
      </w:r>
      <w:r w:rsidRPr="00B72FA3">
        <w:rPr>
          <w:rFonts w:ascii="Times New Roman" w:eastAsiaTheme="minorEastAsia" w:hAnsi="Times New Roman"/>
          <w:iCs/>
          <w:kern w:val="22"/>
          <w:sz w:val="24"/>
          <w:szCs w:val="24"/>
          <w:lang w:eastAsia="zh-CN"/>
        </w:rPr>
        <w:t>邀请</w:t>
      </w:r>
      <w:r w:rsidRPr="00B72FA3">
        <w:rPr>
          <w:rFonts w:ascii="Times New Roman" w:eastAsiaTheme="minorEastAsia" w:hAnsi="Times New Roman"/>
          <w:kern w:val="22"/>
          <w:sz w:val="24"/>
          <w:szCs w:val="24"/>
          <w:lang w:eastAsia="zh-CN"/>
        </w:rPr>
        <w:t>生物多样性和生态系统服务政府间科学政策平台继续与相关国际组织、包括那些从事与生产部门生物多样性主流化有关活动的组织合作；</w:t>
      </w:r>
    </w:p>
    <w:p w:rsidR="00B72FA3" w:rsidRPr="00B72FA3" w:rsidRDefault="00B72FA3" w:rsidP="00615E7F">
      <w:pPr>
        <w:pStyle w:val="StylePara1HeadingsCSTimesNewRoman"/>
        <w:numPr>
          <w:ilvl w:val="0"/>
          <w:numId w:val="276"/>
        </w:numPr>
        <w:suppressLineNumbers/>
        <w:tabs>
          <w:tab w:val="left" w:pos="1440"/>
        </w:tabs>
        <w:suppressAutoHyphens/>
        <w:kinsoku w:val="0"/>
        <w:overflowPunct w:val="0"/>
        <w:autoSpaceDE w:val="0"/>
        <w:autoSpaceDN w:val="0"/>
        <w:adjustRightInd w:val="0"/>
        <w:snapToGrid w:val="0"/>
        <w:ind w:left="0" w:firstLine="720"/>
        <w:jc w:val="left"/>
        <w:rPr>
          <w:rFonts w:ascii="Times New Roman" w:eastAsiaTheme="minorEastAsia" w:hAnsi="Times New Roman"/>
          <w:iCs/>
          <w:kern w:val="22"/>
          <w:sz w:val="24"/>
          <w:szCs w:val="24"/>
          <w:lang w:eastAsia="zh-CN"/>
        </w:rPr>
      </w:pPr>
      <w:r w:rsidRPr="00B72FA3">
        <w:rPr>
          <w:rFonts w:ascii="KaiTi" w:eastAsia="KaiTi" w:hAnsi="KaiTi" w:cs="SimSun"/>
          <w:iCs/>
          <w:snapToGrid/>
          <w:kern w:val="22"/>
          <w:sz w:val="24"/>
          <w:szCs w:val="24"/>
          <w:lang w:eastAsia="zh-CN"/>
        </w:rPr>
        <w:t>邀请</w:t>
      </w:r>
      <w:r w:rsidRPr="00B72FA3">
        <w:rPr>
          <w:rFonts w:ascii="Times New Roman" w:eastAsiaTheme="minorEastAsia" w:hAnsi="Times New Roman"/>
          <w:iCs/>
          <w:kern w:val="22"/>
          <w:sz w:val="24"/>
          <w:szCs w:val="24"/>
          <w:lang w:eastAsia="zh-CN"/>
        </w:rPr>
        <w:t>生物多样性和生态系统服务政府间科学政策平台考虑将本决定附件所载要求作为其面向</w:t>
      </w:r>
      <w:r w:rsidRPr="00B72FA3">
        <w:rPr>
          <w:rFonts w:ascii="Times New Roman" w:eastAsiaTheme="minorEastAsia" w:hAnsi="Times New Roman"/>
          <w:iCs/>
          <w:kern w:val="22"/>
          <w:sz w:val="24"/>
          <w:szCs w:val="24"/>
          <w:lang w:eastAsia="zh-CN"/>
        </w:rPr>
        <w:t>2030</w:t>
      </w:r>
      <w:r w:rsidRPr="00B72FA3">
        <w:rPr>
          <w:rFonts w:ascii="Times New Roman" w:eastAsiaTheme="minorEastAsia" w:hAnsi="Times New Roman"/>
          <w:iCs/>
          <w:kern w:val="22"/>
          <w:sz w:val="24"/>
          <w:szCs w:val="24"/>
          <w:lang w:eastAsia="zh-CN"/>
        </w:rPr>
        <w:t>年的战略框架和工作方案的一部分；</w:t>
      </w:r>
    </w:p>
    <w:p w:rsidR="00B72FA3" w:rsidRPr="00B72FA3" w:rsidRDefault="00B72FA3" w:rsidP="00615E7F">
      <w:pPr>
        <w:pStyle w:val="StylePara1HeadingsCSTimesNewRoman"/>
        <w:widowControl w:val="0"/>
        <w:numPr>
          <w:ilvl w:val="0"/>
          <w:numId w:val="276"/>
        </w:numPr>
        <w:suppressLineNumbers/>
        <w:tabs>
          <w:tab w:val="left" w:pos="1440"/>
        </w:tabs>
        <w:suppressAutoHyphens/>
        <w:kinsoku w:val="0"/>
        <w:overflowPunct w:val="0"/>
        <w:autoSpaceDE w:val="0"/>
        <w:autoSpaceDN w:val="0"/>
        <w:adjustRightInd w:val="0"/>
        <w:snapToGrid w:val="0"/>
        <w:ind w:left="0" w:firstLine="720"/>
        <w:rPr>
          <w:rFonts w:ascii="Times New Roman" w:eastAsiaTheme="minorEastAsia" w:hAnsi="Times New Roman"/>
          <w:kern w:val="22"/>
          <w:sz w:val="24"/>
          <w:szCs w:val="24"/>
          <w:lang w:eastAsia="zh-CN"/>
        </w:rPr>
      </w:pPr>
      <w:r w:rsidRPr="00B72FA3">
        <w:rPr>
          <w:rFonts w:ascii="KaiTi" w:eastAsia="KaiTi" w:hAnsi="KaiTi" w:cs="SimSun"/>
          <w:iCs/>
          <w:snapToGrid/>
          <w:kern w:val="22"/>
          <w:sz w:val="24"/>
          <w:szCs w:val="24"/>
          <w:lang w:eastAsia="zh-CN"/>
        </w:rPr>
        <w:t>又邀请</w:t>
      </w:r>
      <w:r w:rsidRPr="00B72FA3">
        <w:rPr>
          <w:rFonts w:ascii="Times New Roman" w:eastAsiaTheme="minorEastAsia" w:hAnsi="Times New Roman"/>
          <w:iCs/>
          <w:kern w:val="22"/>
          <w:sz w:val="24"/>
          <w:szCs w:val="24"/>
          <w:lang w:eastAsia="zh-CN"/>
        </w:rPr>
        <w:t>生物多样性和生态系统服务政府间科学政策平台，根据制定</w:t>
      </w:r>
      <w:r w:rsidRPr="00B72FA3">
        <w:rPr>
          <w:rFonts w:ascii="Times New Roman" w:eastAsiaTheme="minorEastAsia" w:hAnsi="Times New Roman"/>
          <w:iCs/>
          <w:kern w:val="22"/>
          <w:sz w:val="24"/>
          <w:szCs w:val="24"/>
          <w:lang w:eastAsia="zh-CN"/>
        </w:rPr>
        <w:t>2020</w:t>
      </w:r>
      <w:r w:rsidRPr="00B72FA3">
        <w:rPr>
          <w:rFonts w:ascii="Times New Roman" w:eastAsiaTheme="minorEastAsia" w:hAnsi="Times New Roman"/>
          <w:iCs/>
          <w:kern w:val="22"/>
          <w:sz w:val="24"/>
          <w:szCs w:val="24"/>
          <w:lang w:eastAsia="zh-CN"/>
        </w:rPr>
        <w:t>年后全</w:t>
      </w:r>
      <w:r w:rsidRPr="00B72FA3">
        <w:rPr>
          <w:rFonts w:ascii="Times New Roman" w:eastAsiaTheme="minorEastAsia" w:hAnsi="Times New Roman"/>
          <w:iCs/>
          <w:kern w:val="22"/>
          <w:sz w:val="24"/>
          <w:szCs w:val="24"/>
          <w:lang w:eastAsia="zh-CN"/>
        </w:rPr>
        <w:lastRenderedPageBreak/>
        <w:t>球生物多样性框架的情况，允许为其面向</w:t>
      </w:r>
      <w:r w:rsidRPr="00B72FA3">
        <w:rPr>
          <w:rFonts w:ascii="Times New Roman" w:eastAsiaTheme="minorEastAsia" w:hAnsi="Times New Roman"/>
          <w:iCs/>
          <w:kern w:val="22"/>
          <w:sz w:val="24"/>
          <w:szCs w:val="24"/>
          <w:lang w:eastAsia="zh-CN"/>
        </w:rPr>
        <w:t>2030</w:t>
      </w:r>
      <w:r w:rsidRPr="00B72FA3">
        <w:rPr>
          <w:rFonts w:ascii="Times New Roman" w:eastAsiaTheme="minorEastAsia" w:hAnsi="Times New Roman"/>
          <w:iCs/>
          <w:kern w:val="22"/>
          <w:sz w:val="24"/>
          <w:szCs w:val="24"/>
          <w:lang w:eastAsia="zh-CN"/>
        </w:rPr>
        <w:t>年的工作方案提供更多的意见；</w:t>
      </w:r>
    </w:p>
    <w:p w:rsidR="00B72FA3" w:rsidRPr="00B72FA3" w:rsidRDefault="00B72FA3" w:rsidP="00615E7F">
      <w:pPr>
        <w:pStyle w:val="StylePara1HeadingsCSTimesNewRoman"/>
        <w:numPr>
          <w:ilvl w:val="0"/>
          <w:numId w:val="276"/>
        </w:numPr>
        <w:suppressLineNumbers/>
        <w:tabs>
          <w:tab w:val="left" w:pos="1440"/>
        </w:tabs>
        <w:suppressAutoHyphens/>
        <w:kinsoku w:val="0"/>
        <w:overflowPunct w:val="0"/>
        <w:autoSpaceDE w:val="0"/>
        <w:autoSpaceDN w:val="0"/>
        <w:adjustRightInd w:val="0"/>
        <w:snapToGrid w:val="0"/>
        <w:ind w:left="0" w:firstLine="720"/>
        <w:rPr>
          <w:rFonts w:ascii="Times New Roman" w:eastAsiaTheme="minorEastAsia" w:hAnsi="Times New Roman"/>
          <w:iCs/>
          <w:kern w:val="22"/>
          <w:sz w:val="24"/>
          <w:szCs w:val="24"/>
          <w:lang w:eastAsia="zh-CN"/>
        </w:rPr>
      </w:pPr>
      <w:r w:rsidRPr="00B72FA3">
        <w:rPr>
          <w:rFonts w:ascii="KaiTi" w:eastAsia="KaiTi" w:hAnsi="KaiTi" w:cs="SimSun"/>
          <w:iCs/>
          <w:snapToGrid/>
          <w:kern w:val="22"/>
          <w:sz w:val="24"/>
          <w:szCs w:val="24"/>
          <w:lang w:eastAsia="zh-CN"/>
        </w:rPr>
        <w:t>请</w:t>
      </w:r>
      <w:r w:rsidRPr="00B72FA3">
        <w:rPr>
          <w:rFonts w:ascii="Times New Roman" w:eastAsiaTheme="minorEastAsia" w:hAnsi="Times New Roman"/>
          <w:iCs/>
          <w:kern w:val="22"/>
          <w:sz w:val="24"/>
          <w:szCs w:val="24"/>
          <w:lang w:eastAsia="zh-CN"/>
        </w:rPr>
        <w:t>执行秘书编制要求将生物多样性和生态系统服务政府间科学政策平台进一步列入面向</w:t>
      </w:r>
      <w:r w:rsidRPr="00B72FA3">
        <w:rPr>
          <w:rFonts w:ascii="Times New Roman" w:eastAsiaTheme="minorEastAsia" w:hAnsi="Times New Roman"/>
          <w:iCs/>
          <w:kern w:val="22"/>
          <w:sz w:val="24"/>
          <w:szCs w:val="24"/>
          <w:lang w:eastAsia="zh-CN"/>
        </w:rPr>
        <w:t>2030</w:t>
      </w:r>
      <w:r w:rsidRPr="00B72FA3">
        <w:rPr>
          <w:rFonts w:ascii="Times New Roman" w:eastAsiaTheme="minorEastAsia" w:hAnsi="Times New Roman"/>
          <w:iCs/>
          <w:kern w:val="22"/>
          <w:sz w:val="24"/>
          <w:szCs w:val="24"/>
          <w:lang w:eastAsia="zh-CN"/>
        </w:rPr>
        <w:t>年工作方案以支持执行</w:t>
      </w:r>
      <w:r w:rsidRPr="00B72FA3">
        <w:rPr>
          <w:rFonts w:ascii="Times New Roman" w:eastAsiaTheme="minorEastAsia" w:hAnsi="Times New Roman"/>
          <w:iCs/>
          <w:kern w:val="22"/>
          <w:sz w:val="24"/>
          <w:szCs w:val="24"/>
          <w:lang w:eastAsia="zh-CN"/>
        </w:rPr>
        <w:t>2020</w:t>
      </w:r>
      <w:r w:rsidRPr="00B72FA3">
        <w:rPr>
          <w:rFonts w:ascii="Times New Roman" w:eastAsiaTheme="minorEastAsia" w:hAnsi="Times New Roman"/>
          <w:iCs/>
          <w:kern w:val="22"/>
          <w:sz w:val="24"/>
          <w:szCs w:val="24"/>
          <w:lang w:eastAsia="zh-CN"/>
        </w:rPr>
        <w:t>年后全球生物多样性框架的提案，供科学、技术和工艺咨询附属机构审议，并供缔约方大会第十五届会议随后进行审议；</w:t>
      </w:r>
    </w:p>
    <w:p w:rsidR="00B72FA3" w:rsidRPr="00B72FA3" w:rsidRDefault="00B72FA3" w:rsidP="00615E7F">
      <w:pPr>
        <w:pStyle w:val="StylePara1HeadingsCSTimesNewRoman"/>
        <w:widowControl w:val="0"/>
        <w:numPr>
          <w:ilvl w:val="0"/>
          <w:numId w:val="276"/>
        </w:numPr>
        <w:suppressLineNumbers/>
        <w:tabs>
          <w:tab w:val="left" w:pos="1440"/>
        </w:tabs>
        <w:suppressAutoHyphens/>
        <w:kinsoku w:val="0"/>
        <w:overflowPunct w:val="0"/>
        <w:autoSpaceDE w:val="0"/>
        <w:autoSpaceDN w:val="0"/>
        <w:adjustRightInd w:val="0"/>
        <w:snapToGrid w:val="0"/>
        <w:ind w:left="0" w:firstLine="720"/>
        <w:rPr>
          <w:rFonts w:ascii="Times New Roman" w:eastAsiaTheme="minorEastAsia" w:hAnsi="Times New Roman"/>
          <w:kern w:val="22"/>
          <w:sz w:val="24"/>
          <w:szCs w:val="24"/>
          <w:lang w:eastAsia="zh-CN"/>
        </w:rPr>
      </w:pPr>
      <w:r w:rsidRPr="00B72FA3">
        <w:rPr>
          <w:rFonts w:ascii="KaiTi" w:eastAsia="KaiTi" w:hAnsi="KaiTi" w:cs="SimSun"/>
          <w:iCs/>
          <w:snapToGrid/>
          <w:kern w:val="22"/>
          <w:sz w:val="24"/>
          <w:szCs w:val="24"/>
          <w:lang w:eastAsia="zh-CN"/>
        </w:rPr>
        <w:t>又请</w:t>
      </w:r>
      <w:r w:rsidRPr="00B72FA3">
        <w:rPr>
          <w:rFonts w:ascii="Times New Roman" w:eastAsiaTheme="minorEastAsia" w:hAnsi="Times New Roman"/>
          <w:kern w:val="22"/>
          <w:sz w:val="24"/>
          <w:szCs w:val="24"/>
          <w:lang w:eastAsia="zh-CN"/>
        </w:rPr>
        <w:t>执行秘书根据</w:t>
      </w:r>
      <w:r w:rsidRPr="00B72FA3">
        <w:rPr>
          <w:rFonts w:ascii="Times New Roman" w:eastAsiaTheme="minorEastAsia" w:hAnsi="Times New Roman"/>
          <w:kern w:val="22"/>
          <w:sz w:val="24"/>
          <w:szCs w:val="24"/>
          <w:lang w:eastAsia="zh-CN"/>
        </w:rPr>
        <w:t>XII/25</w:t>
      </w:r>
      <w:r w:rsidRPr="00B72FA3">
        <w:rPr>
          <w:rFonts w:ascii="Times New Roman" w:eastAsiaTheme="minorEastAsia" w:hAnsi="Times New Roman"/>
          <w:kern w:val="22"/>
          <w:sz w:val="24"/>
          <w:szCs w:val="24"/>
          <w:lang w:eastAsia="zh-CN"/>
        </w:rPr>
        <w:t>号决定，并在顾及生物多样性和生态系统服务政府间科学政策平台审查结果的情况下，</w:t>
      </w:r>
      <w:r w:rsidRPr="00313192">
        <w:rPr>
          <w:rStyle w:val="FootnoteReference"/>
          <w:rFonts w:ascii="Times New Roman" w:eastAsiaTheme="minorEastAsia" w:hAnsi="Times New Roman"/>
          <w:kern w:val="22"/>
          <w:sz w:val="24"/>
          <w:szCs w:val="24"/>
          <w:u w:val="none"/>
          <w:vertAlign w:val="superscript"/>
          <w:lang w:eastAsia="zh-CN"/>
        </w:rPr>
        <w:footnoteReference w:id="325"/>
      </w:r>
      <w:r w:rsidRPr="00313192">
        <w:rPr>
          <w:rFonts w:ascii="Times New Roman" w:eastAsiaTheme="minorEastAsia" w:hAnsi="Times New Roman"/>
          <w:kern w:val="22"/>
          <w:sz w:val="24"/>
          <w:szCs w:val="24"/>
          <w:lang w:eastAsia="zh-CN"/>
        </w:rPr>
        <w:t xml:space="preserve"> </w:t>
      </w:r>
      <w:r w:rsidRPr="00B72FA3">
        <w:rPr>
          <w:rFonts w:ascii="Times New Roman" w:eastAsiaTheme="minorEastAsia" w:hAnsi="Times New Roman"/>
          <w:kern w:val="22"/>
          <w:sz w:val="24"/>
          <w:szCs w:val="24"/>
          <w:lang w:eastAsia="zh-CN"/>
        </w:rPr>
        <w:t>制定系统地审议生物多样性和生态系统服务政府间科学政策平台所有可交付成果的方法，以期优化使用这些方法支持执行《公约》，并向在缔约方大会第十五届会议之前举行的一次科学、技术和工艺咨询附属机构会议提出报告。</w:t>
      </w:r>
    </w:p>
    <w:p w:rsidR="00B72FA3" w:rsidRPr="00BE1186" w:rsidRDefault="00B72FA3" w:rsidP="00B72FA3">
      <w:pPr>
        <w:pStyle w:val="bodytextnoindent"/>
        <w:ind w:firstLine="0"/>
        <w:jc w:val="center"/>
        <w:rPr>
          <w:rFonts w:ascii="KaiTi" w:eastAsia="KaiTi" w:hAnsi="KaiTi"/>
          <w:sz w:val="24"/>
          <w:lang w:bidi="th-TH"/>
        </w:rPr>
      </w:pPr>
      <w:r w:rsidRPr="00BE1186">
        <w:rPr>
          <w:rFonts w:ascii="KaiTi" w:eastAsia="KaiTi" w:hAnsi="KaiTi" w:hint="eastAsia"/>
          <w:sz w:val="24"/>
          <w:lang w:bidi="th-TH"/>
        </w:rPr>
        <w:t>附件</w:t>
      </w:r>
    </w:p>
    <w:p w:rsidR="00B72FA3" w:rsidRDefault="00B72FA3" w:rsidP="00B72FA3">
      <w:pPr>
        <w:pStyle w:val="bodytextnoindent"/>
        <w:ind w:left="1440" w:right="1542" w:firstLine="0"/>
        <w:jc w:val="center"/>
        <w:rPr>
          <w:rFonts w:ascii="SimSun" w:hAnsi="SimSun" w:cs="SimSun"/>
          <w:b/>
          <w:sz w:val="24"/>
        </w:rPr>
      </w:pPr>
      <w:r w:rsidRPr="0031441C">
        <w:rPr>
          <w:rFonts w:ascii="SimSun" w:hAnsi="SimSun"/>
          <w:b/>
          <w:sz w:val="24"/>
          <w:lang w:bidi="th-TH"/>
        </w:rPr>
        <w:t>生</w:t>
      </w:r>
      <w:r w:rsidRPr="0031441C">
        <w:rPr>
          <w:rFonts w:ascii="SimSun" w:hAnsi="SimSun" w:cs="SimSun" w:hint="eastAsia"/>
          <w:b/>
          <w:sz w:val="24"/>
        </w:rPr>
        <w:t>物多样性和生态系统服务政府间科学政策平台</w:t>
      </w:r>
      <w:r>
        <w:rPr>
          <w:rFonts w:ascii="SimSun" w:hAnsi="SimSun" w:cs="SimSun" w:hint="eastAsia"/>
          <w:b/>
          <w:sz w:val="24"/>
        </w:rPr>
        <w:t>需</w:t>
      </w:r>
      <w:r w:rsidRPr="0031441C">
        <w:rPr>
          <w:rFonts w:ascii="SimSun" w:hAnsi="SimSun" w:cs="SimSun" w:hint="eastAsia"/>
          <w:b/>
          <w:sz w:val="24"/>
        </w:rPr>
        <w:t>就其</w:t>
      </w:r>
      <w:r>
        <w:rPr>
          <w:rFonts w:ascii="SimSun" w:hAnsi="SimSun" w:cs="SimSun" w:hint="eastAsia"/>
          <w:b/>
          <w:sz w:val="24"/>
        </w:rPr>
        <w:t>战略框架</w:t>
      </w:r>
      <w:r>
        <w:rPr>
          <w:rFonts w:ascii="SimSun" w:hAnsi="SimSun" w:cs="SimSun"/>
          <w:b/>
          <w:sz w:val="24"/>
        </w:rPr>
        <w:t>和</w:t>
      </w:r>
      <w:r>
        <w:rPr>
          <w:rFonts w:ascii="SimSun" w:hAnsi="SimSun" w:cs="SimSun" w:hint="eastAsia"/>
          <w:b/>
          <w:sz w:val="24"/>
        </w:rPr>
        <w:t>面向</w:t>
      </w:r>
      <w:r w:rsidRPr="0031441C">
        <w:rPr>
          <w:b/>
          <w:sz w:val="24"/>
          <w:lang w:bidi="th-TH"/>
        </w:rPr>
        <w:t>2030</w:t>
      </w:r>
      <w:r w:rsidRPr="00BE1186">
        <w:rPr>
          <w:rFonts w:ascii="SimSun" w:hAnsi="SimSun"/>
          <w:b/>
          <w:sz w:val="24"/>
          <w:lang w:bidi="th-TH"/>
        </w:rPr>
        <w:t>年</w:t>
      </w:r>
      <w:r>
        <w:rPr>
          <w:rFonts w:ascii="SimSun" w:hAnsi="SimSun" w:hint="eastAsia"/>
          <w:b/>
          <w:sz w:val="24"/>
          <w:lang w:bidi="th-TH"/>
        </w:rPr>
        <w:t>的</w:t>
      </w:r>
      <w:r w:rsidRPr="00BE1186">
        <w:rPr>
          <w:rFonts w:ascii="SimSun" w:hAnsi="SimSun" w:cs="SimSun" w:hint="eastAsia"/>
          <w:b/>
          <w:sz w:val="24"/>
        </w:rPr>
        <w:t>工作方案</w:t>
      </w:r>
      <w:r>
        <w:rPr>
          <w:rFonts w:ascii="SimSun" w:hAnsi="SimSun" w:cs="SimSun" w:hint="eastAsia"/>
          <w:b/>
          <w:sz w:val="24"/>
        </w:rPr>
        <w:t>进行</w:t>
      </w:r>
      <w:r w:rsidRPr="00BE1186">
        <w:rPr>
          <w:rFonts w:ascii="SimSun" w:hAnsi="SimSun" w:cs="SimSun" w:hint="eastAsia"/>
          <w:b/>
          <w:sz w:val="24"/>
        </w:rPr>
        <w:t>审议的</w:t>
      </w:r>
      <w:r>
        <w:rPr>
          <w:rFonts w:ascii="SimSun" w:hAnsi="SimSun" w:cs="SimSun" w:hint="eastAsia"/>
          <w:b/>
          <w:sz w:val="24"/>
        </w:rPr>
        <w:t>要求</w:t>
      </w:r>
    </w:p>
    <w:p w:rsidR="00B72FA3" w:rsidRPr="0059416B" w:rsidRDefault="00B72FA3" w:rsidP="00615E7F">
      <w:pPr>
        <w:pStyle w:val="Para1"/>
        <w:numPr>
          <w:ilvl w:val="0"/>
          <w:numId w:val="277"/>
        </w:numPr>
        <w:suppressLineNumbers/>
        <w:tabs>
          <w:tab w:val="clear" w:pos="360"/>
          <w:tab w:val="left" w:pos="720"/>
        </w:tabs>
        <w:suppressAutoHyphens/>
        <w:kinsoku w:val="0"/>
        <w:overflowPunct w:val="0"/>
        <w:autoSpaceDE w:val="0"/>
        <w:autoSpaceDN w:val="0"/>
        <w:adjustRightInd w:val="0"/>
        <w:snapToGrid w:val="0"/>
        <w:ind w:firstLine="0"/>
        <w:rPr>
          <w:sz w:val="24"/>
          <w:lang w:eastAsia="zh-CN" w:bidi="th-TH"/>
        </w:rPr>
      </w:pPr>
      <w:r w:rsidRPr="0059416B">
        <w:rPr>
          <w:rFonts w:ascii="SimSun" w:hAnsi="SimSun" w:cs="SimSun" w:hint="eastAsia"/>
          <w:sz w:val="24"/>
          <w:lang w:eastAsia="zh-CN"/>
        </w:rPr>
        <w:t>请生物多样性和生态系统服务政府间科学政策平台在制定其</w:t>
      </w:r>
      <w:r>
        <w:rPr>
          <w:rFonts w:ascii="SimSun" w:hAnsi="SimSun" w:cs="SimSun" w:hint="eastAsia"/>
          <w:sz w:val="24"/>
          <w:lang w:eastAsia="zh-CN"/>
        </w:rPr>
        <w:t>战略框架</w:t>
      </w:r>
      <w:r>
        <w:rPr>
          <w:rFonts w:ascii="SimSun" w:hAnsi="SimSun" w:cs="SimSun"/>
          <w:sz w:val="24"/>
          <w:lang w:eastAsia="zh-CN"/>
        </w:rPr>
        <w:t>和</w:t>
      </w:r>
      <w:r>
        <w:rPr>
          <w:rFonts w:ascii="SimSun" w:hAnsi="SimSun" w:cs="SimSun" w:hint="eastAsia"/>
          <w:sz w:val="24"/>
          <w:lang w:eastAsia="zh-CN"/>
        </w:rPr>
        <w:t>面向</w:t>
      </w:r>
      <w:r w:rsidRPr="0059416B">
        <w:rPr>
          <w:sz w:val="24"/>
          <w:lang w:eastAsia="zh-CN" w:bidi="th-TH"/>
        </w:rPr>
        <w:t>2030</w:t>
      </w:r>
      <w:r w:rsidRPr="0059416B">
        <w:rPr>
          <w:rFonts w:ascii="SimSun" w:hAnsi="SimSun" w:cs="SimSun" w:hint="eastAsia"/>
          <w:sz w:val="24"/>
          <w:lang w:eastAsia="zh-CN"/>
        </w:rPr>
        <w:t>年的工作方案时考虑以下几点：</w:t>
      </w:r>
    </w:p>
    <w:p w:rsidR="00B72FA3" w:rsidRPr="0059416B" w:rsidRDefault="00B72FA3" w:rsidP="00615E7F">
      <w:pPr>
        <w:pStyle w:val="Para1"/>
        <w:numPr>
          <w:ilvl w:val="1"/>
          <w:numId w:val="278"/>
        </w:numPr>
        <w:tabs>
          <w:tab w:val="left" w:pos="1440"/>
        </w:tabs>
        <w:snapToGrid w:val="0"/>
        <w:rPr>
          <w:sz w:val="24"/>
          <w:szCs w:val="24"/>
          <w:lang w:eastAsia="zh-CN" w:bidi="th-TH"/>
        </w:rPr>
      </w:pPr>
      <w:r w:rsidRPr="0059416B">
        <w:rPr>
          <w:rFonts w:ascii="SimSun" w:hAnsi="SimSun" w:cs="SimSun" w:hint="eastAsia"/>
          <w:sz w:val="24"/>
          <w:szCs w:val="24"/>
          <w:lang w:eastAsia="zh-CN"/>
        </w:rPr>
        <w:t>执行第</w:t>
      </w:r>
      <w:r w:rsidRPr="0031441C">
        <w:rPr>
          <w:sz w:val="24"/>
          <w:szCs w:val="24"/>
          <w:lang w:eastAsia="zh-CN" w:bidi="th-TH"/>
        </w:rPr>
        <w:t>XII/1</w:t>
      </w:r>
      <w:r w:rsidRPr="0059416B">
        <w:rPr>
          <w:rFonts w:ascii="SimSun" w:hAnsi="SimSun" w:cs="SimSun" w:hint="eastAsia"/>
          <w:sz w:val="24"/>
          <w:szCs w:val="24"/>
          <w:lang w:eastAsia="zh-CN"/>
        </w:rPr>
        <w:t>号决定核准的《</w:t>
      </w:r>
      <w:r w:rsidRPr="0031441C">
        <w:rPr>
          <w:sz w:val="24"/>
          <w:szCs w:val="24"/>
          <w:lang w:eastAsia="zh-CN" w:bidi="th-TH"/>
        </w:rPr>
        <w:t>2011</w:t>
      </w:r>
      <w:r w:rsidRPr="0059416B">
        <w:rPr>
          <w:sz w:val="24"/>
          <w:szCs w:val="24"/>
          <w:lang w:eastAsia="zh-CN" w:bidi="th-TH"/>
        </w:rPr>
        <w:t>-</w:t>
      </w:r>
      <w:r w:rsidRPr="0031441C">
        <w:rPr>
          <w:sz w:val="24"/>
          <w:szCs w:val="24"/>
          <w:lang w:eastAsia="zh-CN" w:bidi="th-TH"/>
        </w:rPr>
        <w:t>2020</w:t>
      </w:r>
      <w:r w:rsidRPr="0059416B">
        <w:rPr>
          <w:rFonts w:ascii="SimSun" w:hAnsi="SimSun" w:cs="SimSun" w:hint="eastAsia"/>
          <w:sz w:val="24"/>
          <w:szCs w:val="24"/>
          <w:lang w:eastAsia="zh-CN"/>
        </w:rPr>
        <w:t>年生物多样性战略计划》的重要科学技术需求仍然有效，因此</w:t>
      </w:r>
      <w:r>
        <w:rPr>
          <w:rFonts w:ascii="SimSun" w:hAnsi="SimSun" w:cs="SimSun" w:hint="eastAsia"/>
          <w:sz w:val="24"/>
          <w:szCs w:val="24"/>
          <w:lang w:eastAsia="zh-CN"/>
        </w:rPr>
        <w:t>，</w:t>
      </w:r>
      <w:r w:rsidRPr="0059416B">
        <w:rPr>
          <w:rFonts w:ascii="SimSun" w:hAnsi="SimSun" w:cs="SimSun" w:hint="eastAsia"/>
          <w:sz w:val="24"/>
          <w:szCs w:val="24"/>
          <w:lang w:eastAsia="zh-CN"/>
        </w:rPr>
        <w:t>在设计和交付平台所有四项职能的未来活动时应继续予以考虑；</w:t>
      </w:r>
    </w:p>
    <w:p w:rsidR="00B72FA3" w:rsidRPr="00FF2FE9" w:rsidRDefault="00B72FA3" w:rsidP="00615E7F">
      <w:pPr>
        <w:pStyle w:val="Para1"/>
        <w:numPr>
          <w:ilvl w:val="1"/>
          <w:numId w:val="278"/>
        </w:numPr>
        <w:tabs>
          <w:tab w:val="left" w:pos="1440"/>
        </w:tabs>
        <w:snapToGrid w:val="0"/>
        <w:rPr>
          <w:sz w:val="24"/>
          <w:szCs w:val="24"/>
          <w:lang w:eastAsia="zh-CN" w:bidi="th-TH"/>
        </w:rPr>
      </w:pPr>
      <w:r w:rsidRPr="0059416B">
        <w:rPr>
          <w:rFonts w:ascii="SimSun" w:hAnsi="SimSun" w:cs="SimSun" w:hint="eastAsia"/>
          <w:sz w:val="24"/>
          <w:szCs w:val="24"/>
          <w:lang w:eastAsia="zh-CN"/>
        </w:rPr>
        <w:t>应仔细考虑未来全球评估的范围和时机，包括考虑整合区域和全球组成部分的单一评估，也包括区域组成部分的资源需求，以满足</w:t>
      </w:r>
      <w:r w:rsidRPr="0031441C">
        <w:rPr>
          <w:sz w:val="24"/>
          <w:szCs w:val="24"/>
          <w:lang w:eastAsia="zh-CN" w:bidi="th-TH"/>
        </w:rPr>
        <w:t>2020</w:t>
      </w:r>
      <w:r w:rsidRPr="0059416B">
        <w:rPr>
          <w:rFonts w:ascii="SimSun" w:hAnsi="SimSun" w:cs="SimSun" w:hint="eastAsia"/>
          <w:sz w:val="24"/>
          <w:szCs w:val="24"/>
          <w:lang w:eastAsia="zh-CN"/>
        </w:rPr>
        <w:t>年后全球生物多样性框架以及《</w:t>
      </w:r>
      <w:r w:rsidRPr="0031441C">
        <w:rPr>
          <w:sz w:val="24"/>
          <w:szCs w:val="24"/>
          <w:lang w:eastAsia="zh-CN" w:bidi="th-TH"/>
        </w:rPr>
        <w:t>2030</w:t>
      </w:r>
      <w:r w:rsidRPr="0059416B">
        <w:rPr>
          <w:rFonts w:ascii="SimSun" w:hAnsi="SimSun" w:cs="SimSun" w:hint="eastAsia"/>
          <w:sz w:val="24"/>
          <w:szCs w:val="24"/>
          <w:lang w:eastAsia="zh-CN"/>
        </w:rPr>
        <w:t>年可持续发展议程》产生有关生物多样性和生态系统服务的评估需求。应该尽力减少与其他活动、分析和评估，包括未来可能的各期《</w:t>
      </w:r>
      <w:r w:rsidRPr="009005E1">
        <w:rPr>
          <w:rFonts w:ascii="KaiTi" w:eastAsia="KaiTi" w:hAnsi="KaiTi" w:cs="SimSun" w:hint="eastAsia"/>
          <w:sz w:val="24"/>
          <w:szCs w:val="24"/>
          <w:lang w:eastAsia="zh-CN"/>
        </w:rPr>
        <w:t>全球生物多样性展望</w:t>
      </w:r>
      <w:r w:rsidRPr="0059416B">
        <w:rPr>
          <w:rFonts w:ascii="SimSun" w:hAnsi="SimSun" w:cs="SimSun" w:hint="eastAsia"/>
          <w:sz w:val="24"/>
          <w:szCs w:val="24"/>
          <w:lang w:eastAsia="zh-CN"/>
        </w:rPr>
        <w:t>》的重叠，最大限度地发挥协同增效作用；</w:t>
      </w:r>
    </w:p>
    <w:p w:rsidR="00B72FA3" w:rsidRPr="0059416B" w:rsidRDefault="00B72FA3" w:rsidP="00615E7F">
      <w:pPr>
        <w:pStyle w:val="Para1"/>
        <w:numPr>
          <w:ilvl w:val="1"/>
          <w:numId w:val="278"/>
        </w:numPr>
        <w:tabs>
          <w:tab w:val="left" w:pos="1440"/>
        </w:tabs>
        <w:snapToGrid w:val="0"/>
        <w:rPr>
          <w:sz w:val="24"/>
          <w:szCs w:val="24"/>
          <w:lang w:eastAsia="zh-CN" w:bidi="th-TH"/>
        </w:rPr>
      </w:pPr>
      <w:r>
        <w:rPr>
          <w:rFonts w:ascii="SimSun" w:hAnsi="SimSun" w:cs="SimSun" w:hint="eastAsia"/>
          <w:sz w:val="24"/>
          <w:szCs w:val="24"/>
          <w:lang w:eastAsia="zh-CN"/>
        </w:rPr>
        <w:t>在其战略框架和在执行面向</w:t>
      </w:r>
      <w:r w:rsidRPr="00CB4882">
        <w:rPr>
          <w:sz w:val="24"/>
          <w:szCs w:val="24"/>
          <w:lang w:eastAsia="zh-CN"/>
        </w:rPr>
        <w:t>2030</w:t>
      </w:r>
      <w:r>
        <w:rPr>
          <w:rFonts w:ascii="SimSun" w:hAnsi="SimSun" w:cs="SimSun" w:hint="eastAsia"/>
          <w:sz w:val="24"/>
          <w:szCs w:val="24"/>
          <w:lang w:eastAsia="zh-CN"/>
        </w:rPr>
        <w:t>年的工作方案中需要纳入两性平等和妇女赋权的观点；</w:t>
      </w:r>
    </w:p>
    <w:p w:rsidR="00B72FA3" w:rsidRPr="0059416B" w:rsidRDefault="00B72FA3" w:rsidP="00615E7F">
      <w:pPr>
        <w:pStyle w:val="Para1"/>
        <w:numPr>
          <w:ilvl w:val="1"/>
          <w:numId w:val="278"/>
        </w:numPr>
        <w:tabs>
          <w:tab w:val="left" w:pos="1440"/>
        </w:tabs>
        <w:snapToGrid w:val="0"/>
        <w:rPr>
          <w:sz w:val="24"/>
          <w:szCs w:val="24"/>
          <w:lang w:eastAsia="zh-CN" w:bidi="th-TH"/>
        </w:rPr>
      </w:pPr>
      <w:r w:rsidRPr="0059416B">
        <w:rPr>
          <w:rFonts w:ascii="SimSun" w:hAnsi="SimSun" w:cs="SimSun" w:hint="eastAsia"/>
          <w:sz w:val="24"/>
          <w:szCs w:val="24"/>
          <w:lang w:eastAsia="zh-CN"/>
        </w:rPr>
        <w:t>强烈需要进一步加强与政府间气候变化专门委员会的合作，以期促进</w:t>
      </w:r>
      <w:r>
        <w:rPr>
          <w:rFonts w:ascii="SimSun" w:hAnsi="SimSun" w:cs="SimSun" w:hint="eastAsia"/>
          <w:sz w:val="24"/>
          <w:szCs w:val="24"/>
          <w:lang w:eastAsia="zh-CN"/>
        </w:rPr>
        <w:t>情景设想与</w:t>
      </w:r>
      <w:r w:rsidRPr="0059416B">
        <w:rPr>
          <w:rFonts w:ascii="SimSun" w:hAnsi="SimSun" w:cs="SimSun" w:hint="eastAsia"/>
          <w:sz w:val="24"/>
          <w:szCs w:val="24"/>
          <w:lang w:eastAsia="zh-CN"/>
        </w:rPr>
        <w:t>根据生物多样性和气候变化情况编制的相关评估之间的连贯一致性，包括考虑开展联合评估活动，并促进与这些机构</w:t>
      </w:r>
      <w:r>
        <w:rPr>
          <w:rFonts w:ascii="SimSun" w:hAnsi="SimSun" w:cs="SimSun" w:hint="eastAsia"/>
          <w:sz w:val="24"/>
          <w:szCs w:val="24"/>
          <w:lang w:eastAsia="zh-CN"/>
        </w:rPr>
        <w:t>相关</w:t>
      </w:r>
      <w:r w:rsidRPr="0059416B">
        <w:rPr>
          <w:rFonts w:ascii="SimSun" w:hAnsi="SimSun" w:cs="SimSun" w:hint="eastAsia"/>
          <w:sz w:val="24"/>
          <w:szCs w:val="24"/>
          <w:lang w:eastAsia="zh-CN"/>
        </w:rPr>
        <w:t>的科学界之间进一步加强合作；</w:t>
      </w:r>
    </w:p>
    <w:p w:rsidR="00B72FA3" w:rsidRPr="0059416B" w:rsidRDefault="00B72FA3" w:rsidP="00615E7F">
      <w:pPr>
        <w:pStyle w:val="Para1"/>
        <w:numPr>
          <w:ilvl w:val="1"/>
          <w:numId w:val="278"/>
        </w:numPr>
        <w:tabs>
          <w:tab w:val="left" w:pos="1440"/>
        </w:tabs>
        <w:snapToGrid w:val="0"/>
        <w:rPr>
          <w:sz w:val="24"/>
          <w:szCs w:val="24"/>
          <w:lang w:eastAsia="zh-CN" w:bidi="th-TH"/>
        </w:rPr>
      </w:pPr>
      <w:r w:rsidRPr="0059416B">
        <w:rPr>
          <w:rFonts w:ascii="SimSun" w:hAnsi="SimSun" w:cs="SimSun" w:hint="eastAsia"/>
          <w:sz w:val="24"/>
          <w:szCs w:val="24"/>
          <w:lang w:eastAsia="zh-CN"/>
        </w:rPr>
        <w:t>仍然需要开展</w:t>
      </w:r>
      <w:r>
        <w:rPr>
          <w:rFonts w:ascii="SimSun" w:hAnsi="SimSun" w:cs="SimSun" w:hint="eastAsia"/>
          <w:sz w:val="24"/>
          <w:szCs w:val="24"/>
          <w:lang w:eastAsia="zh-CN"/>
        </w:rPr>
        <w:t>情景设想</w:t>
      </w:r>
      <w:r w:rsidRPr="0059416B">
        <w:rPr>
          <w:rFonts w:ascii="SimSun" w:hAnsi="SimSun" w:cs="SimSun" w:hint="eastAsia"/>
          <w:sz w:val="24"/>
          <w:szCs w:val="24"/>
          <w:lang w:eastAsia="zh-CN"/>
        </w:rPr>
        <w:t>和模型工作，</w:t>
      </w:r>
      <w:r>
        <w:rPr>
          <w:rFonts w:ascii="SimSun" w:hAnsi="SimSun" w:cs="SimSun" w:hint="eastAsia"/>
          <w:sz w:val="24"/>
          <w:szCs w:val="24"/>
          <w:lang w:eastAsia="zh-CN"/>
        </w:rPr>
        <w:t>以便</w:t>
      </w:r>
      <w:r w:rsidRPr="0059416B">
        <w:rPr>
          <w:rFonts w:ascii="SimSun" w:hAnsi="SimSun" w:cs="SimSun" w:hint="eastAsia"/>
          <w:sz w:val="24"/>
          <w:szCs w:val="24"/>
          <w:lang w:eastAsia="zh-CN"/>
        </w:rPr>
        <w:t>评估走向可持续未来的路径</w:t>
      </w:r>
      <w:r>
        <w:rPr>
          <w:rFonts w:ascii="SimSun" w:hAnsi="SimSun" w:cs="SimSun" w:hint="eastAsia"/>
          <w:sz w:val="24"/>
          <w:szCs w:val="24"/>
          <w:lang w:eastAsia="zh-CN"/>
        </w:rPr>
        <w:t>和</w:t>
      </w:r>
      <w:r>
        <w:rPr>
          <w:rFonts w:ascii="SimSun" w:hAnsi="SimSun" w:cs="SimSun"/>
          <w:sz w:val="24"/>
          <w:szCs w:val="24"/>
          <w:lang w:eastAsia="zh-CN"/>
        </w:rPr>
        <w:t>所需要的</w:t>
      </w:r>
      <w:r w:rsidRPr="0059416B">
        <w:rPr>
          <w:rFonts w:ascii="SimSun" w:hAnsi="SimSun" w:cs="SimSun" w:hint="eastAsia"/>
          <w:sz w:val="24"/>
          <w:szCs w:val="24"/>
          <w:lang w:eastAsia="zh-CN"/>
        </w:rPr>
        <w:t>转型变革；</w:t>
      </w:r>
      <w:r>
        <w:rPr>
          <w:rFonts w:ascii="SimSun" w:hAnsi="SimSun" w:cs="SimSun"/>
          <w:sz w:val="24"/>
          <w:szCs w:val="24"/>
          <w:lang w:val="en-US" w:eastAsia="zh-CN"/>
        </w:rPr>
        <w:t xml:space="preserve">  </w:t>
      </w:r>
    </w:p>
    <w:p w:rsidR="00B72FA3" w:rsidRPr="0059416B" w:rsidRDefault="00B72FA3" w:rsidP="00615E7F">
      <w:pPr>
        <w:pStyle w:val="Para1"/>
        <w:numPr>
          <w:ilvl w:val="1"/>
          <w:numId w:val="278"/>
        </w:numPr>
        <w:tabs>
          <w:tab w:val="left" w:pos="1440"/>
        </w:tabs>
        <w:snapToGrid w:val="0"/>
        <w:rPr>
          <w:sz w:val="24"/>
          <w:szCs w:val="24"/>
          <w:lang w:eastAsia="zh-CN" w:bidi="th-TH"/>
        </w:rPr>
      </w:pPr>
      <w:r w:rsidRPr="0059416B">
        <w:rPr>
          <w:rFonts w:ascii="SimSun" w:hAnsi="SimSun" w:cs="SimSun" w:hint="eastAsia"/>
          <w:sz w:val="24"/>
          <w:szCs w:val="24"/>
          <w:lang w:eastAsia="zh-CN"/>
        </w:rPr>
        <w:t>生物多样性和生态系统服务政府间科学政策平台为进一步</w:t>
      </w:r>
      <w:r>
        <w:rPr>
          <w:rFonts w:ascii="SimSun" w:hAnsi="SimSun" w:cs="SimSun" w:hint="eastAsia"/>
          <w:sz w:val="24"/>
          <w:szCs w:val="24"/>
          <w:lang w:eastAsia="zh-CN"/>
        </w:rPr>
        <w:t>整合</w:t>
      </w:r>
      <w:r w:rsidRPr="0059416B">
        <w:rPr>
          <w:rFonts w:ascii="SimSun" w:hAnsi="SimSun" w:cs="SimSun" w:hint="eastAsia"/>
          <w:sz w:val="24"/>
          <w:szCs w:val="24"/>
          <w:lang w:eastAsia="zh-CN"/>
        </w:rPr>
        <w:t>平台</w:t>
      </w:r>
      <w:r>
        <w:rPr>
          <w:rFonts w:ascii="SimSun" w:hAnsi="SimSun" w:cs="SimSun" w:hint="eastAsia"/>
          <w:sz w:val="24"/>
          <w:szCs w:val="24"/>
          <w:lang w:eastAsia="zh-CN"/>
        </w:rPr>
        <w:t>四项</w:t>
      </w:r>
      <w:r w:rsidRPr="0059416B">
        <w:rPr>
          <w:rFonts w:ascii="SimSun" w:hAnsi="SimSun" w:cs="SimSun" w:hint="eastAsia"/>
          <w:sz w:val="24"/>
          <w:szCs w:val="24"/>
          <w:lang w:eastAsia="zh-CN"/>
        </w:rPr>
        <w:t>职能而采取的</w:t>
      </w:r>
      <w:r>
        <w:rPr>
          <w:rFonts w:ascii="SimSun" w:hAnsi="SimSun" w:cs="SimSun" w:hint="eastAsia"/>
          <w:sz w:val="24"/>
          <w:szCs w:val="24"/>
          <w:lang w:eastAsia="zh-CN"/>
        </w:rPr>
        <w:t>措施</w:t>
      </w:r>
      <w:r w:rsidRPr="0059416B">
        <w:rPr>
          <w:rFonts w:ascii="SimSun" w:hAnsi="SimSun" w:cs="SimSun" w:hint="eastAsia"/>
          <w:sz w:val="24"/>
          <w:szCs w:val="24"/>
          <w:lang w:eastAsia="zh-CN"/>
        </w:rPr>
        <w:t>将有助于确保其交付成果</w:t>
      </w:r>
      <w:r>
        <w:rPr>
          <w:rFonts w:ascii="SimSun" w:hAnsi="SimSun" w:cs="SimSun" w:hint="eastAsia"/>
          <w:sz w:val="24"/>
          <w:szCs w:val="24"/>
          <w:lang w:eastAsia="zh-CN"/>
        </w:rPr>
        <w:t>与</w:t>
      </w:r>
      <w:r w:rsidRPr="0059416B">
        <w:rPr>
          <w:rFonts w:ascii="SimSun" w:hAnsi="SimSun" w:cs="SimSun" w:hint="eastAsia"/>
          <w:sz w:val="24"/>
          <w:szCs w:val="24"/>
          <w:lang w:eastAsia="zh-CN"/>
        </w:rPr>
        <w:t>《公约》的工作</w:t>
      </w:r>
      <w:r>
        <w:rPr>
          <w:rFonts w:ascii="SimSun" w:hAnsi="SimSun" w:cs="SimSun" w:hint="eastAsia"/>
          <w:sz w:val="24"/>
          <w:szCs w:val="24"/>
          <w:lang w:eastAsia="zh-CN"/>
        </w:rPr>
        <w:t>息息相关</w:t>
      </w:r>
      <w:r w:rsidRPr="0059416B">
        <w:rPr>
          <w:rFonts w:ascii="SimSun" w:hAnsi="SimSun" w:cs="SimSun" w:hint="eastAsia"/>
          <w:sz w:val="24"/>
          <w:szCs w:val="24"/>
          <w:lang w:eastAsia="zh-CN"/>
        </w:rPr>
        <w:t>；</w:t>
      </w:r>
    </w:p>
    <w:p w:rsidR="00B72FA3" w:rsidRPr="00A31650" w:rsidRDefault="00B72FA3" w:rsidP="00615E7F">
      <w:pPr>
        <w:pStyle w:val="Para1"/>
        <w:numPr>
          <w:ilvl w:val="1"/>
          <w:numId w:val="278"/>
        </w:numPr>
        <w:tabs>
          <w:tab w:val="left" w:pos="1440"/>
        </w:tabs>
        <w:snapToGrid w:val="0"/>
        <w:rPr>
          <w:sz w:val="24"/>
          <w:szCs w:val="24"/>
          <w:lang w:eastAsia="zh-CN" w:bidi="th-TH"/>
        </w:rPr>
      </w:pPr>
      <w:r w:rsidRPr="0059416B">
        <w:rPr>
          <w:rFonts w:ascii="SimSun" w:hAnsi="SimSun" w:cs="SimSun" w:hint="eastAsia"/>
          <w:sz w:val="24"/>
          <w:szCs w:val="24"/>
          <w:lang w:eastAsia="zh-CN"/>
        </w:rPr>
        <w:t>应解决第一个工作方案中查明的知识和数据差距；</w:t>
      </w:r>
    </w:p>
    <w:p w:rsidR="00B72FA3" w:rsidRPr="00CC4002" w:rsidRDefault="00B72FA3" w:rsidP="00615E7F">
      <w:pPr>
        <w:pStyle w:val="Para1"/>
        <w:numPr>
          <w:ilvl w:val="1"/>
          <w:numId w:val="278"/>
        </w:numPr>
        <w:tabs>
          <w:tab w:val="left" w:pos="1440"/>
        </w:tabs>
        <w:snapToGrid w:val="0"/>
        <w:rPr>
          <w:sz w:val="24"/>
          <w:szCs w:val="24"/>
          <w:lang w:eastAsia="zh-CN"/>
        </w:rPr>
      </w:pPr>
      <w:r w:rsidRPr="00CC4002">
        <w:rPr>
          <w:rFonts w:hAnsi="SimSun" w:hint="eastAsia"/>
          <w:sz w:val="24"/>
          <w:szCs w:val="24"/>
          <w:lang w:eastAsia="zh-CN"/>
        </w:rPr>
        <w:lastRenderedPageBreak/>
        <w:t>应与各组织和倡议加强沟通，</w:t>
      </w:r>
      <w:r w:rsidRPr="00DE1325">
        <w:rPr>
          <w:rFonts w:asciiTheme="minorEastAsia" w:hAnsiTheme="minorEastAsia" w:hint="eastAsia"/>
          <w:sz w:val="24"/>
          <w:szCs w:val="24"/>
          <w:lang w:eastAsia="zh-CN"/>
        </w:rPr>
        <w:t>例如</w:t>
      </w:r>
      <w:r w:rsidRPr="008F29C5">
        <w:rPr>
          <w:rFonts w:ascii="SimSun" w:hAnsi="SimSun"/>
          <w:sz w:val="24"/>
          <w:szCs w:val="24"/>
          <w:lang w:eastAsia="zh-CN"/>
        </w:rPr>
        <w:t>“</w:t>
      </w:r>
      <w:r w:rsidRPr="008F29C5">
        <w:rPr>
          <w:rFonts w:ascii="SimSun" w:hAnsi="SimSun" w:hint="eastAsia"/>
          <w:sz w:val="24"/>
          <w:szCs w:val="24"/>
          <w:lang w:eastAsia="zh-CN"/>
        </w:rPr>
        <w:t>一体健康</w:t>
      </w:r>
      <w:r w:rsidRPr="008F29C5">
        <w:rPr>
          <w:rFonts w:ascii="SimSun" w:hAnsi="SimSun"/>
          <w:sz w:val="24"/>
          <w:szCs w:val="24"/>
          <w:lang w:eastAsia="zh-CN"/>
        </w:rPr>
        <w:t>”</w:t>
      </w:r>
      <w:r w:rsidRPr="00DE1325">
        <w:rPr>
          <w:rFonts w:asciiTheme="minorEastAsia" w:hAnsiTheme="minorEastAsia" w:hint="eastAsia"/>
          <w:sz w:val="24"/>
          <w:szCs w:val="24"/>
          <w:lang w:eastAsia="zh-CN"/>
        </w:rPr>
        <w:t>、</w:t>
      </w:r>
      <w:r w:rsidRPr="00CC4002">
        <w:rPr>
          <w:rFonts w:hAnsi="SimSun" w:hint="eastAsia"/>
          <w:sz w:val="24"/>
          <w:szCs w:val="24"/>
          <w:lang w:eastAsia="zh-CN"/>
        </w:rPr>
        <w:t>国际资源小组、一个地球网络、世界经济论坛、联合国全球契约、联合国统计司、国际综合报告委员会、自然资本联盟及其生物多样性工作组和全球报告倡议组织等；</w:t>
      </w:r>
    </w:p>
    <w:p w:rsidR="00B72FA3" w:rsidRPr="00784865" w:rsidRDefault="00B72FA3" w:rsidP="00615E7F">
      <w:pPr>
        <w:pStyle w:val="Para1"/>
        <w:numPr>
          <w:ilvl w:val="0"/>
          <w:numId w:val="277"/>
        </w:numPr>
        <w:tabs>
          <w:tab w:val="clear" w:pos="360"/>
          <w:tab w:val="left" w:pos="1440"/>
        </w:tabs>
        <w:snapToGrid w:val="0"/>
        <w:rPr>
          <w:sz w:val="24"/>
          <w:lang w:eastAsia="zh-CN" w:bidi="th-TH"/>
        </w:rPr>
      </w:pPr>
      <w:r w:rsidRPr="00784865">
        <w:rPr>
          <w:sz w:val="24"/>
          <w:lang w:eastAsia="zh-CN"/>
        </w:rPr>
        <w:t>注意到制定和执行</w:t>
      </w:r>
      <w:r w:rsidRPr="00784865">
        <w:rPr>
          <w:sz w:val="24"/>
          <w:lang w:eastAsia="zh-CN" w:bidi="th-TH"/>
        </w:rPr>
        <w:t>2020</w:t>
      </w:r>
      <w:r w:rsidRPr="00784865">
        <w:rPr>
          <w:sz w:val="24"/>
          <w:lang w:eastAsia="zh-CN"/>
        </w:rPr>
        <w:t>年后全球生物多样性框架将对《公约》的需求作进一步的范围划分和缓急排列，因此又邀请生物多样性和生态系统服务政府间科学政策平台顾及对其面向</w:t>
      </w:r>
      <w:r w:rsidRPr="00784865">
        <w:rPr>
          <w:sz w:val="24"/>
          <w:lang w:eastAsia="zh-CN" w:bidi="th-TH"/>
        </w:rPr>
        <w:t>2030</w:t>
      </w:r>
      <w:r w:rsidRPr="00784865">
        <w:rPr>
          <w:sz w:val="24"/>
          <w:lang w:eastAsia="zh-CN"/>
        </w:rPr>
        <w:t>年的工作方案的下列初步要求：</w:t>
      </w:r>
    </w:p>
    <w:p w:rsidR="00B72FA3" w:rsidRPr="00784865" w:rsidRDefault="00B72FA3" w:rsidP="00615E7F">
      <w:pPr>
        <w:pStyle w:val="Para1"/>
        <w:numPr>
          <w:ilvl w:val="1"/>
          <w:numId w:val="279"/>
        </w:numPr>
        <w:suppressLineNumbers/>
        <w:tabs>
          <w:tab w:val="left" w:pos="1440"/>
        </w:tabs>
        <w:suppressAutoHyphens/>
        <w:kinsoku w:val="0"/>
        <w:overflowPunct w:val="0"/>
        <w:autoSpaceDE w:val="0"/>
        <w:autoSpaceDN w:val="0"/>
        <w:adjustRightInd w:val="0"/>
        <w:snapToGrid w:val="0"/>
        <w:rPr>
          <w:sz w:val="24"/>
          <w:szCs w:val="24"/>
          <w:lang w:eastAsia="zh-CN" w:bidi="th-TH"/>
        </w:rPr>
      </w:pPr>
      <w:r w:rsidRPr="00784865">
        <w:rPr>
          <w:sz w:val="24"/>
          <w:szCs w:val="24"/>
          <w:lang w:eastAsia="zh-CN" w:bidi="th-TH"/>
        </w:rPr>
        <w:t>理解和评估转型变革的行为、社会、经济、体制、技能和工艺决定因素，以及如何进行部署，以便实现</w:t>
      </w:r>
      <w:r w:rsidRPr="00784865">
        <w:rPr>
          <w:sz w:val="24"/>
          <w:szCs w:val="24"/>
          <w:lang w:eastAsia="zh-CN" w:bidi="th-TH"/>
        </w:rPr>
        <w:t>2050</w:t>
      </w:r>
      <w:r w:rsidRPr="00784865">
        <w:rPr>
          <w:sz w:val="24"/>
          <w:szCs w:val="24"/>
          <w:lang w:eastAsia="zh-CN" w:bidi="th-TH"/>
        </w:rPr>
        <w:t>年生物多样性愿景；</w:t>
      </w:r>
    </w:p>
    <w:p w:rsidR="00B72FA3" w:rsidRPr="00784865" w:rsidRDefault="00B72FA3" w:rsidP="00615E7F">
      <w:pPr>
        <w:pStyle w:val="Para1"/>
        <w:numPr>
          <w:ilvl w:val="1"/>
          <w:numId w:val="279"/>
        </w:numPr>
        <w:suppressLineNumbers/>
        <w:tabs>
          <w:tab w:val="left" w:pos="1440"/>
        </w:tabs>
        <w:suppressAutoHyphens/>
        <w:kinsoku w:val="0"/>
        <w:overflowPunct w:val="0"/>
        <w:autoSpaceDE w:val="0"/>
        <w:autoSpaceDN w:val="0"/>
        <w:adjustRightInd w:val="0"/>
        <w:snapToGrid w:val="0"/>
        <w:rPr>
          <w:sz w:val="24"/>
          <w:szCs w:val="24"/>
          <w:lang w:eastAsia="zh-CN" w:bidi="th-TH"/>
        </w:rPr>
      </w:pPr>
      <w:r w:rsidRPr="00784865">
        <w:rPr>
          <w:sz w:val="24"/>
          <w:szCs w:val="24"/>
          <w:lang w:eastAsia="zh-CN" w:bidi="th-TH"/>
        </w:rPr>
        <w:t>制定多学科方法以了解生物多样性丧失的直接和间接驱动因素的相互作用；</w:t>
      </w:r>
    </w:p>
    <w:p w:rsidR="00B72FA3" w:rsidRPr="00784865" w:rsidRDefault="00B72FA3" w:rsidP="00615E7F">
      <w:pPr>
        <w:pStyle w:val="Para1"/>
        <w:numPr>
          <w:ilvl w:val="1"/>
          <w:numId w:val="279"/>
        </w:numPr>
        <w:suppressLineNumbers/>
        <w:tabs>
          <w:tab w:val="left" w:pos="1440"/>
        </w:tabs>
        <w:suppressAutoHyphens/>
        <w:kinsoku w:val="0"/>
        <w:overflowPunct w:val="0"/>
        <w:autoSpaceDE w:val="0"/>
        <w:autoSpaceDN w:val="0"/>
        <w:adjustRightInd w:val="0"/>
        <w:snapToGrid w:val="0"/>
        <w:rPr>
          <w:sz w:val="24"/>
          <w:szCs w:val="24"/>
          <w:lang w:eastAsia="zh-CN" w:bidi="th-TH"/>
        </w:rPr>
      </w:pPr>
      <w:r w:rsidRPr="00784865">
        <w:rPr>
          <w:sz w:val="24"/>
          <w:szCs w:val="24"/>
          <w:lang w:eastAsia="zh-CN" w:bidi="th-TH"/>
        </w:rPr>
        <w:t>评估生物多样性、粮食和水、农业和健康、营养与粮食安全、林业与渔业题之间的关系，考虑这些领域和相关可持续生产和消费以及污染和城市化政策选择之间的权衡，包括对能源和气候的影响，</w:t>
      </w:r>
      <w:r>
        <w:rPr>
          <w:rFonts w:hint="eastAsia"/>
          <w:sz w:val="24"/>
          <w:szCs w:val="24"/>
          <w:lang w:eastAsia="zh-CN" w:bidi="th-TH"/>
        </w:rPr>
        <w:t>同时</w:t>
      </w:r>
      <w:r w:rsidRPr="00784865">
        <w:rPr>
          <w:sz w:val="24"/>
          <w:szCs w:val="24"/>
          <w:lang w:eastAsia="zh-CN" w:bidi="th-TH"/>
        </w:rPr>
        <w:t>顾及生物多样性和生态系统服务在处理可持续发展目标中的作用，以期作出有利决定支持实现</w:t>
      </w:r>
      <w:r w:rsidRPr="00784865">
        <w:rPr>
          <w:sz w:val="24"/>
          <w:szCs w:val="24"/>
          <w:lang w:eastAsia="zh-CN" w:bidi="th-TH"/>
        </w:rPr>
        <w:t>2050</w:t>
      </w:r>
      <w:r w:rsidRPr="00784865">
        <w:rPr>
          <w:sz w:val="24"/>
          <w:szCs w:val="24"/>
          <w:lang w:eastAsia="zh-CN" w:bidi="th-TH"/>
        </w:rPr>
        <w:t>年生物多样性愿景所需的连贯政策和转型变革；</w:t>
      </w:r>
    </w:p>
    <w:p w:rsidR="00B72FA3" w:rsidRPr="00784865" w:rsidRDefault="00B72FA3" w:rsidP="00615E7F">
      <w:pPr>
        <w:pStyle w:val="Para1"/>
        <w:numPr>
          <w:ilvl w:val="1"/>
          <w:numId w:val="279"/>
        </w:numPr>
        <w:suppressLineNumbers/>
        <w:tabs>
          <w:tab w:val="left" w:pos="1440"/>
        </w:tabs>
        <w:suppressAutoHyphens/>
        <w:kinsoku w:val="0"/>
        <w:overflowPunct w:val="0"/>
        <w:autoSpaceDE w:val="0"/>
        <w:autoSpaceDN w:val="0"/>
        <w:adjustRightInd w:val="0"/>
        <w:snapToGrid w:val="0"/>
        <w:rPr>
          <w:sz w:val="24"/>
          <w:szCs w:val="24"/>
          <w:lang w:eastAsia="zh-CN" w:bidi="th-TH"/>
        </w:rPr>
      </w:pPr>
      <w:r>
        <w:rPr>
          <w:sz w:val="24"/>
          <w:szCs w:val="24"/>
          <w:lang w:eastAsia="zh-CN" w:bidi="th-TH"/>
        </w:rPr>
        <w:t>对各种政策手段和政策</w:t>
      </w:r>
      <w:r>
        <w:rPr>
          <w:rFonts w:hint="eastAsia"/>
          <w:sz w:val="24"/>
          <w:szCs w:val="24"/>
          <w:lang w:eastAsia="zh-CN" w:bidi="th-TH"/>
        </w:rPr>
        <w:t>和</w:t>
      </w:r>
      <w:r>
        <w:rPr>
          <w:sz w:val="24"/>
          <w:szCs w:val="24"/>
          <w:lang w:eastAsia="zh-CN" w:bidi="th-TH"/>
        </w:rPr>
        <w:t>规划支持</w:t>
      </w:r>
      <w:r>
        <w:rPr>
          <w:rFonts w:hint="eastAsia"/>
          <w:sz w:val="24"/>
          <w:szCs w:val="24"/>
          <w:lang w:eastAsia="zh-CN" w:bidi="th-TH"/>
        </w:rPr>
        <w:t>支助</w:t>
      </w:r>
      <w:r>
        <w:rPr>
          <w:sz w:val="24"/>
          <w:szCs w:val="24"/>
          <w:lang w:eastAsia="zh-CN" w:bidi="th-TH"/>
        </w:rPr>
        <w:t>的成效进行方法</w:t>
      </w:r>
      <w:r w:rsidRPr="00784865">
        <w:rPr>
          <w:sz w:val="24"/>
          <w:szCs w:val="24"/>
          <w:lang w:eastAsia="zh-CN" w:bidi="th-TH"/>
        </w:rPr>
        <w:t>评估，</w:t>
      </w:r>
      <w:r>
        <w:rPr>
          <w:rFonts w:hint="eastAsia"/>
          <w:sz w:val="24"/>
          <w:szCs w:val="24"/>
          <w:lang w:eastAsia="zh-CN" w:bidi="th-TH"/>
        </w:rPr>
        <w:t>以便</w:t>
      </w:r>
      <w:r>
        <w:rPr>
          <w:sz w:val="24"/>
          <w:szCs w:val="24"/>
          <w:lang w:eastAsia="zh-CN" w:bidi="th-TH"/>
        </w:rPr>
        <w:t>了解如何实现</w:t>
      </w:r>
      <w:r>
        <w:rPr>
          <w:rFonts w:hint="eastAsia"/>
          <w:sz w:val="24"/>
          <w:szCs w:val="24"/>
          <w:lang w:eastAsia="zh-CN" w:bidi="th-TH"/>
        </w:rPr>
        <w:t>转型变革和</w:t>
      </w:r>
      <w:r>
        <w:rPr>
          <w:sz w:val="24"/>
          <w:szCs w:val="24"/>
          <w:lang w:eastAsia="zh-CN" w:bidi="th-TH"/>
        </w:rPr>
        <w:t>描绘</w:t>
      </w:r>
      <w:r>
        <w:rPr>
          <w:rFonts w:hint="eastAsia"/>
          <w:sz w:val="24"/>
          <w:szCs w:val="24"/>
          <w:lang w:eastAsia="zh-CN" w:bidi="th-TH"/>
        </w:rPr>
        <w:t>及</w:t>
      </w:r>
      <w:r w:rsidRPr="00784865">
        <w:rPr>
          <w:sz w:val="24"/>
          <w:szCs w:val="24"/>
          <w:lang w:eastAsia="zh-CN" w:bidi="th-TH"/>
        </w:rPr>
        <w:t>量化</w:t>
      </w:r>
      <w:r>
        <w:rPr>
          <w:rFonts w:hint="eastAsia"/>
          <w:sz w:val="24"/>
          <w:szCs w:val="24"/>
          <w:lang w:eastAsia="zh-CN" w:bidi="th-TH"/>
        </w:rPr>
        <w:t>生物多样性</w:t>
      </w:r>
      <w:r w:rsidRPr="00784865">
        <w:rPr>
          <w:sz w:val="24"/>
          <w:szCs w:val="24"/>
          <w:lang w:eastAsia="zh-CN" w:bidi="th-TH"/>
        </w:rPr>
        <w:t>保护和可持续利用的成功做法和案例及其影响；</w:t>
      </w:r>
    </w:p>
    <w:p w:rsidR="00B72FA3" w:rsidRPr="00784865" w:rsidRDefault="00B72FA3" w:rsidP="00615E7F">
      <w:pPr>
        <w:pStyle w:val="Para1"/>
        <w:numPr>
          <w:ilvl w:val="1"/>
          <w:numId w:val="279"/>
        </w:numPr>
        <w:suppressLineNumbers/>
        <w:tabs>
          <w:tab w:val="left" w:pos="1440"/>
        </w:tabs>
        <w:suppressAutoHyphens/>
        <w:kinsoku w:val="0"/>
        <w:overflowPunct w:val="0"/>
        <w:autoSpaceDE w:val="0"/>
        <w:autoSpaceDN w:val="0"/>
        <w:adjustRightInd w:val="0"/>
        <w:snapToGrid w:val="0"/>
        <w:rPr>
          <w:sz w:val="24"/>
          <w:szCs w:val="24"/>
          <w:lang w:eastAsia="zh-CN" w:bidi="th-TH"/>
        </w:rPr>
      </w:pPr>
      <w:r w:rsidRPr="00784865">
        <w:rPr>
          <w:sz w:val="24"/>
          <w:szCs w:val="24"/>
          <w:lang w:eastAsia="zh-CN" w:bidi="th-TH"/>
        </w:rPr>
        <w:t>评估生产部门可能产生的积极和消极影响，并对生产部门对生物多样性和生态系统服务所产生影响的标准、度量和指标以及生物多样性和生态系统服务带来的惠益进行一次方法评估，使企业能够减少这种负面影响并促进评估和报告的一致性，同时考虑到生物多样性的直接和间接压力及其之间的相互联系。</w:t>
      </w:r>
      <w:r w:rsidRPr="00784865">
        <w:rPr>
          <w:sz w:val="24"/>
          <w:szCs w:val="24"/>
          <w:lang w:eastAsia="zh-CN" w:bidi="th-TH"/>
        </w:rPr>
        <w:t xml:space="preserve"> </w:t>
      </w:r>
    </w:p>
    <w:p w:rsidR="00B72FA3" w:rsidRPr="00DE1325" w:rsidRDefault="00B72FA3" w:rsidP="00B72FA3">
      <w:pPr>
        <w:pStyle w:val="NormalWeb"/>
        <w:suppressLineNumbers/>
        <w:suppressAutoHyphens/>
        <w:kinsoku w:val="0"/>
        <w:autoSpaceDE w:val="0"/>
        <w:autoSpaceDN w:val="0"/>
        <w:adjustRightInd w:val="0"/>
        <w:snapToGrid w:val="0"/>
        <w:spacing w:before="120" w:beforeAutospacing="0" w:after="120" w:afterAutospacing="0"/>
        <w:ind w:left="0" w:firstLine="0"/>
        <w:jc w:val="center"/>
        <w:rPr>
          <w:rFonts w:ascii="Times New Roman" w:hAnsi="Times New Roman" w:cs="Times New Roman"/>
          <w:kern w:val="22"/>
          <w:sz w:val="22"/>
          <w:szCs w:val="22"/>
          <w:lang w:val="en-GB" w:eastAsia="zh-CN"/>
        </w:rPr>
      </w:pPr>
    </w:p>
    <w:p w:rsidR="008640E9" w:rsidRDefault="008640E9">
      <w:pPr>
        <w:rPr>
          <w:b/>
          <w:bCs/>
          <w:noProof/>
          <w:kern w:val="22"/>
          <w:szCs w:val="32"/>
          <w:lang w:eastAsia="zh-CN"/>
        </w:rPr>
      </w:pPr>
      <w:r>
        <w:rPr>
          <w:noProof/>
          <w:kern w:val="22"/>
          <w:lang w:eastAsia="zh-CN"/>
        </w:rPr>
        <w:br w:type="page"/>
      </w:r>
    </w:p>
    <w:p w:rsidR="00B72FA3" w:rsidRPr="008640E9" w:rsidRDefault="00B72FA3" w:rsidP="008640E9">
      <w:pPr>
        <w:pStyle w:val="Heading1"/>
        <w:spacing w:before="120" w:after="120"/>
        <w:ind w:firstLine="0"/>
        <w:rPr>
          <w:rFonts w:eastAsiaTheme="minorEastAsia" w:cs="Times New Roman"/>
          <w:noProof/>
          <w:kern w:val="22"/>
          <w:sz w:val="24"/>
          <w:lang w:eastAsia="zh-CN"/>
        </w:rPr>
      </w:pPr>
      <w:bookmarkStart w:id="245" w:name="_Toc6243806"/>
      <w:r w:rsidRPr="008640E9">
        <w:rPr>
          <w:rFonts w:eastAsiaTheme="minorEastAsia" w:cs="Times New Roman"/>
          <w:noProof/>
          <w:kern w:val="22"/>
          <w:sz w:val="24"/>
          <w:lang w:eastAsia="zh-CN"/>
        </w:rPr>
        <w:lastRenderedPageBreak/>
        <w:t>14/37.</w:t>
      </w:r>
      <w:r w:rsidRPr="008640E9">
        <w:rPr>
          <w:rFonts w:eastAsiaTheme="minorEastAsia" w:cs="Times New Roman"/>
          <w:noProof/>
          <w:kern w:val="22"/>
          <w:sz w:val="24"/>
          <w:lang w:eastAsia="zh-CN"/>
        </w:rPr>
        <w:tab/>
        <w:t xml:space="preserve">  </w:t>
      </w:r>
      <w:r w:rsidRPr="008640E9">
        <w:rPr>
          <w:rFonts w:eastAsiaTheme="minorEastAsia" w:cs="Times New Roman"/>
          <w:noProof/>
          <w:kern w:val="22"/>
          <w:sz w:val="24"/>
          <w:lang w:eastAsia="zh-CN"/>
        </w:rPr>
        <w:t>秘书处综合工作方案预算</w:t>
      </w:r>
      <w:bookmarkEnd w:id="245"/>
    </w:p>
    <w:p w:rsidR="00B72FA3" w:rsidRPr="00421205" w:rsidRDefault="00B72FA3" w:rsidP="00B72FA3">
      <w:pPr>
        <w:shd w:val="clear" w:color="auto" w:fill="FFFFFF" w:themeFill="background1"/>
        <w:adjustRightInd w:val="0"/>
        <w:snapToGrid w:val="0"/>
        <w:rPr>
          <w:iCs/>
          <w:color w:val="000000"/>
          <w:kern w:val="18"/>
          <w:lang w:val="en-CA" w:eastAsia="zh-CN"/>
        </w:rPr>
      </w:pPr>
      <w:r w:rsidRPr="00421205">
        <w:rPr>
          <w:rFonts w:ascii="KaiTi" w:eastAsia="KaiTi" w:hAnsi="KaiTi"/>
          <w:iCs/>
          <w:color w:val="000000"/>
          <w:kern w:val="18"/>
          <w:lang w:val="en-CA" w:eastAsia="zh-CN"/>
        </w:rPr>
        <w:t>缔约方大会</w:t>
      </w:r>
      <w:r w:rsidRPr="00421205">
        <w:rPr>
          <w:rFonts w:hAnsiTheme="minorEastAsia"/>
          <w:iCs/>
          <w:color w:val="000000"/>
          <w:kern w:val="18"/>
          <w:lang w:val="en-CA" w:eastAsia="zh-CN"/>
        </w:rPr>
        <w:t>，</w:t>
      </w:r>
      <w:r w:rsidRPr="00421205">
        <w:rPr>
          <w:rFonts w:hAnsiTheme="minorEastAsia" w:hint="eastAsia"/>
          <w:iCs/>
          <w:color w:val="000000"/>
          <w:kern w:val="18"/>
          <w:lang w:val="en-CA" w:eastAsia="zh-CN"/>
        </w:rPr>
        <w:t xml:space="preserve"> </w:t>
      </w:r>
    </w:p>
    <w:p w:rsidR="00B72FA3" w:rsidRPr="00421205" w:rsidRDefault="00B72FA3" w:rsidP="00B72FA3">
      <w:pPr>
        <w:shd w:val="clear" w:color="auto" w:fill="FFFFFF" w:themeFill="background1"/>
        <w:adjustRightInd w:val="0"/>
        <w:snapToGrid w:val="0"/>
        <w:rPr>
          <w:iCs/>
          <w:color w:val="000000"/>
          <w:kern w:val="18"/>
          <w:lang w:val="en-CA" w:eastAsia="zh-CN"/>
        </w:rPr>
      </w:pPr>
      <w:r w:rsidRPr="00421205">
        <w:rPr>
          <w:rFonts w:ascii="KaiTi" w:eastAsia="KaiTi" w:hAnsi="KaiTi"/>
          <w:iCs/>
          <w:color w:val="000000"/>
          <w:kern w:val="18"/>
          <w:lang w:val="en-CA" w:eastAsia="zh-CN"/>
        </w:rPr>
        <w:t>回顾</w:t>
      </w:r>
      <w:r w:rsidRPr="00421205">
        <w:rPr>
          <w:rFonts w:hAnsiTheme="minorEastAsia"/>
          <w:iCs/>
          <w:color w:val="000000"/>
          <w:kern w:val="18"/>
          <w:lang w:val="en-CA" w:eastAsia="zh-CN"/>
        </w:rPr>
        <w:t>其第</w:t>
      </w:r>
      <w:r w:rsidRPr="00421205">
        <w:rPr>
          <w:iCs/>
          <w:color w:val="000000"/>
          <w:kern w:val="18"/>
          <w:lang w:val="en-CA" w:eastAsia="zh-CN"/>
        </w:rPr>
        <w:t>XIII/32</w:t>
      </w:r>
      <w:r w:rsidRPr="00421205">
        <w:rPr>
          <w:rFonts w:hAnsiTheme="minorEastAsia"/>
          <w:iCs/>
          <w:color w:val="000000"/>
          <w:kern w:val="18"/>
          <w:lang w:val="en-CA" w:eastAsia="zh-CN"/>
        </w:rPr>
        <w:t>号决定</w:t>
      </w:r>
      <w:r>
        <w:rPr>
          <w:rFonts w:hAnsiTheme="minorEastAsia" w:hint="eastAsia"/>
          <w:iCs/>
          <w:color w:val="000000"/>
          <w:kern w:val="18"/>
          <w:lang w:val="en-CA" w:eastAsia="zh-CN"/>
        </w:rPr>
        <w:t>和</w:t>
      </w:r>
      <w:r w:rsidRPr="00421205">
        <w:rPr>
          <w:rFonts w:hAnsiTheme="minorEastAsia"/>
          <w:iCs/>
          <w:color w:val="000000"/>
          <w:kern w:val="18"/>
          <w:lang w:val="en-CA" w:eastAsia="zh-CN"/>
        </w:rPr>
        <w:t>作为卡塔赫纳生物安全议定书缔约方会议的缔约方大会第七次会议的</w:t>
      </w:r>
      <w:r w:rsidRPr="00BB2B43">
        <w:rPr>
          <w:rFonts w:eastAsia="Malgun Gothic"/>
          <w:color w:val="000000"/>
          <w:kern w:val="18"/>
          <w:lang w:val="en-GB"/>
        </w:rPr>
        <w:t>VIII/7</w:t>
      </w:r>
      <w:r w:rsidRPr="00421205">
        <w:rPr>
          <w:rFonts w:hAnsiTheme="minorEastAsia"/>
          <w:iCs/>
          <w:color w:val="000000"/>
          <w:kern w:val="18"/>
          <w:lang w:val="en-CA" w:eastAsia="zh-CN"/>
        </w:rPr>
        <w:t>号决定</w:t>
      </w:r>
      <w:r>
        <w:rPr>
          <w:rFonts w:hAnsiTheme="minorEastAsia" w:hint="eastAsia"/>
          <w:iCs/>
          <w:color w:val="000000"/>
          <w:kern w:val="18"/>
          <w:lang w:val="en-CA" w:eastAsia="zh-CN"/>
        </w:rPr>
        <w:t>，</w:t>
      </w:r>
      <w:r>
        <w:rPr>
          <w:rFonts w:hAnsiTheme="minorEastAsia"/>
          <w:iCs/>
          <w:color w:val="000000"/>
          <w:kern w:val="18"/>
          <w:lang w:val="en-CA" w:eastAsia="zh-CN"/>
        </w:rPr>
        <w:t>以及</w:t>
      </w:r>
      <w:r w:rsidRPr="00421205">
        <w:rPr>
          <w:rFonts w:hAnsiTheme="minorEastAsia"/>
          <w:iCs/>
          <w:color w:val="000000"/>
          <w:kern w:val="18"/>
          <w:lang w:val="en-CA" w:eastAsia="zh-CN"/>
        </w:rPr>
        <w:t>作为</w:t>
      </w:r>
      <w:r>
        <w:rPr>
          <w:rFonts w:hAnsiTheme="minorEastAsia" w:hint="eastAsia"/>
          <w:iCs/>
          <w:color w:val="000000"/>
          <w:kern w:val="18"/>
          <w:lang w:val="en-CA" w:eastAsia="zh-CN"/>
        </w:rPr>
        <w:t>关于获取</w:t>
      </w:r>
      <w:r w:rsidRPr="00421205">
        <w:rPr>
          <w:rFonts w:hAnsiTheme="minorEastAsia"/>
          <w:iCs/>
          <w:color w:val="000000"/>
          <w:kern w:val="18"/>
          <w:lang w:val="en-CA" w:eastAsia="zh-CN"/>
        </w:rPr>
        <w:t>遗传资源和分享惠益</w:t>
      </w:r>
      <w:r>
        <w:rPr>
          <w:rFonts w:hAnsiTheme="minorEastAsia" w:hint="eastAsia"/>
          <w:iCs/>
          <w:color w:val="000000"/>
          <w:kern w:val="18"/>
          <w:lang w:val="en-CA" w:eastAsia="zh-CN"/>
        </w:rPr>
        <w:t>的名古屋</w:t>
      </w:r>
      <w:r w:rsidRPr="00421205">
        <w:rPr>
          <w:rFonts w:hAnsiTheme="minorEastAsia"/>
          <w:iCs/>
          <w:color w:val="000000"/>
          <w:kern w:val="18"/>
          <w:lang w:val="en-CA" w:eastAsia="zh-CN"/>
        </w:rPr>
        <w:t>议定书缔约方会议的缔约方大会第</w:t>
      </w:r>
      <w:r w:rsidRPr="00421205">
        <w:rPr>
          <w:iCs/>
          <w:color w:val="000000"/>
          <w:kern w:val="18"/>
          <w:lang w:val="en-CA" w:eastAsia="zh-CN"/>
        </w:rPr>
        <w:t>I/13</w:t>
      </w:r>
      <w:r w:rsidRPr="00421205">
        <w:rPr>
          <w:rFonts w:hAnsiTheme="minorEastAsia"/>
          <w:iCs/>
          <w:color w:val="000000"/>
          <w:kern w:val="18"/>
          <w:lang w:val="en-CA" w:eastAsia="zh-CN"/>
        </w:rPr>
        <w:t>号决定，</w:t>
      </w:r>
    </w:p>
    <w:p w:rsidR="00B72FA3" w:rsidRPr="00421205" w:rsidRDefault="00B72FA3" w:rsidP="00B72FA3">
      <w:pPr>
        <w:shd w:val="clear" w:color="auto" w:fill="FFFFFF" w:themeFill="background1"/>
        <w:adjustRightInd w:val="0"/>
        <w:snapToGrid w:val="0"/>
        <w:rPr>
          <w:iCs/>
          <w:color w:val="000000"/>
          <w:kern w:val="18"/>
          <w:lang w:val="en-CA" w:eastAsia="zh-CN"/>
        </w:rPr>
      </w:pPr>
      <w:r w:rsidRPr="00421205">
        <w:rPr>
          <w:rFonts w:ascii="KaiTi" w:eastAsia="KaiTi" w:hAnsi="KaiTi"/>
          <w:iCs/>
          <w:color w:val="000000"/>
          <w:kern w:val="18"/>
          <w:lang w:val="en-CA" w:eastAsia="zh-CN"/>
        </w:rPr>
        <w:t>又回顾</w:t>
      </w:r>
      <w:r w:rsidRPr="00421205">
        <w:rPr>
          <w:rFonts w:hAnsiTheme="minorEastAsia"/>
          <w:iCs/>
          <w:color w:val="000000"/>
          <w:kern w:val="18"/>
          <w:lang w:val="en-CA" w:eastAsia="zh-CN"/>
        </w:rPr>
        <w:t>第</w:t>
      </w:r>
      <w:r w:rsidRPr="00421205">
        <w:rPr>
          <w:iCs/>
          <w:color w:val="000000"/>
          <w:kern w:val="18"/>
          <w:lang w:val="en-CA" w:eastAsia="zh-CN"/>
        </w:rPr>
        <w:t>III/1</w:t>
      </w:r>
      <w:r w:rsidRPr="00421205">
        <w:rPr>
          <w:rFonts w:hAnsiTheme="minorEastAsia"/>
          <w:iCs/>
          <w:color w:val="000000"/>
          <w:kern w:val="18"/>
          <w:lang w:val="en-CA" w:eastAsia="zh-CN"/>
        </w:rPr>
        <w:t>号决定，其中规定概算应在缔约方大会会议之前</w:t>
      </w:r>
      <w:r w:rsidRPr="00421205">
        <w:rPr>
          <w:iCs/>
          <w:color w:val="000000"/>
          <w:kern w:val="18"/>
          <w:lang w:val="en-CA" w:eastAsia="zh-CN"/>
        </w:rPr>
        <w:t>90</w:t>
      </w:r>
      <w:r w:rsidRPr="00421205">
        <w:rPr>
          <w:rFonts w:hAnsiTheme="minorEastAsia"/>
          <w:iCs/>
          <w:color w:val="000000"/>
          <w:kern w:val="18"/>
          <w:lang w:val="en-CA" w:eastAsia="zh-CN"/>
        </w:rPr>
        <w:t>天分发，</w:t>
      </w:r>
    </w:p>
    <w:p w:rsidR="00B72FA3" w:rsidRDefault="00B72FA3" w:rsidP="00B72FA3">
      <w:pPr>
        <w:shd w:val="clear" w:color="auto" w:fill="FFFFFF" w:themeFill="background1"/>
        <w:adjustRightInd w:val="0"/>
        <w:snapToGrid w:val="0"/>
        <w:rPr>
          <w:rFonts w:hAnsiTheme="minorEastAsia"/>
          <w:iCs/>
          <w:color w:val="000000"/>
          <w:kern w:val="18"/>
          <w:lang w:val="en-CA" w:eastAsia="zh-CN"/>
        </w:rPr>
      </w:pPr>
      <w:r w:rsidRPr="00421205">
        <w:rPr>
          <w:rFonts w:ascii="KaiTi" w:eastAsia="KaiTi" w:hAnsi="KaiTi"/>
          <w:iCs/>
          <w:color w:val="000000"/>
          <w:kern w:val="18"/>
          <w:lang w:val="en-CA" w:eastAsia="zh-CN"/>
        </w:rPr>
        <w:t>还回顾</w:t>
      </w:r>
      <w:r w:rsidRPr="00421205">
        <w:rPr>
          <w:rFonts w:hAnsiTheme="minorEastAsia"/>
          <w:iCs/>
          <w:color w:val="000000"/>
          <w:kern w:val="18"/>
          <w:lang w:val="en-CA" w:eastAsia="zh-CN"/>
        </w:rPr>
        <w:t>联合国环境大会关于</w:t>
      </w:r>
      <w:r w:rsidR="00780033">
        <w:rPr>
          <w:rFonts w:hAnsiTheme="minorEastAsia"/>
          <w:iCs/>
          <w:color w:val="000000"/>
          <w:kern w:val="18"/>
          <w:lang w:val="en-CA" w:eastAsia="zh-CN"/>
        </w:rPr>
        <w:t>联合国环境署</w:t>
      </w:r>
      <w:r w:rsidRPr="00421205">
        <w:rPr>
          <w:rFonts w:hAnsiTheme="minorEastAsia"/>
          <w:iCs/>
          <w:color w:val="000000"/>
          <w:kern w:val="18"/>
          <w:lang w:val="en-CA" w:eastAsia="zh-CN"/>
        </w:rPr>
        <w:t>与其为之提供秘书处的各多边环境协定之间关系的第</w:t>
      </w:r>
      <w:r w:rsidRPr="00421205">
        <w:rPr>
          <w:iCs/>
          <w:color w:val="000000"/>
          <w:kern w:val="18"/>
          <w:lang w:val="en-CA" w:eastAsia="zh-CN"/>
        </w:rPr>
        <w:t>2/18</w:t>
      </w:r>
      <w:r w:rsidRPr="00421205">
        <w:rPr>
          <w:rFonts w:hAnsiTheme="minorEastAsia"/>
          <w:iCs/>
          <w:color w:val="000000"/>
          <w:kern w:val="18"/>
          <w:lang w:val="en-CA" w:eastAsia="zh-CN"/>
        </w:rPr>
        <w:t>号决议，</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t>决定</w:t>
      </w:r>
      <w:r w:rsidRPr="00421205">
        <w:rPr>
          <w:rFonts w:hAnsiTheme="minorEastAsia"/>
          <w:iCs/>
          <w:color w:val="000000"/>
          <w:kern w:val="18"/>
          <w:lang w:val="en-CA" w:eastAsia="zh-CN"/>
        </w:rPr>
        <w:t>通过</w:t>
      </w:r>
      <w:r>
        <w:rPr>
          <w:rFonts w:hAnsiTheme="minorEastAsia" w:hint="eastAsia"/>
          <w:iCs/>
          <w:color w:val="000000"/>
          <w:kern w:val="18"/>
          <w:lang w:val="en-CA" w:eastAsia="zh-CN"/>
        </w:rPr>
        <w:t>《</w:t>
      </w:r>
      <w:r w:rsidRPr="00421205">
        <w:rPr>
          <w:rFonts w:hAnsiTheme="minorEastAsia"/>
          <w:iCs/>
          <w:color w:val="000000"/>
          <w:kern w:val="18"/>
          <w:lang w:val="en-CA" w:eastAsia="zh-CN"/>
        </w:rPr>
        <w:t>生物多样性公约</w:t>
      </w:r>
      <w:r>
        <w:rPr>
          <w:rFonts w:hAnsiTheme="minorEastAsia" w:hint="eastAsia"/>
          <w:iCs/>
          <w:color w:val="000000"/>
          <w:kern w:val="18"/>
          <w:lang w:val="en-CA" w:eastAsia="zh-CN"/>
        </w:rPr>
        <w:t>》</w:t>
      </w:r>
      <w:r w:rsidRPr="00421205">
        <w:rPr>
          <w:rFonts w:hAnsiTheme="minorEastAsia"/>
          <w:iCs/>
          <w:color w:val="000000"/>
          <w:kern w:val="18"/>
          <w:lang w:val="en-CA" w:eastAsia="zh-CN"/>
        </w:rPr>
        <w:t>、</w:t>
      </w:r>
      <w:r>
        <w:rPr>
          <w:rFonts w:hAnsiTheme="minorEastAsia" w:hint="eastAsia"/>
          <w:iCs/>
          <w:color w:val="000000"/>
          <w:kern w:val="18"/>
          <w:lang w:val="en-CA" w:eastAsia="zh-CN"/>
        </w:rPr>
        <w:t>《</w:t>
      </w:r>
      <w:r w:rsidRPr="00421205">
        <w:rPr>
          <w:rFonts w:hAnsiTheme="minorEastAsia"/>
          <w:iCs/>
          <w:color w:val="000000"/>
          <w:kern w:val="18"/>
          <w:lang w:val="en-CA" w:eastAsia="zh-CN"/>
        </w:rPr>
        <w:t>卡塔赫纳生物安全议定书</w:t>
      </w:r>
      <w:r>
        <w:rPr>
          <w:rFonts w:hAnsiTheme="minorEastAsia" w:hint="eastAsia"/>
          <w:iCs/>
          <w:color w:val="000000"/>
          <w:kern w:val="18"/>
          <w:lang w:val="en-CA" w:eastAsia="zh-CN"/>
        </w:rPr>
        <w:t>议定书》和《关于获取</w:t>
      </w:r>
      <w:r w:rsidRPr="00421205">
        <w:rPr>
          <w:rFonts w:hAnsiTheme="minorEastAsia"/>
          <w:iCs/>
          <w:color w:val="000000"/>
          <w:kern w:val="18"/>
          <w:lang w:val="en-CA" w:eastAsia="zh-CN"/>
        </w:rPr>
        <w:t>遗传资源和分享惠益</w:t>
      </w:r>
      <w:r>
        <w:rPr>
          <w:rFonts w:hAnsiTheme="minorEastAsia" w:hint="eastAsia"/>
          <w:iCs/>
          <w:color w:val="000000"/>
          <w:kern w:val="18"/>
          <w:lang w:val="en-CA" w:eastAsia="zh-CN"/>
        </w:rPr>
        <w:t>的名古屋</w:t>
      </w:r>
      <w:r w:rsidRPr="00421205">
        <w:rPr>
          <w:rFonts w:hAnsiTheme="minorEastAsia"/>
          <w:iCs/>
          <w:color w:val="000000"/>
          <w:kern w:val="18"/>
          <w:lang w:val="en-CA" w:eastAsia="zh-CN"/>
        </w:rPr>
        <w:t>议定书</w:t>
      </w:r>
      <w:r>
        <w:rPr>
          <w:rFonts w:hAnsiTheme="minorEastAsia" w:hint="eastAsia"/>
          <w:iCs/>
          <w:color w:val="000000"/>
          <w:kern w:val="18"/>
          <w:lang w:val="en-CA" w:eastAsia="zh-CN"/>
        </w:rPr>
        <w:t>》的</w:t>
      </w:r>
      <w:r w:rsidRPr="00421205">
        <w:rPr>
          <w:rFonts w:hAnsiTheme="minorEastAsia"/>
          <w:iCs/>
          <w:color w:val="000000"/>
          <w:kern w:val="18"/>
          <w:lang w:val="en-CA" w:eastAsia="zh-CN"/>
        </w:rPr>
        <w:t>综合工作方案和预算；</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t>又决定</w:t>
      </w:r>
      <w:r w:rsidRPr="00421205">
        <w:rPr>
          <w:rFonts w:hAnsiTheme="minorEastAsia"/>
          <w:iCs/>
          <w:color w:val="000000"/>
          <w:kern w:val="18"/>
          <w:lang w:val="en-CA" w:eastAsia="zh-CN"/>
        </w:rPr>
        <w:t>《公约》、《卡塔赫纳议定书》和《名古屋议定书》</w:t>
      </w:r>
      <w:r w:rsidRPr="00421205">
        <w:rPr>
          <w:iCs/>
          <w:color w:val="000000"/>
          <w:kern w:val="18"/>
          <w:lang w:val="en-CA" w:eastAsia="zh-CN"/>
        </w:rPr>
        <w:t>2019-2020</w:t>
      </w:r>
      <w:r w:rsidRPr="00421205">
        <w:rPr>
          <w:rFonts w:hAnsiTheme="minorEastAsia"/>
          <w:iCs/>
          <w:color w:val="000000"/>
          <w:kern w:val="18"/>
          <w:lang w:val="en-CA" w:eastAsia="zh-CN"/>
        </w:rPr>
        <w:t>年两年期以</w:t>
      </w:r>
      <w:r w:rsidRPr="00421205">
        <w:rPr>
          <w:iCs/>
          <w:color w:val="000000"/>
          <w:kern w:val="18"/>
          <w:lang w:val="en-CA" w:eastAsia="zh-CN"/>
        </w:rPr>
        <w:t>74:15:11</w:t>
      </w:r>
      <w:r w:rsidRPr="00421205">
        <w:rPr>
          <w:rFonts w:hAnsiTheme="minorEastAsia"/>
          <w:iCs/>
          <w:color w:val="000000"/>
          <w:kern w:val="18"/>
          <w:lang w:val="en-CA" w:eastAsia="zh-CN"/>
        </w:rPr>
        <w:t>的比例分摊秘书处服务的所有费用</w:t>
      </w:r>
      <w:r>
        <w:rPr>
          <w:rFonts w:hAnsiTheme="minorEastAsia" w:hint="eastAsia"/>
          <w:iCs/>
          <w:color w:val="000000"/>
          <w:kern w:val="18"/>
          <w:lang w:val="en-CA" w:eastAsia="zh-CN"/>
        </w:rPr>
        <w:t>；</w:t>
      </w:r>
    </w:p>
    <w:p w:rsidR="00B72FA3" w:rsidRPr="00917FD6"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1079EC">
        <w:rPr>
          <w:rFonts w:ascii="KaiTi" w:eastAsia="KaiTi" w:hAnsi="KaiTi"/>
          <w:iCs/>
          <w:color w:val="000000"/>
          <w:kern w:val="18"/>
          <w:lang w:val="en-CA" w:eastAsia="zh-CN"/>
        </w:rPr>
        <w:t>注意到</w:t>
      </w:r>
      <w:r>
        <w:rPr>
          <w:rFonts w:ascii="KaiTi" w:eastAsia="KaiTi" w:hAnsi="KaiTi" w:hint="eastAsia"/>
          <w:iCs/>
          <w:color w:val="000000"/>
          <w:kern w:val="18"/>
          <w:lang w:val="en-CA" w:eastAsia="zh-CN"/>
        </w:rPr>
        <w:t>《</w:t>
      </w:r>
      <w:r w:rsidRPr="001079EC">
        <w:rPr>
          <w:rFonts w:hAnsiTheme="minorEastAsia"/>
          <w:iCs/>
          <w:color w:val="000000"/>
          <w:kern w:val="18"/>
          <w:lang w:val="en-CA" w:eastAsia="zh-CN"/>
        </w:rPr>
        <w:t>关</w:t>
      </w:r>
      <w:r w:rsidRPr="001079EC">
        <w:rPr>
          <w:rFonts w:hAnsiTheme="minorEastAsia"/>
          <w:iCs/>
          <w:color w:val="000000"/>
          <w:kern w:val="18"/>
          <w:lang w:val="en-CA" w:eastAsia="zh-CN"/>
        </w:rPr>
        <w:t>​</w:t>
      </w:r>
      <w:r w:rsidRPr="001079EC">
        <w:rPr>
          <w:rFonts w:hAnsiTheme="minorEastAsia"/>
          <w:iCs/>
          <w:color w:val="000000"/>
          <w:kern w:val="18"/>
          <w:lang w:val="en-CA" w:eastAsia="zh-CN"/>
        </w:rPr>
        <w:t>于</w:t>
      </w:r>
      <w:r w:rsidRPr="001079EC">
        <w:rPr>
          <w:rFonts w:hAnsiTheme="minorEastAsia"/>
          <w:iCs/>
          <w:color w:val="000000"/>
          <w:kern w:val="18"/>
          <w:lang w:val="en-CA" w:eastAsia="zh-CN"/>
        </w:rPr>
        <w:t>​</w:t>
      </w:r>
      <w:r w:rsidRPr="001079EC">
        <w:rPr>
          <w:rFonts w:hAnsiTheme="minorEastAsia"/>
          <w:iCs/>
          <w:color w:val="000000"/>
          <w:kern w:val="18"/>
          <w:lang w:val="en-CA" w:eastAsia="zh-CN"/>
        </w:rPr>
        <w:t>赔</w:t>
      </w:r>
      <w:r w:rsidRPr="001079EC">
        <w:rPr>
          <w:rFonts w:hAnsiTheme="minorEastAsia"/>
          <w:iCs/>
          <w:color w:val="000000"/>
          <w:kern w:val="18"/>
          <w:lang w:val="en-CA" w:eastAsia="zh-CN"/>
        </w:rPr>
        <w:t>​</w:t>
      </w:r>
      <w:r w:rsidRPr="001079EC">
        <w:rPr>
          <w:rFonts w:hAnsiTheme="minorEastAsia"/>
          <w:iCs/>
          <w:color w:val="000000"/>
          <w:kern w:val="18"/>
          <w:lang w:val="en-CA" w:eastAsia="zh-CN"/>
        </w:rPr>
        <w:t>偿</w:t>
      </w:r>
      <w:r w:rsidRPr="001079EC">
        <w:rPr>
          <w:rFonts w:hAnsiTheme="minorEastAsia"/>
          <w:iCs/>
          <w:color w:val="000000"/>
          <w:kern w:val="18"/>
          <w:lang w:val="en-CA" w:eastAsia="zh-CN"/>
        </w:rPr>
        <w:t>​</w:t>
      </w:r>
      <w:r w:rsidRPr="001079EC">
        <w:rPr>
          <w:rFonts w:hAnsiTheme="minorEastAsia"/>
          <w:iCs/>
          <w:color w:val="000000"/>
          <w:kern w:val="18"/>
          <w:lang w:val="en-CA" w:eastAsia="zh-CN"/>
        </w:rPr>
        <w:t>责</w:t>
      </w:r>
      <w:r w:rsidRPr="001079EC">
        <w:rPr>
          <w:rFonts w:hAnsiTheme="minorEastAsia"/>
          <w:iCs/>
          <w:color w:val="000000"/>
          <w:kern w:val="18"/>
          <w:lang w:val="en-CA" w:eastAsia="zh-CN"/>
        </w:rPr>
        <w:t>​</w:t>
      </w:r>
      <w:r w:rsidRPr="001079EC">
        <w:rPr>
          <w:rFonts w:hAnsiTheme="minorEastAsia"/>
          <w:iCs/>
          <w:color w:val="000000"/>
          <w:kern w:val="18"/>
          <w:lang w:val="en-CA" w:eastAsia="zh-CN"/>
        </w:rPr>
        <w:t>任</w:t>
      </w:r>
      <w:r w:rsidRPr="001079EC">
        <w:rPr>
          <w:rFonts w:hAnsiTheme="minorEastAsia"/>
          <w:iCs/>
          <w:color w:val="000000"/>
          <w:kern w:val="18"/>
          <w:lang w:val="en-CA" w:eastAsia="zh-CN"/>
        </w:rPr>
        <w:t>​</w:t>
      </w:r>
      <w:r w:rsidRPr="001079EC">
        <w:rPr>
          <w:rFonts w:hAnsiTheme="minorEastAsia"/>
          <w:iCs/>
          <w:color w:val="000000"/>
          <w:kern w:val="18"/>
          <w:lang w:val="en-CA" w:eastAsia="zh-CN"/>
        </w:rPr>
        <w:t>和</w:t>
      </w:r>
      <w:r w:rsidRPr="001079EC">
        <w:rPr>
          <w:rFonts w:hAnsiTheme="minorEastAsia"/>
          <w:iCs/>
          <w:color w:val="000000"/>
          <w:kern w:val="18"/>
          <w:lang w:val="en-CA" w:eastAsia="zh-CN"/>
        </w:rPr>
        <w:t>​</w:t>
      </w:r>
      <w:r w:rsidRPr="001079EC">
        <w:rPr>
          <w:rFonts w:hAnsiTheme="minorEastAsia"/>
          <w:iCs/>
          <w:color w:val="000000"/>
          <w:kern w:val="18"/>
          <w:lang w:val="en-CA" w:eastAsia="zh-CN"/>
        </w:rPr>
        <w:t>补</w:t>
      </w:r>
      <w:r w:rsidRPr="001079EC">
        <w:rPr>
          <w:rFonts w:hAnsiTheme="minorEastAsia"/>
          <w:iCs/>
          <w:color w:val="000000"/>
          <w:kern w:val="18"/>
          <w:lang w:val="en-CA" w:eastAsia="zh-CN"/>
        </w:rPr>
        <w:t>​</w:t>
      </w:r>
      <w:r w:rsidRPr="001079EC">
        <w:rPr>
          <w:rFonts w:hAnsiTheme="minorEastAsia"/>
          <w:iCs/>
          <w:color w:val="000000"/>
          <w:kern w:val="18"/>
          <w:lang w:val="en-CA" w:eastAsia="zh-CN"/>
        </w:rPr>
        <w:t>救</w:t>
      </w:r>
      <w:r w:rsidRPr="001079EC">
        <w:rPr>
          <w:rFonts w:hAnsiTheme="minorEastAsia"/>
          <w:iCs/>
          <w:color w:val="000000"/>
          <w:kern w:val="18"/>
          <w:lang w:val="en-CA" w:eastAsia="zh-CN"/>
        </w:rPr>
        <w:t>​</w:t>
      </w:r>
      <w:r w:rsidRPr="001079EC">
        <w:rPr>
          <w:rFonts w:hAnsiTheme="minorEastAsia"/>
          <w:iCs/>
          <w:color w:val="000000"/>
          <w:kern w:val="18"/>
          <w:lang w:val="en-CA" w:eastAsia="zh-CN"/>
        </w:rPr>
        <w:t>的</w:t>
      </w:r>
      <w:r w:rsidRPr="001079EC">
        <w:rPr>
          <w:rFonts w:hAnsiTheme="minorEastAsia"/>
          <w:iCs/>
          <w:color w:val="000000"/>
          <w:kern w:val="18"/>
          <w:lang w:val="en-CA" w:eastAsia="zh-CN"/>
        </w:rPr>
        <w:t>​</w:t>
      </w:r>
      <w:r w:rsidRPr="001079EC">
        <w:rPr>
          <w:rFonts w:hAnsiTheme="minorEastAsia"/>
          <w:iCs/>
          <w:color w:val="000000"/>
          <w:kern w:val="18"/>
          <w:lang w:val="en-CA" w:eastAsia="zh-CN"/>
        </w:rPr>
        <w:t>名</w:t>
      </w:r>
      <w:r w:rsidRPr="001079EC">
        <w:rPr>
          <w:rFonts w:hAnsiTheme="minorEastAsia"/>
          <w:iCs/>
          <w:color w:val="000000"/>
          <w:kern w:val="18"/>
          <w:lang w:val="en-CA" w:eastAsia="zh-CN"/>
        </w:rPr>
        <w:t>​</w:t>
      </w:r>
      <w:r w:rsidRPr="001079EC">
        <w:rPr>
          <w:rFonts w:hAnsiTheme="minorEastAsia"/>
          <w:iCs/>
          <w:color w:val="000000"/>
          <w:kern w:val="18"/>
          <w:lang w:val="en-CA" w:eastAsia="zh-CN"/>
        </w:rPr>
        <w:t>古</w:t>
      </w:r>
      <w:r w:rsidRPr="001079EC">
        <w:rPr>
          <w:rFonts w:hAnsiTheme="minorEastAsia"/>
          <w:iCs/>
          <w:color w:val="000000"/>
          <w:kern w:val="18"/>
          <w:lang w:val="en-CA" w:eastAsia="zh-CN"/>
        </w:rPr>
        <w:t>​</w:t>
      </w:r>
      <w:r w:rsidRPr="001079EC">
        <w:rPr>
          <w:rFonts w:hAnsiTheme="minorEastAsia"/>
          <w:iCs/>
          <w:color w:val="000000"/>
          <w:kern w:val="18"/>
          <w:lang w:val="en-CA" w:eastAsia="zh-CN"/>
        </w:rPr>
        <w:t>屋</w:t>
      </w:r>
      <w:r w:rsidRPr="001079EC">
        <w:rPr>
          <w:rFonts w:hAnsiTheme="minorEastAsia"/>
          <w:iCs/>
          <w:color w:val="000000"/>
          <w:kern w:val="18"/>
          <w:lang w:val="en-CA" w:eastAsia="zh-CN"/>
        </w:rPr>
        <w:t>​</w:t>
      </w:r>
      <w:r w:rsidRPr="001079EC">
        <w:rPr>
          <w:rFonts w:hAnsiTheme="minorEastAsia"/>
          <w:iCs/>
          <w:color w:val="000000"/>
          <w:kern w:val="18"/>
          <w:lang w:val="en-CA" w:eastAsia="zh-CN"/>
        </w:rPr>
        <w:t>-</w:t>
      </w:r>
      <w:r w:rsidRPr="001079EC">
        <w:rPr>
          <w:rFonts w:hAnsiTheme="minorEastAsia"/>
          <w:iCs/>
          <w:color w:val="000000"/>
          <w:kern w:val="18"/>
          <w:lang w:val="en-CA" w:eastAsia="zh-CN"/>
        </w:rPr>
        <w:t>​</w:t>
      </w:r>
      <w:r w:rsidRPr="001079EC">
        <w:rPr>
          <w:rFonts w:hAnsiTheme="minorEastAsia"/>
          <w:iCs/>
          <w:color w:val="000000"/>
          <w:kern w:val="18"/>
          <w:lang w:val="en-CA" w:eastAsia="zh-CN"/>
        </w:rPr>
        <w:t>吉</w:t>
      </w:r>
      <w:r w:rsidRPr="001079EC">
        <w:rPr>
          <w:rFonts w:hAnsiTheme="minorEastAsia"/>
          <w:iCs/>
          <w:color w:val="000000"/>
          <w:kern w:val="18"/>
          <w:lang w:val="en-CA" w:eastAsia="zh-CN"/>
        </w:rPr>
        <w:t>​</w:t>
      </w:r>
      <w:r w:rsidRPr="001079EC">
        <w:rPr>
          <w:rFonts w:hAnsiTheme="minorEastAsia"/>
          <w:iCs/>
          <w:color w:val="000000"/>
          <w:kern w:val="18"/>
          <w:lang w:val="en-CA" w:eastAsia="zh-CN"/>
        </w:rPr>
        <w:t>隆</w:t>
      </w:r>
      <w:r w:rsidRPr="001079EC">
        <w:rPr>
          <w:rFonts w:hAnsiTheme="minorEastAsia"/>
          <w:iCs/>
          <w:color w:val="000000"/>
          <w:kern w:val="18"/>
          <w:lang w:val="en-CA" w:eastAsia="zh-CN"/>
        </w:rPr>
        <w:t>​</w:t>
      </w:r>
      <w:r w:rsidRPr="001079EC">
        <w:rPr>
          <w:rFonts w:hAnsiTheme="minorEastAsia"/>
          <w:iCs/>
          <w:color w:val="000000"/>
          <w:kern w:val="18"/>
          <w:lang w:val="en-CA" w:eastAsia="zh-CN"/>
        </w:rPr>
        <w:t>坡</w:t>
      </w:r>
      <w:r w:rsidRPr="001079EC">
        <w:rPr>
          <w:rFonts w:hAnsiTheme="minorEastAsia"/>
          <w:iCs/>
          <w:color w:val="000000"/>
          <w:kern w:val="18"/>
          <w:lang w:val="en-CA" w:eastAsia="zh-CN"/>
        </w:rPr>
        <w:t>​</w:t>
      </w:r>
      <w:r w:rsidRPr="001079EC">
        <w:rPr>
          <w:rFonts w:hAnsiTheme="minorEastAsia"/>
          <w:iCs/>
          <w:color w:val="000000"/>
          <w:kern w:val="18"/>
          <w:lang w:val="en-CA" w:eastAsia="zh-CN"/>
        </w:rPr>
        <w:t>补</w:t>
      </w:r>
      <w:r w:rsidRPr="001079EC">
        <w:rPr>
          <w:rFonts w:hAnsiTheme="minorEastAsia"/>
          <w:iCs/>
          <w:color w:val="000000"/>
          <w:kern w:val="18"/>
          <w:lang w:val="en-CA" w:eastAsia="zh-CN"/>
        </w:rPr>
        <w:t>​</w:t>
      </w:r>
      <w:r w:rsidRPr="001079EC">
        <w:rPr>
          <w:rFonts w:hAnsiTheme="minorEastAsia"/>
          <w:iCs/>
          <w:color w:val="000000"/>
          <w:kern w:val="18"/>
          <w:lang w:val="en-CA" w:eastAsia="zh-CN"/>
        </w:rPr>
        <w:t>充</w:t>
      </w:r>
      <w:r w:rsidRPr="001079EC">
        <w:rPr>
          <w:rFonts w:hAnsiTheme="minorEastAsia"/>
          <w:iCs/>
          <w:color w:val="000000"/>
          <w:kern w:val="18"/>
          <w:lang w:val="en-CA" w:eastAsia="zh-CN"/>
        </w:rPr>
        <w:t>​</w:t>
      </w:r>
      <w:r w:rsidRPr="001079EC">
        <w:rPr>
          <w:rFonts w:hAnsiTheme="minorEastAsia"/>
          <w:iCs/>
          <w:color w:val="000000"/>
          <w:kern w:val="18"/>
          <w:lang w:val="en-CA" w:eastAsia="zh-CN"/>
        </w:rPr>
        <w:t>议</w:t>
      </w:r>
      <w:r w:rsidRPr="001079EC">
        <w:rPr>
          <w:rFonts w:hAnsiTheme="minorEastAsia"/>
          <w:iCs/>
          <w:color w:val="000000"/>
          <w:kern w:val="18"/>
          <w:lang w:val="en-CA" w:eastAsia="zh-CN"/>
        </w:rPr>
        <w:t>​</w:t>
      </w:r>
      <w:r w:rsidRPr="001079EC">
        <w:rPr>
          <w:rFonts w:hAnsiTheme="minorEastAsia"/>
          <w:iCs/>
          <w:color w:val="000000"/>
          <w:kern w:val="18"/>
          <w:lang w:val="en-CA" w:eastAsia="zh-CN"/>
        </w:rPr>
        <w:t>定</w:t>
      </w:r>
      <w:r w:rsidRPr="001079EC">
        <w:rPr>
          <w:rFonts w:hAnsiTheme="minorEastAsia"/>
          <w:iCs/>
          <w:color w:val="000000"/>
          <w:kern w:val="18"/>
          <w:lang w:val="en-CA" w:eastAsia="zh-CN"/>
        </w:rPr>
        <w:t>​</w:t>
      </w:r>
      <w:r w:rsidRPr="001079EC">
        <w:rPr>
          <w:rFonts w:hAnsiTheme="minorEastAsia"/>
          <w:iCs/>
          <w:color w:val="000000"/>
          <w:kern w:val="18"/>
          <w:lang w:val="en-CA" w:eastAsia="zh-CN"/>
        </w:rPr>
        <w:t>书</w:t>
      </w:r>
      <w:r>
        <w:rPr>
          <w:rFonts w:hAnsiTheme="minorEastAsia" w:hint="eastAsia"/>
          <w:iCs/>
          <w:color w:val="000000"/>
          <w:kern w:val="18"/>
          <w:lang w:val="en-CA" w:eastAsia="zh-CN"/>
        </w:rPr>
        <w:t>》已于</w:t>
      </w:r>
      <w:r>
        <w:rPr>
          <w:rFonts w:hAnsiTheme="minorEastAsia" w:hint="eastAsia"/>
          <w:iCs/>
          <w:color w:val="000000"/>
          <w:kern w:val="18"/>
          <w:lang w:val="en-CA" w:eastAsia="zh-CN"/>
        </w:rPr>
        <w:t>2018</w:t>
      </w:r>
      <w:r>
        <w:rPr>
          <w:rFonts w:hAnsiTheme="minorEastAsia" w:hint="eastAsia"/>
          <w:iCs/>
          <w:color w:val="000000"/>
          <w:kern w:val="18"/>
          <w:lang w:val="en-CA" w:eastAsia="zh-CN"/>
        </w:rPr>
        <w:t>年</w:t>
      </w:r>
      <w:r>
        <w:rPr>
          <w:rFonts w:hAnsiTheme="minorEastAsia" w:hint="eastAsia"/>
          <w:iCs/>
          <w:color w:val="000000"/>
          <w:kern w:val="18"/>
          <w:lang w:val="en-CA" w:eastAsia="zh-CN"/>
        </w:rPr>
        <w:t>5</w:t>
      </w:r>
      <w:r>
        <w:rPr>
          <w:rFonts w:hAnsiTheme="minorEastAsia" w:hint="eastAsia"/>
          <w:iCs/>
          <w:color w:val="000000"/>
          <w:kern w:val="18"/>
          <w:lang w:val="en-CA" w:eastAsia="zh-CN"/>
        </w:rPr>
        <w:t>月</w:t>
      </w:r>
      <w:r>
        <w:rPr>
          <w:rFonts w:hAnsiTheme="minorEastAsia"/>
          <w:iCs/>
          <w:color w:val="000000"/>
          <w:kern w:val="18"/>
          <w:lang w:val="en-CA" w:eastAsia="zh-CN"/>
        </w:rPr>
        <w:t>生效，</w:t>
      </w:r>
      <w:r>
        <w:rPr>
          <w:rFonts w:hAnsiTheme="minorEastAsia" w:hint="eastAsia"/>
          <w:iCs/>
          <w:color w:val="000000"/>
          <w:kern w:val="18"/>
          <w:lang w:val="en-CA" w:eastAsia="zh-CN"/>
        </w:rPr>
        <w:t>同时承认</w:t>
      </w:r>
      <w:r>
        <w:rPr>
          <w:rFonts w:hAnsiTheme="minorEastAsia"/>
          <w:iCs/>
          <w:color w:val="000000"/>
          <w:kern w:val="18"/>
          <w:lang w:val="en-CA" w:eastAsia="zh-CN"/>
        </w:rPr>
        <w:t>，</w:t>
      </w:r>
      <w:r>
        <w:rPr>
          <w:rFonts w:hAnsiTheme="minorEastAsia" w:hint="eastAsia"/>
          <w:iCs/>
          <w:color w:val="000000"/>
          <w:kern w:val="18"/>
          <w:lang w:val="en-CA" w:eastAsia="zh-CN"/>
        </w:rPr>
        <w:t>该补充议定书</w:t>
      </w:r>
      <w:r>
        <w:rPr>
          <w:rFonts w:hAnsiTheme="minorEastAsia"/>
          <w:iCs/>
          <w:color w:val="000000"/>
          <w:kern w:val="18"/>
          <w:lang w:val="en-CA" w:eastAsia="zh-CN"/>
        </w:rPr>
        <w:t>的工作方案将不需要核心资金</w:t>
      </w:r>
      <w:r>
        <w:rPr>
          <w:rFonts w:hAnsiTheme="minorEastAsia" w:hint="eastAsia"/>
          <w:iCs/>
          <w:color w:val="000000"/>
          <w:kern w:val="18"/>
          <w:lang w:val="en-CA" w:eastAsia="zh-CN"/>
        </w:rPr>
        <w:t>，支持</w:t>
      </w:r>
      <w:r>
        <w:rPr>
          <w:iCs/>
          <w:color w:val="000000"/>
          <w:kern w:val="18"/>
          <w:lang w:val="en-CA" w:eastAsia="zh-CN"/>
        </w:rPr>
        <w:t>2019-2020</w:t>
      </w:r>
      <w:r>
        <w:rPr>
          <w:rFonts w:hint="eastAsia"/>
          <w:iCs/>
          <w:color w:val="000000"/>
          <w:kern w:val="18"/>
          <w:lang w:val="en-CA" w:eastAsia="zh-CN"/>
        </w:rPr>
        <w:t>年</w:t>
      </w:r>
      <w:r>
        <w:rPr>
          <w:iCs/>
          <w:color w:val="000000"/>
          <w:kern w:val="18"/>
          <w:lang w:val="en-CA" w:eastAsia="zh-CN"/>
        </w:rPr>
        <w:t>两年期期间</w:t>
      </w:r>
      <w:r>
        <w:rPr>
          <w:rFonts w:hAnsiTheme="minorEastAsia"/>
          <w:iCs/>
          <w:color w:val="000000"/>
          <w:kern w:val="18"/>
          <w:lang w:val="en-CA" w:eastAsia="zh-CN"/>
        </w:rPr>
        <w:t>秘书处</w:t>
      </w:r>
      <w:r>
        <w:rPr>
          <w:rFonts w:hAnsiTheme="minorEastAsia" w:hint="eastAsia"/>
          <w:iCs/>
          <w:color w:val="000000"/>
          <w:kern w:val="18"/>
          <w:lang w:val="en-CA" w:eastAsia="zh-CN"/>
        </w:rPr>
        <w:t>的</w:t>
      </w:r>
      <w:r>
        <w:rPr>
          <w:iCs/>
          <w:color w:val="000000"/>
          <w:kern w:val="18"/>
          <w:lang w:val="en-CA" w:eastAsia="zh-CN"/>
        </w:rPr>
        <w:t>《补充议定书</w:t>
      </w:r>
      <w:r>
        <w:rPr>
          <w:rFonts w:hint="eastAsia"/>
          <w:iCs/>
          <w:color w:val="000000"/>
          <w:kern w:val="18"/>
          <w:lang w:val="en-CA" w:eastAsia="zh-CN"/>
        </w:rPr>
        <w:t>》</w:t>
      </w:r>
      <w:r>
        <w:rPr>
          <w:iCs/>
          <w:color w:val="000000"/>
          <w:kern w:val="18"/>
          <w:lang w:val="en-CA" w:eastAsia="zh-CN"/>
        </w:rPr>
        <w:t>活动</w:t>
      </w:r>
      <w:r>
        <w:rPr>
          <w:rFonts w:hint="eastAsia"/>
          <w:iCs/>
          <w:color w:val="000000"/>
          <w:kern w:val="18"/>
          <w:lang w:val="en-CA" w:eastAsia="zh-CN"/>
        </w:rPr>
        <w:t>的任何</w:t>
      </w:r>
      <w:r>
        <w:rPr>
          <w:iCs/>
          <w:color w:val="000000"/>
          <w:kern w:val="18"/>
          <w:lang w:val="en-CA" w:eastAsia="zh-CN"/>
        </w:rPr>
        <w:t>所需资金都将由</w:t>
      </w:r>
      <w:r>
        <w:rPr>
          <w:rFonts w:hint="eastAsia"/>
          <w:iCs/>
          <w:color w:val="000000"/>
          <w:kern w:val="18"/>
          <w:lang w:val="en-CA" w:eastAsia="zh-CN"/>
        </w:rPr>
        <w:t>其</w:t>
      </w:r>
      <w:r>
        <w:rPr>
          <w:iCs/>
          <w:color w:val="000000"/>
          <w:kern w:val="18"/>
          <w:lang w:val="en-CA" w:eastAsia="zh-CN"/>
        </w:rPr>
        <w:t>缔约方</w:t>
      </w:r>
      <w:r>
        <w:rPr>
          <w:rFonts w:hint="eastAsia"/>
          <w:iCs/>
          <w:color w:val="000000"/>
          <w:kern w:val="18"/>
          <w:lang w:val="en-CA" w:eastAsia="zh-CN"/>
        </w:rPr>
        <w:t>提供</w:t>
      </w:r>
      <w:r>
        <w:rPr>
          <w:iCs/>
          <w:color w:val="000000"/>
          <w:kern w:val="18"/>
          <w:lang w:val="en-CA" w:eastAsia="zh-CN"/>
        </w:rPr>
        <w:t>；</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eastAsia="zh-CN"/>
        </w:rPr>
      </w:pPr>
      <w:r w:rsidRPr="00421205">
        <w:rPr>
          <w:rFonts w:ascii="KaiTi" w:eastAsia="KaiTi" w:hAnsi="KaiTi"/>
          <w:iCs/>
          <w:color w:val="000000"/>
          <w:kern w:val="18"/>
          <w:lang w:val="en-CA" w:eastAsia="zh-CN"/>
        </w:rPr>
        <w:t>回顾</w:t>
      </w:r>
      <w:r w:rsidRPr="00421205">
        <w:rPr>
          <w:iCs/>
          <w:color w:val="000000"/>
          <w:kern w:val="18"/>
          <w:lang w:eastAsia="zh-CN"/>
        </w:rPr>
        <w:t>UNEP/CBD/COP/12/INF/49</w:t>
      </w:r>
      <w:r w:rsidRPr="00421205">
        <w:rPr>
          <w:rFonts w:hAnsiTheme="minorEastAsia"/>
          <w:iCs/>
          <w:color w:val="000000"/>
          <w:kern w:val="18"/>
          <w:lang w:eastAsia="zh-CN"/>
        </w:rPr>
        <w:t>第</w:t>
      </w:r>
      <w:r w:rsidRPr="00421205">
        <w:rPr>
          <w:iCs/>
          <w:color w:val="000000"/>
          <w:kern w:val="18"/>
          <w:lang w:eastAsia="zh-CN"/>
        </w:rPr>
        <w:t>21</w:t>
      </w:r>
      <w:r w:rsidRPr="00421205">
        <w:rPr>
          <w:rFonts w:hAnsiTheme="minorEastAsia"/>
          <w:iCs/>
          <w:color w:val="000000"/>
          <w:kern w:val="18"/>
          <w:lang w:eastAsia="zh-CN"/>
        </w:rPr>
        <w:t>至</w:t>
      </w:r>
      <w:r w:rsidRPr="00421205">
        <w:rPr>
          <w:iCs/>
          <w:color w:val="000000"/>
          <w:kern w:val="18"/>
          <w:lang w:eastAsia="zh-CN"/>
        </w:rPr>
        <w:t>24</w:t>
      </w:r>
      <w:r w:rsidRPr="00421205">
        <w:rPr>
          <w:rFonts w:hAnsiTheme="minorEastAsia"/>
          <w:iCs/>
          <w:color w:val="000000"/>
          <w:kern w:val="18"/>
          <w:lang w:val="en-CA" w:eastAsia="zh-CN"/>
        </w:rPr>
        <w:t>段</w:t>
      </w:r>
      <w:r>
        <w:rPr>
          <w:rFonts w:hAnsiTheme="minorEastAsia" w:hint="eastAsia"/>
          <w:iCs/>
          <w:color w:val="000000"/>
          <w:kern w:val="18"/>
          <w:lang w:val="en-CA" w:eastAsia="zh-CN"/>
        </w:rPr>
        <w:t>中所载</w:t>
      </w:r>
      <w:r w:rsidRPr="00421205">
        <w:rPr>
          <w:rFonts w:hAnsiTheme="minorEastAsia"/>
          <w:iCs/>
          <w:color w:val="000000"/>
          <w:kern w:val="18"/>
          <w:lang w:val="en-CA" w:eastAsia="zh-CN"/>
        </w:rPr>
        <w:t>内部监督事务厅审计报告中</w:t>
      </w:r>
      <w:r>
        <w:rPr>
          <w:rFonts w:hAnsiTheme="minorEastAsia" w:hint="eastAsia"/>
          <w:iCs/>
          <w:color w:val="000000"/>
          <w:kern w:val="18"/>
          <w:lang w:val="en-CA" w:eastAsia="zh-CN"/>
        </w:rPr>
        <w:t>所提</w:t>
      </w:r>
      <w:r w:rsidRPr="00421205">
        <w:rPr>
          <w:rFonts w:hAnsiTheme="minorEastAsia"/>
          <w:iCs/>
          <w:color w:val="000000"/>
          <w:kern w:val="18"/>
          <w:lang w:val="en-CA" w:eastAsia="zh-CN"/>
        </w:rPr>
        <w:t>建议</w:t>
      </w:r>
      <w:r w:rsidRPr="00421205">
        <w:rPr>
          <w:rFonts w:hAnsiTheme="minorEastAsia"/>
          <w:iCs/>
          <w:color w:val="000000"/>
          <w:kern w:val="18"/>
          <w:lang w:eastAsia="zh-CN"/>
        </w:rPr>
        <w:t>，即周转准备金应保持在年度计划支出估计数</w:t>
      </w:r>
      <w:r w:rsidRPr="00421205">
        <w:rPr>
          <w:iCs/>
          <w:color w:val="000000"/>
          <w:kern w:val="18"/>
          <w:lang w:eastAsia="zh-CN"/>
        </w:rPr>
        <w:t>15%</w:t>
      </w:r>
      <w:r w:rsidRPr="00421205">
        <w:rPr>
          <w:rFonts w:hAnsiTheme="minorEastAsia"/>
          <w:iCs/>
          <w:color w:val="000000"/>
          <w:kern w:val="18"/>
          <w:lang w:eastAsia="zh-CN"/>
        </w:rPr>
        <w:t>的水平；</w:t>
      </w:r>
    </w:p>
    <w:p w:rsidR="00B72FA3" w:rsidRPr="00421205" w:rsidRDefault="00B72FA3" w:rsidP="00615E7F">
      <w:pPr>
        <w:pStyle w:val="ListParagraph"/>
        <w:widowControl w:val="0"/>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t>请</w:t>
      </w:r>
      <w:r w:rsidRPr="00421205">
        <w:rPr>
          <w:rFonts w:hAnsiTheme="minorEastAsia"/>
          <w:iCs/>
          <w:color w:val="000000"/>
          <w:kern w:val="18"/>
          <w:lang w:eastAsia="zh-CN"/>
        </w:rPr>
        <w:t>执行秘书向</w:t>
      </w:r>
      <w:r w:rsidRPr="00421205">
        <w:rPr>
          <w:rFonts w:hAnsiTheme="minorEastAsia"/>
          <w:iCs/>
          <w:color w:val="000000"/>
          <w:kern w:val="18"/>
          <w:lang w:val="en-CA" w:eastAsia="zh-CN"/>
        </w:rPr>
        <w:t>主席团报告并向其提供所有必要信息，</w:t>
      </w:r>
      <w:r>
        <w:rPr>
          <w:rFonts w:hAnsiTheme="minorEastAsia" w:hint="eastAsia"/>
          <w:iCs/>
          <w:color w:val="000000"/>
          <w:kern w:val="18"/>
          <w:lang w:val="en-CA" w:eastAsia="zh-CN"/>
        </w:rPr>
        <w:t>即</w:t>
      </w:r>
      <w:r>
        <w:rPr>
          <w:rFonts w:hAnsiTheme="minorEastAsia"/>
          <w:iCs/>
          <w:color w:val="000000"/>
          <w:kern w:val="18"/>
          <w:lang w:val="en-CA" w:eastAsia="zh-CN"/>
        </w:rPr>
        <w:t>涉及</w:t>
      </w:r>
      <w:r w:rsidR="00780033">
        <w:rPr>
          <w:rFonts w:hAnsiTheme="minorEastAsia"/>
          <w:iCs/>
          <w:color w:val="000000"/>
          <w:kern w:val="18"/>
          <w:lang w:val="en-CA" w:eastAsia="zh-CN"/>
        </w:rPr>
        <w:t>联合国环境署</w:t>
      </w:r>
      <w:r w:rsidRPr="00421205">
        <w:rPr>
          <w:rFonts w:hAnsiTheme="minorEastAsia"/>
          <w:iCs/>
          <w:color w:val="000000"/>
          <w:kern w:val="18"/>
          <w:lang w:val="en-CA" w:eastAsia="zh-CN"/>
        </w:rPr>
        <w:t>和《生物多样性公约》秘书处之间行政安排实施情况</w:t>
      </w:r>
      <w:r>
        <w:rPr>
          <w:rFonts w:hAnsiTheme="minorEastAsia" w:hint="eastAsia"/>
          <w:iCs/>
          <w:color w:val="000000"/>
          <w:kern w:val="18"/>
          <w:lang w:val="en-CA" w:eastAsia="zh-CN"/>
        </w:rPr>
        <w:t>的</w:t>
      </w:r>
      <w:r>
        <w:rPr>
          <w:rFonts w:hAnsiTheme="minorEastAsia"/>
          <w:iCs/>
          <w:color w:val="000000"/>
          <w:kern w:val="18"/>
          <w:lang w:val="en-CA" w:eastAsia="zh-CN"/>
        </w:rPr>
        <w:t>信息</w:t>
      </w:r>
      <w:r w:rsidRPr="00421205">
        <w:rPr>
          <w:rFonts w:hAnsiTheme="minorEastAsia"/>
          <w:iCs/>
          <w:color w:val="000000"/>
          <w:kern w:val="18"/>
          <w:lang w:val="en-CA" w:eastAsia="zh-CN"/>
        </w:rPr>
        <w:t>，以确保主席团在缔约方</w:t>
      </w:r>
      <w:r>
        <w:rPr>
          <w:rFonts w:hAnsiTheme="minorEastAsia" w:hint="eastAsia"/>
          <w:iCs/>
          <w:color w:val="000000"/>
          <w:kern w:val="18"/>
          <w:lang w:val="en-CA" w:eastAsia="zh-CN"/>
        </w:rPr>
        <w:t>大会会议的</w:t>
      </w:r>
      <w:r w:rsidRPr="00421205">
        <w:rPr>
          <w:rFonts w:hAnsiTheme="minorEastAsia"/>
          <w:iCs/>
          <w:color w:val="000000"/>
          <w:kern w:val="18"/>
          <w:lang w:val="en-CA" w:eastAsia="zh-CN"/>
        </w:rPr>
        <w:t>筹备和举行方面</w:t>
      </w:r>
      <w:r>
        <w:rPr>
          <w:rFonts w:hAnsiTheme="minorEastAsia" w:hint="eastAsia"/>
          <w:iCs/>
          <w:color w:val="000000"/>
          <w:kern w:val="18"/>
          <w:lang w:val="en-CA" w:eastAsia="zh-CN"/>
        </w:rPr>
        <w:t>的</w:t>
      </w:r>
      <w:r w:rsidRPr="00421205">
        <w:rPr>
          <w:rFonts w:hAnsiTheme="minorEastAsia"/>
          <w:iCs/>
          <w:color w:val="000000"/>
          <w:kern w:val="18"/>
          <w:lang w:val="en-CA" w:eastAsia="zh-CN"/>
        </w:rPr>
        <w:t>指导作用；</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t>核准</w:t>
      </w:r>
      <w:r w:rsidRPr="00421205">
        <w:rPr>
          <w:rFonts w:hAnsiTheme="minorEastAsia"/>
          <w:iCs/>
          <w:color w:val="000000"/>
          <w:kern w:val="18"/>
          <w:lang w:val="en-CA" w:eastAsia="zh-CN"/>
        </w:rPr>
        <w:t>《公约》的核心</w:t>
      </w:r>
      <w:r>
        <w:rPr>
          <w:rFonts w:hAnsiTheme="minorEastAsia"/>
          <w:iCs/>
          <w:color w:val="000000"/>
          <w:kern w:val="18"/>
          <w:lang w:val="en-CA" w:eastAsia="zh-CN"/>
        </w:rPr>
        <w:t>（</w:t>
      </w:r>
      <w:r w:rsidRPr="00421205">
        <w:rPr>
          <w:iCs/>
          <w:color w:val="000000"/>
          <w:kern w:val="18"/>
          <w:lang w:val="en-CA" w:eastAsia="zh-CN"/>
        </w:rPr>
        <w:t>BY</w:t>
      </w:r>
      <w:r>
        <w:rPr>
          <w:rFonts w:hAnsiTheme="minorEastAsia"/>
          <w:iCs/>
          <w:color w:val="000000"/>
          <w:kern w:val="18"/>
          <w:lang w:val="en-CA" w:eastAsia="zh-CN"/>
        </w:rPr>
        <w:t>）</w:t>
      </w:r>
      <w:r w:rsidRPr="00421205">
        <w:rPr>
          <w:rFonts w:hAnsiTheme="minorEastAsia"/>
          <w:iCs/>
          <w:color w:val="000000"/>
          <w:kern w:val="18"/>
          <w:lang w:val="en-CA" w:eastAsia="zh-CN"/>
        </w:rPr>
        <w:t>方案预算，</w:t>
      </w:r>
      <w:r w:rsidRPr="00421205">
        <w:rPr>
          <w:iCs/>
          <w:color w:val="000000"/>
          <w:kern w:val="18"/>
          <w:lang w:val="en-CA" w:eastAsia="zh-CN"/>
        </w:rPr>
        <w:t>2019</w:t>
      </w:r>
      <w:r w:rsidRPr="00421205">
        <w:rPr>
          <w:rFonts w:hAnsiTheme="minorEastAsia"/>
          <w:iCs/>
          <w:color w:val="000000"/>
          <w:kern w:val="18"/>
          <w:lang w:val="en-CA" w:eastAsia="zh-CN"/>
        </w:rPr>
        <w:t>年为</w:t>
      </w:r>
      <w:r>
        <w:rPr>
          <w:rFonts w:eastAsia="Malgun Gothic"/>
          <w:iCs/>
          <w:color w:val="000000"/>
          <w:kern w:val="18"/>
          <w:lang w:val="en-GB"/>
        </w:rPr>
        <w:t>14,022,190</w:t>
      </w:r>
      <w:r w:rsidRPr="00421205">
        <w:rPr>
          <w:rFonts w:hAnsiTheme="minorEastAsia"/>
          <w:iCs/>
          <w:color w:val="000000"/>
          <w:kern w:val="18"/>
          <w:lang w:val="en-CA" w:eastAsia="zh-CN"/>
        </w:rPr>
        <w:t>美元，</w:t>
      </w:r>
      <w:r w:rsidRPr="00421205">
        <w:rPr>
          <w:iCs/>
          <w:color w:val="000000"/>
          <w:kern w:val="18"/>
          <w:lang w:val="en-CA" w:eastAsia="zh-CN"/>
        </w:rPr>
        <w:t>2020</w:t>
      </w:r>
      <w:r w:rsidRPr="00421205">
        <w:rPr>
          <w:rFonts w:hAnsiTheme="minorEastAsia"/>
          <w:iCs/>
          <w:color w:val="000000"/>
          <w:kern w:val="18"/>
          <w:lang w:val="en-CA" w:eastAsia="zh-CN"/>
        </w:rPr>
        <w:t>年为</w:t>
      </w:r>
      <w:r>
        <w:rPr>
          <w:rFonts w:eastAsia="Malgun Gothic"/>
          <w:iCs/>
          <w:color w:val="000000"/>
          <w:kern w:val="18"/>
          <w:lang w:val="en-GB"/>
        </w:rPr>
        <w:t>14,722,420</w:t>
      </w:r>
      <w:r w:rsidRPr="00421205">
        <w:rPr>
          <w:rFonts w:hAnsiTheme="minorEastAsia"/>
          <w:iCs/>
          <w:color w:val="000000"/>
          <w:kern w:val="18"/>
          <w:lang w:val="en-CA" w:eastAsia="zh-CN"/>
        </w:rPr>
        <w:t>美元，占《公约》和各《议定书》</w:t>
      </w:r>
      <w:r w:rsidRPr="00421205">
        <w:rPr>
          <w:iCs/>
          <w:color w:val="000000"/>
          <w:kern w:val="18"/>
          <w:lang w:val="en-CA" w:eastAsia="zh-CN"/>
        </w:rPr>
        <w:t>2019</w:t>
      </w:r>
      <w:r w:rsidRPr="00421205">
        <w:rPr>
          <w:rFonts w:hAnsiTheme="minorEastAsia"/>
          <w:iCs/>
          <w:color w:val="000000"/>
          <w:kern w:val="18"/>
          <w:lang w:val="en-CA" w:eastAsia="zh-CN"/>
        </w:rPr>
        <w:t>年</w:t>
      </w:r>
      <w:r>
        <w:rPr>
          <w:rFonts w:eastAsia="Malgun Gothic"/>
          <w:iCs/>
          <w:color w:val="000000"/>
          <w:kern w:val="18"/>
          <w:lang w:val="en-GB"/>
        </w:rPr>
        <w:t>18,948,900</w:t>
      </w:r>
      <w:r w:rsidRPr="00421205">
        <w:rPr>
          <w:rFonts w:hAnsiTheme="minorEastAsia"/>
          <w:iCs/>
          <w:color w:val="000000"/>
          <w:kern w:val="18"/>
          <w:lang w:val="en-CA" w:eastAsia="zh-CN"/>
        </w:rPr>
        <w:t>美元和</w:t>
      </w:r>
      <w:r w:rsidRPr="00421205">
        <w:rPr>
          <w:iCs/>
          <w:color w:val="000000"/>
          <w:kern w:val="18"/>
          <w:lang w:val="en-CA" w:eastAsia="zh-CN"/>
        </w:rPr>
        <w:t>2020</w:t>
      </w:r>
      <w:r w:rsidRPr="00421205">
        <w:rPr>
          <w:rFonts w:hAnsiTheme="minorEastAsia"/>
          <w:iCs/>
          <w:color w:val="000000"/>
          <w:kern w:val="18"/>
          <w:lang w:val="en-CA" w:eastAsia="zh-CN"/>
        </w:rPr>
        <w:t>年</w:t>
      </w:r>
      <w:r>
        <w:rPr>
          <w:rFonts w:eastAsia="Malgun Gothic"/>
          <w:iCs/>
          <w:color w:val="000000"/>
          <w:kern w:val="18"/>
          <w:lang w:val="en-GB"/>
        </w:rPr>
        <w:t>19,895,200</w:t>
      </w:r>
      <w:r w:rsidRPr="00421205">
        <w:rPr>
          <w:rFonts w:hAnsiTheme="minorEastAsia"/>
          <w:iCs/>
          <w:color w:val="000000"/>
          <w:kern w:val="18"/>
          <w:lang w:val="en-CA" w:eastAsia="zh-CN"/>
        </w:rPr>
        <w:t>美元综合预算的</w:t>
      </w:r>
      <w:r>
        <w:rPr>
          <w:iCs/>
          <w:color w:val="000000"/>
          <w:kern w:val="18"/>
          <w:lang w:val="en-CA" w:eastAsia="zh-CN"/>
        </w:rPr>
        <w:t>74%</w:t>
      </w:r>
      <w:r w:rsidRPr="00421205">
        <w:rPr>
          <w:rFonts w:hAnsiTheme="minorEastAsia"/>
          <w:iCs/>
          <w:color w:val="000000"/>
          <w:kern w:val="18"/>
          <w:lang w:val="en-CA" w:eastAsia="zh-CN"/>
        </w:rPr>
        <w:t>，用于下表</w:t>
      </w:r>
      <w:r w:rsidRPr="00421205">
        <w:rPr>
          <w:iCs/>
          <w:color w:val="000000"/>
          <w:kern w:val="18"/>
          <w:lang w:val="en-CA" w:eastAsia="zh-CN"/>
        </w:rPr>
        <w:t>1a</w:t>
      </w:r>
      <w:r w:rsidRPr="00421205">
        <w:rPr>
          <w:rFonts w:hAnsiTheme="minorEastAsia"/>
          <w:iCs/>
          <w:color w:val="000000"/>
          <w:kern w:val="18"/>
          <w:lang w:val="en-CA" w:eastAsia="zh-CN"/>
        </w:rPr>
        <w:t>和</w:t>
      </w:r>
      <w:r w:rsidRPr="00421205">
        <w:rPr>
          <w:iCs/>
          <w:color w:val="000000"/>
          <w:kern w:val="18"/>
          <w:lang w:val="en-CA" w:eastAsia="zh-CN"/>
        </w:rPr>
        <w:t>1b</w:t>
      </w:r>
      <w:r w:rsidRPr="00421205">
        <w:rPr>
          <w:rFonts w:hAnsiTheme="minorEastAsia"/>
          <w:iCs/>
          <w:color w:val="000000"/>
          <w:kern w:val="18"/>
          <w:lang w:val="en-CA" w:eastAsia="zh-CN"/>
        </w:rPr>
        <w:t>所列用途；</w:t>
      </w:r>
    </w:p>
    <w:p w:rsidR="00B72FA3" w:rsidRPr="00B5198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t>核准</w:t>
      </w:r>
      <w:r w:rsidRPr="00421205">
        <w:rPr>
          <w:rFonts w:hAnsiTheme="minorEastAsia"/>
          <w:iCs/>
          <w:color w:val="000000"/>
          <w:kern w:val="18"/>
          <w:lang w:val="en-CA" w:eastAsia="zh-CN"/>
        </w:rPr>
        <w:t>使用</w:t>
      </w:r>
      <w:r w:rsidRPr="00421205">
        <w:rPr>
          <w:iCs/>
          <w:color w:val="000000"/>
          <w:kern w:val="18"/>
          <w:lang w:val="en-CA" w:eastAsia="zh-CN"/>
        </w:rPr>
        <w:t>BY</w:t>
      </w:r>
      <w:r w:rsidRPr="00421205">
        <w:rPr>
          <w:rFonts w:hAnsiTheme="minorEastAsia"/>
          <w:iCs/>
          <w:color w:val="000000"/>
          <w:kern w:val="18"/>
          <w:lang w:val="en-CA" w:eastAsia="zh-CN"/>
        </w:rPr>
        <w:t>、</w:t>
      </w:r>
      <w:r w:rsidRPr="00421205">
        <w:rPr>
          <w:iCs/>
          <w:color w:val="000000"/>
          <w:kern w:val="18"/>
          <w:lang w:val="en-CA" w:eastAsia="zh-CN"/>
        </w:rPr>
        <w:t>BG</w:t>
      </w:r>
      <w:r w:rsidRPr="00421205">
        <w:rPr>
          <w:rFonts w:hAnsiTheme="minorEastAsia"/>
          <w:iCs/>
          <w:color w:val="000000"/>
          <w:kern w:val="18"/>
          <w:lang w:val="en-CA" w:eastAsia="zh-CN"/>
        </w:rPr>
        <w:t>、</w:t>
      </w:r>
      <w:r w:rsidRPr="00421205">
        <w:rPr>
          <w:iCs/>
          <w:color w:val="000000"/>
          <w:kern w:val="18"/>
          <w:lang w:val="en-CA" w:eastAsia="zh-CN"/>
        </w:rPr>
        <w:t>BB</w:t>
      </w:r>
      <w:r w:rsidRPr="00421205">
        <w:rPr>
          <w:rFonts w:hAnsiTheme="minorEastAsia"/>
          <w:iCs/>
          <w:color w:val="000000"/>
          <w:kern w:val="18"/>
          <w:lang w:val="en-CA" w:eastAsia="zh-CN"/>
        </w:rPr>
        <w:t>信托基金</w:t>
      </w:r>
      <w:r w:rsidRPr="00421205">
        <w:rPr>
          <w:iCs/>
          <w:color w:val="000000"/>
          <w:kern w:val="18"/>
          <w:lang w:val="en-CA" w:eastAsia="zh-CN"/>
        </w:rPr>
        <w:t>2017-2018</w:t>
      </w:r>
      <w:r>
        <w:rPr>
          <w:rFonts w:hint="eastAsia"/>
          <w:iCs/>
          <w:color w:val="000000"/>
          <w:kern w:val="18"/>
          <w:lang w:val="en-CA" w:eastAsia="zh-CN"/>
        </w:rPr>
        <w:t>年</w:t>
      </w:r>
      <w:r w:rsidRPr="00421205">
        <w:rPr>
          <w:rFonts w:hAnsiTheme="minorEastAsia"/>
          <w:iCs/>
          <w:color w:val="000000"/>
          <w:kern w:val="18"/>
          <w:lang w:val="en-CA" w:eastAsia="zh-CN"/>
        </w:rPr>
        <w:t>两年期的未用余额</w:t>
      </w:r>
      <w:r>
        <w:rPr>
          <w:szCs w:val="22"/>
          <w:lang w:val="en-GB" w:eastAsia="zh-CN"/>
        </w:rPr>
        <w:t>3,206,600</w:t>
      </w:r>
      <w:r>
        <w:rPr>
          <w:rFonts w:hint="eastAsia"/>
          <w:szCs w:val="22"/>
          <w:lang w:val="en-GB" w:eastAsia="zh-CN"/>
        </w:rPr>
        <w:t>美元</w:t>
      </w:r>
      <w:r w:rsidRPr="00421205">
        <w:rPr>
          <w:rFonts w:hAnsiTheme="minorEastAsia"/>
          <w:iCs/>
          <w:color w:val="000000"/>
          <w:kern w:val="18"/>
          <w:lang w:val="en-CA" w:eastAsia="zh-CN"/>
        </w:rPr>
        <w:t>，抵消《公约》、《卡塔赫纳议定书》和《名古屋议定书》缔约方</w:t>
      </w:r>
      <w:r w:rsidRPr="00421205">
        <w:rPr>
          <w:iCs/>
          <w:color w:val="000000"/>
          <w:kern w:val="18"/>
          <w:lang w:val="en-CA" w:eastAsia="zh-CN"/>
        </w:rPr>
        <w:t>2019-2020</w:t>
      </w:r>
      <w:r>
        <w:rPr>
          <w:rFonts w:hAnsiTheme="minorEastAsia"/>
          <w:iCs/>
          <w:color w:val="000000"/>
          <w:kern w:val="18"/>
          <w:lang w:val="en-CA" w:eastAsia="zh-CN"/>
        </w:rPr>
        <w:t>年两年期</w:t>
      </w:r>
      <w:r w:rsidRPr="00421205">
        <w:rPr>
          <w:rFonts w:hAnsiTheme="minorEastAsia"/>
          <w:iCs/>
          <w:color w:val="000000"/>
          <w:kern w:val="18"/>
          <w:lang w:val="en-CA" w:eastAsia="zh-CN"/>
        </w:rPr>
        <w:t>在以下领域的摊款</w:t>
      </w:r>
      <w:r>
        <w:rPr>
          <w:rFonts w:hint="eastAsia"/>
          <w:iCs/>
          <w:color w:val="000000"/>
          <w:kern w:val="18"/>
          <w:lang w:val="en-CA" w:eastAsia="zh-CN"/>
        </w:rPr>
        <w:t>：</w:t>
      </w:r>
      <w:r>
        <w:rPr>
          <w:szCs w:val="22"/>
          <w:lang w:val="en-GB" w:eastAsia="zh-CN"/>
        </w:rPr>
        <w:t>1,480,300</w:t>
      </w:r>
      <w:r>
        <w:rPr>
          <w:rFonts w:hint="eastAsia"/>
          <w:szCs w:val="22"/>
          <w:lang w:val="en-GB" w:eastAsia="zh-CN"/>
        </w:rPr>
        <w:t>美元</w:t>
      </w:r>
      <w:r w:rsidRPr="00421205">
        <w:rPr>
          <w:rFonts w:hAnsiTheme="minorEastAsia"/>
          <w:iCs/>
          <w:color w:val="000000"/>
          <w:kern w:val="18"/>
          <w:lang w:val="en-CA" w:eastAsia="zh-CN"/>
        </w:rPr>
        <w:t>用于支持</w:t>
      </w:r>
      <w:r>
        <w:rPr>
          <w:rFonts w:hAnsiTheme="minorEastAsia" w:hint="eastAsia"/>
          <w:iCs/>
          <w:color w:val="000000"/>
          <w:kern w:val="18"/>
          <w:lang w:val="en-CA" w:eastAsia="zh-CN"/>
        </w:rPr>
        <w:t>与</w:t>
      </w:r>
      <w:r w:rsidRPr="00421205">
        <w:rPr>
          <w:iCs/>
          <w:color w:val="000000"/>
          <w:kern w:val="18"/>
          <w:lang w:val="en-CA" w:eastAsia="zh-CN"/>
        </w:rPr>
        <w:t>2020</w:t>
      </w:r>
      <w:r w:rsidRPr="00421205">
        <w:rPr>
          <w:rFonts w:hAnsiTheme="minorEastAsia"/>
          <w:iCs/>
          <w:color w:val="000000"/>
          <w:kern w:val="18"/>
          <w:lang w:val="en-CA" w:eastAsia="zh-CN"/>
        </w:rPr>
        <w:t>年后</w:t>
      </w:r>
      <w:r>
        <w:rPr>
          <w:rFonts w:hAnsiTheme="minorEastAsia" w:hint="eastAsia"/>
          <w:iCs/>
          <w:color w:val="000000"/>
          <w:kern w:val="18"/>
          <w:lang w:val="en-CA" w:eastAsia="zh-CN"/>
        </w:rPr>
        <w:t>议程</w:t>
      </w:r>
      <w:r>
        <w:rPr>
          <w:rFonts w:hAnsiTheme="minorEastAsia"/>
          <w:iCs/>
          <w:color w:val="000000"/>
          <w:kern w:val="18"/>
          <w:lang w:val="en-CA" w:eastAsia="zh-CN"/>
        </w:rPr>
        <w:t>相关联</w:t>
      </w:r>
      <w:r>
        <w:rPr>
          <w:rFonts w:hAnsiTheme="minorEastAsia" w:hint="eastAsia"/>
          <w:iCs/>
          <w:color w:val="000000"/>
          <w:kern w:val="18"/>
          <w:lang w:val="en-CA" w:eastAsia="zh-CN"/>
        </w:rPr>
        <w:t>的</w:t>
      </w:r>
      <w:r>
        <w:rPr>
          <w:rFonts w:hAnsiTheme="minorEastAsia"/>
          <w:iCs/>
          <w:color w:val="000000"/>
          <w:kern w:val="18"/>
          <w:lang w:val="en-CA" w:eastAsia="zh-CN"/>
        </w:rPr>
        <w:t>特别会议的工作</w:t>
      </w:r>
      <w:r w:rsidRPr="00421205">
        <w:rPr>
          <w:rFonts w:hAnsiTheme="minorEastAsia"/>
          <w:iCs/>
          <w:color w:val="000000"/>
          <w:kern w:val="18"/>
          <w:lang w:val="en-CA" w:eastAsia="zh-CN"/>
        </w:rPr>
        <w:t>；</w:t>
      </w:r>
      <w:r>
        <w:rPr>
          <w:szCs w:val="22"/>
          <w:lang w:val="en-GB" w:eastAsia="zh-CN"/>
        </w:rPr>
        <w:t>1,726,300</w:t>
      </w:r>
      <w:r>
        <w:rPr>
          <w:rFonts w:hint="eastAsia"/>
          <w:szCs w:val="22"/>
          <w:lang w:val="en-GB" w:eastAsia="zh-CN"/>
        </w:rPr>
        <w:t>美元</w:t>
      </w:r>
      <w:r w:rsidRPr="00421205">
        <w:rPr>
          <w:rFonts w:hAnsiTheme="minorEastAsia"/>
          <w:iCs/>
          <w:color w:val="000000"/>
          <w:kern w:val="18"/>
          <w:lang w:val="en-CA" w:eastAsia="zh-CN"/>
        </w:rPr>
        <w:t>将从</w:t>
      </w:r>
      <w:r w:rsidRPr="00421205">
        <w:rPr>
          <w:iCs/>
          <w:color w:val="000000"/>
          <w:kern w:val="18"/>
          <w:lang w:val="en-CA" w:eastAsia="zh-CN"/>
        </w:rPr>
        <w:t>2019-2020</w:t>
      </w:r>
      <w:r>
        <w:rPr>
          <w:rFonts w:hint="eastAsia"/>
          <w:iCs/>
          <w:color w:val="000000"/>
          <w:kern w:val="18"/>
          <w:lang w:val="en-CA" w:eastAsia="zh-CN"/>
        </w:rPr>
        <w:t>年</w:t>
      </w:r>
      <w:r w:rsidRPr="00421205">
        <w:rPr>
          <w:rFonts w:hAnsiTheme="minorEastAsia"/>
          <w:iCs/>
          <w:color w:val="000000"/>
          <w:kern w:val="18"/>
          <w:lang w:val="en-CA" w:eastAsia="zh-CN"/>
        </w:rPr>
        <w:t>两年期对</w:t>
      </w:r>
      <w:r w:rsidRPr="00421205">
        <w:rPr>
          <w:iCs/>
          <w:color w:val="000000"/>
          <w:kern w:val="18"/>
          <w:lang w:val="en-CA" w:eastAsia="zh-CN"/>
        </w:rPr>
        <w:t>BY</w:t>
      </w:r>
      <w:r w:rsidRPr="00421205">
        <w:rPr>
          <w:rFonts w:hAnsiTheme="minorEastAsia"/>
          <w:iCs/>
          <w:color w:val="000000"/>
          <w:kern w:val="18"/>
          <w:lang w:val="en-CA" w:eastAsia="zh-CN"/>
        </w:rPr>
        <w:t>、</w:t>
      </w:r>
      <w:r w:rsidRPr="00421205">
        <w:rPr>
          <w:iCs/>
          <w:color w:val="000000"/>
          <w:kern w:val="18"/>
          <w:lang w:val="en-CA" w:eastAsia="zh-CN"/>
        </w:rPr>
        <w:t>BG</w:t>
      </w:r>
      <w:r w:rsidRPr="00421205">
        <w:rPr>
          <w:rFonts w:hAnsiTheme="minorEastAsia"/>
          <w:iCs/>
          <w:color w:val="000000"/>
          <w:kern w:val="18"/>
          <w:lang w:val="en-CA" w:eastAsia="zh-CN"/>
        </w:rPr>
        <w:t>、</w:t>
      </w:r>
      <w:r w:rsidRPr="00421205">
        <w:rPr>
          <w:iCs/>
          <w:color w:val="000000"/>
          <w:kern w:val="18"/>
          <w:lang w:val="en-CA" w:eastAsia="zh-CN"/>
        </w:rPr>
        <w:t>BB</w:t>
      </w:r>
      <w:r w:rsidRPr="00421205">
        <w:rPr>
          <w:rFonts w:hAnsiTheme="minorEastAsia"/>
          <w:iCs/>
          <w:color w:val="000000"/>
          <w:kern w:val="18"/>
          <w:lang w:val="en-CA" w:eastAsia="zh-CN"/>
        </w:rPr>
        <w:t>信托基金的</w:t>
      </w:r>
      <w:r>
        <w:rPr>
          <w:rFonts w:hAnsiTheme="minorEastAsia" w:hint="eastAsia"/>
          <w:iCs/>
          <w:color w:val="000000"/>
          <w:kern w:val="18"/>
          <w:lang w:val="en-CA" w:eastAsia="zh-CN"/>
        </w:rPr>
        <w:t>摊款</w:t>
      </w:r>
      <w:r w:rsidRPr="00421205">
        <w:rPr>
          <w:rFonts w:hAnsiTheme="minorEastAsia"/>
          <w:iCs/>
          <w:color w:val="000000"/>
          <w:kern w:val="18"/>
          <w:lang w:val="en-CA" w:eastAsia="zh-CN"/>
        </w:rPr>
        <w:t>中扣除；</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t>请</w:t>
      </w:r>
      <w:r w:rsidRPr="00421205">
        <w:rPr>
          <w:rFonts w:hAnsiTheme="minorEastAsia"/>
          <w:iCs/>
          <w:color w:val="000000"/>
          <w:kern w:val="18"/>
          <w:lang w:val="en-CA" w:eastAsia="zh-CN"/>
        </w:rPr>
        <w:t>执行秘书通过与国际民用航空组织达成在任何适用于缔约方的可用日期使用场址的优惠安排，为</w:t>
      </w:r>
      <w:r w:rsidRPr="00421205">
        <w:rPr>
          <w:iCs/>
          <w:color w:val="000000"/>
          <w:kern w:val="18"/>
          <w:lang w:val="en-CA" w:eastAsia="zh-CN"/>
        </w:rPr>
        <w:t>2019-2020</w:t>
      </w:r>
      <w:r>
        <w:rPr>
          <w:rFonts w:hAnsiTheme="minorEastAsia"/>
          <w:iCs/>
          <w:color w:val="000000"/>
          <w:kern w:val="18"/>
          <w:lang w:val="en-CA" w:eastAsia="zh-CN"/>
        </w:rPr>
        <w:t>年两年期</w:t>
      </w:r>
      <w:r w:rsidRPr="00421205">
        <w:rPr>
          <w:rFonts w:hAnsiTheme="minorEastAsia"/>
          <w:iCs/>
          <w:color w:val="000000"/>
          <w:kern w:val="18"/>
          <w:lang w:val="en-CA" w:eastAsia="zh-CN"/>
        </w:rPr>
        <w:t>在蒙特利尔举行的附属机构所有会议预订会议设施，以尽量减少会议费用，并在无法确定可用场址的特殊情况下，</w:t>
      </w:r>
      <w:r w:rsidRPr="00421205">
        <w:rPr>
          <w:rFonts w:ascii="KaiTi" w:eastAsia="KaiTi" w:hAnsi="KaiTi"/>
          <w:iCs/>
          <w:color w:val="000000"/>
          <w:kern w:val="18"/>
          <w:lang w:val="en-CA" w:eastAsia="zh-CN"/>
        </w:rPr>
        <w:t>批准</w:t>
      </w:r>
      <w:r w:rsidRPr="00421205">
        <w:rPr>
          <w:rFonts w:hAnsiTheme="minorEastAsia"/>
          <w:iCs/>
          <w:color w:val="000000"/>
          <w:kern w:val="18"/>
          <w:lang w:val="en-CA" w:eastAsia="zh-CN"/>
        </w:rPr>
        <w:t>使用未用余额支付最经济的替代会议场址方案的额外会议租金和相关费用；</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lastRenderedPageBreak/>
        <w:t>表示赞赏</w:t>
      </w:r>
      <w:r w:rsidRPr="00421205">
        <w:rPr>
          <w:rFonts w:hAnsiTheme="minorEastAsia"/>
          <w:iCs/>
          <w:color w:val="000000"/>
          <w:kern w:val="18"/>
          <w:lang w:val="en-CA" w:eastAsia="zh-CN"/>
        </w:rPr>
        <w:t>东道国加拿大再次支持秘书处，并</w:t>
      </w:r>
      <w:r w:rsidRPr="0042140C">
        <w:rPr>
          <w:rFonts w:ascii="KaiTi" w:eastAsia="KaiTi" w:hAnsi="KaiTi"/>
          <w:iCs/>
          <w:color w:val="000000"/>
          <w:kern w:val="18"/>
          <w:lang w:val="en-CA" w:eastAsia="zh-CN"/>
        </w:rPr>
        <w:t>欢迎</w:t>
      </w:r>
      <w:r w:rsidRPr="00421205">
        <w:rPr>
          <w:rFonts w:hAnsiTheme="minorEastAsia"/>
          <w:iCs/>
          <w:color w:val="000000"/>
          <w:kern w:val="18"/>
          <w:lang w:val="en-CA" w:eastAsia="zh-CN"/>
        </w:rPr>
        <w:t>东道国加拿大、魁北克省和执行秘书目前为完成延长蒙特利尔秘书处租金和相关费用的东道国赠款所开展的工作，东道国和魁北克省</w:t>
      </w:r>
      <w:r w:rsidRPr="00421205">
        <w:rPr>
          <w:iCs/>
          <w:color w:val="000000"/>
          <w:kern w:val="18"/>
          <w:lang w:val="en-CA" w:eastAsia="zh-CN"/>
        </w:rPr>
        <w:t>2019</w:t>
      </w:r>
      <w:r w:rsidRPr="00421205">
        <w:rPr>
          <w:rFonts w:hAnsiTheme="minorEastAsia"/>
          <w:iCs/>
          <w:color w:val="000000"/>
          <w:kern w:val="18"/>
          <w:lang w:val="en-CA" w:eastAsia="zh-CN"/>
        </w:rPr>
        <w:t>年的捐款估计为</w:t>
      </w:r>
      <w:r w:rsidRPr="00B51985">
        <w:rPr>
          <w:color w:val="000000" w:themeColor="text1"/>
          <w:lang w:val="en-GB"/>
        </w:rPr>
        <w:t>1,603,208</w:t>
      </w:r>
      <w:r>
        <w:rPr>
          <w:rFonts w:hint="eastAsia"/>
          <w:szCs w:val="22"/>
          <w:lang w:val="en-GB" w:eastAsia="zh-CN"/>
        </w:rPr>
        <w:t>加元</w:t>
      </w:r>
      <w:r w:rsidRPr="00421205">
        <w:rPr>
          <w:rFonts w:hAnsiTheme="minorEastAsia"/>
          <w:iCs/>
          <w:color w:val="000000"/>
          <w:kern w:val="18"/>
          <w:lang w:val="en-CA" w:eastAsia="zh-CN"/>
        </w:rPr>
        <w:t>，</w:t>
      </w:r>
      <w:r>
        <w:rPr>
          <w:rFonts w:hAnsiTheme="minorEastAsia" w:hint="eastAsia"/>
          <w:iCs/>
          <w:color w:val="000000"/>
          <w:kern w:val="18"/>
          <w:lang w:val="en-CA" w:eastAsia="zh-CN"/>
        </w:rPr>
        <w:t>2020</w:t>
      </w:r>
      <w:r>
        <w:rPr>
          <w:rFonts w:hAnsiTheme="minorEastAsia" w:hint="eastAsia"/>
          <w:iCs/>
          <w:color w:val="000000"/>
          <w:kern w:val="18"/>
          <w:lang w:val="en-CA" w:eastAsia="zh-CN"/>
        </w:rPr>
        <w:t>年估计为</w:t>
      </w:r>
      <w:r w:rsidRPr="00B51985">
        <w:rPr>
          <w:color w:val="000000" w:themeColor="text1"/>
          <w:lang w:val="en-GB"/>
        </w:rPr>
        <w:t>1,856,100</w:t>
      </w:r>
      <w:r>
        <w:rPr>
          <w:rFonts w:hAnsiTheme="minorEastAsia"/>
          <w:iCs/>
          <w:color w:val="000000"/>
          <w:kern w:val="18"/>
          <w:lang w:val="en-CA" w:eastAsia="zh-CN"/>
        </w:rPr>
        <w:t>加元，</w:t>
      </w:r>
      <w:r w:rsidRPr="00421205">
        <w:rPr>
          <w:rFonts w:hAnsiTheme="minorEastAsia"/>
          <w:iCs/>
          <w:color w:val="000000"/>
          <w:kern w:val="18"/>
          <w:lang w:val="en-CA" w:eastAsia="zh-CN"/>
        </w:rPr>
        <w:t>将按</w:t>
      </w:r>
      <w:r w:rsidRPr="00421205">
        <w:rPr>
          <w:iCs/>
          <w:color w:val="000000"/>
          <w:kern w:val="18"/>
          <w:lang w:val="en-CA" w:eastAsia="zh-CN"/>
        </w:rPr>
        <w:t>74:15:11</w:t>
      </w:r>
      <w:r w:rsidRPr="00421205">
        <w:rPr>
          <w:rFonts w:hAnsiTheme="minorEastAsia"/>
          <w:iCs/>
          <w:color w:val="000000"/>
          <w:kern w:val="18"/>
          <w:lang w:val="en-CA" w:eastAsia="zh-CN"/>
        </w:rPr>
        <w:t>的比例分配，</w:t>
      </w:r>
      <w:r>
        <w:rPr>
          <w:rFonts w:hAnsiTheme="minorEastAsia" w:hint="eastAsia"/>
          <w:iCs/>
          <w:color w:val="000000"/>
          <w:kern w:val="18"/>
          <w:lang w:val="en-CA" w:eastAsia="zh-CN"/>
        </w:rPr>
        <w:t>分别</w:t>
      </w:r>
      <w:r w:rsidRPr="00421205">
        <w:rPr>
          <w:rFonts w:hAnsiTheme="minorEastAsia"/>
          <w:iCs/>
          <w:color w:val="000000"/>
          <w:kern w:val="18"/>
          <w:lang w:val="en-CA" w:eastAsia="zh-CN"/>
        </w:rPr>
        <w:t>抵消《公约》、《卡塔赫纳议定书》和《名古屋议定书》缔约方的摊款；</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GB" w:eastAsia="zh-CN"/>
        </w:rPr>
      </w:pPr>
      <w:r w:rsidRPr="00421205">
        <w:rPr>
          <w:rFonts w:ascii="KaiTi" w:eastAsia="KaiTi" w:hAnsi="KaiTi"/>
          <w:iCs/>
          <w:color w:val="000000"/>
          <w:kern w:val="18"/>
          <w:lang w:val="en-CA" w:eastAsia="zh-CN"/>
        </w:rPr>
        <w:t>通过</w:t>
      </w:r>
      <w:r w:rsidRPr="00421205">
        <w:rPr>
          <w:rFonts w:hAnsiTheme="minorEastAsia"/>
          <w:iCs/>
          <w:color w:val="000000"/>
          <w:kern w:val="18"/>
          <w:lang w:val="en-CA" w:eastAsia="zh-CN"/>
        </w:rPr>
        <w:t>本决定</w:t>
      </w:r>
      <w:r>
        <w:rPr>
          <w:rFonts w:hAnsiTheme="minorEastAsia" w:hint="eastAsia"/>
          <w:iCs/>
          <w:color w:val="000000"/>
          <w:kern w:val="18"/>
          <w:lang w:val="en-CA" w:eastAsia="zh-CN"/>
        </w:rPr>
        <w:t>表</w:t>
      </w:r>
      <w:r>
        <w:rPr>
          <w:rFonts w:hAnsiTheme="minorEastAsia" w:hint="eastAsia"/>
          <w:iCs/>
          <w:color w:val="000000"/>
          <w:kern w:val="18"/>
          <w:lang w:val="en-CA" w:eastAsia="zh-CN"/>
        </w:rPr>
        <w:t>6</w:t>
      </w:r>
      <w:r w:rsidRPr="00421205">
        <w:rPr>
          <w:rFonts w:hAnsiTheme="minorEastAsia"/>
          <w:iCs/>
          <w:color w:val="000000"/>
          <w:kern w:val="18"/>
          <w:lang w:val="en-CA" w:eastAsia="zh-CN"/>
        </w:rPr>
        <w:t>所载依照联合国现行会费分摊比额表的</w:t>
      </w:r>
      <w:r w:rsidRPr="00421205">
        <w:rPr>
          <w:iCs/>
          <w:color w:val="000000"/>
          <w:kern w:val="18"/>
          <w:lang w:val="en-CA" w:eastAsia="zh-CN"/>
        </w:rPr>
        <w:t>2019</w:t>
      </w:r>
      <w:r w:rsidRPr="00421205">
        <w:rPr>
          <w:rFonts w:hAnsiTheme="minorEastAsia"/>
          <w:iCs/>
          <w:color w:val="000000"/>
          <w:kern w:val="18"/>
          <w:lang w:val="en-CA" w:eastAsia="zh-CN"/>
        </w:rPr>
        <w:t>年和</w:t>
      </w:r>
      <w:r w:rsidRPr="00421205">
        <w:rPr>
          <w:iCs/>
          <w:color w:val="000000"/>
          <w:kern w:val="18"/>
          <w:lang w:val="en-CA" w:eastAsia="zh-CN"/>
        </w:rPr>
        <w:t>2020</w:t>
      </w:r>
      <w:r w:rsidRPr="00421205">
        <w:rPr>
          <w:rFonts w:hAnsiTheme="minorEastAsia"/>
          <w:iCs/>
          <w:color w:val="000000"/>
          <w:kern w:val="18"/>
          <w:lang w:val="en-CA" w:eastAsia="zh-CN"/>
        </w:rPr>
        <w:t>年费用分摊比额表；</w:t>
      </w:r>
      <w:r w:rsidRPr="00FA0AB5">
        <w:rPr>
          <w:rStyle w:val="FootnoteReference"/>
          <w:iCs/>
          <w:kern w:val="18"/>
          <w:vertAlign w:val="superscript"/>
          <w:lang w:val="en-GB"/>
        </w:rPr>
        <w:footnoteReference w:id="326"/>
      </w:r>
    </w:p>
    <w:p w:rsidR="00B72FA3" w:rsidRPr="00FA0AB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FA0AB5">
        <w:rPr>
          <w:rFonts w:ascii="KaiTi" w:eastAsia="KaiTi" w:hAnsi="KaiTi" w:hint="eastAsia"/>
          <w:iCs/>
          <w:color w:val="000000"/>
          <w:kern w:val="18"/>
          <w:lang w:val="en-CA" w:eastAsia="zh-CN"/>
        </w:rPr>
        <w:t>又通过</w:t>
      </w:r>
      <w:r w:rsidRPr="00421205">
        <w:rPr>
          <w:rFonts w:hAnsiTheme="minorEastAsia"/>
          <w:iCs/>
          <w:color w:val="000000"/>
          <w:kern w:val="18"/>
          <w:lang w:val="en-CA" w:eastAsia="zh-CN"/>
        </w:rPr>
        <w:t>秘书处用于编定总预算成本计算的</w:t>
      </w:r>
      <w:r w:rsidRPr="00421205">
        <w:rPr>
          <w:iCs/>
          <w:color w:val="000000"/>
          <w:kern w:val="18"/>
          <w:lang w:val="en-CA" w:eastAsia="zh-CN"/>
        </w:rPr>
        <w:t>2019-2020</w:t>
      </w:r>
      <w:r>
        <w:rPr>
          <w:rFonts w:hAnsiTheme="minorEastAsia"/>
          <w:iCs/>
          <w:color w:val="000000"/>
          <w:kern w:val="18"/>
          <w:lang w:val="en-CA" w:eastAsia="zh-CN"/>
        </w:rPr>
        <w:t>年两年期</w:t>
      </w:r>
      <w:r w:rsidRPr="00421205">
        <w:rPr>
          <w:rFonts w:hAnsiTheme="minorEastAsia"/>
          <w:iCs/>
          <w:color w:val="000000"/>
          <w:kern w:val="18"/>
          <w:lang w:val="en-CA" w:eastAsia="zh-CN"/>
        </w:rPr>
        <w:t>员额配置表</w:t>
      </w:r>
      <w:r w:rsidRPr="00421205">
        <w:rPr>
          <w:iCs/>
          <w:color w:val="000000"/>
          <w:kern w:val="18"/>
          <w:lang w:val="en-CA" w:eastAsia="zh-CN"/>
        </w:rPr>
        <w:t>2</w:t>
      </w:r>
      <w:r w:rsidRPr="00421205">
        <w:rPr>
          <w:rFonts w:hAnsiTheme="minorEastAsia"/>
          <w:iCs/>
          <w:color w:val="000000"/>
          <w:kern w:val="18"/>
          <w:lang w:val="en-CA" w:eastAsia="zh-CN"/>
        </w:rPr>
        <w:t>；</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Pr>
          <w:rFonts w:ascii="KaiTi" w:eastAsia="KaiTi" w:hAnsi="KaiTi" w:hint="eastAsia"/>
          <w:iCs/>
          <w:color w:val="000000"/>
          <w:kern w:val="18"/>
          <w:lang w:val="en-CA" w:eastAsia="zh-CN"/>
        </w:rPr>
        <w:t>回顾</w:t>
      </w:r>
      <w:r>
        <w:rPr>
          <w:rFonts w:ascii="SimSun" w:hAnsi="SimSun" w:hint="eastAsia"/>
          <w:iCs/>
          <w:color w:val="000000"/>
          <w:kern w:val="18"/>
          <w:lang w:val="en-CA" w:eastAsia="zh-CN"/>
        </w:rPr>
        <w:t>秘书处员额配置</w:t>
      </w:r>
      <w:r>
        <w:rPr>
          <w:rFonts w:ascii="SimSun" w:hAnsi="SimSun"/>
          <w:iCs/>
          <w:color w:val="000000"/>
          <w:kern w:val="18"/>
          <w:lang w:val="en-CA" w:eastAsia="zh-CN"/>
        </w:rPr>
        <w:t>安排应确保</w:t>
      </w:r>
      <w:r>
        <w:rPr>
          <w:rFonts w:ascii="SimSun" w:hAnsi="SimSun" w:hint="eastAsia"/>
          <w:iCs/>
          <w:color w:val="000000"/>
          <w:kern w:val="18"/>
          <w:lang w:val="en-CA" w:eastAsia="zh-CN"/>
        </w:rPr>
        <w:t>《</w:t>
      </w:r>
      <w:r>
        <w:rPr>
          <w:rFonts w:ascii="SimSun" w:hAnsi="SimSun"/>
          <w:iCs/>
          <w:color w:val="000000"/>
          <w:kern w:val="18"/>
          <w:lang w:val="en-CA" w:eastAsia="zh-CN"/>
        </w:rPr>
        <w:t>公约</w:t>
      </w:r>
      <w:r>
        <w:rPr>
          <w:rFonts w:ascii="SimSun" w:hAnsi="SimSun" w:hint="eastAsia"/>
          <w:iCs/>
          <w:color w:val="000000"/>
          <w:kern w:val="18"/>
          <w:lang w:val="en-CA" w:eastAsia="zh-CN"/>
        </w:rPr>
        <w:t>》</w:t>
      </w:r>
      <w:r>
        <w:rPr>
          <w:rFonts w:ascii="SimSun" w:hAnsi="SimSun"/>
          <w:iCs/>
          <w:color w:val="000000"/>
          <w:kern w:val="18"/>
          <w:lang w:val="en-CA" w:eastAsia="zh-CN"/>
        </w:rPr>
        <w:t>及其《议定书</w:t>
      </w:r>
      <w:r>
        <w:rPr>
          <w:rFonts w:ascii="SimSun" w:hAnsi="SimSun" w:hint="eastAsia"/>
          <w:iCs/>
          <w:color w:val="000000"/>
          <w:kern w:val="18"/>
          <w:lang w:val="en-CA" w:eastAsia="zh-CN"/>
        </w:rPr>
        <w:t>》</w:t>
      </w:r>
      <w:r>
        <w:rPr>
          <w:rFonts w:ascii="SimSun" w:hAnsi="SimSun"/>
          <w:iCs/>
          <w:color w:val="000000"/>
          <w:kern w:val="18"/>
          <w:lang w:val="en-CA" w:eastAsia="zh-CN"/>
        </w:rPr>
        <w:t>规定的法律义务得到履行；</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t>注意到</w:t>
      </w:r>
      <w:r w:rsidRPr="00B51985">
        <w:rPr>
          <w:rFonts w:hAnsiTheme="minorEastAsia" w:hint="eastAsia"/>
          <w:iCs/>
          <w:color w:val="000000"/>
          <w:kern w:val="18"/>
          <w:lang w:val="en-CA" w:eastAsia="zh-CN"/>
        </w:rPr>
        <w:t>执行秘书</w:t>
      </w:r>
      <w:r w:rsidRPr="00B51985">
        <w:rPr>
          <w:rFonts w:hAnsiTheme="minorEastAsia"/>
          <w:iCs/>
          <w:color w:val="000000"/>
          <w:kern w:val="18"/>
          <w:lang w:val="en-CA" w:eastAsia="zh-CN"/>
        </w:rPr>
        <w:t>说明</w:t>
      </w:r>
      <w:r w:rsidRPr="00B51985">
        <w:rPr>
          <w:rStyle w:val="FootnoteReference"/>
          <w:rFonts w:eastAsia="Malgun Gothic"/>
          <w:iCs/>
          <w:color w:val="000000" w:themeColor="text1"/>
          <w:kern w:val="20"/>
          <w:szCs w:val="22"/>
          <w:vertAlign w:val="superscript"/>
          <w:lang w:val="en-GB" w:eastAsia="ko-KR"/>
        </w:rPr>
        <w:footnoteReference w:id="327"/>
      </w:r>
      <w:r w:rsidRPr="00B51985">
        <w:rPr>
          <w:rFonts w:hAnsiTheme="minorEastAsia" w:hint="eastAsia"/>
          <w:iCs/>
          <w:color w:val="000000"/>
          <w:kern w:val="18"/>
          <w:sz w:val="36"/>
          <w:vertAlign w:val="superscript"/>
          <w:lang w:val="en-CA" w:eastAsia="zh-CN"/>
        </w:rPr>
        <w:t xml:space="preserve"> </w:t>
      </w:r>
      <w:r w:rsidRPr="00C91E39">
        <w:rPr>
          <w:rFonts w:hAnsiTheme="minorEastAsia" w:hint="eastAsia"/>
          <w:iCs/>
          <w:color w:val="000000"/>
          <w:kern w:val="18"/>
          <w:lang w:val="en-CA" w:eastAsia="zh-CN"/>
        </w:rPr>
        <w:t>附件七</w:t>
      </w:r>
      <w:r w:rsidRPr="00421205">
        <w:rPr>
          <w:rFonts w:hAnsiTheme="minorEastAsia"/>
          <w:iCs/>
          <w:color w:val="000000"/>
          <w:kern w:val="18"/>
          <w:lang w:val="en-CA" w:eastAsia="zh-CN"/>
        </w:rPr>
        <w:t>中提出的新的组织结构和员额分配，并</w:t>
      </w:r>
      <w:r w:rsidRPr="00421205">
        <w:rPr>
          <w:rFonts w:ascii="KaiTi" w:eastAsia="KaiTi" w:hAnsi="KaiTi"/>
          <w:iCs/>
          <w:color w:val="000000"/>
          <w:kern w:val="18"/>
          <w:lang w:val="en-CA" w:eastAsia="zh-CN"/>
        </w:rPr>
        <w:t>请</w:t>
      </w:r>
      <w:r w:rsidRPr="00421205">
        <w:rPr>
          <w:rFonts w:hAnsiTheme="minorEastAsia"/>
          <w:iCs/>
          <w:color w:val="000000"/>
          <w:kern w:val="18"/>
          <w:lang w:val="en-CA" w:eastAsia="zh-CN"/>
        </w:rPr>
        <w:t>执行秘书</w:t>
      </w:r>
      <w:r>
        <w:rPr>
          <w:rFonts w:hAnsiTheme="minorEastAsia" w:hint="eastAsia"/>
          <w:iCs/>
          <w:color w:val="000000"/>
          <w:kern w:val="18"/>
          <w:lang w:val="en-CA" w:eastAsia="zh-CN"/>
        </w:rPr>
        <w:t>对</w:t>
      </w:r>
      <w:r w:rsidRPr="00421205">
        <w:rPr>
          <w:rFonts w:hAnsiTheme="minorEastAsia"/>
          <w:iCs/>
          <w:color w:val="000000"/>
          <w:kern w:val="18"/>
          <w:lang w:val="en-CA" w:eastAsia="zh-CN"/>
        </w:rPr>
        <w:t>结构和人员配置</w:t>
      </w:r>
      <w:r>
        <w:rPr>
          <w:rFonts w:hAnsiTheme="minorEastAsia" w:hint="eastAsia"/>
          <w:iCs/>
          <w:color w:val="000000"/>
          <w:kern w:val="18"/>
          <w:lang w:val="en-CA" w:eastAsia="zh-CN"/>
        </w:rPr>
        <w:t>进行</w:t>
      </w:r>
      <w:r>
        <w:rPr>
          <w:rFonts w:hAnsiTheme="minorEastAsia"/>
          <w:iCs/>
          <w:color w:val="000000"/>
          <w:kern w:val="18"/>
          <w:lang w:val="en-CA" w:eastAsia="zh-CN"/>
        </w:rPr>
        <w:t>分析</w:t>
      </w:r>
      <w:r w:rsidRPr="00421205">
        <w:rPr>
          <w:rFonts w:hAnsiTheme="minorEastAsia"/>
          <w:iCs/>
          <w:color w:val="000000"/>
          <w:kern w:val="18"/>
          <w:lang w:val="en-CA" w:eastAsia="zh-CN"/>
        </w:rPr>
        <w:t>，以确保简化报告安排、实现最佳功能和有效执行</w:t>
      </w:r>
      <w:r w:rsidRPr="00421205">
        <w:rPr>
          <w:iCs/>
          <w:color w:val="000000"/>
          <w:kern w:val="18"/>
          <w:lang w:val="en-CA" w:eastAsia="zh-CN"/>
        </w:rPr>
        <w:t>2019-2020</w:t>
      </w:r>
      <w:r>
        <w:rPr>
          <w:rFonts w:hAnsiTheme="minorEastAsia"/>
          <w:iCs/>
          <w:color w:val="000000"/>
          <w:kern w:val="18"/>
          <w:lang w:val="en-CA" w:eastAsia="zh-CN"/>
        </w:rPr>
        <w:t>年两年期</w:t>
      </w:r>
      <w:r w:rsidRPr="00421205">
        <w:rPr>
          <w:rFonts w:hAnsiTheme="minorEastAsia"/>
          <w:iCs/>
          <w:color w:val="000000"/>
          <w:kern w:val="18"/>
          <w:lang w:val="en-CA" w:eastAsia="zh-CN"/>
        </w:rPr>
        <w:t>核定工作方案，</w:t>
      </w:r>
      <w:r>
        <w:rPr>
          <w:rFonts w:hAnsiTheme="minorEastAsia" w:hint="eastAsia"/>
          <w:iCs/>
          <w:color w:val="000000"/>
          <w:kern w:val="18"/>
          <w:lang w:val="en-CA" w:eastAsia="zh-CN"/>
        </w:rPr>
        <w:t>同时</w:t>
      </w:r>
      <w:r w:rsidRPr="00421205">
        <w:rPr>
          <w:rFonts w:hAnsiTheme="minorEastAsia"/>
          <w:iCs/>
          <w:color w:val="000000"/>
          <w:kern w:val="18"/>
          <w:lang w:val="en-CA" w:eastAsia="zh-CN"/>
        </w:rPr>
        <w:t>考虑到</w:t>
      </w:r>
      <w:r w:rsidRPr="00421205">
        <w:rPr>
          <w:iCs/>
          <w:color w:val="000000"/>
          <w:kern w:val="18"/>
          <w:lang w:val="en-CA" w:eastAsia="zh-CN"/>
        </w:rPr>
        <w:t>2020</w:t>
      </w:r>
      <w:r w:rsidRPr="00421205">
        <w:rPr>
          <w:rFonts w:hAnsiTheme="minorEastAsia"/>
          <w:iCs/>
          <w:color w:val="000000"/>
          <w:kern w:val="18"/>
          <w:lang w:val="en-CA" w:eastAsia="zh-CN"/>
        </w:rPr>
        <w:t>年后《公约》</w:t>
      </w:r>
      <w:r>
        <w:rPr>
          <w:rFonts w:hAnsiTheme="minorEastAsia" w:hint="eastAsia"/>
          <w:iCs/>
          <w:color w:val="000000"/>
          <w:kern w:val="18"/>
          <w:lang w:val="en-CA" w:eastAsia="zh-CN"/>
        </w:rPr>
        <w:t>的预期</w:t>
      </w:r>
      <w:r w:rsidRPr="00421205">
        <w:rPr>
          <w:rFonts w:hAnsiTheme="minorEastAsia"/>
          <w:iCs/>
          <w:color w:val="000000"/>
          <w:kern w:val="18"/>
          <w:lang w:val="en-CA" w:eastAsia="zh-CN"/>
        </w:rPr>
        <w:t>活动</w:t>
      </w:r>
      <w:r>
        <w:rPr>
          <w:rFonts w:hAnsiTheme="minorEastAsia" w:hint="eastAsia"/>
          <w:iCs/>
          <w:color w:val="000000"/>
          <w:kern w:val="18"/>
          <w:lang w:val="en-CA" w:eastAsia="zh-CN"/>
        </w:rPr>
        <w:t>的</w:t>
      </w:r>
      <w:r w:rsidRPr="00421205">
        <w:rPr>
          <w:rFonts w:hAnsiTheme="minorEastAsia"/>
          <w:iCs/>
          <w:color w:val="000000"/>
          <w:kern w:val="18"/>
          <w:lang w:val="en-CA" w:eastAsia="zh-CN"/>
        </w:rPr>
        <w:t>方向，</w:t>
      </w:r>
      <w:r>
        <w:rPr>
          <w:rFonts w:hAnsiTheme="minorEastAsia" w:hint="eastAsia"/>
          <w:iCs/>
          <w:color w:val="000000"/>
          <w:kern w:val="18"/>
          <w:lang w:val="en-CA" w:eastAsia="zh-CN"/>
        </w:rPr>
        <w:t>并</w:t>
      </w:r>
      <w:r w:rsidRPr="00421205">
        <w:rPr>
          <w:rFonts w:hAnsiTheme="minorEastAsia"/>
          <w:iCs/>
          <w:color w:val="000000"/>
          <w:kern w:val="18"/>
          <w:lang w:val="en-CA" w:eastAsia="zh-CN"/>
        </w:rPr>
        <w:t>向缔约方大会第十五届会议报告</w:t>
      </w:r>
      <w:r>
        <w:rPr>
          <w:rFonts w:hAnsiTheme="minorEastAsia" w:hint="eastAsia"/>
          <w:iCs/>
          <w:color w:val="000000"/>
          <w:kern w:val="18"/>
          <w:lang w:val="en-CA" w:eastAsia="zh-CN"/>
        </w:rPr>
        <w:t>分析</w:t>
      </w:r>
      <w:r>
        <w:rPr>
          <w:rFonts w:hAnsiTheme="minorEastAsia"/>
          <w:iCs/>
          <w:color w:val="000000"/>
          <w:kern w:val="18"/>
          <w:lang w:val="en-CA" w:eastAsia="zh-CN"/>
        </w:rPr>
        <w:t>的</w:t>
      </w:r>
      <w:r w:rsidRPr="00421205">
        <w:rPr>
          <w:rFonts w:hAnsiTheme="minorEastAsia"/>
          <w:iCs/>
          <w:color w:val="000000"/>
          <w:kern w:val="18"/>
          <w:lang w:val="en-CA" w:eastAsia="zh-CN"/>
        </w:rPr>
        <w:t>结果；</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t>回顾</w:t>
      </w:r>
      <w:r w:rsidRPr="00421205">
        <w:rPr>
          <w:rFonts w:hAnsiTheme="minorEastAsia"/>
          <w:iCs/>
          <w:color w:val="000000"/>
          <w:kern w:val="18"/>
          <w:lang w:val="en-CA" w:eastAsia="zh-CN"/>
        </w:rPr>
        <w:t>第</w:t>
      </w:r>
      <w:r w:rsidRPr="00421205">
        <w:rPr>
          <w:iCs/>
          <w:color w:val="000000"/>
          <w:kern w:val="18"/>
          <w:lang w:val="en-CA" w:eastAsia="zh-CN"/>
        </w:rPr>
        <w:t>XIII/32</w:t>
      </w:r>
      <w:r w:rsidRPr="00421205">
        <w:rPr>
          <w:rFonts w:hAnsiTheme="minorEastAsia"/>
          <w:iCs/>
          <w:color w:val="000000"/>
          <w:kern w:val="18"/>
          <w:lang w:val="en-CA" w:eastAsia="zh-CN"/>
        </w:rPr>
        <w:t>号决定第</w:t>
      </w:r>
      <w:r w:rsidRPr="00421205">
        <w:rPr>
          <w:iCs/>
          <w:color w:val="000000"/>
          <w:kern w:val="18"/>
          <w:lang w:val="en-CA" w:eastAsia="zh-CN"/>
        </w:rPr>
        <w:t>9</w:t>
      </w:r>
      <w:r w:rsidRPr="00421205">
        <w:rPr>
          <w:rFonts w:hAnsiTheme="minorEastAsia"/>
          <w:iCs/>
          <w:color w:val="000000"/>
          <w:kern w:val="18"/>
          <w:lang w:val="en-CA" w:eastAsia="zh-CN"/>
        </w:rPr>
        <w:t>段，并</w:t>
      </w:r>
      <w:r w:rsidRPr="00421205">
        <w:rPr>
          <w:rFonts w:ascii="KaiTi" w:eastAsia="KaiTi" w:hAnsi="KaiTi"/>
          <w:iCs/>
          <w:color w:val="000000"/>
          <w:kern w:val="18"/>
          <w:lang w:val="en-CA" w:eastAsia="zh-CN"/>
        </w:rPr>
        <w:t>关切地注意到</w:t>
      </w:r>
      <w:r w:rsidRPr="00421205">
        <w:rPr>
          <w:rFonts w:hAnsiTheme="minorEastAsia"/>
          <w:iCs/>
          <w:color w:val="000000"/>
          <w:kern w:val="18"/>
          <w:lang w:val="en-CA" w:eastAsia="zh-CN"/>
        </w:rPr>
        <w:t>执行秘书在</w:t>
      </w:r>
      <w:r w:rsidRPr="00421205">
        <w:rPr>
          <w:iCs/>
          <w:color w:val="000000"/>
          <w:kern w:val="18"/>
          <w:lang w:val="en-CA" w:eastAsia="zh-CN"/>
        </w:rPr>
        <w:t>2017-2018</w:t>
      </w:r>
      <w:r>
        <w:rPr>
          <w:rFonts w:hAnsiTheme="minorEastAsia"/>
          <w:iCs/>
          <w:color w:val="000000"/>
          <w:kern w:val="18"/>
          <w:lang w:val="en-CA" w:eastAsia="zh-CN"/>
        </w:rPr>
        <w:t>年两年期</w:t>
      </w:r>
      <w:r w:rsidRPr="00421205">
        <w:rPr>
          <w:rFonts w:hAnsiTheme="minorEastAsia"/>
          <w:iCs/>
          <w:color w:val="000000"/>
          <w:kern w:val="18"/>
          <w:lang w:val="en-CA" w:eastAsia="zh-CN"/>
        </w:rPr>
        <w:t>对秘书处人员配置结构的调整导致</w:t>
      </w:r>
      <w:r w:rsidRPr="00421205">
        <w:rPr>
          <w:iCs/>
          <w:color w:val="000000"/>
          <w:kern w:val="18"/>
          <w:lang w:val="en-CA" w:eastAsia="zh-CN"/>
        </w:rPr>
        <w:t>2019-2020</w:t>
      </w:r>
      <w:r>
        <w:rPr>
          <w:rFonts w:hAnsiTheme="minorEastAsia"/>
          <w:iCs/>
          <w:color w:val="000000"/>
          <w:kern w:val="18"/>
          <w:lang w:val="en-CA" w:eastAsia="zh-CN"/>
        </w:rPr>
        <w:t>年两年期</w:t>
      </w:r>
      <w:r w:rsidRPr="00421205">
        <w:rPr>
          <w:rFonts w:hAnsiTheme="minorEastAsia"/>
          <w:iCs/>
          <w:color w:val="000000"/>
          <w:kern w:val="18"/>
          <w:lang w:val="en-CA" w:eastAsia="zh-CN"/>
        </w:rPr>
        <w:t>综合预算人事费用增加；</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t>授权</w:t>
      </w:r>
      <w:r w:rsidRPr="00421205">
        <w:rPr>
          <w:rFonts w:hAnsiTheme="minorEastAsia"/>
          <w:iCs/>
          <w:color w:val="000000"/>
          <w:kern w:val="18"/>
          <w:lang w:val="en-CA" w:eastAsia="zh-CN"/>
        </w:rPr>
        <w:t>执行秘书在联合国的条例和细则内，并在不影响缔约方大会第十五届会议任何决定的情况下，调整秘书处目前结构的职务说明和分配，但《公约》及其《议定书》秘书处的总体费用应继续保持在人员配置表的限度内，今后数个两年期内综合预算的工作人员费用不会因此而增加，并向《公约》及其《议定书》缔约方的今后会议报告所做的调整；</w:t>
      </w:r>
    </w:p>
    <w:p w:rsidR="00B72FA3"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t>授权</w:t>
      </w:r>
      <w:r w:rsidRPr="00421205">
        <w:rPr>
          <w:rFonts w:hAnsiTheme="minorEastAsia"/>
          <w:iCs/>
          <w:color w:val="000000"/>
          <w:kern w:val="18"/>
          <w:lang w:val="en-CA" w:eastAsia="zh-CN"/>
        </w:rPr>
        <w:t>执行秘书</w:t>
      </w:r>
      <w:r>
        <w:rPr>
          <w:rFonts w:hAnsiTheme="minorEastAsia" w:hint="eastAsia"/>
          <w:iCs/>
          <w:color w:val="000000"/>
          <w:kern w:val="18"/>
          <w:lang w:val="en-CA" w:eastAsia="zh-CN"/>
        </w:rPr>
        <w:t>依照</w:t>
      </w:r>
      <w:r w:rsidR="00780033">
        <w:rPr>
          <w:rFonts w:hAnsiTheme="minorEastAsia"/>
          <w:iCs/>
          <w:color w:val="000000"/>
          <w:kern w:val="18"/>
          <w:lang w:val="en-CA" w:eastAsia="zh-CN"/>
        </w:rPr>
        <w:t>联合国环境署</w:t>
      </w:r>
      <w:r>
        <w:rPr>
          <w:rFonts w:hAnsiTheme="minorEastAsia"/>
          <w:iCs/>
          <w:color w:val="000000"/>
          <w:kern w:val="18"/>
          <w:lang w:val="en-CA" w:eastAsia="zh-CN"/>
        </w:rPr>
        <w:t>《</w:t>
      </w:r>
      <w:r>
        <w:rPr>
          <w:rFonts w:hAnsiTheme="minorEastAsia" w:hint="eastAsia"/>
          <w:iCs/>
          <w:color w:val="000000"/>
          <w:kern w:val="18"/>
          <w:lang w:val="en-CA" w:eastAsia="zh-CN"/>
        </w:rPr>
        <w:t>财务条例</w:t>
      </w:r>
      <w:r>
        <w:rPr>
          <w:rFonts w:hAnsiTheme="minorEastAsia"/>
          <w:iCs/>
          <w:color w:val="000000"/>
          <w:kern w:val="18"/>
          <w:lang w:val="en-CA" w:eastAsia="zh-CN"/>
        </w:rPr>
        <w:t>和细则》</w:t>
      </w:r>
      <w:r>
        <w:rPr>
          <w:rFonts w:hAnsiTheme="minorEastAsia" w:hint="eastAsia"/>
          <w:iCs/>
          <w:color w:val="000000"/>
          <w:kern w:val="18"/>
          <w:lang w:val="en-CA" w:eastAsia="zh-CN"/>
        </w:rPr>
        <w:t>和</w:t>
      </w:r>
      <w:r>
        <w:rPr>
          <w:rFonts w:hAnsiTheme="minorEastAsia"/>
          <w:iCs/>
          <w:color w:val="000000"/>
          <w:kern w:val="18"/>
          <w:lang w:val="en-CA" w:eastAsia="zh-CN"/>
        </w:rPr>
        <w:t>动用现有的现金</w:t>
      </w:r>
      <w:r w:rsidRPr="00421205">
        <w:rPr>
          <w:rFonts w:hAnsiTheme="minorEastAsia"/>
          <w:iCs/>
          <w:color w:val="000000"/>
          <w:kern w:val="18"/>
          <w:lang w:val="en-CA" w:eastAsia="zh-CN"/>
        </w:rPr>
        <w:t>资源，包括未支用</w:t>
      </w:r>
      <w:r>
        <w:rPr>
          <w:rFonts w:hAnsiTheme="minorEastAsia" w:hint="eastAsia"/>
          <w:iCs/>
          <w:color w:val="000000"/>
          <w:kern w:val="18"/>
          <w:lang w:val="en-CA" w:eastAsia="zh-CN"/>
        </w:rPr>
        <w:t>余额</w:t>
      </w:r>
      <w:r w:rsidRPr="00421205">
        <w:rPr>
          <w:rFonts w:hAnsiTheme="minorEastAsia"/>
          <w:iCs/>
          <w:color w:val="000000"/>
          <w:kern w:val="18"/>
          <w:lang w:val="en-CA" w:eastAsia="zh-CN"/>
        </w:rPr>
        <w:t>、上一财政期的摊款情况和杂项收入，以核定预算水平为限，安排承付项目；</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t>又授权</w:t>
      </w:r>
      <w:r w:rsidRPr="00421205">
        <w:rPr>
          <w:rFonts w:hAnsiTheme="minorEastAsia"/>
          <w:iCs/>
          <w:color w:val="000000"/>
          <w:kern w:val="18"/>
          <w:lang w:val="en-CA" w:eastAsia="zh-CN"/>
        </w:rPr>
        <w:t>执行秘书在下表</w:t>
      </w:r>
      <w:r w:rsidRPr="00421205">
        <w:rPr>
          <w:iCs/>
          <w:color w:val="000000"/>
          <w:kern w:val="18"/>
          <w:lang w:val="en-CA" w:eastAsia="zh-CN"/>
        </w:rPr>
        <w:t>1a</w:t>
      </w:r>
      <w:r w:rsidRPr="00421205">
        <w:rPr>
          <w:rFonts w:hAnsiTheme="minorEastAsia"/>
          <w:iCs/>
          <w:color w:val="000000"/>
          <w:kern w:val="18"/>
          <w:lang w:val="en-CA" w:eastAsia="zh-CN"/>
        </w:rPr>
        <w:t>所列主要拨款项目每一款之间调拨各方案之间的资源，最多占总方案预算的</w:t>
      </w:r>
      <w:r w:rsidRPr="00421205">
        <w:rPr>
          <w:iCs/>
          <w:color w:val="000000"/>
          <w:kern w:val="18"/>
          <w:lang w:val="en-CA" w:eastAsia="zh-CN"/>
        </w:rPr>
        <w:t>15%</w:t>
      </w:r>
      <w:r w:rsidRPr="00421205">
        <w:rPr>
          <w:rFonts w:hAnsiTheme="minorEastAsia"/>
          <w:iCs/>
          <w:color w:val="000000"/>
          <w:kern w:val="18"/>
          <w:lang w:val="en-CA" w:eastAsia="zh-CN"/>
        </w:rPr>
        <w:t>，而且每一拨款项目单项以不超过</w:t>
      </w:r>
      <w:r w:rsidRPr="00421205">
        <w:rPr>
          <w:iCs/>
          <w:color w:val="000000"/>
          <w:kern w:val="18"/>
          <w:lang w:val="en-CA" w:eastAsia="zh-CN"/>
        </w:rPr>
        <w:t>25%</w:t>
      </w:r>
      <w:r w:rsidRPr="00421205">
        <w:rPr>
          <w:rFonts w:hAnsiTheme="minorEastAsia"/>
          <w:iCs/>
          <w:color w:val="000000"/>
          <w:kern w:val="18"/>
          <w:lang w:val="en-CA" w:eastAsia="zh-CN"/>
        </w:rPr>
        <w:t>为限；</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t>敦促</w:t>
      </w:r>
      <w:r w:rsidRPr="00421205">
        <w:rPr>
          <w:rFonts w:hAnsiTheme="minorEastAsia"/>
          <w:iCs/>
          <w:color w:val="000000"/>
          <w:kern w:val="18"/>
          <w:lang w:val="en-CA" w:eastAsia="zh-CN"/>
        </w:rPr>
        <w:t>执行秘书进一步减少秘书处业务对环境的影响，使资源使用和差旅合理化，例如更广泛地使用视频会议设施，并优先安排与执行核定工作方案直接相关的公务差旅；</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t>注意到</w:t>
      </w:r>
      <w:r>
        <w:rPr>
          <w:rFonts w:hAnsiTheme="minorEastAsia"/>
          <w:iCs/>
          <w:color w:val="000000"/>
          <w:kern w:val="18"/>
          <w:lang w:val="en-CA" w:eastAsia="zh-CN"/>
        </w:rPr>
        <w:t>有限的财务披露妨碍本组织保持透明和问责的能力，也妨碍</w:t>
      </w:r>
      <w:r w:rsidRPr="00421205">
        <w:rPr>
          <w:rFonts w:hAnsiTheme="minorEastAsia"/>
          <w:iCs/>
          <w:color w:val="000000"/>
          <w:kern w:val="18"/>
          <w:lang w:val="en-CA" w:eastAsia="zh-CN"/>
        </w:rPr>
        <w:t>本组织从更广泛的</w:t>
      </w:r>
      <w:r>
        <w:rPr>
          <w:rFonts w:hAnsiTheme="minorEastAsia"/>
          <w:iCs/>
          <w:color w:val="000000"/>
          <w:kern w:val="18"/>
          <w:lang w:val="en-CA" w:eastAsia="zh-CN"/>
        </w:rPr>
        <w:t>捐助方</w:t>
      </w:r>
      <w:r w:rsidRPr="00421205">
        <w:rPr>
          <w:rFonts w:hAnsiTheme="minorEastAsia"/>
          <w:iCs/>
          <w:color w:val="000000"/>
          <w:kern w:val="18"/>
          <w:lang w:val="en-CA" w:eastAsia="zh-CN"/>
        </w:rPr>
        <w:t>筹集资金的能力；</w:t>
      </w:r>
    </w:p>
    <w:p w:rsidR="00B72FA3" w:rsidRPr="00421205" w:rsidRDefault="00B72FA3" w:rsidP="00313192">
      <w:pPr>
        <w:pStyle w:val="ListParagraph"/>
        <w:widowControl w:val="0"/>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t>请</w:t>
      </w:r>
      <w:r w:rsidRPr="00421205">
        <w:rPr>
          <w:rFonts w:hAnsiTheme="minorEastAsia"/>
          <w:iCs/>
          <w:color w:val="000000"/>
          <w:kern w:val="18"/>
          <w:lang w:val="en-CA" w:eastAsia="zh-CN"/>
        </w:rPr>
        <w:t>执行秘书与</w:t>
      </w:r>
      <w:r w:rsidR="00780033">
        <w:rPr>
          <w:rFonts w:hAnsiTheme="minorEastAsia"/>
          <w:iCs/>
          <w:color w:val="000000"/>
          <w:kern w:val="18"/>
          <w:lang w:val="en-CA" w:eastAsia="zh-CN"/>
        </w:rPr>
        <w:t>联合国环境署</w:t>
      </w:r>
      <w:r w:rsidRPr="00421205">
        <w:rPr>
          <w:rFonts w:hAnsiTheme="minorEastAsia"/>
          <w:iCs/>
          <w:color w:val="000000"/>
          <w:kern w:val="18"/>
          <w:lang w:val="en-CA" w:eastAsia="zh-CN"/>
        </w:rPr>
        <w:t>合作，设法提供更多财务信息，以便在《生物多样性公约》信托基金经核证的财务报表所载现有财务信息之外加强披露，为缔约方和其他潜在</w:t>
      </w:r>
      <w:r>
        <w:rPr>
          <w:rFonts w:hAnsiTheme="minorEastAsia"/>
          <w:iCs/>
          <w:color w:val="000000"/>
          <w:kern w:val="18"/>
          <w:lang w:val="en-CA" w:eastAsia="zh-CN"/>
        </w:rPr>
        <w:lastRenderedPageBreak/>
        <w:t>捐助方</w:t>
      </w:r>
      <w:r w:rsidRPr="00421205">
        <w:rPr>
          <w:rFonts w:hAnsiTheme="minorEastAsia"/>
          <w:iCs/>
          <w:color w:val="000000"/>
          <w:kern w:val="18"/>
          <w:lang w:val="en-CA" w:eastAsia="zh-CN"/>
        </w:rPr>
        <w:t>的尽职调查和出资决定提供便利；</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ascii="KaiTi" w:eastAsia="KaiTi" w:hAnsi="KaiTi"/>
          <w:iCs/>
          <w:color w:val="000000"/>
          <w:kern w:val="18"/>
          <w:lang w:val="en-CA" w:eastAsia="zh-CN"/>
        </w:rPr>
        <w:t>请</w:t>
      </w:r>
      <w:r w:rsidRPr="00421205">
        <w:rPr>
          <w:rFonts w:hAnsiTheme="minorEastAsia"/>
          <w:iCs/>
          <w:color w:val="000000"/>
          <w:kern w:val="18"/>
          <w:lang w:val="en-CA" w:eastAsia="zh-CN"/>
        </w:rPr>
        <w:t>执行秘书在《公约》网站上设立</w:t>
      </w:r>
      <w:r>
        <w:rPr>
          <w:rFonts w:hAnsiTheme="minorEastAsia" w:hint="eastAsia"/>
          <w:iCs/>
          <w:color w:val="000000"/>
          <w:kern w:val="18"/>
          <w:lang w:val="en-CA" w:eastAsia="zh-CN"/>
        </w:rPr>
        <w:t>一</w:t>
      </w:r>
      <w:r w:rsidRPr="00421205">
        <w:rPr>
          <w:rFonts w:hAnsiTheme="minorEastAsia"/>
          <w:iCs/>
          <w:color w:val="000000"/>
          <w:kern w:val="18"/>
          <w:lang w:val="en-CA" w:eastAsia="zh-CN"/>
        </w:rPr>
        <w:t>栏目，</w:t>
      </w:r>
      <w:r>
        <w:rPr>
          <w:rFonts w:hAnsiTheme="minorEastAsia" w:hint="eastAsia"/>
          <w:iCs/>
          <w:color w:val="000000"/>
          <w:kern w:val="18"/>
          <w:lang w:val="en-CA" w:eastAsia="zh-CN"/>
        </w:rPr>
        <w:t>为了</w:t>
      </w:r>
      <w:r w:rsidRPr="00421205">
        <w:rPr>
          <w:rFonts w:hAnsiTheme="minorEastAsia"/>
          <w:iCs/>
          <w:color w:val="000000"/>
          <w:kern w:val="18"/>
          <w:lang w:val="en-CA" w:eastAsia="zh-CN"/>
        </w:rPr>
        <w:t>进一步加强</w:t>
      </w:r>
      <w:r>
        <w:rPr>
          <w:rFonts w:hAnsiTheme="minorEastAsia" w:hint="eastAsia"/>
          <w:iCs/>
          <w:color w:val="000000"/>
          <w:kern w:val="18"/>
          <w:lang w:val="en-CA" w:eastAsia="zh-CN"/>
        </w:rPr>
        <w:t>努力</w:t>
      </w:r>
      <w:r w:rsidRPr="00421205">
        <w:rPr>
          <w:rFonts w:hAnsiTheme="minorEastAsia"/>
          <w:iCs/>
          <w:color w:val="000000"/>
          <w:kern w:val="18"/>
          <w:lang w:val="en-CA" w:eastAsia="zh-CN"/>
        </w:rPr>
        <w:t>促进透明度和问责制</w:t>
      </w:r>
      <w:r>
        <w:rPr>
          <w:rFonts w:hAnsiTheme="minorEastAsia" w:hint="eastAsia"/>
          <w:iCs/>
          <w:color w:val="000000"/>
          <w:kern w:val="18"/>
          <w:lang w:val="en-CA" w:eastAsia="zh-CN"/>
        </w:rPr>
        <w:t>，</w:t>
      </w:r>
      <w:r w:rsidRPr="00421205">
        <w:rPr>
          <w:rFonts w:hAnsiTheme="minorEastAsia"/>
          <w:iCs/>
          <w:color w:val="000000"/>
          <w:kern w:val="18"/>
          <w:lang w:val="en-CA" w:eastAsia="zh-CN"/>
        </w:rPr>
        <w:t>公布或提供与《公约》治理有关的最新信息链接，除其他外，包括已完成和已接受的审计报告、适用的财务细则和条例以及任何其他相关的预算和财务信息；</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Pr>
          <w:rFonts w:ascii="KaiTi" w:eastAsia="KaiTi" w:hAnsi="KaiTi" w:hint="eastAsia"/>
          <w:iCs/>
          <w:color w:val="000000"/>
          <w:kern w:val="18"/>
          <w:lang w:val="en-GB" w:eastAsia="zh-CN"/>
        </w:rPr>
        <w:t>又</w:t>
      </w:r>
      <w:r w:rsidRPr="00421205">
        <w:rPr>
          <w:rFonts w:ascii="KaiTi" w:eastAsia="KaiTi" w:hAnsi="KaiTi"/>
          <w:iCs/>
          <w:color w:val="000000"/>
          <w:kern w:val="18"/>
          <w:lang w:val="en-CA" w:eastAsia="zh-CN"/>
        </w:rPr>
        <w:t>请</w:t>
      </w:r>
      <w:r w:rsidRPr="00421205">
        <w:rPr>
          <w:rFonts w:hAnsiTheme="minorEastAsia"/>
          <w:iCs/>
          <w:color w:val="000000"/>
          <w:kern w:val="18"/>
          <w:lang w:val="en-CA" w:eastAsia="zh-CN"/>
        </w:rPr>
        <w:t>执行秘书根据《财务细则》第</w:t>
      </w:r>
      <w:r w:rsidRPr="00421205">
        <w:rPr>
          <w:iCs/>
          <w:color w:val="000000"/>
          <w:kern w:val="18"/>
          <w:lang w:val="en-CA" w:eastAsia="zh-CN"/>
        </w:rPr>
        <w:t>14</w:t>
      </w:r>
      <w:r w:rsidRPr="00421205">
        <w:rPr>
          <w:rFonts w:hAnsiTheme="minorEastAsia"/>
          <w:iCs/>
          <w:color w:val="000000"/>
          <w:kern w:val="18"/>
          <w:lang w:val="en-CA" w:eastAsia="zh-CN"/>
        </w:rPr>
        <w:t>条，由内部监督事务厅定期进行审计，要求联合国审计委员会提交关于</w:t>
      </w:r>
      <w:r w:rsidR="00780033">
        <w:rPr>
          <w:rFonts w:hAnsiTheme="minorEastAsia"/>
          <w:iCs/>
          <w:color w:val="000000"/>
          <w:kern w:val="18"/>
          <w:lang w:val="en-CA" w:eastAsia="zh-CN"/>
        </w:rPr>
        <w:t>联合国环境署</w:t>
      </w:r>
      <w:r w:rsidRPr="00421205">
        <w:rPr>
          <w:rFonts w:hAnsiTheme="minorEastAsia"/>
          <w:iCs/>
          <w:color w:val="000000"/>
          <w:kern w:val="18"/>
          <w:lang w:val="en-CA" w:eastAsia="zh-CN"/>
        </w:rPr>
        <w:t>的报告，并将这些报告连同管理层的回复作为缔约方大会下一</w:t>
      </w:r>
      <w:r>
        <w:rPr>
          <w:rFonts w:hAnsiTheme="minorEastAsia" w:hint="eastAsia"/>
          <w:iCs/>
          <w:color w:val="000000"/>
          <w:kern w:val="18"/>
          <w:lang w:val="en-CA" w:eastAsia="zh-CN"/>
        </w:rPr>
        <w:t>届会议</w:t>
      </w:r>
      <w:r w:rsidRPr="00421205">
        <w:rPr>
          <w:rFonts w:hAnsiTheme="minorEastAsia"/>
          <w:iCs/>
          <w:color w:val="000000"/>
          <w:kern w:val="18"/>
          <w:lang w:val="en-CA" w:eastAsia="zh-CN"/>
        </w:rPr>
        <w:t>文件的一部分一并提交；</w:t>
      </w:r>
    </w:p>
    <w:p w:rsidR="00B72FA3" w:rsidRPr="004114DA"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eastAsia="ko-KR"/>
        </w:rPr>
      </w:pPr>
      <w:r w:rsidRPr="004114DA">
        <w:rPr>
          <w:rFonts w:ascii="KaiTi" w:eastAsia="KaiTi" w:hAnsi="KaiTi" w:hint="eastAsia"/>
          <w:iCs/>
          <w:color w:val="000000"/>
          <w:kern w:val="18"/>
          <w:lang w:val="en-CA" w:eastAsia="zh-CN"/>
        </w:rPr>
        <w:t>还请</w:t>
      </w:r>
      <w:r w:rsidRPr="004114DA">
        <w:rPr>
          <w:rFonts w:hAnsiTheme="minorEastAsia"/>
          <w:iCs/>
          <w:color w:val="000000"/>
          <w:kern w:val="18"/>
          <w:lang w:eastAsia="ko-KR"/>
        </w:rPr>
        <w:t>执行秘书与</w:t>
      </w:r>
      <w:r w:rsidR="00780033">
        <w:rPr>
          <w:rFonts w:hAnsiTheme="minorEastAsia"/>
          <w:iCs/>
          <w:color w:val="000000"/>
          <w:kern w:val="18"/>
          <w:lang w:eastAsia="ko-KR"/>
        </w:rPr>
        <w:t>联合国环境署</w:t>
      </w:r>
      <w:r w:rsidRPr="004114DA">
        <w:rPr>
          <w:rFonts w:hAnsiTheme="minorEastAsia"/>
          <w:iCs/>
          <w:color w:val="000000"/>
          <w:kern w:val="18"/>
          <w:lang w:eastAsia="ko-KR"/>
        </w:rPr>
        <w:t>和联合国财务处合作，</w:t>
      </w:r>
      <w:r w:rsidRPr="004114DA">
        <w:rPr>
          <w:rFonts w:hAnsiTheme="minorEastAsia" w:hint="eastAsia"/>
          <w:iCs/>
          <w:color w:val="000000"/>
          <w:kern w:val="18"/>
          <w:lang w:eastAsia="zh-CN"/>
        </w:rPr>
        <w:t>提供关于与《</w:t>
      </w:r>
      <w:r w:rsidRPr="004114DA">
        <w:rPr>
          <w:rFonts w:hAnsiTheme="minorEastAsia"/>
          <w:iCs/>
          <w:color w:val="000000"/>
          <w:kern w:val="18"/>
          <w:lang w:eastAsia="zh-CN"/>
        </w:rPr>
        <w:t>公约</w:t>
      </w:r>
      <w:r w:rsidRPr="004114DA">
        <w:rPr>
          <w:rFonts w:hAnsiTheme="minorEastAsia" w:hint="eastAsia"/>
          <w:iCs/>
          <w:color w:val="000000"/>
          <w:kern w:val="18"/>
          <w:lang w:eastAsia="zh-CN"/>
        </w:rPr>
        <w:t>》</w:t>
      </w:r>
      <w:r w:rsidRPr="004114DA">
        <w:rPr>
          <w:rFonts w:hAnsiTheme="minorEastAsia"/>
          <w:iCs/>
          <w:color w:val="000000"/>
          <w:kern w:val="18"/>
          <w:lang w:eastAsia="zh-CN"/>
        </w:rPr>
        <w:t>信托基金</w:t>
      </w:r>
      <w:r w:rsidRPr="004114DA">
        <w:rPr>
          <w:rFonts w:hAnsiTheme="minorEastAsia"/>
          <w:iCs/>
          <w:color w:val="000000"/>
          <w:kern w:val="18"/>
          <w:lang w:eastAsia="ko-KR"/>
        </w:rPr>
        <w:t>有关的投资和现行投资政策准则的信息，并将其放在《公约》网站上；</w:t>
      </w:r>
    </w:p>
    <w:p w:rsidR="00B72FA3" w:rsidRPr="0043463B"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eastAsia="ko-KR"/>
        </w:rPr>
      </w:pPr>
      <w:r w:rsidRPr="0043463B">
        <w:rPr>
          <w:rFonts w:ascii="KaiTi" w:eastAsia="KaiTi" w:hAnsi="KaiTi"/>
          <w:iCs/>
          <w:color w:val="000000"/>
          <w:kern w:val="18"/>
          <w:lang w:eastAsia="ko-KR"/>
        </w:rPr>
        <w:t>邀请</w:t>
      </w:r>
      <w:r w:rsidRPr="0043463B">
        <w:rPr>
          <w:rFonts w:hAnsiTheme="minorEastAsia"/>
          <w:iCs/>
          <w:color w:val="000000"/>
          <w:kern w:val="18"/>
          <w:lang w:eastAsia="ko-KR"/>
        </w:rPr>
        <w:t>《公约》缔约方注意对核心方案预算</w:t>
      </w:r>
      <w:r w:rsidRPr="0043463B">
        <w:rPr>
          <w:rFonts w:hAnsiTheme="minorEastAsia" w:hint="eastAsia"/>
          <w:iCs/>
          <w:color w:val="000000"/>
          <w:kern w:val="18"/>
          <w:lang w:eastAsia="zh-CN"/>
        </w:rPr>
        <w:t>（</w:t>
      </w:r>
      <w:r w:rsidRPr="0043463B">
        <w:rPr>
          <w:iCs/>
          <w:color w:val="000000"/>
          <w:kern w:val="18"/>
          <w:lang w:eastAsia="ko-KR"/>
        </w:rPr>
        <w:t>BY</w:t>
      </w:r>
      <w:r w:rsidRPr="0043463B">
        <w:rPr>
          <w:rFonts w:hAnsiTheme="minorEastAsia"/>
          <w:iCs/>
          <w:color w:val="000000"/>
          <w:kern w:val="18"/>
          <w:lang w:eastAsia="ko-KR"/>
        </w:rPr>
        <w:t>、</w:t>
      </w:r>
      <w:r w:rsidRPr="0043463B">
        <w:rPr>
          <w:iCs/>
          <w:color w:val="000000"/>
          <w:kern w:val="18"/>
          <w:lang w:eastAsia="ko-KR"/>
        </w:rPr>
        <w:t>BG</w:t>
      </w:r>
      <w:r w:rsidRPr="0043463B">
        <w:rPr>
          <w:rFonts w:hAnsiTheme="minorEastAsia"/>
          <w:iCs/>
          <w:color w:val="000000"/>
          <w:kern w:val="18"/>
          <w:lang w:eastAsia="ko-KR"/>
        </w:rPr>
        <w:t>和</w:t>
      </w:r>
      <w:r w:rsidRPr="0043463B">
        <w:rPr>
          <w:iCs/>
          <w:color w:val="000000"/>
          <w:kern w:val="18"/>
          <w:lang w:eastAsia="ko-KR"/>
        </w:rPr>
        <w:t>BB</w:t>
      </w:r>
      <w:r w:rsidRPr="0043463B">
        <w:rPr>
          <w:rFonts w:hint="eastAsia"/>
          <w:iCs/>
          <w:color w:val="000000"/>
          <w:kern w:val="18"/>
          <w:lang w:eastAsia="zh-CN"/>
        </w:rPr>
        <w:t>）的</w:t>
      </w:r>
      <w:r>
        <w:rPr>
          <w:rFonts w:hint="eastAsia"/>
          <w:iCs/>
          <w:color w:val="000000"/>
          <w:kern w:val="18"/>
          <w:lang w:eastAsia="zh-CN"/>
        </w:rPr>
        <w:t>摊款</w:t>
      </w:r>
      <w:r w:rsidRPr="0043463B">
        <w:rPr>
          <w:iCs/>
          <w:color w:val="000000"/>
          <w:kern w:val="18"/>
          <w:lang w:eastAsia="zh-CN"/>
        </w:rPr>
        <w:t>在这些</w:t>
      </w:r>
      <w:r>
        <w:rPr>
          <w:rFonts w:hAnsiTheme="minorEastAsia" w:hint="eastAsia"/>
          <w:iCs/>
          <w:color w:val="000000"/>
          <w:kern w:val="18"/>
          <w:lang w:eastAsia="zh-CN"/>
        </w:rPr>
        <w:t>摊款</w:t>
      </w:r>
      <w:r w:rsidRPr="0043463B">
        <w:rPr>
          <w:rFonts w:hAnsiTheme="minorEastAsia"/>
          <w:iCs/>
          <w:color w:val="000000"/>
          <w:kern w:val="18"/>
          <w:lang w:eastAsia="ko-KR"/>
        </w:rPr>
        <w:t>编入预算年份的</w:t>
      </w:r>
      <w:r w:rsidRPr="0043463B">
        <w:rPr>
          <w:iCs/>
          <w:color w:val="000000"/>
          <w:kern w:val="18"/>
          <w:lang w:eastAsia="ko-KR"/>
        </w:rPr>
        <w:t>1</w:t>
      </w:r>
      <w:r w:rsidRPr="0043463B">
        <w:rPr>
          <w:rFonts w:hAnsiTheme="minorEastAsia"/>
          <w:iCs/>
          <w:color w:val="000000"/>
          <w:kern w:val="18"/>
          <w:lang w:eastAsia="ko-KR"/>
        </w:rPr>
        <w:t>月</w:t>
      </w:r>
      <w:r w:rsidRPr="0043463B">
        <w:rPr>
          <w:iCs/>
          <w:color w:val="000000"/>
          <w:kern w:val="18"/>
          <w:lang w:eastAsia="ko-KR"/>
        </w:rPr>
        <w:t>1</w:t>
      </w:r>
      <w:r w:rsidRPr="0043463B">
        <w:rPr>
          <w:rFonts w:hAnsiTheme="minorEastAsia"/>
          <w:iCs/>
          <w:color w:val="000000"/>
          <w:kern w:val="18"/>
          <w:lang w:eastAsia="ko-KR"/>
        </w:rPr>
        <w:t>日到期，应迅速支付，并</w:t>
      </w:r>
      <w:r w:rsidRPr="0043463B">
        <w:rPr>
          <w:rFonts w:ascii="KaiTi" w:eastAsia="KaiTi" w:hAnsi="KaiTi" w:hint="eastAsia"/>
          <w:iCs/>
          <w:color w:val="000000"/>
          <w:kern w:val="18"/>
          <w:lang w:eastAsia="zh-CN"/>
        </w:rPr>
        <w:t>要求</w:t>
      </w:r>
      <w:r w:rsidRPr="0043463B">
        <w:rPr>
          <w:rFonts w:hAnsiTheme="minorEastAsia"/>
          <w:iCs/>
          <w:color w:val="000000"/>
          <w:kern w:val="18"/>
          <w:lang w:eastAsia="ko-KR"/>
        </w:rPr>
        <w:t>在其</w:t>
      </w:r>
      <w:r>
        <w:rPr>
          <w:rFonts w:hAnsiTheme="minorEastAsia" w:hint="eastAsia"/>
          <w:iCs/>
          <w:color w:val="000000"/>
          <w:kern w:val="18"/>
          <w:lang w:eastAsia="zh-CN"/>
        </w:rPr>
        <w:t>摊款</w:t>
      </w:r>
      <w:r w:rsidRPr="0043463B">
        <w:rPr>
          <w:rFonts w:hAnsiTheme="minorEastAsia"/>
          <w:iCs/>
          <w:color w:val="000000"/>
          <w:kern w:val="18"/>
          <w:lang w:eastAsia="ko-KR"/>
        </w:rPr>
        <w:t>到期年度之前一年尽早向</w:t>
      </w:r>
      <w:r w:rsidRPr="0043463B">
        <w:rPr>
          <w:rFonts w:hAnsiTheme="minorEastAsia" w:hint="eastAsia"/>
          <w:iCs/>
          <w:color w:val="000000"/>
          <w:kern w:val="18"/>
          <w:lang w:eastAsia="zh-CN"/>
        </w:rPr>
        <w:t>各</w:t>
      </w:r>
      <w:r w:rsidRPr="0043463B">
        <w:rPr>
          <w:rFonts w:hAnsiTheme="minorEastAsia"/>
          <w:iCs/>
          <w:color w:val="000000"/>
          <w:kern w:val="18"/>
          <w:lang w:eastAsia="ko-KR"/>
        </w:rPr>
        <w:t>缔约方告知其</w:t>
      </w:r>
      <w:r>
        <w:rPr>
          <w:rFonts w:hAnsiTheme="minorEastAsia" w:hint="eastAsia"/>
          <w:iCs/>
          <w:color w:val="000000"/>
          <w:kern w:val="18"/>
          <w:lang w:eastAsia="zh-CN"/>
        </w:rPr>
        <w:t>摊款</w:t>
      </w:r>
      <w:r w:rsidRPr="0043463B">
        <w:rPr>
          <w:rFonts w:hAnsiTheme="minorEastAsia"/>
          <w:iCs/>
          <w:color w:val="000000"/>
          <w:kern w:val="18"/>
          <w:lang w:eastAsia="ko-KR"/>
        </w:rPr>
        <w:t>数额；</w:t>
      </w:r>
    </w:p>
    <w:p w:rsidR="00B72FA3" w:rsidRPr="00684DFE" w:rsidRDefault="00B72FA3" w:rsidP="00615E7F">
      <w:pPr>
        <w:pStyle w:val="ListParagraph"/>
        <w:numPr>
          <w:ilvl w:val="0"/>
          <w:numId w:val="280"/>
        </w:numPr>
        <w:shd w:val="clear" w:color="auto" w:fill="FFFFFF" w:themeFill="background1"/>
        <w:tabs>
          <w:tab w:val="left" w:pos="1440"/>
        </w:tabs>
        <w:adjustRightInd w:val="0"/>
        <w:snapToGrid w:val="0"/>
        <w:ind w:left="0" w:firstLine="720"/>
        <w:rPr>
          <w:color w:val="000000" w:themeColor="text1"/>
          <w:kern w:val="20"/>
          <w:szCs w:val="22"/>
          <w:lang w:val="en-GB" w:eastAsia="zh-CN"/>
        </w:rPr>
      </w:pPr>
      <w:r w:rsidRPr="00684DFE">
        <w:rPr>
          <w:rFonts w:ascii="KaiTi" w:eastAsia="KaiTi" w:hAnsi="KaiTi" w:hint="eastAsia"/>
          <w:iCs/>
          <w:color w:val="000000"/>
          <w:kern w:val="18"/>
          <w:lang w:eastAsia="ko-KR"/>
        </w:rPr>
        <w:t>关切地注意到</w:t>
      </w:r>
      <w:r w:rsidRPr="00684DFE">
        <w:rPr>
          <w:rFonts w:hAnsiTheme="minorEastAsia" w:hint="eastAsia"/>
          <w:iCs/>
          <w:color w:val="000000"/>
          <w:kern w:val="18"/>
          <w:lang w:eastAsia="ko-KR"/>
        </w:rPr>
        <w:t>《公约》及其《议定书》的一些缔约方尚未缴纳</w:t>
      </w:r>
      <w:r w:rsidRPr="00684DFE">
        <w:rPr>
          <w:rFonts w:hAnsiTheme="minorEastAsia" w:hint="eastAsia"/>
          <w:iCs/>
          <w:color w:val="000000"/>
          <w:kern w:val="18"/>
          <w:lang w:eastAsia="ko-KR"/>
        </w:rPr>
        <w:t>2018</w:t>
      </w:r>
      <w:r w:rsidRPr="00684DFE">
        <w:rPr>
          <w:rFonts w:hAnsiTheme="minorEastAsia" w:hint="eastAsia"/>
          <w:iCs/>
          <w:color w:val="000000"/>
          <w:kern w:val="18"/>
          <w:lang w:eastAsia="ko-KR"/>
        </w:rPr>
        <w:t>年和以往年份核心预算</w:t>
      </w:r>
      <w:r w:rsidRPr="00684DFE">
        <w:rPr>
          <w:rFonts w:hAnsiTheme="minorEastAsia" w:hint="eastAsia"/>
          <w:iCs/>
          <w:color w:val="000000"/>
          <w:kern w:val="18"/>
          <w:lang w:eastAsia="zh-CN"/>
        </w:rPr>
        <w:t>（</w:t>
      </w:r>
      <w:r w:rsidRPr="00684DFE">
        <w:rPr>
          <w:rFonts w:hAnsiTheme="minorEastAsia" w:hint="eastAsia"/>
          <w:iCs/>
          <w:color w:val="000000"/>
          <w:kern w:val="18"/>
          <w:lang w:eastAsia="ko-KR"/>
        </w:rPr>
        <w:t>BY</w:t>
      </w:r>
      <w:r w:rsidRPr="00684DFE">
        <w:rPr>
          <w:rFonts w:hAnsiTheme="minorEastAsia" w:hint="eastAsia"/>
          <w:iCs/>
          <w:color w:val="000000"/>
          <w:kern w:val="18"/>
          <w:lang w:eastAsia="ko-KR"/>
        </w:rPr>
        <w:t>、</w:t>
      </w:r>
      <w:r w:rsidRPr="00684DFE">
        <w:rPr>
          <w:rFonts w:hAnsiTheme="minorEastAsia" w:hint="eastAsia"/>
          <w:iCs/>
          <w:color w:val="000000"/>
          <w:kern w:val="18"/>
          <w:lang w:eastAsia="ko-KR"/>
        </w:rPr>
        <w:t>BG</w:t>
      </w:r>
      <w:r w:rsidRPr="00684DFE">
        <w:rPr>
          <w:rFonts w:hAnsiTheme="minorEastAsia" w:hint="eastAsia"/>
          <w:iCs/>
          <w:color w:val="000000"/>
          <w:kern w:val="18"/>
          <w:lang w:eastAsia="ko-KR"/>
        </w:rPr>
        <w:t>和</w:t>
      </w:r>
      <w:r w:rsidRPr="00684DFE">
        <w:rPr>
          <w:rFonts w:hAnsiTheme="minorEastAsia" w:hint="eastAsia"/>
          <w:iCs/>
          <w:color w:val="000000"/>
          <w:kern w:val="18"/>
          <w:lang w:eastAsia="ko-KR"/>
        </w:rPr>
        <w:t>BB</w:t>
      </w:r>
      <w:r w:rsidRPr="00684DFE">
        <w:rPr>
          <w:rFonts w:hAnsiTheme="minorEastAsia" w:hint="eastAsia"/>
          <w:iCs/>
          <w:color w:val="000000"/>
          <w:kern w:val="18"/>
          <w:lang w:eastAsia="ko-KR"/>
        </w:rPr>
        <w:t>信托基金</w:t>
      </w:r>
      <w:r w:rsidRPr="00684DFE">
        <w:rPr>
          <w:rFonts w:hAnsiTheme="minorEastAsia" w:hint="eastAsia"/>
          <w:iCs/>
          <w:color w:val="000000"/>
          <w:kern w:val="18"/>
          <w:lang w:eastAsia="zh-CN"/>
        </w:rPr>
        <w:t>）</w:t>
      </w:r>
      <w:r w:rsidRPr="00684DFE">
        <w:rPr>
          <w:rFonts w:hAnsiTheme="minorEastAsia" w:hint="eastAsia"/>
          <w:iCs/>
          <w:color w:val="000000"/>
          <w:kern w:val="18"/>
          <w:lang w:eastAsia="ko-KR"/>
        </w:rPr>
        <w:t>的</w:t>
      </w:r>
      <w:r>
        <w:rPr>
          <w:rFonts w:hAnsiTheme="minorEastAsia" w:hint="eastAsia"/>
          <w:iCs/>
          <w:color w:val="000000"/>
          <w:kern w:val="18"/>
          <w:lang w:eastAsia="zh-CN"/>
        </w:rPr>
        <w:t>摊款</w:t>
      </w:r>
      <w:r w:rsidRPr="00684DFE">
        <w:rPr>
          <w:rFonts w:hAnsiTheme="minorEastAsia" w:hint="eastAsia"/>
          <w:iCs/>
          <w:color w:val="000000"/>
          <w:kern w:val="18"/>
          <w:lang w:eastAsia="ko-KR"/>
        </w:rPr>
        <w:t>，包括从未缴纳摊款的缔约方，</w:t>
      </w:r>
      <w:r w:rsidRPr="00684DFE">
        <w:rPr>
          <w:rFonts w:ascii="KaiTi" w:eastAsia="KaiTi" w:hAnsi="KaiTi" w:hint="eastAsia"/>
          <w:iCs/>
          <w:color w:val="000000"/>
          <w:kern w:val="18"/>
          <w:lang w:eastAsia="ko-KR"/>
        </w:rPr>
        <w:t>还注意到</w:t>
      </w:r>
      <w:r w:rsidRPr="00684DFE">
        <w:rPr>
          <w:rFonts w:hAnsiTheme="minorEastAsia" w:hint="eastAsia"/>
          <w:iCs/>
          <w:color w:val="000000"/>
          <w:kern w:val="18"/>
          <w:lang w:eastAsia="ko-KR"/>
        </w:rPr>
        <w:t>，</w:t>
      </w:r>
      <w:r w:rsidRPr="00684DFE">
        <w:rPr>
          <w:rFonts w:hAnsiTheme="minorEastAsia" w:hint="eastAsia"/>
          <w:iCs/>
          <w:color w:val="000000"/>
          <w:kern w:val="18"/>
          <w:lang w:eastAsia="zh-CN"/>
        </w:rPr>
        <w:t>根据</w:t>
      </w:r>
      <w:r w:rsidRPr="00684DFE">
        <w:rPr>
          <w:rFonts w:hAnsiTheme="minorEastAsia"/>
          <w:iCs/>
          <w:color w:val="000000"/>
          <w:kern w:val="18"/>
          <w:lang w:eastAsia="zh-CN"/>
        </w:rPr>
        <w:t>联合国</w:t>
      </w:r>
      <w:r w:rsidRPr="00684DFE">
        <w:rPr>
          <w:rFonts w:hAnsiTheme="minorEastAsia" w:hint="eastAsia"/>
          <w:iCs/>
          <w:color w:val="000000"/>
          <w:kern w:val="18"/>
          <w:lang w:eastAsia="ko-KR"/>
        </w:rPr>
        <w:t>通过的《国际公共部门会计准则》，</w:t>
      </w:r>
      <w:r w:rsidRPr="00B51985">
        <w:rPr>
          <w:rStyle w:val="FootnoteReference"/>
          <w:rFonts w:hAnsiTheme="minorEastAsia"/>
          <w:iCs/>
          <w:color w:val="000000"/>
          <w:kern w:val="18"/>
          <w:vertAlign w:val="superscript"/>
          <w:lang w:eastAsia="ko-KR"/>
        </w:rPr>
        <w:footnoteReference w:id="328"/>
      </w:r>
      <w:r w:rsidRPr="00684DFE">
        <w:rPr>
          <w:rFonts w:hAnsiTheme="minorEastAsia" w:hint="eastAsia"/>
          <w:iCs/>
          <w:color w:val="000000"/>
          <w:kern w:val="18"/>
          <w:sz w:val="36"/>
          <w:vertAlign w:val="superscript"/>
          <w:lang w:eastAsia="zh-CN"/>
        </w:rPr>
        <w:t xml:space="preserve"> </w:t>
      </w:r>
      <w:r w:rsidRPr="00684DFE">
        <w:rPr>
          <w:rFonts w:hAnsiTheme="minorEastAsia" w:hint="eastAsia"/>
          <w:iCs/>
          <w:color w:val="000000"/>
          <w:kern w:val="18"/>
          <w:lang w:eastAsia="zh-CN"/>
        </w:rPr>
        <w:t>截至</w:t>
      </w:r>
      <w:r w:rsidRPr="00684DFE">
        <w:rPr>
          <w:rFonts w:hAnsiTheme="minorEastAsia" w:hint="eastAsia"/>
          <w:iCs/>
          <w:color w:val="000000"/>
          <w:kern w:val="18"/>
          <w:lang w:eastAsia="zh-CN"/>
        </w:rPr>
        <w:t>2017</w:t>
      </w:r>
      <w:r w:rsidRPr="00684DFE">
        <w:rPr>
          <w:rFonts w:hAnsiTheme="minorEastAsia" w:hint="eastAsia"/>
          <w:iCs/>
          <w:color w:val="000000"/>
          <w:kern w:val="18"/>
          <w:lang w:eastAsia="zh-CN"/>
        </w:rPr>
        <w:t>年末</w:t>
      </w:r>
      <w:r w:rsidRPr="00684DFE">
        <w:rPr>
          <w:rFonts w:hAnsiTheme="minorEastAsia"/>
          <w:iCs/>
          <w:color w:val="000000"/>
          <w:kern w:val="18"/>
          <w:lang w:eastAsia="zh-CN"/>
        </w:rPr>
        <w:t>，</w:t>
      </w:r>
      <w:r w:rsidRPr="00684DFE">
        <w:rPr>
          <w:rFonts w:hAnsiTheme="minorEastAsia" w:hint="eastAsia"/>
          <w:iCs/>
          <w:color w:val="000000"/>
          <w:kern w:val="18"/>
          <w:lang w:eastAsia="zh-CN"/>
        </w:rPr>
        <w:t>拖欠</w:t>
      </w:r>
      <w:r w:rsidRPr="00684DFE">
        <w:rPr>
          <w:rFonts w:hAnsiTheme="minorEastAsia"/>
          <w:iCs/>
          <w:color w:val="000000"/>
          <w:kern w:val="18"/>
          <w:lang w:eastAsia="zh-CN"/>
        </w:rPr>
        <w:t>《卡塔赫纳</w:t>
      </w:r>
      <w:r w:rsidRPr="00684DFE">
        <w:rPr>
          <w:rFonts w:hAnsiTheme="minorEastAsia" w:hint="eastAsia"/>
          <w:iCs/>
          <w:color w:val="000000"/>
          <w:kern w:val="18"/>
          <w:lang w:eastAsia="ko-KR"/>
        </w:rPr>
        <w:t>议定书》</w:t>
      </w:r>
      <w:r w:rsidRPr="00684DFE">
        <w:rPr>
          <w:rFonts w:hAnsiTheme="minorEastAsia" w:hint="eastAsia"/>
          <w:iCs/>
          <w:color w:val="000000"/>
          <w:kern w:val="18"/>
          <w:lang w:eastAsia="zh-CN"/>
        </w:rPr>
        <w:t>为</w:t>
      </w:r>
      <w:r w:rsidRPr="00684DFE">
        <w:rPr>
          <w:rFonts w:hAnsiTheme="minorEastAsia" w:hint="eastAsia"/>
          <w:iCs/>
          <w:color w:val="000000"/>
          <w:kern w:val="18"/>
          <w:lang w:eastAsia="ko-KR"/>
        </w:rPr>
        <w:t>171</w:t>
      </w:r>
      <w:r w:rsidRPr="00684DFE">
        <w:rPr>
          <w:rFonts w:hAnsiTheme="minorEastAsia"/>
          <w:iCs/>
          <w:color w:val="000000"/>
          <w:kern w:val="18"/>
          <w:lang w:eastAsia="ko-KR"/>
        </w:rPr>
        <w:t>,</w:t>
      </w:r>
      <w:r w:rsidRPr="00684DFE">
        <w:rPr>
          <w:rFonts w:hAnsiTheme="minorEastAsia" w:hint="eastAsia"/>
          <w:iCs/>
          <w:color w:val="000000"/>
          <w:kern w:val="18"/>
          <w:lang w:eastAsia="ko-KR"/>
        </w:rPr>
        <w:t>400</w:t>
      </w:r>
      <w:r w:rsidRPr="00684DFE">
        <w:rPr>
          <w:rFonts w:hAnsiTheme="minorEastAsia"/>
          <w:iCs/>
          <w:color w:val="000000"/>
          <w:kern w:val="18"/>
          <w:lang w:eastAsia="zh-CN"/>
        </w:rPr>
        <w:t>美元，</w:t>
      </w:r>
      <w:r w:rsidRPr="00684DFE">
        <w:rPr>
          <w:rFonts w:hAnsiTheme="minorEastAsia" w:hint="eastAsia"/>
          <w:iCs/>
          <w:color w:val="000000"/>
          <w:kern w:val="18"/>
          <w:lang w:eastAsia="ko-KR"/>
        </w:rPr>
        <w:t>拖欠《名古屋议定书》为</w:t>
      </w:r>
      <w:r w:rsidRPr="00684DFE">
        <w:rPr>
          <w:rFonts w:hAnsiTheme="minorEastAsia" w:hint="eastAsia"/>
          <w:iCs/>
          <w:color w:val="000000"/>
          <w:kern w:val="18"/>
          <w:lang w:eastAsia="ko-KR"/>
        </w:rPr>
        <w:t>46</w:t>
      </w:r>
      <w:r w:rsidRPr="00684DFE">
        <w:rPr>
          <w:rFonts w:hAnsiTheme="minorEastAsia"/>
          <w:iCs/>
          <w:color w:val="000000"/>
          <w:kern w:val="18"/>
          <w:lang w:eastAsia="ko-KR"/>
        </w:rPr>
        <w:t>,</w:t>
      </w:r>
      <w:r w:rsidRPr="00684DFE">
        <w:rPr>
          <w:rFonts w:hAnsiTheme="minorEastAsia" w:hint="eastAsia"/>
          <w:iCs/>
          <w:color w:val="000000"/>
          <w:kern w:val="18"/>
          <w:lang w:eastAsia="ko-KR"/>
        </w:rPr>
        <w:t>000</w:t>
      </w:r>
      <w:r w:rsidRPr="00684DFE">
        <w:rPr>
          <w:rFonts w:hAnsiTheme="minorEastAsia" w:hint="eastAsia"/>
          <w:iCs/>
          <w:color w:val="000000"/>
          <w:kern w:val="18"/>
          <w:lang w:eastAsia="ko-KR"/>
        </w:rPr>
        <w:t>美元</w:t>
      </w:r>
      <w:r w:rsidRPr="00684DFE">
        <w:rPr>
          <w:rFonts w:hAnsiTheme="minorEastAsia" w:hint="eastAsia"/>
          <w:iCs/>
          <w:color w:val="000000"/>
          <w:kern w:val="18"/>
          <w:lang w:eastAsia="zh-CN"/>
        </w:rPr>
        <w:t>，须</w:t>
      </w:r>
      <w:r>
        <w:rPr>
          <w:lang w:eastAsia="zh-CN"/>
        </w:rPr>
        <w:t>从基金余额中扣除以支付呆账，因而无法用于为全体缔约方谋取福利；</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eastAsia="zh-CN"/>
        </w:rPr>
      </w:pPr>
      <w:r w:rsidRPr="00421205">
        <w:rPr>
          <w:rFonts w:ascii="KaiTi" w:eastAsia="KaiTi" w:hAnsi="KaiTi"/>
          <w:iCs/>
          <w:color w:val="000000"/>
          <w:kern w:val="18"/>
          <w:lang w:eastAsia="ko-KR"/>
        </w:rPr>
        <w:t>敦促</w:t>
      </w:r>
      <w:r w:rsidRPr="00421205">
        <w:rPr>
          <w:rFonts w:hAnsiTheme="minorEastAsia"/>
          <w:iCs/>
          <w:color w:val="000000"/>
          <w:kern w:val="18"/>
          <w:lang w:eastAsia="zh-CN"/>
        </w:rPr>
        <w:t>尚未向核心预算</w:t>
      </w:r>
      <w:r>
        <w:rPr>
          <w:rFonts w:hAnsiTheme="minorEastAsia"/>
          <w:iCs/>
          <w:color w:val="000000"/>
          <w:kern w:val="18"/>
          <w:lang w:eastAsia="zh-CN"/>
        </w:rPr>
        <w:t>（</w:t>
      </w:r>
      <w:r w:rsidRPr="00421205">
        <w:rPr>
          <w:iCs/>
          <w:color w:val="000000"/>
          <w:kern w:val="18"/>
          <w:lang w:eastAsia="zh-CN"/>
        </w:rPr>
        <w:t>BY</w:t>
      </w:r>
      <w:r w:rsidRPr="00421205">
        <w:rPr>
          <w:rFonts w:hAnsiTheme="minorEastAsia"/>
          <w:iCs/>
          <w:color w:val="000000"/>
          <w:kern w:val="18"/>
          <w:lang w:eastAsia="zh-CN"/>
        </w:rPr>
        <w:t>、</w:t>
      </w:r>
      <w:r w:rsidRPr="00421205">
        <w:rPr>
          <w:iCs/>
          <w:color w:val="000000"/>
          <w:kern w:val="18"/>
          <w:lang w:eastAsia="zh-CN"/>
        </w:rPr>
        <w:t>BG</w:t>
      </w:r>
      <w:r w:rsidRPr="00421205">
        <w:rPr>
          <w:rFonts w:hAnsiTheme="minorEastAsia"/>
          <w:iCs/>
          <w:color w:val="000000"/>
          <w:kern w:val="18"/>
          <w:lang w:eastAsia="zh-CN"/>
        </w:rPr>
        <w:t>、</w:t>
      </w:r>
      <w:r w:rsidRPr="00421205">
        <w:rPr>
          <w:iCs/>
          <w:color w:val="000000"/>
          <w:kern w:val="18"/>
          <w:lang w:eastAsia="zh-CN"/>
        </w:rPr>
        <w:t>BB</w:t>
      </w:r>
      <w:r w:rsidRPr="00421205">
        <w:rPr>
          <w:rFonts w:hAnsiTheme="minorEastAsia"/>
          <w:iCs/>
          <w:color w:val="000000"/>
          <w:kern w:val="18"/>
          <w:lang w:eastAsia="zh-CN"/>
        </w:rPr>
        <w:t>信托基金</w:t>
      </w:r>
      <w:r>
        <w:rPr>
          <w:rFonts w:hAnsiTheme="minorEastAsia"/>
          <w:iCs/>
          <w:color w:val="000000"/>
          <w:kern w:val="18"/>
          <w:lang w:eastAsia="zh-CN"/>
        </w:rPr>
        <w:t>）</w:t>
      </w:r>
      <w:r w:rsidRPr="00421205">
        <w:rPr>
          <w:rFonts w:hAnsiTheme="minorEastAsia"/>
          <w:iCs/>
          <w:color w:val="000000"/>
          <w:kern w:val="18"/>
          <w:lang w:eastAsia="zh-CN"/>
        </w:rPr>
        <w:t>缴纳</w:t>
      </w:r>
      <w:r w:rsidRPr="00421205">
        <w:rPr>
          <w:iCs/>
          <w:color w:val="000000"/>
          <w:kern w:val="18"/>
          <w:lang w:eastAsia="zh-CN"/>
        </w:rPr>
        <w:t>2017</w:t>
      </w:r>
      <w:r w:rsidRPr="00421205">
        <w:rPr>
          <w:rFonts w:hAnsiTheme="minorEastAsia"/>
          <w:iCs/>
          <w:color w:val="000000"/>
          <w:kern w:val="18"/>
          <w:lang w:eastAsia="zh-CN"/>
        </w:rPr>
        <w:t>年和之前各年</w:t>
      </w:r>
      <w:r>
        <w:rPr>
          <w:rFonts w:hAnsiTheme="minorEastAsia" w:hint="eastAsia"/>
          <w:iCs/>
          <w:color w:val="000000"/>
          <w:kern w:val="18"/>
          <w:lang w:eastAsia="zh-CN"/>
        </w:rPr>
        <w:t>摊款</w:t>
      </w:r>
      <w:r w:rsidRPr="00421205">
        <w:rPr>
          <w:rFonts w:hAnsiTheme="minorEastAsia"/>
          <w:iCs/>
          <w:color w:val="000000"/>
          <w:kern w:val="18"/>
          <w:lang w:eastAsia="zh-CN"/>
        </w:rPr>
        <w:t>的缔约方不再拖延或附加条件地缴纳</w:t>
      </w:r>
      <w:r>
        <w:rPr>
          <w:rFonts w:hAnsiTheme="minorEastAsia" w:hint="eastAsia"/>
          <w:iCs/>
          <w:color w:val="000000"/>
          <w:kern w:val="18"/>
          <w:lang w:eastAsia="zh-CN"/>
        </w:rPr>
        <w:t>摊款</w:t>
      </w:r>
      <w:r w:rsidRPr="00421205">
        <w:rPr>
          <w:rFonts w:hAnsiTheme="minorEastAsia"/>
          <w:iCs/>
          <w:color w:val="000000"/>
          <w:kern w:val="18"/>
          <w:lang w:eastAsia="zh-CN"/>
        </w:rPr>
        <w:t>，并</w:t>
      </w:r>
      <w:r w:rsidRPr="00421205">
        <w:rPr>
          <w:rFonts w:ascii="KaiTi" w:eastAsia="KaiTi" w:hAnsi="KaiTi"/>
          <w:iCs/>
          <w:color w:val="000000"/>
          <w:kern w:val="18"/>
          <w:lang w:eastAsia="ko-KR"/>
        </w:rPr>
        <w:t>请</w:t>
      </w:r>
      <w:r w:rsidRPr="00421205">
        <w:rPr>
          <w:rFonts w:hAnsiTheme="minorEastAsia"/>
          <w:iCs/>
          <w:color w:val="000000"/>
          <w:kern w:val="18"/>
          <w:lang w:eastAsia="zh-CN"/>
        </w:rPr>
        <w:t>执行秘书公布并不断更新对《公约》信托基金</w:t>
      </w:r>
      <w:r>
        <w:rPr>
          <w:rFonts w:hAnsiTheme="minorEastAsia"/>
          <w:iCs/>
          <w:color w:val="000000"/>
          <w:kern w:val="18"/>
          <w:lang w:eastAsia="zh-CN"/>
        </w:rPr>
        <w:t>（</w:t>
      </w:r>
      <w:r w:rsidRPr="00421205">
        <w:rPr>
          <w:iCs/>
          <w:color w:val="000000"/>
          <w:kern w:val="18"/>
          <w:lang w:eastAsia="zh-CN"/>
        </w:rPr>
        <w:t>BY</w:t>
      </w:r>
      <w:r w:rsidRPr="00421205">
        <w:rPr>
          <w:rFonts w:hAnsiTheme="minorEastAsia"/>
          <w:iCs/>
          <w:color w:val="000000"/>
          <w:kern w:val="18"/>
          <w:lang w:eastAsia="zh-CN"/>
        </w:rPr>
        <w:t>、</w:t>
      </w:r>
      <w:r w:rsidRPr="00421205">
        <w:rPr>
          <w:iCs/>
          <w:color w:val="000000"/>
          <w:kern w:val="18"/>
          <w:lang w:eastAsia="zh-CN"/>
        </w:rPr>
        <w:t>BG</w:t>
      </w:r>
      <w:r w:rsidRPr="00421205">
        <w:rPr>
          <w:rFonts w:hAnsiTheme="minorEastAsia"/>
          <w:iCs/>
          <w:color w:val="000000"/>
          <w:kern w:val="18"/>
          <w:lang w:eastAsia="zh-CN"/>
        </w:rPr>
        <w:t>、</w:t>
      </w:r>
      <w:r w:rsidRPr="00421205">
        <w:rPr>
          <w:iCs/>
          <w:color w:val="000000"/>
          <w:kern w:val="18"/>
          <w:lang w:eastAsia="zh-CN"/>
        </w:rPr>
        <w:t>BB</w:t>
      </w:r>
      <w:r w:rsidRPr="00421205">
        <w:rPr>
          <w:rFonts w:hAnsiTheme="minorEastAsia"/>
          <w:iCs/>
          <w:color w:val="000000"/>
          <w:kern w:val="18"/>
          <w:lang w:eastAsia="zh-CN"/>
        </w:rPr>
        <w:t>、</w:t>
      </w:r>
      <w:r w:rsidRPr="00421205">
        <w:rPr>
          <w:iCs/>
          <w:color w:val="000000"/>
          <w:kern w:val="18"/>
          <w:lang w:eastAsia="zh-CN"/>
        </w:rPr>
        <w:t>BE</w:t>
      </w:r>
      <w:r w:rsidRPr="00421205">
        <w:rPr>
          <w:rFonts w:hAnsiTheme="minorEastAsia"/>
          <w:iCs/>
          <w:color w:val="000000"/>
          <w:kern w:val="18"/>
          <w:lang w:eastAsia="zh-CN"/>
        </w:rPr>
        <w:t>、</w:t>
      </w:r>
      <w:r w:rsidRPr="00421205">
        <w:rPr>
          <w:iCs/>
          <w:color w:val="000000"/>
          <w:kern w:val="18"/>
          <w:lang w:eastAsia="zh-CN"/>
        </w:rPr>
        <w:t>BH</w:t>
      </w:r>
      <w:r w:rsidRPr="00421205">
        <w:rPr>
          <w:rFonts w:hAnsiTheme="minorEastAsia"/>
          <w:iCs/>
          <w:color w:val="000000"/>
          <w:kern w:val="18"/>
          <w:lang w:eastAsia="zh-CN"/>
        </w:rPr>
        <w:t>、</w:t>
      </w:r>
      <w:r w:rsidRPr="00421205">
        <w:rPr>
          <w:iCs/>
          <w:color w:val="000000"/>
          <w:kern w:val="18"/>
          <w:lang w:eastAsia="zh-CN"/>
        </w:rPr>
        <w:t>BX</w:t>
      </w:r>
      <w:r w:rsidRPr="00421205">
        <w:rPr>
          <w:rFonts w:hAnsiTheme="minorEastAsia"/>
          <w:iCs/>
          <w:color w:val="000000"/>
          <w:kern w:val="18"/>
          <w:lang w:eastAsia="zh-CN"/>
        </w:rPr>
        <w:t>、</w:t>
      </w:r>
      <w:r w:rsidRPr="00421205">
        <w:rPr>
          <w:iCs/>
          <w:color w:val="000000"/>
          <w:kern w:val="18"/>
          <w:lang w:eastAsia="zh-CN"/>
        </w:rPr>
        <w:t>BZ</w:t>
      </w:r>
      <w:r w:rsidRPr="00421205">
        <w:rPr>
          <w:rFonts w:hAnsiTheme="minorEastAsia"/>
          <w:iCs/>
          <w:color w:val="000000"/>
          <w:kern w:val="18"/>
          <w:lang w:eastAsia="zh-CN"/>
        </w:rPr>
        <w:t>和</w:t>
      </w:r>
      <w:r w:rsidRPr="00421205">
        <w:rPr>
          <w:iCs/>
          <w:color w:val="000000"/>
          <w:kern w:val="18"/>
          <w:lang w:eastAsia="zh-CN"/>
        </w:rPr>
        <w:t>VB</w:t>
      </w:r>
      <w:r>
        <w:rPr>
          <w:rFonts w:hAnsiTheme="minorEastAsia"/>
          <w:iCs/>
          <w:color w:val="000000"/>
          <w:kern w:val="18"/>
          <w:lang w:eastAsia="zh-CN"/>
        </w:rPr>
        <w:t>）</w:t>
      </w:r>
      <w:r>
        <w:rPr>
          <w:rFonts w:hAnsiTheme="minorEastAsia" w:hint="eastAsia"/>
          <w:iCs/>
          <w:color w:val="000000"/>
          <w:kern w:val="18"/>
          <w:lang w:eastAsia="zh-CN"/>
        </w:rPr>
        <w:t>摊款</w:t>
      </w:r>
      <w:r w:rsidRPr="00421205">
        <w:rPr>
          <w:rFonts w:hAnsiTheme="minorEastAsia"/>
          <w:iCs/>
          <w:color w:val="000000"/>
          <w:kern w:val="18"/>
          <w:lang w:eastAsia="zh-CN"/>
        </w:rPr>
        <w:t>情况的信息，并</w:t>
      </w:r>
      <w:r>
        <w:rPr>
          <w:rFonts w:hAnsiTheme="minorEastAsia" w:hint="eastAsia"/>
          <w:iCs/>
          <w:color w:val="000000"/>
          <w:kern w:val="18"/>
          <w:lang w:eastAsia="zh-CN"/>
        </w:rPr>
        <w:t>向</w:t>
      </w:r>
      <w:r w:rsidRPr="00421205">
        <w:rPr>
          <w:rFonts w:hAnsiTheme="minorEastAsia"/>
          <w:iCs/>
          <w:color w:val="000000"/>
          <w:kern w:val="18"/>
          <w:lang w:eastAsia="zh-CN"/>
        </w:rPr>
        <w:t>《公约》及其《议定书》的主席团成员</w:t>
      </w:r>
      <w:r>
        <w:rPr>
          <w:rFonts w:hAnsiTheme="minorEastAsia" w:hint="eastAsia"/>
          <w:iCs/>
          <w:color w:val="000000"/>
          <w:kern w:val="18"/>
          <w:lang w:eastAsia="zh-CN"/>
        </w:rPr>
        <w:t>报告最新情况</w:t>
      </w:r>
      <w:r w:rsidRPr="00421205">
        <w:rPr>
          <w:rFonts w:hAnsiTheme="minorEastAsia"/>
          <w:iCs/>
          <w:color w:val="000000"/>
          <w:kern w:val="18"/>
          <w:lang w:eastAsia="zh-CN"/>
        </w:rPr>
        <w:t>，使其能向各区域会议提供有关未缴摊款及其后果的信息；</w:t>
      </w:r>
    </w:p>
    <w:p w:rsidR="00B72FA3" w:rsidRPr="000159DD" w:rsidRDefault="00B72FA3" w:rsidP="00615E7F">
      <w:pPr>
        <w:pStyle w:val="ListParagraph"/>
        <w:numPr>
          <w:ilvl w:val="0"/>
          <w:numId w:val="280"/>
        </w:numPr>
        <w:shd w:val="clear" w:color="auto" w:fill="FFFFFF" w:themeFill="background1"/>
        <w:tabs>
          <w:tab w:val="left" w:pos="1440"/>
        </w:tabs>
        <w:adjustRightInd w:val="0"/>
        <w:snapToGrid w:val="0"/>
        <w:ind w:left="0" w:firstLine="720"/>
        <w:rPr>
          <w:rFonts w:hAnsiTheme="minorEastAsia"/>
          <w:iCs/>
          <w:color w:val="000000"/>
          <w:kern w:val="18"/>
          <w:lang w:eastAsia="zh-CN"/>
        </w:rPr>
      </w:pPr>
      <w:r w:rsidRPr="000159DD">
        <w:rPr>
          <w:rFonts w:ascii="KaiTi" w:eastAsia="KaiTi" w:hAnsi="KaiTi"/>
          <w:iCs/>
          <w:color w:val="000000"/>
          <w:kern w:val="18"/>
          <w:lang w:eastAsia="zh-CN"/>
        </w:rPr>
        <w:t>请</w:t>
      </w:r>
      <w:r w:rsidR="00780033">
        <w:rPr>
          <w:rFonts w:hAnsiTheme="minorEastAsia"/>
          <w:iCs/>
          <w:color w:val="000000"/>
          <w:kern w:val="18"/>
          <w:lang w:eastAsia="zh-CN"/>
        </w:rPr>
        <w:t>联合国环境署</w:t>
      </w:r>
      <w:r w:rsidRPr="002F0FB1">
        <w:rPr>
          <w:rFonts w:hAnsiTheme="minorEastAsia"/>
          <w:iCs/>
          <w:color w:val="000000"/>
          <w:kern w:val="18"/>
          <w:lang w:eastAsia="zh-CN"/>
        </w:rPr>
        <w:t>以</w:t>
      </w:r>
      <w:r>
        <w:rPr>
          <w:rFonts w:hAnsiTheme="minorEastAsia" w:hint="eastAsia"/>
          <w:iCs/>
          <w:color w:val="000000"/>
          <w:kern w:val="18"/>
          <w:lang w:eastAsia="zh-CN"/>
        </w:rPr>
        <w:t>其</w:t>
      </w:r>
      <w:r w:rsidRPr="002F0FB1">
        <w:rPr>
          <w:rFonts w:hAnsiTheme="minorEastAsia"/>
          <w:iCs/>
          <w:color w:val="000000"/>
          <w:kern w:val="18"/>
          <w:lang w:eastAsia="zh-CN"/>
        </w:rPr>
        <w:t>受托人身份，利用所有可用外交渠道，向相关缔约方通报</w:t>
      </w:r>
      <w:r w:rsidRPr="000159DD">
        <w:rPr>
          <w:rFonts w:hAnsiTheme="minorEastAsia"/>
          <w:iCs/>
          <w:color w:val="000000"/>
          <w:kern w:val="18"/>
          <w:lang w:eastAsia="zh-CN"/>
        </w:rPr>
        <w:t>2018</w:t>
      </w:r>
      <w:r w:rsidRPr="002F0FB1">
        <w:rPr>
          <w:rFonts w:hAnsiTheme="minorEastAsia"/>
          <w:iCs/>
          <w:color w:val="000000"/>
          <w:kern w:val="18"/>
          <w:lang w:eastAsia="zh-CN"/>
        </w:rPr>
        <w:t>年及以前年份拖欠《生物多样性公约》信托基金</w:t>
      </w:r>
      <w:r w:rsidRPr="000159DD">
        <w:rPr>
          <w:rFonts w:hAnsiTheme="minorEastAsia"/>
          <w:iCs/>
          <w:color w:val="000000"/>
          <w:kern w:val="18"/>
          <w:lang w:eastAsia="zh-CN"/>
        </w:rPr>
        <w:t>（</w:t>
      </w:r>
      <w:r w:rsidRPr="000159DD">
        <w:rPr>
          <w:rFonts w:hAnsiTheme="minorEastAsia"/>
          <w:iCs/>
          <w:color w:val="000000"/>
          <w:kern w:val="18"/>
          <w:lang w:eastAsia="zh-CN"/>
        </w:rPr>
        <w:t>BY</w:t>
      </w:r>
      <w:r w:rsidRPr="002F0FB1">
        <w:rPr>
          <w:rFonts w:hAnsiTheme="minorEastAsia"/>
          <w:iCs/>
          <w:color w:val="000000"/>
          <w:kern w:val="18"/>
          <w:lang w:eastAsia="zh-CN"/>
        </w:rPr>
        <w:t>、</w:t>
      </w:r>
      <w:r w:rsidRPr="000159DD">
        <w:rPr>
          <w:rFonts w:hAnsiTheme="minorEastAsia"/>
          <w:iCs/>
          <w:color w:val="000000"/>
          <w:kern w:val="18"/>
          <w:lang w:eastAsia="zh-CN"/>
        </w:rPr>
        <w:t>BG</w:t>
      </w:r>
      <w:r w:rsidRPr="002F0FB1">
        <w:rPr>
          <w:rFonts w:hAnsiTheme="minorEastAsia"/>
          <w:iCs/>
          <w:color w:val="000000"/>
          <w:kern w:val="18"/>
          <w:lang w:eastAsia="zh-CN"/>
        </w:rPr>
        <w:t>和</w:t>
      </w:r>
      <w:r w:rsidRPr="000159DD">
        <w:rPr>
          <w:rFonts w:hAnsiTheme="minorEastAsia"/>
          <w:iCs/>
          <w:color w:val="000000"/>
          <w:kern w:val="18"/>
          <w:lang w:eastAsia="zh-CN"/>
        </w:rPr>
        <w:t>BB</w:t>
      </w:r>
      <w:r w:rsidRPr="000159DD">
        <w:rPr>
          <w:rFonts w:hAnsiTheme="minorEastAsia"/>
          <w:iCs/>
          <w:color w:val="000000"/>
          <w:kern w:val="18"/>
          <w:lang w:eastAsia="zh-CN"/>
        </w:rPr>
        <w:t>）</w:t>
      </w:r>
      <w:r>
        <w:rPr>
          <w:rFonts w:hAnsiTheme="minorEastAsia" w:hint="eastAsia"/>
          <w:iCs/>
          <w:color w:val="000000"/>
          <w:kern w:val="18"/>
          <w:lang w:eastAsia="zh-CN"/>
        </w:rPr>
        <w:t>摊款</w:t>
      </w:r>
      <w:r w:rsidRPr="002F0FB1">
        <w:rPr>
          <w:rFonts w:hAnsiTheme="minorEastAsia"/>
          <w:iCs/>
          <w:color w:val="000000"/>
          <w:kern w:val="18"/>
          <w:lang w:eastAsia="zh-CN"/>
        </w:rPr>
        <w:t>的情况，以期为</w:t>
      </w:r>
      <w:r>
        <w:rPr>
          <w:rFonts w:hAnsiTheme="minorEastAsia"/>
          <w:iCs/>
          <w:color w:val="000000"/>
          <w:kern w:val="18"/>
          <w:lang w:eastAsia="zh-CN"/>
        </w:rPr>
        <w:t>《公约》及其《议定书》</w:t>
      </w:r>
      <w:r w:rsidRPr="002F0FB1">
        <w:rPr>
          <w:rFonts w:hAnsiTheme="minorEastAsia"/>
          <w:iCs/>
          <w:color w:val="000000"/>
          <w:kern w:val="18"/>
          <w:lang w:eastAsia="zh-CN"/>
        </w:rPr>
        <w:t>的所有缔约方</w:t>
      </w:r>
      <w:r w:rsidRPr="002F0FB1">
        <w:rPr>
          <w:rFonts w:hAnsiTheme="minorEastAsia" w:hint="eastAsia"/>
          <w:iCs/>
          <w:color w:val="000000"/>
          <w:kern w:val="18"/>
          <w:lang w:eastAsia="zh-CN"/>
        </w:rPr>
        <w:t>的</w:t>
      </w:r>
      <w:r w:rsidRPr="002F0FB1">
        <w:rPr>
          <w:rFonts w:hAnsiTheme="minorEastAsia"/>
          <w:iCs/>
          <w:color w:val="000000"/>
          <w:kern w:val="18"/>
          <w:lang w:eastAsia="zh-CN"/>
        </w:rPr>
        <w:t>惠益全额支付此类欠款，并</w:t>
      </w:r>
      <w:r w:rsidRPr="000159DD">
        <w:rPr>
          <w:rFonts w:ascii="KaiTi" w:eastAsia="KaiTi" w:hAnsi="KaiTi"/>
          <w:iCs/>
          <w:color w:val="000000"/>
          <w:kern w:val="18"/>
          <w:lang w:eastAsia="zh-CN"/>
        </w:rPr>
        <w:t>请</w:t>
      </w:r>
      <w:r w:rsidRPr="002F0FB1">
        <w:rPr>
          <w:rFonts w:hAnsiTheme="minorEastAsia"/>
          <w:iCs/>
          <w:color w:val="000000"/>
          <w:kern w:val="18"/>
          <w:lang w:eastAsia="zh-CN"/>
        </w:rPr>
        <w:t>执行秘</w:t>
      </w:r>
      <w:r w:rsidRPr="002F0FB1">
        <w:rPr>
          <w:rFonts w:hAnsiTheme="minorEastAsia" w:hint="eastAsia"/>
          <w:iCs/>
          <w:color w:val="000000"/>
          <w:kern w:val="18"/>
          <w:lang w:eastAsia="zh-CN"/>
        </w:rPr>
        <w:t>书向</w:t>
      </w:r>
      <w:r w:rsidRPr="002F0FB1">
        <w:rPr>
          <w:rFonts w:hAnsiTheme="minorEastAsia"/>
          <w:iCs/>
          <w:color w:val="000000"/>
          <w:kern w:val="18"/>
          <w:lang w:eastAsia="zh-CN"/>
        </w:rPr>
        <w:t>主席团和和缔约方大会第十五届会议报告这些拖欠</w:t>
      </w:r>
      <w:r>
        <w:rPr>
          <w:rFonts w:hAnsiTheme="minorEastAsia" w:hint="eastAsia"/>
          <w:iCs/>
          <w:color w:val="000000"/>
          <w:kern w:val="18"/>
          <w:lang w:eastAsia="zh-CN"/>
        </w:rPr>
        <w:t>款项</w:t>
      </w:r>
      <w:r w:rsidRPr="002F0FB1">
        <w:rPr>
          <w:rFonts w:hAnsiTheme="minorEastAsia"/>
          <w:iCs/>
          <w:color w:val="000000"/>
          <w:kern w:val="18"/>
          <w:lang w:eastAsia="zh-CN"/>
        </w:rPr>
        <w:t>的状况；</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eastAsia="zh-CN"/>
        </w:rPr>
      </w:pPr>
      <w:r w:rsidRPr="00421205">
        <w:rPr>
          <w:rFonts w:ascii="KaiTi" w:eastAsia="KaiTi" w:hAnsi="KaiTi"/>
          <w:iCs/>
          <w:color w:val="000000"/>
          <w:kern w:val="18"/>
          <w:lang w:eastAsia="ko-KR"/>
        </w:rPr>
        <w:t>确认</w:t>
      </w:r>
      <w:r w:rsidRPr="00421205">
        <w:rPr>
          <w:rFonts w:hAnsiTheme="minorEastAsia"/>
          <w:iCs/>
          <w:color w:val="000000"/>
          <w:kern w:val="18"/>
          <w:lang w:eastAsia="zh-CN"/>
        </w:rPr>
        <w:t>，关于</w:t>
      </w:r>
      <w:r w:rsidRPr="00421205">
        <w:rPr>
          <w:iCs/>
          <w:color w:val="000000"/>
          <w:kern w:val="18"/>
          <w:lang w:eastAsia="zh-CN"/>
        </w:rPr>
        <w:t>2005</w:t>
      </w:r>
      <w:r w:rsidRPr="00421205">
        <w:rPr>
          <w:rFonts w:hAnsiTheme="minorEastAsia"/>
          <w:iCs/>
          <w:color w:val="000000"/>
          <w:kern w:val="18"/>
          <w:lang w:eastAsia="zh-CN"/>
        </w:rPr>
        <w:t>年</w:t>
      </w:r>
      <w:r w:rsidRPr="00421205">
        <w:rPr>
          <w:iCs/>
          <w:color w:val="000000"/>
          <w:kern w:val="18"/>
          <w:lang w:eastAsia="zh-CN"/>
        </w:rPr>
        <w:t>1</w:t>
      </w:r>
      <w:r w:rsidRPr="00421205">
        <w:rPr>
          <w:rFonts w:hAnsiTheme="minorEastAsia"/>
          <w:iCs/>
          <w:color w:val="000000"/>
          <w:kern w:val="18"/>
          <w:lang w:eastAsia="zh-CN"/>
        </w:rPr>
        <w:t>月</w:t>
      </w:r>
      <w:r w:rsidRPr="00421205">
        <w:rPr>
          <w:iCs/>
          <w:color w:val="000000"/>
          <w:kern w:val="18"/>
          <w:lang w:eastAsia="zh-CN"/>
        </w:rPr>
        <w:t>1</w:t>
      </w:r>
      <w:r w:rsidRPr="00421205">
        <w:rPr>
          <w:rFonts w:hAnsiTheme="minorEastAsia"/>
          <w:iCs/>
          <w:color w:val="000000"/>
          <w:kern w:val="18"/>
          <w:lang w:eastAsia="zh-CN"/>
        </w:rPr>
        <w:t>日以后到期的</w:t>
      </w:r>
      <w:r>
        <w:rPr>
          <w:rFonts w:hAnsiTheme="minorEastAsia" w:hint="eastAsia"/>
          <w:iCs/>
          <w:color w:val="000000"/>
          <w:kern w:val="18"/>
          <w:lang w:eastAsia="zh-CN"/>
        </w:rPr>
        <w:t>摊款</w:t>
      </w:r>
      <w:r w:rsidRPr="00421205">
        <w:rPr>
          <w:rFonts w:hAnsiTheme="minorEastAsia"/>
          <w:iCs/>
          <w:color w:val="000000"/>
          <w:kern w:val="18"/>
          <w:lang w:eastAsia="zh-CN"/>
        </w:rPr>
        <w:t>，拖欠</w:t>
      </w:r>
      <w:r>
        <w:rPr>
          <w:rFonts w:hAnsiTheme="minorEastAsia" w:hint="eastAsia"/>
          <w:iCs/>
          <w:color w:val="000000"/>
          <w:kern w:val="18"/>
          <w:lang w:eastAsia="zh-CN"/>
        </w:rPr>
        <w:t>摊款</w:t>
      </w:r>
      <w:r w:rsidRPr="00421205">
        <w:rPr>
          <w:rFonts w:hAnsiTheme="minorEastAsia"/>
          <w:iCs/>
          <w:color w:val="000000"/>
          <w:kern w:val="18"/>
          <w:lang w:eastAsia="zh-CN"/>
        </w:rPr>
        <w:t>两</w:t>
      </w:r>
      <w:r>
        <w:rPr>
          <w:rFonts w:hAnsiTheme="minorEastAsia"/>
          <w:iCs/>
          <w:color w:val="000000"/>
          <w:kern w:val="18"/>
          <w:lang w:eastAsia="zh-CN"/>
        </w:rPr>
        <w:t>（</w:t>
      </w:r>
      <w:r w:rsidRPr="00421205">
        <w:rPr>
          <w:iCs/>
          <w:color w:val="000000"/>
          <w:kern w:val="18"/>
          <w:lang w:eastAsia="zh-CN"/>
        </w:rPr>
        <w:t>2</w:t>
      </w:r>
      <w:r>
        <w:rPr>
          <w:rFonts w:hAnsiTheme="minorEastAsia"/>
          <w:iCs/>
          <w:color w:val="000000"/>
          <w:kern w:val="18"/>
          <w:lang w:eastAsia="zh-CN"/>
        </w:rPr>
        <w:t>）</w:t>
      </w:r>
      <w:r w:rsidRPr="00421205">
        <w:rPr>
          <w:rFonts w:hAnsiTheme="minorEastAsia"/>
          <w:iCs/>
          <w:color w:val="000000"/>
          <w:kern w:val="18"/>
          <w:lang w:eastAsia="zh-CN"/>
        </w:rPr>
        <w:t>年或</w:t>
      </w:r>
      <w:r>
        <w:rPr>
          <w:rFonts w:hAnsiTheme="minorEastAsia" w:hint="eastAsia"/>
          <w:iCs/>
          <w:color w:val="000000"/>
          <w:kern w:val="18"/>
          <w:lang w:eastAsia="zh-CN"/>
        </w:rPr>
        <w:t>两年</w:t>
      </w:r>
      <w:r w:rsidRPr="00421205">
        <w:rPr>
          <w:rFonts w:hAnsiTheme="minorEastAsia"/>
          <w:iCs/>
          <w:color w:val="000000"/>
          <w:kern w:val="18"/>
          <w:lang w:eastAsia="zh-CN"/>
        </w:rPr>
        <w:t>以上的缔约方将无资格成为《公约》及其《议定书》或科学，技术和工艺咨询附属机构主席团的成员，或提名履约委员会</w:t>
      </w:r>
      <w:r>
        <w:rPr>
          <w:rFonts w:hAnsiTheme="minorEastAsia" w:hint="eastAsia"/>
          <w:iCs/>
          <w:color w:val="000000"/>
          <w:kern w:val="18"/>
          <w:lang w:eastAsia="zh-CN"/>
        </w:rPr>
        <w:t>的</w:t>
      </w:r>
      <w:r w:rsidRPr="00421205">
        <w:rPr>
          <w:rFonts w:hAnsiTheme="minorEastAsia"/>
          <w:iCs/>
          <w:color w:val="000000"/>
          <w:kern w:val="18"/>
          <w:lang w:eastAsia="zh-CN"/>
        </w:rPr>
        <w:t>成员，并</w:t>
      </w:r>
      <w:r w:rsidRPr="00421205">
        <w:rPr>
          <w:rFonts w:ascii="KaiTi" w:eastAsia="KaiTi" w:hAnsi="KaiTi"/>
          <w:iCs/>
          <w:color w:val="000000"/>
          <w:kern w:val="18"/>
          <w:lang w:eastAsia="ko-KR"/>
        </w:rPr>
        <w:t>决定</w:t>
      </w:r>
      <w:r w:rsidRPr="00421205">
        <w:rPr>
          <w:rFonts w:hAnsiTheme="minorEastAsia"/>
          <w:iCs/>
          <w:color w:val="000000"/>
          <w:kern w:val="18"/>
          <w:lang w:eastAsia="zh-CN"/>
        </w:rPr>
        <w:t>这将仅适用于不是最不发达国家或小岛屿发展中国家的缔约方；</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color w:val="000000"/>
          <w:kern w:val="18"/>
          <w:lang w:eastAsia="zh-CN"/>
        </w:rPr>
      </w:pPr>
      <w:r w:rsidRPr="00421205">
        <w:rPr>
          <w:rFonts w:ascii="KaiTi" w:eastAsia="KaiTi" w:hAnsi="KaiTi"/>
          <w:iCs/>
          <w:color w:val="000000"/>
          <w:kern w:val="18"/>
          <w:lang w:eastAsia="ko-KR"/>
        </w:rPr>
        <w:t>授权</w:t>
      </w:r>
      <w:r w:rsidRPr="00421205">
        <w:rPr>
          <w:rFonts w:hAnsiTheme="minorEastAsia"/>
          <w:color w:val="000000"/>
          <w:kern w:val="18"/>
          <w:lang w:eastAsia="zh-CN"/>
        </w:rPr>
        <w:t>执行秘书与拖欠</w:t>
      </w:r>
      <w:r>
        <w:rPr>
          <w:rFonts w:hAnsiTheme="minorEastAsia" w:hint="eastAsia"/>
          <w:color w:val="000000"/>
          <w:kern w:val="18"/>
          <w:lang w:eastAsia="zh-CN"/>
        </w:rPr>
        <w:t>摊款</w:t>
      </w:r>
      <w:r w:rsidRPr="00421205">
        <w:rPr>
          <w:rFonts w:hAnsiTheme="minorEastAsia"/>
          <w:color w:val="000000"/>
          <w:kern w:val="18"/>
          <w:lang w:eastAsia="zh-CN"/>
        </w:rPr>
        <w:t>达两年或两年以上的任何缔约方达成安排，为此类缔约方共同商定</w:t>
      </w:r>
      <w:r w:rsidRPr="002F0FB1">
        <w:rPr>
          <w:rFonts w:ascii="SimSun" w:hAnsi="SimSun"/>
          <w:color w:val="000000"/>
          <w:kern w:val="18"/>
          <w:lang w:eastAsia="zh-CN"/>
        </w:rPr>
        <w:t>“</w:t>
      </w:r>
      <w:r w:rsidRPr="002F0FB1">
        <w:rPr>
          <w:rFonts w:ascii="SimSun" w:hAnsi="SimSun"/>
          <w:color w:val="000000"/>
          <w:kern w:val="18"/>
          <w:lang w:eastAsia="zh-CN"/>
        </w:rPr>
        <w:t>付款时间表</w:t>
      </w:r>
      <w:r w:rsidRPr="002F0FB1">
        <w:rPr>
          <w:rFonts w:ascii="SimSun" w:hAnsi="SimSun"/>
          <w:color w:val="000000"/>
          <w:kern w:val="18"/>
          <w:lang w:eastAsia="zh-CN"/>
        </w:rPr>
        <w:t>”</w:t>
      </w:r>
      <w:r w:rsidRPr="00421205">
        <w:rPr>
          <w:rFonts w:hAnsiTheme="minorEastAsia"/>
          <w:color w:val="000000"/>
          <w:kern w:val="18"/>
          <w:lang w:eastAsia="zh-CN"/>
        </w:rPr>
        <w:t>，使拖欠</w:t>
      </w:r>
      <w:r>
        <w:rPr>
          <w:rFonts w:hAnsiTheme="minorEastAsia" w:hint="eastAsia"/>
          <w:color w:val="000000"/>
          <w:kern w:val="18"/>
          <w:lang w:eastAsia="zh-CN"/>
        </w:rPr>
        <w:t>款项</w:t>
      </w:r>
      <w:r w:rsidRPr="00421205">
        <w:rPr>
          <w:rFonts w:hAnsiTheme="minorEastAsia"/>
          <w:color w:val="000000"/>
          <w:kern w:val="18"/>
          <w:lang w:eastAsia="zh-CN"/>
        </w:rPr>
        <w:t>的缔约方根据其财政状况在</w:t>
      </w:r>
      <w:r w:rsidRPr="00421205">
        <w:rPr>
          <w:color w:val="000000"/>
          <w:kern w:val="18"/>
          <w:lang w:eastAsia="zh-CN"/>
        </w:rPr>
        <w:t>6</w:t>
      </w:r>
      <w:r w:rsidRPr="00421205">
        <w:rPr>
          <w:rFonts w:hAnsiTheme="minorEastAsia"/>
          <w:color w:val="000000"/>
          <w:kern w:val="18"/>
          <w:lang w:eastAsia="zh-CN"/>
        </w:rPr>
        <w:t>年内清偿所有未缴</w:t>
      </w:r>
      <w:r w:rsidRPr="00421205">
        <w:rPr>
          <w:rFonts w:hAnsiTheme="minorEastAsia"/>
          <w:color w:val="000000"/>
          <w:kern w:val="18"/>
          <w:lang w:eastAsia="zh-CN"/>
        </w:rPr>
        <w:lastRenderedPageBreak/>
        <w:t>欠款，并按时缴纳今后的</w:t>
      </w:r>
      <w:r>
        <w:rPr>
          <w:rFonts w:hAnsiTheme="minorEastAsia" w:hint="eastAsia"/>
          <w:color w:val="000000"/>
          <w:kern w:val="18"/>
          <w:lang w:eastAsia="zh-CN"/>
        </w:rPr>
        <w:t>摊款</w:t>
      </w:r>
      <w:r w:rsidRPr="00421205">
        <w:rPr>
          <w:rFonts w:hAnsiTheme="minorEastAsia"/>
          <w:color w:val="000000"/>
          <w:kern w:val="18"/>
          <w:lang w:eastAsia="zh-CN"/>
        </w:rPr>
        <w:t>，并向主席团下次会议和缔约方大会报告任何这种安排的执行情况；</w:t>
      </w:r>
    </w:p>
    <w:p w:rsidR="00B72FA3" w:rsidRPr="00C168DD" w:rsidRDefault="00B72FA3" w:rsidP="008640E9">
      <w:pPr>
        <w:pStyle w:val="ListParagraph"/>
        <w:widowControl w:val="0"/>
        <w:numPr>
          <w:ilvl w:val="0"/>
          <w:numId w:val="280"/>
        </w:numPr>
        <w:shd w:val="clear" w:color="auto" w:fill="FFFFFF" w:themeFill="background1"/>
        <w:tabs>
          <w:tab w:val="left" w:pos="1440"/>
        </w:tabs>
        <w:adjustRightInd w:val="0"/>
        <w:snapToGrid w:val="0"/>
        <w:ind w:left="0" w:firstLine="720"/>
        <w:rPr>
          <w:rFonts w:hAnsiTheme="minorEastAsia"/>
          <w:iCs/>
          <w:color w:val="000000"/>
          <w:kern w:val="18"/>
          <w:lang w:eastAsia="zh-CN"/>
        </w:rPr>
      </w:pPr>
      <w:r w:rsidRPr="00C168DD">
        <w:rPr>
          <w:rFonts w:ascii="KaiTi" w:eastAsia="KaiTi" w:hAnsi="KaiTi"/>
          <w:iCs/>
          <w:color w:val="000000"/>
          <w:kern w:val="18"/>
          <w:lang w:eastAsia="ko-KR"/>
        </w:rPr>
        <w:t>决定</w:t>
      </w:r>
      <w:r>
        <w:rPr>
          <w:rFonts w:hAnsiTheme="minorEastAsia" w:hint="eastAsia"/>
          <w:iCs/>
          <w:color w:val="000000"/>
          <w:kern w:val="18"/>
          <w:lang w:eastAsia="zh-CN"/>
        </w:rPr>
        <w:t>，</w:t>
      </w:r>
      <w:r w:rsidRPr="00C168DD">
        <w:rPr>
          <w:rFonts w:hAnsiTheme="minorEastAsia" w:hint="eastAsia"/>
          <w:iCs/>
          <w:color w:val="000000"/>
          <w:kern w:val="18"/>
          <w:lang w:eastAsia="zh-CN"/>
        </w:rPr>
        <w:t>具有</w:t>
      </w:r>
      <w:r w:rsidRPr="00C168DD">
        <w:rPr>
          <w:rFonts w:hAnsiTheme="minorEastAsia"/>
          <w:iCs/>
          <w:color w:val="000000"/>
          <w:kern w:val="18"/>
          <w:lang w:eastAsia="zh-CN"/>
        </w:rPr>
        <w:t>上文第</w:t>
      </w:r>
      <w:r w:rsidRPr="00C168DD">
        <w:rPr>
          <w:rFonts w:hAnsiTheme="minorEastAsia"/>
          <w:iCs/>
          <w:color w:val="000000"/>
          <w:kern w:val="18"/>
          <w:lang w:eastAsia="zh-CN"/>
        </w:rPr>
        <w:t>29</w:t>
      </w:r>
      <w:r w:rsidRPr="00C168DD">
        <w:rPr>
          <w:rFonts w:hAnsiTheme="minorEastAsia"/>
          <w:iCs/>
          <w:color w:val="000000"/>
          <w:kern w:val="18"/>
          <w:lang w:eastAsia="zh-CN"/>
        </w:rPr>
        <w:t>段商定</w:t>
      </w:r>
      <w:r>
        <w:rPr>
          <w:rFonts w:hAnsiTheme="minorEastAsia" w:hint="eastAsia"/>
          <w:iCs/>
          <w:color w:val="000000"/>
          <w:kern w:val="18"/>
          <w:lang w:eastAsia="zh-CN"/>
        </w:rPr>
        <w:t>的</w:t>
      </w:r>
      <w:r w:rsidRPr="00C168DD">
        <w:rPr>
          <w:rFonts w:hAnsiTheme="minorEastAsia"/>
          <w:iCs/>
          <w:color w:val="000000"/>
          <w:kern w:val="18"/>
          <w:lang w:eastAsia="zh-CN"/>
        </w:rPr>
        <w:t>安排并完全遵守该安排</w:t>
      </w:r>
      <w:r>
        <w:rPr>
          <w:rFonts w:hAnsiTheme="minorEastAsia" w:hint="eastAsia"/>
          <w:iCs/>
          <w:color w:val="000000"/>
          <w:kern w:val="18"/>
          <w:lang w:eastAsia="zh-CN"/>
        </w:rPr>
        <w:t>的</w:t>
      </w:r>
      <w:r w:rsidRPr="00C168DD">
        <w:rPr>
          <w:rFonts w:hAnsiTheme="minorEastAsia"/>
          <w:iCs/>
          <w:color w:val="000000"/>
          <w:kern w:val="18"/>
          <w:lang w:eastAsia="zh-CN"/>
        </w:rPr>
        <w:t>规定的缔约方，不受上文第</w:t>
      </w:r>
      <w:r w:rsidRPr="00C168DD">
        <w:rPr>
          <w:rFonts w:hAnsiTheme="minorEastAsia"/>
          <w:iCs/>
          <w:color w:val="000000"/>
          <w:kern w:val="18"/>
          <w:lang w:eastAsia="zh-CN"/>
        </w:rPr>
        <w:t>28</w:t>
      </w:r>
      <w:r w:rsidRPr="00C168DD">
        <w:rPr>
          <w:rFonts w:hAnsiTheme="minorEastAsia"/>
          <w:iCs/>
          <w:color w:val="000000"/>
          <w:kern w:val="18"/>
          <w:lang w:eastAsia="zh-CN"/>
        </w:rPr>
        <w:t>段规定的约束</w:t>
      </w:r>
      <w:r w:rsidRPr="00421205">
        <w:rPr>
          <w:rFonts w:hAnsiTheme="minorEastAsia"/>
          <w:iCs/>
          <w:color w:val="000000"/>
          <w:kern w:val="18"/>
          <w:lang w:eastAsia="zh-CN"/>
        </w:rPr>
        <w:t>；</w:t>
      </w:r>
    </w:p>
    <w:p w:rsidR="00B72FA3" w:rsidRPr="00F111AB" w:rsidRDefault="00B72FA3" w:rsidP="008640E9">
      <w:pPr>
        <w:pStyle w:val="ListParagraph"/>
        <w:widowControl w:val="0"/>
        <w:numPr>
          <w:ilvl w:val="0"/>
          <w:numId w:val="280"/>
        </w:numPr>
        <w:shd w:val="clear" w:color="auto" w:fill="FFFFFF" w:themeFill="background1"/>
        <w:tabs>
          <w:tab w:val="left" w:pos="1440"/>
        </w:tabs>
        <w:adjustRightInd w:val="0"/>
        <w:snapToGrid w:val="0"/>
        <w:ind w:left="0" w:firstLine="720"/>
        <w:rPr>
          <w:iCs/>
          <w:color w:val="000000"/>
          <w:kern w:val="18"/>
          <w:lang w:eastAsia="ko-KR"/>
        </w:rPr>
      </w:pPr>
      <w:r w:rsidRPr="00F111AB">
        <w:rPr>
          <w:rFonts w:ascii="KaiTi" w:eastAsia="KaiTi" w:hAnsi="KaiTi"/>
          <w:iCs/>
          <w:color w:val="000000"/>
          <w:kern w:val="18"/>
          <w:lang w:eastAsia="ko-KR"/>
        </w:rPr>
        <w:t>请</w:t>
      </w:r>
      <w:r w:rsidRPr="00F111AB">
        <w:rPr>
          <w:rFonts w:hAnsiTheme="minorEastAsia"/>
          <w:iCs/>
          <w:color w:val="000000"/>
          <w:kern w:val="18"/>
          <w:lang w:eastAsia="ko-KR"/>
        </w:rPr>
        <w:t>执行秘书并</w:t>
      </w:r>
      <w:r w:rsidRPr="00F111AB">
        <w:rPr>
          <w:rFonts w:ascii="KaiTi" w:eastAsia="KaiTi" w:hAnsi="KaiTi"/>
          <w:iCs/>
          <w:color w:val="000000"/>
          <w:kern w:val="18"/>
          <w:lang w:eastAsia="ko-KR"/>
        </w:rPr>
        <w:t>邀请</w:t>
      </w:r>
      <w:r w:rsidRPr="00F111AB">
        <w:rPr>
          <w:rFonts w:hAnsiTheme="minorEastAsia"/>
          <w:iCs/>
          <w:color w:val="000000"/>
          <w:kern w:val="18"/>
          <w:lang w:eastAsia="ko-KR"/>
        </w:rPr>
        <w:t>缔约方大会主席以联合签署信函</w:t>
      </w:r>
      <w:r w:rsidRPr="00F111AB">
        <w:rPr>
          <w:rFonts w:hAnsiTheme="minorEastAsia" w:hint="eastAsia"/>
          <w:iCs/>
          <w:color w:val="000000"/>
          <w:kern w:val="18"/>
          <w:lang w:eastAsia="zh-CN"/>
        </w:rPr>
        <w:t>的</w:t>
      </w:r>
      <w:r w:rsidRPr="00F111AB">
        <w:rPr>
          <w:rFonts w:hAnsiTheme="minorEastAsia"/>
          <w:iCs/>
          <w:color w:val="000000"/>
          <w:kern w:val="18"/>
          <w:lang w:eastAsia="zh-CN"/>
        </w:rPr>
        <w:t>形式</w:t>
      </w:r>
      <w:r w:rsidRPr="00F111AB">
        <w:rPr>
          <w:rFonts w:hAnsiTheme="minorEastAsia" w:hint="eastAsia"/>
          <w:iCs/>
          <w:color w:val="000000"/>
          <w:kern w:val="18"/>
          <w:lang w:eastAsia="zh-CN"/>
        </w:rPr>
        <w:t>通知拖欠</w:t>
      </w:r>
      <w:r>
        <w:rPr>
          <w:rFonts w:hAnsiTheme="minorEastAsia" w:hint="eastAsia"/>
          <w:iCs/>
          <w:color w:val="000000"/>
          <w:kern w:val="18"/>
          <w:lang w:eastAsia="zh-CN"/>
        </w:rPr>
        <w:t>缴款</w:t>
      </w:r>
      <w:r w:rsidRPr="00F111AB">
        <w:rPr>
          <w:rFonts w:hAnsiTheme="minorEastAsia"/>
          <w:iCs/>
          <w:color w:val="000000"/>
          <w:kern w:val="18"/>
          <w:lang w:eastAsia="zh-CN"/>
        </w:rPr>
        <w:t>的缔约方，请</w:t>
      </w:r>
      <w:r w:rsidRPr="00F111AB">
        <w:rPr>
          <w:rFonts w:hAnsiTheme="minorEastAsia"/>
          <w:iCs/>
          <w:color w:val="000000"/>
          <w:kern w:val="18"/>
          <w:lang w:eastAsia="ko-KR"/>
        </w:rPr>
        <w:t>其及时采取行动，并</w:t>
      </w:r>
      <w:r>
        <w:rPr>
          <w:rFonts w:hAnsiTheme="minorEastAsia" w:hint="eastAsia"/>
          <w:iCs/>
          <w:color w:val="000000"/>
          <w:kern w:val="18"/>
          <w:lang w:eastAsia="zh-CN"/>
        </w:rPr>
        <w:t>对</w:t>
      </w:r>
      <w:r w:rsidRPr="00F111AB">
        <w:rPr>
          <w:rFonts w:hAnsiTheme="minorEastAsia"/>
          <w:iCs/>
          <w:color w:val="000000"/>
          <w:kern w:val="18"/>
          <w:lang w:eastAsia="ko-KR"/>
        </w:rPr>
        <w:t>作出积极回应</w:t>
      </w:r>
      <w:r>
        <w:rPr>
          <w:rFonts w:hAnsiTheme="minorEastAsia" w:hint="eastAsia"/>
          <w:iCs/>
          <w:color w:val="000000"/>
          <w:kern w:val="18"/>
          <w:lang w:eastAsia="zh-CN"/>
        </w:rPr>
        <w:t>支付欠款</w:t>
      </w:r>
      <w:r w:rsidRPr="00F111AB">
        <w:rPr>
          <w:rFonts w:hAnsiTheme="minorEastAsia"/>
          <w:iCs/>
          <w:color w:val="000000"/>
          <w:kern w:val="18"/>
          <w:lang w:eastAsia="ko-KR"/>
        </w:rPr>
        <w:t>的缔约方</w:t>
      </w:r>
      <w:r>
        <w:rPr>
          <w:rFonts w:hAnsiTheme="minorEastAsia" w:hint="eastAsia"/>
          <w:iCs/>
          <w:color w:val="000000"/>
          <w:kern w:val="18"/>
          <w:lang w:eastAsia="zh-CN"/>
        </w:rPr>
        <w:t>表示感谢</w:t>
      </w:r>
      <w:r w:rsidRPr="00F111AB">
        <w:rPr>
          <w:rFonts w:hAnsiTheme="minorEastAsia"/>
          <w:iCs/>
          <w:color w:val="000000"/>
          <w:kern w:val="18"/>
          <w:lang w:eastAsia="ko-KR"/>
        </w:rPr>
        <w:t>；</w:t>
      </w:r>
    </w:p>
    <w:p w:rsidR="00B72FA3" w:rsidRPr="00F111AB"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eastAsia="ko-KR"/>
        </w:rPr>
      </w:pPr>
      <w:r w:rsidRPr="00F111AB">
        <w:rPr>
          <w:rFonts w:ascii="KaiTi" w:eastAsia="KaiTi" w:hAnsi="KaiTi"/>
          <w:iCs/>
          <w:color w:val="000000"/>
          <w:kern w:val="18"/>
          <w:lang w:eastAsia="ko-KR"/>
        </w:rPr>
        <w:t>注意到</w:t>
      </w:r>
      <w:r>
        <w:rPr>
          <w:rFonts w:hAnsiTheme="minorEastAsia"/>
          <w:iCs/>
          <w:color w:val="000000"/>
          <w:kern w:val="18"/>
          <w:lang w:eastAsia="ko-KR"/>
        </w:rPr>
        <w:t>《公约》及其《议定书》</w:t>
      </w:r>
      <w:r w:rsidRPr="00F111AB">
        <w:rPr>
          <w:rFonts w:hAnsiTheme="minorEastAsia"/>
          <w:iCs/>
          <w:color w:val="000000"/>
          <w:kern w:val="18"/>
          <w:lang w:val="en-CA" w:eastAsia="ko-KR"/>
        </w:rPr>
        <w:t>的信托基金</w:t>
      </w:r>
      <w:r>
        <w:rPr>
          <w:rFonts w:hAnsiTheme="minorEastAsia"/>
          <w:iCs/>
          <w:color w:val="000000"/>
          <w:kern w:val="18"/>
          <w:lang w:val="en-CA" w:eastAsia="ko-KR"/>
        </w:rPr>
        <w:t>（</w:t>
      </w:r>
      <w:r w:rsidRPr="00F111AB">
        <w:rPr>
          <w:iCs/>
          <w:color w:val="000000"/>
          <w:kern w:val="18"/>
          <w:lang w:val="en-CA" w:eastAsia="ko-KR"/>
        </w:rPr>
        <w:t>BY</w:t>
      </w:r>
      <w:r w:rsidRPr="00F111AB">
        <w:rPr>
          <w:rFonts w:hAnsiTheme="minorEastAsia"/>
          <w:iCs/>
          <w:color w:val="000000"/>
          <w:kern w:val="18"/>
          <w:lang w:val="en-CA" w:eastAsia="ko-KR"/>
        </w:rPr>
        <w:t>、</w:t>
      </w:r>
      <w:r w:rsidRPr="00F111AB">
        <w:rPr>
          <w:iCs/>
          <w:color w:val="000000"/>
          <w:kern w:val="18"/>
          <w:lang w:val="en-CA" w:eastAsia="ko-KR"/>
        </w:rPr>
        <w:t>BG</w:t>
      </w:r>
      <w:r w:rsidRPr="00F111AB">
        <w:rPr>
          <w:rFonts w:hAnsiTheme="minorEastAsia"/>
          <w:iCs/>
          <w:color w:val="000000"/>
          <w:kern w:val="18"/>
          <w:lang w:val="en-CA" w:eastAsia="ko-KR"/>
        </w:rPr>
        <w:t>和</w:t>
      </w:r>
      <w:r w:rsidRPr="00F111AB">
        <w:rPr>
          <w:iCs/>
          <w:color w:val="000000"/>
          <w:kern w:val="18"/>
          <w:lang w:val="en-CA" w:eastAsia="ko-KR"/>
        </w:rPr>
        <w:t>BB</w:t>
      </w:r>
      <w:r>
        <w:rPr>
          <w:rFonts w:hAnsiTheme="minorEastAsia"/>
          <w:iCs/>
          <w:color w:val="000000"/>
          <w:kern w:val="18"/>
          <w:lang w:val="en-CA" w:eastAsia="ko-KR"/>
        </w:rPr>
        <w:t>）</w:t>
      </w:r>
      <w:r w:rsidRPr="00F111AB">
        <w:rPr>
          <w:rFonts w:hAnsiTheme="minorEastAsia" w:hint="eastAsia"/>
          <w:iCs/>
          <w:color w:val="000000"/>
          <w:kern w:val="18"/>
          <w:lang w:val="en-CA" w:eastAsia="zh-CN"/>
        </w:rPr>
        <w:t>应</w:t>
      </w:r>
      <w:r w:rsidRPr="00F111AB">
        <w:rPr>
          <w:rFonts w:hAnsiTheme="minorEastAsia"/>
          <w:iCs/>
          <w:color w:val="000000"/>
          <w:kern w:val="18"/>
          <w:lang w:val="en-CA" w:eastAsia="zh-CN"/>
        </w:rPr>
        <w:t>从</w:t>
      </w:r>
      <w:r w:rsidRPr="00F111AB">
        <w:rPr>
          <w:rFonts w:hAnsiTheme="minorEastAsia" w:hint="eastAsia"/>
          <w:iCs/>
          <w:color w:val="000000"/>
          <w:kern w:val="18"/>
          <w:lang w:val="en-CA" w:eastAsia="zh-CN"/>
        </w:rPr>
        <w:t>2020</w:t>
      </w:r>
      <w:r w:rsidRPr="00F111AB">
        <w:rPr>
          <w:rFonts w:hAnsiTheme="minorEastAsia" w:hint="eastAsia"/>
          <w:iCs/>
          <w:color w:val="000000"/>
          <w:kern w:val="18"/>
          <w:lang w:val="en-CA" w:eastAsia="zh-CN"/>
        </w:rPr>
        <w:t>年</w:t>
      </w:r>
      <w:r w:rsidRPr="00F111AB">
        <w:rPr>
          <w:rFonts w:hAnsiTheme="minorEastAsia" w:hint="eastAsia"/>
          <w:iCs/>
          <w:color w:val="000000"/>
          <w:kern w:val="18"/>
          <w:lang w:val="en-CA" w:eastAsia="zh-CN"/>
        </w:rPr>
        <w:t>1</w:t>
      </w:r>
      <w:r w:rsidRPr="00F111AB">
        <w:rPr>
          <w:rFonts w:hAnsiTheme="minorEastAsia" w:hint="eastAsia"/>
          <w:iCs/>
          <w:color w:val="000000"/>
          <w:kern w:val="18"/>
          <w:lang w:val="en-CA" w:eastAsia="zh-CN"/>
        </w:rPr>
        <w:t>月</w:t>
      </w:r>
      <w:r w:rsidRPr="00F111AB">
        <w:rPr>
          <w:rFonts w:hAnsiTheme="minorEastAsia" w:hint="eastAsia"/>
          <w:iCs/>
          <w:color w:val="000000"/>
          <w:kern w:val="18"/>
          <w:lang w:val="en-CA" w:eastAsia="zh-CN"/>
        </w:rPr>
        <w:t>1</w:t>
      </w:r>
      <w:r w:rsidRPr="00F111AB">
        <w:rPr>
          <w:rFonts w:hAnsiTheme="minorEastAsia" w:hint="eastAsia"/>
          <w:iCs/>
          <w:color w:val="000000"/>
          <w:kern w:val="18"/>
          <w:lang w:val="en-CA" w:eastAsia="zh-CN"/>
        </w:rPr>
        <w:t>日</w:t>
      </w:r>
      <w:r w:rsidRPr="00F111AB">
        <w:rPr>
          <w:rFonts w:hAnsiTheme="minorEastAsia"/>
          <w:iCs/>
          <w:color w:val="000000"/>
          <w:kern w:val="18"/>
          <w:lang w:val="en-CA" w:eastAsia="zh-CN"/>
        </w:rPr>
        <w:t>起</w:t>
      </w:r>
      <w:r w:rsidRPr="00F111AB">
        <w:rPr>
          <w:rFonts w:hAnsiTheme="minorEastAsia" w:hint="eastAsia"/>
          <w:iCs/>
          <w:color w:val="000000"/>
          <w:kern w:val="18"/>
          <w:lang w:val="en-CA" w:eastAsia="zh-CN"/>
        </w:rPr>
        <w:t>至</w:t>
      </w:r>
      <w:r w:rsidRPr="00F111AB">
        <w:rPr>
          <w:iCs/>
          <w:color w:val="000000"/>
          <w:kern w:val="18"/>
          <w:lang w:val="en-CA" w:eastAsia="ko-KR"/>
        </w:rPr>
        <w:t>2021</w:t>
      </w:r>
      <w:r w:rsidRPr="00F111AB">
        <w:rPr>
          <w:rFonts w:hAnsiTheme="minorEastAsia"/>
          <w:iCs/>
          <w:color w:val="000000"/>
          <w:kern w:val="18"/>
          <w:lang w:val="en-CA" w:eastAsia="ko-KR"/>
        </w:rPr>
        <w:t>年</w:t>
      </w:r>
      <w:r w:rsidRPr="00F111AB">
        <w:rPr>
          <w:iCs/>
          <w:color w:val="000000"/>
          <w:kern w:val="18"/>
          <w:lang w:val="en-CA" w:eastAsia="ko-KR"/>
        </w:rPr>
        <w:t>12</w:t>
      </w:r>
      <w:r w:rsidRPr="00F111AB">
        <w:rPr>
          <w:rFonts w:hAnsiTheme="minorEastAsia"/>
          <w:iCs/>
          <w:color w:val="000000"/>
          <w:kern w:val="18"/>
          <w:lang w:val="en-CA" w:eastAsia="ko-KR"/>
        </w:rPr>
        <w:t>月</w:t>
      </w:r>
      <w:r w:rsidRPr="00F111AB">
        <w:rPr>
          <w:iCs/>
          <w:color w:val="000000"/>
          <w:kern w:val="18"/>
          <w:lang w:val="en-CA" w:eastAsia="ko-KR"/>
        </w:rPr>
        <w:t>31</w:t>
      </w:r>
      <w:r w:rsidRPr="00F111AB">
        <w:rPr>
          <w:rFonts w:hAnsiTheme="minorEastAsia"/>
          <w:iCs/>
          <w:color w:val="000000"/>
          <w:kern w:val="18"/>
          <w:lang w:val="en-CA" w:eastAsia="ko-KR"/>
        </w:rPr>
        <w:t>日延长两年，并</w:t>
      </w:r>
      <w:r w:rsidRPr="00A702F2">
        <w:rPr>
          <w:rFonts w:ascii="KaiTi" w:eastAsia="KaiTi" w:hAnsi="KaiTi"/>
          <w:iCs/>
          <w:color w:val="000000"/>
          <w:kern w:val="18"/>
          <w:lang w:eastAsia="ko-KR"/>
        </w:rPr>
        <w:t>请</w:t>
      </w:r>
      <w:r w:rsidR="00780033">
        <w:rPr>
          <w:rFonts w:hAnsiTheme="minorEastAsia"/>
          <w:iCs/>
          <w:color w:val="000000"/>
          <w:kern w:val="18"/>
          <w:lang w:val="en-CA" w:eastAsia="ko-KR"/>
        </w:rPr>
        <w:t>联合国环境署</w:t>
      </w:r>
      <w:r w:rsidRPr="00F111AB">
        <w:rPr>
          <w:rFonts w:hAnsiTheme="minorEastAsia"/>
          <w:iCs/>
          <w:color w:val="000000"/>
          <w:kern w:val="18"/>
          <w:lang w:val="en-CA" w:eastAsia="ko-KR"/>
        </w:rPr>
        <w:t>执行主任寻求联合国环境</w:t>
      </w:r>
      <w:r>
        <w:rPr>
          <w:rFonts w:hAnsiTheme="minorEastAsia" w:hint="eastAsia"/>
          <w:iCs/>
          <w:color w:val="000000"/>
          <w:kern w:val="18"/>
          <w:lang w:val="en-CA" w:eastAsia="zh-CN"/>
        </w:rPr>
        <w:t>大会</w:t>
      </w:r>
      <w:r>
        <w:rPr>
          <w:rFonts w:hAnsiTheme="minorEastAsia"/>
          <w:iCs/>
          <w:color w:val="000000"/>
          <w:kern w:val="18"/>
          <w:lang w:val="en-CA" w:eastAsia="zh-CN"/>
        </w:rPr>
        <w:t>核准各</w:t>
      </w:r>
      <w:r>
        <w:rPr>
          <w:rFonts w:hAnsiTheme="minorEastAsia" w:hint="eastAsia"/>
          <w:iCs/>
          <w:color w:val="000000"/>
          <w:kern w:val="18"/>
          <w:lang w:val="en-CA" w:eastAsia="zh-CN"/>
        </w:rPr>
        <w:t>基金</w:t>
      </w:r>
      <w:r>
        <w:rPr>
          <w:rFonts w:hAnsiTheme="minorEastAsia"/>
          <w:iCs/>
          <w:color w:val="000000"/>
          <w:kern w:val="18"/>
          <w:lang w:val="en-CA" w:eastAsia="zh-CN"/>
        </w:rPr>
        <w:t>的延长；</w:t>
      </w:r>
    </w:p>
    <w:p w:rsidR="00B72FA3" w:rsidRPr="00421205"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eastAsia="ko-KR"/>
        </w:rPr>
      </w:pPr>
      <w:r w:rsidRPr="00421205">
        <w:rPr>
          <w:rFonts w:ascii="KaiTi" w:eastAsia="KaiTi" w:hAnsi="KaiTi"/>
          <w:iCs/>
          <w:color w:val="000000"/>
          <w:kern w:val="18"/>
          <w:lang w:eastAsia="ko-KR"/>
        </w:rPr>
        <w:t>确认</w:t>
      </w:r>
      <w:r w:rsidRPr="00421205">
        <w:rPr>
          <w:rFonts w:hAnsiTheme="minorEastAsia"/>
          <w:iCs/>
          <w:color w:val="000000"/>
          <w:kern w:val="18"/>
          <w:lang w:val="en-CA" w:eastAsia="ko-KR"/>
        </w:rPr>
        <w:t>资金估计数为</w:t>
      </w:r>
      <w:r w:rsidRPr="00421205">
        <w:rPr>
          <w:rFonts w:hAnsiTheme="minorEastAsia"/>
          <w:iCs/>
          <w:color w:val="000000"/>
          <w:kern w:val="18"/>
          <w:lang w:val="en-CA"/>
        </w:rPr>
        <w:t>：</w:t>
      </w:r>
    </w:p>
    <w:p w:rsidR="00B72FA3" w:rsidRPr="00353BC8" w:rsidRDefault="00B72FA3" w:rsidP="00615E7F">
      <w:pPr>
        <w:pStyle w:val="ListParagraph"/>
        <w:numPr>
          <w:ilvl w:val="0"/>
          <w:numId w:val="281"/>
        </w:numPr>
        <w:shd w:val="clear" w:color="auto" w:fill="FFFFFF" w:themeFill="background1"/>
        <w:tabs>
          <w:tab w:val="left" w:pos="1440"/>
        </w:tabs>
        <w:adjustRightInd w:val="0"/>
        <w:snapToGrid w:val="0"/>
        <w:ind w:left="0" w:firstLine="720"/>
        <w:rPr>
          <w:iCs/>
          <w:color w:val="000000"/>
          <w:kern w:val="18"/>
          <w:lang w:val="en-CA" w:eastAsia="zh-CN"/>
        </w:rPr>
      </w:pPr>
      <w:r w:rsidRPr="00353BC8">
        <w:rPr>
          <w:iCs/>
          <w:color w:val="000000"/>
          <w:kern w:val="18"/>
          <w:lang w:val="en-CA" w:eastAsia="zh-CN"/>
        </w:rPr>
        <w:t>下表</w:t>
      </w:r>
      <w:r w:rsidRPr="00353BC8">
        <w:rPr>
          <w:iCs/>
          <w:color w:val="000000"/>
          <w:kern w:val="18"/>
          <w:lang w:val="en-CA" w:eastAsia="zh-CN"/>
        </w:rPr>
        <w:t>3</w:t>
      </w:r>
      <w:r w:rsidRPr="00353BC8">
        <w:rPr>
          <w:rFonts w:hint="eastAsia"/>
          <w:iCs/>
          <w:color w:val="000000"/>
          <w:kern w:val="18"/>
          <w:lang w:val="en-CA" w:eastAsia="zh-CN"/>
        </w:rPr>
        <w:t>所列</w:t>
      </w:r>
      <w:r w:rsidRPr="00353BC8">
        <w:rPr>
          <w:iCs/>
          <w:color w:val="000000"/>
          <w:kern w:val="18"/>
          <w:lang w:val="en-CA" w:eastAsia="zh-CN"/>
        </w:rPr>
        <w:t>支持</w:t>
      </w:r>
      <w:r w:rsidRPr="00353BC8">
        <w:rPr>
          <w:iCs/>
          <w:color w:val="000000"/>
          <w:kern w:val="18"/>
          <w:lang w:val="en-CA" w:eastAsia="zh-CN"/>
        </w:rPr>
        <w:t>2019-2020</w:t>
      </w:r>
      <w:r w:rsidRPr="00353BC8">
        <w:rPr>
          <w:iCs/>
          <w:color w:val="000000"/>
          <w:kern w:val="18"/>
          <w:lang w:val="en-CA" w:eastAsia="zh-CN"/>
        </w:rPr>
        <w:t>年期间</w:t>
      </w:r>
      <w:r w:rsidRPr="00353BC8">
        <w:rPr>
          <w:rFonts w:hint="eastAsia"/>
          <w:iCs/>
          <w:color w:val="000000"/>
          <w:kern w:val="18"/>
          <w:lang w:val="en-CA" w:eastAsia="zh-CN"/>
        </w:rPr>
        <w:t>核定</w:t>
      </w:r>
      <w:r w:rsidRPr="00353BC8">
        <w:rPr>
          <w:iCs/>
          <w:color w:val="000000"/>
          <w:kern w:val="18"/>
          <w:lang w:val="en-CA" w:eastAsia="zh-CN"/>
        </w:rPr>
        <w:t>《生物多样性公约》活动的额外自愿捐款信托基金（</w:t>
      </w:r>
      <w:r w:rsidRPr="00353BC8">
        <w:rPr>
          <w:iCs/>
          <w:color w:val="000000"/>
          <w:kern w:val="18"/>
          <w:lang w:val="en-CA" w:eastAsia="zh-CN"/>
        </w:rPr>
        <w:t>BE</w:t>
      </w:r>
      <w:r w:rsidRPr="00353BC8">
        <w:rPr>
          <w:iCs/>
          <w:color w:val="000000"/>
          <w:kern w:val="18"/>
          <w:lang w:val="en-CA" w:eastAsia="zh-CN"/>
        </w:rPr>
        <w:t>）；</w:t>
      </w:r>
    </w:p>
    <w:p w:rsidR="00B72FA3" w:rsidRPr="00421205" w:rsidRDefault="00B72FA3" w:rsidP="00615E7F">
      <w:pPr>
        <w:pStyle w:val="ListParagraph"/>
        <w:numPr>
          <w:ilvl w:val="0"/>
          <w:numId w:val="281"/>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hAnsiTheme="minorEastAsia"/>
          <w:iCs/>
          <w:color w:val="000000"/>
          <w:kern w:val="18"/>
          <w:lang w:val="en-CA" w:eastAsia="zh-CN"/>
        </w:rPr>
        <w:t>下表</w:t>
      </w:r>
      <w:r>
        <w:rPr>
          <w:iCs/>
          <w:color w:val="000000"/>
          <w:kern w:val="18"/>
          <w:lang w:val="en-CA" w:eastAsia="zh-CN"/>
        </w:rPr>
        <w:t>4</w:t>
      </w:r>
      <w:r>
        <w:rPr>
          <w:rFonts w:hint="eastAsia"/>
          <w:iCs/>
          <w:color w:val="000000"/>
          <w:kern w:val="18"/>
          <w:lang w:val="en-CA" w:eastAsia="zh-CN"/>
        </w:rPr>
        <w:t>所载</w:t>
      </w:r>
      <w:r w:rsidRPr="00421205">
        <w:rPr>
          <w:iCs/>
          <w:color w:val="000000"/>
          <w:kern w:val="18"/>
          <w:lang w:val="en-CA" w:eastAsia="zh-CN"/>
        </w:rPr>
        <w:t>2019-</w:t>
      </w:r>
      <w:r w:rsidRPr="00421205">
        <w:rPr>
          <w:iCs/>
          <w:color w:val="000000"/>
          <w:kern w:val="18"/>
          <w:lang w:val="en-CA" w:eastAsia="ko-KR"/>
        </w:rPr>
        <w:t>2020</w:t>
      </w:r>
      <w:r w:rsidRPr="00421205">
        <w:rPr>
          <w:rFonts w:hAnsiTheme="minorEastAsia"/>
          <w:iCs/>
          <w:color w:val="000000"/>
          <w:kern w:val="18"/>
          <w:lang w:val="en-CA" w:eastAsia="zh-CN"/>
        </w:rPr>
        <w:t>年期间协助发展中国家缔约方，特别是最不发达国家和小岛屿发展中国家以及经济转型国家缔约方参与《生物多样性公约》进程的特别自愿信托基金</w:t>
      </w:r>
      <w:r>
        <w:rPr>
          <w:rFonts w:hAnsiTheme="minorEastAsia"/>
          <w:iCs/>
          <w:color w:val="000000"/>
          <w:kern w:val="18"/>
          <w:lang w:val="en-CA" w:eastAsia="zh-CN"/>
        </w:rPr>
        <w:t>（</w:t>
      </w:r>
      <w:r w:rsidRPr="00421205">
        <w:rPr>
          <w:iCs/>
          <w:color w:val="000000"/>
          <w:kern w:val="18"/>
          <w:lang w:val="en-CA" w:eastAsia="zh-CN"/>
        </w:rPr>
        <w:t>BZ</w:t>
      </w:r>
      <w:r>
        <w:rPr>
          <w:rFonts w:hAnsiTheme="minorEastAsia"/>
          <w:iCs/>
          <w:color w:val="000000"/>
          <w:kern w:val="18"/>
          <w:lang w:val="en-CA" w:eastAsia="zh-CN"/>
        </w:rPr>
        <w:t>）</w:t>
      </w:r>
      <w:r w:rsidRPr="00421205">
        <w:rPr>
          <w:rFonts w:hAnsiTheme="minorEastAsia"/>
          <w:iCs/>
          <w:color w:val="000000"/>
          <w:kern w:val="18"/>
          <w:lang w:val="en-CA" w:eastAsia="zh-CN"/>
        </w:rPr>
        <w:t>；</w:t>
      </w:r>
    </w:p>
    <w:p w:rsidR="00B72FA3" w:rsidRPr="00421205" w:rsidRDefault="00B72FA3" w:rsidP="00615E7F">
      <w:pPr>
        <w:pStyle w:val="ListParagraph"/>
        <w:numPr>
          <w:ilvl w:val="0"/>
          <w:numId w:val="281"/>
        </w:numPr>
        <w:shd w:val="clear" w:color="auto" w:fill="FFFFFF" w:themeFill="background1"/>
        <w:tabs>
          <w:tab w:val="left" w:pos="1440"/>
        </w:tabs>
        <w:adjustRightInd w:val="0"/>
        <w:snapToGrid w:val="0"/>
        <w:ind w:left="0" w:firstLine="720"/>
        <w:rPr>
          <w:iCs/>
          <w:color w:val="000000"/>
          <w:kern w:val="18"/>
          <w:lang w:val="en-CA" w:eastAsia="zh-CN"/>
        </w:rPr>
      </w:pPr>
      <w:r w:rsidRPr="00421205">
        <w:rPr>
          <w:rFonts w:hAnsiTheme="minorEastAsia"/>
          <w:iCs/>
          <w:color w:val="000000"/>
          <w:kern w:val="18"/>
          <w:lang w:val="en-CA" w:eastAsia="zh-CN"/>
        </w:rPr>
        <w:t>下表</w:t>
      </w:r>
      <w:r>
        <w:rPr>
          <w:rFonts w:hAnsiTheme="minorEastAsia" w:hint="eastAsia"/>
          <w:iCs/>
          <w:color w:val="000000"/>
          <w:kern w:val="18"/>
          <w:lang w:val="en-CA" w:eastAsia="zh-CN"/>
        </w:rPr>
        <w:t>5</w:t>
      </w:r>
      <w:r>
        <w:rPr>
          <w:rFonts w:hAnsiTheme="minorEastAsia" w:hint="eastAsia"/>
          <w:iCs/>
          <w:color w:val="000000"/>
          <w:kern w:val="18"/>
          <w:lang w:val="en-CA" w:eastAsia="zh-CN"/>
        </w:rPr>
        <w:t>所载</w:t>
      </w:r>
      <w:r w:rsidRPr="00421205">
        <w:rPr>
          <w:iCs/>
          <w:color w:val="000000"/>
          <w:kern w:val="18"/>
          <w:lang w:val="en-CA" w:eastAsia="zh-CN"/>
        </w:rPr>
        <w:t>2019-</w:t>
      </w:r>
      <w:r w:rsidRPr="00421205">
        <w:rPr>
          <w:iCs/>
          <w:color w:val="000000"/>
          <w:kern w:val="18"/>
          <w:lang w:val="en-CA" w:eastAsia="ko-KR"/>
        </w:rPr>
        <w:t>2020</w:t>
      </w:r>
      <w:r w:rsidRPr="00421205">
        <w:rPr>
          <w:rFonts w:hAnsiTheme="minorEastAsia"/>
          <w:iCs/>
          <w:color w:val="000000"/>
          <w:kern w:val="18"/>
          <w:lang w:val="en-CA" w:eastAsia="zh-CN"/>
        </w:rPr>
        <w:t>年期间协助土著人民和地方</w:t>
      </w:r>
      <w:r w:rsidRPr="00421205">
        <w:rPr>
          <w:rFonts w:hAnsiTheme="minorEastAsia"/>
          <w:iCs/>
          <w:color w:val="000000"/>
          <w:kern w:val="18"/>
          <w:lang w:eastAsia="zh-CN"/>
        </w:rPr>
        <w:t>社区参与《生物多样性公约》工作的自愿捐款普通信托基金</w:t>
      </w:r>
      <w:r>
        <w:rPr>
          <w:rFonts w:hAnsiTheme="minorEastAsia"/>
          <w:iCs/>
          <w:color w:val="000000"/>
          <w:kern w:val="18"/>
          <w:lang w:eastAsia="zh-CN"/>
        </w:rPr>
        <w:t>（</w:t>
      </w:r>
      <w:r w:rsidRPr="00421205">
        <w:rPr>
          <w:iCs/>
          <w:color w:val="000000"/>
          <w:kern w:val="18"/>
          <w:lang w:eastAsia="zh-CN"/>
        </w:rPr>
        <w:t>VB</w:t>
      </w:r>
      <w:r>
        <w:rPr>
          <w:rFonts w:hAnsiTheme="minorEastAsia"/>
          <w:iCs/>
          <w:color w:val="000000"/>
          <w:kern w:val="18"/>
          <w:lang w:eastAsia="zh-CN"/>
        </w:rPr>
        <w:t>）</w:t>
      </w:r>
      <w:r w:rsidRPr="00421205">
        <w:rPr>
          <w:rFonts w:hAnsiTheme="minorEastAsia"/>
          <w:iCs/>
          <w:color w:val="000000"/>
          <w:kern w:val="18"/>
          <w:lang w:eastAsia="zh-CN"/>
        </w:rPr>
        <w:t>；</w:t>
      </w:r>
    </w:p>
    <w:p w:rsidR="00B72FA3" w:rsidRPr="00D30E4D" w:rsidRDefault="00B72FA3" w:rsidP="00615E7F">
      <w:pPr>
        <w:pStyle w:val="ListParagraph"/>
        <w:numPr>
          <w:ilvl w:val="0"/>
          <w:numId w:val="280"/>
        </w:numPr>
        <w:shd w:val="clear" w:color="auto" w:fill="FFFFFF" w:themeFill="background1"/>
        <w:tabs>
          <w:tab w:val="left" w:pos="1440"/>
        </w:tabs>
        <w:snapToGrid w:val="0"/>
        <w:ind w:left="0" w:firstLine="720"/>
        <w:rPr>
          <w:rFonts w:hAnsiTheme="minorEastAsia"/>
          <w:iCs/>
          <w:color w:val="000000"/>
          <w:kern w:val="18"/>
          <w:lang w:val="en-CA" w:eastAsia="ko-KR"/>
        </w:rPr>
      </w:pPr>
      <w:r w:rsidRPr="00421205">
        <w:rPr>
          <w:rFonts w:ascii="KaiTi" w:eastAsia="KaiTi" w:hAnsi="KaiTi" w:cs="Microsoft YaHei"/>
          <w:iCs/>
          <w:color w:val="000000"/>
          <w:kern w:val="18"/>
          <w:lang/>
        </w:rPr>
        <w:t>邀请</w:t>
      </w:r>
      <w:r w:rsidR="00780033">
        <w:rPr>
          <w:iCs/>
          <w:color w:val="000000"/>
          <w:kern w:val="18"/>
          <w:lang/>
        </w:rPr>
        <w:t>联合国环境署</w:t>
      </w:r>
      <w:r w:rsidRPr="00F111AB">
        <w:rPr>
          <w:rFonts w:hAnsiTheme="minorEastAsia"/>
          <w:iCs/>
          <w:color w:val="000000"/>
          <w:kern w:val="18"/>
          <w:lang w:val="en-CA" w:eastAsia="ko-KR"/>
        </w:rPr>
        <w:t>执行主任继续对</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从</w:t>
      </w:r>
      <w:r w:rsidRPr="00F111AB">
        <w:rPr>
          <w:rFonts w:hAnsiTheme="minorEastAsia"/>
          <w:iCs/>
          <w:color w:val="000000"/>
          <w:kern w:val="18"/>
          <w:lang w:val="en-CA" w:eastAsia="ko-KR"/>
        </w:rPr>
        <w:t>​</w:t>
      </w:r>
      <w:r w:rsidRPr="00F111AB">
        <w:rPr>
          <w:rFonts w:hAnsiTheme="minorEastAsia"/>
          <w:iCs/>
          <w:color w:val="000000"/>
          <w:kern w:val="18"/>
          <w:lang w:val="en-CA" w:eastAsia="ko-KR"/>
        </w:rPr>
        <w:t>B</w:t>
      </w:r>
      <w:r w:rsidRPr="00F111AB">
        <w:rPr>
          <w:rFonts w:hAnsiTheme="minorEastAsia"/>
          <w:iCs/>
          <w:color w:val="000000"/>
          <w:kern w:val="18"/>
          <w:lang w:val="en-CA" w:eastAsia="ko-KR"/>
        </w:rPr>
        <w:t>​</w:t>
      </w:r>
      <w:r w:rsidRPr="00F111AB">
        <w:rPr>
          <w:rFonts w:hAnsiTheme="minorEastAsia"/>
          <w:iCs/>
          <w:color w:val="000000"/>
          <w:kern w:val="18"/>
          <w:lang w:val="en-CA" w:eastAsia="ko-KR"/>
        </w:rPr>
        <w:t>Z</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和</w:t>
      </w:r>
      <w:r w:rsidRPr="00F111AB">
        <w:rPr>
          <w:rFonts w:hAnsiTheme="minorEastAsia"/>
          <w:iCs/>
          <w:color w:val="000000"/>
          <w:kern w:val="18"/>
          <w:lang w:val="en-CA" w:eastAsia="ko-KR"/>
        </w:rPr>
        <w:t>​</w:t>
      </w:r>
      <w:r w:rsidRPr="00F111AB">
        <w:rPr>
          <w:rFonts w:hAnsiTheme="minorEastAsia"/>
          <w:iCs/>
          <w:color w:val="000000"/>
          <w:kern w:val="18"/>
          <w:lang w:val="en-CA" w:eastAsia="ko-KR"/>
        </w:rPr>
        <w:t>V</w:t>
      </w:r>
      <w:r w:rsidRPr="00F111AB">
        <w:rPr>
          <w:rFonts w:hAnsiTheme="minorEastAsia"/>
          <w:iCs/>
          <w:color w:val="000000"/>
          <w:kern w:val="18"/>
          <w:lang w:val="en-CA" w:eastAsia="ko-KR"/>
        </w:rPr>
        <w:t>​</w:t>
      </w:r>
      <w:r w:rsidRPr="00F111AB">
        <w:rPr>
          <w:rFonts w:hAnsiTheme="minorEastAsia"/>
          <w:iCs/>
          <w:color w:val="000000"/>
          <w:kern w:val="18"/>
          <w:lang w:val="en-CA" w:eastAsia="ko-KR"/>
        </w:rPr>
        <w:t>B</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信</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托</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基</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金</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中</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豁</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免</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与</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会</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自</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愿</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捐</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款</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的</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方</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案</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支</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助</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费</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用</w:t>
      </w:r>
      <w:r w:rsidRPr="00F111AB">
        <w:rPr>
          <w:rFonts w:hAnsiTheme="minorEastAsia"/>
          <w:iCs/>
          <w:color w:val="000000"/>
          <w:kern w:val="18"/>
          <w:lang w:val="en-CA" w:eastAsia="ko-KR"/>
        </w:rPr>
        <w:t>​</w:t>
      </w:r>
      <w:r w:rsidRPr="00F111AB">
        <w:rPr>
          <w:rFonts w:hAnsiTheme="minorEastAsia" w:hint="eastAsia"/>
          <w:iCs/>
          <w:color w:val="000000"/>
          <w:kern w:val="18"/>
          <w:lang w:val="en-CA" w:eastAsia="ko-KR"/>
        </w:rPr>
        <w:t>的</w:t>
      </w:r>
      <w:r w:rsidRPr="00F111AB">
        <w:rPr>
          <w:rFonts w:hAnsiTheme="minorEastAsia"/>
          <w:iCs/>
          <w:color w:val="000000"/>
          <w:kern w:val="18"/>
          <w:lang w:val="en-CA" w:eastAsia="ko-KR"/>
        </w:rPr>
        <w:t>安排，因为</w:t>
      </w:r>
      <w:r w:rsidRPr="00F111AB">
        <w:rPr>
          <w:rFonts w:hAnsiTheme="minorEastAsia" w:hint="eastAsia"/>
          <w:iCs/>
          <w:color w:val="000000"/>
          <w:kern w:val="18"/>
          <w:lang w:val="en-CA" w:eastAsia="ko-KR"/>
        </w:rPr>
        <w:t>《</w:t>
      </w:r>
      <w:r w:rsidRPr="00F111AB">
        <w:rPr>
          <w:rFonts w:hAnsiTheme="minorEastAsia"/>
          <w:iCs/>
          <w:color w:val="000000"/>
          <w:kern w:val="18"/>
          <w:lang w:val="en-CA" w:eastAsia="ko-KR"/>
        </w:rPr>
        <w:t>生物多样性公约</w:t>
      </w:r>
      <w:r w:rsidRPr="00F111AB">
        <w:rPr>
          <w:rFonts w:hAnsiTheme="minorEastAsia" w:hint="eastAsia"/>
          <w:iCs/>
          <w:color w:val="000000"/>
          <w:kern w:val="18"/>
          <w:lang w:val="en-CA" w:eastAsia="ko-KR"/>
        </w:rPr>
        <w:t>》</w:t>
      </w:r>
      <w:r w:rsidRPr="00F111AB">
        <w:rPr>
          <w:rFonts w:hAnsiTheme="minorEastAsia"/>
          <w:iCs/>
          <w:color w:val="000000"/>
          <w:kern w:val="18"/>
          <w:lang w:val="en-CA" w:eastAsia="ko-KR"/>
        </w:rPr>
        <w:t>秘书处符合第</w:t>
      </w:r>
      <w:r>
        <w:rPr>
          <w:rFonts w:hAnsiTheme="minorEastAsia" w:hint="eastAsia"/>
          <w:iCs/>
          <w:color w:val="000000"/>
          <w:kern w:val="18"/>
          <w:lang w:val="en-CA" w:eastAsia="zh-CN"/>
        </w:rPr>
        <w:t xml:space="preserve"> </w:t>
      </w:r>
      <w:r w:rsidRPr="00F111AB">
        <w:rPr>
          <w:rFonts w:hAnsiTheme="minorEastAsia"/>
          <w:iCs/>
          <w:color w:val="000000"/>
          <w:kern w:val="18"/>
          <w:lang w:val="en-CA" w:eastAsia="ko-KR"/>
        </w:rPr>
        <w:t>2/18</w:t>
      </w:r>
      <w:r w:rsidRPr="00F111AB">
        <w:rPr>
          <w:rFonts w:hAnsiTheme="minorEastAsia"/>
          <w:iCs/>
          <w:color w:val="000000"/>
          <w:kern w:val="18"/>
          <w:lang w:val="en-CA" w:eastAsia="ko-KR"/>
        </w:rPr>
        <w:t>号</w:t>
      </w:r>
      <w:r w:rsidRPr="00D30E4D">
        <w:rPr>
          <w:rFonts w:hAnsiTheme="minorEastAsia"/>
          <w:iCs/>
          <w:color w:val="000000"/>
          <w:kern w:val="18"/>
          <w:lang w:val="en-CA" w:eastAsia="ko-KR"/>
        </w:rPr>
        <w:t>决议规</w:t>
      </w:r>
      <w:r>
        <w:rPr>
          <w:rFonts w:hAnsiTheme="minorEastAsia" w:hint="eastAsia"/>
          <w:iCs/>
          <w:color w:val="000000"/>
          <w:kern w:val="18"/>
          <w:lang w:val="en-CA" w:eastAsia="zh-CN"/>
        </w:rPr>
        <w:t>定</w:t>
      </w:r>
      <w:r>
        <w:rPr>
          <w:rFonts w:hAnsiTheme="minorEastAsia"/>
          <w:iCs/>
          <w:color w:val="000000"/>
          <w:kern w:val="18"/>
          <w:lang w:val="en-CA" w:eastAsia="zh-CN"/>
        </w:rPr>
        <w:t>的标准，</w:t>
      </w:r>
      <w:r>
        <w:rPr>
          <w:rFonts w:hAnsiTheme="minorEastAsia" w:hint="eastAsia"/>
          <w:iCs/>
          <w:color w:val="000000"/>
          <w:kern w:val="18"/>
          <w:lang w:val="en-CA" w:eastAsia="zh-CN"/>
        </w:rPr>
        <w:t>即</w:t>
      </w:r>
      <w:r w:rsidRPr="00D30E4D">
        <w:rPr>
          <w:rFonts w:hAnsiTheme="minorEastAsia"/>
          <w:iCs/>
          <w:color w:val="000000"/>
          <w:kern w:val="18"/>
          <w:lang w:val="en-CA" w:eastAsia="ko-KR"/>
        </w:rPr>
        <w:t>与会的安排是业务预算的方案支助费用所资助的行政工作</w:t>
      </w:r>
      <w:r>
        <w:rPr>
          <w:rFonts w:hAnsiTheme="minorEastAsia" w:hint="eastAsia"/>
          <w:iCs/>
          <w:color w:val="000000"/>
          <w:kern w:val="18"/>
          <w:lang w:val="en-CA" w:eastAsia="zh-CN"/>
        </w:rPr>
        <w:t>人员</w:t>
      </w:r>
      <w:r>
        <w:rPr>
          <w:rFonts w:hAnsiTheme="minorEastAsia"/>
          <w:iCs/>
          <w:color w:val="000000"/>
          <w:kern w:val="18"/>
          <w:lang w:val="en-CA" w:eastAsia="zh-CN"/>
        </w:rPr>
        <w:t>进行的；</w:t>
      </w:r>
    </w:p>
    <w:p w:rsidR="00B72FA3" w:rsidRPr="00AA11BD" w:rsidRDefault="00B72FA3" w:rsidP="00615E7F">
      <w:pPr>
        <w:pStyle w:val="ListParagraph"/>
        <w:numPr>
          <w:ilvl w:val="0"/>
          <w:numId w:val="280"/>
        </w:numPr>
        <w:shd w:val="clear" w:color="auto" w:fill="FFFFFF" w:themeFill="background1"/>
        <w:tabs>
          <w:tab w:val="left" w:pos="1440"/>
        </w:tabs>
        <w:adjustRightInd w:val="0"/>
        <w:snapToGrid w:val="0"/>
        <w:ind w:left="0" w:firstLine="720"/>
        <w:rPr>
          <w:rFonts w:hAnsiTheme="minorEastAsia"/>
          <w:iCs/>
          <w:color w:val="000000"/>
          <w:kern w:val="18"/>
          <w:lang w:val="en-CA" w:eastAsia="zh-CN"/>
        </w:rPr>
      </w:pPr>
      <w:r w:rsidRPr="00EC10A5">
        <w:rPr>
          <w:rFonts w:ascii="KaiTi" w:eastAsia="KaiTi" w:hAnsi="KaiTi" w:cs="Microsoft YaHei"/>
          <w:iCs/>
          <w:color w:val="000000"/>
          <w:kern w:val="18"/>
          <w:lang/>
        </w:rPr>
        <w:t>回顾</w:t>
      </w:r>
      <w:r w:rsidRPr="00AA11BD">
        <w:rPr>
          <w:rFonts w:hAnsiTheme="minorEastAsia"/>
          <w:iCs/>
          <w:color w:val="000000"/>
          <w:kern w:val="18"/>
          <w:lang w:val="en-CA" w:eastAsia="zh-CN"/>
        </w:rPr>
        <w:t>《公约》议事规则第</w:t>
      </w:r>
      <w:r w:rsidRPr="00AA11BD">
        <w:rPr>
          <w:rFonts w:hAnsiTheme="minorEastAsia"/>
          <w:iCs/>
          <w:color w:val="000000"/>
          <w:kern w:val="18"/>
          <w:lang w:val="en-CA" w:eastAsia="zh-CN"/>
        </w:rPr>
        <w:t>30</w:t>
      </w:r>
      <w:r w:rsidRPr="00AA11BD">
        <w:rPr>
          <w:rFonts w:hAnsiTheme="minorEastAsia"/>
          <w:iCs/>
          <w:color w:val="000000"/>
          <w:kern w:val="18"/>
          <w:lang w:val="en-CA" w:eastAsia="zh-CN"/>
        </w:rPr>
        <w:t>条，并</w:t>
      </w:r>
      <w:r w:rsidRPr="00EC10A5">
        <w:rPr>
          <w:rFonts w:ascii="KaiTi" w:eastAsia="KaiTi" w:hAnsi="KaiTi" w:cs="Microsoft YaHei"/>
          <w:iCs/>
          <w:color w:val="000000"/>
          <w:kern w:val="18"/>
          <w:lang/>
        </w:rPr>
        <w:t>强调</w:t>
      </w:r>
      <w:r w:rsidRPr="00AA11BD">
        <w:rPr>
          <w:rFonts w:hAnsiTheme="minorEastAsia"/>
          <w:iCs/>
          <w:color w:val="000000"/>
          <w:kern w:val="18"/>
          <w:lang w:val="en-CA" w:eastAsia="zh-CN"/>
        </w:rPr>
        <w:t>需要让缔约方广泛出席《公约》及其《议定书》的缔约方会议；</w:t>
      </w:r>
    </w:p>
    <w:p w:rsidR="00B72FA3" w:rsidRPr="00AA11BD" w:rsidRDefault="00B72FA3" w:rsidP="00615E7F">
      <w:pPr>
        <w:pStyle w:val="ListParagraph"/>
        <w:numPr>
          <w:ilvl w:val="0"/>
          <w:numId w:val="280"/>
        </w:numPr>
        <w:shd w:val="clear" w:color="auto" w:fill="FFFFFF" w:themeFill="background1"/>
        <w:tabs>
          <w:tab w:val="left" w:pos="1440"/>
        </w:tabs>
        <w:adjustRightInd w:val="0"/>
        <w:snapToGrid w:val="0"/>
        <w:ind w:left="0" w:firstLine="720"/>
        <w:rPr>
          <w:rFonts w:hAnsiTheme="minorEastAsia"/>
          <w:iCs/>
          <w:color w:val="000000"/>
          <w:kern w:val="18"/>
          <w:lang w:val="en-CA" w:eastAsia="zh-CN"/>
        </w:rPr>
      </w:pPr>
      <w:r w:rsidRPr="00EC10A5">
        <w:rPr>
          <w:rFonts w:ascii="KaiTi" w:eastAsia="KaiTi" w:hAnsi="KaiTi" w:cs="Microsoft YaHei"/>
          <w:iCs/>
          <w:color w:val="000000"/>
          <w:kern w:val="18"/>
          <w:lang/>
        </w:rPr>
        <w:t>重申</w:t>
      </w:r>
      <w:r w:rsidRPr="00421205">
        <w:rPr>
          <w:rFonts w:hAnsiTheme="minorEastAsia"/>
          <w:iCs/>
          <w:color w:val="000000"/>
          <w:kern w:val="18"/>
          <w:lang w:val="en-CA" w:eastAsia="zh-CN"/>
        </w:rPr>
        <w:t>发展中国家缔约方，特别是最不发达国家和小岛屿发展中国家以及经济转型国家缔约方充分和</w:t>
      </w:r>
      <w:r>
        <w:rPr>
          <w:rFonts w:hAnsiTheme="minorEastAsia" w:hint="eastAsia"/>
          <w:iCs/>
          <w:color w:val="000000"/>
          <w:kern w:val="18"/>
          <w:lang w:val="en-CA" w:eastAsia="zh-CN"/>
        </w:rPr>
        <w:t>有效</w:t>
      </w:r>
      <w:r w:rsidRPr="00421205">
        <w:rPr>
          <w:rFonts w:hAnsiTheme="minorEastAsia"/>
          <w:iCs/>
          <w:color w:val="000000"/>
          <w:kern w:val="18"/>
          <w:lang w:val="en-CA" w:eastAsia="zh-CN"/>
        </w:rPr>
        <w:t>参与《公约》及其《议定书》</w:t>
      </w:r>
      <w:r>
        <w:rPr>
          <w:rFonts w:hAnsiTheme="minorEastAsia" w:hint="eastAsia"/>
          <w:iCs/>
          <w:color w:val="000000"/>
          <w:kern w:val="18"/>
          <w:lang w:val="en-CA" w:eastAsia="zh-CN"/>
        </w:rPr>
        <w:t>缔约方</w:t>
      </w:r>
      <w:r>
        <w:rPr>
          <w:rFonts w:hAnsiTheme="minorEastAsia"/>
          <w:iCs/>
          <w:color w:val="000000"/>
          <w:kern w:val="18"/>
          <w:lang w:val="en-CA" w:eastAsia="zh-CN"/>
        </w:rPr>
        <w:t>的</w:t>
      </w:r>
      <w:r w:rsidRPr="00421205">
        <w:rPr>
          <w:rFonts w:hAnsiTheme="minorEastAsia"/>
          <w:iCs/>
          <w:color w:val="000000"/>
          <w:kern w:val="18"/>
          <w:lang w:val="en-CA" w:eastAsia="zh-CN"/>
        </w:rPr>
        <w:t>会议的重要性，</w:t>
      </w:r>
      <w:r>
        <w:rPr>
          <w:rFonts w:hAnsiTheme="minorEastAsia" w:hint="eastAsia"/>
          <w:iCs/>
          <w:color w:val="000000"/>
          <w:kern w:val="18"/>
          <w:lang w:val="en-CA" w:eastAsia="zh-CN"/>
        </w:rPr>
        <w:t>为此</w:t>
      </w:r>
      <w:r>
        <w:rPr>
          <w:rFonts w:hAnsiTheme="minorEastAsia"/>
          <w:iCs/>
          <w:color w:val="000000"/>
          <w:kern w:val="18"/>
          <w:lang w:val="en-CA" w:eastAsia="zh-CN"/>
        </w:rPr>
        <w:t>，</w:t>
      </w:r>
      <w:r w:rsidRPr="00A44537">
        <w:rPr>
          <w:rFonts w:ascii="KaiTi" w:eastAsia="KaiTi" w:hAnsi="KaiTi" w:cs="Microsoft YaHei"/>
          <w:iCs/>
          <w:color w:val="000000"/>
          <w:kern w:val="18"/>
          <w:lang/>
        </w:rPr>
        <w:t>请</w:t>
      </w:r>
      <w:r w:rsidRPr="00DC1535">
        <w:rPr>
          <w:rFonts w:hAnsiTheme="minorEastAsia"/>
          <w:iCs/>
          <w:color w:val="000000"/>
          <w:kern w:val="18"/>
          <w:lang w:val="en-CA" w:eastAsia="zh-CN"/>
        </w:rPr>
        <w:t>执行秘书考虑到缔约方大会及其议定书缔约方会议关于同时举行会议和提高</w:t>
      </w:r>
      <w:r>
        <w:rPr>
          <w:rFonts w:hAnsiTheme="minorEastAsia"/>
          <w:iCs/>
          <w:color w:val="000000"/>
          <w:kern w:val="18"/>
          <w:lang w:val="en-CA" w:eastAsia="zh-CN"/>
        </w:rPr>
        <w:t>《公约》及其《议定书》</w:t>
      </w:r>
      <w:r w:rsidRPr="00421205">
        <w:rPr>
          <w:rFonts w:hAnsiTheme="minorEastAsia"/>
          <w:iCs/>
          <w:color w:val="000000"/>
          <w:kern w:val="18"/>
          <w:lang w:val="en-CA" w:eastAsia="zh-CN"/>
        </w:rPr>
        <w:t>的结构和进程效率的有关决定；</w:t>
      </w:r>
    </w:p>
    <w:p w:rsidR="00B72FA3" w:rsidRPr="00750CBA" w:rsidRDefault="00B72FA3" w:rsidP="00615E7F">
      <w:pPr>
        <w:pStyle w:val="ListParagraph"/>
        <w:numPr>
          <w:ilvl w:val="0"/>
          <w:numId w:val="280"/>
        </w:numPr>
        <w:shd w:val="clear" w:color="auto" w:fill="FFFFFF" w:themeFill="background1"/>
        <w:tabs>
          <w:tab w:val="left" w:pos="1440"/>
        </w:tabs>
        <w:adjustRightInd w:val="0"/>
        <w:snapToGrid w:val="0"/>
        <w:ind w:left="0" w:firstLine="720"/>
        <w:rPr>
          <w:rFonts w:hAnsiTheme="minorEastAsia"/>
          <w:iCs/>
          <w:color w:val="000000"/>
          <w:kern w:val="18"/>
          <w:lang w:val="en-CA" w:eastAsia="zh-CN"/>
        </w:rPr>
      </w:pPr>
      <w:r w:rsidRPr="00BA31FE">
        <w:rPr>
          <w:rFonts w:ascii="KaiTi" w:eastAsia="KaiTi" w:hAnsi="KaiTi" w:cs="Microsoft YaHei" w:hint="eastAsia"/>
          <w:iCs/>
          <w:color w:val="000000"/>
          <w:kern w:val="18"/>
          <w:lang/>
        </w:rPr>
        <w:t>请</w:t>
      </w:r>
      <w:r w:rsidRPr="00750CBA">
        <w:rPr>
          <w:iCs/>
          <w:color w:val="000000"/>
          <w:kern w:val="18"/>
          <w:lang w:val="en-CA" w:eastAsia="zh-CN"/>
        </w:rPr>
        <w:t>执行秘书与主席团协商并在其指导下，同时考虑到执行问题附属机构通过的</w:t>
      </w:r>
      <w:r>
        <w:rPr>
          <w:rFonts w:hint="eastAsia"/>
          <w:iCs/>
          <w:color w:val="000000"/>
          <w:kern w:val="18"/>
          <w:lang w:val="en-CA" w:eastAsia="zh-CN"/>
        </w:rPr>
        <w:t>第</w:t>
      </w:r>
      <w:r>
        <w:rPr>
          <w:rFonts w:hint="eastAsia"/>
          <w:iCs/>
          <w:color w:val="000000"/>
          <w:kern w:val="18"/>
          <w:lang w:val="en-CA" w:eastAsia="zh-CN"/>
        </w:rPr>
        <w:t>2/20</w:t>
      </w:r>
      <w:r>
        <w:rPr>
          <w:rFonts w:hint="eastAsia"/>
          <w:iCs/>
          <w:color w:val="000000"/>
          <w:kern w:val="18"/>
          <w:lang w:val="en-CA" w:eastAsia="zh-CN"/>
        </w:rPr>
        <w:t>号</w:t>
      </w:r>
      <w:r w:rsidRPr="00750CBA">
        <w:rPr>
          <w:iCs/>
          <w:color w:val="000000"/>
          <w:kern w:val="18"/>
          <w:lang w:val="en-CA" w:eastAsia="zh-CN"/>
        </w:rPr>
        <w:t>建议，</w:t>
      </w:r>
      <w:r w:rsidRPr="007027CB">
        <w:rPr>
          <w:rStyle w:val="FootnoteReference"/>
          <w:color w:val="000000" w:themeColor="text1"/>
          <w:kern w:val="20"/>
          <w:sz w:val="24"/>
          <w:szCs w:val="22"/>
          <w:u w:val="none"/>
          <w:vertAlign w:val="superscript"/>
          <w:lang w:val="en-GB"/>
        </w:rPr>
        <w:footnoteReference w:id="329"/>
      </w:r>
      <w:r w:rsidRPr="007027CB">
        <w:rPr>
          <w:rStyle w:val="FootnoteReference"/>
          <w:rFonts w:hint="eastAsia"/>
          <w:color w:val="000000" w:themeColor="text1"/>
          <w:kern w:val="20"/>
          <w:sz w:val="24"/>
          <w:szCs w:val="22"/>
          <w:u w:val="none"/>
          <w:vertAlign w:val="superscript"/>
          <w:lang w:val="en-GB" w:eastAsia="zh-CN"/>
        </w:rPr>
        <w:t xml:space="preserve"> </w:t>
      </w:r>
      <w:r w:rsidRPr="00750CBA">
        <w:rPr>
          <w:rFonts w:hint="eastAsia"/>
          <w:iCs/>
          <w:color w:val="000000"/>
          <w:kern w:val="18"/>
          <w:lang w:val="en-CA" w:eastAsia="zh-CN"/>
        </w:rPr>
        <w:t>提出</w:t>
      </w:r>
      <w:r w:rsidRPr="00750CBA">
        <w:rPr>
          <w:iCs/>
          <w:color w:val="000000"/>
          <w:kern w:val="18"/>
          <w:lang w:val="en-CA" w:eastAsia="zh-CN"/>
        </w:rPr>
        <w:t>建议供</w:t>
      </w:r>
      <w:r w:rsidRPr="00750CBA">
        <w:rPr>
          <w:rFonts w:hint="eastAsia"/>
          <w:iCs/>
          <w:color w:val="000000"/>
          <w:kern w:val="18"/>
          <w:lang w:val="en-CA" w:eastAsia="zh-CN"/>
        </w:rPr>
        <w:t>缔约方大会</w:t>
      </w:r>
      <w:r w:rsidRPr="00750CBA">
        <w:rPr>
          <w:iCs/>
          <w:color w:val="000000"/>
          <w:kern w:val="18"/>
          <w:lang w:val="en-CA" w:eastAsia="zh-CN"/>
        </w:rPr>
        <w:t>第十五届会议通过，以</w:t>
      </w:r>
      <w:r w:rsidRPr="00750CBA">
        <w:rPr>
          <w:rFonts w:hint="eastAsia"/>
          <w:iCs/>
          <w:color w:val="000000"/>
          <w:kern w:val="18"/>
          <w:lang w:val="en-CA" w:eastAsia="zh-CN"/>
        </w:rPr>
        <w:t>修订缔约方大会</w:t>
      </w:r>
      <w:r w:rsidRPr="00750CBA">
        <w:rPr>
          <w:iCs/>
          <w:color w:val="000000"/>
          <w:kern w:val="18"/>
          <w:lang w:val="en-CA" w:eastAsia="zh-CN"/>
        </w:rPr>
        <w:t>第九届会议</w:t>
      </w:r>
      <w:r w:rsidRPr="00750CBA">
        <w:rPr>
          <w:rFonts w:hint="eastAsia"/>
          <w:iCs/>
          <w:color w:val="000000"/>
          <w:kern w:val="18"/>
          <w:lang w:val="en-CA" w:eastAsia="zh-CN"/>
        </w:rPr>
        <w:t>通过</w:t>
      </w:r>
      <w:r w:rsidRPr="00750CBA">
        <w:rPr>
          <w:iCs/>
          <w:color w:val="000000"/>
          <w:kern w:val="18"/>
          <w:lang w:val="en-CA" w:eastAsia="zh-CN"/>
        </w:rPr>
        <w:t>的与</w:t>
      </w:r>
      <w:r w:rsidRPr="00750CBA">
        <w:rPr>
          <w:iCs/>
          <w:color w:val="000000"/>
          <w:kern w:val="18"/>
          <w:lang w:val="en-CA" w:eastAsia="zh-CN"/>
        </w:rPr>
        <w:t>BZ</w:t>
      </w:r>
      <w:r w:rsidRPr="00750CBA">
        <w:rPr>
          <w:iCs/>
          <w:color w:val="000000"/>
          <w:kern w:val="18"/>
          <w:lang w:val="en-CA" w:eastAsia="zh-CN"/>
        </w:rPr>
        <w:t>信托基金相关的结构和规则</w:t>
      </w:r>
      <w:r>
        <w:rPr>
          <w:iCs/>
          <w:color w:val="000000"/>
          <w:kern w:val="18"/>
          <w:lang w:val="en-CA" w:eastAsia="zh-CN"/>
        </w:rPr>
        <w:t>（</w:t>
      </w:r>
      <w:r w:rsidRPr="00750CBA">
        <w:rPr>
          <w:iCs/>
          <w:color w:val="000000"/>
          <w:kern w:val="18"/>
          <w:lang w:val="en-CA" w:eastAsia="zh-CN"/>
        </w:rPr>
        <w:t>第</w:t>
      </w:r>
      <w:r w:rsidRPr="00750CBA">
        <w:rPr>
          <w:iCs/>
          <w:color w:val="000000"/>
          <w:kern w:val="18"/>
          <w:lang w:val="en-CA" w:eastAsia="zh-CN"/>
        </w:rPr>
        <w:t>IX/34</w:t>
      </w:r>
      <w:r w:rsidRPr="00750CBA">
        <w:rPr>
          <w:rFonts w:hint="eastAsia"/>
          <w:iCs/>
          <w:color w:val="000000"/>
          <w:kern w:val="18"/>
          <w:lang w:val="en-CA" w:eastAsia="zh-CN"/>
        </w:rPr>
        <w:t>号决定</w:t>
      </w:r>
      <w:r w:rsidRPr="00750CBA">
        <w:rPr>
          <w:iCs/>
          <w:color w:val="000000"/>
          <w:kern w:val="18"/>
          <w:lang w:val="en-CA" w:eastAsia="zh-CN"/>
        </w:rPr>
        <w:t>，附件</w:t>
      </w:r>
      <w:r>
        <w:rPr>
          <w:iCs/>
          <w:color w:val="000000"/>
          <w:kern w:val="18"/>
          <w:lang w:val="en-CA" w:eastAsia="zh-CN"/>
        </w:rPr>
        <w:t>）</w:t>
      </w:r>
      <w:r w:rsidRPr="00750CBA">
        <w:rPr>
          <w:iCs/>
          <w:color w:val="000000"/>
          <w:kern w:val="18"/>
          <w:lang w:val="en-CA" w:eastAsia="zh-CN"/>
        </w:rPr>
        <w:t>，</w:t>
      </w:r>
      <w:r w:rsidRPr="00750CBA">
        <w:rPr>
          <w:rFonts w:hint="eastAsia"/>
          <w:iCs/>
          <w:color w:val="000000"/>
          <w:kern w:val="18"/>
          <w:lang w:val="en-CA" w:eastAsia="zh-CN"/>
        </w:rPr>
        <w:t>解决</w:t>
      </w:r>
      <w:r>
        <w:rPr>
          <w:rFonts w:hint="eastAsia"/>
          <w:iCs/>
          <w:color w:val="000000"/>
          <w:kern w:val="18"/>
          <w:lang w:val="en-CA" w:eastAsia="zh-CN"/>
        </w:rPr>
        <w:t>缺乏</w:t>
      </w:r>
      <w:r>
        <w:rPr>
          <w:iCs/>
          <w:color w:val="000000"/>
          <w:kern w:val="18"/>
          <w:lang w:val="en-CA" w:eastAsia="zh-CN"/>
        </w:rPr>
        <w:t>可预测和可持续的供资的</w:t>
      </w:r>
      <w:r>
        <w:rPr>
          <w:rFonts w:hint="eastAsia"/>
          <w:iCs/>
          <w:color w:val="000000"/>
          <w:kern w:val="18"/>
          <w:lang w:val="en-CA" w:eastAsia="zh-CN"/>
        </w:rPr>
        <w:t>长期存在</w:t>
      </w:r>
      <w:r>
        <w:rPr>
          <w:iCs/>
          <w:color w:val="000000"/>
          <w:kern w:val="18"/>
          <w:lang w:val="en-CA" w:eastAsia="zh-CN"/>
        </w:rPr>
        <w:t>的问题</w:t>
      </w:r>
      <w:r>
        <w:rPr>
          <w:rFonts w:hint="eastAsia"/>
          <w:iCs/>
          <w:color w:val="000000"/>
          <w:kern w:val="18"/>
          <w:lang w:val="en-CA" w:eastAsia="zh-CN"/>
        </w:rPr>
        <w:t>，</w:t>
      </w:r>
      <w:r w:rsidRPr="007027CB">
        <w:rPr>
          <w:rStyle w:val="FootnoteReference"/>
          <w:color w:val="000000" w:themeColor="text1"/>
          <w:kern w:val="20"/>
          <w:sz w:val="24"/>
          <w:szCs w:val="22"/>
          <w:u w:val="none"/>
          <w:vertAlign w:val="superscript"/>
          <w:lang w:val="en-GB"/>
        </w:rPr>
        <w:footnoteReference w:id="330"/>
      </w:r>
      <w:r w:rsidRPr="007027CB">
        <w:rPr>
          <w:rFonts w:hint="eastAsia"/>
          <w:iCs/>
          <w:color w:val="000000"/>
          <w:kern w:val="18"/>
          <w:sz w:val="48"/>
          <w:vertAlign w:val="superscript"/>
          <w:lang w:val="en-CA" w:eastAsia="zh-CN"/>
        </w:rPr>
        <w:t xml:space="preserve"> </w:t>
      </w:r>
      <w:r>
        <w:rPr>
          <w:iCs/>
          <w:color w:val="000000"/>
          <w:kern w:val="18"/>
          <w:lang w:val="en-CA" w:eastAsia="zh-CN"/>
        </w:rPr>
        <w:t>并确保</w:t>
      </w:r>
      <w:r>
        <w:rPr>
          <w:rFonts w:hint="eastAsia"/>
          <w:iCs/>
          <w:color w:val="000000"/>
          <w:kern w:val="18"/>
          <w:lang w:val="en-CA" w:eastAsia="zh-CN"/>
        </w:rPr>
        <w:t>BZ</w:t>
      </w:r>
      <w:r>
        <w:rPr>
          <w:rFonts w:hint="eastAsia"/>
          <w:iCs/>
          <w:color w:val="000000"/>
          <w:kern w:val="18"/>
          <w:lang w:val="en-CA" w:eastAsia="zh-CN"/>
        </w:rPr>
        <w:t>基金</w:t>
      </w:r>
      <w:r>
        <w:rPr>
          <w:iCs/>
          <w:color w:val="000000"/>
          <w:kern w:val="18"/>
          <w:lang w:val="en-CA" w:eastAsia="zh-CN"/>
        </w:rPr>
        <w:t>将重点放在</w:t>
      </w:r>
      <w:r>
        <w:rPr>
          <w:rFonts w:hint="eastAsia"/>
          <w:iCs/>
          <w:color w:val="000000"/>
          <w:kern w:val="18"/>
          <w:lang w:val="en-CA" w:eastAsia="zh-CN"/>
        </w:rPr>
        <w:t>为</w:t>
      </w:r>
      <w:r>
        <w:rPr>
          <w:iCs/>
          <w:color w:val="000000"/>
          <w:kern w:val="18"/>
          <w:lang w:val="en-CA" w:eastAsia="zh-CN"/>
        </w:rPr>
        <w:t>特别需要与会协助的国家，尤</w:t>
      </w:r>
      <w:r>
        <w:rPr>
          <w:iCs/>
          <w:color w:val="000000"/>
          <w:kern w:val="18"/>
          <w:lang w:val="en-CA" w:eastAsia="zh-CN"/>
        </w:rPr>
        <w:lastRenderedPageBreak/>
        <w:t>其是最不发达国家和小岛屿发展中国家</w:t>
      </w:r>
      <w:r>
        <w:rPr>
          <w:rFonts w:hint="eastAsia"/>
          <w:iCs/>
          <w:color w:val="000000"/>
          <w:kern w:val="18"/>
          <w:lang w:val="en-CA" w:eastAsia="zh-CN"/>
        </w:rPr>
        <w:t>提供</w:t>
      </w:r>
      <w:r>
        <w:rPr>
          <w:iCs/>
          <w:color w:val="000000"/>
          <w:kern w:val="18"/>
          <w:lang w:val="en-CA" w:eastAsia="zh-CN"/>
        </w:rPr>
        <w:t>资金上</w:t>
      </w:r>
      <w:r>
        <w:rPr>
          <w:rFonts w:hint="eastAsia"/>
          <w:iCs/>
          <w:color w:val="000000"/>
          <w:kern w:val="18"/>
          <w:lang w:val="en-CA" w:eastAsia="zh-CN"/>
        </w:rPr>
        <w:t>，</w:t>
      </w:r>
      <w:r w:rsidRPr="00E32A92">
        <w:rPr>
          <w:rFonts w:ascii="KaiTi" w:eastAsia="KaiTi" w:hAnsi="KaiTi" w:cs="Microsoft YaHei"/>
          <w:iCs/>
          <w:color w:val="000000"/>
          <w:kern w:val="18"/>
          <w:lang/>
        </w:rPr>
        <w:t>还</w:t>
      </w:r>
      <w:r w:rsidRPr="00DC1535">
        <w:rPr>
          <w:rFonts w:ascii="KaiTi" w:eastAsia="KaiTi" w:hAnsi="KaiTi" w:cs="Microsoft YaHei"/>
          <w:iCs/>
          <w:color w:val="000000"/>
          <w:kern w:val="18"/>
          <w:lang/>
        </w:rPr>
        <w:t>请</w:t>
      </w:r>
      <w:r>
        <w:rPr>
          <w:iCs/>
          <w:color w:val="000000"/>
          <w:kern w:val="18"/>
          <w:lang w:val="en-CA" w:eastAsia="zh-CN"/>
        </w:rPr>
        <w:t>执行秘书</w:t>
      </w:r>
      <w:r>
        <w:rPr>
          <w:rFonts w:hint="eastAsia"/>
          <w:iCs/>
          <w:color w:val="000000"/>
          <w:kern w:val="18"/>
          <w:lang w:val="en-CA" w:eastAsia="zh-CN"/>
        </w:rPr>
        <w:t>借鉴</w:t>
      </w:r>
      <w:r>
        <w:rPr>
          <w:iCs/>
          <w:color w:val="000000"/>
          <w:kern w:val="18"/>
          <w:lang w:val="en-CA" w:eastAsia="zh-CN"/>
        </w:rPr>
        <w:t>其他国际论坛</w:t>
      </w:r>
      <w:r>
        <w:rPr>
          <w:rFonts w:hint="eastAsia"/>
          <w:iCs/>
          <w:color w:val="000000"/>
          <w:kern w:val="18"/>
          <w:lang w:val="en-CA" w:eastAsia="zh-CN"/>
        </w:rPr>
        <w:t>类似</w:t>
      </w:r>
      <w:r>
        <w:rPr>
          <w:iCs/>
          <w:color w:val="000000"/>
          <w:kern w:val="18"/>
          <w:lang w:val="en-CA" w:eastAsia="zh-CN"/>
        </w:rPr>
        <w:t>信托基金的经验，</w:t>
      </w:r>
      <w:r>
        <w:rPr>
          <w:rFonts w:hint="eastAsia"/>
          <w:iCs/>
          <w:color w:val="000000"/>
          <w:kern w:val="18"/>
          <w:lang w:val="en-CA" w:eastAsia="zh-CN"/>
        </w:rPr>
        <w:t>报告</w:t>
      </w:r>
      <w:r>
        <w:rPr>
          <w:iCs/>
          <w:color w:val="000000"/>
          <w:kern w:val="18"/>
          <w:lang w:val="en-CA" w:eastAsia="zh-CN"/>
        </w:rPr>
        <w:t>制定措施提高</w:t>
      </w:r>
      <w:r>
        <w:rPr>
          <w:rFonts w:hint="eastAsia"/>
          <w:iCs/>
          <w:color w:val="000000"/>
          <w:kern w:val="18"/>
          <w:lang w:val="en-CA" w:eastAsia="zh-CN"/>
        </w:rPr>
        <w:t>该</w:t>
      </w:r>
      <w:r>
        <w:rPr>
          <w:iCs/>
          <w:color w:val="000000"/>
          <w:kern w:val="18"/>
          <w:lang w:val="en-CA" w:eastAsia="zh-CN"/>
        </w:rPr>
        <w:t>信托基金</w:t>
      </w:r>
      <w:r>
        <w:rPr>
          <w:rFonts w:hint="eastAsia"/>
          <w:iCs/>
          <w:color w:val="000000"/>
          <w:kern w:val="18"/>
          <w:lang w:val="en-CA" w:eastAsia="zh-CN"/>
        </w:rPr>
        <w:t>的</w:t>
      </w:r>
      <w:r>
        <w:rPr>
          <w:iCs/>
          <w:color w:val="000000"/>
          <w:kern w:val="18"/>
          <w:lang w:val="en-CA" w:eastAsia="zh-CN"/>
        </w:rPr>
        <w:t>可见度及其对于捐助方的吸引力</w:t>
      </w:r>
      <w:r>
        <w:rPr>
          <w:rFonts w:hint="eastAsia"/>
          <w:iCs/>
          <w:color w:val="000000"/>
          <w:kern w:val="18"/>
          <w:lang w:val="en-CA" w:eastAsia="zh-CN"/>
        </w:rPr>
        <w:t>方面的</w:t>
      </w:r>
      <w:r>
        <w:rPr>
          <w:iCs/>
          <w:color w:val="000000"/>
          <w:kern w:val="18"/>
          <w:lang w:val="en-CA" w:eastAsia="zh-CN"/>
        </w:rPr>
        <w:t>进展情况</w:t>
      </w:r>
      <w:r>
        <w:rPr>
          <w:rFonts w:hint="eastAsia"/>
          <w:iCs/>
          <w:color w:val="000000"/>
          <w:kern w:val="18"/>
          <w:lang w:val="en-CA" w:eastAsia="zh-CN"/>
        </w:rPr>
        <w:t>；</w:t>
      </w:r>
    </w:p>
    <w:p w:rsidR="00B72FA3" w:rsidRPr="007219E8"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7219E8">
        <w:rPr>
          <w:rFonts w:ascii="KaiTi" w:eastAsia="KaiTi" w:hAnsi="KaiTi" w:cs="Microsoft YaHei" w:hint="eastAsia"/>
          <w:iCs/>
          <w:color w:val="000000"/>
          <w:kern w:val="18"/>
          <w:lang/>
        </w:rPr>
        <w:t>强烈</w:t>
      </w:r>
      <w:r w:rsidRPr="007219E8">
        <w:rPr>
          <w:rFonts w:ascii="KaiTi" w:eastAsia="KaiTi" w:hAnsi="KaiTi" w:cs="Microsoft YaHei"/>
          <w:iCs/>
          <w:color w:val="000000"/>
          <w:kern w:val="18"/>
          <w:lang/>
        </w:rPr>
        <w:t>鼓励</w:t>
      </w:r>
      <w:r w:rsidRPr="007219E8">
        <w:rPr>
          <w:iCs/>
          <w:color w:val="000000"/>
          <w:kern w:val="18"/>
          <w:lang w:val="en-CA" w:eastAsia="zh-CN"/>
        </w:rPr>
        <w:t>发达国家缔约方</w:t>
      </w:r>
      <w:r w:rsidRPr="007219E8">
        <w:rPr>
          <w:rFonts w:hint="eastAsia"/>
          <w:iCs/>
          <w:color w:val="000000"/>
          <w:kern w:val="18"/>
          <w:lang w:val="en-CA" w:eastAsia="zh-CN"/>
        </w:rPr>
        <w:t>和</w:t>
      </w:r>
      <w:r>
        <w:rPr>
          <w:rFonts w:hint="eastAsia"/>
          <w:iCs/>
          <w:color w:val="000000"/>
          <w:kern w:val="18"/>
          <w:lang w:val="en-CA" w:eastAsia="zh-CN"/>
        </w:rPr>
        <w:t>其他</w:t>
      </w:r>
      <w:r w:rsidRPr="007219E8">
        <w:rPr>
          <w:iCs/>
          <w:color w:val="000000"/>
          <w:kern w:val="18"/>
          <w:lang w:val="en-CA" w:eastAsia="zh-CN"/>
        </w:rPr>
        <w:t>有能力的缔约方，包括在南南合作范围内，</w:t>
      </w:r>
      <w:r w:rsidRPr="007219E8">
        <w:rPr>
          <w:rFonts w:hint="eastAsia"/>
          <w:iCs/>
          <w:color w:val="000000"/>
          <w:kern w:val="18"/>
          <w:lang w:val="en-CA" w:eastAsia="zh-CN"/>
        </w:rPr>
        <w:t>为</w:t>
      </w:r>
      <w:r w:rsidRPr="007219E8">
        <w:rPr>
          <w:iCs/>
          <w:color w:val="000000"/>
          <w:kern w:val="18"/>
          <w:lang w:val="en-CA" w:eastAsia="zh-CN"/>
        </w:rPr>
        <w:t>BZ</w:t>
      </w:r>
      <w:r w:rsidRPr="007219E8">
        <w:rPr>
          <w:iCs/>
          <w:color w:val="000000"/>
          <w:kern w:val="18"/>
          <w:lang w:val="en-CA" w:eastAsia="zh-CN"/>
        </w:rPr>
        <w:t>信托基金</w:t>
      </w:r>
      <w:r w:rsidRPr="007219E8">
        <w:rPr>
          <w:rFonts w:hint="eastAsia"/>
          <w:iCs/>
          <w:color w:val="000000"/>
          <w:kern w:val="18"/>
          <w:lang w:val="en-CA" w:eastAsia="zh-CN"/>
        </w:rPr>
        <w:t>提供</w:t>
      </w:r>
      <w:r w:rsidRPr="007219E8">
        <w:rPr>
          <w:iCs/>
          <w:color w:val="000000"/>
          <w:kern w:val="18"/>
          <w:lang w:val="en-CA" w:eastAsia="zh-CN"/>
        </w:rPr>
        <w:t>必要的资金，</w:t>
      </w:r>
      <w:r>
        <w:rPr>
          <w:rFonts w:hint="eastAsia"/>
          <w:iCs/>
          <w:color w:val="000000"/>
          <w:kern w:val="18"/>
          <w:lang w:val="en-CA" w:eastAsia="zh-CN"/>
        </w:rPr>
        <w:t>以便</w:t>
      </w:r>
      <w:r w:rsidRPr="007219E8">
        <w:rPr>
          <w:rFonts w:hint="eastAsia"/>
          <w:iCs/>
          <w:color w:val="000000"/>
          <w:kern w:val="18"/>
          <w:lang w:val="en-CA" w:eastAsia="zh-CN"/>
        </w:rPr>
        <w:t>让</w:t>
      </w:r>
      <w:r w:rsidRPr="007219E8">
        <w:rPr>
          <w:iCs/>
          <w:color w:val="000000"/>
          <w:kern w:val="18"/>
          <w:lang w:val="en-CA" w:eastAsia="zh-CN"/>
        </w:rPr>
        <w:t>发展中国家缔约方，特别是最不发达国家和小岛屿发展中国家以及经济转型国家的代表能够充分有效地参加</w:t>
      </w:r>
      <w:r w:rsidRPr="007219E8">
        <w:rPr>
          <w:rFonts w:hint="eastAsia"/>
          <w:iCs/>
          <w:color w:val="000000"/>
          <w:kern w:val="18"/>
          <w:lang w:val="en-CA" w:eastAsia="zh-CN"/>
        </w:rPr>
        <w:t>缔约方大会</w:t>
      </w:r>
      <w:r w:rsidRPr="007219E8">
        <w:rPr>
          <w:iCs/>
          <w:color w:val="000000"/>
          <w:kern w:val="18"/>
          <w:lang w:val="en-CA" w:eastAsia="zh-CN"/>
        </w:rPr>
        <w:t>、作为各</w:t>
      </w:r>
      <w:r w:rsidRPr="007219E8">
        <w:rPr>
          <w:rFonts w:hint="eastAsia"/>
          <w:iCs/>
          <w:color w:val="000000"/>
          <w:kern w:val="18"/>
          <w:lang w:val="en-CA" w:eastAsia="zh-CN"/>
        </w:rPr>
        <w:t>议定书</w:t>
      </w:r>
      <w:r w:rsidRPr="007219E8">
        <w:rPr>
          <w:iCs/>
          <w:color w:val="000000"/>
          <w:kern w:val="18"/>
          <w:lang w:val="en-CA" w:eastAsia="zh-CN"/>
        </w:rPr>
        <w:t>缔约方会议的缔约方大会、科学、技术和工艺咨询附属机构</w:t>
      </w:r>
      <w:r w:rsidRPr="007219E8">
        <w:rPr>
          <w:rFonts w:hint="eastAsia"/>
          <w:iCs/>
          <w:color w:val="000000"/>
          <w:kern w:val="18"/>
          <w:lang w:val="en-CA" w:eastAsia="zh-CN"/>
        </w:rPr>
        <w:t>、</w:t>
      </w:r>
      <w:r w:rsidRPr="007219E8">
        <w:rPr>
          <w:iCs/>
          <w:color w:val="000000"/>
          <w:kern w:val="18"/>
          <w:lang w:val="en-CA" w:eastAsia="zh-CN"/>
        </w:rPr>
        <w:t>第</w:t>
      </w:r>
      <w:r w:rsidRPr="007219E8">
        <w:rPr>
          <w:iCs/>
          <w:color w:val="000000"/>
          <w:kern w:val="18"/>
          <w:lang w:val="en-CA" w:eastAsia="zh-CN"/>
        </w:rPr>
        <w:t>8</w:t>
      </w:r>
      <w:r>
        <w:rPr>
          <w:iCs/>
          <w:color w:val="000000"/>
          <w:kern w:val="18"/>
          <w:lang w:val="en-CA" w:eastAsia="zh-CN"/>
        </w:rPr>
        <w:t>(j)</w:t>
      </w:r>
      <w:r w:rsidRPr="007219E8">
        <w:rPr>
          <w:rFonts w:hint="eastAsia"/>
          <w:iCs/>
          <w:color w:val="000000"/>
          <w:kern w:val="18"/>
          <w:lang w:val="en-CA" w:eastAsia="zh-CN"/>
        </w:rPr>
        <w:t>条</w:t>
      </w:r>
      <w:r w:rsidRPr="007219E8">
        <w:rPr>
          <w:iCs/>
          <w:color w:val="000000"/>
          <w:kern w:val="18"/>
          <w:lang w:val="en-CA" w:eastAsia="zh-CN"/>
        </w:rPr>
        <w:t>问题</w:t>
      </w:r>
      <w:r>
        <w:rPr>
          <w:rFonts w:hint="eastAsia"/>
          <w:iCs/>
          <w:color w:val="000000"/>
          <w:kern w:val="18"/>
          <w:lang w:val="en-CA" w:eastAsia="zh-CN"/>
        </w:rPr>
        <w:t>和</w:t>
      </w:r>
      <w:r>
        <w:rPr>
          <w:iCs/>
          <w:color w:val="000000"/>
          <w:kern w:val="18"/>
          <w:lang w:val="en-CA" w:eastAsia="zh-CN"/>
        </w:rPr>
        <w:t>相关条款问题</w:t>
      </w:r>
      <w:r w:rsidRPr="007219E8">
        <w:rPr>
          <w:iCs/>
          <w:color w:val="000000"/>
          <w:kern w:val="18"/>
          <w:lang w:val="en-CA" w:eastAsia="zh-CN"/>
        </w:rPr>
        <w:t>不限成员名额特设工作组以及执行问题附属机构</w:t>
      </w:r>
      <w:r w:rsidRPr="007219E8">
        <w:rPr>
          <w:rFonts w:hint="eastAsia"/>
          <w:iCs/>
          <w:color w:val="000000"/>
          <w:kern w:val="18"/>
          <w:lang w:val="en-CA" w:eastAsia="zh-CN"/>
        </w:rPr>
        <w:t>的会议；</w:t>
      </w:r>
    </w:p>
    <w:p w:rsidR="00B72FA3" w:rsidRPr="007D5E52" w:rsidRDefault="00B72FA3" w:rsidP="00615E7F">
      <w:pPr>
        <w:pStyle w:val="ListParagraph"/>
        <w:numPr>
          <w:ilvl w:val="0"/>
          <w:numId w:val="280"/>
        </w:numPr>
        <w:shd w:val="clear" w:color="auto" w:fill="FFFFFF" w:themeFill="background1"/>
        <w:adjustRightInd w:val="0"/>
        <w:snapToGrid w:val="0"/>
        <w:ind w:left="0" w:firstLine="720"/>
        <w:rPr>
          <w:rFonts w:hAnsiTheme="minorEastAsia"/>
          <w:iCs/>
          <w:color w:val="000000"/>
          <w:kern w:val="18"/>
          <w:lang w:val="en-CA" w:eastAsia="zh-CN"/>
        </w:rPr>
      </w:pPr>
      <w:r>
        <w:rPr>
          <w:rFonts w:ascii="KaiTi" w:eastAsia="KaiTi" w:hAnsi="KaiTi" w:cs="Microsoft YaHei" w:hint="eastAsia"/>
          <w:iCs/>
          <w:color w:val="000000"/>
          <w:kern w:val="18"/>
          <w:lang w:val="en-CA" w:eastAsia="zh-CN"/>
        </w:rPr>
        <w:t>又</w:t>
      </w:r>
      <w:r w:rsidRPr="007D5E52">
        <w:rPr>
          <w:rFonts w:ascii="KaiTi" w:eastAsia="KaiTi" w:hAnsi="KaiTi" w:cs="Microsoft YaHei" w:hint="eastAsia"/>
          <w:iCs/>
          <w:color w:val="000000"/>
          <w:kern w:val="18"/>
          <w:lang/>
        </w:rPr>
        <w:t>强烈</w:t>
      </w:r>
      <w:r w:rsidRPr="007D5E52">
        <w:rPr>
          <w:rFonts w:ascii="KaiTi" w:eastAsia="KaiTi" w:hAnsi="KaiTi" w:cs="Microsoft YaHei"/>
          <w:iCs/>
          <w:color w:val="000000"/>
          <w:kern w:val="18"/>
          <w:lang/>
        </w:rPr>
        <w:t>鼓励</w:t>
      </w:r>
      <w:r>
        <w:rPr>
          <w:rFonts w:hAnsiTheme="minorEastAsia" w:hint="eastAsia"/>
          <w:iCs/>
          <w:color w:val="000000"/>
          <w:kern w:val="18"/>
          <w:lang w:val="en-CA" w:eastAsia="zh-CN"/>
        </w:rPr>
        <w:t>捐助方</w:t>
      </w:r>
      <w:r w:rsidRPr="007D5E52">
        <w:rPr>
          <w:rFonts w:hAnsiTheme="minorEastAsia" w:hint="eastAsia"/>
          <w:iCs/>
          <w:color w:val="000000"/>
          <w:kern w:val="18"/>
          <w:lang w:val="en-CA" w:eastAsia="zh-CN"/>
        </w:rPr>
        <w:t>提供额外</w:t>
      </w:r>
      <w:r w:rsidRPr="007D5E52">
        <w:rPr>
          <w:rFonts w:hAnsiTheme="minorEastAsia"/>
          <w:iCs/>
          <w:color w:val="000000"/>
          <w:kern w:val="18"/>
          <w:lang w:val="en-CA" w:eastAsia="zh-CN"/>
        </w:rPr>
        <w:t>资金，</w:t>
      </w:r>
      <w:r w:rsidRPr="007D5E52">
        <w:rPr>
          <w:rFonts w:hAnsiTheme="minorEastAsia" w:hint="eastAsia"/>
          <w:iCs/>
          <w:color w:val="000000"/>
          <w:kern w:val="18"/>
          <w:lang w:val="en-CA" w:eastAsia="zh-CN"/>
        </w:rPr>
        <w:t>让最不发达国家</w:t>
      </w:r>
      <w:r w:rsidRPr="007D5E52">
        <w:rPr>
          <w:rFonts w:hAnsiTheme="minorEastAsia"/>
          <w:iCs/>
          <w:color w:val="000000"/>
          <w:kern w:val="18"/>
          <w:lang w:val="en-CA" w:eastAsia="zh-CN"/>
        </w:rPr>
        <w:t>和小岛屿发展中国家的</w:t>
      </w:r>
      <w:r w:rsidRPr="007D5E52">
        <w:rPr>
          <w:rFonts w:hAnsiTheme="minorEastAsia" w:hint="eastAsia"/>
          <w:iCs/>
          <w:color w:val="000000"/>
          <w:kern w:val="18"/>
          <w:lang w:val="en-CA" w:eastAsia="zh-CN"/>
        </w:rPr>
        <w:t>第二名代表</w:t>
      </w:r>
      <w:r w:rsidRPr="007D5E52">
        <w:rPr>
          <w:rFonts w:hAnsiTheme="minorEastAsia"/>
          <w:iCs/>
          <w:color w:val="000000"/>
          <w:kern w:val="18"/>
          <w:lang w:val="en-CA" w:eastAsia="zh-CN"/>
        </w:rPr>
        <w:t>能够参加</w:t>
      </w:r>
      <w:r w:rsidRPr="007D5E52">
        <w:rPr>
          <w:rFonts w:hAnsiTheme="minorEastAsia" w:hint="eastAsia"/>
          <w:iCs/>
          <w:color w:val="000000"/>
          <w:kern w:val="18"/>
          <w:lang w:val="en-CA" w:eastAsia="zh-CN"/>
        </w:rPr>
        <w:t>缔约方大会</w:t>
      </w:r>
      <w:r w:rsidRPr="007D5E52">
        <w:rPr>
          <w:rFonts w:hAnsiTheme="minorEastAsia"/>
          <w:iCs/>
          <w:color w:val="000000"/>
          <w:kern w:val="18"/>
          <w:lang w:val="en-CA" w:eastAsia="zh-CN"/>
        </w:rPr>
        <w:t>第十五届会议、作为卡塔赫纳议定书缔约方会议的缔约方大会第十次会议和作为名古屋议定书缔约方会议的缔约方大会第四次会议</w:t>
      </w:r>
      <w:r w:rsidRPr="007D5E52">
        <w:rPr>
          <w:rFonts w:hAnsiTheme="minorEastAsia" w:hint="eastAsia"/>
          <w:iCs/>
          <w:color w:val="000000"/>
          <w:kern w:val="18"/>
          <w:lang w:val="en-CA" w:eastAsia="zh-CN"/>
        </w:rPr>
        <w:t>，</w:t>
      </w:r>
      <w:r w:rsidRPr="007D5E52">
        <w:rPr>
          <w:rFonts w:hAnsiTheme="minorEastAsia"/>
          <w:iCs/>
          <w:color w:val="000000"/>
          <w:kern w:val="18"/>
          <w:lang w:val="en-CA" w:eastAsia="zh-CN"/>
        </w:rPr>
        <w:t>并</w:t>
      </w:r>
      <w:r w:rsidRPr="007D5E52">
        <w:rPr>
          <w:rFonts w:ascii="KaiTi" w:eastAsia="KaiTi" w:hAnsi="KaiTi" w:cs="Microsoft YaHei"/>
          <w:iCs/>
          <w:color w:val="000000"/>
          <w:kern w:val="18"/>
          <w:lang/>
        </w:rPr>
        <w:t>请</w:t>
      </w:r>
      <w:r w:rsidRPr="007D5E52">
        <w:rPr>
          <w:rFonts w:hAnsiTheme="minorEastAsia"/>
          <w:iCs/>
          <w:color w:val="000000"/>
          <w:kern w:val="18"/>
          <w:lang w:val="en-CA" w:eastAsia="zh-CN"/>
        </w:rPr>
        <w:t>执行秘书就这一安排向缔约方大会第十五届会议作出</w:t>
      </w:r>
      <w:r w:rsidRPr="007D5E52">
        <w:rPr>
          <w:rFonts w:hAnsiTheme="minorEastAsia" w:hint="eastAsia"/>
          <w:iCs/>
          <w:color w:val="000000"/>
          <w:kern w:val="18"/>
          <w:lang w:val="en-CA" w:eastAsia="zh-CN"/>
        </w:rPr>
        <w:t>汇报</w:t>
      </w:r>
      <w:r w:rsidRPr="007D5E52">
        <w:rPr>
          <w:rFonts w:hAnsiTheme="minorEastAsia"/>
          <w:iCs/>
          <w:color w:val="000000"/>
          <w:kern w:val="18"/>
          <w:lang w:val="en-CA" w:eastAsia="zh-CN"/>
        </w:rPr>
        <w:t>；</w:t>
      </w:r>
    </w:p>
    <w:p w:rsidR="00B72FA3" w:rsidRPr="00AA11BD" w:rsidRDefault="00B72FA3" w:rsidP="00615E7F">
      <w:pPr>
        <w:pStyle w:val="ListParagraph"/>
        <w:numPr>
          <w:ilvl w:val="0"/>
          <w:numId w:val="280"/>
        </w:numPr>
        <w:shd w:val="clear" w:color="auto" w:fill="FFFFFF" w:themeFill="background1"/>
        <w:tabs>
          <w:tab w:val="left" w:pos="1440"/>
        </w:tabs>
        <w:adjustRightInd w:val="0"/>
        <w:snapToGrid w:val="0"/>
        <w:ind w:left="0" w:firstLine="720"/>
        <w:rPr>
          <w:rFonts w:hAnsiTheme="minorEastAsia"/>
          <w:iCs/>
          <w:color w:val="000000"/>
          <w:kern w:val="18"/>
          <w:lang w:val="en-CA" w:eastAsia="zh-CN"/>
        </w:rPr>
      </w:pPr>
      <w:r w:rsidRPr="007D5E52">
        <w:rPr>
          <w:rFonts w:ascii="KaiTi" w:eastAsia="KaiTi" w:hAnsi="KaiTi" w:cs="Microsoft YaHei"/>
          <w:iCs/>
          <w:color w:val="000000"/>
          <w:kern w:val="18"/>
          <w:lang/>
        </w:rPr>
        <w:t>回顾</w:t>
      </w:r>
      <w:hyperlink r:id="rId95" w:history="1">
        <w:r w:rsidRPr="00421205">
          <w:rPr>
            <w:rFonts w:hAnsiTheme="minorEastAsia"/>
            <w:iCs/>
            <w:color w:val="000000"/>
            <w:kern w:val="18"/>
            <w:lang w:val="en-CA" w:eastAsia="zh-CN"/>
          </w:rPr>
          <w:t>第</w:t>
        </w:r>
        <w:r w:rsidRPr="00AA11BD">
          <w:rPr>
            <w:rFonts w:hAnsiTheme="minorEastAsia"/>
            <w:iCs/>
            <w:color w:val="000000"/>
            <w:kern w:val="18"/>
            <w:lang w:val="en-CA" w:eastAsia="zh-CN"/>
          </w:rPr>
          <w:t>IX/34</w:t>
        </w:r>
        <w:r w:rsidRPr="00421205">
          <w:rPr>
            <w:rFonts w:hAnsiTheme="minorEastAsia"/>
            <w:iCs/>
            <w:color w:val="000000"/>
            <w:kern w:val="18"/>
            <w:lang w:val="en-CA" w:eastAsia="zh-CN"/>
          </w:rPr>
          <w:t>号决定</w:t>
        </w:r>
      </w:hyperlink>
      <w:r w:rsidRPr="00421205">
        <w:rPr>
          <w:rFonts w:hAnsiTheme="minorEastAsia"/>
          <w:iCs/>
          <w:color w:val="000000"/>
          <w:kern w:val="18"/>
          <w:lang w:val="en-CA" w:eastAsia="zh-CN"/>
        </w:rPr>
        <w:t>第</w:t>
      </w:r>
      <w:r w:rsidRPr="00AA11BD">
        <w:rPr>
          <w:rFonts w:hAnsiTheme="minorEastAsia"/>
          <w:iCs/>
          <w:color w:val="000000"/>
          <w:kern w:val="18"/>
          <w:lang w:val="en-CA" w:eastAsia="zh-CN"/>
        </w:rPr>
        <w:t>31</w:t>
      </w:r>
      <w:r w:rsidRPr="00421205">
        <w:rPr>
          <w:rFonts w:hAnsiTheme="minorEastAsia"/>
          <w:iCs/>
          <w:color w:val="000000"/>
          <w:kern w:val="18"/>
          <w:lang w:val="en-CA" w:eastAsia="zh-CN"/>
        </w:rPr>
        <w:t>段，</w:t>
      </w:r>
      <w:r>
        <w:rPr>
          <w:rFonts w:hAnsiTheme="minorEastAsia" w:hint="eastAsia"/>
          <w:iCs/>
          <w:color w:val="000000"/>
          <w:kern w:val="18"/>
          <w:lang w:val="en-CA" w:eastAsia="zh-CN"/>
        </w:rPr>
        <w:t>并</w:t>
      </w:r>
      <w:r w:rsidRPr="007D5E52">
        <w:rPr>
          <w:rFonts w:ascii="KaiTi" w:eastAsia="KaiTi" w:hAnsi="KaiTi" w:cs="Microsoft YaHei"/>
          <w:iCs/>
          <w:color w:val="000000"/>
          <w:kern w:val="18"/>
          <w:lang/>
        </w:rPr>
        <w:t>请</w:t>
      </w:r>
      <w:r w:rsidRPr="00421205">
        <w:rPr>
          <w:rFonts w:hAnsiTheme="minorEastAsia"/>
          <w:iCs/>
          <w:color w:val="000000"/>
          <w:kern w:val="18"/>
          <w:lang w:val="en-CA" w:eastAsia="zh-CN"/>
        </w:rPr>
        <w:t>执行秘书在分配</w:t>
      </w:r>
      <w:r w:rsidRPr="00AA11BD">
        <w:rPr>
          <w:rFonts w:hAnsiTheme="minorEastAsia"/>
          <w:iCs/>
          <w:color w:val="000000"/>
          <w:kern w:val="18"/>
          <w:lang w:val="en-CA" w:eastAsia="zh-CN"/>
        </w:rPr>
        <w:t>BZ</w:t>
      </w:r>
      <w:r w:rsidRPr="00421205">
        <w:rPr>
          <w:rFonts w:hAnsiTheme="minorEastAsia"/>
          <w:iCs/>
          <w:color w:val="000000"/>
          <w:kern w:val="18"/>
          <w:lang w:val="en-CA" w:eastAsia="zh-CN"/>
        </w:rPr>
        <w:t>信托基金的资金时，</w:t>
      </w:r>
      <w:r w:rsidRPr="00AA11BD">
        <w:rPr>
          <w:rFonts w:hAnsiTheme="minorEastAsia"/>
          <w:iCs/>
          <w:color w:val="000000"/>
          <w:kern w:val="18"/>
          <w:lang w:val="en-CA" w:eastAsia="zh-CN"/>
        </w:rPr>
        <w:t xml:space="preserve"> </w:t>
      </w:r>
      <w:r w:rsidRPr="00421205">
        <w:rPr>
          <w:rFonts w:hAnsiTheme="minorEastAsia"/>
          <w:iCs/>
          <w:color w:val="000000"/>
          <w:kern w:val="18"/>
          <w:lang w:val="en-CA" w:eastAsia="zh-CN"/>
        </w:rPr>
        <w:t>继续优先资助最不发达国家和小岛屿发展中国家</w:t>
      </w:r>
      <w:r w:rsidRPr="00AA11BD">
        <w:rPr>
          <w:rFonts w:hAnsiTheme="minorEastAsia"/>
          <w:iCs/>
          <w:color w:val="000000"/>
          <w:kern w:val="18"/>
          <w:lang w:val="en-CA" w:eastAsia="zh-CN"/>
        </w:rPr>
        <w:t>；</w:t>
      </w:r>
    </w:p>
    <w:p w:rsidR="00B72FA3" w:rsidRPr="00AA11BD" w:rsidRDefault="00B72FA3" w:rsidP="00615E7F">
      <w:pPr>
        <w:pStyle w:val="ListParagraph"/>
        <w:numPr>
          <w:ilvl w:val="0"/>
          <w:numId w:val="280"/>
        </w:numPr>
        <w:shd w:val="clear" w:color="auto" w:fill="FFFFFF" w:themeFill="background1"/>
        <w:tabs>
          <w:tab w:val="left" w:pos="1440"/>
        </w:tabs>
        <w:adjustRightInd w:val="0"/>
        <w:snapToGrid w:val="0"/>
        <w:ind w:left="0" w:firstLine="720"/>
        <w:rPr>
          <w:rFonts w:hAnsiTheme="minorEastAsia"/>
          <w:iCs/>
          <w:color w:val="000000"/>
          <w:kern w:val="18"/>
          <w:lang w:val="en-CA" w:eastAsia="zh-CN"/>
        </w:rPr>
      </w:pPr>
      <w:r w:rsidRPr="007D5E52">
        <w:rPr>
          <w:rFonts w:ascii="KaiTi" w:eastAsia="KaiTi" w:hAnsi="KaiTi" w:cs="Microsoft YaHei"/>
          <w:iCs/>
          <w:color w:val="000000"/>
          <w:kern w:val="18"/>
          <w:lang/>
        </w:rPr>
        <w:t>请</w:t>
      </w:r>
      <w:r w:rsidRPr="00AA11BD">
        <w:rPr>
          <w:rFonts w:hAnsiTheme="minorEastAsia"/>
          <w:iCs/>
          <w:color w:val="000000"/>
          <w:kern w:val="18"/>
          <w:lang w:val="en-CA" w:eastAsia="zh-CN"/>
        </w:rPr>
        <w:t>执行秘书与私营机构、非政府组织和国际组织接触，争取外部资金向特别自愿信托基金捐款，同时考虑到</w:t>
      </w:r>
      <w:r>
        <w:rPr>
          <w:rFonts w:hAnsiTheme="minorEastAsia" w:hint="eastAsia"/>
          <w:iCs/>
          <w:color w:val="000000"/>
          <w:kern w:val="18"/>
          <w:lang w:val="en-CA" w:eastAsia="zh-CN"/>
        </w:rPr>
        <w:t xml:space="preserve"> </w:t>
      </w:r>
      <w:r>
        <w:rPr>
          <w:rFonts w:hAnsiTheme="minorEastAsia"/>
          <w:iCs/>
          <w:color w:val="000000"/>
          <w:kern w:val="18"/>
          <w:lang w:val="en-CA" w:eastAsia="zh-CN"/>
        </w:rPr>
        <w:t>(</w:t>
      </w:r>
      <w:r w:rsidRPr="00AA11BD">
        <w:rPr>
          <w:rFonts w:hAnsiTheme="minorEastAsia"/>
          <w:iCs/>
          <w:color w:val="000000"/>
          <w:kern w:val="18"/>
          <w:lang w:val="en-CA" w:eastAsia="zh-CN"/>
        </w:rPr>
        <w:t>a</w:t>
      </w:r>
      <w:r>
        <w:rPr>
          <w:rFonts w:hAnsiTheme="minorEastAsia"/>
          <w:iCs/>
          <w:color w:val="000000"/>
          <w:kern w:val="18"/>
          <w:lang w:val="en-CA" w:eastAsia="zh-CN"/>
        </w:rPr>
        <w:t xml:space="preserve">) </w:t>
      </w:r>
      <w:r w:rsidRPr="00AA11BD">
        <w:rPr>
          <w:rFonts w:hAnsiTheme="minorEastAsia"/>
          <w:iCs/>
          <w:color w:val="000000"/>
          <w:kern w:val="18"/>
          <w:lang w:val="en-CA" w:eastAsia="zh-CN"/>
        </w:rPr>
        <w:t>私营部门参与联合国系统的各种现行准则，</w:t>
      </w:r>
      <w:r>
        <w:rPr>
          <w:rFonts w:hAnsiTheme="minorEastAsia"/>
          <w:iCs/>
          <w:color w:val="000000"/>
          <w:kern w:val="18"/>
          <w:lang w:val="en-CA" w:eastAsia="zh-CN"/>
        </w:rPr>
        <w:t>(</w:t>
      </w:r>
      <w:r w:rsidRPr="00AA11BD">
        <w:rPr>
          <w:rFonts w:hAnsiTheme="minorEastAsia"/>
          <w:iCs/>
          <w:color w:val="000000"/>
          <w:kern w:val="18"/>
          <w:lang w:val="en-CA" w:eastAsia="zh-CN"/>
        </w:rPr>
        <w:t>b</w:t>
      </w:r>
      <w:r>
        <w:rPr>
          <w:rFonts w:hAnsiTheme="minorEastAsia"/>
          <w:iCs/>
          <w:color w:val="000000"/>
          <w:kern w:val="18"/>
          <w:lang w:val="en-CA" w:eastAsia="zh-CN"/>
        </w:rPr>
        <w:t xml:space="preserve">) </w:t>
      </w:r>
      <w:r w:rsidRPr="00AA11BD">
        <w:rPr>
          <w:rFonts w:hAnsiTheme="minorEastAsia"/>
          <w:iCs/>
          <w:color w:val="000000"/>
          <w:kern w:val="18"/>
          <w:lang w:val="en-CA" w:eastAsia="zh-CN"/>
        </w:rPr>
        <w:t>其他公约和联合国进程在资助合格发展中国家缔约方，包括最不发</w:t>
      </w:r>
      <w:r w:rsidRPr="00AA11BD">
        <w:rPr>
          <w:rFonts w:hAnsiTheme="minorEastAsia"/>
          <w:iCs/>
          <w:color w:val="000000"/>
          <w:kern w:val="18"/>
          <w:lang w:val="en-CA" w:eastAsia="zh-CN"/>
        </w:rPr>
        <w:t xml:space="preserve"> </w:t>
      </w:r>
      <w:r w:rsidRPr="00AA11BD">
        <w:rPr>
          <w:rFonts w:hAnsiTheme="minorEastAsia"/>
          <w:iCs/>
          <w:color w:val="000000"/>
          <w:kern w:val="18"/>
          <w:lang w:val="en-CA" w:eastAsia="zh-CN"/>
        </w:rPr>
        <w:t>达国家、小岛屿发展中国家和经济转型国家缔约方参与方面的经验，</w:t>
      </w:r>
      <w:r>
        <w:rPr>
          <w:rFonts w:ascii="KaiTi" w:eastAsia="KaiTi" w:hAnsi="KaiTi" w:cs="Microsoft YaHei" w:hint="eastAsia"/>
          <w:iCs/>
          <w:color w:val="000000"/>
          <w:kern w:val="18"/>
          <w:lang w:eastAsia="zh-CN"/>
        </w:rPr>
        <w:t>又</w:t>
      </w:r>
      <w:r w:rsidRPr="00890344">
        <w:rPr>
          <w:rFonts w:ascii="KaiTi" w:eastAsia="KaiTi" w:hAnsi="KaiTi" w:cs="Microsoft YaHei"/>
          <w:iCs/>
          <w:color w:val="000000"/>
          <w:kern w:val="18"/>
          <w:lang/>
        </w:rPr>
        <w:t>请</w:t>
      </w:r>
      <w:r w:rsidRPr="00AA11BD">
        <w:rPr>
          <w:rFonts w:hAnsiTheme="minorEastAsia"/>
          <w:iCs/>
          <w:color w:val="000000"/>
          <w:kern w:val="18"/>
          <w:lang w:val="en-CA" w:eastAsia="zh-CN"/>
        </w:rPr>
        <w:t>执行秘书向缔约方会议主席团通报这方面的进一步发展情况；</w:t>
      </w:r>
    </w:p>
    <w:p w:rsidR="00B72FA3" w:rsidRPr="00AA11BD" w:rsidRDefault="00B72FA3" w:rsidP="00615E7F">
      <w:pPr>
        <w:pStyle w:val="ListParagraph"/>
        <w:numPr>
          <w:ilvl w:val="0"/>
          <w:numId w:val="280"/>
        </w:numPr>
        <w:shd w:val="clear" w:color="auto" w:fill="FFFFFF" w:themeFill="background1"/>
        <w:tabs>
          <w:tab w:val="left" w:pos="1440"/>
        </w:tabs>
        <w:adjustRightInd w:val="0"/>
        <w:snapToGrid w:val="0"/>
        <w:ind w:left="0" w:firstLine="720"/>
        <w:rPr>
          <w:rFonts w:hAnsiTheme="minorEastAsia"/>
          <w:iCs/>
          <w:color w:val="000000"/>
          <w:kern w:val="18"/>
          <w:lang w:val="en-CA" w:eastAsia="zh-CN"/>
        </w:rPr>
      </w:pPr>
      <w:r w:rsidRPr="00890344">
        <w:rPr>
          <w:rFonts w:ascii="KaiTi" w:eastAsia="KaiTi" w:hAnsi="KaiTi" w:cs="Microsoft YaHei" w:hint="eastAsia"/>
          <w:iCs/>
          <w:color w:val="000000"/>
          <w:kern w:val="18"/>
          <w:lang/>
        </w:rPr>
        <w:t>鼓励</w:t>
      </w:r>
      <w:r w:rsidRPr="00AA11BD">
        <w:rPr>
          <w:rFonts w:hAnsiTheme="minorEastAsia" w:hint="eastAsia"/>
          <w:iCs/>
          <w:color w:val="000000"/>
          <w:kern w:val="18"/>
          <w:lang w:val="en-CA" w:eastAsia="zh-CN"/>
        </w:rPr>
        <w:t>发达国家缔约方和其他有能力的缔约方便利秘书处与</w:t>
      </w:r>
      <w:r w:rsidRPr="00AA11BD">
        <w:rPr>
          <w:rFonts w:hAnsiTheme="minorEastAsia" w:hint="eastAsia"/>
          <w:iCs/>
          <w:color w:val="000000"/>
          <w:kern w:val="18"/>
          <w:lang w:val="en-CA" w:eastAsia="zh-CN"/>
        </w:rPr>
        <w:t>BZ</w:t>
      </w:r>
      <w:r w:rsidRPr="00AA11BD">
        <w:rPr>
          <w:rFonts w:hAnsiTheme="minorEastAsia" w:hint="eastAsia"/>
          <w:iCs/>
          <w:color w:val="000000"/>
          <w:kern w:val="18"/>
          <w:lang w:val="en-CA" w:eastAsia="zh-CN"/>
        </w:rPr>
        <w:t>信托基金的潜在替代</w:t>
      </w:r>
      <w:r>
        <w:rPr>
          <w:rFonts w:hAnsiTheme="minorEastAsia" w:hint="eastAsia"/>
          <w:iCs/>
          <w:color w:val="000000"/>
          <w:kern w:val="18"/>
          <w:lang w:val="en-CA" w:eastAsia="zh-CN"/>
        </w:rPr>
        <w:t>捐助方</w:t>
      </w:r>
      <w:r w:rsidRPr="00AA11BD">
        <w:rPr>
          <w:rFonts w:hAnsiTheme="minorEastAsia" w:hint="eastAsia"/>
          <w:iCs/>
          <w:color w:val="000000"/>
          <w:kern w:val="18"/>
          <w:lang w:val="en-CA" w:eastAsia="zh-CN"/>
        </w:rPr>
        <w:t>，包括私营机构接触，以协助资助符合条件的发展中国家参加《公约》及其</w:t>
      </w:r>
      <w:r>
        <w:rPr>
          <w:rFonts w:hAnsiTheme="minorEastAsia" w:hint="eastAsia"/>
          <w:iCs/>
          <w:color w:val="000000"/>
          <w:kern w:val="18"/>
          <w:lang w:val="en-CA" w:eastAsia="zh-CN"/>
        </w:rPr>
        <w:t>《</w:t>
      </w:r>
      <w:r w:rsidRPr="00AA11BD">
        <w:rPr>
          <w:rFonts w:hAnsiTheme="minorEastAsia" w:hint="eastAsia"/>
          <w:iCs/>
          <w:color w:val="000000"/>
          <w:kern w:val="18"/>
          <w:lang w:val="en-CA" w:eastAsia="zh-CN"/>
        </w:rPr>
        <w:t>议定书</w:t>
      </w:r>
      <w:r>
        <w:rPr>
          <w:rFonts w:hAnsiTheme="minorEastAsia" w:hint="eastAsia"/>
          <w:iCs/>
          <w:color w:val="000000"/>
          <w:kern w:val="18"/>
          <w:lang w:val="en-CA" w:eastAsia="zh-CN"/>
        </w:rPr>
        <w:t>》</w:t>
      </w:r>
      <w:r>
        <w:rPr>
          <w:rFonts w:hAnsiTheme="minorEastAsia"/>
          <w:iCs/>
          <w:color w:val="000000"/>
          <w:kern w:val="18"/>
          <w:lang w:val="en-CA" w:eastAsia="zh-CN"/>
        </w:rPr>
        <w:t>缔约方</w:t>
      </w:r>
      <w:r w:rsidRPr="00AA11BD">
        <w:rPr>
          <w:rFonts w:hAnsiTheme="minorEastAsia" w:hint="eastAsia"/>
          <w:iCs/>
          <w:color w:val="000000"/>
          <w:kern w:val="18"/>
          <w:lang w:val="en-CA" w:eastAsia="zh-CN"/>
        </w:rPr>
        <w:t>的会议；</w:t>
      </w:r>
    </w:p>
    <w:p w:rsidR="00B72FA3" w:rsidRPr="00AA11BD" w:rsidRDefault="00B72FA3" w:rsidP="00615E7F">
      <w:pPr>
        <w:pStyle w:val="ListParagraph"/>
        <w:numPr>
          <w:ilvl w:val="0"/>
          <w:numId w:val="280"/>
        </w:numPr>
        <w:shd w:val="clear" w:color="auto" w:fill="FFFFFF" w:themeFill="background1"/>
        <w:tabs>
          <w:tab w:val="left" w:pos="1440"/>
        </w:tabs>
        <w:adjustRightInd w:val="0"/>
        <w:snapToGrid w:val="0"/>
        <w:ind w:left="0" w:firstLine="720"/>
        <w:rPr>
          <w:rFonts w:hAnsiTheme="minorEastAsia"/>
          <w:iCs/>
          <w:color w:val="000000"/>
          <w:kern w:val="18"/>
          <w:lang w:val="en-CA" w:eastAsia="zh-CN"/>
        </w:rPr>
      </w:pPr>
      <w:r w:rsidRPr="00285BCE">
        <w:rPr>
          <w:rFonts w:ascii="KaiTi" w:eastAsia="KaiTi" w:hAnsi="KaiTi" w:cs="Microsoft YaHei" w:hint="eastAsia"/>
          <w:iCs/>
          <w:color w:val="000000"/>
          <w:kern w:val="18"/>
          <w:lang/>
        </w:rPr>
        <w:t>请</w:t>
      </w:r>
      <w:r w:rsidRPr="00AA11BD">
        <w:rPr>
          <w:rFonts w:hAnsiTheme="minorEastAsia" w:hint="eastAsia"/>
          <w:iCs/>
          <w:color w:val="000000"/>
          <w:kern w:val="18"/>
          <w:lang w:val="en-CA" w:eastAsia="zh-CN"/>
        </w:rPr>
        <w:t>执行秘书在每</w:t>
      </w:r>
      <w:r>
        <w:rPr>
          <w:rFonts w:hAnsiTheme="minorEastAsia" w:hint="eastAsia"/>
          <w:iCs/>
          <w:color w:val="000000"/>
          <w:kern w:val="18"/>
          <w:lang w:val="en-CA" w:eastAsia="zh-CN"/>
        </w:rPr>
        <w:t>一</w:t>
      </w:r>
      <w:r w:rsidRPr="00AA11BD">
        <w:rPr>
          <w:rFonts w:hAnsiTheme="minorEastAsia" w:hint="eastAsia"/>
          <w:iCs/>
          <w:color w:val="000000"/>
          <w:kern w:val="18"/>
          <w:lang w:val="en-CA" w:eastAsia="zh-CN"/>
        </w:rPr>
        <w:t>财年的</w:t>
      </w:r>
      <w:r w:rsidRPr="00AA11BD">
        <w:rPr>
          <w:rFonts w:hAnsiTheme="minorEastAsia" w:hint="eastAsia"/>
          <w:iCs/>
          <w:color w:val="000000"/>
          <w:kern w:val="18"/>
          <w:lang w:val="en-CA" w:eastAsia="zh-CN"/>
        </w:rPr>
        <w:t>1</w:t>
      </w:r>
      <w:r w:rsidRPr="00AA11BD">
        <w:rPr>
          <w:rFonts w:hAnsiTheme="minorEastAsia" w:hint="eastAsia"/>
          <w:iCs/>
          <w:color w:val="000000"/>
          <w:kern w:val="18"/>
          <w:lang w:val="en-CA" w:eastAsia="zh-CN"/>
        </w:rPr>
        <w:t>月份提醒缔约方</w:t>
      </w:r>
      <w:r>
        <w:rPr>
          <w:rFonts w:hAnsiTheme="minorEastAsia" w:hint="eastAsia"/>
          <w:iCs/>
          <w:color w:val="000000"/>
          <w:kern w:val="18"/>
          <w:lang w:val="en-CA" w:eastAsia="zh-CN"/>
        </w:rPr>
        <w:t>须于</w:t>
      </w:r>
      <w:r w:rsidRPr="00AA11BD">
        <w:rPr>
          <w:rFonts w:hAnsiTheme="minorEastAsia" w:hint="eastAsia"/>
          <w:iCs/>
          <w:color w:val="000000"/>
          <w:kern w:val="18"/>
          <w:lang w:val="en-CA" w:eastAsia="zh-CN"/>
        </w:rPr>
        <w:t>《公约》及其《议定书》</w:t>
      </w:r>
      <w:r>
        <w:rPr>
          <w:rFonts w:hAnsiTheme="minorEastAsia" w:hint="eastAsia"/>
          <w:iCs/>
          <w:color w:val="000000"/>
          <w:kern w:val="18"/>
          <w:lang w:val="en-CA" w:eastAsia="zh-CN"/>
        </w:rPr>
        <w:t>缔约方</w:t>
      </w:r>
      <w:r w:rsidRPr="00AA11BD">
        <w:rPr>
          <w:rFonts w:hAnsiTheme="minorEastAsia" w:hint="eastAsia"/>
          <w:iCs/>
          <w:color w:val="000000"/>
          <w:kern w:val="18"/>
          <w:lang w:val="en-CA" w:eastAsia="zh-CN"/>
        </w:rPr>
        <w:t>常会前至少六个月向特别自愿信托基金</w:t>
      </w:r>
      <w:r>
        <w:rPr>
          <w:rFonts w:hAnsiTheme="minorEastAsia" w:hint="eastAsia"/>
          <w:iCs/>
          <w:color w:val="000000"/>
          <w:kern w:val="18"/>
          <w:lang w:val="en-CA" w:eastAsia="zh-CN"/>
        </w:rPr>
        <w:t>（</w:t>
      </w:r>
      <w:r w:rsidRPr="00AA11BD">
        <w:rPr>
          <w:rFonts w:hAnsiTheme="minorEastAsia" w:hint="eastAsia"/>
          <w:iCs/>
          <w:color w:val="000000"/>
          <w:kern w:val="18"/>
          <w:lang w:val="en-CA" w:eastAsia="zh-CN"/>
        </w:rPr>
        <w:t>BZ</w:t>
      </w:r>
      <w:r>
        <w:rPr>
          <w:rFonts w:hAnsiTheme="minorEastAsia" w:hint="eastAsia"/>
          <w:iCs/>
          <w:color w:val="000000"/>
          <w:kern w:val="18"/>
          <w:lang w:val="en-CA" w:eastAsia="zh-CN"/>
        </w:rPr>
        <w:t>）</w:t>
      </w:r>
      <w:r w:rsidRPr="00AA11BD">
        <w:rPr>
          <w:rFonts w:hAnsiTheme="minorEastAsia" w:hint="eastAsia"/>
          <w:iCs/>
          <w:color w:val="000000"/>
          <w:kern w:val="18"/>
          <w:lang w:val="en-CA" w:eastAsia="zh-CN"/>
        </w:rPr>
        <w:t>捐款，</w:t>
      </w:r>
      <w:r>
        <w:rPr>
          <w:rFonts w:hAnsiTheme="minorEastAsia"/>
          <w:iCs/>
          <w:color w:val="000000"/>
          <w:kern w:val="18"/>
          <w:lang w:val="en-CA" w:eastAsia="zh-CN"/>
        </w:rPr>
        <w:t>于每年</w:t>
      </w:r>
      <w:r>
        <w:rPr>
          <w:rFonts w:hAnsiTheme="minorEastAsia" w:hint="eastAsia"/>
          <w:iCs/>
          <w:color w:val="000000"/>
          <w:kern w:val="18"/>
          <w:lang w:val="en-CA" w:eastAsia="zh-CN"/>
        </w:rPr>
        <w:t>12</w:t>
      </w:r>
      <w:r>
        <w:rPr>
          <w:rFonts w:hAnsiTheme="minorEastAsia" w:hint="eastAsia"/>
          <w:iCs/>
          <w:color w:val="000000"/>
          <w:kern w:val="18"/>
          <w:lang w:val="en-CA" w:eastAsia="zh-CN"/>
        </w:rPr>
        <w:t>月</w:t>
      </w:r>
      <w:r>
        <w:rPr>
          <w:rFonts w:hAnsiTheme="minorEastAsia"/>
          <w:iCs/>
          <w:color w:val="000000"/>
          <w:kern w:val="18"/>
          <w:lang w:val="en-CA" w:eastAsia="zh-CN"/>
        </w:rPr>
        <w:t>发出</w:t>
      </w:r>
      <w:r>
        <w:rPr>
          <w:rFonts w:hAnsiTheme="minorEastAsia" w:hint="eastAsia"/>
          <w:iCs/>
          <w:color w:val="000000"/>
          <w:kern w:val="18"/>
          <w:lang w:val="en-CA" w:eastAsia="zh-CN"/>
        </w:rPr>
        <w:t>关于嗣后</w:t>
      </w:r>
      <w:r>
        <w:rPr>
          <w:rFonts w:hAnsiTheme="minorEastAsia"/>
          <w:iCs/>
          <w:color w:val="000000"/>
          <w:kern w:val="18"/>
          <w:lang w:val="en-CA" w:eastAsia="zh-CN"/>
        </w:rPr>
        <w:t>一年所有相关会议需求的要求，</w:t>
      </w:r>
      <w:r w:rsidRPr="00AA11BD">
        <w:rPr>
          <w:rFonts w:hAnsiTheme="minorEastAsia" w:hint="eastAsia"/>
          <w:iCs/>
          <w:color w:val="000000"/>
          <w:kern w:val="18"/>
          <w:lang w:val="en-CA" w:eastAsia="zh-CN"/>
        </w:rPr>
        <w:t>并向其他捐助者及早发出捐款邀请书；</w:t>
      </w:r>
    </w:p>
    <w:p w:rsidR="00B72FA3" w:rsidRPr="00AA11BD" w:rsidRDefault="00B72FA3" w:rsidP="00615E7F">
      <w:pPr>
        <w:pStyle w:val="ListParagraph"/>
        <w:numPr>
          <w:ilvl w:val="0"/>
          <w:numId w:val="280"/>
        </w:numPr>
        <w:shd w:val="clear" w:color="auto" w:fill="FFFFFF" w:themeFill="background1"/>
        <w:tabs>
          <w:tab w:val="left" w:pos="1440"/>
        </w:tabs>
        <w:adjustRightInd w:val="0"/>
        <w:snapToGrid w:val="0"/>
        <w:ind w:left="0" w:firstLine="720"/>
        <w:rPr>
          <w:rFonts w:hAnsiTheme="minorEastAsia"/>
          <w:iCs/>
          <w:color w:val="000000"/>
          <w:kern w:val="18"/>
          <w:lang w:val="en-CA" w:eastAsia="zh-CN"/>
        </w:rPr>
      </w:pPr>
      <w:r w:rsidRPr="00285BCE">
        <w:rPr>
          <w:rFonts w:ascii="KaiTi" w:eastAsia="KaiTi" w:hAnsi="KaiTi" w:hint="eastAsia"/>
          <w:iCs/>
          <w:color w:val="000000"/>
          <w:kern w:val="18"/>
          <w:lang w:val="en-CA" w:eastAsia="zh-CN"/>
        </w:rPr>
        <w:t>又请</w:t>
      </w:r>
      <w:r w:rsidRPr="00AA11BD">
        <w:rPr>
          <w:rFonts w:hAnsiTheme="minorEastAsia" w:hint="eastAsia"/>
          <w:iCs/>
          <w:color w:val="000000"/>
          <w:kern w:val="18"/>
          <w:lang w:val="en-CA" w:eastAsia="zh-CN"/>
        </w:rPr>
        <w:t>执行秘书与各主席团协商，继续监测向特别自愿信托基金</w:t>
      </w:r>
      <w:r>
        <w:rPr>
          <w:rFonts w:hAnsiTheme="minorEastAsia" w:hint="eastAsia"/>
          <w:iCs/>
          <w:color w:val="000000"/>
          <w:kern w:val="18"/>
          <w:lang w:val="en-CA" w:eastAsia="zh-CN"/>
        </w:rPr>
        <w:t>（</w:t>
      </w:r>
      <w:r w:rsidRPr="00AA11BD">
        <w:rPr>
          <w:rFonts w:hAnsiTheme="minorEastAsia" w:hint="eastAsia"/>
          <w:iCs/>
          <w:color w:val="000000"/>
          <w:kern w:val="18"/>
          <w:lang w:val="en-CA" w:eastAsia="zh-CN"/>
        </w:rPr>
        <w:t>BZ</w:t>
      </w:r>
      <w:r>
        <w:rPr>
          <w:rFonts w:hAnsiTheme="minorEastAsia" w:hint="eastAsia"/>
          <w:iCs/>
          <w:color w:val="000000"/>
          <w:kern w:val="18"/>
          <w:lang w:val="en-CA" w:eastAsia="zh-CN"/>
        </w:rPr>
        <w:t>）</w:t>
      </w:r>
      <w:r w:rsidRPr="00AA11BD">
        <w:rPr>
          <w:rFonts w:hAnsiTheme="minorEastAsia" w:hint="eastAsia"/>
          <w:iCs/>
          <w:color w:val="000000"/>
          <w:kern w:val="18"/>
          <w:lang w:val="en-CA" w:eastAsia="zh-CN"/>
        </w:rPr>
        <w:t>提供自愿捐款的情况；</w:t>
      </w:r>
    </w:p>
    <w:p w:rsidR="00B72FA3" w:rsidRPr="00285BCE" w:rsidRDefault="00B72FA3" w:rsidP="00615E7F">
      <w:pPr>
        <w:pStyle w:val="ListParagraph"/>
        <w:numPr>
          <w:ilvl w:val="0"/>
          <w:numId w:val="280"/>
        </w:numPr>
        <w:shd w:val="clear" w:color="auto" w:fill="FFFFFF" w:themeFill="background1"/>
        <w:tabs>
          <w:tab w:val="left" w:pos="1440"/>
        </w:tabs>
        <w:adjustRightInd w:val="0"/>
        <w:snapToGrid w:val="0"/>
        <w:ind w:left="0" w:firstLine="720"/>
        <w:rPr>
          <w:iCs/>
          <w:color w:val="000000"/>
          <w:kern w:val="18"/>
          <w:lang w:val="en-CA" w:eastAsia="zh-CN"/>
        </w:rPr>
      </w:pPr>
      <w:r w:rsidRPr="00827646">
        <w:rPr>
          <w:rFonts w:ascii="KaiTi" w:eastAsia="KaiTi" w:hAnsi="KaiTi" w:hint="eastAsia"/>
          <w:iCs/>
          <w:color w:val="000000"/>
          <w:kern w:val="18"/>
          <w:lang w:val="en-CA" w:eastAsia="zh-CN"/>
        </w:rPr>
        <w:t>欢迎</w:t>
      </w:r>
      <w:r>
        <w:rPr>
          <w:iCs/>
          <w:color w:val="000000"/>
          <w:kern w:val="18"/>
          <w:lang w:val="en-CA" w:eastAsia="zh-CN"/>
        </w:rPr>
        <w:t>日本政府</w:t>
      </w:r>
      <w:r>
        <w:rPr>
          <w:rFonts w:hint="eastAsia"/>
          <w:iCs/>
          <w:color w:val="000000"/>
          <w:kern w:val="18"/>
          <w:lang w:val="en-CA" w:eastAsia="zh-CN"/>
        </w:rPr>
        <w:t>从</w:t>
      </w:r>
      <w:r>
        <w:rPr>
          <w:iCs/>
          <w:color w:val="000000"/>
          <w:kern w:val="18"/>
          <w:lang w:val="en-CA" w:eastAsia="zh-CN"/>
        </w:rPr>
        <w:t>日本生物多样性基金</w:t>
      </w:r>
      <w:r w:rsidRPr="00285BCE">
        <w:rPr>
          <w:vertAlign w:val="superscript"/>
          <w:lang w:val="en-CA" w:eastAsia="zh-CN"/>
        </w:rPr>
        <w:footnoteReference w:id="331"/>
      </w:r>
      <w:r w:rsidRPr="00285BCE">
        <w:rPr>
          <w:iCs/>
          <w:color w:val="000000"/>
          <w:kern w:val="18"/>
          <w:vertAlign w:val="superscript"/>
          <w:lang w:val="en-CA" w:eastAsia="zh-CN"/>
        </w:rPr>
        <w:t xml:space="preserve"> </w:t>
      </w:r>
      <w:r w:rsidRPr="00285BCE">
        <w:rPr>
          <w:rFonts w:hint="eastAsia"/>
          <w:iCs/>
          <w:color w:val="000000"/>
          <w:kern w:val="18"/>
          <w:vertAlign w:val="superscript"/>
          <w:lang w:val="en-CA" w:eastAsia="zh-CN"/>
        </w:rPr>
        <w:t xml:space="preserve"> </w:t>
      </w:r>
      <w:r>
        <w:rPr>
          <w:iCs/>
          <w:color w:val="000000"/>
          <w:kern w:val="18"/>
          <w:lang w:val="en-CA" w:eastAsia="zh-CN"/>
        </w:rPr>
        <w:t>中</w:t>
      </w:r>
      <w:r>
        <w:rPr>
          <w:rFonts w:hint="eastAsia"/>
          <w:iCs/>
          <w:color w:val="000000"/>
          <w:kern w:val="18"/>
          <w:lang w:val="en-CA" w:eastAsia="zh-CN"/>
        </w:rPr>
        <w:t>为</w:t>
      </w:r>
      <w:r>
        <w:rPr>
          <w:rFonts w:hint="eastAsia"/>
          <w:iCs/>
          <w:color w:val="000000"/>
          <w:kern w:val="18"/>
          <w:lang w:val="en-CA" w:eastAsia="zh-CN"/>
        </w:rPr>
        <w:t>2019</w:t>
      </w:r>
      <w:r>
        <w:rPr>
          <w:iCs/>
          <w:color w:val="000000"/>
          <w:kern w:val="18"/>
          <w:lang w:val="en-CA" w:eastAsia="zh-CN"/>
        </w:rPr>
        <w:t>-2020</w:t>
      </w:r>
      <w:r>
        <w:rPr>
          <w:rFonts w:hint="eastAsia"/>
          <w:iCs/>
          <w:color w:val="000000"/>
          <w:kern w:val="18"/>
          <w:lang w:val="en-CA" w:eastAsia="zh-CN"/>
        </w:rPr>
        <w:t>年</w:t>
      </w:r>
      <w:r>
        <w:rPr>
          <w:iCs/>
          <w:color w:val="000000"/>
          <w:kern w:val="18"/>
          <w:lang w:val="en-CA" w:eastAsia="zh-CN"/>
        </w:rPr>
        <w:t>两年期</w:t>
      </w:r>
      <w:r>
        <w:rPr>
          <w:rFonts w:hint="eastAsia"/>
          <w:iCs/>
          <w:color w:val="000000"/>
          <w:kern w:val="18"/>
          <w:lang w:val="en-CA" w:eastAsia="zh-CN"/>
        </w:rPr>
        <w:t>慷慨提供</w:t>
      </w:r>
      <w:r w:rsidRPr="00285BCE">
        <w:rPr>
          <w:iCs/>
          <w:color w:val="000000"/>
          <w:kern w:val="18"/>
          <w:lang w:val="en-CA" w:eastAsia="zh-CN"/>
        </w:rPr>
        <w:t>500,000</w:t>
      </w:r>
      <w:r>
        <w:rPr>
          <w:rFonts w:hint="eastAsia"/>
          <w:iCs/>
          <w:color w:val="000000"/>
          <w:kern w:val="18"/>
          <w:lang w:val="en-CA" w:eastAsia="zh-CN"/>
        </w:rPr>
        <w:t>美元</w:t>
      </w:r>
      <w:r>
        <w:rPr>
          <w:iCs/>
          <w:color w:val="000000"/>
          <w:kern w:val="18"/>
          <w:lang w:val="en-CA" w:eastAsia="zh-CN"/>
        </w:rPr>
        <w:t>的</w:t>
      </w:r>
      <w:r>
        <w:rPr>
          <w:rFonts w:hint="eastAsia"/>
          <w:iCs/>
          <w:color w:val="000000"/>
          <w:kern w:val="18"/>
          <w:lang w:val="en-CA" w:eastAsia="zh-CN"/>
        </w:rPr>
        <w:t>应急</w:t>
      </w:r>
      <w:r>
        <w:rPr>
          <w:iCs/>
          <w:color w:val="000000"/>
          <w:kern w:val="18"/>
          <w:lang w:val="en-CA" w:eastAsia="zh-CN"/>
        </w:rPr>
        <w:t>资金，</w:t>
      </w:r>
      <w:r>
        <w:rPr>
          <w:rFonts w:hint="eastAsia"/>
          <w:iCs/>
          <w:color w:val="000000"/>
          <w:kern w:val="18"/>
          <w:lang w:val="en-CA" w:eastAsia="zh-CN"/>
        </w:rPr>
        <w:t>作为在收到</w:t>
      </w:r>
      <w:r w:rsidRPr="00285BCE">
        <w:rPr>
          <w:iCs/>
          <w:color w:val="000000"/>
          <w:kern w:val="18"/>
          <w:lang w:val="en-CA" w:eastAsia="zh-CN"/>
        </w:rPr>
        <w:t xml:space="preserve">BZ </w:t>
      </w:r>
      <w:r>
        <w:rPr>
          <w:rFonts w:hint="eastAsia"/>
          <w:iCs/>
          <w:color w:val="000000"/>
          <w:kern w:val="18"/>
          <w:lang w:val="en-CA" w:eastAsia="zh-CN"/>
        </w:rPr>
        <w:t>信托基金</w:t>
      </w:r>
      <w:r>
        <w:rPr>
          <w:iCs/>
          <w:color w:val="000000"/>
          <w:kern w:val="18"/>
          <w:lang w:val="en-CA" w:eastAsia="zh-CN"/>
        </w:rPr>
        <w:t>足够资金</w:t>
      </w:r>
      <w:r>
        <w:rPr>
          <w:rFonts w:hint="eastAsia"/>
          <w:iCs/>
          <w:color w:val="000000"/>
          <w:kern w:val="18"/>
          <w:lang w:val="en-CA" w:eastAsia="zh-CN"/>
        </w:rPr>
        <w:t>之前</w:t>
      </w:r>
      <w:r>
        <w:rPr>
          <w:iCs/>
          <w:color w:val="000000"/>
          <w:kern w:val="18"/>
          <w:lang w:val="en-CA" w:eastAsia="zh-CN"/>
        </w:rPr>
        <w:t>的周转资金；</w:t>
      </w:r>
    </w:p>
    <w:p w:rsidR="00B72FA3" w:rsidRPr="00AA11BD" w:rsidRDefault="00B72FA3" w:rsidP="005D64B0">
      <w:pPr>
        <w:pStyle w:val="ListParagraph"/>
        <w:widowControl w:val="0"/>
        <w:numPr>
          <w:ilvl w:val="0"/>
          <w:numId w:val="280"/>
        </w:numPr>
        <w:shd w:val="clear" w:color="auto" w:fill="FFFFFF" w:themeFill="background1"/>
        <w:tabs>
          <w:tab w:val="left" w:pos="1440"/>
        </w:tabs>
        <w:adjustRightInd w:val="0"/>
        <w:snapToGrid w:val="0"/>
        <w:ind w:left="0" w:firstLine="720"/>
        <w:rPr>
          <w:rFonts w:hAnsiTheme="minorEastAsia"/>
          <w:iCs/>
          <w:color w:val="000000"/>
          <w:kern w:val="18"/>
          <w:lang w:val="en-CA" w:eastAsia="zh-CN"/>
        </w:rPr>
      </w:pPr>
      <w:r w:rsidRPr="00285BCE">
        <w:rPr>
          <w:rFonts w:ascii="KaiTi" w:eastAsia="KaiTi" w:hAnsi="KaiTi" w:hint="eastAsia"/>
          <w:iCs/>
          <w:color w:val="000000"/>
          <w:kern w:val="18"/>
          <w:lang w:val="en-CA" w:eastAsia="zh-CN"/>
        </w:rPr>
        <w:t>决定</w:t>
      </w:r>
      <w:r w:rsidRPr="00AA11BD">
        <w:rPr>
          <w:rFonts w:hAnsiTheme="minorEastAsia" w:hint="eastAsia"/>
          <w:iCs/>
          <w:color w:val="000000"/>
          <w:kern w:val="18"/>
          <w:lang w:val="en-CA" w:eastAsia="zh-CN"/>
        </w:rPr>
        <w:t>从</w:t>
      </w:r>
      <w:r w:rsidRPr="00AA11BD">
        <w:rPr>
          <w:rFonts w:hAnsiTheme="minorEastAsia" w:hint="eastAsia"/>
          <w:iCs/>
          <w:color w:val="000000"/>
          <w:kern w:val="18"/>
          <w:lang w:val="en-CA" w:eastAsia="zh-CN"/>
        </w:rPr>
        <w:t>BE</w:t>
      </w:r>
      <w:r w:rsidRPr="00AA11BD">
        <w:rPr>
          <w:rFonts w:hAnsiTheme="minorEastAsia" w:hint="eastAsia"/>
          <w:iCs/>
          <w:color w:val="000000"/>
          <w:kern w:val="18"/>
          <w:lang w:val="en-CA" w:eastAsia="zh-CN"/>
        </w:rPr>
        <w:t>基金应计投资收入中留出最多</w:t>
      </w:r>
      <w:r w:rsidRPr="00827646">
        <w:rPr>
          <w:rFonts w:hint="eastAsia"/>
          <w:iCs/>
          <w:color w:val="000000"/>
          <w:kern w:val="18"/>
          <w:lang w:val="en-CA" w:eastAsia="zh-CN"/>
        </w:rPr>
        <w:t>500</w:t>
      </w:r>
      <w:r>
        <w:rPr>
          <w:iCs/>
          <w:color w:val="000000"/>
          <w:kern w:val="18"/>
          <w:lang w:val="en-CA" w:eastAsia="zh-CN"/>
        </w:rPr>
        <w:t>,</w:t>
      </w:r>
      <w:r w:rsidRPr="00827646">
        <w:rPr>
          <w:rFonts w:hint="eastAsia"/>
          <w:iCs/>
          <w:color w:val="000000"/>
          <w:kern w:val="18"/>
          <w:lang w:val="en-CA" w:eastAsia="zh-CN"/>
        </w:rPr>
        <w:t>000</w:t>
      </w:r>
      <w:r w:rsidRPr="00AA11BD">
        <w:rPr>
          <w:rFonts w:hAnsiTheme="minorEastAsia" w:hint="eastAsia"/>
          <w:iCs/>
          <w:color w:val="000000"/>
          <w:kern w:val="18"/>
          <w:lang w:val="en-CA" w:eastAsia="zh-CN"/>
        </w:rPr>
        <w:t>美元的款项，但不妨碍限制使用特定自愿捐款应计利息的双边协定，如果</w:t>
      </w:r>
      <w:r w:rsidR="00780033">
        <w:rPr>
          <w:rFonts w:hAnsiTheme="minorEastAsia" w:hint="eastAsia"/>
          <w:iCs/>
          <w:color w:val="000000"/>
          <w:kern w:val="18"/>
          <w:lang w:val="en-CA" w:eastAsia="zh-CN"/>
        </w:rPr>
        <w:t>联合国环境署</w:t>
      </w:r>
      <w:r w:rsidRPr="00AA11BD">
        <w:rPr>
          <w:rFonts w:hAnsiTheme="minorEastAsia" w:hint="eastAsia"/>
          <w:iCs/>
          <w:color w:val="000000"/>
          <w:kern w:val="18"/>
          <w:lang w:val="en-CA" w:eastAsia="zh-CN"/>
        </w:rPr>
        <w:t>执行主任认为，在便利发展中国家缔约方，特别是最不发达国家和小岛屿发展中国家以及经济转型国家缔约方参加</w:t>
      </w:r>
      <w:r w:rsidRPr="00AA11BD">
        <w:rPr>
          <w:rFonts w:hAnsiTheme="minorEastAsia" w:hint="eastAsia"/>
          <w:iCs/>
          <w:color w:val="000000"/>
          <w:kern w:val="18"/>
          <w:lang w:val="en-CA" w:eastAsia="zh-CN"/>
        </w:rPr>
        <w:t>2019-2020</w:t>
      </w:r>
      <w:r>
        <w:rPr>
          <w:rFonts w:hAnsiTheme="minorEastAsia" w:hint="eastAsia"/>
          <w:iCs/>
          <w:color w:val="000000"/>
          <w:kern w:val="18"/>
          <w:lang w:val="en-CA" w:eastAsia="zh-CN"/>
        </w:rPr>
        <w:lastRenderedPageBreak/>
        <w:t>年两年期</w:t>
      </w:r>
      <w:r w:rsidRPr="00AA11BD">
        <w:rPr>
          <w:rFonts w:hAnsiTheme="minorEastAsia" w:hint="eastAsia"/>
          <w:iCs/>
          <w:color w:val="000000"/>
          <w:kern w:val="18"/>
          <w:lang w:val="en-CA" w:eastAsia="zh-CN"/>
        </w:rPr>
        <w:t>核心预算中确定的优先会议</w:t>
      </w:r>
      <w:r w:rsidRPr="007027CB">
        <w:rPr>
          <w:rStyle w:val="FootnoteReference"/>
          <w:color w:val="212121"/>
          <w:sz w:val="24"/>
          <w:szCs w:val="22"/>
          <w:u w:val="none"/>
          <w:vertAlign w:val="superscript"/>
          <w:lang w:val="en-GB"/>
        </w:rPr>
        <w:footnoteReference w:id="332"/>
      </w:r>
      <w:r w:rsidR="007027CB" w:rsidRPr="007027CB">
        <w:rPr>
          <w:rFonts w:hAnsiTheme="minorEastAsia" w:hint="eastAsia"/>
          <w:iCs/>
          <w:color w:val="000000"/>
          <w:kern w:val="18"/>
          <w:sz w:val="36"/>
          <w:lang w:val="en-CA" w:eastAsia="zh-CN"/>
        </w:rPr>
        <w:t xml:space="preserve"> </w:t>
      </w:r>
      <w:r w:rsidRPr="00AA11BD">
        <w:rPr>
          <w:rFonts w:hAnsiTheme="minorEastAsia" w:hint="eastAsia"/>
          <w:iCs/>
          <w:color w:val="000000"/>
          <w:kern w:val="18"/>
          <w:lang w:val="en-CA" w:eastAsia="zh-CN"/>
        </w:rPr>
        <w:t>方面出现特殊情况，</w:t>
      </w:r>
      <w:r w:rsidRPr="007027CB">
        <w:rPr>
          <w:rStyle w:val="FootnoteReference"/>
          <w:color w:val="212121"/>
          <w:sz w:val="24"/>
          <w:szCs w:val="22"/>
          <w:u w:val="none"/>
          <w:vertAlign w:val="superscript"/>
          <w:lang w:val="en-GB"/>
        </w:rPr>
        <w:footnoteReference w:id="333"/>
      </w:r>
      <w:r w:rsidRPr="007027CB">
        <w:rPr>
          <w:rStyle w:val="FootnoteReference"/>
          <w:rFonts w:hint="eastAsia"/>
          <w:color w:val="212121"/>
          <w:sz w:val="24"/>
          <w:szCs w:val="22"/>
          <w:u w:val="none"/>
          <w:vertAlign w:val="superscript"/>
          <w:lang w:val="en-GB" w:eastAsia="zh-CN"/>
        </w:rPr>
        <w:t xml:space="preserve"> </w:t>
      </w:r>
      <w:r w:rsidRPr="00AA11BD">
        <w:rPr>
          <w:rFonts w:hAnsiTheme="minorEastAsia" w:hint="eastAsia"/>
          <w:iCs/>
          <w:color w:val="000000"/>
          <w:kern w:val="18"/>
          <w:lang w:val="en-CA" w:eastAsia="zh-CN"/>
        </w:rPr>
        <w:t>可以动用这笔款项；并</w:t>
      </w:r>
      <w:r w:rsidRPr="007010C5">
        <w:rPr>
          <w:rFonts w:ascii="KaiTi" w:eastAsia="KaiTi" w:hAnsi="KaiTi" w:hint="eastAsia"/>
          <w:iCs/>
          <w:color w:val="000000"/>
          <w:kern w:val="18"/>
          <w:lang w:val="en-CA" w:eastAsia="zh-CN"/>
        </w:rPr>
        <w:t>邀请</w:t>
      </w:r>
      <w:r w:rsidRPr="00AA11BD">
        <w:rPr>
          <w:rFonts w:hAnsiTheme="minorEastAsia" w:hint="eastAsia"/>
          <w:iCs/>
          <w:color w:val="000000"/>
          <w:kern w:val="18"/>
          <w:lang w:val="en-CA" w:eastAsia="zh-CN"/>
        </w:rPr>
        <w:t>执行主任在认为有提款的特殊需要以及这种提款符合《</w:t>
      </w:r>
      <w:r w:rsidR="00780033">
        <w:rPr>
          <w:rFonts w:hAnsiTheme="minorEastAsia" w:hint="eastAsia"/>
          <w:iCs/>
          <w:color w:val="000000"/>
          <w:kern w:val="18"/>
          <w:lang w:val="en-CA" w:eastAsia="zh-CN"/>
        </w:rPr>
        <w:t>联合国环境署</w:t>
      </w:r>
      <w:r w:rsidRPr="00AA11BD">
        <w:rPr>
          <w:rFonts w:hAnsiTheme="minorEastAsia" w:hint="eastAsia"/>
          <w:iCs/>
          <w:color w:val="000000"/>
          <w:kern w:val="18"/>
          <w:lang w:val="en-CA" w:eastAsia="zh-CN"/>
        </w:rPr>
        <w:t>财务细则和条例》的时候，授权执行秘书在</w:t>
      </w:r>
      <w:r>
        <w:rPr>
          <w:rFonts w:hAnsiTheme="minorEastAsia" w:hint="eastAsia"/>
          <w:iCs/>
          <w:color w:val="000000"/>
          <w:kern w:val="18"/>
          <w:lang w:val="en-CA" w:eastAsia="zh-CN"/>
        </w:rPr>
        <w:t>与</w:t>
      </w:r>
      <w:r w:rsidRPr="00AA11BD">
        <w:rPr>
          <w:rFonts w:hAnsiTheme="minorEastAsia" w:hint="eastAsia"/>
          <w:iCs/>
          <w:color w:val="000000"/>
          <w:kern w:val="18"/>
          <w:lang w:val="en-CA" w:eastAsia="zh-CN"/>
        </w:rPr>
        <w:t>主席团</w:t>
      </w:r>
      <w:r>
        <w:rPr>
          <w:rFonts w:hAnsiTheme="minorEastAsia" w:hint="eastAsia"/>
          <w:iCs/>
          <w:color w:val="000000"/>
          <w:kern w:val="18"/>
          <w:lang w:val="en-CA" w:eastAsia="zh-CN"/>
        </w:rPr>
        <w:t>协商</w:t>
      </w:r>
      <w:r w:rsidRPr="00AA11BD">
        <w:rPr>
          <w:rFonts w:hAnsiTheme="minorEastAsia" w:hint="eastAsia"/>
          <w:iCs/>
          <w:color w:val="000000"/>
          <w:kern w:val="18"/>
          <w:lang w:val="en-CA" w:eastAsia="zh-CN"/>
        </w:rPr>
        <w:t>并通过向</w:t>
      </w:r>
      <w:r w:rsidRPr="00AA11BD">
        <w:rPr>
          <w:rFonts w:hAnsiTheme="minorEastAsia" w:hint="eastAsia"/>
          <w:iCs/>
          <w:color w:val="000000"/>
          <w:kern w:val="18"/>
          <w:lang w:val="en-CA" w:eastAsia="zh-CN"/>
        </w:rPr>
        <w:t>BZ</w:t>
      </w:r>
      <w:r w:rsidRPr="00AA11BD">
        <w:rPr>
          <w:rFonts w:hAnsiTheme="minorEastAsia" w:hint="eastAsia"/>
          <w:iCs/>
          <w:color w:val="000000"/>
          <w:kern w:val="18"/>
          <w:lang w:val="en-CA" w:eastAsia="zh-CN"/>
        </w:rPr>
        <w:t>基金提供新自愿捐款予以</w:t>
      </w:r>
      <w:r>
        <w:rPr>
          <w:rFonts w:hAnsiTheme="minorEastAsia" w:hint="eastAsia"/>
          <w:iCs/>
          <w:color w:val="000000"/>
          <w:kern w:val="18"/>
          <w:lang w:val="en-CA" w:eastAsia="zh-CN"/>
        </w:rPr>
        <w:t>事后</w:t>
      </w:r>
      <w:r w:rsidRPr="00AA11BD">
        <w:rPr>
          <w:rFonts w:hAnsiTheme="minorEastAsia" w:hint="eastAsia"/>
          <w:iCs/>
          <w:color w:val="000000"/>
          <w:kern w:val="18"/>
          <w:lang w:val="en-CA" w:eastAsia="zh-CN"/>
        </w:rPr>
        <w:t>偿还的情况下，提取这一预留款，并向《公约》缔约方和《议定书》缔约方下次会议提交直接报告；</w:t>
      </w:r>
    </w:p>
    <w:p w:rsidR="00B72FA3" w:rsidRPr="00AA11BD" w:rsidRDefault="00B72FA3" w:rsidP="00615E7F">
      <w:pPr>
        <w:pStyle w:val="ListParagraph"/>
        <w:numPr>
          <w:ilvl w:val="0"/>
          <w:numId w:val="280"/>
        </w:numPr>
        <w:shd w:val="clear" w:color="auto" w:fill="FFFFFF" w:themeFill="background1"/>
        <w:tabs>
          <w:tab w:val="left" w:pos="1440"/>
        </w:tabs>
        <w:adjustRightInd w:val="0"/>
        <w:snapToGrid w:val="0"/>
        <w:ind w:left="0" w:firstLine="720"/>
        <w:rPr>
          <w:rFonts w:hAnsiTheme="minorEastAsia"/>
          <w:iCs/>
          <w:color w:val="000000"/>
          <w:kern w:val="18"/>
          <w:lang w:val="en-CA" w:eastAsia="zh-CN"/>
        </w:rPr>
      </w:pPr>
      <w:r w:rsidRPr="00285BCE">
        <w:rPr>
          <w:rFonts w:ascii="KaiTi" w:eastAsia="KaiTi" w:hAnsi="KaiTi" w:hint="eastAsia"/>
          <w:iCs/>
          <w:color w:val="000000"/>
          <w:kern w:val="18"/>
          <w:lang w:val="en-CA" w:eastAsia="zh-CN"/>
        </w:rPr>
        <w:t>关切地注意到</w:t>
      </w:r>
      <w:r w:rsidRPr="00AA11BD">
        <w:rPr>
          <w:rFonts w:hAnsiTheme="minorEastAsia" w:hint="eastAsia"/>
          <w:iCs/>
          <w:color w:val="000000"/>
          <w:kern w:val="18"/>
          <w:lang w:val="en-CA" w:eastAsia="zh-CN"/>
        </w:rPr>
        <w:t>在缔约方大会第十四届会议之前预算文件延迟提交，</w:t>
      </w:r>
      <w:r w:rsidRPr="00421205">
        <w:rPr>
          <w:rFonts w:hAnsiTheme="minorEastAsia" w:hint="eastAsia"/>
          <w:iCs/>
          <w:color w:val="000000"/>
          <w:kern w:val="18"/>
          <w:lang w:val="en-CA" w:eastAsia="zh-CN"/>
        </w:rPr>
        <w:t>并</w:t>
      </w:r>
      <w:r w:rsidRPr="00D33F47">
        <w:rPr>
          <w:rFonts w:ascii="KaiTi" w:eastAsia="KaiTi" w:hAnsi="KaiTi" w:hint="eastAsia"/>
          <w:iCs/>
          <w:color w:val="000000"/>
          <w:kern w:val="18"/>
          <w:lang w:val="en-CA" w:eastAsia="zh-CN"/>
        </w:rPr>
        <w:t>敦促</w:t>
      </w:r>
      <w:r w:rsidRPr="00421205">
        <w:rPr>
          <w:rFonts w:hAnsiTheme="minorEastAsia" w:hint="eastAsia"/>
          <w:iCs/>
          <w:color w:val="000000"/>
          <w:kern w:val="18"/>
          <w:lang w:val="en-CA" w:eastAsia="zh-CN"/>
        </w:rPr>
        <w:t>执行秘书采取必要措施</w:t>
      </w:r>
      <w:r w:rsidRPr="00AA11BD">
        <w:rPr>
          <w:rFonts w:hAnsiTheme="minorEastAsia" w:hint="eastAsia"/>
          <w:iCs/>
          <w:color w:val="000000"/>
          <w:kern w:val="18"/>
          <w:lang w:val="en-CA" w:eastAsia="zh-CN"/>
        </w:rPr>
        <w:t>，确保在充分遵守现行规则的情况下分发缔约方大会第十五届会议的文件，并随时向主席团通报预算编制的进展情况；</w:t>
      </w:r>
    </w:p>
    <w:p w:rsidR="00B72FA3" w:rsidRPr="00AA11BD" w:rsidRDefault="00B72FA3" w:rsidP="00615E7F">
      <w:pPr>
        <w:pStyle w:val="ListParagraph"/>
        <w:numPr>
          <w:ilvl w:val="0"/>
          <w:numId w:val="280"/>
        </w:numPr>
        <w:shd w:val="clear" w:color="auto" w:fill="FFFFFF" w:themeFill="background1"/>
        <w:tabs>
          <w:tab w:val="left" w:pos="1440"/>
        </w:tabs>
        <w:adjustRightInd w:val="0"/>
        <w:snapToGrid w:val="0"/>
        <w:ind w:left="0" w:firstLine="720"/>
        <w:rPr>
          <w:rFonts w:hAnsiTheme="minorEastAsia"/>
          <w:iCs/>
          <w:color w:val="000000"/>
          <w:kern w:val="18"/>
          <w:lang w:val="en-CA" w:eastAsia="zh-CN"/>
        </w:rPr>
      </w:pPr>
      <w:r w:rsidRPr="00285BCE">
        <w:rPr>
          <w:rFonts w:ascii="KaiTi" w:eastAsia="KaiTi" w:hAnsi="KaiTi" w:hint="eastAsia"/>
          <w:iCs/>
          <w:color w:val="000000"/>
          <w:kern w:val="18"/>
          <w:lang w:val="en-CA" w:eastAsia="zh-CN"/>
        </w:rPr>
        <w:t>请</w:t>
      </w:r>
      <w:r w:rsidRPr="00AA11BD">
        <w:rPr>
          <w:rFonts w:hAnsiTheme="minorEastAsia" w:hint="eastAsia"/>
          <w:iCs/>
          <w:color w:val="000000"/>
          <w:kern w:val="18"/>
          <w:lang w:val="en-CA" w:eastAsia="zh-CN"/>
        </w:rPr>
        <w:t>执行秘书编制并提交一份经更新、详细综合的</w:t>
      </w:r>
      <w:r w:rsidRPr="00AA11BD">
        <w:rPr>
          <w:rFonts w:hAnsiTheme="minorEastAsia" w:hint="eastAsia"/>
          <w:iCs/>
          <w:color w:val="000000"/>
          <w:kern w:val="18"/>
          <w:lang w:val="en-CA" w:eastAsia="zh-CN"/>
        </w:rPr>
        <w:t>2021-2022</w:t>
      </w:r>
      <w:r w:rsidRPr="00AA11BD">
        <w:rPr>
          <w:rFonts w:hAnsiTheme="minorEastAsia" w:hint="eastAsia"/>
          <w:iCs/>
          <w:color w:val="000000"/>
          <w:kern w:val="18"/>
          <w:lang w:val="en-CA" w:eastAsia="zh-CN"/>
        </w:rPr>
        <w:t>年</w:t>
      </w:r>
      <w:r>
        <w:rPr>
          <w:rFonts w:hAnsiTheme="minorEastAsia" w:hint="eastAsia"/>
          <w:iCs/>
          <w:color w:val="000000"/>
          <w:kern w:val="18"/>
          <w:lang w:val="en-CA" w:eastAsia="zh-CN"/>
        </w:rPr>
        <w:t>期间</w:t>
      </w:r>
      <w:r>
        <w:rPr>
          <w:rFonts w:hAnsiTheme="minorEastAsia"/>
          <w:iCs/>
          <w:color w:val="000000"/>
          <w:kern w:val="18"/>
          <w:lang w:val="en-CA" w:eastAsia="zh-CN"/>
        </w:rPr>
        <w:t>的</w:t>
      </w:r>
      <w:r w:rsidRPr="00AA11BD">
        <w:rPr>
          <w:rFonts w:hAnsiTheme="minorEastAsia" w:hint="eastAsia"/>
          <w:iCs/>
          <w:color w:val="000000"/>
          <w:kern w:val="18"/>
          <w:lang w:val="en-CA" w:eastAsia="zh-CN"/>
        </w:rPr>
        <w:t>工作方案，其中列出秘书处将完成的目标、任务以及</w:t>
      </w:r>
      <w:r>
        <w:rPr>
          <w:rFonts w:hAnsiTheme="minorEastAsia" w:hint="eastAsia"/>
          <w:iCs/>
          <w:color w:val="000000"/>
          <w:kern w:val="18"/>
          <w:lang w:val="en-CA" w:eastAsia="zh-CN"/>
        </w:rPr>
        <w:t>《公约》及其《议定书》</w:t>
      </w:r>
      <w:r w:rsidRPr="00AA11BD">
        <w:rPr>
          <w:rFonts w:hAnsiTheme="minorEastAsia" w:hint="eastAsia"/>
          <w:iCs/>
          <w:color w:val="000000"/>
          <w:kern w:val="18"/>
          <w:lang w:val="en-CA" w:eastAsia="zh-CN"/>
        </w:rPr>
        <w:t>每个预算项目的预期成果，供</w:t>
      </w:r>
      <w:r>
        <w:rPr>
          <w:rFonts w:hAnsiTheme="minorEastAsia" w:hint="eastAsia"/>
          <w:iCs/>
          <w:color w:val="000000"/>
          <w:kern w:val="18"/>
          <w:lang w:val="en-CA" w:eastAsia="zh-CN"/>
        </w:rPr>
        <w:t>《公约》</w:t>
      </w:r>
      <w:r w:rsidRPr="00AA11BD">
        <w:rPr>
          <w:rFonts w:hAnsiTheme="minorEastAsia" w:hint="eastAsia"/>
          <w:iCs/>
          <w:color w:val="000000"/>
          <w:kern w:val="18"/>
          <w:lang w:val="en-CA" w:eastAsia="zh-CN"/>
        </w:rPr>
        <w:t>缔约方</w:t>
      </w:r>
      <w:r>
        <w:rPr>
          <w:rFonts w:hAnsiTheme="minorEastAsia" w:hint="eastAsia"/>
          <w:iCs/>
          <w:color w:val="000000"/>
          <w:kern w:val="18"/>
          <w:lang w:val="en-CA" w:eastAsia="zh-CN"/>
        </w:rPr>
        <w:t>大会以及其《议定书》</w:t>
      </w:r>
      <w:r>
        <w:rPr>
          <w:rFonts w:hAnsiTheme="minorEastAsia"/>
          <w:iCs/>
          <w:color w:val="000000"/>
          <w:kern w:val="18"/>
          <w:lang w:val="en-CA" w:eastAsia="zh-CN"/>
        </w:rPr>
        <w:t>缔约方的</w:t>
      </w:r>
      <w:r w:rsidRPr="00AA11BD">
        <w:rPr>
          <w:rFonts w:hAnsiTheme="minorEastAsia" w:hint="eastAsia"/>
          <w:iCs/>
          <w:color w:val="000000"/>
          <w:kern w:val="18"/>
          <w:lang w:val="en-CA" w:eastAsia="zh-CN"/>
        </w:rPr>
        <w:t>下次会议审议，并按照</w:t>
      </w:r>
      <w:r w:rsidR="00780033">
        <w:rPr>
          <w:rFonts w:hAnsiTheme="minorEastAsia" w:hint="eastAsia"/>
          <w:iCs/>
          <w:color w:val="000000"/>
          <w:kern w:val="18"/>
          <w:lang w:val="en-CA" w:eastAsia="zh-CN"/>
        </w:rPr>
        <w:t>联合国环境署</w:t>
      </w:r>
      <w:r w:rsidRPr="00AA11BD">
        <w:rPr>
          <w:rFonts w:hAnsiTheme="minorEastAsia" w:hint="eastAsia"/>
          <w:iCs/>
          <w:color w:val="000000"/>
          <w:kern w:val="18"/>
          <w:lang w:val="en-CA" w:eastAsia="zh-CN"/>
        </w:rPr>
        <w:t>两年期拟议方案预算的格式提交一份相应的方案预算，包括补充资料说明，其中有三个备选方案；</w:t>
      </w:r>
    </w:p>
    <w:p w:rsidR="00B72FA3" w:rsidRPr="00421205" w:rsidRDefault="00B72FA3" w:rsidP="00615E7F">
      <w:pPr>
        <w:pStyle w:val="ListParagraph"/>
        <w:numPr>
          <w:ilvl w:val="0"/>
          <w:numId w:val="282"/>
        </w:numPr>
        <w:shd w:val="clear" w:color="auto" w:fill="FFFFFF" w:themeFill="background1"/>
        <w:tabs>
          <w:tab w:val="left" w:pos="1440"/>
        </w:tabs>
        <w:adjustRightInd w:val="0"/>
        <w:snapToGrid w:val="0"/>
        <w:ind w:left="0" w:right="210" w:firstLine="720"/>
        <w:rPr>
          <w:lang w:eastAsia="zh-CN"/>
        </w:rPr>
      </w:pPr>
      <w:r w:rsidRPr="00421205">
        <w:rPr>
          <w:rFonts w:hint="eastAsia"/>
          <w:lang w:eastAsia="zh-CN"/>
        </w:rPr>
        <w:t>为方案</w:t>
      </w:r>
      <w:r w:rsidRPr="00421205">
        <w:rPr>
          <w:lang w:eastAsia="zh-CN"/>
        </w:rPr>
        <w:t>预算</w:t>
      </w:r>
      <w:r>
        <w:rPr>
          <w:lang w:eastAsia="zh-CN"/>
        </w:rPr>
        <w:t>（</w:t>
      </w:r>
      <w:r w:rsidRPr="00421205">
        <w:rPr>
          <w:lang w:eastAsia="zh-CN"/>
        </w:rPr>
        <w:t>BY</w:t>
      </w:r>
      <w:r w:rsidRPr="00421205">
        <w:rPr>
          <w:lang w:eastAsia="zh-CN"/>
        </w:rPr>
        <w:t>、</w:t>
      </w:r>
      <w:r w:rsidRPr="00421205">
        <w:rPr>
          <w:lang w:eastAsia="zh-CN"/>
        </w:rPr>
        <w:t>BG</w:t>
      </w:r>
      <w:r w:rsidRPr="00421205">
        <w:rPr>
          <w:lang w:eastAsia="zh-CN"/>
        </w:rPr>
        <w:t>和</w:t>
      </w:r>
      <w:r w:rsidRPr="00421205">
        <w:rPr>
          <w:lang w:eastAsia="zh-CN"/>
        </w:rPr>
        <w:t>BB</w:t>
      </w:r>
      <w:r w:rsidRPr="00421205">
        <w:rPr>
          <w:lang w:eastAsia="zh-CN"/>
        </w:rPr>
        <w:t>信托基金</w:t>
      </w:r>
      <w:r>
        <w:rPr>
          <w:lang w:eastAsia="zh-CN"/>
        </w:rPr>
        <w:t>）</w:t>
      </w:r>
      <w:r w:rsidRPr="00421205">
        <w:rPr>
          <w:lang w:eastAsia="zh-CN"/>
        </w:rPr>
        <w:t>所需的增长率做出评估，其名义增长率不应超过</w:t>
      </w:r>
      <w:r>
        <w:rPr>
          <w:lang w:eastAsia="zh-CN"/>
        </w:rPr>
        <w:t>2019-2020</w:t>
      </w:r>
      <w:r w:rsidRPr="00421205">
        <w:rPr>
          <w:lang w:eastAsia="zh-CN"/>
        </w:rPr>
        <w:t>年总水平减去</w:t>
      </w:r>
      <w:r>
        <w:rPr>
          <w:rFonts w:hint="eastAsia"/>
          <w:lang w:eastAsia="zh-CN"/>
        </w:rPr>
        <w:t>关于</w:t>
      </w:r>
      <w:r>
        <w:rPr>
          <w:rFonts w:hint="eastAsia"/>
          <w:lang w:eastAsia="zh-CN"/>
        </w:rPr>
        <w:t>2020</w:t>
      </w:r>
      <w:r>
        <w:rPr>
          <w:rFonts w:hint="eastAsia"/>
          <w:lang w:eastAsia="zh-CN"/>
        </w:rPr>
        <w:t>年后全球</w:t>
      </w:r>
      <w:r>
        <w:rPr>
          <w:lang w:eastAsia="zh-CN"/>
        </w:rPr>
        <w:t>生物多样性框架的特别会议的</w:t>
      </w:r>
      <w:r w:rsidRPr="00421205">
        <w:rPr>
          <w:lang w:eastAsia="zh-CN"/>
        </w:rPr>
        <w:t>预算项目</w:t>
      </w:r>
      <w:r>
        <w:rPr>
          <w:lang w:eastAsia="zh-CN"/>
        </w:rPr>
        <w:t>K</w:t>
      </w:r>
      <w:r w:rsidRPr="00421205">
        <w:rPr>
          <w:lang w:eastAsia="zh-CN"/>
        </w:rPr>
        <w:t>数额的</w:t>
      </w:r>
      <w:r w:rsidRPr="00421205">
        <w:rPr>
          <w:lang w:eastAsia="zh-CN"/>
        </w:rPr>
        <w:t>4%</w:t>
      </w:r>
      <w:r w:rsidRPr="00421205">
        <w:rPr>
          <w:lang w:eastAsia="zh-CN"/>
        </w:rPr>
        <w:t>；</w:t>
      </w:r>
    </w:p>
    <w:p w:rsidR="00B72FA3" w:rsidRPr="00421205" w:rsidRDefault="00B72FA3" w:rsidP="00615E7F">
      <w:pPr>
        <w:pStyle w:val="ListParagraph"/>
        <w:numPr>
          <w:ilvl w:val="0"/>
          <w:numId w:val="282"/>
        </w:numPr>
        <w:shd w:val="clear" w:color="auto" w:fill="FFFFFF" w:themeFill="background1"/>
        <w:tabs>
          <w:tab w:val="left" w:pos="1440"/>
        </w:tabs>
        <w:adjustRightInd w:val="0"/>
        <w:snapToGrid w:val="0"/>
        <w:ind w:left="0" w:right="210" w:firstLine="720"/>
        <w:rPr>
          <w:lang w:eastAsia="zh-CN"/>
        </w:rPr>
      </w:pPr>
      <w:r w:rsidRPr="00421205">
        <w:rPr>
          <w:lang w:eastAsia="zh-CN"/>
        </w:rPr>
        <w:t>方案预算</w:t>
      </w:r>
      <w:r>
        <w:rPr>
          <w:lang w:eastAsia="zh-CN"/>
        </w:rPr>
        <w:t>（</w:t>
      </w:r>
      <w:r w:rsidRPr="00421205">
        <w:rPr>
          <w:lang w:eastAsia="zh-CN"/>
        </w:rPr>
        <w:t>BY</w:t>
      </w:r>
      <w:r w:rsidRPr="00421205">
        <w:rPr>
          <w:lang w:eastAsia="zh-CN"/>
        </w:rPr>
        <w:t>、</w:t>
      </w:r>
      <w:r w:rsidRPr="00421205">
        <w:rPr>
          <w:lang w:eastAsia="zh-CN"/>
        </w:rPr>
        <w:t>BG</w:t>
      </w:r>
      <w:r w:rsidRPr="00421205">
        <w:rPr>
          <w:lang w:eastAsia="zh-CN"/>
        </w:rPr>
        <w:t>和</w:t>
      </w:r>
      <w:r w:rsidRPr="00421205">
        <w:rPr>
          <w:lang w:eastAsia="zh-CN"/>
        </w:rPr>
        <w:t>BB</w:t>
      </w:r>
      <w:r w:rsidRPr="00421205">
        <w:rPr>
          <w:lang w:eastAsia="zh-CN"/>
        </w:rPr>
        <w:t>信托基金</w:t>
      </w:r>
      <w:r>
        <w:rPr>
          <w:lang w:eastAsia="zh-CN"/>
        </w:rPr>
        <w:t>）</w:t>
      </w:r>
      <w:r w:rsidRPr="00421205">
        <w:rPr>
          <w:lang w:eastAsia="zh-CN"/>
        </w:rPr>
        <w:t>的实际增长率维持在</w:t>
      </w:r>
      <w:r>
        <w:rPr>
          <w:lang w:eastAsia="zh-CN"/>
        </w:rPr>
        <w:t>2019-2020</w:t>
      </w:r>
      <w:r w:rsidRPr="00421205">
        <w:rPr>
          <w:lang w:eastAsia="zh-CN"/>
        </w:rPr>
        <w:t>年总水平减去</w:t>
      </w:r>
      <w:r>
        <w:rPr>
          <w:rFonts w:hint="eastAsia"/>
          <w:lang w:eastAsia="zh-CN"/>
        </w:rPr>
        <w:t>关于</w:t>
      </w:r>
      <w:r>
        <w:rPr>
          <w:rFonts w:hint="eastAsia"/>
          <w:lang w:eastAsia="zh-CN"/>
        </w:rPr>
        <w:t>2020</w:t>
      </w:r>
      <w:r>
        <w:rPr>
          <w:rFonts w:hint="eastAsia"/>
          <w:lang w:eastAsia="zh-CN"/>
        </w:rPr>
        <w:t>年后全球</w:t>
      </w:r>
      <w:r>
        <w:rPr>
          <w:lang w:eastAsia="zh-CN"/>
        </w:rPr>
        <w:t>生物多样性框架的</w:t>
      </w:r>
      <w:r>
        <w:rPr>
          <w:rFonts w:hint="eastAsia"/>
          <w:lang w:eastAsia="zh-CN"/>
        </w:rPr>
        <w:t>特别会议</w:t>
      </w:r>
      <w:r>
        <w:rPr>
          <w:lang w:eastAsia="zh-CN"/>
        </w:rPr>
        <w:t>的</w:t>
      </w:r>
      <w:r w:rsidRPr="00421205">
        <w:rPr>
          <w:lang w:eastAsia="zh-CN"/>
        </w:rPr>
        <w:t>预算项目</w:t>
      </w:r>
      <w:r>
        <w:rPr>
          <w:lang w:eastAsia="zh-CN"/>
        </w:rPr>
        <w:t>K</w:t>
      </w:r>
      <w:r w:rsidRPr="00421205">
        <w:rPr>
          <w:lang w:eastAsia="zh-CN"/>
        </w:rPr>
        <w:t>数额的水平；</w:t>
      </w:r>
    </w:p>
    <w:p w:rsidR="00B72FA3" w:rsidRPr="00421205" w:rsidRDefault="00B72FA3" w:rsidP="00615E7F">
      <w:pPr>
        <w:pStyle w:val="ListParagraph"/>
        <w:numPr>
          <w:ilvl w:val="0"/>
          <w:numId w:val="282"/>
        </w:numPr>
        <w:shd w:val="clear" w:color="auto" w:fill="FFFFFF" w:themeFill="background1"/>
        <w:tabs>
          <w:tab w:val="left" w:pos="1440"/>
        </w:tabs>
        <w:adjustRightInd w:val="0"/>
        <w:snapToGrid w:val="0"/>
        <w:ind w:left="0" w:right="210" w:firstLine="720"/>
        <w:rPr>
          <w:iCs/>
          <w:color w:val="000000"/>
          <w:kern w:val="18"/>
          <w:lang w:val="en-CA" w:eastAsia="zh-CN"/>
        </w:rPr>
      </w:pPr>
      <w:r w:rsidRPr="00421205">
        <w:rPr>
          <w:lang w:eastAsia="zh-CN"/>
        </w:rPr>
        <w:t>方案预算</w:t>
      </w:r>
      <w:r>
        <w:rPr>
          <w:lang w:eastAsia="zh-CN"/>
        </w:rPr>
        <w:t>（</w:t>
      </w:r>
      <w:r w:rsidRPr="00421205">
        <w:rPr>
          <w:lang w:eastAsia="zh-CN"/>
        </w:rPr>
        <w:t>BY</w:t>
      </w:r>
      <w:r w:rsidRPr="00421205">
        <w:rPr>
          <w:lang w:eastAsia="zh-CN"/>
        </w:rPr>
        <w:t>、</w:t>
      </w:r>
      <w:r w:rsidRPr="00421205">
        <w:rPr>
          <w:lang w:eastAsia="zh-CN"/>
        </w:rPr>
        <w:t>BG</w:t>
      </w:r>
      <w:r w:rsidRPr="00421205">
        <w:rPr>
          <w:lang w:eastAsia="zh-CN"/>
        </w:rPr>
        <w:t>和</w:t>
      </w:r>
      <w:r w:rsidRPr="00421205">
        <w:rPr>
          <w:lang w:eastAsia="zh-CN"/>
        </w:rPr>
        <w:t>BB</w:t>
      </w:r>
      <w:r w:rsidRPr="00421205">
        <w:rPr>
          <w:lang w:eastAsia="zh-CN"/>
        </w:rPr>
        <w:t>信托基金</w:t>
      </w:r>
      <w:r>
        <w:rPr>
          <w:lang w:eastAsia="zh-CN"/>
        </w:rPr>
        <w:t>）</w:t>
      </w:r>
      <w:r w:rsidRPr="00421205">
        <w:rPr>
          <w:lang w:eastAsia="zh-CN"/>
        </w:rPr>
        <w:t>的名义增长率维持在</w:t>
      </w:r>
      <w:r>
        <w:rPr>
          <w:lang w:eastAsia="zh-CN"/>
        </w:rPr>
        <w:t>2019-2020</w:t>
      </w:r>
      <w:r w:rsidRPr="00421205">
        <w:rPr>
          <w:lang w:eastAsia="zh-CN"/>
        </w:rPr>
        <w:t>年总水平减去</w:t>
      </w:r>
      <w:r>
        <w:rPr>
          <w:rFonts w:hint="eastAsia"/>
          <w:lang w:eastAsia="zh-CN"/>
        </w:rPr>
        <w:t>关于</w:t>
      </w:r>
      <w:r>
        <w:rPr>
          <w:rFonts w:hint="eastAsia"/>
          <w:lang w:eastAsia="zh-CN"/>
        </w:rPr>
        <w:t>202</w:t>
      </w:r>
      <w:r>
        <w:rPr>
          <w:lang w:eastAsia="zh-CN"/>
        </w:rPr>
        <w:t>0</w:t>
      </w:r>
      <w:r>
        <w:rPr>
          <w:rFonts w:hint="eastAsia"/>
          <w:lang w:eastAsia="zh-CN"/>
        </w:rPr>
        <w:t>年后全球</w:t>
      </w:r>
      <w:r>
        <w:rPr>
          <w:lang w:eastAsia="zh-CN"/>
        </w:rPr>
        <w:t>生物多样性框架的特别会议的</w:t>
      </w:r>
      <w:r w:rsidRPr="00421205">
        <w:rPr>
          <w:lang w:eastAsia="zh-CN"/>
        </w:rPr>
        <w:t>预算项目</w:t>
      </w:r>
      <w:r>
        <w:rPr>
          <w:lang w:eastAsia="zh-CN"/>
        </w:rPr>
        <w:t>K</w:t>
      </w:r>
      <w:r w:rsidRPr="00421205">
        <w:rPr>
          <w:lang w:eastAsia="zh-CN"/>
        </w:rPr>
        <w:t>数额的水平；</w:t>
      </w:r>
    </w:p>
    <w:p w:rsidR="00B72FA3" w:rsidRPr="00AA11BD" w:rsidRDefault="00B72FA3" w:rsidP="00615E7F">
      <w:pPr>
        <w:pStyle w:val="ListParagraph"/>
        <w:numPr>
          <w:ilvl w:val="0"/>
          <w:numId w:val="280"/>
        </w:numPr>
        <w:shd w:val="clear" w:color="auto" w:fill="FFFFFF" w:themeFill="background1"/>
        <w:tabs>
          <w:tab w:val="left" w:pos="1440"/>
        </w:tabs>
        <w:adjustRightInd w:val="0"/>
        <w:snapToGrid w:val="0"/>
        <w:ind w:left="0" w:firstLine="720"/>
        <w:rPr>
          <w:rFonts w:hAnsiTheme="minorEastAsia"/>
          <w:iCs/>
          <w:color w:val="000000"/>
          <w:kern w:val="18"/>
          <w:lang w:val="en-CA" w:eastAsia="zh-CN"/>
        </w:rPr>
      </w:pPr>
      <w:r w:rsidRPr="00EA02E0">
        <w:rPr>
          <w:rFonts w:ascii="KaiTi" w:eastAsia="KaiTi" w:hAnsi="KaiTi"/>
          <w:iCs/>
          <w:color w:val="000000"/>
          <w:kern w:val="18"/>
          <w:lang w:val="en-CA" w:eastAsia="zh-CN"/>
        </w:rPr>
        <w:t>又</w:t>
      </w:r>
      <w:r w:rsidRPr="00EA02E0">
        <w:rPr>
          <w:rFonts w:ascii="KaiTi" w:eastAsia="KaiTi" w:hAnsi="KaiTi" w:hint="eastAsia"/>
          <w:iCs/>
          <w:color w:val="000000"/>
          <w:kern w:val="18"/>
          <w:lang w:val="en-CA" w:eastAsia="zh-CN"/>
        </w:rPr>
        <w:t>请</w:t>
      </w:r>
      <w:r>
        <w:rPr>
          <w:rFonts w:hAnsiTheme="minorEastAsia" w:hint="eastAsia"/>
          <w:iCs/>
          <w:color w:val="000000"/>
          <w:kern w:val="18"/>
          <w:lang w:val="en-CA" w:eastAsia="zh-CN"/>
        </w:rPr>
        <w:t>执行秘书采取一切可能的措施提高秘书处的效益</w:t>
      </w:r>
      <w:r>
        <w:rPr>
          <w:rFonts w:hAnsiTheme="minorEastAsia"/>
          <w:iCs/>
          <w:color w:val="000000"/>
          <w:kern w:val="18"/>
          <w:lang w:val="en-CA" w:eastAsia="zh-CN"/>
        </w:rPr>
        <w:t>和效率</w:t>
      </w:r>
      <w:r w:rsidRPr="00AA11BD">
        <w:rPr>
          <w:rFonts w:hAnsiTheme="minorEastAsia" w:hint="eastAsia"/>
          <w:iCs/>
          <w:color w:val="000000"/>
          <w:kern w:val="18"/>
          <w:lang w:val="en-CA" w:eastAsia="zh-CN"/>
        </w:rPr>
        <w:t>，并在所考虑的三种设想方案中反映这些措施；</w:t>
      </w:r>
    </w:p>
    <w:p w:rsidR="00B72FA3" w:rsidRPr="00B17A63" w:rsidRDefault="00B72FA3" w:rsidP="00615E7F">
      <w:pPr>
        <w:pStyle w:val="ListParagraph"/>
        <w:numPr>
          <w:ilvl w:val="0"/>
          <w:numId w:val="280"/>
        </w:numPr>
        <w:shd w:val="clear" w:color="auto" w:fill="FFFFFF" w:themeFill="background1"/>
        <w:tabs>
          <w:tab w:val="left" w:pos="1440"/>
        </w:tabs>
        <w:adjustRightInd w:val="0"/>
        <w:snapToGrid w:val="0"/>
        <w:ind w:left="0" w:firstLine="720"/>
        <w:rPr>
          <w:b/>
          <w:bCs/>
          <w:iCs/>
          <w:color w:val="000000"/>
          <w:kern w:val="18"/>
          <w:lang w:val="en-CA" w:eastAsia="zh-CN"/>
        </w:rPr>
      </w:pPr>
      <w:r w:rsidRPr="00B17A63">
        <w:rPr>
          <w:rFonts w:ascii="KaiTi" w:eastAsia="KaiTi" w:hAnsi="KaiTi" w:hint="eastAsia"/>
          <w:iCs/>
          <w:color w:val="000000"/>
          <w:kern w:val="18"/>
          <w:lang w:val="en-CA" w:eastAsia="zh-CN"/>
        </w:rPr>
        <w:t>还请</w:t>
      </w:r>
      <w:r w:rsidRPr="00B17A63">
        <w:rPr>
          <w:rFonts w:hAnsiTheme="minorEastAsia" w:hint="eastAsia"/>
          <w:iCs/>
          <w:color w:val="000000"/>
          <w:kern w:val="18"/>
          <w:lang w:val="en-CA" w:eastAsia="zh-CN"/>
        </w:rPr>
        <w:t>执行秘书向《</w:t>
      </w:r>
      <w:r w:rsidRPr="00B17A63">
        <w:rPr>
          <w:rFonts w:hAnsiTheme="minorEastAsia"/>
          <w:iCs/>
          <w:color w:val="000000"/>
          <w:kern w:val="18"/>
          <w:lang w:val="en-CA" w:eastAsia="zh-CN"/>
        </w:rPr>
        <w:t>公</w:t>
      </w:r>
      <w:r w:rsidRPr="00B17A63">
        <w:rPr>
          <w:rFonts w:hAnsiTheme="minorEastAsia" w:hint="eastAsia"/>
          <w:iCs/>
          <w:color w:val="000000"/>
          <w:kern w:val="18"/>
          <w:lang w:val="en-CA" w:eastAsia="zh-CN"/>
        </w:rPr>
        <w:t>约》</w:t>
      </w:r>
      <w:r>
        <w:rPr>
          <w:rFonts w:hAnsiTheme="minorEastAsia" w:hint="eastAsia"/>
          <w:iCs/>
          <w:color w:val="000000"/>
          <w:kern w:val="18"/>
          <w:lang w:val="en-CA" w:eastAsia="zh-CN"/>
        </w:rPr>
        <w:t>缔约方大会</w:t>
      </w:r>
      <w:r>
        <w:rPr>
          <w:rFonts w:hAnsiTheme="minorEastAsia"/>
          <w:iCs/>
          <w:color w:val="000000"/>
          <w:kern w:val="18"/>
          <w:lang w:val="en-CA" w:eastAsia="zh-CN"/>
        </w:rPr>
        <w:t>以及</w:t>
      </w:r>
      <w:r>
        <w:rPr>
          <w:rFonts w:hAnsiTheme="minorEastAsia" w:hint="eastAsia"/>
          <w:iCs/>
          <w:color w:val="000000"/>
          <w:kern w:val="18"/>
          <w:lang w:val="en-CA" w:eastAsia="zh-CN"/>
        </w:rPr>
        <w:t>作为</w:t>
      </w:r>
      <w:r w:rsidRPr="00B17A63">
        <w:rPr>
          <w:rFonts w:hAnsiTheme="minorEastAsia"/>
          <w:iCs/>
          <w:color w:val="000000"/>
          <w:kern w:val="18"/>
          <w:lang w:val="en-CA" w:eastAsia="zh-CN"/>
        </w:rPr>
        <w:t>其</w:t>
      </w:r>
      <w:r>
        <w:rPr>
          <w:rFonts w:hAnsiTheme="minorEastAsia" w:hint="eastAsia"/>
          <w:iCs/>
          <w:color w:val="000000"/>
          <w:kern w:val="18"/>
          <w:lang w:val="en-CA" w:eastAsia="zh-CN"/>
        </w:rPr>
        <w:t>议定书</w:t>
      </w:r>
      <w:r>
        <w:rPr>
          <w:rFonts w:hAnsiTheme="minorEastAsia"/>
          <w:iCs/>
          <w:color w:val="000000"/>
          <w:kern w:val="18"/>
          <w:lang w:val="en-CA" w:eastAsia="zh-CN"/>
        </w:rPr>
        <w:t>的</w:t>
      </w:r>
      <w:r w:rsidRPr="00B17A63">
        <w:rPr>
          <w:rFonts w:hAnsiTheme="minorEastAsia" w:hint="eastAsia"/>
          <w:iCs/>
          <w:color w:val="000000"/>
          <w:kern w:val="18"/>
          <w:lang w:val="en-CA" w:eastAsia="zh-CN"/>
        </w:rPr>
        <w:t>缔约方</w:t>
      </w:r>
      <w:r>
        <w:rPr>
          <w:rFonts w:hAnsiTheme="minorEastAsia" w:hint="eastAsia"/>
          <w:iCs/>
          <w:color w:val="000000"/>
          <w:kern w:val="18"/>
          <w:lang w:val="en-CA" w:eastAsia="zh-CN"/>
        </w:rPr>
        <w:t>会议的</w:t>
      </w:r>
      <w:r>
        <w:rPr>
          <w:rFonts w:hAnsiTheme="minorEastAsia"/>
          <w:iCs/>
          <w:color w:val="000000"/>
          <w:kern w:val="18"/>
          <w:lang w:val="en-CA" w:eastAsia="zh-CN"/>
        </w:rPr>
        <w:t>缔约方大会</w:t>
      </w:r>
      <w:r w:rsidRPr="00B17A63">
        <w:rPr>
          <w:rFonts w:hAnsiTheme="minorEastAsia" w:hint="eastAsia"/>
          <w:iCs/>
          <w:color w:val="000000"/>
          <w:kern w:val="18"/>
          <w:lang w:val="en-CA" w:eastAsia="zh-CN"/>
        </w:rPr>
        <w:t>的</w:t>
      </w:r>
      <w:r w:rsidRPr="00B17A63">
        <w:rPr>
          <w:rFonts w:hAnsiTheme="minorEastAsia"/>
          <w:iCs/>
          <w:color w:val="000000"/>
          <w:kern w:val="18"/>
          <w:lang w:val="en-CA" w:eastAsia="zh-CN"/>
        </w:rPr>
        <w:t>今后</w:t>
      </w:r>
      <w:r w:rsidRPr="00B17A63">
        <w:rPr>
          <w:rFonts w:hAnsiTheme="minorEastAsia" w:hint="eastAsia"/>
          <w:iCs/>
          <w:color w:val="000000"/>
          <w:kern w:val="18"/>
          <w:lang w:val="en-CA" w:eastAsia="zh-CN"/>
        </w:rPr>
        <w:t>会议报告收入和预算执行情况</w:t>
      </w:r>
      <w:r w:rsidRPr="00B17A63">
        <w:rPr>
          <w:rFonts w:hAnsiTheme="minorEastAsia"/>
          <w:iCs/>
          <w:color w:val="000000"/>
          <w:kern w:val="18"/>
          <w:lang w:val="en-CA" w:eastAsia="zh-CN"/>
        </w:rPr>
        <w:t>、未用余</w:t>
      </w:r>
      <w:r w:rsidRPr="00B17A63">
        <w:rPr>
          <w:rFonts w:hAnsiTheme="minorEastAsia" w:hint="eastAsia"/>
          <w:iCs/>
          <w:color w:val="000000"/>
          <w:kern w:val="18"/>
          <w:lang w:val="en-CA" w:eastAsia="zh-CN"/>
        </w:rPr>
        <w:t>额</w:t>
      </w:r>
      <w:r w:rsidRPr="00B17A63">
        <w:rPr>
          <w:rFonts w:hAnsiTheme="minorEastAsia"/>
          <w:iCs/>
          <w:color w:val="000000"/>
          <w:kern w:val="18"/>
          <w:lang w:val="en-CA" w:eastAsia="zh-CN"/>
        </w:rPr>
        <w:t>、盈余和</w:t>
      </w:r>
      <w:r w:rsidRPr="00B17A63">
        <w:rPr>
          <w:rFonts w:hAnsiTheme="minorEastAsia" w:hint="eastAsia"/>
          <w:iCs/>
          <w:color w:val="000000"/>
          <w:kern w:val="18"/>
          <w:lang w:val="en-CA" w:eastAsia="zh-CN"/>
        </w:rPr>
        <w:t>结转情况以及对</w:t>
      </w:r>
      <w:r w:rsidRPr="00B17A63">
        <w:rPr>
          <w:rFonts w:hAnsiTheme="minorEastAsia"/>
          <w:iCs/>
          <w:color w:val="000000"/>
          <w:kern w:val="18"/>
          <w:lang w:val="en-CA" w:eastAsia="zh-CN"/>
        </w:rPr>
        <w:t>2019-2020</w:t>
      </w:r>
      <w:r w:rsidRPr="00B17A63">
        <w:rPr>
          <w:rFonts w:hAnsiTheme="minorEastAsia"/>
          <w:iCs/>
          <w:color w:val="000000"/>
          <w:kern w:val="18"/>
          <w:lang w:val="en-CA" w:eastAsia="zh-CN"/>
        </w:rPr>
        <w:t>年</w:t>
      </w:r>
      <w:r w:rsidRPr="00B17A63">
        <w:rPr>
          <w:rFonts w:hAnsiTheme="minorEastAsia" w:hint="eastAsia"/>
          <w:iCs/>
          <w:color w:val="000000"/>
          <w:kern w:val="18"/>
          <w:lang w:val="en-CA" w:eastAsia="zh-CN"/>
        </w:rPr>
        <w:t>两年期预算的任何调整。</w:t>
      </w:r>
    </w:p>
    <w:p w:rsidR="00B72FA3" w:rsidRPr="00C97F9B" w:rsidRDefault="00B72FA3" w:rsidP="00615E7F">
      <w:pPr>
        <w:pStyle w:val="ListParagraph"/>
        <w:numPr>
          <w:ilvl w:val="0"/>
          <w:numId w:val="280"/>
        </w:numPr>
        <w:shd w:val="clear" w:color="auto" w:fill="FFFFFF" w:themeFill="background1"/>
        <w:tabs>
          <w:tab w:val="left" w:pos="1440"/>
        </w:tabs>
        <w:adjustRightInd w:val="0"/>
        <w:snapToGrid w:val="0"/>
        <w:ind w:left="0" w:firstLine="720"/>
        <w:rPr>
          <w:b/>
          <w:bCs/>
          <w:iCs/>
          <w:color w:val="000000"/>
          <w:kern w:val="18"/>
          <w:lang w:val="en-GB" w:eastAsia="zh-CN"/>
        </w:rPr>
      </w:pPr>
      <w:r>
        <w:rPr>
          <w:b/>
          <w:bCs/>
          <w:iCs/>
          <w:color w:val="000000"/>
          <w:kern w:val="18"/>
          <w:lang w:val="en-CA" w:eastAsia="zh-CN"/>
        </w:rPr>
        <w:br w:type="page"/>
      </w:r>
    </w:p>
    <w:p w:rsidR="00B72FA3" w:rsidRDefault="00B72FA3" w:rsidP="00B72FA3">
      <w:pPr>
        <w:shd w:val="clear" w:color="auto" w:fill="FFFFFF" w:themeFill="background1"/>
        <w:tabs>
          <w:tab w:val="left" w:pos="1800"/>
        </w:tabs>
        <w:adjustRightInd w:val="0"/>
        <w:snapToGrid w:val="0"/>
        <w:ind w:left="1800" w:right="1119" w:hanging="1260"/>
        <w:rPr>
          <w:b/>
          <w:bCs/>
          <w:iCs/>
          <w:color w:val="000000"/>
          <w:kern w:val="18"/>
          <w:lang w:val="en-GB" w:eastAsia="zh-CN"/>
        </w:rPr>
      </w:pPr>
      <w:r w:rsidRPr="009C2197">
        <w:rPr>
          <w:b/>
          <w:bCs/>
          <w:iCs/>
          <w:color w:val="000000"/>
          <w:kern w:val="18"/>
          <w:lang w:val="en-GB" w:eastAsia="zh-CN"/>
        </w:rPr>
        <w:lastRenderedPageBreak/>
        <w:t>表</w:t>
      </w:r>
      <w:r w:rsidRPr="009C2197">
        <w:rPr>
          <w:b/>
          <w:bCs/>
          <w:iCs/>
          <w:color w:val="000000"/>
          <w:kern w:val="18"/>
          <w:lang w:val="en-GB" w:eastAsia="zh-CN"/>
        </w:rPr>
        <w:t xml:space="preserve">1a. </w:t>
      </w:r>
      <w:r>
        <w:rPr>
          <w:b/>
          <w:bCs/>
          <w:iCs/>
          <w:color w:val="000000"/>
          <w:kern w:val="18"/>
          <w:lang w:val="en-GB" w:eastAsia="zh-CN"/>
        </w:rPr>
        <w:tab/>
      </w:r>
      <w:r w:rsidRPr="00B17A63">
        <w:rPr>
          <w:b/>
          <w:bCs/>
          <w:iCs/>
          <w:color w:val="000000"/>
          <w:kern w:val="18"/>
          <w:lang w:val="en-GB" w:eastAsia="zh-CN"/>
        </w:rPr>
        <w:t>《</w:t>
      </w:r>
      <w:r w:rsidRPr="00B17A63">
        <w:rPr>
          <w:rFonts w:hint="eastAsia"/>
          <w:b/>
          <w:bCs/>
          <w:iCs/>
          <w:color w:val="000000"/>
          <w:kern w:val="18"/>
          <w:lang w:val="en-GB" w:eastAsia="zh-CN"/>
        </w:rPr>
        <w:t>生物多样性</w:t>
      </w:r>
      <w:r w:rsidRPr="00B17A63">
        <w:rPr>
          <w:b/>
          <w:bCs/>
          <w:iCs/>
          <w:color w:val="000000"/>
          <w:kern w:val="18"/>
          <w:lang w:val="en-GB" w:eastAsia="zh-CN"/>
        </w:rPr>
        <w:t>公约</w:t>
      </w:r>
      <w:r w:rsidRPr="00B17A63">
        <w:rPr>
          <w:rFonts w:hint="eastAsia"/>
          <w:b/>
          <w:bCs/>
          <w:iCs/>
          <w:color w:val="000000"/>
          <w:kern w:val="18"/>
          <w:lang w:val="en-GB" w:eastAsia="zh-CN"/>
        </w:rPr>
        <w:t>》及其</w:t>
      </w:r>
      <w:r w:rsidRPr="00B17A63">
        <w:rPr>
          <w:b/>
          <w:bCs/>
          <w:iCs/>
          <w:color w:val="000000"/>
          <w:kern w:val="18"/>
          <w:lang w:val="en-GB" w:eastAsia="zh-CN"/>
        </w:rPr>
        <w:t>《议定书</w:t>
      </w:r>
      <w:r w:rsidRPr="00B17A63">
        <w:rPr>
          <w:rFonts w:hint="eastAsia"/>
          <w:b/>
          <w:bCs/>
          <w:iCs/>
          <w:color w:val="000000"/>
          <w:kern w:val="18"/>
          <w:lang w:val="en-GB" w:eastAsia="zh-CN"/>
        </w:rPr>
        <w:t>》</w:t>
      </w:r>
      <w:r w:rsidRPr="00B17A63">
        <w:rPr>
          <w:b/>
          <w:bCs/>
          <w:iCs/>
          <w:color w:val="000000"/>
          <w:kern w:val="18"/>
          <w:lang w:val="en-GB" w:eastAsia="zh-CN"/>
        </w:rPr>
        <w:t>信托基金</w:t>
      </w:r>
      <w:r w:rsidRPr="009C2197">
        <w:rPr>
          <w:b/>
          <w:bCs/>
          <w:iCs/>
          <w:color w:val="000000"/>
          <w:kern w:val="18"/>
          <w:lang w:val="en-GB" w:eastAsia="zh-CN"/>
        </w:rPr>
        <w:t>2019-2020</w:t>
      </w:r>
      <w:r w:rsidRPr="00B17A63">
        <w:rPr>
          <w:rFonts w:hint="eastAsia"/>
          <w:b/>
          <w:bCs/>
          <w:iCs/>
          <w:color w:val="000000"/>
          <w:kern w:val="18"/>
          <w:lang w:val="en-GB" w:eastAsia="zh-CN"/>
        </w:rPr>
        <w:t>年</w:t>
      </w:r>
      <w:r>
        <w:rPr>
          <w:rFonts w:hint="eastAsia"/>
          <w:b/>
          <w:bCs/>
          <w:iCs/>
          <w:color w:val="000000"/>
          <w:kern w:val="18"/>
          <w:lang w:val="en-GB" w:eastAsia="zh-CN"/>
        </w:rPr>
        <w:t>期间</w:t>
      </w:r>
      <w:r w:rsidRPr="00B17A63">
        <w:rPr>
          <w:b/>
          <w:bCs/>
          <w:iCs/>
          <w:color w:val="000000"/>
          <w:kern w:val="18"/>
          <w:lang w:val="en-GB" w:eastAsia="zh-CN"/>
        </w:rPr>
        <w:t>综合两年期预算</w:t>
      </w:r>
    </w:p>
    <w:tbl>
      <w:tblPr>
        <w:tblW w:w="9120" w:type="dxa"/>
        <w:tblInd w:w="93" w:type="dxa"/>
        <w:tblLook w:val="04A0"/>
      </w:tblPr>
      <w:tblGrid>
        <w:gridCol w:w="4520"/>
        <w:gridCol w:w="1360"/>
        <w:gridCol w:w="1600"/>
        <w:gridCol w:w="1640"/>
      </w:tblGrid>
      <w:tr w:rsidR="00B72FA3" w:rsidRPr="00737E2E" w:rsidTr="00B72FA3">
        <w:trPr>
          <w:trHeight w:val="64"/>
        </w:trPr>
        <w:tc>
          <w:tcPr>
            <w:tcW w:w="4520" w:type="dxa"/>
            <w:tcBorders>
              <w:top w:val="nil"/>
              <w:left w:val="nil"/>
              <w:bottom w:val="nil"/>
              <w:right w:val="nil"/>
            </w:tcBorders>
            <w:shd w:val="clear" w:color="auto" w:fill="auto"/>
            <w:noWrap/>
            <w:vAlign w:val="bottom"/>
            <w:hideMark/>
          </w:tcPr>
          <w:p w:rsidR="00B72FA3" w:rsidRPr="00737E2E" w:rsidRDefault="00B72FA3" w:rsidP="00B72FA3">
            <w:pPr>
              <w:adjustRightInd w:val="0"/>
              <w:contextualSpacing/>
              <w:rPr>
                <w:rFonts w:ascii="Calibri" w:hAnsi="Calibri" w:cs="Calibri"/>
                <w:color w:val="000000"/>
                <w:sz w:val="20"/>
                <w:szCs w:val="20"/>
                <w:lang w:eastAsia="zh-CN"/>
              </w:rPr>
            </w:pPr>
          </w:p>
        </w:tc>
        <w:tc>
          <w:tcPr>
            <w:tcW w:w="1360" w:type="dxa"/>
            <w:tcBorders>
              <w:top w:val="nil"/>
              <w:left w:val="nil"/>
              <w:bottom w:val="nil"/>
              <w:right w:val="nil"/>
            </w:tcBorders>
            <w:shd w:val="clear" w:color="auto" w:fill="auto"/>
            <w:noWrap/>
            <w:vAlign w:val="bottom"/>
            <w:hideMark/>
          </w:tcPr>
          <w:p w:rsidR="00B72FA3" w:rsidRPr="00737E2E" w:rsidRDefault="00B72FA3" w:rsidP="00B72FA3">
            <w:pPr>
              <w:adjustRightInd w:val="0"/>
              <w:contextualSpacing/>
              <w:rPr>
                <w:rFonts w:ascii="Calibri" w:hAnsi="Calibri" w:cs="Calibri"/>
                <w:color w:val="000000"/>
                <w:sz w:val="20"/>
                <w:szCs w:val="20"/>
                <w:lang w:eastAsia="zh-CN"/>
              </w:rPr>
            </w:pPr>
          </w:p>
        </w:tc>
        <w:tc>
          <w:tcPr>
            <w:tcW w:w="1600" w:type="dxa"/>
            <w:tcBorders>
              <w:top w:val="nil"/>
              <w:left w:val="nil"/>
              <w:bottom w:val="nil"/>
              <w:right w:val="nil"/>
            </w:tcBorders>
            <w:shd w:val="clear" w:color="auto" w:fill="auto"/>
            <w:noWrap/>
            <w:vAlign w:val="bottom"/>
            <w:hideMark/>
          </w:tcPr>
          <w:p w:rsidR="00B72FA3" w:rsidRPr="00737E2E" w:rsidRDefault="00B72FA3" w:rsidP="00B72FA3">
            <w:pPr>
              <w:adjustRightInd w:val="0"/>
              <w:contextualSpacing/>
              <w:rPr>
                <w:rFonts w:ascii="Calibri" w:hAnsi="Calibri" w:cs="Calibri"/>
                <w:color w:val="000000"/>
                <w:sz w:val="20"/>
                <w:szCs w:val="20"/>
                <w:lang w:eastAsia="zh-CN"/>
              </w:rPr>
            </w:pPr>
          </w:p>
        </w:tc>
        <w:tc>
          <w:tcPr>
            <w:tcW w:w="1640" w:type="dxa"/>
            <w:tcBorders>
              <w:top w:val="nil"/>
              <w:left w:val="nil"/>
              <w:bottom w:val="nil"/>
              <w:right w:val="nil"/>
            </w:tcBorders>
            <w:shd w:val="clear" w:color="auto" w:fill="auto"/>
            <w:noWrap/>
            <w:vAlign w:val="bottom"/>
            <w:hideMark/>
          </w:tcPr>
          <w:p w:rsidR="00B72FA3" w:rsidRPr="00737E2E" w:rsidRDefault="00B72FA3" w:rsidP="00B72FA3">
            <w:pPr>
              <w:adjustRightInd w:val="0"/>
              <w:contextualSpacing/>
              <w:rPr>
                <w:rFonts w:ascii="Calibri" w:hAnsi="Calibri" w:cs="Calibri"/>
                <w:color w:val="000000"/>
                <w:sz w:val="20"/>
                <w:szCs w:val="20"/>
                <w:lang w:eastAsia="zh-CN"/>
              </w:rPr>
            </w:pPr>
          </w:p>
        </w:tc>
      </w:tr>
      <w:tr w:rsidR="00B72FA3" w:rsidRPr="00737E2E" w:rsidTr="00B72FA3">
        <w:trPr>
          <w:trHeight w:val="288"/>
        </w:trPr>
        <w:tc>
          <w:tcPr>
            <w:tcW w:w="4520" w:type="dxa"/>
            <w:vMerge w:val="restart"/>
            <w:tcBorders>
              <w:top w:val="single" w:sz="8" w:space="0" w:color="auto"/>
              <w:left w:val="nil"/>
              <w:bottom w:val="single" w:sz="12" w:space="0" w:color="000000"/>
              <w:right w:val="nil"/>
            </w:tcBorders>
            <w:shd w:val="clear" w:color="auto" w:fill="auto"/>
            <w:vAlign w:val="center"/>
            <w:hideMark/>
          </w:tcPr>
          <w:p w:rsidR="00B72FA3" w:rsidRPr="00737E2E" w:rsidRDefault="00B72FA3" w:rsidP="0072676B">
            <w:pPr>
              <w:adjustRightInd w:val="0"/>
              <w:spacing w:before="0" w:after="0"/>
              <w:ind w:firstLine="0"/>
              <w:contextualSpacing/>
              <w:rPr>
                <w:i/>
                <w:iCs/>
                <w:color w:val="000000"/>
                <w:sz w:val="20"/>
                <w:szCs w:val="20"/>
                <w:lang w:eastAsia="zh-CN"/>
              </w:rPr>
            </w:pPr>
            <w:r w:rsidRPr="00737E2E">
              <w:rPr>
                <w:i/>
                <w:iCs/>
                <w:color w:val="000000"/>
                <w:sz w:val="20"/>
                <w:szCs w:val="20"/>
                <w:lang w:eastAsia="zh-CN"/>
              </w:rPr>
              <w:t> </w:t>
            </w:r>
          </w:p>
        </w:tc>
        <w:tc>
          <w:tcPr>
            <w:tcW w:w="1360" w:type="dxa"/>
            <w:vMerge w:val="restart"/>
            <w:tcBorders>
              <w:top w:val="single" w:sz="8" w:space="0" w:color="auto"/>
              <w:left w:val="nil"/>
              <w:bottom w:val="single" w:sz="12" w:space="0" w:color="000000"/>
              <w:right w:val="nil"/>
            </w:tcBorders>
            <w:shd w:val="clear" w:color="auto" w:fill="auto"/>
            <w:vAlign w:val="center"/>
            <w:hideMark/>
          </w:tcPr>
          <w:p w:rsidR="00B72FA3" w:rsidRPr="00737E2E" w:rsidRDefault="00B72FA3" w:rsidP="0072676B">
            <w:pPr>
              <w:adjustRightInd w:val="0"/>
              <w:spacing w:before="0" w:after="0"/>
              <w:ind w:firstLine="0"/>
              <w:contextualSpacing/>
              <w:jc w:val="center"/>
              <w:rPr>
                <w:rFonts w:ascii="KaiTi" w:eastAsia="KaiTi" w:hAnsi="KaiTi"/>
                <w:iCs/>
                <w:color w:val="000000"/>
                <w:sz w:val="20"/>
                <w:szCs w:val="20"/>
              </w:rPr>
            </w:pPr>
            <w:r w:rsidRPr="00737E2E">
              <w:rPr>
                <w:rFonts w:ascii="KaiTi" w:eastAsia="KaiTi" w:hAnsi="KaiTi"/>
                <w:iCs/>
                <w:color w:val="000000"/>
                <w:sz w:val="20"/>
                <w:szCs w:val="20"/>
              </w:rPr>
              <w:t>2019</w:t>
            </w:r>
            <w:r w:rsidRPr="00737E2E">
              <w:rPr>
                <w:rFonts w:ascii="KaiTi" w:eastAsia="KaiTi" w:hAnsi="KaiTi" w:hint="eastAsia"/>
                <w:iCs/>
                <w:color w:val="000000"/>
                <w:sz w:val="20"/>
                <w:szCs w:val="20"/>
                <w:lang w:eastAsia="zh-CN"/>
              </w:rPr>
              <w:t>年</w:t>
            </w:r>
            <w:r w:rsidRPr="00737E2E">
              <w:rPr>
                <w:rFonts w:ascii="KaiTi" w:eastAsia="KaiTi" w:hAnsi="KaiTi"/>
                <w:iCs/>
                <w:color w:val="000000"/>
                <w:sz w:val="20"/>
                <w:szCs w:val="20"/>
              </w:rPr>
              <w:t xml:space="preserve">                            （</w:t>
            </w:r>
            <w:r w:rsidRPr="00737E2E">
              <w:rPr>
                <w:rFonts w:ascii="KaiTi" w:eastAsia="KaiTi" w:hAnsi="KaiTi" w:hint="eastAsia"/>
                <w:iCs/>
                <w:color w:val="000000"/>
                <w:sz w:val="20"/>
                <w:szCs w:val="20"/>
                <w:lang w:eastAsia="zh-CN"/>
              </w:rPr>
              <w:t>千美元</w:t>
            </w:r>
            <w:r w:rsidRPr="00737E2E">
              <w:rPr>
                <w:rFonts w:ascii="KaiTi" w:eastAsia="KaiTi" w:hAnsi="KaiTi"/>
                <w:iCs/>
                <w:color w:val="000000"/>
                <w:sz w:val="20"/>
                <w:szCs w:val="20"/>
              </w:rPr>
              <w:t>）</w:t>
            </w:r>
          </w:p>
        </w:tc>
        <w:tc>
          <w:tcPr>
            <w:tcW w:w="1600" w:type="dxa"/>
            <w:vMerge w:val="restart"/>
            <w:tcBorders>
              <w:top w:val="single" w:sz="8" w:space="0" w:color="auto"/>
              <w:left w:val="nil"/>
              <w:bottom w:val="single" w:sz="12" w:space="0" w:color="000000"/>
              <w:right w:val="nil"/>
            </w:tcBorders>
            <w:shd w:val="clear" w:color="auto" w:fill="auto"/>
            <w:vAlign w:val="center"/>
            <w:hideMark/>
          </w:tcPr>
          <w:p w:rsidR="00B72FA3" w:rsidRPr="00737E2E" w:rsidRDefault="00B72FA3" w:rsidP="0072676B">
            <w:pPr>
              <w:adjustRightInd w:val="0"/>
              <w:spacing w:before="0" w:after="0"/>
              <w:ind w:firstLine="0"/>
              <w:contextualSpacing/>
              <w:jc w:val="center"/>
              <w:rPr>
                <w:rFonts w:ascii="KaiTi" w:eastAsia="KaiTi" w:hAnsi="KaiTi"/>
                <w:iCs/>
                <w:color w:val="000000"/>
                <w:sz w:val="20"/>
                <w:szCs w:val="20"/>
              </w:rPr>
            </w:pPr>
            <w:r w:rsidRPr="00737E2E">
              <w:rPr>
                <w:rFonts w:ascii="KaiTi" w:eastAsia="KaiTi" w:hAnsi="KaiTi"/>
                <w:iCs/>
                <w:color w:val="000000"/>
                <w:sz w:val="20"/>
                <w:szCs w:val="20"/>
              </w:rPr>
              <w:t>2020</w:t>
            </w:r>
            <w:r w:rsidRPr="00737E2E">
              <w:rPr>
                <w:rFonts w:ascii="KaiTi" w:eastAsia="KaiTi" w:hAnsi="KaiTi" w:hint="eastAsia"/>
                <w:iCs/>
                <w:color w:val="000000"/>
                <w:sz w:val="20"/>
                <w:szCs w:val="20"/>
                <w:lang w:eastAsia="zh-CN"/>
              </w:rPr>
              <w:t>年</w:t>
            </w:r>
            <w:r w:rsidRPr="00737E2E">
              <w:rPr>
                <w:rFonts w:ascii="KaiTi" w:eastAsia="KaiTi" w:hAnsi="KaiTi"/>
                <w:iCs/>
                <w:color w:val="000000"/>
                <w:sz w:val="20"/>
                <w:szCs w:val="20"/>
              </w:rPr>
              <w:t xml:space="preserve">                          （</w:t>
            </w:r>
            <w:r w:rsidRPr="00737E2E">
              <w:rPr>
                <w:rFonts w:ascii="KaiTi" w:eastAsia="KaiTi" w:hAnsi="KaiTi" w:hint="eastAsia"/>
                <w:iCs/>
                <w:color w:val="000000"/>
                <w:sz w:val="20"/>
                <w:szCs w:val="20"/>
                <w:lang w:eastAsia="zh-CN"/>
              </w:rPr>
              <w:t>千美元</w:t>
            </w:r>
            <w:r w:rsidRPr="00737E2E">
              <w:rPr>
                <w:rFonts w:ascii="KaiTi" w:eastAsia="KaiTi" w:hAnsi="KaiTi"/>
                <w:iCs/>
                <w:color w:val="000000"/>
                <w:sz w:val="20"/>
                <w:szCs w:val="20"/>
              </w:rPr>
              <w:t>）</w:t>
            </w:r>
          </w:p>
        </w:tc>
        <w:tc>
          <w:tcPr>
            <w:tcW w:w="1640" w:type="dxa"/>
            <w:vMerge w:val="restart"/>
            <w:tcBorders>
              <w:top w:val="single" w:sz="8" w:space="0" w:color="auto"/>
              <w:left w:val="nil"/>
              <w:bottom w:val="single" w:sz="12" w:space="0" w:color="000000"/>
              <w:right w:val="nil"/>
            </w:tcBorders>
            <w:shd w:val="clear" w:color="auto" w:fill="auto"/>
            <w:vAlign w:val="center"/>
            <w:hideMark/>
          </w:tcPr>
          <w:p w:rsidR="00B72FA3" w:rsidRPr="00737E2E" w:rsidRDefault="00B72FA3" w:rsidP="0072676B">
            <w:pPr>
              <w:adjustRightInd w:val="0"/>
              <w:spacing w:before="0" w:after="0"/>
              <w:ind w:firstLine="0"/>
              <w:contextualSpacing/>
              <w:jc w:val="center"/>
              <w:rPr>
                <w:rFonts w:ascii="KaiTi" w:eastAsia="KaiTi" w:hAnsi="KaiTi"/>
                <w:iCs/>
                <w:color w:val="000000"/>
                <w:sz w:val="20"/>
                <w:szCs w:val="20"/>
              </w:rPr>
            </w:pPr>
            <w:r w:rsidRPr="00737E2E">
              <w:rPr>
                <w:rFonts w:ascii="KaiTi" w:eastAsia="KaiTi" w:hAnsi="KaiTi" w:hint="eastAsia"/>
                <w:iCs/>
                <w:color w:val="000000"/>
                <w:sz w:val="20"/>
                <w:szCs w:val="20"/>
                <w:lang w:eastAsia="zh-CN"/>
              </w:rPr>
              <w:t xml:space="preserve"> 合计</w:t>
            </w:r>
            <w:r w:rsidRPr="00737E2E">
              <w:rPr>
                <w:rFonts w:ascii="KaiTi" w:eastAsia="KaiTi" w:hAnsi="KaiTi"/>
                <w:iCs/>
                <w:color w:val="000000"/>
                <w:sz w:val="20"/>
                <w:szCs w:val="20"/>
              </w:rPr>
              <w:t xml:space="preserve">                               （</w:t>
            </w:r>
            <w:r w:rsidRPr="00737E2E">
              <w:rPr>
                <w:rFonts w:ascii="KaiTi" w:eastAsia="KaiTi" w:hAnsi="KaiTi" w:hint="eastAsia"/>
                <w:iCs/>
                <w:color w:val="000000"/>
                <w:sz w:val="20"/>
                <w:szCs w:val="20"/>
                <w:lang w:eastAsia="zh-CN"/>
              </w:rPr>
              <w:t>千美元</w:t>
            </w:r>
            <w:r w:rsidRPr="00737E2E">
              <w:rPr>
                <w:rFonts w:ascii="KaiTi" w:eastAsia="KaiTi" w:hAnsi="KaiTi"/>
                <w:iCs/>
                <w:color w:val="000000"/>
                <w:sz w:val="20"/>
                <w:szCs w:val="20"/>
              </w:rPr>
              <w:t>）</w:t>
            </w:r>
          </w:p>
        </w:tc>
      </w:tr>
      <w:tr w:rsidR="00B72FA3" w:rsidRPr="00737E2E" w:rsidTr="00B72FA3">
        <w:trPr>
          <w:trHeight w:val="516"/>
        </w:trPr>
        <w:tc>
          <w:tcPr>
            <w:tcW w:w="4520" w:type="dxa"/>
            <w:vMerge/>
            <w:tcBorders>
              <w:top w:val="single" w:sz="8" w:space="0" w:color="auto"/>
              <w:left w:val="nil"/>
              <w:bottom w:val="single" w:sz="12" w:space="0" w:color="000000"/>
              <w:right w:val="nil"/>
            </w:tcBorders>
            <w:vAlign w:val="center"/>
            <w:hideMark/>
          </w:tcPr>
          <w:p w:rsidR="00B72FA3" w:rsidRPr="00737E2E" w:rsidRDefault="00B72FA3" w:rsidP="0072676B">
            <w:pPr>
              <w:adjustRightInd w:val="0"/>
              <w:spacing w:before="0" w:after="0"/>
              <w:ind w:firstLine="0"/>
              <w:contextualSpacing/>
              <w:rPr>
                <w:i/>
                <w:iCs/>
                <w:color w:val="000000"/>
                <w:sz w:val="20"/>
                <w:szCs w:val="20"/>
              </w:rPr>
            </w:pPr>
          </w:p>
        </w:tc>
        <w:tc>
          <w:tcPr>
            <w:tcW w:w="1360" w:type="dxa"/>
            <w:vMerge/>
            <w:tcBorders>
              <w:top w:val="single" w:sz="8" w:space="0" w:color="auto"/>
              <w:left w:val="nil"/>
              <w:bottom w:val="single" w:sz="12" w:space="0" w:color="000000"/>
              <w:right w:val="nil"/>
            </w:tcBorders>
            <w:vAlign w:val="center"/>
            <w:hideMark/>
          </w:tcPr>
          <w:p w:rsidR="00B72FA3" w:rsidRPr="00737E2E" w:rsidRDefault="00B72FA3" w:rsidP="0072676B">
            <w:pPr>
              <w:adjustRightInd w:val="0"/>
              <w:spacing w:before="0" w:after="0"/>
              <w:ind w:firstLine="0"/>
              <w:contextualSpacing/>
              <w:rPr>
                <w:i/>
                <w:iCs/>
                <w:color w:val="000000"/>
                <w:sz w:val="20"/>
                <w:szCs w:val="20"/>
              </w:rPr>
            </w:pPr>
          </w:p>
        </w:tc>
        <w:tc>
          <w:tcPr>
            <w:tcW w:w="1600" w:type="dxa"/>
            <w:vMerge/>
            <w:tcBorders>
              <w:top w:val="single" w:sz="8" w:space="0" w:color="auto"/>
              <w:left w:val="nil"/>
              <w:bottom w:val="single" w:sz="12" w:space="0" w:color="000000"/>
              <w:right w:val="nil"/>
            </w:tcBorders>
            <w:vAlign w:val="center"/>
            <w:hideMark/>
          </w:tcPr>
          <w:p w:rsidR="00B72FA3" w:rsidRPr="00737E2E" w:rsidRDefault="00B72FA3" w:rsidP="0072676B">
            <w:pPr>
              <w:adjustRightInd w:val="0"/>
              <w:spacing w:before="0" w:after="0"/>
              <w:ind w:firstLine="0"/>
              <w:contextualSpacing/>
              <w:rPr>
                <w:i/>
                <w:iCs/>
                <w:color w:val="000000"/>
                <w:sz w:val="20"/>
                <w:szCs w:val="20"/>
              </w:rPr>
            </w:pPr>
          </w:p>
        </w:tc>
        <w:tc>
          <w:tcPr>
            <w:tcW w:w="1640" w:type="dxa"/>
            <w:vMerge/>
            <w:tcBorders>
              <w:top w:val="single" w:sz="8" w:space="0" w:color="auto"/>
              <w:left w:val="nil"/>
              <w:bottom w:val="single" w:sz="12" w:space="0" w:color="000000"/>
              <w:right w:val="nil"/>
            </w:tcBorders>
            <w:vAlign w:val="center"/>
            <w:hideMark/>
          </w:tcPr>
          <w:p w:rsidR="00B72FA3" w:rsidRPr="00737E2E" w:rsidRDefault="00B72FA3" w:rsidP="0072676B">
            <w:pPr>
              <w:adjustRightInd w:val="0"/>
              <w:spacing w:before="0" w:after="0"/>
              <w:ind w:firstLine="0"/>
              <w:contextualSpacing/>
              <w:rPr>
                <w:i/>
                <w:iCs/>
                <w:color w:val="000000"/>
                <w:sz w:val="20"/>
                <w:szCs w:val="20"/>
              </w:rPr>
            </w:pPr>
          </w:p>
        </w:tc>
      </w:tr>
      <w:tr w:rsidR="00B72FA3" w:rsidRPr="00737E2E" w:rsidTr="00162864">
        <w:trPr>
          <w:trHeight w:val="516"/>
        </w:trPr>
        <w:tc>
          <w:tcPr>
            <w:tcW w:w="4520" w:type="dxa"/>
            <w:vMerge/>
            <w:tcBorders>
              <w:top w:val="single" w:sz="8" w:space="0" w:color="auto"/>
              <w:left w:val="nil"/>
              <w:bottom w:val="single" w:sz="12" w:space="0" w:color="000000"/>
              <w:right w:val="nil"/>
            </w:tcBorders>
            <w:vAlign w:val="center"/>
            <w:hideMark/>
          </w:tcPr>
          <w:p w:rsidR="00B72FA3" w:rsidRPr="00737E2E" w:rsidRDefault="00B72FA3" w:rsidP="0072676B">
            <w:pPr>
              <w:adjustRightInd w:val="0"/>
              <w:spacing w:before="0" w:after="0"/>
              <w:ind w:firstLine="0"/>
              <w:contextualSpacing/>
              <w:rPr>
                <w:i/>
                <w:iCs/>
                <w:color w:val="000000"/>
                <w:sz w:val="20"/>
                <w:szCs w:val="20"/>
              </w:rPr>
            </w:pPr>
          </w:p>
        </w:tc>
        <w:tc>
          <w:tcPr>
            <w:tcW w:w="1360" w:type="dxa"/>
            <w:vMerge/>
            <w:tcBorders>
              <w:top w:val="single" w:sz="8" w:space="0" w:color="auto"/>
              <w:left w:val="nil"/>
              <w:bottom w:val="single" w:sz="12" w:space="0" w:color="000000"/>
              <w:right w:val="nil"/>
            </w:tcBorders>
            <w:vAlign w:val="center"/>
            <w:hideMark/>
          </w:tcPr>
          <w:p w:rsidR="00B72FA3" w:rsidRPr="00737E2E" w:rsidRDefault="00B72FA3" w:rsidP="0072676B">
            <w:pPr>
              <w:adjustRightInd w:val="0"/>
              <w:spacing w:before="0" w:after="0"/>
              <w:ind w:firstLine="0"/>
              <w:contextualSpacing/>
              <w:rPr>
                <w:i/>
                <w:iCs/>
                <w:color w:val="000000"/>
                <w:sz w:val="20"/>
                <w:szCs w:val="20"/>
              </w:rPr>
            </w:pPr>
          </w:p>
        </w:tc>
        <w:tc>
          <w:tcPr>
            <w:tcW w:w="1600" w:type="dxa"/>
            <w:vMerge/>
            <w:tcBorders>
              <w:top w:val="single" w:sz="8" w:space="0" w:color="auto"/>
              <w:left w:val="nil"/>
              <w:bottom w:val="single" w:sz="12" w:space="0" w:color="000000"/>
              <w:right w:val="nil"/>
            </w:tcBorders>
            <w:vAlign w:val="center"/>
            <w:hideMark/>
          </w:tcPr>
          <w:p w:rsidR="00B72FA3" w:rsidRPr="00737E2E" w:rsidRDefault="00B72FA3" w:rsidP="0072676B">
            <w:pPr>
              <w:adjustRightInd w:val="0"/>
              <w:spacing w:before="0" w:after="0"/>
              <w:ind w:firstLine="0"/>
              <w:contextualSpacing/>
              <w:rPr>
                <w:i/>
                <w:iCs/>
                <w:color w:val="000000"/>
                <w:sz w:val="20"/>
                <w:szCs w:val="20"/>
              </w:rPr>
            </w:pPr>
          </w:p>
        </w:tc>
        <w:tc>
          <w:tcPr>
            <w:tcW w:w="1640" w:type="dxa"/>
            <w:vMerge/>
            <w:tcBorders>
              <w:top w:val="single" w:sz="8" w:space="0" w:color="auto"/>
              <w:left w:val="nil"/>
              <w:bottom w:val="single" w:sz="12" w:space="0" w:color="000000"/>
              <w:right w:val="nil"/>
            </w:tcBorders>
            <w:vAlign w:val="center"/>
            <w:hideMark/>
          </w:tcPr>
          <w:p w:rsidR="00B72FA3" w:rsidRPr="00737E2E" w:rsidRDefault="00B72FA3" w:rsidP="0072676B">
            <w:pPr>
              <w:adjustRightInd w:val="0"/>
              <w:spacing w:before="0" w:after="0"/>
              <w:ind w:firstLine="0"/>
              <w:contextualSpacing/>
              <w:rPr>
                <w:i/>
                <w:iCs/>
                <w:color w:val="000000"/>
                <w:sz w:val="20"/>
                <w:szCs w:val="20"/>
              </w:rPr>
            </w:pPr>
          </w:p>
        </w:tc>
      </w:tr>
      <w:tr w:rsidR="00B72FA3" w:rsidRPr="00737E2E" w:rsidTr="00B72FA3">
        <w:trPr>
          <w:trHeight w:val="300"/>
        </w:trPr>
        <w:tc>
          <w:tcPr>
            <w:tcW w:w="4520" w:type="dxa"/>
            <w:tcBorders>
              <w:top w:val="nil"/>
              <w:left w:val="nil"/>
              <w:bottom w:val="nil"/>
              <w:right w:val="nil"/>
            </w:tcBorders>
            <w:shd w:val="clear" w:color="auto" w:fill="auto"/>
            <w:hideMark/>
          </w:tcPr>
          <w:p w:rsidR="00B72FA3" w:rsidRPr="00737E2E" w:rsidRDefault="00B72FA3" w:rsidP="0072676B">
            <w:pPr>
              <w:adjustRightInd w:val="0"/>
              <w:spacing w:before="0" w:after="0"/>
              <w:ind w:firstLine="0"/>
              <w:contextualSpacing/>
              <w:rPr>
                <w:b/>
                <w:bCs/>
                <w:color w:val="000000"/>
                <w:sz w:val="20"/>
                <w:szCs w:val="20"/>
              </w:rPr>
            </w:pPr>
            <w:r w:rsidRPr="00737E2E">
              <w:rPr>
                <w:rFonts w:hint="eastAsia"/>
                <w:b/>
                <w:bCs/>
                <w:color w:val="000000"/>
                <w:sz w:val="20"/>
                <w:szCs w:val="20"/>
                <w:lang w:eastAsia="zh-CN"/>
              </w:rPr>
              <w:t>一</w:t>
            </w:r>
            <w:r w:rsidRPr="00737E2E">
              <w:rPr>
                <w:b/>
                <w:bCs/>
                <w:color w:val="000000"/>
                <w:sz w:val="20"/>
                <w:szCs w:val="20"/>
              </w:rPr>
              <w:t xml:space="preserve">. </w:t>
            </w:r>
            <w:r w:rsidRPr="00737E2E">
              <w:rPr>
                <w:rFonts w:hint="eastAsia"/>
                <w:b/>
                <w:bCs/>
                <w:color w:val="000000"/>
                <w:sz w:val="20"/>
                <w:szCs w:val="20"/>
                <w:lang w:eastAsia="zh-CN"/>
              </w:rPr>
              <w:t>方案</w:t>
            </w:r>
            <w:r w:rsidRPr="00737E2E">
              <w:rPr>
                <w:b/>
                <w:bCs/>
                <w:color w:val="000000"/>
                <w:sz w:val="20"/>
                <w:szCs w:val="20"/>
                <w:lang w:eastAsia="zh-CN"/>
              </w:rPr>
              <w:t>：</w:t>
            </w:r>
          </w:p>
        </w:tc>
        <w:tc>
          <w:tcPr>
            <w:tcW w:w="1360" w:type="dxa"/>
            <w:tcBorders>
              <w:top w:val="nil"/>
              <w:left w:val="nil"/>
              <w:bottom w:val="nil"/>
              <w:right w:val="nil"/>
            </w:tcBorders>
            <w:shd w:val="clear" w:color="auto" w:fill="auto"/>
            <w:vAlign w:val="center"/>
            <w:hideMark/>
          </w:tcPr>
          <w:p w:rsidR="00B72FA3" w:rsidRPr="00737E2E" w:rsidRDefault="00B72FA3" w:rsidP="0072676B">
            <w:pPr>
              <w:adjustRightInd w:val="0"/>
              <w:spacing w:before="0" w:after="0"/>
              <w:ind w:firstLine="0"/>
              <w:contextualSpacing/>
              <w:rPr>
                <w:rFonts w:ascii="Calibri" w:hAnsi="Calibri" w:cs="Calibri"/>
                <w:color w:val="000000"/>
                <w:sz w:val="20"/>
                <w:szCs w:val="20"/>
              </w:rPr>
            </w:pPr>
          </w:p>
        </w:tc>
        <w:tc>
          <w:tcPr>
            <w:tcW w:w="1600" w:type="dxa"/>
            <w:tcBorders>
              <w:top w:val="nil"/>
              <w:left w:val="nil"/>
              <w:bottom w:val="nil"/>
              <w:right w:val="nil"/>
            </w:tcBorders>
            <w:shd w:val="clear" w:color="auto" w:fill="auto"/>
            <w:vAlign w:val="center"/>
            <w:hideMark/>
          </w:tcPr>
          <w:p w:rsidR="00B72FA3" w:rsidRPr="00737E2E" w:rsidRDefault="00B72FA3" w:rsidP="0072676B">
            <w:pPr>
              <w:adjustRightInd w:val="0"/>
              <w:spacing w:before="0" w:after="0"/>
              <w:ind w:firstLine="0"/>
              <w:contextualSpacing/>
              <w:jc w:val="right"/>
              <w:rPr>
                <w:color w:val="000000"/>
                <w:sz w:val="20"/>
                <w:szCs w:val="20"/>
              </w:rPr>
            </w:pPr>
          </w:p>
        </w:tc>
        <w:tc>
          <w:tcPr>
            <w:tcW w:w="1640" w:type="dxa"/>
            <w:tcBorders>
              <w:top w:val="nil"/>
              <w:left w:val="nil"/>
              <w:bottom w:val="nil"/>
              <w:right w:val="nil"/>
            </w:tcBorders>
            <w:shd w:val="clear" w:color="auto" w:fill="auto"/>
            <w:vAlign w:val="center"/>
            <w:hideMark/>
          </w:tcPr>
          <w:p w:rsidR="00B72FA3" w:rsidRPr="00737E2E" w:rsidRDefault="00B72FA3" w:rsidP="0072676B">
            <w:pPr>
              <w:adjustRightInd w:val="0"/>
              <w:spacing w:before="0" w:after="0"/>
              <w:ind w:firstLine="0"/>
              <w:contextualSpacing/>
              <w:jc w:val="right"/>
              <w:rPr>
                <w:color w:val="000000"/>
                <w:sz w:val="20"/>
                <w:szCs w:val="20"/>
              </w:rPr>
            </w:pPr>
          </w:p>
        </w:tc>
      </w:tr>
      <w:tr w:rsidR="00B72FA3" w:rsidRPr="00737E2E" w:rsidTr="00B72FA3">
        <w:trPr>
          <w:trHeight w:val="288"/>
        </w:trPr>
        <w:tc>
          <w:tcPr>
            <w:tcW w:w="4520" w:type="dxa"/>
            <w:tcBorders>
              <w:top w:val="nil"/>
              <w:left w:val="nil"/>
              <w:bottom w:val="nil"/>
              <w:right w:val="nil"/>
            </w:tcBorders>
            <w:shd w:val="clear" w:color="auto" w:fill="auto"/>
            <w:hideMark/>
          </w:tcPr>
          <w:p w:rsidR="00B72FA3" w:rsidRPr="00737E2E" w:rsidRDefault="00B72FA3" w:rsidP="0072676B">
            <w:pPr>
              <w:adjustRightInd w:val="0"/>
              <w:spacing w:before="0" w:after="0"/>
              <w:ind w:firstLine="0"/>
              <w:contextualSpacing/>
              <w:rPr>
                <w:color w:val="000000"/>
                <w:sz w:val="20"/>
                <w:szCs w:val="20"/>
              </w:rPr>
            </w:pPr>
            <w:r w:rsidRPr="00737E2E">
              <w:rPr>
                <w:color w:val="000000"/>
                <w:sz w:val="20"/>
                <w:szCs w:val="20"/>
              </w:rPr>
              <w:t xml:space="preserve">  </w:t>
            </w:r>
            <w:r w:rsidRPr="00737E2E">
              <w:rPr>
                <w:rFonts w:hint="eastAsia"/>
                <w:color w:val="000000"/>
                <w:sz w:val="20"/>
                <w:szCs w:val="20"/>
                <w:lang w:eastAsia="zh-CN"/>
              </w:rPr>
              <w:t>执行秘书</w:t>
            </w:r>
            <w:r w:rsidRPr="00737E2E">
              <w:rPr>
                <w:color w:val="000000"/>
                <w:sz w:val="20"/>
                <w:szCs w:val="20"/>
                <w:lang w:eastAsia="zh-CN"/>
              </w:rPr>
              <w:t>办公室</w:t>
            </w:r>
          </w:p>
        </w:tc>
        <w:tc>
          <w:tcPr>
            <w:tcW w:w="136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3 534.0</w:t>
            </w:r>
          </w:p>
        </w:tc>
        <w:tc>
          <w:tcPr>
            <w:tcW w:w="160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3 444.8</w:t>
            </w:r>
          </w:p>
        </w:tc>
        <w:tc>
          <w:tcPr>
            <w:tcW w:w="164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6 978.8</w:t>
            </w:r>
          </w:p>
        </w:tc>
      </w:tr>
      <w:tr w:rsidR="00B72FA3" w:rsidRPr="00737E2E" w:rsidTr="00B72FA3">
        <w:trPr>
          <w:trHeight w:val="288"/>
        </w:trPr>
        <w:tc>
          <w:tcPr>
            <w:tcW w:w="4520" w:type="dxa"/>
            <w:tcBorders>
              <w:top w:val="nil"/>
              <w:left w:val="nil"/>
              <w:bottom w:val="nil"/>
              <w:right w:val="nil"/>
            </w:tcBorders>
            <w:shd w:val="clear" w:color="auto" w:fill="auto"/>
            <w:hideMark/>
          </w:tcPr>
          <w:p w:rsidR="00B72FA3" w:rsidRPr="00737E2E" w:rsidRDefault="00B72FA3" w:rsidP="0072676B">
            <w:pPr>
              <w:adjustRightInd w:val="0"/>
              <w:spacing w:before="0" w:after="0"/>
              <w:ind w:firstLine="0"/>
              <w:contextualSpacing/>
              <w:rPr>
                <w:color w:val="000000"/>
                <w:sz w:val="20"/>
                <w:szCs w:val="20"/>
                <w:lang w:eastAsia="zh-CN"/>
              </w:rPr>
            </w:pPr>
            <w:r w:rsidRPr="00737E2E">
              <w:rPr>
                <w:color w:val="000000"/>
                <w:sz w:val="20"/>
                <w:szCs w:val="20"/>
                <w:lang w:eastAsia="zh-CN"/>
              </w:rPr>
              <w:t xml:space="preserve">  </w:t>
            </w:r>
            <w:r w:rsidRPr="00737E2E">
              <w:rPr>
                <w:rFonts w:hint="eastAsia"/>
                <w:color w:val="000000"/>
                <w:sz w:val="20"/>
                <w:szCs w:val="20"/>
                <w:lang w:eastAsia="zh-CN"/>
              </w:rPr>
              <w:t>名古屋</w:t>
            </w:r>
            <w:r w:rsidRPr="00737E2E">
              <w:rPr>
                <w:color w:val="000000"/>
                <w:sz w:val="20"/>
                <w:szCs w:val="20"/>
                <w:lang w:eastAsia="zh-CN"/>
              </w:rPr>
              <w:t>议定书和卡塔赫纳议定书</w:t>
            </w:r>
          </w:p>
        </w:tc>
        <w:tc>
          <w:tcPr>
            <w:tcW w:w="136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2 322.6</w:t>
            </w:r>
          </w:p>
        </w:tc>
        <w:tc>
          <w:tcPr>
            <w:tcW w:w="160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2 375.9</w:t>
            </w:r>
          </w:p>
        </w:tc>
        <w:tc>
          <w:tcPr>
            <w:tcW w:w="164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4 698.5</w:t>
            </w:r>
          </w:p>
        </w:tc>
      </w:tr>
      <w:tr w:rsidR="00B72FA3" w:rsidRPr="00737E2E" w:rsidTr="00B72FA3">
        <w:trPr>
          <w:trHeight w:val="288"/>
        </w:trPr>
        <w:tc>
          <w:tcPr>
            <w:tcW w:w="4520" w:type="dxa"/>
            <w:tcBorders>
              <w:top w:val="nil"/>
              <w:left w:val="nil"/>
              <w:bottom w:val="nil"/>
              <w:right w:val="nil"/>
            </w:tcBorders>
            <w:shd w:val="clear" w:color="auto" w:fill="auto"/>
            <w:hideMark/>
          </w:tcPr>
          <w:p w:rsidR="00B72FA3" w:rsidRPr="00737E2E" w:rsidRDefault="00B72FA3" w:rsidP="0072676B">
            <w:pPr>
              <w:adjustRightInd w:val="0"/>
              <w:spacing w:before="0" w:after="0"/>
              <w:ind w:firstLine="0"/>
              <w:contextualSpacing/>
              <w:rPr>
                <w:color w:val="000000"/>
                <w:sz w:val="20"/>
                <w:szCs w:val="20"/>
                <w:lang w:eastAsia="zh-CN"/>
              </w:rPr>
            </w:pPr>
            <w:r w:rsidRPr="00737E2E">
              <w:rPr>
                <w:color w:val="000000"/>
                <w:sz w:val="20"/>
                <w:szCs w:val="20"/>
                <w:lang w:eastAsia="zh-CN"/>
              </w:rPr>
              <w:t xml:space="preserve">  </w:t>
            </w:r>
            <w:r w:rsidRPr="00737E2E">
              <w:rPr>
                <w:rFonts w:hint="eastAsia"/>
                <w:color w:val="000000"/>
                <w:sz w:val="20"/>
                <w:szCs w:val="20"/>
                <w:lang w:eastAsia="zh-CN"/>
              </w:rPr>
              <w:t>科学</w:t>
            </w:r>
            <w:r w:rsidRPr="00737E2E">
              <w:rPr>
                <w:color w:val="000000"/>
                <w:sz w:val="20"/>
                <w:szCs w:val="20"/>
                <w:lang w:eastAsia="zh-CN"/>
              </w:rPr>
              <w:t>、社会和可持续未来司</w:t>
            </w:r>
          </w:p>
        </w:tc>
        <w:tc>
          <w:tcPr>
            <w:tcW w:w="136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3 912.3</w:t>
            </w:r>
          </w:p>
        </w:tc>
        <w:tc>
          <w:tcPr>
            <w:tcW w:w="160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3 909.0</w:t>
            </w:r>
          </w:p>
        </w:tc>
        <w:tc>
          <w:tcPr>
            <w:tcW w:w="164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7 821.3</w:t>
            </w:r>
          </w:p>
        </w:tc>
      </w:tr>
      <w:tr w:rsidR="00B72FA3" w:rsidRPr="00737E2E" w:rsidTr="00B72FA3">
        <w:trPr>
          <w:trHeight w:val="300"/>
        </w:trPr>
        <w:tc>
          <w:tcPr>
            <w:tcW w:w="4520" w:type="dxa"/>
            <w:tcBorders>
              <w:top w:val="nil"/>
              <w:left w:val="nil"/>
              <w:bottom w:val="single" w:sz="8" w:space="0" w:color="auto"/>
              <w:right w:val="nil"/>
            </w:tcBorders>
            <w:shd w:val="clear" w:color="auto" w:fill="auto"/>
            <w:hideMark/>
          </w:tcPr>
          <w:p w:rsidR="00B72FA3" w:rsidRPr="00737E2E" w:rsidRDefault="00B72FA3" w:rsidP="0072676B">
            <w:pPr>
              <w:adjustRightInd w:val="0"/>
              <w:spacing w:before="0" w:after="0"/>
              <w:ind w:firstLine="0"/>
              <w:contextualSpacing/>
              <w:rPr>
                <w:color w:val="000000"/>
                <w:sz w:val="20"/>
                <w:szCs w:val="20"/>
              </w:rPr>
            </w:pPr>
            <w:r w:rsidRPr="00737E2E">
              <w:rPr>
                <w:color w:val="000000"/>
                <w:sz w:val="20"/>
                <w:szCs w:val="20"/>
              </w:rPr>
              <w:t xml:space="preserve">  </w:t>
            </w:r>
            <w:r w:rsidRPr="00737E2E">
              <w:rPr>
                <w:rFonts w:hint="eastAsia"/>
                <w:color w:val="000000"/>
                <w:sz w:val="20"/>
                <w:szCs w:val="20"/>
                <w:lang w:eastAsia="zh-CN"/>
              </w:rPr>
              <w:t>实施支助司</w:t>
            </w:r>
          </w:p>
        </w:tc>
        <w:tc>
          <w:tcPr>
            <w:tcW w:w="1360" w:type="dxa"/>
            <w:tcBorders>
              <w:top w:val="nil"/>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3 105.0</w:t>
            </w:r>
          </w:p>
        </w:tc>
        <w:tc>
          <w:tcPr>
            <w:tcW w:w="1600" w:type="dxa"/>
            <w:tcBorders>
              <w:top w:val="nil"/>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3 708.2</w:t>
            </w:r>
          </w:p>
        </w:tc>
        <w:tc>
          <w:tcPr>
            <w:tcW w:w="1640" w:type="dxa"/>
            <w:tcBorders>
              <w:top w:val="nil"/>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6 813.2</w:t>
            </w:r>
          </w:p>
        </w:tc>
      </w:tr>
      <w:tr w:rsidR="00B72FA3" w:rsidRPr="00737E2E" w:rsidTr="00B72FA3">
        <w:trPr>
          <w:trHeight w:val="300"/>
        </w:trPr>
        <w:tc>
          <w:tcPr>
            <w:tcW w:w="4520" w:type="dxa"/>
            <w:tcBorders>
              <w:top w:val="nil"/>
              <w:left w:val="nil"/>
              <w:bottom w:val="single" w:sz="8" w:space="0" w:color="auto"/>
              <w:right w:val="nil"/>
            </w:tcBorders>
            <w:shd w:val="clear" w:color="auto" w:fill="auto"/>
            <w:hideMark/>
          </w:tcPr>
          <w:p w:rsidR="00B72FA3" w:rsidRPr="00737E2E" w:rsidRDefault="00B72FA3" w:rsidP="0072676B">
            <w:pPr>
              <w:adjustRightInd w:val="0"/>
              <w:spacing w:before="0" w:after="0"/>
              <w:ind w:firstLine="0"/>
              <w:contextualSpacing/>
              <w:rPr>
                <w:b/>
                <w:bCs/>
                <w:color w:val="000000"/>
                <w:sz w:val="20"/>
                <w:szCs w:val="20"/>
                <w:lang w:eastAsia="zh-CN"/>
              </w:rPr>
            </w:pPr>
            <w:r w:rsidRPr="00737E2E">
              <w:rPr>
                <w:rFonts w:hint="eastAsia"/>
                <w:b/>
                <w:bCs/>
                <w:color w:val="000000"/>
                <w:sz w:val="20"/>
                <w:szCs w:val="20"/>
                <w:lang w:eastAsia="zh-CN"/>
              </w:rPr>
              <w:t>二</w:t>
            </w:r>
            <w:r w:rsidRPr="00737E2E">
              <w:rPr>
                <w:b/>
                <w:bCs/>
                <w:color w:val="000000"/>
                <w:sz w:val="20"/>
                <w:szCs w:val="20"/>
                <w:lang w:eastAsia="zh-CN"/>
              </w:rPr>
              <w:t xml:space="preserve">. </w:t>
            </w:r>
            <w:r w:rsidRPr="00737E2E">
              <w:rPr>
                <w:rFonts w:hint="eastAsia"/>
                <w:b/>
                <w:bCs/>
                <w:color w:val="000000"/>
                <w:sz w:val="20"/>
                <w:szCs w:val="20"/>
                <w:lang w:eastAsia="zh-CN"/>
              </w:rPr>
              <w:t>行政</w:t>
            </w:r>
            <w:r w:rsidRPr="00737E2E">
              <w:rPr>
                <w:b/>
                <w:bCs/>
                <w:color w:val="000000"/>
                <w:sz w:val="20"/>
                <w:szCs w:val="20"/>
                <w:lang w:eastAsia="zh-CN"/>
              </w:rPr>
              <w:t>、</w:t>
            </w:r>
            <w:r w:rsidRPr="00737E2E">
              <w:rPr>
                <w:rFonts w:hint="eastAsia"/>
                <w:b/>
                <w:bCs/>
                <w:color w:val="000000"/>
                <w:sz w:val="20"/>
                <w:szCs w:val="20"/>
                <w:lang w:eastAsia="zh-CN"/>
              </w:rPr>
              <w:t>财务</w:t>
            </w:r>
            <w:r w:rsidRPr="00737E2E">
              <w:rPr>
                <w:b/>
                <w:bCs/>
                <w:color w:val="000000"/>
                <w:sz w:val="20"/>
                <w:szCs w:val="20"/>
                <w:lang w:eastAsia="zh-CN"/>
              </w:rPr>
              <w:t>和会议服务</w:t>
            </w:r>
          </w:p>
        </w:tc>
        <w:tc>
          <w:tcPr>
            <w:tcW w:w="1360" w:type="dxa"/>
            <w:tcBorders>
              <w:top w:val="nil"/>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3 845.0</w:t>
            </w:r>
          </w:p>
        </w:tc>
        <w:tc>
          <w:tcPr>
            <w:tcW w:w="1600" w:type="dxa"/>
            <w:tcBorders>
              <w:top w:val="nil"/>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4 052.6</w:t>
            </w:r>
          </w:p>
        </w:tc>
        <w:tc>
          <w:tcPr>
            <w:tcW w:w="1640" w:type="dxa"/>
            <w:tcBorders>
              <w:top w:val="nil"/>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7 897.6</w:t>
            </w:r>
          </w:p>
        </w:tc>
      </w:tr>
      <w:tr w:rsidR="00B72FA3" w:rsidRPr="00737E2E" w:rsidTr="00B72FA3">
        <w:trPr>
          <w:trHeight w:val="300"/>
        </w:trPr>
        <w:tc>
          <w:tcPr>
            <w:tcW w:w="4520" w:type="dxa"/>
            <w:tcBorders>
              <w:top w:val="nil"/>
              <w:left w:val="nil"/>
              <w:bottom w:val="single" w:sz="12" w:space="0" w:color="auto"/>
              <w:right w:val="nil"/>
            </w:tcBorders>
            <w:shd w:val="clear" w:color="auto" w:fill="auto"/>
            <w:hideMark/>
          </w:tcPr>
          <w:p w:rsidR="00B72FA3" w:rsidRPr="00737E2E" w:rsidRDefault="00B72FA3" w:rsidP="0072676B">
            <w:pPr>
              <w:adjustRightInd w:val="0"/>
              <w:spacing w:before="0" w:after="0"/>
              <w:ind w:firstLine="0"/>
              <w:contextualSpacing/>
              <w:rPr>
                <w:b/>
                <w:bCs/>
                <w:color w:val="000000"/>
                <w:sz w:val="20"/>
                <w:szCs w:val="20"/>
              </w:rPr>
            </w:pPr>
            <w:r w:rsidRPr="00737E2E">
              <w:rPr>
                <w:rFonts w:hint="eastAsia"/>
                <w:b/>
                <w:bCs/>
                <w:color w:val="000000"/>
                <w:sz w:val="20"/>
                <w:szCs w:val="20"/>
                <w:lang w:eastAsia="zh-CN"/>
              </w:rPr>
              <w:t>小计</w:t>
            </w:r>
          </w:p>
        </w:tc>
        <w:tc>
          <w:tcPr>
            <w:tcW w:w="1360" w:type="dxa"/>
            <w:tcBorders>
              <w:top w:val="nil"/>
              <w:left w:val="nil"/>
              <w:bottom w:val="single" w:sz="12" w:space="0" w:color="auto"/>
              <w:right w:val="nil"/>
            </w:tcBorders>
            <w:shd w:val="clear" w:color="auto" w:fill="auto"/>
            <w:hideMark/>
          </w:tcPr>
          <w:p w:rsidR="00B72FA3" w:rsidRPr="00737E2E" w:rsidRDefault="00B72FA3" w:rsidP="0072676B">
            <w:pPr>
              <w:spacing w:before="0" w:after="0"/>
              <w:ind w:firstLine="0"/>
              <w:jc w:val="right"/>
              <w:rPr>
                <w:b/>
                <w:bCs/>
                <w:color w:val="000000" w:themeColor="text1"/>
                <w:kern w:val="20"/>
                <w:sz w:val="20"/>
                <w:szCs w:val="17"/>
                <w:lang w:val="en-GB"/>
              </w:rPr>
            </w:pPr>
            <w:r w:rsidRPr="00737E2E">
              <w:rPr>
                <w:b/>
                <w:bCs/>
                <w:color w:val="000000" w:themeColor="text1"/>
                <w:kern w:val="20"/>
                <w:sz w:val="20"/>
                <w:szCs w:val="17"/>
                <w:lang w:val="en-GB"/>
              </w:rPr>
              <w:t>16 718.9</w:t>
            </w:r>
          </w:p>
        </w:tc>
        <w:tc>
          <w:tcPr>
            <w:tcW w:w="1600" w:type="dxa"/>
            <w:tcBorders>
              <w:top w:val="nil"/>
              <w:left w:val="nil"/>
              <w:bottom w:val="single" w:sz="12" w:space="0" w:color="auto"/>
              <w:right w:val="nil"/>
            </w:tcBorders>
            <w:shd w:val="clear" w:color="auto" w:fill="auto"/>
            <w:hideMark/>
          </w:tcPr>
          <w:p w:rsidR="00B72FA3" w:rsidRPr="00737E2E" w:rsidRDefault="00B72FA3" w:rsidP="0072676B">
            <w:pPr>
              <w:spacing w:before="0" w:after="0"/>
              <w:ind w:firstLine="0"/>
              <w:jc w:val="right"/>
              <w:rPr>
                <w:b/>
                <w:bCs/>
                <w:color w:val="000000" w:themeColor="text1"/>
                <w:kern w:val="20"/>
                <w:sz w:val="20"/>
                <w:szCs w:val="17"/>
                <w:lang w:val="en-GB"/>
              </w:rPr>
            </w:pPr>
            <w:r w:rsidRPr="00737E2E">
              <w:rPr>
                <w:b/>
                <w:bCs/>
                <w:color w:val="000000" w:themeColor="text1"/>
                <w:kern w:val="20"/>
                <w:sz w:val="20"/>
                <w:szCs w:val="17"/>
                <w:lang w:val="en-GB"/>
              </w:rPr>
              <w:t>17 490.5</w:t>
            </w:r>
          </w:p>
        </w:tc>
        <w:tc>
          <w:tcPr>
            <w:tcW w:w="1640" w:type="dxa"/>
            <w:tcBorders>
              <w:top w:val="nil"/>
              <w:left w:val="nil"/>
              <w:bottom w:val="single" w:sz="12" w:space="0" w:color="auto"/>
              <w:right w:val="nil"/>
            </w:tcBorders>
            <w:shd w:val="clear" w:color="auto" w:fill="auto"/>
            <w:hideMark/>
          </w:tcPr>
          <w:p w:rsidR="00B72FA3" w:rsidRPr="00737E2E" w:rsidRDefault="00B72FA3" w:rsidP="0072676B">
            <w:pPr>
              <w:spacing w:before="0" w:after="0"/>
              <w:ind w:firstLine="0"/>
              <w:jc w:val="right"/>
              <w:rPr>
                <w:b/>
                <w:bCs/>
                <w:color w:val="000000" w:themeColor="text1"/>
                <w:kern w:val="20"/>
                <w:sz w:val="20"/>
                <w:szCs w:val="17"/>
                <w:lang w:val="en-GB"/>
              </w:rPr>
            </w:pPr>
            <w:r w:rsidRPr="00737E2E">
              <w:rPr>
                <w:b/>
                <w:bCs/>
                <w:color w:val="000000" w:themeColor="text1"/>
                <w:kern w:val="20"/>
                <w:sz w:val="20"/>
                <w:szCs w:val="17"/>
                <w:lang w:val="en-GB"/>
              </w:rPr>
              <w:t>34 209.4</w:t>
            </w:r>
          </w:p>
        </w:tc>
      </w:tr>
      <w:tr w:rsidR="00B72FA3" w:rsidRPr="00737E2E" w:rsidTr="00B72FA3">
        <w:trPr>
          <w:trHeight w:val="300"/>
        </w:trPr>
        <w:tc>
          <w:tcPr>
            <w:tcW w:w="4520" w:type="dxa"/>
            <w:tcBorders>
              <w:top w:val="nil"/>
              <w:left w:val="nil"/>
              <w:bottom w:val="nil"/>
              <w:right w:val="nil"/>
            </w:tcBorders>
            <w:shd w:val="clear" w:color="auto" w:fill="auto"/>
            <w:hideMark/>
          </w:tcPr>
          <w:p w:rsidR="00B72FA3" w:rsidRPr="00737E2E" w:rsidRDefault="00B72FA3" w:rsidP="0072676B">
            <w:pPr>
              <w:adjustRightInd w:val="0"/>
              <w:spacing w:before="0" w:after="0"/>
              <w:ind w:firstLine="0"/>
              <w:contextualSpacing/>
              <w:rPr>
                <w:color w:val="000000"/>
                <w:sz w:val="20"/>
                <w:szCs w:val="20"/>
              </w:rPr>
            </w:pPr>
            <w:r w:rsidRPr="00737E2E">
              <w:rPr>
                <w:rFonts w:hint="eastAsia"/>
                <w:color w:val="000000"/>
                <w:sz w:val="20"/>
                <w:szCs w:val="20"/>
                <w:lang w:eastAsia="zh-CN"/>
              </w:rPr>
              <w:t>方案支助费用</w:t>
            </w:r>
          </w:p>
        </w:tc>
        <w:tc>
          <w:tcPr>
            <w:tcW w:w="1360" w:type="dxa"/>
            <w:tcBorders>
              <w:top w:val="nil"/>
              <w:left w:val="nil"/>
              <w:bottom w:val="nil"/>
              <w:right w:val="nil"/>
            </w:tcBorders>
            <w:shd w:val="clear" w:color="auto" w:fill="auto"/>
            <w:noWrap/>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2 173.4</w:t>
            </w:r>
          </w:p>
        </w:tc>
        <w:tc>
          <w:tcPr>
            <w:tcW w:w="1600" w:type="dxa"/>
            <w:tcBorders>
              <w:top w:val="nil"/>
              <w:left w:val="nil"/>
              <w:bottom w:val="nil"/>
              <w:right w:val="nil"/>
            </w:tcBorders>
            <w:shd w:val="clear" w:color="auto" w:fill="auto"/>
            <w:noWrap/>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2 273.9</w:t>
            </w:r>
          </w:p>
        </w:tc>
        <w:tc>
          <w:tcPr>
            <w:tcW w:w="164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4 447.2</w:t>
            </w:r>
          </w:p>
        </w:tc>
      </w:tr>
      <w:tr w:rsidR="00B72FA3" w:rsidRPr="00737E2E" w:rsidTr="00B72FA3">
        <w:trPr>
          <w:trHeight w:val="300"/>
        </w:trPr>
        <w:tc>
          <w:tcPr>
            <w:tcW w:w="4520" w:type="dxa"/>
            <w:tcBorders>
              <w:top w:val="nil"/>
              <w:left w:val="nil"/>
              <w:bottom w:val="single" w:sz="8" w:space="0" w:color="auto"/>
              <w:right w:val="nil"/>
            </w:tcBorders>
            <w:shd w:val="clear" w:color="auto" w:fill="auto"/>
            <w:hideMark/>
          </w:tcPr>
          <w:p w:rsidR="00B72FA3" w:rsidRPr="00737E2E" w:rsidRDefault="00B72FA3" w:rsidP="0072676B">
            <w:pPr>
              <w:adjustRightInd w:val="0"/>
              <w:spacing w:before="0" w:after="0"/>
              <w:ind w:firstLine="0"/>
              <w:contextualSpacing/>
              <w:rPr>
                <w:b/>
                <w:bCs/>
                <w:color w:val="000000"/>
                <w:sz w:val="20"/>
                <w:szCs w:val="20"/>
              </w:rPr>
            </w:pPr>
            <w:r w:rsidRPr="00737E2E">
              <w:rPr>
                <w:rFonts w:hint="eastAsia"/>
                <w:b/>
                <w:bCs/>
                <w:color w:val="000000"/>
                <w:sz w:val="20"/>
                <w:szCs w:val="20"/>
                <w:lang w:eastAsia="zh-CN"/>
              </w:rPr>
              <w:t>三</w:t>
            </w:r>
            <w:r w:rsidRPr="00737E2E">
              <w:rPr>
                <w:b/>
                <w:bCs/>
                <w:color w:val="000000"/>
                <w:sz w:val="20"/>
                <w:szCs w:val="20"/>
              </w:rPr>
              <w:t xml:space="preserve">. </w:t>
            </w:r>
            <w:r w:rsidRPr="00737E2E">
              <w:rPr>
                <w:rFonts w:hint="eastAsia"/>
                <w:b/>
                <w:bCs/>
                <w:color w:val="000000"/>
                <w:sz w:val="20"/>
                <w:szCs w:val="20"/>
                <w:lang w:eastAsia="zh-CN"/>
              </w:rPr>
              <w:t>周转准备金</w:t>
            </w:r>
          </w:p>
        </w:tc>
        <w:tc>
          <w:tcPr>
            <w:tcW w:w="1360" w:type="dxa"/>
            <w:tcBorders>
              <w:top w:val="nil"/>
              <w:left w:val="nil"/>
              <w:bottom w:val="single" w:sz="8" w:space="0" w:color="auto"/>
              <w:right w:val="nil"/>
            </w:tcBorders>
            <w:shd w:val="clear" w:color="auto" w:fill="auto"/>
            <w:noWrap/>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56.6</w:t>
            </w:r>
          </w:p>
        </w:tc>
        <w:tc>
          <w:tcPr>
            <w:tcW w:w="1600" w:type="dxa"/>
            <w:tcBorders>
              <w:top w:val="nil"/>
              <w:left w:val="nil"/>
              <w:bottom w:val="single" w:sz="8" w:space="0" w:color="auto"/>
              <w:right w:val="nil"/>
            </w:tcBorders>
            <w:shd w:val="clear" w:color="auto" w:fill="auto"/>
            <w:noWrap/>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130.8</w:t>
            </w:r>
          </w:p>
        </w:tc>
        <w:tc>
          <w:tcPr>
            <w:tcW w:w="1640" w:type="dxa"/>
            <w:tcBorders>
              <w:top w:val="nil"/>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187.5</w:t>
            </w:r>
          </w:p>
        </w:tc>
      </w:tr>
      <w:tr w:rsidR="00B72FA3" w:rsidRPr="00737E2E" w:rsidTr="00B72FA3">
        <w:trPr>
          <w:trHeight w:val="300"/>
        </w:trPr>
        <w:tc>
          <w:tcPr>
            <w:tcW w:w="4520" w:type="dxa"/>
            <w:tcBorders>
              <w:top w:val="nil"/>
              <w:left w:val="nil"/>
              <w:bottom w:val="single" w:sz="8" w:space="0" w:color="auto"/>
              <w:right w:val="nil"/>
            </w:tcBorders>
            <w:shd w:val="clear" w:color="auto" w:fill="auto"/>
            <w:hideMark/>
          </w:tcPr>
          <w:p w:rsidR="00B72FA3" w:rsidRPr="00737E2E" w:rsidRDefault="00B72FA3" w:rsidP="0072676B">
            <w:pPr>
              <w:adjustRightInd w:val="0"/>
              <w:spacing w:before="0" w:after="0"/>
              <w:ind w:firstLine="0"/>
              <w:contextualSpacing/>
              <w:rPr>
                <w:b/>
                <w:bCs/>
                <w:color w:val="000000"/>
                <w:sz w:val="20"/>
                <w:szCs w:val="20"/>
              </w:rPr>
            </w:pPr>
            <w:r w:rsidRPr="00737E2E">
              <w:rPr>
                <w:rFonts w:hint="eastAsia"/>
                <w:b/>
                <w:bCs/>
                <w:color w:val="000000"/>
                <w:sz w:val="20"/>
                <w:szCs w:val="20"/>
                <w:lang w:eastAsia="zh-CN"/>
              </w:rPr>
              <w:t>共计</w:t>
            </w:r>
            <w:r w:rsidRPr="00737E2E">
              <w:rPr>
                <w:b/>
                <w:bCs/>
                <w:color w:val="000000"/>
                <w:sz w:val="20"/>
                <w:szCs w:val="20"/>
              </w:rPr>
              <w:t> </w:t>
            </w:r>
          </w:p>
        </w:tc>
        <w:tc>
          <w:tcPr>
            <w:tcW w:w="1360" w:type="dxa"/>
            <w:tcBorders>
              <w:top w:val="nil"/>
              <w:left w:val="nil"/>
              <w:bottom w:val="single" w:sz="8" w:space="0" w:color="auto"/>
              <w:right w:val="nil"/>
            </w:tcBorders>
            <w:shd w:val="clear" w:color="auto" w:fill="auto"/>
            <w:noWrap/>
            <w:hideMark/>
          </w:tcPr>
          <w:p w:rsidR="00B72FA3" w:rsidRPr="00737E2E" w:rsidRDefault="00B72FA3" w:rsidP="0072676B">
            <w:pPr>
              <w:spacing w:before="0" w:after="0"/>
              <w:ind w:firstLine="0"/>
              <w:jc w:val="right"/>
              <w:rPr>
                <w:b/>
                <w:bCs/>
                <w:color w:val="000000" w:themeColor="text1"/>
                <w:kern w:val="20"/>
                <w:sz w:val="20"/>
                <w:szCs w:val="17"/>
                <w:lang w:val="en-GB"/>
              </w:rPr>
            </w:pPr>
            <w:r w:rsidRPr="00737E2E">
              <w:rPr>
                <w:b/>
                <w:bCs/>
                <w:color w:val="000000" w:themeColor="text1"/>
                <w:kern w:val="20"/>
                <w:sz w:val="20"/>
                <w:szCs w:val="17"/>
                <w:lang w:val="en-GB"/>
              </w:rPr>
              <w:t>18 948.9</w:t>
            </w:r>
          </w:p>
        </w:tc>
        <w:tc>
          <w:tcPr>
            <w:tcW w:w="1600" w:type="dxa"/>
            <w:tcBorders>
              <w:top w:val="nil"/>
              <w:left w:val="nil"/>
              <w:bottom w:val="single" w:sz="8" w:space="0" w:color="auto"/>
              <w:right w:val="nil"/>
            </w:tcBorders>
            <w:shd w:val="clear" w:color="auto" w:fill="auto"/>
            <w:noWrap/>
            <w:hideMark/>
          </w:tcPr>
          <w:p w:rsidR="00B72FA3" w:rsidRPr="00737E2E" w:rsidRDefault="00B72FA3" w:rsidP="0072676B">
            <w:pPr>
              <w:spacing w:before="0" w:after="0"/>
              <w:ind w:firstLine="0"/>
              <w:jc w:val="right"/>
              <w:rPr>
                <w:b/>
                <w:bCs/>
                <w:color w:val="000000" w:themeColor="text1"/>
                <w:kern w:val="20"/>
                <w:sz w:val="20"/>
                <w:szCs w:val="17"/>
                <w:lang w:val="en-GB"/>
              </w:rPr>
            </w:pPr>
            <w:r w:rsidRPr="00737E2E">
              <w:rPr>
                <w:b/>
                <w:bCs/>
                <w:color w:val="000000" w:themeColor="text1"/>
                <w:kern w:val="20"/>
                <w:sz w:val="20"/>
                <w:szCs w:val="17"/>
                <w:lang w:val="en-GB"/>
              </w:rPr>
              <w:t>19 895.2</w:t>
            </w:r>
          </w:p>
        </w:tc>
        <w:tc>
          <w:tcPr>
            <w:tcW w:w="1640" w:type="dxa"/>
            <w:tcBorders>
              <w:top w:val="nil"/>
              <w:left w:val="nil"/>
              <w:bottom w:val="single" w:sz="8" w:space="0" w:color="auto"/>
              <w:right w:val="nil"/>
            </w:tcBorders>
            <w:shd w:val="clear" w:color="auto" w:fill="auto"/>
            <w:hideMark/>
          </w:tcPr>
          <w:p w:rsidR="00B72FA3" w:rsidRPr="00737E2E" w:rsidRDefault="00B72FA3" w:rsidP="0072676B">
            <w:pPr>
              <w:spacing w:before="0" w:after="0"/>
              <w:ind w:firstLine="0"/>
              <w:jc w:val="right"/>
              <w:rPr>
                <w:b/>
                <w:bCs/>
                <w:color w:val="000000" w:themeColor="text1"/>
                <w:kern w:val="20"/>
                <w:sz w:val="20"/>
                <w:szCs w:val="17"/>
                <w:lang w:val="en-GB"/>
              </w:rPr>
            </w:pPr>
            <w:r w:rsidRPr="00737E2E">
              <w:rPr>
                <w:b/>
                <w:bCs/>
                <w:color w:val="000000" w:themeColor="text1"/>
                <w:kern w:val="20"/>
                <w:sz w:val="20"/>
                <w:szCs w:val="17"/>
                <w:lang w:val="en-GB"/>
              </w:rPr>
              <w:t>38 844.1</w:t>
            </w:r>
          </w:p>
        </w:tc>
      </w:tr>
      <w:tr w:rsidR="00B72FA3" w:rsidRPr="00737E2E" w:rsidTr="00B72FA3">
        <w:trPr>
          <w:trHeight w:val="288"/>
        </w:trPr>
        <w:tc>
          <w:tcPr>
            <w:tcW w:w="4520" w:type="dxa"/>
            <w:tcBorders>
              <w:top w:val="nil"/>
              <w:left w:val="nil"/>
              <w:bottom w:val="single" w:sz="4" w:space="0" w:color="auto"/>
              <w:right w:val="nil"/>
            </w:tcBorders>
            <w:shd w:val="clear" w:color="auto" w:fill="auto"/>
            <w:vAlign w:val="center"/>
            <w:hideMark/>
          </w:tcPr>
          <w:p w:rsidR="00B72FA3" w:rsidRPr="00737E2E" w:rsidRDefault="00B72FA3" w:rsidP="0072676B">
            <w:pPr>
              <w:adjustRightInd w:val="0"/>
              <w:spacing w:before="0" w:after="0"/>
              <w:ind w:firstLine="0"/>
              <w:contextualSpacing/>
              <w:rPr>
                <w:sz w:val="20"/>
                <w:szCs w:val="20"/>
                <w:lang w:eastAsia="zh-CN"/>
              </w:rPr>
            </w:pPr>
            <w:r w:rsidRPr="00737E2E">
              <w:rPr>
                <w:rFonts w:hint="eastAsia"/>
                <w:sz w:val="20"/>
                <w:szCs w:val="20"/>
                <w:lang w:eastAsia="zh-CN"/>
              </w:rPr>
              <w:t>综合预算</w:t>
            </w:r>
            <w:r w:rsidRPr="00737E2E">
              <w:rPr>
                <w:sz w:val="20"/>
                <w:szCs w:val="20"/>
                <w:lang w:eastAsia="zh-CN"/>
              </w:rPr>
              <w:t>的《公约</w:t>
            </w:r>
            <w:r w:rsidRPr="00737E2E">
              <w:rPr>
                <w:rFonts w:hint="eastAsia"/>
                <w:sz w:val="20"/>
                <w:szCs w:val="20"/>
                <w:lang w:eastAsia="zh-CN"/>
              </w:rPr>
              <w:t>》</w:t>
            </w:r>
            <w:r w:rsidRPr="00737E2E">
              <w:rPr>
                <w:sz w:val="20"/>
                <w:szCs w:val="20"/>
                <w:lang w:eastAsia="zh-CN"/>
              </w:rPr>
              <w:t>份额</w:t>
            </w:r>
            <w:r w:rsidRPr="00737E2E">
              <w:rPr>
                <w:sz w:val="20"/>
                <w:szCs w:val="20"/>
                <w:lang w:eastAsia="zh-CN"/>
              </w:rPr>
              <w:t xml:space="preserve"> </w:t>
            </w:r>
            <w:r w:rsidRPr="00737E2E">
              <w:rPr>
                <w:sz w:val="20"/>
                <w:szCs w:val="20"/>
                <w:lang w:eastAsia="zh-CN"/>
              </w:rPr>
              <w:t>（</w:t>
            </w:r>
            <w:r w:rsidRPr="00737E2E">
              <w:rPr>
                <w:sz w:val="20"/>
                <w:szCs w:val="20"/>
                <w:lang w:eastAsia="zh-CN"/>
              </w:rPr>
              <w:t>74%</w:t>
            </w:r>
            <w:r w:rsidRPr="00737E2E">
              <w:rPr>
                <w:sz w:val="20"/>
                <w:szCs w:val="20"/>
                <w:lang w:eastAsia="zh-CN"/>
              </w:rPr>
              <w:t>）</w:t>
            </w:r>
          </w:p>
        </w:tc>
        <w:tc>
          <w:tcPr>
            <w:tcW w:w="1360" w:type="dxa"/>
            <w:tcBorders>
              <w:top w:val="nil"/>
              <w:left w:val="nil"/>
              <w:bottom w:val="single" w:sz="4" w:space="0" w:color="auto"/>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14 022.2</w:t>
            </w:r>
          </w:p>
        </w:tc>
        <w:tc>
          <w:tcPr>
            <w:tcW w:w="1600" w:type="dxa"/>
            <w:tcBorders>
              <w:top w:val="nil"/>
              <w:left w:val="nil"/>
              <w:bottom w:val="single" w:sz="4" w:space="0" w:color="auto"/>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14 722.5</w:t>
            </w:r>
          </w:p>
        </w:tc>
        <w:tc>
          <w:tcPr>
            <w:tcW w:w="1640" w:type="dxa"/>
            <w:tcBorders>
              <w:top w:val="nil"/>
              <w:left w:val="nil"/>
              <w:bottom w:val="single" w:sz="4" w:space="0" w:color="auto"/>
              <w:right w:val="nil"/>
            </w:tcBorders>
            <w:shd w:val="clear" w:color="auto" w:fill="auto"/>
            <w:noWrap/>
            <w:hideMark/>
          </w:tcPr>
          <w:p w:rsidR="00B72FA3" w:rsidRPr="00737E2E" w:rsidRDefault="00B72FA3" w:rsidP="0072676B">
            <w:pPr>
              <w:spacing w:before="0" w:after="0"/>
              <w:ind w:firstLine="0"/>
              <w:jc w:val="right"/>
              <w:rPr>
                <w:b/>
                <w:bCs/>
                <w:color w:val="000000" w:themeColor="text1"/>
                <w:kern w:val="20"/>
                <w:sz w:val="20"/>
                <w:szCs w:val="17"/>
                <w:lang w:val="en-GB"/>
              </w:rPr>
            </w:pPr>
            <w:r w:rsidRPr="00737E2E">
              <w:rPr>
                <w:b/>
                <w:bCs/>
                <w:color w:val="000000" w:themeColor="text1"/>
                <w:kern w:val="20"/>
                <w:sz w:val="20"/>
                <w:szCs w:val="17"/>
                <w:lang w:val="en-GB"/>
              </w:rPr>
              <w:t>28 744.7</w:t>
            </w:r>
          </w:p>
        </w:tc>
      </w:tr>
      <w:tr w:rsidR="00B72FA3" w:rsidRPr="00737E2E" w:rsidTr="00B72FA3">
        <w:trPr>
          <w:trHeight w:val="288"/>
        </w:trPr>
        <w:tc>
          <w:tcPr>
            <w:tcW w:w="4520" w:type="dxa"/>
            <w:tcBorders>
              <w:top w:val="nil"/>
              <w:left w:val="nil"/>
              <w:bottom w:val="nil"/>
              <w:right w:val="nil"/>
            </w:tcBorders>
            <w:shd w:val="clear" w:color="auto" w:fill="auto"/>
            <w:hideMark/>
          </w:tcPr>
          <w:p w:rsidR="00B72FA3" w:rsidRPr="00737E2E" w:rsidRDefault="00B72FA3" w:rsidP="0072676B">
            <w:pPr>
              <w:adjustRightInd w:val="0"/>
              <w:spacing w:before="0" w:after="0"/>
              <w:ind w:firstLine="0"/>
              <w:contextualSpacing/>
              <w:rPr>
                <w:color w:val="000000"/>
                <w:sz w:val="20"/>
                <w:szCs w:val="20"/>
              </w:rPr>
            </w:pPr>
            <w:r w:rsidRPr="00737E2E">
              <w:rPr>
                <w:rFonts w:hint="eastAsia"/>
                <w:color w:val="000000"/>
                <w:sz w:val="20"/>
                <w:szCs w:val="20"/>
                <w:lang w:eastAsia="zh-CN"/>
              </w:rPr>
              <w:t>扣除：</w:t>
            </w:r>
            <w:r w:rsidRPr="00737E2E">
              <w:rPr>
                <w:color w:val="000000"/>
                <w:sz w:val="20"/>
                <w:szCs w:val="20"/>
                <w:lang w:eastAsia="zh-CN"/>
              </w:rPr>
              <w:t>东道国的</w:t>
            </w:r>
            <w:r w:rsidRPr="00737E2E">
              <w:rPr>
                <w:rFonts w:hint="eastAsia"/>
                <w:color w:val="000000"/>
                <w:sz w:val="20"/>
                <w:szCs w:val="20"/>
                <w:lang w:eastAsia="zh-CN"/>
              </w:rPr>
              <w:t>捐助</w:t>
            </w:r>
          </w:p>
        </w:tc>
        <w:tc>
          <w:tcPr>
            <w:tcW w:w="136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(909.8)</w:t>
            </w:r>
          </w:p>
        </w:tc>
        <w:tc>
          <w:tcPr>
            <w:tcW w:w="160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(1 053.3)</w:t>
            </w:r>
          </w:p>
        </w:tc>
        <w:tc>
          <w:tcPr>
            <w:tcW w:w="164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(1 963.1)</w:t>
            </w:r>
          </w:p>
        </w:tc>
      </w:tr>
      <w:tr w:rsidR="00B72FA3" w:rsidRPr="00737E2E" w:rsidTr="00B72FA3">
        <w:trPr>
          <w:trHeight w:val="288"/>
        </w:trPr>
        <w:tc>
          <w:tcPr>
            <w:tcW w:w="4520" w:type="dxa"/>
            <w:tcBorders>
              <w:top w:val="nil"/>
              <w:left w:val="nil"/>
              <w:bottom w:val="nil"/>
              <w:right w:val="nil"/>
            </w:tcBorders>
            <w:shd w:val="clear" w:color="auto" w:fill="auto"/>
            <w:hideMark/>
          </w:tcPr>
          <w:p w:rsidR="00B72FA3" w:rsidRPr="00737E2E" w:rsidRDefault="00B72FA3" w:rsidP="0072676B">
            <w:pPr>
              <w:adjustRightInd w:val="0"/>
              <w:spacing w:before="0" w:after="0"/>
              <w:ind w:firstLine="0"/>
              <w:contextualSpacing/>
              <w:rPr>
                <w:color w:val="000000"/>
                <w:sz w:val="20"/>
                <w:szCs w:val="20"/>
                <w:lang w:eastAsia="zh-CN"/>
              </w:rPr>
            </w:pPr>
            <w:r w:rsidRPr="00737E2E">
              <w:rPr>
                <w:rFonts w:hint="eastAsia"/>
                <w:color w:val="000000"/>
                <w:sz w:val="20"/>
                <w:szCs w:val="20"/>
                <w:lang w:eastAsia="zh-CN"/>
              </w:rPr>
              <w:t>扣除：为不限成员名额工作组</w:t>
            </w:r>
            <w:r w:rsidRPr="00737E2E">
              <w:rPr>
                <w:color w:val="000000"/>
                <w:sz w:val="20"/>
                <w:szCs w:val="20"/>
                <w:lang w:eastAsia="zh-CN"/>
              </w:rPr>
              <w:t>动用的储备金</w:t>
            </w:r>
          </w:p>
        </w:tc>
        <w:tc>
          <w:tcPr>
            <w:tcW w:w="136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(627.2)</w:t>
            </w:r>
          </w:p>
        </w:tc>
        <w:tc>
          <w:tcPr>
            <w:tcW w:w="160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(468.3)</w:t>
            </w:r>
          </w:p>
        </w:tc>
        <w:tc>
          <w:tcPr>
            <w:tcW w:w="164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(1 095.5)</w:t>
            </w:r>
          </w:p>
        </w:tc>
      </w:tr>
      <w:tr w:rsidR="00B72FA3" w:rsidRPr="00737E2E" w:rsidTr="00B72FA3">
        <w:trPr>
          <w:trHeight w:val="288"/>
        </w:trPr>
        <w:tc>
          <w:tcPr>
            <w:tcW w:w="4520" w:type="dxa"/>
            <w:tcBorders>
              <w:top w:val="nil"/>
              <w:left w:val="nil"/>
              <w:bottom w:val="nil"/>
              <w:right w:val="nil"/>
            </w:tcBorders>
            <w:shd w:val="clear" w:color="auto" w:fill="auto"/>
            <w:hideMark/>
          </w:tcPr>
          <w:p w:rsidR="00B72FA3" w:rsidRPr="00737E2E" w:rsidRDefault="00B72FA3" w:rsidP="0072676B">
            <w:pPr>
              <w:adjustRightInd w:val="0"/>
              <w:spacing w:before="0" w:after="0"/>
              <w:ind w:firstLine="0"/>
              <w:contextualSpacing/>
              <w:rPr>
                <w:color w:val="000000"/>
                <w:sz w:val="20"/>
                <w:szCs w:val="20"/>
                <w:lang w:eastAsia="zh-CN"/>
              </w:rPr>
            </w:pPr>
            <w:r w:rsidRPr="00737E2E">
              <w:rPr>
                <w:rFonts w:hint="eastAsia"/>
                <w:color w:val="000000"/>
                <w:sz w:val="20"/>
                <w:szCs w:val="20"/>
                <w:lang w:eastAsia="zh-CN"/>
              </w:rPr>
              <w:t>扣除：以往年份</w:t>
            </w:r>
            <w:r w:rsidRPr="00737E2E">
              <w:rPr>
                <w:color w:val="000000"/>
                <w:sz w:val="20"/>
                <w:szCs w:val="20"/>
                <w:lang w:eastAsia="zh-CN"/>
              </w:rPr>
              <w:t>动用的储备金</w:t>
            </w:r>
          </w:p>
        </w:tc>
        <w:tc>
          <w:tcPr>
            <w:tcW w:w="136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(638.7)</w:t>
            </w:r>
          </w:p>
        </w:tc>
        <w:tc>
          <w:tcPr>
            <w:tcW w:w="160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(638.7)</w:t>
            </w:r>
          </w:p>
        </w:tc>
        <w:tc>
          <w:tcPr>
            <w:tcW w:w="164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(1 277.4)</w:t>
            </w:r>
          </w:p>
        </w:tc>
      </w:tr>
      <w:tr w:rsidR="00B72FA3" w:rsidRPr="00737E2E" w:rsidTr="00B72FA3">
        <w:trPr>
          <w:trHeight w:val="300"/>
        </w:trPr>
        <w:tc>
          <w:tcPr>
            <w:tcW w:w="4520" w:type="dxa"/>
            <w:tcBorders>
              <w:top w:val="single" w:sz="4" w:space="0" w:color="auto"/>
              <w:left w:val="nil"/>
              <w:bottom w:val="single" w:sz="8" w:space="0" w:color="auto"/>
              <w:right w:val="nil"/>
            </w:tcBorders>
            <w:shd w:val="clear" w:color="auto" w:fill="auto"/>
            <w:hideMark/>
          </w:tcPr>
          <w:p w:rsidR="00B72FA3" w:rsidRPr="00737E2E" w:rsidRDefault="00B72FA3" w:rsidP="0072676B">
            <w:pPr>
              <w:adjustRightInd w:val="0"/>
              <w:spacing w:before="0" w:after="0"/>
              <w:ind w:firstLine="0"/>
              <w:contextualSpacing/>
              <w:rPr>
                <w:color w:val="000000"/>
                <w:sz w:val="20"/>
                <w:szCs w:val="20"/>
                <w:lang w:eastAsia="zh-CN"/>
              </w:rPr>
            </w:pPr>
            <w:r w:rsidRPr="00737E2E">
              <w:rPr>
                <w:rFonts w:hint="eastAsia"/>
                <w:color w:val="000000"/>
                <w:sz w:val="20"/>
                <w:szCs w:val="20"/>
                <w:lang w:eastAsia="zh-CN"/>
              </w:rPr>
              <w:t>总额净值</w:t>
            </w:r>
            <w:r w:rsidRPr="00737E2E">
              <w:rPr>
                <w:color w:val="000000"/>
                <w:sz w:val="20"/>
                <w:szCs w:val="20"/>
                <w:lang w:eastAsia="zh-CN"/>
              </w:rPr>
              <w:t xml:space="preserve"> </w:t>
            </w:r>
            <w:r w:rsidRPr="00737E2E">
              <w:rPr>
                <w:color w:val="000000"/>
                <w:sz w:val="20"/>
                <w:szCs w:val="20"/>
                <w:lang w:eastAsia="zh-CN"/>
              </w:rPr>
              <w:t>（</w:t>
            </w:r>
            <w:r w:rsidRPr="00737E2E">
              <w:rPr>
                <w:rFonts w:hint="eastAsia"/>
                <w:color w:val="000000"/>
                <w:sz w:val="20"/>
                <w:szCs w:val="20"/>
                <w:lang w:eastAsia="zh-CN"/>
              </w:rPr>
              <w:t>由缔约方</w:t>
            </w:r>
            <w:r w:rsidRPr="00737E2E">
              <w:rPr>
                <w:color w:val="000000"/>
                <w:sz w:val="20"/>
                <w:szCs w:val="20"/>
                <w:lang w:eastAsia="zh-CN"/>
              </w:rPr>
              <w:t>分摊的数额</w:t>
            </w:r>
            <w:r w:rsidRPr="00737E2E">
              <w:rPr>
                <w:rFonts w:hint="eastAsia"/>
                <w:color w:val="000000"/>
                <w:sz w:val="20"/>
                <w:szCs w:val="20"/>
                <w:lang w:eastAsia="zh-CN"/>
              </w:rPr>
              <w:t>）</w:t>
            </w:r>
          </w:p>
        </w:tc>
        <w:tc>
          <w:tcPr>
            <w:tcW w:w="1360" w:type="dxa"/>
            <w:tcBorders>
              <w:top w:val="single" w:sz="4" w:space="0" w:color="auto"/>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11 846.5</w:t>
            </w:r>
          </w:p>
        </w:tc>
        <w:tc>
          <w:tcPr>
            <w:tcW w:w="1600" w:type="dxa"/>
            <w:tcBorders>
              <w:top w:val="single" w:sz="4" w:space="0" w:color="auto"/>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12 562.2</w:t>
            </w:r>
          </w:p>
        </w:tc>
        <w:tc>
          <w:tcPr>
            <w:tcW w:w="1640" w:type="dxa"/>
            <w:tcBorders>
              <w:top w:val="single" w:sz="4" w:space="0" w:color="auto"/>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24 408.7</w:t>
            </w:r>
          </w:p>
        </w:tc>
      </w:tr>
    </w:tbl>
    <w:p w:rsidR="00B72FA3" w:rsidRDefault="00B72FA3" w:rsidP="0072676B">
      <w:pPr>
        <w:shd w:val="clear" w:color="auto" w:fill="FFFFFF" w:themeFill="background1"/>
        <w:tabs>
          <w:tab w:val="left" w:pos="1800"/>
        </w:tabs>
        <w:adjustRightInd w:val="0"/>
        <w:snapToGrid w:val="0"/>
        <w:spacing w:before="0" w:after="0"/>
        <w:ind w:left="1800" w:right="1119" w:firstLine="0"/>
        <w:rPr>
          <w:b/>
          <w:bCs/>
          <w:iCs/>
          <w:color w:val="000000"/>
          <w:kern w:val="18"/>
          <w:lang w:val="en-GB" w:eastAsia="zh-CN"/>
        </w:rPr>
      </w:pPr>
    </w:p>
    <w:tbl>
      <w:tblPr>
        <w:tblW w:w="9120" w:type="dxa"/>
        <w:tblInd w:w="93" w:type="dxa"/>
        <w:tblLook w:val="04A0"/>
      </w:tblPr>
      <w:tblGrid>
        <w:gridCol w:w="4520"/>
        <w:gridCol w:w="1360"/>
        <w:gridCol w:w="1600"/>
        <w:gridCol w:w="1640"/>
      </w:tblGrid>
      <w:tr w:rsidR="00B72FA3" w:rsidRPr="00CD6F78" w:rsidTr="00B72FA3">
        <w:trPr>
          <w:trHeight w:val="288"/>
        </w:trPr>
        <w:tc>
          <w:tcPr>
            <w:tcW w:w="4520" w:type="dxa"/>
            <w:vMerge w:val="restart"/>
            <w:tcBorders>
              <w:top w:val="single" w:sz="8" w:space="0" w:color="auto"/>
              <w:left w:val="nil"/>
              <w:bottom w:val="single" w:sz="12" w:space="0" w:color="000000"/>
              <w:right w:val="nil"/>
            </w:tcBorders>
            <w:shd w:val="clear" w:color="auto" w:fill="auto"/>
            <w:vAlign w:val="center"/>
            <w:hideMark/>
          </w:tcPr>
          <w:p w:rsidR="00B72FA3" w:rsidRPr="00CD6F78" w:rsidRDefault="00B72FA3" w:rsidP="0072676B">
            <w:pPr>
              <w:adjustRightInd w:val="0"/>
              <w:spacing w:before="0" w:after="0"/>
              <w:ind w:firstLine="0"/>
              <w:contextualSpacing/>
              <w:rPr>
                <w:i/>
                <w:iCs/>
                <w:color w:val="000000"/>
                <w:sz w:val="20"/>
                <w:szCs w:val="20"/>
                <w:lang w:eastAsia="zh-CN"/>
              </w:rPr>
            </w:pPr>
            <w:r w:rsidRPr="00CD6F78">
              <w:rPr>
                <w:i/>
                <w:iCs/>
                <w:color w:val="000000"/>
                <w:sz w:val="20"/>
                <w:szCs w:val="20"/>
                <w:lang w:eastAsia="zh-CN"/>
              </w:rPr>
              <w:t> </w:t>
            </w:r>
          </w:p>
        </w:tc>
        <w:tc>
          <w:tcPr>
            <w:tcW w:w="1360" w:type="dxa"/>
            <w:vMerge w:val="restart"/>
            <w:tcBorders>
              <w:top w:val="single" w:sz="8" w:space="0" w:color="auto"/>
              <w:left w:val="nil"/>
              <w:bottom w:val="single" w:sz="12" w:space="0" w:color="000000"/>
              <w:right w:val="nil"/>
            </w:tcBorders>
            <w:shd w:val="clear" w:color="auto" w:fill="auto"/>
            <w:vAlign w:val="center"/>
            <w:hideMark/>
          </w:tcPr>
          <w:p w:rsidR="00B72FA3" w:rsidRPr="00CD6F78" w:rsidRDefault="00B72FA3" w:rsidP="0072676B">
            <w:pPr>
              <w:adjustRightInd w:val="0"/>
              <w:spacing w:before="0" w:after="0"/>
              <w:ind w:firstLine="0"/>
              <w:contextualSpacing/>
              <w:jc w:val="center"/>
              <w:rPr>
                <w:rFonts w:ascii="KaiTi" w:eastAsia="KaiTi" w:hAnsi="KaiTi"/>
                <w:iCs/>
                <w:color w:val="000000"/>
                <w:sz w:val="20"/>
                <w:szCs w:val="20"/>
              </w:rPr>
            </w:pPr>
            <w:r w:rsidRPr="00CD6F78">
              <w:rPr>
                <w:rFonts w:ascii="KaiTi" w:eastAsia="KaiTi" w:hAnsi="KaiTi"/>
                <w:iCs/>
                <w:color w:val="000000"/>
                <w:sz w:val="20"/>
                <w:szCs w:val="20"/>
              </w:rPr>
              <w:t>2019</w:t>
            </w:r>
            <w:r w:rsidRPr="00CD6F78">
              <w:rPr>
                <w:rFonts w:ascii="KaiTi" w:eastAsia="KaiTi" w:hAnsi="KaiTi" w:hint="eastAsia"/>
                <w:iCs/>
                <w:color w:val="000000"/>
                <w:sz w:val="20"/>
                <w:szCs w:val="20"/>
                <w:lang w:eastAsia="zh-CN"/>
              </w:rPr>
              <w:t>年</w:t>
            </w:r>
            <w:r w:rsidRPr="00CD6F78">
              <w:rPr>
                <w:rFonts w:ascii="KaiTi" w:eastAsia="KaiTi" w:hAnsi="KaiTi"/>
                <w:iCs/>
                <w:color w:val="000000"/>
                <w:sz w:val="20"/>
                <w:szCs w:val="20"/>
              </w:rPr>
              <w:t xml:space="preserve">                            </w:t>
            </w:r>
            <w:r>
              <w:rPr>
                <w:rFonts w:ascii="KaiTi" w:eastAsia="KaiTi" w:hAnsi="KaiTi"/>
                <w:iCs/>
                <w:color w:val="000000"/>
                <w:sz w:val="20"/>
                <w:szCs w:val="20"/>
              </w:rPr>
              <w:t>（</w:t>
            </w:r>
            <w:r w:rsidRPr="00CD6F78">
              <w:rPr>
                <w:rFonts w:ascii="KaiTi" w:eastAsia="KaiTi" w:hAnsi="KaiTi" w:hint="eastAsia"/>
                <w:iCs/>
                <w:color w:val="000000"/>
                <w:sz w:val="20"/>
                <w:szCs w:val="20"/>
                <w:lang w:eastAsia="zh-CN"/>
              </w:rPr>
              <w:t>千美元</w:t>
            </w:r>
            <w:r>
              <w:rPr>
                <w:rFonts w:ascii="KaiTi" w:eastAsia="KaiTi" w:hAnsi="KaiTi"/>
                <w:iCs/>
                <w:color w:val="000000"/>
                <w:sz w:val="20"/>
                <w:szCs w:val="20"/>
              </w:rPr>
              <w:t>）</w:t>
            </w:r>
          </w:p>
        </w:tc>
        <w:tc>
          <w:tcPr>
            <w:tcW w:w="1600" w:type="dxa"/>
            <w:vMerge w:val="restart"/>
            <w:tcBorders>
              <w:top w:val="single" w:sz="8" w:space="0" w:color="auto"/>
              <w:left w:val="nil"/>
              <w:bottom w:val="single" w:sz="12" w:space="0" w:color="000000"/>
              <w:right w:val="nil"/>
            </w:tcBorders>
            <w:shd w:val="clear" w:color="auto" w:fill="auto"/>
            <w:vAlign w:val="center"/>
            <w:hideMark/>
          </w:tcPr>
          <w:p w:rsidR="00B72FA3" w:rsidRPr="00CD6F78" w:rsidRDefault="00B72FA3" w:rsidP="0072676B">
            <w:pPr>
              <w:adjustRightInd w:val="0"/>
              <w:spacing w:before="0" w:after="0"/>
              <w:ind w:firstLine="0"/>
              <w:contextualSpacing/>
              <w:jc w:val="center"/>
              <w:rPr>
                <w:rFonts w:ascii="KaiTi" w:eastAsia="KaiTi" w:hAnsi="KaiTi"/>
                <w:iCs/>
                <w:color w:val="000000"/>
                <w:sz w:val="20"/>
                <w:szCs w:val="20"/>
              </w:rPr>
            </w:pPr>
            <w:r>
              <w:rPr>
                <w:rFonts w:ascii="KaiTi" w:eastAsia="KaiTi" w:hAnsi="KaiTi"/>
                <w:iCs/>
                <w:color w:val="000000"/>
                <w:sz w:val="20"/>
                <w:szCs w:val="20"/>
              </w:rPr>
              <w:t xml:space="preserve"> </w:t>
            </w:r>
            <w:r w:rsidRPr="00CD6F78">
              <w:rPr>
                <w:rFonts w:ascii="KaiTi" w:eastAsia="KaiTi" w:hAnsi="KaiTi"/>
                <w:iCs/>
                <w:color w:val="000000"/>
                <w:sz w:val="20"/>
                <w:szCs w:val="20"/>
              </w:rPr>
              <w:t>2020</w:t>
            </w:r>
            <w:r w:rsidRPr="00CD6F78">
              <w:rPr>
                <w:rFonts w:ascii="KaiTi" w:eastAsia="KaiTi" w:hAnsi="KaiTi" w:hint="eastAsia"/>
                <w:iCs/>
                <w:color w:val="000000"/>
                <w:sz w:val="20"/>
                <w:szCs w:val="20"/>
                <w:lang w:eastAsia="zh-CN"/>
              </w:rPr>
              <w:t>年</w:t>
            </w:r>
            <w:r w:rsidRPr="00CD6F78">
              <w:rPr>
                <w:rFonts w:ascii="KaiTi" w:eastAsia="KaiTi" w:hAnsi="KaiTi"/>
                <w:iCs/>
                <w:color w:val="000000"/>
                <w:sz w:val="20"/>
                <w:szCs w:val="20"/>
              </w:rPr>
              <w:t xml:space="preserve">                          </w:t>
            </w:r>
            <w:r>
              <w:rPr>
                <w:rFonts w:ascii="KaiTi" w:eastAsia="KaiTi" w:hAnsi="KaiTi"/>
                <w:iCs/>
                <w:color w:val="000000"/>
                <w:sz w:val="20"/>
                <w:szCs w:val="20"/>
              </w:rPr>
              <w:t xml:space="preserve">     （</w:t>
            </w:r>
            <w:r w:rsidRPr="00CD6F78">
              <w:rPr>
                <w:rFonts w:ascii="KaiTi" w:eastAsia="KaiTi" w:hAnsi="KaiTi" w:hint="eastAsia"/>
                <w:iCs/>
                <w:color w:val="000000"/>
                <w:sz w:val="20"/>
                <w:szCs w:val="20"/>
                <w:lang w:eastAsia="zh-CN"/>
              </w:rPr>
              <w:t>千美元</w:t>
            </w:r>
            <w:r>
              <w:rPr>
                <w:rFonts w:ascii="KaiTi" w:eastAsia="KaiTi" w:hAnsi="KaiTi"/>
                <w:iCs/>
                <w:color w:val="000000"/>
                <w:sz w:val="20"/>
                <w:szCs w:val="20"/>
              </w:rPr>
              <w:t>）</w:t>
            </w:r>
          </w:p>
        </w:tc>
        <w:tc>
          <w:tcPr>
            <w:tcW w:w="1640" w:type="dxa"/>
            <w:vMerge w:val="restart"/>
            <w:tcBorders>
              <w:top w:val="single" w:sz="8" w:space="0" w:color="auto"/>
              <w:left w:val="nil"/>
              <w:bottom w:val="single" w:sz="12" w:space="0" w:color="000000"/>
              <w:right w:val="nil"/>
            </w:tcBorders>
            <w:shd w:val="clear" w:color="auto" w:fill="auto"/>
            <w:vAlign w:val="center"/>
            <w:hideMark/>
          </w:tcPr>
          <w:p w:rsidR="00B72FA3" w:rsidRPr="00CD6F78" w:rsidRDefault="00B72FA3" w:rsidP="0072676B">
            <w:pPr>
              <w:adjustRightInd w:val="0"/>
              <w:spacing w:before="0" w:after="0"/>
              <w:ind w:firstLine="0"/>
              <w:contextualSpacing/>
              <w:jc w:val="center"/>
              <w:rPr>
                <w:rFonts w:ascii="KaiTi" w:eastAsia="KaiTi" w:hAnsi="KaiTi"/>
                <w:iCs/>
                <w:color w:val="000000"/>
                <w:sz w:val="20"/>
                <w:szCs w:val="20"/>
              </w:rPr>
            </w:pPr>
            <w:r>
              <w:rPr>
                <w:rFonts w:ascii="KaiTi" w:eastAsia="KaiTi" w:hAnsi="KaiTi" w:hint="eastAsia"/>
                <w:iCs/>
                <w:color w:val="000000"/>
                <w:sz w:val="20"/>
                <w:szCs w:val="20"/>
                <w:lang w:eastAsia="zh-CN"/>
              </w:rPr>
              <w:t xml:space="preserve"> 合计</w:t>
            </w:r>
            <w:r w:rsidRPr="00CD6F78">
              <w:rPr>
                <w:rFonts w:ascii="KaiTi" w:eastAsia="KaiTi" w:hAnsi="KaiTi"/>
                <w:iCs/>
                <w:color w:val="000000"/>
                <w:sz w:val="20"/>
                <w:szCs w:val="20"/>
              </w:rPr>
              <w:t xml:space="preserve">                            </w:t>
            </w:r>
            <w:r>
              <w:rPr>
                <w:rFonts w:ascii="KaiTi" w:eastAsia="KaiTi" w:hAnsi="KaiTi"/>
                <w:iCs/>
                <w:color w:val="000000"/>
                <w:sz w:val="20"/>
                <w:szCs w:val="20"/>
              </w:rPr>
              <w:t>（</w:t>
            </w:r>
            <w:r w:rsidRPr="00CD6F78">
              <w:rPr>
                <w:rFonts w:ascii="KaiTi" w:eastAsia="KaiTi" w:hAnsi="KaiTi" w:hint="eastAsia"/>
                <w:iCs/>
                <w:color w:val="000000"/>
                <w:sz w:val="20"/>
                <w:szCs w:val="20"/>
                <w:lang w:eastAsia="zh-CN"/>
              </w:rPr>
              <w:t>千美元</w:t>
            </w:r>
            <w:r>
              <w:rPr>
                <w:rFonts w:ascii="KaiTi" w:eastAsia="KaiTi" w:hAnsi="KaiTi"/>
                <w:iCs/>
                <w:color w:val="000000"/>
                <w:sz w:val="20"/>
                <w:szCs w:val="20"/>
              </w:rPr>
              <w:t>）</w:t>
            </w:r>
          </w:p>
        </w:tc>
      </w:tr>
      <w:tr w:rsidR="00B72FA3" w:rsidRPr="00CD6F78" w:rsidTr="00B72FA3">
        <w:trPr>
          <w:trHeight w:val="516"/>
        </w:trPr>
        <w:tc>
          <w:tcPr>
            <w:tcW w:w="4520" w:type="dxa"/>
            <w:vMerge/>
            <w:tcBorders>
              <w:top w:val="single" w:sz="8" w:space="0" w:color="auto"/>
              <w:left w:val="nil"/>
              <w:bottom w:val="single" w:sz="12" w:space="0" w:color="000000"/>
              <w:right w:val="nil"/>
            </w:tcBorders>
            <w:vAlign w:val="center"/>
            <w:hideMark/>
          </w:tcPr>
          <w:p w:rsidR="00B72FA3" w:rsidRPr="00CD6F78" w:rsidRDefault="00B72FA3" w:rsidP="0072676B">
            <w:pPr>
              <w:adjustRightInd w:val="0"/>
              <w:spacing w:before="0" w:after="0"/>
              <w:ind w:firstLine="0"/>
              <w:contextualSpacing/>
              <w:rPr>
                <w:i/>
                <w:iCs/>
                <w:color w:val="000000"/>
                <w:sz w:val="20"/>
                <w:szCs w:val="20"/>
              </w:rPr>
            </w:pPr>
          </w:p>
        </w:tc>
        <w:tc>
          <w:tcPr>
            <w:tcW w:w="1360" w:type="dxa"/>
            <w:vMerge/>
            <w:tcBorders>
              <w:top w:val="single" w:sz="8" w:space="0" w:color="auto"/>
              <w:left w:val="nil"/>
              <w:bottom w:val="single" w:sz="12" w:space="0" w:color="000000"/>
              <w:right w:val="nil"/>
            </w:tcBorders>
            <w:vAlign w:val="center"/>
            <w:hideMark/>
          </w:tcPr>
          <w:p w:rsidR="00B72FA3" w:rsidRPr="00CD6F78" w:rsidRDefault="00B72FA3" w:rsidP="0072676B">
            <w:pPr>
              <w:adjustRightInd w:val="0"/>
              <w:spacing w:before="0" w:after="0"/>
              <w:ind w:firstLine="0"/>
              <w:contextualSpacing/>
              <w:rPr>
                <w:i/>
                <w:iCs/>
                <w:color w:val="000000"/>
                <w:sz w:val="20"/>
                <w:szCs w:val="20"/>
              </w:rPr>
            </w:pPr>
          </w:p>
        </w:tc>
        <w:tc>
          <w:tcPr>
            <w:tcW w:w="1600" w:type="dxa"/>
            <w:vMerge/>
            <w:tcBorders>
              <w:top w:val="single" w:sz="8" w:space="0" w:color="auto"/>
              <w:left w:val="nil"/>
              <w:bottom w:val="single" w:sz="12" w:space="0" w:color="000000"/>
              <w:right w:val="nil"/>
            </w:tcBorders>
            <w:vAlign w:val="center"/>
            <w:hideMark/>
          </w:tcPr>
          <w:p w:rsidR="00B72FA3" w:rsidRPr="00CD6F78" w:rsidRDefault="00B72FA3" w:rsidP="0072676B">
            <w:pPr>
              <w:adjustRightInd w:val="0"/>
              <w:spacing w:before="0" w:after="0"/>
              <w:ind w:firstLine="0"/>
              <w:contextualSpacing/>
              <w:rPr>
                <w:i/>
                <w:iCs/>
                <w:color w:val="000000"/>
                <w:sz w:val="20"/>
                <w:szCs w:val="20"/>
              </w:rPr>
            </w:pPr>
          </w:p>
        </w:tc>
        <w:tc>
          <w:tcPr>
            <w:tcW w:w="1640" w:type="dxa"/>
            <w:vMerge/>
            <w:tcBorders>
              <w:top w:val="single" w:sz="8" w:space="0" w:color="auto"/>
              <w:left w:val="nil"/>
              <w:bottom w:val="single" w:sz="12" w:space="0" w:color="000000"/>
              <w:right w:val="nil"/>
            </w:tcBorders>
            <w:vAlign w:val="center"/>
            <w:hideMark/>
          </w:tcPr>
          <w:p w:rsidR="00B72FA3" w:rsidRPr="00CD6F78" w:rsidRDefault="00B72FA3" w:rsidP="0072676B">
            <w:pPr>
              <w:adjustRightInd w:val="0"/>
              <w:spacing w:before="0" w:after="0"/>
              <w:ind w:firstLine="0"/>
              <w:contextualSpacing/>
              <w:rPr>
                <w:i/>
                <w:iCs/>
                <w:color w:val="000000"/>
                <w:sz w:val="20"/>
                <w:szCs w:val="20"/>
              </w:rPr>
            </w:pPr>
          </w:p>
        </w:tc>
      </w:tr>
      <w:tr w:rsidR="00B72FA3" w:rsidRPr="00CD6F78" w:rsidTr="0072676B">
        <w:trPr>
          <w:trHeight w:val="516"/>
        </w:trPr>
        <w:tc>
          <w:tcPr>
            <w:tcW w:w="4520" w:type="dxa"/>
            <w:vMerge/>
            <w:tcBorders>
              <w:top w:val="single" w:sz="8" w:space="0" w:color="auto"/>
              <w:left w:val="nil"/>
              <w:bottom w:val="single" w:sz="12" w:space="0" w:color="000000"/>
              <w:right w:val="nil"/>
            </w:tcBorders>
            <w:vAlign w:val="center"/>
            <w:hideMark/>
          </w:tcPr>
          <w:p w:rsidR="00B72FA3" w:rsidRPr="00CD6F78" w:rsidRDefault="00B72FA3" w:rsidP="0072676B">
            <w:pPr>
              <w:adjustRightInd w:val="0"/>
              <w:spacing w:before="0" w:after="0"/>
              <w:ind w:firstLine="0"/>
              <w:contextualSpacing/>
              <w:rPr>
                <w:i/>
                <w:iCs/>
                <w:color w:val="000000"/>
                <w:sz w:val="20"/>
                <w:szCs w:val="20"/>
              </w:rPr>
            </w:pPr>
          </w:p>
        </w:tc>
        <w:tc>
          <w:tcPr>
            <w:tcW w:w="1360" w:type="dxa"/>
            <w:vMerge/>
            <w:tcBorders>
              <w:top w:val="single" w:sz="8" w:space="0" w:color="auto"/>
              <w:left w:val="nil"/>
              <w:bottom w:val="single" w:sz="12" w:space="0" w:color="000000"/>
              <w:right w:val="nil"/>
            </w:tcBorders>
            <w:vAlign w:val="center"/>
            <w:hideMark/>
          </w:tcPr>
          <w:p w:rsidR="00B72FA3" w:rsidRPr="00CD6F78" w:rsidRDefault="00B72FA3" w:rsidP="0072676B">
            <w:pPr>
              <w:adjustRightInd w:val="0"/>
              <w:spacing w:before="0" w:after="0"/>
              <w:ind w:firstLine="0"/>
              <w:contextualSpacing/>
              <w:rPr>
                <w:i/>
                <w:iCs/>
                <w:color w:val="000000"/>
                <w:sz w:val="20"/>
                <w:szCs w:val="20"/>
              </w:rPr>
            </w:pPr>
          </w:p>
        </w:tc>
        <w:tc>
          <w:tcPr>
            <w:tcW w:w="1600" w:type="dxa"/>
            <w:vMerge/>
            <w:tcBorders>
              <w:top w:val="single" w:sz="8" w:space="0" w:color="auto"/>
              <w:left w:val="nil"/>
              <w:bottom w:val="single" w:sz="12" w:space="0" w:color="000000"/>
              <w:right w:val="nil"/>
            </w:tcBorders>
            <w:vAlign w:val="center"/>
            <w:hideMark/>
          </w:tcPr>
          <w:p w:rsidR="00B72FA3" w:rsidRPr="00CD6F78" w:rsidRDefault="00B72FA3" w:rsidP="0072676B">
            <w:pPr>
              <w:adjustRightInd w:val="0"/>
              <w:spacing w:before="0" w:after="0"/>
              <w:ind w:firstLine="0"/>
              <w:contextualSpacing/>
              <w:rPr>
                <w:i/>
                <w:iCs/>
                <w:color w:val="000000"/>
                <w:sz w:val="20"/>
                <w:szCs w:val="20"/>
              </w:rPr>
            </w:pPr>
          </w:p>
        </w:tc>
        <w:tc>
          <w:tcPr>
            <w:tcW w:w="1640" w:type="dxa"/>
            <w:vMerge/>
            <w:tcBorders>
              <w:top w:val="single" w:sz="8" w:space="0" w:color="auto"/>
              <w:left w:val="nil"/>
              <w:bottom w:val="single" w:sz="12" w:space="0" w:color="000000"/>
              <w:right w:val="nil"/>
            </w:tcBorders>
            <w:vAlign w:val="center"/>
            <w:hideMark/>
          </w:tcPr>
          <w:p w:rsidR="00B72FA3" w:rsidRPr="00CD6F78" w:rsidRDefault="00B72FA3" w:rsidP="0072676B">
            <w:pPr>
              <w:adjustRightInd w:val="0"/>
              <w:spacing w:before="0" w:after="0"/>
              <w:ind w:firstLine="0"/>
              <w:contextualSpacing/>
              <w:rPr>
                <w:i/>
                <w:iCs/>
                <w:color w:val="000000"/>
                <w:sz w:val="20"/>
                <w:szCs w:val="20"/>
              </w:rPr>
            </w:pPr>
          </w:p>
        </w:tc>
      </w:tr>
      <w:tr w:rsidR="00B72FA3" w:rsidRPr="00CD6F78" w:rsidTr="00B72FA3">
        <w:trPr>
          <w:trHeight w:val="288"/>
        </w:trPr>
        <w:tc>
          <w:tcPr>
            <w:tcW w:w="4520" w:type="dxa"/>
            <w:tcBorders>
              <w:top w:val="nil"/>
              <w:left w:val="nil"/>
              <w:bottom w:val="nil"/>
              <w:right w:val="nil"/>
            </w:tcBorders>
            <w:shd w:val="clear" w:color="auto" w:fill="auto"/>
            <w:hideMark/>
          </w:tcPr>
          <w:p w:rsidR="00B72FA3" w:rsidRPr="00CD6F78" w:rsidRDefault="00B72FA3" w:rsidP="0072676B">
            <w:pPr>
              <w:adjustRightInd w:val="0"/>
              <w:spacing w:before="0" w:after="0"/>
              <w:ind w:firstLine="0"/>
              <w:contextualSpacing/>
              <w:rPr>
                <w:color w:val="000000"/>
                <w:sz w:val="20"/>
                <w:szCs w:val="20"/>
              </w:rPr>
            </w:pPr>
            <w:r w:rsidRPr="00CD6F78">
              <w:rPr>
                <w:color w:val="000000"/>
                <w:sz w:val="20"/>
                <w:szCs w:val="20"/>
              </w:rPr>
              <w:t xml:space="preserve">A. </w:t>
            </w:r>
            <w:r>
              <w:rPr>
                <w:rFonts w:hint="eastAsia"/>
                <w:color w:val="000000"/>
                <w:sz w:val="20"/>
                <w:szCs w:val="20"/>
                <w:lang w:eastAsia="zh-CN"/>
              </w:rPr>
              <w:t>理事</w:t>
            </w:r>
            <w:r>
              <w:rPr>
                <w:color w:val="000000"/>
                <w:sz w:val="20"/>
                <w:szCs w:val="20"/>
                <w:lang w:eastAsia="zh-CN"/>
              </w:rPr>
              <w:t>和附属机构</w:t>
            </w:r>
          </w:p>
        </w:tc>
        <w:tc>
          <w:tcPr>
            <w:tcW w:w="136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1 889.0</w:t>
            </w:r>
          </w:p>
        </w:tc>
        <w:tc>
          <w:tcPr>
            <w:tcW w:w="160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2 484.0</w:t>
            </w:r>
          </w:p>
        </w:tc>
        <w:tc>
          <w:tcPr>
            <w:tcW w:w="164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4 373.0</w:t>
            </w:r>
          </w:p>
        </w:tc>
      </w:tr>
      <w:tr w:rsidR="00B72FA3" w:rsidRPr="00CD6F78" w:rsidTr="00B72FA3">
        <w:trPr>
          <w:trHeight w:val="288"/>
        </w:trPr>
        <w:tc>
          <w:tcPr>
            <w:tcW w:w="4520" w:type="dxa"/>
            <w:tcBorders>
              <w:top w:val="nil"/>
              <w:left w:val="nil"/>
              <w:bottom w:val="nil"/>
              <w:right w:val="nil"/>
            </w:tcBorders>
            <w:shd w:val="clear" w:color="auto" w:fill="auto"/>
            <w:hideMark/>
          </w:tcPr>
          <w:p w:rsidR="00B72FA3" w:rsidRPr="00CD6F78" w:rsidRDefault="00B72FA3" w:rsidP="0072676B">
            <w:pPr>
              <w:adjustRightInd w:val="0"/>
              <w:spacing w:before="0" w:after="0"/>
              <w:ind w:firstLine="0"/>
              <w:contextualSpacing/>
              <w:rPr>
                <w:color w:val="000000"/>
                <w:sz w:val="20"/>
                <w:szCs w:val="20"/>
              </w:rPr>
            </w:pPr>
            <w:r w:rsidRPr="00CD6F78">
              <w:rPr>
                <w:color w:val="000000"/>
                <w:sz w:val="20"/>
                <w:szCs w:val="20"/>
              </w:rPr>
              <w:t xml:space="preserve">B. </w:t>
            </w:r>
            <w:r>
              <w:rPr>
                <w:rFonts w:hint="eastAsia"/>
                <w:color w:val="000000"/>
                <w:sz w:val="20"/>
                <w:szCs w:val="20"/>
                <w:lang w:eastAsia="zh-CN"/>
              </w:rPr>
              <w:t>行政领导和</w:t>
            </w:r>
            <w:r>
              <w:rPr>
                <w:color w:val="000000"/>
                <w:sz w:val="20"/>
                <w:szCs w:val="20"/>
                <w:lang w:eastAsia="zh-CN"/>
              </w:rPr>
              <w:t>管理</w:t>
            </w:r>
          </w:p>
        </w:tc>
        <w:tc>
          <w:tcPr>
            <w:tcW w:w="136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2 634.5</w:t>
            </w:r>
          </w:p>
        </w:tc>
        <w:tc>
          <w:tcPr>
            <w:tcW w:w="160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2 669.8</w:t>
            </w:r>
          </w:p>
        </w:tc>
        <w:tc>
          <w:tcPr>
            <w:tcW w:w="164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5 304.3</w:t>
            </w:r>
          </w:p>
        </w:tc>
      </w:tr>
      <w:tr w:rsidR="00B72FA3" w:rsidRPr="00CD6F78" w:rsidTr="00B72FA3">
        <w:trPr>
          <w:trHeight w:val="288"/>
        </w:trPr>
        <w:tc>
          <w:tcPr>
            <w:tcW w:w="4520" w:type="dxa"/>
            <w:tcBorders>
              <w:top w:val="nil"/>
              <w:left w:val="nil"/>
              <w:bottom w:val="nil"/>
              <w:right w:val="nil"/>
            </w:tcBorders>
            <w:shd w:val="clear" w:color="auto" w:fill="auto"/>
            <w:hideMark/>
          </w:tcPr>
          <w:p w:rsidR="00B72FA3" w:rsidRPr="00CD6F78" w:rsidRDefault="00B72FA3" w:rsidP="0072676B">
            <w:pPr>
              <w:adjustRightInd w:val="0"/>
              <w:spacing w:before="0" w:after="0"/>
              <w:ind w:firstLine="0"/>
              <w:contextualSpacing/>
              <w:rPr>
                <w:color w:val="000000"/>
                <w:sz w:val="20"/>
                <w:szCs w:val="20"/>
              </w:rPr>
            </w:pPr>
            <w:r w:rsidRPr="00CD6F78">
              <w:rPr>
                <w:color w:val="000000"/>
                <w:sz w:val="20"/>
                <w:szCs w:val="20"/>
              </w:rPr>
              <w:t xml:space="preserve">C. </w:t>
            </w:r>
            <w:r>
              <w:rPr>
                <w:rFonts w:hint="eastAsia"/>
                <w:color w:val="000000"/>
                <w:sz w:val="20"/>
                <w:szCs w:val="20"/>
                <w:lang w:eastAsia="zh-CN"/>
              </w:rPr>
              <w:t>工作方案</w:t>
            </w:r>
          </w:p>
        </w:tc>
        <w:tc>
          <w:tcPr>
            <w:tcW w:w="136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9 309.4</w:t>
            </w:r>
          </w:p>
        </w:tc>
        <w:tc>
          <w:tcPr>
            <w:tcW w:w="160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9 243.1</w:t>
            </w:r>
          </w:p>
        </w:tc>
        <w:tc>
          <w:tcPr>
            <w:tcW w:w="164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18 552.5</w:t>
            </w:r>
          </w:p>
        </w:tc>
      </w:tr>
      <w:tr w:rsidR="00B72FA3" w:rsidRPr="00CD6F78" w:rsidTr="00B72FA3">
        <w:trPr>
          <w:trHeight w:val="68"/>
        </w:trPr>
        <w:tc>
          <w:tcPr>
            <w:tcW w:w="4520" w:type="dxa"/>
            <w:tcBorders>
              <w:top w:val="nil"/>
              <w:left w:val="nil"/>
              <w:bottom w:val="single" w:sz="8" w:space="0" w:color="auto"/>
              <w:right w:val="nil"/>
            </w:tcBorders>
            <w:shd w:val="clear" w:color="auto" w:fill="auto"/>
            <w:hideMark/>
          </w:tcPr>
          <w:p w:rsidR="00B72FA3" w:rsidRPr="00CD6F78" w:rsidRDefault="00B72FA3" w:rsidP="0072676B">
            <w:pPr>
              <w:adjustRightInd w:val="0"/>
              <w:spacing w:before="0" w:after="0"/>
              <w:ind w:firstLine="0"/>
              <w:contextualSpacing/>
              <w:rPr>
                <w:color w:val="000000"/>
                <w:sz w:val="20"/>
                <w:szCs w:val="20"/>
              </w:rPr>
            </w:pPr>
            <w:r w:rsidRPr="00CD6F78">
              <w:rPr>
                <w:color w:val="000000"/>
                <w:sz w:val="20"/>
                <w:szCs w:val="20"/>
              </w:rPr>
              <w:t xml:space="preserve">D. </w:t>
            </w:r>
            <w:r>
              <w:rPr>
                <w:rFonts w:hint="eastAsia"/>
                <w:color w:val="000000"/>
                <w:sz w:val="20"/>
                <w:szCs w:val="20"/>
                <w:lang w:eastAsia="zh-CN"/>
              </w:rPr>
              <w:t>行政支助</w:t>
            </w:r>
          </w:p>
        </w:tc>
        <w:tc>
          <w:tcPr>
            <w:tcW w:w="1360" w:type="dxa"/>
            <w:tcBorders>
              <w:top w:val="nil"/>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2 886.0</w:t>
            </w:r>
          </w:p>
        </w:tc>
        <w:tc>
          <w:tcPr>
            <w:tcW w:w="1600" w:type="dxa"/>
            <w:tcBorders>
              <w:top w:val="nil"/>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3 093.7</w:t>
            </w:r>
          </w:p>
        </w:tc>
        <w:tc>
          <w:tcPr>
            <w:tcW w:w="1640" w:type="dxa"/>
            <w:tcBorders>
              <w:top w:val="nil"/>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5 979.7</w:t>
            </w:r>
          </w:p>
        </w:tc>
      </w:tr>
      <w:tr w:rsidR="00B72FA3" w:rsidRPr="00CD6F78" w:rsidTr="00B72FA3">
        <w:trPr>
          <w:trHeight w:val="300"/>
        </w:trPr>
        <w:tc>
          <w:tcPr>
            <w:tcW w:w="4520" w:type="dxa"/>
            <w:tcBorders>
              <w:top w:val="nil"/>
              <w:left w:val="nil"/>
              <w:bottom w:val="single" w:sz="12" w:space="0" w:color="auto"/>
              <w:right w:val="nil"/>
            </w:tcBorders>
            <w:shd w:val="clear" w:color="auto" w:fill="auto"/>
            <w:hideMark/>
          </w:tcPr>
          <w:p w:rsidR="00B72FA3" w:rsidRPr="00CD6F78" w:rsidRDefault="00B72FA3" w:rsidP="0072676B">
            <w:pPr>
              <w:adjustRightInd w:val="0"/>
              <w:spacing w:before="0" w:after="0"/>
              <w:ind w:firstLine="0"/>
              <w:contextualSpacing/>
              <w:rPr>
                <w:b/>
                <w:bCs/>
                <w:color w:val="000000"/>
                <w:sz w:val="20"/>
                <w:szCs w:val="20"/>
              </w:rPr>
            </w:pPr>
            <w:r>
              <w:rPr>
                <w:rFonts w:hint="eastAsia"/>
                <w:b/>
                <w:bCs/>
                <w:color w:val="000000"/>
                <w:sz w:val="20"/>
                <w:szCs w:val="20"/>
                <w:lang w:eastAsia="zh-CN"/>
              </w:rPr>
              <w:t>小计</w:t>
            </w:r>
          </w:p>
        </w:tc>
        <w:tc>
          <w:tcPr>
            <w:tcW w:w="1360" w:type="dxa"/>
            <w:tcBorders>
              <w:top w:val="nil"/>
              <w:left w:val="nil"/>
              <w:bottom w:val="single" w:sz="12" w:space="0" w:color="auto"/>
              <w:right w:val="nil"/>
            </w:tcBorders>
            <w:shd w:val="clear" w:color="auto" w:fill="auto"/>
            <w:hideMark/>
          </w:tcPr>
          <w:p w:rsidR="00B72FA3" w:rsidRPr="00737E2E" w:rsidRDefault="00B72FA3" w:rsidP="0072676B">
            <w:pPr>
              <w:spacing w:before="0" w:after="0"/>
              <w:ind w:firstLine="0"/>
              <w:jc w:val="right"/>
              <w:rPr>
                <w:b/>
                <w:bCs/>
                <w:color w:val="000000" w:themeColor="text1"/>
                <w:kern w:val="20"/>
                <w:sz w:val="20"/>
                <w:szCs w:val="17"/>
                <w:lang w:val="en-GB"/>
              </w:rPr>
            </w:pPr>
            <w:r w:rsidRPr="00737E2E">
              <w:rPr>
                <w:b/>
                <w:bCs/>
                <w:color w:val="000000" w:themeColor="text1"/>
                <w:kern w:val="20"/>
                <w:sz w:val="20"/>
                <w:szCs w:val="17"/>
                <w:lang w:val="en-GB"/>
              </w:rPr>
              <w:t>16 718.9</w:t>
            </w:r>
          </w:p>
        </w:tc>
        <w:tc>
          <w:tcPr>
            <w:tcW w:w="1600" w:type="dxa"/>
            <w:tcBorders>
              <w:top w:val="nil"/>
              <w:left w:val="nil"/>
              <w:bottom w:val="single" w:sz="12" w:space="0" w:color="auto"/>
              <w:right w:val="nil"/>
            </w:tcBorders>
            <w:shd w:val="clear" w:color="auto" w:fill="auto"/>
            <w:hideMark/>
          </w:tcPr>
          <w:p w:rsidR="00B72FA3" w:rsidRPr="00737E2E" w:rsidRDefault="00B72FA3" w:rsidP="0072676B">
            <w:pPr>
              <w:spacing w:before="0" w:after="0"/>
              <w:ind w:firstLine="0"/>
              <w:jc w:val="right"/>
              <w:rPr>
                <w:b/>
                <w:bCs/>
                <w:color w:val="000000" w:themeColor="text1"/>
                <w:kern w:val="20"/>
                <w:sz w:val="20"/>
                <w:szCs w:val="17"/>
                <w:lang w:val="en-GB"/>
              </w:rPr>
            </w:pPr>
            <w:r w:rsidRPr="00737E2E">
              <w:rPr>
                <w:b/>
                <w:bCs/>
                <w:color w:val="000000" w:themeColor="text1"/>
                <w:kern w:val="20"/>
                <w:sz w:val="20"/>
                <w:szCs w:val="17"/>
                <w:lang w:val="en-GB"/>
              </w:rPr>
              <w:t>17 490.6</w:t>
            </w:r>
          </w:p>
        </w:tc>
        <w:tc>
          <w:tcPr>
            <w:tcW w:w="1640" w:type="dxa"/>
            <w:tcBorders>
              <w:top w:val="nil"/>
              <w:left w:val="nil"/>
              <w:bottom w:val="single" w:sz="12" w:space="0" w:color="auto"/>
              <w:right w:val="nil"/>
            </w:tcBorders>
            <w:shd w:val="clear" w:color="auto" w:fill="auto"/>
            <w:hideMark/>
          </w:tcPr>
          <w:p w:rsidR="00B72FA3" w:rsidRPr="00737E2E" w:rsidRDefault="00B72FA3" w:rsidP="0072676B">
            <w:pPr>
              <w:spacing w:before="0" w:after="0"/>
              <w:ind w:firstLine="0"/>
              <w:jc w:val="right"/>
              <w:rPr>
                <w:b/>
                <w:bCs/>
                <w:color w:val="000000" w:themeColor="text1"/>
                <w:kern w:val="20"/>
                <w:sz w:val="20"/>
                <w:szCs w:val="17"/>
                <w:lang w:val="en-GB"/>
              </w:rPr>
            </w:pPr>
            <w:r w:rsidRPr="00737E2E">
              <w:rPr>
                <w:b/>
                <w:bCs/>
                <w:color w:val="000000" w:themeColor="text1"/>
                <w:kern w:val="20"/>
                <w:sz w:val="20"/>
                <w:szCs w:val="17"/>
                <w:lang w:val="en-GB"/>
              </w:rPr>
              <w:t>34 209.5</w:t>
            </w:r>
          </w:p>
        </w:tc>
      </w:tr>
      <w:tr w:rsidR="00B72FA3" w:rsidRPr="00CD6F78" w:rsidTr="00B72FA3">
        <w:trPr>
          <w:trHeight w:val="300"/>
        </w:trPr>
        <w:tc>
          <w:tcPr>
            <w:tcW w:w="4520" w:type="dxa"/>
            <w:tcBorders>
              <w:top w:val="nil"/>
              <w:left w:val="nil"/>
              <w:bottom w:val="nil"/>
              <w:right w:val="nil"/>
            </w:tcBorders>
            <w:shd w:val="clear" w:color="auto" w:fill="auto"/>
            <w:hideMark/>
          </w:tcPr>
          <w:p w:rsidR="00B72FA3" w:rsidRPr="00CD6F78" w:rsidRDefault="00B72FA3" w:rsidP="0072676B">
            <w:pPr>
              <w:adjustRightInd w:val="0"/>
              <w:spacing w:before="0" w:after="0"/>
              <w:ind w:firstLine="0"/>
              <w:contextualSpacing/>
              <w:rPr>
                <w:color w:val="000000"/>
                <w:sz w:val="20"/>
                <w:szCs w:val="20"/>
                <w:lang w:eastAsia="zh-CN"/>
              </w:rPr>
            </w:pPr>
            <w:r>
              <w:rPr>
                <w:rFonts w:hint="eastAsia"/>
                <w:color w:val="000000"/>
                <w:sz w:val="20"/>
                <w:szCs w:val="20"/>
                <w:lang w:eastAsia="zh-CN"/>
              </w:rPr>
              <w:t>方案支助费用</w:t>
            </w:r>
          </w:p>
        </w:tc>
        <w:tc>
          <w:tcPr>
            <w:tcW w:w="1360" w:type="dxa"/>
            <w:tcBorders>
              <w:top w:val="nil"/>
              <w:left w:val="nil"/>
              <w:bottom w:val="nil"/>
              <w:right w:val="nil"/>
            </w:tcBorders>
            <w:shd w:val="clear" w:color="auto" w:fill="auto"/>
            <w:noWrap/>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2 173.5</w:t>
            </w:r>
          </w:p>
        </w:tc>
        <w:tc>
          <w:tcPr>
            <w:tcW w:w="160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2 273.8</w:t>
            </w:r>
          </w:p>
        </w:tc>
        <w:tc>
          <w:tcPr>
            <w:tcW w:w="1640" w:type="dxa"/>
            <w:tcBorders>
              <w:top w:val="nil"/>
              <w:left w:val="nil"/>
              <w:bottom w:val="nil"/>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4 447.2</w:t>
            </w:r>
          </w:p>
        </w:tc>
      </w:tr>
      <w:tr w:rsidR="00B72FA3" w:rsidRPr="00CD6F78" w:rsidTr="00B72FA3">
        <w:trPr>
          <w:trHeight w:val="300"/>
        </w:trPr>
        <w:tc>
          <w:tcPr>
            <w:tcW w:w="4520" w:type="dxa"/>
            <w:tcBorders>
              <w:top w:val="nil"/>
              <w:left w:val="nil"/>
              <w:bottom w:val="single" w:sz="8" w:space="0" w:color="auto"/>
              <w:right w:val="nil"/>
            </w:tcBorders>
            <w:shd w:val="clear" w:color="auto" w:fill="auto"/>
            <w:hideMark/>
          </w:tcPr>
          <w:p w:rsidR="00B72FA3" w:rsidRPr="00CD6F78" w:rsidRDefault="00B72FA3" w:rsidP="0072676B">
            <w:pPr>
              <w:adjustRightInd w:val="0"/>
              <w:spacing w:before="0" w:after="0"/>
              <w:ind w:firstLine="0"/>
              <w:contextualSpacing/>
              <w:rPr>
                <w:color w:val="000000"/>
                <w:sz w:val="20"/>
                <w:szCs w:val="20"/>
                <w:lang w:eastAsia="zh-CN"/>
              </w:rPr>
            </w:pPr>
            <w:r>
              <w:rPr>
                <w:rFonts w:hint="eastAsia"/>
                <w:color w:val="000000"/>
                <w:sz w:val="20"/>
                <w:szCs w:val="20"/>
                <w:lang w:eastAsia="zh-CN"/>
              </w:rPr>
              <w:t>周转准备金</w:t>
            </w:r>
          </w:p>
        </w:tc>
        <w:tc>
          <w:tcPr>
            <w:tcW w:w="1360" w:type="dxa"/>
            <w:tcBorders>
              <w:top w:val="nil"/>
              <w:left w:val="nil"/>
              <w:bottom w:val="single" w:sz="8" w:space="0" w:color="auto"/>
              <w:right w:val="nil"/>
            </w:tcBorders>
            <w:shd w:val="clear" w:color="auto" w:fill="auto"/>
            <w:noWrap/>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56.6</w:t>
            </w:r>
          </w:p>
        </w:tc>
        <w:tc>
          <w:tcPr>
            <w:tcW w:w="1600" w:type="dxa"/>
            <w:tcBorders>
              <w:top w:val="nil"/>
              <w:left w:val="nil"/>
              <w:bottom w:val="single" w:sz="8" w:space="0" w:color="auto"/>
              <w:right w:val="nil"/>
            </w:tcBorders>
            <w:shd w:val="clear" w:color="auto" w:fill="auto"/>
            <w:noWrap/>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130.7</w:t>
            </w:r>
          </w:p>
        </w:tc>
        <w:tc>
          <w:tcPr>
            <w:tcW w:w="1640" w:type="dxa"/>
            <w:tcBorders>
              <w:top w:val="nil"/>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187.4</w:t>
            </w:r>
          </w:p>
        </w:tc>
      </w:tr>
      <w:tr w:rsidR="00B72FA3" w:rsidRPr="00CD6F78" w:rsidTr="00B72FA3">
        <w:trPr>
          <w:trHeight w:val="300"/>
        </w:trPr>
        <w:tc>
          <w:tcPr>
            <w:tcW w:w="4520" w:type="dxa"/>
            <w:tcBorders>
              <w:top w:val="nil"/>
              <w:left w:val="nil"/>
              <w:bottom w:val="single" w:sz="8" w:space="0" w:color="auto"/>
              <w:right w:val="nil"/>
            </w:tcBorders>
            <w:shd w:val="clear" w:color="auto" w:fill="auto"/>
            <w:hideMark/>
          </w:tcPr>
          <w:p w:rsidR="00B72FA3" w:rsidRPr="00CD6F78" w:rsidRDefault="00B72FA3" w:rsidP="0072676B">
            <w:pPr>
              <w:adjustRightInd w:val="0"/>
              <w:spacing w:before="0" w:after="0"/>
              <w:ind w:firstLine="0"/>
              <w:contextualSpacing/>
              <w:rPr>
                <w:b/>
                <w:bCs/>
                <w:color w:val="000000"/>
                <w:sz w:val="20"/>
                <w:szCs w:val="20"/>
              </w:rPr>
            </w:pPr>
            <w:r>
              <w:rPr>
                <w:rFonts w:hint="eastAsia"/>
                <w:b/>
                <w:bCs/>
                <w:color w:val="000000"/>
                <w:sz w:val="20"/>
                <w:szCs w:val="20"/>
                <w:lang w:eastAsia="zh-CN"/>
              </w:rPr>
              <w:t>共计</w:t>
            </w:r>
            <w:r w:rsidRPr="00CD6F78">
              <w:rPr>
                <w:b/>
                <w:bCs/>
                <w:color w:val="000000"/>
                <w:sz w:val="20"/>
                <w:szCs w:val="20"/>
              </w:rPr>
              <w:t> </w:t>
            </w:r>
          </w:p>
        </w:tc>
        <w:tc>
          <w:tcPr>
            <w:tcW w:w="1360" w:type="dxa"/>
            <w:tcBorders>
              <w:top w:val="nil"/>
              <w:left w:val="nil"/>
              <w:bottom w:val="single" w:sz="8" w:space="0" w:color="auto"/>
              <w:right w:val="nil"/>
            </w:tcBorders>
            <w:shd w:val="clear" w:color="auto" w:fill="auto"/>
            <w:noWrap/>
            <w:hideMark/>
          </w:tcPr>
          <w:p w:rsidR="00B72FA3" w:rsidRPr="00737E2E" w:rsidRDefault="00B72FA3" w:rsidP="0072676B">
            <w:pPr>
              <w:spacing w:before="0" w:after="0"/>
              <w:ind w:firstLine="0"/>
              <w:jc w:val="right"/>
              <w:rPr>
                <w:b/>
                <w:bCs/>
                <w:color w:val="000000" w:themeColor="text1"/>
                <w:kern w:val="20"/>
                <w:sz w:val="20"/>
                <w:szCs w:val="17"/>
                <w:lang w:val="en-GB"/>
              </w:rPr>
            </w:pPr>
            <w:r w:rsidRPr="00737E2E">
              <w:rPr>
                <w:b/>
                <w:bCs/>
                <w:color w:val="000000" w:themeColor="text1"/>
                <w:kern w:val="20"/>
                <w:sz w:val="20"/>
                <w:szCs w:val="17"/>
                <w:lang w:val="en-GB"/>
              </w:rPr>
              <w:t>18 949.0</w:t>
            </w:r>
          </w:p>
        </w:tc>
        <w:tc>
          <w:tcPr>
            <w:tcW w:w="1600" w:type="dxa"/>
            <w:tcBorders>
              <w:top w:val="nil"/>
              <w:left w:val="nil"/>
              <w:bottom w:val="single" w:sz="8" w:space="0" w:color="auto"/>
              <w:right w:val="nil"/>
            </w:tcBorders>
            <w:shd w:val="clear" w:color="auto" w:fill="auto"/>
            <w:noWrap/>
            <w:hideMark/>
          </w:tcPr>
          <w:p w:rsidR="00B72FA3" w:rsidRPr="00737E2E" w:rsidRDefault="00B72FA3" w:rsidP="0072676B">
            <w:pPr>
              <w:spacing w:before="0" w:after="0"/>
              <w:ind w:firstLine="0"/>
              <w:jc w:val="right"/>
              <w:rPr>
                <w:b/>
                <w:bCs/>
                <w:color w:val="000000" w:themeColor="text1"/>
                <w:kern w:val="20"/>
                <w:sz w:val="20"/>
                <w:szCs w:val="17"/>
                <w:lang w:val="en-GB"/>
              </w:rPr>
            </w:pPr>
            <w:r w:rsidRPr="00737E2E">
              <w:rPr>
                <w:b/>
                <w:bCs/>
                <w:color w:val="000000" w:themeColor="text1"/>
                <w:kern w:val="20"/>
                <w:sz w:val="20"/>
                <w:szCs w:val="17"/>
                <w:lang w:val="en-GB"/>
              </w:rPr>
              <w:t>19 895.1</w:t>
            </w:r>
          </w:p>
        </w:tc>
        <w:tc>
          <w:tcPr>
            <w:tcW w:w="1640" w:type="dxa"/>
            <w:tcBorders>
              <w:top w:val="nil"/>
              <w:left w:val="nil"/>
              <w:bottom w:val="single" w:sz="8" w:space="0" w:color="auto"/>
              <w:right w:val="nil"/>
            </w:tcBorders>
            <w:shd w:val="clear" w:color="auto" w:fill="auto"/>
            <w:noWrap/>
            <w:hideMark/>
          </w:tcPr>
          <w:p w:rsidR="00B72FA3" w:rsidRPr="00737E2E" w:rsidRDefault="00B72FA3" w:rsidP="0072676B">
            <w:pPr>
              <w:spacing w:before="0" w:after="0"/>
              <w:ind w:firstLine="0"/>
              <w:jc w:val="right"/>
              <w:rPr>
                <w:b/>
                <w:bCs/>
                <w:color w:val="000000" w:themeColor="text1"/>
                <w:kern w:val="20"/>
                <w:sz w:val="20"/>
                <w:szCs w:val="17"/>
                <w:lang w:val="en-GB"/>
              </w:rPr>
            </w:pPr>
            <w:r w:rsidRPr="00737E2E">
              <w:rPr>
                <w:b/>
                <w:bCs/>
                <w:color w:val="000000" w:themeColor="text1"/>
                <w:kern w:val="20"/>
                <w:sz w:val="20"/>
                <w:szCs w:val="17"/>
                <w:lang w:val="en-GB"/>
              </w:rPr>
              <w:t>38 844.1</w:t>
            </w:r>
          </w:p>
        </w:tc>
      </w:tr>
      <w:tr w:rsidR="00B72FA3" w:rsidRPr="00CD6F78" w:rsidTr="00B72FA3">
        <w:trPr>
          <w:trHeight w:val="288"/>
        </w:trPr>
        <w:tc>
          <w:tcPr>
            <w:tcW w:w="4520" w:type="dxa"/>
            <w:tcBorders>
              <w:top w:val="nil"/>
              <w:left w:val="nil"/>
              <w:bottom w:val="single" w:sz="4" w:space="0" w:color="auto"/>
              <w:right w:val="nil"/>
            </w:tcBorders>
            <w:shd w:val="clear" w:color="auto" w:fill="auto"/>
            <w:vAlign w:val="center"/>
            <w:hideMark/>
          </w:tcPr>
          <w:p w:rsidR="00B72FA3" w:rsidRPr="00CD6F78" w:rsidRDefault="00B72FA3" w:rsidP="0072676B">
            <w:pPr>
              <w:adjustRightInd w:val="0"/>
              <w:spacing w:before="0" w:after="0"/>
              <w:ind w:firstLine="0"/>
              <w:contextualSpacing/>
              <w:rPr>
                <w:sz w:val="20"/>
                <w:szCs w:val="20"/>
                <w:lang w:eastAsia="zh-CN"/>
              </w:rPr>
            </w:pPr>
            <w:r>
              <w:rPr>
                <w:rFonts w:hint="eastAsia"/>
                <w:sz w:val="20"/>
                <w:szCs w:val="20"/>
                <w:lang w:eastAsia="zh-CN"/>
              </w:rPr>
              <w:t>综合预算</w:t>
            </w:r>
            <w:r>
              <w:rPr>
                <w:sz w:val="20"/>
                <w:szCs w:val="20"/>
                <w:lang w:eastAsia="zh-CN"/>
              </w:rPr>
              <w:t>的《公约</w:t>
            </w:r>
            <w:r>
              <w:rPr>
                <w:rFonts w:hint="eastAsia"/>
                <w:sz w:val="20"/>
                <w:szCs w:val="20"/>
                <w:lang w:eastAsia="zh-CN"/>
              </w:rPr>
              <w:t>》</w:t>
            </w:r>
            <w:r>
              <w:rPr>
                <w:sz w:val="20"/>
                <w:szCs w:val="20"/>
                <w:lang w:eastAsia="zh-CN"/>
              </w:rPr>
              <w:t>份额</w:t>
            </w:r>
            <w:r w:rsidRPr="00CD6F78">
              <w:rPr>
                <w:sz w:val="20"/>
                <w:szCs w:val="20"/>
                <w:lang w:eastAsia="zh-CN"/>
              </w:rPr>
              <w:t xml:space="preserve"> </w:t>
            </w:r>
            <w:r>
              <w:rPr>
                <w:sz w:val="20"/>
                <w:szCs w:val="20"/>
                <w:lang w:eastAsia="zh-CN"/>
              </w:rPr>
              <w:t>（</w:t>
            </w:r>
            <w:r w:rsidRPr="00CD6F78">
              <w:rPr>
                <w:sz w:val="20"/>
                <w:szCs w:val="20"/>
                <w:lang w:eastAsia="zh-CN"/>
              </w:rPr>
              <w:t>74%</w:t>
            </w:r>
            <w:r>
              <w:rPr>
                <w:sz w:val="20"/>
                <w:szCs w:val="20"/>
                <w:lang w:eastAsia="zh-CN"/>
              </w:rPr>
              <w:t>）</w:t>
            </w:r>
          </w:p>
        </w:tc>
        <w:tc>
          <w:tcPr>
            <w:tcW w:w="1360" w:type="dxa"/>
            <w:tcBorders>
              <w:top w:val="nil"/>
              <w:left w:val="nil"/>
              <w:bottom w:val="single" w:sz="4" w:space="0" w:color="auto"/>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14 022.3</w:t>
            </w:r>
          </w:p>
        </w:tc>
        <w:tc>
          <w:tcPr>
            <w:tcW w:w="1600" w:type="dxa"/>
            <w:tcBorders>
              <w:top w:val="nil"/>
              <w:left w:val="nil"/>
              <w:bottom w:val="single" w:sz="4" w:space="0" w:color="auto"/>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14 722.4</w:t>
            </w:r>
          </w:p>
        </w:tc>
        <w:tc>
          <w:tcPr>
            <w:tcW w:w="1640" w:type="dxa"/>
            <w:tcBorders>
              <w:top w:val="nil"/>
              <w:left w:val="nil"/>
              <w:bottom w:val="single" w:sz="4" w:space="0" w:color="auto"/>
              <w:right w:val="nil"/>
            </w:tcBorders>
            <w:shd w:val="clear" w:color="auto" w:fill="auto"/>
            <w:noWrap/>
            <w:hideMark/>
          </w:tcPr>
          <w:p w:rsidR="00B72FA3" w:rsidRPr="00737E2E" w:rsidRDefault="00B72FA3" w:rsidP="0072676B">
            <w:pPr>
              <w:spacing w:before="0" w:after="0"/>
              <w:ind w:firstLine="0"/>
              <w:jc w:val="right"/>
              <w:rPr>
                <w:b/>
                <w:bCs/>
                <w:color w:val="000000" w:themeColor="text1"/>
                <w:kern w:val="20"/>
                <w:sz w:val="20"/>
                <w:szCs w:val="17"/>
                <w:lang w:val="en-GB"/>
              </w:rPr>
            </w:pPr>
            <w:r w:rsidRPr="00737E2E">
              <w:rPr>
                <w:b/>
                <w:bCs/>
                <w:color w:val="000000" w:themeColor="text1"/>
                <w:kern w:val="20"/>
                <w:sz w:val="20"/>
                <w:szCs w:val="17"/>
                <w:lang w:val="en-GB"/>
              </w:rPr>
              <w:t>28 744.7</w:t>
            </w:r>
          </w:p>
        </w:tc>
      </w:tr>
      <w:tr w:rsidR="00B72FA3" w:rsidRPr="00CD6F78" w:rsidTr="00B72FA3">
        <w:trPr>
          <w:trHeight w:val="288"/>
        </w:trPr>
        <w:tc>
          <w:tcPr>
            <w:tcW w:w="4520" w:type="dxa"/>
            <w:tcBorders>
              <w:top w:val="nil"/>
              <w:left w:val="nil"/>
              <w:bottom w:val="nil"/>
              <w:right w:val="nil"/>
            </w:tcBorders>
            <w:shd w:val="clear" w:color="auto" w:fill="auto"/>
            <w:hideMark/>
          </w:tcPr>
          <w:p w:rsidR="00B72FA3" w:rsidRPr="00CD6F78" w:rsidRDefault="00B72FA3" w:rsidP="0072676B">
            <w:pPr>
              <w:adjustRightInd w:val="0"/>
              <w:spacing w:before="0" w:after="0"/>
              <w:ind w:firstLine="0"/>
              <w:contextualSpacing/>
              <w:rPr>
                <w:color w:val="000000"/>
                <w:sz w:val="20"/>
                <w:szCs w:val="20"/>
              </w:rPr>
            </w:pPr>
            <w:r w:rsidRPr="00737E2E">
              <w:rPr>
                <w:rFonts w:hint="eastAsia"/>
                <w:color w:val="000000"/>
                <w:sz w:val="20"/>
                <w:szCs w:val="20"/>
                <w:lang w:eastAsia="zh-CN"/>
              </w:rPr>
              <w:t>扣除</w:t>
            </w:r>
            <w:r>
              <w:rPr>
                <w:rFonts w:hint="eastAsia"/>
                <w:color w:val="000000"/>
                <w:sz w:val="20"/>
                <w:szCs w:val="20"/>
                <w:lang w:eastAsia="zh-CN"/>
              </w:rPr>
              <w:t>：</w:t>
            </w:r>
            <w:r>
              <w:rPr>
                <w:color w:val="000000"/>
                <w:sz w:val="20"/>
                <w:szCs w:val="20"/>
                <w:lang w:eastAsia="zh-CN"/>
              </w:rPr>
              <w:t>东道国的</w:t>
            </w:r>
            <w:r>
              <w:rPr>
                <w:rFonts w:hint="eastAsia"/>
                <w:color w:val="000000"/>
                <w:sz w:val="20"/>
                <w:szCs w:val="20"/>
                <w:lang w:eastAsia="zh-CN"/>
              </w:rPr>
              <w:t>捐助</w:t>
            </w:r>
          </w:p>
        </w:tc>
        <w:tc>
          <w:tcPr>
            <w:tcW w:w="136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(909.8)</w:t>
            </w:r>
          </w:p>
        </w:tc>
        <w:tc>
          <w:tcPr>
            <w:tcW w:w="160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(1 053.3)</w:t>
            </w:r>
          </w:p>
        </w:tc>
        <w:tc>
          <w:tcPr>
            <w:tcW w:w="164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(1 963.1)</w:t>
            </w:r>
          </w:p>
        </w:tc>
      </w:tr>
      <w:tr w:rsidR="00B72FA3" w:rsidRPr="00CD6F78" w:rsidTr="00B72FA3">
        <w:trPr>
          <w:trHeight w:val="288"/>
        </w:trPr>
        <w:tc>
          <w:tcPr>
            <w:tcW w:w="4520" w:type="dxa"/>
            <w:tcBorders>
              <w:top w:val="nil"/>
              <w:left w:val="nil"/>
              <w:bottom w:val="nil"/>
              <w:right w:val="nil"/>
            </w:tcBorders>
            <w:shd w:val="clear" w:color="auto" w:fill="auto"/>
            <w:hideMark/>
          </w:tcPr>
          <w:p w:rsidR="00B72FA3" w:rsidRPr="00CD6F78" w:rsidRDefault="00B72FA3" w:rsidP="0072676B">
            <w:pPr>
              <w:adjustRightInd w:val="0"/>
              <w:spacing w:before="0" w:after="0"/>
              <w:ind w:firstLine="0"/>
              <w:contextualSpacing/>
              <w:rPr>
                <w:color w:val="000000"/>
                <w:sz w:val="20"/>
                <w:szCs w:val="20"/>
                <w:lang w:eastAsia="zh-CN"/>
              </w:rPr>
            </w:pPr>
            <w:r w:rsidRPr="00737E2E">
              <w:rPr>
                <w:rFonts w:hint="eastAsia"/>
                <w:color w:val="000000"/>
                <w:sz w:val="20"/>
                <w:szCs w:val="20"/>
                <w:lang w:eastAsia="zh-CN"/>
              </w:rPr>
              <w:t>扣除</w:t>
            </w:r>
            <w:r>
              <w:rPr>
                <w:rFonts w:hint="eastAsia"/>
                <w:color w:val="000000"/>
                <w:sz w:val="20"/>
                <w:szCs w:val="20"/>
                <w:lang w:eastAsia="zh-CN"/>
              </w:rPr>
              <w:t>：为不限成员名额工作组</w:t>
            </w:r>
            <w:r>
              <w:rPr>
                <w:color w:val="000000"/>
                <w:sz w:val="20"/>
                <w:szCs w:val="20"/>
                <w:lang w:eastAsia="zh-CN"/>
              </w:rPr>
              <w:t>动用的储备金</w:t>
            </w:r>
          </w:p>
        </w:tc>
        <w:tc>
          <w:tcPr>
            <w:tcW w:w="136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(627.2)</w:t>
            </w:r>
          </w:p>
        </w:tc>
        <w:tc>
          <w:tcPr>
            <w:tcW w:w="160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(468.3)</w:t>
            </w:r>
          </w:p>
        </w:tc>
        <w:tc>
          <w:tcPr>
            <w:tcW w:w="164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(1 095.5)</w:t>
            </w:r>
          </w:p>
        </w:tc>
      </w:tr>
      <w:tr w:rsidR="00B72FA3" w:rsidRPr="00CD6F78" w:rsidTr="00B72FA3">
        <w:trPr>
          <w:trHeight w:val="288"/>
        </w:trPr>
        <w:tc>
          <w:tcPr>
            <w:tcW w:w="4520" w:type="dxa"/>
            <w:tcBorders>
              <w:top w:val="nil"/>
              <w:left w:val="nil"/>
              <w:bottom w:val="nil"/>
              <w:right w:val="nil"/>
            </w:tcBorders>
            <w:shd w:val="clear" w:color="auto" w:fill="auto"/>
            <w:hideMark/>
          </w:tcPr>
          <w:p w:rsidR="00B72FA3" w:rsidRPr="00CD6F78" w:rsidRDefault="00B72FA3" w:rsidP="0072676B">
            <w:pPr>
              <w:adjustRightInd w:val="0"/>
              <w:spacing w:before="0" w:after="0"/>
              <w:ind w:firstLine="0"/>
              <w:contextualSpacing/>
              <w:rPr>
                <w:color w:val="000000"/>
                <w:sz w:val="20"/>
                <w:szCs w:val="20"/>
                <w:lang w:eastAsia="zh-CN"/>
              </w:rPr>
            </w:pPr>
            <w:r w:rsidRPr="00737E2E">
              <w:rPr>
                <w:rFonts w:hint="eastAsia"/>
                <w:color w:val="000000"/>
                <w:sz w:val="20"/>
                <w:szCs w:val="20"/>
                <w:lang w:eastAsia="zh-CN"/>
              </w:rPr>
              <w:t>扣除</w:t>
            </w:r>
            <w:r>
              <w:rPr>
                <w:rFonts w:hint="eastAsia"/>
                <w:color w:val="000000"/>
                <w:sz w:val="20"/>
                <w:szCs w:val="20"/>
                <w:lang w:eastAsia="zh-CN"/>
              </w:rPr>
              <w:t>：以往年份</w:t>
            </w:r>
            <w:r>
              <w:rPr>
                <w:color w:val="000000"/>
                <w:sz w:val="20"/>
                <w:szCs w:val="20"/>
                <w:lang w:eastAsia="zh-CN"/>
              </w:rPr>
              <w:t>动用的储备金</w:t>
            </w:r>
          </w:p>
        </w:tc>
        <w:tc>
          <w:tcPr>
            <w:tcW w:w="136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(638.7)</w:t>
            </w:r>
          </w:p>
        </w:tc>
        <w:tc>
          <w:tcPr>
            <w:tcW w:w="160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(638.7)</w:t>
            </w:r>
          </w:p>
        </w:tc>
        <w:tc>
          <w:tcPr>
            <w:tcW w:w="1640" w:type="dxa"/>
            <w:tcBorders>
              <w:top w:val="nil"/>
              <w:left w:val="nil"/>
              <w:bottom w:val="nil"/>
              <w:right w:val="nil"/>
            </w:tcBorders>
            <w:shd w:val="clear" w:color="auto" w:fill="auto"/>
            <w:vAlign w:val="center"/>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(1 277.4)</w:t>
            </w:r>
          </w:p>
        </w:tc>
      </w:tr>
      <w:tr w:rsidR="00B72FA3" w:rsidRPr="00CD6F78" w:rsidTr="00B72FA3">
        <w:trPr>
          <w:trHeight w:val="300"/>
        </w:trPr>
        <w:tc>
          <w:tcPr>
            <w:tcW w:w="4520" w:type="dxa"/>
            <w:tcBorders>
              <w:top w:val="single" w:sz="4" w:space="0" w:color="auto"/>
              <w:left w:val="nil"/>
              <w:bottom w:val="single" w:sz="8" w:space="0" w:color="auto"/>
              <w:right w:val="nil"/>
            </w:tcBorders>
            <w:shd w:val="clear" w:color="auto" w:fill="auto"/>
            <w:hideMark/>
          </w:tcPr>
          <w:p w:rsidR="00B72FA3" w:rsidRPr="00CD6F78" w:rsidRDefault="00B72FA3" w:rsidP="0072676B">
            <w:pPr>
              <w:adjustRightInd w:val="0"/>
              <w:spacing w:before="0" w:after="0"/>
              <w:ind w:firstLine="0"/>
              <w:contextualSpacing/>
              <w:rPr>
                <w:color w:val="000000"/>
                <w:sz w:val="20"/>
                <w:szCs w:val="20"/>
                <w:lang w:eastAsia="zh-CN"/>
              </w:rPr>
            </w:pPr>
            <w:r>
              <w:rPr>
                <w:rFonts w:hint="eastAsia"/>
                <w:color w:val="000000"/>
                <w:sz w:val="20"/>
                <w:szCs w:val="20"/>
                <w:lang w:eastAsia="zh-CN"/>
              </w:rPr>
              <w:t>总额净值</w:t>
            </w:r>
            <w:r w:rsidRPr="00CD6F78">
              <w:rPr>
                <w:color w:val="000000"/>
                <w:sz w:val="20"/>
                <w:szCs w:val="20"/>
                <w:lang w:eastAsia="zh-CN"/>
              </w:rPr>
              <w:t xml:space="preserve"> </w:t>
            </w:r>
            <w:r>
              <w:rPr>
                <w:color w:val="000000"/>
                <w:sz w:val="20"/>
                <w:szCs w:val="20"/>
                <w:lang w:eastAsia="zh-CN"/>
              </w:rPr>
              <w:t>（</w:t>
            </w:r>
            <w:r>
              <w:rPr>
                <w:rFonts w:hint="eastAsia"/>
                <w:color w:val="000000"/>
                <w:sz w:val="20"/>
                <w:szCs w:val="20"/>
                <w:lang w:eastAsia="zh-CN"/>
              </w:rPr>
              <w:t>由缔约方</w:t>
            </w:r>
            <w:r>
              <w:rPr>
                <w:color w:val="000000"/>
                <w:sz w:val="20"/>
                <w:szCs w:val="20"/>
                <w:lang w:eastAsia="zh-CN"/>
              </w:rPr>
              <w:t>分摊的数额）</w:t>
            </w:r>
          </w:p>
        </w:tc>
        <w:tc>
          <w:tcPr>
            <w:tcW w:w="1360" w:type="dxa"/>
            <w:tcBorders>
              <w:top w:val="single" w:sz="4" w:space="0" w:color="auto"/>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11 846.6</w:t>
            </w:r>
          </w:p>
        </w:tc>
        <w:tc>
          <w:tcPr>
            <w:tcW w:w="1600" w:type="dxa"/>
            <w:tcBorders>
              <w:top w:val="single" w:sz="4" w:space="0" w:color="auto"/>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12 562.1</w:t>
            </w:r>
          </w:p>
        </w:tc>
        <w:tc>
          <w:tcPr>
            <w:tcW w:w="1640" w:type="dxa"/>
            <w:tcBorders>
              <w:top w:val="single" w:sz="4" w:space="0" w:color="auto"/>
              <w:left w:val="nil"/>
              <w:bottom w:val="single" w:sz="8" w:space="0" w:color="auto"/>
              <w:right w:val="nil"/>
            </w:tcBorders>
            <w:shd w:val="clear" w:color="auto" w:fill="auto"/>
            <w:hideMark/>
          </w:tcPr>
          <w:p w:rsidR="00B72FA3" w:rsidRPr="00737E2E" w:rsidRDefault="00B72FA3" w:rsidP="0072676B">
            <w:pPr>
              <w:spacing w:before="0" w:after="0"/>
              <w:ind w:firstLine="0"/>
              <w:jc w:val="right"/>
              <w:rPr>
                <w:color w:val="000000" w:themeColor="text1"/>
                <w:kern w:val="20"/>
                <w:sz w:val="20"/>
                <w:szCs w:val="17"/>
                <w:lang w:val="en-GB"/>
              </w:rPr>
            </w:pPr>
            <w:r w:rsidRPr="00737E2E">
              <w:rPr>
                <w:color w:val="000000" w:themeColor="text1"/>
                <w:kern w:val="20"/>
                <w:sz w:val="20"/>
                <w:szCs w:val="17"/>
                <w:lang w:val="en-GB"/>
              </w:rPr>
              <w:t>24 408.7</w:t>
            </w:r>
          </w:p>
        </w:tc>
      </w:tr>
      <w:tr w:rsidR="00B72FA3" w:rsidRPr="00CD6F78" w:rsidTr="00B72FA3">
        <w:trPr>
          <w:trHeight w:val="300"/>
        </w:trPr>
        <w:tc>
          <w:tcPr>
            <w:tcW w:w="4520" w:type="dxa"/>
            <w:tcBorders>
              <w:top w:val="nil"/>
              <w:left w:val="nil"/>
              <w:bottom w:val="nil"/>
              <w:right w:val="nil"/>
            </w:tcBorders>
            <w:shd w:val="clear" w:color="auto" w:fill="auto"/>
            <w:noWrap/>
            <w:vAlign w:val="bottom"/>
            <w:hideMark/>
          </w:tcPr>
          <w:p w:rsidR="00B72FA3" w:rsidRPr="00CD6F78" w:rsidRDefault="00B72FA3" w:rsidP="008640E9">
            <w:pPr>
              <w:adjustRightInd w:val="0"/>
              <w:spacing w:before="0" w:after="0"/>
              <w:contextualSpacing/>
              <w:rPr>
                <w:rFonts w:ascii="Calibri" w:hAnsi="Calibri" w:cs="Calibri"/>
                <w:color w:val="000000"/>
                <w:sz w:val="20"/>
                <w:szCs w:val="20"/>
              </w:rPr>
            </w:pPr>
          </w:p>
        </w:tc>
        <w:tc>
          <w:tcPr>
            <w:tcW w:w="1360" w:type="dxa"/>
            <w:tcBorders>
              <w:top w:val="nil"/>
              <w:left w:val="nil"/>
              <w:bottom w:val="nil"/>
              <w:right w:val="nil"/>
            </w:tcBorders>
            <w:shd w:val="clear" w:color="auto" w:fill="auto"/>
            <w:noWrap/>
            <w:vAlign w:val="bottom"/>
            <w:hideMark/>
          </w:tcPr>
          <w:p w:rsidR="00B72FA3" w:rsidRPr="00CD6F78" w:rsidRDefault="00B72FA3" w:rsidP="008640E9">
            <w:pPr>
              <w:adjustRightInd w:val="0"/>
              <w:spacing w:before="0" w:after="0"/>
              <w:contextualSpacing/>
              <w:rPr>
                <w:rFonts w:ascii="Calibri" w:hAnsi="Calibri" w:cs="Calibri"/>
                <w:color w:val="000000"/>
                <w:sz w:val="20"/>
                <w:szCs w:val="20"/>
              </w:rPr>
            </w:pPr>
          </w:p>
        </w:tc>
        <w:tc>
          <w:tcPr>
            <w:tcW w:w="1600" w:type="dxa"/>
            <w:tcBorders>
              <w:top w:val="nil"/>
              <w:left w:val="nil"/>
              <w:bottom w:val="nil"/>
              <w:right w:val="nil"/>
            </w:tcBorders>
            <w:shd w:val="clear" w:color="auto" w:fill="auto"/>
            <w:noWrap/>
            <w:vAlign w:val="bottom"/>
            <w:hideMark/>
          </w:tcPr>
          <w:p w:rsidR="00B72FA3" w:rsidRPr="00CD6F78" w:rsidRDefault="00B72FA3" w:rsidP="008640E9">
            <w:pPr>
              <w:adjustRightInd w:val="0"/>
              <w:spacing w:before="0" w:after="0"/>
              <w:contextualSpacing/>
              <w:rPr>
                <w:rFonts w:ascii="Calibri" w:hAnsi="Calibri" w:cs="Calibri"/>
                <w:color w:val="000000"/>
                <w:sz w:val="20"/>
                <w:szCs w:val="20"/>
              </w:rPr>
            </w:pPr>
          </w:p>
        </w:tc>
        <w:tc>
          <w:tcPr>
            <w:tcW w:w="1640" w:type="dxa"/>
            <w:tcBorders>
              <w:top w:val="nil"/>
              <w:left w:val="nil"/>
              <w:bottom w:val="nil"/>
              <w:right w:val="nil"/>
            </w:tcBorders>
            <w:shd w:val="clear" w:color="auto" w:fill="auto"/>
            <w:noWrap/>
            <w:vAlign w:val="bottom"/>
            <w:hideMark/>
          </w:tcPr>
          <w:p w:rsidR="00B72FA3" w:rsidRPr="00CD6F78" w:rsidRDefault="00B72FA3" w:rsidP="008640E9">
            <w:pPr>
              <w:adjustRightInd w:val="0"/>
              <w:spacing w:before="0" w:after="0"/>
              <w:contextualSpacing/>
              <w:rPr>
                <w:rFonts w:ascii="Calibri" w:hAnsi="Calibri" w:cs="Calibri"/>
                <w:color w:val="000000"/>
                <w:sz w:val="20"/>
                <w:szCs w:val="20"/>
              </w:rPr>
            </w:pPr>
          </w:p>
        </w:tc>
      </w:tr>
    </w:tbl>
    <w:p w:rsidR="0072676B" w:rsidRDefault="0072676B">
      <w:pPr>
        <w:rPr>
          <w:b/>
          <w:bCs/>
          <w:iCs/>
          <w:color w:val="000000"/>
          <w:kern w:val="18"/>
          <w:lang w:val="de-CH" w:eastAsia="zh-CN"/>
        </w:rPr>
      </w:pPr>
      <w:r>
        <w:rPr>
          <w:b/>
          <w:bCs/>
          <w:iCs/>
          <w:color w:val="000000"/>
          <w:kern w:val="18"/>
          <w:lang w:val="de-CH" w:eastAsia="zh-CN"/>
        </w:rPr>
        <w:lastRenderedPageBreak/>
        <w:br w:type="page"/>
      </w:r>
    </w:p>
    <w:p w:rsidR="00B72FA3" w:rsidRPr="00B70AA3" w:rsidRDefault="00B72FA3" w:rsidP="008640E9">
      <w:pPr>
        <w:shd w:val="clear" w:color="auto" w:fill="FFFFFF" w:themeFill="background1"/>
        <w:tabs>
          <w:tab w:val="left" w:pos="1530"/>
        </w:tabs>
        <w:adjustRightInd w:val="0"/>
        <w:snapToGrid w:val="0"/>
        <w:spacing w:before="0" w:after="0"/>
        <w:ind w:left="1530" w:right="900" w:hanging="990"/>
        <w:rPr>
          <w:sz w:val="20"/>
          <w:szCs w:val="20"/>
          <w:lang w:eastAsia="zh-CN"/>
        </w:rPr>
      </w:pPr>
      <w:r w:rsidRPr="00421205">
        <w:rPr>
          <w:rFonts w:hint="eastAsia"/>
          <w:b/>
          <w:bCs/>
          <w:iCs/>
          <w:color w:val="000000"/>
          <w:kern w:val="18"/>
          <w:lang w:val="de-CH" w:eastAsia="zh-CN"/>
        </w:rPr>
        <w:lastRenderedPageBreak/>
        <w:t>表</w:t>
      </w:r>
      <w:r>
        <w:rPr>
          <w:b/>
          <w:bCs/>
          <w:iCs/>
          <w:color w:val="000000"/>
          <w:kern w:val="18"/>
          <w:lang w:val="de-CH" w:eastAsia="zh-CN"/>
        </w:rPr>
        <w:t xml:space="preserve">1b. </w:t>
      </w:r>
      <w:r>
        <w:rPr>
          <w:b/>
          <w:bCs/>
          <w:iCs/>
          <w:color w:val="000000"/>
          <w:kern w:val="18"/>
          <w:lang w:val="de-CH" w:eastAsia="zh-CN"/>
        </w:rPr>
        <w:tab/>
      </w:r>
      <w:r w:rsidRPr="00B17A63">
        <w:rPr>
          <w:b/>
          <w:bCs/>
          <w:iCs/>
          <w:color w:val="000000"/>
          <w:kern w:val="18"/>
          <w:lang w:val="en-GB" w:eastAsia="zh-CN"/>
        </w:rPr>
        <w:t>《</w:t>
      </w:r>
      <w:r w:rsidRPr="00B17A63">
        <w:rPr>
          <w:rFonts w:hint="eastAsia"/>
          <w:b/>
          <w:bCs/>
          <w:iCs/>
          <w:color w:val="000000"/>
          <w:kern w:val="18"/>
          <w:lang w:val="en-GB" w:eastAsia="zh-CN"/>
        </w:rPr>
        <w:t>生物多样性</w:t>
      </w:r>
      <w:r w:rsidRPr="00B17A63">
        <w:rPr>
          <w:b/>
          <w:bCs/>
          <w:iCs/>
          <w:color w:val="000000"/>
          <w:kern w:val="18"/>
          <w:lang w:val="en-GB" w:eastAsia="zh-CN"/>
        </w:rPr>
        <w:t>公约</w:t>
      </w:r>
      <w:r w:rsidRPr="00B17A63">
        <w:rPr>
          <w:rFonts w:hint="eastAsia"/>
          <w:b/>
          <w:bCs/>
          <w:iCs/>
          <w:color w:val="000000"/>
          <w:kern w:val="18"/>
          <w:lang w:val="en-GB" w:eastAsia="zh-CN"/>
        </w:rPr>
        <w:t>》及其</w:t>
      </w:r>
      <w:r w:rsidRPr="00B17A63">
        <w:rPr>
          <w:b/>
          <w:bCs/>
          <w:iCs/>
          <w:color w:val="000000"/>
          <w:kern w:val="18"/>
          <w:lang w:val="en-GB" w:eastAsia="zh-CN"/>
        </w:rPr>
        <w:t>《议定书</w:t>
      </w:r>
      <w:r w:rsidRPr="00B17A63">
        <w:rPr>
          <w:rFonts w:hint="eastAsia"/>
          <w:b/>
          <w:bCs/>
          <w:iCs/>
          <w:color w:val="000000"/>
          <w:kern w:val="18"/>
          <w:lang w:val="en-GB" w:eastAsia="zh-CN"/>
        </w:rPr>
        <w:t>》</w:t>
      </w:r>
      <w:r w:rsidRPr="00B17A63">
        <w:rPr>
          <w:b/>
          <w:bCs/>
          <w:iCs/>
          <w:color w:val="000000"/>
          <w:kern w:val="18"/>
          <w:lang w:val="en-GB" w:eastAsia="zh-CN"/>
        </w:rPr>
        <w:t>信托基金</w:t>
      </w:r>
      <w:r w:rsidRPr="00B17A63">
        <w:rPr>
          <w:b/>
          <w:bCs/>
          <w:iCs/>
          <w:color w:val="000000"/>
          <w:kern w:val="18"/>
          <w:lang w:val="en-CA" w:eastAsia="zh-CN"/>
        </w:rPr>
        <w:t>2019-2020</w:t>
      </w:r>
      <w:r w:rsidRPr="00B17A63">
        <w:rPr>
          <w:rFonts w:hint="eastAsia"/>
          <w:b/>
          <w:bCs/>
          <w:iCs/>
          <w:color w:val="000000"/>
          <w:kern w:val="18"/>
          <w:lang w:val="en-GB" w:eastAsia="zh-CN"/>
        </w:rPr>
        <w:t>年</w:t>
      </w:r>
      <w:r>
        <w:rPr>
          <w:rFonts w:hint="eastAsia"/>
          <w:b/>
          <w:bCs/>
          <w:iCs/>
          <w:color w:val="000000"/>
          <w:kern w:val="18"/>
          <w:lang w:val="en-GB" w:eastAsia="zh-CN"/>
        </w:rPr>
        <w:t>期间</w:t>
      </w:r>
      <w:r w:rsidRPr="00B17A63">
        <w:rPr>
          <w:b/>
          <w:bCs/>
          <w:iCs/>
          <w:color w:val="000000"/>
          <w:kern w:val="18"/>
          <w:lang w:val="en-GB" w:eastAsia="zh-CN"/>
        </w:rPr>
        <w:t>综合两年期预算</w:t>
      </w:r>
      <w:r>
        <w:rPr>
          <w:rFonts w:hint="eastAsia"/>
          <w:b/>
          <w:bCs/>
          <w:iCs/>
          <w:color w:val="000000"/>
          <w:kern w:val="18"/>
          <w:lang w:val="de-CH" w:eastAsia="zh-CN"/>
        </w:rPr>
        <w:t>（</w:t>
      </w:r>
      <w:r w:rsidRPr="00421205">
        <w:rPr>
          <w:rFonts w:hint="eastAsia"/>
          <w:b/>
          <w:bCs/>
          <w:iCs/>
          <w:color w:val="000000"/>
          <w:kern w:val="18"/>
          <w:lang w:val="de-CH" w:eastAsia="zh-CN"/>
        </w:rPr>
        <w:t>按支出</w:t>
      </w:r>
      <w:r w:rsidRPr="00421205">
        <w:rPr>
          <w:b/>
          <w:bCs/>
          <w:iCs/>
          <w:color w:val="000000"/>
          <w:kern w:val="18"/>
          <w:lang w:val="de-CH" w:eastAsia="zh-CN"/>
        </w:rPr>
        <w:t>目的分列</w:t>
      </w:r>
      <w:r>
        <w:rPr>
          <w:rFonts w:hint="eastAsia"/>
          <w:b/>
          <w:bCs/>
          <w:iCs/>
          <w:color w:val="000000"/>
          <w:kern w:val="18"/>
          <w:lang w:val="de-CH" w:eastAsia="zh-CN"/>
        </w:rPr>
        <w:t>）</w:t>
      </w:r>
    </w:p>
    <w:tbl>
      <w:tblPr>
        <w:tblW w:w="0" w:type="auto"/>
        <w:tblInd w:w="93" w:type="dxa"/>
        <w:tblLook w:val="04A0"/>
      </w:tblPr>
      <w:tblGrid>
        <w:gridCol w:w="222"/>
        <w:gridCol w:w="276"/>
        <w:gridCol w:w="3941"/>
        <w:gridCol w:w="1664"/>
        <w:gridCol w:w="1750"/>
        <w:gridCol w:w="2029"/>
      </w:tblGrid>
      <w:tr w:rsidR="00B72FA3" w:rsidRPr="00B70AA3" w:rsidTr="00595694">
        <w:trPr>
          <w:trHeight w:val="261"/>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color w:val="000000"/>
                <w:sz w:val="20"/>
                <w:szCs w:val="20"/>
                <w:lang w:eastAsia="zh-CN"/>
              </w:rPr>
            </w:pPr>
          </w:p>
        </w:tc>
        <w:tc>
          <w:tcPr>
            <w:tcW w:w="4126" w:type="dxa"/>
            <w:gridSpan w:val="2"/>
            <w:vMerge w:val="restart"/>
            <w:tcBorders>
              <w:top w:val="single" w:sz="8" w:space="0" w:color="auto"/>
              <w:left w:val="nil"/>
              <w:bottom w:val="single" w:sz="8" w:space="0" w:color="000000"/>
              <w:right w:val="nil"/>
            </w:tcBorders>
            <w:shd w:val="clear" w:color="auto" w:fill="auto"/>
            <w:vAlign w:val="center"/>
            <w:hideMark/>
          </w:tcPr>
          <w:p w:rsidR="00B72FA3" w:rsidRPr="008A6059" w:rsidRDefault="00B72FA3" w:rsidP="00595694">
            <w:pPr>
              <w:adjustRightInd w:val="0"/>
              <w:spacing w:before="0" w:after="0"/>
              <w:ind w:firstLine="26"/>
              <w:jc w:val="center"/>
              <w:rPr>
                <w:rFonts w:ascii="KaiTi" w:eastAsia="KaiTi" w:hAnsi="KaiTi"/>
                <w:bCs/>
                <w:color w:val="000000"/>
                <w:sz w:val="20"/>
                <w:szCs w:val="20"/>
              </w:rPr>
            </w:pPr>
            <w:r w:rsidRPr="008A6059">
              <w:rPr>
                <w:rFonts w:ascii="KaiTi" w:eastAsia="KaiTi" w:hAnsi="KaiTi" w:hint="eastAsia"/>
                <w:bCs/>
                <w:color w:val="000000"/>
                <w:sz w:val="20"/>
                <w:szCs w:val="20"/>
                <w:lang w:eastAsia="zh-CN"/>
              </w:rPr>
              <w:t>支出目的</w:t>
            </w:r>
          </w:p>
        </w:tc>
        <w:tc>
          <w:tcPr>
            <w:tcW w:w="1626" w:type="dxa"/>
            <w:tcBorders>
              <w:top w:val="single" w:sz="8" w:space="0" w:color="auto"/>
              <w:left w:val="nil"/>
              <w:right w:val="nil"/>
            </w:tcBorders>
            <w:shd w:val="clear" w:color="auto" w:fill="auto"/>
            <w:vAlign w:val="center"/>
            <w:hideMark/>
          </w:tcPr>
          <w:p w:rsidR="00B72FA3" w:rsidRPr="008A6059" w:rsidRDefault="00B72FA3" w:rsidP="00595694">
            <w:pPr>
              <w:adjustRightInd w:val="0"/>
              <w:spacing w:before="0" w:after="0"/>
              <w:ind w:left="-139" w:firstLine="540"/>
              <w:jc w:val="center"/>
              <w:rPr>
                <w:rFonts w:ascii="KaiTi" w:eastAsia="KaiTi" w:hAnsi="KaiTi"/>
                <w:bCs/>
                <w:color w:val="000000"/>
                <w:sz w:val="20"/>
                <w:szCs w:val="20"/>
                <w:lang w:eastAsia="zh-CN"/>
              </w:rPr>
            </w:pPr>
            <w:r w:rsidRPr="008A6059">
              <w:rPr>
                <w:rFonts w:ascii="KaiTi" w:eastAsia="KaiTi" w:hAnsi="KaiTi"/>
                <w:bCs/>
                <w:color w:val="000000"/>
                <w:sz w:val="20"/>
                <w:szCs w:val="20"/>
              </w:rPr>
              <w:t xml:space="preserve">   2019</w:t>
            </w:r>
            <w:r w:rsidRPr="008A6059">
              <w:rPr>
                <w:rFonts w:ascii="KaiTi" w:eastAsia="KaiTi" w:hAnsi="KaiTi" w:hint="eastAsia"/>
                <w:bCs/>
                <w:color w:val="000000"/>
                <w:sz w:val="20"/>
                <w:szCs w:val="20"/>
                <w:lang w:eastAsia="zh-CN"/>
              </w:rPr>
              <w:t>年</w:t>
            </w:r>
          </w:p>
        </w:tc>
        <w:tc>
          <w:tcPr>
            <w:tcW w:w="1710" w:type="dxa"/>
            <w:tcBorders>
              <w:top w:val="single" w:sz="8" w:space="0" w:color="auto"/>
              <w:left w:val="nil"/>
              <w:right w:val="nil"/>
            </w:tcBorders>
            <w:shd w:val="clear" w:color="auto" w:fill="auto"/>
            <w:vAlign w:val="center"/>
            <w:hideMark/>
          </w:tcPr>
          <w:p w:rsidR="00B72FA3" w:rsidRPr="008A6059" w:rsidRDefault="00595694" w:rsidP="00595694">
            <w:pPr>
              <w:adjustRightInd w:val="0"/>
              <w:spacing w:before="0" w:after="0"/>
              <w:ind w:left="305" w:firstLine="415"/>
              <w:jc w:val="center"/>
              <w:rPr>
                <w:rFonts w:ascii="KaiTi" w:eastAsia="KaiTi" w:hAnsi="KaiTi"/>
                <w:bCs/>
                <w:color w:val="000000"/>
                <w:sz w:val="20"/>
                <w:szCs w:val="20"/>
                <w:lang w:eastAsia="zh-CN"/>
              </w:rPr>
            </w:pPr>
            <w:r>
              <w:rPr>
                <w:rFonts w:ascii="KaiTi" w:eastAsia="KaiTi" w:hAnsi="KaiTi"/>
                <w:bCs/>
                <w:color w:val="000000"/>
                <w:sz w:val="20"/>
                <w:szCs w:val="20"/>
              </w:rPr>
              <w:t xml:space="preserve"> </w:t>
            </w:r>
            <w:r w:rsidR="00B72FA3" w:rsidRPr="008A6059">
              <w:rPr>
                <w:rFonts w:ascii="KaiTi" w:eastAsia="KaiTi" w:hAnsi="KaiTi"/>
                <w:bCs/>
                <w:color w:val="000000"/>
                <w:sz w:val="20"/>
                <w:szCs w:val="20"/>
              </w:rPr>
              <w:t>2020</w:t>
            </w:r>
            <w:r w:rsidR="00B72FA3" w:rsidRPr="008A6059">
              <w:rPr>
                <w:rFonts w:ascii="KaiTi" w:eastAsia="KaiTi" w:hAnsi="KaiTi" w:hint="eastAsia"/>
                <w:bCs/>
                <w:color w:val="000000"/>
                <w:sz w:val="20"/>
                <w:szCs w:val="20"/>
                <w:lang w:eastAsia="zh-CN"/>
              </w:rPr>
              <w:t>年</w:t>
            </w:r>
          </w:p>
        </w:tc>
        <w:tc>
          <w:tcPr>
            <w:tcW w:w="1982" w:type="dxa"/>
            <w:tcBorders>
              <w:top w:val="single" w:sz="8" w:space="0" w:color="auto"/>
              <w:left w:val="nil"/>
              <w:right w:val="nil"/>
            </w:tcBorders>
            <w:shd w:val="clear" w:color="auto" w:fill="auto"/>
            <w:vAlign w:val="center"/>
            <w:hideMark/>
          </w:tcPr>
          <w:p w:rsidR="00B72FA3" w:rsidRPr="008A6059" w:rsidRDefault="00595694" w:rsidP="00595694">
            <w:pPr>
              <w:adjustRightInd w:val="0"/>
              <w:spacing w:before="0" w:after="0"/>
              <w:jc w:val="center"/>
              <w:rPr>
                <w:rFonts w:ascii="KaiTi" w:eastAsia="KaiTi" w:hAnsi="KaiTi"/>
                <w:bCs/>
                <w:color w:val="000000"/>
                <w:sz w:val="20"/>
                <w:szCs w:val="20"/>
                <w:lang w:eastAsia="zh-CN"/>
              </w:rPr>
            </w:pPr>
            <w:r>
              <w:rPr>
                <w:rFonts w:ascii="KaiTi" w:eastAsia="KaiTi" w:hAnsi="KaiTi" w:hint="eastAsia"/>
                <w:bCs/>
                <w:color w:val="000000"/>
                <w:sz w:val="20"/>
                <w:szCs w:val="20"/>
                <w:lang w:eastAsia="zh-CN"/>
              </w:rPr>
              <w:t xml:space="preserve"> </w:t>
            </w:r>
            <w:r w:rsidR="00B72FA3" w:rsidRPr="008A6059">
              <w:rPr>
                <w:rFonts w:ascii="KaiTi" w:eastAsia="KaiTi" w:hAnsi="KaiTi" w:hint="eastAsia"/>
                <w:bCs/>
                <w:color w:val="000000"/>
                <w:sz w:val="20"/>
                <w:szCs w:val="20"/>
                <w:lang w:eastAsia="zh-CN"/>
              </w:rPr>
              <w:t>合计</w:t>
            </w:r>
          </w:p>
        </w:tc>
      </w:tr>
      <w:tr w:rsidR="00B72FA3" w:rsidRPr="00B70AA3" w:rsidTr="00595694">
        <w:trPr>
          <w:trHeight w:val="261"/>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color w:val="000000"/>
                <w:sz w:val="20"/>
                <w:szCs w:val="20"/>
              </w:rPr>
            </w:pPr>
          </w:p>
        </w:tc>
        <w:tc>
          <w:tcPr>
            <w:tcW w:w="4126" w:type="dxa"/>
            <w:gridSpan w:val="2"/>
            <w:vMerge/>
            <w:tcBorders>
              <w:top w:val="nil"/>
              <w:left w:val="nil"/>
              <w:bottom w:val="nil"/>
              <w:right w:val="nil"/>
            </w:tcBorders>
            <w:vAlign w:val="center"/>
            <w:hideMark/>
          </w:tcPr>
          <w:p w:rsidR="00B72FA3" w:rsidRPr="00B70AA3" w:rsidRDefault="00B72FA3" w:rsidP="00595694">
            <w:pPr>
              <w:adjustRightInd w:val="0"/>
              <w:spacing w:before="0" w:after="0"/>
              <w:ind w:firstLine="26"/>
              <w:rPr>
                <w:b/>
                <w:bCs/>
                <w:color w:val="000000"/>
                <w:sz w:val="20"/>
                <w:szCs w:val="20"/>
              </w:rPr>
            </w:pPr>
          </w:p>
        </w:tc>
        <w:tc>
          <w:tcPr>
            <w:tcW w:w="5318" w:type="dxa"/>
            <w:gridSpan w:val="3"/>
            <w:tcBorders>
              <w:top w:val="nil"/>
              <w:left w:val="nil"/>
              <w:bottom w:val="single" w:sz="4" w:space="0" w:color="auto"/>
              <w:right w:val="nil"/>
            </w:tcBorders>
            <w:shd w:val="clear" w:color="auto" w:fill="auto"/>
            <w:vAlign w:val="center"/>
            <w:hideMark/>
          </w:tcPr>
          <w:p w:rsidR="00B72FA3" w:rsidRPr="00B70AA3" w:rsidRDefault="00B72FA3" w:rsidP="008640E9">
            <w:pPr>
              <w:adjustRightInd w:val="0"/>
              <w:spacing w:before="0" w:after="0"/>
              <w:jc w:val="center"/>
              <w:rPr>
                <w:i/>
                <w:iCs/>
                <w:color w:val="000000"/>
                <w:sz w:val="20"/>
                <w:szCs w:val="20"/>
              </w:rPr>
            </w:pPr>
            <w:r>
              <w:rPr>
                <w:rFonts w:ascii="KaiTi" w:eastAsia="KaiTi" w:hAnsi="KaiTi"/>
                <w:iCs/>
                <w:color w:val="000000"/>
                <w:sz w:val="20"/>
                <w:szCs w:val="20"/>
              </w:rPr>
              <w:t>（</w:t>
            </w:r>
            <w:r w:rsidRPr="00CD6F78">
              <w:rPr>
                <w:rFonts w:ascii="KaiTi" w:eastAsia="KaiTi" w:hAnsi="KaiTi" w:hint="eastAsia"/>
                <w:iCs/>
                <w:color w:val="000000"/>
                <w:sz w:val="20"/>
                <w:szCs w:val="20"/>
                <w:lang w:eastAsia="zh-CN"/>
              </w:rPr>
              <w:t>千美元</w:t>
            </w:r>
            <w:r>
              <w:rPr>
                <w:rFonts w:ascii="KaiTi" w:eastAsia="KaiTi" w:hAnsi="KaiTi"/>
                <w:iCs/>
                <w:color w:val="000000"/>
                <w:sz w:val="20"/>
                <w:szCs w:val="20"/>
              </w:rPr>
              <w:t>）</w:t>
            </w:r>
          </w:p>
        </w:tc>
      </w:tr>
      <w:tr w:rsidR="00B72FA3" w:rsidRPr="00B70AA3" w:rsidTr="00595694">
        <w:trPr>
          <w:trHeight w:val="261"/>
        </w:trPr>
        <w:tc>
          <w:tcPr>
            <w:tcW w:w="0" w:type="auto"/>
            <w:tcBorders>
              <w:top w:val="nil"/>
              <w:left w:val="nil"/>
              <w:bottom w:val="nil"/>
              <w:right w:val="nil"/>
            </w:tcBorders>
            <w:shd w:val="clear" w:color="auto" w:fill="auto"/>
            <w:noWrap/>
            <w:vAlign w:val="center"/>
          </w:tcPr>
          <w:p w:rsidR="00B72FA3" w:rsidRPr="00B70AA3" w:rsidRDefault="00B72FA3" w:rsidP="008640E9">
            <w:pPr>
              <w:adjustRightInd w:val="0"/>
              <w:spacing w:before="0" w:after="0"/>
              <w:rPr>
                <w:color w:val="000000"/>
                <w:sz w:val="20"/>
                <w:szCs w:val="20"/>
              </w:rPr>
            </w:pPr>
          </w:p>
        </w:tc>
        <w:tc>
          <w:tcPr>
            <w:tcW w:w="4126" w:type="dxa"/>
            <w:gridSpan w:val="2"/>
            <w:tcBorders>
              <w:top w:val="single" w:sz="8" w:space="0" w:color="auto"/>
              <w:left w:val="nil"/>
              <w:bottom w:val="nil"/>
              <w:right w:val="nil"/>
            </w:tcBorders>
            <w:shd w:val="clear" w:color="auto" w:fill="auto"/>
            <w:vAlign w:val="center"/>
            <w:hideMark/>
          </w:tcPr>
          <w:p w:rsidR="00B72FA3" w:rsidRPr="00B70AA3" w:rsidRDefault="00B72FA3" w:rsidP="00595694">
            <w:pPr>
              <w:adjustRightInd w:val="0"/>
              <w:spacing w:before="0" w:after="0"/>
              <w:ind w:firstLine="26"/>
              <w:rPr>
                <w:color w:val="000000"/>
                <w:sz w:val="20"/>
                <w:szCs w:val="20"/>
                <w:lang w:eastAsia="zh-CN"/>
              </w:rPr>
            </w:pPr>
            <w:r w:rsidRPr="00B70AA3">
              <w:rPr>
                <w:color w:val="000000"/>
                <w:sz w:val="20"/>
                <w:szCs w:val="20"/>
                <w:lang w:eastAsia="zh-CN"/>
              </w:rPr>
              <w:t>A.</w:t>
            </w:r>
            <w:r>
              <w:rPr>
                <w:color w:val="000000"/>
                <w:sz w:val="20"/>
                <w:szCs w:val="20"/>
                <w:lang w:eastAsia="zh-CN"/>
              </w:rPr>
              <w:t xml:space="preserve">  </w:t>
            </w:r>
            <w:r>
              <w:rPr>
                <w:rFonts w:hint="eastAsia"/>
                <w:color w:val="000000"/>
                <w:sz w:val="20"/>
                <w:szCs w:val="20"/>
                <w:lang w:eastAsia="zh-CN"/>
              </w:rPr>
              <w:t>工作人员</w:t>
            </w:r>
            <w:r>
              <w:rPr>
                <w:color w:val="000000"/>
                <w:sz w:val="20"/>
                <w:szCs w:val="20"/>
                <w:lang w:eastAsia="zh-CN"/>
              </w:rPr>
              <w:t>费用</w:t>
            </w:r>
          </w:p>
        </w:tc>
        <w:tc>
          <w:tcPr>
            <w:tcW w:w="1626" w:type="dxa"/>
            <w:tcBorders>
              <w:top w:val="single" w:sz="4" w:space="0" w:color="auto"/>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color w:val="000000"/>
                <w:sz w:val="20"/>
                <w:szCs w:val="20"/>
                <w:lang w:eastAsia="zh-CN"/>
              </w:rPr>
            </w:pPr>
            <w:r>
              <w:rPr>
                <w:color w:val="000000"/>
                <w:sz w:val="20"/>
                <w:szCs w:val="20"/>
                <w:lang w:eastAsia="zh-CN"/>
              </w:rPr>
              <w:t xml:space="preserve">11 </w:t>
            </w:r>
            <w:r w:rsidRPr="00B70AA3">
              <w:rPr>
                <w:color w:val="000000"/>
                <w:sz w:val="20"/>
                <w:szCs w:val="20"/>
                <w:lang w:eastAsia="zh-CN"/>
              </w:rPr>
              <w:t>453.9</w:t>
            </w:r>
          </w:p>
        </w:tc>
        <w:tc>
          <w:tcPr>
            <w:tcW w:w="1710" w:type="dxa"/>
            <w:tcBorders>
              <w:top w:val="single" w:sz="4" w:space="0" w:color="auto"/>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color w:val="000000"/>
                <w:sz w:val="20"/>
                <w:szCs w:val="20"/>
                <w:lang w:eastAsia="zh-CN"/>
              </w:rPr>
            </w:pPr>
            <w:r w:rsidRPr="00B70AA3">
              <w:rPr>
                <w:color w:val="000000"/>
                <w:sz w:val="20"/>
                <w:szCs w:val="20"/>
                <w:lang w:eastAsia="zh-CN"/>
              </w:rPr>
              <w:t>11</w:t>
            </w:r>
            <w:r>
              <w:rPr>
                <w:color w:val="000000"/>
                <w:sz w:val="20"/>
                <w:szCs w:val="20"/>
                <w:lang w:eastAsia="zh-CN"/>
              </w:rPr>
              <w:t xml:space="preserve"> </w:t>
            </w:r>
            <w:r w:rsidRPr="00B70AA3">
              <w:rPr>
                <w:color w:val="000000"/>
                <w:sz w:val="20"/>
                <w:szCs w:val="20"/>
                <w:lang w:eastAsia="zh-CN"/>
              </w:rPr>
              <w:t>626.6</w:t>
            </w:r>
          </w:p>
        </w:tc>
        <w:tc>
          <w:tcPr>
            <w:tcW w:w="1982" w:type="dxa"/>
            <w:tcBorders>
              <w:top w:val="single" w:sz="4" w:space="0" w:color="auto"/>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color w:val="000000"/>
                <w:sz w:val="20"/>
                <w:szCs w:val="20"/>
                <w:lang w:eastAsia="zh-CN"/>
              </w:rPr>
            </w:pPr>
            <w:r w:rsidRPr="00B70AA3">
              <w:rPr>
                <w:color w:val="000000"/>
                <w:sz w:val="20"/>
                <w:szCs w:val="20"/>
                <w:lang w:eastAsia="zh-CN"/>
              </w:rPr>
              <w:t>23</w:t>
            </w:r>
            <w:r>
              <w:rPr>
                <w:color w:val="000000"/>
                <w:sz w:val="20"/>
                <w:szCs w:val="20"/>
                <w:lang w:eastAsia="zh-CN"/>
              </w:rPr>
              <w:t xml:space="preserve"> </w:t>
            </w:r>
            <w:r w:rsidRPr="00B70AA3">
              <w:rPr>
                <w:color w:val="000000"/>
                <w:sz w:val="20"/>
                <w:szCs w:val="20"/>
                <w:lang w:eastAsia="zh-CN"/>
              </w:rPr>
              <w:t>080.5</w:t>
            </w:r>
          </w:p>
        </w:tc>
      </w:tr>
      <w:tr w:rsidR="00B72FA3" w:rsidRPr="00B70AA3" w:rsidTr="00595694">
        <w:trPr>
          <w:trHeight w:val="261"/>
        </w:trPr>
        <w:tc>
          <w:tcPr>
            <w:tcW w:w="0" w:type="auto"/>
            <w:tcBorders>
              <w:top w:val="nil"/>
              <w:left w:val="nil"/>
              <w:bottom w:val="nil"/>
              <w:right w:val="nil"/>
            </w:tcBorders>
            <w:shd w:val="clear" w:color="auto" w:fill="auto"/>
            <w:noWrap/>
            <w:vAlign w:val="center"/>
          </w:tcPr>
          <w:p w:rsidR="00B72FA3" w:rsidRPr="00B70AA3" w:rsidRDefault="00B72FA3" w:rsidP="008640E9">
            <w:pPr>
              <w:adjustRightInd w:val="0"/>
              <w:spacing w:before="0" w:after="0"/>
              <w:rPr>
                <w:color w:val="000000"/>
                <w:sz w:val="20"/>
                <w:szCs w:val="20"/>
                <w:lang w:eastAsia="zh-CN"/>
              </w:rPr>
            </w:pPr>
          </w:p>
        </w:tc>
        <w:tc>
          <w:tcPr>
            <w:tcW w:w="4126" w:type="dxa"/>
            <w:gridSpan w:val="2"/>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26"/>
              <w:rPr>
                <w:color w:val="000000"/>
                <w:sz w:val="20"/>
                <w:szCs w:val="20"/>
                <w:lang w:eastAsia="zh-CN"/>
              </w:rPr>
            </w:pPr>
            <w:r w:rsidRPr="00B70AA3">
              <w:rPr>
                <w:color w:val="000000"/>
                <w:sz w:val="20"/>
                <w:szCs w:val="20"/>
                <w:lang w:eastAsia="zh-CN"/>
              </w:rPr>
              <w:t>B.</w:t>
            </w:r>
            <w:r>
              <w:rPr>
                <w:color w:val="000000"/>
                <w:sz w:val="20"/>
                <w:szCs w:val="20"/>
                <w:lang w:eastAsia="zh-CN"/>
              </w:rPr>
              <w:t xml:space="preserve">  </w:t>
            </w:r>
            <w:r>
              <w:rPr>
                <w:rFonts w:hint="eastAsia"/>
                <w:color w:val="000000"/>
                <w:sz w:val="20"/>
                <w:szCs w:val="20"/>
                <w:lang w:eastAsia="zh-CN"/>
              </w:rPr>
              <w:t>主席团会议</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color w:val="000000"/>
                <w:sz w:val="20"/>
                <w:szCs w:val="20"/>
                <w:lang w:eastAsia="zh-CN"/>
              </w:rPr>
            </w:pPr>
            <w:r w:rsidRPr="00B70AA3">
              <w:rPr>
                <w:color w:val="000000"/>
                <w:sz w:val="20"/>
                <w:szCs w:val="20"/>
                <w:lang w:eastAsia="zh-CN"/>
              </w:rPr>
              <w:t>150.0</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color w:val="000000"/>
                <w:sz w:val="20"/>
                <w:szCs w:val="20"/>
                <w:lang w:eastAsia="zh-CN"/>
              </w:rPr>
            </w:pPr>
            <w:r w:rsidRPr="00B70AA3">
              <w:rPr>
                <w:color w:val="000000"/>
                <w:sz w:val="20"/>
                <w:szCs w:val="20"/>
                <w:lang w:eastAsia="zh-CN"/>
              </w:rPr>
              <w:t>215.0</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color w:val="000000"/>
                <w:sz w:val="20"/>
                <w:szCs w:val="20"/>
                <w:lang w:eastAsia="zh-CN"/>
              </w:rPr>
            </w:pPr>
            <w:r w:rsidRPr="00B70AA3">
              <w:rPr>
                <w:color w:val="000000"/>
                <w:sz w:val="20"/>
                <w:szCs w:val="20"/>
                <w:lang w:eastAsia="zh-CN"/>
              </w:rPr>
              <w:t>365.0</w:t>
            </w:r>
          </w:p>
        </w:tc>
      </w:tr>
      <w:tr w:rsidR="00B72FA3" w:rsidRPr="00B70AA3" w:rsidTr="00595694">
        <w:trPr>
          <w:trHeight w:val="261"/>
        </w:trPr>
        <w:tc>
          <w:tcPr>
            <w:tcW w:w="0" w:type="auto"/>
            <w:tcBorders>
              <w:top w:val="nil"/>
              <w:left w:val="nil"/>
              <w:bottom w:val="nil"/>
              <w:right w:val="nil"/>
            </w:tcBorders>
            <w:shd w:val="clear" w:color="auto" w:fill="auto"/>
            <w:noWrap/>
            <w:vAlign w:val="center"/>
          </w:tcPr>
          <w:p w:rsidR="00B72FA3" w:rsidRPr="00B70AA3" w:rsidRDefault="00B72FA3" w:rsidP="008640E9">
            <w:pPr>
              <w:adjustRightInd w:val="0"/>
              <w:spacing w:before="0" w:after="0"/>
              <w:rPr>
                <w:color w:val="000000"/>
                <w:sz w:val="20"/>
                <w:szCs w:val="20"/>
                <w:lang w:eastAsia="zh-CN"/>
              </w:rPr>
            </w:pPr>
          </w:p>
        </w:tc>
        <w:tc>
          <w:tcPr>
            <w:tcW w:w="4126" w:type="dxa"/>
            <w:gridSpan w:val="2"/>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26"/>
              <w:rPr>
                <w:color w:val="000000"/>
                <w:sz w:val="20"/>
                <w:szCs w:val="20"/>
                <w:lang w:eastAsia="zh-CN"/>
              </w:rPr>
            </w:pPr>
            <w:r w:rsidRPr="00B70AA3">
              <w:rPr>
                <w:color w:val="000000"/>
                <w:sz w:val="20"/>
                <w:szCs w:val="20"/>
                <w:lang w:eastAsia="zh-CN"/>
              </w:rPr>
              <w:t>C.</w:t>
            </w:r>
            <w:r>
              <w:rPr>
                <w:color w:val="000000"/>
                <w:sz w:val="20"/>
                <w:szCs w:val="20"/>
                <w:lang w:eastAsia="zh-CN"/>
              </w:rPr>
              <w:t xml:space="preserve">  </w:t>
            </w:r>
            <w:r>
              <w:rPr>
                <w:rFonts w:hint="eastAsia"/>
                <w:color w:val="000000"/>
                <w:sz w:val="20"/>
                <w:szCs w:val="20"/>
                <w:lang w:eastAsia="zh-CN"/>
              </w:rPr>
              <w:t>公务</w:t>
            </w:r>
            <w:r>
              <w:rPr>
                <w:color w:val="000000"/>
                <w:sz w:val="20"/>
                <w:szCs w:val="20"/>
                <w:lang w:eastAsia="zh-CN"/>
              </w:rPr>
              <w:t>差旅</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color w:val="000000"/>
                <w:sz w:val="20"/>
                <w:szCs w:val="20"/>
                <w:lang w:eastAsia="zh-CN"/>
              </w:rPr>
            </w:pPr>
            <w:r w:rsidRPr="00B70AA3">
              <w:rPr>
                <w:color w:val="000000"/>
                <w:sz w:val="20"/>
                <w:szCs w:val="20"/>
                <w:lang w:eastAsia="zh-CN"/>
              </w:rPr>
              <w:t>400.0</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color w:val="000000"/>
                <w:sz w:val="20"/>
                <w:szCs w:val="20"/>
                <w:lang w:eastAsia="zh-CN"/>
              </w:rPr>
            </w:pPr>
            <w:r w:rsidRPr="00B70AA3">
              <w:rPr>
                <w:color w:val="000000"/>
                <w:sz w:val="20"/>
                <w:szCs w:val="20"/>
                <w:lang w:eastAsia="zh-CN"/>
              </w:rPr>
              <w:t>400.0</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color w:val="000000"/>
                <w:sz w:val="20"/>
                <w:szCs w:val="20"/>
                <w:lang w:eastAsia="zh-CN"/>
              </w:rPr>
            </w:pPr>
            <w:r w:rsidRPr="00B70AA3">
              <w:rPr>
                <w:color w:val="000000"/>
                <w:sz w:val="20"/>
                <w:szCs w:val="20"/>
                <w:lang w:eastAsia="zh-CN"/>
              </w:rPr>
              <w:t>800.0</w:t>
            </w:r>
          </w:p>
        </w:tc>
      </w:tr>
      <w:tr w:rsidR="00B72FA3" w:rsidRPr="00B70AA3" w:rsidTr="00595694">
        <w:trPr>
          <w:trHeight w:val="261"/>
        </w:trPr>
        <w:tc>
          <w:tcPr>
            <w:tcW w:w="0" w:type="auto"/>
            <w:tcBorders>
              <w:top w:val="nil"/>
              <w:left w:val="nil"/>
              <w:bottom w:val="nil"/>
              <w:right w:val="nil"/>
            </w:tcBorders>
            <w:shd w:val="clear" w:color="auto" w:fill="auto"/>
            <w:noWrap/>
            <w:vAlign w:val="center"/>
          </w:tcPr>
          <w:p w:rsidR="00B72FA3" w:rsidRPr="00B70AA3" w:rsidRDefault="00B72FA3" w:rsidP="008640E9">
            <w:pPr>
              <w:adjustRightInd w:val="0"/>
              <w:spacing w:before="0" w:after="0"/>
              <w:rPr>
                <w:color w:val="000000"/>
                <w:sz w:val="20"/>
                <w:szCs w:val="20"/>
                <w:lang w:eastAsia="zh-CN"/>
              </w:rPr>
            </w:pPr>
          </w:p>
        </w:tc>
        <w:tc>
          <w:tcPr>
            <w:tcW w:w="4126" w:type="dxa"/>
            <w:gridSpan w:val="2"/>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26"/>
              <w:rPr>
                <w:sz w:val="20"/>
                <w:szCs w:val="20"/>
                <w:lang w:eastAsia="zh-CN"/>
              </w:rPr>
            </w:pPr>
            <w:r w:rsidRPr="00B70AA3">
              <w:rPr>
                <w:color w:val="000000"/>
                <w:sz w:val="20"/>
                <w:szCs w:val="20"/>
                <w:lang w:eastAsia="zh-CN"/>
              </w:rPr>
              <w:t>D.</w:t>
            </w:r>
            <w:r>
              <w:rPr>
                <w:color w:val="000000"/>
                <w:sz w:val="20"/>
                <w:szCs w:val="20"/>
                <w:lang w:eastAsia="zh-CN"/>
              </w:rPr>
              <w:t xml:space="preserve">  </w:t>
            </w:r>
            <w:r>
              <w:rPr>
                <w:rFonts w:hint="eastAsia"/>
                <w:sz w:val="20"/>
                <w:szCs w:val="20"/>
                <w:lang w:eastAsia="zh-CN"/>
              </w:rPr>
              <w:t>顾问</w:t>
            </w:r>
            <w:r w:rsidRPr="00B70AA3">
              <w:rPr>
                <w:sz w:val="20"/>
                <w:szCs w:val="20"/>
                <w:lang w:eastAsia="zh-CN"/>
              </w:rPr>
              <w:t>/</w:t>
            </w:r>
            <w:r>
              <w:rPr>
                <w:rFonts w:hint="eastAsia"/>
                <w:sz w:val="20"/>
                <w:szCs w:val="20"/>
                <w:lang w:eastAsia="zh-CN"/>
              </w:rPr>
              <w:t>分包合同</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sz w:val="20"/>
                <w:szCs w:val="20"/>
                <w:lang w:eastAsia="zh-CN"/>
              </w:rPr>
            </w:pPr>
            <w:r w:rsidRPr="00B70AA3">
              <w:rPr>
                <w:sz w:val="20"/>
                <w:szCs w:val="20"/>
                <w:lang w:eastAsia="zh-CN"/>
              </w:rPr>
              <w:t>50.0</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sz w:val="20"/>
                <w:szCs w:val="20"/>
                <w:lang w:eastAsia="zh-CN"/>
              </w:rPr>
            </w:pPr>
            <w:r w:rsidRPr="00B70AA3">
              <w:rPr>
                <w:sz w:val="20"/>
                <w:szCs w:val="20"/>
                <w:lang w:eastAsia="zh-CN"/>
              </w:rPr>
              <w:t>50.0</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color w:val="000000"/>
                <w:sz w:val="20"/>
                <w:szCs w:val="20"/>
                <w:lang w:eastAsia="zh-CN"/>
              </w:rPr>
            </w:pPr>
            <w:r w:rsidRPr="00B70AA3">
              <w:rPr>
                <w:color w:val="000000"/>
                <w:sz w:val="20"/>
                <w:szCs w:val="20"/>
                <w:lang w:eastAsia="zh-CN"/>
              </w:rPr>
              <w:t>100.0</w:t>
            </w:r>
          </w:p>
        </w:tc>
      </w:tr>
      <w:tr w:rsidR="00B72FA3" w:rsidRPr="00B70AA3" w:rsidTr="00595694">
        <w:trPr>
          <w:trHeight w:val="261"/>
        </w:trPr>
        <w:tc>
          <w:tcPr>
            <w:tcW w:w="0" w:type="auto"/>
            <w:tcBorders>
              <w:top w:val="nil"/>
              <w:left w:val="nil"/>
              <w:bottom w:val="nil"/>
              <w:right w:val="nil"/>
            </w:tcBorders>
            <w:shd w:val="clear" w:color="auto" w:fill="auto"/>
            <w:noWrap/>
            <w:vAlign w:val="center"/>
          </w:tcPr>
          <w:p w:rsidR="00B72FA3" w:rsidRPr="00B70AA3" w:rsidRDefault="00B72FA3" w:rsidP="008640E9">
            <w:pPr>
              <w:adjustRightInd w:val="0"/>
              <w:spacing w:before="0" w:after="0"/>
              <w:rPr>
                <w:color w:val="000000"/>
                <w:sz w:val="20"/>
                <w:szCs w:val="20"/>
                <w:lang w:eastAsia="zh-CN"/>
              </w:rPr>
            </w:pPr>
          </w:p>
        </w:tc>
        <w:tc>
          <w:tcPr>
            <w:tcW w:w="4126" w:type="dxa"/>
            <w:gridSpan w:val="2"/>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26"/>
              <w:rPr>
                <w:sz w:val="20"/>
                <w:szCs w:val="20"/>
                <w:lang w:eastAsia="zh-CN"/>
              </w:rPr>
            </w:pPr>
            <w:r w:rsidRPr="00B70AA3">
              <w:rPr>
                <w:color w:val="000000"/>
                <w:sz w:val="20"/>
                <w:szCs w:val="20"/>
                <w:lang w:eastAsia="zh-CN"/>
              </w:rPr>
              <w:t>E.</w:t>
            </w:r>
            <w:r>
              <w:rPr>
                <w:color w:val="000000"/>
                <w:sz w:val="20"/>
                <w:szCs w:val="20"/>
                <w:lang w:eastAsia="zh-CN"/>
              </w:rPr>
              <w:t xml:space="preserve">  </w:t>
            </w:r>
            <w:r>
              <w:rPr>
                <w:rFonts w:hint="eastAsia"/>
                <w:sz w:val="20"/>
                <w:szCs w:val="20"/>
                <w:lang w:eastAsia="zh-CN"/>
              </w:rPr>
              <w:t>公众意识</w:t>
            </w:r>
            <w:r>
              <w:rPr>
                <w:sz w:val="20"/>
                <w:szCs w:val="20"/>
                <w:lang w:eastAsia="zh-CN"/>
              </w:rPr>
              <w:t>材料</w:t>
            </w:r>
            <w:r w:rsidRPr="00B70AA3">
              <w:rPr>
                <w:sz w:val="20"/>
                <w:szCs w:val="20"/>
                <w:lang w:eastAsia="zh-CN"/>
              </w:rPr>
              <w:t>/</w:t>
            </w:r>
            <w:r>
              <w:rPr>
                <w:rFonts w:hint="eastAsia"/>
                <w:sz w:val="20"/>
                <w:szCs w:val="20"/>
                <w:lang w:eastAsia="zh-CN"/>
              </w:rPr>
              <w:t>传播</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sz w:val="20"/>
                <w:szCs w:val="20"/>
              </w:rPr>
            </w:pPr>
            <w:r w:rsidRPr="00B70AA3">
              <w:rPr>
                <w:sz w:val="20"/>
                <w:szCs w:val="20"/>
                <w:lang w:eastAsia="zh-CN"/>
              </w:rPr>
              <w:t>50</w:t>
            </w:r>
            <w:r w:rsidRPr="00B70AA3">
              <w:rPr>
                <w:sz w:val="20"/>
                <w:szCs w:val="20"/>
              </w:rPr>
              <w:t>.0</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sz w:val="20"/>
                <w:szCs w:val="20"/>
              </w:rPr>
            </w:pPr>
            <w:r w:rsidRPr="00B70AA3">
              <w:rPr>
                <w:sz w:val="20"/>
                <w:szCs w:val="20"/>
              </w:rPr>
              <w:t>50.0</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color w:val="000000"/>
                <w:sz w:val="20"/>
                <w:szCs w:val="20"/>
              </w:rPr>
            </w:pPr>
            <w:r w:rsidRPr="00B70AA3">
              <w:rPr>
                <w:color w:val="000000"/>
                <w:sz w:val="20"/>
                <w:szCs w:val="20"/>
              </w:rPr>
              <w:t>100.0</w:t>
            </w:r>
          </w:p>
        </w:tc>
      </w:tr>
      <w:tr w:rsidR="00B72FA3" w:rsidRPr="00B70AA3" w:rsidTr="00595694">
        <w:trPr>
          <w:trHeight w:val="261"/>
        </w:trPr>
        <w:tc>
          <w:tcPr>
            <w:tcW w:w="0" w:type="auto"/>
            <w:tcBorders>
              <w:top w:val="nil"/>
              <w:left w:val="nil"/>
              <w:bottom w:val="nil"/>
              <w:right w:val="nil"/>
            </w:tcBorders>
            <w:shd w:val="clear" w:color="auto" w:fill="auto"/>
            <w:noWrap/>
            <w:vAlign w:val="center"/>
          </w:tcPr>
          <w:p w:rsidR="00B72FA3" w:rsidRPr="00B70AA3" w:rsidRDefault="00B72FA3" w:rsidP="008640E9">
            <w:pPr>
              <w:adjustRightInd w:val="0"/>
              <w:spacing w:before="0" w:after="0"/>
              <w:rPr>
                <w:color w:val="000000"/>
                <w:sz w:val="20"/>
                <w:szCs w:val="20"/>
              </w:rPr>
            </w:pPr>
          </w:p>
        </w:tc>
        <w:tc>
          <w:tcPr>
            <w:tcW w:w="4126" w:type="dxa"/>
            <w:gridSpan w:val="2"/>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26"/>
              <w:rPr>
                <w:color w:val="000000"/>
                <w:sz w:val="20"/>
                <w:szCs w:val="20"/>
                <w:lang w:eastAsia="zh-CN"/>
              </w:rPr>
            </w:pPr>
            <w:r w:rsidRPr="00B70AA3">
              <w:rPr>
                <w:color w:val="000000"/>
                <w:sz w:val="20"/>
                <w:szCs w:val="20"/>
                <w:lang w:eastAsia="zh-CN"/>
              </w:rPr>
              <w:t>F.</w:t>
            </w:r>
            <w:r>
              <w:rPr>
                <w:color w:val="000000"/>
                <w:sz w:val="20"/>
                <w:szCs w:val="20"/>
                <w:lang w:eastAsia="zh-CN"/>
              </w:rPr>
              <w:t xml:space="preserve">  </w:t>
            </w:r>
            <w:r>
              <w:rPr>
                <w:rFonts w:hint="eastAsia"/>
                <w:color w:val="000000"/>
                <w:sz w:val="20"/>
                <w:szCs w:val="20"/>
                <w:lang w:eastAsia="zh-CN"/>
              </w:rPr>
              <w:t>临时人员</w:t>
            </w:r>
            <w:r w:rsidRPr="00B70AA3">
              <w:rPr>
                <w:color w:val="000000"/>
                <w:sz w:val="20"/>
                <w:szCs w:val="20"/>
                <w:lang w:eastAsia="zh-CN"/>
              </w:rPr>
              <w:t>/</w:t>
            </w:r>
            <w:r>
              <w:rPr>
                <w:rFonts w:hint="eastAsia"/>
                <w:color w:val="000000"/>
                <w:sz w:val="20"/>
                <w:szCs w:val="20"/>
                <w:lang w:eastAsia="zh-CN"/>
              </w:rPr>
              <w:t>加班费</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color w:val="000000"/>
                <w:sz w:val="20"/>
                <w:szCs w:val="20"/>
                <w:lang w:eastAsia="zh-CN"/>
              </w:rPr>
            </w:pPr>
            <w:r w:rsidRPr="00B70AA3">
              <w:rPr>
                <w:color w:val="000000"/>
                <w:sz w:val="20"/>
                <w:szCs w:val="20"/>
                <w:lang w:eastAsia="zh-CN"/>
              </w:rPr>
              <w:t>100.0</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color w:val="000000"/>
                <w:sz w:val="20"/>
                <w:szCs w:val="20"/>
                <w:lang w:eastAsia="zh-CN"/>
              </w:rPr>
            </w:pPr>
            <w:r w:rsidRPr="00B70AA3">
              <w:rPr>
                <w:color w:val="000000"/>
                <w:sz w:val="20"/>
                <w:szCs w:val="20"/>
                <w:lang w:eastAsia="zh-CN"/>
              </w:rPr>
              <w:t>100.0</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color w:val="000000"/>
                <w:sz w:val="20"/>
                <w:szCs w:val="20"/>
                <w:lang w:eastAsia="zh-CN"/>
              </w:rPr>
            </w:pPr>
            <w:r w:rsidRPr="00B70AA3">
              <w:rPr>
                <w:color w:val="000000"/>
                <w:sz w:val="20"/>
                <w:szCs w:val="20"/>
                <w:lang w:eastAsia="zh-CN"/>
              </w:rPr>
              <w:t>200.0</w:t>
            </w:r>
          </w:p>
        </w:tc>
      </w:tr>
      <w:tr w:rsidR="00B72FA3" w:rsidRPr="00B70AA3" w:rsidTr="00595694">
        <w:trPr>
          <w:trHeight w:val="261"/>
        </w:trPr>
        <w:tc>
          <w:tcPr>
            <w:tcW w:w="0" w:type="auto"/>
            <w:tcBorders>
              <w:top w:val="nil"/>
              <w:left w:val="nil"/>
              <w:bottom w:val="nil"/>
              <w:right w:val="nil"/>
            </w:tcBorders>
            <w:shd w:val="clear" w:color="auto" w:fill="auto"/>
            <w:noWrap/>
            <w:vAlign w:val="center"/>
          </w:tcPr>
          <w:p w:rsidR="00B72FA3" w:rsidRPr="00B70AA3" w:rsidRDefault="00B72FA3" w:rsidP="008640E9">
            <w:pPr>
              <w:adjustRightInd w:val="0"/>
              <w:spacing w:before="0" w:after="0"/>
              <w:rPr>
                <w:color w:val="000000"/>
                <w:sz w:val="20"/>
                <w:szCs w:val="20"/>
                <w:lang w:eastAsia="zh-CN"/>
              </w:rPr>
            </w:pPr>
          </w:p>
        </w:tc>
        <w:tc>
          <w:tcPr>
            <w:tcW w:w="4126" w:type="dxa"/>
            <w:gridSpan w:val="2"/>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26"/>
              <w:rPr>
                <w:color w:val="000000"/>
                <w:sz w:val="20"/>
                <w:szCs w:val="20"/>
                <w:lang w:eastAsia="zh-CN"/>
              </w:rPr>
            </w:pPr>
            <w:r w:rsidRPr="00B70AA3">
              <w:rPr>
                <w:color w:val="000000"/>
                <w:sz w:val="20"/>
                <w:szCs w:val="20"/>
                <w:lang w:eastAsia="zh-CN"/>
              </w:rPr>
              <w:t>G.</w:t>
            </w:r>
            <w:r>
              <w:rPr>
                <w:color w:val="000000"/>
                <w:sz w:val="20"/>
                <w:szCs w:val="20"/>
                <w:lang w:eastAsia="zh-CN"/>
              </w:rPr>
              <w:t xml:space="preserve">  </w:t>
            </w:r>
            <w:r>
              <w:rPr>
                <w:rFonts w:hint="eastAsia"/>
                <w:color w:val="000000"/>
                <w:sz w:val="20"/>
                <w:szCs w:val="20"/>
                <w:lang w:eastAsia="zh-CN"/>
              </w:rPr>
              <w:t>培训</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color w:val="000000"/>
                <w:sz w:val="20"/>
                <w:szCs w:val="20"/>
                <w:lang w:eastAsia="zh-CN"/>
              </w:rPr>
            </w:pPr>
            <w:r w:rsidRPr="00B70AA3">
              <w:rPr>
                <w:color w:val="000000"/>
                <w:sz w:val="20"/>
                <w:szCs w:val="20"/>
                <w:lang w:eastAsia="zh-CN"/>
              </w:rPr>
              <w:t>5.0</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color w:val="000000"/>
                <w:sz w:val="20"/>
                <w:szCs w:val="20"/>
                <w:lang w:eastAsia="zh-CN"/>
              </w:rPr>
            </w:pPr>
            <w:r w:rsidRPr="00B70AA3">
              <w:rPr>
                <w:color w:val="000000"/>
                <w:sz w:val="20"/>
                <w:szCs w:val="20"/>
                <w:lang w:eastAsia="zh-CN"/>
              </w:rPr>
              <w:t>5.0</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color w:val="000000"/>
                <w:sz w:val="20"/>
                <w:szCs w:val="20"/>
                <w:lang w:eastAsia="zh-CN"/>
              </w:rPr>
            </w:pPr>
            <w:r w:rsidRPr="00B70AA3">
              <w:rPr>
                <w:color w:val="000000"/>
                <w:sz w:val="20"/>
                <w:szCs w:val="20"/>
                <w:lang w:eastAsia="zh-CN"/>
              </w:rPr>
              <w:t>10.0</w:t>
            </w:r>
          </w:p>
        </w:tc>
      </w:tr>
      <w:tr w:rsidR="00B72FA3" w:rsidRPr="00B70AA3" w:rsidTr="00595694">
        <w:trPr>
          <w:trHeight w:val="261"/>
        </w:trPr>
        <w:tc>
          <w:tcPr>
            <w:tcW w:w="0" w:type="auto"/>
            <w:tcBorders>
              <w:top w:val="nil"/>
              <w:left w:val="nil"/>
              <w:bottom w:val="nil"/>
              <w:right w:val="nil"/>
            </w:tcBorders>
            <w:shd w:val="clear" w:color="auto" w:fill="auto"/>
            <w:noWrap/>
            <w:vAlign w:val="center"/>
          </w:tcPr>
          <w:p w:rsidR="00B72FA3" w:rsidRPr="00B70AA3" w:rsidRDefault="00B72FA3" w:rsidP="008640E9">
            <w:pPr>
              <w:adjustRightInd w:val="0"/>
              <w:spacing w:before="0" w:after="0"/>
              <w:rPr>
                <w:color w:val="000000"/>
                <w:sz w:val="20"/>
                <w:szCs w:val="20"/>
                <w:lang w:eastAsia="zh-CN"/>
              </w:rPr>
            </w:pPr>
          </w:p>
        </w:tc>
        <w:tc>
          <w:tcPr>
            <w:tcW w:w="4126" w:type="dxa"/>
            <w:gridSpan w:val="2"/>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26"/>
              <w:rPr>
                <w:color w:val="000000"/>
                <w:sz w:val="20"/>
                <w:szCs w:val="20"/>
                <w:lang w:eastAsia="zh-CN"/>
              </w:rPr>
            </w:pPr>
            <w:r w:rsidRPr="00B70AA3">
              <w:rPr>
                <w:color w:val="000000"/>
                <w:sz w:val="20"/>
                <w:szCs w:val="20"/>
                <w:lang w:eastAsia="zh-CN"/>
              </w:rPr>
              <w:t>H.</w:t>
            </w:r>
            <w:r>
              <w:rPr>
                <w:color w:val="000000"/>
                <w:sz w:val="20"/>
                <w:szCs w:val="20"/>
                <w:lang w:eastAsia="zh-CN"/>
              </w:rPr>
              <w:t xml:space="preserve">  </w:t>
            </w:r>
            <w:r>
              <w:rPr>
                <w:rFonts w:hint="eastAsia"/>
                <w:color w:val="000000"/>
                <w:sz w:val="20"/>
                <w:szCs w:val="20"/>
                <w:lang w:eastAsia="zh-CN"/>
              </w:rPr>
              <w:t>信息交换所机制</w:t>
            </w:r>
            <w:r>
              <w:rPr>
                <w:color w:val="000000"/>
                <w:sz w:val="20"/>
                <w:szCs w:val="20"/>
                <w:lang w:eastAsia="zh-CN"/>
              </w:rPr>
              <w:t>网站</w:t>
            </w:r>
            <w:r>
              <w:rPr>
                <w:rFonts w:hint="eastAsia"/>
                <w:color w:val="000000"/>
                <w:sz w:val="20"/>
                <w:szCs w:val="20"/>
                <w:lang w:eastAsia="zh-CN"/>
              </w:rPr>
              <w:t>/</w:t>
            </w:r>
            <w:r>
              <w:rPr>
                <w:rFonts w:hint="eastAsia"/>
                <w:color w:val="000000"/>
                <w:sz w:val="20"/>
                <w:szCs w:val="20"/>
                <w:lang w:eastAsia="zh-CN"/>
              </w:rPr>
              <w:t>网站</w:t>
            </w:r>
            <w:r>
              <w:rPr>
                <w:color w:val="000000"/>
                <w:sz w:val="20"/>
                <w:szCs w:val="20"/>
                <w:lang w:eastAsia="zh-CN"/>
              </w:rPr>
              <w:t>项目翻译</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color w:val="000000"/>
                <w:sz w:val="20"/>
                <w:szCs w:val="20"/>
                <w:lang w:eastAsia="zh-CN"/>
              </w:rPr>
            </w:pPr>
            <w:r w:rsidRPr="00B70AA3">
              <w:rPr>
                <w:color w:val="000000"/>
                <w:sz w:val="20"/>
                <w:szCs w:val="20"/>
                <w:lang w:eastAsia="zh-CN"/>
              </w:rPr>
              <w:t>65.0</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color w:val="000000"/>
                <w:sz w:val="20"/>
                <w:szCs w:val="20"/>
                <w:lang w:eastAsia="zh-CN"/>
              </w:rPr>
            </w:pPr>
            <w:r w:rsidRPr="00B70AA3">
              <w:rPr>
                <w:color w:val="000000"/>
                <w:sz w:val="20"/>
                <w:szCs w:val="20"/>
                <w:lang w:eastAsia="zh-CN"/>
              </w:rPr>
              <w:t>65.0</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color w:val="000000"/>
                <w:sz w:val="20"/>
                <w:szCs w:val="20"/>
                <w:lang w:eastAsia="zh-CN"/>
              </w:rPr>
            </w:pPr>
            <w:r w:rsidRPr="00B70AA3">
              <w:rPr>
                <w:color w:val="000000"/>
                <w:sz w:val="20"/>
                <w:szCs w:val="20"/>
                <w:lang w:eastAsia="zh-CN"/>
              </w:rPr>
              <w:t>130.0</w:t>
            </w:r>
          </w:p>
        </w:tc>
      </w:tr>
      <w:tr w:rsidR="00B72FA3" w:rsidRPr="00B70AA3" w:rsidTr="00595694">
        <w:trPr>
          <w:trHeight w:val="261"/>
        </w:trPr>
        <w:tc>
          <w:tcPr>
            <w:tcW w:w="0" w:type="auto"/>
            <w:tcBorders>
              <w:top w:val="nil"/>
              <w:left w:val="nil"/>
              <w:bottom w:val="nil"/>
              <w:right w:val="nil"/>
            </w:tcBorders>
            <w:shd w:val="clear" w:color="auto" w:fill="auto"/>
            <w:noWrap/>
            <w:vAlign w:val="center"/>
          </w:tcPr>
          <w:p w:rsidR="00B72FA3" w:rsidRPr="00B70AA3" w:rsidRDefault="00B72FA3" w:rsidP="008640E9">
            <w:pPr>
              <w:adjustRightInd w:val="0"/>
              <w:spacing w:before="0" w:after="0"/>
              <w:rPr>
                <w:color w:val="000000"/>
                <w:sz w:val="20"/>
                <w:szCs w:val="20"/>
                <w:lang w:eastAsia="zh-CN"/>
              </w:rPr>
            </w:pPr>
          </w:p>
        </w:tc>
        <w:tc>
          <w:tcPr>
            <w:tcW w:w="4126" w:type="dxa"/>
            <w:gridSpan w:val="2"/>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26"/>
              <w:rPr>
                <w:color w:val="000000"/>
                <w:sz w:val="20"/>
                <w:szCs w:val="20"/>
                <w:lang w:eastAsia="zh-CN"/>
              </w:rPr>
            </w:pPr>
            <w:r w:rsidRPr="00B70AA3">
              <w:rPr>
                <w:color w:val="000000"/>
                <w:sz w:val="20"/>
                <w:szCs w:val="20"/>
                <w:lang w:eastAsia="zh-CN"/>
              </w:rPr>
              <w:t>I.</w:t>
            </w:r>
            <w:r>
              <w:rPr>
                <w:color w:val="000000"/>
                <w:sz w:val="20"/>
                <w:szCs w:val="20"/>
                <w:lang w:eastAsia="zh-CN"/>
              </w:rPr>
              <w:t xml:space="preserve">  </w:t>
            </w:r>
            <w:r>
              <w:rPr>
                <w:rFonts w:hint="eastAsia"/>
                <w:color w:val="000000"/>
                <w:sz w:val="20"/>
                <w:szCs w:val="20"/>
                <w:lang w:eastAsia="zh-CN"/>
              </w:rPr>
              <w:t>会议</w:t>
            </w:r>
            <w:r w:rsidRPr="00B70AA3">
              <w:rPr>
                <w:color w:val="000000"/>
                <w:sz w:val="20"/>
                <w:szCs w:val="20"/>
                <w:lang w:eastAsia="zh-CN"/>
              </w:rPr>
              <w:t xml:space="preserve"> </w:t>
            </w:r>
            <w:r w:rsidRPr="00B70AA3">
              <w:rPr>
                <w:color w:val="000000"/>
                <w:sz w:val="20"/>
                <w:szCs w:val="20"/>
                <w:vertAlign w:val="superscript"/>
                <w:lang w:eastAsia="zh-CN"/>
              </w:rPr>
              <w:t>1/2/3</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color w:val="000000"/>
                <w:sz w:val="20"/>
                <w:szCs w:val="20"/>
                <w:lang w:eastAsia="zh-CN"/>
              </w:rPr>
            </w:pPr>
            <w:r w:rsidRPr="00B70AA3">
              <w:rPr>
                <w:color w:val="000000"/>
                <w:sz w:val="20"/>
                <w:szCs w:val="20"/>
                <w:lang w:eastAsia="zh-CN"/>
              </w:rPr>
              <w:t>1</w:t>
            </w:r>
            <w:r>
              <w:rPr>
                <w:color w:val="000000"/>
                <w:sz w:val="20"/>
                <w:szCs w:val="20"/>
                <w:lang w:eastAsia="zh-CN"/>
              </w:rPr>
              <w:t xml:space="preserve"> </w:t>
            </w:r>
            <w:r w:rsidRPr="00B70AA3">
              <w:rPr>
                <w:color w:val="000000"/>
                <w:sz w:val="20"/>
                <w:szCs w:val="20"/>
                <w:lang w:eastAsia="zh-CN"/>
              </w:rPr>
              <w:t>569.0</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color w:val="000000"/>
                <w:sz w:val="20"/>
                <w:szCs w:val="20"/>
                <w:lang w:eastAsia="zh-CN"/>
              </w:rPr>
            </w:pPr>
            <w:r w:rsidRPr="00B70AA3">
              <w:rPr>
                <w:color w:val="000000"/>
                <w:sz w:val="20"/>
                <w:szCs w:val="20"/>
                <w:lang w:eastAsia="zh-CN"/>
              </w:rPr>
              <w:t>2</w:t>
            </w:r>
            <w:r>
              <w:rPr>
                <w:color w:val="000000"/>
                <w:sz w:val="20"/>
                <w:szCs w:val="20"/>
                <w:lang w:eastAsia="zh-CN"/>
              </w:rPr>
              <w:t xml:space="preserve"> </w:t>
            </w:r>
            <w:r w:rsidRPr="00B70AA3">
              <w:rPr>
                <w:color w:val="000000"/>
                <w:sz w:val="20"/>
                <w:szCs w:val="20"/>
                <w:lang w:eastAsia="zh-CN"/>
              </w:rPr>
              <w:t>119.0</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color w:val="000000"/>
                <w:sz w:val="20"/>
                <w:szCs w:val="20"/>
                <w:lang w:eastAsia="zh-CN"/>
              </w:rPr>
            </w:pPr>
            <w:r w:rsidRPr="00B70AA3">
              <w:rPr>
                <w:color w:val="000000"/>
                <w:sz w:val="20"/>
                <w:szCs w:val="20"/>
                <w:lang w:eastAsia="zh-CN"/>
              </w:rPr>
              <w:t>3</w:t>
            </w:r>
            <w:r>
              <w:rPr>
                <w:color w:val="000000"/>
                <w:sz w:val="20"/>
                <w:szCs w:val="20"/>
                <w:lang w:eastAsia="zh-CN"/>
              </w:rPr>
              <w:t xml:space="preserve"> </w:t>
            </w:r>
            <w:r w:rsidRPr="00B70AA3">
              <w:rPr>
                <w:color w:val="000000"/>
                <w:sz w:val="20"/>
                <w:szCs w:val="20"/>
                <w:lang w:eastAsia="zh-CN"/>
              </w:rPr>
              <w:t>688.0</w:t>
            </w:r>
          </w:p>
        </w:tc>
      </w:tr>
      <w:tr w:rsidR="00B72FA3" w:rsidRPr="00B70AA3" w:rsidTr="00595694">
        <w:trPr>
          <w:trHeight w:val="261"/>
        </w:trPr>
        <w:tc>
          <w:tcPr>
            <w:tcW w:w="0" w:type="auto"/>
            <w:tcBorders>
              <w:top w:val="nil"/>
              <w:left w:val="nil"/>
              <w:bottom w:val="nil"/>
              <w:right w:val="nil"/>
            </w:tcBorders>
            <w:shd w:val="clear" w:color="auto" w:fill="auto"/>
            <w:noWrap/>
            <w:vAlign w:val="center"/>
          </w:tcPr>
          <w:p w:rsidR="00B72FA3" w:rsidRPr="00B70AA3" w:rsidRDefault="00B72FA3" w:rsidP="008640E9">
            <w:pPr>
              <w:adjustRightInd w:val="0"/>
              <w:spacing w:before="0" w:after="0"/>
              <w:rPr>
                <w:color w:val="000000"/>
                <w:sz w:val="20"/>
                <w:szCs w:val="20"/>
                <w:lang w:eastAsia="zh-CN"/>
              </w:rPr>
            </w:pPr>
          </w:p>
        </w:tc>
        <w:tc>
          <w:tcPr>
            <w:tcW w:w="4126" w:type="dxa"/>
            <w:gridSpan w:val="2"/>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26"/>
              <w:rPr>
                <w:color w:val="000000"/>
                <w:sz w:val="20"/>
                <w:szCs w:val="20"/>
                <w:lang w:eastAsia="zh-CN"/>
              </w:rPr>
            </w:pPr>
            <w:r w:rsidRPr="00B70AA3">
              <w:rPr>
                <w:color w:val="000000"/>
                <w:sz w:val="20"/>
                <w:szCs w:val="20"/>
                <w:lang w:eastAsia="zh-CN"/>
              </w:rPr>
              <w:t>J.</w:t>
            </w:r>
            <w:r>
              <w:rPr>
                <w:color w:val="000000"/>
                <w:sz w:val="20"/>
                <w:szCs w:val="20"/>
                <w:lang w:eastAsia="zh-CN"/>
              </w:rPr>
              <w:t xml:space="preserve">  </w:t>
            </w:r>
            <w:r>
              <w:rPr>
                <w:rFonts w:hint="eastAsia"/>
                <w:color w:val="000000"/>
                <w:sz w:val="20"/>
                <w:szCs w:val="20"/>
                <w:lang w:eastAsia="zh-CN"/>
              </w:rPr>
              <w:t>专家会议</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color w:val="000000"/>
                <w:sz w:val="20"/>
                <w:szCs w:val="20"/>
                <w:lang w:eastAsia="zh-CN"/>
              </w:rPr>
            </w:pPr>
            <w:r w:rsidRPr="00B70AA3">
              <w:rPr>
                <w:color w:val="000000"/>
                <w:sz w:val="20"/>
                <w:szCs w:val="20"/>
                <w:lang w:eastAsia="zh-CN"/>
              </w:rPr>
              <w:t>170.0</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color w:val="000000"/>
                <w:sz w:val="20"/>
                <w:szCs w:val="20"/>
              </w:rPr>
            </w:pPr>
            <w:r w:rsidRPr="00B70AA3">
              <w:rPr>
                <w:color w:val="000000"/>
                <w:sz w:val="20"/>
                <w:szCs w:val="20"/>
              </w:rPr>
              <w:t>150.0</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color w:val="000000"/>
                <w:sz w:val="20"/>
                <w:szCs w:val="20"/>
              </w:rPr>
            </w:pPr>
            <w:r w:rsidRPr="00B70AA3">
              <w:rPr>
                <w:color w:val="000000"/>
                <w:sz w:val="20"/>
                <w:szCs w:val="20"/>
              </w:rPr>
              <w:t>320.0</w:t>
            </w:r>
          </w:p>
        </w:tc>
      </w:tr>
      <w:tr w:rsidR="00B72FA3" w:rsidRPr="00B70AA3" w:rsidTr="00595694">
        <w:trPr>
          <w:trHeight w:val="261"/>
        </w:trPr>
        <w:tc>
          <w:tcPr>
            <w:tcW w:w="0" w:type="auto"/>
            <w:tcBorders>
              <w:top w:val="nil"/>
              <w:left w:val="nil"/>
              <w:bottom w:val="nil"/>
              <w:right w:val="nil"/>
            </w:tcBorders>
            <w:shd w:val="clear" w:color="auto" w:fill="auto"/>
            <w:noWrap/>
            <w:vAlign w:val="center"/>
          </w:tcPr>
          <w:p w:rsidR="00B72FA3" w:rsidRPr="00B70AA3" w:rsidRDefault="00B72FA3" w:rsidP="008640E9">
            <w:pPr>
              <w:adjustRightInd w:val="0"/>
              <w:spacing w:before="0" w:after="0"/>
              <w:rPr>
                <w:color w:val="000000"/>
                <w:sz w:val="20"/>
                <w:szCs w:val="20"/>
              </w:rPr>
            </w:pPr>
          </w:p>
        </w:tc>
        <w:tc>
          <w:tcPr>
            <w:tcW w:w="4126" w:type="dxa"/>
            <w:gridSpan w:val="2"/>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26"/>
              <w:rPr>
                <w:color w:val="000000"/>
                <w:sz w:val="20"/>
                <w:szCs w:val="20"/>
              </w:rPr>
            </w:pPr>
            <w:r w:rsidRPr="00B70AA3">
              <w:rPr>
                <w:color w:val="000000"/>
                <w:sz w:val="20"/>
                <w:szCs w:val="20"/>
              </w:rPr>
              <w:t>2020</w:t>
            </w:r>
            <w:r>
              <w:rPr>
                <w:rFonts w:hint="eastAsia"/>
                <w:color w:val="000000"/>
                <w:sz w:val="20"/>
                <w:szCs w:val="20"/>
                <w:lang w:eastAsia="zh-CN"/>
              </w:rPr>
              <w:t>年</w:t>
            </w:r>
            <w:r>
              <w:rPr>
                <w:color w:val="000000"/>
                <w:sz w:val="20"/>
                <w:szCs w:val="20"/>
                <w:lang w:eastAsia="zh-CN"/>
              </w:rPr>
              <w:t>及以后的特别会议</w:t>
            </w:r>
            <w:r w:rsidRPr="00B70AA3">
              <w:rPr>
                <w:color w:val="000000"/>
                <w:sz w:val="20"/>
                <w:szCs w:val="20"/>
              </w:rPr>
              <w:t xml:space="preserve"> </w:t>
            </w:r>
            <w:r w:rsidRPr="00B70AA3">
              <w:rPr>
                <w:color w:val="000000"/>
                <w:sz w:val="20"/>
                <w:szCs w:val="20"/>
                <w:vertAlign w:val="superscript"/>
              </w:rPr>
              <w:t>4/</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sz w:val="20"/>
                <w:szCs w:val="20"/>
              </w:rPr>
            </w:pPr>
            <w:r w:rsidRPr="00B70AA3">
              <w:rPr>
                <w:sz w:val="20"/>
                <w:szCs w:val="20"/>
              </w:rPr>
              <w:t>750.0</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sz w:val="20"/>
                <w:szCs w:val="20"/>
              </w:rPr>
            </w:pPr>
            <w:r w:rsidRPr="00B70AA3">
              <w:rPr>
                <w:sz w:val="20"/>
                <w:szCs w:val="20"/>
              </w:rPr>
              <w:t>560.0</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color w:val="000000"/>
                <w:sz w:val="20"/>
                <w:szCs w:val="20"/>
              </w:rPr>
            </w:pPr>
            <w:r w:rsidRPr="00B70AA3">
              <w:rPr>
                <w:color w:val="000000"/>
                <w:sz w:val="20"/>
                <w:szCs w:val="20"/>
              </w:rPr>
              <w:t>1</w:t>
            </w:r>
            <w:r>
              <w:rPr>
                <w:color w:val="000000"/>
                <w:sz w:val="20"/>
                <w:szCs w:val="20"/>
              </w:rPr>
              <w:t xml:space="preserve"> </w:t>
            </w:r>
            <w:r w:rsidRPr="00B70AA3">
              <w:rPr>
                <w:color w:val="000000"/>
                <w:sz w:val="20"/>
                <w:szCs w:val="20"/>
              </w:rPr>
              <w:t>310.0</w:t>
            </w:r>
          </w:p>
        </w:tc>
      </w:tr>
      <w:tr w:rsidR="00B72FA3" w:rsidRPr="00B70AA3" w:rsidTr="00595694">
        <w:trPr>
          <w:trHeight w:val="261"/>
        </w:trPr>
        <w:tc>
          <w:tcPr>
            <w:tcW w:w="0" w:type="auto"/>
            <w:tcBorders>
              <w:top w:val="nil"/>
              <w:left w:val="nil"/>
              <w:bottom w:val="nil"/>
              <w:right w:val="nil"/>
            </w:tcBorders>
            <w:shd w:val="clear" w:color="auto" w:fill="auto"/>
            <w:noWrap/>
            <w:vAlign w:val="center"/>
          </w:tcPr>
          <w:p w:rsidR="00B72FA3" w:rsidRPr="00B70AA3" w:rsidRDefault="00B72FA3" w:rsidP="008640E9">
            <w:pPr>
              <w:adjustRightInd w:val="0"/>
              <w:spacing w:before="0" w:after="0"/>
              <w:rPr>
                <w:color w:val="000000"/>
                <w:sz w:val="20"/>
                <w:szCs w:val="20"/>
              </w:rPr>
            </w:pPr>
          </w:p>
        </w:tc>
        <w:tc>
          <w:tcPr>
            <w:tcW w:w="4126" w:type="dxa"/>
            <w:gridSpan w:val="2"/>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26"/>
              <w:rPr>
                <w:color w:val="000000"/>
                <w:sz w:val="20"/>
                <w:szCs w:val="20"/>
                <w:lang w:eastAsia="zh-CN"/>
              </w:rPr>
            </w:pPr>
            <w:r w:rsidRPr="00B70AA3">
              <w:rPr>
                <w:color w:val="000000"/>
                <w:sz w:val="20"/>
                <w:szCs w:val="20"/>
                <w:lang w:eastAsia="zh-CN"/>
              </w:rPr>
              <w:t>K.</w:t>
            </w:r>
            <w:r>
              <w:rPr>
                <w:color w:val="000000"/>
                <w:sz w:val="20"/>
                <w:szCs w:val="20"/>
                <w:lang w:eastAsia="zh-CN"/>
              </w:rPr>
              <w:t xml:space="preserve">  </w:t>
            </w:r>
            <w:r>
              <w:rPr>
                <w:rFonts w:hint="eastAsia"/>
                <w:color w:val="000000"/>
                <w:sz w:val="20"/>
                <w:szCs w:val="20"/>
                <w:lang w:eastAsia="zh-CN"/>
              </w:rPr>
              <w:t>租金</w:t>
            </w:r>
            <w:r>
              <w:rPr>
                <w:color w:val="000000"/>
                <w:sz w:val="20"/>
                <w:szCs w:val="20"/>
                <w:lang w:eastAsia="zh-CN"/>
              </w:rPr>
              <w:t>和相关费用</w:t>
            </w:r>
            <w:r w:rsidRPr="00B70AA3">
              <w:rPr>
                <w:color w:val="000000"/>
                <w:sz w:val="20"/>
                <w:szCs w:val="20"/>
                <w:lang w:eastAsia="zh-CN"/>
              </w:rPr>
              <w:t xml:space="preserve"> </w:t>
            </w:r>
            <w:r w:rsidRPr="00B70AA3">
              <w:rPr>
                <w:color w:val="000000"/>
                <w:sz w:val="20"/>
                <w:szCs w:val="20"/>
                <w:vertAlign w:val="superscript"/>
                <w:lang w:eastAsia="zh-CN"/>
              </w:rPr>
              <w:t>5/</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color w:val="000000"/>
                <w:sz w:val="20"/>
                <w:szCs w:val="20"/>
                <w:lang w:eastAsia="zh-CN"/>
              </w:rPr>
            </w:pPr>
            <w:r w:rsidRPr="00B70AA3">
              <w:rPr>
                <w:color w:val="000000"/>
                <w:sz w:val="20"/>
                <w:szCs w:val="20"/>
                <w:lang w:eastAsia="zh-CN"/>
              </w:rPr>
              <w:t>1</w:t>
            </w:r>
            <w:r>
              <w:rPr>
                <w:color w:val="000000"/>
                <w:sz w:val="20"/>
                <w:szCs w:val="20"/>
                <w:lang w:eastAsia="zh-CN"/>
              </w:rPr>
              <w:t xml:space="preserve"> </w:t>
            </w:r>
            <w:r w:rsidRPr="00B70AA3">
              <w:rPr>
                <w:color w:val="000000"/>
                <w:sz w:val="20"/>
                <w:szCs w:val="20"/>
                <w:lang w:eastAsia="zh-CN"/>
              </w:rPr>
              <w:t>229.5</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color w:val="000000"/>
                <w:sz w:val="20"/>
                <w:szCs w:val="20"/>
                <w:lang w:eastAsia="zh-CN"/>
              </w:rPr>
            </w:pPr>
            <w:r w:rsidRPr="00B70AA3">
              <w:rPr>
                <w:color w:val="000000"/>
                <w:sz w:val="20"/>
                <w:szCs w:val="20"/>
                <w:lang w:eastAsia="zh-CN"/>
              </w:rPr>
              <w:t>1</w:t>
            </w:r>
            <w:r>
              <w:rPr>
                <w:color w:val="000000"/>
                <w:sz w:val="20"/>
                <w:szCs w:val="20"/>
                <w:lang w:eastAsia="zh-CN"/>
              </w:rPr>
              <w:t xml:space="preserve"> </w:t>
            </w:r>
            <w:r w:rsidRPr="00B70AA3">
              <w:rPr>
                <w:color w:val="000000"/>
                <w:sz w:val="20"/>
                <w:szCs w:val="20"/>
                <w:lang w:eastAsia="zh-CN"/>
              </w:rPr>
              <w:t>423.4</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color w:val="000000"/>
                <w:sz w:val="20"/>
                <w:szCs w:val="20"/>
                <w:lang w:eastAsia="zh-CN"/>
              </w:rPr>
            </w:pPr>
            <w:r w:rsidRPr="00B70AA3">
              <w:rPr>
                <w:color w:val="000000"/>
                <w:sz w:val="20"/>
                <w:szCs w:val="20"/>
                <w:lang w:eastAsia="zh-CN"/>
              </w:rPr>
              <w:t>2</w:t>
            </w:r>
            <w:r>
              <w:rPr>
                <w:color w:val="000000"/>
                <w:sz w:val="20"/>
                <w:szCs w:val="20"/>
                <w:lang w:eastAsia="zh-CN"/>
              </w:rPr>
              <w:t xml:space="preserve"> </w:t>
            </w:r>
            <w:r w:rsidRPr="00B70AA3">
              <w:rPr>
                <w:color w:val="000000"/>
                <w:sz w:val="20"/>
                <w:szCs w:val="20"/>
                <w:lang w:eastAsia="zh-CN"/>
              </w:rPr>
              <w:t>652.9</w:t>
            </w:r>
          </w:p>
        </w:tc>
      </w:tr>
      <w:tr w:rsidR="00B72FA3" w:rsidRPr="00B70AA3" w:rsidTr="00595694">
        <w:trPr>
          <w:trHeight w:val="261"/>
        </w:trPr>
        <w:tc>
          <w:tcPr>
            <w:tcW w:w="0" w:type="auto"/>
            <w:tcBorders>
              <w:top w:val="nil"/>
              <w:left w:val="nil"/>
              <w:bottom w:val="nil"/>
              <w:right w:val="nil"/>
            </w:tcBorders>
            <w:shd w:val="clear" w:color="auto" w:fill="auto"/>
            <w:noWrap/>
            <w:vAlign w:val="center"/>
          </w:tcPr>
          <w:p w:rsidR="00B72FA3" w:rsidRPr="00B70AA3" w:rsidRDefault="00B72FA3" w:rsidP="008640E9">
            <w:pPr>
              <w:adjustRightInd w:val="0"/>
              <w:spacing w:before="0" w:after="0"/>
              <w:rPr>
                <w:color w:val="000000"/>
                <w:sz w:val="20"/>
                <w:szCs w:val="20"/>
                <w:lang w:eastAsia="zh-CN"/>
              </w:rPr>
            </w:pPr>
          </w:p>
        </w:tc>
        <w:tc>
          <w:tcPr>
            <w:tcW w:w="4126" w:type="dxa"/>
            <w:gridSpan w:val="2"/>
            <w:tcBorders>
              <w:top w:val="nil"/>
              <w:left w:val="nil"/>
              <w:bottom w:val="single" w:sz="4" w:space="0" w:color="auto"/>
              <w:right w:val="nil"/>
            </w:tcBorders>
            <w:shd w:val="clear" w:color="auto" w:fill="auto"/>
            <w:vAlign w:val="center"/>
            <w:hideMark/>
          </w:tcPr>
          <w:p w:rsidR="00B72FA3" w:rsidRPr="00B70AA3" w:rsidRDefault="00B72FA3" w:rsidP="00595694">
            <w:pPr>
              <w:adjustRightInd w:val="0"/>
              <w:spacing w:before="0" w:after="0"/>
              <w:ind w:firstLine="26"/>
              <w:rPr>
                <w:color w:val="000000"/>
                <w:sz w:val="20"/>
                <w:szCs w:val="20"/>
                <w:lang w:eastAsia="zh-CN"/>
              </w:rPr>
            </w:pPr>
            <w:r w:rsidRPr="00B70AA3">
              <w:rPr>
                <w:color w:val="000000"/>
                <w:sz w:val="20"/>
                <w:szCs w:val="20"/>
                <w:lang w:eastAsia="zh-CN"/>
              </w:rPr>
              <w:t>M.</w:t>
            </w:r>
            <w:r>
              <w:rPr>
                <w:color w:val="000000"/>
                <w:sz w:val="20"/>
                <w:szCs w:val="20"/>
                <w:lang w:eastAsia="zh-CN"/>
              </w:rPr>
              <w:t xml:space="preserve">  </w:t>
            </w:r>
            <w:r>
              <w:rPr>
                <w:rFonts w:hint="eastAsia"/>
                <w:color w:val="000000"/>
                <w:sz w:val="20"/>
                <w:szCs w:val="20"/>
                <w:lang w:eastAsia="zh-CN"/>
              </w:rPr>
              <w:t>一般业务费用</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color w:val="000000"/>
                <w:sz w:val="20"/>
                <w:szCs w:val="20"/>
                <w:lang w:eastAsia="zh-CN"/>
              </w:rPr>
            </w:pPr>
            <w:r w:rsidRPr="00B70AA3">
              <w:rPr>
                <w:color w:val="000000"/>
                <w:sz w:val="20"/>
                <w:szCs w:val="20"/>
                <w:lang w:eastAsia="zh-CN"/>
              </w:rPr>
              <w:t>726.6</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color w:val="000000"/>
                <w:sz w:val="20"/>
                <w:szCs w:val="20"/>
                <w:lang w:eastAsia="zh-CN"/>
              </w:rPr>
            </w:pPr>
            <w:r w:rsidRPr="00B70AA3">
              <w:rPr>
                <w:color w:val="000000"/>
                <w:sz w:val="20"/>
                <w:szCs w:val="20"/>
                <w:lang w:eastAsia="zh-CN"/>
              </w:rPr>
              <w:t>726.6</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color w:val="000000"/>
                <w:sz w:val="20"/>
                <w:szCs w:val="20"/>
                <w:lang w:eastAsia="zh-CN"/>
              </w:rPr>
            </w:pPr>
            <w:r w:rsidRPr="00B70AA3">
              <w:rPr>
                <w:color w:val="000000"/>
                <w:sz w:val="20"/>
                <w:szCs w:val="20"/>
                <w:lang w:eastAsia="zh-CN"/>
              </w:rPr>
              <w:t>1</w:t>
            </w:r>
            <w:r>
              <w:rPr>
                <w:color w:val="000000"/>
                <w:sz w:val="20"/>
                <w:szCs w:val="20"/>
                <w:lang w:eastAsia="zh-CN"/>
              </w:rPr>
              <w:t xml:space="preserve"> </w:t>
            </w:r>
            <w:r w:rsidRPr="00B70AA3">
              <w:rPr>
                <w:color w:val="000000"/>
                <w:sz w:val="20"/>
                <w:szCs w:val="20"/>
                <w:lang w:eastAsia="zh-CN"/>
              </w:rPr>
              <w:t>453.2</w:t>
            </w:r>
          </w:p>
        </w:tc>
      </w:tr>
      <w:tr w:rsidR="00B72FA3" w:rsidRPr="00B70AA3" w:rsidTr="00595694">
        <w:trPr>
          <w:trHeight w:val="261"/>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b/>
                <w:bCs/>
                <w:color w:val="000000"/>
                <w:sz w:val="20"/>
                <w:szCs w:val="20"/>
                <w:lang w:eastAsia="zh-CN"/>
              </w:rPr>
            </w:pPr>
          </w:p>
        </w:tc>
        <w:tc>
          <w:tcPr>
            <w:tcW w:w="4126" w:type="dxa"/>
            <w:gridSpan w:val="2"/>
            <w:tcBorders>
              <w:top w:val="single" w:sz="4" w:space="0" w:color="auto"/>
              <w:left w:val="nil"/>
              <w:bottom w:val="single" w:sz="4" w:space="0" w:color="auto"/>
              <w:right w:val="nil"/>
            </w:tcBorders>
            <w:shd w:val="clear" w:color="auto" w:fill="auto"/>
            <w:vAlign w:val="center"/>
            <w:hideMark/>
          </w:tcPr>
          <w:p w:rsidR="00B72FA3" w:rsidRPr="00B70AA3" w:rsidRDefault="00B72FA3" w:rsidP="00595694">
            <w:pPr>
              <w:adjustRightInd w:val="0"/>
              <w:spacing w:before="0" w:after="0"/>
              <w:ind w:firstLine="26"/>
              <w:rPr>
                <w:b/>
                <w:bCs/>
                <w:sz w:val="20"/>
                <w:szCs w:val="20"/>
                <w:lang w:eastAsia="zh-CN"/>
              </w:rPr>
            </w:pPr>
            <w:r>
              <w:rPr>
                <w:rFonts w:hint="eastAsia"/>
                <w:b/>
                <w:bCs/>
                <w:sz w:val="20"/>
                <w:szCs w:val="20"/>
                <w:lang w:eastAsia="zh-CN"/>
              </w:rPr>
              <w:t>小计</w:t>
            </w:r>
            <w:r w:rsidRPr="00B70AA3">
              <w:rPr>
                <w:b/>
                <w:bCs/>
                <w:sz w:val="20"/>
                <w:szCs w:val="20"/>
                <w:lang w:eastAsia="zh-CN"/>
              </w:rPr>
              <w:t xml:space="preserve"> </w:t>
            </w:r>
            <w:r>
              <w:rPr>
                <w:b/>
                <w:bCs/>
                <w:sz w:val="20"/>
                <w:szCs w:val="20"/>
                <w:lang w:eastAsia="zh-CN"/>
              </w:rPr>
              <w:t>（</w:t>
            </w:r>
            <w:r>
              <w:rPr>
                <w:rFonts w:hint="eastAsia"/>
                <w:b/>
                <w:bCs/>
                <w:sz w:val="20"/>
                <w:szCs w:val="20"/>
                <w:lang w:eastAsia="zh-CN"/>
              </w:rPr>
              <w:t>一</w:t>
            </w:r>
            <w:r>
              <w:rPr>
                <w:b/>
                <w:bCs/>
                <w:sz w:val="20"/>
                <w:szCs w:val="20"/>
                <w:lang w:eastAsia="zh-CN"/>
              </w:rPr>
              <w:t>）</w:t>
            </w:r>
          </w:p>
        </w:tc>
        <w:tc>
          <w:tcPr>
            <w:tcW w:w="1626" w:type="dxa"/>
            <w:tcBorders>
              <w:top w:val="single" w:sz="4" w:space="0" w:color="auto"/>
              <w:left w:val="nil"/>
              <w:bottom w:val="single" w:sz="4" w:space="0" w:color="auto"/>
              <w:right w:val="nil"/>
            </w:tcBorders>
            <w:shd w:val="clear" w:color="auto" w:fill="auto"/>
            <w:vAlign w:val="center"/>
            <w:hideMark/>
          </w:tcPr>
          <w:p w:rsidR="00B72FA3" w:rsidRPr="00B70AA3" w:rsidRDefault="00B72FA3" w:rsidP="00595694">
            <w:pPr>
              <w:adjustRightInd w:val="0"/>
              <w:spacing w:before="0" w:after="0"/>
              <w:ind w:firstLine="311"/>
              <w:jc w:val="right"/>
              <w:rPr>
                <w:b/>
                <w:bCs/>
                <w:sz w:val="20"/>
                <w:szCs w:val="20"/>
                <w:lang w:eastAsia="zh-CN"/>
              </w:rPr>
            </w:pPr>
            <w:r w:rsidRPr="00B70AA3">
              <w:rPr>
                <w:b/>
                <w:bCs/>
                <w:sz w:val="20"/>
                <w:szCs w:val="20"/>
                <w:lang w:eastAsia="zh-CN"/>
              </w:rPr>
              <w:t>16</w:t>
            </w:r>
            <w:r>
              <w:rPr>
                <w:b/>
                <w:bCs/>
                <w:sz w:val="20"/>
                <w:szCs w:val="20"/>
                <w:lang w:eastAsia="zh-CN"/>
              </w:rPr>
              <w:t xml:space="preserve"> </w:t>
            </w:r>
            <w:r w:rsidRPr="00B70AA3">
              <w:rPr>
                <w:b/>
                <w:bCs/>
                <w:sz w:val="20"/>
                <w:szCs w:val="20"/>
                <w:lang w:eastAsia="zh-CN"/>
              </w:rPr>
              <w:t>719.0</w:t>
            </w:r>
          </w:p>
        </w:tc>
        <w:tc>
          <w:tcPr>
            <w:tcW w:w="1710" w:type="dxa"/>
            <w:tcBorders>
              <w:top w:val="single" w:sz="4" w:space="0" w:color="auto"/>
              <w:left w:val="nil"/>
              <w:bottom w:val="single" w:sz="4" w:space="0" w:color="auto"/>
              <w:right w:val="nil"/>
            </w:tcBorders>
            <w:shd w:val="clear" w:color="auto" w:fill="auto"/>
            <w:vAlign w:val="center"/>
            <w:hideMark/>
          </w:tcPr>
          <w:p w:rsidR="00B72FA3" w:rsidRPr="00B70AA3" w:rsidRDefault="00B72FA3" w:rsidP="00595694">
            <w:pPr>
              <w:adjustRightInd w:val="0"/>
              <w:spacing w:before="0" w:after="0"/>
              <w:ind w:firstLine="395"/>
              <w:jc w:val="right"/>
              <w:rPr>
                <w:b/>
                <w:bCs/>
                <w:sz w:val="20"/>
                <w:szCs w:val="20"/>
                <w:lang w:eastAsia="zh-CN"/>
              </w:rPr>
            </w:pPr>
            <w:r w:rsidRPr="00B70AA3">
              <w:rPr>
                <w:b/>
                <w:bCs/>
                <w:sz w:val="20"/>
                <w:szCs w:val="20"/>
                <w:lang w:eastAsia="zh-CN"/>
              </w:rPr>
              <w:t>17</w:t>
            </w:r>
            <w:r>
              <w:rPr>
                <w:b/>
                <w:bCs/>
                <w:sz w:val="20"/>
                <w:szCs w:val="20"/>
                <w:lang w:eastAsia="zh-CN"/>
              </w:rPr>
              <w:t xml:space="preserve"> </w:t>
            </w:r>
            <w:r w:rsidRPr="00B70AA3">
              <w:rPr>
                <w:b/>
                <w:bCs/>
                <w:sz w:val="20"/>
                <w:szCs w:val="20"/>
                <w:lang w:eastAsia="zh-CN"/>
              </w:rPr>
              <w:t>490.6</w:t>
            </w:r>
          </w:p>
        </w:tc>
        <w:tc>
          <w:tcPr>
            <w:tcW w:w="1982" w:type="dxa"/>
            <w:tcBorders>
              <w:top w:val="single" w:sz="4" w:space="0" w:color="auto"/>
              <w:left w:val="nil"/>
              <w:bottom w:val="single" w:sz="4" w:space="0" w:color="auto"/>
              <w:right w:val="nil"/>
            </w:tcBorders>
            <w:shd w:val="clear" w:color="auto" w:fill="auto"/>
            <w:vAlign w:val="center"/>
            <w:hideMark/>
          </w:tcPr>
          <w:p w:rsidR="00B72FA3" w:rsidRPr="00B70AA3" w:rsidRDefault="00B72FA3" w:rsidP="00595694">
            <w:pPr>
              <w:adjustRightInd w:val="0"/>
              <w:spacing w:before="0" w:after="0"/>
              <w:ind w:firstLine="485"/>
              <w:jc w:val="right"/>
              <w:rPr>
                <w:b/>
                <w:bCs/>
                <w:sz w:val="20"/>
                <w:szCs w:val="20"/>
                <w:lang w:eastAsia="zh-CN"/>
              </w:rPr>
            </w:pPr>
            <w:r w:rsidRPr="00B70AA3">
              <w:rPr>
                <w:b/>
                <w:bCs/>
                <w:sz w:val="20"/>
                <w:szCs w:val="20"/>
                <w:lang w:eastAsia="zh-CN"/>
              </w:rPr>
              <w:t>34</w:t>
            </w:r>
            <w:r>
              <w:rPr>
                <w:b/>
                <w:bCs/>
                <w:sz w:val="20"/>
                <w:szCs w:val="20"/>
                <w:lang w:eastAsia="zh-CN"/>
              </w:rPr>
              <w:t xml:space="preserve"> </w:t>
            </w:r>
            <w:r w:rsidRPr="00B70AA3">
              <w:rPr>
                <w:b/>
                <w:bCs/>
                <w:sz w:val="20"/>
                <w:szCs w:val="20"/>
                <w:lang w:eastAsia="zh-CN"/>
              </w:rPr>
              <w:t>209.6</w:t>
            </w:r>
          </w:p>
        </w:tc>
      </w:tr>
      <w:tr w:rsidR="00B72FA3" w:rsidRPr="00B70AA3" w:rsidTr="00595694">
        <w:trPr>
          <w:trHeight w:val="261"/>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b/>
                <w:bCs/>
                <w:color w:val="000000"/>
                <w:sz w:val="20"/>
                <w:szCs w:val="20"/>
                <w:lang w:eastAsia="zh-CN"/>
              </w:rPr>
            </w:pPr>
          </w:p>
        </w:tc>
        <w:tc>
          <w:tcPr>
            <w:tcW w:w="4126" w:type="dxa"/>
            <w:gridSpan w:val="2"/>
            <w:tcBorders>
              <w:top w:val="single" w:sz="4" w:space="0" w:color="auto"/>
              <w:left w:val="nil"/>
              <w:bottom w:val="nil"/>
              <w:right w:val="nil"/>
            </w:tcBorders>
            <w:shd w:val="clear" w:color="auto" w:fill="auto"/>
            <w:vAlign w:val="center"/>
            <w:hideMark/>
          </w:tcPr>
          <w:p w:rsidR="00B72FA3" w:rsidRPr="00B70AA3" w:rsidRDefault="00B72FA3" w:rsidP="00595694">
            <w:pPr>
              <w:adjustRightInd w:val="0"/>
              <w:spacing w:before="0" w:after="0"/>
              <w:ind w:firstLine="26"/>
              <w:rPr>
                <w:b/>
                <w:bCs/>
                <w:sz w:val="20"/>
                <w:szCs w:val="20"/>
                <w:lang w:eastAsia="zh-CN"/>
              </w:rPr>
            </w:pPr>
            <w:r>
              <w:rPr>
                <w:rFonts w:hint="eastAsia"/>
                <w:b/>
                <w:bCs/>
                <w:color w:val="000000"/>
                <w:sz w:val="20"/>
                <w:szCs w:val="20"/>
                <w:lang w:eastAsia="zh-CN"/>
              </w:rPr>
              <w:t>二</w:t>
            </w:r>
            <w:r>
              <w:rPr>
                <w:rFonts w:hint="eastAsia"/>
                <w:b/>
                <w:bCs/>
                <w:color w:val="000000"/>
                <w:sz w:val="20"/>
                <w:szCs w:val="20"/>
                <w:lang w:eastAsia="zh-CN"/>
              </w:rPr>
              <w:t xml:space="preserve">.  </w:t>
            </w:r>
            <w:r>
              <w:rPr>
                <w:rFonts w:hint="eastAsia"/>
                <w:b/>
                <w:bCs/>
                <w:sz w:val="20"/>
                <w:szCs w:val="20"/>
                <w:lang w:eastAsia="zh-CN"/>
              </w:rPr>
              <w:t>方案支助费用</w:t>
            </w:r>
            <w:r w:rsidRPr="00B70AA3">
              <w:rPr>
                <w:b/>
                <w:bCs/>
                <w:sz w:val="20"/>
                <w:szCs w:val="20"/>
                <w:lang w:eastAsia="zh-CN"/>
              </w:rPr>
              <w:t xml:space="preserve"> </w:t>
            </w:r>
            <w:r>
              <w:rPr>
                <w:b/>
                <w:bCs/>
                <w:sz w:val="20"/>
                <w:szCs w:val="20"/>
                <w:lang w:eastAsia="zh-CN"/>
              </w:rPr>
              <w:t>（</w:t>
            </w:r>
            <w:r w:rsidRPr="00B70AA3">
              <w:rPr>
                <w:b/>
                <w:bCs/>
                <w:sz w:val="20"/>
                <w:szCs w:val="20"/>
                <w:lang w:eastAsia="zh-CN"/>
              </w:rPr>
              <w:t>13%</w:t>
            </w:r>
            <w:r>
              <w:rPr>
                <w:b/>
                <w:bCs/>
                <w:sz w:val="20"/>
                <w:szCs w:val="20"/>
                <w:lang w:eastAsia="zh-CN"/>
              </w:rPr>
              <w:t>）</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sz w:val="20"/>
                <w:szCs w:val="20"/>
                <w:lang w:eastAsia="zh-CN"/>
              </w:rPr>
            </w:pPr>
            <w:r w:rsidRPr="00B70AA3">
              <w:rPr>
                <w:sz w:val="20"/>
                <w:szCs w:val="20"/>
                <w:lang w:eastAsia="zh-CN"/>
              </w:rPr>
              <w:t>2</w:t>
            </w:r>
            <w:r>
              <w:rPr>
                <w:sz w:val="20"/>
                <w:szCs w:val="20"/>
                <w:lang w:eastAsia="zh-CN"/>
              </w:rPr>
              <w:t xml:space="preserve"> </w:t>
            </w:r>
            <w:r w:rsidRPr="00B70AA3">
              <w:rPr>
                <w:sz w:val="20"/>
                <w:szCs w:val="20"/>
                <w:lang w:eastAsia="zh-CN"/>
              </w:rPr>
              <w:t>173.5</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sz w:val="20"/>
                <w:szCs w:val="20"/>
                <w:lang w:eastAsia="zh-CN"/>
              </w:rPr>
            </w:pPr>
            <w:r w:rsidRPr="00B70AA3">
              <w:rPr>
                <w:sz w:val="20"/>
                <w:szCs w:val="20"/>
                <w:lang w:eastAsia="zh-CN"/>
              </w:rPr>
              <w:t>2</w:t>
            </w:r>
            <w:r>
              <w:rPr>
                <w:sz w:val="20"/>
                <w:szCs w:val="20"/>
                <w:lang w:eastAsia="zh-CN"/>
              </w:rPr>
              <w:t xml:space="preserve"> </w:t>
            </w:r>
            <w:r w:rsidRPr="00B70AA3">
              <w:rPr>
                <w:sz w:val="20"/>
                <w:szCs w:val="20"/>
                <w:lang w:eastAsia="zh-CN"/>
              </w:rPr>
              <w:t>273.8</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sz w:val="20"/>
                <w:szCs w:val="20"/>
              </w:rPr>
            </w:pPr>
            <w:r w:rsidRPr="00B70AA3">
              <w:rPr>
                <w:sz w:val="20"/>
                <w:szCs w:val="20"/>
                <w:lang w:eastAsia="zh-CN"/>
              </w:rPr>
              <w:t>4</w:t>
            </w:r>
            <w:r>
              <w:rPr>
                <w:sz w:val="20"/>
                <w:szCs w:val="20"/>
                <w:lang w:eastAsia="zh-CN"/>
              </w:rPr>
              <w:t xml:space="preserve"> </w:t>
            </w:r>
            <w:r w:rsidRPr="00B70AA3">
              <w:rPr>
                <w:sz w:val="20"/>
                <w:szCs w:val="20"/>
                <w:lang w:eastAsia="zh-CN"/>
              </w:rPr>
              <w:t>4</w:t>
            </w:r>
            <w:r w:rsidRPr="00B70AA3">
              <w:rPr>
                <w:sz w:val="20"/>
                <w:szCs w:val="20"/>
              </w:rPr>
              <w:t>47.2</w:t>
            </w:r>
          </w:p>
        </w:tc>
      </w:tr>
      <w:tr w:rsidR="00B72FA3" w:rsidRPr="00B70AA3" w:rsidTr="00595694">
        <w:trPr>
          <w:trHeight w:val="261"/>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b/>
                <w:bCs/>
                <w:color w:val="000000"/>
                <w:sz w:val="20"/>
                <w:szCs w:val="20"/>
              </w:rPr>
            </w:pPr>
          </w:p>
        </w:tc>
        <w:tc>
          <w:tcPr>
            <w:tcW w:w="4126" w:type="dxa"/>
            <w:gridSpan w:val="2"/>
            <w:tcBorders>
              <w:top w:val="nil"/>
              <w:left w:val="nil"/>
              <w:bottom w:val="single" w:sz="4" w:space="0" w:color="auto"/>
              <w:right w:val="nil"/>
            </w:tcBorders>
            <w:shd w:val="clear" w:color="auto" w:fill="auto"/>
            <w:vAlign w:val="center"/>
            <w:hideMark/>
          </w:tcPr>
          <w:p w:rsidR="00B72FA3" w:rsidRPr="00B70AA3" w:rsidRDefault="00B72FA3" w:rsidP="00595694">
            <w:pPr>
              <w:adjustRightInd w:val="0"/>
              <w:spacing w:before="0" w:after="0"/>
              <w:ind w:firstLine="26"/>
              <w:rPr>
                <w:b/>
                <w:bCs/>
                <w:sz w:val="20"/>
                <w:szCs w:val="20"/>
              </w:rPr>
            </w:pPr>
            <w:r>
              <w:rPr>
                <w:rFonts w:hint="eastAsia"/>
                <w:b/>
                <w:bCs/>
                <w:sz w:val="20"/>
                <w:szCs w:val="20"/>
                <w:lang w:eastAsia="zh-CN"/>
              </w:rPr>
              <w:t>小计</w:t>
            </w:r>
            <w:r w:rsidRPr="00B70AA3">
              <w:rPr>
                <w:b/>
                <w:bCs/>
                <w:sz w:val="20"/>
                <w:szCs w:val="20"/>
              </w:rPr>
              <w:t xml:space="preserve"> </w:t>
            </w:r>
            <w:r>
              <w:rPr>
                <w:b/>
                <w:bCs/>
                <w:sz w:val="20"/>
                <w:szCs w:val="20"/>
              </w:rPr>
              <w:t>（</w:t>
            </w:r>
            <w:r>
              <w:rPr>
                <w:rFonts w:hint="eastAsia"/>
                <w:b/>
                <w:bCs/>
                <w:sz w:val="20"/>
                <w:szCs w:val="20"/>
                <w:lang w:eastAsia="zh-CN"/>
              </w:rPr>
              <w:t>一</w:t>
            </w:r>
            <w:r w:rsidRPr="00B70AA3">
              <w:rPr>
                <w:b/>
                <w:bCs/>
                <w:sz w:val="20"/>
                <w:szCs w:val="20"/>
              </w:rPr>
              <w:t xml:space="preserve"> + </w:t>
            </w:r>
            <w:r>
              <w:rPr>
                <w:rFonts w:hint="eastAsia"/>
                <w:b/>
                <w:bCs/>
                <w:sz w:val="20"/>
                <w:szCs w:val="20"/>
                <w:lang w:eastAsia="zh-CN"/>
              </w:rPr>
              <w:t>二</w:t>
            </w:r>
            <w:r>
              <w:rPr>
                <w:b/>
                <w:bCs/>
                <w:sz w:val="20"/>
                <w:szCs w:val="20"/>
              </w:rPr>
              <w:t>）</w:t>
            </w:r>
          </w:p>
        </w:tc>
        <w:tc>
          <w:tcPr>
            <w:tcW w:w="1626" w:type="dxa"/>
            <w:tcBorders>
              <w:top w:val="nil"/>
              <w:left w:val="nil"/>
              <w:bottom w:val="single" w:sz="4" w:space="0" w:color="auto"/>
              <w:right w:val="nil"/>
            </w:tcBorders>
            <w:shd w:val="clear" w:color="auto" w:fill="auto"/>
            <w:vAlign w:val="center"/>
            <w:hideMark/>
          </w:tcPr>
          <w:p w:rsidR="00B72FA3" w:rsidRPr="00B70AA3" w:rsidRDefault="00B72FA3" w:rsidP="00595694">
            <w:pPr>
              <w:adjustRightInd w:val="0"/>
              <w:spacing w:before="0" w:after="0"/>
              <w:ind w:firstLine="311"/>
              <w:jc w:val="right"/>
              <w:rPr>
                <w:b/>
                <w:bCs/>
                <w:sz w:val="20"/>
                <w:szCs w:val="20"/>
              </w:rPr>
            </w:pPr>
            <w:r w:rsidRPr="00B70AA3">
              <w:rPr>
                <w:b/>
                <w:bCs/>
                <w:sz w:val="20"/>
                <w:szCs w:val="20"/>
              </w:rPr>
              <w:t>18</w:t>
            </w:r>
            <w:r>
              <w:rPr>
                <w:b/>
                <w:bCs/>
                <w:sz w:val="20"/>
                <w:szCs w:val="20"/>
              </w:rPr>
              <w:t xml:space="preserve"> </w:t>
            </w:r>
            <w:r w:rsidRPr="00B70AA3">
              <w:rPr>
                <w:b/>
                <w:bCs/>
                <w:sz w:val="20"/>
                <w:szCs w:val="20"/>
              </w:rPr>
              <w:t>892.4</w:t>
            </w:r>
          </w:p>
        </w:tc>
        <w:tc>
          <w:tcPr>
            <w:tcW w:w="1710" w:type="dxa"/>
            <w:tcBorders>
              <w:top w:val="nil"/>
              <w:left w:val="nil"/>
              <w:bottom w:val="single" w:sz="4" w:space="0" w:color="auto"/>
              <w:right w:val="nil"/>
            </w:tcBorders>
            <w:shd w:val="clear" w:color="auto" w:fill="auto"/>
            <w:vAlign w:val="center"/>
            <w:hideMark/>
          </w:tcPr>
          <w:p w:rsidR="00B72FA3" w:rsidRPr="00B70AA3" w:rsidRDefault="00B72FA3" w:rsidP="00595694">
            <w:pPr>
              <w:adjustRightInd w:val="0"/>
              <w:spacing w:before="0" w:after="0"/>
              <w:ind w:firstLine="395"/>
              <w:jc w:val="right"/>
              <w:rPr>
                <w:b/>
                <w:bCs/>
                <w:sz w:val="20"/>
                <w:szCs w:val="20"/>
              </w:rPr>
            </w:pPr>
            <w:r w:rsidRPr="00B70AA3">
              <w:rPr>
                <w:b/>
                <w:bCs/>
                <w:sz w:val="20"/>
                <w:szCs w:val="20"/>
              </w:rPr>
              <w:t>19</w:t>
            </w:r>
            <w:r>
              <w:rPr>
                <w:b/>
                <w:bCs/>
                <w:sz w:val="20"/>
                <w:szCs w:val="20"/>
              </w:rPr>
              <w:t xml:space="preserve"> </w:t>
            </w:r>
            <w:r w:rsidRPr="00B70AA3">
              <w:rPr>
                <w:b/>
                <w:bCs/>
                <w:sz w:val="20"/>
                <w:szCs w:val="20"/>
              </w:rPr>
              <w:t>764.4</w:t>
            </w:r>
          </w:p>
        </w:tc>
        <w:tc>
          <w:tcPr>
            <w:tcW w:w="1982" w:type="dxa"/>
            <w:tcBorders>
              <w:top w:val="nil"/>
              <w:left w:val="nil"/>
              <w:bottom w:val="single" w:sz="4" w:space="0" w:color="auto"/>
              <w:right w:val="nil"/>
            </w:tcBorders>
            <w:shd w:val="clear" w:color="auto" w:fill="auto"/>
            <w:vAlign w:val="center"/>
            <w:hideMark/>
          </w:tcPr>
          <w:p w:rsidR="00B72FA3" w:rsidRPr="00B70AA3" w:rsidRDefault="00B72FA3" w:rsidP="00595694">
            <w:pPr>
              <w:adjustRightInd w:val="0"/>
              <w:spacing w:before="0" w:after="0"/>
              <w:ind w:firstLine="485"/>
              <w:jc w:val="right"/>
              <w:rPr>
                <w:b/>
                <w:bCs/>
                <w:sz w:val="20"/>
                <w:szCs w:val="20"/>
              </w:rPr>
            </w:pPr>
            <w:r w:rsidRPr="00B70AA3">
              <w:rPr>
                <w:b/>
                <w:bCs/>
                <w:sz w:val="20"/>
                <w:szCs w:val="20"/>
              </w:rPr>
              <w:t>38</w:t>
            </w:r>
            <w:r>
              <w:rPr>
                <w:b/>
                <w:bCs/>
                <w:sz w:val="20"/>
                <w:szCs w:val="20"/>
              </w:rPr>
              <w:t xml:space="preserve"> </w:t>
            </w:r>
            <w:r w:rsidRPr="00B70AA3">
              <w:rPr>
                <w:b/>
                <w:bCs/>
                <w:sz w:val="20"/>
                <w:szCs w:val="20"/>
              </w:rPr>
              <w:t>656.8</w:t>
            </w:r>
          </w:p>
        </w:tc>
      </w:tr>
      <w:tr w:rsidR="00B72FA3" w:rsidRPr="00B70AA3" w:rsidTr="00595694">
        <w:trPr>
          <w:trHeight w:val="261"/>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b/>
                <w:bCs/>
                <w:color w:val="000000"/>
                <w:sz w:val="20"/>
                <w:szCs w:val="20"/>
                <w:lang w:eastAsia="zh-CN"/>
              </w:rPr>
            </w:pPr>
          </w:p>
        </w:tc>
        <w:tc>
          <w:tcPr>
            <w:tcW w:w="4126" w:type="dxa"/>
            <w:gridSpan w:val="2"/>
            <w:tcBorders>
              <w:top w:val="single" w:sz="4" w:space="0" w:color="auto"/>
              <w:left w:val="nil"/>
              <w:bottom w:val="nil"/>
              <w:right w:val="nil"/>
            </w:tcBorders>
            <w:shd w:val="clear" w:color="auto" w:fill="auto"/>
            <w:vAlign w:val="center"/>
            <w:hideMark/>
          </w:tcPr>
          <w:p w:rsidR="00B72FA3" w:rsidRPr="00B70AA3" w:rsidRDefault="00B72FA3" w:rsidP="00595694">
            <w:pPr>
              <w:adjustRightInd w:val="0"/>
              <w:spacing w:before="0" w:after="0"/>
              <w:ind w:firstLine="26"/>
              <w:rPr>
                <w:sz w:val="20"/>
                <w:szCs w:val="20"/>
                <w:lang w:eastAsia="zh-CN"/>
              </w:rPr>
            </w:pPr>
            <w:r>
              <w:rPr>
                <w:rFonts w:hint="eastAsia"/>
                <w:b/>
                <w:bCs/>
                <w:color w:val="000000"/>
                <w:sz w:val="20"/>
                <w:szCs w:val="20"/>
                <w:lang w:eastAsia="zh-CN"/>
              </w:rPr>
              <w:t>三</w:t>
            </w:r>
            <w:r>
              <w:rPr>
                <w:rFonts w:hint="eastAsia"/>
                <w:b/>
                <w:bCs/>
                <w:color w:val="000000"/>
                <w:sz w:val="20"/>
                <w:szCs w:val="20"/>
                <w:lang w:eastAsia="zh-CN"/>
              </w:rPr>
              <w:t>.</w:t>
            </w:r>
            <w:r>
              <w:rPr>
                <w:b/>
                <w:bCs/>
                <w:color w:val="000000"/>
                <w:sz w:val="20"/>
                <w:szCs w:val="20"/>
                <w:lang w:eastAsia="zh-CN"/>
              </w:rPr>
              <w:t xml:space="preserve">  </w:t>
            </w:r>
            <w:r>
              <w:rPr>
                <w:rFonts w:hint="eastAsia"/>
                <w:sz w:val="20"/>
                <w:szCs w:val="20"/>
                <w:lang w:eastAsia="zh-CN"/>
              </w:rPr>
              <w:t>周转准备金</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sz w:val="20"/>
                <w:szCs w:val="20"/>
                <w:lang w:eastAsia="zh-CN"/>
              </w:rPr>
            </w:pPr>
            <w:r w:rsidRPr="00B70AA3">
              <w:rPr>
                <w:sz w:val="20"/>
                <w:szCs w:val="20"/>
                <w:lang w:eastAsia="zh-CN"/>
              </w:rPr>
              <w:t xml:space="preserve">              56.6 </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sz w:val="20"/>
                <w:szCs w:val="20"/>
                <w:lang w:eastAsia="zh-CN"/>
              </w:rPr>
            </w:pPr>
            <w:r w:rsidRPr="00B70AA3">
              <w:rPr>
                <w:sz w:val="20"/>
                <w:szCs w:val="20"/>
                <w:lang w:eastAsia="zh-CN"/>
              </w:rPr>
              <w:t>130.8</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sz w:val="20"/>
                <w:szCs w:val="20"/>
                <w:lang w:eastAsia="zh-CN"/>
              </w:rPr>
            </w:pPr>
            <w:r w:rsidRPr="00B70AA3">
              <w:rPr>
                <w:sz w:val="20"/>
                <w:szCs w:val="20"/>
                <w:lang w:eastAsia="zh-CN"/>
              </w:rPr>
              <w:t>187.3</w:t>
            </w:r>
          </w:p>
        </w:tc>
      </w:tr>
      <w:tr w:rsidR="00B72FA3" w:rsidRPr="00B70AA3" w:rsidTr="00595694">
        <w:trPr>
          <w:trHeight w:val="261"/>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b/>
                <w:bCs/>
                <w:color w:val="000000"/>
                <w:sz w:val="20"/>
                <w:szCs w:val="20"/>
                <w:lang w:eastAsia="zh-CN"/>
              </w:rPr>
            </w:pPr>
          </w:p>
        </w:tc>
        <w:tc>
          <w:tcPr>
            <w:tcW w:w="4126" w:type="dxa"/>
            <w:gridSpan w:val="2"/>
            <w:tcBorders>
              <w:top w:val="nil"/>
              <w:left w:val="nil"/>
              <w:bottom w:val="single" w:sz="8" w:space="0" w:color="auto"/>
              <w:right w:val="nil"/>
            </w:tcBorders>
            <w:shd w:val="clear" w:color="auto" w:fill="auto"/>
            <w:vAlign w:val="center"/>
            <w:hideMark/>
          </w:tcPr>
          <w:p w:rsidR="00B72FA3" w:rsidRPr="00B70AA3" w:rsidRDefault="00B72FA3" w:rsidP="00595694">
            <w:pPr>
              <w:adjustRightInd w:val="0"/>
              <w:spacing w:before="0" w:after="0"/>
              <w:ind w:firstLine="26"/>
              <w:rPr>
                <w:b/>
                <w:bCs/>
                <w:color w:val="000000"/>
                <w:sz w:val="20"/>
                <w:szCs w:val="20"/>
                <w:lang w:eastAsia="zh-CN"/>
              </w:rPr>
            </w:pPr>
            <w:r>
              <w:rPr>
                <w:rFonts w:hint="eastAsia"/>
                <w:b/>
                <w:bCs/>
                <w:color w:val="000000"/>
                <w:sz w:val="20"/>
                <w:szCs w:val="20"/>
                <w:lang w:eastAsia="zh-CN"/>
              </w:rPr>
              <w:t>总计</w:t>
            </w:r>
            <w:r w:rsidRPr="00B70AA3">
              <w:rPr>
                <w:b/>
                <w:bCs/>
                <w:color w:val="000000"/>
                <w:sz w:val="20"/>
                <w:szCs w:val="20"/>
                <w:lang w:eastAsia="zh-CN"/>
              </w:rPr>
              <w:t xml:space="preserve"> </w:t>
            </w:r>
            <w:r>
              <w:rPr>
                <w:b/>
                <w:bCs/>
                <w:color w:val="000000"/>
                <w:sz w:val="20"/>
                <w:szCs w:val="20"/>
                <w:lang w:eastAsia="zh-CN"/>
              </w:rPr>
              <w:t>（</w:t>
            </w:r>
            <w:r>
              <w:rPr>
                <w:rFonts w:hint="eastAsia"/>
                <w:b/>
                <w:bCs/>
                <w:color w:val="000000"/>
                <w:sz w:val="20"/>
                <w:szCs w:val="20"/>
                <w:lang w:eastAsia="zh-CN"/>
              </w:rPr>
              <w:t>二</w:t>
            </w:r>
            <w:r w:rsidRPr="00B70AA3">
              <w:rPr>
                <w:b/>
                <w:bCs/>
                <w:color w:val="000000"/>
                <w:sz w:val="20"/>
                <w:szCs w:val="20"/>
                <w:lang w:eastAsia="zh-CN"/>
              </w:rPr>
              <w:t xml:space="preserve"> + </w:t>
            </w:r>
            <w:r>
              <w:rPr>
                <w:rFonts w:hint="eastAsia"/>
                <w:b/>
                <w:bCs/>
                <w:color w:val="000000"/>
                <w:sz w:val="20"/>
                <w:szCs w:val="20"/>
                <w:lang w:eastAsia="zh-CN"/>
              </w:rPr>
              <w:t>三</w:t>
            </w:r>
            <w:r>
              <w:rPr>
                <w:b/>
                <w:bCs/>
                <w:color w:val="000000"/>
                <w:sz w:val="20"/>
                <w:szCs w:val="20"/>
                <w:lang w:eastAsia="zh-CN"/>
              </w:rPr>
              <w:t>）</w:t>
            </w:r>
          </w:p>
        </w:tc>
        <w:tc>
          <w:tcPr>
            <w:tcW w:w="1626" w:type="dxa"/>
            <w:tcBorders>
              <w:top w:val="nil"/>
              <w:left w:val="nil"/>
              <w:bottom w:val="single" w:sz="8" w:space="0" w:color="auto"/>
              <w:right w:val="nil"/>
            </w:tcBorders>
            <w:shd w:val="clear" w:color="auto" w:fill="auto"/>
            <w:vAlign w:val="center"/>
            <w:hideMark/>
          </w:tcPr>
          <w:p w:rsidR="00B72FA3" w:rsidRPr="00B70AA3" w:rsidRDefault="00B72FA3" w:rsidP="00595694">
            <w:pPr>
              <w:adjustRightInd w:val="0"/>
              <w:spacing w:before="0" w:after="0"/>
              <w:ind w:firstLine="311"/>
              <w:jc w:val="right"/>
              <w:rPr>
                <w:b/>
                <w:bCs/>
                <w:color w:val="000000"/>
                <w:sz w:val="20"/>
                <w:szCs w:val="20"/>
                <w:lang w:eastAsia="zh-CN"/>
              </w:rPr>
            </w:pPr>
            <w:r w:rsidRPr="00B70AA3">
              <w:rPr>
                <w:b/>
                <w:bCs/>
                <w:color w:val="000000"/>
                <w:sz w:val="20"/>
                <w:szCs w:val="20"/>
                <w:lang w:eastAsia="zh-CN"/>
              </w:rPr>
              <w:t>18</w:t>
            </w:r>
            <w:r>
              <w:rPr>
                <w:b/>
                <w:bCs/>
                <w:color w:val="000000"/>
                <w:sz w:val="20"/>
                <w:szCs w:val="20"/>
                <w:lang w:eastAsia="zh-CN"/>
              </w:rPr>
              <w:t xml:space="preserve"> </w:t>
            </w:r>
            <w:r w:rsidRPr="00B70AA3">
              <w:rPr>
                <w:b/>
                <w:bCs/>
                <w:color w:val="000000"/>
                <w:sz w:val="20"/>
                <w:szCs w:val="20"/>
                <w:lang w:eastAsia="zh-CN"/>
              </w:rPr>
              <w:t>949.0</w:t>
            </w:r>
          </w:p>
        </w:tc>
        <w:tc>
          <w:tcPr>
            <w:tcW w:w="1710" w:type="dxa"/>
            <w:tcBorders>
              <w:top w:val="nil"/>
              <w:left w:val="nil"/>
              <w:bottom w:val="single" w:sz="8" w:space="0" w:color="auto"/>
              <w:right w:val="nil"/>
            </w:tcBorders>
            <w:shd w:val="clear" w:color="auto" w:fill="auto"/>
            <w:vAlign w:val="center"/>
            <w:hideMark/>
          </w:tcPr>
          <w:p w:rsidR="00B72FA3" w:rsidRPr="00B70AA3" w:rsidRDefault="00B72FA3" w:rsidP="00595694">
            <w:pPr>
              <w:adjustRightInd w:val="0"/>
              <w:spacing w:before="0" w:after="0"/>
              <w:ind w:firstLine="395"/>
              <w:jc w:val="right"/>
              <w:rPr>
                <w:b/>
                <w:bCs/>
                <w:color w:val="000000"/>
                <w:sz w:val="20"/>
                <w:szCs w:val="20"/>
                <w:lang w:eastAsia="zh-CN"/>
              </w:rPr>
            </w:pPr>
            <w:r w:rsidRPr="00B70AA3">
              <w:rPr>
                <w:b/>
                <w:bCs/>
                <w:color w:val="000000"/>
                <w:sz w:val="20"/>
                <w:szCs w:val="20"/>
                <w:lang w:eastAsia="zh-CN"/>
              </w:rPr>
              <w:t xml:space="preserve">       19</w:t>
            </w:r>
            <w:r>
              <w:rPr>
                <w:b/>
                <w:bCs/>
                <w:color w:val="000000"/>
                <w:sz w:val="20"/>
                <w:szCs w:val="20"/>
                <w:lang w:eastAsia="zh-CN"/>
              </w:rPr>
              <w:t xml:space="preserve"> </w:t>
            </w:r>
            <w:r w:rsidRPr="00B70AA3">
              <w:rPr>
                <w:b/>
                <w:bCs/>
                <w:color w:val="000000"/>
                <w:sz w:val="20"/>
                <w:szCs w:val="20"/>
                <w:lang w:eastAsia="zh-CN"/>
              </w:rPr>
              <w:t xml:space="preserve">895.1 </w:t>
            </w:r>
          </w:p>
        </w:tc>
        <w:tc>
          <w:tcPr>
            <w:tcW w:w="1982" w:type="dxa"/>
            <w:tcBorders>
              <w:top w:val="nil"/>
              <w:left w:val="nil"/>
              <w:bottom w:val="single" w:sz="8" w:space="0" w:color="auto"/>
              <w:right w:val="nil"/>
            </w:tcBorders>
            <w:shd w:val="clear" w:color="auto" w:fill="auto"/>
            <w:vAlign w:val="center"/>
            <w:hideMark/>
          </w:tcPr>
          <w:p w:rsidR="00B72FA3" w:rsidRPr="00B70AA3" w:rsidRDefault="00B72FA3" w:rsidP="00595694">
            <w:pPr>
              <w:adjustRightInd w:val="0"/>
              <w:spacing w:before="0" w:after="0"/>
              <w:ind w:firstLine="485"/>
              <w:jc w:val="right"/>
              <w:rPr>
                <w:b/>
                <w:bCs/>
                <w:color w:val="000000"/>
                <w:sz w:val="20"/>
                <w:szCs w:val="20"/>
                <w:lang w:eastAsia="zh-CN"/>
              </w:rPr>
            </w:pPr>
            <w:r w:rsidRPr="00B70AA3">
              <w:rPr>
                <w:b/>
                <w:bCs/>
                <w:color w:val="000000"/>
                <w:sz w:val="20"/>
                <w:szCs w:val="20"/>
                <w:lang w:eastAsia="zh-CN"/>
              </w:rPr>
              <w:t>38</w:t>
            </w:r>
            <w:r>
              <w:rPr>
                <w:b/>
                <w:bCs/>
                <w:color w:val="000000"/>
                <w:sz w:val="20"/>
                <w:szCs w:val="20"/>
                <w:lang w:eastAsia="zh-CN"/>
              </w:rPr>
              <w:t xml:space="preserve"> </w:t>
            </w:r>
            <w:r w:rsidRPr="00B70AA3">
              <w:rPr>
                <w:b/>
                <w:bCs/>
                <w:color w:val="000000"/>
                <w:sz w:val="20"/>
                <w:szCs w:val="20"/>
                <w:lang w:eastAsia="zh-CN"/>
              </w:rPr>
              <w:t>844.1</w:t>
            </w:r>
          </w:p>
        </w:tc>
      </w:tr>
      <w:tr w:rsidR="00B72FA3" w:rsidRPr="00B70AA3" w:rsidTr="00595694">
        <w:trPr>
          <w:trHeight w:val="261"/>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color w:val="000000"/>
                <w:sz w:val="20"/>
                <w:szCs w:val="20"/>
                <w:lang w:eastAsia="zh-CN"/>
              </w:rPr>
            </w:pPr>
          </w:p>
        </w:tc>
        <w:tc>
          <w:tcPr>
            <w:tcW w:w="4126" w:type="dxa"/>
            <w:gridSpan w:val="2"/>
            <w:tcBorders>
              <w:top w:val="single" w:sz="8" w:space="0" w:color="auto"/>
              <w:left w:val="nil"/>
              <w:bottom w:val="single" w:sz="8" w:space="0" w:color="auto"/>
              <w:right w:val="nil"/>
            </w:tcBorders>
            <w:shd w:val="clear" w:color="auto" w:fill="auto"/>
            <w:vAlign w:val="center"/>
            <w:hideMark/>
          </w:tcPr>
          <w:p w:rsidR="00B72FA3" w:rsidRPr="00B70AA3" w:rsidRDefault="00B72FA3" w:rsidP="00595694">
            <w:pPr>
              <w:adjustRightInd w:val="0"/>
              <w:spacing w:before="0" w:after="0"/>
              <w:ind w:firstLine="26"/>
              <w:rPr>
                <w:sz w:val="20"/>
                <w:szCs w:val="20"/>
                <w:lang w:eastAsia="zh-CN"/>
              </w:rPr>
            </w:pPr>
            <w:r>
              <w:rPr>
                <w:rFonts w:hint="eastAsia"/>
                <w:sz w:val="20"/>
                <w:szCs w:val="20"/>
                <w:lang w:eastAsia="zh-CN"/>
              </w:rPr>
              <w:t>综合预算的</w:t>
            </w:r>
            <w:r>
              <w:rPr>
                <w:sz w:val="20"/>
                <w:szCs w:val="20"/>
                <w:lang w:eastAsia="zh-CN"/>
              </w:rPr>
              <w:t>《公约</w:t>
            </w:r>
            <w:r>
              <w:rPr>
                <w:rFonts w:hint="eastAsia"/>
                <w:sz w:val="20"/>
                <w:szCs w:val="20"/>
                <w:lang w:eastAsia="zh-CN"/>
              </w:rPr>
              <w:t>》</w:t>
            </w:r>
            <w:r>
              <w:rPr>
                <w:sz w:val="20"/>
                <w:szCs w:val="20"/>
                <w:lang w:eastAsia="zh-CN"/>
              </w:rPr>
              <w:t>份额</w:t>
            </w:r>
            <w:r w:rsidRPr="00B70AA3">
              <w:rPr>
                <w:sz w:val="20"/>
                <w:szCs w:val="20"/>
                <w:lang w:eastAsia="zh-CN"/>
              </w:rPr>
              <w:t xml:space="preserve"> </w:t>
            </w:r>
            <w:r>
              <w:rPr>
                <w:sz w:val="20"/>
                <w:szCs w:val="20"/>
                <w:lang w:eastAsia="zh-CN"/>
              </w:rPr>
              <w:t>（</w:t>
            </w:r>
            <w:r w:rsidRPr="00B70AA3">
              <w:rPr>
                <w:sz w:val="20"/>
                <w:szCs w:val="20"/>
                <w:lang w:eastAsia="zh-CN"/>
              </w:rPr>
              <w:t>74%</w:t>
            </w:r>
            <w:r>
              <w:rPr>
                <w:sz w:val="20"/>
                <w:szCs w:val="20"/>
                <w:lang w:eastAsia="zh-CN"/>
              </w:rPr>
              <w:t>）</w:t>
            </w:r>
          </w:p>
        </w:tc>
        <w:tc>
          <w:tcPr>
            <w:tcW w:w="1626" w:type="dxa"/>
            <w:tcBorders>
              <w:top w:val="nil"/>
              <w:left w:val="nil"/>
              <w:bottom w:val="single" w:sz="8" w:space="0" w:color="auto"/>
              <w:right w:val="nil"/>
            </w:tcBorders>
            <w:shd w:val="clear" w:color="auto" w:fill="auto"/>
            <w:vAlign w:val="center"/>
            <w:hideMark/>
          </w:tcPr>
          <w:p w:rsidR="00B72FA3" w:rsidRPr="00B70AA3" w:rsidRDefault="00B72FA3" w:rsidP="00595694">
            <w:pPr>
              <w:adjustRightInd w:val="0"/>
              <w:spacing w:before="0" w:after="0"/>
              <w:ind w:firstLine="311"/>
              <w:jc w:val="right"/>
              <w:rPr>
                <w:sz w:val="20"/>
                <w:szCs w:val="20"/>
                <w:lang w:eastAsia="zh-CN"/>
              </w:rPr>
            </w:pPr>
            <w:r w:rsidRPr="00B70AA3">
              <w:rPr>
                <w:sz w:val="20"/>
                <w:szCs w:val="20"/>
                <w:lang w:eastAsia="zh-CN"/>
              </w:rPr>
              <w:t xml:space="preserve">         14</w:t>
            </w:r>
            <w:r>
              <w:rPr>
                <w:sz w:val="20"/>
                <w:szCs w:val="20"/>
                <w:lang w:eastAsia="zh-CN"/>
              </w:rPr>
              <w:t xml:space="preserve"> </w:t>
            </w:r>
            <w:r w:rsidRPr="00B70AA3">
              <w:rPr>
                <w:sz w:val="20"/>
                <w:szCs w:val="20"/>
                <w:lang w:eastAsia="zh-CN"/>
              </w:rPr>
              <w:t xml:space="preserve">022.2 </w:t>
            </w:r>
          </w:p>
        </w:tc>
        <w:tc>
          <w:tcPr>
            <w:tcW w:w="1710" w:type="dxa"/>
            <w:tcBorders>
              <w:top w:val="nil"/>
              <w:left w:val="nil"/>
              <w:bottom w:val="single" w:sz="8" w:space="0" w:color="auto"/>
              <w:right w:val="nil"/>
            </w:tcBorders>
            <w:shd w:val="clear" w:color="auto" w:fill="auto"/>
            <w:vAlign w:val="center"/>
            <w:hideMark/>
          </w:tcPr>
          <w:p w:rsidR="00B72FA3" w:rsidRPr="00B70AA3" w:rsidRDefault="00B72FA3" w:rsidP="00595694">
            <w:pPr>
              <w:adjustRightInd w:val="0"/>
              <w:spacing w:before="0" w:after="0"/>
              <w:ind w:firstLine="395"/>
              <w:jc w:val="right"/>
              <w:rPr>
                <w:sz w:val="20"/>
                <w:szCs w:val="20"/>
              </w:rPr>
            </w:pPr>
            <w:r w:rsidRPr="00B70AA3">
              <w:rPr>
                <w:sz w:val="20"/>
                <w:szCs w:val="20"/>
                <w:lang w:eastAsia="zh-CN"/>
              </w:rPr>
              <w:t xml:space="preserve">         </w:t>
            </w:r>
            <w:r w:rsidRPr="00B70AA3">
              <w:rPr>
                <w:sz w:val="20"/>
                <w:szCs w:val="20"/>
              </w:rPr>
              <w:t>14</w:t>
            </w:r>
            <w:r>
              <w:rPr>
                <w:sz w:val="20"/>
                <w:szCs w:val="20"/>
              </w:rPr>
              <w:t xml:space="preserve"> </w:t>
            </w:r>
            <w:r w:rsidRPr="00B70AA3">
              <w:rPr>
                <w:sz w:val="20"/>
                <w:szCs w:val="20"/>
              </w:rPr>
              <w:t xml:space="preserve">722.4 </w:t>
            </w:r>
          </w:p>
        </w:tc>
        <w:tc>
          <w:tcPr>
            <w:tcW w:w="1982" w:type="dxa"/>
            <w:tcBorders>
              <w:top w:val="nil"/>
              <w:left w:val="nil"/>
              <w:bottom w:val="single" w:sz="8" w:space="0" w:color="auto"/>
              <w:right w:val="nil"/>
            </w:tcBorders>
            <w:shd w:val="clear" w:color="auto" w:fill="auto"/>
            <w:vAlign w:val="center"/>
            <w:hideMark/>
          </w:tcPr>
          <w:p w:rsidR="00B72FA3" w:rsidRPr="00B70AA3" w:rsidRDefault="00B72FA3" w:rsidP="00595694">
            <w:pPr>
              <w:adjustRightInd w:val="0"/>
              <w:spacing w:before="0" w:after="0"/>
              <w:ind w:firstLine="485"/>
              <w:jc w:val="right"/>
              <w:rPr>
                <w:sz w:val="20"/>
                <w:szCs w:val="20"/>
              </w:rPr>
            </w:pPr>
            <w:r w:rsidRPr="00B70AA3">
              <w:rPr>
                <w:sz w:val="20"/>
                <w:szCs w:val="20"/>
              </w:rPr>
              <w:t xml:space="preserve">         28</w:t>
            </w:r>
            <w:r>
              <w:rPr>
                <w:sz w:val="20"/>
                <w:szCs w:val="20"/>
              </w:rPr>
              <w:t xml:space="preserve"> </w:t>
            </w:r>
            <w:r w:rsidRPr="00B70AA3">
              <w:rPr>
                <w:sz w:val="20"/>
                <w:szCs w:val="20"/>
              </w:rPr>
              <w:t xml:space="preserve">744.6 </w:t>
            </w:r>
          </w:p>
        </w:tc>
      </w:tr>
      <w:tr w:rsidR="00B72FA3" w:rsidRPr="00B70AA3" w:rsidTr="00595694">
        <w:trPr>
          <w:trHeight w:val="261"/>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color w:val="000000"/>
                <w:sz w:val="20"/>
                <w:szCs w:val="20"/>
              </w:rPr>
            </w:pPr>
          </w:p>
        </w:tc>
        <w:tc>
          <w:tcPr>
            <w:tcW w:w="4126" w:type="dxa"/>
            <w:gridSpan w:val="2"/>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right="-99" w:firstLine="27"/>
              <w:rPr>
                <w:sz w:val="20"/>
                <w:szCs w:val="20"/>
                <w:lang w:eastAsia="zh-CN"/>
              </w:rPr>
            </w:pPr>
            <w:r w:rsidRPr="00737E2E">
              <w:rPr>
                <w:rFonts w:hint="eastAsia"/>
                <w:color w:val="000000"/>
                <w:sz w:val="20"/>
                <w:szCs w:val="20"/>
                <w:lang w:eastAsia="zh-CN"/>
              </w:rPr>
              <w:t>扣除</w:t>
            </w:r>
            <w:r>
              <w:rPr>
                <w:rFonts w:hint="eastAsia"/>
                <w:sz w:val="20"/>
                <w:szCs w:val="20"/>
                <w:lang w:eastAsia="zh-CN"/>
              </w:rPr>
              <w:t>东道国的</w:t>
            </w:r>
            <w:r>
              <w:rPr>
                <w:sz w:val="20"/>
                <w:szCs w:val="20"/>
                <w:lang w:eastAsia="zh-CN"/>
              </w:rPr>
              <w:t>捐助</w:t>
            </w:r>
            <w:r w:rsidRPr="00737E2E">
              <w:rPr>
                <w:color w:val="000000" w:themeColor="text1"/>
                <w:kern w:val="20"/>
                <w:sz w:val="20"/>
                <w:szCs w:val="17"/>
                <w:vertAlign w:val="superscript"/>
                <w:lang w:val="en-GB"/>
              </w:rPr>
              <w:t>5/</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sz w:val="20"/>
                <w:szCs w:val="20"/>
              </w:rPr>
            </w:pPr>
            <w:r w:rsidRPr="00B70AA3">
              <w:rPr>
                <w:sz w:val="20"/>
                <w:szCs w:val="20"/>
              </w:rPr>
              <w:t xml:space="preserve">          </w:t>
            </w:r>
            <w:r>
              <w:rPr>
                <w:sz w:val="20"/>
                <w:szCs w:val="20"/>
              </w:rPr>
              <w:t>(</w:t>
            </w:r>
            <w:r w:rsidRPr="00B70AA3">
              <w:rPr>
                <w:sz w:val="20"/>
                <w:szCs w:val="20"/>
              </w:rPr>
              <w:t>909.8</w:t>
            </w:r>
            <w:r>
              <w:rPr>
                <w:sz w:val="20"/>
                <w:szCs w:val="20"/>
              </w:rPr>
              <w:t>)</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sz w:val="20"/>
                <w:szCs w:val="20"/>
              </w:rPr>
            </w:pPr>
            <w:r w:rsidRPr="00B70AA3">
              <w:rPr>
                <w:sz w:val="20"/>
                <w:szCs w:val="20"/>
              </w:rPr>
              <w:t xml:space="preserve">       </w:t>
            </w:r>
            <w:r>
              <w:rPr>
                <w:sz w:val="20"/>
                <w:szCs w:val="20"/>
              </w:rPr>
              <w:t>(</w:t>
            </w:r>
            <w:r w:rsidRPr="00B70AA3">
              <w:rPr>
                <w:sz w:val="20"/>
                <w:szCs w:val="20"/>
              </w:rPr>
              <w:t>1</w:t>
            </w:r>
            <w:r>
              <w:rPr>
                <w:sz w:val="20"/>
                <w:szCs w:val="20"/>
              </w:rPr>
              <w:t xml:space="preserve"> </w:t>
            </w:r>
            <w:r w:rsidRPr="00B70AA3">
              <w:rPr>
                <w:sz w:val="20"/>
                <w:szCs w:val="20"/>
              </w:rPr>
              <w:t>053.3</w:t>
            </w:r>
            <w:r>
              <w:rPr>
                <w:sz w:val="20"/>
                <w:szCs w:val="20"/>
              </w:rPr>
              <w:t>)</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sz w:val="20"/>
                <w:szCs w:val="20"/>
              </w:rPr>
            </w:pPr>
            <w:r w:rsidRPr="00B70AA3">
              <w:rPr>
                <w:sz w:val="20"/>
                <w:szCs w:val="20"/>
              </w:rPr>
              <w:t xml:space="preserve">         </w:t>
            </w:r>
            <w:r>
              <w:rPr>
                <w:sz w:val="20"/>
                <w:szCs w:val="20"/>
              </w:rPr>
              <w:t>(</w:t>
            </w:r>
            <w:r w:rsidRPr="00B70AA3">
              <w:rPr>
                <w:sz w:val="20"/>
                <w:szCs w:val="20"/>
              </w:rPr>
              <w:t>1</w:t>
            </w:r>
            <w:r>
              <w:rPr>
                <w:sz w:val="20"/>
                <w:szCs w:val="20"/>
              </w:rPr>
              <w:t xml:space="preserve"> </w:t>
            </w:r>
            <w:r w:rsidRPr="00B70AA3">
              <w:rPr>
                <w:sz w:val="20"/>
                <w:szCs w:val="20"/>
              </w:rPr>
              <w:t>963.1</w:t>
            </w:r>
            <w:r>
              <w:rPr>
                <w:sz w:val="20"/>
                <w:szCs w:val="20"/>
              </w:rPr>
              <w:t>)</w:t>
            </w:r>
          </w:p>
        </w:tc>
      </w:tr>
      <w:tr w:rsidR="00B72FA3" w:rsidRPr="00B70AA3" w:rsidTr="00595694">
        <w:trPr>
          <w:trHeight w:val="261"/>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color w:val="000000"/>
                <w:sz w:val="20"/>
                <w:szCs w:val="20"/>
              </w:rPr>
            </w:pPr>
          </w:p>
        </w:tc>
        <w:tc>
          <w:tcPr>
            <w:tcW w:w="4126" w:type="dxa"/>
            <w:gridSpan w:val="2"/>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right="-99" w:firstLine="27"/>
              <w:rPr>
                <w:sz w:val="20"/>
                <w:szCs w:val="20"/>
                <w:lang w:eastAsia="zh-CN"/>
              </w:rPr>
            </w:pPr>
            <w:r w:rsidRPr="00737E2E">
              <w:rPr>
                <w:rFonts w:hint="eastAsia"/>
                <w:color w:val="000000"/>
                <w:sz w:val="20"/>
                <w:szCs w:val="20"/>
                <w:lang w:eastAsia="zh-CN"/>
              </w:rPr>
              <w:t>扣除为</w:t>
            </w:r>
            <w:r w:rsidRPr="00737E2E">
              <w:rPr>
                <w:color w:val="000000"/>
                <w:sz w:val="20"/>
                <w:szCs w:val="20"/>
                <w:lang w:eastAsia="zh-CN"/>
              </w:rPr>
              <w:t>特别会议</w:t>
            </w:r>
            <w:r w:rsidRPr="00737E2E">
              <w:rPr>
                <w:rFonts w:hint="eastAsia"/>
                <w:color w:val="000000"/>
                <w:sz w:val="20"/>
                <w:szCs w:val="20"/>
                <w:lang w:eastAsia="zh-CN"/>
              </w:rPr>
              <w:t>动用</w:t>
            </w:r>
            <w:r w:rsidRPr="00737E2E">
              <w:rPr>
                <w:color w:val="000000"/>
                <w:sz w:val="20"/>
                <w:szCs w:val="20"/>
                <w:lang w:eastAsia="zh-CN"/>
              </w:rPr>
              <w:t>的储备金</w:t>
            </w:r>
            <w:r w:rsidRPr="00737E2E">
              <w:rPr>
                <w:sz w:val="20"/>
                <w:szCs w:val="20"/>
                <w:lang w:eastAsia="zh-CN"/>
              </w:rPr>
              <w:t xml:space="preserve"> </w:t>
            </w:r>
            <w:r w:rsidRPr="00B70AA3">
              <w:rPr>
                <w:sz w:val="20"/>
                <w:szCs w:val="20"/>
                <w:vertAlign w:val="superscript"/>
                <w:lang w:eastAsia="zh-CN"/>
              </w:rPr>
              <w:t>/4</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sz w:val="20"/>
                <w:szCs w:val="20"/>
              </w:rPr>
            </w:pPr>
            <w:r w:rsidRPr="00B70AA3">
              <w:rPr>
                <w:sz w:val="20"/>
                <w:szCs w:val="20"/>
                <w:lang w:eastAsia="zh-CN"/>
              </w:rPr>
              <w:t xml:space="preserve">          </w:t>
            </w:r>
            <w:r>
              <w:rPr>
                <w:sz w:val="20"/>
                <w:szCs w:val="20"/>
              </w:rPr>
              <w:t>(</w:t>
            </w:r>
            <w:r w:rsidRPr="00B70AA3">
              <w:rPr>
                <w:sz w:val="20"/>
                <w:szCs w:val="20"/>
              </w:rPr>
              <w:t>627.2</w:t>
            </w:r>
            <w:r>
              <w:rPr>
                <w:sz w:val="20"/>
                <w:szCs w:val="20"/>
              </w:rPr>
              <w:t>)</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sz w:val="20"/>
                <w:szCs w:val="20"/>
              </w:rPr>
            </w:pPr>
            <w:r w:rsidRPr="00B70AA3">
              <w:rPr>
                <w:sz w:val="20"/>
                <w:szCs w:val="20"/>
              </w:rPr>
              <w:t xml:space="preserve">          </w:t>
            </w:r>
            <w:r>
              <w:rPr>
                <w:sz w:val="20"/>
                <w:szCs w:val="20"/>
              </w:rPr>
              <w:t>(</w:t>
            </w:r>
            <w:r w:rsidRPr="00B70AA3">
              <w:rPr>
                <w:sz w:val="20"/>
                <w:szCs w:val="20"/>
              </w:rPr>
              <w:t>468.3</w:t>
            </w:r>
            <w:r>
              <w:rPr>
                <w:sz w:val="20"/>
                <w:szCs w:val="20"/>
              </w:rPr>
              <w:t>)</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sz w:val="20"/>
                <w:szCs w:val="20"/>
              </w:rPr>
            </w:pPr>
            <w:r w:rsidRPr="00B70AA3">
              <w:rPr>
                <w:sz w:val="20"/>
                <w:szCs w:val="20"/>
              </w:rPr>
              <w:t xml:space="preserve">         </w:t>
            </w:r>
            <w:r>
              <w:rPr>
                <w:sz w:val="20"/>
                <w:szCs w:val="20"/>
              </w:rPr>
              <w:t>(</w:t>
            </w:r>
            <w:r w:rsidRPr="00B70AA3">
              <w:rPr>
                <w:sz w:val="20"/>
                <w:szCs w:val="20"/>
              </w:rPr>
              <w:t>1</w:t>
            </w:r>
            <w:r>
              <w:rPr>
                <w:sz w:val="20"/>
                <w:szCs w:val="20"/>
              </w:rPr>
              <w:t xml:space="preserve"> </w:t>
            </w:r>
            <w:r w:rsidRPr="00B70AA3">
              <w:rPr>
                <w:sz w:val="20"/>
                <w:szCs w:val="20"/>
              </w:rPr>
              <w:t>095.4</w:t>
            </w:r>
            <w:r>
              <w:rPr>
                <w:sz w:val="20"/>
                <w:szCs w:val="20"/>
              </w:rPr>
              <w:t>)</w:t>
            </w:r>
          </w:p>
        </w:tc>
      </w:tr>
      <w:tr w:rsidR="00B72FA3" w:rsidRPr="00B70AA3" w:rsidTr="00595694">
        <w:trPr>
          <w:trHeight w:val="261"/>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color w:val="000000"/>
                <w:sz w:val="20"/>
                <w:szCs w:val="20"/>
              </w:rPr>
            </w:pPr>
          </w:p>
        </w:tc>
        <w:tc>
          <w:tcPr>
            <w:tcW w:w="4126" w:type="dxa"/>
            <w:gridSpan w:val="2"/>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right="-99" w:firstLine="27"/>
              <w:rPr>
                <w:sz w:val="20"/>
                <w:szCs w:val="20"/>
                <w:lang w:eastAsia="zh-CN"/>
              </w:rPr>
            </w:pPr>
            <w:r w:rsidRPr="00737E2E">
              <w:rPr>
                <w:rFonts w:hint="eastAsia"/>
                <w:color w:val="000000"/>
                <w:sz w:val="20"/>
                <w:szCs w:val="20"/>
                <w:lang w:eastAsia="zh-CN"/>
              </w:rPr>
              <w:t>扣除</w:t>
            </w:r>
            <w:r>
              <w:rPr>
                <w:rFonts w:hint="eastAsia"/>
                <w:sz w:val="20"/>
                <w:szCs w:val="20"/>
                <w:lang w:eastAsia="zh-CN"/>
              </w:rPr>
              <w:t>以往年份</w:t>
            </w:r>
            <w:r>
              <w:rPr>
                <w:sz w:val="20"/>
                <w:szCs w:val="20"/>
                <w:lang w:eastAsia="zh-CN"/>
              </w:rPr>
              <w:t>动用的</w:t>
            </w:r>
            <w:r>
              <w:rPr>
                <w:rFonts w:hint="eastAsia"/>
                <w:sz w:val="20"/>
                <w:szCs w:val="20"/>
                <w:lang w:eastAsia="zh-CN"/>
              </w:rPr>
              <w:t>储备金</w:t>
            </w:r>
          </w:p>
        </w:tc>
        <w:tc>
          <w:tcPr>
            <w:tcW w:w="1626"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11"/>
              <w:jc w:val="right"/>
              <w:rPr>
                <w:sz w:val="20"/>
                <w:szCs w:val="20"/>
              </w:rPr>
            </w:pPr>
            <w:r w:rsidRPr="00B70AA3">
              <w:rPr>
                <w:sz w:val="20"/>
                <w:szCs w:val="20"/>
                <w:lang w:eastAsia="zh-CN"/>
              </w:rPr>
              <w:t xml:space="preserve">          </w:t>
            </w:r>
            <w:r>
              <w:rPr>
                <w:sz w:val="20"/>
                <w:szCs w:val="20"/>
              </w:rPr>
              <w:t>(</w:t>
            </w:r>
            <w:r w:rsidRPr="00B70AA3">
              <w:rPr>
                <w:sz w:val="20"/>
                <w:szCs w:val="20"/>
              </w:rPr>
              <w:t>638.7</w:t>
            </w:r>
            <w:r>
              <w:rPr>
                <w:sz w:val="20"/>
                <w:szCs w:val="20"/>
              </w:rPr>
              <w:t>)</w:t>
            </w:r>
          </w:p>
        </w:tc>
        <w:tc>
          <w:tcPr>
            <w:tcW w:w="1710"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395"/>
              <w:jc w:val="right"/>
              <w:rPr>
                <w:sz w:val="20"/>
                <w:szCs w:val="20"/>
              </w:rPr>
            </w:pPr>
            <w:r w:rsidRPr="00B70AA3">
              <w:rPr>
                <w:sz w:val="20"/>
                <w:szCs w:val="20"/>
              </w:rPr>
              <w:t xml:space="preserve">          </w:t>
            </w:r>
            <w:r>
              <w:rPr>
                <w:sz w:val="20"/>
                <w:szCs w:val="20"/>
              </w:rPr>
              <w:t>(</w:t>
            </w:r>
            <w:r w:rsidRPr="00B70AA3">
              <w:rPr>
                <w:sz w:val="20"/>
                <w:szCs w:val="20"/>
              </w:rPr>
              <w:t>638.7</w:t>
            </w:r>
            <w:r>
              <w:rPr>
                <w:sz w:val="20"/>
                <w:szCs w:val="20"/>
              </w:rPr>
              <w:t>)</w:t>
            </w:r>
          </w:p>
        </w:tc>
        <w:tc>
          <w:tcPr>
            <w:tcW w:w="1982" w:type="dxa"/>
            <w:tcBorders>
              <w:top w:val="nil"/>
              <w:left w:val="nil"/>
              <w:bottom w:val="nil"/>
              <w:right w:val="nil"/>
            </w:tcBorders>
            <w:shd w:val="clear" w:color="auto" w:fill="auto"/>
            <w:vAlign w:val="center"/>
            <w:hideMark/>
          </w:tcPr>
          <w:p w:rsidR="00B72FA3" w:rsidRPr="00B70AA3" w:rsidRDefault="00B72FA3" w:rsidP="00595694">
            <w:pPr>
              <w:adjustRightInd w:val="0"/>
              <w:spacing w:before="0" w:after="0"/>
              <w:ind w:firstLine="485"/>
              <w:jc w:val="right"/>
              <w:rPr>
                <w:sz w:val="20"/>
                <w:szCs w:val="20"/>
              </w:rPr>
            </w:pPr>
            <w:r w:rsidRPr="00B70AA3">
              <w:rPr>
                <w:sz w:val="20"/>
                <w:szCs w:val="20"/>
              </w:rPr>
              <w:t xml:space="preserve">         </w:t>
            </w:r>
            <w:r>
              <w:rPr>
                <w:sz w:val="20"/>
                <w:szCs w:val="20"/>
              </w:rPr>
              <w:t>(</w:t>
            </w:r>
            <w:r w:rsidRPr="00B70AA3">
              <w:rPr>
                <w:sz w:val="20"/>
                <w:szCs w:val="20"/>
              </w:rPr>
              <w:t>1</w:t>
            </w:r>
            <w:r>
              <w:rPr>
                <w:sz w:val="20"/>
                <w:szCs w:val="20"/>
              </w:rPr>
              <w:t xml:space="preserve"> </w:t>
            </w:r>
            <w:r w:rsidRPr="00B70AA3">
              <w:rPr>
                <w:sz w:val="20"/>
                <w:szCs w:val="20"/>
              </w:rPr>
              <w:t>277.5</w:t>
            </w:r>
            <w:r>
              <w:rPr>
                <w:sz w:val="20"/>
                <w:szCs w:val="20"/>
              </w:rPr>
              <w:t>)</w:t>
            </w:r>
          </w:p>
        </w:tc>
      </w:tr>
      <w:tr w:rsidR="00B72FA3" w:rsidRPr="00B70AA3" w:rsidTr="00595694">
        <w:trPr>
          <w:trHeight w:val="261"/>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b/>
                <w:bCs/>
                <w:color w:val="000000"/>
                <w:sz w:val="20"/>
                <w:szCs w:val="20"/>
              </w:rPr>
            </w:pPr>
          </w:p>
        </w:tc>
        <w:tc>
          <w:tcPr>
            <w:tcW w:w="4126" w:type="dxa"/>
            <w:gridSpan w:val="2"/>
            <w:tcBorders>
              <w:top w:val="nil"/>
              <w:left w:val="nil"/>
              <w:bottom w:val="single" w:sz="4" w:space="0" w:color="auto"/>
              <w:right w:val="nil"/>
            </w:tcBorders>
            <w:shd w:val="clear" w:color="auto" w:fill="auto"/>
            <w:vAlign w:val="center"/>
            <w:hideMark/>
          </w:tcPr>
          <w:p w:rsidR="00B72FA3" w:rsidRPr="00FC59C9" w:rsidRDefault="00B72FA3" w:rsidP="00595694">
            <w:pPr>
              <w:adjustRightInd w:val="0"/>
              <w:spacing w:before="0" w:after="0"/>
              <w:ind w:right="-99" w:firstLine="27"/>
              <w:rPr>
                <w:b/>
                <w:bCs/>
                <w:sz w:val="20"/>
                <w:szCs w:val="20"/>
                <w:lang w:eastAsia="zh-CN"/>
              </w:rPr>
            </w:pPr>
            <w:r w:rsidRPr="00FC59C9">
              <w:rPr>
                <w:rFonts w:hint="eastAsia"/>
                <w:b/>
                <w:color w:val="000000"/>
                <w:sz w:val="20"/>
                <w:szCs w:val="20"/>
                <w:lang w:eastAsia="zh-CN"/>
              </w:rPr>
              <w:t>总额净值</w:t>
            </w:r>
            <w:r w:rsidRPr="00FC59C9">
              <w:rPr>
                <w:b/>
                <w:color w:val="000000"/>
                <w:sz w:val="20"/>
                <w:szCs w:val="20"/>
                <w:lang w:eastAsia="zh-CN"/>
              </w:rPr>
              <w:t xml:space="preserve"> </w:t>
            </w:r>
            <w:r>
              <w:rPr>
                <w:b/>
                <w:color w:val="000000"/>
                <w:sz w:val="20"/>
                <w:szCs w:val="20"/>
                <w:lang w:eastAsia="zh-CN"/>
              </w:rPr>
              <w:t>（</w:t>
            </w:r>
            <w:r w:rsidRPr="00FC59C9">
              <w:rPr>
                <w:rFonts w:hint="eastAsia"/>
                <w:b/>
                <w:color w:val="000000"/>
                <w:sz w:val="20"/>
                <w:szCs w:val="20"/>
                <w:lang w:eastAsia="zh-CN"/>
              </w:rPr>
              <w:t>由缔约方</w:t>
            </w:r>
            <w:r w:rsidRPr="00FC59C9">
              <w:rPr>
                <w:b/>
                <w:color w:val="000000"/>
                <w:sz w:val="20"/>
                <w:szCs w:val="20"/>
                <w:lang w:eastAsia="zh-CN"/>
              </w:rPr>
              <w:t>分摊的数额</w:t>
            </w:r>
            <w:r>
              <w:rPr>
                <w:b/>
                <w:color w:val="000000"/>
                <w:sz w:val="20"/>
                <w:szCs w:val="20"/>
                <w:lang w:eastAsia="zh-CN"/>
              </w:rPr>
              <w:t>）</w:t>
            </w:r>
          </w:p>
        </w:tc>
        <w:tc>
          <w:tcPr>
            <w:tcW w:w="1626" w:type="dxa"/>
            <w:tcBorders>
              <w:top w:val="nil"/>
              <w:left w:val="nil"/>
              <w:bottom w:val="single" w:sz="4" w:space="0" w:color="auto"/>
              <w:right w:val="nil"/>
            </w:tcBorders>
            <w:shd w:val="clear" w:color="auto" w:fill="auto"/>
            <w:vAlign w:val="center"/>
            <w:hideMark/>
          </w:tcPr>
          <w:p w:rsidR="00B72FA3" w:rsidRPr="00B70AA3" w:rsidRDefault="00B72FA3" w:rsidP="00595694">
            <w:pPr>
              <w:adjustRightInd w:val="0"/>
              <w:spacing w:before="0" w:after="0"/>
              <w:ind w:firstLine="311"/>
              <w:jc w:val="right"/>
              <w:rPr>
                <w:b/>
                <w:bCs/>
                <w:sz w:val="20"/>
                <w:szCs w:val="20"/>
              </w:rPr>
            </w:pPr>
            <w:r w:rsidRPr="00B70AA3">
              <w:rPr>
                <w:b/>
                <w:bCs/>
                <w:sz w:val="20"/>
                <w:szCs w:val="20"/>
              </w:rPr>
              <w:t>11</w:t>
            </w:r>
            <w:r>
              <w:rPr>
                <w:b/>
                <w:bCs/>
                <w:sz w:val="20"/>
                <w:szCs w:val="20"/>
              </w:rPr>
              <w:t xml:space="preserve"> </w:t>
            </w:r>
            <w:r w:rsidRPr="00B70AA3">
              <w:rPr>
                <w:b/>
                <w:bCs/>
                <w:sz w:val="20"/>
                <w:szCs w:val="20"/>
              </w:rPr>
              <w:t>846.5</w:t>
            </w:r>
          </w:p>
        </w:tc>
        <w:tc>
          <w:tcPr>
            <w:tcW w:w="1710" w:type="dxa"/>
            <w:tcBorders>
              <w:top w:val="nil"/>
              <w:left w:val="nil"/>
              <w:bottom w:val="single" w:sz="4" w:space="0" w:color="auto"/>
              <w:right w:val="nil"/>
            </w:tcBorders>
            <w:shd w:val="clear" w:color="auto" w:fill="auto"/>
            <w:vAlign w:val="center"/>
            <w:hideMark/>
          </w:tcPr>
          <w:p w:rsidR="00B72FA3" w:rsidRPr="00B70AA3" w:rsidRDefault="00B72FA3" w:rsidP="00595694">
            <w:pPr>
              <w:adjustRightInd w:val="0"/>
              <w:spacing w:before="0" w:after="0"/>
              <w:ind w:firstLine="395"/>
              <w:jc w:val="right"/>
              <w:rPr>
                <w:b/>
                <w:bCs/>
                <w:sz w:val="20"/>
                <w:szCs w:val="20"/>
              </w:rPr>
            </w:pPr>
            <w:r w:rsidRPr="00B70AA3">
              <w:rPr>
                <w:b/>
                <w:bCs/>
                <w:sz w:val="20"/>
                <w:szCs w:val="20"/>
              </w:rPr>
              <w:t>12</w:t>
            </w:r>
            <w:r>
              <w:rPr>
                <w:b/>
                <w:bCs/>
                <w:sz w:val="20"/>
                <w:szCs w:val="20"/>
              </w:rPr>
              <w:t xml:space="preserve"> </w:t>
            </w:r>
            <w:r w:rsidRPr="00B70AA3">
              <w:rPr>
                <w:b/>
                <w:bCs/>
                <w:sz w:val="20"/>
                <w:szCs w:val="20"/>
              </w:rPr>
              <w:t>562.1</w:t>
            </w:r>
          </w:p>
        </w:tc>
        <w:tc>
          <w:tcPr>
            <w:tcW w:w="1982" w:type="dxa"/>
            <w:tcBorders>
              <w:top w:val="nil"/>
              <w:left w:val="nil"/>
              <w:bottom w:val="single" w:sz="4" w:space="0" w:color="auto"/>
              <w:right w:val="nil"/>
            </w:tcBorders>
            <w:shd w:val="clear" w:color="auto" w:fill="auto"/>
            <w:vAlign w:val="center"/>
            <w:hideMark/>
          </w:tcPr>
          <w:p w:rsidR="00B72FA3" w:rsidRPr="00B70AA3" w:rsidRDefault="00B72FA3" w:rsidP="00595694">
            <w:pPr>
              <w:adjustRightInd w:val="0"/>
              <w:spacing w:before="0" w:after="0"/>
              <w:ind w:firstLine="485"/>
              <w:jc w:val="right"/>
              <w:rPr>
                <w:b/>
                <w:bCs/>
                <w:sz w:val="20"/>
                <w:szCs w:val="20"/>
              </w:rPr>
            </w:pPr>
            <w:r w:rsidRPr="00B70AA3">
              <w:rPr>
                <w:b/>
                <w:bCs/>
                <w:sz w:val="20"/>
                <w:szCs w:val="20"/>
              </w:rPr>
              <w:t>24</w:t>
            </w:r>
            <w:r>
              <w:rPr>
                <w:b/>
                <w:bCs/>
                <w:sz w:val="20"/>
                <w:szCs w:val="20"/>
              </w:rPr>
              <w:t xml:space="preserve"> </w:t>
            </w:r>
            <w:r w:rsidRPr="00B70AA3">
              <w:rPr>
                <w:b/>
                <w:bCs/>
                <w:sz w:val="20"/>
                <w:szCs w:val="20"/>
              </w:rPr>
              <w:t>408.6</w:t>
            </w:r>
          </w:p>
        </w:tc>
      </w:tr>
      <w:tr w:rsidR="00B72FA3" w:rsidRPr="00B70AA3" w:rsidTr="00B72FA3">
        <w:trPr>
          <w:trHeight w:val="216"/>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color w:val="000000"/>
                <w:sz w:val="20"/>
                <w:szCs w:val="20"/>
              </w:rPr>
            </w:pPr>
          </w:p>
        </w:tc>
        <w:tc>
          <w:tcPr>
            <w:tcW w:w="0" w:type="auto"/>
            <w:gridSpan w:val="5"/>
            <w:tcBorders>
              <w:top w:val="nil"/>
              <w:left w:val="nil"/>
              <w:bottom w:val="nil"/>
              <w:right w:val="nil"/>
            </w:tcBorders>
            <w:shd w:val="clear" w:color="auto" w:fill="auto"/>
            <w:vAlign w:val="center"/>
            <w:hideMark/>
          </w:tcPr>
          <w:p w:rsidR="00B72FA3" w:rsidRPr="00E10CE8" w:rsidRDefault="00B72FA3" w:rsidP="0072676B">
            <w:pPr>
              <w:spacing w:before="0" w:after="0"/>
              <w:ind w:firstLine="0"/>
              <w:rPr>
                <w:color w:val="000000"/>
                <w:sz w:val="18"/>
                <w:szCs w:val="20"/>
                <w:lang w:eastAsia="zh-CN"/>
              </w:rPr>
            </w:pPr>
            <w:r w:rsidRPr="00E10CE8">
              <w:rPr>
                <w:color w:val="000000"/>
                <w:sz w:val="18"/>
                <w:szCs w:val="20"/>
                <w:lang w:eastAsia="zh-CN"/>
              </w:rPr>
              <w:t xml:space="preserve">1/ </w:t>
            </w:r>
            <w:r w:rsidRPr="00E10CE8">
              <w:rPr>
                <w:rFonts w:hint="eastAsia"/>
                <w:color w:val="000000"/>
                <w:sz w:val="18"/>
                <w:szCs w:val="20"/>
                <w:lang w:eastAsia="zh-CN"/>
              </w:rPr>
              <w:t>由核心预算</w:t>
            </w:r>
            <w:r w:rsidRPr="00E10CE8">
              <w:rPr>
                <w:color w:val="000000"/>
                <w:sz w:val="18"/>
                <w:szCs w:val="20"/>
                <w:lang w:eastAsia="zh-CN"/>
              </w:rPr>
              <w:t>供资的常会</w:t>
            </w:r>
            <w:r w:rsidRPr="00E10CE8">
              <w:rPr>
                <w:rFonts w:hint="eastAsia"/>
                <w:color w:val="000000"/>
                <w:sz w:val="18"/>
                <w:szCs w:val="20"/>
                <w:lang w:eastAsia="zh-CN"/>
              </w:rPr>
              <w:t>：</w:t>
            </w:r>
          </w:p>
        </w:tc>
      </w:tr>
      <w:tr w:rsidR="00B72FA3" w:rsidRPr="00B70AA3" w:rsidTr="00B72FA3">
        <w:trPr>
          <w:trHeight w:val="216"/>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color w:val="000000"/>
                <w:sz w:val="20"/>
                <w:szCs w:val="20"/>
                <w:lang w:eastAsia="zh-CN"/>
              </w:rPr>
            </w:pPr>
          </w:p>
        </w:tc>
        <w:tc>
          <w:tcPr>
            <w:tcW w:w="0" w:type="auto"/>
            <w:tcBorders>
              <w:top w:val="nil"/>
              <w:left w:val="nil"/>
              <w:bottom w:val="nil"/>
              <w:right w:val="nil"/>
            </w:tcBorders>
            <w:shd w:val="clear" w:color="auto" w:fill="auto"/>
            <w:noWrap/>
            <w:hideMark/>
          </w:tcPr>
          <w:p w:rsidR="00B72FA3" w:rsidRPr="00E10CE8" w:rsidRDefault="00B72FA3" w:rsidP="00595694">
            <w:pPr>
              <w:adjustRightInd w:val="0"/>
              <w:spacing w:before="0" w:after="0"/>
              <w:ind w:firstLine="0"/>
              <w:jc w:val="right"/>
              <w:rPr>
                <w:color w:val="000000"/>
                <w:sz w:val="18"/>
                <w:szCs w:val="20"/>
              </w:rPr>
            </w:pPr>
            <w:r w:rsidRPr="00E10CE8">
              <w:rPr>
                <w:color w:val="000000"/>
                <w:sz w:val="18"/>
                <w:szCs w:val="20"/>
              </w:rPr>
              <w:t>-</w:t>
            </w:r>
          </w:p>
        </w:tc>
        <w:tc>
          <w:tcPr>
            <w:tcW w:w="0" w:type="auto"/>
            <w:gridSpan w:val="4"/>
            <w:tcBorders>
              <w:top w:val="nil"/>
              <w:left w:val="nil"/>
              <w:bottom w:val="nil"/>
              <w:right w:val="nil"/>
            </w:tcBorders>
            <w:shd w:val="clear" w:color="auto" w:fill="auto"/>
            <w:vAlign w:val="center"/>
            <w:hideMark/>
          </w:tcPr>
          <w:p w:rsidR="00B72FA3" w:rsidRPr="00E10CE8" w:rsidRDefault="00B72FA3" w:rsidP="00595694">
            <w:pPr>
              <w:adjustRightInd w:val="0"/>
              <w:spacing w:before="0" w:after="0"/>
              <w:ind w:firstLine="0"/>
              <w:rPr>
                <w:color w:val="000000"/>
                <w:sz w:val="18"/>
                <w:szCs w:val="20"/>
                <w:lang w:eastAsia="zh-CN"/>
              </w:rPr>
            </w:pPr>
            <w:r w:rsidRPr="00E10CE8">
              <w:rPr>
                <w:rFonts w:hint="eastAsia"/>
                <w:color w:val="000000"/>
                <w:sz w:val="18"/>
                <w:szCs w:val="20"/>
                <w:lang w:eastAsia="zh-CN"/>
              </w:rPr>
              <w:t>第</w:t>
            </w:r>
            <w:r w:rsidRPr="00E10CE8">
              <w:rPr>
                <w:color w:val="000000"/>
                <w:sz w:val="18"/>
                <w:szCs w:val="20"/>
                <w:lang w:eastAsia="zh-CN"/>
              </w:rPr>
              <w:t>8</w:t>
            </w:r>
            <w:r>
              <w:rPr>
                <w:color w:val="000000"/>
                <w:sz w:val="18"/>
                <w:szCs w:val="20"/>
                <w:lang w:eastAsia="zh-CN"/>
              </w:rPr>
              <w:t>(j)</w:t>
            </w:r>
            <w:r w:rsidRPr="00E10CE8">
              <w:rPr>
                <w:rFonts w:hint="eastAsia"/>
                <w:color w:val="000000"/>
                <w:sz w:val="18"/>
                <w:szCs w:val="20"/>
                <w:lang w:eastAsia="zh-CN"/>
              </w:rPr>
              <w:t>条</w:t>
            </w:r>
            <w:r w:rsidRPr="00E10CE8">
              <w:rPr>
                <w:color w:val="000000"/>
                <w:sz w:val="18"/>
                <w:szCs w:val="20"/>
                <w:lang w:eastAsia="zh-CN"/>
              </w:rPr>
              <w:t>和相关条款特设工作组第十一次会议。</w:t>
            </w:r>
          </w:p>
        </w:tc>
      </w:tr>
      <w:tr w:rsidR="00B72FA3" w:rsidRPr="00B70AA3" w:rsidTr="00B72FA3">
        <w:trPr>
          <w:trHeight w:val="246"/>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color w:val="000000"/>
                <w:sz w:val="20"/>
                <w:szCs w:val="20"/>
                <w:lang w:eastAsia="zh-CN"/>
              </w:rPr>
            </w:pPr>
          </w:p>
        </w:tc>
        <w:tc>
          <w:tcPr>
            <w:tcW w:w="0" w:type="auto"/>
            <w:tcBorders>
              <w:top w:val="nil"/>
              <w:left w:val="nil"/>
              <w:bottom w:val="nil"/>
              <w:right w:val="nil"/>
            </w:tcBorders>
            <w:shd w:val="clear" w:color="auto" w:fill="auto"/>
            <w:noWrap/>
            <w:hideMark/>
          </w:tcPr>
          <w:p w:rsidR="00B72FA3" w:rsidRPr="00E10CE8" w:rsidRDefault="00B72FA3" w:rsidP="00595694">
            <w:pPr>
              <w:adjustRightInd w:val="0"/>
              <w:spacing w:before="0" w:after="0"/>
              <w:ind w:firstLine="0"/>
              <w:jc w:val="right"/>
              <w:rPr>
                <w:color w:val="000000"/>
                <w:sz w:val="18"/>
                <w:szCs w:val="20"/>
              </w:rPr>
            </w:pPr>
            <w:r w:rsidRPr="00E10CE8">
              <w:rPr>
                <w:color w:val="000000"/>
                <w:sz w:val="18"/>
                <w:szCs w:val="20"/>
              </w:rPr>
              <w:t>-</w:t>
            </w:r>
          </w:p>
        </w:tc>
        <w:tc>
          <w:tcPr>
            <w:tcW w:w="0" w:type="auto"/>
            <w:gridSpan w:val="4"/>
            <w:tcBorders>
              <w:top w:val="nil"/>
              <w:left w:val="nil"/>
              <w:bottom w:val="nil"/>
              <w:right w:val="nil"/>
            </w:tcBorders>
            <w:shd w:val="clear" w:color="auto" w:fill="auto"/>
            <w:vAlign w:val="center"/>
            <w:hideMark/>
          </w:tcPr>
          <w:p w:rsidR="00B72FA3" w:rsidRPr="00E10CE8" w:rsidRDefault="00B72FA3" w:rsidP="00595694">
            <w:pPr>
              <w:adjustRightInd w:val="0"/>
              <w:spacing w:before="0" w:after="0"/>
              <w:ind w:firstLine="0"/>
              <w:rPr>
                <w:color w:val="000000"/>
                <w:sz w:val="18"/>
                <w:szCs w:val="20"/>
                <w:lang w:eastAsia="zh-CN"/>
              </w:rPr>
            </w:pPr>
            <w:r w:rsidRPr="00E10CE8">
              <w:rPr>
                <w:rFonts w:hint="eastAsia"/>
                <w:color w:val="000000"/>
                <w:sz w:val="18"/>
                <w:szCs w:val="20"/>
                <w:lang w:eastAsia="zh-CN"/>
              </w:rPr>
              <w:t>科学</w:t>
            </w:r>
            <w:r w:rsidRPr="00E10CE8">
              <w:rPr>
                <w:color w:val="000000"/>
                <w:sz w:val="18"/>
                <w:szCs w:val="20"/>
                <w:lang w:eastAsia="zh-CN"/>
              </w:rPr>
              <w:t>、技术和工艺咨询附属机构第二十三和第二十四次会议</w:t>
            </w:r>
            <w:r w:rsidRPr="00E10CE8">
              <w:rPr>
                <w:rFonts w:hint="eastAsia"/>
                <w:color w:val="000000"/>
                <w:sz w:val="18"/>
                <w:szCs w:val="20"/>
                <w:lang w:eastAsia="zh-CN"/>
              </w:rPr>
              <w:t>。</w:t>
            </w:r>
          </w:p>
        </w:tc>
      </w:tr>
      <w:tr w:rsidR="00B72FA3" w:rsidRPr="00B70AA3" w:rsidTr="00B72FA3">
        <w:trPr>
          <w:trHeight w:val="216"/>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color w:val="000000"/>
                <w:sz w:val="20"/>
                <w:szCs w:val="20"/>
                <w:lang w:eastAsia="zh-CN"/>
              </w:rPr>
            </w:pPr>
          </w:p>
        </w:tc>
        <w:tc>
          <w:tcPr>
            <w:tcW w:w="0" w:type="auto"/>
            <w:tcBorders>
              <w:top w:val="nil"/>
              <w:left w:val="nil"/>
              <w:bottom w:val="nil"/>
              <w:right w:val="nil"/>
            </w:tcBorders>
            <w:shd w:val="clear" w:color="auto" w:fill="auto"/>
            <w:noWrap/>
            <w:hideMark/>
          </w:tcPr>
          <w:p w:rsidR="00B72FA3" w:rsidRPr="00E10CE8" w:rsidRDefault="00B72FA3" w:rsidP="00595694">
            <w:pPr>
              <w:adjustRightInd w:val="0"/>
              <w:spacing w:before="0" w:after="0"/>
              <w:ind w:firstLine="0"/>
              <w:jc w:val="right"/>
              <w:rPr>
                <w:color w:val="000000"/>
                <w:sz w:val="18"/>
                <w:szCs w:val="20"/>
              </w:rPr>
            </w:pPr>
            <w:r w:rsidRPr="00E10CE8">
              <w:rPr>
                <w:color w:val="000000"/>
                <w:sz w:val="18"/>
                <w:szCs w:val="20"/>
              </w:rPr>
              <w:t>-</w:t>
            </w:r>
          </w:p>
        </w:tc>
        <w:tc>
          <w:tcPr>
            <w:tcW w:w="0" w:type="auto"/>
            <w:gridSpan w:val="4"/>
            <w:tcBorders>
              <w:top w:val="nil"/>
              <w:left w:val="nil"/>
              <w:bottom w:val="nil"/>
              <w:right w:val="nil"/>
            </w:tcBorders>
            <w:shd w:val="clear" w:color="auto" w:fill="auto"/>
            <w:vAlign w:val="center"/>
            <w:hideMark/>
          </w:tcPr>
          <w:p w:rsidR="00B72FA3" w:rsidRPr="00E10CE8" w:rsidRDefault="00B72FA3" w:rsidP="00595694">
            <w:pPr>
              <w:adjustRightInd w:val="0"/>
              <w:spacing w:before="0" w:after="0"/>
              <w:ind w:firstLine="0"/>
              <w:rPr>
                <w:color w:val="000000"/>
                <w:sz w:val="18"/>
                <w:szCs w:val="20"/>
                <w:lang w:eastAsia="zh-CN"/>
              </w:rPr>
            </w:pPr>
            <w:r w:rsidRPr="00E10CE8">
              <w:rPr>
                <w:rFonts w:hint="eastAsia"/>
                <w:color w:val="000000"/>
                <w:sz w:val="18"/>
                <w:szCs w:val="20"/>
                <w:lang w:eastAsia="zh-CN"/>
              </w:rPr>
              <w:t>执行问题</w:t>
            </w:r>
            <w:r w:rsidRPr="00E10CE8">
              <w:rPr>
                <w:color w:val="000000"/>
                <w:sz w:val="18"/>
                <w:szCs w:val="20"/>
                <w:lang w:eastAsia="zh-CN"/>
              </w:rPr>
              <w:t>附属机构第三次会议。</w:t>
            </w:r>
          </w:p>
        </w:tc>
      </w:tr>
      <w:tr w:rsidR="00B72FA3" w:rsidRPr="00B70AA3" w:rsidTr="00B72FA3">
        <w:trPr>
          <w:trHeight w:val="216"/>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color w:val="000000"/>
                <w:sz w:val="20"/>
                <w:szCs w:val="20"/>
                <w:lang w:eastAsia="zh-CN"/>
              </w:rPr>
            </w:pPr>
          </w:p>
        </w:tc>
        <w:tc>
          <w:tcPr>
            <w:tcW w:w="0" w:type="auto"/>
            <w:tcBorders>
              <w:top w:val="nil"/>
              <w:left w:val="nil"/>
              <w:bottom w:val="nil"/>
              <w:right w:val="nil"/>
            </w:tcBorders>
            <w:shd w:val="clear" w:color="auto" w:fill="auto"/>
            <w:noWrap/>
            <w:hideMark/>
          </w:tcPr>
          <w:p w:rsidR="00B72FA3" w:rsidRPr="00E10CE8" w:rsidRDefault="00B72FA3" w:rsidP="00595694">
            <w:pPr>
              <w:adjustRightInd w:val="0"/>
              <w:spacing w:before="0" w:after="0"/>
              <w:ind w:firstLine="0"/>
              <w:jc w:val="right"/>
              <w:rPr>
                <w:color w:val="000000"/>
                <w:sz w:val="18"/>
                <w:szCs w:val="20"/>
              </w:rPr>
            </w:pPr>
            <w:r w:rsidRPr="00E10CE8">
              <w:rPr>
                <w:color w:val="000000"/>
                <w:sz w:val="18"/>
                <w:szCs w:val="20"/>
              </w:rPr>
              <w:t>-</w:t>
            </w:r>
          </w:p>
        </w:tc>
        <w:tc>
          <w:tcPr>
            <w:tcW w:w="0" w:type="auto"/>
            <w:gridSpan w:val="4"/>
            <w:tcBorders>
              <w:top w:val="nil"/>
              <w:left w:val="nil"/>
              <w:bottom w:val="nil"/>
              <w:right w:val="nil"/>
            </w:tcBorders>
            <w:shd w:val="clear" w:color="auto" w:fill="auto"/>
            <w:vAlign w:val="center"/>
            <w:hideMark/>
          </w:tcPr>
          <w:p w:rsidR="00B72FA3" w:rsidRPr="00E10CE8" w:rsidRDefault="00B72FA3" w:rsidP="00595694">
            <w:pPr>
              <w:adjustRightInd w:val="0"/>
              <w:spacing w:before="0" w:after="0"/>
              <w:ind w:firstLine="0"/>
              <w:rPr>
                <w:color w:val="000000"/>
                <w:sz w:val="18"/>
                <w:szCs w:val="20"/>
                <w:lang w:eastAsia="zh-CN"/>
              </w:rPr>
            </w:pPr>
            <w:r w:rsidRPr="00E10CE8">
              <w:rPr>
                <w:rFonts w:hint="eastAsia"/>
                <w:color w:val="000000"/>
                <w:sz w:val="18"/>
                <w:szCs w:val="20"/>
                <w:lang w:eastAsia="zh-CN"/>
              </w:rPr>
              <w:t>同时举行</w:t>
            </w:r>
            <w:r w:rsidRPr="00E10CE8">
              <w:rPr>
                <w:color w:val="000000"/>
                <w:sz w:val="18"/>
                <w:szCs w:val="20"/>
                <w:lang w:eastAsia="zh-CN"/>
              </w:rPr>
              <w:t>的</w:t>
            </w:r>
            <w:r w:rsidRPr="00E10CE8">
              <w:rPr>
                <w:rFonts w:hint="eastAsia"/>
                <w:color w:val="000000"/>
                <w:sz w:val="18"/>
                <w:szCs w:val="20"/>
                <w:lang w:eastAsia="zh-CN"/>
              </w:rPr>
              <w:t>公约</w:t>
            </w:r>
            <w:r w:rsidRPr="00E10CE8">
              <w:rPr>
                <w:color w:val="000000"/>
                <w:sz w:val="18"/>
                <w:szCs w:val="20"/>
                <w:lang w:eastAsia="zh-CN"/>
              </w:rPr>
              <w:t>缔约方大会第十五届会议</w:t>
            </w:r>
            <w:r w:rsidRPr="00E10CE8">
              <w:rPr>
                <w:color w:val="000000"/>
                <w:sz w:val="18"/>
                <w:szCs w:val="20"/>
                <w:lang w:eastAsia="zh-CN"/>
              </w:rPr>
              <w:t>/</w:t>
            </w:r>
            <w:r w:rsidRPr="00E10CE8">
              <w:rPr>
                <w:rFonts w:hint="eastAsia"/>
                <w:color w:val="000000"/>
                <w:sz w:val="18"/>
                <w:szCs w:val="20"/>
                <w:lang w:eastAsia="zh-CN"/>
              </w:rPr>
              <w:t>卡塔赫纳</w:t>
            </w:r>
            <w:r w:rsidRPr="00E10CE8">
              <w:rPr>
                <w:color w:val="000000"/>
                <w:sz w:val="18"/>
                <w:szCs w:val="20"/>
                <w:lang w:eastAsia="zh-CN"/>
              </w:rPr>
              <w:t>议定书缔约方第十次会议</w:t>
            </w:r>
            <w:r w:rsidRPr="00E10CE8">
              <w:rPr>
                <w:color w:val="000000"/>
                <w:sz w:val="18"/>
                <w:szCs w:val="20"/>
                <w:lang w:eastAsia="zh-CN"/>
              </w:rPr>
              <w:t>/</w:t>
            </w:r>
            <w:r w:rsidRPr="00E10CE8">
              <w:rPr>
                <w:rFonts w:hint="eastAsia"/>
                <w:color w:val="000000"/>
                <w:sz w:val="18"/>
                <w:szCs w:val="20"/>
                <w:lang w:eastAsia="zh-CN"/>
              </w:rPr>
              <w:t>名古屋议定书</w:t>
            </w:r>
            <w:r w:rsidRPr="00E10CE8">
              <w:rPr>
                <w:color w:val="000000"/>
                <w:sz w:val="18"/>
                <w:szCs w:val="20"/>
                <w:lang w:eastAsia="zh-CN"/>
              </w:rPr>
              <w:t>缔约方第四次会议。</w:t>
            </w:r>
          </w:p>
        </w:tc>
      </w:tr>
      <w:tr w:rsidR="00B72FA3" w:rsidRPr="00B70AA3" w:rsidTr="00595694">
        <w:trPr>
          <w:trHeight w:val="64"/>
        </w:trPr>
        <w:tc>
          <w:tcPr>
            <w:tcW w:w="0" w:type="auto"/>
            <w:tcBorders>
              <w:top w:val="nil"/>
              <w:left w:val="nil"/>
              <w:bottom w:val="nil"/>
              <w:right w:val="nil"/>
            </w:tcBorders>
            <w:shd w:val="clear" w:color="auto" w:fill="auto"/>
            <w:noWrap/>
            <w:vAlign w:val="bottom"/>
            <w:hideMark/>
          </w:tcPr>
          <w:p w:rsidR="00B72FA3" w:rsidRPr="00B70AA3" w:rsidRDefault="00B72FA3" w:rsidP="008640E9">
            <w:pPr>
              <w:adjustRightInd w:val="0"/>
              <w:spacing w:before="0" w:after="0"/>
              <w:rPr>
                <w:rFonts w:ascii="Calibri" w:hAnsi="Calibri" w:cs="Calibri"/>
                <w:color w:val="000000"/>
                <w:sz w:val="20"/>
                <w:szCs w:val="20"/>
                <w:lang w:eastAsia="zh-CN"/>
              </w:rPr>
            </w:pPr>
          </w:p>
        </w:tc>
        <w:tc>
          <w:tcPr>
            <w:tcW w:w="0" w:type="auto"/>
            <w:tcBorders>
              <w:top w:val="nil"/>
              <w:left w:val="nil"/>
              <w:bottom w:val="nil"/>
              <w:right w:val="nil"/>
            </w:tcBorders>
            <w:shd w:val="clear" w:color="auto" w:fill="auto"/>
            <w:noWrap/>
            <w:vAlign w:val="bottom"/>
            <w:hideMark/>
          </w:tcPr>
          <w:p w:rsidR="00B72FA3" w:rsidRPr="00E10CE8" w:rsidRDefault="00B72FA3" w:rsidP="008640E9">
            <w:pPr>
              <w:adjustRightInd w:val="0"/>
              <w:spacing w:before="0" w:after="0"/>
              <w:rPr>
                <w:rFonts w:ascii="Calibri" w:hAnsi="Calibri" w:cs="Calibri"/>
                <w:color w:val="000000"/>
                <w:sz w:val="18"/>
                <w:szCs w:val="20"/>
                <w:lang w:eastAsia="zh-CN"/>
              </w:rPr>
            </w:pPr>
          </w:p>
        </w:tc>
        <w:tc>
          <w:tcPr>
            <w:tcW w:w="3850" w:type="dxa"/>
            <w:tcBorders>
              <w:top w:val="nil"/>
              <w:left w:val="nil"/>
              <w:bottom w:val="nil"/>
              <w:right w:val="nil"/>
            </w:tcBorders>
            <w:shd w:val="clear" w:color="auto" w:fill="auto"/>
            <w:noWrap/>
            <w:vAlign w:val="bottom"/>
            <w:hideMark/>
          </w:tcPr>
          <w:p w:rsidR="00B72FA3" w:rsidRPr="00E10CE8" w:rsidRDefault="00B72FA3" w:rsidP="008640E9">
            <w:pPr>
              <w:adjustRightInd w:val="0"/>
              <w:spacing w:before="0" w:after="0"/>
              <w:rPr>
                <w:rFonts w:ascii="Calibri" w:hAnsi="Calibri" w:cs="Calibri"/>
                <w:color w:val="000000"/>
                <w:sz w:val="18"/>
                <w:szCs w:val="20"/>
                <w:lang w:eastAsia="zh-CN"/>
              </w:rPr>
            </w:pPr>
          </w:p>
        </w:tc>
        <w:tc>
          <w:tcPr>
            <w:tcW w:w="1626" w:type="dxa"/>
            <w:tcBorders>
              <w:top w:val="nil"/>
              <w:left w:val="nil"/>
              <w:bottom w:val="nil"/>
              <w:right w:val="nil"/>
            </w:tcBorders>
            <w:shd w:val="clear" w:color="auto" w:fill="auto"/>
            <w:noWrap/>
            <w:vAlign w:val="bottom"/>
            <w:hideMark/>
          </w:tcPr>
          <w:p w:rsidR="00B72FA3" w:rsidRPr="00E10CE8" w:rsidRDefault="00B72FA3" w:rsidP="008640E9">
            <w:pPr>
              <w:adjustRightInd w:val="0"/>
              <w:spacing w:before="0" w:after="0"/>
              <w:rPr>
                <w:rFonts w:ascii="Calibri" w:hAnsi="Calibri" w:cs="Calibri"/>
                <w:color w:val="000000"/>
                <w:sz w:val="18"/>
                <w:szCs w:val="20"/>
                <w:lang w:eastAsia="zh-CN"/>
              </w:rPr>
            </w:pPr>
          </w:p>
        </w:tc>
        <w:tc>
          <w:tcPr>
            <w:tcW w:w="1710" w:type="dxa"/>
            <w:tcBorders>
              <w:top w:val="nil"/>
              <w:left w:val="nil"/>
              <w:bottom w:val="nil"/>
              <w:right w:val="nil"/>
            </w:tcBorders>
            <w:shd w:val="clear" w:color="auto" w:fill="auto"/>
            <w:noWrap/>
            <w:vAlign w:val="bottom"/>
            <w:hideMark/>
          </w:tcPr>
          <w:p w:rsidR="00B72FA3" w:rsidRPr="00E10CE8" w:rsidRDefault="00B72FA3" w:rsidP="008640E9">
            <w:pPr>
              <w:adjustRightInd w:val="0"/>
              <w:spacing w:before="0" w:after="0"/>
              <w:rPr>
                <w:rFonts w:ascii="Calibri" w:hAnsi="Calibri" w:cs="Calibri"/>
                <w:color w:val="000000"/>
                <w:sz w:val="18"/>
                <w:szCs w:val="20"/>
                <w:lang w:eastAsia="zh-CN"/>
              </w:rPr>
            </w:pPr>
          </w:p>
        </w:tc>
        <w:tc>
          <w:tcPr>
            <w:tcW w:w="1982" w:type="dxa"/>
            <w:tcBorders>
              <w:top w:val="nil"/>
              <w:left w:val="nil"/>
              <w:bottom w:val="nil"/>
              <w:right w:val="nil"/>
            </w:tcBorders>
            <w:shd w:val="clear" w:color="auto" w:fill="auto"/>
            <w:noWrap/>
            <w:vAlign w:val="bottom"/>
            <w:hideMark/>
          </w:tcPr>
          <w:p w:rsidR="00B72FA3" w:rsidRPr="00E10CE8" w:rsidRDefault="00B72FA3" w:rsidP="008640E9">
            <w:pPr>
              <w:adjustRightInd w:val="0"/>
              <w:spacing w:before="0" w:after="0"/>
              <w:rPr>
                <w:rFonts w:ascii="Calibri" w:hAnsi="Calibri" w:cs="Calibri"/>
                <w:color w:val="000000"/>
                <w:sz w:val="18"/>
                <w:szCs w:val="20"/>
                <w:lang w:eastAsia="zh-CN"/>
              </w:rPr>
            </w:pPr>
          </w:p>
        </w:tc>
      </w:tr>
      <w:tr w:rsidR="00B72FA3" w:rsidRPr="00B70AA3" w:rsidTr="00B72FA3">
        <w:trPr>
          <w:trHeight w:val="450"/>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color w:val="000000"/>
                <w:sz w:val="20"/>
                <w:szCs w:val="20"/>
                <w:lang w:eastAsia="zh-CN"/>
              </w:rPr>
            </w:pPr>
          </w:p>
        </w:tc>
        <w:tc>
          <w:tcPr>
            <w:tcW w:w="0" w:type="auto"/>
            <w:gridSpan w:val="5"/>
            <w:tcBorders>
              <w:top w:val="nil"/>
              <w:left w:val="nil"/>
              <w:bottom w:val="nil"/>
              <w:right w:val="nil"/>
            </w:tcBorders>
            <w:shd w:val="clear" w:color="auto" w:fill="auto"/>
            <w:vAlign w:val="center"/>
            <w:hideMark/>
          </w:tcPr>
          <w:p w:rsidR="00B72FA3" w:rsidRPr="00E10CE8" w:rsidRDefault="00B72FA3" w:rsidP="0072676B">
            <w:pPr>
              <w:adjustRightInd w:val="0"/>
              <w:spacing w:before="0" w:after="0"/>
              <w:ind w:firstLine="0"/>
              <w:rPr>
                <w:color w:val="000000"/>
                <w:sz w:val="18"/>
                <w:szCs w:val="20"/>
                <w:lang w:eastAsia="zh-CN"/>
              </w:rPr>
            </w:pPr>
            <w:r w:rsidRPr="00E10CE8">
              <w:rPr>
                <w:color w:val="000000"/>
                <w:sz w:val="18"/>
                <w:szCs w:val="20"/>
                <w:lang w:eastAsia="zh-CN"/>
              </w:rPr>
              <w:t xml:space="preserve">2/ </w:t>
            </w:r>
            <w:r w:rsidRPr="00E10CE8">
              <w:rPr>
                <w:rFonts w:hint="eastAsia"/>
                <w:color w:val="000000"/>
                <w:sz w:val="18"/>
                <w:szCs w:val="20"/>
                <w:lang w:eastAsia="zh-CN"/>
              </w:rPr>
              <w:t>于</w:t>
            </w:r>
            <w:r w:rsidRPr="00E10CE8">
              <w:rPr>
                <w:rFonts w:hint="eastAsia"/>
                <w:color w:val="000000"/>
                <w:sz w:val="18"/>
                <w:szCs w:val="20"/>
                <w:lang w:eastAsia="zh-CN"/>
              </w:rPr>
              <w:t>2019</w:t>
            </w:r>
            <w:r w:rsidRPr="00E10CE8">
              <w:rPr>
                <w:rFonts w:hint="eastAsia"/>
                <w:color w:val="000000"/>
                <w:sz w:val="18"/>
                <w:szCs w:val="20"/>
                <w:lang w:eastAsia="zh-CN"/>
              </w:rPr>
              <w:t>年</w:t>
            </w:r>
            <w:r w:rsidRPr="00E10CE8">
              <w:rPr>
                <w:color w:val="000000"/>
                <w:sz w:val="18"/>
                <w:szCs w:val="20"/>
                <w:lang w:eastAsia="zh-CN"/>
              </w:rPr>
              <w:t>前后</w:t>
            </w:r>
            <w:r w:rsidR="003624D7">
              <w:rPr>
                <w:color w:val="000000"/>
                <w:sz w:val="18"/>
                <w:szCs w:val="20"/>
                <w:lang w:eastAsia="zh-CN"/>
              </w:rPr>
              <w:t>前后相衔接举行</w:t>
            </w:r>
            <w:r w:rsidRPr="00E10CE8">
              <w:rPr>
                <w:color w:val="000000"/>
                <w:sz w:val="18"/>
                <w:szCs w:val="20"/>
                <w:lang w:eastAsia="zh-CN"/>
              </w:rPr>
              <w:t>的</w:t>
            </w:r>
            <w:r w:rsidRPr="00E10CE8">
              <w:rPr>
                <w:rFonts w:hint="eastAsia"/>
                <w:color w:val="000000"/>
                <w:sz w:val="18"/>
                <w:szCs w:val="20"/>
                <w:lang w:eastAsia="zh-CN"/>
              </w:rPr>
              <w:t>科咨机构第二十三次会议</w:t>
            </w:r>
            <w:r>
              <w:rPr>
                <w:rFonts w:hint="eastAsia"/>
                <w:color w:val="000000"/>
                <w:sz w:val="18"/>
                <w:szCs w:val="20"/>
                <w:lang w:eastAsia="zh-CN"/>
              </w:rPr>
              <w:t>（</w:t>
            </w:r>
            <w:r w:rsidRPr="00E10CE8">
              <w:rPr>
                <w:rFonts w:hint="eastAsia"/>
                <w:color w:val="000000"/>
                <w:sz w:val="18"/>
                <w:szCs w:val="20"/>
                <w:lang w:eastAsia="zh-CN"/>
              </w:rPr>
              <w:t>3</w:t>
            </w:r>
            <w:r w:rsidRPr="00E10CE8">
              <w:rPr>
                <w:rFonts w:hint="eastAsia"/>
                <w:color w:val="000000"/>
                <w:sz w:val="18"/>
                <w:szCs w:val="20"/>
                <w:lang w:eastAsia="zh-CN"/>
              </w:rPr>
              <w:t>天</w:t>
            </w:r>
            <w:r>
              <w:rPr>
                <w:rFonts w:hint="eastAsia"/>
                <w:color w:val="000000"/>
                <w:sz w:val="18"/>
                <w:szCs w:val="20"/>
                <w:lang w:eastAsia="zh-CN"/>
              </w:rPr>
              <w:t>）</w:t>
            </w:r>
            <w:r w:rsidRPr="00E10CE8">
              <w:rPr>
                <w:color w:val="000000"/>
                <w:sz w:val="18"/>
                <w:szCs w:val="20"/>
                <w:lang w:eastAsia="zh-CN"/>
              </w:rPr>
              <w:t>、</w:t>
            </w:r>
            <w:r w:rsidRPr="00E10CE8">
              <w:rPr>
                <w:rFonts w:hint="eastAsia"/>
                <w:color w:val="000000"/>
                <w:sz w:val="18"/>
                <w:szCs w:val="20"/>
                <w:lang w:eastAsia="zh-CN"/>
              </w:rPr>
              <w:t>第</w:t>
            </w:r>
            <w:r w:rsidRPr="00E10CE8">
              <w:rPr>
                <w:color w:val="000000"/>
                <w:sz w:val="18"/>
                <w:szCs w:val="20"/>
                <w:lang w:eastAsia="zh-CN"/>
              </w:rPr>
              <w:t>8</w:t>
            </w:r>
            <w:r>
              <w:rPr>
                <w:color w:val="000000"/>
                <w:sz w:val="18"/>
                <w:szCs w:val="20"/>
                <w:lang w:eastAsia="zh-CN"/>
              </w:rPr>
              <w:t>(j)</w:t>
            </w:r>
            <w:r w:rsidRPr="00E10CE8">
              <w:rPr>
                <w:rFonts w:hint="eastAsia"/>
                <w:color w:val="000000"/>
                <w:sz w:val="18"/>
                <w:szCs w:val="20"/>
                <w:lang w:eastAsia="zh-CN"/>
              </w:rPr>
              <w:t>条</w:t>
            </w:r>
            <w:r w:rsidRPr="00E10CE8">
              <w:rPr>
                <w:color w:val="000000"/>
                <w:sz w:val="18"/>
                <w:szCs w:val="20"/>
                <w:lang w:eastAsia="zh-CN"/>
              </w:rPr>
              <w:t>工作组第十一次会议</w:t>
            </w:r>
            <w:r>
              <w:rPr>
                <w:rFonts w:hint="eastAsia"/>
                <w:color w:val="000000"/>
                <w:sz w:val="18"/>
                <w:szCs w:val="20"/>
                <w:lang w:eastAsia="zh-CN"/>
              </w:rPr>
              <w:t>（</w:t>
            </w:r>
            <w:r w:rsidRPr="00E10CE8">
              <w:rPr>
                <w:rFonts w:hint="eastAsia"/>
                <w:color w:val="000000"/>
                <w:sz w:val="18"/>
                <w:szCs w:val="20"/>
                <w:lang w:eastAsia="zh-CN"/>
              </w:rPr>
              <w:t>3</w:t>
            </w:r>
            <w:r w:rsidRPr="00E10CE8">
              <w:rPr>
                <w:rFonts w:hint="eastAsia"/>
                <w:color w:val="000000"/>
                <w:sz w:val="18"/>
                <w:szCs w:val="20"/>
                <w:lang w:eastAsia="zh-CN"/>
              </w:rPr>
              <w:t>天</w:t>
            </w:r>
            <w:r>
              <w:rPr>
                <w:rFonts w:hint="eastAsia"/>
                <w:color w:val="000000"/>
                <w:sz w:val="18"/>
                <w:szCs w:val="20"/>
                <w:lang w:eastAsia="zh-CN"/>
              </w:rPr>
              <w:t>）</w:t>
            </w:r>
            <w:r w:rsidRPr="00E10CE8">
              <w:rPr>
                <w:color w:val="000000"/>
                <w:sz w:val="18"/>
                <w:szCs w:val="20"/>
                <w:lang w:eastAsia="zh-CN"/>
              </w:rPr>
              <w:t>。</w:t>
            </w:r>
            <w:r w:rsidRPr="00E10CE8">
              <w:rPr>
                <w:rFonts w:hint="eastAsia"/>
                <w:color w:val="000000"/>
                <w:sz w:val="18"/>
                <w:szCs w:val="20"/>
                <w:lang w:eastAsia="zh-CN"/>
              </w:rPr>
              <w:t>于</w:t>
            </w:r>
            <w:r w:rsidRPr="00E10CE8">
              <w:rPr>
                <w:rFonts w:hint="eastAsia"/>
                <w:color w:val="000000"/>
                <w:sz w:val="18"/>
                <w:szCs w:val="20"/>
                <w:lang w:eastAsia="zh-CN"/>
              </w:rPr>
              <w:t>20</w:t>
            </w:r>
            <w:r w:rsidRPr="00E10CE8">
              <w:rPr>
                <w:color w:val="000000"/>
                <w:sz w:val="18"/>
                <w:szCs w:val="20"/>
                <w:lang w:eastAsia="zh-CN"/>
              </w:rPr>
              <w:t>20</w:t>
            </w:r>
            <w:r w:rsidRPr="00E10CE8">
              <w:rPr>
                <w:rFonts w:hint="eastAsia"/>
                <w:color w:val="000000"/>
                <w:sz w:val="18"/>
                <w:szCs w:val="20"/>
                <w:lang w:eastAsia="zh-CN"/>
              </w:rPr>
              <w:t>年前后</w:t>
            </w:r>
            <w:r w:rsidR="003624D7">
              <w:rPr>
                <w:rFonts w:hint="eastAsia"/>
                <w:color w:val="000000"/>
                <w:sz w:val="18"/>
                <w:szCs w:val="20"/>
                <w:lang w:eastAsia="zh-CN"/>
              </w:rPr>
              <w:t>前后相衔接举行</w:t>
            </w:r>
            <w:r w:rsidRPr="00E10CE8">
              <w:rPr>
                <w:color w:val="000000"/>
                <w:sz w:val="18"/>
                <w:szCs w:val="20"/>
                <w:lang w:eastAsia="zh-CN"/>
              </w:rPr>
              <w:t>的科咨机构第二十</w:t>
            </w:r>
            <w:r w:rsidRPr="00E10CE8">
              <w:rPr>
                <w:rFonts w:hint="eastAsia"/>
                <w:color w:val="000000"/>
                <w:sz w:val="18"/>
                <w:szCs w:val="20"/>
                <w:lang w:eastAsia="zh-CN"/>
              </w:rPr>
              <w:t>四次</w:t>
            </w:r>
            <w:r w:rsidRPr="00E10CE8">
              <w:rPr>
                <w:color w:val="000000"/>
                <w:sz w:val="18"/>
                <w:szCs w:val="20"/>
                <w:lang w:eastAsia="zh-CN"/>
              </w:rPr>
              <w:t>会议</w:t>
            </w:r>
            <w:r>
              <w:rPr>
                <w:rFonts w:hint="eastAsia"/>
                <w:color w:val="000000"/>
                <w:sz w:val="18"/>
                <w:szCs w:val="20"/>
                <w:lang w:eastAsia="zh-CN"/>
              </w:rPr>
              <w:t>（</w:t>
            </w:r>
            <w:r w:rsidRPr="00E10CE8">
              <w:rPr>
                <w:rFonts w:hint="eastAsia"/>
                <w:color w:val="000000"/>
                <w:sz w:val="18"/>
                <w:szCs w:val="20"/>
                <w:lang w:eastAsia="zh-CN"/>
              </w:rPr>
              <w:t>6</w:t>
            </w:r>
            <w:r w:rsidRPr="00E10CE8">
              <w:rPr>
                <w:rFonts w:hint="eastAsia"/>
                <w:color w:val="000000"/>
                <w:sz w:val="18"/>
                <w:szCs w:val="20"/>
                <w:lang w:eastAsia="zh-CN"/>
              </w:rPr>
              <w:t>天</w:t>
            </w:r>
            <w:r>
              <w:rPr>
                <w:color w:val="000000"/>
                <w:sz w:val="18"/>
                <w:szCs w:val="20"/>
                <w:lang w:eastAsia="zh-CN"/>
              </w:rPr>
              <w:t>）</w:t>
            </w:r>
            <w:r w:rsidRPr="00E10CE8">
              <w:rPr>
                <w:color w:val="000000"/>
                <w:sz w:val="18"/>
                <w:szCs w:val="20"/>
                <w:lang w:eastAsia="zh-CN"/>
              </w:rPr>
              <w:t>、执行问题附属机构第三次会议</w:t>
            </w:r>
            <w:r>
              <w:rPr>
                <w:rFonts w:hint="eastAsia"/>
                <w:color w:val="000000"/>
                <w:sz w:val="18"/>
                <w:szCs w:val="20"/>
                <w:lang w:eastAsia="zh-CN"/>
              </w:rPr>
              <w:t>（</w:t>
            </w:r>
            <w:r w:rsidRPr="00E10CE8">
              <w:rPr>
                <w:rFonts w:hint="eastAsia"/>
                <w:color w:val="000000"/>
                <w:sz w:val="18"/>
                <w:szCs w:val="20"/>
                <w:lang w:eastAsia="zh-CN"/>
              </w:rPr>
              <w:t>5</w:t>
            </w:r>
            <w:r w:rsidRPr="00E10CE8">
              <w:rPr>
                <w:rFonts w:hint="eastAsia"/>
                <w:color w:val="000000"/>
                <w:sz w:val="18"/>
                <w:szCs w:val="20"/>
                <w:lang w:eastAsia="zh-CN"/>
              </w:rPr>
              <w:t>天</w:t>
            </w:r>
            <w:r>
              <w:rPr>
                <w:rFonts w:hint="eastAsia"/>
                <w:color w:val="000000"/>
                <w:sz w:val="18"/>
                <w:szCs w:val="20"/>
                <w:lang w:eastAsia="zh-CN"/>
              </w:rPr>
              <w:t>）</w:t>
            </w:r>
            <w:r w:rsidRPr="00E10CE8">
              <w:rPr>
                <w:color w:val="000000"/>
                <w:sz w:val="18"/>
                <w:szCs w:val="20"/>
                <w:lang w:eastAsia="zh-CN"/>
              </w:rPr>
              <w:t>。</w:t>
            </w:r>
          </w:p>
        </w:tc>
      </w:tr>
      <w:tr w:rsidR="00B72FA3" w:rsidRPr="00B70AA3" w:rsidTr="00595694">
        <w:trPr>
          <w:trHeight w:val="64"/>
        </w:trPr>
        <w:tc>
          <w:tcPr>
            <w:tcW w:w="0" w:type="auto"/>
            <w:tcBorders>
              <w:top w:val="nil"/>
              <w:left w:val="nil"/>
              <w:bottom w:val="nil"/>
              <w:right w:val="nil"/>
            </w:tcBorders>
            <w:shd w:val="clear" w:color="auto" w:fill="auto"/>
            <w:noWrap/>
            <w:vAlign w:val="bottom"/>
            <w:hideMark/>
          </w:tcPr>
          <w:p w:rsidR="00B72FA3" w:rsidRPr="00B70AA3" w:rsidRDefault="00B72FA3" w:rsidP="008640E9">
            <w:pPr>
              <w:adjustRightInd w:val="0"/>
              <w:spacing w:before="0" w:after="0"/>
              <w:rPr>
                <w:rFonts w:ascii="Calibri" w:hAnsi="Calibri" w:cs="Calibri"/>
                <w:color w:val="000000"/>
                <w:sz w:val="20"/>
                <w:szCs w:val="20"/>
                <w:lang w:eastAsia="zh-CN"/>
              </w:rPr>
            </w:pPr>
          </w:p>
        </w:tc>
        <w:tc>
          <w:tcPr>
            <w:tcW w:w="0" w:type="auto"/>
            <w:tcBorders>
              <w:top w:val="nil"/>
              <w:left w:val="nil"/>
              <w:bottom w:val="nil"/>
              <w:right w:val="nil"/>
            </w:tcBorders>
            <w:shd w:val="clear" w:color="auto" w:fill="auto"/>
            <w:noWrap/>
            <w:vAlign w:val="bottom"/>
            <w:hideMark/>
          </w:tcPr>
          <w:p w:rsidR="00B72FA3" w:rsidRPr="00E10CE8" w:rsidRDefault="00B72FA3" w:rsidP="0072676B">
            <w:pPr>
              <w:adjustRightInd w:val="0"/>
              <w:spacing w:before="0" w:after="0"/>
              <w:ind w:firstLine="0"/>
              <w:rPr>
                <w:rFonts w:ascii="Calibri" w:hAnsi="Calibri" w:cs="Calibri"/>
                <w:color w:val="000000"/>
                <w:sz w:val="18"/>
                <w:szCs w:val="20"/>
                <w:lang w:eastAsia="zh-CN"/>
              </w:rPr>
            </w:pPr>
          </w:p>
        </w:tc>
        <w:tc>
          <w:tcPr>
            <w:tcW w:w="3850" w:type="dxa"/>
            <w:tcBorders>
              <w:top w:val="nil"/>
              <w:left w:val="nil"/>
              <w:bottom w:val="nil"/>
              <w:right w:val="nil"/>
            </w:tcBorders>
            <w:shd w:val="clear" w:color="auto" w:fill="auto"/>
            <w:noWrap/>
            <w:vAlign w:val="bottom"/>
            <w:hideMark/>
          </w:tcPr>
          <w:p w:rsidR="00B72FA3" w:rsidRPr="00E10CE8" w:rsidRDefault="00B72FA3" w:rsidP="0072676B">
            <w:pPr>
              <w:adjustRightInd w:val="0"/>
              <w:spacing w:before="0" w:after="0"/>
              <w:ind w:firstLine="0"/>
              <w:rPr>
                <w:rFonts w:ascii="Calibri" w:hAnsi="Calibri" w:cs="Calibri"/>
                <w:color w:val="000000"/>
                <w:sz w:val="18"/>
                <w:szCs w:val="20"/>
                <w:lang w:eastAsia="zh-CN"/>
              </w:rPr>
            </w:pPr>
          </w:p>
        </w:tc>
        <w:tc>
          <w:tcPr>
            <w:tcW w:w="1626" w:type="dxa"/>
            <w:tcBorders>
              <w:top w:val="nil"/>
              <w:left w:val="nil"/>
              <w:bottom w:val="nil"/>
              <w:right w:val="nil"/>
            </w:tcBorders>
            <w:shd w:val="clear" w:color="auto" w:fill="auto"/>
            <w:noWrap/>
            <w:vAlign w:val="bottom"/>
            <w:hideMark/>
          </w:tcPr>
          <w:p w:rsidR="00B72FA3" w:rsidRPr="00E10CE8" w:rsidRDefault="00B72FA3" w:rsidP="0072676B">
            <w:pPr>
              <w:adjustRightInd w:val="0"/>
              <w:spacing w:before="0" w:after="0"/>
              <w:ind w:firstLine="0"/>
              <w:rPr>
                <w:rFonts w:ascii="Calibri" w:hAnsi="Calibri" w:cs="Calibri"/>
                <w:color w:val="000000"/>
                <w:sz w:val="18"/>
                <w:szCs w:val="20"/>
                <w:lang w:eastAsia="zh-CN"/>
              </w:rPr>
            </w:pPr>
          </w:p>
        </w:tc>
        <w:tc>
          <w:tcPr>
            <w:tcW w:w="1710" w:type="dxa"/>
            <w:tcBorders>
              <w:top w:val="nil"/>
              <w:left w:val="nil"/>
              <w:bottom w:val="nil"/>
              <w:right w:val="nil"/>
            </w:tcBorders>
            <w:shd w:val="clear" w:color="auto" w:fill="auto"/>
            <w:noWrap/>
            <w:vAlign w:val="bottom"/>
            <w:hideMark/>
          </w:tcPr>
          <w:p w:rsidR="00B72FA3" w:rsidRPr="00E10CE8" w:rsidRDefault="00B72FA3" w:rsidP="0072676B">
            <w:pPr>
              <w:adjustRightInd w:val="0"/>
              <w:spacing w:before="0" w:after="0"/>
              <w:ind w:firstLine="0"/>
              <w:rPr>
                <w:rFonts w:ascii="Calibri" w:hAnsi="Calibri" w:cs="Calibri"/>
                <w:color w:val="000000"/>
                <w:sz w:val="18"/>
                <w:szCs w:val="20"/>
                <w:lang w:eastAsia="zh-CN"/>
              </w:rPr>
            </w:pPr>
          </w:p>
        </w:tc>
        <w:tc>
          <w:tcPr>
            <w:tcW w:w="1982" w:type="dxa"/>
            <w:tcBorders>
              <w:top w:val="nil"/>
              <w:left w:val="nil"/>
              <w:bottom w:val="nil"/>
              <w:right w:val="nil"/>
            </w:tcBorders>
            <w:shd w:val="clear" w:color="auto" w:fill="auto"/>
            <w:noWrap/>
            <w:vAlign w:val="bottom"/>
            <w:hideMark/>
          </w:tcPr>
          <w:p w:rsidR="00B72FA3" w:rsidRPr="00E10CE8" w:rsidRDefault="00B72FA3" w:rsidP="0072676B">
            <w:pPr>
              <w:adjustRightInd w:val="0"/>
              <w:spacing w:before="0" w:after="0"/>
              <w:ind w:firstLine="0"/>
              <w:rPr>
                <w:rFonts w:ascii="Calibri" w:hAnsi="Calibri" w:cs="Calibri"/>
                <w:color w:val="000000"/>
                <w:sz w:val="18"/>
                <w:szCs w:val="20"/>
                <w:lang w:eastAsia="zh-CN"/>
              </w:rPr>
            </w:pPr>
          </w:p>
        </w:tc>
      </w:tr>
      <w:tr w:rsidR="00B72FA3" w:rsidRPr="00B70AA3" w:rsidTr="00B72FA3">
        <w:trPr>
          <w:trHeight w:val="345"/>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color w:val="000000"/>
                <w:sz w:val="20"/>
                <w:szCs w:val="20"/>
                <w:lang w:eastAsia="zh-CN"/>
              </w:rPr>
            </w:pPr>
          </w:p>
        </w:tc>
        <w:tc>
          <w:tcPr>
            <w:tcW w:w="0" w:type="auto"/>
            <w:gridSpan w:val="5"/>
            <w:tcBorders>
              <w:top w:val="nil"/>
              <w:left w:val="nil"/>
              <w:bottom w:val="nil"/>
              <w:right w:val="nil"/>
            </w:tcBorders>
            <w:shd w:val="clear" w:color="auto" w:fill="auto"/>
            <w:vAlign w:val="center"/>
            <w:hideMark/>
          </w:tcPr>
          <w:p w:rsidR="00B72FA3" w:rsidRPr="00E10CE8" w:rsidRDefault="00B72FA3" w:rsidP="0072676B">
            <w:pPr>
              <w:adjustRightInd w:val="0"/>
              <w:spacing w:before="0" w:after="0"/>
              <w:ind w:firstLine="0"/>
              <w:rPr>
                <w:color w:val="000000"/>
                <w:sz w:val="18"/>
                <w:szCs w:val="20"/>
                <w:lang w:eastAsia="zh-CN"/>
              </w:rPr>
            </w:pPr>
            <w:r w:rsidRPr="00E10CE8">
              <w:rPr>
                <w:color w:val="000000"/>
                <w:sz w:val="18"/>
                <w:szCs w:val="20"/>
                <w:lang w:eastAsia="zh-CN"/>
              </w:rPr>
              <w:t xml:space="preserve">3/ </w:t>
            </w:r>
            <w:r w:rsidRPr="00E10CE8">
              <w:rPr>
                <w:rFonts w:hint="eastAsia"/>
                <w:color w:val="000000"/>
                <w:sz w:val="18"/>
                <w:szCs w:val="20"/>
                <w:lang w:eastAsia="zh-CN"/>
              </w:rPr>
              <w:t>缔约方大会</w:t>
            </w:r>
            <w:r w:rsidRPr="00E10CE8">
              <w:rPr>
                <w:color w:val="000000"/>
                <w:sz w:val="18"/>
                <w:szCs w:val="20"/>
                <w:lang w:eastAsia="zh-CN"/>
              </w:rPr>
              <w:t>第十五届会议</w:t>
            </w:r>
            <w:r w:rsidRPr="00E10CE8">
              <w:rPr>
                <w:rFonts w:hint="eastAsia"/>
                <w:color w:val="000000"/>
                <w:sz w:val="18"/>
                <w:szCs w:val="20"/>
                <w:lang w:eastAsia="zh-CN"/>
              </w:rPr>
              <w:t>/</w:t>
            </w:r>
            <w:r w:rsidRPr="00E10CE8">
              <w:rPr>
                <w:rFonts w:hint="eastAsia"/>
                <w:color w:val="000000"/>
                <w:sz w:val="18"/>
                <w:szCs w:val="20"/>
                <w:lang w:eastAsia="zh-CN"/>
              </w:rPr>
              <w:t>卡塔赫纳</w:t>
            </w:r>
            <w:r w:rsidRPr="00E10CE8">
              <w:rPr>
                <w:color w:val="000000"/>
                <w:sz w:val="18"/>
                <w:szCs w:val="20"/>
                <w:lang w:eastAsia="zh-CN"/>
              </w:rPr>
              <w:t>议定书缔约方第十次会议</w:t>
            </w:r>
            <w:r w:rsidRPr="00E10CE8">
              <w:rPr>
                <w:rFonts w:hint="eastAsia"/>
                <w:color w:val="000000"/>
                <w:sz w:val="18"/>
                <w:szCs w:val="20"/>
                <w:lang w:eastAsia="zh-CN"/>
              </w:rPr>
              <w:t>/</w:t>
            </w:r>
            <w:r w:rsidRPr="00E10CE8">
              <w:rPr>
                <w:rFonts w:hint="eastAsia"/>
                <w:color w:val="000000"/>
                <w:sz w:val="18"/>
                <w:szCs w:val="20"/>
                <w:lang w:eastAsia="zh-CN"/>
              </w:rPr>
              <w:t>名古屋议定书</w:t>
            </w:r>
            <w:r w:rsidRPr="00E10CE8">
              <w:rPr>
                <w:color w:val="000000"/>
                <w:sz w:val="18"/>
                <w:szCs w:val="20"/>
                <w:lang w:eastAsia="zh-CN"/>
              </w:rPr>
              <w:t>第四次会议的预算在两年期各年之间平均分配。</w:t>
            </w:r>
          </w:p>
        </w:tc>
      </w:tr>
      <w:tr w:rsidR="00B72FA3" w:rsidRPr="00B70AA3" w:rsidTr="00595694">
        <w:trPr>
          <w:trHeight w:val="68"/>
        </w:trPr>
        <w:tc>
          <w:tcPr>
            <w:tcW w:w="0" w:type="auto"/>
            <w:tcBorders>
              <w:top w:val="nil"/>
              <w:left w:val="nil"/>
              <w:bottom w:val="nil"/>
              <w:right w:val="nil"/>
            </w:tcBorders>
            <w:shd w:val="clear" w:color="auto" w:fill="auto"/>
            <w:noWrap/>
            <w:vAlign w:val="bottom"/>
            <w:hideMark/>
          </w:tcPr>
          <w:p w:rsidR="00B72FA3" w:rsidRPr="00B70AA3" w:rsidRDefault="00B72FA3" w:rsidP="008640E9">
            <w:pPr>
              <w:adjustRightInd w:val="0"/>
              <w:spacing w:before="0" w:after="0"/>
              <w:rPr>
                <w:rFonts w:ascii="Calibri" w:hAnsi="Calibri" w:cs="Calibri"/>
                <w:color w:val="000000"/>
                <w:sz w:val="20"/>
                <w:szCs w:val="20"/>
                <w:lang w:eastAsia="zh-CN"/>
              </w:rPr>
            </w:pPr>
          </w:p>
        </w:tc>
        <w:tc>
          <w:tcPr>
            <w:tcW w:w="0" w:type="auto"/>
            <w:tcBorders>
              <w:top w:val="nil"/>
              <w:left w:val="nil"/>
              <w:bottom w:val="nil"/>
              <w:right w:val="nil"/>
            </w:tcBorders>
            <w:shd w:val="clear" w:color="auto" w:fill="auto"/>
            <w:noWrap/>
            <w:vAlign w:val="bottom"/>
            <w:hideMark/>
          </w:tcPr>
          <w:p w:rsidR="00B72FA3" w:rsidRPr="00E10CE8" w:rsidRDefault="00B72FA3" w:rsidP="0072676B">
            <w:pPr>
              <w:adjustRightInd w:val="0"/>
              <w:spacing w:before="0" w:after="0"/>
              <w:ind w:firstLine="0"/>
              <w:rPr>
                <w:rFonts w:ascii="Calibri" w:hAnsi="Calibri" w:cs="Calibri"/>
                <w:color w:val="000000"/>
                <w:sz w:val="18"/>
                <w:szCs w:val="20"/>
                <w:lang w:eastAsia="zh-CN"/>
              </w:rPr>
            </w:pPr>
          </w:p>
        </w:tc>
        <w:tc>
          <w:tcPr>
            <w:tcW w:w="3850" w:type="dxa"/>
            <w:tcBorders>
              <w:top w:val="nil"/>
              <w:left w:val="nil"/>
              <w:bottom w:val="nil"/>
              <w:right w:val="nil"/>
            </w:tcBorders>
            <w:shd w:val="clear" w:color="auto" w:fill="auto"/>
            <w:noWrap/>
            <w:vAlign w:val="bottom"/>
            <w:hideMark/>
          </w:tcPr>
          <w:p w:rsidR="00B72FA3" w:rsidRPr="00E10CE8" w:rsidRDefault="00B72FA3" w:rsidP="0072676B">
            <w:pPr>
              <w:adjustRightInd w:val="0"/>
              <w:spacing w:before="0" w:after="0"/>
              <w:ind w:firstLine="0"/>
              <w:rPr>
                <w:rFonts w:ascii="Calibri" w:hAnsi="Calibri" w:cs="Calibri"/>
                <w:color w:val="000000"/>
                <w:sz w:val="18"/>
                <w:szCs w:val="20"/>
                <w:lang w:eastAsia="zh-CN"/>
              </w:rPr>
            </w:pPr>
          </w:p>
        </w:tc>
        <w:tc>
          <w:tcPr>
            <w:tcW w:w="1626" w:type="dxa"/>
            <w:tcBorders>
              <w:top w:val="nil"/>
              <w:left w:val="nil"/>
              <w:bottom w:val="nil"/>
              <w:right w:val="nil"/>
            </w:tcBorders>
            <w:shd w:val="clear" w:color="auto" w:fill="auto"/>
            <w:noWrap/>
            <w:vAlign w:val="bottom"/>
            <w:hideMark/>
          </w:tcPr>
          <w:p w:rsidR="00B72FA3" w:rsidRPr="00E10CE8" w:rsidRDefault="00B72FA3" w:rsidP="0072676B">
            <w:pPr>
              <w:adjustRightInd w:val="0"/>
              <w:spacing w:before="0" w:after="0"/>
              <w:ind w:firstLine="0"/>
              <w:rPr>
                <w:rFonts w:ascii="Calibri" w:hAnsi="Calibri" w:cs="Calibri"/>
                <w:color w:val="000000"/>
                <w:sz w:val="18"/>
                <w:szCs w:val="20"/>
                <w:lang w:eastAsia="zh-CN"/>
              </w:rPr>
            </w:pPr>
          </w:p>
        </w:tc>
        <w:tc>
          <w:tcPr>
            <w:tcW w:w="1710" w:type="dxa"/>
            <w:tcBorders>
              <w:top w:val="nil"/>
              <w:left w:val="nil"/>
              <w:bottom w:val="nil"/>
              <w:right w:val="nil"/>
            </w:tcBorders>
            <w:shd w:val="clear" w:color="auto" w:fill="auto"/>
            <w:noWrap/>
            <w:vAlign w:val="bottom"/>
            <w:hideMark/>
          </w:tcPr>
          <w:p w:rsidR="00B72FA3" w:rsidRPr="00E10CE8" w:rsidRDefault="00B72FA3" w:rsidP="0072676B">
            <w:pPr>
              <w:adjustRightInd w:val="0"/>
              <w:spacing w:before="0" w:after="0"/>
              <w:ind w:firstLine="0"/>
              <w:rPr>
                <w:rFonts w:ascii="Calibri" w:hAnsi="Calibri" w:cs="Calibri"/>
                <w:color w:val="000000"/>
                <w:sz w:val="18"/>
                <w:szCs w:val="20"/>
                <w:lang w:eastAsia="zh-CN"/>
              </w:rPr>
            </w:pPr>
          </w:p>
        </w:tc>
        <w:tc>
          <w:tcPr>
            <w:tcW w:w="1982" w:type="dxa"/>
            <w:tcBorders>
              <w:top w:val="nil"/>
              <w:left w:val="nil"/>
              <w:bottom w:val="nil"/>
              <w:right w:val="nil"/>
            </w:tcBorders>
            <w:shd w:val="clear" w:color="auto" w:fill="auto"/>
            <w:noWrap/>
            <w:vAlign w:val="bottom"/>
            <w:hideMark/>
          </w:tcPr>
          <w:p w:rsidR="00B72FA3" w:rsidRPr="00E10CE8" w:rsidRDefault="00B72FA3" w:rsidP="0072676B">
            <w:pPr>
              <w:adjustRightInd w:val="0"/>
              <w:spacing w:before="0" w:after="0"/>
              <w:ind w:firstLine="0"/>
              <w:rPr>
                <w:rFonts w:ascii="Calibri" w:hAnsi="Calibri" w:cs="Calibri"/>
                <w:color w:val="000000"/>
                <w:sz w:val="18"/>
                <w:szCs w:val="20"/>
                <w:lang w:eastAsia="zh-CN"/>
              </w:rPr>
            </w:pPr>
          </w:p>
        </w:tc>
      </w:tr>
      <w:tr w:rsidR="00B72FA3" w:rsidRPr="00B70AA3" w:rsidTr="00B72FA3">
        <w:trPr>
          <w:trHeight w:val="354"/>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color w:val="000000"/>
                <w:sz w:val="20"/>
                <w:szCs w:val="20"/>
                <w:lang w:eastAsia="zh-CN"/>
              </w:rPr>
            </w:pPr>
          </w:p>
        </w:tc>
        <w:tc>
          <w:tcPr>
            <w:tcW w:w="0" w:type="auto"/>
            <w:gridSpan w:val="5"/>
            <w:tcBorders>
              <w:top w:val="nil"/>
              <w:left w:val="nil"/>
              <w:bottom w:val="nil"/>
              <w:right w:val="nil"/>
            </w:tcBorders>
            <w:shd w:val="clear" w:color="auto" w:fill="auto"/>
            <w:vAlign w:val="center"/>
            <w:hideMark/>
          </w:tcPr>
          <w:p w:rsidR="00B72FA3" w:rsidRPr="00E10CE8" w:rsidRDefault="00B72FA3" w:rsidP="0072676B">
            <w:pPr>
              <w:adjustRightInd w:val="0"/>
              <w:spacing w:before="0" w:after="0"/>
              <w:ind w:firstLine="0"/>
              <w:rPr>
                <w:color w:val="000000"/>
                <w:sz w:val="18"/>
                <w:szCs w:val="20"/>
                <w:lang w:eastAsia="zh-CN"/>
              </w:rPr>
            </w:pPr>
            <w:r w:rsidRPr="00E10CE8">
              <w:rPr>
                <w:color w:val="000000"/>
                <w:sz w:val="18"/>
                <w:szCs w:val="20"/>
                <w:lang w:eastAsia="zh-CN"/>
              </w:rPr>
              <w:t xml:space="preserve">4/ </w:t>
            </w:r>
            <w:r w:rsidRPr="00E10CE8">
              <w:rPr>
                <w:rFonts w:hint="eastAsia"/>
                <w:color w:val="000000"/>
                <w:sz w:val="18"/>
                <w:szCs w:val="20"/>
                <w:lang w:eastAsia="zh-CN"/>
              </w:rPr>
              <w:t>二次</w:t>
            </w:r>
            <w:r>
              <w:rPr>
                <w:rFonts w:hint="eastAsia"/>
                <w:color w:val="000000"/>
                <w:sz w:val="18"/>
                <w:szCs w:val="20"/>
                <w:lang w:eastAsia="zh-CN"/>
              </w:rPr>
              <w:t>单独</w:t>
            </w:r>
            <w:r w:rsidRPr="00E10CE8">
              <w:rPr>
                <w:color w:val="000000"/>
                <w:sz w:val="18"/>
                <w:szCs w:val="20"/>
                <w:lang w:eastAsia="zh-CN"/>
              </w:rPr>
              <w:t>举行的特别会议，每次</w:t>
            </w:r>
            <w:r w:rsidRPr="00E10CE8">
              <w:rPr>
                <w:rFonts w:hint="eastAsia"/>
                <w:color w:val="000000"/>
                <w:sz w:val="18"/>
                <w:szCs w:val="20"/>
                <w:lang w:eastAsia="zh-CN"/>
              </w:rPr>
              <w:t>5</w:t>
            </w:r>
            <w:r w:rsidRPr="00E10CE8">
              <w:rPr>
                <w:rFonts w:hint="eastAsia"/>
                <w:color w:val="000000"/>
                <w:sz w:val="18"/>
                <w:szCs w:val="20"/>
                <w:lang w:eastAsia="zh-CN"/>
              </w:rPr>
              <w:t>天</w:t>
            </w:r>
            <w:r w:rsidRPr="00E10CE8">
              <w:rPr>
                <w:color w:val="000000"/>
                <w:sz w:val="18"/>
                <w:szCs w:val="20"/>
                <w:lang w:eastAsia="zh-CN"/>
              </w:rPr>
              <w:t>，外加科咨机构第二十三次会议延长</w:t>
            </w:r>
            <w:r w:rsidRPr="00E10CE8">
              <w:rPr>
                <w:rFonts w:hint="eastAsia"/>
                <w:color w:val="000000"/>
                <w:sz w:val="18"/>
                <w:szCs w:val="20"/>
                <w:lang w:eastAsia="zh-CN"/>
              </w:rPr>
              <w:t>2</w:t>
            </w:r>
            <w:r w:rsidRPr="00E10CE8">
              <w:rPr>
                <w:rFonts w:hint="eastAsia"/>
                <w:color w:val="000000"/>
                <w:sz w:val="18"/>
                <w:szCs w:val="20"/>
                <w:lang w:eastAsia="zh-CN"/>
              </w:rPr>
              <w:t>天</w:t>
            </w:r>
            <w:r w:rsidRPr="00E10CE8">
              <w:rPr>
                <w:color w:val="000000"/>
                <w:sz w:val="18"/>
                <w:szCs w:val="20"/>
                <w:lang w:eastAsia="zh-CN"/>
              </w:rPr>
              <w:t>。</w:t>
            </w:r>
          </w:p>
        </w:tc>
      </w:tr>
      <w:tr w:rsidR="00B72FA3" w:rsidRPr="00B70AA3" w:rsidTr="00595694">
        <w:trPr>
          <w:trHeight w:val="64"/>
        </w:trPr>
        <w:tc>
          <w:tcPr>
            <w:tcW w:w="0" w:type="auto"/>
            <w:tcBorders>
              <w:top w:val="nil"/>
              <w:left w:val="nil"/>
              <w:bottom w:val="nil"/>
              <w:right w:val="nil"/>
            </w:tcBorders>
            <w:shd w:val="clear" w:color="auto" w:fill="auto"/>
            <w:noWrap/>
            <w:vAlign w:val="bottom"/>
            <w:hideMark/>
          </w:tcPr>
          <w:p w:rsidR="00B72FA3" w:rsidRPr="00B70AA3" w:rsidRDefault="00B72FA3" w:rsidP="008640E9">
            <w:pPr>
              <w:adjustRightInd w:val="0"/>
              <w:spacing w:before="0" w:after="0"/>
              <w:rPr>
                <w:rFonts w:ascii="Calibri" w:hAnsi="Calibri" w:cs="Calibri"/>
                <w:color w:val="000000"/>
                <w:sz w:val="20"/>
                <w:szCs w:val="20"/>
                <w:lang w:eastAsia="zh-CN"/>
              </w:rPr>
            </w:pPr>
          </w:p>
        </w:tc>
        <w:tc>
          <w:tcPr>
            <w:tcW w:w="0" w:type="auto"/>
            <w:tcBorders>
              <w:top w:val="nil"/>
              <w:left w:val="nil"/>
              <w:bottom w:val="nil"/>
              <w:right w:val="nil"/>
            </w:tcBorders>
            <w:shd w:val="clear" w:color="auto" w:fill="auto"/>
            <w:noWrap/>
            <w:vAlign w:val="bottom"/>
            <w:hideMark/>
          </w:tcPr>
          <w:p w:rsidR="00B72FA3" w:rsidRPr="00E10CE8" w:rsidRDefault="00B72FA3" w:rsidP="0072676B">
            <w:pPr>
              <w:adjustRightInd w:val="0"/>
              <w:spacing w:before="0" w:after="0"/>
              <w:ind w:firstLine="0"/>
              <w:rPr>
                <w:rFonts w:ascii="Calibri" w:hAnsi="Calibri" w:cs="Calibri"/>
                <w:color w:val="000000"/>
                <w:sz w:val="18"/>
                <w:szCs w:val="20"/>
                <w:lang w:eastAsia="zh-CN"/>
              </w:rPr>
            </w:pPr>
          </w:p>
        </w:tc>
        <w:tc>
          <w:tcPr>
            <w:tcW w:w="3850" w:type="dxa"/>
            <w:tcBorders>
              <w:top w:val="nil"/>
              <w:left w:val="nil"/>
              <w:bottom w:val="nil"/>
              <w:right w:val="nil"/>
            </w:tcBorders>
            <w:shd w:val="clear" w:color="auto" w:fill="auto"/>
            <w:noWrap/>
            <w:vAlign w:val="bottom"/>
            <w:hideMark/>
          </w:tcPr>
          <w:p w:rsidR="00B72FA3" w:rsidRPr="00E10CE8" w:rsidRDefault="00B72FA3" w:rsidP="0072676B">
            <w:pPr>
              <w:adjustRightInd w:val="0"/>
              <w:spacing w:before="0" w:after="0"/>
              <w:ind w:firstLine="0"/>
              <w:rPr>
                <w:rFonts w:ascii="Calibri" w:hAnsi="Calibri" w:cs="Calibri"/>
                <w:color w:val="000000"/>
                <w:sz w:val="18"/>
                <w:szCs w:val="20"/>
                <w:lang w:eastAsia="zh-CN"/>
              </w:rPr>
            </w:pPr>
          </w:p>
        </w:tc>
        <w:tc>
          <w:tcPr>
            <w:tcW w:w="1626" w:type="dxa"/>
            <w:tcBorders>
              <w:top w:val="nil"/>
              <w:left w:val="nil"/>
              <w:bottom w:val="nil"/>
              <w:right w:val="nil"/>
            </w:tcBorders>
            <w:shd w:val="clear" w:color="auto" w:fill="auto"/>
            <w:noWrap/>
            <w:vAlign w:val="bottom"/>
            <w:hideMark/>
          </w:tcPr>
          <w:p w:rsidR="00B72FA3" w:rsidRPr="00E10CE8" w:rsidRDefault="00B72FA3" w:rsidP="0072676B">
            <w:pPr>
              <w:adjustRightInd w:val="0"/>
              <w:spacing w:before="0" w:after="0"/>
              <w:ind w:firstLine="0"/>
              <w:rPr>
                <w:rFonts w:ascii="Calibri" w:hAnsi="Calibri" w:cs="Calibri"/>
                <w:color w:val="000000"/>
                <w:sz w:val="18"/>
                <w:szCs w:val="20"/>
                <w:lang w:eastAsia="zh-CN"/>
              </w:rPr>
            </w:pPr>
          </w:p>
        </w:tc>
        <w:tc>
          <w:tcPr>
            <w:tcW w:w="1710" w:type="dxa"/>
            <w:tcBorders>
              <w:top w:val="nil"/>
              <w:left w:val="nil"/>
              <w:bottom w:val="nil"/>
              <w:right w:val="nil"/>
            </w:tcBorders>
            <w:shd w:val="clear" w:color="auto" w:fill="auto"/>
            <w:noWrap/>
            <w:vAlign w:val="bottom"/>
            <w:hideMark/>
          </w:tcPr>
          <w:p w:rsidR="00B72FA3" w:rsidRPr="00E10CE8" w:rsidRDefault="00B72FA3" w:rsidP="0072676B">
            <w:pPr>
              <w:adjustRightInd w:val="0"/>
              <w:spacing w:before="0" w:after="0"/>
              <w:ind w:firstLine="0"/>
              <w:rPr>
                <w:rFonts w:ascii="Calibri" w:hAnsi="Calibri" w:cs="Calibri"/>
                <w:color w:val="000000"/>
                <w:sz w:val="18"/>
                <w:szCs w:val="20"/>
                <w:lang w:eastAsia="zh-CN"/>
              </w:rPr>
            </w:pPr>
          </w:p>
        </w:tc>
        <w:tc>
          <w:tcPr>
            <w:tcW w:w="1982" w:type="dxa"/>
            <w:tcBorders>
              <w:top w:val="nil"/>
              <w:left w:val="nil"/>
              <w:bottom w:val="nil"/>
              <w:right w:val="nil"/>
            </w:tcBorders>
            <w:shd w:val="clear" w:color="auto" w:fill="auto"/>
            <w:noWrap/>
            <w:vAlign w:val="bottom"/>
            <w:hideMark/>
          </w:tcPr>
          <w:p w:rsidR="00B72FA3" w:rsidRPr="00E10CE8" w:rsidRDefault="00B72FA3" w:rsidP="0072676B">
            <w:pPr>
              <w:adjustRightInd w:val="0"/>
              <w:spacing w:before="0" w:after="0"/>
              <w:ind w:firstLine="0"/>
              <w:rPr>
                <w:rFonts w:ascii="Calibri" w:hAnsi="Calibri" w:cs="Calibri"/>
                <w:color w:val="000000"/>
                <w:sz w:val="18"/>
                <w:szCs w:val="20"/>
                <w:lang w:eastAsia="zh-CN"/>
              </w:rPr>
            </w:pPr>
          </w:p>
        </w:tc>
      </w:tr>
      <w:tr w:rsidR="00B72FA3" w:rsidRPr="00B70AA3" w:rsidTr="00B72FA3">
        <w:trPr>
          <w:trHeight w:val="165"/>
        </w:trPr>
        <w:tc>
          <w:tcPr>
            <w:tcW w:w="0" w:type="auto"/>
            <w:tcBorders>
              <w:top w:val="nil"/>
              <w:left w:val="nil"/>
              <w:bottom w:val="nil"/>
              <w:right w:val="nil"/>
            </w:tcBorders>
            <w:shd w:val="clear" w:color="auto" w:fill="auto"/>
            <w:noWrap/>
            <w:vAlign w:val="center"/>
            <w:hideMark/>
          </w:tcPr>
          <w:p w:rsidR="00B72FA3" w:rsidRPr="00B70AA3" w:rsidRDefault="00B72FA3" w:rsidP="008640E9">
            <w:pPr>
              <w:adjustRightInd w:val="0"/>
              <w:spacing w:before="0" w:after="0"/>
              <w:jc w:val="right"/>
              <w:rPr>
                <w:color w:val="000000"/>
                <w:sz w:val="20"/>
                <w:szCs w:val="20"/>
                <w:lang w:eastAsia="zh-CN"/>
              </w:rPr>
            </w:pPr>
          </w:p>
        </w:tc>
        <w:tc>
          <w:tcPr>
            <w:tcW w:w="0" w:type="auto"/>
            <w:gridSpan w:val="5"/>
            <w:tcBorders>
              <w:top w:val="nil"/>
              <w:left w:val="nil"/>
              <w:bottom w:val="nil"/>
              <w:right w:val="nil"/>
            </w:tcBorders>
            <w:shd w:val="clear" w:color="auto" w:fill="auto"/>
            <w:vAlign w:val="center"/>
            <w:hideMark/>
          </w:tcPr>
          <w:p w:rsidR="00B72FA3" w:rsidRPr="00E10CE8" w:rsidRDefault="00B72FA3" w:rsidP="0072676B">
            <w:pPr>
              <w:adjustRightInd w:val="0"/>
              <w:spacing w:before="0" w:after="0"/>
              <w:ind w:firstLine="0"/>
              <w:rPr>
                <w:color w:val="000000"/>
                <w:sz w:val="18"/>
                <w:szCs w:val="20"/>
                <w:lang w:eastAsia="zh-CN"/>
              </w:rPr>
            </w:pPr>
            <w:r w:rsidRPr="00E10CE8">
              <w:rPr>
                <w:color w:val="000000"/>
                <w:sz w:val="18"/>
                <w:szCs w:val="20"/>
              </w:rPr>
              <w:t xml:space="preserve">5/ </w:t>
            </w:r>
            <w:r w:rsidRPr="00E10CE8">
              <w:rPr>
                <w:rFonts w:hint="eastAsia"/>
                <w:color w:val="000000"/>
                <w:sz w:val="18"/>
                <w:szCs w:val="20"/>
                <w:lang w:eastAsia="zh-CN"/>
              </w:rPr>
              <w:t>指示性</w:t>
            </w:r>
          </w:p>
        </w:tc>
      </w:tr>
    </w:tbl>
    <w:p w:rsidR="00B72FA3" w:rsidRDefault="00B72FA3" w:rsidP="00B72FA3">
      <w:pPr>
        <w:shd w:val="clear" w:color="auto" w:fill="FFFFFF" w:themeFill="background1"/>
        <w:tabs>
          <w:tab w:val="left" w:pos="1440"/>
        </w:tabs>
        <w:adjustRightInd w:val="0"/>
        <w:snapToGrid w:val="0"/>
        <w:rPr>
          <w:b/>
          <w:bCs/>
          <w:iCs/>
          <w:color w:val="000000"/>
          <w:kern w:val="18"/>
          <w:lang w:val="de-CH" w:eastAsia="zh-CN"/>
        </w:rPr>
      </w:pPr>
    </w:p>
    <w:p w:rsidR="00B72FA3" w:rsidRDefault="00B72FA3">
      <w:pPr>
        <w:rPr>
          <w:b/>
          <w:bCs/>
          <w:iCs/>
          <w:color w:val="000000"/>
          <w:kern w:val="18"/>
          <w:lang w:val="de-CH" w:eastAsia="zh-CN"/>
        </w:rPr>
      </w:pPr>
      <w:r>
        <w:rPr>
          <w:b/>
          <w:bCs/>
          <w:iCs/>
          <w:color w:val="000000"/>
          <w:kern w:val="18"/>
          <w:lang w:val="de-CH" w:eastAsia="zh-CN"/>
        </w:rPr>
        <w:br w:type="page"/>
      </w:r>
    </w:p>
    <w:p w:rsidR="00B72FA3" w:rsidRPr="00421205" w:rsidRDefault="00B72FA3" w:rsidP="00B72FA3">
      <w:pPr>
        <w:shd w:val="clear" w:color="auto" w:fill="FFFFFF" w:themeFill="background1"/>
        <w:tabs>
          <w:tab w:val="left" w:pos="1440"/>
        </w:tabs>
        <w:adjustRightInd w:val="0"/>
        <w:snapToGrid w:val="0"/>
        <w:jc w:val="center"/>
        <w:rPr>
          <w:b/>
          <w:bCs/>
          <w:iCs/>
          <w:color w:val="000000"/>
          <w:kern w:val="18"/>
          <w:lang w:val="de-CH" w:eastAsia="zh-CN"/>
        </w:rPr>
      </w:pPr>
      <w:r w:rsidRPr="00421205">
        <w:rPr>
          <w:rFonts w:hint="eastAsia"/>
          <w:b/>
          <w:bCs/>
          <w:iCs/>
          <w:color w:val="000000"/>
          <w:kern w:val="18"/>
          <w:lang w:val="de-CH" w:eastAsia="zh-CN"/>
        </w:rPr>
        <w:lastRenderedPageBreak/>
        <w:t>表</w:t>
      </w:r>
      <w:r>
        <w:rPr>
          <w:b/>
          <w:bCs/>
          <w:iCs/>
          <w:color w:val="000000"/>
          <w:kern w:val="18"/>
          <w:lang w:val="de-CH" w:eastAsia="zh-CN"/>
        </w:rPr>
        <w:t xml:space="preserve">2.  </w:t>
      </w:r>
      <w:r w:rsidRPr="00421205">
        <w:rPr>
          <w:rFonts w:hint="eastAsia"/>
          <w:b/>
          <w:bCs/>
          <w:iCs/>
          <w:color w:val="000000"/>
          <w:kern w:val="18"/>
          <w:lang w:val="en-GB" w:eastAsia="zh-CN"/>
        </w:rPr>
        <w:t>由《</w:t>
      </w:r>
      <w:r w:rsidRPr="00421205">
        <w:rPr>
          <w:b/>
          <w:bCs/>
          <w:iCs/>
          <w:color w:val="000000"/>
          <w:kern w:val="18"/>
          <w:lang w:val="en-GB" w:eastAsia="zh-CN"/>
        </w:rPr>
        <w:t>公约</w:t>
      </w:r>
      <w:r w:rsidRPr="00421205">
        <w:rPr>
          <w:rFonts w:hint="eastAsia"/>
          <w:b/>
          <w:bCs/>
          <w:iCs/>
          <w:color w:val="000000"/>
          <w:kern w:val="18"/>
          <w:lang w:val="en-GB" w:eastAsia="zh-CN"/>
        </w:rPr>
        <w:t>》</w:t>
      </w:r>
      <w:r w:rsidRPr="00421205">
        <w:rPr>
          <w:b/>
          <w:bCs/>
          <w:iCs/>
          <w:color w:val="000000"/>
          <w:kern w:val="18"/>
          <w:lang w:val="en-GB" w:eastAsia="zh-CN"/>
        </w:rPr>
        <w:t>及其《议定书</w:t>
      </w:r>
      <w:r w:rsidRPr="00421205">
        <w:rPr>
          <w:rFonts w:hint="eastAsia"/>
          <w:b/>
          <w:bCs/>
          <w:iCs/>
          <w:color w:val="000000"/>
          <w:kern w:val="18"/>
          <w:lang w:val="en-GB" w:eastAsia="zh-CN"/>
        </w:rPr>
        <w:t>》</w:t>
      </w:r>
      <w:r w:rsidRPr="00421205">
        <w:rPr>
          <w:b/>
          <w:bCs/>
          <w:iCs/>
          <w:color w:val="000000"/>
          <w:kern w:val="18"/>
          <w:lang w:val="en-GB" w:eastAsia="zh-CN"/>
        </w:rPr>
        <w:t>核心预算出资的秘书处所需人员编制</w:t>
      </w:r>
      <w:r w:rsidRPr="00421205">
        <w:rPr>
          <w:rFonts w:hint="eastAsia"/>
          <w:b/>
          <w:bCs/>
          <w:iCs/>
          <w:color w:val="000000"/>
          <w:kern w:val="18"/>
          <w:lang w:val="de-CH" w:eastAsia="zh-CN"/>
        </w:rPr>
        <w:t>，</w:t>
      </w:r>
      <w:r w:rsidRPr="00421205">
        <w:rPr>
          <w:b/>
          <w:bCs/>
          <w:iCs/>
          <w:color w:val="000000"/>
          <w:kern w:val="18"/>
          <w:lang w:val="de-CH" w:eastAsia="zh-CN"/>
        </w:rPr>
        <w:t>2019-2020</w:t>
      </w:r>
      <w:r w:rsidRPr="00421205">
        <w:rPr>
          <w:rFonts w:hint="eastAsia"/>
          <w:b/>
          <w:bCs/>
          <w:iCs/>
          <w:color w:val="000000"/>
          <w:kern w:val="18"/>
          <w:lang w:val="de-CH" w:eastAsia="zh-CN"/>
        </w:rPr>
        <w:t>年</w:t>
      </w:r>
    </w:p>
    <w:tbl>
      <w:tblPr>
        <w:tblW w:w="5580" w:type="dxa"/>
        <w:jc w:val="center"/>
        <w:tblLayout w:type="fixed"/>
        <w:tblLook w:val="04A0"/>
      </w:tblPr>
      <w:tblGrid>
        <w:gridCol w:w="2800"/>
        <w:gridCol w:w="1160"/>
        <w:gridCol w:w="90"/>
        <w:gridCol w:w="1443"/>
        <w:gridCol w:w="87"/>
      </w:tblGrid>
      <w:tr w:rsidR="00B72FA3" w:rsidRPr="0091705C" w:rsidTr="00162864">
        <w:trPr>
          <w:gridAfter w:val="1"/>
          <w:wAfter w:w="87" w:type="dxa"/>
          <w:trHeight w:val="288"/>
          <w:jc w:val="center"/>
        </w:trPr>
        <w:tc>
          <w:tcPr>
            <w:tcW w:w="2800" w:type="dxa"/>
            <w:tcBorders>
              <w:top w:val="nil"/>
              <w:left w:val="nil"/>
              <w:bottom w:val="single" w:sz="4" w:space="0" w:color="auto"/>
              <w:right w:val="nil"/>
            </w:tcBorders>
            <w:shd w:val="clear" w:color="auto" w:fill="auto"/>
            <w:vAlign w:val="center"/>
            <w:hideMark/>
          </w:tcPr>
          <w:p w:rsidR="00B72FA3" w:rsidRPr="0091705C" w:rsidRDefault="00B72FA3" w:rsidP="00B72FA3">
            <w:pPr>
              <w:adjustRightInd w:val="0"/>
              <w:contextualSpacing/>
              <w:jc w:val="center"/>
              <w:rPr>
                <w:i/>
                <w:iCs/>
                <w:color w:val="000000"/>
                <w:szCs w:val="20"/>
                <w:lang w:val="de-CH" w:eastAsia="zh-CN"/>
              </w:rPr>
            </w:pPr>
          </w:p>
        </w:tc>
        <w:tc>
          <w:tcPr>
            <w:tcW w:w="1160" w:type="dxa"/>
            <w:tcBorders>
              <w:top w:val="nil"/>
              <w:left w:val="nil"/>
              <w:bottom w:val="single" w:sz="4" w:space="0" w:color="auto"/>
              <w:right w:val="nil"/>
            </w:tcBorders>
            <w:shd w:val="clear" w:color="auto" w:fill="auto"/>
            <w:vAlign w:val="center"/>
            <w:hideMark/>
          </w:tcPr>
          <w:p w:rsidR="00B72FA3" w:rsidRPr="0091705C" w:rsidRDefault="00B72FA3" w:rsidP="00B72FA3">
            <w:pPr>
              <w:adjustRightInd w:val="0"/>
              <w:contextualSpacing/>
              <w:rPr>
                <w:szCs w:val="20"/>
                <w:lang w:val="de-CH" w:eastAsia="zh-CN"/>
              </w:rPr>
            </w:pPr>
          </w:p>
        </w:tc>
        <w:tc>
          <w:tcPr>
            <w:tcW w:w="1533" w:type="dxa"/>
            <w:gridSpan w:val="2"/>
            <w:tcBorders>
              <w:top w:val="nil"/>
              <w:left w:val="nil"/>
              <w:bottom w:val="single" w:sz="4" w:space="0" w:color="auto"/>
              <w:right w:val="nil"/>
            </w:tcBorders>
            <w:shd w:val="clear" w:color="auto" w:fill="auto"/>
            <w:vAlign w:val="center"/>
            <w:hideMark/>
          </w:tcPr>
          <w:p w:rsidR="00B72FA3" w:rsidRPr="0091705C" w:rsidRDefault="00B72FA3" w:rsidP="00B72FA3">
            <w:pPr>
              <w:adjustRightInd w:val="0"/>
              <w:contextualSpacing/>
              <w:jc w:val="right"/>
              <w:rPr>
                <w:i/>
                <w:iCs/>
                <w:color w:val="000000"/>
                <w:szCs w:val="20"/>
                <w:lang w:val="de-CH" w:eastAsia="zh-CN"/>
              </w:rPr>
            </w:pPr>
            <w:r w:rsidRPr="0091705C">
              <w:rPr>
                <w:i/>
                <w:iCs/>
                <w:color w:val="000000"/>
                <w:sz w:val="22"/>
                <w:szCs w:val="20"/>
                <w:lang w:val="de-CH" w:eastAsia="zh-CN"/>
              </w:rPr>
              <w:t> </w:t>
            </w:r>
          </w:p>
        </w:tc>
      </w:tr>
      <w:tr w:rsidR="00B72FA3" w:rsidRPr="007D2CEA" w:rsidTr="00162864">
        <w:trPr>
          <w:trHeight w:val="300"/>
          <w:jc w:val="center"/>
        </w:trPr>
        <w:tc>
          <w:tcPr>
            <w:tcW w:w="2800" w:type="dxa"/>
            <w:tcBorders>
              <w:top w:val="single" w:sz="4" w:space="0" w:color="auto"/>
              <w:left w:val="nil"/>
              <w:bottom w:val="single" w:sz="8" w:space="0" w:color="auto"/>
              <w:right w:val="nil"/>
            </w:tcBorders>
            <w:shd w:val="clear" w:color="auto" w:fill="auto"/>
            <w:vAlign w:val="center"/>
            <w:hideMark/>
          </w:tcPr>
          <w:p w:rsidR="00B72FA3" w:rsidRPr="0091705C" w:rsidRDefault="00B72FA3" w:rsidP="00B72FA3">
            <w:pPr>
              <w:adjustRightInd w:val="0"/>
              <w:contextualSpacing/>
              <w:rPr>
                <w:i/>
                <w:iCs/>
                <w:color w:val="000000"/>
                <w:szCs w:val="20"/>
                <w:lang w:val="de-CH" w:eastAsia="zh-CN"/>
              </w:rPr>
            </w:pPr>
            <w:r w:rsidRPr="0091705C">
              <w:rPr>
                <w:i/>
                <w:iCs/>
                <w:color w:val="000000"/>
                <w:sz w:val="22"/>
                <w:szCs w:val="20"/>
                <w:lang w:val="de-CH" w:eastAsia="zh-CN"/>
              </w:rPr>
              <w:t> </w:t>
            </w:r>
          </w:p>
        </w:tc>
        <w:tc>
          <w:tcPr>
            <w:tcW w:w="1250" w:type="dxa"/>
            <w:gridSpan w:val="2"/>
            <w:tcBorders>
              <w:top w:val="single" w:sz="4" w:space="0" w:color="auto"/>
              <w:left w:val="nil"/>
              <w:bottom w:val="single" w:sz="8" w:space="0" w:color="auto"/>
              <w:right w:val="nil"/>
            </w:tcBorders>
            <w:shd w:val="clear" w:color="auto" w:fill="auto"/>
            <w:vAlign w:val="center"/>
            <w:hideMark/>
          </w:tcPr>
          <w:p w:rsidR="00B72FA3" w:rsidRPr="00457CF2" w:rsidRDefault="00B72FA3" w:rsidP="00162864">
            <w:pPr>
              <w:adjustRightInd w:val="0"/>
              <w:ind w:right="231" w:firstLine="62"/>
              <w:contextualSpacing/>
              <w:jc w:val="right"/>
              <w:rPr>
                <w:rFonts w:ascii="KaiTi" w:eastAsia="KaiTi" w:hAnsi="KaiTi"/>
                <w:color w:val="000000"/>
                <w:szCs w:val="20"/>
                <w:lang w:eastAsia="zh-CN"/>
              </w:rPr>
            </w:pPr>
            <w:r w:rsidRPr="00457CF2">
              <w:rPr>
                <w:rFonts w:ascii="KaiTi" w:eastAsia="KaiTi" w:hAnsi="KaiTi"/>
                <w:color w:val="000000"/>
                <w:sz w:val="22"/>
                <w:szCs w:val="20"/>
              </w:rPr>
              <w:t>2019</w:t>
            </w:r>
            <w:r w:rsidR="00162864">
              <w:rPr>
                <w:rFonts w:ascii="KaiTi" w:eastAsia="KaiTi" w:hAnsi="KaiTi" w:hint="eastAsia"/>
                <w:color w:val="000000"/>
                <w:sz w:val="22"/>
                <w:szCs w:val="20"/>
                <w:lang w:eastAsia="zh-CN"/>
              </w:rPr>
              <w:t>年</w:t>
            </w:r>
          </w:p>
        </w:tc>
        <w:tc>
          <w:tcPr>
            <w:tcW w:w="1530" w:type="dxa"/>
            <w:gridSpan w:val="2"/>
            <w:tcBorders>
              <w:top w:val="single" w:sz="4" w:space="0" w:color="auto"/>
              <w:left w:val="nil"/>
              <w:bottom w:val="single" w:sz="8" w:space="0" w:color="auto"/>
              <w:right w:val="nil"/>
            </w:tcBorders>
            <w:shd w:val="clear" w:color="auto" w:fill="auto"/>
            <w:vAlign w:val="center"/>
            <w:hideMark/>
          </w:tcPr>
          <w:p w:rsidR="00B72FA3" w:rsidRPr="00457CF2" w:rsidRDefault="00B72FA3" w:rsidP="00162864">
            <w:pPr>
              <w:adjustRightInd w:val="0"/>
              <w:ind w:firstLine="342"/>
              <w:contextualSpacing/>
              <w:jc w:val="center"/>
              <w:rPr>
                <w:rFonts w:ascii="KaiTi" w:eastAsia="KaiTi" w:hAnsi="KaiTi"/>
                <w:color w:val="000000"/>
                <w:szCs w:val="20"/>
                <w:lang w:eastAsia="zh-CN"/>
              </w:rPr>
            </w:pPr>
            <w:r w:rsidRPr="00457CF2">
              <w:rPr>
                <w:rFonts w:ascii="KaiTi" w:eastAsia="KaiTi" w:hAnsi="KaiTi"/>
                <w:color w:val="000000"/>
                <w:sz w:val="22"/>
                <w:szCs w:val="20"/>
              </w:rPr>
              <w:t>2020</w:t>
            </w:r>
            <w:r w:rsidRPr="00457CF2">
              <w:rPr>
                <w:rFonts w:ascii="KaiTi" w:eastAsia="KaiTi" w:hAnsi="KaiTi" w:hint="eastAsia"/>
                <w:color w:val="000000"/>
                <w:sz w:val="22"/>
                <w:szCs w:val="20"/>
                <w:lang w:eastAsia="zh-CN"/>
              </w:rPr>
              <w:t>年</w:t>
            </w:r>
          </w:p>
        </w:tc>
      </w:tr>
      <w:tr w:rsidR="00B72FA3" w:rsidRPr="007D2CEA" w:rsidTr="00162864">
        <w:trPr>
          <w:trHeight w:val="288"/>
          <w:jc w:val="center"/>
        </w:trPr>
        <w:tc>
          <w:tcPr>
            <w:tcW w:w="2800" w:type="dxa"/>
            <w:tcBorders>
              <w:top w:val="nil"/>
              <w:left w:val="nil"/>
              <w:bottom w:val="nil"/>
              <w:right w:val="nil"/>
            </w:tcBorders>
            <w:shd w:val="clear" w:color="auto" w:fill="auto"/>
            <w:noWrap/>
            <w:vAlign w:val="center"/>
            <w:hideMark/>
          </w:tcPr>
          <w:p w:rsidR="00B72FA3" w:rsidRPr="007D2CEA" w:rsidRDefault="00B72FA3" w:rsidP="00162864">
            <w:pPr>
              <w:adjustRightInd w:val="0"/>
              <w:ind w:hanging="18"/>
              <w:contextualSpacing/>
              <w:rPr>
                <w:b/>
                <w:bCs/>
                <w:color w:val="000000"/>
                <w:szCs w:val="20"/>
              </w:rPr>
            </w:pPr>
            <w:r w:rsidRPr="007D2CEA">
              <w:rPr>
                <w:rFonts w:hint="eastAsia"/>
                <w:b/>
                <w:bCs/>
                <w:color w:val="000000"/>
                <w:sz w:val="22"/>
                <w:szCs w:val="20"/>
                <w:lang w:eastAsia="zh-CN"/>
              </w:rPr>
              <w:t>专业人员和</w:t>
            </w:r>
            <w:r w:rsidRPr="007D2CEA">
              <w:rPr>
                <w:b/>
                <w:bCs/>
                <w:color w:val="000000"/>
                <w:sz w:val="22"/>
                <w:szCs w:val="20"/>
                <w:lang w:eastAsia="zh-CN"/>
              </w:rPr>
              <w:t>以上级别</w:t>
            </w:r>
          </w:p>
        </w:tc>
        <w:tc>
          <w:tcPr>
            <w:tcW w:w="1250" w:type="dxa"/>
            <w:gridSpan w:val="2"/>
            <w:tcBorders>
              <w:top w:val="nil"/>
              <w:left w:val="nil"/>
              <w:bottom w:val="nil"/>
              <w:right w:val="nil"/>
            </w:tcBorders>
            <w:shd w:val="clear" w:color="auto" w:fill="auto"/>
            <w:vAlign w:val="center"/>
            <w:hideMark/>
          </w:tcPr>
          <w:p w:rsidR="00B72FA3" w:rsidRPr="007D2CEA" w:rsidRDefault="00B72FA3" w:rsidP="00162864">
            <w:pPr>
              <w:adjustRightInd w:val="0"/>
              <w:ind w:firstLine="62"/>
              <w:contextualSpacing/>
              <w:rPr>
                <w:b/>
                <w:bCs/>
                <w:color w:val="000000"/>
                <w:szCs w:val="20"/>
              </w:rPr>
            </w:pPr>
          </w:p>
        </w:tc>
        <w:tc>
          <w:tcPr>
            <w:tcW w:w="1530" w:type="dxa"/>
            <w:gridSpan w:val="2"/>
            <w:tcBorders>
              <w:top w:val="nil"/>
              <w:left w:val="nil"/>
              <w:bottom w:val="nil"/>
              <w:right w:val="nil"/>
            </w:tcBorders>
            <w:shd w:val="clear" w:color="auto" w:fill="auto"/>
            <w:vAlign w:val="center"/>
            <w:hideMark/>
          </w:tcPr>
          <w:p w:rsidR="00B72FA3" w:rsidRPr="007D2CEA" w:rsidRDefault="00B72FA3" w:rsidP="00B72FA3">
            <w:pPr>
              <w:adjustRightInd w:val="0"/>
              <w:contextualSpacing/>
              <w:rPr>
                <w:szCs w:val="20"/>
              </w:rPr>
            </w:pPr>
          </w:p>
        </w:tc>
      </w:tr>
      <w:tr w:rsidR="00B72FA3" w:rsidRPr="007D2CEA" w:rsidTr="00162864">
        <w:trPr>
          <w:trHeight w:val="288"/>
          <w:jc w:val="center"/>
        </w:trPr>
        <w:tc>
          <w:tcPr>
            <w:tcW w:w="2800" w:type="dxa"/>
            <w:tcBorders>
              <w:top w:val="nil"/>
              <w:left w:val="nil"/>
              <w:bottom w:val="nil"/>
              <w:right w:val="nil"/>
            </w:tcBorders>
            <w:shd w:val="clear" w:color="auto" w:fill="auto"/>
            <w:vAlign w:val="center"/>
            <w:hideMark/>
          </w:tcPr>
          <w:p w:rsidR="00B72FA3" w:rsidRPr="007D2CEA" w:rsidRDefault="00B72FA3" w:rsidP="00162864">
            <w:pPr>
              <w:adjustRightInd w:val="0"/>
              <w:ind w:hanging="18"/>
              <w:contextualSpacing/>
              <w:rPr>
                <w:color w:val="000000"/>
                <w:szCs w:val="20"/>
              </w:rPr>
            </w:pPr>
            <w:r w:rsidRPr="007D2CEA">
              <w:rPr>
                <w:rFonts w:hint="eastAsia"/>
                <w:color w:val="000000"/>
                <w:sz w:val="22"/>
                <w:szCs w:val="20"/>
                <w:lang w:eastAsia="zh-CN"/>
              </w:rPr>
              <w:t>助理秘书长</w:t>
            </w:r>
          </w:p>
        </w:tc>
        <w:tc>
          <w:tcPr>
            <w:tcW w:w="1250" w:type="dxa"/>
            <w:gridSpan w:val="2"/>
            <w:tcBorders>
              <w:top w:val="nil"/>
              <w:left w:val="nil"/>
              <w:bottom w:val="nil"/>
              <w:right w:val="nil"/>
            </w:tcBorders>
            <w:shd w:val="clear" w:color="auto" w:fill="auto"/>
            <w:vAlign w:val="center"/>
            <w:hideMark/>
          </w:tcPr>
          <w:p w:rsidR="00B72FA3" w:rsidRPr="007D2CEA" w:rsidRDefault="00B72FA3" w:rsidP="00162864">
            <w:pPr>
              <w:adjustRightInd w:val="0"/>
              <w:ind w:firstLine="62"/>
              <w:contextualSpacing/>
              <w:jc w:val="right"/>
              <w:rPr>
                <w:color w:val="000000"/>
                <w:szCs w:val="20"/>
              </w:rPr>
            </w:pPr>
            <w:r w:rsidRPr="007D2CEA">
              <w:rPr>
                <w:color w:val="000000"/>
                <w:sz w:val="22"/>
                <w:szCs w:val="20"/>
              </w:rPr>
              <w:t>1</w:t>
            </w:r>
          </w:p>
        </w:tc>
        <w:tc>
          <w:tcPr>
            <w:tcW w:w="1530" w:type="dxa"/>
            <w:gridSpan w:val="2"/>
            <w:tcBorders>
              <w:top w:val="nil"/>
              <w:left w:val="nil"/>
              <w:bottom w:val="nil"/>
              <w:right w:val="nil"/>
            </w:tcBorders>
            <w:shd w:val="clear" w:color="auto" w:fill="auto"/>
            <w:vAlign w:val="center"/>
            <w:hideMark/>
          </w:tcPr>
          <w:p w:rsidR="00B72FA3" w:rsidRPr="007D2CEA" w:rsidRDefault="00B72FA3" w:rsidP="00B72FA3">
            <w:pPr>
              <w:adjustRightInd w:val="0"/>
              <w:contextualSpacing/>
              <w:jc w:val="right"/>
              <w:rPr>
                <w:color w:val="000000"/>
                <w:szCs w:val="20"/>
              </w:rPr>
            </w:pPr>
            <w:r w:rsidRPr="007D2CEA">
              <w:rPr>
                <w:color w:val="000000"/>
                <w:sz w:val="22"/>
                <w:szCs w:val="20"/>
              </w:rPr>
              <w:t>1</w:t>
            </w:r>
          </w:p>
        </w:tc>
      </w:tr>
      <w:tr w:rsidR="00B72FA3" w:rsidRPr="007D2CEA" w:rsidTr="00162864">
        <w:trPr>
          <w:trHeight w:val="288"/>
          <w:jc w:val="center"/>
        </w:trPr>
        <w:tc>
          <w:tcPr>
            <w:tcW w:w="2800" w:type="dxa"/>
            <w:tcBorders>
              <w:top w:val="nil"/>
              <w:left w:val="nil"/>
              <w:bottom w:val="nil"/>
              <w:right w:val="nil"/>
            </w:tcBorders>
            <w:shd w:val="clear" w:color="auto" w:fill="auto"/>
            <w:vAlign w:val="center"/>
            <w:hideMark/>
          </w:tcPr>
          <w:p w:rsidR="00B72FA3" w:rsidRPr="007D2CEA" w:rsidRDefault="00B72FA3" w:rsidP="00162864">
            <w:pPr>
              <w:adjustRightInd w:val="0"/>
              <w:ind w:hanging="18"/>
              <w:contextualSpacing/>
              <w:rPr>
                <w:color w:val="000000"/>
                <w:szCs w:val="20"/>
              </w:rPr>
            </w:pPr>
            <w:r w:rsidRPr="007D2CEA">
              <w:rPr>
                <w:color w:val="000000"/>
                <w:sz w:val="22"/>
                <w:szCs w:val="20"/>
              </w:rPr>
              <w:t>D-2</w:t>
            </w:r>
          </w:p>
        </w:tc>
        <w:tc>
          <w:tcPr>
            <w:tcW w:w="1250" w:type="dxa"/>
            <w:gridSpan w:val="2"/>
            <w:tcBorders>
              <w:top w:val="nil"/>
              <w:left w:val="nil"/>
              <w:bottom w:val="nil"/>
              <w:right w:val="nil"/>
            </w:tcBorders>
            <w:shd w:val="clear" w:color="auto" w:fill="auto"/>
            <w:vAlign w:val="center"/>
            <w:hideMark/>
          </w:tcPr>
          <w:p w:rsidR="00B72FA3" w:rsidRPr="007D2CEA" w:rsidRDefault="00B72FA3" w:rsidP="00162864">
            <w:pPr>
              <w:adjustRightInd w:val="0"/>
              <w:ind w:firstLine="62"/>
              <w:contextualSpacing/>
              <w:jc w:val="right"/>
              <w:rPr>
                <w:color w:val="000000"/>
                <w:szCs w:val="20"/>
              </w:rPr>
            </w:pPr>
            <w:r w:rsidRPr="007D2CEA">
              <w:rPr>
                <w:color w:val="000000"/>
                <w:sz w:val="22"/>
                <w:szCs w:val="20"/>
              </w:rPr>
              <w:t>–</w:t>
            </w:r>
          </w:p>
        </w:tc>
        <w:tc>
          <w:tcPr>
            <w:tcW w:w="1530" w:type="dxa"/>
            <w:gridSpan w:val="2"/>
            <w:tcBorders>
              <w:top w:val="nil"/>
              <w:left w:val="nil"/>
              <w:bottom w:val="nil"/>
              <w:right w:val="nil"/>
            </w:tcBorders>
            <w:shd w:val="clear" w:color="auto" w:fill="auto"/>
            <w:vAlign w:val="center"/>
            <w:hideMark/>
          </w:tcPr>
          <w:p w:rsidR="00B72FA3" w:rsidRPr="007D2CEA" w:rsidRDefault="00B72FA3" w:rsidP="00B72FA3">
            <w:pPr>
              <w:adjustRightInd w:val="0"/>
              <w:contextualSpacing/>
              <w:jc w:val="right"/>
              <w:rPr>
                <w:color w:val="000000"/>
                <w:szCs w:val="20"/>
              </w:rPr>
            </w:pPr>
            <w:r w:rsidRPr="007D2CEA">
              <w:rPr>
                <w:color w:val="000000"/>
                <w:sz w:val="22"/>
                <w:szCs w:val="20"/>
              </w:rPr>
              <w:t>–</w:t>
            </w:r>
          </w:p>
        </w:tc>
      </w:tr>
      <w:tr w:rsidR="00B72FA3" w:rsidRPr="007D2CEA" w:rsidTr="00162864">
        <w:trPr>
          <w:trHeight w:val="288"/>
          <w:jc w:val="center"/>
        </w:trPr>
        <w:tc>
          <w:tcPr>
            <w:tcW w:w="2800" w:type="dxa"/>
            <w:tcBorders>
              <w:top w:val="nil"/>
              <w:left w:val="nil"/>
              <w:bottom w:val="nil"/>
              <w:right w:val="nil"/>
            </w:tcBorders>
            <w:shd w:val="clear" w:color="auto" w:fill="auto"/>
            <w:vAlign w:val="center"/>
            <w:hideMark/>
          </w:tcPr>
          <w:p w:rsidR="00B72FA3" w:rsidRPr="007D2CEA" w:rsidRDefault="00B72FA3" w:rsidP="00162864">
            <w:pPr>
              <w:adjustRightInd w:val="0"/>
              <w:ind w:hanging="18"/>
              <w:contextualSpacing/>
              <w:rPr>
                <w:color w:val="000000"/>
                <w:szCs w:val="20"/>
              </w:rPr>
            </w:pPr>
            <w:r w:rsidRPr="007D2CEA">
              <w:rPr>
                <w:color w:val="000000"/>
                <w:sz w:val="22"/>
                <w:szCs w:val="20"/>
              </w:rPr>
              <w:t>D-1</w:t>
            </w:r>
          </w:p>
        </w:tc>
        <w:tc>
          <w:tcPr>
            <w:tcW w:w="1250" w:type="dxa"/>
            <w:gridSpan w:val="2"/>
            <w:tcBorders>
              <w:top w:val="nil"/>
              <w:left w:val="nil"/>
              <w:bottom w:val="nil"/>
              <w:right w:val="nil"/>
            </w:tcBorders>
            <w:shd w:val="clear" w:color="auto" w:fill="auto"/>
            <w:vAlign w:val="center"/>
            <w:hideMark/>
          </w:tcPr>
          <w:p w:rsidR="00B72FA3" w:rsidRPr="007D2CEA" w:rsidRDefault="00B72FA3" w:rsidP="00162864">
            <w:pPr>
              <w:adjustRightInd w:val="0"/>
              <w:ind w:firstLine="62"/>
              <w:contextualSpacing/>
              <w:jc w:val="right"/>
              <w:rPr>
                <w:color w:val="000000"/>
                <w:szCs w:val="20"/>
              </w:rPr>
            </w:pPr>
            <w:r w:rsidRPr="007D2CEA">
              <w:rPr>
                <w:color w:val="000000"/>
                <w:sz w:val="22"/>
                <w:szCs w:val="20"/>
              </w:rPr>
              <w:t>3</w:t>
            </w:r>
          </w:p>
        </w:tc>
        <w:tc>
          <w:tcPr>
            <w:tcW w:w="1530" w:type="dxa"/>
            <w:gridSpan w:val="2"/>
            <w:tcBorders>
              <w:top w:val="nil"/>
              <w:left w:val="nil"/>
              <w:bottom w:val="nil"/>
              <w:right w:val="nil"/>
            </w:tcBorders>
            <w:shd w:val="clear" w:color="auto" w:fill="auto"/>
            <w:vAlign w:val="center"/>
            <w:hideMark/>
          </w:tcPr>
          <w:p w:rsidR="00B72FA3" w:rsidRPr="007D2CEA" w:rsidRDefault="00B72FA3" w:rsidP="00B72FA3">
            <w:pPr>
              <w:adjustRightInd w:val="0"/>
              <w:contextualSpacing/>
              <w:jc w:val="right"/>
              <w:rPr>
                <w:color w:val="000000"/>
                <w:szCs w:val="20"/>
              </w:rPr>
            </w:pPr>
            <w:r w:rsidRPr="007D2CEA">
              <w:rPr>
                <w:color w:val="000000"/>
                <w:sz w:val="22"/>
                <w:szCs w:val="20"/>
              </w:rPr>
              <w:t>3</w:t>
            </w:r>
          </w:p>
        </w:tc>
      </w:tr>
      <w:tr w:rsidR="00B72FA3" w:rsidRPr="007D2CEA" w:rsidTr="00162864">
        <w:trPr>
          <w:trHeight w:val="288"/>
          <w:jc w:val="center"/>
        </w:trPr>
        <w:tc>
          <w:tcPr>
            <w:tcW w:w="2800" w:type="dxa"/>
            <w:tcBorders>
              <w:top w:val="nil"/>
              <w:left w:val="nil"/>
              <w:bottom w:val="nil"/>
              <w:right w:val="nil"/>
            </w:tcBorders>
            <w:shd w:val="clear" w:color="auto" w:fill="auto"/>
            <w:vAlign w:val="center"/>
            <w:hideMark/>
          </w:tcPr>
          <w:p w:rsidR="00B72FA3" w:rsidRPr="007D2CEA" w:rsidRDefault="00B72FA3" w:rsidP="00162864">
            <w:pPr>
              <w:adjustRightInd w:val="0"/>
              <w:ind w:hanging="18"/>
              <w:contextualSpacing/>
              <w:rPr>
                <w:color w:val="000000"/>
                <w:szCs w:val="20"/>
              </w:rPr>
            </w:pPr>
            <w:r w:rsidRPr="007D2CEA">
              <w:rPr>
                <w:color w:val="000000"/>
                <w:sz w:val="22"/>
                <w:szCs w:val="20"/>
              </w:rPr>
              <w:t>P-5</w:t>
            </w:r>
          </w:p>
        </w:tc>
        <w:tc>
          <w:tcPr>
            <w:tcW w:w="1250" w:type="dxa"/>
            <w:gridSpan w:val="2"/>
            <w:tcBorders>
              <w:top w:val="nil"/>
              <w:left w:val="nil"/>
              <w:bottom w:val="nil"/>
              <w:right w:val="nil"/>
            </w:tcBorders>
            <w:shd w:val="clear" w:color="auto" w:fill="auto"/>
            <w:vAlign w:val="center"/>
            <w:hideMark/>
          </w:tcPr>
          <w:p w:rsidR="00B72FA3" w:rsidRPr="007D2CEA" w:rsidRDefault="00B72FA3" w:rsidP="00162864">
            <w:pPr>
              <w:adjustRightInd w:val="0"/>
              <w:ind w:firstLine="62"/>
              <w:contextualSpacing/>
              <w:jc w:val="right"/>
              <w:rPr>
                <w:color w:val="000000"/>
                <w:szCs w:val="20"/>
              </w:rPr>
            </w:pPr>
            <w:r w:rsidRPr="007D2CEA">
              <w:rPr>
                <w:color w:val="000000"/>
                <w:sz w:val="22"/>
                <w:szCs w:val="20"/>
              </w:rPr>
              <w:t>10</w:t>
            </w:r>
          </w:p>
        </w:tc>
        <w:tc>
          <w:tcPr>
            <w:tcW w:w="1530" w:type="dxa"/>
            <w:gridSpan w:val="2"/>
            <w:tcBorders>
              <w:top w:val="nil"/>
              <w:left w:val="nil"/>
              <w:bottom w:val="nil"/>
              <w:right w:val="nil"/>
            </w:tcBorders>
            <w:shd w:val="clear" w:color="auto" w:fill="auto"/>
            <w:vAlign w:val="center"/>
            <w:hideMark/>
          </w:tcPr>
          <w:p w:rsidR="00B72FA3" w:rsidRPr="007D2CEA" w:rsidRDefault="00B72FA3" w:rsidP="00B72FA3">
            <w:pPr>
              <w:adjustRightInd w:val="0"/>
              <w:contextualSpacing/>
              <w:jc w:val="right"/>
              <w:rPr>
                <w:color w:val="000000"/>
                <w:szCs w:val="20"/>
              </w:rPr>
            </w:pPr>
            <w:r w:rsidRPr="007D2CEA">
              <w:rPr>
                <w:color w:val="000000"/>
                <w:sz w:val="22"/>
                <w:szCs w:val="20"/>
              </w:rPr>
              <w:t>10</w:t>
            </w:r>
          </w:p>
        </w:tc>
      </w:tr>
      <w:tr w:rsidR="00B72FA3" w:rsidRPr="007D2CEA" w:rsidTr="00162864">
        <w:trPr>
          <w:trHeight w:val="288"/>
          <w:jc w:val="center"/>
        </w:trPr>
        <w:tc>
          <w:tcPr>
            <w:tcW w:w="2800" w:type="dxa"/>
            <w:tcBorders>
              <w:top w:val="nil"/>
              <w:left w:val="nil"/>
              <w:bottom w:val="nil"/>
              <w:right w:val="nil"/>
            </w:tcBorders>
            <w:shd w:val="clear" w:color="auto" w:fill="auto"/>
            <w:vAlign w:val="center"/>
            <w:hideMark/>
          </w:tcPr>
          <w:p w:rsidR="00B72FA3" w:rsidRPr="007D2CEA" w:rsidRDefault="00B72FA3" w:rsidP="00162864">
            <w:pPr>
              <w:adjustRightInd w:val="0"/>
              <w:ind w:hanging="18"/>
              <w:contextualSpacing/>
              <w:rPr>
                <w:color w:val="000000"/>
                <w:szCs w:val="20"/>
              </w:rPr>
            </w:pPr>
            <w:r w:rsidRPr="007D2CEA">
              <w:rPr>
                <w:color w:val="000000"/>
                <w:sz w:val="22"/>
                <w:szCs w:val="20"/>
              </w:rPr>
              <w:t>P-4</w:t>
            </w:r>
          </w:p>
        </w:tc>
        <w:tc>
          <w:tcPr>
            <w:tcW w:w="1250" w:type="dxa"/>
            <w:gridSpan w:val="2"/>
            <w:tcBorders>
              <w:top w:val="nil"/>
              <w:left w:val="nil"/>
              <w:bottom w:val="nil"/>
              <w:right w:val="nil"/>
            </w:tcBorders>
            <w:shd w:val="clear" w:color="auto" w:fill="auto"/>
            <w:vAlign w:val="center"/>
            <w:hideMark/>
          </w:tcPr>
          <w:p w:rsidR="00B72FA3" w:rsidRPr="007D2CEA" w:rsidRDefault="00B72FA3" w:rsidP="00162864">
            <w:pPr>
              <w:adjustRightInd w:val="0"/>
              <w:ind w:firstLine="62"/>
              <w:contextualSpacing/>
              <w:jc w:val="right"/>
              <w:rPr>
                <w:color w:val="000000"/>
                <w:szCs w:val="20"/>
              </w:rPr>
            </w:pPr>
            <w:r w:rsidRPr="007D2CEA">
              <w:rPr>
                <w:color w:val="000000"/>
                <w:sz w:val="22"/>
                <w:szCs w:val="20"/>
              </w:rPr>
              <w:t>12</w:t>
            </w:r>
          </w:p>
        </w:tc>
        <w:tc>
          <w:tcPr>
            <w:tcW w:w="1530" w:type="dxa"/>
            <w:gridSpan w:val="2"/>
            <w:tcBorders>
              <w:top w:val="nil"/>
              <w:left w:val="nil"/>
              <w:bottom w:val="nil"/>
              <w:right w:val="nil"/>
            </w:tcBorders>
            <w:shd w:val="clear" w:color="auto" w:fill="auto"/>
            <w:vAlign w:val="center"/>
            <w:hideMark/>
          </w:tcPr>
          <w:p w:rsidR="00B72FA3" w:rsidRPr="007D2CEA" w:rsidRDefault="00B72FA3" w:rsidP="00B72FA3">
            <w:pPr>
              <w:adjustRightInd w:val="0"/>
              <w:contextualSpacing/>
              <w:jc w:val="right"/>
              <w:rPr>
                <w:color w:val="000000"/>
                <w:szCs w:val="20"/>
              </w:rPr>
            </w:pPr>
            <w:r w:rsidRPr="007D2CEA">
              <w:rPr>
                <w:color w:val="000000"/>
                <w:sz w:val="22"/>
                <w:szCs w:val="20"/>
              </w:rPr>
              <w:t>12</w:t>
            </w:r>
          </w:p>
        </w:tc>
      </w:tr>
      <w:tr w:rsidR="00B72FA3" w:rsidRPr="007D2CEA" w:rsidTr="00162864">
        <w:trPr>
          <w:trHeight w:val="288"/>
          <w:jc w:val="center"/>
        </w:trPr>
        <w:tc>
          <w:tcPr>
            <w:tcW w:w="2800" w:type="dxa"/>
            <w:tcBorders>
              <w:top w:val="nil"/>
              <w:left w:val="nil"/>
              <w:bottom w:val="nil"/>
              <w:right w:val="nil"/>
            </w:tcBorders>
            <w:shd w:val="clear" w:color="auto" w:fill="auto"/>
            <w:vAlign w:val="center"/>
            <w:hideMark/>
          </w:tcPr>
          <w:p w:rsidR="00B72FA3" w:rsidRPr="007D2CEA" w:rsidRDefault="00B72FA3" w:rsidP="00162864">
            <w:pPr>
              <w:adjustRightInd w:val="0"/>
              <w:ind w:hanging="18"/>
              <w:contextualSpacing/>
              <w:rPr>
                <w:color w:val="000000"/>
                <w:szCs w:val="20"/>
              </w:rPr>
            </w:pPr>
            <w:r w:rsidRPr="007D2CEA">
              <w:rPr>
                <w:color w:val="000000"/>
                <w:sz w:val="22"/>
                <w:szCs w:val="20"/>
              </w:rPr>
              <w:t>P-3</w:t>
            </w:r>
          </w:p>
        </w:tc>
        <w:tc>
          <w:tcPr>
            <w:tcW w:w="1250" w:type="dxa"/>
            <w:gridSpan w:val="2"/>
            <w:tcBorders>
              <w:top w:val="nil"/>
              <w:left w:val="nil"/>
              <w:bottom w:val="nil"/>
              <w:right w:val="nil"/>
            </w:tcBorders>
            <w:shd w:val="clear" w:color="auto" w:fill="auto"/>
            <w:vAlign w:val="center"/>
            <w:hideMark/>
          </w:tcPr>
          <w:p w:rsidR="00B72FA3" w:rsidRPr="007D2CEA" w:rsidRDefault="00B72FA3" w:rsidP="00162864">
            <w:pPr>
              <w:adjustRightInd w:val="0"/>
              <w:ind w:firstLine="62"/>
              <w:contextualSpacing/>
              <w:jc w:val="right"/>
              <w:rPr>
                <w:color w:val="000000"/>
                <w:szCs w:val="20"/>
              </w:rPr>
            </w:pPr>
            <w:r w:rsidRPr="007D2CEA">
              <w:rPr>
                <w:color w:val="000000"/>
                <w:sz w:val="22"/>
                <w:szCs w:val="20"/>
              </w:rPr>
              <w:t>14</w:t>
            </w:r>
          </w:p>
        </w:tc>
        <w:tc>
          <w:tcPr>
            <w:tcW w:w="1530" w:type="dxa"/>
            <w:gridSpan w:val="2"/>
            <w:tcBorders>
              <w:top w:val="nil"/>
              <w:left w:val="nil"/>
              <w:bottom w:val="nil"/>
              <w:right w:val="nil"/>
            </w:tcBorders>
            <w:shd w:val="clear" w:color="auto" w:fill="auto"/>
            <w:vAlign w:val="center"/>
            <w:hideMark/>
          </w:tcPr>
          <w:p w:rsidR="00B72FA3" w:rsidRPr="007D2CEA" w:rsidRDefault="00B72FA3" w:rsidP="00B72FA3">
            <w:pPr>
              <w:adjustRightInd w:val="0"/>
              <w:contextualSpacing/>
              <w:jc w:val="right"/>
              <w:rPr>
                <w:color w:val="000000"/>
                <w:szCs w:val="20"/>
              </w:rPr>
            </w:pPr>
            <w:r w:rsidRPr="007D2CEA">
              <w:rPr>
                <w:color w:val="000000"/>
                <w:sz w:val="22"/>
                <w:szCs w:val="20"/>
              </w:rPr>
              <w:t>14</w:t>
            </w:r>
          </w:p>
        </w:tc>
      </w:tr>
      <w:tr w:rsidR="00B72FA3" w:rsidRPr="007D2CEA" w:rsidTr="00162864">
        <w:trPr>
          <w:trHeight w:val="300"/>
          <w:jc w:val="center"/>
        </w:trPr>
        <w:tc>
          <w:tcPr>
            <w:tcW w:w="2800" w:type="dxa"/>
            <w:tcBorders>
              <w:top w:val="nil"/>
              <w:left w:val="nil"/>
              <w:bottom w:val="nil"/>
              <w:right w:val="nil"/>
            </w:tcBorders>
            <w:shd w:val="clear" w:color="auto" w:fill="auto"/>
            <w:vAlign w:val="center"/>
            <w:hideMark/>
          </w:tcPr>
          <w:p w:rsidR="00B72FA3" w:rsidRPr="007D2CEA" w:rsidRDefault="00B72FA3" w:rsidP="00162864">
            <w:pPr>
              <w:adjustRightInd w:val="0"/>
              <w:ind w:hanging="18"/>
              <w:contextualSpacing/>
              <w:rPr>
                <w:color w:val="000000"/>
                <w:szCs w:val="20"/>
              </w:rPr>
            </w:pPr>
            <w:r w:rsidRPr="007D2CEA">
              <w:rPr>
                <w:color w:val="000000"/>
                <w:sz w:val="22"/>
                <w:szCs w:val="20"/>
              </w:rPr>
              <w:t>P-2/1</w:t>
            </w:r>
          </w:p>
        </w:tc>
        <w:tc>
          <w:tcPr>
            <w:tcW w:w="1250" w:type="dxa"/>
            <w:gridSpan w:val="2"/>
            <w:tcBorders>
              <w:top w:val="nil"/>
              <w:left w:val="nil"/>
              <w:bottom w:val="nil"/>
              <w:right w:val="nil"/>
            </w:tcBorders>
            <w:shd w:val="clear" w:color="auto" w:fill="auto"/>
            <w:vAlign w:val="center"/>
            <w:hideMark/>
          </w:tcPr>
          <w:p w:rsidR="00B72FA3" w:rsidRPr="007D2CEA" w:rsidRDefault="00B72FA3" w:rsidP="00162864">
            <w:pPr>
              <w:adjustRightInd w:val="0"/>
              <w:ind w:firstLine="62"/>
              <w:contextualSpacing/>
              <w:jc w:val="right"/>
              <w:rPr>
                <w:color w:val="000000"/>
                <w:szCs w:val="20"/>
              </w:rPr>
            </w:pPr>
            <w:r w:rsidRPr="007D2CEA">
              <w:rPr>
                <w:color w:val="000000"/>
                <w:sz w:val="22"/>
                <w:szCs w:val="20"/>
              </w:rPr>
              <w:t>9</w:t>
            </w:r>
          </w:p>
        </w:tc>
        <w:tc>
          <w:tcPr>
            <w:tcW w:w="1530" w:type="dxa"/>
            <w:gridSpan w:val="2"/>
            <w:tcBorders>
              <w:top w:val="nil"/>
              <w:left w:val="nil"/>
              <w:bottom w:val="nil"/>
              <w:right w:val="nil"/>
            </w:tcBorders>
            <w:shd w:val="clear" w:color="auto" w:fill="auto"/>
            <w:vAlign w:val="center"/>
            <w:hideMark/>
          </w:tcPr>
          <w:p w:rsidR="00B72FA3" w:rsidRPr="007D2CEA" w:rsidRDefault="00B72FA3" w:rsidP="00B72FA3">
            <w:pPr>
              <w:adjustRightInd w:val="0"/>
              <w:contextualSpacing/>
              <w:jc w:val="right"/>
              <w:rPr>
                <w:color w:val="000000"/>
                <w:szCs w:val="20"/>
              </w:rPr>
            </w:pPr>
            <w:r w:rsidRPr="007D2CEA">
              <w:rPr>
                <w:color w:val="000000"/>
                <w:sz w:val="22"/>
                <w:szCs w:val="20"/>
              </w:rPr>
              <w:t>9</w:t>
            </w:r>
          </w:p>
        </w:tc>
      </w:tr>
      <w:tr w:rsidR="00B72FA3" w:rsidRPr="007D2CEA" w:rsidTr="00162864">
        <w:trPr>
          <w:trHeight w:val="300"/>
          <w:jc w:val="center"/>
        </w:trPr>
        <w:tc>
          <w:tcPr>
            <w:tcW w:w="2800" w:type="dxa"/>
            <w:tcBorders>
              <w:top w:val="single" w:sz="8" w:space="0" w:color="auto"/>
              <w:left w:val="nil"/>
              <w:bottom w:val="single" w:sz="8" w:space="0" w:color="auto"/>
              <w:right w:val="nil"/>
            </w:tcBorders>
            <w:shd w:val="clear" w:color="auto" w:fill="auto"/>
            <w:vAlign w:val="center"/>
            <w:hideMark/>
          </w:tcPr>
          <w:p w:rsidR="00B72FA3" w:rsidRPr="007D2CEA" w:rsidRDefault="00B72FA3" w:rsidP="00162864">
            <w:pPr>
              <w:adjustRightInd w:val="0"/>
              <w:ind w:hanging="18"/>
              <w:contextualSpacing/>
              <w:rPr>
                <w:b/>
                <w:bCs/>
                <w:color w:val="000000"/>
                <w:szCs w:val="20"/>
                <w:lang w:eastAsia="zh-CN"/>
              </w:rPr>
            </w:pPr>
            <w:r w:rsidRPr="007D2CEA">
              <w:rPr>
                <w:rFonts w:hint="eastAsia"/>
                <w:b/>
                <w:bCs/>
                <w:color w:val="000000"/>
                <w:sz w:val="22"/>
                <w:szCs w:val="20"/>
                <w:lang w:eastAsia="zh-CN"/>
              </w:rPr>
              <w:t>小计</w:t>
            </w:r>
          </w:p>
        </w:tc>
        <w:tc>
          <w:tcPr>
            <w:tcW w:w="1250" w:type="dxa"/>
            <w:gridSpan w:val="2"/>
            <w:tcBorders>
              <w:top w:val="single" w:sz="8" w:space="0" w:color="auto"/>
              <w:left w:val="nil"/>
              <w:bottom w:val="single" w:sz="8" w:space="0" w:color="auto"/>
              <w:right w:val="nil"/>
            </w:tcBorders>
            <w:shd w:val="clear" w:color="auto" w:fill="auto"/>
            <w:vAlign w:val="center"/>
            <w:hideMark/>
          </w:tcPr>
          <w:p w:rsidR="00B72FA3" w:rsidRPr="007D2CEA" w:rsidRDefault="00B72FA3" w:rsidP="00162864">
            <w:pPr>
              <w:adjustRightInd w:val="0"/>
              <w:ind w:firstLine="62"/>
              <w:contextualSpacing/>
              <w:jc w:val="right"/>
              <w:rPr>
                <w:b/>
                <w:bCs/>
                <w:color w:val="000000"/>
                <w:szCs w:val="20"/>
              </w:rPr>
            </w:pPr>
            <w:r w:rsidRPr="007D2CEA">
              <w:rPr>
                <w:b/>
                <w:bCs/>
                <w:color w:val="000000"/>
                <w:sz w:val="22"/>
                <w:szCs w:val="20"/>
              </w:rPr>
              <w:t>49</w:t>
            </w:r>
          </w:p>
        </w:tc>
        <w:tc>
          <w:tcPr>
            <w:tcW w:w="1530" w:type="dxa"/>
            <w:gridSpan w:val="2"/>
            <w:tcBorders>
              <w:top w:val="single" w:sz="8" w:space="0" w:color="auto"/>
              <w:left w:val="nil"/>
              <w:bottom w:val="single" w:sz="8" w:space="0" w:color="auto"/>
              <w:right w:val="nil"/>
            </w:tcBorders>
            <w:shd w:val="clear" w:color="auto" w:fill="auto"/>
            <w:vAlign w:val="center"/>
            <w:hideMark/>
          </w:tcPr>
          <w:p w:rsidR="00B72FA3" w:rsidRPr="007D2CEA" w:rsidRDefault="00B72FA3" w:rsidP="00B72FA3">
            <w:pPr>
              <w:adjustRightInd w:val="0"/>
              <w:contextualSpacing/>
              <w:jc w:val="right"/>
              <w:rPr>
                <w:b/>
                <w:bCs/>
                <w:color w:val="000000"/>
                <w:szCs w:val="20"/>
              </w:rPr>
            </w:pPr>
            <w:r w:rsidRPr="007D2CEA">
              <w:rPr>
                <w:b/>
                <w:bCs/>
                <w:color w:val="000000"/>
                <w:sz w:val="22"/>
                <w:szCs w:val="20"/>
              </w:rPr>
              <w:t>49</w:t>
            </w:r>
          </w:p>
        </w:tc>
      </w:tr>
      <w:tr w:rsidR="00B72FA3" w:rsidRPr="007D2CEA" w:rsidTr="00162864">
        <w:trPr>
          <w:trHeight w:val="300"/>
          <w:jc w:val="center"/>
        </w:trPr>
        <w:tc>
          <w:tcPr>
            <w:tcW w:w="2800" w:type="dxa"/>
            <w:tcBorders>
              <w:top w:val="nil"/>
              <w:left w:val="nil"/>
              <w:bottom w:val="single" w:sz="8" w:space="0" w:color="auto"/>
              <w:right w:val="nil"/>
            </w:tcBorders>
            <w:shd w:val="clear" w:color="auto" w:fill="auto"/>
            <w:vAlign w:val="center"/>
            <w:hideMark/>
          </w:tcPr>
          <w:p w:rsidR="00B72FA3" w:rsidRPr="007D2CEA" w:rsidRDefault="00B72FA3" w:rsidP="00162864">
            <w:pPr>
              <w:adjustRightInd w:val="0"/>
              <w:ind w:hanging="18"/>
              <w:contextualSpacing/>
              <w:rPr>
                <w:b/>
                <w:bCs/>
                <w:color w:val="000000"/>
                <w:szCs w:val="20"/>
                <w:lang w:eastAsia="zh-CN"/>
              </w:rPr>
            </w:pPr>
            <w:r w:rsidRPr="007D2CEA">
              <w:rPr>
                <w:rFonts w:hint="eastAsia"/>
                <w:b/>
                <w:bCs/>
                <w:color w:val="000000"/>
                <w:sz w:val="22"/>
                <w:szCs w:val="20"/>
                <w:lang w:eastAsia="zh-CN"/>
              </w:rPr>
              <w:t>一般事务级</w:t>
            </w:r>
          </w:p>
        </w:tc>
        <w:tc>
          <w:tcPr>
            <w:tcW w:w="1250" w:type="dxa"/>
            <w:gridSpan w:val="2"/>
            <w:tcBorders>
              <w:top w:val="nil"/>
              <w:left w:val="nil"/>
              <w:bottom w:val="single" w:sz="8" w:space="0" w:color="auto"/>
              <w:right w:val="nil"/>
            </w:tcBorders>
            <w:shd w:val="clear" w:color="auto" w:fill="auto"/>
            <w:vAlign w:val="center"/>
            <w:hideMark/>
          </w:tcPr>
          <w:p w:rsidR="00B72FA3" w:rsidRPr="007D2CEA" w:rsidRDefault="00B72FA3" w:rsidP="00162864">
            <w:pPr>
              <w:adjustRightInd w:val="0"/>
              <w:ind w:firstLine="62"/>
              <w:contextualSpacing/>
              <w:jc w:val="right"/>
              <w:rPr>
                <w:color w:val="000000"/>
                <w:szCs w:val="20"/>
              </w:rPr>
            </w:pPr>
            <w:r w:rsidRPr="007D2CEA">
              <w:rPr>
                <w:color w:val="000000"/>
                <w:sz w:val="22"/>
                <w:szCs w:val="20"/>
              </w:rPr>
              <w:t>29</w:t>
            </w:r>
          </w:p>
        </w:tc>
        <w:tc>
          <w:tcPr>
            <w:tcW w:w="1530" w:type="dxa"/>
            <w:gridSpan w:val="2"/>
            <w:tcBorders>
              <w:top w:val="nil"/>
              <w:left w:val="nil"/>
              <w:bottom w:val="single" w:sz="8" w:space="0" w:color="auto"/>
              <w:right w:val="nil"/>
            </w:tcBorders>
            <w:shd w:val="clear" w:color="auto" w:fill="auto"/>
            <w:vAlign w:val="center"/>
            <w:hideMark/>
          </w:tcPr>
          <w:p w:rsidR="00B72FA3" w:rsidRPr="007D2CEA" w:rsidRDefault="00B72FA3" w:rsidP="00B72FA3">
            <w:pPr>
              <w:adjustRightInd w:val="0"/>
              <w:contextualSpacing/>
              <w:jc w:val="right"/>
              <w:rPr>
                <w:color w:val="000000"/>
                <w:szCs w:val="20"/>
              </w:rPr>
            </w:pPr>
            <w:r w:rsidRPr="007D2CEA">
              <w:rPr>
                <w:color w:val="000000"/>
                <w:sz w:val="22"/>
                <w:szCs w:val="20"/>
              </w:rPr>
              <w:t>29</w:t>
            </w:r>
          </w:p>
        </w:tc>
      </w:tr>
      <w:tr w:rsidR="00B72FA3" w:rsidRPr="007D2CEA" w:rsidTr="00162864">
        <w:trPr>
          <w:trHeight w:val="300"/>
          <w:jc w:val="center"/>
        </w:trPr>
        <w:tc>
          <w:tcPr>
            <w:tcW w:w="2800" w:type="dxa"/>
            <w:tcBorders>
              <w:top w:val="nil"/>
              <w:left w:val="nil"/>
              <w:bottom w:val="single" w:sz="12" w:space="0" w:color="auto"/>
              <w:right w:val="nil"/>
            </w:tcBorders>
            <w:shd w:val="clear" w:color="auto" w:fill="auto"/>
            <w:vAlign w:val="center"/>
            <w:hideMark/>
          </w:tcPr>
          <w:p w:rsidR="00B72FA3" w:rsidRPr="007D2CEA" w:rsidRDefault="00B72FA3" w:rsidP="00162864">
            <w:pPr>
              <w:adjustRightInd w:val="0"/>
              <w:ind w:hanging="18"/>
              <w:contextualSpacing/>
              <w:rPr>
                <w:b/>
                <w:bCs/>
                <w:color w:val="000000"/>
                <w:szCs w:val="20"/>
                <w:lang w:eastAsia="zh-CN"/>
              </w:rPr>
            </w:pPr>
            <w:r w:rsidRPr="007D2CEA">
              <w:rPr>
                <w:rFonts w:hint="eastAsia"/>
                <w:b/>
                <w:bCs/>
                <w:color w:val="000000"/>
                <w:sz w:val="22"/>
                <w:szCs w:val="20"/>
                <w:lang w:eastAsia="zh-CN"/>
              </w:rPr>
              <w:t>共计</w:t>
            </w:r>
          </w:p>
        </w:tc>
        <w:tc>
          <w:tcPr>
            <w:tcW w:w="1250" w:type="dxa"/>
            <w:gridSpan w:val="2"/>
            <w:tcBorders>
              <w:top w:val="nil"/>
              <w:left w:val="nil"/>
              <w:bottom w:val="single" w:sz="12" w:space="0" w:color="auto"/>
              <w:right w:val="nil"/>
            </w:tcBorders>
            <w:shd w:val="clear" w:color="auto" w:fill="auto"/>
            <w:vAlign w:val="center"/>
            <w:hideMark/>
          </w:tcPr>
          <w:p w:rsidR="00B72FA3" w:rsidRPr="007D2CEA" w:rsidRDefault="00B72FA3" w:rsidP="00162864">
            <w:pPr>
              <w:adjustRightInd w:val="0"/>
              <w:ind w:firstLine="62"/>
              <w:contextualSpacing/>
              <w:jc w:val="right"/>
              <w:rPr>
                <w:b/>
                <w:bCs/>
                <w:color w:val="000000"/>
                <w:szCs w:val="20"/>
              </w:rPr>
            </w:pPr>
            <w:r w:rsidRPr="007D2CEA">
              <w:rPr>
                <w:b/>
                <w:bCs/>
                <w:color w:val="000000"/>
                <w:sz w:val="22"/>
                <w:szCs w:val="20"/>
              </w:rPr>
              <w:t>78</w:t>
            </w:r>
          </w:p>
        </w:tc>
        <w:tc>
          <w:tcPr>
            <w:tcW w:w="1530" w:type="dxa"/>
            <w:gridSpan w:val="2"/>
            <w:tcBorders>
              <w:top w:val="nil"/>
              <w:left w:val="nil"/>
              <w:bottom w:val="single" w:sz="12" w:space="0" w:color="auto"/>
              <w:right w:val="nil"/>
            </w:tcBorders>
            <w:shd w:val="clear" w:color="auto" w:fill="auto"/>
            <w:vAlign w:val="center"/>
            <w:hideMark/>
          </w:tcPr>
          <w:p w:rsidR="00B72FA3" w:rsidRPr="007D2CEA" w:rsidRDefault="00B72FA3" w:rsidP="00B72FA3">
            <w:pPr>
              <w:adjustRightInd w:val="0"/>
              <w:contextualSpacing/>
              <w:jc w:val="right"/>
              <w:rPr>
                <w:b/>
                <w:bCs/>
                <w:color w:val="000000"/>
                <w:szCs w:val="20"/>
              </w:rPr>
            </w:pPr>
            <w:r w:rsidRPr="007D2CEA">
              <w:rPr>
                <w:b/>
                <w:bCs/>
                <w:color w:val="000000"/>
                <w:sz w:val="22"/>
                <w:szCs w:val="20"/>
              </w:rPr>
              <w:t>78</w:t>
            </w:r>
          </w:p>
        </w:tc>
      </w:tr>
    </w:tbl>
    <w:p w:rsidR="00B72FA3" w:rsidRDefault="00B72FA3" w:rsidP="00B72FA3">
      <w:pPr>
        <w:adjustRightInd w:val="0"/>
        <w:ind w:left="1440" w:hanging="1440"/>
        <w:contextualSpacing/>
      </w:pPr>
    </w:p>
    <w:p w:rsidR="00B72FA3" w:rsidRDefault="00B72FA3" w:rsidP="00B72FA3">
      <w:pPr>
        <w:adjustRightInd w:val="0"/>
        <w:contextualSpacing/>
        <w:rPr>
          <w:b/>
          <w:bCs/>
          <w:color w:val="000000"/>
          <w:sz w:val="20"/>
          <w:szCs w:val="20"/>
          <w:lang w:val="en-GB" w:eastAsia="de-CH"/>
        </w:rPr>
      </w:pPr>
      <w:r>
        <w:rPr>
          <w:b/>
          <w:bCs/>
          <w:sz w:val="20"/>
          <w:szCs w:val="20"/>
          <w:lang w:val="en-GB"/>
        </w:rPr>
        <w:br w:type="page"/>
      </w:r>
    </w:p>
    <w:p w:rsidR="00B72FA3" w:rsidRPr="00421205" w:rsidRDefault="00B72FA3" w:rsidP="00B72FA3">
      <w:pPr>
        <w:shd w:val="clear" w:color="auto" w:fill="FFFFFF" w:themeFill="background1"/>
        <w:tabs>
          <w:tab w:val="left" w:pos="1800"/>
        </w:tabs>
        <w:adjustRightInd w:val="0"/>
        <w:snapToGrid w:val="0"/>
        <w:ind w:left="1800" w:right="1659" w:hanging="1080"/>
        <w:rPr>
          <w:bCs/>
          <w:iCs/>
          <w:color w:val="000000"/>
          <w:kern w:val="18"/>
          <w:lang w:val="de-CH" w:eastAsia="zh-CN"/>
        </w:rPr>
      </w:pPr>
      <w:r w:rsidRPr="00421205">
        <w:rPr>
          <w:rFonts w:hint="eastAsia"/>
          <w:b/>
          <w:iCs/>
          <w:color w:val="000000"/>
          <w:kern w:val="18"/>
          <w:lang w:val="en-CA" w:eastAsia="zh-CN"/>
        </w:rPr>
        <w:lastRenderedPageBreak/>
        <w:t>表</w:t>
      </w:r>
      <w:r>
        <w:rPr>
          <w:b/>
          <w:iCs/>
          <w:color w:val="000000"/>
          <w:kern w:val="18"/>
          <w:lang w:val="de-CH" w:eastAsia="zh-CN"/>
        </w:rPr>
        <w:t xml:space="preserve">3. </w:t>
      </w:r>
      <w:r>
        <w:rPr>
          <w:b/>
          <w:iCs/>
          <w:color w:val="000000"/>
          <w:kern w:val="18"/>
          <w:lang w:val="de-CH" w:eastAsia="zh-CN"/>
        </w:rPr>
        <w:tab/>
      </w:r>
      <w:r w:rsidRPr="00421205">
        <w:rPr>
          <w:b/>
          <w:bCs/>
          <w:iCs/>
          <w:color w:val="000000"/>
          <w:kern w:val="18"/>
          <w:lang w:val="en-GB" w:eastAsia="zh-CN"/>
        </w:rPr>
        <w:t>支持核准活动的额外自愿捐款专项自愿信托基</w:t>
      </w:r>
      <w:r w:rsidRPr="00421205">
        <w:rPr>
          <w:rFonts w:hint="eastAsia"/>
          <w:b/>
          <w:bCs/>
          <w:iCs/>
          <w:color w:val="000000"/>
          <w:kern w:val="18"/>
          <w:lang w:val="en-GB" w:eastAsia="zh-CN"/>
        </w:rPr>
        <w:t>金</w:t>
      </w:r>
      <w:r>
        <w:rPr>
          <w:rFonts w:hint="eastAsia"/>
          <w:b/>
          <w:bCs/>
          <w:iCs/>
          <w:color w:val="000000"/>
          <w:kern w:val="18"/>
          <w:lang w:val="de-CH" w:eastAsia="zh-CN"/>
        </w:rPr>
        <w:t>（</w:t>
      </w:r>
      <w:r w:rsidRPr="00421205">
        <w:rPr>
          <w:rFonts w:hint="eastAsia"/>
          <w:b/>
          <w:bCs/>
          <w:iCs/>
          <w:color w:val="000000"/>
          <w:kern w:val="18"/>
          <w:lang w:val="de-CH" w:eastAsia="zh-CN"/>
        </w:rPr>
        <w:t>BE</w:t>
      </w:r>
      <w:r>
        <w:rPr>
          <w:b/>
          <w:bCs/>
          <w:iCs/>
          <w:color w:val="000000"/>
          <w:kern w:val="18"/>
          <w:lang w:val="de-CH" w:eastAsia="zh-CN"/>
        </w:rPr>
        <w:t>）</w:t>
      </w:r>
      <w:r w:rsidRPr="00421205">
        <w:rPr>
          <w:b/>
          <w:iCs/>
          <w:color w:val="000000"/>
          <w:kern w:val="18"/>
          <w:lang w:val="de-CH" w:eastAsia="zh-CN"/>
        </w:rPr>
        <w:t>2019-2020</w:t>
      </w:r>
      <w:r w:rsidRPr="00421205">
        <w:rPr>
          <w:rFonts w:hint="eastAsia"/>
          <w:b/>
          <w:bCs/>
          <w:iCs/>
          <w:color w:val="000000"/>
          <w:kern w:val="18"/>
          <w:lang w:val="en-GB" w:eastAsia="zh-CN"/>
        </w:rPr>
        <w:t>年期间的资源</w:t>
      </w:r>
      <w:r w:rsidRPr="00421205">
        <w:rPr>
          <w:b/>
          <w:bCs/>
          <w:iCs/>
          <w:color w:val="000000"/>
          <w:kern w:val="18"/>
          <w:lang w:val="en-GB" w:eastAsia="zh-CN"/>
        </w:rPr>
        <w:t>需求</w:t>
      </w:r>
    </w:p>
    <w:p w:rsidR="00B72FA3" w:rsidRPr="00063A40" w:rsidRDefault="00B72FA3" w:rsidP="00162864">
      <w:pPr>
        <w:shd w:val="clear" w:color="auto" w:fill="FFFFFF" w:themeFill="background1"/>
        <w:tabs>
          <w:tab w:val="left" w:pos="1440"/>
        </w:tabs>
        <w:adjustRightInd w:val="0"/>
        <w:snapToGrid w:val="0"/>
        <w:spacing w:before="0" w:after="0"/>
        <w:ind w:firstLine="0"/>
        <w:jc w:val="center"/>
        <w:rPr>
          <w:b/>
          <w:bCs/>
          <w:iCs/>
          <w:color w:val="000000"/>
          <w:kern w:val="18"/>
          <w:lang w:val="de-CH" w:eastAsia="zh-CN"/>
        </w:rPr>
      </w:pPr>
      <w:r>
        <w:rPr>
          <w:rFonts w:hint="eastAsia"/>
          <w:b/>
          <w:bCs/>
          <w:iCs/>
          <w:color w:val="000000"/>
          <w:kern w:val="18"/>
          <w:lang w:val="de-CH" w:eastAsia="zh-CN"/>
        </w:rPr>
        <w:t>A</w:t>
      </w:r>
      <w:r>
        <w:rPr>
          <w:b/>
          <w:bCs/>
          <w:iCs/>
          <w:color w:val="000000"/>
          <w:kern w:val="18"/>
          <w:lang w:val="de-CH" w:eastAsia="zh-CN"/>
        </w:rPr>
        <w:t xml:space="preserve">.     </w:t>
      </w:r>
      <w:r w:rsidRPr="00063A40">
        <w:rPr>
          <w:rFonts w:hint="eastAsia"/>
          <w:b/>
          <w:bCs/>
          <w:iCs/>
          <w:color w:val="000000"/>
          <w:kern w:val="18"/>
          <w:lang w:val="de-CH" w:eastAsia="zh-CN"/>
        </w:rPr>
        <w:t>生物多样性</w:t>
      </w:r>
      <w:r w:rsidRPr="00063A40">
        <w:rPr>
          <w:b/>
          <w:bCs/>
          <w:iCs/>
          <w:color w:val="000000"/>
          <w:kern w:val="18"/>
          <w:lang w:val="de-CH" w:eastAsia="zh-CN"/>
        </w:rPr>
        <w:t>公约</w:t>
      </w:r>
    </w:p>
    <w:p w:rsidR="00B72FA3" w:rsidRPr="00616CA4" w:rsidRDefault="00B72FA3" w:rsidP="00162864">
      <w:pPr>
        <w:pStyle w:val="ListParagraph"/>
        <w:spacing w:before="0" w:after="0"/>
        <w:ind w:left="0" w:firstLine="0"/>
        <w:jc w:val="center"/>
        <w:rPr>
          <w:rFonts w:ascii="KaiTi" w:eastAsia="KaiTi" w:hAnsi="KaiTi"/>
          <w:lang w:eastAsia="zh-CN"/>
        </w:rPr>
      </w:pPr>
      <w:r>
        <w:rPr>
          <w:rFonts w:ascii="KaiTi" w:eastAsia="KaiTi" w:hAnsi="KaiTi" w:hint="eastAsia"/>
          <w:lang w:eastAsia="zh-CN"/>
        </w:rPr>
        <w:t>（</w:t>
      </w:r>
      <w:r>
        <w:rPr>
          <w:rFonts w:ascii="KaiTi" w:eastAsia="KaiTi" w:hAnsi="KaiTi"/>
          <w:lang w:eastAsia="zh-CN"/>
        </w:rPr>
        <w:t>千美元）</w:t>
      </w:r>
    </w:p>
    <w:p w:rsidR="00162864" w:rsidRDefault="00162864" w:rsidP="00162864">
      <w:pPr>
        <w:shd w:val="clear" w:color="auto" w:fill="FFFFFF" w:themeFill="background1"/>
        <w:tabs>
          <w:tab w:val="left" w:pos="1440"/>
        </w:tabs>
        <w:adjustRightInd w:val="0"/>
        <w:snapToGrid w:val="0"/>
        <w:spacing w:before="0" w:after="0"/>
        <w:jc w:val="center"/>
        <w:rPr>
          <w:b/>
          <w:bCs/>
          <w:iCs/>
          <w:color w:val="000000"/>
          <w:kern w:val="18"/>
          <w:lang w:val="de-CH" w:eastAsia="zh-CN"/>
        </w:rPr>
      </w:pPr>
    </w:p>
    <w:tbl>
      <w:tblPr>
        <w:tblW w:w="6972" w:type="dxa"/>
        <w:jc w:val="center"/>
        <w:tblLook w:val="04A0"/>
      </w:tblPr>
      <w:tblGrid>
        <w:gridCol w:w="5556"/>
        <w:gridCol w:w="1416"/>
      </w:tblGrid>
      <w:tr w:rsidR="00162864" w:rsidRPr="001751E8" w:rsidTr="00162864">
        <w:trPr>
          <w:trHeight w:val="264"/>
          <w:jc w:val="center"/>
        </w:trPr>
        <w:tc>
          <w:tcPr>
            <w:tcW w:w="5556" w:type="dxa"/>
            <w:tcBorders>
              <w:top w:val="nil"/>
              <w:left w:val="nil"/>
              <w:bottom w:val="nil"/>
              <w:right w:val="nil"/>
            </w:tcBorders>
            <w:shd w:val="clear" w:color="auto" w:fill="auto"/>
            <w:noWrap/>
            <w:vAlign w:val="bottom"/>
            <w:hideMark/>
          </w:tcPr>
          <w:p w:rsidR="00162864" w:rsidRPr="007D2CEA" w:rsidRDefault="00162864" w:rsidP="00162864">
            <w:pPr>
              <w:spacing w:before="0" w:after="0"/>
              <w:ind w:firstLine="0"/>
              <w:rPr>
                <w:b/>
                <w:bCs/>
                <w:color w:val="000000"/>
                <w:sz w:val="20"/>
                <w:szCs w:val="20"/>
                <w:lang w:eastAsia="zh-CN"/>
              </w:rPr>
            </w:pPr>
            <w:r w:rsidRPr="007D2CEA">
              <w:rPr>
                <w:rFonts w:hint="eastAsia"/>
                <w:b/>
                <w:bCs/>
                <w:color w:val="000000"/>
                <w:sz w:val="20"/>
                <w:szCs w:val="20"/>
                <w:lang w:eastAsia="zh-CN"/>
              </w:rPr>
              <w:t>专家会议</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b/>
                <w:bCs/>
                <w:color w:val="000000"/>
                <w:sz w:val="20"/>
                <w:szCs w:val="20"/>
                <w:u w:val="single"/>
                <w:lang w:eastAsia="zh-CN"/>
              </w:rPr>
            </w:pP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第</w:t>
            </w:r>
            <w:r w:rsidRPr="001751E8">
              <w:rPr>
                <w:color w:val="000000"/>
                <w:sz w:val="20"/>
                <w:szCs w:val="20"/>
                <w:lang w:eastAsia="zh-CN"/>
              </w:rPr>
              <w:t>8</w:t>
            </w:r>
            <w:r>
              <w:rPr>
                <w:color w:val="000000"/>
                <w:sz w:val="20"/>
                <w:szCs w:val="20"/>
                <w:lang w:eastAsia="zh-CN"/>
              </w:rPr>
              <w:t>(j)</w:t>
            </w:r>
            <w:r>
              <w:rPr>
                <w:rFonts w:hint="eastAsia"/>
                <w:color w:val="000000"/>
                <w:sz w:val="20"/>
                <w:szCs w:val="20"/>
                <w:lang w:eastAsia="zh-CN"/>
              </w:rPr>
              <w:t>条</w:t>
            </w:r>
            <w:r>
              <w:rPr>
                <w:color w:val="000000"/>
                <w:sz w:val="20"/>
                <w:szCs w:val="20"/>
                <w:lang w:eastAsia="zh-CN"/>
              </w:rPr>
              <w:t>和相关条款</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lang w:eastAsia="zh-CN"/>
              </w:rPr>
            </w:pPr>
            <w:r>
              <w:rPr>
                <w:color w:val="000000"/>
                <w:sz w:val="20"/>
                <w:szCs w:val="20"/>
                <w:lang w:eastAsia="zh-CN"/>
              </w:rPr>
              <w:t xml:space="preserve">                 </w:t>
            </w:r>
            <w:r w:rsidRPr="001751E8">
              <w:rPr>
                <w:color w:val="000000"/>
                <w:sz w:val="20"/>
                <w:szCs w:val="20"/>
                <w:lang w:eastAsia="zh-CN"/>
              </w:rPr>
              <w:t xml:space="preserve">72.5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能力建设</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lang w:eastAsia="zh-CN"/>
              </w:rPr>
            </w:pPr>
            <w:r w:rsidRPr="001751E8">
              <w:rPr>
                <w:color w:val="000000"/>
                <w:sz w:val="20"/>
                <w:szCs w:val="20"/>
                <w:lang w:eastAsia="zh-CN"/>
              </w:rPr>
              <w:t xml:space="preserve">        </w:t>
            </w:r>
            <w:r>
              <w:rPr>
                <w:color w:val="000000"/>
                <w:sz w:val="20"/>
                <w:szCs w:val="20"/>
                <w:lang w:eastAsia="zh-CN"/>
              </w:rPr>
              <w:t xml:space="preserve">       </w:t>
            </w:r>
            <w:r w:rsidRPr="001751E8">
              <w:rPr>
                <w:color w:val="000000"/>
                <w:sz w:val="20"/>
                <w:szCs w:val="20"/>
                <w:lang w:eastAsia="zh-CN"/>
              </w:rPr>
              <w:t xml:space="preserve">165.5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信息交换所机制</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lang w:eastAsia="zh-CN"/>
              </w:rPr>
            </w:pPr>
            <w:r>
              <w:rPr>
                <w:color w:val="000000"/>
                <w:sz w:val="20"/>
                <w:szCs w:val="20"/>
                <w:lang w:eastAsia="zh-CN"/>
              </w:rPr>
              <w:t xml:space="preserve">  </w:t>
            </w:r>
            <w:r w:rsidRPr="001751E8">
              <w:rPr>
                <w:color w:val="000000"/>
                <w:sz w:val="20"/>
                <w:szCs w:val="20"/>
                <w:lang w:eastAsia="zh-CN"/>
              </w:rPr>
              <w:t xml:space="preserve">       </w:t>
            </w:r>
            <w:r>
              <w:rPr>
                <w:color w:val="000000"/>
                <w:sz w:val="20"/>
                <w:szCs w:val="20"/>
                <w:lang w:eastAsia="zh-CN"/>
              </w:rPr>
              <w:t xml:space="preserve">       </w:t>
            </w:r>
            <w:r w:rsidRPr="001751E8">
              <w:rPr>
                <w:color w:val="000000"/>
                <w:sz w:val="20"/>
                <w:szCs w:val="20"/>
                <w:lang w:eastAsia="zh-CN"/>
              </w:rPr>
              <w:t xml:space="preserve"> 55.0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合作</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Pr>
                <w:color w:val="000000"/>
                <w:sz w:val="20"/>
                <w:szCs w:val="20"/>
                <w:lang w:eastAsia="zh-CN"/>
              </w:rPr>
              <w:t xml:space="preserve">               </w:t>
            </w:r>
            <w:r w:rsidRPr="001751E8">
              <w:rPr>
                <w:color w:val="000000"/>
                <w:sz w:val="20"/>
                <w:szCs w:val="20"/>
              </w:rPr>
              <w:t xml:space="preserve">178.8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数字序列信息</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w:t>
            </w:r>
            <w:r>
              <w:rPr>
                <w:color w:val="000000"/>
                <w:sz w:val="20"/>
                <w:szCs w:val="20"/>
              </w:rPr>
              <w:t xml:space="preserve"> </w:t>
            </w:r>
            <w:r w:rsidRPr="001751E8">
              <w:rPr>
                <w:color w:val="000000"/>
                <w:sz w:val="20"/>
                <w:szCs w:val="20"/>
              </w:rPr>
              <w:t xml:space="preserve"> 73.5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生态系统恢复</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Pr>
                <w:color w:val="000000"/>
                <w:sz w:val="20"/>
                <w:szCs w:val="20"/>
              </w:rPr>
              <w:t xml:space="preserve">               </w:t>
            </w:r>
            <w:r w:rsidRPr="001751E8">
              <w:rPr>
                <w:color w:val="000000"/>
                <w:sz w:val="20"/>
                <w:szCs w:val="20"/>
              </w:rPr>
              <w:t xml:space="preserve">384.0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性别问题</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53.5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健康</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142.8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高级别小组</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100.0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外来入侵物种</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136.8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主流化</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879.5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海洋</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122.3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sidRPr="001751E8">
              <w:rPr>
                <w:color w:val="000000"/>
                <w:sz w:val="20"/>
                <w:szCs w:val="20"/>
              </w:rPr>
              <w:t>2020</w:t>
            </w:r>
            <w:r>
              <w:rPr>
                <w:rFonts w:hint="eastAsia"/>
                <w:color w:val="000000"/>
                <w:sz w:val="20"/>
                <w:szCs w:val="20"/>
                <w:lang w:eastAsia="zh-CN"/>
              </w:rPr>
              <w:t>年后</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62.5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审查机制</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90.0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可持续野生生物</w:t>
            </w:r>
            <w:r>
              <w:rPr>
                <w:color w:val="000000"/>
                <w:sz w:val="20"/>
                <w:szCs w:val="20"/>
                <w:lang w:eastAsia="zh-CN"/>
              </w:rPr>
              <w:t>管理</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212.0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合成生物学</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71.5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技术和</w:t>
            </w:r>
            <w:r>
              <w:rPr>
                <w:color w:val="000000"/>
                <w:sz w:val="20"/>
                <w:szCs w:val="20"/>
                <w:lang w:eastAsia="zh-CN"/>
              </w:rPr>
              <w:t>科学合作</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69.3 </w:t>
            </w:r>
          </w:p>
        </w:tc>
      </w:tr>
      <w:tr w:rsidR="00162864" w:rsidRPr="001751E8" w:rsidTr="00162864">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小计</w:t>
            </w:r>
          </w:p>
        </w:tc>
        <w:tc>
          <w:tcPr>
            <w:tcW w:w="1416" w:type="dxa"/>
            <w:tcBorders>
              <w:top w:val="single" w:sz="4" w:space="0" w:color="auto"/>
              <w:left w:val="nil"/>
              <w:bottom w:val="single" w:sz="4" w:space="0" w:color="auto"/>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Pr>
                <w:color w:val="000000"/>
                <w:sz w:val="20"/>
                <w:szCs w:val="20"/>
              </w:rPr>
              <w:t xml:space="preserve">            2 </w:t>
            </w:r>
            <w:r w:rsidRPr="001751E8">
              <w:rPr>
                <w:color w:val="000000"/>
                <w:sz w:val="20"/>
                <w:szCs w:val="20"/>
              </w:rPr>
              <w:t xml:space="preserve">869.3 </w:t>
            </w:r>
          </w:p>
        </w:tc>
      </w:tr>
      <w:tr w:rsidR="00162864" w:rsidRPr="001751E8" w:rsidTr="00162864">
        <w:trPr>
          <w:trHeight w:val="264"/>
          <w:jc w:val="center"/>
        </w:trPr>
        <w:tc>
          <w:tcPr>
            <w:tcW w:w="5556" w:type="dxa"/>
            <w:tcBorders>
              <w:top w:val="nil"/>
              <w:left w:val="nil"/>
              <w:bottom w:val="nil"/>
              <w:right w:val="nil"/>
            </w:tcBorders>
            <w:shd w:val="clear" w:color="auto" w:fill="auto"/>
            <w:noWrap/>
            <w:vAlign w:val="bottom"/>
            <w:hideMark/>
          </w:tcPr>
          <w:p w:rsidR="00162864" w:rsidRPr="007D2CEA" w:rsidRDefault="00162864" w:rsidP="00162864">
            <w:pPr>
              <w:spacing w:before="0" w:after="0"/>
              <w:ind w:firstLine="0"/>
              <w:rPr>
                <w:b/>
                <w:bCs/>
                <w:color w:val="000000"/>
                <w:sz w:val="20"/>
                <w:szCs w:val="20"/>
                <w:lang w:eastAsia="zh-CN"/>
              </w:rPr>
            </w:pPr>
            <w:r w:rsidRPr="007D2CEA">
              <w:rPr>
                <w:rFonts w:hint="eastAsia"/>
                <w:b/>
                <w:bCs/>
                <w:color w:val="000000"/>
                <w:sz w:val="20"/>
                <w:szCs w:val="20"/>
                <w:lang w:eastAsia="zh-CN"/>
              </w:rPr>
              <w:t>能力建设讲习班</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b/>
                <w:bCs/>
                <w:color w:val="000000"/>
                <w:sz w:val="20"/>
                <w:szCs w:val="20"/>
                <w:u w:val="single"/>
              </w:rPr>
            </w:pP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第</w:t>
            </w:r>
            <w:r w:rsidRPr="001751E8">
              <w:rPr>
                <w:color w:val="000000"/>
                <w:sz w:val="20"/>
                <w:szCs w:val="20"/>
                <w:lang w:eastAsia="zh-CN"/>
              </w:rPr>
              <w:t>8</w:t>
            </w:r>
            <w:r>
              <w:rPr>
                <w:color w:val="000000"/>
                <w:sz w:val="20"/>
                <w:szCs w:val="20"/>
                <w:lang w:eastAsia="zh-CN"/>
              </w:rPr>
              <w:t>(j)</w:t>
            </w:r>
            <w:r>
              <w:rPr>
                <w:rFonts w:hint="eastAsia"/>
                <w:color w:val="000000"/>
                <w:sz w:val="20"/>
                <w:szCs w:val="20"/>
                <w:lang w:eastAsia="zh-CN"/>
              </w:rPr>
              <w:t>条</w:t>
            </w:r>
            <w:r>
              <w:rPr>
                <w:color w:val="000000"/>
                <w:sz w:val="20"/>
                <w:szCs w:val="20"/>
                <w:lang w:eastAsia="zh-CN"/>
              </w:rPr>
              <w:t>和相关条款</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lang w:eastAsia="zh-CN"/>
              </w:rPr>
              <w:t xml:space="preserve">               </w:t>
            </w:r>
            <w:r w:rsidRPr="001751E8">
              <w:rPr>
                <w:color w:val="000000"/>
                <w:sz w:val="20"/>
                <w:szCs w:val="20"/>
              </w:rPr>
              <w:t xml:space="preserve">110.0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能力建设</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435.5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rPr>
            </w:pPr>
            <w:r>
              <w:rPr>
                <w:rFonts w:hint="eastAsia"/>
                <w:color w:val="000000"/>
                <w:sz w:val="20"/>
                <w:szCs w:val="20"/>
                <w:lang w:eastAsia="zh-CN"/>
              </w:rPr>
              <w:t>气候变化</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684.0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合作</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618.3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财务机制</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156.3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健康</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546.0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主流化</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596.0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海洋</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86.3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可持续野生生物</w:t>
            </w:r>
            <w:r>
              <w:rPr>
                <w:color w:val="000000"/>
                <w:sz w:val="20"/>
                <w:szCs w:val="20"/>
                <w:lang w:eastAsia="zh-CN"/>
              </w:rPr>
              <w:t>管理</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407.0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技术和</w:t>
            </w:r>
            <w:r>
              <w:rPr>
                <w:color w:val="000000"/>
                <w:sz w:val="20"/>
                <w:szCs w:val="20"/>
                <w:lang w:eastAsia="zh-CN"/>
              </w:rPr>
              <w:t>科学合作</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265.0 </w:t>
            </w:r>
          </w:p>
        </w:tc>
      </w:tr>
      <w:tr w:rsidR="00162864" w:rsidRPr="001751E8" w:rsidTr="00162864">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小计</w:t>
            </w:r>
          </w:p>
        </w:tc>
        <w:tc>
          <w:tcPr>
            <w:tcW w:w="1416" w:type="dxa"/>
            <w:tcBorders>
              <w:top w:val="single" w:sz="4" w:space="0" w:color="auto"/>
              <w:left w:val="nil"/>
              <w:bottom w:val="single" w:sz="4" w:space="0" w:color="auto"/>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Pr>
                <w:color w:val="000000"/>
                <w:sz w:val="20"/>
                <w:szCs w:val="20"/>
              </w:rPr>
              <w:t xml:space="preserve">            3 </w:t>
            </w:r>
            <w:r w:rsidRPr="001751E8">
              <w:rPr>
                <w:color w:val="000000"/>
                <w:sz w:val="20"/>
                <w:szCs w:val="20"/>
              </w:rPr>
              <w:t xml:space="preserve">904.3 </w:t>
            </w:r>
          </w:p>
        </w:tc>
      </w:tr>
      <w:tr w:rsidR="00162864" w:rsidRPr="001751E8" w:rsidTr="00162864">
        <w:trPr>
          <w:trHeight w:val="264"/>
          <w:jc w:val="center"/>
        </w:trPr>
        <w:tc>
          <w:tcPr>
            <w:tcW w:w="5556" w:type="dxa"/>
            <w:tcBorders>
              <w:top w:val="nil"/>
              <w:left w:val="nil"/>
              <w:bottom w:val="nil"/>
              <w:right w:val="nil"/>
            </w:tcBorders>
            <w:shd w:val="clear" w:color="auto" w:fill="auto"/>
            <w:noWrap/>
            <w:vAlign w:val="bottom"/>
            <w:hideMark/>
          </w:tcPr>
          <w:p w:rsidR="00162864" w:rsidRPr="007D2CEA" w:rsidRDefault="00162864" w:rsidP="00162864">
            <w:pPr>
              <w:spacing w:before="0" w:after="0"/>
              <w:ind w:firstLine="0"/>
              <w:rPr>
                <w:b/>
                <w:bCs/>
                <w:color w:val="000000"/>
                <w:sz w:val="20"/>
                <w:szCs w:val="20"/>
                <w:lang w:eastAsia="zh-CN"/>
              </w:rPr>
            </w:pPr>
            <w:r w:rsidRPr="007D2CEA">
              <w:rPr>
                <w:rFonts w:hint="eastAsia"/>
                <w:b/>
                <w:bCs/>
                <w:color w:val="000000"/>
                <w:sz w:val="20"/>
                <w:szCs w:val="20"/>
                <w:lang w:eastAsia="zh-CN"/>
              </w:rPr>
              <w:t>其他讲习班</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b/>
                <w:bCs/>
                <w:color w:val="000000"/>
                <w:sz w:val="20"/>
                <w:szCs w:val="20"/>
                <w:u w:val="single"/>
              </w:rPr>
            </w:pP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气候变化</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65.0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合作</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451.5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性别问题</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150.0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健康</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96.0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主流化</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791.0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海洋</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238.0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color w:val="000000"/>
                <w:sz w:val="20"/>
                <w:szCs w:val="20"/>
              </w:rPr>
              <w:t>2020</w:t>
            </w:r>
            <w:r>
              <w:rPr>
                <w:rFonts w:hint="eastAsia"/>
                <w:color w:val="000000"/>
                <w:sz w:val="20"/>
                <w:szCs w:val="20"/>
                <w:lang w:eastAsia="zh-CN"/>
              </w:rPr>
              <w:t>年后</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Pr>
                <w:color w:val="000000"/>
                <w:sz w:val="20"/>
                <w:szCs w:val="20"/>
              </w:rPr>
              <w:t xml:space="preserve">            1 </w:t>
            </w:r>
            <w:r w:rsidRPr="001751E8">
              <w:rPr>
                <w:color w:val="000000"/>
                <w:sz w:val="20"/>
                <w:szCs w:val="20"/>
              </w:rPr>
              <w:t xml:space="preserve">720.0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保护区</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165.0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技术和</w:t>
            </w:r>
            <w:r>
              <w:rPr>
                <w:color w:val="000000"/>
                <w:sz w:val="20"/>
                <w:szCs w:val="20"/>
                <w:lang w:eastAsia="zh-CN"/>
              </w:rPr>
              <w:t>科学合作</w:t>
            </w:r>
          </w:p>
        </w:tc>
        <w:tc>
          <w:tcPr>
            <w:tcW w:w="1416" w:type="dxa"/>
            <w:tcBorders>
              <w:top w:val="nil"/>
              <w:left w:val="nil"/>
              <w:bottom w:val="single" w:sz="4" w:space="0" w:color="auto"/>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360.0 </w:t>
            </w:r>
          </w:p>
        </w:tc>
      </w:tr>
      <w:tr w:rsidR="00162864" w:rsidRPr="001751E8" w:rsidTr="00162864">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小计</w:t>
            </w:r>
          </w:p>
        </w:tc>
        <w:tc>
          <w:tcPr>
            <w:tcW w:w="1416" w:type="dxa"/>
            <w:tcBorders>
              <w:top w:val="nil"/>
              <w:left w:val="nil"/>
              <w:bottom w:val="single" w:sz="4" w:space="0" w:color="auto"/>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4</w:t>
            </w:r>
            <w:r>
              <w:rPr>
                <w:color w:val="000000"/>
                <w:sz w:val="20"/>
                <w:szCs w:val="20"/>
              </w:rPr>
              <w:t xml:space="preserve"> </w:t>
            </w:r>
            <w:r w:rsidRPr="001751E8">
              <w:rPr>
                <w:color w:val="000000"/>
                <w:sz w:val="20"/>
                <w:szCs w:val="20"/>
              </w:rPr>
              <w:t xml:space="preserve">036.5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rPr>
            </w:pP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sz w:val="20"/>
                <w:szCs w:val="20"/>
              </w:rPr>
            </w:pPr>
          </w:p>
        </w:tc>
      </w:tr>
      <w:tr w:rsidR="00162864" w:rsidRPr="001751E8" w:rsidTr="00162864">
        <w:trPr>
          <w:trHeight w:val="264"/>
          <w:jc w:val="center"/>
        </w:trPr>
        <w:tc>
          <w:tcPr>
            <w:tcW w:w="5556" w:type="dxa"/>
            <w:tcBorders>
              <w:top w:val="nil"/>
              <w:left w:val="nil"/>
              <w:bottom w:val="nil"/>
              <w:right w:val="nil"/>
            </w:tcBorders>
            <w:shd w:val="clear" w:color="auto" w:fill="auto"/>
            <w:noWrap/>
            <w:vAlign w:val="bottom"/>
            <w:hideMark/>
          </w:tcPr>
          <w:p w:rsidR="00162864" w:rsidRPr="007D2CEA" w:rsidRDefault="00162864" w:rsidP="00162864">
            <w:pPr>
              <w:spacing w:before="0" w:after="0"/>
              <w:ind w:firstLine="0"/>
              <w:rPr>
                <w:b/>
                <w:bCs/>
                <w:color w:val="000000"/>
                <w:sz w:val="20"/>
                <w:szCs w:val="20"/>
              </w:rPr>
            </w:pPr>
            <w:r w:rsidRPr="007D2CEA">
              <w:rPr>
                <w:rFonts w:hint="eastAsia"/>
                <w:b/>
                <w:bCs/>
                <w:color w:val="000000"/>
                <w:sz w:val="20"/>
                <w:szCs w:val="20"/>
                <w:lang w:eastAsia="zh-CN"/>
              </w:rPr>
              <w:lastRenderedPageBreak/>
              <w:t>工作人员</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b/>
                <w:bCs/>
                <w:color w:val="000000"/>
                <w:sz w:val="20"/>
                <w:szCs w:val="20"/>
                <w:u w:val="single"/>
              </w:rPr>
            </w:pP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sidRPr="001751E8">
              <w:rPr>
                <w:color w:val="000000"/>
                <w:sz w:val="20"/>
                <w:szCs w:val="20"/>
                <w:lang w:eastAsia="zh-CN"/>
              </w:rPr>
              <w:t xml:space="preserve"> </w:t>
            </w:r>
            <w:r>
              <w:rPr>
                <w:rFonts w:hint="eastAsia"/>
                <w:color w:val="000000"/>
                <w:sz w:val="20"/>
                <w:szCs w:val="20"/>
                <w:lang w:eastAsia="zh-CN"/>
              </w:rPr>
              <w:t>合作</w:t>
            </w:r>
            <w:r>
              <w:rPr>
                <w:color w:val="000000"/>
                <w:sz w:val="20"/>
                <w:szCs w:val="20"/>
                <w:lang w:eastAsia="zh-CN"/>
              </w:rPr>
              <w:t>和协同增效</w:t>
            </w:r>
            <w:r w:rsidRPr="001751E8">
              <w:rPr>
                <w:color w:val="000000"/>
                <w:sz w:val="20"/>
                <w:szCs w:val="20"/>
                <w:lang w:eastAsia="zh-CN"/>
              </w:rPr>
              <w:t xml:space="preserve"> </w:t>
            </w:r>
            <w:r>
              <w:rPr>
                <w:color w:val="000000"/>
                <w:sz w:val="20"/>
                <w:szCs w:val="20"/>
                <w:lang w:eastAsia="zh-CN"/>
              </w:rPr>
              <w:t>（</w:t>
            </w:r>
            <w:r w:rsidRPr="001751E8">
              <w:rPr>
                <w:color w:val="000000"/>
                <w:sz w:val="20"/>
                <w:szCs w:val="20"/>
                <w:lang w:eastAsia="zh-CN"/>
              </w:rPr>
              <w:t>P-3</w:t>
            </w:r>
            <w:r>
              <w:rPr>
                <w:color w:val="000000"/>
                <w:sz w:val="20"/>
                <w:szCs w:val="20"/>
                <w:lang w:eastAsia="zh-CN"/>
              </w:rPr>
              <w:t>）</w:t>
            </w:r>
            <w:r w:rsidRPr="001751E8">
              <w:rPr>
                <w:color w:val="000000"/>
                <w:sz w:val="20"/>
                <w:szCs w:val="20"/>
                <w:lang w:eastAsia="zh-CN"/>
              </w:rPr>
              <w:t xml:space="preserve">  </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lang w:eastAsia="zh-CN"/>
              </w:rPr>
              <w:t xml:space="preserve">               </w:t>
            </w:r>
            <w:r w:rsidRPr="001751E8">
              <w:rPr>
                <w:color w:val="000000"/>
                <w:sz w:val="20"/>
                <w:szCs w:val="20"/>
              </w:rPr>
              <w:t xml:space="preserve">327.0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w:t>
            </w:r>
            <w:r>
              <w:rPr>
                <w:rFonts w:hint="eastAsia"/>
                <w:color w:val="000000"/>
                <w:sz w:val="20"/>
                <w:szCs w:val="20"/>
                <w:lang w:eastAsia="zh-CN"/>
              </w:rPr>
              <w:t>科学</w:t>
            </w:r>
            <w:r>
              <w:rPr>
                <w:color w:val="000000"/>
                <w:sz w:val="20"/>
                <w:szCs w:val="20"/>
                <w:lang w:eastAsia="zh-CN"/>
              </w:rPr>
              <w:t>干事</w:t>
            </w:r>
            <w:r w:rsidRPr="001751E8">
              <w:rPr>
                <w:color w:val="000000"/>
                <w:sz w:val="20"/>
                <w:szCs w:val="20"/>
              </w:rPr>
              <w:t xml:space="preserve"> </w:t>
            </w:r>
            <w:r>
              <w:rPr>
                <w:color w:val="000000"/>
                <w:sz w:val="20"/>
                <w:szCs w:val="20"/>
              </w:rPr>
              <w:t>（</w:t>
            </w:r>
            <w:r w:rsidRPr="001751E8">
              <w:rPr>
                <w:color w:val="000000"/>
                <w:sz w:val="20"/>
                <w:szCs w:val="20"/>
              </w:rPr>
              <w:t>P-4</w:t>
            </w:r>
            <w:r>
              <w:rPr>
                <w:color w:val="000000"/>
                <w:sz w:val="20"/>
                <w:szCs w:val="20"/>
              </w:rPr>
              <w:t>）</w:t>
            </w:r>
            <w:r w:rsidRPr="001751E8">
              <w:rPr>
                <w:color w:val="000000"/>
                <w:sz w:val="20"/>
                <w:szCs w:val="20"/>
              </w:rPr>
              <w:t xml:space="preserve"> </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404.0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sidRPr="001751E8">
              <w:rPr>
                <w:color w:val="000000"/>
                <w:sz w:val="20"/>
                <w:szCs w:val="20"/>
                <w:lang w:eastAsia="zh-CN"/>
              </w:rPr>
              <w:t xml:space="preserve"> </w:t>
            </w:r>
            <w:r>
              <w:rPr>
                <w:rFonts w:hint="eastAsia"/>
                <w:color w:val="000000"/>
                <w:sz w:val="20"/>
                <w:szCs w:val="20"/>
                <w:lang w:eastAsia="zh-CN"/>
              </w:rPr>
              <w:t>森林</w:t>
            </w:r>
            <w:r>
              <w:rPr>
                <w:color w:val="000000"/>
                <w:sz w:val="20"/>
                <w:szCs w:val="20"/>
                <w:lang w:eastAsia="zh-CN"/>
              </w:rPr>
              <w:t>生态系统恢复</w:t>
            </w:r>
            <w:r w:rsidRPr="001751E8">
              <w:rPr>
                <w:color w:val="000000"/>
                <w:sz w:val="20"/>
                <w:szCs w:val="20"/>
                <w:lang w:eastAsia="zh-CN"/>
              </w:rPr>
              <w:t xml:space="preserve"> </w:t>
            </w:r>
            <w:r>
              <w:rPr>
                <w:color w:val="000000"/>
                <w:sz w:val="20"/>
                <w:szCs w:val="20"/>
                <w:lang w:eastAsia="zh-CN"/>
              </w:rPr>
              <w:t>（</w:t>
            </w:r>
            <w:r w:rsidRPr="001751E8">
              <w:rPr>
                <w:color w:val="000000"/>
                <w:sz w:val="20"/>
                <w:szCs w:val="20"/>
                <w:lang w:eastAsia="zh-CN"/>
              </w:rPr>
              <w:t>P-3</w:t>
            </w:r>
            <w:r>
              <w:rPr>
                <w:color w:val="000000"/>
                <w:sz w:val="20"/>
                <w:szCs w:val="20"/>
                <w:lang w:eastAsia="zh-CN"/>
              </w:rPr>
              <w:t>）</w:t>
            </w:r>
            <w:r w:rsidRPr="001751E8">
              <w:rPr>
                <w:color w:val="000000"/>
                <w:sz w:val="20"/>
                <w:szCs w:val="20"/>
                <w:lang w:eastAsia="zh-CN"/>
              </w:rPr>
              <w:t xml:space="preserve"> </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lang w:eastAsia="zh-CN"/>
              </w:rPr>
              <w:t xml:space="preserve">               </w:t>
            </w:r>
            <w:r w:rsidRPr="001751E8">
              <w:rPr>
                <w:color w:val="000000"/>
                <w:sz w:val="20"/>
                <w:szCs w:val="20"/>
              </w:rPr>
              <w:t xml:space="preserve">327.0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w:t>
            </w:r>
            <w:r>
              <w:rPr>
                <w:rFonts w:hint="eastAsia"/>
                <w:color w:val="000000"/>
                <w:sz w:val="20"/>
                <w:szCs w:val="20"/>
                <w:lang w:eastAsia="zh-CN"/>
              </w:rPr>
              <w:t>健康</w:t>
            </w:r>
            <w:r>
              <w:rPr>
                <w:color w:val="000000"/>
                <w:sz w:val="20"/>
                <w:szCs w:val="20"/>
                <w:lang w:eastAsia="zh-CN"/>
              </w:rPr>
              <w:t>问题干事</w:t>
            </w:r>
            <w:r w:rsidRPr="001751E8">
              <w:rPr>
                <w:color w:val="000000"/>
                <w:sz w:val="20"/>
                <w:szCs w:val="20"/>
              </w:rPr>
              <w:t xml:space="preserve"> </w:t>
            </w:r>
            <w:r>
              <w:rPr>
                <w:color w:val="000000"/>
                <w:sz w:val="20"/>
                <w:szCs w:val="20"/>
              </w:rPr>
              <w:t>（</w:t>
            </w:r>
            <w:r w:rsidRPr="001751E8">
              <w:rPr>
                <w:color w:val="000000"/>
                <w:sz w:val="20"/>
                <w:szCs w:val="20"/>
              </w:rPr>
              <w:t>P-3</w:t>
            </w:r>
            <w:r>
              <w:rPr>
                <w:color w:val="000000"/>
                <w:sz w:val="20"/>
                <w:szCs w:val="20"/>
              </w:rPr>
              <w:t>）</w:t>
            </w:r>
            <w:r w:rsidRPr="001751E8">
              <w:rPr>
                <w:color w:val="000000"/>
                <w:sz w:val="20"/>
                <w:szCs w:val="20"/>
              </w:rPr>
              <w:t xml:space="preserve"> </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327.0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w:t>
            </w:r>
            <w:r>
              <w:rPr>
                <w:rFonts w:hint="eastAsia"/>
                <w:color w:val="000000"/>
                <w:sz w:val="20"/>
                <w:szCs w:val="20"/>
                <w:lang w:eastAsia="zh-CN"/>
              </w:rPr>
              <w:t>网络</w:t>
            </w:r>
            <w:r>
              <w:rPr>
                <w:color w:val="000000"/>
                <w:sz w:val="20"/>
                <w:szCs w:val="20"/>
                <w:lang w:eastAsia="zh-CN"/>
              </w:rPr>
              <w:t>内容助理</w:t>
            </w:r>
            <w:r w:rsidRPr="001751E8">
              <w:rPr>
                <w:color w:val="000000"/>
                <w:sz w:val="20"/>
                <w:szCs w:val="20"/>
              </w:rPr>
              <w:t xml:space="preserve"> </w:t>
            </w:r>
            <w:r>
              <w:rPr>
                <w:color w:val="000000"/>
                <w:sz w:val="20"/>
                <w:szCs w:val="20"/>
              </w:rPr>
              <w:t>（</w:t>
            </w:r>
            <w:r w:rsidRPr="001751E8">
              <w:rPr>
                <w:color w:val="000000"/>
                <w:sz w:val="20"/>
                <w:szCs w:val="20"/>
              </w:rPr>
              <w:t>G-7</w:t>
            </w:r>
            <w:r>
              <w:rPr>
                <w:color w:val="000000"/>
                <w:sz w:val="20"/>
                <w:szCs w:val="20"/>
              </w:rPr>
              <w:t>）</w:t>
            </w:r>
            <w:r w:rsidRPr="001751E8">
              <w:rPr>
                <w:color w:val="000000"/>
                <w:sz w:val="20"/>
                <w:szCs w:val="20"/>
              </w:rPr>
              <w:t xml:space="preserve"> </w:t>
            </w:r>
          </w:p>
        </w:tc>
        <w:tc>
          <w:tcPr>
            <w:tcW w:w="1416" w:type="dxa"/>
            <w:tcBorders>
              <w:top w:val="nil"/>
              <w:left w:val="nil"/>
              <w:bottom w:val="single" w:sz="4" w:space="0" w:color="auto"/>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148.0 </w:t>
            </w:r>
          </w:p>
        </w:tc>
      </w:tr>
      <w:tr w:rsidR="00162864" w:rsidRPr="001751E8" w:rsidTr="00162864">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小计</w:t>
            </w:r>
          </w:p>
        </w:tc>
        <w:tc>
          <w:tcPr>
            <w:tcW w:w="1416" w:type="dxa"/>
            <w:tcBorders>
              <w:top w:val="nil"/>
              <w:left w:val="nil"/>
              <w:bottom w:val="single" w:sz="4" w:space="0" w:color="auto"/>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Pr>
                <w:color w:val="000000"/>
                <w:sz w:val="20"/>
                <w:szCs w:val="20"/>
              </w:rPr>
              <w:t xml:space="preserve">            1 </w:t>
            </w:r>
            <w:r w:rsidRPr="001751E8">
              <w:rPr>
                <w:color w:val="000000"/>
                <w:sz w:val="20"/>
                <w:szCs w:val="20"/>
              </w:rPr>
              <w:t xml:space="preserve">533.0 </w:t>
            </w:r>
          </w:p>
        </w:tc>
      </w:tr>
      <w:tr w:rsidR="00162864" w:rsidRPr="001751E8" w:rsidTr="00162864">
        <w:trPr>
          <w:trHeight w:val="264"/>
          <w:jc w:val="center"/>
        </w:trPr>
        <w:tc>
          <w:tcPr>
            <w:tcW w:w="5556" w:type="dxa"/>
            <w:tcBorders>
              <w:top w:val="nil"/>
              <w:left w:val="nil"/>
              <w:bottom w:val="nil"/>
              <w:right w:val="nil"/>
            </w:tcBorders>
            <w:shd w:val="clear" w:color="auto" w:fill="auto"/>
            <w:noWrap/>
            <w:vAlign w:val="bottom"/>
            <w:hideMark/>
          </w:tcPr>
          <w:p w:rsidR="00162864" w:rsidRPr="007D2CEA" w:rsidRDefault="00162864" w:rsidP="00162864">
            <w:pPr>
              <w:spacing w:before="0" w:after="0"/>
              <w:ind w:firstLine="0"/>
              <w:rPr>
                <w:b/>
                <w:bCs/>
                <w:color w:val="000000"/>
                <w:sz w:val="20"/>
                <w:szCs w:val="20"/>
                <w:lang w:eastAsia="zh-CN"/>
              </w:rPr>
            </w:pPr>
            <w:r w:rsidRPr="007D2CEA">
              <w:rPr>
                <w:rFonts w:hint="eastAsia"/>
                <w:b/>
                <w:bCs/>
                <w:color w:val="000000"/>
                <w:sz w:val="20"/>
                <w:szCs w:val="20"/>
                <w:lang w:eastAsia="zh-CN"/>
              </w:rPr>
              <w:t>顾问</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b/>
                <w:bCs/>
                <w:color w:val="000000"/>
                <w:sz w:val="20"/>
                <w:szCs w:val="20"/>
                <w:u w:val="single"/>
              </w:rPr>
            </w:pP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第</w:t>
            </w:r>
            <w:r>
              <w:rPr>
                <w:rFonts w:hint="eastAsia"/>
                <w:color w:val="000000"/>
                <w:sz w:val="20"/>
                <w:szCs w:val="20"/>
                <w:lang w:eastAsia="zh-CN"/>
              </w:rPr>
              <w:t>8(j)</w:t>
            </w:r>
            <w:r>
              <w:rPr>
                <w:rFonts w:hint="eastAsia"/>
                <w:color w:val="000000"/>
                <w:sz w:val="20"/>
                <w:szCs w:val="20"/>
                <w:lang w:eastAsia="zh-CN"/>
              </w:rPr>
              <w:t>条</w:t>
            </w:r>
            <w:r>
              <w:rPr>
                <w:color w:val="000000"/>
                <w:sz w:val="20"/>
                <w:szCs w:val="20"/>
                <w:lang w:eastAsia="zh-CN"/>
              </w:rPr>
              <w:t>和相关条款</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lang w:eastAsia="zh-CN"/>
              </w:rPr>
              <w:t xml:space="preserve">                 </w:t>
            </w:r>
            <w:r w:rsidRPr="001751E8">
              <w:rPr>
                <w:color w:val="000000"/>
                <w:sz w:val="20"/>
                <w:szCs w:val="20"/>
              </w:rPr>
              <w:t xml:space="preserve">35.0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能力建设</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571.0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气候变化</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153.0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传播战略</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150.0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合作</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715.5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数字序列信息</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60.0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生态系统恢复</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40.0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财务机制</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250.0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性别问题</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77.5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《全球生物多样性</w:t>
            </w:r>
            <w:r>
              <w:rPr>
                <w:color w:val="000000"/>
                <w:sz w:val="20"/>
                <w:szCs w:val="20"/>
                <w:lang w:eastAsia="zh-CN"/>
              </w:rPr>
              <w:t>展望</w:t>
            </w:r>
            <w:r>
              <w:rPr>
                <w:rFonts w:hint="eastAsia"/>
                <w:color w:val="000000"/>
                <w:sz w:val="20"/>
                <w:szCs w:val="20"/>
                <w:lang w:eastAsia="zh-CN"/>
              </w:rPr>
              <w:t>》</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lang w:eastAsia="zh-CN"/>
              </w:rPr>
              <w:t xml:space="preserve">               </w:t>
            </w:r>
            <w:r w:rsidRPr="001751E8">
              <w:rPr>
                <w:color w:val="000000"/>
                <w:sz w:val="20"/>
                <w:szCs w:val="20"/>
              </w:rPr>
              <w:t xml:space="preserve">910.0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健康</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50.0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外来入侵物种</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20.0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知识管理</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84.0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主流化</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544.0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海洋</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295.5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授粉媒介</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100.0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color w:val="000000"/>
                <w:sz w:val="20"/>
                <w:szCs w:val="20"/>
              </w:rPr>
              <w:t>2020</w:t>
            </w:r>
            <w:r>
              <w:rPr>
                <w:rFonts w:hint="eastAsia"/>
                <w:color w:val="000000"/>
                <w:sz w:val="20"/>
                <w:szCs w:val="20"/>
                <w:lang w:eastAsia="zh-CN"/>
              </w:rPr>
              <w:t>年后</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586.0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保护区</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167.5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资源调动</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250.0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审查机制</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42.0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sidRPr="001751E8">
              <w:rPr>
                <w:color w:val="000000"/>
                <w:sz w:val="20"/>
                <w:szCs w:val="20"/>
              </w:rPr>
              <w:t>2011-2020</w:t>
            </w:r>
            <w:r>
              <w:rPr>
                <w:rFonts w:hint="eastAsia"/>
                <w:color w:val="000000"/>
                <w:sz w:val="20"/>
                <w:szCs w:val="20"/>
                <w:lang w:eastAsia="zh-CN"/>
              </w:rPr>
              <w:t>年</w:t>
            </w:r>
            <w:r>
              <w:rPr>
                <w:color w:val="000000"/>
                <w:sz w:val="20"/>
                <w:szCs w:val="20"/>
                <w:lang w:eastAsia="zh-CN"/>
              </w:rPr>
              <w:t>战略计划</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48.0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可持续野生生物</w:t>
            </w:r>
            <w:r>
              <w:rPr>
                <w:color w:val="000000"/>
                <w:sz w:val="20"/>
                <w:szCs w:val="20"/>
                <w:lang w:eastAsia="zh-CN"/>
              </w:rPr>
              <w:t>管理</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140.0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合成生物学</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78.0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技术和</w:t>
            </w:r>
            <w:r>
              <w:rPr>
                <w:color w:val="000000"/>
                <w:sz w:val="20"/>
                <w:szCs w:val="20"/>
                <w:lang w:eastAsia="zh-CN"/>
              </w:rPr>
              <w:t>科学合作</w:t>
            </w:r>
          </w:p>
        </w:tc>
        <w:tc>
          <w:tcPr>
            <w:tcW w:w="1416" w:type="dxa"/>
            <w:tcBorders>
              <w:top w:val="nil"/>
              <w:left w:val="nil"/>
              <w:bottom w:val="single" w:sz="4" w:space="0" w:color="auto"/>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340.0 </w:t>
            </w:r>
          </w:p>
        </w:tc>
      </w:tr>
      <w:tr w:rsidR="00162864" w:rsidRPr="001751E8" w:rsidTr="00162864">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小计</w:t>
            </w:r>
          </w:p>
        </w:tc>
        <w:tc>
          <w:tcPr>
            <w:tcW w:w="1416" w:type="dxa"/>
            <w:tcBorders>
              <w:top w:val="nil"/>
              <w:left w:val="nil"/>
              <w:bottom w:val="single" w:sz="4" w:space="0" w:color="auto"/>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5</w:t>
            </w:r>
            <w:r>
              <w:rPr>
                <w:color w:val="000000"/>
                <w:sz w:val="20"/>
                <w:szCs w:val="20"/>
              </w:rPr>
              <w:t xml:space="preserve"> </w:t>
            </w:r>
            <w:r w:rsidRPr="001751E8">
              <w:rPr>
                <w:color w:val="000000"/>
                <w:sz w:val="20"/>
                <w:szCs w:val="20"/>
              </w:rPr>
              <w:t xml:space="preserve">707.0 </w:t>
            </w:r>
          </w:p>
        </w:tc>
      </w:tr>
      <w:tr w:rsidR="00162864" w:rsidRPr="001751E8" w:rsidTr="00162864">
        <w:trPr>
          <w:trHeight w:val="264"/>
          <w:jc w:val="center"/>
        </w:trPr>
        <w:tc>
          <w:tcPr>
            <w:tcW w:w="5556" w:type="dxa"/>
            <w:tcBorders>
              <w:top w:val="nil"/>
              <w:left w:val="nil"/>
              <w:bottom w:val="nil"/>
              <w:right w:val="nil"/>
            </w:tcBorders>
            <w:shd w:val="clear" w:color="auto" w:fill="auto"/>
            <w:noWrap/>
            <w:vAlign w:val="bottom"/>
            <w:hideMark/>
          </w:tcPr>
          <w:p w:rsidR="00162864" w:rsidRPr="007D2CEA" w:rsidRDefault="00162864" w:rsidP="00162864">
            <w:pPr>
              <w:spacing w:before="0" w:after="0"/>
              <w:ind w:firstLine="0"/>
              <w:rPr>
                <w:b/>
                <w:bCs/>
                <w:color w:val="000000"/>
                <w:sz w:val="20"/>
                <w:szCs w:val="20"/>
                <w:lang w:eastAsia="zh-CN"/>
              </w:rPr>
            </w:pPr>
            <w:r w:rsidRPr="007D2CEA">
              <w:rPr>
                <w:rFonts w:hint="eastAsia"/>
                <w:b/>
                <w:bCs/>
                <w:color w:val="000000"/>
                <w:sz w:val="20"/>
                <w:szCs w:val="20"/>
                <w:lang w:eastAsia="zh-CN"/>
              </w:rPr>
              <w:t>工作人员差旅</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b/>
                <w:bCs/>
                <w:color w:val="000000"/>
                <w:sz w:val="20"/>
                <w:szCs w:val="20"/>
                <w:u w:val="single"/>
              </w:rPr>
            </w:pP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气候变化</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8.5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合作</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42.0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生态系统恢复</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性别问题</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健康</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40.0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主流化</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20.0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海洋</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38.0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color w:val="000000"/>
                <w:sz w:val="20"/>
                <w:szCs w:val="20"/>
              </w:rPr>
              <w:t>2020</w:t>
            </w:r>
            <w:r>
              <w:rPr>
                <w:rFonts w:hint="eastAsia"/>
                <w:color w:val="000000"/>
                <w:sz w:val="20"/>
                <w:szCs w:val="20"/>
                <w:lang w:eastAsia="zh-CN"/>
              </w:rPr>
              <w:t>年后</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150.0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保护区</w:t>
            </w:r>
          </w:p>
        </w:tc>
        <w:tc>
          <w:tcPr>
            <w:tcW w:w="1416" w:type="dxa"/>
            <w:tcBorders>
              <w:top w:val="nil"/>
              <w:left w:val="nil"/>
              <w:bottom w:val="single" w:sz="4" w:space="0" w:color="auto"/>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6.0 </w:t>
            </w:r>
          </w:p>
        </w:tc>
      </w:tr>
      <w:tr w:rsidR="00162864" w:rsidRPr="001751E8" w:rsidTr="00162864">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小计</w:t>
            </w:r>
          </w:p>
        </w:tc>
        <w:tc>
          <w:tcPr>
            <w:tcW w:w="1416" w:type="dxa"/>
            <w:tcBorders>
              <w:top w:val="nil"/>
              <w:left w:val="nil"/>
              <w:bottom w:val="single" w:sz="4" w:space="0" w:color="auto"/>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324.5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7D2CEA" w:rsidRDefault="00162864" w:rsidP="00162864">
            <w:pPr>
              <w:spacing w:before="0" w:after="0"/>
              <w:ind w:firstLine="0"/>
              <w:rPr>
                <w:b/>
                <w:bCs/>
                <w:color w:val="000000"/>
                <w:sz w:val="20"/>
                <w:szCs w:val="20"/>
              </w:rPr>
            </w:pPr>
            <w:r w:rsidRPr="007D2CEA">
              <w:rPr>
                <w:rFonts w:hint="eastAsia"/>
                <w:b/>
                <w:bCs/>
                <w:color w:val="000000"/>
                <w:sz w:val="20"/>
                <w:szCs w:val="20"/>
                <w:lang w:eastAsia="zh-CN"/>
              </w:rPr>
              <w:t>报告编制</w:t>
            </w:r>
            <w:r w:rsidRPr="007D2CEA">
              <w:rPr>
                <w:b/>
                <w:bCs/>
                <w:color w:val="000000"/>
                <w:sz w:val="20"/>
                <w:szCs w:val="20"/>
              </w:rPr>
              <w:t>/</w:t>
            </w:r>
            <w:r w:rsidRPr="007D2CEA">
              <w:rPr>
                <w:rFonts w:hint="eastAsia"/>
                <w:b/>
                <w:bCs/>
                <w:color w:val="000000"/>
                <w:sz w:val="20"/>
                <w:szCs w:val="20"/>
                <w:lang w:eastAsia="zh-CN"/>
              </w:rPr>
              <w:t>印刷</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b/>
                <w:bCs/>
                <w:color w:val="000000"/>
                <w:sz w:val="20"/>
                <w:szCs w:val="20"/>
                <w:u w:val="single"/>
              </w:rPr>
            </w:pP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能力建设</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20.0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气候变化</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7.0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合作</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20.0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《全球</w:t>
            </w:r>
            <w:r>
              <w:rPr>
                <w:color w:val="000000"/>
                <w:sz w:val="20"/>
                <w:szCs w:val="20"/>
                <w:lang w:eastAsia="zh-CN"/>
              </w:rPr>
              <w:t>生物多样性展望</w:t>
            </w:r>
            <w:r>
              <w:rPr>
                <w:rFonts w:hint="eastAsia"/>
                <w:color w:val="000000"/>
                <w:sz w:val="20"/>
                <w:szCs w:val="20"/>
                <w:lang w:eastAsia="zh-CN"/>
              </w:rPr>
              <w:t>》</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lang w:eastAsia="zh-CN"/>
              </w:rPr>
              <w:t xml:space="preserve">               </w:t>
            </w:r>
            <w:r w:rsidRPr="001751E8">
              <w:rPr>
                <w:color w:val="000000"/>
                <w:sz w:val="20"/>
                <w:szCs w:val="20"/>
              </w:rPr>
              <w:t xml:space="preserve">170.0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lastRenderedPageBreak/>
              <w:t>性别问题</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6.5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健康</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40.0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知识管理</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50.0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主流化</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60.0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海洋</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color w:val="000000"/>
                <w:sz w:val="20"/>
                <w:szCs w:val="20"/>
              </w:rPr>
              <w:t>2020</w:t>
            </w:r>
            <w:r>
              <w:rPr>
                <w:rFonts w:hint="eastAsia"/>
                <w:color w:val="000000"/>
                <w:sz w:val="20"/>
                <w:szCs w:val="20"/>
                <w:lang w:eastAsia="zh-CN"/>
              </w:rPr>
              <w:t>年后</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tcPr>
          <w:p w:rsidR="00162864" w:rsidRDefault="00162864" w:rsidP="00162864">
            <w:pPr>
              <w:spacing w:before="0" w:after="0"/>
              <w:ind w:firstLine="0"/>
              <w:rPr>
                <w:color w:val="000000"/>
                <w:sz w:val="20"/>
                <w:szCs w:val="20"/>
                <w:lang w:eastAsia="zh-CN"/>
              </w:rPr>
            </w:pPr>
            <w:r>
              <w:rPr>
                <w:rFonts w:hint="eastAsia"/>
                <w:color w:val="000000"/>
                <w:sz w:val="20"/>
                <w:szCs w:val="20"/>
                <w:lang w:eastAsia="zh-CN"/>
              </w:rPr>
              <w:t>保护区</w:t>
            </w:r>
          </w:p>
        </w:tc>
        <w:tc>
          <w:tcPr>
            <w:tcW w:w="1416" w:type="dxa"/>
            <w:tcBorders>
              <w:top w:val="nil"/>
              <w:left w:val="nil"/>
              <w:bottom w:val="nil"/>
              <w:right w:val="nil"/>
            </w:tcBorders>
            <w:shd w:val="clear" w:color="auto" w:fill="auto"/>
            <w:noWrap/>
            <w:vAlign w:val="bottom"/>
          </w:tcPr>
          <w:p w:rsidR="00162864" w:rsidRPr="001751E8" w:rsidRDefault="00162864" w:rsidP="00162864">
            <w:pPr>
              <w:spacing w:before="0" w:after="0"/>
              <w:ind w:firstLine="0"/>
              <w:rPr>
                <w:color w:val="000000"/>
                <w:sz w:val="20"/>
                <w:szCs w:val="20"/>
              </w:rPr>
            </w:pPr>
            <w:r>
              <w:rPr>
                <w:color w:val="000000"/>
                <w:sz w:val="20"/>
                <w:szCs w:val="20"/>
              </w:rPr>
              <w:t xml:space="preserve">                   3.0</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资源调动</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技术和</w:t>
            </w:r>
            <w:r>
              <w:rPr>
                <w:color w:val="000000"/>
                <w:sz w:val="20"/>
                <w:szCs w:val="20"/>
                <w:lang w:eastAsia="zh-CN"/>
              </w:rPr>
              <w:t>科学合作</w:t>
            </w:r>
          </w:p>
        </w:tc>
        <w:tc>
          <w:tcPr>
            <w:tcW w:w="1416" w:type="dxa"/>
            <w:tcBorders>
              <w:top w:val="nil"/>
              <w:left w:val="nil"/>
              <w:bottom w:val="single" w:sz="4" w:space="0" w:color="auto"/>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25.0 </w:t>
            </w:r>
          </w:p>
        </w:tc>
      </w:tr>
      <w:tr w:rsidR="00162864" w:rsidRPr="001751E8" w:rsidTr="00162864">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小计</w:t>
            </w:r>
          </w:p>
        </w:tc>
        <w:tc>
          <w:tcPr>
            <w:tcW w:w="1416" w:type="dxa"/>
            <w:tcBorders>
              <w:top w:val="nil"/>
              <w:left w:val="nil"/>
              <w:bottom w:val="single" w:sz="4" w:space="0" w:color="auto"/>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431.5 </w:t>
            </w:r>
          </w:p>
        </w:tc>
      </w:tr>
      <w:tr w:rsidR="00162864" w:rsidRPr="001751E8" w:rsidTr="00162864">
        <w:trPr>
          <w:trHeight w:val="264"/>
          <w:jc w:val="center"/>
        </w:trPr>
        <w:tc>
          <w:tcPr>
            <w:tcW w:w="5556" w:type="dxa"/>
            <w:tcBorders>
              <w:top w:val="nil"/>
              <w:left w:val="nil"/>
              <w:bottom w:val="nil"/>
              <w:right w:val="nil"/>
            </w:tcBorders>
            <w:shd w:val="clear" w:color="auto" w:fill="auto"/>
            <w:noWrap/>
            <w:vAlign w:val="bottom"/>
            <w:hideMark/>
          </w:tcPr>
          <w:p w:rsidR="00162864" w:rsidRPr="00D4491C" w:rsidRDefault="00162864" w:rsidP="00162864">
            <w:pPr>
              <w:spacing w:before="0" w:after="0"/>
              <w:ind w:firstLine="0"/>
              <w:rPr>
                <w:b/>
                <w:bCs/>
                <w:color w:val="000000"/>
                <w:sz w:val="20"/>
                <w:szCs w:val="20"/>
                <w:lang w:eastAsia="zh-CN"/>
              </w:rPr>
            </w:pPr>
            <w:r w:rsidRPr="00D4491C">
              <w:rPr>
                <w:rFonts w:hint="eastAsia"/>
                <w:b/>
                <w:bCs/>
                <w:color w:val="000000"/>
                <w:sz w:val="20"/>
                <w:szCs w:val="20"/>
                <w:lang w:eastAsia="zh-CN"/>
              </w:rPr>
              <w:t>出版物</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b/>
                <w:bCs/>
                <w:color w:val="000000"/>
                <w:sz w:val="20"/>
                <w:szCs w:val="20"/>
                <w:u w:val="single"/>
              </w:rPr>
            </w:pP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第</w:t>
            </w:r>
            <w:r w:rsidRPr="001751E8">
              <w:rPr>
                <w:color w:val="000000"/>
                <w:sz w:val="20"/>
                <w:szCs w:val="20"/>
                <w:lang w:eastAsia="zh-CN"/>
              </w:rPr>
              <w:t>8</w:t>
            </w:r>
            <w:r>
              <w:rPr>
                <w:color w:val="000000"/>
                <w:sz w:val="20"/>
                <w:szCs w:val="20"/>
                <w:lang w:eastAsia="zh-CN"/>
              </w:rPr>
              <w:t>(j)</w:t>
            </w:r>
            <w:r>
              <w:rPr>
                <w:rFonts w:hint="eastAsia"/>
                <w:color w:val="000000"/>
                <w:sz w:val="20"/>
                <w:szCs w:val="20"/>
                <w:lang w:eastAsia="zh-CN"/>
              </w:rPr>
              <w:t>条</w:t>
            </w:r>
            <w:r>
              <w:rPr>
                <w:color w:val="000000"/>
                <w:sz w:val="20"/>
                <w:szCs w:val="20"/>
                <w:lang w:eastAsia="zh-CN"/>
              </w:rPr>
              <w:t>和相关条款</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lang w:eastAsia="zh-CN"/>
              </w:rPr>
              <w:t xml:space="preserve">                   </w:t>
            </w:r>
            <w:r w:rsidRPr="001751E8">
              <w:rPr>
                <w:color w:val="000000"/>
                <w:sz w:val="20"/>
                <w:szCs w:val="20"/>
              </w:rPr>
              <w:t xml:space="preserve">2.0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能力建设</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35.0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合作</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105.0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《全球</w:t>
            </w:r>
            <w:r>
              <w:rPr>
                <w:color w:val="000000"/>
                <w:sz w:val="20"/>
                <w:szCs w:val="20"/>
                <w:lang w:eastAsia="zh-CN"/>
              </w:rPr>
              <w:t>生物多样性</w:t>
            </w:r>
            <w:r>
              <w:rPr>
                <w:rFonts w:hint="eastAsia"/>
                <w:color w:val="000000"/>
                <w:sz w:val="20"/>
                <w:szCs w:val="20"/>
                <w:lang w:eastAsia="zh-CN"/>
              </w:rPr>
              <w:t>展望》</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lang w:eastAsia="zh-CN"/>
              </w:rPr>
              <w:t xml:space="preserve">               </w:t>
            </w:r>
            <w:r w:rsidRPr="001751E8">
              <w:rPr>
                <w:color w:val="000000"/>
                <w:sz w:val="20"/>
                <w:szCs w:val="20"/>
              </w:rPr>
              <w:t xml:space="preserve">100.0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性别问题</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3.0 </w:t>
            </w:r>
          </w:p>
        </w:tc>
      </w:tr>
      <w:tr w:rsidR="00162864" w:rsidRPr="001751E8" w:rsidTr="00162864">
        <w:trPr>
          <w:trHeight w:val="288"/>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健康</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30.0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知识管理</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100.0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主流化</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118.0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海洋</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20.0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授粉媒介</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50.0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color w:val="000000"/>
                <w:sz w:val="20"/>
                <w:szCs w:val="20"/>
              </w:rPr>
              <w:t>2020</w:t>
            </w:r>
            <w:r>
              <w:rPr>
                <w:rFonts w:hint="eastAsia"/>
                <w:color w:val="000000"/>
                <w:sz w:val="20"/>
                <w:szCs w:val="20"/>
                <w:lang w:eastAsia="zh-CN"/>
              </w:rPr>
              <w:t>年后</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15.0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保护区</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3.0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资源调动</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3.0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可持续野生生物</w:t>
            </w:r>
            <w:r>
              <w:rPr>
                <w:color w:val="000000"/>
                <w:sz w:val="20"/>
                <w:szCs w:val="20"/>
                <w:lang w:eastAsia="zh-CN"/>
              </w:rPr>
              <w:t>管理</w:t>
            </w:r>
          </w:p>
        </w:tc>
        <w:tc>
          <w:tcPr>
            <w:tcW w:w="1416" w:type="dxa"/>
            <w:tcBorders>
              <w:top w:val="nil"/>
              <w:left w:val="nil"/>
              <w:bottom w:val="nil"/>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65.0 </w:t>
            </w:r>
          </w:p>
        </w:tc>
      </w:tr>
      <w:tr w:rsidR="00162864" w:rsidRPr="001751E8" w:rsidTr="00162864">
        <w:trPr>
          <w:trHeight w:val="264"/>
          <w:jc w:val="center"/>
        </w:trPr>
        <w:tc>
          <w:tcPr>
            <w:tcW w:w="5556" w:type="dxa"/>
            <w:tcBorders>
              <w:top w:val="nil"/>
              <w:left w:val="nil"/>
              <w:bottom w:val="nil"/>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技术和</w:t>
            </w:r>
            <w:r>
              <w:rPr>
                <w:color w:val="000000"/>
                <w:sz w:val="20"/>
                <w:szCs w:val="20"/>
                <w:lang w:eastAsia="zh-CN"/>
              </w:rPr>
              <w:t>科学合作</w:t>
            </w:r>
          </w:p>
        </w:tc>
        <w:tc>
          <w:tcPr>
            <w:tcW w:w="1416" w:type="dxa"/>
            <w:tcBorders>
              <w:top w:val="nil"/>
              <w:left w:val="nil"/>
              <w:bottom w:val="single" w:sz="4" w:space="0" w:color="auto"/>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20.0 </w:t>
            </w:r>
          </w:p>
        </w:tc>
      </w:tr>
      <w:tr w:rsidR="00162864" w:rsidRPr="001751E8" w:rsidTr="00162864">
        <w:trPr>
          <w:trHeight w:val="264"/>
          <w:jc w:val="center"/>
        </w:trPr>
        <w:tc>
          <w:tcPr>
            <w:tcW w:w="5556" w:type="dxa"/>
            <w:tcBorders>
              <w:top w:val="single" w:sz="4" w:space="0" w:color="auto"/>
              <w:left w:val="nil"/>
              <w:bottom w:val="single" w:sz="4" w:space="0" w:color="auto"/>
              <w:right w:val="nil"/>
            </w:tcBorders>
            <w:shd w:val="clear" w:color="auto" w:fill="auto"/>
            <w:vAlign w:val="bottom"/>
            <w:hideMark/>
          </w:tcPr>
          <w:p w:rsidR="00162864" w:rsidRPr="001751E8" w:rsidRDefault="00162864" w:rsidP="00162864">
            <w:pPr>
              <w:spacing w:before="0" w:after="0"/>
              <w:ind w:firstLine="0"/>
              <w:rPr>
                <w:color w:val="000000"/>
                <w:sz w:val="20"/>
                <w:szCs w:val="20"/>
                <w:lang w:eastAsia="zh-CN"/>
              </w:rPr>
            </w:pPr>
            <w:r>
              <w:rPr>
                <w:rFonts w:hint="eastAsia"/>
                <w:color w:val="000000"/>
                <w:sz w:val="20"/>
                <w:szCs w:val="20"/>
                <w:lang w:eastAsia="zh-CN"/>
              </w:rPr>
              <w:t>小计</w:t>
            </w:r>
          </w:p>
        </w:tc>
        <w:tc>
          <w:tcPr>
            <w:tcW w:w="1416" w:type="dxa"/>
            <w:tcBorders>
              <w:top w:val="nil"/>
              <w:left w:val="nil"/>
              <w:bottom w:val="single" w:sz="4" w:space="0" w:color="auto"/>
              <w:right w:val="nil"/>
            </w:tcBorders>
            <w:shd w:val="clear" w:color="auto" w:fill="auto"/>
            <w:noWrap/>
            <w:vAlign w:val="bottom"/>
            <w:hideMark/>
          </w:tcPr>
          <w:p w:rsidR="00162864" w:rsidRPr="001751E8" w:rsidRDefault="00162864" w:rsidP="00162864">
            <w:pPr>
              <w:spacing w:before="0" w:after="0"/>
              <w:ind w:firstLine="0"/>
              <w:rPr>
                <w:color w:val="000000"/>
                <w:sz w:val="20"/>
                <w:szCs w:val="20"/>
              </w:rPr>
            </w:pPr>
            <w:r w:rsidRPr="001751E8">
              <w:rPr>
                <w:color w:val="000000"/>
                <w:sz w:val="20"/>
                <w:szCs w:val="20"/>
              </w:rPr>
              <w:t xml:space="preserve">               669.0 </w:t>
            </w:r>
          </w:p>
        </w:tc>
      </w:tr>
      <w:tr w:rsidR="00162864" w:rsidRPr="001751E8" w:rsidTr="00162864">
        <w:trPr>
          <w:trHeight w:val="276"/>
          <w:jc w:val="center"/>
        </w:trPr>
        <w:tc>
          <w:tcPr>
            <w:tcW w:w="5556" w:type="dxa"/>
            <w:tcBorders>
              <w:top w:val="single" w:sz="4" w:space="0" w:color="auto"/>
              <w:left w:val="nil"/>
              <w:bottom w:val="single" w:sz="8" w:space="0" w:color="auto"/>
              <w:right w:val="nil"/>
            </w:tcBorders>
            <w:shd w:val="clear" w:color="auto" w:fill="auto"/>
            <w:noWrap/>
            <w:vAlign w:val="bottom"/>
            <w:hideMark/>
          </w:tcPr>
          <w:p w:rsidR="00162864" w:rsidRPr="001751E8" w:rsidRDefault="00162864" w:rsidP="00162864">
            <w:pPr>
              <w:spacing w:before="0" w:after="0"/>
              <w:ind w:firstLine="0"/>
              <w:rPr>
                <w:b/>
                <w:bCs/>
                <w:color w:val="000000"/>
                <w:sz w:val="20"/>
                <w:szCs w:val="20"/>
                <w:lang w:eastAsia="zh-CN"/>
              </w:rPr>
            </w:pPr>
            <w:r>
              <w:rPr>
                <w:rFonts w:hint="eastAsia"/>
                <w:b/>
                <w:bCs/>
                <w:color w:val="000000"/>
                <w:sz w:val="20"/>
                <w:szCs w:val="20"/>
                <w:lang w:eastAsia="zh-CN"/>
              </w:rPr>
              <w:t>共计</w:t>
            </w:r>
          </w:p>
        </w:tc>
        <w:tc>
          <w:tcPr>
            <w:tcW w:w="1416" w:type="dxa"/>
            <w:tcBorders>
              <w:top w:val="single" w:sz="4" w:space="0" w:color="auto"/>
              <w:left w:val="nil"/>
              <w:bottom w:val="single" w:sz="8" w:space="0" w:color="auto"/>
              <w:right w:val="nil"/>
            </w:tcBorders>
            <w:shd w:val="clear" w:color="auto" w:fill="auto"/>
            <w:noWrap/>
            <w:vAlign w:val="bottom"/>
            <w:hideMark/>
          </w:tcPr>
          <w:p w:rsidR="00162864" w:rsidRPr="001751E8" w:rsidRDefault="00162864" w:rsidP="00162864">
            <w:pPr>
              <w:spacing w:before="0" w:after="0"/>
              <w:ind w:firstLine="0"/>
              <w:jc w:val="center"/>
              <w:rPr>
                <w:b/>
                <w:bCs/>
                <w:color w:val="000000"/>
                <w:sz w:val="20"/>
                <w:szCs w:val="20"/>
              </w:rPr>
            </w:pPr>
            <w:r>
              <w:rPr>
                <w:b/>
                <w:bCs/>
                <w:color w:val="000000"/>
                <w:sz w:val="20"/>
                <w:szCs w:val="20"/>
              </w:rPr>
              <w:t xml:space="preserve">          19 </w:t>
            </w:r>
            <w:r w:rsidRPr="001751E8">
              <w:rPr>
                <w:b/>
                <w:bCs/>
                <w:color w:val="000000"/>
                <w:sz w:val="20"/>
                <w:szCs w:val="20"/>
              </w:rPr>
              <w:t xml:space="preserve">475.0 </w:t>
            </w:r>
          </w:p>
        </w:tc>
      </w:tr>
      <w:tr w:rsidR="00162864" w:rsidRPr="00C6366D" w:rsidTr="00162864">
        <w:trPr>
          <w:trHeight w:val="276"/>
          <w:jc w:val="center"/>
        </w:trPr>
        <w:tc>
          <w:tcPr>
            <w:tcW w:w="5556" w:type="dxa"/>
            <w:tcBorders>
              <w:top w:val="single" w:sz="4" w:space="0" w:color="auto"/>
              <w:left w:val="nil"/>
              <w:bottom w:val="single" w:sz="8" w:space="0" w:color="auto"/>
              <w:right w:val="nil"/>
            </w:tcBorders>
            <w:shd w:val="clear" w:color="auto" w:fill="auto"/>
            <w:noWrap/>
            <w:vAlign w:val="bottom"/>
            <w:hideMark/>
          </w:tcPr>
          <w:p w:rsidR="00162864" w:rsidRPr="00C6366D" w:rsidRDefault="00162864" w:rsidP="00162864">
            <w:pPr>
              <w:spacing w:before="0" w:after="0"/>
              <w:ind w:firstLine="0"/>
              <w:rPr>
                <w:b/>
                <w:bCs/>
                <w:color w:val="000000"/>
                <w:sz w:val="20"/>
                <w:szCs w:val="20"/>
              </w:rPr>
            </w:pPr>
            <w:r>
              <w:rPr>
                <w:rFonts w:hint="eastAsia"/>
                <w:b/>
                <w:bCs/>
                <w:color w:val="000000"/>
                <w:sz w:val="20"/>
                <w:szCs w:val="20"/>
                <w:lang w:eastAsia="zh-CN"/>
              </w:rPr>
              <w:t>方案支助费用</w:t>
            </w:r>
            <w:r w:rsidRPr="00C6366D">
              <w:rPr>
                <w:b/>
                <w:bCs/>
                <w:color w:val="000000"/>
                <w:sz w:val="20"/>
                <w:szCs w:val="20"/>
              </w:rPr>
              <w:t xml:space="preserve"> </w:t>
            </w:r>
            <w:r>
              <w:rPr>
                <w:b/>
                <w:bCs/>
                <w:color w:val="000000"/>
                <w:sz w:val="20"/>
                <w:szCs w:val="20"/>
              </w:rPr>
              <w:t>（</w:t>
            </w:r>
            <w:r w:rsidRPr="00C6366D">
              <w:rPr>
                <w:b/>
                <w:bCs/>
                <w:color w:val="000000"/>
                <w:sz w:val="20"/>
                <w:szCs w:val="20"/>
              </w:rPr>
              <w:t>13%</w:t>
            </w:r>
            <w:r>
              <w:rPr>
                <w:b/>
                <w:bCs/>
                <w:color w:val="000000"/>
                <w:sz w:val="20"/>
                <w:szCs w:val="20"/>
              </w:rPr>
              <w:t>）</w:t>
            </w:r>
          </w:p>
        </w:tc>
        <w:tc>
          <w:tcPr>
            <w:tcW w:w="1416" w:type="dxa"/>
            <w:tcBorders>
              <w:top w:val="single" w:sz="4" w:space="0" w:color="auto"/>
              <w:left w:val="nil"/>
              <w:bottom w:val="single" w:sz="8" w:space="0" w:color="auto"/>
              <w:right w:val="nil"/>
            </w:tcBorders>
            <w:shd w:val="clear" w:color="auto" w:fill="auto"/>
            <w:noWrap/>
            <w:vAlign w:val="bottom"/>
            <w:hideMark/>
          </w:tcPr>
          <w:p w:rsidR="00162864" w:rsidRPr="00C6366D" w:rsidRDefault="00162864" w:rsidP="00162864">
            <w:pPr>
              <w:spacing w:before="0" w:after="0"/>
              <w:ind w:firstLine="0"/>
              <w:jc w:val="center"/>
              <w:rPr>
                <w:b/>
                <w:bCs/>
                <w:color w:val="000000"/>
                <w:sz w:val="20"/>
                <w:szCs w:val="20"/>
              </w:rPr>
            </w:pPr>
            <w:r w:rsidRPr="00C6366D">
              <w:rPr>
                <w:b/>
                <w:bCs/>
                <w:color w:val="000000"/>
                <w:sz w:val="20"/>
                <w:szCs w:val="20"/>
              </w:rPr>
              <w:t xml:space="preserve">   </w:t>
            </w:r>
            <w:r>
              <w:rPr>
                <w:b/>
                <w:bCs/>
                <w:color w:val="000000"/>
                <w:sz w:val="20"/>
                <w:szCs w:val="20"/>
              </w:rPr>
              <w:t xml:space="preserve">         2 </w:t>
            </w:r>
            <w:r w:rsidRPr="00C6366D">
              <w:rPr>
                <w:b/>
                <w:bCs/>
                <w:color w:val="000000"/>
                <w:sz w:val="20"/>
                <w:szCs w:val="20"/>
              </w:rPr>
              <w:t xml:space="preserve">531.8 </w:t>
            </w:r>
          </w:p>
        </w:tc>
      </w:tr>
      <w:tr w:rsidR="00162864" w:rsidRPr="00C6366D" w:rsidTr="00162864">
        <w:trPr>
          <w:trHeight w:val="276"/>
          <w:jc w:val="center"/>
        </w:trPr>
        <w:tc>
          <w:tcPr>
            <w:tcW w:w="5556" w:type="dxa"/>
            <w:tcBorders>
              <w:top w:val="single" w:sz="4" w:space="0" w:color="auto"/>
              <w:left w:val="nil"/>
              <w:bottom w:val="single" w:sz="8" w:space="0" w:color="auto"/>
              <w:right w:val="nil"/>
            </w:tcBorders>
            <w:shd w:val="clear" w:color="auto" w:fill="auto"/>
            <w:noWrap/>
            <w:vAlign w:val="bottom"/>
            <w:hideMark/>
          </w:tcPr>
          <w:p w:rsidR="00162864" w:rsidRPr="00C6366D" w:rsidRDefault="00162864" w:rsidP="00162864">
            <w:pPr>
              <w:spacing w:before="0" w:after="0"/>
              <w:ind w:firstLine="0"/>
              <w:rPr>
                <w:b/>
                <w:bCs/>
                <w:color w:val="000000"/>
                <w:sz w:val="20"/>
                <w:szCs w:val="20"/>
                <w:lang w:eastAsia="zh-CN"/>
              </w:rPr>
            </w:pPr>
            <w:r>
              <w:rPr>
                <w:rFonts w:hint="eastAsia"/>
                <w:b/>
                <w:bCs/>
                <w:color w:val="000000"/>
                <w:sz w:val="20"/>
                <w:szCs w:val="20"/>
                <w:lang w:eastAsia="zh-CN"/>
              </w:rPr>
              <w:t>共计</w:t>
            </w:r>
            <w:r>
              <w:rPr>
                <w:b/>
                <w:bCs/>
                <w:color w:val="000000"/>
                <w:sz w:val="20"/>
                <w:szCs w:val="20"/>
                <w:lang w:eastAsia="zh-CN"/>
              </w:rPr>
              <w:t>，生物多样性公约</w:t>
            </w:r>
          </w:p>
        </w:tc>
        <w:tc>
          <w:tcPr>
            <w:tcW w:w="1416" w:type="dxa"/>
            <w:tcBorders>
              <w:top w:val="single" w:sz="4" w:space="0" w:color="auto"/>
              <w:left w:val="nil"/>
              <w:bottom w:val="single" w:sz="8" w:space="0" w:color="auto"/>
              <w:right w:val="nil"/>
            </w:tcBorders>
            <w:shd w:val="clear" w:color="auto" w:fill="auto"/>
            <w:noWrap/>
            <w:vAlign w:val="bottom"/>
            <w:hideMark/>
          </w:tcPr>
          <w:p w:rsidR="00162864" w:rsidRPr="00C6366D" w:rsidRDefault="00162864" w:rsidP="00162864">
            <w:pPr>
              <w:spacing w:before="0" w:after="0"/>
              <w:ind w:firstLine="0"/>
              <w:jc w:val="center"/>
              <w:rPr>
                <w:b/>
                <w:bCs/>
                <w:color w:val="000000"/>
                <w:sz w:val="20"/>
                <w:szCs w:val="20"/>
              </w:rPr>
            </w:pPr>
            <w:r w:rsidRPr="00C6366D">
              <w:rPr>
                <w:b/>
                <w:bCs/>
                <w:color w:val="000000"/>
                <w:sz w:val="20"/>
                <w:szCs w:val="20"/>
                <w:lang w:eastAsia="zh-CN"/>
              </w:rPr>
              <w:t xml:space="preserve">          </w:t>
            </w:r>
            <w:r>
              <w:rPr>
                <w:b/>
                <w:bCs/>
                <w:color w:val="000000"/>
                <w:sz w:val="20"/>
                <w:szCs w:val="20"/>
              </w:rPr>
              <w:t xml:space="preserve">22 </w:t>
            </w:r>
            <w:r w:rsidRPr="00C6366D">
              <w:rPr>
                <w:b/>
                <w:bCs/>
                <w:color w:val="000000"/>
                <w:sz w:val="20"/>
                <w:szCs w:val="20"/>
              </w:rPr>
              <w:t xml:space="preserve">006.8 </w:t>
            </w:r>
          </w:p>
        </w:tc>
      </w:tr>
    </w:tbl>
    <w:p w:rsidR="00162864" w:rsidRDefault="00162864" w:rsidP="00162864">
      <w:pPr>
        <w:spacing w:before="0" w:after="0"/>
        <w:ind w:firstLine="0"/>
        <w:rPr>
          <w:b/>
          <w:bCs/>
          <w:iCs/>
          <w:color w:val="000000"/>
          <w:kern w:val="18"/>
          <w:lang w:val="de-CH" w:eastAsia="zh-CN"/>
        </w:rPr>
      </w:pPr>
    </w:p>
    <w:p w:rsidR="00162864" w:rsidRDefault="00162864" w:rsidP="00162864">
      <w:pPr>
        <w:spacing w:before="0" w:after="0"/>
        <w:rPr>
          <w:b/>
          <w:bCs/>
          <w:iCs/>
          <w:color w:val="000000"/>
          <w:kern w:val="18"/>
          <w:lang w:val="de-CH" w:eastAsia="zh-CN"/>
        </w:rPr>
      </w:pPr>
      <w:r>
        <w:rPr>
          <w:b/>
          <w:bCs/>
          <w:iCs/>
          <w:color w:val="000000"/>
          <w:kern w:val="18"/>
          <w:lang w:val="de-CH" w:eastAsia="zh-CN"/>
        </w:rPr>
        <w:br w:type="page"/>
      </w:r>
    </w:p>
    <w:p w:rsidR="00162864" w:rsidRDefault="00162864" w:rsidP="00162864">
      <w:pPr>
        <w:shd w:val="clear" w:color="auto" w:fill="FFFFFF" w:themeFill="background1"/>
        <w:tabs>
          <w:tab w:val="left" w:pos="1440"/>
        </w:tabs>
        <w:adjustRightInd w:val="0"/>
        <w:snapToGrid w:val="0"/>
        <w:spacing w:before="0" w:after="0"/>
        <w:ind w:firstLine="0"/>
        <w:jc w:val="center"/>
        <w:rPr>
          <w:b/>
          <w:bCs/>
          <w:iCs/>
          <w:color w:val="000000"/>
          <w:kern w:val="18"/>
          <w:lang w:val="de-CH" w:eastAsia="zh-CN"/>
        </w:rPr>
      </w:pPr>
      <w:r>
        <w:rPr>
          <w:b/>
          <w:bCs/>
          <w:iCs/>
          <w:color w:val="000000"/>
          <w:kern w:val="18"/>
          <w:lang w:val="de-CH" w:eastAsia="zh-CN"/>
        </w:rPr>
        <w:lastRenderedPageBreak/>
        <w:t>B.</w:t>
      </w:r>
      <w:r>
        <w:rPr>
          <w:rFonts w:hint="eastAsia"/>
          <w:b/>
          <w:bCs/>
          <w:iCs/>
          <w:color w:val="000000"/>
          <w:kern w:val="18"/>
          <w:lang w:val="de-CH" w:eastAsia="zh-CN"/>
        </w:rPr>
        <w:t xml:space="preserve"> </w:t>
      </w:r>
      <w:r>
        <w:rPr>
          <w:b/>
          <w:bCs/>
          <w:iCs/>
          <w:color w:val="000000"/>
          <w:kern w:val="18"/>
          <w:lang w:val="de-CH" w:eastAsia="zh-CN"/>
        </w:rPr>
        <w:t xml:space="preserve">   </w:t>
      </w:r>
      <w:r>
        <w:rPr>
          <w:rFonts w:hint="eastAsia"/>
          <w:b/>
          <w:bCs/>
          <w:iCs/>
          <w:color w:val="000000"/>
          <w:kern w:val="18"/>
          <w:lang w:val="de-CH" w:eastAsia="zh-CN"/>
        </w:rPr>
        <w:t>卡塔赫纳</w:t>
      </w:r>
      <w:r>
        <w:rPr>
          <w:b/>
          <w:bCs/>
          <w:iCs/>
          <w:color w:val="000000"/>
          <w:kern w:val="18"/>
          <w:lang w:val="de-CH" w:eastAsia="zh-CN"/>
        </w:rPr>
        <w:t>生物安全议定书</w:t>
      </w:r>
    </w:p>
    <w:p w:rsidR="00162864" w:rsidRPr="00616CA4" w:rsidRDefault="00162864" w:rsidP="00162864">
      <w:pPr>
        <w:pStyle w:val="ListParagraph"/>
        <w:spacing w:before="0"/>
        <w:ind w:left="0" w:firstLine="0"/>
        <w:jc w:val="center"/>
        <w:rPr>
          <w:rFonts w:ascii="KaiTi" w:eastAsia="KaiTi" w:hAnsi="KaiTi"/>
          <w:lang w:eastAsia="zh-CN"/>
        </w:rPr>
      </w:pPr>
      <w:r>
        <w:rPr>
          <w:rFonts w:ascii="KaiTi" w:eastAsia="KaiTi" w:hAnsi="KaiTi" w:hint="eastAsia"/>
          <w:lang w:eastAsia="zh-CN"/>
        </w:rPr>
        <w:t>（</w:t>
      </w:r>
      <w:r>
        <w:rPr>
          <w:rFonts w:ascii="KaiTi" w:eastAsia="KaiTi" w:hAnsi="KaiTi"/>
          <w:lang w:eastAsia="zh-CN"/>
        </w:rPr>
        <w:t>千美元）</w:t>
      </w:r>
    </w:p>
    <w:tbl>
      <w:tblPr>
        <w:tblW w:w="7792" w:type="dxa"/>
        <w:jc w:val="center"/>
        <w:tblLook w:val="04A0"/>
      </w:tblPr>
      <w:tblGrid>
        <w:gridCol w:w="6056"/>
        <w:gridCol w:w="1736"/>
      </w:tblGrid>
      <w:tr w:rsidR="00162864" w:rsidRPr="00383CF3" w:rsidTr="00162864">
        <w:trPr>
          <w:trHeight w:val="264"/>
          <w:jc w:val="center"/>
        </w:trPr>
        <w:tc>
          <w:tcPr>
            <w:tcW w:w="6056" w:type="dxa"/>
            <w:tcBorders>
              <w:top w:val="nil"/>
              <w:left w:val="nil"/>
              <w:bottom w:val="nil"/>
              <w:right w:val="nil"/>
            </w:tcBorders>
            <w:shd w:val="clear" w:color="auto" w:fill="auto"/>
            <w:noWrap/>
            <w:vAlign w:val="bottom"/>
            <w:hideMark/>
          </w:tcPr>
          <w:p w:rsidR="00162864" w:rsidRPr="00D4491C" w:rsidRDefault="00162864" w:rsidP="00162864">
            <w:pPr>
              <w:keepNext/>
              <w:keepLines/>
              <w:spacing w:before="0" w:after="0"/>
              <w:ind w:firstLine="0"/>
              <w:rPr>
                <w:b/>
                <w:bCs/>
                <w:color w:val="000000"/>
                <w:sz w:val="20"/>
                <w:szCs w:val="20"/>
                <w:lang w:eastAsia="zh-CN"/>
              </w:rPr>
            </w:pPr>
            <w:r w:rsidRPr="00D4491C">
              <w:rPr>
                <w:rFonts w:hint="eastAsia"/>
                <w:b/>
                <w:bCs/>
                <w:color w:val="000000"/>
                <w:sz w:val="20"/>
                <w:szCs w:val="20"/>
                <w:lang w:eastAsia="zh-CN"/>
              </w:rPr>
              <w:t>专家会议</w:t>
            </w:r>
          </w:p>
        </w:tc>
        <w:tc>
          <w:tcPr>
            <w:tcW w:w="1736" w:type="dxa"/>
            <w:tcBorders>
              <w:top w:val="nil"/>
              <w:left w:val="nil"/>
              <w:bottom w:val="nil"/>
              <w:right w:val="nil"/>
            </w:tcBorders>
            <w:shd w:val="clear" w:color="auto" w:fill="auto"/>
            <w:noWrap/>
            <w:vAlign w:val="bottom"/>
            <w:hideMark/>
          </w:tcPr>
          <w:p w:rsidR="00162864" w:rsidRPr="00383CF3" w:rsidRDefault="00162864" w:rsidP="00162864">
            <w:pPr>
              <w:keepNext/>
              <w:keepLines/>
              <w:spacing w:before="0" w:after="0"/>
              <w:ind w:firstLine="0"/>
              <w:rPr>
                <w:b/>
                <w:bCs/>
                <w:color w:val="000000"/>
                <w:sz w:val="20"/>
                <w:szCs w:val="20"/>
                <w:u w:val="single"/>
              </w:rPr>
            </w:pPr>
          </w:p>
        </w:tc>
      </w:tr>
      <w:tr w:rsidR="00162864" w:rsidRPr="00383CF3" w:rsidTr="00162864">
        <w:trPr>
          <w:trHeight w:val="264"/>
          <w:jc w:val="center"/>
        </w:trPr>
        <w:tc>
          <w:tcPr>
            <w:tcW w:w="6056" w:type="dxa"/>
            <w:tcBorders>
              <w:top w:val="nil"/>
              <w:left w:val="nil"/>
              <w:bottom w:val="nil"/>
              <w:right w:val="nil"/>
            </w:tcBorders>
            <w:shd w:val="clear" w:color="auto" w:fill="auto"/>
            <w:vAlign w:val="bottom"/>
            <w:hideMark/>
          </w:tcPr>
          <w:p w:rsidR="00162864" w:rsidRPr="00383CF3" w:rsidRDefault="00162864" w:rsidP="00162864">
            <w:pPr>
              <w:keepNext/>
              <w:keepLines/>
              <w:spacing w:before="0" w:after="0"/>
              <w:ind w:firstLine="0"/>
              <w:rPr>
                <w:color w:val="000000"/>
                <w:sz w:val="20"/>
                <w:szCs w:val="20"/>
                <w:lang w:eastAsia="zh-CN"/>
              </w:rPr>
            </w:pPr>
            <w:r>
              <w:rPr>
                <w:rFonts w:hint="eastAsia"/>
                <w:color w:val="000000"/>
                <w:sz w:val="20"/>
                <w:szCs w:val="20"/>
                <w:lang w:eastAsia="zh-CN"/>
              </w:rPr>
              <w:t>社会经济因素</w:t>
            </w:r>
            <w:r>
              <w:rPr>
                <w:color w:val="000000"/>
                <w:sz w:val="20"/>
                <w:szCs w:val="20"/>
                <w:lang w:eastAsia="zh-CN"/>
              </w:rPr>
              <w:t>特设技术专家组</w:t>
            </w:r>
          </w:p>
        </w:tc>
        <w:tc>
          <w:tcPr>
            <w:tcW w:w="1736" w:type="dxa"/>
            <w:tcBorders>
              <w:top w:val="nil"/>
              <w:left w:val="nil"/>
              <w:bottom w:val="nil"/>
              <w:right w:val="nil"/>
            </w:tcBorders>
            <w:shd w:val="clear" w:color="auto" w:fill="auto"/>
            <w:noWrap/>
            <w:vAlign w:val="bottom"/>
            <w:hideMark/>
          </w:tcPr>
          <w:p w:rsidR="00162864" w:rsidRPr="00383CF3" w:rsidRDefault="00162864" w:rsidP="00162864">
            <w:pPr>
              <w:keepNext/>
              <w:keepLines/>
              <w:spacing w:before="0" w:after="0"/>
              <w:ind w:firstLine="0"/>
              <w:rPr>
                <w:color w:val="000000"/>
                <w:sz w:val="20"/>
                <w:szCs w:val="20"/>
              </w:rPr>
            </w:pPr>
            <w:r w:rsidRPr="00383CF3">
              <w:rPr>
                <w:color w:val="000000"/>
                <w:sz w:val="20"/>
                <w:szCs w:val="20"/>
                <w:lang w:eastAsia="zh-CN"/>
              </w:rPr>
              <w:t xml:space="preserve">                       </w:t>
            </w:r>
            <w:r w:rsidRPr="00383CF3">
              <w:rPr>
                <w:color w:val="000000"/>
                <w:sz w:val="20"/>
                <w:szCs w:val="20"/>
              </w:rPr>
              <w:t xml:space="preserve">78.0 </w:t>
            </w:r>
          </w:p>
        </w:tc>
      </w:tr>
      <w:tr w:rsidR="00162864" w:rsidRPr="00383CF3" w:rsidTr="00162864">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162864" w:rsidRPr="00383CF3" w:rsidRDefault="00162864" w:rsidP="00162864">
            <w:pPr>
              <w:keepNext/>
              <w:keepLines/>
              <w:spacing w:before="0" w:after="0"/>
              <w:ind w:firstLine="0"/>
              <w:rPr>
                <w:color w:val="000000"/>
                <w:sz w:val="20"/>
                <w:szCs w:val="20"/>
                <w:lang w:eastAsia="zh-CN"/>
              </w:rPr>
            </w:pPr>
            <w:r>
              <w:rPr>
                <w:rFonts w:hint="eastAsia"/>
                <w:color w:val="000000"/>
                <w:sz w:val="20"/>
                <w:szCs w:val="20"/>
                <w:lang w:eastAsia="zh-CN"/>
              </w:rPr>
              <w:t>小计</w:t>
            </w:r>
          </w:p>
        </w:tc>
        <w:tc>
          <w:tcPr>
            <w:tcW w:w="1736" w:type="dxa"/>
            <w:tcBorders>
              <w:top w:val="single" w:sz="4" w:space="0" w:color="auto"/>
              <w:left w:val="nil"/>
              <w:bottom w:val="single" w:sz="4" w:space="0" w:color="auto"/>
              <w:right w:val="nil"/>
            </w:tcBorders>
            <w:shd w:val="clear" w:color="auto" w:fill="auto"/>
            <w:noWrap/>
            <w:vAlign w:val="bottom"/>
            <w:hideMark/>
          </w:tcPr>
          <w:p w:rsidR="00162864" w:rsidRPr="00383CF3" w:rsidRDefault="00162864" w:rsidP="00162864">
            <w:pPr>
              <w:keepNext/>
              <w:keepLines/>
              <w:spacing w:before="0" w:after="0"/>
              <w:ind w:firstLine="0"/>
              <w:rPr>
                <w:color w:val="000000"/>
                <w:sz w:val="20"/>
                <w:szCs w:val="20"/>
              </w:rPr>
            </w:pPr>
            <w:r w:rsidRPr="00383CF3">
              <w:rPr>
                <w:color w:val="000000"/>
                <w:sz w:val="20"/>
                <w:szCs w:val="20"/>
              </w:rPr>
              <w:t xml:space="preserve">                       78.0 </w:t>
            </w:r>
          </w:p>
        </w:tc>
      </w:tr>
      <w:tr w:rsidR="00162864" w:rsidRPr="00383CF3" w:rsidTr="00162864">
        <w:trPr>
          <w:trHeight w:val="264"/>
          <w:jc w:val="center"/>
        </w:trPr>
        <w:tc>
          <w:tcPr>
            <w:tcW w:w="6056" w:type="dxa"/>
            <w:tcBorders>
              <w:top w:val="nil"/>
              <w:left w:val="nil"/>
              <w:bottom w:val="nil"/>
              <w:right w:val="nil"/>
            </w:tcBorders>
            <w:shd w:val="clear" w:color="auto" w:fill="auto"/>
            <w:noWrap/>
            <w:vAlign w:val="bottom"/>
            <w:hideMark/>
          </w:tcPr>
          <w:p w:rsidR="00162864" w:rsidRPr="00D4491C" w:rsidRDefault="00162864" w:rsidP="00162864">
            <w:pPr>
              <w:spacing w:before="0" w:after="0"/>
              <w:ind w:firstLine="0"/>
              <w:rPr>
                <w:b/>
                <w:bCs/>
                <w:color w:val="000000"/>
                <w:sz w:val="20"/>
                <w:szCs w:val="20"/>
                <w:lang w:eastAsia="zh-CN"/>
              </w:rPr>
            </w:pPr>
            <w:r w:rsidRPr="00D4491C">
              <w:rPr>
                <w:rFonts w:hint="eastAsia"/>
                <w:b/>
                <w:bCs/>
                <w:color w:val="000000"/>
                <w:sz w:val="20"/>
                <w:szCs w:val="20"/>
                <w:lang w:eastAsia="zh-CN"/>
              </w:rPr>
              <w:t>能力建设讲习班</w:t>
            </w:r>
          </w:p>
        </w:tc>
        <w:tc>
          <w:tcPr>
            <w:tcW w:w="1736" w:type="dxa"/>
            <w:tcBorders>
              <w:top w:val="nil"/>
              <w:left w:val="nil"/>
              <w:bottom w:val="nil"/>
              <w:right w:val="nil"/>
            </w:tcBorders>
            <w:shd w:val="clear" w:color="auto" w:fill="auto"/>
            <w:noWrap/>
            <w:vAlign w:val="bottom"/>
            <w:hideMark/>
          </w:tcPr>
          <w:p w:rsidR="00162864" w:rsidRPr="00383CF3" w:rsidRDefault="00162864" w:rsidP="00162864">
            <w:pPr>
              <w:spacing w:before="0" w:after="0"/>
              <w:ind w:firstLine="0"/>
              <w:rPr>
                <w:b/>
                <w:bCs/>
                <w:color w:val="000000"/>
                <w:sz w:val="20"/>
                <w:szCs w:val="20"/>
                <w:u w:val="single"/>
              </w:rPr>
            </w:pPr>
          </w:p>
        </w:tc>
      </w:tr>
      <w:tr w:rsidR="00162864" w:rsidRPr="00383CF3" w:rsidTr="00162864">
        <w:trPr>
          <w:trHeight w:val="264"/>
          <w:jc w:val="center"/>
        </w:trPr>
        <w:tc>
          <w:tcPr>
            <w:tcW w:w="6056" w:type="dxa"/>
            <w:tcBorders>
              <w:top w:val="nil"/>
              <w:left w:val="nil"/>
              <w:bottom w:val="nil"/>
              <w:right w:val="nil"/>
            </w:tcBorders>
            <w:shd w:val="clear" w:color="auto" w:fill="auto"/>
            <w:vAlign w:val="bottom"/>
            <w:hideMark/>
          </w:tcPr>
          <w:p w:rsidR="00162864" w:rsidRPr="00383CF3" w:rsidRDefault="00162864" w:rsidP="00162864">
            <w:pPr>
              <w:spacing w:before="0" w:after="0"/>
              <w:ind w:firstLine="0"/>
              <w:rPr>
                <w:color w:val="000000"/>
                <w:sz w:val="20"/>
                <w:szCs w:val="20"/>
                <w:lang w:eastAsia="zh-CN"/>
              </w:rPr>
            </w:pPr>
            <w:r>
              <w:rPr>
                <w:rFonts w:hint="eastAsia"/>
                <w:color w:val="000000"/>
                <w:sz w:val="20"/>
                <w:szCs w:val="20"/>
                <w:lang w:eastAsia="zh-CN"/>
              </w:rPr>
              <w:t>名古屋</w:t>
            </w:r>
            <w:r>
              <w:rPr>
                <w:rFonts w:hint="eastAsia"/>
                <w:color w:val="000000"/>
                <w:sz w:val="20"/>
                <w:szCs w:val="20"/>
                <w:lang w:eastAsia="zh-CN"/>
              </w:rPr>
              <w:t>-</w:t>
            </w:r>
            <w:r>
              <w:rPr>
                <w:rFonts w:hint="eastAsia"/>
                <w:color w:val="000000"/>
                <w:sz w:val="20"/>
                <w:szCs w:val="20"/>
                <w:lang w:eastAsia="zh-CN"/>
              </w:rPr>
              <w:t>吉隆坡</w:t>
            </w:r>
            <w:r>
              <w:rPr>
                <w:color w:val="000000"/>
                <w:sz w:val="20"/>
                <w:szCs w:val="20"/>
                <w:lang w:eastAsia="zh-CN"/>
              </w:rPr>
              <w:t>补充议定书</w:t>
            </w:r>
          </w:p>
        </w:tc>
        <w:tc>
          <w:tcPr>
            <w:tcW w:w="1736" w:type="dxa"/>
            <w:tcBorders>
              <w:top w:val="nil"/>
              <w:left w:val="nil"/>
              <w:bottom w:val="nil"/>
              <w:right w:val="nil"/>
            </w:tcBorders>
            <w:shd w:val="clear" w:color="auto" w:fill="auto"/>
            <w:noWrap/>
            <w:vAlign w:val="bottom"/>
            <w:hideMark/>
          </w:tcPr>
          <w:p w:rsidR="00162864" w:rsidRPr="00383CF3" w:rsidRDefault="00162864" w:rsidP="00162864">
            <w:pPr>
              <w:spacing w:before="0" w:after="0"/>
              <w:ind w:firstLine="0"/>
              <w:rPr>
                <w:color w:val="000000"/>
                <w:sz w:val="20"/>
                <w:szCs w:val="20"/>
              </w:rPr>
            </w:pPr>
            <w:r w:rsidRPr="00383CF3">
              <w:rPr>
                <w:color w:val="000000"/>
                <w:sz w:val="20"/>
                <w:szCs w:val="20"/>
                <w:lang w:eastAsia="zh-CN"/>
              </w:rPr>
              <w:t xml:space="preserve">                     </w:t>
            </w:r>
            <w:r w:rsidRPr="00383CF3">
              <w:rPr>
                <w:color w:val="000000"/>
                <w:sz w:val="20"/>
                <w:szCs w:val="20"/>
              </w:rPr>
              <w:t xml:space="preserve">147.0 </w:t>
            </w:r>
          </w:p>
        </w:tc>
      </w:tr>
      <w:tr w:rsidR="00162864" w:rsidRPr="00383CF3" w:rsidTr="00162864">
        <w:trPr>
          <w:trHeight w:val="264"/>
          <w:jc w:val="center"/>
        </w:trPr>
        <w:tc>
          <w:tcPr>
            <w:tcW w:w="6056" w:type="dxa"/>
            <w:tcBorders>
              <w:top w:val="nil"/>
              <w:left w:val="nil"/>
              <w:bottom w:val="nil"/>
              <w:right w:val="nil"/>
            </w:tcBorders>
            <w:shd w:val="clear" w:color="auto" w:fill="auto"/>
            <w:vAlign w:val="bottom"/>
            <w:hideMark/>
          </w:tcPr>
          <w:p w:rsidR="00162864" w:rsidRPr="00383CF3" w:rsidRDefault="00162864" w:rsidP="00162864">
            <w:pPr>
              <w:spacing w:before="0" w:after="0"/>
              <w:ind w:firstLine="0"/>
              <w:rPr>
                <w:color w:val="000000"/>
                <w:sz w:val="20"/>
                <w:szCs w:val="20"/>
                <w:lang w:eastAsia="zh-CN"/>
              </w:rPr>
            </w:pPr>
            <w:r>
              <w:rPr>
                <w:rFonts w:hint="eastAsia"/>
                <w:color w:val="000000"/>
                <w:sz w:val="20"/>
                <w:szCs w:val="20"/>
                <w:lang w:eastAsia="zh-CN"/>
              </w:rPr>
              <w:t>能力建设</w:t>
            </w:r>
          </w:p>
        </w:tc>
        <w:tc>
          <w:tcPr>
            <w:tcW w:w="1736" w:type="dxa"/>
            <w:tcBorders>
              <w:top w:val="nil"/>
              <w:left w:val="nil"/>
              <w:bottom w:val="single" w:sz="4" w:space="0" w:color="auto"/>
              <w:right w:val="nil"/>
            </w:tcBorders>
            <w:shd w:val="clear" w:color="auto" w:fill="auto"/>
            <w:noWrap/>
            <w:vAlign w:val="bottom"/>
            <w:hideMark/>
          </w:tcPr>
          <w:p w:rsidR="00162864" w:rsidRPr="00383CF3" w:rsidRDefault="00162864" w:rsidP="00162864">
            <w:pPr>
              <w:spacing w:before="0" w:after="0"/>
              <w:ind w:firstLine="0"/>
              <w:rPr>
                <w:color w:val="000000"/>
                <w:sz w:val="20"/>
                <w:szCs w:val="20"/>
              </w:rPr>
            </w:pPr>
            <w:r w:rsidRPr="00383CF3">
              <w:rPr>
                <w:color w:val="000000"/>
                <w:sz w:val="20"/>
                <w:szCs w:val="20"/>
              </w:rPr>
              <w:t xml:space="preserve">                       15.0 </w:t>
            </w:r>
          </w:p>
        </w:tc>
      </w:tr>
      <w:tr w:rsidR="00162864" w:rsidRPr="00383CF3" w:rsidTr="00162864">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162864" w:rsidRPr="00383CF3" w:rsidRDefault="00162864" w:rsidP="00162864">
            <w:pPr>
              <w:spacing w:before="0" w:after="0"/>
              <w:ind w:firstLine="0"/>
              <w:rPr>
                <w:color w:val="000000"/>
                <w:sz w:val="20"/>
                <w:szCs w:val="20"/>
                <w:lang w:eastAsia="zh-CN"/>
              </w:rPr>
            </w:pPr>
            <w:r>
              <w:rPr>
                <w:rFonts w:hint="eastAsia"/>
                <w:color w:val="000000"/>
                <w:sz w:val="20"/>
                <w:szCs w:val="20"/>
                <w:lang w:eastAsia="zh-CN"/>
              </w:rPr>
              <w:t>小计</w:t>
            </w:r>
          </w:p>
        </w:tc>
        <w:tc>
          <w:tcPr>
            <w:tcW w:w="1736" w:type="dxa"/>
            <w:tcBorders>
              <w:top w:val="nil"/>
              <w:left w:val="nil"/>
              <w:bottom w:val="single" w:sz="4" w:space="0" w:color="auto"/>
              <w:right w:val="nil"/>
            </w:tcBorders>
            <w:shd w:val="clear" w:color="auto" w:fill="auto"/>
            <w:noWrap/>
            <w:vAlign w:val="bottom"/>
            <w:hideMark/>
          </w:tcPr>
          <w:p w:rsidR="00162864" w:rsidRPr="00383CF3" w:rsidRDefault="00162864" w:rsidP="00162864">
            <w:pPr>
              <w:spacing w:before="0" w:after="0"/>
              <w:ind w:firstLine="0"/>
              <w:rPr>
                <w:color w:val="000000"/>
                <w:sz w:val="20"/>
                <w:szCs w:val="20"/>
              </w:rPr>
            </w:pPr>
            <w:r w:rsidRPr="00383CF3">
              <w:rPr>
                <w:color w:val="000000"/>
                <w:sz w:val="20"/>
                <w:szCs w:val="20"/>
              </w:rPr>
              <w:t xml:space="preserve">                     162.0 </w:t>
            </w:r>
          </w:p>
        </w:tc>
      </w:tr>
      <w:tr w:rsidR="00162864" w:rsidRPr="00383CF3" w:rsidTr="00162864">
        <w:trPr>
          <w:trHeight w:val="264"/>
          <w:jc w:val="center"/>
        </w:trPr>
        <w:tc>
          <w:tcPr>
            <w:tcW w:w="6056" w:type="dxa"/>
            <w:tcBorders>
              <w:top w:val="nil"/>
              <w:left w:val="nil"/>
              <w:bottom w:val="nil"/>
              <w:right w:val="nil"/>
            </w:tcBorders>
            <w:shd w:val="clear" w:color="auto" w:fill="auto"/>
            <w:noWrap/>
            <w:vAlign w:val="bottom"/>
            <w:hideMark/>
          </w:tcPr>
          <w:p w:rsidR="00162864" w:rsidRPr="00D4491C" w:rsidRDefault="00162864" w:rsidP="00162864">
            <w:pPr>
              <w:spacing w:before="0" w:after="0"/>
              <w:ind w:firstLine="0"/>
              <w:rPr>
                <w:b/>
                <w:bCs/>
                <w:color w:val="000000"/>
                <w:sz w:val="20"/>
                <w:szCs w:val="20"/>
                <w:lang w:eastAsia="zh-CN"/>
              </w:rPr>
            </w:pPr>
            <w:r w:rsidRPr="00D4491C">
              <w:rPr>
                <w:rFonts w:hint="eastAsia"/>
                <w:b/>
                <w:bCs/>
                <w:color w:val="000000"/>
                <w:sz w:val="20"/>
                <w:szCs w:val="20"/>
                <w:lang w:eastAsia="zh-CN"/>
              </w:rPr>
              <w:t>其他讲习班</w:t>
            </w:r>
          </w:p>
        </w:tc>
        <w:tc>
          <w:tcPr>
            <w:tcW w:w="1736" w:type="dxa"/>
            <w:tcBorders>
              <w:top w:val="nil"/>
              <w:left w:val="nil"/>
              <w:bottom w:val="nil"/>
              <w:right w:val="nil"/>
            </w:tcBorders>
            <w:shd w:val="clear" w:color="auto" w:fill="auto"/>
            <w:noWrap/>
            <w:vAlign w:val="bottom"/>
            <w:hideMark/>
          </w:tcPr>
          <w:p w:rsidR="00162864" w:rsidRPr="00383CF3" w:rsidRDefault="00162864" w:rsidP="00162864">
            <w:pPr>
              <w:spacing w:before="0" w:after="0"/>
              <w:ind w:firstLine="0"/>
              <w:rPr>
                <w:b/>
                <w:bCs/>
                <w:color w:val="000000"/>
                <w:sz w:val="20"/>
                <w:szCs w:val="20"/>
                <w:u w:val="single"/>
              </w:rPr>
            </w:pPr>
          </w:p>
        </w:tc>
      </w:tr>
      <w:tr w:rsidR="00162864" w:rsidRPr="00383CF3" w:rsidTr="00162864">
        <w:trPr>
          <w:trHeight w:val="264"/>
          <w:jc w:val="center"/>
        </w:trPr>
        <w:tc>
          <w:tcPr>
            <w:tcW w:w="6056" w:type="dxa"/>
            <w:tcBorders>
              <w:top w:val="nil"/>
              <w:left w:val="nil"/>
              <w:bottom w:val="nil"/>
              <w:right w:val="nil"/>
            </w:tcBorders>
            <w:shd w:val="clear" w:color="auto" w:fill="auto"/>
            <w:vAlign w:val="bottom"/>
            <w:hideMark/>
          </w:tcPr>
          <w:p w:rsidR="00162864" w:rsidRPr="00383CF3" w:rsidRDefault="00162864" w:rsidP="00162864">
            <w:pPr>
              <w:spacing w:before="0" w:after="0"/>
              <w:ind w:firstLine="0"/>
              <w:rPr>
                <w:color w:val="000000"/>
                <w:sz w:val="20"/>
                <w:szCs w:val="20"/>
                <w:lang w:eastAsia="zh-CN"/>
              </w:rPr>
            </w:pPr>
            <w:r>
              <w:rPr>
                <w:rFonts w:hint="eastAsia"/>
                <w:color w:val="000000"/>
                <w:sz w:val="20"/>
                <w:szCs w:val="20"/>
                <w:lang w:eastAsia="zh-CN"/>
              </w:rPr>
              <w:t>卡塔赫纳</w:t>
            </w:r>
            <w:r>
              <w:rPr>
                <w:color w:val="000000"/>
                <w:sz w:val="20"/>
                <w:szCs w:val="20"/>
                <w:lang w:eastAsia="zh-CN"/>
              </w:rPr>
              <w:t>生物安全议定书战略计划</w:t>
            </w:r>
            <w:r w:rsidRPr="00383CF3">
              <w:rPr>
                <w:color w:val="000000"/>
                <w:sz w:val="20"/>
                <w:szCs w:val="20"/>
                <w:lang w:eastAsia="zh-CN"/>
              </w:rPr>
              <w:t xml:space="preserve"> </w:t>
            </w:r>
            <w:r>
              <w:rPr>
                <w:color w:val="000000"/>
                <w:sz w:val="20"/>
                <w:szCs w:val="20"/>
                <w:lang w:eastAsia="zh-CN"/>
              </w:rPr>
              <w:t>（</w:t>
            </w:r>
            <w:r w:rsidRPr="00383CF3">
              <w:rPr>
                <w:color w:val="000000"/>
                <w:sz w:val="20"/>
                <w:szCs w:val="20"/>
                <w:lang w:eastAsia="zh-CN"/>
              </w:rPr>
              <w:t>2011-2020</w:t>
            </w:r>
            <w:r>
              <w:rPr>
                <w:rFonts w:hint="eastAsia"/>
                <w:color w:val="000000"/>
                <w:sz w:val="20"/>
                <w:szCs w:val="20"/>
                <w:lang w:eastAsia="zh-CN"/>
              </w:rPr>
              <w:t>年</w:t>
            </w:r>
            <w:r>
              <w:rPr>
                <w:color w:val="000000"/>
                <w:sz w:val="20"/>
                <w:szCs w:val="20"/>
                <w:lang w:eastAsia="zh-CN"/>
              </w:rPr>
              <w:t>）</w:t>
            </w:r>
          </w:p>
        </w:tc>
        <w:tc>
          <w:tcPr>
            <w:tcW w:w="1736" w:type="dxa"/>
            <w:tcBorders>
              <w:top w:val="nil"/>
              <w:left w:val="nil"/>
              <w:bottom w:val="nil"/>
              <w:right w:val="nil"/>
            </w:tcBorders>
            <w:shd w:val="clear" w:color="auto" w:fill="auto"/>
            <w:noWrap/>
            <w:vAlign w:val="bottom"/>
            <w:hideMark/>
          </w:tcPr>
          <w:p w:rsidR="00162864" w:rsidRPr="00383CF3" w:rsidRDefault="00162864" w:rsidP="00162864">
            <w:pPr>
              <w:spacing w:before="0" w:after="0"/>
              <w:ind w:firstLine="0"/>
              <w:rPr>
                <w:color w:val="000000"/>
                <w:sz w:val="20"/>
                <w:szCs w:val="20"/>
              </w:rPr>
            </w:pPr>
            <w:r w:rsidRPr="00383CF3">
              <w:rPr>
                <w:color w:val="000000"/>
                <w:sz w:val="20"/>
                <w:szCs w:val="20"/>
                <w:lang w:eastAsia="zh-CN"/>
              </w:rPr>
              <w:t xml:space="preserve">                       </w:t>
            </w:r>
            <w:r w:rsidRPr="00383CF3">
              <w:rPr>
                <w:color w:val="000000"/>
                <w:sz w:val="20"/>
                <w:szCs w:val="20"/>
              </w:rPr>
              <w:t xml:space="preserve">69.0 </w:t>
            </w:r>
          </w:p>
        </w:tc>
      </w:tr>
      <w:tr w:rsidR="00162864" w:rsidRPr="00383CF3" w:rsidTr="00162864">
        <w:trPr>
          <w:trHeight w:val="264"/>
          <w:jc w:val="center"/>
        </w:trPr>
        <w:tc>
          <w:tcPr>
            <w:tcW w:w="6056" w:type="dxa"/>
            <w:tcBorders>
              <w:top w:val="nil"/>
              <w:left w:val="nil"/>
              <w:bottom w:val="nil"/>
              <w:right w:val="nil"/>
            </w:tcBorders>
            <w:shd w:val="clear" w:color="auto" w:fill="auto"/>
            <w:vAlign w:val="bottom"/>
            <w:hideMark/>
          </w:tcPr>
          <w:p w:rsidR="00162864" w:rsidRPr="00383CF3" w:rsidRDefault="00162864" w:rsidP="00162864">
            <w:pPr>
              <w:spacing w:before="0" w:after="0"/>
              <w:ind w:firstLine="0"/>
              <w:rPr>
                <w:color w:val="000000"/>
                <w:sz w:val="20"/>
                <w:szCs w:val="20"/>
              </w:rPr>
            </w:pPr>
            <w:r>
              <w:rPr>
                <w:rFonts w:hint="eastAsia"/>
                <w:color w:val="000000"/>
                <w:sz w:val="20"/>
                <w:szCs w:val="20"/>
                <w:lang w:eastAsia="zh-CN"/>
              </w:rPr>
              <w:t>跨界</w:t>
            </w:r>
            <w:r>
              <w:rPr>
                <w:color w:val="000000"/>
                <w:sz w:val="20"/>
                <w:szCs w:val="20"/>
                <w:lang w:eastAsia="zh-CN"/>
              </w:rPr>
              <w:t>移动和应急措施</w:t>
            </w:r>
          </w:p>
        </w:tc>
        <w:tc>
          <w:tcPr>
            <w:tcW w:w="1736" w:type="dxa"/>
            <w:tcBorders>
              <w:top w:val="nil"/>
              <w:left w:val="nil"/>
              <w:bottom w:val="single" w:sz="4" w:space="0" w:color="auto"/>
              <w:right w:val="nil"/>
            </w:tcBorders>
            <w:shd w:val="clear" w:color="auto" w:fill="auto"/>
            <w:noWrap/>
            <w:vAlign w:val="bottom"/>
            <w:hideMark/>
          </w:tcPr>
          <w:p w:rsidR="00162864" w:rsidRPr="00383CF3" w:rsidRDefault="00162864" w:rsidP="00162864">
            <w:pPr>
              <w:spacing w:before="0" w:after="0"/>
              <w:ind w:firstLine="0"/>
              <w:rPr>
                <w:color w:val="000000"/>
                <w:sz w:val="20"/>
                <w:szCs w:val="20"/>
              </w:rPr>
            </w:pPr>
            <w:r w:rsidRPr="00383CF3">
              <w:rPr>
                <w:color w:val="000000"/>
                <w:sz w:val="20"/>
                <w:szCs w:val="20"/>
              </w:rPr>
              <w:t xml:space="preserve">                       48.0 </w:t>
            </w:r>
          </w:p>
        </w:tc>
      </w:tr>
      <w:tr w:rsidR="00162864" w:rsidRPr="00383CF3" w:rsidTr="00162864">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162864" w:rsidRPr="00383CF3" w:rsidRDefault="00162864" w:rsidP="00162864">
            <w:pPr>
              <w:spacing w:before="0" w:after="0"/>
              <w:ind w:firstLine="0"/>
              <w:rPr>
                <w:color w:val="000000"/>
                <w:sz w:val="20"/>
                <w:szCs w:val="20"/>
                <w:lang w:eastAsia="zh-CN"/>
              </w:rPr>
            </w:pPr>
            <w:r>
              <w:rPr>
                <w:rFonts w:hint="eastAsia"/>
                <w:color w:val="000000"/>
                <w:sz w:val="20"/>
                <w:szCs w:val="20"/>
                <w:lang w:eastAsia="zh-CN"/>
              </w:rPr>
              <w:t>小计</w:t>
            </w:r>
          </w:p>
        </w:tc>
        <w:tc>
          <w:tcPr>
            <w:tcW w:w="1736" w:type="dxa"/>
            <w:tcBorders>
              <w:top w:val="nil"/>
              <w:left w:val="nil"/>
              <w:bottom w:val="single" w:sz="4" w:space="0" w:color="auto"/>
              <w:right w:val="nil"/>
            </w:tcBorders>
            <w:shd w:val="clear" w:color="auto" w:fill="auto"/>
            <w:noWrap/>
            <w:vAlign w:val="bottom"/>
            <w:hideMark/>
          </w:tcPr>
          <w:p w:rsidR="00162864" w:rsidRPr="00383CF3" w:rsidRDefault="00162864" w:rsidP="00162864">
            <w:pPr>
              <w:spacing w:before="0" w:after="0"/>
              <w:ind w:firstLine="0"/>
              <w:rPr>
                <w:color w:val="000000"/>
                <w:sz w:val="20"/>
                <w:szCs w:val="20"/>
              </w:rPr>
            </w:pPr>
            <w:r w:rsidRPr="00383CF3">
              <w:rPr>
                <w:color w:val="000000"/>
                <w:sz w:val="20"/>
                <w:szCs w:val="20"/>
              </w:rPr>
              <w:t xml:space="preserve">                     117.0 </w:t>
            </w:r>
          </w:p>
        </w:tc>
      </w:tr>
      <w:tr w:rsidR="00162864" w:rsidRPr="00383CF3" w:rsidTr="00162864">
        <w:trPr>
          <w:trHeight w:val="264"/>
          <w:jc w:val="center"/>
        </w:trPr>
        <w:tc>
          <w:tcPr>
            <w:tcW w:w="6056" w:type="dxa"/>
            <w:tcBorders>
              <w:top w:val="nil"/>
              <w:left w:val="nil"/>
              <w:bottom w:val="nil"/>
              <w:right w:val="nil"/>
            </w:tcBorders>
            <w:shd w:val="clear" w:color="auto" w:fill="auto"/>
            <w:noWrap/>
            <w:vAlign w:val="bottom"/>
            <w:hideMark/>
          </w:tcPr>
          <w:p w:rsidR="00162864" w:rsidRPr="00D4491C" w:rsidRDefault="00162864" w:rsidP="00162864">
            <w:pPr>
              <w:spacing w:before="0" w:after="0"/>
              <w:ind w:firstLine="0"/>
              <w:rPr>
                <w:b/>
                <w:bCs/>
                <w:color w:val="000000"/>
                <w:sz w:val="20"/>
                <w:szCs w:val="20"/>
                <w:lang w:eastAsia="zh-CN"/>
              </w:rPr>
            </w:pPr>
            <w:r w:rsidRPr="00D4491C">
              <w:rPr>
                <w:rFonts w:hint="eastAsia"/>
                <w:b/>
                <w:bCs/>
                <w:color w:val="000000"/>
                <w:sz w:val="20"/>
                <w:szCs w:val="20"/>
                <w:lang w:eastAsia="zh-CN"/>
              </w:rPr>
              <w:t>工作人员</w:t>
            </w:r>
          </w:p>
        </w:tc>
        <w:tc>
          <w:tcPr>
            <w:tcW w:w="1736" w:type="dxa"/>
            <w:tcBorders>
              <w:top w:val="nil"/>
              <w:left w:val="nil"/>
              <w:bottom w:val="nil"/>
              <w:right w:val="nil"/>
            </w:tcBorders>
            <w:shd w:val="clear" w:color="auto" w:fill="auto"/>
            <w:noWrap/>
            <w:vAlign w:val="bottom"/>
            <w:hideMark/>
          </w:tcPr>
          <w:p w:rsidR="00162864" w:rsidRPr="00383CF3" w:rsidRDefault="00162864" w:rsidP="00162864">
            <w:pPr>
              <w:spacing w:before="0" w:after="0"/>
              <w:ind w:firstLine="0"/>
              <w:rPr>
                <w:b/>
                <w:bCs/>
                <w:color w:val="000000"/>
                <w:sz w:val="20"/>
                <w:szCs w:val="20"/>
                <w:u w:val="single"/>
              </w:rPr>
            </w:pPr>
          </w:p>
        </w:tc>
      </w:tr>
      <w:tr w:rsidR="00162864" w:rsidRPr="00383CF3" w:rsidTr="00162864">
        <w:trPr>
          <w:trHeight w:val="264"/>
          <w:jc w:val="center"/>
        </w:trPr>
        <w:tc>
          <w:tcPr>
            <w:tcW w:w="6056" w:type="dxa"/>
            <w:tcBorders>
              <w:top w:val="nil"/>
              <w:left w:val="nil"/>
              <w:bottom w:val="nil"/>
              <w:right w:val="nil"/>
            </w:tcBorders>
            <w:shd w:val="clear" w:color="auto" w:fill="auto"/>
            <w:vAlign w:val="bottom"/>
            <w:hideMark/>
          </w:tcPr>
          <w:p w:rsidR="00162864" w:rsidRPr="00383CF3" w:rsidRDefault="00162864" w:rsidP="00162864">
            <w:pPr>
              <w:spacing w:before="0" w:after="0"/>
              <w:ind w:firstLine="0"/>
              <w:rPr>
                <w:color w:val="000000"/>
                <w:sz w:val="20"/>
                <w:szCs w:val="20"/>
                <w:lang w:eastAsia="zh-CN"/>
              </w:rPr>
            </w:pPr>
            <w:r>
              <w:rPr>
                <w:rFonts w:hint="eastAsia"/>
                <w:color w:val="000000"/>
                <w:sz w:val="20"/>
                <w:szCs w:val="20"/>
                <w:lang w:eastAsia="zh-CN"/>
              </w:rPr>
              <w:t>方案</w:t>
            </w:r>
            <w:r>
              <w:rPr>
                <w:color w:val="000000"/>
                <w:sz w:val="20"/>
                <w:szCs w:val="20"/>
                <w:lang w:eastAsia="zh-CN"/>
              </w:rPr>
              <w:t>干事</w:t>
            </w:r>
            <w:r>
              <w:rPr>
                <w:rFonts w:hint="eastAsia"/>
                <w:color w:val="000000"/>
                <w:sz w:val="20"/>
                <w:szCs w:val="20"/>
                <w:lang w:eastAsia="zh-CN"/>
              </w:rPr>
              <w:t>-</w:t>
            </w:r>
            <w:r>
              <w:rPr>
                <w:rFonts w:hint="eastAsia"/>
                <w:color w:val="000000"/>
                <w:sz w:val="20"/>
                <w:szCs w:val="20"/>
                <w:lang w:eastAsia="zh-CN"/>
              </w:rPr>
              <w:t>生物安全</w:t>
            </w:r>
            <w:r>
              <w:rPr>
                <w:color w:val="000000"/>
                <w:sz w:val="20"/>
                <w:szCs w:val="20"/>
                <w:lang w:eastAsia="zh-CN"/>
              </w:rPr>
              <w:t>信息交换所</w:t>
            </w:r>
            <w:r w:rsidRPr="00383CF3">
              <w:rPr>
                <w:color w:val="000000"/>
                <w:sz w:val="20"/>
                <w:szCs w:val="20"/>
                <w:lang w:eastAsia="zh-CN"/>
              </w:rPr>
              <w:t xml:space="preserve"> </w:t>
            </w:r>
            <w:r>
              <w:rPr>
                <w:color w:val="000000"/>
                <w:sz w:val="20"/>
                <w:szCs w:val="20"/>
                <w:lang w:eastAsia="zh-CN"/>
              </w:rPr>
              <w:t>（</w:t>
            </w:r>
            <w:r w:rsidRPr="00383CF3">
              <w:rPr>
                <w:color w:val="000000"/>
                <w:sz w:val="20"/>
                <w:szCs w:val="20"/>
                <w:lang w:eastAsia="zh-CN"/>
              </w:rPr>
              <w:t>P-3</w:t>
            </w:r>
            <w:r>
              <w:rPr>
                <w:color w:val="000000"/>
                <w:sz w:val="20"/>
                <w:szCs w:val="20"/>
                <w:lang w:eastAsia="zh-CN"/>
              </w:rPr>
              <w:t>）</w:t>
            </w:r>
          </w:p>
        </w:tc>
        <w:tc>
          <w:tcPr>
            <w:tcW w:w="1736" w:type="dxa"/>
            <w:tcBorders>
              <w:top w:val="nil"/>
              <w:left w:val="nil"/>
              <w:bottom w:val="single" w:sz="4" w:space="0" w:color="auto"/>
              <w:right w:val="nil"/>
            </w:tcBorders>
            <w:shd w:val="clear" w:color="auto" w:fill="auto"/>
            <w:noWrap/>
            <w:vAlign w:val="bottom"/>
            <w:hideMark/>
          </w:tcPr>
          <w:p w:rsidR="00162864" w:rsidRPr="00383CF3" w:rsidRDefault="00162864" w:rsidP="00162864">
            <w:pPr>
              <w:spacing w:before="0" w:after="0"/>
              <w:ind w:firstLine="0"/>
              <w:rPr>
                <w:color w:val="000000"/>
                <w:sz w:val="20"/>
                <w:szCs w:val="20"/>
              </w:rPr>
            </w:pPr>
            <w:r w:rsidRPr="00383CF3">
              <w:rPr>
                <w:color w:val="000000"/>
                <w:sz w:val="20"/>
                <w:szCs w:val="20"/>
                <w:lang w:eastAsia="zh-CN"/>
              </w:rPr>
              <w:t xml:space="preserve">                     </w:t>
            </w:r>
            <w:r w:rsidRPr="00383CF3">
              <w:rPr>
                <w:color w:val="000000"/>
                <w:sz w:val="20"/>
                <w:szCs w:val="20"/>
              </w:rPr>
              <w:t xml:space="preserve">327.0 </w:t>
            </w:r>
          </w:p>
        </w:tc>
      </w:tr>
      <w:tr w:rsidR="00162864" w:rsidRPr="00383CF3" w:rsidTr="00162864">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162864" w:rsidRPr="00383CF3" w:rsidRDefault="00162864" w:rsidP="00162864">
            <w:pPr>
              <w:spacing w:before="0" w:after="0"/>
              <w:ind w:firstLine="0"/>
              <w:rPr>
                <w:color w:val="000000"/>
                <w:sz w:val="20"/>
                <w:szCs w:val="20"/>
                <w:lang w:eastAsia="zh-CN"/>
              </w:rPr>
            </w:pPr>
            <w:r>
              <w:rPr>
                <w:rFonts w:hint="eastAsia"/>
                <w:color w:val="000000"/>
                <w:sz w:val="20"/>
                <w:szCs w:val="20"/>
                <w:lang w:eastAsia="zh-CN"/>
              </w:rPr>
              <w:t>小计</w:t>
            </w:r>
          </w:p>
        </w:tc>
        <w:tc>
          <w:tcPr>
            <w:tcW w:w="1736" w:type="dxa"/>
            <w:tcBorders>
              <w:top w:val="nil"/>
              <w:left w:val="nil"/>
              <w:bottom w:val="single" w:sz="4" w:space="0" w:color="auto"/>
              <w:right w:val="nil"/>
            </w:tcBorders>
            <w:shd w:val="clear" w:color="auto" w:fill="auto"/>
            <w:noWrap/>
            <w:vAlign w:val="bottom"/>
            <w:hideMark/>
          </w:tcPr>
          <w:p w:rsidR="00162864" w:rsidRPr="00383CF3" w:rsidRDefault="00162864" w:rsidP="00162864">
            <w:pPr>
              <w:spacing w:before="0" w:after="0"/>
              <w:ind w:firstLine="0"/>
              <w:rPr>
                <w:color w:val="000000"/>
                <w:sz w:val="20"/>
                <w:szCs w:val="20"/>
              </w:rPr>
            </w:pPr>
            <w:r w:rsidRPr="00383CF3">
              <w:rPr>
                <w:color w:val="000000"/>
                <w:sz w:val="20"/>
                <w:szCs w:val="20"/>
              </w:rPr>
              <w:t xml:space="preserve">                     327.0 </w:t>
            </w:r>
          </w:p>
        </w:tc>
      </w:tr>
      <w:tr w:rsidR="00162864" w:rsidRPr="00383CF3" w:rsidTr="00162864">
        <w:trPr>
          <w:trHeight w:val="264"/>
          <w:jc w:val="center"/>
        </w:trPr>
        <w:tc>
          <w:tcPr>
            <w:tcW w:w="6056" w:type="dxa"/>
            <w:tcBorders>
              <w:top w:val="nil"/>
              <w:left w:val="nil"/>
              <w:bottom w:val="nil"/>
              <w:right w:val="nil"/>
            </w:tcBorders>
            <w:shd w:val="clear" w:color="auto" w:fill="auto"/>
            <w:noWrap/>
            <w:vAlign w:val="bottom"/>
            <w:hideMark/>
          </w:tcPr>
          <w:p w:rsidR="00162864" w:rsidRPr="00D4491C" w:rsidRDefault="00162864" w:rsidP="00162864">
            <w:pPr>
              <w:spacing w:before="0" w:after="0"/>
              <w:ind w:firstLine="0"/>
              <w:rPr>
                <w:b/>
                <w:bCs/>
                <w:color w:val="000000"/>
                <w:sz w:val="20"/>
                <w:szCs w:val="20"/>
                <w:lang w:eastAsia="zh-CN"/>
              </w:rPr>
            </w:pPr>
            <w:r w:rsidRPr="00D4491C">
              <w:rPr>
                <w:rFonts w:hint="eastAsia"/>
                <w:b/>
                <w:bCs/>
                <w:color w:val="000000"/>
                <w:sz w:val="20"/>
                <w:szCs w:val="20"/>
                <w:lang w:eastAsia="zh-CN"/>
              </w:rPr>
              <w:t>顾问</w:t>
            </w:r>
          </w:p>
        </w:tc>
        <w:tc>
          <w:tcPr>
            <w:tcW w:w="1736" w:type="dxa"/>
            <w:tcBorders>
              <w:top w:val="nil"/>
              <w:left w:val="nil"/>
              <w:bottom w:val="nil"/>
              <w:right w:val="nil"/>
            </w:tcBorders>
            <w:shd w:val="clear" w:color="auto" w:fill="auto"/>
            <w:noWrap/>
            <w:vAlign w:val="bottom"/>
            <w:hideMark/>
          </w:tcPr>
          <w:p w:rsidR="00162864" w:rsidRPr="00383CF3" w:rsidRDefault="00162864" w:rsidP="00162864">
            <w:pPr>
              <w:spacing w:before="0" w:after="0"/>
              <w:ind w:firstLine="0"/>
              <w:rPr>
                <w:b/>
                <w:bCs/>
                <w:color w:val="000000"/>
                <w:sz w:val="20"/>
                <w:szCs w:val="20"/>
                <w:u w:val="single"/>
              </w:rPr>
            </w:pPr>
          </w:p>
        </w:tc>
      </w:tr>
      <w:tr w:rsidR="00162864" w:rsidRPr="00383CF3" w:rsidTr="00162864">
        <w:trPr>
          <w:trHeight w:val="300"/>
          <w:jc w:val="center"/>
        </w:trPr>
        <w:tc>
          <w:tcPr>
            <w:tcW w:w="6056" w:type="dxa"/>
            <w:tcBorders>
              <w:top w:val="nil"/>
              <w:left w:val="nil"/>
              <w:bottom w:val="nil"/>
              <w:right w:val="nil"/>
            </w:tcBorders>
            <w:shd w:val="clear" w:color="auto" w:fill="auto"/>
            <w:vAlign w:val="bottom"/>
            <w:hideMark/>
          </w:tcPr>
          <w:p w:rsidR="00162864" w:rsidRPr="00383CF3" w:rsidRDefault="00162864" w:rsidP="00162864">
            <w:pPr>
              <w:spacing w:before="0" w:after="0"/>
              <w:ind w:firstLine="0"/>
              <w:rPr>
                <w:color w:val="000000"/>
                <w:sz w:val="20"/>
                <w:szCs w:val="20"/>
              </w:rPr>
            </w:pPr>
            <w:r>
              <w:rPr>
                <w:rFonts w:hint="eastAsia"/>
                <w:color w:val="000000"/>
                <w:sz w:val="20"/>
                <w:szCs w:val="20"/>
                <w:lang w:eastAsia="zh-CN"/>
              </w:rPr>
              <w:t>执行</w:t>
            </w:r>
            <w:r>
              <w:rPr>
                <w:color w:val="000000"/>
                <w:sz w:val="20"/>
                <w:szCs w:val="20"/>
                <w:lang w:eastAsia="zh-CN"/>
              </w:rPr>
              <w:t>履约行动计划</w:t>
            </w:r>
          </w:p>
        </w:tc>
        <w:tc>
          <w:tcPr>
            <w:tcW w:w="1736" w:type="dxa"/>
            <w:tcBorders>
              <w:top w:val="nil"/>
              <w:left w:val="nil"/>
              <w:bottom w:val="nil"/>
              <w:right w:val="nil"/>
            </w:tcBorders>
            <w:shd w:val="clear" w:color="auto" w:fill="auto"/>
            <w:noWrap/>
            <w:vAlign w:val="bottom"/>
            <w:hideMark/>
          </w:tcPr>
          <w:p w:rsidR="00162864" w:rsidRPr="00383CF3" w:rsidRDefault="00162864" w:rsidP="00162864">
            <w:pPr>
              <w:spacing w:before="0" w:after="0"/>
              <w:ind w:firstLine="0"/>
              <w:rPr>
                <w:color w:val="000000"/>
                <w:sz w:val="20"/>
                <w:szCs w:val="20"/>
              </w:rPr>
            </w:pPr>
            <w:r w:rsidRPr="00383CF3">
              <w:rPr>
                <w:color w:val="000000"/>
                <w:sz w:val="20"/>
                <w:szCs w:val="20"/>
              </w:rPr>
              <w:t xml:space="preserve">                       75.0 </w:t>
            </w:r>
          </w:p>
        </w:tc>
      </w:tr>
      <w:tr w:rsidR="00162864" w:rsidRPr="00383CF3" w:rsidTr="00162864">
        <w:trPr>
          <w:trHeight w:val="264"/>
          <w:jc w:val="center"/>
        </w:trPr>
        <w:tc>
          <w:tcPr>
            <w:tcW w:w="6056" w:type="dxa"/>
            <w:tcBorders>
              <w:top w:val="nil"/>
              <w:left w:val="nil"/>
              <w:bottom w:val="nil"/>
              <w:right w:val="nil"/>
            </w:tcBorders>
            <w:shd w:val="clear" w:color="auto" w:fill="auto"/>
            <w:vAlign w:val="bottom"/>
            <w:hideMark/>
          </w:tcPr>
          <w:p w:rsidR="00162864" w:rsidRPr="00383CF3" w:rsidRDefault="00162864" w:rsidP="00162864">
            <w:pPr>
              <w:spacing w:before="0" w:after="0"/>
              <w:ind w:firstLine="0"/>
              <w:rPr>
                <w:color w:val="000000"/>
                <w:sz w:val="20"/>
                <w:szCs w:val="20"/>
              </w:rPr>
            </w:pPr>
            <w:r>
              <w:rPr>
                <w:rFonts w:hint="eastAsia"/>
                <w:color w:val="000000"/>
                <w:sz w:val="20"/>
                <w:szCs w:val="20"/>
                <w:lang w:eastAsia="zh-CN"/>
              </w:rPr>
              <w:t>风险评估</w:t>
            </w:r>
            <w:r>
              <w:rPr>
                <w:color w:val="000000"/>
                <w:sz w:val="20"/>
                <w:szCs w:val="20"/>
                <w:lang w:eastAsia="zh-CN"/>
              </w:rPr>
              <w:t>和风险管理</w:t>
            </w:r>
          </w:p>
        </w:tc>
        <w:tc>
          <w:tcPr>
            <w:tcW w:w="1736" w:type="dxa"/>
            <w:tcBorders>
              <w:top w:val="nil"/>
              <w:left w:val="nil"/>
              <w:bottom w:val="nil"/>
              <w:right w:val="nil"/>
            </w:tcBorders>
            <w:shd w:val="clear" w:color="auto" w:fill="auto"/>
            <w:noWrap/>
            <w:vAlign w:val="bottom"/>
            <w:hideMark/>
          </w:tcPr>
          <w:p w:rsidR="00162864" w:rsidRPr="00383CF3" w:rsidRDefault="00162864" w:rsidP="00162864">
            <w:pPr>
              <w:spacing w:before="0" w:after="0"/>
              <w:ind w:firstLine="0"/>
              <w:rPr>
                <w:color w:val="000000"/>
                <w:sz w:val="20"/>
                <w:szCs w:val="20"/>
              </w:rPr>
            </w:pPr>
            <w:r w:rsidRPr="00383CF3">
              <w:rPr>
                <w:color w:val="000000"/>
                <w:sz w:val="20"/>
                <w:szCs w:val="20"/>
              </w:rPr>
              <w:t xml:space="preserve">                       45.0 </w:t>
            </w:r>
          </w:p>
        </w:tc>
      </w:tr>
      <w:tr w:rsidR="00162864" w:rsidRPr="00383CF3" w:rsidTr="00162864">
        <w:trPr>
          <w:trHeight w:val="264"/>
          <w:jc w:val="center"/>
        </w:trPr>
        <w:tc>
          <w:tcPr>
            <w:tcW w:w="6056" w:type="dxa"/>
            <w:tcBorders>
              <w:top w:val="nil"/>
              <w:left w:val="nil"/>
              <w:bottom w:val="nil"/>
              <w:right w:val="nil"/>
            </w:tcBorders>
            <w:shd w:val="clear" w:color="auto" w:fill="auto"/>
            <w:vAlign w:val="bottom"/>
            <w:hideMark/>
          </w:tcPr>
          <w:p w:rsidR="00162864" w:rsidRPr="00383CF3" w:rsidRDefault="00162864" w:rsidP="00162864">
            <w:pPr>
              <w:spacing w:before="0" w:after="0"/>
              <w:ind w:firstLine="0"/>
              <w:rPr>
                <w:color w:val="000000"/>
                <w:sz w:val="20"/>
                <w:szCs w:val="20"/>
                <w:lang w:eastAsia="zh-CN"/>
              </w:rPr>
            </w:pPr>
            <w:r>
              <w:rPr>
                <w:rFonts w:hint="eastAsia"/>
                <w:color w:val="000000"/>
                <w:sz w:val="20"/>
                <w:szCs w:val="20"/>
                <w:lang w:eastAsia="zh-CN"/>
              </w:rPr>
              <w:t>名古屋</w:t>
            </w:r>
            <w:r>
              <w:rPr>
                <w:rFonts w:hint="eastAsia"/>
                <w:color w:val="000000"/>
                <w:sz w:val="20"/>
                <w:szCs w:val="20"/>
                <w:lang w:eastAsia="zh-CN"/>
              </w:rPr>
              <w:t>-</w:t>
            </w:r>
            <w:r>
              <w:rPr>
                <w:rFonts w:hint="eastAsia"/>
                <w:color w:val="000000"/>
                <w:sz w:val="20"/>
                <w:szCs w:val="20"/>
                <w:lang w:eastAsia="zh-CN"/>
              </w:rPr>
              <w:t>吉隆坡</w:t>
            </w:r>
            <w:r>
              <w:rPr>
                <w:color w:val="000000"/>
                <w:sz w:val="20"/>
                <w:szCs w:val="20"/>
                <w:lang w:eastAsia="zh-CN"/>
              </w:rPr>
              <w:t>补充议定书</w:t>
            </w:r>
          </w:p>
        </w:tc>
        <w:tc>
          <w:tcPr>
            <w:tcW w:w="1736" w:type="dxa"/>
            <w:tcBorders>
              <w:top w:val="nil"/>
              <w:left w:val="nil"/>
              <w:bottom w:val="nil"/>
              <w:right w:val="nil"/>
            </w:tcBorders>
            <w:shd w:val="clear" w:color="auto" w:fill="auto"/>
            <w:noWrap/>
            <w:vAlign w:val="bottom"/>
            <w:hideMark/>
          </w:tcPr>
          <w:p w:rsidR="00162864" w:rsidRPr="00383CF3" w:rsidRDefault="00162864" w:rsidP="00162864">
            <w:pPr>
              <w:spacing w:before="0" w:after="0"/>
              <w:ind w:firstLine="0"/>
              <w:rPr>
                <w:color w:val="000000"/>
                <w:sz w:val="20"/>
                <w:szCs w:val="20"/>
              </w:rPr>
            </w:pPr>
            <w:r w:rsidRPr="00383CF3">
              <w:rPr>
                <w:color w:val="000000"/>
                <w:sz w:val="20"/>
                <w:szCs w:val="20"/>
                <w:lang w:eastAsia="zh-CN"/>
              </w:rPr>
              <w:t xml:space="preserve">                       </w:t>
            </w:r>
            <w:r w:rsidRPr="00383CF3">
              <w:rPr>
                <w:color w:val="000000"/>
                <w:sz w:val="20"/>
                <w:szCs w:val="20"/>
              </w:rPr>
              <w:t xml:space="preserve">85.0 </w:t>
            </w:r>
          </w:p>
        </w:tc>
      </w:tr>
      <w:tr w:rsidR="00162864" w:rsidRPr="00383CF3" w:rsidTr="00162864">
        <w:trPr>
          <w:trHeight w:val="264"/>
          <w:jc w:val="center"/>
        </w:trPr>
        <w:tc>
          <w:tcPr>
            <w:tcW w:w="6056" w:type="dxa"/>
            <w:tcBorders>
              <w:top w:val="nil"/>
              <w:left w:val="nil"/>
              <w:bottom w:val="nil"/>
              <w:right w:val="nil"/>
            </w:tcBorders>
            <w:shd w:val="clear" w:color="auto" w:fill="auto"/>
            <w:vAlign w:val="bottom"/>
            <w:hideMark/>
          </w:tcPr>
          <w:p w:rsidR="00162864" w:rsidRPr="00383CF3" w:rsidRDefault="00162864" w:rsidP="00162864">
            <w:pPr>
              <w:spacing w:before="0" w:after="0"/>
              <w:ind w:firstLine="0"/>
              <w:rPr>
                <w:color w:val="000000"/>
                <w:sz w:val="20"/>
                <w:szCs w:val="20"/>
                <w:lang w:eastAsia="zh-CN"/>
              </w:rPr>
            </w:pPr>
            <w:r>
              <w:rPr>
                <w:rFonts w:hint="eastAsia"/>
                <w:color w:val="000000"/>
                <w:sz w:val="20"/>
                <w:szCs w:val="20"/>
                <w:lang w:eastAsia="zh-CN"/>
              </w:rPr>
              <w:t>生物安全信息交换所</w:t>
            </w:r>
          </w:p>
        </w:tc>
        <w:tc>
          <w:tcPr>
            <w:tcW w:w="1736" w:type="dxa"/>
            <w:tcBorders>
              <w:top w:val="nil"/>
              <w:left w:val="nil"/>
              <w:bottom w:val="single" w:sz="4" w:space="0" w:color="auto"/>
              <w:right w:val="nil"/>
            </w:tcBorders>
            <w:shd w:val="clear" w:color="auto" w:fill="auto"/>
            <w:noWrap/>
            <w:vAlign w:val="bottom"/>
            <w:hideMark/>
          </w:tcPr>
          <w:p w:rsidR="00162864" w:rsidRPr="00383CF3" w:rsidRDefault="00162864" w:rsidP="00162864">
            <w:pPr>
              <w:spacing w:before="0" w:after="0"/>
              <w:ind w:firstLine="0"/>
              <w:rPr>
                <w:color w:val="000000"/>
                <w:sz w:val="20"/>
                <w:szCs w:val="20"/>
              </w:rPr>
            </w:pPr>
            <w:r w:rsidRPr="00383CF3">
              <w:rPr>
                <w:color w:val="000000"/>
                <w:sz w:val="20"/>
                <w:szCs w:val="20"/>
              </w:rPr>
              <w:t xml:space="preserve">                       10.0 </w:t>
            </w:r>
          </w:p>
        </w:tc>
      </w:tr>
      <w:tr w:rsidR="00162864" w:rsidRPr="00383CF3" w:rsidTr="00162864">
        <w:trPr>
          <w:trHeight w:val="264"/>
          <w:jc w:val="center"/>
        </w:trPr>
        <w:tc>
          <w:tcPr>
            <w:tcW w:w="6056" w:type="dxa"/>
            <w:tcBorders>
              <w:top w:val="single" w:sz="4" w:space="0" w:color="auto"/>
              <w:left w:val="nil"/>
              <w:bottom w:val="single" w:sz="4" w:space="0" w:color="auto"/>
              <w:right w:val="nil"/>
            </w:tcBorders>
            <w:shd w:val="clear" w:color="auto" w:fill="auto"/>
            <w:vAlign w:val="bottom"/>
            <w:hideMark/>
          </w:tcPr>
          <w:p w:rsidR="00162864" w:rsidRPr="00383CF3" w:rsidRDefault="00162864" w:rsidP="00162864">
            <w:pPr>
              <w:spacing w:before="0" w:after="0"/>
              <w:ind w:firstLine="0"/>
              <w:rPr>
                <w:color w:val="000000"/>
                <w:sz w:val="20"/>
                <w:szCs w:val="20"/>
                <w:lang w:eastAsia="zh-CN"/>
              </w:rPr>
            </w:pPr>
            <w:r>
              <w:rPr>
                <w:rFonts w:hint="eastAsia"/>
                <w:color w:val="000000"/>
                <w:sz w:val="20"/>
                <w:szCs w:val="20"/>
                <w:lang w:eastAsia="zh-CN"/>
              </w:rPr>
              <w:t>小计</w:t>
            </w:r>
          </w:p>
        </w:tc>
        <w:tc>
          <w:tcPr>
            <w:tcW w:w="1736" w:type="dxa"/>
            <w:tcBorders>
              <w:top w:val="nil"/>
              <w:left w:val="nil"/>
              <w:bottom w:val="single" w:sz="4" w:space="0" w:color="auto"/>
              <w:right w:val="nil"/>
            </w:tcBorders>
            <w:shd w:val="clear" w:color="auto" w:fill="auto"/>
            <w:noWrap/>
            <w:vAlign w:val="bottom"/>
            <w:hideMark/>
          </w:tcPr>
          <w:p w:rsidR="00162864" w:rsidRPr="00383CF3" w:rsidRDefault="00162864" w:rsidP="00162864">
            <w:pPr>
              <w:spacing w:before="0" w:after="0"/>
              <w:ind w:firstLine="0"/>
              <w:rPr>
                <w:color w:val="000000"/>
                <w:sz w:val="20"/>
                <w:szCs w:val="20"/>
              </w:rPr>
            </w:pPr>
            <w:r w:rsidRPr="00383CF3">
              <w:rPr>
                <w:color w:val="000000"/>
                <w:sz w:val="20"/>
                <w:szCs w:val="20"/>
              </w:rPr>
              <w:t xml:space="preserve">                     215.0 </w:t>
            </w:r>
          </w:p>
        </w:tc>
      </w:tr>
      <w:tr w:rsidR="00162864" w:rsidRPr="00383CF3" w:rsidTr="00162864">
        <w:trPr>
          <w:trHeight w:val="264"/>
          <w:jc w:val="center"/>
        </w:trPr>
        <w:tc>
          <w:tcPr>
            <w:tcW w:w="6056" w:type="dxa"/>
            <w:tcBorders>
              <w:top w:val="single" w:sz="4" w:space="0" w:color="auto"/>
              <w:left w:val="nil"/>
              <w:bottom w:val="single" w:sz="4" w:space="0" w:color="auto"/>
              <w:right w:val="nil"/>
            </w:tcBorders>
            <w:shd w:val="clear" w:color="auto" w:fill="auto"/>
            <w:noWrap/>
            <w:vAlign w:val="bottom"/>
            <w:hideMark/>
          </w:tcPr>
          <w:p w:rsidR="00162864" w:rsidRPr="00383CF3" w:rsidRDefault="00162864" w:rsidP="00162864">
            <w:pPr>
              <w:spacing w:before="0" w:after="0"/>
              <w:ind w:firstLine="0"/>
              <w:rPr>
                <w:b/>
                <w:bCs/>
                <w:color w:val="000000"/>
                <w:sz w:val="20"/>
                <w:szCs w:val="20"/>
                <w:lang w:eastAsia="zh-CN"/>
              </w:rPr>
            </w:pPr>
            <w:r>
              <w:rPr>
                <w:rFonts w:hint="eastAsia"/>
                <w:b/>
                <w:bCs/>
                <w:color w:val="000000"/>
                <w:sz w:val="20"/>
                <w:szCs w:val="20"/>
                <w:lang w:eastAsia="zh-CN"/>
              </w:rPr>
              <w:t>共计</w:t>
            </w:r>
          </w:p>
        </w:tc>
        <w:tc>
          <w:tcPr>
            <w:tcW w:w="1736" w:type="dxa"/>
            <w:tcBorders>
              <w:top w:val="single" w:sz="4" w:space="0" w:color="auto"/>
              <w:left w:val="nil"/>
              <w:bottom w:val="single" w:sz="4" w:space="0" w:color="auto"/>
              <w:right w:val="nil"/>
            </w:tcBorders>
            <w:shd w:val="clear" w:color="auto" w:fill="auto"/>
            <w:noWrap/>
            <w:vAlign w:val="bottom"/>
            <w:hideMark/>
          </w:tcPr>
          <w:p w:rsidR="00162864" w:rsidRPr="00383CF3" w:rsidRDefault="00162864" w:rsidP="00162864">
            <w:pPr>
              <w:spacing w:before="0" w:after="0"/>
              <w:ind w:firstLine="0"/>
              <w:jc w:val="center"/>
              <w:rPr>
                <w:b/>
                <w:bCs/>
                <w:color w:val="000000"/>
                <w:sz w:val="20"/>
                <w:szCs w:val="20"/>
              </w:rPr>
            </w:pPr>
            <w:r w:rsidRPr="00383CF3">
              <w:rPr>
                <w:b/>
                <w:bCs/>
                <w:color w:val="000000"/>
                <w:sz w:val="20"/>
                <w:szCs w:val="20"/>
              </w:rPr>
              <w:t xml:space="preserve">                     899.0 </w:t>
            </w:r>
          </w:p>
        </w:tc>
      </w:tr>
      <w:tr w:rsidR="00162864" w:rsidRPr="00383CF3" w:rsidTr="00162864">
        <w:trPr>
          <w:trHeight w:val="264"/>
          <w:jc w:val="center"/>
        </w:trPr>
        <w:tc>
          <w:tcPr>
            <w:tcW w:w="6056" w:type="dxa"/>
            <w:tcBorders>
              <w:top w:val="nil"/>
              <w:left w:val="nil"/>
              <w:bottom w:val="nil"/>
              <w:right w:val="nil"/>
            </w:tcBorders>
            <w:shd w:val="clear" w:color="auto" w:fill="auto"/>
            <w:noWrap/>
            <w:vAlign w:val="bottom"/>
            <w:hideMark/>
          </w:tcPr>
          <w:p w:rsidR="00162864" w:rsidRPr="00383CF3" w:rsidRDefault="00162864" w:rsidP="00162864">
            <w:pPr>
              <w:spacing w:before="0" w:after="0"/>
              <w:ind w:firstLine="0"/>
              <w:rPr>
                <w:color w:val="000000"/>
                <w:sz w:val="20"/>
                <w:szCs w:val="20"/>
              </w:rPr>
            </w:pPr>
            <w:r>
              <w:rPr>
                <w:rFonts w:hint="eastAsia"/>
                <w:color w:val="000000"/>
                <w:sz w:val="20"/>
                <w:szCs w:val="20"/>
                <w:lang w:eastAsia="zh-CN"/>
              </w:rPr>
              <w:t>方案支助费用</w:t>
            </w:r>
            <w:r w:rsidRPr="00383CF3">
              <w:rPr>
                <w:color w:val="000000"/>
                <w:sz w:val="20"/>
                <w:szCs w:val="20"/>
              </w:rPr>
              <w:t xml:space="preserve"> </w:t>
            </w:r>
            <w:r>
              <w:rPr>
                <w:color w:val="000000"/>
                <w:sz w:val="20"/>
                <w:szCs w:val="20"/>
              </w:rPr>
              <w:t>（</w:t>
            </w:r>
            <w:r w:rsidRPr="00383CF3">
              <w:rPr>
                <w:color w:val="000000"/>
                <w:sz w:val="20"/>
                <w:szCs w:val="20"/>
              </w:rPr>
              <w:t>13%</w:t>
            </w:r>
            <w:r>
              <w:rPr>
                <w:color w:val="000000"/>
                <w:sz w:val="20"/>
                <w:szCs w:val="20"/>
              </w:rPr>
              <w:t>）</w:t>
            </w:r>
          </w:p>
        </w:tc>
        <w:tc>
          <w:tcPr>
            <w:tcW w:w="1736" w:type="dxa"/>
            <w:tcBorders>
              <w:top w:val="nil"/>
              <w:left w:val="nil"/>
              <w:bottom w:val="nil"/>
              <w:right w:val="nil"/>
            </w:tcBorders>
            <w:shd w:val="clear" w:color="auto" w:fill="auto"/>
            <w:noWrap/>
            <w:vAlign w:val="bottom"/>
            <w:hideMark/>
          </w:tcPr>
          <w:p w:rsidR="00162864" w:rsidRPr="00383CF3" w:rsidRDefault="00162864" w:rsidP="00162864">
            <w:pPr>
              <w:spacing w:before="0" w:after="0"/>
              <w:ind w:firstLine="0"/>
              <w:jc w:val="center"/>
              <w:rPr>
                <w:color w:val="000000"/>
                <w:sz w:val="20"/>
                <w:szCs w:val="20"/>
              </w:rPr>
            </w:pPr>
            <w:r w:rsidRPr="00383CF3">
              <w:rPr>
                <w:color w:val="000000"/>
                <w:sz w:val="20"/>
                <w:szCs w:val="20"/>
              </w:rPr>
              <w:t xml:space="preserve">                     116.9 </w:t>
            </w:r>
          </w:p>
        </w:tc>
      </w:tr>
      <w:tr w:rsidR="00162864" w:rsidRPr="00383CF3" w:rsidTr="00162864">
        <w:trPr>
          <w:trHeight w:val="264"/>
          <w:jc w:val="center"/>
        </w:trPr>
        <w:tc>
          <w:tcPr>
            <w:tcW w:w="6056" w:type="dxa"/>
            <w:tcBorders>
              <w:top w:val="single" w:sz="4" w:space="0" w:color="auto"/>
              <w:left w:val="nil"/>
              <w:bottom w:val="single" w:sz="4" w:space="0" w:color="auto"/>
              <w:right w:val="nil"/>
            </w:tcBorders>
            <w:shd w:val="clear" w:color="auto" w:fill="auto"/>
            <w:noWrap/>
            <w:vAlign w:val="bottom"/>
            <w:hideMark/>
          </w:tcPr>
          <w:p w:rsidR="00162864" w:rsidRPr="00383CF3" w:rsidRDefault="00162864" w:rsidP="00162864">
            <w:pPr>
              <w:spacing w:before="0" w:after="0"/>
              <w:ind w:firstLine="0"/>
              <w:rPr>
                <w:b/>
                <w:bCs/>
                <w:color w:val="000000"/>
                <w:sz w:val="20"/>
                <w:szCs w:val="20"/>
                <w:lang w:eastAsia="zh-CN"/>
              </w:rPr>
            </w:pPr>
            <w:r>
              <w:rPr>
                <w:rFonts w:hint="eastAsia"/>
                <w:b/>
                <w:bCs/>
                <w:color w:val="000000"/>
                <w:sz w:val="20"/>
                <w:szCs w:val="20"/>
                <w:lang w:eastAsia="zh-CN"/>
              </w:rPr>
              <w:t>共计</w:t>
            </w:r>
            <w:r>
              <w:rPr>
                <w:b/>
                <w:bCs/>
                <w:color w:val="000000"/>
                <w:sz w:val="20"/>
                <w:szCs w:val="20"/>
                <w:lang w:eastAsia="zh-CN"/>
              </w:rPr>
              <w:t>，卡塔赫纳生物安全议定书</w:t>
            </w:r>
          </w:p>
        </w:tc>
        <w:tc>
          <w:tcPr>
            <w:tcW w:w="1736" w:type="dxa"/>
            <w:tcBorders>
              <w:top w:val="single" w:sz="4" w:space="0" w:color="auto"/>
              <w:left w:val="nil"/>
              <w:bottom w:val="single" w:sz="4" w:space="0" w:color="auto"/>
              <w:right w:val="nil"/>
            </w:tcBorders>
            <w:shd w:val="clear" w:color="auto" w:fill="auto"/>
            <w:noWrap/>
            <w:vAlign w:val="bottom"/>
            <w:hideMark/>
          </w:tcPr>
          <w:p w:rsidR="00162864" w:rsidRPr="00383CF3" w:rsidRDefault="00162864" w:rsidP="00162864">
            <w:pPr>
              <w:spacing w:before="0" w:after="0"/>
              <w:ind w:firstLine="0"/>
              <w:jc w:val="center"/>
              <w:rPr>
                <w:b/>
                <w:bCs/>
                <w:color w:val="000000"/>
                <w:sz w:val="20"/>
                <w:szCs w:val="20"/>
              </w:rPr>
            </w:pPr>
            <w:r w:rsidRPr="00383CF3">
              <w:rPr>
                <w:b/>
                <w:bCs/>
                <w:color w:val="000000"/>
                <w:sz w:val="20"/>
                <w:szCs w:val="20"/>
                <w:lang w:eastAsia="zh-CN"/>
              </w:rPr>
              <w:t xml:space="preserve">                  </w:t>
            </w:r>
            <w:r>
              <w:rPr>
                <w:b/>
                <w:bCs/>
                <w:color w:val="000000"/>
                <w:sz w:val="20"/>
                <w:szCs w:val="20"/>
              </w:rPr>
              <w:t xml:space="preserve">1 </w:t>
            </w:r>
            <w:r w:rsidRPr="00383CF3">
              <w:rPr>
                <w:b/>
                <w:bCs/>
                <w:color w:val="000000"/>
                <w:sz w:val="20"/>
                <w:szCs w:val="20"/>
              </w:rPr>
              <w:t xml:space="preserve">015.9 </w:t>
            </w:r>
          </w:p>
        </w:tc>
      </w:tr>
      <w:tr w:rsidR="00162864" w:rsidRPr="00383CF3" w:rsidTr="00162864">
        <w:trPr>
          <w:trHeight w:val="264"/>
          <w:jc w:val="center"/>
        </w:trPr>
        <w:tc>
          <w:tcPr>
            <w:tcW w:w="6056" w:type="dxa"/>
            <w:tcBorders>
              <w:top w:val="nil"/>
              <w:left w:val="nil"/>
              <w:bottom w:val="nil"/>
              <w:right w:val="nil"/>
            </w:tcBorders>
            <w:shd w:val="clear" w:color="auto" w:fill="auto"/>
            <w:noWrap/>
            <w:vAlign w:val="bottom"/>
            <w:hideMark/>
          </w:tcPr>
          <w:p w:rsidR="00162864" w:rsidRPr="00383CF3" w:rsidRDefault="00162864" w:rsidP="00162864">
            <w:pPr>
              <w:spacing w:before="0" w:after="0"/>
              <w:ind w:firstLine="0"/>
              <w:jc w:val="center"/>
              <w:rPr>
                <w:b/>
                <w:bCs/>
                <w:color w:val="000000"/>
                <w:sz w:val="20"/>
                <w:szCs w:val="20"/>
              </w:rPr>
            </w:pPr>
          </w:p>
        </w:tc>
        <w:tc>
          <w:tcPr>
            <w:tcW w:w="1736" w:type="dxa"/>
            <w:tcBorders>
              <w:top w:val="nil"/>
              <w:left w:val="nil"/>
              <w:bottom w:val="nil"/>
              <w:right w:val="nil"/>
            </w:tcBorders>
            <w:shd w:val="clear" w:color="auto" w:fill="auto"/>
            <w:noWrap/>
            <w:vAlign w:val="bottom"/>
            <w:hideMark/>
          </w:tcPr>
          <w:p w:rsidR="00162864" w:rsidRPr="00383CF3" w:rsidRDefault="00162864" w:rsidP="00162864">
            <w:pPr>
              <w:spacing w:before="0" w:after="0"/>
              <w:ind w:firstLine="0"/>
              <w:rPr>
                <w:sz w:val="20"/>
                <w:szCs w:val="20"/>
              </w:rPr>
            </w:pPr>
          </w:p>
        </w:tc>
      </w:tr>
    </w:tbl>
    <w:p w:rsidR="00162864" w:rsidRDefault="00162864" w:rsidP="00162864">
      <w:pPr>
        <w:shd w:val="clear" w:color="auto" w:fill="FFFFFF" w:themeFill="background1"/>
        <w:tabs>
          <w:tab w:val="left" w:pos="1440"/>
        </w:tabs>
        <w:adjustRightInd w:val="0"/>
        <w:snapToGrid w:val="0"/>
        <w:spacing w:before="0" w:after="0"/>
        <w:ind w:firstLine="0"/>
        <w:jc w:val="center"/>
        <w:rPr>
          <w:b/>
          <w:bCs/>
          <w:iCs/>
          <w:color w:val="000000"/>
          <w:kern w:val="18"/>
          <w:lang w:val="de-CH" w:eastAsia="zh-CN"/>
        </w:rPr>
      </w:pPr>
    </w:p>
    <w:p w:rsidR="00162864" w:rsidRDefault="00162864" w:rsidP="00162864">
      <w:pPr>
        <w:spacing w:before="0" w:after="0"/>
        <w:ind w:firstLine="0"/>
        <w:rPr>
          <w:b/>
          <w:bCs/>
          <w:iCs/>
          <w:color w:val="000000"/>
          <w:kern w:val="18"/>
          <w:lang w:val="de-CH" w:eastAsia="zh-CN"/>
        </w:rPr>
      </w:pPr>
      <w:r>
        <w:rPr>
          <w:b/>
          <w:bCs/>
          <w:iCs/>
          <w:color w:val="000000"/>
          <w:kern w:val="18"/>
          <w:lang w:val="de-CH" w:eastAsia="zh-CN"/>
        </w:rPr>
        <w:br w:type="page"/>
      </w:r>
    </w:p>
    <w:p w:rsidR="00B72FA3" w:rsidRDefault="00B72FA3" w:rsidP="00162864">
      <w:pPr>
        <w:shd w:val="clear" w:color="auto" w:fill="FFFFFF" w:themeFill="background1"/>
        <w:tabs>
          <w:tab w:val="left" w:pos="1440"/>
        </w:tabs>
        <w:adjustRightInd w:val="0"/>
        <w:snapToGrid w:val="0"/>
        <w:spacing w:before="0" w:after="0"/>
        <w:ind w:firstLine="0"/>
        <w:jc w:val="center"/>
        <w:rPr>
          <w:b/>
          <w:bCs/>
          <w:iCs/>
          <w:color w:val="000000"/>
          <w:kern w:val="18"/>
          <w:lang w:val="de-CH" w:eastAsia="zh-CN"/>
        </w:rPr>
      </w:pPr>
      <w:r>
        <w:rPr>
          <w:b/>
          <w:bCs/>
          <w:iCs/>
          <w:color w:val="000000"/>
          <w:kern w:val="18"/>
          <w:lang w:val="de-CH" w:eastAsia="zh-CN"/>
        </w:rPr>
        <w:lastRenderedPageBreak/>
        <w:t>C.</w:t>
      </w:r>
      <w:r>
        <w:rPr>
          <w:rFonts w:hint="eastAsia"/>
          <w:b/>
          <w:bCs/>
          <w:iCs/>
          <w:color w:val="000000"/>
          <w:kern w:val="18"/>
          <w:lang w:val="de-CH" w:eastAsia="zh-CN"/>
        </w:rPr>
        <w:t xml:space="preserve"> </w:t>
      </w:r>
      <w:r>
        <w:rPr>
          <w:b/>
          <w:bCs/>
          <w:iCs/>
          <w:color w:val="000000"/>
          <w:kern w:val="18"/>
          <w:lang w:val="de-CH" w:eastAsia="zh-CN"/>
        </w:rPr>
        <w:t xml:space="preserve">   </w:t>
      </w:r>
      <w:r>
        <w:rPr>
          <w:rFonts w:hint="eastAsia"/>
          <w:b/>
          <w:bCs/>
          <w:iCs/>
          <w:color w:val="000000"/>
          <w:kern w:val="18"/>
          <w:lang w:val="de-CH" w:eastAsia="zh-CN"/>
        </w:rPr>
        <w:t>关于获取遗传资源和惠益分享的名古屋议定书</w:t>
      </w:r>
    </w:p>
    <w:p w:rsidR="00B72FA3" w:rsidRPr="00616CA4" w:rsidRDefault="00B72FA3" w:rsidP="00162864">
      <w:pPr>
        <w:pStyle w:val="ListParagraph"/>
        <w:spacing w:before="0"/>
        <w:ind w:left="0" w:firstLine="0"/>
        <w:jc w:val="center"/>
        <w:rPr>
          <w:rFonts w:ascii="KaiTi" w:eastAsia="KaiTi" w:hAnsi="KaiTi"/>
          <w:lang w:eastAsia="zh-CN"/>
        </w:rPr>
      </w:pPr>
      <w:r>
        <w:rPr>
          <w:rFonts w:ascii="KaiTi" w:eastAsia="KaiTi" w:hAnsi="KaiTi" w:hint="eastAsia"/>
          <w:lang w:eastAsia="zh-CN"/>
        </w:rPr>
        <w:t>（</w:t>
      </w:r>
      <w:r>
        <w:rPr>
          <w:rFonts w:ascii="KaiTi" w:eastAsia="KaiTi" w:hAnsi="KaiTi"/>
          <w:lang w:eastAsia="zh-CN"/>
        </w:rPr>
        <w:t>千美元）</w:t>
      </w:r>
    </w:p>
    <w:tbl>
      <w:tblPr>
        <w:tblW w:w="7352" w:type="dxa"/>
        <w:jc w:val="center"/>
        <w:tblLook w:val="04A0"/>
      </w:tblPr>
      <w:tblGrid>
        <w:gridCol w:w="6356"/>
        <w:gridCol w:w="996"/>
      </w:tblGrid>
      <w:tr w:rsidR="00B72FA3" w:rsidRPr="00503700" w:rsidTr="00B72FA3">
        <w:trPr>
          <w:trHeight w:val="264"/>
          <w:jc w:val="center"/>
        </w:trPr>
        <w:tc>
          <w:tcPr>
            <w:tcW w:w="6356" w:type="dxa"/>
            <w:tcBorders>
              <w:top w:val="nil"/>
              <w:left w:val="nil"/>
              <w:bottom w:val="nil"/>
              <w:right w:val="nil"/>
            </w:tcBorders>
            <w:shd w:val="clear" w:color="auto" w:fill="auto"/>
            <w:noWrap/>
            <w:vAlign w:val="bottom"/>
            <w:hideMark/>
          </w:tcPr>
          <w:p w:rsidR="00B72FA3" w:rsidRPr="000E7967" w:rsidRDefault="00B72FA3" w:rsidP="00162864">
            <w:pPr>
              <w:keepNext/>
              <w:keepLines/>
              <w:spacing w:before="0" w:after="0"/>
              <w:ind w:firstLine="0"/>
              <w:rPr>
                <w:b/>
                <w:bCs/>
                <w:color w:val="000000"/>
                <w:sz w:val="20"/>
                <w:szCs w:val="20"/>
                <w:lang w:eastAsia="zh-CN"/>
              </w:rPr>
            </w:pPr>
            <w:r w:rsidRPr="000E7967">
              <w:rPr>
                <w:rFonts w:hint="eastAsia"/>
                <w:b/>
                <w:bCs/>
                <w:color w:val="000000"/>
                <w:sz w:val="20"/>
                <w:szCs w:val="20"/>
                <w:lang w:eastAsia="zh-CN"/>
              </w:rPr>
              <w:t>能力建设讲习班</w:t>
            </w:r>
          </w:p>
        </w:tc>
        <w:tc>
          <w:tcPr>
            <w:tcW w:w="996" w:type="dxa"/>
            <w:tcBorders>
              <w:top w:val="nil"/>
              <w:left w:val="nil"/>
              <w:bottom w:val="nil"/>
              <w:right w:val="nil"/>
            </w:tcBorders>
            <w:shd w:val="clear" w:color="auto" w:fill="auto"/>
            <w:noWrap/>
            <w:vAlign w:val="bottom"/>
            <w:hideMark/>
          </w:tcPr>
          <w:p w:rsidR="00B72FA3" w:rsidRPr="00503700" w:rsidRDefault="00B72FA3" w:rsidP="00162864">
            <w:pPr>
              <w:keepNext/>
              <w:keepLines/>
              <w:spacing w:before="0" w:after="0"/>
              <w:ind w:firstLine="0"/>
              <w:rPr>
                <w:b/>
                <w:bCs/>
                <w:color w:val="000000"/>
                <w:sz w:val="20"/>
                <w:szCs w:val="20"/>
                <w:u w:val="single"/>
              </w:rPr>
            </w:pPr>
          </w:p>
        </w:tc>
      </w:tr>
      <w:tr w:rsidR="00B72FA3" w:rsidRPr="00503700" w:rsidTr="00B72FA3">
        <w:trPr>
          <w:trHeight w:val="264"/>
          <w:jc w:val="center"/>
        </w:trPr>
        <w:tc>
          <w:tcPr>
            <w:tcW w:w="6356" w:type="dxa"/>
            <w:tcBorders>
              <w:top w:val="nil"/>
              <w:left w:val="nil"/>
              <w:bottom w:val="nil"/>
              <w:right w:val="nil"/>
            </w:tcBorders>
            <w:shd w:val="clear" w:color="auto" w:fill="auto"/>
            <w:vAlign w:val="bottom"/>
            <w:hideMark/>
          </w:tcPr>
          <w:p w:rsidR="00B72FA3" w:rsidRPr="00503700" w:rsidRDefault="00B72FA3" w:rsidP="00162864">
            <w:pPr>
              <w:keepNext/>
              <w:keepLines/>
              <w:spacing w:before="0" w:after="0"/>
              <w:ind w:firstLine="0"/>
              <w:rPr>
                <w:color w:val="000000"/>
                <w:sz w:val="20"/>
                <w:szCs w:val="20"/>
                <w:lang w:eastAsia="zh-CN"/>
              </w:rPr>
            </w:pPr>
            <w:r>
              <w:rPr>
                <w:color w:val="000000"/>
                <w:sz w:val="20"/>
                <w:szCs w:val="20"/>
                <w:lang w:eastAsia="zh-CN"/>
              </w:rPr>
              <w:t>2020</w:t>
            </w:r>
            <w:r>
              <w:rPr>
                <w:rFonts w:hint="eastAsia"/>
                <w:color w:val="000000"/>
                <w:sz w:val="20"/>
                <w:szCs w:val="20"/>
                <w:lang w:eastAsia="zh-CN"/>
              </w:rPr>
              <w:t>年后能力建设</w:t>
            </w:r>
            <w:r>
              <w:rPr>
                <w:color w:val="000000"/>
                <w:sz w:val="20"/>
                <w:szCs w:val="20"/>
                <w:lang w:eastAsia="zh-CN"/>
              </w:rPr>
              <w:t>长期战略框架</w:t>
            </w:r>
          </w:p>
        </w:tc>
        <w:tc>
          <w:tcPr>
            <w:tcW w:w="996" w:type="dxa"/>
            <w:tcBorders>
              <w:top w:val="nil"/>
              <w:left w:val="nil"/>
              <w:bottom w:val="nil"/>
              <w:right w:val="nil"/>
            </w:tcBorders>
            <w:shd w:val="clear" w:color="auto" w:fill="auto"/>
            <w:noWrap/>
            <w:vAlign w:val="bottom"/>
            <w:hideMark/>
          </w:tcPr>
          <w:p w:rsidR="00B72FA3" w:rsidRPr="00503700" w:rsidRDefault="00B72FA3" w:rsidP="00162864">
            <w:pPr>
              <w:keepNext/>
              <w:keepLines/>
              <w:spacing w:before="0" w:after="0"/>
              <w:ind w:firstLine="0"/>
              <w:rPr>
                <w:color w:val="000000"/>
                <w:sz w:val="20"/>
                <w:szCs w:val="20"/>
              </w:rPr>
            </w:pPr>
            <w:r w:rsidRPr="00503700">
              <w:rPr>
                <w:color w:val="000000"/>
                <w:sz w:val="20"/>
                <w:szCs w:val="20"/>
                <w:lang w:eastAsia="zh-CN"/>
              </w:rPr>
              <w:t xml:space="preserve">        </w:t>
            </w:r>
            <w:r w:rsidRPr="00503700">
              <w:rPr>
                <w:color w:val="000000"/>
                <w:sz w:val="20"/>
                <w:szCs w:val="20"/>
              </w:rPr>
              <w:t xml:space="preserve">83.0 </w:t>
            </w:r>
          </w:p>
        </w:tc>
      </w:tr>
      <w:tr w:rsidR="00B72FA3" w:rsidRPr="00503700" w:rsidTr="00B72FA3">
        <w:trPr>
          <w:trHeight w:val="264"/>
          <w:jc w:val="center"/>
        </w:trPr>
        <w:tc>
          <w:tcPr>
            <w:tcW w:w="6356" w:type="dxa"/>
            <w:tcBorders>
              <w:top w:val="single" w:sz="4" w:space="0" w:color="auto"/>
              <w:left w:val="nil"/>
              <w:bottom w:val="single" w:sz="4" w:space="0" w:color="auto"/>
              <w:right w:val="nil"/>
            </w:tcBorders>
            <w:shd w:val="clear" w:color="auto" w:fill="auto"/>
            <w:vAlign w:val="bottom"/>
            <w:hideMark/>
          </w:tcPr>
          <w:p w:rsidR="00B72FA3" w:rsidRPr="00503700" w:rsidRDefault="00B72FA3" w:rsidP="00162864">
            <w:pPr>
              <w:keepNext/>
              <w:keepLines/>
              <w:spacing w:before="0" w:after="0"/>
              <w:ind w:firstLine="0"/>
              <w:rPr>
                <w:color w:val="000000"/>
                <w:sz w:val="20"/>
                <w:szCs w:val="20"/>
                <w:lang w:eastAsia="zh-CN"/>
              </w:rPr>
            </w:pPr>
            <w:r>
              <w:rPr>
                <w:rFonts w:hint="eastAsia"/>
                <w:color w:val="000000"/>
                <w:sz w:val="20"/>
                <w:szCs w:val="20"/>
                <w:lang w:eastAsia="zh-CN"/>
              </w:rPr>
              <w:t>小计</w:t>
            </w:r>
          </w:p>
        </w:tc>
        <w:tc>
          <w:tcPr>
            <w:tcW w:w="996" w:type="dxa"/>
            <w:tcBorders>
              <w:top w:val="single" w:sz="4" w:space="0" w:color="auto"/>
              <w:left w:val="nil"/>
              <w:bottom w:val="single" w:sz="4" w:space="0" w:color="auto"/>
              <w:right w:val="nil"/>
            </w:tcBorders>
            <w:shd w:val="clear" w:color="auto" w:fill="auto"/>
            <w:noWrap/>
            <w:vAlign w:val="bottom"/>
            <w:hideMark/>
          </w:tcPr>
          <w:p w:rsidR="00B72FA3" w:rsidRPr="00503700" w:rsidRDefault="00B72FA3" w:rsidP="00162864">
            <w:pPr>
              <w:keepNext/>
              <w:keepLines/>
              <w:spacing w:before="0" w:after="0"/>
              <w:ind w:firstLine="0"/>
              <w:rPr>
                <w:color w:val="000000"/>
                <w:sz w:val="20"/>
                <w:szCs w:val="20"/>
              </w:rPr>
            </w:pPr>
            <w:r w:rsidRPr="00503700">
              <w:rPr>
                <w:color w:val="000000"/>
                <w:sz w:val="20"/>
                <w:szCs w:val="20"/>
              </w:rPr>
              <w:t xml:space="preserve">        83.0 </w:t>
            </w:r>
          </w:p>
        </w:tc>
      </w:tr>
      <w:tr w:rsidR="00B72FA3" w:rsidRPr="00503700" w:rsidTr="00B72FA3">
        <w:trPr>
          <w:trHeight w:val="264"/>
          <w:jc w:val="center"/>
        </w:trPr>
        <w:tc>
          <w:tcPr>
            <w:tcW w:w="6356" w:type="dxa"/>
            <w:tcBorders>
              <w:top w:val="nil"/>
              <w:left w:val="nil"/>
              <w:bottom w:val="nil"/>
              <w:right w:val="nil"/>
            </w:tcBorders>
            <w:shd w:val="clear" w:color="auto" w:fill="auto"/>
            <w:noWrap/>
            <w:vAlign w:val="bottom"/>
            <w:hideMark/>
          </w:tcPr>
          <w:p w:rsidR="00B72FA3" w:rsidRPr="000E7967" w:rsidRDefault="00B72FA3" w:rsidP="00162864">
            <w:pPr>
              <w:keepNext/>
              <w:keepLines/>
              <w:spacing w:before="0" w:after="0"/>
              <w:ind w:firstLine="0"/>
              <w:rPr>
                <w:b/>
                <w:bCs/>
                <w:color w:val="000000"/>
                <w:sz w:val="20"/>
                <w:szCs w:val="20"/>
                <w:lang w:eastAsia="zh-CN"/>
              </w:rPr>
            </w:pPr>
            <w:r w:rsidRPr="000E7967">
              <w:rPr>
                <w:rFonts w:hint="eastAsia"/>
                <w:b/>
                <w:bCs/>
                <w:color w:val="000000"/>
                <w:sz w:val="20"/>
                <w:szCs w:val="20"/>
                <w:lang w:eastAsia="zh-CN"/>
              </w:rPr>
              <w:t>顾问</w:t>
            </w:r>
          </w:p>
        </w:tc>
        <w:tc>
          <w:tcPr>
            <w:tcW w:w="996" w:type="dxa"/>
            <w:tcBorders>
              <w:top w:val="nil"/>
              <w:left w:val="nil"/>
              <w:bottom w:val="nil"/>
              <w:right w:val="nil"/>
            </w:tcBorders>
            <w:shd w:val="clear" w:color="auto" w:fill="auto"/>
            <w:noWrap/>
            <w:vAlign w:val="bottom"/>
            <w:hideMark/>
          </w:tcPr>
          <w:p w:rsidR="00B72FA3" w:rsidRPr="00503700" w:rsidRDefault="00B72FA3" w:rsidP="00162864">
            <w:pPr>
              <w:keepNext/>
              <w:keepLines/>
              <w:spacing w:before="0" w:after="0"/>
              <w:ind w:firstLine="0"/>
              <w:rPr>
                <w:b/>
                <w:bCs/>
                <w:color w:val="000000"/>
                <w:sz w:val="20"/>
                <w:szCs w:val="20"/>
                <w:u w:val="single"/>
              </w:rPr>
            </w:pPr>
          </w:p>
        </w:tc>
      </w:tr>
      <w:tr w:rsidR="00B72FA3" w:rsidRPr="00503700" w:rsidTr="00B72FA3">
        <w:trPr>
          <w:trHeight w:val="264"/>
          <w:jc w:val="center"/>
        </w:trPr>
        <w:tc>
          <w:tcPr>
            <w:tcW w:w="6356" w:type="dxa"/>
            <w:tcBorders>
              <w:top w:val="nil"/>
              <w:left w:val="nil"/>
              <w:bottom w:val="nil"/>
              <w:right w:val="nil"/>
            </w:tcBorders>
            <w:shd w:val="clear" w:color="auto" w:fill="auto"/>
            <w:vAlign w:val="bottom"/>
            <w:hideMark/>
          </w:tcPr>
          <w:p w:rsidR="00B72FA3" w:rsidRPr="00503700" w:rsidRDefault="00B72FA3" w:rsidP="00162864">
            <w:pPr>
              <w:keepNext/>
              <w:keepLines/>
              <w:spacing w:before="0" w:after="0"/>
              <w:ind w:firstLine="0"/>
              <w:rPr>
                <w:color w:val="000000"/>
                <w:sz w:val="20"/>
                <w:szCs w:val="20"/>
                <w:lang w:eastAsia="zh-CN"/>
              </w:rPr>
            </w:pPr>
            <w:r>
              <w:rPr>
                <w:color w:val="000000"/>
                <w:sz w:val="20"/>
                <w:szCs w:val="20"/>
                <w:lang w:eastAsia="zh-CN"/>
              </w:rPr>
              <w:t>2020</w:t>
            </w:r>
            <w:r>
              <w:rPr>
                <w:rFonts w:hint="eastAsia"/>
                <w:color w:val="000000"/>
                <w:sz w:val="20"/>
                <w:szCs w:val="20"/>
                <w:lang w:eastAsia="zh-CN"/>
              </w:rPr>
              <w:t>年后能力建设</w:t>
            </w:r>
            <w:r>
              <w:rPr>
                <w:color w:val="000000"/>
                <w:sz w:val="20"/>
                <w:szCs w:val="20"/>
                <w:lang w:eastAsia="zh-CN"/>
              </w:rPr>
              <w:t>长期战略框架</w:t>
            </w:r>
          </w:p>
        </w:tc>
        <w:tc>
          <w:tcPr>
            <w:tcW w:w="996" w:type="dxa"/>
            <w:tcBorders>
              <w:top w:val="nil"/>
              <w:left w:val="nil"/>
              <w:bottom w:val="nil"/>
              <w:right w:val="nil"/>
            </w:tcBorders>
            <w:shd w:val="clear" w:color="auto" w:fill="auto"/>
            <w:noWrap/>
            <w:vAlign w:val="bottom"/>
            <w:hideMark/>
          </w:tcPr>
          <w:p w:rsidR="00B72FA3" w:rsidRPr="00503700" w:rsidRDefault="00B72FA3" w:rsidP="00162864">
            <w:pPr>
              <w:keepNext/>
              <w:keepLines/>
              <w:spacing w:before="0" w:after="0"/>
              <w:ind w:firstLine="0"/>
              <w:rPr>
                <w:color w:val="000000"/>
                <w:sz w:val="20"/>
                <w:szCs w:val="20"/>
              </w:rPr>
            </w:pPr>
            <w:r w:rsidRPr="00503700">
              <w:rPr>
                <w:color w:val="000000"/>
                <w:sz w:val="20"/>
                <w:szCs w:val="20"/>
                <w:lang w:eastAsia="zh-CN"/>
              </w:rPr>
              <w:t xml:space="preserve">      </w:t>
            </w:r>
            <w:r w:rsidRPr="00503700">
              <w:rPr>
                <w:color w:val="000000"/>
                <w:sz w:val="20"/>
                <w:szCs w:val="20"/>
              </w:rPr>
              <w:t xml:space="preserve">111.0 </w:t>
            </w:r>
          </w:p>
        </w:tc>
      </w:tr>
      <w:tr w:rsidR="00B72FA3" w:rsidRPr="00503700" w:rsidTr="00B72FA3">
        <w:trPr>
          <w:trHeight w:val="264"/>
          <w:jc w:val="center"/>
        </w:trPr>
        <w:tc>
          <w:tcPr>
            <w:tcW w:w="6356" w:type="dxa"/>
            <w:tcBorders>
              <w:top w:val="nil"/>
              <w:left w:val="nil"/>
              <w:bottom w:val="nil"/>
              <w:right w:val="nil"/>
            </w:tcBorders>
            <w:shd w:val="clear" w:color="auto" w:fill="auto"/>
            <w:vAlign w:val="bottom"/>
            <w:hideMark/>
          </w:tcPr>
          <w:p w:rsidR="00B72FA3" w:rsidRPr="00503700" w:rsidRDefault="00B72FA3" w:rsidP="00162864">
            <w:pPr>
              <w:keepNext/>
              <w:keepLines/>
              <w:spacing w:before="0" w:after="0"/>
              <w:ind w:firstLine="0"/>
              <w:rPr>
                <w:color w:val="000000"/>
                <w:sz w:val="20"/>
                <w:szCs w:val="20"/>
                <w:lang w:eastAsia="zh-CN"/>
              </w:rPr>
            </w:pPr>
            <w:r>
              <w:rPr>
                <w:rFonts w:hint="eastAsia"/>
                <w:color w:val="000000"/>
                <w:sz w:val="20"/>
                <w:szCs w:val="20"/>
                <w:lang w:eastAsia="zh-CN"/>
              </w:rPr>
              <w:t>全球</w:t>
            </w:r>
            <w:r>
              <w:rPr>
                <w:color w:val="000000"/>
                <w:sz w:val="20"/>
                <w:szCs w:val="20"/>
                <w:lang w:eastAsia="zh-CN"/>
              </w:rPr>
              <w:t>多边</w:t>
            </w:r>
            <w:r>
              <w:rPr>
                <w:rFonts w:hint="eastAsia"/>
                <w:color w:val="000000"/>
                <w:sz w:val="20"/>
                <w:szCs w:val="20"/>
                <w:lang w:eastAsia="zh-CN"/>
              </w:rPr>
              <w:t>惠益分享</w:t>
            </w:r>
            <w:r>
              <w:rPr>
                <w:color w:val="000000"/>
                <w:sz w:val="20"/>
                <w:szCs w:val="20"/>
                <w:lang w:eastAsia="zh-CN"/>
              </w:rPr>
              <w:t>机制</w:t>
            </w:r>
            <w:r w:rsidRPr="00503700">
              <w:rPr>
                <w:color w:val="000000"/>
                <w:sz w:val="20"/>
                <w:szCs w:val="20"/>
                <w:lang w:eastAsia="zh-CN"/>
              </w:rPr>
              <w:t xml:space="preserve"> </w:t>
            </w:r>
            <w:r>
              <w:rPr>
                <w:color w:val="000000"/>
                <w:sz w:val="20"/>
                <w:szCs w:val="20"/>
                <w:lang w:eastAsia="zh-CN"/>
              </w:rPr>
              <w:t>（</w:t>
            </w:r>
            <w:r>
              <w:rPr>
                <w:rFonts w:hint="eastAsia"/>
                <w:color w:val="000000"/>
                <w:sz w:val="20"/>
                <w:szCs w:val="20"/>
                <w:lang w:eastAsia="zh-CN"/>
              </w:rPr>
              <w:t>第</w:t>
            </w:r>
            <w:r>
              <w:rPr>
                <w:rFonts w:hint="eastAsia"/>
                <w:color w:val="000000"/>
                <w:sz w:val="20"/>
                <w:szCs w:val="20"/>
                <w:lang w:eastAsia="zh-CN"/>
              </w:rPr>
              <w:t>10</w:t>
            </w:r>
            <w:r>
              <w:rPr>
                <w:rFonts w:hint="eastAsia"/>
                <w:color w:val="000000"/>
                <w:sz w:val="20"/>
                <w:szCs w:val="20"/>
                <w:lang w:eastAsia="zh-CN"/>
              </w:rPr>
              <w:t>条</w:t>
            </w:r>
            <w:r>
              <w:rPr>
                <w:color w:val="000000"/>
                <w:sz w:val="20"/>
                <w:szCs w:val="20"/>
                <w:lang w:eastAsia="zh-CN"/>
              </w:rPr>
              <w:t>）</w:t>
            </w:r>
          </w:p>
        </w:tc>
        <w:tc>
          <w:tcPr>
            <w:tcW w:w="996" w:type="dxa"/>
            <w:tcBorders>
              <w:top w:val="nil"/>
              <w:left w:val="nil"/>
              <w:bottom w:val="nil"/>
              <w:right w:val="nil"/>
            </w:tcBorders>
            <w:shd w:val="clear" w:color="auto" w:fill="auto"/>
            <w:noWrap/>
            <w:vAlign w:val="bottom"/>
            <w:hideMark/>
          </w:tcPr>
          <w:p w:rsidR="00B72FA3" w:rsidRPr="00503700" w:rsidRDefault="00B72FA3" w:rsidP="00162864">
            <w:pPr>
              <w:keepNext/>
              <w:keepLines/>
              <w:spacing w:before="0" w:after="0"/>
              <w:ind w:firstLine="0"/>
              <w:rPr>
                <w:color w:val="000000"/>
                <w:sz w:val="20"/>
                <w:szCs w:val="20"/>
              </w:rPr>
            </w:pPr>
            <w:r w:rsidRPr="00503700">
              <w:rPr>
                <w:color w:val="000000"/>
                <w:sz w:val="20"/>
                <w:szCs w:val="20"/>
                <w:lang w:eastAsia="zh-CN"/>
              </w:rPr>
              <w:t xml:space="preserve">        </w:t>
            </w:r>
            <w:r w:rsidRPr="00503700">
              <w:rPr>
                <w:color w:val="000000"/>
                <w:sz w:val="20"/>
                <w:szCs w:val="20"/>
              </w:rPr>
              <w:t xml:space="preserve">21.0 </w:t>
            </w:r>
          </w:p>
        </w:tc>
      </w:tr>
      <w:tr w:rsidR="00B72FA3" w:rsidRPr="00503700" w:rsidTr="00B72FA3">
        <w:trPr>
          <w:trHeight w:val="264"/>
          <w:jc w:val="center"/>
        </w:trPr>
        <w:tc>
          <w:tcPr>
            <w:tcW w:w="6356" w:type="dxa"/>
            <w:tcBorders>
              <w:top w:val="single" w:sz="4" w:space="0" w:color="auto"/>
              <w:left w:val="nil"/>
              <w:bottom w:val="single" w:sz="4" w:space="0" w:color="auto"/>
              <w:right w:val="nil"/>
            </w:tcBorders>
            <w:shd w:val="clear" w:color="auto" w:fill="auto"/>
            <w:vAlign w:val="bottom"/>
            <w:hideMark/>
          </w:tcPr>
          <w:p w:rsidR="00B72FA3" w:rsidRPr="00503700" w:rsidRDefault="00B72FA3" w:rsidP="00162864">
            <w:pPr>
              <w:keepNext/>
              <w:keepLines/>
              <w:spacing w:before="0" w:after="0"/>
              <w:ind w:firstLine="0"/>
              <w:rPr>
                <w:color w:val="000000"/>
                <w:sz w:val="20"/>
                <w:szCs w:val="20"/>
                <w:lang w:eastAsia="zh-CN"/>
              </w:rPr>
            </w:pPr>
            <w:r>
              <w:rPr>
                <w:rFonts w:hint="eastAsia"/>
                <w:color w:val="000000"/>
                <w:sz w:val="20"/>
                <w:szCs w:val="20"/>
                <w:lang w:eastAsia="zh-CN"/>
              </w:rPr>
              <w:t>小计</w:t>
            </w:r>
          </w:p>
        </w:tc>
        <w:tc>
          <w:tcPr>
            <w:tcW w:w="996" w:type="dxa"/>
            <w:tcBorders>
              <w:top w:val="single" w:sz="4" w:space="0" w:color="auto"/>
              <w:left w:val="nil"/>
              <w:bottom w:val="single" w:sz="4" w:space="0" w:color="auto"/>
              <w:right w:val="nil"/>
            </w:tcBorders>
            <w:shd w:val="clear" w:color="auto" w:fill="auto"/>
            <w:noWrap/>
            <w:vAlign w:val="bottom"/>
            <w:hideMark/>
          </w:tcPr>
          <w:p w:rsidR="00B72FA3" w:rsidRPr="00503700" w:rsidRDefault="00B72FA3" w:rsidP="00162864">
            <w:pPr>
              <w:keepNext/>
              <w:keepLines/>
              <w:spacing w:before="0" w:after="0"/>
              <w:ind w:firstLine="0"/>
              <w:rPr>
                <w:color w:val="000000"/>
                <w:sz w:val="20"/>
                <w:szCs w:val="20"/>
              </w:rPr>
            </w:pPr>
            <w:r w:rsidRPr="00503700">
              <w:rPr>
                <w:color w:val="000000"/>
                <w:sz w:val="20"/>
                <w:szCs w:val="20"/>
              </w:rPr>
              <w:t xml:space="preserve">      132.0 </w:t>
            </w:r>
          </w:p>
        </w:tc>
      </w:tr>
      <w:tr w:rsidR="00B72FA3" w:rsidRPr="00503700" w:rsidTr="00B72FA3">
        <w:trPr>
          <w:trHeight w:val="264"/>
          <w:jc w:val="center"/>
        </w:trPr>
        <w:tc>
          <w:tcPr>
            <w:tcW w:w="6356" w:type="dxa"/>
            <w:tcBorders>
              <w:top w:val="nil"/>
              <w:left w:val="nil"/>
              <w:bottom w:val="nil"/>
              <w:right w:val="nil"/>
            </w:tcBorders>
            <w:shd w:val="clear" w:color="auto" w:fill="auto"/>
            <w:noWrap/>
            <w:vAlign w:val="bottom"/>
            <w:hideMark/>
          </w:tcPr>
          <w:p w:rsidR="00B72FA3" w:rsidRPr="000E7967" w:rsidRDefault="00B72FA3" w:rsidP="00162864">
            <w:pPr>
              <w:keepNext/>
              <w:keepLines/>
              <w:spacing w:before="0" w:after="0"/>
              <w:ind w:firstLine="0"/>
              <w:rPr>
                <w:b/>
                <w:bCs/>
                <w:color w:val="000000"/>
                <w:sz w:val="20"/>
                <w:szCs w:val="20"/>
                <w:lang w:eastAsia="zh-CN"/>
              </w:rPr>
            </w:pPr>
            <w:r w:rsidRPr="000E7967">
              <w:rPr>
                <w:rFonts w:hint="eastAsia"/>
                <w:b/>
                <w:bCs/>
                <w:color w:val="000000"/>
                <w:sz w:val="20"/>
                <w:szCs w:val="20"/>
                <w:lang w:eastAsia="zh-CN"/>
              </w:rPr>
              <w:t>工作人员差旅</w:t>
            </w:r>
          </w:p>
        </w:tc>
        <w:tc>
          <w:tcPr>
            <w:tcW w:w="996" w:type="dxa"/>
            <w:tcBorders>
              <w:top w:val="nil"/>
              <w:left w:val="nil"/>
              <w:bottom w:val="nil"/>
              <w:right w:val="nil"/>
            </w:tcBorders>
            <w:shd w:val="clear" w:color="auto" w:fill="auto"/>
            <w:noWrap/>
            <w:vAlign w:val="bottom"/>
            <w:hideMark/>
          </w:tcPr>
          <w:p w:rsidR="00B72FA3" w:rsidRPr="00503700" w:rsidRDefault="00B72FA3" w:rsidP="00162864">
            <w:pPr>
              <w:keepNext/>
              <w:keepLines/>
              <w:spacing w:before="0" w:after="0"/>
              <w:ind w:firstLine="0"/>
              <w:rPr>
                <w:b/>
                <w:bCs/>
                <w:color w:val="000000"/>
                <w:sz w:val="20"/>
                <w:szCs w:val="20"/>
                <w:u w:val="single"/>
              </w:rPr>
            </w:pPr>
          </w:p>
        </w:tc>
      </w:tr>
      <w:tr w:rsidR="00B72FA3" w:rsidRPr="00503700" w:rsidTr="00B72FA3">
        <w:trPr>
          <w:trHeight w:val="264"/>
          <w:jc w:val="center"/>
        </w:trPr>
        <w:tc>
          <w:tcPr>
            <w:tcW w:w="6356" w:type="dxa"/>
            <w:tcBorders>
              <w:top w:val="nil"/>
              <w:left w:val="nil"/>
              <w:bottom w:val="nil"/>
              <w:right w:val="nil"/>
            </w:tcBorders>
            <w:shd w:val="clear" w:color="auto" w:fill="auto"/>
            <w:vAlign w:val="bottom"/>
            <w:hideMark/>
          </w:tcPr>
          <w:p w:rsidR="00B72FA3" w:rsidRPr="00503700" w:rsidRDefault="00B72FA3" w:rsidP="00162864">
            <w:pPr>
              <w:keepNext/>
              <w:keepLines/>
              <w:spacing w:before="0" w:after="0"/>
              <w:ind w:firstLine="0"/>
              <w:rPr>
                <w:color w:val="000000"/>
                <w:sz w:val="20"/>
                <w:szCs w:val="20"/>
                <w:lang w:eastAsia="zh-CN"/>
              </w:rPr>
            </w:pPr>
            <w:r>
              <w:rPr>
                <w:rFonts w:hint="eastAsia"/>
                <w:color w:val="000000"/>
                <w:sz w:val="20"/>
                <w:szCs w:val="20"/>
                <w:lang w:eastAsia="zh-CN"/>
              </w:rPr>
              <w:t>《</w:t>
            </w:r>
            <w:r>
              <w:rPr>
                <w:color w:val="000000"/>
                <w:sz w:val="20"/>
                <w:szCs w:val="20"/>
                <w:lang w:eastAsia="zh-CN"/>
              </w:rPr>
              <w:t>议定书</w:t>
            </w:r>
            <w:r>
              <w:rPr>
                <w:rFonts w:hint="eastAsia"/>
                <w:color w:val="000000"/>
                <w:sz w:val="20"/>
                <w:szCs w:val="20"/>
                <w:lang w:eastAsia="zh-CN"/>
              </w:rPr>
              <w:t>》</w:t>
            </w:r>
            <w:r>
              <w:rPr>
                <w:color w:val="000000"/>
                <w:sz w:val="20"/>
                <w:szCs w:val="20"/>
                <w:lang w:eastAsia="zh-CN"/>
              </w:rPr>
              <w:t>成效的第一次评估和审查</w:t>
            </w:r>
          </w:p>
        </w:tc>
        <w:tc>
          <w:tcPr>
            <w:tcW w:w="996" w:type="dxa"/>
            <w:tcBorders>
              <w:top w:val="nil"/>
              <w:left w:val="nil"/>
              <w:bottom w:val="nil"/>
              <w:right w:val="nil"/>
            </w:tcBorders>
            <w:shd w:val="clear" w:color="auto" w:fill="auto"/>
            <w:noWrap/>
            <w:vAlign w:val="bottom"/>
            <w:hideMark/>
          </w:tcPr>
          <w:p w:rsidR="00B72FA3" w:rsidRPr="00503700" w:rsidRDefault="00B72FA3" w:rsidP="00162864">
            <w:pPr>
              <w:keepNext/>
              <w:keepLines/>
              <w:spacing w:before="0" w:after="0"/>
              <w:ind w:firstLine="0"/>
              <w:rPr>
                <w:color w:val="000000"/>
                <w:sz w:val="20"/>
                <w:szCs w:val="20"/>
              </w:rPr>
            </w:pPr>
            <w:r w:rsidRPr="00503700">
              <w:rPr>
                <w:color w:val="000000"/>
                <w:sz w:val="20"/>
                <w:szCs w:val="20"/>
                <w:lang w:eastAsia="zh-CN"/>
              </w:rPr>
              <w:t xml:space="preserve">        </w:t>
            </w:r>
            <w:r w:rsidRPr="00503700">
              <w:rPr>
                <w:color w:val="000000"/>
                <w:sz w:val="20"/>
                <w:szCs w:val="20"/>
              </w:rPr>
              <w:t xml:space="preserve">23.0 </w:t>
            </w:r>
          </w:p>
        </w:tc>
      </w:tr>
      <w:tr w:rsidR="00B72FA3" w:rsidRPr="00503700" w:rsidTr="00B72FA3">
        <w:trPr>
          <w:trHeight w:val="264"/>
          <w:jc w:val="center"/>
        </w:trPr>
        <w:tc>
          <w:tcPr>
            <w:tcW w:w="6356" w:type="dxa"/>
            <w:tcBorders>
              <w:top w:val="single" w:sz="4" w:space="0" w:color="auto"/>
              <w:left w:val="nil"/>
              <w:bottom w:val="single" w:sz="4" w:space="0" w:color="auto"/>
              <w:right w:val="nil"/>
            </w:tcBorders>
            <w:shd w:val="clear" w:color="auto" w:fill="auto"/>
            <w:vAlign w:val="bottom"/>
            <w:hideMark/>
          </w:tcPr>
          <w:p w:rsidR="00B72FA3" w:rsidRPr="00503700" w:rsidRDefault="00B72FA3" w:rsidP="00162864">
            <w:pPr>
              <w:keepNext/>
              <w:keepLines/>
              <w:spacing w:before="0" w:after="0"/>
              <w:ind w:firstLine="0"/>
              <w:rPr>
                <w:color w:val="000000"/>
                <w:sz w:val="20"/>
                <w:szCs w:val="20"/>
                <w:lang w:eastAsia="zh-CN"/>
              </w:rPr>
            </w:pPr>
            <w:r>
              <w:rPr>
                <w:rFonts w:hint="eastAsia"/>
                <w:color w:val="000000"/>
                <w:sz w:val="20"/>
                <w:szCs w:val="20"/>
                <w:lang w:eastAsia="zh-CN"/>
              </w:rPr>
              <w:t>小计</w:t>
            </w:r>
          </w:p>
        </w:tc>
        <w:tc>
          <w:tcPr>
            <w:tcW w:w="996" w:type="dxa"/>
            <w:tcBorders>
              <w:top w:val="single" w:sz="4" w:space="0" w:color="auto"/>
              <w:left w:val="nil"/>
              <w:bottom w:val="single" w:sz="4" w:space="0" w:color="auto"/>
              <w:right w:val="nil"/>
            </w:tcBorders>
            <w:shd w:val="clear" w:color="auto" w:fill="auto"/>
            <w:noWrap/>
            <w:vAlign w:val="bottom"/>
            <w:hideMark/>
          </w:tcPr>
          <w:p w:rsidR="00B72FA3" w:rsidRPr="00503700" w:rsidRDefault="00B72FA3" w:rsidP="00162864">
            <w:pPr>
              <w:keepNext/>
              <w:keepLines/>
              <w:spacing w:before="0" w:after="0"/>
              <w:ind w:firstLine="0"/>
              <w:rPr>
                <w:color w:val="000000"/>
                <w:sz w:val="20"/>
                <w:szCs w:val="20"/>
              </w:rPr>
            </w:pPr>
            <w:r w:rsidRPr="00503700">
              <w:rPr>
                <w:color w:val="000000"/>
                <w:sz w:val="20"/>
                <w:szCs w:val="20"/>
              </w:rPr>
              <w:t xml:space="preserve">        23.0 </w:t>
            </w:r>
          </w:p>
        </w:tc>
      </w:tr>
      <w:tr w:rsidR="00B72FA3" w:rsidRPr="00503700" w:rsidTr="00B72FA3">
        <w:trPr>
          <w:trHeight w:val="264"/>
          <w:jc w:val="center"/>
        </w:trPr>
        <w:tc>
          <w:tcPr>
            <w:tcW w:w="6356" w:type="dxa"/>
            <w:tcBorders>
              <w:top w:val="single" w:sz="4" w:space="0" w:color="auto"/>
              <w:left w:val="nil"/>
              <w:bottom w:val="single" w:sz="4" w:space="0" w:color="auto"/>
              <w:right w:val="nil"/>
            </w:tcBorders>
            <w:shd w:val="clear" w:color="auto" w:fill="auto"/>
            <w:noWrap/>
            <w:vAlign w:val="bottom"/>
            <w:hideMark/>
          </w:tcPr>
          <w:p w:rsidR="00B72FA3" w:rsidRPr="00503700" w:rsidRDefault="00B72FA3" w:rsidP="00162864">
            <w:pPr>
              <w:keepNext/>
              <w:keepLines/>
              <w:spacing w:before="0" w:after="0"/>
              <w:ind w:firstLine="0"/>
              <w:rPr>
                <w:b/>
                <w:bCs/>
                <w:color w:val="000000"/>
                <w:sz w:val="20"/>
                <w:szCs w:val="20"/>
                <w:lang w:eastAsia="zh-CN"/>
              </w:rPr>
            </w:pPr>
            <w:r>
              <w:rPr>
                <w:rFonts w:hint="eastAsia"/>
                <w:b/>
                <w:bCs/>
                <w:color w:val="000000"/>
                <w:sz w:val="20"/>
                <w:szCs w:val="20"/>
                <w:lang w:eastAsia="zh-CN"/>
              </w:rPr>
              <w:t>共计</w:t>
            </w:r>
          </w:p>
        </w:tc>
        <w:tc>
          <w:tcPr>
            <w:tcW w:w="996" w:type="dxa"/>
            <w:tcBorders>
              <w:top w:val="single" w:sz="4" w:space="0" w:color="auto"/>
              <w:left w:val="nil"/>
              <w:bottom w:val="single" w:sz="4" w:space="0" w:color="auto"/>
              <w:right w:val="nil"/>
            </w:tcBorders>
            <w:shd w:val="clear" w:color="auto" w:fill="auto"/>
            <w:noWrap/>
            <w:vAlign w:val="bottom"/>
            <w:hideMark/>
          </w:tcPr>
          <w:p w:rsidR="00B72FA3" w:rsidRPr="00503700" w:rsidRDefault="00B72FA3" w:rsidP="00162864">
            <w:pPr>
              <w:keepNext/>
              <w:keepLines/>
              <w:spacing w:before="0" w:after="0"/>
              <w:ind w:firstLine="0"/>
              <w:jc w:val="center"/>
              <w:rPr>
                <w:b/>
                <w:bCs/>
                <w:color w:val="000000"/>
                <w:sz w:val="20"/>
                <w:szCs w:val="20"/>
              </w:rPr>
            </w:pPr>
            <w:r w:rsidRPr="00503700">
              <w:rPr>
                <w:b/>
                <w:bCs/>
                <w:color w:val="000000"/>
                <w:sz w:val="20"/>
                <w:szCs w:val="20"/>
              </w:rPr>
              <w:t xml:space="preserve">      238.0 </w:t>
            </w:r>
          </w:p>
        </w:tc>
      </w:tr>
      <w:tr w:rsidR="00B72FA3" w:rsidRPr="00503700" w:rsidTr="00B72FA3">
        <w:trPr>
          <w:trHeight w:val="264"/>
          <w:jc w:val="center"/>
        </w:trPr>
        <w:tc>
          <w:tcPr>
            <w:tcW w:w="6356" w:type="dxa"/>
            <w:tcBorders>
              <w:top w:val="nil"/>
              <w:left w:val="nil"/>
              <w:bottom w:val="nil"/>
              <w:right w:val="nil"/>
            </w:tcBorders>
            <w:shd w:val="clear" w:color="auto" w:fill="auto"/>
            <w:noWrap/>
            <w:vAlign w:val="bottom"/>
            <w:hideMark/>
          </w:tcPr>
          <w:p w:rsidR="00B72FA3" w:rsidRPr="00503700" w:rsidRDefault="00B72FA3" w:rsidP="00162864">
            <w:pPr>
              <w:keepNext/>
              <w:keepLines/>
              <w:spacing w:before="0" w:after="0"/>
              <w:ind w:firstLine="0"/>
              <w:rPr>
                <w:color w:val="000000"/>
                <w:sz w:val="20"/>
                <w:szCs w:val="20"/>
              </w:rPr>
            </w:pPr>
            <w:r>
              <w:rPr>
                <w:rFonts w:hint="eastAsia"/>
                <w:color w:val="000000"/>
                <w:sz w:val="20"/>
                <w:szCs w:val="20"/>
                <w:lang w:eastAsia="zh-CN"/>
              </w:rPr>
              <w:t>方案支助费用</w:t>
            </w:r>
            <w:r w:rsidRPr="00503700">
              <w:rPr>
                <w:color w:val="000000"/>
                <w:sz w:val="20"/>
                <w:szCs w:val="20"/>
              </w:rPr>
              <w:t xml:space="preserve"> </w:t>
            </w:r>
            <w:r>
              <w:rPr>
                <w:color w:val="000000"/>
                <w:sz w:val="20"/>
                <w:szCs w:val="20"/>
              </w:rPr>
              <w:t>（</w:t>
            </w:r>
            <w:r w:rsidRPr="00503700">
              <w:rPr>
                <w:color w:val="000000"/>
                <w:sz w:val="20"/>
                <w:szCs w:val="20"/>
              </w:rPr>
              <w:t>13%</w:t>
            </w:r>
            <w:r>
              <w:rPr>
                <w:color w:val="000000"/>
                <w:sz w:val="20"/>
                <w:szCs w:val="20"/>
              </w:rPr>
              <w:t>）</w:t>
            </w:r>
          </w:p>
        </w:tc>
        <w:tc>
          <w:tcPr>
            <w:tcW w:w="996" w:type="dxa"/>
            <w:tcBorders>
              <w:top w:val="nil"/>
              <w:left w:val="nil"/>
              <w:bottom w:val="nil"/>
              <w:right w:val="nil"/>
            </w:tcBorders>
            <w:shd w:val="clear" w:color="auto" w:fill="auto"/>
            <w:noWrap/>
            <w:vAlign w:val="bottom"/>
            <w:hideMark/>
          </w:tcPr>
          <w:p w:rsidR="00B72FA3" w:rsidRPr="00503700" w:rsidRDefault="00B72FA3" w:rsidP="00162864">
            <w:pPr>
              <w:keepNext/>
              <w:keepLines/>
              <w:spacing w:before="0" w:after="0"/>
              <w:ind w:firstLine="0"/>
              <w:jc w:val="center"/>
              <w:rPr>
                <w:color w:val="000000"/>
                <w:sz w:val="20"/>
                <w:szCs w:val="20"/>
              </w:rPr>
            </w:pPr>
            <w:r w:rsidRPr="00503700">
              <w:rPr>
                <w:color w:val="000000"/>
                <w:sz w:val="20"/>
                <w:szCs w:val="20"/>
              </w:rPr>
              <w:t xml:space="preserve">        30.9 </w:t>
            </w:r>
          </w:p>
        </w:tc>
      </w:tr>
      <w:tr w:rsidR="00B72FA3" w:rsidRPr="00503700" w:rsidTr="00B72FA3">
        <w:trPr>
          <w:trHeight w:val="300"/>
          <w:jc w:val="center"/>
        </w:trPr>
        <w:tc>
          <w:tcPr>
            <w:tcW w:w="6356" w:type="dxa"/>
            <w:tcBorders>
              <w:top w:val="single" w:sz="4" w:space="0" w:color="auto"/>
              <w:left w:val="nil"/>
              <w:bottom w:val="single" w:sz="4" w:space="0" w:color="auto"/>
              <w:right w:val="nil"/>
            </w:tcBorders>
            <w:shd w:val="clear" w:color="auto" w:fill="auto"/>
            <w:noWrap/>
            <w:vAlign w:val="bottom"/>
            <w:hideMark/>
          </w:tcPr>
          <w:p w:rsidR="00B72FA3" w:rsidRPr="00503700" w:rsidRDefault="00B72FA3" w:rsidP="00162864">
            <w:pPr>
              <w:keepNext/>
              <w:keepLines/>
              <w:spacing w:before="0" w:after="0"/>
              <w:ind w:firstLine="0"/>
              <w:rPr>
                <w:b/>
                <w:bCs/>
                <w:color w:val="000000"/>
                <w:sz w:val="20"/>
                <w:szCs w:val="20"/>
                <w:lang w:eastAsia="zh-CN"/>
              </w:rPr>
            </w:pPr>
            <w:r>
              <w:rPr>
                <w:rFonts w:hint="eastAsia"/>
                <w:b/>
                <w:bCs/>
                <w:color w:val="000000"/>
                <w:sz w:val="20"/>
                <w:szCs w:val="20"/>
                <w:lang w:eastAsia="zh-CN"/>
              </w:rPr>
              <w:t>共计</w:t>
            </w:r>
            <w:r>
              <w:rPr>
                <w:b/>
                <w:bCs/>
                <w:color w:val="000000"/>
                <w:sz w:val="20"/>
                <w:szCs w:val="20"/>
                <w:lang w:eastAsia="zh-CN"/>
              </w:rPr>
              <w:t>，名古屋议定书和获取和惠益分享</w:t>
            </w:r>
          </w:p>
        </w:tc>
        <w:tc>
          <w:tcPr>
            <w:tcW w:w="996" w:type="dxa"/>
            <w:tcBorders>
              <w:top w:val="single" w:sz="4" w:space="0" w:color="auto"/>
              <w:left w:val="nil"/>
              <w:bottom w:val="single" w:sz="4" w:space="0" w:color="auto"/>
              <w:right w:val="nil"/>
            </w:tcBorders>
            <w:shd w:val="clear" w:color="auto" w:fill="auto"/>
            <w:noWrap/>
            <w:vAlign w:val="bottom"/>
            <w:hideMark/>
          </w:tcPr>
          <w:p w:rsidR="00B72FA3" w:rsidRPr="00503700" w:rsidRDefault="00B72FA3" w:rsidP="00162864">
            <w:pPr>
              <w:keepNext/>
              <w:keepLines/>
              <w:spacing w:before="0" w:after="0"/>
              <w:ind w:firstLine="0"/>
              <w:jc w:val="center"/>
              <w:rPr>
                <w:b/>
                <w:bCs/>
                <w:color w:val="000000"/>
                <w:sz w:val="20"/>
                <w:szCs w:val="20"/>
              </w:rPr>
            </w:pPr>
            <w:r w:rsidRPr="00503700">
              <w:rPr>
                <w:b/>
                <w:bCs/>
                <w:color w:val="000000"/>
                <w:sz w:val="20"/>
                <w:szCs w:val="20"/>
                <w:lang w:eastAsia="zh-CN"/>
              </w:rPr>
              <w:t xml:space="preserve">      </w:t>
            </w:r>
            <w:r w:rsidRPr="00503700">
              <w:rPr>
                <w:b/>
                <w:bCs/>
                <w:color w:val="000000"/>
                <w:sz w:val="20"/>
                <w:szCs w:val="20"/>
              </w:rPr>
              <w:t xml:space="preserve">268.9 </w:t>
            </w:r>
          </w:p>
        </w:tc>
      </w:tr>
      <w:tr w:rsidR="00B72FA3" w:rsidRPr="00503700" w:rsidTr="00B72FA3">
        <w:trPr>
          <w:trHeight w:val="264"/>
          <w:jc w:val="center"/>
        </w:trPr>
        <w:tc>
          <w:tcPr>
            <w:tcW w:w="6356" w:type="dxa"/>
            <w:tcBorders>
              <w:top w:val="nil"/>
              <w:left w:val="nil"/>
              <w:bottom w:val="nil"/>
              <w:right w:val="nil"/>
            </w:tcBorders>
            <w:shd w:val="clear" w:color="auto" w:fill="auto"/>
            <w:noWrap/>
            <w:vAlign w:val="bottom"/>
            <w:hideMark/>
          </w:tcPr>
          <w:p w:rsidR="00B72FA3" w:rsidRPr="00503700" w:rsidRDefault="00B72FA3" w:rsidP="00162864">
            <w:pPr>
              <w:keepNext/>
              <w:keepLines/>
              <w:spacing w:before="0" w:after="0"/>
              <w:ind w:firstLine="0"/>
              <w:jc w:val="center"/>
              <w:rPr>
                <w:b/>
                <w:bCs/>
                <w:color w:val="000000"/>
                <w:sz w:val="20"/>
                <w:szCs w:val="20"/>
              </w:rPr>
            </w:pPr>
          </w:p>
        </w:tc>
        <w:tc>
          <w:tcPr>
            <w:tcW w:w="996" w:type="dxa"/>
            <w:tcBorders>
              <w:top w:val="nil"/>
              <w:left w:val="nil"/>
              <w:bottom w:val="nil"/>
              <w:right w:val="nil"/>
            </w:tcBorders>
            <w:shd w:val="clear" w:color="auto" w:fill="auto"/>
            <w:noWrap/>
            <w:vAlign w:val="bottom"/>
            <w:hideMark/>
          </w:tcPr>
          <w:p w:rsidR="00B72FA3" w:rsidRPr="00503700" w:rsidRDefault="00B72FA3" w:rsidP="00162864">
            <w:pPr>
              <w:keepNext/>
              <w:keepLines/>
              <w:spacing w:before="0" w:after="0"/>
              <w:ind w:firstLine="0"/>
              <w:rPr>
                <w:sz w:val="20"/>
                <w:szCs w:val="20"/>
              </w:rPr>
            </w:pPr>
          </w:p>
        </w:tc>
      </w:tr>
    </w:tbl>
    <w:p w:rsidR="00B72FA3" w:rsidRDefault="00B72FA3" w:rsidP="00162864">
      <w:pPr>
        <w:spacing w:before="0" w:after="0"/>
        <w:ind w:firstLine="0"/>
        <w:rPr>
          <w:b/>
          <w:bCs/>
          <w:iCs/>
          <w:color w:val="000000"/>
          <w:kern w:val="18"/>
          <w:lang w:eastAsia="zh-CN"/>
        </w:rPr>
      </w:pPr>
    </w:p>
    <w:tbl>
      <w:tblPr>
        <w:tblW w:w="7631" w:type="dxa"/>
        <w:tblInd w:w="1207" w:type="dxa"/>
        <w:tblLook w:val="04A0"/>
      </w:tblPr>
      <w:tblGrid>
        <w:gridCol w:w="2430"/>
        <w:gridCol w:w="1980"/>
        <w:gridCol w:w="1530"/>
        <w:gridCol w:w="1691"/>
      </w:tblGrid>
      <w:tr w:rsidR="00B72FA3" w:rsidRPr="009433D4" w:rsidTr="00B72FA3">
        <w:trPr>
          <w:trHeight w:val="516"/>
        </w:trPr>
        <w:tc>
          <w:tcPr>
            <w:tcW w:w="2430" w:type="dxa"/>
            <w:tcBorders>
              <w:top w:val="single" w:sz="4" w:space="0" w:color="auto"/>
              <w:left w:val="nil"/>
              <w:bottom w:val="single" w:sz="8" w:space="0" w:color="auto"/>
              <w:right w:val="nil"/>
            </w:tcBorders>
            <w:shd w:val="clear" w:color="auto" w:fill="auto"/>
            <w:noWrap/>
            <w:vAlign w:val="center"/>
            <w:hideMark/>
          </w:tcPr>
          <w:p w:rsidR="00B72FA3" w:rsidRPr="009433D4" w:rsidRDefault="00B72FA3" w:rsidP="00162864">
            <w:pPr>
              <w:spacing w:before="0" w:after="0"/>
              <w:ind w:firstLine="0"/>
              <w:jc w:val="center"/>
              <w:rPr>
                <w:b/>
                <w:bCs/>
                <w:color w:val="000000"/>
                <w:sz w:val="20"/>
                <w:szCs w:val="15"/>
              </w:rPr>
            </w:pPr>
            <w:r w:rsidRPr="009433D4">
              <w:rPr>
                <w:b/>
                <w:bCs/>
                <w:color w:val="000000"/>
                <w:sz w:val="20"/>
                <w:szCs w:val="15"/>
              </w:rPr>
              <w:t> </w:t>
            </w:r>
          </w:p>
        </w:tc>
        <w:tc>
          <w:tcPr>
            <w:tcW w:w="1980" w:type="dxa"/>
            <w:tcBorders>
              <w:top w:val="single" w:sz="4" w:space="0" w:color="auto"/>
              <w:left w:val="nil"/>
              <w:bottom w:val="single" w:sz="8" w:space="0" w:color="auto"/>
              <w:right w:val="nil"/>
            </w:tcBorders>
            <w:shd w:val="clear" w:color="auto" w:fill="auto"/>
            <w:vAlign w:val="center"/>
            <w:hideMark/>
          </w:tcPr>
          <w:p w:rsidR="00B72FA3" w:rsidRPr="000E7967" w:rsidRDefault="00B72FA3" w:rsidP="00162864">
            <w:pPr>
              <w:spacing w:before="0" w:after="0"/>
              <w:ind w:firstLine="0"/>
              <w:jc w:val="center"/>
              <w:rPr>
                <w:rFonts w:ascii="KaiTi" w:eastAsia="KaiTi" w:hAnsi="KaiTi"/>
                <w:bCs/>
                <w:iCs/>
                <w:color w:val="000000"/>
                <w:sz w:val="20"/>
                <w:szCs w:val="15"/>
              </w:rPr>
            </w:pPr>
            <w:r w:rsidRPr="000E7967">
              <w:rPr>
                <w:rFonts w:ascii="KaiTi" w:eastAsia="KaiTi" w:hAnsi="KaiTi" w:hint="eastAsia"/>
                <w:bCs/>
                <w:iCs/>
                <w:color w:val="000000"/>
                <w:sz w:val="20"/>
                <w:szCs w:val="15"/>
                <w:lang w:eastAsia="zh-CN"/>
              </w:rPr>
              <w:t>数额（</w:t>
            </w:r>
            <w:r w:rsidRPr="000E7967">
              <w:rPr>
                <w:rFonts w:ascii="KaiTi" w:eastAsia="KaiTi" w:hAnsi="KaiTi"/>
                <w:bCs/>
                <w:iCs/>
                <w:color w:val="000000"/>
                <w:sz w:val="20"/>
                <w:szCs w:val="15"/>
                <w:lang w:eastAsia="zh-CN"/>
              </w:rPr>
              <w:t>千美元）</w:t>
            </w:r>
          </w:p>
        </w:tc>
        <w:tc>
          <w:tcPr>
            <w:tcW w:w="1530" w:type="dxa"/>
            <w:tcBorders>
              <w:top w:val="single" w:sz="4" w:space="0" w:color="auto"/>
              <w:left w:val="nil"/>
              <w:bottom w:val="single" w:sz="8" w:space="0" w:color="auto"/>
              <w:right w:val="nil"/>
            </w:tcBorders>
            <w:shd w:val="clear" w:color="auto" w:fill="auto"/>
            <w:vAlign w:val="center"/>
            <w:hideMark/>
          </w:tcPr>
          <w:p w:rsidR="00B72FA3" w:rsidRPr="000E7967" w:rsidRDefault="00B72FA3" w:rsidP="00162864">
            <w:pPr>
              <w:spacing w:before="0" w:after="0"/>
              <w:ind w:firstLine="0"/>
              <w:jc w:val="center"/>
              <w:rPr>
                <w:rFonts w:ascii="KaiTi" w:eastAsia="KaiTi" w:hAnsi="KaiTi"/>
                <w:bCs/>
                <w:iCs/>
                <w:color w:val="000000"/>
                <w:sz w:val="20"/>
                <w:szCs w:val="15"/>
                <w:lang w:eastAsia="zh-CN"/>
              </w:rPr>
            </w:pPr>
            <w:r w:rsidRPr="000E7967">
              <w:rPr>
                <w:rFonts w:ascii="KaiTi" w:eastAsia="KaiTi" w:hAnsi="KaiTi" w:hint="eastAsia"/>
                <w:bCs/>
                <w:iCs/>
                <w:color w:val="000000"/>
                <w:sz w:val="20"/>
                <w:szCs w:val="15"/>
                <w:lang w:eastAsia="zh-CN"/>
              </w:rPr>
              <w:t>方案支助费用</w:t>
            </w:r>
          </w:p>
        </w:tc>
        <w:tc>
          <w:tcPr>
            <w:tcW w:w="1691" w:type="dxa"/>
            <w:tcBorders>
              <w:top w:val="single" w:sz="4" w:space="0" w:color="auto"/>
              <w:left w:val="nil"/>
              <w:bottom w:val="single" w:sz="8" w:space="0" w:color="auto"/>
              <w:right w:val="nil"/>
            </w:tcBorders>
            <w:shd w:val="clear" w:color="auto" w:fill="auto"/>
            <w:noWrap/>
            <w:vAlign w:val="center"/>
            <w:hideMark/>
          </w:tcPr>
          <w:p w:rsidR="00B72FA3" w:rsidRPr="000E7967" w:rsidRDefault="00B72FA3" w:rsidP="00162864">
            <w:pPr>
              <w:spacing w:before="0" w:after="0"/>
              <w:ind w:firstLine="0"/>
              <w:jc w:val="center"/>
              <w:rPr>
                <w:rFonts w:ascii="KaiTi" w:eastAsia="KaiTi" w:hAnsi="KaiTi"/>
                <w:bCs/>
                <w:iCs/>
                <w:color w:val="000000"/>
                <w:sz w:val="20"/>
                <w:szCs w:val="15"/>
                <w:lang w:eastAsia="zh-CN"/>
              </w:rPr>
            </w:pPr>
            <w:r w:rsidRPr="000E7967">
              <w:rPr>
                <w:rFonts w:ascii="KaiTi" w:eastAsia="KaiTi" w:hAnsi="KaiTi" w:hint="eastAsia"/>
                <w:bCs/>
                <w:iCs/>
                <w:color w:val="000000"/>
                <w:sz w:val="20"/>
                <w:szCs w:val="15"/>
                <w:lang w:eastAsia="zh-CN"/>
              </w:rPr>
              <w:t>共计</w:t>
            </w:r>
          </w:p>
        </w:tc>
      </w:tr>
      <w:tr w:rsidR="00B72FA3" w:rsidRPr="009433D4" w:rsidTr="00B72FA3">
        <w:trPr>
          <w:trHeight w:val="288"/>
        </w:trPr>
        <w:tc>
          <w:tcPr>
            <w:tcW w:w="2430" w:type="dxa"/>
            <w:tcBorders>
              <w:top w:val="nil"/>
              <w:left w:val="nil"/>
              <w:bottom w:val="nil"/>
              <w:right w:val="nil"/>
            </w:tcBorders>
            <w:shd w:val="clear" w:color="auto" w:fill="auto"/>
            <w:noWrap/>
            <w:vAlign w:val="center"/>
            <w:hideMark/>
          </w:tcPr>
          <w:p w:rsidR="00B72FA3" w:rsidRPr="009433D4" w:rsidRDefault="00B72FA3" w:rsidP="00162864">
            <w:pPr>
              <w:spacing w:before="0" w:after="0"/>
              <w:ind w:firstLine="0"/>
              <w:rPr>
                <w:color w:val="000000"/>
                <w:sz w:val="20"/>
                <w:szCs w:val="17"/>
              </w:rPr>
            </w:pPr>
            <w:r w:rsidRPr="009433D4">
              <w:rPr>
                <w:rFonts w:hint="eastAsia"/>
                <w:color w:val="000000"/>
                <w:sz w:val="20"/>
                <w:szCs w:val="17"/>
                <w:lang w:eastAsia="zh-CN"/>
              </w:rPr>
              <w:t>生物多样性</w:t>
            </w:r>
            <w:r w:rsidRPr="009433D4">
              <w:rPr>
                <w:color w:val="000000"/>
                <w:sz w:val="20"/>
                <w:szCs w:val="17"/>
                <w:lang w:eastAsia="zh-CN"/>
              </w:rPr>
              <w:t>公约</w:t>
            </w:r>
          </w:p>
        </w:tc>
        <w:tc>
          <w:tcPr>
            <w:tcW w:w="1980" w:type="dxa"/>
            <w:tcBorders>
              <w:top w:val="nil"/>
              <w:left w:val="nil"/>
              <w:bottom w:val="nil"/>
              <w:right w:val="nil"/>
            </w:tcBorders>
            <w:shd w:val="clear" w:color="auto" w:fill="auto"/>
            <w:noWrap/>
            <w:vAlign w:val="center"/>
            <w:hideMark/>
          </w:tcPr>
          <w:p w:rsidR="00B72FA3" w:rsidRPr="009433D4" w:rsidRDefault="00B72FA3" w:rsidP="00162864">
            <w:pPr>
              <w:spacing w:before="0" w:after="0"/>
              <w:ind w:firstLine="0"/>
              <w:jc w:val="right"/>
              <w:rPr>
                <w:color w:val="000000"/>
                <w:sz w:val="20"/>
                <w:szCs w:val="17"/>
              </w:rPr>
            </w:pPr>
            <w:r w:rsidRPr="009433D4">
              <w:rPr>
                <w:color w:val="000000"/>
                <w:sz w:val="20"/>
                <w:szCs w:val="17"/>
              </w:rPr>
              <w:t>19</w:t>
            </w:r>
            <w:r>
              <w:rPr>
                <w:color w:val="000000"/>
                <w:sz w:val="20"/>
                <w:szCs w:val="17"/>
              </w:rPr>
              <w:t xml:space="preserve"> </w:t>
            </w:r>
            <w:r w:rsidRPr="009433D4">
              <w:rPr>
                <w:color w:val="000000"/>
                <w:sz w:val="20"/>
                <w:szCs w:val="17"/>
              </w:rPr>
              <w:t>475.0</w:t>
            </w:r>
          </w:p>
        </w:tc>
        <w:tc>
          <w:tcPr>
            <w:tcW w:w="1530" w:type="dxa"/>
            <w:tcBorders>
              <w:top w:val="nil"/>
              <w:left w:val="nil"/>
              <w:bottom w:val="nil"/>
              <w:right w:val="nil"/>
            </w:tcBorders>
            <w:shd w:val="clear" w:color="auto" w:fill="auto"/>
            <w:noWrap/>
            <w:vAlign w:val="center"/>
            <w:hideMark/>
          </w:tcPr>
          <w:p w:rsidR="00B72FA3" w:rsidRPr="009433D4" w:rsidRDefault="00B72FA3" w:rsidP="00162864">
            <w:pPr>
              <w:spacing w:before="0" w:after="0"/>
              <w:ind w:firstLine="0"/>
              <w:jc w:val="right"/>
              <w:rPr>
                <w:color w:val="000000"/>
                <w:sz w:val="20"/>
                <w:szCs w:val="17"/>
              </w:rPr>
            </w:pPr>
            <w:r w:rsidRPr="009433D4">
              <w:rPr>
                <w:color w:val="000000"/>
                <w:sz w:val="20"/>
                <w:szCs w:val="17"/>
              </w:rPr>
              <w:t>2</w:t>
            </w:r>
            <w:r>
              <w:rPr>
                <w:color w:val="000000"/>
                <w:sz w:val="20"/>
                <w:szCs w:val="17"/>
              </w:rPr>
              <w:t xml:space="preserve"> </w:t>
            </w:r>
            <w:r w:rsidRPr="009433D4">
              <w:rPr>
                <w:color w:val="000000"/>
                <w:sz w:val="20"/>
                <w:szCs w:val="17"/>
              </w:rPr>
              <w:t>531.8</w:t>
            </w:r>
          </w:p>
        </w:tc>
        <w:tc>
          <w:tcPr>
            <w:tcW w:w="1691" w:type="dxa"/>
            <w:tcBorders>
              <w:top w:val="nil"/>
              <w:left w:val="nil"/>
              <w:bottom w:val="nil"/>
              <w:right w:val="nil"/>
            </w:tcBorders>
            <w:shd w:val="clear" w:color="auto" w:fill="auto"/>
            <w:noWrap/>
            <w:vAlign w:val="center"/>
            <w:hideMark/>
          </w:tcPr>
          <w:p w:rsidR="00B72FA3" w:rsidRPr="009433D4" w:rsidRDefault="00B72FA3" w:rsidP="00162864">
            <w:pPr>
              <w:spacing w:before="0" w:after="0"/>
              <w:ind w:firstLine="0"/>
              <w:jc w:val="right"/>
              <w:rPr>
                <w:color w:val="000000"/>
                <w:sz w:val="20"/>
                <w:szCs w:val="17"/>
              </w:rPr>
            </w:pPr>
            <w:r w:rsidRPr="009433D4">
              <w:rPr>
                <w:color w:val="000000"/>
                <w:sz w:val="20"/>
                <w:szCs w:val="17"/>
              </w:rPr>
              <w:t>22</w:t>
            </w:r>
            <w:r>
              <w:rPr>
                <w:color w:val="000000"/>
                <w:sz w:val="20"/>
                <w:szCs w:val="17"/>
              </w:rPr>
              <w:t xml:space="preserve"> </w:t>
            </w:r>
            <w:r w:rsidRPr="009433D4">
              <w:rPr>
                <w:color w:val="000000"/>
                <w:sz w:val="20"/>
                <w:szCs w:val="17"/>
              </w:rPr>
              <w:t>006.8</w:t>
            </w:r>
          </w:p>
        </w:tc>
      </w:tr>
      <w:tr w:rsidR="00B72FA3" w:rsidRPr="009433D4" w:rsidTr="00B72FA3">
        <w:trPr>
          <w:trHeight w:val="288"/>
        </w:trPr>
        <w:tc>
          <w:tcPr>
            <w:tcW w:w="2430" w:type="dxa"/>
            <w:tcBorders>
              <w:top w:val="nil"/>
              <w:left w:val="nil"/>
              <w:bottom w:val="nil"/>
              <w:right w:val="nil"/>
            </w:tcBorders>
            <w:shd w:val="clear" w:color="auto" w:fill="auto"/>
            <w:noWrap/>
            <w:vAlign w:val="center"/>
            <w:hideMark/>
          </w:tcPr>
          <w:p w:rsidR="00B72FA3" w:rsidRPr="009433D4" w:rsidRDefault="00B72FA3" w:rsidP="00162864">
            <w:pPr>
              <w:spacing w:before="0" w:after="0"/>
              <w:ind w:firstLine="0"/>
              <w:rPr>
                <w:color w:val="000000"/>
                <w:sz w:val="20"/>
                <w:szCs w:val="17"/>
                <w:lang w:eastAsia="zh-CN"/>
              </w:rPr>
            </w:pPr>
            <w:r w:rsidRPr="009433D4">
              <w:rPr>
                <w:rFonts w:hint="eastAsia"/>
                <w:color w:val="000000"/>
                <w:sz w:val="20"/>
                <w:szCs w:val="17"/>
                <w:lang w:eastAsia="zh-CN"/>
              </w:rPr>
              <w:t>卡塔赫纳</w:t>
            </w:r>
            <w:r w:rsidRPr="009433D4">
              <w:rPr>
                <w:color w:val="000000"/>
                <w:sz w:val="20"/>
                <w:szCs w:val="17"/>
                <w:lang w:eastAsia="zh-CN"/>
              </w:rPr>
              <w:t>生物安全议定书</w:t>
            </w:r>
          </w:p>
        </w:tc>
        <w:tc>
          <w:tcPr>
            <w:tcW w:w="1980" w:type="dxa"/>
            <w:tcBorders>
              <w:top w:val="nil"/>
              <w:left w:val="nil"/>
              <w:bottom w:val="nil"/>
              <w:right w:val="nil"/>
            </w:tcBorders>
            <w:shd w:val="clear" w:color="auto" w:fill="auto"/>
            <w:noWrap/>
            <w:vAlign w:val="center"/>
            <w:hideMark/>
          </w:tcPr>
          <w:p w:rsidR="00B72FA3" w:rsidRPr="009433D4" w:rsidRDefault="00B72FA3" w:rsidP="00162864">
            <w:pPr>
              <w:spacing w:before="0" w:after="0"/>
              <w:ind w:firstLine="0"/>
              <w:jc w:val="right"/>
              <w:rPr>
                <w:color w:val="000000"/>
                <w:sz w:val="20"/>
                <w:szCs w:val="17"/>
              </w:rPr>
            </w:pPr>
            <w:r w:rsidRPr="009433D4">
              <w:rPr>
                <w:color w:val="000000"/>
                <w:sz w:val="20"/>
                <w:szCs w:val="17"/>
              </w:rPr>
              <w:t>899.0</w:t>
            </w:r>
          </w:p>
        </w:tc>
        <w:tc>
          <w:tcPr>
            <w:tcW w:w="1530" w:type="dxa"/>
            <w:tcBorders>
              <w:top w:val="nil"/>
              <w:left w:val="nil"/>
              <w:bottom w:val="nil"/>
              <w:right w:val="nil"/>
            </w:tcBorders>
            <w:shd w:val="clear" w:color="auto" w:fill="auto"/>
            <w:noWrap/>
            <w:vAlign w:val="center"/>
            <w:hideMark/>
          </w:tcPr>
          <w:p w:rsidR="00B72FA3" w:rsidRPr="009433D4" w:rsidRDefault="00B72FA3" w:rsidP="00162864">
            <w:pPr>
              <w:spacing w:before="0" w:after="0"/>
              <w:ind w:firstLine="0"/>
              <w:jc w:val="right"/>
              <w:rPr>
                <w:color w:val="000000"/>
                <w:sz w:val="20"/>
                <w:szCs w:val="17"/>
              </w:rPr>
            </w:pPr>
            <w:r w:rsidRPr="009433D4">
              <w:rPr>
                <w:color w:val="000000"/>
                <w:sz w:val="20"/>
                <w:szCs w:val="17"/>
              </w:rPr>
              <w:t>116.9</w:t>
            </w:r>
          </w:p>
        </w:tc>
        <w:tc>
          <w:tcPr>
            <w:tcW w:w="1691" w:type="dxa"/>
            <w:tcBorders>
              <w:top w:val="nil"/>
              <w:left w:val="nil"/>
              <w:bottom w:val="nil"/>
              <w:right w:val="nil"/>
            </w:tcBorders>
            <w:shd w:val="clear" w:color="auto" w:fill="auto"/>
            <w:noWrap/>
            <w:vAlign w:val="center"/>
            <w:hideMark/>
          </w:tcPr>
          <w:p w:rsidR="00B72FA3" w:rsidRPr="009433D4" w:rsidRDefault="00B72FA3" w:rsidP="00162864">
            <w:pPr>
              <w:spacing w:before="0" w:after="0"/>
              <w:ind w:firstLine="0"/>
              <w:jc w:val="right"/>
              <w:rPr>
                <w:color w:val="000000"/>
                <w:sz w:val="20"/>
                <w:szCs w:val="17"/>
              </w:rPr>
            </w:pPr>
            <w:r w:rsidRPr="009433D4">
              <w:rPr>
                <w:color w:val="000000"/>
                <w:sz w:val="20"/>
                <w:szCs w:val="17"/>
              </w:rPr>
              <w:t>1</w:t>
            </w:r>
            <w:r>
              <w:rPr>
                <w:color w:val="000000"/>
                <w:sz w:val="20"/>
                <w:szCs w:val="17"/>
              </w:rPr>
              <w:t xml:space="preserve"> </w:t>
            </w:r>
            <w:r w:rsidRPr="009433D4">
              <w:rPr>
                <w:color w:val="000000"/>
                <w:sz w:val="20"/>
                <w:szCs w:val="17"/>
              </w:rPr>
              <w:t>015.9</w:t>
            </w:r>
          </w:p>
        </w:tc>
      </w:tr>
      <w:tr w:rsidR="00B72FA3" w:rsidRPr="009433D4" w:rsidTr="00B72FA3">
        <w:trPr>
          <w:trHeight w:val="288"/>
        </w:trPr>
        <w:tc>
          <w:tcPr>
            <w:tcW w:w="2430" w:type="dxa"/>
            <w:tcBorders>
              <w:top w:val="nil"/>
              <w:left w:val="nil"/>
              <w:bottom w:val="nil"/>
              <w:right w:val="nil"/>
            </w:tcBorders>
            <w:shd w:val="clear" w:color="auto" w:fill="auto"/>
            <w:noWrap/>
            <w:vAlign w:val="center"/>
            <w:hideMark/>
          </w:tcPr>
          <w:p w:rsidR="00B72FA3" w:rsidRPr="009433D4" w:rsidRDefault="00B72FA3" w:rsidP="00162864">
            <w:pPr>
              <w:spacing w:before="0" w:after="0"/>
              <w:ind w:firstLine="0"/>
              <w:rPr>
                <w:color w:val="000000"/>
                <w:sz w:val="20"/>
                <w:szCs w:val="17"/>
                <w:lang w:eastAsia="zh-CN"/>
              </w:rPr>
            </w:pPr>
            <w:r w:rsidRPr="009433D4">
              <w:rPr>
                <w:rFonts w:hint="eastAsia"/>
                <w:color w:val="000000"/>
                <w:sz w:val="20"/>
                <w:szCs w:val="17"/>
                <w:lang w:eastAsia="zh-CN"/>
              </w:rPr>
              <w:t>名古屋议定书</w:t>
            </w:r>
          </w:p>
        </w:tc>
        <w:tc>
          <w:tcPr>
            <w:tcW w:w="1980" w:type="dxa"/>
            <w:tcBorders>
              <w:top w:val="nil"/>
              <w:left w:val="nil"/>
              <w:bottom w:val="nil"/>
              <w:right w:val="nil"/>
            </w:tcBorders>
            <w:shd w:val="clear" w:color="auto" w:fill="auto"/>
            <w:noWrap/>
            <w:vAlign w:val="center"/>
            <w:hideMark/>
          </w:tcPr>
          <w:p w:rsidR="00B72FA3" w:rsidRPr="009433D4" w:rsidRDefault="00B72FA3" w:rsidP="00162864">
            <w:pPr>
              <w:spacing w:before="0" w:after="0"/>
              <w:ind w:firstLine="0"/>
              <w:jc w:val="right"/>
              <w:rPr>
                <w:color w:val="000000"/>
                <w:sz w:val="20"/>
                <w:szCs w:val="17"/>
              </w:rPr>
            </w:pPr>
            <w:r w:rsidRPr="009433D4">
              <w:rPr>
                <w:color w:val="000000"/>
                <w:sz w:val="20"/>
                <w:szCs w:val="17"/>
              </w:rPr>
              <w:t>238.0</w:t>
            </w:r>
          </w:p>
        </w:tc>
        <w:tc>
          <w:tcPr>
            <w:tcW w:w="1530" w:type="dxa"/>
            <w:tcBorders>
              <w:top w:val="nil"/>
              <w:left w:val="nil"/>
              <w:bottom w:val="nil"/>
              <w:right w:val="nil"/>
            </w:tcBorders>
            <w:shd w:val="clear" w:color="auto" w:fill="auto"/>
            <w:noWrap/>
            <w:vAlign w:val="center"/>
            <w:hideMark/>
          </w:tcPr>
          <w:p w:rsidR="00B72FA3" w:rsidRPr="009433D4" w:rsidRDefault="00B72FA3" w:rsidP="00162864">
            <w:pPr>
              <w:spacing w:before="0" w:after="0"/>
              <w:ind w:firstLine="0"/>
              <w:jc w:val="right"/>
              <w:rPr>
                <w:color w:val="000000"/>
                <w:sz w:val="20"/>
                <w:szCs w:val="17"/>
              </w:rPr>
            </w:pPr>
            <w:r w:rsidRPr="009433D4">
              <w:rPr>
                <w:color w:val="000000"/>
                <w:sz w:val="20"/>
                <w:szCs w:val="17"/>
              </w:rPr>
              <w:t>30.9</w:t>
            </w:r>
          </w:p>
        </w:tc>
        <w:tc>
          <w:tcPr>
            <w:tcW w:w="1691" w:type="dxa"/>
            <w:tcBorders>
              <w:top w:val="nil"/>
              <w:left w:val="nil"/>
              <w:bottom w:val="nil"/>
              <w:right w:val="nil"/>
            </w:tcBorders>
            <w:shd w:val="clear" w:color="auto" w:fill="auto"/>
            <w:noWrap/>
            <w:vAlign w:val="center"/>
            <w:hideMark/>
          </w:tcPr>
          <w:p w:rsidR="00B72FA3" w:rsidRPr="009433D4" w:rsidRDefault="00B72FA3" w:rsidP="00162864">
            <w:pPr>
              <w:spacing w:before="0" w:after="0"/>
              <w:ind w:firstLine="0"/>
              <w:jc w:val="right"/>
              <w:rPr>
                <w:color w:val="000000"/>
                <w:sz w:val="20"/>
                <w:szCs w:val="17"/>
              </w:rPr>
            </w:pPr>
            <w:r w:rsidRPr="009433D4">
              <w:rPr>
                <w:color w:val="000000"/>
                <w:sz w:val="20"/>
                <w:szCs w:val="17"/>
              </w:rPr>
              <w:t>268.9</w:t>
            </w:r>
          </w:p>
        </w:tc>
      </w:tr>
      <w:tr w:rsidR="00B72FA3" w:rsidRPr="000E7967" w:rsidTr="00B72FA3">
        <w:trPr>
          <w:trHeight w:val="300"/>
        </w:trPr>
        <w:tc>
          <w:tcPr>
            <w:tcW w:w="2430" w:type="dxa"/>
            <w:tcBorders>
              <w:top w:val="single" w:sz="4" w:space="0" w:color="auto"/>
              <w:left w:val="nil"/>
              <w:bottom w:val="single" w:sz="8" w:space="0" w:color="auto"/>
              <w:right w:val="nil"/>
            </w:tcBorders>
            <w:shd w:val="clear" w:color="auto" w:fill="auto"/>
            <w:noWrap/>
            <w:vAlign w:val="center"/>
            <w:hideMark/>
          </w:tcPr>
          <w:p w:rsidR="00B72FA3" w:rsidRPr="000E7967" w:rsidRDefault="00B72FA3" w:rsidP="00162864">
            <w:pPr>
              <w:spacing w:before="0" w:after="0"/>
              <w:ind w:firstLine="0"/>
              <w:rPr>
                <w:b/>
                <w:color w:val="000000"/>
                <w:sz w:val="20"/>
                <w:szCs w:val="17"/>
                <w:lang w:eastAsia="zh-CN"/>
              </w:rPr>
            </w:pPr>
            <w:r w:rsidRPr="000E7967">
              <w:rPr>
                <w:rFonts w:hint="eastAsia"/>
                <w:b/>
                <w:color w:val="000000"/>
                <w:sz w:val="20"/>
                <w:szCs w:val="17"/>
                <w:lang w:eastAsia="zh-CN"/>
              </w:rPr>
              <w:t>总计</w:t>
            </w:r>
          </w:p>
        </w:tc>
        <w:tc>
          <w:tcPr>
            <w:tcW w:w="1980" w:type="dxa"/>
            <w:tcBorders>
              <w:top w:val="single" w:sz="4" w:space="0" w:color="auto"/>
              <w:left w:val="nil"/>
              <w:bottom w:val="single" w:sz="8" w:space="0" w:color="auto"/>
              <w:right w:val="nil"/>
            </w:tcBorders>
            <w:shd w:val="clear" w:color="auto" w:fill="auto"/>
            <w:noWrap/>
            <w:vAlign w:val="center"/>
            <w:hideMark/>
          </w:tcPr>
          <w:p w:rsidR="00B72FA3" w:rsidRPr="000E7967" w:rsidRDefault="00B72FA3" w:rsidP="00162864">
            <w:pPr>
              <w:spacing w:before="0" w:after="0"/>
              <w:ind w:firstLine="0"/>
              <w:jc w:val="right"/>
              <w:rPr>
                <w:b/>
                <w:color w:val="000000"/>
                <w:sz w:val="20"/>
                <w:szCs w:val="17"/>
              </w:rPr>
            </w:pPr>
            <w:r w:rsidRPr="000E7967">
              <w:rPr>
                <w:b/>
                <w:color w:val="000000"/>
                <w:sz w:val="20"/>
                <w:szCs w:val="17"/>
              </w:rPr>
              <w:t>20 612.0</w:t>
            </w:r>
          </w:p>
        </w:tc>
        <w:tc>
          <w:tcPr>
            <w:tcW w:w="1530" w:type="dxa"/>
            <w:tcBorders>
              <w:top w:val="single" w:sz="4" w:space="0" w:color="auto"/>
              <w:left w:val="nil"/>
              <w:bottom w:val="single" w:sz="8" w:space="0" w:color="auto"/>
              <w:right w:val="nil"/>
            </w:tcBorders>
            <w:shd w:val="clear" w:color="auto" w:fill="auto"/>
            <w:noWrap/>
            <w:vAlign w:val="center"/>
            <w:hideMark/>
          </w:tcPr>
          <w:p w:rsidR="00B72FA3" w:rsidRPr="000E7967" w:rsidRDefault="00B72FA3" w:rsidP="00162864">
            <w:pPr>
              <w:spacing w:before="0" w:after="0"/>
              <w:ind w:firstLine="0"/>
              <w:jc w:val="right"/>
              <w:rPr>
                <w:b/>
                <w:color w:val="000000"/>
                <w:sz w:val="20"/>
                <w:szCs w:val="17"/>
              </w:rPr>
            </w:pPr>
            <w:r w:rsidRPr="000E7967">
              <w:rPr>
                <w:b/>
                <w:color w:val="000000"/>
                <w:sz w:val="20"/>
                <w:szCs w:val="17"/>
              </w:rPr>
              <w:t>2 679.6</w:t>
            </w:r>
          </w:p>
        </w:tc>
        <w:tc>
          <w:tcPr>
            <w:tcW w:w="1691" w:type="dxa"/>
            <w:tcBorders>
              <w:top w:val="single" w:sz="4" w:space="0" w:color="auto"/>
              <w:left w:val="nil"/>
              <w:bottom w:val="single" w:sz="8" w:space="0" w:color="auto"/>
              <w:right w:val="nil"/>
            </w:tcBorders>
            <w:shd w:val="clear" w:color="auto" w:fill="auto"/>
            <w:noWrap/>
            <w:vAlign w:val="center"/>
            <w:hideMark/>
          </w:tcPr>
          <w:p w:rsidR="00B72FA3" w:rsidRPr="000E7967" w:rsidRDefault="00B72FA3" w:rsidP="00162864">
            <w:pPr>
              <w:spacing w:before="0" w:after="0"/>
              <w:ind w:firstLine="0"/>
              <w:jc w:val="right"/>
              <w:rPr>
                <w:b/>
                <w:color w:val="000000"/>
                <w:sz w:val="20"/>
                <w:szCs w:val="17"/>
              </w:rPr>
            </w:pPr>
            <w:r w:rsidRPr="000E7967">
              <w:rPr>
                <w:b/>
                <w:color w:val="000000"/>
                <w:sz w:val="20"/>
                <w:szCs w:val="17"/>
              </w:rPr>
              <w:t>23 291.6</w:t>
            </w:r>
          </w:p>
        </w:tc>
      </w:tr>
    </w:tbl>
    <w:p w:rsidR="00B72FA3" w:rsidRDefault="00B72FA3" w:rsidP="00162864">
      <w:pPr>
        <w:spacing w:before="0" w:after="0"/>
        <w:ind w:firstLine="0"/>
        <w:rPr>
          <w:b/>
          <w:bCs/>
          <w:iCs/>
          <w:color w:val="000000"/>
          <w:kern w:val="18"/>
          <w:lang w:eastAsia="zh-CN"/>
        </w:rPr>
      </w:pPr>
    </w:p>
    <w:p w:rsidR="00B72FA3" w:rsidRDefault="00B72FA3" w:rsidP="00162864">
      <w:pPr>
        <w:spacing w:before="0" w:after="0"/>
        <w:ind w:firstLine="0"/>
        <w:rPr>
          <w:b/>
          <w:bCs/>
          <w:iCs/>
          <w:color w:val="000000"/>
          <w:kern w:val="18"/>
          <w:lang w:val="de-CH" w:eastAsia="zh-CN"/>
        </w:rPr>
      </w:pPr>
      <w:r>
        <w:rPr>
          <w:b/>
          <w:bCs/>
          <w:iCs/>
          <w:color w:val="000000"/>
          <w:kern w:val="18"/>
          <w:lang w:val="de-CH" w:eastAsia="zh-CN"/>
        </w:rPr>
        <w:br w:type="page"/>
      </w:r>
    </w:p>
    <w:p w:rsidR="00B72FA3" w:rsidRPr="00421205" w:rsidRDefault="00B72FA3" w:rsidP="00162864">
      <w:pPr>
        <w:shd w:val="clear" w:color="auto" w:fill="FFFFFF" w:themeFill="background1"/>
        <w:tabs>
          <w:tab w:val="left" w:pos="1620"/>
        </w:tabs>
        <w:adjustRightInd w:val="0"/>
        <w:snapToGrid w:val="0"/>
        <w:spacing w:before="0"/>
        <w:ind w:left="1627" w:right="1570" w:hanging="907"/>
        <w:rPr>
          <w:b/>
          <w:bCs/>
          <w:iCs/>
          <w:color w:val="000000"/>
          <w:kern w:val="18"/>
          <w:lang w:val="de-CH" w:eastAsia="zh-CN"/>
        </w:rPr>
      </w:pPr>
      <w:r w:rsidRPr="00421205">
        <w:rPr>
          <w:rFonts w:hint="eastAsia"/>
          <w:b/>
          <w:bCs/>
          <w:iCs/>
          <w:color w:val="000000"/>
          <w:kern w:val="18"/>
          <w:lang w:val="de-CH" w:eastAsia="zh-CN"/>
        </w:rPr>
        <w:lastRenderedPageBreak/>
        <w:t>表</w:t>
      </w:r>
      <w:r>
        <w:rPr>
          <w:b/>
          <w:bCs/>
          <w:iCs/>
          <w:color w:val="000000"/>
          <w:kern w:val="18"/>
          <w:lang w:val="de-CH" w:eastAsia="zh-CN"/>
        </w:rPr>
        <w:t xml:space="preserve">4. </w:t>
      </w:r>
      <w:r>
        <w:rPr>
          <w:b/>
          <w:bCs/>
          <w:iCs/>
          <w:color w:val="000000"/>
          <w:kern w:val="18"/>
          <w:lang w:val="de-CH" w:eastAsia="zh-CN"/>
        </w:rPr>
        <w:tab/>
      </w:r>
      <w:r w:rsidRPr="00421205">
        <w:rPr>
          <w:b/>
          <w:bCs/>
          <w:iCs/>
          <w:color w:val="000000"/>
          <w:kern w:val="18"/>
          <w:lang w:val="en-GB" w:eastAsia="zh-CN"/>
        </w:rPr>
        <w:t>便利缔约方参与《公约》进程的特别自愿信托基金</w:t>
      </w:r>
      <w:r>
        <w:rPr>
          <w:b/>
          <w:bCs/>
          <w:iCs/>
          <w:color w:val="000000"/>
          <w:kern w:val="18"/>
          <w:lang w:val="de-CH" w:eastAsia="zh-CN"/>
        </w:rPr>
        <w:t>（</w:t>
      </w:r>
      <w:r w:rsidRPr="00421205">
        <w:rPr>
          <w:b/>
          <w:bCs/>
          <w:iCs/>
          <w:color w:val="000000"/>
          <w:kern w:val="18"/>
          <w:lang w:val="de-CH" w:eastAsia="zh-CN"/>
        </w:rPr>
        <w:t>BZ</w:t>
      </w:r>
      <w:r>
        <w:rPr>
          <w:rFonts w:hint="eastAsia"/>
          <w:b/>
          <w:bCs/>
          <w:iCs/>
          <w:color w:val="000000"/>
          <w:kern w:val="18"/>
          <w:lang w:val="de-CH" w:eastAsia="zh-CN"/>
        </w:rPr>
        <w:t>）</w:t>
      </w:r>
      <w:r w:rsidRPr="00421205">
        <w:rPr>
          <w:b/>
          <w:bCs/>
          <w:iCs/>
          <w:color w:val="000000"/>
          <w:kern w:val="18"/>
          <w:lang w:val="de-CH" w:eastAsia="zh-CN"/>
        </w:rPr>
        <w:t>2019-2020</w:t>
      </w:r>
      <w:r w:rsidRPr="00421205">
        <w:rPr>
          <w:rFonts w:hint="eastAsia"/>
          <w:b/>
          <w:bCs/>
          <w:iCs/>
          <w:color w:val="000000"/>
          <w:kern w:val="18"/>
          <w:lang w:val="en-GB" w:eastAsia="zh-CN"/>
        </w:rPr>
        <w:t>年期间</w:t>
      </w:r>
      <w:r w:rsidRPr="00421205">
        <w:rPr>
          <w:b/>
          <w:bCs/>
          <w:iCs/>
          <w:color w:val="000000"/>
          <w:kern w:val="18"/>
          <w:lang w:val="en-GB" w:eastAsia="zh-CN"/>
        </w:rPr>
        <w:t>资源需求</w:t>
      </w:r>
    </w:p>
    <w:tbl>
      <w:tblPr>
        <w:tblW w:w="8640" w:type="dxa"/>
        <w:tblInd w:w="93" w:type="dxa"/>
        <w:tblLook w:val="04A0"/>
      </w:tblPr>
      <w:tblGrid>
        <w:gridCol w:w="6843"/>
        <w:gridCol w:w="1797"/>
      </w:tblGrid>
      <w:tr w:rsidR="00B72FA3" w:rsidRPr="003E68A5" w:rsidTr="00B72FA3">
        <w:trPr>
          <w:trHeight w:val="288"/>
        </w:trPr>
        <w:tc>
          <w:tcPr>
            <w:tcW w:w="6843" w:type="dxa"/>
            <w:vMerge w:val="restart"/>
            <w:tcBorders>
              <w:top w:val="single" w:sz="8" w:space="0" w:color="000000"/>
              <w:left w:val="nil"/>
              <w:bottom w:val="single" w:sz="8" w:space="0" w:color="000000"/>
              <w:right w:val="nil"/>
            </w:tcBorders>
            <w:shd w:val="clear" w:color="auto" w:fill="auto"/>
            <w:vAlign w:val="center"/>
            <w:hideMark/>
          </w:tcPr>
          <w:p w:rsidR="00B72FA3" w:rsidRPr="003E68A5" w:rsidRDefault="00B72FA3" w:rsidP="00162864">
            <w:pPr>
              <w:pStyle w:val="Default"/>
              <w:spacing w:before="0" w:after="0"/>
              <w:ind w:firstLine="0"/>
              <w:jc w:val="center"/>
              <w:rPr>
                <w:rFonts w:ascii="KaiTi" w:eastAsia="KaiTi" w:hAnsi="KaiTi"/>
                <w:iCs/>
                <w:sz w:val="20"/>
                <w:szCs w:val="20"/>
              </w:rPr>
            </w:pPr>
            <w:r w:rsidRPr="003E68A5">
              <w:rPr>
                <w:rFonts w:ascii="KaiTi" w:eastAsia="KaiTi" w:hAnsi="KaiTi" w:hint="eastAsia"/>
                <w:iCs/>
                <w:sz w:val="20"/>
                <w:szCs w:val="20"/>
              </w:rPr>
              <w:t>会议说明</w:t>
            </w:r>
          </w:p>
        </w:tc>
        <w:tc>
          <w:tcPr>
            <w:tcW w:w="1797" w:type="dxa"/>
            <w:tcBorders>
              <w:top w:val="single" w:sz="8" w:space="0" w:color="000000"/>
              <w:left w:val="nil"/>
              <w:bottom w:val="nil"/>
              <w:right w:val="nil"/>
            </w:tcBorders>
            <w:shd w:val="clear" w:color="auto" w:fill="auto"/>
            <w:vAlign w:val="center"/>
            <w:hideMark/>
          </w:tcPr>
          <w:p w:rsidR="00B72FA3" w:rsidRPr="003E68A5" w:rsidRDefault="00B72FA3" w:rsidP="008640E9">
            <w:pPr>
              <w:pStyle w:val="Default"/>
              <w:spacing w:before="0" w:after="0"/>
              <w:jc w:val="center"/>
              <w:rPr>
                <w:rFonts w:ascii="KaiTi" w:eastAsia="KaiTi" w:hAnsi="KaiTi"/>
                <w:iCs/>
                <w:sz w:val="20"/>
                <w:szCs w:val="20"/>
              </w:rPr>
            </w:pPr>
            <w:r w:rsidRPr="003E68A5">
              <w:rPr>
                <w:rFonts w:ascii="KaiTi" w:eastAsia="KaiTi" w:hAnsi="KaiTi"/>
                <w:iCs/>
                <w:sz w:val="20"/>
                <w:szCs w:val="20"/>
              </w:rPr>
              <w:t>2019-2020</w:t>
            </w:r>
            <w:r w:rsidRPr="003E68A5">
              <w:rPr>
                <w:rFonts w:ascii="KaiTi" w:eastAsia="KaiTi" w:hAnsi="KaiTi" w:hint="eastAsia"/>
                <w:iCs/>
                <w:sz w:val="20"/>
                <w:szCs w:val="20"/>
              </w:rPr>
              <w:t>年</w:t>
            </w:r>
          </w:p>
        </w:tc>
      </w:tr>
      <w:tr w:rsidR="00B72FA3" w:rsidRPr="003E68A5" w:rsidTr="00B72FA3">
        <w:trPr>
          <w:trHeight w:val="300"/>
        </w:trPr>
        <w:tc>
          <w:tcPr>
            <w:tcW w:w="6843" w:type="dxa"/>
            <w:vMerge/>
            <w:tcBorders>
              <w:top w:val="single" w:sz="8" w:space="0" w:color="000000"/>
              <w:left w:val="nil"/>
              <w:bottom w:val="single" w:sz="8" w:space="0" w:color="000000"/>
              <w:right w:val="nil"/>
            </w:tcBorders>
            <w:vAlign w:val="center"/>
            <w:hideMark/>
          </w:tcPr>
          <w:p w:rsidR="00B72FA3" w:rsidRPr="003E68A5" w:rsidRDefault="00B72FA3" w:rsidP="008640E9">
            <w:pPr>
              <w:pStyle w:val="Default"/>
              <w:spacing w:before="0" w:after="0"/>
              <w:jc w:val="center"/>
              <w:rPr>
                <w:rFonts w:ascii="KaiTi" w:eastAsia="KaiTi" w:hAnsi="KaiTi"/>
                <w:iCs/>
                <w:sz w:val="20"/>
                <w:szCs w:val="20"/>
              </w:rPr>
            </w:pPr>
          </w:p>
        </w:tc>
        <w:tc>
          <w:tcPr>
            <w:tcW w:w="1797" w:type="dxa"/>
            <w:tcBorders>
              <w:top w:val="nil"/>
              <w:left w:val="nil"/>
              <w:bottom w:val="single" w:sz="8" w:space="0" w:color="000000"/>
              <w:right w:val="nil"/>
            </w:tcBorders>
            <w:shd w:val="clear" w:color="auto" w:fill="auto"/>
            <w:vAlign w:val="center"/>
            <w:hideMark/>
          </w:tcPr>
          <w:p w:rsidR="00B72FA3" w:rsidRPr="003E68A5" w:rsidRDefault="00B72FA3" w:rsidP="008640E9">
            <w:pPr>
              <w:pStyle w:val="Default"/>
              <w:spacing w:before="0" w:after="0"/>
              <w:jc w:val="center"/>
              <w:rPr>
                <w:rFonts w:ascii="KaiTi" w:eastAsia="KaiTi" w:hAnsi="KaiTi"/>
                <w:iCs/>
                <w:sz w:val="20"/>
                <w:szCs w:val="20"/>
              </w:rPr>
            </w:pPr>
            <w:r>
              <w:rPr>
                <w:rFonts w:ascii="KaiTi" w:eastAsia="KaiTi" w:hAnsi="KaiTi"/>
                <w:iCs/>
                <w:sz w:val="20"/>
                <w:szCs w:val="20"/>
              </w:rPr>
              <w:t>（</w:t>
            </w:r>
            <w:r w:rsidRPr="003E68A5">
              <w:rPr>
                <w:rFonts w:ascii="KaiTi" w:eastAsia="KaiTi" w:hAnsi="KaiTi" w:hint="eastAsia"/>
                <w:iCs/>
                <w:sz w:val="20"/>
                <w:szCs w:val="20"/>
              </w:rPr>
              <w:t>千美元</w:t>
            </w:r>
            <w:r>
              <w:rPr>
                <w:rFonts w:ascii="KaiTi" w:eastAsia="KaiTi" w:hAnsi="KaiTi"/>
                <w:iCs/>
                <w:sz w:val="20"/>
                <w:szCs w:val="20"/>
              </w:rPr>
              <w:t>）</w:t>
            </w:r>
          </w:p>
        </w:tc>
      </w:tr>
      <w:tr w:rsidR="00B72FA3" w:rsidRPr="003E68A5" w:rsidTr="00B72FA3">
        <w:trPr>
          <w:trHeight w:val="288"/>
        </w:trPr>
        <w:tc>
          <w:tcPr>
            <w:tcW w:w="6843" w:type="dxa"/>
            <w:tcBorders>
              <w:top w:val="nil"/>
              <w:left w:val="nil"/>
              <w:bottom w:val="nil"/>
              <w:right w:val="nil"/>
            </w:tcBorders>
            <w:shd w:val="clear" w:color="auto" w:fill="auto"/>
            <w:vAlign w:val="center"/>
            <w:hideMark/>
          </w:tcPr>
          <w:p w:rsidR="00B72FA3" w:rsidRPr="003E68A5" w:rsidRDefault="00B72FA3" w:rsidP="00162864">
            <w:pPr>
              <w:spacing w:before="0" w:after="0"/>
              <w:ind w:firstLine="0"/>
              <w:rPr>
                <w:b/>
                <w:bCs/>
                <w:color w:val="000000"/>
                <w:sz w:val="20"/>
                <w:szCs w:val="20"/>
              </w:rPr>
            </w:pPr>
            <w:r w:rsidRPr="003E68A5">
              <w:rPr>
                <w:rFonts w:hint="eastAsia"/>
                <w:b/>
                <w:bCs/>
                <w:color w:val="000000"/>
                <w:sz w:val="20"/>
                <w:szCs w:val="20"/>
                <w:lang w:eastAsia="zh-CN"/>
              </w:rPr>
              <w:t>一</w:t>
            </w:r>
            <w:r w:rsidRPr="003E68A5">
              <w:rPr>
                <w:b/>
                <w:bCs/>
                <w:color w:val="000000"/>
                <w:sz w:val="20"/>
                <w:szCs w:val="20"/>
              </w:rPr>
              <w:t xml:space="preserve">. </w:t>
            </w:r>
            <w:r w:rsidRPr="003E68A5">
              <w:rPr>
                <w:rFonts w:hint="eastAsia"/>
                <w:b/>
                <w:bCs/>
                <w:color w:val="000000"/>
                <w:sz w:val="20"/>
                <w:szCs w:val="20"/>
                <w:lang w:eastAsia="zh-CN"/>
              </w:rPr>
              <w:t>会议：</w:t>
            </w:r>
          </w:p>
        </w:tc>
        <w:tc>
          <w:tcPr>
            <w:tcW w:w="1797" w:type="dxa"/>
            <w:tcBorders>
              <w:top w:val="nil"/>
              <w:left w:val="nil"/>
              <w:bottom w:val="nil"/>
              <w:right w:val="nil"/>
            </w:tcBorders>
            <w:shd w:val="clear" w:color="auto" w:fill="auto"/>
            <w:vAlign w:val="center"/>
            <w:hideMark/>
          </w:tcPr>
          <w:p w:rsidR="00B72FA3" w:rsidRPr="003E68A5" w:rsidRDefault="00B72FA3" w:rsidP="008640E9">
            <w:pPr>
              <w:spacing w:before="0" w:after="0"/>
              <w:jc w:val="right"/>
              <w:rPr>
                <w:color w:val="000000"/>
                <w:sz w:val="20"/>
                <w:szCs w:val="20"/>
              </w:rPr>
            </w:pPr>
          </w:p>
        </w:tc>
      </w:tr>
      <w:tr w:rsidR="00B72FA3" w:rsidRPr="003E68A5" w:rsidTr="00B72FA3">
        <w:trPr>
          <w:trHeight w:val="288"/>
        </w:trPr>
        <w:tc>
          <w:tcPr>
            <w:tcW w:w="6843" w:type="dxa"/>
            <w:tcBorders>
              <w:top w:val="nil"/>
              <w:left w:val="nil"/>
              <w:bottom w:val="nil"/>
              <w:right w:val="nil"/>
            </w:tcBorders>
            <w:shd w:val="clear" w:color="auto" w:fill="auto"/>
            <w:noWrap/>
            <w:vAlign w:val="center"/>
            <w:hideMark/>
          </w:tcPr>
          <w:p w:rsidR="00B72FA3" w:rsidRPr="003E68A5" w:rsidRDefault="00B72FA3" w:rsidP="00162864">
            <w:pPr>
              <w:spacing w:before="0" w:after="0"/>
              <w:ind w:firstLine="0"/>
              <w:rPr>
                <w:color w:val="000000"/>
                <w:sz w:val="20"/>
                <w:szCs w:val="20"/>
                <w:lang w:eastAsia="zh-CN"/>
              </w:rPr>
            </w:pPr>
            <w:r>
              <w:rPr>
                <w:rFonts w:hint="eastAsia"/>
                <w:color w:val="000000"/>
                <w:sz w:val="20"/>
                <w:szCs w:val="20"/>
                <w:lang w:eastAsia="zh-CN"/>
              </w:rPr>
              <w:t>缔约方大会</w:t>
            </w:r>
            <w:r>
              <w:rPr>
                <w:color w:val="000000"/>
                <w:sz w:val="20"/>
                <w:szCs w:val="20"/>
                <w:lang w:eastAsia="zh-CN"/>
              </w:rPr>
              <w:t>第十五届会议</w:t>
            </w:r>
            <w:r>
              <w:rPr>
                <w:rFonts w:hint="eastAsia"/>
                <w:color w:val="000000"/>
                <w:sz w:val="20"/>
                <w:szCs w:val="20"/>
                <w:lang w:eastAsia="zh-CN"/>
              </w:rPr>
              <w:t>、</w:t>
            </w:r>
            <w:r>
              <w:rPr>
                <w:color w:val="000000"/>
                <w:sz w:val="20"/>
                <w:szCs w:val="20"/>
                <w:lang w:eastAsia="zh-CN"/>
              </w:rPr>
              <w:t>卡塔赫纳议定书缔约方第十次会议和名古屋议定书缔约方第四次会议</w:t>
            </w:r>
          </w:p>
        </w:tc>
        <w:tc>
          <w:tcPr>
            <w:tcW w:w="1797" w:type="dxa"/>
            <w:tcBorders>
              <w:top w:val="nil"/>
              <w:left w:val="nil"/>
              <w:bottom w:val="nil"/>
              <w:right w:val="nil"/>
            </w:tcBorders>
            <w:shd w:val="clear" w:color="auto" w:fill="auto"/>
            <w:vAlign w:val="center"/>
            <w:hideMark/>
          </w:tcPr>
          <w:p w:rsidR="00B72FA3" w:rsidRPr="003E68A5" w:rsidRDefault="00B72FA3" w:rsidP="008640E9">
            <w:pPr>
              <w:spacing w:before="0" w:after="0"/>
              <w:jc w:val="right"/>
              <w:rPr>
                <w:color w:val="000000"/>
                <w:sz w:val="20"/>
                <w:szCs w:val="20"/>
              </w:rPr>
            </w:pPr>
            <w:r w:rsidRPr="003E68A5">
              <w:rPr>
                <w:color w:val="000000"/>
                <w:sz w:val="20"/>
                <w:szCs w:val="20"/>
              </w:rPr>
              <w:t>1</w:t>
            </w:r>
            <w:r>
              <w:rPr>
                <w:color w:val="000000"/>
                <w:sz w:val="20"/>
                <w:szCs w:val="20"/>
              </w:rPr>
              <w:t xml:space="preserve"> </w:t>
            </w:r>
            <w:r w:rsidRPr="003E68A5">
              <w:rPr>
                <w:color w:val="000000"/>
                <w:sz w:val="20"/>
                <w:szCs w:val="20"/>
              </w:rPr>
              <w:t>500.0</w:t>
            </w:r>
          </w:p>
        </w:tc>
      </w:tr>
      <w:tr w:rsidR="00B72FA3" w:rsidRPr="003E68A5" w:rsidTr="00B72FA3">
        <w:trPr>
          <w:trHeight w:val="288"/>
        </w:trPr>
        <w:tc>
          <w:tcPr>
            <w:tcW w:w="6843" w:type="dxa"/>
            <w:tcBorders>
              <w:top w:val="nil"/>
              <w:left w:val="nil"/>
              <w:bottom w:val="nil"/>
              <w:right w:val="nil"/>
            </w:tcBorders>
            <w:shd w:val="clear" w:color="auto" w:fill="auto"/>
            <w:noWrap/>
            <w:vAlign w:val="center"/>
            <w:hideMark/>
          </w:tcPr>
          <w:p w:rsidR="00B72FA3" w:rsidRPr="003E68A5" w:rsidRDefault="00B72FA3" w:rsidP="00162864">
            <w:pPr>
              <w:spacing w:before="0" w:after="0"/>
              <w:ind w:firstLine="0"/>
              <w:rPr>
                <w:color w:val="000000"/>
                <w:sz w:val="20"/>
                <w:szCs w:val="20"/>
                <w:lang w:eastAsia="zh-CN"/>
              </w:rPr>
            </w:pPr>
            <w:r>
              <w:rPr>
                <w:rFonts w:hint="eastAsia"/>
                <w:color w:val="000000"/>
                <w:sz w:val="20"/>
                <w:szCs w:val="20"/>
                <w:lang w:eastAsia="zh-CN"/>
              </w:rPr>
              <w:t>为筹备</w:t>
            </w:r>
            <w:r>
              <w:rPr>
                <w:color w:val="000000"/>
                <w:sz w:val="20"/>
                <w:szCs w:val="20"/>
                <w:lang w:eastAsia="zh-CN"/>
              </w:rPr>
              <w:t>同时举行的缔约方大会的会议</w:t>
            </w:r>
            <w:r>
              <w:rPr>
                <w:rFonts w:hint="eastAsia"/>
                <w:color w:val="000000"/>
                <w:sz w:val="20"/>
                <w:szCs w:val="20"/>
                <w:lang w:eastAsia="zh-CN"/>
              </w:rPr>
              <w:t>而</w:t>
            </w:r>
            <w:r>
              <w:rPr>
                <w:color w:val="000000"/>
                <w:sz w:val="20"/>
                <w:szCs w:val="20"/>
                <w:lang w:eastAsia="zh-CN"/>
              </w:rPr>
              <w:t>举行的区域会议</w:t>
            </w:r>
          </w:p>
        </w:tc>
        <w:tc>
          <w:tcPr>
            <w:tcW w:w="1797" w:type="dxa"/>
            <w:tcBorders>
              <w:top w:val="nil"/>
              <w:left w:val="nil"/>
              <w:bottom w:val="nil"/>
              <w:right w:val="nil"/>
            </w:tcBorders>
            <w:shd w:val="clear" w:color="auto" w:fill="auto"/>
            <w:vAlign w:val="center"/>
            <w:hideMark/>
          </w:tcPr>
          <w:p w:rsidR="00B72FA3" w:rsidRPr="003E68A5" w:rsidRDefault="00B72FA3" w:rsidP="008640E9">
            <w:pPr>
              <w:spacing w:before="0" w:after="0"/>
              <w:jc w:val="right"/>
              <w:rPr>
                <w:color w:val="000000"/>
                <w:sz w:val="20"/>
                <w:szCs w:val="20"/>
              </w:rPr>
            </w:pPr>
            <w:r w:rsidRPr="003E68A5">
              <w:rPr>
                <w:color w:val="000000"/>
                <w:sz w:val="20"/>
                <w:szCs w:val="20"/>
              </w:rPr>
              <w:t>100.0</w:t>
            </w:r>
          </w:p>
        </w:tc>
      </w:tr>
      <w:tr w:rsidR="00B72FA3" w:rsidRPr="003E68A5" w:rsidTr="00B72FA3">
        <w:trPr>
          <w:trHeight w:val="288"/>
        </w:trPr>
        <w:tc>
          <w:tcPr>
            <w:tcW w:w="6843" w:type="dxa"/>
            <w:tcBorders>
              <w:top w:val="nil"/>
              <w:left w:val="nil"/>
              <w:bottom w:val="nil"/>
              <w:right w:val="nil"/>
            </w:tcBorders>
            <w:shd w:val="clear" w:color="auto" w:fill="auto"/>
            <w:noWrap/>
            <w:vAlign w:val="center"/>
            <w:hideMark/>
          </w:tcPr>
          <w:p w:rsidR="00B72FA3" w:rsidRPr="003E68A5" w:rsidRDefault="00B72FA3" w:rsidP="00162864">
            <w:pPr>
              <w:spacing w:before="0" w:after="0"/>
              <w:ind w:firstLine="0"/>
              <w:rPr>
                <w:color w:val="000000"/>
                <w:sz w:val="20"/>
                <w:szCs w:val="20"/>
                <w:lang w:eastAsia="zh-CN"/>
              </w:rPr>
            </w:pPr>
            <w:r>
              <w:rPr>
                <w:rFonts w:hint="eastAsia"/>
                <w:color w:val="000000"/>
                <w:sz w:val="20"/>
                <w:szCs w:val="20"/>
                <w:lang w:eastAsia="zh-CN"/>
              </w:rPr>
              <w:t>科学、</w:t>
            </w:r>
            <w:r>
              <w:rPr>
                <w:color w:val="000000"/>
                <w:sz w:val="20"/>
                <w:szCs w:val="20"/>
                <w:lang w:eastAsia="zh-CN"/>
              </w:rPr>
              <w:t>技术和工艺咨询附属机构</w:t>
            </w:r>
            <w:r>
              <w:rPr>
                <w:rFonts w:hint="eastAsia"/>
                <w:color w:val="000000"/>
                <w:sz w:val="20"/>
                <w:szCs w:val="20"/>
                <w:lang w:eastAsia="zh-CN"/>
              </w:rPr>
              <w:t>（</w:t>
            </w:r>
            <w:r>
              <w:rPr>
                <w:color w:val="000000"/>
                <w:sz w:val="20"/>
                <w:szCs w:val="20"/>
                <w:lang w:eastAsia="zh-CN"/>
              </w:rPr>
              <w:t>科咨机构第二十三和二十四次会议</w:t>
            </w:r>
            <w:r>
              <w:rPr>
                <w:rFonts w:hint="eastAsia"/>
                <w:color w:val="000000"/>
                <w:sz w:val="20"/>
                <w:szCs w:val="20"/>
                <w:lang w:eastAsia="zh-CN"/>
              </w:rPr>
              <w:t>）</w:t>
            </w:r>
          </w:p>
        </w:tc>
        <w:tc>
          <w:tcPr>
            <w:tcW w:w="1797" w:type="dxa"/>
            <w:tcBorders>
              <w:top w:val="nil"/>
              <w:left w:val="nil"/>
              <w:bottom w:val="nil"/>
              <w:right w:val="nil"/>
            </w:tcBorders>
            <w:shd w:val="clear" w:color="auto" w:fill="auto"/>
            <w:vAlign w:val="center"/>
            <w:hideMark/>
          </w:tcPr>
          <w:p w:rsidR="00B72FA3" w:rsidRPr="003E68A5" w:rsidRDefault="00B72FA3" w:rsidP="008640E9">
            <w:pPr>
              <w:spacing w:before="0" w:after="0"/>
              <w:jc w:val="right"/>
              <w:rPr>
                <w:color w:val="000000"/>
                <w:sz w:val="20"/>
                <w:szCs w:val="20"/>
              </w:rPr>
            </w:pPr>
            <w:r w:rsidRPr="003E68A5">
              <w:rPr>
                <w:color w:val="000000"/>
                <w:sz w:val="20"/>
                <w:szCs w:val="20"/>
              </w:rPr>
              <w:t>1</w:t>
            </w:r>
            <w:r>
              <w:rPr>
                <w:color w:val="000000"/>
                <w:sz w:val="20"/>
                <w:szCs w:val="20"/>
              </w:rPr>
              <w:t xml:space="preserve"> </w:t>
            </w:r>
            <w:r w:rsidRPr="003E68A5">
              <w:rPr>
                <w:color w:val="000000"/>
                <w:sz w:val="20"/>
                <w:szCs w:val="20"/>
              </w:rPr>
              <w:t>200.0</w:t>
            </w:r>
          </w:p>
        </w:tc>
      </w:tr>
      <w:tr w:rsidR="00B72FA3" w:rsidRPr="003E68A5" w:rsidTr="00B72FA3">
        <w:trPr>
          <w:trHeight w:val="288"/>
        </w:trPr>
        <w:tc>
          <w:tcPr>
            <w:tcW w:w="6843" w:type="dxa"/>
            <w:tcBorders>
              <w:top w:val="nil"/>
              <w:left w:val="nil"/>
              <w:bottom w:val="nil"/>
              <w:right w:val="nil"/>
            </w:tcBorders>
            <w:shd w:val="clear" w:color="auto" w:fill="auto"/>
            <w:noWrap/>
            <w:vAlign w:val="center"/>
            <w:hideMark/>
          </w:tcPr>
          <w:p w:rsidR="00B72FA3" w:rsidRPr="003E68A5" w:rsidRDefault="00B72FA3" w:rsidP="00162864">
            <w:pPr>
              <w:spacing w:before="0" w:after="0"/>
              <w:ind w:firstLine="0"/>
              <w:rPr>
                <w:color w:val="000000"/>
                <w:sz w:val="20"/>
                <w:szCs w:val="20"/>
                <w:lang w:eastAsia="zh-CN"/>
              </w:rPr>
            </w:pPr>
            <w:r>
              <w:rPr>
                <w:rFonts w:hint="eastAsia"/>
                <w:color w:val="000000"/>
                <w:sz w:val="20"/>
                <w:szCs w:val="20"/>
                <w:lang w:eastAsia="zh-CN"/>
              </w:rPr>
              <w:t>第</w:t>
            </w:r>
            <w:r w:rsidRPr="003E68A5">
              <w:rPr>
                <w:color w:val="000000"/>
                <w:sz w:val="20"/>
                <w:szCs w:val="20"/>
                <w:lang w:eastAsia="zh-CN"/>
              </w:rPr>
              <w:t>8</w:t>
            </w:r>
            <w:r>
              <w:rPr>
                <w:color w:val="000000"/>
                <w:sz w:val="20"/>
                <w:szCs w:val="20"/>
                <w:lang w:eastAsia="zh-CN"/>
              </w:rPr>
              <w:t>(j)</w:t>
            </w:r>
            <w:r>
              <w:rPr>
                <w:rFonts w:hint="eastAsia"/>
                <w:color w:val="000000"/>
                <w:sz w:val="20"/>
                <w:szCs w:val="20"/>
                <w:lang w:eastAsia="zh-CN"/>
              </w:rPr>
              <w:t>条</w:t>
            </w:r>
            <w:r>
              <w:rPr>
                <w:color w:val="000000"/>
                <w:sz w:val="20"/>
                <w:szCs w:val="20"/>
                <w:lang w:eastAsia="zh-CN"/>
              </w:rPr>
              <w:t>和相关条款问题不限成员名额特设工作组会议（</w:t>
            </w:r>
            <w:r>
              <w:rPr>
                <w:rFonts w:hint="eastAsia"/>
                <w:color w:val="000000"/>
                <w:sz w:val="20"/>
                <w:szCs w:val="20"/>
                <w:lang w:eastAsia="zh-CN"/>
              </w:rPr>
              <w:t>第</w:t>
            </w:r>
            <w:r w:rsidRPr="003E68A5">
              <w:rPr>
                <w:color w:val="000000"/>
                <w:sz w:val="20"/>
                <w:szCs w:val="20"/>
                <w:lang w:eastAsia="zh-CN"/>
              </w:rPr>
              <w:t>8</w:t>
            </w:r>
            <w:r>
              <w:rPr>
                <w:color w:val="000000"/>
                <w:sz w:val="20"/>
                <w:szCs w:val="20"/>
                <w:lang w:eastAsia="zh-CN"/>
              </w:rPr>
              <w:t>(j)</w:t>
            </w:r>
            <w:r>
              <w:rPr>
                <w:rFonts w:hint="eastAsia"/>
                <w:color w:val="000000"/>
                <w:sz w:val="20"/>
                <w:szCs w:val="20"/>
                <w:lang w:eastAsia="zh-CN"/>
              </w:rPr>
              <w:t>条</w:t>
            </w:r>
            <w:r>
              <w:rPr>
                <w:color w:val="000000"/>
                <w:sz w:val="20"/>
                <w:szCs w:val="20"/>
                <w:lang w:eastAsia="zh-CN"/>
              </w:rPr>
              <w:t>工作组第十一次会议）</w:t>
            </w:r>
          </w:p>
        </w:tc>
        <w:tc>
          <w:tcPr>
            <w:tcW w:w="1797" w:type="dxa"/>
            <w:tcBorders>
              <w:top w:val="nil"/>
              <w:left w:val="nil"/>
              <w:bottom w:val="nil"/>
              <w:right w:val="nil"/>
            </w:tcBorders>
            <w:shd w:val="clear" w:color="auto" w:fill="auto"/>
            <w:vAlign w:val="center"/>
            <w:hideMark/>
          </w:tcPr>
          <w:p w:rsidR="00B72FA3" w:rsidRPr="003E68A5" w:rsidRDefault="00B72FA3" w:rsidP="008640E9">
            <w:pPr>
              <w:spacing w:before="0" w:after="0"/>
              <w:jc w:val="right"/>
              <w:rPr>
                <w:color w:val="000000"/>
                <w:sz w:val="20"/>
                <w:szCs w:val="20"/>
              </w:rPr>
            </w:pPr>
            <w:r w:rsidRPr="003E68A5">
              <w:rPr>
                <w:color w:val="000000"/>
                <w:sz w:val="20"/>
                <w:szCs w:val="20"/>
              </w:rPr>
              <w:t>150.0</w:t>
            </w:r>
          </w:p>
        </w:tc>
      </w:tr>
      <w:tr w:rsidR="00B72FA3" w:rsidRPr="003E68A5" w:rsidTr="00B72FA3">
        <w:trPr>
          <w:trHeight w:val="288"/>
        </w:trPr>
        <w:tc>
          <w:tcPr>
            <w:tcW w:w="6843" w:type="dxa"/>
            <w:tcBorders>
              <w:top w:val="nil"/>
              <w:left w:val="nil"/>
              <w:bottom w:val="nil"/>
              <w:right w:val="nil"/>
            </w:tcBorders>
            <w:shd w:val="clear" w:color="auto" w:fill="auto"/>
            <w:noWrap/>
            <w:vAlign w:val="center"/>
            <w:hideMark/>
          </w:tcPr>
          <w:p w:rsidR="00B72FA3" w:rsidRPr="003E68A5" w:rsidRDefault="00B72FA3" w:rsidP="00162864">
            <w:pPr>
              <w:spacing w:before="0" w:after="0"/>
              <w:ind w:firstLine="0"/>
              <w:rPr>
                <w:color w:val="000000"/>
                <w:sz w:val="20"/>
                <w:szCs w:val="20"/>
                <w:lang w:eastAsia="zh-CN"/>
              </w:rPr>
            </w:pPr>
            <w:r>
              <w:rPr>
                <w:rFonts w:hint="eastAsia"/>
                <w:color w:val="000000"/>
                <w:sz w:val="20"/>
                <w:szCs w:val="20"/>
                <w:lang w:eastAsia="zh-CN"/>
              </w:rPr>
              <w:t>执行问题</w:t>
            </w:r>
            <w:r>
              <w:rPr>
                <w:color w:val="000000"/>
                <w:sz w:val="20"/>
                <w:szCs w:val="20"/>
                <w:lang w:eastAsia="zh-CN"/>
              </w:rPr>
              <w:t>附属机构（</w:t>
            </w:r>
            <w:r>
              <w:rPr>
                <w:rFonts w:hint="eastAsia"/>
                <w:color w:val="000000"/>
                <w:sz w:val="20"/>
                <w:szCs w:val="20"/>
                <w:lang w:eastAsia="zh-CN"/>
              </w:rPr>
              <w:t>执行问题</w:t>
            </w:r>
            <w:r>
              <w:rPr>
                <w:color w:val="000000"/>
                <w:sz w:val="20"/>
                <w:szCs w:val="20"/>
                <w:lang w:eastAsia="zh-CN"/>
              </w:rPr>
              <w:t>附属机构第三次会议）</w:t>
            </w:r>
          </w:p>
        </w:tc>
        <w:tc>
          <w:tcPr>
            <w:tcW w:w="1797" w:type="dxa"/>
            <w:tcBorders>
              <w:top w:val="nil"/>
              <w:left w:val="nil"/>
              <w:bottom w:val="nil"/>
              <w:right w:val="nil"/>
            </w:tcBorders>
            <w:shd w:val="clear" w:color="auto" w:fill="auto"/>
            <w:vAlign w:val="center"/>
            <w:hideMark/>
          </w:tcPr>
          <w:p w:rsidR="00B72FA3" w:rsidRPr="003E68A5" w:rsidRDefault="00B72FA3" w:rsidP="008640E9">
            <w:pPr>
              <w:spacing w:before="0" w:after="0"/>
              <w:jc w:val="right"/>
              <w:rPr>
                <w:color w:val="000000"/>
                <w:sz w:val="20"/>
                <w:szCs w:val="20"/>
              </w:rPr>
            </w:pPr>
            <w:r w:rsidRPr="003E68A5">
              <w:rPr>
                <w:color w:val="000000"/>
                <w:sz w:val="20"/>
                <w:szCs w:val="20"/>
              </w:rPr>
              <w:t>150.0</w:t>
            </w:r>
          </w:p>
        </w:tc>
      </w:tr>
      <w:tr w:rsidR="00B72FA3" w:rsidRPr="003E68A5" w:rsidTr="00B72FA3">
        <w:trPr>
          <w:trHeight w:val="300"/>
        </w:trPr>
        <w:tc>
          <w:tcPr>
            <w:tcW w:w="6843" w:type="dxa"/>
            <w:tcBorders>
              <w:top w:val="nil"/>
              <w:left w:val="nil"/>
              <w:bottom w:val="single" w:sz="8" w:space="0" w:color="000000"/>
              <w:right w:val="nil"/>
            </w:tcBorders>
            <w:shd w:val="clear" w:color="auto" w:fill="auto"/>
            <w:noWrap/>
            <w:vAlign w:val="center"/>
            <w:hideMark/>
          </w:tcPr>
          <w:p w:rsidR="00B72FA3" w:rsidRPr="003E68A5" w:rsidRDefault="00B72FA3" w:rsidP="00162864">
            <w:pPr>
              <w:spacing w:before="0" w:after="0"/>
              <w:ind w:firstLine="0"/>
              <w:rPr>
                <w:color w:val="000000"/>
                <w:sz w:val="20"/>
                <w:szCs w:val="20"/>
              </w:rPr>
            </w:pPr>
            <w:r>
              <w:rPr>
                <w:rFonts w:hint="eastAsia"/>
                <w:color w:val="000000"/>
                <w:sz w:val="20"/>
                <w:szCs w:val="20"/>
                <w:lang w:eastAsia="zh-CN"/>
              </w:rPr>
              <w:t>关于</w:t>
            </w:r>
            <w:r>
              <w:rPr>
                <w:rFonts w:hint="eastAsia"/>
                <w:color w:val="000000"/>
                <w:sz w:val="20"/>
                <w:szCs w:val="20"/>
                <w:lang w:eastAsia="zh-CN"/>
              </w:rPr>
              <w:t>2020</w:t>
            </w:r>
            <w:r>
              <w:rPr>
                <w:rFonts w:hint="eastAsia"/>
                <w:color w:val="000000"/>
                <w:sz w:val="20"/>
                <w:szCs w:val="20"/>
                <w:lang w:eastAsia="zh-CN"/>
              </w:rPr>
              <w:t>年后</w:t>
            </w:r>
            <w:r>
              <w:rPr>
                <w:color w:val="000000"/>
                <w:sz w:val="20"/>
                <w:szCs w:val="20"/>
                <w:lang w:eastAsia="zh-CN"/>
              </w:rPr>
              <w:t>的特别会议</w:t>
            </w:r>
          </w:p>
        </w:tc>
        <w:tc>
          <w:tcPr>
            <w:tcW w:w="1797" w:type="dxa"/>
            <w:tcBorders>
              <w:top w:val="nil"/>
              <w:left w:val="nil"/>
              <w:bottom w:val="single" w:sz="8" w:space="0" w:color="000000"/>
              <w:right w:val="nil"/>
            </w:tcBorders>
            <w:shd w:val="clear" w:color="auto" w:fill="auto"/>
            <w:vAlign w:val="center"/>
            <w:hideMark/>
          </w:tcPr>
          <w:p w:rsidR="00B72FA3" w:rsidRPr="003E68A5" w:rsidRDefault="00B72FA3" w:rsidP="008640E9">
            <w:pPr>
              <w:spacing w:before="0" w:after="0"/>
              <w:jc w:val="right"/>
              <w:rPr>
                <w:color w:val="000000"/>
                <w:sz w:val="20"/>
                <w:szCs w:val="20"/>
              </w:rPr>
            </w:pPr>
            <w:r w:rsidRPr="003E68A5">
              <w:rPr>
                <w:color w:val="000000"/>
                <w:sz w:val="20"/>
                <w:szCs w:val="20"/>
              </w:rPr>
              <w:t>300.0</w:t>
            </w:r>
          </w:p>
        </w:tc>
      </w:tr>
      <w:tr w:rsidR="00B72FA3" w:rsidRPr="003E68A5" w:rsidTr="00B72FA3">
        <w:trPr>
          <w:trHeight w:val="300"/>
        </w:trPr>
        <w:tc>
          <w:tcPr>
            <w:tcW w:w="6843" w:type="dxa"/>
            <w:tcBorders>
              <w:top w:val="nil"/>
              <w:left w:val="nil"/>
              <w:bottom w:val="single" w:sz="8" w:space="0" w:color="000000"/>
              <w:right w:val="nil"/>
            </w:tcBorders>
            <w:shd w:val="clear" w:color="auto" w:fill="auto"/>
            <w:vAlign w:val="center"/>
            <w:hideMark/>
          </w:tcPr>
          <w:p w:rsidR="00B72FA3" w:rsidRPr="003E68A5" w:rsidRDefault="00B72FA3" w:rsidP="00162864">
            <w:pPr>
              <w:spacing w:before="0" w:after="0"/>
              <w:ind w:firstLine="0"/>
              <w:rPr>
                <w:b/>
                <w:bCs/>
                <w:color w:val="000000"/>
                <w:sz w:val="20"/>
                <w:szCs w:val="20"/>
                <w:lang w:eastAsia="zh-CN"/>
              </w:rPr>
            </w:pPr>
            <w:r>
              <w:rPr>
                <w:rFonts w:hint="eastAsia"/>
                <w:b/>
                <w:bCs/>
                <w:color w:val="000000"/>
                <w:sz w:val="20"/>
                <w:szCs w:val="20"/>
                <w:lang w:eastAsia="zh-CN"/>
              </w:rPr>
              <w:t>费用小计</w:t>
            </w:r>
          </w:p>
        </w:tc>
        <w:tc>
          <w:tcPr>
            <w:tcW w:w="1797" w:type="dxa"/>
            <w:tcBorders>
              <w:top w:val="nil"/>
              <w:left w:val="nil"/>
              <w:bottom w:val="single" w:sz="8" w:space="0" w:color="000000"/>
              <w:right w:val="nil"/>
            </w:tcBorders>
            <w:shd w:val="clear" w:color="auto" w:fill="auto"/>
            <w:vAlign w:val="center"/>
            <w:hideMark/>
          </w:tcPr>
          <w:p w:rsidR="00B72FA3" w:rsidRPr="003E68A5" w:rsidRDefault="00B72FA3" w:rsidP="008640E9">
            <w:pPr>
              <w:spacing w:before="0" w:after="0"/>
              <w:jc w:val="right"/>
              <w:rPr>
                <w:b/>
                <w:bCs/>
                <w:color w:val="000000"/>
                <w:sz w:val="20"/>
                <w:szCs w:val="20"/>
              </w:rPr>
            </w:pPr>
            <w:r w:rsidRPr="003E68A5">
              <w:rPr>
                <w:b/>
                <w:bCs/>
                <w:color w:val="000000"/>
                <w:sz w:val="20"/>
                <w:szCs w:val="20"/>
              </w:rPr>
              <w:t>3</w:t>
            </w:r>
            <w:r>
              <w:rPr>
                <w:b/>
                <w:bCs/>
                <w:color w:val="000000"/>
                <w:sz w:val="20"/>
                <w:szCs w:val="20"/>
              </w:rPr>
              <w:t xml:space="preserve"> </w:t>
            </w:r>
            <w:r w:rsidRPr="003E68A5">
              <w:rPr>
                <w:b/>
                <w:bCs/>
                <w:color w:val="000000"/>
                <w:sz w:val="20"/>
                <w:szCs w:val="20"/>
              </w:rPr>
              <w:t>400.0</w:t>
            </w:r>
          </w:p>
        </w:tc>
      </w:tr>
      <w:tr w:rsidR="00B72FA3" w:rsidRPr="003E68A5" w:rsidTr="00B72FA3">
        <w:trPr>
          <w:trHeight w:val="300"/>
        </w:trPr>
        <w:tc>
          <w:tcPr>
            <w:tcW w:w="6843" w:type="dxa"/>
            <w:tcBorders>
              <w:top w:val="nil"/>
              <w:left w:val="nil"/>
              <w:bottom w:val="single" w:sz="8" w:space="0" w:color="000000"/>
              <w:right w:val="nil"/>
            </w:tcBorders>
            <w:shd w:val="clear" w:color="auto" w:fill="auto"/>
            <w:vAlign w:val="center"/>
            <w:hideMark/>
          </w:tcPr>
          <w:p w:rsidR="00B72FA3" w:rsidRPr="003E68A5" w:rsidRDefault="00B72FA3" w:rsidP="00162864">
            <w:pPr>
              <w:spacing w:before="0" w:after="0"/>
              <w:ind w:firstLine="0"/>
              <w:rPr>
                <w:b/>
                <w:bCs/>
                <w:color w:val="000000"/>
                <w:sz w:val="20"/>
                <w:szCs w:val="20"/>
              </w:rPr>
            </w:pPr>
            <w:r>
              <w:rPr>
                <w:rFonts w:hint="eastAsia"/>
                <w:b/>
                <w:bCs/>
                <w:color w:val="000000"/>
                <w:sz w:val="20"/>
                <w:szCs w:val="20"/>
                <w:lang w:eastAsia="zh-CN"/>
              </w:rPr>
              <w:t>二</w:t>
            </w:r>
            <w:r w:rsidRPr="003E68A5">
              <w:rPr>
                <w:b/>
                <w:bCs/>
                <w:color w:val="000000"/>
                <w:sz w:val="20"/>
                <w:szCs w:val="20"/>
              </w:rPr>
              <w:t xml:space="preserve">. </w:t>
            </w:r>
            <w:r>
              <w:rPr>
                <w:rFonts w:hint="eastAsia"/>
                <w:b/>
                <w:bCs/>
                <w:color w:val="000000"/>
                <w:sz w:val="20"/>
                <w:szCs w:val="20"/>
                <w:lang w:eastAsia="zh-CN"/>
              </w:rPr>
              <w:t>方案支助费用</w:t>
            </w:r>
          </w:p>
        </w:tc>
        <w:tc>
          <w:tcPr>
            <w:tcW w:w="1797" w:type="dxa"/>
            <w:tcBorders>
              <w:top w:val="nil"/>
              <w:left w:val="nil"/>
              <w:bottom w:val="single" w:sz="8" w:space="0" w:color="000000"/>
              <w:right w:val="nil"/>
            </w:tcBorders>
            <w:shd w:val="clear" w:color="auto" w:fill="auto"/>
            <w:vAlign w:val="center"/>
            <w:hideMark/>
          </w:tcPr>
          <w:p w:rsidR="00B72FA3" w:rsidRPr="003E68A5" w:rsidRDefault="00B72FA3" w:rsidP="008640E9">
            <w:pPr>
              <w:spacing w:before="0" w:after="0"/>
              <w:jc w:val="right"/>
              <w:rPr>
                <w:b/>
                <w:bCs/>
                <w:color w:val="000000"/>
                <w:sz w:val="20"/>
                <w:szCs w:val="20"/>
              </w:rPr>
            </w:pPr>
            <w:r w:rsidRPr="003E68A5">
              <w:rPr>
                <w:b/>
                <w:bCs/>
                <w:color w:val="000000"/>
                <w:sz w:val="20"/>
                <w:szCs w:val="20"/>
              </w:rPr>
              <w:t>442.0</w:t>
            </w:r>
          </w:p>
        </w:tc>
      </w:tr>
      <w:tr w:rsidR="00B72FA3" w:rsidRPr="003E68A5" w:rsidTr="00B72FA3">
        <w:trPr>
          <w:trHeight w:val="300"/>
        </w:trPr>
        <w:tc>
          <w:tcPr>
            <w:tcW w:w="6843" w:type="dxa"/>
            <w:tcBorders>
              <w:top w:val="nil"/>
              <w:left w:val="nil"/>
              <w:bottom w:val="single" w:sz="8" w:space="0" w:color="000000"/>
              <w:right w:val="nil"/>
            </w:tcBorders>
            <w:shd w:val="clear" w:color="auto" w:fill="auto"/>
            <w:vAlign w:val="center"/>
            <w:hideMark/>
          </w:tcPr>
          <w:p w:rsidR="00B72FA3" w:rsidRPr="003E68A5" w:rsidRDefault="00B72FA3" w:rsidP="00162864">
            <w:pPr>
              <w:spacing w:before="0" w:after="0"/>
              <w:ind w:firstLine="0"/>
              <w:rPr>
                <w:b/>
                <w:bCs/>
                <w:color w:val="000000"/>
                <w:sz w:val="20"/>
                <w:szCs w:val="20"/>
              </w:rPr>
            </w:pPr>
            <w:r>
              <w:rPr>
                <w:rFonts w:hint="eastAsia"/>
                <w:b/>
                <w:bCs/>
                <w:color w:val="000000"/>
                <w:sz w:val="20"/>
                <w:szCs w:val="20"/>
                <w:lang w:eastAsia="zh-CN"/>
              </w:rPr>
              <w:t>费用共计</w:t>
            </w:r>
            <w:r w:rsidRPr="003E68A5">
              <w:rPr>
                <w:b/>
                <w:bCs/>
                <w:color w:val="000000"/>
                <w:sz w:val="20"/>
                <w:szCs w:val="20"/>
              </w:rPr>
              <w:t xml:space="preserve"> </w:t>
            </w:r>
            <w:r>
              <w:rPr>
                <w:b/>
                <w:bCs/>
                <w:color w:val="000000"/>
                <w:sz w:val="20"/>
                <w:szCs w:val="20"/>
              </w:rPr>
              <w:t>（</w:t>
            </w:r>
            <w:r>
              <w:rPr>
                <w:rFonts w:hint="eastAsia"/>
                <w:b/>
                <w:bCs/>
                <w:color w:val="000000"/>
                <w:sz w:val="20"/>
                <w:szCs w:val="20"/>
                <w:lang w:eastAsia="zh-CN"/>
              </w:rPr>
              <w:t>一</w:t>
            </w:r>
            <w:r w:rsidRPr="003E68A5">
              <w:rPr>
                <w:b/>
                <w:bCs/>
                <w:color w:val="000000"/>
                <w:sz w:val="20"/>
                <w:szCs w:val="20"/>
              </w:rPr>
              <w:t>+</w:t>
            </w:r>
            <w:r>
              <w:rPr>
                <w:rFonts w:hint="eastAsia"/>
                <w:b/>
                <w:bCs/>
                <w:color w:val="000000"/>
                <w:sz w:val="20"/>
                <w:szCs w:val="20"/>
                <w:lang w:eastAsia="zh-CN"/>
              </w:rPr>
              <w:t>二</w:t>
            </w:r>
            <w:r>
              <w:rPr>
                <w:b/>
                <w:bCs/>
                <w:color w:val="000000"/>
                <w:sz w:val="20"/>
                <w:szCs w:val="20"/>
              </w:rPr>
              <w:t>）</w:t>
            </w:r>
          </w:p>
        </w:tc>
        <w:tc>
          <w:tcPr>
            <w:tcW w:w="1797" w:type="dxa"/>
            <w:tcBorders>
              <w:top w:val="nil"/>
              <w:left w:val="nil"/>
              <w:bottom w:val="single" w:sz="8" w:space="0" w:color="000000"/>
              <w:right w:val="nil"/>
            </w:tcBorders>
            <w:shd w:val="clear" w:color="auto" w:fill="auto"/>
            <w:vAlign w:val="center"/>
            <w:hideMark/>
          </w:tcPr>
          <w:p w:rsidR="00B72FA3" w:rsidRPr="003E68A5" w:rsidRDefault="00B72FA3" w:rsidP="008640E9">
            <w:pPr>
              <w:spacing w:before="0" w:after="0"/>
              <w:jc w:val="right"/>
              <w:rPr>
                <w:b/>
                <w:bCs/>
                <w:color w:val="000000"/>
                <w:sz w:val="20"/>
                <w:szCs w:val="20"/>
              </w:rPr>
            </w:pPr>
            <w:r w:rsidRPr="003E68A5">
              <w:rPr>
                <w:b/>
                <w:bCs/>
                <w:color w:val="000000"/>
                <w:sz w:val="20"/>
                <w:szCs w:val="20"/>
              </w:rPr>
              <w:t>3</w:t>
            </w:r>
            <w:r>
              <w:rPr>
                <w:b/>
                <w:bCs/>
                <w:color w:val="000000"/>
                <w:sz w:val="20"/>
                <w:szCs w:val="20"/>
              </w:rPr>
              <w:t xml:space="preserve"> </w:t>
            </w:r>
            <w:r w:rsidRPr="003E68A5">
              <w:rPr>
                <w:b/>
                <w:bCs/>
                <w:color w:val="000000"/>
                <w:sz w:val="20"/>
                <w:szCs w:val="20"/>
              </w:rPr>
              <w:t>842.0</w:t>
            </w:r>
          </w:p>
        </w:tc>
      </w:tr>
      <w:tr w:rsidR="00B72FA3" w:rsidRPr="003E68A5" w:rsidTr="00B72FA3">
        <w:trPr>
          <w:trHeight w:val="288"/>
        </w:trPr>
        <w:tc>
          <w:tcPr>
            <w:tcW w:w="6843" w:type="dxa"/>
            <w:tcBorders>
              <w:top w:val="nil"/>
              <w:left w:val="nil"/>
              <w:bottom w:val="nil"/>
              <w:right w:val="nil"/>
            </w:tcBorders>
            <w:shd w:val="clear" w:color="auto" w:fill="auto"/>
            <w:vAlign w:val="center"/>
            <w:hideMark/>
          </w:tcPr>
          <w:p w:rsidR="00B72FA3" w:rsidRPr="003E68A5" w:rsidRDefault="00B72FA3" w:rsidP="00162864">
            <w:pPr>
              <w:spacing w:before="0" w:after="0"/>
              <w:ind w:firstLine="0"/>
              <w:rPr>
                <w:color w:val="000000"/>
                <w:sz w:val="18"/>
                <w:szCs w:val="20"/>
                <w:lang w:eastAsia="zh-CN"/>
              </w:rPr>
            </w:pPr>
            <w:r w:rsidRPr="003E68A5">
              <w:rPr>
                <w:color w:val="000000"/>
                <w:sz w:val="18"/>
                <w:szCs w:val="20"/>
                <w:lang w:eastAsia="zh-CN"/>
              </w:rPr>
              <w:t xml:space="preserve">1/ </w:t>
            </w:r>
            <w:r>
              <w:rPr>
                <w:rFonts w:hint="eastAsia"/>
                <w:color w:val="000000"/>
                <w:sz w:val="18"/>
                <w:szCs w:val="20"/>
                <w:lang w:eastAsia="zh-CN"/>
              </w:rPr>
              <w:t>见缔约方大会</w:t>
            </w:r>
            <w:r>
              <w:rPr>
                <w:color w:val="000000"/>
                <w:sz w:val="18"/>
                <w:szCs w:val="20"/>
                <w:lang w:eastAsia="zh-CN"/>
              </w:rPr>
              <w:t>第</w:t>
            </w:r>
            <w:r>
              <w:rPr>
                <w:rFonts w:hint="eastAsia"/>
                <w:color w:val="000000"/>
                <w:sz w:val="18"/>
                <w:szCs w:val="20"/>
                <w:lang w:eastAsia="zh-CN"/>
              </w:rPr>
              <w:t>号</w:t>
            </w:r>
            <w:r>
              <w:rPr>
                <w:rFonts w:hint="eastAsia"/>
                <w:color w:val="000000"/>
                <w:sz w:val="18"/>
                <w:szCs w:val="20"/>
                <w:lang w:eastAsia="zh-CN"/>
              </w:rPr>
              <w:t>14</w:t>
            </w:r>
            <w:r>
              <w:rPr>
                <w:color w:val="000000"/>
                <w:sz w:val="18"/>
                <w:szCs w:val="20"/>
                <w:lang w:eastAsia="zh-CN"/>
              </w:rPr>
              <w:t>/37</w:t>
            </w:r>
            <w:r>
              <w:rPr>
                <w:color w:val="000000"/>
                <w:sz w:val="18"/>
                <w:szCs w:val="20"/>
                <w:lang w:eastAsia="zh-CN"/>
              </w:rPr>
              <w:t>决定草案第</w:t>
            </w:r>
            <w:r w:rsidRPr="003E68A5">
              <w:rPr>
                <w:color w:val="000000"/>
                <w:sz w:val="18"/>
                <w:szCs w:val="20"/>
                <w:lang w:eastAsia="zh-CN"/>
              </w:rPr>
              <w:t>44-46</w:t>
            </w:r>
            <w:r>
              <w:rPr>
                <w:rFonts w:hint="eastAsia"/>
                <w:color w:val="000000"/>
                <w:sz w:val="18"/>
                <w:szCs w:val="20"/>
                <w:lang w:eastAsia="zh-CN"/>
              </w:rPr>
              <w:t>段</w:t>
            </w:r>
            <w:r>
              <w:rPr>
                <w:color w:val="000000"/>
                <w:sz w:val="18"/>
                <w:szCs w:val="20"/>
                <w:lang w:eastAsia="zh-CN"/>
              </w:rPr>
              <w:t>。</w:t>
            </w:r>
          </w:p>
        </w:tc>
        <w:tc>
          <w:tcPr>
            <w:tcW w:w="1797" w:type="dxa"/>
            <w:tcBorders>
              <w:top w:val="nil"/>
              <w:left w:val="nil"/>
              <w:bottom w:val="nil"/>
              <w:right w:val="nil"/>
            </w:tcBorders>
            <w:shd w:val="clear" w:color="auto" w:fill="auto"/>
            <w:noWrap/>
            <w:vAlign w:val="center"/>
            <w:hideMark/>
          </w:tcPr>
          <w:p w:rsidR="00B72FA3" w:rsidRPr="003E68A5" w:rsidRDefault="00B72FA3" w:rsidP="008640E9">
            <w:pPr>
              <w:spacing w:before="0" w:after="0"/>
              <w:rPr>
                <w:color w:val="000000"/>
                <w:sz w:val="20"/>
                <w:szCs w:val="20"/>
                <w:lang w:eastAsia="zh-CN"/>
              </w:rPr>
            </w:pPr>
          </w:p>
        </w:tc>
      </w:tr>
      <w:tr w:rsidR="00B72FA3" w:rsidRPr="003E68A5" w:rsidTr="00B72FA3">
        <w:trPr>
          <w:trHeight w:val="432"/>
        </w:trPr>
        <w:tc>
          <w:tcPr>
            <w:tcW w:w="6843" w:type="dxa"/>
            <w:tcBorders>
              <w:top w:val="nil"/>
              <w:left w:val="nil"/>
              <w:bottom w:val="nil"/>
              <w:right w:val="nil"/>
            </w:tcBorders>
            <w:shd w:val="clear" w:color="auto" w:fill="auto"/>
            <w:vAlign w:val="center"/>
            <w:hideMark/>
          </w:tcPr>
          <w:p w:rsidR="00B72FA3" w:rsidRPr="003E68A5" w:rsidRDefault="00B72FA3" w:rsidP="00162864">
            <w:pPr>
              <w:spacing w:before="0" w:after="0"/>
              <w:ind w:firstLine="0"/>
              <w:rPr>
                <w:color w:val="000000"/>
                <w:sz w:val="18"/>
                <w:szCs w:val="20"/>
                <w:lang w:eastAsia="zh-CN"/>
              </w:rPr>
            </w:pPr>
            <w:r w:rsidRPr="003E68A5">
              <w:rPr>
                <w:color w:val="000000"/>
                <w:sz w:val="18"/>
                <w:szCs w:val="20"/>
                <w:lang w:eastAsia="zh-CN"/>
              </w:rPr>
              <w:t xml:space="preserve">2/ </w:t>
            </w:r>
            <w:r>
              <w:rPr>
                <w:rFonts w:hint="eastAsia"/>
                <w:color w:val="000000"/>
                <w:sz w:val="18"/>
                <w:szCs w:val="20"/>
                <w:lang w:eastAsia="zh-CN"/>
              </w:rPr>
              <w:t>欧洲联盟以及加拿大</w:t>
            </w:r>
            <w:r>
              <w:rPr>
                <w:color w:val="000000"/>
                <w:sz w:val="18"/>
                <w:szCs w:val="20"/>
                <w:lang w:eastAsia="zh-CN"/>
              </w:rPr>
              <w:t>、芬兰、德国、</w:t>
            </w:r>
            <w:r>
              <w:rPr>
                <w:rFonts w:hint="eastAsia"/>
                <w:color w:val="000000"/>
                <w:sz w:val="18"/>
                <w:szCs w:val="20"/>
                <w:lang w:eastAsia="zh-CN"/>
              </w:rPr>
              <w:t>日本</w:t>
            </w:r>
            <w:r>
              <w:rPr>
                <w:color w:val="000000"/>
                <w:sz w:val="18"/>
                <w:szCs w:val="20"/>
                <w:lang w:eastAsia="zh-CN"/>
              </w:rPr>
              <w:t>（日本生物多样性</w:t>
            </w:r>
            <w:r>
              <w:rPr>
                <w:rFonts w:hint="eastAsia"/>
                <w:color w:val="000000"/>
                <w:sz w:val="18"/>
                <w:szCs w:val="20"/>
                <w:lang w:eastAsia="zh-CN"/>
              </w:rPr>
              <w:t>基金</w:t>
            </w:r>
            <w:r>
              <w:rPr>
                <w:color w:val="000000"/>
                <w:sz w:val="18"/>
                <w:szCs w:val="20"/>
                <w:lang w:eastAsia="zh-CN"/>
              </w:rPr>
              <w:t>）挪威</w:t>
            </w:r>
            <w:r>
              <w:rPr>
                <w:rFonts w:hint="eastAsia"/>
                <w:color w:val="000000"/>
                <w:sz w:val="18"/>
                <w:szCs w:val="20"/>
                <w:lang w:eastAsia="zh-CN"/>
              </w:rPr>
              <w:t>、</w:t>
            </w:r>
            <w:r>
              <w:rPr>
                <w:color w:val="000000"/>
                <w:sz w:val="18"/>
                <w:szCs w:val="20"/>
                <w:lang w:eastAsia="zh-CN"/>
              </w:rPr>
              <w:t>南非和联合王国政府的初步认捐。</w:t>
            </w:r>
          </w:p>
        </w:tc>
        <w:tc>
          <w:tcPr>
            <w:tcW w:w="1797" w:type="dxa"/>
            <w:tcBorders>
              <w:top w:val="nil"/>
              <w:left w:val="nil"/>
              <w:bottom w:val="nil"/>
              <w:right w:val="nil"/>
            </w:tcBorders>
            <w:shd w:val="clear" w:color="auto" w:fill="auto"/>
            <w:noWrap/>
            <w:vAlign w:val="center"/>
            <w:hideMark/>
          </w:tcPr>
          <w:p w:rsidR="00B72FA3" w:rsidRPr="003E68A5" w:rsidRDefault="00B72FA3" w:rsidP="008640E9">
            <w:pPr>
              <w:spacing w:before="0" w:after="0"/>
              <w:rPr>
                <w:color w:val="000000"/>
                <w:sz w:val="20"/>
                <w:szCs w:val="20"/>
                <w:lang w:eastAsia="zh-CN"/>
              </w:rPr>
            </w:pPr>
          </w:p>
        </w:tc>
      </w:tr>
      <w:tr w:rsidR="00B72FA3" w:rsidRPr="003E68A5" w:rsidTr="00B72FA3">
        <w:trPr>
          <w:trHeight w:val="288"/>
        </w:trPr>
        <w:tc>
          <w:tcPr>
            <w:tcW w:w="6843" w:type="dxa"/>
            <w:tcBorders>
              <w:top w:val="nil"/>
              <w:left w:val="nil"/>
              <w:bottom w:val="nil"/>
              <w:right w:val="nil"/>
            </w:tcBorders>
            <w:shd w:val="clear" w:color="auto" w:fill="auto"/>
            <w:vAlign w:val="center"/>
            <w:hideMark/>
          </w:tcPr>
          <w:p w:rsidR="00B72FA3" w:rsidRPr="003E68A5" w:rsidRDefault="00B72FA3" w:rsidP="008640E9">
            <w:pPr>
              <w:spacing w:before="0" w:after="0"/>
              <w:rPr>
                <w:color w:val="000000"/>
                <w:sz w:val="18"/>
                <w:szCs w:val="20"/>
                <w:lang w:eastAsia="zh-CN"/>
              </w:rPr>
            </w:pPr>
          </w:p>
        </w:tc>
        <w:tc>
          <w:tcPr>
            <w:tcW w:w="1797" w:type="dxa"/>
            <w:tcBorders>
              <w:top w:val="nil"/>
              <w:left w:val="nil"/>
              <w:bottom w:val="nil"/>
              <w:right w:val="nil"/>
            </w:tcBorders>
            <w:shd w:val="clear" w:color="auto" w:fill="auto"/>
            <w:noWrap/>
            <w:vAlign w:val="center"/>
            <w:hideMark/>
          </w:tcPr>
          <w:p w:rsidR="00B72FA3" w:rsidRPr="003E68A5" w:rsidRDefault="00B72FA3" w:rsidP="008640E9">
            <w:pPr>
              <w:spacing w:before="0" w:after="0"/>
              <w:rPr>
                <w:color w:val="000000"/>
                <w:sz w:val="20"/>
                <w:szCs w:val="20"/>
                <w:lang w:eastAsia="zh-CN"/>
              </w:rPr>
            </w:pPr>
          </w:p>
        </w:tc>
      </w:tr>
    </w:tbl>
    <w:p w:rsidR="00B72FA3" w:rsidRPr="00421205" w:rsidRDefault="00B72FA3" w:rsidP="00162864">
      <w:pPr>
        <w:shd w:val="clear" w:color="auto" w:fill="FFFFFF" w:themeFill="background1"/>
        <w:tabs>
          <w:tab w:val="left" w:pos="1620"/>
        </w:tabs>
        <w:adjustRightInd w:val="0"/>
        <w:snapToGrid w:val="0"/>
        <w:spacing w:before="0"/>
        <w:ind w:left="1627" w:right="1570" w:hanging="907"/>
        <w:rPr>
          <w:b/>
          <w:bCs/>
          <w:iCs/>
          <w:color w:val="000000"/>
          <w:kern w:val="18"/>
          <w:lang w:val="de-CH" w:eastAsia="zh-CN"/>
        </w:rPr>
      </w:pPr>
      <w:r w:rsidRPr="00421205">
        <w:rPr>
          <w:rFonts w:hint="eastAsia"/>
          <w:b/>
          <w:bCs/>
          <w:iCs/>
          <w:color w:val="000000"/>
          <w:kern w:val="18"/>
          <w:lang w:val="de-CH" w:eastAsia="zh-CN"/>
        </w:rPr>
        <w:t>表</w:t>
      </w:r>
      <w:r>
        <w:rPr>
          <w:b/>
          <w:bCs/>
          <w:iCs/>
          <w:color w:val="000000"/>
          <w:kern w:val="18"/>
          <w:lang w:val="de-CH" w:eastAsia="zh-CN"/>
        </w:rPr>
        <w:t xml:space="preserve">5.   </w:t>
      </w:r>
      <w:r>
        <w:rPr>
          <w:b/>
          <w:bCs/>
          <w:iCs/>
          <w:color w:val="000000"/>
          <w:kern w:val="18"/>
          <w:lang w:val="de-CH" w:eastAsia="zh-CN"/>
        </w:rPr>
        <w:tab/>
      </w:r>
      <w:r w:rsidRPr="003E68A5">
        <w:rPr>
          <w:rFonts w:hint="eastAsia"/>
          <w:b/>
          <w:bCs/>
          <w:iCs/>
          <w:color w:val="000000"/>
          <w:kern w:val="18"/>
          <w:lang w:val="de-CH" w:eastAsia="zh-CN"/>
        </w:rPr>
        <w:t>便利</w:t>
      </w:r>
      <w:r w:rsidRPr="003E68A5">
        <w:rPr>
          <w:b/>
          <w:bCs/>
          <w:iCs/>
          <w:color w:val="000000"/>
          <w:kern w:val="18"/>
          <w:lang w:val="de-CH" w:eastAsia="zh-CN"/>
        </w:rPr>
        <w:t>土著人民和地方社区参与</w:t>
      </w:r>
      <w:r w:rsidRPr="003E68A5">
        <w:rPr>
          <w:rFonts w:hint="eastAsia"/>
          <w:b/>
          <w:bCs/>
          <w:iCs/>
          <w:color w:val="000000"/>
          <w:kern w:val="18"/>
          <w:lang w:val="de-CH" w:eastAsia="zh-CN"/>
        </w:rPr>
        <w:t>《公约》及其</w:t>
      </w:r>
      <w:r w:rsidRPr="003E68A5">
        <w:rPr>
          <w:b/>
          <w:bCs/>
          <w:iCs/>
          <w:color w:val="000000"/>
          <w:kern w:val="18"/>
          <w:lang w:val="de-CH" w:eastAsia="zh-CN"/>
        </w:rPr>
        <w:t>《议定书</w:t>
      </w:r>
      <w:r w:rsidRPr="003E68A5">
        <w:rPr>
          <w:rFonts w:hint="eastAsia"/>
          <w:b/>
          <w:bCs/>
          <w:iCs/>
          <w:color w:val="000000"/>
          <w:kern w:val="18"/>
          <w:lang w:val="de-CH" w:eastAsia="zh-CN"/>
        </w:rPr>
        <w:t>》</w:t>
      </w:r>
      <w:r w:rsidRPr="003E68A5">
        <w:rPr>
          <w:b/>
          <w:bCs/>
          <w:iCs/>
          <w:color w:val="000000"/>
          <w:kern w:val="18"/>
          <w:lang w:val="de-CH" w:eastAsia="zh-CN"/>
        </w:rPr>
        <w:t>进程</w:t>
      </w:r>
      <w:r w:rsidRPr="003E68A5">
        <w:rPr>
          <w:rFonts w:hint="eastAsia"/>
          <w:b/>
          <w:bCs/>
          <w:iCs/>
          <w:color w:val="000000"/>
          <w:kern w:val="18"/>
          <w:lang w:val="de-CH" w:eastAsia="zh-CN"/>
        </w:rPr>
        <w:t>特别</w:t>
      </w:r>
      <w:r w:rsidRPr="003E68A5">
        <w:rPr>
          <w:b/>
          <w:bCs/>
          <w:iCs/>
          <w:color w:val="000000"/>
          <w:kern w:val="18"/>
          <w:lang w:val="de-CH" w:eastAsia="zh-CN"/>
        </w:rPr>
        <w:t>自愿</w:t>
      </w:r>
      <w:r w:rsidRPr="003E68A5">
        <w:rPr>
          <w:rFonts w:hint="eastAsia"/>
          <w:b/>
          <w:bCs/>
          <w:iCs/>
          <w:color w:val="000000"/>
          <w:kern w:val="18"/>
          <w:lang w:val="de-CH" w:eastAsia="zh-CN"/>
        </w:rPr>
        <w:t>信托基金</w:t>
      </w:r>
      <w:r>
        <w:rPr>
          <w:b/>
          <w:bCs/>
          <w:iCs/>
          <w:color w:val="000000"/>
          <w:kern w:val="18"/>
          <w:lang w:val="de-CH" w:eastAsia="zh-CN"/>
        </w:rPr>
        <w:t>（</w:t>
      </w:r>
      <w:r w:rsidRPr="00421205">
        <w:rPr>
          <w:b/>
          <w:bCs/>
          <w:iCs/>
          <w:color w:val="000000"/>
          <w:kern w:val="18"/>
          <w:lang w:val="de-CH" w:eastAsia="zh-CN"/>
        </w:rPr>
        <w:t>VB</w:t>
      </w:r>
      <w:r>
        <w:rPr>
          <w:rFonts w:hint="eastAsia"/>
          <w:b/>
          <w:bCs/>
          <w:iCs/>
          <w:color w:val="000000"/>
          <w:kern w:val="18"/>
          <w:lang w:val="de-CH" w:eastAsia="zh-CN"/>
        </w:rPr>
        <w:t>）</w:t>
      </w:r>
      <w:r w:rsidRPr="00421205">
        <w:rPr>
          <w:b/>
          <w:bCs/>
          <w:iCs/>
          <w:color w:val="000000"/>
          <w:kern w:val="18"/>
          <w:lang w:val="de-CH" w:eastAsia="zh-CN"/>
        </w:rPr>
        <w:t>2019-2020</w:t>
      </w:r>
      <w:r w:rsidRPr="00421205">
        <w:rPr>
          <w:rFonts w:hint="eastAsia"/>
          <w:b/>
          <w:bCs/>
          <w:iCs/>
          <w:color w:val="000000"/>
          <w:kern w:val="18"/>
          <w:lang w:val="de-CH" w:eastAsia="zh-CN"/>
        </w:rPr>
        <w:t>年期间资源</w:t>
      </w:r>
      <w:r w:rsidRPr="00421205">
        <w:rPr>
          <w:b/>
          <w:bCs/>
          <w:iCs/>
          <w:color w:val="000000"/>
          <w:kern w:val="18"/>
          <w:lang w:val="de-CH" w:eastAsia="zh-CN"/>
        </w:rPr>
        <w:t>需求</w:t>
      </w:r>
    </w:p>
    <w:tbl>
      <w:tblPr>
        <w:tblW w:w="7560" w:type="dxa"/>
        <w:jc w:val="center"/>
        <w:tblBorders>
          <w:top w:val="nil"/>
          <w:left w:val="nil"/>
          <w:bottom w:val="nil"/>
          <w:right w:val="nil"/>
        </w:tblBorders>
        <w:tblLayout w:type="fixed"/>
        <w:tblLook w:val="0000"/>
      </w:tblPr>
      <w:tblGrid>
        <w:gridCol w:w="5400"/>
        <w:gridCol w:w="2160"/>
      </w:tblGrid>
      <w:tr w:rsidR="00B72FA3" w:rsidRPr="003E68A5" w:rsidTr="00B72FA3">
        <w:trPr>
          <w:trHeight w:val="133"/>
          <w:jc w:val="center"/>
        </w:trPr>
        <w:tc>
          <w:tcPr>
            <w:tcW w:w="5400" w:type="dxa"/>
            <w:tcBorders>
              <w:top w:val="single" w:sz="8" w:space="0" w:color="000000"/>
              <w:left w:val="nil"/>
              <w:bottom w:val="nil"/>
              <w:right w:val="nil"/>
            </w:tcBorders>
          </w:tcPr>
          <w:p w:rsidR="00B72FA3" w:rsidRPr="003E68A5" w:rsidRDefault="00B72FA3" w:rsidP="00162864">
            <w:pPr>
              <w:pStyle w:val="Default"/>
              <w:spacing w:before="0" w:after="0"/>
              <w:ind w:firstLine="0"/>
              <w:jc w:val="center"/>
              <w:rPr>
                <w:rFonts w:ascii="KaiTi" w:eastAsia="KaiTi" w:hAnsi="KaiTi"/>
                <w:iCs/>
                <w:sz w:val="20"/>
                <w:szCs w:val="20"/>
                <w:lang w:eastAsia="zh-CN"/>
              </w:rPr>
            </w:pPr>
            <w:r>
              <w:rPr>
                <w:rFonts w:ascii="KaiTi" w:eastAsia="KaiTi" w:hAnsi="KaiTi" w:hint="eastAsia"/>
                <w:iCs/>
                <w:sz w:val="20"/>
                <w:szCs w:val="20"/>
                <w:lang w:eastAsia="zh-CN"/>
              </w:rPr>
              <w:t>说明</w:t>
            </w:r>
          </w:p>
        </w:tc>
        <w:tc>
          <w:tcPr>
            <w:tcW w:w="2160" w:type="dxa"/>
            <w:tcBorders>
              <w:top w:val="single" w:sz="8" w:space="0" w:color="000000"/>
              <w:left w:val="nil"/>
              <w:bottom w:val="nil"/>
              <w:right w:val="nil"/>
            </w:tcBorders>
          </w:tcPr>
          <w:p w:rsidR="00B72FA3" w:rsidRPr="003E68A5" w:rsidRDefault="00B72FA3" w:rsidP="008640E9">
            <w:pPr>
              <w:pStyle w:val="Default"/>
              <w:spacing w:before="0" w:after="0"/>
              <w:jc w:val="center"/>
              <w:rPr>
                <w:rFonts w:ascii="KaiTi" w:eastAsia="KaiTi" w:hAnsi="KaiTi"/>
                <w:iCs/>
                <w:sz w:val="20"/>
                <w:szCs w:val="20"/>
                <w:lang w:eastAsia="zh-CN"/>
              </w:rPr>
            </w:pPr>
            <w:r w:rsidRPr="003E68A5">
              <w:rPr>
                <w:rFonts w:ascii="KaiTi" w:eastAsia="KaiTi" w:hAnsi="KaiTi"/>
                <w:iCs/>
                <w:sz w:val="20"/>
                <w:szCs w:val="20"/>
              </w:rPr>
              <w:t>2019-2020</w:t>
            </w:r>
            <w:r>
              <w:rPr>
                <w:rFonts w:ascii="KaiTi" w:eastAsia="KaiTi" w:hAnsi="KaiTi" w:hint="eastAsia"/>
                <w:iCs/>
                <w:sz w:val="20"/>
                <w:szCs w:val="20"/>
                <w:lang w:eastAsia="zh-CN"/>
              </w:rPr>
              <w:t>年</w:t>
            </w:r>
          </w:p>
        </w:tc>
      </w:tr>
      <w:tr w:rsidR="00B72FA3" w:rsidRPr="003E68A5" w:rsidTr="00B72FA3">
        <w:trPr>
          <w:trHeight w:val="151"/>
          <w:jc w:val="center"/>
        </w:trPr>
        <w:tc>
          <w:tcPr>
            <w:tcW w:w="5400" w:type="dxa"/>
            <w:tcBorders>
              <w:top w:val="nil"/>
              <w:bottom w:val="nil"/>
            </w:tcBorders>
          </w:tcPr>
          <w:p w:rsidR="00B72FA3" w:rsidRPr="003E68A5" w:rsidRDefault="00B72FA3" w:rsidP="008640E9">
            <w:pPr>
              <w:pStyle w:val="Default"/>
              <w:spacing w:before="0" w:after="0"/>
              <w:rPr>
                <w:rFonts w:ascii="KaiTi" w:eastAsia="KaiTi" w:hAnsi="KaiTi"/>
                <w:sz w:val="20"/>
                <w:szCs w:val="20"/>
              </w:rPr>
            </w:pPr>
          </w:p>
        </w:tc>
        <w:tc>
          <w:tcPr>
            <w:tcW w:w="2160" w:type="dxa"/>
            <w:tcBorders>
              <w:top w:val="nil"/>
              <w:bottom w:val="nil"/>
            </w:tcBorders>
          </w:tcPr>
          <w:p w:rsidR="00B72FA3" w:rsidRPr="003E68A5" w:rsidRDefault="00B72FA3" w:rsidP="008640E9">
            <w:pPr>
              <w:pStyle w:val="Default"/>
              <w:spacing w:before="0" w:after="0"/>
              <w:jc w:val="center"/>
              <w:rPr>
                <w:rFonts w:ascii="KaiTi" w:eastAsia="KaiTi" w:hAnsi="KaiTi"/>
                <w:iCs/>
                <w:sz w:val="20"/>
                <w:szCs w:val="20"/>
              </w:rPr>
            </w:pPr>
            <w:r>
              <w:rPr>
                <w:rFonts w:ascii="KaiTi" w:eastAsia="KaiTi" w:hAnsi="KaiTi"/>
                <w:iCs/>
                <w:sz w:val="20"/>
                <w:szCs w:val="20"/>
              </w:rPr>
              <w:t>（</w:t>
            </w:r>
            <w:r>
              <w:rPr>
                <w:rFonts w:ascii="KaiTi" w:eastAsia="KaiTi" w:hAnsi="KaiTi" w:hint="eastAsia"/>
                <w:iCs/>
                <w:sz w:val="20"/>
                <w:szCs w:val="20"/>
                <w:lang w:eastAsia="zh-CN"/>
              </w:rPr>
              <w:t>千美元</w:t>
            </w:r>
            <w:r>
              <w:rPr>
                <w:rFonts w:ascii="KaiTi" w:eastAsia="KaiTi" w:hAnsi="KaiTi"/>
                <w:iCs/>
                <w:sz w:val="20"/>
                <w:szCs w:val="20"/>
              </w:rPr>
              <w:t>）</w:t>
            </w:r>
          </w:p>
        </w:tc>
      </w:tr>
      <w:tr w:rsidR="00B72FA3" w:rsidRPr="003E68A5" w:rsidTr="00B72FA3">
        <w:trPr>
          <w:trHeight w:val="150"/>
          <w:jc w:val="center"/>
        </w:trPr>
        <w:tc>
          <w:tcPr>
            <w:tcW w:w="5400" w:type="dxa"/>
            <w:tcBorders>
              <w:top w:val="single" w:sz="8" w:space="0" w:color="000000"/>
            </w:tcBorders>
          </w:tcPr>
          <w:p w:rsidR="00B72FA3" w:rsidRPr="003E68A5" w:rsidRDefault="00B72FA3" w:rsidP="00162864">
            <w:pPr>
              <w:pStyle w:val="Default"/>
              <w:spacing w:before="0" w:after="0"/>
              <w:ind w:hanging="18"/>
              <w:rPr>
                <w:b/>
                <w:sz w:val="20"/>
                <w:szCs w:val="20"/>
              </w:rPr>
            </w:pPr>
            <w:r>
              <w:rPr>
                <w:rFonts w:hint="eastAsia"/>
                <w:b/>
                <w:bCs/>
                <w:sz w:val="20"/>
                <w:szCs w:val="20"/>
                <w:lang w:eastAsia="zh-CN"/>
              </w:rPr>
              <w:t>一</w:t>
            </w:r>
            <w:r w:rsidRPr="003E68A5">
              <w:rPr>
                <w:b/>
                <w:bCs/>
                <w:sz w:val="20"/>
                <w:szCs w:val="20"/>
              </w:rPr>
              <w:t xml:space="preserve">.  </w:t>
            </w:r>
            <w:r>
              <w:rPr>
                <w:rFonts w:hint="eastAsia"/>
                <w:b/>
                <w:bCs/>
                <w:sz w:val="20"/>
                <w:szCs w:val="20"/>
                <w:lang w:eastAsia="zh-CN"/>
              </w:rPr>
              <w:t>会议：</w:t>
            </w:r>
          </w:p>
        </w:tc>
        <w:tc>
          <w:tcPr>
            <w:tcW w:w="2160" w:type="dxa"/>
            <w:tcBorders>
              <w:top w:val="single" w:sz="8" w:space="0" w:color="000000"/>
            </w:tcBorders>
          </w:tcPr>
          <w:p w:rsidR="00B72FA3" w:rsidRPr="003E68A5" w:rsidRDefault="00B72FA3" w:rsidP="008640E9">
            <w:pPr>
              <w:pStyle w:val="Default"/>
              <w:spacing w:before="0" w:after="0"/>
              <w:jc w:val="right"/>
              <w:rPr>
                <w:sz w:val="20"/>
                <w:szCs w:val="20"/>
              </w:rPr>
            </w:pPr>
          </w:p>
        </w:tc>
      </w:tr>
      <w:tr w:rsidR="00B72FA3" w:rsidRPr="003E68A5" w:rsidTr="00B72FA3">
        <w:trPr>
          <w:trHeight w:val="132"/>
          <w:jc w:val="center"/>
        </w:trPr>
        <w:tc>
          <w:tcPr>
            <w:tcW w:w="5400" w:type="dxa"/>
            <w:tcBorders>
              <w:bottom w:val="single" w:sz="8" w:space="0" w:color="000000"/>
            </w:tcBorders>
            <w:vAlign w:val="center"/>
          </w:tcPr>
          <w:p w:rsidR="00B72FA3" w:rsidRPr="003E68A5" w:rsidRDefault="00B72FA3" w:rsidP="00162864">
            <w:pPr>
              <w:pStyle w:val="Default"/>
              <w:spacing w:before="0" w:after="0"/>
              <w:ind w:hanging="18"/>
              <w:rPr>
                <w:sz w:val="20"/>
                <w:szCs w:val="20"/>
                <w:lang w:eastAsia="zh-CN"/>
              </w:rPr>
            </w:pPr>
            <w:r>
              <w:rPr>
                <w:rFonts w:hint="eastAsia"/>
                <w:sz w:val="20"/>
                <w:szCs w:val="20"/>
                <w:lang w:eastAsia="zh-CN"/>
              </w:rPr>
              <w:t>对土著人民</w:t>
            </w:r>
            <w:r>
              <w:rPr>
                <w:sz w:val="20"/>
                <w:szCs w:val="20"/>
                <w:lang w:eastAsia="zh-CN"/>
              </w:rPr>
              <w:t>和地方社区的支助</w:t>
            </w:r>
          </w:p>
        </w:tc>
        <w:tc>
          <w:tcPr>
            <w:tcW w:w="2160" w:type="dxa"/>
            <w:tcBorders>
              <w:bottom w:val="single" w:sz="8" w:space="0" w:color="000000"/>
            </w:tcBorders>
            <w:vAlign w:val="center"/>
          </w:tcPr>
          <w:p w:rsidR="00B72FA3" w:rsidRPr="003E68A5" w:rsidRDefault="00B72FA3" w:rsidP="008640E9">
            <w:pPr>
              <w:pStyle w:val="Default"/>
              <w:spacing w:before="0" w:after="0"/>
              <w:ind w:right="498"/>
              <w:jc w:val="right"/>
              <w:rPr>
                <w:sz w:val="20"/>
                <w:szCs w:val="20"/>
              </w:rPr>
            </w:pPr>
            <w:r w:rsidRPr="003E68A5">
              <w:rPr>
                <w:sz w:val="20"/>
                <w:szCs w:val="20"/>
              </w:rPr>
              <w:t>500.0</w:t>
            </w:r>
          </w:p>
        </w:tc>
      </w:tr>
      <w:tr w:rsidR="00B72FA3" w:rsidRPr="003E68A5" w:rsidTr="00B72FA3">
        <w:trPr>
          <w:trHeight w:val="132"/>
          <w:jc w:val="center"/>
        </w:trPr>
        <w:tc>
          <w:tcPr>
            <w:tcW w:w="5400" w:type="dxa"/>
            <w:tcBorders>
              <w:top w:val="single" w:sz="8" w:space="0" w:color="000000"/>
              <w:bottom w:val="single" w:sz="8" w:space="0" w:color="000000"/>
            </w:tcBorders>
            <w:vAlign w:val="center"/>
          </w:tcPr>
          <w:p w:rsidR="00B72FA3" w:rsidRPr="003E68A5" w:rsidRDefault="00B72FA3" w:rsidP="00162864">
            <w:pPr>
              <w:pStyle w:val="Default"/>
              <w:spacing w:before="0" w:after="0"/>
              <w:ind w:hanging="18"/>
              <w:rPr>
                <w:sz w:val="20"/>
                <w:szCs w:val="20"/>
                <w:lang w:eastAsia="zh-CN"/>
              </w:rPr>
            </w:pPr>
            <w:r>
              <w:rPr>
                <w:rFonts w:hint="eastAsia"/>
                <w:b/>
                <w:bCs/>
                <w:sz w:val="20"/>
                <w:szCs w:val="20"/>
                <w:lang w:eastAsia="zh-CN"/>
              </w:rPr>
              <w:t>小计</w:t>
            </w:r>
          </w:p>
        </w:tc>
        <w:tc>
          <w:tcPr>
            <w:tcW w:w="2160" w:type="dxa"/>
            <w:tcBorders>
              <w:top w:val="single" w:sz="8" w:space="0" w:color="000000"/>
              <w:bottom w:val="single" w:sz="8" w:space="0" w:color="000000"/>
            </w:tcBorders>
            <w:vAlign w:val="center"/>
          </w:tcPr>
          <w:p w:rsidR="00B72FA3" w:rsidRPr="003E68A5" w:rsidRDefault="00B72FA3" w:rsidP="008640E9">
            <w:pPr>
              <w:pStyle w:val="Default"/>
              <w:spacing w:before="0" w:after="0"/>
              <w:ind w:right="498"/>
              <w:jc w:val="right"/>
              <w:rPr>
                <w:sz w:val="20"/>
                <w:szCs w:val="20"/>
              </w:rPr>
            </w:pPr>
            <w:r w:rsidRPr="003E68A5">
              <w:rPr>
                <w:b/>
                <w:bCs/>
                <w:sz w:val="20"/>
                <w:szCs w:val="20"/>
              </w:rPr>
              <w:t>500.0</w:t>
            </w:r>
          </w:p>
        </w:tc>
      </w:tr>
      <w:tr w:rsidR="00B72FA3" w:rsidRPr="003E68A5" w:rsidTr="00B72FA3">
        <w:trPr>
          <w:trHeight w:val="132"/>
          <w:jc w:val="center"/>
        </w:trPr>
        <w:tc>
          <w:tcPr>
            <w:tcW w:w="5400" w:type="dxa"/>
            <w:tcBorders>
              <w:top w:val="single" w:sz="8" w:space="0" w:color="000000"/>
              <w:bottom w:val="single" w:sz="8" w:space="0" w:color="000000"/>
            </w:tcBorders>
            <w:vAlign w:val="center"/>
          </w:tcPr>
          <w:p w:rsidR="00B72FA3" w:rsidRPr="003E68A5" w:rsidRDefault="00B72FA3" w:rsidP="00162864">
            <w:pPr>
              <w:pStyle w:val="Default"/>
              <w:spacing w:before="0" w:after="0"/>
              <w:ind w:hanging="18"/>
              <w:rPr>
                <w:b/>
                <w:bCs/>
                <w:sz w:val="20"/>
                <w:szCs w:val="20"/>
              </w:rPr>
            </w:pPr>
            <w:r>
              <w:rPr>
                <w:rFonts w:hint="eastAsia"/>
                <w:b/>
                <w:bCs/>
                <w:sz w:val="20"/>
                <w:szCs w:val="20"/>
                <w:lang w:eastAsia="zh-CN"/>
              </w:rPr>
              <w:t>二</w:t>
            </w:r>
            <w:r w:rsidRPr="003E68A5">
              <w:rPr>
                <w:b/>
                <w:bCs/>
                <w:sz w:val="20"/>
                <w:szCs w:val="20"/>
              </w:rPr>
              <w:t xml:space="preserve">. </w:t>
            </w:r>
            <w:r>
              <w:rPr>
                <w:rFonts w:hint="eastAsia"/>
                <w:b/>
                <w:bCs/>
                <w:sz w:val="20"/>
                <w:szCs w:val="20"/>
                <w:lang w:eastAsia="zh-CN"/>
              </w:rPr>
              <w:t>方案支助费用</w:t>
            </w:r>
          </w:p>
        </w:tc>
        <w:tc>
          <w:tcPr>
            <w:tcW w:w="2160" w:type="dxa"/>
            <w:tcBorders>
              <w:top w:val="single" w:sz="8" w:space="0" w:color="000000"/>
              <w:bottom w:val="single" w:sz="8" w:space="0" w:color="000000"/>
            </w:tcBorders>
            <w:vAlign w:val="center"/>
          </w:tcPr>
          <w:p w:rsidR="00B72FA3" w:rsidRPr="003E68A5" w:rsidRDefault="00B72FA3" w:rsidP="008640E9">
            <w:pPr>
              <w:pStyle w:val="Default"/>
              <w:spacing w:before="0" w:after="0"/>
              <w:ind w:right="498"/>
              <w:jc w:val="right"/>
              <w:rPr>
                <w:b/>
                <w:bCs/>
                <w:sz w:val="20"/>
                <w:szCs w:val="20"/>
              </w:rPr>
            </w:pPr>
            <w:r w:rsidRPr="003E68A5">
              <w:rPr>
                <w:b/>
                <w:bCs/>
                <w:sz w:val="20"/>
                <w:szCs w:val="20"/>
              </w:rPr>
              <w:t>65.0</w:t>
            </w:r>
          </w:p>
        </w:tc>
      </w:tr>
      <w:tr w:rsidR="00B72FA3" w:rsidRPr="003E68A5" w:rsidTr="00B72FA3">
        <w:trPr>
          <w:trHeight w:val="132"/>
          <w:jc w:val="center"/>
        </w:trPr>
        <w:tc>
          <w:tcPr>
            <w:tcW w:w="5400" w:type="dxa"/>
            <w:tcBorders>
              <w:top w:val="single" w:sz="8" w:space="0" w:color="000000"/>
              <w:bottom w:val="single" w:sz="8" w:space="0" w:color="000000"/>
            </w:tcBorders>
            <w:vAlign w:val="center"/>
          </w:tcPr>
          <w:p w:rsidR="00B72FA3" w:rsidRPr="003E68A5" w:rsidRDefault="00B72FA3" w:rsidP="00162864">
            <w:pPr>
              <w:pStyle w:val="Default"/>
              <w:spacing w:before="0" w:after="0"/>
              <w:ind w:hanging="18"/>
              <w:rPr>
                <w:b/>
                <w:bCs/>
                <w:sz w:val="20"/>
                <w:szCs w:val="20"/>
              </w:rPr>
            </w:pPr>
            <w:r>
              <w:rPr>
                <w:rFonts w:hint="eastAsia"/>
                <w:b/>
                <w:bCs/>
                <w:sz w:val="20"/>
                <w:szCs w:val="20"/>
                <w:lang w:eastAsia="zh-CN"/>
              </w:rPr>
              <w:t>费用</w:t>
            </w:r>
            <w:r>
              <w:rPr>
                <w:b/>
                <w:bCs/>
                <w:sz w:val="20"/>
                <w:szCs w:val="20"/>
                <w:lang w:eastAsia="zh-CN"/>
              </w:rPr>
              <w:t>总额</w:t>
            </w:r>
            <w:r w:rsidRPr="003E68A5">
              <w:rPr>
                <w:b/>
                <w:bCs/>
                <w:sz w:val="20"/>
                <w:szCs w:val="20"/>
              </w:rPr>
              <w:t xml:space="preserve"> </w:t>
            </w:r>
            <w:r>
              <w:rPr>
                <w:b/>
                <w:bCs/>
                <w:sz w:val="20"/>
                <w:szCs w:val="20"/>
              </w:rPr>
              <w:t>（</w:t>
            </w:r>
            <w:r>
              <w:rPr>
                <w:rFonts w:hint="eastAsia"/>
                <w:b/>
                <w:bCs/>
                <w:sz w:val="20"/>
                <w:szCs w:val="20"/>
                <w:lang w:eastAsia="zh-CN"/>
              </w:rPr>
              <w:t>一</w:t>
            </w:r>
            <w:r w:rsidRPr="003E68A5">
              <w:rPr>
                <w:b/>
                <w:bCs/>
                <w:sz w:val="20"/>
                <w:szCs w:val="20"/>
              </w:rPr>
              <w:t>+</w:t>
            </w:r>
            <w:r>
              <w:rPr>
                <w:rFonts w:hint="eastAsia"/>
                <w:b/>
                <w:bCs/>
                <w:sz w:val="20"/>
                <w:szCs w:val="20"/>
                <w:lang w:eastAsia="zh-CN"/>
              </w:rPr>
              <w:t>二</w:t>
            </w:r>
            <w:r>
              <w:rPr>
                <w:b/>
                <w:bCs/>
                <w:sz w:val="20"/>
                <w:szCs w:val="20"/>
              </w:rPr>
              <w:t>）</w:t>
            </w:r>
          </w:p>
        </w:tc>
        <w:tc>
          <w:tcPr>
            <w:tcW w:w="2160" w:type="dxa"/>
            <w:tcBorders>
              <w:top w:val="single" w:sz="8" w:space="0" w:color="000000"/>
              <w:bottom w:val="single" w:sz="8" w:space="0" w:color="000000"/>
            </w:tcBorders>
            <w:vAlign w:val="center"/>
          </w:tcPr>
          <w:p w:rsidR="00B72FA3" w:rsidRPr="003E68A5" w:rsidRDefault="00B72FA3" w:rsidP="008640E9">
            <w:pPr>
              <w:pStyle w:val="Default"/>
              <w:spacing w:before="0" w:after="0"/>
              <w:ind w:right="498"/>
              <w:jc w:val="right"/>
              <w:rPr>
                <w:b/>
                <w:bCs/>
                <w:i/>
                <w:iCs/>
                <w:sz w:val="20"/>
                <w:szCs w:val="20"/>
              </w:rPr>
            </w:pPr>
            <w:r w:rsidRPr="003E68A5">
              <w:rPr>
                <w:b/>
                <w:bCs/>
                <w:sz w:val="20"/>
                <w:szCs w:val="20"/>
              </w:rPr>
              <w:t>565.0</w:t>
            </w:r>
          </w:p>
        </w:tc>
      </w:tr>
    </w:tbl>
    <w:p w:rsidR="00B72FA3" w:rsidRDefault="00B72FA3" w:rsidP="008640E9">
      <w:pPr>
        <w:spacing w:before="0" w:after="0"/>
        <w:ind w:left="2160" w:hanging="1440"/>
      </w:pPr>
    </w:p>
    <w:p w:rsidR="00B72FA3" w:rsidRDefault="00B72FA3" w:rsidP="00B72FA3">
      <w:pPr>
        <w:shd w:val="clear" w:color="auto" w:fill="FFFFFF" w:themeFill="background1"/>
        <w:tabs>
          <w:tab w:val="left" w:pos="1440"/>
        </w:tabs>
        <w:adjustRightInd w:val="0"/>
        <w:snapToGrid w:val="0"/>
        <w:ind w:left="720"/>
        <w:rPr>
          <w:b/>
          <w:bCs/>
          <w:iCs/>
          <w:color w:val="000000"/>
          <w:kern w:val="18"/>
          <w:lang w:val="de-CH" w:eastAsia="zh-CN"/>
        </w:rPr>
        <w:sectPr w:rsidR="00B72FA3" w:rsidSect="00FB5944">
          <w:headerReference w:type="default" r:id="rId96"/>
          <w:endnotePr>
            <w:numFmt w:val="decimal"/>
          </w:endnotePr>
          <w:pgSz w:w="12242" w:h="15842" w:code="1"/>
          <w:pgMar w:top="1077" w:right="1043" w:bottom="1140" w:left="1440" w:header="459" w:footer="720" w:gutter="0"/>
          <w:cols w:space="720"/>
          <w:titlePg/>
          <w:docGrid w:linePitch="326"/>
        </w:sectPr>
      </w:pPr>
    </w:p>
    <w:p w:rsidR="00B72FA3" w:rsidRDefault="00B72FA3" w:rsidP="005B1318">
      <w:pPr>
        <w:spacing w:before="0" w:after="0"/>
        <w:jc w:val="center"/>
        <w:rPr>
          <w:lang w:eastAsia="zh-CN"/>
        </w:rPr>
      </w:pPr>
      <w:r w:rsidRPr="00421205">
        <w:rPr>
          <w:rFonts w:hint="eastAsia"/>
          <w:b/>
          <w:bCs/>
          <w:iCs/>
          <w:color w:val="000000"/>
          <w:kern w:val="18"/>
          <w:lang w:val="de-CH" w:eastAsia="zh-CN"/>
        </w:rPr>
        <w:lastRenderedPageBreak/>
        <w:t>表</w:t>
      </w:r>
      <w:r w:rsidRPr="00421205">
        <w:rPr>
          <w:b/>
          <w:bCs/>
          <w:iCs/>
          <w:color w:val="000000"/>
          <w:kern w:val="18"/>
          <w:lang w:val="de-CH" w:eastAsia="zh-CN"/>
        </w:rPr>
        <w:t>6.</w:t>
      </w:r>
      <w:r w:rsidRPr="00421205">
        <w:rPr>
          <w:b/>
          <w:bCs/>
          <w:iCs/>
          <w:color w:val="000000"/>
          <w:kern w:val="18"/>
          <w:lang w:val="de-CH" w:eastAsia="zh-CN"/>
        </w:rPr>
        <w:tab/>
        <w:t>2019-2020</w:t>
      </w:r>
      <w:r w:rsidRPr="00421205">
        <w:rPr>
          <w:rFonts w:hint="eastAsia"/>
          <w:b/>
          <w:bCs/>
          <w:iCs/>
          <w:color w:val="000000"/>
          <w:kern w:val="18"/>
          <w:lang w:val="de-CH" w:eastAsia="zh-CN"/>
        </w:rPr>
        <w:t>年</w:t>
      </w:r>
      <w:r w:rsidRPr="00421205">
        <w:rPr>
          <w:b/>
          <w:bCs/>
          <w:iCs/>
          <w:color w:val="000000"/>
          <w:kern w:val="18"/>
          <w:lang w:val="de-CH" w:eastAsia="zh-CN"/>
        </w:rPr>
        <w:t>两年期对生物多样性公约信托基金的</w:t>
      </w:r>
      <w:r>
        <w:rPr>
          <w:rFonts w:hint="eastAsia"/>
          <w:b/>
          <w:bCs/>
          <w:iCs/>
          <w:color w:val="000000"/>
          <w:kern w:val="18"/>
          <w:lang w:val="de-CH" w:eastAsia="zh-CN"/>
        </w:rPr>
        <w:t>摊款</w:t>
      </w:r>
      <w:r w:rsidRPr="005B1318">
        <w:rPr>
          <w:rStyle w:val="FootnoteReference"/>
          <w:sz w:val="24"/>
          <w:u w:val="none"/>
          <w:vertAlign w:val="superscript"/>
        </w:rPr>
        <w:footnoteReference w:id="334"/>
      </w:r>
    </w:p>
    <w:tbl>
      <w:tblPr>
        <w:tblW w:w="13402" w:type="dxa"/>
        <w:tblInd w:w="93" w:type="dxa"/>
        <w:tblLook w:val="04A0"/>
      </w:tblPr>
      <w:tblGrid>
        <w:gridCol w:w="2512"/>
        <w:gridCol w:w="2250"/>
        <w:gridCol w:w="2430"/>
        <w:gridCol w:w="2160"/>
        <w:gridCol w:w="2070"/>
        <w:gridCol w:w="1980"/>
      </w:tblGrid>
      <w:tr w:rsidR="00B72FA3" w:rsidRPr="005B1318" w:rsidTr="00B72FA3">
        <w:trPr>
          <w:trHeight w:val="854"/>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2FA3" w:rsidRPr="005B1318" w:rsidRDefault="00B72FA3" w:rsidP="005B1318">
            <w:pPr>
              <w:spacing w:before="0" w:after="0"/>
              <w:rPr>
                <w:rFonts w:eastAsiaTheme="minorEastAsia"/>
                <w:b/>
                <w:bCs/>
                <w:lang w:eastAsia="zh-CN"/>
              </w:rPr>
            </w:pPr>
            <w:r w:rsidRPr="005B1318">
              <w:rPr>
                <w:rFonts w:eastAsiaTheme="minorEastAsia"/>
                <w:b/>
                <w:bCs/>
                <w:sz w:val="22"/>
                <w:szCs w:val="22"/>
                <w:lang w:eastAsia="zh-CN"/>
              </w:rPr>
              <w:t>缔约方</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lang w:eastAsia="zh-CN"/>
              </w:rPr>
              <w:t>联合国</w:t>
            </w:r>
            <w:r w:rsidRPr="005B1318">
              <w:rPr>
                <w:rFonts w:eastAsiaTheme="minorEastAsia"/>
                <w:b/>
                <w:bCs/>
                <w:sz w:val="22"/>
                <w:szCs w:val="22"/>
              </w:rPr>
              <w:t>2016-2018</w:t>
            </w:r>
            <w:r w:rsidRPr="005B1318">
              <w:rPr>
                <w:rFonts w:eastAsiaTheme="minorEastAsia"/>
                <w:b/>
                <w:bCs/>
                <w:sz w:val="22"/>
                <w:szCs w:val="22"/>
                <w:lang w:eastAsia="zh-CN"/>
              </w:rPr>
              <w:t>年分摊比额表</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sz w:val="22"/>
                <w:szCs w:val="22"/>
                <w:lang w:eastAsia="zh-CN"/>
              </w:rPr>
              <w:t>上限为</w:t>
            </w:r>
            <w:r w:rsidRPr="005B1318">
              <w:rPr>
                <w:rFonts w:eastAsiaTheme="minorEastAsia"/>
                <w:b/>
                <w:sz w:val="22"/>
                <w:szCs w:val="22"/>
                <w:lang w:eastAsia="zh-CN"/>
              </w:rPr>
              <w:t>22%</w:t>
            </w:r>
            <w:r w:rsidRPr="005B1318">
              <w:rPr>
                <w:rFonts w:eastAsiaTheme="minorEastAsia"/>
                <w:b/>
                <w:sz w:val="22"/>
                <w:szCs w:val="22"/>
                <w:lang w:eastAsia="zh-CN"/>
              </w:rPr>
              <w:t>的比额，没有最不发达国家捐款超过</w:t>
            </w:r>
            <w:r w:rsidRPr="005B1318">
              <w:rPr>
                <w:rFonts w:eastAsiaTheme="minorEastAsia"/>
                <w:b/>
                <w:sz w:val="22"/>
                <w:szCs w:val="22"/>
                <w:lang w:eastAsia="zh-CN"/>
              </w:rPr>
              <w:t>0.01%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t>2019</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日的摊款</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t>2020</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日的摊款</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t>2019-2020</w:t>
            </w:r>
            <w:r w:rsidRPr="005B1318">
              <w:rPr>
                <w:rFonts w:eastAsiaTheme="minorEastAsia"/>
                <w:b/>
                <w:bCs/>
                <w:sz w:val="22"/>
                <w:szCs w:val="22"/>
                <w:lang w:eastAsia="zh-CN"/>
              </w:rPr>
              <w:t>年合计</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阿富汗</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lang w:eastAsia="zh-CN"/>
              </w:rPr>
            </w:pPr>
            <w:r w:rsidRPr="005B1318">
              <w:rPr>
                <w:rFonts w:eastAsiaTheme="minorEastAsia"/>
                <w:sz w:val="22"/>
                <w:szCs w:val="22"/>
                <w:lang w:eastAsia="zh-CN"/>
              </w:rPr>
              <w:t>0.006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lang w:eastAsia="zh-CN"/>
              </w:rPr>
            </w:pPr>
            <w:r w:rsidRPr="005B1318">
              <w:rPr>
                <w:rFonts w:eastAsiaTheme="minorEastAsia"/>
                <w:sz w:val="22"/>
                <w:szCs w:val="22"/>
                <w:lang w:eastAsia="zh-CN"/>
              </w:rPr>
              <w:t xml:space="preserve">            0.008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lang w:eastAsia="zh-CN"/>
              </w:rPr>
            </w:pPr>
            <w:r w:rsidRPr="005B1318">
              <w:rPr>
                <w:rFonts w:eastAsiaTheme="minorEastAsia"/>
                <w:sz w:val="22"/>
                <w:szCs w:val="22"/>
                <w:lang w:eastAsia="zh-CN"/>
              </w:rPr>
              <w:t>889</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lang w:eastAsia="zh-CN"/>
              </w:rPr>
            </w:pPr>
            <w:r w:rsidRPr="005B1318">
              <w:rPr>
                <w:rFonts w:eastAsiaTheme="minorEastAsia"/>
                <w:sz w:val="22"/>
                <w:szCs w:val="22"/>
                <w:lang w:eastAsia="zh-CN"/>
              </w:rPr>
              <w:t>942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lang w:eastAsia="zh-CN"/>
              </w:rPr>
            </w:pPr>
            <w:r w:rsidRPr="005B1318">
              <w:rPr>
                <w:rFonts w:eastAsiaTheme="minorEastAsia"/>
                <w:sz w:val="22"/>
                <w:szCs w:val="22"/>
                <w:lang w:eastAsia="zh-CN"/>
              </w:rPr>
              <w:t>1 831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阿尔巴尼亚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lang w:eastAsia="zh-CN"/>
              </w:rPr>
            </w:pPr>
            <w:r w:rsidRPr="005B1318">
              <w:rPr>
                <w:rFonts w:eastAsiaTheme="minorEastAsia"/>
                <w:sz w:val="22"/>
                <w:szCs w:val="22"/>
                <w:lang w:eastAsia="zh-CN"/>
              </w:rPr>
              <w:t>0.008</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lang w:eastAsia="zh-CN"/>
              </w:rPr>
            </w:pPr>
            <w:r w:rsidRPr="005B1318">
              <w:rPr>
                <w:rFonts w:eastAsiaTheme="minorEastAsia"/>
                <w:sz w:val="22"/>
                <w:szCs w:val="22"/>
                <w:lang w:eastAsia="zh-CN"/>
              </w:rPr>
              <w:t xml:space="preserve">            0.010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lang w:eastAsia="zh-CN"/>
              </w:rPr>
            </w:pPr>
            <w:r w:rsidRPr="005B1318">
              <w:rPr>
                <w:rFonts w:eastAsiaTheme="minorEastAsia"/>
                <w:sz w:val="22"/>
                <w:szCs w:val="22"/>
                <w:lang w:eastAsia="zh-CN"/>
              </w:rPr>
              <w:t>1 185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1 256</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2 441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阿尔及利亚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0.161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0.201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23 844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25 284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49 127</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安道尔</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0.008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889</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942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1 831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安哥拉</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1 185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1 256</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2 441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安提瓜和巴布达</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296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314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610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阿根廷</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0.892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1.115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132 102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140 082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272 184</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亚美尼亚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0.008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889</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942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1 831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澳大利亚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2.337</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2.922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346 102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367 008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713 110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奥地利</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0.720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0.900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106 630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113 070</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219 700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阿塞拜疆</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0.060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0.075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8 886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9 423</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18 308</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巴哈马</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0.018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2 073</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2 199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4 272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巴林</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0.044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0.055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6 516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6 910</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13 426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孟加拉国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1 185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1 256</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2 441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巴巴多斯</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0.007</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1 037</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1 099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2 136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白俄罗斯</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0.056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0.070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8 293</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8 794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17 088</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比利时</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0.885</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1.106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131 065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138 982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270 048</w:t>
            </w:r>
          </w:p>
        </w:tc>
      </w:tr>
      <w:tr w:rsidR="00B72FA3" w:rsidRPr="005B1318" w:rsidTr="00B72FA3">
        <w:trPr>
          <w:trHeight w:val="338"/>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伯利兹</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341"/>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贝宁</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0.004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444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471</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915</w:t>
            </w:r>
          </w:p>
        </w:tc>
      </w:tr>
      <w:tr w:rsidR="00B72FA3" w:rsidRPr="005B1318" w:rsidTr="00B72FA3">
        <w:trPr>
          <w:trHeight w:val="332"/>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不丹</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332"/>
        </w:trPr>
        <w:tc>
          <w:tcPr>
            <w:tcW w:w="2512" w:type="dxa"/>
            <w:tcBorders>
              <w:top w:val="nil"/>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ind w:firstLine="0"/>
              <w:rPr>
                <w:rFonts w:eastAsiaTheme="minorEastAsia"/>
              </w:rPr>
            </w:pPr>
            <w:r w:rsidRPr="005B1318">
              <w:rPr>
                <w:rFonts w:eastAsiaTheme="minorEastAsia"/>
                <w:sz w:val="22"/>
                <w:szCs w:val="22"/>
                <w:lang w:eastAsia="zh-CN"/>
              </w:rPr>
              <w:t>多民族玻利维亚国</w:t>
            </w:r>
          </w:p>
        </w:tc>
        <w:tc>
          <w:tcPr>
            <w:tcW w:w="2250" w:type="dxa"/>
            <w:tcBorders>
              <w:top w:val="nil"/>
              <w:left w:val="nil"/>
              <w:bottom w:val="single" w:sz="4" w:space="0" w:color="auto"/>
              <w:right w:val="single" w:sz="4" w:space="0" w:color="auto"/>
            </w:tcBorders>
            <w:shd w:val="clear" w:color="auto" w:fill="auto"/>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0.012</w:t>
            </w:r>
          </w:p>
        </w:tc>
        <w:tc>
          <w:tcPr>
            <w:tcW w:w="243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rPr>
                <w:rFonts w:eastAsiaTheme="minorEastAsia"/>
              </w:rPr>
            </w:pPr>
            <w:r w:rsidRPr="005B1318">
              <w:rPr>
                <w:rFonts w:eastAsiaTheme="minorEastAsia"/>
                <w:sz w:val="22"/>
                <w:szCs w:val="22"/>
              </w:rPr>
              <w:t xml:space="preserve">            0.015 </w:t>
            </w:r>
          </w:p>
        </w:tc>
        <w:tc>
          <w:tcPr>
            <w:tcW w:w="216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1 777</w:t>
            </w:r>
          </w:p>
        </w:tc>
        <w:tc>
          <w:tcPr>
            <w:tcW w:w="207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1 885</w:t>
            </w:r>
          </w:p>
        </w:tc>
        <w:tc>
          <w:tcPr>
            <w:tcW w:w="198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3 662</w:t>
            </w:r>
          </w:p>
        </w:tc>
      </w:tr>
      <w:tr w:rsidR="00B72FA3" w:rsidRPr="005B1318" w:rsidTr="00B72FA3">
        <w:trPr>
          <w:trHeight w:val="332"/>
        </w:trPr>
        <w:tc>
          <w:tcPr>
            <w:tcW w:w="2512" w:type="dxa"/>
            <w:tcBorders>
              <w:top w:val="nil"/>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波斯尼亚和黑塞哥维那</w:t>
            </w:r>
          </w:p>
        </w:tc>
        <w:tc>
          <w:tcPr>
            <w:tcW w:w="2250" w:type="dxa"/>
            <w:tcBorders>
              <w:top w:val="nil"/>
              <w:left w:val="nil"/>
              <w:bottom w:val="single" w:sz="4" w:space="0" w:color="auto"/>
              <w:right w:val="single" w:sz="4" w:space="0" w:color="auto"/>
            </w:tcBorders>
            <w:shd w:val="clear" w:color="auto" w:fill="auto"/>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0.013</w:t>
            </w:r>
          </w:p>
        </w:tc>
        <w:tc>
          <w:tcPr>
            <w:tcW w:w="243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rPr>
                <w:rFonts w:eastAsiaTheme="minorEastAsia"/>
              </w:rPr>
            </w:pPr>
            <w:r w:rsidRPr="005B1318">
              <w:rPr>
                <w:rFonts w:eastAsiaTheme="minorEastAsia"/>
                <w:sz w:val="22"/>
                <w:szCs w:val="22"/>
              </w:rPr>
              <w:t xml:space="preserve">            0.016 </w:t>
            </w:r>
          </w:p>
        </w:tc>
        <w:tc>
          <w:tcPr>
            <w:tcW w:w="216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1 925</w:t>
            </w:r>
          </w:p>
        </w:tc>
        <w:tc>
          <w:tcPr>
            <w:tcW w:w="207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2 042</w:t>
            </w:r>
          </w:p>
        </w:tc>
        <w:tc>
          <w:tcPr>
            <w:tcW w:w="198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3 967</w:t>
            </w:r>
          </w:p>
        </w:tc>
      </w:tr>
      <w:tr w:rsidR="00B72FA3" w:rsidRPr="005B1318" w:rsidTr="00B72FA3">
        <w:trPr>
          <w:trHeight w:val="705"/>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ind w:firstLine="0"/>
              <w:jc w:val="center"/>
              <w:rPr>
                <w:rFonts w:eastAsiaTheme="minorEastAsia"/>
                <w:b/>
                <w:bCs/>
                <w:lang w:eastAsia="zh-CN"/>
              </w:rPr>
            </w:pPr>
            <w:r w:rsidRPr="005B1318">
              <w:rPr>
                <w:rFonts w:eastAsiaTheme="minorEastAsia"/>
                <w:b/>
                <w:bCs/>
                <w:sz w:val="22"/>
                <w:szCs w:val="22"/>
                <w:lang w:eastAsia="zh-CN"/>
              </w:rPr>
              <w:lastRenderedPageBreak/>
              <w:t>缔约方</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lang w:eastAsia="zh-CN"/>
              </w:rPr>
              <w:t>联合国</w:t>
            </w:r>
            <w:r w:rsidRPr="005B1318">
              <w:rPr>
                <w:rFonts w:eastAsiaTheme="minorEastAsia"/>
                <w:b/>
                <w:bCs/>
                <w:sz w:val="22"/>
                <w:szCs w:val="22"/>
              </w:rPr>
              <w:t>2016-2018</w:t>
            </w:r>
            <w:r w:rsidRPr="005B1318">
              <w:rPr>
                <w:rFonts w:eastAsiaTheme="minorEastAsia"/>
                <w:b/>
                <w:bCs/>
                <w:sz w:val="22"/>
                <w:szCs w:val="22"/>
                <w:lang w:eastAsia="zh-CN"/>
              </w:rPr>
              <w:t>年分摊比额表</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sz w:val="22"/>
                <w:szCs w:val="22"/>
                <w:lang w:eastAsia="zh-CN"/>
              </w:rPr>
              <w:t>上限为</w:t>
            </w:r>
            <w:r w:rsidRPr="005B1318">
              <w:rPr>
                <w:rFonts w:eastAsiaTheme="minorEastAsia"/>
                <w:b/>
                <w:sz w:val="22"/>
                <w:szCs w:val="22"/>
                <w:lang w:eastAsia="zh-CN"/>
              </w:rPr>
              <w:t>22%</w:t>
            </w:r>
            <w:r w:rsidRPr="005B1318">
              <w:rPr>
                <w:rFonts w:eastAsiaTheme="minorEastAsia"/>
                <w:b/>
                <w:sz w:val="22"/>
                <w:szCs w:val="22"/>
                <w:lang w:eastAsia="zh-CN"/>
              </w:rPr>
              <w:t>的比额，没有最不发达国家摊款超过</w:t>
            </w:r>
            <w:r w:rsidRPr="005B1318">
              <w:rPr>
                <w:rFonts w:eastAsiaTheme="minorEastAsia"/>
                <w:b/>
                <w:sz w:val="22"/>
                <w:szCs w:val="22"/>
                <w:lang w:eastAsia="zh-CN"/>
              </w:rPr>
              <w:t>0.01%</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t>2019</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日的摊款</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t>2020</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日的摊款</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t>2019-2020</w:t>
            </w:r>
            <w:r w:rsidRPr="005B1318">
              <w:rPr>
                <w:rFonts w:eastAsiaTheme="minorEastAsia"/>
                <w:b/>
                <w:bCs/>
                <w:sz w:val="22"/>
                <w:szCs w:val="22"/>
                <w:lang w:eastAsia="zh-CN"/>
              </w:rPr>
              <w:t>年合计</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博茨瓦纳</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0.018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2 073</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2 199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4 272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巴西</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3.823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4.779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566 173</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600 373</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1 166 546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文莱达鲁萨兰国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0.029</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0.036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4 295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4 554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8 849</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保加利亚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0.045</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0.056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6 664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7 067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13 731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布基纳法索</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592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628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1 221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布隆迪</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佛得角</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柬埔寨</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592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628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1 221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喀麦隆</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1 481</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1 570</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3 051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加拿大</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2.921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3.652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432 590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458 720</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891 311</w:t>
            </w:r>
          </w:p>
        </w:tc>
      </w:tr>
      <w:tr w:rsidR="00B72FA3" w:rsidRPr="005B1318" w:rsidTr="00B72FA3">
        <w:trPr>
          <w:trHeight w:val="295"/>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中非共和国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乍得</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0.005</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0.006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740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785</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1 526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智利</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0.399</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0.499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59 091</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62 660</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121 750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中国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7.921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9.902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1 173 073</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1 243 932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2 417 005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哥伦比亚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0.322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0.403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47 687</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50 568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98 255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科摩罗</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刚果</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0.008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889</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942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1 831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库克群岛</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哥斯达黎加</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0.047</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0.059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6 961</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7 381</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14 342</w:t>
            </w:r>
          </w:p>
        </w:tc>
      </w:tr>
      <w:tr w:rsidR="00B72FA3" w:rsidRPr="005B1318" w:rsidTr="00B72FA3">
        <w:trPr>
          <w:trHeight w:val="249"/>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科特迪瓦</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0.009</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1 333</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1 413</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2 746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克罗地亚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0.099</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0.124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14 662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15 547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30 209</w:t>
            </w:r>
          </w:p>
        </w:tc>
      </w:tr>
      <w:tr w:rsidR="00B72FA3" w:rsidRPr="005B1318" w:rsidTr="00B72FA3">
        <w:trPr>
          <w:trHeight w:val="204"/>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古巴</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0.065</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0.081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9 626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10 208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19 834</w:t>
            </w:r>
          </w:p>
        </w:tc>
      </w:tr>
      <w:tr w:rsidR="00B72FA3" w:rsidRPr="005B1318" w:rsidTr="00B72FA3">
        <w:trPr>
          <w:trHeight w:val="62"/>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塞浦路斯</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0.043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0.054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6 368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6 753</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13 121</w:t>
            </w:r>
          </w:p>
        </w:tc>
      </w:tr>
      <w:tr w:rsidR="00B72FA3" w:rsidRPr="005B1318" w:rsidTr="00B72FA3">
        <w:trPr>
          <w:trHeight w:val="276"/>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捷克</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0.344</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0.430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50 945</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54 023</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104 968</w:t>
            </w:r>
          </w:p>
        </w:tc>
      </w:tr>
      <w:tr w:rsidR="00B72FA3" w:rsidRPr="005B1318" w:rsidTr="00B72FA3">
        <w:trPr>
          <w:trHeight w:val="552"/>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朝鲜民主主义人民共和国</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0.005</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0.006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740</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785</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1 526</w:t>
            </w:r>
          </w:p>
        </w:tc>
      </w:tr>
      <w:tr w:rsidR="00B72FA3" w:rsidRPr="005B1318" w:rsidTr="00B72FA3">
        <w:trPr>
          <w:trHeight w:val="552"/>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刚果民主共和国</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0.008</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2FA3" w:rsidRPr="005B1318" w:rsidRDefault="00B72FA3" w:rsidP="00B72FA3">
            <w:pPr>
              <w:spacing w:before="0" w:after="0"/>
              <w:rPr>
                <w:rFonts w:eastAsiaTheme="minorEastAsia"/>
              </w:rPr>
            </w:pPr>
            <w:r w:rsidRPr="005B1318">
              <w:rPr>
                <w:rFonts w:eastAsiaTheme="minorEastAsia"/>
                <w:sz w:val="22"/>
                <w:szCs w:val="22"/>
              </w:rPr>
              <w:t xml:space="preserve">            0.010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1 185</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1 256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2 441</w:t>
            </w:r>
          </w:p>
        </w:tc>
      </w:tr>
      <w:tr w:rsidR="00B72FA3" w:rsidRPr="005B1318" w:rsidTr="00B72FA3">
        <w:trPr>
          <w:trHeight w:val="552"/>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ind w:firstLine="0"/>
              <w:jc w:val="center"/>
              <w:rPr>
                <w:rFonts w:eastAsiaTheme="minorEastAsia"/>
                <w:b/>
                <w:bCs/>
                <w:lang w:eastAsia="zh-CN"/>
              </w:rPr>
            </w:pPr>
            <w:r w:rsidRPr="005B1318">
              <w:rPr>
                <w:rFonts w:eastAsiaTheme="minorEastAsia"/>
                <w:b/>
                <w:bCs/>
                <w:sz w:val="22"/>
                <w:szCs w:val="22"/>
                <w:lang w:eastAsia="zh-CN"/>
              </w:rPr>
              <w:t>缔约方</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lang w:eastAsia="zh-CN"/>
              </w:rPr>
              <w:t>联合国</w:t>
            </w:r>
            <w:r w:rsidRPr="005B1318">
              <w:rPr>
                <w:rFonts w:eastAsiaTheme="minorEastAsia"/>
                <w:b/>
                <w:bCs/>
                <w:sz w:val="22"/>
                <w:szCs w:val="22"/>
              </w:rPr>
              <w:t>2016-2018</w:t>
            </w:r>
            <w:r w:rsidRPr="005B1318">
              <w:rPr>
                <w:rFonts w:eastAsiaTheme="minorEastAsia"/>
                <w:b/>
                <w:bCs/>
                <w:sz w:val="22"/>
                <w:szCs w:val="22"/>
                <w:lang w:eastAsia="zh-CN"/>
              </w:rPr>
              <w:t>年</w:t>
            </w:r>
            <w:r w:rsidRPr="005B1318">
              <w:rPr>
                <w:rFonts w:eastAsiaTheme="minorEastAsia"/>
                <w:b/>
                <w:bCs/>
                <w:sz w:val="22"/>
                <w:szCs w:val="22"/>
                <w:lang w:eastAsia="zh-CN"/>
              </w:rPr>
              <w:lastRenderedPageBreak/>
              <w:t>分摊比额表</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sz w:val="22"/>
                <w:szCs w:val="22"/>
                <w:lang w:eastAsia="zh-CN"/>
              </w:rPr>
              <w:lastRenderedPageBreak/>
              <w:t>上限为</w:t>
            </w:r>
            <w:r w:rsidRPr="005B1318">
              <w:rPr>
                <w:rFonts w:eastAsiaTheme="minorEastAsia"/>
                <w:b/>
                <w:sz w:val="22"/>
                <w:szCs w:val="22"/>
                <w:lang w:eastAsia="zh-CN"/>
              </w:rPr>
              <w:t>22%</w:t>
            </w:r>
            <w:r w:rsidRPr="005B1318">
              <w:rPr>
                <w:rFonts w:eastAsiaTheme="minorEastAsia"/>
                <w:b/>
                <w:sz w:val="22"/>
                <w:szCs w:val="22"/>
                <w:lang w:eastAsia="zh-CN"/>
              </w:rPr>
              <w:t>的比额，</w:t>
            </w:r>
            <w:r w:rsidRPr="005B1318">
              <w:rPr>
                <w:rFonts w:eastAsiaTheme="minorEastAsia"/>
                <w:b/>
                <w:sz w:val="22"/>
                <w:szCs w:val="22"/>
                <w:lang w:eastAsia="zh-CN"/>
              </w:rPr>
              <w:lastRenderedPageBreak/>
              <w:t>没有最不发达国家摊款超过</w:t>
            </w:r>
            <w:r w:rsidRPr="005B1318">
              <w:rPr>
                <w:rFonts w:eastAsiaTheme="minorEastAsia"/>
                <w:b/>
                <w:sz w:val="22"/>
                <w:szCs w:val="22"/>
                <w:lang w:eastAsia="zh-CN"/>
              </w:rPr>
              <w:t>0.01%</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2019</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w:t>
            </w:r>
            <w:r w:rsidRPr="005B1318">
              <w:rPr>
                <w:rFonts w:eastAsiaTheme="minorEastAsia"/>
                <w:b/>
                <w:bCs/>
                <w:sz w:val="22"/>
                <w:szCs w:val="22"/>
                <w:lang w:eastAsia="zh-CN"/>
              </w:rPr>
              <w:lastRenderedPageBreak/>
              <w:t>摊款</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2020</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w:t>
            </w:r>
            <w:r w:rsidRPr="005B1318">
              <w:rPr>
                <w:rFonts w:eastAsiaTheme="minorEastAsia"/>
                <w:b/>
                <w:bCs/>
                <w:sz w:val="22"/>
                <w:szCs w:val="22"/>
                <w:lang w:eastAsia="zh-CN"/>
              </w:rPr>
              <w:lastRenderedPageBreak/>
              <w:t>摊款</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2019-2020</w:t>
            </w:r>
            <w:r w:rsidRPr="005B1318">
              <w:rPr>
                <w:rFonts w:eastAsiaTheme="minorEastAsia"/>
                <w:b/>
                <w:bCs/>
                <w:sz w:val="22"/>
                <w:szCs w:val="22"/>
                <w:lang w:eastAsia="zh-CN"/>
              </w:rPr>
              <w:t>年合计</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lastRenderedPageBreak/>
              <w:t>丹麦</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0.584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0.730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86 488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91 713</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178 201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吉布提</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多米尼克</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多米尼加共和国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0.046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0.058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6 812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7 224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14 036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厄瓜多尔</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0.067</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0.084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9 922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10 522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20 444</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埃及</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0.152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0.190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22 511</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23 870</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46 381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萨尔瓦多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0.018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2 073</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2 199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4 272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赤道几内亚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1 185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1 256</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2 441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厄立特里亚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爱沙尼亚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0.038</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0.048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5 628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5 968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11 595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斯威士兰</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296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314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610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埃塞尔比亚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1 185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1 256</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2 441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欧洲联盟</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2.500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296 163</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314 052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610 215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斐济</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0.004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444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471</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915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芬兰</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0.456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0.570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67 532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71 611</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139 143</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法国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4.859</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6.074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719 601</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763 068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1 482 670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加蓬</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0.017</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0.021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2 518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2 670</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5 187</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冈比亚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格鲁吉亚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0.008</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1 185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1 256</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2 441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德国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6.389</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7.987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946 189</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1 003 343</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1 949 532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加纳</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0.020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2 370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2 513</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4 882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希腊</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0.471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0.589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69 754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73 967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143 720</w:t>
            </w:r>
          </w:p>
        </w:tc>
      </w:tr>
      <w:tr w:rsidR="00B72FA3" w:rsidRPr="005B1318" w:rsidTr="00B72FA3">
        <w:trPr>
          <w:trHeight w:val="276"/>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格林纳达</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危地马拉</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0.028</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0.035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4 147</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4 397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8 544</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几内亚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296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314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610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几内亚比绍</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圭亚那</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296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314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610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海地</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0.004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444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471</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915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洪都拉斯</w:t>
            </w:r>
          </w:p>
        </w:tc>
        <w:tc>
          <w:tcPr>
            <w:tcW w:w="2250" w:type="dxa"/>
            <w:tcBorders>
              <w:top w:val="nil"/>
              <w:left w:val="nil"/>
              <w:bottom w:val="single" w:sz="4" w:space="0" w:color="auto"/>
              <w:right w:val="single" w:sz="4" w:space="0" w:color="auto"/>
            </w:tcBorders>
            <w:shd w:val="clear" w:color="auto" w:fill="auto"/>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0.008</w:t>
            </w:r>
          </w:p>
        </w:tc>
        <w:tc>
          <w:tcPr>
            <w:tcW w:w="243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rPr>
                <w:rFonts w:eastAsiaTheme="minorEastAsia"/>
              </w:rPr>
            </w:pPr>
            <w:r w:rsidRPr="005B1318">
              <w:rPr>
                <w:rFonts w:eastAsiaTheme="minorEastAsia"/>
                <w:sz w:val="22"/>
                <w:szCs w:val="22"/>
              </w:rPr>
              <w:t xml:space="preserve">            0.010 </w:t>
            </w:r>
          </w:p>
        </w:tc>
        <w:tc>
          <w:tcPr>
            <w:tcW w:w="216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1 185</w:t>
            </w:r>
          </w:p>
        </w:tc>
        <w:tc>
          <w:tcPr>
            <w:tcW w:w="207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1 256</w:t>
            </w:r>
          </w:p>
        </w:tc>
        <w:tc>
          <w:tcPr>
            <w:tcW w:w="198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2 441</w:t>
            </w:r>
          </w:p>
        </w:tc>
      </w:tr>
      <w:tr w:rsidR="00B72FA3" w:rsidRPr="005B1318" w:rsidTr="00B72FA3">
        <w:trPr>
          <w:trHeight w:val="276"/>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ind w:firstLine="0"/>
              <w:jc w:val="center"/>
              <w:rPr>
                <w:rFonts w:eastAsiaTheme="minorEastAsia"/>
                <w:b/>
                <w:bCs/>
                <w:lang w:eastAsia="zh-CN"/>
              </w:rPr>
            </w:pPr>
            <w:r w:rsidRPr="005B1318">
              <w:rPr>
                <w:rFonts w:eastAsiaTheme="minorEastAsia"/>
                <w:b/>
                <w:bCs/>
                <w:sz w:val="22"/>
                <w:szCs w:val="22"/>
                <w:lang w:eastAsia="zh-CN"/>
              </w:rPr>
              <w:t>缔约方</w:t>
            </w:r>
          </w:p>
        </w:tc>
        <w:tc>
          <w:tcPr>
            <w:tcW w:w="2250" w:type="dxa"/>
            <w:tcBorders>
              <w:top w:val="single" w:sz="4" w:space="0" w:color="auto"/>
              <w:left w:val="nil"/>
              <w:bottom w:val="single" w:sz="4" w:space="0" w:color="auto"/>
              <w:right w:val="single" w:sz="4" w:space="0" w:color="auto"/>
            </w:tcBorders>
            <w:shd w:val="clear" w:color="auto" w:fill="auto"/>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lang w:eastAsia="zh-CN"/>
              </w:rPr>
              <w:t>联合国</w:t>
            </w:r>
            <w:r w:rsidRPr="005B1318">
              <w:rPr>
                <w:rFonts w:eastAsiaTheme="minorEastAsia"/>
                <w:b/>
                <w:bCs/>
                <w:sz w:val="22"/>
                <w:szCs w:val="22"/>
              </w:rPr>
              <w:t>2016-2018</w:t>
            </w:r>
            <w:r w:rsidRPr="005B1318">
              <w:rPr>
                <w:rFonts w:eastAsiaTheme="minorEastAsia"/>
                <w:b/>
                <w:bCs/>
                <w:sz w:val="22"/>
                <w:szCs w:val="22"/>
                <w:lang w:eastAsia="zh-CN"/>
              </w:rPr>
              <w:t>年</w:t>
            </w:r>
            <w:r w:rsidRPr="005B1318">
              <w:rPr>
                <w:rFonts w:eastAsiaTheme="minorEastAsia"/>
                <w:b/>
                <w:bCs/>
                <w:sz w:val="22"/>
                <w:szCs w:val="22"/>
                <w:lang w:eastAsia="zh-CN"/>
              </w:rPr>
              <w:lastRenderedPageBreak/>
              <w:t>分摊比额表</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sz w:val="22"/>
                <w:szCs w:val="22"/>
                <w:lang w:eastAsia="zh-CN"/>
              </w:rPr>
              <w:lastRenderedPageBreak/>
              <w:t>上限为</w:t>
            </w:r>
            <w:r w:rsidRPr="005B1318">
              <w:rPr>
                <w:rFonts w:eastAsiaTheme="minorEastAsia"/>
                <w:b/>
                <w:sz w:val="22"/>
                <w:szCs w:val="22"/>
                <w:lang w:eastAsia="zh-CN"/>
              </w:rPr>
              <w:t>22%</w:t>
            </w:r>
            <w:r w:rsidRPr="005B1318">
              <w:rPr>
                <w:rFonts w:eastAsiaTheme="minorEastAsia"/>
                <w:b/>
                <w:sz w:val="22"/>
                <w:szCs w:val="22"/>
                <w:lang w:eastAsia="zh-CN"/>
              </w:rPr>
              <w:t>的比额，</w:t>
            </w:r>
            <w:r w:rsidRPr="005B1318">
              <w:rPr>
                <w:rFonts w:eastAsiaTheme="minorEastAsia"/>
                <w:b/>
                <w:sz w:val="22"/>
                <w:szCs w:val="22"/>
                <w:lang w:eastAsia="zh-CN"/>
              </w:rPr>
              <w:lastRenderedPageBreak/>
              <w:t>没有最不发达国家摊款超过</w:t>
            </w:r>
            <w:r w:rsidRPr="005B1318">
              <w:rPr>
                <w:rFonts w:eastAsiaTheme="minorEastAsia"/>
                <w:b/>
                <w:sz w:val="22"/>
                <w:szCs w:val="22"/>
                <w:lang w:eastAsia="zh-CN"/>
              </w:rPr>
              <w:t>0.01%</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2019</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w:t>
            </w:r>
            <w:r w:rsidRPr="005B1318">
              <w:rPr>
                <w:rFonts w:eastAsiaTheme="minorEastAsia"/>
                <w:b/>
                <w:bCs/>
                <w:sz w:val="22"/>
                <w:szCs w:val="22"/>
                <w:lang w:eastAsia="zh-CN"/>
              </w:rPr>
              <w:lastRenderedPageBreak/>
              <w:t>摊款</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2020</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w:t>
            </w:r>
            <w:r w:rsidRPr="005B1318">
              <w:rPr>
                <w:rFonts w:eastAsiaTheme="minorEastAsia"/>
                <w:b/>
                <w:bCs/>
                <w:sz w:val="22"/>
                <w:szCs w:val="22"/>
                <w:lang w:eastAsia="zh-CN"/>
              </w:rPr>
              <w:lastRenderedPageBreak/>
              <w:t>摊款</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2019-2020</w:t>
            </w:r>
            <w:r w:rsidRPr="005B1318">
              <w:rPr>
                <w:rFonts w:eastAsiaTheme="minorEastAsia"/>
                <w:b/>
                <w:bCs/>
                <w:sz w:val="22"/>
                <w:szCs w:val="22"/>
                <w:lang w:eastAsia="zh-CN"/>
              </w:rPr>
              <w:t>年合计</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lastRenderedPageBreak/>
              <w:t>匈牙利</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0.161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0.201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23 844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25 284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49 127</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冰岛</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0.023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0.029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3 406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3 612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7 018</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印度</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0.737</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0.921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109 147</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115 740</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224 887</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印度尼西亚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0.504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0.630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74 641</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79 149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153 790</w:t>
            </w:r>
          </w:p>
        </w:tc>
      </w:tr>
      <w:tr w:rsidR="00B72FA3" w:rsidRPr="005B1318" w:rsidTr="00B72FA3">
        <w:trPr>
          <w:trHeight w:val="404"/>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伊朗伊斯兰共和国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0.471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0.589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69 754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73 967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143 720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伊拉克</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0.129</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0.161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19 104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20 258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39 363</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爱尔兰</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0.335</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0.419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49 612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52 609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102 222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以色列</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0.430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0.538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63 682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67 528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131 210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意大利</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3.748</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4.685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555 066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588 594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1 143 661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牙买加</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0.009</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1 333</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1 413</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2 746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日本</w:t>
            </w:r>
          </w:p>
        </w:tc>
        <w:tc>
          <w:tcPr>
            <w:tcW w:w="225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9.680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12.101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1 433 575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1 520 169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2 953 744</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约旦</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0.020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0.025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2 962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3 141</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6 103</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哈萨克斯坦</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0.191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0.239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28 286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29 995</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58 282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肯尼亚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0.018</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0.023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2 666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2 827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5 492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基里巴斯</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科威特</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0.285</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0.356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42 208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44 757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86 965</w:t>
            </w:r>
          </w:p>
        </w:tc>
      </w:tr>
      <w:tr w:rsidR="00B72FA3" w:rsidRPr="005B1318" w:rsidTr="00B72FA3">
        <w:trPr>
          <w:trHeight w:val="80"/>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吉尔吉斯斯坦</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296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314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610</w:t>
            </w:r>
          </w:p>
        </w:tc>
      </w:tr>
      <w:tr w:rsidR="00B72FA3" w:rsidRPr="005B1318" w:rsidTr="00B72FA3">
        <w:trPr>
          <w:trHeight w:val="314"/>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老挝人民民主共和国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0.004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444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471</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915</w:t>
            </w:r>
          </w:p>
        </w:tc>
      </w:tr>
      <w:tr w:rsidR="00B72FA3" w:rsidRPr="005B1318" w:rsidTr="00B72FA3">
        <w:trPr>
          <w:trHeight w:val="276"/>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拉脱维亚</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0.050</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0.063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7 405</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7 852</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15 257</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黎巴嫩</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0.046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0.058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6 812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7 224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14 036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莱索托</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利比里亚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利比亚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0.125</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0.156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18 512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19 630</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38 142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列支敦士登</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0.007</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1 037</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1 099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2 136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立陶宛</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0.072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0.090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10 663</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11 307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21 970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卢森堡</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0.064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0.080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9 478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10 051</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19 529</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马达加斯加</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0.004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444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471</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915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马拉维</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296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314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610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马来西亚</w:t>
            </w:r>
          </w:p>
        </w:tc>
        <w:tc>
          <w:tcPr>
            <w:tcW w:w="2250" w:type="dxa"/>
            <w:tcBorders>
              <w:top w:val="nil"/>
              <w:left w:val="nil"/>
              <w:bottom w:val="single" w:sz="4" w:space="0" w:color="auto"/>
              <w:right w:val="single" w:sz="4" w:space="0" w:color="auto"/>
            </w:tcBorders>
            <w:shd w:val="clear" w:color="auto" w:fill="auto"/>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0.322</w:t>
            </w:r>
          </w:p>
        </w:tc>
        <w:tc>
          <w:tcPr>
            <w:tcW w:w="243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rPr>
                <w:rFonts w:eastAsiaTheme="minorEastAsia"/>
              </w:rPr>
            </w:pPr>
            <w:r w:rsidRPr="005B1318">
              <w:rPr>
                <w:rFonts w:eastAsiaTheme="minorEastAsia"/>
                <w:sz w:val="22"/>
                <w:szCs w:val="22"/>
              </w:rPr>
              <w:t xml:space="preserve">            0.403 </w:t>
            </w:r>
          </w:p>
        </w:tc>
        <w:tc>
          <w:tcPr>
            <w:tcW w:w="216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47 687</w:t>
            </w:r>
          </w:p>
        </w:tc>
        <w:tc>
          <w:tcPr>
            <w:tcW w:w="207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50 568</w:t>
            </w:r>
          </w:p>
        </w:tc>
        <w:tc>
          <w:tcPr>
            <w:tcW w:w="198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98 255</w:t>
            </w:r>
          </w:p>
        </w:tc>
      </w:tr>
      <w:tr w:rsidR="00B72FA3" w:rsidRPr="005B1318" w:rsidTr="00B72FA3">
        <w:trPr>
          <w:trHeight w:val="276"/>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ind w:firstLine="0"/>
              <w:jc w:val="center"/>
              <w:rPr>
                <w:rFonts w:eastAsiaTheme="minorEastAsia"/>
                <w:b/>
                <w:bCs/>
                <w:lang w:eastAsia="zh-CN"/>
              </w:rPr>
            </w:pPr>
            <w:r w:rsidRPr="005B1318">
              <w:rPr>
                <w:rFonts w:eastAsiaTheme="minorEastAsia"/>
                <w:b/>
                <w:bCs/>
                <w:sz w:val="22"/>
                <w:szCs w:val="22"/>
                <w:lang w:eastAsia="zh-CN"/>
              </w:rPr>
              <w:t>缔约方</w:t>
            </w:r>
          </w:p>
        </w:tc>
        <w:tc>
          <w:tcPr>
            <w:tcW w:w="2250" w:type="dxa"/>
            <w:tcBorders>
              <w:top w:val="single" w:sz="4" w:space="0" w:color="auto"/>
              <w:left w:val="nil"/>
              <w:bottom w:val="single" w:sz="4" w:space="0" w:color="auto"/>
              <w:right w:val="single" w:sz="4" w:space="0" w:color="auto"/>
            </w:tcBorders>
            <w:shd w:val="clear" w:color="auto" w:fill="auto"/>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lang w:eastAsia="zh-CN"/>
              </w:rPr>
              <w:t>联合国</w:t>
            </w:r>
            <w:r w:rsidRPr="005B1318">
              <w:rPr>
                <w:rFonts w:eastAsiaTheme="minorEastAsia"/>
                <w:b/>
                <w:bCs/>
                <w:sz w:val="22"/>
                <w:szCs w:val="22"/>
              </w:rPr>
              <w:t>2016-2018</w:t>
            </w:r>
            <w:r w:rsidRPr="005B1318">
              <w:rPr>
                <w:rFonts w:eastAsiaTheme="minorEastAsia"/>
                <w:b/>
                <w:bCs/>
                <w:sz w:val="22"/>
                <w:szCs w:val="22"/>
                <w:lang w:eastAsia="zh-CN"/>
              </w:rPr>
              <w:t>年</w:t>
            </w:r>
            <w:r w:rsidRPr="005B1318">
              <w:rPr>
                <w:rFonts w:eastAsiaTheme="minorEastAsia"/>
                <w:b/>
                <w:bCs/>
                <w:sz w:val="22"/>
                <w:szCs w:val="22"/>
                <w:lang w:eastAsia="zh-CN"/>
              </w:rPr>
              <w:lastRenderedPageBreak/>
              <w:t>分摊比额表</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sz w:val="22"/>
                <w:szCs w:val="22"/>
                <w:lang w:eastAsia="zh-CN"/>
              </w:rPr>
              <w:lastRenderedPageBreak/>
              <w:t>上限为</w:t>
            </w:r>
            <w:r w:rsidRPr="005B1318">
              <w:rPr>
                <w:rFonts w:eastAsiaTheme="minorEastAsia"/>
                <w:b/>
                <w:sz w:val="22"/>
                <w:szCs w:val="22"/>
                <w:lang w:eastAsia="zh-CN"/>
              </w:rPr>
              <w:t>22%</w:t>
            </w:r>
            <w:r w:rsidRPr="005B1318">
              <w:rPr>
                <w:rFonts w:eastAsiaTheme="minorEastAsia"/>
                <w:b/>
                <w:sz w:val="22"/>
                <w:szCs w:val="22"/>
                <w:lang w:eastAsia="zh-CN"/>
              </w:rPr>
              <w:t>的比额，</w:t>
            </w:r>
            <w:r w:rsidRPr="005B1318">
              <w:rPr>
                <w:rFonts w:eastAsiaTheme="minorEastAsia"/>
                <w:b/>
                <w:sz w:val="22"/>
                <w:szCs w:val="22"/>
                <w:lang w:eastAsia="zh-CN"/>
              </w:rPr>
              <w:lastRenderedPageBreak/>
              <w:t>没有最不发达国家摊款超过</w:t>
            </w:r>
            <w:r w:rsidRPr="005B1318">
              <w:rPr>
                <w:rFonts w:eastAsiaTheme="minorEastAsia"/>
                <w:b/>
                <w:sz w:val="22"/>
                <w:szCs w:val="22"/>
                <w:lang w:eastAsia="zh-CN"/>
              </w:rPr>
              <w:t>0.01%</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2019</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w:t>
            </w:r>
            <w:r w:rsidRPr="005B1318">
              <w:rPr>
                <w:rFonts w:eastAsiaTheme="minorEastAsia"/>
                <w:b/>
                <w:bCs/>
                <w:sz w:val="22"/>
                <w:szCs w:val="22"/>
                <w:lang w:eastAsia="zh-CN"/>
              </w:rPr>
              <w:lastRenderedPageBreak/>
              <w:t>摊款</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2020</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w:t>
            </w:r>
            <w:r w:rsidRPr="005B1318">
              <w:rPr>
                <w:rFonts w:eastAsiaTheme="minorEastAsia"/>
                <w:b/>
                <w:bCs/>
                <w:sz w:val="22"/>
                <w:szCs w:val="22"/>
                <w:lang w:eastAsia="zh-CN"/>
              </w:rPr>
              <w:lastRenderedPageBreak/>
              <w:t>摊款</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2019-2020</w:t>
            </w:r>
            <w:r w:rsidRPr="005B1318">
              <w:rPr>
                <w:rFonts w:eastAsiaTheme="minorEastAsia"/>
                <w:b/>
                <w:bCs/>
                <w:sz w:val="22"/>
                <w:szCs w:val="22"/>
                <w:lang w:eastAsia="zh-CN"/>
              </w:rPr>
              <w:t>年合计</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lastRenderedPageBreak/>
              <w:t>马尔代夫</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296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314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610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马里</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0.004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444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471</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915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马耳他</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0.020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2 370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2 513</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4 882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马绍尔群岛</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毛里塔尼亚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296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314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610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毛里求斯</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1 777</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1 885</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3 662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墨西哥</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1.435</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1.794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212 519</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225 356</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437 874</w:t>
            </w:r>
          </w:p>
        </w:tc>
      </w:tr>
      <w:tr w:rsidR="00B72FA3" w:rsidRPr="005B1318" w:rsidTr="00B72FA3">
        <w:trPr>
          <w:trHeight w:val="332"/>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密克罗尼西亚联邦</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摩纳哥</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1 481</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1 570</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3 051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蒙古</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0.005</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0.006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740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785</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1 526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黑山</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592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628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1 221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摩洛哥</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0.054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0.068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7 997</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8 480</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16 477</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莫桑比克</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592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628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1 221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缅甸</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1 185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1 256</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2 441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纳米比亚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1 481</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1 570</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3 051</w:t>
            </w:r>
          </w:p>
        </w:tc>
      </w:tr>
      <w:tr w:rsidR="00B72FA3" w:rsidRPr="005B1318" w:rsidTr="00B72FA3">
        <w:trPr>
          <w:trHeight w:val="276"/>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瑙鲁</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尼泊尔</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0.008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889</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942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1 831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荷兰</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1.853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219 479</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232 737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452 216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新西兰</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0.268</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0.335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39 690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42 087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81 777</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尼加拉瓜</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592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628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1 221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尼日尔</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296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314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610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尼日利亚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0.209</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0.261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30 952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32 822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63 774</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纽埃</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挪威</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0.849</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1.061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125 734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133 329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259 063</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阿曼</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0.113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0.141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16 735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17 746</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34 481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巴基斯坦</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0.093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0.116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13 773</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14 605</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28 378</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帕劳</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巴拿马</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0.034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0.043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5 035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5 339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10 375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巴布亚新几内亚</w:t>
            </w:r>
          </w:p>
        </w:tc>
        <w:tc>
          <w:tcPr>
            <w:tcW w:w="2250" w:type="dxa"/>
            <w:tcBorders>
              <w:top w:val="nil"/>
              <w:left w:val="nil"/>
              <w:bottom w:val="single" w:sz="4" w:space="0" w:color="auto"/>
              <w:right w:val="single" w:sz="4" w:space="0" w:color="auto"/>
            </w:tcBorders>
            <w:shd w:val="clear" w:color="auto" w:fill="auto"/>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0.004</w:t>
            </w:r>
          </w:p>
        </w:tc>
        <w:tc>
          <w:tcPr>
            <w:tcW w:w="243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rPr>
                <w:rFonts w:eastAsiaTheme="minorEastAsia"/>
              </w:rPr>
            </w:pPr>
            <w:r w:rsidRPr="005B1318">
              <w:rPr>
                <w:rFonts w:eastAsiaTheme="minorEastAsia"/>
                <w:sz w:val="22"/>
                <w:szCs w:val="22"/>
              </w:rPr>
              <w:t xml:space="preserve">            0.005 </w:t>
            </w:r>
          </w:p>
        </w:tc>
        <w:tc>
          <w:tcPr>
            <w:tcW w:w="216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592</w:t>
            </w:r>
          </w:p>
        </w:tc>
        <w:tc>
          <w:tcPr>
            <w:tcW w:w="207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628</w:t>
            </w:r>
          </w:p>
        </w:tc>
        <w:tc>
          <w:tcPr>
            <w:tcW w:w="198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1 221</w:t>
            </w:r>
          </w:p>
        </w:tc>
      </w:tr>
      <w:tr w:rsidR="00B72FA3" w:rsidRPr="005B1318" w:rsidTr="00B72FA3">
        <w:trPr>
          <w:trHeight w:val="276"/>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ind w:firstLine="0"/>
              <w:jc w:val="center"/>
              <w:rPr>
                <w:rFonts w:eastAsiaTheme="minorEastAsia"/>
                <w:b/>
                <w:bCs/>
                <w:lang w:eastAsia="zh-CN"/>
              </w:rPr>
            </w:pPr>
            <w:r w:rsidRPr="005B1318">
              <w:rPr>
                <w:rFonts w:eastAsiaTheme="minorEastAsia"/>
                <w:b/>
                <w:bCs/>
                <w:sz w:val="22"/>
                <w:szCs w:val="22"/>
                <w:lang w:eastAsia="zh-CN"/>
              </w:rPr>
              <w:t>缔约方</w:t>
            </w:r>
          </w:p>
        </w:tc>
        <w:tc>
          <w:tcPr>
            <w:tcW w:w="2250" w:type="dxa"/>
            <w:tcBorders>
              <w:top w:val="single" w:sz="4" w:space="0" w:color="auto"/>
              <w:left w:val="nil"/>
              <w:bottom w:val="single" w:sz="4" w:space="0" w:color="auto"/>
              <w:right w:val="single" w:sz="4" w:space="0" w:color="auto"/>
            </w:tcBorders>
            <w:shd w:val="clear" w:color="auto" w:fill="auto"/>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lang w:eastAsia="zh-CN"/>
              </w:rPr>
              <w:t>联合国</w:t>
            </w:r>
            <w:r w:rsidRPr="005B1318">
              <w:rPr>
                <w:rFonts w:eastAsiaTheme="minorEastAsia"/>
                <w:b/>
                <w:bCs/>
                <w:sz w:val="22"/>
                <w:szCs w:val="22"/>
              </w:rPr>
              <w:t>2016-2018</w:t>
            </w:r>
            <w:r w:rsidRPr="005B1318">
              <w:rPr>
                <w:rFonts w:eastAsiaTheme="minorEastAsia"/>
                <w:b/>
                <w:bCs/>
                <w:sz w:val="22"/>
                <w:szCs w:val="22"/>
                <w:lang w:eastAsia="zh-CN"/>
              </w:rPr>
              <w:t>年</w:t>
            </w:r>
            <w:r w:rsidRPr="005B1318">
              <w:rPr>
                <w:rFonts w:eastAsiaTheme="minorEastAsia"/>
                <w:b/>
                <w:bCs/>
                <w:sz w:val="22"/>
                <w:szCs w:val="22"/>
                <w:lang w:eastAsia="zh-CN"/>
              </w:rPr>
              <w:lastRenderedPageBreak/>
              <w:t>分摊比额表</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sz w:val="22"/>
                <w:szCs w:val="22"/>
                <w:lang w:eastAsia="zh-CN"/>
              </w:rPr>
              <w:lastRenderedPageBreak/>
              <w:t>上限为</w:t>
            </w:r>
            <w:r w:rsidRPr="005B1318">
              <w:rPr>
                <w:rFonts w:eastAsiaTheme="minorEastAsia"/>
                <w:b/>
                <w:sz w:val="22"/>
                <w:szCs w:val="22"/>
                <w:lang w:eastAsia="zh-CN"/>
              </w:rPr>
              <w:t>22%</w:t>
            </w:r>
            <w:r w:rsidRPr="005B1318">
              <w:rPr>
                <w:rFonts w:eastAsiaTheme="minorEastAsia"/>
                <w:b/>
                <w:sz w:val="22"/>
                <w:szCs w:val="22"/>
                <w:lang w:eastAsia="zh-CN"/>
              </w:rPr>
              <w:t>的比额，</w:t>
            </w:r>
            <w:r w:rsidRPr="005B1318">
              <w:rPr>
                <w:rFonts w:eastAsiaTheme="minorEastAsia"/>
                <w:b/>
                <w:sz w:val="22"/>
                <w:szCs w:val="22"/>
                <w:lang w:eastAsia="zh-CN"/>
              </w:rPr>
              <w:lastRenderedPageBreak/>
              <w:t>没有最不发达国家摊款超过</w:t>
            </w:r>
            <w:r w:rsidRPr="005B1318">
              <w:rPr>
                <w:rFonts w:eastAsiaTheme="minorEastAsia"/>
                <w:b/>
                <w:sz w:val="22"/>
                <w:szCs w:val="22"/>
                <w:lang w:eastAsia="zh-CN"/>
              </w:rPr>
              <w:t>0.01%</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2019</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w:t>
            </w:r>
            <w:r w:rsidRPr="005B1318">
              <w:rPr>
                <w:rFonts w:eastAsiaTheme="minorEastAsia"/>
                <w:b/>
                <w:bCs/>
                <w:sz w:val="22"/>
                <w:szCs w:val="22"/>
                <w:lang w:eastAsia="zh-CN"/>
              </w:rPr>
              <w:lastRenderedPageBreak/>
              <w:t>摊款</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2020</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w:t>
            </w:r>
            <w:r w:rsidRPr="005B1318">
              <w:rPr>
                <w:rFonts w:eastAsiaTheme="minorEastAsia"/>
                <w:b/>
                <w:bCs/>
                <w:sz w:val="22"/>
                <w:szCs w:val="22"/>
                <w:lang w:eastAsia="zh-CN"/>
              </w:rPr>
              <w:lastRenderedPageBreak/>
              <w:t>摊款</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2019-2020</w:t>
            </w:r>
            <w:r w:rsidRPr="005B1318">
              <w:rPr>
                <w:rFonts w:eastAsiaTheme="minorEastAsia"/>
                <w:b/>
                <w:bCs/>
                <w:sz w:val="22"/>
                <w:szCs w:val="22"/>
                <w:lang w:eastAsia="zh-CN"/>
              </w:rPr>
              <w:t>年合计</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lastRenderedPageBreak/>
              <w:t>巴拉圭</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0.018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2 073</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2 199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4 272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秘鲁</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0.136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0.170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20 141</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21 358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41 499</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菲律宾</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0.165</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0.206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24 436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25 912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50 348</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波兰</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0.841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1.051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124 549</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132 073</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256 622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葡萄牙</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0.392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0.490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58 054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61 561</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119 614</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卡塔尔</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0.269</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0.336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39 838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42 244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82 082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大韩民国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2.039</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2.549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301 969</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320 209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622 178</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摩尔多瓦共和国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592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628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1 221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罗马尼亚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0.184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0.230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27 250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28 896</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56 146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俄罗斯联邦</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3.088</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3.860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457 322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484 947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942 269</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卢旺达</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296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314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610</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圣基茨和尼维斯</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圣卢西亚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413"/>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圣文森特和格林纳丁斯</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萨摩亚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圣马力诺</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0.004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444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471</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915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圣多美和普林西比</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沙特阿拉伯</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1.146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1.433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169 719</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179 970</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349 689</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塞内加尔</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0.005</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0.006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740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785</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1 526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塞尔维亚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0.032</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0.040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4 739</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5 025</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9 764</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塞舌尔</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塞拉利昂</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新加坡</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0.447</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0.559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66 199</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70 198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136 397</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斯洛伐克</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0.160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0.200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23 695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25 127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48 822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斯洛文尼亚</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0.084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0.105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12 440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13 192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25 632</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所罗门群岛</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索马里</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南非</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0.364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0.455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53 907</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57 163</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111 071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南苏丹</w:t>
            </w:r>
          </w:p>
        </w:tc>
        <w:tc>
          <w:tcPr>
            <w:tcW w:w="2250" w:type="dxa"/>
            <w:tcBorders>
              <w:top w:val="nil"/>
              <w:left w:val="nil"/>
              <w:bottom w:val="single" w:sz="4" w:space="0" w:color="auto"/>
              <w:right w:val="single" w:sz="4" w:space="0" w:color="auto"/>
            </w:tcBorders>
            <w:shd w:val="clear" w:color="auto" w:fill="auto"/>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0.003</w:t>
            </w:r>
          </w:p>
        </w:tc>
        <w:tc>
          <w:tcPr>
            <w:tcW w:w="243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rPr>
                <w:rFonts w:eastAsiaTheme="minorEastAsia"/>
              </w:rPr>
            </w:pPr>
            <w:r w:rsidRPr="005B1318">
              <w:rPr>
                <w:rFonts w:eastAsiaTheme="minorEastAsia"/>
                <w:sz w:val="22"/>
                <w:szCs w:val="22"/>
              </w:rPr>
              <w:t xml:space="preserve">            0.004 </w:t>
            </w:r>
          </w:p>
        </w:tc>
        <w:tc>
          <w:tcPr>
            <w:tcW w:w="216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444</w:t>
            </w:r>
          </w:p>
        </w:tc>
        <w:tc>
          <w:tcPr>
            <w:tcW w:w="207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471</w:t>
            </w:r>
          </w:p>
        </w:tc>
        <w:tc>
          <w:tcPr>
            <w:tcW w:w="198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915</w:t>
            </w:r>
          </w:p>
        </w:tc>
      </w:tr>
      <w:tr w:rsidR="00B72FA3" w:rsidRPr="005B1318" w:rsidTr="00B72FA3">
        <w:trPr>
          <w:trHeight w:val="276"/>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lang w:eastAsia="zh-CN"/>
              </w:rPr>
              <w:t>缔约方</w:t>
            </w:r>
          </w:p>
        </w:tc>
        <w:tc>
          <w:tcPr>
            <w:tcW w:w="2250" w:type="dxa"/>
            <w:tcBorders>
              <w:top w:val="single" w:sz="4" w:space="0" w:color="auto"/>
              <w:left w:val="nil"/>
              <w:bottom w:val="single" w:sz="4" w:space="0" w:color="auto"/>
              <w:right w:val="single" w:sz="4" w:space="0" w:color="auto"/>
            </w:tcBorders>
            <w:shd w:val="clear" w:color="auto" w:fill="auto"/>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lang w:eastAsia="zh-CN"/>
              </w:rPr>
              <w:t>联合国</w:t>
            </w:r>
            <w:r w:rsidRPr="005B1318">
              <w:rPr>
                <w:rFonts w:eastAsiaTheme="minorEastAsia"/>
                <w:b/>
                <w:bCs/>
                <w:sz w:val="22"/>
                <w:szCs w:val="22"/>
              </w:rPr>
              <w:t>2016-2018</w:t>
            </w:r>
            <w:r w:rsidRPr="005B1318">
              <w:rPr>
                <w:rFonts w:eastAsiaTheme="minorEastAsia"/>
                <w:b/>
                <w:bCs/>
                <w:sz w:val="22"/>
                <w:szCs w:val="22"/>
                <w:lang w:eastAsia="zh-CN"/>
              </w:rPr>
              <w:t>年</w:t>
            </w:r>
            <w:r w:rsidRPr="005B1318">
              <w:rPr>
                <w:rFonts w:eastAsiaTheme="minorEastAsia"/>
                <w:b/>
                <w:bCs/>
                <w:sz w:val="22"/>
                <w:szCs w:val="22"/>
                <w:lang w:eastAsia="zh-CN"/>
              </w:rPr>
              <w:lastRenderedPageBreak/>
              <w:t>分摊比额表</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sz w:val="22"/>
                <w:szCs w:val="22"/>
                <w:lang w:eastAsia="zh-CN"/>
              </w:rPr>
              <w:lastRenderedPageBreak/>
              <w:t>上限为</w:t>
            </w:r>
            <w:r w:rsidRPr="005B1318">
              <w:rPr>
                <w:rFonts w:eastAsiaTheme="minorEastAsia"/>
                <w:b/>
                <w:sz w:val="22"/>
                <w:szCs w:val="22"/>
                <w:lang w:eastAsia="zh-CN"/>
              </w:rPr>
              <w:t>22%</w:t>
            </w:r>
            <w:r w:rsidRPr="005B1318">
              <w:rPr>
                <w:rFonts w:eastAsiaTheme="minorEastAsia"/>
                <w:b/>
                <w:sz w:val="22"/>
                <w:szCs w:val="22"/>
                <w:lang w:eastAsia="zh-CN"/>
              </w:rPr>
              <w:t>的比额，</w:t>
            </w:r>
            <w:r w:rsidRPr="005B1318">
              <w:rPr>
                <w:rFonts w:eastAsiaTheme="minorEastAsia"/>
                <w:b/>
                <w:sz w:val="22"/>
                <w:szCs w:val="22"/>
                <w:lang w:eastAsia="zh-CN"/>
              </w:rPr>
              <w:lastRenderedPageBreak/>
              <w:t>没有最不发达国家摊款超过</w:t>
            </w:r>
            <w:r w:rsidRPr="005B1318">
              <w:rPr>
                <w:rFonts w:eastAsiaTheme="minorEastAsia"/>
                <w:b/>
                <w:sz w:val="22"/>
                <w:szCs w:val="22"/>
                <w:lang w:eastAsia="zh-CN"/>
              </w:rPr>
              <w:t>0.01%</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2019</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w:t>
            </w:r>
            <w:r w:rsidRPr="005B1318">
              <w:rPr>
                <w:rFonts w:eastAsiaTheme="minorEastAsia"/>
                <w:b/>
                <w:bCs/>
                <w:sz w:val="22"/>
                <w:szCs w:val="22"/>
                <w:lang w:eastAsia="zh-CN"/>
              </w:rPr>
              <w:lastRenderedPageBreak/>
              <w:t>摊款</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2020</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w:t>
            </w:r>
            <w:r w:rsidRPr="005B1318">
              <w:rPr>
                <w:rFonts w:eastAsiaTheme="minorEastAsia"/>
                <w:b/>
                <w:bCs/>
                <w:sz w:val="22"/>
                <w:szCs w:val="22"/>
                <w:lang w:eastAsia="zh-CN"/>
              </w:rPr>
              <w:lastRenderedPageBreak/>
              <w:t>摊款</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2019-2020</w:t>
            </w:r>
            <w:r w:rsidRPr="005B1318">
              <w:rPr>
                <w:rFonts w:eastAsiaTheme="minorEastAsia"/>
                <w:b/>
                <w:bCs/>
                <w:sz w:val="22"/>
                <w:szCs w:val="22"/>
                <w:lang w:eastAsia="zh-CN"/>
              </w:rPr>
              <w:t>年合计</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lastRenderedPageBreak/>
              <w:t>西班牙</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2.443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3.054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361 800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383 654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745 454</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斯里兰卡</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0.031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0.039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4 591</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4 868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9 459</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巴勒斯坦国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0.007</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1 037</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1 099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2 136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苏丹</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1 185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1 256</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2 441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苏里南</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0.008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889</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942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1 831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瑞典</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0.956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1.195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141 580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150 132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291 713</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瑞士</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1.140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1.425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168 830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179 028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347 858</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阿拉伯叙利亚共和国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0.024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0.030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3 554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3 769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7 323</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塔吉克斯坦</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592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628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1 221</w:t>
            </w:r>
          </w:p>
        </w:tc>
      </w:tr>
      <w:tr w:rsidR="00B72FA3" w:rsidRPr="005B1318" w:rsidTr="00B72FA3">
        <w:trPr>
          <w:trHeight w:val="276"/>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泰国</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0.291</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0.364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43 096</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45 699</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88 795</w:t>
            </w:r>
          </w:p>
        </w:tc>
      </w:tr>
      <w:tr w:rsidR="00B72FA3" w:rsidRPr="005B1318" w:rsidTr="00B72FA3">
        <w:trPr>
          <w:trHeight w:val="552"/>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前南斯拉夫的马其顿共和国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0.007</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1 037</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1 099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2 136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东帝汶</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0.004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444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471</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915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多哥</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汤加</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特立尼达和多巴哥</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0.034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0.043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5 035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5 339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10 375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突尼斯</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0.028</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0.035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4 147</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4 397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8 544</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土耳其</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1.018</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1.273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150 762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159 869</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310 631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土库曼斯坦</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0.026</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0.033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3 851</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4 083</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7 934</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图瓦卢</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乌干达</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0.009</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1 185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1 256</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2 441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乌克兰</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0.103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0.129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15 254</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16 175</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31 429</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阿拉伯联合酋长国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0.604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0.755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89 450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94 854</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184 304</w:t>
            </w:r>
          </w:p>
        </w:tc>
      </w:tr>
      <w:tr w:rsidR="00B72FA3" w:rsidRPr="005B1318" w:rsidTr="00B72FA3">
        <w:trPr>
          <w:trHeight w:val="521"/>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大不列颠及北爱尔兰联合王国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4.463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5.579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660 955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700 880</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1 361 835</w:t>
            </w:r>
          </w:p>
        </w:tc>
      </w:tr>
      <w:tr w:rsidR="00B72FA3" w:rsidRPr="005B1318" w:rsidTr="00B72FA3">
        <w:trPr>
          <w:trHeight w:val="323"/>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坦桑尼亚联合共和国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1 185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1 256</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2 441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乌拉圭</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0.079</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0.099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11 700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12 406</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24 106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乌兹别克斯坦</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0.023</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0.029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3 406</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3 612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7 018</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瓦努阿图</w:t>
            </w:r>
          </w:p>
        </w:tc>
        <w:tc>
          <w:tcPr>
            <w:tcW w:w="2250" w:type="dxa"/>
            <w:tcBorders>
              <w:top w:val="nil"/>
              <w:left w:val="nil"/>
              <w:bottom w:val="single" w:sz="4" w:space="0" w:color="auto"/>
              <w:right w:val="single" w:sz="4" w:space="0" w:color="auto"/>
            </w:tcBorders>
            <w:shd w:val="clear" w:color="auto" w:fill="auto"/>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0.001</w:t>
            </w:r>
          </w:p>
        </w:tc>
        <w:tc>
          <w:tcPr>
            <w:tcW w:w="243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rPr>
                <w:rFonts w:eastAsiaTheme="minorEastAsia"/>
              </w:rPr>
            </w:pPr>
            <w:r w:rsidRPr="005B1318">
              <w:rPr>
                <w:rFonts w:eastAsiaTheme="minorEastAsia"/>
                <w:sz w:val="22"/>
                <w:szCs w:val="22"/>
              </w:rPr>
              <w:t xml:space="preserve">            0.001 </w:t>
            </w:r>
          </w:p>
        </w:tc>
        <w:tc>
          <w:tcPr>
            <w:tcW w:w="216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148</w:t>
            </w:r>
          </w:p>
        </w:tc>
        <w:tc>
          <w:tcPr>
            <w:tcW w:w="207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157</w:t>
            </w:r>
          </w:p>
        </w:tc>
        <w:tc>
          <w:tcPr>
            <w:tcW w:w="198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305</w:t>
            </w:r>
          </w:p>
        </w:tc>
      </w:tr>
      <w:tr w:rsidR="00B72FA3" w:rsidRPr="005B1318" w:rsidTr="00B72FA3">
        <w:trPr>
          <w:trHeight w:val="276"/>
        </w:trPr>
        <w:tc>
          <w:tcPr>
            <w:tcW w:w="2512" w:type="dxa"/>
            <w:tcBorders>
              <w:top w:val="single" w:sz="4" w:space="0" w:color="auto"/>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ind w:firstLine="0"/>
              <w:jc w:val="center"/>
              <w:rPr>
                <w:rFonts w:eastAsiaTheme="minorEastAsia"/>
                <w:b/>
                <w:bCs/>
                <w:lang w:eastAsia="zh-CN"/>
              </w:rPr>
            </w:pPr>
            <w:r w:rsidRPr="005B1318">
              <w:rPr>
                <w:rFonts w:eastAsiaTheme="minorEastAsia"/>
                <w:b/>
                <w:bCs/>
                <w:sz w:val="22"/>
                <w:szCs w:val="22"/>
                <w:lang w:eastAsia="zh-CN"/>
              </w:rPr>
              <w:t>缔约方</w:t>
            </w:r>
          </w:p>
        </w:tc>
        <w:tc>
          <w:tcPr>
            <w:tcW w:w="2250" w:type="dxa"/>
            <w:tcBorders>
              <w:top w:val="single" w:sz="4" w:space="0" w:color="auto"/>
              <w:left w:val="nil"/>
              <w:bottom w:val="single" w:sz="4" w:space="0" w:color="auto"/>
              <w:right w:val="single" w:sz="4" w:space="0" w:color="auto"/>
            </w:tcBorders>
            <w:shd w:val="clear" w:color="auto" w:fill="auto"/>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lang w:eastAsia="zh-CN"/>
              </w:rPr>
              <w:t>联合国</w:t>
            </w:r>
            <w:r w:rsidRPr="005B1318">
              <w:rPr>
                <w:rFonts w:eastAsiaTheme="minorEastAsia"/>
                <w:b/>
                <w:bCs/>
                <w:sz w:val="22"/>
                <w:szCs w:val="22"/>
              </w:rPr>
              <w:t>2016-2018</w:t>
            </w:r>
            <w:r w:rsidRPr="005B1318">
              <w:rPr>
                <w:rFonts w:eastAsiaTheme="minorEastAsia"/>
                <w:b/>
                <w:bCs/>
                <w:sz w:val="22"/>
                <w:szCs w:val="22"/>
                <w:lang w:eastAsia="zh-CN"/>
              </w:rPr>
              <w:t>年</w:t>
            </w:r>
            <w:r w:rsidRPr="005B1318">
              <w:rPr>
                <w:rFonts w:eastAsiaTheme="minorEastAsia"/>
                <w:b/>
                <w:bCs/>
                <w:sz w:val="22"/>
                <w:szCs w:val="22"/>
                <w:lang w:eastAsia="zh-CN"/>
              </w:rPr>
              <w:lastRenderedPageBreak/>
              <w:t>分摊比额表</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sz w:val="22"/>
                <w:szCs w:val="22"/>
                <w:lang w:eastAsia="zh-CN"/>
              </w:rPr>
              <w:lastRenderedPageBreak/>
              <w:t>上限为</w:t>
            </w:r>
            <w:r w:rsidRPr="005B1318">
              <w:rPr>
                <w:rFonts w:eastAsiaTheme="minorEastAsia"/>
                <w:b/>
                <w:sz w:val="22"/>
                <w:szCs w:val="22"/>
                <w:lang w:eastAsia="zh-CN"/>
              </w:rPr>
              <w:t>22%</w:t>
            </w:r>
            <w:r w:rsidRPr="005B1318">
              <w:rPr>
                <w:rFonts w:eastAsiaTheme="minorEastAsia"/>
                <w:b/>
                <w:sz w:val="22"/>
                <w:szCs w:val="22"/>
                <w:lang w:eastAsia="zh-CN"/>
              </w:rPr>
              <w:t>的比额，</w:t>
            </w:r>
            <w:r w:rsidRPr="005B1318">
              <w:rPr>
                <w:rFonts w:eastAsiaTheme="minorEastAsia"/>
                <w:b/>
                <w:sz w:val="22"/>
                <w:szCs w:val="22"/>
                <w:lang w:eastAsia="zh-CN"/>
              </w:rPr>
              <w:lastRenderedPageBreak/>
              <w:t>没有最不发达国家摊款超过</w:t>
            </w:r>
            <w:r w:rsidRPr="005B1318">
              <w:rPr>
                <w:rFonts w:eastAsiaTheme="minorEastAsia"/>
                <w:b/>
                <w:sz w:val="22"/>
                <w:szCs w:val="22"/>
                <w:lang w:eastAsia="zh-CN"/>
              </w:rPr>
              <w:t>0.01%</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2019</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w:t>
            </w:r>
            <w:r w:rsidRPr="005B1318">
              <w:rPr>
                <w:rFonts w:eastAsiaTheme="minorEastAsia"/>
                <w:b/>
                <w:bCs/>
                <w:sz w:val="22"/>
                <w:szCs w:val="22"/>
                <w:lang w:eastAsia="zh-CN"/>
              </w:rPr>
              <w:lastRenderedPageBreak/>
              <w:t>摊款</w:t>
            </w:r>
          </w:p>
        </w:tc>
        <w:tc>
          <w:tcPr>
            <w:tcW w:w="207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2020</w:t>
            </w:r>
            <w:r w:rsidRPr="005B1318">
              <w:rPr>
                <w:rFonts w:eastAsiaTheme="minorEastAsia"/>
                <w:b/>
                <w:bCs/>
                <w:sz w:val="22"/>
                <w:szCs w:val="22"/>
                <w:lang w:eastAsia="zh-CN"/>
              </w:rPr>
              <w:t>年</w:t>
            </w:r>
            <w:r w:rsidRPr="005B1318">
              <w:rPr>
                <w:rFonts w:eastAsiaTheme="minorEastAsia"/>
                <w:b/>
                <w:bCs/>
                <w:sz w:val="22"/>
                <w:szCs w:val="22"/>
                <w:lang w:eastAsia="zh-CN"/>
              </w:rPr>
              <w:t>1</w:t>
            </w:r>
            <w:r w:rsidRPr="005B1318">
              <w:rPr>
                <w:rFonts w:eastAsiaTheme="minorEastAsia"/>
                <w:b/>
                <w:bCs/>
                <w:sz w:val="22"/>
                <w:szCs w:val="22"/>
                <w:lang w:eastAsia="zh-CN"/>
              </w:rPr>
              <w:t>月</w:t>
            </w:r>
            <w:r w:rsidRPr="005B1318">
              <w:rPr>
                <w:rFonts w:eastAsiaTheme="minorEastAsia"/>
                <w:b/>
                <w:bCs/>
                <w:sz w:val="22"/>
                <w:szCs w:val="22"/>
                <w:lang w:eastAsia="zh-CN"/>
              </w:rPr>
              <w:t>1</w:t>
            </w:r>
            <w:r w:rsidRPr="005B1318">
              <w:rPr>
                <w:rFonts w:eastAsiaTheme="minorEastAsia"/>
                <w:b/>
                <w:bCs/>
                <w:sz w:val="22"/>
                <w:szCs w:val="22"/>
                <w:lang w:eastAsia="zh-CN"/>
              </w:rPr>
              <w:t>日的</w:t>
            </w:r>
            <w:r w:rsidRPr="005B1318">
              <w:rPr>
                <w:rFonts w:eastAsiaTheme="minorEastAsia"/>
                <w:b/>
                <w:bCs/>
                <w:sz w:val="22"/>
                <w:szCs w:val="22"/>
                <w:lang w:eastAsia="zh-CN"/>
              </w:rPr>
              <w:lastRenderedPageBreak/>
              <w:t>摊款</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B72FA3" w:rsidRPr="005B1318" w:rsidRDefault="00B72FA3" w:rsidP="005B1318">
            <w:pPr>
              <w:spacing w:before="0" w:after="0"/>
              <w:ind w:firstLine="0"/>
              <w:jc w:val="center"/>
              <w:rPr>
                <w:rFonts w:eastAsiaTheme="minorEastAsia"/>
                <w:b/>
                <w:bCs/>
                <w:lang w:eastAsia="zh-CN"/>
              </w:rPr>
            </w:pPr>
            <w:r w:rsidRPr="005B1318">
              <w:rPr>
                <w:rFonts w:eastAsiaTheme="minorEastAsia"/>
                <w:b/>
                <w:bCs/>
                <w:sz w:val="22"/>
                <w:szCs w:val="22"/>
              </w:rPr>
              <w:lastRenderedPageBreak/>
              <w:t>2019-2020</w:t>
            </w:r>
            <w:r w:rsidRPr="005B1318">
              <w:rPr>
                <w:rFonts w:eastAsiaTheme="minorEastAsia"/>
                <w:b/>
                <w:bCs/>
                <w:sz w:val="22"/>
                <w:szCs w:val="22"/>
                <w:lang w:eastAsia="zh-CN"/>
              </w:rPr>
              <w:t>年合计</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lastRenderedPageBreak/>
              <w:t>委内瑞拉玻利瓦尔共和国</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0.571</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0.714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84 563</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89 671</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174 234</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越南</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0.058</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0.073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8 590</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9 108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17 698</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也门</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0.010</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0.010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1 185</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1 256</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2 441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赞比亚</w:t>
            </w:r>
          </w:p>
        </w:tc>
        <w:tc>
          <w:tcPr>
            <w:tcW w:w="2250" w:type="dxa"/>
            <w:tcBorders>
              <w:top w:val="nil"/>
              <w:left w:val="nil"/>
              <w:bottom w:val="single" w:sz="4" w:space="0" w:color="auto"/>
              <w:right w:val="single" w:sz="4" w:space="0" w:color="auto"/>
            </w:tcBorders>
            <w:shd w:val="clear" w:color="auto" w:fill="auto"/>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0.007</w:t>
            </w:r>
          </w:p>
        </w:tc>
        <w:tc>
          <w:tcPr>
            <w:tcW w:w="243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rPr>
                <w:rFonts w:eastAsiaTheme="minorEastAsia"/>
              </w:rPr>
            </w:pPr>
            <w:r w:rsidRPr="005B1318">
              <w:rPr>
                <w:rFonts w:eastAsiaTheme="minorEastAsia"/>
                <w:sz w:val="22"/>
                <w:szCs w:val="22"/>
              </w:rPr>
              <w:t xml:space="preserve">          0.009 </w:t>
            </w:r>
          </w:p>
        </w:tc>
        <w:tc>
          <w:tcPr>
            <w:tcW w:w="216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1 037</w:t>
            </w:r>
          </w:p>
        </w:tc>
        <w:tc>
          <w:tcPr>
            <w:tcW w:w="207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1 099</w:t>
            </w:r>
          </w:p>
        </w:tc>
        <w:tc>
          <w:tcPr>
            <w:tcW w:w="1980" w:type="dxa"/>
            <w:tcBorders>
              <w:top w:val="nil"/>
              <w:left w:val="nil"/>
              <w:bottom w:val="single" w:sz="4" w:space="0" w:color="auto"/>
              <w:right w:val="single" w:sz="4" w:space="0" w:color="auto"/>
            </w:tcBorders>
            <w:shd w:val="clear" w:color="auto" w:fill="auto"/>
            <w:noWrap/>
            <w:vAlign w:val="center"/>
          </w:tcPr>
          <w:p w:rsidR="00B72FA3" w:rsidRPr="005B1318" w:rsidRDefault="00B72FA3" w:rsidP="00B72FA3">
            <w:pPr>
              <w:spacing w:before="0" w:after="0"/>
              <w:jc w:val="right"/>
              <w:rPr>
                <w:rFonts w:eastAsiaTheme="minorEastAsia"/>
              </w:rPr>
            </w:pPr>
            <w:r w:rsidRPr="005B1318">
              <w:rPr>
                <w:rFonts w:eastAsiaTheme="minorEastAsia"/>
                <w:sz w:val="22"/>
                <w:szCs w:val="22"/>
              </w:rPr>
              <w:t>2 136</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lang w:eastAsia="zh-CN"/>
              </w:rPr>
            </w:pPr>
            <w:r w:rsidRPr="005B1318">
              <w:rPr>
                <w:rFonts w:eastAsiaTheme="minorEastAsia"/>
                <w:sz w:val="22"/>
                <w:szCs w:val="22"/>
                <w:lang w:eastAsia="zh-CN"/>
              </w:rPr>
              <w:t>津巴布韦</w:t>
            </w:r>
          </w:p>
        </w:tc>
        <w:tc>
          <w:tcPr>
            <w:tcW w:w="2250" w:type="dxa"/>
            <w:tcBorders>
              <w:top w:val="nil"/>
              <w:left w:val="nil"/>
              <w:bottom w:val="single" w:sz="4" w:space="0" w:color="auto"/>
              <w:right w:val="single" w:sz="4" w:space="0" w:color="auto"/>
            </w:tcBorders>
            <w:shd w:val="clear" w:color="auto" w:fill="auto"/>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0.004</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rPr>
            </w:pPr>
            <w:r w:rsidRPr="005B1318">
              <w:rPr>
                <w:rFonts w:eastAsiaTheme="minorEastAsia"/>
                <w:sz w:val="22"/>
                <w:szCs w:val="22"/>
              </w:rPr>
              <w:t xml:space="preserve">          0.005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592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628</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rPr>
            </w:pPr>
            <w:r w:rsidRPr="005B1318">
              <w:rPr>
                <w:rFonts w:eastAsiaTheme="minorEastAsia"/>
                <w:sz w:val="22"/>
                <w:szCs w:val="22"/>
              </w:rPr>
              <w:t>1 221</w:t>
            </w:r>
          </w:p>
        </w:tc>
      </w:tr>
      <w:tr w:rsidR="00B72FA3" w:rsidRPr="005B1318" w:rsidTr="00B72FA3">
        <w:trPr>
          <w:trHeight w:val="276"/>
        </w:trPr>
        <w:tc>
          <w:tcPr>
            <w:tcW w:w="2512" w:type="dxa"/>
            <w:tcBorders>
              <w:top w:val="nil"/>
              <w:left w:val="single" w:sz="4" w:space="0" w:color="auto"/>
              <w:bottom w:val="single" w:sz="4" w:space="0" w:color="auto"/>
              <w:right w:val="single" w:sz="4" w:space="0" w:color="auto"/>
            </w:tcBorders>
            <w:shd w:val="clear" w:color="auto" w:fill="auto"/>
            <w:vAlign w:val="center"/>
            <w:hideMark/>
          </w:tcPr>
          <w:p w:rsidR="00B72FA3" w:rsidRPr="005B1318" w:rsidRDefault="00B72FA3" w:rsidP="00B72FA3">
            <w:pPr>
              <w:spacing w:before="0" w:after="0"/>
              <w:ind w:firstLine="0"/>
              <w:rPr>
                <w:rFonts w:eastAsiaTheme="minorEastAsia"/>
                <w:b/>
                <w:bCs/>
                <w:lang w:eastAsia="zh-CN"/>
              </w:rPr>
            </w:pPr>
            <w:r w:rsidRPr="005B1318">
              <w:rPr>
                <w:rFonts w:eastAsiaTheme="minorEastAsia"/>
                <w:b/>
                <w:bCs/>
                <w:sz w:val="22"/>
                <w:szCs w:val="22"/>
                <w:lang w:eastAsia="zh-CN"/>
              </w:rPr>
              <w:t>共计</w:t>
            </w:r>
          </w:p>
        </w:tc>
        <w:tc>
          <w:tcPr>
            <w:tcW w:w="225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b/>
                <w:bCs/>
              </w:rPr>
            </w:pPr>
            <w:r w:rsidRPr="005B1318">
              <w:rPr>
                <w:rFonts w:eastAsiaTheme="minorEastAsia"/>
                <w:b/>
                <w:bCs/>
                <w:sz w:val="22"/>
                <w:szCs w:val="22"/>
              </w:rPr>
              <w:t xml:space="preserve">          78.009 </w:t>
            </w:r>
          </w:p>
        </w:tc>
        <w:tc>
          <w:tcPr>
            <w:tcW w:w="243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rPr>
                <w:rFonts w:eastAsiaTheme="minorEastAsia"/>
                <w:b/>
                <w:bCs/>
              </w:rPr>
            </w:pPr>
            <w:r w:rsidRPr="005B1318">
              <w:rPr>
                <w:rFonts w:eastAsiaTheme="minorEastAsia"/>
                <w:b/>
                <w:bCs/>
                <w:sz w:val="22"/>
                <w:szCs w:val="22"/>
              </w:rPr>
              <w:t xml:space="preserve">             100 </w:t>
            </w:r>
          </w:p>
        </w:tc>
        <w:tc>
          <w:tcPr>
            <w:tcW w:w="216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b/>
                <w:bCs/>
              </w:rPr>
            </w:pPr>
            <w:r w:rsidRPr="005B1318">
              <w:rPr>
                <w:rFonts w:eastAsiaTheme="minorEastAsia"/>
                <w:b/>
                <w:bCs/>
                <w:sz w:val="22"/>
                <w:szCs w:val="22"/>
              </w:rPr>
              <w:t>11 846 512</w:t>
            </w:r>
          </w:p>
        </w:tc>
        <w:tc>
          <w:tcPr>
            <w:tcW w:w="207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b/>
                <w:bCs/>
              </w:rPr>
            </w:pPr>
            <w:r w:rsidRPr="005B1318">
              <w:rPr>
                <w:rFonts w:eastAsiaTheme="minorEastAsia"/>
                <w:b/>
                <w:bCs/>
                <w:sz w:val="22"/>
                <w:szCs w:val="22"/>
              </w:rPr>
              <w:t>12 562 092</w:t>
            </w:r>
          </w:p>
        </w:tc>
        <w:tc>
          <w:tcPr>
            <w:tcW w:w="1980" w:type="dxa"/>
            <w:tcBorders>
              <w:top w:val="nil"/>
              <w:left w:val="nil"/>
              <w:bottom w:val="single" w:sz="4" w:space="0" w:color="auto"/>
              <w:right w:val="single" w:sz="4" w:space="0" w:color="auto"/>
            </w:tcBorders>
            <w:shd w:val="clear" w:color="auto" w:fill="auto"/>
            <w:noWrap/>
            <w:vAlign w:val="center"/>
            <w:hideMark/>
          </w:tcPr>
          <w:p w:rsidR="00B72FA3" w:rsidRPr="005B1318" w:rsidRDefault="00B72FA3" w:rsidP="00B72FA3">
            <w:pPr>
              <w:spacing w:before="0" w:after="0"/>
              <w:jc w:val="right"/>
              <w:rPr>
                <w:rFonts w:eastAsiaTheme="minorEastAsia"/>
                <w:b/>
                <w:bCs/>
              </w:rPr>
            </w:pPr>
            <w:r w:rsidRPr="005B1318">
              <w:rPr>
                <w:rFonts w:eastAsiaTheme="minorEastAsia"/>
                <w:b/>
                <w:bCs/>
                <w:sz w:val="22"/>
                <w:szCs w:val="22"/>
              </w:rPr>
              <w:t>24 408 604</w:t>
            </w:r>
          </w:p>
        </w:tc>
      </w:tr>
      <w:tr w:rsidR="00B72FA3" w:rsidRPr="005B1318" w:rsidTr="00B72FA3">
        <w:trPr>
          <w:trHeight w:val="276"/>
        </w:trPr>
        <w:tc>
          <w:tcPr>
            <w:tcW w:w="2512" w:type="dxa"/>
            <w:tcBorders>
              <w:top w:val="nil"/>
              <w:left w:val="nil"/>
              <w:bottom w:val="nil"/>
              <w:right w:val="nil"/>
            </w:tcBorders>
            <w:shd w:val="clear" w:color="auto" w:fill="auto"/>
            <w:vAlign w:val="center"/>
            <w:hideMark/>
          </w:tcPr>
          <w:p w:rsidR="00B72FA3" w:rsidRPr="005B1318" w:rsidRDefault="00B72FA3" w:rsidP="00B72FA3">
            <w:pPr>
              <w:spacing w:before="0" w:after="0"/>
              <w:rPr>
                <w:rFonts w:eastAsiaTheme="minorEastAsia"/>
              </w:rPr>
            </w:pPr>
          </w:p>
        </w:tc>
        <w:tc>
          <w:tcPr>
            <w:tcW w:w="2250" w:type="dxa"/>
            <w:tcBorders>
              <w:top w:val="nil"/>
              <w:left w:val="nil"/>
              <w:bottom w:val="nil"/>
              <w:right w:val="nil"/>
            </w:tcBorders>
            <w:shd w:val="clear" w:color="auto" w:fill="auto"/>
            <w:noWrap/>
            <w:vAlign w:val="center"/>
            <w:hideMark/>
          </w:tcPr>
          <w:p w:rsidR="00B72FA3" w:rsidRPr="005B1318" w:rsidRDefault="00B72FA3" w:rsidP="00B72FA3">
            <w:pPr>
              <w:spacing w:before="0" w:after="0"/>
              <w:rPr>
                <w:rFonts w:eastAsiaTheme="minorEastAsia"/>
              </w:rPr>
            </w:pPr>
          </w:p>
        </w:tc>
        <w:tc>
          <w:tcPr>
            <w:tcW w:w="2430" w:type="dxa"/>
            <w:tcBorders>
              <w:top w:val="nil"/>
              <w:left w:val="nil"/>
              <w:bottom w:val="nil"/>
              <w:right w:val="nil"/>
            </w:tcBorders>
            <w:shd w:val="clear" w:color="auto" w:fill="auto"/>
            <w:noWrap/>
            <w:vAlign w:val="center"/>
            <w:hideMark/>
          </w:tcPr>
          <w:p w:rsidR="00B72FA3" w:rsidRPr="005B1318" w:rsidRDefault="00B72FA3" w:rsidP="00B72FA3">
            <w:pPr>
              <w:spacing w:before="0" w:after="0"/>
              <w:rPr>
                <w:rFonts w:eastAsiaTheme="minorEastAsia"/>
              </w:rPr>
            </w:pPr>
          </w:p>
        </w:tc>
        <w:tc>
          <w:tcPr>
            <w:tcW w:w="2160" w:type="dxa"/>
            <w:tcBorders>
              <w:top w:val="nil"/>
              <w:left w:val="nil"/>
              <w:bottom w:val="nil"/>
              <w:right w:val="nil"/>
            </w:tcBorders>
            <w:shd w:val="clear" w:color="auto" w:fill="auto"/>
            <w:noWrap/>
            <w:vAlign w:val="center"/>
            <w:hideMark/>
          </w:tcPr>
          <w:p w:rsidR="00B72FA3" w:rsidRPr="005B1318" w:rsidRDefault="00B72FA3" w:rsidP="00B72FA3">
            <w:pPr>
              <w:spacing w:before="0" w:after="0"/>
              <w:rPr>
                <w:rFonts w:eastAsiaTheme="minorEastAsia"/>
              </w:rPr>
            </w:pPr>
          </w:p>
        </w:tc>
        <w:tc>
          <w:tcPr>
            <w:tcW w:w="2070" w:type="dxa"/>
            <w:tcBorders>
              <w:top w:val="nil"/>
              <w:left w:val="nil"/>
              <w:bottom w:val="nil"/>
              <w:right w:val="nil"/>
            </w:tcBorders>
            <w:shd w:val="clear" w:color="auto" w:fill="auto"/>
            <w:noWrap/>
            <w:vAlign w:val="center"/>
            <w:hideMark/>
          </w:tcPr>
          <w:p w:rsidR="00B72FA3" w:rsidRPr="005B1318" w:rsidRDefault="00B72FA3" w:rsidP="00B72FA3">
            <w:pPr>
              <w:spacing w:before="0" w:after="0"/>
              <w:rPr>
                <w:rFonts w:eastAsiaTheme="minorEastAsia"/>
              </w:rPr>
            </w:pPr>
          </w:p>
        </w:tc>
        <w:tc>
          <w:tcPr>
            <w:tcW w:w="1980" w:type="dxa"/>
            <w:tcBorders>
              <w:top w:val="nil"/>
              <w:left w:val="nil"/>
              <w:bottom w:val="nil"/>
              <w:right w:val="nil"/>
            </w:tcBorders>
            <w:shd w:val="clear" w:color="auto" w:fill="auto"/>
            <w:noWrap/>
            <w:vAlign w:val="center"/>
            <w:hideMark/>
          </w:tcPr>
          <w:p w:rsidR="00B72FA3" w:rsidRPr="005B1318" w:rsidRDefault="00B72FA3" w:rsidP="00B72FA3">
            <w:pPr>
              <w:spacing w:before="0" w:after="0"/>
              <w:rPr>
                <w:rFonts w:eastAsiaTheme="minorEastAsia"/>
              </w:rPr>
            </w:pPr>
          </w:p>
        </w:tc>
      </w:tr>
    </w:tbl>
    <w:p w:rsidR="00B72FA3" w:rsidRPr="00421205" w:rsidRDefault="00B72FA3" w:rsidP="00B72FA3">
      <w:pPr>
        <w:suppressLineNumbers/>
        <w:suppressAutoHyphens/>
        <w:spacing w:before="0" w:after="0"/>
        <w:jc w:val="center"/>
        <w:rPr>
          <w:snapToGrid w:val="0"/>
          <w:kern w:val="22"/>
          <w:lang w:val="en-GB" w:eastAsia="zh-CN"/>
        </w:rPr>
      </w:pPr>
    </w:p>
    <w:p w:rsidR="00B72FA3" w:rsidRPr="00421205" w:rsidRDefault="00B72FA3" w:rsidP="00B72FA3">
      <w:pPr>
        <w:suppressLineNumbers/>
        <w:suppressAutoHyphens/>
        <w:spacing w:before="0" w:after="0"/>
        <w:ind w:firstLine="360"/>
        <w:jc w:val="center"/>
        <w:rPr>
          <w:snapToGrid w:val="0"/>
          <w:kern w:val="22"/>
          <w:lang w:val="en-GB" w:eastAsia="zh-CN"/>
        </w:rPr>
      </w:pPr>
      <w:r w:rsidRPr="00421205">
        <w:rPr>
          <w:snapToGrid w:val="0"/>
          <w:kern w:val="22"/>
          <w:lang w:val="en-GB" w:eastAsia="zh-CN"/>
        </w:rPr>
        <w:t xml:space="preserve"> </w:t>
      </w:r>
    </w:p>
    <w:p w:rsidR="005B1318" w:rsidRDefault="005B1318" w:rsidP="001152C0">
      <w:pPr>
        <w:pStyle w:val="Para10"/>
        <w:rPr>
          <w:rFonts w:ascii="Times New Roman" w:eastAsiaTheme="minorEastAsia" w:hAnsi="Times New Roman"/>
        </w:rPr>
        <w:sectPr w:rsidR="005B1318" w:rsidSect="00B72FA3">
          <w:headerReference w:type="even" r:id="rId97"/>
          <w:headerReference w:type="default" r:id="rId98"/>
          <w:headerReference w:type="first" r:id="rId99"/>
          <w:endnotePr>
            <w:numFmt w:val="decimal"/>
          </w:endnotePr>
          <w:pgSz w:w="15842" w:h="12242" w:orient="landscape" w:code="1"/>
          <w:pgMar w:top="1440" w:right="1077" w:bottom="1043" w:left="1140" w:header="459" w:footer="720" w:gutter="0"/>
          <w:cols w:space="720"/>
          <w:titlePg/>
          <w:docGrid w:linePitch="326"/>
        </w:sectPr>
      </w:pPr>
    </w:p>
    <w:p w:rsidR="00CA61D3" w:rsidRPr="00CA61D3" w:rsidRDefault="00CA61D3" w:rsidP="00CA61D3">
      <w:pPr>
        <w:pStyle w:val="Heading1"/>
        <w:spacing w:before="120" w:after="120"/>
        <w:rPr>
          <w:rFonts w:eastAsiaTheme="minorEastAsia" w:cs="Times New Roman"/>
          <w:noProof/>
          <w:kern w:val="22"/>
          <w:sz w:val="24"/>
          <w:lang w:eastAsia="zh-CN"/>
        </w:rPr>
      </w:pPr>
      <w:bookmarkStart w:id="246" w:name="_Toc6243807"/>
      <w:r w:rsidRPr="00CA61D3">
        <w:rPr>
          <w:rFonts w:eastAsiaTheme="minorEastAsia" w:cs="Times New Roman"/>
          <w:noProof/>
          <w:kern w:val="22"/>
          <w:sz w:val="24"/>
          <w:lang w:eastAsia="zh-CN"/>
        </w:rPr>
        <w:lastRenderedPageBreak/>
        <w:t>14/38.</w:t>
      </w:r>
      <w:r w:rsidRPr="00CA61D3">
        <w:rPr>
          <w:rFonts w:eastAsiaTheme="minorEastAsia" w:cs="Times New Roman"/>
          <w:noProof/>
          <w:kern w:val="22"/>
          <w:sz w:val="24"/>
          <w:lang w:eastAsia="zh-CN"/>
        </w:rPr>
        <w:tab/>
        <w:t xml:space="preserve">   </w:t>
      </w:r>
      <w:r w:rsidRPr="00CA61D3">
        <w:rPr>
          <w:rFonts w:eastAsiaTheme="minorEastAsia" w:cs="Times New Roman"/>
          <w:noProof/>
          <w:kern w:val="22"/>
          <w:sz w:val="24"/>
          <w:lang w:eastAsia="zh-CN"/>
        </w:rPr>
        <w:t>缔约方大会今后会议的日期和地点</w:t>
      </w:r>
      <w:bookmarkEnd w:id="246"/>
      <w:r w:rsidRPr="00CA61D3">
        <w:rPr>
          <w:rFonts w:eastAsiaTheme="minorEastAsia" w:cs="Times New Roman"/>
          <w:noProof/>
          <w:kern w:val="22"/>
          <w:sz w:val="24"/>
          <w:lang w:eastAsia="zh-CN"/>
        </w:rPr>
        <w:t xml:space="preserve"> </w:t>
      </w:r>
    </w:p>
    <w:p w:rsidR="00CA61D3" w:rsidRPr="00CA61D3" w:rsidRDefault="00CA61D3" w:rsidP="00CA61D3">
      <w:pPr>
        <w:pStyle w:val="Para1"/>
        <w:suppressLineNumbers/>
        <w:tabs>
          <w:tab w:val="clear" w:pos="360"/>
          <w:tab w:val="left" w:pos="1440"/>
        </w:tabs>
        <w:suppressAutoHyphens/>
        <w:kinsoku w:val="0"/>
        <w:overflowPunct w:val="0"/>
        <w:autoSpaceDE w:val="0"/>
        <w:autoSpaceDN w:val="0"/>
        <w:adjustRightInd w:val="0"/>
        <w:snapToGrid w:val="0"/>
        <w:rPr>
          <w:rFonts w:eastAsiaTheme="minorEastAsia"/>
          <w:iCs/>
          <w:kern w:val="22"/>
          <w:sz w:val="24"/>
          <w:szCs w:val="24"/>
          <w:lang w:eastAsia="zh-CN"/>
        </w:rPr>
      </w:pPr>
      <w:r w:rsidRPr="00CA61D3">
        <w:rPr>
          <w:rFonts w:ascii="KaiTi" w:eastAsia="KaiTi" w:hAnsi="KaiTi"/>
          <w:iCs/>
          <w:kern w:val="22"/>
          <w:sz w:val="24"/>
          <w:szCs w:val="24"/>
          <w:lang w:eastAsia="zh-CN"/>
        </w:rPr>
        <w:t>缔约方大会</w:t>
      </w:r>
      <w:r w:rsidRPr="00CA61D3">
        <w:rPr>
          <w:rFonts w:eastAsiaTheme="minorEastAsia"/>
          <w:iCs/>
          <w:kern w:val="22"/>
          <w:sz w:val="24"/>
          <w:szCs w:val="24"/>
          <w:lang w:eastAsia="zh-CN"/>
        </w:rPr>
        <w:t>，</w:t>
      </w:r>
    </w:p>
    <w:p w:rsidR="00CA61D3" w:rsidRPr="00CA61D3" w:rsidRDefault="00CA61D3" w:rsidP="00CA61D3">
      <w:pPr>
        <w:pStyle w:val="Para1"/>
        <w:suppressLineNumbers/>
        <w:tabs>
          <w:tab w:val="clear" w:pos="360"/>
          <w:tab w:val="left" w:pos="1440"/>
        </w:tabs>
        <w:suppressAutoHyphens/>
        <w:kinsoku w:val="0"/>
        <w:overflowPunct w:val="0"/>
        <w:autoSpaceDE w:val="0"/>
        <w:autoSpaceDN w:val="0"/>
        <w:adjustRightInd w:val="0"/>
        <w:snapToGrid w:val="0"/>
        <w:rPr>
          <w:rFonts w:eastAsiaTheme="minorEastAsia"/>
          <w:sz w:val="24"/>
          <w:szCs w:val="24"/>
          <w:lang w:eastAsia="zh-CN"/>
        </w:rPr>
      </w:pPr>
      <w:r w:rsidRPr="00CA61D3">
        <w:rPr>
          <w:rFonts w:ascii="KaiTi" w:eastAsia="KaiTi" w:hAnsi="KaiTi"/>
          <w:iCs/>
          <w:kern w:val="22"/>
          <w:sz w:val="24"/>
          <w:szCs w:val="24"/>
          <w:lang w:eastAsia="zh-CN"/>
        </w:rPr>
        <w:t>回顾</w:t>
      </w:r>
      <w:r w:rsidRPr="00CA61D3">
        <w:rPr>
          <w:rFonts w:eastAsiaTheme="minorEastAsia"/>
          <w:sz w:val="24"/>
          <w:szCs w:val="24"/>
          <w:lang w:eastAsia="zh-CN"/>
        </w:rPr>
        <w:t>第</w:t>
      </w:r>
      <w:r w:rsidRPr="00CA61D3">
        <w:rPr>
          <w:rFonts w:eastAsiaTheme="minorEastAsia"/>
          <w:sz w:val="24"/>
          <w:szCs w:val="24"/>
          <w:lang w:eastAsia="zh-CN"/>
        </w:rPr>
        <w:t>XIII/33</w:t>
      </w:r>
      <w:r w:rsidRPr="00CA61D3">
        <w:rPr>
          <w:rFonts w:eastAsiaTheme="minorEastAsia"/>
          <w:sz w:val="24"/>
          <w:szCs w:val="24"/>
          <w:lang w:eastAsia="zh-CN"/>
        </w:rPr>
        <w:t>号决定，缔约方大会在该决定中决定缔约方大会第十五届会议将在中国举行，缔约方大会第十六届会议将在土耳其举行，</w:t>
      </w:r>
    </w:p>
    <w:p w:rsidR="00CA61D3" w:rsidRPr="00CA61D3" w:rsidRDefault="00CA61D3" w:rsidP="00615E7F">
      <w:pPr>
        <w:pStyle w:val="ListParagraph"/>
        <w:widowControl w:val="0"/>
        <w:numPr>
          <w:ilvl w:val="0"/>
          <w:numId w:val="283"/>
        </w:numPr>
        <w:shd w:val="clear" w:color="auto" w:fill="FFFFFF" w:themeFill="background1"/>
        <w:tabs>
          <w:tab w:val="left" w:pos="1440"/>
        </w:tabs>
        <w:ind w:left="0" w:firstLine="706"/>
        <w:rPr>
          <w:rFonts w:eastAsiaTheme="minorEastAsia"/>
          <w:lang w:eastAsia="zh-CN"/>
        </w:rPr>
      </w:pPr>
      <w:r w:rsidRPr="00CA61D3">
        <w:rPr>
          <w:rFonts w:ascii="KaiTi" w:eastAsia="KaiTi" w:hAnsi="KaiTi"/>
          <w:iCs/>
          <w:kern w:val="22"/>
          <w:lang w:val="en-GB" w:eastAsia="zh-CN"/>
        </w:rPr>
        <w:t>决定</w:t>
      </w:r>
      <w:r w:rsidRPr="00CA61D3">
        <w:rPr>
          <w:rFonts w:eastAsiaTheme="minorEastAsia"/>
          <w:lang w:eastAsia="zh-CN"/>
        </w:rPr>
        <w:t>缔约方大会第十六届会议、作为卡塔赫纳议定书缔约方会议的缔约方大会第十一次会议和作为名古屋议定书缔约方会议的缔约方大会第五次会议将于</w:t>
      </w:r>
      <w:r w:rsidRPr="00CA61D3">
        <w:rPr>
          <w:rFonts w:eastAsiaTheme="minorEastAsia"/>
          <w:lang w:eastAsia="zh-CN"/>
        </w:rPr>
        <w:t>2022</w:t>
      </w:r>
      <w:r w:rsidRPr="00CA61D3">
        <w:rPr>
          <w:rFonts w:eastAsiaTheme="minorEastAsia"/>
          <w:lang w:eastAsia="zh-CN"/>
        </w:rPr>
        <w:t>年最后一季度举行。</w:t>
      </w:r>
    </w:p>
    <w:p w:rsidR="00CA61D3" w:rsidRPr="00CA61D3" w:rsidRDefault="00CA61D3" w:rsidP="00615E7F">
      <w:pPr>
        <w:pStyle w:val="ListParagraph"/>
        <w:widowControl w:val="0"/>
        <w:numPr>
          <w:ilvl w:val="0"/>
          <w:numId w:val="283"/>
        </w:numPr>
        <w:shd w:val="clear" w:color="auto" w:fill="FFFFFF" w:themeFill="background1"/>
        <w:tabs>
          <w:tab w:val="left" w:pos="1440"/>
        </w:tabs>
        <w:ind w:left="0" w:firstLine="706"/>
        <w:rPr>
          <w:rFonts w:eastAsiaTheme="minorEastAsia"/>
          <w:bCs/>
          <w:iCs/>
          <w:kern w:val="20"/>
          <w:lang w:eastAsia="zh-CN"/>
        </w:rPr>
      </w:pPr>
      <w:r w:rsidRPr="00CA61D3">
        <w:rPr>
          <w:rFonts w:ascii="KaiTi" w:eastAsia="KaiTi" w:hAnsi="KaiTi"/>
          <w:iCs/>
          <w:kern w:val="22"/>
          <w:lang w:val="en-GB" w:eastAsia="zh-CN"/>
        </w:rPr>
        <w:t>邀请</w:t>
      </w:r>
      <w:r w:rsidRPr="00CA61D3">
        <w:rPr>
          <w:rFonts w:eastAsiaTheme="minorEastAsia"/>
          <w:bCs/>
          <w:iCs/>
          <w:kern w:val="20"/>
          <w:lang w:eastAsia="zh-CN"/>
        </w:rPr>
        <w:t>来自中欧和东欧区域的缔约方向执行秘书通报其关于主办缔约方大会第十七届会议以及</w:t>
      </w:r>
      <w:r w:rsidRPr="00CA61D3">
        <w:rPr>
          <w:rFonts w:eastAsiaTheme="minorEastAsia"/>
          <w:lang w:eastAsia="zh-CN"/>
        </w:rPr>
        <w:t>作为卡塔赫纳议定书缔约方会议的缔约方大会第十二次会议和作为名古屋议定书缔约方会议的缔约方大会第六次会议</w:t>
      </w:r>
      <w:r w:rsidRPr="00CA61D3">
        <w:rPr>
          <w:rFonts w:eastAsiaTheme="minorEastAsia"/>
          <w:bCs/>
          <w:iCs/>
          <w:kern w:val="20"/>
          <w:lang w:eastAsia="zh-CN"/>
        </w:rPr>
        <w:t>的建议；</w:t>
      </w:r>
    </w:p>
    <w:p w:rsidR="00CA61D3" w:rsidRPr="00CA61D3" w:rsidRDefault="00CA61D3" w:rsidP="00615E7F">
      <w:pPr>
        <w:pStyle w:val="ListParagraph"/>
        <w:widowControl w:val="0"/>
        <w:numPr>
          <w:ilvl w:val="0"/>
          <w:numId w:val="283"/>
        </w:numPr>
        <w:shd w:val="clear" w:color="auto" w:fill="FFFFFF" w:themeFill="background1"/>
        <w:tabs>
          <w:tab w:val="left" w:pos="1440"/>
        </w:tabs>
        <w:ind w:left="0" w:firstLine="706"/>
        <w:rPr>
          <w:rFonts w:eastAsiaTheme="minorEastAsia"/>
          <w:color w:val="000000"/>
          <w:lang w:eastAsia="zh-CN"/>
        </w:rPr>
      </w:pPr>
      <w:r w:rsidRPr="00CA61D3">
        <w:rPr>
          <w:rFonts w:ascii="KaiTi" w:eastAsia="KaiTi" w:hAnsi="KaiTi"/>
          <w:iCs/>
          <w:kern w:val="22"/>
          <w:lang w:val="en-GB" w:eastAsia="zh-CN"/>
        </w:rPr>
        <w:t>请</w:t>
      </w:r>
      <w:r w:rsidRPr="00CA61D3">
        <w:rPr>
          <w:rFonts w:eastAsiaTheme="minorEastAsia"/>
          <w:bCs/>
          <w:iCs/>
          <w:kern w:val="20"/>
          <w:lang w:eastAsia="zh-CN"/>
        </w:rPr>
        <w:t>执行问题附属机构根据其审议</w:t>
      </w:r>
      <w:r w:rsidRPr="00CA61D3">
        <w:rPr>
          <w:rFonts w:eastAsiaTheme="minorEastAsia"/>
          <w:bCs/>
          <w:iCs/>
          <w:kern w:val="20"/>
          <w:lang w:eastAsia="zh-CN"/>
        </w:rPr>
        <w:t>2020</w:t>
      </w:r>
      <w:r w:rsidRPr="00CA61D3">
        <w:rPr>
          <w:rFonts w:eastAsiaTheme="minorEastAsia"/>
          <w:bCs/>
          <w:iCs/>
          <w:kern w:val="20"/>
          <w:lang w:eastAsia="zh-CN"/>
        </w:rPr>
        <w:t>年后全球生物多样性框架的情况，编制关于缔约方大会第十六届会议之后的周期的提议，供缔约方大会第十五届会议审议和通过。</w:t>
      </w:r>
    </w:p>
    <w:p w:rsidR="00CA61D3" w:rsidRDefault="00CA61D3">
      <w:pPr>
        <w:rPr>
          <w:rFonts w:ascii="SimHei" w:eastAsia="SimHei" w:hAnsi="SimHei" w:cs="SimSun"/>
          <w:lang w:eastAsia="zh-CN"/>
        </w:rPr>
      </w:pPr>
      <w:r>
        <w:rPr>
          <w:rFonts w:ascii="SimHei" w:eastAsia="SimHei" w:hAnsi="SimHei" w:cs="SimSun"/>
          <w:lang w:eastAsia="zh-CN"/>
        </w:rPr>
        <w:br w:type="page"/>
      </w:r>
    </w:p>
    <w:p w:rsidR="008D76BF" w:rsidRPr="00CD6958" w:rsidRDefault="00CD005D" w:rsidP="00CA61D3">
      <w:pPr>
        <w:ind w:firstLine="0"/>
        <w:jc w:val="center"/>
        <w:rPr>
          <w:rFonts w:ascii="SimHei" w:eastAsia="SimHei" w:hAnsi="SimHei" w:cs="SimSun"/>
          <w:lang w:eastAsia="zh-CN"/>
        </w:rPr>
      </w:pPr>
      <w:r>
        <w:rPr>
          <w:rFonts w:ascii="SimHei" w:eastAsia="SimHei" w:hAnsi="SimHei" w:cs="SimSun" w:hint="eastAsia"/>
          <w:lang w:eastAsia="zh-CN"/>
        </w:rPr>
        <w:lastRenderedPageBreak/>
        <w:t>二.</w:t>
      </w:r>
      <w:r>
        <w:rPr>
          <w:rFonts w:ascii="SimHei" w:eastAsia="SimHei" w:hAnsi="SimHei" w:cs="SimSun"/>
          <w:lang w:eastAsia="zh-CN"/>
        </w:rPr>
        <w:t xml:space="preserve">   </w:t>
      </w:r>
      <w:r w:rsidR="008D76BF" w:rsidRPr="00CD6958">
        <w:rPr>
          <w:rFonts w:ascii="SimHei" w:eastAsia="SimHei" w:hAnsi="SimHei" w:cs="SimSun" w:hint="eastAsia"/>
          <w:lang w:eastAsia="zh-CN"/>
        </w:rPr>
        <w:t>会议记录</w:t>
      </w:r>
    </w:p>
    <w:p w:rsidR="008D76BF" w:rsidRPr="00F17640" w:rsidRDefault="008D76BF" w:rsidP="00F17640">
      <w:pPr>
        <w:pStyle w:val="Heading1"/>
        <w:spacing w:before="120" w:after="120"/>
        <w:ind w:firstLine="0"/>
        <w:rPr>
          <w:sz w:val="24"/>
          <w:lang w:eastAsia="zh-CN"/>
        </w:rPr>
      </w:pPr>
      <w:bookmarkStart w:id="247" w:name="_Toc6243808"/>
      <w:r w:rsidRPr="00F17640">
        <w:rPr>
          <w:sz w:val="24"/>
          <w:lang w:eastAsia="zh-CN"/>
        </w:rPr>
        <w:t xml:space="preserve">A.    </w:t>
      </w:r>
      <w:r w:rsidRPr="00F17640">
        <w:rPr>
          <w:rFonts w:ascii="SimSun" w:eastAsia="SimSun" w:hAnsi="SimSun" w:cs="SimSun" w:hint="eastAsia"/>
          <w:sz w:val="24"/>
          <w:lang w:eastAsia="zh-CN"/>
        </w:rPr>
        <w:t>背景</w:t>
      </w:r>
      <w:bookmarkEnd w:id="247"/>
    </w:p>
    <w:p w:rsidR="008D76BF" w:rsidRPr="004311D7" w:rsidRDefault="008D76BF" w:rsidP="00750ECD">
      <w:pPr>
        <w:pStyle w:val="Para1"/>
        <w:numPr>
          <w:ilvl w:val="0"/>
          <w:numId w:val="9"/>
        </w:numPr>
        <w:tabs>
          <w:tab w:val="clear" w:pos="360"/>
          <w:tab w:val="left" w:pos="720"/>
        </w:tabs>
        <w:ind w:firstLine="0"/>
        <w:rPr>
          <w:rFonts w:hAnsi="SimSun"/>
          <w:sz w:val="24"/>
          <w:szCs w:val="24"/>
          <w:lang w:eastAsia="zh-CN"/>
        </w:rPr>
      </w:pPr>
      <w:r w:rsidRPr="004311D7">
        <w:rPr>
          <w:rFonts w:ascii="SimSun" w:eastAsia="SimSun" w:hAnsi="SimSun" w:cs="SimSun" w:hint="eastAsia"/>
          <w:sz w:val="24"/>
          <w:szCs w:val="24"/>
          <w:lang w:eastAsia="zh-CN"/>
        </w:rPr>
        <w:t>在其第</w:t>
      </w:r>
      <w:hyperlink r:id="rId100" w:history="1">
        <w:r w:rsidRPr="00D7598F">
          <w:rPr>
            <w:rStyle w:val="Hyperlink"/>
            <w:sz w:val="24"/>
            <w:szCs w:val="24"/>
            <w:lang w:eastAsia="zh-CN"/>
          </w:rPr>
          <w:t>XIII/33</w:t>
        </w:r>
      </w:hyperlink>
      <w:r w:rsidRPr="004311D7">
        <w:rPr>
          <w:rFonts w:ascii="SimSun" w:eastAsia="SimSun" w:hAnsi="SimSun" w:cs="SimSun" w:hint="eastAsia"/>
          <w:sz w:val="24"/>
          <w:szCs w:val="24"/>
          <w:lang w:eastAsia="zh-CN"/>
        </w:rPr>
        <w:t>号决定中，生物多样性公约缔约方大会对埃及政府</w:t>
      </w:r>
      <w:r w:rsidR="002C51FE">
        <w:rPr>
          <w:rFonts w:ascii="SimSun" w:eastAsia="SimSun" w:hAnsi="SimSun" w:cs="SimSun" w:hint="eastAsia"/>
          <w:sz w:val="24"/>
          <w:szCs w:val="24"/>
          <w:lang w:eastAsia="zh-CN"/>
        </w:rPr>
        <w:t>所作</w:t>
      </w:r>
      <w:r w:rsidRPr="004311D7">
        <w:rPr>
          <w:rFonts w:ascii="SimSun" w:eastAsia="SimSun" w:hAnsi="SimSun" w:cs="SimSun" w:hint="eastAsia"/>
          <w:sz w:val="24"/>
          <w:szCs w:val="24"/>
          <w:lang w:eastAsia="zh-CN"/>
        </w:rPr>
        <w:t>邀请表示欢迎。应此邀请，《公约》缔约方大会第十四届会议于</w:t>
      </w:r>
      <w:smartTag w:uri="urn:schemas-microsoft-com:office:smarttags" w:element="chsdate">
        <w:smartTagPr>
          <w:attr w:name="Year" w:val="2018"/>
          <w:attr w:name="Month" w:val="11"/>
          <w:attr w:name="Day" w:val="17"/>
          <w:attr w:name="IsLunarDate" w:val="False"/>
          <w:attr w:name="IsROCDate" w:val="False"/>
        </w:smartTagPr>
        <w:r w:rsidRPr="004311D7">
          <w:rPr>
            <w:rFonts w:hAnsi="SimSun"/>
            <w:sz w:val="24"/>
            <w:szCs w:val="24"/>
            <w:lang w:eastAsia="zh-CN"/>
          </w:rPr>
          <w:t>2018</w:t>
        </w:r>
        <w:r w:rsidRPr="004311D7">
          <w:rPr>
            <w:rFonts w:ascii="SimSun" w:eastAsia="SimSun" w:hAnsi="SimSun" w:cs="SimSun" w:hint="eastAsia"/>
            <w:sz w:val="24"/>
            <w:szCs w:val="24"/>
            <w:lang w:eastAsia="zh-CN"/>
          </w:rPr>
          <w:t>年</w:t>
        </w:r>
        <w:r w:rsidRPr="004311D7">
          <w:rPr>
            <w:rFonts w:hAnsi="SimSun"/>
            <w:sz w:val="24"/>
            <w:szCs w:val="24"/>
            <w:lang w:eastAsia="zh-CN"/>
          </w:rPr>
          <w:t>11</w:t>
        </w:r>
        <w:r w:rsidRPr="004311D7">
          <w:rPr>
            <w:rFonts w:ascii="SimSun" w:eastAsia="SimSun" w:hAnsi="SimSun" w:cs="SimSun" w:hint="eastAsia"/>
            <w:sz w:val="24"/>
            <w:szCs w:val="24"/>
            <w:lang w:eastAsia="zh-CN"/>
          </w:rPr>
          <w:t>月</w:t>
        </w:r>
        <w:r w:rsidRPr="004311D7">
          <w:rPr>
            <w:rFonts w:hAnsi="SimSun"/>
            <w:sz w:val="24"/>
            <w:szCs w:val="24"/>
            <w:lang w:eastAsia="zh-CN"/>
          </w:rPr>
          <w:t>17</w:t>
        </w:r>
        <w:r w:rsidRPr="004311D7">
          <w:rPr>
            <w:rFonts w:ascii="SimSun" w:eastAsia="SimSun" w:hAnsi="SimSun" w:cs="SimSun" w:hint="eastAsia"/>
            <w:sz w:val="24"/>
            <w:szCs w:val="24"/>
            <w:lang w:eastAsia="zh-CN"/>
          </w:rPr>
          <w:t>日</w:t>
        </w:r>
      </w:smartTag>
      <w:r w:rsidRPr="004311D7">
        <w:rPr>
          <w:rFonts w:ascii="SimSun" w:eastAsia="SimSun" w:hAnsi="SimSun" w:cs="SimSun" w:hint="eastAsia"/>
          <w:sz w:val="24"/>
          <w:szCs w:val="24"/>
          <w:lang w:eastAsia="zh-CN"/>
        </w:rPr>
        <w:t>至</w:t>
      </w:r>
      <w:r w:rsidRPr="004311D7">
        <w:rPr>
          <w:rFonts w:hAnsi="SimSun"/>
          <w:sz w:val="24"/>
          <w:szCs w:val="24"/>
          <w:lang w:eastAsia="zh-CN"/>
        </w:rPr>
        <w:t>29</w:t>
      </w:r>
      <w:r w:rsidRPr="004311D7">
        <w:rPr>
          <w:rFonts w:ascii="SimSun" w:eastAsia="SimSun" w:hAnsi="SimSun" w:cs="SimSun" w:hint="eastAsia"/>
          <w:sz w:val="24"/>
          <w:szCs w:val="24"/>
          <w:lang w:eastAsia="zh-CN"/>
        </w:rPr>
        <w:t>日在埃及沙姆沙伊赫举行，同时举行的还有作为卡塔赫纳生物安全议定书缔约方会议的缔约方大会第九次会议，以及关于获取遗传资源和公正和公平分享其利用所产生惠益的名古屋议定书缔约方会议的缔约方大会第三次会议。</w:t>
      </w:r>
    </w:p>
    <w:p w:rsidR="008D76BF" w:rsidRPr="00E14D2F" w:rsidRDefault="008D76BF" w:rsidP="00F17640">
      <w:pPr>
        <w:pStyle w:val="Heading1"/>
        <w:spacing w:before="120" w:after="120"/>
        <w:ind w:firstLine="0"/>
        <w:rPr>
          <w:sz w:val="24"/>
          <w:lang w:eastAsia="zh-CN"/>
        </w:rPr>
      </w:pPr>
      <w:bookmarkStart w:id="248" w:name="_Toc6243809"/>
      <w:r w:rsidRPr="00E14D2F">
        <w:rPr>
          <w:sz w:val="24"/>
          <w:lang w:eastAsia="zh-CN"/>
        </w:rPr>
        <w:t xml:space="preserve">B.    </w:t>
      </w:r>
      <w:r w:rsidRPr="00F17640">
        <w:rPr>
          <w:rFonts w:hint="eastAsia"/>
          <w:sz w:val="24"/>
          <w:lang w:eastAsia="zh-CN"/>
        </w:rPr>
        <w:t>与会情况</w:t>
      </w:r>
      <w:bookmarkEnd w:id="248"/>
    </w:p>
    <w:p w:rsidR="002C51FE" w:rsidRPr="002C51FE" w:rsidRDefault="008D76BF" w:rsidP="005D64B0">
      <w:pPr>
        <w:pStyle w:val="Para1"/>
        <w:numPr>
          <w:ilvl w:val="0"/>
          <w:numId w:val="9"/>
        </w:numPr>
        <w:tabs>
          <w:tab w:val="clear" w:pos="360"/>
          <w:tab w:val="left" w:pos="720"/>
        </w:tabs>
        <w:ind w:firstLine="0"/>
        <w:rPr>
          <w:rFonts w:hAnsi="SimSun"/>
          <w:sz w:val="24"/>
          <w:szCs w:val="24"/>
          <w:lang w:eastAsia="zh-CN"/>
        </w:rPr>
      </w:pPr>
      <w:r w:rsidRPr="004311D7">
        <w:rPr>
          <w:rFonts w:ascii="SimSun" w:eastAsia="SimSun" w:hAnsi="SimSun" w:cs="SimSun" w:hint="eastAsia"/>
          <w:sz w:val="24"/>
          <w:szCs w:val="24"/>
          <w:lang w:eastAsia="zh-CN"/>
        </w:rPr>
        <w:t>会议向所有国家发出邀请。</w:t>
      </w:r>
      <w:r w:rsidR="005D64B0">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生物多样性公约</w:t>
      </w:r>
      <w:r w:rsidR="005D64B0">
        <w:rPr>
          <w:rFonts w:ascii="SimSun" w:eastAsia="SimSun" w:hAnsi="SimSun" w:cs="SimSun" w:hint="eastAsia"/>
          <w:sz w:val="24"/>
          <w:szCs w:val="24"/>
          <w:lang w:eastAsia="zh-CN"/>
        </w:rPr>
        <w:t>》</w:t>
      </w:r>
      <w:r w:rsidR="005D64B0">
        <w:rPr>
          <w:rFonts w:ascii="SimSun" w:eastAsia="SimSun" w:hAnsi="SimSun" w:cs="SimSun"/>
          <w:sz w:val="24"/>
          <w:szCs w:val="24"/>
          <w:lang w:eastAsia="zh-CN"/>
        </w:rPr>
        <w:t>的</w:t>
      </w:r>
      <w:r w:rsidRPr="004311D7">
        <w:rPr>
          <w:rFonts w:ascii="SimSun" w:eastAsia="SimSun" w:hAnsi="SimSun" w:cs="SimSun" w:hint="eastAsia"/>
          <w:sz w:val="24"/>
          <w:szCs w:val="24"/>
          <w:lang w:eastAsia="zh-CN"/>
        </w:rPr>
        <w:t>下列缔约方出席了会议：</w:t>
      </w:r>
    </w:p>
    <w:p w:rsidR="005D64B0"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sectPr w:rsidR="005D64B0" w:rsidSect="002D379A">
          <w:type w:val="continuous"/>
          <w:pgSz w:w="12240" w:h="15840"/>
          <w:pgMar w:top="567" w:right="1389" w:bottom="1134" w:left="1389" w:header="709" w:footer="709" w:gutter="0"/>
          <w:cols w:space="708"/>
          <w:docGrid w:linePitch="360"/>
        </w:sectPr>
      </w:pP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lastRenderedPageBreak/>
        <w:t>阿富汗</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阿尔巴尼亚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阿尔及利亚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安道拉</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安哥拉</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安提瓜</w:t>
      </w:r>
      <w:r w:rsidRPr="00E80765">
        <w:rPr>
          <w:rFonts w:asciiTheme="minorEastAsia" w:eastAsiaTheme="minorEastAsia" w:hAnsiTheme="minorEastAsia"/>
          <w:kern w:val="22"/>
          <w:sz w:val="24"/>
          <w:szCs w:val="24"/>
          <w:lang w:eastAsia="zh-CN"/>
        </w:rPr>
        <w:t>和巴布达</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阿根廷</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亚美尼亚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奥地利</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阿塞拜疆</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巴林</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孟加拉国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白俄罗斯</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比利时</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伯利兹</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贝宁</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不丹</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多民族</w:t>
      </w:r>
      <w:r w:rsidRPr="00E80765">
        <w:rPr>
          <w:rFonts w:asciiTheme="minorEastAsia" w:eastAsiaTheme="minorEastAsia" w:hAnsiTheme="minorEastAsia"/>
          <w:kern w:val="22"/>
          <w:sz w:val="24"/>
          <w:szCs w:val="24"/>
          <w:lang w:eastAsia="zh-CN"/>
        </w:rPr>
        <w:t>玻利维亚国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波斯尼亚</w:t>
      </w:r>
      <w:r w:rsidRPr="00E80765">
        <w:rPr>
          <w:rFonts w:asciiTheme="minorEastAsia" w:eastAsiaTheme="minorEastAsia" w:hAnsiTheme="minorEastAsia"/>
          <w:kern w:val="22"/>
          <w:sz w:val="24"/>
          <w:szCs w:val="24"/>
          <w:lang w:eastAsia="zh-CN"/>
        </w:rPr>
        <w:t>和黑塞哥维那</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博茨瓦纳</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巴西</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保加利亚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布基纳法索</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布隆迪</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佛得角</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柬埔寨</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加拿大</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中非共和国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乍得</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lastRenderedPageBreak/>
        <w:t>智利</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中国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哥伦比亚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科摩罗</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刚果</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库克群岛</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哥斯达黎加</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克罗地亚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古巴</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塞浦路斯</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捷克</w:t>
      </w:r>
    </w:p>
    <w:p w:rsidR="005D64B0" w:rsidRPr="00E80765" w:rsidRDefault="005D64B0" w:rsidP="005D64B0">
      <w:pPr>
        <w:pStyle w:val="Para1"/>
        <w:tabs>
          <w:tab w:val="clear" w:pos="360"/>
        </w:tabs>
        <w:spacing w:before="0" w:after="0"/>
        <w:ind w:firstLine="0"/>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科特迪瓦</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朝鲜</w:t>
      </w:r>
      <w:r w:rsidRPr="00E80765">
        <w:rPr>
          <w:rFonts w:asciiTheme="minorEastAsia" w:eastAsiaTheme="minorEastAsia" w:hAnsiTheme="minorEastAsia"/>
          <w:kern w:val="22"/>
          <w:sz w:val="24"/>
          <w:szCs w:val="24"/>
          <w:lang w:eastAsia="zh-CN"/>
        </w:rPr>
        <w:t>民主主义人民共和国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丹麦</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吉布提</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多米尼加共和国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厄瓜多尔</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埃及</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萨尔瓦多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赤道几内亚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厄立特里亚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爱沙尼亚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斯威士兰</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埃塞尔比亚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欧洲联盟</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斐济</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芬兰</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法国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加蓬</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lastRenderedPageBreak/>
        <w:t>冈比亚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格鲁吉亚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德国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加纳</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希腊</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格林纳达</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危地马拉</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几内亚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几内亚比绍</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圭亚那</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海地</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洪都拉斯</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匈牙利</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冰岛</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印度</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印度尼西亚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伊朗</w:t>
      </w:r>
      <w:r w:rsidRPr="00E80765">
        <w:rPr>
          <w:rFonts w:asciiTheme="minorEastAsia" w:eastAsiaTheme="minorEastAsia" w:hAnsiTheme="minorEastAsia"/>
          <w:kern w:val="22"/>
          <w:sz w:val="24"/>
          <w:szCs w:val="24"/>
          <w:lang w:eastAsia="zh-CN"/>
        </w:rPr>
        <w:t>伊斯兰共和国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伊拉克</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爱尔兰</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以色列</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意大利</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牙买加</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日本</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约旦</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肯尼亚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基里巴斯</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科威特</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吉尔吉斯斯坦</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老挝</w:t>
      </w:r>
      <w:r w:rsidRPr="00E80765">
        <w:rPr>
          <w:rFonts w:asciiTheme="minorEastAsia" w:eastAsiaTheme="minorEastAsia" w:hAnsiTheme="minorEastAsia"/>
          <w:kern w:val="22"/>
          <w:sz w:val="24"/>
          <w:szCs w:val="24"/>
          <w:lang w:eastAsia="zh-CN"/>
        </w:rPr>
        <w:t>人民民主共和国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lastRenderedPageBreak/>
        <w:t>拉脱维亚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黎巴嫩</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莱索托</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利比里亚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利比亚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列支敦士登</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立陶宛</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卢森堡</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val="fr-FR" w:eastAsia="zh-CN"/>
        </w:rPr>
      </w:pPr>
      <w:r w:rsidRPr="00E80765">
        <w:rPr>
          <w:rFonts w:asciiTheme="minorEastAsia" w:eastAsiaTheme="minorEastAsia" w:hAnsiTheme="minorEastAsia" w:hint="eastAsia"/>
          <w:kern w:val="22"/>
          <w:sz w:val="24"/>
          <w:szCs w:val="24"/>
          <w:lang w:val="fr-FR" w:eastAsia="zh-CN"/>
        </w:rPr>
        <w:t>马达加斯加</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val="fr-FR" w:eastAsia="zh-CN"/>
        </w:rPr>
      </w:pPr>
      <w:r w:rsidRPr="00E80765">
        <w:rPr>
          <w:rFonts w:asciiTheme="minorEastAsia" w:eastAsiaTheme="minorEastAsia" w:hAnsiTheme="minorEastAsia" w:hint="eastAsia"/>
          <w:kern w:val="22"/>
          <w:sz w:val="24"/>
          <w:szCs w:val="24"/>
          <w:lang w:val="fr-FR" w:eastAsia="zh-CN"/>
        </w:rPr>
        <w:t>马拉维</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val="fr-FR" w:eastAsia="zh-CN"/>
        </w:rPr>
      </w:pPr>
      <w:r w:rsidRPr="00E80765">
        <w:rPr>
          <w:rFonts w:asciiTheme="minorEastAsia" w:eastAsiaTheme="minorEastAsia" w:hAnsiTheme="minorEastAsia" w:hint="eastAsia"/>
          <w:kern w:val="22"/>
          <w:sz w:val="24"/>
          <w:szCs w:val="24"/>
          <w:lang w:val="fr-FR" w:eastAsia="zh-CN"/>
        </w:rPr>
        <w:t>马来西亚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val="fr-FR" w:eastAsia="zh-CN"/>
        </w:rPr>
      </w:pPr>
      <w:r w:rsidRPr="00E80765">
        <w:rPr>
          <w:rFonts w:asciiTheme="minorEastAsia" w:eastAsiaTheme="minorEastAsia" w:hAnsiTheme="minorEastAsia" w:hint="eastAsia"/>
          <w:kern w:val="22"/>
          <w:sz w:val="24"/>
          <w:szCs w:val="24"/>
          <w:lang w:val="fr-FR" w:eastAsia="zh-CN"/>
        </w:rPr>
        <w:t>马尔代夫</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val="fr-FR" w:eastAsia="zh-CN"/>
        </w:rPr>
      </w:pPr>
      <w:r w:rsidRPr="00E80765">
        <w:rPr>
          <w:rFonts w:asciiTheme="minorEastAsia" w:eastAsiaTheme="minorEastAsia" w:hAnsiTheme="minorEastAsia" w:hint="eastAsia"/>
          <w:kern w:val="22"/>
          <w:sz w:val="24"/>
          <w:szCs w:val="24"/>
          <w:lang w:val="fr-FR" w:eastAsia="zh-CN"/>
        </w:rPr>
        <w:t>马里</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val="fr-FR" w:eastAsia="zh-CN"/>
        </w:rPr>
      </w:pPr>
      <w:r w:rsidRPr="00E80765">
        <w:rPr>
          <w:rFonts w:asciiTheme="minorEastAsia" w:eastAsiaTheme="minorEastAsia" w:hAnsiTheme="minorEastAsia" w:hint="eastAsia"/>
          <w:kern w:val="22"/>
          <w:sz w:val="24"/>
          <w:szCs w:val="24"/>
          <w:lang w:val="fr-FR" w:eastAsia="zh-CN"/>
        </w:rPr>
        <w:t>马耳他</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马绍尔群岛</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毛里塔尼亚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毛里求斯</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密克罗尼西亚联邦</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摩纳哥</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蒙古</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摩洛哥</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莫桑比克</w:t>
      </w:r>
    </w:p>
    <w:p w:rsidR="005D64B0" w:rsidRPr="00E80765" w:rsidRDefault="005D64B0" w:rsidP="005D64B0">
      <w:pPr>
        <w:pStyle w:val="Para1"/>
        <w:tabs>
          <w:tab w:val="clear" w:pos="360"/>
        </w:tabs>
        <w:spacing w:before="0" w:after="0"/>
        <w:ind w:firstLine="0"/>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缅甸</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纳米比亚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尼泊尔</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荷兰</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新西兰</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尼加拉瓜</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尼日尔</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lastRenderedPageBreak/>
        <w:t>尼日利亚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挪威</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阿曼</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帕劳</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巴拿马</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巴布亚</w:t>
      </w:r>
      <w:r w:rsidRPr="00E80765">
        <w:rPr>
          <w:rFonts w:asciiTheme="minorEastAsia" w:eastAsiaTheme="minorEastAsia" w:hAnsiTheme="minorEastAsia"/>
          <w:kern w:val="22"/>
          <w:sz w:val="24"/>
          <w:szCs w:val="24"/>
          <w:lang w:eastAsia="zh-CN"/>
        </w:rPr>
        <w:t>新几内亚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巴拉圭</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秘鲁</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菲律宾</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波兰</w:t>
      </w:r>
    </w:p>
    <w:p w:rsidR="005D64B0" w:rsidRPr="00E80765" w:rsidRDefault="005D64B0" w:rsidP="005D64B0">
      <w:pPr>
        <w:pStyle w:val="Para1"/>
        <w:tabs>
          <w:tab w:val="clear" w:pos="360"/>
        </w:tabs>
        <w:spacing w:before="0" w:after="0"/>
        <w:ind w:firstLine="0"/>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葡萄牙</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卡塔尔</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大韩民国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摩尔多瓦共和国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罗马尼亚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俄罗斯联邦</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卢旺达</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圣基茨</w:t>
      </w:r>
      <w:r w:rsidRPr="00E80765">
        <w:rPr>
          <w:rFonts w:asciiTheme="minorEastAsia" w:eastAsiaTheme="minorEastAsia" w:hAnsiTheme="minorEastAsia"/>
          <w:kern w:val="22"/>
          <w:sz w:val="24"/>
          <w:szCs w:val="24"/>
          <w:lang w:eastAsia="zh-CN"/>
        </w:rPr>
        <w:t>和尼维斯</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圣卢西亚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圣文森特</w:t>
      </w:r>
      <w:r w:rsidRPr="00E80765">
        <w:rPr>
          <w:rFonts w:asciiTheme="minorEastAsia" w:eastAsiaTheme="minorEastAsia" w:hAnsiTheme="minorEastAsia"/>
          <w:kern w:val="22"/>
          <w:sz w:val="24"/>
          <w:szCs w:val="24"/>
          <w:lang w:eastAsia="zh-CN"/>
        </w:rPr>
        <w:t>和格林纳丁斯</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萨摩亚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圣多美和普林西比</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沙特阿拉伯</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塞内加尔</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塞尔维亚</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塞舌尔</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塞拉利昂</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新加坡</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斯洛伐克</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lastRenderedPageBreak/>
        <w:t>所罗门群岛</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索马里</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南非</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南苏丹</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西班牙</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斯里兰卡</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瑞典</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瑞士</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阿拉伯</w:t>
      </w:r>
      <w:r w:rsidRPr="00E80765">
        <w:rPr>
          <w:rFonts w:asciiTheme="minorEastAsia" w:eastAsiaTheme="minorEastAsia" w:hAnsiTheme="minorEastAsia"/>
          <w:kern w:val="22"/>
          <w:sz w:val="24"/>
          <w:szCs w:val="24"/>
          <w:lang w:eastAsia="zh-CN"/>
        </w:rPr>
        <w:t>叙利亚共和国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塔吉克斯坦</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泰国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多哥</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汤加</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特立尼达和多巴哥</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突尼斯</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土库曼斯坦</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图瓦卢</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乌干达</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乌克兰</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阿拉伯联合</w:t>
      </w:r>
      <w:r w:rsidRPr="00E80765">
        <w:rPr>
          <w:rFonts w:asciiTheme="minorEastAsia" w:eastAsiaTheme="minorEastAsia" w:hAnsiTheme="minorEastAsia"/>
          <w:kern w:val="22"/>
          <w:sz w:val="24"/>
          <w:szCs w:val="24"/>
          <w:lang w:eastAsia="zh-CN"/>
        </w:rPr>
        <w:t>酋长国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大不列颠</w:t>
      </w:r>
      <w:r w:rsidRPr="00E80765">
        <w:rPr>
          <w:rFonts w:asciiTheme="minorEastAsia" w:eastAsiaTheme="minorEastAsia" w:hAnsiTheme="minorEastAsia"/>
          <w:kern w:val="22"/>
          <w:sz w:val="24"/>
          <w:szCs w:val="24"/>
          <w:lang w:eastAsia="zh-CN"/>
        </w:rPr>
        <w:t>及北爱尔兰联合王国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坦桑尼亚</w:t>
      </w:r>
      <w:r w:rsidRPr="00E80765">
        <w:rPr>
          <w:rFonts w:asciiTheme="minorEastAsia" w:eastAsiaTheme="minorEastAsia" w:hAnsiTheme="minorEastAsia"/>
          <w:kern w:val="22"/>
          <w:sz w:val="24"/>
          <w:szCs w:val="24"/>
          <w:lang w:eastAsia="zh-CN"/>
        </w:rPr>
        <w:t>联合共和国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乌拉圭</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委内瑞拉</w:t>
      </w:r>
      <w:r w:rsidRPr="00E80765">
        <w:rPr>
          <w:rFonts w:asciiTheme="minorEastAsia" w:eastAsiaTheme="minorEastAsia" w:hAnsiTheme="minorEastAsia"/>
          <w:kern w:val="22"/>
          <w:sz w:val="24"/>
          <w:szCs w:val="24"/>
          <w:lang w:eastAsia="zh-CN"/>
        </w:rPr>
        <w:t>玻利瓦尔共和国</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越南</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也门</w:t>
      </w:r>
    </w:p>
    <w:p w:rsidR="005D64B0" w:rsidRPr="00E80765" w:rsidRDefault="005D64B0" w:rsidP="005D64B0">
      <w:pPr>
        <w:pStyle w:val="Para1"/>
        <w:tabs>
          <w:tab w:val="clear" w:pos="360"/>
        </w:tabs>
        <w:spacing w:before="0" w:after="0"/>
        <w:ind w:firstLine="0"/>
        <w:jc w:val="left"/>
        <w:rPr>
          <w:rFonts w:asciiTheme="minorEastAsia" w:eastAsiaTheme="minorEastAsia" w:hAnsiTheme="minorEastAsia"/>
          <w:kern w:val="22"/>
          <w:sz w:val="24"/>
          <w:szCs w:val="24"/>
          <w:lang w:eastAsia="zh-CN"/>
        </w:rPr>
      </w:pPr>
      <w:r w:rsidRPr="00E80765">
        <w:rPr>
          <w:rFonts w:asciiTheme="minorEastAsia" w:eastAsiaTheme="minorEastAsia" w:hAnsiTheme="minorEastAsia" w:hint="eastAsia"/>
          <w:kern w:val="22"/>
          <w:sz w:val="24"/>
          <w:szCs w:val="24"/>
          <w:lang w:eastAsia="zh-CN"/>
        </w:rPr>
        <w:t>赞比亚</w:t>
      </w:r>
    </w:p>
    <w:p w:rsidR="005D64B0" w:rsidRPr="005D64B0" w:rsidRDefault="005D64B0" w:rsidP="005D64B0">
      <w:pPr>
        <w:pStyle w:val="Para1"/>
        <w:tabs>
          <w:tab w:val="clear" w:pos="360"/>
        </w:tabs>
        <w:spacing w:before="0" w:after="0"/>
        <w:ind w:firstLine="0"/>
        <w:jc w:val="left"/>
        <w:rPr>
          <w:rFonts w:asciiTheme="minorEastAsia" w:eastAsiaTheme="minorEastAsia" w:hAnsiTheme="minorEastAsia"/>
          <w:lang w:eastAsia="zh-CN"/>
        </w:rPr>
      </w:pPr>
      <w:r w:rsidRPr="005D64B0">
        <w:rPr>
          <w:rFonts w:asciiTheme="minorEastAsia" w:eastAsiaTheme="minorEastAsia" w:hAnsiTheme="minorEastAsia" w:hint="eastAsia"/>
          <w:kern w:val="22"/>
          <w:sz w:val="24"/>
          <w:szCs w:val="24"/>
          <w:lang w:eastAsia="zh-CN"/>
        </w:rPr>
        <w:t>津巴布韦</w:t>
      </w:r>
    </w:p>
    <w:p w:rsidR="005D64B0" w:rsidRDefault="005D64B0" w:rsidP="005D64B0">
      <w:pPr>
        <w:pStyle w:val="Para1"/>
        <w:numPr>
          <w:ilvl w:val="0"/>
          <w:numId w:val="9"/>
        </w:numPr>
        <w:tabs>
          <w:tab w:val="clear" w:pos="360"/>
          <w:tab w:val="left" w:pos="720"/>
        </w:tabs>
        <w:ind w:firstLine="0"/>
        <w:rPr>
          <w:rFonts w:ascii="SimSun" w:eastAsia="SimSun" w:hAnsi="SimSun" w:cs="SimSun"/>
          <w:sz w:val="24"/>
          <w:szCs w:val="24"/>
          <w:lang w:eastAsia="zh-CN"/>
        </w:rPr>
        <w:sectPr w:rsidR="005D64B0" w:rsidSect="005D64B0">
          <w:type w:val="continuous"/>
          <w:pgSz w:w="12240" w:h="15840"/>
          <w:pgMar w:top="567" w:right="1389" w:bottom="1134" w:left="1389" w:header="709" w:footer="709" w:gutter="0"/>
          <w:cols w:num="3" w:space="708"/>
          <w:docGrid w:linePitch="360"/>
        </w:sectPr>
      </w:pPr>
    </w:p>
    <w:p w:rsidR="008D76BF" w:rsidRPr="004311D7" w:rsidRDefault="008D76BF" w:rsidP="005D64B0">
      <w:pPr>
        <w:pStyle w:val="Para1"/>
        <w:numPr>
          <w:ilvl w:val="0"/>
          <w:numId w:val="9"/>
        </w:numPr>
        <w:tabs>
          <w:tab w:val="clear" w:pos="360"/>
          <w:tab w:val="left" w:pos="720"/>
        </w:tabs>
        <w:ind w:firstLine="0"/>
        <w:rPr>
          <w:rFonts w:hAnsi="SimSun"/>
          <w:sz w:val="24"/>
          <w:szCs w:val="24"/>
          <w:lang w:eastAsia="zh-CN"/>
        </w:rPr>
      </w:pPr>
      <w:r w:rsidRPr="004311D7">
        <w:rPr>
          <w:rFonts w:ascii="SimSun" w:eastAsia="SimSun" w:hAnsi="SimSun" w:cs="SimSun" w:hint="eastAsia"/>
          <w:sz w:val="24"/>
          <w:szCs w:val="24"/>
          <w:lang w:eastAsia="zh-CN"/>
        </w:rPr>
        <w:lastRenderedPageBreak/>
        <w:t>下列非《公约》缔约方国家也派代表出席了会议：</w:t>
      </w:r>
      <w:r w:rsidR="00C32428">
        <w:rPr>
          <w:rFonts w:ascii="SimSun" w:eastAsia="SimSun" w:hAnsi="SimSun" w:cs="SimSun" w:hint="eastAsia"/>
          <w:sz w:val="24"/>
          <w:szCs w:val="24"/>
          <w:lang w:eastAsia="zh-CN"/>
        </w:rPr>
        <w:t>罗马教廷</w:t>
      </w:r>
      <w:r w:rsidR="00C32428">
        <w:rPr>
          <w:rFonts w:ascii="SimSun" w:eastAsia="SimSun" w:hAnsi="SimSun" w:cs="SimSun"/>
          <w:sz w:val="24"/>
          <w:szCs w:val="24"/>
          <w:lang w:eastAsia="zh-CN"/>
        </w:rPr>
        <w:t>、</w:t>
      </w:r>
      <w:r w:rsidR="00C32428">
        <w:rPr>
          <w:rFonts w:ascii="SimSun" w:eastAsia="SimSun" w:hAnsi="SimSun" w:cs="SimSun" w:hint="eastAsia"/>
          <w:sz w:val="24"/>
          <w:szCs w:val="24"/>
          <w:lang w:eastAsia="zh-CN"/>
        </w:rPr>
        <w:t>美利坚合众国</w:t>
      </w:r>
      <w:r w:rsidR="00C32428">
        <w:rPr>
          <w:rFonts w:ascii="SimSun" w:eastAsia="SimSun" w:hAnsi="SimSun" w:cs="SimSun"/>
          <w:sz w:val="24"/>
          <w:szCs w:val="24"/>
          <w:lang w:eastAsia="zh-CN"/>
        </w:rPr>
        <w:t>。</w:t>
      </w:r>
    </w:p>
    <w:p w:rsidR="008D76BF" w:rsidRPr="004311D7" w:rsidRDefault="008D76BF" w:rsidP="005D64B0">
      <w:pPr>
        <w:pStyle w:val="Para1"/>
        <w:numPr>
          <w:ilvl w:val="0"/>
          <w:numId w:val="9"/>
        </w:numPr>
        <w:tabs>
          <w:tab w:val="clear" w:pos="360"/>
          <w:tab w:val="left" w:pos="720"/>
        </w:tabs>
        <w:ind w:firstLine="0"/>
        <w:rPr>
          <w:rFonts w:hAnsi="SimSun"/>
          <w:sz w:val="24"/>
          <w:szCs w:val="24"/>
          <w:lang w:eastAsia="zh-CN"/>
        </w:rPr>
      </w:pPr>
      <w:r w:rsidRPr="004311D7">
        <w:rPr>
          <w:rFonts w:ascii="SimSun" w:eastAsia="SimSun" w:hAnsi="SimSun" w:cs="SimSun" w:hint="eastAsia"/>
          <w:sz w:val="24"/>
          <w:szCs w:val="24"/>
          <w:lang w:eastAsia="zh-CN"/>
        </w:rPr>
        <w:t>所有其他与会者名单见本报告附件一。</w:t>
      </w:r>
    </w:p>
    <w:p w:rsidR="008D76BF" w:rsidRPr="00F17640" w:rsidRDefault="00C32428" w:rsidP="00F17640">
      <w:pPr>
        <w:pStyle w:val="Heading1"/>
        <w:spacing w:before="120" w:after="120"/>
        <w:ind w:firstLine="0"/>
        <w:rPr>
          <w:snapToGrid w:val="0"/>
          <w:sz w:val="24"/>
          <w:szCs w:val="24"/>
          <w:lang w:eastAsia="zh-CN"/>
        </w:rPr>
      </w:pPr>
      <w:bookmarkStart w:id="249" w:name="_Toc6243810"/>
      <w:bookmarkStart w:id="250" w:name="SectI"/>
      <w:r w:rsidRPr="00F17640">
        <w:rPr>
          <w:rFonts w:hint="eastAsia"/>
          <w:snapToGrid w:val="0"/>
          <w:sz w:val="24"/>
          <w:szCs w:val="24"/>
          <w:lang w:eastAsia="zh-CN"/>
        </w:rPr>
        <w:lastRenderedPageBreak/>
        <w:t>C.</w:t>
      </w:r>
      <w:r w:rsidRPr="00F17640">
        <w:rPr>
          <w:snapToGrid w:val="0"/>
          <w:sz w:val="24"/>
          <w:szCs w:val="24"/>
          <w:lang w:eastAsia="zh-CN"/>
        </w:rPr>
        <w:tab/>
      </w:r>
      <w:r w:rsidR="008D76BF" w:rsidRPr="00F17640">
        <w:rPr>
          <w:rFonts w:hint="eastAsia"/>
          <w:snapToGrid w:val="0"/>
          <w:sz w:val="24"/>
          <w:szCs w:val="24"/>
          <w:lang w:eastAsia="zh-CN"/>
        </w:rPr>
        <w:t>组织事项</w:t>
      </w:r>
      <w:bookmarkEnd w:id="249"/>
    </w:p>
    <w:p w:rsidR="008D76BF" w:rsidRPr="00F17640" w:rsidRDefault="008D76BF" w:rsidP="00F17640">
      <w:pPr>
        <w:pStyle w:val="Heading1"/>
        <w:spacing w:before="120" w:after="120"/>
        <w:ind w:firstLine="0"/>
        <w:rPr>
          <w:sz w:val="24"/>
          <w:szCs w:val="24"/>
          <w:lang w:eastAsia="zh-CN"/>
        </w:rPr>
      </w:pPr>
      <w:bookmarkStart w:id="251" w:name="_Toc6243811"/>
      <w:bookmarkStart w:id="252" w:name="Item01"/>
      <w:bookmarkEnd w:id="250"/>
      <w:r w:rsidRPr="00F17640">
        <w:rPr>
          <w:rFonts w:hint="eastAsia"/>
          <w:sz w:val="24"/>
          <w:szCs w:val="24"/>
          <w:lang w:eastAsia="zh-CN"/>
        </w:rPr>
        <w:t>项目</w:t>
      </w:r>
      <w:r w:rsidRPr="00F17640">
        <w:rPr>
          <w:sz w:val="24"/>
          <w:szCs w:val="24"/>
          <w:lang w:eastAsia="zh-CN"/>
        </w:rPr>
        <w:t xml:space="preserve">1.    </w:t>
      </w:r>
      <w:r w:rsidRPr="00F17640">
        <w:rPr>
          <w:rFonts w:hint="eastAsia"/>
          <w:sz w:val="24"/>
          <w:szCs w:val="24"/>
          <w:lang w:eastAsia="zh-CN"/>
        </w:rPr>
        <w:t>会议开幕</w:t>
      </w:r>
      <w:bookmarkEnd w:id="251"/>
    </w:p>
    <w:p w:rsidR="008D76BF" w:rsidRPr="00AF360F" w:rsidRDefault="008D76BF" w:rsidP="00BC1900">
      <w:pPr>
        <w:pStyle w:val="Heading3"/>
        <w:widowControl w:val="0"/>
        <w:tabs>
          <w:tab w:val="left" w:pos="720"/>
        </w:tabs>
        <w:ind w:firstLine="0"/>
        <w:rPr>
          <w:sz w:val="24"/>
          <w:lang w:eastAsia="zh-CN"/>
        </w:rPr>
      </w:pPr>
      <w:bookmarkStart w:id="253" w:name="_Toc6243812"/>
      <w:bookmarkEnd w:id="252"/>
      <w:r w:rsidRPr="00AF360F">
        <w:rPr>
          <w:rFonts w:ascii="KaiTi" w:eastAsia="KaiTi" w:hAnsi="KaiTi" w:hint="eastAsia"/>
          <w:i w:val="0"/>
          <w:sz w:val="24"/>
          <w:lang w:eastAsia="zh-CN"/>
        </w:rPr>
        <w:t>开幕词</w:t>
      </w:r>
      <w:bookmarkEnd w:id="253"/>
    </w:p>
    <w:p w:rsidR="008D76BF" w:rsidRPr="004311D7" w:rsidRDefault="00C32428" w:rsidP="00750ECD">
      <w:pPr>
        <w:pStyle w:val="Para1"/>
        <w:keepNext/>
        <w:widowControl w:val="0"/>
        <w:numPr>
          <w:ilvl w:val="0"/>
          <w:numId w:val="9"/>
        </w:numPr>
        <w:tabs>
          <w:tab w:val="clear" w:pos="360"/>
          <w:tab w:val="left" w:pos="720"/>
        </w:tabs>
        <w:ind w:firstLine="0"/>
        <w:rPr>
          <w:rFonts w:hAnsi="SimSun"/>
          <w:sz w:val="24"/>
          <w:szCs w:val="24"/>
          <w:lang w:eastAsia="zh-CN"/>
        </w:rPr>
      </w:pPr>
      <w:r>
        <w:rPr>
          <w:rFonts w:hAnsi="SimSun"/>
          <w:sz w:val="24"/>
          <w:szCs w:val="24"/>
          <w:lang w:eastAsia="zh-CN"/>
        </w:rPr>
        <w:t>2018</w:t>
      </w:r>
      <w:r>
        <w:rPr>
          <w:rFonts w:hAnsi="SimSun" w:hint="eastAsia"/>
          <w:sz w:val="24"/>
          <w:szCs w:val="24"/>
          <w:lang w:eastAsia="zh-CN"/>
        </w:rPr>
        <w:t>年</w:t>
      </w:r>
      <w:smartTag w:uri="urn:schemas-microsoft-com:office:smarttags" w:element="chsdate">
        <w:smartTagPr>
          <w:attr w:name="Year" w:val="2018"/>
          <w:attr w:name="Month" w:val="11"/>
          <w:attr w:name="Day" w:val="17"/>
          <w:attr w:name="IsLunarDate" w:val="False"/>
          <w:attr w:name="IsROCDate" w:val="False"/>
        </w:smartTagPr>
        <w:r w:rsidR="008D76BF" w:rsidRPr="004311D7">
          <w:rPr>
            <w:rFonts w:hAnsi="SimSun"/>
            <w:sz w:val="24"/>
            <w:szCs w:val="24"/>
            <w:lang w:eastAsia="zh-CN"/>
          </w:rPr>
          <w:t>11</w:t>
        </w:r>
        <w:r w:rsidR="008D76BF" w:rsidRPr="004311D7">
          <w:rPr>
            <w:rFonts w:ascii="SimSun" w:eastAsia="SimSun" w:hAnsi="SimSun" w:cs="SimSun" w:hint="eastAsia"/>
            <w:sz w:val="24"/>
            <w:szCs w:val="24"/>
            <w:lang w:eastAsia="zh-CN"/>
          </w:rPr>
          <w:t>月</w:t>
        </w:r>
        <w:r w:rsidR="008D76BF" w:rsidRPr="004311D7">
          <w:rPr>
            <w:rFonts w:hAnsi="SimSun"/>
            <w:sz w:val="24"/>
            <w:szCs w:val="24"/>
            <w:lang w:eastAsia="zh-CN"/>
          </w:rPr>
          <w:t>17</w:t>
        </w:r>
        <w:r w:rsidR="008D76BF" w:rsidRPr="004311D7">
          <w:rPr>
            <w:rFonts w:ascii="SimSun" w:eastAsia="SimSun" w:hAnsi="SimSun" w:cs="SimSun" w:hint="eastAsia"/>
            <w:sz w:val="24"/>
            <w:szCs w:val="24"/>
            <w:lang w:eastAsia="zh-CN"/>
          </w:rPr>
          <w:t>日</w:t>
        </w:r>
      </w:smartTag>
      <w:r w:rsidR="008D76BF" w:rsidRPr="004311D7">
        <w:rPr>
          <w:rFonts w:ascii="SimSun" w:eastAsia="SimSun" w:hAnsi="SimSun" w:cs="SimSun" w:hint="eastAsia"/>
          <w:sz w:val="24"/>
          <w:szCs w:val="24"/>
          <w:lang w:eastAsia="zh-CN"/>
        </w:rPr>
        <w:t>上午</w:t>
      </w:r>
      <w:r w:rsidR="008D76BF" w:rsidRPr="004311D7">
        <w:rPr>
          <w:rFonts w:hAnsi="SimSun"/>
          <w:sz w:val="24"/>
          <w:szCs w:val="24"/>
          <w:lang w:eastAsia="zh-CN"/>
        </w:rPr>
        <w:t>11</w:t>
      </w:r>
      <w:r w:rsidR="008D76BF" w:rsidRPr="004311D7">
        <w:rPr>
          <w:rFonts w:ascii="SimSun" w:eastAsia="SimSun" w:hAnsi="SimSun" w:cs="SimSun" w:hint="eastAsia"/>
          <w:sz w:val="24"/>
          <w:szCs w:val="24"/>
          <w:lang w:eastAsia="zh-CN"/>
        </w:rPr>
        <w:t>时，墨西哥驻埃及大使</w:t>
      </w:r>
      <w:r w:rsidR="008D76BF" w:rsidRPr="004311D7">
        <w:rPr>
          <w:rFonts w:hAnsi="SimSun"/>
          <w:sz w:val="24"/>
          <w:szCs w:val="24"/>
          <w:lang w:eastAsia="zh-CN"/>
        </w:rPr>
        <w:t>Jos</w:t>
      </w:r>
      <w:r w:rsidR="008D76BF" w:rsidRPr="009226AE">
        <w:rPr>
          <w:sz w:val="24"/>
          <w:szCs w:val="24"/>
          <w:lang w:eastAsia="zh-CN"/>
        </w:rPr>
        <w:t xml:space="preserve">é </w:t>
      </w:r>
      <w:r w:rsidR="008D76BF" w:rsidRPr="004311D7">
        <w:rPr>
          <w:rFonts w:hAnsi="SimSun"/>
          <w:sz w:val="24"/>
          <w:szCs w:val="24"/>
          <w:lang w:eastAsia="zh-CN"/>
        </w:rPr>
        <w:t>Octavio Tripp Villanueva</w:t>
      </w:r>
      <w:r w:rsidR="008D76BF" w:rsidRPr="004311D7">
        <w:rPr>
          <w:rFonts w:ascii="SimSun" w:eastAsia="SimSun" w:hAnsi="SimSun" w:cs="SimSun" w:hint="eastAsia"/>
          <w:sz w:val="24"/>
          <w:szCs w:val="24"/>
          <w:lang w:eastAsia="zh-CN"/>
        </w:rPr>
        <w:t>先生代表墨西哥环境和自然资源部长、</w:t>
      </w:r>
      <w:r w:rsidR="00142D79" w:rsidRPr="004311D7">
        <w:rPr>
          <w:rFonts w:ascii="SimSun" w:eastAsia="SimSun" w:hAnsi="SimSun" w:cs="SimSun" w:hint="eastAsia"/>
          <w:sz w:val="24"/>
          <w:szCs w:val="24"/>
          <w:lang w:eastAsia="zh-CN"/>
        </w:rPr>
        <w:t>离任</w:t>
      </w:r>
      <w:r w:rsidR="008D76BF" w:rsidRPr="004311D7">
        <w:rPr>
          <w:rFonts w:ascii="SimSun" w:eastAsia="SimSun" w:hAnsi="SimSun" w:cs="SimSun" w:hint="eastAsia"/>
          <w:sz w:val="24"/>
          <w:szCs w:val="24"/>
          <w:lang w:eastAsia="zh-CN"/>
        </w:rPr>
        <w:t>缔约方大会主席</w:t>
      </w:r>
      <w:r w:rsidR="008D76BF" w:rsidRPr="004311D7">
        <w:rPr>
          <w:rFonts w:hAnsi="SimSun"/>
          <w:sz w:val="24"/>
          <w:szCs w:val="24"/>
          <w:lang w:eastAsia="zh-CN"/>
        </w:rPr>
        <w:t>Rafael</w:t>
      </w:r>
      <w:r w:rsidR="0032740B">
        <w:rPr>
          <w:rFonts w:hAnsi="SimSun"/>
          <w:sz w:val="24"/>
          <w:szCs w:val="24"/>
          <w:lang w:eastAsia="zh-CN"/>
        </w:rPr>
        <w:t xml:space="preserve"> </w:t>
      </w:r>
      <w:r w:rsidR="008D76BF" w:rsidRPr="004311D7">
        <w:rPr>
          <w:rFonts w:hAnsi="SimSun"/>
          <w:sz w:val="24"/>
          <w:szCs w:val="24"/>
          <w:lang w:eastAsia="zh-CN"/>
        </w:rPr>
        <w:t>Pacchiano</w:t>
      </w:r>
      <w:r w:rsidR="0032740B">
        <w:rPr>
          <w:rFonts w:hAnsi="SimSun"/>
          <w:sz w:val="24"/>
          <w:szCs w:val="24"/>
          <w:lang w:eastAsia="zh-CN"/>
        </w:rPr>
        <w:t xml:space="preserve"> </w:t>
      </w:r>
      <w:r w:rsidR="008D76BF" w:rsidRPr="004311D7">
        <w:rPr>
          <w:rFonts w:hAnsi="SimSun"/>
          <w:sz w:val="24"/>
          <w:szCs w:val="24"/>
          <w:lang w:eastAsia="zh-CN"/>
        </w:rPr>
        <w:t>Alam</w:t>
      </w:r>
      <w:r w:rsidR="008D76BF" w:rsidRPr="00C24A8F">
        <w:rPr>
          <w:sz w:val="24"/>
          <w:szCs w:val="24"/>
          <w:lang w:eastAsia="zh-CN"/>
        </w:rPr>
        <w:t>á</w:t>
      </w:r>
      <w:r w:rsidR="008D76BF" w:rsidRPr="004311D7">
        <w:rPr>
          <w:rFonts w:hAnsi="SimSun"/>
          <w:sz w:val="24"/>
          <w:szCs w:val="24"/>
          <w:lang w:eastAsia="zh-CN"/>
        </w:rPr>
        <w:t>n</w:t>
      </w:r>
      <w:r w:rsidR="008D76BF" w:rsidRPr="004311D7">
        <w:rPr>
          <w:rFonts w:ascii="SimSun" w:eastAsia="SimSun" w:hAnsi="SimSun" w:cs="SimSun" w:hint="eastAsia"/>
          <w:sz w:val="24"/>
          <w:szCs w:val="24"/>
          <w:lang w:eastAsia="zh-CN"/>
        </w:rPr>
        <w:t>先生宣布缔约方大会第十四次会议开幕。</w:t>
      </w:r>
    </w:p>
    <w:p w:rsidR="008D76BF" w:rsidRPr="00BC1900" w:rsidRDefault="008D76BF" w:rsidP="00BC1900">
      <w:pPr>
        <w:pStyle w:val="Para1"/>
        <w:keepNext/>
        <w:widowControl w:val="0"/>
        <w:numPr>
          <w:ilvl w:val="0"/>
          <w:numId w:val="9"/>
        </w:numPr>
        <w:tabs>
          <w:tab w:val="clear" w:pos="360"/>
          <w:tab w:val="left" w:pos="720"/>
        </w:tabs>
        <w:ind w:firstLine="0"/>
        <w:rPr>
          <w:rFonts w:hAnsi="SimSun"/>
          <w:sz w:val="24"/>
          <w:lang w:eastAsia="zh-CN"/>
        </w:rPr>
      </w:pPr>
      <w:r w:rsidRPr="00BC1900">
        <w:rPr>
          <w:rFonts w:ascii="SimSun" w:eastAsia="SimSun" w:hAnsi="SimSun" w:cs="SimSun" w:hint="eastAsia"/>
          <w:sz w:val="24"/>
          <w:lang w:eastAsia="zh-CN"/>
        </w:rPr>
        <w:t>埃及环境部长兼缔约方大会第十四届会议主席</w:t>
      </w:r>
      <w:r w:rsidRPr="00BC1900">
        <w:rPr>
          <w:rFonts w:hAnsi="SimSun"/>
          <w:sz w:val="24"/>
          <w:lang w:eastAsia="zh-CN"/>
        </w:rPr>
        <w:t>Yasmine Fouad</w:t>
      </w:r>
      <w:r w:rsidRPr="00BC1900">
        <w:rPr>
          <w:rFonts w:ascii="SimSun" w:eastAsia="SimSun" w:hAnsi="SimSun" w:cs="SimSun" w:hint="eastAsia"/>
          <w:sz w:val="24"/>
          <w:lang w:eastAsia="zh-CN"/>
        </w:rPr>
        <w:t>女士（以下简称主席）致开幕词；</w:t>
      </w:r>
      <w:r w:rsidR="00C32428" w:rsidRPr="00BC1900">
        <w:rPr>
          <w:rFonts w:ascii="SimSun" w:eastAsia="SimSun" w:hAnsi="SimSun" w:cs="SimSun" w:hint="eastAsia"/>
          <w:sz w:val="24"/>
          <w:lang w:eastAsia="zh-CN"/>
        </w:rPr>
        <w:t>生物多样性</w:t>
      </w:r>
      <w:r w:rsidRPr="00BC1900">
        <w:rPr>
          <w:rFonts w:ascii="SimSun" w:eastAsia="SimSun" w:hAnsi="SimSun" w:cs="SimSun" w:hint="eastAsia"/>
          <w:sz w:val="24"/>
          <w:lang w:eastAsia="zh-CN"/>
        </w:rPr>
        <w:t>公约执行秘书</w:t>
      </w:r>
      <w:r w:rsidR="006B4E7D" w:rsidRPr="00BC1900">
        <w:rPr>
          <w:rFonts w:hint="eastAsia"/>
          <w:bCs/>
          <w:sz w:val="24"/>
          <w:lang w:eastAsia="zh-CN"/>
        </w:rPr>
        <w:t>克里斯蒂娜·帕斯卡·帕梅尔</w:t>
      </w:r>
      <w:r w:rsidRPr="00BC1900">
        <w:rPr>
          <w:rFonts w:ascii="SimSun" w:eastAsia="SimSun" w:hAnsi="SimSun" w:cs="SimSun" w:hint="eastAsia"/>
          <w:sz w:val="24"/>
          <w:lang w:eastAsia="zh-CN"/>
        </w:rPr>
        <w:t>女士、</w:t>
      </w:r>
      <w:r w:rsidR="006B4E7D" w:rsidRPr="00BC1900">
        <w:rPr>
          <w:rFonts w:ascii="SimSun" w:eastAsia="SimSun" w:hAnsi="SimSun" w:cs="SimSun" w:hint="eastAsia"/>
          <w:sz w:val="24"/>
          <w:lang w:eastAsia="zh-CN"/>
        </w:rPr>
        <w:t>联合国大会主席玛丽亚·费尔南达·埃斯皮诺萨·加尔塞斯女士</w:t>
      </w:r>
      <w:r w:rsidRPr="00BC1900">
        <w:rPr>
          <w:rFonts w:ascii="SimSun" w:eastAsia="SimSun" w:hAnsi="SimSun" w:cs="SimSun" w:hint="eastAsia"/>
          <w:sz w:val="24"/>
          <w:lang w:eastAsia="zh-CN"/>
        </w:rPr>
        <w:t>通过视频以及埃及总统阿卜杜勒</w:t>
      </w:r>
      <w:r w:rsidRPr="00BC1900">
        <w:rPr>
          <w:rFonts w:hAnsi="SimSun"/>
          <w:sz w:val="24"/>
          <w:lang w:eastAsia="zh-CN"/>
        </w:rPr>
        <w:t>·</w:t>
      </w:r>
      <w:r w:rsidRPr="00BC1900">
        <w:rPr>
          <w:rFonts w:ascii="SimSun" w:eastAsia="SimSun" w:hAnsi="SimSun" w:cs="SimSun" w:hint="eastAsia"/>
          <w:sz w:val="24"/>
          <w:lang w:eastAsia="zh-CN"/>
        </w:rPr>
        <w:t>法塔赫</w:t>
      </w:r>
      <w:r w:rsidRPr="00BC1900">
        <w:rPr>
          <w:rFonts w:hAnsi="SimSun"/>
          <w:sz w:val="24"/>
          <w:lang w:eastAsia="zh-CN"/>
        </w:rPr>
        <w:t>·</w:t>
      </w:r>
      <w:r w:rsidRPr="00BC1900">
        <w:rPr>
          <w:rFonts w:ascii="SimSun" w:eastAsia="SimSun" w:hAnsi="SimSun" w:cs="SimSun" w:hint="eastAsia"/>
          <w:sz w:val="24"/>
          <w:lang w:eastAsia="zh-CN"/>
        </w:rPr>
        <w:t>埃尔塞西先生也分别致开幕词。</w:t>
      </w:r>
    </w:p>
    <w:p w:rsidR="008D76BF" w:rsidRPr="004311D7" w:rsidRDefault="008D76BF" w:rsidP="00750ECD">
      <w:pPr>
        <w:pStyle w:val="Para1"/>
        <w:numPr>
          <w:ilvl w:val="0"/>
          <w:numId w:val="9"/>
        </w:numPr>
        <w:tabs>
          <w:tab w:val="clear" w:pos="360"/>
          <w:tab w:val="left" w:pos="720"/>
        </w:tabs>
        <w:ind w:firstLine="0"/>
        <w:rPr>
          <w:rFonts w:hAnsi="SimSun"/>
          <w:sz w:val="24"/>
          <w:szCs w:val="24"/>
          <w:lang w:eastAsia="zh-CN"/>
        </w:rPr>
      </w:pPr>
      <w:r w:rsidRPr="004311D7">
        <w:rPr>
          <w:rFonts w:ascii="SimSun" w:eastAsia="SimSun" w:hAnsi="SimSun" w:cs="SimSun" w:hint="eastAsia"/>
          <w:sz w:val="24"/>
          <w:szCs w:val="24"/>
          <w:lang w:eastAsia="zh-CN"/>
        </w:rPr>
        <w:t>主席在发言中提到高级别部分的成果，其中包括《沙姆沙伊赫宣言：为人民和地球投资生物多样性》。《沙姆沙伊赫宣言》</w:t>
      </w:r>
      <w:r w:rsidR="00C32428">
        <w:rPr>
          <w:rFonts w:ascii="SimSun" w:eastAsia="SimSun" w:hAnsi="SimSun" w:cs="SimSun" w:hint="eastAsia"/>
          <w:sz w:val="24"/>
          <w:szCs w:val="24"/>
          <w:lang w:eastAsia="zh-CN"/>
        </w:rPr>
        <w:t>作为</w:t>
      </w:r>
      <w:r w:rsidRPr="004311D7">
        <w:rPr>
          <w:rFonts w:hAnsi="SimSun"/>
          <w:sz w:val="24"/>
          <w:szCs w:val="24"/>
          <w:lang w:eastAsia="zh-CN"/>
        </w:rPr>
        <w:t>CBD/COP/14/12</w:t>
      </w:r>
      <w:r w:rsidR="00C32428">
        <w:rPr>
          <w:rFonts w:ascii="SimSun" w:eastAsia="SimSun" w:hAnsi="SimSun" w:cs="SimSun" w:hint="eastAsia"/>
          <w:sz w:val="24"/>
          <w:szCs w:val="24"/>
          <w:lang w:eastAsia="zh-CN"/>
        </w:rPr>
        <w:t>印发</w:t>
      </w:r>
      <w:r w:rsidRPr="004311D7">
        <w:rPr>
          <w:rFonts w:ascii="SimSun" w:eastAsia="SimSun" w:hAnsi="SimSun" w:cs="SimSun" w:hint="eastAsia"/>
          <w:sz w:val="24"/>
          <w:szCs w:val="24"/>
          <w:lang w:eastAsia="zh-CN"/>
        </w:rPr>
        <w:t>，</w:t>
      </w:r>
      <w:r w:rsidR="00C32428">
        <w:rPr>
          <w:rFonts w:ascii="SimSun" w:eastAsia="SimSun" w:hAnsi="SimSun" w:cs="SimSun" w:hint="eastAsia"/>
          <w:sz w:val="24"/>
          <w:szCs w:val="24"/>
          <w:lang w:eastAsia="zh-CN"/>
        </w:rPr>
        <w:t>关于</w:t>
      </w:r>
      <w:r w:rsidRPr="004311D7">
        <w:rPr>
          <w:rFonts w:ascii="SimSun" w:eastAsia="SimSun" w:hAnsi="SimSun" w:cs="SimSun" w:hint="eastAsia"/>
          <w:sz w:val="24"/>
          <w:szCs w:val="24"/>
          <w:lang w:eastAsia="zh-CN"/>
        </w:rPr>
        <w:t>高级别部分的报告</w:t>
      </w:r>
      <w:r w:rsidR="00C32428">
        <w:rPr>
          <w:rFonts w:ascii="SimSun" w:eastAsia="SimSun" w:hAnsi="SimSun" w:cs="SimSun" w:hint="eastAsia"/>
          <w:sz w:val="24"/>
          <w:szCs w:val="24"/>
          <w:lang w:eastAsia="zh-CN"/>
        </w:rPr>
        <w:t>作为</w:t>
      </w:r>
      <w:r w:rsidRPr="004311D7">
        <w:rPr>
          <w:rFonts w:hAnsi="SimSun"/>
          <w:sz w:val="24"/>
          <w:szCs w:val="24"/>
          <w:lang w:eastAsia="zh-CN"/>
        </w:rPr>
        <w:t>CBD/OP/14/12/Add.1</w:t>
      </w:r>
      <w:r w:rsidR="00C32428">
        <w:rPr>
          <w:rFonts w:ascii="SimSun" w:eastAsia="SimSun" w:hAnsi="SimSun" w:cs="SimSun" w:hint="eastAsia"/>
          <w:sz w:val="24"/>
          <w:szCs w:val="24"/>
          <w:lang w:eastAsia="zh-CN"/>
        </w:rPr>
        <w:t>印发</w:t>
      </w:r>
      <w:r w:rsidRPr="004311D7">
        <w:rPr>
          <w:rFonts w:ascii="SimSun" w:eastAsia="SimSun" w:hAnsi="SimSun" w:cs="SimSun" w:hint="eastAsia"/>
          <w:sz w:val="24"/>
          <w:szCs w:val="24"/>
          <w:lang w:eastAsia="zh-CN"/>
        </w:rPr>
        <w:t>。</w:t>
      </w:r>
    </w:p>
    <w:p w:rsidR="008D76BF" w:rsidRPr="004311D7" w:rsidRDefault="008D76BF" w:rsidP="00750ECD">
      <w:pPr>
        <w:pStyle w:val="Para1"/>
        <w:numPr>
          <w:ilvl w:val="0"/>
          <w:numId w:val="9"/>
        </w:numPr>
        <w:tabs>
          <w:tab w:val="clear" w:pos="360"/>
          <w:tab w:val="left" w:pos="720"/>
        </w:tabs>
        <w:ind w:firstLine="0"/>
        <w:rPr>
          <w:rFonts w:hAnsi="SimSun"/>
          <w:sz w:val="24"/>
          <w:szCs w:val="24"/>
          <w:lang w:eastAsia="zh-CN"/>
        </w:rPr>
      </w:pPr>
      <w:r w:rsidRPr="004311D7">
        <w:rPr>
          <w:rFonts w:ascii="SimSun" w:eastAsia="SimSun" w:hAnsi="SimSun" w:cs="SimSun" w:hint="eastAsia"/>
          <w:sz w:val="24"/>
          <w:szCs w:val="24"/>
          <w:lang w:eastAsia="zh-CN"/>
        </w:rPr>
        <w:t>通过屏幕放映了两个视频介绍，第一个关于将生物多样性纳入主流，由墨西哥政府制作，第二个涉及生物多样性及其与人类生存的重要联系，由埃及政府制作。学童们还表演了有关生物多样性重要性的节目。</w:t>
      </w:r>
    </w:p>
    <w:p w:rsidR="008D76BF" w:rsidRPr="004311D7" w:rsidRDefault="008D76BF" w:rsidP="00750ECD">
      <w:pPr>
        <w:pStyle w:val="Para1"/>
        <w:numPr>
          <w:ilvl w:val="0"/>
          <w:numId w:val="9"/>
        </w:numPr>
        <w:tabs>
          <w:tab w:val="clear" w:pos="360"/>
          <w:tab w:val="left" w:pos="720"/>
        </w:tabs>
        <w:ind w:firstLine="0"/>
        <w:rPr>
          <w:rFonts w:hAnsi="SimSun"/>
          <w:sz w:val="24"/>
          <w:szCs w:val="24"/>
          <w:lang w:eastAsia="zh-CN"/>
        </w:rPr>
      </w:pPr>
      <w:r w:rsidRPr="004311D7">
        <w:rPr>
          <w:rFonts w:ascii="SimSun" w:eastAsia="SimSun" w:hAnsi="SimSun" w:cs="SimSun" w:hint="eastAsia"/>
          <w:sz w:val="24"/>
          <w:szCs w:val="24"/>
          <w:lang w:eastAsia="zh-CN"/>
        </w:rPr>
        <w:t>在</w:t>
      </w:r>
      <w:smartTag w:uri="urn:schemas-microsoft-com:office:smarttags" w:element="chsdate">
        <w:smartTagPr>
          <w:attr w:name="IsROCDate" w:val="False"/>
          <w:attr w:name="IsLunarDate" w:val="False"/>
          <w:attr w:name="Day" w:val="17"/>
          <w:attr w:name="Month" w:val="11"/>
          <w:attr w:name="Year" w:val="2018"/>
        </w:smartTagPr>
        <w:r w:rsidRPr="004311D7">
          <w:rPr>
            <w:rFonts w:hAnsi="SimSun"/>
            <w:sz w:val="24"/>
            <w:szCs w:val="24"/>
            <w:lang w:eastAsia="zh-CN"/>
          </w:rPr>
          <w:t>2018</w:t>
        </w:r>
        <w:r w:rsidRPr="004311D7">
          <w:rPr>
            <w:rFonts w:ascii="SimSun" w:eastAsia="SimSun" w:hAnsi="SimSun" w:cs="SimSun" w:hint="eastAsia"/>
            <w:sz w:val="24"/>
            <w:szCs w:val="24"/>
            <w:lang w:eastAsia="zh-CN"/>
          </w:rPr>
          <w:t>年</w:t>
        </w:r>
        <w:r w:rsidRPr="004311D7">
          <w:rPr>
            <w:rFonts w:hAnsi="SimSun"/>
            <w:sz w:val="24"/>
            <w:szCs w:val="24"/>
            <w:lang w:eastAsia="zh-CN"/>
          </w:rPr>
          <w:t>11</w:t>
        </w:r>
        <w:r w:rsidRPr="004311D7">
          <w:rPr>
            <w:rFonts w:ascii="SimSun" w:eastAsia="SimSun" w:hAnsi="SimSun" w:cs="SimSun" w:hint="eastAsia"/>
            <w:sz w:val="24"/>
            <w:szCs w:val="24"/>
            <w:lang w:eastAsia="zh-CN"/>
          </w:rPr>
          <w:t>月</w:t>
        </w:r>
        <w:r w:rsidRPr="004311D7">
          <w:rPr>
            <w:rFonts w:hAnsi="SimSun"/>
            <w:sz w:val="24"/>
            <w:szCs w:val="24"/>
            <w:lang w:eastAsia="zh-CN"/>
          </w:rPr>
          <w:t>17</w:t>
        </w:r>
        <w:r w:rsidRPr="004311D7">
          <w:rPr>
            <w:rFonts w:ascii="SimSun" w:eastAsia="SimSun" w:hAnsi="SimSun" w:cs="SimSun" w:hint="eastAsia"/>
            <w:sz w:val="24"/>
            <w:szCs w:val="24"/>
            <w:lang w:eastAsia="zh-CN"/>
          </w:rPr>
          <w:t>日</w:t>
        </w:r>
      </w:smartTag>
      <w:r w:rsidRPr="004311D7">
        <w:rPr>
          <w:rFonts w:ascii="SimSun" w:eastAsia="SimSun" w:hAnsi="SimSun" w:cs="SimSun" w:hint="eastAsia"/>
          <w:sz w:val="24"/>
          <w:szCs w:val="24"/>
          <w:lang w:eastAsia="zh-CN"/>
        </w:rPr>
        <w:t>会议的第</w:t>
      </w:r>
      <w:r w:rsidRPr="004311D7">
        <w:rPr>
          <w:rFonts w:hAnsi="SimSun"/>
          <w:sz w:val="24"/>
          <w:szCs w:val="24"/>
          <w:lang w:eastAsia="zh-CN"/>
        </w:rPr>
        <w:t>2</w:t>
      </w:r>
      <w:r w:rsidR="00B45641">
        <w:rPr>
          <w:rFonts w:ascii="SimSun" w:eastAsia="SimSun" w:hAnsi="SimSun" w:cs="SimSun" w:hint="eastAsia"/>
          <w:sz w:val="24"/>
          <w:szCs w:val="24"/>
          <w:lang w:eastAsia="zh-CN"/>
        </w:rPr>
        <w:t>次全体会议</w:t>
      </w:r>
      <w:r w:rsidRPr="004311D7">
        <w:rPr>
          <w:rFonts w:ascii="SimSun" w:eastAsia="SimSun" w:hAnsi="SimSun" w:cs="SimSun" w:hint="eastAsia"/>
          <w:sz w:val="24"/>
          <w:szCs w:val="24"/>
          <w:lang w:eastAsia="zh-CN"/>
        </w:rPr>
        <w:t>上，联合国副秘书长阿米娜</w:t>
      </w:r>
      <w:r w:rsidRPr="004311D7">
        <w:rPr>
          <w:rFonts w:ascii="SimSun" w:eastAsia="Times New Roman" w:hAnsi="SimSun" w:cs="SimSun"/>
          <w:sz w:val="24"/>
          <w:szCs w:val="24"/>
          <w:lang w:eastAsia="zh-CN"/>
        </w:rPr>
        <w:t>·</w:t>
      </w:r>
      <w:r w:rsidRPr="004311D7">
        <w:rPr>
          <w:rFonts w:ascii="SimSun" w:eastAsia="SimSun" w:hAnsi="SimSun" w:cs="SimSun" w:hint="eastAsia"/>
          <w:sz w:val="24"/>
          <w:szCs w:val="24"/>
          <w:lang w:eastAsia="zh-CN"/>
        </w:rPr>
        <w:t>穆罕默德女士通过视频</w:t>
      </w:r>
      <w:r w:rsidR="006952B0">
        <w:rPr>
          <w:rFonts w:ascii="SimSun" w:eastAsia="SimSun" w:hAnsi="SimSun" w:cs="SimSun" w:hint="eastAsia"/>
          <w:sz w:val="24"/>
          <w:szCs w:val="24"/>
          <w:lang w:eastAsia="zh-CN"/>
        </w:rPr>
        <w:t>作了发言</w:t>
      </w:r>
      <w:r w:rsidRPr="004311D7">
        <w:rPr>
          <w:rFonts w:ascii="SimSun" w:eastAsia="SimSun" w:hAnsi="SimSun" w:cs="SimSun" w:hint="eastAsia"/>
          <w:sz w:val="24"/>
          <w:szCs w:val="24"/>
          <w:lang w:eastAsia="zh-CN"/>
        </w:rPr>
        <w:t>，</w:t>
      </w:r>
      <w:r w:rsidR="00780033">
        <w:rPr>
          <w:rFonts w:ascii="SimSun" w:eastAsia="SimSun" w:hAnsi="SimSun" w:cs="SimSun" w:hint="eastAsia"/>
          <w:sz w:val="24"/>
          <w:szCs w:val="24"/>
          <w:lang w:eastAsia="zh-CN"/>
        </w:rPr>
        <w:t>联合国环境署</w:t>
      </w:r>
      <w:r>
        <w:rPr>
          <w:rFonts w:ascii="SimSun" w:eastAsia="SimSun" w:hAnsi="SimSun" w:cs="SimSun" w:hint="eastAsia"/>
          <w:sz w:val="24"/>
          <w:szCs w:val="24"/>
          <w:lang w:eastAsia="zh-CN"/>
        </w:rPr>
        <w:t>（</w:t>
      </w:r>
      <w:r w:rsidR="00780033">
        <w:rPr>
          <w:rFonts w:ascii="SimSun" w:eastAsia="SimSun" w:hAnsi="SimSun" w:cs="SimSun" w:hint="eastAsia"/>
          <w:sz w:val="24"/>
          <w:szCs w:val="24"/>
          <w:lang w:eastAsia="zh-CN"/>
        </w:rPr>
        <w:t>环境署</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世界养护监测中心副主任</w:t>
      </w:r>
      <w:r w:rsidRPr="004311D7">
        <w:rPr>
          <w:rFonts w:hAnsi="SimSun"/>
          <w:sz w:val="24"/>
          <w:szCs w:val="24"/>
          <w:lang w:eastAsia="zh-CN"/>
        </w:rPr>
        <w:t>Corli Pretorius</w:t>
      </w:r>
      <w:r w:rsidRPr="004311D7">
        <w:rPr>
          <w:rFonts w:ascii="SimSun" w:eastAsia="SimSun" w:hAnsi="SimSun" w:cs="SimSun" w:hint="eastAsia"/>
          <w:sz w:val="24"/>
          <w:szCs w:val="24"/>
          <w:lang w:eastAsia="zh-CN"/>
        </w:rPr>
        <w:t>女士也</w:t>
      </w:r>
      <w:r w:rsidR="006952B0">
        <w:rPr>
          <w:rFonts w:ascii="SimSun" w:eastAsia="SimSun" w:hAnsi="SimSun" w:cs="SimSun" w:hint="eastAsia"/>
          <w:sz w:val="24"/>
          <w:szCs w:val="24"/>
          <w:lang w:eastAsia="zh-CN"/>
        </w:rPr>
        <w:t>作了发言</w:t>
      </w:r>
      <w:r w:rsidRPr="004311D7">
        <w:rPr>
          <w:rFonts w:ascii="SimSun" w:eastAsia="SimSun" w:hAnsi="SimSun" w:cs="SimSun" w:hint="eastAsia"/>
          <w:sz w:val="24"/>
          <w:szCs w:val="24"/>
          <w:lang w:eastAsia="zh-CN"/>
        </w:rPr>
        <w:t>。</w:t>
      </w:r>
    </w:p>
    <w:p w:rsidR="008D76BF" w:rsidRPr="004311D7" w:rsidRDefault="008D76BF" w:rsidP="00750ECD">
      <w:pPr>
        <w:pStyle w:val="Para1"/>
        <w:numPr>
          <w:ilvl w:val="0"/>
          <w:numId w:val="9"/>
        </w:numPr>
        <w:tabs>
          <w:tab w:val="clear" w:pos="360"/>
          <w:tab w:val="left" w:pos="720"/>
        </w:tabs>
        <w:ind w:firstLine="0"/>
        <w:rPr>
          <w:rFonts w:hAnsi="SimSun"/>
          <w:sz w:val="24"/>
          <w:szCs w:val="24"/>
          <w:lang w:eastAsia="zh-CN"/>
        </w:rPr>
      </w:pPr>
      <w:r w:rsidRPr="004311D7">
        <w:rPr>
          <w:rFonts w:ascii="SimSun" w:eastAsia="SimSun" w:hAnsi="SimSun" w:cs="SimSun" w:hint="eastAsia"/>
          <w:sz w:val="24"/>
          <w:szCs w:val="24"/>
          <w:lang w:eastAsia="zh-CN"/>
        </w:rPr>
        <w:t>代表们观看了两部分别由国家地理学会和世界自然基金会制作的电影，以及保罗</w:t>
      </w:r>
      <w:r w:rsidRPr="004311D7">
        <w:rPr>
          <w:rFonts w:ascii="SimSun" w:eastAsia="Times New Roman" w:hAnsi="SimSun" w:cs="SimSun"/>
          <w:sz w:val="24"/>
          <w:szCs w:val="24"/>
          <w:lang w:eastAsia="zh-CN"/>
        </w:rPr>
        <w:t>·</w:t>
      </w:r>
      <w:r w:rsidRPr="004311D7">
        <w:rPr>
          <w:rFonts w:ascii="SimSun" w:eastAsia="SimSun" w:hAnsi="SimSun" w:cs="SimSun" w:hint="eastAsia"/>
          <w:sz w:val="24"/>
          <w:szCs w:val="24"/>
          <w:lang w:eastAsia="zh-CN"/>
        </w:rPr>
        <w:t>麦卡特尼先生的视频发言。</w:t>
      </w:r>
    </w:p>
    <w:p w:rsidR="008D76BF" w:rsidRPr="004311D7" w:rsidRDefault="008D76B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下列国家的代表</w:t>
      </w:r>
      <w:r w:rsidRPr="004311D7">
        <w:rPr>
          <w:rFonts w:ascii="SimSun" w:eastAsia="SimSun" w:hAnsi="SimSun" w:cs="SimSun" w:hint="eastAsia"/>
          <w:sz w:val="24"/>
          <w:szCs w:val="24"/>
          <w:lang w:eastAsia="zh-CN"/>
        </w:rPr>
        <w:t>作了一般性发言</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阿根廷</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代表拉丁美洲和加勒比集团</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、加拿大</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代表不结盟国家集团</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、欧洲联盟及其</w:t>
      </w:r>
      <w:r w:rsidRPr="004311D7">
        <w:rPr>
          <w:rFonts w:hAnsi="SimSun"/>
          <w:sz w:val="24"/>
          <w:szCs w:val="24"/>
          <w:lang w:eastAsia="zh-CN"/>
        </w:rPr>
        <w:t>28</w:t>
      </w:r>
      <w:r w:rsidRPr="004311D7">
        <w:rPr>
          <w:rFonts w:ascii="SimSun" w:eastAsia="SimSun" w:hAnsi="SimSun" w:cs="SimSun" w:hint="eastAsia"/>
          <w:sz w:val="24"/>
          <w:szCs w:val="24"/>
          <w:lang w:eastAsia="zh-CN"/>
        </w:rPr>
        <w:t>个成员国、白俄罗斯</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代表中欧和东欧国家</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、卢旺达</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代表非洲集团</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和马来西亚</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代表观点相同的生物多样性大国集团</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w:t>
      </w:r>
    </w:p>
    <w:p w:rsidR="008D76BF" w:rsidRPr="004311D7" w:rsidRDefault="008D76BF" w:rsidP="00750ECD">
      <w:pPr>
        <w:pStyle w:val="Para1"/>
        <w:numPr>
          <w:ilvl w:val="0"/>
          <w:numId w:val="9"/>
        </w:numPr>
        <w:tabs>
          <w:tab w:val="clear" w:pos="360"/>
          <w:tab w:val="left" w:pos="720"/>
        </w:tabs>
        <w:ind w:firstLine="0"/>
        <w:rPr>
          <w:rFonts w:hAnsi="SimSun"/>
          <w:sz w:val="24"/>
          <w:szCs w:val="24"/>
          <w:lang w:eastAsia="zh-CN"/>
        </w:rPr>
      </w:pPr>
      <w:r w:rsidRPr="004311D7">
        <w:rPr>
          <w:rFonts w:ascii="SimSun" w:eastAsia="SimSun" w:hAnsi="SimSun" w:cs="SimSun" w:hint="eastAsia"/>
          <w:sz w:val="24"/>
          <w:szCs w:val="24"/>
          <w:lang w:eastAsia="zh-CN"/>
        </w:rPr>
        <w:t>土著妇女生物多样性网络</w:t>
      </w:r>
      <w:r>
        <w:rPr>
          <w:rFonts w:ascii="SimSun" w:eastAsia="SimSun" w:hAnsi="SimSun" w:cs="SimSun" w:hint="eastAsia"/>
          <w:sz w:val="24"/>
          <w:szCs w:val="24"/>
          <w:lang w:eastAsia="zh-CN"/>
        </w:rPr>
        <w:t>（</w:t>
      </w:r>
      <w:r w:rsidRPr="004311D7">
        <w:rPr>
          <w:rFonts w:hAnsi="SimSun"/>
          <w:sz w:val="24"/>
          <w:szCs w:val="24"/>
          <w:lang w:eastAsia="zh-CN"/>
        </w:rPr>
        <w:t>IWBN</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、生物多样性国际土著论坛</w:t>
      </w:r>
      <w:r>
        <w:rPr>
          <w:rFonts w:ascii="SimSun" w:eastAsia="SimSun" w:hAnsi="SimSun" w:cs="SimSun" w:hint="eastAsia"/>
          <w:sz w:val="24"/>
          <w:szCs w:val="24"/>
          <w:lang w:eastAsia="zh-CN"/>
        </w:rPr>
        <w:t>（</w:t>
      </w:r>
      <w:r w:rsidRPr="004311D7">
        <w:rPr>
          <w:rFonts w:hAnsi="SimSun"/>
          <w:sz w:val="24"/>
          <w:szCs w:val="24"/>
          <w:lang w:eastAsia="zh-CN"/>
        </w:rPr>
        <w:t>IIFB</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、生物多样性公约联盟和全球青年生物多样性网络</w:t>
      </w:r>
      <w:r>
        <w:rPr>
          <w:rFonts w:ascii="SimSun" w:eastAsia="SimSun" w:hAnsi="SimSun" w:cs="SimSun" w:hint="eastAsia"/>
          <w:sz w:val="24"/>
          <w:szCs w:val="24"/>
          <w:lang w:eastAsia="zh-CN"/>
        </w:rPr>
        <w:t>（</w:t>
      </w:r>
      <w:r w:rsidRPr="004311D7">
        <w:rPr>
          <w:rFonts w:hAnsi="SimSun"/>
          <w:sz w:val="24"/>
          <w:szCs w:val="24"/>
          <w:lang w:eastAsia="zh-CN"/>
        </w:rPr>
        <w:t>GYBN</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以及生物多样性和生态系统政府间科学政策平台的代表也</w:t>
      </w:r>
      <w:r w:rsidR="006952B0">
        <w:rPr>
          <w:rFonts w:ascii="SimSun" w:eastAsia="SimSun" w:hAnsi="SimSun" w:cs="SimSun" w:hint="eastAsia"/>
          <w:sz w:val="24"/>
          <w:szCs w:val="24"/>
          <w:lang w:eastAsia="zh-CN"/>
        </w:rPr>
        <w:t>作了发言</w:t>
      </w:r>
      <w:r w:rsidRPr="004311D7">
        <w:rPr>
          <w:rFonts w:ascii="SimSun" w:eastAsia="SimSun" w:hAnsi="SimSun" w:cs="SimSun" w:hint="eastAsia"/>
          <w:sz w:val="24"/>
          <w:szCs w:val="24"/>
          <w:lang w:eastAsia="zh-CN"/>
        </w:rPr>
        <w:t>。</w:t>
      </w:r>
    </w:p>
    <w:p w:rsidR="008D76BF" w:rsidRPr="004311D7" w:rsidRDefault="008D76BF" w:rsidP="00750ECD">
      <w:pPr>
        <w:pStyle w:val="Para1"/>
        <w:numPr>
          <w:ilvl w:val="0"/>
          <w:numId w:val="9"/>
        </w:numPr>
        <w:tabs>
          <w:tab w:val="clear" w:pos="360"/>
          <w:tab w:val="left" w:pos="720"/>
        </w:tabs>
        <w:ind w:firstLine="0"/>
        <w:rPr>
          <w:rFonts w:hAnsi="SimSun"/>
          <w:sz w:val="24"/>
          <w:szCs w:val="24"/>
          <w:lang w:eastAsia="zh-CN"/>
        </w:rPr>
      </w:pPr>
      <w:r w:rsidRPr="004311D7">
        <w:rPr>
          <w:rFonts w:ascii="SimSun" w:eastAsia="SimSun" w:hAnsi="SimSun" w:cs="SimSun" w:hint="eastAsia"/>
          <w:sz w:val="24"/>
          <w:szCs w:val="24"/>
          <w:lang w:eastAsia="zh-CN"/>
        </w:rPr>
        <w:t>开幕词的摘要载于本报告附件二。</w:t>
      </w:r>
    </w:p>
    <w:p w:rsidR="008D76BF" w:rsidRPr="00F17640" w:rsidRDefault="008D76BF" w:rsidP="00F17640">
      <w:pPr>
        <w:pStyle w:val="Heading1"/>
        <w:spacing w:before="120" w:after="120"/>
        <w:ind w:firstLine="0"/>
        <w:rPr>
          <w:sz w:val="24"/>
          <w:szCs w:val="24"/>
          <w:lang w:eastAsia="zh-CN"/>
        </w:rPr>
      </w:pPr>
      <w:bookmarkStart w:id="254" w:name="_Toc6243813"/>
      <w:bookmarkStart w:id="255" w:name="Item02"/>
      <w:r w:rsidRPr="00F17640">
        <w:rPr>
          <w:rFonts w:hint="eastAsia"/>
          <w:sz w:val="24"/>
          <w:szCs w:val="24"/>
          <w:lang w:eastAsia="zh-CN"/>
        </w:rPr>
        <w:lastRenderedPageBreak/>
        <w:t>项目</w:t>
      </w:r>
      <w:r w:rsidRPr="00F17640">
        <w:rPr>
          <w:sz w:val="24"/>
          <w:szCs w:val="24"/>
          <w:lang w:eastAsia="zh-CN"/>
        </w:rPr>
        <w:t xml:space="preserve">2.    </w:t>
      </w:r>
      <w:r w:rsidR="00366699" w:rsidRPr="00F17640">
        <w:rPr>
          <w:sz w:val="24"/>
          <w:szCs w:val="24"/>
          <w:lang w:eastAsia="zh-CN"/>
        </w:rPr>
        <w:t xml:space="preserve">  </w:t>
      </w:r>
      <w:r w:rsidRPr="00F17640">
        <w:rPr>
          <w:rFonts w:hint="eastAsia"/>
          <w:sz w:val="24"/>
          <w:szCs w:val="24"/>
          <w:lang w:eastAsia="zh-CN"/>
        </w:rPr>
        <w:t>通过议程和工作安排</w:t>
      </w:r>
      <w:bookmarkEnd w:id="254"/>
    </w:p>
    <w:p w:rsidR="008D76BF" w:rsidRPr="00AF360F" w:rsidRDefault="008D76BF" w:rsidP="0004184E">
      <w:pPr>
        <w:pStyle w:val="Heading3"/>
        <w:tabs>
          <w:tab w:val="left" w:pos="720"/>
        </w:tabs>
        <w:ind w:firstLine="0"/>
        <w:rPr>
          <w:sz w:val="24"/>
        </w:rPr>
      </w:pPr>
      <w:bookmarkStart w:id="256" w:name="_Toc6243814"/>
      <w:bookmarkStart w:id="257" w:name="Item03"/>
      <w:bookmarkEnd w:id="255"/>
      <w:r w:rsidRPr="00AF360F">
        <w:rPr>
          <w:rFonts w:ascii="KaiTi" w:eastAsia="KaiTi" w:hAnsi="KaiTi" w:cs="SimSun" w:hint="eastAsia"/>
          <w:i w:val="0"/>
          <w:sz w:val="24"/>
        </w:rPr>
        <w:t>通过议程</w:t>
      </w:r>
      <w:bookmarkEnd w:id="256"/>
    </w:p>
    <w:p w:rsidR="008D76BF" w:rsidRPr="004311D7" w:rsidRDefault="008D76BF" w:rsidP="00750ECD">
      <w:pPr>
        <w:pStyle w:val="Para1"/>
        <w:numPr>
          <w:ilvl w:val="0"/>
          <w:numId w:val="9"/>
        </w:numPr>
        <w:tabs>
          <w:tab w:val="clear" w:pos="360"/>
          <w:tab w:val="left" w:pos="720"/>
        </w:tabs>
        <w:ind w:firstLine="0"/>
        <w:rPr>
          <w:rFonts w:hAnsi="SimSun"/>
          <w:sz w:val="24"/>
          <w:szCs w:val="24"/>
          <w:lang w:eastAsia="zh-CN"/>
        </w:rPr>
      </w:pPr>
      <w:r w:rsidRPr="004311D7">
        <w:rPr>
          <w:rFonts w:ascii="SimSun" w:eastAsia="SimSun" w:hAnsi="SimSun" w:cs="SimSun" w:hint="eastAsia"/>
          <w:sz w:val="24"/>
          <w:szCs w:val="24"/>
          <w:lang w:eastAsia="zh-CN"/>
        </w:rPr>
        <w:t>在</w:t>
      </w:r>
      <w:smartTag w:uri="urn:schemas-microsoft-com:office:smarttags" w:element="chsdate">
        <w:smartTagPr>
          <w:attr w:name="IsROCDate" w:val="False"/>
          <w:attr w:name="IsLunarDate" w:val="False"/>
          <w:attr w:name="Day" w:val="17"/>
          <w:attr w:name="Month" w:val="11"/>
          <w:attr w:name="Year" w:val="2018"/>
        </w:smartTagPr>
        <w:r w:rsidRPr="004311D7">
          <w:rPr>
            <w:rFonts w:hAnsi="SimSun"/>
            <w:sz w:val="24"/>
            <w:szCs w:val="24"/>
            <w:lang w:eastAsia="zh-CN"/>
          </w:rPr>
          <w:t>2018</w:t>
        </w:r>
        <w:r w:rsidRPr="004311D7">
          <w:rPr>
            <w:rFonts w:ascii="SimSun" w:eastAsia="SimSun" w:hAnsi="SimSun" w:cs="SimSun" w:hint="eastAsia"/>
            <w:sz w:val="24"/>
            <w:szCs w:val="24"/>
            <w:lang w:eastAsia="zh-CN"/>
          </w:rPr>
          <w:t>年</w:t>
        </w:r>
        <w:r w:rsidRPr="004311D7">
          <w:rPr>
            <w:rFonts w:hAnsi="SimSun"/>
            <w:sz w:val="24"/>
            <w:szCs w:val="24"/>
            <w:lang w:eastAsia="zh-CN"/>
          </w:rPr>
          <w:t>11</w:t>
        </w:r>
        <w:r w:rsidRPr="004311D7">
          <w:rPr>
            <w:rFonts w:ascii="SimSun" w:eastAsia="SimSun" w:hAnsi="SimSun" w:cs="SimSun" w:hint="eastAsia"/>
            <w:sz w:val="24"/>
            <w:szCs w:val="24"/>
            <w:lang w:eastAsia="zh-CN"/>
          </w:rPr>
          <w:t>月</w:t>
        </w:r>
        <w:r w:rsidRPr="004311D7">
          <w:rPr>
            <w:rFonts w:hAnsi="SimSun"/>
            <w:sz w:val="24"/>
            <w:szCs w:val="24"/>
            <w:lang w:eastAsia="zh-CN"/>
          </w:rPr>
          <w:t>17</w:t>
        </w:r>
        <w:r>
          <w:rPr>
            <w:rFonts w:ascii="SimSun" w:eastAsia="SimSun" w:hAnsi="SimSun" w:cs="SimSun" w:hint="eastAsia"/>
            <w:sz w:val="24"/>
            <w:szCs w:val="24"/>
            <w:lang w:eastAsia="zh-CN"/>
          </w:rPr>
          <w:t>日</w:t>
        </w:r>
      </w:smartTag>
      <w:r>
        <w:rPr>
          <w:rFonts w:ascii="SimSun" w:eastAsia="SimSun" w:hAnsi="SimSun" w:cs="SimSun" w:hint="eastAsia"/>
          <w:sz w:val="24"/>
          <w:szCs w:val="24"/>
          <w:lang w:eastAsia="zh-CN"/>
        </w:rPr>
        <w:t>会议的第</w:t>
      </w:r>
      <w:r>
        <w:rPr>
          <w:rFonts w:hAnsi="SimSun"/>
          <w:sz w:val="24"/>
          <w:szCs w:val="24"/>
          <w:lang w:eastAsia="zh-CN"/>
        </w:rPr>
        <w:t>2</w:t>
      </w:r>
      <w:r w:rsidR="00B45641">
        <w:rPr>
          <w:rFonts w:ascii="SimSun" w:eastAsia="SimSun" w:hAnsi="SimSun" w:cs="SimSun" w:hint="eastAsia"/>
          <w:sz w:val="24"/>
          <w:szCs w:val="24"/>
          <w:lang w:eastAsia="zh-CN"/>
        </w:rPr>
        <w:t>次全体会议</w:t>
      </w:r>
      <w:r w:rsidRPr="004311D7">
        <w:rPr>
          <w:rFonts w:ascii="SimSun" w:eastAsia="SimSun" w:hAnsi="SimSun" w:cs="SimSun" w:hint="eastAsia"/>
          <w:sz w:val="24"/>
          <w:szCs w:val="24"/>
          <w:lang w:eastAsia="zh-CN"/>
        </w:rPr>
        <w:t>上，缔约方大会根据执行秘书与主席团协商编写的临时议程</w:t>
      </w:r>
      <w:r>
        <w:rPr>
          <w:rFonts w:ascii="SimSun" w:eastAsia="SimSun" w:hAnsi="SimSun" w:cs="SimSun" w:hint="eastAsia"/>
          <w:sz w:val="24"/>
          <w:szCs w:val="24"/>
          <w:lang w:eastAsia="zh-CN"/>
        </w:rPr>
        <w:t>（</w:t>
      </w:r>
      <w:r w:rsidRPr="004311D7">
        <w:rPr>
          <w:rFonts w:hAnsi="SimSun"/>
          <w:sz w:val="24"/>
          <w:szCs w:val="24"/>
          <w:lang w:eastAsia="zh-CN"/>
        </w:rPr>
        <w:t>CBD/COP/14/1</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，通过了以下议程</w:t>
      </w:r>
      <w:r>
        <w:rPr>
          <w:rFonts w:ascii="SimSun" w:eastAsia="SimSun" w:hAnsi="SimSun" w:cs="SimSun" w:hint="eastAsia"/>
          <w:sz w:val="24"/>
          <w:szCs w:val="24"/>
          <w:lang w:eastAsia="zh-CN"/>
        </w:rPr>
        <w:t>（</w:t>
      </w:r>
      <w:r w:rsidRPr="004311D7">
        <w:rPr>
          <w:rFonts w:hAnsi="SimSun"/>
          <w:sz w:val="24"/>
          <w:szCs w:val="24"/>
          <w:lang w:eastAsia="zh-CN"/>
        </w:rPr>
        <w:t>CBD/COP/14/1</w:t>
      </w:r>
      <w:r>
        <w:rPr>
          <w:rFonts w:ascii="SimSun" w:eastAsia="SimSun" w:hAnsi="SimSun" w:cs="SimSun" w:hint="eastAsia"/>
          <w:sz w:val="24"/>
          <w:szCs w:val="24"/>
          <w:lang w:eastAsia="zh-CN"/>
        </w:rPr>
        <w:t>）</w:t>
      </w:r>
      <w:r w:rsidRPr="004311D7">
        <w:rPr>
          <w:rFonts w:ascii="SimSun" w:eastAsia="SimSun" w:hAnsi="SimSun" w:cs="SimSun" w:hint="eastAsia"/>
          <w:sz w:val="24"/>
          <w:szCs w:val="24"/>
          <w:lang w:eastAsia="zh-CN"/>
        </w:rPr>
        <w:t>：</w:t>
      </w:r>
    </w:p>
    <w:bookmarkEnd w:id="257"/>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1.</w:t>
      </w:r>
      <w:r w:rsidRPr="00AF360F">
        <w:rPr>
          <w:lang w:eastAsia="zh-CN"/>
        </w:rPr>
        <w:tab/>
      </w:r>
      <w:r w:rsidRPr="00AF360F">
        <w:rPr>
          <w:rFonts w:ascii="SimSun" w:eastAsia="SimSun" w:hAnsi="SimSun" w:cs="SimSun" w:hint="eastAsia"/>
          <w:lang w:eastAsia="zh-CN"/>
        </w:rPr>
        <w:t>会议开幕。</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2.</w:t>
      </w:r>
      <w:r w:rsidRPr="00AF360F">
        <w:rPr>
          <w:lang w:eastAsia="zh-CN"/>
        </w:rPr>
        <w:tab/>
      </w:r>
      <w:r w:rsidRPr="00AF360F">
        <w:rPr>
          <w:rFonts w:ascii="SimSun" w:eastAsia="SimSun" w:hAnsi="SimSun" w:cs="SimSun" w:hint="eastAsia"/>
          <w:lang w:eastAsia="zh-CN"/>
        </w:rPr>
        <w:t>组织事项。</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3.</w:t>
      </w:r>
      <w:r w:rsidRPr="00AF360F">
        <w:rPr>
          <w:lang w:eastAsia="zh-CN"/>
        </w:rPr>
        <w:tab/>
      </w:r>
      <w:r w:rsidRPr="00AF360F">
        <w:rPr>
          <w:rFonts w:ascii="SimSun" w:eastAsia="SimSun" w:hAnsi="SimSun" w:cs="SimSun" w:hint="eastAsia"/>
          <w:lang w:eastAsia="zh-CN"/>
        </w:rPr>
        <w:t>关于出席缔约方大会第十四届会议代表的全权证书的报告。</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4.</w:t>
      </w:r>
      <w:r w:rsidRPr="00AF360F">
        <w:rPr>
          <w:lang w:eastAsia="zh-CN"/>
        </w:rPr>
        <w:tab/>
      </w:r>
      <w:r w:rsidRPr="00AF360F">
        <w:rPr>
          <w:rFonts w:ascii="SimSun" w:eastAsia="SimSun" w:hAnsi="SimSun" w:cs="SimSun" w:hint="eastAsia"/>
          <w:lang w:eastAsia="zh-CN"/>
        </w:rPr>
        <w:t>未决问题。</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5.</w:t>
      </w:r>
      <w:r w:rsidRPr="00AF360F">
        <w:rPr>
          <w:lang w:eastAsia="zh-CN"/>
        </w:rPr>
        <w:tab/>
      </w:r>
      <w:r w:rsidRPr="00AF360F">
        <w:rPr>
          <w:rFonts w:ascii="SimSun" w:eastAsia="SimSun" w:hAnsi="SimSun" w:cs="SimSun" w:hint="eastAsia"/>
          <w:lang w:eastAsia="zh-CN"/>
        </w:rPr>
        <w:t>缔约方大会今后会议的日期和地点。</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6.</w:t>
      </w:r>
      <w:r w:rsidRPr="00AF360F">
        <w:rPr>
          <w:lang w:eastAsia="zh-CN"/>
        </w:rPr>
        <w:tab/>
      </w:r>
      <w:r w:rsidRPr="00AF360F">
        <w:rPr>
          <w:rFonts w:ascii="SimSun" w:eastAsia="SimSun" w:hAnsi="SimSun" w:cs="SimSun" w:hint="eastAsia"/>
          <w:lang w:eastAsia="zh-CN"/>
        </w:rPr>
        <w:t>闭会期间和区域筹备会议的报告。</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7.</w:t>
      </w:r>
      <w:r w:rsidRPr="00AF360F">
        <w:rPr>
          <w:lang w:eastAsia="zh-CN"/>
        </w:rPr>
        <w:tab/>
      </w:r>
      <w:r w:rsidRPr="00AF360F">
        <w:rPr>
          <w:rFonts w:ascii="SimSun" w:eastAsia="SimSun" w:hAnsi="SimSun" w:cs="SimSun" w:hint="eastAsia"/>
          <w:lang w:eastAsia="zh-CN"/>
        </w:rPr>
        <w:t>《公约》的行政管理和信托基金的预算。</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8.</w:t>
      </w:r>
      <w:r w:rsidRPr="00AF360F">
        <w:rPr>
          <w:lang w:eastAsia="zh-CN"/>
        </w:rPr>
        <w:tab/>
      </w:r>
      <w:r w:rsidRPr="00AF360F">
        <w:rPr>
          <w:rFonts w:ascii="SimSun" w:eastAsia="SimSun" w:hAnsi="SimSun" w:cs="SimSun" w:hint="eastAsia"/>
          <w:lang w:eastAsia="zh-CN"/>
        </w:rPr>
        <w:t>审查《公约》和《</w:t>
      </w:r>
      <w:r w:rsidRPr="00AF360F">
        <w:rPr>
          <w:lang w:eastAsia="zh-CN"/>
        </w:rPr>
        <w:t>2011</w:t>
      </w:r>
      <w:r w:rsidRPr="00AF360F">
        <w:rPr>
          <w:rFonts w:ascii="SimSun" w:hAnsi="SimSun"/>
          <w:lang w:eastAsia="zh-CN"/>
        </w:rPr>
        <w:t>-</w:t>
      </w:r>
      <w:r w:rsidRPr="00AF360F">
        <w:rPr>
          <w:lang w:eastAsia="zh-CN"/>
        </w:rPr>
        <w:t>2020</w:t>
      </w:r>
      <w:r w:rsidRPr="00AF360F">
        <w:rPr>
          <w:rFonts w:ascii="SimSun" w:eastAsia="SimSun" w:hAnsi="SimSun" w:cs="SimSun" w:hint="eastAsia"/>
          <w:lang w:eastAsia="zh-CN"/>
        </w:rPr>
        <w:t>年生物多样性战略计划》的执行进展情况</w:t>
      </w:r>
      <w:r w:rsidRPr="00AF360F">
        <w:rPr>
          <w:rFonts w:ascii="SimSun" w:eastAsia="SimSun" w:hAnsi="SimSun" w:cs="SimSun" w:hint="eastAsia"/>
          <w:kern w:val="22"/>
          <w:lang w:eastAsia="zh-CN"/>
        </w:rPr>
        <w:t>。</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kern w:val="22"/>
          <w:lang w:eastAsia="zh-CN"/>
        </w:rPr>
      </w:pPr>
      <w:r w:rsidRPr="00AF360F">
        <w:rPr>
          <w:kern w:val="22"/>
          <w:lang w:eastAsia="zh-CN"/>
        </w:rPr>
        <w:t>9.</w:t>
      </w:r>
      <w:r w:rsidRPr="00AF360F">
        <w:rPr>
          <w:kern w:val="22"/>
          <w:lang w:eastAsia="zh-CN"/>
        </w:rPr>
        <w:tab/>
      </w:r>
      <w:r w:rsidRPr="00AF360F">
        <w:rPr>
          <w:rFonts w:ascii="SimSun" w:eastAsia="SimSun" w:hAnsi="SimSun" w:cs="SimSun" w:hint="eastAsia"/>
          <w:kern w:val="22"/>
          <w:lang w:eastAsia="zh-CN"/>
        </w:rPr>
        <w:t>资源调动和财务机制。</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10.</w:t>
      </w:r>
      <w:r w:rsidRPr="00AF360F">
        <w:rPr>
          <w:lang w:eastAsia="zh-CN"/>
        </w:rPr>
        <w:tab/>
      </w:r>
      <w:r w:rsidRPr="00AF360F">
        <w:rPr>
          <w:rFonts w:ascii="SimSun" w:eastAsia="SimSun" w:hAnsi="SimSun" w:cs="SimSun" w:hint="eastAsia"/>
          <w:lang w:eastAsia="zh-CN"/>
        </w:rPr>
        <w:t>能力建设和科技合作。</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11.</w:t>
      </w:r>
      <w:r w:rsidRPr="00AF360F">
        <w:rPr>
          <w:lang w:eastAsia="zh-CN"/>
        </w:rPr>
        <w:tab/>
      </w:r>
      <w:r w:rsidRPr="00AF360F">
        <w:rPr>
          <w:rFonts w:ascii="SimSun" w:eastAsia="SimSun" w:hAnsi="SimSun" w:cs="SimSun" w:hint="eastAsia"/>
          <w:lang w:eastAsia="zh-CN"/>
        </w:rPr>
        <w:t>知识管理和传播。</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09"/>
        <w:rPr>
          <w:lang w:eastAsia="zh-CN"/>
        </w:rPr>
      </w:pPr>
      <w:r w:rsidRPr="00AF360F">
        <w:rPr>
          <w:kern w:val="22"/>
          <w:lang w:eastAsia="zh-CN"/>
        </w:rPr>
        <w:t>12.</w:t>
      </w:r>
      <w:r w:rsidRPr="00AF360F">
        <w:rPr>
          <w:kern w:val="22"/>
          <w:lang w:eastAsia="zh-CN"/>
        </w:rPr>
        <w:tab/>
      </w:r>
      <w:r w:rsidRPr="00AF360F">
        <w:rPr>
          <w:rFonts w:ascii="SimSun" w:eastAsia="SimSun" w:hAnsi="SimSun" w:cs="SimSun" w:hint="eastAsia"/>
          <w:kern w:val="22"/>
          <w:lang w:eastAsia="zh-CN"/>
        </w:rPr>
        <w:t>国家报告、评估和审查机制。</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13.</w:t>
      </w:r>
      <w:r w:rsidRPr="00AF360F">
        <w:rPr>
          <w:lang w:eastAsia="zh-CN"/>
        </w:rPr>
        <w:tab/>
      </w:r>
      <w:r w:rsidRPr="00AF360F">
        <w:rPr>
          <w:rFonts w:ascii="SimSun" w:eastAsia="SimSun" w:hAnsi="SimSun" w:cs="SimSun" w:hint="eastAsia"/>
          <w:lang w:eastAsia="zh-CN"/>
        </w:rPr>
        <w:t>加强《公约》及其《议定书》有关获取和惠益分享条款、生物安全条款和</w:t>
      </w:r>
      <w:r w:rsidRPr="00AF360F">
        <w:rPr>
          <w:rFonts w:ascii="SimSun" w:eastAsia="SimSun" w:hAnsi="SimSun" w:cs="SimSun" w:hint="eastAsia"/>
          <w:kern w:val="22"/>
          <w:lang w:eastAsia="zh-CN"/>
        </w:rPr>
        <w:t>第</w:t>
      </w:r>
      <w:r w:rsidRPr="00AF360F">
        <w:rPr>
          <w:kern w:val="22"/>
          <w:lang w:eastAsia="zh-CN"/>
        </w:rPr>
        <w:t>8</w:t>
      </w:r>
      <w:r w:rsidR="00B47408" w:rsidRPr="009B0F5B">
        <w:rPr>
          <w:rFonts w:eastAsia="SimSun"/>
          <w:kern w:val="22"/>
          <w:lang w:eastAsia="zh-CN"/>
        </w:rPr>
        <w:t>(</w:t>
      </w:r>
      <w:r w:rsidRPr="00AF360F">
        <w:rPr>
          <w:kern w:val="22"/>
          <w:lang w:eastAsia="zh-CN"/>
        </w:rPr>
        <w:t>j</w:t>
      </w:r>
      <w:r w:rsidR="00B47408">
        <w:rPr>
          <w:kern w:val="22"/>
          <w:lang w:eastAsia="zh-CN"/>
        </w:rPr>
        <w:t>)</w:t>
      </w:r>
      <w:r w:rsidRPr="00AF360F">
        <w:rPr>
          <w:rFonts w:ascii="SimSun" w:eastAsia="SimSun" w:hAnsi="SimSun" w:cs="SimSun" w:hint="eastAsia"/>
          <w:kern w:val="22"/>
          <w:lang w:eastAsia="zh-CN"/>
        </w:rPr>
        <w:t>条和相关条款</w:t>
      </w:r>
      <w:r w:rsidRPr="00AF360F">
        <w:rPr>
          <w:rFonts w:ascii="SimSun" w:eastAsia="SimSun" w:hAnsi="SimSun" w:cs="SimSun" w:hint="eastAsia"/>
          <w:lang w:eastAsia="zh-CN"/>
        </w:rPr>
        <w:t>的一体化。</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14.</w:t>
      </w:r>
      <w:r w:rsidRPr="00AF360F">
        <w:rPr>
          <w:lang w:eastAsia="zh-CN"/>
        </w:rPr>
        <w:tab/>
      </w:r>
      <w:r w:rsidRPr="00AF360F">
        <w:rPr>
          <w:rFonts w:ascii="SimSun" w:eastAsia="SimSun" w:hAnsi="SimSun" w:cs="SimSun" w:hint="eastAsia"/>
          <w:kern w:val="22"/>
          <w:lang w:eastAsia="zh-CN"/>
        </w:rPr>
        <w:t>与其他公约、国际组织和倡议的合作。</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15.</w:t>
      </w:r>
      <w:r w:rsidRPr="00AF360F">
        <w:rPr>
          <w:lang w:eastAsia="zh-CN"/>
        </w:rPr>
        <w:tab/>
      </w:r>
      <w:r w:rsidRPr="00AF360F">
        <w:rPr>
          <w:rFonts w:ascii="SimSun" w:eastAsia="SimSun" w:hAnsi="SimSun" w:cs="SimSun" w:hint="eastAsia"/>
          <w:kern w:val="22"/>
          <w:lang w:eastAsia="zh-CN"/>
        </w:rPr>
        <w:t>审查《公约》及其议定书下各进程的成效。</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16.</w:t>
      </w:r>
      <w:r w:rsidRPr="00AF360F">
        <w:rPr>
          <w:lang w:eastAsia="zh-CN"/>
        </w:rPr>
        <w:tab/>
      </w:r>
      <w:r w:rsidRPr="00AF360F">
        <w:rPr>
          <w:rFonts w:ascii="SimSun" w:eastAsia="SimSun" w:hAnsi="SimSun" w:cs="SimSun" w:hint="eastAsia"/>
          <w:lang w:eastAsia="zh-CN"/>
        </w:rPr>
        <w:t>生物多样性和生态系统服务政府间科学政策平台的第二个工作方案</w:t>
      </w:r>
      <w:r w:rsidRPr="00AF360F">
        <w:rPr>
          <w:rFonts w:ascii="SimSun" w:eastAsia="SimSun" w:hAnsi="SimSun" w:cs="SimSun" w:hint="eastAsia"/>
          <w:kern w:val="22"/>
          <w:lang w:eastAsia="zh-CN"/>
        </w:rPr>
        <w:t>。</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17.</w:t>
      </w:r>
      <w:r w:rsidRPr="00AF360F">
        <w:rPr>
          <w:lang w:eastAsia="zh-CN"/>
        </w:rPr>
        <w:tab/>
      </w:r>
      <w:r w:rsidRPr="00AF360F">
        <w:rPr>
          <w:kern w:val="22"/>
          <w:lang w:eastAsia="zh-CN"/>
        </w:rPr>
        <w:t>2050</w:t>
      </w:r>
      <w:r w:rsidRPr="00AF360F">
        <w:rPr>
          <w:rFonts w:ascii="SimSun" w:eastAsia="SimSun" w:hAnsi="SimSun" w:cs="SimSun" w:hint="eastAsia"/>
          <w:kern w:val="22"/>
          <w:lang w:eastAsia="zh-CN"/>
        </w:rPr>
        <w:t>年生物多样性愿景的长期战略方向，与自然和谐共处的办法，制定</w:t>
      </w:r>
      <w:r w:rsidRPr="00AF360F">
        <w:rPr>
          <w:kern w:val="22"/>
          <w:lang w:eastAsia="zh-CN"/>
        </w:rPr>
        <w:t>2020</w:t>
      </w:r>
      <w:r w:rsidRPr="00AF360F">
        <w:rPr>
          <w:rFonts w:ascii="SimSun" w:eastAsia="SimSun" w:hAnsi="SimSun" w:cs="SimSun" w:hint="eastAsia"/>
          <w:kern w:val="22"/>
          <w:lang w:eastAsia="zh-CN"/>
        </w:rPr>
        <w:t>年后全球生物多样性框架。</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18.</w:t>
      </w:r>
      <w:r w:rsidRPr="00AF360F">
        <w:rPr>
          <w:lang w:eastAsia="zh-CN"/>
        </w:rPr>
        <w:tab/>
      </w:r>
      <w:r w:rsidRPr="00AF360F">
        <w:rPr>
          <w:rFonts w:ascii="SimSun" w:eastAsia="SimSun" w:hAnsi="SimSun" w:cs="SimSun" w:hint="eastAsia"/>
          <w:kern w:val="22"/>
          <w:lang w:eastAsia="zh-CN"/>
        </w:rPr>
        <w:t>遗传资源数字序列信息。</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kern w:val="22"/>
          <w:lang w:eastAsia="zh-CN"/>
        </w:rPr>
      </w:pPr>
      <w:r w:rsidRPr="00AF360F">
        <w:rPr>
          <w:lang w:eastAsia="zh-CN"/>
        </w:rPr>
        <w:t>19.</w:t>
      </w:r>
      <w:r w:rsidRPr="00AF360F">
        <w:rPr>
          <w:lang w:eastAsia="zh-CN"/>
        </w:rPr>
        <w:tab/>
      </w:r>
      <w:r w:rsidRPr="00AF360F">
        <w:rPr>
          <w:rFonts w:ascii="SimSun" w:eastAsia="SimSun" w:hAnsi="SimSun" w:cs="SimSun" w:hint="eastAsia"/>
          <w:kern w:val="22"/>
          <w:lang w:eastAsia="zh-CN"/>
        </w:rPr>
        <w:t>第</w:t>
      </w:r>
      <w:r w:rsidR="009B0F5B" w:rsidRPr="00AF360F">
        <w:rPr>
          <w:kern w:val="22"/>
          <w:lang w:eastAsia="zh-CN"/>
        </w:rPr>
        <w:t>8</w:t>
      </w:r>
      <w:r w:rsidR="009B0F5B" w:rsidRPr="009B0F5B">
        <w:rPr>
          <w:rFonts w:eastAsia="SimSun"/>
          <w:kern w:val="22"/>
          <w:lang w:eastAsia="zh-CN"/>
        </w:rPr>
        <w:t>(</w:t>
      </w:r>
      <w:r w:rsidR="009B0F5B" w:rsidRPr="00AF360F">
        <w:rPr>
          <w:kern w:val="22"/>
          <w:lang w:eastAsia="zh-CN"/>
        </w:rPr>
        <w:t>j</w:t>
      </w:r>
      <w:r w:rsidR="009B0F5B">
        <w:rPr>
          <w:kern w:val="22"/>
          <w:lang w:eastAsia="zh-CN"/>
        </w:rPr>
        <w:t>)</w:t>
      </w:r>
      <w:r w:rsidRPr="00AF360F">
        <w:rPr>
          <w:rFonts w:ascii="SimSun" w:eastAsia="SimSun" w:hAnsi="SimSun" w:cs="SimSun" w:hint="eastAsia"/>
          <w:kern w:val="22"/>
          <w:lang w:eastAsia="zh-CN"/>
        </w:rPr>
        <w:t>条和相关条款。</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kern w:val="22"/>
          <w:lang w:eastAsia="zh-CN"/>
        </w:rPr>
        <w:t>20.</w:t>
      </w:r>
      <w:r w:rsidRPr="00AF360F">
        <w:rPr>
          <w:kern w:val="22"/>
          <w:lang w:eastAsia="zh-CN"/>
        </w:rPr>
        <w:tab/>
      </w:r>
      <w:r w:rsidRPr="00AF360F">
        <w:rPr>
          <w:rFonts w:ascii="SimSun" w:eastAsia="SimSun" w:hAnsi="SimSun" w:cs="SimSun" w:hint="eastAsia"/>
          <w:lang w:eastAsia="zh-CN"/>
        </w:rPr>
        <w:t>可持续野生动物管理。</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21.</w:t>
      </w:r>
      <w:r w:rsidRPr="00AF360F">
        <w:rPr>
          <w:lang w:eastAsia="zh-CN"/>
        </w:rPr>
        <w:tab/>
      </w:r>
      <w:r w:rsidRPr="00AF360F">
        <w:rPr>
          <w:rFonts w:ascii="SimSun" w:eastAsia="SimSun" w:hAnsi="SimSun" w:cs="SimSun" w:hint="eastAsia"/>
          <w:lang w:eastAsia="zh-CN"/>
        </w:rPr>
        <w:t>生物多样性和气候变化。</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iCs/>
          <w:lang w:eastAsia="zh-CN"/>
        </w:rPr>
      </w:pPr>
      <w:r w:rsidRPr="00AF360F">
        <w:rPr>
          <w:lang w:eastAsia="zh-CN"/>
        </w:rPr>
        <w:t>22.</w:t>
      </w:r>
      <w:r w:rsidRPr="00AF360F">
        <w:rPr>
          <w:lang w:eastAsia="zh-CN"/>
        </w:rPr>
        <w:tab/>
      </w:r>
      <w:r w:rsidRPr="00AF360F">
        <w:rPr>
          <w:rFonts w:ascii="SimSun" w:eastAsia="SimSun" w:hAnsi="SimSun" w:cs="SimSun" w:hint="eastAsia"/>
          <w:kern w:val="22"/>
          <w:lang w:eastAsia="zh-CN"/>
        </w:rPr>
        <w:t>将生物多样性纳入部门和跨部门主流。</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iCs/>
          <w:lang w:eastAsia="zh-CN"/>
        </w:rPr>
        <w:t>23.</w:t>
      </w:r>
      <w:r w:rsidRPr="00AF360F">
        <w:rPr>
          <w:iCs/>
          <w:lang w:eastAsia="zh-CN"/>
        </w:rPr>
        <w:tab/>
      </w:r>
      <w:r w:rsidRPr="00AF360F">
        <w:rPr>
          <w:rFonts w:ascii="SimSun" w:eastAsia="SimSun" w:hAnsi="SimSun" w:cs="SimSun" w:hint="eastAsia"/>
          <w:lang w:eastAsia="zh-CN"/>
        </w:rPr>
        <w:t>保护和可持续利用授粉媒介。</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24.</w:t>
      </w:r>
      <w:r w:rsidRPr="00AF360F">
        <w:rPr>
          <w:lang w:eastAsia="zh-CN"/>
        </w:rPr>
        <w:tab/>
      </w:r>
      <w:r w:rsidRPr="00AF360F">
        <w:rPr>
          <w:rFonts w:ascii="SimSun" w:eastAsia="SimSun" w:hAnsi="SimSun" w:cs="SimSun" w:hint="eastAsia"/>
          <w:lang w:eastAsia="zh-CN"/>
        </w:rPr>
        <w:t>空间规划、保护区和其他有效区域保护措施。</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25.</w:t>
      </w:r>
      <w:r w:rsidRPr="00AF360F">
        <w:rPr>
          <w:lang w:eastAsia="zh-CN"/>
        </w:rPr>
        <w:tab/>
      </w:r>
      <w:r w:rsidRPr="00AF360F">
        <w:rPr>
          <w:rFonts w:ascii="SimSun" w:eastAsia="SimSun" w:hAnsi="SimSun" w:cs="SimSun" w:hint="eastAsia"/>
          <w:lang w:eastAsia="zh-CN"/>
        </w:rPr>
        <w:t>海洋和沿海生物多样性。</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kern w:val="22"/>
          <w:lang w:eastAsia="zh-CN"/>
        </w:rPr>
      </w:pPr>
      <w:r w:rsidRPr="00AF360F">
        <w:rPr>
          <w:lang w:eastAsia="zh-CN"/>
        </w:rPr>
        <w:t>26.</w:t>
      </w:r>
      <w:r w:rsidRPr="00AF360F">
        <w:rPr>
          <w:lang w:eastAsia="zh-CN"/>
        </w:rPr>
        <w:tab/>
      </w:r>
      <w:r w:rsidRPr="00AF360F">
        <w:rPr>
          <w:rFonts w:ascii="SimSun" w:eastAsia="SimSun" w:hAnsi="SimSun" w:cs="SimSun" w:hint="eastAsia"/>
          <w:kern w:val="22"/>
          <w:lang w:eastAsia="zh-CN"/>
        </w:rPr>
        <w:t>外来入侵物种。</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27.</w:t>
      </w:r>
      <w:r w:rsidRPr="00AF360F">
        <w:rPr>
          <w:lang w:eastAsia="zh-CN"/>
        </w:rPr>
        <w:tab/>
      </w:r>
      <w:r w:rsidRPr="00AF360F">
        <w:rPr>
          <w:rFonts w:ascii="SimSun" w:eastAsia="SimSun" w:hAnsi="SimSun" w:cs="SimSun" w:hint="eastAsia"/>
          <w:kern w:val="22"/>
          <w:lang w:eastAsia="zh-CN"/>
        </w:rPr>
        <w:t>合成生物学。</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28.</w:t>
      </w:r>
      <w:r w:rsidRPr="00AF360F">
        <w:rPr>
          <w:lang w:eastAsia="zh-CN"/>
        </w:rPr>
        <w:tab/>
      </w:r>
      <w:r w:rsidRPr="00AF360F">
        <w:rPr>
          <w:rFonts w:ascii="SimSun" w:eastAsia="SimSun" w:hAnsi="SimSun" w:cs="SimSun" w:hint="eastAsia"/>
          <w:lang w:eastAsia="zh-CN"/>
        </w:rPr>
        <w:t>赔偿责任和补救</w:t>
      </w:r>
      <w:r>
        <w:rPr>
          <w:rFonts w:ascii="SimSun" w:eastAsia="SimSun" w:hAnsi="SimSun" w:cs="SimSun" w:hint="eastAsia"/>
          <w:lang w:eastAsia="zh-CN"/>
        </w:rPr>
        <w:t>（</w:t>
      </w:r>
      <w:r w:rsidRPr="00AF360F">
        <w:rPr>
          <w:rFonts w:ascii="SimSun" w:eastAsia="SimSun" w:hAnsi="SimSun" w:cs="SimSun" w:hint="eastAsia"/>
          <w:lang w:eastAsia="zh-CN"/>
        </w:rPr>
        <w:t>第</w:t>
      </w:r>
      <w:r w:rsidRPr="00AF360F">
        <w:rPr>
          <w:lang w:eastAsia="zh-CN"/>
        </w:rPr>
        <w:t>14</w:t>
      </w:r>
      <w:r w:rsidRPr="00AF360F">
        <w:rPr>
          <w:rFonts w:ascii="SimSun" w:eastAsia="SimSun" w:hAnsi="SimSun" w:cs="SimSun" w:hint="eastAsia"/>
          <w:lang w:eastAsia="zh-CN"/>
        </w:rPr>
        <w:t>条第</w:t>
      </w:r>
      <w:r w:rsidRPr="00AF360F">
        <w:rPr>
          <w:lang w:eastAsia="zh-CN"/>
        </w:rPr>
        <w:t>2</w:t>
      </w:r>
      <w:r w:rsidRPr="00AF360F">
        <w:rPr>
          <w:rFonts w:ascii="SimSun" w:eastAsia="SimSun" w:hAnsi="SimSun" w:cs="SimSun" w:hint="eastAsia"/>
          <w:lang w:eastAsia="zh-CN"/>
        </w:rPr>
        <w:t>款</w:t>
      </w:r>
      <w:r>
        <w:rPr>
          <w:rFonts w:ascii="SimSun" w:eastAsia="SimSun" w:hAnsi="SimSun" w:cs="SimSun" w:hint="eastAsia"/>
          <w:lang w:eastAsia="zh-CN"/>
        </w:rPr>
        <w:t>）</w:t>
      </w:r>
      <w:r w:rsidRPr="00AF360F">
        <w:rPr>
          <w:rFonts w:ascii="SimSun" w:eastAsia="SimSun" w:hAnsi="SimSun" w:cs="SimSun" w:hint="eastAsia"/>
          <w:lang w:eastAsia="zh-CN"/>
        </w:rPr>
        <w:t>。</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29.</w:t>
      </w:r>
      <w:r w:rsidRPr="00AF360F">
        <w:rPr>
          <w:lang w:eastAsia="zh-CN"/>
        </w:rPr>
        <w:tab/>
      </w:r>
      <w:r w:rsidRPr="00AF360F">
        <w:rPr>
          <w:rFonts w:ascii="SimSun" w:eastAsia="SimSun" w:hAnsi="SimSun" w:cs="SimSun" w:hint="eastAsia"/>
          <w:lang w:eastAsia="zh-CN"/>
        </w:rPr>
        <w:t>其他事项。</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30.</w:t>
      </w:r>
      <w:r w:rsidRPr="00AF360F">
        <w:rPr>
          <w:lang w:eastAsia="zh-CN"/>
        </w:rPr>
        <w:tab/>
      </w:r>
      <w:r w:rsidRPr="00AF360F">
        <w:rPr>
          <w:rFonts w:ascii="SimSun" w:eastAsia="SimSun" w:hAnsi="SimSun" w:cs="SimSun" w:hint="eastAsia"/>
          <w:lang w:eastAsia="zh-CN"/>
        </w:rPr>
        <w:t>通过报告。</w:t>
      </w:r>
    </w:p>
    <w:p w:rsidR="008D76BF" w:rsidRPr="00AF360F" w:rsidRDefault="008D76BF" w:rsidP="0004184E">
      <w:pPr>
        <w:suppressLineNumbers/>
        <w:tabs>
          <w:tab w:val="left" w:pos="1530"/>
        </w:tabs>
        <w:suppressAutoHyphens/>
        <w:kinsoku w:val="0"/>
        <w:overflowPunct w:val="0"/>
        <w:autoSpaceDE w:val="0"/>
        <w:autoSpaceDN w:val="0"/>
        <w:spacing w:before="0" w:after="0"/>
        <w:ind w:left="1555" w:hanging="720"/>
        <w:rPr>
          <w:lang w:eastAsia="zh-CN"/>
        </w:rPr>
      </w:pPr>
      <w:r w:rsidRPr="00AF360F">
        <w:rPr>
          <w:lang w:eastAsia="zh-CN"/>
        </w:rPr>
        <w:t>31.</w:t>
      </w:r>
      <w:r w:rsidRPr="00AF360F">
        <w:rPr>
          <w:lang w:eastAsia="zh-CN"/>
        </w:rPr>
        <w:tab/>
      </w:r>
      <w:r w:rsidRPr="00AF360F">
        <w:rPr>
          <w:rFonts w:ascii="SimSun" w:eastAsia="SimSun" w:hAnsi="SimSun" w:cs="SimSun" w:hint="eastAsia"/>
          <w:lang w:eastAsia="zh-CN"/>
        </w:rPr>
        <w:t>会议闭幕。</w:t>
      </w:r>
    </w:p>
    <w:p w:rsidR="008D76BF" w:rsidRPr="009226AE" w:rsidRDefault="008D76BF" w:rsidP="0004184E">
      <w:pPr>
        <w:pStyle w:val="Heading3"/>
        <w:tabs>
          <w:tab w:val="left" w:pos="720"/>
        </w:tabs>
        <w:ind w:firstLine="0"/>
        <w:rPr>
          <w:sz w:val="24"/>
        </w:rPr>
      </w:pPr>
      <w:bookmarkStart w:id="258" w:name="_Toc6243815"/>
      <w:r w:rsidRPr="009226AE">
        <w:rPr>
          <w:rFonts w:ascii="KaiTi" w:eastAsia="KaiTi" w:hAnsi="KaiTi" w:cs="SimSun" w:hint="eastAsia"/>
          <w:i w:val="0"/>
          <w:sz w:val="24"/>
        </w:rPr>
        <w:lastRenderedPageBreak/>
        <w:t>工作安排</w:t>
      </w:r>
      <w:bookmarkEnd w:id="258"/>
    </w:p>
    <w:p w:rsidR="008D76BF" w:rsidRPr="001008A6" w:rsidRDefault="008D76BF" w:rsidP="00750ECD">
      <w:pPr>
        <w:pStyle w:val="Para1"/>
        <w:numPr>
          <w:ilvl w:val="0"/>
          <w:numId w:val="9"/>
        </w:numPr>
        <w:tabs>
          <w:tab w:val="clear" w:pos="360"/>
          <w:tab w:val="left" w:pos="720"/>
        </w:tabs>
        <w:ind w:firstLine="0"/>
        <w:rPr>
          <w:rFonts w:hAnsi="SimSun"/>
          <w:sz w:val="24"/>
          <w:szCs w:val="24"/>
          <w:lang w:eastAsia="zh-CN"/>
        </w:rPr>
      </w:pPr>
      <w:r w:rsidRPr="001008A6">
        <w:rPr>
          <w:rFonts w:ascii="SimSun" w:eastAsia="SimSun" w:hAnsi="SimSun" w:cs="SimSun" w:hint="eastAsia"/>
          <w:sz w:val="24"/>
          <w:szCs w:val="24"/>
          <w:lang w:eastAsia="zh-CN"/>
        </w:rPr>
        <w:t>在</w:t>
      </w:r>
      <w:smartTag w:uri="urn:schemas-microsoft-com:office:smarttags" w:element="chsdate">
        <w:smartTagPr>
          <w:attr w:name="IsROCDate" w:val="False"/>
          <w:attr w:name="IsLunarDate" w:val="False"/>
          <w:attr w:name="Day" w:val="17"/>
          <w:attr w:name="Month" w:val="11"/>
          <w:attr w:name="Year" w:val="2018"/>
        </w:smartTagPr>
        <w:r w:rsidRPr="001008A6">
          <w:rPr>
            <w:rFonts w:hAnsi="SimSun"/>
            <w:sz w:val="24"/>
            <w:szCs w:val="24"/>
            <w:lang w:eastAsia="zh-CN"/>
          </w:rPr>
          <w:t>2018</w:t>
        </w:r>
        <w:r w:rsidRPr="001008A6">
          <w:rPr>
            <w:rFonts w:ascii="SimSun" w:eastAsia="SimSun" w:hAnsi="SimSun" w:cs="SimSun" w:hint="eastAsia"/>
            <w:sz w:val="24"/>
            <w:szCs w:val="24"/>
            <w:lang w:eastAsia="zh-CN"/>
          </w:rPr>
          <w:t>年</w:t>
        </w:r>
        <w:r w:rsidRPr="001008A6">
          <w:rPr>
            <w:rFonts w:hAnsi="SimSun"/>
            <w:sz w:val="24"/>
            <w:szCs w:val="24"/>
            <w:lang w:eastAsia="zh-CN"/>
          </w:rPr>
          <w:t>11</w:t>
        </w:r>
        <w:r w:rsidRPr="001008A6">
          <w:rPr>
            <w:rFonts w:ascii="SimSun" w:eastAsia="SimSun" w:hAnsi="SimSun" w:cs="SimSun" w:hint="eastAsia"/>
            <w:sz w:val="24"/>
            <w:szCs w:val="24"/>
            <w:lang w:eastAsia="zh-CN"/>
          </w:rPr>
          <w:t>月</w:t>
        </w:r>
        <w:r w:rsidRPr="001008A6">
          <w:rPr>
            <w:rFonts w:hAnsi="SimSun"/>
            <w:sz w:val="24"/>
            <w:szCs w:val="24"/>
            <w:lang w:eastAsia="zh-CN"/>
          </w:rPr>
          <w:t>17</w:t>
        </w:r>
        <w:r w:rsidRPr="001008A6">
          <w:rPr>
            <w:rFonts w:ascii="SimSun" w:eastAsia="SimSun" w:hAnsi="SimSun" w:cs="SimSun" w:hint="eastAsia"/>
            <w:sz w:val="24"/>
            <w:szCs w:val="24"/>
            <w:lang w:eastAsia="zh-CN"/>
          </w:rPr>
          <w:t>日</w:t>
        </w:r>
      </w:smartTag>
      <w:r w:rsidRPr="001008A6">
        <w:rPr>
          <w:rFonts w:ascii="SimSun" w:eastAsia="SimSun" w:hAnsi="SimSun" w:cs="SimSun" w:hint="eastAsia"/>
          <w:sz w:val="24"/>
          <w:szCs w:val="24"/>
          <w:lang w:eastAsia="zh-CN"/>
        </w:rPr>
        <w:t>会议的第</w:t>
      </w:r>
      <w:r w:rsidRPr="001008A6">
        <w:rPr>
          <w:rFonts w:hAnsi="SimSun"/>
          <w:sz w:val="24"/>
          <w:szCs w:val="24"/>
          <w:lang w:eastAsia="zh-CN"/>
        </w:rPr>
        <w:t>2</w:t>
      </w:r>
      <w:r w:rsidR="00B45641">
        <w:rPr>
          <w:rFonts w:ascii="SimSun" w:eastAsia="SimSun" w:hAnsi="SimSun" w:cs="SimSun" w:hint="eastAsia"/>
          <w:sz w:val="24"/>
          <w:szCs w:val="24"/>
          <w:lang w:eastAsia="zh-CN"/>
        </w:rPr>
        <w:t>次全体会议</w:t>
      </w:r>
      <w:r w:rsidRPr="001008A6">
        <w:rPr>
          <w:rFonts w:ascii="SimSun" w:eastAsia="SimSun" w:hAnsi="SimSun" w:cs="SimSun" w:hint="eastAsia"/>
          <w:sz w:val="24"/>
          <w:szCs w:val="24"/>
          <w:lang w:eastAsia="zh-CN"/>
        </w:rPr>
        <w:t>上，缔约方大会商定，按照拟议工作安排的附件二</w:t>
      </w:r>
      <w:r>
        <w:rPr>
          <w:rFonts w:ascii="SimSun" w:eastAsia="SimSun" w:hAnsi="SimSun" w:cs="SimSun" w:hint="eastAsia"/>
          <w:sz w:val="24"/>
          <w:szCs w:val="24"/>
          <w:lang w:eastAsia="zh-CN"/>
        </w:rPr>
        <w:t>（</w:t>
      </w:r>
      <w:r w:rsidRPr="001008A6">
        <w:rPr>
          <w:rFonts w:hAnsi="SimSun"/>
          <w:sz w:val="24"/>
          <w:szCs w:val="24"/>
          <w:lang w:eastAsia="zh-CN"/>
        </w:rPr>
        <w:t>CBD/COP/14/1/Add.2</w:t>
      </w:r>
      <w:r>
        <w:rPr>
          <w:rFonts w:ascii="SimSun" w:eastAsia="SimSun" w:hAnsi="SimSun" w:cs="SimSun" w:hint="eastAsia"/>
          <w:sz w:val="24"/>
          <w:szCs w:val="24"/>
          <w:lang w:eastAsia="zh-CN"/>
        </w:rPr>
        <w:t>）</w:t>
      </w:r>
      <w:r w:rsidRPr="001008A6">
        <w:rPr>
          <w:rFonts w:ascii="SimSun" w:eastAsia="SimSun" w:hAnsi="SimSun" w:cs="SimSun" w:hint="eastAsia"/>
          <w:sz w:val="24"/>
          <w:szCs w:val="24"/>
          <w:lang w:eastAsia="zh-CN"/>
        </w:rPr>
        <w:t>组织其工作。因此，缔约方大会</w:t>
      </w:r>
      <w:r w:rsidR="0004184E">
        <w:rPr>
          <w:rFonts w:ascii="SimSun" w:eastAsia="SimSun" w:hAnsi="SimSun" w:cs="SimSun" w:hint="eastAsia"/>
          <w:sz w:val="24"/>
          <w:szCs w:val="24"/>
          <w:lang w:eastAsia="zh-CN"/>
        </w:rPr>
        <w:t>决定</w:t>
      </w:r>
      <w:r w:rsidRPr="001008A6">
        <w:rPr>
          <w:rFonts w:ascii="SimSun" w:eastAsia="SimSun" w:hAnsi="SimSun" w:cs="SimSun" w:hint="eastAsia"/>
          <w:sz w:val="24"/>
          <w:szCs w:val="24"/>
          <w:lang w:eastAsia="zh-CN"/>
        </w:rPr>
        <w:t>设立两个工作组。第一和第二工作组分别由</w:t>
      </w:r>
      <w:r w:rsidRPr="001008A6">
        <w:rPr>
          <w:rFonts w:hAnsi="SimSun"/>
          <w:sz w:val="24"/>
          <w:szCs w:val="24"/>
          <w:lang w:eastAsia="zh-CN"/>
        </w:rPr>
        <w:t>Hayo</w:t>
      </w:r>
      <w:r w:rsidR="0032740B">
        <w:rPr>
          <w:rFonts w:hAnsi="SimSun"/>
          <w:sz w:val="24"/>
          <w:szCs w:val="24"/>
          <w:lang w:eastAsia="zh-CN"/>
        </w:rPr>
        <w:t xml:space="preserve"> </w:t>
      </w:r>
      <w:r w:rsidRPr="001008A6">
        <w:rPr>
          <w:rFonts w:hAnsi="SimSun"/>
          <w:sz w:val="24"/>
          <w:szCs w:val="24"/>
          <w:lang w:eastAsia="zh-CN"/>
        </w:rPr>
        <w:t>Haanstra</w:t>
      </w:r>
      <w:r w:rsidRPr="001008A6">
        <w:rPr>
          <w:rFonts w:ascii="SimSun" w:eastAsia="SimSun" w:hAnsi="SimSun" w:cs="SimSun" w:hint="eastAsia"/>
          <w:sz w:val="24"/>
          <w:szCs w:val="24"/>
          <w:lang w:eastAsia="zh-CN"/>
        </w:rPr>
        <w:t>先生</w:t>
      </w:r>
      <w:r>
        <w:rPr>
          <w:rFonts w:ascii="SimSun" w:eastAsia="SimSun" w:hAnsi="SimSun" w:cs="SimSun" w:hint="eastAsia"/>
          <w:sz w:val="24"/>
          <w:szCs w:val="24"/>
          <w:lang w:eastAsia="zh-CN"/>
        </w:rPr>
        <w:t>（</w:t>
      </w:r>
      <w:r w:rsidRPr="001008A6">
        <w:rPr>
          <w:rFonts w:ascii="SimSun" w:eastAsia="SimSun" w:hAnsi="SimSun" w:cs="SimSun" w:hint="eastAsia"/>
          <w:sz w:val="24"/>
          <w:szCs w:val="24"/>
          <w:lang w:eastAsia="zh-CN"/>
        </w:rPr>
        <w:t>荷兰</w:t>
      </w:r>
      <w:r>
        <w:rPr>
          <w:rFonts w:ascii="SimSun" w:eastAsia="SimSun" w:hAnsi="SimSun" w:cs="SimSun" w:hint="eastAsia"/>
          <w:sz w:val="24"/>
          <w:szCs w:val="24"/>
          <w:lang w:eastAsia="zh-CN"/>
        </w:rPr>
        <w:t>）</w:t>
      </w:r>
      <w:r w:rsidRPr="001008A6">
        <w:rPr>
          <w:rFonts w:ascii="SimSun" w:eastAsia="SimSun" w:hAnsi="SimSun" w:cs="SimSun" w:hint="eastAsia"/>
          <w:sz w:val="24"/>
          <w:szCs w:val="24"/>
          <w:lang w:eastAsia="zh-CN"/>
        </w:rPr>
        <w:t>和</w:t>
      </w:r>
      <w:r w:rsidRPr="001008A6">
        <w:rPr>
          <w:rFonts w:hAnsi="SimSun"/>
          <w:sz w:val="24"/>
          <w:szCs w:val="24"/>
          <w:lang w:eastAsia="zh-CN"/>
        </w:rPr>
        <w:t>Clarissa Nina</w:t>
      </w:r>
      <w:r w:rsidRPr="001008A6">
        <w:rPr>
          <w:rFonts w:ascii="SimSun" w:eastAsia="SimSun" w:hAnsi="SimSun" w:cs="SimSun" w:hint="eastAsia"/>
          <w:sz w:val="24"/>
          <w:szCs w:val="24"/>
          <w:lang w:eastAsia="zh-CN"/>
        </w:rPr>
        <w:t>女士</w:t>
      </w:r>
      <w:r>
        <w:rPr>
          <w:rFonts w:ascii="SimSun" w:eastAsia="SimSun" w:hAnsi="SimSun" w:cs="SimSun" w:hint="eastAsia"/>
          <w:sz w:val="24"/>
          <w:szCs w:val="24"/>
          <w:lang w:eastAsia="zh-CN"/>
        </w:rPr>
        <w:t>（</w:t>
      </w:r>
      <w:r w:rsidRPr="001008A6">
        <w:rPr>
          <w:rFonts w:ascii="SimSun" w:eastAsia="SimSun" w:hAnsi="SimSun" w:cs="SimSun" w:hint="eastAsia"/>
          <w:sz w:val="24"/>
          <w:szCs w:val="24"/>
          <w:lang w:eastAsia="zh-CN"/>
        </w:rPr>
        <w:t>巴西</w:t>
      </w:r>
      <w:r>
        <w:rPr>
          <w:rFonts w:ascii="SimSun" w:eastAsia="SimSun" w:hAnsi="SimSun" w:cs="SimSun" w:hint="eastAsia"/>
          <w:sz w:val="24"/>
          <w:szCs w:val="24"/>
          <w:lang w:eastAsia="zh-CN"/>
        </w:rPr>
        <w:t>）</w:t>
      </w:r>
      <w:r w:rsidRPr="001008A6">
        <w:rPr>
          <w:rFonts w:ascii="SimSun" w:eastAsia="SimSun" w:hAnsi="SimSun" w:cs="SimSun" w:hint="eastAsia"/>
          <w:sz w:val="24"/>
          <w:szCs w:val="24"/>
          <w:lang w:eastAsia="zh-CN"/>
        </w:rPr>
        <w:t>担任主席。工作组和全体会议根据文件附件一提出的责任分工，审议</w:t>
      </w:r>
      <w:r w:rsidR="00CD0563">
        <w:rPr>
          <w:rFonts w:ascii="SimSun" w:eastAsia="SimSun" w:hAnsi="SimSun" w:cs="SimSun" w:hint="eastAsia"/>
          <w:sz w:val="24"/>
          <w:szCs w:val="24"/>
          <w:lang w:eastAsia="zh-CN"/>
        </w:rPr>
        <w:t>各</w:t>
      </w:r>
      <w:r w:rsidRPr="001008A6">
        <w:rPr>
          <w:rFonts w:ascii="SimSun" w:eastAsia="SimSun" w:hAnsi="SimSun" w:cs="SimSun" w:hint="eastAsia"/>
          <w:sz w:val="24"/>
          <w:szCs w:val="24"/>
          <w:lang w:eastAsia="zh-CN"/>
        </w:rPr>
        <w:t>议程项目。</w:t>
      </w:r>
    </w:p>
    <w:p w:rsidR="008D76BF" w:rsidRPr="009226AE" w:rsidRDefault="008D76BF" w:rsidP="00750ECD">
      <w:pPr>
        <w:pStyle w:val="Para1"/>
        <w:numPr>
          <w:ilvl w:val="0"/>
          <w:numId w:val="9"/>
        </w:numPr>
        <w:tabs>
          <w:tab w:val="clear" w:pos="360"/>
          <w:tab w:val="left" w:pos="720"/>
        </w:tabs>
        <w:ind w:firstLine="0"/>
        <w:rPr>
          <w:rFonts w:hAnsi="SimSun"/>
          <w:sz w:val="24"/>
          <w:szCs w:val="24"/>
          <w:lang w:eastAsia="zh-CN"/>
        </w:rPr>
      </w:pPr>
      <w:r w:rsidRPr="009226AE">
        <w:rPr>
          <w:rFonts w:ascii="SimSun" w:eastAsia="SimSun" w:hAnsi="SimSun" w:cs="SimSun" w:hint="eastAsia"/>
          <w:sz w:val="24"/>
          <w:szCs w:val="24"/>
          <w:lang w:eastAsia="zh-CN"/>
        </w:rPr>
        <w:t>在</w:t>
      </w:r>
      <w:smartTag w:uri="urn:schemas-microsoft-com:office:smarttags" w:element="chsdate">
        <w:smartTagPr>
          <w:attr w:name="IsROCDate" w:val="False"/>
          <w:attr w:name="IsLunarDate" w:val="False"/>
          <w:attr w:name="Day" w:val="22"/>
          <w:attr w:name="Month" w:val="11"/>
          <w:attr w:name="Year" w:val="2018"/>
        </w:smartTagPr>
        <w:r w:rsidRPr="009226AE">
          <w:rPr>
            <w:rFonts w:hAnsi="SimSun"/>
            <w:sz w:val="24"/>
            <w:szCs w:val="24"/>
            <w:lang w:eastAsia="zh-CN"/>
          </w:rPr>
          <w:t>2018</w:t>
        </w:r>
        <w:r w:rsidRPr="009226AE">
          <w:rPr>
            <w:rFonts w:ascii="SimSun" w:eastAsia="SimSun" w:hAnsi="SimSun" w:cs="SimSun" w:hint="eastAsia"/>
            <w:sz w:val="24"/>
            <w:szCs w:val="24"/>
            <w:lang w:eastAsia="zh-CN"/>
          </w:rPr>
          <w:t>年</w:t>
        </w:r>
        <w:r w:rsidRPr="009226AE">
          <w:rPr>
            <w:rFonts w:hAnsi="SimSun"/>
            <w:sz w:val="24"/>
            <w:szCs w:val="24"/>
            <w:lang w:eastAsia="zh-CN"/>
          </w:rPr>
          <w:t>11</w:t>
        </w:r>
        <w:r w:rsidRPr="009226AE">
          <w:rPr>
            <w:rFonts w:ascii="SimSun" w:eastAsia="SimSun" w:hAnsi="SimSun" w:cs="SimSun" w:hint="eastAsia"/>
            <w:sz w:val="24"/>
            <w:szCs w:val="24"/>
            <w:lang w:eastAsia="zh-CN"/>
          </w:rPr>
          <w:t>月</w:t>
        </w:r>
        <w:r>
          <w:rPr>
            <w:rFonts w:hAnsi="SimSun"/>
            <w:sz w:val="24"/>
            <w:szCs w:val="24"/>
            <w:lang w:eastAsia="zh-CN"/>
          </w:rPr>
          <w:t>22</w:t>
        </w:r>
        <w:r>
          <w:rPr>
            <w:rFonts w:ascii="SimSun" w:eastAsia="SimSun" w:hAnsi="SimSun" w:cs="SimSun" w:hint="eastAsia"/>
            <w:sz w:val="24"/>
            <w:szCs w:val="24"/>
            <w:lang w:eastAsia="zh-CN"/>
          </w:rPr>
          <w:t>日</w:t>
        </w:r>
      </w:smartTag>
      <w:r w:rsidRPr="009226AE">
        <w:rPr>
          <w:rFonts w:ascii="SimSun" w:eastAsia="SimSun" w:hAnsi="SimSun" w:cs="SimSun" w:hint="eastAsia"/>
          <w:sz w:val="24"/>
          <w:szCs w:val="24"/>
          <w:lang w:eastAsia="zh-CN"/>
        </w:rPr>
        <w:t>的</w:t>
      </w:r>
      <w:r>
        <w:rPr>
          <w:rFonts w:ascii="SimSun" w:eastAsia="SimSun" w:hAnsi="SimSun" w:cs="SimSun" w:hint="eastAsia"/>
          <w:sz w:val="24"/>
          <w:szCs w:val="24"/>
          <w:lang w:eastAsia="zh-CN"/>
        </w:rPr>
        <w:t>第</w:t>
      </w:r>
      <w:r>
        <w:rPr>
          <w:rFonts w:ascii="SimSun" w:eastAsia="Times New Roman" w:hAnsi="SimSun" w:cs="SimSun"/>
          <w:sz w:val="24"/>
          <w:szCs w:val="24"/>
          <w:lang w:eastAsia="zh-CN"/>
        </w:rPr>
        <w:t>4</w:t>
      </w:r>
      <w:r w:rsidR="00B45641">
        <w:rPr>
          <w:rFonts w:ascii="SimSun" w:eastAsia="SimSun" w:hAnsi="SimSun" w:cs="SimSun" w:hint="eastAsia"/>
          <w:sz w:val="24"/>
          <w:szCs w:val="24"/>
          <w:lang w:eastAsia="zh-CN"/>
        </w:rPr>
        <w:t>次全体会议</w:t>
      </w:r>
      <w:r w:rsidRPr="009226AE">
        <w:rPr>
          <w:rFonts w:ascii="SimSun" w:eastAsia="SimSun" w:hAnsi="SimSun" w:cs="SimSun" w:hint="eastAsia"/>
          <w:sz w:val="24"/>
          <w:szCs w:val="24"/>
          <w:lang w:eastAsia="zh-CN"/>
        </w:rPr>
        <w:t>上，缔约方大会听取了第一和第二工作组主席的临时进度报告。</w:t>
      </w:r>
    </w:p>
    <w:p w:rsidR="008D76BF" w:rsidRPr="009226AE" w:rsidRDefault="008D76BF" w:rsidP="00750ECD">
      <w:pPr>
        <w:pStyle w:val="Para1"/>
        <w:numPr>
          <w:ilvl w:val="0"/>
          <w:numId w:val="9"/>
        </w:numPr>
        <w:tabs>
          <w:tab w:val="clear" w:pos="360"/>
          <w:tab w:val="left" w:pos="720"/>
        </w:tabs>
        <w:ind w:firstLine="0"/>
        <w:rPr>
          <w:rFonts w:hAnsi="SimSun"/>
          <w:sz w:val="24"/>
          <w:szCs w:val="24"/>
          <w:lang w:eastAsia="zh-CN"/>
        </w:rPr>
      </w:pPr>
      <w:r w:rsidRPr="009226AE">
        <w:rPr>
          <w:rFonts w:ascii="SimSun" w:eastAsia="SimSun" w:hAnsi="SimSun" w:cs="SimSun" w:hint="eastAsia"/>
          <w:sz w:val="24"/>
          <w:szCs w:val="24"/>
          <w:lang w:eastAsia="zh-CN"/>
        </w:rPr>
        <w:t>在</w:t>
      </w:r>
      <w:smartTag w:uri="urn:schemas-microsoft-com:office:smarttags" w:element="chsdate">
        <w:smartTagPr>
          <w:attr w:name="IsROCDate" w:val="False"/>
          <w:attr w:name="IsLunarDate" w:val="False"/>
          <w:attr w:name="Day" w:val="25"/>
          <w:attr w:name="Month" w:val="11"/>
          <w:attr w:name="Year" w:val="2018"/>
        </w:smartTagPr>
        <w:r w:rsidRPr="009226AE">
          <w:rPr>
            <w:rFonts w:hAnsi="SimSun"/>
            <w:sz w:val="24"/>
            <w:szCs w:val="24"/>
            <w:lang w:eastAsia="zh-CN"/>
          </w:rPr>
          <w:t>2018</w:t>
        </w:r>
        <w:r w:rsidRPr="009226AE">
          <w:rPr>
            <w:rFonts w:ascii="SimSun" w:eastAsia="SimSun" w:hAnsi="SimSun" w:cs="SimSun" w:hint="eastAsia"/>
            <w:sz w:val="24"/>
            <w:szCs w:val="24"/>
            <w:lang w:eastAsia="zh-CN"/>
          </w:rPr>
          <w:t>年</w:t>
        </w:r>
        <w:r w:rsidRPr="009226AE">
          <w:rPr>
            <w:rFonts w:hAnsi="SimSun"/>
            <w:sz w:val="24"/>
            <w:szCs w:val="24"/>
            <w:lang w:eastAsia="zh-CN"/>
          </w:rPr>
          <w:t>11</w:t>
        </w:r>
        <w:r w:rsidRPr="009226AE">
          <w:rPr>
            <w:rFonts w:ascii="SimSun" w:eastAsia="SimSun" w:hAnsi="SimSun" w:cs="SimSun" w:hint="eastAsia"/>
            <w:sz w:val="24"/>
            <w:szCs w:val="24"/>
            <w:lang w:eastAsia="zh-CN"/>
          </w:rPr>
          <w:t>月</w:t>
        </w:r>
        <w:r>
          <w:rPr>
            <w:rFonts w:hAnsi="SimSun"/>
            <w:sz w:val="24"/>
            <w:szCs w:val="24"/>
            <w:lang w:eastAsia="zh-CN"/>
          </w:rPr>
          <w:t>25</w:t>
        </w:r>
        <w:r>
          <w:rPr>
            <w:rFonts w:ascii="SimSun" w:eastAsia="SimSun" w:hAnsi="SimSun" w:cs="SimSun" w:hint="eastAsia"/>
            <w:sz w:val="24"/>
            <w:szCs w:val="24"/>
            <w:lang w:eastAsia="zh-CN"/>
          </w:rPr>
          <w:t>日</w:t>
        </w:r>
      </w:smartTag>
      <w:r w:rsidRPr="009226AE">
        <w:rPr>
          <w:rFonts w:ascii="SimSun" w:eastAsia="SimSun" w:hAnsi="SimSun" w:cs="SimSun" w:hint="eastAsia"/>
          <w:sz w:val="24"/>
          <w:szCs w:val="24"/>
          <w:lang w:eastAsia="zh-CN"/>
        </w:rPr>
        <w:t>的</w:t>
      </w:r>
      <w:r>
        <w:rPr>
          <w:rFonts w:ascii="SimSun" w:eastAsia="SimSun" w:hAnsi="SimSun" w:cs="SimSun" w:hint="eastAsia"/>
          <w:sz w:val="24"/>
          <w:szCs w:val="24"/>
          <w:lang w:eastAsia="zh-CN"/>
        </w:rPr>
        <w:t>第</w:t>
      </w:r>
      <w:r>
        <w:rPr>
          <w:rFonts w:hAnsi="SimSun"/>
          <w:sz w:val="24"/>
          <w:szCs w:val="24"/>
          <w:lang w:eastAsia="zh-CN"/>
        </w:rPr>
        <w:t>5</w:t>
      </w:r>
      <w:r w:rsidR="00B45641">
        <w:rPr>
          <w:rFonts w:ascii="SimSun" w:eastAsia="SimSun" w:hAnsi="SimSun" w:cs="SimSun" w:hint="eastAsia"/>
          <w:sz w:val="24"/>
          <w:szCs w:val="24"/>
          <w:lang w:eastAsia="zh-CN"/>
        </w:rPr>
        <w:t>次全体会议</w:t>
      </w:r>
      <w:r w:rsidRPr="009226AE">
        <w:rPr>
          <w:rFonts w:ascii="SimSun" w:eastAsia="SimSun" w:hAnsi="SimSun" w:cs="SimSun" w:hint="eastAsia"/>
          <w:sz w:val="24"/>
          <w:szCs w:val="24"/>
          <w:lang w:eastAsia="zh-CN"/>
        </w:rPr>
        <w:t>上，缔约方大会听取了第一和第二工作组主席的临时进度报告。</w:t>
      </w:r>
    </w:p>
    <w:p w:rsidR="0004184E" w:rsidRPr="0004184E" w:rsidRDefault="0004184E" w:rsidP="0004184E">
      <w:pPr>
        <w:pStyle w:val="Para1"/>
        <w:numPr>
          <w:ilvl w:val="0"/>
          <w:numId w:val="9"/>
        </w:numPr>
        <w:tabs>
          <w:tab w:val="clear" w:pos="360"/>
          <w:tab w:val="left" w:pos="720"/>
        </w:tabs>
        <w:ind w:firstLine="0"/>
        <w:rPr>
          <w:rFonts w:hAnsi="SimSun"/>
          <w:sz w:val="24"/>
          <w:szCs w:val="24"/>
          <w:lang w:eastAsia="zh-CN"/>
        </w:rPr>
      </w:pPr>
      <w:r w:rsidRPr="009226AE">
        <w:rPr>
          <w:rFonts w:ascii="SimSun" w:eastAsia="SimSun" w:hAnsi="SimSun" w:cs="SimSun" w:hint="eastAsia"/>
          <w:sz w:val="24"/>
          <w:szCs w:val="24"/>
          <w:lang w:eastAsia="zh-CN"/>
        </w:rPr>
        <w:t>在</w:t>
      </w:r>
      <w:r w:rsidRPr="009226AE">
        <w:rPr>
          <w:rFonts w:hAnsi="SimSun"/>
          <w:sz w:val="24"/>
          <w:szCs w:val="24"/>
          <w:lang w:eastAsia="zh-CN"/>
        </w:rPr>
        <w:t>2018</w:t>
      </w:r>
      <w:r w:rsidRPr="009226AE">
        <w:rPr>
          <w:rFonts w:ascii="SimSun" w:eastAsia="SimSun" w:hAnsi="SimSun" w:cs="SimSun" w:hint="eastAsia"/>
          <w:sz w:val="24"/>
          <w:szCs w:val="24"/>
          <w:lang w:eastAsia="zh-CN"/>
        </w:rPr>
        <w:t>年</w:t>
      </w:r>
      <w:r w:rsidRPr="009226AE">
        <w:rPr>
          <w:rFonts w:hAnsi="SimSun"/>
          <w:sz w:val="24"/>
          <w:szCs w:val="24"/>
          <w:lang w:eastAsia="zh-CN"/>
        </w:rPr>
        <w:t>11</w:t>
      </w:r>
      <w:r w:rsidRPr="009226AE">
        <w:rPr>
          <w:rFonts w:ascii="SimSun" w:eastAsia="SimSun" w:hAnsi="SimSun" w:cs="SimSun" w:hint="eastAsia"/>
          <w:sz w:val="24"/>
          <w:szCs w:val="24"/>
          <w:lang w:eastAsia="zh-CN"/>
        </w:rPr>
        <w:t>月</w:t>
      </w:r>
      <w:r>
        <w:rPr>
          <w:rFonts w:hAnsi="SimSun"/>
          <w:sz w:val="24"/>
          <w:szCs w:val="24"/>
          <w:lang w:eastAsia="zh-CN"/>
        </w:rPr>
        <w:t>29</w:t>
      </w:r>
      <w:r>
        <w:rPr>
          <w:rFonts w:ascii="SimSun" w:eastAsia="SimSun" w:hAnsi="SimSun" w:cs="SimSun" w:hint="eastAsia"/>
          <w:sz w:val="24"/>
          <w:szCs w:val="24"/>
          <w:lang w:eastAsia="zh-CN"/>
        </w:rPr>
        <w:t>日</w:t>
      </w:r>
      <w:r w:rsidR="00862B8F">
        <w:rPr>
          <w:rFonts w:ascii="SimSun" w:eastAsia="SimSun" w:hAnsi="SimSun" w:cs="SimSun" w:hint="eastAsia"/>
          <w:sz w:val="24"/>
          <w:szCs w:val="24"/>
          <w:lang w:eastAsia="zh-CN"/>
        </w:rPr>
        <w:t>会议的</w:t>
      </w:r>
      <w:r>
        <w:rPr>
          <w:rFonts w:ascii="SimSun" w:eastAsia="SimSun" w:hAnsi="SimSun" w:cs="SimSun" w:hint="eastAsia"/>
          <w:sz w:val="24"/>
          <w:szCs w:val="24"/>
          <w:lang w:eastAsia="zh-CN"/>
        </w:rPr>
        <w:t>第</w:t>
      </w:r>
      <w:r w:rsidRPr="00CD0563">
        <w:rPr>
          <w:rFonts w:hAnsi="SimSun" w:hint="eastAsia"/>
          <w:sz w:val="24"/>
          <w:szCs w:val="24"/>
          <w:lang w:eastAsia="zh-CN"/>
        </w:rPr>
        <w:t>7</w:t>
      </w:r>
      <w:r w:rsidR="00B45641">
        <w:rPr>
          <w:rFonts w:ascii="SimSun" w:eastAsia="SimSun" w:hAnsi="SimSun" w:cs="SimSun" w:hint="eastAsia"/>
          <w:sz w:val="24"/>
          <w:szCs w:val="24"/>
          <w:lang w:eastAsia="zh-CN"/>
        </w:rPr>
        <w:t>次全体会议</w:t>
      </w:r>
      <w:r w:rsidRPr="009226AE">
        <w:rPr>
          <w:rFonts w:ascii="SimSun" w:eastAsia="SimSun" w:hAnsi="SimSun" w:cs="SimSun" w:hint="eastAsia"/>
          <w:sz w:val="24"/>
          <w:szCs w:val="24"/>
          <w:lang w:eastAsia="zh-CN"/>
        </w:rPr>
        <w:t>上，缔约方大会</w:t>
      </w:r>
      <w:r>
        <w:rPr>
          <w:rFonts w:ascii="SimSun" w:eastAsia="SimSun" w:hAnsi="SimSun" w:cs="SimSun" w:hint="eastAsia"/>
          <w:sz w:val="24"/>
          <w:szCs w:val="24"/>
          <w:lang w:eastAsia="zh-CN"/>
        </w:rPr>
        <w:t>听取</w:t>
      </w:r>
      <w:r>
        <w:rPr>
          <w:rFonts w:ascii="SimSun" w:eastAsia="SimSun" w:hAnsi="SimSun" w:cs="SimSun"/>
          <w:sz w:val="24"/>
          <w:szCs w:val="24"/>
          <w:lang w:eastAsia="zh-CN"/>
        </w:rPr>
        <w:t>了第一和第二工作组主席提交的最后报告。</w:t>
      </w:r>
    </w:p>
    <w:p w:rsidR="008D76BF" w:rsidRPr="009226AE" w:rsidRDefault="008D76BF" w:rsidP="0004184E">
      <w:pPr>
        <w:pStyle w:val="Para1"/>
        <w:tabs>
          <w:tab w:val="clear" w:pos="360"/>
          <w:tab w:val="left" w:pos="720"/>
        </w:tabs>
        <w:ind w:firstLine="0"/>
        <w:jc w:val="center"/>
        <w:rPr>
          <w:rFonts w:ascii="KaiTi" w:eastAsia="KaiTi" w:hAnsi="KaiTi"/>
          <w:sz w:val="24"/>
          <w:szCs w:val="24"/>
          <w:lang w:eastAsia="zh-CN"/>
        </w:rPr>
      </w:pPr>
      <w:r w:rsidRPr="009226AE">
        <w:rPr>
          <w:rFonts w:ascii="KaiTi" w:eastAsia="KaiTi" w:hAnsi="KaiTi" w:hint="eastAsia"/>
          <w:sz w:val="24"/>
          <w:szCs w:val="24"/>
          <w:lang w:eastAsia="zh-CN"/>
        </w:rPr>
        <w:t>各</w:t>
      </w:r>
      <w:r w:rsidRPr="009226AE">
        <w:rPr>
          <w:rFonts w:ascii="KaiTi" w:eastAsia="KaiTi" w:hAnsi="KaiTi" w:cs="SimSun" w:hint="eastAsia"/>
          <w:sz w:val="24"/>
          <w:szCs w:val="24"/>
          <w:lang w:eastAsia="zh-CN"/>
        </w:rPr>
        <w:t>会期工作组的工作</w:t>
      </w:r>
    </w:p>
    <w:p w:rsidR="008D76BF" w:rsidRPr="00EA04E2" w:rsidRDefault="008D76BF" w:rsidP="00750ECD">
      <w:pPr>
        <w:pStyle w:val="Para1"/>
        <w:numPr>
          <w:ilvl w:val="0"/>
          <w:numId w:val="9"/>
        </w:numPr>
        <w:tabs>
          <w:tab w:val="clear" w:pos="360"/>
          <w:tab w:val="left" w:pos="720"/>
        </w:tabs>
        <w:ind w:firstLine="0"/>
        <w:rPr>
          <w:sz w:val="24"/>
          <w:szCs w:val="24"/>
          <w:lang w:eastAsia="zh-CN"/>
        </w:rPr>
      </w:pPr>
      <w:r w:rsidRPr="00AB0FA2">
        <w:rPr>
          <w:rFonts w:eastAsia="Times New Roman" w:hAnsi="SimSun"/>
          <w:sz w:val="24"/>
          <w:szCs w:val="24"/>
          <w:lang w:eastAsia="zh-CN"/>
        </w:rPr>
        <w:t>第一工作组在</w:t>
      </w:r>
      <w:smartTag w:uri="urn:schemas-microsoft-com:office:smarttags" w:element="chsdate">
        <w:smartTagPr>
          <w:attr w:name="IsROCDate" w:val="False"/>
          <w:attr w:name="IsLunarDate" w:val="False"/>
          <w:attr w:name="Day" w:val="18"/>
          <w:attr w:name="Month" w:val="11"/>
          <w:attr w:name="Year" w:val="2018"/>
        </w:smartTagPr>
        <w:r w:rsidRPr="00AB0FA2">
          <w:rPr>
            <w:sz w:val="24"/>
            <w:szCs w:val="24"/>
            <w:lang w:eastAsia="zh-CN"/>
          </w:rPr>
          <w:t>2018</w:t>
        </w:r>
        <w:r w:rsidRPr="00AB0FA2">
          <w:rPr>
            <w:rFonts w:eastAsia="Times New Roman" w:hAnsi="SimSun"/>
            <w:sz w:val="24"/>
            <w:szCs w:val="24"/>
            <w:lang w:eastAsia="zh-CN"/>
          </w:rPr>
          <w:t>年</w:t>
        </w:r>
        <w:r w:rsidRPr="00AB0FA2">
          <w:rPr>
            <w:sz w:val="24"/>
            <w:szCs w:val="24"/>
            <w:lang w:eastAsia="zh-CN"/>
          </w:rPr>
          <w:t>11</w:t>
        </w:r>
        <w:r w:rsidRPr="00AB0FA2">
          <w:rPr>
            <w:rFonts w:eastAsia="Times New Roman" w:hAnsi="SimSun"/>
            <w:sz w:val="24"/>
            <w:szCs w:val="24"/>
            <w:lang w:eastAsia="zh-CN"/>
          </w:rPr>
          <w:t>月</w:t>
        </w:r>
        <w:r w:rsidRPr="00AB0FA2">
          <w:rPr>
            <w:rFonts w:eastAsia="Times New Roman" w:hAnsi="SimSun"/>
            <w:sz w:val="24"/>
            <w:szCs w:val="24"/>
            <w:lang w:val="en-US" w:eastAsia="zh-CN"/>
          </w:rPr>
          <w:t>18</w:t>
        </w:r>
        <w:r w:rsidRPr="00AB0FA2">
          <w:rPr>
            <w:rFonts w:eastAsia="Times New Roman" w:hAnsi="SimSun"/>
            <w:sz w:val="24"/>
            <w:szCs w:val="24"/>
            <w:lang w:eastAsia="zh-CN"/>
          </w:rPr>
          <w:t>日</w:t>
        </w:r>
      </w:smartTag>
      <w:r w:rsidRPr="00AB0FA2">
        <w:rPr>
          <w:rFonts w:eastAsia="Times New Roman" w:hAnsi="SimSun"/>
          <w:sz w:val="24"/>
          <w:szCs w:val="24"/>
          <w:lang w:eastAsia="zh-CN"/>
        </w:rPr>
        <w:t>至</w:t>
      </w:r>
      <w:r w:rsidRPr="00AB0FA2">
        <w:rPr>
          <w:rFonts w:eastAsia="Times New Roman" w:hAnsi="SimSun"/>
          <w:sz w:val="24"/>
          <w:szCs w:val="24"/>
          <w:lang w:val="en-US" w:eastAsia="zh-CN"/>
        </w:rPr>
        <w:t>28</w:t>
      </w:r>
      <w:r w:rsidRPr="00AB0FA2">
        <w:rPr>
          <w:rFonts w:eastAsia="Times New Roman" w:hAnsi="SimSun"/>
          <w:sz w:val="24"/>
          <w:szCs w:val="24"/>
          <w:lang w:eastAsia="zh-CN"/>
        </w:rPr>
        <w:t>日期间共举行了</w:t>
      </w:r>
      <w:r w:rsidRPr="00AB0FA2">
        <w:rPr>
          <w:rFonts w:eastAsia="Times New Roman" w:hAnsi="SimSun"/>
          <w:sz w:val="24"/>
          <w:szCs w:val="24"/>
          <w:lang w:val="en-US" w:eastAsia="zh-CN"/>
        </w:rPr>
        <w:t>13</w:t>
      </w:r>
      <w:r w:rsidRPr="00AB0FA2">
        <w:rPr>
          <w:rFonts w:eastAsia="Times New Roman" w:hAnsi="SimSun"/>
          <w:sz w:val="24"/>
          <w:szCs w:val="24"/>
          <w:lang w:eastAsia="zh-CN"/>
        </w:rPr>
        <w:t>场会议。该工作组在</w:t>
      </w:r>
      <w:smartTag w:uri="urn:schemas-microsoft-com:office:smarttags" w:element="chsdate">
        <w:smartTagPr>
          <w:attr w:name="IsROCDate" w:val="False"/>
          <w:attr w:name="IsLunarDate" w:val="False"/>
          <w:attr w:name="Day" w:val="28"/>
          <w:attr w:name="Month" w:val="11"/>
          <w:attr w:name="Year" w:val="2018"/>
        </w:smartTagPr>
        <w:r w:rsidRPr="00AB0FA2">
          <w:rPr>
            <w:sz w:val="24"/>
            <w:szCs w:val="24"/>
            <w:lang w:eastAsia="zh-CN"/>
          </w:rPr>
          <w:t>2018</w:t>
        </w:r>
        <w:r w:rsidRPr="00AB0FA2">
          <w:rPr>
            <w:rFonts w:eastAsia="Times New Roman" w:hAnsi="SimSun"/>
            <w:sz w:val="24"/>
            <w:szCs w:val="24"/>
            <w:lang w:eastAsia="zh-CN"/>
          </w:rPr>
          <w:t>年</w:t>
        </w:r>
        <w:r w:rsidRPr="00AB0FA2">
          <w:rPr>
            <w:sz w:val="24"/>
            <w:szCs w:val="24"/>
            <w:lang w:eastAsia="zh-CN"/>
          </w:rPr>
          <w:t>11</w:t>
        </w:r>
        <w:r w:rsidRPr="00AB0FA2">
          <w:rPr>
            <w:rFonts w:eastAsia="Times New Roman" w:hAnsi="SimSun"/>
            <w:sz w:val="24"/>
            <w:szCs w:val="24"/>
            <w:lang w:eastAsia="zh-CN"/>
          </w:rPr>
          <w:t>月</w:t>
        </w:r>
        <w:r w:rsidRPr="00AB0FA2">
          <w:rPr>
            <w:rFonts w:eastAsia="Times New Roman" w:hAnsi="SimSun"/>
            <w:sz w:val="24"/>
            <w:szCs w:val="24"/>
            <w:lang w:val="en-US" w:eastAsia="zh-CN"/>
          </w:rPr>
          <w:t>28</w:t>
        </w:r>
        <w:r w:rsidRPr="00AB0FA2">
          <w:rPr>
            <w:rFonts w:eastAsia="Times New Roman" w:hAnsi="SimSun"/>
            <w:sz w:val="24"/>
            <w:szCs w:val="24"/>
            <w:lang w:eastAsia="zh-CN"/>
          </w:rPr>
          <w:t>日</w:t>
        </w:r>
      </w:smartTag>
      <w:r w:rsidRPr="00AB0FA2">
        <w:rPr>
          <w:rFonts w:eastAsia="Times New Roman" w:hAnsi="SimSun"/>
          <w:sz w:val="24"/>
          <w:szCs w:val="24"/>
          <w:lang w:eastAsia="zh-CN"/>
        </w:rPr>
        <w:t>通过了报告</w:t>
      </w:r>
      <w:r w:rsidRPr="00AB0FA2">
        <w:rPr>
          <w:rFonts w:eastAsia="SimSun" w:hAnsi="SimSun" w:hint="eastAsia"/>
          <w:sz w:val="24"/>
          <w:szCs w:val="24"/>
          <w:lang w:val="en-US" w:eastAsia="zh-CN"/>
        </w:rPr>
        <w:t>（</w:t>
      </w:r>
      <w:r w:rsidRPr="00AB0FA2">
        <w:rPr>
          <w:bCs/>
          <w:sz w:val="24"/>
          <w:szCs w:val="24"/>
          <w:lang w:eastAsia="zh-CN"/>
        </w:rPr>
        <w:t>CBD/COP/14/WG.1/L.1</w:t>
      </w:r>
      <w:r w:rsidRPr="00AB0FA2">
        <w:rPr>
          <w:rFonts w:eastAsia="SimSun" w:hAnsi="SimSun" w:hint="eastAsia"/>
          <w:sz w:val="24"/>
          <w:szCs w:val="24"/>
          <w:lang w:val="en-US" w:eastAsia="zh-CN"/>
        </w:rPr>
        <w:t>）</w:t>
      </w:r>
      <w:r w:rsidRPr="00EA04E2">
        <w:rPr>
          <w:rFonts w:eastAsia="Times New Roman" w:hAnsi="SimSun"/>
          <w:sz w:val="24"/>
          <w:szCs w:val="24"/>
          <w:lang w:eastAsia="zh-CN"/>
        </w:rPr>
        <w:t>。</w:t>
      </w:r>
    </w:p>
    <w:p w:rsidR="008D76BF" w:rsidRPr="00EA04E2" w:rsidRDefault="008D76BF" w:rsidP="00750ECD">
      <w:pPr>
        <w:pStyle w:val="Para1"/>
        <w:numPr>
          <w:ilvl w:val="0"/>
          <w:numId w:val="9"/>
        </w:numPr>
        <w:tabs>
          <w:tab w:val="clear" w:pos="360"/>
          <w:tab w:val="left" w:pos="720"/>
        </w:tabs>
        <w:ind w:firstLine="0"/>
        <w:rPr>
          <w:sz w:val="24"/>
          <w:szCs w:val="24"/>
          <w:lang w:eastAsia="zh-CN"/>
        </w:rPr>
      </w:pPr>
      <w:r w:rsidRPr="00EA04E2">
        <w:rPr>
          <w:rFonts w:eastAsia="Times New Roman" w:hAnsi="SimSun"/>
          <w:sz w:val="24"/>
          <w:szCs w:val="24"/>
          <w:lang w:eastAsia="zh-CN"/>
        </w:rPr>
        <w:t>第二工作组在</w:t>
      </w:r>
      <w:smartTag w:uri="urn:schemas-microsoft-com:office:smarttags" w:element="chsdate">
        <w:smartTagPr>
          <w:attr w:name="IsROCDate" w:val="False"/>
          <w:attr w:name="IsLunarDate" w:val="False"/>
          <w:attr w:name="Day" w:val="25"/>
          <w:attr w:name="Month" w:val="11"/>
          <w:attr w:name="Year" w:val="2018"/>
        </w:smartTagPr>
        <w:r w:rsidRPr="00EA04E2">
          <w:rPr>
            <w:sz w:val="24"/>
            <w:szCs w:val="24"/>
            <w:lang w:eastAsia="zh-CN"/>
          </w:rPr>
          <w:t>2018</w:t>
        </w:r>
        <w:r w:rsidRPr="00EA04E2">
          <w:rPr>
            <w:rFonts w:eastAsia="Times New Roman" w:hAnsi="SimSun"/>
            <w:sz w:val="24"/>
            <w:szCs w:val="24"/>
            <w:lang w:eastAsia="zh-CN"/>
          </w:rPr>
          <w:t>年</w:t>
        </w:r>
        <w:r w:rsidRPr="00EA04E2">
          <w:rPr>
            <w:sz w:val="24"/>
            <w:szCs w:val="24"/>
            <w:lang w:eastAsia="zh-CN"/>
          </w:rPr>
          <w:t>11</w:t>
        </w:r>
        <w:r w:rsidRPr="00EA04E2">
          <w:rPr>
            <w:rFonts w:eastAsia="Times New Roman" w:hAnsi="SimSun"/>
            <w:sz w:val="24"/>
            <w:szCs w:val="24"/>
            <w:lang w:eastAsia="zh-CN"/>
          </w:rPr>
          <w:t>月</w:t>
        </w:r>
        <w:r w:rsidRPr="00EA04E2">
          <w:rPr>
            <w:rFonts w:eastAsia="Times New Roman"/>
            <w:sz w:val="24"/>
            <w:szCs w:val="24"/>
            <w:lang w:eastAsia="zh-CN"/>
          </w:rPr>
          <w:t>18</w:t>
        </w:r>
        <w:r w:rsidRPr="00EA04E2">
          <w:rPr>
            <w:rFonts w:eastAsia="Times New Roman" w:hAnsi="SimSun"/>
            <w:sz w:val="24"/>
            <w:szCs w:val="24"/>
            <w:lang w:eastAsia="zh-CN"/>
          </w:rPr>
          <w:t>日</w:t>
        </w:r>
      </w:smartTag>
      <w:r w:rsidRPr="00EA04E2">
        <w:rPr>
          <w:rFonts w:eastAsia="Times New Roman" w:hAnsi="SimSun"/>
          <w:sz w:val="24"/>
          <w:szCs w:val="24"/>
          <w:lang w:eastAsia="zh-CN"/>
        </w:rPr>
        <w:t>至</w:t>
      </w:r>
      <w:r w:rsidRPr="00EA04E2">
        <w:rPr>
          <w:rFonts w:eastAsia="Times New Roman"/>
          <w:sz w:val="24"/>
          <w:szCs w:val="24"/>
          <w:lang w:eastAsia="zh-CN"/>
        </w:rPr>
        <w:t>28</w:t>
      </w:r>
      <w:r w:rsidRPr="00EA04E2">
        <w:rPr>
          <w:rFonts w:eastAsia="Times New Roman" w:hAnsi="SimSun"/>
          <w:sz w:val="24"/>
          <w:szCs w:val="24"/>
          <w:lang w:eastAsia="zh-CN"/>
        </w:rPr>
        <w:t>日期间共举行了</w:t>
      </w:r>
      <w:r w:rsidRPr="00EA04E2">
        <w:rPr>
          <w:rFonts w:eastAsia="Times New Roman"/>
          <w:sz w:val="24"/>
          <w:szCs w:val="24"/>
          <w:lang w:eastAsia="zh-CN"/>
        </w:rPr>
        <w:t>18</w:t>
      </w:r>
      <w:r w:rsidRPr="00EA04E2">
        <w:rPr>
          <w:rFonts w:eastAsia="Times New Roman" w:hAnsi="SimSun"/>
          <w:sz w:val="24"/>
          <w:szCs w:val="24"/>
          <w:lang w:eastAsia="zh-CN"/>
        </w:rPr>
        <w:t>场会议。该工作组在</w:t>
      </w:r>
      <w:smartTag w:uri="urn:schemas-microsoft-com:office:smarttags" w:element="chsdate">
        <w:smartTagPr>
          <w:attr w:name="IsROCDate" w:val="False"/>
          <w:attr w:name="IsLunarDate" w:val="False"/>
          <w:attr w:name="Day" w:val="25"/>
          <w:attr w:name="Month" w:val="11"/>
          <w:attr w:name="Year" w:val="2018"/>
        </w:smartTagPr>
        <w:r w:rsidRPr="00EA04E2">
          <w:rPr>
            <w:sz w:val="24"/>
            <w:szCs w:val="24"/>
            <w:lang w:eastAsia="zh-CN"/>
          </w:rPr>
          <w:t>2018</w:t>
        </w:r>
        <w:r w:rsidRPr="00EA04E2">
          <w:rPr>
            <w:rFonts w:eastAsia="Times New Roman" w:hAnsi="SimSun"/>
            <w:sz w:val="24"/>
            <w:szCs w:val="24"/>
            <w:lang w:eastAsia="zh-CN"/>
          </w:rPr>
          <w:t>年</w:t>
        </w:r>
        <w:r w:rsidRPr="00EA04E2">
          <w:rPr>
            <w:sz w:val="24"/>
            <w:szCs w:val="24"/>
            <w:lang w:eastAsia="zh-CN"/>
          </w:rPr>
          <w:t>11</w:t>
        </w:r>
        <w:r w:rsidRPr="00EA04E2">
          <w:rPr>
            <w:rFonts w:eastAsia="Times New Roman" w:hAnsi="SimSun"/>
            <w:sz w:val="24"/>
            <w:szCs w:val="24"/>
            <w:lang w:eastAsia="zh-CN"/>
          </w:rPr>
          <w:t>月</w:t>
        </w:r>
        <w:r w:rsidRPr="00EA04E2">
          <w:rPr>
            <w:rFonts w:eastAsia="Times New Roman"/>
            <w:sz w:val="24"/>
            <w:szCs w:val="24"/>
            <w:lang w:eastAsia="zh-CN"/>
          </w:rPr>
          <w:t>28</w:t>
        </w:r>
        <w:r w:rsidRPr="00EA04E2">
          <w:rPr>
            <w:rFonts w:eastAsia="Times New Roman" w:hAnsi="SimSun"/>
            <w:sz w:val="24"/>
            <w:szCs w:val="24"/>
            <w:lang w:eastAsia="zh-CN"/>
          </w:rPr>
          <w:t>日</w:t>
        </w:r>
      </w:smartTag>
      <w:r w:rsidRPr="00EA04E2">
        <w:rPr>
          <w:rFonts w:eastAsia="Times New Roman" w:hAnsi="SimSun"/>
          <w:sz w:val="24"/>
          <w:szCs w:val="24"/>
          <w:lang w:eastAsia="zh-CN"/>
        </w:rPr>
        <w:t>通过了报告（</w:t>
      </w:r>
      <w:r w:rsidRPr="00EA04E2">
        <w:rPr>
          <w:rFonts w:eastAsia="Times New Roman"/>
          <w:sz w:val="24"/>
          <w:szCs w:val="24"/>
          <w:lang w:eastAsia="zh-CN"/>
        </w:rPr>
        <w:t>CBD/COP/14/WG.2/L.1</w:t>
      </w:r>
      <w:r w:rsidRPr="00EA04E2">
        <w:rPr>
          <w:rFonts w:eastAsia="Times New Roman" w:hAnsi="SimSun"/>
          <w:sz w:val="24"/>
          <w:szCs w:val="24"/>
          <w:lang w:eastAsia="zh-CN"/>
        </w:rPr>
        <w:t>）。</w:t>
      </w:r>
    </w:p>
    <w:p w:rsidR="008D76BF" w:rsidRPr="005A6E95" w:rsidRDefault="003624D7" w:rsidP="0004184E">
      <w:pPr>
        <w:pStyle w:val="Para1"/>
        <w:tabs>
          <w:tab w:val="clear" w:pos="360"/>
          <w:tab w:val="left" w:pos="720"/>
        </w:tabs>
        <w:ind w:firstLine="0"/>
        <w:jc w:val="center"/>
        <w:rPr>
          <w:rFonts w:ascii="KaiTi" w:eastAsia="KaiTi" w:hAnsi="KaiTi" w:cs="SimSun"/>
          <w:sz w:val="24"/>
          <w:szCs w:val="24"/>
          <w:lang w:eastAsia="zh-CN"/>
        </w:rPr>
      </w:pPr>
      <w:bookmarkStart w:id="259" w:name="_Ref314474052"/>
      <w:r>
        <w:rPr>
          <w:rFonts w:ascii="KaiTi" w:eastAsia="KaiTi" w:hAnsi="KaiTi" w:cs="SimSun" w:hint="eastAsia"/>
          <w:sz w:val="24"/>
          <w:szCs w:val="24"/>
          <w:lang w:eastAsia="zh-CN"/>
        </w:rPr>
        <w:t>平行活动</w:t>
      </w:r>
      <w:r w:rsidR="008D76BF" w:rsidRPr="005A6E95">
        <w:rPr>
          <w:rFonts w:ascii="KaiTi" w:eastAsia="KaiTi" w:hAnsi="KaiTi" w:cs="SimSun" w:hint="eastAsia"/>
          <w:sz w:val="24"/>
          <w:szCs w:val="24"/>
          <w:lang w:eastAsia="zh-CN"/>
        </w:rPr>
        <w:t>和颁奖</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4D1FBA">
        <w:rPr>
          <w:rFonts w:ascii="SimSun" w:eastAsia="SimSun" w:hAnsi="SimSun" w:cs="SimSun" w:hint="eastAsia"/>
          <w:sz w:val="24"/>
          <w:szCs w:val="24"/>
          <w:lang w:eastAsia="zh-CN"/>
        </w:rPr>
        <w:t>缔约方大会第十四届会议期间举行了三次颁奖仪式。此外，与会议平行举行了多项相关活动。这些颁奖仪式和</w:t>
      </w:r>
      <w:r w:rsidR="003624D7">
        <w:rPr>
          <w:rFonts w:ascii="SimSun" w:eastAsia="SimSun" w:hAnsi="SimSun" w:cs="SimSun" w:hint="eastAsia"/>
          <w:sz w:val="24"/>
          <w:szCs w:val="24"/>
          <w:lang w:eastAsia="zh-CN"/>
        </w:rPr>
        <w:t>平行活动</w:t>
      </w:r>
      <w:r w:rsidRPr="004D1FBA">
        <w:rPr>
          <w:rFonts w:ascii="SimSun" w:eastAsia="SimSun" w:hAnsi="SimSun" w:cs="SimSun" w:hint="eastAsia"/>
          <w:sz w:val="24"/>
          <w:szCs w:val="24"/>
          <w:lang w:eastAsia="zh-CN"/>
        </w:rPr>
        <w:t>的详情见本报告附件四。</w:t>
      </w:r>
    </w:p>
    <w:p w:rsidR="008D76BF" w:rsidRPr="005A6E95" w:rsidRDefault="008D76BF" w:rsidP="0004184E">
      <w:pPr>
        <w:pStyle w:val="Heading3"/>
        <w:ind w:firstLine="0"/>
        <w:rPr>
          <w:rFonts w:ascii="KaiTi" w:eastAsia="KaiTi" w:hAnsi="KaiTi"/>
          <w:i w:val="0"/>
          <w:sz w:val="24"/>
          <w:lang w:eastAsia="zh-CN"/>
        </w:rPr>
      </w:pPr>
      <w:bookmarkStart w:id="260" w:name="_Toc6243816"/>
      <w:r w:rsidRPr="005A6E95">
        <w:rPr>
          <w:rFonts w:ascii="KaiTi" w:eastAsia="KaiTi" w:hAnsi="KaiTi" w:cs="Arial" w:hint="eastAsia"/>
          <w:i w:val="0"/>
          <w:color w:val="212121"/>
          <w:sz w:val="24"/>
          <w:shd w:val="clear" w:color="auto" w:fill="FFFFFF"/>
          <w:lang w:eastAsia="zh-CN"/>
        </w:rPr>
        <w:t>选举主席团成员</w:t>
      </w:r>
      <w:bookmarkEnd w:id="260"/>
    </w:p>
    <w:p w:rsidR="008D76BF" w:rsidRPr="0004184E" w:rsidRDefault="008D76BF" w:rsidP="00750ECD">
      <w:pPr>
        <w:pStyle w:val="Heading4"/>
        <w:ind w:firstLine="0"/>
        <w:rPr>
          <w:rFonts w:ascii="SimSun" w:hAnsi="SimSun"/>
          <w:b/>
          <w:bCs w:val="0"/>
          <w:i w:val="0"/>
          <w:iCs w:val="0"/>
          <w:snapToGrid w:val="0"/>
          <w:color w:val="212121"/>
          <w:sz w:val="24"/>
          <w:shd w:val="clear" w:color="auto" w:fill="FFFFFF"/>
          <w:lang w:eastAsia="zh-CN"/>
        </w:rPr>
      </w:pPr>
      <w:r w:rsidRPr="0004184E">
        <w:rPr>
          <w:rFonts w:ascii="SimSun" w:eastAsia="SimSun" w:hAnsi="SimSun" w:cs="SimSun" w:hint="eastAsia"/>
          <w:b/>
          <w:bCs w:val="0"/>
          <w:i w:val="0"/>
          <w:iCs w:val="0"/>
          <w:snapToGrid w:val="0"/>
          <w:color w:val="212121"/>
          <w:sz w:val="24"/>
          <w:shd w:val="clear" w:color="auto" w:fill="FFFFFF"/>
          <w:lang w:eastAsia="zh-CN"/>
        </w:rPr>
        <w:t>选举主席</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4D1FBA">
        <w:rPr>
          <w:rFonts w:ascii="SimSun" w:eastAsia="SimSun" w:hAnsi="SimSun" w:cs="SimSun" w:hint="eastAsia"/>
          <w:sz w:val="24"/>
          <w:szCs w:val="24"/>
          <w:lang w:eastAsia="zh-CN"/>
        </w:rPr>
        <w:t>根据议事规则第</w:t>
      </w:r>
      <w:r w:rsidRPr="004D1FBA">
        <w:rPr>
          <w:rFonts w:hAnsi="SimSun"/>
          <w:sz w:val="24"/>
          <w:szCs w:val="24"/>
          <w:lang w:eastAsia="zh-CN"/>
        </w:rPr>
        <w:t>21</w:t>
      </w:r>
      <w:r w:rsidRPr="004D1FBA">
        <w:rPr>
          <w:rFonts w:ascii="SimSun" w:eastAsia="SimSun" w:hAnsi="SimSun" w:cs="SimSun" w:hint="eastAsia"/>
          <w:sz w:val="24"/>
          <w:szCs w:val="24"/>
          <w:lang w:eastAsia="zh-CN"/>
        </w:rPr>
        <w:t>条，在</w:t>
      </w:r>
      <w:r w:rsidRPr="004D1FBA">
        <w:rPr>
          <w:rFonts w:hAnsi="SimSun"/>
          <w:sz w:val="24"/>
          <w:szCs w:val="24"/>
          <w:lang w:eastAsia="zh-CN"/>
        </w:rPr>
        <w:t>2018</w:t>
      </w:r>
      <w:r w:rsidRPr="004D1FBA">
        <w:rPr>
          <w:rFonts w:ascii="SimSun" w:eastAsia="SimSun" w:hAnsi="SimSun" w:cs="SimSun" w:hint="eastAsia"/>
          <w:sz w:val="24"/>
          <w:szCs w:val="24"/>
          <w:lang w:eastAsia="zh-CN"/>
        </w:rPr>
        <w:t>年</w:t>
      </w:r>
      <w:r w:rsidRPr="004D1FBA">
        <w:rPr>
          <w:rFonts w:hAnsi="SimSun"/>
          <w:sz w:val="24"/>
          <w:szCs w:val="24"/>
          <w:lang w:eastAsia="zh-CN"/>
        </w:rPr>
        <w:t>11</w:t>
      </w:r>
      <w:r w:rsidRPr="004D1FBA">
        <w:rPr>
          <w:rFonts w:ascii="SimSun" w:eastAsia="SimSun" w:hAnsi="SimSun" w:cs="SimSun" w:hint="eastAsia"/>
          <w:sz w:val="24"/>
          <w:szCs w:val="24"/>
          <w:lang w:eastAsia="zh-CN"/>
        </w:rPr>
        <w:t>月</w:t>
      </w:r>
      <w:r w:rsidRPr="004D1FBA">
        <w:rPr>
          <w:rFonts w:hAnsi="SimSun"/>
          <w:sz w:val="24"/>
          <w:szCs w:val="24"/>
          <w:lang w:eastAsia="zh-CN"/>
        </w:rPr>
        <w:t>17</w:t>
      </w:r>
      <w:r w:rsidR="00A70CC2">
        <w:rPr>
          <w:rFonts w:ascii="SimSun" w:eastAsia="SimSun" w:hAnsi="SimSun" w:cs="SimSun" w:hint="eastAsia"/>
          <w:sz w:val="24"/>
          <w:szCs w:val="24"/>
          <w:lang w:eastAsia="zh-CN"/>
        </w:rPr>
        <w:t>日会议</w:t>
      </w:r>
      <w:r w:rsidRPr="004D1FBA">
        <w:rPr>
          <w:rFonts w:ascii="SimSun" w:eastAsia="SimSun" w:hAnsi="SimSun" w:cs="SimSun" w:hint="eastAsia"/>
          <w:sz w:val="24"/>
          <w:szCs w:val="24"/>
          <w:lang w:eastAsia="zh-CN"/>
        </w:rPr>
        <w:t>的开幕式全体会议上，缔约方大会以鼓掌方式选举埃及环境部长</w:t>
      </w:r>
      <w:r w:rsidRPr="004D1FBA">
        <w:rPr>
          <w:rFonts w:hAnsi="SimSun"/>
          <w:sz w:val="24"/>
          <w:szCs w:val="24"/>
          <w:lang w:eastAsia="zh-CN"/>
        </w:rPr>
        <w:t>Yasmine Fouad</w:t>
      </w:r>
      <w:r w:rsidRPr="004D1FBA">
        <w:rPr>
          <w:rFonts w:ascii="SimSun" w:eastAsia="SimSun" w:hAnsi="SimSun" w:cs="SimSun" w:hint="eastAsia"/>
          <w:sz w:val="24"/>
          <w:szCs w:val="24"/>
          <w:lang w:eastAsia="zh-CN"/>
        </w:rPr>
        <w:t>女士为第十四届会议的主席。</w:t>
      </w:r>
    </w:p>
    <w:p w:rsidR="008D76BF" w:rsidRPr="0004184E" w:rsidRDefault="008D76BF" w:rsidP="00750ECD">
      <w:pPr>
        <w:pStyle w:val="Heading4"/>
        <w:ind w:firstLine="0"/>
        <w:rPr>
          <w:b/>
          <w:bCs w:val="0"/>
          <w:i w:val="0"/>
          <w:iCs w:val="0"/>
          <w:snapToGrid w:val="0"/>
          <w:color w:val="212121"/>
          <w:sz w:val="24"/>
          <w:shd w:val="clear" w:color="auto" w:fill="FFFFFF"/>
          <w:lang w:eastAsia="zh-CN"/>
        </w:rPr>
      </w:pPr>
      <w:r w:rsidRPr="0004184E">
        <w:rPr>
          <w:rFonts w:ascii="SimSun" w:eastAsia="SimSun" w:hAnsi="SimSun" w:cs="SimSun" w:hint="eastAsia"/>
          <w:b/>
          <w:bCs w:val="0"/>
          <w:i w:val="0"/>
          <w:iCs w:val="0"/>
          <w:snapToGrid w:val="0"/>
          <w:color w:val="212121"/>
          <w:sz w:val="24"/>
          <w:shd w:val="clear" w:color="auto" w:fill="FFFFFF"/>
          <w:lang w:eastAsia="zh-CN"/>
        </w:rPr>
        <w:t>选举除主席以外的其他主席团成员</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4D1FBA">
        <w:rPr>
          <w:rFonts w:ascii="SimSun" w:eastAsia="SimSun" w:hAnsi="SimSun" w:cs="SimSun" w:hint="eastAsia"/>
          <w:sz w:val="24"/>
          <w:szCs w:val="24"/>
          <w:lang w:eastAsia="zh-CN"/>
        </w:rPr>
        <w:t>根据议事规则第</w:t>
      </w:r>
      <w:r w:rsidRPr="004D1FBA">
        <w:rPr>
          <w:rFonts w:hAnsi="SimSun"/>
          <w:sz w:val="24"/>
          <w:szCs w:val="24"/>
          <w:lang w:eastAsia="zh-CN"/>
        </w:rPr>
        <w:t>21</w:t>
      </w:r>
      <w:r w:rsidRPr="004D1FBA">
        <w:rPr>
          <w:rFonts w:ascii="SimSun" w:eastAsia="SimSun" w:hAnsi="SimSun" w:cs="SimSun" w:hint="eastAsia"/>
          <w:sz w:val="24"/>
          <w:szCs w:val="24"/>
          <w:lang w:eastAsia="zh-CN"/>
        </w:rPr>
        <w:t>条的规定，缔约方大会第十三届会议选举</w:t>
      </w:r>
      <w:r w:rsidRPr="004D1FBA">
        <w:rPr>
          <w:rFonts w:hAnsi="SimSun"/>
          <w:sz w:val="24"/>
          <w:szCs w:val="24"/>
          <w:lang w:eastAsia="zh-CN"/>
        </w:rPr>
        <w:t>10</w:t>
      </w:r>
      <w:r w:rsidRPr="004D1FBA">
        <w:rPr>
          <w:rFonts w:ascii="SimSun" w:eastAsia="SimSun" w:hAnsi="SimSun" w:cs="SimSun" w:hint="eastAsia"/>
          <w:sz w:val="24"/>
          <w:szCs w:val="24"/>
          <w:lang w:eastAsia="zh-CN"/>
        </w:rPr>
        <w:t>名副主席，任期至第十四届会议结束。嗣后，有关缔约方更换了一名主席团成员。下列代表将担任缔约方大会第十四届会议的副主席：</w:t>
      </w:r>
    </w:p>
    <w:p w:rsidR="008D76BF" w:rsidRDefault="008D76BF" w:rsidP="0004184E">
      <w:pPr>
        <w:pStyle w:val="Para1"/>
        <w:tabs>
          <w:tab w:val="clear" w:pos="360"/>
        </w:tabs>
        <w:spacing w:before="0" w:after="0"/>
        <w:ind w:left="1440"/>
        <w:rPr>
          <w:rFonts w:ascii="SimSun" w:eastAsia="Times New Roman" w:hAnsi="SimSun" w:cs="SimSun"/>
          <w:color w:val="212121"/>
          <w:sz w:val="24"/>
          <w:szCs w:val="24"/>
          <w:shd w:val="clear" w:color="auto" w:fill="FFFFFF"/>
          <w:lang w:eastAsia="zh-CN"/>
        </w:rPr>
      </w:pPr>
      <w:r w:rsidRPr="005A6E95">
        <w:rPr>
          <w:color w:val="212121"/>
          <w:sz w:val="24"/>
          <w:szCs w:val="24"/>
          <w:shd w:val="clear" w:color="auto" w:fill="FFFFFF"/>
        </w:rPr>
        <w:t>Samuel Ndayiragije</w:t>
      </w:r>
      <w:r w:rsidRPr="005A6E95">
        <w:rPr>
          <w:rFonts w:ascii="SimSun" w:eastAsia="SimSun" w:hAnsi="SimSun" w:cs="SimSun" w:hint="eastAsia"/>
          <w:color w:val="212121"/>
          <w:sz w:val="24"/>
          <w:szCs w:val="24"/>
          <w:shd w:val="clear" w:color="auto" w:fill="FFFFFF"/>
        </w:rPr>
        <w:t>先生（布隆迪）</w:t>
      </w:r>
    </w:p>
    <w:p w:rsidR="008D76BF" w:rsidRPr="005A6E95" w:rsidRDefault="008D76BF" w:rsidP="0004184E">
      <w:pPr>
        <w:pStyle w:val="Para1"/>
        <w:tabs>
          <w:tab w:val="clear" w:pos="360"/>
        </w:tabs>
        <w:spacing w:before="0" w:after="0"/>
        <w:ind w:left="1440"/>
        <w:rPr>
          <w:color w:val="212121"/>
          <w:sz w:val="24"/>
          <w:szCs w:val="24"/>
          <w:shd w:val="clear" w:color="auto" w:fill="FFFFFF"/>
          <w:lang w:eastAsia="zh-CN"/>
        </w:rPr>
      </w:pPr>
      <w:r w:rsidRPr="005A6E95">
        <w:rPr>
          <w:noProof/>
          <w:sz w:val="24"/>
          <w:szCs w:val="24"/>
        </w:rPr>
        <w:t>Mohamed Ali ben Temessek</w:t>
      </w:r>
      <w:r w:rsidRPr="005A6E95">
        <w:rPr>
          <w:rFonts w:ascii="SimSun" w:eastAsia="SimSun" w:hAnsi="SimSun" w:cs="SimSun" w:hint="eastAsia"/>
          <w:color w:val="212121"/>
          <w:sz w:val="24"/>
          <w:szCs w:val="24"/>
          <w:shd w:val="clear" w:color="auto" w:fill="FFFFFF"/>
        </w:rPr>
        <w:t>先生（突尼斯）</w:t>
      </w:r>
    </w:p>
    <w:p w:rsidR="008D76BF" w:rsidRPr="005A6E95" w:rsidRDefault="008D76BF" w:rsidP="0004184E">
      <w:pPr>
        <w:pStyle w:val="Para1"/>
        <w:tabs>
          <w:tab w:val="clear" w:pos="360"/>
        </w:tabs>
        <w:spacing w:before="0" w:after="0"/>
        <w:ind w:left="1440"/>
        <w:rPr>
          <w:color w:val="212121"/>
          <w:sz w:val="24"/>
          <w:szCs w:val="24"/>
          <w:shd w:val="clear" w:color="auto" w:fill="FFFFFF"/>
        </w:rPr>
      </w:pPr>
      <w:r w:rsidRPr="005A6E95">
        <w:rPr>
          <w:color w:val="212121"/>
          <w:sz w:val="24"/>
          <w:szCs w:val="24"/>
          <w:shd w:val="clear" w:color="auto" w:fill="FFFFFF"/>
        </w:rPr>
        <w:t>Elvana Ramaj</w:t>
      </w:r>
      <w:r w:rsidRPr="005A6E95">
        <w:rPr>
          <w:rFonts w:ascii="SimSun" w:eastAsia="SimSun" w:hAnsi="SimSun" w:cs="SimSun" w:hint="eastAsia"/>
          <w:color w:val="212121"/>
          <w:sz w:val="24"/>
          <w:szCs w:val="24"/>
          <w:shd w:val="clear" w:color="auto" w:fill="FFFFFF"/>
        </w:rPr>
        <w:t>女士（阿尔巴尼亚）</w:t>
      </w:r>
    </w:p>
    <w:p w:rsidR="008D76BF" w:rsidRPr="005A6E95" w:rsidRDefault="008D76BF" w:rsidP="0004184E">
      <w:pPr>
        <w:pStyle w:val="Para1"/>
        <w:tabs>
          <w:tab w:val="clear" w:pos="360"/>
        </w:tabs>
        <w:spacing w:before="0" w:after="0"/>
        <w:ind w:left="1440"/>
        <w:rPr>
          <w:color w:val="212121"/>
          <w:sz w:val="24"/>
          <w:szCs w:val="24"/>
          <w:shd w:val="clear" w:color="auto" w:fill="FFFFFF"/>
        </w:rPr>
      </w:pPr>
      <w:r w:rsidRPr="005A6E95">
        <w:rPr>
          <w:color w:val="212121"/>
          <w:sz w:val="24"/>
          <w:szCs w:val="24"/>
          <w:shd w:val="clear" w:color="auto" w:fill="FFFFFF"/>
        </w:rPr>
        <w:lastRenderedPageBreak/>
        <w:t>Elena Makeyeva</w:t>
      </w:r>
      <w:r w:rsidRPr="005A6E95">
        <w:rPr>
          <w:rFonts w:ascii="SimSun" w:eastAsia="SimSun" w:hAnsi="SimSun" w:cs="SimSun" w:hint="eastAsia"/>
          <w:color w:val="212121"/>
          <w:sz w:val="24"/>
          <w:szCs w:val="24"/>
          <w:shd w:val="clear" w:color="auto" w:fill="FFFFFF"/>
        </w:rPr>
        <w:t>女士（白俄罗斯）</w:t>
      </w:r>
    </w:p>
    <w:p w:rsidR="008D76BF" w:rsidRDefault="008D76BF" w:rsidP="0004184E">
      <w:pPr>
        <w:pStyle w:val="Para1"/>
        <w:tabs>
          <w:tab w:val="clear" w:pos="360"/>
        </w:tabs>
        <w:spacing w:before="0" w:after="0"/>
        <w:ind w:left="1440"/>
        <w:rPr>
          <w:rFonts w:ascii="SimSun" w:eastAsia="Times New Roman" w:hAnsi="SimSun" w:cs="SimSun"/>
          <w:color w:val="212121"/>
          <w:sz w:val="24"/>
          <w:szCs w:val="24"/>
          <w:shd w:val="clear" w:color="auto" w:fill="FFFFFF"/>
          <w:lang w:eastAsia="zh-CN"/>
        </w:rPr>
      </w:pPr>
      <w:r w:rsidRPr="005A6E95">
        <w:rPr>
          <w:color w:val="212121"/>
          <w:sz w:val="24"/>
          <w:szCs w:val="24"/>
          <w:shd w:val="clear" w:color="auto" w:fill="FFFFFF"/>
        </w:rPr>
        <w:t xml:space="preserve">Clarissa Nina </w:t>
      </w:r>
      <w:r w:rsidRPr="005A6E95">
        <w:rPr>
          <w:rFonts w:ascii="SimSun" w:eastAsia="SimSun" w:hAnsi="SimSun" w:cs="SimSun" w:hint="eastAsia"/>
          <w:color w:val="212121"/>
          <w:sz w:val="24"/>
          <w:szCs w:val="24"/>
          <w:shd w:val="clear" w:color="auto" w:fill="FFFFFF"/>
        </w:rPr>
        <w:t>女士（巴西）</w:t>
      </w:r>
    </w:p>
    <w:p w:rsidR="008D76BF" w:rsidRPr="005A6E95" w:rsidRDefault="008D76BF" w:rsidP="0004184E">
      <w:pPr>
        <w:pStyle w:val="Para1"/>
        <w:tabs>
          <w:tab w:val="clear" w:pos="360"/>
        </w:tabs>
        <w:spacing w:before="0" w:after="0"/>
        <w:ind w:left="1440"/>
        <w:rPr>
          <w:color w:val="212121"/>
          <w:sz w:val="24"/>
          <w:szCs w:val="24"/>
          <w:shd w:val="clear" w:color="auto" w:fill="FFFFFF"/>
        </w:rPr>
      </w:pPr>
      <w:smartTag w:uri="urn:schemas-microsoft-com:office:smarttags" w:element="chsdate">
        <w:smartTagPr>
          <w:attr w:name="Year" w:val="2018"/>
          <w:attr w:name="Month" w:val="11"/>
          <w:attr w:name="Day" w:val="25"/>
          <w:attr w:name="IsLunarDate" w:val="False"/>
          <w:attr w:name="IsROCDate" w:val="False"/>
        </w:smartTagPr>
        <w:r w:rsidRPr="005A6E95">
          <w:rPr>
            <w:color w:val="212121"/>
            <w:sz w:val="24"/>
            <w:szCs w:val="24"/>
            <w:shd w:val="clear" w:color="auto" w:fill="FFFFFF"/>
          </w:rPr>
          <w:t>Randolph</w:t>
        </w:r>
      </w:smartTag>
      <w:r w:rsidRPr="005A6E95">
        <w:rPr>
          <w:color w:val="212121"/>
          <w:sz w:val="24"/>
          <w:szCs w:val="24"/>
          <w:shd w:val="clear" w:color="auto" w:fill="FFFFFF"/>
        </w:rPr>
        <w:t xml:space="preserve"> Edmead</w:t>
      </w:r>
      <w:r w:rsidRPr="005A6E95">
        <w:rPr>
          <w:rFonts w:ascii="SimSun" w:eastAsia="SimSun" w:hAnsi="SimSun" w:cs="SimSun" w:hint="eastAsia"/>
          <w:color w:val="212121"/>
          <w:sz w:val="24"/>
          <w:szCs w:val="24"/>
          <w:shd w:val="clear" w:color="auto" w:fill="FFFFFF"/>
        </w:rPr>
        <w:t>先生（圣基茨和尼维斯）</w:t>
      </w:r>
    </w:p>
    <w:p w:rsidR="008D76BF" w:rsidRPr="00A8359F" w:rsidRDefault="008D76BF" w:rsidP="0004184E">
      <w:pPr>
        <w:pStyle w:val="Para1"/>
        <w:tabs>
          <w:tab w:val="clear" w:pos="360"/>
        </w:tabs>
        <w:spacing w:before="0" w:after="0"/>
        <w:ind w:left="1440"/>
        <w:rPr>
          <w:rFonts w:ascii="SimSun" w:eastAsia="Times New Roman" w:hAnsi="SimSun" w:cs="SimSun"/>
          <w:color w:val="212121"/>
          <w:sz w:val="24"/>
          <w:szCs w:val="24"/>
          <w:shd w:val="clear" w:color="auto" w:fill="FFFFFF"/>
          <w:lang w:val="es-AR" w:eastAsia="zh-CN"/>
        </w:rPr>
      </w:pPr>
      <w:r w:rsidRPr="00A8359F">
        <w:rPr>
          <w:color w:val="212121"/>
          <w:sz w:val="24"/>
          <w:szCs w:val="24"/>
          <w:shd w:val="clear" w:color="auto" w:fill="FFFFFF"/>
          <w:lang w:val="es-AR"/>
        </w:rPr>
        <w:t>Basile van Havre</w:t>
      </w:r>
      <w:r w:rsidRPr="005A6E95">
        <w:rPr>
          <w:rFonts w:ascii="SimSun" w:eastAsia="SimSun" w:hAnsi="SimSun" w:cs="SimSun" w:hint="eastAsia"/>
          <w:color w:val="212121"/>
          <w:sz w:val="24"/>
          <w:szCs w:val="24"/>
          <w:shd w:val="clear" w:color="auto" w:fill="FFFFFF"/>
        </w:rPr>
        <w:t>先生</w:t>
      </w:r>
      <w:r w:rsidRPr="00A8359F">
        <w:rPr>
          <w:rFonts w:ascii="SimSun" w:eastAsia="SimSun" w:hAnsi="SimSun" w:cs="SimSun" w:hint="eastAsia"/>
          <w:color w:val="212121"/>
          <w:sz w:val="24"/>
          <w:szCs w:val="24"/>
          <w:shd w:val="clear" w:color="auto" w:fill="FFFFFF"/>
          <w:lang w:val="es-AR"/>
        </w:rPr>
        <w:t>（</w:t>
      </w:r>
      <w:r w:rsidRPr="005A6E95">
        <w:rPr>
          <w:rFonts w:ascii="SimSun" w:eastAsia="SimSun" w:hAnsi="SimSun" w:cs="SimSun" w:hint="eastAsia"/>
          <w:color w:val="212121"/>
          <w:sz w:val="24"/>
          <w:szCs w:val="24"/>
          <w:shd w:val="clear" w:color="auto" w:fill="FFFFFF"/>
        </w:rPr>
        <w:t>加拿大</w:t>
      </w:r>
      <w:r w:rsidRPr="00A8359F">
        <w:rPr>
          <w:rFonts w:ascii="SimSun" w:eastAsia="SimSun" w:hAnsi="SimSun" w:cs="SimSun" w:hint="eastAsia"/>
          <w:color w:val="212121"/>
          <w:sz w:val="24"/>
          <w:szCs w:val="24"/>
          <w:shd w:val="clear" w:color="auto" w:fill="FFFFFF"/>
          <w:lang w:val="es-AR"/>
        </w:rPr>
        <w:t>）</w:t>
      </w:r>
    </w:p>
    <w:p w:rsidR="008D76BF" w:rsidRPr="005A6E95" w:rsidRDefault="008D76BF" w:rsidP="0004184E">
      <w:pPr>
        <w:pStyle w:val="Para1"/>
        <w:tabs>
          <w:tab w:val="clear" w:pos="360"/>
        </w:tabs>
        <w:spacing w:before="0" w:after="0"/>
        <w:ind w:left="1440"/>
        <w:rPr>
          <w:color w:val="212121"/>
          <w:sz w:val="24"/>
          <w:szCs w:val="24"/>
          <w:shd w:val="clear" w:color="auto" w:fill="FFFFFF"/>
        </w:rPr>
      </w:pPr>
      <w:r w:rsidRPr="005A6E95">
        <w:rPr>
          <w:color w:val="212121"/>
          <w:sz w:val="24"/>
          <w:szCs w:val="24"/>
          <w:shd w:val="clear" w:color="auto" w:fill="FFFFFF"/>
        </w:rPr>
        <w:t>Hayo Haanstra</w:t>
      </w:r>
      <w:r w:rsidRPr="005A6E95">
        <w:rPr>
          <w:rFonts w:ascii="SimSun" w:eastAsia="SimSun" w:hAnsi="SimSun" w:cs="SimSun" w:hint="eastAsia"/>
          <w:color w:val="212121"/>
          <w:sz w:val="24"/>
          <w:szCs w:val="24"/>
          <w:shd w:val="clear" w:color="auto" w:fill="FFFFFF"/>
        </w:rPr>
        <w:t>先生（荷兰）</w:t>
      </w:r>
    </w:p>
    <w:p w:rsidR="008D76BF" w:rsidRDefault="008D76BF" w:rsidP="0004184E">
      <w:pPr>
        <w:pStyle w:val="Para1"/>
        <w:tabs>
          <w:tab w:val="clear" w:pos="360"/>
        </w:tabs>
        <w:spacing w:before="0" w:after="0"/>
        <w:ind w:left="1440"/>
        <w:rPr>
          <w:rFonts w:ascii="SimSun" w:eastAsia="Times New Roman" w:hAnsi="SimSun" w:cs="SimSun"/>
          <w:color w:val="212121"/>
          <w:sz w:val="24"/>
          <w:szCs w:val="24"/>
          <w:shd w:val="clear" w:color="auto" w:fill="FFFFFF"/>
          <w:lang w:eastAsia="zh-CN"/>
        </w:rPr>
      </w:pPr>
      <w:r w:rsidRPr="005A6E95">
        <w:rPr>
          <w:color w:val="212121"/>
          <w:sz w:val="24"/>
          <w:szCs w:val="24"/>
          <w:shd w:val="clear" w:color="auto" w:fill="FFFFFF"/>
        </w:rPr>
        <w:t>Monyrak Meng</w:t>
      </w:r>
      <w:r w:rsidRPr="005A6E95">
        <w:rPr>
          <w:rFonts w:ascii="SimSun" w:eastAsia="SimSun" w:hAnsi="SimSun" w:cs="SimSun" w:hint="eastAsia"/>
          <w:color w:val="212121"/>
          <w:sz w:val="24"/>
          <w:szCs w:val="24"/>
          <w:shd w:val="clear" w:color="auto" w:fill="FFFFFF"/>
        </w:rPr>
        <w:t>先生（柬埔寨）</w:t>
      </w:r>
    </w:p>
    <w:p w:rsidR="008D76BF" w:rsidRPr="005A6E95" w:rsidRDefault="008D76BF" w:rsidP="0004184E">
      <w:pPr>
        <w:pStyle w:val="Para1"/>
        <w:tabs>
          <w:tab w:val="clear" w:pos="360"/>
        </w:tabs>
        <w:spacing w:before="0" w:after="0"/>
        <w:ind w:left="1440"/>
        <w:rPr>
          <w:color w:val="212121"/>
          <w:sz w:val="24"/>
          <w:szCs w:val="24"/>
          <w:shd w:val="clear" w:color="auto" w:fill="FFFFFF"/>
        </w:rPr>
      </w:pPr>
      <w:r w:rsidRPr="005A6E95">
        <w:rPr>
          <w:color w:val="212121"/>
          <w:sz w:val="24"/>
          <w:szCs w:val="24"/>
          <w:shd w:val="clear" w:color="auto" w:fill="FFFFFF"/>
        </w:rPr>
        <w:t>Gwendalyn K. Sisior</w:t>
      </w:r>
      <w:r w:rsidRPr="005A6E95">
        <w:rPr>
          <w:rFonts w:ascii="SimSun" w:eastAsia="SimSun" w:hAnsi="SimSun" w:cs="SimSun" w:hint="eastAsia"/>
          <w:color w:val="212121"/>
          <w:sz w:val="24"/>
          <w:szCs w:val="24"/>
          <w:shd w:val="clear" w:color="auto" w:fill="FFFFFF"/>
        </w:rPr>
        <w:t>女士（帕劳）</w:t>
      </w:r>
    </w:p>
    <w:p w:rsidR="008D76BF" w:rsidRPr="00EA04E2" w:rsidRDefault="008D76BF" w:rsidP="00750ECD">
      <w:pPr>
        <w:pStyle w:val="Para1"/>
        <w:numPr>
          <w:ilvl w:val="0"/>
          <w:numId w:val="9"/>
        </w:numPr>
        <w:tabs>
          <w:tab w:val="clear" w:pos="360"/>
          <w:tab w:val="left" w:pos="720"/>
        </w:tabs>
        <w:ind w:firstLine="0"/>
        <w:rPr>
          <w:sz w:val="24"/>
          <w:szCs w:val="24"/>
          <w:lang w:eastAsia="zh-CN"/>
        </w:rPr>
      </w:pPr>
      <w:r w:rsidRPr="00EA04E2">
        <w:rPr>
          <w:rFonts w:eastAsia="Times New Roman" w:hAnsi="SimSun"/>
          <w:sz w:val="24"/>
          <w:szCs w:val="24"/>
          <w:lang w:eastAsia="zh-CN"/>
        </w:rPr>
        <w:t>在</w:t>
      </w:r>
      <w:r w:rsidRPr="00EA04E2">
        <w:rPr>
          <w:rFonts w:eastAsia="Times New Roman"/>
          <w:sz w:val="24"/>
          <w:szCs w:val="24"/>
          <w:lang w:eastAsia="zh-CN"/>
        </w:rPr>
        <w:t>2018</w:t>
      </w:r>
      <w:r w:rsidRPr="00EA04E2">
        <w:rPr>
          <w:rFonts w:eastAsia="Times New Roman" w:hAnsi="SimSun"/>
          <w:sz w:val="24"/>
          <w:szCs w:val="24"/>
          <w:lang w:eastAsia="zh-CN"/>
        </w:rPr>
        <w:t>年</w:t>
      </w:r>
      <w:r w:rsidRPr="00EA04E2">
        <w:rPr>
          <w:rFonts w:eastAsia="Times New Roman"/>
          <w:sz w:val="24"/>
          <w:szCs w:val="24"/>
          <w:lang w:eastAsia="zh-CN"/>
        </w:rPr>
        <w:t>11</w:t>
      </w:r>
      <w:r w:rsidRPr="00EA04E2">
        <w:rPr>
          <w:rFonts w:eastAsia="Times New Roman" w:hAnsi="SimSun"/>
          <w:sz w:val="24"/>
          <w:szCs w:val="24"/>
          <w:lang w:eastAsia="zh-CN"/>
        </w:rPr>
        <w:t>月</w:t>
      </w:r>
      <w:r w:rsidRPr="00EA04E2">
        <w:rPr>
          <w:rFonts w:eastAsia="Times New Roman"/>
          <w:sz w:val="24"/>
          <w:szCs w:val="24"/>
          <w:lang w:eastAsia="zh-CN"/>
        </w:rPr>
        <w:t>17</w:t>
      </w:r>
      <w:r w:rsidR="00EA4BF6">
        <w:rPr>
          <w:rFonts w:ascii="SimSun" w:eastAsia="SimSun" w:hAnsi="SimSun" w:cs="SimSun" w:hint="eastAsia"/>
          <w:sz w:val="24"/>
          <w:szCs w:val="24"/>
          <w:lang w:eastAsia="zh-CN"/>
        </w:rPr>
        <w:t>日的</w:t>
      </w:r>
      <w:r w:rsidRPr="00EA04E2">
        <w:rPr>
          <w:rFonts w:eastAsia="Times New Roman" w:hAnsi="SimSun"/>
          <w:sz w:val="24"/>
          <w:szCs w:val="24"/>
          <w:lang w:eastAsia="zh-CN"/>
        </w:rPr>
        <w:t>第</w:t>
      </w:r>
      <w:r w:rsidRPr="00EA04E2">
        <w:rPr>
          <w:rFonts w:eastAsia="Times New Roman"/>
          <w:sz w:val="24"/>
          <w:szCs w:val="24"/>
          <w:lang w:eastAsia="zh-CN"/>
        </w:rPr>
        <w:t>2</w:t>
      </w:r>
      <w:r w:rsidR="00B45641">
        <w:rPr>
          <w:rFonts w:ascii="SimSun" w:eastAsia="SimSun" w:hAnsi="SimSun" w:cs="SimSun" w:hint="eastAsia"/>
          <w:sz w:val="24"/>
          <w:szCs w:val="24"/>
          <w:lang w:eastAsia="zh-CN"/>
        </w:rPr>
        <w:t>次全体会议</w:t>
      </w:r>
      <w:r w:rsidRPr="00EA04E2">
        <w:rPr>
          <w:rFonts w:eastAsia="Times New Roman" w:hAnsi="SimSun"/>
          <w:sz w:val="24"/>
          <w:szCs w:val="24"/>
          <w:lang w:eastAsia="zh-CN"/>
        </w:rPr>
        <w:t>上，根据主席团的提议，缔约方大会决定由</w:t>
      </w:r>
      <w:r w:rsidRPr="00EA04E2">
        <w:rPr>
          <w:sz w:val="24"/>
          <w:szCs w:val="24"/>
          <w:lang w:eastAsia="zh-CN"/>
        </w:rPr>
        <w:t>Monyrak Meng</w:t>
      </w:r>
      <w:r w:rsidRPr="00EA04E2">
        <w:rPr>
          <w:rFonts w:eastAsia="Times New Roman" w:hAnsi="SimSun"/>
          <w:sz w:val="24"/>
          <w:szCs w:val="24"/>
          <w:lang w:eastAsia="zh-CN"/>
        </w:rPr>
        <w:t>先生（柬埔寨）担任本届会议的报告员。</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4D1FBA">
        <w:rPr>
          <w:rFonts w:ascii="SimSun" w:eastAsia="SimSun" w:hAnsi="SimSun" w:cs="SimSun" w:hint="eastAsia"/>
          <w:sz w:val="24"/>
          <w:szCs w:val="24"/>
          <w:lang w:eastAsia="zh-CN"/>
        </w:rPr>
        <w:t>根据议事规则第</w:t>
      </w:r>
      <w:r w:rsidRPr="004D1FBA">
        <w:rPr>
          <w:rFonts w:hAnsi="SimSun"/>
          <w:sz w:val="24"/>
          <w:szCs w:val="24"/>
          <w:lang w:eastAsia="zh-CN"/>
        </w:rPr>
        <w:t>21</w:t>
      </w:r>
      <w:r w:rsidRPr="004D1FBA">
        <w:rPr>
          <w:rFonts w:ascii="SimSun" w:eastAsia="SimSun" w:hAnsi="SimSun" w:cs="SimSun" w:hint="eastAsia"/>
          <w:sz w:val="24"/>
          <w:szCs w:val="24"/>
          <w:lang w:eastAsia="zh-CN"/>
        </w:rPr>
        <w:t>条，缔约方大会</w:t>
      </w:r>
      <w:r w:rsidRPr="004D1FBA">
        <w:rPr>
          <w:rFonts w:hAnsi="SimSun"/>
          <w:sz w:val="24"/>
          <w:szCs w:val="24"/>
          <w:lang w:eastAsia="zh-CN"/>
        </w:rPr>
        <w:t>2018</w:t>
      </w:r>
      <w:r w:rsidRPr="004D1FBA">
        <w:rPr>
          <w:rFonts w:ascii="SimSun" w:eastAsia="SimSun" w:hAnsi="SimSun" w:cs="SimSun" w:hint="eastAsia"/>
          <w:sz w:val="24"/>
          <w:szCs w:val="24"/>
          <w:lang w:eastAsia="zh-CN"/>
        </w:rPr>
        <w:t>年</w:t>
      </w:r>
      <w:r w:rsidRPr="004D1FBA">
        <w:rPr>
          <w:rFonts w:hAnsi="SimSun"/>
          <w:sz w:val="24"/>
          <w:szCs w:val="24"/>
          <w:lang w:eastAsia="zh-CN"/>
        </w:rPr>
        <w:t>11</w:t>
      </w:r>
      <w:r w:rsidRPr="004D1FBA">
        <w:rPr>
          <w:rFonts w:ascii="SimSun" w:eastAsia="SimSun" w:hAnsi="SimSun" w:cs="SimSun" w:hint="eastAsia"/>
          <w:sz w:val="24"/>
          <w:szCs w:val="24"/>
          <w:lang w:eastAsia="zh-CN"/>
        </w:rPr>
        <w:t>月</w:t>
      </w:r>
      <w:r w:rsidRPr="004D1FBA">
        <w:rPr>
          <w:rFonts w:hAnsi="SimSun"/>
          <w:sz w:val="24"/>
          <w:szCs w:val="24"/>
          <w:lang w:eastAsia="zh-CN"/>
        </w:rPr>
        <w:t>22</w:t>
      </w:r>
      <w:r w:rsidR="00EA4BF6">
        <w:rPr>
          <w:rFonts w:ascii="SimSun" w:eastAsia="SimSun" w:hAnsi="SimSun" w:cs="SimSun" w:hint="eastAsia"/>
          <w:sz w:val="24"/>
          <w:szCs w:val="24"/>
          <w:lang w:eastAsia="zh-CN"/>
        </w:rPr>
        <w:t>日的</w:t>
      </w:r>
      <w:r w:rsidRPr="004D1FBA">
        <w:rPr>
          <w:rFonts w:ascii="SimSun" w:eastAsia="SimSun" w:hAnsi="SimSun" w:cs="SimSun" w:hint="eastAsia"/>
          <w:sz w:val="24"/>
          <w:szCs w:val="24"/>
          <w:lang w:eastAsia="zh-CN"/>
        </w:rPr>
        <w:t>第</w:t>
      </w:r>
      <w:r w:rsidRPr="004D1FBA">
        <w:rPr>
          <w:rFonts w:hAnsi="SimSun"/>
          <w:sz w:val="24"/>
          <w:szCs w:val="24"/>
          <w:lang w:eastAsia="zh-CN"/>
        </w:rPr>
        <w:t>4</w:t>
      </w:r>
      <w:r w:rsidR="00B45641">
        <w:rPr>
          <w:rFonts w:ascii="SimSun" w:eastAsia="SimSun" w:hAnsi="SimSun" w:cs="SimSun" w:hint="eastAsia"/>
          <w:sz w:val="24"/>
          <w:szCs w:val="24"/>
          <w:lang w:eastAsia="zh-CN"/>
        </w:rPr>
        <w:t>次全体会议</w:t>
      </w:r>
      <w:r w:rsidRPr="004D1FBA">
        <w:rPr>
          <w:rFonts w:ascii="SimSun" w:eastAsia="SimSun" w:hAnsi="SimSun" w:cs="SimSun" w:hint="eastAsia"/>
          <w:sz w:val="24"/>
          <w:szCs w:val="24"/>
          <w:lang w:eastAsia="zh-CN"/>
        </w:rPr>
        <w:t>选举下列代表担任主席团成员，任期从第十四届大会闭幕时开始至第十五届大会闭幕时为止：</w:t>
      </w:r>
    </w:p>
    <w:p w:rsidR="008D76BF" w:rsidRPr="0004184E" w:rsidRDefault="008D76BF" w:rsidP="0004184E">
      <w:pPr>
        <w:pStyle w:val="Para1"/>
        <w:tabs>
          <w:tab w:val="clear" w:pos="360"/>
        </w:tabs>
        <w:spacing w:before="0" w:after="0"/>
        <w:ind w:left="1440"/>
        <w:rPr>
          <w:rFonts w:eastAsiaTheme="minorEastAsia"/>
          <w:sz w:val="24"/>
          <w:szCs w:val="24"/>
          <w:lang w:eastAsia="zh-CN"/>
        </w:rPr>
      </w:pPr>
      <w:r w:rsidRPr="005A6E95">
        <w:rPr>
          <w:rFonts w:eastAsia="Times New Roman"/>
          <w:sz w:val="24"/>
          <w:szCs w:val="24"/>
        </w:rPr>
        <w:t>Melesse Maryo</w:t>
      </w:r>
      <w:r w:rsidRPr="005A6E95">
        <w:rPr>
          <w:rFonts w:ascii="SimSun" w:eastAsia="SimSun" w:hAnsi="SimSun" w:cs="SimSun" w:hint="eastAsia"/>
          <w:sz w:val="24"/>
          <w:szCs w:val="24"/>
          <w:lang w:eastAsia="zh-CN"/>
        </w:rPr>
        <w:t>先生</w:t>
      </w:r>
      <w:r w:rsidR="0004184E">
        <w:rPr>
          <w:rFonts w:ascii="SimSun" w:eastAsia="SimSun" w:hAnsi="SimSun" w:cs="SimSun" w:hint="eastAsia"/>
          <w:sz w:val="24"/>
          <w:szCs w:val="24"/>
          <w:lang w:eastAsia="zh-CN"/>
        </w:rPr>
        <w:t>（</w:t>
      </w:r>
      <w:r w:rsidRPr="005A6E95">
        <w:rPr>
          <w:rFonts w:ascii="SimSun" w:eastAsia="SimSun" w:hAnsi="SimSun" w:cs="SimSun" w:hint="eastAsia"/>
          <w:sz w:val="24"/>
          <w:szCs w:val="24"/>
          <w:lang w:eastAsia="zh-CN"/>
        </w:rPr>
        <w:t>埃塞俄比亚</w:t>
      </w:r>
      <w:r w:rsidR="0004184E">
        <w:rPr>
          <w:rFonts w:eastAsiaTheme="minorEastAsia" w:hint="eastAsia"/>
          <w:sz w:val="24"/>
          <w:szCs w:val="24"/>
          <w:lang w:eastAsia="zh-CN"/>
        </w:rPr>
        <w:t>）</w:t>
      </w:r>
    </w:p>
    <w:p w:rsidR="008D76BF" w:rsidRPr="005A6E95" w:rsidRDefault="008D76BF" w:rsidP="0004184E">
      <w:pPr>
        <w:pStyle w:val="Para1"/>
        <w:tabs>
          <w:tab w:val="clear" w:pos="360"/>
        </w:tabs>
        <w:spacing w:before="0" w:after="0"/>
        <w:ind w:left="1440"/>
        <w:rPr>
          <w:rFonts w:eastAsia="Times New Roman"/>
          <w:sz w:val="24"/>
          <w:szCs w:val="24"/>
        </w:rPr>
      </w:pPr>
      <w:r w:rsidRPr="005A6E95">
        <w:rPr>
          <w:rFonts w:eastAsia="Times New Roman"/>
          <w:sz w:val="24"/>
          <w:szCs w:val="24"/>
        </w:rPr>
        <w:t xml:space="preserve">Eric Okoree </w:t>
      </w:r>
      <w:r w:rsidRPr="005A6E95">
        <w:rPr>
          <w:rFonts w:ascii="SimSun" w:eastAsia="SimSun" w:hAnsi="SimSun" w:cs="SimSun" w:hint="eastAsia"/>
          <w:sz w:val="24"/>
          <w:szCs w:val="24"/>
          <w:lang w:eastAsia="zh-CN"/>
        </w:rPr>
        <w:t>先生</w:t>
      </w:r>
      <w:r w:rsidR="0004184E">
        <w:rPr>
          <w:rFonts w:ascii="SimSun" w:eastAsia="SimSun" w:hAnsi="SimSun" w:cs="SimSun" w:hint="eastAsia"/>
          <w:sz w:val="24"/>
          <w:szCs w:val="24"/>
          <w:lang w:eastAsia="zh-CN"/>
        </w:rPr>
        <w:t>（</w:t>
      </w:r>
      <w:r w:rsidR="0004184E">
        <w:rPr>
          <w:rFonts w:ascii="SimSun" w:eastAsia="SimSun" w:hAnsi="SimSun" w:cs="SimSun"/>
          <w:sz w:val="24"/>
          <w:szCs w:val="24"/>
          <w:lang w:eastAsia="zh-CN"/>
        </w:rPr>
        <w:t>加纳）</w:t>
      </w:r>
    </w:p>
    <w:p w:rsidR="008D76BF" w:rsidRPr="0004184E" w:rsidRDefault="008D76BF" w:rsidP="0004184E">
      <w:pPr>
        <w:pStyle w:val="Para1"/>
        <w:tabs>
          <w:tab w:val="clear" w:pos="360"/>
        </w:tabs>
        <w:spacing w:before="0" w:after="0"/>
        <w:ind w:left="1440"/>
        <w:rPr>
          <w:rFonts w:eastAsiaTheme="minorEastAsia"/>
          <w:sz w:val="24"/>
          <w:szCs w:val="24"/>
          <w:lang w:eastAsia="zh-CN"/>
        </w:rPr>
      </w:pPr>
      <w:r w:rsidRPr="005A6E95">
        <w:rPr>
          <w:rFonts w:eastAsia="Times New Roman"/>
          <w:noProof/>
          <w:sz w:val="24"/>
          <w:szCs w:val="24"/>
        </w:rPr>
        <w:t>Elvana Ramaj</w:t>
      </w:r>
      <w:r w:rsidRPr="005A6E95">
        <w:rPr>
          <w:rFonts w:eastAsia="Times New Roman"/>
          <w:sz w:val="24"/>
          <w:szCs w:val="24"/>
        </w:rPr>
        <w:t xml:space="preserve"> </w:t>
      </w:r>
      <w:r w:rsidRPr="005A6E95">
        <w:rPr>
          <w:rFonts w:ascii="SimSun" w:eastAsia="SimSun" w:hAnsi="SimSun" w:cs="SimSun" w:hint="eastAsia"/>
          <w:sz w:val="24"/>
          <w:szCs w:val="24"/>
          <w:lang w:eastAsia="zh-CN"/>
        </w:rPr>
        <w:t>女士</w:t>
      </w:r>
      <w:r w:rsidR="0004184E">
        <w:rPr>
          <w:rFonts w:eastAsiaTheme="minorEastAsia" w:hint="eastAsia"/>
          <w:sz w:val="24"/>
          <w:szCs w:val="24"/>
          <w:lang w:eastAsia="zh-CN"/>
        </w:rPr>
        <w:t>（</w:t>
      </w:r>
      <w:r w:rsidRPr="005A6E95">
        <w:rPr>
          <w:rFonts w:ascii="SimSun" w:eastAsia="SimSun" w:hAnsi="SimSun" w:cs="SimSun" w:hint="eastAsia"/>
          <w:sz w:val="24"/>
          <w:szCs w:val="24"/>
          <w:lang w:eastAsia="zh-CN"/>
        </w:rPr>
        <w:t>阿尔巴尼亚</w:t>
      </w:r>
      <w:r w:rsidR="0004184E">
        <w:rPr>
          <w:rFonts w:eastAsiaTheme="minorEastAsia" w:hint="eastAsia"/>
          <w:sz w:val="24"/>
          <w:szCs w:val="24"/>
          <w:lang w:eastAsia="zh-CN"/>
        </w:rPr>
        <w:t>）</w:t>
      </w:r>
    </w:p>
    <w:p w:rsidR="008D76BF" w:rsidRPr="0004184E" w:rsidRDefault="008D76BF" w:rsidP="0004184E">
      <w:pPr>
        <w:pStyle w:val="Para1"/>
        <w:tabs>
          <w:tab w:val="clear" w:pos="360"/>
        </w:tabs>
        <w:spacing w:before="0" w:after="0"/>
        <w:ind w:left="1440"/>
        <w:rPr>
          <w:rFonts w:eastAsiaTheme="minorEastAsia"/>
          <w:sz w:val="24"/>
          <w:szCs w:val="24"/>
          <w:lang w:eastAsia="zh-CN"/>
        </w:rPr>
      </w:pPr>
      <w:r w:rsidRPr="005A6E95">
        <w:rPr>
          <w:rFonts w:eastAsia="Times New Roman"/>
          <w:sz w:val="24"/>
          <w:szCs w:val="24"/>
          <w:lang w:eastAsia="zh-CN"/>
        </w:rPr>
        <w:t>Teona Karchava</w:t>
      </w:r>
      <w:r w:rsidRPr="005A6E95">
        <w:rPr>
          <w:rFonts w:ascii="SimSun" w:eastAsia="SimSun" w:hAnsi="SimSun" w:cs="SimSun" w:hint="eastAsia"/>
          <w:sz w:val="24"/>
          <w:szCs w:val="24"/>
          <w:lang w:eastAsia="zh-CN"/>
        </w:rPr>
        <w:t>女士</w:t>
      </w:r>
      <w:r w:rsidR="0004184E">
        <w:rPr>
          <w:rFonts w:ascii="SimSun" w:eastAsia="SimSun" w:hAnsi="SimSun" w:cs="SimSun" w:hint="eastAsia"/>
          <w:sz w:val="24"/>
          <w:szCs w:val="24"/>
          <w:lang w:eastAsia="zh-CN"/>
        </w:rPr>
        <w:t>（</w:t>
      </w:r>
      <w:r w:rsidRPr="005A6E95">
        <w:rPr>
          <w:rFonts w:ascii="SimSun" w:eastAsia="SimSun" w:hAnsi="SimSun" w:cs="SimSun" w:hint="eastAsia"/>
          <w:sz w:val="24"/>
          <w:szCs w:val="24"/>
          <w:lang w:eastAsia="zh-CN"/>
        </w:rPr>
        <w:t>格鲁吉亚</w:t>
      </w:r>
      <w:r w:rsidR="0004184E">
        <w:rPr>
          <w:rFonts w:eastAsiaTheme="minorEastAsia" w:hint="eastAsia"/>
          <w:sz w:val="24"/>
          <w:szCs w:val="24"/>
          <w:lang w:eastAsia="zh-CN"/>
        </w:rPr>
        <w:t>）</w:t>
      </w:r>
    </w:p>
    <w:p w:rsidR="008D76BF" w:rsidRPr="0004184E" w:rsidRDefault="008D76BF" w:rsidP="0004184E">
      <w:pPr>
        <w:pStyle w:val="Para1"/>
        <w:tabs>
          <w:tab w:val="clear" w:pos="360"/>
        </w:tabs>
        <w:spacing w:before="0" w:after="0"/>
        <w:ind w:left="1440"/>
        <w:rPr>
          <w:rFonts w:eastAsiaTheme="minorEastAsia"/>
          <w:sz w:val="24"/>
          <w:szCs w:val="24"/>
          <w:lang w:eastAsia="zh-CN"/>
        </w:rPr>
      </w:pPr>
      <w:r w:rsidRPr="005A6E95">
        <w:rPr>
          <w:rFonts w:eastAsia="Times New Roman"/>
          <w:sz w:val="24"/>
          <w:szCs w:val="24"/>
          <w:lang w:eastAsia="zh-CN"/>
        </w:rPr>
        <w:t>Helena Jeffery Brown </w:t>
      </w:r>
      <w:r w:rsidRPr="005A6E95">
        <w:rPr>
          <w:rFonts w:ascii="SimSun" w:eastAsia="SimSun" w:hAnsi="SimSun" w:cs="SimSun" w:hint="eastAsia"/>
          <w:sz w:val="24"/>
          <w:szCs w:val="24"/>
          <w:lang w:eastAsia="zh-CN"/>
        </w:rPr>
        <w:t>女士</w:t>
      </w:r>
      <w:r w:rsidR="0004184E">
        <w:rPr>
          <w:rFonts w:eastAsiaTheme="minorEastAsia" w:hint="eastAsia"/>
          <w:sz w:val="24"/>
          <w:szCs w:val="24"/>
          <w:lang w:eastAsia="zh-CN"/>
        </w:rPr>
        <w:t>（</w:t>
      </w:r>
      <w:r w:rsidRPr="005A6E95">
        <w:rPr>
          <w:rFonts w:ascii="SimSun" w:eastAsia="SimSun" w:hAnsi="SimSun" w:cs="SimSun" w:hint="eastAsia"/>
          <w:sz w:val="24"/>
          <w:szCs w:val="24"/>
          <w:lang w:eastAsia="zh-CN"/>
        </w:rPr>
        <w:t>安提瓜和巴布达</w:t>
      </w:r>
      <w:r w:rsidR="0004184E">
        <w:rPr>
          <w:rFonts w:eastAsiaTheme="minorEastAsia" w:hint="eastAsia"/>
          <w:sz w:val="24"/>
          <w:szCs w:val="24"/>
          <w:lang w:eastAsia="zh-CN"/>
        </w:rPr>
        <w:t>）</w:t>
      </w:r>
    </w:p>
    <w:p w:rsidR="008D76BF" w:rsidRPr="0004184E" w:rsidRDefault="008D76BF" w:rsidP="0004184E">
      <w:pPr>
        <w:pStyle w:val="Para1"/>
        <w:tabs>
          <w:tab w:val="clear" w:pos="360"/>
        </w:tabs>
        <w:spacing w:before="0" w:after="0"/>
        <w:ind w:left="1440"/>
        <w:rPr>
          <w:rFonts w:eastAsiaTheme="minorEastAsia"/>
          <w:sz w:val="24"/>
          <w:szCs w:val="24"/>
          <w:lang w:eastAsia="zh-CN"/>
        </w:rPr>
      </w:pPr>
      <w:r w:rsidRPr="005A6E95">
        <w:rPr>
          <w:rFonts w:eastAsia="Times New Roman"/>
          <w:sz w:val="24"/>
          <w:szCs w:val="24"/>
          <w:lang w:eastAsia="zh-CN"/>
        </w:rPr>
        <w:t xml:space="preserve">Carlos Manuel Rodriguez </w:t>
      </w:r>
      <w:r w:rsidRPr="005A6E95">
        <w:rPr>
          <w:rFonts w:ascii="SimSun" w:eastAsia="SimSun" w:hAnsi="SimSun" w:cs="SimSun" w:hint="eastAsia"/>
          <w:sz w:val="24"/>
          <w:szCs w:val="24"/>
          <w:lang w:eastAsia="zh-CN"/>
        </w:rPr>
        <w:t>先生</w:t>
      </w:r>
      <w:r w:rsidR="0004184E">
        <w:rPr>
          <w:rFonts w:eastAsiaTheme="minorEastAsia" w:hint="eastAsia"/>
          <w:sz w:val="24"/>
          <w:szCs w:val="24"/>
          <w:lang w:eastAsia="zh-CN"/>
        </w:rPr>
        <w:t>（</w:t>
      </w:r>
      <w:r w:rsidRPr="005A6E95">
        <w:rPr>
          <w:rFonts w:ascii="SimSun" w:eastAsia="SimSun" w:hAnsi="SimSun" w:cs="SimSun" w:hint="eastAsia"/>
          <w:sz w:val="24"/>
          <w:szCs w:val="24"/>
          <w:lang w:eastAsia="zh-CN"/>
        </w:rPr>
        <w:t>哥斯达黎加</w:t>
      </w:r>
      <w:r w:rsidR="0004184E">
        <w:rPr>
          <w:rFonts w:eastAsiaTheme="minorEastAsia" w:hint="eastAsia"/>
          <w:sz w:val="24"/>
          <w:szCs w:val="24"/>
          <w:lang w:eastAsia="zh-CN"/>
        </w:rPr>
        <w:t>）</w:t>
      </w:r>
    </w:p>
    <w:p w:rsidR="008D76BF" w:rsidRPr="0004184E" w:rsidRDefault="008D76BF" w:rsidP="0004184E">
      <w:pPr>
        <w:pStyle w:val="Para1"/>
        <w:tabs>
          <w:tab w:val="clear" w:pos="360"/>
        </w:tabs>
        <w:spacing w:before="0" w:after="0"/>
        <w:ind w:left="1440"/>
        <w:rPr>
          <w:rFonts w:eastAsiaTheme="minorEastAsia"/>
          <w:sz w:val="24"/>
          <w:szCs w:val="24"/>
          <w:lang w:eastAsia="zh-CN"/>
        </w:rPr>
      </w:pPr>
      <w:r w:rsidRPr="005A6E95">
        <w:rPr>
          <w:rFonts w:eastAsia="Times New Roman"/>
          <w:sz w:val="24"/>
          <w:szCs w:val="24"/>
          <w:lang w:eastAsia="zh-CN"/>
        </w:rPr>
        <w:t xml:space="preserve">Gabriele Obermayr </w:t>
      </w:r>
      <w:r w:rsidRPr="005A6E95">
        <w:rPr>
          <w:rFonts w:ascii="SimSun" w:eastAsia="SimSun" w:hAnsi="SimSun" w:cs="SimSun" w:hint="eastAsia"/>
          <w:sz w:val="24"/>
          <w:szCs w:val="24"/>
          <w:lang w:eastAsia="zh-CN"/>
        </w:rPr>
        <w:t>女士</w:t>
      </w:r>
      <w:r w:rsidR="0004184E">
        <w:rPr>
          <w:rFonts w:eastAsiaTheme="minorEastAsia" w:hint="eastAsia"/>
          <w:sz w:val="24"/>
          <w:szCs w:val="24"/>
          <w:lang w:eastAsia="zh-CN"/>
        </w:rPr>
        <w:t>（</w:t>
      </w:r>
      <w:r w:rsidRPr="005A6E95">
        <w:rPr>
          <w:rFonts w:ascii="SimSun" w:eastAsia="SimSun" w:hAnsi="SimSun" w:cs="SimSun" w:hint="eastAsia"/>
          <w:sz w:val="24"/>
          <w:szCs w:val="24"/>
          <w:lang w:eastAsia="zh-CN"/>
        </w:rPr>
        <w:t>奥地利</w:t>
      </w:r>
      <w:r w:rsidR="0004184E">
        <w:rPr>
          <w:rFonts w:eastAsiaTheme="minorEastAsia" w:hint="eastAsia"/>
          <w:sz w:val="24"/>
          <w:szCs w:val="24"/>
          <w:lang w:eastAsia="zh-CN"/>
        </w:rPr>
        <w:t>）</w:t>
      </w:r>
    </w:p>
    <w:p w:rsidR="008D76BF" w:rsidRPr="0004184E" w:rsidRDefault="008D76BF" w:rsidP="0004184E">
      <w:pPr>
        <w:pStyle w:val="Para1"/>
        <w:tabs>
          <w:tab w:val="clear" w:pos="360"/>
        </w:tabs>
        <w:spacing w:before="0" w:after="0"/>
        <w:ind w:left="1440"/>
        <w:rPr>
          <w:rFonts w:eastAsiaTheme="minorEastAsia"/>
          <w:sz w:val="24"/>
          <w:szCs w:val="24"/>
          <w:lang w:eastAsia="zh-CN"/>
        </w:rPr>
      </w:pPr>
      <w:r w:rsidRPr="005A6E95">
        <w:rPr>
          <w:rFonts w:eastAsia="Times New Roman"/>
          <w:sz w:val="24"/>
          <w:szCs w:val="24"/>
        </w:rPr>
        <w:t>Rosemary Paterson</w:t>
      </w:r>
      <w:r w:rsidRPr="005A6E95">
        <w:rPr>
          <w:rFonts w:ascii="SimSun" w:eastAsia="SimSun" w:hAnsi="SimSun" w:cs="SimSun" w:hint="eastAsia"/>
          <w:sz w:val="24"/>
          <w:szCs w:val="24"/>
          <w:lang w:eastAsia="zh-CN"/>
        </w:rPr>
        <w:t>女士</w:t>
      </w:r>
      <w:r w:rsidR="0004184E">
        <w:rPr>
          <w:rFonts w:eastAsiaTheme="minorEastAsia" w:hint="eastAsia"/>
          <w:sz w:val="24"/>
          <w:szCs w:val="24"/>
          <w:lang w:eastAsia="zh-CN"/>
        </w:rPr>
        <w:t>（</w:t>
      </w:r>
      <w:r w:rsidRPr="005A6E95">
        <w:rPr>
          <w:rFonts w:ascii="SimSun" w:eastAsia="SimSun" w:hAnsi="SimSun" w:cs="SimSun" w:hint="eastAsia"/>
          <w:sz w:val="24"/>
          <w:szCs w:val="24"/>
          <w:lang w:eastAsia="zh-CN"/>
        </w:rPr>
        <w:t>新西兰</w:t>
      </w:r>
      <w:r w:rsidR="0004184E">
        <w:rPr>
          <w:rFonts w:eastAsiaTheme="minorEastAsia" w:hint="eastAsia"/>
          <w:sz w:val="24"/>
          <w:szCs w:val="24"/>
          <w:lang w:eastAsia="zh-CN"/>
        </w:rPr>
        <w:t>）</w:t>
      </w:r>
    </w:p>
    <w:p w:rsidR="008D76BF" w:rsidRPr="00A8359F" w:rsidRDefault="008D76BF" w:rsidP="0004184E">
      <w:pPr>
        <w:pStyle w:val="Para1"/>
        <w:tabs>
          <w:tab w:val="clear" w:pos="360"/>
        </w:tabs>
        <w:spacing w:before="0" w:after="0"/>
        <w:ind w:left="1440"/>
        <w:rPr>
          <w:rFonts w:eastAsiaTheme="minorEastAsia"/>
          <w:sz w:val="24"/>
          <w:szCs w:val="24"/>
          <w:lang w:val="es-AR" w:eastAsia="zh-CN"/>
        </w:rPr>
      </w:pPr>
      <w:r w:rsidRPr="00A8359F">
        <w:rPr>
          <w:rFonts w:eastAsia="Times New Roman"/>
          <w:sz w:val="24"/>
          <w:szCs w:val="24"/>
          <w:lang w:val="es-AR"/>
        </w:rPr>
        <w:t xml:space="preserve">Sujata Arora </w:t>
      </w:r>
      <w:r w:rsidRPr="005A6E95">
        <w:rPr>
          <w:rFonts w:ascii="SimSun" w:eastAsia="SimSun" w:hAnsi="SimSun" w:cs="SimSun" w:hint="eastAsia"/>
          <w:sz w:val="24"/>
          <w:szCs w:val="24"/>
          <w:lang w:eastAsia="zh-CN"/>
        </w:rPr>
        <w:t>女士</w:t>
      </w:r>
      <w:r w:rsidR="0004184E" w:rsidRPr="00A8359F">
        <w:rPr>
          <w:rFonts w:ascii="SimSun" w:eastAsia="SimSun" w:hAnsi="SimSun" w:cs="SimSun" w:hint="eastAsia"/>
          <w:sz w:val="24"/>
          <w:szCs w:val="24"/>
          <w:lang w:val="es-AR" w:eastAsia="zh-CN"/>
        </w:rPr>
        <w:t>（</w:t>
      </w:r>
      <w:r w:rsidRPr="005A6E95">
        <w:rPr>
          <w:rFonts w:ascii="SimSun" w:eastAsia="SimSun" w:hAnsi="SimSun" w:cs="SimSun" w:hint="eastAsia"/>
          <w:sz w:val="24"/>
          <w:szCs w:val="24"/>
          <w:lang w:eastAsia="zh-CN"/>
        </w:rPr>
        <w:t>印度</w:t>
      </w:r>
      <w:r w:rsidR="0004184E" w:rsidRPr="00A8359F">
        <w:rPr>
          <w:rFonts w:eastAsiaTheme="minorEastAsia" w:hint="eastAsia"/>
          <w:sz w:val="24"/>
          <w:szCs w:val="24"/>
          <w:lang w:val="es-AR" w:eastAsia="zh-CN"/>
        </w:rPr>
        <w:t>）</w:t>
      </w:r>
    </w:p>
    <w:p w:rsidR="008D76BF" w:rsidRPr="00A8359F" w:rsidRDefault="008D76BF" w:rsidP="0004184E">
      <w:pPr>
        <w:pStyle w:val="Para1"/>
        <w:tabs>
          <w:tab w:val="clear" w:pos="360"/>
        </w:tabs>
        <w:spacing w:before="0" w:after="0"/>
        <w:ind w:left="1440"/>
        <w:rPr>
          <w:rFonts w:eastAsiaTheme="minorEastAsia"/>
          <w:sz w:val="24"/>
          <w:szCs w:val="24"/>
          <w:lang w:val="es-AR" w:eastAsia="zh-CN"/>
        </w:rPr>
      </w:pPr>
      <w:r w:rsidRPr="00A8359F">
        <w:rPr>
          <w:rFonts w:eastAsia="Times New Roman"/>
          <w:sz w:val="24"/>
          <w:szCs w:val="24"/>
          <w:lang w:val="es-AR"/>
        </w:rPr>
        <w:t xml:space="preserve">Leina Al-Awadhi </w:t>
      </w:r>
      <w:r w:rsidRPr="005A6E95">
        <w:rPr>
          <w:rFonts w:ascii="SimSun" w:eastAsia="SimSun" w:hAnsi="SimSun" w:cs="SimSun" w:hint="eastAsia"/>
          <w:sz w:val="24"/>
          <w:szCs w:val="24"/>
          <w:lang w:eastAsia="zh-CN"/>
        </w:rPr>
        <w:t>女士</w:t>
      </w:r>
      <w:r w:rsidR="0004184E" w:rsidRPr="00A8359F">
        <w:rPr>
          <w:rFonts w:eastAsiaTheme="minorEastAsia" w:hint="eastAsia"/>
          <w:sz w:val="24"/>
          <w:szCs w:val="24"/>
          <w:lang w:val="es-AR" w:eastAsia="zh-CN"/>
        </w:rPr>
        <w:t>（</w:t>
      </w:r>
      <w:r w:rsidRPr="005A6E95">
        <w:rPr>
          <w:rFonts w:ascii="SimSun" w:eastAsia="SimSun" w:hAnsi="SimSun" w:cs="SimSun" w:hint="eastAsia"/>
          <w:sz w:val="24"/>
          <w:szCs w:val="24"/>
          <w:lang w:eastAsia="zh-CN"/>
        </w:rPr>
        <w:t>科威特</w:t>
      </w:r>
      <w:r w:rsidR="0004184E" w:rsidRPr="00A8359F">
        <w:rPr>
          <w:rFonts w:eastAsiaTheme="minorEastAsia" w:hint="eastAsia"/>
          <w:sz w:val="24"/>
          <w:szCs w:val="24"/>
          <w:lang w:val="es-AR" w:eastAsia="zh-CN"/>
        </w:rPr>
        <w:t>）</w:t>
      </w:r>
    </w:p>
    <w:p w:rsidR="008D76BF" w:rsidRPr="0004184E" w:rsidRDefault="008D76BF" w:rsidP="00750ECD">
      <w:pPr>
        <w:pStyle w:val="Para1"/>
        <w:tabs>
          <w:tab w:val="clear" w:pos="360"/>
        </w:tabs>
        <w:snapToGrid w:val="0"/>
        <w:ind w:firstLine="0"/>
        <w:rPr>
          <w:rFonts w:ascii="SimSun" w:hAnsi="SimSun"/>
          <w:b/>
          <w:sz w:val="24"/>
          <w:szCs w:val="24"/>
          <w:lang w:eastAsia="zh-CN"/>
        </w:rPr>
      </w:pPr>
      <w:r w:rsidRPr="0004184E">
        <w:rPr>
          <w:rFonts w:ascii="SimSun" w:eastAsia="SimSun" w:hAnsi="SimSun" w:cs="SimSun" w:hint="eastAsia"/>
          <w:b/>
          <w:sz w:val="24"/>
          <w:szCs w:val="24"/>
          <w:lang w:val="en-US" w:eastAsia="zh-CN"/>
        </w:rPr>
        <w:t>选举附属机构和其他会议的主席团成员</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4D1FBA">
        <w:rPr>
          <w:rFonts w:ascii="SimSun" w:eastAsia="SimSun" w:hAnsi="SimSun" w:cs="SimSun" w:hint="eastAsia"/>
          <w:sz w:val="24"/>
          <w:szCs w:val="24"/>
          <w:lang w:eastAsia="zh-CN"/>
        </w:rPr>
        <w:t>在</w:t>
      </w:r>
      <w:r w:rsidRPr="004D1FBA">
        <w:rPr>
          <w:rFonts w:hAnsi="SimSun"/>
          <w:sz w:val="24"/>
          <w:szCs w:val="24"/>
          <w:lang w:eastAsia="zh-CN"/>
        </w:rPr>
        <w:t>2018</w:t>
      </w:r>
      <w:r w:rsidRPr="004D1FBA">
        <w:rPr>
          <w:rFonts w:ascii="SimSun" w:eastAsia="SimSun" w:hAnsi="SimSun" w:cs="SimSun" w:hint="eastAsia"/>
          <w:sz w:val="24"/>
          <w:szCs w:val="24"/>
          <w:lang w:eastAsia="zh-CN"/>
        </w:rPr>
        <w:t>年</w:t>
      </w:r>
      <w:r w:rsidRPr="004D1FBA">
        <w:rPr>
          <w:rFonts w:hAnsi="SimSun"/>
          <w:sz w:val="24"/>
          <w:szCs w:val="24"/>
          <w:lang w:eastAsia="zh-CN"/>
        </w:rPr>
        <w:t>11</w:t>
      </w:r>
      <w:r w:rsidRPr="004D1FBA">
        <w:rPr>
          <w:rFonts w:ascii="SimSun" w:eastAsia="SimSun" w:hAnsi="SimSun" w:cs="SimSun" w:hint="eastAsia"/>
          <w:sz w:val="24"/>
          <w:szCs w:val="24"/>
          <w:lang w:eastAsia="zh-CN"/>
        </w:rPr>
        <w:t>月</w:t>
      </w:r>
      <w:r w:rsidRPr="004D1FBA">
        <w:rPr>
          <w:rFonts w:hAnsi="SimSun"/>
          <w:sz w:val="24"/>
          <w:szCs w:val="24"/>
          <w:lang w:eastAsia="zh-CN"/>
        </w:rPr>
        <w:t>22</w:t>
      </w:r>
      <w:r w:rsidR="00A70CC2">
        <w:rPr>
          <w:rFonts w:ascii="SimSun" w:eastAsia="SimSun" w:hAnsi="SimSun" w:cs="SimSun" w:hint="eastAsia"/>
          <w:sz w:val="24"/>
          <w:szCs w:val="24"/>
          <w:lang w:eastAsia="zh-CN"/>
        </w:rPr>
        <w:t>日会议</w:t>
      </w:r>
      <w:r w:rsidRPr="004D1FBA">
        <w:rPr>
          <w:rFonts w:ascii="SimSun" w:eastAsia="SimSun" w:hAnsi="SimSun" w:cs="SimSun" w:hint="eastAsia"/>
          <w:sz w:val="24"/>
          <w:szCs w:val="24"/>
          <w:lang w:eastAsia="zh-CN"/>
        </w:rPr>
        <w:t>第</w:t>
      </w:r>
      <w:r w:rsidRPr="004D1FBA">
        <w:rPr>
          <w:rFonts w:hAnsi="SimSun"/>
          <w:sz w:val="24"/>
          <w:szCs w:val="24"/>
          <w:lang w:eastAsia="zh-CN"/>
        </w:rPr>
        <w:t>4</w:t>
      </w:r>
      <w:r w:rsidR="00B45641">
        <w:rPr>
          <w:rFonts w:ascii="SimSun" w:eastAsia="SimSun" w:hAnsi="SimSun" w:cs="SimSun" w:hint="eastAsia"/>
          <w:sz w:val="24"/>
          <w:szCs w:val="24"/>
          <w:lang w:eastAsia="zh-CN"/>
        </w:rPr>
        <w:t>次全体会议</w:t>
      </w:r>
      <w:r w:rsidRPr="004D1FBA">
        <w:rPr>
          <w:rFonts w:ascii="SimSun" w:eastAsia="SimSun" w:hAnsi="SimSun" w:cs="SimSun" w:hint="eastAsia"/>
          <w:sz w:val="24"/>
          <w:szCs w:val="24"/>
          <w:lang w:eastAsia="zh-CN"/>
        </w:rPr>
        <w:t>上，缔约方大会选举</w:t>
      </w:r>
      <w:r w:rsidRPr="004D1FBA">
        <w:rPr>
          <w:rFonts w:hAnsi="SimSun"/>
          <w:sz w:val="24"/>
          <w:szCs w:val="24"/>
          <w:lang w:eastAsia="zh-CN"/>
        </w:rPr>
        <w:t>Hesiquio Benitez Diaz</w:t>
      </w:r>
      <w:r w:rsidRPr="004D1FBA">
        <w:rPr>
          <w:rFonts w:ascii="SimSun" w:eastAsia="SimSun" w:hAnsi="SimSun" w:cs="SimSun" w:hint="eastAsia"/>
          <w:sz w:val="24"/>
          <w:szCs w:val="24"/>
          <w:lang w:eastAsia="zh-CN"/>
        </w:rPr>
        <w:t>先生（墨西哥）为科学、技术和工艺咨询附属机构主席，任期至缔约方大会第十五届会议。</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4D1FBA">
        <w:rPr>
          <w:rFonts w:ascii="SimSun" w:eastAsia="SimSun" w:hAnsi="SimSun" w:cs="SimSun" w:hint="eastAsia"/>
          <w:sz w:val="24"/>
          <w:szCs w:val="24"/>
          <w:lang w:eastAsia="zh-CN"/>
        </w:rPr>
        <w:t>在</w:t>
      </w:r>
      <w:r w:rsidRPr="004D1FBA">
        <w:rPr>
          <w:rFonts w:hAnsi="SimSun"/>
          <w:sz w:val="24"/>
          <w:szCs w:val="24"/>
          <w:lang w:eastAsia="zh-CN"/>
        </w:rPr>
        <w:t>2018</w:t>
      </w:r>
      <w:r w:rsidRPr="004D1FBA">
        <w:rPr>
          <w:rFonts w:ascii="SimSun" w:eastAsia="SimSun" w:hAnsi="SimSun" w:cs="SimSun" w:hint="eastAsia"/>
          <w:sz w:val="24"/>
          <w:szCs w:val="24"/>
          <w:lang w:eastAsia="zh-CN"/>
        </w:rPr>
        <w:t>年</w:t>
      </w:r>
      <w:r w:rsidRPr="004D1FBA">
        <w:rPr>
          <w:rFonts w:hAnsi="SimSun"/>
          <w:sz w:val="24"/>
          <w:szCs w:val="24"/>
          <w:lang w:eastAsia="zh-CN"/>
        </w:rPr>
        <w:t>11</w:t>
      </w:r>
      <w:r w:rsidRPr="004D1FBA">
        <w:rPr>
          <w:rFonts w:ascii="SimSun" w:eastAsia="SimSun" w:hAnsi="SimSun" w:cs="SimSun" w:hint="eastAsia"/>
          <w:sz w:val="24"/>
          <w:szCs w:val="24"/>
          <w:lang w:eastAsia="zh-CN"/>
        </w:rPr>
        <w:t>月</w:t>
      </w:r>
      <w:r w:rsidRPr="004D1FBA">
        <w:rPr>
          <w:rFonts w:hAnsi="SimSun"/>
          <w:sz w:val="24"/>
          <w:szCs w:val="24"/>
          <w:lang w:eastAsia="zh-CN"/>
        </w:rPr>
        <w:t>25</w:t>
      </w:r>
      <w:r w:rsidR="00A70CC2">
        <w:rPr>
          <w:rFonts w:ascii="SimSun" w:eastAsia="SimSun" w:hAnsi="SimSun" w:cs="SimSun" w:hint="eastAsia"/>
          <w:sz w:val="24"/>
          <w:szCs w:val="24"/>
          <w:lang w:eastAsia="zh-CN"/>
        </w:rPr>
        <w:t>日会议</w:t>
      </w:r>
      <w:r w:rsidRPr="004D1FBA">
        <w:rPr>
          <w:rFonts w:ascii="SimSun" w:eastAsia="SimSun" w:hAnsi="SimSun" w:cs="SimSun" w:hint="eastAsia"/>
          <w:sz w:val="24"/>
          <w:szCs w:val="24"/>
          <w:lang w:eastAsia="zh-CN"/>
        </w:rPr>
        <w:t>第</w:t>
      </w:r>
      <w:r w:rsidRPr="004D1FBA">
        <w:rPr>
          <w:rFonts w:hAnsi="SimSun"/>
          <w:sz w:val="24"/>
          <w:szCs w:val="24"/>
          <w:lang w:eastAsia="zh-CN"/>
        </w:rPr>
        <w:t>5</w:t>
      </w:r>
      <w:r w:rsidR="00B45641">
        <w:rPr>
          <w:rFonts w:ascii="SimSun" w:eastAsia="SimSun" w:hAnsi="SimSun" w:cs="SimSun" w:hint="eastAsia"/>
          <w:sz w:val="24"/>
          <w:szCs w:val="24"/>
          <w:lang w:eastAsia="zh-CN"/>
        </w:rPr>
        <w:t>次全体会议</w:t>
      </w:r>
      <w:r w:rsidRPr="004D1FBA">
        <w:rPr>
          <w:rFonts w:ascii="SimSun" w:eastAsia="SimSun" w:hAnsi="SimSun" w:cs="SimSun" w:hint="eastAsia"/>
          <w:sz w:val="24"/>
          <w:szCs w:val="24"/>
          <w:lang w:eastAsia="zh-CN"/>
        </w:rPr>
        <w:t>上，缔约方大会选举</w:t>
      </w:r>
      <w:r w:rsidRPr="004D1FBA">
        <w:rPr>
          <w:rFonts w:hAnsi="SimSun"/>
          <w:sz w:val="24"/>
          <w:szCs w:val="24"/>
          <w:lang w:eastAsia="zh-CN"/>
        </w:rPr>
        <w:t>Charlotta S</w:t>
      </w:r>
      <w:r w:rsidRPr="004D1FBA">
        <w:rPr>
          <w:rFonts w:hAnsi="SimSun"/>
          <w:sz w:val="24"/>
          <w:szCs w:val="24"/>
          <w:lang w:eastAsia="zh-CN"/>
        </w:rPr>
        <w:t>ö</w:t>
      </w:r>
      <w:r w:rsidRPr="004D1FBA">
        <w:rPr>
          <w:rFonts w:hAnsi="SimSun"/>
          <w:sz w:val="24"/>
          <w:szCs w:val="24"/>
          <w:lang w:eastAsia="zh-CN"/>
        </w:rPr>
        <w:t>rqvist</w:t>
      </w:r>
      <w:r w:rsidRPr="004D1FBA">
        <w:rPr>
          <w:rFonts w:ascii="SimSun" w:eastAsia="SimSun" w:hAnsi="SimSun" w:cs="SimSun" w:hint="eastAsia"/>
          <w:sz w:val="24"/>
          <w:szCs w:val="24"/>
          <w:lang w:eastAsia="zh-CN"/>
        </w:rPr>
        <w:t>女士（瑞典）为执行问题附属机构主席，任期至缔约方大会第十五届会议。</w:t>
      </w:r>
      <w:bookmarkStart w:id="261" w:name="Item05"/>
    </w:p>
    <w:p w:rsidR="008D76BF" w:rsidRPr="005A6E95" w:rsidRDefault="008D76BF" w:rsidP="00750ECD">
      <w:pPr>
        <w:pStyle w:val="Heading2"/>
        <w:ind w:firstLine="0"/>
        <w:rPr>
          <w:rFonts w:eastAsia="Times New Roman"/>
          <w:color w:val="212121"/>
          <w:sz w:val="24"/>
          <w:shd w:val="clear" w:color="auto" w:fill="FFFFFF"/>
          <w:lang w:eastAsia="zh-CN"/>
        </w:rPr>
      </w:pPr>
      <w:bookmarkStart w:id="262" w:name="_Toc6243817"/>
      <w:r w:rsidRPr="005A6E95">
        <w:rPr>
          <w:rFonts w:ascii="SimSun" w:eastAsia="SimSun" w:hAnsi="SimSun" w:cs="SimSun" w:hint="eastAsia"/>
          <w:color w:val="212121"/>
          <w:sz w:val="24"/>
          <w:shd w:val="clear" w:color="auto" w:fill="FFFFFF"/>
          <w:lang w:eastAsia="zh-CN"/>
        </w:rPr>
        <w:t>项目</w:t>
      </w:r>
      <w:r w:rsidRPr="005A6E95">
        <w:rPr>
          <w:rFonts w:eastAsia="Times New Roman"/>
          <w:color w:val="212121"/>
          <w:sz w:val="24"/>
          <w:shd w:val="clear" w:color="auto" w:fill="FFFFFF"/>
          <w:lang w:eastAsia="zh-CN"/>
        </w:rPr>
        <w:t xml:space="preserve">3.     </w:t>
      </w:r>
      <w:r w:rsidR="00366699">
        <w:rPr>
          <w:rFonts w:eastAsia="Times New Roman"/>
          <w:color w:val="212121"/>
          <w:sz w:val="24"/>
          <w:shd w:val="clear" w:color="auto" w:fill="FFFFFF"/>
          <w:lang w:eastAsia="zh-CN"/>
        </w:rPr>
        <w:t xml:space="preserve"> </w:t>
      </w:r>
      <w:r w:rsidRPr="005A6E95">
        <w:rPr>
          <w:rFonts w:ascii="SimSun" w:eastAsia="SimSun" w:hAnsi="SimSun" w:cs="SimSun" w:hint="eastAsia"/>
          <w:color w:val="212121"/>
          <w:sz w:val="24"/>
          <w:shd w:val="clear" w:color="auto" w:fill="FFFFFF"/>
          <w:lang w:eastAsia="zh-CN"/>
        </w:rPr>
        <w:t>关于缔约方大会第十四届会议代表的全权证书的报告</w:t>
      </w:r>
      <w:bookmarkEnd w:id="262"/>
    </w:p>
    <w:bookmarkEnd w:id="261"/>
    <w:p w:rsidR="008D76BF" w:rsidRPr="00093DD5" w:rsidRDefault="008D76BF" w:rsidP="00750ECD">
      <w:pPr>
        <w:pStyle w:val="Para1"/>
        <w:numPr>
          <w:ilvl w:val="0"/>
          <w:numId w:val="9"/>
        </w:numPr>
        <w:tabs>
          <w:tab w:val="clear" w:pos="360"/>
          <w:tab w:val="left" w:pos="720"/>
        </w:tabs>
        <w:ind w:firstLine="0"/>
        <w:rPr>
          <w:rFonts w:hAnsi="SimSun"/>
          <w:sz w:val="24"/>
          <w:szCs w:val="24"/>
          <w:lang w:eastAsia="zh-CN"/>
        </w:rPr>
      </w:pPr>
      <w:r w:rsidRPr="004D1FBA">
        <w:rPr>
          <w:rFonts w:hAnsi="SimSun"/>
          <w:sz w:val="24"/>
          <w:szCs w:val="24"/>
          <w:lang w:eastAsia="zh-CN"/>
        </w:rPr>
        <w:t>2018</w:t>
      </w:r>
      <w:r w:rsidRPr="004D1FBA">
        <w:rPr>
          <w:rFonts w:ascii="SimSun" w:eastAsia="SimSun" w:hAnsi="SimSun" w:cs="SimSun" w:hint="eastAsia"/>
          <w:sz w:val="24"/>
          <w:szCs w:val="24"/>
          <w:lang w:eastAsia="zh-CN"/>
        </w:rPr>
        <w:t>年</w:t>
      </w:r>
      <w:r w:rsidRPr="004D1FBA">
        <w:rPr>
          <w:rFonts w:hAnsi="SimSun"/>
          <w:sz w:val="24"/>
          <w:szCs w:val="24"/>
          <w:lang w:eastAsia="zh-CN"/>
        </w:rPr>
        <w:t>11</w:t>
      </w:r>
      <w:r w:rsidRPr="004D1FBA">
        <w:rPr>
          <w:rFonts w:ascii="SimSun" w:eastAsia="SimSun" w:hAnsi="SimSun" w:cs="SimSun" w:hint="eastAsia"/>
          <w:sz w:val="24"/>
          <w:szCs w:val="24"/>
          <w:lang w:eastAsia="zh-CN"/>
        </w:rPr>
        <w:t>月</w:t>
      </w:r>
      <w:r w:rsidRPr="004D1FBA">
        <w:rPr>
          <w:rFonts w:hAnsi="SimSun"/>
          <w:sz w:val="24"/>
          <w:szCs w:val="24"/>
          <w:lang w:eastAsia="zh-CN"/>
        </w:rPr>
        <w:t>17</w:t>
      </w:r>
      <w:r w:rsidR="00A70CC2">
        <w:rPr>
          <w:rFonts w:ascii="SimSun" w:eastAsia="SimSun" w:hAnsi="SimSun" w:cs="SimSun" w:hint="eastAsia"/>
          <w:sz w:val="24"/>
          <w:szCs w:val="24"/>
          <w:lang w:eastAsia="zh-CN"/>
        </w:rPr>
        <w:t>日会议</w:t>
      </w:r>
      <w:r w:rsidRPr="004D1FBA">
        <w:rPr>
          <w:rFonts w:ascii="SimSun" w:eastAsia="SimSun" w:hAnsi="SimSun" w:cs="SimSun" w:hint="eastAsia"/>
          <w:sz w:val="24"/>
          <w:szCs w:val="24"/>
          <w:lang w:eastAsia="zh-CN"/>
        </w:rPr>
        <w:t>第</w:t>
      </w:r>
      <w:r w:rsidRPr="004D1FBA">
        <w:rPr>
          <w:rFonts w:hAnsi="SimSun"/>
          <w:sz w:val="24"/>
          <w:szCs w:val="24"/>
          <w:lang w:eastAsia="zh-CN"/>
        </w:rPr>
        <w:t>2</w:t>
      </w:r>
      <w:r w:rsidR="00B45641">
        <w:rPr>
          <w:rFonts w:ascii="SimSun" w:eastAsia="SimSun" w:hAnsi="SimSun" w:cs="SimSun" w:hint="eastAsia"/>
          <w:sz w:val="24"/>
          <w:szCs w:val="24"/>
          <w:lang w:eastAsia="zh-CN"/>
        </w:rPr>
        <w:t>次全体会议</w:t>
      </w:r>
      <w:r w:rsidRPr="004D1FBA">
        <w:rPr>
          <w:rFonts w:ascii="SimSun" w:eastAsia="SimSun" w:hAnsi="SimSun" w:cs="SimSun" w:hint="eastAsia"/>
          <w:sz w:val="24"/>
          <w:szCs w:val="24"/>
          <w:lang w:eastAsia="zh-CN"/>
        </w:rPr>
        <w:t>审议了议程项目</w:t>
      </w:r>
      <w:r w:rsidRPr="004D1FBA">
        <w:rPr>
          <w:rFonts w:hAnsi="SimSun"/>
          <w:sz w:val="24"/>
          <w:szCs w:val="24"/>
          <w:lang w:eastAsia="zh-CN"/>
        </w:rPr>
        <w:t>3</w:t>
      </w:r>
      <w:r w:rsidRPr="004D1FBA">
        <w:rPr>
          <w:rFonts w:ascii="SimSun" w:eastAsia="SimSun" w:hAnsi="SimSun" w:cs="SimSun" w:hint="eastAsia"/>
          <w:sz w:val="24"/>
          <w:szCs w:val="24"/>
          <w:lang w:eastAsia="zh-CN"/>
        </w:rPr>
        <w:t>。根据议事规则第</w:t>
      </w:r>
      <w:r w:rsidRPr="004D1FBA">
        <w:rPr>
          <w:rFonts w:hAnsi="SimSun"/>
          <w:sz w:val="24"/>
          <w:szCs w:val="24"/>
          <w:lang w:eastAsia="zh-CN"/>
        </w:rPr>
        <w:t>19</w:t>
      </w:r>
      <w:r w:rsidRPr="004D1FBA">
        <w:rPr>
          <w:rFonts w:ascii="SimSun" w:eastAsia="SimSun" w:hAnsi="SimSun" w:cs="SimSun" w:hint="eastAsia"/>
          <w:sz w:val="24"/>
          <w:szCs w:val="24"/>
          <w:lang w:eastAsia="zh-CN"/>
        </w:rPr>
        <w:t>条，主席团应审查各代表团的全权证书并提出报告。因此，主席通知会议，主席团指定主席团副主席</w:t>
      </w:r>
      <w:r w:rsidRPr="004D1FBA">
        <w:rPr>
          <w:rFonts w:hAnsi="SimSun"/>
          <w:sz w:val="24"/>
          <w:szCs w:val="24"/>
          <w:lang w:eastAsia="zh-CN"/>
        </w:rPr>
        <w:t>Elena Makeyeva</w:t>
      </w:r>
      <w:r w:rsidRPr="004D1FBA">
        <w:rPr>
          <w:rFonts w:ascii="SimSun" w:eastAsia="SimSun" w:hAnsi="SimSun" w:cs="SimSun" w:hint="eastAsia"/>
          <w:sz w:val="24"/>
          <w:szCs w:val="24"/>
          <w:lang w:eastAsia="zh-CN"/>
        </w:rPr>
        <w:t>女士（白俄罗斯）审查全权证书并提出报告。</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093DD5">
        <w:rPr>
          <w:rFonts w:ascii="SimSun" w:eastAsia="SimSun" w:hAnsi="SimSun" w:cs="SimSun" w:hint="eastAsia"/>
          <w:sz w:val="24"/>
          <w:szCs w:val="24"/>
          <w:lang w:eastAsia="zh-CN"/>
        </w:rPr>
        <w:t>在</w:t>
      </w:r>
      <w:r w:rsidRPr="00093DD5">
        <w:rPr>
          <w:rFonts w:hAnsi="SimSun"/>
          <w:sz w:val="24"/>
          <w:szCs w:val="24"/>
          <w:lang w:eastAsia="zh-CN"/>
        </w:rPr>
        <w:t>2018</w:t>
      </w:r>
      <w:r w:rsidRPr="00093DD5">
        <w:rPr>
          <w:rFonts w:ascii="SimSun" w:eastAsia="SimSun" w:hAnsi="SimSun" w:cs="SimSun" w:hint="eastAsia"/>
          <w:sz w:val="24"/>
          <w:szCs w:val="24"/>
          <w:lang w:eastAsia="zh-CN"/>
        </w:rPr>
        <w:t>年</w:t>
      </w:r>
      <w:r w:rsidRPr="00093DD5">
        <w:rPr>
          <w:rFonts w:hAnsi="SimSun"/>
          <w:sz w:val="24"/>
          <w:szCs w:val="24"/>
          <w:lang w:eastAsia="zh-CN"/>
        </w:rPr>
        <w:t>11</w:t>
      </w:r>
      <w:r w:rsidRPr="00093DD5">
        <w:rPr>
          <w:rFonts w:ascii="SimSun" w:eastAsia="SimSun" w:hAnsi="SimSun" w:cs="SimSun" w:hint="eastAsia"/>
          <w:sz w:val="24"/>
          <w:szCs w:val="24"/>
          <w:lang w:eastAsia="zh-CN"/>
        </w:rPr>
        <w:t>月</w:t>
      </w:r>
      <w:r w:rsidRPr="00093DD5">
        <w:rPr>
          <w:rFonts w:hAnsi="SimSun"/>
          <w:sz w:val="24"/>
          <w:szCs w:val="24"/>
          <w:lang w:eastAsia="zh-CN"/>
        </w:rPr>
        <w:t>22</w:t>
      </w:r>
      <w:r w:rsidR="00EA4BF6">
        <w:rPr>
          <w:rFonts w:ascii="SimSun" w:eastAsia="SimSun" w:hAnsi="SimSun" w:cs="SimSun" w:hint="eastAsia"/>
          <w:sz w:val="24"/>
          <w:szCs w:val="24"/>
          <w:lang w:eastAsia="zh-CN"/>
        </w:rPr>
        <w:t>日的</w:t>
      </w:r>
      <w:r w:rsidRPr="00093DD5">
        <w:rPr>
          <w:rFonts w:ascii="SimSun" w:eastAsia="SimSun" w:hAnsi="SimSun" w:cs="SimSun" w:hint="eastAsia"/>
          <w:sz w:val="24"/>
          <w:szCs w:val="24"/>
          <w:lang w:eastAsia="zh-CN"/>
        </w:rPr>
        <w:t>第</w:t>
      </w:r>
      <w:r w:rsidRPr="00093DD5">
        <w:rPr>
          <w:rFonts w:hAnsi="SimSun"/>
          <w:sz w:val="24"/>
          <w:szCs w:val="24"/>
          <w:lang w:eastAsia="zh-CN"/>
        </w:rPr>
        <w:t>4</w:t>
      </w:r>
      <w:r w:rsidR="00B45641">
        <w:rPr>
          <w:rFonts w:ascii="SimSun" w:eastAsia="SimSun" w:hAnsi="SimSun" w:cs="SimSun" w:hint="eastAsia"/>
          <w:sz w:val="24"/>
          <w:szCs w:val="24"/>
          <w:lang w:eastAsia="zh-CN"/>
        </w:rPr>
        <w:t>次全体会议</w:t>
      </w:r>
      <w:r w:rsidRPr="00093DD5">
        <w:rPr>
          <w:rFonts w:ascii="SimSun" w:eastAsia="SimSun" w:hAnsi="SimSun" w:cs="SimSun" w:hint="eastAsia"/>
          <w:sz w:val="24"/>
          <w:szCs w:val="24"/>
          <w:lang w:eastAsia="zh-CN"/>
        </w:rPr>
        <w:t>上，</w:t>
      </w:r>
      <w:r w:rsidRPr="00093DD5">
        <w:rPr>
          <w:rFonts w:hAnsi="SimSun"/>
          <w:sz w:val="24"/>
          <w:szCs w:val="24"/>
          <w:lang w:eastAsia="zh-CN"/>
        </w:rPr>
        <w:t>Makeyeva</w:t>
      </w:r>
      <w:r w:rsidRPr="00093DD5">
        <w:rPr>
          <w:rFonts w:ascii="SimSun" w:eastAsia="SimSun" w:hAnsi="SimSun" w:cs="SimSun" w:hint="eastAsia"/>
          <w:sz w:val="24"/>
          <w:szCs w:val="24"/>
          <w:lang w:eastAsia="zh-CN"/>
        </w:rPr>
        <w:t>女士通知缔约方大会有</w:t>
      </w:r>
      <w:r w:rsidRPr="00093DD5">
        <w:rPr>
          <w:rFonts w:hAnsi="SimSun"/>
          <w:sz w:val="24"/>
          <w:szCs w:val="24"/>
          <w:lang w:eastAsia="zh-CN"/>
        </w:rPr>
        <w:t>180</w:t>
      </w:r>
      <w:r w:rsidRPr="00093DD5">
        <w:rPr>
          <w:rFonts w:ascii="SimSun" w:eastAsia="SimSun" w:hAnsi="SimSun" w:cs="SimSun" w:hint="eastAsia"/>
          <w:sz w:val="24"/>
          <w:szCs w:val="24"/>
          <w:lang w:eastAsia="zh-CN"/>
        </w:rPr>
        <w:t>个缔约方登记出席了会议。主席团审议了</w:t>
      </w:r>
      <w:r w:rsidRPr="00093DD5">
        <w:rPr>
          <w:rFonts w:hAnsi="SimSun"/>
          <w:sz w:val="24"/>
          <w:szCs w:val="24"/>
          <w:lang w:eastAsia="zh-CN"/>
        </w:rPr>
        <w:t>154</w:t>
      </w:r>
      <w:r w:rsidRPr="00093DD5">
        <w:rPr>
          <w:rFonts w:ascii="SimSun" w:eastAsia="SimSun" w:hAnsi="SimSun" w:cs="SimSun" w:hint="eastAsia"/>
          <w:sz w:val="24"/>
          <w:szCs w:val="24"/>
          <w:lang w:eastAsia="zh-CN"/>
        </w:rPr>
        <w:t>个出席会议的缔约方代表的全权证书。有</w:t>
      </w:r>
      <w:r w:rsidRPr="00093DD5">
        <w:rPr>
          <w:rFonts w:hAnsi="SimSun"/>
          <w:sz w:val="24"/>
          <w:szCs w:val="24"/>
          <w:lang w:eastAsia="zh-CN"/>
        </w:rPr>
        <w:t>135</w:t>
      </w:r>
      <w:r w:rsidRPr="00093DD5">
        <w:rPr>
          <w:rFonts w:ascii="SimSun" w:eastAsia="SimSun" w:hAnsi="SimSun" w:cs="SimSun" w:hint="eastAsia"/>
          <w:sz w:val="24"/>
          <w:szCs w:val="24"/>
          <w:lang w:eastAsia="zh-CN"/>
        </w:rPr>
        <w:t>个代表团的全权证书完全符合议事规则第</w:t>
      </w:r>
      <w:r w:rsidRPr="00093DD5">
        <w:rPr>
          <w:rFonts w:hAnsi="SimSun"/>
          <w:sz w:val="24"/>
          <w:szCs w:val="24"/>
          <w:lang w:eastAsia="zh-CN"/>
        </w:rPr>
        <w:t>18</w:t>
      </w:r>
      <w:r w:rsidRPr="00093DD5">
        <w:rPr>
          <w:rFonts w:ascii="SimSun" w:eastAsia="SimSun" w:hAnsi="SimSun" w:cs="SimSun" w:hint="eastAsia"/>
          <w:sz w:val="24"/>
          <w:szCs w:val="24"/>
          <w:lang w:eastAsia="zh-CN"/>
        </w:rPr>
        <w:t>条的规定。有</w:t>
      </w:r>
      <w:r w:rsidRPr="00093DD5">
        <w:rPr>
          <w:rFonts w:hAnsi="SimSun"/>
          <w:sz w:val="24"/>
          <w:szCs w:val="24"/>
          <w:lang w:eastAsia="zh-CN"/>
        </w:rPr>
        <w:t>19</w:t>
      </w:r>
      <w:r w:rsidRPr="00093DD5">
        <w:rPr>
          <w:rFonts w:ascii="SimSun" w:eastAsia="SimSun" w:hAnsi="SimSun" w:cs="SimSun" w:hint="eastAsia"/>
          <w:sz w:val="24"/>
          <w:szCs w:val="24"/>
          <w:lang w:eastAsia="zh-CN"/>
        </w:rPr>
        <w:t>个代表团的全权证书不完全符合议事规则第</w:t>
      </w:r>
      <w:r w:rsidRPr="00093DD5">
        <w:rPr>
          <w:rFonts w:hAnsi="SimSun"/>
          <w:sz w:val="24"/>
          <w:szCs w:val="24"/>
          <w:lang w:eastAsia="zh-CN"/>
        </w:rPr>
        <w:t>18</w:t>
      </w:r>
      <w:r w:rsidRPr="00093DD5">
        <w:rPr>
          <w:rFonts w:ascii="SimSun" w:eastAsia="SimSun" w:hAnsi="SimSun" w:cs="SimSun" w:hint="eastAsia"/>
          <w:sz w:val="24"/>
          <w:szCs w:val="24"/>
          <w:lang w:eastAsia="zh-CN"/>
        </w:rPr>
        <w:t>条的规定，另有</w:t>
      </w:r>
      <w:r w:rsidRPr="00093DD5">
        <w:rPr>
          <w:rFonts w:hAnsi="SimSun"/>
          <w:sz w:val="24"/>
          <w:szCs w:val="24"/>
          <w:lang w:eastAsia="zh-CN"/>
        </w:rPr>
        <w:t>26</w:t>
      </w:r>
      <w:r w:rsidRPr="00093DD5">
        <w:rPr>
          <w:rFonts w:ascii="SimSun" w:eastAsia="SimSun" w:hAnsi="SimSun" w:cs="SimSun" w:hint="eastAsia"/>
          <w:sz w:val="24"/>
          <w:szCs w:val="24"/>
          <w:lang w:eastAsia="zh-CN"/>
        </w:rPr>
        <w:t>个代表团至今没有提交全权证书。</w:t>
      </w:r>
    </w:p>
    <w:p w:rsidR="0004184E" w:rsidRPr="007E1E7A" w:rsidRDefault="0004184E" w:rsidP="00B6762D">
      <w:pPr>
        <w:pStyle w:val="Para1"/>
        <w:numPr>
          <w:ilvl w:val="0"/>
          <w:numId w:val="9"/>
        </w:numPr>
        <w:tabs>
          <w:tab w:val="clear" w:pos="360"/>
          <w:tab w:val="left" w:pos="720"/>
        </w:tabs>
        <w:ind w:firstLine="0"/>
        <w:rPr>
          <w:rFonts w:hAnsi="SimSun"/>
          <w:sz w:val="24"/>
          <w:szCs w:val="24"/>
          <w:lang w:eastAsia="zh-CN"/>
        </w:rPr>
      </w:pPr>
      <w:bookmarkStart w:id="263" w:name="Item06"/>
      <w:r w:rsidRPr="007E1E7A">
        <w:rPr>
          <w:rFonts w:ascii="SimSun" w:eastAsia="SimSun" w:hAnsi="SimSun" w:cs="SimSun" w:hint="eastAsia"/>
          <w:sz w:val="24"/>
          <w:szCs w:val="24"/>
          <w:lang w:eastAsia="zh-CN"/>
        </w:rPr>
        <w:lastRenderedPageBreak/>
        <w:t>在</w:t>
      </w:r>
      <w:r w:rsidRPr="007E1E7A">
        <w:rPr>
          <w:rFonts w:hAnsi="SimSun"/>
          <w:sz w:val="24"/>
          <w:szCs w:val="24"/>
          <w:lang w:eastAsia="zh-CN"/>
        </w:rPr>
        <w:t>2018</w:t>
      </w:r>
      <w:r w:rsidRPr="007E1E7A">
        <w:rPr>
          <w:rFonts w:ascii="SimSun" w:eastAsia="SimSun" w:hAnsi="SimSun" w:cs="SimSun" w:hint="eastAsia"/>
          <w:sz w:val="24"/>
          <w:szCs w:val="24"/>
          <w:lang w:eastAsia="zh-CN"/>
        </w:rPr>
        <w:t>年</w:t>
      </w:r>
      <w:r w:rsidRPr="007E1E7A">
        <w:rPr>
          <w:rFonts w:hAnsi="SimSun"/>
          <w:sz w:val="24"/>
          <w:szCs w:val="24"/>
          <w:lang w:eastAsia="zh-CN"/>
        </w:rPr>
        <w:t>11</w:t>
      </w:r>
      <w:r w:rsidRPr="007E1E7A">
        <w:rPr>
          <w:rFonts w:ascii="SimSun" w:eastAsia="SimSun" w:hAnsi="SimSun" w:cs="SimSun" w:hint="eastAsia"/>
          <w:sz w:val="24"/>
          <w:szCs w:val="24"/>
          <w:lang w:eastAsia="zh-CN"/>
        </w:rPr>
        <w:t>月</w:t>
      </w:r>
      <w:r w:rsidRPr="007E1E7A">
        <w:rPr>
          <w:rFonts w:hAnsi="SimSun"/>
          <w:sz w:val="24"/>
          <w:szCs w:val="24"/>
          <w:lang w:eastAsia="zh-CN"/>
        </w:rPr>
        <w:t>29</w:t>
      </w:r>
      <w:r w:rsidRPr="007E1E7A">
        <w:rPr>
          <w:rFonts w:ascii="SimSun" w:eastAsia="SimSun" w:hAnsi="SimSun" w:cs="SimSun" w:hint="eastAsia"/>
          <w:sz w:val="24"/>
          <w:szCs w:val="24"/>
          <w:lang w:eastAsia="zh-CN"/>
        </w:rPr>
        <w:t>日会议的第</w:t>
      </w:r>
      <w:r w:rsidRPr="007E1E7A">
        <w:rPr>
          <w:rFonts w:hAnsi="SimSun"/>
          <w:sz w:val="24"/>
          <w:szCs w:val="24"/>
          <w:lang w:eastAsia="zh-CN"/>
        </w:rPr>
        <w:t>7</w:t>
      </w:r>
      <w:r w:rsidR="00B45641">
        <w:rPr>
          <w:rFonts w:ascii="SimSun" w:eastAsia="SimSun" w:hAnsi="SimSun" w:cs="SimSun" w:hint="eastAsia"/>
          <w:sz w:val="24"/>
          <w:szCs w:val="24"/>
          <w:lang w:eastAsia="zh-CN"/>
        </w:rPr>
        <w:t>次全体会议</w:t>
      </w:r>
      <w:r w:rsidRPr="007E1E7A">
        <w:rPr>
          <w:rFonts w:ascii="SimSun" w:eastAsia="SimSun" w:hAnsi="SimSun" w:cs="SimSun" w:hint="eastAsia"/>
          <w:sz w:val="24"/>
          <w:szCs w:val="24"/>
          <w:lang w:eastAsia="zh-CN"/>
        </w:rPr>
        <w:t>上，缔约方大会</w:t>
      </w:r>
      <w:r w:rsidRPr="007E1E7A">
        <w:rPr>
          <w:rFonts w:hAnsi="SimSun"/>
          <w:sz w:val="24"/>
          <w:szCs w:val="24"/>
          <w:lang w:eastAsia="zh-CN"/>
        </w:rPr>
        <w:t>Makyeva</w:t>
      </w:r>
      <w:r w:rsidRPr="007E1E7A">
        <w:rPr>
          <w:rFonts w:hAnsi="SimSun" w:hint="eastAsia"/>
          <w:sz w:val="24"/>
          <w:szCs w:val="24"/>
          <w:lang w:eastAsia="zh-CN"/>
        </w:rPr>
        <w:t>女士</w:t>
      </w:r>
      <w:r w:rsidRPr="007E1E7A">
        <w:rPr>
          <w:rFonts w:hAnsi="SimSun"/>
          <w:sz w:val="24"/>
          <w:szCs w:val="24"/>
          <w:lang w:eastAsia="zh-CN"/>
        </w:rPr>
        <w:t>通知缔约方大会，</w:t>
      </w:r>
      <w:r w:rsidR="007E1E7A" w:rsidRPr="007E1E7A">
        <w:rPr>
          <w:rFonts w:eastAsia="SimSun"/>
          <w:sz w:val="24"/>
          <w:szCs w:val="24"/>
          <w:lang w:eastAsia="zh-CN"/>
        </w:rPr>
        <w:t>共有</w:t>
      </w:r>
      <w:r w:rsidR="007E1E7A" w:rsidRPr="007E1E7A">
        <w:rPr>
          <w:rFonts w:eastAsia="SimSun"/>
          <w:sz w:val="24"/>
          <w:szCs w:val="24"/>
          <w:lang w:eastAsia="zh-CN"/>
        </w:rPr>
        <w:t>181</w:t>
      </w:r>
      <w:r w:rsidR="007E1E7A" w:rsidRPr="007E1E7A">
        <w:rPr>
          <w:rFonts w:eastAsia="SimSun"/>
          <w:sz w:val="24"/>
          <w:szCs w:val="24"/>
          <w:lang w:eastAsia="zh-CN"/>
        </w:rPr>
        <w:t>个缔约方登记</w:t>
      </w:r>
      <w:r w:rsidR="007E1E7A" w:rsidRPr="007E1E7A">
        <w:rPr>
          <w:rFonts w:eastAsia="SimSun" w:hint="eastAsia"/>
          <w:sz w:val="24"/>
          <w:szCs w:val="24"/>
          <w:lang w:eastAsia="zh-CN"/>
        </w:rPr>
        <w:t>出席</w:t>
      </w:r>
      <w:r w:rsidR="007E1E7A" w:rsidRPr="007E1E7A">
        <w:rPr>
          <w:rFonts w:eastAsia="SimSun"/>
          <w:sz w:val="24"/>
          <w:szCs w:val="24"/>
          <w:lang w:eastAsia="zh-CN"/>
        </w:rPr>
        <w:t>会议。主席团审查了</w:t>
      </w:r>
      <w:r w:rsidR="007E1E7A" w:rsidRPr="007E1E7A">
        <w:rPr>
          <w:rFonts w:eastAsia="SimSun"/>
          <w:sz w:val="24"/>
          <w:szCs w:val="24"/>
          <w:lang w:eastAsia="zh-CN"/>
        </w:rPr>
        <w:t>162</w:t>
      </w:r>
      <w:r w:rsidR="007E1E7A" w:rsidRPr="007E1E7A">
        <w:rPr>
          <w:rFonts w:eastAsia="SimSun"/>
          <w:sz w:val="24"/>
          <w:szCs w:val="24"/>
          <w:lang w:eastAsia="zh-CN"/>
        </w:rPr>
        <w:t>个缔约方代表的全权证书。</w:t>
      </w:r>
      <w:r w:rsidR="007E1E7A" w:rsidRPr="007E1E7A">
        <w:rPr>
          <w:rFonts w:eastAsia="SimSun"/>
          <w:sz w:val="24"/>
          <w:szCs w:val="24"/>
          <w:lang w:eastAsia="zh-CN"/>
        </w:rPr>
        <w:t>148</w:t>
      </w:r>
      <w:r w:rsidR="007E1E7A" w:rsidRPr="007E1E7A">
        <w:rPr>
          <w:rFonts w:eastAsia="SimSun"/>
          <w:sz w:val="24"/>
          <w:szCs w:val="24"/>
          <w:lang w:eastAsia="zh-CN"/>
        </w:rPr>
        <w:t>个代表团的全权证书完全符合议事规则第</w:t>
      </w:r>
      <w:r w:rsidR="007E1E7A" w:rsidRPr="007E1E7A">
        <w:rPr>
          <w:rFonts w:eastAsia="SimSun"/>
          <w:sz w:val="24"/>
          <w:szCs w:val="24"/>
          <w:lang w:eastAsia="zh-CN"/>
        </w:rPr>
        <w:t>18</w:t>
      </w:r>
      <w:r w:rsidR="007E1E7A" w:rsidRPr="007E1E7A">
        <w:rPr>
          <w:rFonts w:eastAsia="SimSun"/>
          <w:sz w:val="24"/>
          <w:szCs w:val="24"/>
          <w:lang w:eastAsia="zh-CN"/>
        </w:rPr>
        <w:t>条的规定，</w:t>
      </w:r>
      <w:r w:rsidR="007E1E7A" w:rsidRPr="007E1E7A">
        <w:rPr>
          <w:rFonts w:eastAsia="SimSun"/>
          <w:sz w:val="24"/>
          <w:szCs w:val="24"/>
          <w:lang w:eastAsia="zh-CN"/>
        </w:rPr>
        <w:t>14</w:t>
      </w:r>
      <w:r w:rsidR="007E1E7A" w:rsidRPr="007E1E7A">
        <w:rPr>
          <w:rFonts w:eastAsia="SimSun"/>
          <w:sz w:val="24"/>
          <w:szCs w:val="24"/>
          <w:lang w:eastAsia="zh-CN"/>
        </w:rPr>
        <w:t>个代表团的全权证书不完全符合第</w:t>
      </w:r>
      <w:r w:rsidR="007E1E7A" w:rsidRPr="007E1E7A">
        <w:rPr>
          <w:rFonts w:eastAsia="SimSun"/>
          <w:sz w:val="24"/>
          <w:szCs w:val="24"/>
          <w:lang w:eastAsia="zh-CN"/>
        </w:rPr>
        <w:t>18</w:t>
      </w:r>
      <w:r w:rsidR="007E1E7A" w:rsidRPr="007E1E7A">
        <w:rPr>
          <w:rFonts w:eastAsia="SimSun"/>
          <w:sz w:val="24"/>
          <w:szCs w:val="24"/>
          <w:lang w:eastAsia="zh-CN"/>
        </w:rPr>
        <w:t>条的规定</w:t>
      </w:r>
      <w:r w:rsidR="007E1E7A" w:rsidRPr="007E1E7A">
        <w:rPr>
          <w:rFonts w:eastAsia="SimSun" w:hint="eastAsia"/>
          <w:sz w:val="24"/>
          <w:szCs w:val="24"/>
          <w:lang w:eastAsia="zh-CN"/>
        </w:rPr>
        <w:t>，</w:t>
      </w:r>
      <w:r w:rsidR="007E1E7A" w:rsidRPr="007E1E7A">
        <w:rPr>
          <w:rFonts w:eastAsia="SimSun"/>
          <w:sz w:val="24"/>
          <w:szCs w:val="24"/>
          <w:lang w:eastAsia="zh-CN"/>
        </w:rPr>
        <w:t>另有</w:t>
      </w:r>
      <w:r w:rsidR="007E1E7A" w:rsidRPr="007E1E7A">
        <w:rPr>
          <w:rFonts w:eastAsia="SimSun"/>
          <w:sz w:val="24"/>
          <w:szCs w:val="24"/>
          <w:lang w:eastAsia="zh-CN"/>
        </w:rPr>
        <w:t>19</w:t>
      </w:r>
      <w:r w:rsidR="007E1E7A" w:rsidRPr="007E1E7A">
        <w:rPr>
          <w:rFonts w:eastAsia="SimSun"/>
          <w:sz w:val="24"/>
          <w:szCs w:val="24"/>
          <w:lang w:eastAsia="zh-CN"/>
        </w:rPr>
        <w:t>个代表团尚未提交全权证书。</w:t>
      </w:r>
      <w:r w:rsidR="007E1E7A" w:rsidRPr="007E1E7A">
        <w:rPr>
          <w:rFonts w:eastAsia="SimSun" w:hint="eastAsia"/>
          <w:sz w:val="24"/>
          <w:szCs w:val="24"/>
          <w:lang w:eastAsia="zh-CN"/>
        </w:rPr>
        <w:t>更多信息</w:t>
      </w:r>
      <w:r w:rsidR="007E1E7A" w:rsidRPr="007E1E7A">
        <w:rPr>
          <w:rFonts w:eastAsia="SimSun"/>
          <w:sz w:val="24"/>
          <w:szCs w:val="24"/>
          <w:lang w:eastAsia="zh-CN"/>
        </w:rPr>
        <w:t>载于</w:t>
      </w:r>
      <w:r w:rsidR="007E1E7A" w:rsidRPr="007E1E7A">
        <w:rPr>
          <w:rFonts w:hAnsi="SimSun"/>
          <w:sz w:val="24"/>
          <w:szCs w:val="24"/>
          <w:lang w:eastAsia="zh-CN"/>
        </w:rPr>
        <w:t>CBD/COP/14/INF/49</w:t>
      </w:r>
      <w:r w:rsidR="007E1E7A" w:rsidRPr="007E1E7A">
        <w:rPr>
          <w:rFonts w:hAnsi="SimSun" w:hint="eastAsia"/>
          <w:sz w:val="24"/>
          <w:szCs w:val="24"/>
          <w:lang w:eastAsia="zh-CN"/>
        </w:rPr>
        <w:t>号文件</w:t>
      </w:r>
      <w:r w:rsidR="007E1E7A" w:rsidRPr="007E1E7A">
        <w:rPr>
          <w:rFonts w:hAnsi="SimSun"/>
          <w:sz w:val="24"/>
          <w:szCs w:val="24"/>
          <w:lang w:eastAsia="zh-CN"/>
        </w:rPr>
        <w:t>。</w:t>
      </w:r>
    </w:p>
    <w:p w:rsidR="007E1E7A" w:rsidRPr="00BB084B" w:rsidRDefault="007E1E7A" w:rsidP="00B6762D">
      <w:pPr>
        <w:pStyle w:val="Para1"/>
        <w:numPr>
          <w:ilvl w:val="0"/>
          <w:numId w:val="9"/>
        </w:numPr>
        <w:tabs>
          <w:tab w:val="clear" w:pos="360"/>
          <w:tab w:val="left" w:pos="720"/>
        </w:tabs>
        <w:snapToGrid w:val="0"/>
        <w:ind w:firstLine="0"/>
        <w:rPr>
          <w:rFonts w:eastAsia="SimSun"/>
          <w:sz w:val="24"/>
          <w:szCs w:val="24"/>
          <w:lang w:eastAsia="zh-CN"/>
        </w:rPr>
      </w:pPr>
      <w:r w:rsidRPr="00BB084B">
        <w:rPr>
          <w:rFonts w:eastAsia="SimSun" w:hint="eastAsia"/>
          <w:sz w:val="24"/>
          <w:szCs w:val="24"/>
          <w:lang w:eastAsia="zh-CN"/>
        </w:rPr>
        <w:t>一些代表团团长</w:t>
      </w:r>
      <w:r w:rsidRPr="00BB084B">
        <w:rPr>
          <w:rFonts w:eastAsia="SimSun"/>
          <w:sz w:val="24"/>
          <w:szCs w:val="24"/>
          <w:lang w:eastAsia="zh-CN"/>
        </w:rPr>
        <w:t>已</w:t>
      </w:r>
      <w:r w:rsidRPr="00BB084B">
        <w:rPr>
          <w:rFonts w:eastAsia="SimSun" w:hint="eastAsia"/>
          <w:sz w:val="24"/>
          <w:szCs w:val="24"/>
          <w:lang w:eastAsia="zh-CN"/>
        </w:rPr>
        <w:t>签</w:t>
      </w:r>
      <w:r w:rsidRPr="00BB084B">
        <w:rPr>
          <w:rFonts w:eastAsia="SimSun"/>
          <w:sz w:val="24"/>
          <w:szCs w:val="24"/>
          <w:lang w:eastAsia="zh-CN"/>
        </w:rPr>
        <w:t>署</w:t>
      </w:r>
      <w:r w:rsidRPr="00BB084B">
        <w:rPr>
          <w:rFonts w:eastAsia="SimSun" w:hint="eastAsia"/>
          <w:sz w:val="24"/>
          <w:szCs w:val="24"/>
          <w:lang w:eastAsia="zh-CN"/>
        </w:rPr>
        <w:t>声</w:t>
      </w:r>
      <w:r w:rsidRPr="00BB084B">
        <w:rPr>
          <w:rFonts w:eastAsia="SimSun"/>
          <w:sz w:val="24"/>
          <w:szCs w:val="24"/>
          <w:lang w:eastAsia="zh-CN"/>
        </w:rPr>
        <w:t>明，他</w:t>
      </w:r>
      <w:r w:rsidRPr="00BB084B">
        <w:rPr>
          <w:rFonts w:eastAsia="SimSun" w:hint="eastAsia"/>
          <w:sz w:val="24"/>
          <w:szCs w:val="24"/>
          <w:lang w:eastAsia="zh-CN"/>
        </w:rPr>
        <w:t>们将</w:t>
      </w:r>
      <w:r w:rsidRPr="00BB084B">
        <w:rPr>
          <w:rFonts w:eastAsia="SimSun"/>
          <w:sz w:val="24"/>
          <w:szCs w:val="24"/>
          <w:lang w:eastAsia="zh-CN"/>
        </w:rPr>
        <w:t>在</w:t>
      </w:r>
      <w:r w:rsidRPr="00BB084B">
        <w:rPr>
          <w:rFonts w:eastAsia="SimSun" w:hint="eastAsia"/>
          <w:sz w:val="24"/>
          <w:szCs w:val="24"/>
          <w:lang w:eastAsia="zh-CN"/>
        </w:rPr>
        <w:t>会议结</w:t>
      </w:r>
      <w:r w:rsidRPr="00BB084B">
        <w:rPr>
          <w:rFonts w:eastAsia="SimSun"/>
          <w:sz w:val="24"/>
          <w:szCs w:val="24"/>
          <w:lang w:eastAsia="zh-CN"/>
        </w:rPr>
        <w:t>束之后</w:t>
      </w:r>
      <w:r w:rsidRPr="00BB084B">
        <w:rPr>
          <w:rFonts w:eastAsia="SimSun"/>
          <w:sz w:val="24"/>
          <w:szCs w:val="24"/>
          <w:lang w:eastAsia="zh-CN"/>
        </w:rPr>
        <w:t>30</w:t>
      </w:r>
      <w:r w:rsidRPr="00BB084B">
        <w:rPr>
          <w:rFonts w:eastAsia="SimSun" w:hint="eastAsia"/>
          <w:sz w:val="24"/>
          <w:szCs w:val="24"/>
          <w:lang w:eastAsia="zh-CN"/>
        </w:rPr>
        <w:t>天内并</w:t>
      </w:r>
      <w:r w:rsidRPr="00BB084B">
        <w:rPr>
          <w:rFonts w:eastAsia="SimSun"/>
          <w:sz w:val="24"/>
          <w:szCs w:val="24"/>
          <w:lang w:eastAsia="zh-CN"/>
        </w:rPr>
        <w:t>不</w:t>
      </w:r>
      <w:r w:rsidRPr="00BB084B">
        <w:rPr>
          <w:rFonts w:eastAsia="SimSun" w:hint="eastAsia"/>
          <w:sz w:val="24"/>
          <w:szCs w:val="24"/>
          <w:lang w:eastAsia="zh-CN"/>
        </w:rPr>
        <w:t>迟</w:t>
      </w:r>
      <w:r w:rsidRPr="00BB084B">
        <w:rPr>
          <w:rFonts w:eastAsia="SimSun"/>
          <w:sz w:val="24"/>
          <w:szCs w:val="24"/>
          <w:lang w:eastAsia="zh-CN"/>
        </w:rPr>
        <w:t>于</w:t>
      </w:r>
      <w:r w:rsidRPr="00BB084B">
        <w:rPr>
          <w:rFonts w:eastAsia="SimSun" w:hint="eastAsia"/>
          <w:sz w:val="24"/>
          <w:szCs w:val="24"/>
          <w:lang w:eastAsia="zh-CN"/>
        </w:rPr>
        <w:t>2019</w:t>
      </w:r>
      <w:r w:rsidRPr="00BB084B">
        <w:rPr>
          <w:rFonts w:eastAsia="SimSun" w:hint="eastAsia"/>
          <w:sz w:val="24"/>
          <w:szCs w:val="24"/>
          <w:lang w:eastAsia="zh-CN"/>
        </w:rPr>
        <w:t>年</w:t>
      </w:r>
      <w:r w:rsidRPr="00BB084B">
        <w:rPr>
          <w:rFonts w:eastAsia="SimSun"/>
          <w:sz w:val="24"/>
          <w:szCs w:val="24"/>
          <w:lang w:eastAsia="zh-CN"/>
        </w:rPr>
        <w:t>12</w:t>
      </w:r>
      <w:r w:rsidRPr="00BB084B">
        <w:rPr>
          <w:rFonts w:eastAsia="SimSun" w:hint="eastAsia"/>
          <w:sz w:val="24"/>
          <w:szCs w:val="24"/>
          <w:lang w:eastAsia="zh-CN"/>
        </w:rPr>
        <w:t>月</w:t>
      </w:r>
      <w:r w:rsidRPr="00BB084B">
        <w:rPr>
          <w:rFonts w:eastAsia="SimSun" w:hint="eastAsia"/>
          <w:sz w:val="24"/>
          <w:szCs w:val="24"/>
          <w:lang w:eastAsia="zh-CN"/>
        </w:rPr>
        <w:t>29</w:t>
      </w:r>
      <w:r w:rsidRPr="00BB084B">
        <w:rPr>
          <w:rFonts w:eastAsia="SimSun" w:hint="eastAsia"/>
          <w:sz w:val="24"/>
          <w:szCs w:val="24"/>
          <w:lang w:eastAsia="zh-CN"/>
        </w:rPr>
        <w:t>日向执</w:t>
      </w:r>
      <w:r w:rsidRPr="00BB084B">
        <w:rPr>
          <w:rFonts w:eastAsia="SimSun"/>
          <w:sz w:val="24"/>
          <w:szCs w:val="24"/>
          <w:lang w:eastAsia="zh-CN"/>
        </w:rPr>
        <w:t>行秘</w:t>
      </w:r>
      <w:r w:rsidRPr="00BB084B">
        <w:rPr>
          <w:rFonts w:eastAsia="SimSun" w:hint="eastAsia"/>
          <w:sz w:val="24"/>
          <w:szCs w:val="24"/>
          <w:lang w:eastAsia="zh-CN"/>
        </w:rPr>
        <w:t>书</w:t>
      </w:r>
      <w:r w:rsidRPr="00BB084B">
        <w:rPr>
          <w:rFonts w:eastAsia="SimSun"/>
          <w:sz w:val="24"/>
          <w:szCs w:val="24"/>
          <w:lang w:eastAsia="zh-CN"/>
        </w:rPr>
        <w:t>提交</w:t>
      </w:r>
      <w:r w:rsidRPr="00BB084B">
        <w:rPr>
          <w:rFonts w:eastAsia="SimSun" w:hint="eastAsia"/>
          <w:sz w:val="24"/>
          <w:szCs w:val="24"/>
          <w:lang w:eastAsia="zh-CN"/>
        </w:rPr>
        <w:t>内</w:t>
      </w:r>
      <w:r w:rsidRPr="00BB084B">
        <w:rPr>
          <w:rFonts w:eastAsia="SimSun"/>
          <w:sz w:val="24"/>
          <w:szCs w:val="24"/>
          <w:lang w:eastAsia="zh-CN"/>
        </w:rPr>
        <w:t>容完</w:t>
      </w:r>
      <w:r w:rsidRPr="00BB084B">
        <w:rPr>
          <w:rFonts w:eastAsia="SimSun" w:hint="eastAsia"/>
          <w:sz w:val="24"/>
          <w:szCs w:val="24"/>
          <w:lang w:eastAsia="zh-CN"/>
        </w:rPr>
        <w:t>备</w:t>
      </w:r>
      <w:r w:rsidRPr="00BB084B">
        <w:rPr>
          <w:rFonts w:eastAsia="SimSun"/>
          <w:sz w:val="24"/>
          <w:szCs w:val="24"/>
          <w:lang w:eastAsia="zh-CN"/>
        </w:rPr>
        <w:t>的全</w:t>
      </w:r>
      <w:r w:rsidRPr="00BB084B">
        <w:rPr>
          <w:rFonts w:eastAsia="SimSun" w:hint="eastAsia"/>
          <w:sz w:val="24"/>
          <w:szCs w:val="24"/>
          <w:lang w:eastAsia="zh-CN"/>
        </w:rPr>
        <w:t>权证书原件</w:t>
      </w:r>
      <w:r w:rsidRPr="00BB084B">
        <w:rPr>
          <w:rFonts w:eastAsia="SimSun"/>
          <w:sz w:val="24"/>
          <w:szCs w:val="24"/>
          <w:lang w:eastAsia="zh-CN"/>
        </w:rPr>
        <w:t>。根据以往</w:t>
      </w:r>
      <w:r w:rsidRPr="00BB084B">
        <w:rPr>
          <w:rFonts w:eastAsia="SimSun" w:hint="eastAsia"/>
          <w:sz w:val="24"/>
          <w:szCs w:val="24"/>
          <w:lang w:eastAsia="zh-CN"/>
        </w:rPr>
        <w:t>惯</w:t>
      </w:r>
      <w:r w:rsidRPr="00BB084B">
        <w:rPr>
          <w:rFonts w:eastAsia="SimSun"/>
          <w:sz w:val="24"/>
          <w:szCs w:val="24"/>
          <w:lang w:eastAsia="zh-CN"/>
        </w:rPr>
        <w:t>例，</w:t>
      </w:r>
      <w:r w:rsidRPr="00BB084B">
        <w:rPr>
          <w:rFonts w:eastAsia="SimSun" w:hint="eastAsia"/>
          <w:sz w:val="24"/>
          <w:szCs w:val="24"/>
          <w:lang w:eastAsia="zh-CN"/>
        </w:rPr>
        <w:t>缔约方大会</w:t>
      </w:r>
      <w:r w:rsidRPr="00BB084B">
        <w:rPr>
          <w:rFonts w:eastAsia="SimSun"/>
          <w:sz w:val="24"/>
          <w:szCs w:val="24"/>
          <w:lang w:eastAsia="zh-CN"/>
        </w:rPr>
        <w:t>同意主席</w:t>
      </w:r>
      <w:r w:rsidRPr="00BB084B">
        <w:rPr>
          <w:rFonts w:eastAsia="SimSun" w:hint="eastAsia"/>
          <w:sz w:val="24"/>
          <w:szCs w:val="24"/>
          <w:lang w:eastAsia="zh-CN"/>
        </w:rPr>
        <w:t>团</w:t>
      </w:r>
      <w:r w:rsidRPr="00BB084B">
        <w:rPr>
          <w:rFonts w:eastAsia="SimSun"/>
          <w:sz w:val="24"/>
          <w:szCs w:val="24"/>
          <w:lang w:eastAsia="zh-CN"/>
        </w:rPr>
        <w:t>的建</w:t>
      </w:r>
      <w:r w:rsidRPr="00BB084B">
        <w:rPr>
          <w:rFonts w:eastAsia="SimSun" w:hint="eastAsia"/>
          <w:sz w:val="24"/>
          <w:szCs w:val="24"/>
          <w:lang w:eastAsia="zh-CN"/>
        </w:rPr>
        <w:t>议</w:t>
      </w:r>
      <w:r w:rsidRPr="00BB084B">
        <w:rPr>
          <w:rFonts w:eastAsia="SimSun"/>
          <w:sz w:val="24"/>
          <w:szCs w:val="24"/>
          <w:lang w:eastAsia="zh-CN"/>
        </w:rPr>
        <w:t>，</w:t>
      </w:r>
      <w:r w:rsidRPr="00BB084B">
        <w:rPr>
          <w:rFonts w:eastAsia="SimSun" w:hint="eastAsia"/>
          <w:sz w:val="24"/>
          <w:szCs w:val="24"/>
          <w:lang w:eastAsia="zh-CN"/>
        </w:rPr>
        <w:t>让</w:t>
      </w:r>
      <w:r w:rsidR="00BB084B" w:rsidRPr="00BB084B">
        <w:rPr>
          <w:rFonts w:eastAsia="SimSun" w:hint="eastAsia"/>
          <w:sz w:val="24"/>
          <w:szCs w:val="24"/>
          <w:lang w:eastAsia="zh-CN"/>
        </w:rPr>
        <w:t>尚未</w:t>
      </w:r>
      <w:r w:rsidRPr="00BB084B">
        <w:rPr>
          <w:rFonts w:eastAsia="SimSun"/>
          <w:sz w:val="24"/>
          <w:szCs w:val="24"/>
          <w:lang w:eastAsia="zh-CN"/>
        </w:rPr>
        <w:t>提交全</w:t>
      </w:r>
      <w:r w:rsidRPr="00BB084B">
        <w:rPr>
          <w:rFonts w:eastAsia="SimSun" w:hint="eastAsia"/>
          <w:sz w:val="24"/>
          <w:szCs w:val="24"/>
          <w:lang w:eastAsia="zh-CN"/>
        </w:rPr>
        <w:t>权证书</w:t>
      </w:r>
      <w:r w:rsidRPr="00BB084B">
        <w:rPr>
          <w:rFonts w:eastAsia="SimSun"/>
          <w:sz w:val="24"/>
          <w:szCs w:val="24"/>
          <w:lang w:eastAsia="zh-CN"/>
        </w:rPr>
        <w:t>的代表</w:t>
      </w:r>
      <w:r w:rsidRPr="00BB084B">
        <w:rPr>
          <w:rFonts w:eastAsia="SimSun" w:hint="eastAsia"/>
          <w:sz w:val="24"/>
          <w:szCs w:val="24"/>
          <w:lang w:eastAsia="zh-CN"/>
        </w:rPr>
        <w:t>团</w:t>
      </w:r>
      <w:r w:rsidRPr="00BB084B">
        <w:rPr>
          <w:rFonts w:eastAsia="SimSun"/>
          <w:sz w:val="24"/>
          <w:szCs w:val="24"/>
          <w:lang w:eastAsia="zh-CN"/>
        </w:rPr>
        <w:t>或全</w:t>
      </w:r>
      <w:r w:rsidRPr="00BB084B">
        <w:rPr>
          <w:rFonts w:eastAsia="SimSun" w:hint="eastAsia"/>
          <w:sz w:val="24"/>
          <w:szCs w:val="24"/>
          <w:lang w:eastAsia="zh-CN"/>
        </w:rPr>
        <w:t>权证书</w:t>
      </w:r>
      <w:r w:rsidRPr="00BB084B">
        <w:rPr>
          <w:rFonts w:eastAsia="SimSun"/>
          <w:sz w:val="24"/>
          <w:szCs w:val="24"/>
          <w:lang w:eastAsia="zh-CN"/>
        </w:rPr>
        <w:t>不完全符合</w:t>
      </w:r>
      <w:r w:rsidRPr="00BB084B">
        <w:rPr>
          <w:rFonts w:eastAsia="SimSun" w:hint="eastAsia"/>
          <w:sz w:val="24"/>
          <w:szCs w:val="24"/>
          <w:lang w:eastAsia="zh-CN"/>
        </w:rPr>
        <w:t>议</w:t>
      </w:r>
      <w:r w:rsidRPr="00BB084B">
        <w:rPr>
          <w:rFonts w:eastAsia="SimSun"/>
          <w:sz w:val="24"/>
          <w:szCs w:val="24"/>
          <w:lang w:eastAsia="zh-CN"/>
        </w:rPr>
        <w:t>事</w:t>
      </w:r>
      <w:r w:rsidRPr="00BB084B">
        <w:rPr>
          <w:rFonts w:eastAsia="SimSun" w:hint="eastAsia"/>
          <w:sz w:val="24"/>
          <w:szCs w:val="24"/>
          <w:lang w:eastAsia="zh-CN"/>
        </w:rPr>
        <w:t>规则</w:t>
      </w:r>
      <w:r w:rsidRPr="00BB084B">
        <w:rPr>
          <w:rFonts w:eastAsia="SimSun"/>
          <w:sz w:val="24"/>
          <w:szCs w:val="24"/>
          <w:lang w:eastAsia="zh-CN"/>
        </w:rPr>
        <w:t>第</w:t>
      </w:r>
      <w:r w:rsidRPr="00BB084B">
        <w:rPr>
          <w:rFonts w:eastAsia="SimSun"/>
          <w:sz w:val="24"/>
          <w:szCs w:val="24"/>
          <w:lang w:eastAsia="zh-CN"/>
        </w:rPr>
        <w:t>18</w:t>
      </w:r>
      <w:r w:rsidRPr="00BB084B">
        <w:rPr>
          <w:rFonts w:eastAsia="SimSun" w:hint="eastAsia"/>
          <w:sz w:val="24"/>
          <w:szCs w:val="24"/>
          <w:lang w:eastAsia="zh-CN"/>
        </w:rPr>
        <w:t>条规</w:t>
      </w:r>
      <w:r w:rsidRPr="00BB084B">
        <w:rPr>
          <w:rFonts w:eastAsia="SimSun"/>
          <w:sz w:val="24"/>
          <w:szCs w:val="24"/>
          <w:lang w:eastAsia="zh-CN"/>
        </w:rPr>
        <w:t>定的代表</w:t>
      </w:r>
      <w:r w:rsidRPr="00BB084B">
        <w:rPr>
          <w:rFonts w:eastAsia="SimSun" w:hint="eastAsia"/>
          <w:sz w:val="24"/>
          <w:szCs w:val="24"/>
          <w:lang w:eastAsia="zh-CN"/>
        </w:rPr>
        <w:t>团</w:t>
      </w:r>
      <w:r w:rsidRPr="00BB084B">
        <w:rPr>
          <w:rFonts w:eastAsia="SimSun"/>
          <w:sz w:val="24"/>
          <w:szCs w:val="24"/>
          <w:lang w:eastAsia="zh-CN"/>
        </w:rPr>
        <w:t>在</w:t>
      </w:r>
      <w:r w:rsidRPr="00BB084B">
        <w:rPr>
          <w:rFonts w:eastAsia="SimSun" w:hint="eastAsia"/>
          <w:sz w:val="24"/>
          <w:szCs w:val="24"/>
          <w:lang w:eastAsia="zh-CN"/>
        </w:rPr>
        <w:t>临时</w:t>
      </w:r>
      <w:r w:rsidRPr="00BB084B">
        <w:rPr>
          <w:rFonts w:eastAsia="SimSun"/>
          <w:sz w:val="24"/>
          <w:szCs w:val="24"/>
          <w:lang w:eastAsia="zh-CN"/>
        </w:rPr>
        <w:t>的基</w:t>
      </w:r>
      <w:r w:rsidRPr="00BB084B">
        <w:rPr>
          <w:rFonts w:eastAsia="SimSun" w:hint="eastAsia"/>
          <w:sz w:val="24"/>
          <w:szCs w:val="24"/>
          <w:lang w:eastAsia="zh-CN"/>
        </w:rPr>
        <w:t>础</w:t>
      </w:r>
      <w:r w:rsidRPr="00BB084B">
        <w:rPr>
          <w:rFonts w:eastAsia="SimSun"/>
          <w:sz w:val="24"/>
          <w:szCs w:val="24"/>
          <w:lang w:eastAsia="zh-CN"/>
        </w:rPr>
        <w:t>上全面</w:t>
      </w:r>
      <w:r w:rsidRPr="00BB084B">
        <w:rPr>
          <w:rFonts w:eastAsia="SimSun" w:hint="eastAsia"/>
          <w:sz w:val="24"/>
          <w:szCs w:val="24"/>
          <w:lang w:eastAsia="zh-CN"/>
        </w:rPr>
        <w:t>参</w:t>
      </w:r>
      <w:r w:rsidRPr="00BB084B">
        <w:rPr>
          <w:rFonts w:eastAsia="SimSun"/>
          <w:sz w:val="24"/>
          <w:szCs w:val="24"/>
          <w:lang w:eastAsia="zh-CN"/>
        </w:rPr>
        <w:t>加</w:t>
      </w:r>
      <w:r w:rsidRPr="00BB084B">
        <w:rPr>
          <w:rFonts w:eastAsia="SimSun" w:hint="eastAsia"/>
          <w:sz w:val="24"/>
          <w:szCs w:val="24"/>
          <w:lang w:eastAsia="zh-CN"/>
        </w:rPr>
        <w:t>会议。</w:t>
      </w:r>
    </w:p>
    <w:p w:rsidR="00BB084B" w:rsidRDefault="00BB084B" w:rsidP="00BB084B">
      <w:pPr>
        <w:pStyle w:val="Para1"/>
        <w:numPr>
          <w:ilvl w:val="0"/>
          <w:numId w:val="9"/>
        </w:numPr>
        <w:tabs>
          <w:tab w:val="clear" w:pos="360"/>
          <w:tab w:val="left" w:pos="720"/>
        </w:tabs>
        <w:snapToGrid w:val="0"/>
        <w:ind w:firstLine="0"/>
        <w:rPr>
          <w:rFonts w:eastAsia="SimSun"/>
          <w:sz w:val="24"/>
          <w:szCs w:val="24"/>
          <w:lang w:eastAsia="zh-CN"/>
        </w:rPr>
      </w:pPr>
      <w:r w:rsidRPr="007903C4">
        <w:rPr>
          <w:rFonts w:eastAsia="SimSun" w:hint="eastAsia"/>
          <w:sz w:val="24"/>
          <w:szCs w:val="24"/>
          <w:lang w:eastAsia="zh-CN"/>
        </w:rPr>
        <w:t>主席</w:t>
      </w:r>
      <w:r>
        <w:rPr>
          <w:rFonts w:eastAsia="SimSun" w:hint="eastAsia"/>
          <w:sz w:val="24"/>
          <w:szCs w:val="24"/>
          <w:lang w:eastAsia="zh-CN"/>
        </w:rPr>
        <w:t>表示希望</w:t>
      </w:r>
      <w:r w:rsidRPr="007903C4">
        <w:rPr>
          <w:rFonts w:eastAsia="SimSun"/>
          <w:sz w:val="24"/>
          <w:szCs w:val="24"/>
          <w:lang w:eastAsia="zh-CN"/>
        </w:rPr>
        <w:t>所有</w:t>
      </w:r>
      <w:r w:rsidRPr="007903C4">
        <w:rPr>
          <w:rFonts w:eastAsia="SimSun" w:hint="eastAsia"/>
          <w:sz w:val="24"/>
          <w:szCs w:val="24"/>
          <w:lang w:eastAsia="zh-CN"/>
        </w:rPr>
        <w:t>被要求</w:t>
      </w:r>
      <w:r w:rsidRPr="007903C4">
        <w:rPr>
          <w:rFonts w:eastAsia="SimSun"/>
          <w:sz w:val="24"/>
          <w:szCs w:val="24"/>
          <w:lang w:eastAsia="zh-CN"/>
        </w:rPr>
        <w:t>向</w:t>
      </w:r>
      <w:r w:rsidRPr="007903C4">
        <w:rPr>
          <w:rFonts w:eastAsia="SimSun" w:hint="eastAsia"/>
          <w:sz w:val="24"/>
          <w:szCs w:val="24"/>
          <w:lang w:eastAsia="zh-CN"/>
        </w:rPr>
        <w:t>执</w:t>
      </w:r>
      <w:r w:rsidRPr="007903C4">
        <w:rPr>
          <w:rFonts w:eastAsia="SimSun"/>
          <w:sz w:val="24"/>
          <w:szCs w:val="24"/>
          <w:lang w:eastAsia="zh-CN"/>
        </w:rPr>
        <w:t>行秘</w:t>
      </w:r>
      <w:r w:rsidRPr="007903C4">
        <w:rPr>
          <w:rFonts w:eastAsia="SimSun" w:hint="eastAsia"/>
          <w:sz w:val="24"/>
          <w:szCs w:val="24"/>
          <w:lang w:eastAsia="zh-CN"/>
        </w:rPr>
        <w:t>书</w:t>
      </w:r>
      <w:r w:rsidRPr="007903C4">
        <w:rPr>
          <w:rFonts w:eastAsia="SimSun"/>
          <w:sz w:val="24"/>
          <w:szCs w:val="24"/>
          <w:lang w:eastAsia="zh-CN"/>
        </w:rPr>
        <w:t>提交</w:t>
      </w:r>
      <w:r w:rsidRPr="007903C4">
        <w:rPr>
          <w:rFonts w:eastAsia="SimSun" w:hint="eastAsia"/>
          <w:sz w:val="24"/>
          <w:szCs w:val="24"/>
          <w:lang w:eastAsia="zh-CN"/>
        </w:rPr>
        <w:t>请</w:t>
      </w:r>
      <w:r w:rsidRPr="007903C4">
        <w:rPr>
          <w:rFonts w:eastAsia="SimSun"/>
          <w:sz w:val="24"/>
          <w:szCs w:val="24"/>
          <w:lang w:eastAsia="zh-CN"/>
        </w:rPr>
        <w:t>全</w:t>
      </w:r>
      <w:r w:rsidRPr="007903C4">
        <w:rPr>
          <w:rFonts w:eastAsia="SimSun" w:hint="eastAsia"/>
          <w:sz w:val="24"/>
          <w:szCs w:val="24"/>
          <w:lang w:eastAsia="zh-CN"/>
        </w:rPr>
        <w:t>权证书</w:t>
      </w:r>
      <w:r w:rsidRPr="007903C4">
        <w:rPr>
          <w:rFonts w:eastAsia="SimSun"/>
          <w:sz w:val="24"/>
          <w:szCs w:val="24"/>
          <w:lang w:eastAsia="zh-CN"/>
        </w:rPr>
        <w:t>的代表</w:t>
      </w:r>
      <w:r w:rsidRPr="007903C4">
        <w:rPr>
          <w:rFonts w:eastAsia="SimSun" w:hint="eastAsia"/>
          <w:sz w:val="24"/>
          <w:szCs w:val="24"/>
          <w:lang w:eastAsia="zh-CN"/>
        </w:rPr>
        <w:t>团于</w:t>
      </w:r>
      <w:r>
        <w:rPr>
          <w:rFonts w:eastAsia="SimSun"/>
          <w:sz w:val="24"/>
          <w:szCs w:val="24"/>
          <w:lang w:eastAsia="zh-CN"/>
        </w:rPr>
        <w:t>2019</w:t>
      </w:r>
      <w:r w:rsidRPr="007903C4">
        <w:rPr>
          <w:rFonts w:eastAsia="SimSun" w:hint="eastAsia"/>
          <w:sz w:val="24"/>
          <w:szCs w:val="24"/>
          <w:lang w:eastAsia="zh-CN"/>
        </w:rPr>
        <w:t>年</w:t>
      </w:r>
      <w:r w:rsidRPr="007903C4">
        <w:rPr>
          <w:rFonts w:eastAsia="SimSun"/>
          <w:sz w:val="24"/>
          <w:szCs w:val="24"/>
          <w:lang w:eastAsia="zh-CN"/>
        </w:rPr>
        <w:t>1</w:t>
      </w:r>
      <w:r>
        <w:rPr>
          <w:rFonts w:eastAsia="SimSun"/>
          <w:sz w:val="24"/>
          <w:szCs w:val="24"/>
          <w:lang w:eastAsia="zh-CN"/>
        </w:rPr>
        <w:t>2</w:t>
      </w:r>
      <w:r w:rsidRPr="007903C4">
        <w:rPr>
          <w:rFonts w:eastAsia="SimSun" w:hint="eastAsia"/>
          <w:sz w:val="24"/>
          <w:szCs w:val="24"/>
          <w:lang w:eastAsia="zh-CN"/>
        </w:rPr>
        <w:t>月</w:t>
      </w:r>
      <w:r>
        <w:rPr>
          <w:rFonts w:eastAsia="SimSun" w:hint="eastAsia"/>
          <w:sz w:val="24"/>
          <w:szCs w:val="24"/>
          <w:lang w:eastAsia="zh-CN"/>
        </w:rPr>
        <w:t>29</w:t>
      </w:r>
      <w:r w:rsidRPr="007903C4">
        <w:rPr>
          <w:rFonts w:eastAsia="SimSun" w:hint="eastAsia"/>
          <w:sz w:val="24"/>
          <w:szCs w:val="24"/>
          <w:lang w:eastAsia="zh-CN"/>
        </w:rPr>
        <w:t>日之前提交其</w:t>
      </w:r>
      <w:r w:rsidRPr="007903C4">
        <w:rPr>
          <w:rFonts w:eastAsia="SimSun"/>
          <w:sz w:val="24"/>
          <w:szCs w:val="24"/>
          <w:lang w:eastAsia="zh-CN"/>
        </w:rPr>
        <w:t>全</w:t>
      </w:r>
      <w:r w:rsidRPr="007903C4">
        <w:rPr>
          <w:rFonts w:eastAsia="SimSun" w:hint="eastAsia"/>
          <w:sz w:val="24"/>
          <w:szCs w:val="24"/>
          <w:lang w:eastAsia="zh-CN"/>
        </w:rPr>
        <w:t>权证书。</w:t>
      </w:r>
      <w:r>
        <w:rPr>
          <w:rFonts w:eastAsia="SimSun" w:hint="eastAsia"/>
          <w:sz w:val="24"/>
          <w:szCs w:val="24"/>
          <w:lang w:eastAsia="zh-CN"/>
        </w:rPr>
        <w:t>缔约方大会第十四</w:t>
      </w:r>
      <w:r>
        <w:rPr>
          <w:rFonts w:eastAsia="SimSun"/>
          <w:sz w:val="24"/>
          <w:szCs w:val="24"/>
          <w:lang w:eastAsia="zh-CN"/>
        </w:rPr>
        <w:t>届会议后，又收到了</w:t>
      </w:r>
      <w:r>
        <w:rPr>
          <w:rFonts w:eastAsia="SimSun" w:hint="eastAsia"/>
          <w:sz w:val="24"/>
          <w:szCs w:val="24"/>
          <w:lang w:eastAsia="zh-CN"/>
        </w:rPr>
        <w:t>12</w:t>
      </w:r>
      <w:r>
        <w:rPr>
          <w:rFonts w:eastAsia="SimSun" w:hint="eastAsia"/>
          <w:sz w:val="24"/>
          <w:szCs w:val="24"/>
          <w:lang w:eastAsia="zh-CN"/>
        </w:rPr>
        <w:t>个</w:t>
      </w:r>
      <w:r>
        <w:rPr>
          <w:rFonts w:eastAsia="SimSun"/>
          <w:sz w:val="24"/>
          <w:szCs w:val="24"/>
          <w:lang w:eastAsia="zh-CN"/>
        </w:rPr>
        <w:t>缔约方的全权证书。</w:t>
      </w:r>
    </w:p>
    <w:p w:rsidR="009E7718" w:rsidRPr="009E7718" w:rsidRDefault="00BB084B" w:rsidP="00B6762D">
      <w:pPr>
        <w:pStyle w:val="Para1"/>
        <w:numPr>
          <w:ilvl w:val="0"/>
          <w:numId w:val="9"/>
        </w:numPr>
        <w:tabs>
          <w:tab w:val="clear" w:pos="360"/>
          <w:tab w:val="left" w:pos="720"/>
        </w:tabs>
        <w:ind w:firstLine="0"/>
        <w:rPr>
          <w:rFonts w:eastAsia="SimSun"/>
          <w:sz w:val="24"/>
          <w:lang w:eastAsia="zh-CN"/>
        </w:rPr>
      </w:pPr>
      <w:r w:rsidRPr="009E7718">
        <w:rPr>
          <w:rFonts w:eastAsia="SimSun" w:hint="eastAsia"/>
          <w:sz w:val="24"/>
          <w:szCs w:val="24"/>
          <w:lang w:eastAsia="zh-CN"/>
        </w:rPr>
        <w:t>截至</w:t>
      </w:r>
      <w:r w:rsidRPr="009E7718">
        <w:rPr>
          <w:rFonts w:eastAsia="SimSun"/>
          <w:sz w:val="24"/>
          <w:szCs w:val="24"/>
          <w:lang w:eastAsia="zh-CN"/>
        </w:rPr>
        <w:t>本报告印发之日，</w:t>
      </w:r>
      <w:r w:rsidRPr="009E7718">
        <w:rPr>
          <w:rFonts w:eastAsia="SimSun" w:hint="eastAsia"/>
          <w:sz w:val="24"/>
          <w:szCs w:val="24"/>
          <w:lang w:eastAsia="zh-CN"/>
        </w:rPr>
        <w:t>自</w:t>
      </w:r>
      <w:r w:rsidRPr="009E7718">
        <w:rPr>
          <w:rFonts w:eastAsia="SimSun"/>
          <w:sz w:val="24"/>
          <w:szCs w:val="24"/>
          <w:lang w:eastAsia="zh-CN"/>
        </w:rPr>
        <w:t>以下</w:t>
      </w:r>
      <w:r w:rsidRPr="009E7718">
        <w:rPr>
          <w:rFonts w:eastAsia="SimSun" w:hint="eastAsia"/>
          <w:sz w:val="24"/>
          <w:szCs w:val="24"/>
          <w:lang w:eastAsia="zh-CN"/>
        </w:rPr>
        <w:t>160</w:t>
      </w:r>
      <w:r w:rsidRPr="009E7718">
        <w:rPr>
          <w:rFonts w:eastAsia="SimSun" w:hint="eastAsia"/>
          <w:sz w:val="24"/>
          <w:szCs w:val="24"/>
          <w:lang w:eastAsia="zh-CN"/>
        </w:rPr>
        <w:t>个</w:t>
      </w:r>
      <w:r w:rsidRPr="009E7718">
        <w:rPr>
          <w:rFonts w:eastAsia="SimSun"/>
          <w:sz w:val="24"/>
          <w:szCs w:val="24"/>
          <w:lang w:eastAsia="zh-CN"/>
        </w:rPr>
        <w:t>缔约方收到了完全符合议事规则第</w:t>
      </w:r>
      <w:r w:rsidRPr="009E7718">
        <w:rPr>
          <w:rFonts w:eastAsia="SimSun" w:hint="eastAsia"/>
          <w:sz w:val="24"/>
          <w:szCs w:val="24"/>
          <w:lang w:eastAsia="zh-CN"/>
        </w:rPr>
        <w:t>18</w:t>
      </w:r>
      <w:r w:rsidRPr="009E7718">
        <w:rPr>
          <w:rFonts w:eastAsia="SimSun" w:hint="eastAsia"/>
          <w:sz w:val="24"/>
          <w:szCs w:val="24"/>
          <w:lang w:eastAsia="zh-CN"/>
        </w:rPr>
        <w:t>条</w:t>
      </w:r>
      <w:r w:rsidRPr="009E7718">
        <w:rPr>
          <w:rFonts w:eastAsia="SimSun"/>
          <w:sz w:val="24"/>
          <w:szCs w:val="24"/>
          <w:lang w:eastAsia="zh-CN"/>
        </w:rPr>
        <w:t>的</w:t>
      </w:r>
      <w:r w:rsidRPr="009E7718">
        <w:rPr>
          <w:rFonts w:eastAsia="SimSun" w:hint="eastAsia"/>
          <w:sz w:val="24"/>
          <w:szCs w:val="24"/>
          <w:lang w:eastAsia="zh-CN"/>
        </w:rPr>
        <w:t>全权证书：</w:t>
      </w:r>
      <w:r w:rsidR="00053542" w:rsidRPr="009E7718">
        <w:rPr>
          <w:rFonts w:eastAsia="SimSun" w:hint="eastAsia"/>
          <w:sz w:val="24"/>
          <w:szCs w:val="24"/>
          <w:lang w:eastAsia="zh-CN"/>
        </w:rPr>
        <w:t>阿尔巴尼亚、安哥拉、安提瓜和巴布达、阿根廷、亚</w:t>
      </w:r>
      <w:r w:rsidR="00053542" w:rsidRPr="009E7718">
        <w:rPr>
          <w:rFonts w:eastAsia="SimSun"/>
          <w:sz w:val="24"/>
          <w:szCs w:val="24"/>
          <w:lang w:eastAsia="zh-CN"/>
        </w:rPr>
        <w:t>美尼</w:t>
      </w:r>
      <w:r w:rsidR="00053542" w:rsidRPr="009E7718">
        <w:rPr>
          <w:rFonts w:eastAsia="SimSun" w:hint="eastAsia"/>
          <w:sz w:val="24"/>
          <w:szCs w:val="24"/>
          <w:lang w:eastAsia="zh-CN"/>
        </w:rPr>
        <w:t>亚、奥</w:t>
      </w:r>
      <w:r w:rsidR="00053542" w:rsidRPr="009E7718">
        <w:rPr>
          <w:rFonts w:eastAsia="SimSun"/>
          <w:sz w:val="24"/>
          <w:szCs w:val="24"/>
          <w:lang w:eastAsia="zh-CN"/>
        </w:rPr>
        <w:t>地利</w:t>
      </w:r>
      <w:r w:rsidR="00053542" w:rsidRPr="009E7718">
        <w:rPr>
          <w:rFonts w:eastAsia="SimSun" w:hint="eastAsia"/>
          <w:sz w:val="24"/>
          <w:szCs w:val="24"/>
          <w:lang w:eastAsia="zh-CN"/>
        </w:rPr>
        <w:t>、阿塞拜疆、巴林、孟加拉国、白俄罗</w:t>
      </w:r>
      <w:r w:rsidR="00053542" w:rsidRPr="009E7718">
        <w:rPr>
          <w:rFonts w:eastAsia="SimSun"/>
          <w:sz w:val="24"/>
          <w:szCs w:val="24"/>
          <w:lang w:eastAsia="zh-CN"/>
        </w:rPr>
        <w:t>斯</w:t>
      </w:r>
      <w:r w:rsidR="00053542" w:rsidRPr="009E7718">
        <w:rPr>
          <w:rFonts w:eastAsia="SimSun" w:hint="eastAsia"/>
          <w:sz w:val="24"/>
          <w:szCs w:val="24"/>
          <w:lang w:eastAsia="zh-CN"/>
        </w:rPr>
        <w:t>、比利时、伯利兹、贝</w:t>
      </w:r>
      <w:r w:rsidR="00053542" w:rsidRPr="009E7718">
        <w:rPr>
          <w:rFonts w:eastAsia="SimSun"/>
          <w:sz w:val="24"/>
          <w:szCs w:val="24"/>
          <w:lang w:eastAsia="zh-CN"/>
        </w:rPr>
        <w:t>宁</w:t>
      </w:r>
      <w:r w:rsidR="00053542" w:rsidRPr="009E7718">
        <w:rPr>
          <w:rFonts w:eastAsia="SimSun" w:hint="eastAsia"/>
          <w:sz w:val="24"/>
          <w:szCs w:val="24"/>
          <w:lang w:eastAsia="zh-CN"/>
        </w:rPr>
        <w:t>、玻利维亚、波斯尼亚</w:t>
      </w:r>
      <w:r w:rsidR="00053542" w:rsidRPr="009E7718">
        <w:rPr>
          <w:rFonts w:eastAsia="SimSun"/>
          <w:sz w:val="24"/>
          <w:szCs w:val="24"/>
          <w:lang w:eastAsia="zh-CN"/>
        </w:rPr>
        <w:t>和黑塞哥</w:t>
      </w:r>
      <w:r w:rsidR="00053542" w:rsidRPr="009E7718">
        <w:rPr>
          <w:rFonts w:eastAsia="SimSun" w:hint="eastAsia"/>
          <w:sz w:val="24"/>
          <w:szCs w:val="24"/>
          <w:lang w:eastAsia="zh-CN"/>
        </w:rPr>
        <w:t>维</w:t>
      </w:r>
      <w:r w:rsidR="00053542" w:rsidRPr="009E7718">
        <w:rPr>
          <w:rFonts w:eastAsia="SimSun"/>
          <w:sz w:val="24"/>
          <w:szCs w:val="24"/>
          <w:lang w:eastAsia="zh-CN"/>
        </w:rPr>
        <w:t>那</w:t>
      </w:r>
      <w:r w:rsidR="00053542" w:rsidRPr="009E7718">
        <w:rPr>
          <w:rFonts w:eastAsia="SimSun" w:hint="eastAsia"/>
          <w:sz w:val="24"/>
          <w:szCs w:val="24"/>
          <w:lang w:eastAsia="zh-CN"/>
        </w:rPr>
        <w:t>、博茨瓦纳、巴西、保加利亚、布吉纳</w:t>
      </w:r>
      <w:r w:rsidR="00053542" w:rsidRPr="009E7718">
        <w:rPr>
          <w:rFonts w:eastAsia="SimSun"/>
          <w:sz w:val="24"/>
          <w:szCs w:val="24"/>
          <w:lang w:eastAsia="zh-CN"/>
        </w:rPr>
        <w:t>法索</w:t>
      </w:r>
      <w:r w:rsidR="00053542" w:rsidRPr="009E7718">
        <w:rPr>
          <w:rFonts w:eastAsia="SimSun" w:hint="eastAsia"/>
          <w:sz w:val="24"/>
          <w:szCs w:val="24"/>
          <w:lang w:eastAsia="zh-CN"/>
        </w:rPr>
        <w:t>、布隆迪、佛得角、柬埔</w:t>
      </w:r>
      <w:r w:rsidR="00053542" w:rsidRPr="009E7718">
        <w:rPr>
          <w:rFonts w:eastAsia="SimSun"/>
          <w:sz w:val="24"/>
          <w:szCs w:val="24"/>
          <w:lang w:eastAsia="zh-CN"/>
        </w:rPr>
        <w:t>寨</w:t>
      </w:r>
      <w:r w:rsidR="00053542" w:rsidRPr="009E7718">
        <w:rPr>
          <w:rFonts w:eastAsia="SimSun" w:hint="eastAsia"/>
          <w:sz w:val="24"/>
          <w:szCs w:val="24"/>
          <w:lang w:eastAsia="zh-CN"/>
        </w:rPr>
        <w:t>、喀麦</w:t>
      </w:r>
      <w:r w:rsidR="00053542" w:rsidRPr="009E7718">
        <w:rPr>
          <w:rFonts w:eastAsia="SimSun"/>
          <w:sz w:val="24"/>
          <w:szCs w:val="24"/>
          <w:lang w:eastAsia="zh-CN"/>
        </w:rPr>
        <w:t>隆</w:t>
      </w:r>
      <w:r w:rsidR="00053542" w:rsidRPr="009E7718">
        <w:rPr>
          <w:rFonts w:eastAsia="SimSun" w:hint="eastAsia"/>
          <w:sz w:val="24"/>
          <w:szCs w:val="24"/>
          <w:lang w:eastAsia="zh-CN"/>
        </w:rPr>
        <w:t>、加拿大、中非共和国、乍得、智利、中国、哥伦</w:t>
      </w:r>
      <w:r w:rsidR="00053542" w:rsidRPr="009E7718">
        <w:rPr>
          <w:rFonts w:eastAsia="SimSun"/>
          <w:sz w:val="24"/>
          <w:szCs w:val="24"/>
          <w:lang w:eastAsia="zh-CN"/>
        </w:rPr>
        <w:t>比</w:t>
      </w:r>
      <w:r w:rsidR="00053542" w:rsidRPr="009E7718">
        <w:rPr>
          <w:rFonts w:eastAsia="SimSun" w:hint="eastAsia"/>
          <w:sz w:val="24"/>
          <w:szCs w:val="24"/>
          <w:lang w:eastAsia="zh-CN"/>
        </w:rPr>
        <w:t>亚、库</w:t>
      </w:r>
      <w:r w:rsidR="00053542" w:rsidRPr="009E7718">
        <w:rPr>
          <w:rFonts w:eastAsia="SimSun"/>
          <w:sz w:val="24"/>
          <w:szCs w:val="24"/>
          <w:lang w:eastAsia="zh-CN"/>
        </w:rPr>
        <w:t>克群</w:t>
      </w:r>
      <w:r w:rsidR="00053542" w:rsidRPr="009E7718">
        <w:rPr>
          <w:rFonts w:eastAsia="SimSun" w:hint="eastAsia"/>
          <w:sz w:val="24"/>
          <w:szCs w:val="24"/>
          <w:lang w:eastAsia="zh-CN"/>
        </w:rPr>
        <w:t>岛、哥斯达</w:t>
      </w:r>
      <w:r w:rsidR="00053542" w:rsidRPr="009E7718">
        <w:rPr>
          <w:rFonts w:eastAsia="SimSun"/>
          <w:sz w:val="24"/>
          <w:szCs w:val="24"/>
          <w:lang w:eastAsia="zh-CN"/>
        </w:rPr>
        <w:t>黎加</w:t>
      </w:r>
      <w:r w:rsidR="00053542" w:rsidRPr="009E7718">
        <w:rPr>
          <w:rFonts w:eastAsia="SimSun" w:hint="eastAsia"/>
          <w:sz w:val="24"/>
          <w:szCs w:val="24"/>
          <w:lang w:eastAsia="zh-CN"/>
        </w:rPr>
        <w:t>、科特迪瓦、克罗</w:t>
      </w:r>
      <w:r w:rsidR="00053542" w:rsidRPr="009E7718">
        <w:rPr>
          <w:rFonts w:eastAsia="SimSun"/>
          <w:sz w:val="24"/>
          <w:szCs w:val="24"/>
          <w:lang w:eastAsia="zh-CN"/>
        </w:rPr>
        <w:t>地</w:t>
      </w:r>
      <w:r w:rsidR="00053542" w:rsidRPr="009E7718">
        <w:rPr>
          <w:rFonts w:eastAsia="SimSun" w:hint="eastAsia"/>
          <w:sz w:val="24"/>
          <w:szCs w:val="24"/>
          <w:lang w:eastAsia="zh-CN"/>
        </w:rPr>
        <w:t>亚、古巴</w:t>
      </w:r>
      <w:r w:rsidR="00053542" w:rsidRPr="009E7718">
        <w:rPr>
          <w:rFonts w:eastAsia="SimSun"/>
          <w:sz w:val="24"/>
          <w:szCs w:val="24"/>
          <w:lang w:eastAsia="zh-CN"/>
        </w:rPr>
        <w:t>、</w:t>
      </w:r>
      <w:r w:rsidR="00053542" w:rsidRPr="009E7718">
        <w:rPr>
          <w:rFonts w:eastAsia="SimSun" w:hint="eastAsia"/>
          <w:sz w:val="24"/>
          <w:szCs w:val="24"/>
          <w:lang w:eastAsia="zh-CN"/>
        </w:rPr>
        <w:t>捷克、朝鲜</w:t>
      </w:r>
      <w:r w:rsidR="00053542" w:rsidRPr="009E7718">
        <w:rPr>
          <w:rFonts w:eastAsia="SimSun"/>
          <w:sz w:val="24"/>
          <w:szCs w:val="24"/>
          <w:lang w:eastAsia="zh-CN"/>
        </w:rPr>
        <w:t>民主主义人民共和国、</w:t>
      </w:r>
      <w:r w:rsidR="00053542" w:rsidRPr="009E7718">
        <w:rPr>
          <w:rFonts w:eastAsia="SimSun" w:hint="eastAsia"/>
          <w:sz w:val="24"/>
          <w:szCs w:val="24"/>
          <w:lang w:eastAsia="zh-CN"/>
        </w:rPr>
        <w:t>丹麦、多米尼加共和国、</w:t>
      </w:r>
      <w:r w:rsidR="009E7718" w:rsidRPr="009E7718">
        <w:rPr>
          <w:rFonts w:eastAsia="SimSun" w:hint="eastAsia"/>
          <w:sz w:val="24"/>
          <w:lang w:eastAsia="zh-CN"/>
        </w:rPr>
        <w:t>厄瓜多尔、埃及、萨</w:t>
      </w:r>
      <w:r w:rsidR="009E7718" w:rsidRPr="009E7718">
        <w:rPr>
          <w:rFonts w:eastAsia="SimSun"/>
          <w:sz w:val="24"/>
          <w:lang w:eastAsia="zh-CN"/>
        </w:rPr>
        <w:t>尔瓦多</w:t>
      </w:r>
      <w:r w:rsidR="009E7718" w:rsidRPr="009E7718">
        <w:rPr>
          <w:rFonts w:eastAsia="SimSun" w:hint="eastAsia"/>
          <w:sz w:val="24"/>
          <w:lang w:eastAsia="zh-CN"/>
        </w:rPr>
        <w:t>、厄立特里亚</w:t>
      </w:r>
      <w:r w:rsidR="009E7718" w:rsidRPr="009E7718">
        <w:rPr>
          <w:rFonts w:eastAsia="SimSun"/>
          <w:sz w:val="24"/>
          <w:lang w:eastAsia="zh-CN"/>
        </w:rPr>
        <w:t>、</w:t>
      </w:r>
      <w:r w:rsidR="009E7718" w:rsidRPr="009E7718">
        <w:rPr>
          <w:rFonts w:eastAsia="SimSun" w:hint="eastAsia"/>
          <w:sz w:val="24"/>
          <w:lang w:eastAsia="zh-CN"/>
        </w:rPr>
        <w:t>爱</w:t>
      </w:r>
      <w:r w:rsidR="009E7718" w:rsidRPr="009E7718">
        <w:rPr>
          <w:rFonts w:eastAsia="SimSun"/>
          <w:sz w:val="24"/>
          <w:lang w:eastAsia="zh-CN"/>
        </w:rPr>
        <w:t>沙尼</w:t>
      </w:r>
      <w:r w:rsidR="009E7718" w:rsidRPr="009E7718">
        <w:rPr>
          <w:rFonts w:eastAsia="SimSun" w:hint="eastAsia"/>
          <w:sz w:val="24"/>
          <w:lang w:eastAsia="zh-CN"/>
        </w:rPr>
        <w:t>亚、斯威士兰</w:t>
      </w:r>
      <w:r w:rsidR="009E7718" w:rsidRPr="009E7718">
        <w:rPr>
          <w:rFonts w:eastAsia="SimSun"/>
          <w:sz w:val="24"/>
          <w:lang w:eastAsia="zh-CN"/>
        </w:rPr>
        <w:t>、</w:t>
      </w:r>
      <w:r w:rsidR="009E7718" w:rsidRPr="009E7718">
        <w:rPr>
          <w:rFonts w:eastAsia="SimSun" w:hint="eastAsia"/>
          <w:sz w:val="24"/>
          <w:lang w:eastAsia="zh-CN"/>
        </w:rPr>
        <w:t>埃塞俄比亚、欧</w:t>
      </w:r>
      <w:r w:rsidR="009E7718" w:rsidRPr="009E7718">
        <w:rPr>
          <w:rFonts w:eastAsia="SimSun"/>
          <w:sz w:val="24"/>
          <w:lang w:eastAsia="zh-CN"/>
        </w:rPr>
        <w:t>洲</w:t>
      </w:r>
      <w:r w:rsidR="009E7718" w:rsidRPr="009E7718">
        <w:rPr>
          <w:rFonts w:eastAsia="SimSun" w:hint="eastAsia"/>
          <w:sz w:val="24"/>
          <w:lang w:eastAsia="zh-CN"/>
        </w:rPr>
        <w:t>联</w:t>
      </w:r>
      <w:r w:rsidR="009E7718" w:rsidRPr="009E7718">
        <w:rPr>
          <w:rFonts w:eastAsia="SimSun"/>
          <w:sz w:val="24"/>
          <w:lang w:eastAsia="zh-CN"/>
        </w:rPr>
        <w:t>盟</w:t>
      </w:r>
      <w:r w:rsidR="009E7718" w:rsidRPr="009E7718">
        <w:rPr>
          <w:rFonts w:eastAsia="SimSun" w:hint="eastAsia"/>
          <w:sz w:val="24"/>
          <w:lang w:eastAsia="zh-CN"/>
        </w:rPr>
        <w:t>、斐济、芬兰、法国、加蓬、冈</w:t>
      </w:r>
      <w:r w:rsidR="009E7718" w:rsidRPr="009E7718">
        <w:rPr>
          <w:rFonts w:eastAsia="SimSun"/>
          <w:sz w:val="24"/>
          <w:lang w:eastAsia="zh-CN"/>
        </w:rPr>
        <w:t>比</w:t>
      </w:r>
      <w:r w:rsidR="009E7718" w:rsidRPr="009E7718">
        <w:rPr>
          <w:rFonts w:eastAsia="SimSun" w:hint="eastAsia"/>
          <w:sz w:val="24"/>
          <w:lang w:eastAsia="zh-CN"/>
        </w:rPr>
        <w:t>亚、格鲁</w:t>
      </w:r>
      <w:r w:rsidR="009E7718" w:rsidRPr="009E7718">
        <w:rPr>
          <w:rFonts w:eastAsia="SimSun"/>
          <w:sz w:val="24"/>
          <w:lang w:eastAsia="zh-CN"/>
        </w:rPr>
        <w:t>吉</w:t>
      </w:r>
      <w:r w:rsidR="009E7718" w:rsidRPr="009E7718">
        <w:rPr>
          <w:rFonts w:eastAsia="SimSun" w:hint="eastAsia"/>
          <w:sz w:val="24"/>
          <w:lang w:eastAsia="zh-CN"/>
        </w:rPr>
        <w:t>亚、德国、加纳、希腊、格林纳达、危地马</w:t>
      </w:r>
      <w:r w:rsidR="009E7718" w:rsidRPr="009E7718">
        <w:rPr>
          <w:rFonts w:eastAsia="SimSun"/>
          <w:sz w:val="24"/>
          <w:lang w:eastAsia="zh-CN"/>
        </w:rPr>
        <w:t>拉</w:t>
      </w:r>
      <w:r w:rsidR="009E7718" w:rsidRPr="009E7718">
        <w:rPr>
          <w:rFonts w:eastAsia="SimSun" w:hint="eastAsia"/>
          <w:sz w:val="24"/>
          <w:lang w:eastAsia="zh-CN"/>
        </w:rPr>
        <w:t>、几内亚、几内亚比绍</w:t>
      </w:r>
      <w:r w:rsidR="009E7718" w:rsidRPr="009E7718">
        <w:rPr>
          <w:rFonts w:eastAsia="SimSun"/>
          <w:sz w:val="24"/>
          <w:lang w:eastAsia="zh-CN"/>
        </w:rPr>
        <w:t>、</w:t>
      </w:r>
      <w:r w:rsidR="009E7718" w:rsidRPr="009E7718">
        <w:rPr>
          <w:rFonts w:eastAsia="SimSun" w:hint="eastAsia"/>
          <w:sz w:val="24"/>
          <w:lang w:eastAsia="zh-CN"/>
        </w:rPr>
        <w:t>圭亚那</w:t>
      </w:r>
      <w:r w:rsidR="009E7718" w:rsidRPr="009E7718">
        <w:rPr>
          <w:rFonts w:eastAsia="SimSun"/>
          <w:sz w:val="24"/>
          <w:lang w:eastAsia="zh-CN"/>
        </w:rPr>
        <w:t>、</w:t>
      </w:r>
      <w:r w:rsidR="009E7718" w:rsidRPr="009E7718">
        <w:rPr>
          <w:rFonts w:eastAsia="SimSun" w:hint="eastAsia"/>
          <w:sz w:val="24"/>
          <w:lang w:eastAsia="zh-CN"/>
        </w:rPr>
        <w:t>洪都拉斯、匈牙利、冰岛、印度、印度尼西亚、伊朗伊斯兰</w:t>
      </w:r>
      <w:r w:rsidR="009E7718" w:rsidRPr="009E7718">
        <w:rPr>
          <w:rFonts w:eastAsia="SimSun"/>
          <w:sz w:val="24"/>
          <w:lang w:eastAsia="zh-CN"/>
        </w:rPr>
        <w:t>共和</w:t>
      </w:r>
      <w:r w:rsidR="009E7718" w:rsidRPr="009E7718">
        <w:rPr>
          <w:rFonts w:eastAsia="SimSun" w:hint="eastAsia"/>
          <w:sz w:val="24"/>
          <w:lang w:eastAsia="zh-CN"/>
        </w:rPr>
        <w:t>国、以色列、意大利、牙买</w:t>
      </w:r>
      <w:r w:rsidR="009E7718" w:rsidRPr="009E7718">
        <w:rPr>
          <w:rFonts w:eastAsia="SimSun"/>
          <w:sz w:val="24"/>
          <w:lang w:eastAsia="zh-CN"/>
        </w:rPr>
        <w:t>加</w:t>
      </w:r>
      <w:r w:rsidR="009E7718" w:rsidRPr="009E7718">
        <w:rPr>
          <w:rFonts w:eastAsia="SimSun" w:hint="eastAsia"/>
          <w:sz w:val="24"/>
          <w:lang w:eastAsia="zh-CN"/>
        </w:rPr>
        <w:t>、日本、肯尼亚、基里巴斯、科威特、老挝</w:t>
      </w:r>
      <w:r w:rsidR="009E7718" w:rsidRPr="009E7718">
        <w:rPr>
          <w:rFonts w:eastAsia="SimSun"/>
          <w:sz w:val="24"/>
          <w:lang w:eastAsia="zh-CN"/>
        </w:rPr>
        <w:t>人民民主共和</w:t>
      </w:r>
      <w:r w:rsidR="009E7718" w:rsidRPr="009E7718">
        <w:rPr>
          <w:rFonts w:eastAsia="SimSun" w:hint="eastAsia"/>
          <w:sz w:val="24"/>
          <w:lang w:eastAsia="zh-CN"/>
        </w:rPr>
        <w:t>国、拉脱维亚、莱</w:t>
      </w:r>
      <w:r w:rsidR="009E7718" w:rsidRPr="009E7718">
        <w:rPr>
          <w:rFonts w:eastAsia="SimSun"/>
          <w:sz w:val="24"/>
          <w:lang w:eastAsia="zh-CN"/>
        </w:rPr>
        <w:t>索托</w:t>
      </w:r>
      <w:r w:rsidR="009E7718" w:rsidRPr="009E7718">
        <w:rPr>
          <w:rFonts w:eastAsia="SimSun" w:hint="eastAsia"/>
          <w:sz w:val="24"/>
          <w:lang w:eastAsia="zh-CN"/>
        </w:rPr>
        <w:t>、利比里亚</w:t>
      </w:r>
      <w:r w:rsidR="009E7718" w:rsidRPr="009E7718">
        <w:rPr>
          <w:rFonts w:eastAsia="SimSun"/>
          <w:sz w:val="24"/>
          <w:lang w:eastAsia="zh-CN"/>
        </w:rPr>
        <w:t>、</w:t>
      </w:r>
      <w:r w:rsidR="009E7718" w:rsidRPr="009E7718">
        <w:rPr>
          <w:rFonts w:eastAsia="SimSun" w:hint="eastAsia"/>
          <w:sz w:val="24"/>
          <w:lang w:eastAsia="zh-CN"/>
        </w:rPr>
        <w:t>列支敦士登、立陶宛</w:t>
      </w:r>
      <w:r w:rsidR="009E7718" w:rsidRPr="009E7718">
        <w:rPr>
          <w:rFonts w:eastAsia="SimSun"/>
          <w:sz w:val="24"/>
          <w:lang w:eastAsia="zh-CN"/>
        </w:rPr>
        <w:t>、</w:t>
      </w:r>
      <w:r w:rsidR="009E7718" w:rsidRPr="009E7718">
        <w:rPr>
          <w:rFonts w:eastAsia="SimSun" w:hint="eastAsia"/>
          <w:sz w:val="24"/>
          <w:lang w:eastAsia="zh-CN"/>
        </w:rPr>
        <w:t>卢</w:t>
      </w:r>
      <w:r w:rsidR="009E7718" w:rsidRPr="009E7718">
        <w:rPr>
          <w:rFonts w:eastAsia="SimSun"/>
          <w:sz w:val="24"/>
          <w:lang w:eastAsia="zh-CN"/>
        </w:rPr>
        <w:t>森堡</w:t>
      </w:r>
      <w:r w:rsidR="009E7718" w:rsidRPr="009E7718">
        <w:rPr>
          <w:rFonts w:eastAsia="SimSun" w:hint="eastAsia"/>
          <w:sz w:val="24"/>
          <w:lang w:eastAsia="zh-CN"/>
        </w:rPr>
        <w:t>、马达</w:t>
      </w:r>
      <w:r w:rsidR="009E7718" w:rsidRPr="009E7718">
        <w:rPr>
          <w:rFonts w:eastAsia="SimSun"/>
          <w:sz w:val="24"/>
          <w:lang w:eastAsia="zh-CN"/>
        </w:rPr>
        <w:t>加斯加</w:t>
      </w:r>
      <w:r w:rsidR="009E7718" w:rsidRPr="009E7718">
        <w:rPr>
          <w:rFonts w:eastAsia="SimSun" w:hint="eastAsia"/>
          <w:sz w:val="24"/>
          <w:lang w:eastAsia="zh-CN"/>
        </w:rPr>
        <w:t>、马</w:t>
      </w:r>
      <w:r w:rsidR="009E7718" w:rsidRPr="009E7718">
        <w:rPr>
          <w:rFonts w:eastAsia="SimSun"/>
          <w:sz w:val="24"/>
          <w:lang w:eastAsia="zh-CN"/>
        </w:rPr>
        <w:t>拉</w:t>
      </w:r>
      <w:r w:rsidR="009E7718" w:rsidRPr="009E7718">
        <w:rPr>
          <w:rFonts w:eastAsia="SimSun" w:hint="eastAsia"/>
          <w:sz w:val="24"/>
          <w:lang w:eastAsia="zh-CN"/>
        </w:rPr>
        <w:t>维、马来</w:t>
      </w:r>
      <w:r w:rsidR="009E7718" w:rsidRPr="009E7718">
        <w:rPr>
          <w:rFonts w:eastAsia="SimSun"/>
          <w:sz w:val="24"/>
          <w:lang w:eastAsia="zh-CN"/>
        </w:rPr>
        <w:t>西</w:t>
      </w:r>
      <w:r w:rsidR="009E7718" w:rsidRPr="009E7718">
        <w:rPr>
          <w:rFonts w:eastAsia="SimSun" w:hint="eastAsia"/>
          <w:sz w:val="24"/>
          <w:lang w:eastAsia="zh-CN"/>
        </w:rPr>
        <w:t>亚、马</w:t>
      </w:r>
      <w:r w:rsidR="009E7718" w:rsidRPr="009E7718">
        <w:rPr>
          <w:rFonts w:eastAsia="SimSun"/>
          <w:sz w:val="24"/>
          <w:lang w:eastAsia="zh-CN"/>
        </w:rPr>
        <w:t>尔代夫</w:t>
      </w:r>
      <w:r w:rsidR="009E7718" w:rsidRPr="009E7718">
        <w:rPr>
          <w:rFonts w:eastAsia="SimSun" w:hint="eastAsia"/>
          <w:sz w:val="24"/>
          <w:lang w:eastAsia="zh-CN"/>
        </w:rPr>
        <w:t>、马</w:t>
      </w:r>
      <w:r w:rsidR="009E7718" w:rsidRPr="009E7718">
        <w:rPr>
          <w:rFonts w:eastAsia="SimSun"/>
          <w:sz w:val="24"/>
          <w:lang w:eastAsia="zh-CN"/>
        </w:rPr>
        <w:t>耳他</w:t>
      </w:r>
      <w:r w:rsidR="009E7718" w:rsidRPr="009E7718">
        <w:rPr>
          <w:rFonts w:eastAsia="SimSun" w:hint="eastAsia"/>
          <w:sz w:val="24"/>
          <w:lang w:eastAsia="zh-CN"/>
        </w:rPr>
        <w:t>、马绍尔群岛</w:t>
      </w:r>
      <w:r w:rsidR="009E7718" w:rsidRPr="009E7718">
        <w:rPr>
          <w:rFonts w:eastAsia="SimSun"/>
          <w:sz w:val="24"/>
          <w:lang w:eastAsia="zh-CN"/>
        </w:rPr>
        <w:t>、</w:t>
      </w:r>
      <w:r w:rsidR="009E7718" w:rsidRPr="009E7718">
        <w:rPr>
          <w:rFonts w:eastAsia="SimSun" w:hint="eastAsia"/>
          <w:sz w:val="24"/>
          <w:lang w:eastAsia="zh-CN"/>
        </w:rPr>
        <w:t>毛里塔尼亚、毛里求斯</w:t>
      </w:r>
      <w:r w:rsidR="009E7718" w:rsidRPr="009E7718">
        <w:rPr>
          <w:rFonts w:eastAsia="SimSun"/>
          <w:sz w:val="24"/>
          <w:lang w:eastAsia="zh-CN"/>
        </w:rPr>
        <w:t>、</w:t>
      </w:r>
      <w:r w:rsidR="009E7718" w:rsidRPr="009E7718">
        <w:rPr>
          <w:rFonts w:eastAsia="SimSun" w:hint="eastAsia"/>
          <w:sz w:val="24"/>
          <w:lang w:eastAsia="zh-CN"/>
        </w:rPr>
        <w:t>墨西哥、密克罗</w:t>
      </w:r>
      <w:r w:rsidR="009E7718" w:rsidRPr="009E7718">
        <w:rPr>
          <w:rFonts w:eastAsia="SimSun"/>
          <w:sz w:val="24"/>
          <w:lang w:eastAsia="zh-CN"/>
        </w:rPr>
        <w:t>尼西</w:t>
      </w:r>
      <w:r w:rsidR="009E7718" w:rsidRPr="009E7718">
        <w:rPr>
          <w:rFonts w:eastAsia="SimSun" w:hint="eastAsia"/>
          <w:sz w:val="24"/>
          <w:lang w:eastAsia="zh-CN"/>
        </w:rPr>
        <w:t>亚联</w:t>
      </w:r>
      <w:r w:rsidR="009E7718" w:rsidRPr="009E7718">
        <w:rPr>
          <w:rFonts w:eastAsia="SimSun"/>
          <w:sz w:val="24"/>
          <w:lang w:eastAsia="zh-CN"/>
        </w:rPr>
        <w:t>邦</w:t>
      </w:r>
      <w:r w:rsidR="009E7718" w:rsidRPr="009E7718">
        <w:rPr>
          <w:rFonts w:eastAsia="SimSun" w:hint="eastAsia"/>
          <w:sz w:val="24"/>
          <w:lang w:eastAsia="zh-CN"/>
        </w:rPr>
        <w:t>、摩纳</w:t>
      </w:r>
      <w:r w:rsidR="009E7718" w:rsidRPr="009E7718">
        <w:rPr>
          <w:rFonts w:eastAsia="SimSun"/>
          <w:sz w:val="24"/>
          <w:lang w:eastAsia="zh-CN"/>
        </w:rPr>
        <w:t>哥</w:t>
      </w:r>
      <w:r w:rsidR="009E7718" w:rsidRPr="009E7718">
        <w:rPr>
          <w:rFonts w:eastAsia="SimSun" w:hint="eastAsia"/>
          <w:sz w:val="24"/>
          <w:lang w:eastAsia="zh-CN"/>
        </w:rPr>
        <w:t>、蒙古、摩洛哥、莫桑比克、缅</w:t>
      </w:r>
      <w:r w:rsidR="009E7718" w:rsidRPr="009E7718">
        <w:rPr>
          <w:rFonts w:eastAsia="SimSun"/>
          <w:sz w:val="24"/>
          <w:lang w:eastAsia="zh-CN"/>
        </w:rPr>
        <w:t>甸</w:t>
      </w:r>
      <w:r w:rsidR="009E7718" w:rsidRPr="009E7718">
        <w:rPr>
          <w:rFonts w:eastAsia="SimSun" w:hint="eastAsia"/>
          <w:sz w:val="24"/>
          <w:lang w:eastAsia="zh-CN"/>
        </w:rPr>
        <w:t>、纳</w:t>
      </w:r>
      <w:r w:rsidR="009E7718" w:rsidRPr="009E7718">
        <w:rPr>
          <w:rFonts w:eastAsia="SimSun"/>
          <w:sz w:val="24"/>
          <w:lang w:eastAsia="zh-CN"/>
        </w:rPr>
        <w:t>米比</w:t>
      </w:r>
      <w:r w:rsidR="009E7718" w:rsidRPr="009E7718">
        <w:rPr>
          <w:rFonts w:eastAsia="SimSun" w:hint="eastAsia"/>
          <w:sz w:val="24"/>
          <w:lang w:eastAsia="zh-CN"/>
        </w:rPr>
        <w:t>亚、瑙鲁、尼泊尔、荷兰、新西兰、尼加拉瓜、尼日尔、尼日利亚</w:t>
      </w:r>
      <w:r w:rsidR="009E7718" w:rsidRPr="009E7718">
        <w:rPr>
          <w:rFonts w:eastAsia="SimSun"/>
          <w:sz w:val="24"/>
          <w:lang w:eastAsia="zh-CN"/>
        </w:rPr>
        <w:t>、</w:t>
      </w:r>
      <w:r w:rsidR="009E7718" w:rsidRPr="009E7718">
        <w:rPr>
          <w:rFonts w:eastAsia="SimSun" w:hint="eastAsia"/>
          <w:sz w:val="24"/>
          <w:lang w:eastAsia="zh-CN"/>
        </w:rPr>
        <w:t>挪威、阿曼、帕劳、巴拿马、巴布亚</w:t>
      </w:r>
      <w:r w:rsidR="009E7718" w:rsidRPr="009E7718">
        <w:rPr>
          <w:rFonts w:eastAsia="SimSun"/>
          <w:sz w:val="24"/>
          <w:lang w:eastAsia="zh-CN"/>
        </w:rPr>
        <w:t>新几</w:t>
      </w:r>
      <w:r w:rsidR="009E7718" w:rsidRPr="009E7718">
        <w:rPr>
          <w:rFonts w:eastAsia="SimSun" w:hint="eastAsia"/>
          <w:sz w:val="24"/>
          <w:lang w:eastAsia="zh-CN"/>
        </w:rPr>
        <w:t>内亚、巴拉圭、秘鲁、菲律宾、波兰、葡萄牙、卡塔尔、大韩</w:t>
      </w:r>
      <w:r w:rsidR="009E7718" w:rsidRPr="009E7718">
        <w:rPr>
          <w:rFonts w:eastAsia="SimSun"/>
          <w:sz w:val="24"/>
          <w:lang w:eastAsia="zh-CN"/>
        </w:rPr>
        <w:t>民</w:t>
      </w:r>
      <w:r w:rsidR="009E7718" w:rsidRPr="009E7718">
        <w:rPr>
          <w:rFonts w:eastAsia="SimSun" w:hint="eastAsia"/>
          <w:sz w:val="24"/>
          <w:lang w:eastAsia="zh-CN"/>
        </w:rPr>
        <w:t>国、摩尔多瓦</w:t>
      </w:r>
      <w:r w:rsidR="009E7718" w:rsidRPr="009E7718">
        <w:rPr>
          <w:rFonts w:eastAsia="SimSun"/>
          <w:sz w:val="24"/>
          <w:lang w:eastAsia="zh-CN"/>
        </w:rPr>
        <w:t>共和国、</w:t>
      </w:r>
      <w:r w:rsidR="009E7718" w:rsidRPr="009E7718">
        <w:rPr>
          <w:rFonts w:eastAsia="SimSun" w:hint="eastAsia"/>
          <w:sz w:val="24"/>
          <w:lang w:eastAsia="zh-CN"/>
        </w:rPr>
        <w:t>罗马</w:t>
      </w:r>
      <w:r w:rsidR="009E7718" w:rsidRPr="009E7718">
        <w:rPr>
          <w:rFonts w:eastAsia="SimSun"/>
          <w:sz w:val="24"/>
          <w:lang w:eastAsia="zh-CN"/>
        </w:rPr>
        <w:t>尼</w:t>
      </w:r>
      <w:r w:rsidR="009E7718" w:rsidRPr="009E7718">
        <w:rPr>
          <w:rFonts w:eastAsia="SimSun" w:hint="eastAsia"/>
          <w:sz w:val="24"/>
          <w:lang w:eastAsia="zh-CN"/>
        </w:rPr>
        <w:t>亚、俄罗</w:t>
      </w:r>
      <w:r w:rsidR="009E7718" w:rsidRPr="009E7718">
        <w:rPr>
          <w:rFonts w:eastAsia="SimSun"/>
          <w:sz w:val="24"/>
          <w:lang w:eastAsia="zh-CN"/>
        </w:rPr>
        <w:t>斯</w:t>
      </w:r>
      <w:r w:rsidR="009E7718" w:rsidRPr="009E7718">
        <w:rPr>
          <w:rFonts w:eastAsia="SimSun" w:hint="eastAsia"/>
          <w:sz w:val="24"/>
          <w:lang w:eastAsia="zh-CN"/>
        </w:rPr>
        <w:t>联</w:t>
      </w:r>
      <w:r w:rsidR="009E7718" w:rsidRPr="009E7718">
        <w:rPr>
          <w:rFonts w:eastAsia="SimSun"/>
          <w:sz w:val="24"/>
          <w:lang w:eastAsia="zh-CN"/>
        </w:rPr>
        <w:t>邦</w:t>
      </w:r>
      <w:r w:rsidR="009E7718" w:rsidRPr="009E7718">
        <w:rPr>
          <w:rFonts w:eastAsia="SimSun" w:hint="eastAsia"/>
          <w:sz w:val="24"/>
          <w:lang w:eastAsia="zh-CN"/>
        </w:rPr>
        <w:t>、卢旺达</w:t>
      </w:r>
      <w:r w:rsidR="009E7718" w:rsidRPr="009E7718">
        <w:rPr>
          <w:rFonts w:eastAsia="SimSun"/>
          <w:sz w:val="24"/>
          <w:lang w:eastAsia="zh-CN"/>
        </w:rPr>
        <w:t>、</w:t>
      </w:r>
      <w:r w:rsidR="009E7718" w:rsidRPr="009E7718">
        <w:rPr>
          <w:rFonts w:eastAsia="SimSun" w:hint="eastAsia"/>
          <w:sz w:val="24"/>
          <w:lang w:eastAsia="zh-CN"/>
        </w:rPr>
        <w:t>圣</w:t>
      </w:r>
      <w:r w:rsidR="009E7718" w:rsidRPr="009E7718">
        <w:rPr>
          <w:rFonts w:eastAsia="SimSun"/>
          <w:sz w:val="24"/>
          <w:lang w:eastAsia="zh-CN"/>
        </w:rPr>
        <w:t>基茨和尼</w:t>
      </w:r>
      <w:r w:rsidR="009E7718" w:rsidRPr="009E7718">
        <w:rPr>
          <w:rFonts w:eastAsia="SimSun" w:hint="eastAsia"/>
          <w:sz w:val="24"/>
          <w:lang w:eastAsia="zh-CN"/>
        </w:rPr>
        <w:t>维</w:t>
      </w:r>
      <w:r w:rsidR="009E7718" w:rsidRPr="009E7718">
        <w:rPr>
          <w:rFonts w:eastAsia="SimSun"/>
          <w:sz w:val="24"/>
          <w:lang w:eastAsia="zh-CN"/>
        </w:rPr>
        <w:t>斯</w:t>
      </w:r>
      <w:r w:rsidR="009E7718" w:rsidRPr="009E7718">
        <w:rPr>
          <w:rFonts w:eastAsia="SimSun" w:hint="eastAsia"/>
          <w:sz w:val="24"/>
          <w:lang w:eastAsia="zh-CN"/>
        </w:rPr>
        <w:t>、圣卢</w:t>
      </w:r>
      <w:r w:rsidR="009E7718" w:rsidRPr="009E7718">
        <w:rPr>
          <w:rFonts w:eastAsia="SimSun"/>
          <w:sz w:val="24"/>
          <w:lang w:eastAsia="zh-CN"/>
        </w:rPr>
        <w:t>西</w:t>
      </w:r>
      <w:r w:rsidR="009E7718" w:rsidRPr="009E7718">
        <w:rPr>
          <w:rFonts w:eastAsia="SimSun" w:hint="eastAsia"/>
          <w:sz w:val="24"/>
          <w:lang w:eastAsia="zh-CN"/>
        </w:rPr>
        <w:t>亚、圣文森特</w:t>
      </w:r>
      <w:r w:rsidR="009E7718" w:rsidRPr="009E7718">
        <w:rPr>
          <w:rFonts w:eastAsia="SimSun"/>
          <w:sz w:val="24"/>
          <w:lang w:eastAsia="zh-CN"/>
        </w:rPr>
        <w:t>和格林纳丁斯、</w:t>
      </w:r>
      <w:r w:rsidR="009E7718" w:rsidRPr="009E7718">
        <w:rPr>
          <w:rFonts w:eastAsia="SimSun" w:hint="eastAsia"/>
          <w:sz w:val="24"/>
          <w:lang w:eastAsia="zh-CN"/>
        </w:rPr>
        <w:t>萨</w:t>
      </w:r>
      <w:r w:rsidR="009E7718" w:rsidRPr="009E7718">
        <w:rPr>
          <w:rFonts w:eastAsia="SimSun"/>
          <w:sz w:val="24"/>
          <w:lang w:eastAsia="zh-CN"/>
        </w:rPr>
        <w:t>摩</w:t>
      </w:r>
      <w:r w:rsidR="009E7718" w:rsidRPr="009E7718">
        <w:rPr>
          <w:rFonts w:eastAsia="SimSun" w:hint="eastAsia"/>
          <w:sz w:val="24"/>
          <w:lang w:eastAsia="zh-CN"/>
        </w:rPr>
        <w:t>亚、沙特阿拉伯、塞内</w:t>
      </w:r>
      <w:r w:rsidR="009E7718" w:rsidRPr="009E7718">
        <w:rPr>
          <w:rFonts w:eastAsia="SimSun"/>
          <w:sz w:val="24"/>
          <w:lang w:eastAsia="zh-CN"/>
        </w:rPr>
        <w:t>加尔</w:t>
      </w:r>
      <w:r w:rsidR="009E7718" w:rsidRPr="009E7718">
        <w:rPr>
          <w:rFonts w:eastAsia="SimSun" w:hint="eastAsia"/>
          <w:sz w:val="24"/>
          <w:lang w:eastAsia="zh-CN"/>
        </w:rPr>
        <w:t>、塞尔维亚</w:t>
      </w:r>
      <w:r w:rsidR="009E7718" w:rsidRPr="009E7718">
        <w:rPr>
          <w:rFonts w:eastAsia="SimSun"/>
          <w:sz w:val="24"/>
          <w:lang w:eastAsia="zh-CN"/>
        </w:rPr>
        <w:t>、</w:t>
      </w:r>
      <w:r w:rsidR="009E7718" w:rsidRPr="009E7718">
        <w:rPr>
          <w:rFonts w:eastAsia="SimSun" w:hint="eastAsia"/>
          <w:sz w:val="24"/>
          <w:lang w:eastAsia="zh-CN"/>
        </w:rPr>
        <w:t>塞舌尔、塞拉利昂、新加坡、斯洛伐克、斯洛文尼亚、所罗门群岛</w:t>
      </w:r>
      <w:r w:rsidR="009E7718" w:rsidRPr="009E7718">
        <w:rPr>
          <w:rFonts w:eastAsia="SimSun"/>
          <w:sz w:val="24"/>
          <w:lang w:eastAsia="zh-CN"/>
        </w:rPr>
        <w:t>、</w:t>
      </w:r>
      <w:r w:rsidR="009E7718" w:rsidRPr="009E7718">
        <w:rPr>
          <w:rFonts w:eastAsia="SimSun" w:hint="eastAsia"/>
          <w:sz w:val="24"/>
          <w:lang w:eastAsia="zh-CN"/>
        </w:rPr>
        <w:t>南非、南苏丹</w:t>
      </w:r>
      <w:r w:rsidR="009E7718" w:rsidRPr="009E7718">
        <w:rPr>
          <w:rFonts w:eastAsia="SimSun"/>
          <w:sz w:val="24"/>
          <w:lang w:eastAsia="zh-CN"/>
        </w:rPr>
        <w:t>、</w:t>
      </w:r>
      <w:r w:rsidR="009E7718" w:rsidRPr="009E7718">
        <w:rPr>
          <w:rFonts w:eastAsia="SimSun" w:hint="eastAsia"/>
          <w:sz w:val="24"/>
          <w:lang w:eastAsia="zh-CN"/>
        </w:rPr>
        <w:t>西班牙、斯里兰</w:t>
      </w:r>
      <w:r w:rsidR="009E7718" w:rsidRPr="009E7718">
        <w:rPr>
          <w:rFonts w:eastAsia="SimSun"/>
          <w:sz w:val="24"/>
          <w:lang w:eastAsia="zh-CN"/>
        </w:rPr>
        <w:t>卡</w:t>
      </w:r>
      <w:r w:rsidR="009E7718" w:rsidRPr="009E7718">
        <w:rPr>
          <w:rFonts w:eastAsia="SimSun" w:hint="eastAsia"/>
          <w:sz w:val="24"/>
          <w:lang w:eastAsia="zh-CN"/>
        </w:rPr>
        <w:t>、巴勒斯坦国、苏</w:t>
      </w:r>
      <w:r w:rsidR="009E7718" w:rsidRPr="009E7718">
        <w:rPr>
          <w:rFonts w:eastAsia="SimSun"/>
          <w:sz w:val="24"/>
          <w:lang w:eastAsia="zh-CN"/>
        </w:rPr>
        <w:t>丹</w:t>
      </w:r>
      <w:r w:rsidR="009E7718" w:rsidRPr="009E7718">
        <w:rPr>
          <w:rFonts w:eastAsia="SimSun" w:hint="eastAsia"/>
          <w:sz w:val="24"/>
          <w:lang w:eastAsia="zh-CN"/>
        </w:rPr>
        <w:t>、苏</w:t>
      </w:r>
      <w:r w:rsidR="009E7718" w:rsidRPr="009E7718">
        <w:rPr>
          <w:rFonts w:eastAsia="SimSun"/>
          <w:sz w:val="24"/>
          <w:lang w:eastAsia="zh-CN"/>
        </w:rPr>
        <w:t>里南</w:t>
      </w:r>
      <w:r w:rsidR="009E7718" w:rsidRPr="009E7718">
        <w:rPr>
          <w:rFonts w:eastAsia="SimSun" w:hint="eastAsia"/>
          <w:sz w:val="24"/>
          <w:lang w:eastAsia="zh-CN"/>
        </w:rPr>
        <w:t>、瑞典、瑞士、阿拉伯叙</w:t>
      </w:r>
      <w:r w:rsidR="009E7718" w:rsidRPr="009E7718">
        <w:rPr>
          <w:rFonts w:eastAsia="SimSun"/>
          <w:sz w:val="24"/>
          <w:lang w:eastAsia="zh-CN"/>
        </w:rPr>
        <w:t>利</w:t>
      </w:r>
      <w:r w:rsidR="009E7718" w:rsidRPr="009E7718">
        <w:rPr>
          <w:rFonts w:eastAsia="SimSun" w:hint="eastAsia"/>
          <w:sz w:val="24"/>
          <w:lang w:eastAsia="zh-CN"/>
        </w:rPr>
        <w:t>亚</w:t>
      </w:r>
      <w:r w:rsidR="009E7718" w:rsidRPr="009E7718">
        <w:rPr>
          <w:rFonts w:eastAsia="SimSun"/>
          <w:sz w:val="24"/>
          <w:lang w:eastAsia="zh-CN"/>
        </w:rPr>
        <w:t>共和</w:t>
      </w:r>
      <w:r w:rsidR="009E7718" w:rsidRPr="009E7718">
        <w:rPr>
          <w:rFonts w:eastAsia="SimSun" w:hint="eastAsia"/>
          <w:sz w:val="24"/>
          <w:lang w:eastAsia="zh-CN"/>
        </w:rPr>
        <w:t>国、塔吉克斯坦、泰国、多哥、汤</w:t>
      </w:r>
      <w:r w:rsidR="009E7718" w:rsidRPr="009E7718">
        <w:rPr>
          <w:rFonts w:eastAsia="SimSun"/>
          <w:sz w:val="24"/>
          <w:lang w:eastAsia="zh-CN"/>
        </w:rPr>
        <w:t>加</w:t>
      </w:r>
      <w:r w:rsidR="009E7718" w:rsidRPr="009E7718">
        <w:rPr>
          <w:rFonts w:eastAsia="SimSun" w:hint="eastAsia"/>
          <w:sz w:val="24"/>
          <w:lang w:eastAsia="zh-CN"/>
        </w:rPr>
        <w:t>、特立尼达</w:t>
      </w:r>
      <w:r w:rsidR="009E7718" w:rsidRPr="009E7718">
        <w:rPr>
          <w:rFonts w:eastAsia="SimSun"/>
          <w:sz w:val="24"/>
          <w:lang w:eastAsia="zh-CN"/>
        </w:rPr>
        <w:t>和多巴哥、</w:t>
      </w:r>
      <w:r w:rsidR="009E7718" w:rsidRPr="009E7718">
        <w:rPr>
          <w:rFonts w:eastAsia="SimSun" w:hint="eastAsia"/>
          <w:sz w:val="24"/>
          <w:lang w:eastAsia="zh-CN"/>
        </w:rPr>
        <w:t>突尼斯、土耳其、图</w:t>
      </w:r>
      <w:r w:rsidR="009E7718" w:rsidRPr="009E7718">
        <w:rPr>
          <w:rFonts w:eastAsia="SimSun"/>
          <w:sz w:val="24"/>
          <w:lang w:eastAsia="zh-CN"/>
        </w:rPr>
        <w:t>瓦</w:t>
      </w:r>
      <w:r w:rsidR="009E7718" w:rsidRPr="009E7718">
        <w:rPr>
          <w:rFonts w:eastAsia="SimSun" w:hint="eastAsia"/>
          <w:sz w:val="24"/>
          <w:lang w:eastAsia="zh-CN"/>
        </w:rPr>
        <w:t>卢、阿拉伯联</w:t>
      </w:r>
      <w:r w:rsidR="009E7718" w:rsidRPr="009E7718">
        <w:rPr>
          <w:rFonts w:eastAsia="SimSun"/>
          <w:sz w:val="24"/>
          <w:lang w:eastAsia="zh-CN"/>
        </w:rPr>
        <w:t>合酋</w:t>
      </w:r>
      <w:r w:rsidR="009E7718" w:rsidRPr="009E7718">
        <w:rPr>
          <w:rFonts w:eastAsia="SimSun" w:hint="eastAsia"/>
          <w:sz w:val="24"/>
          <w:lang w:eastAsia="zh-CN"/>
        </w:rPr>
        <w:t>长国、大不列颠</w:t>
      </w:r>
      <w:r w:rsidR="009E7718" w:rsidRPr="009E7718">
        <w:rPr>
          <w:rFonts w:eastAsia="SimSun"/>
          <w:sz w:val="24"/>
          <w:lang w:eastAsia="zh-CN"/>
        </w:rPr>
        <w:t>及北爱尔兰</w:t>
      </w:r>
      <w:r w:rsidR="009E7718" w:rsidRPr="009E7718">
        <w:rPr>
          <w:rFonts w:eastAsia="SimSun" w:hint="eastAsia"/>
          <w:sz w:val="24"/>
          <w:lang w:eastAsia="zh-CN"/>
        </w:rPr>
        <w:t>联</w:t>
      </w:r>
      <w:r w:rsidR="009E7718" w:rsidRPr="009E7718">
        <w:rPr>
          <w:rFonts w:eastAsia="SimSun"/>
          <w:sz w:val="24"/>
          <w:lang w:eastAsia="zh-CN"/>
        </w:rPr>
        <w:t>合王</w:t>
      </w:r>
      <w:r w:rsidR="009E7718" w:rsidRPr="009E7718">
        <w:rPr>
          <w:rFonts w:eastAsia="SimSun" w:hint="eastAsia"/>
          <w:sz w:val="24"/>
          <w:lang w:eastAsia="zh-CN"/>
        </w:rPr>
        <w:t>国、坦桑尼亚联</w:t>
      </w:r>
      <w:r w:rsidR="009E7718" w:rsidRPr="009E7718">
        <w:rPr>
          <w:rFonts w:eastAsia="SimSun"/>
          <w:sz w:val="24"/>
          <w:lang w:eastAsia="zh-CN"/>
        </w:rPr>
        <w:t>合共和</w:t>
      </w:r>
      <w:r w:rsidR="009E7718" w:rsidRPr="009E7718">
        <w:rPr>
          <w:rFonts w:eastAsia="SimSun" w:hint="eastAsia"/>
          <w:sz w:val="24"/>
          <w:lang w:eastAsia="zh-CN"/>
        </w:rPr>
        <w:t>国、乌</w:t>
      </w:r>
      <w:r w:rsidR="009E7718" w:rsidRPr="009E7718">
        <w:rPr>
          <w:rFonts w:eastAsia="SimSun"/>
          <w:sz w:val="24"/>
          <w:lang w:eastAsia="zh-CN"/>
        </w:rPr>
        <w:t>拉圭</w:t>
      </w:r>
      <w:r w:rsidR="009E7718" w:rsidRPr="009E7718">
        <w:rPr>
          <w:rFonts w:eastAsia="SimSun" w:hint="eastAsia"/>
          <w:sz w:val="24"/>
          <w:lang w:eastAsia="zh-CN"/>
        </w:rPr>
        <w:t>、委内</w:t>
      </w:r>
      <w:r w:rsidR="009E7718" w:rsidRPr="009E7718">
        <w:rPr>
          <w:rFonts w:eastAsia="SimSun"/>
          <w:sz w:val="24"/>
          <w:lang w:eastAsia="zh-CN"/>
        </w:rPr>
        <w:t>瑞拉</w:t>
      </w:r>
      <w:r w:rsidR="009E7718" w:rsidRPr="009E7718">
        <w:rPr>
          <w:rFonts w:eastAsia="SimSun" w:hint="eastAsia"/>
          <w:sz w:val="24"/>
          <w:lang w:eastAsia="zh-CN"/>
        </w:rPr>
        <w:t>玻利瓦尔</w:t>
      </w:r>
      <w:r w:rsidR="009E7718" w:rsidRPr="009E7718">
        <w:rPr>
          <w:rFonts w:eastAsia="SimSun"/>
          <w:sz w:val="24"/>
          <w:lang w:eastAsia="zh-CN"/>
        </w:rPr>
        <w:t>共和国</w:t>
      </w:r>
      <w:r w:rsidR="009E7718" w:rsidRPr="009E7718">
        <w:rPr>
          <w:rFonts w:eastAsia="SimSun" w:hint="eastAsia"/>
          <w:sz w:val="24"/>
          <w:lang w:eastAsia="zh-CN"/>
        </w:rPr>
        <w:t>、越南、也门、赞</w:t>
      </w:r>
      <w:r w:rsidR="009E7718" w:rsidRPr="009E7718">
        <w:rPr>
          <w:rFonts w:eastAsia="SimSun"/>
          <w:sz w:val="24"/>
          <w:lang w:eastAsia="zh-CN"/>
        </w:rPr>
        <w:t>比</w:t>
      </w:r>
      <w:r w:rsidR="009E7718" w:rsidRPr="009E7718">
        <w:rPr>
          <w:rFonts w:eastAsia="SimSun" w:hint="eastAsia"/>
          <w:sz w:val="24"/>
          <w:lang w:eastAsia="zh-CN"/>
        </w:rPr>
        <w:t>亚和津巴布韦。</w:t>
      </w:r>
    </w:p>
    <w:p w:rsidR="009E7718" w:rsidRPr="004962AA" w:rsidRDefault="009E7718" w:rsidP="009E7718">
      <w:pPr>
        <w:pStyle w:val="Para1"/>
        <w:numPr>
          <w:ilvl w:val="0"/>
          <w:numId w:val="9"/>
        </w:numPr>
        <w:tabs>
          <w:tab w:val="clear" w:pos="360"/>
          <w:tab w:val="left" w:pos="720"/>
        </w:tabs>
        <w:snapToGrid w:val="0"/>
        <w:ind w:firstLine="0"/>
        <w:rPr>
          <w:rFonts w:eastAsia="SimSun"/>
          <w:sz w:val="24"/>
          <w:szCs w:val="24"/>
          <w:lang w:eastAsia="zh-CN"/>
        </w:rPr>
      </w:pPr>
      <w:r>
        <w:rPr>
          <w:rFonts w:eastAsia="SimSun" w:hint="eastAsia"/>
          <w:sz w:val="24"/>
          <w:szCs w:val="24"/>
          <w:lang w:eastAsia="zh-CN"/>
        </w:rPr>
        <w:t>还</w:t>
      </w:r>
      <w:r>
        <w:rPr>
          <w:rFonts w:eastAsia="SimSun"/>
          <w:sz w:val="24"/>
          <w:szCs w:val="24"/>
          <w:lang w:eastAsia="zh-CN"/>
        </w:rPr>
        <w:t>收到了两个非缔约方罗马教廷和美利坚合众国的全权证书。</w:t>
      </w:r>
    </w:p>
    <w:p w:rsidR="008D76BF" w:rsidRPr="00F17640" w:rsidRDefault="008D76BF" w:rsidP="00F17640">
      <w:pPr>
        <w:pStyle w:val="Heading1"/>
        <w:spacing w:before="120" w:after="120"/>
        <w:ind w:firstLine="0"/>
        <w:rPr>
          <w:sz w:val="24"/>
          <w:szCs w:val="24"/>
          <w:lang w:eastAsia="zh-CN"/>
        </w:rPr>
      </w:pPr>
      <w:bookmarkStart w:id="264" w:name="_Toc6243818"/>
      <w:r w:rsidRPr="00F17640">
        <w:rPr>
          <w:rFonts w:hint="eastAsia"/>
          <w:sz w:val="24"/>
          <w:szCs w:val="24"/>
          <w:lang w:eastAsia="zh-CN"/>
        </w:rPr>
        <w:t>项目</w:t>
      </w:r>
      <w:r w:rsidRPr="00F17640">
        <w:rPr>
          <w:sz w:val="24"/>
          <w:szCs w:val="24"/>
          <w:lang w:eastAsia="zh-CN"/>
        </w:rPr>
        <w:t xml:space="preserve">4.    </w:t>
      </w:r>
      <w:r w:rsidR="00366699" w:rsidRPr="00F17640">
        <w:rPr>
          <w:sz w:val="24"/>
          <w:szCs w:val="24"/>
          <w:lang w:eastAsia="zh-CN"/>
        </w:rPr>
        <w:t xml:space="preserve">  </w:t>
      </w:r>
      <w:r w:rsidRPr="00F17640">
        <w:rPr>
          <w:rFonts w:hint="eastAsia"/>
          <w:sz w:val="24"/>
          <w:szCs w:val="24"/>
          <w:lang w:eastAsia="zh-CN"/>
        </w:rPr>
        <w:t>未决问题</w:t>
      </w:r>
      <w:bookmarkEnd w:id="264"/>
      <w:r w:rsidRPr="00F17640">
        <w:rPr>
          <w:sz w:val="24"/>
          <w:szCs w:val="24"/>
          <w:lang w:eastAsia="zh-CN"/>
        </w:rPr>
        <w:t xml:space="preserve"> </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bookmarkStart w:id="265" w:name="Item07"/>
      <w:bookmarkEnd w:id="263"/>
      <w:smartTag w:uri="urn:schemas-microsoft-com:office:smarttags" w:element="chsdate">
        <w:smartTagPr>
          <w:attr w:name="Year" w:val="2018"/>
          <w:attr w:name="Month" w:val="11"/>
          <w:attr w:name="Day" w:val="25"/>
          <w:attr w:name="IsLunarDate" w:val="False"/>
          <w:attr w:name="IsROCDate" w:val="False"/>
        </w:smartTagPr>
        <w:r w:rsidRPr="004D1FBA">
          <w:rPr>
            <w:rFonts w:hAnsi="SimSun"/>
            <w:sz w:val="24"/>
            <w:szCs w:val="24"/>
            <w:lang w:eastAsia="zh-CN"/>
          </w:rPr>
          <w:t>2018</w:t>
        </w:r>
        <w:r w:rsidRPr="004D1FBA">
          <w:rPr>
            <w:rFonts w:ascii="SimSun" w:eastAsia="SimSun" w:hAnsi="SimSun" w:cs="SimSun" w:hint="eastAsia"/>
            <w:sz w:val="24"/>
            <w:szCs w:val="24"/>
            <w:lang w:eastAsia="zh-CN"/>
          </w:rPr>
          <w:t>年</w:t>
        </w:r>
        <w:r w:rsidRPr="004D1FBA">
          <w:rPr>
            <w:rFonts w:hAnsi="SimSun"/>
            <w:sz w:val="24"/>
            <w:szCs w:val="24"/>
            <w:lang w:eastAsia="zh-CN"/>
          </w:rPr>
          <w:t>11</w:t>
        </w:r>
        <w:r w:rsidRPr="004D1FBA">
          <w:rPr>
            <w:rFonts w:ascii="SimSun" w:eastAsia="SimSun" w:hAnsi="SimSun" w:cs="SimSun" w:hint="eastAsia"/>
            <w:sz w:val="24"/>
            <w:szCs w:val="24"/>
            <w:lang w:eastAsia="zh-CN"/>
          </w:rPr>
          <w:t>月</w:t>
        </w:r>
        <w:r w:rsidRPr="004D1FBA">
          <w:rPr>
            <w:rFonts w:hAnsi="SimSun"/>
            <w:sz w:val="24"/>
            <w:szCs w:val="24"/>
            <w:lang w:eastAsia="zh-CN"/>
          </w:rPr>
          <w:t>17</w:t>
        </w:r>
        <w:r w:rsidRPr="004D1FBA">
          <w:rPr>
            <w:rFonts w:ascii="SimSun" w:eastAsia="SimSun" w:hAnsi="SimSun" w:cs="SimSun" w:hint="eastAsia"/>
            <w:sz w:val="24"/>
            <w:szCs w:val="24"/>
            <w:lang w:eastAsia="zh-CN"/>
          </w:rPr>
          <w:t>日</w:t>
        </w:r>
      </w:smartTag>
      <w:r w:rsidRPr="004D1FBA">
        <w:rPr>
          <w:rFonts w:ascii="SimSun" w:eastAsia="SimSun" w:hAnsi="SimSun" w:cs="SimSun" w:hint="eastAsia"/>
          <w:sz w:val="24"/>
          <w:szCs w:val="24"/>
          <w:lang w:eastAsia="zh-CN"/>
        </w:rPr>
        <w:t>，本届会议的开幕全体会议审议了议程项目</w:t>
      </w:r>
      <w:r w:rsidRPr="004D1FBA">
        <w:rPr>
          <w:rFonts w:hAnsi="SimSun"/>
          <w:sz w:val="24"/>
          <w:szCs w:val="24"/>
          <w:lang w:eastAsia="zh-CN"/>
        </w:rPr>
        <w:t>4</w:t>
      </w:r>
      <w:r w:rsidRPr="004D1FBA">
        <w:rPr>
          <w:rFonts w:ascii="SimSun" w:eastAsia="SimSun" w:hAnsi="SimSun" w:cs="SimSun" w:hint="eastAsia"/>
          <w:sz w:val="24"/>
          <w:szCs w:val="24"/>
          <w:lang w:eastAsia="zh-CN"/>
        </w:rPr>
        <w:t>。主席在介绍该项目时说，缔约方大会面前</w:t>
      </w:r>
      <w:r w:rsidR="00A334A9">
        <w:rPr>
          <w:rFonts w:ascii="SimSun" w:eastAsia="SimSun" w:hAnsi="SimSun" w:cs="SimSun" w:hint="eastAsia"/>
          <w:sz w:val="24"/>
          <w:szCs w:val="24"/>
          <w:lang w:eastAsia="zh-CN"/>
        </w:rPr>
        <w:t>的</w:t>
      </w:r>
      <w:r w:rsidRPr="004D1FBA">
        <w:rPr>
          <w:rFonts w:ascii="SimSun" w:eastAsia="SimSun" w:hAnsi="SimSun" w:cs="SimSun" w:hint="eastAsia"/>
          <w:sz w:val="24"/>
          <w:szCs w:val="24"/>
          <w:lang w:eastAsia="zh-CN"/>
        </w:rPr>
        <w:t>唯一未决问题是关于秘书处经费的议事规则第</w:t>
      </w:r>
      <w:r w:rsidRPr="004D1FBA">
        <w:rPr>
          <w:rFonts w:hAnsi="SimSun"/>
          <w:sz w:val="24"/>
          <w:szCs w:val="24"/>
          <w:lang w:eastAsia="zh-CN"/>
        </w:rPr>
        <w:t>40</w:t>
      </w:r>
      <w:r w:rsidRPr="004D1FBA">
        <w:rPr>
          <w:rFonts w:ascii="SimSun" w:eastAsia="SimSun" w:hAnsi="SimSun" w:cs="SimSun" w:hint="eastAsia"/>
          <w:sz w:val="24"/>
          <w:szCs w:val="24"/>
          <w:lang w:eastAsia="zh-CN"/>
        </w:rPr>
        <w:t>条第</w:t>
      </w:r>
      <w:r w:rsidRPr="004D1FBA">
        <w:rPr>
          <w:rFonts w:hAnsi="SimSun"/>
          <w:sz w:val="24"/>
          <w:szCs w:val="24"/>
          <w:lang w:eastAsia="zh-CN"/>
        </w:rPr>
        <w:t>1</w:t>
      </w:r>
      <w:r w:rsidRPr="004D1FBA">
        <w:rPr>
          <w:rFonts w:ascii="SimSun" w:eastAsia="SimSun" w:hAnsi="SimSun" w:cs="SimSun" w:hint="eastAsia"/>
          <w:sz w:val="24"/>
          <w:szCs w:val="24"/>
          <w:lang w:eastAsia="zh-CN"/>
        </w:rPr>
        <w:t>款和财</w:t>
      </w:r>
      <w:r w:rsidRPr="004D1FBA">
        <w:rPr>
          <w:rFonts w:ascii="SimSun" w:eastAsia="SimSun" w:hAnsi="SimSun" w:cs="SimSun" w:hint="eastAsia"/>
          <w:sz w:val="24"/>
          <w:szCs w:val="24"/>
          <w:lang w:eastAsia="zh-CN"/>
        </w:rPr>
        <w:lastRenderedPageBreak/>
        <w:t>务细则第</w:t>
      </w:r>
      <w:r w:rsidRPr="004D1FBA">
        <w:rPr>
          <w:rFonts w:hAnsi="SimSun"/>
          <w:sz w:val="24"/>
          <w:szCs w:val="24"/>
          <w:lang w:eastAsia="zh-CN"/>
        </w:rPr>
        <w:t>4</w:t>
      </w:r>
      <w:r w:rsidRPr="004D1FBA">
        <w:rPr>
          <w:rFonts w:ascii="SimSun" w:eastAsia="SimSun" w:hAnsi="SimSun" w:cs="SimSun" w:hint="eastAsia"/>
          <w:sz w:val="24"/>
          <w:szCs w:val="24"/>
          <w:lang w:eastAsia="zh-CN"/>
        </w:rPr>
        <w:t>和第</w:t>
      </w:r>
      <w:r w:rsidRPr="004D1FBA">
        <w:rPr>
          <w:rFonts w:hAnsi="SimSun"/>
          <w:sz w:val="24"/>
          <w:szCs w:val="24"/>
          <w:lang w:eastAsia="zh-CN"/>
        </w:rPr>
        <w:t>16</w:t>
      </w:r>
      <w:r w:rsidRPr="004D1FBA">
        <w:rPr>
          <w:rFonts w:ascii="SimSun" w:eastAsia="SimSun" w:hAnsi="SimSun" w:cs="SimSun" w:hint="eastAsia"/>
          <w:sz w:val="24"/>
          <w:szCs w:val="24"/>
          <w:lang w:eastAsia="zh-CN"/>
        </w:rPr>
        <w:t>条，这些案文仍置于方括号内，原因是各缔约方对就实质性问题表决时所需的多数尚未达成协商一致意见。</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4D1FBA">
        <w:rPr>
          <w:rFonts w:ascii="SimSun" w:eastAsia="SimSun" w:hAnsi="SimSun" w:cs="SimSun" w:hint="eastAsia"/>
          <w:sz w:val="24"/>
          <w:szCs w:val="24"/>
          <w:lang w:eastAsia="zh-CN"/>
        </w:rPr>
        <w:t>缔约方大会商定将关于这项问题的讨论推迟到缔约方大会第十五届会议进行。</w:t>
      </w:r>
    </w:p>
    <w:p w:rsidR="008D76BF" w:rsidRPr="00F17640" w:rsidRDefault="008D76BF" w:rsidP="00F17640">
      <w:pPr>
        <w:pStyle w:val="Heading1"/>
        <w:spacing w:before="120" w:after="120"/>
        <w:ind w:firstLine="0"/>
        <w:rPr>
          <w:sz w:val="24"/>
          <w:szCs w:val="24"/>
          <w:lang w:eastAsia="zh-CN"/>
        </w:rPr>
      </w:pPr>
      <w:bookmarkStart w:id="266" w:name="_Toc6243819"/>
      <w:r w:rsidRPr="00F17640">
        <w:rPr>
          <w:rFonts w:hint="eastAsia"/>
          <w:sz w:val="24"/>
          <w:szCs w:val="24"/>
          <w:lang w:eastAsia="zh-CN"/>
        </w:rPr>
        <w:t>项目</w:t>
      </w:r>
      <w:r w:rsidRPr="00F17640">
        <w:rPr>
          <w:sz w:val="24"/>
          <w:szCs w:val="24"/>
          <w:lang w:eastAsia="zh-CN"/>
        </w:rPr>
        <w:t>5.</w:t>
      </w:r>
      <w:bookmarkStart w:id="267" w:name="THIRTEEN"/>
      <w:bookmarkEnd w:id="267"/>
      <w:r w:rsidRPr="00F17640">
        <w:rPr>
          <w:sz w:val="24"/>
          <w:szCs w:val="24"/>
          <w:lang w:eastAsia="zh-CN"/>
        </w:rPr>
        <w:t xml:space="preserve">    </w:t>
      </w:r>
      <w:r w:rsidR="00366699" w:rsidRPr="00F17640">
        <w:rPr>
          <w:sz w:val="24"/>
          <w:szCs w:val="24"/>
          <w:lang w:eastAsia="zh-CN"/>
        </w:rPr>
        <w:t xml:space="preserve">  </w:t>
      </w:r>
      <w:r w:rsidRPr="00F17640">
        <w:rPr>
          <w:rFonts w:hint="eastAsia"/>
          <w:sz w:val="24"/>
          <w:szCs w:val="24"/>
          <w:lang w:eastAsia="zh-CN"/>
        </w:rPr>
        <w:t>缔约方大会未来会议的日期和地点</w:t>
      </w:r>
      <w:bookmarkEnd w:id="266"/>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bookmarkStart w:id="268" w:name="Item08"/>
      <w:bookmarkEnd w:id="265"/>
      <w:r w:rsidRPr="004D1FBA">
        <w:rPr>
          <w:rFonts w:hAnsi="SimSun"/>
          <w:sz w:val="24"/>
          <w:szCs w:val="24"/>
          <w:lang w:eastAsia="zh-CN"/>
        </w:rPr>
        <w:t>2018</w:t>
      </w:r>
      <w:r w:rsidRPr="004D1FBA">
        <w:rPr>
          <w:rFonts w:ascii="SimSun" w:eastAsia="SimSun" w:hAnsi="SimSun" w:cs="SimSun" w:hint="eastAsia"/>
          <w:sz w:val="24"/>
          <w:szCs w:val="24"/>
          <w:lang w:eastAsia="zh-CN"/>
        </w:rPr>
        <w:t>年</w:t>
      </w:r>
      <w:r w:rsidRPr="004D1FBA">
        <w:rPr>
          <w:rFonts w:hAnsi="SimSun"/>
          <w:sz w:val="24"/>
          <w:szCs w:val="24"/>
          <w:lang w:eastAsia="zh-CN"/>
        </w:rPr>
        <w:t>11</w:t>
      </w:r>
      <w:r w:rsidRPr="004D1FBA">
        <w:rPr>
          <w:rFonts w:ascii="SimSun" w:eastAsia="SimSun" w:hAnsi="SimSun" w:cs="SimSun" w:hint="eastAsia"/>
          <w:sz w:val="24"/>
          <w:szCs w:val="24"/>
          <w:lang w:eastAsia="zh-CN"/>
        </w:rPr>
        <w:t>月</w:t>
      </w:r>
      <w:r w:rsidR="00E01A5F" w:rsidRPr="00A334A9">
        <w:rPr>
          <w:rFonts w:hAnsi="SimSun" w:hint="eastAsia"/>
          <w:sz w:val="24"/>
          <w:szCs w:val="24"/>
          <w:lang w:eastAsia="zh-CN"/>
        </w:rPr>
        <w:t>17</w:t>
      </w:r>
      <w:r w:rsidR="00A70CC2">
        <w:rPr>
          <w:rFonts w:ascii="SimSun" w:eastAsia="SimSun" w:hAnsi="SimSun" w:cs="SimSun" w:hint="eastAsia"/>
          <w:sz w:val="24"/>
          <w:szCs w:val="24"/>
          <w:lang w:eastAsia="zh-CN"/>
        </w:rPr>
        <w:t>日会议</w:t>
      </w:r>
      <w:r w:rsidRPr="004D1FBA">
        <w:rPr>
          <w:rFonts w:ascii="SimSun" w:eastAsia="SimSun" w:hAnsi="SimSun" w:cs="SimSun" w:hint="eastAsia"/>
          <w:sz w:val="24"/>
          <w:szCs w:val="24"/>
          <w:lang w:eastAsia="zh-CN"/>
        </w:rPr>
        <w:t>第</w:t>
      </w:r>
      <w:r w:rsidRPr="004D1FBA">
        <w:rPr>
          <w:rFonts w:hAnsi="SimSun"/>
          <w:sz w:val="24"/>
          <w:szCs w:val="24"/>
          <w:lang w:eastAsia="zh-CN"/>
        </w:rPr>
        <w:t>2</w:t>
      </w:r>
      <w:r>
        <w:rPr>
          <w:rFonts w:ascii="SimSun" w:eastAsia="SimSun" w:hAnsi="SimSun" w:cs="SimSun" w:hint="eastAsia"/>
          <w:sz w:val="24"/>
          <w:szCs w:val="24"/>
          <w:lang w:eastAsia="zh-CN"/>
        </w:rPr>
        <w:t>场</w:t>
      </w:r>
      <w:r w:rsidRPr="004D1FBA">
        <w:rPr>
          <w:rFonts w:ascii="SimSun" w:eastAsia="SimSun" w:hAnsi="SimSun" w:cs="SimSun" w:hint="eastAsia"/>
          <w:sz w:val="24"/>
          <w:szCs w:val="24"/>
          <w:lang w:eastAsia="zh-CN"/>
        </w:rPr>
        <w:t>会议审议了议程项目</w:t>
      </w:r>
      <w:r w:rsidRPr="004D1FBA">
        <w:rPr>
          <w:rFonts w:hAnsi="SimSun"/>
          <w:sz w:val="24"/>
          <w:szCs w:val="24"/>
          <w:lang w:eastAsia="zh-CN"/>
        </w:rPr>
        <w:t>5</w:t>
      </w:r>
      <w:r w:rsidRPr="004D1FBA">
        <w:rPr>
          <w:rFonts w:ascii="SimSun" w:eastAsia="SimSun" w:hAnsi="SimSun" w:cs="SimSun" w:hint="eastAsia"/>
          <w:sz w:val="24"/>
          <w:szCs w:val="24"/>
          <w:lang w:eastAsia="zh-CN"/>
        </w:rPr>
        <w:t>。主席在介绍该项目时回顾说，缔约方大会第十三届会议决定，于</w:t>
      </w:r>
      <w:r w:rsidRPr="004D1FBA">
        <w:rPr>
          <w:rFonts w:hAnsi="SimSun"/>
          <w:sz w:val="24"/>
          <w:szCs w:val="24"/>
          <w:lang w:eastAsia="zh-CN"/>
        </w:rPr>
        <w:t>2020</w:t>
      </w:r>
      <w:r w:rsidRPr="004D1FBA">
        <w:rPr>
          <w:rFonts w:ascii="SimSun" w:eastAsia="SimSun" w:hAnsi="SimSun" w:cs="SimSun" w:hint="eastAsia"/>
          <w:sz w:val="24"/>
          <w:szCs w:val="24"/>
          <w:lang w:eastAsia="zh-CN"/>
        </w:rPr>
        <w:t>年第四季度在中国举行其第十五届会议，同时举行卡塔赫纳和名古屋议定书缔约方会议，以及于有待确定的日期在土耳其举行其第十六届会议和同时举行议定书缔约方会议（第</w:t>
      </w:r>
      <w:r w:rsidRPr="004D1FBA">
        <w:rPr>
          <w:rFonts w:hAnsi="SimSun"/>
          <w:sz w:val="24"/>
          <w:szCs w:val="24"/>
          <w:lang w:eastAsia="zh-CN"/>
        </w:rPr>
        <w:t>XIII/33</w:t>
      </w:r>
      <w:r w:rsidRPr="004D1FBA">
        <w:rPr>
          <w:rFonts w:ascii="SimSun" w:eastAsia="SimSun" w:hAnsi="SimSun" w:cs="SimSun" w:hint="eastAsia"/>
          <w:sz w:val="24"/>
          <w:szCs w:val="24"/>
          <w:lang w:eastAsia="zh-CN"/>
        </w:rPr>
        <w:t>号决定）。在同一决定中，缔约方商定了未来</w:t>
      </w:r>
      <w:r>
        <w:rPr>
          <w:rFonts w:ascii="SimSun" w:eastAsia="SimSun" w:hAnsi="SimSun" w:cs="SimSun" w:hint="eastAsia"/>
          <w:sz w:val="24"/>
          <w:szCs w:val="24"/>
          <w:lang w:eastAsia="zh-CN"/>
        </w:rPr>
        <w:t>轮流举办</w:t>
      </w:r>
      <w:r w:rsidRPr="004D1FBA">
        <w:rPr>
          <w:rFonts w:ascii="SimSun" w:eastAsia="SimSun" w:hAnsi="SimSun" w:cs="SimSun" w:hint="eastAsia"/>
          <w:sz w:val="24"/>
          <w:szCs w:val="24"/>
          <w:lang w:eastAsia="zh-CN"/>
        </w:rPr>
        <w:t>会议的问题，因此主席鼓励中欧和东欧区域的缔约方就第十七届会议的地点举行磋商。</w:t>
      </w:r>
    </w:p>
    <w:p w:rsidR="008D76BF" w:rsidRPr="000805BD" w:rsidRDefault="008D76BF" w:rsidP="00750ECD">
      <w:pPr>
        <w:pStyle w:val="Para1"/>
        <w:numPr>
          <w:ilvl w:val="0"/>
          <w:numId w:val="9"/>
        </w:numPr>
        <w:tabs>
          <w:tab w:val="clear" w:pos="360"/>
          <w:tab w:val="left" w:pos="720"/>
        </w:tabs>
        <w:ind w:firstLine="0"/>
        <w:rPr>
          <w:sz w:val="24"/>
          <w:szCs w:val="24"/>
          <w:lang w:eastAsia="zh-CN"/>
        </w:rPr>
      </w:pPr>
      <w:r w:rsidRPr="000805BD">
        <w:rPr>
          <w:rFonts w:eastAsia="Times New Roman" w:hAnsi="SimSun"/>
          <w:sz w:val="24"/>
          <w:szCs w:val="24"/>
          <w:lang w:eastAsia="zh-CN"/>
        </w:rPr>
        <w:t>在</w:t>
      </w:r>
      <w:r w:rsidRPr="000805BD">
        <w:rPr>
          <w:rFonts w:eastAsia="Times New Roman"/>
          <w:sz w:val="24"/>
          <w:szCs w:val="24"/>
          <w:lang w:eastAsia="zh-CN"/>
        </w:rPr>
        <w:t>2018</w:t>
      </w:r>
      <w:r w:rsidRPr="000805BD">
        <w:rPr>
          <w:rFonts w:eastAsia="Times New Roman" w:hAnsi="SimSun"/>
          <w:sz w:val="24"/>
          <w:szCs w:val="24"/>
          <w:lang w:eastAsia="zh-CN"/>
        </w:rPr>
        <w:t>年</w:t>
      </w:r>
      <w:r w:rsidRPr="000805BD">
        <w:rPr>
          <w:rFonts w:eastAsia="Times New Roman"/>
          <w:sz w:val="24"/>
          <w:szCs w:val="24"/>
          <w:lang w:eastAsia="zh-CN"/>
        </w:rPr>
        <w:t>11</w:t>
      </w:r>
      <w:r w:rsidRPr="000805BD">
        <w:rPr>
          <w:rFonts w:eastAsia="Times New Roman" w:hAnsi="SimSun"/>
          <w:sz w:val="24"/>
          <w:szCs w:val="24"/>
          <w:lang w:eastAsia="zh-CN"/>
        </w:rPr>
        <w:t>月</w:t>
      </w:r>
      <w:r w:rsidRPr="000805BD">
        <w:rPr>
          <w:rFonts w:eastAsia="Times New Roman"/>
          <w:sz w:val="24"/>
          <w:szCs w:val="24"/>
          <w:lang w:eastAsia="zh-CN"/>
        </w:rPr>
        <w:t>22</w:t>
      </w:r>
      <w:r w:rsidR="00EA4BF6">
        <w:rPr>
          <w:rFonts w:ascii="SimSun" w:eastAsia="SimSun" w:hAnsi="SimSun" w:cs="SimSun" w:hint="eastAsia"/>
          <w:sz w:val="24"/>
          <w:szCs w:val="24"/>
          <w:lang w:eastAsia="zh-CN"/>
        </w:rPr>
        <w:t>日</w:t>
      </w:r>
      <w:r w:rsidR="00862B8F">
        <w:rPr>
          <w:rFonts w:ascii="SimSun" w:eastAsia="SimSun" w:hAnsi="SimSun" w:cs="SimSun" w:hint="eastAsia"/>
          <w:sz w:val="24"/>
          <w:szCs w:val="24"/>
          <w:lang w:eastAsia="zh-CN"/>
        </w:rPr>
        <w:t>会议的</w:t>
      </w:r>
      <w:r w:rsidRPr="000805BD">
        <w:rPr>
          <w:rFonts w:eastAsia="Times New Roman" w:hAnsi="SimSun"/>
          <w:sz w:val="24"/>
          <w:szCs w:val="24"/>
          <w:lang w:eastAsia="zh-CN"/>
        </w:rPr>
        <w:t>第</w:t>
      </w:r>
      <w:r>
        <w:rPr>
          <w:rFonts w:eastAsia="Times New Roman" w:hAnsi="SimSun"/>
          <w:sz w:val="24"/>
          <w:szCs w:val="24"/>
          <w:lang w:eastAsia="zh-CN"/>
        </w:rPr>
        <w:t>4</w:t>
      </w:r>
      <w:r w:rsidR="00B45641">
        <w:rPr>
          <w:rFonts w:ascii="SimSun" w:eastAsia="SimSun" w:hAnsi="SimSun" w:cs="SimSun" w:hint="eastAsia"/>
          <w:sz w:val="24"/>
          <w:szCs w:val="24"/>
          <w:lang w:eastAsia="zh-CN"/>
        </w:rPr>
        <w:t>次全体会议</w:t>
      </w:r>
      <w:r w:rsidRPr="000805BD">
        <w:rPr>
          <w:rFonts w:eastAsia="Times New Roman" w:hAnsi="SimSun"/>
          <w:sz w:val="24"/>
          <w:szCs w:val="24"/>
          <w:lang w:eastAsia="zh-CN"/>
        </w:rPr>
        <w:t>上，缔约方大会审议了主席提出的一项决定草案，</w:t>
      </w:r>
      <w:r w:rsidR="00A334A9">
        <w:rPr>
          <w:rFonts w:eastAsiaTheme="minorEastAsia" w:hAnsi="SimSun" w:hint="eastAsia"/>
          <w:sz w:val="24"/>
          <w:szCs w:val="24"/>
          <w:lang w:eastAsia="zh-CN"/>
        </w:rPr>
        <w:t>该</w:t>
      </w:r>
      <w:r w:rsidR="00A334A9">
        <w:rPr>
          <w:rFonts w:eastAsiaTheme="minorEastAsia" w:hAnsi="SimSun"/>
          <w:sz w:val="24"/>
          <w:szCs w:val="24"/>
          <w:lang w:eastAsia="zh-CN"/>
        </w:rPr>
        <w:t>决定草案在</w:t>
      </w:r>
      <w:r w:rsidRPr="000805BD">
        <w:rPr>
          <w:rFonts w:eastAsia="Times New Roman" w:hAnsi="SimSun"/>
          <w:sz w:val="24"/>
          <w:szCs w:val="24"/>
          <w:lang w:eastAsia="zh-CN"/>
        </w:rPr>
        <w:t>获得通过</w:t>
      </w:r>
      <w:r w:rsidR="00A334A9">
        <w:rPr>
          <w:rFonts w:eastAsiaTheme="minorEastAsia" w:hAnsi="SimSun" w:hint="eastAsia"/>
          <w:sz w:val="24"/>
          <w:szCs w:val="24"/>
          <w:lang w:eastAsia="zh-CN"/>
        </w:rPr>
        <w:t>后</w:t>
      </w:r>
      <w:r w:rsidRPr="000805BD">
        <w:rPr>
          <w:rFonts w:eastAsia="Times New Roman" w:hAnsi="SimSun"/>
          <w:sz w:val="24"/>
          <w:szCs w:val="24"/>
          <w:lang w:eastAsia="zh-CN"/>
        </w:rPr>
        <w:t>成为第</w:t>
      </w:r>
      <w:r>
        <w:rPr>
          <w:rFonts w:eastAsia="SimSun" w:hAnsi="SimSun"/>
          <w:sz w:val="24"/>
          <w:szCs w:val="24"/>
          <w:lang w:eastAsia="zh-CN"/>
        </w:rPr>
        <w:t>14</w:t>
      </w:r>
      <w:r w:rsidRPr="000805BD">
        <w:rPr>
          <w:sz w:val="24"/>
          <w:szCs w:val="24"/>
          <w:lang w:eastAsia="zh-CN"/>
        </w:rPr>
        <w:t>/</w:t>
      </w:r>
      <w:r w:rsidR="00E01A5F">
        <w:rPr>
          <w:sz w:val="24"/>
          <w:szCs w:val="24"/>
          <w:lang w:eastAsia="zh-CN"/>
        </w:rPr>
        <w:t>38</w:t>
      </w:r>
      <w:r w:rsidRPr="000805BD">
        <w:rPr>
          <w:rFonts w:eastAsia="Times New Roman" w:hAnsi="SimSun"/>
          <w:sz w:val="24"/>
          <w:szCs w:val="24"/>
          <w:lang w:eastAsia="zh-CN"/>
        </w:rPr>
        <w:t>号决定。</w:t>
      </w:r>
    </w:p>
    <w:p w:rsidR="008D76BF" w:rsidRPr="00F17640" w:rsidRDefault="008D76BF" w:rsidP="00F17640">
      <w:pPr>
        <w:pStyle w:val="Heading1"/>
        <w:spacing w:before="120" w:after="120"/>
        <w:ind w:firstLine="0"/>
        <w:rPr>
          <w:sz w:val="24"/>
          <w:szCs w:val="24"/>
          <w:lang w:eastAsia="zh-CN"/>
        </w:rPr>
      </w:pPr>
      <w:bookmarkStart w:id="269" w:name="_Toc6243820"/>
      <w:r w:rsidRPr="00F17640">
        <w:rPr>
          <w:rFonts w:hint="eastAsia"/>
          <w:sz w:val="24"/>
          <w:szCs w:val="24"/>
          <w:lang w:eastAsia="zh-CN"/>
        </w:rPr>
        <w:t>项目</w:t>
      </w:r>
      <w:r w:rsidRPr="00F17640">
        <w:rPr>
          <w:sz w:val="24"/>
          <w:szCs w:val="24"/>
          <w:lang w:eastAsia="zh-CN"/>
        </w:rPr>
        <w:t xml:space="preserve">6.    </w:t>
      </w:r>
      <w:r w:rsidR="00366699" w:rsidRPr="00F17640">
        <w:rPr>
          <w:sz w:val="24"/>
          <w:szCs w:val="24"/>
          <w:lang w:eastAsia="zh-CN"/>
        </w:rPr>
        <w:t xml:space="preserve">  </w:t>
      </w:r>
      <w:r w:rsidRPr="00F17640">
        <w:rPr>
          <w:rFonts w:hint="eastAsia"/>
          <w:sz w:val="24"/>
          <w:szCs w:val="24"/>
          <w:lang w:eastAsia="zh-CN"/>
        </w:rPr>
        <w:t>闭会期间会议和区域筹备会议的报告</w:t>
      </w:r>
      <w:bookmarkEnd w:id="269"/>
    </w:p>
    <w:bookmarkEnd w:id="268"/>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smartTag w:uri="urn:schemas-microsoft-com:office:smarttags" w:element="chsdate">
        <w:smartTagPr>
          <w:attr w:name="Year" w:val="2018"/>
          <w:attr w:name="Month" w:val="11"/>
          <w:attr w:name="Day" w:val="25"/>
          <w:attr w:name="IsLunarDate" w:val="False"/>
          <w:attr w:name="IsROCDate" w:val="False"/>
        </w:smartTagPr>
        <w:r w:rsidRPr="004D1FBA">
          <w:rPr>
            <w:rFonts w:hAnsi="SimSun"/>
            <w:sz w:val="24"/>
            <w:szCs w:val="24"/>
            <w:lang w:eastAsia="zh-CN"/>
          </w:rPr>
          <w:t>2018</w:t>
        </w:r>
        <w:r w:rsidRPr="004D1FBA">
          <w:rPr>
            <w:rFonts w:ascii="SimSun" w:eastAsia="SimSun" w:hAnsi="SimSun" w:cs="SimSun" w:hint="eastAsia"/>
            <w:sz w:val="24"/>
            <w:szCs w:val="24"/>
            <w:lang w:eastAsia="zh-CN"/>
          </w:rPr>
          <w:t>年</w:t>
        </w:r>
        <w:r w:rsidRPr="004D1FBA">
          <w:rPr>
            <w:rFonts w:hAnsi="SimSun"/>
            <w:sz w:val="24"/>
            <w:szCs w:val="24"/>
            <w:lang w:eastAsia="zh-CN"/>
          </w:rPr>
          <w:t>11</w:t>
        </w:r>
        <w:r w:rsidRPr="004D1FBA">
          <w:rPr>
            <w:rFonts w:ascii="SimSun" w:eastAsia="SimSun" w:hAnsi="SimSun" w:cs="SimSun" w:hint="eastAsia"/>
            <w:sz w:val="24"/>
            <w:szCs w:val="24"/>
            <w:lang w:eastAsia="zh-CN"/>
          </w:rPr>
          <w:t>月</w:t>
        </w:r>
        <w:r w:rsidRPr="004D1FBA">
          <w:rPr>
            <w:rFonts w:hAnsi="SimSun"/>
            <w:sz w:val="24"/>
            <w:szCs w:val="24"/>
            <w:lang w:eastAsia="zh-CN"/>
          </w:rPr>
          <w:t>17</w:t>
        </w:r>
        <w:r w:rsidRPr="004D1FBA">
          <w:rPr>
            <w:rFonts w:ascii="SimSun" w:eastAsia="SimSun" w:hAnsi="SimSun" w:cs="SimSun" w:hint="eastAsia"/>
            <w:sz w:val="24"/>
            <w:szCs w:val="24"/>
            <w:lang w:eastAsia="zh-CN"/>
          </w:rPr>
          <w:t>日</w:t>
        </w:r>
        <w:r w:rsidR="00862B8F">
          <w:rPr>
            <w:rFonts w:ascii="SimSun" w:eastAsia="SimSun" w:hAnsi="SimSun" w:cs="SimSun" w:hint="eastAsia"/>
            <w:sz w:val="24"/>
            <w:szCs w:val="24"/>
            <w:lang w:eastAsia="zh-CN"/>
          </w:rPr>
          <w:t>会议的第</w:t>
        </w:r>
        <w:r w:rsidR="00862B8F" w:rsidRPr="00862B8F">
          <w:rPr>
            <w:rFonts w:hAnsi="SimSun" w:hint="eastAsia"/>
            <w:sz w:val="24"/>
            <w:szCs w:val="24"/>
            <w:lang w:eastAsia="zh-CN"/>
          </w:rPr>
          <w:t>2</w:t>
        </w:r>
        <w:r w:rsidR="00862B8F">
          <w:rPr>
            <w:rFonts w:ascii="SimSun" w:eastAsia="SimSun" w:hAnsi="SimSun" w:cs="SimSun" w:hint="eastAsia"/>
            <w:sz w:val="24"/>
            <w:szCs w:val="24"/>
            <w:lang w:eastAsia="zh-CN"/>
          </w:rPr>
          <w:t>场</w:t>
        </w:r>
      </w:smartTag>
      <w:r w:rsidR="00B45641">
        <w:rPr>
          <w:rFonts w:ascii="SimSun" w:eastAsia="SimSun" w:hAnsi="SimSun" w:cs="SimSun" w:hint="eastAsia"/>
          <w:sz w:val="24"/>
          <w:szCs w:val="24"/>
          <w:lang w:val="en-US" w:eastAsia="zh-CN"/>
        </w:rPr>
        <w:t>全体会议</w:t>
      </w:r>
      <w:r w:rsidRPr="004D1FBA">
        <w:rPr>
          <w:rFonts w:ascii="SimSun" w:eastAsia="SimSun" w:hAnsi="SimSun" w:cs="SimSun" w:hint="eastAsia"/>
          <w:sz w:val="24"/>
          <w:szCs w:val="24"/>
          <w:lang w:eastAsia="zh-CN"/>
        </w:rPr>
        <w:t>审议了议程项</w:t>
      </w:r>
      <w:r w:rsidRPr="004D1FBA">
        <w:rPr>
          <w:rFonts w:hAnsi="SimSun"/>
          <w:sz w:val="24"/>
          <w:szCs w:val="24"/>
          <w:lang w:eastAsia="zh-CN"/>
        </w:rPr>
        <w:t>6</w:t>
      </w:r>
      <w:r w:rsidRPr="004D1FBA">
        <w:rPr>
          <w:rFonts w:ascii="SimSun" w:eastAsia="SimSun" w:hAnsi="SimSun" w:cs="SimSun" w:hint="eastAsia"/>
          <w:sz w:val="24"/>
          <w:szCs w:val="24"/>
          <w:lang w:eastAsia="zh-CN"/>
        </w:rPr>
        <w:t>。在审议该项目时，缔约方大会收到了生物多样性公约第</w:t>
      </w:r>
      <w:r w:rsidRPr="004D1FBA">
        <w:rPr>
          <w:rFonts w:hAnsi="SimSun"/>
          <w:sz w:val="24"/>
          <w:szCs w:val="24"/>
          <w:lang w:eastAsia="zh-CN"/>
        </w:rPr>
        <w:t>8</w:t>
      </w:r>
      <w:r w:rsidR="00A334A9">
        <w:rPr>
          <w:rFonts w:hAnsi="SimSun"/>
          <w:sz w:val="24"/>
          <w:szCs w:val="24"/>
          <w:lang w:eastAsia="zh-CN"/>
        </w:rPr>
        <w:t>(</w:t>
      </w:r>
      <w:r w:rsidRPr="004D1FBA">
        <w:rPr>
          <w:rFonts w:hAnsi="SimSun"/>
          <w:sz w:val="24"/>
          <w:szCs w:val="24"/>
          <w:lang w:eastAsia="zh-CN"/>
        </w:rPr>
        <w:t>j</w:t>
      </w:r>
      <w:r w:rsidR="00A334A9">
        <w:rPr>
          <w:rFonts w:hAnsi="SimSun"/>
          <w:sz w:val="24"/>
          <w:szCs w:val="24"/>
          <w:lang w:eastAsia="zh-CN"/>
        </w:rPr>
        <w:t>)</w:t>
      </w:r>
      <w:r w:rsidRPr="004D1FBA">
        <w:rPr>
          <w:rFonts w:ascii="SimSun" w:eastAsia="SimSun" w:hAnsi="SimSun" w:cs="SimSun" w:hint="eastAsia"/>
          <w:sz w:val="24"/>
          <w:szCs w:val="24"/>
          <w:lang w:eastAsia="zh-CN"/>
        </w:rPr>
        <w:t>条和相关条款问题不限成员名额闭会期间特设工作组第十次会议的报告（</w:t>
      </w:r>
      <w:r w:rsidRPr="004D1FBA">
        <w:rPr>
          <w:rFonts w:hAnsi="SimSun"/>
          <w:sz w:val="24"/>
          <w:szCs w:val="24"/>
          <w:lang w:eastAsia="zh-CN"/>
        </w:rPr>
        <w:t>CBD/WG8J/10/11</w:t>
      </w:r>
      <w:r w:rsidRPr="004D1FBA">
        <w:rPr>
          <w:rFonts w:ascii="SimSun" w:eastAsia="SimSun" w:hAnsi="SimSun" w:cs="SimSun" w:hint="eastAsia"/>
          <w:sz w:val="24"/>
          <w:szCs w:val="24"/>
          <w:lang w:eastAsia="zh-CN"/>
        </w:rPr>
        <w:t>）、科学、技术和工艺咨询附属机构第二十一次和第二十二次会议的报告（</w:t>
      </w:r>
      <w:r w:rsidRPr="004D1FBA">
        <w:rPr>
          <w:rFonts w:hAnsi="SimSun"/>
          <w:sz w:val="24"/>
          <w:szCs w:val="24"/>
          <w:lang w:eastAsia="zh-CN"/>
        </w:rPr>
        <w:t>CBD/SBSTTA/21/10</w:t>
      </w:r>
      <w:r w:rsidRPr="004D1FBA">
        <w:rPr>
          <w:rFonts w:ascii="SimSun" w:eastAsia="SimSun" w:hAnsi="SimSun" w:cs="SimSun" w:hint="eastAsia"/>
          <w:sz w:val="24"/>
          <w:szCs w:val="24"/>
          <w:lang w:eastAsia="zh-CN"/>
        </w:rPr>
        <w:t>和</w:t>
      </w:r>
      <w:r w:rsidRPr="004D1FBA">
        <w:rPr>
          <w:rFonts w:hAnsi="SimSun"/>
          <w:sz w:val="24"/>
          <w:szCs w:val="24"/>
          <w:lang w:eastAsia="zh-CN"/>
        </w:rPr>
        <w:t>CBD/SBSTTA/22/12</w:t>
      </w:r>
      <w:r w:rsidRPr="004D1FBA">
        <w:rPr>
          <w:rFonts w:ascii="SimSun" w:eastAsia="SimSun" w:hAnsi="SimSun" w:cs="SimSun" w:hint="eastAsia"/>
          <w:sz w:val="24"/>
          <w:szCs w:val="24"/>
          <w:lang w:eastAsia="zh-CN"/>
        </w:rPr>
        <w:t>）和执行问题附属机构第二次会议的报告（</w:t>
      </w:r>
      <w:r w:rsidRPr="004D1FBA">
        <w:rPr>
          <w:rFonts w:hAnsi="SimSun"/>
          <w:sz w:val="24"/>
          <w:szCs w:val="24"/>
          <w:lang w:eastAsia="zh-CN"/>
        </w:rPr>
        <w:t>CBD/SBI/2/22</w:t>
      </w:r>
      <w:r w:rsidRPr="004D1FBA">
        <w:rPr>
          <w:rFonts w:ascii="SimSun" w:eastAsia="SimSun" w:hAnsi="SimSun" w:cs="SimSun" w:hint="eastAsia"/>
          <w:sz w:val="24"/>
          <w:szCs w:val="24"/>
          <w:lang w:eastAsia="zh-CN"/>
        </w:rPr>
        <w:t>）。</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bookmarkStart w:id="270" w:name="Item09"/>
      <w:r w:rsidRPr="004D1FBA">
        <w:rPr>
          <w:rFonts w:ascii="SimSun" w:eastAsia="SimSun" w:hAnsi="SimSun" w:cs="SimSun" w:hint="eastAsia"/>
          <w:sz w:val="24"/>
          <w:szCs w:val="24"/>
          <w:lang w:eastAsia="zh-CN"/>
        </w:rPr>
        <w:t>缔约方大会注意到附属机构闭会期间会议的报告，并同意在有关议程项目下审议报告中的建议。</w:t>
      </w:r>
    </w:p>
    <w:p w:rsidR="008D76BF" w:rsidRPr="005A6E95" w:rsidRDefault="008D76BF" w:rsidP="00E01A5F">
      <w:pPr>
        <w:pStyle w:val="Heading3"/>
        <w:ind w:firstLine="0"/>
        <w:rPr>
          <w:rFonts w:ascii="KaiTi" w:eastAsia="KaiTi" w:hAnsi="KaiTi"/>
          <w:i w:val="0"/>
          <w:kern w:val="22"/>
          <w:sz w:val="24"/>
          <w:lang w:eastAsia="zh-CN"/>
        </w:rPr>
      </w:pPr>
      <w:bookmarkStart w:id="271" w:name="_Toc6243821"/>
      <w:r w:rsidRPr="005A6E95">
        <w:rPr>
          <w:rFonts w:ascii="KaiTi" w:eastAsia="KaiTi" w:hAnsi="KaiTi" w:hint="eastAsia"/>
          <w:i w:val="0"/>
          <w:kern w:val="22"/>
          <w:sz w:val="24"/>
          <w:lang w:eastAsia="zh-CN"/>
        </w:rPr>
        <w:t>新问题和正在出现的问题</w:t>
      </w:r>
      <w:bookmarkEnd w:id="271"/>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4D1FBA">
        <w:rPr>
          <w:rFonts w:ascii="SimSun" w:eastAsia="SimSun" w:hAnsi="SimSun" w:cs="SimSun" w:hint="eastAsia"/>
          <w:sz w:val="24"/>
          <w:szCs w:val="24"/>
          <w:lang w:eastAsia="zh-CN"/>
        </w:rPr>
        <w:t>根据科学、技术和工艺咨询附属机构第</w:t>
      </w:r>
      <w:r w:rsidRPr="004D1FBA">
        <w:rPr>
          <w:rFonts w:hAnsi="SimSun"/>
          <w:sz w:val="24"/>
          <w:szCs w:val="24"/>
          <w:lang w:eastAsia="zh-CN"/>
        </w:rPr>
        <w:t>XXI/7</w:t>
      </w:r>
      <w:r w:rsidRPr="004D1FBA">
        <w:rPr>
          <w:rFonts w:ascii="SimSun" w:eastAsia="SimSun" w:hAnsi="SimSun" w:cs="SimSun" w:hint="eastAsia"/>
          <w:sz w:val="24"/>
          <w:szCs w:val="24"/>
          <w:lang w:eastAsia="zh-CN"/>
        </w:rPr>
        <w:t>号建议，缔约方大会</w:t>
      </w:r>
      <w:r w:rsidR="00862B8F">
        <w:rPr>
          <w:rFonts w:ascii="SimSun" w:eastAsia="SimSun" w:hAnsi="SimSun" w:cs="SimSun" w:hint="eastAsia"/>
          <w:sz w:val="24"/>
          <w:szCs w:val="24"/>
          <w:lang w:eastAsia="zh-CN"/>
        </w:rPr>
        <w:t>同意</w:t>
      </w:r>
      <w:r w:rsidRPr="004D1FBA">
        <w:rPr>
          <w:rFonts w:ascii="SimSun" w:eastAsia="SimSun" w:hAnsi="SimSun" w:cs="SimSun" w:hint="eastAsia"/>
          <w:sz w:val="24"/>
          <w:szCs w:val="24"/>
          <w:lang w:eastAsia="zh-CN"/>
        </w:rPr>
        <w:t>不在科学、技术和工艺咨询附属机构下一个两年期的议程中增列执行秘书关于新出现问题的说明中所提出的新问题和正在出现的问题（</w:t>
      </w:r>
      <w:r w:rsidRPr="004D1FBA">
        <w:rPr>
          <w:rFonts w:hAnsi="SimSun"/>
          <w:sz w:val="24"/>
          <w:szCs w:val="24"/>
          <w:lang w:eastAsia="zh-CN"/>
        </w:rPr>
        <w:t>CBD/SBSTTA/21/8</w:t>
      </w:r>
      <w:r w:rsidRPr="004D1FBA">
        <w:rPr>
          <w:rFonts w:ascii="SimSun" w:eastAsia="SimSun" w:hAnsi="SimSun" w:cs="SimSun" w:hint="eastAsia"/>
          <w:sz w:val="24"/>
          <w:szCs w:val="24"/>
          <w:lang w:eastAsia="zh-CN"/>
        </w:rPr>
        <w:t>）。</w:t>
      </w:r>
    </w:p>
    <w:p w:rsidR="008D76BF" w:rsidRPr="00F17640" w:rsidRDefault="008D76BF" w:rsidP="00F17640">
      <w:pPr>
        <w:pStyle w:val="Heading1"/>
        <w:spacing w:before="120" w:after="120"/>
        <w:ind w:firstLine="0"/>
        <w:rPr>
          <w:sz w:val="24"/>
          <w:szCs w:val="24"/>
          <w:lang w:eastAsia="zh-CN"/>
        </w:rPr>
      </w:pPr>
      <w:bookmarkStart w:id="272" w:name="_Toc6243822"/>
      <w:r w:rsidRPr="00F17640">
        <w:rPr>
          <w:rFonts w:hint="eastAsia"/>
          <w:sz w:val="24"/>
          <w:szCs w:val="24"/>
          <w:lang w:eastAsia="zh-CN"/>
        </w:rPr>
        <w:t>项目</w:t>
      </w:r>
      <w:r w:rsidRPr="00F17640">
        <w:rPr>
          <w:sz w:val="24"/>
          <w:szCs w:val="24"/>
          <w:lang w:eastAsia="zh-CN"/>
        </w:rPr>
        <w:t xml:space="preserve">7.   </w:t>
      </w:r>
      <w:r w:rsidR="00366699" w:rsidRPr="00F17640">
        <w:rPr>
          <w:sz w:val="24"/>
          <w:szCs w:val="24"/>
          <w:lang w:eastAsia="zh-CN"/>
        </w:rPr>
        <w:t xml:space="preserve"> </w:t>
      </w:r>
      <w:r w:rsidRPr="00F17640">
        <w:rPr>
          <w:sz w:val="24"/>
          <w:szCs w:val="24"/>
          <w:lang w:eastAsia="zh-CN"/>
        </w:rPr>
        <w:t xml:space="preserve"> </w:t>
      </w:r>
      <w:r w:rsidRPr="00F17640">
        <w:rPr>
          <w:rFonts w:hint="eastAsia"/>
          <w:sz w:val="24"/>
          <w:szCs w:val="24"/>
          <w:lang w:eastAsia="zh-CN"/>
        </w:rPr>
        <w:t>《公约》的行政管理和信托基金预算</w:t>
      </w:r>
      <w:bookmarkEnd w:id="270"/>
      <w:bookmarkEnd w:id="272"/>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smartTag w:uri="urn:schemas-microsoft-com:office:smarttags" w:element="chsdate">
        <w:smartTagPr>
          <w:attr w:name="Year" w:val="2018"/>
          <w:attr w:name="Month" w:val="11"/>
          <w:attr w:name="Day" w:val="25"/>
          <w:attr w:name="IsLunarDate" w:val="False"/>
          <w:attr w:name="IsROCDate" w:val="False"/>
        </w:smartTagPr>
        <w:r w:rsidRPr="004D1FBA">
          <w:rPr>
            <w:rFonts w:hAnsi="SimSun"/>
            <w:sz w:val="24"/>
            <w:szCs w:val="24"/>
            <w:lang w:eastAsia="zh-CN"/>
          </w:rPr>
          <w:t>2018</w:t>
        </w:r>
        <w:r w:rsidRPr="004D1FBA">
          <w:rPr>
            <w:rFonts w:ascii="SimSun" w:eastAsia="SimSun" w:hAnsi="SimSun" w:cs="SimSun" w:hint="eastAsia"/>
            <w:sz w:val="24"/>
            <w:szCs w:val="24"/>
            <w:lang w:eastAsia="zh-CN"/>
          </w:rPr>
          <w:t>年</w:t>
        </w:r>
        <w:r w:rsidRPr="004D1FBA">
          <w:rPr>
            <w:rFonts w:hAnsi="SimSun"/>
            <w:sz w:val="24"/>
            <w:szCs w:val="24"/>
            <w:lang w:eastAsia="zh-CN"/>
          </w:rPr>
          <w:t>11</w:t>
        </w:r>
        <w:r w:rsidRPr="004D1FBA">
          <w:rPr>
            <w:rFonts w:ascii="SimSun" w:eastAsia="SimSun" w:hAnsi="SimSun" w:cs="SimSun" w:hint="eastAsia"/>
            <w:sz w:val="24"/>
            <w:szCs w:val="24"/>
            <w:lang w:eastAsia="zh-CN"/>
          </w:rPr>
          <w:t>月</w:t>
        </w:r>
        <w:r w:rsidRPr="004D1FBA">
          <w:rPr>
            <w:rFonts w:hAnsi="SimSun"/>
            <w:sz w:val="24"/>
            <w:szCs w:val="24"/>
            <w:lang w:eastAsia="zh-CN"/>
          </w:rPr>
          <w:t>17</w:t>
        </w:r>
        <w:r w:rsidRPr="004D1FBA">
          <w:rPr>
            <w:rFonts w:ascii="SimSun" w:eastAsia="SimSun" w:hAnsi="SimSun" w:cs="SimSun" w:hint="eastAsia"/>
            <w:sz w:val="24"/>
            <w:szCs w:val="24"/>
            <w:lang w:eastAsia="zh-CN"/>
          </w:rPr>
          <w:t>日</w:t>
        </w:r>
      </w:smartTag>
      <w:r w:rsidRPr="004D1FBA">
        <w:rPr>
          <w:rFonts w:ascii="SimSun" w:eastAsia="SimSun" w:hAnsi="SimSun" w:cs="SimSun" w:hint="eastAsia"/>
          <w:sz w:val="24"/>
          <w:szCs w:val="24"/>
          <w:lang w:eastAsia="zh-CN"/>
        </w:rPr>
        <w:t>会议</w:t>
      </w:r>
      <w:r w:rsidR="00862B8F">
        <w:rPr>
          <w:rFonts w:ascii="SimSun" w:eastAsia="SimSun" w:hAnsi="SimSun" w:cs="SimSun" w:hint="eastAsia"/>
          <w:sz w:val="24"/>
          <w:szCs w:val="24"/>
          <w:lang w:eastAsia="zh-CN"/>
        </w:rPr>
        <w:t>的</w:t>
      </w:r>
      <w:r w:rsidRPr="004D1FBA">
        <w:rPr>
          <w:rFonts w:ascii="SimSun" w:eastAsia="SimSun" w:hAnsi="SimSun" w:cs="SimSun" w:hint="eastAsia"/>
          <w:sz w:val="24"/>
          <w:szCs w:val="24"/>
          <w:lang w:eastAsia="zh-CN"/>
        </w:rPr>
        <w:t>第</w:t>
      </w:r>
      <w:r w:rsidRPr="004D1FBA">
        <w:rPr>
          <w:rFonts w:hAnsi="SimSun"/>
          <w:sz w:val="24"/>
          <w:szCs w:val="24"/>
          <w:lang w:eastAsia="zh-CN"/>
        </w:rPr>
        <w:t>2</w:t>
      </w:r>
      <w:r>
        <w:rPr>
          <w:rFonts w:ascii="SimSun" w:eastAsia="SimSun" w:hAnsi="SimSun" w:cs="SimSun" w:hint="eastAsia"/>
          <w:sz w:val="24"/>
          <w:szCs w:val="24"/>
          <w:lang w:eastAsia="zh-CN"/>
        </w:rPr>
        <w:t>场</w:t>
      </w:r>
      <w:r w:rsidRPr="004D1FBA">
        <w:rPr>
          <w:rFonts w:ascii="SimSun" w:eastAsia="SimSun" w:hAnsi="SimSun" w:cs="SimSun" w:hint="eastAsia"/>
          <w:sz w:val="24"/>
          <w:szCs w:val="24"/>
          <w:lang w:eastAsia="zh-CN"/>
        </w:rPr>
        <w:t>会议审议了议程项目</w:t>
      </w:r>
      <w:r w:rsidRPr="004D1FBA">
        <w:rPr>
          <w:rFonts w:hAnsi="SimSun"/>
          <w:sz w:val="24"/>
          <w:szCs w:val="24"/>
          <w:lang w:eastAsia="zh-CN"/>
        </w:rPr>
        <w:t>7</w:t>
      </w:r>
      <w:r w:rsidRPr="004D1FBA">
        <w:rPr>
          <w:rFonts w:ascii="SimSun" w:eastAsia="SimSun" w:hAnsi="SimSun" w:cs="SimSun" w:hint="eastAsia"/>
          <w:sz w:val="24"/>
          <w:szCs w:val="24"/>
          <w:lang w:eastAsia="zh-CN"/>
        </w:rPr>
        <w:t>。在审议该项目时，缔约方大会收到了执行秘书关于《公约》、《卡塔赫纳议定书》和《名古屋议定书》</w:t>
      </w:r>
      <w:r w:rsidRPr="004D1FBA">
        <w:rPr>
          <w:rFonts w:hAnsi="SimSun"/>
          <w:sz w:val="24"/>
          <w:szCs w:val="24"/>
          <w:lang w:eastAsia="zh-CN"/>
        </w:rPr>
        <w:t>2017-2018</w:t>
      </w:r>
      <w:r w:rsidRPr="004D1FBA">
        <w:rPr>
          <w:rFonts w:ascii="SimSun" w:eastAsia="SimSun" w:hAnsi="SimSun" w:cs="SimSun" w:hint="eastAsia"/>
          <w:sz w:val="24"/>
          <w:szCs w:val="24"/>
          <w:lang w:eastAsia="zh-CN"/>
        </w:rPr>
        <w:t>两年期的行政管理、包括各信托基金预算的报告（</w:t>
      </w:r>
      <w:r w:rsidRPr="004D1FBA">
        <w:rPr>
          <w:rFonts w:hAnsi="SimSun"/>
          <w:sz w:val="24"/>
          <w:szCs w:val="24"/>
          <w:lang w:eastAsia="zh-CN"/>
        </w:rPr>
        <w:t>CBD/COP/14/3</w:t>
      </w:r>
      <w:r w:rsidRPr="004D1FBA">
        <w:rPr>
          <w:rFonts w:ascii="SimSun" w:eastAsia="SimSun" w:hAnsi="SimSun" w:cs="SimSun" w:hint="eastAsia"/>
          <w:sz w:val="24"/>
          <w:szCs w:val="24"/>
          <w:lang w:eastAsia="zh-CN"/>
        </w:rPr>
        <w:t>）、《公约》工作方案拟议</w:t>
      </w:r>
      <w:r w:rsidRPr="004D1FBA">
        <w:rPr>
          <w:rFonts w:hAnsi="SimSun"/>
          <w:sz w:val="24"/>
          <w:szCs w:val="24"/>
          <w:lang w:eastAsia="zh-CN"/>
        </w:rPr>
        <w:t>2019-2020</w:t>
      </w:r>
      <w:r w:rsidRPr="004D1FBA">
        <w:rPr>
          <w:rFonts w:ascii="SimSun" w:eastAsia="SimSun" w:hAnsi="SimSun" w:cs="SimSun" w:hint="eastAsia"/>
          <w:sz w:val="24"/>
          <w:szCs w:val="24"/>
          <w:lang w:eastAsia="zh-CN"/>
        </w:rPr>
        <w:t>两年期公约、卡塔赫纳议定书和名古屋议定书工作方案拟议预算（</w:t>
      </w:r>
      <w:r w:rsidRPr="004D1FBA">
        <w:rPr>
          <w:rFonts w:hAnsi="SimSun"/>
          <w:sz w:val="24"/>
          <w:szCs w:val="24"/>
          <w:lang w:eastAsia="zh-CN"/>
        </w:rPr>
        <w:t>CBD/COP/14/4</w:t>
      </w:r>
      <w:r w:rsidRPr="004D1FBA">
        <w:rPr>
          <w:rFonts w:ascii="SimSun" w:eastAsia="SimSun" w:hAnsi="SimSun" w:cs="SimSun" w:hint="eastAsia"/>
          <w:sz w:val="24"/>
          <w:szCs w:val="24"/>
          <w:lang w:eastAsia="zh-CN"/>
        </w:rPr>
        <w:t>），以及关于该事项的决定草案（</w:t>
      </w:r>
      <w:r w:rsidRPr="004D1FBA">
        <w:rPr>
          <w:rFonts w:hAnsi="SimSun"/>
          <w:sz w:val="24"/>
          <w:szCs w:val="24"/>
          <w:lang w:eastAsia="zh-CN"/>
        </w:rPr>
        <w:t>CBD/COP/14/2</w:t>
      </w:r>
      <w:r w:rsidRPr="004D1FBA">
        <w:rPr>
          <w:rFonts w:ascii="SimSun" w:eastAsia="SimSun" w:hAnsi="SimSun" w:cs="SimSun" w:hint="eastAsia"/>
          <w:sz w:val="24"/>
          <w:szCs w:val="24"/>
          <w:lang w:eastAsia="zh-CN"/>
        </w:rPr>
        <w:t>）的内容，和执行秘书关于《公约》和《卡塔赫纳议定书》及《名古屋议定书》的行政管理和信托基金预算的报告（</w:t>
      </w:r>
      <w:r w:rsidRPr="004D1FBA">
        <w:rPr>
          <w:rFonts w:hAnsi="SimSun"/>
          <w:sz w:val="24"/>
          <w:szCs w:val="24"/>
          <w:lang w:eastAsia="zh-CN"/>
        </w:rPr>
        <w:t>CBD/COP/14/INF/17</w:t>
      </w:r>
      <w:r w:rsidRPr="004D1FBA">
        <w:rPr>
          <w:rFonts w:ascii="SimSun" w:eastAsia="SimSun" w:hAnsi="SimSun" w:cs="SimSun" w:hint="eastAsia"/>
          <w:sz w:val="24"/>
          <w:szCs w:val="24"/>
          <w:lang w:eastAsia="zh-CN"/>
        </w:rPr>
        <w:t>）。</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4D1FBA">
        <w:rPr>
          <w:rFonts w:ascii="SimSun" w:eastAsia="SimSun" w:hAnsi="SimSun" w:cs="SimSun" w:hint="eastAsia"/>
          <w:sz w:val="24"/>
          <w:szCs w:val="24"/>
          <w:lang w:eastAsia="zh-CN"/>
        </w:rPr>
        <w:lastRenderedPageBreak/>
        <w:t>日本代表作了发言。</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4D1FBA">
        <w:rPr>
          <w:rFonts w:ascii="SimSun" w:eastAsia="SimSun" w:hAnsi="SimSun" w:cs="SimSun" w:hint="eastAsia"/>
          <w:sz w:val="24"/>
          <w:szCs w:val="24"/>
          <w:lang w:eastAsia="zh-CN"/>
        </w:rPr>
        <w:t>缔约方大会注意到这些报告并同意设立一个预算问题联络小组，其任务是审查这一事项并编制</w:t>
      </w:r>
      <w:r w:rsidRPr="004D1FBA">
        <w:rPr>
          <w:rFonts w:hAnsi="SimSun"/>
          <w:sz w:val="24"/>
          <w:szCs w:val="24"/>
          <w:lang w:eastAsia="zh-CN"/>
        </w:rPr>
        <w:t>2019-2020</w:t>
      </w:r>
      <w:r w:rsidRPr="004D1FBA">
        <w:rPr>
          <w:rFonts w:ascii="SimSun" w:eastAsia="SimSun" w:hAnsi="SimSun" w:cs="SimSun" w:hint="eastAsia"/>
          <w:sz w:val="24"/>
          <w:szCs w:val="24"/>
          <w:lang w:eastAsia="zh-CN"/>
        </w:rPr>
        <w:t>两年期工作方案预算草案，供缔约方审议。联络小组将由</w:t>
      </w:r>
      <w:r w:rsidR="008C4DF8" w:rsidRPr="008C4DF8">
        <w:rPr>
          <w:kern w:val="22"/>
          <w:sz w:val="24"/>
          <w:lang w:eastAsia="zh-CN"/>
        </w:rPr>
        <w:t>Spencer Thomas</w:t>
      </w:r>
      <w:r w:rsidRPr="004D1FBA">
        <w:rPr>
          <w:rFonts w:ascii="SimSun" w:eastAsia="SimSun" w:hAnsi="SimSun" w:cs="SimSun" w:hint="eastAsia"/>
          <w:sz w:val="24"/>
          <w:szCs w:val="24"/>
          <w:lang w:eastAsia="zh-CN"/>
        </w:rPr>
        <w:t>先生（格林纳达）担任主席，向所有缔约方开放，并将根据主席的邀请举行非正式会议，并通过每日会议日历提前发布公告。</w:t>
      </w:r>
    </w:p>
    <w:p w:rsidR="008D76BF" w:rsidRPr="0040120D" w:rsidRDefault="008D76BF" w:rsidP="00750ECD">
      <w:pPr>
        <w:pStyle w:val="Para1"/>
        <w:numPr>
          <w:ilvl w:val="0"/>
          <w:numId w:val="9"/>
        </w:numPr>
        <w:tabs>
          <w:tab w:val="clear" w:pos="360"/>
          <w:tab w:val="left" w:pos="720"/>
        </w:tabs>
        <w:ind w:firstLine="0"/>
        <w:rPr>
          <w:sz w:val="24"/>
          <w:szCs w:val="24"/>
          <w:lang w:eastAsia="zh-CN"/>
        </w:rPr>
      </w:pPr>
      <w:r w:rsidRPr="0040120D">
        <w:rPr>
          <w:rFonts w:eastAsia="Times New Roman" w:hAnsi="SimSun"/>
          <w:sz w:val="24"/>
          <w:szCs w:val="24"/>
          <w:lang w:eastAsia="zh-CN"/>
        </w:rPr>
        <w:t>在</w:t>
      </w:r>
      <w:r w:rsidRPr="0040120D">
        <w:rPr>
          <w:sz w:val="24"/>
          <w:szCs w:val="24"/>
          <w:lang w:eastAsia="zh-CN"/>
        </w:rPr>
        <w:t>2018</w:t>
      </w:r>
      <w:r w:rsidRPr="0040120D">
        <w:rPr>
          <w:rFonts w:eastAsia="Times New Roman" w:hAnsi="SimSun"/>
          <w:sz w:val="24"/>
          <w:szCs w:val="24"/>
          <w:lang w:eastAsia="zh-CN"/>
        </w:rPr>
        <w:t>年</w:t>
      </w:r>
      <w:r w:rsidRPr="0040120D">
        <w:rPr>
          <w:sz w:val="24"/>
          <w:szCs w:val="24"/>
          <w:lang w:eastAsia="zh-CN"/>
        </w:rPr>
        <w:t>11</w:t>
      </w:r>
      <w:r w:rsidRPr="0040120D">
        <w:rPr>
          <w:rFonts w:eastAsia="Times New Roman" w:hAnsi="SimSun"/>
          <w:sz w:val="24"/>
          <w:szCs w:val="24"/>
          <w:lang w:eastAsia="zh-CN"/>
        </w:rPr>
        <w:t>月</w:t>
      </w:r>
      <w:r w:rsidRPr="0040120D">
        <w:rPr>
          <w:sz w:val="24"/>
          <w:szCs w:val="24"/>
          <w:lang w:eastAsia="zh-CN"/>
        </w:rPr>
        <w:t>22</w:t>
      </w:r>
      <w:r w:rsidR="00EA4BF6">
        <w:rPr>
          <w:rFonts w:ascii="SimSun" w:eastAsia="SimSun" w:hAnsi="SimSun" w:cs="SimSun" w:hint="eastAsia"/>
          <w:sz w:val="24"/>
          <w:szCs w:val="24"/>
          <w:lang w:eastAsia="zh-CN"/>
        </w:rPr>
        <w:t>日</w:t>
      </w:r>
      <w:r w:rsidR="00862B8F">
        <w:rPr>
          <w:rFonts w:eastAsiaTheme="minorEastAsia" w:hAnsi="SimSun" w:hint="eastAsia"/>
          <w:sz w:val="24"/>
          <w:szCs w:val="24"/>
          <w:lang w:eastAsia="zh-CN"/>
        </w:rPr>
        <w:t>的</w:t>
      </w:r>
      <w:r w:rsidRPr="0040120D">
        <w:rPr>
          <w:rFonts w:eastAsia="Times New Roman" w:hAnsi="SimSun"/>
          <w:sz w:val="24"/>
          <w:szCs w:val="24"/>
          <w:lang w:eastAsia="zh-CN"/>
        </w:rPr>
        <w:t>第</w:t>
      </w:r>
      <w:r w:rsidRPr="0040120D">
        <w:rPr>
          <w:rFonts w:eastAsia="Times New Roman"/>
          <w:sz w:val="24"/>
          <w:szCs w:val="24"/>
          <w:lang w:eastAsia="zh-CN"/>
        </w:rPr>
        <w:t>4</w:t>
      </w:r>
      <w:r w:rsidR="00B45641">
        <w:rPr>
          <w:rFonts w:ascii="SimSun" w:eastAsia="SimSun" w:hAnsi="SimSun" w:cs="SimSun" w:hint="eastAsia"/>
          <w:sz w:val="24"/>
          <w:szCs w:val="24"/>
          <w:lang w:eastAsia="zh-CN"/>
        </w:rPr>
        <w:t>次全体会议</w:t>
      </w:r>
      <w:r w:rsidRPr="0040120D">
        <w:rPr>
          <w:rFonts w:eastAsia="Times New Roman" w:hAnsi="SimSun"/>
          <w:sz w:val="24"/>
          <w:szCs w:val="24"/>
          <w:lang w:eastAsia="zh-CN"/>
        </w:rPr>
        <w:t>、</w:t>
      </w:r>
      <w:r w:rsidRPr="0040120D">
        <w:rPr>
          <w:rFonts w:eastAsia="Times New Roman"/>
          <w:sz w:val="24"/>
          <w:szCs w:val="24"/>
          <w:lang w:eastAsia="zh-CN"/>
        </w:rPr>
        <w:t>2018</w:t>
      </w:r>
      <w:r w:rsidRPr="0040120D">
        <w:rPr>
          <w:rFonts w:eastAsia="Times New Roman" w:hAnsi="SimSun"/>
          <w:sz w:val="24"/>
          <w:szCs w:val="24"/>
          <w:lang w:eastAsia="zh-CN"/>
        </w:rPr>
        <w:t>年</w:t>
      </w:r>
      <w:r w:rsidRPr="0040120D">
        <w:rPr>
          <w:rFonts w:eastAsia="Times New Roman"/>
          <w:sz w:val="24"/>
          <w:szCs w:val="24"/>
          <w:lang w:eastAsia="zh-CN"/>
        </w:rPr>
        <w:t>11</w:t>
      </w:r>
      <w:r w:rsidRPr="0040120D">
        <w:rPr>
          <w:rFonts w:eastAsia="Times New Roman" w:hAnsi="SimSun"/>
          <w:sz w:val="24"/>
          <w:szCs w:val="24"/>
          <w:lang w:eastAsia="zh-CN"/>
        </w:rPr>
        <w:t>月</w:t>
      </w:r>
      <w:r w:rsidRPr="0040120D">
        <w:rPr>
          <w:rFonts w:eastAsia="Times New Roman"/>
          <w:sz w:val="24"/>
          <w:szCs w:val="24"/>
          <w:lang w:eastAsia="zh-CN"/>
        </w:rPr>
        <w:t>25</w:t>
      </w:r>
      <w:r w:rsidR="00EA4BF6">
        <w:rPr>
          <w:rFonts w:ascii="SimSun" w:eastAsia="SimSun" w:hAnsi="SimSun" w:cs="SimSun" w:hint="eastAsia"/>
          <w:sz w:val="24"/>
          <w:szCs w:val="24"/>
          <w:lang w:eastAsia="zh-CN"/>
        </w:rPr>
        <w:t>日的</w:t>
      </w:r>
      <w:r w:rsidRPr="0040120D">
        <w:rPr>
          <w:rFonts w:eastAsia="Times New Roman" w:hAnsi="SimSun"/>
          <w:sz w:val="24"/>
          <w:szCs w:val="24"/>
          <w:lang w:eastAsia="zh-CN"/>
        </w:rPr>
        <w:t>第</w:t>
      </w:r>
      <w:r w:rsidRPr="0040120D">
        <w:rPr>
          <w:rFonts w:eastAsia="Times New Roman"/>
          <w:sz w:val="24"/>
          <w:szCs w:val="24"/>
          <w:lang w:eastAsia="zh-CN"/>
        </w:rPr>
        <w:t>5</w:t>
      </w:r>
      <w:r w:rsidRPr="0040120D">
        <w:rPr>
          <w:rFonts w:eastAsia="Times New Roman" w:hAnsi="SimSun"/>
          <w:sz w:val="24"/>
          <w:szCs w:val="24"/>
          <w:lang w:eastAsia="zh-CN"/>
        </w:rPr>
        <w:t>场会议和</w:t>
      </w:r>
      <w:r w:rsidRPr="0040120D">
        <w:rPr>
          <w:rFonts w:eastAsia="Times New Roman"/>
          <w:sz w:val="24"/>
          <w:szCs w:val="24"/>
          <w:lang w:eastAsia="zh-CN"/>
        </w:rPr>
        <w:t>2018</w:t>
      </w:r>
      <w:r w:rsidRPr="0040120D">
        <w:rPr>
          <w:rFonts w:eastAsia="Times New Roman" w:hAnsi="SimSun"/>
          <w:sz w:val="24"/>
          <w:szCs w:val="24"/>
          <w:lang w:eastAsia="zh-CN"/>
        </w:rPr>
        <w:t>年</w:t>
      </w:r>
      <w:r w:rsidRPr="0040120D">
        <w:rPr>
          <w:rFonts w:eastAsia="Times New Roman"/>
          <w:sz w:val="24"/>
          <w:szCs w:val="24"/>
          <w:lang w:eastAsia="zh-CN"/>
        </w:rPr>
        <w:t>11</w:t>
      </w:r>
      <w:r w:rsidRPr="0040120D">
        <w:rPr>
          <w:rFonts w:eastAsia="Times New Roman" w:hAnsi="SimSun"/>
          <w:sz w:val="24"/>
          <w:szCs w:val="24"/>
          <w:lang w:eastAsia="zh-CN"/>
        </w:rPr>
        <w:t>月</w:t>
      </w:r>
      <w:r w:rsidRPr="0040120D">
        <w:rPr>
          <w:rFonts w:eastAsia="Times New Roman"/>
          <w:sz w:val="24"/>
          <w:szCs w:val="24"/>
          <w:lang w:eastAsia="zh-CN"/>
        </w:rPr>
        <w:t>28</w:t>
      </w:r>
      <w:r w:rsidR="00EA4BF6">
        <w:rPr>
          <w:rFonts w:ascii="SimSun" w:eastAsia="SimSun" w:hAnsi="SimSun" w:cs="SimSun" w:hint="eastAsia"/>
          <w:sz w:val="24"/>
          <w:szCs w:val="24"/>
          <w:lang w:eastAsia="zh-CN"/>
        </w:rPr>
        <w:t>日的</w:t>
      </w:r>
      <w:r w:rsidRPr="0040120D">
        <w:rPr>
          <w:rFonts w:eastAsia="Times New Roman" w:hAnsi="SimSun"/>
          <w:sz w:val="24"/>
          <w:szCs w:val="24"/>
          <w:lang w:eastAsia="zh-CN"/>
        </w:rPr>
        <w:t>第</w:t>
      </w:r>
      <w:r w:rsidRPr="0040120D">
        <w:rPr>
          <w:rFonts w:eastAsia="Times New Roman"/>
          <w:sz w:val="24"/>
          <w:szCs w:val="24"/>
          <w:lang w:eastAsia="zh-CN"/>
        </w:rPr>
        <w:t>6</w:t>
      </w:r>
      <w:r w:rsidRPr="0040120D">
        <w:rPr>
          <w:rFonts w:eastAsia="Times New Roman" w:hAnsi="SimSun"/>
          <w:sz w:val="24"/>
          <w:szCs w:val="24"/>
          <w:lang w:eastAsia="zh-CN"/>
        </w:rPr>
        <w:t>场会议上，缔约方大会听取了预算问题不限成员名额联络组主席的进度报告。</w:t>
      </w:r>
    </w:p>
    <w:p w:rsidR="00E01A5F" w:rsidRPr="0027494D" w:rsidRDefault="00E01A5F" w:rsidP="0027494D">
      <w:pPr>
        <w:pStyle w:val="Para1"/>
        <w:numPr>
          <w:ilvl w:val="0"/>
          <w:numId w:val="9"/>
        </w:numPr>
        <w:tabs>
          <w:tab w:val="clear" w:pos="360"/>
          <w:tab w:val="left" w:pos="720"/>
        </w:tabs>
        <w:ind w:firstLine="0"/>
        <w:rPr>
          <w:sz w:val="24"/>
          <w:szCs w:val="24"/>
          <w:lang w:eastAsia="zh-CN"/>
        </w:rPr>
      </w:pPr>
      <w:r w:rsidRPr="0027494D">
        <w:rPr>
          <w:sz w:val="24"/>
          <w:szCs w:val="24"/>
          <w:lang w:eastAsia="zh-CN"/>
        </w:rPr>
        <w:t>在</w:t>
      </w:r>
      <w:r w:rsidRPr="0027494D">
        <w:rPr>
          <w:sz w:val="24"/>
          <w:szCs w:val="24"/>
          <w:lang w:eastAsia="zh-CN"/>
        </w:rPr>
        <w:t>2018</w:t>
      </w:r>
      <w:r w:rsidRPr="0027494D">
        <w:rPr>
          <w:sz w:val="24"/>
          <w:szCs w:val="24"/>
          <w:lang w:eastAsia="zh-CN"/>
        </w:rPr>
        <w:t>年</w:t>
      </w:r>
      <w:r w:rsidRPr="0027494D">
        <w:rPr>
          <w:sz w:val="24"/>
          <w:szCs w:val="24"/>
          <w:lang w:eastAsia="zh-CN"/>
        </w:rPr>
        <w:t>11</w:t>
      </w:r>
      <w:r w:rsidRPr="0027494D">
        <w:rPr>
          <w:sz w:val="24"/>
          <w:szCs w:val="24"/>
          <w:lang w:eastAsia="zh-CN"/>
        </w:rPr>
        <w:t>月</w:t>
      </w:r>
      <w:r w:rsidRPr="0027494D">
        <w:rPr>
          <w:sz w:val="24"/>
          <w:szCs w:val="24"/>
          <w:lang w:eastAsia="zh-CN"/>
        </w:rPr>
        <w:t>29</w:t>
      </w:r>
      <w:r w:rsidRPr="0027494D">
        <w:rPr>
          <w:sz w:val="24"/>
          <w:szCs w:val="24"/>
          <w:lang w:eastAsia="zh-CN"/>
        </w:rPr>
        <w:t>日的第</w:t>
      </w:r>
      <w:r w:rsidRPr="0027494D">
        <w:rPr>
          <w:sz w:val="24"/>
          <w:szCs w:val="24"/>
          <w:lang w:eastAsia="zh-CN"/>
        </w:rPr>
        <w:t>4</w:t>
      </w:r>
      <w:r w:rsidR="00B45641">
        <w:rPr>
          <w:sz w:val="24"/>
          <w:szCs w:val="24"/>
          <w:lang w:eastAsia="zh-CN"/>
        </w:rPr>
        <w:t>次全体会议</w:t>
      </w:r>
      <w:r w:rsidR="0027494D" w:rsidRPr="0027494D">
        <w:rPr>
          <w:rFonts w:hint="eastAsia"/>
          <w:sz w:val="24"/>
          <w:szCs w:val="24"/>
          <w:lang w:eastAsia="zh-CN"/>
        </w:rPr>
        <w:t>上</w:t>
      </w:r>
      <w:r w:rsidR="0027494D" w:rsidRPr="0027494D">
        <w:rPr>
          <w:sz w:val="24"/>
          <w:szCs w:val="24"/>
          <w:lang w:eastAsia="zh-CN"/>
        </w:rPr>
        <w:t>，缔约方大会审议了关于秘书处综合工作方案</w:t>
      </w:r>
      <w:r w:rsidR="0027494D" w:rsidRPr="0027494D">
        <w:rPr>
          <w:rFonts w:hint="eastAsia"/>
          <w:sz w:val="24"/>
          <w:szCs w:val="24"/>
          <w:lang w:eastAsia="zh-CN"/>
        </w:rPr>
        <w:t>预算</w:t>
      </w:r>
      <w:r w:rsidR="0027494D" w:rsidRPr="0027494D">
        <w:rPr>
          <w:sz w:val="24"/>
          <w:szCs w:val="24"/>
          <w:lang w:eastAsia="zh-CN"/>
        </w:rPr>
        <w:t>的</w:t>
      </w:r>
      <w:r w:rsidR="0027494D" w:rsidRPr="0027494D">
        <w:rPr>
          <w:rFonts w:hint="eastAsia"/>
          <w:sz w:val="24"/>
          <w:szCs w:val="24"/>
          <w:lang w:eastAsia="zh-CN"/>
        </w:rPr>
        <w:t>决定草案</w:t>
      </w:r>
      <w:r w:rsidRPr="0027494D">
        <w:rPr>
          <w:sz w:val="24"/>
          <w:szCs w:val="24"/>
          <w:lang w:eastAsia="zh-CN"/>
        </w:rPr>
        <w:t>CBD/COP/14/L.37</w:t>
      </w:r>
      <w:r w:rsidR="0027494D" w:rsidRPr="0027494D">
        <w:rPr>
          <w:rFonts w:hint="eastAsia"/>
          <w:sz w:val="24"/>
          <w:szCs w:val="24"/>
          <w:lang w:eastAsia="zh-CN"/>
        </w:rPr>
        <w:t>。</w:t>
      </w:r>
    </w:p>
    <w:p w:rsidR="0027494D" w:rsidRPr="004D1FBA" w:rsidRDefault="0027494D" w:rsidP="0027494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中国</w:t>
      </w:r>
      <w:r>
        <w:rPr>
          <w:rFonts w:ascii="SimSun" w:eastAsia="SimSun" w:hAnsi="SimSun" w:cs="SimSun"/>
          <w:sz w:val="24"/>
          <w:szCs w:val="24"/>
          <w:lang w:eastAsia="zh-CN"/>
        </w:rPr>
        <w:t>和</w:t>
      </w:r>
      <w:r w:rsidRPr="004D1FBA">
        <w:rPr>
          <w:rFonts w:ascii="SimSun" w:eastAsia="SimSun" w:hAnsi="SimSun" w:cs="SimSun" w:hint="eastAsia"/>
          <w:sz w:val="24"/>
          <w:szCs w:val="24"/>
          <w:lang w:eastAsia="zh-CN"/>
        </w:rPr>
        <w:t>日本</w:t>
      </w:r>
      <w:r>
        <w:rPr>
          <w:rFonts w:ascii="SimSun" w:eastAsia="SimSun" w:hAnsi="SimSun" w:cs="SimSun" w:hint="eastAsia"/>
          <w:sz w:val="24"/>
          <w:szCs w:val="24"/>
          <w:lang w:eastAsia="zh-CN"/>
        </w:rPr>
        <w:t>的</w:t>
      </w:r>
      <w:r w:rsidRPr="004D1FBA">
        <w:rPr>
          <w:rFonts w:ascii="SimSun" w:eastAsia="SimSun" w:hAnsi="SimSun" w:cs="SimSun" w:hint="eastAsia"/>
          <w:sz w:val="24"/>
          <w:szCs w:val="24"/>
          <w:lang w:eastAsia="zh-CN"/>
        </w:rPr>
        <w:t>代表作了发言。</w:t>
      </w:r>
    </w:p>
    <w:p w:rsidR="0027494D" w:rsidRPr="0027494D" w:rsidRDefault="0027494D" w:rsidP="00E01A5F">
      <w:pPr>
        <w:pStyle w:val="Para1"/>
        <w:numPr>
          <w:ilvl w:val="0"/>
          <w:numId w:val="9"/>
        </w:numPr>
        <w:tabs>
          <w:tab w:val="clear" w:pos="360"/>
          <w:tab w:val="left" w:pos="720"/>
        </w:tabs>
        <w:ind w:firstLine="0"/>
        <w:rPr>
          <w:rFonts w:eastAsia="Times New Roman" w:hAnsi="SimSun"/>
          <w:sz w:val="24"/>
          <w:szCs w:val="24"/>
          <w:lang w:eastAsia="zh-CN"/>
        </w:rPr>
      </w:pPr>
      <w:r>
        <w:rPr>
          <w:rFonts w:eastAsia="SimSun"/>
          <w:sz w:val="24"/>
          <w:szCs w:val="24"/>
          <w:lang w:eastAsia="zh-CN"/>
        </w:rPr>
        <w:t>缔约方大会通过了决定草案</w:t>
      </w:r>
      <w:r w:rsidRPr="00E01A5F">
        <w:rPr>
          <w:rFonts w:eastAsia="Times New Roman" w:hAnsi="SimSun"/>
          <w:sz w:val="24"/>
          <w:szCs w:val="24"/>
          <w:lang w:eastAsia="zh-CN"/>
        </w:rPr>
        <w:t>CBD/COP/14/L.37</w:t>
      </w:r>
      <w:r>
        <w:rPr>
          <w:rFonts w:eastAsia="SimSun" w:hint="eastAsia"/>
          <w:sz w:val="24"/>
          <w:szCs w:val="24"/>
          <w:lang w:eastAsia="zh-CN"/>
        </w:rPr>
        <w:t>，</w:t>
      </w:r>
      <w:r>
        <w:rPr>
          <w:rFonts w:eastAsia="SimSun"/>
          <w:sz w:val="24"/>
          <w:szCs w:val="24"/>
          <w:lang w:eastAsia="zh-CN"/>
        </w:rPr>
        <w:t>成为第</w:t>
      </w:r>
      <w:r w:rsidRPr="00E01A5F">
        <w:rPr>
          <w:rFonts w:eastAsia="Times New Roman" w:hAnsi="SimSun"/>
          <w:sz w:val="24"/>
          <w:szCs w:val="24"/>
          <w:lang w:eastAsia="zh-CN"/>
        </w:rPr>
        <w:t>14/37</w:t>
      </w:r>
      <w:r>
        <w:rPr>
          <w:rFonts w:eastAsia="SimSun" w:hint="eastAsia"/>
          <w:sz w:val="24"/>
          <w:szCs w:val="24"/>
          <w:lang w:eastAsia="zh-CN"/>
        </w:rPr>
        <w:t>号决定</w:t>
      </w:r>
      <w:r>
        <w:rPr>
          <w:rFonts w:eastAsia="SimSun"/>
          <w:sz w:val="24"/>
          <w:szCs w:val="24"/>
          <w:lang w:eastAsia="zh-CN"/>
        </w:rPr>
        <w:t>（</w:t>
      </w:r>
      <w:r>
        <w:rPr>
          <w:rFonts w:eastAsia="SimSun" w:hint="eastAsia"/>
          <w:sz w:val="24"/>
          <w:szCs w:val="24"/>
          <w:lang w:eastAsia="zh-CN"/>
        </w:rPr>
        <w:t>案文见</w:t>
      </w:r>
      <w:r>
        <w:rPr>
          <w:rFonts w:eastAsia="SimSun"/>
          <w:sz w:val="24"/>
          <w:szCs w:val="24"/>
          <w:lang w:eastAsia="zh-CN"/>
        </w:rPr>
        <w:t>第一章</w:t>
      </w:r>
      <w:r>
        <w:rPr>
          <w:rFonts w:eastAsia="SimSun" w:hint="eastAsia"/>
          <w:sz w:val="24"/>
          <w:szCs w:val="24"/>
          <w:lang w:eastAsia="zh-CN"/>
        </w:rPr>
        <w:t>）</w:t>
      </w:r>
      <w:r>
        <w:rPr>
          <w:rFonts w:eastAsia="SimSun"/>
          <w:sz w:val="24"/>
          <w:szCs w:val="24"/>
          <w:lang w:eastAsia="zh-CN"/>
        </w:rPr>
        <w:t>。</w:t>
      </w:r>
    </w:p>
    <w:p w:rsidR="00E01A5F" w:rsidRPr="0027494D" w:rsidRDefault="0027494D" w:rsidP="0027494D">
      <w:pPr>
        <w:pStyle w:val="Para1"/>
        <w:numPr>
          <w:ilvl w:val="0"/>
          <w:numId w:val="9"/>
        </w:numPr>
        <w:tabs>
          <w:tab w:val="clear" w:pos="360"/>
          <w:tab w:val="left" w:pos="720"/>
        </w:tabs>
        <w:ind w:firstLine="0"/>
        <w:rPr>
          <w:rFonts w:eastAsia="Times New Roman" w:hAnsi="SimSun"/>
          <w:sz w:val="24"/>
          <w:szCs w:val="24"/>
          <w:lang w:eastAsia="zh-CN"/>
        </w:rPr>
      </w:pPr>
      <w:r>
        <w:rPr>
          <w:rFonts w:eastAsiaTheme="minorEastAsia" w:hAnsi="SimSun" w:hint="eastAsia"/>
          <w:sz w:val="24"/>
          <w:szCs w:val="24"/>
          <w:lang w:eastAsia="zh-CN"/>
        </w:rPr>
        <w:t>继通过该</w:t>
      </w:r>
      <w:r>
        <w:rPr>
          <w:rFonts w:eastAsiaTheme="minorEastAsia" w:hAnsi="SimSun"/>
          <w:sz w:val="24"/>
          <w:szCs w:val="24"/>
          <w:lang w:eastAsia="zh-CN"/>
        </w:rPr>
        <w:t>决定后，挪威、南非和加拿大的代表分别</w:t>
      </w:r>
      <w:r>
        <w:rPr>
          <w:rFonts w:eastAsiaTheme="minorEastAsia" w:hAnsi="SimSun" w:hint="eastAsia"/>
          <w:sz w:val="24"/>
          <w:szCs w:val="24"/>
          <w:lang w:eastAsia="zh-CN"/>
        </w:rPr>
        <w:t>向</w:t>
      </w:r>
      <w:r w:rsidRPr="0027494D">
        <w:rPr>
          <w:rFonts w:eastAsiaTheme="minorEastAsia" w:hAnsi="SimSun"/>
          <w:sz w:val="24"/>
          <w:szCs w:val="24"/>
          <w:lang w:eastAsia="zh-CN"/>
        </w:rPr>
        <w:t>便利缔约方参与《公约》进程的特别自愿信托基金（</w:t>
      </w:r>
      <w:r w:rsidRPr="0027494D">
        <w:rPr>
          <w:rFonts w:eastAsiaTheme="minorEastAsia" w:hAnsi="SimSun"/>
          <w:sz w:val="24"/>
          <w:szCs w:val="24"/>
          <w:lang w:eastAsia="zh-CN"/>
        </w:rPr>
        <w:t>BZ</w:t>
      </w:r>
      <w:r w:rsidRPr="0027494D">
        <w:rPr>
          <w:rFonts w:eastAsiaTheme="minorEastAsia" w:hAnsi="SimSun"/>
          <w:sz w:val="24"/>
          <w:szCs w:val="24"/>
          <w:lang w:eastAsia="zh-CN"/>
        </w:rPr>
        <w:t>信托基金</w:t>
      </w:r>
      <w:r w:rsidRPr="0027494D">
        <w:rPr>
          <w:rFonts w:eastAsiaTheme="minorEastAsia" w:hAnsi="SimSun" w:hint="eastAsia"/>
          <w:sz w:val="24"/>
          <w:szCs w:val="24"/>
          <w:lang w:eastAsia="zh-CN"/>
        </w:rPr>
        <w:t>）认捐</w:t>
      </w:r>
      <w:r w:rsidR="00E01A5F" w:rsidRPr="0027494D">
        <w:rPr>
          <w:rFonts w:eastAsia="Times New Roman" w:hAnsi="SimSun"/>
          <w:sz w:val="24"/>
          <w:szCs w:val="24"/>
          <w:lang w:eastAsia="zh-CN"/>
        </w:rPr>
        <w:t>50,000</w:t>
      </w:r>
      <w:r w:rsidRPr="0027494D">
        <w:rPr>
          <w:rFonts w:eastAsiaTheme="minorEastAsia" w:hAnsi="SimSun" w:hint="eastAsia"/>
          <w:sz w:val="24"/>
          <w:szCs w:val="24"/>
          <w:lang w:eastAsia="zh-CN"/>
        </w:rPr>
        <w:t>美元</w:t>
      </w:r>
      <w:r w:rsidRPr="0027494D">
        <w:rPr>
          <w:rFonts w:eastAsiaTheme="minorEastAsia" w:hAnsi="SimSun"/>
          <w:sz w:val="24"/>
          <w:szCs w:val="24"/>
          <w:lang w:eastAsia="zh-CN"/>
        </w:rPr>
        <w:t>、</w:t>
      </w:r>
      <w:r w:rsidR="00E01A5F" w:rsidRPr="0027494D">
        <w:rPr>
          <w:rFonts w:eastAsia="Times New Roman" w:hAnsi="SimSun"/>
          <w:sz w:val="24"/>
          <w:szCs w:val="24"/>
          <w:lang w:eastAsia="zh-CN"/>
        </w:rPr>
        <w:t>50,000</w:t>
      </w:r>
      <w:r w:rsidRPr="0027494D">
        <w:rPr>
          <w:rFonts w:eastAsiaTheme="minorEastAsia" w:hAnsi="SimSun" w:hint="eastAsia"/>
          <w:sz w:val="24"/>
          <w:szCs w:val="24"/>
          <w:lang w:eastAsia="zh-CN"/>
        </w:rPr>
        <w:t>美元</w:t>
      </w:r>
      <w:r w:rsidRPr="0027494D">
        <w:rPr>
          <w:rFonts w:eastAsiaTheme="minorEastAsia" w:hAnsi="SimSun"/>
          <w:sz w:val="24"/>
          <w:szCs w:val="24"/>
          <w:lang w:eastAsia="zh-CN"/>
        </w:rPr>
        <w:t>和</w:t>
      </w:r>
      <w:r w:rsidR="00E01A5F" w:rsidRPr="0027494D">
        <w:rPr>
          <w:rFonts w:eastAsia="Times New Roman" w:hAnsi="SimSun"/>
          <w:sz w:val="24"/>
          <w:szCs w:val="24"/>
          <w:lang w:eastAsia="zh-CN"/>
        </w:rPr>
        <w:t>19,000</w:t>
      </w:r>
      <w:r w:rsidRPr="0027494D">
        <w:rPr>
          <w:rFonts w:eastAsiaTheme="minorEastAsia" w:hAnsi="SimSun" w:hint="eastAsia"/>
          <w:sz w:val="24"/>
          <w:szCs w:val="24"/>
          <w:lang w:eastAsia="zh-CN"/>
        </w:rPr>
        <w:t>美元</w:t>
      </w:r>
      <w:r w:rsidRPr="0027494D">
        <w:rPr>
          <w:rFonts w:eastAsiaTheme="minorEastAsia" w:hAnsi="SimSun"/>
          <w:sz w:val="24"/>
          <w:szCs w:val="24"/>
          <w:lang w:eastAsia="zh-CN"/>
        </w:rPr>
        <w:t>，</w:t>
      </w:r>
      <w:r>
        <w:rPr>
          <w:rFonts w:eastAsiaTheme="minorEastAsia" w:hAnsi="SimSun" w:hint="eastAsia"/>
          <w:sz w:val="24"/>
          <w:szCs w:val="24"/>
          <w:lang w:eastAsia="zh-CN"/>
        </w:rPr>
        <w:t>特别</w:t>
      </w:r>
      <w:r>
        <w:rPr>
          <w:rFonts w:eastAsiaTheme="minorEastAsia" w:hAnsi="SimSun"/>
          <w:sz w:val="24"/>
          <w:szCs w:val="24"/>
          <w:lang w:eastAsia="zh-CN"/>
        </w:rPr>
        <w:t>用于</w:t>
      </w:r>
      <w:r>
        <w:rPr>
          <w:rFonts w:eastAsiaTheme="minorEastAsia" w:hAnsi="SimSun" w:hint="eastAsia"/>
          <w:sz w:val="24"/>
          <w:szCs w:val="24"/>
          <w:lang w:eastAsia="zh-CN"/>
        </w:rPr>
        <w:t>支持</w:t>
      </w:r>
      <w:r>
        <w:rPr>
          <w:rFonts w:eastAsiaTheme="minorEastAsia" w:hAnsi="SimSun"/>
          <w:sz w:val="24"/>
          <w:szCs w:val="24"/>
          <w:lang w:eastAsia="zh-CN"/>
        </w:rPr>
        <w:t>发展中国家参加《公约</w:t>
      </w:r>
      <w:r>
        <w:rPr>
          <w:rFonts w:eastAsiaTheme="minorEastAsia" w:hAnsi="SimSun" w:hint="eastAsia"/>
          <w:sz w:val="24"/>
          <w:szCs w:val="24"/>
          <w:lang w:eastAsia="zh-CN"/>
        </w:rPr>
        <w:t>》</w:t>
      </w:r>
      <w:r w:rsidR="0075150C">
        <w:rPr>
          <w:rFonts w:eastAsiaTheme="minorEastAsia" w:hAnsi="SimSun" w:hint="eastAsia"/>
          <w:sz w:val="24"/>
          <w:szCs w:val="24"/>
          <w:lang w:eastAsia="zh-CN"/>
        </w:rPr>
        <w:t>及其</w:t>
      </w:r>
      <w:r w:rsidR="0075150C">
        <w:rPr>
          <w:rFonts w:eastAsiaTheme="minorEastAsia" w:hAnsi="SimSun"/>
          <w:sz w:val="24"/>
          <w:szCs w:val="24"/>
          <w:lang w:eastAsia="zh-CN"/>
        </w:rPr>
        <w:t>附属机构</w:t>
      </w:r>
      <w:r w:rsidR="0075150C">
        <w:rPr>
          <w:rFonts w:eastAsiaTheme="minorEastAsia" w:hAnsi="SimSun" w:hint="eastAsia"/>
          <w:sz w:val="24"/>
          <w:szCs w:val="24"/>
          <w:lang w:eastAsia="zh-CN"/>
        </w:rPr>
        <w:t>2019</w:t>
      </w:r>
      <w:r w:rsidR="0075150C">
        <w:rPr>
          <w:rFonts w:eastAsiaTheme="minorEastAsia" w:hAnsi="SimSun"/>
          <w:sz w:val="24"/>
          <w:szCs w:val="24"/>
          <w:lang w:eastAsia="zh-CN"/>
        </w:rPr>
        <w:t>-2020</w:t>
      </w:r>
      <w:r w:rsidR="0075150C">
        <w:rPr>
          <w:rFonts w:eastAsiaTheme="minorEastAsia" w:hAnsi="SimSun" w:hint="eastAsia"/>
          <w:sz w:val="24"/>
          <w:szCs w:val="24"/>
          <w:lang w:eastAsia="zh-CN"/>
        </w:rPr>
        <w:t>年</w:t>
      </w:r>
      <w:r w:rsidR="0075150C">
        <w:rPr>
          <w:rFonts w:eastAsiaTheme="minorEastAsia" w:hAnsi="SimSun"/>
          <w:sz w:val="24"/>
          <w:szCs w:val="24"/>
          <w:lang w:eastAsia="zh-CN"/>
        </w:rPr>
        <w:t>两年期期间</w:t>
      </w:r>
      <w:r w:rsidR="0075150C">
        <w:rPr>
          <w:rFonts w:eastAsiaTheme="minorEastAsia" w:hAnsi="SimSun" w:hint="eastAsia"/>
          <w:sz w:val="24"/>
          <w:szCs w:val="24"/>
          <w:lang w:eastAsia="zh-CN"/>
        </w:rPr>
        <w:t>的</w:t>
      </w:r>
      <w:r w:rsidR="0075150C">
        <w:rPr>
          <w:rFonts w:eastAsiaTheme="minorEastAsia" w:hAnsi="SimSun"/>
          <w:sz w:val="24"/>
          <w:szCs w:val="24"/>
          <w:lang w:eastAsia="zh-CN"/>
        </w:rPr>
        <w:t>会议</w:t>
      </w:r>
      <w:r w:rsidR="0075150C">
        <w:rPr>
          <w:rFonts w:eastAsiaTheme="minorEastAsia" w:hAnsi="SimSun" w:hint="eastAsia"/>
          <w:sz w:val="24"/>
          <w:szCs w:val="24"/>
          <w:lang w:eastAsia="zh-CN"/>
        </w:rPr>
        <w:t>。</w:t>
      </w:r>
      <w:r w:rsidR="00E01A5F" w:rsidRPr="0027494D">
        <w:rPr>
          <w:rFonts w:eastAsia="Times New Roman" w:hAnsi="SimSun"/>
          <w:sz w:val="24"/>
          <w:szCs w:val="24"/>
          <w:lang w:eastAsia="zh-CN"/>
        </w:rPr>
        <w:t xml:space="preserve"> </w:t>
      </w:r>
    </w:p>
    <w:p w:rsidR="00E01A5F" w:rsidRPr="00E01A5F" w:rsidRDefault="0075150C" w:rsidP="00E01A5F">
      <w:pPr>
        <w:pStyle w:val="Para1"/>
        <w:numPr>
          <w:ilvl w:val="0"/>
          <w:numId w:val="9"/>
        </w:numPr>
        <w:tabs>
          <w:tab w:val="clear" w:pos="360"/>
          <w:tab w:val="left" w:pos="720"/>
        </w:tabs>
        <w:ind w:firstLine="0"/>
        <w:rPr>
          <w:rFonts w:eastAsia="Times New Roman" w:hAnsi="SimSun"/>
          <w:sz w:val="24"/>
          <w:szCs w:val="24"/>
          <w:lang w:eastAsia="zh-CN"/>
        </w:rPr>
      </w:pPr>
      <w:r>
        <w:rPr>
          <w:rFonts w:eastAsiaTheme="minorEastAsia" w:hAnsi="SimSun" w:hint="eastAsia"/>
          <w:sz w:val="24"/>
          <w:szCs w:val="24"/>
          <w:lang w:eastAsia="zh-CN"/>
        </w:rPr>
        <w:t>欧洲联盟</w:t>
      </w:r>
      <w:r>
        <w:rPr>
          <w:rFonts w:eastAsiaTheme="minorEastAsia" w:hAnsi="SimSun"/>
          <w:sz w:val="24"/>
          <w:szCs w:val="24"/>
          <w:lang w:eastAsia="zh-CN"/>
        </w:rPr>
        <w:t>及其</w:t>
      </w:r>
      <w:r>
        <w:rPr>
          <w:rFonts w:eastAsiaTheme="minorEastAsia" w:hAnsi="SimSun" w:hint="eastAsia"/>
          <w:sz w:val="24"/>
          <w:szCs w:val="24"/>
          <w:lang w:eastAsia="zh-CN"/>
        </w:rPr>
        <w:t>28</w:t>
      </w:r>
      <w:r>
        <w:rPr>
          <w:rFonts w:eastAsiaTheme="minorEastAsia" w:hAnsi="SimSun" w:hint="eastAsia"/>
          <w:sz w:val="24"/>
          <w:szCs w:val="24"/>
          <w:lang w:eastAsia="zh-CN"/>
        </w:rPr>
        <w:t>个成员国</w:t>
      </w:r>
      <w:r>
        <w:rPr>
          <w:rFonts w:eastAsiaTheme="minorEastAsia" w:hAnsi="SimSun"/>
          <w:sz w:val="24"/>
          <w:szCs w:val="24"/>
          <w:lang w:eastAsia="zh-CN"/>
        </w:rPr>
        <w:t>的代表宣布</w:t>
      </w:r>
      <w:r>
        <w:rPr>
          <w:rFonts w:eastAsiaTheme="minorEastAsia" w:hAnsi="SimSun" w:hint="eastAsia"/>
          <w:sz w:val="24"/>
          <w:szCs w:val="24"/>
          <w:lang w:eastAsia="zh-CN"/>
        </w:rPr>
        <w:t>向</w:t>
      </w:r>
      <w:r w:rsidR="00E01A5F" w:rsidRPr="00E01A5F">
        <w:rPr>
          <w:rFonts w:eastAsia="Times New Roman" w:hAnsi="SimSun"/>
          <w:sz w:val="24"/>
          <w:szCs w:val="24"/>
          <w:lang w:eastAsia="zh-CN"/>
        </w:rPr>
        <w:t>BZ</w:t>
      </w:r>
      <w:r>
        <w:rPr>
          <w:rFonts w:eastAsiaTheme="minorEastAsia" w:hAnsi="SimSun" w:hint="eastAsia"/>
          <w:sz w:val="24"/>
          <w:szCs w:val="24"/>
          <w:lang w:eastAsia="zh-CN"/>
        </w:rPr>
        <w:t>信托基金</w:t>
      </w:r>
      <w:r>
        <w:rPr>
          <w:rFonts w:eastAsiaTheme="minorEastAsia" w:hAnsi="SimSun"/>
          <w:sz w:val="24"/>
          <w:szCs w:val="24"/>
          <w:lang w:eastAsia="zh-CN"/>
        </w:rPr>
        <w:t>认捐</w:t>
      </w:r>
      <w:r w:rsidR="00E01A5F" w:rsidRPr="00E01A5F">
        <w:rPr>
          <w:rFonts w:eastAsia="Times New Roman" w:hAnsi="SimSun"/>
          <w:sz w:val="24"/>
          <w:szCs w:val="24"/>
          <w:lang w:eastAsia="zh-CN"/>
        </w:rPr>
        <w:t>200,000</w:t>
      </w:r>
      <w:r>
        <w:rPr>
          <w:rFonts w:eastAsiaTheme="minorEastAsia" w:hAnsi="SimSun" w:hint="eastAsia"/>
          <w:sz w:val="24"/>
          <w:szCs w:val="24"/>
          <w:lang w:eastAsia="zh-CN"/>
        </w:rPr>
        <w:t>美元</w:t>
      </w:r>
      <w:r>
        <w:rPr>
          <w:rFonts w:eastAsiaTheme="minorEastAsia" w:hAnsi="SimSun"/>
          <w:sz w:val="24"/>
          <w:szCs w:val="24"/>
          <w:lang w:eastAsia="zh-CN"/>
        </w:rPr>
        <w:t>，欧洲联盟委员会已</w:t>
      </w:r>
      <w:r>
        <w:rPr>
          <w:rFonts w:eastAsiaTheme="minorEastAsia" w:hAnsi="SimSun" w:hint="eastAsia"/>
          <w:sz w:val="24"/>
          <w:szCs w:val="24"/>
          <w:lang w:eastAsia="zh-CN"/>
        </w:rPr>
        <w:t>同意</w:t>
      </w:r>
      <w:r>
        <w:rPr>
          <w:rFonts w:eastAsiaTheme="minorEastAsia" w:hAnsi="SimSun"/>
          <w:sz w:val="24"/>
          <w:szCs w:val="24"/>
          <w:lang w:eastAsia="zh-CN"/>
        </w:rPr>
        <w:t>该笔认捐。</w:t>
      </w:r>
    </w:p>
    <w:p w:rsidR="00E01A5F" w:rsidRPr="00E01A5F" w:rsidRDefault="0075150C" w:rsidP="00E01A5F">
      <w:pPr>
        <w:pStyle w:val="Para1"/>
        <w:numPr>
          <w:ilvl w:val="0"/>
          <w:numId w:val="9"/>
        </w:numPr>
        <w:tabs>
          <w:tab w:val="clear" w:pos="360"/>
          <w:tab w:val="left" w:pos="720"/>
        </w:tabs>
        <w:ind w:firstLine="0"/>
        <w:rPr>
          <w:rFonts w:eastAsia="Times New Roman" w:hAnsi="SimSun"/>
          <w:sz w:val="24"/>
          <w:szCs w:val="24"/>
          <w:lang w:eastAsia="zh-CN"/>
        </w:rPr>
      </w:pPr>
      <w:r>
        <w:rPr>
          <w:rFonts w:eastAsiaTheme="minorEastAsia" w:hAnsi="SimSun" w:hint="eastAsia"/>
          <w:sz w:val="24"/>
          <w:szCs w:val="24"/>
          <w:lang w:eastAsia="zh-CN"/>
        </w:rPr>
        <w:t>德国</w:t>
      </w:r>
      <w:r>
        <w:rPr>
          <w:rFonts w:eastAsiaTheme="minorEastAsia" w:hAnsi="SimSun"/>
          <w:sz w:val="24"/>
          <w:szCs w:val="24"/>
          <w:lang w:eastAsia="zh-CN"/>
        </w:rPr>
        <w:t>代表宣布</w:t>
      </w:r>
      <w:r>
        <w:rPr>
          <w:rFonts w:eastAsiaTheme="minorEastAsia" w:hAnsi="SimSun" w:hint="eastAsia"/>
          <w:sz w:val="24"/>
          <w:szCs w:val="24"/>
          <w:lang w:eastAsia="zh-CN"/>
        </w:rPr>
        <w:t>2019</w:t>
      </w:r>
      <w:r>
        <w:rPr>
          <w:rFonts w:eastAsiaTheme="minorEastAsia" w:hAnsi="SimSun" w:hint="eastAsia"/>
          <w:sz w:val="24"/>
          <w:szCs w:val="24"/>
          <w:lang w:eastAsia="zh-CN"/>
        </w:rPr>
        <w:t>年</w:t>
      </w:r>
      <w:r>
        <w:rPr>
          <w:rFonts w:eastAsiaTheme="minorEastAsia" w:hAnsi="SimSun"/>
          <w:sz w:val="24"/>
          <w:szCs w:val="24"/>
          <w:lang w:eastAsia="zh-CN"/>
        </w:rPr>
        <w:t>向</w:t>
      </w:r>
      <w:r>
        <w:rPr>
          <w:rFonts w:eastAsiaTheme="minorEastAsia" w:hAnsi="SimSun" w:hint="eastAsia"/>
          <w:sz w:val="24"/>
          <w:szCs w:val="24"/>
          <w:lang w:eastAsia="zh-CN"/>
        </w:rPr>
        <w:t>BZ</w:t>
      </w:r>
      <w:r>
        <w:rPr>
          <w:rFonts w:eastAsiaTheme="minorEastAsia" w:hAnsi="SimSun"/>
          <w:sz w:val="24"/>
          <w:szCs w:val="24"/>
          <w:lang w:eastAsia="zh-CN"/>
        </w:rPr>
        <w:t>信托基金认捐</w:t>
      </w:r>
      <w:r w:rsidR="00EA4DE9">
        <w:rPr>
          <w:rFonts w:eastAsia="Times New Roman" w:hAnsi="SimSun"/>
          <w:sz w:val="24"/>
          <w:szCs w:val="24"/>
          <w:lang w:eastAsia="zh-CN"/>
        </w:rPr>
        <w:t>200,000</w:t>
      </w:r>
      <w:r w:rsidR="00EA4DE9">
        <w:rPr>
          <w:rFonts w:eastAsiaTheme="minorEastAsia" w:hAnsi="SimSun" w:hint="eastAsia"/>
          <w:sz w:val="24"/>
          <w:szCs w:val="24"/>
          <w:lang w:eastAsia="zh-CN"/>
        </w:rPr>
        <w:t>欧元</w:t>
      </w:r>
      <w:r w:rsidR="00EA4DE9">
        <w:rPr>
          <w:rFonts w:eastAsiaTheme="minorEastAsia" w:hAnsi="SimSun"/>
          <w:sz w:val="24"/>
          <w:szCs w:val="24"/>
          <w:lang w:eastAsia="zh-CN"/>
        </w:rPr>
        <w:t>，并进一步认捐</w:t>
      </w:r>
      <w:r w:rsidR="00E01A5F" w:rsidRPr="00E01A5F">
        <w:rPr>
          <w:rFonts w:eastAsia="Times New Roman" w:hAnsi="SimSun"/>
          <w:sz w:val="24"/>
          <w:szCs w:val="24"/>
          <w:lang w:eastAsia="zh-CN"/>
        </w:rPr>
        <w:t>40,000</w:t>
      </w:r>
      <w:r w:rsidR="00EA4DE9">
        <w:rPr>
          <w:rFonts w:eastAsiaTheme="minorEastAsia" w:hAnsi="SimSun" w:hint="eastAsia"/>
          <w:sz w:val="24"/>
          <w:szCs w:val="24"/>
          <w:lang w:eastAsia="zh-CN"/>
        </w:rPr>
        <w:t>欧元</w:t>
      </w:r>
      <w:r w:rsidR="00EA4DE9">
        <w:rPr>
          <w:rFonts w:eastAsiaTheme="minorEastAsia" w:hAnsi="SimSun"/>
          <w:sz w:val="24"/>
          <w:szCs w:val="24"/>
          <w:lang w:eastAsia="zh-CN"/>
        </w:rPr>
        <w:t>（</w:t>
      </w:r>
      <w:r w:rsidR="00E01A5F" w:rsidRPr="00E01A5F">
        <w:rPr>
          <w:rFonts w:eastAsia="Times New Roman" w:hAnsi="SimSun"/>
          <w:sz w:val="24"/>
          <w:szCs w:val="24"/>
          <w:lang w:eastAsia="zh-CN"/>
        </w:rPr>
        <w:t>45,524</w:t>
      </w:r>
      <w:r w:rsidR="00EA4DE9">
        <w:rPr>
          <w:rFonts w:eastAsiaTheme="minorEastAsia" w:hAnsi="SimSun" w:hint="eastAsia"/>
          <w:sz w:val="24"/>
          <w:szCs w:val="24"/>
          <w:lang w:eastAsia="zh-CN"/>
        </w:rPr>
        <w:t>美元</w:t>
      </w:r>
      <w:r w:rsidR="00EA4DE9">
        <w:rPr>
          <w:rFonts w:eastAsiaTheme="minorEastAsia" w:hAnsi="SimSun"/>
          <w:sz w:val="24"/>
          <w:szCs w:val="24"/>
          <w:lang w:eastAsia="zh-CN"/>
        </w:rPr>
        <w:t>）</w:t>
      </w:r>
      <w:r w:rsidR="00EA4DE9">
        <w:rPr>
          <w:rFonts w:eastAsiaTheme="minorEastAsia" w:hAnsi="SimSun" w:hint="eastAsia"/>
          <w:sz w:val="24"/>
          <w:szCs w:val="24"/>
          <w:lang w:eastAsia="zh-CN"/>
        </w:rPr>
        <w:t>，</w:t>
      </w:r>
      <w:r w:rsidR="00EA4DE9">
        <w:rPr>
          <w:rFonts w:eastAsiaTheme="minorEastAsia" w:hAnsi="SimSun"/>
          <w:sz w:val="24"/>
          <w:szCs w:val="24"/>
          <w:lang w:eastAsia="zh-CN"/>
        </w:rPr>
        <w:t>用于</w:t>
      </w:r>
      <w:r w:rsidR="00EA4DE9">
        <w:rPr>
          <w:rFonts w:eastAsiaTheme="minorEastAsia" w:hAnsi="SimSun" w:hint="eastAsia"/>
          <w:sz w:val="24"/>
          <w:szCs w:val="24"/>
          <w:lang w:eastAsia="zh-CN"/>
        </w:rPr>
        <w:t>支持</w:t>
      </w:r>
      <w:r w:rsidR="00EA4DE9">
        <w:rPr>
          <w:rFonts w:eastAsiaTheme="minorEastAsia" w:hAnsi="SimSun"/>
          <w:sz w:val="24"/>
          <w:szCs w:val="24"/>
          <w:lang w:eastAsia="zh-CN"/>
        </w:rPr>
        <w:t>实现</w:t>
      </w:r>
      <w:r w:rsidR="00EA4DE9">
        <w:rPr>
          <w:rFonts w:eastAsiaTheme="minorEastAsia" w:hAnsi="SimSun" w:hint="eastAsia"/>
          <w:sz w:val="24"/>
          <w:szCs w:val="24"/>
          <w:lang w:eastAsia="zh-CN"/>
        </w:rPr>
        <w:t>爱知</w:t>
      </w:r>
      <w:r w:rsidR="00EA4DE9">
        <w:rPr>
          <w:rFonts w:eastAsiaTheme="minorEastAsia" w:hAnsi="SimSun"/>
          <w:sz w:val="24"/>
          <w:szCs w:val="24"/>
          <w:lang w:eastAsia="zh-CN"/>
        </w:rPr>
        <w:t>生物多样性指标</w:t>
      </w:r>
      <w:r w:rsidR="00EA4DE9">
        <w:rPr>
          <w:rFonts w:eastAsiaTheme="minorEastAsia" w:hAnsi="SimSun" w:hint="eastAsia"/>
          <w:sz w:val="24"/>
          <w:szCs w:val="24"/>
          <w:lang w:eastAsia="zh-CN"/>
        </w:rPr>
        <w:t>11</w:t>
      </w:r>
      <w:r w:rsidR="00EA4DE9">
        <w:rPr>
          <w:rFonts w:eastAsiaTheme="minorEastAsia" w:hAnsi="SimSun" w:hint="eastAsia"/>
          <w:sz w:val="24"/>
          <w:szCs w:val="24"/>
          <w:lang w:eastAsia="zh-CN"/>
        </w:rPr>
        <w:t>的</w:t>
      </w:r>
      <w:r w:rsidR="00EA4DE9">
        <w:rPr>
          <w:rFonts w:eastAsiaTheme="minorEastAsia" w:hAnsi="SimSun"/>
          <w:sz w:val="24"/>
          <w:szCs w:val="24"/>
          <w:lang w:eastAsia="zh-CN"/>
        </w:rPr>
        <w:t>伙伴关系。</w:t>
      </w:r>
    </w:p>
    <w:p w:rsidR="008D76BF" w:rsidRPr="00EA4DE9" w:rsidRDefault="00EA4DE9" w:rsidP="00B6762D">
      <w:pPr>
        <w:pStyle w:val="Para1"/>
        <w:numPr>
          <w:ilvl w:val="0"/>
          <w:numId w:val="9"/>
        </w:numPr>
        <w:tabs>
          <w:tab w:val="clear" w:pos="360"/>
          <w:tab w:val="left" w:pos="720"/>
        </w:tabs>
        <w:ind w:firstLine="0"/>
        <w:rPr>
          <w:rFonts w:eastAsia="Times New Roman" w:hAnsi="SimSun"/>
          <w:sz w:val="24"/>
          <w:szCs w:val="24"/>
          <w:lang w:eastAsia="zh-CN"/>
        </w:rPr>
      </w:pPr>
      <w:r w:rsidRPr="00EA4DE9">
        <w:rPr>
          <w:rFonts w:eastAsiaTheme="minorEastAsia" w:hAnsi="SimSun" w:hint="eastAsia"/>
          <w:sz w:val="24"/>
          <w:szCs w:val="24"/>
          <w:lang w:eastAsia="zh-CN"/>
        </w:rPr>
        <w:t>芬兰</w:t>
      </w:r>
      <w:r w:rsidRPr="00EA4DE9">
        <w:rPr>
          <w:rFonts w:eastAsiaTheme="minorEastAsia" w:hAnsi="SimSun"/>
          <w:sz w:val="24"/>
          <w:szCs w:val="24"/>
          <w:lang w:eastAsia="zh-CN"/>
        </w:rPr>
        <w:t>代表宣布向</w:t>
      </w:r>
      <w:r w:rsidRPr="00EA4DE9">
        <w:rPr>
          <w:rFonts w:eastAsiaTheme="minorEastAsia" w:hAnsi="SimSun"/>
          <w:sz w:val="24"/>
          <w:szCs w:val="24"/>
          <w:lang w:eastAsia="zh-CN"/>
        </w:rPr>
        <w:t>BZ</w:t>
      </w:r>
      <w:r w:rsidRPr="00EA4DE9">
        <w:rPr>
          <w:rFonts w:eastAsiaTheme="minorEastAsia" w:hAnsi="SimSun"/>
          <w:sz w:val="24"/>
          <w:szCs w:val="24"/>
          <w:lang w:eastAsia="zh-CN"/>
        </w:rPr>
        <w:t>信托基金认捐</w:t>
      </w:r>
      <w:r w:rsidR="00E01A5F" w:rsidRPr="00EA4DE9">
        <w:rPr>
          <w:rFonts w:eastAsia="Times New Roman" w:hAnsi="SimSun"/>
          <w:sz w:val="24"/>
          <w:szCs w:val="24"/>
          <w:lang w:eastAsia="zh-CN"/>
        </w:rPr>
        <w:t>50,000</w:t>
      </w:r>
      <w:r w:rsidRPr="00EA4DE9">
        <w:rPr>
          <w:rFonts w:eastAsiaTheme="minorEastAsia" w:hAnsi="SimSun" w:hint="eastAsia"/>
          <w:sz w:val="24"/>
          <w:szCs w:val="24"/>
          <w:lang w:eastAsia="zh-CN"/>
        </w:rPr>
        <w:t>欧元</w:t>
      </w:r>
      <w:r w:rsidRPr="00EA4DE9">
        <w:rPr>
          <w:rFonts w:eastAsiaTheme="minorEastAsia" w:hAnsi="SimSun"/>
          <w:sz w:val="24"/>
          <w:szCs w:val="24"/>
          <w:lang w:eastAsia="zh-CN"/>
        </w:rPr>
        <w:t>，用于发展中国家</w:t>
      </w:r>
      <w:r w:rsidRPr="00EA4DE9">
        <w:rPr>
          <w:rFonts w:eastAsiaTheme="minorEastAsia" w:hAnsi="SimSun" w:hint="eastAsia"/>
          <w:sz w:val="24"/>
          <w:szCs w:val="24"/>
          <w:lang w:eastAsia="zh-CN"/>
        </w:rPr>
        <w:t>，</w:t>
      </w:r>
      <w:r w:rsidRPr="00EA4DE9">
        <w:rPr>
          <w:rFonts w:eastAsiaTheme="minorEastAsia" w:hAnsi="SimSun"/>
          <w:sz w:val="24"/>
          <w:szCs w:val="24"/>
          <w:lang w:eastAsia="zh-CN"/>
        </w:rPr>
        <w:t>特别是最不发达国家和小岛屿发展中国家参加参加《公约</w:t>
      </w:r>
      <w:r w:rsidRPr="00EA4DE9">
        <w:rPr>
          <w:rFonts w:eastAsiaTheme="minorEastAsia" w:hAnsi="SimSun" w:hint="eastAsia"/>
          <w:sz w:val="24"/>
          <w:szCs w:val="24"/>
          <w:lang w:eastAsia="zh-CN"/>
        </w:rPr>
        <w:t>》及其</w:t>
      </w:r>
      <w:r w:rsidRPr="00EA4DE9">
        <w:rPr>
          <w:rFonts w:eastAsiaTheme="minorEastAsia" w:hAnsi="SimSun"/>
          <w:sz w:val="24"/>
          <w:szCs w:val="24"/>
          <w:lang w:eastAsia="zh-CN"/>
        </w:rPr>
        <w:t>附属机构</w:t>
      </w:r>
      <w:r w:rsidRPr="00EA4DE9">
        <w:rPr>
          <w:rFonts w:eastAsiaTheme="minorEastAsia" w:hAnsi="SimSun" w:hint="eastAsia"/>
          <w:sz w:val="24"/>
          <w:szCs w:val="24"/>
          <w:lang w:eastAsia="zh-CN"/>
        </w:rPr>
        <w:t>2019</w:t>
      </w:r>
      <w:r w:rsidRPr="00EA4DE9">
        <w:rPr>
          <w:rFonts w:eastAsiaTheme="minorEastAsia" w:hAnsi="SimSun"/>
          <w:sz w:val="24"/>
          <w:szCs w:val="24"/>
          <w:lang w:eastAsia="zh-CN"/>
        </w:rPr>
        <w:t>-2020</w:t>
      </w:r>
      <w:r w:rsidRPr="00EA4DE9">
        <w:rPr>
          <w:rFonts w:eastAsiaTheme="minorEastAsia" w:hAnsi="SimSun" w:hint="eastAsia"/>
          <w:sz w:val="24"/>
          <w:szCs w:val="24"/>
          <w:lang w:eastAsia="zh-CN"/>
        </w:rPr>
        <w:t>年</w:t>
      </w:r>
      <w:r w:rsidRPr="00EA4DE9">
        <w:rPr>
          <w:rFonts w:eastAsiaTheme="minorEastAsia" w:hAnsi="SimSun"/>
          <w:sz w:val="24"/>
          <w:szCs w:val="24"/>
          <w:lang w:eastAsia="zh-CN"/>
        </w:rPr>
        <w:t>两年期期间</w:t>
      </w:r>
      <w:r w:rsidRPr="00EA4DE9">
        <w:rPr>
          <w:rFonts w:eastAsiaTheme="minorEastAsia" w:hAnsi="SimSun" w:hint="eastAsia"/>
          <w:sz w:val="24"/>
          <w:szCs w:val="24"/>
          <w:lang w:eastAsia="zh-CN"/>
        </w:rPr>
        <w:t>的</w:t>
      </w:r>
      <w:r w:rsidRPr="00EA4DE9">
        <w:rPr>
          <w:rFonts w:eastAsiaTheme="minorEastAsia" w:hAnsi="SimSun"/>
          <w:sz w:val="24"/>
          <w:szCs w:val="24"/>
          <w:lang w:eastAsia="zh-CN"/>
        </w:rPr>
        <w:t>会议</w:t>
      </w:r>
      <w:r w:rsidRPr="00EA4DE9">
        <w:rPr>
          <w:rFonts w:eastAsiaTheme="minorEastAsia" w:hAnsi="SimSun" w:hint="eastAsia"/>
          <w:sz w:val="24"/>
          <w:szCs w:val="24"/>
          <w:lang w:eastAsia="zh-CN"/>
        </w:rPr>
        <w:t>。</w:t>
      </w:r>
    </w:p>
    <w:p w:rsidR="008D76BF" w:rsidRPr="00F17640" w:rsidRDefault="008D76BF" w:rsidP="00F17640">
      <w:pPr>
        <w:pStyle w:val="Heading1"/>
        <w:spacing w:before="120" w:after="120"/>
        <w:ind w:firstLine="0"/>
        <w:rPr>
          <w:sz w:val="24"/>
          <w:szCs w:val="24"/>
          <w:lang w:eastAsia="zh-CN"/>
        </w:rPr>
      </w:pPr>
      <w:r w:rsidRPr="00F17640">
        <w:rPr>
          <w:rFonts w:hint="eastAsia"/>
          <w:sz w:val="24"/>
          <w:szCs w:val="24"/>
          <w:lang w:eastAsia="zh-CN"/>
        </w:rPr>
        <w:t>项目</w:t>
      </w:r>
      <w:r w:rsidRPr="00F17640">
        <w:rPr>
          <w:sz w:val="24"/>
          <w:szCs w:val="24"/>
          <w:lang w:eastAsia="zh-CN"/>
        </w:rPr>
        <w:t>8</w:t>
      </w:r>
      <w:r w:rsidR="00366699" w:rsidRPr="00F17640">
        <w:rPr>
          <w:sz w:val="24"/>
          <w:szCs w:val="24"/>
          <w:lang w:eastAsia="zh-CN"/>
        </w:rPr>
        <w:t>.</w:t>
      </w:r>
      <w:r w:rsidRPr="00F17640">
        <w:rPr>
          <w:sz w:val="24"/>
          <w:szCs w:val="24"/>
          <w:lang w:eastAsia="zh-CN"/>
        </w:rPr>
        <w:t xml:space="preserve">  </w:t>
      </w:r>
      <w:r w:rsidR="00366699" w:rsidRPr="00F17640">
        <w:rPr>
          <w:sz w:val="24"/>
          <w:szCs w:val="24"/>
          <w:lang w:eastAsia="zh-CN"/>
        </w:rPr>
        <w:t xml:space="preserve">  </w:t>
      </w:r>
      <w:r w:rsidRPr="00F17640">
        <w:rPr>
          <w:rFonts w:hint="eastAsia"/>
          <w:sz w:val="24"/>
          <w:szCs w:val="24"/>
          <w:lang w:eastAsia="zh-CN"/>
        </w:rPr>
        <w:t>审查《公约》和《</w:t>
      </w:r>
      <w:r w:rsidRPr="00F17640">
        <w:rPr>
          <w:sz w:val="24"/>
          <w:szCs w:val="24"/>
          <w:lang w:eastAsia="zh-CN"/>
        </w:rPr>
        <w:t>2011-2020</w:t>
      </w:r>
      <w:r w:rsidRPr="00F17640">
        <w:rPr>
          <w:rFonts w:hint="eastAsia"/>
          <w:sz w:val="24"/>
          <w:szCs w:val="24"/>
          <w:lang w:eastAsia="zh-CN"/>
        </w:rPr>
        <w:t>年生物多样性战略计划》的执行进展情况</w:t>
      </w:r>
    </w:p>
    <w:p w:rsidR="008D76BF" w:rsidRPr="004C6510" w:rsidRDefault="008D76BF" w:rsidP="00EA4DE9">
      <w:pPr>
        <w:pStyle w:val="Heading2longmultiline"/>
        <w:ind w:left="0" w:right="0" w:firstLine="0"/>
        <w:jc w:val="center"/>
        <w:rPr>
          <w:rFonts w:eastAsia="楷体"/>
          <w:b w:val="0"/>
          <w:i w:val="0"/>
          <w:snapToGrid w:val="0"/>
          <w:kern w:val="22"/>
          <w:sz w:val="24"/>
          <w:lang w:eastAsia="zh-CN"/>
        </w:rPr>
      </w:pPr>
      <w:bookmarkStart w:id="273" w:name="_Toc6243823"/>
      <w:r w:rsidRPr="004C6510">
        <w:rPr>
          <w:rFonts w:eastAsia="KaiTi" w:hAnsi="KaiTi" w:hint="eastAsia"/>
          <w:b w:val="0"/>
          <w:i w:val="0"/>
          <w:sz w:val="24"/>
          <w:lang w:eastAsia="zh-CN"/>
        </w:rPr>
        <w:t>评估和审查实现爱知生物多样性指标取得的进展和加速取得进展的备选方案</w:t>
      </w:r>
      <w:bookmarkEnd w:id="273"/>
    </w:p>
    <w:p w:rsidR="008D76BF" w:rsidRPr="004C6510" w:rsidRDefault="008D76BF" w:rsidP="00750ECD">
      <w:pPr>
        <w:pStyle w:val="Para1"/>
        <w:numPr>
          <w:ilvl w:val="0"/>
          <w:numId w:val="9"/>
        </w:numPr>
        <w:tabs>
          <w:tab w:val="clear" w:pos="360"/>
          <w:tab w:val="left" w:pos="720"/>
        </w:tabs>
        <w:ind w:firstLine="0"/>
        <w:rPr>
          <w:rFonts w:hAnsi="SimSun"/>
          <w:sz w:val="24"/>
          <w:szCs w:val="24"/>
          <w:lang w:eastAsia="zh-CN"/>
        </w:rPr>
      </w:pPr>
      <w:r w:rsidRPr="00A4220D">
        <w:rPr>
          <w:rFonts w:eastAsia="Times New Roman" w:hAnsi="SimSun"/>
          <w:color w:val="000000"/>
          <w:kern w:val="22"/>
          <w:sz w:val="24"/>
          <w:szCs w:val="24"/>
          <w:lang w:eastAsia="zh-CN"/>
        </w:rPr>
        <w:t>第一工作组在</w:t>
      </w:r>
      <w:smartTag w:uri="urn:schemas-microsoft-com:office:smarttags" w:element="chsdate">
        <w:smartTagPr>
          <w:attr w:name="Year" w:val="2018"/>
          <w:attr w:name="Month" w:val="11"/>
          <w:attr w:name="Day" w:val="25"/>
          <w:attr w:name="IsLunarDate" w:val="False"/>
          <w:attr w:name="IsROCDate" w:val="False"/>
        </w:smartTagPr>
        <w:r w:rsidRPr="00A4220D">
          <w:rPr>
            <w:rFonts w:eastAsia="Times New Roman"/>
            <w:color w:val="000000"/>
            <w:kern w:val="22"/>
            <w:sz w:val="24"/>
            <w:szCs w:val="24"/>
            <w:lang w:eastAsia="zh-CN"/>
          </w:rPr>
          <w:t>2018</w:t>
        </w:r>
        <w:r w:rsidRPr="00A4220D">
          <w:rPr>
            <w:rFonts w:eastAsia="Times New Roman" w:hAnsi="SimSun"/>
            <w:color w:val="000000"/>
            <w:kern w:val="22"/>
            <w:sz w:val="24"/>
            <w:szCs w:val="24"/>
            <w:lang w:eastAsia="zh-CN"/>
          </w:rPr>
          <w:t>年</w:t>
        </w:r>
        <w:r w:rsidRPr="00A4220D">
          <w:rPr>
            <w:rFonts w:eastAsia="Times New Roman"/>
            <w:color w:val="000000"/>
            <w:kern w:val="22"/>
            <w:sz w:val="24"/>
            <w:szCs w:val="24"/>
            <w:lang w:eastAsia="zh-CN"/>
          </w:rPr>
          <w:t>11</w:t>
        </w:r>
        <w:r w:rsidRPr="00A4220D">
          <w:rPr>
            <w:rFonts w:eastAsia="Times New Roman" w:hAnsi="SimSun"/>
            <w:color w:val="000000"/>
            <w:kern w:val="22"/>
            <w:sz w:val="24"/>
            <w:szCs w:val="24"/>
            <w:lang w:eastAsia="zh-CN"/>
          </w:rPr>
          <w:t>月</w:t>
        </w:r>
        <w:r w:rsidRPr="00A4220D">
          <w:rPr>
            <w:rFonts w:eastAsia="Times New Roman"/>
            <w:color w:val="000000"/>
            <w:kern w:val="22"/>
            <w:sz w:val="24"/>
            <w:szCs w:val="24"/>
            <w:lang w:eastAsia="zh-CN"/>
          </w:rPr>
          <w:t>18</w:t>
        </w:r>
        <w:r w:rsidRPr="00A4220D">
          <w:rPr>
            <w:rFonts w:eastAsia="Times New Roman" w:hAnsi="SimSun"/>
            <w:color w:val="000000"/>
            <w:kern w:val="22"/>
            <w:sz w:val="24"/>
            <w:szCs w:val="24"/>
            <w:lang w:eastAsia="zh-CN"/>
          </w:rPr>
          <w:t>日</w:t>
        </w:r>
        <w:r w:rsidR="009E4EF5">
          <w:rPr>
            <w:rFonts w:eastAsiaTheme="minorEastAsia" w:hAnsi="SimSun" w:hint="eastAsia"/>
            <w:color w:val="000000"/>
            <w:kern w:val="22"/>
            <w:sz w:val="24"/>
            <w:szCs w:val="24"/>
            <w:lang w:eastAsia="zh-CN"/>
          </w:rPr>
          <w:t>其</w:t>
        </w:r>
      </w:smartTag>
      <w:r w:rsidRPr="00A4220D">
        <w:rPr>
          <w:rFonts w:eastAsia="Times New Roman" w:hAnsi="SimSun"/>
          <w:color w:val="000000"/>
          <w:kern w:val="22"/>
          <w:sz w:val="24"/>
          <w:szCs w:val="24"/>
          <w:lang w:eastAsia="zh-CN"/>
        </w:rPr>
        <w:t>第</w:t>
      </w:r>
      <w:r w:rsidRPr="00A4220D">
        <w:rPr>
          <w:rFonts w:eastAsia="Times New Roman"/>
          <w:color w:val="000000"/>
          <w:kern w:val="22"/>
          <w:sz w:val="24"/>
          <w:szCs w:val="24"/>
          <w:lang w:eastAsia="zh-CN"/>
        </w:rPr>
        <w:t>1</w:t>
      </w:r>
      <w:r w:rsidRPr="00A4220D">
        <w:rPr>
          <w:rFonts w:eastAsia="Times New Roman" w:hAnsi="SimSun"/>
          <w:color w:val="000000"/>
          <w:kern w:val="22"/>
          <w:sz w:val="24"/>
          <w:szCs w:val="24"/>
          <w:lang w:eastAsia="zh-CN"/>
        </w:rPr>
        <w:t>场会议上审议了议程项目</w:t>
      </w:r>
      <w:r w:rsidRPr="00A4220D">
        <w:rPr>
          <w:rFonts w:eastAsia="Times New Roman"/>
          <w:color w:val="000000"/>
          <w:kern w:val="22"/>
          <w:sz w:val="24"/>
          <w:szCs w:val="24"/>
          <w:lang w:eastAsia="zh-CN"/>
        </w:rPr>
        <w:t>8</w:t>
      </w:r>
      <w:r w:rsidRPr="00A4220D">
        <w:rPr>
          <w:rFonts w:eastAsia="Times New Roman" w:hAnsi="SimSun"/>
          <w:color w:val="000000"/>
          <w:kern w:val="22"/>
          <w:sz w:val="24"/>
          <w:szCs w:val="24"/>
          <w:lang w:eastAsia="zh-CN"/>
        </w:rPr>
        <w:t>的第一</w:t>
      </w:r>
      <w:r w:rsidR="004375B9">
        <w:rPr>
          <w:rFonts w:ascii="SimSun" w:eastAsia="SimSun" w:hAnsi="SimSun" w:cs="SimSun" w:hint="eastAsia"/>
          <w:color w:val="000000"/>
          <w:kern w:val="22"/>
          <w:sz w:val="24"/>
          <w:szCs w:val="24"/>
          <w:lang w:eastAsia="zh-CN"/>
        </w:rPr>
        <w:t>个议题</w:t>
      </w:r>
      <w:r w:rsidRPr="00A4220D">
        <w:rPr>
          <w:rFonts w:eastAsia="Times New Roman" w:hAnsi="SimSun"/>
          <w:color w:val="000000"/>
          <w:kern w:val="22"/>
          <w:sz w:val="24"/>
          <w:szCs w:val="24"/>
          <w:lang w:eastAsia="zh-CN"/>
        </w:rPr>
        <w:t>。在审议该项目时，工作组收到了决定草案汇编（</w:t>
      </w:r>
      <w:r w:rsidRPr="00A4220D">
        <w:rPr>
          <w:rFonts w:eastAsia="Times New Roman"/>
          <w:color w:val="000000"/>
          <w:kern w:val="22"/>
          <w:sz w:val="24"/>
          <w:szCs w:val="24"/>
          <w:lang w:eastAsia="zh-CN"/>
        </w:rPr>
        <w:t>CBD/COP/14/2</w:t>
      </w:r>
      <w:r w:rsidRPr="00A4220D">
        <w:rPr>
          <w:rFonts w:eastAsia="Times New Roman" w:hAnsi="SimSun"/>
          <w:color w:val="000000"/>
          <w:kern w:val="22"/>
          <w:sz w:val="24"/>
          <w:szCs w:val="24"/>
          <w:lang w:eastAsia="zh-CN"/>
        </w:rPr>
        <w:t>）所载</w:t>
      </w:r>
      <w:r w:rsidR="00733957">
        <w:rPr>
          <w:rFonts w:eastAsiaTheme="minorEastAsia" w:hAnsi="SimSun" w:hint="eastAsia"/>
          <w:color w:val="000000"/>
          <w:kern w:val="22"/>
          <w:sz w:val="24"/>
          <w:szCs w:val="24"/>
          <w:lang w:eastAsia="zh-CN"/>
        </w:rPr>
        <w:t>的</w:t>
      </w:r>
      <w:r w:rsidRPr="00A4220D">
        <w:rPr>
          <w:rFonts w:eastAsia="Times New Roman" w:hAnsi="SimSun"/>
          <w:color w:val="000000"/>
          <w:kern w:val="22"/>
          <w:sz w:val="24"/>
          <w:szCs w:val="24"/>
          <w:lang w:eastAsia="zh-CN"/>
        </w:rPr>
        <w:t>根据第</w:t>
      </w:r>
      <w:r w:rsidRPr="00A4220D">
        <w:rPr>
          <w:rFonts w:eastAsia="Times New Roman"/>
          <w:kern w:val="22"/>
          <w:sz w:val="24"/>
          <w:szCs w:val="24"/>
          <w:lang w:eastAsia="zh-CN"/>
        </w:rPr>
        <w:t>SBSTTA-</w:t>
      </w:r>
      <w:r w:rsidRPr="00A4220D">
        <w:rPr>
          <w:rFonts w:eastAsia="Times New Roman"/>
          <w:sz w:val="24"/>
          <w:szCs w:val="24"/>
          <w:lang w:eastAsia="zh-CN"/>
        </w:rPr>
        <w:t>22/4</w:t>
      </w:r>
      <w:r w:rsidRPr="00A4220D">
        <w:rPr>
          <w:rFonts w:eastAsia="Times New Roman" w:hAnsi="SimSun"/>
          <w:sz w:val="24"/>
          <w:szCs w:val="24"/>
          <w:lang w:eastAsia="zh-CN"/>
        </w:rPr>
        <w:t>号建议和第</w:t>
      </w:r>
      <w:r w:rsidRPr="00A4220D">
        <w:rPr>
          <w:rFonts w:eastAsia="Times New Roman"/>
          <w:kern w:val="22"/>
          <w:sz w:val="24"/>
          <w:szCs w:val="24"/>
          <w:lang w:eastAsia="zh-CN"/>
        </w:rPr>
        <w:t>SBI-</w:t>
      </w:r>
      <w:r w:rsidRPr="00A4220D">
        <w:rPr>
          <w:rFonts w:eastAsia="Times New Roman"/>
          <w:iCs/>
          <w:kern w:val="22"/>
          <w:sz w:val="24"/>
          <w:szCs w:val="24"/>
          <w:lang w:eastAsia="zh-CN"/>
        </w:rPr>
        <w:t>2/1</w:t>
      </w:r>
      <w:r w:rsidRPr="00A4220D">
        <w:rPr>
          <w:rFonts w:eastAsia="Times New Roman" w:hAnsi="SimSun"/>
          <w:iCs/>
          <w:kern w:val="22"/>
          <w:sz w:val="24"/>
          <w:szCs w:val="24"/>
          <w:lang w:eastAsia="zh-CN"/>
        </w:rPr>
        <w:t>号建议编制的决定草案。它还收到执行秘书关于</w:t>
      </w:r>
      <w:r w:rsidRPr="00A4220D">
        <w:rPr>
          <w:rFonts w:eastAsia="Times New Roman" w:hAnsi="SimSun"/>
          <w:color w:val="000000"/>
          <w:kern w:val="22"/>
          <w:sz w:val="24"/>
          <w:szCs w:val="24"/>
          <w:lang w:eastAsia="zh-CN"/>
        </w:rPr>
        <w:t>执行《公约》和《</w:t>
      </w:r>
      <w:r w:rsidRPr="00A4220D">
        <w:rPr>
          <w:rFonts w:eastAsia="Times New Roman"/>
          <w:color w:val="000000"/>
          <w:kern w:val="22"/>
          <w:sz w:val="24"/>
          <w:szCs w:val="24"/>
          <w:lang w:eastAsia="zh-CN"/>
        </w:rPr>
        <w:t>2011-2020</w:t>
      </w:r>
      <w:r w:rsidRPr="00A4220D">
        <w:rPr>
          <w:rFonts w:eastAsia="Times New Roman" w:hAnsi="SimSun"/>
          <w:color w:val="000000"/>
          <w:kern w:val="22"/>
          <w:sz w:val="24"/>
          <w:szCs w:val="24"/>
          <w:lang w:eastAsia="zh-CN"/>
        </w:rPr>
        <w:t>年生物多样性战略计划》和实现爱知生物多样性指标的进展情况的说明</w:t>
      </w:r>
      <w:r w:rsidRPr="00A4220D">
        <w:rPr>
          <w:rFonts w:eastAsia="Times New Roman" w:hAnsi="SimSun"/>
          <w:kern w:val="22"/>
          <w:sz w:val="24"/>
          <w:szCs w:val="24"/>
          <w:lang w:eastAsia="zh-CN"/>
        </w:rPr>
        <w:t>（</w:t>
      </w:r>
      <w:r w:rsidRPr="00A4220D">
        <w:rPr>
          <w:rFonts w:eastAsia="Times New Roman"/>
          <w:kern w:val="22"/>
          <w:sz w:val="24"/>
          <w:szCs w:val="24"/>
          <w:lang w:eastAsia="zh-CN"/>
        </w:rPr>
        <w:t>CBD/COP/14/5</w:t>
      </w:r>
      <w:r w:rsidRPr="00A4220D">
        <w:rPr>
          <w:rFonts w:eastAsia="Times New Roman" w:hAnsi="SimSun"/>
          <w:kern w:val="22"/>
          <w:sz w:val="24"/>
          <w:szCs w:val="24"/>
          <w:lang w:eastAsia="zh-CN"/>
        </w:rPr>
        <w:t>）、关于</w:t>
      </w:r>
      <w:r w:rsidRPr="00A4220D">
        <w:rPr>
          <w:rFonts w:eastAsia="Times New Roman" w:hAnsi="SimSun"/>
          <w:color w:val="000000"/>
          <w:kern w:val="22"/>
          <w:sz w:val="24"/>
          <w:szCs w:val="24"/>
          <w:lang w:eastAsia="zh-CN"/>
        </w:rPr>
        <w:t>修订</w:t>
      </w:r>
      <w:r w:rsidRPr="00A4220D">
        <w:rPr>
          <w:rFonts w:eastAsia="Times New Roman"/>
          <w:color w:val="000000"/>
          <w:kern w:val="22"/>
          <w:sz w:val="24"/>
          <w:szCs w:val="24"/>
          <w:lang w:eastAsia="zh-CN"/>
        </w:rPr>
        <w:t>/</w:t>
      </w:r>
      <w:r w:rsidRPr="00A4220D">
        <w:rPr>
          <w:rFonts w:eastAsia="Times New Roman" w:hAnsi="SimSun"/>
          <w:color w:val="000000"/>
          <w:kern w:val="22"/>
          <w:sz w:val="24"/>
          <w:szCs w:val="24"/>
          <w:lang w:eastAsia="zh-CN"/>
        </w:rPr>
        <w:t>更新和执行国家生物多样性战略和行动计划（包括国家目标）的最新进展情况（</w:t>
      </w:r>
      <w:r w:rsidRPr="00A4220D">
        <w:rPr>
          <w:rFonts w:eastAsia="Times New Roman"/>
          <w:kern w:val="22"/>
          <w:sz w:val="24"/>
          <w:szCs w:val="24"/>
          <w:lang w:eastAsia="zh-CN"/>
        </w:rPr>
        <w:t>CBD/COP/14/5/Add.1</w:t>
      </w:r>
      <w:r w:rsidRPr="00A4220D">
        <w:rPr>
          <w:rFonts w:eastAsia="Times New Roman" w:hAnsi="SimSun"/>
          <w:color w:val="000000"/>
          <w:kern w:val="22"/>
          <w:sz w:val="24"/>
          <w:szCs w:val="24"/>
          <w:lang w:eastAsia="zh-CN"/>
        </w:rPr>
        <w:t>）和关于缔约方确定的指标的贡献以及实现《爱知生物多样性指标》的进展的分析（</w:t>
      </w:r>
      <w:r w:rsidRPr="00A4220D">
        <w:rPr>
          <w:rFonts w:eastAsia="Times New Roman"/>
          <w:kern w:val="22"/>
          <w:sz w:val="24"/>
          <w:szCs w:val="24"/>
          <w:lang w:eastAsia="zh-CN"/>
        </w:rPr>
        <w:t>CBD/COP/14/5/Add.2</w:t>
      </w:r>
      <w:r w:rsidRPr="00A4220D">
        <w:rPr>
          <w:rFonts w:eastAsia="Times New Roman" w:hAnsi="SimSun"/>
          <w:color w:val="000000"/>
          <w:kern w:val="22"/>
          <w:sz w:val="24"/>
          <w:szCs w:val="24"/>
          <w:lang w:eastAsia="zh-CN"/>
        </w:rPr>
        <w:t>）。此外，还有以下资料文件：全球生物分类倡议</w:t>
      </w:r>
      <w:r w:rsidRPr="006B2851">
        <w:rPr>
          <w:rFonts w:asciiTheme="minorEastAsia" w:eastAsiaTheme="minorEastAsia" w:hAnsiTheme="minorEastAsia"/>
          <w:color w:val="000000"/>
          <w:kern w:val="22"/>
          <w:sz w:val="24"/>
          <w:szCs w:val="24"/>
          <w:lang w:eastAsia="zh-CN"/>
        </w:rPr>
        <w:t>论坛“消除所有公民的生物分类障碍”</w:t>
      </w:r>
      <w:r w:rsidRPr="00A4220D">
        <w:rPr>
          <w:rFonts w:eastAsia="Times New Roman" w:hAnsi="SimSun"/>
          <w:color w:val="000000"/>
          <w:kern w:val="22"/>
          <w:sz w:val="24"/>
          <w:szCs w:val="24"/>
          <w:lang w:eastAsia="zh-CN"/>
        </w:rPr>
        <w:t>（</w:t>
      </w:r>
      <w:r w:rsidRPr="00A4220D">
        <w:rPr>
          <w:rFonts w:eastAsia="Times New Roman"/>
          <w:color w:val="000000"/>
          <w:kern w:val="22"/>
          <w:sz w:val="24"/>
          <w:szCs w:val="24"/>
          <w:lang w:eastAsia="zh-CN"/>
        </w:rPr>
        <w:t>CBD/COP/14/INF/12</w:t>
      </w:r>
      <w:r w:rsidRPr="00A4220D">
        <w:rPr>
          <w:rFonts w:eastAsia="Times New Roman" w:hAnsi="SimSun"/>
          <w:color w:val="000000"/>
          <w:kern w:val="22"/>
          <w:sz w:val="24"/>
          <w:szCs w:val="24"/>
          <w:lang w:eastAsia="zh-CN"/>
        </w:rPr>
        <w:t>和</w:t>
      </w:r>
      <w:r w:rsidRPr="00A4220D">
        <w:rPr>
          <w:rFonts w:eastAsia="Times New Roman"/>
          <w:color w:val="000000"/>
          <w:kern w:val="22"/>
          <w:sz w:val="24"/>
          <w:szCs w:val="24"/>
          <w:lang w:eastAsia="zh-CN"/>
        </w:rPr>
        <w:lastRenderedPageBreak/>
        <w:t>Add.</w:t>
      </w:r>
      <w:r w:rsidRPr="00A4220D">
        <w:rPr>
          <w:rFonts w:eastAsia="Times New Roman" w:hAnsi="SimSun"/>
          <w:color w:val="000000"/>
          <w:kern w:val="22"/>
          <w:sz w:val="24"/>
          <w:szCs w:val="24"/>
          <w:lang w:eastAsia="zh-CN"/>
        </w:rPr>
        <w:t>），通过森林景观恢复加快生物多样性承诺（</w:t>
      </w:r>
      <w:r w:rsidRPr="00A4220D">
        <w:rPr>
          <w:rFonts w:eastAsia="Times New Roman"/>
          <w:kern w:val="22"/>
          <w:sz w:val="24"/>
          <w:szCs w:val="24"/>
          <w:lang w:eastAsia="zh-CN"/>
        </w:rPr>
        <w:t>CBD/COP/14/INF/18</w:t>
      </w:r>
      <w:r w:rsidRPr="00A4220D">
        <w:rPr>
          <w:rFonts w:eastAsia="Times New Roman" w:hAnsi="SimSun"/>
          <w:color w:val="000000"/>
          <w:kern w:val="22"/>
          <w:sz w:val="24"/>
          <w:szCs w:val="24"/>
          <w:lang w:eastAsia="zh-CN"/>
        </w:rPr>
        <w:t>）、政府间科学政策平台生物多样性和生态系统服务区域评估的主要结论（</w:t>
      </w:r>
      <w:r w:rsidRPr="00A4220D">
        <w:rPr>
          <w:rFonts w:eastAsia="Times New Roman"/>
          <w:kern w:val="22"/>
          <w:sz w:val="24"/>
          <w:szCs w:val="24"/>
          <w:lang w:eastAsia="zh-CN"/>
        </w:rPr>
        <w:t>CBD/COP/14/INF/24</w:t>
      </w:r>
      <w:r w:rsidRPr="00A4220D">
        <w:rPr>
          <w:rFonts w:eastAsia="Times New Roman" w:hAnsi="SimSun"/>
          <w:color w:val="000000"/>
          <w:kern w:val="22"/>
          <w:sz w:val="24"/>
          <w:szCs w:val="24"/>
          <w:lang w:eastAsia="zh-CN"/>
        </w:rPr>
        <w:t>）、建设国家生态系统评估的能力（</w:t>
      </w:r>
      <w:r w:rsidRPr="00A4220D">
        <w:rPr>
          <w:rFonts w:eastAsia="Times New Roman"/>
          <w:kern w:val="22"/>
          <w:sz w:val="24"/>
          <w:szCs w:val="24"/>
          <w:lang w:eastAsia="zh-CN"/>
        </w:rPr>
        <w:t>CBD/COP/14/INF/28</w:t>
      </w:r>
      <w:r w:rsidRPr="00A4220D">
        <w:rPr>
          <w:rFonts w:eastAsia="Times New Roman" w:hAnsi="SimSun"/>
          <w:color w:val="000000"/>
          <w:kern w:val="22"/>
          <w:sz w:val="24"/>
          <w:szCs w:val="24"/>
          <w:lang w:eastAsia="zh-CN"/>
        </w:rPr>
        <w:t>）和欧洲区域委员会的意见：欧盟城市和区域对生物多样性公约第十四届会议和</w:t>
      </w:r>
      <w:r w:rsidRPr="00A4220D">
        <w:rPr>
          <w:rFonts w:eastAsia="Times New Roman"/>
          <w:color w:val="000000"/>
          <w:kern w:val="22"/>
          <w:sz w:val="24"/>
          <w:szCs w:val="24"/>
          <w:lang w:eastAsia="zh-CN"/>
        </w:rPr>
        <w:t>2020</w:t>
      </w:r>
      <w:r w:rsidRPr="00A4220D">
        <w:rPr>
          <w:rFonts w:eastAsia="Times New Roman" w:hAnsi="SimSun"/>
          <w:color w:val="000000"/>
          <w:kern w:val="22"/>
          <w:sz w:val="24"/>
          <w:szCs w:val="24"/>
          <w:lang w:eastAsia="zh-CN"/>
        </w:rPr>
        <w:t>年欧盟生物多样性战略的贡献（</w:t>
      </w:r>
      <w:r w:rsidRPr="00A4220D">
        <w:rPr>
          <w:rFonts w:eastAsia="Times New Roman"/>
          <w:kern w:val="22"/>
          <w:sz w:val="24"/>
          <w:szCs w:val="24"/>
          <w:lang w:eastAsia="zh-CN"/>
        </w:rPr>
        <w:t>CBD/COP/14/INF39</w:t>
      </w:r>
      <w:r w:rsidRPr="00A4220D">
        <w:rPr>
          <w:rFonts w:eastAsia="Times New Roman" w:hAnsi="SimSun"/>
          <w:color w:val="000000"/>
          <w:kern w:val="22"/>
          <w:sz w:val="24"/>
          <w:szCs w:val="24"/>
          <w:lang w:eastAsia="zh-CN"/>
        </w:rPr>
        <w:t>）。</w:t>
      </w:r>
    </w:p>
    <w:p w:rsidR="008D76BF" w:rsidRPr="004C6510" w:rsidRDefault="008D76BF" w:rsidP="00750ECD">
      <w:pPr>
        <w:pStyle w:val="Para1"/>
        <w:numPr>
          <w:ilvl w:val="0"/>
          <w:numId w:val="9"/>
        </w:numPr>
        <w:tabs>
          <w:tab w:val="clear" w:pos="360"/>
          <w:tab w:val="left" w:pos="720"/>
        </w:tabs>
        <w:ind w:firstLine="0"/>
        <w:rPr>
          <w:rFonts w:hAnsi="SimSun"/>
          <w:sz w:val="24"/>
          <w:szCs w:val="24"/>
          <w:lang w:eastAsia="zh-CN"/>
        </w:rPr>
      </w:pPr>
      <w:r w:rsidRPr="004C6510">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4C6510">
        <w:rPr>
          <w:rFonts w:ascii="SimSun" w:eastAsia="SimSun" w:hAnsi="SimSun" w:cs="SimSun" w:hint="eastAsia"/>
          <w:sz w:val="24"/>
          <w:szCs w:val="24"/>
          <w:lang w:eastAsia="zh-CN"/>
        </w:rPr>
        <w:t>：阿根廷、奥地利、巴林、孟加拉国、波斯尼亚和黑塞哥维那、博茨瓦纳、巴西、多民族玻利维亚国、巴西、柬埔寨、喀麦隆（代表非洲集团）、加拿大、智利、中国、哥伦比亚、哥斯达黎加、厄瓜多尔、欧洲联盟及其</w:t>
      </w:r>
      <w:r w:rsidRPr="004C6510">
        <w:rPr>
          <w:rFonts w:hAnsi="SimSun"/>
          <w:sz w:val="24"/>
          <w:szCs w:val="24"/>
          <w:lang w:eastAsia="zh-CN"/>
        </w:rPr>
        <w:t>28</w:t>
      </w:r>
      <w:r w:rsidRPr="004C6510">
        <w:rPr>
          <w:rFonts w:ascii="SimSun" w:eastAsia="SimSun" w:hAnsi="SimSun" w:cs="SimSun" w:hint="eastAsia"/>
          <w:sz w:val="24"/>
          <w:szCs w:val="24"/>
          <w:lang w:eastAsia="zh-CN"/>
        </w:rPr>
        <w:t>个成员国、加纳、印度尼西亚、印度、约旦、肯尼亚、黎巴嫩、马拉维、马里、墨西哥、摩洛哥、尼泊尔、尼日尔、巴拿马、秘鲁、索马里、南非、巴勒斯坦国、苏丹、阿拉伯叙利亚共和国、瑞士、泰国、乌干达、坦桑尼亚联合共和国和委内瑞拉玻利瓦尔共和国。</w:t>
      </w:r>
    </w:p>
    <w:p w:rsidR="008D76BF" w:rsidRPr="004C6510" w:rsidRDefault="008D76BF" w:rsidP="00750ECD">
      <w:pPr>
        <w:pStyle w:val="Para1"/>
        <w:numPr>
          <w:ilvl w:val="0"/>
          <w:numId w:val="9"/>
        </w:numPr>
        <w:tabs>
          <w:tab w:val="clear" w:pos="360"/>
          <w:tab w:val="left" w:pos="720"/>
        </w:tabs>
        <w:ind w:firstLine="0"/>
        <w:rPr>
          <w:rFonts w:hAnsi="SimSun"/>
          <w:sz w:val="24"/>
          <w:szCs w:val="24"/>
          <w:lang w:eastAsia="zh-CN"/>
        </w:rPr>
      </w:pPr>
      <w:r w:rsidRPr="004C6510">
        <w:rPr>
          <w:rFonts w:ascii="SimSun" w:eastAsia="SimSun" w:hAnsi="SimSun" w:cs="SimSun" w:hint="eastAsia"/>
          <w:sz w:val="24"/>
          <w:szCs w:val="24"/>
          <w:lang w:eastAsia="zh-CN"/>
        </w:rPr>
        <w:t>联合国粮食及农业组织（粮农组织）、国际植物保护公约（植保公约）和联合国促进性别平等和增强妇女权能署（妇女署）的代表也</w:t>
      </w:r>
      <w:r w:rsidR="006952B0">
        <w:rPr>
          <w:rFonts w:ascii="SimSun" w:eastAsia="SimSun" w:hAnsi="SimSun" w:cs="SimSun" w:hint="eastAsia"/>
          <w:sz w:val="24"/>
          <w:szCs w:val="24"/>
          <w:lang w:eastAsia="zh-CN"/>
        </w:rPr>
        <w:t>作了发言</w:t>
      </w:r>
      <w:r w:rsidRPr="004C6510">
        <w:rPr>
          <w:rFonts w:ascii="SimSun" w:eastAsia="SimSun" w:hAnsi="SimSun" w:cs="SimSun" w:hint="eastAsia"/>
          <w:sz w:val="24"/>
          <w:szCs w:val="24"/>
          <w:lang w:eastAsia="zh-CN"/>
        </w:rPr>
        <w:t>。</w:t>
      </w:r>
    </w:p>
    <w:p w:rsidR="008D76BF" w:rsidRPr="004C6510" w:rsidRDefault="008D76BF" w:rsidP="00750ECD">
      <w:pPr>
        <w:pStyle w:val="Para1"/>
        <w:numPr>
          <w:ilvl w:val="0"/>
          <w:numId w:val="9"/>
        </w:numPr>
        <w:tabs>
          <w:tab w:val="clear" w:pos="360"/>
          <w:tab w:val="left" w:pos="720"/>
        </w:tabs>
        <w:ind w:firstLine="0"/>
        <w:rPr>
          <w:rFonts w:hAnsi="SimSun"/>
          <w:sz w:val="24"/>
          <w:szCs w:val="24"/>
          <w:lang w:eastAsia="zh-CN"/>
        </w:rPr>
      </w:pPr>
      <w:r w:rsidRPr="004C6510">
        <w:rPr>
          <w:rFonts w:ascii="SimSun" w:eastAsia="SimSun" w:hAnsi="SimSun" w:cs="SimSun" w:hint="eastAsia"/>
          <w:sz w:val="24"/>
          <w:szCs w:val="24"/>
          <w:lang w:eastAsia="zh-CN"/>
        </w:rPr>
        <w:t>禽鸟生命国际组织、生物多样性公约妇女核心小组、国际粮食主权计划委员会（</w:t>
      </w:r>
      <w:r w:rsidRPr="004C6510">
        <w:rPr>
          <w:rFonts w:hAnsi="SimSun"/>
          <w:sz w:val="24"/>
          <w:szCs w:val="24"/>
          <w:lang w:eastAsia="zh-CN"/>
        </w:rPr>
        <w:t>IPC</w:t>
      </w:r>
      <w:r w:rsidRPr="004C6510">
        <w:rPr>
          <w:rFonts w:ascii="SimSun" w:eastAsia="SimSun" w:hAnsi="SimSun" w:cs="SimSun" w:hint="eastAsia"/>
          <w:sz w:val="24"/>
          <w:szCs w:val="24"/>
          <w:lang w:eastAsia="zh-CN"/>
        </w:rPr>
        <w:t>）、全球生物多样性信息机制（</w:t>
      </w:r>
      <w:r w:rsidRPr="004C6510">
        <w:rPr>
          <w:rFonts w:hAnsi="SimSun"/>
          <w:sz w:val="24"/>
          <w:szCs w:val="24"/>
          <w:lang w:eastAsia="zh-CN"/>
        </w:rPr>
        <w:t>GBIF</w:t>
      </w:r>
      <w:r w:rsidRPr="004C6510">
        <w:rPr>
          <w:rFonts w:ascii="SimSun" w:eastAsia="SimSun" w:hAnsi="SimSun" w:cs="SimSun" w:hint="eastAsia"/>
          <w:sz w:val="24"/>
          <w:szCs w:val="24"/>
          <w:lang w:eastAsia="zh-CN"/>
        </w:rPr>
        <w:t>）、全球森林联盟、全球青年生物多样性网络（</w:t>
      </w:r>
      <w:r w:rsidRPr="004C6510">
        <w:rPr>
          <w:rFonts w:hAnsi="SimSun"/>
          <w:sz w:val="24"/>
          <w:szCs w:val="24"/>
          <w:lang w:eastAsia="zh-CN"/>
        </w:rPr>
        <w:t>GBYN</w:t>
      </w:r>
      <w:r w:rsidRPr="004C6510">
        <w:rPr>
          <w:rFonts w:ascii="SimSun" w:eastAsia="SimSun" w:hAnsi="SimSun" w:cs="SimSun" w:hint="eastAsia"/>
          <w:sz w:val="24"/>
          <w:szCs w:val="24"/>
          <w:lang w:eastAsia="zh-CN"/>
        </w:rPr>
        <w:t>）和生物多样性问题国际土著论坛（</w:t>
      </w:r>
      <w:r w:rsidRPr="004C6510">
        <w:rPr>
          <w:rFonts w:hAnsi="SimSun"/>
          <w:sz w:val="24"/>
          <w:szCs w:val="24"/>
          <w:lang w:eastAsia="zh-CN"/>
        </w:rPr>
        <w:t>IIFB</w:t>
      </w:r>
      <w:r w:rsidRPr="004C6510">
        <w:rPr>
          <w:rFonts w:ascii="SimSun" w:eastAsia="SimSun" w:hAnsi="SimSun" w:cs="SimSun" w:hint="eastAsia"/>
          <w:sz w:val="24"/>
          <w:szCs w:val="24"/>
          <w:lang w:eastAsia="zh-CN"/>
        </w:rPr>
        <w:t>）也</w:t>
      </w:r>
      <w:r w:rsidR="006952B0">
        <w:rPr>
          <w:rFonts w:ascii="SimSun" w:eastAsia="SimSun" w:hAnsi="SimSun" w:cs="SimSun" w:hint="eastAsia"/>
          <w:sz w:val="24"/>
          <w:szCs w:val="24"/>
          <w:lang w:eastAsia="zh-CN"/>
        </w:rPr>
        <w:t>作了发言</w:t>
      </w:r>
      <w:r w:rsidRPr="004C6510">
        <w:rPr>
          <w:rFonts w:ascii="SimSun" w:eastAsia="SimSun" w:hAnsi="SimSun" w:cs="SimSun" w:hint="eastAsia"/>
          <w:sz w:val="24"/>
          <w:szCs w:val="24"/>
          <w:lang w:eastAsia="zh-CN"/>
        </w:rPr>
        <w:t>。</w:t>
      </w:r>
    </w:p>
    <w:p w:rsidR="008D76BF" w:rsidRPr="004C6510" w:rsidRDefault="008D76BF" w:rsidP="00750ECD">
      <w:pPr>
        <w:pStyle w:val="Para1"/>
        <w:numPr>
          <w:ilvl w:val="0"/>
          <w:numId w:val="9"/>
        </w:numPr>
        <w:tabs>
          <w:tab w:val="clear" w:pos="360"/>
          <w:tab w:val="left" w:pos="720"/>
        </w:tabs>
        <w:ind w:firstLine="0"/>
        <w:rPr>
          <w:rFonts w:hAnsi="SimSun"/>
          <w:sz w:val="24"/>
          <w:szCs w:val="24"/>
          <w:lang w:eastAsia="zh-CN"/>
        </w:rPr>
      </w:pPr>
      <w:r w:rsidRPr="004C6510">
        <w:rPr>
          <w:rFonts w:ascii="SimSun" w:eastAsia="SimSun" w:hAnsi="SimSun" w:cs="SimSun" w:hint="eastAsia"/>
          <w:sz w:val="24"/>
          <w:szCs w:val="24"/>
          <w:lang w:eastAsia="zh-CN"/>
        </w:rPr>
        <w:t>主席表示，他将根据口头表达和书面提出的意见编制一份有关此事项的订正决定草案。</w:t>
      </w:r>
    </w:p>
    <w:p w:rsidR="008D76BF" w:rsidRPr="004C6510" w:rsidRDefault="006B2851" w:rsidP="00750ECD">
      <w:pPr>
        <w:pStyle w:val="Para1"/>
        <w:numPr>
          <w:ilvl w:val="0"/>
          <w:numId w:val="9"/>
        </w:numPr>
        <w:tabs>
          <w:tab w:val="clear" w:pos="360"/>
          <w:tab w:val="left" w:pos="720"/>
        </w:tabs>
        <w:ind w:firstLine="0"/>
        <w:rPr>
          <w:rFonts w:hAnsi="SimSun"/>
          <w:sz w:val="24"/>
          <w:szCs w:val="24"/>
          <w:lang w:eastAsia="zh-CN"/>
        </w:rPr>
      </w:pPr>
      <w:r w:rsidRPr="004C6510">
        <w:rPr>
          <w:rFonts w:ascii="SimSun" w:eastAsia="SimSun" w:hAnsi="SimSun" w:cs="SimSun" w:hint="eastAsia"/>
          <w:sz w:val="24"/>
          <w:szCs w:val="24"/>
          <w:lang w:eastAsia="zh-CN"/>
        </w:rPr>
        <w:t>第一工作组</w:t>
      </w:r>
      <w:r w:rsidR="008D76BF" w:rsidRPr="004C6510">
        <w:rPr>
          <w:rFonts w:ascii="SimSun" w:eastAsia="SimSun" w:hAnsi="SimSun" w:cs="SimSun" w:hint="eastAsia"/>
          <w:sz w:val="24"/>
          <w:szCs w:val="24"/>
          <w:lang w:eastAsia="zh-CN"/>
        </w:rPr>
        <w:t>在</w:t>
      </w:r>
      <w:smartTag w:uri="urn:schemas-microsoft-com:office:smarttags" w:element="chsdate">
        <w:smartTagPr>
          <w:attr w:name="Year" w:val="2018"/>
          <w:attr w:name="Month" w:val="11"/>
          <w:attr w:name="Day" w:val="25"/>
          <w:attr w:name="IsLunarDate" w:val="False"/>
          <w:attr w:name="IsROCDate" w:val="False"/>
        </w:smartTagPr>
        <w:r w:rsidR="008D76BF" w:rsidRPr="004C6510">
          <w:rPr>
            <w:rFonts w:hAnsi="SimSun"/>
            <w:sz w:val="24"/>
            <w:szCs w:val="24"/>
            <w:lang w:eastAsia="zh-CN"/>
          </w:rPr>
          <w:t>2018</w:t>
        </w:r>
        <w:r w:rsidR="008D76BF" w:rsidRPr="004C6510">
          <w:rPr>
            <w:rFonts w:ascii="SimSun" w:eastAsia="SimSun" w:hAnsi="SimSun" w:cs="SimSun" w:hint="eastAsia"/>
            <w:sz w:val="24"/>
            <w:szCs w:val="24"/>
            <w:lang w:eastAsia="zh-CN"/>
          </w:rPr>
          <w:t>年</w:t>
        </w:r>
        <w:r w:rsidR="008D76BF" w:rsidRPr="004C6510">
          <w:rPr>
            <w:rFonts w:hAnsi="SimSun"/>
            <w:sz w:val="24"/>
            <w:szCs w:val="24"/>
            <w:lang w:eastAsia="zh-CN"/>
          </w:rPr>
          <w:t>11</w:t>
        </w:r>
        <w:r w:rsidR="008D76BF" w:rsidRPr="004C6510">
          <w:rPr>
            <w:rFonts w:ascii="SimSun" w:eastAsia="SimSun" w:hAnsi="SimSun" w:cs="SimSun" w:hint="eastAsia"/>
            <w:sz w:val="24"/>
            <w:szCs w:val="24"/>
            <w:lang w:eastAsia="zh-CN"/>
          </w:rPr>
          <w:t>月</w:t>
        </w:r>
        <w:r w:rsidR="008D76BF" w:rsidRPr="004C6510">
          <w:rPr>
            <w:rFonts w:hAnsi="SimSun"/>
            <w:sz w:val="24"/>
            <w:szCs w:val="24"/>
            <w:lang w:eastAsia="zh-CN"/>
          </w:rPr>
          <w:t>21</w:t>
        </w:r>
        <w:r w:rsidR="008D76BF" w:rsidRPr="004C6510">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smartTag>
      <w:r w:rsidR="008D76BF" w:rsidRPr="004C6510">
        <w:rPr>
          <w:rFonts w:ascii="SimSun" w:eastAsia="SimSun" w:hAnsi="SimSun" w:cs="SimSun" w:hint="eastAsia"/>
          <w:sz w:val="24"/>
          <w:szCs w:val="24"/>
          <w:lang w:eastAsia="zh-CN"/>
        </w:rPr>
        <w:t>第</w:t>
      </w:r>
      <w:r w:rsidR="008D76BF" w:rsidRPr="004C6510">
        <w:rPr>
          <w:rFonts w:hAnsi="SimSun"/>
          <w:sz w:val="24"/>
          <w:szCs w:val="24"/>
          <w:lang w:eastAsia="zh-CN"/>
        </w:rPr>
        <w:t>7</w:t>
      </w:r>
      <w:r w:rsidR="008D76BF" w:rsidRPr="004C6510">
        <w:rPr>
          <w:rFonts w:ascii="SimSun" w:eastAsia="SimSun" w:hAnsi="SimSun" w:cs="SimSun" w:hint="eastAsia"/>
          <w:sz w:val="24"/>
          <w:szCs w:val="24"/>
          <w:lang w:eastAsia="zh-CN"/>
        </w:rPr>
        <w:t>场会议上审议了由主席提交的订正决定草案。</w:t>
      </w:r>
    </w:p>
    <w:p w:rsidR="008D76BF" w:rsidRPr="004C6510" w:rsidRDefault="008D76BF" w:rsidP="00750ECD">
      <w:pPr>
        <w:pStyle w:val="Para1"/>
        <w:numPr>
          <w:ilvl w:val="0"/>
          <w:numId w:val="9"/>
        </w:numPr>
        <w:tabs>
          <w:tab w:val="clear" w:pos="360"/>
          <w:tab w:val="left" w:pos="720"/>
        </w:tabs>
        <w:ind w:firstLine="0"/>
        <w:rPr>
          <w:rFonts w:hAnsi="SimSun"/>
          <w:sz w:val="24"/>
          <w:szCs w:val="24"/>
          <w:lang w:eastAsia="zh-CN"/>
        </w:rPr>
      </w:pPr>
      <w:r w:rsidRPr="004C6510">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4C6510">
        <w:rPr>
          <w:rFonts w:ascii="SimSun" w:eastAsia="SimSun" w:hAnsi="SimSun" w:cs="SimSun" w:hint="eastAsia"/>
          <w:sz w:val="24"/>
          <w:szCs w:val="24"/>
          <w:lang w:eastAsia="zh-CN"/>
        </w:rPr>
        <w:t>：阿根廷、巴西、埃塞俄比亚、欧洲联盟及其</w:t>
      </w:r>
      <w:r w:rsidRPr="004C6510">
        <w:rPr>
          <w:rFonts w:hAnsi="SimSun"/>
          <w:sz w:val="24"/>
          <w:szCs w:val="24"/>
          <w:lang w:eastAsia="zh-CN"/>
        </w:rPr>
        <w:t>28</w:t>
      </w:r>
      <w:r w:rsidRPr="004C6510">
        <w:rPr>
          <w:rFonts w:ascii="SimSun" w:eastAsia="SimSun" w:hAnsi="SimSun" w:cs="SimSun" w:hint="eastAsia"/>
          <w:sz w:val="24"/>
          <w:szCs w:val="24"/>
          <w:lang w:eastAsia="zh-CN"/>
        </w:rPr>
        <w:t>个成员国、几内亚、摩洛哥、新西兰、挪威、卡塔尔、南非、乌干达和坦桑尼亚联合共和国。</w:t>
      </w:r>
    </w:p>
    <w:p w:rsidR="008D76BF" w:rsidRPr="004C6510" w:rsidRDefault="008D76BF" w:rsidP="00750ECD">
      <w:pPr>
        <w:pStyle w:val="Para1"/>
        <w:numPr>
          <w:ilvl w:val="0"/>
          <w:numId w:val="9"/>
        </w:numPr>
        <w:tabs>
          <w:tab w:val="clear" w:pos="360"/>
          <w:tab w:val="left" w:pos="720"/>
        </w:tabs>
        <w:ind w:firstLine="0"/>
        <w:rPr>
          <w:sz w:val="24"/>
          <w:szCs w:val="24"/>
          <w:lang w:eastAsia="zh-CN"/>
        </w:rPr>
      </w:pPr>
      <w:r w:rsidRPr="004C6510">
        <w:rPr>
          <w:rFonts w:ascii="SimSun" w:eastAsia="SimSun" w:hAnsi="SimSun" w:cs="SimSun" w:hint="eastAsia"/>
          <w:sz w:val="24"/>
          <w:szCs w:val="24"/>
          <w:lang w:eastAsia="zh-CN"/>
        </w:rPr>
        <w:t>工作组核准了经口头修正的订正决定草案，作为决定草案</w:t>
      </w:r>
      <w:r w:rsidRPr="004C6510">
        <w:rPr>
          <w:sz w:val="24"/>
          <w:szCs w:val="24"/>
          <w:lang w:eastAsia="zh-CN"/>
        </w:rPr>
        <w:t>CBD/COP/14/L.2</w:t>
      </w:r>
      <w:r w:rsidRPr="004C6510">
        <w:rPr>
          <w:rFonts w:ascii="SimSun" w:eastAsia="SimSun" w:hAnsi="SimSun" w:cs="SimSun" w:hint="eastAsia"/>
          <w:sz w:val="24"/>
          <w:szCs w:val="24"/>
          <w:lang w:eastAsia="zh-CN"/>
        </w:rPr>
        <w:t>转交全体会议。</w:t>
      </w:r>
    </w:p>
    <w:p w:rsidR="008D76BF" w:rsidRPr="004C6510" w:rsidRDefault="008D76BF" w:rsidP="00750ECD">
      <w:pPr>
        <w:pStyle w:val="Para1"/>
        <w:numPr>
          <w:ilvl w:val="0"/>
          <w:numId w:val="9"/>
        </w:numPr>
        <w:tabs>
          <w:tab w:val="clear" w:pos="360"/>
          <w:tab w:val="left" w:pos="720"/>
        </w:tabs>
        <w:ind w:firstLine="0"/>
        <w:rPr>
          <w:sz w:val="24"/>
          <w:szCs w:val="24"/>
          <w:lang w:eastAsia="zh-CN"/>
        </w:rPr>
      </w:pPr>
      <w:r w:rsidRPr="004C6510">
        <w:rPr>
          <w:rFonts w:ascii="SimSun" w:eastAsia="SimSun" w:hAnsi="SimSun" w:cs="SimSun" w:hint="eastAsia"/>
          <w:sz w:val="24"/>
          <w:szCs w:val="24"/>
          <w:lang w:eastAsia="zh-CN"/>
        </w:rPr>
        <w:t>在</w:t>
      </w:r>
      <w:r w:rsidRPr="004C6510">
        <w:rPr>
          <w:rFonts w:eastAsia="Times New Roman"/>
          <w:sz w:val="24"/>
          <w:szCs w:val="24"/>
          <w:lang w:eastAsia="zh-CN"/>
        </w:rPr>
        <w:t>2018</w:t>
      </w:r>
      <w:r w:rsidRPr="004C6510">
        <w:rPr>
          <w:rFonts w:ascii="SimSun" w:eastAsia="SimSun" w:hAnsi="SimSun" w:cs="SimSun" w:hint="eastAsia"/>
          <w:sz w:val="24"/>
          <w:szCs w:val="24"/>
          <w:lang w:eastAsia="zh-CN"/>
        </w:rPr>
        <w:t>年</w:t>
      </w:r>
      <w:r w:rsidRPr="004C6510">
        <w:rPr>
          <w:rFonts w:eastAsia="Times New Roman"/>
          <w:sz w:val="24"/>
          <w:szCs w:val="24"/>
          <w:lang w:eastAsia="zh-CN"/>
        </w:rPr>
        <w:t>11</w:t>
      </w:r>
      <w:r w:rsidRPr="004C6510">
        <w:rPr>
          <w:rFonts w:ascii="SimSun" w:eastAsia="SimSun" w:hAnsi="SimSun" w:cs="SimSun" w:hint="eastAsia"/>
          <w:sz w:val="24"/>
          <w:szCs w:val="24"/>
          <w:lang w:eastAsia="zh-CN"/>
        </w:rPr>
        <w:t>月</w:t>
      </w:r>
      <w:r w:rsidRPr="004C6510">
        <w:rPr>
          <w:rFonts w:eastAsia="Times New Roman"/>
          <w:sz w:val="24"/>
          <w:szCs w:val="24"/>
          <w:lang w:eastAsia="zh-CN"/>
        </w:rPr>
        <w:t>22</w:t>
      </w:r>
      <w:r w:rsidR="00EA4BF6">
        <w:rPr>
          <w:rFonts w:ascii="SimSun" w:eastAsia="SimSun" w:hAnsi="SimSun" w:cs="SimSun" w:hint="eastAsia"/>
          <w:sz w:val="24"/>
          <w:szCs w:val="24"/>
          <w:lang w:eastAsia="zh-CN"/>
        </w:rPr>
        <w:t>日</w:t>
      </w:r>
      <w:r w:rsidR="009E4EF5">
        <w:rPr>
          <w:rFonts w:ascii="SimSun" w:eastAsia="SimSun" w:hAnsi="SimSun" w:cs="SimSun" w:hint="eastAsia"/>
          <w:sz w:val="24"/>
          <w:szCs w:val="24"/>
          <w:lang w:eastAsia="zh-CN"/>
        </w:rPr>
        <w:t>会议的</w:t>
      </w:r>
      <w:r w:rsidRPr="004C6510">
        <w:rPr>
          <w:rFonts w:ascii="SimSun" w:eastAsia="SimSun" w:hAnsi="SimSun" w:cs="SimSun" w:hint="eastAsia"/>
          <w:sz w:val="24"/>
          <w:szCs w:val="24"/>
          <w:lang w:eastAsia="zh-CN"/>
        </w:rPr>
        <w:t>第</w:t>
      </w:r>
      <w:r>
        <w:rPr>
          <w:rFonts w:eastAsia="Times New Roman"/>
          <w:sz w:val="24"/>
          <w:szCs w:val="24"/>
          <w:lang w:eastAsia="zh-CN"/>
        </w:rPr>
        <w:t>4</w:t>
      </w:r>
      <w:r w:rsidR="00B45641">
        <w:rPr>
          <w:rFonts w:ascii="SimSun" w:eastAsia="SimSun" w:hAnsi="SimSun" w:cs="SimSun" w:hint="eastAsia"/>
          <w:sz w:val="24"/>
          <w:szCs w:val="24"/>
          <w:lang w:eastAsia="zh-CN"/>
        </w:rPr>
        <w:t>次全体会议</w:t>
      </w:r>
      <w:r w:rsidRPr="004C6510">
        <w:rPr>
          <w:rFonts w:ascii="SimSun" w:eastAsia="SimSun" w:hAnsi="SimSun" w:cs="SimSun" w:hint="eastAsia"/>
          <w:sz w:val="24"/>
          <w:szCs w:val="24"/>
          <w:lang w:eastAsia="zh-CN"/>
        </w:rPr>
        <w:t>上，缔约方大会通过了</w:t>
      </w:r>
      <w:r w:rsidR="00A434BF">
        <w:rPr>
          <w:rFonts w:ascii="SimSun" w:eastAsia="SimSun" w:hAnsi="SimSun" w:cs="SimSun" w:hint="eastAsia"/>
          <w:sz w:val="24"/>
          <w:szCs w:val="24"/>
          <w:lang w:eastAsia="zh-CN"/>
        </w:rPr>
        <w:t>决定草案</w:t>
      </w:r>
      <w:r w:rsidRPr="004C6510">
        <w:rPr>
          <w:sz w:val="24"/>
          <w:szCs w:val="24"/>
          <w:lang w:eastAsia="zh-CN"/>
        </w:rPr>
        <w:t>CBD/COP/14/L.</w:t>
      </w:r>
      <w:r>
        <w:rPr>
          <w:sz w:val="24"/>
          <w:szCs w:val="24"/>
          <w:lang w:eastAsia="zh-CN"/>
        </w:rPr>
        <w:t>2</w:t>
      </w:r>
      <w:r w:rsidRPr="004C6510">
        <w:rPr>
          <w:rFonts w:ascii="SimSun" w:eastAsia="SimSun" w:hAnsi="SimSun" w:cs="SimSun" w:hint="eastAsia"/>
          <w:sz w:val="24"/>
          <w:szCs w:val="24"/>
          <w:lang w:eastAsia="zh-CN"/>
        </w:rPr>
        <w:t>，成为第</w:t>
      </w:r>
      <w:r w:rsidRPr="004C6510">
        <w:rPr>
          <w:color w:val="000000"/>
          <w:sz w:val="24"/>
          <w:szCs w:val="24"/>
          <w:lang w:eastAsia="zh-CN"/>
        </w:rPr>
        <w:t xml:space="preserve"> </w:t>
      </w:r>
      <w:r>
        <w:rPr>
          <w:color w:val="000000"/>
          <w:sz w:val="24"/>
          <w:szCs w:val="24"/>
          <w:lang w:eastAsia="zh-CN"/>
        </w:rPr>
        <w:t>14</w:t>
      </w:r>
      <w:r w:rsidRPr="004C6510">
        <w:rPr>
          <w:sz w:val="24"/>
          <w:szCs w:val="24"/>
          <w:lang w:eastAsia="zh-CN"/>
        </w:rPr>
        <w:t>/</w:t>
      </w:r>
      <w:r w:rsidR="00EA4DE9">
        <w:rPr>
          <w:sz w:val="24"/>
          <w:szCs w:val="24"/>
          <w:lang w:eastAsia="zh-CN"/>
        </w:rPr>
        <w:t>1</w:t>
      </w:r>
      <w:r w:rsidRPr="004C6510">
        <w:rPr>
          <w:rFonts w:ascii="SimSun" w:eastAsia="SimSun" w:hAnsi="SimSun" w:cs="SimSun" w:hint="eastAsia"/>
          <w:sz w:val="24"/>
          <w:szCs w:val="24"/>
          <w:lang w:eastAsia="zh-CN"/>
        </w:rPr>
        <w:t>号决定。</w:t>
      </w:r>
    </w:p>
    <w:p w:rsidR="008D76BF" w:rsidRPr="000B79FA" w:rsidRDefault="008D76BF" w:rsidP="00EA4DE9">
      <w:pPr>
        <w:pStyle w:val="Heading2longmultiline"/>
        <w:ind w:left="0" w:right="0" w:firstLine="0"/>
        <w:jc w:val="center"/>
        <w:rPr>
          <w:rFonts w:eastAsia="KaiTi" w:hAnsi="KaiTi"/>
          <w:b w:val="0"/>
          <w:i w:val="0"/>
          <w:sz w:val="24"/>
          <w:lang w:eastAsia="zh-CN"/>
        </w:rPr>
      </w:pPr>
      <w:bookmarkStart w:id="274" w:name="_Toc6243824"/>
      <w:r w:rsidRPr="000B79FA">
        <w:rPr>
          <w:rFonts w:eastAsia="KaiTi" w:hAnsi="KaiTi" w:hint="eastAsia"/>
          <w:b w:val="0"/>
          <w:i w:val="0"/>
          <w:sz w:val="24"/>
          <w:lang w:eastAsia="zh-CN"/>
        </w:rPr>
        <w:t>性别平等行动计划</w:t>
      </w:r>
      <w:bookmarkEnd w:id="274"/>
    </w:p>
    <w:p w:rsidR="008D76BF" w:rsidRPr="004C6510" w:rsidRDefault="008D76BF" w:rsidP="00750ECD">
      <w:pPr>
        <w:pStyle w:val="Para1"/>
        <w:numPr>
          <w:ilvl w:val="0"/>
          <w:numId w:val="9"/>
        </w:numPr>
        <w:tabs>
          <w:tab w:val="clear" w:pos="360"/>
          <w:tab w:val="left" w:pos="720"/>
        </w:tabs>
        <w:ind w:firstLine="0"/>
        <w:rPr>
          <w:rFonts w:hAnsi="SimSun"/>
          <w:sz w:val="24"/>
          <w:szCs w:val="24"/>
          <w:lang w:eastAsia="zh-CN"/>
        </w:rPr>
      </w:pPr>
      <w:r w:rsidRPr="004C6510">
        <w:rPr>
          <w:rFonts w:ascii="SimSun" w:eastAsia="SimSun" w:hAnsi="SimSun" w:cs="SimSun" w:hint="eastAsia"/>
          <w:sz w:val="24"/>
          <w:szCs w:val="24"/>
          <w:lang w:eastAsia="zh-CN"/>
        </w:rPr>
        <w:t>第一工作组在</w:t>
      </w:r>
      <w:r w:rsidRPr="004C6510">
        <w:rPr>
          <w:rFonts w:hAnsi="SimSun"/>
          <w:sz w:val="24"/>
          <w:szCs w:val="24"/>
          <w:lang w:eastAsia="zh-CN"/>
        </w:rPr>
        <w:t>2018</w:t>
      </w:r>
      <w:r w:rsidRPr="004C6510">
        <w:rPr>
          <w:rFonts w:ascii="SimSun" w:eastAsia="SimSun" w:hAnsi="SimSun" w:cs="SimSun" w:hint="eastAsia"/>
          <w:sz w:val="24"/>
          <w:szCs w:val="24"/>
          <w:lang w:eastAsia="zh-CN"/>
        </w:rPr>
        <w:t>年</w:t>
      </w:r>
      <w:r w:rsidRPr="004C6510">
        <w:rPr>
          <w:rFonts w:hAnsi="SimSun"/>
          <w:sz w:val="24"/>
          <w:szCs w:val="24"/>
          <w:lang w:eastAsia="zh-CN"/>
        </w:rPr>
        <w:t>11</w:t>
      </w:r>
      <w:r w:rsidRPr="004C6510">
        <w:rPr>
          <w:rFonts w:ascii="SimSun" w:eastAsia="SimSun" w:hAnsi="SimSun" w:cs="SimSun" w:hint="eastAsia"/>
          <w:sz w:val="24"/>
          <w:szCs w:val="24"/>
          <w:lang w:eastAsia="zh-CN"/>
        </w:rPr>
        <w:t>月</w:t>
      </w:r>
      <w:r w:rsidRPr="004C6510">
        <w:rPr>
          <w:rFonts w:hAnsi="SimSun"/>
          <w:sz w:val="24"/>
          <w:szCs w:val="24"/>
          <w:lang w:eastAsia="zh-CN"/>
        </w:rPr>
        <w:t>18</w:t>
      </w:r>
      <w:r w:rsidR="00EA4BF6">
        <w:rPr>
          <w:rFonts w:ascii="SimSun" w:eastAsia="SimSun" w:hAnsi="SimSun" w:cs="SimSun" w:hint="eastAsia"/>
          <w:sz w:val="24"/>
          <w:szCs w:val="24"/>
          <w:lang w:eastAsia="zh-CN"/>
        </w:rPr>
        <w:t>日的</w:t>
      </w:r>
      <w:r w:rsidRPr="004C6510">
        <w:rPr>
          <w:rFonts w:ascii="SimSun" w:eastAsia="SimSun" w:hAnsi="SimSun" w:cs="SimSun" w:hint="eastAsia"/>
          <w:sz w:val="24"/>
          <w:szCs w:val="24"/>
          <w:lang w:eastAsia="zh-CN"/>
        </w:rPr>
        <w:t>第</w:t>
      </w:r>
      <w:r w:rsidRPr="004C6510">
        <w:rPr>
          <w:rFonts w:hAnsi="SimSun"/>
          <w:sz w:val="24"/>
          <w:szCs w:val="24"/>
          <w:lang w:eastAsia="zh-CN"/>
        </w:rPr>
        <w:t>1</w:t>
      </w:r>
      <w:r w:rsidRPr="004C6510">
        <w:rPr>
          <w:rFonts w:ascii="SimSun" w:eastAsia="SimSun" w:hAnsi="SimSun" w:cs="SimSun" w:hint="eastAsia"/>
          <w:sz w:val="24"/>
          <w:szCs w:val="24"/>
          <w:lang w:eastAsia="zh-CN"/>
        </w:rPr>
        <w:t>场会议上审议了议程项目</w:t>
      </w:r>
      <w:r w:rsidRPr="004C6510">
        <w:rPr>
          <w:rFonts w:hAnsi="SimSun"/>
          <w:sz w:val="24"/>
          <w:szCs w:val="24"/>
          <w:lang w:eastAsia="zh-CN"/>
        </w:rPr>
        <w:t>8</w:t>
      </w:r>
      <w:r w:rsidRPr="004C6510">
        <w:rPr>
          <w:rFonts w:ascii="SimSun" w:eastAsia="SimSun" w:hAnsi="SimSun" w:cs="SimSun" w:hint="eastAsia"/>
          <w:sz w:val="24"/>
          <w:szCs w:val="24"/>
          <w:lang w:eastAsia="zh-CN"/>
        </w:rPr>
        <w:t>的第二</w:t>
      </w:r>
      <w:r w:rsidR="004375B9">
        <w:rPr>
          <w:rFonts w:ascii="SimSun" w:eastAsia="SimSun" w:hAnsi="SimSun" w:cs="SimSun" w:hint="eastAsia"/>
          <w:sz w:val="24"/>
          <w:szCs w:val="24"/>
          <w:lang w:eastAsia="zh-CN"/>
        </w:rPr>
        <w:t>个议题</w:t>
      </w:r>
      <w:r w:rsidRPr="004C6510">
        <w:rPr>
          <w:rFonts w:ascii="SimSun" w:eastAsia="SimSun" w:hAnsi="SimSun" w:cs="SimSun" w:hint="eastAsia"/>
          <w:sz w:val="24"/>
          <w:szCs w:val="24"/>
          <w:lang w:eastAsia="zh-CN"/>
        </w:rPr>
        <w:t>。在审议该项目时，工作组收到了决定草案汇编（</w:t>
      </w:r>
      <w:r w:rsidRPr="004C6510">
        <w:rPr>
          <w:rFonts w:hAnsi="SimSun"/>
          <w:sz w:val="24"/>
          <w:szCs w:val="24"/>
          <w:lang w:eastAsia="zh-CN"/>
        </w:rPr>
        <w:t>CBD/COP/14/2</w:t>
      </w:r>
      <w:r w:rsidRPr="004C6510">
        <w:rPr>
          <w:rFonts w:ascii="SimSun" w:eastAsia="SimSun" w:hAnsi="SimSun" w:cs="SimSun" w:hint="eastAsia"/>
          <w:sz w:val="24"/>
          <w:szCs w:val="24"/>
          <w:lang w:eastAsia="zh-CN"/>
        </w:rPr>
        <w:t>）所载</w:t>
      </w:r>
      <w:r w:rsidR="00733957">
        <w:rPr>
          <w:rFonts w:ascii="SimSun" w:eastAsia="SimSun" w:hAnsi="SimSun" w:cs="SimSun" w:hint="eastAsia"/>
          <w:sz w:val="24"/>
          <w:szCs w:val="24"/>
          <w:lang w:eastAsia="zh-CN"/>
        </w:rPr>
        <w:t>的</w:t>
      </w:r>
      <w:r w:rsidRPr="004C6510">
        <w:rPr>
          <w:rFonts w:ascii="SimSun" w:eastAsia="SimSun" w:hAnsi="SimSun" w:cs="SimSun" w:hint="eastAsia"/>
          <w:sz w:val="24"/>
          <w:szCs w:val="24"/>
          <w:lang w:eastAsia="zh-CN"/>
        </w:rPr>
        <w:t>根据第</w:t>
      </w:r>
      <w:r w:rsidRPr="004C6510">
        <w:rPr>
          <w:rFonts w:hAnsi="SimSun"/>
          <w:sz w:val="24"/>
          <w:szCs w:val="24"/>
          <w:lang w:eastAsia="zh-CN"/>
        </w:rPr>
        <w:t>SBI-2/1</w:t>
      </w:r>
      <w:r w:rsidRPr="004C6510">
        <w:rPr>
          <w:rFonts w:ascii="SimSun" w:eastAsia="SimSun" w:hAnsi="SimSun" w:cs="SimSun" w:hint="eastAsia"/>
          <w:sz w:val="24"/>
          <w:szCs w:val="24"/>
          <w:lang w:eastAsia="zh-CN"/>
        </w:rPr>
        <w:t>号建议</w:t>
      </w:r>
      <w:r w:rsidRPr="004C6510">
        <w:rPr>
          <w:rFonts w:hAnsi="SimSun"/>
          <w:sz w:val="24"/>
          <w:szCs w:val="24"/>
          <w:lang w:eastAsia="zh-CN"/>
        </w:rPr>
        <w:t>B</w:t>
      </w:r>
      <w:r w:rsidRPr="004C6510">
        <w:rPr>
          <w:rFonts w:ascii="SimSun" w:eastAsia="SimSun" w:hAnsi="SimSun" w:cs="SimSun" w:hint="eastAsia"/>
          <w:sz w:val="24"/>
          <w:szCs w:val="24"/>
          <w:lang w:eastAsia="zh-CN"/>
        </w:rPr>
        <w:t>部分编制的一份决定草案。</w:t>
      </w:r>
    </w:p>
    <w:p w:rsidR="008D76BF" w:rsidRPr="004C6510" w:rsidRDefault="008D76BF" w:rsidP="00750ECD">
      <w:pPr>
        <w:pStyle w:val="Para1"/>
        <w:numPr>
          <w:ilvl w:val="0"/>
          <w:numId w:val="9"/>
        </w:numPr>
        <w:tabs>
          <w:tab w:val="clear" w:pos="360"/>
          <w:tab w:val="left" w:pos="720"/>
        </w:tabs>
        <w:ind w:firstLine="0"/>
        <w:rPr>
          <w:rFonts w:hAnsi="SimSun"/>
          <w:sz w:val="24"/>
          <w:szCs w:val="24"/>
          <w:lang w:eastAsia="zh-CN"/>
        </w:rPr>
      </w:pPr>
      <w:r w:rsidRPr="004C6510">
        <w:rPr>
          <w:rFonts w:ascii="SimSun" w:eastAsia="SimSun" w:hAnsi="SimSun" w:cs="SimSun" w:hint="eastAsia"/>
          <w:sz w:val="24"/>
          <w:szCs w:val="24"/>
          <w:lang w:eastAsia="zh-CN"/>
        </w:rPr>
        <w:t>主席表示，根据就该建议达成的共识，他将编制一份订正决定草案，供工作组审议。</w:t>
      </w:r>
    </w:p>
    <w:p w:rsidR="008D76BF" w:rsidRPr="00C51217" w:rsidRDefault="009E4EF5" w:rsidP="00750ECD">
      <w:pPr>
        <w:pStyle w:val="Para1"/>
        <w:numPr>
          <w:ilvl w:val="0"/>
          <w:numId w:val="9"/>
        </w:numPr>
        <w:tabs>
          <w:tab w:val="clear" w:pos="360"/>
          <w:tab w:val="left" w:pos="720"/>
        </w:tabs>
        <w:ind w:firstLine="0"/>
        <w:rPr>
          <w:rFonts w:hAnsi="SimSun"/>
          <w:sz w:val="24"/>
          <w:szCs w:val="24"/>
          <w:lang w:eastAsia="zh-CN"/>
        </w:rPr>
      </w:pPr>
      <w:r w:rsidRPr="004C6510">
        <w:rPr>
          <w:rFonts w:ascii="SimSun" w:eastAsia="SimSun" w:hAnsi="SimSun" w:cs="SimSun" w:hint="eastAsia"/>
          <w:sz w:val="24"/>
          <w:szCs w:val="24"/>
          <w:lang w:eastAsia="zh-CN"/>
        </w:rPr>
        <w:t>第一工作组</w:t>
      </w:r>
      <w:r w:rsidR="008D76BF" w:rsidRPr="004C6510">
        <w:rPr>
          <w:rFonts w:ascii="SimSun" w:eastAsia="SimSun" w:hAnsi="SimSun" w:cs="SimSun" w:hint="eastAsia"/>
          <w:sz w:val="24"/>
          <w:szCs w:val="24"/>
          <w:lang w:eastAsia="zh-CN"/>
        </w:rPr>
        <w:t>在</w:t>
      </w:r>
      <w:smartTag w:uri="urn:schemas-microsoft-com:office:smarttags" w:element="chsdate">
        <w:smartTagPr>
          <w:attr w:name="Year" w:val="2018"/>
          <w:attr w:name="Month" w:val="11"/>
          <w:attr w:name="Day" w:val="25"/>
          <w:attr w:name="IsLunarDate" w:val="False"/>
          <w:attr w:name="IsROCDate" w:val="False"/>
        </w:smartTagPr>
        <w:r w:rsidR="008D76BF" w:rsidRPr="004C6510">
          <w:rPr>
            <w:rFonts w:hAnsi="SimSun"/>
            <w:sz w:val="24"/>
            <w:szCs w:val="24"/>
            <w:lang w:eastAsia="zh-CN"/>
          </w:rPr>
          <w:t>2018</w:t>
        </w:r>
        <w:r w:rsidR="008D76BF" w:rsidRPr="004C6510">
          <w:rPr>
            <w:rFonts w:ascii="SimSun" w:eastAsia="SimSun" w:hAnsi="SimSun" w:cs="SimSun" w:hint="eastAsia"/>
            <w:sz w:val="24"/>
            <w:szCs w:val="24"/>
            <w:lang w:eastAsia="zh-CN"/>
          </w:rPr>
          <w:t>年</w:t>
        </w:r>
        <w:r w:rsidR="008D76BF" w:rsidRPr="004C6510">
          <w:rPr>
            <w:rFonts w:hAnsi="SimSun"/>
            <w:sz w:val="24"/>
            <w:szCs w:val="24"/>
            <w:lang w:eastAsia="zh-CN"/>
          </w:rPr>
          <w:t>11</w:t>
        </w:r>
        <w:r w:rsidR="008D76BF" w:rsidRPr="004C6510">
          <w:rPr>
            <w:rFonts w:ascii="SimSun" w:eastAsia="SimSun" w:hAnsi="SimSun" w:cs="SimSun" w:hint="eastAsia"/>
            <w:sz w:val="24"/>
            <w:szCs w:val="24"/>
            <w:lang w:eastAsia="zh-CN"/>
          </w:rPr>
          <w:t>月</w:t>
        </w:r>
        <w:r w:rsidR="008D76BF" w:rsidRPr="004C6510">
          <w:rPr>
            <w:rFonts w:hAnsi="SimSun"/>
            <w:sz w:val="24"/>
            <w:szCs w:val="24"/>
            <w:lang w:eastAsia="zh-CN"/>
          </w:rPr>
          <w:t>21</w:t>
        </w:r>
        <w:r w:rsidR="008D76BF" w:rsidRPr="004C6510">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smartTag>
      <w:r w:rsidR="008D76BF" w:rsidRPr="004C6510">
        <w:rPr>
          <w:rFonts w:ascii="SimSun" w:eastAsia="SimSun" w:hAnsi="SimSun" w:cs="SimSun" w:hint="eastAsia"/>
          <w:sz w:val="24"/>
          <w:szCs w:val="24"/>
          <w:lang w:eastAsia="zh-CN"/>
        </w:rPr>
        <w:t>第</w:t>
      </w:r>
      <w:r w:rsidR="008D76BF" w:rsidRPr="004C6510">
        <w:rPr>
          <w:rFonts w:hAnsi="SimSun"/>
          <w:sz w:val="24"/>
          <w:szCs w:val="24"/>
          <w:lang w:eastAsia="zh-CN"/>
        </w:rPr>
        <w:t>7</w:t>
      </w:r>
      <w:r w:rsidR="008D76BF" w:rsidRPr="004C6510">
        <w:rPr>
          <w:rFonts w:ascii="SimSun" w:eastAsia="SimSun" w:hAnsi="SimSun" w:cs="SimSun" w:hint="eastAsia"/>
          <w:sz w:val="24"/>
          <w:szCs w:val="24"/>
          <w:lang w:eastAsia="zh-CN"/>
        </w:rPr>
        <w:t>场会议上核准了该决定草案，作为决定草案</w:t>
      </w:r>
      <w:r w:rsidR="008D76BF" w:rsidRPr="004C6510">
        <w:rPr>
          <w:rFonts w:hAnsi="SimSun"/>
          <w:sz w:val="24"/>
          <w:szCs w:val="24"/>
          <w:lang w:eastAsia="zh-CN"/>
        </w:rPr>
        <w:t>CBD/COP/14/L.3</w:t>
      </w:r>
      <w:r w:rsidR="008D76BF" w:rsidRPr="004C6510">
        <w:rPr>
          <w:rFonts w:ascii="SimSun" w:eastAsia="SimSun" w:hAnsi="SimSun" w:cs="SimSun" w:hint="eastAsia"/>
          <w:sz w:val="24"/>
          <w:szCs w:val="24"/>
          <w:lang w:eastAsia="zh-CN"/>
        </w:rPr>
        <w:t>转交全体会议。</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4C6510">
        <w:rPr>
          <w:rFonts w:ascii="SimSun" w:eastAsia="SimSun" w:hAnsi="SimSun" w:cs="SimSun" w:hint="eastAsia"/>
          <w:sz w:val="24"/>
          <w:szCs w:val="24"/>
          <w:lang w:eastAsia="zh-CN"/>
        </w:rPr>
        <w:lastRenderedPageBreak/>
        <w:t>在</w:t>
      </w:r>
      <w:r w:rsidRPr="004C6510">
        <w:rPr>
          <w:rFonts w:eastAsia="Times New Roman"/>
          <w:sz w:val="24"/>
          <w:szCs w:val="24"/>
          <w:lang w:eastAsia="zh-CN"/>
        </w:rPr>
        <w:t>2018</w:t>
      </w:r>
      <w:r w:rsidRPr="004C6510">
        <w:rPr>
          <w:rFonts w:ascii="SimSun" w:eastAsia="SimSun" w:hAnsi="SimSun" w:cs="SimSun" w:hint="eastAsia"/>
          <w:sz w:val="24"/>
          <w:szCs w:val="24"/>
          <w:lang w:eastAsia="zh-CN"/>
        </w:rPr>
        <w:t>年</w:t>
      </w:r>
      <w:r w:rsidRPr="004C6510">
        <w:rPr>
          <w:rFonts w:eastAsia="Times New Roman"/>
          <w:sz w:val="24"/>
          <w:szCs w:val="24"/>
          <w:lang w:eastAsia="zh-CN"/>
        </w:rPr>
        <w:t>11</w:t>
      </w:r>
      <w:r w:rsidRPr="004C6510">
        <w:rPr>
          <w:rFonts w:ascii="SimSun" w:eastAsia="SimSun" w:hAnsi="SimSun" w:cs="SimSun" w:hint="eastAsia"/>
          <w:sz w:val="24"/>
          <w:szCs w:val="24"/>
          <w:lang w:eastAsia="zh-CN"/>
        </w:rPr>
        <w:t>月</w:t>
      </w:r>
      <w:r w:rsidRPr="004C6510">
        <w:rPr>
          <w:rFonts w:eastAsia="Times New Roman"/>
          <w:sz w:val="24"/>
          <w:szCs w:val="24"/>
          <w:lang w:eastAsia="zh-CN"/>
        </w:rPr>
        <w:t>22</w:t>
      </w:r>
      <w:r w:rsidR="00EA4BF6">
        <w:rPr>
          <w:rFonts w:ascii="SimSun" w:eastAsia="SimSun" w:hAnsi="SimSun" w:cs="SimSun" w:hint="eastAsia"/>
          <w:sz w:val="24"/>
          <w:szCs w:val="24"/>
          <w:lang w:eastAsia="zh-CN"/>
        </w:rPr>
        <w:t>日</w:t>
      </w:r>
      <w:r w:rsidR="009E4EF5">
        <w:rPr>
          <w:rFonts w:ascii="SimSun" w:eastAsia="SimSun" w:hAnsi="SimSun" w:cs="SimSun" w:hint="eastAsia"/>
          <w:sz w:val="24"/>
          <w:szCs w:val="24"/>
          <w:lang w:eastAsia="zh-CN"/>
        </w:rPr>
        <w:t>会议的</w:t>
      </w:r>
      <w:r w:rsidRPr="004C6510">
        <w:rPr>
          <w:rFonts w:ascii="SimSun" w:eastAsia="SimSun" w:hAnsi="SimSun" w:cs="SimSun" w:hint="eastAsia"/>
          <w:sz w:val="24"/>
          <w:szCs w:val="24"/>
          <w:lang w:eastAsia="zh-CN"/>
        </w:rPr>
        <w:t>第</w:t>
      </w:r>
      <w:r>
        <w:rPr>
          <w:rFonts w:eastAsia="Times New Roman"/>
          <w:sz w:val="24"/>
          <w:szCs w:val="24"/>
          <w:lang w:eastAsia="zh-CN"/>
        </w:rPr>
        <w:t>4</w:t>
      </w:r>
      <w:r w:rsidR="00B45641">
        <w:rPr>
          <w:rFonts w:ascii="SimSun" w:eastAsia="SimSun" w:hAnsi="SimSun" w:cs="SimSun" w:hint="eastAsia"/>
          <w:sz w:val="24"/>
          <w:szCs w:val="24"/>
          <w:lang w:eastAsia="zh-CN"/>
        </w:rPr>
        <w:t>次全体会议</w:t>
      </w:r>
      <w:r w:rsidRPr="004C6510">
        <w:rPr>
          <w:rFonts w:ascii="SimSun" w:eastAsia="SimSun" w:hAnsi="SimSun" w:cs="SimSun" w:hint="eastAsia"/>
          <w:sz w:val="24"/>
          <w:szCs w:val="24"/>
          <w:lang w:eastAsia="zh-CN"/>
        </w:rPr>
        <w:t>上，缔约方大会通过了</w:t>
      </w:r>
      <w:r w:rsidR="00A434BF">
        <w:rPr>
          <w:rFonts w:ascii="SimSun" w:eastAsia="SimSun" w:hAnsi="SimSun" w:cs="SimSun" w:hint="eastAsia"/>
          <w:sz w:val="24"/>
          <w:szCs w:val="24"/>
          <w:lang w:eastAsia="zh-CN"/>
        </w:rPr>
        <w:t>决定草案</w:t>
      </w:r>
      <w:r w:rsidRPr="004C6510">
        <w:rPr>
          <w:sz w:val="24"/>
          <w:szCs w:val="24"/>
          <w:lang w:eastAsia="zh-CN"/>
        </w:rPr>
        <w:t>CBD/COP/14/L.3</w:t>
      </w:r>
      <w:r w:rsidRPr="004C6510">
        <w:rPr>
          <w:rFonts w:ascii="SimSun" w:eastAsia="SimSun" w:hAnsi="SimSun" w:cs="SimSun" w:hint="eastAsia"/>
          <w:sz w:val="24"/>
          <w:szCs w:val="24"/>
          <w:lang w:eastAsia="zh-CN"/>
        </w:rPr>
        <w:t>，成为第</w:t>
      </w:r>
      <w:r>
        <w:rPr>
          <w:color w:val="000000"/>
          <w:sz w:val="24"/>
          <w:szCs w:val="24"/>
          <w:lang w:eastAsia="zh-CN"/>
        </w:rPr>
        <w:t>14</w:t>
      </w:r>
      <w:r w:rsidRPr="004C6510">
        <w:rPr>
          <w:sz w:val="24"/>
          <w:szCs w:val="24"/>
          <w:lang w:eastAsia="zh-CN"/>
        </w:rPr>
        <w:t>/</w:t>
      </w:r>
      <w:r w:rsidR="00EA4DE9">
        <w:rPr>
          <w:sz w:val="24"/>
          <w:szCs w:val="24"/>
          <w:lang w:eastAsia="zh-CN"/>
        </w:rPr>
        <w:t>18</w:t>
      </w:r>
      <w:r w:rsidRPr="004C6510">
        <w:rPr>
          <w:rFonts w:ascii="SimSun" w:eastAsia="SimSun" w:hAnsi="SimSun" w:cs="SimSun" w:hint="eastAsia"/>
          <w:sz w:val="24"/>
          <w:szCs w:val="24"/>
          <w:lang w:eastAsia="zh-CN"/>
        </w:rPr>
        <w:t>号决定。</w:t>
      </w:r>
    </w:p>
    <w:p w:rsidR="008D76BF" w:rsidRPr="00F17640" w:rsidRDefault="008D76BF" w:rsidP="00F17640">
      <w:pPr>
        <w:pStyle w:val="Heading1"/>
        <w:spacing w:before="120" w:after="120"/>
        <w:ind w:firstLine="0"/>
        <w:rPr>
          <w:sz w:val="24"/>
          <w:szCs w:val="24"/>
          <w:lang w:eastAsia="zh-CN"/>
        </w:rPr>
      </w:pPr>
      <w:r w:rsidRPr="00F17640">
        <w:rPr>
          <w:rFonts w:hint="eastAsia"/>
          <w:sz w:val="24"/>
          <w:szCs w:val="24"/>
          <w:lang w:eastAsia="zh-CN"/>
        </w:rPr>
        <w:t>项目</w:t>
      </w:r>
      <w:r w:rsidRPr="00F17640">
        <w:rPr>
          <w:sz w:val="24"/>
          <w:szCs w:val="24"/>
          <w:lang w:eastAsia="zh-CN"/>
        </w:rPr>
        <w:t xml:space="preserve">9.    </w:t>
      </w:r>
      <w:r w:rsidR="00366699" w:rsidRPr="00F17640">
        <w:rPr>
          <w:sz w:val="24"/>
          <w:szCs w:val="24"/>
          <w:lang w:eastAsia="zh-CN"/>
        </w:rPr>
        <w:t xml:space="preserve">  </w:t>
      </w:r>
      <w:r w:rsidRPr="00F17640">
        <w:rPr>
          <w:rFonts w:hint="eastAsia"/>
          <w:sz w:val="24"/>
          <w:szCs w:val="24"/>
          <w:lang w:eastAsia="zh-CN"/>
        </w:rPr>
        <w:t>资源调动和财务机制</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5A6E95">
        <w:rPr>
          <w:rFonts w:eastAsia="KaiTi"/>
          <w:sz w:val="24"/>
          <w:szCs w:val="24"/>
          <w:lang w:eastAsia="zh-CN"/>
        </w:rPr>
        <w:t xml:space="preserve"> </w:t>
      </w:r>
      <w:r w:rsidRPr="00C51217">
        <w:rPr>
          <w:rFonts w:eastAsia="Times New Roman" w:hAnsi="SimSun"/>
          <w:sz w:val="24"/>
          <w:szCs w:val="24"/>
          <w:lang w:eastAsia="zh-CN"/>
        </w:rPr>
        <w:t>议程项目</w:t>
      </w:r>
      <w:r w:rsidRPr="00C51217">
        <w:rPr>
          <w:rFonts w:eastAsia="Times New Roman"/>
          <w:sz w:val="24"/>
          <w:szCs w:val="24"/>
          <w:lang w:eastAsia="zh-CN"/>
        </w:rPr>
        <w:t>9</w:t>
      </w:r>
      <w:r w:rsidR="00EA4DE9">
        <w:rPr>
          <w:rFonts w:eastAsia="Times New Roman" w:hAnsi="SimSun"/>
          <w:sz w:val="24"/>
          <w:szCs w:val="24"/>
          <w:lang w:eastAsia="zh-CN"/>
        </w:rPr>
        <w:t>分为两个分项目：</w:t>
      </w:r>
      <w:r w:rsidR="00EA4DE9">
        <w:rPr>
          <w:rFonts w:eastAsiaTheme="minorEastAsia" w:hAnsi="SimSun" w:hint="eastAsia"/>
          <w:sz w:val="24"/>
          <w:szCs w:val="24"/>
          <w:lang w:eastAsia="zh-CN"/>
        </w:rPr>
        <w:t>(</w:t>
      </w:r>
      <w:r w:rsidRPr="00C51217">
        <w:rPr>
          <w:rFonts w:eastAsia="Times New Roman" w:hAnsi="SimSun"/>
          <w:sz w:val="24"/>
          <w:szCs w:val="24"/>
          <w:lang w:eastAsia="zh-CN"/>
        </w:rPr>
        <w:t>一</w:t>
      </w:r>
      <w:r w:rsidR="00EA4DE9">
        <w:rPr>
          <w:rFonts w:eastAsiaTheme="minorEastAsia" w:hAnsi="SimSun" w:hint="eastAsia"/>
          <w:sz w:val="24"/>
          <w:szCs w:val="24"/>
          <w:lang w:eastAsia="zh-CN"/>
        </w:rPr>
        <w:t>)</w:t>
      </w:r>
      <w:r w:rsidR="00EA4DE9">
        <w:rPr>
          <w:rFonts w:eastAsiaTheme="minorEastAsia" w:hAnsi="SimSun"/>
          <w:sz w:val="24"/>
          <w:szCs w:val="24"/>
          <w:lang w:eastAsia="zh-CN"/>
        </w:rPr>
        <w:t xml:space="preserve"> </w:t>
      </w:r>
      <w:r w:rsidRPr="00C51217">
        <w:rPr>
          <w:rFonts w:eastAsia="Times New Roman" w:hAnsi="SimSun"/>
          <w:sz w:val="24"/>
          <w:szCs w:val="24"/>
          <w:lang w:eastAsia="zh-CN"/>
        </w:rPr>
        <w:t>资源调动、生物多样性</w:t>
      </w:r>
      <w:r w:rsidR="00EA4DE9">
        <w:rPr>
          <w:rFonts w:eastAsia="Times New Roman" w:hAnsi="SimSun"/>
          <w:sz w:val="24"/>
          <w:szCs w:val="24"/>
          <w:lang w:eastAsia="zh-CN"/>
        </w:rPr>
        <w:t>融资机制的保障措施以及关于土著人民和地方社区的贡献的方法指导；(</w:t>
      </w:r>
      <w:r w:rsidRPr="00C51217">
        <w:rPr>
          <w:rFonts w:eastAsia="Times New Roman" w:hAnsi="SimSun"/>
          <w:sz w:val="24"/>
          <w:szCs w:val="24"/>
          <w:lang w:eastAsia="zh-CN"/>
        </w:rPr>
        <w:t>二</w:t>
      </w:r>
      <w:r w:rsidR="00EA4DE9">
        <w:rPr>
          <w:rFonts w:eastAsiaTheme="minorEastAsia" w:hAnsi="SimSun" w:hint="eastAsia"/>
          <w:sz w:val="24"/>
          <w:szCs w:val="24"/>
          <w:lang w:eastAsia="zh-CN"/>
        </w:rPr>
        <w:t>)</w:t>
      </w:r>
      <w:r w:rsidR="00EA4DE9">
        <w:rPr>
          <w:rFonts w:eastAsiaTheme="minorEastAsia" w:hAnsi="SimSun"/>
          <w:sz w:val="24"/>
          <w:szCs w:val="24"/>
          <w:lang w:eastAsia="zh-CN"/>
        </w:rPr>
        <w:t xml:space="preserve"> </w:t>
      </w:r>
      <w:r w:rsidRPr="00C51217">
        <w:rPr>
          <w:rFonts w:eastAsia="Times New Roman" w:hAnsi="SimSun"/>
          <w:sz w:val="24"/>
          <w:szCs w:val="24"/>
          <w:lang w:eastAsia="zh-CN"/>
        </w:rPr>
        <w:t>财务机制。</w:t>
      </w:r>
    </w:p>
    <w:p w:rsidR="008D76BF" w:rsidRPr="00C51217" w:rsidRDefault="008D76BF" w:rsidP="00EA4DE9">
      <w:pPr>
        <w:pStyle w:val="Para1"/>
        <w:tabs>
          <w:tab w:val="clear" w:pos="360"/>
          <w:tab w:val="left" w:pos="720"/>
        </w:tabs>
        <w:snapToGrid w:val="0"/>
        <w:spacing w:before="160" w:after="160"/>
        <w:ind w:firstLine="0"/>
        <w:jc w:val="center"/>
        <w:rPr>
          <w:rFonts w:eastAsia="KaiTi"/>
          <w:sz w:val="24"/>
          <w:szCs w:val="24"/>
          <w:lang w:eastAsia="zh-CN"/>
        </w:rPr>
      </w:pPr>
      <w:r w:rsidRPr="00C51217">
        <w:rPr>
          <w:rFonts w:ascii="SimSun" w:eastAsia="KaiTi" w:hAnsi="SimSun" w:cs="SimSun" w:hint="eastAsia"/>
          <w:sz w:val="24"/>
          <w:szCs w:val="24"/>
          <w:lang w:eastAsia="zh-CN"/>
        </w:rPr>
        <w:t>资源调动；生物多样性融资机制的保障措施；关于土著人民和地方社区的贡献的方法指导</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C51217">
        <w:rPr>
          <w:rFonts w:eastAsia="Times New Roman" w:hAnsi="SimSun"/>
          <w:sz w:val="24"/>
          <w:szCs w:val="24"/>
          <w:lang w:eastAsia="zh-CN"/>
        </w:rPr>
        <w:t>第一工作组在</w:t>
      </w:r>
      <w:smartTag w:uri="urn:schemas-microsoft-com:office:smarttags" w:element="chsdate">
        <w:smartTagPr>
          <w:attr w:name="Year" w:val="2018"/>
          <w:attr w:name="Month" w:val="11"/>
          <w:attr w:name="Day" w:val="25"/>
          <w:attr w:name="IsLunarDate" w:val="False"/>
          <w:attr w:name="IsROCDate" w:val="False"/>
        </w:smartTagPr>
        <w:r w:rsidRPr="00C51217">
          <w:rPr>
            <w:rFonts w:eastAsia="Times New Roman"/>
            <w:sz w:val="24"/>
            <w:szCs w:val="24"/>
            <w:lang w:eastAsia="zh-CN"/>
          </w:rPr>
          <w:t>2018</w:t>
        </w:r>
        <w:r w:rsidRPr="00C51217">
          <w:rPr>
            <w:rFonts w:eastAsia="Times New Roman" w:hAnsi="SimSun"/>
            <w:sz w:val="24"/>
            <w:szCs w:val="24"/>
            <w:lang w:eastAsia="zh-CN"/>
          </w:rPr>
          <w:t>年</w:t>
        </w:r>
        <w:r w:rsidRPr="00C51217">
          <w:rPr>
            <w:rFonts w:eastAsia="Times New Roman"/>
            <w:sz w:val="24"/>
            <w:szCs w:val="24"/>
            <w:lang w:eastAsia="zh-CN"/>
          </w:rPr>
          <w:t>11</w:t>
        </w:r>
        <w:r w:rsidRPr="00C51217">
          <w:rPr>
            <w:rFonts w:eastAsia="Times New Roman" w:hAnsi="SimSun"/>
            <w:sz w:val="24"/>
            <w:szCs w:val="24"/>
            <w:lang w:eastAsia="zh-CN"/>
          </w:rPr>
          <w:t>月</w:t>
        </w:r>
        <w:r w:rsidRPr="00C51217">
          <w:rPr>
            <w:rFonts w:eastAsia="Times New Roman"/>
            <w:sz w:val="24"/>
            <w:szCs w:val="24"/>
            <w:lang w:eastAsia="zh-CN"/>
          </w:rPr>
          <w:t>19</w:t>
        </w:r>
        <w:r w:rsidRPr="00C51217">
          <w:rPr>
            <w:rFonts w:eastAsia="Times New Roman" w:hAnsi="SimSun"/>
            <w:sz w:val="24"/>
            <w:szCs w:val="24"/>
            <w:lang w:eastAsia="zh-CN"/>
          </w:rPr>
          <w:t>日</w:t>
        </w:r>
        <w:r w:rsidR="009E4EF5">
          <w:rPr>
            <w:rFonts w:eastAsiaTheme="minorEastAsia" w:hAnsi="SimSun" w:hint="eastAsia"/>
            <w:sz w:val="24"/>
            <w:szCs w:val="24"/>
            <w:lang w:eastAsia="zh-CN"/>
          </w:rPr>
          <w:t>其</w:t>
        </w:r>
      </w:smartTag>
      <w:r w:rsidRPr="00C51217">
        <w:rPr>
          <w:rFonts w:eastAsia="Times New Roman" w:hAnsi="SimSun"/>
          <w:sz w:val="24"/>
          <w:szCs w:val="24"/>
          <w:lang w:eastAsia="zh-CN"/>
        </w:rPr>
        <w:t>第</w:t>
      </w:r>
      <w:r w:rsidRPr="00C51217">
        <w:rPr>
          <w:rFonts w:eastAsia="Times New Roman"/>
          <w:sz w:val="24"/>
          <w:szCs w:val="24"/>
          <w:lang w:eastAsia="zh-CN"/>
        </w:rPr>
        <w:t>3</w:t>
      </w:r>
      <w:r w:rsidRPr="00C51217">
        <w:rPr>
          <w:rFonts w:eastAsia="Times New Roman" w:hAnsi="SimSun"/>
          <w:sz w:val="24"/>
          <w:szCs w:val="24"/>
          <w:lang w:eastAsia="zh-CN"/>
        </w:rPr>
        <w:t>场会议上审议了议程项目</w:t>
      </w:r>
      <w:r w:rsidRPr="00C51217">
        <w:rPr>
          <w:rFonts w:eastAsia="Times New Roman"/>
          <w:sz w:val="24"/>
          <w:szCs w:val="24"/>
          <w:lang w:eastAsia="zh-CN"/>
        </w:rPr>
        <w:t>9</w:t>
      </w:r>
      <w:r w:rsidRPr="00C51217">
        <w:rPr>
          <w:rFonts w:eastAsia="Times New Roman" w:hAnsi="SimSun"/>
          <w:sz w:val="24"/>
          <w:szCs w:val="24"/>
          <w:lang w:eastAsia="zh-CN"/>
        </w:rPr>
        <w:t>的第一分项目</w:t>
      </w:r>
      <w:r w:rsidRPr="00C51217">
        <w:rPr>
          <w:rFonts w:eastAsia="Times New Roman"/>
          <w:sz w:val="24"/>
          <w:szCs w:val="24"/>
          <w:lang w:eastAsia="zh-CN"/>
        </w:rPr>
        <w:t xml:space="preserve"> </w:t>
      </w:r>
      <w:r w:rsidRPr="00C51217">
        <w:rPr>
          <w:rFonts w:eastAsia="Times New Roman" w:hAnsi="SimSun"/>
          <w:sz w:val="24"/>
          <w:szCs w:val="24"/>
          <w:lang w:eastAsia="zh-CN"/>
        </w:rPr>
        <w:t>，该分项目有三</w:t>
      </w:r>
      <w:r w:rsidR="004375B9">
        <w:rPr>
          <w:rFonts w:ascii="SimSun" w:eastAsia="SimSun" w:hAnsi="SimSun" w:cs="SimSun" w:hint="eastAsia"/>
          <w:sz w:val="24"/>
          <w:szCs w:val="24"/>
          <w:lang w:eastAsia="zh-CN"/>
        </w:rPr>
        <w:t>个议题</w:t>
      </w:r>
      <w:r w:rsidRPr="00C51217">
        <w:rPr>
          <w:rFonts w:eastAsia="Times New Roman" w:hAnsi="SimSun"/>
          <w:sz w:val="24"/>
          <w:szCs w:val="24"/>
          <w:lang w:eastAsia="zh-CN"/>
        </w:rPr>
        <w:t>。</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C51217">
        <w:rPr>
          <w:rFonts w:eastAsia="Times New Roman" w:hAnsi="SimSun"/>
          <w:sz w:val="24"/>
          <w:szCs w:val="24"/>
          <w:lang w:eastAsia="zh-CN"/>
        </w:rPr>
        <w:t>在审议资源调动的分项目时，工作组收到了决定草案汇编</w:t>
      </w:r>
      <w:r w:rsidR="00B6762D">
        <w:rPr>
          <w:rFonts w:eastAsiaTheme="minorEastAsia" w:hAnsi="SimSun" w:hint="eastAsia"/>
          <w:sz w:val="24"/>
          <w:szCs w:val="24"/>
          <w:lang w:eastAsia="zh-CN"/>
        </w:rPr>
        <w:t>（</w:t>
      </w:r>
      <w:r w:rsidRPr="00C51217">
        <w:rPr>
          <w:rFonts w:eastAsia="Times New Roman"/>
          <w:sz w:val="24"/>
          <w:szCs w:val="24"/>
          <w:lang w:eastAsia="zh-CN"/>
        </w:rPr>
        <w:t>CBD/COP/14/2</w:t>
      </w:r>
      <w:r w:rsidR="00B6762D">
        <w:rPr>
          <w:rFonts w:eastAsiaTheme="minorEastAsia" w:hint="eastAsia"/>
          <w:sz w:val="24"/>
          <w:szCs w:val="24"/>
          <w:lang w:eastAsia="zh-CN"/>
        </w:rPr>
        <w:t>）</w:t>
      </w:r>
      <w:r w:rsidR="00B6762D">
        <w:rPr>
          <w:rFonts w:eastAsiaTheme="minorEastAsia"/>
          <w:sz w:val="24"/>
          <w:szCs w:val="24"/>
          <w:lang w:eastAsia="zh-CN"/>
        </w:rPr>
        <w:t>中所载</w:t>
      </w:r>
      <w:r w:rsidRPr="00C51217">
        <w:rPr>
          <w:rFonts w:eastAsia="Times New Roman" w:hAnsi="SimSun"/>
          <w:sz w:val="24"/>
          <w:szCs w:val="24"/>
          <w:lang w:eastAsia="zh-CN"/>
        </w:rPr>
        <w:t>的一份决定草案。该决定草案根据第</w:t>
      </w:r>
      <w:r w:rsidRPr="00C51217">
        <w:rPr>
          <w:rFonts w:eastAsia="Times New Roman"/>
          <w:sz w:val="24"/>
          <w:szCs w:val="24"/>
          <w:lang w:eastAsia="zh-CN"/>
        </w:rPr>
        <w:t>SBI-2/6</w:t>
      </w:r>
      <w:r w:rsidRPr="00C51217">
        <w:rPr>
          <w:rFonts w:eastAsia="Times New Roman" w:hAnsi="SimSun"/>
          <w:sz w:val="24"/>
          <w:szCs w:val="24"/>
          <w:lang w:eastAsia="zh-CN"/>
        </w:rPr>
        <w:t>号建议编制，其中考虑到了执行秘书编制的最新信息和分析</w:t>
      </w:r>
      <w:r w:rsidR="00733957">
        <w:rPr>
          <w:rFonts w:eastAsiaTheme="minorEastAsia" w:hint="eastAsia"/>
          <w:sz w:val="24"/>
          <w:szCs w:val="24"/>
          <w:lang w:eastAsia="zh-CN"/>
        </w:rPr>
        <w:t>（</w:t>
      </w:r>
      <w:r w:rsidRPr="00C51217">
        <w:rPr>
          <w:rFonts w:eastAsia="Times New Roman"/>
          <w:sz w:val="24"/>
          <w:szCs w:val="24"/>
          <w:lang w:eastAsia="zh-CN"/>
        </w:rPr>
        <w:t>CBD/COP/14/6</w:t>
      </w:r>
      <w:r w:rsidR="00733957">
        <w:rPr>
          <w:rFonts w:eastAsiaTheme="minorEastAsia" w:hint="eastAsia"/>
          <w:sz w:val="24"/>
          <w:szCs w:val="24"/>
          <w:lang w:eastAsia="zh-CN"/>
        </w:rPr>
        <w:t>）</w:t>
      </w:r>
      <w:r w:rsidRPr="00C51217">
        <w:rPr>
          <w:rFonts w:eastAsia="Times New Roman" w:hAnsi="SimSun"/>
          <w:sz w:val="24"/>
          <w:szCs w:val="24"/>
          <w:lang w:eastAsia="zh-CN"/>
        </w:rPr>
        <w:t>。关于资源调动方面的问题，秘书处代表说，自执行秘书编制的分析公布以来，加拿大、哈萨克斯坦和瑞士通过截至</w:t>
      </w:r>
      <w:r w:rsidRPr="00C51217">
        <w:rPr>
          <w:rFonts w:eastAsia="Times New Roman"/>
          <w:sz w:val="24"/>
          <w:szCs w:val="24"/>
          <w:lang w:eastAsia="zh-CN"/>
        </w:rPr>
        <w:t>2015</w:t>
      </w:r>
      <w:r w:rsidRPr="00C51217">
        <w:rPr>
          <w:rFonts w:eastAsia="Times New Roman" w:hAnsi="SimSun"/>
          <w:sz w:val="24"/>
          <w:szCs w:val="24"/>
          <w:lang w:eastAsia="zh-CN"/>
        </w:rPr>
        <w:t>年的第一轮报告的财务报告框架，提供了最新信息。此外，泰国在第一轮报告中提供了截至今年年底的信息。芬兰、挪威和瑞士也通过报告截止</w:t>
      </w:r>
      <w:r w:rsidRPr="00C51217">
        <w:rPr>
          <w:rFonts w:eastAsia="Times New Roman"/>
          <w:sz w:val="24"/>
          <w:szCs w:val="24"/>
          <w:lang w:eastAsia="zh-CN"/>
        </w:rPr>
        <w:t>2020</w:t>
      </w:r>
      <w:r w:rsidRPr="00C51217">
        <w:rPr>
          <w:rFonts w:eastAsia="Times New Roman" w:hAnsi="SimSun"/>
          <w:sz w:val="24"/>
          <w:szCs w:val="24"/>
          <w:lang w:eastAsia="zh-CN"/>
        </w:rPr>
        <w:t>年进展情况的第二轮报告的财务报告框架报告了信息。</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C51217">
        <w:rPr>
          <w:rFonts w:eastAsia="Times New Roman" w:hAnsi="SimSun"/>
          <w:sz w:val="24"/>
          <w:szCs w:val="24"/>
          <w:lang w:eastAsia="zh-CN"/>
        </w:rPr>
        <w:t>在审议生物多样性融资机制的保障措施的分项目时，工作组</w:t>
      </w:r>
      <w:r w:rsidR="00B6762D">
        <w:rPr>
          <w:rFonts w:eastAsiaTheme="minorEastAsia" w:hAnsi="SimSun" w:hint="eastAsia"/>
          <w:sz w:val="24"/>
          <w:szCs w:val="24"/>
          <w:lang w:eastAsia="zh-CN"/>
        </w:rPr>
        <w:t>收到了</w:t>
      </w:r>
      <w:r w:rsidRPr="00C51217">
        <w:rPr>
          <w:rFonts w:eastAsia="Times New Roman" w:hAnsi="SimSun"/>
          <w:sz w:val="24"/>
          <w:szCs w:val="24"/>
          <w:lang w:eastAsia="zh-CN"/>
        </w:rPr>
        <w:t>决定草案汇编（</w:t>
      </w:r>
      <w:r w:rsidRPr="00C51217">
        <w:rPr>
          <w:rFonts w:eastAsia="Times New Roman"/>
          <w:sz w:val="24"/>
          <w:szCs w:val="24"/>
          <w:lang w:eastAsia="zh-CN"/>
        </w:rPr>
        <w:t>CBD/COP/14/2</w:t>
      </w:r>
      <w:r w:rsidRPr="00C51217">
        <w:rPr>
          <w:rFonts w:eastAsia="Times New Roman" w:hAnsi="SimSun"/>
          <w:sz w:val="24"/>
          <w:szCs w:val="24"/>
          <w:lang w:eastAsia="zh-CN"/>
        </w:rPr>
        <w:t>）</w:t>
      </w:r>
      <w:r w:rsidR="00B6762D">
        <w:rPr>
          <w:rFonts w:eastAsiaTheme="minorEastAsia" w:hAnsi="SimSun" w:hint="eastAsia"/>
          <w:sz w:val="24"/>
          <w:szCs w:val="24"/>
          <w:lang w:eastAsia="zh-CN"/>
        </w:rPr>
        <w:t>中</w:t>
      </w:r>
      <w:r w:rsidR="00B6762D">
        <w:rPr>
          <w:rFonts w:eastAsiaTheme="minorEastAsia" w:hAnsi="SimSun"/>
          <w:sz w:val="24"/>
          <w:szCs w:val="24"/>
          <w:lang w:eastAsia="zh-CN"/>
        </w:rPr>
        <w:t>所载</w:t>
      </w:r>
      <w:r w:rsidR="00733957">
        <w:rPr>
          <w:rFonts w:eastAsiaTheme="minorEastAsia" w:hAnsi="SimSun" w:hint="eastAsia"/>
          <w:sz w:val="24"/>
          <w:szCs w:val="24"/>
          <w:lang w:eastAsia="zh-CN"/>
        </w:rPr>
        <w:t>的</w:t>
      </w:r>
      <w:r w:rsidRPr="00C51217">
        <w:rPr>
          <w:rFonts w:eastAsia="Times New Roman" w:hAnsi="SimSun"/>
          <w:sz w:val="24"/>
          <w:szCs w:val="24"/>
          <w:lang w:eastAsia="zh-CN"/>
        </w:rPr>
        <w:t>根据第</w:t>
      </w:r>
      <w:r w:rsidRPr="00C51217">
        <w:rPr>
          <w:rFonts w:eastAsia="Times New Roman"/>
          <w:sz w:val="24"/>
          <w:szCs w:val="24"/>
          <w:lang w:eastAsia="zh-CN"/>
        </w:rPr>
        <w:t>SBI-2/17</w:t>
      </w:r>
      <w:r w:rsidRPr="00C51217">
        <w:rPr>
          <w:rFonts w:eastAsia="Times New Roman" w:hAnsi="SimSun"/>
          <w:sz w:val="24"/>
          <w:szCs w:val="24"/>
          <w:lang w:eastAsia="zh-CN"/>
        </w:rPr>
        <w:t>号建议编制的一份决定草案和关于生物多样性公约的保障措施的自愿准则：执行路径的一份信息文件（</w:t>
      </w:r>
      <w:r w:rsidRPr="00C51217">
        <w:rPr>
          <w:rFonts w:eastAsia="Times New Roman"/>
          <w:sz w:val="24"/>
          <w:szCs w:val="24"/>
          <w:lang w:eastAsia="zh-CN"/>
        </w:rPr>
        <w:t>CBD/COP/14/INF/37</w:t>
      </w:r>
      <w:r w:rsidRPr="00C51217">
        <w:rPr>
          <w:rFonts w:eastAsia="Times New Roman" w:hAnsi="SimSun"/>
          <w:sz w:val="24"/>
          <w:szCs w:val="24"/>
          <w:lang w:eastAsia="zh-CN"/>
        </w:rPr>
        <w:t>）。</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C51217">
        <w:rPr>
          <w:rFonts w:eastAsia="Times New Roman" w:hAnsi="SimSun"/>
          <w:sz w:val="24"/>
          <w:szCs w:val="24"/>
          <w:lang w:eastAsia="zh-CN"/>
        </w:rPr>
        <w:t>在审议关于土著人民和地方社区贡献的方法指导的分项目</w:t>
      </w:r>
      <w:r w:rsidR="00B6762D">
        <w:rPr>
          <w:rFonts w:eastAsiaTheme="minorEastAsia" w:hAnsi="SimSun" w:hint="eastAsia"/>
          <w:sz w:val="24"/>
          <w:szCs w:val="24"/>
          <w:lang w:eastAsia="zh-CN"/>
        </w:rPr>
        <w:t>问题</w:t>
      </w:r>
      <w:r w:rsidRPr="00C51217">
        <w:rPr>
          <w:rFonts w:eastAsia="Times New Roman" w:hAnsi="SimSun"/>
          <w:sz w:val="24"/>
          <w:szCs w:val="24"/>
          <w:lang w:eastAsia="zh-CN"/>
        </w:rPr>
        <w:t>时，工作组收到了决定草案汇编（</w:t>
      </w:r>
      <w:r w:rsidRPr="00C51217">
        <w:rPr>
          <w:rFonts w:eastAsia="Times New Roman"/>
          <w:sz w:val="24"/>
          <w:szCs w:val="24"/>
          <w:lang w:eastAsia="zh-CN"/>
        </w:rPr>
        <w:t>CBD/COP/14/2</w:t>
      </w:r>
      <w:r w:rsidRPr="00C51217">
        <w:rPr>
          <w:rFonts w:eastAsia="Times New Roman" w:hAnsi="SimSun"/>
          <w:sz w:val="24"/>
          <w:szCs w:val="24"/>
          <w:lang w:eastAsia="zh-CN"/>
        </w:rPr>
        <w:t>）</w:t>
      </w:r>
      <w:r w:rsidR="00B6762D">
        <w:rPr>
          <w:rFonts w:eastAsiaTheme="minorEastAsia" w:hAnsi="SimSun" w:hint="eastAsia"/>
          <w:sz w:val="24"/>
          <w:szCs w:val="24"/>
          <w:lang w:eastAsia="zh-CN"/>
        </w:rPr>
        <w:t>中</w:t>
      </w:r>
      <w:r w:rsidR="00B6762D">
        <w:rPr>
          <w:rFonts w:eastAsiaTheme="minorEastAsia" w:hAnsi="SimSun"/>
          <w:sz w:val="24"/>
          <w:szCs w:val="24"/>
          <w:lang w:eastAsia="zh-CN"/>
        </w:rPr>
        <w:t>所载</w:t>
      </w:r>
      <w:r w:rsidRPr="00C51217">
        <w:rPr>
          <w:rFonts w:eastAsia="Times New Roman" w:hAnsi="SimSun"/>
          <w:sz w:val="24"/>
          <w:szCs w:val="24"/>
          <w:lang w:eastAsia="zh-CN"/>
        </w:rPr>
        <w:t>根据第</w:t>
      </w:r>
      <w:r w:rsidRPr="00C51217">
        <w:rPr>
          <w:rFonts w:eastAsia="Times New Roman"/>
          <w:sz w:val="24"/>
          <w:szCs w:val="24"/>
          <w:lang w:eastAsia="zh-CN"/>
        </w:rPr>
        <w:t>SBI-2/7</w:t>
      </w:r>
      <w:r w:rsidRPr="00C51217">
        <w:rPr>
          <w:rFonts w:eastAsia="Times New Roman" w:hAnsi="SimSun"/>
          <w:sz w:val="24"/>
          <w:szCs w:val="24"/>
          <w:lang w:eastAsia="zh-CN"/>
        </w:rPr>
        <w:t>号建议编制的一份决定草案。</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C51217">
        <w:rPr>
          <w:rFonts w:eastAsia="Times New Roman" w:hAnsi="SimSun"/>
          <w:sz w:val="24"/>
          <w:szCs w:val="24"/>
          <w:lang w:eastAsia="zh-CN"/>
        </w:rPr>
        <w:t>下列国家的代表</w:t>
      </w:r>
      <w:r w:rsidR="006952B0">
        <w:rPr>
          <w:rFonts w:ascii="SimSun" w:eastAsia="SimSun" w:hAnsi="SimSun" w:cs="SimSun" w:hint="eastAsia"/>
          <w:sz w:val="24"/>
          <w:szCs w:val="24"/>
          <w:lang w:eastAsia="zh-CN"/>
        </w:rPr>
        <w:t>作了发言</w:t>
      </w:r>
      <w:r w:rsidRPr="00C51217">
        <w:rPr>
          <w:rFonts w:eastAsia="Times New Roman" w:hAnsi="SimSun"/>
          <w:sz w:val="24"/>
          <w:szCs w:val="24"/>
          <w:lang w:eastAsia="zh-CN"/>
        </w:rPr>
        <w:t>：阿尔巴尼亚、安提瓜和巴布达、阿根廷、孟加拉国、多民族玻利维亚国、加拿大、哥伦比亚、中国、厄瓜多尔、埃及、欧洲联盟及其</w:t>
      </w:r>
      <w:r w:rsidRPr="00C51217">
        <w:rPr>
          <w:rFonts w:eastAsia="Times New Roman"/>
          <w:sz w:val="24"/>
          <w:szCs w:val="24"/>
          <w:lang w:eastAsia="zh-CN"/>
        </w:rPr>
        <w:t>28</w:t>
      </w:r>
      <w:r w:rsidRPr="00C51217">
        <w:rPr>
          <w:rFonts w:eastAsia="Times New Roman" w:hAnsi="SimSun"/>
          <w:sz w:val="24"/>
          <w:szCs w:val="24"/>
          <w:lang w:eastAsia="zh-CN"/>
        </w:rPr>
        <w:t>个成员国、格鲁吉亚（同时代表波斯尼亚和黑塞哥维那、塞尔维亚和乌克兰）、危地马拉、日本、约旦、印度、印度尼西亚、伊朗伊斯兰共和国、肯尼亚、基里巴斯（同时代表出席会议的太平洋小岛屿发展中国家）、墨西哥、摩洛哥、挪威、尼泊尔、塞舌尔、南非、巴勒斯坦国、瑞士、泰国和乌干达（代表非洲集团）。</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C51217">
        <w:rPr>
          <w:rFonts w:eastAsia="Times New Roman" w:hAnsi="SimSun"/>
          <w:sz w:val="24"/>
          <w:szCs w:val="24"/>
          <w:lang w:eastAsia="zh-CN"/>
        </w:rPr>
        <w:t>联合国开发计划署的代表也</w:t>
      </w:r>
      <w:r w:rsidR="006952B0">
        <w:rPr>
          <w:rFonts w:ascii="SimSun" w:eastAsia="SimSun" w:hAnsi="SimSun" w:cs="SimSun" w:hint="eastAsia"/>
          <w:sz w:val="24"/>
          <w:szCs w:val="24"/>
          <w:lang w:eastAsia="zh-CN"/>
        </w:rPr>
        <w:t>作了发言</w:t>
      </w:r>
      <w:r w:rsidRPr="00C51217">
        <w:rPr>
          <w:rFonts w:eastAsia="Times New Roman" w:hAnsi="SimSun"/>
          <w:sz w:val="24"/>
          <w:szCs w:val="24"/>
          <w:lang w:eastAsia="zh-CN"/>
        </w:rPr>
        <w:t>。</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C51217">
        <w:rPr>
          <w:rFonts w:eastAsia="Times New Roman" w:hAnsi="SimSun"/>
          <w:sz w:val="24"/>
          <w:szCs w:val="24"/>
          <w:lang w:eastAsia="zh-CN"/>
        </w:rPr>
        <w:t>全球森林联盟（也代表土著和社区保护区联盟、国际地球之友、</w:t>
      </w:r>
      <w:r w:rsidRPr="00C51217">
        <w:rPr>
          <w:rFonts w:eastAsia="Times New Roman"/>
          <w:sz w:val="24"/>
          <w:szCs w:val="24"/>
          <w:lang w:eastAsia="zh-CN"/>
        </w:rPr>
        <w:t xml:space="preserve"> </w:t>
      </w:r>
      <w:r w:rsidRPr="00C51217">
        <w:rPr>
          <w:rFonts w:eastAsia="Times New Roman" w:hAnsi="SimSun"/>
          <w:sz w:val="24"/>
          <w:szCs w:val="24"/>
          <w:lang w:eastAsia="zh-CN"/>
        </w:rPr>
        <w:t>欧洲生态行动小组、自然正义和</w:t>
      </w:r>
      <w:r w:rsidRPr="00C51217">
        <w:rPr>
          <w:rFonts w:eastAsia="Times New Roman"/>
          <w:sz w:val="24"/>
          <w:szCs w:val="24"/>
          <w:lang w:eastAsia="zh-CN"/>
        </w:rPr>
        <w:t>EcoNexus</w:t>
      </w:r>
      <w:r w:rsidRPr="00C51217">
        <w:rPr>
          <w:rFonts w:eastAsia="Times New Roman" w:hAnsi="SimSun"/>
          <w:sz w:val="24"/>
          <w:szCs w:val="24"/>
          <w:lang w:eastAsia="zh-CN"/>
        </w:rPr>
        <w:t>组织）、全球青年生物多样性网络和生物多样性问题国际土著论坛的代表做了进一步的发言。</w:t>
      </w:r>
    </w:p>
    <w:p w:rsidR="008D76BF" w:rsidRPr="000E4306" w:rsidRDefault="008D76BF" w:rsidP="00750ECD">
      <w:pPr>
        <w:pStyle w:val="Para1"/>
        <w:numPr>
          <w:ilvl w:val="0"/>
          <w:numId w:val="9"/>
        </w:numPr>
        <w:tabs>
          <w:tab w:val="clear" w:pos="360"/>
          <w:tab w:val="left" w:pos="720"/>
        </w:tabs>
        <w:ind w:firstLine="0"/>
        <w:rPr>
          <w:rFonts w:eastAsia="Times New Roman"/>
          <w:sz w:val="24"/>
          <w:szCs w:val="24"/>
          <w:lang w:eastAsia="zh-CN"/>
        </w:rPr>
      </w:pPr>
      <w:r w:rsidRPr="00C51217">
        <w:rPr>
          <w:rFonts w:eastAsia="Times New Roman" w:hAnsi="SimSun"/>
          <w:sz w:val="24"/>
          <w:szCs w:val="24"/>
          <w:lang w:eastAsia="zh-CN"/>
        </w:rPr>
        <w:t>经讨论后，主席指出，他将根据口头表达和书面提出的意见，为每一个分项目编制一份决定草案。</w:t>
      </w:r>
    </w:p>
    <w:p w:rsidR="008D76BF" w:rsidRPr="000E4306" w:rsidRDefault="008D76BF" w:rsidP="009804F1">
      <w:pPr>
        <w:pStyle w:val="Para1"/>
        <w:tabs>
          <w:tab w:val="clear" w:pos="360"/>
          <w:tab w:val="left" w:pos="720"/>
        </w:tabs>
        <w:snapToGrid w:val="0"/>
        <w:ind w:firstLine="0"/>
        <w:jc w:val="center"/>
        <w:rPr>
          <w:rFonts w:ascii="SimSun" w:eastAsia="KaiTi" w:hAnsi="SimSun" w:cs="SimSun"/>
          <w:sz w:val="24"/>
          <w:szCs w:val="24"/>
          <w:lang w:eastAsia="zh-CN"/>
        </w:rPr>
      </w:pPr>
      <w:r w:rsidRPr="000E4306">
        <w:rPr>
          <w:rFonts w:ascii="SimSun" w:eastAsia="KaiTi" w:hAnsi="SimSun" w:cs="SimSun" w:hint="eastAsia"/>
          <w:sz w:val="24"/>
          <w:szCs w:val="24"/>
          <w:lang w:eastAsia="zh-CN"/>
        </w:rPr>
        <w:lastRenderedPageBreak/>
        <w:t>资源调动</w:t>
      </w:r>
    </w:p>
    <w:p w:rsidR="008D76BF" w:rsidRPr="00C51217" w:rsidRDefault="006B2851" w:rsidP="00750ECD">
      <w:pPr>
        <w:pStyle w:val="Para1"/>
        <w:numPr>
          <w:ilvl w:val="0"/>
          <w:numId w:val="9"/>
        </w:numPr>
        <w:tabs>
          <w:tab w:val="clear" w:pos="360"/>
          <w:tab w:val="left" w:pos="720"/>
        </w:tabs>
        <w:ind w:firstLine="0"/>
        <w:rPr>
          <w:rFonts w:eastAsia="Times New Roman"/>
          <w:sz w:val="24"/>
          <w:szCs w:val="24"/>
          <w:lang w:eastAsia="zh-CN"/>
        </w:rPr>
      </w:pPr>
      <w:r w:rsidRPr="00C51217">
        <w:rPr>
          <w:rFonts w:eastAsia="Times New Roman" w:hAnsi="SimSun"/>
          <w:sz w:val="24"/>
          <w:szCs w:val="24"/>
          <w:lang w:eastAsia="zh-CN"/>
        </w:rPr>
        <w:t>第一工作组</w:t>
      </w:r>
      <w:r w:rsidR="008D76BF" w:rsidRPr="00C51217">
        <w:rPr>
          <w:rFonts w:eastAsia="Times New Roman" w:hAnsi="SimSun"/>
          <w:sz w:val="24"/>
          <w:szCs w:val="24"/>
          <w:lang w:eastAsia="zh-CN"/>
        </w:rPr>
        <w:t>在</w:t>
      </w:r>
      <w:smartTag w:uri="urn:schemas-microsoft-com:office:smarttags" w:element="chsdate">
        <w:smartTagPr>
          <w:attr w:name="Year" w:val="2018"/>
          <w:attr w:name="Month" w:val="11"/>
          <w:attr w:name="Day" w:val="25"/>
          <w:attr w:name="IsLunarDate" w:val="False"/>
          <w:attr w:name="IsROCDate" w:val="False"/>
        </w:smartTagPr>
        <w:r w:rsidR="008D76BF" w:rsidRPr="00C51217">
          <w:rPr>
            <w:rFonts w:eastAsia="Times New Roman"/>
            <w:sz w:val="24"/>
            <w:szCs w:val="24"/>
            <w:lang w:eastAsia="zh-CN"/>
          </w:rPr>
          <w:t>2018</w:t>
        </w:r>
        <w:r w:rsidR="008D76BF" w:rsidRPr="00C51217">
          <w:rPr>
            <w:rFonts w:eastAsia="Times New Roman" w:hAnsi="SimSun"/>
            <w:sz w:val="24"/>
            <w:szCs w:val="24"/>
            <w:lang w:eastAsia="zh-CN"/>
          </w:rPr>
          <w:t>年</w:t>
        </w:r>
        <w:r w:rsidR="008D76BF" w:rsidRPr="00C51217">
          <w:rPr>
            <w:rFonts w:eastAsia="Times New Roman"/>
            <w:sz w:val="24"/>
            <w:szCs w:val="24"/>
            <w:lang w:eastAsia="zh-CN"/>
          </w:rPr>
          <w:t>11</w:t>
        </w:r>
        <w:r w:rsidR="008D76BF" w:rsidRPr="00C51217">
          <w:rPr>
            <w:rFonts w:eastAsia="Times New Roman" w:hAnsi="SimSun"/>
            <w:sz w:val="24"/>
            <w:szCs w:val="24"/>
            <w:lang w:eastAsia="zh-CN"/>
          </w:rPr>
          <w:t>月</w:t>
        </w:r>
        <w:r w:rsidR="008D76BF" w:rsidRPr="00C51217">
          <w:rPr>
            <w:rFonts w:eastAsia="Times New Roman"/>
            <w:sz w:val="24"/>
            <w:szCs w:val="24"/>
            <w:lang w:eastAsia="zh-CN"/>
          </w:rPr>
          <w:t>21</w:t>
        </w:r>
        <w:r w:rsidR="008D76BF" w:rsidRPr="00C51217">
          <w:rPr>
            <w:rFonts w:eastAsia="Times New Roman" w:hAnsi="SimSun"/>
            <w:sz w:val="24"/>
            <w:szCs w:val="24"/>
            <w:lang w:eastAsia="zh-CN"/>
          </w:rPr>
          <w:t>日</w:t>
        </w:r>
        <w:r>
          <w:rPr>
            <w:rFonts w:eastAsiaTheme="minorEastAsia" w:hAnsi="SimSun" w:hint="eastAsia"/>
            <w:sz w:val="24"/>
            <w:szCs w:val="24"/>
            <w:lang w:eastAsia="zh-CN"/>
          </w:rPr>
          <w:t>其</w:t>
        </w:r>
      </w:smartTag>
      <w:r w:rsidR="008D76BF" w:rsidRPr="00C51217">
        <w:rPr>
          <w:rFonts w:eastAsia="Times New Roman" w:hAnsi="SimSun"/>
          <w:sz w:val="24"/>
          <w:szCs w:val="24"/>
          <w:lang w:eastAsia="zh-CN"/>
        </w:rPr>
        <w:t>第</w:t>
      </w:r>
      <w:r w:rsidR="008D76BF" w:rsidRPr="00C51217">
        <w:rPr>
          <w:rFonts w:eastAsia="Times New Roman"/>
          <w:sz w:val="24"/>
          <w:szCs w:val="24"/>
          <w:lang w:eastAsia="zh-CN"/>
        </w:rPr>
        <w:t>7</w:t>
      </w:r>
      <w:r w:rsidR="008D76BF" w:rsidRPr="00C51217">
        <w:rPr>
          <w:rFonts w:eastAsia="Times New Roman" w:hAnsi="SimSun"/>
          <w:sz w:val="24"/>
          <w:szCs w:val="24"/>
          <w:lang w:eastAsia="zh-CN"/>
        </w:rPr>
        <w:t>场会议上审议了由主席提交的关于资源调动的订正决定草案。</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C51217">
        <w:rPr>
          <w:rFonts w:eastAsia="Times New Roman" w:hAnsi="SimSun"/>
          <w:sz w:val="24"/>
          <w:szCs w:val="24"/>
          <w:lang w:eastAsia="zh-CN"/>
        </w:rPr>
        <w:t>下列国家的代表</w:t>
      </w:r>
      <w:r w:rsidR="006952B0">
        <w:rPr>
          <w:rFonts w:ascii="SimSun" w:eastAsia="SimSun" w:hAnsi="SimSun" w:cs="SimSun" w:hint="eastAsia"/>
          <w:sz w:val="24"/>
          <w:szCs w:val="24"/>
          <w:lang w:eastAsia="zh-CN"/>
        </w:rPr>
        <w:t>作了发言</w:t>
      </w:r>
      <w:r w:rsidRPr="00C51217">
        <w:rPr>
          <w:rFonts w:eastAsia="Times New Roman" w:hAnsi="SimSun"/>
          <w:sz w:val="24"/>
          <w:szCs w:val="24"/>
          <w:lang w:eastAsia="zh-CN"/>
        </w:rPr>
        <w:t>：阿根廷、巴西、加拿大、哥伦比亚、哥斯达黎加、厄瓜多尔、埃塞俄比亚、欧洲联盟及其</w:t>
      </w:r>
      <w:r w:rsidRPr="00C51217">
        <w:rPr>
          <w:rFonts w:eastAsia="Times New Roman"/>
          <w:sz w:val="24"/>
          <w:szCs w:val="24"/>
          <w:lang w:eastAsia="zh-CN"/>
        </w:rPr>
        <w:t>28</w:t>
      </w:r>
      <w:r w:rsidRPr="00C51217">
        <w:rPr>
          <w:rFonts w:eastAsia="Times New Roman" w:hAnsi="SimSun"/>
          <w:sz w:val="24"/>
          <w:szCs w:val="24"/>
          <w:lang w:eastAsia="zh-CN"/>
        </w:rPr>
        <w:t>个成员国、危地马拉、伊拉克、日本、肯尼亚、新西兰、挪威、南非、瑞士和乌干达。</w:t>
      </w:r>
    </w:p>
    <w:p w:rsidR="008D76BF" w:rsidRPr="00AB0FA2" w:rsidRDefault="008D76BF" w:rsidP="00750ECD">
      <w:pPr>
        <w:pStyle w:val="Para1"/>
        <w:numPr>
          <w:ilvl w:val="0"/>
          <w:numId w:val="9"/>
        </w:numPr>
        <w:tabs>
          <w:tab w:val="clear" w:pos="360"/>
          <w:tab w:val="left" w:pos="720"/>
        </w:tabs>
        <w:ind w:firstLine="0"/>
        <w:rPr>
          <w:rFonts w:eastAsia="Times New Roman"/>
          <w:sz w:val="24"/>
          <w:szCs w:val="24"/>
          <w:lang w:eastAsia="zh-CN"/>
        </w:rPr>
      </w:pPr>
      <w:r w:rsidRPr="00C51217">
        <w:rPr>
          <w:rFonts w:eastAsia="Times New Roman" w:hAnsi="SimSun"/>
          <w:sz w:val="24"/>
          <w:szCs w:val="24"/>
          <w:lang w:eastAsia="zh-CN"/>
        </w:rPr>
        <w:t>经交换意见后，主席表示他将编制关于资源调动的新版本的订正决定草案，同时顾及所做的评论，工作组同意将新版本的决定草案和相关未决问题提交给为讨论资源调动问题设立的联络小组。</w:t>
      </w:r>
    </w:p>
    <w:p w:rsidR="008D76BF" w:rsidRPr="00FE0455" w:rsidRDefault="006B2851" w:rsidP="00750ECD">
      <w:pPr>
        <w:pStyle w:val="Para1"/>
        <w:numPr>
          <w:ilvl w:val="0"/>
          <w:numId w:val="9"/>
        </w:numPr>
        <w:tabs>
          <w:tab w:val="clear" w:pos="360"/>
          <w:tab w:val="left" w:pos="720"/>
        </w:tabs>
        <w:ind w:firstLine="0"/>
        <w:rPr>
          <w:rFonts w:eastAsia="Times New Roman"/>
          <w:sz w:val="24"/>
          <w:szCs w:val="24"/>
          <w:lang w:eastAsia="zh-CN"/>
        </w:rPr>
      </w:pPr>
      <w:r>
        <w:rPr>
          <w:rFonts w:eastAsia="SimSun" w:hAnsi="SimSun" w:hint="eastAsia"/>
          <w:sz w:val="24"/>
          <w:szCs w:val="24"/>
          <w:lang w:eastAsia="zh-CN"/>
        </w:rPr>
        <w:t>工作组</w:t>
      </w:r>
      <w:r w:rsidR="008D76BF">
        <w:rPr>
          <w:rFonts w:eastAsia="SimSun" w:hAnsi="SimSun" w:hint="eastAsia"/>
          <w:sz w:val="24"/>
          <w:szCs w:val="24"/>
          <w:lang w:eastAsia="zh-CN"/>
        </w:rPr>
        <w:t>在</w:t>
      </w:r>
      <w:r w:rsidR="008D76BF">
        <w:rPr>
          <w:rFonts w:eastAsia="SimSun" w:hAnsi="SimSun"/>
          <w:sz w:val="24"/>
          <w:szCs w:val="24"/>
          <w:lang w:eastAsia="zh-CN"/>
        </w:rPr>
        <w:t>2018</w:t>
      </w:r>
      <w:r w:rsidR="008D76BF">
        <w:rPr>
          <w:rFonts w:eastAsia="SimSun" w:hAnsi="SimSun" w:hint="eastAsia"/>
          <w:sz w:val="24"/>
          <w:szCs w:val="24"/>
          <w:lang w:eastAsia="zh-CN"/>
        </w:rPr>
        <w:t>年</w:t>
      </w:r>
      <w:r w:rsidR="008D76BF">
        <w:rPr>
          <w:rFonts w:eastAsia="SimSun" w:hAnsi="SimSun"/>
          <w:sz w:val="24"/>
          <w:szCs w:val="24"/>
          <w:lang w:eastAsia="zh-CN"/>
        </w:rPr>
        <w:t>11</w:t>
      </w:r>
      <w:r w:rsidR="008D76BF">
        <w:rPr>
          <w:rFonts w:eastAsia="SimSun" w:hAnsi="SimSun" w:hint="eastAsia"/>
          <w:sz w:val="24"/>
          <w:szCs w:val="24"/>
          <w:lang w:eastAsia="zh-CN"/>
        </w:rPr>
        <w:t>月</w:t>
      </w:r>
      <w:r w:rsidR="008D76BF">
        <w:rPr>
          <w:rFonts w:eastAsia="SimSun" w:hAnsi="SimSun"/>
          <w:sz w:val="24"/>
          <w:szCs w:val="24"/>
          <w:lang w:eastAsia="zh-CN"/>
        </w:rPr>
        <w:t>27</w:t>
      </w:r>
      <w:r w:rsidR="008D76BF">
        <w:rPr>
          <w:rFonts w:eastAsia="SimSun" w:hAnsi="SimSun" w:hint="eastAsia"/>
          <w:sz w:val="24"/>
          <w:szCs w:val="24"/>
          <w:lang w:eastAsia="zh-CN"/>
        </w:rPr>
        <w:t>日</w:t>
      </w:r>
      <w:r>
        <w:rPr>
          <w:rFonts w:eastAsia="SimSun" w:hAnsi="SimSun" w:hint="eastAsia"/>
          <w:sz w:val="24"/>
          <w:szCs w:val="24"/>
          <w:lang w:eastAsia="zh-CN"/>
        </w:rPr>
        <w:t>其</w:t>
      </w:r>
      <w:r w:rsidR="008D76BF">
        <w:rPr>
          <w:rFonts w:eastAsia="SimSun" w:hAnsi="SimSun" w:hint="eastAsia"/>
          <w:sz w:val="24"/>
          <w:szCs w:val="24"/>
          <w:lang w:eastAsia="zh-CN"/>
        </w:rPr>
        <w:t>第</w:t>
      </w:r>
      <w:r w:rsidR="008D76BF">
        <w:rPr>
          <w:rFonts w:eastAsia="SimSun" w:hAnsi="SimSun"/>
          <w:sz w:val="24"/>
          <w:szCs w:val="24"/>
          <w:lang w:eastAsia="zh-CN"/>
        </w:rPr>
        <w:t>13</w:t>
      </w:r>
      <w:r w:rsidR="008D76BF">
        <w:rPr>
          <w:rFonts w:eastAsia="SimSun" w:hAnsi="SimSun" w:hint="eastAsia"/>
          <w:sz w:val="24"/>
          <w:szCs w:val="24"/>
          <w:lang w:eastAsia="zh-CN"/>
        </w:rPr>
        <w:t>场会议上审议了主席提交的订正</w:t>
      </w:r>
      <w:r w:rsidR="00E17F8A">
        <w:rPr>
          <w:rFonts w:eastAsia="SimSun" w:hAnsi="SimSun" w:hint="eastAsia"/>
          <w:sz w:val="24"/>
          <w:szCs w:val="24"/>
          <w:lang w:eastAsia="zh-CN"/>
        </w:rPr>
        <w:t>决定草案</w:t>
      </w:r>
      <w:r w:rsidR="008D76BF">
        <w:rPr>
          <w:rFonts w:eastAsia="SimSun" w:hAnsi="SimSun" w:hint="eastAsia"/>
          <w:sz w:val="24"/>
          <w:szCs w:val="24"/>
          <w:lang w:eastAsia="zh-CN"/>
        </w:rPr>
        <w:t>。</w:t>
      </w:r>
    </w:p>
    <w:p w:rsidR="008D76BF" w:rsidRPr="00FE0455" w:rsidRDefault="00EA4BF6" w:rsidP="00750ECD">
      <w:pPr>
        <w:pStyle w:val="Para1"/>
        <w:numPr>
          <w:ilvl w:val="0"/>
          <w:numId w:val="9"/>
        </w:numPr>
        <w:tabs>
          <w:tab w:val="clear" w:pos="360"/>
          <w:tab w:val="left" w:pos="720"/>
        </w:tabs>
        <w:ind w:firstLine="0"/>
        <w:rPr>
          <w:rFonts w:eastAsia="Times New Roman"/>
          <w:sz w:val="24"/>
          <w:szCs w:val="24"/>
          <w:lang w:eastAsia="zh-CN"/>
        </w:rPr>
      </w:pPr>
      <w:r>
        <w:rPr>
          <w:rFonts w:eastAsia="SimSun" w:hAnsi="SimSun" w:hint="eastAsia"/>
          <w:sz w:val="24"/>
          <w:szCs w:val="24"/>
          <w:lang w:eastAsia="zh-CN"/>
        </w:rPr>
        <w:t>下列国家代表</w:t>
      </w:r>
      <w:r w:rsidR="006952B0">
        <w:rPr>
          <w:rFonts w:eastAsia="SimSun" w:hAnsi="SimSun" w:hint="eastAsia"/>
          <w:sz w:val="24"/>
          <w:szCs w:val="24"/>
          <w:lang w:eastAsia="zh-CN"/>
        </w:rPr>
        <w:t>作了发言</w:t>
      </w:r>
      <w:r w:rsidR="008D76BF">
        <w:rPr>
          <w:rFonts w:eastAsia="SimSun" w:hAnsi="SimSun" w:hint="eastAsia"/>
          <w:sz w:val="24"/>
          <w:szCs w:val="24"/>
          <w:lang w:eastAsia="zh-CN"/>
        </w:rPr>
        <w:t>：</w:t>
      </w:r>
      <w:r w:rsidR="008D76BF" w:rsidRPr="00FE0455">
        <w:rPr>
          <w:rFonts w:eastAsia="SimSun" w:hAnsi="SimSun" w:hint="eastAsia"/>
          <w:sz w:val="24"/>
          <w:szCs w:val="24"/>
          <w:lang w:eastAsia="zh-CN"/>
        </w:rPr>
        <w:t>巴西、加拿大、哥伦比亚、厄瓜多尔、欧洲联盟及其</w:t>
      </w:r>
      <w:r w:rsidR="008D76BF" w:rsidRPr="00FE0455">
        <w:rPr>
          <w:rFonts w:eastAsia="SimSun" w:hAnsi="SimSun"/>
          <w:sz w:val="24"/>
          <w:szCs w:val="24"/>
          <w:lang w:eastAsia="zh-CN"/>
        </w:rPr>
        <w:t>28</w:t>
      </w:r>
      <w:r w:rsidR="008D76BF" w:rsidRPr="00FE0455">
        <w:rPr>
          <w:rFonts w:eastAsia="SimSun" w:hAnsi="SimSun" w:hint="eastAsia"/>
          <w:sz w:val="24"/>
          <w:szCs w:val="24"/>
          <w:lang w:eastAsia="zh-CN"/>
        </w:rPr>
        <w:t>个成员国、肯尼亚、列支敦士登、挪威和瑞士</w:t>
      </w:r>
      <w:r w:rsidR="008D76BF">
        <w:rPr>
          <w:rFonts w:eastAsia="SimSun" w:hAnsi="SimSun" w:hint="eastAsia"/>
          <w:sz w:val="24"/>
          <w:szCs w:val="24"/>
          <w:lang w:eastAsia="zh-CN"/>
        </w:rPr>
        <w:t>。</w:t>
      </w:r>
    </w:p>
    <w:p w:rsidR="008D76BF" w:rsidRPr="00FE0455" w:rsidRDefault="008D76BF" w:rsidP="00750ECD">
      <w:pPr>
        <w:pStyle w:val="Para1"/>
        <w:numPr>
          <w:ilvl w:val="0"/>
          <w:numId w:val="9"/>
        </w:numPr>
        <w:tabs>
          <w:tab w:val="clear" w:pos="360"/>
          <w:tab w:val="left" w:pos="720"/>
        </w:tabs>
        <w:ind w:firstLine="0"/>
        <w:rPr>
          <w:rFonts w:eastAsia="SimSun"/>
          <w:sz w:val="24"/>
          <w:szCs w:val="24"/>
          <w:lang w:eastAsia="zh-CN"/>
        </w:rPr>
      </w:pPr>
      <w:r w:rsidRPr="00FE0455">
        <w:rPr>
          <w:rFonts w:eastAsia="SimSun" w:hAnsi="SimSun" w:hint="eastAsia"/>
          <w:sz w:val="24"/>
          <w:szCs w:val="24"/>
          <w:lang w:eastAsia="zh-CN"/>
        </w:rPr>
        <w:t>经</w:t>
      </w:r>
      <w:r>
        <w:rPr>
          <w:rFonts w:eastAsia="SimSun" w:hAnsi="SimSun" w:hint="eastAsia"/>
          <w:sz w:val="24"/>
          <w:szCs w:val="24"/>
          <w:lang w:eastAsia="zh-CN"/>
        </w:rPr>
        <w:t>协商和进一步</w:t>
      </w:r>
      <w:r w:rsidRPr="00FE0455">
        <w:rPr>
          <w:rFonts w:eastAsia="SimSun" w:hAnsi="SimSun" w:hint="eastAsia"/>
          <w:sz w:val="24"/>
          <w:szCs w:val="24"/>
          <w:lang w:eastAsia="zh-CN"/>
        </w:rPr>
        <w:t>交换意见后，工作组核准了</w:t>
      </w:r>
      <w:r>
        <w:rPr>
          <w:rFonts w:eastAsia="SimSun" w:hAnsi="SimSun" w:hint="eastAsia"/>
          <w:sz w:val="24"/>
          <w:szCs w:val="24"/>
          <w:lang w:eastAsia="zh-CN"/>
        </w:rPr>
        <w:t>经口头修订的</w:t>
      </w:r>
      <w:r w:rsidRPr="00FE0455">
        <w:rPr>
          <w:rFonts w:eastAsia="SimSun" w:hAnsi="SimSun" w:hint="eastAsia"/>
          <w:sz w:val="24"/>
          <w:szCs w:val="24"/>
          <w:lang w:eastAsia="zh-CN"/>
        </w:rPr>
        <w:t>订正决定草案，作为决定草案</w:t>
      </w:r>
      <w:r w:rsidRPr="00FE0455">
        <w:rPr>
          <w:rFonts w:eastAsia="SimSun"/>
          <w:sz w:val="24"/>
          <w:szCs w:val="24"/>
          <w:lang w:eastAsia="zh-CN"/>
        </w:rPr>
        <w:t>CBD/COP/14/L.</w:t>
      </w:r>
      <w:r>
        <w:rPr>
          <w:rFonts w:eastAsia="SimSun"/>
          <w:sz w:val="24"/>
          <w:szCs w:val="24"/>
          <w:lang w:eastAsia="zh-CN"/>
        </w:rPr>
        <w:t>33</w:t>
      </w:r>
      <w:r w:rsidRPr="00FE0455">
        <w:rPr>
          <w:rFonts w:eastAsia="SimSun" w:hAnsi="SimSun" w:hint="eastAsia"/>
          <w:sz w:val="24"/>
          <w:szCs w:val="24"/>
          <w:lang w:eastAsia="zh-CN"/>
        </w:rPr>
        <w:t>转交全体会议</w:t>
      </w:r>
      <w:r>
        <w:rPr>
          <w:rFonts w:eastAsia="SimSun" w:hAnsi="SimSun" w:hint="eastAsia"/>
          <w:sz w:val="24"/>
          <w:szCs w:val="24"/>
          <w:lang w:eastAsia="zh-CN"/>
        </w:rPr>
        <w:t>。</w:t>
      </w:r>
    </w:p>
    <w:p w:rsidR="00EA4BF6" w:rsidRPr="00EA4BF6" w:rsidRDefault="00EA4BF6" w:rsidP="00EA4BF6">
      <w:pPr>
        <w:pStyle w:val="Para1"/>
        <w:numPr>
          <w:ilvl w:val="0"/>
          <w:numId w:val="9"/>
        </w:numPr>
        <w:tabs>
          <w:tab w:val="clear" w:pos="360"/>
          <w:tab w:val="left" w:pos="720"/>
        </w:tabs>
        <w:ind w:firstLine="0"/>
        <w:rPr>
          <w:kern w:val="22"/>
          <w:sz w:val="24"/>
          <w:lang w:eastAsia="zh-CN"/>
        </w:rPr>
      </w:pPr>
      <w:r>
        <w:rPr>
          <w:rFonts w:eastAsia="SimSun" w:hAnsi="SimSun" w:hint="eastAsia"/>
          <w:sz w:val="24"/>
          <w:szCs w:val="24"/>
          <w:lang w:eastAsia="zh-CN"/>
        </w:rPr>
        <w:t>在</w:t>
      </w:r>
      <w:r>
        <w:rPr>
          <w:rFonts w:eastAsia="SimSun" w:hAnsi="SimSun"/>
          <w:sz w:val="24"/>
          <w:szCs w:val="24"/>
          <w:lang w:eastAsia="zh-CN"/>
        </w:rPr>
        <w:t>2018</w:t>
      </w:r>
      <w:r>
        <w:rPr>
          <w:rFonts w:eastAsia="SimSun" w:hAnsi="SimSun" w:hint="eastAsia"/>
          <w:sz w:val="24"/>
          <w:szCs w:val="24"/>
          <w:lang w:eastAsia="zh-CN"/>
        </w:rPr>
        <w:t>年</w:t>
      </w:r>
      <w:r>
        <w:rPr>
          <w:rFonts w:eastAsia="SimSun" w:hAnsi="SimSun"/>
          <w:sz w:val="24"/>
          <w:szCs w:val="24"/>
          <w:lang w:eastAsia="zh-CN"/>
        </w:rPr>
        <w:t>11</w:t>
      </w:r>
      <w:r>
        <w:rPr>
          <w:rFonts w:eastAsia="SimSun" w:hAnsi="SimSun" w:hint="eastAsia"/>
          <w:sz w:val="24"/>
          <w:szCs w:val="24"/>
          <w:lang w:eastAsia="zh-CN"/>
        </w:rPr>
        <w:t>月</w:t>
      </w:r>
      <w:r>
        <w:rPr>
          <w:rFonts w:eastAsia="SimSun" w:hAnsi="SimSun"/>
          <w:sz w:val="24"/>
          <w:szCs w:val="24"/>
          <w:lang w:eastAsia="zh-CN"/>
        </w:rPr>
        <w:t>29</w:t>
      </w:r>
      <w:r>
        <w:rPr>
          <w:rFonts w:eastAsia="SimSun" w:hAnsi="SimSun" w:hint="eastAsia"/>
          <w:sz w:val="24"/>
          <w:szCs w:val="24"/>
          <w:lang w:eastAsia="zh-CN"/>
        </w:rPr>
        <w:t>日的第</w:t>
      </w:r>
      <w:r>
        <w:rPr>
          <w:rFonts w:eastAsia="SimSun" w:hAnsi="SimSun"/>
          <w:sz w:val="24"/>
          <w:szCs w:val="24"/>
          <w:lang w:eastAsia="zh-CN"/>
        </w:rPr>
        <w:t>8</w:t>
      </w:r>
      <w:r w:rsidR="00B45641">
        <w:rPr>
          <w:rFonts w:eastAsia="SimSun" w:hAnsi="SimSun" w:hint="eastAsia"/>
          <w:sz w:val="24"/>
          <w:szCs w:val="24"/>
          <w:lang w:eastAsia="zh-CN"/>
        </w:rPr>
        <w:t>次全体会议</w:t>
      </w:r>
      <w:r>
        <w:rPr>
          <w:rFonts w:eastAsia="SimSun" w:hAnsi="SimSun" w:hint="eastAsia"/>
          <w:sz w:val="24"/>
          <w:szCs w:val="24"/>
          <w:lang w:eastAsia="zh-CN"/>
        </w:rPr>
        <w:t>上，缔约方大会审议</w:t>
      </w:r>
      <w:r>
        <w:rPr>
          <w:rFonts w:eastAsia="SimSun" w:hAnsi="SimSun"/>
          <w:sz w:val="24"/>
          <w:szCs w:val="24"/>
          <w:lang w:eastAsia="zh-CN"/>
        </w:rPr>
        <w:t>了经秘书处代表口头订正的决定草案</w:t>
      </w:r>
      <w:r w:rsidRPr="00EA4BF6">
        <w:rPr>
          <w:kern w:val="22"/>
          <w:sz w:val="24"/>
          <w:lang w:eastAsia="zh-CN"/>
        </w:rPr>
        <w:t>CBD/COP/14/L.33</w:t>
      </w:r>
      <w:r>
        <w:rPr>
          <w:rFonts w:hint="eastAsia"/>
          <w:kern w:val="22"/>
          <w:sz w:val="24"/>
          <w:lang w:eastAsia="zh-CN"/>
        </w:rPr>
        <w:t>。</w:t>
      </w:r>
    </w:p>
    <w:p w:rsidR="00EA4BF6" w:rsidRPr="00EA4BF6" w:rsidRDefault="00EA4BF6" w:rsidP="00EA4BF6">
      <w:pPr>
        <w:pStyle w:val="Para1"/>
        <w:numPr>
          <w:ilvl w:val="0"/>
          <w:numId w:val="9"/>
        </w:numPr>
        <w:tabs>
          <w:tab w:val="clear" w:pos="360"/>
          <w:tab w:val="left" w:pos="720"/>
        </w:tabs>
        <w:ind w:firstLine="0"/>
        <w:rPr>
          <w:kern w:val="22"/>
          <w:sz w:val="24"/>
          <w:lang w:eastAsia="zh-CN"/>
        </w:rPr>
      </w:pPr>
      <w:r>
        <w:rPr>
          <w:rFonts w:eastAsia="SimSun" w:hAnsi="SimSun" w:hint="eastAsia"/>
          <w:sz w:val="24"/>
          <w:szCs w:val="24"/>
          <w:lang w:eastAsia="zh-CN"/>
        </w:rPr>
        <w:t>下列国家代表</w:t>
      </w:r>
      <w:r w:rsidR="006952B0">
        <w:rPr>
          <w:rFonts w:eastAsia="SimSun" w:hAnsi="SimSun" w:hint="eastAsia"/>
          <w:sz w:val="24"/>
          <w:szCs w:val="24"/>
          <w:lang w:eastAsia="zh-CN"/>
        </w:rPr>
        <w:t>作了发言</w:t>
      </w:r>
      <w:r>
        <w:rPr>
          <w:rFonts w:eastAsia="SimSun" w:hAnsi="SimSun" w:hint="eastAsia"/>
          <w:sz w:val="24"/>
          <w:szCs w:val="24"/>
          <w:lang w:eastAsia="zh-CN"/>
        </w:rPr>
        <w:t>：</w:t>
      </w:r>
      <w:r>
        <w:rPr>
          <w:rFonts w:hint="eastAsia"/>
          <w:kern w:val="22"/>
          <w:sz w:val="24"/>
          <w:lang w:eastAsia="zh-CN"/>
        </w:rPr>
        <w:t>巴西、加拿大、哥伦比亚、欧洲联盟及其</w:t>
      </w:r>
      <w:r>
        <w:rPr>
          <w:kern w:val="22"/>
          <w:sz w:val="24"/>
          <w:lang w:eastAsia="zh-CN"/>
        </w:rPr>
        <w:t>28</w:t>
      </w:r>
      <w:r>
        <w:rPr>
          <w:rFonts w:hint="eastAsia"/>
          <w:kern w:val="22"/>
          <w:sz w:val="24"/>
          <w:lang w:eastAsia="zh-CN"/>
        </w:rPr>
        <w:t>个成员国、加蓬、日本和挪威。</w:t>
      </w:r>
    </w:p>
    <w:p w:rsidR="00EA4BF6" w:rsidRPr="00EA4BF6" w:rsidRDefault="00EA4BF6" w:rsidP="004D0EEE">
      <w:pPr>
        <w:pStyle w:val="Para1"/>
        <w:numPr>
          <w:ilvl w:val="0"/>
          <w:numId w:val="9"/>
        </w:numPr>
        <w:tabs>
          <w:tab w:val="clear" w:pos="360"/>
          <w:tab w:val="left" w:pos="720"/>
        </w:tabs>
        <w:ind w:firstLine="0"/>
        <w:rPr>
          <w:kern w:val="22"/>
          <w:sz w:val="24"/>
          <w:lang w:eastAsia="zh-CN"/>
        </w:rPr>
      </w:pPr>
      <w:r w:rsidRPr="00EA4BF6">
        <w:rPr>
          <w:rFonts w:hint="eastAsia"/>
          <w:kern w:val="22"/>
          <w:sz w:val="24"/>
          <w:lang w:eastAsia="zh-CN"/>
        </w:rPr>
        <w:t>经交换意见后</w:t>
      </w:r>
      <w:r w:rsidRPr="00EA4BF6">
        <w:rPr>
          <w:kern w:val="22"/>
          <w:sz w:val="24"/>
          <w:lang w:eastAsia="zh-CN"/>
        </w:rPr>
        <w:t>，</w:t>
      </w:r>
      <w:r w:rsidRPr="00EA4BF6">
        <w:rPr>
          <w:rFonts w:eastAsia="SimSun"/>
          <w:color w:val="000000"/>
          <w:kern w:val="22"/>
          <w:sz w:val="24"/>
          <w:szCs w:val="24"/>
          <w:lang w:eastAsia="zh-CN"/>
        </w:rPr>
        <w:t>缔约方大会通过了经口头</w:t>
      </w:r>
      <w:r w:rsidRPr="00EA4BF6">
        <w:rPr>
          <w:rFonts w:eastAsia="SimSun" w:hint="eastAsia"/>
          <w:sz w:val="24"/>
          <w:szCs w:val="24"/>
          <w:lang w:val="en-US" w:eastAsia="zh-CN"/>
        </w:rPr>
        <w:t>修正</w:t>
      </w:r>
      <w:r w:rsidRPr="00EA4BF6">
        <w:rPr>
          <w:rFonts w:eastAsia="SimSun"/>
          <w:color w:val="000000"/>
          <w:kern w:val="22"/>
          <w:sz w:val="24"/>
          <w:szCs w:val="24"/>
          <w:lang w:eastAsia="zh-CN"/>
        </w:rPr>
        <w:t>的的决定草案</w:t>
      </w:r>
      <w:r w:rsidRPr="00EA4BF6">
        <w:rPr>
          <w:kern w:val="22"/>
          <w:sz w:val="24"/>
          <w:lang w:eastAsia="zh-CN"/>
        </w:rPr>
        <w:t>CBD/COP/14/L.33</w:t>
      </w:r>
      <w:r w:rsidRPr="00EA4BF6">
        <w:rPr>
          <w:rFonts w:eastAsia="SimSun" w:hint="eastAsia"/>
          <w:color w:val="000000"/>
          <w:kern w:val="22"/>
          <w:sz w:val="24"/>
          <w:szCs w:val="24"/>
          <w:lang w:eastAsia="zh-CN"/>
        </w:rPr>
        <w:t>，</w:t>
      </w:r>
      <w:r w:rsidRPr="00EA4BF6">
        <w:rPr>
          <w:rFonts w:eastAsia="SimSun"/>
          <w:color w:val="000000"/>
          <w:kern w:val="22"/>
          <w:sz w:val="24"/>
          <w:szCs w:val="24"/>
          <w:lang w:eastAsia="zh-CN"/>
        </w:rPr>
        <w:t>成为第</w:t>
      </w:r>
      <w:r w:rsidRPr="00EA4BF6">
        <w:rPr>
          <w:kern w:val="22"/>
          <w:sz w:val="24"/>
          <w:lang w:eastAsia="zh-CN"/>
        </w:rPr>
        <w:t>14/22</w:t>
      </w:r>
      <w:r w:rsidRPr="00EA4BF6">
        <w:rPr>
          <w:rFonts w:eastAsia="SimSun" w:hint="eastAsia"/>
          <w:sz w:val="24"/>
          <w:szCs w:val="24"/>
          <w:lang w:val="en-US" w:eastAsia="zh-CN"/>
        </w:rPr>
        <w:t>号决定</w:t>
      </w:r>
      <w:r w:rsidRPr="00EA4BF6">
        <w:rPr>
          <w:rFonts w:eastAsia="SimSun"/>
          <w:sz w:val="24"/>
          <w:szCs w:val="24"/>
          <w:lang w:val="en-US" w:eastAsia="zh-CN"/>
        </w:rPr>
        <w:t>（</w:t>
      </w:r>
      <w:r w:rsidRPr="00EA4BF6">
        <w:rPr>
          <w:rFonts w:eastAsia="SimSun" w:hint="eastAsia"/>
          <w:sz w:val="24"/>
          <w:szCs w:val="24"/>
          <w:lang w:eastAsia="zh-CN"/>
        </w:rPr>
        <w:t>案文见</w:t>
      </w:r>
      <w:r w:rsidRPr="00EA4BF6">
        <w:rPr>
          <w:rFonts w:eastAsia="SimSun"/>
          <w:sz w:val="24"/>
          <w:szCs w:val="24"/>
          <w:lang w:eastAsia="zh-CN"/>
        </w:rPr>
        <w:t>第一章</w:t>
      </w:r>
      <w:r w:rsidRPr="00EA4BF6">
        <w:rPr>
          <w:rFonts w:eastAsia="SimSun" w:hint="eastAsia"/>
          <w:sz w:val="24"/>
          <w:szCs w:val="24"/>
          <w:lang w:eastAsia="zh-CN"/>
        </w:rPr>
        <w:t>）。</w:t>
      </w:r>
    </w:p>
    <w:p w:rsidR="008D76BF" w:rsidRPr="009804F1" w:rsidRDefault="008D76BF" w:rsidP="009804F1">
      <w:pPr>
        <w:pStyle w:val="Para1"/>
        <w:tabs>
          <w:tab w:val="clear" w:pos="360"/>
          <w:tab w:val="left" w:pos="720"/>
        </w:tabs>
        <w:snapToGrid w:val="0"/>
        <w:ind w:firstLine="0"/>
        <w:jc w:val="center"/>
        <w:rPr>
          <w:rFonts w:ascii="SimSun" w:eastAsia="KaiTi" w:hAnsi="SimSun" w:cs="SimSun"/>
          <w:sz w:val="24"/>
          <w:szCs w:val="24"/>
          <w:lang w:eastAsia="zh-CN"/>
        </w:rPr>
      </w:pPr>
      <w:r w:rsidRPr="00C51217">
        <w:rPr>
          <w:rFonts w:ascii="SimSun" w:eastAsia="KaiTi" w:hAnsi="SimSun" w:cs="SimSun" w:hint="eastAsia"/>
          <w:sz w:val="24"/>
          <w:szCs w:val="24"/>
          <w:lang w:eastAsia="zh-CN"/>
        </w:rPr>
        <w:t>生物多样性融资机制的保障措施</w:t>
      </w:r>
    </w:p>
    <w:p w:rsidR="008D76BF" w:rsidRPr="00C51217" w:rsidRDefault="0006774F" w:rsidP="00750ECD">
      <w:pPr>
        <w:pStyle w:val="Para1"/>
        <w:numPr>
          <w:ilvl w:val="0"/>
          <w:numId w:val="9"/>
        </w:numPr>
        <w:tabs>
          <w:tab w:val="clear" w:pos="360"/>
          <w:tab w:val="left" w:pos="720"/>
        </w:tabs>
        <w:ind w:firstLine="0"/>
        <w:rPr>
          <w:rFonts w:eastAsia="Times New Roman"/>
          <w:sz w:val="24"/>
          <w:szCs w:val="24"/>
          <w:lang w:eastAsia="zh-CN"/>
        </w:rPr>
      </w:pPr>
      <w:r>
        <w:rPr>
          <w:rFonts w:eastAsiaTheme="minorEastAsia" w:hAnsi="SimSun" w:hint="eastAsia"/>
          <w:sz w:val="24"/>
          <w:szCs w:val="24"/>
          <w:lang w:eastAsia="zh-CN"/>
        </w:rPr>
        <w:t>工作组</w:t>
      </w:r>
      <w:r w:rsidR="008D76BF" w:rsidRPr="00C51217">
        <w:rPr>
          <w:rFonts w:eastAsia="Times New Roman" w:hAnsi="SimSun"/>
          <w:sz w:val="24"/>
          <w:szCs w:val="24"/>
          <w:lang w:eastAsia="zh-CN"/>
        </w:rPr>
        <w:t>在</w:t>
      </w:r>
      <w:r w:rsidR="008D76BF" w:rsidRPr="00C51217">
        <w:rPr>
          <w:rFonts w:eastAsia="Times New Roman"/>
          <w:sz w:val="24"/>
          <w:szCs w:val="24"/>
          <w:lang w:eastAsia="zh-CN"/>
        </w:rPr>
        <w:t>2018</w:t>
      </w:r>
      <w:r w:rsidR="008D76BF" w:rsidRPr="00C51217">
        <w:rPr>
          <w:rFonts w:eastAsia="Times New Roman" w:hAnsi="SimSun"/>
          <w:sz w:val="24"/>
          <w:szCs w:val="24"/>
          <w:lang w:eastAsia="zh-CN"/>
        </w:rPr>
        <w:t>年</w:t>
      </w:r>
      <w:r w:rsidR="008D76BF" w:rsidRPr="00C51217">
        <w:rPr>
          <w:rFonts w:eastAsia="Times New Roman"/>
          <w:sz w:val="24"/>
          <w:szCs w:val="24"/>
          <w:lang w:eastAsia="zh-CN"/>
        </w:rPr>
        <w:t>11</w:t>
      </w:r>
      <w:r w:rsidR="008D76BF" w:rsidRPr="00C51217">
        <w:rPr>
          <w:rFonts w:eastAsia="Times New Roman" w:hAnsi="SimSun"/>
          <w:sz w:val="24"/>
          <w:szCs w:val="24"/>
          <w:lang w:eastAsia="zh-CN"/>
        </w:rPr>
        <w:t>月</w:t>
      </w:r>
      <w:r w:rsidR="008D76BF" w:rsidRPr="00C51217">
        <w:rPr>
          <w:rFonts w:eastAsia="Times New Roman"/>
          <w:sz w:val="24"/>
          <w:szCs w:val="24"/>
          <w:lang w:eastAsia="zh-CN"/>
        </w:rPr>
        <w:t>21</w:t>
      </w:r>
      <w:r>
        <w:rPr>
          <w:rFonts w:eastAsia="Times New Roman" w:hAnsi="SimSun"/>
          <w:sz w:val="24"/>
          <w:szCs w:val="24"/>
          <w:lang w:eastAsia="zh-CN"/>
        </w:rPr>
        <w:t>日</w:t>
      </w:r>
      <w:r>
        <w:rPr>
          <w:rFonts w:eastAsiaTheme="minorEastAsia" w:hAnsi="SimSun" w:hint="eastAsia"/>
          <w:sz w:val="24"/>
          <w:szCs w:val="24"/>
          <w:lang w:eastAsia="zh-CN"/>
        </w:rPr>
        <w:t>其</w:t>
      </w:r>
      <w:r w:rsidR="008D76BF" w:rsidRPr="00C51217">
        <w:rPr>
          <w:rFonts w:eastAsia="Times New Roman" w:hAnsi="SimSun"/>
          <w:sz w:val="24"/>
          <w:szCs w:val="24"/>
          <w:lang w:eastAsia="zh-CN"/>
        </w:rPr>
        <w:t>第</w:t>
      </w:r>
      <w:r w:rsidR="008D76BF" w:rsidRPr="00C51217">
        <w:rPr>
          <w:rFonts w:eastAsia="Times New Roman"/>
          <w:sz w:val="24"/>
          <w:szCs w:val="24"/>
          <w:lang w:eastAsia="zh-CN"/>
        </w:rPr>
        <w:t>7</w:t>
      </w:r>
      <w:r w:rsidR="008D76BF" w:rsidRPr="00C51217">
        <w:rPr>
          <w:rFonts w:eastAsia="Times New Roman" w:hAnsi="SimSun"/>
          <w:sz w:val="24"/>
          <w:szCs w:val="24"/>
          <w:lang w:eastAsia="zh-CN"/>
        </w:rPr>
        <w:t>场会议上还审议了主席编制的关于生物多样性融资机制保障措施的订正决定草案。</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C51217">
        <w:rPr>
          <w:rFonts w:eastAsia="Times New Roman" w:hAnsi="SimSun"/>
          <w:sz w:val="24"/>
          <w:szCs w:val="24"/>
          <w:lang w:eastAsia="zh-CN"/>
        </w:rPr>
        <w:t>下列国家的代表</w:t>
      </w:r>
      <w:r w:rsidR="006952B0">
        <w:rPr>
          <w:rFonts w:ascii="SimSun" w:eastAsia="SimSun" w:hAnsi="SimSun" w:cs="SimSun" w:hint="eastAsia"/>
          <w:sz w:val="24"/>
          <w:szCs w:val="24"/>
          <w:lang w:eastAsia="zh-CN"/>
        </w:rPr>
        <w:t>作了发言</w:t>
      </w:r>
      <w:r w:rsidRPr="00C51217">
        <w:rPr>
          <w:rFonts w:eastAsia="Times New Roman" w:hAnsi="SimSun"/>
          <w:sz w:val="24"/>
          <w:szCs w:val="24"/>
          <w:lang w:eastAsia="zh-CN"/>
        </w:rPr>
        <w:t>：欧洲联盟及其</w:t>
      </w:r>
      <w:r w:rsidRPr="00C51217">
        <w:rPr>
          <w:rFonts w:eastAsia="Times New Roman"/>
          <w:sz w:val="24"/>
          <w:szCs w:val="24"/>
          <w:lang w:eastAsia="zh-CN"/>
        </w:rPr>
        <w:t>28</w:t>
      </w:r>
      <w:r w:rsidRPr="00C51217">
        <w:rPr>
          <w:rFonts w:eastAsia="Times New Roman" w:hAnsi="SimSun"/>
          <w:sz w:val="24"/>
          <w:szCs w:val="24"/>
          <w:lang w:eastAsia="zh-CN"/>
        </w:rPr>
        <w:t>个成员国和几内亚。</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C51217">
        <w:rPr>
          <w:rFonts w:eastAsia="Times New Roman" w:hAnsi="SimSun"/>
          <w:sz w:val="24"/>
          <w:szCs w:val="24"/>
          <w:lang w:eastAsia="zh-CN"/>
        </w:rPr>
        <w:t>工作组在</w:t>
      </w:r>
      <w:r w:rsidRPr="00C51217">
        <w:rPr>
          <w:rFonts w:eastAsia="Times New Roman"/>
          <w:sz w:val="24"/>
          <w:szCs w:val="24"/>
          <w:lang w:eastAsia="zh-CN"/>
        </w:rPr>
        <w:t>2018</w:t>
      </w:r>
      <w:r w:rsidRPr="00C51217">
        <w:rPr>
          <w:rFonts w:eastAsia="Times New Roman" w:hAnsi="SimSun"/>
          <w:sz w:val="24"/>
          <w:szCs w:val="24"/>
          <w:lang w:eastAsia="zh-CN"/>
        </w:rPr>
        <w:t>年</w:t>
      </w:r>
      <w:r w:rsidRPr="00C51217">
        <w:rPr>
          <w:rFonts w:eastAsia="Times New Roman"/>
          <w:sz w:val="24"/>
          <w:szCs w:val="24"/>
          <w:lang w:eastAsia="zh-CN"/>
        </w:rPr>
        <w:t>11</w:t>
      </w:r>
      <w:r w:rsidRPr="00C51217">
        <w:rPr>
          <w:rFonts w:eastAsia="Times New Roman" w:hAnsi="SimSun"/>
          <w:sz w:val="24"/>
          <w:szCs w:val="24"/>
          <w:lang w:eastAsia="zh-CN"/>
        </w:rPr>
        <w:t>月</w:t>
      </w:r>
      <w:r w:rsidRPr="00C51217">
        <w:rPr>
          <w:rFonts w:eastAsia="Times New Roman"/>
          <w:sz w:val="24"/>
          <w:szCs w:val="24"/>
          <w:lang w:eastAsia="zh-CN"/>
        </w:rPr>
        <w:t>22</w:t>
      </w:r>
      <w:r w:rsidRPr="00C51217">
        <w:rPr>
          <w:rFonts w:eastAsia="Times New Roman" w:hAnsi="SimSun"/>
          <w:sz w:val="24"/>
          <w:szCs w:val="24"/>
          <w:lang w:eastAsia="zh-CN"/>
        </w:rPr>
        <w:t>日的第</w:t>
      </w:r>
      <w:r w:rsidRPr="00C51217">
        <w:rPr>
          <w:rFonts w:eastAsia="Times New Roman"/>
          <w:sz w:val="24"/>
          <w:szCs w:val="24"/>
          <w:lang w:eastAsia="zh-CN"/>
        </w:rPr>
        <w:t>8</w:t>
      </w:r>
      <w:r w:rsidRPr="00C51217">
        <w:rPr>
          <w:rFonts w:eastAsia="Times New Roman" w:hAnsi="SimSun"/>
          <w:sz w:val="24"/>
          <w:szCs w:val="24"/>
          <w:lang w:eastAsia="zh-CN"/>
        </w:rPr>
        <w:t>场会议上继续审议关于生物多样性融资机制保障的订正决定草案。</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C51217">
        <w:rPr>
          <w:rFonts w:eastAsia="Times New Roman" w:hAnsi="SimSun"/>
          <w:sz w:val="24"/>
          <w:szCs w:val="24"/>
          <w:lang w:eastAsia="zh-CN"/>
        </w:rPr>
        <w:t>下列国家的代表</w:t>
      </w:r>
      <w:r w:rsidR="006952B0">
        <w:rPr>
          <w:rFonts w:ascii="SimSun" w:eastAsia="SimSun" w:hAnsi="SimSun" w:cs="SimSun" w:hint="eastAsia"/>
          <w:sz w:val="24"/>
          <w:szCs w:val="24"/>
          <w:lang w:eastAsia="zh-CN"/>
        </w:rPr>
        <w:t>作了发言</w:t>
      </w:r>
      <w:r w:rsidRPr="00C51217">
        <w:rPr>
          <w:rFonts w:eastAsia="Times New Roman" w:hAnsi="SimSun"/>
          <w:sz w:val="24"/>
          <w:szCs w:val="24"/>
          <w:lang w:eastAsia="zh-CN"/>
        </w:rPr>
        <w:t>：加拿大、欧洲联盟及其</w:t>
      </w:r>
      <w:r w:rsidRPr="00C51217">
        <w:rPr>
          <w:rFonts w:eastAsia="Times New Roman"/>
          <w:sz w:val="24"/>
          <w:szCs w:val="24"/>
          <w:lang w:eastAsia="zh-CN"/>
        </w:rPr>
        <w:t>28</w:t>
      </w:r>
      <w:r w:rsidRPr="00C51217">
        <w:rPr>
          <w:rFonts w:eastAsia="Times New Roman" w:hAnsi="SimSun"/>
          <w:sz w:val="24"/>
          <w:szCs w:val="24"/>
          <w:lang w:eastAsia="zh-CN"/>
        </w:rPr>
        <w:t>个成员国、墨西哥、菲律宾、土耳其和乌干达。</w:t>
      </w:r>
    </w:p>
    <w:p w:rsidR="008D76BF" w:rsidRDefault="008D76BF" w:rsidP="00750ECD">
      <w:pPr>
        <w:pStyle w:val="Para1"/>
        <w:numPr>
          <w:ilvl w:val="0"/>
          <w:numId w:val="9"/>
        </w:numPr>
        <w:tabs>
          <w:tab w:val="clear" w:pos="360"/>
          <w:tab w:val="left" w:pos="720"/>
        </w:tabs>
        <w:ind w:firstLine="0"/>
        <w:rPr>
          <w:rFonts w:eastAsia="Times New Roman" w:hAnsi="SimSun"/>
          <w:sz w:val="24"/>
          <w:szCs w:val="24"/>
          <w:lang w:eastAsia="zh-CN"/>
        </w:rPr>
      </w:pPr>
      <w:r w:rsidRPr="00C51217">
        <w:rPr>
          <w:rFonts w:eastAsia="Times New Roman" w:hAnsi="SimSun"/>
          <w:sz w:val="24"/>
          <w:szCs w:val="24"/>
          <w:lang w:eastAsia="zh-CN"/>
        </w:rPr>
        <w:t>经交换意见后，工作组核准了关于生物多样性融资机制保障的订正决定草案，作为决定草案</w:t>
      </w:r>
      <w:r w:rsidRPr="000E4306">
        <w:rPr>
          <w:rFonts w:eastAsia="Times New Roman" w:hAnsi="SimSun"/>
          <w:sz w:val="24"/>
          <w:szCs w:val="24"/>
          <w:lang w:eastAsia="zh-CN"/>
        </w:rPr>
        <w:t>CBD/COP/14/L.5</w:t>
      </w:r>
      <w:r w:rsidRPr="00C51217">
        <w:rPr>
          <w:rFonts w:eastAsia="Times New Roman" w:hAnsi="SimSun"/>
          <w:sz w:val="24"/>
          <w:szCs w:val="24"/>
          <w:lang w:eastAsia="zh-CN"/>
        </w:rPr>
        <w:t>转交全体会议。</w:t>
      </w:r>
    </w:p>
    <w:p w:rsidR="008D76BF" w:rsidRDefault="008D76BF" w:rsidP="00750ECD">
      <w:pPr>
        <w:pStyle w:val="Para1"/>
        <w:numPr>
          <w:ilvl w:val="0"/>
          <w:numId w:val="9"/>
        </w:numPr>
        <w:tabs>
          <w:tab w:val="clear" w:pos="360"/>
          <w:tab w:val="left" w:pos="720"/>
        </w:tabs>
        <w:ind w:firstLine="0"/>
        <w:rPr>
          <w:rFonts w:eastAsia="Times New Roman" w:hAnsi="SimSun"/>
          <w:sz w:val="24"/>
          <w:szCs w:val="24"/>
          <w:lang w:eastAsia="zh-CN"/>
        </w:rPr>
      </w:pPr>
      <w:r w:rsidRPr="003B7661">
        <w:rPr>
          <w:rFonts w:eastAsia="Times New Roman" w:hAnsi="SimSun"/>
          <w:sz w:val="24"/>
          <w:szCs w:val="24"/>
          <w:lang w:eastAsia="zh-CN"/>
        </w:rPr>
        <w:lastRenderedPageBreak/>
        <w:t>在2018年11月25</w:t>
      </w:r>
      <w:r w:rsidR="00EA4BF6">
        <w:rPr>
          <w:rFonts w:ascii="SimSun" w:eastAsia="SimSun" w:hAnsi="SimSun" w:cs="SimSun" w:hint="eastAsia"/>
          <w:sz w:val="24"/>
          <w:szCs w:val="24"/>
          <w:lang w:eastAsia="zh-CN"/>
        </w:rPr>
        <w:t>日</w:t>
      </w:r>
      <w:r w:rsidR="006B2851">
        <w:rPr>
          <w:rFonts w:ascii="SimSun" w:eastAsia="SimSun" w:hAnsi="SimSun" w:cs="SimSun" w:hint="eastAsia"/>
          <w:sz w:val="24"/>
          <w:szCs w:val="24"/>
          <w:lang w:eastAsia="zh-CN"/>
        </w:rPr>
        <w:t>会议的</w:t>
      </w:r>
      <w:r w:rsidRPr="003B7661">
        <w:rPr>
          <w:rFonts w:eastAsia="Times New Roman" w:hAnsi="SimSun"/>
          <w:sz w:val="24"/>
          <w:szCs w:val="24"/>
          <w:lang w:eastAsia="zh-CN"/>
        </w:rPr>
        <w:t>第5</w:t>
      </w:r>
      <w:r w:rsidR="00B45641">
        <w:rPr>
          <w:rFonts w:ascii="SimSun" w:eastAsia="SimSun" w:hAnsi="SimSun" w:cs="SimSun" w:hint="eastAsia"/>
          <w:sz w:val="24"/>
          <w:szCs w:val="24"/>
          <w:lang w:eastAsia="zh-CN"/>
        </w:rPr>
        <w:t>次全体会议</w:t>
      </w:r>
      <w:r w:rsidRPr="003B7661">
        <w:rPr>
          <w:rFonts w:eastAsia="Times New Roman" w:hAnsi="SimSun"/>
          <w:sz w:val="24"/>
          <w:szCs w:val="24"/>
          <w:lang w:eastAsia="zh-CN"/>
        </w:rPr>
        <w:t>上，缔约方大会审议了</w:t>
      </w:r>
      <w:r w:rsidR="00A434BF">
        <w:rPr>
          <w:rFonts w:eastAsiaTheme="minorEastAsia" w:hAnsi="SimSun" w:hint="eastAsia"/>
          <w:sz w:val="24"/>
          <w:szCs w:val="24"/>
          <w:lang w:eastAsia="zh-CN"/>
        </w:rPr>
        <w:t>决定草案</w:t>
      </w:r>
      <w:r w:rsidRPr="003B7661">
        <w:rPr>
          <w:sz w:val="24"/>
          <w:szCs w:val="24"/>
          <w:lang w:eastAsia="zh-CN"/>
        </w:rPr>
        <w:t>CBD/COP/14/L.5</w:t>
      </w:r>
      <w:r w:rsidRPr="003B7661">
        <w:rPr>
          <w:rFonts w:eastAsia="Times New Roman" w:hAnsi="SimSun"/>
          <w:sz w:val="24"/>
          <w:szCs w:val="24"/>
          <w:lang w:eastAsia="zh-CN"/>
        </w:rPr>
        <w:t>，</w:t>
      </w:r>
      <w:r>
        <w:rPr>
          <w:rFonts w:eastAsia="Times New Roman" w:hAnsi="SimSun"/>
          <w:sz w:val="24"/>
          <w:szCs w:val="24"/>
          <w:lang w:eastAsia="zh-CN"/>
        </w:rPr>
        <w:t>并</w:t>
      </w:r>
      <w:r w:rsidR="00EA4BF6">
        <w:rPr>
          <w:rFonts w:eastAsiaTheme="minorEastAsia" w:hAnsi="SimSun" w:hint="eastAsia"/>
          <w:sz w:val="24"/>
          <w:szCs w:val="24"/>
          <w:lang w:eastAsia="zh-CN"/>
        </w:rPr>
        <w:t>决定</w:t>
      </w:r>
      <w:r>
        <w:rPr>
          <w:rFonts w:eastAsia="Times New Roman" w:hAnsi="SimSun"/>
          <w:sz w:val="24"/>
          <w:szCs w:val="24"/>
          <w:lang w:eastAsia="zh-CN"/>
        </w:rPr>
        <w:t>推迟对其作出结论，以便使一名代表有时间与其本国政府进行协商。</w:t>
      </w:r>
    </w:p>
    <w:p w:rsidR="00EA4BF6" w:rsidRPr="00AF6DB8" w:rsidRDefault="00EA4BF6" w:rsidP="00AF6DB8">
      <w:pPr>
        <w:pStyle w:val="Para1"/>
        <w:numPr>
          <w:ilvl w:val="0"/>
          <w:numId w:val="9"/>
        </w:numPr>
        <w:tabs>
          <w:tab w:val="clear" w:pos="360"/>
          <w:tab w:val="left" w:pos="720"/>
        </w:tabs>
        <w:ind w:firstLine="0"/>
        <w:rPr>
          <w:rFonts w:eastAsia="Times New Roman" w:hAnsi="SimSun"/>
          <w:sz w:val="24"/>
          <w:szCs w:val="24"/>
          <w:lang w:eastAsia="zh-CN"/>
        </w:rPr>
      </w:pPr>
      <w:r w:rsidRPr="00AF6DB8">
        <w:rPr>
          <w:rFonts w:eastAsia="SimSun" w:hAnsi="SimSun" w:hint="eastAsia"/>
          <w:sz w:val="24"/>
          <w:szCs w:val="24"/>
          <w:lang w:eastAsia="zh-CN"/>
        </w:rPr>
        <w:t>在</w:t>
      </w:r>
      <w:r w:rsidRPr="00AF6DB8">
        <w:rPr>
          <w:rFonts w:eastAsia="SimSun" w:hAnsi="SimSun"/>
          <w:sz w:val="24"/>
          <w:szCs w:val="24"/>
          <w:lang w:eastAsia="zh-CN"/>
        </w:rPr>
        <w:t>2018</w:t>
      </w:r>
      <w:r w:rsidRPr="00AF6DB8">
        <w:rPr>
          <w:rFonts w:eastAsia="SimSun" w:hAnsi="SimSun" w:hint="eastAsia"/>
          <w:sz w:val="24"/>
          <w:szCs w:val="24"/>
          <w:lang w:eastAsia="zh-CN"/>
        </w:rPr>
        <w:t>年</w:t>
      </w:r>
      <w:r w:rsidRPr="00AF6DB8">
        <w:rPr>
          <w:rFonts w:eastAsia="SimSun" w:hAnsi="SimSun"/>
          <w:sz w:val="24"/>
          <w:szCs w:val="24"/>
          <w:lang w:eastAsia="zh-CN"/>
        </w:rPr>
        <w:t>11</w:t>
      </w:r>
      <w:r w:rsidRPr="00AF6DB8">
        <w:rPr>
          <w:rFonts w:eastAsia="SimSun" w:hAnsi="SimSun" w:hint="eastAsia"/>
          <w:sz w:val="24"/>
          <w:szCs w:val="24"/>
          <w:lang w:eastAsia="zh-CN"/>
        </w:rPr>
        <w:t>月</w:t>
      </w:r>
      <w:r w:rsidR="00AF6DB8" w:rsidRPr="00AF6DB8">
        <w:rPr>
          <w:rFonts w:eastAsia="SimSun" w:hAnsi="SimSun"/>
          <w:sz w:val="24"/>
          <w:szCs w:val="24"/>
          <w:lang w:eastAsia="zh-CN"/>
        </w:rPr>
        <w:t>29</w:t>
      </w:r>
      <w:r w:rsidRPr="00AF6DB8">
        <w:rPr>
          <w:rFonts w:eastAsia="SimSun" w:hAnsi="SimSun" w:hint="eastAsia"/>
          <w:sz w:val="24"/>
          <w:szCs w:val="24"/>
          <w:lang w:eastAsia="zh-CN"/>
        </w:rPr>
        <w:t>日</w:t>
      </w:r>
      <w:r w:rsidR="00AF6DB8" w:rsidRPr="00AF6DB8">
        <w:rPr>
          <w:rFonts w:eastAsia="SimSun" w:hAnsi="SimSun" w:hint="eastAsia"/>
          <w:sz w:val="24"/>
          <w:szCs w:val="24"/>
          <w:lang w:eastAsia="zh-CN"/>
        </w:rPr>
        <w:t>会议的</w:t>
      </w:r>
      <w:r w:rsidRPr="00AF6DB8">
        <w:rPr>
          <w:rFonts w:eastAsia="SimSun" w:hAnsi="SimSun" w:hint="eastAsia"/>
          <w:sz w:val="24"/>
          <w:szCs w:val="24"/>
          <w:lang w:eastAsia="zh-CN"/>
        </w:rPr>
        <w:t>第</w:t>
      </w:r>
      <w:r w:rsidR="00AF6DB8" w:rsidRPr="00AF6DB8">
        <w:rPr>
          <w:rFonts w:eastAsia="SimSun" w:hAnsi="SimSun" w:hint="eastAsia"/>
          <w:sz w:val="24"/>
          <w:szCs w:val="24"/>
          <w:lang w:eastAsia="zh-CN"/>
        </w:rPr>
        <w:t>7</w:t>
      </w:r>
      <w:r w:rsidR="00B45641">
        <w:rPr>
          <w:rFonts w:eastAsia="SimSun" w:hAnsi="SimSun" w:hint="eastAsia"/>
          <w:sz w:val="24"/>
          <w:szCs w:val="24"/>
          <w:lang w:eastAsia="zh-CN"/>
        </w:rPr>
        <w:t>次全体会议</w:t>
      </w:r>
      <w:r w:rsidRPr="00AF6DB8">
        <w:rPr>
          <w:rFonts w:eastAsia="SimSun" w:hAnsi="SimSun" w:hint="eastAsia"/>
          <w:sz w:val="24"/>
          <w:szCs w:val="24"/>
          <w:lang w:eastAsia="zh-CN"/>
        </w:rPr>
        <w:t>上，</w:t>
      </w:r>
      <w:r w:rsidR="00AF6DB8" w:rsidRPr="00AF6DB8">
        <w:rPr>
          <w:rFonts w:eastAsia="SimSun" w:hAnsi="SimSun" w:hint="eastAsia"/>
          <w:sz w:val="24"/>
          <w:szCs w:val="24"/>
          <w:lang w:eastAsia="zh-CN"/>
        </w:rPr>
        <w:t>缔约方大会恢复</w:t>
      </w:r>
      <w:r w:rsidR="00AF6DB8" w:rsidRPr="00AF6DB8">
        <w:rPr>
          <w:rFonts w:eastAsia="SimSun" w:hAnsi="SimSun"/>
          <w:sz w:val="24"/>
          <w:szCs w:val="24"/>
          <w:lang w:eastAsia="zh-CN"/>
        </w:rPr>
        <w:t>审议决定草案</w:t>
      </w:r>
      <w:r w:rsidR="00AF6DB8" w:rsidRPr="00AF6DB8">
        <w:rPr>
          <w:rFonts w:eastAsia="Times New Roman" w:hAnsi="SimSun"/>
          <w:sz w:val="24"/>
          <w:szCs w:val="24"/>
          <w:lang w:eastAsia="zh-CN"/>
        </w:rPr>
        <w:t>CBD/COP/14/L.5</w:t>
      </w:r>
      <w:r w:rsidR="00AF6DB8" w:rsidRPr="00AF6DB8">
        <w:rPr>
          <w:rFonts w:eastAsiaTheme="minorEastAsia" w:hAnsi="SimSun" w:hint="eastAsia"/>
          <w:sz w:val="24"/>
          <w:szCs w:val="24"/>
          <w:lang w:eastAsia="zh-CN"/>
        </w:rPr>
        <w:t>。</w:t>
      </w:r>
    </w:p>
    <w:p w:rsidR="00AF6DB8" w:rsidRPr="00AF6DB8" w:rsidRDefault="00AF6DB8" w:rsidP="00EA4BF6">
      <w:pPr>
        <w:pStyle w:val="Para1"/>
        <w:numPr>
          <w:ilvl w:val="0"/>
          <w:numId w:val="9"/>
        </w:numPr>
        <w:tabs>
          <w:tab w:val="clear" w:pos="360"/>
          <w:tab w:val="left" w:pos="720"/>
        </w:tabs>
        <w:ind w:firstLine="0"/>
        <w:rPr>
          <w:rFonts w:eastAsia="Times New Roman" w:hAnsi="SimSun"/>
          <w:sz w:val="24"/>
          <w:szCs w:val="24"/>
          <w:lang w:eastAsia="zh-CN"/>
        </w:rPr>
      </w:pPr>
      <w:r w:rsidRPr="00C51217">
        <w:rPr>
          <w:rFonts w:eastAsia="Times New Roman" w:hAnsi="SimSun"/>
          <w:sz w:val="24"/>
          <w:szCs w:val="24"/>
          <w:lang w:eastAsia="zh-CN"/>
        </w:rPr>
        <w:t>下列国家的代表</w:t>
      </w:r>
      <w:r w:rsidR="006952B0">
        <w:rPr>
          <w:rFonts w:ascii="SimSun" w:eastAsia="SimSun" w:hAnsi="SimSun" w:cs="SimSun" w:hint="eastAsia"/>
          <w:sz w:val="24"/>
          <w:szCs w:val="24"/>
          <w:lang w:eastAsia="zh-CN"/>
        </w:rPr>
        <w:t>作了发言</w:t>
      </w:r>
      <w:r w:rsidRPr="00C51217">
        <w:rPr>
          <w:rFonts w:eastAsia="Times New Roman" w:hAnsi="SimSun"/>
          <w:sz w:val="24"/>
          <w:szCs w:val="24"/>
          <w:lang w:eastAsia="zh-CN"/>
        </w:rPr>
        <w:t>：</w:t>
      </w:r>
      <w:r>
        <w:rPr>
          <w:rFonts w:eastAsiaTheme="minorEastAsia" w:hAnsi="SimSun" w:hint="eastAsia"/>
          <w:sz w:val="24"/>
          <w:szCs w:val="24"/>
          <w:lang w:eastAsia="zh-CN"/>
        </w:rPr>
        <w:t>多民族玻利维亚国、</w:t>
      </w:r>
      <w:r>
        <w:rPr>
          <w:rFonts w:eastAsiaTheme="minorEastAsia" w:hAnsi="SimSun"/>
          <w:sz w:val="24"/>
          <w:szCs w:val="24"/>
          <w:lang w:eastAsia="zh-CN"/>
        </w:rPr>
        <w:t>巴西、哥斯达黎加和摩洛哥。</w:t>
      </w:r>
    </w:p>
    <w:p w:rsidR="00AF6DB8" w:rsidRPr="00AF6DB8" w:rsidRDefault="00AF6DB8" w:rsidP="00AF6DB8">
      <w:pPr>
        <w:pStyle w:val="Para1"/>
        <w:numPr>
          <w:ilvl w:val="0"/>
          <w:numId w:val="9"/>
        </w:numPr>
        <w:tabs>
          <w:tab w:val="clear" w:pos="360"/>
          <w:tab w:val="left" w:pos="720"/>
        </w:tabs>
        <w:ind w:firstLine="0"/>
        <w:rPr>
          <w:rFonts w:eastAsia="Times New Roman" w:hAnsi="SimSun"/>
          <w:sz w:val="24"/>
          <w:szCs w:val="24"/>
          <w:lang w:eastAsia="zh-CN"/>
        </w:rPr>
      </w:pPr>
      <w:r w:rsidRPr="00AF6DB8">
        <w:rPr>
          <w:rFonts w:eastAsia="SimSun" w:hAnsi="SimSun" w:hint="eastAsia"/>
          <w:sz w:val="24"/>
          <w:szCs w:val="24"/>
          <w:lang w:eastAsia="zh-CN"/>
        </w:rPr>
        <w:t>在</w:t>
      </w:r>
      <w:r w:rsidRPr="00AF6DB8">
        <w:rPr>
          <w:rFonts w:eastAsia="SimSun" w:hAnsi="SimSun"/>
          <w:sz w:val="24"/>
          <w:szCs w:val="24"/>
          <w:lang w:eastAsia="zh-CN"/>
        </w:rPr>
        <w:t>2018</w:t>
      </w:r>
      <w:r w:rsidRPr="00AF6DB8">
        <w:rPr>
          <w:rFonts w:eastAsia="SimSun" w:hAnsi="SimSun" w:hint="eastAsia"/>
          <w:sz w:val="24"/>
          <w:szCs w:val="24"/>
          <w:lang w:eastAsia="zh-CN"/>
        </w:rPr>
        <w:t>年</w:t>
      </w:r>
      <w:r w:rsidRPr="00AF6DB8">
        <w:rPr>
          <w:rFonts w:eastAsia="SimSun" w:hAnsi="SimSun"/>
          <w:sz w:val="24"/>
          <w:szCs w:val="24"/>
          <w:lang w:eastAsia="zh-CN"/>
        </w:rPr>
        <w:t>11</w:t>
      </w:r>
      <w:r w:rsidRPr="00AF6DB8">
        <w:rPr>
          <w:rFonts w:eastAsia="SimSun" w:hAnsi="SimSun" w:hint="eastAsia"/>
          <w:sz w:val="24"/>
          <w:szCs w:val="24"/>
          <w:lang w:eastAsia="zh-CN"/>
        </w:rPr>
        <w:t>月</w:t>
      </w:r>
      <w:r w:rsidRPr="00AF6DB8">
        <w:rPr>
          <w:rFonts w:eastAsia="SimSun" w:hAnsi="SimSun"/>
          <w:sz w:val="24"/>
          <w:szCs w:val="24"/>
          <w:lang w:eastAsia="zh-CN"/>
        </w:rPr>
        <w:t>29</w:t>
      </w:r>
      <w:r w:rsidRPr="00AF6DB8">
        <w:rPr>
          <w:rFonts w:eastAsia="SimSun" w:hAnsi="SimSun" w:hint="eastAsia"/>
          <w:sz w:val="24"/>
          <w:szCs w:val="24"/>
          <w:lang w:eastAsia="zh-CN"/>
        </w:rPr>
        <w:t>日会议的第</w:t>
      </w:r>
      <w:r>
        <w:rPr>
          <w:rFonts w:eastAsia="SimSun" w:hAnsi="SimSun"/>
          <w:sz w:val="24"/>
          <w:szCs w:val="24"/>
          <w:lang w:eastAsia="zh-CN"/>
        </w:rPr>
        <w:t>8</w:t>
      </w:r>
      <w:r w:rsidR="00B45641">
        <w:rPr>
          <w:rFonts w:eastAsia="SimSun" w:hAnsi="SimSun" w:hint="eastAsia"/>
          <w:sz w:val="24"/>
          <w:szCs w:val="24"/>
          <w:lang w:eastAsia="zh-CN"/>
        </w:rPr>
        <w:t>次全体会议</w:t>
      </w:r>
      <w:r w:rsidRPr="00AF6DB8">
        <w:rPr>
          <w:rFonts w:eastAsia="SimSun" w:hAnsi="SimSun" w:hint="eastAsia"/>
          <w:sz w:val="24"/>
          <w:szCs w:val="24"/>
          <w:lang w:eastAsia="zh-CN"/>
        </w:rPr>
        <w:t>上，缔约方大会恢复</w:t>
      </w:r>
      <w:r w:rsidRPr="00AF6DB8">
        <w:rPr>
          <w:rFonts w:eastAsia="SimSun" w:hAnsi="SimSun"/>
          <w:sz w:val="24"/>
          <w:szCs w:val="24"/>
          <w:lang w:eastAsia="zh-CN"/>
        </w:rPr>
        <w:t>审议</w:t>
      </w:r>
      <w:r>
        <w:rPr>
          <w:rFonts w:eastAsia="SimSun" w:hAnsi="SimSun" w:hint="eastAsia"/>
          <w:sz w:val="24"/>
          <w:szCs w:val="24"/>
          <w:lang w:eastAsia="zh-CN"/>
        </w:rPr>
        <w:t>该</w:t>
      </w:r>
      <w:r w:rsidRPr="00AF6DB8">
        <w:rPr>
          <w:rFonts w:eastAsia="SimSun" w:hAnsi="SimSun"/>
          <w:sz w:val="24"/>
          <w:szCs w:val="24"/>
          <w:lang w:eastAsia="zh-CN"/>
        </w:rPr>
        <w:t>决定草案</w:t>
      </w:r>
      <w:r w:rsidRPr="00AF6DB8">
        <w:rPr>
          <w:rFonts w:eastAsiaTheme="minorEastAsia" w:hAnsi="SimSun" w:hint="eastAsia"/>
          <w:sz w:val="24"/>
          <w:szCs w:val="24"/>
          <w:lang w:eastAsia="zh-CN"/>
        </w:rPr>
        <w:t>。</w:t>
      </w:r>
    </w:p>
    <w:p w:rsidR="00AF6DB8" w:rsidRPr="00AF6DB8" w:rsidRDefault="00AF6DB8" w:rsidP="00AF6DB8">
      <w:pPr>
        <w:pStyle w:val="Para1"/>
        <w:numPr>
          <w:ilvl w:val="0"/>
          <w:numId w:val="9"/>
        </w:numPr>
        <w:tabs>
          <w:tab w:val="clear" w:pos="360"/>
          <w:tab w:val="left" w:pos="720"/>
        </w:tabs>
        <w:ind w:firstLine="0"/>
        <w:rPr>
          <w:rFonts w:eastAsia="Times New Roman" w:hAnsi="SimSun"/>
          <w:sz w:val="24"/>
          <w:szCs w:val="24"/>
          <w:lang w:eastAsia="zh-CN"/>
        </w:rPr>
      </w:pPr>
      <w:r w:rsidRPr="00C51217">
        <w:rPr>
          <w:rFonts w:eastAsia="Times New Roman" w:hAnsi="SimSun"/>
          <w:sz w:val="24"/>
          <w:szCs w:val="24"/>
          <w:lang w:eastAsia="zh-CN"/>
        </w:rPr>
        <w:t>下列国家的代表</w:t>
      </w:r>
      <w:r w:rsidR="006952B0">
        <w:rPr>
          <w:rFonts w:ascii="SimSun" w:eastAsia="SimSun" w:hAnsi="SimSun" w:cs="SimSun" w:hint="eastAsia"/>
          <w:sz w:val="24"/>
          <w:szCs w:val="24"/>
          <w:lang w:eastAsia="zh-CN"/>
        </w:rPr>
        <w:t>作了发言</w:t>
      </w:r>
      <w:r w:rsidRPr="00C51217">
        <w:rPr>
          <w:rFonts w:eastAsia="Times New Roman" w:hAnsi="SimSun"/>
          <w:sz w:val="24"/>
          <w:szCs w:val="24"/>
          <w:lang w:eastAsia="zh-CN"/>
        </w:rPr>
        <w:t>：</w:t>
      </w:r>
      <w:r>
        <w:rPr>
          <w:rFonts w:eastAsiaTheme="minorEastAsia" w:hAnsi="SimSun" w:hint="eastAsia"/>
          <w:sz w:val="24"/>
          <w:szCs w:val="24"/>
          <w:lang w:eastAsia="zh-CN"/>
        </w:rPr>
        <w:t>多民族玻利维亚国、</w:t>
      </w:r>
      <w:r>
        <w:rPr>
          <w:rFonts w:eastAsiaTheme="minorEastAsia" w:hAnsi="SimSun"/>
          <w:sz w:val="24"/>
          <w:szCs w:val="24"/>
          <w:lang w:eastAsia="zh-CN"/>
        </w:rPr>
        <w:t>巴西</w:t>
      </w:r>
      <w:r>
        <w:rPr>
          <w:rFonts w:eastAsiaTheme="minorEastAsia" w:hAnsi="SimSun" w:hint="eastAsia"/>
          <w:sz w:val="24"/>
          <w:szCs w:val="24"/>
          <w:lang w:eastAsia="zh-CN"/>
        </w:rPr>
        <w:t>和</w:t>
      </w:r>
      <w:r>
        <w:rPr>
          <w:rFonts w:eastAsiaTheme="minorEastAsia" w:hAnsi="SimSun"/>
          <w:sz w:val="24"/>
          <w:szCs w:val="24"/>
          <w:lang w:eastAsia="zh-CN"/>
        </w:rPr>
        <w:t>欧洲联盟及其</w:t>
      </w:r>
      <w:r>
        <w:rPr>
          <w:rFonts w:eastAsiaTheme="minorEastAsia" w:hAnsi="SimSun" w:hint="eastAsia"/>
          <w:sz w:val="24"/>
          <w:szCs w:val="24"/>
          <w:lang w:eastAsia="zh-CN"/>
        </w:rPr>
        <w:t>28</w:t>
      </w:r>
      <w:r>
        <w:rPr>
          <w:rFonts w:eastAsiaTheme="minorEastAsia" w:hAnsi="SimSun" w:hint="eastAsia"/>
          <w:sz w:val="24"/>
          <w:szCs w:val="24"/>
          <w:lang w:eastAsia="zh-CN"/>
        </w:rPr>
        <w:t>个成员国</w:t>
      </w:r>
      <w:r>
        <w:rPr>
          <w:rFonts w:eastAsiaTheme="minorEastAsia" w:hAnsi="SimSun"/>
          <w:sz w:val="24"/>
          <w:szCs w:val="24"/>
          <w:lang w:eastAsia="zh-CN"/>
        </w:rPr>
        <w:t>。</w:t>
      </w:r>
    </w:p>
    <w:p w:rsidR="00AF6DB8" w:rsidRPr="00EA4BF6" w:rsidRDefault="00AF6DB8" w:rsidP="00AF6DB8">
      <w:pPr>
        <w:pStyle w:val="Para1"/>
        <w:numPr>
          <w:ilvl w:val="0"/>
          <w:numId w:val="9"/>
        </w:numPr>
        <w:tabs>
          <w:tab w:val="clear" w:pos="360"/>
          <w:tab w:val="left" w:pos="720"/>
        </w:tabs>
        <w:ind w:firstLine="0"/>
        <w:rPr>
          <w:kern w:val="22"/>
          <w:sz w:val="24"/>
          <w:lang w:eastAsia="zh-CN"/>
        </w:rPr>
      </w:pPr>
      <w:r w:rsidRPr="00EA4BF6">
        <w:rPr>
          <w:rFonts w:eastAsia="SimSun"/>
          <w:color w:val="000000"/>
          <w:kern w:val="22"/>
          <w:sz w:val="24"/>
          <w:szCs w:val="24"/>
          <w:lang w:eastAsia="zh-CN"/>
        </w:rPr>
        <w:t>缔约方大会通过了经口头</w:t>
      </w:r>
      <w:r w:rsidRPr="00EA4BF6">
        <w:rPr>
          <w:rFonts w:eastAsia="SimSun" w:hint="eastAsia"/>
          <w:sz w:val="24"/>
          <w:szCs w:val="24"/>
          <w:lang w:val="en-US" w:eastAsia="zh-CN"/>
        </w:rPr>
        <w:t>修正</w:t>
      </w:r>
      <w:r w:rsidRPr="00EA4BF6">
        <w:rPr>
          <w:rFonts w:eastAsia="SimSun"/>
          <w:color w:val="000000"/>
          <w:kern w:val="22"/>
          <w:sz w:val="24"/>
          <w:szCs w:val="24"/>
          <w:lang w:eastAsia="zh-CN"/>
        </w:rPr>
        <w:t>的的决定草案</w:t>
      </w:r>
      <w:r>
        <w:rPr>
          <w:kern w:val="22"/>
          <w:sz w:val="24"/>
          <w:lang w:eastAsia="zh-CN"/>
        </w:rPr>
        <w:t>CBD/COP/14/L.5</w:t>
      </w:r>
      <w:r w:rsidRPr="00EA4BF6">
        <w:rPr>
          <w:rFonts w:eastAsia="SimSun" w:hint="eastAsia"/>
          <w:color w:val="000000"/>
          <w:kern w:val="22"/>
          <w:sz w:val="24"/>
          <w:szCs w:val="24"/>
          <w:lang w:eastAsia="zh-CN"/>
        </w:rPr>
        <w:t>，</w:t>
      </w:r>
      <w:r w:rsidRPr="00EA4BF6">
        <w:rPr>
          <w:rFonts w:eastAsia="SimSun"/>
          <w:color w:val="000000"/>
          <w:kern w:val="22"/>
          <w:sz w:val="24"/>
          <w:szCs w:val="24"/>
          <w:lang w:eastAsia="zh-CN"/>
        </w:rPr>
        <w:t>成为第</w:t>
      </w:r>
      <w:r>
        <w:rPr>
          <w:kern w:val="22"/>
          <w:sz w:val="24"/>
          <w:lang w:eastAsia="zh-CN"/>
        </w:rPr>
        <w:t>14/15</w:t>
      </w:r>
      <w:r w:rsidRPr="00EA4BF6">
        <w:rPr>
          <w:rFonts w:eastAsia="SimSun" w:hint="eastAsia"/>
          <w:sz w:val="24"/>
          <w:szCs w:val="24"/>
          <w:lang w:val="en-US" w:eastAsia="zh-CN"/>
        </w:rPr>
        <w:t>号决定</w:t>
      </w:r>
      <w:r w:rsidRPr="00EA4BF6">
        <w:rPr>
          <w:rFonts w:eastAsia="SimSun"/>
          <w:sz w:val="24"/>
          <w:szCs w:val="24"/>
          <w:lang w:val="en-US" w:eastAsia="zh-CN"/>
        </w:rPr>
        <w:t>（</w:t>
      </w:r>
      <w:r w:rsidRPr="00EA4BF6">
        <w:rPr>
          <w:rFonts w:eastAsia="SimSun" w:hint="eastAsia"/>
          <w:sz w:val="24"/>
          <w:szCs w:val="24"/>
          <w:lang w:eastAsia="zh-CN"/>
        </w:rPr>
        <w:t>案文见</w:t>
      </w:r>
      <w:r w:rsidRPr="00EA4BF6">
        <w:rPr>
          <w:rFonts w:eastAsia="SimSun"/>
          <w:sz w:val="24"/>
          <w:szCs w:val="24"/>
          <w:lang w:eastAsia="zh-CN"/>
        </w:rPr>
        <w:t>第一章</w:t>
      </w:r>
      <w:r w:rsidRPr="00EA4BF6">
        <w:rPr>
          <w:rFonts w:eastAsia="SimSun" w:hint="eastAsia"/>
          <w:sz w:val="24"/>
          <w:szCs w:val="24"/>
          <w:lang w:eastAsia="zh-CN"/>
        </w:rPr>
        <w:t>）。</w:t>
      </w:r>
    </w:p>
    <w:p w:rsidR="008D76BF" w:rsidRPr="003B7661" w:rsidRDefault="008D76BF" w:rsidP="00EA4BF6">
      <w:pPr>
        <w:pStyle w:val="Para1"/>
        <w:tabs>
          <w:tab w:val="clear" w:pos="360"/>
          <w:tab w:val="left" w:pos="720"/>
        </w:tabs>
        <w:ind w:firstLine="0"/>
        <w:jc w:val="center"/>
        <w:rPr>
          <w:rFonts w:eastAsia="Times New Roman" w:hAnsi="SimSun"/>
          <w:sz w:val="24"/>
          <w:szCs w:val="24"/>
          <w:lang w:eastAsia="zh-CN"/>
        </w:rPr>
      </w:pPr>
      <w:r w:rsidRPr="00C51217">
        <w:rPr>
          <w:rFonts w:ascii="SimSun" w:eastAsia="KaiTi" w:hAnsi="SimSun" w:cs="SimSun" w:hint="eastAsia"/>
          <w:sz w:val="24"/>
          <w:szCs w:val="24"/>
          <w:lang w:eastAsia="zh-CN"/>
        </w:rPr>
        <w:t>关于土著人民和地方社区的贡献的方法指导</w:t>
      </w:r>
    </w:p>
    <w:p w:rsidR="008D76BF" w:rsidRPr="000E4306" w:rsidRDefault="006B2851" w:rsidP="00750ECD">
      <w:pPr>
        <w:pStyle w:val="Para1"/>
        <w:numPr>
          <w:ilvl w:val="0"/>
          <w:numId w:val="9"/>
        </w:numPr>
        <w:tabs>
          <w:tab w:val="clear" w:pos="360"/>
          <w:tab w:val="left" w:pos="720"/>
        </w:tabs>
        <w:ind w:firstLine="0"/>
        <w:rPr>
          <w:rFonts w:eastAsia="Times New Roman" w:hAnsi="SimSun"/>
          <w:sz w:val="24"/>
          <w:szCs w:val="24"/>
          <w:lang w:eastAsia="zh-CN"/>
        </w:rPr>
      </w:pPr>
      <w:r>
        <w:rPr>
          <w:rFonts w:eastAsiaTheme="minorEastAsia" w:hAnsi="SimSun" w:hint="eastAsia"/>
          <w:sz w:val="24"/>
          <w:szCs w:val="24"/>
          <w:lang w:eastAsia="zh-CN"/>
        </w:rPr>
        <w:t>工作组</w:t>
      </w:r>
      <w:r w:rsidR="008D76BF" w:rsidRPr="00C51217">
        <w:rPr>
          <w:rFonts w:eastAsia="Times New Roman" w:hAnsi="SimSun"/>
          <w:sz w:val="24"/>
          <w:szCs w:val="24"/>
          <w:lang w:eastAsia="zh-CN"/>
        </w:rPr>
        <w:t>在</w:t>
      </w:r>
      <w:r w:rsidR="008D76BF" w:rsidRPr="000E4306">
        <w:rPr>
          <w:rFonts w:eastAsia="Times New Roman" w:hAnsi="SimSun"/>
          <w:sz w:val="24"/>
          <w:szCs w:val="24"/>
          <w:lang w:eastAsia="zh-CN"/>
        </w:rPr>
        <w:t>2018</w:t>
      </w:r>
      <w:r w:rsidR="008D76BF" w:rsidRPr="00C51217">
        <w:rPr>
          <w:rFonts w:eastAsia="Times New Roman" w:hAnsi="SimSun"/>
          <w:sz w:val="24"/>
          <w:szCs w:val="24"/>
          <w:lang w:eastAsia="zh-CN"/>
        </w:rPr>
        <w:t>年</w:t>
      </w:r>
      <w:r w:rsidR="008D76BF" w:rsidRPr="000E4306">
        <w:rPr>
          <w:rFonts w:eastAsia="Times New Roman" w:hAnsi="SimSun"/>
          <w:sz w:val="24"/>
          <w:szCs w:val="24"/>
          <w:lang w:eastAsia="zh-CN"/>
        </w:rPr>
        <w:t>11</w:t>
      </w:r>
      <w:r w:rsidR="008D76BF" w:rsidRPr="00C51217">
        <w:rPr>
          <w:rFonts w:eastAsia="Times New Roman" w:hAnsi="SimSun"/>
          <w:sz w:val="24"/>
          <w:szCs w:val="24"/>
          <w:lang w:eastAsia="zh-CN"/>
        </w:rPr>
        <w:t>月</w:t>
      </w:r>
      <w:r w:rsidR="008D76BF" w:rsidRPr="000E4306">
        <w:rPr>
          <w:rFonts w:eastAsia="Times New Roman" w:hAnsi="SimSun"/>
          <w:sz w:val="24"/>
          <w:szCs w:val="24"/>
          <w:lang w:eastAsia="zh-CN"/>
        </w:rPr>
        <w:t>22</w:t>
      </w:r>
      <w:r w:rsidR="008D76BF" w:rsidRPr="00C51217">
        <w:rPr>
          <w:rFonts w:eastAsia="Times New Roman" w:hAnsi="SimSun"/>
          <w:sz w:val="24"/>
          <w:szCs w:val="24"/>
          <w:lang w:eastAsia="zh-CN"/>
        </w:rPr>
        <w:t>日</w:t>
      </w:r>
      <w:r>
        <w:rPr>
          <w:rFonts w:eastAsiaTheme="minorEastAsia" w:hAnsi="SimSun" w:hint="eastAsia"/>
          <w:sz w:val="24"/>
          <w:szCs w:val="24"/>
          <w:lang w:eastAsia="zh-CN"/>
        </w:rPr>
        <w:t>其</w:t>
      </w:r>
      <w:r w:rsidR="008D76BF" w:rsidRPr="00C51217">
        <w:rPr>
          <w:rFonts w:eastAsia="Times New Roman" w:hAnsi="SimSun"/>
          <w:sz w:val="24"/>
          <w:szCs w:val="24"/>
          <w:lang w:eastAsia="zh-CN"/>
        </w:rPr>
        <w:t>第</w:t>
      </w:r>
      <w:r w:rsidR="008D76BF" w:rsidRPr="000E4306">
        <w:rPr>
          <w:rFonts w:eastAsia="Times New Roman" w:hAnsi="SimSun"/>
          <w:sz w:val="24"/>
          <w:szCs w:val="24"/>
          <w:lang w:eastAsia="zh-CN"/>
        </w:rPr>
        <w:t>8</w:t>
      </w:r>
      <w:r w:rsidR="008D76BF" w:rsidRPr="00C51217">
        <w:rPr>
          <w:rFonts w:eastAsia="Times New Roman" w:hAnsi="SimSun"/>
          <w:sz w:val="24"/>
          <w:szCs w:val="24"/>
          <w:lang w:eastAsia="zh-CN"/>
        </w:rPr>
        <w:t>场会议上还审议了主席编制的关于土著人民和地方社区贡献的方法指导的订正决定草案。</w:t>
      </w:r>
    </w:p>
    <w:p w:rsidR="008D76BF" w:rsidRPr="000E4306" w:rsidRDefault="008D76BF" w:rsidP="00750ECD">
      <w:pPr>
        <w:pStyle w:val="Para1"/>
        <w:numPr>
          <w:ilvl w:val="0"/>
          <w:numId w:val="9"/>
        </w:numPr>
        <w:tabs>
          <w:tab w:val="clear" w:pos="360"/>
          <w:tab w:val="left" w:pos="720"/>
        </w:tabs>
        <w:ind w:firstLine="0"/>
        <w:rPr>
          <w:rFonts w:eastAsia="Times New Roman" w:hAnsi="SimSun"/>
          <w:sz w:val="24"/>
          <w:szCs w:val="24"/>
          <w:lang w:eastAsia="zh-CN"/>
        </w:rPr>
      </w:pPr>
      <w:r w:rsidRPr="00C51217">
        <w:rPr>
          <w:rFonts w:eastAsia="Times New Roman" w:hAnsi="SimSun"/>
          <w:sz w:val="24"/>
          <w:szCs w:val="24"/>
          <w:lang w:eastAsia="zh-CN"/>
        </w:rPr>
        <w:t>下列国家的代表</w:t>
      </w:r>
      <w:r w:rsidR="006952B0">
        <w:rPr>
          <w:rFonts w:ascii="SimSun" w:eastAsia="SimSun" w:hAnsi="SimSun" w:cs="SimSun" w:hint="eastAsia"/>
          <w:sz w:val="24"/>
          <w:szCs w:val="24"/>
          <w:lang w:eastAsia="zh-CN"/>
        </w:rPr>
        <w:t>作了发言</w:t>
      </w:r>
      <w:r w:rsidRPr="00C51217">
        <w:rPr>
          <w:rFonts w:eastAsia="Times New Roman" w:hAnsi="SimSun"/>
          <w:sz w:val="24"/>
          <w:szCs w:val="24"/>
          <w:lang w:eastAsia="zh-CN"/>
        </w:rPr>
        <w:t>：摩洛哥、新西兰和菲律宾。</w:t>
      </w:r>
    </w:p>
    <w:p w:rsidR="008D76BF" w:rsidRDefault="008D76BF" w:rsidP="00750ECD">
      <w:pPr>
        <w:pStyle w:val="Para1"/>
        <w:numPr>
          <w:ilvl w:val="0"/>
          <w:numId w:val="9"/>
        </w:numPr>
        <w:tabs>
          <w:tab w:val="clear" w:pos="360"/>
          <w:tab w:val="left" w:pos="720"/>
        </w:tabs>
        <w:ind w:firstLine="0"/>
        <w:rPr>
          <w:rFonts w:eastAsia="Times New Roman" w:hAnsi="SimSun"/>
          <w:sz w:val="24"/>
          <w:szCs w:val="24"/>
          <w:lang w:eastAsia="zh-CN"/>
        </w:rPr>
      </w:pPr>
      <w:r w:rsidRPr="00C51217">
        <w:rPr>
          <w:rFonts w:eastAsia="Times New Roman" w:hAnsi="SimSun"/>
          <w:sz w:val="24"/>
          <w:szCs w:val="24"/>
          <w:lang w:eastAsia="zh-CN"/>
        </w:rPr>
        <w:t>经交换意见后，工作组核准了关于土著人民和地方社区贡献的方法指导的订正决定草案，作为决定草案</w:t>
      </w:r>
      <w:r w:rsidRPr="000E4306">
        <w:rPr>
          <w:rFonts w:eastAsia="Times New Roman" w:hAnsi="SimSun"/>
          <w:sz w:val="24"/>
          <w:szCs w:val="24"/>
          <w:lang w:eastAsia="zh-CN"/>
        </w:rPr>
        <w:t>CBD/COP/14/L.6</w:t>
      </w:r>
      <w:r w:rsidRPr="00C51217">
        <w:rPr>
          <w:rFonts w:eastAsia="Times New Roman" w:hAnsi="SimSun"/>
          <w:sz w:val="24"/>
          <w:szCs w:val="24"/>
          <w:lang w:eastAsia="zh-CN"/>
        </w:rPr>
        <w:t>转交全体会议。</w:t>
      </w:r>
    </w:p>
    <w:p w:rsidR="008D76BF" w:rsidRPr="000E4306" w:rsidRDefault="008D76BF" w:rsidP="00750ECD">
      <w:pPr>
        <w:pStyle w:val="Para1"/>
        <w:numPr>
          <w:ilvl w:val="0"/>
          <w:numId w:val="9"/>
        </w:numPr>
        <w:tabs>
          <w:tab w:val="clear" w:pos="360"/>
          <w:tab w:val="left" w:pos="720"/>
        </w:tabs>
        <w:ind w:firstLine="0"/>
        <w:rPr>
          <w:rFonts w:eastAsia="Times New Roman" w:hAnsi="SimSun"/>
          <w:sz w:val="24"/>
          <w:szCs w:val="24"/>
          <w:lang w:eastAsia="zh-CN"/>
        </w:rPr>
      </w:pPr>
      <w:r w:rsidRPr="004C6510">
        <w:rPr>
          <w:rFonts w:ascii="SimSun" w:eastAsia="SimSun" w:hAnsi="SimSun" w:cs="SimSun" w:hint="eastAsia"/>
          <w:sz w:val="24"/>
          <w:szCs w:val="24"/>
          <w:lang w:eastAsia="zh-CN"/>
        </w:rPr>
        <w:t>在</w:t>
      </w:r>
      <w:r w:rsidRPr="004C6510">
        <w:rPr>
          <w:rFonts w:eastAsia="Times New Roman"/>
          <w:sz w:val="24"/>
          <w:szCs w:val="24"/>
          <w:lang w:eastAsia="zh-CN"/>
        </w:rPr>
        <w:t>2018</w:t>
      </w:r>
      <w:r w:rsidRPr="004C6510">
        <w:rPr>
          <w:rFonts w:ascii="SimSun" w:eastAsia="SimSun" w:hAnsi="SimSun" w:cs="SimSun" w:hint="eastAsia"/>
          <w:sz w:val="24"/>
          <w:szCs w:val="24"/>
          <w:lang w:eastAsia="zh-CN"/>
        </w:rPr>
        <w:t>年</w:t>
      </w:r>
      <w:r w:rsidRPr="004C6510">
        <w:rPr>
          <w:rFonts w:eastAsia="Times New Roman"/>
          <w:sz w:val="24"/>
          <w:szCs w:val="24"/>
          <w:lang w:eastAsia="zh-CN"/>
        </w:rPr>
        <w:t>11</w:t>
      </w:r>
      <w:r w:rsidRPr="004C6510">
        <w:rPr>
          <w:rFonts w:ascii="SimSun" w:eastAsia="SimSun" w:hAnsi="SimSun" w:cs="SimSun" w:hint="eastAsia"/>
          <w:sz w:val="24"/>
          <w:szCs w:val="24"/>
          <w:lang w:eastAsia="zh-CN"/>
        </w:rPr>
        <w:t>月</w:t>
      </w:r>
      <w:r w:rsidRPr="004C6510">
        <w:rPr>
          <w:rFonts w:eastAsia="Times New Roman"/>
          <w:sz w:val="24"/>
          <w:szCs w:val="24"/>
          <w:lang w:eastAsia="zh-CN"/>
        </w:rPr>
        <w:t>2</w:t>
      </w:r>
      <w:r>
        <w:rPr>
          <w:rFonts w:eastAsia="Times New Roman"/>
          <w:sz w:val="24"/>
          <w:szCs w:val="24"/>
          <w:lang w:eastAsia="zh-CN"/>
        </w:rPr>
        <w:t>5</w:t>
      </w:r>
      <w:r w:rsidR="00EA4BF6">
        <w:rPr>
          <w:rFonts w:ascii="SimSun" w:eastAsia="SimSun" w:hAnsi="SimSun" w:cs="SimSun" w:hint="eastAsia"/>
          <w:sz w:val="24"/>
          <w:szCs w:val="24"/>
          <w:lang w:eastAsia="zh-CN"/>
        </w:rPr>
        <w:t>日</w:t>
      </w:r>
      <w:r w:rsidR="006B2851">
        <w:rPr>
          <w:rFonts w:ascii="SimSun" w:eastAsia="SimSun" w:hAnsi="SimSun" w:cs="SimSun" w:hint="eastAsia"/>
          <w:sz w:val="24"/>
          <w:szCs w:val="24"/>
          <w:lang w:eastAsia="zh-CN"/>
        </w:rPr>
        <w:t>会议的</w:t>
      </w:r>
      <w:r w:rsidRPr="004C6510">
        <w:rPr>
          <w:rFonts w:ascii="SimSun" w:eastAsia="SimSun" w:hAnsi="SimSun" w:cs="SimSun" w:hint="eastAsia"/>
          <w:sz w:val="24"/>
          <w:szCs w:val="24"/>
          <w:lang w:eastAsia="zh-CN"/>
        </w:rPr>
        <w:t>第</w:t>
      </w:r>
      <w:r>
        <w:rPr>
          <w:rFonts w:eastAsia="Times New Roman"/>
          <w:sz w:val="24"/>
          <w:szCs w:val="24"/>
          <w:lang w:eastAsia="zh-CN"/>
        </w:rPr>
        <w:t>5</w:t>
      </w:r>
      <w:r w:rsidR="00B45641">
        <w:rPr>
          <w:rFonts w:ascii="SimSun" w:eastAsia="SimSun" w:hAnsi="SimSun" w:cs="SimSun" w:hint="eastAsia"/>
          <w:sz w:val="24"/>
          <w:szCs w:val="24"/>
          <w:lang w:eastAsia="zh-CN"/>
        </w:rPr>
        <w:t>次全体会议</w:t>
      </w:r>
      <w:r w:rsidRPr="004C6510">
        <w:rPr>
          <w:rFonts w:ascii="SimSun" w:eastAsia="SimSun" w:hAnsi="SimSun" w:cs="SimSun" w:hint="eastAsia"/>
          <w:sz w:val="24"/>
          <w:szCs w:val="24"/>
          <w:lang w:eastAsia="zh-CN"/>
        </w:rPr>
        <w:t>上，缔约方大会通过了</w:t>
      </w:r>
      <w:r w:rsidR="00A434BF">
        <w:rPr>
          <w:rFonts w:ascii="SimSun" w:eastAsia="SimSun" w:hAnsi="SimSun" w:cs="SimSun" w:hint="eastAsia"/>
          <w:sz w:val="24"/>
          <w:szCs w:val="24"/>
          <w:lang w:eastAsia="zh-CN"/>
        </w:rPr>
        <w:t>决定草案</w:t>
      </w:r>
      <w:r w:rsidRPr="004C6510">
        <w:rPr>
          <w:sz w:val="24"/>
          <w:szCs w:val="24"/>
          <w:lang w:eastAsia="zh-CN"/>
        </w:rPr>
        <w:t>CBD/COP/14/L.</w:t>
      </w:r>
      <w:r>
        <w:rPr>
          <w:sz w:val="24"/>
          <w:szCs w:val="24"/>
          <w:lang w:eastAsia="zh-CN"/>
        </w:rPr>
        <w:t>6</w:t>
      </w:r>
      <w:r w:rsidRPr="004C6510">
        <w:rPr>
          <w:rFonts w:ascii="SimSun" w:eastAsia="SimSun" w:hAnsi="SimSun" w:cs="SimSun" w:hint="eastAsia"/>
          <w:sz w:val="24"/>
          <w:szCs w:val="24"/>
          <w:lang w:eastAsia="zh-CN"/>
        </w:rPr>
        <w:t>，成为第</w:t>
      </w:r>
      <w:r>
        <w:rPr>
          <w:rFonts w:ascii="SimSun" w:eastAsia="SimSun" w:hAnsi="SimSun" w:cs="SimSun"/>
          <w:sz w:val="24"/>
          <w:szCs w:val="24"/>
          <w:lang w:eastAsia="zh-CN"/>
        </w:rPr>
        <w:t>14</w:t>
      </w:r>
      <w:r w:rsidRPr="004C6510">
        <w:rPr>
          <w:sz w:val="24"/>
          <w:szCs w:val="24"/>
          <w:lang w:eastAsia="zh-CN"/>
        </w:rPr>
        <w:t>/</w:t>
      </w:r>
      <w:r w:rsidR="00AF6DB8">
        <w:rPr>
          <w:sz w:val="24"/>
          <w:szCs w:val="24"/>
          <w:lang w:eastAsia="zh-CN"/>
        </w:rPr>
        <w:t>16</w:t>
      </w:r>
      <w:r w:rsidRPr="004C6510">
        <w:rPr>
          <w:rFonts w:ascii="SimSun" w:eastAsia="SimSun" w:hAnsi="SimSun" w:cs="SimSun" w:hint="eastAsia"/>
          <w:sz w:val="24"/>
          <w:szCs w:val="24"/>
          <w:lang w:eastAsia="zh-CN"/>
        </w:rPr>
        <w:t>号决定。</w:t>
      </w:r>
    </w:p>
    <w:p w:rsidR="008D76BF" w:rsidRPr="00A252D1" w:rsidRDefault="008D76BF" w:rsidP="00AF6DB8">
      <w:pPr>
        <w:pStyle w:val="Para1"/>
        <w:tabs>
          <w:tab w:val="clear" w:pos="360"/>
          <w:tab w:val="left" w:pos="720"/>
        </w:tabs>
        <w:ind w:firstLine="0"/>
        <w:jc w:val="center"/>
        <w:rPr>
          <w:rFonts w:ascii="SimSun" w:eastAsia="KaiTi" w:hAnsi="SimSun" w:cs="SimSun"/>
          <w:sz w:val="24"/>
          <w:szCs w:val="24"/>
          <w:lang w:eastAsia="zh-CN"/>
        </w:rPr>
      </w:pPr>
      <w:r w:rsidRPr="00A252D1">
        <w:rPr>
          <w:rFonts w:ascii="SimSun" w:eastAsia="KaiTi" w:hAnsi="SimSun" w:cs="SimSun" w:hint="eastAsia"/>
          <w:sz w:val="24"/>
          <w:szCs w:val="24"/>
          <w:lang w:eastAsia="zh-CN"/>
        </w:rPr>
        <w:t>财务机制</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A252D1">
        <w:rPr>
          <w:rFonts w:ascii="SimSun" w:eastAsia="SimSun" w:hAnsi="SimSun" w:cs="SimSun" w:hint="eastAsia"/>
          <w:sz w:val="24"/>
          <w:szCs w:val="24"/>
          <w:lang w:eastAsia="zh-CN"/>
        </w:rPr>
        <w:t>第一工作组在</w:t>
      </w:r>
      <w:r w:rsidRPr="00C51217">
        <w:rPr>
          <w:rFonts w:eastAsia="Times New Roman"/>
          <w:sz w:val="24"/>
          <w:szCs w:val="24"/>
          <w:lang w:eastAsia="zh-CN"/>
        </w:rPr>
        <w:t>2018</w:t>
      </w:r>
      <w:r w:rsidRPr="00A252D1">
        <w:rPr>
          <w:rFonts w:ascii="SimSun" w:eastAsia="SimSun" w:hAnsi="SimSun" w:cs="SimSun" w:hint="eastAsia"/>
          <w:sz w:val="24"/>
          <w:szCs w:val="24"/>
          <w:lang w:eastAsia="zh-CN"/>
        </w:rPr>
        <w:t>年</w:t>
      </w:r>
      <w:r w:rsidRPr="00C51217">
        <w:rPr>
          <w:rFonts w:eastAsia="Times New Roman"/>
          <w:sz w:val="24"/>
          <w:szCs w:val="24"/>
          <w:lang w:eastAsia="zh-CN"/>
        </w:rPr>
        <w:t>11</w:t>
      </w:r>
      <w:r w:rsidRPr="00A252D1">
        <w:rPr>
          <w:rFonts w:ascii="SimSun" w:eastAsia="SimSun" w:hAnsi="SimSun" w:cs="SimSun" w:hint="eastAsia"/>
          <w:sz w:val="24"/>
          <w:szCs w:val="24"/>
          <w:lang w:eastAsia="zh-CN"/>
        </w:rPr>
        <w:t>月</w:t>
      </w:r>
      <w:r w:rsidRPr="00C51217">
        <w:rPr>
          <w:rFonts w:eastAsia="Times New Roman"/>
          <w:sz w:val="24"/>
          <w:szCs w:val="24"/>
          <w:lang w:eastAsia="zh-CN"/>
        </w:rPr>
        <w:t>19</w:t>
      </w:r>
      <w:r w:rsidRPr="00A252D1">
        <w:rPr>
          <w:rFonts w:ascii="SimSun" w:eastAsia="SimSun" w:hAnsi="SimSun" w:cs="SimSun" w:hint="eastAsia"/>
          <w:sz w:val="24"/>
          <w:szCs w:val="24"/>
          <w:lang w:eastAsia="zh-CN"/>
        </w:rPr>
        <w:t>日</w:t>
      </w:r>
      <w:r w:rsidR="006B2851">
        <w:rPr>
          <w:rFonts w:ascii="SimSun" w:eastAsia="SimSun" w:hAnsi="SimSun" w:cs="SimSun" w:hint="eastAsia"/>
          <w:sz w:val="24"/>
          <w:szCs w:val="24"/>
          <w:lang w:eastAsia="zh-CN"/>
        </w:rPr>
        <w:t>其</w:t>
      </w:r>
      <w:r w:rsidRPr="00A252D1">
        <w:rPr>
          <w:rFonts w:ascii="SimSun" w:eastAsia="SimSun" w:hAnsi="SimSun" w:cs="SimSun" w:hint="eastAsia"/>
          <w:sz w:val="24"/>
          <w:szCs w:val="24"/>
          <w:lang w:eastAsia="zh-CN"/>
        </w:rPr>
        <w:t>第</w:t>
      </w:r>
      <w:r w:rsidRPr="00C51217">
        <w:rPr>
          <w:rFonts w:eastAsia="Times New Roman"/>
          <w:sz w:val="24"/>
          <w:szCs w:val="24"/>
          <w:lang w:eastAsia="zh-CN"/>
        </w:rPr>
        <w:t>3</w:t>
      </w:r>
      <w:r w:rsidRPr="00A252D1">
        <w:rPr>
          <w:rFonts w:ascii="SimSun" w:eastAsia="SimSun" w:hAnsi="SimSun" w:cs="SimSun" w:hint="eastAsia"/>
          <w:sz w:val="24"/>
          <w:szCs w:val="24"/>
          <w:lang w:eastAsia="zh-CN"/>
        </w:rPr>
        <w:t>场会议上审议了议程项目</w:t>
      </w:r>
      <w:r w:rsidRPr="00C51217">
        <w:rPr>
          <w:rFonts w:eastAsia="Times New Roman"/>
          <w:sz w:val="24"/>
          <w:szCs w:val="24"/>
          <w:lang w:eastAsia="zh-CN"/>
        </w:rPr>
        <w:t>9</w:t>
      </w:r>
      <w:r w:rsidRPr="00A252D1">
        <w:rPr>
          <w:rFonts w:ascii="SimSun" w:eastAsia="SimSun" w:hAnsi="SimSun" w:cs="SimSun" w:hint="eastAsia"/>
          <w:sz w:val="24"/>
          <w:szCs w:val="24"/>
          <w:lang w:eastAsia="zh-CN"/>
        </w:rPr>
        <w:t>的第二分项目。在审议这个项目时，工作组</w:t>
      </w:r>
      <w:r w:rsidR="00B6762D">
        <w:rPr>
          <w:rFonts w:ascii="SimSun" w:eastAsia="SimSun" w:hAnsi="SimSun" w:cs="SimSun" w:hint="eastAsia"/>
          <w:sz w:val="24"/>
          <w:szCs w:val="24"/>
          <w:lang w:eastAsia="zh-CN"/>
        </w:rPr>
        <w:t>收到了</w:t>
      </w:r>
      <w:r w:rsidRPr="00A252D1">
        <w:rPr>
          <w:rFonts w:ascii="SimSun" w:eastAsia="SimSun" w:hAnsi="SimSun" w:cs="SimSun" w:hint="eastAsia"/>
          <w:sz w:val="24"/>
          <w:szCs w:val="24"/>
          <w:lang w:eastAsia="zh-CN"/>
        </w:rPr>
        <w:t>决定草案汇编（</w:t>
      </w:r>
      <w:r w:rsidRPr="00C51217">
        <w:rPr>
          <w:rFonts w:eastAsia="Times New Roman"/>
          <w:sz w:val="24"/>
          <w:szCs w:val="24"/>
          <w:lang w:eastAsia="zh-CN"/>
        </w:rPr>
        <w:t>CBD/COP/14/2</w:t>
      </w:r>
      <w:r w:rsidRPr="00A252D1">
        <w:rPr>
          <w:rFonts w:ascii="SimSun" w:eastAsia="SimSun" w:hAnsi="SimSun" w:cs="SimSun" w:hint="eastAsia"/>
          <w:sz w:val="24"/>
          <w:szCs w:val="24"/>
          <w:lang w:eastAsia="zh-CN"/>
        </w:rPr>
        <w:t>）</w:t>
      </w:r>
      <w:r w:rsidR="00B6762D">
        <w:rPr>
          <w:rFonts w:ascii="SimSun" w:eastAsia="SimSun" w:hAnsi="SimSun" w:cs="SimSun" w:hint="eastAsia"/>
          <w:sz w:val="24"/>
          <w:szCs w:val="24"/>
          <w:lang w:eastAsia="zh-CN"/>
        </w:rPr>
        <w:t>中</w:t>
      </w:r>
      <w:r w:rsidR="00B6762D">
        <w:rPr>
          <w:rFonts w:ascii="SimSun" w:eastAsia="SimSun" w:hAnsi="SimSun" w:cs="SimSun"/>
          <w:sz w:val="24"/>
          <w:szCs w:val="24"/>
          <w:lang w:eastAsia="zh-CN"/>
        </w:rPr>
        <w:t>所载</w:t>
      </w:r>
      <w:r w:rsidRPr="00A252D1">
        <w:rPr>
          <w:rFonts w:ascii="SimSun" w:eastAsia="SimSun" w:hAnsi="SimSun" w:cs="SimSun" w:hint="eastAsia"/>
          <w:sz w:val="24"/>
          <w:szCs w:val="24"/>
          <w:lang w:eastAsia="zh-CN"/>
        </w:rPr>
        <w:t>根据第</w:t>
      </w:r>
      <w:r w:rsidRPr="00C51217">
        <w:rPr>
          <w:rFonts w:eastAsia="Times New Roman"/>
          <w:sz w:val="24"/>
          <w:szCs w:val="24"/>
          <w:lang w:eastAsia="zh-CN"/>
        </w:rPr>
        <w:t>SBI-2/6</w:t>
      </w:r>
      <w:r w:rsidRPr="00A252D1">
        <w:rPr>
          <w:rFonts w:ascii="SimSun" w:eastAsia="SimSun" w:hAnsi="SimSun" w:cs="SimSun" w:hint="eastAsia"/>
          <w:sz w:val="24"/>
          <w:szCs w:val="24"/>
          <w:lang w:eastAsia="zh-CN"/>
        </w:rPr>
        <w:t>号和第</w:t>
      </w:r>
      <w:r w:rsidRPr="00C51217">
        <w:rPr>
          <w:rFonts w:eastAsia="Times New Roman"/>
          <w:sz w:val="24"/>
          <w:szCs w:val="24"/>
          <w:lang w:eastAsia="zh-CN"/>
        </w:rPr>
        <w:t>SBI-2/7</w:t>
      </w:r>
      <w:r w:rsidRPr="00A252D1">
        <w:rPr>
          <w:rFonts w:ascii="SimSun" w:eastAsia="SimSun" w:hAnsi="SimSun" w:cs="SimSun" w:hint="eastAsia"/>
          <w:sz w:val="24"/>
          <w:szCs w:val="24"/>
          <w:lang w:eastAsia="zh-CN"/>
        </w:rPr>
        <w:t>号建议编制的一份决定草案以及全球环境基金（全环基金）理事会提交的最后报告（</w:t>
      </w:r>
      <w:r w:rsidRPr="00C51217">
        <w:rPr>
          <w:rFonts w:eastAsia="Times New Roman"/>
          <w:sz w:val="24"/>
          <w:szCs w:val="24"/>
          <w:lang w:eastAsia="zh-CN"/>
        </w:rPr>
        <w:t>CBD/COP/14/7</w:t>
      </w:r>
      <w:r w:rsidRPr="00A252D1">
        <w:rPr>
          <w:rFonts w:ascii="SimSun" w:eastAsia="SimSun" w:hAnsi="SimSun" w:cs="SimSun" w:hint="eastAsia"/>
          <w:sz w:val="24"/>
          <w:szCs w:val="24"/>
          <w:lang w:eastAsia="zh-CN"/>
        </w:rPr>
        <w:t>）以及执行秘书关于财务机制的说明（</w:t>
      </w:r>
      <w:r w:rsidRPr="00C51217">
        <w:rPr>
          <w:rFonts w:eastAsia="Times New Roman"/>
          <w:sz w:val="24"/>
          <w:szCs w:val="24"/>
          <w:lang w:eastAsia="zh-CN"/>
        </w:rPr>
        <w:t>CBD/COP/14/8</w:t>
      </w:r>
      <w:r w:rsidRPr="00A252D1">
        <w:rPr>
          <w:rFonts w:ascii="SimSun" w:eastAsia="SimSun" w:hAnsi="SimSun" w:cs="SimSun" w:hint="eastAsia"/>
          <w:sz w:val="24"/>
          <w:szCs w:val="24"/>
          <w:lang w:eastAsia="zh-CN"/>
        </w:rPr>
        <w:t>）。</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C51217">
        <w:rPr>
          <w:rFonts w:eastAsia="Times New Roman"/>
          <w:sz w:val="24"/>
          <w:szCs w:val="24"/>
          <w:lang w:eastAsia="zh-CN"/>
        </w:rPr>
        <w:t>Mark Zimsky</w:t>
      </w:r>
      <w:r w:rsidRPr="00A252D1">
        <w:rPr>
          <w:rFonts w:ascii="SimSun" w:eastAsia="SimSun" w:hAnsi="SimSun" w:cs="SimSun" w:hint="eastAsia"/>
          <w:sz w:val="24"/>
          <w:szCs w:val="24"/>
          <w:lang w:eastAsia="zh-CN"/>
        </w:rPr>
        <w:t>先生介绍了全环基金的报告。他指出，报告载有</w:t>
      </w:r>
      <w:r w:rsidR="00AF6DB8">
        <w:rPr>
          <w:rFonts w:ascii="SimSun" w:eastAsia="SimSun" w:hAnsi="SimSun" w:cs="SimSun" w:hint="eastAsia"/>
          <w:sz w:val="24"/>
          <w:szCs w:val="24"/>
          <w:lang w:eastAsia="zh-CN"/>
        </w:rPr>
        <w:t>以下方面</w:t>
      </w:r>
      <w:r w:rsidR="00AF6DB8">
        <w:rPr>
          <w:rFonts w:ascii="SimSun" w:eastAsia="SimSun" w:hAnsi="SimSun" w:cs="SimSun"/>
          <w:sz w:val="24"/>
          <w:szCs w:val="24"/>
          <w:lang w:eastAsia="zh-CN"/>
        </w:rPr>
        <w:t>的信息：</w:t>
      </w:r>
      <w:r w:rsidR="00AF6DB8" w:rsidRPr="00AF6DB8">
        <w:rPr>
          <w:rFonts w:eastAsia="SimSun"/>
          <w:sz w:val="24"/>
          <w:szCs w:val="24"/>
          <w:lang w:eastAsia="zh-CN"/>
        </w:rPr>
        <w:t>(a)</w:t>
      </w:r>
      <w:r w:rsidR="00AF6DB8">
        <w:rPr>
          <w:rFonts w:ascii="SimSun" w:eastAsia="SimSun" w:hAnsi="SimSun" w:cs="SimSun" w:hint="eastAsia"/>
          <w:sz w:val="24"/>
          <w:szCs w:val="24"/>
          <w:lang w:eastAsia="zh-CN"/>
        </w:rPr>
        <w:t xml:space="preserve"> </w:t>
      </w:r>
      <w:r w:rsidRPr="00C51217">
        <w:rPr>
          <w:rFonts w:eastAsia="Times New Roman"/>
          <w:sz w:val="24"/>
          <w:szCs w:val="24"/>
          <w:lang w:eastAsia="zh-CN"/>
        </w:rPr>
        <w:t>2016</w:t>
      </w:r>
      <w:r w:rsidRPr="00A252D1">
        <w:rPr>
          <w:rFonts w:ascii="SimSun" w:eastAsia="SimSun" w:hAnsi="SimSun" w:cs="SimSun" w:hint="eastAsia"/>
          <w:sz w:val="24"/>
          <w:szCs w:val="24"/>
          <w:lang w:eastAsia="zh-CN"/>
        </w:rPr>
        <w:t>年</w:t>
      </w:r>
      <w:r w:rsidRPr="00C51217">
        <w:rPr>
          <w:rFonts w:eastAsia="Times New Roman"/>
          <w:sz w:val="24"/>
          <w:szCs w:val="24"/>
          <w:lang w:eastAsia="zh-CN"/>
        </w:rPr>
        <w:t>7</w:t>
      </w:r>
      <w:r w:rsidRPr="00A252D1">
        <w:rPr>
          <w:rFonts w:ascii="SimSun" w:eastAsia="SimSun" w:hAnsi="SimSun" w:cs="SimSun" w:hint="eastAsia"/>
          <w:sz w:val="24"/>
          <w:szCs w:val="24"/>
          <w:lang w:eastAsia="zh-CN"/>
        </w:rPr>
        <w:t>月</w:t>
      </w:r>
      <w:r w:rsidRPr="00C51217">
        <w:rPr>
          <w:rFonts w:eastAsia="Times New Roman"/>
          <w:sz w:val="24"/>
          <w:szCs w:val="24"/>
          <w:lang w:eastAsia="zh-CN"/>
        </w:rPr>
        <w:t>1</w:t>
      </w:r>
      <w:r w:rsidRPr="00A252D1">
        <w:rPr>
          <w:rFonts w:ascii="SimSun" w:eastAsia="SimSun" w:hAnsi="SimSun" w:cs="SimSun" w:hint="eastAsia"/>
          <w:sz w:val="24"/>
          <w:szCs w:val="24"/>
          <w:lang w:eastAsia="zh-CN"/>
        </w:rPr>
        <w:t>日至</w:t>
      </w:r>
      <w:r w:rsidRPr="00C51217">
        <w:rPr>
          <w:rFonts w:eastAsia="Times New Roman"/>
          <w:sz w:val="24"/>
          <w:szCs w:val="24"/>
          <w:lang w:eastAsia="zh-CN"/>
        </w:rPr>
        <w:t>2018</w:t>
      </w:r>
      <w:r w:rsidRPr="00A252D1">
        <w:rPr>
          <w:rFonts w:ascii="SimSun" w:eastAsia="SimSun" w:hAnsi="SimSun" w:cs="SimSun" w:hint="eastAsia"/>
          <w:sz w:val="24"/>
          <w:szCs w:val="24"/>
          <w:lang w:eastAsia="zh-CN"/>
        </w:rPr>
        <w:t>年</w:t>
      </w:r>
      <w:r w:rsidRPr="00C51217">
        <w:rPr>
          <w:rFonts w:eastAsia="Times New Roman"/>
          <w:sz w:val="24"/>
          <w:szCs w:val="24"/>
          <w:lang w:eastAsia="zh-CN"/>
        </w:rPr>
        <w:t>6</w:t>
      </w:r>
      <w:r w:rsidRPr="00A252D1">
        <w:rPr>
          <w:rFonts w:ascii="SimSun" w:eastAsia="SimSun" w:hAnsi="SimSun" w:cs="SimSun" w:hint="eastAsia"/>
          <w:sz w:val="24"/>
          <w:szCs w:val="24"/>
          <w:lang w:eastAsia="zh-CN"/>
        </w:rPr>
        <w:t>月</w:t>
      </w:r>
      <w:r w:rsidRPr="00C51217">
        <w:rPr>
          <w:rFonts w:eastAsia="Times New Roman"/>
          <w:sz w:val="24"/>
          <w:szCs w:val="24"/>
          <w:lang w:eastAsia="zh-CN"/>
        </w:rPr>
        <w:t>30</w:t>
      </w:r>
      <w:r w:rsidRPr="00A252D1">
        <w:rPr>
          <w:rFonts w:ascii="SimSun" w:eastAsia="SimSun" w:hAnsi="SimSun" w:cs="SimSun" w:hint="eastAsia"/>
          <w:sz w:val="24"/>
          <w:szCs w:val="24"/>
          <w:lang w:eastAsia="zh-CN"/>
        </w:rPr>
        <w:t>日期间全环基金在生物多样性重点领域和全环基金其他相关重点领域的活动；</w:t>
      </w:r>
      <w:r w:rsidR="00AF6DB8" w:rsidRPr="00AF6DB8">
        <w:rPr>
          <w:rFonts w:eastAsia="SimSun"/>
          <w:sz w:val="24"/>
          <w:szCs w:val="24"/>
          <w:lang w:eastAsia="zh-CN"/>
        </w:rPr>
        <w:t>(b)</w:t>
      </w:r>
      <w:r w:rsidR="00AF6DB8">
        <w:rPr>
          <w:rFonts w:ascii="SimSun" w:eastAsia="SimSun" w:hAnsi="SimSun" w:cs="SimSun" w:hint="eastAsia"/>
          <w:sz w:val="24"/>
          <w:szCs w:val="24"/>
          <w:lang w:eastAsia="zh-CN"/>
        </w:rPr>
        <w:t xml:space="preserve"> </w:t>
      </w:r>
      <w:r w:rsidRPr="00C51217">
        <w:rPr>
          <w:rFonts w:eastAsia="Times New Roman"/>
          <w:sz w:val="24"/>
          <w:szCs w:val="24"/>
          <w:lang w:eastAsia="zh-CN"/>
        </w:rPr>
        <w:t>2014</w:t>
      </w:r>
      <w:r w:rsidRPr="00A252D1">
        <w:rPr>
          <w:rFonts w:ascii="SimSun" w:eastAsia="SimSun" w:hAnsi="SimSun" w:cs="SimSun" w:hint="eastAsia"/>
          <w:sz w:val="24"/>
          <w:szCs w:val="24"/>
          <w:lang w:eastAsia="zh-CN"/>
        </w:rPr>
        <w:t>年</w:t>
      </w:r>
      <w:r w:rsidRPr="00C51217">
        <w:rPr>
          <w:rFonts w:eastAsia="Times New Roman"/>
          <w:sz w:val="24"/>
          <w:szCs w:val="24"/>
          <w:lang w:eastAsia="zh-CN"/>
        </w:rPr>
        <w:t>7</w:t>
      </w:r>
      <w:r w:rsidRPr="00A252D1">
        <w:rPr>
          <w:rFonts w:ascii="SimSun" w:eastAsia="SimSun" w:hAnsi="SimSun" w:cs="SimSun" w:hint="eastAsia"/>
          <w:sz w:val="24"/>
          <w:szCs w:val="24"/>
          <w:lang w:eastAsia="zh-CN"/>
        </w:rPr>
        <w:t>月</w:t>
      </w:r>
      <w:r w:rsidRPr="00C51217">
        <w:rPr>
          <w:rFonts w:eastAsia="Times New Roman"/>
          <w:sz w:val="24"/>
          <w:szCs w:val="24"/>
          <w:lang w:eastAsia="zh-CN"/>
        </w:rPr>
        <w:t>1</w:t>
      </w:r>
      <w:r w:rsidRPr="00A252D1">
        <w:rPr>
          <w:rFonts w:ascii="SimSun" w:eastAsia="SimSun" w:hAnsi="SimSun" w:cs="SimSun" w:hint="eastAsia"/>
          <w:sz w:val="24"/>
          <w:szCs w:val="24"/>
          <w:lang w:eastAsia="zh-CN"/>
        </w:rPr>
        <w:t>日至</w:t>
      </w:r>
      <w:r w:rsidRPr="00C51217">
        <w:rPr>
          <w:rFonts w:eastAsia="Times New Roman"/>
          <w:sz w:val="24"/>
          <w:szCs w:val="24"/>
          <w:lang w:eastAsia="zh-CN"/>
        </w:rPr>
        <w:t>2018</w:t>
      </w:r>
      <w:r w:rsidRPr="00A252D1">
        <w:rPr>
          <w:rFonts w:ascii="SimSun" w:eastAsia="SimSun" w:hAnsi="SimSun" w:cs="SimSun" w:hint="eastAsia"/>
          <w:sz w:val="24"/>
          <w:szCs w:val="24"/>
          <w:lang w:eastAsia="zh-CN"/>
        </w:rPr>
        <w:t>年</w:t>
      </w:r>
      <w:r w:rsidRPr="00C51217">
        <w:rPr>
          <w:rFonts w:eastAsia="Times New Roman"/>
          <w:sz w:val="24"/>
          <w:szCs w:val="24"/>
          <w:lang w:eastAsia="zh-CN"/>
        </w:rPr>
        <w:t>6</w:t>
      </w:r>
      <w:r w:rsidRPr="00A252D1">
        <w:rPr>
          <w:rFonts w:ascii="SimSun" w:eastAsia="SimSun" w:hAnsi="SimSun" w:cs="SimSun" w:hint="eastAsia"/>
          <w:sz w:val="24"/>
          <w:szCs w:val="24"/>
          <w:lang w:eastAsia="zh-CN"/>
        </w:rPr>
        <w:t>月</w:t>
      </w:r>
      <w:r w:rsidRPr="00C51217">
        <w:rPr>
          <w:rFonts w:eastAsia="Times New Roman"/>
          <w:sz w:val="24"/>
          <w:szCs w:val="24"/>
          <w:lang w:eastAsia="zh-CN"/>
        </w:rPr>
        <w:t>30</w:t>
      </w:r>
      <w:r w:rsidRPr="00A252D1">
        <w:rPr>
          <w:rFonts w:ascii="SimSun" w:eastAsia="SimSun" w:hAnsi="SimSun" w:cs="SimSun" w:hint="eastAsia"/>
          <w:sz w:val="24"/>
          <w:szCs w:val="24"/>
          <w:lang w:eastAsia="zh-CN"/>
        </w:rPr>
        <w:t>日期间方案编制的信息；</w:t>
      </w:r>
      <w:r w:rsidR="00AF6DB8" w:rsidRPr="00AF6DB8">
        <w:rPr>
          <w:rFonts w:eastAsia="SimSun"/>
          <w:sz w:val="24"/>
          <w:szCs w:val="24"/>
          <w:lang w:eastAsia="zh-CN"/>
        </w:rPr>
        <w:t>(c)</w:t>
      </w:r>
      <w:r w:rsidR="00AF6DB8">
        <w:rPr>
          <w:rFonts w:ascii="SimSun" w:eastAsia="SimSun" w:hAnsi="SimSun" w:cs="SimSun" w:hint="eastAsia"/>
          <w:sz w:val="24"/>
          <w:szCs w:val="24"/>
          <w:lang w:eastAsia="zh-CN"/>
        </w:rPr>
        <w:t xml:space="preserve"> </w:t>
      </w:r>
      <w:r w:rsidRPr="00A252D1">
        <w:rPr>
          <w:rFonts w:ascii="SimSun" w:eastAsia="SimSun" w:hAnsi="SimSun" w:cs="SimSun" w:hint="eastAsia"/>
          <w:sz w:val="24"/>
          <w:szCs w:val="24"/>
          <w:lang w:eastAsia="zh-CN"/>
        </w:rPr>
        <w:t>全环基金对第</w:t>
      </w:r>
      <w:r w:rsidRPr="00C51217">
        <w:rPr>
          <w:rFonts w:eastAsia="Times New Roman"/>
          <w:sz w:val="24"/>
          <w:szCs w:val="24"/>
          <w:lang w:eastAsia="zh-CN"/>
        </w:rPr>
        <w:t>XII/21</w:t>
      </w:r>
      <w:r w:rsidRPr="00A252D1">
        <w:rPr>
          <w:rFonts w:ascii="SimSun" w:eastAsia="SimSun" w:hAnsi="SimSun" w:cs="SimSun" w:hint="eastAsia"/>
          <w:sz w:val="24"/>
          <w:szCs w:val="24"/>
          <w:lang w:eastAsia="zh-CN"/>
        </w:rPr>
        <w:t>号决定所载指导意见的回应；</w:t>
      </w:r>
      <w:r w:rsidR="00AF6DB8" w:rsidRPr="00AF6DB8">
        <w:rPr>
          <w:rFonts w:eastAsia="SimSun"/>
          <w:sz w:val="24"/>
          <w:szCs w:val="24"/>
          <w:lang w:eastAsia="zh-CN"/>
        </w:rPr>
        <w:t>(d)</w:t>
      </w:r>
      <w:r w:rsidR="00AF6DB8">
        <w:rPr>
          <w:rFonts w:ascii="SimSun" w:eastAsia="SimSun" w:hAnsi="SimSun" w:cs="SimSun" w:hint="eastAsia"/>
          <w:sz w:val="24"/>
          <w:szCs w:val="24"/>
          <w:lang w:eastAsia="zh-CN"/>
        </w:rPr>
        <w:t xml:space="preserve"> </w:t>
      </w:r>
      <w:r w:rsidRPr="00A252D1">
        <w:rPr>
          <w:rFonts w:ascii="SimSun" w:eastAsia="SimSun" w:hAnsi="SimSun" w:cs="SimSun" w:hint="eastAsia"/>
          <w:sz w:val="24"/>
          <w:szCs w:val="24"/>
          <w:lang w:eastAsia="zh-CN"/>
        </w:rPr>
        <w:t>投资组合监测结果的摘要；</w:t>
      </w:r>
      <w:r w:rsidR="00AF6DB8">
        <w:rPr>
          <w:rFonts w:ascii="SimSun" w:eastAsia="SimSun" w:hAnsi="SimSun" w:cs="SimSun" w:hint="eastAsia"/>
          <w:sz w:val="24"/>
          <w:szCs w:val="24"/>
          <w:lang w:eastAsia="zh-CN"/>
        </w:rPr>
        <w:t>以及</w:t>
      </w:r>
      <w:r w:rsidR="00AF6DB8" w:rsidRPr="00AF6DB8">
        <w:rPr>
          <w:rFonts w:eastAsia="SimSun"/>
          <w:sz w:val="24"/>
          <w:szCs w:val="24"/>
          <w:lang w:eastAsia="zh-CN"/>
        </w:rPr>
        <w:t>(e)</w:t>
      </w:r>
      <w:r w:rsidR="00AF6DB8">
        <w:rPr>
          <w:rFonts w:ascii="SimSun" w:eastAsia="SimSun" w:hAnsi="SimSun" w:cs="SimSun"/>
          <w:sz w:val="24"/>
          <w:szCs w:val="24"/>
          <w:lang w:eastAsia="zh-CN"/>
        </w:rPr>
        <w:t xml:space="preserve"> </w:t>
      </w:r>
      <w:r w:rsidRPr="00A252D1">
        <w:rPr>
          <w:rFonts w:ascii="SimSun" w:eastAsia="SimSun" w:hAnsi="SimSun" w:cs="SimSun" w:hint="eastAsia"/>
          <w:sz w:val="24"/>
          <w:szCs w:val="24"/>
          <w:lang w:eastAsia="zh-CN"/>
        </w:rPr>
        <w:t>全环基金独立评价办公室的主要结论。</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A252D1">
        <w:rPr>
          <w:rFonts w:ascii="SimSun" w:eastAsia="SimSun" w:hAnsi="SimSun" w:cs="SimSun" w:hint="eastAsia"/>
          <w:sz w:val="24"/>
          <w:szCs w:val="24"/>
          <w:lang w:eastAsia="zh-CN"/>
        </w:rPr>
        <w:t>下列国家代表</w:t>
      </w:r>
      <w:r w:rsidR="006952B0">
        <w:rPr>
          <w:rFonts w:ascii="SimSun" w:eastAsia="SimSun" w:hAnsi="SimSun" w:cs="SimSun" w:hint="eastAsia"/>
          <w:sz w:val="24"/>
          <w:szCs w:val="24"/>
          <w:lang w:eastAsia="zh-CN"/>
        </w:rPr>
        <w:t>作了发言</w:t>
      </w:r>
      <w:r w:rsidRPr="00A252D1">
        <w:rPr>
          <w:rFonts w:ascii="SimSun" w:eastAsia="SimSun" w:hAnsi="SimSun" w:cs="SimSun" w:hint="eastAsia"/>
          <w:sz w:val="24"/>
          <w:szCs w:val="24"/>
          <w:lang w:eastAsia="zh-CN"/>
        </w:rPr>
        <w:t>：加拿大、哥伦比亚、欧洲联盟及其</w:t>
      </w:r>
      <w:r w:rsidRPr="00C51217">
        <w:rPr>
          <w:rFonts w:eastAsia="Times New Roman"/>
          <w:sz w:val="24"/>
          <w:szCs w:val="24"/>
          <w:lang w:eastAsia="zh-CN"/>
        </w:rPr>
        <w:t>28</w:t>
      </w:r>
      <w:r w:rsidRPr="00A252D1">
        <w:rPr>
          <w:rFonts w:ascii="SimSun" w:eastAsia="SimSun" w:hAnsi="SimSun" w:cs="SimSun" w:hint="eastAsia"/>
          <w:sz w:val="24"/>
          <w:szCs w:val="24"/>
          <w:lang w:eastAsia="zh-CN"/>
        </w:rPr>
        <w:t>个成员国、印度、日本、新西兰、挪威和瑞士。</w:t>
      </w:r>
    </w:p>
    <w:p w:rsidR="008D76BF" w:rsidRPr="00FE0455" w:rsidRDefault="008D76BF" w:rsidP="00750ECD">
      <w:pPr>
        <w:pStyle w:val="Para1"/>
        <w:numPr>
          <w:ilvl w:val="0"/>
          <w:numId w:val="9"/>
        </w:numPr>
        <w:tabs>
          <w:tab w:val="clear" w:pos="360"/>
          <w:tab w:val="left" w:pos="720"/>
        </w:tabs>
        <w:ind w:firstLine="0"/>
        <w:rPr>
          <w:rFonts w:eastAsia="Times New Roman"/>
          <w:sz w:val="24"/>
          <w:szCs w:val="24"/>
          <w:lang w:eastAsia="zh-CN"/>
        </w:rPr>
      </w:pPr>
      <w:r w:rsidRPr="00A252D1">
        <w:rPr>
          <w:rFonts w:ascii="SimSun" w:eastAsia="SimSun" w:hAnsi="SimSun" w:cs="SimSun" w:hint="eastAsia"/>
          <w:sz w:val="24"/>
          <w:szCs w:val="24"/>
          <w:lang w:eastAsia="zh-CN"/>
        </w:rPr>
        <w:lastRenderedPageBreak/>
        <w:t>经交换意见后，工作组同意设立一个联络组，由</w:t>
      </w:r>
      <w:r w:rsidRPr="00C51217">
        <w:rPr>
          <w:rFonts w:eastAsia="Times New Roman"/>
          <w:sz w:val="24"/>
          <w:szCs w:val="24"/>
          <w:lang w:eastAsia="zh-CN"/>
        </w:rPr>
        <w:t>Laute Ledoux</w:t>
      </w:r>
      <w:r w:rsidRPr="00A252D1">
        <w:rPr>
          <w:rFonts w:ascii="SimSun" w:eastAsia="SimSun" w:hAnsi="SimSun" w:cs="SimSun" w:hint="eastAsia"/>
          <w:sz w:val="24"/>
          <w:szCs w:val="24"/>
          <w:lang w:eastAsia="zh-CN"/>
        </w:rPr>
        <w:t>女士（欧洲联盟）和</w:t>
      </w:r>
      <w:r w:rsidRPr="00C51217">
        <w:rPr>
          <w:rFonts w:eastAsia="Times New Roman"/>
          <w:sz w:val="24"/>
          <w:szCs w:val="24"/>
          <w:lang w:eastAsia="zh-CN"/>
        </w:rPr>
        <w:t>Sabino Meri Francis Ogwal</w:t>
      </w:r>
      <w:r w:rsidRPr="00A252D1">
        <w:rPr>
          <w:rFonts w:ascii="SimSun" w:eastAsia="SimSun" w:hAnsi="SimSun" w:cs="SimSun" w:hint="eastAsia"/>
          <w:sz w:val="24"/>
          <w:szCs w:val="24"/>
          <w:lang w:eastAsia="zh-CN"/>
        </w:rPr>
        <w:t>先生（乌干达）共同主持，根据口头表达和书面提出的意见，继续讨论关于财务机制的决定草案。</w:t>
      </w:r>
    </w:p>
    <w:p w:rsidR="008D76BF" w:rsidRPr="00FE0455" w:rsidRDefault="006B2851" w:rsidP="00750ECD">
      <w:pPr>
        <w:pStyle w:val="Para1"/>
        <w:numPr>
          <w:ilvl w:val="0"/>
          <w:numId w:val="9"/>
        </w:numPr>
        <w:tabs>
          <w:tab w:val="clear" w:pos="360"/>
          <w:tab w:val="left" w:pos="720"/>
        </w:tabs>
        <w:ind w:firstLine="0"/>
        <w:rPr>
          <w:rFonts w:eastAsia="Times New Roman"/>
          <w:sz w:val="24"/>
          <w:szCs w:val="24"/>
          <w:lang w:eastAsia="zh-CN"/>
        </w:rPr>
      </w:pPr>
      <w:r>
        <w:rPr>
          <w:rFonts w:eastAsia="SimSun" w:hAnsi="SimSun" w:hint="eastAsia"/>
          <w:sz w:val="24"/>
          <w:szCs w:val="24"/>
          <w:lang w:eastAsia="zh-CN"/>
        </w:rPr>
        <w:t>工作组</w:t>
      </w:r>
      <w:r w:rsidR="008D76BF">
        <w:rPr>
          <w:rFonts w:eastAsia="SimSun" w:hAnsi="SimSun" w:hint="eastAsia"/>
          <w:sz w:val="24"/>
          <w:szCs w:val="24"/>
          <w:lang w:eastAsia="zh-CN"/>
        </w:rPr>
        <w:t>在</w:t>
      </w:r>
      <w:r w:rsidR="008D76BF">
        <w:rPr>
          <w:rFonts w:eastAsia="SimSun" w:hAnsi="SimSun"/>
          <w:sz w:val="24"/>
          <w:szCs w:val="24"/>
          <w:lang w:eastAsia="zh-CN"/>
        </w:rPr>
        <w:t>2018</w:t>
      </w:r>
      <w:r w:rsidR="008D76BF">
        <w:rPr>
          <w:rFonts w:eastAsia="SimSun" w:hAnsi="SimSun" w:hint="eastAsia"/>
          <w:sz w:val="24"/>
          <w:szCs w:val="24"/>
          <w:lang w:eastAsia="zh-CN"/>
        </w:rPr>
        <w:t>年</w:t>
      </w:r>
      <w:r w:rsidR="008D76BF">
        <w:rPr>
          <w:rFonts w:eastAsia="SimSun" w:hAnsi="SimSun"/>
          <w:sz w:val="24"/>
          <w:szCs w:val="24"/>
          <w:lang w:eastAsia="zh-CN"/>
        </w:rPr>
        <w:t>11</w:t>
      </w:r>
      <w:r w:rsidR="008D76BF">
        <w:rPr>
          <w:rFonts w:eastAsia="SimSun" w:hAnsi="SimSun" w:hint="eastAsia"/>
          <w:sz w:val="24"/>
          <w:szCs w:val="24"/>
          <w:lang w:eastAsia="zh-CN"/>
        </w:rPr>
        <w:t>月</w:t>
      </w:r>
      <w:r w:rsidR="008D76BF">
        <w:rPr>
          <w:rFonts w:eastAsia="SimSun" w:hAnsi="SimSun"/>
          <w:sz w:val="24"/>
          <w:szCs w:val="24"/>
          <w:lang w:eastAsia="zh-CN"/>
        </w:rPr>
        <w:t>27</w:t>
      </w:r>
      <w:r w:rsidR="00EA4BF6">
        <w:rPr>
          <w:rFonts w:eastAsia="SimSun" w:hAnsi="SimSun" w:hint="eastAsia"/>
          <w:sz w:val="24"/>
          <w:szCs w:val="24"/>
          <w:lang w:eastAsia="zh-CN"/>
        </w:rPr>
        <w:t>日</w:t>
      </w:r>
      <w:r>
        <w:rPr>
          <w:rFonts w:eastAsia="SimSun" w:hAnsi="SimSun" w:hint="eastAsia"/>
          <w:sz w:val="24"/>
          <w:szCs w:val="24"/>
          <w:lang w:eastAsia="zh-CN"/>
        </w:rPr>
        <w:t>其</w:t>
      </w:r>
      <w:r w:rsidR="008D76BF">
        <w:rPr>
          <w:rFonts w:eastAsia="SimSun" w:hAnsi="SimSun" w:hint="eastAsia"/>
          <w:sz w:val="24"/>
          <w:szCs w:val="24"/>
          <w:lang w:eastAsia="zh-CN"/>
        </w:rPr>
        <w:t>第</w:t>
      </w:r>
      <w:r w:rsidR="008D76BF">
        <w:rPr>
          <w:rFonts w:eastAsia="SimSun" w:hAnsi="SimSun"/>
          <w:sz w:val="24"/>
          <w:szCs w:val="24"/>
          <w:lang w:eastAsia="zh-CN"/>
        </w:rPr>
        <w:t>13</w:t>
      </w:r>
      <w:r w:rsidR="008D76BF">
        <w:rPr>
          <w:rFonts w:eastAsia="SimSun" w:hAnsi="SimSun" w:hint="eastAsia"/>
          <w:sz w:val="24"/>
          <w:szCs w:val="24"/>
          <w:lang w:eastAsia="zh-CN"/>
        </w:rPr>
        <w:t>场会议上审议了主席提交的</w:t>
      </w:r>
      <w:r w:rsidR="00E17F8A">
        <w:rPr>
          <w:rFonts w:eastAsia="SimSun" w:hAnsi="SimSun" w:hint="eastAsia"/>
          <w:sz w:val="24"/>
          <w:szCs w:val="24"/>
          <w:lang w:eastAsia="zh-CN"/>
        </w:rPr>
        <w:t>决定草案</w:t>
      </w:r>
      <w:r w:rsidR="008D76BF">
        <w:rPr>
          <w:rFonts w:eastAsia="SimSun" w:hAnsi="SimSun" w:hint="eastAsia"/>
          <w:sz w:val="24"/>
          <w:szCs w:val="24"/>
          <w:lang w:eastAsia="zh-CN"/>
        </w:rPr>
        <w:t>。</w:t>
      </w:r>
    </w:p>
    <w:p w:rsidR="008D76BF" w:rsidRPr="00FE0455" w:rsidRDefault="00EA4BF6" w:rsidP="00750ECD">
      <w:pPr>
        <w:pStyle w:val="Para1"/>
        <w:numPr>
          <w:ilvl w:val="0"/>
          <w:numId w:val="9"/>
        </w:numPr>
        <w:tabs>
          <w:tab w:val="clear" w:pos="360"/>
          <w:tab w:val="left" w:pos="720"/>
        </w:tabs>
        <w:ind w:firstLine="0"/>
        <w:rPr>
          <w:rFonts w:eastAsia="Times New Roman"/>
          <w:sz w:val="24"/>
          <w:szCs w:val="24"/>
          <w:lang w:eastAsia="zh-CN"/>
        </w:rPr>
      </w:pPr>
      <w:r>
        <w:rPr>
          <w:rFonts w:eastAsia="SimSun" w:hAnsi="SimSun" w:hint="eastAsia"/>
          <w:sz w:val="24"/>
          <w:szCs w:val="24"/>
          <w:lang w:eastAsia="zh-CN"/>
        </w:rPr>
        <w:t>下列国家代表</w:t>
      </w:r>
      <w:r w:rsidR="006952B0">
        <w:rPr>
          <w:rFonts w:eastAsia="SimSun" w:hAnsi="SimSun" w:hint="eastAsia"/>
          <w:sz w:val="24"/>
          <w:szCs w:val="24"/>
          <w:lang w:eastAsia="zh-CN"/>
        </w:rPr>
        <w:t>作了发言</w:t>
      </w:r>
      <w:r w:rsidR="008D76BF">
        <w:rPr>
          <w:rFonts w:eastAsia="SimSun" w:hAnsi="SimSun" w:hint="eastAsia"/>
          <w:sz w:val="24"/>
          <w:szCs w:val="24"/>
          <w:lang w:eastAsia="zh-CN"/>
        </w:rPr>
        <w:t>：</w:t>
      </w:r>
      <w:r w:rsidR="008D76BF" w:rsidRPr="00FE0455">
        <w:rPr>
          <w:rFonts w:eastAsia="SimSun" w:hAnsi="SimSun" w:hint="eastAsia"/>
          <w:sz w:val="24"/>
          <w:szCs w:val="24"/>
          <w:lang w:eastAsia="zh-CN"/>
        </w:rPr>
        <w:t>巴西、欧洲联盟及其</w:t>
      </w:r>
      <w:r w:rsidR="008D76BF" w:rsidRPr="00FE0455">
        <w:rPr>
          <w:rFonts w:eastAsia="SimSun" w:hAnsi="SimSun"/>
          <w:sz w:val="24"/>
          <w:szCs w:val="24"/>
          <w:lang w:eastAsia="zh-CN"/>
        </w:rPr>
        <w:t>28</w:t>
      </w:r>
      <w:r w:rsidR="008D76BF" w:rsidRPr="00FE0455">
        <w:rPr>
          <w:rFonts w:eastAsia="SimSun" w:hAnsi="SimSun" w:hint="eastAsia"/>
          <w:sz w:val="24"/>
          <w:szCs w:val="24"/>
          <w:lang w:eastAsia="zh-CN"/>
        </w:rPr>
        <w:t>个成员国、</w:t>
      </w:r>
      <w:r w:rsidR="008D76BF">
        <w:rPr>
          <w:rFonts w:eastAsia="SimSun" w:hAnsi="SimSun" w:hint="eastAsia"/>
          <w:sz w:val="24"/>
          <w:szCs w:val="24"/>
          <w:lang w:eastAsia="zh-CN"/>
        </w:rPr>
        <w:t>日本和肯尼亚。</w:t>
      </w:r>
    </w:p>
    <w:p w:rsidR="008D76BF" w:rsidRPr="00C51217" w:rsidRDefault="008D76BF" w:rsidP="00750ECD">
      <w:pPr>
        <w:pStyle w:val="Para1"/>
        <w:numPr>
          <w:ilvl w:val="0"/>
          <w:numId w:val="9"/>
        </w:numPr>
        <w:tabs>
          <w:tab w:val="clear" w:pos="360"/>
          <w:tab w:val="left" w:pos="720"/>
        </w:tabs>
        <w:ind w:firstLine="0"/>
        <w:rPr>
          <w:rFonts w:eastAsia="Times New Roman"/>
          <w:sz w:val="24"/>
          <w:szCs w:val="24"/>
          <w:lang w:eastAsia="zh-CN"/>
        </w:rPr>
      </w:pPr>
      <w:r w:rsidRPr="00FE0455">
        <w:rPr>
          <w:rFonts w:eastAsia="SimSun" w:hAnsi="SimSun" w:hint="eastAsia"/>
          <w:sz w:val="24"/>
          <w:szCs w:val="24"/>
          <w:lang w:eastAsia="zh-CN"/>
        </w:rPr>
        <w:t>经交换意见后，工作组核准了决定草案，作为决定草案</w:t>
      </w:r>
      <w:r w:rsidRPr="00FE0455">
        <w:rPr>
          <w:rFonts w:eastAsia="SimSun"/>
          <w:sz w:val="24"/>
          <w:szCs w:val="24"/>
          <w:lang w:eastAsia="zh-CN"/>
        </w:rPr>
        <w:t>CBD/COP/14/L.</w:t>
      </w:r>
      <w:r>
        <w:rPr>
          <w:rFonts w:eastAsia="SimSun"/>
          <w:sz w:val="24"/>
          <w:szCs w:val="24"/>
          <w:lang w:eastAsia="zh-CN"/>
        </w:rPr>
        <w:t>35</w:t>
      </w:r>
      <w:r w:rsidRPr="00FE0455">
        <w:rPr>
          <w:rFonts w:eastAsia="SimSun" w:hAnsi="SimSun" w:hint="eastAsia"/>
          <w:sz w:val="24"/>
          <w:szCs w:val="24"/>
          <w:lang w:eastAsia="zh-CN"/>
        </w:rPr>
        <w:t>转交全体会议</w:t>
      </w:r>
      <w:r>
        <w:rPr>
          <w:rFonts w:eastAsia="SimSun" w:hAnsi="SimSun" w:hint="eastAsia"/>
          <w:sz w:val="24"/>
          <w:szCs w:val="24"/>
          <w:lang w:eastAsia="zh-CN"/>
        </w:rPr>
        <w:t>。</w:t>
      </w:r>
    </w:p>
    <w:p w:rsidR="008D76BF" w:rsidRPr="00AF6DB8" w:rsidRDefault="00AF6DB8" w:rsidP="004D0EEE">
      <w:pPr>
        <w:pStyle w:val="Para1"/>
        <w:numPr>
          <w:ilvl w:val="0"/>
          <w:numId w:val="9"/>
        </w:numPr>
        <w:tabs>
          <w:tab w:val="clear" w:pos="360"/>
          <w:tab w:val="left" w:pos="720"/>
        </w:tabs>
        <w:ind w:firstLine="0"/>
        <w:rPr>
          <w:rFonts w:eastAsia="SimSun" w:hAnsi="SimSun"/>
          <w:sz w:val="24"/>
          <w:szCs w:val="24"/>
          <w:lang w:eastAsia="zh-CN"/>
        </w:rPr>
      </w:pPr>
      <w:r w:rsidRPr="00AF6DB8">
        <w:rPr>
          <w:rFonts w:ascii="SimSun" w:eastAsia="SimSun" w:hAnsi="SimSun" w:cs="SimSun" w:hint="eastAsia"/>
          <w:sz w:val="24"/>
          <w:szCs w:val="24"/>
          <w:lang w:eastAsia="zh-CN"/>
        </w:rPr>
        <w:t>在</w:t>
      </w:r>
      <w:r w:rsidRPr="00AF6DB8">
        <w:rPr>
          <w:rFonts w:eastAsia="Times New Roman"/>
          <w:sz w:val="24"/>
          <w:szCs w:val="24"/>
          <w:lang w:eastAsia="zh-CN"/>
        </w:rPr>
        <w:t>2018</w:t>
      </w:r>
      <w:r w:rsidRPr="00AF6DB8">
        <w:rPr>
          <w:rFonts w:ascii="SimSun" w:eastAsia="SimSun" w:hAnsi="SimSun" w:cs="SimSun" w:hint="eastAsia"/>
          <w:sz w:val="24"/>
          <w:szCs w:val="24"/>
          <w:lang w:eastAsia="zh-CN"/>
        </w:rPr>
        <w:t>年</w:t>
      </w:r>
      <w:r w:rsidRPr="00AF6DB8">
        <w:rPr>
          <w:rFonts w:eastAsia="Times New Roman"/>
          <w:sz w:val="24"/>
          <w:szCs w:val="24"/>
          <w:lang w:eastAsia="zh-CN"/>
        </w:rPr>
        <w:t>11</w:t>
      </w:r>
      <w:r w:rsidRPr="00AF6DB8">
        <w:rPr>
          <w:rFonts w:ascii="SimSun" w:eastAsia="SimSun" w:hAnsi="SimSun" w:cs="SimSun" w:hint="eastAsia"/>
          <w:sz w:val="24"/>
          <w:szCs w:val="24"/>
          <w:lang w:eastAsia="zh-CN"/>
        </w:rPr>
        <w:t>月</w:t>
      </w:r>
      <w:r w:rsidRPr="00AF6DB8">
        <w:rPr>
          <w:rFonts w:eastAsia="Times New Roman"/>
          <w:sz w:val="24"/>
          <w:szCs w:val="24"/>
          <w:lang w:eastAsia="zh-CN"/>
        </w:rPr>
        <w:t>29</w:t>
      </w:r>
      <w:r w:rsidRPr="00AF6DB8">
        <w:rPr>
          <w:rFonts w:ascii="SimSun" w:eastAsia="SimSun" w:hAnsi="SimSun" w:cs="SimSun" w:hint="eastAsia"/>
          <w:sz w:val="24"/>
          <w:szCs w:val="24"/>
          <w:lang w:eastAsia="zh-CN"/>
        </w:rPr>
        <w:t>日的第</w:t>
      </w:r>
      <w:r w:rsidRPr="00AF6DB8">
        <w:rPr>
          <w:rFonts w:eastAsia="Times New Roman"/>
          <w:sz w:val="24"/>
          <w:szCs w:val="24"/>
          <w:lang w:eastAsia="zh-CN"/>
        </w:rPr>
        <w:t>8</w:t>
      </w:r>
      <w:r w:rsidR="00B45641">
        <w:rPr>
          <w:rFonts w:ascii="SimSun" w:eastAsia="SimSun" w:hAnsi="SimSun" w:cs="SimSun" w:hint="eastAsia"/>
          <w:sz w:val="24"/>
          <w:szCs w:val="24"/>
          <w:lang w:eastAsia="zh-CN"/>
        </w:rPr>
        <w:t>次全体会议</w:t>
      </w:r>
      <w:r w:rsidRPr="00AF6DB8">
        <w:rPr>
          <w:rFonts w:ascii="SimSun" w:eastAsia="SimSun" w:hAnsi="SimSun" w:cs="SimSun" w:hint="eastAsia"/>
          <w:sz w:val="24"/>
          <w:szCs w:val="24"/>
          <w:lang w:eastAsia="zh-CN"/>
        </w:rPr>
        <w:t>上，缔约方大会通过了</w:t>
      </w:r>
      <w:r w:rsidR="00A434BF">
        <w:rPr>
          <w:rFonts w:ascii="SimSun" w:eastAsia="SimSun" w:hAnsi="SimSun" w:cs="SimSun" w:hint="eastAsia"/>
          <w:sz w:val="24"/>
          <w:szCs w:val="24"/>
          <w:lang w:eastAsia="zh-CN"/>
        </w:rPr>
        <w:t>决定草案</w:t>
      </w:r>
      <w:r w:rsidRPr="00AF6DB8">
        <w:rPr>
          <w:sz w:val="24"/>
          <w:szCs w:val="24"/>
          <w:lang w:eastAsia="zh-CN"/>
        </w:rPr>
        <w:t>CBD/COP/14/L.35</w:t>
      </w:r>
      <w:r w:rsidRPr="00AF6DB8">
        <w:rPr>
          <w:rFonts w:ascii="SimSun" w:eastAsia="SimSun" w:hAnsi="SimSun" w:cs="SimSun" w:hint="eastAsia"/>
          <w:sz w:val="24"/>
          <w:szCs w:val="24"/>
          <w:lang w:eastAsia="zh-CN"/>
        </w:rPr>
        <w:t>，成为第</w:t>
      </w:r>
      <w:r w:rsidRPr="00AF6DB8">
        <w:rPr>
          <w:rFonts w:eastAsia="SimSun"/>
          <w:sz w:val="24"/>
          <w:szCs w:val="24"/>
          <w:lang w:eastAsia="zh-CN"/>
        </w:rPr>
        <w:t>14</w:t>
      </w:r>
      <w:r w:rsidRPr="00AF6DB8">
        <w:rPr>
          <w:sz w:val="24"/>
          <w:szCs w:val="24"/>
          <w:lang w:eastAsia="zh-CN"/>
        </w:rPr>
        <w:t>/23</w:t>
      </w:r>
      <w:r w:rsidRPr="00AF6DB8">
        <w:rPr>
          <w:rFonts w:ascii="SimSun" w:eastAsia="SimSun" w:hAnsi="SimSun" w:cs="SimSun" w:hint="eastAsia"/>
          <w:sz w:val="24"/>
          <w:szCs w:val="24"/>
          <w:lang w:eastAsia="zh-CN"/>
        </w:rPr>
        <w:t>号决定</w:t>
      </w:r>
      <w:r w:rsidRPr="00AF6DB8">
        <w:rPr>
          <w:rFonts w:eastAsia="SimSun"/>
          <w:sz w:val="24"/>
          <w:szCs w:val="24"/>
          <w:lang w:val="en-US" w:eastAsia="zh-CN"/>
        </w:rPr>
        <w:t>（</w:t>
      </w:r>
      <w:r w:rsidRPr="00AF6DB8">
        <w:rPr>
          <w:rFonts w:eastAsia="SimSun" w:hint="eastAsia"/>
          <w:sz w:val="24"/>
          <w:szCs w:val="24"/>
          <w:lang w:eastAsia="zh-CN"/>
        </w:rPr>
        <w:t>案文见</w:t>
      </w:r>
      <w:r w:rsidRPr="00AF6DB8">
        <w:rPr>
          <w:rFonts w:eastAsia="SimSun"/>
          <w:sz w:val="24"/>
          <w:szCs w:val="24"/>
          <w:lang w:eastAsia="zh-CN"/>
        </w:rPr>
        <w:t>第一章</w:t>
      </w:r>
      <w:r w:rsidRPr="00AF6DB8">
        <w:rPr>
          <w:rFonts w:eastAsia="SimSun" w:hint="eastAsia"/>
          <w:sz w:val="24"/>
          <w:szCs w:val="24"/>
          <w:lang w:eastAsia="zh-CN"/>
        </w:rPr>
        <w:t>）。</w:t>
      </w:r>
      <w:r w:rsidR="008D76BF" w:rsidRPr="00AF6DB8">
        <w:rPr>
          <w:rFonts w:eastAsia="SimSun" w:hAnsi="SimSun"/>
          <w:sz w:val="24"/>
          <w:szCs w:val="24"/>
          <w:lang w:eastAsia="zh-CN"/>
        </w:rPr>
        <w:t xml:space="preserve"> </w:t>
      </w:r>
    </w:p>
    <w:p w:rsidR="008D76BF" w:rsidRPr="00F17640" w:rsidRDefault="008D76BF" w:rsidP="00F17640">
      <w:pPr>
        <w:pStyle w:val="Heading1"/>
        <w:spacing w:before="120" w:after="120"/>
        <w:ind w:firstLine="0"/>
        <w:rPr>
          <w:sz w:val="24"/>
          <w:szCs w:val="24"/>
          <w:lang w:eastAsia="zh-CN"/>
        </w:rPr>
      </w:pPr>
      <w:r w:rsidRPr="00F17640">
        <w:rPr>
          <w:rFonts w:hint="eastAsia"/>
          <w:sz w:val="24"/>
          <w:szCs w:val="24"/>
          <w:lang w:eastAsia="zh-CN"/>
        </w:rPr>
        <w:t>项目</w:t>
      </w:r>
      <w:r w:rsidRPr="00F17640">
        <w:rPr>
          <w:sz w:val="24"/>
          <w:szCs w:val="24"/>
          <w:lang w:eastAsia="zh-CN"/>
        </w:rPr>
        <w:t xml:space="preserve">10.    </w:t>
      </w:r>
      <w:r w:rsidR="00366699" w:rsidRPr="00F17640">
        <w:rPr>
          <w:sz w:val="24"/>
          <w:szCs w:val="24"/>
          <w:lang w:eastAsia="zh-CN"/>
        </w:rPr>
        <w:t xml:space="preserve">  </w:t>
      </w:r>
      <w:r w:rsidRPr="00F17640">
        <w:rPr>
          <w:rFonts w:hint="eastAsia"/>
          <w:sz w:val="24"/>
          <w:szCs w:val="24"/>
          <w:lang w:eastAsia="zh-CN"/>
        </w:rPr>
        <w:t>能力建设和科技合作</w:t>
      </w:r>
    </w:p>
    <w:p w:rsidR="008D76BF" w:rsidRPr="006C7ABC" w:rsidRDefault="008D76BF" w:rsidP="00750ECD">
      <w:pPr>
        <w:pStyle w:val="Para1"/>
        <w:numPr>
          <w:ilvl w:val="0"/>
          <w:numId w:val="9"/>
        </w:numPr>
        <w:tabs>
          <w:tab w:val="clear" w:pos="360"/>
          <w:tab w:val="left" w:pos="720"/>
        </w:tabs>
        <w:ind w:firstLine="0"/>
        <w:rPr>
          <w:rFonts w:hAnsi="SimSun"/>
          <w:sz w:val="24"/>
          <w:szCs w:val="24"/>
          <w:lang w:eastAsia="zh-CN"/>
        </w:rPr>
      </w:pPr>
      <w:r w:rsidRPr="006C7ABC">
        <w:rPr>
          <w:rFonts w:ascii="SimSun" w:eastAsia="SimSun" w:hAnsi="SimSun" w:cs="SimSun" w:hint="eastAsia"/>
          <w:sz w:val="24"/>
          <w:szCs w:val="24"/>
          <w:lang w:eastAsia="zh-CN"/>
        </w:rPr>
        <w:t>第一工作组在</w:t>
      </w:r>
      <w:r w:rsidRPr="006C7ABC">
        <w:rPr>
          <w:rFonts w:hAnsi="SimSun"/>
          <w:sz w:val="24"/>
          <w:szCs w:val="24"/>
          <w:lang w:eastAsia="zh-CN"/>
        </w:rPr>
        <w:t>2018</w:t>
      </w:r>
      <w:r w:rsidRPr="006C7ABC">
        <w:rPr>
          <w:rFonts w:ascii="SimSun" w:eastAsia="SimSun" w:hAnsi="SimSun" w:cs="SimSun" w:hint="eastAsia"/>
          <w:sz w:val="24"/>
          <w:szCs w:val="24"/>
          <w:lang w:eastAsia="zh-CN"/>
        </w:rPr>
        <w:t>年</w:t>
      </w:r>
      <w:r w:rsidRPr="006C7ABC">
        <w:rPr>
          <w:rFonts w:hAnsi="SimSun"/>
          <w:sz w:val="24"/>
          <w:szCs w:val="24"/>
          <w:lang w:eastAsia="zh-CN"/>
        </w:rPr>
        <w:t>11</w:t>
      </w:r>
      <w:r w:rsidRPr="006C7ABC">
        <w:rPr>
          <w:rFonts w:ascii="SimSun" w:eastAsia="SimSun" w:hAnsi="SimSun" w:cs="SimSun" w:hint="eastAsia"/>
          <w:sz w:val="24"/>
          <w:szCs w:val="24"/>
          <w:lang w:eastAsia="zh-CN"/>
        </w:rPr>
        <w:t>月</w:t>
      </w:r>
      <w:r w:rsidRPr="006C7ABC">
        <w:rPr>
          <w:rFonts w:hAnsi="SimSun"/>
          <w:sz w:val="24"/>
          <w:szCs w:val="24"/>
          <w:lang w:eastAsia="zh-CN"/>
        </w:rPr>
        <w:t>19</w:t>
      </w:r>
      <w:r w:rsidRPr="006C7ABC">
        <w:rPr>
          <w:rFonts w:ascii="SimSun" w:eastAsia="SimSun" w:hAnsi="SimSun" w:cs="SimSun" w:hint="eastAsia"/>
          <w:sz w:val="24"/>
          <w:szCs w:val="24"/>
          <w:lang w:eastAsia="zh-CN"/>
        </w:rPr>
        <w:t>日</w:t>
      </w:r>
      <w:r w:rsidR="009E4EF5">
        <w:rPr>
          <w:rFonts w:ascii="SimSun" w:eastAsia="SimSun" w:hAnsi="SimSun" w:cs="SimSun" w:hint="eastAsia"/>
          <w:sz w:val="24"/>
          <w:szCs w:val="24"/>
          <w:lang w:eastAsia="zh-CN"/>
        </w:rPr>
        <w:t>其</w:t>
      </w:r>
      <w:r w:rsidRPr="006C7ABC">
        <w:rPr>
          <w:rFonts w:ascii="SimSun" w:eastAsia="SimSun" w:hAnsi="SimSun" w:cs="SimSun" w:hint="eastAsia"/>
          <w:sz w:val="24"/>
          <w:szCs w:val="24"/>
          <w:lang w:eastAsia="zh-CN"/>
        </w:rPr>
        <w:t>第</w:t>
      </w:r>
      <w:r w:rsidRPr="006C7ABC">
        <w:rPr>
          <w:rFonts w:hAnsi="SimSun"/>
          <w:sz w:val="24"/>
          <w:szCs w:val="24"/>
          <w:lang w:eastAsia="zh-CN"/>
        </w:rPr>
        <w:t>4</w:t>
      </w:r>
      <w:r w:rsidRPr="006C7ABC">
        <w:rPr>
          <w:rFonts w:ascii="SimSun" w:eastAsia="SimSun" w:hAnsi="SimSun" w:cs="SimSun" w:hint="eastAsia"/>
          <w:sz w:val="24"/>
          <w:szCs w:val="24"/>
          <w:lang w:eastAsia="zh-CN"/>
        </w:rPr>
        <w:t>场会议上审议了议程项目</w:t>
      </w:r>
      <w:r w:rsidRPr="006C7ABC">
        <w:rPr>
          <w:rFonts w:hAnsi="SimSun"/>
          <w:sz w:val="24"/>
          <w:szCs w:val="24"/>
          <w:lang w:eastAsia="zh-CN"/>
        </w:rPr>
        <w:t>10</w:t>
      </w:r>
      <w:r w:rsidRPr="006C7ABC">
        <w:rPr>
          <w:rFonts w:ascii="SimSun" w:eastAsia="SimSun" w:hAnsi="SimSun" w:cs="SimSun" w:hint="eastAsia"/>
          <w:sz w:val="24"/>
          <w:szCs w:val="24"/>
          <w:lang w:eastAsia="zh-CN"/>
        </w:rPr>
        <w:t>。在审议这个项目时，工作组收到了以下信息文件：为执行《公约》及其《议定书》加强和支持能力建设的短期行动计划（</w:t>
      </w:r>
      <w:r w:rsidRPr="006C7ABC">
        <w:rPr>
          <w:rFonts w:hAnsi="SimSun"/>
          <w:sz w:val="24"/>
          <w:szCs w:val="24"/>
          <w:lang w:eastAsia="zh-CN"/>
        </w:rPr>
        <w:t>2017-2020</w:t>
      </w:r>
      <w:r w:rsidRPr="006C7ABC">
        <w:rPr>
          <w:rFonts w:ascii="SimSun" w:eastAsia="SimSun" w:hAnsi="SimSun" w:cs="SimSun" w:hint="eastAsia"/>
          <w:sz w:val="24"/>
          <w:szCs w:val="24"/>
          <w:lang w:eastAsia="zh-CN"/>
        </w:rPr>
        <w:t>年）的执行进展情况的报告（</w:t>
      </w:r>
      <w:r w:rsidRPr="006C7ABC">
        <w:rPr>
          <w:rFonts w:hAnsi="SimSun"/>
          <w:sz w:val="24"/>
          <w:szCs w:val="24"/>
          <w:lang w:eastAsia="zh-CN"/>
        </w:rPr>
        <w:t>CBD/COP/14/INF/10</w:t>
      </w:r>
      <w:r w:rsidRPr="006C7ABC">
        <w:rPr>
          <w:rFonts w:ascii="SimSun" w:eastAsia="SimSun" w:hAnsi="SimSun" w:cs="SimSun" w:hint="eastAsia"/>
          <w:sz w:val="24"/>
          <w:szCs w:val="24"/>
          <w:lang w:eastAsia="zh-CN"/>
        </w:rPr>
        <w:t>）；全球生物分类倡议论坛的报告：</w:t>
      </w:r>
      <w:r w:rsidRPr="006C7ABC">
        <w:rPr>
          <w:rFonts w:ascii="SimSun" w:eastAsia="Times New Roman" w:hAnsi="SimSun" w:cs="SimSun"/>
          <w:sz w:val="24"/>
          <w:szCs w:val="24"/>
          <w:lang w:eastAsia="zh-CN"/>
        </w:rPr>
        <w:t>“</w:t>
      </w:r>
      <w:r w:rsidRPr="006C7ABC">
        <w:rPr>
          <w:rFonts w:ascii="SimSun" w:eastAsia="SimSun" w:hAnsi="SimSun" w:cs="SimSun" w:hint="eastAsia"/>
          <w:sz w:val="24"/>
          <w:szCs w:val="24"/>
          <w:lang w:eastAsia="zh-CN"/>
        </w:rPr>
        <w:t>为世界人民排除分类的障碍</w:t>
      </w:r>
      <w:r w:rsidRPr="006C7ABC">
        <w:rPr>
          <w:rFonts w:ascii="SimSun" w:eastAsia="Times New Roman" w:hAnsi="SimSun" w:cs="SimSun"/>
          <w:sz w:val="24"/>
          <w:szCs w:val="24"/>
          <w:lang w:eastAsia="zh-CN"/>
        </w:rPr>
        <w:t>”</w:t>
      </w:r>
      <w:r w:rsidRPr="006C7ABC">
        <w:rPr>
          <w:rFonts w:ascii="SimSun" w:eastAsia="SimSun" w:hAnsi="SimSun" w:cs="SimSun" w:hint="eastAsia"/>
          <w:sz w:val="24"/>
          <w:szCs w:val="24"/>
          <w:lang w:eastAsia="zh-CN"/>
        </w:rPr>
        <w:t>（</w:t>
      </w:r>
      <w:r w:rsidRPr="006C7ABC">
        <w:rPr>
          <w:rFonts w:hAnsi="SimSun"/>
          <w:sz w:val="24"/>
          <w:szCs w:val="24"/>
          <w:lang w:eastAsia="zh-CN"/>
        </w:rPr>
        <w:t>CBD/COP/14/INF/12/Add.1</w:t>
      </w:r>
      <w:r w:rsidRPr="006C7ABC">
        <w:rPr>
          <w:rFonts w:ascii="SimSun" w:eastAsia="SimSun" w:hAnsi="SimSun" w:cs="SimSun" w:hint="eastAsia"/>
          <w:sz w:val="24"/>
          <w:szCs w:val="24"/>
          <w:lang w:eastAsia="zh-CN"/>
        </w:rPr>
        <w:t>）；关于科技合作的进展报告（</w:t>
      </w:r>
      <w:r w:rsidRPr="006C7ABC">
        <w:rPr>
          <w:rFonts w:hAnsi="SimSun"/>
          <w:sz w:val="24"/>
          <w:szCs w:val="24"/>
          <w:lang w:eastAsia="zh-CN"/>
        </w:rPr>
        <w:t>CBD/COP/14/INF/23</w:t>
      </w:r>
      <w:r w:rsidRPr="006C7ABC">
        <w:rPr>
          <w:rFonts w:ascii="SimSun" w:eastAsia="SimSun" w:hAnsi="SimSun" w:cs="SimSun" w:hint="eastAsia"/>
          <w:sz w:val="24"/>
          <w:szCs w:val="24"/>
          <w:lang w:eastAsia="zh-CN"/>
        </w:rPr>
        <w:t>）。工作组还收到了决定草案汇编（</w:t>
      </w:r>
      <w:r w:rsidRPr="006C7ABC">
        <w:rPr>
          <w:rFonts w:hAnsi="SimSun"/>
          <w:sz w:val="24"/>
          <w:szCs w:val="24"/>
          <w:lang w:eastAsia="zh-CN"/>
        </w:rPr>
        <w:t>CBD/COP/14/2</w:t>
      </w:r>
      <w:r w:rsidRPr="006C7ABC">
        <w:rPr>
          <w:rFonts w:ascii="SimSun" w:eastAsia="SimSun" w:hAnsi="SimSun" w:cs="SimSun" w:hint="eastAsia"/>
          <w:sz w:val="24"/>
          <w:szCs w:val="24"/>
          <w:lang w:eastAsia="zh-CN"/>
        </w:rPr>
        <w:t>）</w:t>
      </w:r>
      <w:r w:rsidR="00B6762D">
        <w:rPr>
          <w:rFonts w:ascii="SimSun" w:eastAsia="SimSun" w:hAnsi="SimSun" w:cs="SimSun" w:hint="eastAsia"/>
          <w:sz w:val="24"/>
          <w:szCs w:val="24"/>
          <w:lang w:eastAsia="zh-CN"/>
        </w:rPr>
        <w:t>中</w:t>
      </w:r>
      <w:r w:rsidR="00B6762D">
        <w:rPr>
          <w:rFonts w:ascii="SimSun" w:eastAsia="SimSun" w:hAnsi="SimSun" w:cs="SimSun"/>
          <w:sz w:val="24"/>
          <w:szCs w:val="24"/>
          <w:lang w:eastAsia="zh-CN"/>
        </w:rPr>
        <w:t>所载的</w:t>
      </w:r>
      <w:r w:rsidRPr="006C7ABC">
        <w:rPr>
          <w:rFonts w:ascii="SimSun" w:eastAsia="SimSun" w:hAnsi="SimSun" w:cs="SimSun" w:hint="eastAsia"/>
          <w:sz w:val="24"/>
          <w:szCs w:val="24"/>
          <w:lang w:eastAsia="zh-CN"/>
        </w:rPr>
        <w:t>根据第</w:t>
      </w:r>
      <w:r w:rsidRPr="006C7ABC">
        <w:rPr>
          <w:rFonts w:hAnsi="SimSun"/>
          <w:sz w:val="24"/>
          <w:szCs w:val="24"/>
          <w:lang w:eastAsia="zh-CN"/>
        </w:rPr>
        <w:t>SBI-2/8</w:t>
      </w:r>
      <w:r w:rsidRPr="006C7ABC">
        <w:rPr>
          <w:rFonts w:ascii="SimSun" w:eastAsia="SimSun" w:hAnsi="SimSun" w:cs="SimSun" w:hint="eastAsia"/>
          <w:sz w:val="24"/>
          <w:szCs w:val="24"/>
          <w:lang w:eastAsia="zh-CN"/>
        </w:rPr>
        <w:t>号建议编制的决定草案。在这方面，秘书处的代表指出，不经意间列入文件附件二的技术和科学合作非正式咨询委员会的职权范围草案应予以忽略，拟将对此做进一步审查，进而提交给缔约方大会</w:t>
      </w:r>
      <w:r w:rsidR="00AF6DB8">
        <w:rPr>
          <w:rFonts w:ascii="SimSun" w:eastAsia="SimSun" w:hAnsi="SimSun" w:cs="SimSun" w:hint="eastAsia"/>
          <w:sz w:val="24"/>
          <w:szCs w:val="24"/>
          <w:lang w:eastAsia="zh-CN"/>
        </w:rPr>
        <w:t>第十五届会议</w:t>
      </w:r>
      <w:r w:rsidRPr="006C7ABC">
        <w:rPr>
          <w:rFonts w:ascii="SimSun" w:eastAsia="SimSun" w:hAnsi="SimSun" w:cs="SimSun" w:hint="eastAsia"/>
          <w:sz w:val="24"/>
          <w:szCs w:val="24"/>
          <w:lang w:eastAsia="zh-CN"/>
        </w:rPr>
        <w:t>。</w:t>
      </w:r>
    </w:p>
    <w:p w:rsidR="008D76BF" w:rsidRPr="006C7ABC" w:rsidRDefault="008D76BF" w:rsidP="00750ECD">
      <w:pPr>
        <w:pStyle w:val="Para1"/>
        <w:numPr>
          <w:ilvl w:val="0"/>
          <w:numId w:val="9"/>
        </w:numPr>
        <w:tabs>
          <w:tab w:val="clear" w:pos="360"/>
          <w:tab w:val="left" w:pos="720"/>
        </w:tabs>
        <w:ind w:firstLine="0"/>
        <w:rPr>
          <w:rFonts w:hAnsi="SimSun"/>
          <w:sz w:val="24"/>
          <w:szCs w:val="24"/>
          <w:lang w:eastAsia="zh-CN"/>
        </w:rPr>
      </w:pPr>
      <w:r w:rsidRPr="006C7ABC">
        <w:rPr>
          <w:rFonts w:ascii="SimSun" w:eastAsia="SimSun" w:hAnsi="SimSun" w:cs="SimSun" w:hint="eastAsia"/>
          <w:sz w:val="24"/>
          <w:szCs w:val="24"/>
          <w:lang w:eastAsia="zh-CN"/>
        </w:rPr>
        <w:t>工作组同意在本项目下只审议决定草案内分别涉及能力建设和科技合作的头两部分，并将在项目</w:t>
      </w:r>
      <w:r w:rsidRPr="006C7ABC">
        <w:rPr>
          <w:rFonts w:hAnsi="SimSun"/>
          <w:sz w:val="24"/>
          <w:szCs w:val="24"/>
          <w:lang w:eastAsia="zh-CN"/>
        </w:rPr>
        <w:t>11</w:t>
      </w:r>
      <w:r w:rsidRPr="006C7ABC">
        <w:rPr>
          <w:rFonts w:ascii="SimSun" w:eastAsia="SimSun" w:hAnsi="SimSun" w:cs="SimSun" w:hint="eastAsia"/>
          <w:sz w:val="24"/>
          <w:szCs w:val="24"/>
          <w:lang w:eastAsia="zh-CN"/>
        </w:rPr>
        <w:t>（知识管理和传播）下审议决定草案有关信息交换所机制的第三部分。</w:t>
      </w:r>
    </w:p>
    <w:p w:rsidR="008D76BF" w:rsidRPr="006C7ABC" w:rsidRDefault="008D76BF" w:rsidP="00750ECD">
      <w:pPr>
        <w:pStyle w:val="Para1"/>
        <w:numPr>
          <w:ilvl w:val="0"/>
          <w:numId w:val="9"/>
        </w:numPr>
        <w:tabs>
          <w:tab w:val="clear" w:pos="360"/>
          <w:tab w:val="left" w:pos="720"/>
        </w:tabs>
        <w:ind w:firstLine="0"/>
        <w:rPr>
          <w:rFonts w:hAnsi="SimSun"/>
          <w:sz w:val="24"/>
          <w:szCs w:val="24"/>
          <w:lang w:eastAsia="zh-CN"/>
        </w:rPr>
      </w:pPr>
      <w:r w:rsidRPr="006C7ABC">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6C7ABC">
        <w:rPr>
          <w:rFonts w:ascii="SimSun" w:eastAsia="SimSun" w:hAnsi="SimSun" w:cs="SimSun" w:hint="eastAsia"/>
          <w:sz w:val="24"/>
          <w:szCs w:val="24"/>
          <w:lang w:eastAsia="zh-CN"/>
        </w:rPr>
        <w:t>：柬埔寨、喀麦隆、哥伦比亚、刚果、哥斯达黎加、厄瓜多尔、埃及、欧洲联盟及其</w:t>
      </w:r>
      <w:r w:rsidRPr="006C7ABC">
        <w:rPr>
          <w:rFonts w:hAnsi="SimSun"/>
          <w:sz w:val="24"/>
          <w:szCs w:val="24"/>
          <w:lang w:eastAsia="zh-CN"/>
        </w:rPr>
        <w:t>28</w:t>
      </w:r>
      <w:r w:rsidRPr="006C7ABC">
        <w:rPr>
          <w:rFonts w:ascii="SimSun" w:eastAsia="SimSun" w:hAnsi="SimSun" w:cs="SimSun" w:hint="eastAsia"/>
          <w:sz w:val="24"/>
          <w:szCs w:val="24"/>
          <w:lang w:eastAsia="zh-CN"/>
        </w:rPr>
        <w:t>个成员国、加纳、危地马拉、印度、伊朗伊斯兰共和国、肯尼亚、黎巴嫩、马里、摩洛哥、纳米比亚（代表非洲国家集团）、挪威、南非、乌干达和坦桑尼亚联合共和国。</w:t>
      </w:r>
    </w:p>
    <w:p w:rsidR="008D76BF" w:rsidRPr="006C7ABC" w:rsidRDefault="008D76BF" w:rsidP="00750ECD">
      <w:pPr>
        <w:pStyle w:val="Para1"/>
        <w:numPr>
          <w:ilvl w:val="0"/>
          <w:numId w:val="9"/>
        </w:numPr>
        <w:tabs>
          <w:tab w:val="clear" w:pos="360"/>
          <w:tab w:val="left" w:pos="720"/>
        </w:tabs>
        <w:ind w:firstLine="0"/>
        <w:rPr>
          <w:rFonts w:hAnsi="SimSun"/>
          <w:sz w:val="24"/>
          <w:szCs w:val="24"/>
          <w:lang w:eastAsia="zh-CN"/>
        </w:rPr>
      </w:pPr>
      <w:r w:rsidRPr="006C7ABC">
        <w:rPr>
          <w:rFonts w:ascii="SimSun" w:eastAsia="SimSun" w:hAnsi="SimSun" w:cs="SimSun" w:hint="eastAsia"/>
          <w:sz w:val="24"/>
          <w:szCs w:val="24"/>
          <w:lang w:eastAsia="zh-CN"/>
        </w:rPr>
        <w:t>信息机制</w:t>
      </w:r>
      <w:r w:rsidRPr="006C7ABC">
        <w:rPr>
          <w:rFonts w:hAnsi="SimSun"/>
          <w:sz w:val="24"/>
          <w:szCs w:val="24"/>
          <w:lang w:eastAsia="zh-CN"/>
        </w:rPr>
        <w:t>(GBIF)</w:t>
      </w:r>
      <w:r w:rsidRPr="006C7ABC">
        <w:rPr>
          <w:rFonts w:ascii="SimSun" w:eastAsia="SimSun" w:hAnsi="SimSun" w:cs="SimSun" w:hint="eastAsia"/>
          <w:sz w:val="24"/>
          <w:szCs w:val="24"/>
          <w:lang w:eastAsia="zh-CN"/>
        </w:rPr>
        <w:t>、美洲农业合作协会（</w:t>
      </w:r>
      <w:r w:rsidRPr="006C7ABC">
        <w:rPr>
          <w:rFonts w:hAnsi="SimSun"/>
          <w:sz w:val="24"/>
          <w:szCs w:val="24"/>
          <w:lang w:eastAsia="zh-CN"/>
        </w:rPr>
        <w:t>IICA</w:t>
      </w:r>
      <w:r w:rsidRPr="006C7ABC">
        <w:rPr>
          <w:rFonts w:ascii="SimSun" w:eastAsia="SimSun" w:hAnsi="SimSun" w:cs="SimSun" w:hint="eastAsia"/>
          <w:sz w:val="24"/>
          <w:szCs w:val="24"/>
          <w:lang w:eastAsia="zh-CN"/>
        </w:rPr>
        <w:t>）、生物多样性问题国际土著论坛（</w:t>
      </w:r>
      <w:r w:rsidRPr="006C7ABC">
        <w:rPr>
          <w:rFonts w:hAnsi="SimSun"/>
          <w:sz w:val="24"/>
          <w:szCs w:val="24"/>
          <w:lang w:eastAsia="zh-CN"/>
        </w:rPr>
        <w:t>IIFB</w:t>
      </w:r>
      <w:r w:rsidRPr="006C7ABC">
        <w:rPr>
          <w:rFonts w:ascii="SimSun" w:eastAsia="SimSun" w:hAnsi="SimSun" w:cs="SimSun" w:hint="eastAsia"/>
          <w:sz w:val="24"/>
          <w:szCs w:val="24"/>
          <w:lang w:eastAsia="zh-CN"/>
        </w:rPr>
        <w:t>）、国际获取农业生物技术应用服务组织（</w:t>
      </w:r>
      <w:r w:rsidRPr="006C7ABC">
        <w:rPr>
          <w:rFonts w:hAnsi="SimSun"/>
          <w:sz w:val="24"/>
          <w:szCs w:val="24"/>
          <w:lang w:eastAsia="zh-CN"/>
        </w:rPr>
        <w:t>ISAAA</w:t>
      </w:r>
      <w:r w:rsidRPr="006C7ABC">
        <w:rPr>
          <w:rFonts w:ascii="SimSun" w:eastAsia="SimSun" w:hAnsi="SimSun" w:cs="SimSun" w:hint="eastAsia"/>
          <w:sz w:val="24"/>
          <w:szCs w:val="24"/>
          <w:lang w:eastAsia="zh-CN"/>
        </w:rPr>
        <w:t>）、国际捕鲸委员会和国际自然保护联盟（</w:t>
      </w:r>
      <w:r w:rsidRPr="006C7ABC">
        <w:rPr>
          <w:rFonts w:hAnsi="SimSun"/>
          <w:sz w:val="24"/>
          <w:szCs w:val="24"/>
          <w:lang w:eastAsia="zh-CN"/>
        </w:rPr>
        <w:t>IUCN</w:t>
      </w:r>
      <w:r w:rsidRPr="006C7ABC">
        <w:rPr>
          <w:rFonts w:ascii="SimSun" w:eastAsia="SimSun" w:hAnsi="SimSun" w:cs="SimSun" w:hint="eastAsia"/>
          <w:sz w:val="24"/>
          <w:szCs w:val="24"/>
          <w:lang w:eastAsia="zh-CN"/>
        </w:rPr>
        <w:t>）的代表也</w:t>
      </w:r>
      <w:r w:rsidR="006952B0">
        <w:rPr>
          <w:rFonts w:ascii="SimSun" w:eastAsia="SimSun" w:hAnsi="SimSun" w:cs="SimSun" w:hint="eastAsia"/>
          <w:sz w:val="24"/>
          <w:szCs w:val="24"/>
          <w:lang w:eastAsia="zh-CN"/>
        </w:rPr>
        <w:t>作了发言</w:t>
      </w:r>
      <w:r w:rsidRPr="006C7ABC">
        <w:rPr>
          <w:rFonts w:ascii="SimSun" w:eastAsia="SimSun" w:hAnsi="SimSun" w:cs="SimSun" w:hint="eastAsia"/>
          <w:sz w:val="24"/>
          <w:szCs w:val="24"/>
          <w:lang w:eastAsia="zh-CN"/>
        </w:rPr>
        <w:t>。</w:t>
      </w:r>
    </w:p>
    <w:p w:rsidR="008D76BF" w:rsidRPr="006C7ABC" w:rsidRDefault="008D76BF" w:rsidP="00750ECD">
      <w:pPr>
        <w:pStyle w:val="Para1"/>
        <w:numPr>
          <w:ilvl w:val="0"/>
          <w:numId w:val="9"/>
        </w:numPr>
        <w:tabs>
          <w:tab w:val="clear" w:pos="360"/>
          <w:tab w:val="left" w:pos="720"/>
        </w:tabs>
        <w:ind w:firstLine="0"/>
        <w:rPr>
          <w:rFonts w:hAnsi="SimSun"/>
          <w:sz w:val="24"/>
          <w:szCs w:val="24"/>
          <w:lang w:eastAsia="zh-CN"/>
        </w:rPr>
      </w:pPr>
      <w:r w:rsidRPr="006C7ABC">
        <w:rPr>
          <w:rFonts w:ascii="SimSun" w:eastAsia="SimSun" w:hAnsi="SimSun" w:cs="SimSun" w:hint="eastAsia"/>
          <w:sz w:val="24"/>
          <w:szCs w:val="24"/>
          <w:lang w:eastAsia="zh-CN"/>
        </w:rPr>
        <w:t>主席指出，他将根据口头表达和书面提出的意见，编制一份有关此事项的订正决定草案。</w:t>
      </w:r>
    </w:p>
    <w:p w:rsidR="008D76BF" w:rsidRPr="006C7ABC" w:rsidRDefault="006B2851"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6C7ABC">
        <w:rPr>
          <w:rFonts w:ascii="SimSun" w:eastAsia="SimSun" w:hAnsi="SimSun" w:cs="SimSun" w:hint="eastAsia"/>
          <w:sz w:val="24"/>
          <w:szCs w:val="24"/>
          <w:lang w:eastAsia="zh-CN"/>
        </w:rPr>
        <w:t>在</w:t>
      </w:r>
      <w:r w:rsidR="008D76BF" w:rsidRPr="006C7ABC">
        <w:rPr>
          <w:rFonts w:hAnsi="SimSun"/>
          <w:sz w:val="24"/>
          <w:szCs w:val="24"/>
          <w:lang w:eastAsia="zh-CN"/>
        </w:rPr>
        <w:t>2018</w:t>
      </w:r>
      <w:r w:rsidR="008D76BF" w:rsidRPr="006C7ABC">
        <w:rPr>
          <w:rFonts w:ascii="SimSun" w:eastAsia="SimSun" w:hAnsi="SimSun" w:cs="SimSun" w:hint="eastAsia"/>
          <w:sz w:val="24"/>
          <w:szCs w:val="24"/>
          <w:lang w:eastAsia="zh-CN"/>
        </w:rPr>
        <w:t>年</w:t>
      </w:r>
      <w:r w:rsidR="008D76BF" w:rsidRPr="006C7ABC">
        <w:rPr>
          <w:rFonts w:hAnsi="SimSun"/>
          <w:sz w:val="24"/>
          <w:szCs w:val="24"/>
          <w:lang w:eastAsia="zh-CN"/>
        </w:rPr>
        <w:t>11</w:t>
      </w:r>
      <w:r w:rsidR="008D76BF" w:rsidRPr="006C7ABC">
        <w:rPr>
          <w:rFonts w:ascii="SimSun" w:eastAsia="SimSun" w:hAnsi="SimSun" w:cs="SimSun" w:hint="eastAsia"/>
          <w:sz w:val="24"/>
          <w:szCs w:val="24"/>
          <w:lang w:eastAsia="zh-CN"/>
        </w:rPr>
        <w:t>月</w:t>
      </w:r>
      <w:r w:rsidR="008D76BF" w:rsidRPr="006C7ABC">
        <w:rPr>
          <w:rFonts w:hAnsi="SimSun"/>
          <w:sz w:val="24"/>
          <w:szCs w:val="24"/>
          <w:lang w:eastAsia="zh-CN"/>
        </w:rPr>
        <w:t>22</w:t>
      </w:r>
      <w:r>
        <w:rPr>
          <w:rFonts w:ascii="SimSun" w:eastAsia="SimSun" w:hAnsi="SimSun" w:cs="SimSun" w:hint="eastAsia"/>
          <w:sz w:val="24"/>
          <w:szCs w:val="24"/>
          <w:lang w:eastAsia="zh-CN"/>
        </w:rPr>
        <w:t>日其</w:t>
      </w:r>
      <w:r w:rsidR="008D76BF" w:rsidRPr="006C7ABC">
        <w:rPr>
          <w:rFonts w:ascii="SimSun" w:eastAsia="SimSun" w:hAnsi="SimSun" w:cs="SimSun" w:hint="eastAsia"/>
          <w:sz w:val="24"/>
          <w:szCs w:val="24"/>
          <w:lang w:eastAsia="zh-CN"/>
        </w:rPr>
        <w:t>第</w:t>
      </w:r>
      <w:r w:rsidR="008D76BF" w:rsidRPr="006C7ABC">
        <w:rPr>
          <w:rFonts w:hAnsi="SimSun"/>
          <w:sz w:val="24"/>
          <w:szCs w:val="24"/>
          <w:lang w:eastAsia="zh-CN"/>
        </w:rPr>
        <w:t>8</w:t>
      </w:r>
      <w:r w:rsidR="008D76BF" w:rsidRPr="006C7ABC">
        <w:rPr>
          <w:rFonts w:ascii="SimSun" w:eastAsia="SimSun" w:hAnsi="SimSun" w:cs="SimSun" w:hint="eastAsia"/>
          <w:sz w:val="24"/>
          <w:szCs w:val="24"/>
          <w:lang w:eastAsia="zh-CN"/>
        </w:rPr>
        <w:t>场会议上审议了主席编制的订正决定草案。</w:t>
      </w:r>
    </w:p>
    <w:p w:rsidR="008D76BF" w:rsidRPr="006C7ABC" w:rsidRDefault="008D76BF" w:rsidP="00750ECD">
      <w:pPr>
        <w:pStyle w:val="Para1"/>
        <w:numPr>
          <w:ilvl w:val="0"/>
          <w:numId w:val="9"/>
        </w:numPr>
        <w:tabs>
          <w:tab w:val="clear" w:pos="360"/>
          <w:tab w:val="left" w:pos="720"/>
        </w:tabs>
        <w:ind w:firstLine="0"/>
        <w:rPr>
          <w:rFonts w:hAnsi="SimSun"/>
          <w:sz w:val="24"/>
          <w:szCs w:val="24"/>
          <w:lang w:eastAsia="zh-CN"/>
        </w:rPr>
      </w:pPr>
      <w:r w:rsidRPr="006C7ABC">
        <w:rPr>
          <w:rFonts w:ascii="SimSun" w:eastAsia="SimSun" w:hAnsi="SimSun" w:cs="SimSun" w:hint="eastAsia"/>
          <w:sz w:val="24"/>
          <w:szCs w:val="24"/>
          <w:lang w:eastAsia="zh-CN"/>
        </w:rPr>
        <w:lastRenderedPageBreak/>
        <w:t>下列国家的代表</w:t>
      </w:r>
      <w:r w:rsidR="006952B0">
        <w:rPr>
          <w:rFonts w:ascii="SimSun" w:eastAsia="SimSun" w:hAnsi="SimSun" w:cs="SimSun" w:hint="eastAsia"/>
          <w:sz w:val="24"/>
          <w:szCs w:val="24"/>
          <w:lang w:eastAsia="zh-CN"/>
        </w:rPr>
        <w:t>作了发言</w:t>
      </w:r>
      <w:r w:rsidRPr="006C7ABC">
        <w:rPr>
          <w:rFonts w:ascii="SimSun" w:eastAsia="SimSun" w:hAnsi="SimSun" w:cs="SimSun" w:hint="eastAsia"/>
          <w:sz w:val="24"/>
          <w:szCs w:val="24"/>
          <w:lang w:eastAsia="zh-CN"/>
        </w:rPr>
        <w:t>：阿根廷、孟加拉国、白俄罗斯、巴西、喀麦隆、加拿大、中非共和国、哥伦比亚、刚果、哥斯达黎加、欧洲联盟及其</w:t>
      </w:r>
      <w:r w:rsidRPr="006C7ABC">
        <w:rPr>
          <w:rFonts w:hAnsi="SimSun"/>
          <w:sz w:val="24"/>
          <w:szCs w:val="24"/>
          <w:lang w:eastAsia="zh-CN"/>
        </w:rPr>
        <w:t>28</w:t>
      </w:r>
      <w:r w:rsidRPr="006C7ABC">
        <w:rPr>
          <w:rFonts w:ascii="SimSun" w:eastAsia="SimSun" w:hAnsi="SimSun" w:cs="SimSun" w:hint="eastAsia"/>
          <w:sz w:val="24"/>
          <w:szCs w:val="24"/>
          <w:lang w:eastAsia="zh-CN"/>
        </w:rPr>
        <w:t>个成员国、加蓬、几内亚、马拉维、墨西哥、摩洛哥、尼日利亚、新西兰、挪威、秘鲁、卡塔尔、大韩民国、南非、土耳其、乌干达和乌拉圭。</w:t>
      </w:r>
    </w:p>
    <w:p w:rsidR="008D76BF" w:rsidRPr="006C7ABC"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6C7ABC">
        <w:rPr>
          <w:rFonts w:ascii="SimSun" w:eastAsia="SimSun" w:hAnsi="SimSun" w:cs="SimSun" w:hint="eastAsia"/>
          <w:sz w:val="24"/>
          <w:szCs w:val="24"/>
          <w:lang w:eastAsia="zh-CN"/>
        </w:rPr>
        <w:t>在</w:t>
      </w:r>
      <w:r w:rsidR="008D76BF" w:rsidRPr="006C7ABC">
        <w:rPr>
          <w:rFonts w:hAnsi="SimSun"/>
          <w:sz w:val="24"/>
          <w:szCs w:val="24"/>
          <w:lang w:eastAsia="zh-CN"/>
        </w:rPr>
        <w:t>2018</w:t>
      </w:r>
      <w:r w:rsidR="008D76BF" w:rsidRPr="006C7ABC">
        <w:rPr>
          <w:rFonts w:ascii="SimSun" w:eastAsia="SimSun" w:hAnsi="SimSun" w:cs="SimSun" w:hint="eastAsia"/>
          <w:sz w:val="24"/>
          <w:szCs w:val="24"/>
          <w:lang w:eastAsia="zh-CN"/>
        </w:rPr>
        <w:t>年</w:t>
      </w:r>
      <w:r w:rsidR="008D76BF" w:rsidRPr="006C7ABC">
        <w:rPr>
          <w:rFonts w:hAnsi="SimSun"/>
          <w:sz w:val="24"/>
          <w:szCs w:val="24"/>
          <w:lang w:eastAsia="zh-CN"/>
        </w:rPr>
        <w:t>11</w:t>
      </w:r>
      <w:r w:rsidR="008D76BF" w:rsidRPr="006C7ABC">
        <w:rPr>
          <w:rFonts w:ascii="SimSun" w:eastAsia="SimSun" w:hAnsi="SimSun" w:cs="SimSun" w:hint="eastAsia"/>
          <w:sz w:val="24"/>
          <w:szCs w:val="24"/>
          <w:lang w:eastAsia="zh-CN"/>
        </w:rPr>
        <w:t>月</w:t>
      </w:r>
      <w:r w:rsidR="008D76BF" w:rsidRPr="006C7ABC">
        <w:rPr>
          <w:rFonts w:hAnsi="SimSun"/>
          <w:sz w:val="24"/>
          <w:szCs w:val="24"/>
          <w:lang w:eastAsia="zh-CN"/>
        </w:rPr>
        <w:t>22</w:t>
      </w:r>
      <w:r>
        <w:rPr>
          <w:rFonts w:ascii="SimSun" w:eastAsia="SimSun" w:hAnsi="SimSun" w:cs="SimSun" w:hint="eastAsia"/>
          <w:sz w:val="24"/>
          <w:szCs w:val="24"/>
          <w:lang w:eastAsia="zh-CN"/>
        </w:rPr>
        <w:t>日其</w:t>
      </w:r>
      <w:r w:rsidR="008D76BF" w:rsidRPr="006C7ABC">
        <w:rPr>
          <w:rFonts w:ascii="SimSun" w:eastAsia="SimSun" w:hAnsi="SimSun" w:cs="SimSun" w:hint="eastAsia"/>
          <w:sz w:val="24"/>
          <w:szCs w:val="24"/>
          <w:lang w:eastAsia="zh-CN"/>
        </w:rPr>
        <w:t>第</w:t>
      </w:r>
      <w:r w:rsidR="008D76BF" w:rsidRPr="006C7ABC">
        <w:rPr>
          <w:rFonts w:hAnsi="SimSun"/>
          <w:sz w:val="24"/>
          <w:szCs w:val="24"/>
          <w:lang w:eastAsia="zh-CN"/>
        </w:rPr>
        <w:t>9</w:t>
      </w:r>
      <w:r w:rsidR="008D76BF" w:rsidRPr="006C7ABC">
        <w:rPr>
          <w:rFonts w:ascii="SimSun" w:eastAsia="SimSun" w:hAnsi="SimSun" w:cs="SimSun" w:hint="eastAsia"/>
          <w:sz w:val="24"/>
          <w:szCs w:val="24"/>
          <w:lang w:eastAsia="zh-CN"/>
        </w:rPr>
        <w:t>场会议上继续审议订正决定草案。</w:t>
      </w:r>
    </w:p>
    <w:p w:rsidR="008D76BF" w:rsidRPr="006C7ABC" w:rsidRDefault="008D76BF" w:rsidP="00750ECD">
      <w:pPr>
        <w:pStyle w:val="Para1"/>
        <w:numPr>
          <w:ilvl w:val="0"/>
          <w:numId w:val="9"/>
        </w:numPr>
        <w:tabs>
          <w:tab w:val="clear" w:pos="360"/>
          <w:tab w:val="left" w:pos="720"/>
        </w:tabs>
        <w:ind w:firstLine="0"/>
        <w:rPr>
          <w:rFonts w:hAnsi="SimSun"/>
          <w:sz w:val="24"/>
          <w:szCs w:val="24"/>
          <w:lang w:eastAsia="zh-CN"/>
        </w:rPr>
      </w:pPr>
      <w:r w:rsidRPr="006C7ABC">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6C7ABC">
        <w:rPr>
          <w:rFonts w:ascii="SimSun" w:eastAsia="SimSun" w:hAnsi="SimSun" w:cs="SimSun" w:hint="eastAsia"/>
          <w:sz w:val="24"/>
          <w:szCs w:val="24"/>
          <w:lang w:eastAsia="zh-CN"/>
        </w:rPr>
        <w:t>：阿根廷、加拿大、欧洲联盟及其</w:t>
      </w:r>
      <w:r w:rsidRPr="006C7ABC">
        <w:rPr>
          <w:rFonts w:hAnsi="SimSun"/>
          <w:sz w:val="24"/>
          <w:szCs w:val="24"/>
          <w:lang w:eastAsia="zh-CN"/>
        </w:rPr>
        <w:t>28</w:t>
      </w:r>
      <w:r w:rsidRPr="006C7ABC">
        <w:rPr>
          <w:rFonts w:ascii="SimSun" w:eastAsia="SimSun" w:hAnsi="SimSun" w:cs="SimSun" w:hint="eastAsia"/>
          <w:sz w:val="24"/>
          <w:szCs w:val="24"/>
          <w:lang w:eastAsia="zh-CN"/>
        </w:rPr>
        <w:t>个成员国和墨西哥。</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6C7ABC">
        <w:rPr>
          <w:rFonts w:ascii="SimSun" w:eastAsia="SimSun" w:hAnsi="SimSun" w:cs="SimSun" w:hint="eastAsia"/>
          <w:sz w:val="24"/>
          <w:szCs w:val="24"/>
          <w:lang w:eastAsia="zh-CN"/>
        </w:rPr>
        <w:t>工作组核准了经口头修正并包含一组方括号的订正决定草案，作为决定草案</w:t>
      </w:r>
      <w:r w:rsidRPr="006C7ABC">
        <w:rPr>
          <w:rFonts w:hAnsi="SimSun"/>
          <w:sz w:val="24"/>
          <w:szCs w:val="24"/>
          <w:lang w:eastAsia="zh-CN"/>
        </w:rPr>
        <w:t>CBD/COP/14/L.12</w:t>
      </w:r>
      <w:r w:rsidRPr="006C7ABC">
        <w:rPr>
          <w:rFonts w:ascii="SimSun" w:eastAsia="SimSun" w:hAnsi="SimSun" w:cs="SimSun" w:hint="eastAsia"/>
          <w:sz w:val="24"/>
          <w:szCs w:val="24"/>
          <w:lang w:eastAsia="zh-CN"/>
        </w:rPr>
        <w:t>转交全体会议。</w:t>
      </w:r>
    </w:p>
    <w:p w:rsidR="00AF6DB8" w:rsidRPr="00AF6DB8" w:rsidRDefault="00AF6DB8" w:rsidP="00AF6DB8">
      <w:pPr>
        <w:pStyle w:val="Para1"/>
        <w:numPr>
          <w:ilvl w:val="0"/>
          <w:numId w:val="9"/>
        </w:numPr>
        <w:tabs>
          <w:tab w:val="clear" w:pos="360"/>
          <w:tab w:val="left" w:pos="720"/>
        </w:tabs>
        <w:ind w:firstLine="0"/>
        <w:rPr>
          <w:rFonts w:eastAsia="SimSun" w:hAnsi="SimSun"/>
          <w:sz w:val="24"/>
          <w:szCs w:val="24"/>
          <w:lang w:eastAsia="zh-CN"/>
        </w:rPr>
      </w:pPr>
      <w:r w:rsidRPr="00AF6DB8">
        <w:rPr>
          <w:rFonts w:ascii="SimSun" w:eastAsia="SimSun" w:hAnsi="SimSun" w:cs="SimSun" w:hint="eastAsia"/>
          <w:sz w:val="24"/>
          <w:szCs w:val="24"/>
          <w:lang w:eastAsia="zh-CN"/>
        </w:rPr>
        <w:t>在</w:t>
      </w:r>
      <w:r w:rsidRPr="00AF6DB8">
        <w:rPr>
          <w:rFonts w:eastAsia="Times New Roman"/>
          <w:sz w:val="24"/>
          <w:szCs w:val="24"/>
          <w:lang w:eastAsia="zh-CN"/>
        </w:rPr>
        <w:t>2018</w:t>
      </w:r>
      <w:r w:rsidRPr="00AF6DB8">
        <w:rPr>
          <w:rFonts w:ascii="SimSun" w:eastAsia="SimSun" w:hAnsi="SimSun" w:cs="SimSun" w:hint="eastAsia"/>
          <w:sz w:val="24"/>
          <w:szCs w:val="24"/>
          <w:lang w:eastAsia="zh-CN"/>
        </w:rPr>
        <w:t>年</w:t>
      </w:r>
      <w:r w:rsidRPr="00AF6DB8">
        <w:rPr>
          <w:rFonts w:eastAsia="Times New Roman"/>
          <w:sz w:val="24"/>
          <w:szCs w:val="24"/>
          <w:lang w:eastAsia="zh-CN"/>
        </w:rPr>
        <w:t>11</w:t>
      </w:r>
      <w:r w:rsidRPr="00AF6DB8">
        <w:rPr>
          <w:rFonts w:ascii="SimSun" w:eastAsia="SimSun" w:hAnsi="SimSun" w:cs="SimSun" w:hint="eastAsia"/>
          <w:sz w:val="24"/>
          <w:szCs w:val="24"/>
          <w:lang w:eastAsia="zh-CN"/>
        </w:rPr>
        <w:t>月</w:t>
      </w:r>
      <w:r w:rsidRPr="00AF6DB8">
        <w:rPr>
          <w:rFonts w:eastAsia="Times New Roman"/>
          <w:sz w:val="24"/>
          <w:szCs w:val="24"/>
          <w:lang w:eastAsia="zh-CN"/>
        </w:rPr>
        <w:t>29</w:t>
      </w:r>
      <w:r w:rsidR="009E4EF5">
        <w:rPr>
          <w:rFonts w:ascii="SimSun" w:eastAsia="SimSun" w:hAnsi="SimSun" w:cs="SimSun" w:hint="eastAsia"/>
          <w:sz w:val="24"/>
          <w:szCs w:val="24"/>
          <w:lang w:eastAsia="zh-CN"/>
        </w:rPr>
        <w:t>日会议的</w:t>
      </w:r>
      <w:r w:rsidRPr="00AF6DB8">
        <w:rPr>
          <w:rFonts w:ascii="SimSun" w:eastAsia="SimSun" w:hAnsi="SimSun" w:cs="SimSun" w:hint="eastAsia"/>
          <w:sz w:val="24"/>
          <w:szCs w:val="24"/>
          <w:lang w:eastAsia="zh-CN"/>
        </w:rPr>
        <w:t>第</w:t>
      </w:r>
      <w:r>
        <w:rPr>
          <w:rFonts w:eastAsia="Times New Roman"/>
          <w:sz w:val="24"/>
          <w:szCs w:val="24"/>
          <w:lang w:eastAsia="zh-CN"/>
        </w:rPr>
        <w:t>7</w:t>
      </w:r>
      <w:r w:rsidR="00B45641">
        <w:rPr>
          <w:rFonts w:ascii="SimSun" w:eastAsia="SimSun" w:hAnsi="SimSun" w:cs="SimSun" w:hint="eastAsia"/>
          <w:sz w:val="24"/>
          <w:szCs w:val="24"/>
          <w:lang w:eastAsia="zh-CN"/>
        </w:rPr>
        <w:t>次全体会议</w:t>
      </w:r>
      <w:r w:rsidRPr="00AF6DB8">
        <w:rPr>
          <w:rFonts w:ascii="SimSun" w:eastAsia="SimSun" w:hAnsi="SimSun" w:cs="SimSun" w:hint="eastAsia"/>
          <w:sz w:val="24"/>
          <w:szCs w:val="24"/>
          <w:lang w:eastAsia="zh-CN"/>
        </w:rPr>
        <w:t>上，缔约方大会通过了</w:t>
      </w:r>
      <w:r w:rsidR="00A434BF" w:rsidRPr="00AF6DB8">
        <w:rPr>
          <w:rFonts w:ascii="SimSun" w:eastAsia="SimSun" w:hAnsi="SimSun" w:cs="SimSun" w:hint="eastAsia"/>
          <w:sz w:val="24"/>
          <w:szCs w:val="24"/>
          <w:lang w:eastAsia="zh-CN"/>
        </w:rPr>
        <w:t>决定草案</w:t>
      </w:r>
      <w:r w:rsidRPr="00AF6DB8">
        <w:rPr>
          <w:sz w:val="24"/>
          <w:szCs w:val="24"/>
          <w:lang w:eastAsia="zh-CN"/>
        </w:rPr>
        <w:t>CBD/COP/14/L.</w:t>
      </w:r>
      <w:r>
        <w:rPr>
          <w:sz w:val="24"/>
          <w:szCs w:val="24"/>
          <w:lang w:eastAsia="zh-CN"/>
        </w:rPr>
        <w:t>12</w:t>
      </w:r>
      <w:r w:rsidRPr="00AF6DB8">
        <w:rPr>
          <w:rFonts w:ascii="SimSun" w:eastAsia="SimSun" w:hAnsi="SimSun" w:cs="SimSun" w:hint="eastAsia"/>
          <w:sz w:val="24"/>
          <w:szCs w:val="24"/>
          <w:lang w:eastAsia="zh-CN"/>
        </w:rPr>
        <w:t>，成为第</w:t>
      </w:r>
      <w:r w:rsidRPr="00AF6DB8">
        <w:rPr>
          <w:rFonts w:eastAsia="SimSun"/>
          <w:sz w:val="24"/>
          <w:szCs w:val="24"/>
          <w:lang w:eastAsia="zh-CN"/>
        </w:rPr>
        <w:t>14</w:t>
      </w:r>
      <w:r w:rsidRPr="00AF6DB8">
        <w:rPr>
          <w:sz w:val="24"/>
          <w:szCs w:val="24"/>
          <w:lang w:eastAsia="zh-CN"/>
        </w:rPr>
        <w:t>/2</w:t>
      </w:r>
      <w:r>
        <w:rPr>
          <w:sz w:val="24"/>
          <w:szCs w:val="24"/>
          <w:lang w:eastAsia="zh-CN"/>
        </w:rPr>
        <w:t>4</w:t>
      </w:r>
      <w:r w:rsidRPr="00AF6DB8">
        <w:rPr>
          <w:rFonts w:ascii="SimSun" w:eastAsia="SimSun" w:hAnsi="SimSun" w:cs="SimSun" w:hint="eastAsia"/>
          <w:sz w:val="24"/>
          <w:szCs w:val="24"/>
          <w:lang w:eastAsia="zh-CN"/>
        </w:rPr>
        <w:t>号决定</w:t>
      </w:r>
      <w:r w:rsidRPr="00AF6DB8">
        <w:rPr>
          <w:rFonts w:eastAsia="SimSun"/>
          <w:sz w:val="24"/>
          <w:szCs w:val="24"/>
          <w:lang w:val="en-US" w:eastAsia="zh-CN"/>
        </w:rPr>
        <w:t>（</w:t>
      </w:r>
      <w:r w:rsidRPr="00AF6DB8">
        <w:rPr>
          <w:rFonts w:eastAsia="SimSun" w:hint="eastAsia"/>
          <w:sz w:val="24"/>
          <w:szCs w:val="24"/>
          <w:lang w:eastAsia="zh-CN"/>
        </w:rPr>
        <w:t>案文见</w:t>
      </w:r>
      <w:r w:rsidRPr="00AF6DB8">
        <w:rPr>
          <w:rFonts w:eastAsia="SimSun"/>
          <w:sz w:val="24"/>
          <w:szCs w:val="24"/>
          <w:lang w:eastAsia="zh-CN"/>
        </w:rPr>
        <w:t>第一章</w:t>
      </w:r>
      <w:r w:rsidRPr="00AF6DB8">
        <w:rPr>
          <w:rFonts w:eastAsia="SimSun" w:hint="eastAsia"/>
          <w:sz w:val="24"/>
          <w:szCs w:val="24"/>
          <w:lang w:eastAsia="zh-CN"/>
        </w:rPr>
        <w:t>）。</w:t>
      </w:r>
      <w:r w:rsidRPr="00AF6DB8">
        <w:rPr>
          <w:rFonts w:eastAsia="SimSun" w:hAnsi="SimSun"/>
          <w:sz w:val="24"/>
          <w:szCs w:val="24"/>
          <w:lang w:eastAsia="zh-CN"/>
        </w:rPr>
        <w:t xml:space="preserve"> </w:t>
      </w:r>
    </w:p>
    <w:p w:rsidR="008D76BF" w:rsidRPr="00F17640" w:rsidRDefault="008D76BF" w:rsidP="00F17640">
      <w:pPr>
        <w:pStyle w:val="Heading1"/>
        <w:spacing w:before="120" w:after="120"/>
        <w:ind w:firstLine="0"/>
        <w:rPr>
          <w:sz w:val="24"/>
          <w:szCs w:val="24"/>
          <w:lang w:eastAsia="zh-CN"/>
        </w:rPr>
      </w:pPr>
      <w:r w:rsidRPr="00F17640">
        <w:rPr>
          <w:rFonts w:hint="eastAsia"/>
          <w:sz w:val="24"/>
          <w:szCs w:val="24"/>
          <w:lang w:eastAsia="zh-CN"/>
        </w:rPr>
        <w:t>项目</w:t>
      </w:r>
      <w:r w:rsidRPr="00F17640">
        <w:rPr>
          <w:sz w:val="24"/>
          <w:szCs w:val="24"/>
          <w:lang w:eastAsia="zh-CN"/>
        </w:rPr>
        <w:t xml:space="preserve">11.    </w:t>
      </w:r>
      <w:r w:rsidR="00366699" w:rsidRPr="00F17640">
        <w:rPr>
          <w:sz w:val="24"/>
          <w:szCs w:val="24"/>
          <w:lang w:eastAsia="zh-CN"/>
        </w:rPr>
        <w:t xml:space="preserve">  </w:t>
      </w:r>
      <w:r w:rsidRPr="00F17640">
        <w:rPr>
          <w:rFonts w:hint="eastAsia"/>
          <w:sz w:val="24"/>
          <w:szCs w:val="24"/>
          <w:lang w:eastAsia="zh-CN"/>
        </w:rPr>
        <w:t>知识管理和传播</w:t>
      </w:r>
    </w:p>
    <w:p w:rsidR="008D76BF" w:rsidRPr="001D33AF" w:rsidRDefault="006B2851"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第一工作组</w:t>
      </w:r>
      <w:r w:rsidR="008D76BF" w:rsidRPr="001D33AF">
        <w:rPr>
          <w:rFonts w:ascii="SimSun" w:eastAsia="SimSun" w:hAnsi="SimSun" w:cs="SimSun" w:hint="eastAsia"/>
          <w:sz w:val="24"/>
          <w:szCs w:val="24"/>
          <w:lang w:eastAsia="zh-CN"/>
        </w:rPr>
        <w:t>在</w:t>
      </w:r>
      <w:r w:rsidR="008D76BF" w:rsidRPr="001D33AF">
        <w:rPr>
          <w:rFonts w:hAnsi="SimSun"/>
          <w:sz w:val="24"/>
          <w:szCs w:val="24"/>
          <w:lang w:eastAsia="zh-CN"/>
        </w:rPr>
        <w:t>2018</w:t>
      </w:r>
      <w:r w:rsidR="008D76BF" w:rsidRPr="001D33AF">
        <w:rPr>
          <w:rFonts w:ascii="SimSun" w:eastAsia="SimSun" w:hAnsi="SimSun" w:cs="SimSun" w:hint="eastAsia"/>
          <w:sz w:val="24"/>
          <w:szCs w:val="24"/>
          <w:lang w:eastAsia="zh-CN"/>
        </w:rPr>
        <w:t>年</w:t>
      </w:r>
      <w:r w:rsidR="008D76BF" w:rsidRPr="001D33AF">
        <w:rPr>
          <w:rFonts w:hAnsi="SimSun"/>
          <w:sz w:val="24"/>
          <w:szCs w:val="24"/>
          <w:lang w:eastAsia="zh-CN"/>
        </w:rPr>
        <w:t>11</w:t>
      </w:r>
      <w:r w:rsidR="008D76BF" w:rsidRPr="001D33AF">
        <w:rPr>
          <w:rFonts w:ascii="SimSun" w:eastAsia="SimSun" w:hAnsi="SimSun" w:cs="SimSun" w:hint="eastAsia"/>
          <w:sz w:val="24"/>
          <w:szCs w:val="24"/>
          <w:lang w:eastAsia="zh-CN"/>
        </w:rPr>
        <w:t>月</w:t>
      </w:r>
      <w:r w:rsidR="008D76BF" w:rsidRPr="001D33AF">
        <w:rPr>
          <w:rFonts w:hAnsi="SimSun"/>
          <w:sz w:val="24"/>
          <w:szCs w:val="24"/>
          <w:lang w:eastAsia="zh-CN"/>
        </w:rPr>
        <w:t>19</w:t>
      </w:r>
      <w:r>
        <w:rPr>
          <w:rFonts w:ascii="SimSun" w:eastAsia="SimSun" w:hAnsi="SimSun" w:cs="SimSun" w:hint="eastAsia"/>
          <w:sz w:val="24"/>
          <w:szCs w:val="24"/>
          <w:lang w:eastAsia="zh-CN"/>
        </w:rPr>
        <w:t>日其</w:t>
      </w:r>
      <w:r w:rsidR="008D76BF" w:rsidRPr="001D33AF">
        <w:rPr>
          <w:rFonts w:ascii="SimSun" w:eastAsia="SimSun" w:hAnsi="SimSun" w:cs="SimSun" w:hint="eastAsia"/>
          <w:sz w:val="24"/>
          <w:szCs w:val="24"/>
          <w:lang w:eastAsia="zh-CN"/>
        </w:rPr>
        <w:t>第</w:t>
      </w:r>
      <w:r w:rsidR="008D76BF" w:rsidRPr="001D33AF">
        <w:rPr>
          <w:rFonts w:hAnsi="SimSun"/>
          <w:sz w:val="24"/>
          <w:szCs w:val="24"/>
          <w:lang w:eastAsia="zh-CN"/>
        </w:rPr>
        <w:t>4</w:t>
      </w:r>
      <w:r w:rsidR="008D76BF" w:rsidRPr="001D33AF">
        <w:rPr>
          <w:rFonts w:ascii="SimSun" w:eastAsia="SimSun" w:hAnsi="SimSun" w:cs="SimSun" w:hint="eastAsia"/>
          <w:sz w:val="24"/>
          <w:szCs w:val="24"/>
          <w:lang w:eastAsia="zh-CN"/>
        </w:rPr>
        <w:t>场会议上审议了议程项目</w:t>
      </w:r>
      <w:r w:rsidR="008D76BF" w:rsidRPr="001D33AF">
        <w:rPr>
          <w:rFonts w:hAnsi="SimSun"/>
          <w:sz w:val="24"/>
          <w:szCs w:val="24"/>
          <w:lang w:eastAsia="zh-CN"/>
        </w:rPr>
        <w:t>11</w:t>
      </w:r>
      <w:r w:rsidR="008D76BF" w:rsidRPr="001D33AF">
        <w:rPr>
          <w:rFonts w:ascii="SimSun" w:eastAsia="SimSun" w:hAnsi="SimSun" w:cs="SimSun" w:hint="eastAsia"/>
          <w:sz w:val="24"/>
          <w:szCs w:val="24"/>
          <w:lang w:eastAsia="zh-CN"/>
        </w:rPr>
        <w:t>。在审议本项目时，工作组收到了执行秘书关于《公约》及其《议定书》下的知识管理的说明（</w:t>
      </w:r>
      <w:r w:rsidR="008D76BF" w:rsidRPr="001D33AF">
        <w:rPr>
          <w:rFonts w:hAnsi="SimSun"/>
          <w:sz w:val="24"/>
          <w:szCs w:val="24"/>
          <w:lang w:eastAsia="zh-CN"/>
        </w:rPr>
        <w:t>CBD/COP/14/11</w:t>
      </w:r>
      <w:r w:rsidR="008D76BF" w:rsidRPr="001D33AF">
        <w:rPr>
          <w:rFonts w:ascii="SimSun" w:eastAsia="SimSun" w:hAnsi="SimSun" w:cs="SimSun" w:hint="eastAsia"/>
          <w:sz w:val="24"/>
          <w:szCs w:val="24"/>
          <w:lang w:eastAsia="zh-CN"/>
        </w:rPr>
        <w:t>），其中附有中央信息交换所机制、生物安全信息交换所和获取和惠益分享信息交换所的联合运作模式、知识管理活动的进度报告</w:t>
      </w:r>
      <w:r w:rsidR="008D76BF" w:rsidRPr="001D33AF">
        <w:rPr>
          <w:rFonts w:hAnsi="SimSun"/>
          <w:sz w:val="24"/>
          <w:szCs w:val="24"/>
          <w:lang w:eastAsia="zh-CN"/>
        </w:rPr>
        <w:t>(CBD/COP/14/INF/4)</w:t>
      </w:r>
      <w:r w:rsidR="008D76BF" w:rsidRPr="001D33AF">
        <w:rPr>
          <w:rFonts w:ascii="SimSun" w:eastAsia="SimSun" w:hAnsi="SimSun" w:cs="SimSun" w:hint="eastAsia"/>
          <w:sz w:val="24"/>
          <w:szCs w:val="24"/>
          <w:lang w:eastAsia="zh-CN"/>
        </w:rPr>
        <w:t>以及关于执行秘书为支持第</w:t>
      </w:r>
      <w:r w:rsidR="008D76BF" w:rsidRPr="001D33AF">
        <w:rPr>
          <w:rFonts w:hAnsi="SimSun"/>
          <w:sz w:val="24"/>
          <w:szCs w:val="24"/>
          <w:lang w:eastAsia="zh-CN"/>
        </w:rPr>
        <w:t>XIII/22</w:t>
      </w:r>
      <w:r w:rsidR="008D76BF" w:rsidRPr="001D33AF">
        <w:rPr>
          <w:rFonts w:ascii="SimSun" w:eastAsia="SimSun" w:hAnsi="SimSun" w:cs="SimSun" w:hint="eastAsia"/>
          <w:sz w:val="24"/>
          <w:szCs w:val="24"/>
          <w:lang w:eastAsia="zh-CN"/>
        </w:rPr>
        <w:t>号决定所采取的活动的报告，和关于全球传播战略框架的报告（</w:t>
      </w:r>
      <w:r w:rsidR="008D76BF" w:rsidRPr="001D33AF">
        <w:rPr>
          <w:rFonts w:hAnsi="SimSun"/>
          <w:sz w:val="24"/>
          <w:szCs w:val="24"/>
          <w:lang w:eastAsia="zh-CN"/>
        </w:rPr>
        <w:t>CBD/COP/14/INF/43</w:t>
      </w:r>
      <w:r w:rsidR="008D76BF" w:rsidRPr="001D33AF">
        <w:rPr>
          <w:rFonts w:ascii="SimSun" w:eastAsia="SimSun" w:hAnsi="SimSun" w:cs="SimSun" w:hint="eastAsia"/>
          <w:sz w:val="24"/>
          <w:szCs w:val="24"/>
          <w:lang w:eastAsia="zh-CN"/>
        </w:rPr>
        <w:t>）。</w:t>
      </w:r>
    </w:p>
    <w:p w:rsidR="008D76BF" w:rsidRPr="001D33AF" w:rsidRDefault="008D76BF" w:rsidP="00750ECD">
      <w:pPr>
        <w:pStyle w:val="Para1"/>
        <w:numPr>
          <w:ilvl w:val="0"/>
          <w:numId w:val="9"/>
        </w:numPr>
        <w:tabs>
          <w:tab w:val="clear" w:pos="360"/>
          <w:tab w:val="left" w:pos="720"/>
        </w:tabs>
        <w:ind w:firstLine="0"/>
        <w:rPr>
          <w:rFonts w:hAnsi="SimSun"/>
          <w:sz w:val="24"/>
          <w:szCs w:val="24"/>
          <w:lang w:eastAsia="zh-CN"/>
        </w:rPr>
      </w:pPr>
      <w:r w:rsidRPr="001D33AF">
        <w:rPr>
          <w:rFonts w:ascii="SimSun" w:eastAsia="SimSun" w:hAnsi="SimSun" w:cs="SimSun" w:hint="eastAsia"/>
          <w:sz w:val="24"/>
          <w:szCs w:val="24"/>
          <w:lang w:eastAsia="zh-CN"/>
        </w:rPr>
        <w:t>工作组还收到了供其审议的题为</w:t>
      </w:r>
      <w:r w:rsidRPr="001D33AF">
        <w:rPr>
          <w:rFonts w:ascii="SimSun" w:eastAsia="Times New Roman" w:hAnsi="SimSun" w:cs="SimSun"/>
          <w:sz w:val="24"/>
          <w:szCs w:val="24"/>
          <w:lang w:eastAsia="zh-CN"/>
        </w:rPr>
        <w:t>“</w:t>
      </w:r>
      <w:r w:rsidRPr="001D33AF">
        <w:rPr>
          <w:rFonts w:ascii="SimSun" w:eastAsia="SimSun" w:hAnsi="SimSun" w:cs="SimSun" w:hint="eastAsia"/>
          <w:sz w:val="24"/>
          <w:szCs w:val="24"/>
          <w:lang w:eastAsia="zh-CN"/>
        </w:rPr>
        <w:t>信息交换所机制</w:t>
      </w:r>
      <w:r w:rsidRPr="001D33AF">
        <w:rPr>
          <w:rFonts w:ascii="SimSun" w:eastAsia="Times New Roman" w:hAnsi="SimSun" w:cs="SimSun"/>
          <w:sz w:val="24"/>
          <w:szCs w:val="24"/>
          <w:lang w:eastAsia="zh-CN"/>
        </w:rPr>
        <w:t>”</w:t>
      </w:r>
      <w:r w:rsidRPr="001D33AF">
        <w:rPr>
          <w:rFonts w:ascii="SimSun" w:eastAsia="SimSun" w:hAnsi="SimSun" w:cs="SimSun" w:hint="eastAsia"/>
          <w:sz w:val="24"/>
          <w:szCs w:val="24"/>
          <w:lang w:eastAsia="zh-CN"/>
        </w:rPr>
        <w:t>的一节，该节是议程项目</w:t>
      </w:r>
      <w:r w:rsidRPr="001D33AF">
        <w:rPr>
          <w:rFonts w:hAnsi="SimSun"/>
          <w:sz w:val="24"/>
          <w:szCs w:val="24"/>
          <w:lang w:eastAsia="zh-CN"/>
        </w:rPr>
        <w:t>10</w:t>
      </w:r>
      <w:r w:rsidRPr="001D33AF">
        <w:rPr>
          <w:rFonts w:ascii="SimSun" w:eastAsia="SimSun" w:hAnsi="SimSun" w:cs="SimSun" w:hint="eastAsia"/>
          <w:sz w:val="24"/>
          <w:szCs w:val="24"/>
          <w:lang w:eastAsia="zh-CN"/>
        </w:rPr>
        <w:t>（能力建设和技术和科学合作）下讨论的决定草案的一部分，该部分来自</w:t>
      </w:r>
      <w:r>
        <w:rPr>
          <w:rFonts w:ascii="SimSun" w:eastAsia="SimSun" w:hAnsi="SimSun" w:cs="SimSun" w:hint="eastAsia"/>
          <w:sz w:val="24"/>
          <w:szCs w:val="24"/>
          <w:lang w:eastAsia="zh-CN"/>
        </w:rPr>
        <w:t>执行问题附属机构</w:t>
      </w:r>
      <w:r w:rsidRPr="001D33AF">
        <w:rPr>
          <w:rFonts w:ascii="SimSun" w:eastAsia="SimSun" w:hAnsi="SimSun" w:cs="SimSun" w:hint="eastAsia"/>
          <w:sz w:val="24"/>
          <w:szCs w:val="24"/>
          <w:lang w:eastAsia="zh-CN"/>
        </w:rPr>
        <w:t>的第</w:t>
      </w:r>
      <w:r w:rsidRPr="001D33AF">
        <w:rPr>
          <w:rFonts w:hAnsi="SimSun"/>
          <w:sz w:val="24"/>
          <w:szCs w:val="24"/>
          <w:lang w:eastAsia="zh-CN"/>
        </w:rPr>
        <w:t>2/8</w:t>
      </w:r>
      <w:r w:rsidRPr="001D33AF">
        <w:rPr>
          <w:rFonts w:ascii="SimSun" w:eastAsia="SimSun" w:hAnsi="SimSun" w:cs="SimSun" w:hint="eastAsia"/>
          <w:sz w:val="24"/>
          <w:szCs w:val="24"/>
          <w:lang w:eastAsia="zh-CN"/>
        </w:rPr>
        <w:t>号建议</w:t>
      </w:r>
      <w:r>
        <w:rPr>
          <w:rFonts w:ascii="SimSun" w:eastAsia="SimSun" w:hAnsi="SimSun" w:cs="SimSun" w:hint="eastAsia"/>
          <w:sz w:val="24"/>
          <w:szCs w:val="24"/>
          <w:lang w:eastAsia="zh-CN"/>
        </w:rPr>
        <w:t>并</w:t>
      </w:r>
      <w:r w:rsidRPr="001D33AF">
        <w:rPr>
          <w:rFonts w:ascii="SimSun" w:eastAsia="SimSun" w:hAnsi="SimSun" w:cs="SimSun" w:hint="eastAsia"/>
          <w:sz w:val="24"/>
          <w:szCs w:val="24"/>
          <w:lang w:eastAsia="zh-CN"/>
        </w:rPr>
        <w:t>载于决定草案汇编（</w:t>
      </w:r>
      <w:r w:rsidRPr="001D33AF">
        <w:rPr>
          <w:rFonts w:hAnsi="SimSun"/>
          <w:sz w:val="24"/>
          <w:szCs w:val="24"/>
          <w:lang w:eastAsia="zh-CN"/>
        </w:rPr>
        <w:t>CBD/COP/14/2</w:t>
      </w:r>
      <w:r w:rsidRPr="001D33AF">
        <w:rPr>
          <w:rFonts w:ascii="SimSun" w:eastAsia="SimSun" w:hAnsi="SimSun" w:cs="SimSun" w:hint="eastAsia"/>
          <w:sz w:val="24"/>
          <w:szCs w:val="24"/>
          <w:lang w:eastAsia="zh-CN"/>
        </w:rPr>
        <w:t>）。</w:t>
      </w:r>
    </w:p>
    <w:p w:rsidR="008D76BF" w:rsidRPr="001D33AF" w:rsidRDefault="008D76BF" w:rsidP="00750ECD">
      <w:pPr>
        <w:pStyle w:val="Para1"/>
        <w:numPr>
          <w:ilvl w:val="0"/>
          <w:numId w:val="9"/>
        </w:numPr>
        <w:tabs>
          <w:tab w:val="clear" w:pos="360"/>
          <w:tab w:val="left" w:pos="720"/>
        </w:tabs>
        <w:ind w:firstLine="0"/>
        <w:rPr>
          <w:rFonts w:hAnsi="SimSun"/>
          <w:sz w:val="24"/>
          <w:szCs w:val="24"/>
          <w:lang w:eastAsia="zh-CN"/>
        </w:rPr>
      </w:pPr>
      <w:r w:rsidRPr="001D33AF">
        <w:rPr>
          <w:rFonts w:ascii="SimSun" w:eastAsia="SimSun" w:hAnsi="SimSun" w:cs="SimSun" w:hint="eastAsia"/>
          <w:sz w:val="24"/>
          <w:szCs w:val="24"/>
          <w:lang w:eastAsia="zh-CN"/>
        </w:rPr>
        <w:t>以下国家的代表</w:t>
      </w:r>
      <w:r w:rsidR="006952B0">
        <w:rPr>
          <w:rFonts w:ascii="SimSun" w:eastAsia="SimSun" w:hAnsi="SimSun" w:cs="SimSun" w:hint="eastAsia"/>
          <w:sz w:val="24"/>
          <w:szCs w:val="24"/>
          <w:lang w:eastAsia="zh-CN"/>
        </w:rPr>
        <w:t>作了发言</w:t>
      </w:r>
      <w:r w:rsidRPr="001D33AF">
        <w:rPr>
          <w:rFonts w:ascii="SimSun" w:eastAsia="SimSun" w:hAnsi="SimSun" w:cs="SimSun" w:hint="eastAsia"/>
          <w:sz w:val="24"/>
          <w:szCs w:val="24"/>
          <w:lang w:eastAsia="zh-CN"/>
        </w:rPr>
        <w:t>：加拿大、欧洲联盟及其</w:t>
      </w:r>
      <w:r w:rsidRPr="001D33AF">
        <w:rPr>
          <w:rFonts w:hAnsi="SimSun"/>
          <w:sz w:val="24"/>
          <w:szCs w:val="24"/>
          <w:lang w:eastAsia="zh-CN"/>
        </w:rPr>
        <w:t>28</w:t>
      </w:r>
      <w:r w:rsidRPr="001D33AF">
        <w:rPr>
          <w:rFonts w:ascii="SimSun" w:eastAsia="SimSun" w:hAnsi="SimSun" w:cs="SimSun" w:hint="eastAsia"/>
          <w:sz w:val="24"/>
          <w:szCs w:val="24"/>
          <w:lang w:eastAsia="zh-CN"/>
        </w:rPr>
        <w:t>个成员国、印度、约旦、挪威、南非和泰国。加拿大、欧洲联盟及其</w:t>
      </w:r>
      <w:r w:rsidRPr="001D33AF">
        <w:rPr>
          <w:rFonts w:hAnsi="SimSun"/>
          <w:sz w:val="24"/>
          <w:szCs w:val="24"/>
          <w:lang w:eastAsia="zh-CN"/>
        </w:rPr>
        <w:t>28</w:t>
      </w:r>
      <w:r w:rsidRPr="001D33AF">
        <w:rPr>
          <w:rFonts w:ascii="SimSun" w:eastAsia="SimSun" w:hAnsi="SimSun" w:cs="SimSun" w:hint="eastAsia"/>
          <w:sz w:val="24"/>
          <w:szCs w:val="24"/>
          <w:lang w:eastAsia="zh-CN"/>
        </w:rPr>
        <w:t>个成员国、印度、约旦、挪威、南非和泰国。</w:t>
      </w:r>
    </w:p>
    <w:p w:rsidR="008D76BF" w:rsidRPr="001D33AF" w:rsidRDefault="008D76BF" w:rsidP="00750ECD">
      <w:pPr>
        <w:pStyle w:val="Para1"/>
        <w:numPr>
          <w:ilvl w:val="0"/>
          <w:numId w:val="9"/>
        </w:numPr>
        <w:tabs>
          <w:tab w:val="clear" w:pos="360"/>
          <w:tab w:val="left" w:pos="720"/>
        </w:tabs>
        <w:ind w:firstLine="0"/>
        <w:rPr>
          <w:rFonts w:hAnsi="SimSun"/>
          <w:sz w:val="24"/>
          <w:szCs w:val="24"/>
          <w:lang w:eastAsia="zh-CN"/>
        </w:rPr>
      </w:pPr>
      <w:r w:rsidRPr="001D33AF">
        <w:rPr>
          <w:rFonts w:ascii="SimSun" w:eastAsia="SimSun" w:hAnsi="SimSun" w:cs="SimSun" w:hint="eastAsia"/>
          <w:sz w:val="24"/>
          <w:szCs w:val="24"/>
          <w:lang w:eastAsia="zh-CN"/>
        </w:rPr>
        <w:t>工作组在</w:t>
      </w:r>
      <w:r w:rsidRPr="001D33AF">
        <w:rPr>
          <w:rFonts w:hAnsi="SimSun"/>
          <w:sz w:val="24"/>
          <w:szCs w:val="24"/>
          <w:lang w:eastAsia="zh-CN"/>
        </w:rPr>
        <w:t>2018</w:t>
      </w:r>
      <w:r w:rsidRPr="001D33AF">
        <w:rPr>
          <w:rFonts w:ascii="SimSun" w:eastAsia="SimSun" w:hAnsi="SimSun" w:cs="SimSun" w:hint="eastAsia"/>
          <w:sz w:val="24"/>
          <w:szCs w:val="24"/>
          <w:lang w:eastAsia="zh-CN"/>
        </w:rPr>
        <w:t>年</w:t>
      </w:r>
      <w:r w:rsidRPr="001D33AF">
        <w:rPr>
          <w:rFonts w:hAnsi="SimSun"/>
          <w:sz w:val="24"/>
          <w:szCs w:val="24"/>
          <w:lang w:eastAsia="zh-CN"/>
        </w:rPr>
        <w:t>11</w:t>
      </w:r>
      <w:r w:rsidRPr="001D33AF">
        <w:rPr>
          <w:rFonts w:ascii="SimSun" w:eastAsia="SimSun" w:hAnsi="SimSun" w:cs="SimSun" w:hint="eastAsia"/>
          <w:sz w:val="24"/>
          <w:szCs w:val="24"/>
          <w:lang w:eastAsia="zh-CN"/>
        </w:rPr>
        <w:t>月</w:t>
      </w:r>
      <w:r w:rsidRPr="001D33AF">
        <w:rPr>
          <w:rFonts w:hAnsi="SimSun"/>
          <w:sz w:val="24"/>
          <w:szCs w:val="24"/>
          <w:lang w:eastAsia="zh-CN"/>
        </w:rPr>
        <w:t>20</w:t>
      </w:r>
      <w:r w:rsidRPr="001D33AF">
        <w:rPr>
          <w:rFonts w:ascii="SimSun" w:eastAsia="SimSun" w:hAnsi="SimSun" w:cs="SimSun" w:hint="eastAsia"/>
          <w:sz w:val="24"/>
          <w:szCs w:val="24"/>
          <w:lang w:eastAsia="zh-CN"/>
        </w:rPr>
        <w:t>日的第</w:t>
      </w:r>
      <w:r w:rsidRPr="001D33AF">
        <w:rPr>
          <w:rFonts w:hAnsi="SimSun"/>
          <w:sz w:val="24"/>
          <w:szCs w:val="24"/>
          <w:lang w:eastAsia="zh-CN"/>
        </w:rPr>
        <w:t>5</w:t>
      </w:r>
      <w:r w:rsidRPr="001D33AF">
        <w:rPr>
          <w:rFonts w:ascii="SimSun" w:eastAsia="SimSun" w:hAnsi="SimSun" w:cs="SimSun" w:hint="eastAsia"/>
          <w:sz w:val="24"/>
          <w:szCs w:val="24"/>
          <w:lang w:eastAsia="zh-CN"/>
        </w:rPr>
        <w:t>场会议上继续审议该议程项目。</w:t>
      </w:r>
    </w:p>
    <w:p w:rsidR="008D76BF" w:rsidRPr="001D33AF" w:rsidRDefault="008D76BF" w:rsidP="00750ECD">
      <w:pPr>
        <w:pStyle w:val="Para1"/>
        <w:numPr>
          <w:ilvl w:val="0"/>
          <w:numId w:val="9"/>
        </w:numPr>
        <w:tabs>
          <w:tab w:val="clear" w:pos="360"/>
          <w:tab w:val="left" w:pos="720"/>
        </w:tabs>
        <w:ind w:firstLine="0"/>
        <w:rPr>
          <w:rFonts w:hAnsi="SimSun"/>
          <w:sz w:val="24"/>
          <w:szCs w:val="24"/>
          <w:lang w:eastAsia="zh-CN"/>
        </w:rPr>
      </w:pPr>
      <w:r w:rsidRPr="001D33AF">
        <w:rPr>
          <w:rFonts w:ascii="SimSun" w:eastAsia="SimSun" w:hAnsi="SimSun" w:cs="SimSun" w:hint="eastAsia"/>
          <w:sz w:val="24"/>
          <w:szCs w:val="24"/>
          <w:lang w:eastAsia="zh-CN"/>
        </w:rPr>
        <w:t>秘书处的代表介绍了新版的公约网站。</w:t>
      </w:r>
    </w:p>
    <w:p w:rsidR="008D76BF" w:rsidRPr="001D33AF" w:rsidRDefault="008D76BF" w:rsidP="00750ECD">
      <w:pPr>
        <w:pStyle w:val="Para1"/>
        <w:numPr>
          <w:ilvl w:val="0"/>
          <w:numId w:val="9"/>
        </w:numPr>
        <w:tabs>
          <w:tab w:val="clear" w:pos="360"/>
          <w:tab w:val="left" w:pos="720"/>
        </w:tabs>
        <w:ind w:firstLine="0"/>
        <w:rPr>
          <w:rFonts w:hAnsi="SimSun"/>
          <w:sz w:val="24"/>
          <w:szCs w:val="24"/>
          <w:lang w:eastAsia="zh-CN"/>
        </w:rPr>
      </w:pPr>
      <w:r w:rsidRPr="001D33AF">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1D33AF">
        <w:rPr>
          <w:rFonts w:ascii="SimSun" w:eastAsia="SimSun" w:hAnsi="SimSun" w:cs="SimSun" w:hint="eastAsia"/>
          <w:sz w:val="24"/>
          <w:szCs w:val="24"/>
          <w:lang w:eastAsia="zh-CN"/>
        </w:rPr>
        <w:t>：欧洲联盟及其</w:t>
      </w:r>
      <w:r w:rsidRPr="001D33AF">
        <w:rPr>
          <w:rFonts w:hAnsi="SimSun"/>
          <w:sz w:val="24"/>
          <w:szCs w:val="24"/>
          <w:lang w:eastAsia="zh-CN"/>
        </w:rPr>
        <w:t>28</w:t>
      </w:r>
      <w:r w:rsidRPr="001D33AF">
        <w:rPr>
          <w:rFonts w:ascii="SimSun" w:eastAsia="SimSun" w:hAnsi="SimSun" w:cs="SimSun" w:hint="eastAsia"/>
          <w:sz w:val="24"/>
          <w:szCs w:val="24"/>
          <w:lang w:eastAsia="zh-CN"/>
        </w:rPr>
        <w:t>个成员国、危地马拉、肯尼亚、纳米比亚和尼日尔。</w:t>
      </w:r>
    </w:p>
    <w:p w:rsidR="008D76BF" w:rsidRPr="001D33AF" w:rsidRDefault="008D76BF" w:rsidP="00750ECD">
      <w:pPr>
        <w:pStyle w:val="Para1"/>
        <w:numPr>
          <w:ilvl w:val="0"/>
          <w:numId w:val="9"/>
        </w:numPr>
        <w:tabs>
          <w:tab w:val="clear" w:pos="360"/>
          <w:tab w:val="left" w:pos="720"/>
        </w:tabs>
        <w:ind w:firstLine="0"/>
        <w:rPr>
          <w:rFonts w:hAnsi="SimSun"/>
          <w:sz w:val="24"/>
          <w:szCs w:val="24"/>
          <w:lang w:eastAsia="zh-CN"/>
        </w:rPr>
      </w:pPr>
      <w:r w:rsidRPr="001D33AF">
        <w:rPr>
          <w:rFonts w:ascii="SimSun" w:eastAsia="SimSun" w:hAnsi="SimSun" w:cs="SimSun" w:hint="eastAsia"/>
          <w:sz w:val="24"/>
          <w:szCs w:val="24"/>
          <w:lang w:eastAsia="zh-CN"/>
        </w:rPr>
        <w:t>国际生物多样性问题土著论坛代表也</w:t>
      </w:r>
      <w:r w:rsidR="006952B0">
        <w:rPr>
          <w:rFonts w:ascii="SimSun" w:eastAsia="SimSun" w:hAnsi="SimSun" w:cs="SimSun" w:hint="eastAsia"/>
          <w:sz w:val="24"/>
          <w:szCs w:val="24"/>
          <w:lang w:eastAsia="zh-CN"/>
        </w:rPr>
        <w:t>作了发言</w:t>
      </w:r>
      <w:r w:rsidRPr="001D33AF">
        <w:rPr>
          <w:rFonts w:ascii="SimSun" w:eastAsia="SimSun" w:hAnsi="SimSun" w:cs="SimSun" w:hint="eastAsia"/>
          <w:sz w:val="24"/>
          <w:szCs w:val="24"/>
          <w:lang w:eastAsia="zh-CN"/>
        </w:rPr>
        <w:t>。</w:t>
      </w:r>
    </w:p>
    <w:p w:rsidR="008D76BF" w:rsidRPr="001D33AF" w:rsidRDefault="008D76BF" w:rsidP="00750ECD">
      <w:pPr>
        <w:pStyle w:val="Para1"/>
        <w:numPr>
          <w:ilvl w:val="0"/>
          <w:numId w:val="9"/>
        </w:numPr>
        <w:tabs>
          <w:tab w:val="clear" w:pos="360"/>
          <w:tab w:val="left" w:pos="720"/>
        </w:tabs>
        <w:ind w:firstLine="0"/>
        <w:rPr>
          <w:rFonts w:hAnsi="SimSun"/>
          <w:sz w:val="24"/>
          <w:szCs w:val="24"/>
          <w:lang w:eastAsia="zh-CN"/>
        </w:rPr>
      </w:pPr>
      <w:r w:rsidRPr="001D33AF">
        <w:rPr>
          <w:rFonts w:ascii="SimSun" w:eastAsia="SimSun" w:hAnsi="SimSun" w:cs="SimSun" w:hint="eastAsia"/>
          <w:sz w:val="24"/>
          <w:szCs w:val="24"/>
          <w:lang w:eastAsia="zh-CN"/>
        </w:rPr>
        <w:t>在讨论后，主席指出，他将编制两项决定草案，供工作组审议。第一项决定草案将包括：关于信息交换所联合运作模式的语言、信息交换所机制的</w:t>
      </w:r>
      <w:r w:rsidR="00AE06C5">
        <w:rPr>
          <w:rFonts w:ascii="SimSun" w:eastAsia="SimSun" w:hAnsi="SimSun" w:cs="SimSun" w:hint="eastAsia"/>
          <w:sz w:val="24"/>
          <w:szCs w:val="24"/>
          <w:lang w:eastAsia="zh-CN"/>
        </w:rPr>
        <w:t>措辞</w:t>
      </w:r>
      <w:r w:rsidRPr="001D33AF">
        <w:rPr>
          <w:rFonts w:ascii="SimSun" w:eastAsia="SimSun" w:hAnsi="SimSun" w:cs="SimSun" w:hint="eastAsia"/>
          <w:sz w:val="24"/>
          <w:szCs w:val="24"/>
          <w:lang w:eastAsia="zh-CN"/>
        </w:rPr>
        <w:t>和口头表达及那些书面提交的意见。第二项决定草案涉及传播。</w:t>
      </w:r>
    </w:p>
    <w:p w:rsidR="008D76BF" w:rsidRPr="001D33AF" w:rsidRDefault="006B2851"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lastRenderedPageBreak/>
        <w:t>工作组</w:t>
      </w:r>
      <w:r w:rsidR="008D76BF" w:rsidRPr="001D33AF">
        <w:rPr>
          <w:rFonts w:ascii="SimSun" w:eastAsia="SimSun" w:hAnsi="SimSun" w:cs="SimSun" w:hint="eastAsia"/>
          <w:sz w:val="24"/>
          <w:szCs w:val="24"/>
          <w:lang w:eastAsia="zh-CN"/>
        </w:rPr>
        <w:t>在</w:t>
      </w:r>
      <w:r w:rsidR="008D76BF" w:rsidRPr="001D33AF">
        <w:rPr>
          <w:rFonts w:hAnsi="SimSun"/>
          <w:sz w:val="24"/>
          <w:szCs w:val="24"/>
          <w:lang w:eastAsia="zh-CN"/>
        </w:rPr>
        <w:t>2018</w:t>
      </w:r>
      <w:r w:rsidR="008D76BF" w:rsidRPr="001D33AF">
        <w:rPr>
          <w:rFonts w:ascii="SimSun" w:eastAsia="SimSun" w:hAnsi="SimSun" w:cs="SimSun" w:hint="eastAsia"/>
          <w:sz w:val="24"/>
          <w:szCs w:val="24"/>
          <w:lang w:eastAsia="zh-CN"/>
        </w:rPr>
        <w:t>年</w:t>
      </w:r>
      <w:r w:rsidR="008D76BF" w:rsidRPr="001D33AF">
        <w:rPr>
          <w:rFonts w:hAnsi="SimSun"/>
          <w:sz w:val="24"/>
          <w:szCs w:val="24"/>
          <w:lang w:eastAsia="zh-CN"/>
        </w:rPr>
        <w:t>11</w:t>
      </w:r>
      <w:r w:rsidR="008D76BF" w:rsidRPr="001D33AF">
        <w:rPr>
          <w:rFonts w:ascii="SimSun" w:eastAsia="SimSun" w:hAnsi="SimSun" w:cs="SimSun" w:hint="eastAsia"/>
          <w:sz w:val="24"/>
          <w:szCs w:val="24"/>
          <w:lang w:eastAsia="zh-CN"/>
        </w:rPr>
        <w:t>月</w:t>
      </w:r>
      <w:r w:rsidR="008D76BF" w:rsidRPr="001D33AF">
        <w:rPr>
          <w:rFonts w:hAnsi="SimSun"/>
          <w:sz w:val="24"/>
          <w:szCs w:val="24"/>
          <w:lang w:eastAsia="zh-CN"/>
        </w:rPr>
        <w:t>25</w:t>
      </w:r>
      <w:r>
        <w:rPr>
          <w:rFonts w:hAnsi="SimSun" w:hint="eastAsia"/>
          <w:sz w:val="24"/>
          <w:szCs w:val="24"/>
          <w:lang w:eastAsia="zh-CN"/>
        </w:rPr>
        <w:t>其</w:t>
      </w:r>
      <w:r w:rsidR="008D76BF" w:rsidRPr="001D33AF">
        <w:rPr>
          <w:rFonts w:ascii="SimSun" w:eastAsia="SimSun" w:hAnsi="SimSun" w:cs="SimSun" w:hint="eastAsia"/>
          <w:sz w:val="24"/>
          <w:szCs w:val="24"/>
          <w:lang w:eastAsia="zh-CN"/>
        </w:rPr>
        <w:t>第</w:t>
      </w:r>
      <w:r w:rsidR="008D76BF" w:rsidRPr="001D33AF">
        <w:rPr>
          <w:rFonts w:hAnsi="SimSun"/>
          <w:sz w:val="24"/>
          <w:szCs w:val="24"/>
          <w:lang w:eastAsia="zh-CN"/>
        </w:rPr>
        <w:t>10</w:t>
      </w:r>
      <w:r w:rsidR="008D76BF" w:rsidRPr="001D33AF">
        <w:rPr>
          <w:rFonts w:ascii="SimSun" w:eastAsia="SimSun" w:hAnsi="SimSun" w:cs="SimSun" w:hint="eastAsia"/>
          <w:sz w:val="24"/>
          <w:szCs w:val="24"/>
          <w:lang w:eastAsia="zh-CN"/>
        </w:rPr>
        <w:t>场会议上审议了主席提交的两项决定草案，一项涉及《公约》及其议定书下的知识管理，另一项涉及传播。</w:t>
      </w:r>
    </w:p>
    <w:p w:rsidR="008D76BF" w:rsidRPr="001D33AF" w:rsidRDefault="008D76BF" w:rsidP="00750ECD">
      <w:pPr>
        <w:pStyle w:val="Para1"/>
        <w:numPr>
          <w:ilvl w:val="0"/>
          <w:numId w:val="9"/>
        </w:numPr>
        <w:tabs>
          <w:tab w:val="clear" w:pos="360"/>
          <w:tab w:val="left" w:pos="720"/>
        </w:tabs>
        <w:ind w:firstLine="0"/>
        <w:rPr>
          <w:rFonts w:hAnsi="SimSun"/>
          <w:sz w:val="24"/>
          <w:szCs w:val="24"/>
          <w:lang w:eastAsia="zh-CN"/>
        </w:rPr>
      </w:pPr>
      <w:r w:rsidRPr="001D33AF">
        <w:rPr>
          <w:rFonts w:ascii="SimSun" w:eastAsia="SimSun" w:hAnsi="SimSun" w:cs="SimSun" w:hint="eastAsia"/>
          <w:sz w:val="24"/>
          <w:szCs w:val="24"/>
          <w:lang w:eastAsia="zh-CN"/>
        </w:rPr>
        <w:t>工作组首先审议了关于《公约》及其议定书下的知识管理的决定草案。</w:t>
      </w:r>
    </w:p>
    <w:p w:rsidR="008D76BF" w:rsidRPr="001D33AF" w:rsidRDefault="008D76BF" w:rsidP="00750ECD">
      <w:pPr>
        <w:pStyle w:val="Para1"/>
        <w:numPr>
          <w:ilvl w:val="0"/>
          <w:numId w:val="9"/>
        </w:numPr>
        <w:tabs>
          <w:tab w:val="clear" w:pos="360"/>
          <w:tab w:val="left" w:pos="720"/>
        </w:tabs>
        <w:ind w:firstLine="0"/>
        <w:rPr>
          <w:rFonts w:hAnsi="SimSun"/>
          <w:sz w:val="24"/>
          <w:szCs w:val="24"/>
          <w:lang w:eastAsia="zh-CN"/>
        </w:rPr>
      </w:pPr>
      <w:r w:rsidRPr="001D33AF">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1D33AF">
        <w:rPr>
          <w:rFonts w:ascii="SimSun" w:eastAsia="SimSun" w:hAnsi="SimSun" w:cs="SimSun" w:hint="eastAsia"/>
          <w:sz w:val="24"/>
          <w:szCs w:val="24"/>
          <w:lang w:eastAsia="zh-CN"/>
        </w:rPr>
        <w:t>：加拿大、欧洲联盟及其</w:t>
      </w:r>
      <w:r w:rsidRPr="001D33AF">
        <w:rPr>
          <w:rFonts w:hAnsi="SimSun"/>
          <w:sz w:val="24"/>
          <w:szCs w:val="24"/>
          <w:lang w:eastAsia="zh-CN"/>
        </w:rPr>
        <w:t>28</w:t>
      </w:r>
      <w:r w:rsidRPr="001D33AF">
        <w:rPr>
          <w:rFonts w:ascii="SimSun" w:eastAsia="SimSun" w:hAnsi="SimSun" w:cs="SimSun" w:hint="eastAsia"/>
          <w:sz w:val="24"/>
          <w:szCs w:val="24"/>
          <w:lang w:eastAsia="zh-CN"/>
        </w:rPr>
        <w:t>个成员国和摩洛哥。</w:t>
      </w:r>
    </w:p>
    <w:p w:rsidR="008D76BF" w:rsidRPr="001D33AF" w:rsidRDefault="008D76BF" w:rsidP="00750ECD">
      <w:pPr>
        <w:pStyle w:val="Para1"/>
        <w:numPr>
          <w:ilvl w:val="0"/>
          <w:numId w:val="9"/>
        </w:numPr>
        <w:tabs>
          <w:tab w:val="clear" w:pos="360"/>
          <w:tab w:val="left" w:pos="720"/>
        </w:tabs>
        <w:ind w:firstLine="0"/>
        <w:rPr>
          <w:rFonts w:hAnsi="SimSun"/>
          <w:sz w:val="24"/>
          <w:szCs w:val="24"/>
          <w:lang w:eastAsia="zh-CN"/>
        </w:rPr>
      </w:pPr>
      <w:r w:rsidRPr="001D33AF">
        <w:rPr>
          <w:rFonts w:ascii="SimSun" w:eastAsia="SimSun" w:hAnsi="SimSun" w:cs="SimSun" w:hint="eastAsia"/>
          <w:sz w:val="24"/>
          <w:szCs w:val="24"/>
          <w:lang w:eastAsia="zh-CN"/>
        </w:rPr>
        <w:t>工作组核准了经口头修正的决定草案，作为决定草案</w:t>
      </w:r>
      <w:r w:rsidRPr="001D33AF">
        <w:rPr>
          <w:rFonts w:hAnsi="SimSun"/>
          <w:sz w:val="24"/>
          <w:szCs w:val="24"/>
          <w:lang w:eastAsia="zh-CN"/>
        </w:rPr>
        <w:t>CBD/COP/14/L.15</w:t>
      </w:r>
      <w:r w:rsidRPr="001D33AF">
        <w:rPr>
          <w:rFonts w:ascii="SimSun" w:eastAsia="SimSun" w:hAnsi="SimSun" w:cs="SimSun" w:hint="eastAsia"/>
          <w:sz w:val="24"/>
          <w:szCs w:val="24"/>
          <w:lang w:eastAsia="zh-CN"/>
        </w:rPr>
        <w:t>转交全体会议。</w:t>
      </w:r>
    </w:p>
    <w:p w:rsidR="008D76BF" w:rsidRPr="001D33AF" w:rsidRDefault="008D76BF" w:rsidP="00750ECD">
      <w:pPr>
        <w:pStyle w:val="Para1"/>
        <w:numPr>
          <w:ilvl w:val="0"/>
          <w:numId w:val="9"/>
        </w:numPr>
        <w:tabs>
          <w:tab w:val="clear" w:pos="360"/>
          <w:tab w:val="left" w:pos="720"/>
        </w:tabs>
        <w:ind w:firstLine="0"/>
        <w:rPr>
          <w:rFonts w:hAnsi="SimSun"/>
          <w:sz w:val="24"/>
          <w:szCs w:val="24"/>
          <w:lang w:eastAsia="zh-CN"/>
        </w:rPr>
      </w:pPr>
      <w:r w:rsidRPr="001D33AF">
        <w:rPr>
          <w:rFonts w:ascii="SimSun" w:eastAsia="SimSun" w:hAnsi="SimSun" w:cs="SimSun" w:hint="eastAsia"/>
          <w:sz w:val="24"/>
          <w:szCs w:val="24"/>
          <w:lang w:eastAsia="zh-CN"/>
        </w:rPr>
        <w:t>工作组随后审议了关于</w:t>
      </w:r>
      <w:r>
        <w:rPr>
          <w:rFonts w:ascii="SimSun" w:eastAsia="SimSun" w:hAnsi="SimSun" w:cs="SimSun" w:hint="eastAsia"/>
          <w:sz w:val="24"/>
          <w:szCs w:val="24"/>
          <w:lang w:eastAsia="zh-CN"/>
        </w:rPr>
        <w:t>传播</w:t>
      </w:r>
      <w:r w:rsidRPr="001D33AF">
        <w:rPr>
          <w:rFonts w:ascii="SimSun" w:eastAsia="SimSun" w:hAnsi="SimSun" w:cs="SimSun" w:hint="eastAsia"/>
          <w:sz w:val="24"/>
          <w:szCs w:val="24"/>
          <w:lang w:eastAsia="zh-CN"/>
        </w:rPr>
        <w:t>的决定草案。</w:t>
      </w:r>
    </w:p>
    <w:p w:rsidR="008D76BF" w:rsidRPr="001D33AF" w:rsidRDefault="008D76BF" w:rsidP="00750ECD">
      <w:pPr>
        <w:pStyle w:val="Para1"/>
        <w:numPr>
          <w:ilvl w:val="0"/>
          <w:numId w:val="9"/>
        </w:numPr>
        <w:tabs>
          <w:tab w:val="clear" w:pos="360"/>
          <w:tab w:val="left" w:pos="720"/>
        </w:tabs>
        <w:ind w:firstLine="0"/>
        <w:rPr>
          <w:rFonts w:hAnsi="SimSun"/>
          <w:sz w:val="24"/>
          <w:szCs w:val="24"/>
          <w:lang w:eastAsia="zh-CN"/>
        </w:rPr>
      </w:pPr>
      <w:r w:rsidRPr="001D33AF">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1D33AF">
        <w:rPr>
          <w:rFonts w:ascii="SimSun" w:eastAsia="SimSun" w:hAnsi="SimSun" w:cs="SimSun" w:hint="eastAsia"/>
          <w:sz w:val="24"/>
          <w:szCs w:val="24"/>
          <w:lang w:eastAsia="zh-CN"/>
        </w:rPr>
        <w:t>：巴西、加拿大、哥伦比亚、欧洲联盟及其</w:t>
      </w:r>
      <w:r w:rsidRPr="001D33AF">
        <w:rPr>
          <w:rFonts w:hAnsi="SimSun"/>
          <w:sz w:val="24"/>
          <w:szCs w:val="24"/>
          <w:lang w:eastAsia="zh-CN"/>
        </w:rPr>
        <w:t>28</w:t>
      </w:r>
      <w:r w:rsidRPr="001D33AF">
        <w:rPr>
          <w:rFonts w:ascii="SimSun" w:eastAsia="SimSun" w:hAnsi="SimSun" w:cs="SimSun" w:hint="eastAsia"/>
          <w:sz w:val="24"/>
          <w:szCs w:val="24"/>
          <w:lang w:eastAsia="zh-CN"/>
        </w:rPr>
        <w:t>个成员国、几内亚和墨西哥。</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1D33AF">
        <w:rPr>
          <w:rFonts w:ascii="SimSun" w:eastAsia="SimSun" w:hAnsi="SimSun" w:cs="SimSun" w:hint="eastAsia"/>
          <w:sz w:val="24"/>
          <w:szCs w:val="24"/>
          <w:lang w:eastAsia="zh-CN"/>
        </w:rPr>
        <w:t>工作组核准了经口头修正的决定草案，作为决定草案</w:t>
      </w:r>
      <w:r w:rsidRPr="001D33AF">
        <w:rPr>
          <w:rFonts w:hAnsi="SimSun"/>
          <w:sz w:val="24"/>
          <w:szCs w:val="24"/>
          <w:lang w:eastAsia="zh-CN"/>
        </w:rPr>
        <w:t>CBD/COP/14/L.16</w:t>
      </w:r>
      <w:r w:rsidRPr="001D33AF">
        <w:rPr>
          <w:rFonts w:ascii="SimSun" w:eastAsia="SimSun" w:hAnsi="SimSun" w:cs="SimSun" w:hint="eastAsia"/>
          <w:sz w:val="24"/>
          <w:szCs w:val="24"/>
          <w:lang w:eastAsia="zh-CN"/>
        </w:rPr>
        <w:t>转交全体会议。</w:t>
      </w:r>
    </w:p>
    <w:p w:rsidR="00A434BF" w:rsidRDefault="00A434BF" w:rsidP="00A434BF">
      <w:pPr>
        <w:pStyle w:val="Para1"/>
        <w:numPr>
          <w:ilvl w:val="0"/>
          <w:numId w:val="9"/>
        </w:numPr>
        <w:tabs>
          <w:tab w:val="clear" w:pos="360"/>
          <w:tab w:val="left" w:pos="720"/>
        </w:tabs>
        <w:ind w:firstLine="0"/>
        <w:rPr>
          <w:rFonts w:eastAsia="SimSun" w:hAnsi="SimSun"/>
          <w:sz w:val="24"/>
          <w:szCs w:val="24"/>
          <w:lang w:eastAsia="zh-CN"/>
        </w:rPr>
      </w:pPr>
      <w:r w:rsidRPr="00AF6DB8">
        <w:rPr>
          <w:rFonts w:ascii="SimSun" w:eastAsia="SimSun" w:hAnsi="SimSun" w:cs="SimSun" w:hint="eastAsia"/>
          <w:sz w:val="24"/>
          <w:szCs w:val="24"/>
          <w:lang w:eastAsia="zh-CN"/>
        </w:rPr>
        <w:t>在</w:t>
      </w:r>
      <w:r w:rsidRPr="00AF6DB8">
        <w:rPr>
          <w:rFonts w:eastAsia="Times New Roman"/>
          <w:sz w:val="24"/>
          <w:szCs w:val="24"/>
          <w:lang w:eastAsia="zh-CN"/>
        </w:rPr>
        <w:t>2018</w:t>
      </w:r>
      <w:r w:rsidRPr="00AF6DB8">
        <w:rPr>
          <w:rFonts w:ascii="SimSun" w:eastAsia="SimSun" w:hAnsi="SimSun" w:cs="SimSun" w:hint="eastAsia"/>
          <w:sz w:val="24"/>
          <w:szCs w:val="24"/>
          <w:lang w:eastAsia="zh-CN"/>
        </w:rPr>
        <w:t>年</w:t>
      </w:r>
      <w:r w:rsidRPr="00AF6DB8">
        <w:rPr>
          <w:rFonts w:eastAsia="Times New Roman"/>
          <w:sz w:val="24"/>
          <w:szCs w:val="24"/>
          <w:lang w:eastAsia="zh-CN"/>
        </w:rPr>
        <w:t>11</w:t>
      </w:r>
      <w:r w:rsidRPr="00AF6DB8">
        <w:rPr>
          <w:rFonts w:ascii="SimSun" w:eastAsia="SimSun" w:hAnsi="SimSun" w:cs="SimSun" w:hint="eastAsia"/>
          <w:sz w:val="24"/>
          <w:szCs w:val="24"/>
          <w:lang w:eastAsia="zh-CN"/>
        </w:rPr>
        <w:t>月</w:t>
      </w:r>
      <w:r w:rsidRPr="00AF6DB8">
        <w:rPr>
          <w:rFonts w:eastAsia="Times New Roman"/>
          <w:sz w:val="24"/>
          <w:szCs w:val="24"/>
          <w:lang w:eastAsia="zh-CN"/>
        </w:rPr>
        <w:t>29</w:t>
      </w:r>
      <w:r w:rsidR="009E4EF5">
        <w:rPr>
          <w:rFonts w:ascii="SimSun" w:eastAsia="SimSun" w:hAnsi="SimSun" w:cs="SimSun" w:hint="eastAsia"/>
          <w:sz w:val="24"/>
          <w:szCs w:val="24"/>
          <w:lang w:eastAsia="zh-CN"/>
        </w:rPr>
        <w:t>日会议的</w:t>
      </w:r>
      <w:r w:rsidRPr="00AF6DB8">
        <w:rPr>
          <w:rFonts w:ascii="SimSun" w:eastAsia="SimSun" w:hAnsi="SimSun" w:cs="SimSun" w:hint="eastAsia"/>
          <w:sz w:val="24"/>
          <w:szCs w:val="24"/>
          <w:lang w:eastAsia="zh-CN"/>
        </w:rPr>
        <w:t>第</w:t>
      </w:r>
      <w:r>
        <w:rPr>
          <w:rFonts w:eastAsia="Times New Roman"/>
          <w:sz w:val="24"/>
          <w:szCs w:val="24"/>
          <w:lang w:eastAsia="zh-CN"/>
        </w:rPr>
        <w:t>7</w:t>
      </w:r>
      <w:r w:rsidR="00B45641">
        <w:rPr>
          <w:rFonts w:ascii="SimSun" w:eastAsia="SimSun" w:hAnsi="SimSun" w:cs="SimSun" w:hint="eastAsia"/>
          <w:sz w:val="24"/>
          <w:szCs w:val="24"/>
          <w:lang w:eastAsia="zh-CN"/>
        </w:rPr>
        <w:t>次全体会议</w:t>
      </w:r>
      <w:r w:rsidRPr="00AF6DB8">
        <w:rPr>
          <w:rFonts w:ascii="SimSun" w:eastAsia="SimSun" w:hAnsi="SimSun" w:cs="SimSun" w:hint="eastAsia"/>
          <w:sz w:val="24"/>
          <w:szCs w:val="24"/>
          <w:lang w:eastAsia="zh-CN"/>
        </w:rPr>
        <w:t>上，缔约方大会通过了</w:t>
      </w:r>
      <w:r>
        <w:rPr>
          <w:rFonts w:ascii="SimSun" w:eastAsia="SimSun" w:hAnsi="SimSun" w:cs="SimSun" w:hint="eastAsia"/>
          <w:sz w:val="24"/>
          <w:szCs w:val="24"/>
          <w:lang w:eastAsia="zh-CN"/>
        </w:rPr>
        <w:t>决定草案</w:t>
      </w:r>
      <w:r w:rsidRPr="00AF6DB8">
        <w:rPr>
          <w:sz w:val="24"/>
          <w:szCs w:val="24"/>
          <w:lang w:eastAsia="zh-CN"/>
        </w:rPr>
        <w:t>CBD/COP/14/L.</w:t>
      </w:r>
      <w:r>
        <w:rPr>
          <w:sz w:val="24"/>
          <w:szCs w:val="24"/>
          <w:lang w:eastAsia="zh-CN"/>
        </w:rPr>
        <w:t>15</w:t>
      </w:r>
      <w:r w:rsidRPr="00AF6DB8">
        <w:rPr>
          <w:rFonts w:ascii="SimSun" w:eastAsia="SimSun" w:hAnsi="SimSun" w:cs="SimSun" w:hint="eastAsia"/>
          <w:sz w:val="24"/>
          <w:szCs w:val="24"/>
          <w:lang w:eastAsia="zh-CN"/>
        </w:rPr>
        <w:t>，成为第</w:t>
      </w:r>
      <w:r w:rsidRPr="00AF6DB8">
        <w:rPr>
          <w:rFonts w:eastAsia="SimSun"/>
          <w:sz w:val="24"/>
          <w:szCs w:val="24"/>
          <w:lang w:eastAsia="zh-CN"/>
        </w:rPr>
        <w:t>14</w:t>
      </w:r>
      <w:r w:rsidRPr="00AF6DB8">
        <w:rPr>
          <w:sz w:val="24"/>
          <w:szCs w:val="24"/>
          <w:lang w:eastAsia="zh-CN"/>
        </w:rPr>
        <w:t>/2</w:t>
      </w:r>
      <w:r w:rsidR="00A124E8">
        <w:rPr>
          <w:sz w:val="24"/>
          <w:szCs w:val="24"/>
          <w:lang w:eastAsia="zh-CN"/>
        </w:rPr>
        <w:t>5</w:t>
      </w:r>
      <w:r w:rsidRPr="00AF6DB8">
        <w:rPr>
          <w:rFonts w:ascii="SimSun" w:eastAsia="SimSun" w:hAnsi="SimSun" w:cs="SimSun" w:hint="eastAsia"/>
          <w:sz w:val="24"/>
          <w:szCs w:val="24"/>
          <w:lang w:eastAsia="zh-CN"/>
        </w:rPr>
        <w:t>号决定</w:t>
      </w:r>
      <w:r w:rsidR="00A124E8">
        <w:rPr>
          <w:rFonts w:ascii="SimSun" w:eastAsia="SimSun" w:hAnsi="SimSun" w:cs="SimSun" w:hint="eastAsia"/>
          <w:sz w:val="24"/>
          <w:szCs w:val="24"/>
          <w:lang w:eastAsia="zh-CN"/>
        </w:rPr>
        <w:t>，并</w:t>
      </w:r>
      <w:r w:rsidR="00A124E8">
        <w:rPr>
          <w:rFonts w:ascii="SimSun" w:eastAsia="SimSun" w:hAnsi="SimSun" w:cs="SimSun"/>
          <w:sz w:val="24"/>
          <w:szCs w:val="24"/>
          <w:lang w:eastAsia="zh-CN"/>
        </w:rPr>
        <w:t>通过了</w:t>
      </w:r>
      <w:r w:rsidR="00A124E8">
        <w:rPr>
          <w:rFonts w:ascii="SimSun" w:eastAsia="SimSun" w:hAnsi="SimSun" w:cs="SimSun" w:hint="eastAsia"/>
          <w:sz w:val="24"/>
          <w:szCs w:val="24"/>
          <w:lang w:eastAsia="zh-CN"/>
        </w:rPr>
        <w:t>决定草案</w:t>
      </w:r>
      <w:r w:rsidR="00A124E8" w:rsidRPr="00AF6DB8">
        <w:rPr>
          <w:sz w:val="24"/>
          <w:szCs w:val="24"/>
          <w:lang w:eastAsia="zh-CN"/>
        </w:rPr>
        <w:t>CBD/COP/14/L.</w:t>
      </w:r>
      <w:r w:rsidR="00A124E8">
        <w:rPr>
          <w:sz w:val="24"/>
          <w:szCs w:val="24"/>
          <w:lang w:eastAsia="zh-CN"/>
        </w:rPr>
        <w:t>16</w:t>
      </w:r>
      <w:r w:rsidR="00A124E8">
        <w:rPr>
          <w:rFonts w:hint="eastAsia"/>
          <w:sz w:val="24"/>
          <w:szCs w:val="24"/>
          <w:lang w:eastAsia="zh-CN"/>
        </w:rPr>
        <w:t>，</w:t>
      </w:r>
      <w:r w:rsidR="00A124E8" w:rsidRPr="00AF6DB8">
        <w:rPr>
          <w:rFonts w:ascii="SimSun" w:eastAsia="SimSun" w:hAnsi="SimSun" w:cs="SimSun" w:hint="eastAsia"/>
          <w:sz w:val="24"/>
          <w:szCs w:val="24"/>
          <w:lang w:eastAsia="zh-CN"/>
        </w:rPr>
        <w:t>成为第</w:t>
      </w:r>
      <w:r w:rsidR="00A124E8" w:rsidRPr="00AF6DB8">
        <w:rPr>
          <w:rFonts w:eastAsia="SimSun"/>
          <w:sz w:val="24"/>
          <w:szCs w:val="24"/>
          <w:lang w:eastAsia="zh-CN"/>
        </w:rPr>
        <w:t>14</w:t>
      </w:r>
      <w:r w:rsidR="00A124E8" w:rsidRPr="00AF6DB8">
        <w:rPr>
          <w:sz w:val="24"/>
          <w:szCs w:val="24"/>
          <w:lang w:eastAsia="zh-CN"/>
        </w:rPr>
        <w:t>/2</w:t>
      </w:r>
      <w:r w:rsidR="00A124E8">
        <w:rPr>
          <w:sz w:val="24"/>
          <w:szCs w:val="24"/>
          <w:lang w:eastAsia="zh-CN"/>
        </w:rPr>
        <w:t>6</w:t>
      </w:r>
      <w:r w:rsidR="00A124E8" w:rsidRPr="00AF6DB8">
        <w:rPr>
          <w:rFonts w:ascii="SimSun" w:eastAsia="SimSun" w:hAnsi="SimSun" w:cs="SimSun" w:hint="eastAsia"/>
          <w:sz w:val="24"/>
          <w:szCs w:val="24"/>
          <w:lang w:eastAsia="zh-CN"/>
        </w:rPr>
        <w:t>号决定</w:t>
      </w:r>
      <w:r w:rsidRPr="00AF6DB8">
        <w:rPr>
          <w:rFonts w:eastAsia="SimSun"/>
          <w:sz w:val="24"/>
          <w:szCs w:val="24"/>
          <w:lang w:val="en-US" w:eastAsia="zh-CN"/>
        </w:rPr>
        <w:t>（</w:t>
      </w:r>
      <w:r w:rsidRPr="00AF6DB8">
        <w:rPr>
          <w:rFonts w:eastAsia="SimSun" w:hint="eastAsia"/>
          <w:sz w:val="24"/>
          <w:szCs w:val="24"/>
          <w:lang w:eastAsia="zh-CN"/>
        </w:rPr>
        <w:t>案文见</w:t>
      </w:r>
      <w:r w:rsidRPr="00AF6DB8">
        <w:rPr>
          <w:rFonts w:eastAsia="SimSun"/>
          <w:sz w:val="24"/>
          <w:szCs w:val="24"/>
          <w:lang w:eastAsia="zh-CN"/>
        </w:rPr>
        <w:t>第一章</w:t>
      </w:r>
      <w:r w:rsidRPr="00AF6DB8">
        <w:rPr>
          <w:rFonts w:eastAsia="SimSun" w:hint="eastAsia"/>
          <w:sz w:val="24"/>
          <w:szCs w:val="24"/>
          <w:lang w:eastAsia="zh-CN"/>
        </w:rPr>
        <w:t>）。</w:t>
      </w:r>
      <w:r w:rsidRPr="00AF6DB8">
        <w:rPr>
          <w:rFonts w:eastAsia="SimSun" w:hAnsi="SimSun"/>
          <w:sz w:val="24"/>
          <w:szCs w:val="24"/>
          <w:lang w:eastAsia="zh-CN"/>
        </w:rPr>
        <w:t xml:space="preserve"> </w:t>
      </w:r>
    </w:p>
    <w:p w:rsidR="008D76BF" w:rsidRPr="00F17640" w:rsidRDefault="008D76BF" w:rsidP="00F17640">
      <w:pPr>
        <w:pStyle w:val="Heading1"/>
        <w:spacing w:before="120" w:after="120"/>
        <w:ind w:firstLine="0"/>
        <w:rPr>
          <w:sz w:val="24"/>
          <w:szCs w:val="24"/>
          <w:lang w:eastAsia="zh-CN"/>
        </w:rPr>
      </w:pPr>
      <w:r w:rsidRPr="00F17640">
        <w:rPr>
          <w:rFonts w:hint="eastAsia"/>
          <w:sz w:val="24"/>
          <w:szCs w:val="24"/>
          <w:lang w:eastAsia="zh-CN"/>
        </w:rPr>
        <w:t>项目</w:t>
      </w:r>
      <w:r w:rsidRPr="00F17640">
        <w:rPr>
          <w:sz w:val="24"/>
          <w:szCs w:val="24"/>
          <w:lang w:eastAsia="zh-CN"/>
        </w:rPr>
        <w:t xml:space="preserve">12.    </w:t>
      </w:r>
      <w:r w:rsidR="00366699" w:rsidRPr="00F17640">
        <w:rPr>
          <w:sz w:val="24"/>
          <w:szCs w:val="24"/>
          <w:lang w:eastAsia="zh-CN"/>
        </w:rPr>
        <w:t xml:space="preserve">  </w:t>
      </w:r>
      <w:r w:rsidRPr="00F17640">
        <w:rPr>
          <w:rFonts w:hint="eastAsia"/>
          <w:sz w:val="24"/>
          <w:szCs w:val="24"/>
          <w:lang w:eastAsia="zh-CN"/>
        </w:rPr>
        <w:t>国家报告、评估和审查机制</w:t>
      </w:r>
    </w:p>
    <w:p w:rsidR="008D76BF" w:rsidRPr="009804F1" w:rsidRDefault="008D76BF" w:rsidP="009804F1">
      <w:pPr>
        <w:pStyle w:val="Para1"/>
        <w:tabs>
          <w:tab w:val="clear" w:pos="360"/>
          <w:tab w:val="left" w:pos="720"/>
        </w:tabs>
        <w:snapToGrid w:val="0"/>
        <w:ind w:firstLine="0"/>
        <w:jc w:val="center"/>
        <w:rPr>
          <w:rFonts w:eastAsia="KaiTi"/>
          <w:sz w:val="24"/>
          <w:szCs w:val="24"/>
          <w:lang w:eastAsia="zh-CN"/>
        </w:rPr>
      </w:pPr>
      <w:r w:rsidRPr="005A6E95">
        <w:rPr>
          <w:rFonts w:eastAsia="KaiTi" w:hint="eastAsia"/>
          <w:sz w:val="24"/>
          <w:szCs w:val="24"/>
          <w:lang w:eastAsia="zh-CN"/>
        </w:rPr>
        <w:t>协调国家报告、评估和审查的程序</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第一工作组在</w:t>
      </w:r>
      <w:r w:rsidRPr="001B3526">
        <w:rPr>
          <w:rFonts w:hAnsi="SimSun"/>
          <w:sz w:val="24"/>
          <w:szCs w:val="24"/>
          <w:lang w:eastAsia="zh-CN"/>
        </w:rPr>
        <w:t>2018</w:t>
      </w:r>
      <w:r w:rsidRPr="001B3526">
        <w:rPr>
          <w:rFonts w:ascii="SimSun" w:eastAsia="SimSun" w:hAnsi="SimSun" w:cs="SimSun" w:hint="eastAsia"/>
          <w:sz w:val="24"/>
          <w:szCs w:val="24"/>
          <w:lang w:eastAsia="zh-CN"/>
        </w:rPr>
        <w:t>年</w:t>
      </w:r>
      <w:r w:rsidRPr="001B3526">
        <w:rPr>
          <w:rFonts w:hAnsi="SimSun"/>
          <w:sz w:val="24"/>
          <w:szCs w:val="24"/>
          <w:lang w:eastAsia="zh-CN"/>
        </w:rPr>
        <w:t>11</w:t>
      </w:r>
      <w:r w:rsidRPr="001B3526">
        <w:rPr>
          <w:rFonts w:ascii="SimSun" w:eastAsia="SimSun" w:hAnsi="SimSun" w:cs="SimSun" w:hint="eastAsia"/>
          <w:sz w:val="24"/>
          <w:szCs w:val="24"/>
          <w:lang w:eastAsia="zh-CN"/>
        </w:rPr>
        <w:t>月</w:t>
      </w:r>
      <w:r w:rsidRPr="001B3526">
        <w:rPr>
          <w:rFonts w:hAnsi="SimSun"/>
          <w:sz w:val="24"/>
          <w:szCs w:val="24"/>
          <w:lang w:eastAsia="zh-CN"/>
        </w:rPr>
        <w:t>20</w:t>
      </w:r>
      <w:r w:rsidRPr="001B3526">
        <w:rPr>
          <w:rFonts w:ascii="SimSun" w:eastAsia="SimSun" w:hAnsi="SimSun" w:cs="SimSun" w:hint="eastAsia"/>
          <w:sz w:val="24"/>
          <w:szCs w:val="24"/>
          <w:lang w:eastAsia="zh-CN"/>
        </w:rPr>
        <w:t>日的第</w:t>
      </w:r>
      <w:r w:rsidRPr="001B3526">
        <w:rPr>
          <w:rFonts w:hAnsi="SimSun"/>
          <w:sz w:val="24"/>
          <w:szCs w:val="24"/>
          <w:lang w:eastAsia="zh-CN"/>
        </w:rPr>
        <w:t>5</w:t>
      </w:r>
      <w:r w:rsidRPr="001B3526">
        <w:rPr>
          <w:rFonts w:ascii="SimSun" w:eastAsia="SimSun" w:hAnsi="SimSun" w:cs="SimSun" w:hint="eastAsia"/>
          <w:sz w:val="24"/>
          <w:szCs w:val="24"/>
          <w:lang w:eastAsia="zh-CN"/>
        </w:rPr>
        <w:t>场会议上审议了议程项目</w:t>
      </w:r>
      <w:r w:rsidRPr="001B3526">
        <w:rPr>
          <w:rFonts w:hAnsi="SimSun"/>
          <w:sz w:val="24"/>
          <w:szCs w:val="24"/>
          <w:lang w:eastAsia="zh-CN"/>
        </w:rPr>
        <w:t>12</w:t>
      </w:r>
      <w:r w:rsidRPr="001B3526">
        <w:rPr>
          <w:rFonts w:ascii="SimSun" w:eastAsia="SimSun" w:hAnsi="SimSun" w:cs="SimSun" w:hint="eastAsia"/>
          <w:sz w:val="24"/>
          <w:szCs w:val="24"/>
          <w:lang w:eastAsia="zh-CN"/>
        </w:rPr>
        <w:t>。在审议这个项目时，工作组收到了决定草案汇编（</w:t>
      </w:r>
      <w:r w:rsidRPr="001B3526">
        <w:rPr>
          <w:rFonts w:hAnsi="SimSun"/>
          <w:sz w:val="24"/>
          <w:szCs w:val="24"/>
          <w:lang w:eastAsia="zh-CN"/>
        </w:rPr>
        <w:t>CBD/COP/14/2</w:t>
      </w:r>
      <w:r w:rsidRPr="001B3526">
        <w:rPr>
          <w:rFonts w:ascii="SimSun" w:eastAsia="SimSun" w:hAnsi="SimSun" w:cs="SimSun" w:hint="eastAsia"/>
          <w:sz w:val="24"/>
          <w:szCs w:val="24"/>
          <w:lang w:eastAsia="zh-CN"/>
        </w:rPr>
        <w:t>）</w:t>
      </w:r>
      <w:r w:rsidR="00B6762D">
        <w:rPr>
          <w:rFonts w:ascii="SimSun" w:eastAsia="SimSun" w:hAnsi="SimSun" w:cs="SimSun" w:hint="eastAsia"/>
          <w:sz w:val="24"/>
          <w:szCs w:val="24"/>
          <w:lang w:eastAsia="zh-CN"/>
        </w:rPr>
        <w:t>中</w:t>
      </w:r>
      <w:r w:rsidR="00B6762D">
        <w:rPr>
          <w:rFonts w:ascii="SimSun" w:eastAsia="SimSun" w:hAnsi="SimSun" w:cs="SimSun"/>
          <w:sz w:val="24"/>
          <w:szCs w:val="24"/>
          <w:lang w:eastAsia="zh-CN"/>
        </w:rPr>
        <w:t>所载</w:t>
      </w:r>
      <w:r w:rsidRPr="001B3526">
        <w:rPr>
          <w:rFonts w:ascii="SimSun" w:eastAsia="SimSun" w:hAnsi="SimSun" w:cs="SimSun" w:hint="eastAsia"/>
          <w:sz w:val="24"/>
          <w:szCs w:val="24"/>
          <w:lang w:eastAsia="zh-CN"/>
        </w:rPr>
        <w:t>的第</w:t>
      </w:r>
      <w:r w:rsidRPr="001B3526">
        <w:rPr>
          <w:rFonts w:hAnsi="SimSun"/>
          <w:sz w:val="24"/>
          <w:szCs w:val="24"/>
          <w:lang w:eastAsia="zh-CN"/>
        </w:rPr>
        <w:t>SBI-2/11</w:t>
      </w:r>
      <w:r w:rsidRPr="001B3526">
        <w:rPr>
          <w:rFonts w:ascii="SimSun" w:eastAsia="SimSun" w:hAnsi="SimSun" w:cs="SimSun" w:hint="eastAsia"/>
          <w:sz w:val="24"/>
          <w:szCs w:val="24"/>
          <w:lang w:eastAsia="zh-CN"/>
        </w:rPr>
        <w:t>号建议。</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1B3526">
        <w:rPr>
          <w:rFonts w:ascii="SimSun" w:eastAsia="SimSun" w:hAnsi="SimSun" w:cs="SimSun" w:hint="eastAsia"/>
          <w:sz w:val="24"/>
          <w:szCs w:val="24"/>
          <w:lang w:eastAsia="zh-CN"/>
        </w:rPr>
        <w:t>：加拿大、欧洲联盟及其</w:t>
      </w:r>
      <w:r w:rsidRPr="001B3526">
        <w:rPr>
          <w:rFonts w:hAnsi="SimSun"/>
          <w:sz w:val="24"/>
          <w:szCs w:val="24"/>
          <w:lang w:eastAsia="zh-CN"/>
        </w:rPr>
        <w:t>28</w:t>
      </w:r>
      <w:r w:rsidRPr="001B3526">
        <w:rPr>
          <w:rFonts w:ascii="SimSun" w:eastAsia="SimSun" w:hAnsi="SimSun" w:cs="SimSun" w:hint="eastAsia"/>
          <w:sz w:val="24"/>
          <w:szCs w:val="24"/>
          <w:lang w:eastAsia="zh-CN"/>
        </w:rPr>
        <w:t>个成员国、日本和乌干达。</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主席指出，他将编制订正决定草案，其中将考虑到口头表达及书面提交的意见。主席注意到案文仍存在方括号，他还建议与有关的第一份举行非正式协商以便消除这些方括号。</w:t>
      </w:r>
    </w:p>
    <w:p w:rsidR="008D76BF" w:rsidRPr="001B3526"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1B3526">
        <w:rPr>
          <w:rFonts w:ascii="SimSun" w:eastAsia="SimSun" w:hAnsi="SimSun" w:cs="SimSun" w:hint="eastAsia"/>
          <w:sz w:val="24"/>
          <w:szCs w:val="24"/>
          <w:lang w:eastAsia="zh-CN"/>
        </w:rPr>
        <w:t>在</w:t>
      </w:r>
      <w:r w:rsidR="008D76BF" w:rsidRPr="001B3526">
        <w:rPr>
          <w:rFonts w:hAnsi="SimSun"/>
          <w:sz w:val="24"/>
          <w:szCs w:val="24"/>
          <w:lang w:eastAsia="zh-CN"/>
        </w:rPr>
        <w:t>2018</w:t>
      </w:r>
      <w:r w:rsidR="008D76BF" w:rsidRPr="001B3526">
        <w:rPr>
          <w:rFonts w:ascii="SimSun" w:eastAsia="SimSun" w:hAnsi="SimSun" w:cs="SimSun" w:hint="eastAsia"/>
          <w:sz w:val="24"/>
          <w:szCs w:val="24"/>
          <w:lang w:eastAsia="zh-CN"/>
        </w:rPr>
        <w:t>年</w:t>
      </w:r>
      <w:r w:rsidR="008D76BF" w:rsidRPr="001B3526">
        <w:rPr>
          <w:rFonts w:hAnsi="SimSun"/>
          <w:sz w:val="24"/>
          <w:szCs w:val="24"/>
          <w:lang w:eastAsia="zh-CN"/>
        </w:rPr>
        <w:t>11</w:t>
      </w:r>
      <w:r w:rsidR="008D76BF" w:rsidRPr="001B3526">
        <w:rPr>
          <w:rFonts w:ascii="SimSun" w:eastAsia="SimSun" w:hAnsi="SimSun" w:cs="SimSun" w:hint="eastAsia"/>
          <w:sz w:val="24"/>
          <w:szCs w:val="24"/>
          <w:lang w:eastAsia="zh-CN"/>
        </w:rPr>
        <w:t>月</w:t>
      </w:r>
      <w:r w:rsidR="008D76BF" w:rsidRPr="001B3526">
        <w:rPr>
          <w:rFonts w:hAnsi="SimSun"/>
          <w:sz w:val="24"/>
          <w:szCs w:val="24"/>
          <w:lang w:eastAsia="zh-CN"/>
        </w:rPr>
        <w:t>22</w:t>
      </w:r>
      <w:r>
        <w:rPr>
          <w:rFonts w:ascii="SimSun" w:eastAsia="SimSun" w:hAnsi="SimSun" w:cs="SimSun" w:hint="eastAsia"/>
          <w:sz w:val="24"/>
          <w:szCs w:val="24"/>
          <w:lang w:eastAsia="zh-CN"/>
        </w:rPr>
        <w:t>日其</w:t>
      </w:r>
      <w:r w:rsidR="008D76BF" w:rsidRPr="001B3526">
        <w:rPr>
          <w:rFonts w:ascii="SimSun" w:eastAsia="SimSun" w:hAnsi="SimSun" w:cs="SimSun" w:hint="eastAsia"/>
          <w:sz w:val="24"/>
          <w:szCs w:val="24"/>
          <w:lang w:eastAsia="zh-CN"/>
        </w:rPr>
        <w:t>第</w:t>
      </w:r>
      <w:r w:rsidR="008D76BF" w:rsidRPr="001B3526">
        <w:rPr>
          <w:rFonts w:hAnsi="SimSun"/>
          <w:sz w:val="24"/>
          <w:szCs w:val="24"/>
          <w:lang w:eastAsia="zh-CN"/>
        </w:rPr>
        <w:t>9</w:t>
      </w:r>
      <w:r w:rsidR="008D76BF" w:rsidRPr="001B3526">
        <w:rPr>
          <w:rFonts w:ascii="SimSun" w:eastAsia="SimSun" w:hAnsi="SimSun" w:cs="SimSun" w:hint="eastAsia"/>
          <w:sz w:val="24"/>
          <w:szCs w:val="24"/>
          <w:lang w:eastAsia="zh-CN"/>
        </w:rPr>
        <w:t>场会议上参照秘书处代表就消除方括号问题所做的简短解释，审议了主席编制的订正决定草案。</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工作组核准消除方括号和将决定草案作为订正决定草案</w:t>
      </w:r>
      <w:r w:rsidRPr="001B3526">
        <w:rPr>
          <w:rFonts w:hAnsi="SimSun"/>
          <w:sz w:val="24"/>
          <w:szCs w:val="24"/>
          <w:lang w:eastAsia="zh-CN"/>
        </w:rPr>
        <w:t>CBD/COP/14/L.7</w:t>
      </w:r>
      <w:r w:rsidRPr="001B3526">
        <w:rPr>
          <w:rFonts w:ascii="SimSun" w:eastAsia="SimSun" w:hAnsi="SimSun" w:cs="SimSun" w:hint="eastAsia"/>
          <w:sz w:val="24"/>
          <w:szCs w:val="24"/>
          <w:lang w:eastAsia="zh-CN"/>
        </w:rPr>
        <w:t>转交全体会议。</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在</w:t>
      </w:r>
      <w:r w:rsidRPr="001B3526">
        <w:rPr>
          <w:rFonts w:hAnsi="SimSun"/>
          <w:sz w:val="24"/>
          <w:szCs w:val="24"/>
          <w:lang w:eastAsia="zh-CN"/>
        </w:rPr>
        <w:t>2018</w:t>
      </w:r>
      <w:r w:rsidRPr="001B3526">
        <w:rPr>
          <w:rFonts w:ascii="SimSun" w:eastAsia="SimSun" w:hAnsi="SimSun" w:cs="SimSun" w:hint="eastAsia"/>
          <w:sz w:val="24"/>
          <w:szCs w:val="24"/>
          <w:lang w:eastAsia="zh-CN"/>
        </w:rPr>
        <w:t>年</w:t>
      </w:r>
      <w:r w:rsidRPr="001B3526">
        <w:rPr>
          <w:rFonts w:hAnsi="SimSun"/>
          <w:sz w:val="24"/>
          <w:szCs w:val="24"/>
          <w:lang w:eastAsia="zh-CN"/>
        </w:rPr>
        <w:t>11</w:t>
      </w:r>
      <w:r w:rsidRPr="001B3526">
        <w:rPr>
          <w:rFonts w:ascii="SimSun" w:eastAsia="SimSun" w:hAnsi="SimSun" w:cs="SimSun" w:hint="eastAsia"/>
          <w:sz w:val="24"/>
          <w:szCs w:val="24"/>
          <w:lang w:eastAsia="zh-CN"/>
        </w:rPr>
        <w:t>月</w:t>
      </w:r>
      <w:r w:rsidRPr="001B3526">
        <w:rPr>
          <w:rFonts w:hAnsi="SimSun"/>
          <w:sz w:val="24"/>
          <w:szCs w:val="24"/>
          <w:lang w:eastAsia="zh-CN"/>
        </w:rPr>
        <w:t>25</w:t>
      </w:r>
      <w:r w:rsidR="009E4EF5">
        <w:rPr>
          <w:rFonts w:ascii="SimSun" w:eastAsia="SimSun" w:hAnsi="SimSun" w:cs="SimSun" w:hint="eastAsia"/>
          <w:sz w:val="24"/>
          <w:szCs w:val="24"/>
          <w:lang w:eastAsia="zh-CN"/>
        </w:rPr>
        <w:t>日会议的</w:t>
      </w:r>
      <w:r w:rsidRPr="001B3526">
        <w:rPr>
          <w:rFonts w:ascii="SimSun" w:eastAsia="SimSun" w:hAnsi="SimSun" w:cs="SimSun" w:hint="eastAsia"/>
          <w:sz w:val="24"/>
          <w:szCs w:val="24"/>
          <w:lang w:eastAsia="zh-CN"/>
        </w:rPr>
        <w:t>第</w:t>
      </w:r>
      <w:r w:rsidRPr="001B3526">
        <w:rPr>
          <w:rFonts w:hAnsi="SimSun"/>
          <w:sz w:val="24"/>
          <w:szCs w:val="24"/>
          <w:lang w:eastAsia="zh-CN"/>
        </w:rPr>
        <w:t>5</w:t>
      </w:r>
      <w:r w:rsidR="00B45641">
        <w:rPr>
          <w:rFonts w:ascii="SimSun" w:eastAsia="SimSun" w:hAnsi="SimSun" w:cs="SimSun" w:hint="eastAsia"/>
          <w:sz w:val="24"/>
          <w:szCs w:val="24"/>
          <w:lang w:eastAsia="zh-CN"/>
        </w:rPr>
        <w:t>次全体会议</w:t>
      </w:r>
      <w:r w:rsidRPr="001B3526">
        <w:rPr>
          <w:rFonts w:ascii="SimSun" w:eastAsia="SimSun" w:hAnsi="SimSun" w:cs="SimSun" w:hint="eastAsia"/>
          <w:sz w:val="24"/>
          <w:szCs w:val="24"/>
          <w:lang w:eastAsia="zh-CN"/>
        </w:rPr>
        <w:t>上，缔约方大会通过了决定草案</w:t>
      </w:r>
      <w:r w:rsidRPr="001B3526">
        <w:rPr>
          <w:rFonts w:hAnsi="SimSun"/>
          <w:sz w:val="24"/>
          <w:szCs w:val="24"/>
          <w:lang w:eastAsia="zh-CN"/>
        </w:rPr>
        <w:t>CBD/COP/14/L.7</w:t>
      </w:r>
      <w:r w:rsidRPr="001B3526">
        <w:rPr>
          <w:rFonts w:ascii="SimSun" w:eastAsia="SimSun" w:hAnsi="SimSun" w:cs="SimSun" w:hint="eastAsia"/>
          <w:sz w:val="24"/>
          <w:szCs w:val="24"/>
          <w:lang w:eastAsia="zh-CN"/>
        </w:rPr>
        <w:t>，成为第</w:t>
      </w:r>
      <w:r w:rsidRPr="00A124E8">
        <w:rPr>
          <w:rFonts w:hAnsi="SimSun"/>
          <w:sz w:val="24"/>
          <w:szCs w:val="24"/>
          <w:lang w:eastAsia="zh-CN"/>
        </w:rPr>
        <w:t>14</w:t>
      </w:r>
      <w:r w:rsidRPr="001B3526">
        <w:rPr>
          <w:rFonts w:hAnsi="SimSun"/>
          <w:sz w:val="24"/>
          <w:szCs w:val="24"/>
          <w:lang w:eastAsia="zh-CN"/>
        </w:rPr>
        <w:t>/</w:t>
      </w:r>
      <w:r w:rsidR="00A124E8">
        <w:rPr>
          <w:rFonts w:hAnsi="SimSun"/>
          <w:sz w:val="24"/>
          <w:szCs w:val="24"/>
          <w:lang w:eastAsia="zh-CN"/>
        </w:rPr>
        <w:t>27</w:t>
      </w:r>
      <w:r w:rsidRPr="001B3526">
        <w:rPr>
          <w:rFonts w:ascii="SimSun" w:eastAsia="SimSun" w:hAnsi="SimSun" w:cs="SimSun" w:hint="eastAsia"/>
          <w:sz w:val="24"/>
          <w:szCs w:val="24"/>
          <w:lang w:eastAsia="zh-CN"/>
        </w:rPr>
        <w:t>号决定。</w:t>
      </w:r>
    </w:p>
    <w:p w:rsidR="008D76BF" w:rsidRPr="001B3526" w:rsidRDefault="008D76BF" w:rsidP="009804F1">
      <w:pPr>
        <w:pStyle w:val="Para1"/>
        <w:tabs>
          <w:tab w:val="clear" w:pos="360"/>
          <w:tab w:val="left" w:pos="720"/>
        </w:tabs>
        <w:snapToGrid w:val="0"/>
        <w:ind w:firstLine="0"/>
        <w:jc w:val="center"/>
        <w:rPr>
          <w:rFonts w:eastAsia="KaiTi"/>
          <w:sz w:val="24"/>
          <w:szCs w:val="24"/>
          <w:lang w:eastAsia="zh-CN"/>
        </w:rPr>
      </w:pPr>
      <w:r w:rsidRPr="001B3526">
        <w:rPr>
          <w:rFonts w:eastAsia="KaiTi" w:hint="eastAsia"/>
          <w:sz w:val="24"/>
          <w:szCs w:val="24"/>
          <w:lang w:eastAsia="zh-CN"/>
        </w:rPr>
        <w:t>评估执行《</w:t>
      </w:r>
      <w:r w:rsidRPr="001B3526">
        <w:rPr>
          <w:rFonts w:eastAsia="KaiTi"/>
          <w:sz w:val="24"/>
          <w:szCs w:val="24"/>
          <w:lang w:eastAsia="zh-CN"/>
        </w:rPr>
        <w:t>2011-2020</w:t>
      </w:r>
      <w:r w:rsidRPr="001B3526">
        <w:rPr>
          <w:rFonts w:eastAsia="KaiTi" w:hint="eastAsia"/>
          <w:sz w:val="24"/>
          <w:szCs w:val="24"/>
          <w:lang w:eastAsia="zh-CN"/>
        </w:rPr>
        <w:t>年生物多样性战略计划》的政策手段成效的工具</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lastRenderedPageBreak/>
        <w:t>第一工作组在</w:t>
      </w:r>
      <w:r w:rsidRPr="001B3526">
        <w:rPr>
          <w:rFonts w:hAnsi="SimSun"/>
          <w:sz w:val="24"/>
          <w:szCs w:val="24"/>
          <w:lang w:eastAsia="zh-CN"/>
        </w:rPr>
        <w:t>2018</w:t>
      </w:r>
      <w:r w:rsidRPr="001B3526">
        <w:rPr>
          <w:rFonts w:ascii="SimSun" w:eastAsia="SimSun" w:hAnsi="SimSun" w:cs="SimSun" w:hint="eastAsia"/>
          <w:sz w:val="24"/>
          <w:szCs w:val="24"/>
          <w:lang w:eastAsia="zh-CN"/>
        </w:rPr>
        <w:t>年</w:t>
      </w:r>
      <w:r w:rsidRPr="001B3526">
        <w:rPr>
          <w:rFonts w:hAnsi="SimSun"/>
          <w:sz w:val="24"/>
          <w:szCs w:val="24"/>
          <w:lang w:eastAsia="zh-CN"/>
        </w:rPr>
        <w:t>11</w:t>
      </w:r>
      <w:r w:rsidRPr="001B3526">
        <w:rPr>
          <w:rFonts w:ascii="SimSun" w:eastAsia="SimSun" w:hAnsi="SimSun" w:cs="SimSun" w:hint="eastAsia"/>
          <w:sz w:val="24"/>
          <w:szCs w:val="24"/>
          <w:lang w:eastAsia="zh-CN"/>
        </w:rPr>
        <w:t>月</w:t>
      </w:r>
      <w:r w:rsidRPr="001B3526">
        <w:rPr>
          <w:rFonts w:hAnsi="SimSun"/>
          <w:sz w:val="24"/>
          <w:szCs w:val="24"/>
          <w:lang w:eastAsia="zh-CN"/>
        </w:rPr>
        <w:t>20</w:t>
      </w:r>
      <w:r w:rsidRPr="001B3526">
        <w:rPr>
          <w:rFonts w:ascii="SimSun" w:eastAsia="SimSun" w:hAnsi="SimSun" w:cs="SimSun" w:hint="eastAsia"/>
          <w:sz w:val="24"/>
          <w:szCs w:val="24"/>
          <w:lang w:eastAsia="zh-CN"/>
        </w:rPr>
        <w:t>日</w:t>
      </w:r>
      <w:r w:rsidR="009E4EF5">
        <w:rPr>
          <w:rFonts w:ascii="SimSun" w:eastAsia="SimSun" w:hAnsi="SimSun" w:cs="SimSun" w:hint="eastAsia"/>
          <w:sz w:val="24"/>
          <w:szCs w:val="24"/>
          <w:lang w:eastAsia="zh-CN"/>
        </w:rPr>
        <w:t>其</w:t>
      </w:r>
      <w:r w:rsidRPr="001B3526">
        <w:rPr>
          <w:rFonts w:ascii="SimSun" w:eastAsia="SimSun" w:hAnsi="SimSun" w:cs="SimSun" w:hint="eastAsia"/>
          <w:sz w:val="24"/>
          <w:szCs w:val="24"/>
          <w:lang w:eastAsia="zh-CN"/>
        </w:rPr>
        <w:t>第</w:t>
      </w:r>
      <w:r w:rsidRPr="001B3526">
        <w:rPr>
          <w:rFonts w:hAnsi="SimSun"/>
          <w:sz w:val="24"/>
          <w:szCs w:val="24"/>
          <w:lang w:eastAsia="zh-CN"/>
        </w:rPr>
        <w:t>5</w:t>
      </w:r>
      <w:r w:rsidRPr="001B3526">
        <w:rPr>
          <w:rFonts w:ascii="SimSun" w:eastAsia="SimSun" w:hAnsi="SimSun" w:cs="SimSun" w:hint="eastAsia"/>
          <w:sz w:val="24"/>
          <w:szCs w:val="24"/>
          <w:lang w:eastAsia="zh-CN"/>
        </w:rPr>
        <w:t>场会议上审议了议程项目</w:t>
      </w:r>
      <w:r w:rsidRPr="001B3526">
        <w:rPr>
          <w:rFonts w:hAnsi="SimSun"/>
          <w:sz w:val="24"/>
          <w:szCs w:val="24"/>
          <w:lang w:eastAsia="zh-CN"/>
        </w:rPr>
        <w:t>12</w:t>
      </w:r>
      <w:r w:rsidRPr="001B3526">
        <w:rPr>
          <w:rFonts w:ascii="SimSun" w:eastAsia="SimSun" w:hAnsi="SimSun" w:cs="SimSun" w:hint="eastAsia"/>
          <w:sz w:val="24"/>
          <w:szCs w:val="24"/>
          <w:lang w:eastAsia="zh-CN"/>
        </w:rPr>
        <w:t>的第二个议题。在审议该项目时，工作组收到了根据决定草案汇编（</w:t>
      </w:r>
      <w:r w:rsidRPr="001B3526">
        <w:rPr>
          <w:rFonts w:hAnsi="SimSun"/>
          <w:sz w:val="24"/>
          <w:szCs w:val="24"/>
          <w:lang w:eastAsia="zh-CN"/>
        </w:rPr>
        <w:t>CBD/COP/14/2</w:t>
      </w:r>
      <w:r w:rsidRPr="001B3526">
        <w:rPr>
          <w:rFonts w:ascii="SimSun" w:eastAsia="SimSun" w:hAnsi="SimSun" w:cs="SimSun" w:hint="eastAsia"/>
          <w:sz w:val="24"/>
          <w:szCs w:val="24"/>
          <w:lang w:eastAsia="zh-CN"/>
        </w:rPr>
        <w:t>）所载科咨机构</w:t>
      </w:r>
      <w:r w:rsidRPr="001B3526">
        <w:rPr>
          <w:rFonts w:hAnsi="SimSun"/>
          <w:sz w:val="24"/>
          <w:szCs w:val="24"/>
          <w:lang w:eastAsia="zh-CN"/>
        </w:rPr>
        <w:t>XXI/6</w:t>
      </w:r>
      <w:r w:rsidRPr="001B3526">
        <w:rPr>
          <w:rFonts w:ascii="SimSun" w:eastAsia="SimSun" w:hAnsi="SimSun" w:cs="SimSun" w:hint="eastAsia"/>
          <w:sz w:val="24"/>
          <w:szCs w:val="24"/>
          <w:lang w:eastAsia="zh-CN"/>
        </w:rPr>
        <w:t>号建议提出的一项决定草案。</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日本代表</w:t>
      </w:r>
      <w:r w:rsidR="006952B0">
        <w:rPr>
          <w:rFonts w:ascii="SimSun" w:eastAsia="SimSun" w:hAnsi="SimSun" w:cs="SimSun" w:hint="eastAsia"/>
          <w:sz w:val="24"/>
          <w:szCs w:val="24"/>
          <w:lang w:eastAsia="zh-CN"/>
        </w:rPr>
        <w:t>作了发言</w:t>
      </w:r>
      <w:r w:rsidRPr="001B3526">
        <w:rPr>
          <w:rFonts w:ascii="SimSun" w:eastAsia="SimSun" w:hAnsi="SimSun" w:cs="SimSun" w:hint="eastAsia"/>
          <w:sz w:val="24"/>
          <w:szCs w:val="24"/>
          <w:lang w:eastAsia="zh-CN"/>
        </w:rPr>
        <w:t>。</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主席表示他将编制订正决定草案，其中将考虑到提交的意见。</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工作组在</w:t>
      </w:r>
      <w:r w:rsidRPr="001B3526">
        <w:rPr>
          <w:rFonts w:hAnsi="SimSun"/>
          <w:sz w:val="24"/>
          <w:szCs w:val="24"/>
          <w:lang w:eastAsia="zh-CN"/>
        </w:rPr>
        <w:t>2018</w:t>
      </w:r>
      <w:r w:rsidRPr="001B3526">
        <w:rPr>
          <w:rFonts w:ascii="SimSun" w:eastAsia="SimSun" w:hAnsi="SimSun" w:cs="SimSun" w:hint="eastAsia"/>
          <w:sz w:val="24"/>
          <w:szCs w:val="24"/>
          <w:lang w:eastAsia="zh-CN"/>
        </w:rPr>
        <w:t>年</w:t>
      </w:r>
      <w:r w:rsidRPr="001B3526">
        <w:rPr>
          <w:rFonts w:hAnsi="SimSun"/>
          <w:sz w:val="24"/>
          <w:szCs w:val="24"/>
          <w:lang w:eastAsia="zh-CN"/>
        </w:rPr>
        <w:t>11</w:t>
      </w:r>
      <w:r w:rsidRPr="001B3526">
        <w:rPr>
          <w:rFonts w:ascii="SimSun" w:eastAsia="SimSun" w:hAnsi="SimSun" w:cs="SimSun" w:hint="eastAsia"/>
          <w:sz w:val="24"/>
          <w:szCs w:val="24"/>
          <w:lang w:eastAsia="zh-CN"/>
        </w:rPr>
        <w:t>月</w:t>
      </w:r>
      <w:r w:rsidRPr="001B3526">
        <w:rPr>
          <w:rFonts w:hAnsi="SimSun"/>
          <w:sz w:val="24"/>
          <w:szCs w:val="24"/>
          <w:lang w:eastAsia="zh-CN"/>
        </w:rPr>
        <w:t>22</w:t>
      </w:r>
      <w:r w:rsidR="009E4EF5">
        <w:rPr>
          <w:rFonts w:ascii="SimSun" w:eastAsia="SimSun" w:hAnsi="SimSun" w:cs="SimSun" w:hint="eastAsia"/>
          <w:sz w:val="24"/>
          <w:szCs w:val="24"/>
          <w:lang w:eastAsia="zh-CN"/>
        </w:rPr>
        <w:t>日其</w:t>
      </w:r>
      <w:r w:rsidRPr="001B3526">
        <w:rPr>
          <w:rFonts w:ascii="SimSun" w:eastAsia="SimSun" w:hAnsi="SimSun" w:cs="SimSun" w:hint="eastAsia"/>
          <w:sz w:val="24"/>
          <w:szCs w:val="24"/>
          <w:lang w:eastAsia="zh-CN"/>
        </w:rPr>
        <w:t>第</w:t>
      </w:r>
      <w:r w:rsidRPr="001B3526">
        <w:rPr>
          <w:rFonts w:hAnsi="SimSun"/>
          <w:sz w:val="24"/>
          <w:szCs w:val="24"/>
          <w:lang w:eastAsia="zh-CN"/>
        </w:rPr>
        <w:t>9</w:t>
      </w:r>
      <w:r w:rsidRPr="001B3526">
        <w:rPr>
          <w:rFonts w:ascii="SimSun" w:eastAsia="SimSun" w:hAnsi="SimSun" w:cs="SimSun" w:hint="eastAsia"/>
          <w:sz w:val="24"/>
          <w:szCs w:val="24"/>
          <w:lang w:eastAsia="zh-CN"/>
        </w:rPr>
        <w:t>场会议上审议了主席编制的订正决定草案。</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1B3526">
        <w:rPr>
          <w:rFonts w:ascii="SimSun" w:eastAsia="SimSun" w:hAnsi="SimSun" w:cs="SimSun" w:hint="eastAsia"/>
          <w:sz w:val="24"/>
          <w:szCs w:val="24"/>
          <w:lang w:eastAsia="zh-CN"/>
        </w:rPr>
        <w:t>：欧洲联盟及其</w:t>
      </w:r>
      <w:r w:rsidRPr="001B3526">
        <w:rPr>
          <w:rFonts w:hAnsi="SimSun"/>
          <w:sz w:val="24"/>
          <w:szCs w:val="24"/>
          <w:lang w:eastAsia="zh-CN"/>
        </w:rPr>
        <w:t>28</w:t>
      </w:r>
      <w:r w:rsidRPr="001B3526">
        <w:rPr>
          <w:rFonts w:ascii="SimSun" w:eastAsia="SimSun" w:hAnsi="SimSun" w:cs="SimSun" w:hint="eastAsia"/>
          <w:sz w:val="24"/>
          <w:szCs w:val="24"/>
          <w:lang w:eastAsia="zh-CN"/>
        </w:rPr>
        <w:t>个成员国、摩洛哥和乌干达。</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工作组核准了经口头修正的订正决定草案，作为</w:t>
      </w:r>
      <w:r w:rsidRPr="001B3526">
        <w:rPr>
          <w:rFonts w:hAnsi="SimSun"/>
          <w:sz w:val="24"/>
          <w:szCs w:val="24"/>
          <w:lang w:eastAsia="zh-CN"/>
        </w:rPr>
        <w:t>CBD/COP/14/L.8</w:t>
      </w:r>
      <w:r w:rsidRPr="001B3526">
        <w:rPr>
          <w:rFonts w:ascii="SimSun" w:eastAsia="SimSun" w:hAnsi="SimSun" w:cs="SimSun" w:hint="eastAsia"/>
          <w:sz w:val="24"/>
          <w:szCs w:val="24"/>
          <w:lang w:eastAsia="zh-CN"/>
        </w:rPr>
        <w:t>转交全体会议。</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4D1FBA">
        <w:rPr>
          <w:rFonts w:ascii="SimSun" w:eastAsia="SimSun" w:hAnsi="SimSun" w:cs="SimSun" w:hint="eastAsia"/>
          <w:sz w:val="24"/>
          <w:szCs w:val="24"/>
          <w:lang w:eastAsia="zh-CN"/>
        </w:rPr>
        <w:t>在</w:t>
      </w:r>
      <w:r w:rsidRPr="004D1FBA">
        <w:rPr>
          <w:rFonts w:hAnsi="SimSun"/>
          <w:sz w:val="24"/>
          <w:szCs w:val="24"/>
          <w:lang w:eastAsia="zh-CN"/>
        </w:rPr>
        <w:t>2018</w:t>
      </w:r>
      <w:r w:rsidRPr="004D1FBA">
        <w:rPr>
          <w:rFonts w:ascii="SimSun" w:eastAsia="SimSun" w:hAnsi="SimSun" w:cs="SimSun" w:hint="eastAsia"/>
          <w:sz w:val="24"/>
          <w:szCs w:val="24"/>
          <w:lang w:eastAsia="zh-CN"/>
        </w:rPr>
        <w:t>年</w:t>
      </w:r>
      <w:r w:rsidRPr="004D1FBA">
        <w:rPr>
          <w:rFonts w:hAnsi="SimSun"/>
          <w:sz w:val="24"/>
          <w:szCs w:val="24"/>
          <w:lang w:eastAsia="zh-CN"/>
        </w:rPr>
        <w:t>11</w:t>
      </w:r>
      <w:r w:rsidRPr="004D1FBA">
        <w:rPr>
          <w:rFonts w:ascii="SimSun" w:eastAsia="SimSun" w:hAnsi="SimSun" w:cs="SimSun" w:hint="eastAsia"/>
          <w:sz w:val="24"/>
          <w:szCs w:val="24"/>
          <w:lang w:eastAsia="zh-CN"/>
        </w:rPr>
        <w:t>月</w:t>
      </w:r>
      <w:r w:rsidRPr="004D1FBA">
        <w:rPr>
          <w:rFonts w:hAnsi="SimSun"/>
          <w:sz w:val="24"/>
          <w:szCs w:val="24"/>
          <w:lang w:eastAsia="zh-CN"/>
        </w:rPr>
        <w:t>25</w:t>
      </w:r>
      <w:r w:rsidR="009E4EF5">
        <w:rPr>
          <w:rFonts w:ascii="SimSun" w:eastAsia="SimSun" w:hAnsi="SimSun" w:cs="SimSun" w:hint="eastAsia"/>
          <w:sz w:val="24"/>
          <w:szCs w:val="24"/>
          <w:lang w:eastAsia="zh-CN"/>
        </w:rPr>
        <w:t>日会议的</w:t>
      </w:r>
      <w:r w:rsidRPr="004D1FBA">
        <w:rPr>
          <w:rFonts w:ascii="SimSun" w:eastAsia="SimSun" w:hAnsi="SimSun" w:cs="SimSun" w:hint="eastAsia"/>
          <w:sz w:val="24"/>
          <w:szCs w:val="24"/>
          <w:lang w:eastAsia="zh-CN"/>
        </w:rPr>
        <w:t>第</w:t>
      </w:r>
      <w:r w:rsidRPr="004D1FBA">
        <w:rPr>
          <w:rFonts w:hAnsi="SimSun"/>
          <w:sz w:val="24"/>
          <w:szCs w:val="24"/>
          <w:lang w:eastAsia="zh-CN"/>
        </w:rPr>
        <w:t>5</w:t>
      </w:r>
      <w:r w:rsidR="00B45641">
        <w:rPr>
          <w:rFonts w:ascii="SimSun" w:eastAsia="SimSun" w:hAnsi="SimSun" w:cs="SimSun" w:hint="eastAsia"/>
          <w:sz w:val="24"/>
          <w:szCs w:val="24"/>
          <w:lang w:eastAsia="zh-CN"/>
        </w:rPr>
        <w:t>次全体会议</w:t>
      </w:r>
      <w:r w:rsidRPr="004D1FBA">
        <w:rPr>
          <w:rFonts w:ascii="SimSun" w:eastAsia="SimSun" w:hAnsi="SimSun" w:cs="SimSun" w:hint="eastAsia"/>
          <w:sz w:val="24"/>
          <w:szCs w:val="24"/>
          <w:lang w:eastAsia="zh-CN"/>
        </w:rPr>
        <w:t>上，缔约方大会通过了决定草案</w:t>
      </w:r>
      <w:r w:rsidRPr="004D1FBA">
        <w:rPr>
          <w:rFonts w:hAnsi="SimSun"/>
          <w:sz w:val="24"/>
          <w:szCs w:val="24"/>
          <w:lang w:eastAsia="zh-CN"/>
        </w:rPr>
        <w:t>CBD/COP/14/L.8</w:t>
      </w:r>
      <w:r w:rsidRPr="004D1FBA">
        <w:rPr>
          <w:rFonts w:ascii="SimSun" w:eastAsia="SimSun" w:hAnsi="SimSun" w:cs="SimSun" w:hint="eastAsia"/>
          <w:sz w:val="24"/>
          <w:szCs w:val="24"/>
          <w:lang w:eastAsia="zh-CN"/>
        </w:rPr>
        <w:t>，成为第</w:t>
      </w:r>
      <w:r w:rsidRPr="00A124E8">
        <w:rPr>
          <w:rFonts w:eastAsia="SimSun"/>
          <w:sz w:val="24"/>
          <w:szCs w:val="24"/>
          <w:lang w:eastAsia="zh-CN"/>
        </w:rPr>
        <w:t>14</w:t>
      </w:r>
      <w:r w:rsidRPr="00A124E8">
        <w:rPr>
          <w:sz w:val="24"/>
          <w:szCs w:val="24"/>
          <w:lang w:eastAsia="zh-CN"/>
        </w:rPr>
        <w:t>/</w:t>
      </w:r>
      <w:r w:rsidR="00A124E8">
        <w:rPr>
          <w:sz w:val="24"/>
          <w:szCs w:val="24"/>
          <w:lang w:eastAsia="zh-CN"/>
        </w:rPr>
        <w:t>28</w:t>
      </w:r>
      <w:r w:rsidRPr="004D1FBA">
        <w:rPr>
          <w:rFonts w:ascii="SimSun" w:eastAsia="SimSun" w:hAnsi="SimSun" w:cs="SimSun" w:hint="eastAsia"/>
          <w:sz w:val="24"/>
          <w:szCs w:val="24"/>
          <w:lang w:eastAsia="zh-CN"/>
        </w:rPr>
        <w:t>号决定。</w:t>
      </w:r>
    </w:p>
    <w:p w:rsidR="008D76BF" w:rsidRPr="001B3526" w:rsidRDefault="008D76BF" w:rsidP="009804F1">
      <w:pPr>
        <w:pStyle w:val="Para1"/>
        <w:tabs>
          <w:tab w:val="clear" w:pos="360"/>
          <w:tab w:val="left" w:pos="720"/>
        </w:tabs>
        <w:snapToGrid w:val="0"/>
        <w:ind w:firstLine="0"/>
        <w:jc w:val="center"/>
        <w:rPr>
          <w:rFonts w:eastAsia="KaiTi"/>
          <w:sz w:val="24"/>
          <w:szCs w:val="24"/>
          <w:lang w:eastAsia="zh-CN"/>
        </w:rPr>
      </w:pPr>
      <w:r w:rsidRPr="001B3526">
        <w:rPr>
          <w:rFonts w:eastAsia="KaiTi" w:hint="eastAsia"/>
          <w:sz w:val="24"/>
          <w:szCs w:val="24"/>
          <w:lang w:eastAsia="zh-CN"/>
        </w:rPr>
        <w:t>审查机制</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第一工作组在</w:t>
      </w:r>
      <w:r w:rsidRPr="001B3526">
        <w:rPr>
          <w:rFonts w:hAnsi="SimSun"/>
          <w:sz w:val="24"/>
          <w:szCs w:val="24"/>
          <w:lang w:eastAsia="zh-CN"/>
        </w:rPr>
        <w:t>2018</w:t>
      </w:r>
      <w:r w:rsidRPr="001B3526">
        <w:rPr>
          <w:rFonts w:ascii="SimSun" w:eastAsia="SimSun" w:hAnsi="SimSun" w:cs="SimSun" w:hint="eastAsia"/>
          <w:sz w:val="24"/>
          <w:szCs w:val="24"/>
          <w:lang w:eastAsia="zh-CN"/>
        </w:rPr>
        <w:t>年</w:t>
      </w:r>
      <w:r w:rsidRPr="001B3526">
        <w:rPr>
          <w:rFonts w:hAnsi="SimSun"/>
          <w:sz w:val="24"/>
          <w:szCs w:val="24"/>
          <w:lang w:eastAsia="zh-CN"/>
        </w:rPr>
        <w:t>11</w:t>
      </w:r>
      <w:r w:rsidRPr="001B3526">
        <w:rPr>
          <w:rFonts w:ascii="SimSun" w:eastAsia="SimSun" w:hAnsi="SimSun" w:cs="SimSun" w:hint="eastAsia"/>
          <w:sz w:val="24"/>
          <w:szCs w:val="24"/>
          <w:lang w:eastAsia="zh-CN"/>
        </w:rPr>
        <w:t>月</w:t>
      </w:r>
      <w:r w:rsidRPr="001B3526">
        <w:rPr>
          <w:rFonts w:hAnsi="SimSun"/>
          <w:sz w:val="24"/>
          <w:szCs w:val="24"/>
          <w:lang w:eastAsia="zh-CN"/>
        </w:rPr>
        <w:t>20</w:t>
      </w:r>
      <w:r w:rsidR="009E4EF5">
        <w:rPr>
          <w:rFonts w:ascii="SimSun" w:eastAsia="SimSun" w:hAnsi="SimSun" w:cs="SimSun" w:hint="eastAsia"/>
          <w:sz w:val="24"/>
          <w:szCs w:val="24"/>
          <w:lang w:eastAsia="zh-CN"/>
        </w:rPr>
        <w:t>日其</w:t>
      </w:r>
      <w:r w:rsidRPr="001B3526">
        <w:rPr>
          <w:rFonts w:ascii="SimSun" w:eastAsia="SimSun" w:hAnsi="SimSun" w:cs="SimSun" w:hint="eastAsia"/>
          <w:sz w:val="24"/>
          <w:szCs w:val="24"/>
          <w:lang w:eastAsia="zh-CN"/>
        </w:rPr>
        <w:t>第</w:t>
      </w:r>
      <w:r w:rsidRPr="001B3526">
        <w:rPr>
          <w:rFonts w:hAnsi="SimSun"/>
          <w:sz w:val="24"/>
          <w:szCs w:val="24"/>
          <w:lang w:eastAsia="zh-CN"/>
        </w:rPr>
        <w:t>5</w:t>
      </w:r>
      <w:r w:rsidRPr="001B3526">
        <w:rPr>
          <w:rFonts w:ascii="SimSun" w:eastAsia="SimSun" w:hAnsi="SimSun" w:cs="SimSun" w:hint="eastAsia"/>
          <w:sz w:val="24"/>
          <w:szCs w:val="24"/>
          <w:lang w:eastAsia="zh-CN"/>
        </w:rPr>
        <w:t>场会议上审议了议程项目</w:t>
      </w:r>
      <w:r w:rsidRPr="001B3526">
        <w:rPr>
          <w:rFonts w:hAnsi="SimSun"/>
          <w:sz w:val="24"/>
          <w:szCs w:val="24"/>
          <w:lang w:eastAsia="zh-CN"/>
        </w:rPr>
        <w:t>12</w:t>
      </w:r>
      <w:r w:rsidRPr="001B3526">
        <w:rPr>
          <w:rFonts w:ascii="SimSun" w:eastAsia="SimSun" w:hAnsi="SimSun" w:cs="SimSun" w:hint="eastAsia"/>
          <w:sz w:val="24"/>
          <w:szCs w:val="24"/>
          <w:lang w:eastAsia="zh-CN"/>
        </w:rPr>
        <w:t>的第三个议题。在审议该项目时，工作组收到了两份信息文件：一份是对编制和执行《黑山国家生物多样性战略和行动计划》的自愿同行审查（</w:t>
      </w:r>
      <w:r w:rsidRPr="001B3526">
        <w:rPr>
          <w:rFonts w:hAnsi="SimSun"/>
          <w:sz w:val="24"/>
          <w:szCs w:val="24"/>
          <w:lang w:eastAsia="zh-CN"/>
        </w:rPr>
        <w:t>CBD/COP/14/INF/19</w:t>
      </w:r>
      <w:r w:rsidRPr="001B3526">
        <w:rPr>
          <w:rFonts w:ascii="SimSun" w:eastAsia="SimSun" w:hAnsi="SimSun" w:cs="SimSun" w:hint="eastAsia"/>
          <w:sz w:val="24"/>
          <w:szCs w:val="24"/>
          <w:lang w:eastAsia="zh-CN"/>
        </w:rPr>
        <w:t>），另一份是自愿国家审查的生物多样性指南（</w:t>
      </w:r>
      <w:r w:rsidRPr="001B3526">
        <w:rPr>
          <w:rFonts w:hAnsi="SimSun"/>
          <w:sz w:val="24"/>
          <w:szCs w:val="24"/>
          <w:lang w:eastAsia="zh-CN"/>
        </w:rPr>
        <w:t>CBD/COP/14/INF/26</w:t>
      </w:r>
      <w:r w:rsidRPr="001B3526">
        <w:rPr>
          <w:rFonts w:ascii="SimSun" w:eastAsia="SimSun" w:hAnsi="SimSun" w:cs="SimSun" w:hint="eastAsia"/>
          <w:sz w:val="24"/>
          <w:szCs w:val="24"/>
          <w:lang w:eastAsia="zh-CN"/>
        </w:rPr>
        <w:t>）。工作组还收到根据执行问题附属机构第</w:t>
      </w:r>
      <w:r w:rsidRPr="001B3526">
        <w:rPr>
          <w:rFonts w:hAnsi="SimSun"/>
          <w:sz w:val="24"/>
          <w:szCs w:val="24"/>
          <w:lang w:eastAsia="zh-CN"/>
        </w:rPr>
        <w:t>2/10</w:t>
      </w:r>
      <w:r w:rsidRPr="001B3526">
        <w:rPr>
          <w:rFonts w:ascii="SimSun" w:eastAsia="SimSun" w:hAnsi="SimSun" w:cs="SimSun" w:hint="eastAsia"/>
          <w:sz w:val="24"/>
          <w:szCs w:val="24"/>
          <w:lang w:eastAsia="zh-CN"/>
        </w:rPr>
        <w:t>号建议作出的决定草案，该决定草案转载于决定草案汇编（</w:t>
      </w:r>
      <w:r w:rsidRPr="001B3526">
        <w:rPr>
          <w:rFonts w:hAnsi="SimSun"/>
          <w:sz w:val="24"/>
          <w:szCs w:val="24"/>
          <w:lang w:eastAsia="zh-CN"/>
        </w:rPr>
        <w:t>CBD/COP/14/2</w:t>
      </w:r>
      <w:r w:rsidRPr="001B3526">
        <w:rPr>
          <w:rFonts w:ascii="SimSun" w:eastAsia="SimSun" w:hAnsi="SimSun" w:cs="SimSun" w:hint="eastAsia"/>
          <w:sz w:val="24"/>
          <w:szCs w:val="24"/>
          <w:lang w:eastAsia="zh-CN"/>
        </w:rPr>
        <w:t>）。</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1B3526">
        <w:rPr>
          <w:rFonts w:ascii="SimSun" w:eastAsia="SimSun" w:hAnsi="SimSun" w:cs="SimSun" w:hint="eastAsia"/>
          <w:sz w:val="24"/>
          <w:szCs w:val="24"/>
          <w:lang w:eastAsia="zh-CN"/>
        </w:rPr>
        <w:t>：阿尔巴尼亚（代表中欧和东欧国家集团）、柬埔寨、欧洲联盟及其</w:t>
      </w:r>
      <w:r w:rsidRPr="001B3526">
        <w:rPr>
          <w:rFonts w:hAnsi="SimSun"/>
          <w:sz w:val="24"/>
          <w:szCs w:val="24"/>
          <w:lang w:eastAsia="zh-CN"/>
        </w:rPr>
        <w:t>28</w:t>
      </w:r>
      <w:r w:rsidRPr="001B3526">
        <w:rPr>
          <w:rFonts w:ascii="SimSun" w:eastAsia="SimSun" w:hAnsi="SimSun" w:cs="SimSun" w:hint="eastAsia"/>
          <w:sz w:val="24"/>
          <w:szCs w:val="24"/>
          <w:lang w:eastAsia="zh-CN"/>
        </w:rPr>
        <w:t>个成员国、危地马拉、印度、伊朗伊斯兰共和国和约旦。</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妇女署代表也</w:t>
      </w:r>
      <w:r w:rsidR="006952B0">
        <w:rPr>
          <w:rFonts w:ascii="SimSun" w:eastAsia="SimSun" w:hAnsi="SimSun" w:cs="SimSun" w:hint="eastAsia"/>
          <w:sz w:val="24"/>
          <w:szCs w:val="24"/>
          <w:lang w:eastAsia="zh-CN"/>
        </w:rPr>
        <w:t>作了发言</w:t>
      </w:r>
      <w:r w:rsidRPr="001B3526">
        <w:rPr>
          <w:rFonts w:ascii="SimSun" w:eastAsia="SimSun" w:hAnsi="SimSun" w:cs="SimSun" w:hint="eastAsia"/>
          <w:sz w:val="24"/>
          <w:szCs w:val="24"/>
          <w:lang w:eastAsia="zh-CN"/>
        </w:rPr>
        <w:t>。</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主席指出，他将编制一项决定草案，其中将考虑到口头表达及书面提交的意见。</w:t>
      </w:r>
    </w:p>
    <w:p w:rsidR="008D76BF" w:rsidRPr="001B3526" w:rsidRDefault="006B2851"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1B3526">
        <w:rPr>
          <w:rFonts w:ascii="SimSun" w:eastAsia="SimSun" w:hAnsi="SimSun" w:cs="SimSun" w:hint="eastAsia"/>
          <w:sz w:val="24"/>
          <w:szCs w:val="24"/>
          <w:lang w:eastAsia="zh-CN"/>
        </w:rPr>
        <w:t>在</w:t>
      </w:r>
      <w:r w:rsidR="008D76BF" w:rsidRPr="001B3526">
        <w:rPr>
          <w:rFonts w:hAnsi="SimSun"/>
          <w:sz w:val="24"/>
          <w:szCs w:val="24"/>
          <w:lang w:eastAsia="zh-CN"/>
        </w:rPr>
        <w:t>2018</w:t>
      </w:r>
      <w:r w:rsidR="008D76BF" w:rsidRPr="001B3526">
        <w:rPr>
          <w:rFonts w:ascii="SimSun" w:eastAsia="SimSun" w:hAnsi="SimSun" w:cs="SimSun" w:hint="eastAsia"/>
          <w:sz w:val="24"/>
          <w:szCs w:val="24"/>
          <w:lang w:eastAsia="zh-CN"/>
        </w:rPr>
        <w:t>年</w:t>
      </w:r>
      <w:r w:rsidR="008D76BF" w:rsidRPr="001B3526">
        <w:rPr>
          <w:rFonts w:hAnsi="SimSun"/>
          <w:sz w:val="24"/>
          <w:szCs w:val="24"/>
          <w:lang w:eastAsia="zh-CN"/>
        </w:rPr>
        <w:t>11</w:t>
      </w:r>
      <w:r w:rsidR="008D76BF" w:rsidRPr="001B3526">
        <w:rPr>
          <w:rFonts w:ascii="SimSun" w:eastAsia="SimSun" w:hAnsi="SimSun" w:cs="SimSun" w:hint="eastAsia"/>
          <w:sz w:val="24"/>
          <w:szCs w:val="24"/>
          <w:lang w:eastAsia="zh-CN"/>
        </w:rPr>
        <w:t>月</w:t>
      </w:r>
      <w:r w:rsidR="008D76BF" w:rsidRPr="001B3526">
        <w:rPr>
          <w:rFonts w:hAnsi="SimSun"/>
          <w:sz w:val="24"/>
          <w:szCs w:val="24"/>
          <w:lang w:eastAsia="zh-CN"/>
        </w:rPr>
        <w:t>25</w:t>
      </w:r>
      <w:r>
        <w:rPr>
          <w:rFonts w:ascii="SimSun" w:eastAsia="SimSun" w:hAnsi="SimSun" w:cs="SimSun" w:hint="eastAsia"/>
          <w:sz w:val="24"/>
          <w:szCs w:val="24"/>
          <w:lang w:eastAsia="zh-CN"/>
        </w:rPr>
        <w:t>日其</w:t>
      </w:r>
      <w:r w:rsidR="008D76BF" w:rsidRPr="001B3526">
        <w:rPr>
          <w:rFonts w:ascii="SimSun" w:eastAsia="SimSun" w:hAnsi="SimSun" w:cs="SimSun" w:hint="eastAsia"/>
          <w:sz w:val="24"/>
          <w:szCs w:val="24"/>
          <w:lang w:eastAsia="zh-CN"/>
        </w:rPr>
        <w:t>第</w:t>
      </w:r>
      <w:r w:rsidR="008D76BF" w:rsidRPr="001B3526">
        <w:rPr>
          <w:rFonts w:hAnsi="SimSun"/>
          <w:sz w:val="24"/>
          <w:szCs w:val="24"/>
          <w:lang w:eastAsia="zh-CN"/>
        </w:rPr>
        <w:t>10</w:t>
      </w:r>
      <w:r w:rsidR="008D76BF" w:rsidRPr="001B3526">
        <w:rPr>
          <w:rFonts w:ascii="SimSun" w:eastAsia="SimSun" w:hAnsi="SimSun" w:cs="SimSun" w:hint="eastAsia"/>
          <w:sz w:val="24"/>
          <w:szCs w:val="24"/>
          <w:lang w:eastAsia="zh-CN"/>
        </w:rPr>
        <w:t>场会议上审议了主席提交的关于审查机制的订正决定草案。</w:t>
      </w:r>
    </w:p>
    <w:p w:rsidR="008D76BF" w:rsidRPr="001B3526"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以下国家的代表</w:t>
      </w:r>
      <w:r w:rsidR="006952B0">
        <w:rPr>
          <w:rFonts w:ascii="SimSun" w:eastAsia="SimSun" w:hAnsi="SimSun" w:cs="SimSun" w:hint="eastAsia"/>
          <w:sz w:val="24"/>
          <w:szCs w:val="24"/>
          <w:lang w:eastAsia="zh-CN"/>
        </w:rPr>
        <w:t>作了发言</w:t>
      </w:r>
      <w:r w:rsidRPr="001B3526">
        <w:rPr>
          <w:rFonts w:ascii="SimSun" w:eastAsia="SimSun" w:hAnsi="SimSun" w:cs="SimSun" w:hint="eastAsia"/>
          <w:sz w:val="24"/>
          <w:szCs w:val="24"/>
          <w:lang w:eastAsia="zh-CN"/>
        </w:rPr>
        <w:t>：欧洲联盟及其</w:t>
      </w:r>
      <w:r w:rsidRPr="001B3526">
        <w:rPr>
          <w:rFonts w:hAnsi="SimSun"/>
          <w:sz w:val="24"/>
          <w:szCs w:val="24"/>
          <w:lang w:eastAsia="zh-CN"/>
        </w:rPr>
        <w:t>28</w:t>
      </w:r>
      <w:r w:rsidRPr="001B3526">
        <w:rPr>
          <w:rFonts w:ascii="SimSun" w:eastAsia="SimSun" w:hAnsi="SimSun" w:cs="SimSun" w:hint="eastAsia"/>
          <w:sz w:val="24"/>
          <w:szCs w:val="24"/>
          <w:lang w:eastAsia="zh-CN"/>
        </w:rPr>
        <w:t>个成员国、摩洛哥和挪威。</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1B3526">
        <w:rPr>
          <w:rFonts w:ascii="SimSun" w:eastAsia="SimSun" w:hAnsi="SimSun" w:cs="SimSun" w:hint="eastAsia"/>
          <w:sz w:val="24"/>
          <w:szCs w:val="24"/>
          <w:lang w:eastAsia="zh-CN"/>
        </w:rPr>
        <w:t>工作组核准了经口头修正的订正决定草案，作为决定草案</w:t>
      </w:r>
      <w:r w:rsidRPr="001B3526">
        <w:rPr>
          <w:rFonts w:hAnsi="SimSun"/>
          <w:sz w:val="24"/>
          <w:szCs w:val="24"/>
          <w:lang w:eastAsia="zh-CN"/>
        </w:rPr>
        <w:t>CBD/COP/14/L.13</w:t>
      </w:r>
      <w:r w:rsidRPr="001B3526">
        <w:rPr>
          <w:rFonts w:ascii="SimSun" w:eastAsia="SimSun" w:hAnsi="SimSun" w:cs="SimSun" w:hint="eastAsia"/>
          <w:sz w:val="24"/>
          <w:szCs w:val="24"/>
          <w:lang w:eastAsia="zh-CN"/>
        </w:rPr>
        <w:t>转交全体会议。</w:t>
      </w:r>
    </w:p>
    <w:p w:rsidR="008D76BF" w:rsidRPr="009A4B0B" w:rsidRDefault="00A124E8" w:rsidP="004D0EEE">
      <w:pPr>
        <w:pStyle w:val="Para1"/>
        <w:numPr>
          <w:ilvl w:val="0"/>
          <w:numId w:val="9"/>
        </w:numPr>
        <w:tabs>
          <w:tab w:val="clear" w:pos="360"/>
          <w:tab w:val="left" w:pos="720"/>
        </w:tabs>
        <w:ind w:firstLine="0"/>
        <w:rPr>
          <w:rFonts w:hAnsi="SimSun"/>
          <w:sz w:val="24"/>
          <w:szCs w:val="24"/>
          <w:lang w:eastAsia="zh-CN"/>
        </w:rPr>
      </w:pPr>
      <w:r w:rsidRPr="009A4B0B">
        <w:rPr>
          <w:rFonts w:ascii="SimSun" w:eastAsia="SimSun" w:hAnsi="SimSun" w:cs="SimSun" w:hint="eastAsia"/>
          <w:sz w:val="24"/>
          <w:szCs w:val="24"/>
          <w:lang w:eastAsia="zh-CN"/>
        </w:rPr>
        <w:t>在</w:t>
      </w:r>
      <w:r w:rsidRPr="009A4B0B">
        <w:rPr>
          <w:rFonts w:hAnsi="SimSun"/>
          <w:sz w:val="24"/>
          <w:szCs w:val="24"/>
          <w:lang w:eastAsia="zh-CN"/>
        </w:rPr>
        <w:t>2018</w:t>
      </w:r>
      <w:r w:rsidRPr="009A4B0B">
        <w:rPr>
          <w:rFonts w:ascii="SimSun" w:eastAsia="SimSun" w:hAnsi="SimSun" w:cs="SimSun" w:hint="eastAsia"/>
          <w:sz w:val="24"/>
          <w:szCs w:val="24"/>
          <w:lang w:eastAsia="zh-CN"/>
        </w:rPr>
        <w:t>年</w:t>
      </w:r>
      <w:r w:rsidRPr="009A4B0B">
        <w:rPr>
          <w:rFonts w:hAnsi="SimSun"/>
          <w:sz w:val="24"/>
          <w:szCs w:val="24"/>
          <w:lang w:eastAsia="zh-CN"/>
        </w:rPr>
        <w:t>11</w:t>
      </w:r>
      <w:r w:rsidRPr="009A4B0B">
        <w:rPr>
          <w:rFonts w:ascii="SimSun" w:eastAsia="SimSun" w:hAnsi="SimSun" w:cs="SimSun" w:hint="eastAsia"/>
          <w:sz w:val="24"/>
          <w:szCs w:val="24"/>
          <w:lang w:eastAsia="zh-CN"/>
        </w:rPr>
        <w:t>月</w:t>
      </w:r>
      <w:r w:rsidRPr="009A4B0B">
        <w:rPr>
          <w:rFonts w:hAnsi="SimSun"/>
          <w:sz w:val="24"/>
          <w:szCs w:val="24"/>
          <w:lang w:eastAsia="zh-CN"/>
        </w:rPr>
        <w:t>29</w:t>
      </w:r>
      <w:r w:rsidRPr="009A4B0B">
        <w:rPr>
          <w:rFonts w:ascii="SimSun" w:eastAsia="SimSun" w:hAnsi="SimSun" w:cs="SimSun" w:hint="eastAsia"/>
          <w:sz w:val="24"/>
          <w:szCs w:val="24"/>
          <w:lang w:eastAsia="zh-CN"/>
        </w:rPr>
        <w:t>日</w:t>
      </w:r>
      <w:r w:rsidR="009E4EF5">
        <w:rPr>
          <w:rFonts w:ascii="SimSun" w:eastAsia="SimSun" w:hAnsi="SimSun" w:cs="SimSun" w:hint="eastAsia"/>
          <w:sz w:val="24"/>
          <w:szCs w:val="24"/>
          <w:lang w:eastAsia="zh-CN"/>
        </w:rPr>
        <w:t>会议的</w:t>
      </w:r>
      <w:r w:rsidRPr="009A4B0B">
        <w:rPr>
          <w:rFonts w:ascii="SimSun" w:eastAsia="SimSun" w:hAnsi="SimSun" w:cs="SimSun" w:hint="eastAsia"/>
          <w:sz w:val="24"/>
          <w:szCs w:val="24"/>
          <w:lang w:eastAsia="zh-CN"/>
        </w:rPr>
        <w:t>第</w:t>
      </w:r>
      <w:r w:rsidR="009A4B0B" w:rsidRPr="009A4B0B">
        <w:rPr>
          <w:rFonts w:hAnsi="SimSun"/>
          <w:sz w:val="24"/>
          <w:szCs w:val="24"/>
          <w:lang w:eastAsia="zh-CN"/>
        </w:rPr>
        <w:t>7</w:t>
      </w:r>
      <w:r w:rsidR="00B45641">
        <w:rPr>
          <w:rFonts w:ascii="SimSun" w:eastAsia="SimSun" w:hAnsi="SimSun" w:cs="SimSun" w:hint="eastAsia"/>
          <w:sz w:val="24"/>
          <w:szCs w:val="24"/>
          <w:lang w:eastAsia="zh-CN"/>
        </w:rPr>
        <w:t>次全体会议</w:t>
      </w:r>
      <w:r w:rsidRPr="009A4B0B">
        <w:rPr>
          <w:rFonts w:ascii="SimSun" w:eastAsia="SimSun" w:hAnsi="SimSun" w:cs="SimSun" w:hint="eastAsia"/>
          <w:sz w:val="24"/>
          <w:szCs w:val="24"/>
          <w:lang w:eastAsia="zh-CN"/>
        </w:rPr>
        <w:t>上，缔约方大会通过了决定草案</w:t>
      </w:r>
      <w:r w:rsidR="009A4B0B" w:rsidRPr="009A4B0B">
        <w:rPr>
          <w:rFonts w:hAnsi="SimSun"/>
          <w:sz w:val="24"/>
          <w:szCs w:val="24"/>
          <w:lang w:eastAsia="zh-CN"/>
        </w:rPr>
        <w:t>CBD/COP/14/L.13</w:t>
      </w:r>
      <w:r w:rsidRPr="009A4B0B">
        <w:rPr>
          <w:rFonts w:ascii="SimSun" w:eastAsia="SimSun" w:hAnsi="SimSun" w:cs="SimSun" w:hint="eastAsia"/>
          <w:sz w:val="24"/>
          <w:szCs w:val="24"/>
          <w:lang w:eastAsia="zh-CN"/>
        </w:rPr>
        <w:t>，成为第</w:t>
      </w:r>
      <w:r w:rsidRPr="009A4B0B">
        <w:rPr>
          <w:rFonts w:eastAsia="SimSun"/>
          <w:sz w:val="24"/>
          <w:szCs w:val="24"/>
          <w:lang w:eastAsia="zh-CN"/>
        </w:rPr>
        <w:t>14</w:t>
      </w:r>
      <w:r w:rsidRPr="009A4B0B">
        <w:rPr>
          <w:sz w:val="24"/>
          <w:szCs w:val="24"/>
          <w:lang w:eastAsia="zh-CN"/>
        </w:rPr>
        <w:t>/</w:t>
      </w:r>
      <w:r w:rsidR="009A4B0B" w:rsidRPr="009A4B0B">
        <w:rPr>
          <w:sz w:val="24"/>
          <w:szCs w:val="24"/>
          <w:lang w:eastAsia="zh-CN"/>
        </w:rPr>
        <w:t>29</w:t>
      </w:r>
      <w:r w:rsidRPr="009A4B0B">
        <w:rPr>
          <w:rFonts w:ascii="SimSun" w:eastAsia="SimSun" w:hAnsi="SimSun" w:cs="SimSun" w:hint="eastAsia"/>
          <w:sz w:val="24"/>
          <w:szCs w:val="24"/>
          <w:lang w:eastAsia="zh-CN"/>
        </w:rPr>
        <w:t>号决定</w:t>
      </w:r>
      <w:r w:rsidR="009A4B0B" w:rsidRPr="009A4B0B">
        <w:rPr>
          <w:rFonts w:eastAsia="SimSun"/>
          <w:sz w:val="24"/>
          <w:szCs w:val="24"/>
          <w:lang w:val="en-US" w:eastAsia="zh-CN"/>
        </w:rPr>
        <w:t>（</w:t>
      </w:r>
      <w:r w:rsidR="009A4B0B" w:rsidRPr="009A4B0B">
        <w:rPr>
          <w:rFonts w:eastAsia="SimSun" w:hint="eastAsia"/>
          <w:sz w:val="24"/>
          <w:szCs w:val="24"/>
          <w:lang w:eastAsia="zh-CN"/>
        </w:rPr>
        <w:t>案文见</w:t>
      </w:r>
      <w:r w:rsidR="009A4B0B" w:rsidRPr="009A4B0B">
        <w:rPr>
          <w:rFonts w:eastAsia="SimSun"/>
          <w:sz w:val="24"/>
          <w:szCs w:val="24"/>
          <w:lang w:eastAsia="zh-CN"/>
        </w:rPr>
        <w:t>第一章</w:t>
      </w:r>
      <w:r w:rsidR="009A4B0B" w:rsidRPr="009A4B0B">
        <w:rPr>
          <w:rFonts w:eastAsia="SimSun" w:hint="eastAsia"/>
          <w:sz w:val="24"/>
          <w:szCs w:val="24"/>
          <w:lang w:eastAsia="zh-CN"/>
        </w:rPr>
        <w:t>）。</w:t>
      </w:r>
    </w:p>
    <w:p w:rsidR="008D76BF" w:rsidRPr="00F17640" w:rsidRDefault="008D76BF" w:rsidP="00E63AA3">
      <w:pPr>
        <w:pStyle w:val="Heading1"/>
        <w:tabs>
          <w:tab w:val="left" w:pos="2070"/>
        </w:tabs>
        <w:spacing w:before="120" w:after="120"/>
        <w:ind w:left="2070" w:right="822" w:hanging="1170"/>
        <w:jc w:val="left"/>
        <w:rPr>
          <w:sz w:val="24"/>
          <w:szCs w:val="24"/>
          <w:lang w:eastAsia="zh-CN"/>
        </w:rPr>
      </w:pPr>
      <w:r w:rsidRPr="00F17640">
        <w:rPr>
          <w:rFonts w:hint="eastAsia"/>
          <w:sz w:val="24"/>
          <w:szCs w:val="24"/>
          <w:lang w:eastAsia="zh-CN"/>
        </w:rPr>
        <w:lastRenderedPageBreak/>
        <w:t>项目</w:t>
      </w:r>
      <w:r w:rsidRPr="00F17640">
        <w:rPr>
          <w:sz w:val="24"/>
          <w:szCs w:val="24"/>
          <w:lang w:eastAsia="zh-CN"/>
        </w:rPr>
        <w:t xml:space="preserve">13.  </w:t>
      </w:r>
      <w:r w:rsidR="00366699" w:rsidRPr="00F17640">
        <w:rPr>
          <w:sz w:val="24"/>
          <w:szCs w:val="24"/>
          <w:lang w:eastAsia="zh-CN"/>
        </w:rPr>
        <w:tab/>
      </w:r>
      <w:r w:rsidRPr="00F17640">
        <w:rPr>
          <w:rFonts w:hint="eastAsia"/>
          <w:sz w:val="24"/>
          <w:szCs w:val="24"/>
          <w:lang w:eastAsia="zh-CN"/>
        </w:rPr>
        <w:t>加强《公约》及其《议定书》有关获取和惠益分享条款及生物安全条款和第</w:t>
      </w:r>
      <w:r w:rsidRPr="00F17640">
        <w:rPr>
          <w:sz w:val="24"/>
          <w:szCs w:val="24"/>
          <w:lang w:eastAsia="zh-CN"/>
        </w:rPr>
        <w:t xml:space="preserve"> 8 (j)</w:t>
      </w:r>
      <w:r w:rsidRPr="00F17640">
        <w:rPr>
          <w:rFonts w:hint="eastAsia"/>
          <w:sz w:val="24"/>
          <w:szCs w:val="24"/>
          <w:lang w:eastAsia="zh-CN"/>
        </w:rPr>
        <w:t>条和相关条款的一体化</w:t>
      </w:r>
    </w:p>
    <w:p w:rsidR="008D76BF" w:rsidRPr="009E4985" w:rsidRDefault="008D76BF" w:rsidP="00750ECD">
      <w:pPr>
        <w:pStyle w:val="Para1"/>
        <w:numPr>
          <w:ilvl w:val="0"/>
          <w:numId w:val="9"/>
        </w:numPr>
        <w:tabs>
          <w:tab w:val="clear" w:pos="360"/>
          <w:tab w:val="left" w:pos="720"/>
        </w:tabs>
        <w:ind w:firstLine="0"/>
        <w:rPr>
          <w:rFonts w:eastAsia="KaiTi"/>
          <w:sz w:val="24"/>
          <w:szCs w:val="24"/>
          <w:lang w:eastAsia="zh-CN"/>
        </w:rPr>
      </w:pPr>
      <w:r w:rsidRPr="009E4985">
        <w:rPr>
          <w:rFonts w:eastAsia="SimSun" w:hAnsi="SimSun" w:hint="eastAsia"/>
          <w:sz w:val="24"/>
          <w:szCs w:val="24"/>
          <w:lang w:eastAsia="zh-CN"/>
        </w:rPr>
        <w:t>第一工作组在</w:t>
      </w:r>
      <w:r w:rsidRPr="009E4985">
        <w:rPr>
          <w:sz w:val="24"/>
          <w:szCs w:val="24"/>
          <w:lang w:eastAsia="zh-CN"/>
        </w:rPr>
        <w:t>2018</w:t>
      </w:r>
      <w:r w:rsidRPr="009E4985">
        <w:rPr>
          <w:rFonts w:eastAsia="SimSun" w:hAnsi="SimSun" w:hint="eastAsia"/>
          <w:sz w:val="24"/>
          <w:szCs w:val="24"/>
          <w:lang w:eastAsia="zh-CN"/>
        </w:rPr>
        <w:t>年</w:t>
      </w:r>
      <w:r w:rsidRPr="009E4985">
        <w:rPr>
          <w:sz w:val="24"/>
          <w:szCs w:val="24"/>
          <w:lang w:eastAsia="zh-CN"/>
        </w:rPr>
        <w:t>11</w:t>
      </w:r>
      <w:r w:rsidRPr="009E4985">
        <w:rPr>
          <w:rFonts w:eastAsia="SimSun" w:hAnsi="SimSun" w:hint="eastAsia"/>
          <w:sz w:val="24"/>
          <w:szCs w:val="24"/>
          <w:lang w:eastAsia="zh-CN"/>
        </w:rPr>
        <w:t>月</w:t>
      </w:r>
      <w:r w:rsidRPr="009E4985">
        <w:rPr>
          <w:sz w:val="24"/>
          <w:szCs w:val="24"/>
          <w:lang w:eastAsia="zh-CN"/>
        </w:rPr>
        <w:t>21</w:t>
      </w:r>
      <w:r w:rsidR="00EA4BF6">
        <w:rPr>
          <w:rFonts w:eastAsia="SimSun" w:hAnsi="SimSun" w:hint="eastAsia"/>
          <w:sz w:val="24"/>
          <w:szCs w:val="24"/>
          <w:lang w:eastAsia="zh-CN"/>
        </w:rPr>
        <w:t>日的</w:t>
      </w:r>
      <w:r w:rsidRPr="009E4985">
        <w:rPr>
          <w:rFonts w:eastAsia="SimSun" w:hAnsi="SimSun" w:hint="eastAsia"/>
          <w:sz w:val="24"/>
          <w:szCs w:val="24"/>
          <w:lang w:eastAsia="zh-CN"/>
        </w:rPr>
        <w:t>第</w:t>
      </w:r>
      <w:r w:rsidRPr="009E4985">
        <w:rPr>
          <w:sz w:val="24"/>
          <w:szCs w:val="24"/>
          <w:lang w:eastAsia="zh-CN"/>
        </w:rPr>
        <w:t>6</w:t>
      </w:r>
      <w:r w:rsidRPr="009E4985">
        <w:rPr>
          <w:rFonts w:eastAsia="SimSun" w:hAnsi="SimSun" w:hint="eastAsia"/>
          <w:sz w:val="24"/>
          <w:szCs w:val="24"/>
          <w:lang w:eastAsia="zh-CN"/>
        </w:rPr>
        <w:t>场会议上审议了议程项目</w:t>
      </w:r>
      <w:r w:rsidRPr="009E4985">
        <w:rPr>
          <w:sz w:val="24"/>
          <w:szCs w:val="24"/>
          <w:lang w:eastAsia="zh-CN"/>
        </w:rPr>
        <w:t>13</w:t>
      </w:r>
      <w:r w:rsidRPr="009E4985">
        <w:rPr>
          <w:rFonts w:eastAsia="SimSun" w:hAnsi="SimSun" w:hint="eastAsia"/>
          <w:sz w:val="24"/>
          <w:szCs w:val="24"/>
          <w:lang w:eastAsia="zh-CN"/>
        </w:rPr>
        <w:t>，同时审议了作为名古屋议定书缔约方会议的缔约方大会议程项目</w:t>
      </w:r>
      <w:r w:rsidRPr="009E4985">
        <w:rPr>
          <w:rFonts w:eastAsia="SimSun"/>
          <w:sz w:val="24"/>
          <w:szCs w:val="24"/>
          <w:lang w:eastAsia="zh-CN"/>
        </w:rPr>
        <w:t>13</w:t>
      </w:r>
      <w:r w:rsidRPr="009E4985">
        <w:rPr>
          <w:rFonts w:eastAsia="SimSun" w:hAnsi="SimSun" w:hint="eastAsia"/>
          <w:sz w:val="24"/>
          <w:szCs w:val="24"/>
          <w:lang w:eastAsia="zh-CN"/>
        </w:rPr>
        <w:t>和作为卡塔赫纳议定书缔约方会议的缔约方大会议程项目</w:t>
      </w:r>
      <w:r w:rsidRPr="009E4985">
        <w:rPr>
          <w:rFonts w:eastAsia="SimSun"/>
          <w:sz w:val="24"/>
          <w:szCs w:val="24"/>
          <w:lang w:eastAsia="zh-CN"/>
        </w:rPr>
        <w:t>11</w:t>
      </w:r>
      <w:r w:rsidRPr="009E4985">
        <w:rPr>
          <w:rFonts w:eastAsia="SimSun" w:hAnsi="SimSun" w:hint="eastAsia"/>
          <w:sz w:val="24"/>
          <w:szCs w:val="24"/>
          <w:lang w:eastAsia="zh-CN"/>
        </w:rPr>
        <w:t>。</w:t>
      </w:r>
    </w:p>
    <w:p w:rsidR="008D76BF" w:rsidRPr="00C625A0" w:rsidRDefault="008D76BF" w:rsidP="00A434BF">
      <w:pPr>
        <w:pStyle w:val="Para1"/>
        <w:tabs>
          <w:tab w:val="clear" w:pos="360"/>
          <w:tab w:val="left" w:pos="720"/>
        </w:tabs>
        <w:snapToGrid w:val="0"/>
        <w:spacing w:before="160" w:after="160"/>
        <w:ind w:firstLine="0"/>
        <w:jc w:val="center"/>
        <w:rPr>
          <w:rFonts w:eastAsia="KaiTi"/>
          <w:sz w:val="24"/>
          <w:szCs w:val="24"/>
          <w:lang w:eastAsia="zh-CN"/>
        </w:rPr>
      </w:pPr>
      <w:r w:rsidRPr="00C625A0">
        <w:rPr>
          <w:rFonts w:eastAsia="KaiTi" w:hint="eastAsia"/>
          <w:sz w:val="24"/>
          <w:szCs w:val="24"/>
          <w:lang w:eastAsia="zh-CN"/>
        </w:rPr>
        <w:t>加强《公约》及其《议定书》有关生物安全条款和有关获取和惠益分享条款的一体化</w:t>
      </w:r>
    </w:p>
    <w:p w:rsidR="008D76BF" w:rsidRPr="00C625A0" w:rsidRDefault="008D76BF" w:rsidP="00750ECD">
      <w:pPr>
        <w:pStyle w:val="Para1"/>
        <w:numPr>
          <w:ilvl w:val="0"/>
          <w:numId w:val="9"/>
        </w:numPr>
        <w:tabs>
          <w:tab w:val="clear" w:pos="360"/>
          <w:tab w:val="left" w:pos="720"/>
        </w:tabs>
        <w:ind w:firstLine="0"/>
        <w:rPr>
          <w:rFonts w:hAnsi="SimSun"/>
          <w:sz w:val="24"/>
          <w:szCs w:val="24"/>
          <w:lang w:eastAsia="zh-CN"/>
        </w:rPr>
      </w:pPr>
      <w:r w:rsidRPr="00C625A0">
        <w:rPr>
          <w:rFonts w:ascii="SimSun" w:eastAsia="SimSun" w:hAnsi="SimSun" w:cs="SimSun" w:hint="eastAsia"/>
          <w:sz w:val="24"/>
          <w:szCs w:val="24"/>
          <w:lang w:eastAsia="zh-CN"/>
        </w:rPr>
        <w:t>第一工作组在</w:t>
      </w:r>
      <w:r w:rsidRPr="00C625A0">
        <w:rPr>
          <w:rFonts w:hAnsi="SimSun"/>
          <w:sz w:val="24"/>
          <w:szCs w:val="24"/>
          <w:lang w:eastAsia="zh-CN"/>
        </w:rPr>
        <w:t>2018</w:t>
      </w:r>
      <w:r w:rsidRPr="00C625A0">
        <w:rPr>
          <w:rFonts w:ascii="SimSun" w:eastAsia="SimSun" w:hAnsi="SimSun" w:cs="SimSun" w:hint="eastAsia"/>
          <w:sz w:val="24"/>
          <w:szCs w:val="24"/>
          <w:lang w:eastAsia="zh-CN"/>
        </w:rPr>
        <w:t>年</w:t>
      </w:r>
      <w:r w:rsidRPr="00C625A0">
        <w:rPr>
          <w:rFonts w:hAnsi="SimSun"/>
          <w:sz w:val="24"/>
          <w:szCs w:val="24"/>
          <w:lang w:eastAsia="zh-CN"/>
        </w:rPr>
        <w:t>11</w:t>
      </w:r>
      <w:r w:rsidRPr="00C625A0">
        <w:rPr>
          <w:rFonts w:ascii="SimSun" w:eastAsia="SimSun" w:hAnsi="SimSun" w:cs="SimSun" w:hint="eastAsia"/>
          <w:sz w:val="24"/>
          <w:szCs w:val="24"/>
          <w:lang w:eastAsia="zh-CN"/>
        </w:rPr>
        <w:t>月</w:t>
      </w:r>
      <w:r w:rsidRPr="00C625A0">
        <w:rPr>
          <w:rFonts w:hAnsi="SimSun"/>
          <w:sz w:val="24"/>
          <w:szCs w:val="24"/>
          <w:lang w:eastAsia="zh-CN"/>
        </w:rPr>
        <w:t>21</w:t>
      </w:r>
      <w:r w:rsidR="009E4EF5">
        <w:rPr>
          <w:rFonts w:ascii="SimSun" w:eastAsia="SimSun" w:hAnsi="SimSun" w:cs="SimSun" w:hint="eastAsia"/>
          <w:sz w:val="24"/>
          <w:szCs w:val="24"/>
          <w:lang w:eastAsia="zh-CN"/>
        </w:rPr>
        <w:t>日其</w:t>
      </w:r>
      <w:r w:rsidRPr="00C625A0">
        <w:rPr>
          <w:rFonts w:ascii="SimSun" w:eastAsia="SimSun" w:hAnsi="SimSun" w:cs="SimSun" w:hint="eastAsia"/>
          <w:sz w:val="24"/>
          <w:szCs w:val="24"/>
          <w:lang w:eastAsia="zh-CN"/>
        </w:rPr>
        <w:t>第</w:t>
      </w:r>
      <w:r w:rsidRPr="00C625A0">
        <w:rPr>
          <w:rFonts w:hAnsi="SimSun"/>
          <w:sz w:val="24"/>
          <w:szCs w:val="24"/>
          <w:lang w:eastAsia="zh-CN"/>
        </w:rPr>
        <w:t>6</w:t>
      </w:r>
      <w:r w:rsidRPr="00C625A0">
        <w:rPr>
          <w:rFonts w:ascii="SimSun" w:eastAsia="SimSun" w:hAnsi="SimSun" w:cs="SimSun" w:hint="eastAsia"/>
          <w:sz w:val="24"/>
          <w:szCs w:val="24"/>
          <w:lang w:eastAsia="zh-CN"/>
        </w:rPr>
        <w:t>场会议上审议了议程项目</w:t>
      </w:r>
      <w:r w:rsidRPr="00C625A0">
        <w:rPr>
          <w:rFonts w:hAnsi="SimSun"/>
          <w:sz w:val="24"/>
          <w:szCs w:val="24"/>
          <w:lang w:eastAsia="zh-CN"/>
        </w:rPr>
        <w:t>13</w:t>
      </w:r>
      <w:r w:rsidRPr="00C625A0">
        <w:rPr>
          <w:rFonts w:ascii="SimSun" w:eastAsia="SimSun" w:hAnsi="SimSun" w:cs="SimSun" w:hint="eastAsia"/>
          <w:sz w:val="24"/>
          <w:szCs w:val="24"/>
          <w:lang w:eastAsia="zh-CN"/>
        </w:rPr>
        <w:t>的第一个议题。在审议这个项目时，工作组收到了决定草案汇编（</w:t>
      </w:r>
      <w:r w:rsidRPr="00C625A0">
        <w:rPr>
          <w:rFonts w:hAnsi="SimSun"/>
          <w:sz w:val="24"/>
          <w:szCs w:val="24"/>
          <w:lang w:eastAsia="zh-CN"/>
        </w:rPr>
        <w:t>CBD/COP/14/2</w:t>
      </w:r>
      <w:r w:rsidRPr="00C625A0">
        <w:rPr>
          <w:rFonts w:ascii="SimSun" w:eastAsia="SimSun" w:hAnsi="SimSun" w:cs="SimSun" w:hint="eastAsia"/>
          <w:sz w:val="24"/>
          <w:szCs w:val="24"/>
          <w:lang w:eastAsia="zh-CN"/>
        </w:rPr>
        <w:t>）</w:t>
      </w:r>
      <w:r w:rsidR="00733957">
        <w:rPr>
          <w:rFonts w:ascii="SimSun" w:eastAsia="SimSun" w:hAnsi="SimSun" w:cs="SimSun" w:hint="eastAsia"/>
          <w:sz w:val="24"/>
          <w:szCs w:val="24"/>
          <w:lang w:eastAsia="zh-CN"/>
        </w:rPr>
        <w:t>中</w:t>
      </w:r>
      <w:r w:rsidR="00733957">
        <w:rPr>
          <w:rFonts w:ascii="SimSun" w:eastAsia="SimSun" w:hAnsi="SimSun" w:cs="SimSun"/>
          <w:sz w:val="24"/>
          <w:szCs w:val="24"/>
          <w:lang w:eastAsia="zh-CN"/>
        </w:rPr>
        <w:t>所载的</w:t>
      </w:r>
      <w:r>
        <w:rPr>
          <w:rFonts w:ascii="SimSun" w:eastAsia="SimSun" w:hAnsi="SimSun" w:cs="SimSun" w:hint="eastAsia"/>
          <w:sz w:val="24"/>
          <w:szCs w:val="24"/>
          <w:lang w:eastAsia="zh-CN"/>
        </w:rPr>
        <w:t>根据第</w:t>
      </w:r>
      <w:r w:rsidRPr="00C625A0">
        <w:rPr>
          <w:rFonts w:hAnsi="SimSun"/>
          <w:sz w:val="24"/>
          <w:szCs w:val="24"/>
          <w:lang w:eastAsia="zh-CN"/>
        </w:rPr>
        <w:t>SBI-2/14</w:t>
      </w:r>
      <w:r w:rsidRPr="00C625A0">
        <w:rPr>
          <w:rFonts w:ascii="SimSun" w:eastAsia="SimSun" w:hAnsi="SimSun" w:cs="SimSun" w:hint="eastAsia"/>
          <w:sz w:val="24"/>
          <w:szCs w:val="24"/>
          <w:lang w:eastAsia="zh-CN"/>
        </w:rPr>
        <w:t>号建议</w:t>
      </w:r>
      <w:r>
        <w:rPr>
          <w:rFonts w:ascii="SimSun" w:eastAsia="SimSun" w:hAnsi="SimSun" w:cs="SimSun" w:hint="eastAsia"/>
          <w:sz w:val="24"/>
          <w:szCs w:val="24"/>
          <w:lang w:eastAsia="zh-CN"/>
        </w:rPr>
        <w:t>编制的决定草案</w:t>
      </w:r>
      <w:r w:rsidRPr="00C625A0">
        <w:rPr>
          <w:rFonts w:ascii="SimSun" w:eastAsia="SimSun" w:hAnsi="SimSun" w:cs="SimSun" w:hint="eastAsia"/>
          <w:sz w:val="24"/>
          <w:szCs w:val="24"/>
          <w:lang w:eastAsia="zh-CN"/>
        </w:rPr>
        <w:t>。</w:t>
      </w:r>
    </w:p>
    <w:p w:rsidR="008D76BF" w:rsidRPr="00C625A0" w:rsidRDefault="008D76BF" w:rsidP="00750ECD">
      <w:pPr>
        <w:pStyle w:val="Para1"/>
        <w:numPr>
          <w:ilvl w:val="0"/>
          <w:numId w:val="9"/>
        </w:numPr>
        <w:tabs>
          <w:tab w:val="clear" w:pos="360"/>
          <w:tab w:val="left" w:pos="720"/>
        </w:tabs>
        <w:ind w:firstLine="0"/>
        <w:rPr>
          <w:rFonts w:hAnsi="SimSun"/>
          <w:sz w:val="24"/>
          <w:szCs w:val="24"/>
          <w:lang w:eastAsia="zh-CN"/>
        </w:rPr>
      </w:pPr>
      <w:r w:rsidRPr="00C625A0">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C625A0">
        <w:rPr>
          <w:rFonts w:ascii="SimSun" w:eastAsia="SimSun" w:hAnsi="SimSun" w:cs="SimSun" w:hint="eastAsia"/>
          <w:sz w:val="24"/>
          <w:szCs w:val="24"/>
          <w:lang w:eastAsia="zh-CN"/>
        </w:rPr>
        <w:t>：阿根廷、哥伦比亚、欧洲联盟及其</w:t>
      </w:r>
      <w:r w:rsidRPr="00C625A0">
        <w:rPr>
          <w:rFonts w:hAnsi="SimSun"/>
          <w:sz w:val="24"/>
          <w:szCs w:val="24"/>
          <w:lang w:eastAsia="zh-CN"/>
        </w:rPr>
        <w:t>28</w:t>
      </w:r>
      <w:r w:rsidRPr="00C625A0">
        <w:rPr>
          <w:rFonts w:ascii="SimSun" w:eastAsia="SimSun" w:hAnsi="SimSun" w:cs="SimSun" w:hint="eastAsia"/>
          <w:sz w:val="24"/>
          <w:szCs w:val="24"/>
          <w:lang w:eastAsia="zh-CN"/>
        </w:rPr>
        <w:t>个成员国、加蓬、印度、印度尼西亚、马拉维、摩洛哥、委内瑞拉玻利瓦尔共和国。</w:t>
      </w:r>
    </w:p>
    <w:p w:rsidR="008D76BF" w:rsidRPr="00C625A0" w:rsidRDefault="008D76BF" w:rsidP="00750ECD">
      <w:pPr>
        <w:pStyle w:val="Para1"/>
        <w:numPr>
          <w:ilvl w:val="0"/>
          <w:numId w:val="9"/>
        </w:numPr>
        <w:tabs>
          <w:tab w:val="clear" w:pos="360"/>
          <w:tab w:val="left" w:pos="720"/>
        </w:tabs>
        <w:ind w:firstLine="0"/>
        <w:rPr>
          <w:rFonts w:hAnsi="SimSun"/>
          <w:sz w:val="24"/>
          <w:szCs w:val="24"/>
          <w:lang w:eastAsia="zh-CN"/>
        </w:rPr>
      </w:pPr>
      <w:r w:rsidRPr="00C625A0">
        <w:rPr>
          <w:rFonts w:ascii="SimSun" w:eastAsia="SimSun" w:hAnsi="SimSun" w:cs="SimSun" w:hint="eastAsia"/>
          <w:sz w:val="24"/>
          <w:szCs w:val="24"/>
          <w:lang w:eastAsia="zh-CN"/>
        </w:rPr>
        <w:t>国际获取农业生物技术应用服务组织的代表也</w:t>
      </w:r>
      <w:r w:rsidR="006952B0">
        <w:rPr>
          <w:rFonts w:ascii="SimSun" w:eastAsia="SimSun" w:hAnsi="SimSun" w:cs="SimSun" w:hint="eastAsia"/>
          <w:sz w:val="24"/>
          <w:szCs w:val="24"/>
          <w:lang w:eastAsia="zh-CN"/>
        </w:rPr>
        <w:t>作了发言</w:t>
      </w:r>
      <w:r w:rsidRPr="00C625A0">
        <w:rPr>
          <w:rFonts w:ascii="SimSun" w:eastAsia="SimSun" w:hAnsi="SimSun" w:cs="SimSun" w:hint="eastAsia"/>
          <w:sz w:val="24"/>
          <w:szCs w:val="24"/>
          <w:lang w:eastAsia="zh-CN"/>
        </w:rPr>
        <w:t>。</w:t>
      </w:r>
    </w:p>
    <w:p w:rsidR="008D76BF" w:rsidRPr="001720CE" w:rsidRDefault="008D76BF" w:rsidP="00750ECD">
      <w:pPr>
        <w:pStyle w:val="Para1"/>
        <w:numPr>
          <w:ilvl w:val="0"/>
          <w:numId w:val="9"/>
        </w:numPr>
        <w:tabs>
          <w:tab w:val="clear" w:pos="360"/>
          <w:tab w:val="left" w:pos="720"/>
        </w:tabs>
        <w:ind w:firstLine="0"/>
        <w:rPr>
          <w:rFonts w:hAnsi="SimSun"/>
          <w:sz w:val="24"/>
          <w:szCs w:val="24"/>
          <w:lang w:eastAsia="zh-CN"/>
        </w:rPr>
      </w:pPr>
      <w:r w:rsidRPr="00C625A0">
        <w:rPr>
          <w:rFonts w:ascii="SimSun" w:eastAsia="SimSun" w:hAnsi="SimSun" w:cs="SimSun" w:hint="eastAsia"/>
          <w:sz w:val="24"/>
          <w:szCs w:val="24"/>
          <w:lang w:eastAsia="zh-CN"/>
        </w:rPr>
        <w:t>主席指出，他将编制一项订正决定草案，其中将列入口头表达及书面提交的意见。</w:t>
      </w:r>
    </w:p>
    <w:p w:rsidR="008D76BF" w:rsidRPr="00FE0455" w:rsidRDefault="006B2851" w:rsidP="00750ECD">
      <w:pPr>
        <w:pStyle w:val="Para1"/>
        <w:numPr>
          <w:ilvl w:val="0"/>
          <w:numId w:val="9"/>
        </w:numPr>
        <w:tabs>
          <w:tab w:val="clear" w:pos="360"/>
          <w:tab w:val="left" w:pos="720"/>
        </w:tabs>
        <w:ind w:firstLine="0"/>
        <w:rPr>
          <w:rFonts w:eastAsia="Times New Roman"/>
          <w:sz w:val="24"/>
          <w:szCs w:val="24"/>
          <w:lang w:eastAsia="zh-CN"/>
        </w:rPr>
      </w:pPr>
      <w:r>
        <w:rPr>
          <w:rFonts w:eastAsia="SimSun" w:hAnsi="SimSun" w:hint="eastAsia"/>
          <w:sz w:val="24"/>
          <w:szCs w:val="24"/>
          <w:lang w:eastAsia="zh-CN"/>
        </w:rPr>
        <w:t>第一工作组</w:t>
      </w:r>
      <w:r w:rsidR="008D76BF">
        <w:rPr>
          <w:rFonts w:eastAsia="SimSun" w:hAnsi="SimSun" w:hint="eastAsia"/>
          <w:sz w:val="24"/>
          <w:szCs w:val="24"/>
          <w:lang w:eastAsia="zh-CN"/>
        </w:rPr>
        <w:t>在</w:t>
      </w:r>
      <w:r w:rsidR="008D76BF">
        <w:rPr>
          <w:rFonts w:eastAsia="SimSun" w:hAnsi="SimSun"/>
          <w:sz w:val="24"/>
          <w:szCs w:val="24"/>
          <w:lang w:eastAsia="zh-CN"/>
        </w:rPr>
        <w:t>2018</w:t>
      </w:r>
      <w:r w:rsidR="008D76BF">
        <w:rPr>
          <w:rFonts w:eastAsia="SimSun" w:hAnsi="SimSun" w:hint="eastAsia"/>
          <w:sz w:val="24"/>
          <w:szCs w:val="24"/>
          <w:lang w:eastAsia="zh-CN"/>
        </w:rPr>
        <w:t>年</w:t>
      </w:r>
      <w:r w:rsidR="008D76BF">
        <w:rPr>
          <w:rFonts w:eastAsia="SimSun" w:hAnsi="SimSun"/>
          <w:sz w:val="24"/>
          <w:szCs w:val="24"/>
          <w:lang w:eastAsia="zh-CN"/>
        </w:rPr>
        <w:t>11</w:t>
      </w:r>
      <w:r w:rsidR="008D76BF">
        <w:rPr>
          <w:rFonts w:eastAsia="SimSun" w:hAnsi="SimSun" w:hint="eastAsia"/>
          <w:sz w:val="24"/>
          <w:szCs w:val="24"/>
          <w:lang w:eastAsia="zh-CN"/>
        </w:rPr>
        <w:t>月</w:t>
      </w:r>
      <w:r w:rsidR="008D76BF">
        <w:rPr>
          <w:rFonts w:eastAsia="SimSun" w:hAnsi="SimSun"/>
          <w:sz w:val="24"/>
          <w:szCs w:val="24"/>
          <w:lang w:eastAsia="zh-CN"/>
        </w:rPr>
        <w:t>28</w:t>
      </w:r>
      <w:r>
        <w:rPr>
          <w:rFonts w:eastAsia="SimSun" w:hAnsi="SimSun" w:hint="eastAsia"/>
          <w:sz w:val="24"/>
          <w:szCs w:val="24"/>
          <w:lang w:eastAsia="zh-CN"/>
        </w:rPr>
        <w:t>日其</w:t>
      </w:r>
      <w:r w:rsidR="008D76BF">
        <w:rPr>
          <w:rFonts w:eastAsia="SimSun" w:hAnsi="SimSun" w:hint="eastAsia"/>
          <w:sz w:val="24"/>
          <w:szCs w:val="24"/>
          <w:lang w:eastAsia="zh-CN"/>
        </w:rPr>
        <w:t>第</w:t>
      </w:r>
      <w:r w:rsidR="008D76BF">
        <w:rPr>
          <w:rFonts w:eastAsia="SimSun" w:hAnsi="SimSun"/>
          <w:sz w:val="24"/>
          <w:szCs w:val="24"/>
          <w:lang w:eastAsia="zh-CN"/>
        </w:rPr>
        <w:t>12</w:t>
      </w:r>
      <w:r w:rsidR="008D76BF">
        <w:rPr>
          <w:rFonts w:eastAsia="SimSun" w:hAnsi="SimSun" w:hint="eastAsia"/>
          <w:sz w:val="24"/>
          <w:szCs w:val="24"/>
          <w:lang w:eastAsia="zh-CN"/>
        </w:rPr>
        <w:t>场会议上审议了主席提交的订正</w:t>
      </w:r>
      <w:r w:rsidR="00E17F8A">
        <w:rPr>
          <w:rFonts w:eastAsia="SimSun" w:hAnsi="SimSun" w:hint="eastAsia"/>
          <w:sz w:val="24"/>
          <w:szCs w:val="24"/>
          <w:lang w:eastAsia="zh-CN"/>
        </w:rPr>
        <w:t>决定草案</w:t>
      </w:r>
      <w:r w:rsidR="008D76BF">
        <w:rPr>
          <w:rFonts w:eastAsia="SimSun" w:hAnsi="SimSun" w:hint="eastAsia"/>
          <w:sz w:val="24"/>
          <w:szCs w:val="24"/>
          <w:lang w:eastAsia="zh-CN"/>
        </w:rPr>
        <w:t>。</w:t>
      </w:r>
    </w:p>
    <w:p w:rsidR="008D76BF" w:rsidRPr="00FE0455" w:rsidRDefault="00EA4BF6" w:rsidP="00750ECD">
      <w:pPr>
        <w:pStyle w:val="Para1"/>
        <w:numPr>
          <w:ilvl w:val="0"/>
          <w:numId w:val="9"/>
        </w:numPr>
        <w:tabs>
          <w:tab w:val="clear" w:pos="360"/>
          <w:tab w:val="left" w:pos="720"/>
        </w:tabs>
        <w:ind w:firstLine="0"/>
        <w:rPr>
          <w:rFonts w:eastAsia="Times New Roman"/>
          <w:sz w:val="24"/>
          <w:szCs w:val="24"/>
          <w:lang w:eastAsia="zh-CN"/>
        </w:rPr>
      </w:pPr>
      <w:r>
        <w:rPr>
          <w:rFonts w:eastAsia="SimSun" w:hAnsi="SimSun" w:hint="eastAsia"/>
          <w:sz w:val="24"/>
          <w:szCs w:val="24"/>
          <w:lang w:eastAsia="zh-CN"/>
        </w:rPr>
        <w:t>下列国家代表</w:t>
      </w:r>
      <w:r w:rsidR="006952B0">
        <w:rPr>
          <w:rFonts w:eastAsia="SimSun" w:hAnsi="SimSun" w:hint="eastAsia"/>
          <w:sz w:val="24"/>
          <w:szCs w:val="24"/>
          <w:lang w:eastAsia="zh-CN"/>
        </w:rPr>
        <w:t>作了发言</w:t>
      </w:r>
      <w:r w:rsidR="008D76BF">
        <w:rPr>
          <w:rFonts w:eastAsia="SimSun" w:hAnsi="SimSun" w:hint="eastAsia"/>
          <w:sz w:val="24"/>
          <w:szCs w:val="24"/>
          <w:lang w:eastAsia="zh-CN"/>
        </w:rPr>
        <w:t>：</w:t>
      </w:r>
      <w:r w:rsidR="008D76BF" w:rsidRPr="001720CE">
        <w:rPr>
          <w:rFonts w:eastAsia="SimSun" w:hAnsi="SimSun" w:hint="eastAsia"/>
          <w:sz w:val="24"/>
          <w:szCs w:val="24"/>
          <w:lang w:eastAsia="zh-CN"/>
        </w:rPr>
        <w:t>哥伦比亚、厄瓜多尔、</w:t>
      </w:r>
      <w:r w:rsidR="008D76BF" w:rsidRPr="00FE0455">
        <w:rPr>
          <w:rFonts w:eastAsia="SimSun" w:hAnsi="SimSun" w:hint="eastAsia"/>
          <w:sz w:val="24"/>
          <w:szCs w:val="24"/>
          <w:lang w:eastAsia="zh-CN"/>
        </w:rPr>
        <w:t>欧洲联盟及其</w:t>
      </w:r>
      <w:r w:rsidR="008D76BF" w:rsidRPr="00FE0455">
        <w:rPr>
          <w:rFonts w:eastAsia="SimSun" w:hAnsi="SimSun"/>
          <w:sz w:val="24"/>
          <w:szCs w:val="24"/>
          <w:lang w:eastAsia="zh-CN"/>
        </w:rPr>
        <w:t>28</w:t>
      </w:r>
      <w:r w:rsidR="008D76BF" w:rsidRPr="00FE0455">
        <w:rPr>
          <w:rFonts w:eastAsia="SimSun" w:hAnsi="SimSun" w:hint="eastAsia"/>
          <w:sz w:val="24"/>
          <w:szCs w:val="24"/>
          <w:lang w:eastAsia="zh-CN"/>
        </w:rPr>
        <w:t>个成员国</w:t>
      </w:r>
      <w:r w:rsidR="008D76BF" w:rsidRPr="001720CE">
        <w:rPr>
          <w:rFonts w:eastAsia="SimSun" w:hAnsi="SimSun" w:hint="eastAsia"/>
          <w:sz w:val="24"/>
          <w:szCs w:val="24"/>
          <w:lang w:eastAsia="zh-CN"/>
        </w:rPr>
        <w:t>、加蓬、几内亚、日本、肯尼亚、墨西哥、摩洛哥、卡塔尔和秘鲁</w:t>
      </w:r>
      <w:r w:rsidR="008D76BF">
        <w:rPr>
          <w:rFonts w:eastAsia="SimSun" w:hAnsi="SimSun" w:hint="eastAsia"/>
          <w:sz w:val="24"/>
          <w:szCs w:val="24"/>
          <w:lang w:eastAsia="zh-CN"/>
        </w:rPr>
        <w:t>。</w:t>
      </w:r>
    </w:p>
    <w:p w:rsidR="008D76BF" w:rsidRPr="00C625A0" w:rsidRDefault="008D76BF" w:rsidP="00750ECD">
      <w:pPr>
        <w:pStyle w:val="Para1"/>
        <w:numPr>
          <w:ilvl w:val="0"/>
          <w:numId w:val="9"/>
        </w:numPr>
        <w:tabs>
          <w:tab w:val="clear" w:pos="360"/>
          <w:tab w:val="left" w:pos="720"/>
        </w:tabs>
        <w:ind w:firstLine="0"/>
        <w:rPr>
          <w:rFonts w:hAnsi="SimSun"/>
          <w:sz w:val="24"/>
          <w:szCs w:val="24"/>
          <w:lang w:eastAsia="zh-CN"/>
        </w:rPr>
      </w:pPr>
      <w:r w:rsidRPr="00FE0455">
        <w:rPr>
          <w:rFonts w:eastAsia="SimSun" w:hAnsi="SimSun" w:hint="eastAsia"/>
          <w:sz w:val="24"/>
          <w:szCs w:val="24"/>
          <w:lang w:eastAsia="zh-CN"/>
        </w:rPr>
        <w:t>工作组核准了</w:t>
      </w:r>
      <w:r>
        <w:rPr>
          <w:rFonts w:eastAsia="SimSun" w:hAnsi="SimSun" w:hint="eastAsia"/>
          <w:sz w:val="24"/>
          <w:szCs w:val="24"/>
          <w:lang w:eastAsia="zh-CN"/>
        </w:rPr>
        <w:t>经口头修订的订正</w:t>
      </w:r>
      <w:r w:rsidRPr="00FE0455">
        <w:rPr>
          <w:rFonts w:eastAsia="SimSun" w:hAnsi="SimSun" w:hint="eastAsia"/>
          <w:sz w:val="24"/>
          <w:szCs w:val="24"/>
          <w:lang w:eastAsia="zh-CN"/>
        </w:rPr>
        <w:t>决定草案，作为决定草案</w:t>
      </w:r>
      <w:r w:rsidRPr="00FE0455">
        <w:rPr>
          <w:rFonts w:eastAsia="SimSun"/>
          <w:sz w:val="24"/>
          <w:szCs w:val="24"/>
          <w:lang w:eastAsia="zh-CN"/>
        </w:rPr>
        <w:t>CBD/COP/14/L.</w:t>
      </w:r>
      <w:r>
        <w:rPr>
          <w:rFonts w:eastAsia="SimSun"/>
          <w:sz w:val="24"/>
          <w:szCs w:val="24"/>
          <w:lang w:eastAsia="zh-CN"/>
        </w:rPr>
        <w:t>32</w:t>
      </w:r>
      <w:r w:rsidRPr="00FE0455">
        <w:rPr>
          <w:rFonts w:eastAsia="SimSun" w:hAnsi="SimSun" w:hint="eastAsia"/>
          <w:sz w:val="24"/>
          <w:szCs w:val="24"/>
          <w:lang w:eastAsia="zh-CN"/>
        </w:rPr>
        <w:t>转交全体会议</w:t>
      </w:r>
      <w:r>
        <w:rPr>
          <w:rFonts w:eastAsia="SimSun" w:hAnsi="SimSun" w:hint="eastAsia"/>
          <w:sz w:val="24"/>
          <w:szCs w:val="24"/>
          <w:lang w:eastAsia="zh-CN"/>
        </w:rPr>
        <w:t>。</w:t>
      </w:r>
    </w:p>
    <w:p w:rsidR="009A4B0B" w:rsidRPr="009A4B0B" w:rsidRDefault="009A4B0B" w:rsidP="009A4B0B">
      <w:pPr>
        <w:pStyle w:val="Para1"/>
        <w:numPr>
          <w:ilvl w:val="0"/>
          <w:numId w:val="9"/>
        </w:numPr>
        <w:tabs>
          <w:tab w:val="clear" w:pos="360"/>
          <w:tab w:val="left" w:pos="720"/>
        </w:tabs>
        <w:ind w:firstLine="0"/>
        <w:rPr>
          <w:rFonts w:hAnsi="SimSun"/>
          <w:sz w:val="24"/>
          <w:szCs w:val="24"/>
          <w:lang w:eastAsia="zh-CN"/>
        </w:rPr>
      </w:pPr>
      <w:r w:rsidRPr="009A4B0B">
        <w:rPr>
          <w:rFonts w:ascii="SimSun" w:eastAsia="SimSun" w:hAnsi="SimSun" w:cs="SimSun" w:hint="eastAsia"/>
          <w:sz w:val="24"/>
          <w:szCs w:val="24"/>
          <w:lang w:eastAsia="zh-CN"/>
        </w:rPr>
        <w:t>在</w:t>
      </w:r>
      <w:r w:rsidRPr="009A4B0B">
        <w:rPr>
          <w:rFonts w:hAnsi="SimSun"/>
          <w:sz w:val="24"/>
          <w:szCs w:val="24"/>
          <w:lang w:eastAsia="zh-CN"/>
        </w:rPr>
        <w:t>2018</w:t>
      </w:r>
      <w:r w:rsidRPr="009A4B0B">
        <w:rPr>
          <w:rFonts w:ascii="SimSun" w:eastAsia="SimSun" w:hAnsi="SimSun" w:cs="SimSun" w:hint="eastAsia"/>
          <w:sz w:val="24"/>
          <w:szCs w:val="24"/>
          <w:lang w:eastAsia="zh-CN"/>
        </w:rPr>
        <w:t>年</w:t>
      </w:r>
      <w:r w:rsidRPr="009A4B0B">
        <w:rPr>
          <w:rFonts w:hAnsi="SimSun"/>
          <w:sz w:val="24"/>
          <w:szCs w:val="24"/>
          <w:lang w:eastAsia="zh-CN"/>
        </w:rPr>
        <w:t>11</w:t>
      </w:r>
      <w:r w:rsidRPr="009A4B0B">
        <w:rPr>
          <w:rFonts w:ascii="SimSun" w:eastAsia="SimSun" w:hAnsi="SimSun" w:cs="SimSun" w:hint="eastAsia"/>
          <w:sz w:val="24"/>
          <w:szCs w:val="24"/>
          <w:lang w:eastAsia="zh-CN"/>
        </w:rPr>
        <w:t>月</w:t>
      </w:r>
      <w:r w:rsidRPr="009A4B0B">
        <w:rPr>
          <w:rFonts w:hAnsi="SimSun"/>
          <w:sz w:val="24"/>
          <w:szCs w:val="24"/>
          <w:lang w:eastAsia="zh-CN"/>
        </w:rPr>
        <w:t>29</w:t>
      </w:r>
      <w:r w:rsidRPr="009A4B0B">
        <w:rPr>
          <w:rFonts w:ascii="SimSun" w:eastAsia="SimSun" w:hAnsi="SimSun" w:cs="SimSun" w:hint="eastAsia"/>
          <w:sz w:val="24"/>
          <w:szCs w:val="24"/>
          <w:lang w:eastAsia="zh-CN"/>
        </w:rPr>
        <w:t>日</w:t>
      </w:r>
      <w:r w:rsidR="009E4EF5">
        <w:rPr>
          <w:rFonts w:ascii="SimSun" w:eastAsia="SimSun" w:hAnsi="SimSun" w:cs="SimSun" w:hint="eastAsia"/>
          <w:sz w:val="24"/>
          <w:szCs w:val="24"/>
          <w:lang w:eastAsia="zh-CN"/>
        </w:rPr>
        <w:t>会议的</w:t>
      </w:r>
      <w:r w:rsidRPr="009A4B0B">
        <w:rPr>
          <w:rFonts w:ascii="SimSun" w:eastAsia="SimSun" w:hAnsi="SimSun" w:cs="SimSun" w:hint="eastAsia"/>
          <w:sz w:val="24"/>
          <w:szCs w:val="24"/>
          <w:lang w:eastAsia="zh-CN"/>
        </w:rPr>
        <w:t>第</w:t>
      </w:r>
      <w:r w:rsidRPr="009A4B0B">
        <w:rPr>
          <w:rFonts w:hAnsi="SimSun"/>
          <w:sz w:val="24"/>
          <w:szCs w:val="24"/>
          <w:lang w:eastAsia="zh-CN"/>
        </w:rPr>
        <w:t>7</w:t>
      </w:r>
      <w:r w:rsidR="00B45641">
        <w:rPr>
          <w:rFonts w:ascii="SimSun" w:eastAsia="SimSun" w:hAnsi="SimSun" w:cs="SimSun" w:hint="eastAsia"/>
          <w:sz w:val="24"/>
          <w:szCs w:val="24"/>
          <w:lang w:eastAsia="zh-CN"/>
        </w:rPr>
        <w:t>次全体会议</w:t>
      </w:r>
      <w:r w:rsidRPr="009A4B0B">
        <w:rPr>
          <w:rFonts w:ascii="SimSun" w:eastAsia="SimSun" w:hAnsi="SimSun" w:cs="SimSun" w:hint="eastAsia"/>
          <w:sz w:val="24"/>
          <w:szCs w:val="24"/>
          <w:lang w:eastAsia="zh-CN"/>
        </w:rPr>
        <w:t>上，缔约方大会通过了决定草案</w:t>
      </w:r>
      <w:r w:rsidRPr="009A4B0B">
        <w:rPr>
          <w:rFonts w:hAnsi="SimSun"/>
          <w:sz w:val="24"/>
          <w:szCs w:val="24"/>
          <w:lang w:eastAsia="zh-CN"/>
        </w:rPr>
        <w:t>CBD/COP/14/L.</w:t>
      </w:r>
      <w:r>
        <w:rPr>
          <w:rFonts w:hAnsi="SimSun"/>
          <w:sz w:val="24"/>
          <w:szCs w:val="24"/>
          <w:lang w:eastAsia="zh-CN"/>
        </w:rPr>
        <w:t>32</w:t>
      </w:r>
      <w:r w:rsidRPr="009A4B0B">
        <w:rPr>
          <w:rFonts w:ascii="SimSun" w:eastAsia="SimSun" w:hAnsi="SimSun" w:cs="SimSun" w:hint="eastAsia"/>
          <w:sz w:val="24"/>
          <w:szCs w:val="24"/>
          <w:lang w:eastAsia="zh-CN"/>
        </w:rPr>
        <w:t>，成为第</w:t>
      </w:r>
      <w:r w:rsidRPr="009A4B0B">
        <w:rPr>
          <w:rFonts w:eastAsia="SimSun"/>
          <w:sz w:val="24"/>
          <w:szCs w:val="24"/>
          <w:lang w:eastAsia="zh-CN"/>
        </w:rPr>
        <w:t>14</w:t>
      </w:r>
      <w:r w:rsidRPr="009A4B0B">
        <w:rPr>
          <w:sz w:val="24"/>
          <w:szCs w:val="24"/>
          <w:lang w:eastAsia="zh-CN"/>
        </w:rPr>
        <w:t>/</w:t>
      </w:r>
      <w:r>
        <w:rPr>
          <w:sz w:val="24"/>
          <w:szCs w:val="24"/>
          <w:lang w:eastAsia="zh-CN"/>
        </w:rPr>
        <w:t>31</w:t>
      </w:r>
      <w:r w:rsidRPr="009A4B0B">
        <w:rPr>
          <w:rFonts w:ascii="SimSun" w:eastAsia="SimSun" w:hAnsi="SimSun" w:cs="SimSun" w:hint="eastAsia"/>
          <w:sz w:val="24"/>
          <w:szCs w:val="24"/>
          <w:lang w:eastAsia="zh-CN"/>
        </w:rPr>
        <w:t>号决定</w:t>
      </w:r>
      <w:r w:rsidRPr="009A4B0B">
        <w:rPr>
          <w:rFonts w:eastAsia="SimSun"/>
          <w:sz w:val="24"/>
          <w:szCs w:val="24"/>
          <w:lang w:val="en-US" w:eastAsia="zh-CN"/>
        </w:rPr>
        <w:t>（</w:t>
      </w:r>
      <w:r w:rsidRPr="009A4B0B">
        <w:rPr>
          <w:rFonts w:eastAsia="SimSun" w:hint="eastAsia"/>
          <w:sz w:val="24"/>
          <w:szCs w:val="24"/>
          <w:lang w:eastAsia="zh-CN"/>
        </w:rPr>
        <w:t>案文见</w:t>
      </w:r>
      <w:r w:rsidRPr="009A4B0B">
        <w:rPr>
          <w:rFonts w:eastAsia="SimSun"/>
          <w:sz w:val="24"/>
          <w:szCs w:val="24"/>
          <w:lang w:eastAsia="zh-CN"/>
        </w:rPr>
        <w:t>第一章</w:t>
      </w:r>
      <w:r w:rsidRPr="009A4B0B">
        <w:rPr>
          <w:rFonts w:eastAsia="SimSun" w:hint="eastAsia"/>
          <w:sz w:val="24"/>
          <w:szCs w:val="24"/>
          <w:lang w:eastAsia="zh-CN"/>
        </w:rPr>
        <w:t>）。</w:t>
      </w:r>
    </w:p>
    <w:p w:rsidR="008D76BF" w:rsidRPr="00C625A0" w:rsidRDefault="008D76BF" w:rsidP="00A434BF">
      <w:pPr>
        <w:pStyle w:val="Para1"/>
        <w:tabs>
          <w:tab w:val="clear" w:pos="360"/>
          <w:tab w:val="left" w:pos="720"/>
        </w:tabs>
        <w:snapToGrid w:val="0"/>
        <w:spacing w:before="160" w:after="160"/>
        <w:ind w:firstLine="0"/>
        <w:jc w:val="center"/>
        <w:rPr>
          <w:rFonts w:eastAsia="KaiTi"/>
          <w:sz w:val="24"/>
          <w:szCs w:val="24"/>
          <w:lang w:eastAsia="zh-CN"/>
        </w:rPr>
      </w:pPr>
      <w:r w:rsidRPr="00C625A0">
        <w:rPr>
          <w:rFonts w:eastAsia="KaiTi" w:hint="eastAsia"/>
          <w:sz w:val="24"/>
          <w:szCs w:val="24"/>
          <w:lang w:eastAsia="zh-CN"/>
        </w:rPr>
        <w:t>《公约》及其《议定书》工作中将第</w:t>
      </w:r>
      <w:r w:rsidRPr="00C625A0">
        <w:rPr>
          <w:rFonts w:eastAsia="KaiTi"/>
          <w:sz w:val="24"/>
          <w:szCs w:val="24"/>
          <w:lang w:eastAsia="zh-CN"/>
        </w:rPr>
        <w:t>8</w:t>
      </w:r>
      <w:r w:rsidRPr="00C625A0">
        <w:rPr>
          <w:rFonts w:eastAsia="KaiTi" w:hint="eastAsia"/>
          <w:sz w:val="24"/>
          <w:szCs w:val="24"/>
          <w:lang w:eastAsia="zh-CN"/>
        </w:rPr>
        <w:t>（</w:t>
      </w:r>
      <w:r w:rsidRPr="00C625A0">
        <w:rPr>
          <w:rFonts w:eastAsia="KaiTi"/>
          <w:sz w:val="24"/>
          <w:szCs w:val="24"/>
          <w:lang w:eastAsia="zh-CN"/>
        </w:rPr>
        <w:t>j</w:t>
      </w:r>
      <w:r w:rsidRPr="00C625A0">
        <w:rPr>
          <w:rFonts w:eastAsia="KaiTi" w:hint="eastAsia"/>
          <w:sz w:val="24"/>
          <w:szCs w:val="24"/>
          <w:lang w:eastAsia="zh-CN"/>
        </w:rPr>
        <w:t>）条和与土著人民和地方社区有关条款一体化</w:t>
      </w:r>
    </w:p>
    <w:p w:rsidR="008D76BF" w:rsidRPr="00C625A0" w:rsidRDefault="008D76BF" w:rsidP="00750ECD">
      <w:pPr>
        <w:pStyle w:val="Para1"/>
        <w:numPr>
          <w:ilvl w:val="0"/>
          <w:numId w:val="9"/>
        </w:numPr>
        <w:tabs>
          <w:tab w:val="clear" w:pos="360"/>
          <w:tab w:val="left" w:pos="720"/>
        </w:tabs>
        <w:ind w:firstLine="0"/>
        <w:rPr>
          <w:rFonts w:hAnsi="SimSun"/>
          <w:sz w:val="24"/>
          <w:szCs w:val="24"/>
          <w:lang w:eastAsia="zh-CN"/>
        </w:rPr>
      </w:pPr>
      <w:r w:rsidRPr="00C625A0">
        <w:rPr>
          <w:rFonts w:ascii="SimSun" w:eastAsia="SimSun" w:hAnsi="SimSun" w:cs="SimSun" w:hint="eastAsia"/>
          <w:sz w:val="24"/>
          <w:szCs w:val="24"/>
          <w:lang w:eastAsia="zh-CN"/>
        </w:rPr>
        <w:t>第二工作组在</w:t>
      </w:r>
      <w:r w:rsidRPr="00C625A0">
        <w:rPr>
          <w:rFonts w:hAnsi="SimSun"/>
          <w:sz w:val="24"/>
          <w:szCs w:val="24"/>
          <w:lang w:eastAsia="zh-CN"/>
        </w:rPr>
        <w:t>2018</w:t>
      </w:r>
      <w:r w:rsidRPr="00C625A0">
        <w:rPr>
          <w:rFonts w:ascii="SimSun" w:eastAsia="SimSun" w:hAnsi="SimSun" w:cs="SimSun" w:hint="eastAsia"/>
          <w:sz w:val="24"/>
          <w:szCs w:val="24"/>
          <w:lang w:eastAsia="zh-CN"/>
        </w:rPr>
        <w:t>年</w:t>
      </w:r>
      <w:r w:rsidRPr="00C625A0">
        <w:rPr>
          <w:rFonts w:hAnsi="SimSun"/>
          <w:sz w:val="24"/>
          <w:szCs w:val="24"/>
          <w:lang w:eastAsia="zh-CN"/>
        </w:rPr>
        <w:t>11</w:t>
      </w:r>
      <w:r w:rsidRPr="00C625A0">
        <w:rPr>
          <w:rFonts w:ascii="SimSun" w:eastAsia="SimSun" w:hAnsi="SimSun" w:cs="SimSun" w:hint="eastAsia"/>
          <w:sz w:val="24"/>
          <w:szCs w:val="24"/>
          <w:lang w:eastAsia="zh-CN"/>
        </w:rPr>
        <w:t>月</w:t>
      </w:r>
      <w:r w:rsidRPr="00C625A0">
        <w:rPr>
          <w:rFonts w:hAnsi="SimSun"/>
          <w:sz w:val="24"/>
          <w:szCs w:val="24"/>
          <w:lang w:eastAsia="zh-CN"/>
        </w:rPr>
        <w:t>20</w:t>
      </w:r>
      <w:r w:rsidRPr="00C625A0">
        <w:rPr>
          <w:rFonts w:ascii="SimSun" w:eastAsia="SimSun" w:hAnsi="SimSun" w:cs="SimSun" w:hint="eastAsia"/>
          <w:sz w:val="24"/>
          <w:szCs w:val="24"/>
          <w:lang w:eastAsia="zh-CN"/>
        </w:rPr>
        <w:t>日</w:t>
      </w:r>
      <w:r w:rsidR="00363A11">
        <w:rPr>
          <w:rFonts w:ascii="SimSun" w:eastAsia="SimSun" w:hAnsi="SimSun" w:cs="SimSun" w:hint="eastAsia"/>
          <w:sz w:val="24"/>
          <w:szCs w:val="24"/>
          <w:lang w:eastAsia="zh-CN"/>
        </w:rPr>
        <w:t>其</w:t>
      </w:r>
      <w:r w:rsidRPr="00C625A0">
        <w:rPr>
          <w:rFonts w:ascii="SimSun" w:eastAsia="SimSun" w:hAnsi="SimSun" w:cs="SimSun" w:hint="eastAsia"/>
          <w:sz w:val="24"/>
          <w:szCs w:val="24"/>
          <w:lang w:eastAsia="zh-CN"/>
        </w:rPr>
        <w:t>第</w:t>
      </w:r>
      <w:r w:rsidRPr="00C625A0">
        <w:rPr>
          <w:rFonts w:hAnsi="SimSun"/>
          <w:sz w:val="24"/>
          <w:szCs w:val="24"/>
          <w:lang w:eastAsia="zh-CN"/>
        </w:rPr>
        <w:t>5</w:t>
      </w:r>
      <w:r w:rsidRPr="00C625A0">
        <w:rPr>
          <w:rFonts w:ascii="SimSun" w:eastAsia="SimSun" w:hAnsi="SimSun" w:cs="SimSun" w:hint="eastAsia"/>
          <w:sz w:val="24"/>
          <w:szCs w:val="24"/>
          <w:lang w:eastAsia="zh-CN"/>
        </w:rPr>
        <w:t>场会议上审议了议程项目</w:t>
      </w:r>
      <w:r w:rsidRPr="00C625A0">
        <w:rPr>
          <w:rFonts w:hAnsi="SimSun"/>
          <w:sz w:val="24"/>
          <w:szCs w:val="24"/>
          <w:lang w:eastAsia="zh-CN"/>
        </w:rPr>
        <w:t>13</w:t>
      </w:r>
      <w:r w:rsidRPr="00C625A0">
        <w:rPr>
          <w:rFonts w:ascii="SimSun" w:eastAsia="SimSun" w:hAnsi="SimSun" w:cs="SimSun" w:hint="eastAsia"/>
          <w:sz w:val="24"/>
          <w:szCs w:val="24"/>
          <w:lang w:eastAsia="zh-CN"/>
        </w:rPr>
        <w:t>。在审议该项目时，工作组收到了根据决定草案汇编（</w:t>
      </w:r>
      <w:r w:rsidRPr="00C625A0">
        <w:rPr>
          <w:rFonts w:hAnsi="SimSun"/>
          <w:sz w:val="24"/>
          <w:szCs w:val="24"/>
          <w:lang w:eastAsia="zh-CN"/>
        </w:rPr>
        <w:t>COP/14/2</w:t>
      </w:r>
      <w:r w:rsidRPr="00C625A0">
        <w:rPr>
          <w:rFonts w:ascii="SimSun" w:eastAsia="SimSun" w:hAnsi="SimSun" w:cs="SimSun" w:hint="eastAsia"/>
          <w:sz w:val="24"/>
          <w:szCs w:val="24"/>
          <w:lang w:eastAsia="zh-CN"/>
        </w:rPr>
        <w:t>）所载的科咨机构第</w:t>
      </w:r>
      <w:r w:rsidRPr="00C625A0">
        <w:rPr>
          <w:rFonts w:hAnsi="SimSun"/>
          <w:sz w:val="24"/>
          <w:szCs w:val="24"/>
          <w:lang w:eastAsia="zh-CN"/>
        </w:rPr>
        <w:t>2/16</w:t>
      </w:r>
      <w:r w:rsidRPr="00C625A0">
        <w:rPr>
          <w:rFonts w:ascii="SimSun" w:eastAsia="SimSun" w:hAnsi="SimSun" w:cs="SimSun" w:hint="eastAsia"/>
          <w:sz w:val="24"/>
          <w:szCs w:val="24"/>
          <w:lang w:eastAsia="zh-CN"/>
        </w:rPr>
        <w:t>号建议编制的决定草案。</w:t>
      </w:r>
    </w:p>
    <w:p w:rsidR="008D76BF" w:rsidRPr="00C625A0" w:rsidRDefault="008D76BF" w:rsidP="00750ECD">
      <w:pPr>
        <w:pStyle w:val="Para1"/>
        <w:numPr>
          <w:ilvl w:val="0"/>
          <w:numId w:val="9"/>
        </w:numPr>
        <w:tabs>
          <w:tab w:val="clear" w:pos="360"/>
          <w:tab w:val="left" w:pos="720"/>
        </w:tabs>
        <w:ind w:firstLine="0"/>
        <w:rPr>
          <w:rFonts w:hAnsi="SimSun"/>
          <w:sz w:val="24"/>
          <w:szCs w:val="24"/>
          <w:lang w:eastAsia="zh-CN"/>
        </w:rPr>
      </w:pPr>
      <w:r w:rsidRPr="00C625A0">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C625A0">
        <w:rPr>
          <w:rFonts w:ascii="SimSun" w:eastAsia="SimSun" w:hAnsi="SimSun" w:cs="SimSun" w:hint="eastAsia"/>
          <w:sz w:val="24"/>
          <w:szCs w:val="24"/>
          <w:lang w:eastAsia="zh-CN"/>
        </w:rPr>
        <w:t>：多民族玻利维亚国、哥伦比亚、哥斯达黎加、欧洲联盟及其</w:t>
      </w:r>
      <w:r w:rsidRPr="00C625A0">
        <w:rPr>
          <w:rFonts w:hAnsi="SimSun"/>
          <w:sz w:val="24"/>
          <w:szCs w:val="24"/>
          <w:lang w:eastAsia="zh-CN"/>
        </w:rPr>
        <w:t>28</w:t>
      </w:r>
      <w:r w:rsidRPr="00C625A0">
        <w:rPr>
          <w:rFonts w:ascii="SimSun" w:eastAsia="SimSun" w:hAnsi="SimSun" w:cs="SimSun" w:hint="eastAsia"/>
          <w:sz w:val="24"/>
          <w:szCs w:val="24"/>
          <w:lang w:eastAsia="zh-CN"/>
        </w:rPr>
        <w:t>个成员国、危地马拉、墨西哥、摩洛哥、菲律宾和委内瑞拉玻利瓦尔共和国。</w:t>
      </w:r>
    </w:p>
    <w:p w:rsidR="008D76BF" w:rsidRPr="00C625A0" w:rsidRDefault="008D76BF" w:rsidP="00750ECD">
      <w:pPr>
        <w:pStyle w:val="Para1"/>
        <w:numPr>
          <w:ilvl w:val="0"/>
          <w:numId w:val="9"/>
        </w:numPr>
        <w:tabs>
          <w:tab w:val="clear" w:pos="360"/>
          <w:tab w:val="left" w:pos="720"/>
        </w:tabs>
        <w:ind w:firstLine="0"/>
        <w:rPr>
          <w:rFonts w:hAnsi="SimSun"/>
          <w:sz w:val="24"/>
          <w:szCs w:val="24"/>
          <w:lang w:eastAsia="zh-CN"/>
        </w:rPr>
      </w:pPr>
      <w:r w:rsidRPr="00C625A0">
        <w:rPr>
          <w:rFonts w:ascii="SimSun" w:eastAsia="SimSun" w:hAnsi="SimSun" w:cs="SimSun" w:hint="eastAsia"/>
          <w:sz w:val="24"/>
          <w:szCs w:val="24"/>
          <w:lang w:eastAsia="zh-CN"/>
        </w:rPr>
        <w:t>世界知识产权组织的代表作了进一步发言。</w:t>
      </w:r>
    </w:p>
    <w:p w:rsidR="008D76BF" w:rsidRPr="00C625A0" w:rsidRDefault="008D76BF" w:rsidP="00750ECD">
      <w:pPr>
        <w:pStyle w:val="Para1"/>
        <w:numPr>
          <w:ilvl w:val="0"/>
          <w:numId w:val="9"/>
        </w:numPr>
        <w:tabs>
          <w:tab w:val="clear" w:pos="360"/>
          <w:tab w:val="left" w:pos="720"/>
        </w:tabs>
        <w:ind w:firstLine="0"/>
        <w:rPr>
          <w:rFonts w:hAnsi="SimSun"/>
          <w:sz w:val="24"/>
          <w:szCs w:val="24"/>
          <w:lang w:eastAsia="zh-CN"/>
        </w:rPr>
      </w:pPr>
      <w:r w:rsidRPr="00C625A0">
        <w:rPr>
          <w:rFonts w:ascii="SimSun" w:eastAsia="SimSun" w:hAnsi="SimSun" w:cs="SimSun" w:hint="eastAsia"/>
          <w:sz w:val="24"/>
          <w:szCs w:val="24"/>
          <w:lang w:eastAsia="zh-CN"/>
        </w:rPr>
        <w:t>生物多样性问题国际土著论坛的代表（得到了多民族玻利维亚国和巴西的支持）和国际捕鲸委员会的代表也</w:t>
      </w:r>
      <w:r w:rsidR="006952B0">
        <w:rPr>
          <w:rFonts w:ascii="SimSun" w:eastAsia="SimSun" w:hAnsi="SimSun" w:cs="SimSun" w:hint="eastAsia"/>
          <w:sz w:val="24"/>
          <w:szCs w:val="24"/>
          <w:lang w:eastAsia="zh-CN"/>
        </w:rPr>
        <w:t>作了发言</w:t>
      </w:r>
      <w:r w:rsidRPr="00C625A0">
        <w:rPr>
          <w:rFonts w:ascii="SimSun" w:eastAsia="SimSun" w:hAnsi="SimSun" w:cs="SimSun" w:hint="eastAsia"/>
          <w:sz w:val="24"/>
          <w:szCs w:val="24"/>
          <w:lang w:eastAsia="zh-CN"/>
        </w:rPr>
        <w:t>。</w:t>
      </w:r>
    </w:p>
    <w:p w:rsidR="008D76BF" w:rsidRPr="00C625A0" w:rsidRDefault="008D76BF" w:rsidP="00750ECD">
      <w:pPr>
        <w:pStyle w:val="Para1"/>
        <w:numPr>
          <w:ilvl w:val="0"/>
          <w:numId w:val="9"/>
        </w:numPr>
        <w:tabs>
          <w:tab w:val="clear" w:pos="360"/>
          <w:tab w:val="left" w:pos="720"/>
        </w:tabs>
        <w:ind w:firstLine="0"/>
        <w:rPr>
          <w:rFonts w:hAnsi="SimSun"/>
          <w:sz w:val="24"/>
          <w:szCs w:val="24"/>
          <w:lang w:eastAsia="zh-CN"/>
        </w:rPr>
      </w:pPr>
      <w:r w:rsidRPr="00C625A0">
        <w:rPr>
          <w:rFonts w:ascii="SimSun" w:eastAsia="SimSun" w:hAnsi="SimSun" w:cs="SimSun" w:hint="eastAsia"/>
          <w:sz w:val="24"/>
          <w:szCs w:val="24"/>
          <w:lang w:eastAsia="zh-CN"/>
        </w:rPr>
        <w:lastRenderedPageBreak/>
        <w:t>经交换意见后，主席表示，她将编写一份决定草案供工作组审议，同时顾及口头表达和书面提出的意见。</w:t>
      </w:r>
    </w:p>
    <w:p w:rsidR="008D76BF" w:rsidRPr="00C625A0" w:rsidRDefault="006B2851"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C625A0">
        <w:rPr>
          <w:rFonts w:ascii="SimSun" w:eastAsia="SimSun" w:hAnsi="SimSun" w:cs="SimSun" w:hint="eastAsia"/>
          <w:sz w:val="24"/>
          <w:szCs w:val="24"/>
          <w:lang w:eastAsia="zh-CN"/>
        </w:rPr>
        <w:t>在</w:t>
      </w:r>
      <w:r w:rsidR="008D76BF" w:rsidRPr="00C625A0">
        <w:rPr>
          <w:rFonts w:hAnsi="SimSun"/>
          <w:sz w:val="24"/>
          <w:szCs w:val="24"/>
          <w:lang w:eastAsia="zh-CN"/>
        </w:rPr>
        <w:t>2018</w:t>
      </w:r>
      <w:r w:rsidR="008D76BF" w:rsidRPr="00C625A0">
        <w:rPr>
          <w:rFonts w:ascii="SimSun" w:eastAsia="SimSun" w:hAnsi="SimSun" w:cs="SimSun" w:hint="eastAsia"/>
          <w:sz w:val="24"/>
          <w:szCs w:val="24"/>
          <w:lang w:eastAsia="zh-CN"/>
        </w:rPr>
        <w:t>年</w:t>
      </w:r>
      <w:r w:rsidR="008D76BF" w:rsidRPr="00C625A0">
        <w:rPr>
          <w:rFonts w:hAnsi="SimSun"/>
          <w:sz w:val="24"/>
          <w:szCs w:val="24"/>
          <w:lang w:eastAsia="zh-CN"/>
        </w:rPr>
        <w:t>11</w:t>
      </w:r>
      <w:r w:rsidR="008D76BF" w:rsidRPr="00C625A0">
        <w:rPr>
          <w:rFonts w:ascii="SimSun" w:eastAsia="SimSun" w:hAnsi="SimSun" w:cs="SimSun" w:hint="eastAsia"/>
          <w:sz w:val="24"/>
          <w:szCs w:val="24"/>
          <w:lang w:eastAsia="zh-CN"/>
        </w:rPr>
        <w:t>月</w:t>
      </w:r>
      <w:r w:rsidR="008D76BF" w:rsidRPr="00C625A0">
        <w:rPr>
          <w:rFonts w:hAnsi="SimSun"/>
          <w:sz w:val="24"/>
          <w:szCs w:val="24"/>
          <w:lang w:eastAsia="zh-CN"/>
        </w:rPr>
        <w:t>27</w:t>
      </w:r>
      <w:r w:rsidR="008D76BF" w:rsidRPr="00C625A0">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C625A0">
        <w:rPr>
          <w:rFonts w:ascii="SimSun" w:eastAsia="SimSun" w:hAnsi="SimSun" w:cs="SimSun" w:hint="eastAsia"/>
          <w:sz w:val="24"/>
          <w:szCs w:val="24"/>
          <w:lang w:eastAsia="zh-CN"/>
        </w:rPr>
        <w:t>第</w:t>
      </w:r>
      <w:r w:rsidR="008D76BF" w:rsidRPr="00C625A0">
        <w:rPr>
          <w:rFonts w:hAnsi="SimSun"/>
          <w:sz w:val="24"/>
          <w:szCs w:val="24"/>
          <w:lang w:eastAsia="zh-CN"/>
        </w:rPr>
        <w:t>14</w:t>
      </w:r>
      <w:r w:rsidR="008D76BF" w:rsidRPr="00C625A0">
        <w:rPr>
          <w:rFonts w:ascii="SimSun" w:eastAsia="SimSun" w:hAnsi="SimSun" w:cs="SimSun" w:hint="eastAsia"/>
          <w:sz w:val="24"/>
          <w:szCs w:val="24"/>
          <w:lang w:eastAsia="zh-CN"/>
        </w:rPr>
        <w:t>场会议上审议了主席提交的订正决定草案。</w:t>
      </w:r>
    </w:p>
    <w:p w:rsidR="008D76BF" w:rsidRPr="00C625A0" w:rsidRDefault="008D76BF" w:rsidP="00750ECD">
      <w:pPr>
        <w:pStyle w:val="Para1"/>
        <w:numPr>
          <w:ilvl w:val="0"/>
          <w:numId w:val="9"/>
        </w:numPr>
        <w:tabs>
          <w:tab w:val="clear" w:pos="360"/>
          <w:tab w:val="left" w:pos="720"/>
        </w:tabs>
        <w:ind w:firstLine="0"/>
        <w:rPr>
          <w:rFonts w:hAnsi="SimSun"/>
          <w:sz w:val="24"/>
          <w:szCs w:val="24"/>
          <w:lang w:eastAsia="zh-CN"/>
        </w:rPr>
      </w:pPr>
      <w:r w:rsidRPr="00C625A0">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C625A0">
        <w:rPr>
          <w:rFonts w:ascii="SimSun" w:eastAsia="SimSun" w:hAnsi="SimSun" w:cs="SimSun" w:hint="eastAsia"/>
          <w:sz w:val="24"/>
          <w:szCs w:val="24"/>
          <w:lang w:eastAsia="zh-CN"/>
        </w:rPr>
        <w:t>：巴西、欧洲联盟及其</w:t>
      </w:r>
      <w:r w:rsidRPr="00C625A0">
        <w:rPr>
          <w:rFonts w:hAnsi="SimSun"/>
          <w:sz w:val="24"/>
          <w:szCs w:val="24"/>
          <w:lang w:eastAsia="zh-CN"/>
        </w:rPr>
        <w:t>28</w:t>
      </w:r>
      <w:r w:rsidRPr="00C625A0">
        <w:rPr>
          <w:rFonts w:ascii="SimSun" w:eastAsia="SimSun" w:hAnsi="SimSun" w:cs="SimSun" w:hint="eastAsia"/>
          <w:sz w:val="24"/>
          <w:szCs w:val="24"/>
          <w:lang w:eastAsia="zh-CN"/>
        </w:rPr>
        <w:t>个成员国和墨西哥。</w:t>
      </w:r>
    </w:p>
    <w:p w:rsidR="008D76BF" w:rsidRPr="00C625A0" w:rsidRDefault="008D76BF" w:rsidP="00750ECD">
      <w:pPr>
        <w:pStyle w:val="Para1"/>
        <w:numPr>
          <w:ilvl w:val="0"/>
          <w:numId w:val="9"/>
        </w:numPr>
        <w:tabs>
          <w:tab w:val="clear" w:pos="360"/>
          <w:tab w:val="left" w:pos="720"/>
        </w:tabs>
        <w:ind w:firstLine="0"/>
        <w:rPr>
          <w:rFonts w:hAnsi="SimSun"/>
          <w:sz w:val="24"/>
          <w:szCs w:val="24"/>
          <w:lang w:eastAsia="zh-CN"/>
        </w:rPr>
      </w:pPr>
      <w:r w:rsidRPr="00C625A0">
        <w:rPr>
          <w:rFonts w:ascii="SimSun" w:eastAsia="SimSun" w:hAnsi="SimSun" w:cs="SimSun" w:hint="eastAsia"/>
          <w:sz w:val="24"/>
          <w:szCs w:val="24"/>
          <w:lang w:eastAsia="zh-CN"/>
        </w:rPr>
        <w:t>经交换意见后，经口头修正的决定草案获得核准，作为决定草案</w:t>
      </w:r>
      <w:r w:rsidRPr="00C625A0">
        <w:rPr>
          <w:rFonts w:hAnsi="SimSun"/>
          <w:sz w:val="24"/>
          <w:szCs w:val="24"/>
          <w:lang w:eastAsia="zh-CN"/>
        </w:rPr>
        <w:t>CBD/COP/14/L.25</w:t>
      </w:r>
      <w:r w:rsidRPr="00C625A0">
        <w:rPr>
          <w:rFonts w:ascii="SimSun" w:eastAsia="SimSun" w:hAnsi="SimSun" w:cs="SimSun" w:hint="eastAsia"/>
          <w:sz w:val="24"/>
          <w:szCs w:val="24"/>
          <w:lang w:eastAsia="zh-CN"/>
        </w:rPr>
        <w:t>转交全体会议。</w:t>
      </w:r>
    </w:p>
    <w:p w:rsidR="008D76BF" w:rsidRPr="009A4B0B" w:rsidRDefault="009A4B0B" w:rsidP="004D0EEE">
      <w:pPr>
        <w:pStyle w:val="Para1"/>
        <w:numPr>
          <w:ilvl w:val="0"/>
          <w:numId w:val="9"/>
        </w:numPr>
        <w:tabs>
          <w:tab w:val="clear" w:pos="360"/>
          <w:tab w:val="left" w:pos="720"/>
        </w:tabs>
        <w:ind w:firstLine="0"/>
        <w:rPr>
          <w:rFonts w:hAnsi="SimSun"/>
          <w:sz w:val="24"/>
          <w:szCs w:val="24"/>
          <w:lang w:eastAsia="zh-CN"/>
        </w:rPr>
      </w:pPr>
      <w:r w:rsidRPr="009A4B0B">
        <w:rPr>
          <w:rFonts w:ascii="SimSun" w:eastAsia="SimSun" w:hAnsi="SimSun" w:cs="SimSun" w:hint="eastAsia"/>
          <w:sz w:val="24"/>
          <w:szCs w:val="24"/>
          <w:lang w:eastAsia="zh-CN"/>
        </w:rPr>
        <w:t>在</w:t>
      </w:r>
      <w:r w:rsidRPr="009A4B0B">
        <w:rPr>
          <w:rFonts w:hAnsi="SimSun"/>
          <w:sz w:val="24"/>
          <w:szCs w:val="24"/>
          <w:lang w:eastAsia="zh-CN"/>
        </w:rPr>
        <w:t>2018</w:t>
      </w:r>
      <w:r w:rsidRPr="009A4B0B">
        <w:rPr>
          <w:rFonts w:ascii="SimSun" w:eastAsia="SimSun" w:hAnsi="SimSun" w:cs="SimSun" w:hint="eastAsia"/>
          <w:sz w:val="24"/>
          <w:szCs w:val="24"/>
          <w:lang w:eastAsia="zh-CN"/>
        </w:rPr>
        <w:t>年</w:t>
      </w:r>
      <w:r w:rsidRPr="009A4B0B">
        <w:rPr>
          <w:rFonts w:hAnsi="SimSun"/>
          <w:sz w:val="24"/>
          <w:szCs w:val="24"/>
          <w:lang w:eastAsia="zh-CN"/>
        </w:rPr>
        <w:t>11</w:t>
      </w:r>
      <w:r w:rsidRPr="009A4B0B">
        <w:rPr>
          <w:rFonts w:ascii="SimSun" w:eastAsia="SimSun" w:hAnsi="SimSun" w:cs="SimSun" w:hint="eastAsia"/>
          <w:sz w:val="24"/>
          <w:szCs w:val="24"/>
          <w:lang w:eastAsia="zh-CN"/>
        </w:rPr>
        <w:t>月</w:t>
      </w:r>
      <w:r w:rsidRPr="009A4B0B">
        <w:rPr>
          <w:rFonts w:hAnsi="SimSun"/>
          <w:sz w:val="24"/>
          <w:szCs w:val="24"/>
          <w:lang w:eastAsia="zh-CN"/>
        </w:rPr>
        <w:t>29</w:t>
      </w:r>
      <w:r w:rsidR="00363A11">
        <w:rPr>
          <w:rFonts w:ascii="SimSun" w:eastAsia="SimSun" w:hAnsi="SimSun" w:cs="SimSun" w:hint="eastAsia"/>
          <w:sz w:val="24"/>
          <w:szCs w:val="24"/>
          <w:lang w:eastAsia="zh-CN"/>
        </w:rPr>
        <w:t>日会议的</w:t>
      </w:r>
      <w:r w:rsidRPr="009A4B0B">
        <w:rPr>
          <w:rFonts w:ascii="SimSun" w:eastAsia="SimSun" w:hAnsi="SimSun" w:cs="SimSun" w:hint="eastAsia"/>
          <w:sz w:val="24"/>
          <w:szCs w:val="24"/>
          <w:lang w:eastAsia="zh-CN"/>
        </w:rPr>
        <w:t>第</w:t>
      </w:r>
      <w:r w:rsidRPr="009A4B0B">
        <w:rPr>
          <w:rFonts w:hAnsi="SimSun"/>
          <w:sz w:val="24"/>
          <w:szCs w:val="24"/>
          <w:lang w:eastAsia="zh-CN"/>
        </w:rPr>
        <w:t>7</w:t>
      </w:r>
      <w:r w:rsidR="00B45641">
        <w:rPr>
          <w:rFonts w:ascii="SimSun" w:eastAsia="SimSun" w:hAnsi="SimSun" w:cs="SimSun" w:hint="eastAsia"/>
          <w:sz w:val="24"/>
          <w:szCs w:val="24"/>
          <w:lang w:eastAsia="zh-CN"/>
        </w:rPr>
        <w:t>次全体会议</w:t>
      </w:r>
      <w:r w:rsidRPr="009A4B0B">
        <w:rPr>
          <w:rFonts w:ascii="SimSun" w:eastAsia="SimSun" w:hAnsi="SimSun" w:cs="SimSun" w:hint="eastAsia"/>
          <w:sz w:val="24"/>
          <w:szCs w:val="24"/>
          <w:lang w:eastAsia="zh-CN"/>
        </w:rPr>
        <w:t>上，缔约方大会通过了决定草案</w:t>
      </w:r>
      <w:r w:rsidRPr="009A4B0B">
        <w:rPr>
          <w:rFonts w:hAnsi="SimSun"/>
          <w:sz w:val="24"/>
          <w:szCs w:val="24"/>
          <w:lang w:eastAsia="zh-CN"/>
        </w:rPr>
        <w:t>CBD/COP/14/L.</w:t>
      </w:r>
      <w:r>
        <w:rPr>
          <w:rFonts w:hAnsi="SimSun"/>
          <w:sz w:val="24"/>
          <w:szCs w:val="24"/>
          <w:lang w:eastAsia="zh-CN"/>
        </w:rPr>
        <w:t>25</w:t>
      </w:r>
      <w:r w:rsidRPr="009A4B0B">
        <w:rPr>
          <w:rFonts w:ascii="SimSun" w:eastAsia="SimSun" w:hAnsi="SimSun" w:cs="SimSun" w:hint="eastAsia"/>
          <w:sz w:val="24"/>
          <w:szCs w:val="24"/>
          <w:lang w:eastAsia="zh-CN"/>
        </w:rPr>
        <w:t>，成为第</w:t>
      </w:r>
      <w:r w:rsidRPr="009A4B0B">
        <w:rPr>
          <w:rFonts w:eastAsia="SimSun"/>
          <w:sz w:val="24"/>
          <w:szCs w:val="24"/>
          <w:lang w:eastAsia="zh-CN"/>
        </w:rPr>
        <w:t>14</w:t>
      </w:r>
      <w:r w:rsidRPr="009A4B0B">
        <w:rPr>
          <w:sz w:val="24"/>
          <w:szCs w:val="24"/>
          <w:lang w:eastAsia="zh-CN"/>
        </w:rPr>
        <w:t>/</w:t>
      </w:r>
      <w:r>
        <w:rPr>
          <w:sz w:val="24"/>
          <w:szCs w:val="24"/>
          <w:lang w:eastAsia="zh-CN"/>
        </w:rPr>
        <w:t>17</w:t>
      </w:r>
      <w:r w:rsidRPr="009A4B0B">
        <w:rPr>
          <w:rFonts w:ascii="SimSun" w:eastAsia="SimSun" w:hAnsi="SimSun" w:cs="SimSun" w:hint="eastAsia"/>
          <w:sz w:val="24"/>
          <w:szCs w:val="24"/>
          <w:lang w:eastAsia="zh-CN"/>
        </w:rPr>
        <w:t>号决定</w:t>
      </w:r>
      <w:r w:rsidRPr="009A4B0B">
        <w:rPr>
          <w:rFonts w:eastAsia="SimSun"/>
          <w:sz w:val="24"/>
          <w:szCs w:val="24"/>
          <w:lang w:val="en-US" w:eastAsia="zh-CN"/>
        </w:rPr>
        <w:t>（</w:t>
      </w:r>
      <w:r w:rsidRPr="009A4B0B">
        <w:rPr>
          <w:rFonts w:eastAsia="SimSun" w:hint="eastAsia"/>
          <w:sz w:val="24"/>
          <w:szCs w:val="24"/>
          <w:lang w:eastAsia="zh-CN"/>
        </w:rPr>
        <w:t>案文见</w:t>
      </w:r>
      <w:r w:rsidRPr="009A4B0B">
        <w:rPr>
          <w:rFonts w:eastAsia="SimSun"/>
          <w:sz w:val="24"/>
          <w:szCs w:val="24"/>
          <w:lang w:eastAsia="zh-CN"/>
        </w:rPr>
        <w:t>第一章</w:t>
      </w:r>
      <w:r w:rsidRPr="009A4B0B">
        <w:rPr>
          <w:rFonts w:eastAsia="SimSun" w:hint="eastAsia"/>
          <w:sz w:val="24"/>
          <w:szCs w:val="24"/>
          <w:lang w:eastAsia="zh-CN"/>
        </w:rPr>
        <w:t>）。</w:t>
      </w:r>
    </w:p>
    <w:p w:rsidR="008D76BF" w:rsidRPr="00F17640" w:rsidRDefault="008D76BF" w:rsidP="00F17640">
      <w:pPr>
        <w:pStyle w:val="Heading1"/>
        <w:spacing w:before="120" w:after="120"/>
        <w:ind w:firstLine="0"/>
        <w:rPr>
          <w:sz w:val="24"/>
          <w:szCs w:val="24"/>
          <w:lang w:eastAsia="zh-CN"/>
        </w:rPr>
      </w:pPr>
      <w:r w:rsidRPr="00F17640">
        <w:rPr>
          <w:rFonts w:hint="eastAsia"/>
          <w:sz w:val="24"/>
          <w:szCs w:val="24"/>
          <w:lang w:eastAsia="zh-CN"/>
        </w:rPr>
        <w:t>项目</w:t>
      </w:r>
      <w:r w:rsidRPr="00F17640">
        <w:rPr>
          <w:sz w:val="24"/>
          <w:szCs w:val="24"/>
          <w:lang w:eastAsia="zh-CN"/>
        </w:rPr>
        <w:t xml:space="preserve">14.    </w:t>
      </w:r>
      <w:r w:rsidR="00366699" w:rsidRPr="00F17640">
        <w:rPr>
          <w:sz w:val="24"/>
          <w:szCs w:val="24"/>
          <w:lang w:eastAsia="zh-CN"/>
        </w:rPr>
        <w:t xml:space="preserve">  </w:t>
      </w:r>
      <w:r w:rsidRPr="00F17640">
        <w:rPr>
          <w:rFonts w:hint="eastAsia"/>
          <w:sz w:val="24"/>
          <w:szCs w:val="24"/>
          <w:lang w:eastAsia="zh-CN"/>
        </w:rPr>
        <w:t>与其他公约、国际组织和倡议的合作</w:t>
      </w:r>
    </w:p>
    <w:p w:rsidR="008D76BF" w:rsidRPr="008B7CC9" w:rsidRDefault="008D76BF" w:rsidP="00750ECD">
      <w:pPr>
        <w:pStyle w:val="Para1"/>
        <w:numPr>
          <w:ilvl w:val="0"/>
          <w:numId w:val="9"/>
        </w:numPr>
        <w:tabs>
          <w:tab w:val="clear" w:pos="360"/>
          <w:tab w:val="left" w:pos="720"/>
        </w:tabs>
        <w:ind w:firstLine="0"/>
        <w:rPr>
          <w:rFonts w:hAnsi="SimSun"/>
          <w:sz w:val="24"/>
          <w:szCs w:val="24"/>
          <w:lang w:eastAsia="zh-CN"/>
        </w:rPr>
      </w:pPr>
      <w:r w:rsidRPr="008B7CC9">
        <w:rPr>
          <w:rFonts w:ascii="SimSun" w:eastAsia="SimSun" w:hAnsi="SimSun" w:cs="SimSun" w:hint="eastAsia"/>
          <w:sz w:val="24"/>
          <w:szCs w:val="24"/>
          <w:lang w:eastAsia="zh-CN"/>
        </w:rPr>
        <w:t>第一工作组在</w:t>
      </w:r>
      <w:r w:rsidRPr="008B7CC9">
        <w:rPr>
          <w:rFonts w:hAnsi="SimSun"/>
          <w:sz w:val="24"/>
          <w:szCs w:val="24"/>
          <w:lang w:eastAsia="zh-CN"/>
        </w:rPr>
        <w:t>2018</w:t>
      </w:r>
      <w:r w:rsidRPr="008B7CC9">
        <w:rPr>
          <w:rFonts w:ascii="SimSun" w:eastAsia="SimSun" w:hAnsi="SimSun" w:cs="SimSun" w:hint="eastAsia"/>
          <w:sz w:val="24"/>
          <w:szCs w:val="24"/>
          <w:lang w:eastAsia="zh-CN"/>
        </w:rPr>
        <w:t>年</w:t>
      </w:r>
      <w:r w:rsidRPr="008B7CC9">
        <w:rPr>
          <w:rFonts w:hAnsi="SimSun"/>
          <w:sz w:val="24"/>
          <w:szCs w:val="24"/>
          <w:lang w:eastAsia="zh-CN"/>
        </w:rPr>
        <w:t>11</w:t>
      </w:r>
      <w:r w:rsidRPr="008B7CC9">
        <w:rPr>
          <w:rFonts w:ascii="SimSun" w:eastAsia="SimSun" w:hAnsi="SimSun" w:cs="SimSun" w:hint="eastAsia"/>
          <w:sz w:val="24"/>
          <w:szCs w:val="24"/>
          <w:lang w:eastAsia="zh-CN"/>
        </w:rPr>
        <w:t>月</w:t>
      </w:r>
      <w:r w:rsidRPr="008B7CC9">
        <w:rPr>
          <w:rFonts w:hAnsi="SimSun"/>
          <w:sz w:val="24"/>
          <w:szCs w:val="24"/>
          <w:lang w:eastAsia="zh-CN"/>
        </w:rPr>
        <w:t>21</w:t>
      </w:r>
      <w:r w:rsidRPr="008B7CC9">
        <w:rPr>
          <w:rFonts w:ascii="SimSun" w:eastAsia="SimSun" w:hAnsi="SimSun" w:cs="SimSun" w:hint="eastAsia"/>
          <w:sz w:val="24"/>
          <w:szCs w:val="24"/>
          <w:lang w:eastAsia="zh-CN"/>
        </w:rPr>
        <w:t>日的第</w:t>
      </w:r>
      <w:r w:rsidRPr="008B7CC9">
        <w:rPr>
          <w:rFonts w:hAnsi="SimSun"/>
          <w:sz w:val="24"/>
          <w:szCs w:val="24"/>
          <w:lang w:eastAsia="zh-CN"/>
        </w:rPr>
        <w:t>6</w:t>
      </w:r>
      <w:r w:rsidRPr="008B7CC9">
        <w:rPr>
          <w:rFonts w:ascii="SimSun" w:eastAsia="SimSun" w:hAnsi="SimSun" w:cs="SimSun" w:hint="eastAsia"/>
          <w:sz w:val="24"/>
          <w:szCs w:val="24"/>
          <w:lang w:eastAsia="zh-CN"/>
        </w:rPr>
        <w:t>场会议上审议了议程项目</w:t>
      </w:r>
      <w:r w:rsidRPr="008B7CC9">
        <w:rPr>
          <w:rFonts w:hAnsi="SimSun"/>
          <w:sz w:val="24"/>
          <w:szCs w:val="24"/>
          <w:lang w:eastAsia="zh-CN"/>
        </w:rPr>
        <w:t>14</w:t>
      </w:r>
      <w:r w:rsidRPr="008B7CC9">
        <w:rPr>
          <w:rFonts w:ascii="SimSun" w:eastAsia="SimSun" w:hAnsi="SimSun" w:cs="SimSun" w:hint="eastAsia"/>
          <w:sz w:val="24"/>
          <w:szCs w:val="24"/>
          <w:lang w:eastAsia="zh-CN"/>
        </w:rPr>
        <w:t>。在审议该项目时，工作组收到了根据决定草案汇编（</w:t>
      </w:r>
      <w:r w:rsidRPr="008B7CC9">
        <w:rPr>
          <w:rFonts w:hAnsi="SimSun"/>
          <w:sz w:val="24"/>
          <w:szCs w:val="24"/>
          <w:lang w:eastAsia="zh-CN"/>
        </w:rPr>
        <w:t>CBD/COP/14/2</w:t>
      </w:r>
      <w:r w:rsidRPr="008B7CC9">
        <w:rPr>
          <w:rFonts w:ascii="SimSun" w:eastAsia="SimSun" w:hAnsi="SimSun" w:cs="SimSun" w:hint="eastAsia"/>
          <w:sz w:val="24"/>
          <w:szCs w:val="24"/>
          <w:lang w:eastAsia="zh-CN"/>
        </w:rPr>
        <w:t>）所载的第</w:t>
      </w:r>
      <w:r w:rsidRPr="008B7CC9">
        <w:rPr>
          <w:rFonts w:hAnsi="SimSun"/>
          <w:sz w:val="24"/>
          <w:szCs w:val="24"/>
          <w:lang w:eastAsia="zh-CN"/>
        </w:rPr>
        <w:t>SBI-2/9</w:t>
      </w:r>
      <w:r w:rsidRPr="008B7CC9">
        <w:rPr>
          <w:rFonts w:ascii="SimSun" w:eastAsia="SimSun" w:hAnsi="SimSun" w:cs="SimSun" w:hint="eastAsia"/>
          <w:sz w:val="24"/>
          <w:szCs w:val="24"/>
          <w:lang w:eastAsia="zh-CN"/>
        </w:rPr>
        <w:t>号建议提出的决定草案。工作组还收到下列信息文件：</w:t>
      </w:r>
      <w:r w:rsidRPr="008B7CC9">
        <w:rPr>
          <w:rFonts w:hAnsi="SimSun"/>
          <w:sz w:val="24"/>
          <w:szCs w:val="24"/>
          <w:lang w:eastAsia="zh-CN"/>
        </w:rPr>
        <w:t>2017-2020</w:t>
      </w:r>
      <w:r w:rsidRPr="008B7CC9">
        <w:rPr>
          <w:rFonts w:ascii="SimSun" w:eastAsia="SimSun" w:hAnsi="SimSun" w:cs="SimSun" w:hint="eastAsia"/>
          <w:sz w:val="24"/>
          <w:szCs w:val="24"/>
          <w:lang w:eastAsia="zh-CN"/>
        </w:rPr>
        <w:t>年国际社会加强生物多样性相关公约间协同增效作用的路线图（</w:t>
      </w:r>
      <w:r w:rsidRPr="008B7CC9">
        <w:rPr>
          <w:rFonts w:hAnsi="SimSun"/>
          <w:sz w:val="24"/>
          <w:szCs w:val="24"/>
          <w:lang w:eastAsia="zh-CN"/>
        </w:rPr>
        <w:t>CBD/COP/14/INF/2</w:t>
      </w:r>
      <w:r w:rsidRPr="008B7CC9">
        <w:rPr>
          <w:rFonts w:ascii="SimSun" w:eastAsia="SimSun" w:hAnsi="SimSun" w:cs="SimSun" w:hint="eastAsia"/>
          <w:sz w:val="24"/>
          <w:szCs w:val="24"/>
          <w:lang w:eastAsia="zh-CN"/>
        </w:rPr>
        <w:t>）、通过森林景观恢复加速生物多样性承诺（</w:t>
      </w:r>
      <w:r w:rsidRPr="008B7CC9">
        <w:rPr>
          <w:rFonts w:hAnsi="SimSun"/>
          <w:sz w:val="24"/>
          <w:szCs w:val="24"/>
          <w:lang w:eastAsia="zh-CN"/>
        </w:rPr>
        <w:t>CBD/COP/14/INF/18</w:t>
      </w:r>
      <w:r w:rsidRPr="008B7CC9">
        <w:rPr>
          <w:rFonts w:ascii="SimSun" w:eastAsia="SimSun" w:hAnsi="SimSun" w:cs="SimSun" w:hint="eastAsia"/>
          <w:sz w:val="24"/>
          <w:szCs w:val="24"/>
          <w:lang w:eastAsia="zh-CN"/>
        </w:rPr>
        <w:t>）、关于与《生物多样性公约》和《生物多样性公约关于获取遗传资源以及公正公平分享利用遗传资源所产生惠益的名古屋议定书》有关的《粮食和农业植物遗传资源国际条约》近期发展情况的最新情况（</w:t>
      </w:r>
      <w:r w:rsidRPr="008B7CC9">
        <w:rPr>
          <w:rFonts w:hAnsi="SimSun"/>
          <w:sz w:val="24"/>
          <w:szCs w:val="24"/>
          <w:lang w:eastAsia="zh-CN"/>
        </w:rPr>
        <w:t>CBD/COP/14/INF/30</w:t>
      </w:r>
      <w:r w:rsidRPr="008B7CC9">
        <w:rPr>
          <w:rFonts w:ascii="SimSun" w:eastAsia="SimSun" w:hAnsi="SimSun" w:cs="SimSun" w:hint="eastAsia"/>
          <w:sz w:val="24"/>
          <w:szCs w:val="24"/>
          <w:lang w:eastAsia="zh-CN"/>
        </w:rPr>
        <w:t>）、关于保护和可持续利用土壤生物多样性国际倡议执行进展报告（</w:t>
      </w:r>
      <w:r w:rsidRPr="008B7CC9">
        <w:rPr>
          <w:rFonts w:hAnsi="SimSun"/>
          <w:sz w:val="24"/>
          <w:szCs w:val="24"/>
          <w:lang w:eastAsia="zh-CN"/>
        </w:rPr>
        <w:t>CBD/COP/14/INF/42</w:t>
      </w:r>
      <w:r w:rsidRPr="008B7CC9">
        <w:rPr>
          <w:rFonts w:ascii="SimSun" w:eastAsia="SimSun" w:hAnsi="SimSun" w:cs="SimSun" w:hint="eastAsia"/>
          <w:sz w:val="24"/>
          <w:szCs w:val="24"/>
          <w:lang w:eastAsia="zh-CN"/>
        </w:rPr>
        <w:t>），和生物多样性相关公约之间协同作用非正式咨询小组的报告（</w:t>
      </w:r>
      <w:r w:rsidRPr="008B7CC9">
        <w:rPr>
          <w:rFonts w:hAnsi="SimSun"/>
          <w:sz w:val="24"/>
          <w:szCs w:val="24"/>
          <w:lang w:eastAsia="zh-CN"/>
        </w:rPr>
        <w:t>CBD/SBI/2/INF/14</w:t>
      </w:r>
      <w:r w:rsidRPr="008B7CC9">
        <w:rPr>
          <w:rFonts w:ascii="SimSun" w:eastAsia="SimSun" w:hAnsi="SimSun" w:cs="SimSun" w:hint="eastAsia"/>
          <w:sz w:val="24"/>
          <w:szCs w:val="24"/>
          <w:lang w:eastAsia="zh-CN"/>
        </w:rPr>
        <w:t>）。</w:t>
      </w:r>
    </w:p>
    <w:p w:rsidR="008D76BF" w:rsidRPr="008B7CC9" w:rsidRDefault="008D76BF" w:rsidP="00750ECD">
      <w:pPr>
        <w:pStyle w:val="Para1"/>
        <w:numPr>
          <w:ilvl w:val="0"/>
          <w:numId w:val="9"/>
        </w:numPr>
        <w:tabs>
          <w:tab w:val="clear" w:pos="360"/>
          <w:tab w:val="left" w:pos="720"/>
        </w:tabs>
        <w:ind w:firstLine="0"/>
        <w:rPr>
          <w:rFonts w:hAnsi="SimSun"/>
          <w:sz w:val="24"/>
          <w:szCs w:val="24"/>
          <w:lang w:eastAsia="zh-CN"/>
        </w:rPr>
      </w:pPr>
      <w:r w:rsidRPr="008B7CC9">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8B7CC9">
        <w:rPr>
          <w:rFonts w:ascii="SimSun" w:eastAsia="SimSun" w:hAnsi="SimSun" w:cs="SimSun" w:hint="eastAsia"/>
          <w:sz w:val="24"/>
          <w:szCs w:val="24"/>
          <w:lang w:eastAsia="zh-CN"/>
        </w:rPr>
        <w:t>：多民族玻利维亚国、柬埔寨、喀麦隆（也代表非洲国家集团）、中国、哥斯达黎加、厄瓜多尔、埃及、萨尔瓦多、欧洲联盟及其</w:t>
      </w:r>
      <w:r w:rsidRPr="008B7CC9">
        <w:rPr>
          <w:rFonts w:hAnsi="SimSun"/>
          <w:sz w:val="24"/>
          <w:szCs w:val="24"/>
          <w:lang w:eastAsia="zh-CN"/>
        </w:rPr>
        <w:t>28</w:t>
      </w:r>
      <w:r w:rsidRPr="008B7CC9">
        <w:rPr>
          <w:rFonts w:ascii="SimSun" w:eastAsia="SimSun" w:hAnsi="SimSun" w:cs="SimSun" w:hint="eastAsia"/>
          <w:sz w:val="24"/>
          <w:szCs w:val="24"/>
          <w:lang w:eastAsia="zh-CN"/>
        </w:rPr>
        <w:t>个成员国、格鲁吉亚（代表中欧和东欧国家集团）、危地马拉、印度、印度尼西亚、约旦、墨西哥、摩洛哥、尼日利亚、巴拿马、秘鲁、大韩民国、苏丹、阿拉伯叙利亚共和国、图瓦卢、乌干达、坦桑尼亚联合共和国、委内瑞拉玻利瓦尔共和国和越南。</w:t>
      </w:r>
    </w:p>
    <w:p w:rsidR="008D76BF" w:rsidRPr="008B7CC9" w:rsidRDefault="008D76BF" w:rsidP="00750ECD">
      <w:pPr>
        <w:pStyle w:val="Para1"/>
        <w:numPr>
          <w:ilvl w:val="0"/>
          <w:numId w:val="9"/>
        </w:numPr>
        <w:tabs>
          <w:tab w:val="clear" w:pos="360"/>
          <w:tab w:val="left" w:pos="720"/>
        </w:tabs>
        <w:ind w:firstLine="0"/>
        <w:rPr>
          <w:rFonts w:hAnsi="SimSun"/>
          <w:sz w:val="24"/>
          <w:szCs w:val="24"/>
          <w:lang w:eastAsia="zh-CN"/>
        </w:rPr>
      </w:pPr>
      <w:r w:rsidRPr="008B7CC9">
        <w:rPr>
          <w:rFonts w:ascii="SimSun" w:eastAsia="SimSun" w:hAnsi="SimSun" w:cs="SimSun" w:hint="eastAsia"/>
          <w:sz w:val="24"/>
          <w:szCs w:val="24"/>
          <w:lang w:eastAsia="zh-CN"/>
        </w:rPr>
        <w:t>粮农组织、粮食和农业植物遗传资源国际公约、生物多样性相关公约联络小组和妇女署的代表也</w:t>
      </w:r>
      <w:r w:rsidR="006952B0">
        <w:rPr>
          <w:rFonts w:ascii="SimSun" w:eastAsia="SimSun" w:hAnsi="SimSun" w:cs="SimSun" w:hint="eastAsia"/>
          <w:sz w:val="24"/>
          <w:szCs w:val="24"/>
          <w:lang w:eastAsia="zh-CN"/>
        </w:rPr>
        <w:t>作了发言</w:t>
      </w:r>
      <w:r w:rsidRPr="008B7CC9">
        <w:rPr>
          <w:rFonts w:ascii="SimSun" w:eastAsia="SimSun" w:hAnsi="SimSun" w:cs="SimSun" w:hint="eastAsia"/>
          <w:sz w:val="24"/>
          <w:szCs w:val="24"/>
          <w:lang w:eastAsia="zh-CN"/>
        </w:rPr>
        <w:t>。</w:t>
      </w:r>
    </w:p>
    <w:p w:rsidR="008D76BF" w:rsidRPr="008B7CC9" w:rsidRDefault="008D76BF" w:rsidP="00750ECD">
      <w:pPr>
        <w:pStyle w:val="Para1"/>
        <w:numPr>
          <w:ilvl w:val="0"/>
          <w:numId w:val="9"/>
        </w:numPr>
        <w:tabs>
          <w:tab w:val="clear" w:pos="360"/>
          <w:tab w:val="left" w:pos="720"/>
        </w:tabs>
        <w:ind w:firstLine="0"/>
        <w:rPr>
          <w:rFonts w:hAnsi="SimSun"/>
          <w:sz w:val="24"/>
          <w:szCs w:val="24"/>
          <w:lang w:eastAsia="zh-CN"/>
        </w:rPr>
      </w:pPr>
      <w:r w:rsidRPr="008B7CC9">
        <w:rPr>
          <w:rFonts w:ascii="SimSun" w:eastAsia="SimSun" w:hAnsi="SimSun" w:cs="SimSun" w:hint="eastAsia"/>
          <w:sz w:val="24"/>
          <w:szCs w:val="24"/>
          <w:lang w:eastAsia="zh-CN"/>
        </w:rPr>
        <w:t>自然保护联盟和国际获取农业生物技术应用服务组织的代表也</w:t>
      </w:r>
      <w:r w:rsidR="006952B0">
        <w:rPr>
          <w:rFonts w:ascii="SimSun" w:eastAsia="SimSun" w:hAnsi="SimSun" w:cs="SimSun" w:hint="eastAsia"/>
          <w:sz w:val="24"/>
          <w:szCs w:val="24"/>
          <w:lang w:eastAsia="zh-CN"/>
        </w:rPr>
        <w:t>作了发言</w:t>
      </w:r>
      <w:r w:rsidRPr="008B7CC9">
        <w:rPr>
          <w:rFonts w:ascii="SimSun" w:eastAsia="SimSun" w:hAnsi="SimSun" w:cs="SimSun" w:hint="eastAsia"/>
          <w:sz w:val="24"/>
          <w:szCs w:val="24"/>
          <w:lang w:eastAsia="zh-CN"/>
        </w:rPr>
        <w:t>。</w:t>
      </w:r>
    </w:p>
    <w:p w:rsidR="008D76BF" w:rsidRPr="008B7CC9" w:rsidRDefault="008D76BF" w:rsidP="00750ECD">
      <w:pPr>
        <w:pStyle w:val="Para1"/>
        <w:numPr>
          <w:ilvl w:val="0"/>
          <w:numId w:val="9"/>
        </w:numPr>
        <w:tabs>
          <w:tab w:val="clear" w:pos="360"/>
          <w:tab w:val="left" w:pos="720"/>
        </w:tabs>
        <w:ind w:firstLine="0"/>
        <w:rPr>
          <w:rFonts w:hAnsi="SimSun"/>
          <w:sz w:val="24"/>
          <w:szCs w:val="24"/>
          <w:lang w:eastAsia="zh-CN"/>
        </w:rPr>
      </w:pPr>
      <w:r w:rsidRPr="008B7CC9">
        <w:rPr>
          <w:rFonts w:ascii="SimSun" w:eastAsia="SimSun" w:hAnsi="SimSun" w:cs="SimSun" w:hint="eastAsia"/>
          <w:sz w:val="24"/>
          <w:szCs w:val="24"/>
          <w:lang w:eastAsia="zh-CN"/>
        </w:rPr>
        <w:t>主席指出，他将编制一项订正决定草案，其中将列入口头表达及书面提交的意见。</w:t>
      </w:r>
    </w:p>
    <w:p w:rsidR="008D76BF" w:rsidRPr="008B7CC9" w:rsidRDefault="006B2851"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8B7CC9">
        <w:rPr>
          <w:rFonts w:ascii="SimSun" w:eastAsia="SimSun" w:hAnsi="SimSun" w:cs="SimSun" w:hint="eastAsia"/>
          <w:sz w:val="24"/>
          <w:szCs w:val="24"/>
          <w:lang w:eastAsia="zh-CN"/>
        </w:rPr>
        <w:t>在</w:t>
      </w:r>
      <w:r w:rsidR="008D76BF" w:rsidRPr="008B7CC9">
        <w:rPr>
          <w:rFonts w:hAnsi="SimSun"/>
          <w:sz w:val="24"/>
          <w:szCs w:val="24"/>
          <w:lang w:eastAsia="zh-CN"/>
        </w:rPr>
        <w:t>2018</w:t>
      </w:r>
      <w:r w:rsidR="008D76BF" w:rsidRPr="008B7CC9">
        <w:rPr>
          <w:rFonts w:ascii="SimSun" w:eastAsia="SimSun" w:hAnsi="SimSun" w:cs="SimSun" w:hint="eastAsia"/>
          <w:sz w:val="24"/>
          <w:szCs w:val="24"/>
          <w:lang w:eastAsia="zh-CN"/>
        </w:rPr>
        <w:t>年</w:t>
      </w:r>
      <w:r w:rsidR="008D76BF" w:rsidRPr="008B7CC9">
        <w:rPr>
          <w:rFonts w:hAnsi="SimSun"/>
          <w:sz w:val="24"/>
          <w:szCs w:val="24"/>
          <w:lang w:eastAsia="zh-CN"/>
        </w:rPr>
        <w:t>11</w:t>
      </w:r>
      <w:r w:rsidR="008D76BF" w:rsidRPr="008B7CC9">
        <w:rPr>
          <w:rFonts w:ascii="SimSun" w:eastAsia="SimSun" w:hAnsi="SimSun" w:cs="SimSun" w:hint="eastAsia"/>
          <w:sz w:val="24"/>
          <w:szCs w:val="24"/>
          <w:lang w:eastAsia="zh-CN"/>
        </w:rPr>
        <w:t>月</w:t>
      </w:r>
      <w:r w:rsidR="008D76BF" w:rsidRPr="008B7CC9">
        <w:rPr>
          <w:rFonts w:hAnsi="SimSun"/>
          <w:sz w:val="24"/>
          <w:szCs w:val="24"/>
          <w:lang w:eastAsia="zh-CN"/>
        </w:rPr>
        <w:t>26</w:t>
      </w:r>
      <w:r w:rsidR="008D76BF" w:rsidRPr="008B7CC9">
        <w:rPr>
          <w:rFonts w:ascii="SimSun" w:eastAsia="SimSun" w:hAnsi="SimSun" w:cs="SimSun" w:hint="eastAsia"/>
          <w:sz w:val="24"/>
          <w:szCs w:val="24"/>
          <w:lang w:eastAsia="zh-CN"/>
        </w:rPr>
        <w:t>日星期一</w:t>
      </w:r>
      <w:r>
        <w:rPr>
          <w:rFonts w:ascii="SimSun" w:eastAsia="SimSun" w:hAnsi="SimSun" w:cs="SimSun" w:hint="eastAsia"/>
          <w:sz w:val="24"/>
          <w:szCs w:val="24"/>
          <w:lang w:eastAsia="zh-CN"/>
        </w:rPr>
        <w:t>其</w:t>
      </w:r>
      <w:r w:rsidR="008D76BF" w:rsidRPr="008B7CC9">
        <w:rPr>
          <w:rFonts w:ascii="SimSun" w:eastAsia="SimSun" w:hAnsi="SimSun" w:cs="SimSun" w:hint="eastAsia"/>
          <w:sz w:val="24"/>
          <w:szCs w:val="24"/>
          <w:lang w:eastAsia="zh-CN"/>
        </w:rPr>
        <w:t>第</w:t>
      </w:r>
      <w:r w:rsidR="008D76BF" w:rsidRPr="008B7CC9">
        <w:rPr>
          <w:rFonts w:hAnsi="SimSun"/>
          <w:sz w:val="24"/>
          <w:szCs w:val="24"/>
          <w:lang w:eastAsia="zh-CN"/>
        </w:rPr>
        <w:t>11</w:t>
      </w:r>
      <w:r w:rsidR="008D76BF" w:rsidRPr="008B7CC9">
        <w:rPr>
          <w:rFonts w:ascii="SimSun" w:eastAsia="SimSun" w:hAnsi="SimSun" w:cs="SimSun" w:hint="eastAsia"/>
          <w:sz w:val="24"/>
          <w:szCs w:val="24"/>
          <w:lang w:eastAsia="zh-CN"/>
        </w:rPr>
        <w:t>场会议上审议了主席提交的订正决定草案。在审议该订正决定草案时，工作组收到了一份新发文件，即执行秘书的一份说明，谈及埃及提出的采取协调一致方法，解决生物多样性丧失、气候变化以及土地和生态系统退化问题的倡议（</w:t>
      </w:r>
      <w:r w:rsidR="008D76BF" w:rsidRPr="008B7CC9">
        <w:rPr>
          <w:rFonts w:hAnsi="SimSun"/>
          <w:sz w:val="24"/>
          <w:szCs w:val="24"/>
          <w:lang w:eastAsia="zh-CN"/>
        </w:rPr>
        <w:t>CBD/COP/14/INF/47</w:t>
      </w:r>
      <w:r w:rsidR="008D76BF" w:rsidRPr="008B7CC9">
        <w:rPr>
          <w:rFonts w:ascii="SimSun" w:eastAsia="SimSun" w:hAnsi="SimSun" w:cs="SimSun" w:hint="eastAsia"/>
          <w:sz w:val="24"/>
          <w:szCs w:val="24"/>
          <w:lang w:eastAsia="zh-CN"/>
        </w:rPr>
        <w:t>）。</w:t>
      </w:r>
    </w:p>
    <w:p w:rsidR="008D76BF" w:rsidRPr="008B7CC9" w:rsidRDefault="008D76BF" w:rsidP="00750ECD">
      <w:pPr>
        <w:pStyle w:val="Para1"/>
        <w:numPr>
          <w:ilvl w:val="0"/>
          <w:numId w:val="9"/>
        </w:numPr>
        <w:tabs>
          <w:tab w:val="clear" w:pos="360"/>
          <w:tab w:val="left" w:pos="720"/>
        </w:tabs>
        <w:ind w:firstLine="0"/>
        <w:rPr>
          <w:rFonts w:hAnsi="SimSun"/>
          <w:sz w:val="24"/>
          <w:szCs w:val="24"/>
          <w:lang w:eastAsia="zh-CN"/>
        </w:rPr>
      </w:pPr>
      <w:r w:rsidRPr="008B7CC9">
        <w:rPr>
          <w:rFonts w:ascii="SimSun" w:eastAsia="SimSun" w:hAnsi="SimSun" w:cs="SimSun" w:hint="eastAsia"/>
          <w:sz w:val="24"/>
          <w:szCs w:val="24"/>
          <w:lang w:eastAsia="zh-CN"/>
        </w:rPr>
        <w:lastRenderedPageBreak/>
        <w:t>下列国家的代表</w:t>
      </w:r>
      <w:r w:rsidR="006952B0">
        <w:rPr>
          <w:rFonts w:ascii="SimSun" w:eastAsia="SimSun" w:hAnsi="SimSun" w:cs="SimSun" w:hint="eastAsia"/>
          <w:sz w:val="24"/>
          <w:szCs w:val="24"/>
          <w:lang w:eastAsia="zh-CN"/>
        </w:rPr>
        <w:t>作了发言</w:t>
      </w:r>
      <w:r w:rsidRPr="008B7CC9">
        <w:rPr>
          <w:rFonts w:ascii="SimSun" w:eastAsia="SimSun" w:hAnsi="SimSun" w:cs="SimSun" w:hint="eastAsia"/>
          <w:sz w:val="24"/>
          <w:szCs w:val="24"/>
          <w:lang w:eastAsia="zh-CN"/>
        </w:rPr>
        <w:t>：阿根廷、多民族玻利维亚国、巴西、喀麦隆、加拿大、中国、哥伦比亚、刚果、厄瓜多尔、埃及、萨尔瓦多、欧洲联盟及其</w:t>
      </w:r>
      <w:r w:rsidRPr="008B7CC9">
        <w:rPr>
          <w:rFonts w:hAnsi="SimSun"/>
          <w:sz w:val="24"/>
          <w:szCs w:val="24"/>
          <w:lang w:eastAsia="zh-CN"/>
        </w:rPr>
        <w:t>28</w:t>
      </w:r>
      <w:r w:rsidRPr="008B7CC9">
        <w:rPr>
          <w:rFonts w:ascii="SimSun" w:eastAsia="SimSun" w:hAnsi="SimSun" w:cs="SimSun" w:hint="eastAsia"/>
          <w:sz w:val="24"/>
          <w:szCs w:val="24"/>
          <w:lang w:eastAsia="zh-CN"/>
        </w:rPr>
        <w:t>个成员国、加蓬、日本、墨西哥、摩洛哥、尼日利亚、挪威、阿曼、卡塔尔、南非、瑞士、乌干达、坦桑尼亚联合共和国、委内瑞拉玻利瓦尔共和国和越南。</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8B7CC9">
        <w:rPr>
          <w:rFonts w:ascii="SimSun" w:eastAsia="SimSun" w:hAnsi="SimSun" w:cs="SimSun" w:hint="eastAsia"/>
          <w:sz w:val="24"/>
          <w:szCs w:val="24"/>
          <w:lang w:eastAsia="zh-CN"/>
        </w:rPr>
        <w:t>工作组核准了经口头修正的订正决定草案，作为决定草案</w:t>
      </w:r>
      <w:r w:rsidRPr="008B7CC9">
        <w:rPr>
          <w:rFonts w:hAnsi="SimSun"/>
          <w:sz w:val="24"/>
          <w:szCs w:val="24"/>
          <w:lang w:eastAsia="zh-CN"/>
        </w:rPr>
        <w:t>CBD/COP/14/L.21</w:t>
      </w:r>
      <w:r w:rsidRPr="008B7CC9">
        <w:rPr>
          <w:rFonts w:ascii="SimSun" w:eastAsia="SimSun" w:hAnsi="SimSun" w:cs="SimSun" w:hint="eastAsia"/>
          <w:sz w:val="24"/>
          <w:szCs w:val="24"/>
          <w:lang w:eastAsia="zh-CN"/>
        </w:rPr>
        <w:t>转交全体会议。</w:t>
      </w:r>
    </w:p>
    <w:p w:rsidR="009A4B0B" w:rsidRPr="009A4B0B" w:rsidRDefault="009A4B0B" w:rsidP="009A4B0B">
      <w:pPr>
        <w:pStyle w:val="Para1"/>
        <w:numPr>
          <w:ilvl w:val="0"/>
          <w:numId w:val="9"/>
        </w:numPr>
        <w:tabs>
          <w:tab w:val="clear" w:pos="360"/>
          <w:tab w:val="left" w:pos="720"/>
        </w:tabs>
        <w:ind w:firstLine="0"/>
        <w:rPr>
          <w:rFonts w:hAnsi="SimSun"/>
          <w:sz w:val="24"/>
          <w:szCs w:val="24"/>
          <w:lang w:eastAsia="zh-CN"/>
        </w:rPr>
      </w:pPr>
      <w:r w:rsidRPr="009A4B0B">
        <w:rPr>
          <w:rFonts w:ascii="SimSun" w:eastAsia="SimSun" w:hAnsi="SimSun" w:cs="SimSun" w:hint="eastAsia"/>
          <w:sz w:val="24"/>
          <w:szCs w:val="24"/>
          <w:lang w:eastAsia="zh-CN"/>
        </w:rPr>
        <w:t>在</w:t>
      </w:r>
      <w:r w:rsidRPr="009A4B0B">
        <w:rPr>
          <w:rFonts w:hAnsi="SimSun"/>
          <w:sz w:val="24"/>
          <w:szCs w:val="24"/>
          <w:lang w:eastAsia="zh-CN"/>
        </w:rPr>
        <w:t>2018</w:t>
      </w:r>
      <w:r w:rsidRPr="009A4B0B">
        <w:rPr>
          <w:rFonts w:ascii="SimSun" w:eastAsia="SimSun" w:hAnsi="SimSun" w:cs="SimSun" w:hint="eastAsia"/>
          <w:sz w:val="24"/>
          <w:szCs w:val="24"/>
          <w:lang w:eastAsia="zh-CN"/>
        </w:rPr>
        <w:t>年</w:t>
      </w:r>
      <w:r w:rsidRPr="009A4B0B">
        <w:rPr>
          <w:rFonts w:hAnsi="SimSun"/>
          <w:sz w:val="24"/>
          <w:szCs w:val="24"/>
          <w:lang w:eastAsia="zh-CN"/>
        </w:rPr>
        <w:t>11</w:t>
      </w:r>
      <w:r w:rsidRPr="009A4B0B">
        <w:rPr>
          <w:rFonts w:ascii="SimSun" w:eastAsia="SimSun" w:hAnsi="SimSun" w:cs="SimSun" w:hint="eastAsia"/>
          <w:sz w:val="24"/>
          <w:szCs w:val="24"/>
          <w:lang w:eastAsia="zh-CN"/>
        </w:rPr>
        <w:t>月</w:t>
      </w:r>
      <w:r w:rsidRPr="009A4B0B">
        <w:rPr>
          <w:rFonts w:hAnsi="SimSun"/>
          <w:sz w:val="24"/>
          <w:szCs w:val="24"/>
          <w:lang w:eastAsia="zh-CN"/>
        </w:rPr>
        <w:t>29</w:t>
      </w:r>
      <w:r w:rsidRPr="009A4B0B">
        <w:rPr>
          <w:rFonts w:ascii="SimSun" w:eastAsia="SimSun" w:hAnsi="SimSun" w:cs="SimSun" w:hint="eastAsia"/>
          <w:sz w:val="24"/>
          <w:szCs w:val="24"/>
          <w:lang w:eastAsia="zh-CN"/>
        </w:rPr>
        <w:t>日</w:t>
      </w:r>
      <w:r w:rsidR="00363A11">
        <w:rPr>
          <w:rFonts w:ascii="SimSun" w:eastAsia="SimSun" w:hAnsi="SimSun" w:cs="SimSun" w:hint="eastAsia"/>
          <w:sz w:val="24"/>
          <w:szCs w:val="24"/>
          <w:lang w:eastAsia="zh-CN"/>
        </w:rPr>
        <w:t>的</w:t>
      </w:r>
      <w:r w:rsidRPr="009A4B0B">
        <w:rPr>
          <w:rFonts w:ascii="SimSun" w:eastAsia="SimSun" w:hAnsi="SimSun" w:cs="SimSun" w:hint="eastAsia"/>
          <w:sz w:val="24"/>
          <w:szCs w:val="24"/>
          <w:lang w:eastAsia="zh-CN"/>
        </w:rPr>
        <w:t>第</w:t>
      </w:r>
      <w:r w:rsidRPr="009A4B0B">
        <w:rPr>
          <w:rFonts w:hAnsi="SimSun"/>
          <w:sz w:val="24"/>
          <w:szCs w:val="24"/>
          <w:lang w:eastAsia="zh-CN"/>
        </w:rPr>
        <w:t>8</w:t>
      </w:r>
      <w:r w:rsidR="00B45641">
        <w:rPr>
          <w:rFonts w:hAnsi="SimSun" w:hint="eastAsia"/>
          <w:sz w:val="24"/>
          <w:szCs w:val="24"/>
          <w:lang w:eastAsia="zh-CN"/>
        </w:rPr>
        <w:t>次全体会议</w:t>
      </w:r>
      <w:r w:rsidRPr="009A4B0B">
        <w:rPr>
          <w:rFonts w:ascii="SimSun" w:eastAsia="SimSun" w:hAnsi="SimSun" w:cs="SimSun" w:hint="eastAsia"/>
          <w:sz w:val="24"/>
          <w:szCs w:val="24"/>
          <w:lang w:eastAsia="zh-CN"/>
        </w:rPr>
        <w:t>上，缔约方大会</w:t>
      </w:r>
      <w:r w:rsidRPr="009A4B0B">
        <w:rPr>
          <w:rFonts w:ascii="SimSun" w:eastAsia="SimSun" w:hAnsi="SimSun" w:cs="SimSun"/>
          <w:sz w:val="24"/>
          <w:szCs w:val="24"/>
          <w:lang w:eastAsia="zh-CN"/>
        </w:rPr>
        <w:t>审议了</w:t>
      </w:r>
      <w:r w:rsidRPr="009A4B0B">
        <w:rPr>
          <w:rFonts w:ascii="SimSun" w:eastAsia="SimSun" w:hAnsi="SimSun" w:cs="SimSun" w:hint="eastAsia"/>
          <w:sz w:val="24"/>
          <w:szCs w:val="24"/>
          <w:lang w:eastAsia="zh-CN"/>
        </w:rPr>
        <w:t>决定草案</w:t>
      </w:r>
      <w:r>
        <w:rPr>
          <w:rFonts w:hAnsi="SimSun"/>
          <w:sz w:val="24"/>
          <w:szCs w:val="24"/>
          <w:lang w:eastAsia="zh-CN"/>
        </w:rPr>
        <w:t>CBD/COP/14/L.21</w:t>
      </w:r>
      <w:r>
        <w:rPr>
          <w:rFonts w:hAnsi="SimSun" w:hint="eastAsia"/>
          <w:sz w:val="24"/>
          <w:szCs w:val="24"/>
          <w:lang w:eastAsia="zh-CN"/>
        </w:rPr>
        <w:t>。</w:t>
      </w:r>
    </w:p>
    <w:p w:rsidR="009A4B0B" w:rsidRPr="009A4B0B" w:rsidRDefault="009A4B0B" w:rsidP="009A4B0B">
      <w:pPr>
        <w:pStyle w:val="Para1"/>
        <w:numPr>
          <w:ilvl w:val="0"/>
          <w:numId w:val="9"/>
        </w:numPr>
        <w:tabs>
          <w:tab w:val="clear" w:pos="360"/>
          <w:tab w:val="left" w:pos="720"/>
        </w:tabs>
        <w:ind w:firstLine="0"/>
        <w:rPr>
          <w:rFonts w:ascii="SimSun" w:eastAsia="SimSun" w:hAnsi="SimSun" w:cs="SimSun"/>
          <w:sz w:val="24"/>
          <w:szCs w:val="24"/>
          <w:lang w:eastAsia="zh-CN"/>
        </w:rPr>
      </w:pPr>
      <w:r w:rsidRPr="008B7CC9">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8B7CC9">
        <w:rPr>
          <w:rFonts w:ascii="SimSun" w:eastAsia="SimSun" w:hAnsi="SimSun" w:cs="SimSun" w:hint="eastAsia"/>
          <w:sz w:val="24"/>
          <w:szCs w:val="24"/>
          <w:lang w:eastAsia="zh-CN"/>
        </w:rPr>
        <w:t>：</w:t>
      </w:r>
      <w:r>
        <w:rPr>
          <w:rFonts w:ascii="SimSun" w:eastAsia="SimSun" w:hAnsi="SimSun" w:cs="SimSun" w:hint="eastAsia"/>
          <w:sz w:val="24"/>
          <w:szCs w:val="24"/>
          <w:lang w:eastAsia="zh-CN"/>
        </w:rPr>
        <w:t>墨西哥</w:t>
      </w:r>
      <w:r>
        <w:rPr>
          <w:rFonts w:ascii="SimSun" w:eastAsia="SimSun" w:hAnsi="SimSun" w:cs="SimSun"/>
          <w:sz w:val="24"/>
          <w:szCs w:val="24"/>
          <w:lang w:eastAsia="zh-CN"/>
        </w:rPr>
        <w:t>和南非。</w:t>
      </w:r>
    </w:p>
    <w:p w:rsidR="008D76BF" w:rsidRPr="009A4B0B" w:rsidRDefault="009A4B0B" w:rsidP="004D0EEE">
      <w:pPr>
        <w:pStyle w:val="Para1"/>
        <w:numPr>
          <w:ilvl w:val="0"/>
          <w:numId w:val="9"/>
        </w:numPr>
        <w:tabs>
          <w:tab w:val="clear" w:pos="360"/>
          <w:tab w:val="left" w:pos="720"/>
        </w:tabs>
        <w:ind w:firstLine="0"/>
        <w:rPr>
          <w:rFonts w:ascii="SimSun" w:eastAsia="SimSun" w:hAnsi="SimSun" w:cs="SimSun"/>
          <w:sz w:val="24"/>
          <w:szCs w:val="24"/>
          <w:lang w:eastAsia="zh-CN"/>
        </w:rPr>
      </w:pPr>
      <w:r w:rsidRPr="009A4B0B">
        <w:rPr>
          <w:rFonts w:ascii="SimSun" w:eastAsia="SimSun" w:hAnsi="SimSun" w:cs="SimSun" w:hint="eastAsia"/>
          <w:sz w:val="24"/>
          <w:szCs w:val="24"/>
          <w:lang w:eastAsia="zh-CN"/>
        </w:rPr>
        <w:t>缔约方大会通过了经口头修正</w:t>
      </w:r>
      <w:r w:rsidRPr="009A4B0B">
        <w:rPr>
          <w:rFonts w:ascii="SimSun" w:eastAsia="SimSun" w:hAnsi="SimSun" w:cs="SimSun"/>
          <w:sz w:val="24"/>
          <w:szCs w:val="24"/>
          <w:lang w:eastAsia="zh-CN"/>
        </w:rPr>
        <w:t>的</w:t>
      </w:r>
      <w:r w:rsidRPr="009A4B0B">
        <w:rPr>
          <w:rFonts w:ascii="SimSun" w:eastAsia="SimSun" w:hAnsi="SimSun" w:cs="SimSun" w:hint="eastAsia"/>
          <w:sz w:val="24"/>
          <w:szCs w:val="24"/>
          <w:lang w:eastAsia="zh-CN"/>
        </w:rPr>
        <w:t>决定草案</w:t>
      </w:r>
      <w:r w:rsidRPr="009A4B0B">
        <w:rPr>
          <w:rFonts w:hAnsi="SimSun"/>
          <w:sz w:val="24"/>
          <w:szCs w:val="24"/>
          <w:lang w:eastAsia="zh-CN"/>
        </w:rPr>
        <w:t>CBD/COP/14/L.21</w:t>
      </w:r>
      <w:r w:rsidRPr="009A4B0B">
        <w:rPr>
          <w:rFonts w:ascii="SimSun" w:eastAsia="SimSun" w:hAnsi="SimSun" w:cs="SimSun" w:hint="eastAsia"/>
          <w:sz w:val="24"/>
          <w:szCs w:val="24"/>
          <w:lang w:eastAsia="zh-CN"/>
        </w:rPr>
        <w:t>，成为第</w:t>
      </w:r>
      <w:r w:rsidRPr="009A4B0B">
        <w:rPr>
          <w:rFonts w:eastAsia="SimSun"/>
          <w:sz w:val="24"/>
          <w:szCs w:val="24"/>
          <w:lang w:eastAsia="zh-CN"/>
        </w:rPr>
        <w:t>14</w:t>
      </w:r>
      <w:r w:rsidRPr="009A4B0B">
        <w:rPr>
          <w:sz w:val="24"/>
          <w:szCs w:val="24"/>
          <w:lang w:eastAsia="zh-CN"/>
        </w:rPr>
        <w:t>/30</w:t>
      </w:r>
      <w:r w:rsidRPr="009A4B0B">
        <w:rPr>
          <w:rFonts w:ascii="SimSun" w:eastAsia="SimSun" w:hAnsi="SimSun" w:cs="SimSun" w:hint="eastAsia"/>
          <w:sz w:val="24"/>
          <w:szCs w:val="24"/>
          <w:lang w:eastAsia="zh-CN"/>
        </w:rPr>
        <w:t>号决定</w:t>
      </w:r>
      <w:r w:rsidRPr="009A4B0B">
        <w:rPr>
          <w:rFonts w:eastAsia="SimSun"/>
          <w:sz w:val="24"/>
          <w:szCs w:val="24"/>
          <w:lang w:val="en-US" w:eastAsia="zh-CN"/>
        </w:rPr>
        <w:t>（</w:t>
      </w:r>
      <w:r w:rsidRPr="009A4B0B">
        <w:rPr>
          <w:rFonts w:eastAsia="SimSun" w:hint="eastAsia"/>
          <w:sz w:val="24"/>
          <w:szCs w:val="24"/>
          <w:lang w:eastAsia="zh-CN"/>
        </w:rPr>
        <w:t>案文见</w:t>
      </w:r>
      <w:r w:rsidRPr="009A4B0B">
        <w:rPr>
          <w:rFonts w:eastAsia="SimSun"/>
          <w:sz w:val="24"/>
          <w:szCs w:val="24"/>
          <w:lang w:eastAsia="zh-CN"/>
        </w:rPr>
        <w:t>第一章</w:t>
      </w:r>
      <w:r w:rsidRPr="009A4B0B">
        <w:rPr>
          <w:rFonts w:eastAsia="SimSun" w:hint="eastAsia"/>
          <w:sz w:val="24"/>
          <w:szCs w:val="24"/>
          <w:lang w:eastAsia="zh-CN"/>
        </w:rPr>
        <w:t>）。</w:t>
      </w:r>
    </w:p>
    <w:p w:rsidR="008D76BF" w:rsidRPr="00E63AA3" w:rsidRDefault="008D76BF" w:rsidP="00E63AA3">
      <w:pPr>
        <w:pStyle w:val="Heading1"/>
        <w:spacing w:before="120" w:after="120"/>
        <w:ind w:firstLine="0"/>
        <w:rPr>
          <w:sz w:val="24"/>
          <w:szCs w:val="24"/>
          <w:lang w:eastAsia="zh-CN"/>
        </w:rPr>
      </w:pPr>
      <w:r w:rsidRPr="00E63AA3">
        <w:rPr>
          <w:rFonts w:hint="eastAsia"/>
          <w:sz w:val="24"/>
          <w:szCs w:val="24"/>
          <w:lang w:eastAsia="zh-CN"/>
        </w:rPr>
        <w:t>项目</w:t>
      </w:r>
      <w:r w:rsidRPr="00E63AA3">
        <w:rPr>
          <w:sz w:val="24"/>
          <w:szCs w:val="24"/>
          <w:lang w:eastAsia="zh-CN"/>
        </w:rPr>
        <w:t xml:space="preserve">15.    </w:t>
      </w:r>
      <w:r w:rsidR="00366699" w:rsidRPr="00E63AA3">
        <w:rPr>
          <w:sz w:val="24"/>
          <w:szCs w:val="24"/>
          <w:lang w:eastAsia="zh-CN"/>
        </w:rPr>
        <w:t xml:space="preserve">  </w:t>
      </w:r>
      <w:r w:rsidRPr="00E63AA3">
        <w:rPr>
          <w:rFonts w:hint="eastAsia"/>
          <w:sz w:val="24"/>
          <w:szCs w:val="24"/>
          <w:lang w:eastAsia="zh-CN"/>
        </w:rPr>
        <w:t>审查《公约》及其《议定书》下各进程的成效</w:t>
      </w:r>
    </w:p>
    <w:p w:rsidR="008D76BF" w:rsidRPr="008B7CC9" w:rsidRDefault="008D76BF" w:rsidP="00A434BF">
      <w:pPr>
        <w:pStyle w:val="Para1"/>
        <w:tabs>
          <w:tab w:val="clear" w:pos="360"/>
          <w:tab w:val="left" w:pos="720"/>
        </w:tabs>
        <w:snapToGrid w:val="0"/>
        <w:ind w:firstLine="0"/>
        <w:jc w:val="center"/>
        <w:rPr>
          <w:rStyle w:val="style21"/>
          <w:rFonts w:eastAsia="KaiTi"/>
          <w:color w:val="auto"/>
          <w:lang w:val="en-CA" w:eastAsia="zh-CN"/>
        </w:rPr>
      </w:pPr>
      <w:r w:rsidRPr="008B7CC9">
        <w:rPr>
          <w:rStyle w:val="style21"/>
          <w:rFonts w:eastAsia="KaiTi" w:hint="eastAsia"/>
          <w:color w:val="auto"/>
          <w:lang w:val="en-CA" w:eastAsia="zh-CN"/>
        </w:rPr>
        <w:t>审查同时举行公约缔约方大会会议和议定书缔约方会议的经验</w:t>
      </w:r>
    </w:p>
    <w:p w:rsidR="008D76BF" w:rsidRPr="008B7CC9" w:rsidRDefault="008D76BF" w:rsidP="00750ECD">
      <w:pPr>
        <w:pStyle w:val="Para1"/>
        <w:numPr>
          <w:ilvl w:val="0"/>
          <w:numId w:val="9"/>
        </w:numPr>
        <w:tabs>
          <w:tab w:val="clear" w:pos="360"/>
          <w:tab w:val="left" w:pos="720"/>
        </w:tabs>
        <w:ind w:firstLine="0"/>
        <w:rPr>
          <w:rFonts w:hAnsi="SimSun"/>
          <w:sz w:val="24"/>
          <w:szCs w:val="24"/>
          <w:lang w:eastAsia="zh-CN"/>
        </w:rPr>
      </w:pPr>
      <w:r w:rsidRPr="008B7CC9">
        <w:rPr>
          <w:rFonts w:ascii="SimSun" w:eastAsia="SimSun" w:hAnsi="SimSun" w:cs="SimSun" w:hint="eastAsia"/>
          <w:sz w:val="24"/>
          <w:szCs w:val="24"/>
          <w:lang w:eastAsia="zh-CN"/>
        </w:rPr>
        <w:t>第一工作组在</w:t>
      </w:r>
      <w:r w:rsidRPr="008B7CC9">
        <w:rPr>
          <w:rFonts w:hAnsi="SimSun"/>
          <w:sz w:val="24"/>
          <w:szCs w:val="24"/>
          <w:lang w:eastAsia="zh-CN"/>
        </w:rPr>
        <w:t>2018</w:t>
      </w:r>
      <w:r w:rsidRPr="008B7CC9">
        <w:rPr>
          <w:rFonts w:ascii="SimSun" w:eastAsia="SimSun" w:hAnsi="SimSun" w:cs="SimSun" w:hint="eastAsia"/>
          <w:sz w:val="24"/>
          <w:szCs w:val="24"/>
          <w:lang w:eastAsia="zh-CN"/>
        </w:rPr>
        <w:t>年</w:t>
      </w:r>
      <w:r w:rsidRPr="008B7CC9">
        <w:rPr>
          <w:rFonts w:hAnsi="SimSun"/>
          <w:sz w:val="24"/>
          <w:szCs w:val="24"/>
          <w:lang w:eastAsia="zh-CN"/>
        </w:rPr>
        <w:t>11</w:t>
      </w:r>
      <w:r w:rsidRPr="008B7CC9">
        <w:rPr>
          <w:rFonts w:ascii="SimSun" w:eastAsia="SimSun" w:hAnsi="SimSun" w:cs="SimSun" w:hint="eastAsia"/>
          <w:sz w:val="24"/>
          <w:szCs w:val="24"/>
          <w:lang w:eastAsia="zh-CN"/>
        </w:rPr>
        <w:t>月</w:t>
      </w:r>
      <w:r w:rsidRPr="008B7CC9">
        <w:rPr>
          <w:rFonts w:hAnsi="SimSun"/>
          <w:sz w:val="24"/>
          <w:szCs w:val="24"/>
          <w:lang w:eastAsia="zh-CN"/>
        </w:rPr>
        <w:t>21</w:t>
      </w:r>
      <w:r w:rsidR="00363A11">
        <w:rPr>
          <w:rFonts w:ascii="SimSun" w:eastAsia="SimSun" w:hAnsi="SimSun" w:cs="SimSun" w:hint="eastAsia"/>
          <w:sz w:val="24"/>
          <w:szCs w:val="24"/>
          <w:lang w:eastAsia="zh-CN"/>
        </w:rPr>
        <w:t>日其</w:t>
      </w:r>
      <w:r w:rsidRPr="008B7CC9">
        <w:rPr>
          <w:rFonts w:ascii="SimSun" w:eastAsia="SimSun" w:hAnsi="SimSun" w:cs="SimSun" w:hint="eastAsia"/>
          <w:sz w:val="24"/>
          <w:szCs w:val="24"/>
          <w:lang w:eastAsia="zh-CN"/>
        </w:rPr>
        <w:t>第</w:t>
      </w:r>
      <w:r w:rsidRPr="008B7CC9">
        <w:rPr>
          <w:rFonts w:hAnsi="SimSun"/>
          <w:sz w:val="24"/>
          <w:szCs w:val="24"/>
          <w:lang w:eastAsia="zh-CN"/>
        </w:rPr>
        <w:t>6</w:t>
      </w:r>
      <w:r w:rsidRPr="008B7CC9">
        <w:rPr>
          <w:rFonts w:ascii="SimSun" w:eastAsia="SimSun" w:hAnsi="SimSun" w:cs="SimSun" w:hint="eastAsia"/>
          <w:sz w:val="24"/>
          <w:szCs w:val="24"/>
          <w:lang w:eastAsia="zh-CN"/>
        </w:rPr>
        <w:t>场会议上审议了议程项目</w:t>
      </w:r>
      <w:r w:rsidRPr="008B7CC9">
        <w:rPr>
          <w:rFonts w:hAnsi="SimSun"/>
          <w:sz w:val="24"/>
          <w:szCs w:val="24"/>
          <w:lang w:eastAsia="zh-CN"/>
        </w:rPr>
        <w:t>15</w:t>
      </w:r>
      <w:r w:rsidRPr="008B7CC9">
        <w:rPr>
          <w:rFonts w:ascii="SimSun" w:eastAsia="SimSun" w:hAnsi="SimSun" w:cs="SimSun" w:hint="eastAsia"/>
          <w:sz w:val="24"/>
          <w:szCs w:val="24"/>
          <w:lang w:eastAsia="zh-CN"/>
        </w:rPr>
        <w:t>的第一个议题。在审议这个项目时，工作组收到了决定草案汇编（</w:t>
      </w:r>
      <w:r w:rsidRPr="008B7CC9">
        <w:rPr>
          <w:rFonts w:hAnsi="SimSun"/>
          <w:sz w:val="24"/>
          <w:szCs w:val="24"/>
          <w:lang w:eastAsia="zh-CN"/>
        </w:rPr>
        <w:t>CBD/COP/14/2</w:t>
      </w:r>
      <w:r w:rsidRPr="008B7CC9">
        <w:rPr>
          <w:rFonts w:ascii="SimSun" w:eastAsia="SimSun" w:hAnsi="SimSun" w:cs="SimSun" w:hint="eastAsia"/>
          <w:sz w:val="24"/>
          <w:szCs w:val="24"/>
          <w:lang w:eastAsia="zh-CN"/>
        </w:rPr>
        <w:t>）</w:t>
      </w:r>
      <w:r w:rsidR="00733957">
        <w:rPr>
          <w:rFonts w:ascii="SimSun" w:eastAsia="SimSun" w:hAnsi="SimSun" w:cs="SimSun" w:hint="eastAsia"/>
          <w:sz w:val="24"/>
          <w:szCs w:val="24"/>
          <w:lang w:eastAsia="zh-CN"/>
        </w:rPr>
        <w:t>中</w:t>
      </w:r>
      <w:r w:rsidR="00733957">
        <w:rPr>
          <w:rFonts w:ascii="SimSun" w:eastAsia="SimSun" w:hAnsi="SimSun" w:cs="SimSun"/>
          <w:sz w:val="24"/>
          <w:szCs w:val="24"/>
          <w:lang w:eastAsia="zh-CN"/>
        </w:rPr>
        <w:t>所载</w:t>
      </w:r>
      <w:r w:rsidRPr="008B7CC9">
        <w:rPr>
          <w:rFonts w:ascii="SimSun" w:eastAsia="SimSun" w:hAnsi="SimSun" w:cs="SimSun" w:hint="eastAsia"/>
          <w:sz w:val="24"/>
          <w:szCs w:val="24"/>
          <w:lang w:eastAsia="zh-CN"/>
        </w:rPr>
        <w:t>的执行问题附属机构第</w:t>
      </w:r>
      <w:r w:rsidRPr="008B7CC9">
        <w:rPr>
          <w:rFonts w:hAnsi="SimSun"/>
          <w:sz w:val="24"/>
          <w:szCs w:val="24"/>
          <w:lang w:eastAsia="zh-CN"/>
        </w:rPr>
        <w:t>SBI-2/15</w:t>
      </w:r>
      <w:r w:rsidRPr="008B7CC9">
        <w:rPr>
          <w:rFonts w:ascii="SimSun" w:eastAsia="SimSun" w:hAnsi="SimSun" w:cs="SimSun" w:hint="eastAsia"/>
          <w:sz w:val="24"/>
          <w:szCs w:val="24"/>
          <w:lang w:eastAsia="zh-CN"/>
        </w:rPr>
        <w:t>号</w:t>
      </w:r>
      <w:r w:rsidRPr="008B7CC9">
        <w:rPr>
          <w:rFonts w:hAnsi="SimSun"/>
          <w:sz w:val="24"/>
          <w:szCs w:val="24"/>
          <w:lang w:eastAsia="zh-CN"/>
        </w:rPr>
        <w:t>A</w:t>
      </w:r>
      <w:r w:rsidRPr="008B7CC9">
        <w:rPr>
          <w:rFonts w:ascii="SimSun" w:eastAsia="SimSun" w:hAnsi="SimSun" w:cs="SimSun" w:hint="eastAsia"/>
          <w:sz w:val="24"/>
          <w:szCs w:val="24"/>
          <w:lang w:eastAsia="zh-CN"/>
        </w:rPr>
        <w:t>部分建议提出的决定草案。该工作组还收到了一份信息文件，其中建议更加注重将人与自然联系起来，以激励加强生物多样性保护行动（</w:t>
      </w:r>
      <w:r w:rsidRPr="008B7CC9">
        <w:rPr>
          <w:rFonts w:hAnsi="SimSun"/>
          <w:sz w:val="24"/>
          <w:szCs w:val="24"/>
          <w:lang w:eastAsia="zh-CN"/>
        </w:rPr>
        <w:t>CBD/COP/14/INF/20</w:t>
      </w:r>
      <w:r w:rsidRPr="008B7CC9">
        <w:rPr>
          <w:rFonts w:ascii="SimSun" w:eastAsia="SimSun" w:hAnsi="SimSun" w:cs="SimSun" w:hint="eastAsia"/>
          <w:sz w:val="24"/>
          <w:szCs w:val="24"/>
          <w:lang w:eastAsia="zh-CN"/>
        </w:rPr>
        <w:t>）。</w:t>
      </w:r>
    </w:p>
    <w:p w:rsidR="008D76BF" w:rsidRPr="008B7CC9" w:rsidRDefault="008D76BF" w:rsidP="00750ECD">
      <w:pPr>
        <w:pStyle w:val="Para1"/>
        <w:numPr>
          <w:ilvl w:val="0"/>
          <w:numId w:val="9"/>
        </w:numPr>
        <w:tabs>
          <w:tab w:val="clear" w:pos="360"/>
          <w:tab w:val="left" w:pos="720"/>
        </w:tabs>
        <w:ind w:firstLine="0"/>
        <w:rPr>
          <w:rFonts w:hAnsi="SimSun"/>
          <w:sz w:val="24"/>
          <w:szCs w:val="24"/>
          <w:lang w:eastAsia="zh-CN"/>
        </w:rPr>
      </w:pPr>
      <w:r w:rsidRPr="008B7CC9">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8B7CC9">
        <w:rPr>
          <w:rFonts w:ascii="SimSun" w:eastAsia="SimSun" w:hAnsi="SimSun" w:cs="SimSun" w:hint="eastAsia"/>
          <w:sz w:val="24"/>
          <w:szCs w:val="24"/>
          <w:lang w:eastAsia="zh-CN"/>
        </w:rPr>
        <w:t>：加拿大、哥伦比亚、欧洲联盟及其</w:t>
      </w:r>
      <w:r w:rsidRPr="008B7CC9">
        <w:rPr>
          <w:rFonts w:hAnsi="SimSun"/>
          <w:sz w:val="24"/>
          <w:szCs w:val="24"/>
          <w:lang w:eastAsia="zh-CN"/>
        </w:rPr>
        <w:t>28</w:t>
      </w:r>
      <w:r w:rsidRPr="008B7CC9">
        <w:rPr>
          <w:rFonts w:ascii="SimSun" w:eastAsia="SimSun" w:hAnsi="SimSun" w:cs="SimSun" w:hint="eastAsia"/>
          <w:sz w:val="24"/>
          <w:szCs w:val="24"/>
          <w:lang w:eastAsia="zh-CN"/>
        </w:rPr>
        <w:t>个成员国、印度、约旦、墨西哥、摩洛哥、新西兰、巴拿马、巴拉圭、瑞士和乌干达（代表非洲国家集团）。</w:t>
      </w:r>
    </w:p>
    <w:p w:rsidR="008D76BF" w:rsidRPr="00016639" w:rsidRDefault="006B2851"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8B7CC9">
        <w:rPr>
          <w:rFonts w:ascii="SimSun" w:eastAsia="SimSun" w:hAnsi="SimSun" w:cs="SimSun" w:hint="eastAsia"/>
          <w:sz w:val="24"/>
          <w:szCs w:val="24"/>
          <w:lang w:eastAsia="zh-CN"/>
        </w:rPr>
        <w:t>在</w:t>
      </w:r>
      <w:r w:rsidR="008D76BF" w:rsidRPr="008B7CC9">
        <w:rPr>
          <w:rFonts w:hAnsi="SimSun"/>
          <w:sz w:val="24"/>
          <w:szCs w:val="24"/>
          <w:lang w:eastAsia="zh-CN"/>
        </w:rPr>
        <w:t>2018</w:t>
      </w:r>
      <w:r w:rsidR="008D76BF" w:rsidRPr="008B7CC9">
        <w:rPr>
          <w:rFonts w:ascii="SimSun" w:eastAsia="SimSun" w:hAnsi="SimSun" w:cs="SimSun" w:hint="eastAsia"/>
          <w:sz w:val="24"/>
          <w:szCs w:val="24"/>
          <w:lang w:eastAsia="zh-CN"/>
        </w:rPr>
        <w:t>年</w:t>
      </w:r>
      <w:r w:rsidR="008D76BF" w:rsidRPr="008B7CC9">
        <w:rPr>
          <w:rFonts w:hAnsi="SimSun"/>
          <w:sz w:val="24"/>
          <w:szCs w:val="24"/>
          <w:lang w:eastAsia="zh-CN"/>
        </w:rPr>
        <w:t>11</w:t>
      </w:r>
      <w:r w:rsidR="008D76BF" w:rsidRPr="008B7CC9">
        <w:rPr>
          <w:rFonts w:ascii="SimSun" w:eastAsia="SimSun" w:hAnsi="SimSun" w:cs="SimSun" w:hint="eastAsia"/>
          <w:sz w:val="24"/>
          <w:szCs w:val="24"/>
          <w:lang w:eastAsia="zh-CN"/>
        </w:rPr>
        <w:t>月</w:t>
      </w:r>
      <w:r w:rsidR="008D76BF" w:rsidRPr="008B7CC9">
        <w:rPr>
          <w:rFonts w:hAnsi="SimSun"/>
          <w:sz w:val="24"/>
          <w:szCs w:val="24"/>
          <w:lang w:eastAsia="zh-CN"/>
        </w:rPr>
        <w:t>25</w:t>
      </w:r>
      <w:r w:rsidR="008D76BF" w:rsidRPr="008B7CC9">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8B7CC9">
        <w:rPr>
          <w:rFonts w:ascii="SimSun" w:eastAsia="SimSun" w:hAnsi="SimSun" w:cs="SimSun" w:hint="eastAsia"/>
          <w:sz w:val="24"/>
          <w:szCs w:val="24"/>
          <w:lang w:eastAsia="zh-CN"/>
        </w:rPr>
        <w:t>第</w:t>
      </w:r>
      <w:r w:rsidR="008D76BF" w:rsidRPr="008B7CC9">
        <w:rPr>
          <w:rFonts w:hAnsi="SimSun"/>
          <w:sz w:val="24"/>
          <w:szCs w:val="24"/>
          <w:lang w:eastAsia="zh-CN"/>
        </w:rPr>
        <w:t>10</w:t>
      </w:r>
      <w:r w:rsidR="008D76BF" w:rsidRPr="008B7CC9">
        <w:rPr>
          <w:rFonts w:ascii="SimSun" w:eastAsia="SimSun" w:hAnsi="SimSun" w:cs="SimSun" w:hint="eastAsia"/>
          <w:sz w:val="24"/>
          <w:szCs w:val="24"/>
          <w:lang w:eastAsia="zh-CN"/>
        </w:rPr>
        <w:t>场会议上审议了主席提交的订正决定草案，并同意将其作为决定草案</w:t>
      </w:r>
      <w:r w:rsidR="008D76BF" w:rsidRPr="008B7CC9">
        <w:rPr>
          <w:rFonts w:hAnsi="SimSun"/>
          <w:sz w:val="24"/>
          <w:szCs w:val="24"/>
          <w:lang w:eastAsia="zh-CN"/>
        </w:rPr>
        <w:t>CBD/COP/14/L.18</w:t>
      </w:r>
      <w:r w:rsidR="008D76BF" w:rsidRPr="008B7CC9">
        <w:rPr>
          <w:rFonts w:ascii="SimSun" w:eastAsia="SimSun" w:hAnsi="SimSun" w:cs="SimSun" w:hint="eastAsia"/>
          <w:sz w:val="24"/>
          <w:szCs w:val="24"/>
          <w:lang w:eastAsia="zh-CN"/>
        </w:rPr>
        <w:t>转交全体会议。</w:t>
      </w:r>
    </w:p>
    <w:p w:rsidR="008D76BF" w:rsidRPr="008B7CC9" w:rsidRDefault="006B2851"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第一工作组</w:t>
      </w:r>
      <w:r w:rsidR="008D76BF" w:rsidRPr="008B7CC9">
        <w:rPr>
          <w:rFonts w:ascii="SimSun" w:eastAsia="SimSun" w:hAnsi="SimSun" w:cs="SimSun" w:hint="eastAsia"/>
          <w:sz w:val="24"/>
          <w:szCs w:val="24"/>
          <w:lang w:eastAsia="zh-CN"/>
        </w:rPr>
        <w:t>在</w:t>
      </w:r>
      <w:r w:rsidR="008D76BF" w:rsidRPr="008B7CC9">
        <w:rPr>
          <w:rFonts w:hAnsi="SimSun"/>
          <w:sz w:val="24"/>
          <w:szCs w:val="24"/>
          <w:lang w:eastAsia="zh-CN"/>
        </w:rPr>
        <w:t>11</w:t>
      </w:r>
      <w:r w:rsidR="008D76BF" w:rsidRPr="008B7CC9">
        <w:rPr>
          <w:rFonts w:ascii="SimSun" w:eastAsia="SimSun" w:hAnsi="SimSun" w:cs="SimSun" w:hint="eastAsia"/>
          <w:sz w:val="24"/>
          <w:szCs w:val="24"/>
          <w:lang w:eastAsia="zh-CN"/>
        </w:rPr>
        <w:t>月</w:t>
      </w:r>
      <w:r w:rsidR="008D76BF" w:rsidRPr="008B7CC9">
        <w:rPr>
          <w:rFonts w:hAnsi="SimSun"/>
          <w:sz w:val="24"/>
          <w:szCs w:val="24"/>
          <w:lang w:eastAsia="zh-CN"/>
        </w:rPr>
        <w:t>25</w:t>
      </w:r>
      <w:r w:rsidR="008D76BF" w:rsidRPr="008B7CC9">
        <w:rPr>
          <w:rFonts w:ascii="SimSun" w:eastAsia="SimSun" w:hAnsi="SimSun" w:cs="SimSun" w:hint="eastAsia"/>
          <w:sz w:val="24"/>
          <w:szCs w:val="24"/>
          <w:lang w:eastAsia="zh-CN"/>
        </w:rPr>
        <w:t>日</w:t>
      </w:r>
      <w:r w:rsidR="008D76BF">
        <w:rPr>
          <w:rFonts w:ascii="SimSun" w:eastAsia="SimSun" w:hAnsi="SimSun" w:cs="SimSun" w:hint="eastAsia"/>
          <w:sz w:val="24"/>
          <w:szCs w:val="24"/>
          <w:lang w:eastAsia="zh-CN"/>
        </w:rPr>
        <w:t>星期</w:t>
      </w:r>
      <w:r w:rsidR="00EA4BF6">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8B7CC9">
        <w:rPr>
          <w:rFonts w:ascii="SimSun" w:eastAsia="SimSun" w:hAnsi="SimSun" w:cs="SimSun" w:hint="eastAsia"/>
          <w:sz w:val="24"/>
          <w:szCs w:val="24"/>
          <w:lang w:eastAsia="zh-CN"/>
        </w:rPr>
        <w:t>第</w:t>
      </w:r>
      <w:r w:rsidR="008D76BF" w:rsidRPr="008B7CC9">
        <w:rPr>
          <w:rFonts w:hAnsi="SimSun"/>
          <w:sz w:val="24"/>
          <w:szCs w:val="24"/>
          <w:lang w:eastAsia="zh-CN"/>
        </w:rPr>
        <w:t>10</w:t>
      </w:r>
      <w:r w:rsidR="008D76BF" w:rsidRPr="008B7CC9">
        <w:rPr>
          <w:rFonts w:ascii="SimSun" w:eastAsia="SimSun" w:hAnsi="SimSun" w:cs="SimSun" w:hint="eastAsia"/>
          <w:sz w:val="24"/>
          <w:szCs w:val="24"/>
          <w:lang w:eastAsia="zh-CN"/>
        </w:rPr>
        <w:t>场会议上审议了主席提交的决定草案，并</w:t>
      </w:r>
      <w:r w:rsidR="008D76BF">
        <w:rPr>
          <w:rFonts w:ascii="SimSun" w:eastAsia="SimSun" w:hAnsi="SimSun" w:cs="SimSun" w:hint="eastAsia"/>
          <w:sz w:val="24"/>
          <w:szCs w:val="24"/>
          <w:lang w:eastAsia="zh-CN"/>
        </w:rPr>
        <w:t>核准</w:t>
      </w:r>
      <w:r w:rsidR="008D76BF" w:rsidRPr="008B7CC9">
        <w:rPr>
          <w:rFonts w:ascii="SimSun" w:eastAsia="SimSun" w:hAnsi="SimSun" w:cs="SimSun" w:hint="eastAsia"/>
          <w:sz w:val="24"/>
          <w:szCs w:val="24"/>
          <w:lang w:eastAsia="zh-CN"/>
        </w:rPr>
        <w:t>将其作为决定草案</w:t>
      </w:r>
      <w:r w:rsidR="008D76BF" w:rsidRPr="008B7CC9">
        <w:rPr>
          <w:rFonts w:hAnsi="SimSun"/>
          <w:sz w:val="24"/>
          <w:szCs w:val="24"/>
          <w:lang w:eastAsia="zh-CN"/>
        </w:rPr>
        <w:t>CBD/COP/14/L.18</w:t>
      </w:r>
      <w:r w:rsidR="008D76BF" w:rsidRPr="008B7CC9">
        <w:rPr>
          <w:rFonts w:ascii="SimSun" w:eastAsia="SimSun" w:hAnsi="SimSun" w:cs="SimSun" w:hint="eastAsia"/>
          <w:sz w:val="24"/>
          <w:szCs w:val="24"/>
          <w:lang w:eastAsia="zh-CN"/>
        </w:rPr>
        <w:t>转交全体会议。</w:t>
      </w:r>
    </w:p>
    <w:p w:rsidR="009A4B0B" w:rsidRPr="009A4B0B" w:rsidRDefault="009A4B0B" w:rsidP="009A4B0B">
      <w:pPr>
        <w:pStyle w:val="Para1"/>
        <w:numPr>
          <w:ilvl w:val="0"/>
          <w:numId w:val="9"/>
        </w:numPr>
        <w:tabs>
          <w:tab w:val="clear" w:pos="360"/>
          <w:tab w:val="left" w:pos="720"/>
        </w:tabs>
        <w:ind w:firstLine="0"/>
        <w:rPr>
          <w:rFonts w:hAnsi="SimSun"/>
          <w:sz w:val="24"/>
          <w:szCs w:val="24"/>
          <w:lang w:eastAsia="zh-CN"/>
        </w:rPr>
      </w:pPr>
      <w:r w:rsidRPr="009A4B0B">
        <w:rPr>
          <w:rFonts w:ascii="SimSun" w:eastAsia="SimSun" w:hAnsi="SimSun" w:cs="SimSun" w:hint="eastAsia"/>
          <w:sz w:val="24"/>
          <w:szCs w:val="24"/>
          <w:lang w:eastAsia="zh-CN"/>
        </w:rPr>
        <w:t>在</w:t>
      </w:r>
      <w:r w:rsidRPr="009A4B0B">
        <w:rPr>
          <w:rFonts w:hAnsi="SimSun"/>
          <w:sz w:val="24"/>
          <w:szCs w:val="24"/>
          <w:lang w:eastAsia="zh-CN"/>
        </w:rPr>
        <w:t>2018</w:t>
      </w:r>
      <w:r w:rsidRPr="009A4B0B">
        <w:rPr>
          <w:rFonts w:ascii="SimSun" w:eastAsia="SimSun" w:hAnsi="SimSun" w:cs="SimSun" w:hint="eastAsia"/>
          <w:sz w:val="24"/>
          <w:szCs w:val="24"/>
          <w:lang w:eastAsia="zh-CN"/>
        </w:rPr>
        <w:t>年</w:t>
      </w:r>
      <w:r w:rsidRPr="009A4B0B">
        <w:rPr>
          <w:rFonts w:hAnsi="SimSun"/>
          <w:sz w:val="24"/>
          <w:szCs w:val="24"/>
          <w:lang w:eastAsia="zh-CN"/>
        </w:rPr>
        <w:t>11</w:t>
      </w:r>
      <w:r w:rsidRPr="009A4B0B">
        <w:rPr>
          <w:rFonts w:ascii="SimSun" w:eastAsia="SimSun" w:hAnsi="SimSun" w:cs="SimSun" w:hint="eastAsia"/>
          <w:sz w:val="24"/>
          <w:szCs w:val="24"/>
          <w:lang w:eastAsia="zh-CN"/>
        </w:rPr>
        <w:t>月</w:t>
      </w:r>
      <w:r w:rsidRPr="009A4B0B">
        <w:rPr>
          <w:rFonts w:hAnsi="SimSun"/>
          <w:sz w:val="24"/>
          <w:szCs w:val="24"/>
          <w:lang w:eastAsia="zh-CN"/>
        </w:rPr>
        <w:t>29</w:t>
      </w:r>
      <w:r w:rsidR="00363A11">
        <w:rPr>
          <w:rFonts w:ascii="SimSun" w:eastAsia="SimSun" w:hAnsi="SimSun" w:cs="SimSun" w:hint="eastAsia"/>
          <w:sz w:val="24"/>
          <w:szCs w:val="24"/>
          <w:lang w:eastAsia="zh-CN"/>
        </w:rPr>
        <w:t>日会议的</w:t>
      </w:r>
      <w:r w:rsidRPr="009A4B0B">
        <w:rPr>
          <w:rFonts w:ascii="SimSun" w:eastAsia="SimSun" w:hAnsi="SimSun" w:cs="SimSun" w:hint="eastAsia"/>
          <w:sz w:val="24"/>
          <w:szCs w:val="24"/>
          <w:lang w:eastAsia="zh-CN"/>
        </w:rPr>
        <w:t>第</w:t>
      </w:r>
      <w:r w:rsidRPr="009A4B0B">
        <w:rPr>
          <w:rFonts w:hAnsi="SimSun"/>
          <w:sz w:val="24"/>
          <w:szCs w:val="24"/>
          <w:lang w:eastAsia="zh-CN"/>
        </w:rPr>
        <w:t>7</w:t>
      </w:r>
      <w:r w:rsidR="00B45641">
        <w:rPr>
          <w:rFonts w:ascii="SimSun" w:eastAsia="SimSun" w:hAnsi="SimSun" w:cs="SimSun" w:hint="eastAsia"/>
          <w:sz w:val="24"/>
          <w:szCs w:val="24"/>
          <w:lang w:eastAsia="zh-CN"/>
        </w:rPr>
        <w:t>次全体会议</w:t>
      </w:r>
      <w:r w:rsidRPr="009A4B0B">
        <w:rPr>
          <w:rFonts w:ascii="SimSun" w:eastAsia="SimSun" w:hAnsi="SimSun" w:cs="SimSun" w:hint="eastAsia"/>
          <w:sz w:val="24"/>
          <w:szCs w:val="24"/>
          <w:lang w:eastAsia="zh-CN"/>
        </w:rPr>
        <w:t>上，缔约方大会通过了决定草案</w:t>
      </w:r>
      <w:r w:rsidRPr="009A4B0B">
        <w:rPr>
          <w:rFonts w:hAnsi="SimSun"/>
          <w:sz w:val="24"/>
          <w:szCs w:val="24"/>
          <w:lang w:eastAsia="zh-CN"/>
        </w:rPr>
        <w:t>CBD/COP/14/L.</w:t>
      </w:r>
      <w:r>
        <w:rPr>
          <w:rFonts w:hAnsi="SimSun"/>
          <w:sz w:val="24"/>
          <w:szCs w:val="24"/>
          <w:lang w:eastAsia="zh-CN"/>
        </w:rPr>
        <w:t>18</w:t>
      </w:r>
      <w:r w:rsidRPr="009A4B0B">
        <w:rPr>
          <w:rFonts w:ascii="SimSun" w:eastAsia="SimSun" w:hAnsi="SimSun" w:cs="SimSun" w:hint="eastAsia"/>
          <w:sz w:val="24"/>
          <w:szCs w:val="24"/>
          <w:lang w:eastAsia="zh-CN"/>
        </w:rPr>
        <w:t>，成为第</w:t>
      </w:r>
      <w:r w:rsidRPr="009A4B0B">
        <w:rPr>
          <w:rFonts w:eastAsia="SimSun"/>
          <w:sz w:val="24"/>
          <w:szCs w:val="24"/>
          <w:lang w:eastAsia="zh-CN"/>
        </w:rPr>
        <w:t>14</w:t>
      </w:r>
      <w:r w:rsidRPr="009A4B0B">
        <w:rPr>
          <w:sz w:val="24"/>
          <w:szCs w:val="24"/>
          <w:lang w:eastAsia="zh-CN"/>
        </w:rPr>
        <w:t>/</w:t>
      </w:r>
      <w:r>
        <w:rPr>
          <w:sz w:val="24"/>
          <w:szCs w:val="24"/>
          <w:lang w:eastAsia="zh-CN"/>
        </w:rPr>
        <w:t>32</w:t>
      </w:r>
      <w:r w:rsidRPr="009A4B0B">
        <w:rPr>
          <w:rFonts w:ascii="SimSun" w:eastAsia="SimSun" w:hAnsi="SimSun" w:cs="SimSun" w:hint="eastAsia"/>
          <w:sz w:val="24"/>
          <w:szCs w:val="24"/>
          <w:lang w:eastAsia="zh-CN"/>
        </w:rPr>
        <w:t>号决定</w:t>
      </w:r>
      <w:r w:rsidRPr="009A4B0B">
        <w:rPr>
          <w:rFonts w:eastAsia="SimSun"/>
          <w:sz w:val="24"/>
          <w:szCs w:val="24"/>
          <w:lang w:val="en-US" w:eastAsia="zh-CN"/>
        </w:rPr>
        <w:t>（</w:t>
      </w:r>
      <w:r w:rsidRPr="009A4B0B">
        <w:rPr>
          <w:rFonts w:eastAsia="SimSun" w:hint="eastAsia"/>
          <w:sz w:val="24"/>
          <w:szCs w:val="24"/>
          <w:lang w:eastAsia="zh-CN"/>
        </w:rPr>
        <w:t>案文见</w:t>
      </w:r>
      <w:r w:rsidRPr="009A4B0B">
        <w:rPr>
          <w:rFonts w:eastAsia="SimSun"/>
          <w:sz w:val="24"/>
          <w:szCs w:val="24"/>
          <w:lang w:eastAsia="zh-CN"/>
        </w:rPr>
        <w:t>第一章</w:t>
      </w:r>
      <w:r w:rsidRPr="009A4B0B">
        <w:rPr>
          <w:rFonts w:eastAsia="SimSun" w:hint="eastAsia"/>
          <w:sz w:val="24"/>
          <w:szCs w:val="24"/>
          <w:lang w:eastAsia="zh-CN"/>
        </w:rPr>
        <w:t>）。</w:t>
      </w:r>
    </w:p>
    <w:p w:rsidR="008D76BF" w:rsidRPr="008B7CC9" w:rsidRDefault="008D76BF" w:rsidP="00A434BF">
      <w:pPr>
        <w:pStyle w:val="Para1"/>
        <w:tabs>
          <w:tab w:val="clear" w:pos="360"/>
          <w:tab w:val="left" w:pos="720"/>
        </w:tabs>
        <w:snapToGrid w:val="0"/>
        <w:ind w:firstLine="0"/>
        <w:jc w:val="center"/>
        <w:rPr>
          <w:rStyle w:val="style21"/>
          <w:rFonts w:eastAsia="KaiTi"/>
          <w:color w:val="auto"/>
          <w:lang w:val="en-CA" w:eastAsia="zh-CN"/>
        </w:rPr>
      </w:pPr>
      <w:r w:rsidRPr="008B7CC9">
        <w:rPr>
          <w:rStyle w:val="style21"/>
          <w:rFonts w:eastAsia="KaiTi" w:hint="eastAsia"/>
          <w:color w:val="auto"/>
          <w:lang w:val="en-CA" w:eastAsia="zh-CN"/>
        </w:rPr>
        <w:t>避免或管理各专家组内利益冲突的程序</w:t>
      </w:r>
    </w:p>
    <w:p w:rsidR="008D76BF" w:rsidRPr="008B7CC9" w:rsidRDefault="008D76BF" w:rsidP="00750ECD">
      <w:pPr>
        <w:pStyle w:val="Para1"/>
        <w:numPr>
          <w:ilvl w:val="0"/>
          <w:numId w:val="9"/>
        </w:numPr>
        <w:tabs>
          <w:tab w:val="clear" w:pos="360"/>
          <w:tab w:val="left" w:pos="720"/>
        </w:tabs>
        <w:ind w:firstLine="0"/>
        <w:rPr>
          <w:rFonts w:hAnsi="SimSun"/>
          <w:sz w:val="24"/>
          <w:szCs w:val="24"/>
          <w:lang w:eastAsia="zh-CN"/>
        </w:rPr>
      </w:pPr>
      <w:r w:rsidRPr="008B7CC9">
        <w:rPr>
          <w:rFonts w:ascii="SimSun" w:eastAsia="SimSun" w:hAnsi="SimSun" w:cs="SimSun" w:hint="eastAsia"/>
          <w:sz w:val="24"/>
          <w:szCs w:val="24"/>
          <w:lang w:eastAsia="zh-CN"/>
        </w:rPr>
        <w:t>第一工作组在</w:t>
      </w:r>
      <w:r w:rsidRPr="008B7CC9">
        <w:rPr>
          <w:rFonts w:hAnsi="SimSun"/>
          <w:sz w:val="24"/>
          <w:szCs w:val="24"/>
          <w:lang w:eastAsia="zh-CN"/>
        </w:rPr>
        <w:t>2018</w:t>
      </w:r>
      <w:r w:rsidRPr="008B7CC9">
        <w:rPr>
          <w:rFonts w:ascii="SimSun" w:eastAsia="SimSun" w:hAnsi="SimSun" w:cs="SimSun" w:hint="eastAsia"/>
          <w:sz w:val="24"/>
          <w:szCs w:val="24"/>
          <w:lang w:eastAsia="zh-CN"/>
        </w:rPr>
        <w:t>年</w:t>
      </w:r>
      <w:r w:rsidRPr="008B7CC9">
        <w:rPr>
          <w:rFonts w:hAnsi="SimSun"/>
          <w:sz w:val="24"/>
          <w:szCs w:val="24"/>
          <w:lang w:eastAsia="zh-CN"/>
        </w:rPr>
        <w:t>11</w:t>
      </w:r>
      <w:r w:rsidRPr="008B7CC9">
        <w:rPr>
          <w:rFonts w:ascii="SimSun" w:eastAsia="SimSun" w:hAnsi="SimSun" w:cs="SimSun" w:hint="eastAsia"/>
          <w:sz w:val="24"/>
          <w:szCs w:val="24"/>
          <w:lang w:eastAsia="zh-CN"/>
        </w:rPr>
        <w:t>月</w:t>
      </w:r>
      <w:r w:rsidRPr="008B7CC9">
        <w:rPr>
          <w:rFonts w:hAnsi="SimSun"/>
          <w:sz w:val="24"/>
          <w:szCs w:val="24"/>
          <w:lang w:eastAsia="zh-CN"/>
        </w:rPr>
        <w:t>21</w:t>
      </w:r>
      <w:r w:rsidRPr="008B7CC9">
        <w:rPr>
          <w:rFonts w:ascii="SimSun" w:eastAsia="SimSun" w:hAnsi="SimSun" w:cs="SimSun" w:hint="eastAsia"/>
          <w:sz w:val="24"/>
          <w:szCs w:val="24"/>
          <w:lang w:eastAsia="zh-CN"/>
        </w:rPr>
        <w:t>日</w:t>
      </w:r>
      <w:r w:rsidR="00363A11">
        <w:rPr>
          <w:rFonts w:ascii="SimSun" w:eastAsia="SimSun" w:hAnsi="SimSun" w:cs="SimSun" w:hint="eastAsia"/>
          <w:sz w:val="24"/>
          <w:szCs w:val="24"/>
          <w:lang w:eastAsia="zh-CN"/>
        </w:rPr>
        <w:t>其</w:t>
      </w:r>
      <w:r w:rsidRPr="008B7CC9">
        <w:rPr>
          <w:rFonts w:ascii="SimSun" w:eastAsia="SimSun" w:hAnsi="SimSun" w:cs="SimSun" w:hint="eastAsia"/>
          <w:sz w:val="24"/>
          <w:szCs w:val="24"/>
          <w:lang w:eastAsia="zh-CN"/>
        </w:rPr>
        <w:t>第</w:t>
      </w:r>
      <w:r w:rsidRPr="008B7CC9">
        <w:rPr>
          <w:rFonts w:hAnsi="SimSun"/>
          <w:sz w:val="24"/>
          <w:szCs w:val="24"/>
          <w:lang w:eastAsia="zh-CN"/>
        </w:rPr>
        <w:t>6</w:t>
      </w:r>
      <w:r w:rsidRPr="008B7CC9">
        <w:rPr>
          <w:rFonts w:ascii="SimSun" w:eastAsia="SimSun" w:hAnsi="SimSun" w:cs="SimSun" w:hint="eastAsia"/>
          <w:sz w:val="24"/>
          <w:szCs w:val="24"/>
          <w:lang w:eastAsia="zh-CN"/>
        </w:rPr>
        <w:t>场会议上，审议了议程项目</w:t>
      </w:r>
      <w:r w:rsidRPr="008B7CC9">
        <w:rPr>
          <w:rFonts w:hAnsi="SimSun"/>
          <w:sz w:val="24"/>
          <w:szCs w:val="24"/>
          <w:lang w:eastAsia="zh-CN"/>
        </w:rPr>
        <w:t>15</w:t>
      </w:r>
      <w:r w:rsidRPr="008B7CC9">
        <w:rPr>
          <w:rFonts w:ascii="SimSun" w:eastAsia="SimSun" w:hAnsi="SimSun" w:cs="SimSun" w:hint="eastAsia"/>
          <w:sz w:val="24"/>
          <w:szCs w:val="24"/>
          <w:lang w:eastAsia="zh-CN"/>
        </w:rPr>
        <w:t>的第二</w:t>
      </w:r>
      <w:r w:rsidR="004375B9">
        <w:rPr>
          <w:rFonts w:ascii="SimSun" w:eastAsia="SimSun" w:hAnsi="SimSun" w:cs="SimSun" w:hint="eastAsia"/>
          <w:sz w:val="24"/>
          <w:szCs w:val="24"/>
          <w:lang w:eastAsia="zh-CN"/>
        </w:rPr>
        <w:t>个议题</w:t>
      </w:r>
      <w:r w:rsidRPr="008B7CC9">
        <w:rPr>
          <w:rFonts w:ascii="SimSun" w:eastAsia="SimSun" w:hAnsi="SimSun" w:cs="SimSun" w:hint="eastAsia"/>
          <w:sz w:val="24"/>
          <w:szCs w:val="24"/>
          <w:lang w:eastAsia="zh-CN"/>
        </w:rPr>
        <w:t>。在审议该项目时，工作组收到了根据决定草案汇编（</w:t>
      </w:r>
      <w:r w:rsidRPr="008B7CC9">
        <w:rPr>
          <w:rFonts w:hAnsi="SimSun"/>
          <w:sz w:val="24"/>
          <w:szCs w:val="24"/>
          <w:lang w:eastAsia="zh-CN"/>
        </w:rPr>
        <w:t>CBD/COP/14/2</w:t>
      </w:r>
      <w:r w:rsidRPr="008B7CC9">
        <w:rPr>
          <w:rFonts w:ascii="SimSun" w:eastAsia="SimSun" w:hAnsi="SimSun" w:cs="SimSun" w:hint="eastAsia"/>
          <w:sz w:val="24"/>
          <w:szCs w:val="24"/>
          <w:lang w:eastAsia="zh-CN"/>
        </w:rPr>
        <w:t>）</w:t>
      </w:r>
      <w:r w:rsidR="00733957">
        <w:rPr>
          <w:rFonts w:ascii="SimSun" w:eastAsia="SimSun" w:hAnsi="SimSun" w:cs="SimSun" w:hint="eastAsia"/>
          <w:sz w:val="24"/>
          <w:szCs w:val="24"/>
          <w:lang w:eastAsia="zh-CN"/>
        </w:rPr>
        <w:t>所载</w:t>
      </w:r>
      <w:r w:rsidRPr="008B7CC9">
        <w:rPr>
          <w:rFonts w:ascii="SimSun" w:eastAsia="SimSun" w:hAnsi="SimSun" w:cs="SimSun" w:hint="eastAsia"/>
          <w:sz w:val="24"/>
          <w:szCs w:val="24"/>
          <w:lang w:eastAsia="zh-CN"/>
        </w:rPr>
        <w:t>的执行问题附属机构第</w:t>
      </w:r>
      <w:r w:rsidRPr="008B7CC9">
        <w:rPr>
          <w:rFonts w:hAnsi="SimSun"/>
          <w:sz w:val="24"/>
          <w:szCs w:val="24"/>
          <w:lang w:eastAsia="zh-CN"/>
        </w:rPr>
        <w:t>SBI-2/15</w:t>
      </w:r>
      <w:r w:rsidRPr="008B7CC9">
        <w:rPr>
          <w:rFonts w:ascii="SimSun" w:eastAsia="SimSun" w:hAnsi="SimSun" w:cs="SimSun" w:hint="eastAsia"/>
          <w:sz w:val="24"/>
          <w:szCs w:val="24"/>
          <w:lang w:eastAsia="zh-CN"/>
        </w:rPr>
        <w:t>号建议</w:t>
      </w:r>
      <w:r w:rsidRPr="008B7CC9">
        <w:rPr>
          <w:rFonts w:hAnsi="SimSun"/>
          <w:sz w:val="24"/>
          <w:szCs w:val="24"/>
          <w:lang w:eastAsia="zh-CN"/>
        </w:rPr>
        <w:t>B</w:t>
      </w:r>
      <w:r w:rsidRPr="008B7CC9">
        <w:rPr>
          <w:rFonts w:ascii="SimSun" w:eastAsia="SimSun" w:hAnsi="SimSun" w:cs="SimSun" w:hint="eastAsia"/>
          <w:sz w:val="24"/>
          <w:szCs w:val="24"/>
          <w:lang w:eastAsia="zh-CN"/>
        </w:rPr>
        <w:t>部分提出的决定草案，以及缔约方和观察员就避免或管理各专家组内利益冲突的程序提出的意见概要（</w:t>
      </w:r>
      <w:r w:rsidRPr="008B7CC9">
        <w:rPr>
          <w:rFonts w:hAnsi="SimSun"/>
          <w:sz w:val="24"/>
          <w:szCs w:val="24"/>
          <w:lang w:eastAsia="zh-CN"/>
        </w:rPr>
        <w:t>CBD/COP/14/INF/3</w:t>
      </w:r>
      <w:r w:rsidRPr="008B7CC9">
        <w:rPr>
          <w:rFonts w:ascii="SimSun" w:eastAsia="SimSun" w:hAnsi="SimSun" w:cs="SimSun" w:hint="eastAsia"/>
          <w:sz w:val="24"/>
          <w:szCs w:val="24"/>
          <w:lang w:eastAsia="zh-CN"/>
        </w:rPr>
        <w:t>）。</w:t>
      </w:r>
    </w:p>
    <w:p w:rsidR="008D76BF" w:rsidRPr="008B7CC9" w:rsidRDefault="008D76BF" w:rsidP="00750ECD">
      <w:pPr>
        <w:pStyle w:val="Para1"/>
        <w:numPr>
          <w:ilvl w:val="0"/>
          <w:numId w:val="9"/>
        </w:numPr>
        <w:tabs>
          <w:tab w:val="clear" w:pos="360"/>
          <w:tab w:val="left" w:pos="720"/>
        </w:tabs>
        <w:ind w:firstLine="0"/>
        <w:rPr>
          <w:rFonts w:hAnsi="SimSun"/>
          <w:sz w:val="24"/>
          <w:szCs w:val="24"/>
          <w:lang w:eastAsia="zh-CN"/>
        </w:rPr>
      </w:pPr>
      <w:r w:rsidRPr="008B7CC9">
        <w:rPr>
          <w:rFonts w:ascii="SimSun" w:eastAsia="SimSun" w:hAnsi="SimSun" w:cs="SimSun" w:hint="eastAsia"/>
          <w:sz w:val="24"/>
          <w:szCs w:val="24"/>
          <w:lang w:eastAsia="zh-CN"/>
        </w:rPr>
        <w:lastRenderedPageBreak/>
        <w:t>下列国家的代表</w:t>
      </w:r>
      <w:r w:rsidR="006952B0">
        <w:rPr>
          <w:rFonts w:ascii="SimSun" w:eastAsia="SimSun" w:hAnsi="SimSun" w:cs="SimSun" w:hint="eastAsia"/>
          <w:sz w:val="24"/>
          <w:szCs w:val="24"/>
          <w:lang w:eastAsia="zh-CN"/>
        </w:rPr>
        <w:t>作了发言</w:t>
      </w:r>
      <w:r w:rsidRPr="008B7CC9">
        <w:rPr>
          <w:rFonts w:ascii="SimSun" w:eastAsia="SimSun" w:hAnsi="SimSun" w:cs="SimSun" w:hint="eastAsia"/>
          <w:sz w:val="24"/>
          <w:szCs w:val="24"/>
          <w:lang w:eastAsia="zh-CN"/>
        </w:rPr>
        <w:t>；阿根廷、加拿大、欧洲联盟及其</w:t>
      </w:r>
      <w:r w:rsidRPr="008B7CC9">
        <w:rPr>
          <w:rFonts w:hAnsi="SimSun"/>
          <w:sz w:val="24"/>
          <w:szCs w:val="24"/>
          <w:lang w:eastAsia="zh-CN"/>
        </w:rPr>
        <w:t>28</w:t>
      </w:r>
      <w:r w:rsidRPr="008B7CC9">
        <w:rPr>
          <w:rFonts w:ascii="SimSun" w:eastAsia="SimSun" w:hAnsi="SimSun" w:cs="SimSun" w:hint="eastAsia"/>
          <w:sz w:val="24"/>
          <w:szCs w:val="24"/>
          <w:lang w:eastAsia="zh-CN"/>
        </w:rPr>
        <w:t>个成员国、洪都拉斯、印度、约旦、墨西哥、新西兰、巴拿马、巴拉圭、瑞士和乌干达</w:t>
      </w:r>
      <w:r>
        <w:rPr>
          <w:rFonts w:ascii="SimSun" w:eastAsia="SimSun" w:hAnsi="SimSun" w:cs="SimSun" w:hint="eastAsia"/>
          <w:sz w:val="24"/>
          <w:szCs w:val="24"/>
          <w:lang w:eastAsia="zh-CN"/>
        </w:rPr>
        <w:t>（代表非洲国家集团）</w:t>
      </w:r>
      <w:r w:rsidRPr="008B7CC9">
        <w:rPr>
          <w:rFonts w:ascii="SimSun" w:eastAsia="SimSun" w:hAnsi="SimSun" w:cs="SimSun" w:hint="eastAsia"/>
          <w:sz w:val="24"/>
          <w:szCs w:val="24"/>
          <w:lang w:eastAsia="zh-CN"/>
        </w:rPr>
        <w:t>。</w:t>
      </w:r>
    </w:p>
    <w:p w:rsidR="008D76BF" w:rsidRPr="008B7CC9" w:rsidRDefault="008D76BF" w:rsidP="00750ECD">
      <w:pPr>
        <w:pStyle w:val="Para1"/>
        <w:numPr>
          <w:ilvl w:val="0"/>
          <w:numId w:val="9"/>
        </w:numPr>
        <w:tabs>
          <w:tab w:val="clear" w:pos="360"/>
          <w:tab w:val="left" w:pos="720"/>
        </w:tabs>
        <w:ind w:firstLine="0"/>
        <w:rPr>
          <w:rFonts w:hAnsi="SimSun"/>
          <w:sz w:val="24"/>
          <w:szCs w:val="24"/>
          <w:lang w:eastAsia="zh-CN"/>
        </w:rPr>
      </w:pPr>
      <w:r w:rsidRPr="008B7CC9">
        <w:rPr>
          <w:rFonts w:ascii="SimSun" w:eastAsia="SimSun" w:hAnsi="SimSun" w:cs="SimSun" w:hint="eastAsia"/>
          <w:sz w:val="24"/>
          <w:szCs w:val="24"/>
          <w:lang w:eastAsia="zh-CN"/>
        </w:rPr>
        <w:t>克雷格</w:t>
      </w:r>
      <w:r w:rsidRPr="008B7CC9">
        <w:rPr>
          <w:rFonts w:hAnsi="SimSun"/>
          <w:sz w:val="24"/>
          <w:szCs w:val="24"/>
          <w:lang w:eastAsia="zh-CN"/>
        </w:rPr>
        <w:t>•</w:t>
      </w:r>
      <w:r w:rsidRPr="008B7CC9">
        <w:rPr>
          <w:rFonts w:ascii="SimSun" w:eastAsia="SimSun" w:hAnsi="SimSun" w:cs="SimSun" w:hint="eastAsia"/>
          <w:sz w:val="24"/>
          <w:szCs w:val="24"/>
          <w:lang w:eastAsia="zh-CN"/>
        </w:rPr>
        <w:t>文特尔研究所、公共研究和管理倡议以及第三世界网络组织（也代表</w:t>
      </w:r>
      <w:r w:rsidRPr="008B7CC9">
        <w:rPr>
          <w:rFonts w:hAnsi="SimSun"/>
          <w:sz w:val="24"/>
          <w:szCs w:val="24"/>
          <w:lang w:eastAsia="zh-CN"/>
        </w:rPr>
        <w:t>Econexus</w:t>
      </w:r>
      <w:r w:rsidRPr="008B7CC9">
        <w:rPr>
          <w:rFonts w:ascii="SimSun" w:eastAsia="SimSun" w:hAnsi="SimSun" w:cs="SimSun" w:hint="eastAsia"/>
          <w:sz w:val="24"/>
          <w:szCs w:val="24"/>
          <w:lang w:eastAsia="zh-CN"/>
        </w:rPr>
        <w:t>、欧洲议题中心、国际地球之友和保护自然组织）的代表也</w:t>
      </w:r>
      <w:r w:rsidR="006952B0">
        <w:rPr>
          <w:rFonts w:ascii="SimSun" w:eastAsia="SimSun" w:hAnsi="SimSun" w:cs="SimSun" w:hint="eastAsia"/>
          <w:sz w:val="24"/>
          <w:szCs w:val="24"/>
          <w:lang w:eastAsia="zh-CN"/>
        </w:rPr>
        <w:t>作了发言</w:t>
      </w:r>
      <w:r w:rsidRPr="008B7CC9">
        <w:rPr>
          <w:rFonts w:ascii="SimSun" w:eastAsia="SimSun" w:hAnsi="SimSun" w:cs="SimSun" w:hint="eastAsia"/>
          <w:sz w:val="24"/>
          <w:szCs w:val="24"/>
          <w:lang w:eastAsia="zh-CN"/>
        </w:rPr>
        <w:t>。</w:t>
      </w:r>
    </w:p>
    <w:p w:rsidR="008D76BF" w:rsidRPr="00FB0B4A" w:rsidRDefault="008D76BF" w:rsidP="00750ECD">
      <w:pPr>
        <w:pStyle w:val="Para1"/>
        <w:numPr>
          <w:ilvl w:val="0"/>
          <w:numId w:val="9"/>
        </w:numPr>
        <w:tabs>
          <w:tab w:val="clear" w:pos="360"/>
          <w:tab w:val="left" w:pos="720"/>
        </w:tabs>
        <w:ind w:firstLine="0"/>
        <w:rPr>
          <w:rFonts w:hAnsi="SimSun"/>
          <w:sz w:val="24"/>
          <w:szCs w:val="24"/>
          <w:lang w:eastAsia="zh-CN"/>
        </w:rPr>
      </w:pPr>
      <w:r w:rsidRPr="008B7CC9">
        <w:rPr>
          <w:rFonts w:ascii="SimSun" w:eastAsia="SimSun" w:hAnsi="SimSun" w:cs="SimSun" w:hint="eastAsia"/>
          <w:sz w:val="24"/>
          <w:szCs w:val="24"/>
          <w:lang w:eastAsia="zh-CN"/>
        </w:rPr>
        <w:t>经交换看法后，主席设立了主席之友小组继续讨论各项未决问题。</w:t>
      </w:r>
    </w:p>
    <w:p w:rsidR="008D76BF" w:rsidRPr="00FE0455" w:rsidRDefault="0006774F" w:rsidP="00750ECD">
      <w:pPr>
        <w:pStyle w:val="Para1"/>
        <w:numPr>
          <w:ilvl w:val="0"/>
          <w:numId w:val="9"/>
        </w:numPr>
        <w:tabs>
          <w:tab w:val="clear" w:pos="360"/>
          <w:tab w:val="left" w:pos="720"/>
        </w:tabs>
        <w:ind w:firstLine="0"/>
        <w:rPr>
          <w:rFonts w:eastAsia="Times New Roman"/>
          <w:sz w:val="24"/>
          <w:szCs w:val="24"/>
          <w:lang w:eastAsia="zh-CN"/>
        </w:rPr>
      </w:pPr>
      <w:r>
        <w:rPr>
          <w:rFonts w:eastAsia="SimSun" w:hAnsi="SimSun" w:hint="eastAsia"/>
          <w:sz w:val="24"/>
          <w:szCs w:val="24"/>
          <w:lang w:eastAsia="zh-CN"/>
        </w:rPr>
        <w:t>第一工作组</w:t>
      </w:r>
      <w:r w:rsidR="008D76BF">
        <w:rPr>
          <w:rFonts w:eastAsia="SimSun" w:hAnsi="SimSun" w:hint="eastAsia"/>
          <w:sz w:val="24"/>
          <w:szCs w:val="24"/>
          <w:lang w:eastAsia="zh-CN"/>
        </w:rPr>
        <w:t>在</w:t>
      </w:r>
      <w:r w:rsidR="008D76BF">
        <w:rPr>
          <w:rFonts w:eastAsia="SimSun" w:hAnsi="SimSun"/>
          <w:sz w:val="24"/>
          <w:szCs w:val="24"/>
          <w:lang w:eastAsia="zh-CN"/>
        </w:rPr>
        <w:t>2018</w:t>
      </w:r>
      <w:r w:rsidR="008D76BF">
        <w:rPr>
          <w:rFonts w:eastAsia="SimSun" w:hAnsi="SimSun" w:hint="eastAsia"/>
          <w:sz w:val="24"/>
          <w:szCs w:val="24"/>
          <w:lang w:eastAsia="zh-CN"/>
        </w:rPr>
        <w:t>年</w:t>
      </w:r>
      <w:r w:rsidR="008D76BF">
        <w:rPr>
          <w:rFonts w:eastAsia="SimSun" w:hAnsi="SimSun"/>
          <w:sz w:val="24"/>
          <w:szCs w:val="24"/>
          <w:lang w:eastAsia="zh-CN"/>
        </w:rPr>
        <w:t>11</w:t>
      </w:r>
      <w:r w:rsidR="008D76BF">
        <w:rPr>
          <w:rFonts w:eastAsia="SimSun" w:hAnsi="SimSun" w:hint="eastAsia"/>
          <w:sz w:val="24"/>
          <w:szCs w:val="24"/>
          <w:lang w:eastAsia="zh-CN"/>
        </w:rPr>
        <w:t>月</w:t>
      </w:r>
      <w:r w:rsidR="008D76BF">
        <w:rPr>
          <w:rFonts w:eastAsia="SimSun" w:hAnsi="SimSun"/>
          <w:sz w:val="24"/>
          <w:szCs w:val="24"/>
          <w:lang w:eastAsia="zh-CN"/>
        </w:rPr>
        <w:t>28</w:t>
      </w:r>
      <w:r>
        <w:rPr>
          <w:rFonts w:eastAsia="SimSun" w:hAnsi="SimSun" w:hint="eastAsia"/>
          <w:sz w:val="24"/>
          <w:szCs w:val="24"/>
          <w:lang w:eastAsia="zh-CN"/>
        </w:rPr>
        <w:t>日其</w:t>
      </w:r>
      <w:r w:rsidR="008D76BF">
        <w:rPr>
          <w:rFonts w:eastAsia="SimSun" w:hAnsi="SimSun" w:hint="eastAsia"/>
          <w:sz w:val="24"/>
          <w:szCs w:val="24"/>
          <w:lang w:eastAsia="zh-CN"/>
        </w:rPr>
        <w:t>第</w:t>
      </w:r>
      <w:r w:rsidR="008D76BF">
        <w:rPr>
          <w:rFonts w:eastAsia="SimSun" w:hAnsi="SimSun"/>
          <w:sz w:val="24"/>
          <w:szCs w:val="24"/>
          <w:lang w:eastAsia="zh-CN"/>
        </w:rPr>
        <w:t>12</w:t>
      </w:r>
      <w:r w:rsidR="008D76BF">
        <w:rPr>
          <w:rFonts w:eastAsia="SimSun" w:hAnsi="SimSun" w:hint="eastAsia"/>
          <w:sz w:val="24"/>
          <w:szCs w:val="24"/>
          <w:lang w:eastAsia="zh-CN"/>
        </w:rPr>
        <w:t>场会议上审议了主席提交的订正</w:t>
      </w:r>
      <w:r w:rsidR="00E17F8A">
        <w:rPr>
          <w:rFonts w:eastAsia="SimSun" w:hAnsi="SimSun" w:hint="eastAsia"/>
          <w:sz w:val="24"/>
          <w:szCs w:val="24"/>
          <w:lang w:eastAsia="zh-CN"/>
        </w:rPr>
        <w:t>决定草案</w:t>
      </w:r>
      <w:r w:rsidR="008D76BF">
        <w:rPr>
          <w:rFonts w:eastAsia="SimSun" w:hAnsi="SimSun" w:hint="eastAsia"/>
          <w:sz w:val="24"/>
          <w:szCs w:val="24"/>
          <w:lang w:eastAsia="zh-CN"/>
        </w:rPr>
        <w:t>。</w:t>
      </w:r>
    </w:p>
    <w:p w:rsidR="008D76BF" w:rsidRPr="00FE0455" w:rsidRDefault="00EA4BF6" w:rsidP="00750ECD">
      <w:pPr>
        <w:pStyle w:val="Para1"/>
        <w:numPr>
          <w:ilvl w:val="0"/>
          <w:numId w:val="9"/>
        </w:numPr>
        <w:tabs>
          <w:tab w:val="clear" w:pos="360"/>
          <w:tab w:val="left" w:pos="720"/>
        </w:tabs>
        <w:ind w:firstLine="0"/>
        <w:rPr>
          <w:rFonts w:eastAsia="Times New Roman"/>
          <w:sz w:val="24"/>
          <w:szCs w:val="24"/>
          <w:lang w:eastAsia="zh-CN"/>
        </w:rPr>
      </w:pPr>
      <w:r>
        <w:rPr>
          <w:rFonts w:eastAsia="SimSun" w:hAnsi="SimSun" w:hint="eastAsia"/>
          <w:sz w:val="24"/>
          <w:szCs w:val="24"/>
          <w:lang w:eastAsia="zh-CN"/>
        </w:rPr>
        <w:t>下列国家代表</w:t>
      </w:r>
      <w:r w:rsidR="006952B0">
        <w:rPr>
          <w:rFonts w:eastAsia="SimSun" w:hAnsi="SimSun" w:hint="eastAsia"/>
          <w:sz w:val="24"/>
          <w:szCs w:val="24"/>
          <w:lang w:eastAsia="zh-CN"/>
        </w:rPr>
        <w:t>作了发言</w:t>
      </w:r>
      <w:r w:rsidR="008D76BF">
        <w:rPr>
          <w:rFonts w:eastAsia="SimSun" w:hAnsi="SimSun" w:hint="eastAsia"/>
          <w:sz w:val="24"/>
          <w:szCs w:val="24"/>
          <w:lang w:eastAsia="zh-CN"/>
        </w:rPr>
        <w:t>：加拿大、</w:t>
      </w:r>
      <w:r w:rsidR="008D76BF" w:rsidRPr="001720CE">
        <w:rPr>
          <w:rFonts w:eastAsia="SimSun" w:hAnsi="SimSun" w:hint="eastAsia"/>
          <w:sz w:val="24"/>
          <w:szCs w:val="24"/>
          <w:lang w:eastAsia="zh-CN"/>
        </w:rPr>
        <w:t>哥伦比亚、</w:t>
      </w:r>
      <w:r w:rsidR="008D76BF">
        <w:rPr>
          <w:rFonts w:eastAsia="SimSun" w:hAnsi="SimSun" w:hint="eastAsia"/>
          <w:sz w:val="24"/>
          <w:szCs w:val="24"/>
          <w:lang w:eastAsia="zh-CN"/>
        </w:rPr>
        <w:t>刚果、</w:t>
      </w:r>
      <w:r w:rsidR="008D76BF" w:rsidRPr="00FE0455">
        <w:rPr>
          <w:rFonts w:eastAsia="SimSun" w:hAnsi="SimSun" w:hint="eastAsia"/>
          <w:sz w:val="24"/>
          <w:szCs w:val="24"/>
          <w:lang w:eastAsia="zh-CN"/>
        </w:rPr>
        <w:t>欧洲联盟及其</w:t>
      </w:r>
      <w:r w:rsidR="008D76BF" w:rsidRPr="00FE0455">
        <w:rPr>
          <w:rFonts w:eastAsia="SimSun" w:hAnsi="SimSun"/>
          <w:sz w:val="24"/>
          <w:szCs w:val="24"/>
          <w:lang w:eastAsia="zh-CN"/>
        </w:rPr>
        <w:t>28</w:t>
      </w:r>
      <w:r w:rsidR="008D76BF" w:rsidRPr="00FE0455">
        <w:rPr>
          <w:rFonts w:eastAsia="SimSun" w:hAnsi="SimSun" w:hint="eastAsia"/>
          <w:sz w:val="24"/>
          <w:szCs w:val="24"/>
          <w:lang w:eastAsia="zh-CN"/>
        </w:rPr>
        <w:t>个成员国</w:t>
      </w:r>
      <w:r w:rsidR="008D76BF" w:rsidRPr="001720CE">
        <w:rPr>
          <w:rFonts w:eastAsia="SimSun" w:hAnsi="SimSun" w:hint="eastAsia"/>
          <w:sz w:val="24"/>
          <w:szCs w:val="24"/>
          <w:lang w:eastAsia="zh-CN"/>
        </w:rPr>
        <w:t>、加蓬、几内亚、</w:t>
      </w:r>
      <w:r w:rsidR="008D76BF">
        <w:rPr>
          <w:rFonts w:eastAsia="SimSun" w:hAnsi="SimSun" w:hint="eastAsia"/>
          <w:sz w:val="24"/>
          <w:szCs w:val="24"/>
          <w:lang w:eastAsia="zh-CN"/>
        </w:rPr>
        <w:t>卡塔尔、瑞士和坦桑尼亚联合共和国。</w:t>
      </w:r>
    </w:p>
    <w:p w:rsidR="008D76BF" w:rsidRPr="008B7CC9" w:rsidRDefault="008D76BF" w:rsidP="00750ECD">
      <w:pPr>
        <w:pStyle w:val="Para1"/>
        <w:numPr>
          <w:ilvl w:val="0"/>
          <w:numId w:val="9"/>
        </w:numPr>
        <w:tabs>
          <w:tab w:val="clear" w:pos="360"/>
          <w:tab w:val="left" w:pos="720"/>
        </w:tabs>
        <w:ind w:firstLine="0"/>
        <w:rPr>
          <w:rFonts w:hAnsi="SimSun"/>
          <w:sz w:val="24"/>
          <w:szCs w:val="24"/>
          <w:lang w:eastAsia="zh-CN"/>
        </w:rPr>
      </w:pPr>
      <w:r w:rsidRPr="00FE0455">
        <w:rPr>
          <w:rFonts w:eastAsia="SimSun" w:hAnsi="SimSun" w:hint="eastAsia"/>
          <w:sz w:val="24"/>
          <w:szCs w:val="24"/>
          <w:lang w:eastAsia="zh-CN"/>
        </w:rPr>
        <w:t>工作组核准了</w:t>
      </w:r>
      <w:r>
        <w:rPr>
          <w:rFonts w:eastAsia="SimSun" w:hAnsi="SimSun" w:hint="eastAsia"/>
          <w:sz w:val="24"/>
          <w:szCs w:val="24"/>
          <w:lang w:eastAsia="zh-CN"/>
        </w:rPr>
        <w:t>经口头修订的订正</w:t>
      </w:r>
      <w:r w:rsidRPr="00FE0455">
        <w:rPr>
          <w:rFonts w:eastAsia="SimSun" w:hAnsi="SimSun" w:hint="eastAsia"/>
          <w:sz w:val="24"/>
          <w:szCs w:val="24"/>
          <w:lang w:eastAsia="zh-CN"/>
        </w:rPr>
        <w:t>决定草案，作为决定草案</w:t>
      </w:r>
      <w:r w:rsidRPr="00FE0455">
        <w:rPr>
          <w:rFonts w:eastAsia="SimSun"/>
          <w:sz w:val="24"/>
          <w:szCs w:val="24"/>
          <w:lang w:eastAsia="zh-CN"/>
        </w:rPr>
        <w:t>CBD/COP/14/L.</w:t>
      </w:r>
      <w:r>
        <w:rPr>
          <w:rFonts w:eastAsia="SimSun"/>
          <w:sz w:val="24"/>
          <w:szCs w:val="24"/>
          <w:lang w:eastAsia="zh-CN"/>
        </w:rPr>
        <w:t>29</w:t>
      </w:r>
      <w:r w:rsidRPr="00FE0455">
        <w:rPr>
          <w:rFonts w:eastAsia="SimSun" w:hAnsi="SimSun" w:hint="eastAsia"/>
          <w:sz w:val="24"/>
          <w:szCs w:val="24"/>
          <w:lang w:eastAsia="zh-CN"/>
        </w:rPr>
        <w:t>转交全体会议</w:t>
      </w:r>
      <w:r>
        <w:rPr>
          <w:rFonts w:eastAsia="SimSun" w:hAnsi="SimSun" w:hint="eastAsia"/>
          <w:sz w:val="24"/>
          <w:szCs w:val="24"/>
          <w:lang w:eastAsia="zh-CN"/>
        </w:rPr>
        <w:t>。</w:t>
      </w:r>
    </w:p>
    <w:p w:rsidR="009A4B0B" w:rsidRPr="009A4B0B" w:rsidRDefault="009A4B0B" w:rsidP="009A4B0B">
      <w:pPr>
        <w:pStyle w:val="Para1"/>
        <w:numPr>
          <w:ilvl w:val="0"/>
          <w:numId w:val="9"/>
        </w:numPr>
        <w:tabs>
          <w:tab w:val="clear" w:pos="360"/>
          <w:tab w:val="left" w:pos="720"/>
        </w:tabs>
        <w:ind w:firstLine="0"/>
        <w:rPr>
          <w:rFonts w:hAnsi="SimSun"/>
          <w:sz w:val="24"/>
          <w:szCs w:val="24"/>
          <w:lang w:eastAsia="zh-CN"/>
        </w:rPr>
      </w:pPr>
      <w:r w:rsidRPr="009A4B0B">
        <w:rPr>
          <w:rFonts w:ascii="SimSun" w:eastAsia="SimSun" w:hAnsi="SimSun" w:cs="SimSun" w:hint="eastAsia"/>
          <w:sz w:val="24"/>
          <w:szCs w:val="24"/>
          <w:lang w:eastAsia="zh-CN"/>
        </w:rPr>
        <w:t>在</w:t>
      </w:r>
      <w:r w:rsidRPr="009A4B0B">
        <w:rPr>
          <w:rFonts w:hAnsi="SimSun"/>
          <w:sz w:val="24"/>
          <w:szCs w:val="24"/>
          <w:lang w:eastAsia="zh-CN"/>
        </w:rPr>
        <w:t>2018</w:t>
      </w:r>
      <w:r w:rsidRPr="009A4B0B">
        <w:rPr>
          <w:rFonts w:ascii="SimSun" w:eastAsia="SimSun" w:hAnsi="SimSun" w:cs="SimSun" w:hint="eastAsia"/>
          <w:sz w:val="24"/>
          <w:szCs w:val="24"/>
          <w:lang w:eastAsia="zh-CN"/>
        </w:rPr>
        <w:t>年</w:t>
      </w:r>
      <w:r w:rsidRPr="009A4B0B">
        <w:rPr>
          <w:rFonts w:hAnsi="SimSun"/>
          <w:sz w:val="24"/>
          <w:szCs w:val="24"/>
          <w:lang w:eastAsia="zh-CN"/>
        </w:rPr>
        <w:t>11</w:t>
      </w:r>
      <w:r w:rsidRPr="009A4B0B">
        <w:rPr>
          <w:rFonts w:ascii="SimSun" w:eastAsia="SimSun" w:hAnsi="SimSun" w:cs="SimSun" w:hint="eastAsia"/>
          <w:sz w:val="24"/>
          <w:szCs w:val="24"/>
          <w:lang w:eastAsia="zh-CN"/>
        </w:rPr>
        <w:t>月</w:t>
      </w:r>
      <w:r w:rsidRPr="009A4B0B">
        <w:rPr>
          <w:rFonts w:hAnsi="SimSun"/>
          <w:sz w:val="24"/>
          <w:szCs w:val="24"/>
          <w:lang w:eastAsia="zh-CN"/>
        </w:rPr>
        <w:t>29</w:t>
      </w:r>
      <w:r w:rsidRPr="009A4B0B">
        <w:rPr>
          <w:rFonts w:ascii="SimSun" w:eastAsia="SimSun" w:hAnsi="SimSun" w:cs="SimSun" w:hint="eastAsia"/>
          <w:sz w:val="24"/>
          <w:szCs w:val="24"/>
          <w:lang w:eastAsia="zh-CN"/>
        </w:rPr>
        <w:t>日</w:t>
      </w:r>
      <w:r w:rsidR="00363A11">
        <w:rPr>
          <w:rFonts w:ascii="SimSun" w:eastAsia="SimSun" w:hAnsi="SimSun" w:cs="SimSun" w:hint="eastAsia"/>
          <w:sz w:val="24"/>
          <w:szCs w:val="24"/>
          <w:lang w:eastAsia="zh-CN"/>
        </w:rPr>
        <w:t>会议的</w:t>
      </w:r>
      <w:r w:rsidRPr="009A4B0B">
        <w:rPr>
          <w:rFonts w:ascii="SimSun" w:eastAsia="SimSun" w:hAnsi="SimSun" w:cs="SimSun" w:hint="eastAsia"/>
          <w:sz w:val="24"/>
          <w:szCs w:val="24"/>
          <w:lang w:eastAsia="zh-CN"/>
        </w:rPr>
        <w:t>第</w:t>
      </w:r>
      <w:r>
        <w:rPr>
          <w:rFonts w:hAnsi="SimSun"/>
          <w:sz w:val="24"/>
          <w:szCs w:val="24"/>
          <w:lang w:eastAsia="zh-CN"/>
        </w:rPr>
        <w:t>7</w:t>
      </w:r>
      <w:r w:rsidR="00B45641">
        <w:rPr>
          <w:rFonts w:hAnsi="SimSun" w:hint="eastAsia"/>
          <w:sz w:val="24"/>
          <w:szCs w:val="24"/>
          <w:lang w:eastAsia="zh-CN"/>
        </w:rPr>
        <w:t>次全体会议</w:t>
      </w:r>
      <w:r w:rsidRPr="009A4B0B">
        <w:rPr>
          <w:rFonts w:ascii="SimSun" w:eastAsia="SimSun" w:hAnsi="SimSun" w:cs="SimSun" w:hint="eastAsia"/>
          <w:sz w:val="24"/>
          <w:szCs w:val="24"/>
          <w:lang w:eastAsia="zh-CN"/>
        </w:rPr>
        <w:t>上，缔约方大会</w:t>
      </w:r>
      <w:r w:rsidRPr="009A4B0B">
        <w:rPr>
          <w:rFonts w:ascii="SimSun" w:eastAsia="SimSun" w:hAnsi="SimSun" w:cs="SimSun"/>
          <w:sz w:val="24"/>
          <w:szCs w:val="24"/>
          <w:lang w:eastAsia="zh-CN"/>
        </w:rPr>
        <w:t>审议了</w:t>
      </w:r>
      <w:r w:rsidRPr="009A4B0B">
        <w:rPr>
          <w:rFonts w:ascii="SimSun" w:eastAsia="SimSun" w:hAnsi="SimSun" w:cs="SimSun" w:hint="eastAsia"/>
          <w:sz w:val="24"/>
          <w:szCs w:val="24"/>
          <w:lang w:eastAsia="zh-CN"/>
        </w:rPr>
        <w:t>决定草案</w:t>
      </w:r>
      <w:r>
        <w:rPr>
          <w:rFonts w:hAnsi="SimSun"/>
          <w:sz w:val="24"/>
          <w:szCs w:val="24"/>
          <w:lang w:eastAsia="zh-CN"/>
        </w:rPr>
        <w:t>CBD/COP/14/L.29</w:t>
      </w:r>
      <w:r>
        <w:rPr>
          <w:rFonts w:hAnsi="SimSun" w:hint="eastAsia"/>
          <w:sz w:val="24"/>
          <w:szCs w:val="24"/>
          <w:lang w:eastAsia="zh-CN"/>
        </w:rPr>
        <w:t>。</w:t>
      </w:r>
    </w:p>
    <w:p w:rsidR="009A4B0B" w:rsidRPr="009A4B0B" w:rsidRDefault="009A4B0B" w:rsidP="009A4B0B">
      <w:pPr>
        <w:pStyle w:val="Para1"/>
        <w:numPr>
          <w:ilvl w:val="0"/>
          <w:numId w:val="9"/>
        </w:numPr>
        <w:tabs>
          <w:tab w:val="clear" w:pos="360"/>
          <w:tab w:val="left" w:pos="720"/>
        </w:tabs>
        <w:ind w:firstLine="0"/>
        <w:rPr>
          <w:rFonts w:ascii="SimSun" w:eastAsia="SimSun" w:hAnsi="SimSun" w:cs="SimSun"/>
          <w:sz w:val="24"/>
          <w:szCs w:val="24"/>
          <w:lang w:eastAsia="zh-CN"/>
        </w:rPr>
      </w:pPr>
      <w:r>
        <w:rPr>
          <w:rFonts w:ascii="SimSun" w:eastAsia="SimSun" w:hAnsi="SimSun" w:cs="SimSun" w:hint="eastAsia"/>
          <w:sz w:val="24"/>
          <w:szCs w:val="24"/>
          <w:lang w:eastAsia="zh-CN"/>
        </w:rPr>
        <w:t>瑞士的</w:t>
      </w:r>
      <w:r w:rsidRPr="008B7CC9">
        <w:rPr>
          <w:rFonts w:ascii="SimSun" w:eastAsia="SimSun" w:hAnsi="SimSun" w:cs="SimSun" w:hint="eastAsia"/>
          <w:sz w:val="24"/>
          <w:szCs w:val="24"/>
          <w:lang w:eastAsia="zh-CN"/>
        </w:rPr>
        <w:t>代表</w:t>
      </w:r>
      <w:r w:rsidR="006952B0">
        <w:rPr>
          <w:rFonts w:ascii="SimSun" w:eastAsia="SimSun" w:hAnsi="SimSun" w:cs="SimSun" w:hint="eastAsia"/>
          <w:sz w:val="24"/>
          <w:szCs w:val="24"/>
          <w:lang w:eastAsia="zh-CN"/>
        </w:rPr>
        <w:t>作了发言</w:t>
      </w:r>
      <w:r>
        <w:rPr>
          <w:rFonts w:ascii="SimSun" w:eastAsia="SimSun" w:hAnsi="SimSun" w:cs="SimSun"/>
          <w:sz w:val="24"/>
          <w:szCs w:val="24"/>
          <w:lang w:eastAsia="zh-CN"/>
        </w:rPr>
        <w:t>。</w:t>
      </w:r>
    </w:p>
    <w:p w:rsidR="009A4B0B" w:rsidRPr="009A4B0B" w:rsidRDefault="009A4B0B" w:rsidP="009A4B0B">
      <w:pPr>
        <w:pStyle w:val="Para1"/>
        <w:numPr>
          <w:ilvl w:val="0"/>
          <w:numId w:val="9"/>
        </w:numPr>
        <w:tabs>
          <w:tab w:val="clear" w:pos="360"/>
          <w:tab w:val="left" w:pos="720"/>
        </w:tabs>
        <w:ind w:firstLine="0"/>
        <w:rPr>
          <w:rFonts w:ascii="SimSun" w:eastAsia="SimSun" w:hAnsi="SimSun" w:cs="SimSun"/>
          <w:sz w:val="24"/>
          <w:szCs w:val="24"/>
          <w:lang w:eastAsia="zh-CN"/>
        </w:rPr>
      </w:pPr>
      <w:r w:rsidRPr="009A4B0B">
        <w:rPr>
          <w:rFonts w:ascii="SimSun" w:eastAsia="SimSun" w:hAnsi="SimSun" w:cs="SimSun" w:hint="eastAsia"/>
          <w:sz w:val="24"/>
          <w:szCs w:val="24"/>
          <w:lang w:eastAsia="zh-CN"/>
        </w:rPr>
        <w:t>缔约方大会通过了经口头修正</w:t>
      </w:r>
      <w:r w:rsidRPr="009A4B0B">
        <w:rPr>
          <w:rFonts w:ascii="SimSun" w:eastAsia="SimSun" w:hAnsi="SimSun" w:cs="SimSun"/>
          <w:sz w:val="24"/>
          <w:szCs w:val="24"/>
          <w:lang w:eastAsia="zh-CN"/>
        </w:rPr>
        <w:t>的</w:t>
      </w:r>
      <w:r w:rsidRPr="009A4B0B">
        <w:rPr>
          <w:rFonts w:ascii="SimSun" w:eastAsia="SimSun" w:hAnsi="SimSun" w:cs="SimSun" w:hint="eastAsia"/>
          <w:sz w:val="24"/>
          <w:szCs w:val="24"/>
          <w:lang w:eastAsia="zh-CN"/>
        </w:rPr>
        <w:t>决定草案</w:t>
      </w:r>
      <w:r w:rsidRPr="009A4B0B">
        <w:rPr>
          <w:rFonts w:hAnsi="SimSun"/>
          <w:sz w:val="24"/>
          <w:szCs w:val="24"/>
          <w:lang w:eastAsia="zh-CN"/>
        </w:rPr>
        <w:t>CBD/COP/14/L.2</w:t>
      </w:r>
      <w:r>
        <w:rPr>
          <w:rFonts w:hAnsi="SimSun"/>
          <w:sz w:val="24"/>
          <w:szCs w:val="24"/>
          <w:lang w:eastAsia="zh-CN"/>
        </w:rPr>
        <w:t>9</w:t>
      </w:r>
      <w:r w:rsidRPr="009A4B0B">
        <w:rPr>
          <w:rFonts w:ascii="SimSun" w:eastAsia="SimSun" w:hAnsi="SimSun" w:cs="SimSun" w:hint="eastAsia"/>
          <w:sz w:val="24"/>
          <w:szCs w:val="24"/>
          <w:lang w:eastAsia="zh-CN"/>
        </w:rPr>
        <w:t>，成为第</w:t>
      </w:r>
      <w:r w:rsidRPr="009A4B0B">
        <w:rPr>
          <w:rFonts w:eastAsia="SimSun"/>
          <w:sz w:val="24"/>
          <w:szCs w:val="24"/>
          <w:lang w:eastAsia="zh-CN"/>
        </w:rPr>
        <w:t>14</w:t>
      </w:r>
      <w:r w:rsidRPr="009A4B0B">
        <w:rPr>
          <w:sz w:val="24"/>
          <w:szCs w:val="24"/>
          <w:lang w:eastAsia="zh-CN"/>
        </w:rPr>
        <w:t>/3</w:t>
      </w:r>
      <w:r>
        <w:rPr>
          <w:sz w:val="24"/>
          <w:szCs w:val="24"/>
          <w:lang w:eastAsia="zh-CN"/>
        </w:rPr>
        <w:t>3</w:t>
      </w:r>
      <w:r w:rsidRPr="009A4B0B">
        <w:rPr>
          <w:rFonts w:ascii="SimSun" w:eastAsia="SimSun" w:hAnsi="SimSun" w:cs="SimSun" w:hint="eastAsia"/>
          <w:sz w:val="24"/>
          <w:szCs w:val="24"/>
          <w:lang w:eastAsia="zh-CN"/>
        </w:rPr>
        <w:t>号决定</w:t>
      </w:r>
      <w:r w:rsidRPr="009A4B0B">
        <w:rPr>
          <w:rFonts w:eastAsia="SimSun"/>
          <w:sz w:val="24"/>
          <w:szCs w:val="24"/>
          <w:lang w:val="en-US" w:eastAsia="zh-CN"/>
        </w:rPr>
        <w:t>（</w:t>
      </w:r>
      <w:r w:rsidRPr="009A4B0B">
        <w:rPr>
          <w:rFonts w:eastAsia="SimSun" w:hint="eastAsia"/>
          <w:sz w:val="24"/>
          <w:szCs w:val="24"/>
          <w:lang w:eastAsia="zh-CN"/>
        </w:rPr>
        <w:t>案文见</w:t>
      </w:r>
      <w:r w:rsidRPr="009A4B0B">
        <w:rPr>
          <w:rFonts w:eastAsia="SimSun"/>
          <w:sz w:val="24"/>
          <w:szCs w:val="24"/>
          <w:lang w:eastAsia="zh-CN"/>
        </w:rPr>
        <w:t>第一章</w:t>
      </w:r>
      <w:r w:rsidRPr="009A4B0B">
        <w:rPr>
          <w:rFonts w:eastAsia="SimSun" w:hint="eastAsia"/>
          <w:sz w:val="24"/>
          <w:szCs w:val="24"/>
          <w:lang w:eastAsia="zh-CN"/>
        </w:rPr>
        <w:t>）。</w:t>
      </w:r>
    </w:p>
    <w:p w:rsidR="008D76BF" w:rsidRPr="00E63AA3" w:rsidRDefault="008D76BF" w:rsidP="00E63AA3">
      <w:pPr>
        <w:pStyle w:val="Heading1"/>
        <w:spacing w:before="120" w:after="120"/>
        <w:ind w:firstLine="0"/>
        <w:rPr>
          <w:rFonts w:eastAsia="Times New Roman"/>
          <w:sz w:val="24"/>
          <w:lang w:eastAsia="zh-CN"/>
        </w:rPr>
      </w:pPr>
      <w:r w:rsidRPr="00E63AA3">
        <w:rPr>
          <w:rFonts w:hint="eastAsia"/>
          <w:sz w:val="24"/>
          <w:lang w:eastAsia="zh-CN"/>
        </w:rPr>
        <w:t>项目</w:t>
      </w:r>
      <w:r w:rsidRPr="00E63AA3">
        <w:rPr>
          <w:rFonts w:eastAsia="Times New Roman"/>
          <w:sz w:val="24"/>
          <w:lang w:eastAsia="zh-CN"/>
        </w:rPr>
        <w:t xml:space="preserve">16.    </w:t>
      </w:r>
      <w:r w:rsidR="00366699" w:rsidRPr="00E63AA3">
        <w:rPr>
          <w:rFonts w:eastAsia="Times New Roman"/>
          <w:sz w:val="24"/>
          <w:lang w:eastAsia="zh-CN"/>
        </w:rPr>
        <w:t xml:space="preserve"> </w:t>
      </w:r>
      <w:r w:rsidRPr="00E63AA3">
        <w:rPr>
          <w:rFonts w:hint="eastAsia"/>
          <w:sz w:val="24"/>
          <w:lang w:eastAsia="zh-CN"/>
        </w:rPr>
        <w:t>生物多样性和生态系统服务政府间科学政策平台的第二个工作方案</w:t>
      </w:r>
    </w:p>
    <w:p w:rsidR="008D76BF" w:rsidRPr="001A7303" w:rsidRDefault="008D76BF" w:rsidP="00750ECD">
      <w:pPr>
        <w:pStyle w:val="Para1"/>
        <w:numPr>
          <w:ilvl w:val="0"/>
          <w:numId w:val="9"/>
        </w:numPr>
        <w:tabs>
          <w:tab w:val="clear" w:pos="360"/>
          <w:tab w:val="left" w:pos="720"/>
        </w:tabs>
        <w:ind w:firstLine="0"/>
        <w:rPr>
          <w:rFonts w:hAnsi="SimSun"/>
          <w:sz w:val="24"/>
          <w:szCs w:val="24"/>
          <w:lang w:eastAsia="zh-CN"/>
        </w:rPr>
      </w:pPr>
      <w:r w:rsidRPr="001A7303">
        <w:rPr>
          <w:rFonts w:ascii="SimSun" w:eastAsia="SimSun" w:hAnsi="SimSun" w:cs="SimSun" w:hint="eastAsia"/>
          <w:sz w:val="24"/>
          <w:szCs w:val="24"/>
          <w:lang w:eastAsia="zh-CN"/>
        </w:rPr>
        <w:t>第二工作组在</w:t>
      </w:r>
      <w:r w:rsidRPr="001A7303">
        <w:rPr>
          <w:rFonts w:hAnsi="SimSun"/>
          <w:sz w:val="24"/>
          <w:szCs w:val="24"/>
          <w:lang w:eastAsia="zh-CN"/>
        </w:rPr>
        <w:t>2018</w:t>
      </w:r>
      <w:r w:rsidRPr="001A7303">
        <w:rPr>
          <w:rFonts w:ascii="SimSun" w:eastAsia="SimSun" w:hAnsi="SimSun" w:cs="SimSun" w:hint="eastAsia"/>
          <w:sz w:val="24"/>
          <w:szCs w:val="24"/>
          <w:lang w:eastAsia="zh-CN"/>
        </w:rPr>
        <w:t>年</w:t>
      </w:r>
      <w:r w:rsidRPr="001A7303">
        <w:rPr>
          <w:rFonts w:hAnsi="SimSun"/>
          <w:sz w:val="24"/>
          <w:szCs w:val="24"/>
          <w:lang w:eastAsia="zh-CN"/>
        </w:rPr>
        <w:t>11</w:t>
      </w:r>
      <w:r w:rsidRPr="001A7303">
        <w:rPr>
          <w:rFonts w:ascii="SimSun" w:eastAsia="SimSun" w:hAnsi="SimSun" w:cs="SimSun" w:hint="eastAsia"/>
          <w:sz w:val="24"/>
          <w:szCs w:val="24"/>
          <w:lang w:eastAsia="zh-CN"/>
        </w:rPr>
        <w:t>月</w:t>
      </w:r>
      <w:r w:rsidRPr="001A7303">
        <w:rPr>
          <w:rFonts w:hAnsi="SimSun"/>
          <w:sz w:val="24"/>
          <w:szCs w:val="24"/>
          <w:lang w:eastAsia="zh-CN"/>
        </w:rPr>
        <w:t>20</w:t>
      </w:r>
      <w:r w:rsidRPr="001A7303">
        <w:rPr>
          <w:rFonts w:ascii="SimSun" w:eastAsia="SimSun" w:hAnsi="SimSun" w:cs="SimSun" w:hint="eastAsia"/>
          <w:sz w:val="24"/>
          <w:szCs w:val="24"/>
          <w:lang w:eastAsia="zh-CN"/>
        </w:rPr>
        <w:t>日第</w:t>
      </w:r>
      <w:r w:rsidRPr="001A7303">
        <w:rPr>
          <w:rFonts w:hAnsi="SimSun"/>
          <w:sz w:val="24"/>
          <w:szCs w:val="24"/>
          <w:lang w:eastAsia="zh-CN"/>
        </w:rPr>
        <w:t>5</w:t>
      </w:r>
      <w:r w:rsidRPr="001A7303">
        <w:rPr>
          <w:rFonts w:ascii="SimSun" w:eastAsia="SimSun" w:hAnsi="SimSun" w:cs="SimSun" w:hint="eastAsia"/>
          <w:sz w:val="24"/>
          <w:szCs w:val="24"/>
          <w:lang w:eastAsia="zh-CN"/>
        </w:rPr>
        <w:t>场会议审议了议程项目</w:t>
      </w:r>
      <w:r w:rsidRPr="001A7303">
        <w:rPr>
          <w:rFonts w:hAnsi="SimSun"/>
          <w:sz w:val="24"/>
          <w:szCs w:val="24"/>
          <w:lang w:eastAsia="zh-CN"/>
        </w:rPr>
        <w:t>16</w:t>
      </w:r>
      <w:r w:rsidRPr="001A7303">
        <w:rPr>
          <w:rFonts w:ascii="SimSun" w:eastAsia="SimSun" w:hAnsi="SimSun" w:cs="SimSun" w:hint="eastAsia"/>
          <w:sz w:val="24"/>
          <w:szCs w:val="24"/>
          <w:lang w:eastAsia="zh-CN"/>
        </w:rPr>
        <w:t>。在审议该项目时，工作组收到了根据决定草案汇编（</w:t>
      </w:r>
      <w:r w:rsidRPr="001A7303">
        <w:rPr>
          <w:rFonts w:hAnsi="SimSun"/>
          <w:sz w:val="24"/>
          <w:szCs w:val="24"/>
          <w:lang w:eastAsia="zh-CN"/>
        </w:rPr>
        <w:t>CBD/COP/14/2</w:t>
      </w:r>
      <w:r w:rsidRPr="001A7303">
        <w:rPr>
          <w:rFonts w:ascii="SimSun" w:eastAsia="SimSun" w:hAnsi="SimSun" w:cs="SimSun" w:hint="eastAsia"/>
          <w:sz w:val="24"/>
          <w:szCs w:val="24"/>
          <w:lang w:eastAsia="zh-CN"/>
        </w:rPr>
        <w:t>）所载的第</w:t>
      </w:r>
      <w:r w:rsidRPr="00693D26">
        <w:rPr>
          <w:rFonts w:eastAsia="SimSun"/>
          <w:sz w:val="24"/>
          <w:szCs w:val="24"/>
          <w:lang w:eastAsia="zh-CN"/>
        </w:rPr>
        <w:t>SBSTTA</w:t>
      </w:r>
      <w:r>
        <w:rPr>
          <w:rFonts w:eastAsia="SimSun"/>
          <w:sz w:val="24"/>
          <w:szCs w:val="24"/>
          <w:lang w:eastAsia="zh-CN"/>
        </w:rPr>
        <w:t>-</w:t>
      </w:r>
      <w:r w:rsidRPr="001A7303">
        <w:rPr>
          <w:rFonts w:hAnsi="SimSun"/>
          <w:sz w:val="24"/>
          <w:szCs w:val="24"/>
          <w:lang w:eastAsia="zh-CN"/>
        </w:rPr>
        <w:t>22/10</w:t>
      </w:r>
      <w:r w:rsidRPr="001A7303">
        <w:rPr>
          <w:rFonts w:ascii="SimSun" w:eastAsia="SimSun" w:hAnsi="SimSun" w:cs="SimSun" w:hint="eastAsia"/>
          <w:sz w:val="24"/>
          <w:szCs w:val="24"/>
          <w:lang w:eastAsia="zh-CN"/>
        </w:rPr>
        <w:t>号建议编制的决定草案，以及载有向政府间科学政策平台的拟议请求的资料文件（</w:t>
      </w:r>
      <w:r w:rsidRPr="001A7303">
        <w:rPr>
          <w:rFonts w:hAnsi="SimSun"/>
          <w:sz w:val="24"/>
          <w:szCs w:val="24"/>
          <w:lang w:eastAsia="zh-CN"/>
        </w:rPr>
        <w:t>CBD/COP/14/INF/6</w:t>
      </w:r>
      <w:r w:rsidRPr="001A7303">
        <w:rPr>
          <w:rFonts w:ascii="SimSun" w:eastAsia="SimSun" w:hAnsi="SimSun" w:cs="SimSun" w:hint="eastAsia"/>
          <w:sz w:val="24"/>
          <w:szCs w:val="24"/>
          <w:lang w:eastAsia="zh-CN"/>
        </w:rPr>
        <w:t>），拟议请求是根据平台第</w:t>
      </w:r>
      <w:r w:rsidRPr="001A7303">
        <w:rPr>
          <w:rFonts w:hAnsi="SimSun"/>
          <w:sz w:val="24"/>
          <w:szCs w:val="24"/>
          <w:lang w:eastAsia="zh-CN"/>
        </w:rPr>
        <w:t>1/3</w:t>
      </w:r>
      <w:r w:rsidRPr="001A7303">
        <w:rPr>
          <w:rFonts w:ascii="SimSun" w:eastAsia="SimSun" w:hAnsi="SimSun" w:cs="SimSun" w:hint="eastAsia"/>
          <w:sz w:val="24"/>
          <w:szCs w:val="24"/>
          <w:lang w:eastAsia="zh-CN"/>
        </w:rPr>
        <w:t>号决定所定提出请求和优先处理程序而编写的。</w:t>
      </w:r>
    </w:p>
    <w:p w:rsidR="008D76BF" w:rsidRPr="001A7303" w:rsidRDefault="008D76BF" w:rsidP="00750ECD">
      <w:pPr>
        <w:pStyle w:val="Para1"/>
        <w:numPr>
          <w:ilvl w:val="0"/>
          <w:numId w:val="9"/>
        </w:numPr>
        <w:tabs>
          <w:tab w:val="clear" w:pos="360"/>
          <w:tab w:val="left" w:pos="720"/>
        </w:tabs>
        <w:ind w:firstLine="0"/>
        <w:rPr>
          <w:rFonts w:hAnsi="SimSun"/>
          <w:sz w:val="24"/>
          <w:szCs w:val="24"/>
          <w:lang w:eastAsia="zh-CN"/>
        </w:rPr>
      </w:pPr>
      <w:r w:rsidRPr="001A7303">
        <w:rPr>
          <w:rFonts w:ascii="SimSun" w:eastAsia="SimSun" w:hAnsi="SimSun" w:cs="SimSun" w:hint="eastAsia"/>
          <w:sz w:val="24"/>
          <w:szCs w:val="24"/>
          <w:lang w:eastAsia="zh-CN"/>
        </w:rPr>
        <w:t>工作组听取了</w:t>
      </w:r>
      <w:r w:rsidR="00AD56B8" w:rsidRPr="001A7303">
        <w:rPr>
          <w:rFonts w:ascii="SimSun" w:eastAsia="SimSun" w:hAnsi="SimSun" w:cs="SimSun" w:hint="eastAsia"/>
          <w:sz w:val="24"/>
          <w:szCs w:val="24"/>
          <w:lang w:eastAsia="zh-CN"/>
        </w:rPr>
        <w:t>政府间科学政策平台</w:t>
      </w:r>
      <w:r w:rsidRPr="001A7303">
        <w:rPr>
          <w:rFonts w:ascii="SimSun" w:eastAsia="SimSun" w:hAnsi="SimSun" w:cs="SimSun" w:hint="eastAsia"/>
          <w:sz w:val="24"/>
          <w:szCs w:val="24"/>
          <w:lang w:eastAsia="zh-CN"/>
        </w:rPr>
        <w:t>执行秘书的简短介绍，</w:t>
      </w:r>
      <w:r w:rsidR="009A4B0B">
        <w:rPr>
          <w:rFonts w:ascii="SimSun" w:eastAsia="SimSun" w:hAnsi="SimSun" w:cs="SimSun" w:hint="eastAsia"/>
          <w:sz w:val="24"/>
          <w:szCs w:val="24"/>
          <w:lang w:eastAsia="zh-CN"/>
        </w:rPr>
        <w:t>执行秘书</w:t>
      </w:r>
      <w:r w:rsidR="009A4B0B">
        <w:rPr>
          <w:rFonts w:ascii="SimSun" w:eastAsia="SimSun" w:hAnsi="SimSun" w:cs="SimSun"/>
          <w:sz w:val="24"/>
          <w:szCs w:val="24"/>
          <w:lang w:eastAsia="zh-CN"/>
        </w:rPr>
        <w:t>通报说</w:t>
      </w:r>
      <w:r w:rsidRPr="001A7303">
        <w:rPr>
          <w:rFonts w:ascii="SimSun" w:eastAsia="SimSun" w:hAnsi="SimSun" w:cs="SimSun" w:hint="eastAsia"/>
          <w:sz w:val="24"/>
          <w:szCs w:val="24"/>
          <w:lang w:eastAsia="zh-CN"/>
        </w:rPr>
        <w:t>，</w:t>
      </w:r>
      <w:r w:rsidRPr="001A7303">
        <w:rPr>
          <w:rFonts w:hAnsi="SimSun"/>
          <w:sz w:val="24"/>
          <w:szCs w:val="24"/>
          <w:lang w:eastAsia="zh-CN"/>
        </w:rPr>
        <w:t>2019</w:t>
      </w:r>
      <w:r w:rsidRPr="001A7303">
        <w:rPr>
          <w:rFonts w:ascii="SimSun" w:eastAsia="SimSun" w:hAnsi="SimSun" w:cs="SimSun" w:hint="eastAsia"/>
          <w:sz w:val="24"/>
          <w:szCs w:val="24"/>
          <w:lang w:eastAsia="zh-CN"/>
        </w:rPr>
        <w:t>年</w:t>
      </w:r>
      <w:r w:rsidRPr="001A7303">
        <w:rPr>
          <w:rFonts w:hAnsi="SimSun"/>
          <w:sz w:val="24"/>
          <w:szCs w:val="24"/>
          <w:lang w:eastAsia="zh-CN"/>
        </w:rPr>
        <w:t>4</w:t>
      </w:r>
      <w:r w:rsidRPr="001A7303">
        <w:rPr>
          <w:rFonts w:ascii="SimSun" w:eastAsia="SimSun" w:hAnsi="SimSun" w:cs="SimSun" w:hint="eastAsia"/>
          <w:sz w:val="24"/>
          <w:szCs w:val="24"/>
          <w:lang w:eastAsia="zh-CN"/>
        </w:rPr>
        <w:t>月，政府间科学政策平台全体会议将通过该平台</w:t>
      </w:r>
      <w:r w:rsidRPr="001A7303">
        <w:rPr>
          <w:rFonts w:hAnsi="SimSun"/>
          <w:sz w:val="24"/>
          <w:szCs w:val="24"/>
          <w:lang w:eastAsia="zh-CN"/>
        </w:rPr>
        <w:t>2030</w:t>
      </w:r>
      <w:r w:rsidRPr="001A7303">
        <w:rPr>
          <w:rFonts w:ascii="SimSun" w:eastAsia="SimSun" w:hAnsi="SimSun" w:cs="SimSun" w:hint="eastAsia"/>
          <w:sz w:val="24"/>
          <w:szCs w:val="24"/>
          <w:lang w:eastAsia="zh-CN"/>
        </w:rPr>
        <w:t>年之前的第二个工作计划。该平台呼吁各方就即将确定的优先主题提出要求、投入和建议的呼吁，现已收到各多边环境协定、各国政府和其他利益攸关方提出的</w:t>
      </w:r>
      <w:r w:rsidRPr="001A7303">
        <w:rPr>
          <w:rFonts w:hAnsi="SimSun"/>
          <w:sz w:val="24"/>
          <w:szCs w:val="24"/>
          <w:lang w:eastAsia="zh-CN"/>
        </w:rPr>
        <w:t>80</w:t>
      </w:r>
      <w:r w:rsidRPr="001A7303">
        <w:rPr>
          <w:rFonts w:ascii="SimSun" w:eastAsia="SimSun" w:hAnsi="SimSun" w:cs="SimSun" w:hint="eastAsia"/>
          <w:sz w:val="24"/>
          <w:szCs w:val="24"/>
          <w:lang w:eastAsia="zh-CN"/>
        </w:rPr>
        <w:t>多项请求。多学科专家小组和主席团在其</w:t>
      </w:r>
      <w:r w:rsidRPr="001A7303">
        <w:rPr>
          <w:rFonts w:hAnsi="SimSun"/>
          <w:sz w:val="24"/>
          <w:szCs w:val="24"/>
          <w:lang w:eastAsia="zh-CN"/>
        </w:rPr>
        <w:t>2018</w:t>
      </w:r>
      <w:r w:rsidRPr="001A7303">
        <w:rPr>
          <w:rFonts w:ascii="SimSun" w:eastAsia="SimSun" w:hAnsi="SimSun" w:cs="SimSun" w:hint="eastAsia"/>
          <w:sz w:val="24"/>
          <w:szCs w:val="24"/>
          <w:lang w:eastAsia="zh-CN"/>
        </w:rPr>
        <w:t>年</w:t>
      </w:r>
      <w:r w:rsidRPr="001A7303">
        <w:rPr>
          <w:rFonts w:hAnsi="SimSun"/>
          <w:sz w:val="24"/>
          <w:szCs w:val="24"/>
          <w:lang w:eastAsia="zh-CN"/>
        </w:rPr>
        <w:t>10</w:t>
      </w:r>
      <w:r w:rsidRPr="001A7303">
        <w:rPr>
          <w:rFonts w:ascii="SimSun" w:eastAsia="SimSun" w:hAnsi="SimSun" w:cs="SimSun" w:hint="eastAsia"/>
          <w:sz w:val="24"/>
          <w:szCs w:val="24"/>
          <w:lang w:eastAsia="zh-CN"/>
        </w:rPr>
        <w:t>月会议上考虑到</w:t>
      </w:r>
      <w:r w:rsidR="009A4B0B">
        <w:rPr>
          <w:rFonts w:ascii="SimSun" w:eastAsia="SimSun" w:hAnsi="SimSun" w:cs="SimSun" w:hint="eastAsia"/>
          <w:sz w:val="24"/>
          <w:szCs w:val="24"/>
          <w:lang w:eastAsia="zh-CN"/>
        </w:rPr>
        <w:t>科学、</w:t>
      </w:r>
      <w:r w:rsidR="009A4B0B">
        <w:rPr>
          <w:rFonts w:ascii="SimSun" w:eastAsia="SimSun" w:hAnsi="SimSun" w:cs="SimSun"/>
          <w:sz w:val="24"/>
          <w:szCs w:val="24"/>
          <w:lang w:eastAsia="zh-CN"/>
        </w:rPr>
        <w:t>技术和工艺咨询附属机构</w:t>
      </w:r>
      <w:r w:rsidR="009A4B0B">
        <w:rPr>
          <w:rFonts w:ascii="SimSun" w:eastAsia="SimSun" w:hAnsi="SimSun" w:cs="SimSun" w:hint="eastAsia"/>
          <w:sz w:val="24"/>
          <w:szCs w:val="24"/>
          <w:lang w:eastAsia="zh-CN"/>
        </w:rPr>
        <w:t>第二十二次</w:t>
      </w:r>
      <w:r w:rsidRPr="001A7303">
        <w:rPr>
          <w:rFonts w:ascii="SimSun" w:eastAsia="SimSun" w:hAnsi="SimSun" w:cs="SimSun" w:hint="eastAsia"/>
          <w:sz w:val="24"/>
          <w:szCs w:val="24"/>
          <w:lang w:eastAsia="zh-CN"/>
        </w:rPr>
        <w:t>会议建议的专题，将上述排列出轻重缓急。</w:t>
      </w:r>
      <w:r w:rsidR="00AD56B8">
        <w:rPr>
          <w:rFonts w:ascii="SimSun" w:eastAsia="SimSun" w:hAnsi="SimSun" w:cs="SimSun" w:hint="eastAsia"/>
          <w:sz w:val="24"/>
          <w:szCs w:val="24"/>
          <w:lang w:eastAsia="zh-CN"/>
        </w:rPr>
        <w:t>政府间科学政策平台</w:t>
      </w:r>
      <w:r w:rsidRPr="001A7303">
        <w:rPr>
          <w:rFonts w:ascii="SimSun" w:eastAsia="SimSun" w:hAnsi="SimSun" w:cs="SimSun" w:hint="eastAsia"/>
          <w:sz w:val="24"/>
          <w:szCs w:val="24"/>
          <w:lang w:eastAsia="zh-CN"/>
        </w:rPr>
        <w:t>期待收到</w:t>
      </w:r>
      <w:r w:rsidR="009A4B0B">
        <w:rPr>
          <w:rFonts w:ascii="SimSun" w:eastAsia="SimSun" w:hAnsi="SimSun" w:cs="SimSun" w:hint="eastAsia"/>
          <w:sz w:val="24"/>
          <w:szCs w:val="24"/>
          <w:lang w:eastAsia="zh-CN"/>
        </w:rPr>
        <w:t>缔约方大会</w:t>
      </w:r>
      <w:r w:rsidRPr="001A7303">
        <w:rPr>
          <w:rFonts w:ascii="SimSun" w:eastAsia="SimSun" w:hAnsi="SimSun" w:cs="SimSun" w:hint="eastAsia"/>
          <w:sz w:val="24"/>
          <w:szCs w:val="24"/>
          <w:lang w:eastAsia="zh-CN"/>
        </w:rPr>
        <w:t>第十四届会议的最后要求，以便为平台全体会议编制待议处之第一批专题的建议。全体会议表示，打算允许第二个工作方案有更多的灵活性，可能因此决定在</w:t>
      </w:r>
      <w:r w:rsidRPr="001A7303">
        <w:rPr>
          <w:rFonts w:hAnsi="SimSun"/>
          <w:sz w:val="24"/>
          <w:szCs w:val="24"/>
          <w:lang w:eastAsia="zh-CN"/>
        </w:rPr>
        <w:t>2030</w:t>
      </w:r>
      <w:r w:rsidRPr="001A7303">
        <w:rPr>
          <w:rFonts w:ascii="SimSun" w:eastAsia="SimSun" w:hAnsi="SimSun" w:cs="SimSun" w:hint="eastAsia"/>
          <w:sz w:val="24"/>
          <w:szCs w:val="24"/>
          <w:lang w:eastAsia="zh-CN"/>
        </w:rPr>
        <w:t>年之前再发出一次或多次新的呼吁，以征集请求。第二个工作方案的草案将在年底之前出台供审议，然后提交政府间科学政策平台全体会议。</w:t>
      </w:r>
      <w:r w:rsidR="00AD56B8">
        <w:rPr>
          <w:rFonts w:ascii="SimSun" w:eastAsia="SimSun" w:hAnsi="SimSun" w:cs="SimSun" w:hint="eastAsia"/>
          <w:sz w:val="24"/>
          <w:szCs w:val="24"/>
          <w:lang w:eastAsia="zh-CN"/>
        </w:rPr>
        <w:t>政府间科学政策平台</w:t>
      </w:r>
      <w:r w:rsidRPr="001A7303">
        <w:rPr>
          <w:rFonts w:ascii="SimSun" w:eastAsia="SimSun" w:hAnsi="SimSun" w:cs="SimSun" w:hint="eastAsia"/>
          <w:sz w:val="24"/>
          <w:szCs w:val="24"/>
          <w:lang w:eastAsia="zh-CN"/>
        </w:rPr>
        <w:t>下一个工作方案对于支持</w:t>
      </w:r>
      <w:r w:rsidR="00B47408">
        <w:rPr>
          <w:rFonts w:ascii="SimSun" w:eastAsia="SimSun" w:hAnsi="SimSun" w:cs="SimSun" w:hint="eastAsia"/>
          <w:sz w:val="24"/>
          <w:szCs w:val="24"/>
          <w:lang w:eastAsia="zh-CN"/>
        </w:rPr>
        <w:t>实施</w:t>
      </w:r>
      <w:r w:rsidRPr="001A7303">
        <w:rPr>
          <w:rFonts w:hAnsi="SimSun"/>
          <w:sz w:val="24"/>
          <w:szCs w:val="24"/>
          <w:lang w:eastAsia="zh-CN"/>
        </w:rPr>
        <w:t>2020</w:t>
      </w:r>
      <w:r w:rsidRPr="001A7303">
        <w:rPr>
          <w:rFonts w:ascii="SimSun" w:eastAsia="SimSun" w:hAnsi="SimSun" w:cs="SimSun" w:hint="eastAsia"/>
          <w:sz w:val="24"/>
          <w:szCs w:val="24"/>
          <w:lang w:eastAsia="zh-CN"/>
        </w:rPr>
        <w:t>年后生物多样性框架至关重要，她期待与《生物多样性公约》就</w:t>
      </w:r>
      <w:r w:rsidRPr="001A7303">
        <w:rPr>
          <w:rFonts w:hAnsi="SimSun"/>
          <w:sz w:val="24"/>
          <w:szCs w:val="24"/>
          <w:lang w:eastAsia="zh-CN"/>
        </w:rPr>
        <w:t>2050</w:t>
      </w:r>
      <w:r w:rsidRPr="001A7303">
        <w:rPr>
          <w:rFonts w:ascii="SimSun" w:eastAsia="SimSun" w:hAnsi="SimSun" w:cs="SimSun" w:hint="eastAsia"/>
          <w:sz w:val="24"/>
          <w:szCs w:val="24"/>
          <w:lang w:eastAsia="zh-CN"/>
        </w:rPr>
        <w:t>年愿景继续进行富有成效的合作。</w:t>
      </w:r>
    </w:p>
    <w:p w:rsidR="008D76BF" w:rsidRPr="001A7303" w:rsidRDefault="008D76BF" w:rsidP="00750ECD">
      <w:pPr>
        <w:pStyle w:val="Para1"/>
        <w:numPr>
          <w:ilvl w:val="0"/>
          <w:numId w:val="9"/>
        </w:numPr>
        <w:tabs>
          <w:tab w:val="clear" w:pos="360"/>
          <w:tab w:val="left" w:pos="720"/>
        </w:tabs>
        <w:ind w:firstLine="0"/>
        <w:rPr>
          <w:rFonts w:hAnsi="SimSun"/>
          <w:sz w:val="24"/>
          <w:szCs w:val="24"/>
          <w:lang w:eastAsia="zh-CN"/>
        </w:rPr>
      </w:pPr>
      <w:r w:rsidRPr="001A7303">
        <w:rPr>
          <w:rFonts w:ascii="SimSun" w:eastAsia="SimSun" w:hAnsi="SimSun" w:cs="SimSun" w:hint="eastAsia"/>
          <w:sz w:val="24"/>
          <w:szCs w:val="24"/>
          <w:lang w:eastAsia="zh-CN"/>
        </w:rPr>
        <w:lastRenderedPageBreak/>
        <w:t>哥斯达黎加代表要求</w:t>
      </w:r>
      <w:r w:rsidR="00244B72">
        <w:rPr>
          <w:rFonts w:ascii="SimSun" w:eastAsia="SimSun" w:hAnsi="SimSun" w:cs="SimSun" w:hint="eastAsia"/>
          <w:sz w:val="24"/>
          <w:szCs w:val="24"/>
          <w:lang w:eastAsia="zh-CN"/>
        </w:rPr>
        <w:t>以及</w:t>
      </w:r>
      <w:r w:rsidR="00244B72" w:rsidRPr="001A7303">
        <w:rPr>
          <w:rFonts w:ascii="SimSun" w:eastAsia="SimSun" w:hAnsi="SimSun" w:cs="SimSun" w:hint="eastAsia"/>
          <w:sz w:val="24"/>
          <w:szCs w:val="24"/>
          <w:lang w:eastAsia="zh-CN"/>
        </w:rPr>
        <w:t>联合国六种语言</w:t>
      </w:r>
      <w:r w:rsidR="00244B72">
        <w:rPr>
          <w:rFonts w:ascii="SimSun" w:eastAsia="SimSun" w:hAnsi="SimSun" w:cs="SimSun" w:hint="eastAsia"/>
          <w:sz w:val="24"/>
          <w:szCs w:val="24"/>
          <w:lang w:eastAsia="zh-CN"/>
        </w:rPr>
        <w:t>提供</w:t>
      </w:r>
      <w:r w:rsidR="00AD56B8">
        <w:rPr>
          <w:rFonts w:ascii="SimSun" w:eastAsia="SimSun" w:hAnsi="SimSun" w:cs="SimSun" w:hint="eastAsia"/>
          <w:sz w:val="24"/>
          <w:szCs w:val="24"/>
          <w:lang w:eastAsia="zh-CN"/>
        </w:rPr>
        <w:t>政府间科学政策平台</w:t>
      </w:r>
      <w:r w:rsidRPr="001A7303">
        <w:rPr>
          <w:rFonts w:ascii="SimSun" w:eastAsia="SimSun" w:hAnsi="SimSun" w:cs="SimSun" w:hint="eastAsia"/>
          <w:sz w:val="24"/>
          <w:szCs w:val="24"/>
          <w:lang w:eastAsia="zh-CN"/>
        </w:rPr>
        <w:t>的评估和摘要，因为这些文件的传播是</w:t>
      </w:r>
      <w:r w:rsidR="00AD56B8">
        <w:rPr>
          <w:rFonts w:ascii="SimSun" w:eastAsia="SimSun" w:hAnsi="SimSun" w:cs="SimSun" w:hint="eastAsia"/>
          <w:sz w:val="24"/>
          <w:szCs w:val="24"/>
          <w:lang w:eastAsia="zh-CN"/>
        </w:rPr>
        <w:t>政府间科学政策平台</w:t>
      </w:r>
      <w:r w:rsidRPr="001A7303">
        <w:rPr>
          <w:rFonts w:ascii="SimSun" w:eastAsia="SimSun" w:hAnsi="SimSun" w:cs="SimSun" w:hint="eastAsia"/>
          <w:sz w:val="24"/>
          <w:szCs w:val="24"/>
          <w:lang w:eastAsia="zh-CN"/>
        </w:rPr>
        <w:t>的</w:t>
      </w:r>
      <w:r w:rsidR="00244B72">
        <w:rPr>
          <w:rFonts w:ascii="SimSun" w:eastAsia="SimSun" w:hAnsi="SimSun" w:cs="SimSun" w:hint="eastAsia"/>
          <w:sz w:val="24"/>
          <w:szCs w:val="24"/>
          <w:lang w:eastAsia="zh-CN"/>
        </w:rPr>
        <w:t>一个</w:t>
      </w:r>
      <w:r w:rsidRPr="001A7303">
        <w:rPr>
          <w:rFonts w:ascii="SimSun" w:eastAsia="SimSun" w:hAnsi="SimSun" w:cs="SimSun" w:hint="eastAsia"/>
          <w:sz w:val="24"/>
          <w:szCs w:val="24"/>
          <w:lang w:eastAsia="zh-CN"/>
        </w:rPr>
        <w:t>重要目标。</w:t>
      </w:r>
    </w:p>
    <w:p w:rsidR="008D76BF" w:rsidRPr="001A7303" w:rsidRDefault="008D76BF" w:rsidP="00750ECD">
      <w:pPr>
        <w:pStyle w:val="Para1"/>
        <w:numPr>
          <w:ilvl w:val="0"/>
          <w:numId w:val="9"/>
        </w:numPr>
        <w:tabs>
          <w:tab w:val="clear" w:pos="360"/>
          <w:tab w:val="left" w:pos="720"/>
        </w:tabs>
        <w:ind w:firstLine="0"/>
        <w:rPr>
          <w:rFonts w:hAnsi="SimSun"/>
          <w:sz w:val="24"/>
          <w:szCs w:val="24"/>
          <w:lang w:eastAsia="zh-CN"/>
        </w:rPr>
      </w:pPr>
      <w:r w:rsidRPr="001A7303">
        <w:rPr>
          <w:rFonts w:ascii="SimSun" w:eastAsia="SimSun" w:hAnsi="SimSun" w:cs="SimSun" w:hint="eastAsia"/>
          <w:sz w:val="24"/>
          <w:szCs w:val="24"/>
          <w:lang w:eastAsia="zh-CN"/>
        </w:rPr>
        <w:t>下列国家代表</w:t>
      </w:r>
      <w:r w:rsidR="006952B0">
        <w:rPr>
          <w:rFonts w:ascii="SimSun" w:eastAsia="SimSun" w:hAnsi="SimSun" w:cs="SimSun" w:hint="eastAsia"/>
          <w:sz w:val="24"/>
          <w:szCs w:val="24"/>
          <w:lang w:eastAsia="zh-CN"/>
        </w:rPr>
        <w:t>作了发言</w:t>
      </w:r>
      <w:r w:rsidRPr="001A7303">
        <w:rPr>
          <w:rFonts w:ascii="SimSun" w:eastAsia="SimSun" w:hAnsi="SimSun" w:cs="SimSun" w:hint="eastAsia"/>
          <w:sz w:val="24"/>
          <w:szCs w:val="24"/>
          <w:lang w:eastAsia="zh-CN"/>
        </w:rPr>
        <w:t>：阿根廷、波斯尼亚和黑塞哥维那（代表中欧和东欧地区）、巴西、柬埔寨、哥斯达黎加、加拿大、哥伦比亚、埃及、欧洲联盟及其</w:t>
      </w:r>
      <w:r w:rsidRPr="001A7303">
        <w:rPr>
          <w:rFonts w:hAnsi="SimSun"/>
          <w:sz w:val="24"/>
          <w:szCs w:val="24"/>
          <w:lang w:eastAsia="zh-CN"/>
        </w:rPr>
        <w:t>28</w:t>
      </w:r>
      <w:r w:rsidRPr="001A7303">
        <w:rPr>
          <w:rFonts w:ascii="SimSun" w:eastAsia="SimSun" w:hAnsi="SimSun" w:cs="SimSun" w:hint="eastAsia"/>
          <w:sz w:val="24"/>
          <w:szCs w:val="24"/>
          <w:lang w:eastAsia="zh-CN"/>
        </w:rPr>
        <w:t>个成员国、加蓬、加纳、印度、墨西哥、摩洛哥、新西兰、挪威、南非（代表非洲集团）、苏丹、瑞士、坦桑尼亚联合共和国和委内瑞拉玻利瓦尔共和国。</w:t>
      </w:r>
    </w:p>
    <w:p w:rsidR="008D76BF" w:rsidRPr="001A7303" w:rsidRDefault="008D76BF" w:rsidP="00750ECD">
      <w:pPr>
        <w:pStyle w:val="Para1"/>
        <w:numPr>
          <w:ilvl w:val="0"/>
          <w:numId w:val="9"/>
        </w:numPr>
        <w:tabs>
          <w:tab w:val="clear" w:pos="360"/>
          <w:tab w:val="left" w:pos="720"/>
        </w:tabs>
        <w:ind w:firstLine="0"/>
        <w:rPr>
          <w:rFonts w:hAnsi="SimSun"/>
          <w:sz w:val="24"/>
          <w:szCs w:val="24"/>
          <w:lang w:eastAsia="zh-CN"/>
        </w:rPr>
      </w:pPr>
      <w:r w:rsidRPr="001A7303">
        <w:rPr>
          <w:rFonts w:ascii="SimSun" w:eastAsia="SimSun" w:hAnsi="SimSun" w:cs="SimSun" w:hint="eastAsia"/>
          <w:sz w:val="24"/>
          <w:szCs w:val="24"/>
          <w:lang w:eastAsia="zh-CN"/>
        </w:rPr>
        <w:t>联合国妇女署的代表</w:t>
      </w:r>
      <w:r w:rsidR="006952B0">
        <w:rPr>
          <w:rFonts w:ascii="SimSun" w:eastAsia="SimSun" w:hAnsi="SimSun" w:cs="SimSun" w:hint="eastAsia"/>
          <w:sz w:val="24"/>
          <w:szCs w:val="24"/>
          <w:lang w:eastAsia="zh-CN"/>
        </w:rPr>
        <w:t>作了发言</w:t>
      </w:r>
      <w:r w:rsidRPr="001A7303">
        <w:rPr>
          <w:rFonts w:ascii="SimSun" w:eastAsia="SimSun" w:hAnsi="SimSun" w:cs="SimSun" w:hint="eastAsia"/>
          <w:sz w:val="24"/>
          <w:szCs w:val="24"/>
          <w:lang w:eastAsia="zh-CN"/>
        </w:rPr>
        <w:t>（得到加拿大和乌拉圭代表的支持）。</w:t>
      </w:r>
    </w:p>
    <w:p w:rsidR="008D76BF" w:rsidRPr="001A7303" w:rsidRDefault="008D76BF" w:rsidP="00750ECD">
      <w:pPr>
        <w:pStyle w:val="Para1"/>
        <w:numPr>
          <w:ilvl w:val="0"/>
          <w:numId w:val="9"/>
        </w:numPr>
        <w:tabs>
          <w:tab w:val="clear" w:pos="360"/>
          <w:tab w:val="left" w:pos="720"/>
        </w:tabs>
        <w:ind w:firstLine="0"/>
        <w:rPr>
          <w:rFonts w:hAnsi="SimSun"/>
          <w:sz w:val="24"/>
          <w:szCs w:val="24"/>
          <w:lang w:eastAsia="zh-CN"/>
        </w:rPr>
      </w:pPr>
      <w:r w:rsidRPr="001A7303">
        <w:rPr>
          <w:rFonts w:ascii="SimSun" w:eastAsia="SimSun" w:hAnsi="SimSun" w:cs="SimSun" w:hint="eastAsia"/>
          <w:sz w:val="24"/>
          <w:szCs w:val="24"/>
          <w:lang w:eastAsia="zh-CN"/>
        </w:rPr>
        <w:t>世界自然基金会的代表作了进一步发言（得到了加蓬和加纳代表的支持）。</w:t>
      </w:r>
    </w:p>
    <w:p w:rsidR="008D76BF" w:rsidRPr="001A7303" w:rsidRDefault="008D76BF" w:rsidP="00750ECD">
      <w:pPr>
        <w:pStyle w:val="Para1"/>
        <w:numPr>
          <w:ilvl w:val="0"/>
          <w:numId w:val="9"/>
        </w:numPr>
        <w:tabs>
          <w:tab w:val="clear" w:pos="360"/>
          <w:tab w:val="left" w:pos="720"/>
        </w:tabs>
        <w:ind w:firstLine="0"/>
        <w:rPr>
          <w:rFonts w:hAnsi="SimSun"/>
          <w:sz w:val="24"/>
          <w:szCs w:val="24"/>
          <w:lang w:eastAsia="zh-CN"/>
        </w:rPr>
      </w:pPr>
      <w:r w:rsidRPr="001A7303">
        <w:rPr>
          <w:rFonts w:ascii="SimSun" w:eastAsia="SimSun" w:hAnsi="SimSun" w:cs="SimSun" w:hint="eastAsia"/>
          <w:sz w:val="24"/>
          <w:szCs w:val="24"/>
          <w:lang w:eastAsia="zh-CN"/>
        </w:rPr>
        <w:t>主席说她将编制订正决定草案供工作组审议。</w:t>
      </w:r>
    </w:p>
    <w:p w:rsidR="008D76BF" w:rsidRPr="001A7303"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1A7303">
        <w:rPr>
          <w:rFonts w:ascii="SimSun" w:eastAsia="SimSun" w:hAnsi="SimSun" w:cs="SimSun" w:hint="eastAsia"/>
          <w:sz w:val="24"/>
          <w:szCs w:val="24"/>
          <w:lang w:eastAsia="zh-CN"/>
        </w:rPr>
        <w:t>在</w:t>
      </w:r>
      <w:r w:rsidR="008D76BF" w:rsidRPr="001A7303">
        <w:rPr>
          <w:rFonts w:hAnsi="SimSun"/>
          <w:sz w:val="24"/>
          <w:szCs w:val="24"/>
          <w:lang w:eastAsia="zh-CN"/>
        </w:rPr>
        <w:t>2018</w:t>
      </w:r>
      <w:r w:rsidR="008D76BF" w:rsidRPr="001A7303">
        <w:rPr>
          <w:rFonts w:ascii="SimSun" w:eastAsia="SimSun" w:hAnsi="SimSun" w:cs="SimSun" w:hint="eastAsia"/>
          <w:sz w:val="24"/>
          <w:szCs w:val="24"/>
          <w:lang w:eastAsia="zh-CN"/>
        </w:rPr>
        <w:t>年</w:t>
      </w:r>
      <w:r w:rsidR="008D76BF" w:rsidRPr="001A7303">
        <w:rPr>
          <w:rFonts w:hAnsi="SimSun"/>
          <w:sz w:val="24"/>
          <w:szCs w:val="24"/>
          <w:lang w:eastAsia="zh-CN"/>
        </w:rPr>
        <w:t>11</w:t>
      </w:r>
      <w:r w:rsidR="008D76BF" w:rsidRPr="001A7303">
        <w:rPr>
          <w:rFonts w:ascii="SimSun" w:eastAsia="SimSun" w:hAnsi="SimSun" w:cs="SimSun" w:hint="eastAsia"/>
          <w:sz w:val="24"/>
          <w:szCs w:val="24"/>
          <w:lang w:eastAsia="zh-CN"/>
        </w:rPr>
        <w:t>月</w:t>
      </w:r>
      <w:r w:rsidR="008D76BF" w:rsidRPr="001A7303">
        <w:rPr>
          <w:rFonts w:hAnsi="SimSun"/>
          <w:sz w:val="24"/>
          <w:szCs w:val="24"/>
          <w:lang w:eastAsia="zh-CN"/>
        </w:rPr>
        <w:t>26</w:t>
      </w:r>
      <w:r w:rsidR="008D76BF" w:rsidRPr="001A7303">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1A7303">
        <w:rPr>
          <w:rFonts w:ascii="SimSun" w:eastAsia="SimSun" w:hAnsi="SimSun" w:cs="SimSun" w:hint="eastAsia"/>
          <w:sz w:val="24"/>
          <w:szCs w:val="24"/>
          <w:lang w:eastAsia="zh-CN"/>
        </w:rPr>
        <w:t>第</w:t>
      </w:r>
      <w:r w:rsidR="008D76BF" w:rsidRPr="001A7303">
        <w:rPr>
          <w:rFonts w:hAnsi="SimSun"/>
          <w:sz w:val="24"/>
          <w:szCs w:val="24"/>
          <w:lang w:eastAsia="zh-CN"/>
        </w:rPr>
        <w:t>13</w:t>
      </w:r>
      <w:r w:rsidR="008D76BF" w:rsidRPr="001A7303">
        <w:rPr>
          <w:rFonts w:ascii="SimSun" w:eastAsia="SimSun" w:hAnsi="SimSun" w:cs="SimSun" w:hint="eastAsia"/>
          <w:sz w:val="24"/>
          <w:szCs w:val="24"/>
          <w:lang w:eastAsia="zh-CN"/>
        </w:rPr>
        <w:t>场会议上审议了主席提交的订正决定草案。</w:t>
      </w:r>
    </w:p>
    <w:p w:rsidR="008D76BF" w:rsidRPr="001A7303" w:rsidRDefault="008D76BF" w:rsidP="00750ECD">
      <w:pPr>
        <w:pStyle w:val="Para1"/>
        <w:numPr>
          <w:ilvl w:val="0"/>
          <w:numId w:val="9"/>
        </w:numPr>
        <w:tabs>
          <w:tab w:val="clear" w:pos="360"/>
          <w:tab w:val="left" w:pos="720"/>
        </w:tabs>
        <w:ind w:firstLine="0"/>
        <w:rPr>
          <w:rFonts w:hAnsi="SimSun"/>
          <w:sz w:val="24"/>
          <w:szCs w:val="24"/>
          <w:lang w:eastAsia="zh-CN"/>
        </w:rPr>
      </w:pPr>
      <w:r w:rsidRPr="001A7303">
        <w:rPr>
          <w:rFonts w:ascii="SimSun" w:eastAsia="SimSun" w:hAnsi="SimSun" w:cs="SimSun" w:hint="eastAsia"/>
          <w:sz w:val="24"/>
          <w:szCs w:val="24"/>
          <w:lang w:eastAsia="zh-CN"/>
        </w:rPr>
        <w:t>下列国家代表</w:t>
      </w:r>
      <w:r w:rsidR="006952B0">
        <w:rPr>
          <w:rFonts w:ascii="SimSun" w:eastAsia="SimSun" w:hAnsi="SimSun" w:cs="SimSun" w:hint="eastAsia"/>
          <w:sz w:val="24"/>
          <w:szCs w:val="24"/>
          <w:lang w:eastAsia="zh-CN"/>
        </w:rPr>
        <w:t>作了发言</w:t>
      </w:r>
      <w:r w:rsidRPr="001A7303">
        <w:rPr>
          <w:rFonts w:ascii="SimSun" w:eastAsia="SimSun" w:hAnsi="SimSun" w:cs="SimSun" w:hint="eastAsia"/>
          <w:sz w:val="24"/>
          <w:szCs w:val="24"/>
          <w:lang w:eastAsia="zh-CN"/>
        </w:rPr>
        <w:t>：多民族玻利维亚国、加拿大、哥伦比亚、欧洲联盟及其</w:t>
      </w:r>
      <w:r w:rsidRPr="001A7303">
        <w:rPr>
          <w:rFonts w:hAnsi="SimSun"/>
          <w:sz w:val="24"/>
          <w:szCs w:val="24"/>
          <w:lang w:eastAsia="zh-CN"/>
        </w:rPr>
        <w:t>28</w:t>
      </w:r>
      <w:r w:rsidRPr="001A7303">
        <w:rPr>
          <w:rFonts w:ascii="SimSun" w:eastAsia="SimSun" w:hAnsi="SimSun" w:cs="SimSun" w:hint="eastAsia"/>
          <w:sz w:val="24"/>
          <w:szCs w:val="24"/>
          <w:lang w:eastAsia="zh-CN"/>
        </w:rPr>
        <w:t>个成员国、加蓬、加纳、墨西哥、新西兰和委内瑞拉玻利瓦尔共和国。</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1A7303">
        <w:rPr>
          <w:rFonts w:ascii="SimSun" w:eastAsia="SimSun" w:hAnsi="SimSun" w:cs="SimSun" w:hint="eastAsia"/>
          <w:sz w:val="24"/>
          <w:szCs w:val="24"/>
          <w:lang w:eastAsia="zh-CN"/>
        </w:rPr>
        <w:t>经交换意见后，工作组核准了决定草案，作为决定草案</w:t>
      </w:r>
      <w:r w:rsidRPr="001A7303">
        <w:rPr>
          <w:rFonts w:hAnsi="SimSun"/>
          <w:sz w:val="24"/>
          <w:szCs w:val="24"/>
          <w:lang w:eastAsia="zh-CN"/>
        </w:rPr>
        <w:t>CBD/COP/14/L.22</w:t>
      </w:r>
      <w:r w:rsidRPr="001A7303">
        <w:rPr>
          <w:rFonts w:ascii="SimSun" w:eastAsia="SimSun" w:hAnsi="SimSun" w:cs="SimSun" w:hint="eastAsia"/>
          <w:sz w:val="24"/>
          <w:szCs w:val="24"/>
          <w:lang w:eastAsia="zh-CN"/>
        </w:rPr>
        <w:t>转交全体会议。</w:t>
      </w:r>
    </w:p>
    <w:p w:rsidR="00244B72" w:rsidRPr="009A4B0B" w:rsidRDefault="00244B72" w:rsidP="00244B72">
      <w:pPr>
        <w:pStyle w:val="Para1"/>
        <w:numPr>
          <w:ilvl w:val="0"/>
          <w:numId w:val="9"/>
        </w:numPr>
        <w:tabs>
          <w:tab w:val="clear" w:pos="360"/>
          <w:tab w:val="left" w:pos="720"/>
        </w:tabs>
        <w:ind w:firstLine="0"/>
        <w:rPr>
          <w:rFonts w:hAnsi="SimSun"/>
          <w:sz w:val="24"/>
          <w:szCs w:val="24"/>
          <w:lang w:eastAsia="zh-CN"/>
        </w:rPr>
      </w:pPr>
      <w:r w:rsidRPr="009A4B0B">
        <w:rPr>
          <w:rFonts w:ascii="SimSun" w:eastAsia="SimSun" w:hAnsi="SimSun" w:cs="SimSun" w:hint="eastAsia"/>
          <w:sz w:val="24"/>
          <w:szCs w:val="24"/>
          <w:lang w:eastAsia="zh-CN"/>
        </w:rPr>
        <w:t>在</w:t>
      </w:r>
      <w:r w:rsidRPr="009A4B0B">
        <w:rPr>
          <w:rFonts w:hAnsi="SimSun"/>
          <w:sz w:val="24"/>
          <w:szCs w:val="24"/>
          <w:lang w:eastAsia="zh-CN"/>
        </w:rPr>
        <w:t>2018</w:t>
      </w:r>
      <w:r w:rsidRPr="009A4B0B">
        <w:rPr>
          <w:rFonts w:ascii="SimSun" w:eastAsia="SimSun" w:hAnsi="SimSun" w:cs="SimSun" w:hint="eastAsia"/>
          <w:sz w:val="24"/>
          <w:szCs w:val="24"/>
          <w:lang w:eastAsia="zh-CN"/>
        </w:rPr>
        <w:t>年</w:t>
      </w:r>
      <w:r w:rsidRPr="009A4B0B">
        <w:rPr>
          <w:rFonts w:hAnsi="SimSun"/>
          <w:sz w:val="24"/>
          <w:szCs w:val="24"/>
          <w:lang w:eastAsia="zh-CN"/>
        </w:rPr>
        <w:t>11</w:t>
      </w:r>
      <w:r w:rsidRPr="009A4B0B">
        <w:rPr>
          <w:rFonts w:ascii="SimSun" w:eastAsia="SimSun" w:hAnsi="SimSun" w:cs="SimSun" w:hint="eastAsia"/>
          <w:sz w:val="24"/>
          <w:szCs w:val="24"/>
          <w:lang w:eastAsia="zh-CN"/>
        </w:rPr>
        <w:t>月</w:t>
      </w:r>
      <w:r w:rsidRPr="009A4B0B">
        <w:rPr>
          <w:rFonts w:hAnsi="SimSun"/>
          <w:sz w:val="24"/>
          <w:szCs w:val="24"/>
          <w:lang w:eastAsia="zh-CN"/>
        </w:rPr>
        <w:t>29</w:t>
      </w:r>
      <w:r w:rsidR="00363A11">
        <w:rPr>
          <w:rFonts w:ascii="SimSun" w:eastAsia="SimSun" w:hAnsi="SimSun" w:cs="SimSun" w:hint="eastAsia"/>
          <w:sz w:val="24"/>
          <w:szCs w:val="24"/>
          <w:lang w:eastAsia="zh-CN"/>
        </w:rPr>
        <w:t>日会议的</w:t>
      </w:r>
      <w:r w:rsidRPr="009A4B0B">
        <w:rPr>
          <w:rFonts w:ascii="SimSun" w:eastAsia="SimSun" w:hAnsi="SimSun" w:cs="SimSun" w:hint="eastAsia"/>
          <w:sz w:val="24"/>
          <w:szCs w:val="24"/>
          <w:lang w:eastAsia="zh-CN"/>
        </w:rPr>
        <w:t>第</w:t>
      </w:r>
      <w:r w:rsidRPr="009A4B0B">
        <w:rPr>
          <w:rFonts w:hAnsi="SimSun"/>
          <w:sz w:val="24"/>
          <w:szCs w:val="24"/>
          <w:lang w:eastAsia="zh-CN"/>
        </w:rPr>
        <w:t>7</w:t>
      </w:r>
      <w:r w:rsidR="00B45641">
        <w:rPr>
          <w:rFonts w:ascii="SimSun" w:eastAsia="SimSun" w:hAnsi="SimSun" w:cs="SimSun" w:hint="eastAsia"/>
          <w:sz w:val="24"/>
          <w:szCs w:val="24"/>
          <w:lang w:eastAsia="zh-CN"/>
        </w:rPr>
        <w:t>次全体会议</w:t>
      </w:r>
      <w:r w:rsidRPr="009A4B0B">
        <w:rPr>
          <w:rFonts w:ascii="SimSun" w:eastAsia="SimSun" w:hAnsi="SimSun" w:cs="SimSun" w:hint="eastAsia"/>
          <w:sz w:val="24"/>
          <w:szCs w:val="24"/>
          <w:lang w:eastAsia="zh-CN"/>
        </w:rPr>
        <w:t>上，缔约方大会通过了决定草案</w:t>
      </w:r>
      <w:r w:rsidRPr="009A4B0B">
        <w:rPr>
          <w:rFonts w:hAnsi="SimSun"/>
          <w:sz w:val="24"/>
          <w:szCs w:val="24"/>
          <w:lang w:eastAsia="zh-CN"/>
        </w:rPr>
        <w:t>CBD/COP/14/L.</w:t>
      </w:r>
      <w:r>
        <w:rPr>
          <w:rFonts w:hAnsi="SimSun"/>
          <w:sz w:val="24"/>
          <w:szCs w:val="24"/>
          <w:lang w:eastAsia="zh-CN"/>
        </w:rPr>
        <w:t>22</w:t>
      </w:r>
      <w:r w:rsidRPr="009A4B0B">
        <w:rPr>
          <w:rFonts w:ascii="SimSun" w:eastAsia="SimSun" w:hAnsi="SimSun" w:cs="SimSun" w:hint="eastAsia"/>
          <w:sz w:val="24"/>
          <w:szCs w:val="24"/>
          <w:lang w:eastAsia="zh-CN"/>
        </w:rPr>
        <w:t>，成为第</w:t>
      </w:r>
      <w:r w:rsidRPr="009A4B0B">
        <w:rPr>
          <w:rFonts w:eastAsia="SimSun"/>
          <w:sz w:val="24"/>
          <w:szCs w:val="24"/>
          <w:lang w:eastAsia="zh-CN"/>
        </w:rPr>
        <w:t>14</w:t>
      </w:r>
      <w:r w:rsidRPr="009A4B0B">
        <w:rPr>
          <w:sz w:val="24"/>
          <w:szCs w:val="24"/>
          <w:lang w:eastAsia="zh-CN"/>
        </w:rPr>
        <w:t>/</w:t>
      </w:r>
      <w:r>
        <w:rPr>
          <w:sz w:val="24"/>
          <w:szCs w:val="24"/>
          <w:lang w:eastAsia="zh-CN"/>
        </w:rPr>
        <w:t>36</w:t>
      </w:r>
      <w:r w:rsidRPr="009A4B0B">
        <w:rPr>
          <w:rFonts w:ascii="SimSun" w:eastAsia="SimSun" w:hAnsi="SimSun" w:cs="SimSun" w:hint="eastAsia"/>
          <w:sz w:val="24"/>
          <w:szCs w:val="24"/>
          <w:lang w:eastAsia="zh-CN"/>
        </w:rPr>
        <w:t>号决定</w:t>
      </w:r>
      <w:r w:rsidRPr="009A4B0B">
        <w:rPr>
          <w:rFonts w:eastAsia="SimSun"/>
          <w:sz w:val="24"/>
          <w:szCs w:val="24"/>
          <w:lang w:val="en-US" w:eastAsia="zh-CN"/>
        </w:rPr>
        <w:t>（</w:t>
      </w:r>
      <w:r w:rsidRPr="009A4B0B">
        <w:rPr>
          <w:rFonts w:eastAsia="SimSun" w:hint="eastAsia"/>
          <w:sz w:val="24"/>
          <w:szCs w:val="24"/>
          <w:lang w:eastAsia="zh-CN"/>
        </w:rPr>
        <w:t>案文见</w:t>
      </w:r>
      <w:r w:rsidRPr="009A4B0B">
        <w:rPr>
          <w:rFonts w:eastAsia="SimSun"/>
          <w:sz w:val="24"/>
          <w:szCs w:val="24"/>
          <w:lang w:eastAsia="zh-CN"/>
        </w:rPr>
        <w:t>第一章</w:t>
      </w:r>
      <w:r w:rsidRPr="009A4B0B">
        <w:rPr>
          <w:rFonts w:eastAsia="SimSun" w:hint="eastAsia"/>
          <w:sz w:val="24"/>
          <w:szCs w:val="24"/>
          <w:lang w:eastAsia="zh-CN"/>
        </w:rPr>
        <w:t>）。</w:t>
      </w:r>
    </w:p>
    <w:p w:rsidR="008D76BF" w:rsidRPr="00E63AA3" w:rsidRDefault="008D76BF" w:rsidP="00E63AA3">
      <w:pPr>
        <w:pStyle w:val="Heading1"/>
        <w:tabs>
          <w:tab w:val="left" w:pos="2070"/>
        </w:tabs>
        <w:ind w:left="2070" w:right="912" w:hanging="1350"/>
        <w:jc w:val="left"/>
        <w:rPr>
          <w:snapToGrid w:val="0"/>
          <w:sz w:val="24"/>
          <w:lang w:eastAsia="zh-CN"/>
        </w:rPr>
      </w:pPr>
      <w:bookmarkStart w:id="275" w:name="_Toc6243825"/>
      <w:r w:rsidRPr="00E63AA3">
        <w:rPr>
          <w:rFonts w:hint="eastAsia"/>
          <w:snapToGrid w:val="0"/>
          <w:sz w:val="24"/>
          <w:lang w:eastAsia="zh-CN"/>
        </w:rPr>
        <w:t>项目</w:t>
      </w:r>
      <w:r w:rsidRPr="00E63AA3">
        <w:rPr>
          <w:snapToGrid w:val="0"/>
          <w:sz w:val="24"/>
          <w:lang w:eastAsia="zh-CN"/>
        </w:rPr>
        <w:t>17.</w:t>
      </w:r>
      <w:r w:rsidRPr="00E63AA3">
        <w:rPr>
          <w:snapToGrid w:val="0"/>
          <w:sz w:val="24"/>
          <w:lang w:eastAsia="zh-CN"/>
        </w:rPr>
        <w:tab/>
        <w:t>2050</w:t>
      </w:r>
      <w:r w:rsidRPr="00E63AA3">
        <w:rPr>
          <w:rFonts w:hint="eastAsia"/>
          <w:snapToGrid w:val="0"/>
          <w:sz w:val="24"/>
          <w:lang w:eastAsia="zh-CN"/>
        </w:rPr>
        <w:t>年生物多样性愿景的长期战略方向、与自然和谐共处的方式以及编制</w:t>
      </w:r>
      <w:r w:rsidRPr="00E63AA3">
        <w:rPr>
          <w:snapToGrid w:val="0"/>
          <w:sz w:val="24"/>
          <w:lang w:eastAsia="zh-CN"/>
        </w:rPr>
        <w:t>2020</w:t>
      </w:r>
      <w:r w:rsidRPr="00E63AA3">
        <w:rPr>
          <w:rFonts w:hint="eastAsia"/>
          <w:snapToGrid w:val="0"/>
          <w:sz w:val="24"/>
          <w:lang w:eastAsia="zh-CN"/>
        </w:rPr>
        <w:t>年后全球生物多样性框架的工作</w:t>
      </w:r>
      <w:bookmarkEnd w:id="275"/>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bookmarkStart w:id="276" w:name="Item33"/>
      <w:r w:rsidRPr="00172A78">
        <w:rPr>
          <w:rFonts w:eastAsia="Times New Roman"/>
          <w:sz w:val="24"/>
          <w:szCs w:val="24"/>
          <w:lang w:eastAsia="zh-CN"/>
        </w:rPr>
        <w:t>2018</w:t>
      </w:r>
      <w:r w:rsidRPr="00172A78">
        <w:rPr>
          <w:rFonts w:eastAsia="Times New Roman" w:hAnsi="SimSun"/>
          <w:sz w:val="24"/>
          <w:szCs w:val="24"/>
          <w:lang w:eastAsia="zh-CN"/>
        </w:rPr>
        <w:t>年</w:t>
      </w:r>
      <w:r w:rsidRPr="00172A78">
        <w:rPr>
          <w:rFonts w:eastAsia="Times New Roman"/>
          <w:sz w:val="24"/>
          <w:szCs w:val="24"/>
          <w:lang w:eastAsia="zh-CN"/>
        </w:rPr>
        <w:t>11</w:t>
      </w:r>
      <w:r w:rsidRPr="00172A78">
        <w:rPr>
          <w:rFonts w:eastAsia="Times New Roman" w:hAnsi="SimSun"/>
          <w:sz w:val="24"/>
          <w:szCs w:val="24"/>
          <w:lang w:eastAsia="zh-CN"/>
        </w:rPr>
        <w:t>月</w:t>
      </w:r>
      <w:r w:rsidRPr="00172A78">
        <w:rPr>
          <w:rFonts w:eastAsia="Times New Roman"/>
          <w:sz w:val="24"/>
          <w:szCs w:val="24"/>
          <w:lang w:eastAsia="zh-CN"/>
        </w:rPr>
        <w:t>20</w:t>
      </w:r>
      <w:r w:rsidR="00EA4BF6">
        <w:rPr>
          <w:rFonts w:ascii="SimSun" w:eastAsia="SimSun" w:hAnsi="SimSun" w:cs="SimSun" w:hint="eastAsia"/>
          <w:sz w:val="24"/>
          <w:szCs w:val="24"/>
          <w:lang w:eastAsia="zh-CN"/>
        </w:rPr>
        <w:t>日的</w:t>
      </w:r>
      <w:r w:rsidRPr="00172A78">
        <w:rPr>
          <w:rFonts w:eastAsia="Times New Roman" w:hAnsi="SimSun"/>
          <w:sz w:val="24"/>
          <w:szCs w:val="24"/>
          <w:lang w:eastAsia="zh-CN"/>
        </w:rPr>
        <w:t>第</w:t>
      </w:r>
      <w:r w:rsidRPr="00172A78">
        <w:rPr>
          <w:rFonts w:eastAsia="Times New Roman"/>
          <w:sz w:val="24"/>
          <w:szCs w:val="24"/>
          <w:lang w:eastAsia="zh-CN"/>
        </w:rPr>
        <w:t>3</w:t>
      </w:r>
      <w:r w:rsidR="00B45641">
        <w:rPr>
          <w:rFonts w:ascii="SimSun" w:eastAsia="SimSun" w:hAnsi="SimSun" w:cs="SimSun" w:hint="eastAsia"/>
          <w:sz w:val="24"/>
          <w:szCs w:val="24"/>
          <w:lang w:eastAsia="zh-CN"/>
        </w:rPr>
        <w:t>次全体会议</w:t>
      </w:r>
      <w:r w:rsidRPr="00172A78">
        <w:rPr>
          <w:rFonts w:eastAsia="Times New Roman" w:hAnsi="SimSun"/>
          <w:sz w:val="24"/>
          <w:szCs w:val="24"/>
          <w:lang w:eastAsia="zh-CN"/>
        </w:rPr>
        <w:t>审议了议程项目</w:t>
      </w:r>
      <w:r w:rsidRPr="00172A78">
        <w:rPr>
          <w:rFonts w:eastAsia="Times New Roman"/>
          <w:sz w:val="24"/>
          <w:szCs w:val="24"/>
          <w:lang w:eastAsia="zh-CN"/>
        </w:rPr>
        <w:t>17</w:t>
      </w:r>
      <w:r w:rsidRPr="00172A78">
        <w:rPr>
          <w:rFonts w:eastAsia="Times New Roman" w:hAnsi="SimSun"/>
          <w:sz w:val="24"/>
          <w:szCs w:val="24"/>
          <w:lang w:eastAsia="zh-CN"/>
        </w:rPr>
        <w:t>，</w:t>
      </w:r>
      <w:r w:rsidRPr="009E4985">
        <w:rPr>
          <w:rFonts w:eastAsia="SimSun" w:hAnsi="SimSun" w:hint="eastAsia"/>
          <w:sz w:val="24"/>
          <w:szCs w:val="24"/>
          <w:lang w:eastAsia="zh-CN"/>
        </w:rPr>
        <w:t>同时审议了作为名古屋议定书缔约方会议的缔约方大会议程项目</w:t>
      </w:r>
      <w:r>
        <w:rPr>
          <w:rFonts w:eastAsia="SimSun" w:hAnsi="SimSun"/>
          <w:sz w:val="24"/>
          <w:szCs w:val="24"/>
          <w:lang w:eastAsia="zh-CN"/>
        </w:rPr>
        <w:t>16</w:t>
      </w:r>
      <w:r w:rsidRPr="009E4985">
        <w:rPr>
          <w:rFonts w:eastAsia="SimSun" w:hAnsi="SimSun" w:hint="eastAsia"/>
          <w:sz w:val="24"/>
          <w:szCs w:val="24"/>
          <w:lang w:eastAsia="zh-CN"/>
        </w:rPr>
        <w:t>和作为卡塔赫纳议定书缔约方会议的缔约方大会议程项目</w:t>
      </w:r>
      <w:r>
        <w:rPr>
          <w:rFonts w:eastAsia="SimSun" w:hAnsi="SimSun"/>
          <w:sz w:val="24"/>
          <w:szCs w:val="24"/>
          <w:lang w:eastAsia="zh-CN"/>
        </w:rPr>
        <w:t>14</w:t>
      </w:r>
      <w:r w:rsidRPr="009E4985">
        <w:rPr>
          <w:rFonts w:eastAsia="SimSun" w:hAnsi="SimSun" w:hint="eastAsia"/>
          <w:sz w:val="24"/>
          <w:szCs w:val="24"/>
          <w:lang w:eastAsia="zh-CN"/>
        </w:rPr>
        <w:t>。</w:t>
      </w:r>
      <w:r w:rsidRPr="00172A78">
        <w:rPr>
          <w:rFonts w:eastAsia="Times New Roman" w:hAnsi="SimSun"/>
          <w:sz w:val="24"/>
          <w:szCs w:val="24"/>
          <w:lang w:eastAsia="zh-CN"/>
        </w:rPr>
        <w:t>该项目有三部分：</w:t>
      </w:r>
      <w:r w:rsidR="008B1AB8">
        <w:rPr>
          <w:rFonts w:eastAsiaTheme="minorEastAsia" w:hAnsi="SimSun" w:hint="eastAsia"/>
          <w:sz w:val="24"/>
          <w:szCs w:val="24"/>
          <w:lang w:eastAsia="zh-CN"/>
        </w:rPr>
        <w:t>(</w:t>
      </w:r>
      <w:r w:rsidRPr="00172A78">
        <w:rPr>
          <w:rFonts w:eastAsia="Times New Roman"/>
          <w:sz w:val="24"/>
          <w:szCs w:val="24"/>
          <w:lang w:eastAsia="zh-CN"/>
        </w:rPr>
        <w:t>a</w:t>
      </w:r>
      <w:r w:rsidR="008B1AB8">
        <w:rPr>
          <w:rFonts w:eastAsia="Times New Roman"/>
          <w:sz w:val="24"/>
          <w:szCs w:val="24"/>
          <w:lang w:eastAsia="zh-CN"/>
        </w:rPr>
        <w:t xml:space="preserve">) </w:t>
      </w:r>
      <w:r w:rsidRPr="00172A78">
        <w:rPr>
          <w:rFonts w:eastAsia="Times New Roman"/>
          <w:sz w:val="24"/>
          <w:szCs w:val="24"/>
          <w:lang w:eastAsia="zh-CN"/>
        </w:rPr>
        <w:t>2050</w:t>
      </w:r>
      <w:r w:rsidRPr="00172A78">
        <w:rPr>
          <w:rFonts w:eastAsia="Times New Roman" w:hAnsi="SimSun"/>
          <w:sz w:val="24"/>
          <w:szCs w:val="24"/>
          <w:lang w:eastAsia="zh-CN"/>
        </w:rPr>
        <w:t>年生物多样性愿景</w:t>
      </w:r>
      <w:r w:rsidR="008B1AB8">
        <w:rPr>
          <w:rFonts w:eastAsiaTheme="minorEastAsia" w:hAnsi="SimSun" w:hint="eastAsia"/>
          <w:sz w:val="24"/>
          <w:szCs w:val="24"/>
          <w:lang w:eastAsia="zh-CN"/>
        </w:rPr>
        <w:t>的</w:t>
      </w:r>
      <w:r w:rsidR="008B1AB8">
        <w:rPr>
          <w:rFonts w:eastAsiaTheme="minorEastAsia" w:hAnsi="SimSun"/>
          <w:sz w:val="24"/>
          <w:szCs w:val="24"/>
          <w:lang w:eastAsia="zh-CN"/>
        </w:rPr>
        <w:t>情景</w:t>
      </w:r>
      <w:r w:rsidRPr="00172A78">
        <w:rPr>
          <w:rFonts w:eastAsia="Times New Roman" w:hAnsi="SimSun"/>
          <w:sz w:val="24"/>
          <w:szCs w:val="24"/>
          <w:lang w:eastAsia="zh-CN"/>
        </w:rPr>
        <w:t>设想；</w:t>
      </w:r>
      <w:r w:rsidR="008B1AB8">
        <w:rPr>
          <w:rFonts w:eastAsiaTheme="minorEastAsia" w:hAnsi="SimSun" w:hint="eastAsia"/>
          <w:sz w:val="24"/>
          <w:szCs w:val="24"/>
          <w:lang w:eastAsia="zh-CN"/>
        </w:rPr>
        <w:t>(</w:t>
      </w:r>
      <w:r w:rsidRPr="00172A78">
        <w:rPr>
          <w:rFonts w:eastAsia="Times New Roman"/>
          <w:sz w:val="24"/>
          <w:szCs w:val="24"/>
          <w:lang w:eastAsia="zh-CN"/>
        </w:rPr>
        <w:t>b</w:t>
      </w:r>
      <w:r w:rsidR="008B1AB8">
        <w:rPr>
          <w:rFonts w:eastAsia="Times New Roman"/>
          <w:sz w:val="24"/>
          <w:szCs w:val="24"/>
          <w:lang w:eastAsia="zh-CN"/>
        </w:rPr>
        <w:t xml:space="preserve">) </w:t>
      </w:r>
      <w:r w:rsidRPr="00172A78">
        <w:rPr>
          <w:rFonts w:eastAsia="Times New Roman" w:hAnsi="SimSun"/>
          <w:sz w:val="24"/>
          <w:szCs w:val="24"/>
          <w:lang w:eastAsia="zh-CN"/>
        </w:rPr>
        <w:t>关于制定</w:t>
      </w:r>
      <w:r w:rsidRPr="00172A78">
        <w:rPr>
          <w:rFonts w:eastAsia="Times New Roman"/>
          <w:sz w:val="24"/>
          <w:szCs w:val="24"/>
          <w:lang w:eastAsia="zh-CN"/>
        </w:rPr>
        <w:t>2020</w:t>
      </w:r>
      <w:r w:rsidRPr="00172A78">
        <w:rPr>
          <w:rFonts w:eastAsia="Times New Roman" w:hAnsi="SimSun"/>
          <w:sz w:val="24"/>
          <w:szCs w:val="24"/>
          <w:lang w:eastAsia="zh-CN"/>
        </w:rPr>
        <w:t>年后全球生物多样性框架的综合和参与性筹备进程的提案；和</w:t>
      </w:r>
      <w:r w:rsidR="008B1AB8">
        <w:rPr>
          <w:rFonts w:eastAsiaTheme="minorEastAsia" w:hAnsi="SimSun" w:hint="eastAsia"/>
          <w:sz w:val="24"/>
          <w:szCs w:val="24"/>
          <w:lang w:eastAsia="zh-CN"/>
        </w:rPr>
        <w:t>(</w:t>
      </w:r>
      <w:r w:rsidRPr="00172A78">
        <w:rPr>
          <w:rFonts w:eastAsia="Times New Roman"/>
          <w:sz w:val="24"/>
          <w:szCs w:val="24"/>
          <w:lang w:eastAsia="zh-CN"/>
        </w:rPr>
        <w:t>c</w:t>
      </w:r>
      <w:r w:rsidR="008B1AB8">
        <w:rPr>
          <w:rFonts w:eastAsia="Times New Roman" w:hAnsi="SimSun"/>
          <w:sz w:val="24"/>
          <w:szCs w:val="24"/>
          <w:lang w:eastAsia="zh-CN"/>
        </w:rPr>
        <w:t xml:space="preserve">) </w:t>
      </w:r>
      <w:r w:rsidRPr="00172A78">
        <w:rPr>
          <w:rFonts w:eastAsia="Times New Roman" w:hAnsi="SimSun"/>
          <w:sz w:val="24"/>
          <w:szCs w:val="24"/>
          <w:lang w:eastAsia="zh-CN"/>
        </w:rPr>
        <w:t>编制第五版《全球生物多样性展望》。</w:t>
      </w:r>
      <w:r w:rsidRPr="00172A78">
        <w:rPr>
          <w:rFonts w:eastAsia="Times New Roman"/>
          <w:sz w:val="24"/>
          <w:szCs w:val="24"/>
          <w:lang w:eastAsia="zh-CN"/>
        </w:rPr>
        <w:t xml:space="preserve"> </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szCs w:val="24"/>
          <w:lang w:eastAsia="zh-CN"/>
        </w:rPr>
        <w:t>为了进行关于议程项目</w:t>
      </w:r>
      <w:r w:rsidRPr="00172A78">
        <w:rPr>
          <w:rFonts w:eastAsia="Times New Roman"/>
          <w:sz w:val="24"/>
          <w:szCs w:val="24"/>
          <w:lang w:eastAsia="zh-CN"/>
        </w:rPr>
        <w:t>17</w:t>
      </w:r>
      <w:r w:rsidRPr="00172A78">
        <w:rPr>
          <w:rFonts w:eastAsia="Times New Roman" w:hAnsi="SimSun"/>
          <w:sz w:val="24"/>
          <w:szCs w:val="24"/>
          <w:lang w:eastAsia="zh-CN"/>
        </w:rPr>
        <w:t>的讨论，在</w:t>
      </w:r>
      <w:r w:rsidRPr="00172A78">
        <w:rPr>
          <w:rFonts w:eastAsia="Times New Roman"/>
          <w:sz w:val="24"/>
          <w:szCs w:val="24"/>
          <w:lang w:eastAsia="zh-CN"/>
        </w:rPr>
        <w:t>2018</w:t>
      </w:r>
      <w:r w:rsidRPr="00172A78">
        <w:rPr>
          <w:rFonts w:eastAsia="Times New Roman" w:hAnsi="SimSun"/>
          <w:sz w:val="24"/>
          <w:szCs w:val="24"/>
          <w:lang w:eastAsia="zh-CN"/>
        </w:rPr>
        <w:t>年</w:t>
      </w:r>
      <w:r w:rsidRPr="00172A78">
        <w:rPr>
          <w:rFonts w:eastAsia="Times New Roman"/>
          <w:sz w:val="24"/>
          <w:szCs w:val="24"/>
          <w:lang w:eastAsia="zh-CN"/>
        </w:rPr>
        <w:t>11</w:t>
      </w:r>
      <w:r w:rsidRPr="00172A78">
        <w:rPr>
          <w:rFonts w:eastAsia="Times New Roman" w:hAnsi="SimSun"/>
          <w:sz w:val="24"/>
          <w:szCs w:val="24"/>
          <w:lang w:eastAsia="zh-CN"/>
        </w:rPr>
        <w:t>月</w:t>
      </w:r>
      <w:r w:rsidRPr="00172A78">
        <w:rPr>
          <w:rFonts w:eastAsia="Times New Roman"/>
          <w:sz w:val="24"/>
          <w:szCs w:val="24"/>
          <w:lang w:eastAsia="zh-CN"/>
        </w:rPr>
        <w:t>20</w:t>
      </w:r>
      <w:r w:rsidR="00EA4BF6">
        <w:rPr>
          <w:rFonts w:ascii="SimSun" w:eastAsia="SimSun" w:hAnsi="SimSun" w:cs="SimSun" w:hint="eastAsia"/>
          <w:sz w:val="24"/>
          <w:szCs w:val="24"/>
          <w:lang w:eastAsia="zh-CN"/>
        </w:rPr>
        <w:t>日的</w:t>
      </w:r>
      <w:r w:rsidRPr="00172A78">
        <w:rPr>
          <w:rFonts w:eastAsia="Times New Roman" w:hAnsi="SimSun"/>
          <w:sz w:val="24"/>
          <w:szCs w:val="24"/>
          <w:lang w:eastAsia="zh-CN"/>
        </w:rPr>
        <w:t>第</w:t>
      </w:r>
      <w:r w:rsidRPr="00172A78">
        <w:rPr>
          <w:rFonts w:eastAsia="Times New Roman"/>
          <w:sz w:val="24"/>
          <w:szCs w:val="24"/>
          <w:lang w:eastAsia="zh-CN"/>
        </w:rPr>
        <w:t>3</w:t>
      </w:r>
      <w:r w:rsidR="00B45641">
        <w:rPr>
          <w:rFonts w:ascii="SimSun" w:eastAsia="SimSun" w:hAnsi="SimSun" w:cs="SimSun" w:hint="eastAsia"/>
          <w:sz w:val="24"/>
          <w:szCs w:val="24"/>
          <w:lang w:eastAsia="zh-CN"/>
        </w:rPr>
        <w:t>次全体会议</w:t>
      </w:r>
      <w:r w:rsidRPr="00172A78">
        <w:rPr>
          <w:rFonts w:eastAsia="Times New Roman" w:hAnsi="SimSun"/>
          <w:sz w:val="24"/>
          <w:szCs w:val="24"/>
          <w:lang w:eastAsia="zh-CN"/>
        </w:rPr>
        <w:t>上，</w:t>
      </w:r>
      <w:r w:rsidR="00244B72">
        <w:rPr>
          <w:rFonts w:eastAsiaTheme="minorEastAsia" w:hAnsi="SimSun" w:hint="eastAsia"/>
          <w:sz w:val="24"/>
          <w:szCs w:val="24"/>
          <w:lang w:eastAsia="zh-CN"/>
        </w:rPr>
        <w:t>在</w:t>
      </w:r>
      <w:r w:rsidR="00244B72">
        <w:rPr>
          <w:rFonts w:hint="eastAsia"/>
          <w:noProof/>
          <w:sz w:val="24"/>
          <w:lang w:eastAsia="zh-CN"/>
        </w:rPr>
        <w:t>生物多样性公约</w:t>
      </w:r>
      <w:r w:rsidR="00244B72">
        <w:rPr>
          <w:noProof/>
          <w:sz w:val="24"/>
          <w:lang w:eastAsia="zh-CN"/>
        </w:rPr>
        <w:t>执行秘书</w:t>
      </w:r>
      <w:r w:rsidRPr="00172A78">
        <w:rPr>
          <w:rFonts w:eastAsia="Times New Roman" w:hAnsi="SimSun"/>
          <w:sz w:val="24"/>
          <w:szCs w:val="24"/>
          <w:lang w:eastAsia="zh-CN"/>
        </w:rPr>
        <w:t>主持</w:t>
      </w:r>
      <w:r w:rsidR="00244B72">
        <w:rPr>
          <w:rFonts w:eastAsiaTheme="minorEastAsia" w:hAnsi="SimSun" w:hint="eastAsia"/>
          <w:sz w:val="24"/>
          <w:szCs w:val="24"/>
          <w:lang w:eastAsia="zh-CN"/>
        </w:rPr>
        <w:t>下</w:t>
      </w:r>
      <w:r w:rsidRPr="00172A78">
        <w:rPr>
          <w:rFonts w:eastAsia="Times New Roman" w:hAnsi="SimSun"/>
          <w:sz w:val="24"/>
          <w:szCs w:val="24"/>
          <w:lang w:eastAsia="zh-CN"/>
        </w:rPr>
        <w:t>进行了关于主题</w:t>
      </w:r>
      <w:r w:rsidRPr="00244B72">
        <w:rPr>
          <w:rFonts w:asciiTheme="minorEastAsia" w:eastAsiaTheme="minorEastAsia" w:hAnsiTheme="minorEastAsia"/>
          <w:sz w:val="24"/>
          <w:szCs w:val="24"/>
          <w:lang w:eastAsia="zh-CN"/>
        </w:rPr>
        <w:t>“与自然和谐共处的办法”</w:t>
      </w:r>
      <w:r w:rsidRPr="00172A78">
        <w:rPr>
          <w:rFonts w:eastAsia="Times New Roman" w:hAnsi="SimSun"/>
          <w:sz w:val="24"/>
          <w:szCs w:val="24"/>
          <w:lang w:eastAsia="zh-CN"/>
        </w:rPr>
        <w:t>的互动式对话。进行对话的背景信息载于</w:t>
      </w:r>
      <w:r w:rsidRPr="00172A78">
        <w:rPr>
          <w:rFonts w:eastAsia="Times New Roman"/>
          <w:sz w:val="24"/>
          <w:szCs w:val="24"/>
          <w:lang w:eastAsia="zh-CN"/>
        </w:rPr>
        <w:t>CBD/COP/14/9/Add.2</w:t>
      </w:r>
      <w:r w:rsidRPr="00172A78">
        <w:rPr>
          <w:rFonts w:eastAsia="Times New Roman" w:hAnsi="SimSun"/>
          <w:sz w:val="24"/>
          <w:szCs w:val="24"/>
          <w:lang w:eastAsia="zh-CN"/>
        </w:rPr>
        <w:t>号文件。</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szCs w:val="24"/>
          <w:lang w:eastAsia="zh-CN"/>
        </w:rPr>
        <w:t>小组专家的报告和一般性讨论载于本报告附件三。</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szCs w:val="24"/>
          <w:lang w:eastAsia="zh-CN"/>
        </w:rPr>
        <w:t>在进行了互动式对话后，缔约方大会开始处理议程项目</w:t>
      </w:r>
      <w:r w:rsidRPr="00172A78">
        <w:rPr>
          <w:rFonts w:eastAsia="Times New Roman"/>
          <w:sz w:val="24"/>
          <w:szCs w:val="24"/>
          <w:lang w:eastAsia="zh-CN"/>
        </w:rPr>
        <w:t>17</w:t>
      </w:r>
      <w:r w:rsidRPr="00172A78">
        <w:rPr>
          <w:rFonts w:eastAsia="Times New Roman" w:hAnsi="SimSun"/>
          <w:sz w:val="24"/>
          <w:szCs w:val="24"/>
          <w:lang w:eastAsia="zh-CN"/>
        </w:rPr>
        <w:t>的三个部分。在审议这个项目时，缔约方大会</w:t>
      </w:r>
      <w:r w:rsidR="00244B72">
        <w:rPr>
          <w:rFonts w:ascii="SimSun" w:eastAsia="SimSun" w:hAnsi="SimSun" w:cs="SimSun" w:hint="eastAsia"/>
          <w:sz w:val="24"/>
          <w:szCs w:val="24"/>
          <w:lang w:eastAsia="zh-CN"/>
        </w:rPr>
        <w:t>收到了</w:t>
      </w:r>
      <w:r w:rsidRPr="00172A78">
        <w:rPr>
          <w:rFonts w:eastAsia="Times New Roman" w:hAnsi="SimSun"/>
          <w:sz w:val="24"/>
          <w:szCs w:val="24"/>
          <w:lang w:eastAsia="zh-CN"/>
        </w:rPr>
        <w:t>执行秘书关于</w:t>
      </w:r>
      <w:r w:rsidRPr="00172A78">
        <w:rPr>
          <w:rFonts w:eastAsia="Times New Roman"/>
          <w:sz w:val="24"/>
          <w:szCs w:val="24"/>
          <w:lang w:eastAsia="zh-CN"/>
        </w:rPr>
        <w:t>2050</w:t>
      </w:r>
      <w:r w:rsidRPr="00172A78">
        <w:rPr>
          <w:rFonts w:eastAsia="Times New Roman" w:hAnsi="SimSun"/>
          <w:sz w:val="24"/>
          <w:szCs w:val="24"/>
          <w:lang w:eastAsia="zh-CN"/>
        </w:rPr>
        <w:t>年生物多样性愿景的长期战略方向、与自然和谐共处的办法和制定</w:t>
      </w:r>
      <w:r w:rsidRPr="00172A78">
        <w:rPr>
          <w:rFonts w:eastAsia="Times New Roman"/>
          <w:sz w:val="24"/>
          <w:szCs w:val="24"/>
          <w:lang w:eastAsia="zh-CN"/>
        </w:rPr>
        <w:t>2020</w:t>
      </w:r>
      <w:r w:rsidRPr="00172A78">
        <w:rPr>
          <w:rFonts w:eastAsia="Times New Roman" w:hAnsi="SimSun"/>
          <w:sz w:val="24"/>
          <w:szCs w:val="24"/>
          <w:lang w:eastAsia="zh-CN"/>
        </w:rPr>
        <w:t>年后全球生物多样性框架的说明（</w:t>
      </w:r>
      <w:r w:rsidRPr="00172A78">
        <w:rPr>
          <w:rFonts w:eastAsia="Times New Roman"/>
          <w:sz w:val="24"/>
          <w:szCs w:val="24"/>
          <w:lang w:eastAsia="zh-CN"/>
        </w:rPr>
        <w:t>CBD/COP/14/9</w:t>
      </w:r>
      <w:r w:rsidRPr="00172A78">
        <w:rPr>
          <w:rFonts w:eastAsia="Times New Roman" w:hAnsi="SimSun"/>
          <w:sz w:val="24"/>
          <w:szCs w:val="24"/>
          <w:lang w:eastAsia="zh-CN"/>
        </w:rPr>
        <w:t>）；</w:t>
      </w:r>
      <w:r w:rsidR="00244B72">
        <w:rPr>
          <w:rFonts w:eastAsiaTheme="minorEastAsia" w:hAnsi="SimSun" w:hint="eastAsia"/>
          <w:sz w:val="24"/>
          <w:szCs w:val="24"/>
          <w:lang w:eastAsia="zh-CN"/>
        </w:rPr>
        <w:t>缔</w:t>
      </w:r>
      <w:r w:rsidR="00244B72">
        <w:rPr>
          <w:rFonts w:eastAsiaTheme="minorEastAsia" w:hAnsi="SimSun" w:hint="eastAsia"/>
          <w:sz w:val="24"/>
          <w:szCs w:val="24"/>
          <w:lang w:eastAsia="zh-CN"/>
        </w:rPr>
        <w:lastRenderedPageBreak/>
        <w:t>约方大会</w:t>
      </w:r>
      <w:r w:rsidR="00244B72">
        <w:rPr>
          <w:rFonts w:eastAsiaTheme="minorEastAsia" w:hAnsi="SimSun"/>
          <w:sz w:val="24"/>
          <w:szCs w:val="24"/>
          <w:lang w:eastAsia="zh-CN"/>
        </w:rPr>
        <w:t>还收到了</w:t>
      </w:r>
      <w:r w:rsidRPr="00172A78">
        <w:rPr>
          <w:rFonts w:eastAsia="Times New Roman" w:hAnsi="SimSun"/>
          <w:sz w:val="24"/>
          <w:szCs w:val="24"/>
          <w:lang w:eastAsia="zh-CN"/>
        </w:rPr>
        <w:t>执行秘书关于为制定</w:t>
      </w:r>
      <w:r w:rsidRPr="00172A78">
        <w:rPr>
          <w:rFonts w:eastAsia="Times New Roman"/>
          <w:sz w:val="24"/>
          <w:szCs w:val="24"/>
          <w:lang w:eastAsia="zh-CN"/>
        </w:rPr>
        <w:t>2020</w:t>
      </w:r>
      <w:r w:rsidRPr="00172A78">
        <w:rPr>
          <w:rFonts w:eastAsia="Times New Roman" w:hAnsi="SimSun"/>
          <w:sz w:val="24"/>
          <w:szCs w:val="24"/>
          <w:lang w:eastAsia="zh-CN"/>
        </w:rPr>
        <w:t>年后全球生物多样性框架开启一个促进性别平等进程的咨询意见的说明（</w:t>
      </w:r>
      <w:r w:rsidRPr="00172A78">
        <w:rPr>
          <w:rFonts w:eastAsia="Times New Roman"/>
          <w:sz w:val="24"/>
          <w:szCs w:val="24"/>
          <w:lang w:eastAsia="zh-CN"/>
        </w:rPr>
        <w:t>CBD/COP/14/9/Add.1</w:t>
      </w:r>
      <w:r w:rsidRPr="00172A78">
        <w:rPr>
          <w:rFonts w:eastAsia="Times New Roman" w:hAnsi="SimSun"/>
          <w:sz w:val="24"/>
          <w:szCs w:val="24"/>
          <w:lang w:eastAsia="zh-CN"/>
        </w:rPr>
        <w:t>）。</w:t>
      </w:r>
      <w:r w:rsidRPr="00172A78">
        <w:rPr>
          <w:rFonts w:eastAsia="Times New Roman"/>
          <w:sz w:val="24"/>
          <w:szCs w:val="24"/>
          <w:lang w:eastAsia="zh-CN"/>
        </w:rPr>
        <w:t xml:space="preserve"> </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szCs w:val="24"/>
          <w:lang w:eastAsia="zh-CN"/>
        </w:rPr>
        <w:t>缔约方大会面前还有若干信息文件提供相关背景信息，例如为制定</w:t>
      </w:r>
      <w:r w:rsidRPr="00172A78">
        <w:rPr>
          <w:rFonts w:eastAsia="Times New Roman"/>
          <w:sz w:val="24"/>
          <w:szCs w:val="24"/>
          <w:lang w:eastAsia="zh-CN"/>
        </w:rPr>
        <w:t>2020</w:t>
      </w:r>
      <w:r w:rsidRPr="00172A78">
        <w:rPr>
          <w:rFonts w:eastAsia="Times New Roman" w:hAnsi="SimSun"/>
          <w:sz w:val="24"/>
          <w:szCs w:val="24"/>
          <w:lang w:eastAsia="zh-CN"/>
        </w:rPr>
        <w:t>年后全球生物多样性框架促进性别平等的补充背景和工具（</w:t>
      </w:r>
      <w:r w:rsidRPr="00172A78">
        <w:rPr>
          <w:rFonts w:eastAsia="Times New Roman"/>
          <w:sz w:val="24"/>
          <w:szCs w:val="24"/>
          <w:lang w:eastAsia="zh-CN"/>
        </w:rPr>
        <w:t>CBD/COP/14/INF/15</w:t>
      </w:r>
      <w:r w:rsidRPr="00172A78">
        <w:rPr>
          <w:rFonts w:eastAsia="Times New Roman" w:hAnsi="SimSun"/>
          <w:sz w:val="24"/>
          <w:szCs w:val="24"/>
          <w:lang w:eastAsia="zh-CN"/>
        </w:rPr>
        <w:t>）；有关框架的范围和内容的看法的初步综合报告和分析（</w:t>
      </w:r>
      <w:r w:rsidRPr="00172A78">
        <w:rPr>
          <w:rFonts w:eastAsia="Times New Roman"/>
          <w:sz w:val="24"/>
          <w:szCs w:val="24"/>
          <w:lang w:eastAsia="zh-CN"/>
        </w:rPr>
        <w:t>CBD/COP/14/INF/16</w:t>
      </w:r>
      <w:r w:rsidRPr="00172A78">
        <w:rPr>
          <w:rFonts w:eastAsia="Times New Roman" w:hAnsi="SimSun"/>
          <w:sz w:val="24"/>
          <w:szCs w:val="24"/>
          <w:lang w:eastAsia="zh-CN"/>
        </w:rPr>
        <w:t>）；对作为框架的一部分的第</w:t>
      </w:r>
      <w:r w:rsidRPr="00172A78">
        <w:rPr>
          <w:rFonts w:eastAsia="Times New Roman"/>
          <w:sz w:val="24"/>
          <w:szCs w:val="24"/>
          <w:lang w:eastAsia="zh-CN"/>
        </w:rPr>
        <w:t>8(j)</w:t>
      </w:r>
      <w:r w:rsidRPr="00172A78">
        <w:rPr>
          <w:rFonts w:eastAsia="Times New Roman" w:hAnsi="SimSun"/>
          <w:sz w:val="24"/>
          <w:szCs w:val="24"/>
          <w:lang w:eastAsia="zh-CN"/>
        </w:rPr>
        <w:t>条和相关条款的未来工作方案的可能要素提出的意见汇编（</w:t>
      </w:r>
      <w:r w:rsidRPr="00172A78">
        <w:rPr>
          <w:rFonts w:eastAsia="Times New Roman"/>
          <w:sz w:val="24"/>
          <w:szCs w:val="24"/>
          <w:lang w:eastAsia="zh-CN"/>
        </w:rPr>
        <w:t>CBD/COP/14/INF/5/Rev.1</w:t>
      </w:r>
      <w:r w:rsidRPr="00172A78">
        <w:rPr>
          <w:rFonts w:eastAsia="Times New Roman" w:hAnsi="SimSun"/>
          <w:sz w:val="24"/>
          <w:szCs w:val="24"/>
          <w:lang w:eastAsia="zh-CN"/>
        </w:rPr>
        <w:t>）；加强注重人与自然的联系以促进保护生物多样性的行动的建议（</w:t>
      </w:r>
      <w:r w:rsidRPr="00172A78">
        <w:rPr>
          <w:rFonts w:eastAsia="Times New Roman"/>
          <w:sz w:val="24"/>
          <w:szCs w:val="24"/>
          <w:lang w:eastAsia="zh-CN"/>
        </w:rPr>
        <w:t>CBD/COP/14/INF/20</w:t>
      </w:r>
      <w:r w:rsidRPr="00172A78">
        <w:rPr>
          <w:rFonts w:eastAsia="Times New Roman" w:hAnsi="SimSun"/>
          <w:sz w:val="24"/>
          <w:szCs w:val="24"/>
          <w:lang w:eastAsia="zh-CN"/>
        </w:rPr>
        <w:t>）；为</w:t>
      </w:r>
      <w:r w:rsidRPr="00244B72">
        <w:rPr>
          <w:rFonts w:asciiTheme="minorEastAsia" w:eastAsiaTheme="minorEastAsia" w:hAnsiTheme="minorEastAsia"/>
          <w:sz w:val="24"/>
          <w:szCs w:val="24"/>
          <w:lang w:eastAsia="zh-CN"/>
        </w:rPr>
        <w:t>“自然和人类未来”</w:t>
      </w:r>
      <w:r w:rsidRPr="00172A78">
        <w:rPr>
          <w:rFonts w:eastAsia="Times New Roman" w:hAnsi="SimSun"/>
          <w:sz w:val="24"/>
          <w:szCs w:val="24"/>
          <w:lang w:eastAsia="zh-CN"/>
        </w:rPr>
        <w:t>保障空间的说明（</w:t>
      </w:r>
      <w:r w:rsidRPr="00172A78">
        <w:rPr>
          <w:rFonts w:eastAsia="Times New Roman"/>
          <w:sz w:val="24"/>
          <w:szCs w:val="24"/>
          <w:lang w:eastAsia="zh-CN"/>
        </w:rPr>
        <w:t>CBD/COP/14/INF/25</w:t>
      </w:r>
      <w:r w:rsidRPr="00172A78">
        <w:rPr>
          <w:rFonts w:eastAsia="Times New Roman" w:hAnsi="SimSun"/>
          <w:sz w:val="24"/>
          <w:szCs w:val="24"/>
          <w:lang w:eastAsia="zh-CN"/>
        </w:rPr>
        <w:t>）；</w:t>
      </w:r>
      <w:r w:rsidRPr="00172A78">
        <w:rPr>
          <w:rFonts w:eastAsia="Times New Roman"/>
          <w:sz w:val="24"/>
          <w:szCs w:val="24"/>
          <w:lang w:eastAsia="zh-CN"/>
        </w:rPr>
        <w:t>2018</w:t>
      </w:r>
      <w:r w:rsidRPr="00172A78">
        <w:rPr>
          <w:rFonts w:eastAsia="Times New Roman" w:hAnsi="SimSun"/>
          <w:sz w:val="24"/>
          <w:szCs w:val="24"/>
          <w:lang w:eastAsia="zh-CN"/>
        </w:rPr>
        <w:t>年</w:t>
      </w:r>
      <w:r w:rsidRPr="00172A78">
        <w:rPr>
          <w:rFonts w:eastAsia="Times New Roman"/>
          <w:sz w:val="24"/>
          <w:szCs w:val="24"/>
          <w:lang w:eastAsia="zh-CN"/>
        </w:rPr>
        <w:t>7</w:t>
      </w:r>
      <w:r w:rsidRPr="00172A78">
        <w:rPr>
          <w:rFonts w:eastAsia="Times New Roman" w:hAnsi="SimSun"/>
          <w:sz w:val="24"/>
          <w:szCs w:val="24"/>
          <w:lang w:eastAsia="zh-CN"/>
        </w:rPr>
        <w:t>月在瑞士</w:t>
      </w:r>
      <w:r w:rsidRPr="00172A78">
        <w:rPr>
          <w:rFonts w:eastAsia="Times New Roman"/>
          <w:sz w:val="24"/>
          <w:szCs w:val="24"/>
          <w:lang w:eastAsia="zh-CN"/>
        </w:rPr>
        <w:t>Bogis Bossey</w:t>
      </w:r>
      <w:r w:rsidRPr="00172A78">
        <w:rPr>
          <w:rFonts w:eastAsia="Times New Roman" w:hAnsi="SimSun"/>
          <w:sz w:val="24"/>
          <w:szCs w:val="24"/>
          <w:lang w:eastAsia="zh-CN"/>
        </w:rPr>
        <w:t>举行的关于生物多样性议程变革性改变的研讨会的报告（</w:t>
      </w:r>
      <w:r w:rsidRPr="00172A78">
        <w:rPr>
          <w:rFonts w:eastAsia="Times New Roman"/>
          <w:sz w:val="24"/>
          <w:szCs w:val="24"/>
          <w:lang w:eastAsia="zh-CN"/>
        </w:rPr>
        <w:t>CBD/COP/14/INF/27</w:t>
      </w:r>
      <w:r w:rsidRPr="00172A78">
        <w:rPr>
          <w:rFonts w:eastAsia="Times New Roman" w:hAnsi="SimSun"/>
          <w:sz w:val="24"/>
          <w:szCs w:val="24"/>
          <w:lang w:eastAsia="zh-CN"/>
        </w:rPr>
        <w:t>）；和全球植物保护战略联络组第六届会议的报告（</w:t>
      </w:r>
      <w:r w:rsidRPr="00172A78">
        <w:rPr>
          <w:rFonts w:eastAsia="Times New Roman"/>
          <w:sz w:val="24"/>
          <w:szCs w:val="24"/>
          <w:lang w:eastAsia="zh-CN"/>
        </w:rPr>
        <w:t>CBD/GSPC/LG/6/2</w:t>
      </w:r>
      <w:r w:rsidRPr="00172A78">
        <w:rPr>
          <w:rFonts w:eastAsia="Times New Roman" w:hAnsi="SimSun"/>
          <w:sz w:val="24"/>
          <w:szCs w:val="24"/>
          <w:lang w:eastAsia="zh-CN"/>
        </w:rPr>
        <w:t>）。</w:t>
      </w:r>
    </w:p>
    <w:p w:rsidR="00F94A6F" w:rsidRDefault="00F94A6F">
      <w:pPr>
        <w:rPr>
          <w:rStyle w:val="style21"/>
          <w:rFonts w:eastAsia="KaiTi"/>
          <w:color w:val="auto"/>
          <w:lang w:val="en-CA" w:eastAsia="zh-CN"/>
        </w:rPr>
      </w:pPr>
      <w:r>
        <w:rPr>
          <w:rStyle w:val="style21"/>
          <w:rFonts w:eastAsia="KaiTi"/>
          <w:color w:val="auto"/>
          <w:lang w:val="en-CA" w:eastAsia="zh-CN"/>
        </w:rPr>
        <w:br w:type="page"/>
      </w:r>
    </w:p>
    <w:p w:rsidR="008D76BF" w:rsidRPr="00F40BE1" w:rsidRDefault="008D76BF" w:rsidP="00A434BF">
      <w:pPr>
        <w:pStyle w:val="Para1"/>
        <w:tabs>
          <w:tab w:val="clear" w:pos="360"/>
          <w:tab w:val="left" w:pos="720"/>
        </w:tabs>
        <w:snapToGrid w:val="0"/>
        <w:ind w:firstLine="0"/>
        <w:jc w:val="center"/>
        <w:rPr>
          <w:rStyle w:val="style21"/>
          <w:rFonts w:eastAsia="KaiTi"/>
          <w:color w:val="auto"/>
          <w:lang w:val="en-CA" w:eastAsia="zh-CN"/>
        </w:rPr>
      </w:pPr>
      <w:r w:rsidRPr="00F40BE1">
        <w:rPr>
          <w:rStyle w:val="style21"/>
          <w:rFonts w:eastAsia="KaiTi"/>
          <w:color w:val="auto"/>
          <w:lang w:val="en-CA" w:eastAsia="zh-CN"/>
        </w:rPr>
        <w:lastRenderedPageBreak/>
        <w:t>2050</w:t>
      </w:r>
      <w:r w:rsidRPr="00F40BE1">
        <w:rPr>
          <w:rStyle w:val="style21"/>
          <w:rFonts w:eastAsia="KaiTi" w:hint="eastAsia"/>
          <w:color w:val="auto"/>
          <w:lang w:val="en-CA" w:eastAsia="zh-CN"/>
        </w:rPr>
        <w:t>年生物多样性愿景</w:t>
      </w:r>
      <w:r w:rsidR="008B1AB8">
        <w:rPr>
          <w:rStyle w:val="style21"/>
          <w:rFonts w:eastAsia="KaiTi" w:hint="eastAsia"/>
          <w:color w:val="auto"/>
          <w:lang w:val="en-CA" w:eastAsia="zh-CN"/>
        </w:rPr>
        <w:t>的</w:t>
      </w:r>
      <w:r w:rsidR="008B1AB8">
        <w:rPr>
          <w:rStyle w:val="style21"/>
          <w:rFonts w:eastAsia="KaiTi"/>
          <w:color w:val="auto"/>
          <w:lang w:val="en-CA" w:eastAsia="zh-CN"/>
        </w:rPr>
        <w:t>情景</w:t>
      </w:r>
      <w:r w:rsidRPr="00F40BE1">
        <w:rPr>
          <w:rStyle w:val="style21"/>
          <w:rFonts w:eastAsia="KaiTi" w:hint="eastAsia"/>
          <w:color w:val="auto"/>
          <w:lang w:val="en-CA" w:eastAsia="zh-CN"/>
        </w:rPr>
        <w:t>设想</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szCs w:val="24"/>
          <w:lang w:eastAsia="zh-CN"/>
        </w:rPr>
        <w:t>在审议该项目的第一部分即关于</w:t>
      </w:r>
      <w:r w:rsidRPr="00172A78">
        <w:rPr>
          <w:rFonts w:eastAsia="Times New Roman"/>
          <w:sz w:val="24"/>
          <w:szCs w:val="24"/>
          <w:lang w:eastAsia="zh-CN"/>
        </w:rPr>
        <w:t>2050</w:t>
      </w:r>
      <w:r w:rsidRPr="00172A78">
        <w:rPr>
          <w:rFonts w:eastAsia="Times New Roman" w:hAnsi="SimSun"/>
          <w:sz w:val="24"/>
          <w:szCs w:val="24"/>
          <w:lang w:eastAsia="zh-CN"/>
        </w:rPr>
        <w:t>年生物多样性愿景的</w:t>
      </w:r>
      <w:r w:rsidR="008B1AB8">
        <w:rPr>
          <w:rFonts w:eastAsiaTheme="minorEastAsia" w:hAnsi="SimSun" w:hint="eastAsia"/>
          <w:sz w:val="24"/>
          <w:szCs w:val="24"/>
          <w:lang w:eastAsia="zh-CN"/>
        </w:rPr>
        <w:t>情景</w:t>
      </w:r>
      <w:r w:rsidRPr="00172A78">
        <w:rPr>
          <w:rFonts w:eastAsia="Times New Roman" w:hAnsi="SimSun"/>
          <w:sz w:val="24"/>
          <w:szCs w:val="24"/>
          <w:lang w:eastAsia="zh-CN"/>
        </w:rPr>
        <w:t>设想时，缔约方大会除收到</w:t>
      </w:r>
      <w:r w:rsidRPr="00172A78">
        <w:rPr>
          <w:rFonts w:eastAsia="Times New Roman"/>
          <w:sz w:val="24"/>
          <w:szCs w:val="24"/>
          <w:lang w:eastAsia="zh-CN"/>
        </w:rPr>
        <w:t>CBD/COP/14/9</w:t>
      </w:r>
      <w:r w:rsidRPr="00172A78">
        <w:rPr>
          <w:rFonts w:eastAsia="Times New Roman" w:hAnsi="SimSun"/>
          <w:sz w:val="24"/>
          <w:szCs w:val="24"/>
          <w:lang w:eastAsia="zh-CN"/>
        </w:rPr>
        <w:t>所载说明和资料文件外，还收到了决定草案汇编（</w:t>
      </w:r>
      <w:r w:rsidRPr="00172A78">
        <w:rPr>
          <w:rFonts w:eastAsia="Times New Roman"/>
          <w:sz w:val="24"/>
          <w:szCs w:val="24"/>
          <w:lang w:eastAsia="zh-CN"/>
        </w:rPr>
        <w:t>CBD/COP/14/2</w:t>
      </w:r>
      <w:r w:rsidRPr="00172A78">
        <w:rPr>
          <w:rFonts w:eastAsia="Times New Roman" w:hAnsi="SimSun"/>
          <w:sz w:val="24"/>
          <w:szCs w:val="24"/>
          <w:lang w:eastAsia="zh-CN"/>
        </w:rPr>
        <w:t>）所载根据第</w:t>
      </w:r>
      <w:r w:rsidRPr="00172A78">
        <w:rPr>
          <w:rFonts w:eastAsia="Times New Roman"/>
          <w:sz w:val="24"/>
          <w:szCs w:val="24"/>
          <w:lang w:eastAsia="zh-CN"/>
        </w:rPr>
        <w:t>SBSTTA-21/1</w:t>
      </w:r>
      <w:r w:rsidRPr="00172A78">
        <w:rPr>
          <w:rFonts w:eastAsia="Times New Roman" w:hAnsi="SimSun"/>
          <w:sz w:val="24"/>
          <w:szCs w:val="24"/>
          <w:lang w:eastAsia="zh-CN"/>
        </w:rPr>
        <w:t>号建议拟定的决定草案。</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szCs w:val="24"/>
          <w:lang w:eastAsia="zh-CN"/>
        </w:rPr>
        <w:t>下列国家代表作了发言：阿尔及利亚、安提瓜和巴布达、阿根廷、孟加拉国、波斯尼亚和黑塞哥维那、博茨瓦纳、巴西、布基纳法索、柬埔寨、喀麦隆、加拿大、中国、哥伦比亚（代表</w:t>
      </w:r>
      <w:r>
        <w:rPr>
          <w:rFonts w:eastAsia="SimSun" w:hAnsi="SimSun" w:hint="eastAsia"/>
          <w:sz w:val="24"/>
          <w:szCs w:val="24"/>
          <w:lang w:eastAsia="zh-CN"/>
        </w:rPr>
        <w:t>观点相同的</w:t>
      </w:r>
      <w:r w:rsidRPr="00172A78">
        <w:rPr>
          <w:rFonts w:eastAsia="Times New Roman" w:hAnsi="SimSun"/>
          <w:color w:val="000000"/>
          <w:sz w:val="24"/>
          <w:szCs w:val="24"/>
          <w:lang w:eastAsia="zh-CN"/>
        </w:rPr>
        <w:t>生物多样性</w:t>
      </w:r>
      <w:r w:rsidRPr="00172A78">
        <w:rPr>
          <w:rFonts w:eastAsia="Times New Roman" w:hAnsi="SimSun"/>
          <w:sz w:val="24"/>
          <w:szCs w:val="24"/>
          <w:lang w:eastAsia="zh-CN"/>
        </w:rPr>
        <w:t>大国</w:t>
      </w:r>
      <w:r>
        <w:rPr>
          <w:rFonts w:eastAsia="SimSun" w:hAnsi="SimSun" w:hint="eastAsia"/>
          <w:sz w:val="24"/>
          <w:szCs w:val="24"/>
          <w:lang w:eastAsia="zh-CN"/>
        </w:rPr>
        <w:t>集团</w:t>
      </w:r>
      <w:r w:rsidRPr="00172A78">
        <w:rPr>
          <w:rFonts w:eastAsia="Times New Roman" w:hAnsi="SimSun"/>
          <w:sz w:val="24"/>
          <w:szCs w:val="24"/>
          <w:lang w:eastAsia="zh-CN"/>
        </w:rPr>
        <w:t>）、哥斯达黎加、科特迪瓦、古巴（代表小岛屿发展中国家）、多米尼加共和国、厄瓜多尔、埃及、埃塞俄比亚、欧洲联盟及其</w:t>
      </w:r>
      <w:r w:rsidRPr="00172A78">
        <w:rPr>
          <w:rFonts w:eastAsia="Times New Roman"/>
          <w:sz w:val="24"/>
          <w:szCs w:val="24"/>
          <w:lang w:eastAsia="zh-CN"/>
        </w:rPr>
        <w:t>28</w:t>
      </w:r>
      <w:r w:rsidRPr="00172A78">
        <w:rPr>
          <w:rFonts w:eastAsia="Times New Roman" w:hAnsi="SimSun"/>
          <w:sz w:val="24"/>
          <w:szCs w:val="24"/>
          <w:lang w:eastAsia="zh-CN"/>
        </w:rPr>
        <w:t>个成员国、加蓬、印度、伊拉克、牙买加、日本、肯尼亚、马拉维、墨西哥、摩洛哥、尼泊尔、新西兰、挪威、帕劳（代表太平洋岛屿国家）、巴拿马、菲律宾、南非（代表非洲集团）、圣基茨和尼维斯（代表拉丁美洲和加勒比集团）、苏丹、瑞士、土耳其、乌干达、坦桑尼亚联合共和国、乌拉圭、委内瑞拉玻利瓦尔共和国。</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szCs w:val="24"/>
          <w:lang w:eastAsia="zh-CN"/>
        </w:rPr>
        <w:t>下列组织的代表也作了发言：粮农组织（代表《粮食和农业植物遗传资源国际条约》）、联合国妇女署</w:t>
      </w:r>
      <w:r w:rsidR="00A70CC2">
        <w:rPr>
          <w:rFonts w:eastAsia="Times New Roman" w:hAnsi="SimSun"/>
          <w:sz w:val="24"/>
          <w:szCs w:val="24"/>
          <w:lang w:eastAsia="zh-CN"/>
        </w:rPr>
        <w:t>、</w:t>
      </w:r>
      <w:r w:rsidRPr="00172A78">
        <w:rPr>
          <w:rFonts w:eastAsia="Times New Roman" w:hAnsi="SimSun"/>
          <w:sz w:val="24"/>
          <w:szCs w:val="24"/>
          <w:lang w:eastAsia="zh-CN"/>
        </w:rPr>
        <w:t>濒危野生动植物种国际贸易公约（濒危物种公约）秘书处（代表生物多样性相关公约联络小组）。</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szCs w:val="24"/>
          <w:lang w:eastAsia="zh-CN"/>
        </w:rPr>
        <w:t>发言的还有以下组织的代表：国际鸟类保护组织（也代表国际保护组织、全球青年生物多样性网络、国际动物福利基金、瑞尔保护协会、皇家鸟类保护协会、大自然保护协会、</w:t>
      </w:r>
      <w:r w:rsidRPr="00172A78">
        <w:rPr>
          <w:rFonts w:eastAsia="Times New Roman"/>
          <w:sz w:val="24"/>
          <w:szCs w:val="24"/>
          <w:lang w:eastAsia="zh-CN"/>
        </w:rPr>
        <w:t xml:space="preserve"> </w:t>
      </w:r>
      <w:r w:rsidRPr="00172A78">
        <w:rPr>
          <w:rFonts w:eastAsia="Times New Roman" w:hAnsi="SimSun"/>
          <w:sz w:val="24"/>
          <w:szCs w:val="24"/>
          <w:lang w:eastAsia="zh-CN"/>
        </w:rPr>
        <w:t>皮尤慈善信托基金会、世界自然基金会）、地球之友国际（也代表</w:t>
      </w:r>
      <w:r w:rsidRPr="00172A78">
        <w:rPr>
          <w:rFonts w:eastAsia="Times New Roman"/>
          <w:sz w:val="24"/>
          <w:szCs w:val="24"/>
          <w:lang w:eastAsia="zh-CN"/>
        </w:rPr>
        <w:t>EcoNexus</w:t>
      </w:r>
      <w:r w:rsidRPr="00172A78">
        <w:rPr>
          <w:rFonts w:eastAsia="Times New Roman" w:hAnsi="SimSun"/>
          <w:sz w:val="24"/>
          <w:szCs w:val="24"/>
          <w:lang w:eastAsia="zh-CN"/>
        </w:rPr>
        <w:t>、欧洲生态反思和行动网络、世界森林组织、环境和自然资源基金会、全球森林联盟）、地球观测组织生物多样性观测网络、全球青年生物多样性网络、国际粮食主权委员会、国际生物多样性问题土著论坛、国际自然保护联盟、联合国大学可持续发展高级研究所、世界自然基金会。</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szCs w:val="24"/>
          <w:lang w:eastAsia="zh-CN"/>
        </w:rPr>
        <w:t>在</w:t>
      </w:r>
      <w:r w:rsidRPr="00172A78">
        <w:rPr>
          <w:rFonts w:eastAsia="Times New Roman"/>
          <w:sz w:val="24"/>
          <w:szCs w:val="24"/>
          <w:lang w:eastAsia="zh-CN"/>
        </w:rPr>
        <w:t>11</w:t>
      </w:r>
      <w:r w:rsidRPr="00172A78">
        <w:rPr>
          <w:rFonts w:eastAsia="Times New Roman" w:hAnsi="SimSun"/>
          <w:sz w:val="24"/>
          <w:szCs w:val="24"/>
          <w:lang w:eastAsia="zh-CN"/>
        </w:rPr>
        <w:t>月</w:t>
      </w:r>
      <w:r w:rsidRPr="00172A78">
        <w:rPr>
          <w:rFonts w:eastAsia="Times New Roman"/>
          <w:sz w:val="24"/>
          <w:szCs w:val="24"/>
          <w:lang w:eastAsia="zh-CN"/>
        </w:rPr>
        <w:t>25</w:t>
      </w:r>
      <w:r w:rsidR="00A70CC2">
        <w:rPr>
          <w:rFonts w:ascii="SimSun" w:eastAsia="SimSun" w:hAnsi="SimSun" w:cs="SimSun" w:hint="eastAsia"/>
          <w:sz w:val="24"/>
          <w:szCs w:val="24"/>
          <w:lang w:eastAsia="zh-CN"/>
        </w:rPr>
        <w:t>日会议</w:t>
      </w:r>
      <w:r w:rsidR="00363A11">
        <w:rPr>
          <w:rFonts w:ascii="SimSun" w:eastAsia="SimSun" w:hAnsi="SimSun" w:cs="SimSun" w:hint="eastAsia"/>
          <w:sz w:val="24"/>
          <w:szCs w:val="24"/>
          <w:lang w:eastAsia="zh-CN"/>
        </w:rPr>
        <w:t>的</w:t>
      </w:r>
      <w:r w:rsidRPr="00172A78">
        <w:rPr>
          <w:rFonts w:eastAsia="Times New Roman" w:hAnsi="SimSun"/>
          <w:sz w:val="24"/>
          <w:szCs w:val="24"/>
          <w:lang w:eastAsia="zh-CN"/>
        </w:rPr>
        <w:t>第</w:t>
      </w:r>
      <w:r w:rsidRPr="00172A78">
        <w:rPr>
          <w:rFonts w:eastAsia="Times New Roman"/>
          <w:sz w:val="24"/>
          <w:szCs w:val="24"/>
          <w:lang w:eastAsia="zh-CN"/>
        </w:rPr>
        <w:t>5</w:t>
      </w:r>
      <w:r w:rsidR="00B45641">
        <w:rPr>
          <w:rFonts w:ascii="SimSun" w:eastAsia="SimSun" w:hAnsi="SimSun" w:cs="SimSun" w:hint="eastAsia"/>
          <w:sz w:val="24"/>
          <w:szCs w:val="24"/>
          <w:lang w:eastAsia="zh-CN"/>
        </w:rPr>
        <w:t>次全体会议</w:t>
      </w:r>
      <w:r w:rsidRPr="00172A78">
        <w:rPr>
          <w:rFonts w:eastAsia="Times New Roman" w:hAnsi="SimSun"/>
          <w:sz w:val="24"/>
          <w:szCs w:val="24"/>
          <w:lang w:eastAsia="zh-CN"/>
        </w:rPr>
        <w:t>上，缔约方大会审议了主席提交的关于</w:t>
      </w:r>
      <w:r w:rsidRPr="00172A78">
        <w:rPr>
          <w:rFonts w:eastAsia="Times New Roman"/>
          <w:sz w:val="24"/>
          <w:szCs w:val="24"/>
          <w:lang w:eastAsia="zh-CN"/>
        </w:rPr>
        <w:t>2050</w:t>
      </w:r>
      <w:r w:rsidRPr="00172A78">
        <w:rPr>
          <w:rFonts w:eastAsia="Times New Roman" w:hAnsi="SimSun"/>
          <w:sz w:val="24"/>
          <w:szCs w:val="24"/>
          <w:lang w:eastAsia="zh-CN"/>
        </w:rPr>
        <w:t>年生物多样性愿景</w:t>
      </w:r>
      <w:r w:rsidR="008B1AB8">
        <w:rPr>
          <w:rFonts w:eastAsiaTheme="minorEastAsia" w:hAnsi="SimSun" w:hint="eastAsia"/>
          <w:sz w:val="24"/>
          <w:szCs w:val="24"/>
          <w:lang w:eastAsia="zh-CN"/>
        </w:rPr>
        <w:t>情景</w:t>
      </w:r>
      <w:r w:rsidRPr="00172A78">
        <w:rPr>
          <w:rFonts w:eastAsia="Times New Roman" w:hAnsi="SimSun"/>
          <w:sz w:val="24"/>
          <w:szCs w:val="24"/>
          <w:lang w:eastAsia="zh-CN"/>
        </w:rPr>
        <w:t>设想的决定草案。</w:t>
      </w:r>
      <w:r w:rsidRPr="00172A78">
        <w:rPr>
          <w:rFonts w:eastAsia="Times New Roman"/>
          <w:sz w:val="24"/>
          <w:szCs w:val="24"/>
          <w:lang w:eastAsia="zh-CN"/>
        </w:rPr>
        <w:t xml:space="preserve"> </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szCs w:val="24"/>
          <w:lang w:eastAsia="zh-CN"/>
        </w:rPr>
        <w:t>下列国家的代表作了发言：阿根廷、多民族玻利维亚国、巴西、喀麦隆、哥斯达黎加、欧洲联盟及其</w:t>
      </w:r>
      <w:r w:rsidRPr="00172A78">
        <w:rPr>
          <w:rFonts w:eastAsia="Times New Roman"/>
          <w:sz w:val="24"/>
          <w:szCs w:val="24"/>
          <w:lang w:eastAsia="zh-CN"/>
        </w:rPr>
        <w:t>28</w:t>
      </w:r>
      <w:r w:rsidRPr="00172A78">
        <w:rPr>
          <w:rFonts w:eastAsia="Times New Roman" w:hAnsi="SimSun"/>
          <w:sz w:val="24"/>
          <w:szCs w:val="24"/>
          <w:lang w:eastAsia="zh-CN"/>
        </w:rPr>
        <w:t>个成员国、加蓬、洪都拉斯、墨西哥、摩洛哥、巴拿马、巴拉圭、秘鲁、乌拉圭。</w:t>
      </w:r>
      <w:r w:rsidRPr="00172A78">
        <w:rPr>
          <w:rFonts w:eastAsia="Times New Roman"/>
          <w:sz w:val="24"/>
          <w:szCs w:val="24"/>
          <w:lang w:eastAsia="zh-CN"/>
        </w:rPr>
        <w:t xml:space="preserve">  </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szCs w:val="24"/>
          <w:lang w:eastAsia="zh-CN"/>
        </w:rPr>
        <w:t>在</w:t>
      </w:r>
      <w:r w:rsidRPr="00172A78">
        <w:rPr>
          <w:rFonts w:eastAsia="Times New Roman"/>
          <w:sz w:val="24"/>
          <w:szCs w:val="24"/>
          <w:lang w:eastAsia="zh-CN"/>
        </w:rPr>
        <w:t>2018</w:t>
      </w:r>
      <w:r w:rsidRPr="00172A78">
        <w:rPr>
          <w:rFonts w:eastAsia="Times New Roman" w:hAnsi="SimSun"/>
          <w:sz w:val="24"/>
          <w:szCs w:val="24"/>
          <w:lang w:eastAsia="zh-CN"/>
        </w:rPr>
        <w:t>年</w:t>
      </w:r>
      <w:r w:rsidRPr="00172A78">
        <w:rPr>
          <w:rFonts w:eastAsia="Times New Roman"/>
          <w:sz w:val="24"/>
          <w:szCs w:val="24"/>
          <w:lang w:eastAsia="zh-CN"/>
        </w:rPr>
        <w:t>11</w:t>
      </w:r>
      <w:r w:rsidRPr="00172A78">
        <w:rPr>
          <w:rFonts w:eastAsia="Times New Roman" w:hAnsi="SimSun"/>
          <w:sz w:val="24"/>
          <w:szCs w:val="24"/>
          <w:lang w:eastAsia="zh-CN"/>
        </w:rPr>
        <w:t>月</w:t>
      </w:r>
      <w:r w:rsidRPr="00172A78">
        <w:rPr>
          <w:rFonts w:eastAsia="Times New Roman"/>
          <w:sz w:val="24"/>
          <w:szCs w:val="24"/>
          <w:lang w:eastAsia="zh-CN"/>
        </w:rPr>
        <w:t>28</w:t>
      </w:r>
      <w:r w:rsidR="00A70CC2">
        <w:rPr>
          <w:rFonts w:ascii="SimSun" w:eastAsia="SimSun" w:hAnsi="SimSun" w:cs="SimSun" w:hint="eastAsia"/>
          <w:sz w:val="24"/>
          <w:szCs w:val="24"/>
          <w:lang w:eastAsia="zh-CN"/>
        </w:rPr>
        <w:t>日会议</w:t>
      </w:r>
      <w:r w:rsidRPr="00172A78">
        <w:rPr>
          <w:rFonts w:eastAsia="Times New Roman" w:hAnsi="SimSun"/>
          <w:sz w:val="24"/>
          <w:szCs w:val="24"/>
          <w:lang w:eastAsia="zh-CN"/>
        </w:rPr>
        <w:t>第</w:t>
      </w:r>
      <w:r w:rsidRPr="00172A78">
        <w:rPr>
          <w:rFonts w:eastAsia="Times New Roman"/>
          <w:sz w:val="24"/>
          <w:szCs w:val="24"/>
          <w:lang w:eastAsia="zh-CN"/>
        </w:rPr>
        <w:t>6</w:t>
      </w:r>
      <w:r w:rsidRPr="00172A78">
        <w:rPr>
          <w:rFonts w:eastAsia="Times New Roman" w:hAnsi="SimSun"/>
          <w:sz w:val="24"/>
          <w:szCs w:val="24"/>
          <w:lang w:eastAsia="zh-CN"/>
        </w:rPr>
        <w:t>次全体会议上，缔约方大会继续审议该决定草案。</w:t>
      </w:r>
    </w:p>
    <w:p w:rsidR="008D76BF" w:rsidRPr="00172A78" w:rsidRDefault="00A70CC2"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szCs w:val="24"/>
          <w:lang w:eastAsia="zh-CN"/>
        </w:rPr>
        <w:t>下列国家的代表作了发言：</w:t>
      </w:r>
      <w:r>
        <w:rPr>
          <w:rFonts w:eastAsia="Times New Roman" w:hAnsi="SimSun"/>
          <w:sz w:val="24"/>
          <w:szCs w:val="24"/>
          <w:lang w:eastAsia="zh-CN"/>
        </w:rPr>
        <w:t>哥伦比亚和摩洛哥</w:t>
      </w:r>
      <w:r w:rsidR="008D76BF" w:rsidRPr="00172A78">
        <w:rPr>
          <w:rFonts w:eastAsia="Times New Roman" w:hAnsi="SimSun"/>
          <w:sz w:val="24"/>
          <w:szCs w:val="24"/>
          <w:lang w:eastAsia="zh-CN"/>
        </w:rPr>
        <w:t>。</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szCs w:val="24"/>
          <w:lang w:eastAsia="zh-CN"/>
        </w:rPr>
        <w:t>经交换意见后，经口头修正的决定草案获得核准，成为</w:t>
      </w:r>
      <w:r>
        <w:rPr>
          <w:rFonts w:eastAsia="Times New Roman" w:hAnsi="SimSun"/>
          <w:sz w:val="24"/>
          <w:szCs w:val="24"/>
          <w:lang w:eastAsia="zh-CN"/>
        </w:rPr>
        <w:t>决定草案</w:t>
      </w:r>
      <w:r w:rsidRPr="00172A78">
        <w:rPr>
          <w:rFonts w:eastAsia="Times New Roman"/>
          <w:sz w:val="24"/>
          <w:szCs w:val="24"/>
          <w:lang w:eastAsia="zh-CN"/>
        </w:rPr>
        <w:t>CBD/COP/14/L.</w:t>
      </w:r>
      <w:r>
        <w:rPr>
          <w:rFonts w:eastAsia="SimSun"/>
          <w:sz w:val="24"/>
          <w:szCs w:val="24"/>
          <w:lang w:eastAsia="zh-CN"/>
        </w:rPr>
        <w:t>30</w:t>
      </w:r>
      <w:r>
        <w:rPr>
          <w:rFonts w:ascii="SimSun" w:eastAsia="SimSun" w:hAnsi="SimSun" w:cs="SimSun" w:hint="eastAsia"/>
          <w:sz w:val="24"/>
          <w:szCs w:val="24"/>
          <w:lang w:eastAsia="zh-CN"/>
        </w:rPr>
        <w:t>待正式通过</w:t>
      </w:r>
      <w:r w:rsidRPr="00172A78">
        <w:rPr>
          <w:rFonts w:eastAsia="Times New Roman" w:hAnsi="SimSun"/>
          <w:sz w:val="24"/>
          <w:szCs w:val="24"/>
          <w:lang w:eastAsia="zh-CN"/>
        </w:rPr>
        <w:t>。</w:t>
      </w:r>
      <w:r w:rsidRPr="00172A78">
        <w:rPr>
          <w:rFonts w:eastAsia="Times New Roman"/>
          <w:sz w:val="24"/>
          <w:szCs w:val="24"/>
          <w:lang w:eastAsia="zh-CN"/>
        </w:rPr>
        <w:t xml:space="preserve"> </w:t>
      </w:r>
    </w:p>
    <w:p w:rsidR="006952B0" w:rsidRPr="009A4B0B" w:rsidRDefault="006952B0" w:rsidP="006952B0">
      <w:pPr>
        <w:pStyle w:val="Para1"/>
        <w:numPr>
          <w:ilvl w:val="0"/>
          <w:numId w:val="9"/>
        </w:numPr>
        <w:tabs>
          <w:tab w:val="clear" w:pos="360"/>
          <w:tab w:val="left" w:pos="720"/>
        </w:tabs>
        <w:ind w:firstLine="0"/>
        <w:rPr>
          <w:rFonts w:hAnsi="SimSun"/>
          <w:sz w:val="24"/>
          <w:szCs w:val="24"/>
          <w:lang w:eastAsia="zh-CN"/>
        </w:rPr>
      </w:pPr>
      <w:r w:rsidRPr="009A4B0B">
        <w:rPr>
          <w:rFonts w:ascii="SimSun" w:eastAsia="SimSun" w:hAnsi="SimSun" w:cs="SimSun" w:hint="eastAsia"/>
          <w:sz w:val="24"/>
          <w:szCs w:val="24"/>
          <w:lang w:eastAsia="zh-CN"/>
        </w:rPr>
        <w:t>在</w:t>
      </w:r>
      <w:r w:rsidRPr="009A4B0B">
        <w:rPr>
          <w:rFonts w:hAnsi="SimSun"/>
          <w:sz w:val="24"/>
          <w:szCs w:val="24"/>
          <w:lang w:eastAsia="zh-CN"/>
        </w:rPr>
        <w:t>2018</w:t>
      </w:r>
      <w:r w:rsidRPr="009A4B0B">
        <w:rPr>
          <w:rFonts w:ascii="SimSun" w:eastAsia="SimSun" w:hAnsi="SimSun" w:cs="SimSun" w:hint="eastAsia"/>
          <w:sz w:val="24"/>
          <w:szCs w:val="24"/>
          <w:lang w:eastAsia="zh-CN"/>
        </w:rPr>
        <w:t>年</w:t>
      </w:r>
      <w:r w:rsidRPr="009A4B0B">
        <w:rPr>
          <w:rFonts w:hAnsi="SimSun"/>
          <w:sz w:val="24"/>
          <w:szCs w:val="24"/>
          <w:lang w:eastAsia="zh-CN"/>
        </w:rPr>
        <w:t>11</w:t>
      </w:r>
      <w:r w:rsidRPr="009A4B0B">
        <w:rPr>
          <w:rFonts w:ascii="SimSun" w:eastAsia="SimSun" w:hAnsi="SimSun" w:cs="SimSun" w:hint="eastAsia"/>
          <w:sz w:val="24"/>
          <w:szCs w:val="24"/>
          <w:lang w:eastAsia="zh-CN"/>
        </w:rPr>
        <w:t>月</w:t>
      </w:r>
      <w:r w:rsidRPr="009A4B0B">
        <w:rPr>
          <w:rFonts w:hAnsi="SimSun"/>
          <w:sz w:val="24"/>
          <w:szCs w:val="24"/>
          <w:lang w:eastAsia="zh-CN"/>
        </w:rPr>
        <w:t>29</w:t>
      </w:r>
      <w:r w:rsidRPr="009A4B0B">
        <w:rPr>
          <w:rFonts w:ascii="SimSun" w:eastAsia="SimSun" w:hAnsi="SimSun" w:cs="SimSun" w:hint="eastAsia"/>
          <w:sz w:val="24"/>
          <w:szCs w:val="24"/>
          <w:lang w:eastAsia="zh-CN"/>
        </w:rPr>
        <w:t>日</w:t>
      </w:r>
      <w:r w:rsidR="00363A11">
        <w:rPr>
          <w:rFonts w:ascii="SimSun" w:eastAsia="SimSun" w:hAnsi="SimSun" w:cs="SimSun" w:hint="eastAsia"/>
          <w:sz w:val="24"/>
          <w:szCs w:val="24"/>
          <w:lang w:eastAsia="zh-CN"/>
        </w:rPr>
        <w:t>会议的</w:t>
      </w:r>
      <w:r w:rsidRPr="009A4B0B">
        <w:rPr>
          <w:rFonts w:ascii="SimSun" w:eastAsia="SimSun" w:hAnsi="SimSun" w:cs="SimSun" w:hint="eastAsia"/>
          <w:sz w:val="24"/>
          <w:szCs w:val="24"/>
          <w:lang w:eastAsia="zh-CN"/>
        </w:rPr>
        <w:t>第</w:t>
      </w:r>
      <w:r>
        <w:rPr>
          <w:rFonts w:hAnsi="SimSun"/>
          <w:sz w:val="24"/>
          <w:szCs w:val="24"/>
          <w:lang w:eastAsia="zh-CN"/>
        </w:rPr>
        <w:t>7</w:t>
      </w:r>
      <w:r w:rsidR="00B45641">
        <w:rPr>
          <w:rFonts w:hAnsi="SimSun" w:hint="eastAsia"/>
          <w:sz w:val="24"/>
          <w:szCs w:val="24"/>
          <w:lang w:eastAsia="zh-CN"/>
        </w:rPr>
        <w:t>次全体会议</w:t>
      </w:r>
      <w:r w:rsidRPr="009A4B0B">
        <w:rPr>
          <w:rFonts w:ascii="SimSun" w:eastAsia="SimSun" w:hAnsi="SimSun" w:cs="SimSun" w:hint="eastAsia"/>
          <w:sz w:val="24"/>
          <w:szCs w:val="24"/>
          <w:lang w:eastAsia="zh-CN"/>
        </w:rPr>
        <w:t>上，缔约方大会</w:t>
      </w:r>
      <w:r w:rsidRPr="009A4B0B">
        <w:rPr>
          <w:rFonts w:ascii="SimSun" w:eastAsia="SimSun" w:hAnsi="SimSun" w:cs="SimSun"/>
          <w:sz w:val="24"/>
          <w:szCs w:val="24"/>
          <w:lang w:eastAsia="zh-CN"/>
        </w:rPr>
        <w:t>审议了</w:t>
      </w:r>
      <w:r w:rsidRPr="009A4B0B">
        <w:rPr>
          <w:rFonts w:ascii="SimSun" w:eastAsia="SimSun" w:hAnsi="SimSun" w:cs="SimSun" w:hint="eastAsia"/>
          <w:sz w:val="24"/>
          <w:szCs w:val="24"/>
          <w:lang w:eastAsia="zh-CN"/>
        </w:rPr>
        <w:t>决定草案</w:t>
      </w:r>
      <w:r>
        <w:rPr>
          <w:rFonts w:hAnsi="SimSun"/>
          <w:sz w:val="24"/>
          <w:szCs w:val="24"/>
          <w:lang w:eastAsia="zh-CN"/>
        </w:rPr>
        <w:t>CBD/COP/14/L.30</w:t>
      </w:r>
      <w:r>
        <w:rPr>
          <w:rFonts w:hAnsi="SimSun" w:hint="eastAsia"/>
          <w:sz w:val="24"/>
          <w:szCs w:val="24"/>
          <w:lang w:eastAsia="zh-CN"/>
        </w:rPr>
        <w:t>。</w:t>
      </w:r>
    </w:p>
    <w:p w:rsidR="00A70CC2" w:rsidRPr="006952B0" w:rsidRDefault="006952B0" w:rsidP="006952B0">
      <w:pPr>
        <w:pStyle w:val="Para1"/>
        <w:numPr>
          <w:ilvl w:val="0"/>
          <w:numId w:val="9"/>
        </w:numPr>
        <w:tabs>
          <w:tab w:val="clear" w:pos="360"/>
          <w:tab w:val="left" w:pos="720"/>
        </w:tabs>
        <w:ind w:firstLine="0"/>
        <w:rPr>
          <w:rFonts w:hAnsi="SimSun"/>
          <w:sz w:val="24"/>
          <w:szCs w:val="24"/>
          <w:lang w:eastAsia="zh-CN"/>
        </w:rPr>
      </w:pPr>
      <w:r w:rsidRPr="006952B0">
        <w:rPr>
          <w:rFonts w:hAnsi="SimSun" w:hint="eastAsia"/>
          <w:sz w:val="24"/>
          <w:szCs w:val="24"/>
          <w:lang w:eastAsia="zh-CN"/>
        </w:rPr>
        <w:lastRenderedPageBreak/>
        <w:t>下列国家</w:t>
      </w:r>
      <w:r>
        <w:rPr>
          <w:rFonts w:hAnsi="SimSun" w:hint="eastAsia"/>
          <w:sz w:val="24"/>
          <w:szCs w:val="24"/>
          <w:lang w:eastAsia="zh-CN"/>
        </w:rPr>
        <w:t>的</w:t>
      </w:r>
      <w:r w:rsidRPr="006952B0">
        <w:rPr>
          <w:rFonts w:hAnsi="SimSun" w:hint="eastAsia"/>
          <w:sz w:val="24"/>
          <w:szCs w:val="24"/>
          <w:lang w:eastAsia="zh-CN"/>
        </w:rPr>
        <w:t>代表作了发言：</w:t>
      </w:r>
      <w:r w:rsidR="00A70CC2" w:rsidRPr="006952B0">
        <w:rPr>
          <w:rFonts w:hAnsi="SimSun"/>
          <w:sz w:val="24"/>
          <w:szCs w:val="24"/>
          <w:lang w:eastAsia="zh-CN"/>
        </w:rPr>
        <w:t xml:space="preserve"> </w:t>
      </w:r>
      <w:r w:rsidRPr="006952B0">
        <w:rPr>
          <w:rFonts w:hAnsi="SimSun" w:hint="eastAsia"/>
          <w:sz w:val="24"/>
          <w:szCs w:val="24"/>
          <w:lang w:eastAsia="zh-CN"/>
        </w:rPr>
        <w:t>阿根廷、多民族玻利维亚国、巴西、加拿大、欧洲联盟及其</w:t>
      </w:r>
      <w:r w:rsidRPr="006952B0">
        <w:rPr>
          <w:rFonts w:hAnsi="SimSun"/>
          <w:sz w:val="24"/>
          <w:szCs w:val="24"/>
          <w:lang w:eastAsia="zh-CN"/>
        </w:rPr>
        <w:t>28</w:t>
      </w:r>
      <w:r w:rsidRPr="006952B0">
        <w:rPr>
          <w:rFonts w:hAnsi="SimSun" w:hint="eastAsia"/>
          <w:sz w:val="24"/>
          <w:szCs w:val="24"/>
          <w:lang w:eastAsia="zh-CN"/>
        </w:rPr>
        <w:t>个成员国、伊拉克、利比里亚、墨西哥、摩洛哥、卡塔尔、挪威和乌拉圭。</w:t>
      </w:r>
    </w:p>
    <w:p w:rsidR="006952B0" w:rsidRPr="009A4B0B" w:rsidRDefault="006952B0" w:rsidP="006952B0">
      <w:pPr>
        <w:pStyle w:val="Para1"/>
        <w:numPr>
          <w:ilvl w:val="0"/>
          <w:numId w:val="9"/>
        </w:numPr>
        <w:tabs>
          <w:tab w:val="clear" w:pos="360"/>
          <w:tab w:val="left" w:pos="720"/>
        </w:tabs>
        <w:ind w:firstLine="0"/>
        <w:rPr>
          <w:rFonts w:hAnsi="SimSun"/>
          <w:sz w:val="24"/>
          <w:szCs w:val="24"/>
          <w:lang w:eastAsia="zh-CN"/>
        </w:rPr>
      </w:pPr>
      <w:r w:rsidRPr="009A4B0B">
        <w:rPr>
          <w:rFonts w:ascii="SimSun" w:eastAsia="SimSun" w:hAnsi="SimSun" w:cs="SimSun" w:hint="eastAsia"/>
          <w:sz w:val="24"/>
          <w:szCs w:val="24"/>
          <w:lang w:eastAsia="zh-CN"/>
        </w:rPr>
        <w:t>缔约方大会通过了决定草案</w:t>
      </w:r>
      <w:r w:rsidRPr="009A4B0B">
        <w:rPr>
          <w:rFonts w:hAnsi="SimSun"/>
          <w:sz w:val="24"/>
          <w:szCs w:val="24"/>
          <w:lang w:eastAsia="zh-CN"/>
        </w:rPr>
        <w:t>CBD/COP/14/L.</w:t>
      </w:r>
      <w:r>
        <w:rPr>
          <w:rFonts w:hAnsi="SimSun"/>
          <w:sz w:val="24"/>
          <w:szCs w:val="24"/>
          <w:lang w:eastAsia="zh-CN"/>
        </w:rPr>
        <w:t>30</w:t>
      </w:r>
      <w:r w:rsidRPr="009A4B0B">
        <w:rPr>
          <w:rFonts w:ascii="SimSun" w:eastAsia="SimSun" w:hAnsi="SimSun" w:cs="SimSun" w:hint="eastAsia"/>
          <w:sz w:val="24"/>
          <w:szCs w:val="24"/>
          <w:lang w:eastAsia="zh-CN"/>
        </w:rPr>
        <w:t>，成为第</w:t>
      </w:r>
      <w:r w:rsidRPr="009A4B0B">
        <w:rPr>
          <w:rFonts w:eastAsia="SimSun"/>
          <w:sz w:val="24"/>
          <w:szCs w:val="24"/>
          <w:lang w:eastAsia="zh-CN"/>
        </w:rPr>
        <w:t>14</w:t>
      </w:r>
      <w:r w:rsidRPr="009A4B0B">
        <w:rPr>
          <w:sz w:val="24"/>
          <w:szCs w:val="24"/>
          <w:lang w:eastAsia="zh-CN"/>
        </w:rPr>
        <w:t>/</w:t>
      </w:r>
      <w:r>
        <w:rPr>
          <w:sz w:val="24"/>
          <w:szCs w:val="24"/>
          <w:lang w:eastAsia="zh-CN"/>
        </w:rPr>
        <w:t>2</w:t>
      </w:r>
      <w:r w:rsidRPr="009A4B0B">
        <w:rPr>
          <w:rFonts w:ascii="SimSun" w:eastAsia="SimSun" w:hAnsi="SimSun" w:cs="SimSun" w:hint="eastAsia"/>
          <w:sz w:val="24"/>
          <w:szCs w:val="24"/>
          <w:lang w:eastAsia="zh-CN"/>
        </w:rPr>
        <w:t>号决定</w:t>
      </w:r>
      <w:r w:rsidRPr="009A4B0B">
        <w:rPr>
          <w:rFonts w:eastAsia="SimSun"/>
          <w:sz w:val="24"/>
          <w:szCs w:val="24"/>
          <w:lang w:val="en-US" w:eastAsia="zh-CN"/>
        </w:rPr>
        <w:t>（</w:t>
      </w:r>
      <w:r w:rsidRPr="009A4B0B">
        <w:rPr>
          <w:rFonts w:eastAsia="SimSun" w:hint="eastAsia"/>
          <w:sz w:val="24"/>
          <w:szCs w:val="24"/>
          <w:lang w:eastAsia="zh-CN"/>
        </w:rPr>
        <w:t>案文见</w:t>
      </w:r>
      <w:r w:rsidRPr="009A4B0B">
        <w:rPr>
          <w:rFonts w:eastAsia="SimSun"/>
          <w:sz w:val="24"/>
          <w:szCs w:val="24"/>
          <w:lang w:eastAsia="zh-CN"/>
        </w:rPr>
        <w:t>第一章</w:t>
      </w:r>
      <w:r w:rsidRPr="009A4B0B">
        <w:rPr>
          <w:rFonts w:eastAsia="SimSun" w:hint="eastAsia"/>
          <w:sz w:val="24"/>
          <w:szCs w:val="24"/>
          <w:lang w:eastAsia="zh-CN"/>
        </w:rPr>
        <w:t>）。</w:t>
      </w:r>
    </w:p>
    <w:p w:rsidR="008D76BF" w:rsidRPr="006952B0" w:rsidRDefault="008D76BF" w:rsidP="006952B0">
      <w:pPr>
        <w:pStyle w:val="Para1"/>
        <w:tabs>
          <w:tab w:val="clear" w:pos="360"/>
          <w:tab w:val="left" w:pos="720"/>
        </w:tabs>
        <w:snapToGrid w:val="0"/>
        <w:ind w:firstLine="0"/>
        <w:rPr>
          <w:rStyle w:val="style21"/>
          <w:rFonts w:eastAsiaTheme="minorEastAsia"/>
          <w:b/>
          <w:color w:val="auto"/>
          <w:lang w:val="en-CA" w:eastAsia="zh-CN"/>
        </w:rPr>
      </w:pPr>
      <w:r w:rsidRPr="006952B0">
        <w:rPr>
          <w:rStyle w:val="style21"/>
          <w:rFonts w:eastAsiaTheme="minorEastAsia"/>
          <w:b/>
          <w:color w:val="auto"/>
          <w:lang w:val="en-CA" w:eastAsia="zh-CN"/>
        </w:rPr>
        <w:t>关于</w:t>
      </w:r>
      <w:r w:rsidRPr="006952B0">
        <w:rPr>
          <w:rStyle w:val="style21"/>
          <w:rFonts w:eastAsiaTheme="minorEastAsia"/>
          <w:b/>
          <w:color w:val="auto"/>
          <w:lang w:val="en-CA" w:eastAsia="zh-CN"/>
        </w:rPr>
        <w:t>2020</w:t>
      </w:r>
      <w:r w:rsidRPr="006952B0">
        <w:rPr>
          <w:rStyle w:val="style21"/>
          <w:rFonts w:eastAsiaTheme="minorEastAsia"/>
          <w:b/>
          <w:color w:val="auto"/>
          <w:lang w:val="en-CA" w:eastAsia="zh-CN"/>
        </w:rPr>
        <w:t>年后全球生物多样性框架综合和参与性筹备进程的提案</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lang w:eastAsia="zh-CN"/>
        </w:rPr>
        <w:t>在审议议程项目关于</w:t>
      </w:r>
      <w:r w:rsidRPr="00172A78">
        <w:rPr>
          <w:rFonts w:eastAsia="Times New Roman"/>
          <w:sz w:val="24"/>
          <w:lang w:eastAsia="zh-CN"/>
        </w:rPr>
        <w:t>2020</w:t>
      </w:r>
      <w:r w:rsidRPr="00172A78">
        <w:rPr>
          <w:rFonts w:eastAsia="Times New Roman" w:hAnsi="SimSun"/>
          <w:sz w:val="24"/>
          <w:lang w:eastAsia="zh-CN"/>
        </w:rPr>
        <w:t>年后全球生物多样性框架综合和参与性筹备进程的提案的第二个要素时，缔约方大会除了</w:t>
      </w:r>
      <w:r w:rsidRPr="00172A78">
        <w:rPr>
          <w:rFonts w:eastAsia="Times New Roman"/>
          <w:sz w:val="24"/>
          <w:lang w:eastAsia="zh-CN"/>
        </w:rPr>
        <w:t>CBD/COP/14/9/Add.1</w:t>
      </w:r>
      <w:r w:rsidRPr="00172A78">
        <w:rPr>
          <w:rFonts w:eastAsia="Times New Roman" w:hAnsi="SimSun"/>
          <w:sz w:val="24"/>
          <w:lang w:eastAsia="zh-CN"/>
        </w:rPr>
        <w:t>和各份资料文件外，还收到了决定草案汇编（</w:t>
      </w:r>
      <w:r w:rsidRPr="00172A78">
        <w:rPr>
          <w:rFonts w:eastAsia="Times New Roman"/>
          <w:sz w:val="24"/>
          <w:lang w:eastAsia="zh-CN"/>
        </w:rPr>
        <w:t>CBD/COP/14/2</w:t>
      </w:r>
      <w:r w:rsidRPr="00172A78">
        <w:rPr>
          <w:rFonts w:eastAsia="Times New Roman" w:hAnsi="SimSun"/>
          <w:sz w:val="24"/>
          <w:lang w:eastAsia="zh-CN"/>
        </w:rPr>
        <w:t>）中所载根据执行问题附属机构第</w:t>
      </w:r>
      <w:r w:rsidRPr="00172A78">
        <w:rPr>
          <w:rFonts w:eastAsia="Times New Roman"/>
          <w:sz w:val="24"/>
          <w:lang w:eastAsia="zh-CN"/>
        </w:rPr>
        <w:t>2/19</w:t>
      </w:r>
      <w:r w:rsidRPr="00172A78">
        <w:rPr>
          <w:rFonts w:eastAsia="Times New Roman" w:hAnsi="SimSun"/>
          <w:sz w:val="24"/>
          <w:lang w:eastAsia="zh-CN"/>
        </w:rPr>
        <w:t>号建议编制的一项决定草案。</w:t>
      </w:r>
    </w:p>
    <w:p w:rsidR="008D76BF" w:rsidRPr="00172A78" w:rsidRDefault="008D76BF" w:rsidP="00A434BF">
      <w:pPr>
        <w:pStyle w:val="Para1"/>
        <w:numPr>
          <w:ilvl w:val="0"/>
          <w:numId w:val="9"/>
        </w:numPr>
        <w:tabs>
          <w:tab w:val="clear" w:pos="360"/>
          <w:tab w:val="left" w:pos="720"/>
        </w:tabs>
        <w:ind w:firstLine="0"/>
        <w:rPr>
          <w:rFonts w:eastAsia="Times New Roman"/>
          <w:sz w:val="24"/>
          <w:lang w:eastAsia="zh-CN"/>
        </w:rPr>
      </w:pPr>
      <w:r w:rsidRPr="00172A78">
        <w:rPr>
          <w:rFonts w:eastAsia="Times New Roman" w:hAnsi="SimSun"/>
          <w:sz w:val="24"/>
          <w:lang w:eastAsia="zh-CN"/>
        </w:rPr>
        <w:t>上文所列就本项目第一个要素发言的代表还在发言中谈及项目的第二个要素。</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lang w:eastAsia="zh-CN"/>
        </w:rPr>
        <w:t>根据所表达的意见，缔约方大会决定设立由</w:t>
      </w:r>
      <w:r w:rsidRPr="00172A78">
        <w:rPr>
          <w:rFonts w:eastAsia="Times New Roman"/>
          <w:sz w:val="24"/>
          <w:lang w:eastAsia="zh-CN"/>
        </w:rPr>
        <w:t>Charlotta Sörqvist</w:t>
      </w:r>
      <w:r w:rsidRPr="00172A78">
        <w:rPr>
          <w:rFonts w:eastAsia="Times New Roman" w:hAnsi="SimSun"/>
          <w:sz w:val="24"/>
          <w:lang w:eastAsia="zh-CN"/>
        </w:rPr>
        <w:t>女士（瑞典）主持的联络小组讨论</w:t>
      </w:r>
      <w:r w:rsidRPr="00172A78">
        <w:rPr>
          <w:rFonts w:eastAsia="Times New Roman"/>
          <w:sz w:val="24"/>
          <w:lang w:eastAsia="zh-CN"/>
        </w:rPr>
        <w:t xml:space="preserve"> 2020</w:t>
      </w:r>
      <w:r w:rsidRPr="00172A78">
        <w:rPr>
          <w:rFonts w:eastAsia="Times New Roman" w:hAnsi="SimSun"/>
          <w:sz w:val="24"/>
          <w:lang w:eastAsia="zh-CN"/>
        </w:rPr>
        <w:t>后全球生物多样性框架的筹备进程。</w:t>
      </w:r>
      <w:r w:rsidRPr="00172A78" w:rsidDel="0037297F">
        <w:rPr>
          <w:rFonts w:eastAsia="Times New Roman"/>
          <w:sz w:val="24"/>
          <w:lang w:eastAsia="zh-CN"/>
        </w:rPr>
        <w:t xml:space="preserve"> </w:t>
      </w:r>
      <w:r w:rsidRPr="00172A78">
        <w:rPr>
          <w:rFonts w:eastAsia="Times New Roman"/>
          <w:sz w:val="24"/>
          <w:szCs w:val="24"/>
          <w:lang w:eastAsia="zh-CN"/>
        </w:rPr>
        <w:t xml:space="preserve"> </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lang w:eastAsia="zh-CN"/>
        </w:rPr>
        <w:t>在</w:t>
      </w:r>
      <w:r w:rsidRPr="00172A78">
        <w:rPr>
          <w:rFonts w:eastAsia="Times New Roman"/>
          <w:sz w:val="24"/>
          <w:lang w:eastAsia="zh-CN"/>
        </w:rPr>
        <w:t>2018</w:t>
      </w:r>
      <w:r w:rsidRPr="00172A78">
        <w:rPr>
          <w:rFonts w:eastAsia="Times New Roman" w:hAnsi="SimSun"/>
          <w:sz w:val="24"/>
          <w:lang w:eastAsia="zh-CN"/>
        </w:rPr>
        <w:t>年</w:t>
      </w:r>
      <w:r w:rsidRPr="00172A78">
        <w:rPr>
          <w:rFonts w:eastAsia="Times New Roman"/>
          <w:sz w:val="24"/>
          <w:lang w:eastAsia="zh-CN"/>
        </w:rPr>
        <w:t>11</w:t>
      </w:r>
      <w:r w:rsidRPr="00172A78">
        <w:rPr>
          <w:rFonts w:eastAsia="Times New Roman" w:hAnsi="SimSun"/>
          <w:sz w:val="24"/>
          <w:lang w:eastAsia="zh-CN"/>
        </w:rPr>
        <w:t>月</w:t>
      </w:r>
      <w:r w:rsidRPr="00172A78">
        <w:rPr>
          <w:rFonts w:eastAsia="Times New Roman"/>
          <w:sz w:val="24"/>
          <w:lang w:eastAsia="zh-CN"/>
        </w:rPr>
        <w:t>22</w:t>
      </w:r>
      <w:r w:rsidR="00B45641">
        <w:rPr>
          <w:rFonts w:ascii="SimSun" w:eastAsia="SimSun" w:hAnsi="SimSun" w:cs="SimSun" w:hint="eastAsia"/>
          <w:sz w:val="24"/>
          <w:lang w:eastAsia="zh-CN"/>
        </w:rPr>
        <w:t>日会议的</w:t>
      </w:r>
      <w:r w:rsidR="00B45641">
        <w:rPr>
          <w:rFonts w:eastAsia="Times New Roman" w:hAnsi="SimSun"/>
          <w:sz w:val="24"/>
          <w:lang w:eastAsia="zh-CN"/>
        </w:rPr>
        <w:t>第4</w:t>
      </w:r>
      <w:r w:rsidRPr="00172A78">
        <w:rPr>
          <w:rFonts w:eastAsia="Times New Roman" w:hAnsi="SimSun"/>
          <w:sz w:val="24"/>
          <w:lang w:eastAsia="zh-CN"/>
        </w:rPr>
        <w:t>次全体会议上，联络小组主席汇报了取得的进展。</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lang w:eastAsia="zh-CN"/>
        </w:rPr>
        <w:t>在</w:t>
      </w:r>
      <w:r w:rsidRPr="00172A78">
        <w:rPr>
          <w:rFonts w:eastAsia="Times New Roman"/>
          <w:sz w:val="24"/>
          <w:lang w:eastAsia="zh-CN"/>
        </w:rPr>
        <w:t>2018</w:t>
      </w:r>
      <w:r w:rsidRPr="00172A78">
        <w:rPr>
          <w:rFonts w:eastAsia="Times New Roman" w:hAnsi="SimSun"/>
          <w:sz w:val="24"/>
          <w:lang w:eastAsia="zh-CN"/>
        </w:rPr>
        <w:t>年</w:t>
      </w:r>
      <w:r w:rsidRPr="00172A78">
        <w:rPr>
          <w:rFonts w:eastAsia="Times New Roman"/>
          <w:sz w:val="24"/>
          <w:lang w:eastAsia="zh-CN"/>
        </w:rPr>
        <w:t>11</w:t>
      </w:r>
      <w:r w:rsidRPr="00172A78">
        <w:rPr>
          <w:rFonts w:eastAsia="Times New Roman" w:hAnsi="SimSun"/>
          <w:sz w:val="24"/>
          <w:lang w:eastAsia="zh-CN"/>
        </w:rPr>
        <w:t>月</w:t>
      </w:r>
      <w:r w:rsidRPr="00172A78">
        <w:rPr>
          <w:rFonts w:eastAsia="Times New Roman"/>
          <w:sz w:val="24"/>
          <w:lang w:eastAsia="zh-CN"/>
        </w:rPr>
        <w:t>25</w:t>
      </w:r>
      <w:r w:rsidR="00B45641">
        <w:rPr>
          <w:rFonts w:ascii="SimSun" w:eastAsia="SimSun" w:hAnsi="SimSun" w:cs="SimSun" w:hint="eastAsia"/>
          <w:sz w:val="24"/>
          <w:lang w:eastAsia="zh-CN"/>
        </w:rPr>
        <w:t>日会议的</w:t>
      </w:r>
      <w:r w:rsidR="00B45641">
        <w:rPr>
          <w:rFonts w:eastAsia="Times New Roman" w:hAnsi="SimSun"/>
          <w:sz w:val="24"/>
          <w:lang w:eastAsia="zh-CN"/>
        </w:rPr>
        <w:t>第</w:t>
      </w:r>
      <w:r w:rsidR="00B45641">
        <w:rPr>
          <w:rFonts w:eastAsiaTheme="minorEastAsia" w:hAnsi="SimSun" w:hint="eastAsia"/>
          <w:sz w:val="24"/>
          <w:lang w:eastAsia="zh-CN"/>
        </w:rPr>
        <w:t>5</w:t>
      </w:r>
      <w:r w:rsidRPr="00172A78">
        <w:rPr>
          <w:rFonts w:eastAsia="Times New Roman" w:hAnsi="SimSun"/>
          <w:sz w:val="24"/>
          <w:lang w:eastAsia="zh-CN"/>
        </w:rPr>
        <w:t>次全体会议上，缔约方大会听取了联络小组主席所</w:t>
      </w:r>
      <w:r w:rsidR="00B45641">
        <w:rPr>
          <w:rFonts w:eastAsiaTheme="minorEastAsia" w:hAnsi="SimSun" w:hint="eastAsia"/>
          <w:sz w:val="24"/>
          <w:lang w:eastAsia="zh-CN"/>
        </w:rPr>
        <w:t>作</w:t>
      </w:r>
      <w:r w:rsidRPr="00172A78">
        <w:rPr>
          <w:rFonts w:eastAsia="Times New Roman" w:hAnsi="SimSun"/>
          <w:sz w:val="24"/>
          <w:lang w:eastAsia="zh-CN"/>
        </w:rPr>
        <w:t>的另一次汇报。</w:t>
      </w:r>
      <w:r w:rsidRPr="00172A78">
        <w:rPr>
          <w:rFonts w:eastAsia="Times New Roman"/>
          <w:sz w:val="24"/>
          <w:lang w:eastAsia="zh-CN"/>
        </w:rPr>
        <w:t xml:space="preserve"> </w:t>
      </w:r>
      <w:r w:rsidRPr="00172A78">
        <w:rPr>
          <w:rFonts w:eastAsia="Times New Roman"/>
          <w:sz w:val="24"/>
          <w:szCs w:val="24"/>
          <w:lang w:eastAsia="zh-CN"/>
        </w:rPr>
        <w:t xml:space="preserve"> </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lang w:eastAsia="zh-CN"/>
        </w:rPr>
        <w:t>挪威代表通知缔约方大会，经议会批准后，挪威将为非洲、拉丁美洲和加勒比以及亚洲和太平洋</w:t>
      </w:r>
      <w:r w:rsidR="00B45641">
        <w:rPr>
          <w:rFonts w:eastAsiaTheme="minorEastAsia" w:hAnsi="SimSun" w:hint="eastAsia"/>
          <w:sz w:val="24"/>
          <w:lang w:eastAsia="zh-CN"/>
        </w:rPr>
        <w:t>的</w:t>
      </w:r>
      <w:r w:rsidR="00B45641">
        <w:rPr>
          <w:rFonts w:eastAsiaTheme="minorEastAsia" w:hAnsi="SimSun"/>
          <w:sz w:val="24"/>
          <w:lang w:eastAsia="zh-CN"/>
        </w:rPr>
        <w:t>区域讲习班</w:t>
      </w:r>
      <w:r w:rsidRPr="00172A78">
        <w:rPr>
          <w:rFonts w:eastAsia="Times New Roman" w:hAnsi="SimSun"/>
          <w:sz w:val="24"/>
          <w:lang w:eastAsia="zh-CN"/>
        </w:rPr>
        <w:t>捐款</w:t>
      </w:r>
      <w:r w:rsidRPr="00172A78">
        <w:rPr>
          <w:rFonts w:eastAsia="Times New Roman"/>
          <w:sz w:val="24"/>
          <w:lang w:eastAsia="zh-CN"/>
        </w:rPr>
        <w:t>350,000</w:t>
      </w:r>
      <w:r w:rsidRPr="00172A78">
        <w:rPr>
          <w:rFonts w:eastAsia="Times New Roman" w:hAnsi="SimSun"/>
          <w:sz w:val="24"/>
          <w:lang w:eastAsia="zh-CN"/>
        </w:rPr>
        <w:t>美元，作为进一步讨论</w:t>
      </w:r>
      <w:r w:rsidRPr="00172A78">
        <w:rPr>
          <w:rFonts w:eastAsia="Times New Roman"/>
          <w:sz w:val="24"/>
          <w:lang w:eastAsia="zh-CN"/>
        </w:rPr>
        <w:t>2020</w:t>
      </w:r>
      <w:r w:rsidRPr="00172A78">
        <w:rPr>
          <w:rFonts w:eastAsia="Times New Roman" w:hAnsi="SimSun"/>
          <w:sz w:val="24"/>
          <w:lang w:eastAsia="zh-CN"/>
        </w:rPr>
        <w:t>年后框架的贡献。他还表示，挪威将为出席将于</w:t>
      </w:r>
      <w:r w:rsidRPr="00172A78">
        <w:rPr>
          <w:rFonts w:eastAsia="Times New Roman"/>
          <w:sz w:val="24"/>
          <w:lang w:eastAsia="zh-CN"/>
        </w:rPr>
        <w:t>2019</w:t>
      </w:r>
      <w:r w:rsidRPr="00172A78">
        <w:rPr>
          <w:rFonts w:eastAsia="Times New Roman" w:hAnsi="SimSun"/>
          <w:sz w:val="24"/>
          <w:lang w:eastAsia="zh-CN"/>
        </w:rPr>
        <w:t>年</w:t>
      </w:r>
      <w:r w:rsidRPr="00172A78">
        <w:rPr>
          <w:rFonts w:eastAsia="Times New Roman"/>
          <w:sz w:val="24"/>
          <w:lang w:eastAsia="zh-CN"/>
        </w:rPr>
        <w:t>7</w:t>
      </w:r>
      <w:r w:rsidRPr="00172A78">
        <w:rPr>
          <w:rFonts w:eastAsia="Times New Roman" w:hAnsi="SimSun"/>
          <w:sz w:val="24"/>
          <w:lang w:eastAsia="zh-CN"/>
        </w:rPr>
        <w:t>月举行的第九届特隆德海姆生物多样性大会的发展中国家的代表提供差旅支助。</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lang w:eastAsia="zh-CN"/>
        </w:rPr>
        <w:t>在</w:t>
      </w:r>
      <w:r w:rsidRPr="00172A78">
        <w:rPr>
          <w:rFonts w:eastAsia="Times New Roman"/>
          <w:sz w:val="24"/>
          <w:lang w:eastAsia="zh-CN"/>
        </w:rPr>
        <w:t>2018</w:t>
      </w:r>
      <w:r w:rsidRPr="00172A78">
        <w:rPr>
          <w:rFonts w:eastAsia="Times New Roman" w:hAnsi="SimSun"/>
          <w:sz w:val="24"/>
          <w:lang w:eastAsia="zh-CN"/>
        </w:rPr>
        <w:t>年</w:t>
      </w:r>
      <w:r w:rsidRPr="00172A78">
        <w:rPr>
          <w:rFonts w:eastAsia="Times New Roman"/>
          <w:sz w:val="24"/>
          <w:lang w:eastAsia="zh-CN"/>
        </w:rPr>
        <w:t>11</w:t>
      </w:r>
      <w:r w:rsidRPr="00172A78">
        <w:rPr>
          <w:rFonts w:eastAsia="Times New Roman" w:hAnsi="SimSun"/>
          <w:sz w:val="24"/>
          <w:lang w:eastAsia="zh-CN"/>
        </w:rPr>
        <w:t>月</w:t>
      </w:r>
      <w:r w:rsidRPr="00172A78">
        <w:rPr>
          <w:rFonts w:eastAsia="Times New Roman"/>
          <w:sz w:val="24"/>
          <w:lang w:eastAsia="zh-CN"/>
        </w:rPr>
        <w:t>28</w:t>
      </w:r>
      <w:r w:rsidR="00B45641">
        <w:rPr>
          <w:rFonts w:ascii="SimSun" w:eastAsia="SimSun" w:hAnsi="SimSun" w:cs="SimSun" w:hint="eastAsia"/>
          <w:sz w:val="24"/>
          <w:lang w:eastAsia="zh-CN"/>
        </w:rPr>
        <w:t>日会议的</w:t>
      </w:r>
      <w:r w:rsidR="00B45641">
        <w:rPr>
          <w:rFonts w:eastAsia="Times New Roman" w:hAnsi="SimSun"/>
          <w:sz w:val="24"/>
          <w:lang w:eastAsia="zh-CN"/>
        </w:rPr>
        <w:t>第6</w:t>
      </w:r>
      <w:r w:rsidRPr="00172A78">
        <w:rPr>
          <w:rFonts w:eastAsia="Times New Roman" w:hAnsi="SimSun"/>
          <w:sz w:val="24"/>
          <w:lang w:eastAsia="zh-CN"/>
        </w:rPr>
        <w:t>次全体会议上，缔约方大会恢复审议关于</w:t>
      </w:r>
      <w:r w:rsidRPr="00172A78">
        <w:rPr>
          <w:rFonts w:eastAsia="Times New Roman"/>
          <w:sz w:val="24"/>
          <w:lang w:eastAsia="zh-CN"/>
        </w:rPr>
        <w:t>2020</w:t>
      </w:r>
      <w:r w:rsidRPr="00172A78">
        <w:rPr>
          <w:rFonts w:eastAsia="Times New Roman" w:hAnsi="SimSun"/>
          <w:sz w:val="24"/>
          <w:lang w:eastAsia="zh-CN"/>
        </w:rPr>
        <w:t>年后全球生物多样性框架综合和参与性筹备进程的提案。</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lang w:eastAsia="zh-CN"/>
        </w:rPr>
        <w:t>下列国家的代表</w:t>
      </w:r>
      <w:r w:rsidR="006952B0">
        <w:rPr>
          <w:rFonts w:ascii="SimSun" w:eastAsia="SimSun" w:hAnsi="SimSun" w:cs="SimSun" w:hint="eastAsia"/>
          <w:sz w:val="24"/>
          <w:lang w:eastAsia="zh-CN"/>
        </w:rPr>
        <w:t>作了发言</w:t>
      </w:r>
      <w:r w:rsidRPr="00172A78">
        <w:rPr>
          <w:rFonts w:eastAsia="Times New Roman" w:hAnsi="SimSun"/>
          <w:sz w:val="24"/>
          <w:lang w:eastAsia="zh-CN"/>
        </w:rPr>
        <w:t>：阿根廷、巴西、加拿大、哥伦比亚、哥斯达黎加、古巴、厄瓜多尔、埃及、欧洲联盟及其</w:t>
      </w:r>
      <w:r w:rsidRPr="00172A78">
        <w:rPr>
          <w:rFonts w:eastAsia="Times New Roman"/>
          <w:sz w:val="24"/>
          <w:lang w:eastAsia="zh-CN"/>
        </w:rPr>
        <w:t>28</w:t>
      </w:r>
      <w:r w:rsidRPr="00172A78">
        <w:rPr>
          <w:rFonts w:eastAsia="Times New Roman" w:hAnsi="SimSun"/>
          <w:sz w:val="24"/>
          <w:lang w:eastAsia="zh-CN"/>
        </w:rPr>
        <w:t>个成员国、危地马拉、印度、日本、马来西亚（代表观点相同的生物多样性大国集团）、墨西哥、摩洛哥、新西兰、挪威、秘鲁、南非、瑞士、乌干达、乌拉圭和委内瑞拉玻利瓦尔共和国。</w:t>
      </w:r>
      <w:r w:rsidRPr="00172A78">
        <w:rPr>
          <w:rFonts w:eastAsia="Times New Roman"/>
          <w:sz w:val="24"/>
          <w:szCs w:val="24"/>
          <w:lang w:eastAsia="zh-CN"/>
        </w:rPr>
        <w:t xml:space="preserve"> </w:t>
      </w:r>
    </w:p>
    <w:p w:rsidR="00B45641" w:rsidRPr="00B45641" w:rsidRDefault="00B45641" w:rsidP="00B45641">
      <w:pPr>
        <w:pStyle w:val="Para1"/>
        <w:numPr>
          <w:ilvl w:val="0"/>
          <w:numId w:val="9"/>
        </w:numPr>
        <w:tabs>
          <w:tab w:val="clear" w:pos="360"/>
          <w:tab w:val="left" w:pos="720"/>
        </w:tabs>
        <w:ind w:firstLine="0"/>
        <w:rPr>
          <w:rFonts w:eastAsia="Times New Roman" w:hAnsi="SimSun"/>
          <w:sz w:val="24"/>
          <w:lang w:eastAsia="zh-CN"/>
        </w:rPr>
      </w:pPr>
      <w:r w:rsidRPr="00172A78">
        <w:rPr>
          <w:rFonts w:eastAsia="Times New Roman" w:hAnsi="SimSun"/>
          <w:sz w:val="24"/>
          <w:lang w:eastAsia="zh-CN"/>
        </w:rPr>
        <w:t>在</w:t>
      </w:r>
      <w:r w:rsidRPr="00172A78">
        <w:rPr>
          <w:rFonts w:eastAsia="Times New Roman"/>
          <w:sz w:val="24"/>
          <w:lang w:eastAsia="zh-CN"/>
        </w:rPr>
        <w:t>2018</w:t>
      </w:r>
      <w:r w:rsidRPr="00172A78">
        <w:rPr>
          <w:rFonts w:eastAsia="Times New Roman" w:hAnsi="SimSun"/>
          <w:sz w:val="24"/>
          <w:lang w:eastAsia="zh-CN"/>
        </w:rPr>
        <w:t>年</w:t>
      </w:r>
      <w:r w:rsidRPr="00172A78">
        <w:rPr>
          <w:rFonts w:eastAsia="Times New Roman"/>
          <w:sz w:val="24"/>
          <w:lang w:eastAsia="zh-CN"/>
        </w:rPr>
        <w:t>11</w:t>
      </w:r>
      <w:r w:rsidRPr="00172A78">
        <w:rPr>
          <w:rFonts w:eastAsia="Times New Roman" w:hAnsi="SimSun"/>
          <w:sz w:val="24"/>
          <w:lang w:eastAsia="zh-CN"/>
        </w:rPr>
        <w:t>月</w:t>
      </w:r>
      <w:r>
        <w:rPr>
          <w:rFonts w:eastAsia="Times New Roman"/>
          <w:sz w:val="24"/>
          <w:lang w:eastAsia="zh-CN"/>
        </w:rPr>
        <w:t>2</w:t>
      </w:r>
      <w:r w:rsidR="00B4280E">
        <w:rPr>
          <w:rFonts w:eastAsia="Times New Roman"/>
          <w:sz w:val="24"/>
          <w:lang w:eastAsia="zh-CN"/>
        </w:rPr>
        <w:t>9</w:t>
      </w:r>
      <w:r>
        <w:rPr>
          <w:rFonts w:ascii="SimSun" w:eastAsia="SimSun" w:hAnsi="SimSun" w:cs="SimSun" w:hint="eastAsia"/>
          <w:sz w:val="24"/>
          <w:lang w:eastAsia="zh-CN"/>
        </w:rPr>
        <w:t>日会议的</w:t>
      </w:r>
      <w:r>
        <w:rPr>
          <w:rFonts w:eastAsia="Times New Roman" w:hAnsi="SimSun"/>
          <w:sz w:val="24"/>
          <w:lang w:eastAsia="zh-CN"/>
        </w:rPr>
        <w:t>第</w:t>
      </w:r>
      <w:r>
        <w:rPr>
          <w:rFonts w:eastAsiaTheme="minorEastAsia" w:hAnsi="SimSun" w:hint="eastAsia"/>
          <w:sz w:val="24"/>
          <w:lang w:eastAsia="zh-CN"/>
        </w:rPr>
        <w:t>7</w:t>
      </w:r>
      <w:r w:rsidRPr="00172A78">
        <w:rPr>
          <w:rFonts w:eastAsia="Times New Roman" w:hAnsi="SimSun"/>
          <w:sz w:val="24"/>
          <w:lang w:eastAsia="zh-CN"/>
        </w:rPr>
        <w:t>次全体会议上，缔约方大会</w:t>
      </w:r>
      <w:r>
        <w:rPr>
          <w:rFonts w:eastAsiaTheme="minorEastAsia" w:hAnsi="SimSun" w:hint="eastAsia"/>
          <w:sz w:val="24"/>
          <w:lang w:eastAsia="zh-CN"/>
        </w:rPr>
        <w:t>恢复审议</w:t>
      </w:r>
      <w:r>
        <w:rPr>
          <w:rFonts w:eastAsiaTheme="minorEastAsia" w:hAnsi="SimSun"/>
          <w:sz w:val="24"/>
          <w:lang w:eastAsia="zh-CN"/>
        </w:rPr>
        <w:t>主席提交的决定草案。</w:t>
      </w:r>
    </w:p>
    <w:p w:rsidR="00B45641" w:rsidRPr="00B45641" w:rsidRDefault="00B45641" w:rsidP="00B45641">
      <w:pPr>
        <w:pStyle w:val="Para1"/>
        <w:numPr>
          <w:ilvl w:val="0"/>
          <w:numId w:val="9"/>
        </w:numPr>
        <w:tabs>
          <w:tab w:val="clear" w:pos="360"/>
          <w:tab w:val="left" w:pos="720"/>
        </w:tabs>
        <w:ind w:firstLine="0"/>
        <w:rPr>
          <w:rFonts w:eastAsia="Times New Roman" w:hAnsi="SimSun"/>
          <w:sz w:val="24"/>
          <w:lang w:eastAsia="zh-CN"/>
        </w:rPr>
      </w:pPr>
      <w:r w:rsidRPr="00172A78">
        <w:rPr>
          <w:rFonts w:eastAsia="Times New Roman" w:hAnsi="SimSun"/>
          <w:sz w:val="24"/>
          <w:lang w:eastAsia="zh-CN"/>
        </w:rPr>
        <w:t>下列国家的代表</w:t>
      </w:r>
      <w:r>
        <w:rPr>
          <w:rFonts w:ascii="SimSun" w:eastAsia="SimSun" w:hAnsi="SimSun" w:cs="SimSun" w:hint="eastAsia"/>
          <w:sz w:val="24"/>
          <w:lang w:eastAsia="zh-CN"/>
        </w:rPr>
        <w:t>作了发言</w:t>
      </w:r>
      <w:r w:rsidRPr="00172A78">
        <w:rPr>
          <w:rFonts w:eastAsia="Times New Roman" w:hAnsi="SimSun"/>
          <w:sz w:val="24"/>
          <w:lang w:eastAsia="zh-CN"/>
        </w:rPr>
        <w:t>：</w:t>
      </w:r>
      <w:r>
        <w:rPr>
          <w:rFonts w:eastAsiaTheme="minorEastAsia" w:hAnsi="SimSun" w:hint="eastAsia"/>
          <w:sz w:val="24"/>
          <w:lang w:eastAsia="zh-CN"/>
        </w:rPr>
        <w:t>巴西</w:t>
      </w:r>
      <w:r>
        <w:rPr>
          <w:rFonts w:eastAsiaTheme="minorEastAsia" w:hAnsi="SimSun"/>
          <w:sz w:val="24"/>
          <w:lang w:eastAsia="zh-CN"/>
        </w:rPr>
        <w:t>、欧洲联盟及其</w:t>
      </w:r>
      <w:r>
        <w:rPr>
          <w:rFonts w:eastAsiaTheme="minorEastAsia" w:hAnsi="SimSun" w:hint="eastAsia"/>
          <w:sz w:val="24"/>
          <w:lang w:eastAsia="zh-CN"/>
        </w:rPr>
        <w:t>28</w:t>
      </w:r>
      <w:r>
        <w:rPr>
          <w:rFonts w:eastAsiaTheme="minorEastAsia" w:hAnsi="SimSun" w:hint="eastAsia"/>
          <w:sz w:val="24"/>
          <w:lang w:eastAsia="zh-CN"/>
        </w:rPr>
        <w:t>个成员国</w:t>
      </w:r>
      <w:r>
        <w:rPr>
          <w:rFonts w:eastAsiaTheme="minorEastAsia" w:hAnsi="SimSun"/>
          <w:sz w:val="24"/>
          <w:lang w:eastAsia="zh-CN"/>
        </w:rPr>
        <w:t>、</w:t>
      </w:r>
      <w:r>
        <w:rPr>
          <w:rFonts w:eastAsia="Times New Roman" w:hAnsi="SimSun"/>
          <w:sz w:val="24"/>
          <w:lang w:eastAsia="zh-CN"/>
        </w:rPr>
        <w:t>马来西亚（代表观点相同的生物多样性大国集团）</w:t>
      </w:r>
      <w:r>
        <w:rPr>
          <w:rFonts w:eastAsiaTheme="minorEastAsia" w:hAnsi="SimSun" w:hint="eastAsia"/>
          <w:sz w:val="24"/>
          <w:lang w:eastAsia="zh-CN"/>
        </w:rPr>
        <w:t>和</w:t>
      </w:r>
      <w:r>
        <w:rPr>
          <w:rFonts w:eastAsiaTheme="minorEastAsia" w:hAnsi="SimSun"/>
          <w:sz w:val="24"/>
          <w:lang w:eastAsia="zh-CN"/>
        </w:rPr>
        <w:t>乌干达。</w:t>
      </w:r>
    </w:p>
    <w:p w:rsidR="00B45641" w:rsidRPr="00B45641" w:rsidRDefault="00B45641" w:rsidP="00B45641">
      <w:pPr>
        <w:pStyle w:val="Para1"/>
        <w:numPr>
          <w:ilvl w:val="0"/>
          <w:numId w:val="9"/>
        </w:numPr>
        <w:tabs>
          <w:tab w:val="clear" w:pos="360"/>
          <w:tab w:val="left" w:pos="720"/>
        </w:tabs>
        <w:ind w:firstLine="0"/>
        <w:rPr>
          <w:rFonts w:eastAsia="Times New Roman" w:hAnsi="SimSun"/>
          <w:sz w:val="24"/>
          <w:lang w:eastAsia="zh-CN"/>
        </w:rPr>
      </w:pPr>
      <w:r>
        <w:rPr>
          <w:rFonts w:eastAsiaTheme="minorEastAsia" w:hAnsi="SimSun" w:hint="eastAsia"/>
          <w:sz w:val="24"/>
          <w:lang w:eastAsia="zh-CN"/>
        </w:rPr>
        <w:t>经</w:t>
      </w:r>
      <w:r>
        <w:rPr>
          <w:rFonts w:eastAsiaTheme="minorEastAsia" w:hAnsi="SimSun"/>
          <w:sz w:val="24"/>
          <w:lang w:eastAsia="zh-CN"/>
        </w:rPr>
        <w:t>秘书处</w:t>
      </w:r>
      <w:r>
        <w:rPr>
          <w:rFonts w:eastAsiaTheme="minorEastAsia" w:hAnsi="SimSun" w:hint="eastAsia"/>
          <w:sz w:val="24"/>
          <w:lang w:eastAsia="zh-CN"/>
        </w:rPr>
        <w:t>口头更正</w:t>
      </w:r>
      <w:r>
        <w:rPr>
          <w:rFonts w:eastAsiaTheme="minorEastAsia" w:hAnsi="SimSun"/>
          <w:sz w:val="24"/>
          <w:lang w:eastAsia="zh-CN"/>
        </w:rPr>
        <w:t>后，缔约方大会通过了经口头修正的第</w:t>
      </w:r>
      <w:r w:rsidRPr="00B45641">
        <w:rPr>
          <w:rFonts w:eastAsia="Times New Roman" w:hAnsi="SimSun"/>
          <w:sz w:val="24"/>
          <w:lang w:eastAsia="zh-CN"/>
        </w:rPr>
        <w:t>14/34</w:t>
      </w:r>
      <w:r>
        <w:rPr>
          <w:rFonts w:eastAsiaTheme="minorEastAsia" w:hAnsi="SimSun" w:hint="eastAsia"/>
          <w:sz w:val="24"/>
          <w:lang w:eastAsia="zh-CN"/>
        </w:rPr>
        <w:t>号决定</w:t>
      </w:r>
      <w:r>
        <w:rPr>
          <w:rFonts w:eastAsiaTheme="minorEastAsia" w:hAnsi="SimSun"/>
          <w:sz w:val="24"/>
          <w:lang w:eastAsia="zh-CN"/>
        </w:rPr>
        <w:t>（案文见</w:t>
      </w:r>
      <w:r>
        <w:rPr>
          <w:rFonts w:eastAsiaTheme="minorEastAsia" w:hAnsi="SimSun" w:hint="eastAsia"/>
          <w:sz w:val="24"/>
          <w:lang w:eastAsia="zh-CN"/>
        </w:rPr>
        <w:t>第一章</w:t>
      </w:r>
      <w:r>
        <w:rPr>
          <w:rFonts w:eastAsiaTheme="minorEastAsia" w:hAnsi="SimSun"/>
          <w:sz w:val="24"/>
          <w:lang w:eastAsia="zh-CN"/>
        </w:rPr>
        <w:t>）。</w:t>
      </w:r>
    </w:p>
    <w:p w:rsidR="00B45641" w:rsidRPr="004D0EEE" w:rsidRDefault="00B45641" w:rsidP="004D0EEE">
      <w:pPr>
        <w:pStyle w:val="Para1"/>
        <w:numPr>
          <w:ilvl w:val="0"/>
          <w:numId w:val="9"/>
        </w:numPr>
        <w:tabs>
          <w:tab w:val="clear" w:pos="360"/>
          <w:tab w:val="left" w:pos="720"/>
        </w:tabs>
        <w:ind w:firstLine="0"/>
        <w:rPr>
          <w:rFonts w:eastAsia="Times New Roman" w:hAnsi="SimSun"/>
          <w:sz w:val="24"/>
          <w:lang w:eastAsia="zh-CN"/>
        </w:rPr>
      </w:pPr>
      <w:r w:rsidRPr="004D0EEE">
        <w:rPr>
          <w:rFonts w:eastAsiaTheme="minorEastAsia" w:hAnsi="SimSun" w:hint="eastAsia"/>
          <w:sz w:val="24"/>
          <w:lang w:eastAsia="zh-CN"/>
        </w:rPr>
        <w:lastRenderedPageBreak/>
        <w:t>大不列颠</w:t>
      </w:r>
      <w:r w:rsidRPr="004D0EEE">
        <w:rPr>
          <w:rFonts w:eastAsiaTheme="minorEastAsia" w:hAnsi="SimSun"/>
          <w:sz w:val="24"/>
          <w:lang w:eastAsia="zh-CN"/>
        </w:rPr>
        <w:t>及北爱尔兰联合王国代表宣布，为支持</w:t>
      </w:r>
      <w:r w:rsidR="005E01DA" w:rsidRPr="004D0EEE">
        <w:rPr>
          <w:rFonts w:eastAsiaTheme="minorEastAsia" w:hAnsi="SimSun" w:hint="eastAsia"/>
          <w:sz w:val="24"/>
          <w:lang w:eastAsia="zh-CN"/>
        </w:rPr>
        <w:t>制定</w:t>
      </w:r>
      <w:r w:rsidR="005E01DA" w:rsidRPr="004D0EEE">
        <w:rPr>
          <w:rFonts w:eastAsiaTheme="minorEastAsia" w:hAnsi="SimSun" w:hint="eastAsia"/>
          <w:sz w:val="24"/>
          <w:lang w:eastAsia="zh-CN"/>
        </w:rPr>
        <w:t>20</w:t>
      </w:r>
      <w:r w:rsidR="005E01DA" w:rsidRPr="004D0EEE">
        <w:rPr>
          <w:rFonts w:eastAsiaTheme="minorEastAsia" w:hAnsi="SimSun"/>
          <w:sz w:val="24"/>
          <w:lang w:eastAsia="zh-CN"/>
        </w:rPr>
        <w:t>20</w:t>
      </w:r>
      <w:r w:rsidR="005E01DA" w:rsidRPr="004D0EEE">
        <w:rPr>
          <w:rFonts w:eastAsiaTheme="minorEastAsia" w:hAnsi="SimSun" w:hint="eastAsia"/>
          <w:sz w:val="24"/>
          <w:lang w:eastAsia="zh-CN"/>
        </w:rPr>
        <w:t>年后生物多样性框架的包容性和基于科学</w:t>
      </w:r>
      <w:r w:rsidR="005E01DA" w:rsidRPr="004D0EEE">
        <w:rPr>
          <w:rFonts w:eastAsiaTheme="minorEastAsia" w:hAnsi="SimSun"/>
          <w:sz w:val="24"/>
          <w:lang w:eastAsia="zh-CN"/>
        </w:rPr>
        <w:t>的办法，联合王国政府将</w:t>
      </w:r>
      <w:r w:rsidR="005E01DA" w:rsidRPr="004D0EEE">
        <w:rPr>
          <w:rFonts w:eastAsiaTheme="minorEastAsia" w:hAnsi="SimSun" w:hint="eastAsia"/>
          <w:sz w:val="24"/>
          <w:lang w:eastAsia="zh-CN"/>
        </w:rPr>
        <w:t>向</w:t>
      </w:r>
      <w:r w:rsidR="005E01DA" w:rsidRPr="004D0EEE">
        <w:rPr>
          <w:rFonts w:eastAsiaTheme="minorEastAsia" w:hAnsi="SimSun"/>
          <w:sz w:val="24"/>
          <w:lang w:eastAsia="zh-CN"/>
        </w:rPr>
        <w:t>秘书处</w:t>
      </w:r>
      <w:r w:rsidR="005E01DA" w:rsidRPr="004D0EEE">
        <w:rPr>
          <w:rFonts w:eastAsiaTheme="minorEastAsia" w:hAnsi="SimSun" w:hint="eastAsia"/>
          <w:sz w:val="24"/>
          <w:lang w:eastAsia="zh-CN"/>
        </w:rPr>
        <w:t>再自愿</w:t>
      </w:r>
      <w:r w:rsidR="005E01DA" w:rsidRPr="004D0EEE">
        <w:rPr>
          <w:rFonts w:eastAsiaTheme="minorEastAsia" w:hAnsi="SimSun"/>
          <w:sz w:val="24"/>
          <w:lang w:eastAsia="zh-CN"/>
        </w:rPr>
        <w:t>捐款</w:t>
      </w:r>
      <w:r w:rsidRPr="004D0EEE">
        <w:rPr>
          <w:rFonts w:eastAsia="Times New Roman" w:hAnsi="SimSun"/>
          <w:sz w:val="24"/>
          <w:lang w:eastAsia="zh-CN"/>
        </w:rPr>
        <w:t>265,000</w:t>
      </w:r>
      <w:r w:rsidRPr="004D0EEE">
        <w:rPr>
          <w:rFonts w:eastAsiaTheme="minorEastAsia" w:hAnsi="SimSun" w:hint="eastAsia"/>
          <w:sz w:val="24"/>
          <w:lang w:eastAsia="zh-CN"/>
        </w:rPr>
        <w:t>英镑</w:t>
      </w:r>
      <w:r w:rsidR="005E01DA" w:rsidRPr="004D0EEE">
        <w:rPr>
          <w:rFonts w:eastAsiaTheme="minorEastAsia" w:hAnsi="SimSun" w:hint="eastAsia"/>
          <w:sz w:val="24"/>
          <w:lang w:eastAsia="zh-CN"/>
        </w:rPr>
        <w:t>，</w:t>
      </w:r>
      <w:r w:rsidR="005E01DA" w:rsidRPr="004D0EEE">
        <w:rPr>
          <w:rFonts w:eastAsiaTheme="minorEastAsia" w:hAnsi="SimSun"/>
          <w:sz w:val="24"/>
          <w:lang w:eastAsia="zh-CN"/>
        </w:rPr>
        <w:t>用于举办</w:t>
      </w:r>
      <w:r w:rsidR="005E01DA" w:rsidRPr="004D0EEE">
        <w:rPr>
          <w:rFonts w:eastAsiaTheme="minorEastAsia" w:hAnsi="SimSun" w:hint="eastAsia"/>
          <w:sz w:val="24"/>
          <w:lang w:eastAsia="zh-CN"/>
        </w:rPr>
        <w:t>涉及编制</w:t>
      </w:r>
      <w:r w:rsidR="005E01DA" w:rsidRPr="004D0EEE">
        <w:rPr>
          <w:rFonts w:eastAsiaTheme="minorEastAsia" w:hAnsi="SimSun"/>
          <w:sz w:val="24"/>
          <w:lang w:eastAsia="zh-CN"/>
        </w:rPr>
        <w:t>、分析和传播</w:t>
      </w:r>
      <w:r w:rsidR="004D0EEE" w:rsidRPr="004D0EEE">
        <w:rPr>
          <w:rFonts w:eastAsiaTheme="minorEastAsia" w:hAnsi="SimSun" w:hint="eastAsia"/>
          <w:sz w:val="24"/>
          <w:lang w:eastAsia="zh-CN"/>
        </w:rPr>
        <w:t>该</w:t>
      </w:r>
      <w:r w:rsidR="005E01DA" w:rsidRPr="004D0EEE">
        <w:rPr>
          <w:rFonts w:eastAsiaTheme="minorEastAsia" w:hAnsi="SimSun"/>
          <w:sz w:val="24"/>
          <w:lang w:eastAsia="zh-CN"/>
        </w:rPr>
        <w:t>进程的基于科学的意见的非洲协商会议和活动</w:t>
      </w:r>
      <w:r w:rsidR="004D0EEE" w:rsidRPr="004D0EEE">
        <w:rPr>
          <w:rFonts w:eastAsiaTheme="minorEastAsia" w:hAnsi="SimSun" w:hint="eastAsia"/>
          <w:sz w:val="24"/>
          <w:lang w:eastAsia="zh-CN"/>
        </w:rPr>
        <w:t>。为</w:t>
      </w:r>
      <w:r w:rsidR="004D0EEE" w:rsidRPr="004D0EEE">
        <w:rPr>
          <w:rFonts w:eastAsiaTheme="minorEastAsia" w:hAnsi="SimSun"/>
          <w:sz w:val="24"/>
          <w:lang w:eastAsia="zh-CN"/>
        </w:rPr>
        <w:t>进一步支持该办法，联合王国</w:t>
      </w:r>
      <w:r w:rsidR="004D0EEE" w:rsidRPr="004D0EEE">
        <w:rPr>
          <w:rFonts w:eastAsiaTheme="minorEastAsia" w:hAnsi="SimSun" w:hint="eastAsia"/>
          <w:sz w:val="24"/>
          <w:lang w:eastAsia="zh-CN"/>
        </w:rPr>
        <w:t>还将</w:t>
      </w:r>
      <w:r w:rsidR="004D0EEE" w:rsidRPr="004D0EEE">
        <w:rPr>
          <w:rFonts w:eastAsiaTheme="minorEastAsia" w:hAnsi="SimSun" w:hint="eastAsia"/>
          <w:sz w:val="24"/>
          <w:szCs w:val="24"/>
          <w:lang w:eastAsia="zh-CN"/>
        </w:rPr>
        <w:t>向</w:t>
      </w:r>
      <w:r w:rsidR="004D0EEE" w:rsidRPr="004D0EEE">
        <w:rPr>
          <w:rFonts w:eastAsiaTheme="minorEastAsia" w:hAnsi="SimSun"/>
          <w:sz w:val="24"/>
          <w:szCs w:val="24"/>
          <w:lang w:eastAsia="zh-CN"/>
        </w:rPr>
        <w:t>便利缔约方参与《公约》进程的特别自愿信托基金（</w:t>
      </w:r>
      <w:r w:rsidR="004D0EEE" w:rsidRPr="004D0EEE">
        <w:rPr>
          <w:rFonts w:eastAsiaTheme="minorEastAsia" w:hAnsi="SimSun"/>
          <w:sz w:val="24"/>
          <w:szCs w:val="24"/>
          <w:lang w:eastAsia="zh-CN"/>
        </w:rPr>
        <w:t>BZ</w:t>
      </w:r>
      <w:r w:rsidR="004D0EEE" w:rsidRPr="004D0EEE">
        <w:rPr>
          <w:rFonts w:eastAsiaTheme="minorEastAsia" w:hAnsi="SimSun"/>
          <w:sz w:val="24"/>
          <w:szCs w:val="24"/>
          <w:lang w:eastAsia="zh-CN"/>
        </w:rPr>
        <w:t>信托基金</w:t>
      </w:r>
      <w:r w:rsidR="004D0EEE" w:rsidRPr="004D0EEE">
        <w:rPr>
          <w:rFonts w:eastAsiaTheme="minorEastAsia" w:hAnsi="SimSun" w:hint="eastAsia"/>
          <w:sz w:val="24"/>
          <w:szCs w:val="24"/>
          <w:lang w:eastAsia="zh-CN"/>
        </w:rPr>
        <w:t>）捐款</w:t>
      </w:r>
      <w:r w:rsidRPr="004D0EEE">
        <w:rPr>
          <w:rFonts w:eastAsia="Times New Roman" w:hAnsi="SimSun"/>
          <w:sz w:val="24"/>
          <w:lang w:eastAsia="zh-CN"/>
        </w:rPr>
        <w:t>150,000</w:t>
      </w:r>
      <w:r w:rsidR="004D0EEE" w:rsidRPr="004D0EEE">
        <w:rPr>
          <w:rFonts w:eastAsiaTheme="minorEastAsia" w:hAnsi="SimSun" w:hint="eastAsia"/>
          <w:sz w:val="24"/>
          <w:lang w:eastAsia="zh-CN"/>
        </w:rPr>
        <w:t>英镑</w:t>
      </w:r>
      <w:r w:rsidR="004D0EEE" w:rsidRPr="004D0EEE">
        <w:rPr>
          <w:rFonts w:eastAsiaTheme="minorEastAsia" w:hAnsi="SimSun"/>
          <w:sz w:val="24"/>
          <w:lang w:eastAsia="zh-CN"/>
        </w:rPr>
        <w:t>。</w:t>
      </w:r>
      <w:r w:rsidRPr="004D0EEE">
        <w:rPr>
          <w:rFonts w:eastAsia="Times New Roman" w:hAnsi="SimSun"/>
          <w:sz w:val="24"/>
          <w:lang w:eastAsia="zh-CN"/>
        </w:rPr>
        <w:t xml:space="preserve"> </w:t>
      </w:r>
    </w:p>
    <w:p w:rsidR="00B45641" w:rsidRPr="00511C03" w:rsidRDefault="004D0EEE" w:rsidP="00E17F8A">
      <w:pPr>
        <w:pStyle w:val="Para1"/>
        <w:numPr>
          <w:ilvl w:val="0"/>
          <w:numId w:val="9"/>
        </w:numPr>
        <w:tabs>
          <w:tab w:val="clear" w:pos="360"/>
          <w:tab w:val="left" w:pos="720"/>
        </w:tabs>
        <w:ind w:firstLine="0"/>
        <w:rPr>
          <w:rFonts w:eastAsia="Times New Roman" w:hAnsi="SimSun"/>
          <w:sz w:val="24"/>
          <w:lang w:eastAsia="zh-CN"/>
        </w:rPr>
      </w:pPr>
      <w:r w:rsidRPr="00511C03">
        <w:rPr>
          <w:rFonts w:eastAsia="Times New Roman" w:hAnsi="SimSun"/>
          <w:sz w:val="24"/>
          <w:lang w:eastAsia="zh-CN"/>
        </w:rPr>
        <w:t>在</w:t>
      </w:r>
      <w:r w:rsidRPr="00511C03">
        <w:rPr>
          <w:rFonts w:eastAsia="Times New Roman"/>
          <w:sz w:val="24"/>
          <w:lang w:eastAsia="zh-CN"/>
        </w:rPr>
        <w:t>2018</w:t>
      </w:r>
      <w:r w:rsidRPr="00511C03">
        <w:rPr>
          <w:rFonts w:eastAsia="Times New Roman" w:hAnsi="SimSun"/>
          <w:sz w:val="24"/>
          <w:lang w:eastAsia="zh-CN"/>
        </w:rPr>
        <w:t>年</w:t>
      </w:r>
      <w:r w:rsidRPr="00511C03">
        <w:rPr>
          <w:rFonts w:eastAsia="Times New Roman"/>
          <w:sz w:val="24"/>
          <w:lang w:eastAsia="zh-CN"/>
        </w:rPr>
        <w:t>11</w:t>
      </w:r>
      <w:r w:rsidRPr="00511C03">
        <w:rPr>
          <w:rFonts w:eastAsia="Times New Roman" w:hAnsi="SimSun"/>
          <w:sz w:val="24"/>
          <w:lang w:eastAsia="zh-CN"/>
        </w:rPr>
        <w:t>月</w:t>
      </w:r>
      <w:r w:rsidRPr="00511C03">
        <w:rPr>
          <w:rFonts w:eastAsia="Times New Roman"/>
          <w:sz w:val="24"/>
          <w:lang w:eastAsia="zh-CN"/>
        </w:rPr>
        <w:t>29</w:t>
      </w:r>
      <w:r w:rsidRPr="00511C03">
        <w:rPr>
          <w:rFonts w:ascii="SimSun" w:eastAsia="SimSun" w:hAnsi="SimSun" w:cs="SimSun" w:hint="eastAsia"/>
          <w:sz w:val="24"/>
          <w:lang w:eastAsia="zh-CN"/>
        </w:rPr>
        <w:t>日会议的</w:t>
      </w:r>
      <w:r w:rsidRPr="00511C03">
        <w:rPr>
          <w:rFonts w:eastAsia="Times New Roman" w:hAnsi="SimSun"/>
          <w:sz w:val="24"/>
          <w:lang w:eastAsia="zh-CN"/>
        </w:rPr>
        <w:t>第</w:t>
      </w:r>
      <w:r w:rsidRPr="00511C03">
        <w:rPr>
          <w:rFonts w:eastAsiaTheme="minorEastAsia" w:hAnsi="SimSun" w:hint="eastAsia"/>
          <w:sz w:val="24"/>
          <w:lang w:eastAsia="zh-CN"/>
        </w:rPr>
        <w:t>8</w:t>
      </w:r>
      <w:r w:rsidRPr="00511C03">
        <w:rPr>
          <w:rFonts w:eastAsia="Times New Roman" w:hAnsi="SimSun"/>
          <w:sz w:val="24"/>
          <w:lang w:eastAsia="zh-CN"/>
        </w:rPr>
        <w:t>次全体会议上，</w:t>
      </w:r>
      <w:r w:rsidRPr="00511C03">
        <w:rPr>
          <w:rFonts w:eastAsiaTheme="minorEastAsia" w:hAnsi="SimSun" w:hint="eastAsia"/>
          <w:sz w:val="24"/>
          <w:lang w:eastAsia="zh-CN"/>
        </w:rPr>
        <w:t>在</w:t>
      </w:r>
      <w:r w:rsidRPr="00511C03">
        <w:rPr>
          <w:rFonts w:eastAsiaTheme="minorEastAsia" w:hAnsi="SimSun"/>
          <w:sz w:val="24"/>
          <w:lang w:eastAsia="zh-CN"/>
        </w:rPr>
        <w:t>通过了相关决定后，</w:t>
      </w:r>
      <w:r w:rsidRPr="00511C03">
        <w:rPr>
          <w:rFonts w:eastAsia="Times New Roman" w:hAnsi="SimSun"/>
          <w:sz w:val="24"/>
          <w:lang w:eastAsia="zh-CN"/>
        </w:rPr>
        <w:t>缔约方大会</w:t>
      </w:r>
      <w:r w:rsidRPr="00511C03">
        <w:rPr>
          <w:rFonts w:eastAsiaTheme="minorEastAsia" w:hAnsi="SimSun" w:hint="eastAsia"/>
          <w:sz w:val="24"/>
          <w:lang w:eastAsia="zh-CN"/>
        </w:rPr>
        <w:t>决定指定</w:t>
      </w:r>
      <w:r w:rsidR="00B45641" w:rsidRPr="00511C03">
        <w:rPr>
          <w:rFonts w:eastAsia="Times New Roman" w:hAnsi="SimSun"/>
          <w:sz w:val="24"/>
          <w:lang w:eastAsia="zh-CN"/>
        </w:rPr>
        <w:t>Basile van Havre</w:t>
      </w:r>
      <w:r w:rsidRPr="00511C03">
        <w:rPr>
          <w:rFonts w:eastAsiaTheme="minorEastAsia" w:hAnsi="SimSun" w:hint="eastAsia"/>
          <w:sz w:val="24"/>
          <w:lang w:eastAsia="zh-CN"/>
        </w:rPr>
        <w:t>先生</w:t>
      </w:r>
      <w:r w:rsidRPr="00511C03">
        <w:rPr>
          <w:rFonts w:eastAsiaTheme="minorEastAsia" w:hAnsi="SimSun"/>
          <w:sz w:val="24"/>
          <w:lang w:eastAsia="zh-CN"/>
        </w:rPr>
        <w:t>（加拿大）和</w:t>
      </w:r>
      <w:r w:rsidR="00B45641" w:rsidRPr="00511C03">
        <w:rPr>
          <w:rFonts w:eastAsia="Times New Roman" w:hAnsi="SimSun"/>
          <w:sz w:val="24"/>
          <w:lang w:eastAsia="zh-CN"/>
        </w:rPr>
        <w:t>Francis Ogwal</w:t>
      </w:r>
      <w:r w:rsidRPr="00511C03">
        <w:rPr>
          <w:rFonts w:eastAsiaTheme="minorEastAsia" w:hAnsi="SimSun" w:hint="eastAsia"/>
          <w:sz w:val="24"/>
          <w:lang w:eastAsia="zh-CN"/>
        </w:rPr>
        <w:t>先生</w:t>
      </w:r>
      <w:r w:rsidRPr="00511C03">
        <w:rPr>
          <w:rFonts w:eastAsiaTheme="minorEastAsia" w:hAnsi="SimSun"/>
          <w:sz w:val="24"/>
          <w:lang w:eastAsia="zh-CN"/>
        </w:rPr>
        <w:t>（乌干达）为</w:t>
      </w:r>
      <w:r w:rsidR="00511C03" w:rsidRPr="00511C03">
        <w:rPr>
          <w:rFonts w:eastAsiaTheme="minorEastAsia" w:hAnsi="SimSun" w:hint="eastAsia"/>
          <w:sz w:val="24"/>
          <w:lang w:eastAsia="zh-CN"/>
        </w:rPr>
        <w:t>为</w:t>
      </w:r>
      <w:r w:rsidR="00511C03" w:rsidRPr="00511C03">
        <w:rPr>
          <w:rFonts w:eastAsiaTheme="minorEastAsia" w:hAnsi="SimSun"/>
          <w:sz w:val="24"/>
          <w:lang w:eastAsia="zh-CN"/>
        </w:rPr>
        <w:t>支持</w:t>
      </w:r>
      <w:r w:rsidR="00511C03" w:rsidRPr="00511C03">
        <w:rPr>
          <w:rFonts w:eastAsiaTheme="minorEastAsia" w:hAnsi="SimSun" w:hint="eastAsia"/>
          <w:sz w:val="24"/>
          <w:lang w:eastAsia="zh-CN"/>
        </w:rPr>
        <w:t>2020</w:t>
      </w:r>
      <w:r w:rsidR="00511C03" w:rsidRPr="00511C03">
        <w:rPr>
          <w:rFonts w:eastAsiaTheme="minorEastAsia" w:hAnsi="SimSun" w:hint="eastAsia"/>
          <w:sz w:val="24"/>
          <w:lang w:eastAsia="zh-CN"/>
        </w:rPr>
        <w:t>年后</w:t>
      </w:r>
      <w:r w:rsidR="00511C03" w:rsidRPr="00511C03">
        <w:rPr>
          <w:rFonts w:eastAsiaTheme="minorEastAsia" w:hAnsi="SimSun"/>
          <w:sz w:val="24"/>
          <w:lang w:eastAsia="zh-CN"/>
        </w:rPr>
        <w:t>全球生物多样性框架编制工作而设立的不限成员名额闭会期间</w:t>
      </w:r>
      <w:r w:rsidR="00511C03">
        <w:rPr>
          <w:rFonts w:eastAsiaTheme="minorEastAsia" w:hAnsi="SimSun" w:hint="eastAsia"/>
          <w:sz w:val="24"/>
          <w:lang w:eastAsia="zh-CN"/>
        </w:rPr>
        <w:t>工作组</w:t>
      </w:r>
      <w:r w:rsidR="00511C03" w:rsidRPr="00511C03">
        <w:rPr>
          <w:rFonts w:eastAsiaTheme="minorEastAsia" w:hAnsi="SimSun"/>
          <w:sz w:val="24"/>
          <w:lang w:eastAsia="zh-CN"/>
        </w:rPr>
        <w:t>的共同主席。</w:t>
      </w:r>
      <w:r w:rsidR="00B45641" w:rsidRPr="00511C03">
        <w:rPr>
          <w:rFonts w:eastAsia="Times New Roman" w:hAnsi="SimSun"/>
          <w:sz w:val="24"/>
          <w:lang w:eastAsia="zh-CN"/>
        </w:rPr>
        <w:t xml:space="preserve"> </w:t>
      </w:r>
    </w:p>
    <w:p w:rsidR="00B45641" w:rsidRPr="00B45641" w:rsidRDefault="00B45641" w:rsidP="00B45641">
      <w:pPr>
        <w:pStyle w:val="Para1"/>
        <w:numPr>
          <w:ilvl w:val="0"/>
          <w:numId w:val="9"/>
        </w:numPr>
        <w:tabs>
          <w:tab w:val="clear" w:pos="360"/>
          <w:tab w:val="left" w:pos="720"/>
        </w:tabs>
        <w:ind w:firstLine="0"/>
        <w:rPr>
          <w:rFonts w:eastAsia="Times New Roman" w:hAnsi="SimSun"/>
          <w:sz w:val="24"/>
          <w:lang w:eastAsia="zh-CN"/>
        </w:rPr>
      </w:pPr>
      <w:r>
        <w:rPr>
          <w:rFonts w:eastAsiaTheme="minorEastAsia" w:hAnsi="SimSun" w:hint="eastAsia"/>
          <w:sz w:val="24"/>
          <w:lang w:eastAsia="zh-CN"/>
        </w:rPr>
        <w:t>阿根廷</w:t>
      </w:r>
      <w:r w:rsidRPr="00172A78">
        <w:rPr>
          <w:rFonts w:eastAsia="Times New Roman" w:hAnsi="SimSun"/>
          <w:sz w:val="24"/>
          <w:lang w:eastAsia="zh-CN"/>
        </w:rPr>
        <w:t>代表</w:t>
      </w:r>
      <w:r>
        <w:rPr>
          <w:rFonts w:ascii="SimSun" w:eastAsia="SimSun" w:hAnsi="SimSun" w:cs="SimSun" w:hint="eastAsia"/>
          <w:sz w:val="24"/>
          <w:lang w:eastAsia="zh-CN"/>
        </w:rPr>
        <w:t>作了发言。</w:t>
      </w:r>
    </w:p>
    <w:p w:rsidR="008D76BF" w:rsidRPr="00B45641" w:rsidRDefault="008D76BF" w:rsidP="00750ECD">
      <w:pPr>
        <w:pStyle w:val="Para1"/>
        <w:tabs>
          <w:tab w:val="clear" w:pos="360"/>
          <w:tab w:val="left" w:pos="720"/>
        </w:tabs>
        <w:ind w:firstLine="0"/>
        <w:rPr>
          <w:rFonts w:asciiTheme="minorEastAsia" w:eastAsiaTheme="minorEastAsia" w:hAnsiTheme="minorEastAsia" w:cs="SimSun"/>
          <w:b/>
          <w:sz w:val="24"/>
          <w:szCs w:val="24"/>
          <w:lang w:eastAsia="zh-CN"/>
        </w:rPr>
      </w:pPr>
      <w:r w:rsidRPr="00B45641">
        <w:rPr>
          <w:rFonts w:asciiTheme="minorEastAsia" w:eastAsiaTheme="minorEastAsia" w:hAnsiTheme="minorEastAsia" w:hint="eastAsia"/>
          <w:b/>
          <w:sz w:val="24"/>
          <w:lang w:eastAsia="zh-CN"/>
        </w:rPr>
        <w:t>全球生物多样性展望</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lang w:eastAsia="zh-CN"/>
        </w:rPr>
        <w:t>在审议议程项目关于编制第五版《全球生物多样性展望》的第三个要素时，缔约方大会除了各份资料文件外，还收到了还收到了决定草案汇编（</w:t>
      </w:r>
      <w:r w:rsidRPr="00172A78">
        <w:rPr>
          <w:rFonts w:eastAsia="Times New Roman"/>
          <w:sz w:val="24"/>
          <w:lang w:eastAsia="zh-CN"/>
        </w:rPr>
        <w:t>CBD/COP/14/2</w:t>
      </w:r>
      <w:r w:rsidRPr="00172A78">
        <w:rPr>
          <w:rFonts w:eastAsia="Times New Roman" w:hAnsi="SimSun"/>
          <w:sz w:val="24"/>
          <w:lang w:eastAsia="zh-CN"/>
        </w:rPr>
        <w:t>）中所载根据科咨机构第</w:t>
      </w:r>
      <w:r w:rsidRPr="00172A78">
        <w:rPr>
          <w:rFonts w:eastAsia="Times New Roman"/>
          <w:sz w:val="24"/>
          <w:lang w:eastAsia="zh-CN"/>
        </w:rPr>
        <w:t>XXI/5</w:t>
      </w:r>
      <w:r w:rsidRPr="00172A78">
        <w:rPr>
          <w:rFonts w:eastAsia="Times New Roman" w:hAnsi="SimSun"/>
          <w:sz w:val="24"/>
          <w:lang w:eastAsia="zh-CN"/>
        </w:rPr>
        <w:t>号建议编制的一项决定草案。</w:t>
      </w:r>
      <w:r w:rsidRPr="00172A78">
        <w:rPr>
          <w:rFonts w:eastAsia="Times New Roman"/>
          <w:sz w:val="24"/>
          <w:szCs w:val="24"/>
          <w:lang w:eastAsia="zh-CN"/>
        </w:rPr>
        <w:t xml:space="preserve"> </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lang w:eastAsia="zh-CN"/>
        </w:rPr>
        <w:t>上文所列就本项目第一个要素发言的代表还在发言中谈及项目的第三个要素。</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lang w:eastAsia="zh-CN"/>
        </w:rPr>
        <w:t>根据所表达的意见，主席表示她将编制一份关于本事项的决定草案。</w:t>
      </w:r>
      <w:r w:rsidRPr="00172A78">
        <w:rPr>
          <w:rFonts w:eastAsia="Times New Roman"/>
          <w:sz w:val="24"/>
          <w:szCs w:val="24"/>
          <w:lang w:eastAsia="zh-CN"/>
        </w:rPr>
        <w:t xml:space="preserve"> </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lang w:eastAsia="zh-CN"/>
        </w:rPr>
        <w:t>在</w:t>
      </w:r>
      <w:r w:rsidRPr="00172A78">
        <w:rPr>
          <w:rFonts w:eastAsia="Times New Roman"/>
          <w:sz w:val="24"/>
          <w:lang w:eastAsia="zh-CN"/>
        </w:rPr>
        <w:t>11</w:t>
      </w:r>
      <w:r w:rsidRPr="00172A78">
        <w:rPr>
          <w:rFonts w:eastAsia="Times New Roman" w:hAnsi="SimSun"/>
          <w:sz w:val="24"/>
          <w:lang w:eastAsia="zh-CN"/>
        </w:rPr>
        <w:t>月</w:t>
      </w:r>
      <w:r w:rsidRPr="00172A78">
        <w:rPr>
          <w:rFonts w:eastAsia="Times New Roman"/>
          <w:sz w:val="24"/>
          <w:lang w:eastAsia="zh-CN"/>
        </w:rPr>
        <w:t>25</w:t>
      </w:r>
      <w:r w:rsidR="00B45641">
        <w:rPr>
          <w:rFonts w:ascii="SimSun" w:eastAsia="SimSun" w:hAnsi="SimSun" w:cs="SimSun" w:hint="eastAsia"/>
          <w:sz w:val="24"/>
          <w:lang w:eastAsia="zh-CN"/>
        </w:rPr>
        <w:t>日会议的</w:t>
      </w:r>
      <w:r w:rsidR="001E0C32">
        <w:rPr>
          <w:rFonts w:eastAsia="Times New Roman" w:hAnsi="SimSun"/>
          <w:sz w:val="24"/>
          <w:lang w:eastAsia="zh-CN"/>
        </w:rPr>
        <w:t>第5</w:t>
      </w:r>
      <w:r w:rsidRPr="00172A78">
        <w:rPr>
          <w:rFonts w:eastAsia="Times New Roman" w:hAnsi="SimSun"/>
          <w:sz w:val="24"/>
          <w:lang w:eastAsia="zh-CN"/>
        </w:rPr>
        <w:t>次全体会议上，缔约方大会审议了由主席提交的决定草案。</w:t>
      </w:r>
      <w:r w:rsidRPr="00172A78">
        <w:rPr>
          <w:rFonts w:eastAsia="Times New Roman"/>
          <w:sz w:val="24"/>
          <w:szCs w:val="24"/>
          <w:lang w:eastAsia="zh-CN"/>
        </w:rPr>
        <w:t xml:space="preserve"> </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lang w:eastAsia="zh-CN"/>
        </w:rPr>
        <w:t>下列国家的代表</w:t>
      </w:r>
      <w:r w:rsidR="006952B0">
        <w:rPr>
          <w:rFonts w:ascii="SimSun" w:eastAsia="SimSun" w:hAnsi="SimSun" w:cs="SimSun" w:hint="eastAsia"/>
          <w:sz w:val="24"/>
          <w:lang w:eastAsia="zh-CN"/>
        </w:rPr>
        <w:t>作了发言</w:t>
      </w:r>
      <w:r w:rsidRPr="00172A78">
        <w:rPr>
          <w:rFonts w:eastAsia="Times New Roman" w:hAnsi="SimSun"/>
          <w:sz w:val="24"/>
          <w:lang w:eastAsia="zh-CN"/>
        </w:rPr>
        <w:t>：哥斯达黎加、欧洲联盟及其</w:t>
      </w:r>
      <w:r w:rsidRPr="00172A78">
        <w:rPr>
          <w:rFonts w:eastAsia="Times New Roman"/>
          <w:sz w:val="24"/>
          <w:lang w:eastAsia="zh-CN"/>
        </w:rPr>
        <w:t>28</w:t>
      </w:r>
      <w:r w:rsidRPr="00172A78">
        <w:rPr>
          <w:rFonts w:eastAsia="Times New Roman" w:hAnsi="SimSun"/>
          <w:sz w:val="24"/>
          <w:lang w:eastAsia="zh-CN"/>
        </w:rPr>
        <w:t>个成员国、挪威和南非。</w:t>
      </w:r>
      <w:r w:rsidRPr="00172A78">
        <w:rPr>
          <w:rFonts w:eastAsia="Times New Roman"/>
          <w:sz w:val="24"/>
          <w:szCs w:val="24"/>
          <w:lang w:eastAsia="zh-CN"/>
        </w:rPr>
        <w:t xml:space="preserve"> </w:t>
      </w:r>
    </w:p>
    <w:p w:rsidR="008D76BF" w:rsidRPr="00172A78" w:rsidRDefault="008D76BF" w:rsidP="00750ECD">
      <w:pPr>
        <w:pStyle w:val="Para1"/>
        <w:numPr>
          <w:ilvl w:val="0"/>
          <w:numId w:val="9"/>
        </w:numPr>
        <w:tabs>
          <w:tab w:val="clear" w:pos="360"/>
          <w:tab w:val="left" w:pos="720"/>
        </w:tabs>
        <w:ind w:firstLine="0"/>
        <w:rPr>
          <w:rFonts w:eastAsia="Times New Roman"/>
          <w:sz w:val="24"/>
          <w:szCs w:val="24"/>
          <w:lang w:eastAsia="zh-CN"/>
        </w:rPr>
      </w:pPr>
      <w:r w:rsidRPr="00172A78">
        <w:rPr>
          <w:rFonts w:eastAsia="Times New Roman" w:hAnsi="SimSun"/>
          <w:sz w:val="24"/>
          <w:lang w:eastAsia="zh-CN"/>
        </w:rPr>
        <w:t>经交换意见后，经口头修正的决定草案获得</w:t>
      </w:r>
      <w:r>
        <w:rPr>
          <w:rFonts w:eastAsia="Times New Roman" w:hAnsi="SimSun"/>
          <w:sz w:val="24"/>
          <w:lang w:eastAsia="zh-CN"/>
        </w:rPr>
        <w:t>核准</w:t>
      </w:r>
      <w:r w:rsidRPr="00172A78">
        <w:rPr>
          <w:rFonts w:eastAsia="Times New Roman" w:hAnsi="SimSun"/>
          <w:sz w:val="24"/>
          <w:lang w:eastAsia="zh-CN"/>
        </w:rPr>
        <w:t>，成为决定草案</w:t>
      </w:r>
      <w:r w:rsidRPr="00172A78">
        <w:rPr>
          <w:rFonts w:eastAsia="Times New Roman"/>
          <w:sz w:val="24"/>
          <w:lang w:eastAsia="zh-CN"/>
        </w:rPr>
        <w:t>CBD/COP/14/L.17</w:t>
      </w:r>
      <w:r>
        <w:rPr>
          <w:rFonts w:ascii="SimSun" w:eastAsia="SimSun" w:hAnsi="SimSun" w:cs="SimSun" w:hint="eastAsia"/>
          <w:sz w:val="24"/>
          <w:lang w:eastAsia="zh-CN"/>
        </w:rPr>
        <w:t>待正式通过</w:t>
      </w:r>
      <w:r w:rsidRPr="00172A78">
        <w:rPr>
          <w:rFonts w:eastAsia="Times New Roman" w:hAnsi="SimSun"/>
          <w:sz w:val="24"/>
          <w:lang w:eastAsia="zh-CN"/>
        </w:rPr>
        <w:t>。</w:t>
      </w:r>
    </w:p>
    <w:p w:rsidR="00511C03" w:rsidRPr="001E0C32" w:rsidRDefault="00927D5D" w:rsidP="00E17F8A">
      <w:pPr>
        <w:pStyle w:val="Para1"/>
        <w:numPr>
          <w:ilvl w:val="0"/>
          <w:numId w:val="9"/>
        </w:numPr>
        <w:tabs>
          <w:tab w:val="clear" w:pos="360"/>
          <w:tab w:val="left" w:pos="720"/>
        </w:tabs>
        <w:ind w:firstLine="0"/>
        <w:rPr>
          <w:rFonts w:eastAsia="Times New Roman" w:hAnsi="SimSun"/>
          <w:sz w:val="24"/>
          <w:lang w:eastAsia="zh-CN"/>
        </w:rPr>
      </w:pPr>
      <w:r w:rsidRPr="001E0C32">
        <w:rPr>
          <w:rFonts w:eastAsia="Times New Roman" w:hAnsi="SimSun"/>
          <w:sz w:val="24"/>
          <w:lang w:eastAsia="zh-CN"/>
        </w:rPr>
        <w:t>在</w:t>
      </w:r>
      <w:r w:rsidRPr="001E0C32">
        <w:rPr>
          <w:rFonts w:eastAsia="Times New Roman"/>
          <w:sz w:val="24"/>
          <w:lang w:eastAsia="zh-CN"/>
        </w:rPr>
        <w:t>2018</w:t>
      </w:r>
      <w:r w:rsidRPr="001E0C32">
        <w:rPr>
          <w:rFonts w:eastAsia="Times New Roman" w:hAnsi="SimSun"/>
          <w:sz w:val="24"/>
          <w:lang w:eastAsia="zh-CN"/>
        </w:rPr>
        <w:t>年</w:t>
      </w:r>
      <w:r w:rsidRPr="001E0C32">
        <w:rPr>
          <w:rFonts w:eastAsia="Times New Roman"/>
          <w:sz w:val="24"/>
          <w:lang w:eastAsia="zh-CN"/>
        </w:rPr>
        <w:t>11</w:t>
      </w:r>
      <w:r w:rsidRPr="001E0C32">
        <w:rPr>
          <w:rFonts w:eastAsia="Times New Roman" w:hAnsi="SimSun"/>
          <w:sz w:val="24"/>
          <w:lang w:eastAsia="zh-CN"/>
        </w:rPr>
        <w:t>月</w:t>
      </w:r>
      <w:r w:rsidRPr="001E0C32">
        <w:rPr>
          <w:rFonts w:eastAsia="Times New Roman"/>
          <w:sz w:val="24"/>
          <w:lang w:eastAsia="zh-CN"/>
        </w:rPr>
        <w:t>2</w:t>
      </w:r>
      <w:r w:rsidR="00B4280E">
        <w:rPr>
          <w:rFonts w:eastAsia="Times New Roman"/>
          <w:sz w:val="24"/>
          <w:lang w:eastAsia="zh-CN"/>
        </w:rPr>
        <w:t>9</w:t>
      </w:r>
      <w:r w:rsidRPr="001E0C32">
        <w:rPr>
          <w:rFonts w:ascii="SimSun" w:eastAsia="SimSun" w:hAnsi="SimSun" w:cs="SimSun" w:hint="eastAsia"/>
          <w:sz w:val="24"/>
          <w:lang w:eastAsia="zh-CN"/>
        </w:rPr>
        <w:t>日会议的</w:t>
      </w:r>
      <w:r w:rsidRPr="001E0C32">
        <w:rPr>
          <w:rFonts w:eastAsia="Times New Roman" w:hAnsi="SimSun"/>
          <w:sz w:val="24"/>
          <w:lang w:eastAsia="zh-CN"/>
        </w:rPr>
        <w:t>第</w:t>
      </w:r>
      <w:r w:rsidRPr="001E0C32">
        <w:rPr>
          <w:rFonts w:eastAsiaTheme="minorEastAsia" w:hAnsi="SimSun" w:hint="eastAsia"/>
          <w:sz w:val="24"/>
          <w:lang w:eastAsia="zh-CN"/>
        </w:rPr>
        <w:t>7</w:t>
      </w:r>
      <w:r w:rsidRPr="001E0C32">
        <w:rPr>
          <w:rFonts w:eastAsia="Times New Roman" w:hAnsi="SimSun"/>
          <w:sz w:val="24"/>
          <w:lang w:eastAsia="zh-CN"/>
        </w:rPr>
        <w:t>次全体会议上，缔约方大会</w:t>
      </w:r>
      <w:r w:rsidR="001E0C32" w:rsidRPr="001E0C32">
        <w:rPr>
          <w:rFonts w:eastAsiaTheme="minorEastAsia" w:hAnsi="SimSun" w:hint="eastAsia"/>
          <w:sz w:val="24"/>
          <w:lang w:eastAsia="zh-CN"/>
        </w:rPr>
        <w:t>通过</w:t>
      </w:r>
      <w:r w:rsidR="001E0C32" w:rsidRPr="001E0C32">
        <w:rPr>
          <w:rFonts w:eastAsiaTheme="minorEastAsia" w:hAnsi="SimSun"/>
          <w:sz w:val="24"/>
          <w:lang w:eastAsia="zh-CN"/>
        </w:rPr>
        <w:t>了决定草案</w:t>
      </w:r>
      <w:r w:rsidR="00511C03" w:rsidRPr="001E0C32">
        <w:rPr>
          <w:rFonts w:eastAsia="Times New Roman" w:hAnsi="SimSun"/>
          <w:sz w:val="24"/>
          <w:lang w:eastAsia="zh-CN"/>
        </w:rPr>
        <w:t>CBD/COP/14/L.17</w:t>
      </w:r>
      <w:r w:rsidR="001E0C32" w:rsidRPr="001E0C32">
        <w:rPr>
          <w:rFonts w:eastAsiaTheme="minorEastAsia" w:hAnsi="SimSun" w:hint="eastAsia"/>
          <w:sz w:val="24"/>
          <w:lang w:eastAsia="zh-CN"/>
        </w:rPr>
        <w:t>，</w:t>
      </w:r>
      <w:r w:rsidR="001E0C32" w:rsidRPr="001E0C32">
        <w:rPr>
          <w:rFonts w:eastAsiaTheme="minorEastAsia" w:hAnsi="SimSun"/>
          <w:sz w:val="24"/>
          <w:lang w:eastAsia="zh-CN"/>
        </w:rPr>
        <w:t>成为第</w:t>
      </w:r>
      <w:r w:rsidR="00511C03" w:rsidRPr="001E0C32">
        <w:rPr>
          <w:rFonts w:eastAsia="Times New Roman" w:hAnsi="SimSun"/>
          <w:sz w:val="24"/>
          <w:lang w:eastAsia="zh-CN"/>
        </w:rPr>
        <w:t>14/35</w:t>
      </w:r>
      <w:r w:rsidR="001E0C32" w:rsidRPr="001E0C32">
        <w:rPr>
          <w:rFonts w:eastAsiaTheme="minorEastAsia" w:hAnsi="SimSun" w:hint="eastAsia"/>
          <w:sz w:val="24"/>
          <w:lang w:eastAsia="zh-CN"/>
        </w:rPr>
        <w:t>号决定</w:t>
      </w:r>
      <w:r w:rsidR="001E0C32" w:rsidRPr="001E0C32">
        <w:rPr>
          <w:rFonts w:eastAsiaTheme="minorEastAsia" w:hAnsi="SimSun"/>
          <w:sz w:val="24"/>
          <w:lang w:eastAsia="zh-CN"/>
        </w:rPr>
        <w:t>（案文见第一章）。</w:t>
      </w:r>
    </w:p>
    <w:p w:rsidR="008D76BF" w:rsidRPr="00E63AA3" w:rsidRDefault="008D76BF" w:rsidP="00E63AA3">
      <w:pPr>
        <w:pStyle w:val="Heading1"/>
        <w:spacing w:before="120" w:after="120"/>
        <w:ind w:firstLine="0"/>
        <w:rPr>
          <w:rFonts w:eastAsia="Times New Roman"/>
          <w:sz w:val="24"/>
          <w:lang w:val="en-CA" w:eastAsia="zh-CN"/>
        </w:rPr>
      </w:pPr>
      <w:bookmarkStart w:id="277" w:name="_Toc6243826"/>
      <w:r w:rsidRPr="00E63AA3">
        <w:rPr>
          <w:rFonts w:hint="eastAsia"/>
          <w:sz w:val="24"/>
          <w:lang w:val="en-CA" w:eastAsia="zh-CN"/>
        </w:rPr>
        <w:t>项目</w:t>
      </w:r>
      <w:r w:rsidRPr="00E63AA3">
        <w:rPr>
          <w:rFonts w:eastAsia="Times New Roman"/>
          <w:sz w:val="24"/>
          <w:lang w:val="en-CA" w:eastAsia="zh-CN"/>
        </w:rPr>
        <w:t xml:space="preserve">18.    </w:t>
      </w:r>
      <w:r w:rsidR="00366699" w:rsidRPr="00E63AA3">
        <w:rPr>
          <w:rFonts w:eastAsia="Times New Roman"/>
          <w:sz w:val="24"/>
          <w:lang w:val="en-CA" w:eastAsia="zh-CN"/>
        </w:rPr>
        <w:t xml:space="preserve">  </w:t>
      </w:r>
      <w:r w:rsidRPr="00E63AA3">
        <w:rPr>
          <w:rFonts w:hint="eastAsia"/>
          <w:sz w:val="24"/>
          <w:lang w:val="en-CA" w:eastAsia="zh-CN"/>
        </w:rPr>
        <w:t>遗传资源的数字序列信息</w:t>
      </w:r>
      <w:bookmarkEnd w:id="277"/>
    </w:p>
    <w:p w:rsidR="008D76BF" w:rsidRPr="00B70440" w:rsidRDefault="008D76BF" w:rsidP="00750ECD">
      <w:pPr>
        <w:pStyle w:val="Para1"/>
        <w:numPr>
          <w:ilvl w:val="0"/>
          <w:numId w:val="9"/>
        </w:numPr>
        <w:tabs>
          <w:tab w:val="clear" w:pos="360"/>
          <w:tab w:val="left" w:pos="720"/>
        </w:tabs>
        <w:ind w:firstLine="0"/>
        <w:rPr>
          <w:rFonts w:hAnsi="SimSun"/>
          <w:sz w:val="24"/>
          <w:szCs w:val="24"/>
          <w:lang w:eastAsia="zh-CN"/>
        </w:rPr>
      </w:pPr>
      <w:r w:rsidRPr="00B70440">
        <w:rPr>
          <w:rFonts w:ascii="SimSun" w:eastAsia="SimSun" w:hAnsi="SimSun" w:cs="SimSun" w:hint="eastAsia"/>
          <w:sz w:val="24"/>
          <w:szCs w:val="24"/>
          <w:lang w:eastAsia="zh-CN"/>
        </w:rPr>
        <w:t>第一工作组在</w:t>
      </w:r>
      <w:r w:rsidRPr="00B70440">
        <w:rPr>
          <w:rFonts w:hAnsi="SimSun"/>
          <w:sz w:val="24"/>
          <w:szCs w:val="24"/>
          <w:lang w:eastAsia="zh-CN"/>
        </w:rPr>
        <w:t>2018</w:t>
      </w:r>
      <w:r w:rsidRPr="00B70440">
        <w:rPr>
          <w:rFonts w:ascii="SimSun" w:eastAsia="SimSun" w:hAnsi="SimSun" w:cs="SimSun" w:hint="eastAsia"/>
          <w:sz w:val="24"/>
          <w:szCs w:val="24"/>
          <w:lang w:eastAsia="zh-CN"/>
        </w:rPr>
        <w:t>年</w:t>
      </w:r>
      <w:r w:rsidRPr="00B70440">
        <w:rPr>
          <w:rFonts w:hAnsi="SimSun"/>
          <w:sz w:val="24"/>
          <w:szCs w:val="24"/>
          <w:lang w:eastAsia="zh-CN"/>
        </w:rPr>
        <w:t>11</w:t>
      </w:r>
      <w:r w:rsidRPr="00B70440">
        <w:rPr>
          <w:rFonts w:ascii="SimSun" w:eastAsia="SimSun" w:hAnsi="SimSun" w:cs="SimSun" w:hint="eastAsia"/>
          <w:sz w:val="24"/>
          <w:szCs w:val="24"/>
          <w:lang w:eastAsia="zh-CN"/>
        </w:rPr>
        <w:t>月</w:t>
      </w:r>
      <w:r w:rsidRPr="00B70440">
        <w:rPr>
          <w:rFonts w:hAnsi="SimSun"/>
          <w:sz w:val="24"/>
          <w:szCs w:val="24"/>
          <w:lang w:eastAsia="zh-CN"/>
        </w:rPr>
        <w:t>18</w:t>
      </w:r>
      <w:r w:rsidRPr="00B70440">
        <w:rPr>
          <w:rFonts w:ascii="SimSun" w:eastAsia="SimSun" w:hAnsi="SimSun" w:cs="SimSun" w:hint="eastAsia"/>
          <w:sz w:val="24"/>
          <w:szCs w:val="24"/>
          <w:lang w:eastAsia="zh-CN"/>
        </w:rPr>
        <w:t>日的第</w:t>
      </w:r>
      <w:r w:rsidRPr="00B70440">
        <w:rPr>
          <w:rFonts w:hAnsi="SimSun"/>
          <w:sz w:val="24"/>
          <w:szCs w:val="24"/>
          <w:lang w:eastAsia="zh-CN"/>
        </w:rPr>
        <w:t>2</w:t>
      </w:r>
      <w:r w:rsidRPr="00B70440">
        <w:rPr>
          <w:rFonts w:ascii="SimSun" w:eastAsia="SimSun" w:hAnsi="SimSun" w:cs="SimSun" w:hint="eastAsia"/>
          <w:sz w:val="24"/>
          <w:szCs w:val="24"/>
          <w:lang w:eastAsia="zh-CN"/>
        </w:rPr>
        <w:t>场会议上审议了议程项目</w:t>
      </w:r>
      <w:r w:rsidRPr="00B70440">
        <w:rPr>
          <w:rFonts w:hAnsi="SimSun"/>
          <w:sz w:val="24"/>
          <w:szCs w:val="24"/>
          <w:lang w:eastAsia="zh-CN"/>
        </w:rPr>
        <w:t>18</w:t>
      </w:r>
      <w:r>
        <w:rPr>
          <w:rFonts w:ascii="SimSun" w:eastAsia="SimSun" w:hAnsi="SimSun" w:cs="SimSun" w:hint="eastAsia"/>
          <w:sz w:val="24"/>
          <w:szCs w:val="24"/>
          <w:lang w:eastAsia="zh-CN"/>
        </w:rPr>
        <w:t>，</w:t>
      </w:r>
      <w:r w:rsidRPr="009E4985">
        <w:rPr>
          <w:rFonts w:eastAsia="SimSun" w:hAnsi="SimSun" w:hint="eastAsia"/>
          <w:sz w:val="24"/>
          <w:szCs w:val="24"/>
          <w:lang w:eastAsia="zh-CN"/>
        </w:rPr>
        <w:t>同时审议了作为名古屋议定书缔约方会议的缔约方大会议程项目</w:t>
      </w:r>
      <w:r w:rsidRPr="009E4985">
        <w:rPr>
          <w:rFonts w:eastAsia="SimSun"/>
          <w:sz w:val="24"/>
          <w:szCs w:val="24"/>
          <w:lang w:eastAsia="zh-CN"/>
        </w:rPr>
        <w:t>1</w:t>
      </w:r>
      <w:r>
        <w:rPr>
          <w:rFonts w:eastAsia="SimSun"/>
          <w:sz w:val="24"/>
          <w:szCs w:val="24"/>
          <w:lang w:eastAsia="zh-CN"/>
        </w:rPr>
        <w:t>7</w:t>
      </w:r>
      <w:r w:rsidRPr="00B70440">
        <w:rPr>
          <w:rFonts w:ascii="SimSun" w:eastAsia="SimSun" w:hAnsi="SimSun" w:cs="SimSun" w:hint="eastAsia"/>
          <w:sz w:val="24"/>
          <w:szCs w:val="24"/>
          <w:lang w:eastAsia="zh-CN"/>
        </w:rPr>
        <w:t>。在审议这个项目时，工作组</w:t>
      </w:r>
      <w:r w:rsidR="00244B72">
        <w:rPr>
          <w:rFonts w:ascii="SimSun" w:eastAsia="SimSun" w:hAnsi="SimSun" w:cs="SimSun" w:hint="eastAsia"/>
          <w:sz w:val="24"/>
          <w:szCs w:val="24"/>
          <w:lang w:eastAsia="zh-CN"/>
        </w:rPr>
        <w:t>收到了</w:t>
      </w:r>
      <w:r w:rsidRPr="00B70440">
        <w:rPr>
          <w:rFonts w:ascii="SimSun" w:eastAsia="SimSun" w:hAnsi="SimSun" w:cs="SimSun" w:hint="eastAsia"/>
          <w:sz w:val="24"/>
          <w:szCs w:val="24"/>
          <w:lang w:eastAsia="zh-CN"/>
        </w:rPr>
        <w:t>以下文件：粮食和农业遗传资源委员会秘书处提交的报告：关于粮食和农业遗传资源</w:t>
      </w:r>
      <w:r w:rsidRPr="00B70440">
        <w:rPr>
          <w:rFonts w:ascii="SimSun" w:eastAsia="Times New Roman" w:hAnsi="SimSun" w:cs="SimSun"/>
          <w:sz w:val="24"/>
          <w:szCs w:val="24"/>
          <w:lang w:eastAsia="zh-CN"/>
        </w:rPr>
        <w:t>“</w:t>
      </w:r>
      <w:r w:rsidRPr="00B70440">
        <w:rPr>
          <w:rFonts w:ascii="SimSun" w:eastAsia="SimSun" w:hAnsi="SimSun" w:cs="SimSun" w:hint="eastAsia"/>
          <w:sz w:val="24"/>
          <w:szCs w:val="24"/>
          <w:lang w:eastAsia="zh-CN"/>
        </w:rPr>
        <w:t>数字序列信息</w:t>
      </w:r>
      <w:r w:rsidRPr="00B70440">
        <w:rPr>
          <w:rFonts w:ascii="SimSun" w:eastAsia="Times New Roman" w:hAnsi="SimSun" w:cs="SimSun"/>
          <w:sz w:val="24"/>
          <w:szCs w:val="24"/>
          <w:lang w:eastAsia="zh-CN"/>
        </w:rPr>
        <w:t>”</w:t>
      </w:r>
      <w:r w:rsidRPr="00B70440">
        <w:rPr>
          <w:rFonts w:ascii="SimSun" w:eastAsia="SimSun" w:hAnsi="SimSun" w:cs="SimSun" w:hint="eastAsia"/>
          <w:sz w:val="24"/>
          <w:szCs w:val="24"/>
          <w:lang w:eastAsia="zh-CN"/>
        </w:rPr>
        <w:t>的探索性事实调查和范围界定研究报告（</w:t>
      </w:r>
      <w:r w:rsidRPr="00B70440">
        <w:rPr>
          <w:rFonts w:hAnsi="SimSun"/>
          <w:sz w:val="24"/>
          <w:szCs w:val="24"/>
          <w:lang w:eastAsia="zh-CN"/>
        </w:rPr>
        <w:t>CBD/COP/14/INF/29</w:t>
      </w:r>
      <w:r w:rsidRPr="00B70440">
        <w:rPr>
          <w:rFonts w:ascii="SimSun" w:eastAsia="SimSun" w:hAnsi="SimSun" w:cs="SimSun" w:hint="eastAsia"/>
          <w:sz w:val="24"/>
          <w:szCs w:val="24"/>
          <w:lang w:eastAsia="zh-CN"/>
        </w:rPr>
        <w:t>）；就《生物多样性公约》和《名古屋议定书》的目标使用数字序列信息的案例研究和实例（</w:t>
      </w:r>
      <w:r w:rsidRPr="00B70440">
        <w:rPr>
          <w:rFonts w:hAnsi="SimSun"/>
          <w:sz w:val="24"/>
          <w:szCs w:val="24"/>
          <w:lang w:eastAsia="zh-CN"/>
        </w:rPr>
        <w:t>CBD/DSI/AHTEG/2018/1/2/Add.1</w:t>
      </w:r>
      <w:r w:rsidRPr="00B70440">
        <w:rPr>
          <w:rFonts w:ascii="SimSun" w:eastAsia="SimSun" w:hAnsi="SimSun" w:cs="SimSun" w:hint="eastAsia"/>
          <w:sz w:val="24"/>
          <w:szCs w:val="24"/>
          <w:lang w:eastAsia="zh-CN"/>
        </w:rPr>
        <w:t>）；在目前相关国际进程和政策辩论中关于遗传资源的数字序列信息（</w:t>
      </w:r>
      <w:r w:rsidRPr="00B70440">
        <w:rPr>
          <w:rFonts w:hAnsi="SimSun"/>
          <w:sz w:val="24"/>
          <w:szCs w:val="24"/>
          <w:lang w:eastAsia="zh-CN"/>
        </w:rPr>
        <w:t>CBD/DSI/AHTEG/2018/1/2/Add.2</w:t>
      </w:r>
      <w:r w:rsidRPr="00B70440">
        <w:rPr>
          <w:rFonts w:ascii="SimSun" w:eastAsia="SimSun" w:hAnsi="SimSun" w:cs="SimSun" w:hint="eastAsia"/>
          <w:sz w:val="24"/>
          <w:szCs w:val="24"/>
          <w:lang w:eastAsia="zh-CN"/>
        </w:rPr>
        <w:t>）；和在《生物多样性公约》和《名古屋议定书》范畴内关于遗传资源的数字序列信息的实况调查和范围界定研究报告（</w:t>
      </w:r>
      <w:r w:rsidRPr="00B70440">
        <w:rPr>
          <w:rFonts w:hAnsi="SimSun"/>
          <w:sz w:val="24"/>
          <w:szCs w:val="24"/>
          <w:lang w:eastAsia="zh-CN"/>
        </w:rPr>
        <w:t>CBD/DSI/AHTEG/2018/1/3</w:t>
      </w:r>
      <w:r w:rsidRPr="00B70440">
        <w:rPr>
          <w:rFonts w:ascii="SimSun" w:eastAsia="SimSun" w:hAnsi="SimSun" w:cs="SimSun" w:hint="eastAsia"/>
          <w:sz w:val="24"/>
          <w:szCs w:val="24"/>
          <w:lang w:eastAsia="zh-CN"/>
        </w:rPr>
        <w:t>）。第一工作组还收到了决定草案汇编（</w:t>
      </w:r>
      <w:r w:rsidRPr="00B70440">
        <w:rPr>
          <w:rFonts w:hAnsi="SimSun"/>
          <w:sz w:val="24"/>
          <w:szCs w:val="24"/>
          <w:lang w:eastAsia="zh-CN"/>
        </w:rPr>
        <w:t>CBD/COP/14/2</w:t>
      </w:r>
      <w:r w:rsidRPr="00B70440">
        <w:rPr>
          <w:rFonts w:ascii="SimSun" w:eastAsia="SimSun" w:hAnsi="SimSun" w:cs="SimSun" w:hint="eastAsia"/>
          <w:sz w:val="24"/>
          <w:szCs w:val="24"/>
          <w:lang w:eastAsia="zh-CN"/>
        </w:rPr>
        <w:t>）</w:t>
      </w:r>
      <w:r w:rsidR="00733957">
        <w:rPr>
          <w:rFonts w:ascii="SimSun" w:eastAsia="SimSun" w:hAnsi="SimSun" w:cs="SimSun" w:hint="eastAsia"/>
          <w:sz w:val="24"/>
          <w:szCs w:val="24"/>
          <w:lang w:eastAsia="zh-CN"/>
        </w:rPr>
        <w:t>中</w:t>
      </w:r>
      <w:r w:rsidR="00733957">
        <w:rPr>
          <w:rFonts w:ascii="SimSun" w:eastAsia="SimSun" w:hAnsi="SimSun" w:cs="SimSun"/>
          <w:sz w:val="24"/>
          <w:szCs w:val="24"/>
          <w:lang w:eastAsia="zh-CN"/>
        </w:rPr>
        <w:t>所载</w:t>
      </w:r>
      <w:r w:rsidRPr="00B70440">
        <w:rPr>
          <w:rFonts w:ascii="SimSun" w:eastAsia="SimSun" w:hAnsi="SimSun" w:cs="SimSun" w:hint="eastAsia"/>
          <w:sz w:val="24"/>
          <w:szCs w:val="24"/>
          <w:lang w:eastAsia="zh-CN"/>
        </w:rPr>
        <w:t>根据第</w:t>
      </w:r>
      <w:r w:rsidRPr="00B70440">
        <w:rPr>
          <w:rFonts w:hAnsi="SimSun"/>
          <w:sz w:val="24"/>
          <w:szCs w:val="24"/>
          <w:lang w:eastAsia="zh-CN"/>
        </w:rPr>
        <w:t>SBSTTA-22/1</w:t>
      </w:r>
      <w:r w:rsidRPr="00B70440">
        <w:rPr>
          <w:rFonts w:ascii="SimSun" w:eastAsia="SimSun" w:hAnsi="SimSun" w:cs="SimSun" w:hint="eastAsia"/>
          <w:sz w:val="24"/>
          <w:szCs w:val="24"/>
          <w:lang w:eastAsia="zh-CN"/>
        </w:rPr>
        <w:t>号建议编制的一份决定草案。</w:t>
      </w:r>
    </w:p>
    <w:p w:rsidR="008D76BF" w:rsidRPr="00B70440" w:rsidRDefault="008D76BF" w:rsidP="00750ECD">
      <w:pPr>
        <w:pStyle w:val="Para1"/>
        <w:numPr>
          <w:ilvl w:val="0"/>
          <w:numId w:val="9"/>
        </w:numPr>
        <w:tabs>
          <w:tab w:val="clear" w:pos="360"/>
          <w:tab w:val="left" w:pos="720"/>
        </w:tabs>
        <w:ind w:firstLine="0"/>
        <w:rPr>
          <w:rFonts w:hAnsi="SimSun"/>
          <w:sz w:val="24"/>
          <w:szCs w:val="24"/>
          <w:lang w:eastAsia="zh-CN"/>
        </w:rPr>
      </w:pPr>
      <w:r w:rsidRPr="00B70440">
        <w:rPr>
          <w:rFonts w:ascii="SimSun" w:eastAsia="SimSun" w:hAnsi="SimSun" w:cs="SimSun" w:hint="eastAsia"/>
          <w:sz w:val="24"/>
          <w:szCs w:val="24"/>
          <w:lang w:eastAsia="zh-CN"/>
        </w:rPr>
        <w:lastRenderedPageBreak/>
        <w:t>下列国家的代表</w:t>
      </w:r>
      <w:r w:rsidR="006952B0">
        <w:rPr>
          <w:rFonts w:ascii="SimSun" w:eastAsia="SimSun" w:hAnsi="SimSun" w:cs="SimSun" w:hint="eastAsia"/>
          <w:sz w:val="24"/>
          <w:szCs w:val="24"/>
          <w:lang w:eastAsia="zh-CN"/>
        </w:rPr>
        <w:t>作了发言</w:t>
      </w:r>
      <w:r w:rsidRPr="00B70440">
        <w:rPr>
          <w:rFonts w:ascii="SimSun" w:eastAsia="SimSun" w:hAnsi="SimSun" w:cs="SimSun" w:hint="eastAsia"/>
          <w:sz w:val="24"/>
          <w:szCs w:val="24"/>
          <w:lang w:eastAsia="zh-CN"/>
        </w:rPr>
        <w:t>：阿根廷、白俄罗斯、多民族玻利维亚国、博茨瓦纳、巴西（代表观点相同的生物多样性大国</w:t>
      </w:r>
      <w:r>
        <w:rPr>
          <w:rFonts w:ascii="SimSun" w:eastAsia="SimSun" w:hAnsi="SimSun" w:cs="SimSun" w:hint="eastAsia"/>
          <w:sz w:val="24"/>
          <w:szCs w:val="24"/>
          <w:lang w:eastAsia="zh-CN"/>
        </w:rPr>
        <w:t>集团</w:t>
      </w:r>
      <w:r w:rsidRPr="00B70440">
        <w:rPr>
          <w:rFonts w:ascii="SimSun" w:eastAsia="SimSun" w:hAnsi="SimSun" w:cs="SimSun" w:hint="eastAsia"/>
          <w:sz w:val="24"/>
          <w:szCs w:val="24"/>
          <w:lang w:eastAsia="zh-CN"/>
        </w:rPr>
        <w:t>）、喀麦隆、加拿大、中国、哥伦比亚、哥斯达黎加、多米尼加共和国、厄瓜多尔、埃塞俄比亚、欧洲联盟及其</w:t>
      </w:r>
      <w:r w:rsidRPr="00B70440">
        <w:rPr>
          <w:rFonts w:hAnsi="SimSun"/>
          <w:sz w:val="24"/>
          <w:szCs w:val="24"/>
          <w:lang w:eastAsia="zh-CN"/>
        </w:rPr>
        <w:t>28</w:t>
      </w:r>
      <w:r w:rsidRPr="00B70440">
        <w:rPr>
          <w:rFonts w:ascii="SimSun" w:eastAsia="SimSun" w:hAnsi="SimSun" w:cs="SimSun" w:hint="eastAsia"/>
          <w:sz w:val="24"/>
          <w:szCs w:val="24"/>
          <w:lang w:eastAsia="zh-CN"/>
        </w:rPr>
        <w:t>个成员国、危地马拉、几内亚比绍、印度、印度尼西亚、日本、约旦、肯尼亚、马达加斯加、马拉维（代表非洲国家集团）、马来西亚、墨西哥、摩洛哥、新西兰、挪威、秘鲁、菲律宾、大韩民国、塞内加尔、南非、苏丹、瑞士、泰国、多哥、土耳其、乌干达、坦桑尼亚联合共和国、乌拉圭和委内瑞拉玻利瓦尔共和国。</w:t>
      </w:r>
    </w:p>
    <w:p w:rsidR="008D76BF" w:rsidRPr="00B70440" w:rsidRDefault="008D76BF" w:rsidP="00750ECD">
      <w:pPr>
        <w:pStyle w:val="Para1"/>
        <w:numPr>
          <w:ilvl w:val="0"/>
          <w:numId w:val="9"/>
        </w:numPr>
        <w:tabs>
          <w:tab w:val="clear" w:pos="360"/>
          <w:tab w:val="left" w:pos="720"/>
        </w:tabs>
        <w:ind w:firstLine="0"/>
        <w:rPr>
          <w:rFonts w:hAnsi="SimSun"/>
          <w:sz w:val="24"/>
          <w:szCs w:val="24"/>
          <w:lang w:eastAsia="zh-CN"/>
        </w:rPr>
      </w:pPr>
      <w:r w:rsidRPr="00B70440">
        <w:rPr>
          <w:rFonts w:ascii="SimSun" w:eastAsia="SimSun" w:hAnsi="SimSun" w:cs="SimSun" w:hint="eastAsia"/>
          <w:sz w:val="24"/>
          <w:szCs w:val="24"/>
          <w:lang w:eastAsia="zh-CN"/>
        </w:rPr>
        <w:t>非洲联盟、联合国法律事务厅海洋事务和海洋法司、世界卫生组织（世卫组织）和世界知识产权组织（知识产权组织）的代表也</w:t>
      </w:r>
      <w:r w:rsidR="006952B0">
        <w:rPr>
          <w:rFonts w:ascii="SimSun" w:eastAsia="SimSun" w:hAnsi="SimSun" w:cs="SimSun" w:hint="eastAsia"/>
          <w:sz w:val="24"/>
          <w:szCs w:val="24"/>
          <w:lang w:eastAsia="zh-CN"/>
        </w:rPr>
        <w:t>作了发言</w:t>
      </w:r>
      <w:r w:rsidRPr="00B70440">
        <w:rPr>
          <w:rFonts w:ascii="SimSun" w:eastAsia="SimSun" w:hAnsi="SimSun" w:cs="SimSun" w:hint="eastAsia"/>
          <w:sz w:val="24"/>
          <w:szCs w:val="24"/>
          <w:lang w:eastAsia="zh-CN"/>
        </w:rPr>
        <w:t>。</w:t>
      </w:r>
    </w:p>
    <w:p w:rsidR="008D76BF" w:rsidRPr="00B70440" w:rsidRDefault="008D76BF" w:rsidP="00750ECD">
      <w:pPr>
        <w:pStyle w:val="Para1"/>
        <w:numPr>
          <w:ilvl w:val="0"/>
          <w:numId w:val="9"/>
        </w:numPr>
        <w:tabs>
          <w:tab w:val="clear" w:pos="360"/>
          <w:tab w:val="left" w:pos="720"/>
        </w:tabs>
        <w:ind w:firstLine="0"/>
        <w:rPr>
          <w:rFonts w:hAnsi="SimSun"/>
          <w:sz w:val="24"/>
          <w:szCs w:val="24"/>
          <w:lang w:eastAsia="zh-CN"/>
        </w:rPr>
      </w:pPr>
      <w:r w:rsidRPr="00B70440">
        <w:rPr>
          <w:rFonts w:ascii="SimSun" w:eastAsia="SimSun" w:hAnsi="SimSun" w:cs="SimSun" w:hint="eastAsia"/>
          <w:sz w:val="24"/>
          <w:szCs w:val="24"/>
          <w:lang w:eastAsia="zh-CN"/>
        </w:rPr>
        <w:t>生物多样性问题国际土著论坛的代表又</w:t>
      </w:r>
      <w:r w:rsidR="006952B0">
        <w:rPr>
          <w:rFonts w:ascii="SimSun" w:eastAsia="SimSun" w:hAnsi="SimSun" w:cs="SimSun" w:hint="eastAsia"/>
          <w:sz w:val="24"/>
          <w:szCs w:val="24"/>
          <w:lang w:eastAsia="zh-CN"/>
        </w:rPr>
        <w:t>作了发言</w:t>
      </w:r>
      <w:r w:rsidRPr="00B70440">
        <w:rPr>
          <w:rFonts w:ascii="SimSun" w:eastAsia="SimSun" w:hAnsi="SimSun" w:cs="SimSun" w:hint="eastAsia"/>
          <w:sz w:val="24"/>
          <w:szCs w:val="24"/>
          <w:lang w:eastAsia="zh-CN"/>
        </w:rPr>
        <w:t>。</w:t>
      </w:r>
    </w:p>
    <w:p w:rsidR="008D76BF" w:rsidRPr="00942C07" w:rsidRDefault="008D76BF" w:rsidP="00750ECD">
      <w:pPr>
        <w:pStyle w:val="Para1"/>
        <w:numPr>
          <w:ilvl w:val="0"/>
          <w:numId w:val="9"/>
        </w:numPr>
        <w:tabs>
          <w:tab w:val="clear" w:pos="360"/>
          <w:tab w:val="left" w:pos="720"/>
        </w:tabs>
        <w:ind w:firstLine="0"/>
        <w:rPr>
          <w:rFonts w:hAnsi="SimSun"/>
          <w:sz w:val="24"/>
          <w:szCs w:val="24"/>
          <w:lang w:eastAsia="zh-CN"/>
        </w:rPr>
      </w:pPr>
      <w:r w:rsidRPr="00B70440">
        <w:rPr>
          <w:rFonts w:ascii="SimSun" w:eastAsia="SimSun" w:hAnsi="SimSun" w:cs="SimSun" w:hint="eastAsia"/>
          <w:sz w:val="24"/>
          <w:szCs w:val="24"/>
          <w:lang w:eastAsia="zh-CN"/>
        </w:rPr>
        <w:t>经交换意见后，工作组</w:t>
      </w:r>
      <w:r w:rsidR="001E0C32">
        <w:rPr>
          <w:rFonts w:ascii="SimSun" w:eastAsia="SimSun" w:hAnsi="SimSun" w:cs="SimSun" w:hint="eastAsia"/>
          <w:sz w:val="24"/>
          <w:szCs w:val="24"/>
          <w:lang w:eastAsia="zh-CN"/>
        </w:rPr>
        <w:t>决定</w:t>
      </w:r>
      <w:r w:rsidRPr="00B70440">
        <w:rPr>
          <w:rFonts w:ascii="SimSun" w:eastAsia="SimSun" w:hAnsi="SimSun" w:cs="SimSun" w:hint="eastAsia"/>
          <w:sz w:val="24"/>
          <w:szCs w:val="24"/>
          <w:lang w:eastAsia="zh-CN"/>
        </w:rPr>
        <w:t>设立一个联络组，由</w:t>
      </w:r>
      <w:r w:rsidR="001E0C32" w:rsidRPr="001E0C32">
        <w:rPr>
          <w:noProof/>
          <w:kern w:val="22"/>
          <w:sz w:val="24"/>
          <w:shd w:val="clear" w:color="auto" w:fill="FFFFFF"/>
          <w:lang w:eastAsia="zh-CN"/>
        </w:rPr>
        <w:t xml:space="preserve">Georgina </w:t>
      </w:r>
      <w:r w:rsidR="001E0C32" w:rsidRPr="001E0C32">
        <w:rPr>
          <w:noProof/>
          <w:kern w:val="22"/>
          <w:sz w:val="24"/>
          <w:lang w:eastAsia="zh-CN"/>
        </w:rPr>
        <w:t>Catacora-Vargas</w:t>
      </w:r>
      <w:r w:rsidRPr="00B70440">
        <w:rPr>
          <w:rFonts w:ascii="SimSun" w:eastAsia="SimSun" w:hAnsi="SimSun" w:cs="SimSun" w:hint="eastAsia"/>
          <w:sz w:val="24"/>
          <w:szCs w:val="24"/>
          <w:lang w:eastAsia="zh-CN"/>
        </w:rPr>
        <w:t>女士（多民族玻利维亚国）和</w:t>
      </w:r>
      <w:r w:rsidRPr="00B70440">
        <w:rPr>
          <w:rFonts w:hAnsi="SimSun"/>
          <w:sz w:val="24"/>
          <w:szCs w:val="24"/>
          <w:lang w:eastAsia="zh-CN"/>
        </w:rPr>
        <w:t>Nikolay Tzvetkov</w:t>
      </w:r>
      <w:r w:rsidRPr="00B70440">
        <w:rPr>
          <w:rFonts w:ascii="SimSun" w:eastAsia="SimSun" w:hAnsi="SimSun" w:cs="SimSun" w:hint="eastAsia"/>
          <w:sz w:val="24"/>
          <w:szCs w:val="24"/>
          <w:lang w:eastAsia="zh-CN"/>
        </w:rPr>
        <w:t>先生（保加利亚）共同担任主席，继续讨论与这个项目有关的问题。</w:t>
      </w:r>
    </w:p>
    <w:p w:rsidR="008D76BF" w:rsidRPr="00FE0455" w:rsidRDefault="0006774F" w:rsidP="00750ECD">
      <w:pPr>
        <w:pStyle w:val="Para1"/>
        <w:numPr>
          <w:ilvl w:val="0"/>
          <w:numId w:val="9"/>
        </w:numPr>
        <w:tabs>
          <w:tab w:val="clear" w:pos="360"/>
          <w:tab w:val="left" w:pos="720"/>
        </w:tabs>
        <w:ind w:firstLine="0"/>
        <w:rPr>
          <w:rFonts w:eastAsia="Times New Roman"/>
          <w:sz w:val="24"/>
          <w:szCs w:val="24"/>
          <w:lang w:eastAsia="zh-CN"/>
        </w:rPr>
      </w:pPr>
      <w:r>
        <w:rPr>
          <w:rFonts w:eastAsia="SimSun" w:hAnsi="SimSun" w:hint="eastAsia"/>
          <w:sz w:val="24"/>
          <w:szCs w:val="24"/>
          <w:lang w:eastAsia="zh-CN"/>
        </w:rPr>
        <w:t>工作组</w:t>
      </w:r>
      <w:r w:rsidR="008D76BF">
        <w:rPr>
          <w:rFonts w:eastAsia="SimSun" w:hAnsi="SimSun" w:hint="eastAsia"/>
          <w:sz w:val="24"/>
          <w:szCs w:val="24"/>
          <w:lang w:eastAsia="zh-CN"/>
        </w:rPr>
        <w:t>在</w:t>
      </w:r>
      <w:r w:rsidR="008D76BF">
        <w:rPr>
          <w:rFonts w:eastAsia="SimSun" w:hAnsi="SimSun"/>
          <w:sz w:val="24"/>
          <w:szCs w:val="24"/>
          <w:lang w:eastAsia="zh-CN"/>
        </w:rPr>
        <w:t>2018</w:t>
      </w:r>
      <w:r w:rsidR="008D76BF">
        <w:rPr>
          <w:rFonts w:eastAsia="SimSun" w:hAnsi="SimSun" w:hint="eastAsia"/>
          <w:sz w:val="24"/>
          <w:szCs w:val="24"/>
          <w:lang w:eastAsia="zh-CN"/>
        </w:rPr>
        <w:t>年</w:t>
      </w:r>
      <w:r w:rsidR="008D76BF">
        <w:rPr>
          <w:rFonts w:eastAsia="SimSun" w:hAnsi="SimSun"/>
          <w:sz w:val="24"/>
          <w:szCs w:val="24"/>
          <w:lang w:eastAsia="zh-CN"/>
        </w:rPr>
        <w:t>11</w:t>
      </w:r>
      <w:r w:rsidR="008D76BF">
        <w:rPr>
          <w:rFonts w:eastAsia="SimSun" w:hAnsi="SimSun" w:hint="eastAsia"/>
          <w:sz w:val="24"/>
          <w:szCs w:val="24"/>
          <w:lang w:eastAsia="zh-CN"/>
        </w:rPr>
        <w:t>月</w:t>
      </w:r>
      <w:r w:rsidR="008D76BF">
        <w:rPr>
          <w:rFonts w:eastAsia="SimSun" w:hAnsi="SimSun"/>
          <w:sz w:val="24"/>
          <w:szCs w:val="24"/>
          <w:lang w:eastAsia="zh-CN"/>
        </w:rPr>
        <w:t>27</w:t>
      </w:r>
      <w:r>
        <w:rPr>
          <w:rFonts w:eastAsia="SimSun" w:hAnsi="SimSun" w:hint="eastAsia"/>
          <w:sz w:val="24"/>
          <w:szCs w:val="24"/>
          <w:lang w:eastAsia="zh-CN"/>
        </w:rPr>
        <w:t>日其</w:t>
      </w:r>
      <w:r w:rsidR="008D76BF">
        <w:rPr>
          <w:rFonts w:eastAsia="SimSun" w:hAnsi="SimSun" w:hint="eastAsia"/>
          <w:sz w:val="24"/>
          <w:szCs w:val="24"/>
          <w:lang w:eastAsia="zh-CN"/>
        </w:rPr>
        <w:t>第</w:t>
      </w:r>
      <w:r w:rsidR="008D76BF">
        <w:rPr>
          <w:rFonts w:eastAsia="SimSun" w:hAnsi="SimSun"/>
          <w:sz w:val="24"/>
          <w:szCs w:val="24"/>
          <w:lang w:eastAsia="zh-CN"/>
        </w:rPr>
        <w:t>13</w:t>
      </w:r>
      <w:r w:rsidR="008D76BF">
        <w:rPr>
          <w:rFonts w:eastAsia="SimSun" w:hAnsi="SimSun" w:hint="eastAsia"/>
          <w:sz w:val="24"/>
          <w:szCs w:val="24"/>
          <w:lang w:eastAsia="zh-CN"/>
        </w:rPr>
        <w:t>场会议上审议了主席提交的订正</w:t>
      </w:r>
      <w:r w:rsidR="00E17F8A">
        <w:rPr>
          <w:rFonts w:eastAsia="SimSun" w:hAnsi="SimSun" w:hint="eastAsia"/>
          <w:sz w:val="24"/>
          <w:szCs w:val="24"/>
          <w:lang w:eastAsia="zh-CN"/>
        </w:rPr>
        <w:t>决定草案</w:t>
      </w:r>
      <w:r w:rsidR="008D76BF">
        <w:rPr>
          <w:rFonts w:eastAsia="SimSun" w:hAnsi="SimSun" w:hint="eastAsia"/>
          <w:sz w:val="24"/>
          <w:szCs w:val="24"/>
          <w:lang w:eastAsia="zh-CN"/>
        </w:rPr>
        <w:t>。</w:t>
      </w:r>
    </w:p>
    <w:p w:rsidR="008D76BF" w:rsidRPr="00FE0455" w:rsidRDefault="00EA4BF6" w:rsidP="00750ECD">
      <w:pPr>
        <w:pStyle w:val="Para1"/>
        <w:numPr>
          <w:ilvl w:val="0"/>
          <w:numId w:val="9"/>
        </w:numPr>
        <w:tabs>
          <w:tab w:val="clear" w:pos="360"/>
          <w:tab w:val="left" w:pos="720"/>
        </w:tabs>
        <w:ind w:firstLine="0"/>
        <w:rPr>
          <w:rFonts w:eastAsia="Times New Roman"/>
          <w:sz w:val="24"/>
          <w:szCs w:val="24"/>
          <w:lang w:eastAsia="zh-CN"/>
        </w:rPr>
      </w:pPr>
      <w:r>
        <w:rPr>
          <w:rFonts w:eastAsia="SimSun" w:hAnsi="SimSun" w:hint="eastAsia"/>
          <w:sz w:val="24"/>
          <w:szCs w:val="24"/>
          <w:lang w:eastAsia="zh-CN"/>
        </w:rPr>
        <w:t>下列国家代表</w:t>
      </w:r>
      <w:r w:rsidR="006952B0">
        <w:rPr>
          <w:rFonts w:eastAsia="SimSun" w:hAnsi="SimSun" w:hint="eastAsia"/>
          <w:sz w:val="24"/>
          <w:szCs w:val="24"/>
          <w:lang w:eastAsia="zh-CN"/>
        </w:rPr>
        <w:t>作了发言</w:t>
      </w:r>
      <w:r w:rsidR="008D76BF">
        <w:rPr>
          <w:rFonts w:eastAsia="SimSun" w:hAnsi="SimSun" w:hint="eastAsia"/>
          <w:sz w:val="24"/>
          <w:szCs w:val="24"/>
          <w:lang w:eastAsia="zh-CN"/>
        </w:rPr>
        <w:t>：</w:t>
      </w:r>
      <w:r w:rsidR="008D76BF" w:rsidRPr="0078120D">
        <w:rPr>
          <w:rFonts w:eastAsia="SimSun" w:hAnsi="SimSun" w:hint="eastAsia"/>
          <w:sz w:val="24"/>
          <w:szCs w:val="24"/>
          <w:lang w:eastAsia="zh-CN"/>
        </w:rPr>
        <w:t>巴西、哥伦比亚、刚果、欧洲联盟、日本、马来西亚（代表观点相同的生物多样性大国集团）、墨西哥、大韩民国、瑞士和乌干达（代表非洲国家集团）</w:t>
      </w:r>
      <w:r w:rsidR="008D76BF">
        <w:rPr>
          <w:rFonts w:eastAsia="SimSun" w:hAnsi="SimSun" w:hint="eastAsia"/>
          <w:sz w:val="24"/>
          <w:szCs w:val="24"/>
          <w:lang w:eastAsia="zh-CN"/>
        </w:rPr>
        <w:t>。</w:t>
      </w:r>
    </w:p>
    <w:p w:rsidR="008D76BF" w:rsidRPr="00B70440" w:rsidRDefault="008D76BF" w:rsidP="00750ECD">
      <w:pPr>
        <w:pStyle w:val="Para1"/>
        <w:numPr>
          <w:ilvl w:val="0"/>
          <w:numId w:val="9"/>
        </w:numPr>
        <w:tabs>
          <w:tab w:val="clear" w:pos="360"/>
          <w:tab w:val="left" w:pos="720"/>
        </w:tabs>
        <w:ind w:firstLine="0"/>
        <w:rPr>
          <w:rFonts w:hAnsi="SimSun"/>
          <w:sz w:val="24"/>
          <w:szCs w:val="24"/>
          <w:lang w:eastAsia="zh-CN"/>
        </w:rPr>
      </w:pPr>
      <w:r w:rsidRPr="00FE0455">
        <w:rPr>
          <w:rFonts w:eastAsia="SimSun" w:hAnsi="SimSun" w:hint="eastAsia"/>
          <w:sz w:val="24"/>
          <w:szCs w:val="24"/>
          <w:lang w:eastAsia="zh-CN"/>
        </w:rPr>
        <w:t>经</w:t>
      </w:r>
      <w:r>
        <w:rPr>
          <w:rFonts w:eastAsia="SimSun" w:hAnsi="SimSun" w:hint="eastAsia"/>
          <w:sz w:val="24"/>
          <w:szCs w:val="24"/>
          <w:lang w:eastAsia="zh-CN"/>
        </w:rPr>
        <w:t>协商和进一步</w:t>
      </w:r>
      <w:r w:rsidRPr="00FE0455">
        <w:rPr>
          <w:rFonts w:eastAsia="SimSun" w:hAnsi="SimSun" w:hint="eastAsia"/>
          <w:sz w:val="24"/>
          <w:szCs w:val="24"/>
          <w:lang w:eastAsia="zh-CN"/>
        </w:rPr>
        <w:t>交换意见后，工作组核准了</w:t>
      </w:r>
      <w:r>
        <w:rPr>
          <w:rFonts w:eastAsia="SimSun" w:hAnsi="SimSun" w:hint="eastAsia"/>
          <w:sz w:val="24"/>
          <w:szCs w:val="24"/>
          <w:lang w:eastAsia="zh-CN"/>
        </w:rPr>
        <w:t>经口头修订的</w:t>
      </w:r>
      <w:r w:rsidRPr="00FE0455">
        <w:rPr>
          <w:rFonts w:eastAsia="SimSun" w:hAnsi="SimSun" w:hint="eastAsia"/>
          <w:sz w:val="24"/>
          <w:szCs w:val="24"/>
          <w:lang w:eastAsia="zh-CN"/>
        </w:rPr>
        <w:t>订正决定草案，作为决定草案</w:t>
      </w:r>
      <w:r w:rsidRPr="00FE0455">
        <w:rPr>
          <w:rFonts w:eastAsia="SimSun"/>
          <w:sz w:val="24"/>
          <w:szCs w:val="24"/>
          <w:lang w:eastAsia="zh-CN"/>
        </w:rPr>
        <w:t>CBD/COP/14/L.</w:t>
      </w:r>
      <w:r>
        <w:rPr>
          <w:rFonts w:eastAsia="SimSun"/>
          <w:sz w:val="24"/>
          <w:szCs w:val="24"/>
          <w:lang w:eastAsia="zh-CN"/>
        </w:rPr>
        <w:t>36</w:t>
      </w:r>
      <w:r w:rsidRPr="00FE0455">
        <w:rPr>
          <w:rFonts w:eastAsia="SimSun" w:hAnsi="SimSun" w:hint="eastAsia"/>
          <w:sz w:val="24"/>
          <w:szCs w:val="24"/>
          <w:lang w:eastAsia="zh-CN"/>
        </w:rPr>
        <w:t>转交全体会议</w:t>
      </w:r>
      <w:r>
        <w:rPr>
          <w:rFonts w:eastAsia="SimSun" w:hAnsi="SimSun" w:hint="eastAsia"/>
          <w:sz w:val="24"/>
          <w:szCs w:val="24"/>
          <w:lang w:eastAsia="zh-CN"/>
        </w:rPr>
        <w:t>。</w:t>
      </w:r>
    </w:p>
    <w:p w:rsidR="001E0C32" w:rsidRPr="009F03D0" w:rsidRDefault="009F03D0" w:rsidP="009F03D0">
      <w:pPr>
        <w:pStyle w:val="Para1"/>
        <w:numPr>
          <w:ilvl w:val="0"/>
          <w:numId w:val="9"/>
        </w:numPr>
        <w:tabs>
          <w:tab w:val="clear" w:pos="360"/>
          <w:tab w:val="left" w:pos="720"/>
        </w:tabs>
        <w:ind w:firstLine="0"/>
        <w:rPr>
          <w:rFonts w:eastAsia="SimSun" w:hAnsi="SimSun"/>
          <w:sz w:val="24"/>
          <w:szCs w:val="24"/>
          <w:lang w:eastAsia="zh-CN"/>
        </w:rPr>
      </w:pPr>
      <w:r w:rsidRPr="009F03D0">
        <w:rPr>
          <w:rFonts w:eastAsia="SimSun" w:hAnsi="SimSun" w:hint="eastAsia"/>
          <w:sz w:val="24"/>
          <w:szCs w:val="24"/>
          <w:lang w:eastAsia="zh-CN"/>
        </w:rPr>
        <w:t>在</w:t>
      </w:r>
      <w:r w:rsidRPr="009F03D0">
        <w:rPr>
          <w:rFonts w:eastAsia="SimSun" w:hAnsi="SimSun"/>
          <w:sz w:val="24"/>
          <w:szCs w:val="24"/>
          <w:lang w:eastAsia="zh-CN"/>
        </w:rPr>
        <w:t>2018</w:t>
      </w:r>
      <w:r w:rsidRPr="009F03D0">
        <w:rPr>
          <w:rFonts w:eastAsia="SimSun" w:hAnsi="SimSun" w:hint="eastAsia"/>
          <w:sz w:val="24"/>
          <w:szCs w:val="24"/>
          <w:lang w:eastAsia="zh-CN"/>
        </w:rPr>
        <w:t>年</w:t>
      </w:r>
      <w:r w:rsidRPr="009F03D0">
        <w:rPr>
          <w:rFonts w:eastAsia="SimSun" w:hAnsi="SimSun"/>
          <w:sz w:val="24"/>
          <w:szCs w:val="24"/>
          <w:lang w:eastAsia="zh-CN"/>
        </w:rPr>
        <w:t>11</w:t>
      </w:r>
      <w:r w:rsidRPr="009F03D0">
        <w:rPr>
          <w:rFonts w:eastAsia="SimSun" w:hAnsi="SimSun" w:hint="eastAsia"/>
          <w:sz w:val="24"/>
          <w:szCs w:val="24"/>
          <w:lang w:eastAsia="zh-CN"/>
        </w:rPr>
        <w:t>月</w:t>
      </w:r>
      <w:r w:rsidRPr="009F03D0">
        <w:rPr>
          <w:rFonts w:eastAsia="SimSun" w:hAnsi="SimSun"/>
          <w:sz w:val="24"/>
          <w:szCs w:val="24"/>
          <w:lang w:eastAsia="zh-CN"/>
        </w:rPr>
        <w:t>28</w:t>
      </w:r>
      <w:r w:rsidR="00363A11">
        <w:rPr>
          <w:rFonts w:eastAsia="SimSun" w:hAnsi="SimSun" w:hint="eastAsia"/>
          <w:sz w:val="24"/>
          <w:szCs w:val="24"/>
          <w:lang w:eastAsia="zh-CN"/>
        </w:rPr>
        <w:t>日会议的</w:t>
      </w:r>
      <w:r w:rsidRPr="009F03D0">
        <w:rPr>
          <w:rFonts w:eastAsia="SimSun" w:hAnsi="SimSun" w:hint="eastAsia"/>
          <w:sz w:val="24"/>
          <w:szCs w:val="24"/>
          <w:lang w:eastAsia="zh-CN"/>
        </w:rPr>
        <w:t>第</w:t>
      </w:r>
      <w:r w:rsidRPr="009F03D0">
        <w:rPr>
          <w:rFonts w:eastAsia="SimSun" w:hAnsi="SimSun" w:hint="eastAsia"/>
          <w:sz w:val="24"/>
          <w:szCs w:val="24"/>
          <w:lang w:eastAsia="zh-CN"/>
        </w:rPr>
        <w:t>7</w:t>
      </w:r>
      <w:r w:rsidRPr="009F03D0">
        <w:rPr>
          <w:rFonts w:eastAsia="SimSun" w:hAnsi="SimSun" w:hint="eastAsia"/>
          <w:sz w:val="24"/>
          <w:szCs w:val="24"/>
          <w:lang w:eastAsia="zh-CN"/>
        </w:rPr>
        <w:t>次</w:t>
      </w:r>
      <w:r w:rsidRPr="009F03D0">
        <w:rPr>
          <w:rFonts w:eastAsia="SimSun" w:hAnsi="SimSun"/>
          <w:sz w:val="24"/>
          <w:szCs w:val="24"/>
          <w:lang w:eastAsia="zh-CN"/>
        </w:rPr>
        <w:t>全体会议</w:t>
      </w:r>
      <w:r w:rsidRPr="009F03D0">
        <w:rPr>
          <w:rFonts w:eastAsia="SimSun" w:hAnsi="SimSun" w:hint="eastAsia"/>
          <w:sz w:val="24"/>
          <w:szCs w:val="24"/>
          <w:lang w:eastAsia="zh-CN"/>
        </w:rPr>
        <w:t>上，缔约方大会</w:t>
      </w:r>
      <w:r w:rsidRPr="009F03D0">
        <w:rPr>
          <w:rFonts w:eastAsia="SimSun" w:hAnsi="SimSun"/>
          <w:sz w:val="24"/>
          <w:szCs w:val="24"/>
          <w:lang w:eastAsia="zh-CN"/>
        </w:rPr>
        <w:t>审议了</w:t>
      </w:r>
      <w:r w:rsidRPr="009F03D0">
        <w:rPr>
          <w:rFonts w:eastAsia="SimSun" w:hAnsi="SimSun"/>
          <w:sz w:val="24"/>
          <w:szCs w:val="24"/>
          <w:lang w:eastAsia="zh-CN"/>
        </w:rPr>
        <w:t xml:space="preserve"> CBD/COP/14/L.36</w:t>
      </w:r>
      <w:r w:rsidRPr="009F03D0">
        <w:rPr>
          <w:rFonts w:eastAsia="SimSun" w:hAnsi="SimSun" w:hint="eastAsia"/>
          <w:sz w:val="24"/>
          <w:szCs w:val="24"/>
          <w:lang w:eastAsia="zh-CN"/>
        </w:rPr>
        <w:t>。</w:t>
      </w:r>
    </w:p>
    <w:p w:rsidR="001E0C32" w:rsidRPr="001E0C32" w:rsidRDefault="009F03D0" w:rsidP="001E0C32">
      <w:pPr>
        <w:pStyle w:val="Para1"/>
        <w:numPr>
          <w:ilvl w:val="0"/>
          <w:numId w:val="9"/>
        </w:numPr>
        <w:tabs>
          <w:tab w:val="clear" w:pos="360"/>
          <w:tab w:val="left" w:pos="720"/>
        </w:tabs>
        <w:ind w:firstLine="0"/>
        <w:rPr>
          <w:rFonts w:eastAsia="SimSun" w:hAnsi="SimSun"/>
          <w:sz w:val="24"/>
          <w:szCs w:val="24"/>
          <w:lang w:eastAsia="zh-CN"/>
        </w:rPr>
      </w:pPr>
      <w:r>
        <w:rPr>
          <w:rFonts w:eastAsia="SimSun" w:hAnsi="SimSun" w:hint="eastAsia"/>
          <w:sz w:val="24"/>
          <w:szCs w:val="24"/>
          <w:lang w:eastAsia="zh-CN"/>
        </w:rPr>
        <w:t>欧洲联盟</w:t>
      </w:r>
      <w:r>
        <w:rPr>
          <w:rFonts w:eastAsia="SimSun" w:hAnsi="SimSun"/>
          <w:sz w:val="24"/>
          <w:szCs w:val="24"/>
          <w:lang w:eastAsia="zh-CN"/>
        </w:rPr>
        <w:t>及其</w:t>
      </w:r>
      <w:r>
        <w:rPr>
          <w:rFonts w:eastAsia="SimSun" w:hAnsi="SimSun" w:hint="eastAsia"/>
          <w:sz w:val="24"/>
          <w:szCs w:val="24"/>
          <w:lang w:eastAsia="zh-CN"/>
        </w:rPr>
        <w:t>28</w:t>
      </w:r>
      <w:r>
        <w:rPr>
          <w:rFonts w:eastAsia="SimSun" w:hAnsi="SimSun" w:hint="eastAsia"/>
          <w:sz w:val="24"/>
          <w:szCs w:val="24"/>
          <w:lang w:eastAsia="zh-CN"/>
        </w:rPr>
        <w:t>个成员国</w:t>
      </w:r>
      <w:r>
        <w:rPr>
          <w:rFonts w:eastAsia="SimSun" w:hAnsi="SimSun"/>
          <w:sz w:val="24"/>
          <w:szCs w:val="24"/>
          <w:lang w:eastAsia="zh-CN"/>
        </w:rPr>
        <w:t>的代表作了发言。</w:t>
      </w:r>
    </w:p>
    <w:p w:rsidR="009F03D0" w:rsidRPr="009F03D0" w:rsidRDefault="009F03D0" w:rsidP="001E0C32">
      <w:pPr>
        <w:pStyle w:val="Para1"/>
        <w:numPr>
          <w:ilvl w:val="0"/>
          <w:numId w:val="9"/>
        </w:numPr>
        <w:tabs>
          <w:tab w:val="clear" w:pos="360"/>
          <w:tab w:val="left" w:pos="720"/>
        </w:tabs>
        <w:ind w:firstLine="0"/>
        <w:rPr>
          <w:rFonts w:eastAsia="SimSun" w:hAnsi="SimSun"/>
          <w:sz w:val="24"/>
          <w:szCs w:val="24"/>
          <w:lang w:eastAsia="zh-CN"/>
        </w:rPr>
      </w:pPr>
      <w:r w:rsidRPr="001E0C32">
        <w:rPr>
          <w:rFonts w:eastAsia="Times New Roman" w:hAnsi="SimSun"/>
          <w:sz w:val="24"/>
          <w:lang w:eastAsia="zh-CN"/>
        </w:rPr>
        <w:t>缔约方大会</w:t>
      </w:r>
      <w:r w:rsidRPr="001E0C32">
        <w:rPr>
          <w:rFonts w:eastAsiaTheme="minorEastAsia" w:hAnsi="SimSun" w:hint="eastAsia"/>
          <w:sz w:val="24"/>
          <w:lang w:eastAsia="zh-CN"/>
        </w:rPr>
        <w:t>通过</w:t>
      </w:r>
      <w:r w:rsidRPr="001E0C32">
        <w:rPr>
          <w:rFonts w:eastAsiaTheme="minorEastAsia" w:hAnsi="SimSun"/>
          <w:sz w:val="24"/>
          <w:lang w:eastAsia="zh-CN"/>
        </w:rPr>
        <w:t>了</w:t>
      </w:r>
      <w:r>
        <w:rPr>
          <w:rFonts w:eastAsiaTheme="minorEastAsia" w:hAnsi="SimSun" w:hint="eastAsia"/>
          <w:sz w:val="24"/>
          <w:lang w:eastAsia="zh-CN"/>
        </w:rPr>
        <w:t>经口头修正</w:t>
      </w:r>
      <w:r>
        <w:rPr>
          <w:rFonts w:eastAsiaTheme="minorEastAsia" w:hAnsi="SimSun"/>
          <w:sz w:val="24"/>
          <w:lang w:eastAsia="zh-CN"/>
        </w:rPr>
        <w:t>的</w:t>
      </w:r>
      <w:r w:rsidRPr="001E0C32">
        <w:rPr>
          <w:rFonts w:eastAsiaTheme="minorEastAsia" w:hAnsi="SimSun"/>
          <w:sz w:val="24"/>
          <w:lang w:eastAsia="zh-CN"/>
        </w:rPr>
        <w:t>决定草案</w:t>
      </w:r>
      <w:r w:rsidRPr="001E0C32">
        <w:rPr>
          <w:rFonts w:eastAsia="Times New Roman" w:hAnsi="SimSun"/>
          <w:sz w:val="24"/>
          <w:lang w:eastAsia="zh-CN"/>
        </w:rPr>
        <w:t>CBD/COP/14/L.</w:t>
      </w:r>
      <w:r>
        <w:rPr>
          <w:rFonts w:eastAsia="Times New Roman" w:hAnsi="SimSun"/>
          <w:sz w:val="24"/>
          <w:lang w:eastAsia="zh-CN"/>
        </w:rPr>
        <w:t>36</w:t>
      </w:r>
      <w:r w:rsidRPr="001E0C32">
        <w:rPr>
          <w:rFonts w:eastAsiaTheme="minorEastAsia" w:hAnsi="SimSun" w:hint="eastAsia"/>
          <w:sz w:val="24"/>
          <w:lang w:eastAsia="zh-CN"/>
        </w:rPr>
        <w:t>，</w:t>
      </w:r>
      <w:r w:rsidRPr="001E0C32">
        <w:rPr>
          <w:rFonts w:eastAsiaTheme="minorEastAsia" w:hAnsi="SimSun"/>
          <w:sz w:val="24"/>
          <w:lang w:eastAsia="zh-CN"/>
        </w:rPr>
        <w:t>成为第</w:t>
      </w:r>
      <w:r w:rsidRPr="001E0C32">
        <w:rPr>
          <w:rFonts w:eastAsia="Times New Roman" w:hAnsi="SimSun"/>
          <w:sz w:val="24"/>
          <w:lang w:eastAsia="zh-CN"/>
        </w:rPr>
        <w:t>14/</w:t>
      </w:r>
      <w:r>
        <w:rPr>
          <w:rFonts w:eastAsia="Times New Roman" w:hAnsi="SimSun"/>
          <w:sz w:val="24"/>
          <w:lang w:eastAsia="zh-CN"/>
        </w:rPr>
        <w:t>20</w:t>
      </w:r>
      <w:r w:rsidRPr="001E0C32">
        <w:rPr>
          <w:rFonts w:eastAsiaTheme="minorEastAsia" w:hAnsi="SimSun" w:hint="eastAsia"/>
          <w:sz w:val="24"/>
          <w:lang w:eastAsia="zh-CN"/>
        </w:rPr>
        <w:t>号决定</w:t>
      </w:r>
      <w:r w:rsidRPr="001E0C32">
        <w:rPr>
          <w:rFonts w:eastAsiaTheme="minorEastAsia" w:hAnsi="SimSun"/>
          <w:sz w:val="24"/>
          <w:lang w:eastAsia="zh-CN"/>
        </w:rPr>
        <w:t>（案文见第一章）。</w:t>
      </w:r>
    </w:p>
    <w:p w:rsidR="008D76BF" w:rsidRPr="00E63AA3" w:rsidRDefault="008D76BF" w:rsidP="00E63AA3">
      <w:pPr>
        <w:pStyle w:val="Heading1"/>
        <w:spacing w:before="120" w:after="120"/>
        <w:ind w:firstLine="0"/>
        <w:rPr>
          <w:sz w:val="24"/>
          <w:lang w:val="en-CA" w:eastAsia="zh-CN"/>
        </w:rPr>
      </w:pPr>
      <w:bookmarkStart w:id="278" w:name="_Toc6243827"/>
      <w:r w:rsidRPr="00E63AA3">
        <w:rPr>
          <w:rFonts w:hint="eastAsia"/>
          <w:sz w:val="24"/>
          <w:lang w:val="en-CA" w:eastAsia="zh-CN"/>
        </w:rPr>
        <w:t>项目</w:t>
      </w:r>
      <w:r w:rsidRPr="00E63AA3">
        <w:rPr>
          <w:sz w:val="24"/>
          <w:lang w:val="en-CA" w:eastAsia="zh-CN"/>
        </w:rPr>
        <w:t xml:space="preserve">19.   </w:t>
      </w:r>
      <w:r w:rsidR="00366699" w:rsidRPr="00E63AA3">
        <w:rPr>
          <w:sz w:val="24"/>
          <w:lang w:val="en-CA" w:eastAsia="zh-CN"/>
        </w:rPr>
        <w:t xml:space="preserve">   </w:t>
      </w:r>
      <w:r w:rsidRPr="00E63AA3">
        <w:rPr>
          <w:rFonts w:hint="eastAsia"/>
          <w:sz w:val="24"/>
          <w:lang w:val="en-CA" w:eastAsia="zh-CN"/>
        </w:rPr>
        <w:t>第</w:t>
      </w:r>
      <w:r w:rsidRPr="00E63AA3">
        <w:rPr>
          <w:sz w:val="24"/>
          <w:lang w:val="en-CA" w:eastAsia="zh-CN"/>
        </w:rPr>
        <w:t>8(j)</w:t>
      </w:r>
      <w:r w:rsidRPr="00E63AA3">
        <w:rPr>
          <w:rFonts w:hint="eastAsia"/>
          <w:sz w:val="24"/>
          <w:lang w:val="en-CA" w:eastAsia="zh-CN"/>
        </w:rPr>
        <w:t>条和相关条款</w:t>
      </w:r>
      <w:bookmarkEnd w:id="278"/>
    </w:p>
    <w:p w:rsidR="008D76BF" w:rsidRPr="00BF657D"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第二工作组</w:t>
      </w:r>
      <w:r w:rsidR="008D76BF" w:rsidRPr="00BF657D">
        <w:rPr>
          <w:rFonts w:ascii="SimSun" w:eastAsia="SimSun" w:hAnsi="SimSun" w:cs="SimSun" w:hint="eastAsia"/>
          <w:sz w:val="24"/>
          <w:szCs w:val="24"/>
          <w:lang w:eastAsia="zh-CN"/>
        </w:rPr>
        <w:t>在</w:t>
      </w:r>
      <w:r w:rsidR="008D76BF" w:rsidRPr="00BF657D">
        <w:rPr>
          <w:rFonts w:hAnsi="SimSun"/>
          <w:sz w:val="24"/>
          <w:szCs w:val="24"/>
          <w:lang w:eastAsia="zh-CN"/>
        </w:rPr>
        <w:t>2018</w:t>
      </w:r>
      <w:r w:rsidR="008D76BF" w:rsidRPr="00BF657D">
        <w:rPr>
          <w:rFonts w:ascii="SimSun" w:eastAsia="SimSun" w:hAnsi="SimSun" w:cs="SimSun" w:hint="eastAsia"/>
          <w:sz w:val="24"/>
          <w:szCs w:val="24"/>
          <w:lang w:eastAsia="zh-CN"/>
        </w:rPr>
        <w:t>年</w:t>
      </w:r>
      <w:r w:rsidR="008D76BF" w:rsidRPr="00BF657D">
        <w:rPr>
          <w:rFonts w:hAnsi="SimSun"/>
          <w:sz w:val="24"/>
          <w:szCs w:val="24"/>
          <w:lang w:eastAsia="zh-CN"/>
        </w:rPr>
        <w:t>11</w:t>
      </w:r>
      <w:r w:rsidR="008D76BF" w:rsidRPr="00BF657D">
        <w:rPr>
          <w:rFonts w:ascii="SimSun" w:eastAsia="SimSun" w:hAnsi="SimSun" w:cs="SimSun" w:hint="eastAsia"/>
          <w:sz w:val="24"/>
          <w:szCs w:val="24"/>
          <w:lang w:eastAsia="zh-CN"/>
        </w:rPr>
        <w:t>月</w:t>
      </w:r>
      <w:r w:rsidR="008D76BF" w:rsidRPr="00BF657D">
        <w:rPr>
          <w:rFonts w:hAnsi="SimSun"/>
          <w:sz w:val="24"/>
          <w:szCs w:val="24"/>
          <w:lang w:eastAsia="zh-CN"/>
        </w:rPr>
        <w:t>20</w:t>
      </w:r>
      <w:r w:rsidR="008D76BF" w:rsidRPr="00BF657D">
        <w:rPr>
          <w:rFonts w:ascii="SimSun" w:eastAsia="SimSun" w:hAnsi="SimSun" w:cs="SimSun" w:hint="eastAsia"/>
          <w:sz w:val="24"/>
          <w:szCs w:val="24"/>
          <w:lang w:eastAsia="zh-CN"/>
        </w:rPr>
        <w:t>日</w:t>
      </w:r>
      <w:r w:rsidR="009F03D0">
        <w:rPr>
          <w:rFonts w:ascii="SimSun" w:eastAsia="SimSun" w:hAnsi="SimSun" w:cs="SimSun" w:hint="eastAsia"/>
          <w:sz w:val="24"/>
          <w:szCs w:val="24"/>
          <w:lang w:eastAsia="zh-CN"/>
        </w:rPr>
        <w:t>其</w:t>
      </w:r>
      <w:r w:rsidR="008D76BF" w:rsidRPr="00BF657D">
        <w:rPr>
          <w:rFonts w:ascii="SimSun" w:eastAsia="SimSun" w:hAnsi="SimSun" w:cs="SimSun" w:hint="eastAsia"/>
          <w:sz w:val="24"/>
          <w:szCs w:val="24"/>
          <w:lang w:eastAsia="zh-CN"/>
        </w:rPr>
        <w:t>第</w:t>
      </w:r>
      <w:r w:rsidR="008D76BF" w:rsidRPr="00BF657D">
        <w:rPr>
          <w:rFonts w:hAnsi="SimSun"/>
          <w:sz w:val="24"/>
          <w:szCs w:val="24"/>
          <w:lang w:eastAsia="zh-CN"/>
        </w:rPr>
        <w:t>5</w:t>
      </w:r>
      <w:r w:rsidR="009F03D0">
        <w:rPr>
          <w:rFonts w:ascii="SimSun" w:eastAsia="SimSun" w:hAnsi="SimSun" w:cs="SimSun" w:hint="eastAsia"/>
          <w:sz w:val="24"/>
          <w:szCs w:val="24"/>
          <w:lang w:eastAsia="zh-CN"/>
        </w:rPr>
        <w:t>次会议</w:t>
      </w:r>
      <w:r w:rsidR="008D76BF" w:rsidRPr="00BF657D">
        <w:rPr>
          <w:rFonts w:ascii="SimSun" w:eastAsia="SimSun" w:hAnsi="SimSun" w:cs="SimSun" w:hint="eastAsia"/>
          <w:sz w:val="24"/>
          <w:szCs w:val="24"/>
          <w:lang w:eastAsia="zh-CN"/>
        </w:rPr>
        <w:t>上审议了议程项目</w:t>
      </w:r>
      <w:r w:rsidR="008D76BF" w:rsidRPr="00BF657D">
        <w:rPr>
          <w:rFonts w:hAnsi="SimSun"/>
          <w:sz w:val="24"/>
          <w:szCs w:val="24"/>
          <w:lang w:eastAsia="zh-CN"/>
        </w:rPr>
        <w:t>19</w:t>
      </w:r>
      <w:r w:rsidR="008D76BF" w:rsidRPr="00BF657D">
        <w:rPr>
          <w:rFonts w:ascii="SimSun" w:eastAsia="SimSun" w:hAnsi="SimSun" w:cs="SimSun" w:hint="eastAsia"/>
          <w:sz w:val="24"/>
          <w:szCs w:val="24"/>
          <w:lang w:eastAsia="zh-CN"/>
        </w:rPr>
        <w:t>，该项目有</w:t>
      </w:r>
      <w:r w:rsidR="008D76BF" w:rsidRPr="00BF657D">
        <w:rPr>
          <w:rFonts w:hAnsi="SimSun"/>
          <w:sz w:val="24"/>
          <w:szCs w:val="24"/>
          <w:lang w:eastAsia="zh-CN"/>
        </w:rPr>
        <w:t>3</w:t>
      </w:r>
      <w:r w:rsidR="008D76BF" w:rsidRPr="00BF657D">
        <w:rPr>
          <w:rFonts w:ascii="SimSun" w:eastAsia="SimSun" w:hAnsi="SimSun" w:cs="SimSun" w:hint="eastAsia"/>
          <w:sz w:val="24"/>
          <w:szCs w:val="24"/>
          <w:lang w:eastAsia="zh-CN"/>
        </w:rPr>
        <w:t>个分项目。</w:t>
      </w:r>
    </w:p>
    <w:p w:rsidR="008D76BF" w:rsidRPr="00BF657D" w:rsidRDefault="008D76BF" w:rsidP="00750ECD">
      <w:pPr>
        <w:pStyle w:val="Para1"/>
        <w:numPr>
          <w:ilvl w:val="0"/>
          <w:numId w:val="9"/>
        </w:numPr>
        <w:tabs>
          <w:tab w:val="clear" w:pos="360"/>
          <w:tab w:val="left" w:pos="720"/>
        </w:tabs>
        <w:ind w:firstLine="0"/>
        <w:rPr>
          <w:rFonts w:hAnsi="SimSun"/>
          <w:sz w:val="24"/>
          <w:szCs w:val="24"/>
          <w:lang w:eastAsia="zh-CN"/>
        </w:rPr>
      </w:pPr>
      <w:r w:rsidRPr="00BF657D">
        <w:rPr>
          <w:rFonts w:ascii="SimSun" w:eastAsia="SimSun" w:hAnsi="SimSun" w:cs="SimSun" w:hint="eastAsia"/>
          <w:sz w:val="24"/>
          <w:szCs w:val="24"/>
          <w:lang w:eastAsia="zh-CN"/>
        </w:rPr>
        <w:t>在审议该项目时，工作组收到了下列决定草案：</w:t>
      </w:r>
      <w:r w:rsidR="00353F85" w:rsidRPr="00353F85">
        <w:rPr>
          <w:rFonts w:eastAsia="SimSun"/>
          <w:sz w:val="24"/>
          <w:szCs w:val="24"/>
          <w:lang w:eastAsia="zh-CN"/>
        </w:rPr>
        <w:t>(a)</w:t>
      </w:r>
      <w:r w:rsidR="00353F85">
        <w:rPr>
          <w:rFonts w:ascii="SimSun" w:eastAsia="SimSun" w:hAnsi="SimSun" w:cs="SimSun" w:hint="eastAsia"/>
          <w:sz w:val="24"/>
          <w:szCs w:val="24"/>
          <w:lang w:eastAsia="zh-CN"/>
        </w:rPr>
        <w:t xml:space="preserve"> </w:t>
      </w:r>
      <w:r w:rsidRPr="00BF657D">
        <w:rPr>
          <w:rFonts w:ascii="SimSun" w:eastAsia="SimSun" w:hAnsi="SimSun" w:cs="SimSun" w:hint="eastAsia"/>
          <w:sz w:val="24"/>
          <w:szCs w:val="24"/>
          <w:lang w:eastAsia="zh-CN"/>
        </w:rPr>
        <w:t>关于返还与保护和可持续利用生物多样性相关传统知识的《卢佐利希里沙希克自愿准则》分项目的决定草案，其依据了</w:t>
      </w:r>
      <w:r w:rsidRPr="00BF657D">
        <w:rPr>
          <w:rFonts w:hAnsi="SimSun"/>
          <w:sz w:val="24"/>
          <w:szCs w:val="24"/>
          <w:lang w:eastAsia="zh-CN"/>
        </w:rPr>
        <w:t>WG8J-10/1</w:t>
      </w:r>
      <w:r w:rsidRPr="00BF657D">
        <w:rPr>
          <w:rFonts w:ascii="SimSun" w:eastAsia="SimSun" w:hAnsi="SimSun" w:cs="SimSun" w:hint="eastAsia"/>
          <w:sz w:val="24"/>
          <w:szCs w:val="24"/>
          <w:lang w:eastAsia="zh-CN"/>
        </w:rPr>
        <w:t>号建议；</w:t>
      </w:r>
      <w:r w:rsidR="00353F85" w:rsidRPr="00353F85">
        <w:rPr>
          <w:rFonts w:eastAsia="SimSun"/>
          <w:sz w:val="24"/>
          <w:szCs w:val="24"/>
          <w:lang w:eastAsia="zh-CN"/>
        </w:rPr>
        <w:t>(b)</w:t>
      </w:r>
      <w:r w:rsidR="00353F85">
        <w:rPr>
          <w:rFonts w:ascii="SimSun" w:eastAsia="SimSun" w:hAnsi="SimSun" w:cs="SimSun" w:hint="eastAsia"/>
          <w:sz w:val="24"/>
          <w:szCs w:val="24"/>
          <w:lang w:eastAsia="zh-CN"/>
        </w:rPr>
        <w:t xml:space="preserve"> </w:t>
      </w:r>
      <w:r w:rsidRPr="00BF657D">
        <w:rPr>
          <w:rFonts w:ascii="SimSun" w:eastAsia="SimSun" w:hAnsi="SimSun" w:cs="SimSun" w:hint="eastAsia"/>
          <w:sz w:val="24"/>
          <w:szCs w:val="24"/>
          <w:lang w:eastAsia="zh-CN"/>
        </w:rPr>
        <w:t>关于第</w:t>
      </w:r>
      <w:r w:rsidRPr="00BF657D">
        <w:rPr>
          <w:rFonts w:hAnsi="SimSun"/>
          <w:sz w:val="24"/>
          <w:szCs w:val="24"/>
          <w:lang w:eastAsia="zh-CN"/>
        </w:rPr>
        <w:t>8(j)</w:t>
      </w:r>
      <w:r w:rsidRPr="00BF657D">
        <w:rPr>
          <w:rFonts w:ascii="SimSun" w:eastAsia="SimSun" w:hAnsi="SimSun" w:cs="SimSun" w:hint="eastAsia"/>
          <w:sz w:val="24"/>
          <w:szCs w:val="24"/>
          <w:lang w:eastAsia="zh-CN"/>
        </w:rPr>
        <w:t>条和相关条款范围内使用的有关关键术语和概念词汇表分项目的决定草案，其依据了</w:t>
      </w:r>
      <w:r w:rsidRPr="00BF657D">
        <w:rPr>
          <w:rFonts w:hAnsi="SimSun"/>
          <w:sz w:val="24"/>
          <w:szCs w:val="24"/>
          <w:lang w:eastAsia="zh-CN"/>
        </w:rPr>
        <w:t>WG8J-10/2</w:t>
      </w:r>
      <w:r w:rsidRPr="00BF657D">
        <w:rPr>
          <w:rFonts w:ascii="SimSun" w:eastAsia="SimSun" w:hAnsi="SimSun" w:cs="SimSun" w:hint="eastAsia"/>
          <w:sz w:val="24"/>
          <w:szCs w:val="24"/>
          <w:lang w:eastAsia="zh-CN"/>
        </w:rPr>
        <w:t>号建议；以及</w:t>
      </w:r>
      <w:r w:rsidR="00353F85" w:rsidRPr="00353F85">
        <w:rPr>
          <w:rFonts w:eastAsia="SimSun"/>
          <w:sz w:val="24"/>
          <w:szCs w:val="24"/>
          <w:lang w:eastAsia="zh-CN"/>
        </w:rPr>
        <w:t>(c)</w:t>
      </w:r>
      <w:r w:rsidR="00353F85">
        <w:rPr>
          <w:rFonts w:ascii="SimSun" w:eastAsia="SimSun" w:hAnsi="SimSun" w:cs="SimSun" w:hint="eastAsia"/>
          <w:sz w:val="24"/>
          <w:szCs w:val="24"/>
          <w:lang w:eastAsia="zh-CN"/>
        </w:rPr>
        <w:t xml:space="preserve"> </w:t>
      </w:r>
      <w:r w:rsidRPr="00BF657D">
        <w:rPr>
          <w:rFonts w:ascii="SimSun" w:eastAsia="SimSun" w:hAnsi="SimSun" w:cs="SimSun" w:hint="eastAsia"/>
          <w:sz w:val="24"/>
          <w:szCs w:val="24"/>
          <w:lang w:eastAsia="zh-CN"/>
        </w:rPr>
        <w:t>关于与第</w:t>
      </w:r>
      <w:r w:rsidRPr="00BF657D">
        <w:rPr>
          <w:rFonts w:hAnsi="SimSun"/>
          <w:sz w:val="24"/>
          <w:szCs w:val="24"/>
          <w:lang w:eastAsia="zh-CN"/>
        </w:rPr>
        <w:t>8</w:t>
      </w:r>
      <w:r w:rsidR="00353F85">
        <w:rPr>
          <w:rFonts w:hAnsi="SimSun"/>
          <w:sz w:val="24"/>
          <w:szCs w:val="24"/>
          <w:lang w:eastAsia="zh-CN"/>
        </w:rPr>
        <w:t>(</w:t>
      </w:r>
      <w:r w:rsidRPr="00BF657D">
        <w:rPr>
          <w:rFonts w:hAnsi="SimSun"/>
          <w:sz w:val="24"/>
          <w:szCs w:val="24"/>
          <w:lang w:eastAsia="zh-CN"/>
        </w:rPr>
        <w:t>j</w:t>
      </w:r>
      <w:r w:rsidR="00353F85">
        <w:rPr>
          <w:rFonts w:hAnsi="SimSun"/>
          <w:sz w:val="24"/>
          <w:szCs w:val="24"/>
          <w:lang w:eastAsia="zh-CN"/>
        </w:rPr>
        <w:t>)</w:t>
      </w:r>
      <w:r w:rsidRPr="00BF657D">
        <w:rPr>
          <w:rFonts w:ascii="SimSun" w:eastAsia="SimSun" w:hAnsi="SimSun" w:cs="SimSun" w:hint="eastAsia"/>
          <w:sz w:val="24"/>
          <w:szCs w:val="24"/>
          <w:lang w:eastAsia="zh-CN"/>
        </w:rPr>
        <w:t>条有关的其他事项的分项目的决定草案，其依据了关于专题领域和其他贯穿各领域问题</w:t>
      </w:r>
      <w:r w:rsidRPr="00BF657D">
        <w:rPr>
          <w:rFonts w:hAnsi="SimSun"/>
          <w:sz w:val="24"/>
          <w:szCs w:val="24"/>
          <w:lang w:eastAsia="zh-CN"/>
        </w:rPr>
        <w:t xml:space="preserve"> </w:t>
      </w:r>
      <w:r w:rsidRPr="00BF657D">
        <w:rPr>
          <w:rFonts w:ascii="SimSun" w:eastAsia="SimSun" w:hAnsi="SimSun" w:cs="SimSun" w:hint="eastAsia"/>
          <w:sz w:val="24"/>
          <w:szCs w:val="24"/>
          <w:lang w:eastAsia="zh-CN"/>
        </w:rPr>
        <w:t>深入对话的</w:t>
      </w:r>
      <w:r w:rsidRPr="00BF657D">
        <w:rPr>
          <w:rFonts w:hAnsi="SimSun"/>
          <w:sz w:val="24"/>
          <w:szCs w:val="24"/>
          <w:lang w:eastAsia="zh-CN"/>
        </w:rPr>
        <w:t>WG8J-</w:t>
      </w:r>
      <w:r w:rsidRPr="00BF657D">
        <w:rPr>
          <w:rFonts w:hAnsi="SimSun"/>
          <w:sz w:val="24"/>
          <w:szCs w:val="24"/>
          <w:lang w:eastAsia="zh-CN"/>
        </w:rPr>
        <w:lastRenderedPageBreak/>
        <w:t>10/5</w:t>
      </w:r>
      <w:r w:rsidRPr="00BF657D">
        <w:rPr>
          <w:rFonts w:ascii="SimSun" w:eastAsia="SimSun" w:hAnsi="SimSun" w:cs="SimSun" w:hint="eastAsia"/>
          <w:sz w:val="24"/>
          <w:szCs w:val="24"/>
          <w:lang w:eastAsia="zh-CN"/>
        </w:rPr>
        <w:t>号建议和关于联合国土著问题常设论坛的</w:t>
      </w:r>
      <w:r w:rsidRPr="00BF657D">
        <w:rPr>
          <w:rFonts w:hAnsi="SimSun"/>
          <w:sz w:val="24"/>
          <w:szCs w:val="24"/>
          <w:lang w:eastAsia="zh-CN"/>
        </w:rPr>
        <w:t>WG8J-10/6</w:t>
      </w:r>
      <w:r w:rsidRPr="00BF657D">
        <w:rPr>
          <w:rFonts w:ascii="SimSun" w:eastAsia="SimSun" w:hAnsi="SimSun" w:cs="SimSun" w:hint="eastAsia"/>
          <w:sz w:val="24"/>
          <w:szCs w:val="24"/>
          <w:lang w:eastAsia="zh-CN"/>
        </w:rPr>
        <w:t>号建议。这三项决定草案载于决定草案汇编（</w:t>
      </w:r>
      <w:r w:rsidRPr="00BF657D">
        <w:rPr>
          <w:rFonts w:hAnsi="SimSun"/>
          <w:sz w:val="24"/>
          <w:szCs w:val="24"/>
          <w:lang w:eastAsia="zh-CN"/>
        </w:rPr>
        <w:t>CBD/COP/14/2</w:t>
      </w:r>
      <w:r w:rsidRPr="00BF657D">
        <w:rPr>
          <w:rFonts w:ascii="SimSun" w:eastAsia="SimSun" w:hAnsi="SimSun" w:cs="SimSun" w:hint="eastAsia"/>
          <w:sz w:val="24"/>
          <w:szCs w:val="24"/>
          <w:lang w:eastAsia="zh-CN"/>
        </w:rPr>
        <w:t>）。</w:t>
      </w:r>
    </w:p>
    <w:p w:rsidR="008D76BF" w:rsidRPr="00BF657D" w:rsidRDefault="008D76BF" w:rsidP="00750ECD">
      <w:pPr>
        <w:pStyle w:val="Para1"/>
        <w:numPr>
          <w:ilvl w:val="0"/>
          <w:numId w:val="9"/>
        </w:numPr>
        <w:tabs>
          <w:tab w:val="clear" w:pos="360"/>
          <w:tab w:val="left" w:pos="720"/>
        </w:tabs>
        <w:ind w:firstLine="0"/>
        <w:rPr>
          <w:rFonts w:hAnsi="SimSun"/>
          <w:sz w:val="24"/>
          <w:szCs w:val="24"/>
          <w:lang w:eastAsia="zh-CN"/>
        </w:rPr>
      </w:pPr>
      <w:r w:rsidRPr="00BF657D">
        <w:rPr>
          <w:rFonts w:ascii="SimSun" w:eastAsia="SimSun" w:hAnsi="SimSun" w:cs="SimSun" w:hint="eastAsia"/>
          <w:sz w:val="24"/>
          <w:szCs w:val="24"/>
          <w:lang w:eastAsia="zh-CN"/>
        </w:rPr>
        <w:t>生物多样性问题国际土著论坛的代表</w:t>
      </w:r>
      <w:r w:rsidR="006952B0">
        <w:rPr>
          <w:rFonts w:ascii="SimSun" w:eastAsia="SimSun" w:hAnsi="SimSun" w:cs="SimSun" w:hint="eastAsia"/>
          <w:sz w:val="24"/>
          <w:szCs w:val="24"/>
          <w:lang w:eastAsia="zh-CN"/>
        </w:rPr>
        <w:t>作了发言</w:t>
      </w:r>
      <w:r w:rsidRPr="00BF657D">
        <w:rPr>
          <w:rFonts w:ascii="SimSun" w:eastAsia="SimSun" w:hAnsi="SimSun" w:cs="SimSun" w:hint="eastAsia"/>
          <w:sz w:val="24"/>
          <w:szCs w:val="24"/>
          <w:lang w:eastAsia="zh-CN"/>
        </w:rPr>
        <w:t>（得到了多民族玻利维亚国、加拿大、哥斯达黎加、欧洲联盟及其</w:t>
      </w:r>
      <w:r w:rsidRPr="00BF657D">
        <w:rPr>
          <w:rFonts w:hAnsi="SimSun"/>
          <w:sz w:val="24"/>
          <w:szCs w:val="24"/>
          <w:lang w:eastAsia="zh-CN"/>
        </w:rPr>
        <w:t>28</w:t>
      </w:r>
      <w:r w:rsidRPr="00BF657D">
        <w:rPr>
          <w:rFonts w:ascii="SimSun" w:eastAsia="SimSun" w:hAnsi="SimSun" w:cs="SimSun" w:hint="eastAsia"/>
          <w:sz w:val="24"/>
          <w:szCs w:val="24"/>
          <w:lang w:eastAsia="zh-CN"/>
        </w:rPr>
        <w:t>个成员国、危地马拉和墨西哥的支持）。</w:t>
      </w:r>
    </w:p>
    <w:p w:rsidR="008D76BF" w:rsidRPr="00BF657D" w:rsidRDefault="008D76BF" w:rsidP="00750ECD">
      <w:pPr>
        <w:pStyle w:val="Para1"/>
        <w:numPr>
          <w:ilvl w:val="0"/>
          <w:numId w:val="9"/>
        </w:numPr>
        <w:tabs>
          <w:tab w:val="clear" w:pos="360"/>
          <w:tab w:val="left" w:pos="720"/>
        </w:tabs>
        <w:ind w:firstLine="0"/>
        <w:rPr>
          <w:rFonts w:hAnsi="SimSun"/>
          <w:sz w:val="24"/>
          <w:szCs w:val="24"/>
          <w:lang w:eastAsia="zh-CN"/>
        </w:rPr>
      </w:pPr>
      <w:r w:rsidRPr="00BF657D">
        <w:rPr>
          <w:rFonts w:ascii="SimSun" w:eastAsia="SimSun" w:hAnsi="SimSun" w:cs="SimSun" w:hint="eastAsia"/>
          <w:sz w:val="24"/>
          <w:szCs w:val="24"/>
          <w:lang w:eastAsia="zh-CN"/>
        </w:rPr>
        <w:t>主席表示，她将就每个分项目编写决定草案，供工作组审议。</w:t>
      </w:r>
    </w:p>
    <w:p w:rsidR="008D76BF" w:rsidRPr="00194A89" w:rsidRDefault="008D76BF" w:rsidP="00194A89">
      <w:pPr>
        <w:pStyle w:val="Heading3"/>
        <w:ind w:firstLine="0"/>
        <w:jc w:val="left"/>
        <w:rPr>
          <w:rFonts w:eastAsiaTheme="minorEastAsia"/>
          <w:b/>
          <w:i w:val="0"/>
          <w:sz w:val="24"/>
          <w:lang w:eastAsia="zh-CN"/>
        </w:rPr>
      </w:pPr>
      <w:bookmarkStart w:id="279" w:name="_Toc6243828"/>
      <w:r w:rsidRPr="00194A89">
        <w:rPr>
          <w:rFonts w:eastAsiaTheme="minorEastAsia"/>
          <w:b/>
          <w:i w:val="0"/>
          <w:sz w:val="24"/>
          <w:lang w:eastAsia="zh-CN"/>
        </w:rPr>
        <w:t>与第</w:t>
      </w:r>
      <w:r w:rsidRPr="00194A89">
        <w:rPr>
          <w:rFonts w:eastAsiaTheme="minorEastAsia"/>
          <w:b/>
          <w:i w:val="0"/>
          <w:sz w:val="24"/>
          <w:lang w:eastAsia="zh-CN"/>
        </w:rPr>
        <w:t>8</w:t>
      </w:r>
      <w:r w:rsidR="00A434BF" w:rsidRPr="00194A89">
        <w:rPr>
          <w:rFonts w:eastAsiaTheme="minorEastAsia"/>
          <w:b/>
          <w:i w:val="0"/>
          <w:sz w:val="24"/>
          <w:lang w:eastAsia="zh-CN"/>
        </w:rPr>
        <w:t>(</w:t>
      </w:r>
      <w:r w:rsidRPr="00194A89">
        <w:rPr>
          <w:rFonts w:eastAsiaTheme="minorEastAsia"/>
          <w:b/>
          <w:i w:val="0"/>
          <w:sz w:val="24"/>
          <w:lang w:eastAsia="zh-CN"/>
        </w:rPr>
        <w:t>j</w:t>
      </w:r>
      <w:r w:rsidR="00A434BF" w:rsidRPr="00194A89">
        <w:rPr>
          <w:rFonts w:eastAsiaTheme="minorEastAsia"/>
          <w:b/>
          <w:i w:val="0"/>
          <w:sz w:val="24"/>
          <w:lang w:eastAsia="zh-CN"/>
        </w:rPr>
        <w:t>)</w:t>
      </w:r>
      <w:r w:rsidRPr="00194A89">
        <w:rPr>
          <w:rFonts w:eastAsiaTheme="minorEastAsia"/>
          <w:b/>
          <w:i w:val="0"/>
          <w:sz w:val="24"/>
          <w:lang w:eastAsia="zh-CN"/>
        </w:rPr>
        <w:t>条有关的其他事项</w:t>
      </w:r>
      <w:bookmarkEnd w:id="279"/>
    </w:p>
    <w:p w:rsidR="008D76BF" w:rsidRPr="00BF657D" w:rsidRDefault="0006774F" w:rsidP="00750ECD">
      <w:pPr>
        <w:pStyle w:val="Para1"/>
        <w:numPr>
          <w:ilvl w:val="0"/>
          <w:numId w:val="9"/>
        </w:numPr>
        <w:tabs>
          <w:tab w:val="clear" w:pos="360"/>
          <w:tab w:val="left" w:pos="720"/>
        </w:tabs>
        <w:ind w:firstLine="0"/>
        <w:rPr>
          <w:rFonts w:hAnsi="SimSun"/>
          <w:sz w:val="24"/>
          <w:szCs w:val="24"/>
          <w:lang w:eastAsia="zh-CN"/>
        </w:rPr>
      </w:pPr>
      <w:r>
        <w:rPr>
          <w:rFonts w:hAnsi="SimSun" w:hint="eastAsia"/>
          <w:sz w:val="24"/>
          <w:szCs w:val="24"/>
          <w:lang w:eastAsia="zh-CN"/>
        </w:rPr>
        <w:t>工作组</w:t>
      </w:r>
      <w:r w:rsidR="00363A11">
        <w:rPr>
          <w:rFonts w:hAnsi="SimSun" w:hint="eastAsia"/>
          <w:sz w:val="24"/>
          <w:szCs w:val="24"/>
          <w:lang w:eastAsia="zh-CN"/>
        </w:rPr>
        <w:t>在</w:t>
      </w:r>
      <w:r w:rsidR="008D76BF" w:rsidRPr="00BF657D">
        <w:rPr>
          <w:rFonts w:hAnsi="SimSun"/>
          <w:sz w:val="24"/>
          <w:szCs w:val="24"/>
          <w:lang w:eastAsia="zh-CN"/>
        </w:rPr>
        <w:t>2018</w:t>
      </w:r>
      <w:r w:rsidR="008D76BF" w:rsidRPr="00BF657D">
        <w:rPr>
          <w:rFonts w:ascii="SimSun" w:eastAsia="SimSun" w:hAnsi="SimSun" w:cs="SimSun" w:hint="eastAsia"/>
          <w:sz w:val="24"/>
          <w:szCs w:val="24"/>
          <w:lang w:eastAsia="zh-CN"/>
        </w:rPr>
        <w:t>年</w:t>
      </w:r>
      <w:r w:rsidR="008D76BF" w:rsidRPr="00BF657D">
        <w:rPr>
          <w:rFonts w:hAnsi="SimSun"/>
          <w:sz w:val="24"/>
          <w:szCs w:val="24"/>
          <w:lang w:eastAsia="zh-CN"/>
        </w:rPr>
        <w:t>11</w:t>
      </w:r>
      <w:r w:rsidR="008D76BF" w:rsidRPr="00BF657D">
        <w:rPr>
          <w:rFonts w:ascii="SimSun" w:eastAsia="SimSun" w:hAnsi="SimSun" w:cs="SimSun" w:hint="eastAsia"/>
          <w:sz w:val="24"/>
          <w:szCs w:val="24"/>
          <w:lang w:eastAsia="zh-CN"/>
        </w:rPr>
        <w:t>月</w:t>
      </w:r>
      <w:r w:rsidR="008D76BF" w:rsidRPr="00BF657D">
        <w:rPr>
          <w:rFonts w:hAnsi="SimSun"/>
          <w:sz w:val="24"/>
          <w:szCs w:val="24"/>
          <w:lang w:eastAsia="zh-CN"/>
        </w:rPr>
        <w:t>25</w:t>
      </w:r>
      <w:r w:rsidR="008D76BF" w:rsidRPr="00BF657D">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BF657D">
        <w:rPr>
          <w:rFonts w:ascii="SimSun" w:eastAsia="SimSun" w:hAnsi="SimSun" w:cs="SimSun" w:hint="eastAsia"/>
          <w:sz w:val="24"/>
          <w:szCs w:val="24"/>
          <w:lang w:eastAsia="zh-CN"/>
        </w:rPr>
        <w:t>第</w:t>
      </w:r>
      <w:r w:rsidR="008D76BF" w:rsidRPr="00BF657D">
        <w:rPr>
          <w:rFonts w:hAnsi="SimSun"/>
          <w:sz w:val="24"/>
          <w:szCs w:val="24"/>
          <w:lang w:eastAsia="zh-CN"/>
        </w:rPr>
        <w:t>9</w:t>
      </w:r>
      <w:r w:rsidR="008D76BF" w:rsidRPr="00BF657D">
        <w:rPr>
          <w:rFonts w:ascii="SimSun" w:eastAsia="SimSun" w:hAnsi="SimSun" w:cs="SimSun" w:hint="eastAsia"/>
          <w:sz w:val="24"/>
          <w:szCs w:val="24"/>
          <w:lang w:eastAsia="zh-CN"/>
        </w:rPr>
        <w:t>场会议上审议了主席提交的关于与第</w:t>
      </w:r>
      <w:r w:rsidR="008D76BF" w:rsidRPr="00BF657D">
        <w:rPr>
          <w:rFonts w:hAnsi="SimSun"/>
          <w:sz w:val="24"/>
          <w:szCs w:val="24"/>
          <w:lang w:eastAsia="zh-CN"/>
        </w:rPr>
        <w:t>8</w:t>
      </w:r>
      <w:r w:rsidR="008D76BF" w:rsidRPr="00BF657D">
        <w:rPr>
          <w:rFonts w:ascii="SimSun" w:eastAsia="SimSun" w:hAnsi="SimSun" w:cs="SimSun" w:hint="eastAsia"/>
          <w:sz w:val="24"/>
          <w:szCs w:val="24"/>
          <w:lang w:eastAsia="zh-CN"/>
        </w:rPr>
        <w:t>（</w:t>
      </w:r>
      <w:r w:rsidR="008D76BF" w:rsidRPr="00BF657D">
        <w:rPr>
          <w:rFonts w:hAnsi="SimSun"/>
          <w:sz w:val="24"/>
          <w:szCs w:val="24"/>
          <w:lang w:eastAsia="zh-CN"/>
        </w:rPr>
        <w:t>j</w:t>
      </w:r>
      <w:r w:rsidR="008D76BF" w:rsidRPr="00BF657D">
        <w:rPr>
          <w:rFonts w:ascii="SimSun" w:eastAsia="SimSun" w:hAnsi="SimSun" w:cs="SimSun" w:hint="eastAsia"/>
          <w:sz w:val="24"/>
          <w:szCs w:val="24"/>
          <w:lang w:eastAsia="zh-CN"/>
        </w:rPr>
        <w:t>）条有关的其他事项的决定草案，并核准将其作为决定草案</w:t>
      </w:r>
      <w:r w:rsidR="008D76BF" w:rsidRPr="00BF657D">
        <w:rPr>
          <w:rFonts w:hAnsi="SimSun"/>
          <w:sz w:val="24"/>
          <w:szCs w:val="24"/>
          <w:lang w:eastAsia="zh-CN"/>
        </w:rPr>
        <w:t>CBD/COP/14/L.9</w:t>
      </w:r>
      <w:r w:rsidR="008D76BF" w:rsidRPr="00BF657D">
        <w:rPr>
          <w:rFonts w:ascii="SimSun" w:eastAsia="SimSun" w:hAnsi="SimSun" w:cs="SimSun" w:hint="eastAsia"/>
          <w:sz w:val="24"/>
          <w:szCs w:val="24"/>
          <w:lang w:eastAsia="zh-CN"/>
        </w:rPr>
        <w:t>转交全体会议。</w:t>
      </w:r>
    </w:p>
    <w:p w:rsidR="008D76BF" w:rsidRPr="00BF657D" w:rsidRDefault="008D76BF" w:rsidP="00750ECD">
      <w:pPr>
        <w:pStyle w:val="Para1"/>
        <w:numPr>
          <w:ilvl w:val="0"/>
          <w:numId w:val="9"/>
        </w:numPr>
        <w:tabs>
          <w:tab w:val="clear" w:pos="360"/>
          <w:tab w:val="left" w:pos="720"/>
        </w:tabs>
        <w:ind w:firstLine="0"/>
        <w:rPr>
          <w:rFonts w:hAnsi="SimSun"/>
          <w:sz w:val="24"/>
          <w:szCs w:val="24"/>
          <w:lang w:eastAsia="zh-CN"/>
        </w:rPr>
      </w:pPr>
      <w:r w:rsidRPr="00105B82">
        <w:rPr>
          <w:rFonts w:ascii="SimSun" w:eastAsia="SimSun" w:hAnsi="SimSun" w:cs="SimSun" w:hint="eastAsia"/>
          <w:sz w:val="24"/>
          <w:szCs w:val="24"/>
          <w:lang w:eastAsia="zh-CN"/>
        </w:rPr>
        <w:t>在</w:t>
      </w:r>
      <w:r w:rsidRPr="00105B82">
        <w:rPr>
          <w:rFonts w:hAnsi="SimSun"/>
          <w:sz w:val="24"/>
          <w:szCs w:val="24"/>
          <w:lang w:eastAsia="zh-CN"/>
        </w:rPr>
        <w:t>2018</w:t>
      </w:r>
      <w:r w:rsidRPr="00105B82">
        <w:rPr>
          <w:rFonts w:ascii="SimSun" w:eastAsia="SimSun" w:hAnsi="SimSun" w:cs="SimSun" w:hint="eastAsia"/>
          <w:sz w:val="24"/>
          <w:szCs w:val="24"/>
          <w:lang w:eastAsia="zh-CN"/>
        </w:rPr>
        <w:t>年</w:t>
      </w:r>
      <w:r w:rsidRPr="00105B82">
        <w:rPr>
          <w:rFonts w:hAnsi="SimSun"/>
          <w:sz w:val="24"/>
          <w:szCs w:val="24"/>
          <w:lang w:eastAsia="zh-CN"/>
        </w:rPr>
        <w:t>11</w:t>
      </w:r>
      <w:r w:rsidRPr="00105B82">
        <w:rPr>
          <w:rFonts w:ascii="SimSun" w:eastAsia="SimSun" w:hAnsi="SimSun" w:cs="SimSun" w:hint="eastAsia"/>
          <w:sz w:val="24"/>
          <w:szCs w:val="24"/>
          <w:lang w:eastAsia="zh-CN"/>
        </w:rPr>
        <w:t>月</w:t>
      </w:r>
      <w:r w:rsidRPr="00105B82">
        <w:rPr>
          <w:rFonts w:hAnsi="SimSun"/>
          <w:sz w:val="24"/>
          <w:szCs w:val="24"/>
          <w:lang w:eastAsia="zh-CN"/>
        </w:rPr>
        <w:t>25</w:t>
      </w:r>
      <w:r w:rsidR="00363A11">
        <w:rPr>
          <w:rFonts w:ascii="SimSun" w:eastAsia="SimSun" w:hAnsi="SimSun" w:cs="SimSun" w:hint="eastAsia"/>
          <w:sz w:val="24"/>
          <w:szCs w:val="24"/>
          <w:lang w:eastAsia="zh-CN"/>
        </w:rPr>
        <w:t>日会议的</w:t>
      </w:r>
      <w:r w:rsidRPr="00105B82">
        <w:rPr>
          <w:rFonts w:ascii="SimSun" w:eastAsia="SimSun" w:hAnsi="SimSun" w:cs="SimSun" w:hint="eastAsia"/>
          <w:sz w:val="24"/>
          <w:szCs w:val="24"/>
          <w:lang w:eastAsia="zh-CN"/>
        </w:rPr>
        <w:t>第</w:t>
      </w:r>
      <w:r w:rsidRPr="00105B82">
        <w:rPr>
          <w:rFonts w:hAnsi="SimSun"/>
          <w:sz w:val="24"/>
          <w:szCs w:val="24"/>
          <w:lang w:eastAsia="zh-CN"/>
        </w:rPr>
        <w:t>5</w:t>
      </w:r>
      <w:r w:rsidR="00B45641">
        <w:rPr>
          <w:rFonts w:ascii="SimSun" w:eastAsia="SimSun" w:hAnsi="SimSun" w:cs="SimSun" w:hint="eastAsia"/>
          <w:sz w:val="24"/>
          <w:szCs w:val="24"/>
          <w:lang w:eastAsia="zh-CN"/>
        </w:rPr>
        <w:t>次全体会议</w:t>
      </w:r>
      <w:r w:rsidRPr="00105B82">
        <w:rPr>
          <w:rFonts w:ascii="SimSun" w:eastAsia="SimSun" w:hAnsi="SimSun" w:cs="SimSun" w:hint="eastAsia"/>
          <w:sz w:val="24"/>
          <w:szCs w:val="24"/>
          <w:lang w:eastAsia="zh-CN"/>
        </w:rPr>
        <w:t>上，缔约方大会通过了决定草案</w:t>
      </w:r>
      <w:r w:rsidRPr="00105B82">
        <w:rPr>
          <w:rFonts w:hAnsi="SimSun"/>
          <w:sz w:val="24"/>
          <w:szCs w:val="24"/>
          <w:lang w:eastAsia="zh-CN"/>
        </w:rPr>
        <w:t>CBD/COP/14/L.</w:t>
      </w:r>
      <w:r>
        <w:rPr>
          <w:rFonts w:hAnsi="SimSun"/>
          <w:sz w:val="24"/>
          <w:szCs w:val="24"/>
          <w:lang w:eastAsia="zh-CN"/>
        </w:rPr>
        <w:t>9</w:t>
      </w:r>
      <w:r w:rsidRPr="00105B82">
        <w:rPr>
          <w:rFonts w:ascii="SimSun" w:eastAsia="SimSun" w:hAnsi="SimSun" w:cs="SimSun" w:hint="eastAsia"/>
          <w:sz w:val="24"/>
          <w:szCs w:val="24"/>
          <w:lang w:eastAsia="zh-CN"/>
        </w:rPr>
        <w:t>，成为第</w:t>
      </w:r>
      <w:r w:rsidR="00353F85">
        <w:rPr>
          <w:rFonts w:hAnsi="SimSun"/>
          <w:sz w:val="24"/>
          <w:szCs w:val="24"/>
          <w:lang w:eastAsia="zh-CN"/>
        </w:rPr>
        <w:t>14</w:t>
      </w:r>
      <w:r w:rsidRPr="00105B82">
        <w:rPr>
          <w:rFonts w:hAnsi="SimSun"/>
          <w:sz w:val="24"/>
          <w:szCs w:val="24"/>
          <w:lang w:eastAsia="zh-CN"/>
        </w:rPr>
        <w:t>/</w:t>
      </w:r>
      <w:r w:rsidR="00353F85">
        <w:rPr>
          <w:rFonts w:hAnsi="SimSun"/>
          <w:sz w:val="24"/>
          <w:szCs w:val="24"/>
          <w:lang w:eastAsia="zh-CN"/>
        </w:rPr>
        <w:t>14</w:t>
      </w:r>
      <w:r w:rsidRPr="00105B82">
        <w:rPr>
          <w:rFonts w:ascii="SimSun" w:eastAsia="SimSun" w:hAnsi="SimSun" w:cs="SimSun" w:hint="eastAsia"/>
          <w:sz w:val="24"/>
          <w:szCs w:val="24"/>
          <w:lang w:eastAsia="zh-CN"/>
        </w:rPr>
        <w:t>号决定</w:t>
      </w:r>
      <w:r w:rsidR="00353F85" w:rsidRPr="001E0C32">
        <w:rPr>
          <w:rFonts w:eastAsiaTheme="minorEastAsia" w:hAnsi="SimSun"/>
          <w:sz w:val="24"/>
          <w:lang w:eastAsia="zh-CN"/>
        </w:rPr>
        <w:t>（案文见第一章）。</w:t>
      </w:r>
    </w:p>
    <w:p w:rsidR="008D76BF" w:rsidRPr="00353F85" w:rsidRDefault="008D76BF" w:rsidP="00750ECD">
      <w:pPr>
        <w:pStyle w:val="Heading3"/>
        <w:ind w:firstLine="0"/>
        <w:jc w:val="left"/>
        <w:rPr>
          <w:rFonts w:eastAsiaTheme="minorEastAsia"/>
          <w:b/>
          <w:i w:val="0"/>
          <w:sz w:val="24"/>
          <w:lang w:eastAsia="zh-CN"/>
        </w:rPr>
      </w:pPr>
      <w:bookmarkStart w:id="280" w:name="_Toc6243829"/>
      <w:r w:rsidRPr="00353F85">
        <w:rPr>
          <w:rFonts w:eastAsiaTheme="minorEastAsia" w:hint="eastAsia"/>
          <w:b/>
          <w:i w:val="0"/>
          <w:sz w:val="24"/>
          <w:lang w:eastAsia="zh-CN"/>
        </w:rPr>
        <w:t>关于返还与保护和可持续利用生物多样性相关传统知识的卢佐利希里沙希克自愿准则</w:t>
      </w:r>
      <w:bookmarkEnd w:id="280"/>
    </w:p>
    <w:p w:rsidR="008D76BF" w:rsidRPr="00BF657D"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BF657D">
        <w:rPr>
          <w:rFonts w:ascii="SimSun" w:eastAsia="SimSun" w:hAnsi="SimSun" w:cs="SimSun" w:hint="eastAsia"/>
          <w:sz w:val="24"/>
          <w:szCs w:val="24"/>
          <w:lang w:eastAsia="zh-CN"/>
        </w:rPr>
        <w:t>在</w:t>
      </w:r>
      <w:r w:rsidR="008D76BF" w:rsidRPr="00BF657D">
        <w:rPr>
          <w:rFonts w:hAnsi="SimSun"/>
          <w:sz w:val="24"/>
          <w:szCs w:val="24"/>
          <w:lang w:eastAsia="zh-CN"/>
        </w:rPr>
        <w:t>11</w:t>
      </w:r>
      <w:r w:rsidR="008D76BF" w:rsidRPr="00BF657D">
        <w:rPr>
          <w:rFonts w:ascii="SimSun" w:eastAsia="SimSun" w:hAnsi="SimSun" w:cs="SimSun" w:hint="eastAsia"/>
          <w:sz w:val="24"/>
          <w:szCs w:val="24"/>
          <w:lang w:eastAsia="zh-CN"/>
        </w:rPr>
        <w:t>月</w:t>
      </w:r>
      <w:r w:rsidR="008D76BF" w:rsidRPr="00BF657D">
        <w:rPr>
          <w:rFonts w:hAnsi="SimSun"/>
          <w:sz w:val="24"/>
          <w:szCs w:val="24"/>
          <w:lang w:eastAsia="zh-CN"/>
        </w:rPr>
        <w:t>25</w:t>
      </w:r>
      <w:r w:rsidR="008D76BF" w:rsidRPr="00BF657D">
        <w:rPr>
          <w:rFonts w:ascii="SimSun" w:eastAsia="SimSun" w:hAnsi="SimSun" w:cs="SimSun" w:hint="eastAsia"/>
          <w:sz w:val="24"/>
          <w:szCs w:val="24"/>
          <w:lang w:eastAsia="zh-CN"/>
        </w:rPr>
        <w:t>日星期</w:t>
      </w:r>
      <w:r>
        <w:rPr>
          <w:rFonts w:ascii="SimSun" w:eastAsia="SimSun" w:hAnsi="SimSun" w:cs="SimSun" w:hint="eastAsia"/>
          <w:sz w:val="24"/>
          <w:szCs w:val="24"/>
          <w:lang w:eastAsia="zh-CN"/>
        </w:rPr>
        <w:t>日其</w:t>
      </w:r>
      <w:r w:rsidR="008D76BF" w:rsidRPr="00BF657D">
        <w:rPr>
          <w:rFonts w:ascii="SimSun" w:eastAsia="SimSun" w:hAnsi="SimSun" w:cs="SimSun" w:hint="eastAsia"/>
          <w:sz w:val="24"/>
          <w:szCs w:val="24"/>
          <w:lang w:eastAsia="zh-CN"/>
        </w:rPr>
        <w:t>第</w:t>
      </w:r>
      <w:r w:rsidR="008D76BF" w:rsidRPr="00BF657D">
        <w:rPr>
          <w:rFonts w:hAnsi="SimSun"/>
          <w:sz w:val="24"/>
          <w:szCs w:val="24"/>
          <w:lang w:eastAsia="zh-CN"/>
        </w:rPr>
        <w:t>10</w:t>
      </w:r>
      <w:r w:rsidR="008D76BF" w:rsidRPr="00BF657D">
        <w:rPr>
          <w:rFonts w:ascii="SimSun" w:eastAsia="SimSun" w:hAnsi="SimSun" w:cs="SimSun" w:hint="eastAsia"/>
          <w:sz w:val="24"/>
          <w:szCs w:val="24"/>
          <w:lang w:eastAsia="zh-CN"/>
        </w:rPr>
        <w:t>场会议上审议了主席提交的有关《卢佐利希里沙希克自愿准则》的决定草案。</w:t>
      </w:r>
    </w:p>
    <w:p w:rsidR="008D76BF" w:rsidRPr="00BF657D" w:rsidRDefault="008D76BF" w:rsidP="00750ECD">
      <w:pPr>
        <w:pStyle w:val="Para1"/>
        <w:numPr>
          <w:ilvl w:val="0"/>
          <w:numId w:val="9"/>
        </w:numPr>
        <w:tabs>
          <w:tab w:val="clear" w:pos="360"/>
          <w:tab w:val="left" w:pos="720"/>
        </w:tabs>
        <w:ind w:firstLine="0"/>
        <w:rPr>
          <w:rFonts w:hAnsi="SimSun"/>
          <w:sz w:val="24"/>
          <w:szCs w:val="24"/>
          <w:lang w:eastAsia="zh-CN"/>
        </w:rPr>
      </w:pPr>
      <w:r w:rsidRPr="00BF657D">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BF657D">
        <w:rPr>
          <w:rFonts w:ascii="SimSun" w:eastAsia="SimSun" w:hAnsi="SimSun" w:cs="SimSun" w:hint="eastAsia"/>
          <w:sz w:val="24"/>
          <w:szCs w:val="24"/>
          <w:lang w:eastAsia="zh-CN"/>
        </w:rPr>
        <w:t>：贝宁、多民族玻利维亚国、巴西、喀麦隆、加拿大、埃及、欧洲联盟及其</w:t>
      </w:r>
      <w:r w:rsidRPr="00BF657D">
        <w:rPr>
          <w:rFonts w:hAnsi="SimSun"/>
          <w:sz w:val="24"/>
          <w:szCs w:val="24"/>
          <w:lang w:eastAsia="zh-CN"/>
        </w:rPr>
        <w:t>28</w:t>
      </w:r>
      <w:r w:rsidRPr="00BF657D">
        <w:rPr>
          <w:rFonts w:ascii="SimSun" w:eastAsia="SimSun" w:hAnsi="SimSun" w:cs="SimSun" w:hint="eastAsia"/>
          <w:sz w:val="24"/>
          <w:szCs w:val="24"/>
          <w:lang w:eastAsia="zh-CN"/>
        </w:rPr>
        <w:t>个成员国、加蓬、危地马拉、伊拉克、新西兰、菲律宾、大韩民国、南非</w:t>
      </w:r>
      <w:r>
        <w:rPr>
          <w:rFonts w:ascii="SimSun" w:eastAsia="SimSun" w:hAnsi="SimSun" w:cs="SimSun" w:hint="eastAsia"/>
          <w:sz w:val="24"/>
          <w:szCs w:val="24"/>
          <w:lang w:eastAsia="zh-CN"/>
        </w:rPr>
        <w:t>、瑞士</w:t>
      </w:r>
      <w:r w:rsidRPr="00BF657D">
        <w:rPr>
          <w:rFonts w:ascii="SimSun" w:eastAsia="SimSun" w:hAnsi="SimSun" w:cs="SimSun" w:hint="eastAsia"/>
          <w:sz w:val="24"/>
          <w:szCs w:val="24"/>
          <w:lang w:eastAsia="zh-CN"/>
        </w:rPr>
        <w:t>和土耳其。</w:t>
      </w:r>
    </w:p>
    <w:p w:rsidR="008D76BF" w:rsidRPr="00D0224D" w:rsidRDefault="008D76BF" w:rsidP="00750ECD">
      <w:pPr>
        <w:pStyle w:val="Para1"/>
        <w:numPr>
          <w:ilvl w:val="0"/>
          <w:numId w:val="9"/>
        </w:numPr>
        <w:tabs>
          <w:tab w:val="clear" w:pos="360"/>
          <w:tab w:val="left" w:pos="720"/>
        </w:tabs>
        <w:ind w:firstLine="0"/>
        <w:rPr>
          <w:rFonts w:hAnsi="SimSun"/>
          <w:sz w:val="24"/>
          <w:szCs w:val="24"/>
          <w:lang w:eastAsia="zh-CN"/>
        </w:rPr>
      </w:pPr>
      <w:r w:rsidRPr="00BF657D">
        <w:rPr>
          <w:rFonts w:ascii="SimSun" w:eastAsia="SimSun" w:hAnsi="SimSun" w:cs="SimSun" w:hint="eastAsia"/>
          <w:sz w:val="24"/>
          <w:szCs w:val="24"/>
          <w:lang w:eastAsia="zh-CN"/>
        </w:rPr>
        <w:t>工作组核准了经口头修正的决定草案，作为决定草案</w:t>
      </w:r>
      <w:r w:rsidRPr="00BF657D">
        <w:rPr>
          <w:rFonts w:hAnsi="SimSun"/>
          <w:sz w:val="24"/>
          <w:szCs w:val="24"/>
          <w:lang w:eastAsia="zh-CN"/>
        </w:rPr>
        <w:t>CBD/COP/14/L.14</w:t>
      </w:r>
      <w:r w:rsidRPr="00BF657D">
        <w:rPr>
          <w:rFonts w:ascii="SimSun" w:eastAsia="SimSun" w:hAnsi="SimSun" w:cs="SimSun" w:hint="eastAsia"/>
          <w:sz w:val="24"/>
          <w:szCs w:val="24"/>
          <w:lang w:eastAsia="zh-CN"/>
        </w:rPr>
        <w:t>转交全体会议。</w:t>
      </w:r>
    </w:p>
    <w:p w:rsidR="00194A89" w:rsidRPr="009F03D0" w:rsidRDefault="00194A89" w:rsidP="00194A89">
      <w:pPr>
        <w:pStyle w:val="Para1"/>
        <w:numPr>
          <w:ilvl w:val="0"/>
          <w:numId w:val="9"/>
        </w:numPr>
        <w:tabs>
          <w:tab w:val="clear" w:pos="360"/>
          <w:tab w:val="left" w:pos="720"/>
        </w:tabs>
        <w:ind w:firstLine="0"/>
        <w:rPr>
          <w:rFonts w:eastAsia="SimSun" w:hAnsi="SimSun"/>
          <w:sz w:val="24"/>
          <w:szCs w:val="24"/>
          <w:lang w:eastAsia="zh-CN"/>
        </w:rPr>
      </w:pPr>
      <w:r w:rsidRPr="009F03D0">
        <w:rPr>
          <w:rFonts w:eastAsia="SimSun" w:hAnsi="SimSun" w:hint="eastAsia"/>
          <w:sz w:val="24"/>
          <w:szCs w:val="24"/>
          <w:lang w:eastAsia="zh-CN"/>
        </w:rPr>
        <w:t>在</w:t>
      </w:r>
      <w:r w:rsidRPr="009F03D0">
        <w:rPr>
          <w:rFonts w:eastAsia="SimSun" w:hAnsi="SimSun"/>
          <w:sz w:val="24"/>
          <w:szCs w:val="24"/>
          <w:lang w:eastAsia="zh-CN"/>
        </w:rPr>
        <w:t>2018</w:t>
      </w:r>
      <w:r w:rsidRPr="009F03D0">
        <w:rPr>
          <w:rFonts w:eastAsia="SimSun" w:hAnsi="SimSun" w:hint="eastAsia"/>
          <w:sz w:val="24"/>
          <w:szCs w:val="24"/>
          <w:lang w:eastAsia="zh-CN"/>
        </w:rPr>
        <w:t>年</w:t>
      </w:r>
      <w:r w:rsidRPr="009F03D0">
        <w:rPr>
          <w:rFonts w:eastAsia="SimSun" w:hAnsi="SimSun"/>
          <w:sz w:val="24"/>
          <w:szCs w:val="24"/>
          <w:lang w:eastAsia="zh-CN"/>
        </w:rPr>
        <w:t>11</w:t>
      </w:r>
      <w:r w:rsidRPr="009F03D0">
        <w:rPr>
          <w:rFonts w:eastAsia="SimSun" w:hAnsi="SimSun" w:hint="eastAsia"/>
          <w:sz w:val="24"/>
          <w:szCs w:val="24"/>
          <w:lang w:eastAsia="zh-CN"/>
        </w:rPr>
        <w:t>月</w:t>
      </w:r>
      <w:r>
        <w:rPr>
          <w:rFonts w:eastAsia="SimSun" w:hAnsi="SimSun"/>
          <w:sz w:val="24"/>
          <w:szCs w:val="24"/>
          <w:lang w:eastAsia="zh-CN"/>
        </w:rPr>
        <w:t>29</w:t>
      </w:r>
      <w:r w:rsidR="00363A11">
        <w:rPr>
          <w:rFonts w:eastAsia="SimSun" w:hAnsi="SimSun" w:hint="eastAsia"/>
          <w:sz w:val="24"/>
          <w:szCs w:val="24"/>
          <w:lang w:eastAsia="zh-CN"/>
        </w:rPr>
        <w:t>日会议的</w:t>
      </w:r>
      <w:r w:rsidRPr="009F03D0">
        <w:rPr>
          <w:rFonts w:eastAsia="SimSun" w:hAnsi="SimSun" w:hint="eastAsia"/>
          <w:sz w:val="24"/>
          <w:szCs w:val="24"/>
          <w:lang w:eastAsia="zh-CN"/>
        </w:rPr>
        <w:t>第</w:t>
      </w:r>
      <w:r w:rsidRPr="009F03D0">
        <w:rPr>
          <w:rFonts w:eastAsia="SimSun" w:hAnsi="SimSun" w:hint="eastAsia"/>
          <w:sz w:val="24"/>
          <w:szCs w:val="24"/>
          <w:lang w:eastAsia="zh-CN"/>
        </w:rPr>
        <w:t>7</w:t>
      </w:r>
      <w:r w:rsidRPr="009F03D0">
        <w:rPr>
          <w:rFonts w:eastAsia="SimSun" w:hAnsi="SimSun" w:hint="eastAsia"/>
          <w:sz w:val="24"/>
          <w:szCs w:val="24"/>
          <w:lang w:eastAsia="zh-CN"/>
        </w:rPr>
        <w:t>次</w:t>
      </w:r>
      <w:r w:rsidRPr="009F03D0">
        <w:rPr>
          <w:rFonts w:eastAsia="SimSun" w:hAnsi="SimSun"/>
          <w:sz w:val="24"/>
          <w:szCs w:val="24"/>
          <w:lang w:eastAsia="zh-CN"/>
        </w:rPr>
        <w:t>全体会议</w:t>
      </w:r>
      <w:r w:rsidRPr="009F03D0">
        <w:rPr>
          <w:rFonts w:eastAsia="SimSun" w:hAnsi="SimSun" w:hint="eastAsia"/>
          <w:sz w:val="24"/>
          <w:szCs w:val="24"/>
          <w:lang w:eastAsia="zh-CN"/>
        </w:rPr>
        <w:t>上，缔约方大会</w:t>
      </w:r>
      <w:r w:rsidRPr="009F03D0">
        <w:rPr>
          <w:rFonts w:eastAsia="SimSun" w:hAnsi="SimSun"/>
          <w:sz w:val="24"/>
          <w:szCs w:val="24"/>
          <w:lang w:eastAsia="zh-CN"/>
        </w:rPr>
        <w:t>审议了</w:t>
      </w:r>
      <w:r w:rsidRPr="009F03D0">
        <w:rPr>
          <w:rFonts w:eastAsia="SimSun" w:hAnsi="SimSun"/>
          <w:sz w:val="24"/>
          <w:szCs w:val="24"/>
          <w:lang w:eastAsia="zh-CN"/>
        </w:rPr>
        <w:t xml:space="preserve"> </w:t>
      </w:r>
      <w:r>
        <w:rPr>
          <w:rFonts w:eastAsia="SimSun" w:hAnsi="SimSun" w:hint="eastAsia"/>
          <w:sz w:val="24"/>
          <w:szCs w:val="24"/>
          <w:lang w:eastAsia="zh-CN"/>
        </w:rPr>
        <w:t>决定草案</w:t>
      </w:r>
      <w:r>
        <w:rPr>
          <w:rFonts w:eastAsia="SimSun" w:hAnsi="SimSun"/>
          <w:sz w:val="24"/>
          <w:szCs w:val="24"/>
          <w:lang w:eastAsia="zh-CN"/>
        </w:rPr>
        <w:t>CBD/COP/14/L.14</w:t>
      </w:r>
      <w:r w:rsidRPr="009F03D0">
        <w:rPr>
          <w:rFonts w:eastAsia="SimSun" w:hAnsi="SimSun" w:hint="eastAsia"/>
          <w:sz w:val="24"/>
          <w:szCs w:val="24"/>
          <w:lang w:eastAsia="zh-CN"/>
        </w:rPr>
        <w:t>。</w:t>
      </w:r>
    </w:p>
    <w:p w:rsidR="00353F85" w:rsidRPr="00353F85" w:rsidRDefault="00353F85" w:rsidP="00353F85">
      <w:pPr>
        <w:pStyle w:val="Para1"/>
        <w:numPr>
          <w:ilvl w:val="0"/>
          <w:numId w:val="9"/>
        </w:numPr>
        <w:tabs>
          <w:tab w:val="clear" w:pos="360"/>
          <w:tab w:val="left" w:pos="720"/>
        </w:tabs>
        <w:ind w:firstLine="0"/>
        <w:rPr>
          <w:rFonts w:ascii="SimSun" w:eastAsia="SimSun" w:hAnsi="SimSun" w:cs="SimSun"/>
          <w:sz w:val="24"/>
          <w:szCs w:val="24"/>
          <w:lang w:eastAsia="zh-CN"/>
        </w:rPr>
      </w:pPr>
      <w:r w:rsidRPr="00BF657D">
        <w:rPr>
          <w:rFonts w:ascii="SimSun" w:eastAsia="SimSun" w:hAnsi="SimSun" w:cs="SimSun" w:hint="eastAsia"/>
          <w:sz w:val="24"/>
          <w:szCs w:val="24"/>
          <w:lang w:eastAsia="zh-CN"/>
        </w:rPr>
        <w:t>下列国家的代表</w:t>
      </w:r>
      <w:r>
        <w:rPr>
          <w:rFonts w:ascii="SimSun" w:eastAsia="SimSun" w:hAnsi="SimSun" w:cs="SimSun" w:hint="eastAsia"/>
          <w:sz w:val="24"/>
          <w:szCs w:val="24"/>
          <w:lang w:eastAsia="zh-CN"/>
        </w:rPr>
        <w:t>作了发言</w:t>
      </w:r>
      <w:r w:rsidRPr="00BF657D">
        <w:rPr>
          <w:rFonts w:ascii="SimSun" w:eastAsia="SimSun" w:hAnsi="SimSun" w:cs="SimSun" w:hint="eastAsia"/>
          <w:sz w:val="24"/>
          <w:szCs w:val="24"/>
          <w:lang w:eastAsia="zh-CN"/>
        </w:rPr>
        <w:t>：</w:t>
      </w:r>
      <w:r>
        <w:rPr>
          <w:rFonts w:ascii="SimSun" w:eastAsia="SimSun" w:hAnsi="SimSun" w:cs="SimSun" w:hint="eastAsia"/>
          <w:sz w:val="24"/>
          <w:szCs w:val="24"/>
          <w:lang w:eastAsia="zh-CN"/>
        </w:rPr>
        <w:t>大韩民国</w:t>
      </w:r>
      <w:r>
        <w:rPr>
          <w:rFonts w:ascii="SimSun" w:eastAsia="SimSun" w:hAnsi="SimSun" w:cs="SimSun"/>
          <w:sz w:val="24"/>
          <w:szCs w:val="24"/>
          <w:lang w:eastAsia="zh-CN"/>
        </w:rPr>
        <w:t>和瑞士。</w:t>
      </w:r>
    </w:p>
    <w:p w:rsidR="00194A89" w:rsidRPr="00194A89" w:rsidRDefault="00194A89" w:rsidP="00353F85">
      <w:pPr>
        <w:pStyle w:val="Para1"/>
        <w:numPr>
          <w:ilvl w:val="0"/>
          <w:numId w:val="9"/>
        </w:numPr>
        <w:tabs>
          <w:tab w:val="clear" w:pos="360"/>
          <w:tab w:val="left" w:pos="720"/>
        </w:tabs>
        <w:ind w:firstLine="0"/>
        <w:rPr>
          <w:rFonts w:ascii="SimSun" w:eastAsia="SimSun" w:hAnsi="SimSun" w:cs="SimSun"/>
          <w:sz w:val="24"/>
          <w:szCs w:val="24"/>
          <w:lang w:eastAsia="zh-CN"/>
        </w:rPr>
      </w:pPr>
      <w:r w:rsidRPr="00105B82">
        <w:rPr>
          <w:rFonts w:ascii="SimSun" w:eastAsia="SimSun" w:hAnsi="SimSun" w:cs="SimSun" w:hint="eastAsia"/>
          <w:sz w:val="24"/>
          <w:szCs w:val="24"/>
          <w:lang w:eastAsia="zh-CN"/>
        </w:rPr>
        <w:t>缔约方大会通过了决定草案</w:t>
      </w:r>
      <w:r w:rsidRPr="00105B82">
        <w:rPr>
          <w:rFonts w:hAnsi="SimSun"/>
          <w:sz w:val="24"/>
          <w:szCs w:val="24"/>
          <w:lang w:eastAsia="zh-CN"/>
        </w:rPr>
        <w:t>CBD/COP/14/L.</w:t>
      </w:r>
      <w:r>
        <w:rPr>
          <w:rFonts w:hAnsi="SimSun"/>
          <w:sz w:val="24"/>
          <w:szCs w:val="24"/>
          <w:lang w:eastAsia="zh-CN"/>
        </w:rPr>
        <w:t>14</w:t>
      </w:r>
      <w:r w:rsidRPr="00105B82">
        <w:rPr>
          <w:rFonts w:ascii="SimSun" w:eastAsia="SimSun" w:hAnsi="SimSun" w:cs="SimSun" w:hint="eastAsia"/>
          <w:sz w:val="24"/>
          <w:szCs w:val="24"/>
          <w:lang w:eastAsia="zh-CN"/>
        </w:rPr>
        <w:t>，成为第</w:t>
      </w:r>
      <w:r>
        <w:rPr>
          <w:rFonts w:hAnsi="SimSun"/>
          <w:sz w:val="24"/>
          <w:szCs w:val="24"/>
          <w:lang w:eastAsia="zh-CN"/>
        </w:rPr>
        <w:t>14</w:t>
      </w:r>
      <w:r w:rsidRPr="00105B82">
        <w:rPr>
          <w:rFonts w:hAnsi="SimSun"/>
          <w:sz w:val="24"/>
          <w:szCs w:val="24"/>
          <w:lang w:eastAsia="zh-CN"/>
        </w:rPr>
        <w:t>/</w:t>
      </w:r>
      <w:r>
        <w:rPr>
          <w:rFonts w:hAnsi="SimSun"/>
          <w:sz w:val="24"/>
          <w:szCs w:val="24"/>
          <w:lang w:eastAsia="zh-CN"/>
        </w:rPr>
        <w:t>12</w:t>
      </w:r>
      <w:r w:rsidRPr="00105B82">
        <w:rPr>
          <w:rFonts w:ascii="SimSun" w:eastAsia="SimSun" w:hAnsi="SimSun" w:cs="SimSun" w:hint="eastAsia"/>
          <w:sz w:val="24"/>
          <w:szCs w:val="24"/>
          <w:lang w:eastAsia="zh-CN"/>
        </w:rPr>
        <w:t>号决定</w:t>
      </w:r>
      <w:r w:rsidRPr="001E0C32">
        <w:rPr>
          <w:rFonts w:eastAsiaTheme="minorEastAsia" w:hAnsi="SimSun"/>
          <w:sz w:val="24"/>
          <w:lang w:eastAsia="zh-CN"/>
        </w:rPr>
        <w:t>（案文见第一章）。</w:t>
      </w:r>
    </w:p>
    <w:p w:rsidR="008D76BF" w:rsidRPr="00353F85" w:rsidRDefault="008D76BF" w:rsidP="00750ECD">
      <w:pPr>
        <w:pStyle w:val="Heading3"/>
        <w:ind w:firstLine="0"/>
        <w:jc w:val="left"/>
        <w:rPr>
          <w:rFonts w:eastAsiaTheme="minorEastAsia"/>
          <w:b/>
          <w:i w:val="0"/>
          <w:sz w:val="24"/>
          <w:lang w:eastAsia="zh-CN"/>
        </w:rPr>
      </w:pPr>
      <w:bookmarkStart w:id="281" w:name="_Toc6243830"/>
      <w:r w:rsidRPr="00353F85">
        <w:rPr>
          <w:rFonts w:eastAsiaTheme="minorEastAsia"/>
          <w:b/>
          <w:i w:val="0"/>
          <w:sz w:val="24"/>
          <w:lang w:eastAsia="zh-CN"/>
        </w:rPr>
        <w:t>第</w:t>
      </w:r>
      <w:r w:rsidRPr="00353F85">
        <w:rPr>
          <w:rFonts w:eastAsiaTheme="minorEastAsia"/>
          <w:b/>
          <w:i w:val="0"/>
          <w:sz w:val="24"/>
          <w:lang w:eastAsia="zh-CN"/>
        </w:rPr>
        <w:t>8(j)</w:t>
      </w:r>
      <w:r w:rsidRPr="00353F85">
        <w:rPr>
          <w:rFonts w:eastAsiaTheme="minorEastAsia"/>
          <w:b/>
          <w:i w:val="0"/>
          <w:sz w:val="24"/>
          <w:lang w:eastAsia="zh-CN"/>
        </w:rPr>
        <w:t>条和相关条款范围内的相关关键术语和概念词汇表</w:t>
      </w:r>
      <w:bookmarkEnd w:id="281"/>
    </w:p>
    <w:p w:rsidR="008D76BF" w:rsidRPr="004D1FBA"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BF657D">
        <w:rPr>
          <w:rFonts w:ascii="SimSun" w:eastAsia="SimSun" w:hAnsi="SimSun" w:cs="SimSun" w:hint="eastAsia"/>
          <w:sz w:val="24"/>
          <w:szCs w:val="24"/>
          <w:lang w:eastAsia="zh-CN"/>
        </w:rPr>
        <w:t>在</w:t>
      </w:r>
      <w:r w:rsidR="008D76BF" w:rsidRPr="00BF657D">
        <w:rPr>
          <w:rFonts w:hAnsi="SimSun"/>
          <w:sz w:val="24"/>
          <w:szCs w:val="24"/>
          <w:lang w:eastAsia="zh-CN"/>
        </w:rPr>
        <w:t>2018</w:t>
      </w:r>
      <w:r w:rsidR="008D76BF" w:rsidRPr="00BF657D">
        <w:rPr>
          <w:rFonts w:ascii="SimSun" w:eastAsia="SimSun" w:hAnsi="SimSun" w:cs="SimSun" w:hint="eastAsia"/>
          <w:sz w:val="24"/>
          <w:szCs w:val="24"/>
          <w:lang w:eastAsia="zh-CN"/>
        </w:rPr>
        <w:t>年</w:t>
      </w:r>
      <w:r w:rsidR="008D76BF" w:rsidRPr="00BF657D">
        <w:rPr>
          <w:rFonts w:hAnsi="SimSun"/>
          <w:sz w:val="24"/>
          <w:szCs w:val="24"/>
          <w:lang w:eastAsia="zh-CN"/>
        </w:rPr>
        <w:t>11</w:t>
      </w:r>
      <w:r w:rsidR="008D76BF" w:rsidRPr="00BF657D">
        <w:rPr>
          <w:rFonts w:ascii="SimSun" w:eastAsia="SimSun" w:hAnsi="SimSun" w:cs="SimSun" w:hint="eastAsia"/>
          <w:sz w:val="24"/>
          <w:szCs w:val="24"/>
          <w:lang w:eastAsia="zh-CN"/>
        </w:rPr>
        <w:t>月</w:t>
      </w:r>
      <w:r w:rsidR="008D76BF" w:rsidRPr="00BF657D">
        <w:rPr>
          <w:rFonts w:hAnsi="SimSun"/>
          <w:sz w:val="24"/>
          <w:szCs w:val="24"/>
          <w:lang w:eastAsia="zh-CN"/>
        </w:rPr>
        <w:t>25</w:t>
      </w:r>
      <w:r w:rsidR="008D76BF" w:rsidRPr="00BF657D">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BF657D">
        <w:rPr>
          <w:rFonts w:ascii="SimSun" w:eastAsia="SimSun" w:hAnsi="SimSun" w:cs="SimSun" w:hint="eastAsia"/>
          <w:sz w:val="24"/>
          <w:szCs w:val="24"/>
          <w:lang w:eastAsia="zh-CN"/>
        </w:rPr>
        <w:t>第</w:t>
      </w:r>
      <w:r w:rsidR="008D76BF" w:rsidRPr="00BF657D">
        <w:rPr>
          <w:rFonts w:hAnsi="SimSun"/>
          <w:sz w:val="24"/>
          <w:szCs w:val="24"/>
          <w:lang w:eastAsia="zh-CN"/>
        </w:rPr>
        <w:t>9</w:t>
      </w:r>
      <w:r w:rsidR="008D76BF" w:rsidRPr="00BF657D">
        <w:rPr>
          <w:rFonts w:ascii="SimSun" w:eastAsia="SimSun" w:hAnsi="SimSun" w:cs="SimSun" w:hint="eastAsia"/>
          <w:sz w:val="24"/>
          <w:szCs w:val="24"/>
          <w:lang w:eastAsia="zh-CN"/>
        </w:rPr>
        <w:t>场会议上审议了主席提交的有关第</w:t>
      </w:r>
      <w:r w:rsidR="008D76BF" w:rsidRPr="00BF657D">
        <w:rPr>
          <w:rFonts w:hAnsi="SimSun"/>
          <w:sz w:val="24"/>
          <w:szCs w:val="24"/>
          <w:lang w:eastAsia="zh-CN"/>
        </w:rPr>
        <w:t>8</w:t>
      </w:r>
      <w:r w:rsidR="00194A89">
        <w:rPr>
          <w:rFonts w:ascii="SimSun" w:eastAsia="SimSun" w:hAnsi="SimSun" w:cs="SimSun" w:hint="eastAsia"/>
          <w:sz w:val="24"/>
          <w:szCs w:val="24"/>
          <w:lang w:eastAsia="zh-CN"/>
        </w:rPr>
        <w:t>(</w:t>
      </w:r>
      <w:r w:rsidR="008D76BF" w:rsidRPr="00BF657D">
        <w:rPr>
          <w:rFonts w:hAnsi="SimSun"/>
          <w:sz w:val="24"/>
          <w:szCs w:val="24"/>
          <w:lang w:eastAsia="zh-CN"/>
        </w:rPr>
        <w:t>j</w:t>
      </w:r>
      <w:r w:rsidR="00194A89">
        <w:rPr>
          <w:rFonts w:hAnsi="SimSun"/>
          <w:sz w:val="24"/>
          <w:szCs w:val="24"/>
          <w:lang w:eastAsia="zh-CN"/>
        </w:rPr>
        <w:t>)</w:t>
      </w:r>
      <w:r w:rsidR="008D76BF" w:rsidRPr="00BF657D">
        <w:rPr>
          <w:rFonts w:ascii="SimSun" w:eastAsia="SimSun" w:hAnsi="SimSun" w:cs="SimSun" w:hint="eastAsia"/>
          <w:sz w:val="24"/>
          <w:szCs w:val="24"/>
          <w:lang w:eastAsia="zh-CN"/>
        </w:rPr>
        <w:t>条和相关条款范围内的相关关键术语和概念词汇表决定草案，并核准作为决定草案</w:t>
      </w:r>
      <w:r w:rsidR="008D76BF" w:rsidRPr="00BF657D">
        <w:rPr>
          <w:rFonts w:hAnsi="SimSun"/>
          <w:sz w:val="24"/>
          <w:szCs w:val="24"/>
          <w:lang w:eastAsia="zh-CN"/>
        </w:rPr>
        <w:t>CBD/COP/14/L.10</w:t>
      </w:r>
      <w:r w:rsidR="008D76BF" w:rsidRPr="00BF657D">
        <w:rPr>
          <w:rFonts w:ascii="SimSun" w:eastAsia="SimSun" w:hAnsi="SimSun" w:cs="SimSun" w:hint="eastAsia"/>
          <w:sz w:val="24"/>
          <w:szCs w:val="24"/>
          <w:lang w:eastAsia="zh-CN"/>
        </w:rPr>
        <w:t>转交全体会议。</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4D1FBA">
        <w:rPr>
          <w:rFonts w:ascii="SimSun" w:eastAsia="SimSun" w:hAnsi="SimSun" w:cs="SimSun" w:hint="eastAsia"/>
          <w:sz w:val="24"/>
          <w:szCs w:val="24"/>
          <w:lang w:eastAsia="zh-CN"/>
        </w:rPr>
        <w:t>在</w:t>
      </w:r>
      <w:r w:rsidRPr="004D1FBA">
        <w:rPr>
          <w:rFonts w:hAnsi="SimSun"/>
          <w:sz w:val="24"/>
          <w:szCs w:val="24"/>
          <w:lang w:eastAsia="zh-CN"/>
        </w:rPr>
        <w:t>2018</w:t>
      </w:r>
      <w:r w:rsidRPr="004D1FBA">
        <w:rPr>
          <w:rFonts w:ascii="SimSun" w:eastAsia="SimSun" w:hAnsi="SimSun" w:cs="SimSun" w:hint="eastAsia"/>
          <w:sz w:val="24"/>
          <w:szCs w:val="24"/>
          <w:lang w:eastAsia="zh-CN"/>
        </w:rPr>
        <w:t>年</w:t>
      </w:r>
      <w:r w:rsidRPr="004D1FBA">
        <w:rPr>
          <w:rFonts w:hAnsi="SimSun"/>
          <w:sz w:val="24"/>
          <w:szCs w:val="24"/>
          <w:lang w:eastAsia="zh-CN"/>
        </w:rPr>
        <w:t>11</w:t>
      </w:r>
      <w:r w:rsidRPr="004D1FBA">
        <w:rPr>
          <w:rFonts w:ascii="SimSun" w:eastAsia="SimSun" w:hAnsi="SimSun" w:cs="SimSun" w:hint="eastAsia"/>
          <w:sz w:val="24"/>
          <w:szCs w:val="24"/>
          <w:lang w:eastAsia="zh-CN"/>
        </w:rPr>
        <w:t>月</w:t>
      </w:r>
      <w:r w:rsidRPr="004D1FBA">
        <w:rPr>
          <w:rFonts w:hAnsi="SimSun"/>
          <w:sz w:val="24"/>
          <w:szCs w:val="24"/>
          <w:lang w:eastAsia="zh-CN"/>
        </w:rPr>
        <w:t>25</w:t>
      </w:r>
      <w:r w:rsidRPr="004D1FBA">
        <w:rPr>
          <w:rFonts w:ascii="SimSun" w:eastAsia="SimSun" w:hAnsi="SimSun" w:cs="SimSun" w:hint="eastAsia"/>
          <w:sz w:val="24"/>
          <w:szCs w:val="24"/>
          <w:lang w:eastAsia="zh-CN"/>
        </w:rPr>
        <w:t>日会议的第</w:t>
      </w:r>
      <w:r w:rsidRPr="004D1FBA">
        <w:rPr>
          <w:rFonts w:hAnsi="SimSun"/>
          <w:sz w:val="24"/>
          <w:szCs w:val="24"/>
          <w:lang w:eastAsia="zh-CN"/>
        </w:rPr>
        <w:t>5</w:t>
      </w:r>
      <w:r w:rsidRPr="004D1FBA">
        <w:rPr>
          <w:rFonts w:ascii="SimSun" w:eastAsia="SimSun" w:hAnsi="SimSun" w:cs="SimSun" w:hint="eastAsia"/>
          <w:sz w:val="24"/>
          <w:szCs w:val="24"/>
          <w:lang w:eastAsia="zh-CN"/>
        </w:rPr>
        <w:t>次全体会议上，缔约方大会审议了决定草案</w:t>
      </w:r>
      <w:r w:rsidRPr="004D1FBA">
        <w:rPr>
          <w:rFonts w:hAnsi="SimSun"/>
          <w:sz w:val="24"/>
          <w:szCs w:val="24"/>
          <w:lang w:eastAsia="zh-CN"/>
        </w:rPr>
        <w:t>CBD/COP/14/L.10</w:t>
      </w:r>
      <w:r w:rsidR="00194A89">
        <w:rPr>
          <w:rFonts w:ascii="SimSun" w:eastAsia="SimSun" w:hAnsi="SimSun" w:cs="SimSun" w:hint="eastAsia"/>
          <w:sz w:val="24"/>
          <w:szCs w:val="24"/>
          <w:lang w:eastAsia="zh-CN"/>
        </w:rPr>
        <w:t>，但同意推迟就决定草案作出结论，以便让一</w:t>
      </w:r>
      <w:r w:rsidRPr="004D1FBA">
        <w:rPr>
          <w:rFonts w:ascii="SimSun" w:eastAsia="SimSun" w:hAnsi="SimSun" w:cs="SimSun" w:hint="eastAsia"/>
          <w:sz w:val="24"/>
          <w:szCs w:val="24"/>
          <w:lang w:eastAsia="zh-CN"/>
        </w:rPr>
        <w:t>位代表有时间请示其政府。</w:t>
      </w:r>
    </w:p>
    <w:p w:rsidR="00972641" w:rsidRPr="00BF657D" w:rsidRDefault="00972641" w:rsidP="00972641">
      <w:pPr>
        <w:pStyle w:val="Para1"/>
        <w:numPr>
          <w:ilvl w:val="0"/>
          <w:numId w:val="9"/>
        </w:numPr>
        <w:tabs>
          <w:tab w:val="clear" w:pos="360"/>
          <w:tab w:val="left" w:pos="720"/>
        </w:tabs>
        <w:ind w:firstLine="0"/>
        <w:rPr>
          <w:rFonts w:hAnsi="SimSun"/>
          <w:sz w:val="24"/>
          <w:szCs w:val="24"/>
          <w:lang w:eastAsia="zh-CN"/>
        </w:rPr>
      </w:pPr>
      <w:r w:rsidRPr="00105B82">
        <w:rPr>
          <w:rFonts w:ascii="SimSun" w:eastAsia="SimSun" w:hAnsi="SimSun" w:cs="SimSun" w:hint="eastAsia"/>
          <w:sz w:val="24"/>
          <w:szCs w:val="24"/>
          <w:lang w:eastAsia="zh-CN"/>
        </w:rPr>
        <w:lastRenderedPageBreak/>
        <w:t>在</w:t>
      </w:r>
      <w:r w:rsidRPr="00105B82">
        <w:rPr>
          <w:rFonts w:hAnsi="SimSun"/>
          <w:sz w:val="24"/>
          <w:szCs w:val="24"/>
          <w:lang w:eastAsia="zh-CN"/>
        </w:rPr>
        <w:t>2018</w:t>
      </w:r>
      <w:r w:rsidRPr="00105B82">
        <w:rPr>
          <w:rFonts w:ascii="SimSun" w:eastAsia="SimSun" w:hAnsi="SimSun" w:cs="SimSun" w:hint="eastAsia"/>
          <w:sz w:val="24"/>
          <w:szCs w:val="24"/>
          <w:lang w:eastAsia="zh-CN"/>
        </w:rPr>
        <w:t>年</w:t>
      </w:r>
      <w:r w:rsidRPr="00105B82">
        <w:rPr>
          <w:rFonts w:hAnsi="SimSun"/>
          <w:sz w:val="24"/>
          <w:szCs w:val="24"/>
          <w:lang w:eastAsia="zh-CN"/>
        </w:rPr>
        <w:t>11</w:t>
      </w:r>
      <w:r w:rsidRPr="00105B82">
        <w:rPr>
          <w:rFonts w:ascii="SimSun" w:eastAsia="SimSun" w:hAnsi="SimSun" w:cs="SimSun" w:hint="eastAsia"/>
          <w:sz w:val="24"/>
          <w:szCs w:val="24"/>
          <w:lang w:eastAsia="zh-CN"/>
        </w:rPr>
        <w:t>月</w:t>
      </w:r>
      <w:r w:rsidRPr="00105B82">
        <w:rPr>
          <w:rFonts w:hAnsi="SimSun"/>
          <w:sz w:val="24"/>
          <w:szCs w:val="24"/>
          <w:lang w:eastAsia="zh-CN"/>
        </w:rPr>
        <w:t>2</w:t>
      </w:r>
      <w:r>
        <w:rPr>
          <w:rFonts w:hAnsi="SimSun"/>
          <w:sz w:val="24"/>
          <w:szCs w:val="24"/>
          <w:lang w:eastAsia="zh-CN"/>
        </w:rPr>
        <w:t>9</w:t>
      </w:r>
      <w:r w:rsidR="00363A11">
        <w:rPr>
          <w:rFonts w:ascii="SimSun" w:eastAsia="SimSun" w:hAnsi="SimSun" w:cs="SimSun" w:hint="eastAsia"/>
          <w:sz w:val="24"/>
          <w:szCs w:val="24"/>
          <w:lang w:eastAsia="zh-CN"/>
        </w:rPr>
        <w:t>日会议的</w:t>
      </w:r>
      <w:r w:rsidRPr="00105B82">
        <w:rPr>
          <w:rFonts w:ascii="SimSun" w:eastAsia="SimSun" w:hAnsi="SimSun" w:cs="SimSun" w:hint="eastAsia"/>
          <w:sz w:val="24"/>
          <w:szCs w:val="24"/>
          <w:lang w:eastAsia="zh-CN"/>
        </w:rPr>
        <w:t>第</w:t>
      </w:r>
      <w:r>
        <w:rPr>
          <w:rFonts w:hAnsi="SimSun"/>
          <w:sz w:val="24"/>
          <w:szCs w:val="24"/>
          <w:lang w:eastAsia="zh-CN"/>
        </w:rPr>
        <w:t>7</w:t>
      </w:r>
      <w:r>
        <w:rPr>
          <w:rFonts w:ascii="SimSun" w:eastAsia="SimSun" w:hAnsi="SimSun" w:cs="SimSun" w:hint="eastAsia"/>
          <w:sz w:val="24"/>
          <w:szCs w:val="24"/>
          <w:lang w:eastAsia="zh-CN"/>
        </w:rPr>
        <w:t>次全体会议</w:t>
      </w:r>
      <w:r w:rsidRPr="00105B82">
        <w:rPr>
          <w:rFonts w:ascii="SimSun" w:eastAsia="SimSun" w:hAnsi="SimSun" w:cs="SimSun" w:hint="eastAsia"/>
          <w:sz w:val="24"/>
          <w:szCs w:val="24"/>
          <w:lang w:eastAsia="zh-CN"/>
        </w:rPr>
        <w:t>上，缔约方大会</w:t>
      </w:r>
      <w:r>
        <w:rPr>
          <w:rFonts w:ascii="SimSun" w:eastAsia="SimSun" w:hAnsi="SimSun" w:cs="SimSun" w:hint="eastAsia"/>
          <w:sz w:val="24"/>
          <w:szCs w:val="24"/>
          <w:lang w:eastAsia="zh-CN"/>
        </w:rPr>
        <w:t>恢复审议</w:t>
      </w:r>
      <w:r w:rsidRPr="00105B82">
        <w:rPr>
          <w:rFonts w:ascii="SimSun" w:eastAsia="SimSun" w:hAnsi="SimSun" w:cs="SimSun" w:hint="eastAsia"/>
          <w:sz w:val="24"/>
          <w:szCs w:val="24"/>
          <w:lang w:eastAsia="zh-CN"/>
        </w:rPr>
        <w:t>决定草案</w:t>
      </w:r>
      <w:r w:rsidRPr="00105B82">
        <w:rPr>
          <w:rFonts w:hAnsi="SimSun"/>
          <w:sz w:val="24"/>
          <w:szCs w:val="24"/>
          <w:lang w:eastAsia="zh-CN"/>
        </w:rPr>
        <w:t>CBD/COP/14/L.</w:t>
      </w:r>
      <w:r>
        <w:rPr>
          <w:rFonts w:hAnsi="SimSun"/>
          <w:sz w:val="24"/>
          <w:szCs w:val="24"/>
          <w:lang w:eastAsia="zh-CN"/>
        </w:rPr>
        <w:t>10</w:t>
      </w:r>
      <w:r w:rsidRPr="00105B82">
        <w:rPr>
          <w:rFonts w:ascii="SimSun" w:eastAsia="SimSun" w:hAnsi="SimSun" w:cs="SimSun" w:hint="eastAsia"/>
          <w:sz w:val="24"/>
          <w:szCs w:val="24"/>
          <w:lang w:eastAsia="zh-CN"/>
        </w:rPr>
        <w:t>，</w:t>
      </w:r>
      <w:r>
        <w:rPr>
          <w:rFonts w:ascii="SimSun" w:eastAsia="SimSun" w:hAnsi="SimSun" w:cs="SimSun" w:hint="eastAsia"/>
          <w:sz w:val="24"/>
          <w:szCs w:val="24"/>
          <w:lang w:eastAsia="zh-CN"/>
        </w:rPr>
        <w:t>并</w:t>
      </w:r>
      <w:r>
        <w:rPr>
          <w:rFonts w:ascii="SimSun" w:eastAsia="SimSun" w:hAnsi="SimSun" w:cs="SimSun"/>
          <w:sz w:val="24"/>
          <w:szCs w:val="24"/>
          <w:lang w:eastAsia="zh-CN"/>
        </w:rPr>
        <w:t>通过了该决定草案，</w:t>
      </w:r>
      <w:r w:rsidRPr="00105B82">
        <w:rPr>
          <w:rFonts w:ascii="SimSun" w:eastAsia="SimSun" w:hAnsi="SimSun" w:cs="SimSun" w:hint="eastAsia"/>
          <w:sz w:val="24"/>
          <w:szCs w:val="24"/>
          <w:lang w:eastAsia="zh-CN"/>
        </w:rPr>
        <w:t>成为第</w:t>
      </w:r>
      <w:r>
        <w:rPr>
          <w:rFonts w:hAnsi="SimSun"/>
          <w:sz w:val="24"/>
          <w:szCs w:val="24"/>
          <w:lang w:eastAsia="zh-CN"/>
        </w:rPr>
        <w:t>14</w:t>
      </w:r>
      <w:r w:rsidRPr="00105B82">
        <w:rPr>
          <w:rFonts w:hAnsi="SimSun"/>
          <w:sz w:val="24"/>
          <w:szCs w:val="24"/>
          <w:lang w:eastAsia="zh-CN"/>
        </w:rPr>
        <w:t>/</w:t>
      </w:r>
      <w:r>
        <w:rPr>
          <w:rFonts w:hAnsi="SimSun"/>
          <w:sz w:val="24"/>
          <w:szCs w:val="24"/>
          <w:lang w:eastAsia="zh-CN"/>
        </w:rPr>
        <w:t>13</w:t>
      </w:r>
      <w:r w:rsidRPr="00105B82">
        <w:rPr>
          <w:rFonts w:ascii="SimSun" w:eastAsia="SimSun" w:hAnsi="SimSun" w:cs="SimSun" w:hint="eastAsia"/>
          <w:sz w:val="24"/>
          <w:szCs w:val="24"/>
          <w:lang w:eastAsia="zh-CN"/>
        </w:rPr>
        <w:t>号决定</w:t>
      </w:r>
      <w:r w:rsidRPr="001E0C32">
        <w:rPr>
          <w:rFonts w:eastAsiaTheme="minorEastAsia" w:hAnsi="SimSun"/>
          <w:sz w:val="24"/>
          <w:lang w:eastAsia="zh-CN"/>
        </w:rPr>
        <w:t>（案文见第一章）。</w:t>
      </w:r>
    </w:p>
    <w:p w:rsidR="008D76BF" w:rsidRPr="00E63AA3" w:rsidRDefault="008D76BF" w:rsidP="00E63AA3">
      <w:pPr>
        <w:pStyle w:val="Heading1"/>
        <w:spacing w:before="120" w:after="120"/>
        <w:ind w:firstLine="0"/>
        <w:rPr>
          <w:sz w:val="24"/>
          <w:lang w:val="en-CA" w:eastAsia="zh-CN"/>
        </w:rPr>
      </w:pPr>
      <w:bookmarkStart w:id="282" w:name="_Toc6243831"/>
      <w:r w:rsidRPr="00E63AA3">
        <w:rPr>
          <w:rFonts w:hint="eastAsia"/>
          <w:sz w:val="24"/>
          <w:lang w:val="en-CA" w:eastAsia="zh-CN"/>
        </w:rPr>
        <w:t>项目</w:t>
      </w:r>
      <w:r w:rsidRPr="00E63AA3">
        <w:rPr>
          <w:sz w:val="24"/>
          <w:lang w:val="en-CA" w:eastAsia="zh-CN"/>
        </w:rPr>
        <w:t xml:space="preserve">20.   </w:t>
      </w:r>
      <w:r w:rsidR="00366699" w:rsidRPr="00E63AA3">
        <w:rPr>
          <w:sz w:val="24"/>
          <w:lang w:val="en-CA" w:eastAsia="zh-CN"/>
        </w:rPr>
        <w:t xml:space="preserve">   </w:t>
      </w:r>
      <w:r w:rsidRPr="00E63AA3">
        <w:rPr>
          <w:rFonts w:hint="eastAsia"/>
          <w:sz w:val="24"/>
          <w:lang w:val="en-CA" w:eastAsia="zh-CN"/>
        </w:rPr>
        <w:t>可持续野生生物管理</w:t>
      </w:r>
      <w:bookmarkEnd w:id="282"/>
    </w:p>
    <w:p w:rsidR="008D76BF" w:rsidRPr="00363EAE" w:rsidRDefault="008D76BF" w:rsidP="00750ECD">
      <w:pPr>
        <w:pStyle w:val="Para1"/>
        <w:numPr>
          <w:ilvl w:val="0"/>
          <w:numId w:val="9"/>
        </w:numPr>
        <w:tabs>
          <w:tab w:val="clear" w:pos="360"/>
          <w:tab w:val="left" w:pos="720"/>
        </w:tabs>
        <w:ind w:firstLine="0"/>
        <w:rPr>
          <w:rFonts w:hAnsi="SimSun"/>
          <w:sz w:val="24"/>
          <w:szCs w:val="24"/>
          <w:lang w:eastAsia="zh-CN"/>
        </w:rPr>
      </w:pPr>
      <w:r w:rsidRPr="00363EAE">
        <w:rPr>
          <w:rFonts w:ascii="SimSun" w:eastAsia="SimSun" w:hAnsi="SimSun" w:cs="SimSun" w:hint="eastAsia"/>
          <w:sz w:val="24"/>
          <w:szCs w:val="24"/>
          <w:lang w:eastAsia="zh-CN"/>
        </w:rPr>
        <w:t>第二工作组在</w:t>
      </w:r>
      <w:r w:rsidRPr="00363EAE">
        <w:rPr>
          <w:rFonts w:hAnsi="SimSun"/>
          <w:sz w:val="24"/>
          <w:szCs w:val="24"/>
          <w:lang w:eastAsia="zh-CN"/>
        </w:rPr>
        <w:t>2018</w:t>
      </w:r>
      <w:r w:rsidRPr="00363EAE">
        <w:rPr>
          <w:rFonts w:ascii="SimSun" w:eastAsia="SimSun" w:hAnsi="SimSun" w:cs="SimSun" w:hint="eastAsia"/>
          <w:sz w:val="24"/>
          <w:szCs w:val="24"/>
          <w:lang w:eastAsia="zh-CN"/>
        </w:rPr>
        <w:t>年</w:t>
      </w:r>
      <w:r w:rsidRPr="00363EAE">
        <w:rPr>
          <w:rFonts w:hAnsi="SimSun"/>
          <w:sz w:val="24"/>
          <w:szCs w:val="24"/>
          <w:lang w:eastAsia="zh-CN"/>
        </w:rPr>
        <w:t>11</w:t>
      </w:r>
      <w:r w:rsidRPr="00363EAE">
        <w:rPr>
          <w:rFonts w:ascii="SimSun" w:eastAsia="SimSun" w:hAnsi="SimSun" w:cs="SimSun" w:hint="eastAsia"/>
          <w:sz w:val="24"/>
          <w:szCs w:val="24"/>
          <w:lang w:eastAsia="zh-CN"/>
        </w:rPr>
        <w:t>月</w:t>
      </w:r>
      <w:r w:rsidRPr="00363EAE">
        <w:rPr>
          <w:rFonts w:hAnsi="SimSun"/>
          <w:sz w:val="24"/>
          <w:szCs w:val="24"/>
          <w:lang w:eastAsia="zh-CN"/>
        </w:rPr>
        <w:t>19</w:t>
      </w:r>
      <w:r w:rsidR="00EA4BF6">
        <w:rPr>
          <w:rFonts w:ascii="SimSun" w:eastAsia="SimSun" w:hAnsi="SimSun" w:cs="SimSun" w:hint="eastAsia"/>
          <w:sz w:val="24"/>
          <w:szCs w:val="24"/>
          <w:lang w:eastAsia="zh-CN"/>
        </w:rPr>
        <w:t>日</w:t>
      </w:r>
      <w:r w:rsidR="00363A11">
        <w:rPr>
          <w:rFonts w:ascii="SimSun" w:eastAsia="SimSun" w:hAnsi="SimSun" w:cs="SimSun" w:hint="eastAsia"/>
          <w:sz w:val="24"/>
          <w:szCs w:val="24"/>
          <w:lang w:eastAsia="zh-CN"/>
        </w:rPr>
        <w:t>其</w:t>
      </w:r>
      <w:r w:rsidRPr="00363EAE">
        <w:rPr>
          <w:rFonts w:ascii="SimSun" w:eastAsia="SimSun" w:hAnsi="SimSun" w:cs="SimSun" w:hint="eastAsia"/>
          <w:sz w:val="24"/>
          <w:szCs w:val="24"/>
          <w:lang w:eastAsia="zh-CN"/>
        </w:rPr>
        <w:t>第</w:t>
      </w:r>
      <w:r w:rsidRPr="00363EAE">
        <w:rPr>
          <w:rFonts w:hAnsi="SimSun"/>
          <w:sz w:val="24"/>
          <w:szCs w:val="24"/>
          <w:lang w:eastAsia="zh-CN"/>
        </w:rPr>
        <w:t>4</w:t>
      </w:r>
      <w:r w:rsidRPr="00363EAE">
        <w:rPr>
          <w:rFonts w:ascii="SimSun" w:eastAsia="SimSun" w:hAnsi="SimSun" w:cs="SimSun" w:hint="eastAsia"/>
          <w:sz w:val="24"/>
          <w:szCs w:val="24"/>
          <w:lang w:eastAsia="zh-CN"/>
        </w:rPr>
        <w:t>场会议上审议了议程项目</w:t>
      </w:r>
      <w:r w:rsidRPr="00363EAE">
        <w:rPr>
          <w:rFonts w:hAnsi="SimSun"/>
          <w:sz w:val="24"/>
          <w:szCs w:val="24"/>
          <w:lang w:eastAsia="zh-CN"/>
        </w:rPr>
        <w:t>20</w:t>
      </w:r>
      <w:r w:rsidRPr="00363EAE">
        <w:rPr>
          <w:rFonts w:ascii="SimSun" w:eastAsia="SimSun" w:hAnsi="SimSun" w:cs="SimSun" w:hint="eastAsia"/>
          <w:sz w:val="24"/>
          <w:szCs w:val="24"/>
          <w:lang w:eastAsia="zh-CN"/>
        </w:rPr>
        <w:t>。在审议这个项目时，工作组收到了以下文件：决定草案汇编（</w:t>
      </w:r>
      <w:r w:rsidRPr="00363EAE">
        <w:rPr>
          <w:rFonts w:hAnsi="SimSun"/>
          <w:sz w:val="24"/>
          <w:szCs w:val="24"/>
          <w:lang w:eastAsia="zh-CN"/>
        </w:rPr>
        <w:t>CBD/COP/14/2</w:t>
      </w:r>
      <w:r w:rsidRPr="00363EAE">
        <w:rPr>
          <w:rFonts w:ascii="SimSun" w:eastAsia="SimSun" w:hAnsi="SimSun" w:cs="SimSun" w:hint="eastAsia"/>
          <w:sz w:val="24"/>
          <w:szCs w:val="24"/>
          <w:lang w:eastAsia="zh-CN"/>
        </w:rPr>
        <w:t>）</w:t>
      </w:r>
      <w:r w:rsidR="00733957">
        <w:rPr>
          <w:rFonts w:ascii="SimSun" w:eastAsia="SimSun" w:hAnsi="SimSun" w:cs="SimSun" w:hint="eastAsia"/>
          <w:sz w:val="24"/>
          <w:szCs w:val="24"/>
          <w:lang w:eastAsia="zh-CN"/>
        </w:rPr>
        <w:t>中</w:t>
      </w:r>
      <w:r w:rsidR="00733957">
        <w:rPr>
          <w:rFonts w:ascii="SimSun" w:eastAsia="SimSun" w:hAnsi="SimSun" w:cs="SimSun"/>
          <w:sz w:val="24"/>
          <w:szCs w:val="24"/>
          <w:lang w:eastAsia="zh-CN"/>
        </w:rPr>
        <w:t>所载</w:t>
      </w:r>
      <w:r w:rsidRPr="00363EAE">
        <w:rPr>
          <w:rFonts w:ascii="SimSun" w:eastAsia="SimSun" w:hAnsi="SimSun" w:cs="SimSun" w:hint="eastAsia"/>
          <w:sz w:val="24"/>
          <w:szCs w:val="24"/>
          <w:lang w:eastAsia="zh-CN"/>
        </w:rPr>
        <w:t>根据第</w:t>
      </w:r>
      <w:r w:rsidRPr="00363EAE">
        <w:rPr>
          <w:rFonts w:hAnsi="SimSun"/>
          <w:sz w:val="24"/>
          <w:szCs w:val="24"/>
          <w:lang w:eastAsia="zh-CN"/>
        </w:rPr>
        <w:t>SBSTTA-XXI/2</w:t>
      </w:r>
      <w:r w:rsidRPr="00363EAE">
        <w:rPr>
          <w:rFonts w:ascii="SimSun" w:eastAsia="SimSun" w:hAnsi="SimSun" w:cs="SimSun" w:hint="eastAsia"/>
          <w:sz w:val="24"/>
          <w:szCs w:val="24"/>
          <w:lang w:eastAsia="zh-CN"/>
        </w:rPr>
        <w:t>号建议编制的一份决定草案；载有题为</w:t>
      </w:r>
      <w:r w:rsidRPr="00363EAE">
        <w:rPr>
          <w:rFonts w:ascii="SimSun" w:eastAsia="Times New Roman" w:hAnsi="SimSun" w:cs="SimSun"/>
          <w:sz w:val="24"/>
          <w:szCs w:val="24"/>
          <w:lang w:eastAsia="zh-CN"/>
        </w:rPr>
        <w:t>“</w:t>
      </w:r>
      <w:r w:rsidRPr="00363EAE">
        <w:rPr>
          <w:rFonts w:ascii="SimSun" w:eastAsia="SimSun" w:hAnsi="SimSun" w:cs="SimSun" w:hint="eastAsia"/>
          <w:sz w:val="24"/>
          <w:szCs w:val="24"/>
          <w:lang w:eastAsia="zh-CN"/>
        </w:rPr>
        <w:t>实现可持续性、参与性和包容性野生动物肉部门</w:t>
      </w:r>
      <w:r w:rsidRPr="00363EAE">
        <w:rPr>
          <w:rFonts w:ascii="SimSun" w:eastAsia="Times New Roman" w:hAnsi="SimSun" w:cs="SimSun"/>
          <w:sz w:val="24"/>
          <w:szCs w:val="24"/>
          <w:lang w:eastAsia="zh-CN"/>
        </w:rPr>
        <w:t>”</w:t>
      </w:r>
      <w:r w:rsidRPr="00363EAE">
        <w:rPr>
          <w:rFonts w:ascii="SimSun" w:eastAsia="SimSun" w:hAnsi="SimSun" w:cs="SimSun" w:hint="eastAsia"/>
          <w:sz w:val="24"/>
          <w:szCs w:val="24"/>
          <w:lang w:eastAsia="zh-CN"/>
        </w:rPr>
        <w:t>的技术研究报告的信息文件（</w:t>
      </w:r>
      <w:r w:rsidRPr="00363EAE">
        <w:rPr>
          <w:rFonts w:hAnsi="SimSun"/>
          <w:sz w:val="24"/>
          <w:szCs w:val="24"/>
          <w:lang w:eastAsia="zh-CN"/>
        </w:rPr>
        <w:t>CBD/COP/14/INF/7</w:t>
      </w:r>
      <w:r w:rsidRPr="00363EAE">
        <w:rPr>
          <w:rFonts w:ascii="SimSun" w:eastAsia="SimSun" w:hAnsi="SimSun" w:cs="SimSun" w:hint="eastAsia"/>
          <w:sz w:val="24"/>
          <w:szCs w:val="24"/>
          <w:lang w:eastAsia="zh-CN"/>
        </w:rPr>
        <w:t>）；载有野生动物可持续管理合作伙伴关系提交的进度报告的信息文件（</w:t>
      </w:r>
      <w:r w:rsidRPr="00363EAE">
        <w:rPr>
          <w:rFonts w:hAnsi="SimSun"/>
          <w:sz w:val="24"/>
          <w:szCs w:val="24"/>
          <w:lang w:eastAsia="zh-CN"/>
        </w:rPr>
        <w:t>CBD/COP/14/INF/11</w:t>
      </w:r>
      <w:r w:rsidRPr="00363EAE">
        <w:rPr>
          <w:rFonts w:ascii="SimSun" w:eastAsia="SimSun" w:hAnsi="SimSun" w:cs="SimSun" w:hint="eastAsia"/>
          <w:sz w:val="24"/>
          <w:szCs w:val="24"/>
          <w:lang w:eastAsia="zh-CN"/>
        </w:rPr>
        <w:t>）。</w:t>
      </w:r>
    </w:p>
    <w:p w:rsidR="008D76BF" w:rsidRPr="00363EAE" w:rsidRDefault="008D76BF" w:rsidP="00750ECD">
      <w:pPr>
        <w:pStyle w:val="Para1"/>
        <w:numPr>
          <w:ilvl w:val="0"/>
          <w:numId w:val="9"/>
        </w:numPr>
        <w:tabs>
          <w:tab w:val="clear" w:pos="360"/>
          <w:tab w:val="left" w:pos="720"/>
        </w:tabs>
        <w:ind w:firstLine="0"/>
        <w:rPr>
          <w:rFonts w:hAnsi="SimSun"/>
          <w:sz w:val="24"/>
          <w:szCs w:val="24"/>
          <w:lang w:eastAsia="zh-CN"/>
        </w:rPr>
      </w:pPr>
      <w:r w:rsidRPr="00363EAE">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363EAE">
        <w:rPr>
          <w:rFonts w:ascii="SimSun" w:eastAsia="SimSun" w:hAnsi="SimSun" w:cs="SimSun" w:hint="eastAsia"/>
          <w:sz w:val="24"/>
          <w:szCs w:val="24"/>
          <w:lang w:eastAsia="zh-CN"/>
        </w:rPr>
        <w:t>：哥伦比亚、刚果、加蓬和墨西哥。</w:t>
      </w:r>
    </w:p>
    <w:p w:rsidR="008D76BF" w:rsidRPr="00363EAE" w:rsidRDefault="008D76BF" w:rsidP="00750ECD">
      <w:pPr>
        <w:pStyle w:val="Para1"/>
        <w:numPr>
          <w:ilvl w:val="0"/>
          <w:numId w:val="9"/>
        </w:numPr>
        <w:tabs>
          <w:tab w:val="clear" w:pos="360"/>
          <w:tab w:val="left" w:pos="720"/>
        </w:tabs>
        <w:ind w:firstLine="0"/>
        <w:rPr>
          <w:rFonts w:hAnsi="SimSun"/>
          <w:sz w:val="24"/>
          <w:szCs w:val="24"/>
          <w:lang w:eastAsia="zh-CN"/>
        </w:rPr>
      </w:pPr>
      <w:r w:rsidRPr="00363EAE">
        <w:rPr>
          <w:rFonts w:ascii="SimSun" w:eastAsia="SimSun" w:hAnsi="SimSun" w:cs="SimSun" w:hint="eastAsia"/>
          <w:sz w:val="24"/>
          <w:szCs w:val="24"/>
          <w:lang w:eastAsia="zh-CN"/>
        </w:rPr>
        <w:t>继提出意见的各方进行简短协商后，主席指出，她将编制一份订正决定草案，供工作组审议。</w:t>
      </w:r>
    </w:p>
    <w:p w:rsidR="008D76BF" w:rsidRPr="00363EAE" w:rsidRDefault="008D76BF" w:rsidP="00750ECD">
      <w:pPr>
        <w:pStyle w:val="Para1"/>
        <w:numPr>
          <w:ilvl w:val="0"/>
          <w:numId w:val="9"/>
        </w:numPr>
        <w:tabs>
          <w:tab w:val="clear" w:pos="360"/>
          <w:tab w:val="left" w:pos="720"/>
        </w:tabs>
        <w:ind w:firstLine="0"/>
        <w:rPr>
          <w:rFonts w:hAnsi="SimSun"/>
          <w:sz w:val="24"/>
          <w:szCs w:val="24"/>
          <w:lang w:eastAsia="zh-CN"/>
        </w:rPr>
      </w:pPr>
      <w:r w:rsidRPr="00363EAE">
        <w:rPr>
          <w:rFonts w:ascii="SimSun" w:eastAsia="SimSun" w:hAnsi="SimSun" w:cs="SimSun" w:hint="eastAsia"/>
          <w:sz w:val="24"/>
          <w:szCs w:val="24"/>
          <w:lang w:eastAsia="zh-CN"/>
        </w:rPr>
        <w:t>工作组在</w:t>
      </w:r>
      <w:r w:rsidRPr="00363EAE">
        <w:rPr>
          <w:rFonts w:hAnsi="SimSun"/>
          <w:sz w:val="24"/>
          <w:szCs w:val="24"/>
          <w:lang w:eastAsia="zh-CN"/>
        </w:rPr>
        <w:t>2018</w:t>
      </w:r>
      <w:r w:rsidRPr="00363EAE">
        <w:rPr>
          <w:rFonts w:ascii="SimSun" w:eastAsia="SimSun" w:hAnsi="SimSun" w:cs="SimSun" w:hint="eastAsia"/>
          <w:sz w:val="24"/>
          <w:szCs w:val="24"/>
          <w:lang w:eastAsia="zh-CN"/>
        </w:rPr>
        <w:t>年</w:t>
      </w:r>
      <w:r w:rsidRPr="00363EAE">
        <w:rPr>
          <w:rFonts w:hAnsi="SimSun"/>
          <w:sz w:val="24"/>
          <w:szCs w:val="24"/>
          <w:lang w:eastAsia="zh-CN"/>
        </w:rPr>
        <w:t>11</w:t>
      </w:r>
      <w:r w:rsidRPr="00363EAE">
        <w:rPr>
          <w:rFonts w:ascii="SimSun" w:eastAsia="SimSun" w:hAnsi="SimSun" w:cs="SimSun" w:hint="eastAsia"/>
          <w:sz w:val="24"/>
          <w:szCs w:val="24"/>
          <w:lang w:eastAsia="zh-CN"/>
        </w:rPr>
        <w:t>月</w:t>
      </w:r>
      <w:r w:rsidRPr="00363EAE">
        <w:rPr>
          <w:rFonts w:hAnsi="SimSun"/>
          <w:sz w:val="24"/>
          <w:szCs w:val="24"/>
          <w:lang w:eastAsia="zh-CN"/>
        </w:rPr>
        <w:t>22</w:t>
      </w:r>
      <w:r w:rsidRPr="00363EAE">
        <w:rPr>
          <w:rFonts w:ascii="SimSun" w:eastAsia="SimSun" w:hAnsi="SimSun" w:cs="SimSun" w:hint="eastAsia"/>
          <w:sz w:val="24"/>
          <w:szCs w:val="24"/>
          <w:lang w:eastAsia="zh-CN"/>
        </w:rPr>
        <w:t>日第</w:t>
      </w:r>
      <w:r w:rsidRPr="00363EAE">
        <w:rPr>
          <w:rFonts w:hAnsi="SimSun"/>
          <w:sz w:val="24"/>
          <w:szCs w:val="24"/>
          <w:lang w:eastAsia="zh-CN"/>
        </w:rPr>
        <w:t>8</w:t>
      </w:r>
      <w:r w:rsidRPr="00363EAE">
        <w:rPr>
          <w:rFonts w:ascii="SimSun" w:eastAsia="SimSun" w:hAnsi="SimSun" w:cs="SimSun" w:hint="eastAsia"/>
          <w:sz w:val="24"/>
          <w:szCs w:val="24"/>
          <w:lang w:eastAsia="zh-CN"/>
        </w:rPr>
        <w:t>场会议上，审议了主席提交的订正决定草案。</w:t>
      </w:r>
    </w:p>
    <w:p w:rsidR="008D76BF" w:rsidRPr="00363EAE" w:rsidRDefault="008D76BF" w:rsidP="00750ECD">
      <w:pPr>
        <w:pStyle w:val="Para1"/>
        <w:numPr>
          <w:ilvl w:val="0"/>
          <w:numId w:val="9"/>
        </w:numPr>
        <w:tabs>
          <w:tab w:val="clear" w:pos="360"/>
          <w:tab w:val="left" w:pos="720"/>
        </w:tabs>
        <w:ind w:firstLine="0"/>
        <w:rPr>
          <w:rFonts w:hAnsi="SimSun"/>
          <w:sz w:val="24"/>
          <w:szCs w:val="24"/>
          <w:lang w:eastAsia="zh-CN"/>
        </w:rPr>
      </w:pPr>
      <w:r w:rsidRPr="00363EAE">
        <w:rPr>
          <w:rFonts w:ascii="SimSun" w:eastAsia="SimSun" w:hAnsi="SimSun" w:cs="SimSun" w:hint="eastAsia"/>
          <w:sz w:val="24"/>
          <w:szCs w:val="24"/>
          <w:lang w:eastAsia="zh-CN"/>
        </w:rPr>
        <w:t>下列国家代表</w:t>
      </w:r>
      <w:r w:rsidR="006952B0">
        <w:rPr>
          <w:rFonts w:ascii="SimSun" w:eastAsia="SimSun" w:hAnsi="SimSun" w:cs="SimSun" w:hint="eastAsia"/>
          <w:sz w:val="24"/>
          <w:szCs w:val="24"/>
          <w:lang w:eastAsia="zh-CN"/>
        </w:rPr>
        <w:t>作了发言</w:t>
      </w:r>
      <w:r w:rsidRPr="00363EAE">
        <w:rPr>
          <w:rFonts w:ascii="SimSun" w:eastAsia="SimSun" w:hAnsi="SimSun" w:cs="SimSun" w:hint="eastAsia"/>
          <w:sz w:val="24"/>
          <w:szCs w:val="24"/>
          <w:lang w:eastAsia="zh-CN"/>
        </w:rPr>
        <w:t>：阿根廷、多民族玻利维亚国、巴西、哥伦比亚、哥斯达黎加、科特迪瓦、欧洲联盟及其</w:t>
      </w:r>
      <w:r w:rsidRPr="00363EAE">
        <w:rPr>
          <w:rFonts w:hAnsi="SimSun"/>
          <w:sz w:val="24"/>
          <w:szCs w:val="24"/>
          <w:lang w:eastAsia="zh-CN"/>
        </w:rPr>
        <w:t>28</w:t>
      </w:r>
      <w:r w:rsidRPr="00363EAE">
        <w:rPr>
          <w:rFonts w:ascii="SimSun" w:eastAsia="SimSun" w:hAnsi="SimSun" w:cs="SimSun" w:hint="eastAsia"/>
          <w:sz w:val="24"/>
          <w:szCs w:val="24"/>
          <w:lang w:eastAsia="zh-CN"/>
        </w:rPr>
        <w:t>个成员国、墨西哥、新西兰、大韩民国、塞内加尔（代表非洲集团）、南非、乌拉圭、委内瑞拉玻利瓦尔共和国和越南。</w:t>
      </w:r>
    </w:p>
    <w:p w:rsidR="008D76BF" w:rsidRPr="00363EAE" w:rsidRDefault="008D76BF" w:rsidP="00750ECD">
      <w:pPr>
        <w:pStyle w:val="Para1"/>
        <w:numPr>
          <w:ilvl w:val="0"/>
          <w:numId w:val="9"/>
        </w:numPr>
        <w:tabs>
          <w:tab w:val="clear" w:pos="360"/>
          <w:tab w:val="left" w:pos="720"/>
        </w:tabs>
        <w:ind w:firstLine="0"/>
        <w:rPr>
          <w:rFonts w:hAnsi="SimSun"/>
          <w:sz w:val="24"/>
          <w:szCs w:val="24"/>
          <w:lang w:eastAsia="zh-CN"/>
        </w:rPr>
      </w:pPr>
      <w:r w:rsidRPr="00363EAE">
        <w:rPr>
          <w:rFonts w:ascii="SimSun" w:eastAsia="SimSun" w:hAnsi="SimSun" w:cs="SimSun" w:hint="eastAsia"/>
          <w:sz w:val="24"/>
          <w:szCs w:val="24"/>
          <w:lang w:eastAsia="zh-CN"/>
        </w:rPr>
        <w:t>工作组在</w:t>
      </w:r>
      <w:r w:rsidRPr="00363EAE">
        <w:rPr>
          <w:rFonts w:hAnsi="SimSun"/>
          <w:sz w:val="24"/>
          <w:szCs w:val="24"/>
          <w:lang w:eastAsia="zh-CN"/>
        </w:rPr>
        <w:t>2018</w:t>
      </w:r>
      <w:r w:rsidRPr="00363EAE">
        <w:rPr>
          <w:rFonts w:ascii="SimSun" w:eastAsia="SimSun" w:hAnsi="SimSun" w:cs="SimSun" w:hint="eastAsia"/>
          <w:sz w:val="24"/>
          <w:szCs w:val="24"/>
          <w:lang w:eastAsia="zh-CN"/>
        </w:rPr>
        <w:t>年</w:t>
      </w:r>
      <w:r w:rsidRPr="00363EAE">
        <w:rPr>
          <w:rFonts w:hAnsi="SimSun"/>
          <w:sz w:val="24"/>
          <w:szCs w:val="24"/>
          <w:lang w:eastAsia="zh-CN"/>
        </w:rPr>
        <w:t>11</w:t>
      </w:r>
      <w:r w:rsidRPr="00363EAE">
        <w:rPr>
          <w:rFonts w:ascii="SimSun" w:eastAsia="SimSun" w:hAnsi="SimSun" w:cs="SimSun" w:hint="eastAsia"/>
          <w:sz w:val="24"/>
          <w:szCs w:val="24"/>
          <w:lang w:eastAsia="zh-CN"/>
        </w:rPr>
        <w:t>月</w:t>
      </w:r>
      <w:r w:rsidRPr="00363EAE">
        <w:rPr>
          <w:rFonts w:hAnsi="SimSun"/>
          <w:sz w:val="24"/>
          <w:szCs w:val="24"/>
          <w:lang w:eastAsia="zh-CN"/>
        </w:rPr>
        <w:t>22</w:t>
      </w:r>
      <w:r w:rsidRPr="00363EAE">
        <w:rPr>
          <w:rFonts w:ascii="SimSun" w:eastAsia="SimSun" w:hAnsi="SimSun" w:cs="SimSun" w:hint="eastAsia"/>
          <w:sz w:val="24"/>
          <w:szCs w:val="24"/>
          <w:lang w:eastAsia="zh-CN"/>
        </w:rPr>
        <w:t>日</w:t>
      </w:r>
      <w:r w:rsidR="00363A11">
        <w:rPr>
          <w:rFonts w:ascii="SimSun" w:eastAsia="SimSun" w:hAnsi="SimSun" w:cs="SimSun" w:hint="eastAsia"/>
          <w:sz w:val="24"/>
          <w:szCs w:val="24"/>
          <w:lang w:eastAsia="zh-CN"/>
        </w:rPr>
        <w:t>其</w:t>
      </w:r>
      <w:r w:rsidRPr="00363EAE">
        <w:rPr>
          <w:rFonts w:ascii="SimSun" w:eastAsia="SimSun" w:hAnsi="SimSun" w:cs="SimSun" w:hint="eastAsia"/>
          <w:sz w:val="24"/>
          <w:szCs w:val="24"/>
          <w:lang w:eastAsia="zh-CN"/>
        </w:rPr>
        <w:t>第</w:t>
      </w:r>
      <w:r w:rsidRPr="00363EAE">
        <w:rPr>
          <w:rFonts w:hAnsi="SimSun"/>
          <w:sz w:val="24"/>
          <w:szCs w:val="24"/>
          <w:lang w:eastAsia="zh-CN"/>
        </w:rPr>
        <w:t>9</w:t>
      </w:r>
      <w:r w:rsidRPr="00363EAE">
        <w:rPr>
          <w:rFonts w:ascii="SimSun" w:eastAsia="SimSun" w:hAnsi="SimSun" w:cs="SimSun" w:hint="eastAsia"/>
          <w:sz w:val="24"/>
          <w:szCs w:val="24"/>
          <w:lang w:eastAsia="zh-CN"/>
        </w:rPr>
        <w:t>场会议上继续审议订正决定草案。</w:t>
      </w:r>
    </w:p>
    <w:p w:rsidR="008D76BF" w:rsidRPr="00363EAE" w:rsidRDefault="008D76BF" w:rsidP="00750ECD">
      <w:pPr>
        <w:pStyle w:val="Para1"/>
        <w:numPr>
          <w:ilvl w:val="0"/>
          <w:numId w:val="9"/>
        </w:numPr>
        <w:tabs>
          <w:tab w:val="clear" w:pos="360"/>
          <w:tab w:val="left" w:pos="720"/>
        </w:tabs>
        <w:ind w:firstLine="0"/>
        <w:rPr>
          <w:rFonts w:hAnsi="SimSun"/>
          <w:sz w:val="24"/>
          <w:szCs w:val="24"/>
          <w:lang w:eastAsia="zh-CN"/>
        </w:rPr>
      </w:pPr>
      <w:r w:rsidRPr="00363EAE">
        <w:rPr>
          <w:rFonts w:ascii="SimSun" w:eastAsia="SimSun" w:hAnsi="SimSun" w:cs="SimSun" w:hint="eastAsia"/>
          <w:sz w:val="24"/>
          <w:szCs w:val="24"/>
          <w:lang w:eastAsia="zh-CN"/>
        </w:rPr>
        <w:t>下列国家代表</w:t>
      </w:r>
      <w:r w:rsidR="006952B0">
        <w:rPr>
          <w:rFonts w:ascii="SimSun" w:eastAsia="SimSun" w:hAnsi="SimSun" w:cs="SimSun" w:hint="eastAsia"/>
          <w:sz w:val="24"/>
          <w:szCs w:val="24"/>
          <w:lang w:eastAsia="zh-CN"/>
        </w:rPr>
        <w:t>作了发言</w:t>
      </w:r>
      <w:r w:rsidRPr="00363EAE">
        <w:rPr>
          <w:rFonts w:ascii="SimSun" w:eastAsia="SimSun" w:hAnsi="SimSun" w:cs="SimSun" w:hint="eastAsia"/>
          <w:sz w:val="24"/>
          <w:szCs w:val="24"/>
          <w:lang w:eastAsia="zh-CN"/>
        </w:rPr>
        <w:t>：阿根廷、哥伦比亚、欧洲联盟及其</w:t>
      </w:r>
      <w:r w:rsidRPr="00363EAE">
        <w:rPr>
          <w:rFonts w:hAnsi="SimSun"/>
          <w:sz w:val="24"/>
          <w:szCs w:val="24"/>
          <w:lang w:eastAsia="zh-CN"/>
        </w:rPr>
        <w:t>28</w:t>
      </w:r>
      <w:r w:rsidRPr="00363EAE">
        <w:rPr>
          <w:rFonts w:ascii="SimSun" w:eastAsia="SimSun" w:hAnsi="SimSun" w:cs="SimSun" w:hint="eastAsia"/>
          <w:sz w:val="24"/>
          <w:szCs w:val="24"/>
          <w:lang w:eastAsia="zh-CN"/>
        </w:rPr>
        <w:t>个成员国、墨西哥、南非和委内瑞拉玻利瓦尔共和国。</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363EAE">
        <w:rPr>
          <w:rFonts w:ascii="SimSun" w:eastAsia="SimSun" w:hAnsi="SimSun" w:cs="SimSun" w:hint="eastAsia"/>
          <w:sz w:val="24"/>
          <w:szCs w:val="24"/>
          <w:lang w:eastAsia="zh-CN"/>
        </w:rPr>
        <w:t>经交换意见后，核准将经口头订正的决定草案，作为</w:t>
      </w:r>
      <w:r w:rsidR="00A434BF">
        <w:rPr>
          <w:rFonts w:ascii="SimSun" w:eastAsia="SimSun" w:hAnsi="SimSun" w:cs="SimSun" w:hint="eastAsia"/>
          <w:sz w:val="24"/>
          <w:szCs w:val="24"/>
          <w:lang w:eastAsia="zh-CN"/>
        </w:rPr>
        <w:t>决定草案</w:t>
      </w:r>
      <w:r w:rsidRPr="00363EAE">
        <w:rPr>
          <w:rFonts w:hAnsi="SimSun"/>
          <w:sz w:val="24"/>
          <w:szCs w:val="24"/>
          <w:lang w:eastAsia="zh-CN"/>
        </w:rPr>
        <w:t>CBD/COP/14/L.11</w:t>
      </w:r>
      <w:r w:rsidRPr="00363EAE">
        <w:rPr>
          <w:rFonts w:ascii="SimSun" w:eastAsia="SimSun" w:hAnsi="SimSun" w:cs="SimSun" w:hint="eastAsia"/>
          <w:sz w:val="24"/>
          <w:szCs w:val="24"/>
          <w:lang w:eastAsia="zh-CN"/>
        </w:rPr>
        <w:t>转交全体会议。</w:t>
      </w:r>
    </w:p>
    <w:p w:rsidR="008D76BF" w:rsidRPr="00972641" w:rsidRDefault="00972641" w:rsidP="00E17F8A">
      <w:pPr>
        <w:pStyle w:val="Para1"/>
        <w:numPr>
          <w:ilvl w:val="0"/>
          <w:numId w:val="9"/>
        </w:numPr>
        <w:tabs>
          <w:tab w:val="clear" w:pos="360"/>
          <w:tab w:val="left" w:pos="720"/>
        </w:tabs>
        <w:ind w:firstLine="0"/>
        <w:rPr>
          <w:rFonts w:hAnsi="SimSun"/>
          <w:sz w:val="24"/>
          <w:szCs w:val="24"/>
          <w:lang w:eastAsia="zh-CN"/>
        </w:rPr>
      </w:pPr>
      <w:r w:rsidRPr="00972641">
        <w:rPr>
          <w:rFonts w:ascii="SimSun" w:eastAsia="SimSun" w:hAnsi="SimSun" w:cs="SimSun" w:hint="eastAsia"/>
          <w:sz w:val="24"/>
          <w:szCs w:val="24"/>
          <w:lang w:eastAsia="zh-CN"/>
        </w:rPr>
        <w:t>在</w:t>
      </w:r>
      <w:r w:rsidRPr="00972641">
        <w:rPr>
          <w:rFonts w:hAnsi="SimSun"/>
          <w:sz w:val="24"/>
          <w:szCs w:val="24"/>
          <w:lang w:eastAsia="zh-CN"/>
        </w:rPr>
        <w:t>2018</w:t>
      </w:r>
      <w:r w:rsidRPr="00972641">
        <w:rPr>
          <w:rFonts w:ascii="SimSun" w:eastAsia="SimSun" w:hAnsi="SimSun" w:cs="SimSun" w:hint="eastAsia"/>
          <w:sz w:val="24"/>
          <w:szCs w:val="24"/>
          <w:lang w:eastAsia="zh-CN"/>
        </w:rPr>
        <w:t>年</w:t>
      </w:r>
      <w:r w:rsidRPr="00972641">
        <w:rPr>
          <w:rFonts w:hAnsi="SimSun"/>
          <w:sz w:val="24"/>
          <w:szCs w:val="24"/>
          <w:lang w:eastAsia="zh-CN"/>
        </w:rPr>
        <w:t>11</w:t>
      </w:r>
      <w:r w:rsidRPr="00972641">
        <w:rPr>
          <w:rFonts w:ascii="SimSun" w:eastAsia="SimSun" w:hAnsi="SimSun" w:cs="SimSun" w:hint="eastAsia"/>
          <w:sz w:val="24"/>
          <w:szCs w:val="24"/>
          <w:lang w:eastAsia="zh-CN"/>
        </w:rPr>
        <w:t>月</w:t>
      </w:r>
      <w:r w:rsidRPr="00972641">
        <w:rPr>
          <w:rFonts w:hAnsi="SimSun"/>
          <w:sz w:val="24"/>
          <w:szCs w:val="24"/>
          <w:lang w:eastAsia="zh-CN"/>
        </w:rPr>
        <w:t>29</w:t>
      </w:r>
      <w:r w:rsidR="00363A11">
        <w:rPr>
          <w:rFonts w:ascii="SimSun" w:eastAsia="SimSun" w:hAnsi="SimSun" w:cs="SimSun" w:hint="eastAsia"/>
          <w:sz w:val="24"/>
          <w:szCs w:val="24"/>
          <w:lang w:eastAsia="zh-CN"/>
        </w:rPr>
        <w:t>日会议的</w:t>
      </w:r>
      <w:r w:rsidRPr="00972641">
        <w:rPr>
          <w:rFonts w:ascii="SimSun" w:eastAsia="SimSun" w:hAnsi="SimSun" w:cs="SimSun" w:hint="eastAsia"/>
          <w:sz w:val="24"/>
          <w:szCs w:val="24"/>
          <w:lang w:eastAsia="zh-CN"/>
        </w:rPr>
        <w:t>第</w:t>
      </w:r>
      <w:r w:rsidRPr="00972641">
        <w:rPr>
          <w:rFonts w:hAnsi="SimSun"/>
          <w:sz w:val="24"/>
          <w:szCs w:val="24"/>
          <w:lang w:eastAsia="zh-CN"/>
        </w:rPr>
        <w:t>7</w:t>
      </w:r>
      <w:r w:rsidRPr="00972641">
        <w:rPr>
          <w:rFonts w:ascii="SimSun" w:eastAsia="SimSun" w:hAnsi="SimSun" w:cs="SimSun" w:hint="eastAsia"/>
          <w:sz w:val="24"/>
          <w:szCs w:val="24"/>
          <w:lang w:eastAsia="zh-CN"/>
        </w:rPr>
        <w:t>次全体会议上，缔约方大会通过了决定草案</w:t>
      </w:r>
      <w:r w:rsidRPr="00972641">
        <w:rPr>
          <w:rFonts w:hAnsi="SimSun"/>
          <w:sz w:val="24"/>
          <w:szCs w:val="24"/>
          <w:lang w:eastAsia="zh-CN"/>
        </w:rPr>
        <w:t>CBD/COP/14/L.11</w:t>
      </w:r>
      <w:r w:rsidRPr="00972641">
        <w:rPr>
          <w:rFonts w:ascii="SimSun" w:eastAsia="SimSun" w:hAnsi="SimSun" w:cs="SimSun" w:hint="eastAsia"/>
          <w:sz w:val="24"/>
          <w:szCs w:val="24"/>
          <w:lang w:eastAsia="zh-CN"/>
        </w:rPr>
        <w:t>，成为第</w:t>
      </w:r>
      <w:r w:rsidRPr="00972641">
        <w:rPr>
          <w:rFonts w:hAnsi="SimSun"/>
          <w:sz w:val="24"/>
          <w:szCs w:val="24"/>
          <w:lang w:eastAsia="zh-CN"/>
        </w:rPr>
        <w:t>14/7</w:t>
      </w:r>
      <w:r w:rsidRPr="00972641">
        <w:rPr>
          <w:rFonts w:ascii="SimSun" w:eastAsia="SimSun" w:hAnsi="SimSun" w:cs="SimSun" w:hint="eastAsia"/>
          <w:sz w:val="24"/>
          <w:szCs w:val="24"/>
          <w:lang w:eastAsia="zh-CN"/>
        </w:rPr>
        <w:t>号决定</w:t>
      </w:r>
      <w:r w:rsidRPr="00972641">
        <w:rPr>
          <w:rFonts w:eastAsiaTheme="minorEastAsia" w:hAnsi="SimSun"/>
          <w:sz w:val="24"/>
          <w:lang w:eastAsia="zh-CN"/>
        </w:rPr>
        <w:t>（案文见第一章）。</w:t>
      </w:r>
    </w:p>
    <w:p w:rsidR="008D76BF" w:rsidRPr="00E63AA3" w:rsidRDefault="008D76BF" w:rsidP="00E63AA3">
      <w:pPr>
        <w:pStyle w:val="Heading1"/>
        <w:spacing w:before="120" w:after="120"/>
        <w:ind w:firstLine="0"/>
        <w:rPr>
          <w:rFonts w:eastAsia="Times New Roman"/>
          <w:sz w:val="24"/>
          <w:lang w:eastAsia="zh-CN"/>
        </w:rPr>
      </w:pPr>
      <w:bookmarkStart w:id="283" w:name="_Toc6243832"/>
      <w:r w:rsidRPr="00E63AA3">
        <w:rPr>
          <w:rFonts w:hint="eastAsia"/>
          <w:sz w:val="24"/>
          <w:lang w:eastAsia="zh-CN"/>
        </w:rPr>
        <w:t>项目</w:t>
      </w:r>
      <w:r w:rsidRPr="00E63AA3">
        <w:rPr>
          <w:rFonts w:eastAsia="Times New Roman"/>
          <w:sz w:val="24"/>
          <w:lang w:eastAsia="zh-CN"/>
        </w:rPr>
        <w:t xml:space="preserve">21.   </w:t>
      </w:r>
      <w:r w:rsidR="00366699" w:rsidRPr="00E63AA3">
        <w:rPr>
          <w:rFonts w:eastAsia="Times New Roman"/>
          <w:sz w:val="24"/>
          <w:lang w:eastAsia="zh-CN"/>
        </w:rPr>
        <w:t xml:space="preserve">   </w:t>
      </w:r>
      <w:r w:rsidRPr="00E63AA3">
        <w:rPr>
          <w:rFonts w:hint="eastAsia"/>
          <w:sz w:val="24"/>
          <w:lang w:eastAsia="zh-CN"/>
        </w:rPr>
        <w:t>生物多样性和气候变化</w:t>
      </w:r>
      <w:bookmarkEnd w:id="283"/>
      <w:r w:rsidRPr="00E63AA3">
        <w:rPr>
          <w:rFonts w:eastAsia="Times New Roman"/>
          <w:sz w:val="24"/>
          <w:lang w:eastAsia="zh-CN"/>
        </w:rPr>
        <w:t xml:space="preserve"> </w:t>
      </w:r>
    </w:p>
    <w:p w:rsidR="008D76BF" w:rsidRPr="00057D2D" w:rsidRDefault="008D76BF" w:rsidP="00750ECD">
      <w:pPr>
        <w:pStyle w:val="Para1"/>
        <w:numPr>
          <w:ilvl w:val="0"/>
          <w:numId w:val="9"/>
        </w:numPr>
        <w:tabs>
          <w:tab w:val="clear" w:pos="360"/>
          <w:tab w:val="left" w:pos="720"/>
        </w:tabs>
        <w:ind w:firstLine="0"/>
        <w:rPr>
          <w:rFonts w:hAnsi="SimSun"/>
          <w:sz w:val="24"/>
          <w:szCs w:val="24"/>
          <w:lang w:eastAsia="zh-CN"/>
        </w:rPr>
      </w:pPr>
      <w:r w:rsidRPr="00057D2D">
        <w:rPr>
          <w:rFonts w:ascii="SimSun" w:eastAsia="SimSun" w:hAnsi="SimSun" w:cs="SimSun" w:hint="eastAsia"/>
          <w:sz w:val="24"/>
          <w:szCs w:val="24"/>
          <w:lang w:eastAsia="zh-CN"/>
        </w:rPr>
        <w:t>第二工作组在</w:t>
      </w:r>
      <w:r w:rsidRPr="00057D2D">
        <w:rPr>
          <w:rFonts w:hAnsi="SimSun"/>
          <w:sz w:val="24"/>
          <w:szCs w:val="24"/>
          <w:lang w:eastAsia="zh-CN"/>
        </w:rPr>
        <w:t>2018</w:t>
      </w:r>
      <w:r w:rsidRPr="00057D2D">
        <w:rPr>
          <w:rFonts w:ascii="SimSun" w:eastAsia="SimSun" w:hAnsi="SimSun" w:cs="SimSun" w:hint="eastAsia"/>
          <w:sz w:val="24"/>
          <w:szCs w:val="24"/>
          <w:lang w:eastAsia="zh-CN"/>
        </w:rPr>
        <w:t>年</w:t>
      </w:r>
      <w:r w:rsidRPr="00057D2D">
        <w:rPr>
          <w:rFonts w:hAnsi="SimSun"/>
          <w:sz w:val="24"/>
          <w:szCs w:val="24"/>
          <w:lang w:eastAsia="zh-CN"/>
        </w:rPr>
        <w:t>11</w:t>
      </w:r>
      <w:r w:rsidRPr="00057D2D">
        <w:rPr>
          <w:rFonts w:ascii="SimSun" w:eastAsia="SimSun" w:hAnsi="SimSun" w:cs="SimSun" w:hint="eastAsia"/>
          <w:sz w:val="24"/>
          <w:szCs w:val="24"/>
          <w:lang w:eastAsia="zh-CN"/>
        </w:rPr>
        <w:t>月</w:t>
      </w:r>
      <w:r w:rsidRPr="00057D2D">
        <w:rPr>
          <w:rFonts w:hAnsi="SimSun"/>
          <w:sz w:val="24"/>
          <w:szCs w:val="24"/>
          <w:lang w:eastAsia="zh-CN"/>
        </w:rPr>
        <w:t>19</w:t>
      </w:r>
      <w:r w:rsidRPr="00057D2D">
        <w:rPr>
          <w:rFonts w:ascii="SimSun" w:eastAsia="SimSun" w:hAnsi="SimSun" w:cs="SimSun" w:hint="eastAsia"/>
          <w:sz w:val="24"/>
          <w:szCs w:val="24"/>
          <w:lang w:eastAsia="zh-CN"/>
        </w:rPr>
        <w:t>日</w:t>
      </w:r>
      <w:r w:rsidR="00363A11">
        <w:rPr>
          <w:rFonts w:ascii="SimSun" w:eastAsia="SimSun" w:hAnsi="SimSun" w:cs="SimSun" w:hint="eastAsia"/>
          <w:sz w:val="24"/>
          <w:szCs w:val="24"/>
          <w:lang w:eastAsia="zh-CN"/>
        </w:rPr>
        <w:t>其</w:t>
      </w:r>
      <w:r w:rsidRPr="00057D2D">
        <w:rPr>
          <w:rFonts w:ascii="SimSun" w:eastAsia="SimSun" w:hAnsi="SimSun" w:cs="SimSun" w:hint="eastAsia"/>
          <w:sz w:val="24"/>
          <w:szCs w:val="24"/>
          <w:lang w:eastAsia="zh-CN"/>
        </w:rPr>
        <w:t>第</w:t>
      </w:r>
      <w:r w:rsidRPr="00057D2D">
        <w:rPr>
          <w:rFonts w:hAnsi="SimSun"/>
          <w:sz w:val="24"/>
          <w:szCs w:val="24"/>
          <w:lang w:eastAsia="zh-CN"/>
        </w:rPr>
        <w:t>4</w:t>
      </w:r>
      <w:r w:rsidRPr="00057D2D">
        <w:rPr>
          <w:rFonts w:ascii="SimSun" w:eastAsia="SimSun" w:hAnsi="SimSun" w:cs="SimSun" w:hint="eastAsia"/>
          <w:sz w:val="24"/>
          <w:szCs w:val="24"/>
          <w:lang w:eastAsia="zh-CN"/>
        </w:rPr>
        <w:t>场会议上审议了议程项目</w:t>
      </w:r>
      <w:r w:rsidRPr="00057D2D">
        <w:rPr>
          <w:rFonts w:hAnsi="SimSun"/>
          <w:sz w:val="24"/>
          <w:szCs w:val="24"/>
          <w:lang w:eastAsia="zh-CN"/>
        </w:rPr>
        <w:t>21</w:t>
      </w:r>
      <w:r w:rsidRPr="00057D2D">
        <w:rPr>
          <w:rFonts w:ascii="SimSun" w:eastAsia="SimSun" w:hAnsi="SimSun" w:cs="SimSun" w:hint="eastAsia"/>
          <w:sz w:val="24"/>
          <w:szCs w:val="24"/>
          <w:lang w:eastAsia="zh-CN"/>
        </w:rPr>
        <w:t>。在审议这个项目时，工作组收到了决定草案汇编（</w:t>
      </w:r>
      <w:r w:rsidRPr="00057D2D">
        <w:rPr>
          <w:rFonts w:hAnsi="SimSun"/>
          <w:sz w:val="24"/>
          <w:szCs w:val="24"/>
          <w:lang w:eastAsia="zh-CN"/>
        </w:rPr>
        <w:t>CBD/COP/14/2</w:t>
      </w:r>
      <w:r w:rsidRPr="00057D2D">
        <w:rPr>
          <w:rFonts w:ascii="SimSun" w:eastAsia="SimSun" w:hAnsi="SimSun" w:cs="SimSun" w:hint="eastAsia"/>
          <w:sz w:val="24"/>
          <w:szCs w:val="24"/>
          <w:lang w:eastAsia="zh-CN"/>
        </w:rPr>
        <w:t>）</w:t>
      </w:r>
      <w:r w:rsidR="00733957">
        <w:rPr>
          <w:rFonts w:ascii="SimSun" w:eastAsia="SimSun" w:hAnsi="SimSun" w:cs="SimSun" w:hint="eastAsia"/>
          <w:sz w:val="24"/>
          <w:szCs w:val="24"/>
          <w:lang w:eastAsia="zh-CN"/>
        </w:rPr>
        <w:t>中</w:t>
      </w:r>
      <w:r w:rsidR="00733957">
        <w:rPr>
          <w:rFonts w:ascii="SimSun" w:eastAsia="SimSun" w:hAnsi="SimSun" w:cs="SimSun"/>
          <w:sz w:val="24"/>
          <w:szCs w:val="24"/>
          <w:lang w:eastAsia="zh-CN"/>
        </w:rPr>
        <w:t>所载</w:t>
      </w:r>
      <w:r w:rsidRPr="00057D2D">
        <w:rPr>
          <w:rFonts w:ascii="SimSun" w:eastAsia="SimSun" w:hAnsi="SimSun" w:cs="SimSun" w:hint="eastAsia"/>
          <w:sz w:val="24"/>
          <w:szCs w:val="24"/>
          <w:lang w:eastAsia="zh-CN"/>
        </w:rPr>
        <w:t>根据第</w:t>
      </w:r>
      <w:r w:rsidRPr="00057D2D">
        <w:rPr>
          <w:rFonts w:hAnsi="SimSun"/>
          <w:sz w:val="24"/>
          <w:szCs w:val="24"/>
          <w:lang w:eastAsia="zh-CN"/>
        </w:rPr>
        <w:t>SBSTTA</w:t>
      </w:r>
      <w:r>
        <w:rPr>
          <w:rFonts w:hAnsi="SimSun"/>
          <w:sz w:val="24"/>
          <w:szCs w:val="24"/>
          <w:lang w:eastAsia="zh-CN"/>
        </w:rPr>
        <w:t>-22</w:t>
      </w:r>
      <w:r w:rsidRPr="00057D2D">
        <w:rPr>
          <w:rFonts w:hAnsi="SimSun"/>
          <w:sz w:val="24"/>
          <w:szCs w:val="24"/>
          <w:lang w:eastAsia="zh-CN"/>
        </w:rPr>
        <w:t>/7</w:t>
      </w:r>
      <w:r w:rsidRPr="00057D2D">
        <w:rPr>
          <w:rFonts w:ascii="SimSun" w:eastAsia="SimSun" w:hAnsi="SimSun" w:cs="SimSun" w:hint="eastAsia"/>
          <w:sz w:val="24"/>
          <w:szCs w:val="24"/>
          <w:lang w:eastAsia="zh-CN"/>
        </w:rPr>
        <w:t>号建议编制的一份决定草案。在这份决定草案的附件中载有设计和有效实施基于生态系统的办法适应气候变化和减少灾害风险的自愿准则。</w:t>
      </w:r>
    </w:p>
    <w:p w:rsidR="008D76BF" w:rsidRPr="00057D2D" w:rsidRDefault="008D76BF" w:rsidP="00750ECD">
      <w:pPr>
        <w:pStyle w:val="Para1"/>
        <w:numPr>
          <w:ilvl w:val="0"/>
          <w:numId w:val="9"/>
        </w:numPr>
        <w:tabs>
          <w:tab w:val="clear" w:pos="360"/>
          <w:tab w:val="left" w:pos="720"/>
        </w:tabs>
        <w:ind w:firstLine="0"/>
        <w:rPr>
          <w:rFonts w:hAnsi="SimSun"/>
          <w:sz w:val="24"/>
          <w:szCs w:val="24"/>
          <w:lang w:eastAsia="zh-CN"/>
        </w:rPr>
      </w:pPr>
      <w:r w:rsidRPr="00057D2D">
        <w:rPr>
          <w:rFonts w:ascii="SimSun" w:eastAsia="SimSun" w:hAnsi="SimSun" w:cs="SimSun" w:hint="eastAsia"/>
          <w:sz w:val="24"/>
          <w:szCs w:val="24"/>
          <w:lang w:eastAsia="zh-CN"/>
        </w:rPr>
        <w:t>工作组看了政府间气候变化专门委员会（气候专委会）第二工作组共同主席</w:t>
      </w:r>
      <w:r w:rsidRPr="00057D2D">
        <w:rPr>
          <w:rFonts w:hAnsi="SimSun"/>
          <w:sz w:val="24"/>
          <w:szCs w:val="24"/>
          <w:lang w:eastAsia="zh-CN"/>
        </w:rPr>
        <w:t>Hans Otto P</w:t>
      </w:r>
      <w:r w:rsidRPr="00057D2D">
        <w:rPr>
          <w:rFonts w:hAnsi="SimSun"/>
          <w:sz w:val="24"/>
          <w:szCs w:val="24"/>
          <w:lang w:eastAsia="zh-CN"/>
        </w:rPr>
        <w:t>ö</w:t>
      </w:r>
      <w:r w:rsidRPr="00057D2D">
        <w:rPr>
          <w:rFonts w:hAnsi="SimSun"/>
          <w:sz w:val="24"/>
          <w:szCs w:val="24"/>
          <w:lang w:eastAsia="zh-CN"/>
        </w:rPr>
        <w:t>rtner</w:t>
      </w:r>
      <w:r w:rsidRPr="00057D2D">
        <w:rPr>
          <w:rFonts w:ascii="SimSun" w:eastAsia="SimSun" w:hAnsi="SimSun" w:cs="SimSun" w:hint="eastAsia"/>
          <w:sz w:val="24"/>
          <w:szCs w:val="24"/>
          <w:lang w:eastAsia="zh-CN"/>
        </w:rPr>
        <w:t>先生送来的一小段视频，其中他概述了气候专委会有关全球升温</w:t>
      </w:r>
      <w:r w:rsidRPr="00057D2D">
        <w:rPr>
          <w:rFonts w:hAnsi="SimSun"/>
          <w:sz w:val="24"/>
          <w:szCs w:val="24"/>
          <w:lang w:eastAsia="zh-CN"/>
        </w:rPr>
        <w:t>1.5</w:t>
      </w:r>
      <w:r w:rsidR="008D6349">
        <w:rPr>
          <w:rFonts w:hAnsi="SimSun"/>
          <w:sz w:val="24"/>
          <w:szCs w:val="24"/>
          <w:lang w:eastAsia="zh-CN"/>
        </w:rPr>
        <w:t>摄氏度</w:t>
      </w:r>
      <w:r w:rsidRPr="00057D2D">
        <w:rPr>
          <w:rFonts w:ascii="SimSun" w:eastAsia="SimSun" w:hAnsi="SimSun" w:cs="SimSun" w:hint="eastAsia"/>
          <w:sz w:val="24"/>
          <w:szCs w:val="24"/>
          <w:lang w:eastAsia="zh-CN"/>
        </w:rPr>
        <w:t>的特别报告。</w:t>
      </w:r>
    </w:p>
    <w:p w:rsidR="008D76BF" w:rsidRPr="00057D2D" w:rsidRDefault="008D76BF" w:rsidP="00750ECD">
      <w:pPr>
        <w:pStyle w:val="Para1"/>
        <w:numPr>
          <w:ilvl w:val="0"/>
          <w:numId w:val="9"/>
        </w:numPr>
        <w:tabs>
          <w:tab w:val="clear" w:pos="360"/>
          <w:tab w:val="left" w:pos="720"/>
        </w:tabs>
        <w:ind w:firstLine="0"/>
        <w:rPr>
          <w:rFonts w:hAnsi="SimSun"/>
          <w:sz w:val="24"/>
          <w:szCs w:val="24"/>
          <w:lang w:eastAsia="zh-CN"/>
        </w:rPr>
      </w:pPr>
      <w:r w:rsidRPr="00057D2D">
        <w:rPr>
          <w:rFonts w:ascii="SimSun" w:eastAsia="SimSun" w:hAnsi="SimSun" w:cs="SimSun" w:hint="eastAsia"/>
          <w:sz w:val="24"/>
          <w:szCs w:val="24"/>
          <w:lang w:eastAsia="zh-CN"/>
        </w:rPr>
        <w:lastRenderedPageBreak/>
        <w:t>下列国家的代表</w:t>
      </w:r>
      <w:r w:rsidR="006952B0">
        <w:rPr>
          <w:rFonts w:ascii="SimSun" w:eastAsia="SimSun" w:hAnsi="SimSun" w:cs="SimSun" w:hint="eastAsia"/>
          <w:sz w:val="24"/>
          <w:szCs w:val="24"/>
          <w:lang w:eastAsia="zh-CN"/>
        </w:rPr>
        <w:t>作了发言</w:t>
      </w:r>
      <w:r w:rsidRPr="00057D2D">
        <w:rPr>
          <w:rFonts w:ascii="SimSun" w:eastAsia="SimSun" w:hAnsi="SimSun" w:cs="SimSun" w:hint="eastAsia"/>
          <w:sz w:val="24"/>
          <w:szCs w:val="24"/>
          <w:lang w:eastAsia="zh-CN"/>
        </w:rPr>
        <w:t>：阿根廷、孟加拉国、多民族玻利维亚国、博茨瓦纳、巴西、柬埔寨、加拿大、中非共和国、哥伦比亚、哥斯达黎加、科特迪瓦、古巴、吉布提、多米尼加共和国、厄瓜多尔、埃及、斯威士兰（代表非洲国家集团）、欧洲联盟及其</w:t>
      </w:r>
      <w:r w:rsidRPr="00057D2D">
        <w:rPr>
          <w:rFonts w:hAnsi="SimSun"/>
          <w:sz w:val="24"/>
          <w:szCs w:val="24"/>
          <w:lang w:eastAsia="zh-CN"/>
        </w:rPr>
        <w:t>28</w:t>
      </w:r>
      <w:r w:rsidRPr="00057D2D">
        <w:rPr>
          <w:rFonts w:ascii="SimSun" w:eastAsia="SimSun" w:hAnsi="SimSun" w:cs="SimSun" w:hint="eastAsia"/>
          <w:sz w:val="24"/>
          <w:szCs w:val="24"/>
          <w:lang w:eastAsia="zh-CN"/>
        </w:rPr>
        <w:t>个成员国、危地马拉、印度、印度尼西亚、牙买加、日本、马拉维、马来西亚、马尔代夫、墨西哥、摩洛哥、新西兰、挪威、帕劳（代表太平洋岛屿国家）、秘鲁、菲律宾、圣卢西亚（代表小岛屿和低洼国家）、沙特阿拉伯、塞内加尔、南非、瑞士和委内瑞拉玻利瓦尔共和国。</w:t>
      </w:r>
    </w:p>
    <w:p w:rsidR="008D76BF" w:rsidRPr="00057D2D" w:rsidRDefault="008D76BF" w:rsidP="00750ECD">
      <w:pPr>
        <w:pStyle w:val="Para1"/>
        <w:numPr>
          <w:ilvl w:val="0"/>
          <w:numId w:val="9"/>
        </w:numPr>
        <w:tabs>
          <w:tab w:val="clear" w:pos="360"/>
          <w:tab w:val="left" w:pos="720"/>
        </w:tabs>
        <w:ind w:firstLine="0"/>
        <w:rPr>
          <w:rFonts w:hAnsi="SimSun"/>
          <w:sz w:val="24"/>
          <w:szCs w:val="24"/>
          <w:lang w:eastAsia="zh-CN"/>
        </w:rPr>
      </w:pPr>
      <w:r w:rsidRPr="00057D2D">
        <w:rPr>
          <w:rFonts w:ascii="SimSun" w:eastAsia="SimSun" w:hAnsi="SimSun" w:cs="SimSun" w:hint="eastAsia"/>
          <w:sz w:val="24"/>
          <w:szCs w:val="24"/>
          <w:lang w:eastAsia="zh-CN"/>
        </w:rPr>
        <w:t>全球森林联盟（也代表欧洲生态行动小组、国际地球之友和</w:t>
      </w:r>
      <w:r w:rsidRPr="00057D2D">
        <w:rPr>
          <w:rFonts w:hAnsi="SimSun"/>
          <w:sz w:val="24"/>
          <w:szCs w:val="24"/>
          <w:lang w:eastAsia="zh-CN"/>
        </w:rPr>
        <w:t>Siemenpuu</w:t>
      </w:r>
      <w:r w:rsidRPr="00057D2D">
        <w:rPr>
          <w:rFonts w:ascii="SimSun" w:eastAsia="SimSun" w:hAnsi="SimSun" w:cs="SimSun" w:hint="eastAsia"/>
          <w:sz w:val="24"/>
          <w:szCs w:val="24"/>
          <w:lang w:eastAsia="zh-CN"/>
        </w:rPr>
        <w:t>基金会）、全球青年生物多样性网络（</w:t>
      </w:r>
      <w:r w:rsidRPr="00057D2D">
        <w:rPr>
          <w:rFonts w:hAnsi="SimSun"/>
          <w:sz w:val="24"/>
          <w:szCs w:val="24"/>
          <w:lang w:eastAsia="zh-CN"/>
        </w:rPr>
        <w:t>GYBN</w:t>
      </w:r>
      <w:r w:rsidRPr="00057D2D">
        <w:rPr>
          <w:rFonts w:ascii="SimSun" w:eastAsia="SimSun" w:hAnsi="SimSun" w:cs="SimSun" w:hint="eastAsia"/>
          <w:sz w:val="24"/>
          <w:szCs w:val="24"/>
          <w:lang w:eastAsia="zh-CN"/>
        </w:rPr>
        <w:t>）、生物多样性问题国际土著论坛、自然保护联盟、农民之路和世界自然基金会的代表也</w:t>
      </w:r>
      <w:r w:rsidR="006952B0">
        <w:rPr>
          <w:rFonts w:ascii="SimSun" w:eastAsia="SimSun" w:hAnsi="SimSun" w:cs="SimSun" w:hint="eastAsia"/>
          <w:sz w:val="24"/>
          <w:szCs w:val="24"/>
          <w:lang w:eastAsia="zh-CN"/>
        </w:rPr>
        <w:t>作了发言</w:t>
      </w:r>
      <w:r w:rsidRPr="00057D2D">
        <w:rPr>
          <w:rFonts w:ascii="SimSun" w:eastAsia="SimSun" w:hAnsi="SimSun" w:cs="SimSun" w:hint="eastAsia"/>
          <w:sz w:val="24"/>
          <w:szCs w:val="24"/>
          <w:lang w:eastAsia="zh-CN"/>
        </w:rPr>
        <w:t>。</w:t>
      </w:r>
    </w:p>
    <w:p w:rsidR="008D76BF" w:rsidRPr="00057D2D" w:rsidRDefault="008D76BF" w:rsidP="00750ECD">
      <w:pPr>
        <w:pStyle w:val="Para1"/>
        <w:numPr>
          <w:ilvl w:val="0"/>
          <w:numId w:val="9"/>
        </w:numPr>
        <w:tabs>
          <w:tab w:val="clear" w:pos="360"/>
          <w:tab w:val="left" w:pos="720"/>
        </w:tabs>
        <w:ind w:firstLine="0"/>
        <w:rPr>
          <w:rFonts w:hAnsi="SimSun"/>
          <w:sz w:val="24"/>
          <w:szCs w:val="24"/>
          <w:lang w:eastAsia="zh-CN"/>
        </w:rPr>
      </w:pPr>
      <w:r w:rsidRPr="00057D2D">
        <w:rPr>
          <w:rFonts w:ascii="SimSun" w:eastAsia="SimSun" w:hAnsi="SimSun" w:cs="SimSun" w:hint="eastAsia"/>
          <w:sz w:val="24"/>
          <w:szCs w:val="24"/>
          <w:lang w:eastAsia="zh-CN"/>
        </w:rPr>
        <w:t>主席指出，她将编制决定草案供工作组审议。</w:t>
      </w:r>
    </w:p>
    <w:p w:rsidR="008D76BF" w:rsidRPr="00057D2D" w:rsidRDefault="008D76BF" w:rsidP="00750ECD">
      <w:pPr>
        <w:pStyle w:val="Para1"/>
        <w:numPr>
          <w:ilvl w:val="0"/>
          <w:numId w:val="9"/>
        </w:numPr>
        <w:tabs>
          <w:tab w:val="clear" w:pos="360"/>
          <w:tab w:val="left" w:pos="720"/>
        </w:tabs>
        <w:ind w:firstLine="0"/>
        <w:rPr>
          <w:rFonts w:hAnsi="SimSun"/>
          <w:sz w:val="24"/>
          <w:szCs w:val="24"/>
          <w:lang w:eastAsia="zh-CN"/>
        </w:rPr>
      </w:pPr>
      <w:r w:rsidRPr="00057D2D">
        <w:rPr>
          <w:rFonts w:ascii="SimSun" w:eastAsia="SimSun" w:hAnsi="SimSun" w:cs="SimSun" w:hint="eastAsia"/>
          <w:sz w:val="24"/>
          <w:szCs w:val="24"/>
          <w:lang w:eastAsia="zh-CN"/>
        </w:rPr>
        <w:t>工作组在</w:t>
      </w:r>
      <w:r w:rsidRPr="00057D2D">
        <w:rPr>
          <w:rFonts w:hAnsi="SimSun"/>
          <w:sz w:val="24"/>
          <w:szCs w:val="24"/>
          <w:lang w:eastAsia="zh-CN"/>
        </w:rPr>
        <w:t>2018</w:t>
      </w:r>
      <w:r w:rsidRPr="00057D2D">
        <w:rPr>
          <w:rFonts w:ascii="SimSun" w:eastAsia="SimSun" w:hAnsi="SimSun" w:cs="SimSun" w:hint="eastAsia"/>
          <w:sz w:val="24"/>
          <w:szCs w:val="24"/>
          <w:lang w:eastAsia="zh-CN"/>
        </w:rPr>
        <w:t>年</w:t>
      </w:r>
      <w:r w:rsidRPr="00057D2D">
        <w:rPr>
          <w:rFonts w:hAnsi="SimSun"/>
          <w:sz w:val="24"/>
          <w:szCs w:val="24"/>
          <w:lang w:eastAsia="zh-CN"/>
        </w:rPr>
        <w:t>11</w:t>
      </w:r>
      <w:r w:rsidRPr="00057D2D">
        <w:rPr>
          <w:rFonts w:ascii="SimSun" w:eastAsia="SimSun" w:hAnsi="SimSun" w:cs="SimSun" w:hint="eastAsia"/>
          <w:sz w:val="24"/>
          <w:szCs w:val="24"/>
          <w:lang w:eastAsia="zh-CN"/>
        </w:rPr>
        <w:t>月</w:t>
      </w:r>
      <w:r w:rsidRPr="00057D2D">
        <w:rPr>
          <w:rFonts w:hAnsi="SimSun"/>
          <w:sz w:val="24"/>
          <w:szCs w:val="24"/>
          <w:lang w:eastAsia="zh-CN"/>
        </w:rPr>
        <w:t>25</w:t>
      </w:r>
      <w:r w:rsidRPr="00057D2D">
        <w:rPr>
          <w:rFonts w:ascii="SimSun" w:eastAsia="SimSun" w:hAnsi="SimSun" w:cs="SimSun" w:hint="eastAsia"/>
          <w:sz w:val="24"/>
          <w:szCs w:val="24"/>
          <w:lang w:eastAsia="zh-CN"/>
        </w:rPr>
        <w:t>日</w:t>
      </w:r>
      <w:r w:rsidR="0006774F">
        <w:rPr>
          <w:rFonts w:ascii="SimSun" w:eastAsia="SimSun" w:hAnsi="SimSun" w:cs="SimSun" w:hint="eastAsia"/>
          <w:sz w:val="24"/>
          <w:szCs w:val="24"/>
          <w:lang w:eastAsia="zh-CN"/>
        </w:rPr>
        <w:t>其</w:t>
      </w:r>
      <w:r w:rsidRPr="00057D2D">
        <w:rPr>
          <w:rFonts w:ascii="SimSun" w:eastAsia="SimSun" w:hAnsi="SimSun" w:cs="SimSun" w:hint="eastAsia"/>
          <w:sz w:val="24"/>
          <w:szCs w:val="24"/>
          <w:lang w:eastAsia="zh-CN"/>
        </w:rPr>
        <w:t>第</w:t>
      </w:r>
      <w:r w:rsidRPr="00057D2D">
        <w:rPr>
          <w:rFonts w:hAnsi="SimSun"/>
          <w:sz w:val="24"/>
          <w:szCs w:val="24"/>
          <w:lang w:eastAsia="zh-CN"/>
        </w:rPr>
        <w:t>10</w:t>
      </w:r>
      <w:r w:rsidRPr="00057D2D">
        <w:rPr>
          <w:rFonts w:ascii="SimSun" w:eastAsia="SimSun" w:hAnsi="SimSun" w:cs="SimSun" w:hint="eastAsia"/>
          <w:sz w:val="24"/>
          <w:szCs w:val="24"/>
          <w:lang w:eastAsia="zh-CN"/>
        </w:rPr>
        <w:t>场会议上</w:t>
      </w:r>
      <w:r w:rsidR="0006774F">
        <w:rPr>
          <w:rFonts w:ascii="SimSun" w:eastAsia="SimSun" w:hAnsi="SimSun" w:cs="SimSun" w:hint="eastAsia"/>
          <w:sz w:val="24"/>
          <w:szCs w:val="24"/>
          <w:lang w:eastAsia="zh-CN"/>
        </w:rPr>
        <w:t>审议</w:t>
      </w:r>
      <w:r w:rsidR="0006774F">
        <w:rPr>
          <w:rFonts w:ascii="SimSun" w:eastAsia="SimSun" w:hAnsi="SimSun" w:cs="SimSun"/>
          <w:sz w:val="24"/>
          <w:szCs w:val="24"/>
          <w:lang w:eastAsia="zh-CN"/>
        </w:rPr>
        <w:t>了主席</w:t>
      </w:r>
      <w:r w:rsidRPr="00057D2D">
        <w:rPr>
          <w:rFonts w:ascii="SimSun" w:eastAsia="SimSun" w:hAnsi="SimSun" w:cs="SimSun" w:hint="eastAsia"/>
          <w:sz w:val="24"/>
          <w:szCs w:val="24"/>
          <w:lang w:eastAsia="zh-CN"/>
        </w:rPr>
        <w:t>提交的决定草案。</w:t>
      </w:r>
    </w:p>
    <w:p w:rsidR="008D76BF" w:rsidRPr="00057D2D" w:rsidRDefault="008D76BF" w:rsidP="00750ECD">
      <w:pPr>
        <w:pStyle w:val="Para1"/>
        <w:numPr>
          <w:ilvl w:val="0"/>
          <w:numId w:val="9"/>
        </w:numPr>
        <w:tabs>
          <w:tab w:val="clear" w:pos="360"/>
          <w:tab w:val="left" w:pos="720"/>
        </w:tabs>
        <w:ind w:firstLine="0"/>
        <w:rPr>
          <w:rFonts w:hAnsi="SimSun"/>
          <w:sz w:val="24"/>
          <w:szCs w:val="24"/>
          <w:lang w:eastAsia="zh-CN"/>
        </w:rPr>
      </w:pPr>
      <w:r w:rsidRPr="00057D2D">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057D2D">
        <w:rPr>
          <w:rFonts w:ascii="SimSun" w:eastAsia="SimSun" w:hAnsi="SimSun" w:cs="SimSun" w:hint="eastAsia"/>
          <w:sz w:val="24"/>
          <w:szCs w:val="24"/>
          <w:lang w:eastAsia="zh-CN"/>
        </w:rPr>
        <w:t>：孟加拉国、贝宁、多民族玻利维亚国、巴西、加拿大、中非共和国、乍得、中国、哥伦比亚、哥斯达黎加、科特迪瓦、古巴、埃及、萨尔瓦多、斯威士兰（也代表非洲集团）、欧洲联盟及其</w:t>
      </w:r>
      <w:r w:rsidRPr="00057D2D">
        <w:rPr>
          <w:rFonts w:hAnsi="SimSun"/>
          <w:sz w:val="24"/>
          <w:szCs w:val="24"/>
          <w:lang w:eastAsia="zh-CN"/>
        </w:rPr>
        <w:t>28</w:t>
      </w:r>
      <w:r w:rsidRPr="00057D2D">
        <w:rPr>
          <w:rFonts w:ascii="SimSun" w:eastAsia="SimSun" w:hAnsi="SimSun" w:cs="SimSun" w:hint="eastAsia"/>
          <w:sz w:val="24"/>
          <w:szCs w:val="24"/>
          <w:lang w:eastAsia="zh-CN"/>
        </w:rPr>
        <w:t>个成员国、加蓬、加纳、伊朗伊斯兰共和国、伊拉克、基里巴斯、马拉维、马来西亚、马尔代夫、新西兰、尼日利亚、纳米比亚、挪威、塞内加尔、塞舌尔、南非、土耳其和委内瑞拉玻利瓦尔共和国。</w:t>
      </w:r>
    </w:p>
    <w:p w:rsidR="008D76BF" w:rsidRPr="00057D2D" w:rsidRDefault="008D76BF" w:rsidP="00750ECD">
      <w:pPr>
        <w:pStyle w:val="Para1"/>
        <w:numPr>
          <w:ilvl w:val="0"/>
          <w:numId w:val="9"/>
        </w:numPr>
        <w:tabs>
          <w:tab w:val="clear" w:pos="360"/>
          <w:tab w:val="left" w:pos="720"/>
        </w:tabs>
        <w:ind w:firstLine="0"/>
        <w:rPr>
          <w:rFonts w:hAnsi="SimSun"/>
          <w:sz w:val="24"/>
          <w:szCs w:val="24"/>
          <w:lang w:eastAsia="zh-CN"/>
        </w:rPr>
      </w:pPr>
      <w:r w:rsidRPr="00057D2D">
        <w:rPr>
          <w:rFonts w:ascii="SimSun" w:eastAsia="SimSun" w:hAnsi="SimSun" w:cs="SimSun" w:hint="eastAsia"/>
          <w:sz w:val="24"/>
          <w:szCs w:val="24"/>
          <w:lang w:eastAsia="zh-CN"/>
        </w:rPr>
        <w:t>工作组在</w:t>
      </w:r>
      <w:r w:rsidRPr="00057D2D">
        <w:rPr>
          <w:rFonts w:hAnsi="SimSun"/>
          <w:sz w:val="24"/>
          <w:szCs w:val="24"/>
          <w:lang w:eastAsia="zh-CN"/>
        </w:rPr>
        <w:t>2018</w:t>
      </w:r>
      <w:r w:rsidRPr="00057D2D">
        <w:rPr>
          <w:rFonts w:ascii="SimSun" w:eastAsia="SimSun" w:hAnsi="SimSun" w:cs="SimSun" w:hint="eastAsia"/>
          <w:sz w:val="24"/>
          <w:szCs w:val="24"/>
          <w:lang w:eastAsia="zh-CN"/>
        </w:rPr>
        <w:t>年</w:t>
      </w:r>
      <w:r w:rsidRPr="00057D2D">
        <w:rPr>
          <w:rFonts w:hAnsi="SimSun"/>
          <w:sz w:val="24"/>
          <w:szCs w:val="24"/>
          <w:lang w:eastAsia="zh-CN"/>
        </w:rPr>
        <w:t>11</w:t>
      </w:r>
      <w:r w:rsidRPr="00057D2D">
        <w:rPr>
          <w:rFonts w:ascii="SimSun" w:eastAsia="SimSun" w:hAnsi="SimSun" w:cs="SimSun" w:hint="eastAsia"/>
          <w:sz w:val="24"/>
          <w:szCs w:val="24"/>
          <w:lang w:eastAsia="zh-CN"/>
        </w:rPr>
        <w:t>月</w:t>
      </w:r>
      <w:r w:rsidRPr="00057D2D">
        <w:rPr>
          <w:rFonts w:hAnsi="SimSun"/>
          <w:sz w:val="24"/>
          <w:szCs w:val="24"/>
          <w:lang w:eastAsia="zh-CN"/>
        </w:rPr>
        <w:t>25</w:t>
      </w:r>
      <w:r w:rsidRPr="00057D2D">
        <w:rPr>
          <w:rFonts w:ascii="SimSun" w:eastAsia="SimSun" w:hAnsi="SimSun" w:cs="SimSun" w:hint="eastAsia"/>
          <w:sz w:val="24"/>
          <w:szCs w:val="24"/>
          <w:lang w:eastAsia="zh-CN"/>
        </w:rPr>
        <w:t>日</w:t>
      </w:r>
      <w:r w:rsidR="004375B9">
        <w:rPr>
          <w:rFonts w:ascii="SimSun" w:eastAsia="SimSun" w:hAnsi="SimSun" w:cs="SimSun" w:hint="eastAsia"/>
          <w:sz w:val="24"/>
          <w:szCs w:val="24"/>
          <w:lang w:eastAsia="zh-CN"/>
        </w:rPr>
        <w:t>其</w:t>
      </w:r>
      <w:r w:rsidRPr="00057D2D">
        <w:rPr>
          <w:rFonts w:ascii="SimSun" w:eastAsia="SimSun" w:hAnsi="SimSun" w:cs="SimSun" w:hint="eastAsia"/>
          <w:sz w:val="24"/>
          <w:szCs w:val="24"/>
          <w:lang w:eastAsia="zh-CN"/>
        </w:rPr>
        <w:t>第</w:t>
      </w:r>
      <w:r w:rsidRPr="00057D2D">
        <w:rPr>
          <w:rFonts w:hAnsi="SimSun"/>
          <w:sz w:val="24"/>
          <w:szCs w:val="24"/>
          <w:lang w:eastAsia="zh-CN"/>
        </w:rPr>
        <w:t>11</w:t>
      </w:r>
      <w:r w:rsidRPr="00057D2D">
        <w:rPr>
          <w:rFonts w:ascii="SimSun" w:eastAsia="SimSun" w:hAnsi="SimSun" w:cs="SimSun" w:hint="eastAsia"/>
          <w:sz w:val="24"/>
          <w:szCs w:val="24"/>
          <w:lang w:eastAsia="zh-CN"/>
        </w:rPr>
        <w:t>场会议上继续审议该决定草案。</w:t>
      </w:r>
    </w:p>
    <w:p w:rsidR="008D76BF" w:rsidRPr="00057D2D" w:rsidRDefault="008D76BF" w:rsidP="00750ECD">
      <w:pPr>
        <w:pStyle w:val="Para1"/>
        <w:numPr>
          <w:ilvl w:val="0"/>
          <w:numId w:val="9"/>
        </w:numPr>
        <w:tabs>
          <w:tab w:val="clear" w:pos="360"/>
          <w:tab w:val="left" w:pos="720"/>
        </w:tabs>
        <w:ind w:firstLine="0"/>
        <w:rPr>
          <w:rFonts w:hAnsi="SimSun"/>
          <w:sz w:val="24"/>
          <w:szCs w:val="24"/>
          <w:lang w:eastAsia="zh-CN"/>
        </w:rPr>
      </w:pPr>
      <w:r w:rsidRPr="00057D2D">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057D2D">
        <w:rPr>
          <w:rFonts w:ascii="SimSun" w:eastAsia="SimSun" w:hAnsi="SimSun" w:cs="SimSun" w:hint="eastAsia"/>
          <w:sz w:val="24"/>
          <w:szCs w:val="24"/>
          <w:lang w:eastAsia="zh-CN"/>
        </w:rPr>
        <w:t>：阿根廷、贝宁、多民族玻利维亚国、巴西、加拿大、哥斯达黎加、斯威士兰、欧洲联盟及其</w:t>
      </w:r>
      <w:r w:rsidRPr="00057D2D">
        <w:rPr>
          <w:rFonts w:hAnsi="SimSun"/>
          <w:sz w:val="24"/>
          <w:szCs w:val="24"/>
          <w:lang w:eastAsia="zh-CN"/>
        </w:rPr>
        <w:t>28</w:t>
      </w:r>
      <w:r w:rsidRPr="00057D2D">
        <w:rPr>
          <w:rFonts w:ascii="SimSun" w:eastAsia="SimSun" w:hAnsi="SimSun" w:cs="SimSun" w:hint="eastAsia"/>
          <w:sz w:val="24"/>
          <w:szCs w:val="24"/>
          <w:lang w:eastAsia="zh-CN"/>
        </w:rPr>
        <w:t>个成员国、危地马拉、墨西哥、新西兰、挪威、菲律宾、南非、瑞士、土耳其和委内瑞拉玻利瓦尔共和国。</w:t>
      </w:r>
    </w:p>
    <w:p w:rsidR="008D76BF" w:rsidRPr="00057D2D" w:rsidRDefault="008D76BF" w:rsidP="00750ECD">
      <w:pPr>
        <w:pStyle w:val="Para1"/>
        <w:numPr>
          <w:ilvl w:val="0"/>
          <w:numId w:val="9"/>
        </w:numPr>
        <w:tabs>
          <w:tab w:val="clear" w:pos="360"/>
          <w:tab w:val="left" w:pos="720"/>
        </w:tabs>
        <w:ind w:firstLine="0"/>
        <w:rPr>
          <w:rFonts w:hAnsi="SimSun"/>
          <w:sz w:val="24"/>
          <w:szCs w:val="24"/>
          <w:lang w:eastAsia="zh-CN"/>
        </w:rPr>
      </w:pPr>
      <w:r w:rsidRPr="00057D2D">
        <w:rPr>
          <w:rFonts w:ascii="SimSun" w:eastAsia="SimSun" w:hAnsi="SimSun" w:cs="SimSun" w:hint="eastAsia"/>
          <w:sz w:val="24"/>
          <w:szCs w:val="24"/>
          <w:lang w:eastAsia="zh-CN"/>
        </w:rPr>
        <w:t>工作组在</w:t>
      </w:r>
      <w:r w:rsidRPr="00057D2D">
        <w:rPr>
          <w:rFonts w:hAnsi="SimSun"/>
          <w:sz w:val="24"/>
          <w:szCs w:val="24"/>
          <w:lang w:eastAsia="zh-CN"/>
        </w:rPr>
        <w:t>2018</w:t>
      </w:r>
      <w:r w:rsidRPr="00057D2D">
        <w:rPr>
          <w:rFonts w:ascii="SimSun" w:eastAsia="SimSun" w:hAnsi="SimSun" w:cs="SimSun" w:hint="eastAsia"/>
          <w:sz w:val="24"/>
          <w:szCs w:val="24"/>
          <w:lang w:eastAsia="zh-CN"/>
        </w:rPr>
        <w:t>年</w:t>
      </w:r>
      <w:r w:rsidRPr="00057D2D">
        <w:rPr>
          <w:rFonts w:hAnsi="SimSun"/>
          <w:sz w:val="24"/>
          <w:szCs w:val="24"/>
          <w:lang w:eastAsia="zh-CN"/>
        </w:rPr>
        <w:t>11</w:t>
      </w:r>
      <w:r w:rsidRPr="00057D2D">
        <w:rPr>
          <w:rFonts w:ascii="SimSun" w:eastAsia="SimSun" w:hAnsi="SimSun" w:cs="SimSun" w:hint="eastAsia"/>
          <w:sz w:val="24"/>
          <w:szCs w:val="24"/>
          <w:lang w:eastAsia="zh-CN"/>
        </w:rPr>
        <w:t>月</w:t>
      </w:r>
      <w:r w:rsidRPr="00057D2D">
        <w:rPr>
          <w:rFonts w:hAnsi="SimSun"/>
          <w:sz w:val="24"/>
          <w:szCs w:val="24"/>
          <w:lang w:eastAsia="zh-CN"/>
        </w:rPr>
        <w:t>25</w:t>
      </w:r>
      <w:r w:rsidRPr="00057D2D">
        <w:rPr>
          <w:rFonts w:ascii="SimSun" w:eastAsia="SimSun" w:hAnsi="SimSun" w:cs="SimSun" w:hint="eastAsia"/>
          <w:sz w:val="24"/>
          <w:szCs w:val="24"/>
          <w:lang w:eastAsia="zh-CN"/>
        </w:rPr>
        <w:t>日</w:t>
      </w:r>
      <w:r w:rsidR="004375B9">
        <w:rPr>
          <w:rFonts w:ascii="SimSun" w:eastAsia="SimSun" w:hAnsi="SimSun" w:cs="SimSun" w:hint="eastAsia"/>
          <w:sz w:val="24"/>
          <w:szCs w:val="24"/>
          <w:lang w:eastAsia="zh-CN"/>
        </w:rPr>
        <w:t>其</w:t>
      </w:r>
      <w:r w:rsidRPr="00057D2D">
        <w:rPr>
          <w:rFonts w:ascii="SimSun" w:eastAsia="SimSun" w:hAnsi="SimSun" w:cs="SimSun" w:hint="eastAsia"/>
          <w:sz w:val="24"/>
          <w:szCs w:val="24"/>
          <w:lang w:eastAsia="zh-CN"/>
        </w:rPr>
        <w:t>第</w:t>
      </w:r>
      <w:r w:rsidRPr="00057D2D">
        <w:rPr>
          <w:rFonts w:hAnsi="SimSun"/>
          <w:sz w:val="24"/>
          <w:szCs w:val="24"/>
          <w:lang w:eastAsia="zh-CN"/>
        </w:rPr>
        <w:t>12</w:t>
      </w:r>
      <w:r w:rsidRPr="00057D2D">
        <w:rPr>
          <w:rFonts w:ascii="SimSun" w:eastAsia="SimSun" w:hAnsi="SimSun" w:cs="SimSun" w:hint="eastAsia"/>
          <w:sz w:val="24"/>
          <w:szCs w:val="24"/>
          <w:lang w:eastAsia="zh-CN"/>
        </w:rPr>
        <w:t>场会议上继续审议该决定草案。主席设立了由</w:t>
      </w:r>
      <w:r w:rsidRPr="00057D2D">
        <w:rPr>
          <w:rFonts w:hAnsi="SimSun"/>
          <w:sz w:val="24"/>
          <w:szCs w:val="24"/>
          <w:lang w:eastAsia="zh-CN"/>
        </w:rPr>
        <w:t>Gilles Seutine</w:t>
      </w:r>
      <w:r w:rsidRPr="00057D2D">
        <w:rPr>
          <w:rFonts w:ascii="SimSun" w:eastAsia="SimSun" w:hAnsi="SimSun" w:cs="SimSun" w:hint="eastAsia"/>
          <w:sz w:val="24"/>
          <w:szCs w:val="24"/>
          <w:lang w:eastAsia="zh-CN"/>
        </w:rPr>
        <w:t>先生（加拿大）担任组长的主席之友小组，以确定进而解决有争议案文的办法。</w:t>
      </w:r>
    </w:p>
    <w:p w:rsidR="008D76BF" w:rsidRPr="00057D2D" w:rsidRDefault="008D76BF" w:rsidP="00750ECD">
      <w:pPr>
        <w:pStyle w:val="Para1"/>
        <w:numPr>
          <w:ilvl w:val="0"/>
          <w:numId w:val="9"/>
        </w:numPr>
        <w:tabs>
          <w:tab w:val="clear" w:pos="360"/>
          <w:tab w:val="left" w:pos="720"/>
        </w:tabs>
        <w:ind w:firstLine="0"/>
        <w:rPr>
          <w:rFonts w:hAnsi="SimSun"/>
          <w:sz w:val="24"/>
          <w:szCs w:val="24"/>
          <w:lang w:eastAsia="zh-CN"/>
        </w:rPr>
      </w:pPr>
      <w:r w:rsidRPr="00057D2D">
        <w:rPr>
          <w:rFonts w:ascii="SimSun" w:eastAsia="SimSun" w:hAnsi="SimSun" w:cs="SimSun" w:hint="eastAsia"/>
          <w:sz w:val="24"/>
          <w:szCs w:val="24"/>
          <w:lang w:eastAsia="zh-CN"/>
        </w:rPr>
        <w:t>工作组在</w:t>
      </w:r>
      <w:r w:rsidRPr="00057D2D">
        <w:rPr>
          <w:rFonts w:hAnsi="SimSun"/>
          <w:sz w:val="24"/>
          <w:szCs w:val="24"/>
          <w:lang w:eastAsia="zh-CN"/>
        </w:rPr>
        <w:t>2018</w:t>
      </w:r>
      <w:r w:rsidRPr="00057D2D">
        <w:rPr>
          <w:rFonts w:ascii="SimSun" w:eastAsia="SimSun" w:hAnsi="SimSun" w:cs="SimSun" w:hint="eastAsia"/>
          <w:sz w:val="24"/>
          <w:szCs w:val="24"/>
          <w:lang w:eastAsia="zh-CN"/>
        </w:rPr>
        <w:t>年</w:t>
      </w:r>
      <w:r w:rsidRPr="00057D2D">
        <w:rPr>
          <w:rFonts w:hAnsi="SimSun"/>
          <w:sz w:val="24"/>
          <w:szCs w:val="24"/>
          <w:lang w:eastAsia="zh-CN"/>
        </w:rPr>
        <w:t>11</w:t>
      </w:r>
      <w:r w:rsidRPr="00057D2D">
        <w:rPr>
          <w:rFonts w:ascii="SimSun" w:eastAsia="SimSun" w:hAnsi="SimSun" w:cs="SimSun" w:hint="eastAsia"/>
          <w:sz w:val="24"/>
          <w:szCs w:val="24"/>
          <w:lang w:eastAsia="zh-CN"/>
        </w:rPr>
        <w:t>月</w:t>
      </w:r>
      <w:r w:rsidRPr="00057D2D">
        <w:rPr>
          <w:rFonts w:hAnsi="SimSun"/>
          <w:sz w:val="24"/>
          <w:szCs w:val="24"/>
          <w:lang w:eastAsia="zh-CN"/>
        </w:rPr>
        <w:t>26</w:t>
      </w:r>
      <w:r w:rsidR="004375B9">
        <w:rPr>
          <w:rFonts w:ascii="SimSun" w:eastAsia="SimSun" w:hAnsi="SimSun" w:cs="SimSun" w:hint="eastAsia"/>
          <w:sz w:val="24"/>
          <w:szCs w:val="24"/>
          <w:lang w:eastAsia="zh-CN"/>
        </w:rPr>
        <w:t>日其</w:t>
      </w:r>
      <w:r w:rsidRPr="00057D2D">
        <w:rPr>
          <w:rFonts w:ascii="SimSun" w:eastAsia="SimSun" w:hAnsi="SimSun" w:cs="SimSun" w:hint="eastAsia"/>
          <w:sz w:val="24"/>
          <w:szCs w:val="24"/>
          <w:lang w:eastAsia="zh-CN"/>
        </w:rPr>
        <w:t>第</w:t>
      </w:r>
      <w:r w:rsidRPr="00057D2D">
        <w:rPr>
          <w:rFonts w:hAnsi="SimSun"/>
          <w:sz w:val="24"/>
          <w:szCs w:val="24"/>
          <w:lang w:eastAsia="zh-CN"/>
        </w:rPr>
        <w:t>13</w:t>
      </w:r>
      <w:r w:rsidRPr="00057D2D">
        <w:rPr>
          <w:rFonts w:ascii="SimSun" w:eastAsia="SimSun" w:hAnsi="SimSun" w:cs="SimSun" w:hint="eastAsia"/>
          <w:sz w:val="24"/>
          <w:szCs w:val="24"/>
          <w:lang w:eastAsia="zh-CN"/>
        </w:rPr>
        <w:t>场会议上继续审议该决定草案，包括主席之友提出的修正案文。</w:t>
      </w:r>
    </w:p>
    <w:p w:rsidR="008D76BF" w:rsidRPr="00057D2D" w:rsidRDefault="008D76BF" w:rsidP="00750ECD">
      <w:pPr>
        <w:pStyle w:val="Para1"/>
        <w:numPr>
          <w:ilvl w:val="0"/>
          <w:numId w:val="9"/>
        </w:numPr>
        <w:tabs>
          <w:tab w:val="clear" w:pos="360"/>
          <w:tab w:val="left" w:pos="720"/>
        </w:tabs>
        <w:ind w:firstLine="0"/>
        <w:rPr>
          <w:rFonts w:hAnsi="SimSun"/>
          <w:sz w:val="24"/>
          <w:szCs w:val="24"/>
          <w:lang w:eastAsia="zh-CN"/>
        </w:rPr>
      </w:pPr>
      <w:r w:rsidRPr="00057D2D">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057D2D">
        <w:rPr>
          <w:rFonts w:ascii="SimSun" w:eastAsia="SimSun" w:hAnsi="SimSun" w:cs="SimSun" w:hint="eastAsia"/>
          <w:sz w:val="24"/>
          <w:szCs w:val="24"/>
          <w:lang w:eastAsia="zh-CN"/>
        </w:rPr>
        <w:t>：科特迪瓦、伊朗伊斯兰共和国、马来西亚和塞内加尔。</w:t>
      </w:r>
    </w:p>
    <w:p w:rsidR="008D76BF" w:rsidRPr="00057D2D" w:rsidRDefault="008D76BF" w:rsidP="00750ECD">
      <w:pPr>
        <w:pStyle w:val="Para1"/>
        <w:numPr>
          <w:ilvl w:val="0"/>
          <w:numId w:val="9"/>
        </w:numPr>
        <w:tabs>
          <w:tab w:val="clear" w:pos="360"/>
          <w:tab w:val="left" w:pos="720"/>
        </w:tabs>
        <w:ind w:firstLine="0"/>
        <w:rPr>
          <w:rFonts w:hAnsi="SimSun"/>
          <w:sz w:val="24"/>
          <w:szCs w:val="24"/>
          <w:lang w:eastAsia="zh-CN"/>
        </w:rPr>
      </w:pPr>
      <w:r w:rsidRPr="00057D2D">
        <w:rPr>
          <w:rFonts w:ascii="SimSun" w:eastAsia="SimSun" w:hAnsi="SimSun" w:cs="SimSun" w:hint="eastAsia"/>
          <w:sz w:val="24"/>
          <w:szCs w:val="24"/>
          <w:lang w:eastAsia="zh-CN"/>
        </w:rPr>
        <w:t>关于序言部分第</w:t>
      </w:r>
      <w:r w:rsidRPr="00057D2D">
        <w:rPr>
          <w:rFonts w:hAnsi="SimSun"/>
          <w:sz w:val="24"/>
          <w:szCs w:val="24"/>
          <w:lang w:eastAsia="zh-CN"/>
        </w:rPr>
        <w:t>4</w:t>
      </w:r>
      <w:r w:rsidRPr="00057D2D">
        <w:rPr>
          <w:rFonts w:ascii="SimSun" w:eastAsia="SimSun" w:hAnsi="SimSun" w:cs="SimSun" w:hint="eastAsia"/>
          <w:sz w:val="24"/>
          <w:szCs w:val="24"/>
          <w:lang w:eastAsia="zh-CN"/>
        </w:rPr>
        <w:t>段，马来西亚代表说，温室气体排放量也因上述因素以外的因素而增加，并要求她所关注事项反映在会议报告中。</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057D2D">
        <w:rPr>
          <w:rFonts w:ascii="SimSun" w:eastAsia="SimSun" w:hAnsi="SimSun" w:cs="SimSun" w:hint="eastAsia"/>
          <w:sz w:val="24"/>
          <w:szCs w:val="24"/>
          <w:lang w:eastAsia="zh-CN"/>
        </w:rPr>
        <w:t>经交换意见后，工作组核准了决定草案，作为决定草案</w:t>
      </w:r>
      <w:r w:rsidRPr="00057D2D">
        <w:rPr>
          <w:rFonts w:hAnsi="SimSun"/>
          <w:sz w:val="24"/>
          <w:szCs w:val="24"/>
          <w:lang w:eastAsia="zh-CN"/>
        </w:rPr>
        <w:t>CBD/COP/14/L.23</w:t>
      </w:r>
      <w:r w:rsidRPr="00057D2D">
        <w:rPr>
          <w:rFonts w:ascii="SimSun" w:eastAsia="SimSun" w:hAnsi="SimSun" w:cs="SimSun" w:hint="eastAsia"/>
          <w:sz w:val="24"/>
          <w:szCs w:val="24"/>
          <w:lang w:eastAsia="zh-CN"/>
        </w:rPr>
        <w:t>转交全体会议。</w:t>
      </w:r>
    </w:p>
    <w:p w:rsidR="00972641" w:rsidRPr="00972641" w:rsidRDefault="00972641" w:rsidP="00972641">
      <w:pPr>
        <w:pStyle w:val="Para1"/>
        <w:numPr>
          <w:ilvl w:val="0"/>
          <w:numId w:val="9"/>
        </w:numPr>
        <w:tabs>
          <w:tab w:val="clear" w:pos="360"/>
          <w:tab w:val="left" w:pos="720"/>
        </w:tabs>
        <w:ind w:firstLine="0"/>
        <w:rPr>
          <w:rFonts w:hAnsi="SimSun"/>
          <w:sz w:val="24"/>
          <w:szCs w:val="24"/>
          <w:lang w:eastAsia="zh-CN"/>
        </w:rPr>
      </w:pPr>
      <w:r w:rsidRPr="00972641">
        <w:rPr>
          <w:rFonts w:ascii="SimSun" w:eastAsia="SimSun" w:hAnsi="SimSun" w:cs="SimSun" w:hint="eastAsia"/>
          <w:sz w:val="24"/>
          <w:szCs w:val="24"/>
          <w:lang w:eastAsia="zh-CN"/>
        </w:rPr>
        <w:lastRenderedPageBreak/>
        <w:t>在</w:t>
      </w:r>
      <w:r w:rsidRPr="00972641">
        <w:rPr>
          <w:rFonts w:hAnsi="SimSun"/>
          <w:sz w:val="24"/>
          <w:szCs w:val="24"/>
          <w:lang w:eastAsia="zh-CN"/>
        </w:rPr>
        <w:t>2018</w:t>
      </w:r>
      <w:r w:rsidRPr="00972641">
        <w:rPr>
          <w:rFonts w:ascii="SimSun" w:eastAsia="SimSun" w:hAnsi="SimSun" w:cs="SimSun" w:hint="eastAsia"/>
          <w:sz w:val="24"/>
          <w:szCs w:val="24"/>
          <w:lang w:eastAsia="zh-CN"/>
        </w:rPr>
        <w:t>年</w:t>
      </w:r>
      <w:r w:rsidRPr="00972641">
        <w:rPr>
          <w:rFonts w:hAnsi="SimSun"/>
          <w:sz w:val="24"/>
          <w:szCs w:val="24"/>
          <w:lang w:eastAsia="zh-CN"/>
        </w:rPr>
        <w:t>11</w:t>
      </w:r>
      <w:r w:rsidRPr="00972641">
        <w:rPr>
          <w:rFonts w:ascii="SimSun" w:eastAsia="SimSun" w:hAnsi="SimSun" w:cs="SimSun" w:hint="eastAsia"/>
          <w:sz w:val="24"/>
          <w:szCs w:val="24"/>
          <w:lang w:eastAsia="zh-CN"/>
        </w:rPr>
        <w:t>月</w:t>
      </w:r>
      <w:r w:rsidRPr="00972641">
        <w:rPr>
          <w:rFonts w:hAnsi="SimSun"/>
          <w:sz w:val="24"/>
          <w:szCs w:val="24"/>
          <w:lang w:eastAsia="zh-CN"/>
        </w:rPr>
        <w:t>29</w:t>
      </w:r>
      <w:r w:rsidR="004375B9">
        <w:rPr>
          <w:rFonts w:ascii="SimSun" w:eastAsia="SimSun" w:hAnsi="SimSun" w:cs="SimSun" w:hint="eastAsia"/>
          <w:sz w:val="24"/>
          <w:szCs w:val="24"/>
          <w:lang w:eastAsia="zh-CN"/>
        </w:rPr>
        <w:t>日会议的</w:t>
      </w:r>
      <w:r w:rsidRPr="00972641">
        <w:rPr>
          <w:rFonts w:ascii="SimSun" w:eastAsia="SimSun" w:hAnsi="SimSun" w:cs="SimSun" w:hint="eastAsia"/>
          <w:sz w:val="24"/>
          <w:szCs w:val="24"/>
          <w:lang w:eastAsia="zh-CN"/>
        </w:rPr>
        <w:t>第</w:t>
      </w:r>
      <w:r w:rsidRPr="00972641">
        <w:rPr>
          <w:rFonts w:hAnsi="SimSun"/>
          <w:sz w:val="24"/>
          <w:szCs w:val="24"/>
          <w:lang w:eastAsia="zh-CN"/>
        </w:rPr>
        <w:t>7</w:t>
      </w:r>
      <w:r w:rsidRPr="00972641">
        <w:rPr>
          <w:rFonts w:ascii="SimSun" w:eastAsia="SimSun" w:hAnsi="SimSun" w:cs="SimSun" w:hint="eastAsia"/>
          <w:sz w:val="24"/>
          <w:szCs w:val="24"/>
          <w:lang w:eastAsia="zh-CN"/>
        </w:rPr>
        <w:t>次全体会议上，缔约方大会通过了决定草案</w:t>
      </w:r>
      <w:r w:rsidRPr="00972641">
        <w:rPr>
          <w:rFonts w:hAnsi="SimSun"/>
          <w:sz w:val="24"/>
          <w:szCs w:val="24"/>
          <w:lang w:eastAsia="zh-CN"/>
        </w:rPr>
        <w:t>CBD/COP/14/L.</w:t>
      </w:r>
      <w:r>
        <w:rPr>
          <w:rFonts w:hAnsi="SimSun"/>
          <w:sz w:val="24"/>
          <w:szCs w:val="24"/>
          <w:lang w:eastAsia="zh-CN"/>
        </w:rPr>
        <w:t>23</w:t>
      </w:r>
      <w:r w:rsidRPr="00972641">
        <w:rPr>
          <w:rFonts w:ascii="SimSun" w:eastAsia="SimSun" w:hAnsi="SimSun" w:cs="SimSun" w:hint="eastAsia"/>
          <w:sz w:val="24"/>
          <w:szCs w:val="24"/>
          <w:lang w:eastAsia="zh-CN"/>
        </w:rPr>
        <w:t>，成为第</w:t>
      </w:r>
      <w:r w:rsidRPr="00972641">
        <w:rPr>
          <w:rFonts w:hAnsi="SimSun"/>
          <w:sz w:val="24"/>
          <w:szCs w:val="24"/>
          <w:lang w:eastAsia="zh-CN"/>
        </w:rPr>
        <w:t>14/</w:t>
      </w:r>
      <w:r>
        <w:rPr>
          <w:rFonts w:hAnsi="SimSun"/>
          <w:sz w:val="24"/>
          <w:szCs w:val="24"/>
          <w:lang w:eastAsia="zh-CN"/>
        </w:rPr>
        <w:t>5</w:t>
      </w:r>
      <w:r w:rsidRPr="00972641">
        <w:rPr>
          <w:rFonts w:ascii="SimSun" w:eastAsia="SimSun" w:hAnsi="SimSun" w:cs="SimSun" w:hint="eastAsia"/>
          <w:sz w:val="24"/>
          <w:szCs w:val="24"/>
          <w:lang w:eastAsia="zh-CN"/>
        </w:rPr>
        <w:t>号决定</w:t>
      </w:r>
      <w:r w:rsidRPr="00972641">
        <w:rPr>
          <w:rFonts w:eastAsiaTheme="minorEastAsia" w:hAnsi="SimSun"/>
          <w:sz w:val="24"/>
          <w:lang w:eastAsia="zh-CN"/>
        </w:rPr>
        <w:t>（案文见第一章）。</w:t>
      </w:r>
    </w:p>
    <w:p w:rsidR="008D76BF" w:rsidRPr="00E63AA3" w:rsidRDefault="008D76BF" w:rsidP="00E63AA3">
      <w:pPr>
        <w:pStyle w:val="Heading1"/>
        <w:spacing w:before="120" w:after="120"/>
        <w:ind w:firstLine="0"/>
        <w:rPr>
          <w:sz w:val="24"/>
          <w:lang w:eastAsia="zh-CN"/>
        </w:rPr>
      </w:pPr>
      <w:bookmarkStart w:id="284" w:name="_Toc6243833"/>
      <w:r w:rsidRPr="00E63AA3">
        <w:rPr>
          <w:rFonts w:hint="eastAsia"/>
          <w:sz w:val="24"/>
          <w:lang w:eastAsia="zh-CN"/>
        </w:rPr>
        <w:t>项目</w:t>
      </w:r>
      <w:r w:rsidRPr="00E63AA3">
        <w:rPr>
          <w:sz w:val="24"/>
          <w:lang w:eastAsia="zh-CN"/>
        </w:rPr>
        <w:t xml:space="preserve">22.   </w:t>
      </w:r>
      <w:r w:rsidR="00366699" w:rsidRPr="00E63AA3">
        <w:rPr>
          <w:sz w:val="24"/>
          <w:lang w:eastAsia="zh-CN"/>
        </w:rPr>
        <w:t xml:space="preserve">   </w:t>
      </w:r>
      <w:r w:rsidRPr="00E63AA3">
        <w:rPr>
          <w:rFonts w:hint="eastAsia"/>
          <w:sz w:val="24"/>
          <w:lang w:eastAsia="zh-CN"/>
        </w:rPr>
        <w:t>将生物多样性纳入部门和跨部门主流</w:t>
      </w:r>
      <w:bookmarkEnd w:id="284"/>
    </w:p>
    <w:p w:rsidR="008D76BF" w:rsidRPr="00972641" w:rsidRDefault="008D76BF" w:rsidP="00750ECD">
      <w:pPr>
        <w:pStyle w:val="ListParagraph"/>
        <w:tabs>
          <w:tab w:val="left" w:pos="720"/>
        </w:tabs>
        <w:adjustRightInd w:val="0"/>
        <w:snapToGrid w:val="0"/>
        <w:spacing w:line="240" w:lineRule="atLeast"/>
        <w:ind w:left="0" w:firstLine="0"/>
        <w:rPr>
          <w:rFonts w:asciiTheme="minorEastAsia" w:eastAsiaTheme="minorEastAsia" w:hAnsiTheme="minorEastAsia"/>
          <w:b/>
          <w:noProof/>
          <w:kern w:val="22"/>
          <w:lang w:val="en-GB" w:eastAsia="zh-CN"/>
        </w:rPr>
      </w:pPr>
      <w:r w:rsidRPr="00972641">
        <w:rPr>
          <w:rFonts w:asciiTheme="minorEastAsia" w:eastAsiaTheme="minorEastAsia" w:hAnsiTheme="minorEastAsia" w:hint="eastAsia"/>
          <w:b/>
          <w:noProof/>
          <w:kern w:val="22"/>
          <w:lang w:val="en-GB" w:eastAsia="zh-CN"/>
        </w:rPr>
        <w:t>健康与生物多样性</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第二工作组在</w:t>
      </w:r>
      <w:r w:rsidRPr="00D60127">
        <w:rPr>
          <w:rFonts w:hAnsi="SimSun"/>
          <w:sz w:val="24"/>
          <w:szCs w:val="24"/>
          <w:lang w:eastAsia="zh-CN"/>
        </w:rPr>
        <w:t>2018</w:t>
      </w:r>
      <w:r w:rsidRPr="00D60127">
        <w:rPr>
          <w:rFonts w:ascii="SimSun" w:eastAsia="SimSun" w:hAnsi="SimSun" w:cs="SimSun" w:hint="eastAsia"/>
          <w:sz w:val="24"/>
          <w:szCs w:val="24"/>
          <w:lang w:eastAsia="zh-CN"/>
        </w:rPr>
        <w:t>年</w:t>
      </w:r>
      <w:r w:rsidRPr="00D60127">
        <w:rPr>
          <w:rFonts w:hAnsi="SimSun"/>
          <w:sz w:val="24"/>
          <w:szCs w:val="24"/>
          <w:lang w:eastAsia="zh-CN"/>
        </w:rPr>
        <w:t>11</w:t>
      </w:r>
      <w:r w:rsidRPr="00D60127">
        <w:rPr>
          <w:rFonts w:ascii="SimSun" w:eastAsia="SimSun" w:hAnsi="SimSun" w:cs="SimSun" w:hint="eastAsia"/>
          <w:sz w:val="24"/>
          <w:szCs w:val="24"/>
          <w:lang w:eastAsia="zh-CN"/>
        </w:rPr>
        <w:t>月</w:t>
      </w:r>
      <w:r w:rsidRPr="00D60127">
        <w:rPr>
          <w:rFonts w:hAnsi="SimSun"/>
          <w:sz w:val="24"/>
          <w:szCs w:val="24"/>
          <w:lang w:eastAsia="zh-CN"/>
        </w:rPr>
        <w:t>19</w:t>
      </w:r>
      <w:r w:rsidRPr="00D60127">
        <w:rPr>
          <w:rFonts w:ascii="SimSun" w:eastAsia="SimSun" w:hAnsi="SimSun" w:cs="SimSun" w:hint="eastAsia"/>
          <w:sz w:val="24"/>
          <w:szCs w:val="24"/>
          <w:lang w:eastAsia="zh-CN"/>
        </w:rPr>
        <w:t>日</w:t>
      </w:r>
      <w:r w:rsidR="004375B9">
        <w:rPr>
          <w:rFonts w:ascii="SimSun" w:eastAsia="SimSun" w:hAnsi="SimSun" w:cs="SimSun" w:hint="eastAsia"/>
          <w:sz w:val="24"/>
          <w:szCs w:val="24"/>
          <w:lang w:eastAsia="zh-CN"/>
        </w:rPr>
        <w:t>其</w:t>
      </w:r>
      <w:r w:rsidRPr="00D60127">
        <w:rPr>
          <w:rFonts w:ascii="SimSun" w:eastAsia="SimSun" w:hAnsi="SimSun" w:cs="SimSun" w:hint="eastAsia"/>
          <w:sz w:val="24"/>
          <w:szCs w:val="24"/>
          <w:lang w:eastAsia="zh-CN"/>
        </w:rPr>
        <w:t>第</w:t>
      </w:r>
      <w:r w:rsidRPr="00D60127">
        <w:rPr>
          <w:rFonts w:hAnsi="SimSun"/>
          <w:sz w:val="24"/>
          <w:szCs w:val="24"/>
          <w:lang w:eastAsia="zh-CN"/>
        </w:rPr>
        <w:t>3</w:t>
      </w:r>
      <w:r w:rsidRPr="00D60127">
        <w:rPr>
          <w:rFonts w:ascii="SimSun" w:eastAsia="SimSun" w:hAnsi="SimSun" w:cs="SimSun" w:hint="eastAsia"/>
          <w:sz w:val="24"/>
          <w:szCs w:val="24"/>
          <w:lang w:eastAsia="zh-CN"/>
        </w:rPr>
        <w:t>场会议上审议了议程项目</w:t>
      </w:r>
      <w:r w:rsidRPr="00D60127">
        <w:rPr>
          <w:rFonts w:hAnsi="SimSun"/>
          <w:sz w:val="24"/>
          <w:szCs w:val="24"/>
          <w:lang w:eastAsia="zh-CN"/>
        </w:rPr>
        <w:t>22</w:t>
      </w:r>
      <w:r w:rsidRPr="00D60127">
        <w:rPr>
          <w:rFonts w:ascii="SimSun" w:eastAsia="SimSun" w:hAnsi="SimSun" w:cs="SimSun" w:hint="eastAsia"/>
          <w:sz w:val="24"/>
          <w:szCs w:val="24"/>
          <w:lang w:eastAsia="zh-CN"/>
        </w:rPr>
        <w:t>的第一个议题。在审议该项目时，工作组收到了根据决定草案汇编（</w:t>
      </w:r>
      <w:r w:rsidRPr="00D60127">
        <w:rPr>
          <w:rFonts w:hAnsi="SimSun"/>
          <w:sz w:val="24"/>
          <w:szCs w:val="24"/>
          <w:lang w:eastAsia="zh-CN"/>
        </w:rPr>
        <w:t>CBD/COP/14/2</w:t>
      </w:r>
      <w:r w:rsidRPr="00D60127">
        <w:rPr>
          <w:rFonts w:ascii="SimSun" w:eastAsia="SimSun" w:hAnsi="SimSun" w:cs="SimSun" w:hint="eastAsia"/>
          <w:sz w:val="24"/>
          <w:szCs w:val="24"/>
          <w:lang w:eastAsia="zh-CN"/>
        </w:rPr>
        <w:t>）中所载科咨机构第</w:t>
      </w:r>
      <w:r w:rsidRPr="00D60127">
        <w:rPr>
          <w:rFonts w:hAnsi="SimSun"/>
          <w:sz w:val="24"/>
          <w:szCs w:val="24"/>
          <w:lang w:eastAsia="zh-CN"/>
        </w:rPr>
        <w:t>XXI/3</w:t>
      </w:r>
      <w:r w:rsidRPr="00D60127">
        <w:rPr>
          <w:rFonts w:ascii="SimSun" w:eastAsia="SimSun" w:hAnsi="SimSun" w:cs="SimSun" w:hint="eastAsia"/>
          <w:sz w:val="24"/>
          <w:szCs w:val="24"/>
          <w:lang w:eastAsia="zh-CN"/>
        </w:rPr>
        <w:t>号建议编制的决定草案要点。</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工作组听取了世界卫生组织（卫生组织）总干事</w:t>
      </w:r>
      <w:r w:rsidRPr="00D60127">
        <w:rPr>
          <w:rFonts w:hAnsi="SimSun"/>
          <w:sz w:val="24"/>
          <w:szCs w:val="24"/>
          <w:lang w:eastAsia="zh-CN"/>
        </w:rPr>
        <w:t>Tedros Adhanom Ghebreyesus</w:t>
      </w:r>
      <w:r w:rsidRPr="00D60127">
        <w:rPr>
          <w:rFonts w:ascii="SimSun" w:eastAsia="SimSun" w:hAnsi="SimSun" w:cs="SimSun" w:hint="eastAsia"/>
          <w:sz w:val="24"/>
          <w:szCs w:val="24"/>
          <w:lang w:eastAsia="zh-CN"/>
        </w:rPr>
        <w:t>博士的录像发言，</w:t>
      </w:r>
      <w:r w:rsidRPr="00D60127">
        <w:rPr>
          <w:rFonts w:hAnsi="SimSun"/>
          <w:sz w:val="24"/>
          <w:szCs w:val="24"/>
          <w:lang w:eastAsia="zh-CN"/>
        </w:rPr>
        <w:t>Ghebreyesus</w:t>
      </w:r>
      <w:r w:rsidRPr="00D60127">
        <w:rPr>
          <w:rFonts w:ascii="SimSun" w:eastAsia="SimSun" w:hAnsi="SimSun" w:cs="SimSun" w:hint="eastAsia"/>
          <w:sz w:val="24"/>
          <w:szCs w:val="24"/>
          <w:lang w:eastAsia="zh-CN"/>
        </w:rPr>
        <w:t>博士说，如果气候变化继续成为危及人类、特别是贫穷国家人民健康的主要威胁，在健康方面取得的进展就会化为灰烬。他转达了世界卫生组织将与生物多样性公约秘书处密切合作，以确保实现更安全、更公平保健的承诺。</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主席说她将编制订正决定草案供工作组审议。</w:t>
      </w:r>
    </w:p>
    <w:p w:rsidR="008D76BF" w:rsidRPr="00D60127"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D60127">
        <w:rPr>
          <w:rFonts w:ascii="SimSun" w:eastAsia="SimSun" w:hAnsi="SimSun" w:cs="SimSun" w:hint="eastAsia"/>
          <w:sz w:val="24"/>
          <w:szCs w:val="24"/>
          <w:lang w:eastAsia="zh-CN"/>
        </w:rPr>
        <w:t>在</w:t>
      </w:r>
      <w:r w:rsidR="008D76BF" w:rsidRPr="00D60127">
        <w:rPr>
          <w:rFonts w:hAnsi="SimSun"/>
          <w:sz w:val="24"/>
          <w:szCs w:val="24"/>
          <w:lang w:eastAsia="zh-CN"/>
        </w:rPr>
        <w:t>2018</w:t>
      </w:r>
      <w:r w:rsidR="008D76BF" w:rsidRPr="00D60127">
        <w:rPr>
          <w:rFonts w:ascii="SimSun" w:eastAsia="SimSun" w:hAnsi="SimSun" w:cs="SimSun" w:hint="eastAsia"/>
          <w:sz w:val="24"/>
          <w:szCs w:val="24"/>
          <w:lang w:eastAsia="zh-CN"/>
        </w:rPr>
        <w:t>年</w:t>
      </w:r>
      <w:r w:rsidR="008D76BF" w:rsidRPr="00D60127">
        <w:rPr>
          <w:rFonts w:hAnsi="SimSun"/>
          <w:sz w:val="24"/>
          <w:szCs w:val="24"/>
          <w:lang w:eastAsia="zh-CN"/>
        </w:rPr>
        <w:t>11</w:t>
      </w:r>
      <w:r w:rsidR="008D76BF" w:rsidRPr="00D60127">
        <w:rPr>
          <w:rFonts w:ascii="SimSun" w:eastAsia="SimSun" w:hAnsi="SimSun" w:cs="SimSun" w:hint="eastAsia"/>
          <w:sz w:val="24"/>
          <w:szCs w:val="24"/>
          <w:lang w:eastAsia="zh-CN"/>
        </w:rPr>
        <w:t>月</w:t>
      </w:r>
      <w:r w:rsidR="008D76BF" w:rsidRPr="00D60127">
        <w:rPr>
          <w:rFonts w:hAnsi="SimSun"/>
          <w:sz w:val="24"/>
          <w:szCs w:val="24"/>
          <w:lang w:eastAsia="zh-CN"/>
        </w:rPr>
        <w:t>21</w:t>
      </w:r>
      <w:r w:rsidR="008D76BF" w:rsidRPr="00D60127">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D60127">
        <w:rPr>
          <w:rFonts w:ascii="SimSun" w:eastAsia="SimSun" w:hAnsi="SimSun" w:cs="SimSun" w:hint="eastAsia"/>
          <w:sz w:val="24"/>
          <w:szCs w:val="24"/>
          <w:lang w:eastAsia="zh-CN"/>
        </w:rPr>
        <w:t>第</w:t>
      </w:r>
      <w:r w:rsidR="008D76BF" w:rsidRPr="00D60127">
        <w:rPr>
          <w:rFonts w:hAnsi="SimSun"/>
          <w:sz w:val="24"/>
          <w:szCs w:val="24"/>
          <w:lang w:eastAsia="zh-CN"/>
        </w:rPr>
        <w:t>6</w:t>
      </w:r>
      <w:r w:rsidR="008D76BF" w:rsidRPr="00D60127">
        <w:rPr>
          <w:rFonts w:ascii="SimSun" w:eastAsia="SimSun" w:hAnsi="SimSun" w:cs="SimSun" w:hint="eastAsia"/>
          <w:sz w:val="24"/>
          <w:szCs w:val="24"/>
          <w:lang w:eastAsia="zh-CN"/>
        </w:rPr>
        <w:t>场会议上审议了主席提交的决定草案。</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下列国家代表</w:t>
      </w:r>
      <w:r w:rsidR="006952B0">
        <w:rPr>
          <w:rFonts w:ascii="SimSun" w:eastAsia="SimSun" w:hAnsi="SimSun" w:cs="SimSun" w:hint="eastAsia"/>
          <w:sz w:val="24"/>
          <w:szCs w:val="24"/>
          <w:lang w:eastAsia="zh-CN"/>
        </w:rPr>
        <w:t>作了发言</w:t>
      </w:r>
      <w:r w:rsidRPr="00D60127">
        <w:rPr>
          <w:rFonts w:ascii="SimSun" w:eastAsia="SimSun" w:hAnsi="SimSun" w:cs="SimSun" w:hint="eastAsia"/>
          <w:sz w:val="24"/>
          <w:szCs w:val="24"/>
          <w:lang w:eastAsia="zh-CN"/>
        </w:rPr>
        <w:t>：阿根廷、多民族玻利维亚国、巴西、哥伦比亚、埃及、欧洲联盟及其</w:t>
      </w:r>
      <w:r w:rsidRPr="00D60127">
        <w:rPr>
          <w:rFonts w:hAnsi="SimSun"/>
          <w:sz w:val="24"/>
          <w:szCs w:val="24"/>
          <w:lang w:eastAsia="zh-CN"/>
        </w:rPr>
        <w:t>28</w:t>
      </w:r>
      <w:r w:rsidRPr="00D60127">
        <w:rPr>
          <w:rFonts w:ascii="SimSun" w:eastAsia="SimSun" w:hAnsi="SimSun" w:cs="SimSun" w:hint="eastAsia"/>
          <w:sz w:val="24"/>
          <w:szCs w:val="24"/>
          <w:lang w:eastAsia="zh-CN"/>
        </w:rPr>
        <w:t>个成员国、冈比亚、加纳、危地马拉、墨西哥、挪威、菲律宾、新加坡和瑞士。</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第二工作组在</w:t>
      </w:r>
      <w:r w:rsidRPr="00D60127">
        <w:rPr>
          <w:rFonts w:hAnsi="SimSun"/>
          <w:sz w:val="24"/>
          <w:szCs w:val="24"/>
          <w:lang w:eastAsia="zh-CN"/>
        </w:rPr>
        <w:t>2018</w:t>
      </w:r>
      <w:r w:rsidRPr="00D60127">
        <w:rPr>
          <w:rFonts w:ascii="SimSun" w:eastAsia="SimSun" w:hAnsi="SimSun" w:cs="SimSun" w:hint="eastAsia"/>
          <w:sz w:val="24"/>
          <w:szCs w:val="24"/>
          <w:lang w:eastAsia="zh-CN"/>
        </w:rPr>
        <w:t>年</w:t>
      </w:r>
      <w:r w:rsidRPr="00D60127">
        <w:rPr>
          <w:rFonts w:hAnsi="SimSun"/>
          <w:sz w:val="24"/>
          <w:szCs w:val="24"/>
          <w:lang w:eastAsia="zh-CN"/>
        </w:rPr>
        <w:t>11</w:t>
      </w:r>
      <w:r w:rsidRPr="00D60127">
        <w:rPr>
          <w:rFonts w:ascii="SimSun" w:eastAsia="SimSun" w:hAnsi="SimSun" w:cs="SimSun" w:hint="eastAsia"/>
          <w:sz w:val="24"/>
          <w:szCs w:val="24"/>
          <w:lang w:eastAsia="zh-CN"/>
        </w:rPr>
        <w:t>月</w:t>
      </w:r>
      <w:r w:rsidRPr="00D60127">
        <w:rPr>
          <w:rFonts w:hAnsi="SimSun"/>
          <w:sz w:val="24"/>
          <w:szCs w:val="24"/>
          <w:lang w:eastAsia="zh-CN"/>
        </w:rPr>
        <w:t>21</w:t>
      </w:r>
      <w:r w:rsidR="004375B9">
        <w:rPr>
          <w:rFonts w:ascii="SimSun" w:eastAsia="SimSun" w:hAnsi="SimSun" w:cs="SimSun" w:hint="eastAsia"/>
          <w:sz w:val="24"/>
          <w:szCs w:val="24"/>
          <w:lang w:eastAsia="zh-CN"/>
        </w:rPr>
        <w:t>日其</w:t>
      </w:r>
      <w:r w:rsidRPr="00D60127">
        <w:rPr>
          <w:rFonts w:ascii="SimSun" w:eastAsia="SimSun" w:hAnsi="SimSun" w:cs="SimSun" w:hint="eastAsia"/>
          <w:sz w:val="24"/>
          <w:szCs w:val="24"/>
          <w:lang w:eastAsia="zh-CN"/>
        </w:rPr>
        <w:t>第</w:t>
      </w:r>
      <w:r w:rsidRPr="00D60127">
        <w:rPr>
          <w:rFonts w:hAnsi="SimSun"/>
          <w:sz w:val="24"/>
          <w:szCs w:val="24"/>
          <w:lang w:eastAsia="zh-CN"/>
        </w:rPr>
        <w:t>7</w:t>
      </w:r>
      <w:r w:rsidRPr="00D60127">
        <w:rPr>
          <w:rFonts w:ascii="SimSun" w:eastAsia="SimSun" w:hAnsi="SimSun" w:cs="SimSun" w:hint="eastAsia"/>
          <w:sz w:val="24"/>
          <w:szCs w:val="24"/>
          <w:lang w:eastAsia="zh-CN"/>
        </w:rPr>
        <w:t>场会议上继续审议决定草案。</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D60127">
        <w:rPr>
          <w:rFonts w:ascii="SimSun" w:eastAsia="SimSun" w:hAnsi="SimSun" w:cs="SimSun" w:hint="eastAsia"/>
          <w:sz w:val="24"/>
          <w:szCs w:val="24"/>
          <w:lang w:eastAsia="zh-CN"/>
        </w:rPr>
        <w:t>：巴西、哥伦比亚、埃及、欧洲联盟及其</w:t>
      </w:r>
      <w:r w:rsidRPr="00D60127">
        <w:rPr>
          <w:rFonts w:hAnsi="SimSun"/>
          <w:sz w:val="24"/>
          <w:szCs w:val="24"/>
          <w:lang w:eastAsia="zh-CN"/>
        </w:rPr>
        <w:t>28</w:t>
      </w:r>
      <w:r w:rsidRPr="00D60127">
        <w:rPr>
          <w:rFonts w:ascii="SimSun" w:eastAsia="SimSun" w:hAnsi="SimSun" w:cs="SimSun" w:hint="eastAsia"/>
          <w:sz w:val="24"/>
          <w:szCs w:val="24"/>
          <w:lang w:eastAsia="zh-CN"/>
        </w:rPr>
        <w:t>个成员国、加纳、危地马拉、菲律宾和沙特阿拉伯。</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经交换意见后，经口头修正的决定草案获得核准，作为决定草案</w:t>
      </w:r>
      <w:r w:rsidRPr="00D60127">
        <w:rPr>
          <w:rFonts w:hAnsi="SimSun"/>
          <w:sz w:val="24"/>
          <w:szCs w:val="24"/>
          <w:lang w:eastAsia="zh-CN"/>
        </w:rPr>
        <w:t>CBD/COP/14/L.4</w:t>
      </w:r>
      <w:r w:rsidRPr="00D60127">
        <w:rPr>
          <w:rFonts w:ascii="SimSun" w:eastAsia="SimSun" w:hAnsi="SimSun" w:cs="SimSun" w:hint="eastAsia"/>
          <w:sz w:val="24"/>
          <w:szCs w:val="24"/>
          <w:lang w:eastAsia="zh-CN"/>
        </w:rPr>
        <w:t>转交全体会议。</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4D1FBA">
        <w:rPr>
          <w:rFonts w:ascii="SimSun" w:eastAsia="SimSun" w:hAnsi="SimSun" w:cs="SimSun" w:hint="eastAsia"/>
          <w:sz w:val="24"/>
          <w:szCs w:val="24"/>
          <w:lang w:eastAsia="zh-CN"/>
        </w:rPr>
        <w:t>在</w:t>
      </w:r>
      <w:r w:rsidRPr="004D1FBA">
        <w:rPr>
          <w:rFonts w:hAnsi="SimSun"/>
          <w:sz w:val="24"/>
          <w:szCs w:val="24"/>
          <w:lang w:eastAsia="zh-CN"/>
        </w:rPr>
        <w:t>2018</w:t>
      </w:r>
      <w:r w:rsidRPr="004D1FBA">
        <w:rPr>
          <w:rFonts w:ascii="SimSun" w:eastAsia="SimSun" w:hAnsi="SimSun" w:cs="SimSun" w:hint="eastAsia"/>
          <w:sz w:val="24"/>
          <w:szCs w:val="24"/>
          <w:lang w:eastAsia="zh-CN"/>
        </w:rPr>
        <w:t>年</w:t>
      </w:r>
      <w:r w:rsidRPr="004D1FBA">
        <w:rPr>
          <w:rFonts w:hAnsi="SimSun"/>
          <w:sz w:val="24"/>
          <w:szCs w:val="24"/>
          <w:lang w:eastAsia="zh-CN"/>
        </w:rPr>
        <w:t>11</w:t>
      </w:r>
      <w:r w:rsidRPr="004D1FBA">
        <w:rPr>
          <w:rFonts w:ascii="SimSun" w:eastAsia="SimSun" w:hAnsi="SimSun" w:cs="SimSun" w:hint="eastAsia"/>
          <w:sz w:val="24"/>
          <w:szCs w:val="24"/>
          <w:lang w:eastAsia="zh-CN"/>
        </w:rPr>
        <w:t>月</w:t>
      </w:r>
      <w:r w:rsidRPr="004D1FBA">
        <w:rPr>
          <w:rFonts w:hAnsi="SimSun"/>
          <w:sz w:val="24"/>
          <w:szCs w:val="24"/>
          <w:lang w:eastAsia="zh-CN"/>
        </w:rPr>
        <w:t>2</w:t>
      </w:r>
      <w:r>
        <w:rPr>
          <w:rFonts w:hAnsi="SimSun"/>
          <w:sz w:val="24"/>
          <w:szCs w:val="24"/>
          <w:lang w:eastAsia="zh-CN"/>
        </w:rPr>
        <w:t>2</w:t>
      </w:r>
      <w:r w:rsidR="004375B9">
        <w:rPr>
          <w:rFonts w:ascii="SimSun" w:eastAsia="SimSun" w:hAnsi="SimSun" w:cs="SimSun" w:hint="eastAsia"/>
          <w:sz w:val="24"/>
          <w:szCs w:val="24"/>
          <w:lang w:eastAsia="zh-CN"/>
        </w:rPr>
        <w:t>日会议的</w:t>
      </w:r>
      <w:r w:rsidRPr="004D1FBA">
        <w:rPr>
          <w:rFonts w:ascii="SimSun" w:eastAsia="SimSun" w:hAnsi="SimSun" w:cs="SimSun" w:hint="eastAsia"/>
          <w:sz w:val="24"/>
          <w:szCs w:val="24"/>
          <w:lang w:eastAsia="zh-CN"/>
        </w:rPr>
        <w:t>第</w:t>
      </w:r>
      <w:r>
        <w:rPr>
          <w:rFonts w:ascii="SimSun" w:eastAsia="Times New Roman" w:hAnsi="SimSun" w:cs="SimSun"/>
          <w:sz w:val="24"/>
          <w:szCs w:val="24"/>
          <w:lang w:eastAsia="zh-CN"/>
        </w:rPr>
        <w:t>4</w:t>
      </w:r>
      <w:r w:rsidR="00B45641">
        <w:rPr>
          <w:rFonts w:ascii="SimSun" w:eastAsia="SimSun" w:hAnsi="SimSun" w:cs="SimSun" w:hint="eastAsia"/>
          <w:sz w:val="24"/>
          <w:szCs w:val="24"/>
          <w:lang w:eastAsia="zh-CN"/>
        </w:rPr>
        <w:t>次全体会议</w:t>
      </w:r>
      <w:r w:rsidRPr="004D1FBA">
        <w:rPr>
          <w:rFonts w:ascii="SimSun" w:eastAsia="SimSun" w:hAnsi="SimSun" w:cs="SimSun" w:hint="eastAsia"/>
          <w:sz w:val="24"/>
          <w:szCs w:val="24"/>
          <w:lang w:eastAsia="zh-CN"/>
        </w:rPr>
        <w:t>上，缔约方大会通过了决定草案</w:t>
      </w:r>
      <w:r w:rsidRPr="004D1FBA">
        <w:rPr>
          <w:rFonts w:hAnsi="SimSun"/>
          <w:sz w:val="24"/>
          <w:szCs w:val="24"/>
          <w:lang w:eastAsia="zh-CN"/>
        </w:rPr>
        <w:t>CBD/COP/14/L.</w:t>
      </w:r>
      <w:r>
        <w:rPr>
          <w:rFonts w:hAnsi="SimSun"/>
          <w:sz w:val="24"/>
          <w:szCs w:val="24"/>
          <w:lang w:eastAsia="zh-CN"/>
        </w:rPr>
        <w:t>4</w:t>
      </w:r>
      <w:r w:rsidRPr="004D1FBA">
        <w:rPr>
          <w:rFonts w:ascii="SimSun" w:eastAsia="SimSun" w:hAnsi="SimSun" w:cs="SimSun" w:hint="eastAsia"/>
          <w:sz w:val="24"/>
          <w:szCs w:val="24"/>
          <w:lang w:eastAsia="zh-CN"/>
        </w:rPr>
        <w:t>，成为第</w:t>
      </w:r>
      <w:r w:rsidRPr="00972641">
        <w:rPr>
          <w:rFonts w:hAnsi="SimSun"/>
          <w:sz w:val="24"/>
          <w:szCs w:val="24"/>
          <w:lang w:eastAsia="zh-CN"/>
        </w:rPr>
        <w:t>14</w:t>
      </w:r>
      <w:r w:rsidRPr="004D1FBA">
        <w:rPr>
          <w:rFonts w:hAnsi="SimSun"/>
          <w:sz w:val="24"/>
          <w:szCs w:val="24"/>
          <w:lang w:eastAsia="zh-CN"/>
        </w:rPr>
        <w:t>/</w:t>
      </w:r>
      <w:r w:rsidR="00972641">
        <w:rPr>
          <w:rFonts w:hAnsi="SimSun"/>
          <w:sz w:val="24"/>
          <w:szCs w:val="24"/>
          <w:lang w:eastAsia="zh-CN"/>
        </w:rPr>
        <w:t>4</w:t>
      </w:r>
      <w:r w:rsidRPr="004D1FBA">
        <w:rPr>
          <w:rFonts w:ascii="SimSun" w:eastAsia="SimSun" w:hAnsi="SimSun" w:cs="SimSun" w:hint="eastAsia"/>
          <w:sz w:val="24"/>
          <w:szCs w:val="24"/>
          <w:lang w:eastAsia="zh-CN"/>
        </w:rPr>
        <w:t>决定</w:t>
      </w:r>
      <w:r w:rsidR="00972641" w:rsidRPr="00972641">
        <w:rPr>
          <w:rFonts w:eastAsiaTheme="minorEastAsia" w:hAnsi="SimSun"/>
          <w:sz w:val="24"/>
          <w:lang w:eastAsia="zh-CN"/>
        </w:rPr>
        <w:t>（案文见第一章）。</w:t>
      </w:r>
    </w:p>
    <w:p w:rsidR="008D76BF" w:rsidRPr="00972641" w:rsidRDefault="008D76BF" w:rsidP="00750ECD">
      <w:pPr>
        <w:pStyle w:val="ListParagraph"/>
        <w:tabs>
          <w:tab w:val="left" w:pos="720"/>
        </w:tabs>
        <w:adjustRightInd w:val="0"/>
        <w:snapToGrid w:val="0"/>
        <w:spacing w:line="240" w:lineRule="atLeast"/>
        <w:ind w:left="0" w:firstLine="0"/>
        <w:rPr>
          <w:rFonts w:asciiTheme="minorEastAsia" w:eastAsiaTheme="minorEastAsia" w:hAnsiTheme="minorEastAsia"/>
          <w:b/>
          <w:noProof/>
          <w:kern w:val="22"/>
          <w:lang w:val="en-GB" w:eastAsia="zh-CN"/>
        </w:rPr>
      </w:pPr>
      <w:r w:rsidRPr="00972641">
        <w:rPr>
          <w:rFonts w:asciiTheme="minorEastAsia" w:eastAsiaTheme="minorEastAsia" w:hAnsiTheme="minorEastAsia" w:hint="eastAsia"/>
          <w:b/>
          <w:noProof/>
          <w:kern w:val="22"/>
          <w:lang w:val="en-GB" w:eastAsia="zh-CN"/>
        </w:rPr>
        <w:t>将生物多样性纳入能源和采矿、基础设施和制造加工部门的主流</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第二工作组在</w:t>
      </w:r>
      <w:r w:rsidRPr="00D60127">
        <w:rPr>
          <w:rFonts w:hAnsi="SimSun"/>
          <w:sz w:val="24"/>
          <w:szCs w:val="24"/>
          <w:lang w:eastAsia="zh-CN"/>
        </w:rPr>
        <w:t>2018</w:t>
      </w:r>
      <w:r w:rsidRPr="00D60127">
        <w:rPr>
          <w:rFonts w:ascii="SimSun" w:eastAsia="SimSun" w:hAnsi="SimSun" w:cs="SimSun" w:hint="eastAsia"/>
          <w:sz w:val="24"/>
          <w:szCs w:val="24"/>
          <w:lang w:eastAsia="zh-CN"/>
        </w:rPr>
        <w:t>年</w:t>
      </w:r>
      <w:r w:rsidRPr="00D60127">
        <w:rPr>
          <w:rFonts w:hAnsi="SimSun"/>
          <w:sz w:val="24"/>
          <w:szCs w:val="24"/>
          <w:lang w:eastAsia="zh-CN"/>
        </w:rPr>
        <w:t>11</w:t>
      </w:r>
      <w:r w:rsidRPr="00D60127">
        <w:rPr>
          <w:rFonts w:ascii="SimSun" w:eastAsia="SimSun" w:hAnsi="SimSun" w:cs="SimSun" w:hint="eastAsia"/>
          <w:sz w:val="24"/>
          <w:szCs w:val="24"/>
          <w:lang w:eastAsia="zh-CN"/>
        </w:rPr>
        <w:t>月</w:t>
      </w:r>
      <w:r w:rsidRPr="00D60127">
        <w:rPr>
          <w:rFonts w:hAnsi="SimSun"/>
          <w:sz w:val="24"/>
          <w:szCs w:val="24"/>
          <w:lang w:eastAsia="zh-CN"/>
        </w:rPr>
        <w:t>19</w:t>
      </w:r>
      <w:r w:rsidR="004375B9">
        <w:rPr>
          <w:rFonts w:ascii="SimSun" w:eastAsia="SimSun" w:hAnsi="SimSun" w:cs="SimSun" w:hint="eastAsia"/>
          <w:sz w:val="24"/>
          <w:szCs w:val="24"/>
          <w:lang w:eastAsia="zh-CN"/>
        </w:rPr>
        <w:t>日其</w:t>
      </w:r>
      <w:r w:rsidRPr="00D60127">
        <w:rPr>
          <w:rFonts w:ascii="SimSun" w:eastAsia="SimSun" w:hAnsi="SimSun" w:cs="SimSun" w:hint="eastAsia"/>
          <w:sz w:val="24"/>
          <w:szCs w:val="24"/>
          <w:lang w:eastAsia="zh-CN"/>
        </w:rPr>
        <w:t>第</w:t>
      </w:r>
      <w:r w:rsidRPr="00D60127">
        <w:rPr>
          <w:rFonts w:hAnsi="SimSun"/>
          <w:sz w:val="24"/>
          <w:szCs w:val="24"/>
          <w:lang w:eastAsia="zh-CN"/>
        </w:rPr>
        <w:t>3</w:t>
      </w:r>
      <w:r w:rsidRPr="00D60127">
        <w:rPr>
          <w:rFonts w:ascii="SimSun" w:eastAsia="SimSun" w:hAnsi="SimSun" w:cs="SimSun" w:hint="eastAsia"/>
          <w:sz w:val="24"/>
          <w:szCs w:val="24"/>
          <w:lang w:eastAsia="zh-CN"/>
        </w:rPr>
        <w:t>场会议上审议了议程项目第二</w:t>
      </w:r>
      <w:r w:rsidR="004375B9">
        <w:rPr>
          <w:rFonts w:ascii="SimSun" w:eastAsia="SimSun" w:hAnsi="SimSun" w:cs="SimSun" w:hint="eastAsia"/>
          <w:sz w:val="24"/>
          <w:szCs w:val="24"/>
          <w:lang w:eastAsia="zh-CN"/>
        </w:rPr>
        <w:t>个议题</w:t>
      </w:r>
      <w:r w:rsidRPr="00D60127">
        <w:rPr>
          <w:rFonts w:ascii="SimSun" w:eastAsia="SimSun" w:hAnsi="SimSun" w:cs="SimSun" w:hint="eastAsia"/>
          <w:sz w:val="24"/>
          <w:szCs w:val="24"/>
          <w:lang w:eastAsia="zh-CN"/>
        </w:rPr>
        <w:t>。在审议该项目时，工作组收到了决定草案汇编（</w:t>
      </w:r>
      <w:r w:rsidRPr="00D60127">
        <w:rPr>
          <w:rFonts w:hAnsi="SimSun"/>
          <w:sz w:val="24"/>
          <w:szCs w:val="24"/>
          <w:lang w:eastAsia="zh-CN"/>
        </w:rPr>
        <w:t>CBD/COP/14/2</w:t>
      </w:r>
      <w:r w:rsidRPr="00D60127">
        <w:rPr>
          <w:rFonts w:ascii="SimSun" w:eastAsia="SimSun" w:hAnsi="SimSun" w:cs="SimSun" w:hint="eastAsia"/>
          <w:sz w:val="24"/>
          <w:szCs w:val="24"/>
          <w:lang w:eastAsia="zh-CN"/>
        </w:rPr>
        <w:t>）中所载的决定草案。该决定草案系以科咨机构第</w:t>
      </w:r>
      <w:r w:rsidRPr="00D60127">
        <w:rPr>
          <w:rFonts w:hAnsi="SimSun"/>
          <w:sz w:val="24"/>
          <w:szCs w:val="24"/>
          <w:lang w:eastAsia="zh-CN"/>
        </w:rPr>
        <w:t>2/3</w:t>
      </w:r>
      <w:r w:rsidRPr="00D60127">
        <w:rPr>
          <w:rFonts w:ascii="SimSun" w:eastAsia="SimSun" w:hAnsi="SimSun" w:cs="SimSun" w:hint="eastAsia"/>
          <w:sz w:val="24"/>
          <w:szCs w:val="24"/>
          <w:lang w:eastAsia="zh-CN"/>
        </w:rPr>
        <w:t>号建议为基础，该建议还吸收了科咨机构第</w:t>
      </w:r>
      <w:r w:rsidRPr="00D60127">
        <w:rPr>
          <w:rFonts w:hAnsi="SimSun"/>
          <w:sz w:val="24"/>
          <w:szCs w:val="24"/>
          <w:lang w:eastAsia="zh-CN"/>
        </w:rPr>
        <w:t>XXI/4</w:t>
      </w:r>
      <w:r w:rsidRPr="00D60127">
        <w:rPr>
          <w:rFonts w:ascii="SimSun" w:eastAsia="SimSun" w:hAnsi="SimSun" w:cs="SimSun" w:hint="eastAsia"/>
          <w:sz w:val="24"/>
          <w:szCs w:val="24"/>
          <w:lang w:eastAsia="zh-CN"/>
        </w:rPr>
        <w:t>号建议中关于生物多样性主流化的要素。</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应主席邀请，筹备委员会及生物多样性公约</w:t>
      </w:r>
      <w:r w:rsidR="00B5651D">
        <w:rPr>
          <w:rFonts w:ascii="SimSun" w:eastAsia="SimSun" w:hAnsi="SimSun" w:cs="SimSun" w:hint="eastAsia"/>
          <w:sz w:val="24"/>
          <w:szCs w:val="24"/>
          <w:lang w:eastAsia="zh-CN"/>
        </w:rPr>
        <w:t>第十四届会议</w:t>
      </w:r>
      <w:r w:rsidR="00B5651D">
        <w:rPr>
          <w:rFonts w:ascii="SimSun" w:eastAsia="SimSun" w:hAnsi="SimSun" w:cs="SimSun"/>
          <w:sz w:val="24"/>
          <w:szCs w:val="24"/>
          <w:lang w:eastAsia="zh-CN"/>
        </w:rPr>
        <w:t>以及同时举行的卡塔赫纳议定书和名古屋议定书缔约方会议的</w:t>
      </w:r>
      <w:r w:rsidRPr="00D60127">
        <w:rPr>
          <w:rFonts w:ascii="SimSun" w:eastAsia="SimSun" w:hAnsi="SimSun" w:cs="SimSun" w:hint="eastAsia"/>
          <w:sz w:val="24"/>
          <w:szCs w:val="24"/>
          <w:lang w:eastAsia="zh-CN"/>
        </w:rPr>
        <w:t>埃及国家联络点主席</w:t>
      </w:r>
      <w:r w:rsidRPr="00D60127">
        <w:rPr>
          <w:rFonts w:hAnsi="SimSun"/>
          <w:sz w:val="24"/>
          <w:szCs w:val="24"/>
          <w:lang w:eastAsia="zh-CN"/>
        </w:rPr>
        <w:t>Hamdallah</w:t>
      </w:r>
      <w:r w:rsidRPr="00D60127">
        <w:rPr>
          <w:rFonts w:hAnsi="SimSun" w:hint="eastAsia"/>
          <w:sz w:val="24"/>
          <w:szCs w:val="24"/>
          <w:lang w:eastAsia="zh-CN"/>
        </w:rPr>
        <w:t xml:space="preserve">　</w:t>
      </w:r>
      <w:r w:rsidRPr="00D60127">
        <w:rPr>
          <w:rFonts w:hAnsi="SimSun"/>
          <w:sz w:val="24"/>
          <w:szCs w:val="24"/>
          <w:lang w:eastAsia="zh-CN"/>
        </w:rPr>
        <w:t>Zedan</w:t>
      </w:r>
      <w:r w:rsidR="00B5651D">
        <w:rPr>
          <w:rFonts w:ascii="SimSun" w:eastAsia="SimSun" w:hAnsi="SimSun" w:cs="SimSun" w:hint="eastAsia"/>
          <w:sz w:val="24"/>
          <w:szCs w:val="24"/>
          <w:lang w:eastAsia="zh-CN"/>
        </w:rPr>
        <w:t>先生介绍了将</w:t>
      </w:r>
      <w:r w:rsidR="00B5651D">
        <w:rPr>
          <w:rFonts w:ascii="SimSun" w:eastAsia="SimSun" w:hAnsi="SimSun" w:cs="SimSun" w:hint="eastAsia"/>
          <w:sz w:val="24"/>
          <w:szCs w:val="24"/>
          <w:lang w:eastAsia="zh-CN"/>
        </w:rPr>
        <w:lastRenderedPageBreak/>
        <w:t>生物多样性纳入高级别部分圆桌会议主流（见</w:t>
      </w:r>
      <w:r w:rsidR="00B5651D" w:rsidRPr="00B5651D">
        <w:rPr>
          <w:kern w:val="22"/>
          <w:sz w:val="24"/>
          <w:lang w:eastAsia="zh-CN"/>
        </w:rPr>
        <w:t>CBD/COP/14/12</w:t>
      </w:r>
      <w:r w:rsidR="00B5651D" w:rsidRPr="00B5651D">
        <w:rPr>
          <w:rFonts w:hint="eastAsia"/>
          <w:kern w:val="22"/>
          <w:sz w:val="24"/>
          <w:lang w:eastAsia="zh-CN"/>
        </w:rPr>
        <w:t>和</w:t>
      </w:r>
      <w:r w:rsidR="00B5651D" w:rsidRPr="00B5651D">
        <w:rPr>
          <w:kern w:val="22"/>
          <w:sz w:val="24"/>
          <w:lang w:eastAsia="zh-CN"/>
        </w:rPr>
        <w:t>Add.1</w:t>
      </w:r>
      <w:r w:rsidR="00B5651D">
        <w:rPr>
          <w:rFonts w:ascii="SimSun" w:eastAsia="SimSun" w:hAnsi="SimSun" w:cs="SimSun"/>
          <w:sz w:val="24"/>
          <w:szCs w:val="24"/>
          <w:lang w:eastAsia="zh-CN"/>
        </w:rPr>
        <w:t>）以及</w:t>
      </w:r>
      <w:r w:rsidRPr="00D60127">
        <w:rPr>
          <w:rFonts w:ascii="SimSun" w:eastAsia="SimSun" w:hAnsi="SimSun" w:cs="SimSun" w:hint="eastAsia"/>
          <w:sz w:val="24"/>
          <w:szCs w:val="24"/>
          <w:lang w:eastAsia="zh-CN"/>
        </w:rPr>
        <w:t>企业和生物多样性论坛的要点。</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D60127">
        <w:rPr>
          <w:rFonts w:ascii="SimSun" w:eastAsia="SimSun" w:hAnsi="SimSun" w:cs="SimSun" w:hint="eastAsia"/>
          <w:sz w:val="24"/>
          <w:szCs w:val="24"/>
          <w:lang w:eastAsia="zh-CN"/>
        </w:rPr>
        <w:t>：阿根廷、巴林、孟加拉国、博茨瓦纳、柬埔寨、加拿大、智利、哥伦比亚、哥斯达黎加、科特迪瓦、古巴、欧洲联盟及其</w:t>
      </w:r>
      <w:r w:rsidRPr="00D60127">
        <w:rPr>
          <w:rFonts w:hAnsi="SimSun"/>
          <w:sz w:val="24"/>
          <w:szCs w:val="24"/>
          <w:lang w:eastAsia="zh-CN"/>
        </w:rPr>
        <w:t>28</w:t>
      </w:r>
      <w:r w:rsidRPr="00D60127">
        <w:rPr>
          <w:rFonts w:ascii="SimSun" w:eastAsia="SimSun" w:hAnsi="SimSun" w:cs="SimSun" w:hint="eastAsia"/>
          <w:sz w:val="24"/>
          <w:szCs w:val="24"/>
          <w:lang w:eastAsia="zh-CN"/>
        </w:rPr>
        <w:t>个成员国、危地马拉、印度、日本、利比里亚、马拉维、马来西亚、墨西哥、摩洛哥、挪威、阿曼、菲律宾、南非、斯里兰卡、泰国、多哥（代表非洲集团）、土耳其和委内瑞拉玻利瓦尔共和国。</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工作组在</w:t>
      </w:r>
      <w:r w:rsidRPr="00D60127">
        <w:rPr>
          <w:rFonts w:hAnsi="SimSun"/>
          <w:sz w:val="24"/>
          <w:szCs w:val="24"/>
          <w:lang w:eastAsia="zh-CN"/>
        </w:rPr>
        <w:t>2018</w:t>
      </w:r>
      <w:r w:rsidRPr="00D60127">
        <w:rPr>
          <w:rFonts w:ascii="SimSun" w:eastAsia="SimSun" w:hAnsi="SimSun" w:cs="SimSun" w:hint="eastAsia"/>
          <w:sz w:val="24"/>
          <w:szCs w:val="24"/>
          <w:lang w:eastAsia="zh-CN"/>
        </w:rPr>
        <w:t>年</w:t>
      </w:r>
      <w:r w:rsidRPr="00D60127">
        <w:rPr>
          <w:rFonts w:hAnsi="SimSun"/>
          <w:sz w:val="24"/>
          <w:szCs w:val="24"/>
          <w:lang w:eastAsia="zh-CN"/>
        </w:rPr>
        <w:t>11</w:t>
      </w:r>
      <w:r w:rsidRPr="00D60127">
        <w:rPr>
          <w:rFonts w:ascii="SimSun" w:eastAsia="SimSun" w:hAnsi="SimSun" w:cs="SimSun" w:hint="eastAsia"/>
          <w:sz w:val="24"/>
          <w:szCs w:val="24"/>
          <w:lang w:eastAsia="zh-CN"/>
        </w:rPr>
        <w:t>月</w:t>
      </w:r>
      <w:r w:rsidRPr="00D60127">
        <w:rPr>
          <w:rFonts w:hAnsi="SimSun"/>
          <w:sz w:val="24"/>
          <w:szCs w:val="24"/>
          <w:lang w:eastAsia="zh-CN"/>
        </w:rPr>
        <w:t>19</w:t>
      </w:r>
      <w:r w:rsidR="004375B9">
        <w:rPr>
          <w:rFonts w:ascii="SimSun" w:eastAsia="SimSun" w:hAnsi="SimSun" w:cs="SimSun" w:hint="eastAsia"/>
          <w:sz w:val="24"/>
          <w:szCs w:val="24"/>
          <w:lang w:eastAsia="zh-CN"/>
        </w:rPr>
        <w:t>日其</w:t>
      </w:r>
      <w:r w:rsidRPr="00D60127">
        <w:rPr>
          <w:rFonts w:ascii="SimSun" w:eastAsia="SimSun" w:hAnsi="SimSun" w:cs="SimSun" w:hint="eastAsia"/>
          <w:sz w:val="24"/>
          <w:szCs w:val="24"/>
          <w:lang w:eastAsia="zh-CN"/>
        </w:rPr>
        <w:t>第</w:t>
      </w:r>
      <w:r w:rsidRPr="00D60127">
        <w:rPr>
          <w:rFonts w:hAnsi="SimSun"/>
          <w:sz w:val="24"/>
          <w:szCs w:val="24"/>
          <w:lang w:eastAsia="zh-CN"/>
        </w:rPr>
        <w:t>4</w:t>
      </w:r>
      <w:r w:rsidRPr="00D60127">
        <w:rPr>
          <w:rFonts w:ascii="SimSun" w:eastAsia="SimSun" w:hAnsi="SimSun" w:cs="SimSun" w:hint="eastAsia"/>
          <w:sz w:val="24"/>
          <w:szCs w:val="24"/>
          <w:lang w:eastAsia="zh-CN"/>
        </w:rPr>
        <w:t>场会议上审议了议程项目</w:t>
      </w:r>
      <w:r w:rsidRPr="00D60127">
        <w:rPr>
          <w:rFonts w:hAnsi="SimSun"/>
          <w:sz w:val="24"/>
          <w:szCs w:val="24"/>
          <w:lang w:eastAsia="zh-CN"/>
        </w:rPr>
        <w:t>22</w:t>
      </w:r>
      <w:r w:rsidRPr="00D60127">
        <w:rPr>
          <w:rFonts w:ascii="SimSun" w:eastAsia="SimSun" w:hAnsi="SimSun" w:cs="SimSun" w:hint="eastAsia"/>
          <w:sz w:val="24"/>
          <w:szCs w:val="24"/>
          <w:lang w:eastAsia="zh-CN"/>
        </w:rPr>
        <w:t>的第二</w:t>
      </w:r>
      <w:r w:rsidR="004375B9">
        <w:rPr>
          <w:rFonts w:ascii="SimSun" w:eastAsia="SimSun" w:hAnsi="SimSun" w:cs="SimSun" w:hint="eastAsia"/>
          <w:sz w:val="24"/>
          <w:szCs w:val="24"/>
          <w:lang w:eastAsia="zh-CN"/>
        </w:rPr>
        <w:t>个议题</w:t>
      </w:r>
      <w:r w:rsidRPr="00D60127">
        <w:rPr>
          <w:rFonts w:ascii="SimSun" w:eastAsia="SimSun" w:hAnsi="SimSun" w:cs="SimSun" w:hint="eastAsia"/>
          <w:sz w:val="24"/>
          <w:szCs w:val="24"/>
          <w:lang w:eastAsia="zh-CN"/>
        </w:rPr>
        <w:t>。</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D60127">
        <w:rPr>
          <w:rFonts w:ascii="SimSun" w:eastAsia="SimSun" w:hAnsi="SimSun" w:cs="SimSun" w:hint="eastAsia"/>
          <w:sz w:val="24"/>
          <w:szCs w:val="24"/>
          <w:lang w:eastAsia="zh-CN"/>
        </w:rPr>
        <w:t>：布隆迪、乍得、中国、厄立特里亚、埃塞俄比亚、肯尼亚、尼日尔、巴布亚新几内亚（代表太平洋岛屿国家）、秘鲁、沙特阿拉伯、新加坡、乌干达和坦桑尼亚联合共和国。</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粮农组织和联合国妇女署的代表也</w:t>
      </w:r>
      <w:r w:rsidR="006952B0">
        <w:rPr>
          <w:rFonts w:ascii="SimSun" w:eastAsia="SimSun" w:hAnsi="SimSun" w:cs="SimSun" w:hint="eastAsia"/>
          <w:sz w:val="24"/>
          <w:szCs w:val="24"/>
          <w:lang w:eastAsia="zh-CN"/>
        </w:rPr>
        <w:t>作了发言</w:t>
      </w:r>
      <w:r w:rsidRPr="00D60127">
        <w:rPr>
          <w:rFonts w:ascii="SimSun" w:eastAsia="SimSun" w:hAnsi="SimSun" w:cs="SimSun" w:hint="eastAsia"/>
          <w:sz w:val="24"/>
          <w:szCs w:val="24"/>
          <w:lang w:eastAsia="zh-CN"/>
        </w:rPr>
        <w:t>。</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hAnsi="SimSun"/>
          <w:sz w:val="24"/>
          <w:szCs w:val="24"/>
          <w:lang w:eastAsia="zh-CN"/>
        </w:rPr>
        <w:t>DHI</w:t>
      </w:r>
      <w:r w:rsidRPr="00D60127">
        <w:rPr>
          <w:rFonts w:ascii="SimSun" w:eastAsia="SimSun" w:hAnsi="SimSun" w:cs="SimSun" w:hint="eastAsia"/>
          <w:sz w:val="24"/>
          <w:szCs w:val="24"/>
          <w:lang w:eastAsia="zh-CN"/>
        </w:rPr>
        <w:t>马来西亚的水与环境；地球之友国际（也代表土著和社区保护区联盟，</w:t>
      </w:r>
      <w:r w:rsidRPr="00D60127">
        <w:rPr>
          <w:rFonts w:hAnsi="SimSun"/>
          <w:sz w:val="24"/>
          <w:szCs w:val="24"/>
          <w:lang w:eastAsia="zh-CN"/>
        </w:rPr>
        <w:t>EcoNexus</w:t>
      </w:r>
      <w:r w:rsidRPr="00D60127">
        <w:rPr>
          <w:rFonts w:ascii="SimSun" w:eastAsia="SimSun" w:hAnsi="SimSun" w:cs="SimSun" w:hint="eastAsia"/>
          <w:sz w:val="24"/>
          <w:szCs w:val="24"/>
          <w:lang w:eastAsia="zh-CN"/>
        </w:rPr>
        <w:t>、欧洲生态反思与行动网络（</w:t>
      </w:r>
      <w:r w:rsidRPr="00D60127">
        <w:rPr>
          <w:rFonts w:hAnsi="SimSun"/>
          <w:sz w:val="24"/>
          <w:szCs w:val="24"/>
          <w:lang w:eastAsia="zh-CN"/>
        </w:rPr>
        <w:t>ECOROPA</w:t>
      </w:r>
      <w:r w:rsidRPr="00D60127">
        <w:rPr>
          <w:rFonts w:ascii="SimSun" w:eastAsia="SimSun" w:hAnsi="SimSun" w:cs="SimSun" w:hint="eastAsia"/>
          <w:sz w:val="24"/>
          <w:szCs w:val="24"/>
          <w:lang w:eastAsia="zh-CN"/>
        </w:rPr>
        <w:t>）和全球森林联盟）、西伯利亚森林之友（也代表全球森林联盟）、全球青年生物多样性网络（</w:t>
      </w:r>
      <w:r w:rsidRPr="00D60127">
        <w:rPr>
          <w:rFonts w:hAnsi="SimSun"/>
          <w:sz w:val="24"/>
          <w:szCs w:val="24"/>
          <w:lang w:eastAsia="zh-CN"/>
        </w:rPr>
        <w:t>GYBN</w:t>
      </w:r>
      <w:r w:rsidRPr="00D60127">
        <w:rPr>
          <w:rFonts w:ascii="SimSun" w:eastAsia="SimSun" w:hAnsi="SimSun" w:cs="SimSun" w:hint="eastAsia"/>
          <w:sz w:val="24"/>
          <w:szCs w:val="24"/>
          <w:lang w:eastAsia="zh-CN"/>
        </w:rPr>
        <w:t>）和国际石油工业环境保护协会</w:t>
      </w:r>
      <w:r w:rsidRPr="00D60127">
        <w:rPr>
          <w:rFonts w:hAnsi="SimSun"/>
          <w:sz w:val="24"/>
          <w:szCs w:val="24"/>
          <w:lang w:eastAsia="zh-CN"/>
        </w:rPr>
        <w:t>(IPIECA)</w:t>
      </w:r>
      <w:r w:rsidRPr="00D60127">
        <w:rPr>
          <w:rFonts w:ascii="SimSun" w:eastAsia="SimSun" w:hAnsi="SimSun" w:cs="SimSun" w:hint="eastAsia"/>
          <w:sz w:val="24"/>
          <w:szCs w:val="24"/>
          <w:lang w:eastAsia="zh-CN"/>
        </w:rPr>
        <w:t>的代表作了进一步的发言。主席说她将编写一份订正决定草案供工作组审议。</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主席说她将编写一份经修订的决定草案供工作组审议。</w:t>
      </w:r>
    </w:p>
    <w:p w:rsidR="008D76BF" w:rsidRPr="00D60127"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D60127">
        <w:rPr>
          <w:rFonts w:ascii="SimSun" w:eastAsia="SimSun" w:hAnsi="SimSun" w:cs="SimSun" w:hint="eastAsia"/>
          <w:sz w:val="24"/>
          <w:szCs w:val="24"/>
          <w:lang w:eastAsia="zh-CN"/>
        </w:rPr>
        <w:t>在</w:t>
      </w:r>
      <w:r w:rsidR="008D76BF" w:rsidRPr="00D60127">
        <w:rPr>
          <w:rFonts w:hAnsi="SimSun"/>
          <w:sz w:val="24"/>
          <w:szCs w:val="24"/>
          <w:lang w:eastAsia="zh-CN"/>
        </w:rPr>
        <w:t>2018</w:t>
      </w:r>
      <w:r w:rsidR="008D76BF" w:rsidRPr="00D60127">
        <w:rPr>
          <w:rFonts w:ascii="SimSun" w:eastAsia="SimSun" w:hAnsi="SimSun" w:cs="SimSun" w:hint="eastAsia"/>
          <w:sz w:val="24"/>
          <w:szCs w:val="24"/>
          <w:lang w:eastAsia="zh-CN"/>
        </w:rPr>
        <w:t>年</w:t>
      </w:r>
      <w:r w:rsidR="008D76BF" w:rsidRPr="00D60127">
        <w:rPr>
          <w:rFonts w:hAnsi="SimSun"/>
          <w:sz w:val="24"/>
          <w:szCs w:val="24"/>
          <w:lang w:eastAsia="zh-CN"/>
        </w:rPr>
        <w:t>11</w:t>
      </w:r>
      <w:r w:rsidR="008D76BF" w:rsidRPr="00D60127">
        <w:rPr>
          <w:rFonts w:ascii="SimSun" w:eastAsia="SimSun" w:hAnsi="SimSun" w:cs="SimSun" w:hint="eastAsia"/>
          <w:sz w:val="24"/>
          <w:szCs w:val="24"/>
          <w:lang w:eastAsia="zh-CN"/>
        </w:rPr>
        <w:t>月</w:t>
      </w:r>
      <w:r w:rsidR="008D76BF" w:rsidRPr="00D60127">
        <w:rPr>
          <w:rFonts w:hAnsi="SimSun"/>
          <w:sz w:val="24"/>
          <w:szCs w:val="24"/>
          <w:lang w:eastAsia="zh-CN"/>
        </w:rPr>
        <w:t>26</w:t>
      </w:r>
      <w:r>
        <w:rPr>
          <w:rFonts w:ascii="SimSun" w:eastAsia="SimSun" w:hAnsi="SimSun" w:cs="SimSun" w:hint="eastAsia"/>
          <w:sz w:val="24"/>
          <w:szCs w:val="24"/>
          <w:lang w:eastAsia="zh-CN"/>
        </w:rPr>
        <w:t>日其</w:t>
      </w:r>
      <w:r w:rsidR="008D76BF" w:rsidRPr="00D60127">
        <w:rPr>
          <w:rFonts w:ascii="SimSun" w:eastAsia="SimSun" w:hAnsi="SimSun" w:cs="SimSun" w:hint="eastAsia"/>
          <w:sz w:val="24"/>
          <w:szCs w:val="24"/>
          <w:lang w:eastAsia="zh-CN"/>
        </w:rPr>
        <w:t>第</w:t>
      </w:r>
      <w:r w:rsidR="008D76BF" w:rsidRPr="00D60127">
        <w:rPr>
          <w:rFonts w:hAnsi="SimSun"/>
          <w:sz w:val="24"/>
          <w:szCs w:val="24"/>
          <w:lang w:eastAsia="zh-CN"/>
        </w:rPr>
        <w:t>13</w:t>
      </w:r>
      <w:r w:rsidR="008D76BF" w:rsidRPr="00D60127">
        <w:rPr>
          <w:rFonts w:ascii="SimSun" w:eastAsia="SimSun" w:hAnsi="SimSun" w:cs="SimSun" w:hint="eastAsia"/>
          <w:sz w:val="24"/>
          <w:szCs w:val="24"/>
          <w:lang w:eastAsia="zh-CN"/>
        </w:rPr>
        <w:t>场会议上审议了主席提交的订正决定草案。</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D60127">
        <w:rPr>
          <w:rFonts w:ascii="SimSun" w:eastAsia="SimSun" w:hAnsi="SimSun" w:cs="SimSun" w:hint="eastAsia"/>
          <w:sz w:val="24"/>
          <w:szCs w:val="24"/>
          <w:lang w:eastAsia="zh-CN"/>
        </w:rPr>
        <w:t>：阿根廷、巴西、乍得、哥伦比亚、欧洲联盟及其</w:t>
      </w:r>
      <w:r w:rsidRPr="00D60127">
        <w:rPr>
          <w:rFonts w:hAnsi="SimSun"/>
          <w:sz w:val="24"/>
          <w:szCs w:val="24"/>
          <w:lang w:eastAsia="zh-CN"/>
        </w:rPr>
        <w:t>28</w:t>
      </w:r>
      <w:r w:rsidRPr="00D60127">
        <w:rPr>
          <w:rFonts w:ascii="SimSun" w:eastAsia="SimSun" w:hAnsi="SimSun" w:cs="SimSun" w:hint="eastAsia"/>
          <w:sz w:val="24"/>
          <w:szCs w:val="24"/>
          <w:lang w:eastAsia="zh-CN"/>
        </w:rPr>
        <w:t>个成员国、加纳、墨西哥、新西兰、挪威、菲律宾、新加坡、南非和委内瑞拉玻利瓦尔共和国。</w:t>
      </w:r>
    </w:p>
    <w:p w:rsidR="008D76BF" w:rsidRPr="00D60127"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D60127">
        <w:rPr>
          <w:rFonts w:ascii="SimSun" w:eastAsia="SimSun" w:hAnsi="SimSun" w:cs="SimSun" w:hint="eastAsia"/>
          <w:sz w:val="24"/>
          <w:szCs w:val="24"/>
          <w:lang w:eastAsia="zh-CN"/>
        </w:rPr>
        <w:t>在</w:t>
      </w:r>
      <w:r w:rsidR="008D76BF" w:rsidRPr="00D60127">
        <w:rPr>
          <w:rFonts w:hAnsi="SimSun"/>
          <w:sz w:val="24"/>
          <w:szCs w:val="24"/>
          <w:lang w:eastAsia="zh-CN"/>
        </w:rPr>
        <w:t>2018</w:t>
      </w:r>
      <w:r w:rsidR="008D76BF" w:rsidRPr="00D60127">
        <w:rPr>
          <w:rFonts w:ascii="SimSun" w:eastAsia="SimSun" w:hAnsi="SimSun" w:cs="SimSun" w:hint="eastAsia"/>
          <w:sz w:val="24"/>
          <w:szCs w:val="24"/>
          <w:lang w:eastAsia="zh-CN"/>
        </w:rPr>
        <w:t>年</w:t>
      </w:r>
      <w:r w:rsidR="008D76BF" w:rsidRPr="00D60127">
        <w:rPr>
          <w:rFonts w:hAnsi="SimSun"/>
          <w:sz w:val="24"/>
          <w:szCs w:val="24"/>
          <w:lang w:eastAsia="zh-CN"/>
        </w:rPr>
        <w:t>11</w:t>
      </w:r>
      <w:r w:rsidR="008D76BF" w:rsidRPr="00D60127">
        <w:rPr>
          <w:rFonts w:ascii="SimSun" w:eastAsia="SimSun" w:hAnsi="SimSun" w:cs="SimSun" w:hint="eastAsia"/>
          <w:sz w:val="24"/>
          <w:szCs w:val="24"/>
          <w:lang w:eastAsia="zh-CN"/>
        </w:rPr>
        <w:t>月</w:t>
      </w:r>
      <w:r w:rsidR="008D76BF" w:rsidRPr="00D60127">
        <w:rPr>
          <w:rFonts w:hAnsi="SimSun"/>
          <w:sz w:val="24"/>
          <w:szCs w:val="24"/>
          <w:lang w:eastAsia="zh-CN"/>
        </w:rPr>
        <w:t>27</w:t>
      </w:r>
      <w:r>
        <w:rPr>
          <w:rFonts w:ascii="SimSun" w:eastAsia="SimSun" w:hAnsi="SimSun" w:cs="SimSun" w:hint="eastAsia"/>
          <w:sz w:val="24"/>
          <w:szCs w:val="24"/>
          <w:lang w:eastAsia="zh-CN"/>
        </w:rPr>
        <w:t>日其</w:t>
      </w:r>
      <w:r w:rsidR="008D76BF" w:rsidRPr="00D60127">
        <w:rPr>
          <w:rFonts w:ascii="SimSun" w:eastAsia="SimSun" w:hAnsi="SimSun" w:cs="SimSun" w:hint="eastAsia"/>
          <w:sz w:val="24"/>
          <w:szCs w:val="24"/>
          <w:lang w:eastAsia="zh-CN"/>
        </w:rPr>
        <w:t>第</w:t>
      </w:r>
      <w:r w:rsidR="008D76BF" w:rsidRPr="00D60127">
        <w:rPr>
          <w:rFonts w:hAnsi="SimSun"/>
          <w:sz w:val="24"/>
          <w:szCs w:val="24"/>
          <w:lang w:eastAsia="zh-CN"/>
        </w:rPr>
        <w:t>14</w:t>
      </w:r>
      <w:r w:rsidR="008D76BF" w:rsidRPr="00D60127">
        <w:rPr>
          <w:rFonts w:ascii="SimSun" w:eastAsia="SimSun" w:hAnsi="SimSun" w:cs="SimSun" w:hint="eastAsia"/>
          <w:sz w:val="24"/>
          <w:szCs w:val="24"/>
          <w:lang w:eastAsia="zh-CN"/>
        </w:rPr>
        <w:t>场会议上继续审议订正决定草案。</w:t>
      </w:r>
    </w:p>
    <w:p w:rsidR="008D76BF" w:rsidRPr="00D60127"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D60127">
        <w:rPr>
          <w:rFonts w:ascii="SimSun" w:eastAsia="SimSun" w:hAnsi="SimSun" w:cs="SimSun" w:hint="eastAsia"/>
          <w:sz w:val="24"/>
          <w:szCs w:val="24"/>
          <w:lang w:eastAsia="zh-CN"/>
        </w:rPr>
        <w:t>：阿根廷、哥伦比亚、埃及、欧洲联盟及其</w:t>
      </w:r>
      <w:r w:rsidRPr="00D60127">
        <w:rPr>
          <w:rFonts w:hAnsi="SimSun"/>
          <w:sz w:val="24"/>
          <w:szCs w:val="24"/>
          <w:lang w:eastAsia="zh-CN"/>
        </w:rPr>
        <w:t>28</w:t>
      </w:r>
      <w:r w:rsidRPr="00D60127">
        <w:rPr>
          <w:rFonts w:ascii="SimSun" w:eastAsia="SimSun" w:hAnsi="SimSun" w:cs="SimSun" w:hint="eastAsia"/>
          <w:sz w:val="24"/>
          <w:szCs w:val="24"/>
          <w:lang w:eastAsia="zh-CN"/>
        </w:rPr>
        <w:t>个成员国、墨西哥和新西兰。</w:t>
      </w:r>
    </w:p>
    <w:p w:rsidR="008D76BF" w:rsidRDefault="008D76BF" w:rsidP="00750ECD">
      <w:pPr>
        <w:pStyle w:val="Para1"/>
        <w:numPr>
          <w:ilvl w:val="0"/>
          <w:numId w:val="9"/>
        </w:numPr>
        <w:tabs>
          <w:tab w:val="clear" w:pos="360"/>
          <w:tab w:val="left" w:pos="720"/>
        </w:tabs>
        <w:ind w:firstLine="0"/>
        <w:rPr>
          <w:rFonts w:hAnsi="SimSun"/>
          <w:sz w:val="24"/>
          <w:szCs w:val="24"/>
          <w:lang w:eastAsia="zh-CN"/>
        </w:rPr>
      </w:pPr>
      <w:r w:rsidRPr="00D60127">
        <w:rPr>
          <w:rFonts w:ascii="SimSun" w:eastAsia="SimSun" w:hAnsi="SimSun" w:cs="SimSun" w:hint="eastAsia"/>
          <w:sz w:val="24"/>
          <w:szCs w:val="24"/>
          <w:lang w:eastAsia="zh-CN"/>
        </w:rPr>
        <w:t>经交换意见后，经口头修正的决定草案获得核准，作为决定草案</w:t>
      </w:r>
      <w:r w:rsidRPr="00D60127">
        <w:rPr>
          <w:rFonts w:hAnsi="SimSun"/>
          <w:sz w:val="24"/>
          <w:szCs w:val="24"/>
          <w:lang w:eastAsia="zh-CN"/>
        </w:rPr>
        <w:t>CBD/COP/14/L.20</w:t>
      </w:r>
      <w:r w:rsidRPr="00D60127">
        <w:rPr>
          <w:rFonts w:ascii="SimSun" w:eastAsia="SimSun" w:hAnsi="SimSun" w:cs="SimSun" w:hint="eastAsia"/>
          <w:sz w:val="24"/>
          <w:szCs w:val="24"/>
          <w:lang w:eastAsia="zh-CN"/>
        </w:rPr>
        <w:t>转交全体会议。</w:t>
      </w:r>
    </w:p>
    <w:p w:rsidR="00B5651D" w:rsidRPr="00B5651D" w:rsidRDefault="00E17F8A" w:rsidP="00B5651D">
      <w:pPr>
        <w:pStyle w:val="Para1"/>
        <w:numPr>
          <w:ilvl w:val="0"/>
          <w:numId w:val="9"/>
        </w:numPr>
        <w:tabs>
          <w:tab w:val="clear" w:pos="360"/>
          <w:tab w:val="left" w:pos="720"/>
        </w:tabs>
        <w:ind w:firstLine="0"/>
        <w:rPr>
          <w:rFonts w:eastAsia="SimSun"/>
          <w:sz w:val="24"/>
          <w:szCs w:val="24"/>
          <w:lang w:eastAsia="zh-CN"/>
        </w:rPr>
      </w:pPr>
      <w:r w:rsidRPr="00972641">
        <w:rPr>
          <w:rFonts w:ascii="SimSun" w:eastAsia="SimSun" w:hAnsi="SimSun" w:cs="SimSun" w:hint="eastAsia"/>
          <w:sz w:val="24"/>
          <w:szCs w:val="24"/>
          <w:lang w:eastAsia="zh-CN"/>
        </w:rPr>
        <w:t>在</w:t>
      </w:r>
      <w:r w:rsidRPr="00972641">
        <w:rPr>
          <w:rFonts w:hAnsi="SimSun"/>
          <w:sz w:val="24"/>
          <w:szCs w:val="24"/>
          <w:lang w:eastAsia="zh-CN"/>
        </w:rPr>
        <w:t>2018</w:t>
      </w:r>
      <w:r w:rsidRPr="00972641">
        <w:rPr>
          <w:rFonts w:ascii="SimSun" w:eastAsia="SimSun" w:hAnsi="SimSun" w:cs="SimSun" w:hint="eastAsia"/>
          <w:sz w:val="24"/>
          <w:szCs w:val="24"/>
          <w:lang w:eastAsia="zh-CN"/>
        </w:rPr>
        <w:t>年</w:t>
      </w:r>
      <w:r w:rsidRPr="00972641">
        <w:rPr>
          <w:rFonts w:hAnsi="SimSun"/>
          <w:sz w:val="24"/>
          <w:szCs w:val="24"/>
          <w:lang w:eastAsia="zh-CN"/>
        </w:rPr>
        <w:t>11</w:t>
      </w:r>
      <w:r w:rsidRPr="00972641">
        <w:rPr>
          <w:rFonts w:ascii="SimSun" w:eastAsia="SimSun" w:hAnsi="SimSun" w:cs="SimSun" w:hint="eastAsia"/>
          <w:sz w:val="24"/>
          <w:szCs w:val="24"/>
          <w:lang w:eastAsia="zh-CN"/>
        </w:rPr>
        <w:t>月</w:t>
      </w:r>
      <w:r w:rsidRPr="00972641">
        <w:rPr>
          <w:rFonts w:hAnsi="SimSun"/>
          <w:sz w:val="24"/>
          <w:szCs w:val="24"/>
          <w:lang w:eastAsia="zh-CN"/>
        </w:rPr>
        <w:t>29</w:t>
      </w:r>
      <w:r w:rsidR="004375B9">
        <w:rPr>
          <w:rFonts w:ascii="SimSun" w:eastAsia="SimSun" w:hAnsi="SimSun" w:cs="SimSun" w:hint="eastAsia"/>
          <w:sz w:val="24"/>
          <w:szCs w:val="24"/>
          <w:lang w:eastAsia="zh-CN"/>
        </w:rPr>
        <w:t>日会议的</w:t>
      </w:r>
      <w:r w:rsidRPr="00972641">
        <w:rPr>
          <w:rFonts w:ascii="SimSun" w:eastAsia="SimSun" w:hAnsi="SimSun" w:cs="SimSun" w:hint="eastAsia"/>
          <w:sz w:val="24"/>
          <w:szCs w:val="24"/>
          <w:lang w:eastAsia="zh-CN"/>
        </w:rPr>
        <w:t>第</w:t>
      </w:r>
      <w:r w:rsidRPr="00972641">
        <w:rPr>
          <w:rFonts w:hAnsi="SimSun"/>
          <w:sz w:val="24"/>
          <w:szCs w:val="24"/>
          <w:lang w:eastAsia="zh-CN"/>
        </w:rPr>
        <w:t>7</w:t>
      </w:r>
      <w:r w:rsidRPr="00972641">
        <w:rPr>
          <w:rFonts w:ascii="SimSun" w:eastAsia="SimSun" w:hAnsi="SimSun" w:cs="SimSun" w:hint="eastAsia"/>
          <w:sz w:val="24"/>
          <w:szCs w:val="24"/>
          <w:lang w:eastAsia="zh-CN"/>
        </w:rPr>
        <w:t>次全体会议上，</w:t>
      </w:r>
      <w:r>
        <w:rPr>
          <w:rFonts w:ascii="SimSun" w:eastAsia="SimSun" w:hAnsi="SimSun" w:cs="SimSun" w:hint="eastAsia"/>
          <w:sz w:val="24"/>
          <w:szCs w:val="24"/>
          <w:lang w:eastAsia="zh-CN"/>
        </w:rPr>
        <w:t>缔约方大会审议</w:t>
      </w:r>
      <w:r>
        <w:rPr>
          <w:rFonts w:ascii="SimSun" w:eastAsia="SimSun" w:hAnsi="SimSun" w:cs="SimSun"/>
          <w:sz w:val="24"/>
          <w:szCs w:val="24"/>
          <w:lang w:eastAsia="zh-CN"/>
        </w:rPr>
        <w:t>了</w:t>
      </w:r>
      <w:r>
        <w:rPr>
          <w:rFonts w:ascii="SimSun" w:eastAsia="SimSun" w:hAnsi="SimSun" w:cs="SimSun" w:hint="eastAsia"/>
          <w:sz w:val="24"/>
          <w:szCs w:val="24"/>
          <w:lang w:eastAsia="zh-CN"/>
        </w:rPr>
        <w:t>决定草案</w:t>
      </w:r>
      <w:r>
        <w:rPr>
          <w:rFonts w:eastAsia="SimSun"/>
          <w:sz w:val="24"/>
          <w:szCs w:val="24"/>
          <w:lang w:eastAsia="zh-CN"/>
        </w:rPr>
        <w:t>CBD/COP/14/L.20</w:t>
      </w:r>
      <w:r>
        <w:rPr>
          <w:rFonts w:eastAsia="SimSun" w:hint="eastAsia"/>
          <w:sz w:val="24"/>
          <w:szCs w:val="24"/>
          <w:lang w:eastAsia="zh-CN"/>
        </w:rPr>
        <w:t>。</w:t>
      </w:r>
    </w:p>
    <w:p w:rsidR="00B5651D" w:rsidRPr="00B5651D" w:rsidRDefault="00E17F8A" w:rsidP="00B5651D">
      <w:pPr>
        <w:pStyle w:val="Para1"/>
        <w:numPr>
          <w:ilvl w:val="0"/>
          <w:numId w:val="9"/>
        </w:numPr>
        <w:tabs>
          <w:tab w:val="clear" w:pos="360"/>
          <w:tab w:val="left" w:pos="720"/>
        </w:tabs>
        <w:ind w:firstLine="0"/>
        <w:rPr>
          <w:rFonts w:eastAsia="SimSun"/>
          <w:sz w:val="24"/>
          <w:szCs w:val="24"/>
          <w:lang w:eastAsia="zh-CN"/>
        </w:rPr>
      </w:pPr>
      <w:r>
        <w:rPr>
          <w:rFonts w:eastAsia="SimSun" w:hint="eastAsia"/>
          <w:sz w:val="24"/>
          <w:szCs w:val="24"/>
          <w:lang w:eastAsia="zh-CN"/>
        </w:rPr>
        <w:t>哥伦比亚</w:t>
      </w:r>
      <w:r>
        <w:rPr>
          <w:rFonts w:eastAsia="SimSun"/>
          <w:sz w:val="24"/>
          <w:szCs w:val="24"/>
          <w:lang w:eastAsia="zh-CN"/>
        </w:rPr>
        <w:t>和墨西哥的代表作了发言。</w:t>
      </w:r>
      <w:r w:rsidR="00B5651D" w:rsidRPr="00B5651D">
        <w:rPr>
          <w:rFonts w:eastAsia="SimSun"/>
          <w:sz w:val="24"/>
          <w:szCs w:val="24"/>
          <w:lang w:eastAsia="zh-CN"/>
        </w:rPr>
        <w:t xml:space="preserve"> </w:t>
      </w:r>
    </w:p>
    <w:p w:rsidR="00E17F8A" w:rsidRPr="00972641" w:rsidRDefault="00E17F8A" w:rsidP="00E17F8A">
      <w:pPr>
        <w:pStyle w:val="Para1"/>
        <w:numPr>
          <w:ilvl w:val="0"/>
          <w:numId w:val="9"/>
        </w:numPr>
        <w:tabs>
          <w:tab w:val="clear" w:pos="360"/>
          <w:tab w:val="left" w:pos="720"/>
        </w:tabs>
        <w:ind w:firstLine="0"/>
        <w:rPr>
          <w:rFonts w:hAnsi="SimSun"/>
          <w:sz w:val="24"/>
          <w:szCs w:val="24"/>
          <w:lang w:eastAsia="zh-CN"/>
        </w:rPr>
      </w:pPr>
      <w:r w:rsidRPr="00972641">
        <w:rPr>
          <w:rFonts w:ascii="SimSun" w:eastAsia="SimSun" w:hAnsi="SimSun" w:cs="SimSun" w:hint="eastAsia"/>
          <w:sz w:val="24"/>
          <w:szCs w:val="24"/>
          <w:lang w:eastAsia="zh-CN"/>
        </w:rPr>
        <w:t>缔约方大会通过了</w:t>
      </w:r>
      <w:r>
        <w:rPr>
          <w:rFonts w:ascii="SimSun" w:eastAsia="SimSun" w:hAnsi="SimSun" w:cs="SimSun" w:hint="eastAsia"/>
          <w:sz w:val="24"/>
          <w:szCs w:val="24"/>
          <w:lang w:eastAsia="zh-CN"/>
        </w:rPr>
        <w:t>经口头修正</w:t>
      </w:r>
      <w:r>
        <w:rPr>
          <w:rFonts w:ascii="SimSun" w:eastAsia="SimSun" w:hAnsi="SimSun" w:cs="SimSun"/>
          <w:sz w:val="24"/>
          <w:szCs w:val="24"/>
          <w:lang w:eastAsia="zh-CN"/>
        </w:rPr>
        <w:t>的</w:t>
      </w:r>
      <w:r w:rsidRPr="00972641">
        <w:rPr>
          <w:rFonts w:ascii="SimSun" w:eastAsia="SimSun" w:hAnsi="SimSun" w:cs="SimSun" w:hint="eastAsia"/>
          <w:sz w:val="24"/>
          <w:szCs w:val="24"/>
          <w:lang w:eastAsia="zh-CN"/>
        </w:rPr>
        <w:t>决定草案</w:t>
      </w:r>
      <w:r w:rsidRPr="00972641">
        <w:rPr>
          <w:rFonts w:hAnsi="SimSun"/>
          <w:sz w:val="24"/>
          <w:szCs w:val="24"/>
          <w:lang w:eastAsia="zh-CN"/>
        </w:rPr>
        <w:t>CBD/COP/14/L.</w:t>
      </w:r>
      <w:r>
        <w:rPr>
          <w:rFonts w:hAnsi="SimSun"/>
          <w:sz w:val="24"/>
          <w:szCs w:val="24"/>
          <w:lang w:eastAsia="zh-CN"/>
        </w:rPr>
        <w:t>20</w:t>
      </w:r>
      <w:r w:rsidRPr="00972641">
        <w:rPr>
          <w:rFonts w:ascii="SimSun" w:eastAsia="SimSun" w:hAnsi="SimSun" w:cs="SimSun" w:hint="eastAsia"/>
          <w:sz w:val="24"/>
          <w:szCs w:val="24"/>
          <w:lang w:eastAsia="zh-CN"/>
        </w:rPr>
        <w:t>，成为第</w:t>
      </w:r>
      <w:r w:rsidRPr="00972641">
        <w:rPr>
          <w:rFonts w:hAnsi="SimSun"/>
          <w:sz w:val="24"/>
          <w:szCs w:val="24"/>
          <w:lang w:eastAsia="zh-CN"/>
        </w:rPr>
        <w:t>14/</w:t>
      </w:r>
      <w:r>
        <w:rPr>
          <w:rFonts w:hAnsi="SimSun"/>
          <w:sz w:val="24"/>
          <w:szCs w:val="24"/>
          <w:lang w:eastAsia="zh-CN"/>
        </w:rPr>
        <w:t>3</w:t>
      </w:r>
      <w:r w:rsidRPr="00972641">
        <w:rPr>
          <w:rFonts w:ascii="SimSun" w:eastAsia="SimSun" w:hAnsi="SimSun" w:cs="SimSun" w:hint="eastAsia"/>
          <w:sz w:val="24"/>
          <w:szCs w:val="24"/>
          <w:lang w:eastAsia="zh-CN"/>
        </w:rPr>
        <w:t>号决定</w:t>
      </w:r>
      <w:r w:rsidRPr="00972641">
        <w:rPr>
          <w:rFonts w:eastAsiaTheme="minorEastAsia" w:hAnsi="SimSun"/>
          <w:sz w:val="24"/>
          <w:lang w:eastAsia="zh-CN"/>
        </w:rPr>
        <w:t>（案文见第一章）。</w:t>
      </w:r>
    </w:p>
    <w:p w:rsidR="008D76BF" w:rsidRPr="00E63AA3" w:rsidRDefault="008D76BF" w:rsidP="00E63AA3">
      <w:pPr>
        <w:pStyle w:val="Heading1"/>
        <w:spacing w:before="120" w:after="120"/>
        <w:ind w:firstLine="0"/>
        <w:rPr>
          <w:sz w:val="24"/>
          <w:lang w:eastAsia="zh-CN"/>
        </w:rPr>
      </w:pPr>
      <w:bookmarkStart w:id="285" w:name="_Toc6243834"/>
      <w:r w:rsidRPr="00E63AA3">
        <w:rPr>
          <w:rFonts w:hint="eastAsia"/>
          <w:sz w:val="24"/>
          <w:lang w:eastAsia="zh-CN"/>
        </w:rPr>
        <w:lastRenderedPageBreak/>
        <w:t>项目</w:t>
      </w:r>
      <w:r w:rsidRPr="00E63AA3">
        <w:rPr>
          <w:sz w:val="24"/>
          <w:lang w:eastAsia="zh-CN"/>
        </w:rPr>
        <w:t xml:space="preserve">23.    </w:t>
      </w:r>
      <w:r w:rsidR="00366699" w:rsidRPr="00E63AA3">
        <w:rPr>
          <w:sz w:val="24"/>
          <w:lang w:eastAsia="zh-CN"/>
        </w:rPr>
        <w:t xml:space="preserve">  </w:t>
      </w:r>
      <w:r w:rsidRPr="00E63AA3">
        <w:rPr>
          <w:rFonts w:hint="eastAsia"/>
          <w:sz w:val="24"/>
          <w:lang w:eastAsia="zh-CN"/>
        </w:rPr>
        <w:t>保护和可持续利用授粉媒介</w:t>
      </w:r>
      <w:bookmarkEnd w:id="285"/>
    </w:p>
    <w:p w:rsidR="008D76BF" w:rsidRPr="0057797F" w:rsidRDefault="008D76BF" w:rsidP="00750ECD">
      <w:pPr>
        <w:pStyle w:val="Para1"/>
        <w:numPr>
          <w:ilvl w:val="0"/>
          <w:numId w:val="9"/>
        </w:numPr>
        <w:tabs>
          <w:tab w:val="clear" w:pos="360"/>
          <w:tab w:val="left" w:pos="720"/>
        </w:tabs>
        <w:ind w:firstLine="0"/>
        <w:rPr>
          <w:rFonts w:hAnsi="SimSun"/>
          <w:sz w:val="24"/>
          <w:szCs w:val="24"/>
          <w:lang w:eastAsia="zh-CN"/>
        </w:rPr>
      </w:pPr>
      <w:r w:rsidRPr="0057797F">
        <w:rPr>
          <w:rFonts w:ascii="SimSun" w:eastAsia="SimSun" w:hAnsi="SimSun" w:cs="SimSun" w:hint="eastAsia"/>
          <w:sz w:val="24"/>
          <w:szCs w:val="24"/>
          <w:lang w:eastAsia="zh-CN"/>
        </w:rPr>
        <w:t>第二工作组在</w:t>
      </w:r>
      <w:r w:rsidRPr="0057797F">
        <w:rPr>
          <w:rFonts w:hAnsi="SimSun"/>
          <w:sz w:val="24"/>
          <w:szCs w:val="24"/>
          <w:lang w:eastAsia="zh-CN"/>
        </w:rPr>
        <w:t>2018</w:t>
      </w:r>
      <w:r w:rsidRPr="0057797F">
        <w:rPr>
          <w:rFonts w:ascii="SimSun" w:eastAsia="SimSun" w:hAnsi="SimSun" w:cs="SimSun" w:hint="eastAsia"/>
          <w:sz w:val="24"/>
          <w:szCs w:val="24"/>
          <w:lang w:eastAsia="zh-CN"/>
        </w:rPr>
        <w:t>年</w:t>
      </w:r>
      <w:r w:rsidRPr="0057797F">
        <w:rPr>
          <w:rFonts w:hAnsi="SimSun"/>
          <w:sz w:val="24"/>
          <w:szCs w:val="24"/>
          <w:lang w:eastAsia="zh-CN"/>
        </w:rPr>
        <w:t>11</w:t>
      </w:r>
      <w:r w:rsidRPr="0057797F">
        <w:rPr>
          <w:rFonts w:ascii="SimSun" w:eastAsia="SimSun" w:hAnsi="SimSun" w:cs="SimSun" w:hint="eastAsia"/>
          <w:sz w:val="24"/>
          <w:szCs w:val="24"/>
          <w:lang w:eastAsia="zh-CN"/>
        </w:rPr>
        <w:t>月</w:t>
      </w:r>
      <w:r w:rsidRPr="0057797F">
        <w:rPr>
          <w:rFonts w:hAnsi="SimSun"/>
          <w:sz w:val="24"/>
          <w:szCs w:val="24"/>
          <w:lang w:eastAsia="zh-CN"/>
        </w:rPr>
        <w:t>20</w:t>
      </w:r>
      <w:r w:rsidRPr="0057797F">
        <w:rPr>
          <w:rFonts w:ascii="SimSun" w:eastAsia="SimSun" w:hAnsi="SimSun" w:cs="SimSun" w:hint="eastAsia"/>
          <w:sz w:val="24"/>
          <w:szCs w:val="24"/>
          <w:lang w:eastAsia="zh-CN"/>
        </w:rPr>
        <w:t>日的第</w:t>
      </w:r>
      <w:r w:rsidRPr="0057797F">
        <w:rPr>
          <w:rFonts w:hAnsi="SimSun"/>
          <w:sz w:val="24"/>
          <w:szCs w:val="24"/>
          <w:lang w:eastAsia="zh-CN"/>
        </w:rPr>
        <w:t>5</w:t>
      </w:r>
      <w:r w:rsidRPr="0057797F">
        <w:rPr>
          <w:rFonts w:ascii="SimSun" w:eastAsia="SimSun" w:hAnsi="SimSun" w:cs="SimSun" w:hint="eastAsia"/>
          <w:sz w:val="24"/>
          <w:szCs w:val="24"/>
          <w:lang w:eastAsia="zh-CN"/>
        </w:rPr>
        <w:t>场会议审议了议程项目</w:t>
      </w:r>
      <w:r w:rsidRPr="0057797F">
        <w:rPr>
          <w:rFonts w:hAnsi="SimSun"/>
          <w:sz w:val="24"/>
          <w:szCs w:val="24"/>
          <w:lang w:eastAsia="zh-CN"/>
        </w:rPr>
        <w:t>23</w:t>
      </w:r>
      <w:r w:rsidRPr="0057797F">
        <w:rPr>
          <w:rFonts w:ascii="SimSun" w:eastAsia="SimSun" w:hAnsi="SimSun" w:cs="SimSun" w:hint="eastAsia"/>
          <w:sz w:val="24"/>
          <w:szCs w:val="24"/>
          <w:lang w:eastAsia="zh-CN"/>
        </w:rPr>
        <w:t>。在审议该项目时，工作组收到了根据决定草案汇编（</w:t>
      </w:r>
      <w:r w:rsidRPr="0057797F">
        <w:rPr>
          <w:rFonts w:hAnsi="SimSun"/>
          <w:sz w:val="24"/>
          <w:szCs w:val="24"/>
          <w:lang w:eastAsia="zh-CN"/>
        </w:rPr>
        <w:t>CBD/COP/14/2</w:t>
      </w:r>
      <w:r w:rsidRPr="0057797F">
        <w:rPr>
          <w:rFonts w:ascii="SimSun" w:eastAsia="SimSun" w:hAnsi="SimSun" w:cs="SimSun" w:hint="eastAsia"/>
          <w:sz w:val="24"/>
          <w:szCs w:val="24"/>
          <w:lang w:eastAsia="zh-CN"/>
        </w:rPr>
        <w:t>）所载的科咨机构第</w:t>
      </w:r>
      <w:r w:rsidRPr="0057797F">
        <w:rPr>
          <w:rFonts w:hAnsi="SimSun"/>
          <w:sz w:val="24"/>
          <w:szCs w:val="24"/>
          <w:lang w:eastAsia="zh-CN"/>
        </w:rPr>
        <w:t>22/9</w:t>
      </w:r>
      <w:r w:rsidRPr="0057797F">
        <w:rPr>
          <w:rFonts w:ascii="SimSun" w:eastAsia="SimSun" w:hAnsi="SimSun" w:cs="SimSun" w:hint="eastAsia"/>
          <w:sz w:val="24"/>
          <w:szCs w:val="24"/>
          <w:lang w:eastAsia="zh-CN"/>
        </w:rPr>
        <w:t>号建议编制的决定草案，以及关于除了在农业和粮食生产中的作用之外授粉媒介和授粉对于在所有生态系统中保护和可持续利用生物多样性的相关性的最后报告（</w:t>
      </w:r>
      <w:r w:rsidRPr="0057797F">
        <w:rPr>
          <w:rFonts w:hAnsi="SimSun"/>
          <w:sz w:val="24"/>
          <w:szCs w:val="24"/>
          <w:lang w:eastAsia="zh-CN"/>
        </w:rPr>
        <w:t>CBD/COP/14/INF/8</w:t>
      </w:r>
      <w:r w:rsidRPr="0057797F">
        <w:rPr>
          <w:rFonts w:ascii="SimSun" w:eastAsia="SimSun" w:hAnsi="SimSun" w:cs="SimSun" w:hint="eastAsia"/>
          <w:sz w:val="24"/>
          <w:szCs w:val="24"/>
          <w:lang w:eastAsia="zh-CN"/>
        </w:rPr>
        <w:t>）。</w:t>
      </w:r>
    </w:p>
    <w:p w:rsidR="008D76BF" w:rsidRPr="0057797F" w:rsidRDefault="008D76BF" w:rsidP="00750ECD">
      <w:pPr>
        <w:pStyle w:val="Para1"/>
        <w:numPr>
          <w:ilvl w:val="0"/>
          <w:numId w:val="9"/>
        </w:numPr>
        <w:tabs>
          <w:tab w:val="clear" w:pos="360"/>
          <w:tab w:val="left" w:pos="720"/>
        </w:tabs>
        <w:ind w:firstLine="0"/>
        <w:rPr>
          <w:rFonts w:hAnsi="SimSun"/>
          <w:sz w:val="24"/>
          <w:szCs w:val="24"/>
          <w:lang w:eastAsia="zh-CN"/>
        </w:rPr>
      </w:pPr>
      <w:r w:rsidRPr="0057797F">
        <w:rPr>
          <w:rFonts w:ascii="SimSun" w:eastAsia="SimSun" w:hAnsi="SimSun" w:cs="SimSun" w:hint="eastAsia"/>
          <w:sz w:val="24"/>
          <w:szCs w:val="24"/>
          <w:lang w:eastAsia="zh-CN"/>
        </w:rPr>
        <w:t>主席表示，鉴于就此事项达成共识，他将编写决定草案供工作组核准。</w:t>
      </w:r>
    </w:p>
    <w:p w:rsidR="008D76BF" w:rsidRPr="0057797F"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57797F">
        <w:rPr>
          <w:rFonts w:ascii="SimSun" w:eastAsia="SimSun" w:hAnsi="SimSun" w:cs="SimSun" w:hint="eastAsia"/>
          <w:sz w:val="24"/>
          <w:szCs w:val="24"/>
          <w:lang w:eastAsia="zh-CN"/>
        </w:rPr>
        <w:t>在</w:t>
      </w:r>
      <w:r w:rsidR="008D76BF" w:rsidRPr="0057797F">
        <w:rPr>
          <w:rFonts w:hAnsi="SimSun"/>
          <w:sz w:val="24"/>
          <w:szCs w:val="24"/>
          <w:lang w:eastAsia="zh-CN"/>
        </w:rPr>
        <w:t>2018</w:t>
      </w:r>
      <w:r w:rsidR="008D76BF" w:rsidRPr="0057797F">
        <w:rPr>
          <w:rFonts w:ascii="SimSun" w:eastAsia="SimSun" w:hAnsi="SimSun" w:cs="SimSun" w:hint="eastAsia"/>
          <w:sz w:val="24"/>
          <w:szCs w:val="24"/>
          <w:lang w:eastAsia="zh-CN"/>
        </w:rPr>
        <w:t>年</w:t>
      </w:r>
      <w:r w:rsidR="008D76BF" w:rsidRPr="0057797F">
        <w:rPr>
          <w:rFonts w:hAnsi="SimSun"/>
          <w:sz w:val="24"/>
          <w:szCs w:val="24"/>
          <w:lang w:eastAsia="zh-CN"/>
        </w:rPr>
        <w:t>11</w:t>
      </w:r>
      <w:r w:rsidR="008D76BF" w:rsidRPr="0057797F">
        <w:rPr>
          <w:rFonts w:ascii="SimSun" w:eastAsia="SimSun" w:hAnsi="SimSun" w:cs="SimSun" w:hint="eastAsia"/>
          <w:sz w:val="24"/>
          <w:szCs w:val="24"/>
          <w:lang w:eastAsia="zh-CN"/>
        </w:rPr>
        <w:t>月</w:t>
      </w:r>
      <w:r w:rsidR="008D76BF" w:rsidRPr="0057797F">
        <w:rPr>
          <w:rFonts w:hAnsi="SimSun"/>
          <w:sz w:val="24"/>
          <w:szCs w:val="24"/>
          <w:lang w:eastAsia="zh-CN"/>
        </w:rPr>
        <w:t>27</w:t>
      </w:r>
      <w:r w:rsidR="008D76BF" w:rsidRPr="0057797F">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57797F">
        <w:rPr>
          <w:rFonts w:ascii="SimSun" w:eastAsia="SimSun" w:hAnsi="SimSun" w:cs="SimSun" w:hint="eastAsia"/>
          <w:sz w:val="24"/>
          <w:szCs w:val="24"/>
          <w:lang w:eastAsia="zh-CN"/>
        </w:rPr>
        <w:t>第</w:t>
      </w:r>
      <w:r w:rsidR="008D76BF" w:rsidRPr="0057797F">
        <w:rPr>
          <w:rFonts w:hAnsi="SimSun"/>
          <w:sz w:val="24"/>
          <w:szCs w:val="24"/>
          <w:lang w:eastAsia="zh-CN"/>
        </w:rPr>
        <w:t>14</w:t>
      </w:r>
      <w:r w:rsidR="008D76BF" w:rsidRPr="0057797F">
        <w:rPr>
          <w:rFonts w:ascii="SimSun" w:eastAsia="SimSun" w:hAnsi="SimSun" w:cs="SimSun" w:hint="eastAsia"/>
          <w:sz w:val="24"/>
          <w:szCs w:val="24"/>
          <w:lang w:eastAsia="zh-CN"/>
        </w:rPr>
        <w:t>场会议上审议了主席提交的决定草案。</w:t>
      </w:r>
    </w:p>
    <w:p w:rsidR="008D76BF" w:rsidRPr="0057797F" w:rsidRDefault="008D76BF" w:rsidP="00750ECD">
      <w:pPr>
        <w:pStyle w:val="Para1"/>
        <w:numPr>
          <w:ilvl w:val="0"/>
          <w:numId w:val="9"/>
        </w:numPr>
        <w:tabs>
          <w:tab w:val="clear" w:pos="360"/>
          <w:tab w:val="left" w:pos="720"/>
        </w:tabs>
        <w:ind w:firstLine="0"/>
        <w:rPr>
          <w:rFonts w:hAnsi="SimSun"/>
          <w:sz w:val="24"/>
          <w:szCs w:val="24"/>
          <w:lang w:eastAsia="zh-CN"/>
        </w:rPr>
      </w:pPr>
      <w:r w:rsidRPr="0057797F">
        <w:rPr>
          <w:rFonts w:ascii="SimSun" w:eastAsia="SimSun" w:hAnsi="SimSun" w:cs="SimSun" w:hint="eastAsia"/>
          <w:sz w:val="24"/>
          <w:szCs w:val="24"/>
          <w:lang w:eastAsia="zh-CN"/>
        </w:rPr>
        <w:t>下列国家代表</w:t>
      </w:r>
      <w:r w:rsidR="006952B0">
        <w:rPr>
          <w:rFonts w:ascii="SimSun" w:eastAsia="SimSun" w:hAnsi="SimSun" w:cs="SimSun" w:hint="eastAsia"/>
          <w:sz w:val="24"/>
          <w:szCs w:val="24"/>
          <w:lang w:eastAsia="zh-CN"/>
        </w:rPr>
        <w:t>作了发言</w:t>
      </w:r>
      <w:r w:rsidRPr="0057797F">
        <w:rPr>
          <w:rFonts w:ascii="SimSun" w:eastAsia="SimSun" w:hAnsi="SimSun" w:cs="SimSun" w:hint="eastAsia"/>
          <w:sz w:val="24"/>
          <w:szCs w:val="24"/>
          <w:lang w:eastAsia="zh-CN"/>
        </w:rPr>
        <w:t>：阿根廷、白俄罗斯、贝宁、多民族玻利维亚国、巴西、布隆迪、加拿大、哥伦比亚、哥斯达黎加、多米尼加共和国、欧洲联盟及其</w:t>
      </w:r>
      <w:r w:rsidRPr="0057797F">
        <w:rPr>
          <w:rFonts w:hAnsi="SimSun"/>
          <w:sz w:val="24"/>
          <w:szCs w:val="24"/>
          <w:lang w:eastAsia="zh-CN"/>
        </w:rPr>
        <w:t>28</w:t>
      </w:r>
      <w:r w:rsidRPr="0057797F">
        <w:rPr>
          <w:rFonts w:ascii="SimSun" w:eastAsia="SimSun" w:hAnsi="SimSun" w:cs="SimSun" w:hint="eastAsia"/>
          <w:sz w:val="24"/>
          <w:szCs w:val="24"/>
          <w:lang w:eastAsia="zh-CN"/>
        </w:rPr>
        <w:t>个成员国、加蓬、危地马拉、洪都拉斯、伊拉克、肯尼亚、墨西哥、新西兰、巴拿马、巴拉圭、秘鲁、南非、乌拉圭和委内瑞拉玻利瓦尔共和国。</w:t>
      </w:r>
    </w:p>
    <w:p w:rsidR="008D76BF" w:rsidRPr="0057797F"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57797F">
        <w:rPr>
          <w:rFonts w:ascii="SimSun" w:eastAsia="SimSun" w:hAnsi="SimSun" w:cs="SimSun" w:hint="eastAsia"/>
          <w:sz w:val="24"/>
          <w:szCs w:val="24"/>
          <w:lang w:eastAsia="zh-CN"/>
        </w:rPr>
        <w:t>在</w:t>
      </w:r>
      <w:r w:rsidR="008D76BF" w:rsidRPr="0057797F">
        <w:rPr>
          <w:rFonts w:hAnsi="SimSun"/>
          <w:sz w:val="24"/>
          <w:szCs w:val="24"/>
          <w:lang w:eastAsia="zh-CN"/>
        </w:rPr>
        <w:t>2018</w:t>
      </w:r>
      <w:r w:rsidR="008D76BF" w:rsidRPr="0057797F">
        <w:rPr>
          <w:rFonts w:ascii="SimSun" w:eastAsia="SimSun" w:hAnsi="SimSun" w:cs="SimSun" w:hint="eastAsia"/>
          <w:sz w:val="24"/>
          <w:szCs w:val="24"/>
          <w:lang w:eastAsia="zh-CN"/>
        </w:rPr>
        <w:t>年</w:t>
      </w:r>
      <w:r w:rsidR="008D76BF" w:rsidRPr="0057797F">
        <w:rPr>
          <w:rFonts w:hAnsi="SimSun"/>
          <w:sz w:val="24"/>
          <w:szCs w:val="24"/>
          <w:lang w:eastAsia="zh-CN"/>
        </w:rPr>
        <w:t>11</w:t>
      </w:r>
      <w:r w:rsidR="008D76BF" w:rsidRPr="0057797F">
        <w:rPr>
          <w:rFonts w:ascii="SimSun" w:eastAsia="SimSun" w:hAnsi="SimSun" w:cs="SimSun" w:hint="eastAsia"/>
          <w:sz w:val="24"/>
          <w:szCs w:val="24"/>
          <w:lang w:eastAsia="zh-CN"/>
        </w:rPr>
        <w:t>月</w:t>
      </w:r>
      <w:r w:rsidR="008D76BF" w:rsidRPr="0057797F">
        <w:rPr>
          <w:rFonts w:hAnsi="SimSun"/>
          <w:sz w:val="24"/>
          <w:szCs w:val="24"/>
          <w:lang w:eastAsia="zh-CN"/>
        </w:rPr>
        <w:t>27</w:t>
      </w:r>
      <w:r w:rsidR="008D76BF" w:rsidRPr="0057797F">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57797F">
        <w:rPr>
          <w:rFonts w:ascii="SimSun" w:eastAsia="SimSun" w:hAnsi="SimSun" w:cs="SimSun" w:hint="eastAsia"/>
          <w:sz w:val="24"/>
          <w:szCs w:val="24"/>
          <w:lang w:eastAsia="zh-CN"/>
        </w:rPr>
        <w:t>第</w:t>
      </w:r>
      <w:r w:rsidR="008D76BF" w:rsidRPr="0057797F">
        <w:rPr>
          <w:rFonts w:hAnsi="SimSun"/>
          <w:sz w:val="24"/>
          <w:szCs w:val="24"/>
          <w:lang w:eastAsia="zh-CN"/>
        </w:rPr>
        <w:t>15</w:t>
      </w:r>
      <w:r w:rsidR="008D76BF" w:rsidRPr="0057797F">
        <w:rPr>
          <w:rFonts w:ascii="SimSun" w:eastAsia="SimSun" w:hAnsi="SimSun" w:cs="SimSun" w:hint="eastAsia"/>
          <w:sz w:val="24"/>
          <w:szCs w:val="24"/>
          <w:lang w:eastAsia="zh-CN"/>
        </w:rPr>
        <w:t>场会议上继续审议该决定草案。</w:t>
      </w:r>
    </w:p>
    <w:p w:rsidR="008D76BF" w:rsidRPr="0057797F" w:rsidRDefault="008D76BF" w:rsidP="00750ECD">
      <w:pPr>
        <w:pStyle w:val="Para1"/>
        <w:numPr>
          <w:ilvl w:val="0"/>
          <w:numId w:val="9"/>
        </w:numPr>
        <w:tabs>
          <w:tab w:val="clear" w:pos="360"/>
          <w:tab w:val="left" w:pos="720"/>
        </w:tabs>
        <w:ind w:firstLine="0"/>
        <w:rPr>
          <w:rFonts w:hAnsi="SimSun"/>
          <w:sz w:val="24"/>
          <w:szCs w:val="24"/>
          <w:lang w:eastAsia="zh-CN"/>
        </w:rPr>
      </w:pPr>
      <w:r w:rsidRPr="0057797F">
        <w:rPr>
          <w:rFonts w:ascii="SimSun" w:eastAsia="SimSun" w:hAnsi="SimSun" w:cs="SimSun" w:hint="eastAsia"/>
          <w:sz w:val="24"/>
          <w:szCs w:val="24"/>
          <w:lang w:eastAsia="zh-CN"/>
        </w:rPr>
        <w:t>乌拉圭代表要求将她的发言列入报告，并代表多民族玻利维亚国和秘鲁发言。她不同意没有科学证据表明改性活生物体是影响授粉的媒介。她引用了生物多样性和生态系统服务政府间科学政策平台对授粉媒介、授粉和粮食生产的专题评估，该评估在第</w:t>
      </w:r>
      <w:r w:rsidRPr="0057797F">
        <w:rPr>
          <w:rFonts w:hAnsi="SimSun"/>
          <w:sz w:val="24"/>
          <w:szCs w:val="24"/>
          <w:lang w:eastAsia="zh-CN"/>
        </w:rPr>
        <w:t>49</w:t>
      </w:r>
      <w:r w:rsidRPr="0057797F">
        <w:rPr>
          <w:rFonts w:ascii="SimSun" w:eastAsia="SimSun" w:hAnsi="SimSun" w:cs="SimSun" w:hint="eastAsia"/>
          <w:sz w:val="24"/>
          <w:szCs w:val="24"/>
          <w:lang w:eastAsia="zh-CN"/>
        </w:rPr>
        <w:t>页指出</w:t>
      </w:r>
      <w:r w:rsidRPr="0057797F">
        <w:rPr>
          <w:rFonts w:hAnsi="SimSun"/>
          <w:sz w:val="24"/>
          <w:szCs w:val="24"/>
          <w:lang w:eastAsia="zh-CN"/>
        </w:rPr>
        <w:t>:</w:t>
      </w:r>
      <w:r w:rsidRPr="0057797F">
        <w:rPr>
          <w:rFonts w:ascii="SimSun" w:eastAsia="Times New Roman" w:hAnsi="SimSun" w:cs="SimSun"/>
          <w:sz w:val="24"/>
          <w:szCs w:val="24"/>
          <w:lang w:eastAsia="zh-CN"/>
        </w:rPr>
        <w:t>“</w:t>
      </w:r>
      <w:r w:rsidRPr="0057797F">
        <w:rPr>
          <w:rFonts w:ascii="SimSun" w:eastAsia="SimSun" w:hAnsi="SimSun" w:cs="SimSun" w:hint="eastAsia"/>
          <w:sz w:val="24"/>
          <w:szCs w:val="24"/>
          <w:lang w:eastAsia="zh-CN"/>
        </w:rPr>
        <w:t>没有关于抗虫</w:t>
      </w:r>
      <w:r w:rsidRPr="0057797F">
        <w:rPr>
          <w:rFonts w:hAnsi="SimSun"/>
          <w:sz w:val="24"/>
          <w:szCs w:val="24"/>
          <w:lang w:eastAsia="zh-CN"/>
        </w:rPr>
        <w:t>(IR)</w:t>
      </w:r>
      <w:r w:rsidRPr="0057797F">
        <w:rPr>
          <w:rFonts w:ascii="SimSun" w:eastAsia="SimSun" w:hAnsi="SimSun" w:cs="SimSun" w:hint="eastAsia"/>
          <w:sz w:val="24"/>
          <w:szCs w:val="24"/>
          <w:lang w:eastAsia="zh-CN"/>
        </w:rPr>
        <w:t>作物（例如产生苏云金杆菌</w:t>
      </w:r>
      <w:r w:rsidRPr="0057797F">
        <w:rPr>
          <w:rFonts w:hAnsi="SimSun"/>
          <w:sz w:val="24"/>
          <w:szCs w:val="24"/>
          <w:lang w:eastAsia="zh-CN"/>
        </w:rPr>
        <w:t>(Bt)</w:t>
      </w:r>
      <w:r w:rsidRPr="0057797F">
        <w:rPr>
          <w:rFonts w:ascii="SimSun" w:eastAsia="SimSun" w:hAnsi="SimSun" w:cs="SimSun" w:hint="eastAsia"/>
          <w:sz w:val="24"/>
          <w:szCs w:val="24"/>
          <w:lang w:eastAsia="zh-CN"/>
        </w:rPr>
        <w:t>毒素的作物）对蜜蜂或其他膜翅目有直接致死效应的报道，但有关于对蜜蜂行为有一些亚致死效应的报道</w:t>
      </w:r>
      <w:r w:rsidRPr="0057797F">
        <w:rPr>
          <w:rFonts w:ascii="SimSun" w:eastAsia="Times New Roman" w:hAnsi="SimSun" w:cs="SimSun"/>
          <w:sz w:val="24"/>
          <w:szCs w:val="24"/>
          <w:lang w:eastAsia="zh-CN"/>
        </w:rPr>
        <w:t>”</w:t>
      </w:r>
      <w:r w:rsidRPr="0057797F">
        <w:rPr>
          <w:rFonts w:ascii="SimSun" w:eastAsia="SimSun" w:hAnsi="SimSun" w:cs="SimSun" w:hint="eastAsia"/>
          <w:sz w:val="24"/>
          <w:szCs w:val="24"/>
          <w:lang w:eastAsia="zh-CN"/>
        </w:rPr>
        <w:t>。该评估在第</w:t>
      </w:r>
      <w:r w:rsidRPr="0057797F">
        <w:rPr>
          <w:rFonts w:hAnsi="SimSun"/>
          <w:sz w:val="24"/>
          <w:szCs w:val="24"/>
          <w:lang w:eastAsia="zh-CN"/>
        </w:rPr>
        <w:t>592</w:t>
      </w:r>
      <w:r w:rsidRPr="0057797F">
        <w:rPr>
          <w:rFonts w:ascii="SimSun" w:eastAsia="SimSun" w:hAnsi="SimSun" w:cs="SimSun" w:hint="eastAsia"/>
          <w:sz w:val="24"/>
          <w:szCs w:val="24"/>
          <w:lang w:eastAsia="zh-CN"/>
        </w:rPr>
        <w:t>页表示：</w:t>
      </w:r>
      <w:r w:rsidRPr="0057797F">
        <w:rPr>
          <w:rFonts w:ascii="SimSun" w:eastAsia="Times New Roman" w:hAnsi="SimSun" w:cs="SimSun"/>
          <w:sz w:val="24"/>
          <w:szCs w:val="24"/>
          <w:lang w:eastAsia="zh-CN"/>
        </w:rPr>
        <w:t>“</w:t>
      </w:r>
      <w:r w:rsidRPr="0057797F">
        <w:rPr>
          <w:rFonts w:ascii="SimSun" w:eastAsia="SimSun" w:hAnsi="SimSun" w:cs="SimSun" w:hint="eastAsia"/>
          <w:sz w:val="24"/>
          <w:szCs w:val="24"/>
          <w:lang w:eastAsia="zh-CN"/>
        </w:rPr>
        <w:t>大多数国家批准转基因生物所需的风险评估没有充分考虑抗虫作物的直接亚致死效应或耐除草剂</w:t>
      </w:r>
      <w:r w:rsidRPr="0057797F">
        <w:rPr>
          <w:rFonts w:hAnsi="SimSun"/>
          <w:sz w:val="24"/>
          <w:szCs w:val="24"/>
          <w:lang w:eastAsia="zh-CN"/>
        </w:rPr>
        <w:t>(HT)</w:t>
      </w:r>
      <w:r w:rsidRPr="0057797F">
        <w:rPr>
          <w:rFonts w:ascii="SimSun" w:eastAsia="SimSun" w:hAnsi="SimSun" w:cs="SimSun" w:hint="eastAsia"/>
          <w:sz w:val="24"/>
          <w:szCs w:val="24"/>
          <w:lang w:eastAsia="zh-CN"/>
        </w:rPr>
        <w:t>和抗虫</w:t>
      </w:r>
      <w:r w:rsidRPr="0057797F">
        <w:rPr>
          <w:rFonts w:hAnsi="SimSun"/>
          <w:sz w:val="24"/>
          <w:szCs w:val="24"/>
          <w:lang w:eastAsia="zh-CN"/>
        </w:rPr>
        <w:t>(IR)</w:t>
      </w:r>
      <w:r w:rsidRPr="0057797F">
        <w:rPr>
          <w:rFonts w:ascii="SimSun" w:eastAsia="SimSun" w:hAnsi="SimSun" w:cs="SimSun" w:hint="eastAsia"/>
          <w:sz w:val="24"/>
          <w:szCs w:val="24"/>
          <w:lang w:eastAsia="zh-CN"/>
        </w:rPr>
        <w:t>作物的间接影响，其部分原因是缺乏数据。扩大对杀虫剂和转基因生物的环境和生物多样性影响的监测和风险指示，特别包括野生和受管理的授粉媒介</w:t>
      </w:r>
      <w:r w:rsidRPr="0057797F">
        <w:rPr>
          <w:rFonts w:hAnsi="SimSun"/>
          <w:sz w:val="24"/>
          <w:szCs w:val="24"/>
          <w:lang w:eastAsia="zh-CN"/>
        </w:rPr>
        <w:t>(</w:t>
      </w:r>
      <w:r w:rsidRPr="0057797F">
        <w:rPr>
          <w:rFonts w:ascii="SimSun" w:eastAsia="SimSun" w:hAnsi="SimSun" w:cs="SimSun" w:hint="eastAsia"/>
          <w:sz w:val="24"/>
          <w:szCs w:val="24"/>
          <w:lang w:eastAsia="zh-CN"/>
        </w:rPr>
        <w:t>许多国家都有监测计划</w:t>
      </w:r>
      <w:r w:rsidRPr="0057797F">
        <w:rPr>
          <w:rFonts w:hAnsi="SimSun"/>
          <w:sz w:val="24"/>
          <w:szCs w:val="24"/>
          <w:lang w:eastAsia="zh-CN"/>
        </w:rPr>
        <w:t>)</w:t>
      </w:r>
      <w:r w:rsidRPr="0057797F">
        <w:rPr>
          <w:rFonts w:ascii="SimSun" w:eastAsia="SimSun" w:hAnsi="SimSun" w:cs="SimSun" w:hint="eastAsia"/>
          <w:sz w:val="24"/>
          <w:szCs w:val="24"/>
          <w:lang w:eastAsia="zh-CN"/>
        </w:rPr>
        <w:t>，将提高对风险规模的理解。</w:t>
      </w:r>
      <w:r w:rsidRPr="0057797F">
        <w:rPr>
          <w:rFonts w:ascii="SimSun" w:eastAsia="Times New Roman" w:hAnsi="SimSun" w:cs="SimSun"/>
          <w:sz w:val="24"/>
          <w:szCs w:val="24"/>
          <w:lang w:eastAsia="zh-CN"/>
        </w:rPr>
        <w:t>”</w:t>
      </w:r>
      <w:r w:rsidRPr="0057797F">
        <w:rPr>
          <w:rFonts w:ascii="SimSun" w:eastAsia="SimSun" w:hAnsi="SimSun" w:cs="SimSun" w:hint="eastAsia"/>
          <w:sz w:val="24"/>
          <w:szCs w:val="24"/>
          <w:lang w:eastAsia="zh-CN"/>
        </w:rPr>
        <w:t>因此，非但不能避免将改性活生物体作为可能影响授粉媒介的因素纳入其中，还应加强努力，了解影响的范围，主要是在生产转基因作物的国家。根据预防原则，缺乏研究不能被视为缺乏证据。</w:t>
      </w:r>
    </w:p>
    <w:p w:rsidR="008D76BF" w:rsidRPr="0057797F" w:rsidRDefault="008D76BF" w:rsidP="00750ECD">
      <w:pPr>
        <w:pStyle w:val="Para1"/>
        <w:numPr>
          <w:ilvl w:val="0"/>
          <w:numId w:val="9"/>
        </w:numPr>
        <w:tabs>
          <w:tab w:val="clear" w:pos="360"/>
          <w:tab w:val="left" w:pos="720"/>
        </w:tabs>
        <w:ind w:firstLine="0"/>
        <w:rPr>
          <w:rFonts w:hAnsi="SimSun"/>
          <w:sz w:val="24"/>
          <w:szCs w:val="24"/>
          <w:lang w:eastAsia="zh-CN"/>
        </w:rPr>
      </w:pPr>
      <w:r w:rsidRPr="0057797F">
        <w:rPr>
          <w:rFonts w:ascii="SimSun" w:eastAsia="SimSun" w:hAnsi="SimSun" w:cs="SimSun" w:hint="eastAsia"/>
          <w:sz w:val="24"/>
          <w:szCs w:val="24"/>
          <w:lang w:eastAsia="zh-CN"/>
        </w:rPr>
        <w:t>乌拉圭代表的发言得到多民族玻利维亚国、欧洲联盟</w:t>
      </w:r>
      <w:r>
        <w:rPr>
          <w:rFonts w:ascii="SimSun" w:eastAsia="SimSun" w:hAnsi="SimSun" w:cs="SimSun" w:hint="eastAsia"/>
          <w:sz w:val="24"/>
          <w:szCs w:val="24"/>
          <w:lang w:eastAsia="zh-CN"/>
        </w:rPr>
        <w:t>及其</w:t>
      </w:r>
      <w:r w:rsidRPr="000836F9">
        <w:rPr>
          <w:rFonts w:eastAsia="Times New Roman"/>
          <w:sz w:val="24"/>
          <w:szCs w:val="24"/>
          <w:lang w:eastAsia="zh-CN"/>
        </w:rPr>
        <w:t>28</w:t>
      </w:r>
      <w:r>
        <w:rPr>
          <w:rFonts w:ascii="SimSun" w:eastAsia="SimSun" w:hAnsi="SimSun" w:cs="SimSun" w:hint="eastAsia"/>
          <w:sz w:val="24"/>
          <w:szCs w:val="24"/>
          <w:lang w:eastAsia="zh-CN"/>
        </w:rPr>
        <w:t>个成员国</w:t>
      </w:r>
      <w:r w:rsidRPr="0057797F">
        <w:rPr>
          <w:rFonts w:ascii="SimSun" w:eastAsia="SimSun" w:hAnsi="SimSun" w:cs="SimSun" w:hint="eastAsia"/>
          <w:sz w:val="24"/>
          <w:szCs w:val="24"/>
          <w:lang w:eastAsia="zh-CN"/>
        </w:rPr>
        <w:t>、危地马拉、肯尼亚、坦桑尼亚联合共和国和委内瑞拉玻利瓦尔共和国代表的支持。</w:t>
      </w:r>
    </w:p>
    <w:p w:rsidR="008D76BF" w:rsidRPr="0057797F" w:rsidRDefault="008D76BF" w:rsidP="00750ECD">
      <w:pPr>
        <w:pStyle w:val="Para1"/>
        <w:numPr>
          <w:ilvl w:val="0"/>
          <w:numId w:val="9"/>
        </w:numPr>
        <w:tabs>
          <w:tab w:val="clear" w:pos="360"/>
          <w:tab w:val="left" w:pos="720"/>
        </w:tabs>
        <w:ind w:firstLine="0"/>
        <w:rPr>
          <w:rFonts w:hAnsi="SimSun"/>
          <w:sz w:val="24"/>
          <w:szCs w:val="24"/>
          <w:lang w:eastAsia="zh-CN"/>
        </w:rPr>
      </w:pPr>
      <w:r w:rsidRPr="0057797F">
        <w:rPr>
          <w:rFonts w:ascii="SimSun" w:eastAsia="SimSun" w:hAnsi="SimSun" w:cs="SimSun" w:hint="eastAsia"/>
          <w:sz w:val="24"/>
          <w:szCs w:val="24"/>
          <w:lang w:eastAsia="zh-CN"/>
        </w:rPr>
        <w:t>美洲农业合作研究所的代表也</w:t>
      </w:r>
      <w:r w:rsidR="006952B0">
        <w:rPr>
          <w:rFonts w:ascii="SimSun" w:eastAsia="SimSun" w:hAnsi="SimSun" w:cs="SimSun" w:hint="eastAsia"/>
          <w:sz w:val="24"/>
          <w:szCs w:val="24"/>
          <w:lang w:eastAsia="zh-CN"/>
        </w:rPr>
        <w:t>作了发言</w:t>
      </w:r>
      <w:r w:rsidR="00177A95">
        <w:rPr>
          <w:rFonts w:ascii="SimSun" w:eastAsia="SimSun" w:hAnsi="SimSun" w:cs="SimSun" w:hint="eastAsia"/>
          <w:sz w:val="24"/>
          <w:szCs w:val="24"/>
          <w:lang w:eastAsia="zh-CN"/>
        </w:rPr>
        <w:t>（</w:t>
      </w:r>
      <w:r w:rsidRPr="0057797F">
        <w:rPr>
          <w:rFonts w:ascii="SimSun" w:eastAsia="SimSun" w:hAnsi="SimSun" w:cs="SimSun" w:hint="eastAsia"/>
          <w:sz w:val="24"/>
          <w:szCs w:val="24"/>
          <w:lang w:eastAsia="zh-CN"/>
        </w:rPr>
        <w:t>得到巴拿马的支持</w:t>
      </w:r>
      <w:r w:rsidR="00177A95">
        <w:rPr>
          <w:rFonts w:hAnsi="SimSun" w:hint="eastAsia"/>
          <w:sz w:val="24"/>
          <w:szCs w:val="24"/>
          <w:lang w:eastAsia="zh-CN"/>
        </w:rPr>
        <w:t>）</w:t>
      </w:r>
      <w:r w:rsidRPr="0057797F">
        <w:rPr>
          <w:rFonts w:ascii="SimSun" w:eastAsia="SimSun" w:hAnsi="SimSun" w:cs="SimSun" w:hint="eastAsia"/>
          <w:sz w:val="24"/>
          <w:szCs w:val="24"/>
          <w:lang w:eastAsia="zh-CN"/>
        </w:rPr>
        <w:t>。</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57797F">
        <w:rPr>
          <w:rFonts w:ascii="SimSun" w:eastAsia="SimSun" w:hAnsi="SimSun" w:cs="SimSun" w:hint="eastAsia"/>
          <w:sz w:val="24"/>
          <w:szCs w:val="24"/>
          <w:lang w:eastAsia="zh-CN"/>
        </w:rPr>
        <w:t>经交换意见后，经口头修正的决定草案获得通过，将作为决定草案</w:t>
      </w:r>
      <w:r w:rsidRPr="0057797F">
        <w:rPr>
          <w:rFonts w:hAnsi="SimSun"/>
          <w:sz w:val="24"/>
          <w:szCs w:val="24"/>
          <w:lang w:eastAsia="zh-CN"/>
        </w:rPr>
        <w:t>CBD/COP/14/L28</w:t>
      </w:r>
      <w:r w:rsidRPr="0057797F">
        <w:rPr>
          <w:rFonts w:ascii="SimSun" w:eastAsia="SimSun" w:hAnsi="SimSun" w:cs="SimSun" w:hint="eastAsia"/>
          <w:sz w:val="24"/>
          <w:szCs w:val="24"/>
          <w:lang w:eastAsia="zh-CN"/>
        </w:rPr>
        <w:t>转交全体会议。</w:t>
      </w:r>
    </w:p>
    <w:p w:rsidR="00C3501E" w:rsidRPr="00B5651D" w:rsidRDefault="00C3501E" w:rsidP="00C3501E">
      <w:pPr>
        <w:pStyle w:val="Para1"/>
        <w:numPr>
          <w:ilvl w:val="0"/>
          <w:numId w:val="9"/>
        </w:numPr>
        <w:tabs>
          <w:tab w:val="clear" w:pos="360"/>
          <w:tab w:val="left" w:pos="720"/>
        </w:tabs>
        <w:ind w:firstLine="0"/>
        <w:rPr>
          <w:rFonts w:eastAsia="SimSun"/>
          <w:sz w:val="24"/>
          <w:szCs w:val="24"/>
          <w:lang w:eastAsia="zh-CN"/>
        </w:rPr>
      </w:pPr>
      <w:r w:rsidRPr="00972641">
        <w:rPr>
          <w:rFonts w:ascii="SimSun" w:eastAsia="SimSun" w:hAnsi="SimSun" w:cs="SimSun" w:hint="eastAsia"/>
          <w:sz w:val="24"/>
          <w:szCs w:val="24"/>
          <w:lang w:eastAsia="zh-CN"/>
        </w:rPr>
        <w:t>在</w:t>
      </w:r>
      <w:r w:rsidRPr="00972641">
        <w:rPr>
          <w:rFonts w:hAnsi="SimSun"/>
          <w:sz w:val="24"/>
          <w:szCs w:val="24"/>
          <w:lang w:eastAsia="zh-CN"/>
        </w:rPr>
        <w:t>2018</w:t>
      </w:r>
      <w:r w:rsidRPr="00972641">
        <w:rPr>
          <w:rFonts w:ascii="SimSun" w:eastAsia="SimSun" w:hAnsi="SimSun" w:cs="SimSun" w:hint="eastAsia"/>
          <w:sz w:val="24"/>
          <w:szCs w:val="24"/>
          <w:lang w:eastAsia="zh-CN"/>
        </w:rPr>
        <w:t>年</w:t>
      </w:r>
      <w:r w:rsidRPr="00972641">
        <w:rPr>
          <w:rFonts w:hAnsi="SimSun"/>
          <w:sz w:val="24"/>
          <w:szCs w:val="24"/>
          <w:lang w:eastAsia="zh-CN"/>
        </w:rPr>
        <w:t>11</w:t>
      </w:r>
      <w:r w:rsidRPr="00972641">
        <w:rPr>
          <w:rFonts w:ascii="SimSun" w:eastAsia="SimSun" w:hAnsi="SimSun" w:cs="SimSun" w:hint="eastAsia"/>
          <w:sz w:val="24"/>
          <w:szCs w:val="24"/>
          <w:lang w:eastAsia="zh-CN"/>
        </w:rPr>
        <w:t>月</w:t>
      </w:r>
      <w:r w:rsidRPr="00972641">
        <w:rPr>
          <w:rFonts w:hAnsi="SimSun"/>
          <w:sz w:val="24"/>
          <w:szCs w:val="24"/>
          <w:lang w:eastAsia="zh-CN"/>
        </w:rPr>
        <w:t>29</w:t>
      </w:r>
      <w:r w:rsidR="004375B9">
        <w:rPr>
          <w:rFonts w:ascii="SimSun" w:eastAsia="SimSun" w:hAnsi="SimSun" w:cs="SimSun" w:hint="eastAsia"/>
          <w:sz w:val="24"/>
          <w:szCs w:val="24"/>
          <w:lang w:eastAsia="zh-CN"/>
        </w:rPr>
        <w:t>日会议的</w:t>
      </w:r>
      <w:r w:rsidRPr="00972641">
        <w:rPr>
          <w:rFonts w:ascii="SimSun" w:eastAsia="SimSun" w:hAnsi="SimSun" w:cs="SimSun" w:hint="eastAsia"/>
          <w:sz w:val="24"/>
          <w:szCs w:val="24"/>
          <w:lang w:eastAsia="zh-CN"/>
        </w:rPr>
        <w:t>第</w:t>
      </w:r>
      <w:r w:rsidRPr="00972641">
        <w:rPr>
          <w:rFonts w:hAnsi="SimSun"/>
          <w:sz w:val="24"/>
          <w:szCs w:val="24"/>
          <w:lang w:eastAsia="zh-CN"/>
        </w:rPr>
        <w:t>7</w:t>
      </w:r>
      <w:r w:rsidRPr="00972641">
        <w:rPr>
          <w:rFonts w:ascii="SimSun" w:eastAsia="SimSun" w:hAnsi="SimSun" w:cs="SimSun" w:hint="eastAsia"/>
          <w:sz w:val="24"/>
          <w:szCs w:val="24"/>
          <w:lang w:eastAsia="zh-CN"/>
        </w:rPr>
        <w:t>次全体会议上，</w:t>
      </w:r>
      <w:r>
        <w:rPr>
          <w:rFonts w:ascii="SimSun" w:eastAsia="SimSun" w:hAnsi="SimSun" w:cs="SimSun" w:hint="eastAsia"/>
          <w:sz w:val="24"/>
          <w:szCs w:val="24"/>
          <w:lang w:eastAsia="zh-CN"/>
        </w:rPr>
        <w:t>缔约方大会审议</w:t>
      </w:r>
      <w:r>
        <w:rPr>
          <w:rFonts w:ascii="SimSun" w:eastAsia="SimSun" w:hAnsi="SimSun" w:cs="SimSun"/>
          <w:sz w:val="24"/>
          <w:szCs w:val="24"/>
          <w:lang w:eastAsia="zh-CN"/>
        </w:rPr>
        <w:t>了</w:t>
      </w:r>
      <w:r>
        <w:rPr>
          <w:rFonts w:ascii="SimSun" w:eastAsia="SimSun" w:hAnsi="SimSun" w:cs="SimSun" w:hint="eastAsia"/>
          <w:sz w:val="24"/>
          <w:szCs w:val="24"/>
          <w:lang w:eastAsia="zh-CN"/>
        </w:rPr>
        <w:t>决定草案</w:t>
      </w:r>
      <w:r>
        <w:rPr>
          <w:rFonts w:eastAsia="SimSun"/>
          <w:sz w:val="24"/>
          <w:szCs w:val="24"/>
          <w:lang w:eastAsia="zh-CN"/>
        </w:rPr>
        <w:t>CBD/COP/14/L.28</w:t>
      </w:r>
      <w:r>
        <w:rPr>
          <w:rFonts w:eastAsia="SimSun" w:hint="eastAsia"/>
          <w:sz w:val="24"/>
          <w:szCs w:val="24"/>
          <w:lang w:eastAsia="zh-CN"/>
        </w:rPr>
        <w:t>。</w:t>
      </w:r>
    </w:p>
    <w:p w:rsidR="00C3501E" w:rsidRPr="00972641" w:rsidRDefault="00C3501E" w:rsidP="00C3501E">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经</w:t>
      </w:r>
      <w:r>
        <w:rPr>
          <w:rFonts w:ascii="SimSun" w:eastAsia="SimSun" w:hAnsi="SimSun" w:cs="SimSun"/>
          <w:sz w:val="24"/>
          <w:szCs w:val="24"/>
          <w:lang w:eastAsia="zh-CN"/>
        </w:rPr>
        <w:t>秘书处作出更正后，</w:t>
      </w:r>
      <w:r w:rsidRPr="00972641">
        <w:rPr>
          <w:rFonts w:ascii="SimSun" w:eastAsia="SimSun" w:hAnsi="SimSun" w:cs="SimSun" w:hint="eastAsia"/>
          <w:sz w:val="24"/>
          <w:szCs w:val="24"/>
          <w:lang w:eastAsia="zh-CN"/>
        </w:rPr>
        <w:t>缔约方大会通过了</w:t>
      </w:r>
      <w:r>
        <w:rPr>
          <w:rFonts w:ascii="SimSun" w:eastAsia="SimSun" w:hAnsi="SimSun" w:cs="SimSun" w:hint="eastAsia"/>
          <w:sz w:val="24"/>
          <w:szCs w:val="24"/>
          <w:lang w:eastAsia="zh-CN"/>
        </w:rPr>
        <w:t>经口头修正</w:t>
      </w:r>
      <w:r>
        <w:rPr>
          <w:rFonts w:ascii="SimSun" w:eastAsia="SimSun" w:hAnsi="SimSun" w:cs="SimSun"/>
          <w:sz w:val="24"/>
          <w:szCs w:val="24"/>
          <w:lang w:eastAsia="zh-CN"/>
        </w:rPr>
        <w:t>的</w:t>
      </w:r>
      <w:r w:rsidRPr="00972641">
        <w:rPr>
          <w:rFonts w:ascii="SimSun" w:eastAsia="SimSun" w:hAnsi="SimSun" w:cs="SimSun" w:hint="eastAsia"/>
          <w:sz w:val="24"/>
          <w:szCs w:val="24"/>
          <w:lang w:eastAsia="zh-CN"/>
        </w:rPr>
        <w:t>决定草案</w:t>
      </w:r>
      <w:r w:rsidRPr="00972641">
        <w:rPr>
          <w:rFonts w:hAnsi="SimSun"/>
          <w:sz w:val="24"/>
          <w:szCs w:val="24"/>
          <w:lang w:eastAsia="zh-CN"/>
        </w:rPr>
        <w:t>CBD/COP/14/L.</w:t>
      </w:r>
      <w:r>
        <w:rPr>
          <w:rFonts w:hAnsi="SimSun"/>
          <w:sz w:val="24"/>
          <w:szCs w:val="24"/>
          <w:lang w:eastAsia="zh-CN"/>
        </w:rPr>
        <w:t>28</w:t>
      </w:r>
      <w:r w:rsidRPr="00972641">
        <w:rPr>
          <w:rFonts w:ascii="SimSun" w:eastAsia="SimSun" w:hAnsi="SimSun" w:cs="SimSun" w:hint="eastAsia"/>
          <w:sz w:val="24"/>
          <w:szCs w:val="24"/>
          <w:lang w:eastAsia="zh-CN"/>
        </w:rPr>
        <w:t>，成为第</w:t>
      </w:r>
      <w:r w:rsidRPr="00972641">
        <w:rPr>
          <w:rFonts w:hAnsi="SimSun"/>
          <w:sz w:val="24"/>
          <w:szCs w:val="24"/>
          <w:lang w:eastAsia="zh-CN"/>
        </w:rPr>
        <w:t>14/</w:t>
      </w:r>
      <w:r>
        <w:rPr>
          <w:rFonts w:hAnsi="SimSun"/>
          <w:sz w:val="24"/>
          <w:szCs w:val="24"/>
          <w:lang w:eastAsia="zh-CN"/>
        </w:rPr>
        <w:t>6</w:t>
      </w:r>
      <w:r w:rsidRPr="00972641">
        <w:rPr>
          <w:rFonts w:ascii="SimSun" w:eastAsia="SimSun" w:hAnsi="SimSun" w:cs="SimSun" w:hint="eastAsia"/>
          <w:sz w:val="24"/>
          <w:szCs w:val="24"/>
          <w:lang w:eastAsia="zh-CN"/>
        </w:rPr>
        <w:t>号决定</w:t>
      </w:r>
      <w:r w:rsidRPr="00972641">
        <w:rPr>
          <w:rFonts w:eastAsiaTheme="minorEastAsia" w:hAnsi="SimSun"/>
          <w:sz w:val="24"/>
          <w:lang w:eastAsia="zh-CN"/>
        </w:rPr>
        <w:t>（案文见第一章）。</w:t>
      </w:r>
    </w:p>
    <w:p w:rsidR="008D76BF" w:rsidRPr="00E63AA3" w:rsidRDefault="008D76BF" w:rsidP="00E63AA3">
      <w:pPr>
        <w:pStyle w:val="Heading1"/>
        <w:spacing w:before="120" w:after="120"/>
        <w:ind w:firstLine="0"/>
        <w:rPr>
          <w:sz w:val="24"/>
          <w:lang w:eastAsia="zh-CN"/>
        </w:rPr>
      </w:pPr>
      <w:bookmarkStart w:id="286" w:name="_Toc6243835"/>
      <w:r w:rsidRPr="00E63AA3">
        <w:rPr>
          <w:rFonts w:hint="eastAsia"/>
          <w:sz w:val="24"/>
          <w:lang w:eastAsia="zh-CN"/>
        </w:rPr>
        <w:lastRenderedPageBreak/>
        <w:t>项目</w:t>
      </w:r>
      <w:r w:rsidRPr="00E63AA3">
        <w:rPr>
          <w:sz w:val="24"/>
          <w:lang w:eastAsia="zh-CN"/>
        </w:rPr>
        <w:t xml:space="preserve">24.   </w:t>
      </w:r>
      <w:r w:rsidR="00366699" w:rsidRPr="00E63AA3">
        <w:rPr>
          <w:sz w:val="24"/>
          <w:lang w:eastAsia="zh-CN"/>
        </w:rPr>
        <w:t xml:space="preserve">  </w:t>
      </w:r>
      <w:r w:rsidRPr="00E63AA3">
        <w:rPr>
          <w:rFonts w:hint="eastAsia"/>
          <w:sz w:val="24"/>
          <w:lang w:eastAsia="zh-CN"/>
        </w:rPr>
        <w:t>空间规划、保护区和其他有效区域保护措施</w:t>
      </w:r>
      <w:bookmarkEnd w:id="286"/>
    </w:p>
    <w:p w:rsidR="008D76BF" w:rsidRPr="00F63ABF" w:rsidRDefault="008D76BF" w:rsidP="00750ECD">
      <w:pPr>
        <w:pStyle w:val="Para1"/>
        <w:numPr>
          <w:ilvl w:val="0"/>
          <w:numId w:val="9"/>
        </w:numPr>
        <w:tabs>
          <w:tab w:val="clear" w:pos="360"/>
          <w:tab w:val="left" w:pos="720"/>
        </w:tabs>
        <w:ind w:firstLine="0"/>
        <w:rPr>
          <w:rFonts w:hAnsi="SimSun"/>
          <w:sz w:val="24"/>
          <w:szCs w:val="24"/>
          <w:lang w:eastAsia="zh-CN"/>
        </w:rPr>
      </w:pPr>
      <w:r w:rsidRPr="00F63ABF">
        <w:rPr>
          <w:rFonts w:ascii="SimSun" w:eastAsia="SimSun" w:hAnsi="SimSun" w:cs="SimSun" w:hint="eastAsia"/>
          <w:sz w:val="24"/>
          <w:szCs w:val="24"/>
          <w:lang w:eastAsia="zh-CN"/>
        </w:rPr>
        <w:t>第二工作组在</w:t>
      </w:r>
      <w:r w:rsidRPr="00F63ABF">
        <w:rPr>
          <w:rFonts w:hAnsi="SimSun"/>
          <w:sz w:val="24"/>
          <w:szCs w:val="24"/>
          <w:lang w:eastAsia="zh-CN"/>
        </w:rPr>
        <w:t>2018</w:t>
      </w:r>
      <w:r w:rsidRPr="00F63ABF">
        <w:rPr>
          <w:rFonts w:ascii="SimSun" w:eastAsia="SimSun" w:hAnsi="SimSun" w:cs="SimSun" w:hint="eastAsia"/>
          <w:sz w:val="24"/>
          <w:szCs w:val="24"/>
          <w:lang w:eastAsia="zh-CN"/>
        </w:rPr>
        <w:t>年</w:t>
      </w:r>
      <w:r w:rsidRPr="00F63ABF">
        <w:rPr>
          <w:rFonts w:hAnsi="SimSun"/>
          <w:sz w:val="24"/>
          <w:szCs w:val="24"/>
          <w:lang w:eastAsia="zh-CN"/>
        </w:rPr>
        <w:t>11</w:t>
      </w:r>
      <w:r w:rsidRPr="00F63ABF">
        <w:rPr>
          <w:rFonts w:ascii="SimSun" w:eastAsia="SimSun" w:hAnsi="SimSun" w:cs="SimSun" w:hint="eastAsia"/>
          <w:sz w:val="24"/>
          <w:szCs w:val="24"/>
          <w:lang w:eastAsia="zh-CN"/>
        </w:rPr>
        <w:t>月</w:t>
      </w:r>
      <w:r w:rsidRPr="00F63ABF">
        <w:rPr>
          <w:rFonts w:hAnsi="SimSun"/>
          <w:sz w:val="24"/>
          <w:szCs w:val="24"/>
          <w:lang w:eastAsia="zh-CN"/>
        </w:rPr>
        <w:t>20</w:t>
      </w:r>
      <w:r w:rsidR="004375B9">
        <w:rPr>
          <w:rFonts w:ascii="SimSun" w:eastAsia="SimSun" w:hAnsi="SimSun" w:cs="SimSun" w:hint="eastAsia"/>
          <w:sz w:val="24"/>
          <w:szCs w:val="24"/>
          <w:lang w:eastAsia="zh-CN"/>
        </w:rPr>
        <w:t>日其</w:t>
      </w:r>
      <w:r w:rsidRPr="00F63ABF">
        <w:rPr>
          <w:rFonts w:ascii="SimSun" w:eastAsia="SimSun" w:hAnsi="SimSun" w:cs="SimSun" w:hint="eastAsia"/>
          <w:sz w:val="24"/>
          <w:szCs w:val="24"/>
          <w:lang w:eastAsia="zh-CN"/>
        </w:rPr>
        <w:t>第</w:t>
      </w:r>
      <w:r w:rsidRPr="00F63ABF">
        <w:rPr>
          <w:rFonts w:hAnsi="SimSun"/>
          <w:sz w:val="24"/>
          <w:szCs w:val="24"/>
          <w:lang w:eastAsia="zh-CN"/>
        </w:rPr>
        <w:t>5</w:t>
      </w:r>
      <w:r w:rsidRPr="00F63ABF">
        <w:rPr>
          <w:rFonts w:ascii="SimSun" w:eastAsia="SimSun" w:hAnsi="SimSun" w:cs="SimSun" w:hint="eastAsia"/>
          <w:sz w:val="24"/>
          <w:szCs w:val="24"/>
          <w:lang w:eastAsia="zh-CN"/>
        </w:rPr>
        <w:t>场会议审议了议程项目</w:t>
      </w:r>
      <w:r w:rsidRPr="00F63ABF">
        <w:rPr>
          <w:rFonts w:hAnsi="SimSun"/>
          <w:sz w:val="24"/>
          <w:szCs w:val="24"/>
          <w:lang w:eastAsia="zh-CN"/>
        </w:rPr>
        <w:t>24</w:t>
      </w:r>
      <w:r w:rsidRPr="00F63ABF">
        <w:rPr>
          <w:rFonts w:ascii="SimSun" w:eastAsia="SimSun" w:hAnsi="SimSun" w:cs="SimSun" w:hint="eastAsia"/>
          <w:sz w:val="24"/>
          <w:szCs w:val="24"/>
          <w:lang w:eastAsia="zh-CN"/>
        </w:rPr>
        <w:t>。在审议该项目时，工作组收到了根据决定草案汇编（</w:t>
      </w:r>
      <w:r w:rsidRPr="00F63ABF">
        <w:rPr>
          <w:rFonts w:hAnsi="SimSun"/>
          <w:sz w:val="24"/>
          <w:szCs w:val="24"/>
          <w:lang w:eastAsia="zh-CN"/>
        </w:rPr>
        <w:t>CBD/COP/14/2</w:t>
      </w:r>
      <w:r w:rsidRPr="00F63ABF">
        <w:rPr>
          <w:rFonts w:ascii="SimSun" w:eastAsia="SimSun" w:hAnsi="SimSun" w:cs="SimSun" w:hint="eastAsia"/>
          <w:sz w:val="24"/>
          <w:szCs w:val="24"/>
          <w:lang w:eastAsia="zh-CN"/>
        </w:rPr>
        <w:t>）所载</w:t>
      </w:r>
      <w:r w:rsidRPr="009F6C0D">
        <w:rPr>
          <w:rFonts w:eastAsia="SimSun"/>
          <w:sz w:val="24"/>
          <w:szCs w:val="24"/>
          <w:lang w:eastAsia="zh-CN"/>
        </w:rPr>
        <w:t>SBSTTA-</w:t>
      </w:r>
      <w:r w:rsidRPr="00F63ABF">
        <w:rPr>
          <w:rFonts w:hAnsi="SimSun"/>
          <w:sz w:val="24"/>
          <w:szCs w:val="24"/>
          <w:lang w:eastAsia="zh-CN"/>
        </w:rPr>
        <w:t>22/5</w:t>
      </w:r>
      <w:r w:rsidRPr="00F63ABF">
        <w:rPr>
          <w:rFonts w:ascii="SimSun" w:eastAsia="SimSun" w:hAnsi="SimSun" w:cs="SimSun" w:hint="eastAsia"/>
          <w:sz w:val="24"/>
          <w:szCs w:val="24"/>
          <w:lang w:eastAsia="zh-CN"/>
        </w:rPr>
        <w:t>号建议编制的决定草案的要点。</w:t>
      </w:r>
    </w:p>
    <w:p w:rsidR="008D76BF" w:rsidRPr="00F63ABF" w:rsidRDefault="008D76BF" w:rsidP="00750ECD">
      <w:pPr>
        <w:pStyle w:val="Para1"/>
        <w:numPr>
          <w:ilvl w:val="0"/>
          <w:numId w:val="9"/>
        </w:numPr>
        <w:tabs>
          <w:tab w:val="clear" w:pos="360"/>
          <w:tab w:val="left" w:pos="720"/>
        </w:tabs>
        <w:ind w:firstLine="0"/>
        <w:rPr>
          <w:rFonts w:hAnsi="SimSun"/>
          <w:sz w:val="24"/>
          <w:szCs w:val="24"/>
          <w:lang w:eastAsia="zh-CN"/>
        </w:rPr>
      </w:pPr>
      <w:r w:rsidRPr="00F63ABF">
        <w:rPr>
          <w:rFonts w:ascii="SimSun" w:eastAsia="SimSun" w:hAnsi="SimSun" w:cs="SimSun" w:hint="eastAsia"/>
          <w:sz w:val="24"/>
          <w:szCs w:val="24"/>
          <w:lang w:eastAsia="zh-CN"/>
        </w:rPr>
        <w:t>在阿根廷、多民族玻利维亚国、哥伦比亚、埃及、加纳、危地马拉和坦桑尼亚联合共和国代表的支持下，主席说她将编制决定草案供工作组审议。</w:t>
      </w:r>
    </w:p>
    <w:p w:rsidR="008D76BF" w:rsidRPr="00F63ABF"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F63ABF">
        <w:rPr>
          <w:rFonts w:ascii="SimSun" w:eastAsia="SimSun" w:hAnsi="SimSun" w:cs="SimSun" w:hint="eastAsia"/>
          <w:sz w:val="24"/>
          <w:szCs w:val="24"/>
          <w:lang w:eastAsia="zh-CN"/>
        </w:rPr>
        <w:t>在</w:t>
      </w:r>
      <w:r w:rsidR="008D76BF" w:rsidRPr="00F63ABF">
        <w:rPr>
          <w:rFonts w:hAnsi="SimSun"/>
          <w:sz w:val="24"/>
          <w:szCs w:val="24"/>
          <w:lang w:eastAsia="zh-CN"/>
        </w:rPr>
        <w:t>2018</w:t>
      </w:r>
      <w:r w:rsidR="008D76BF" w:rsidRPr="00F63ABF">
        <w:rPr>
          <w:rFonts w:ascii="SimSun" w:eastAsia="SimSun" w:hAnsi="SimSun" w:cs="SimSun" w:hint="eastAsia"/>
          <w:sz w:val="24"/>
          <w:szCs w:val="24"/>
          <w:lang w:eastAsia="zh-CN"/>
        </w:rPr>
        <w:t>年</w:t>
      </w:r>
      <w:r w:rsidR="008D76BF" w:rsidRPr="00F63ABF">
        <w:rPr>
          <w:rFonts w:hAnsi="SimSun"/>
          <w:sz w:val="24"/>
          <w:szCs w:val="24"/>
          <w:lang w:eastAsia="zh-CN"/>
        </w:rPr>
        <w:t>11</w:t>
      </w:r>
      <w:r w:rsidR="008D76BF" w:rsidRPr="00F63ABF">
        <w:rPr>
          <w:rFonts w:ascii="SimSun" w:eastAsia="SimSun" w:hAnsi="SimSun" w:cs="SimSun" w:hint="eastAsia"/>
          <w:sz w:val="24"/>
          <w:szCs w:val="24"/>
          <w:lang w:eastAsia="zh-CN"/>
        </w:rPr>
        <w:t>月</w:t>
      </w:r>
      <w:r w:rsidR="008D76BF" w:rsidRPr="00F63ABF">
        <w:rPr>
          <w:rFonts w:hAnsi="SimSun"/>
          <w:sz w:val="24"/>
          <w:szCs w:val="24"/>
          <w:lang w:eastAsia="zh-CN"/>
        </w:rPr>
        <w:t>26</w:t>
      </w:r>
      <w:r w:rsidR="008D76BF" w:rsidRPr="00F63ABF">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F63ABF">
        <w:rPr>
          <w:rFonts w:ascii="SimSun" w:eastAsia="SimSun" w:hAnsi="SimSun" w:cs="SimSun" w:hint="eastAsia"/>
          <w:sz w:val="24"/>
          <w:szCs w:val="24"/>
          <w:lang w:eastAsia="zh-CN"/>
        </w:rPr>
        <w:t>第</w:t>
      </w:r>
      <w:r w:rsidR="008D76BF" w:rsidRPr="00F63ABF">
        <w:rPr>
          <w:rFonts w:hAnsi="SimSun"/>
          <w:sz w:val="24"/>
          <w:szCs w:val="24"/>
          <w:lang w:eastAsia="zh-CN"/>
        </w:rPr>
        <w:t>12</w:t>
      </w:r>
      <w:r w:rsidR="008D76BF" w:rsidRPr="00F63ABF">
        <w:rPr>
          <w:rFonts w:ascii="SimSun" w:eastAsia="SimSun" w:hAnsi="SimSun" w:cs="SimSun" w:hint="eastAsia"/>
          <w:sz w:val="24"/>
          <w:szCs w:val="24"/>
          <w:lang w:eastAsia="zh-CN"/>
        </w:rPr>
        <w:t>场会议上审议了主席编写的决定草案。</w:t>
      </w:r>
    </w:p>
    <w:p w:rsidR="008D76BF" w:rsidRPr="00F63ABF" w:rsidRDefault="008D76BF" w:rsidP="00750ECD">
      <w:pPr>
        <w:pStyle w:val="Para1"/>
        <w:numPr>
          <w:ilvl w:val="0"/>
          <w:numId w:val="9"/>
        </w:numPr>
        <w:tabs>
          <w:tab w:val="clear" w:pos="360"/>
          <w:tab w:val="left" w:pos="720"/>
        </w:tabs>
        <w:ind w:firstLine="0"/>
        <w:rPr>
          <w:rFonts w:hAnsi="SimSun"/>
          <w:sz w:val="24"/>
          <w:szCs w:val="24"/>
          <w:lang w:eastAsia="zh-CN"/>
        </w:rPr>
      </w:pPr>
      <w:r w:rsidRPr="00F63ABF">
        <w:rPr>
          <w:rFonts w:ascii="SimSun" w:eastAsia="SimSun" w:hAnsi="SimSun" w:cs="SimSun" w:hint="eastAsia"/>
          <w:sz w:val="24"/>
          <w:szCs w:val="24"/>
          <w:lang w:eastAsia="zh-CN"/>
        </w:rPr>
        <w:t>下列国家代表</w:t>
      </w:r>
      <w:r w:rsidR="006952B0">
        <w:rPr>
          <w:rFonts w:ascii="SimSun" w:eastAsia="SimSun" w:hAnsi="SimSun" w:cs="SimSun" w:hint="eastAsia"/>
          <w:sz w:val="24"/>
          <w:szCs w:val="24"/>
          <w:lang w:eastAsia="zh-CN"/>
        </w:rPr>
        <w:t>作了发言</w:t>
      </w:r>
      <w:r w:rsidRPr="00F63ABF">
        <w:rPr>
          <w:rFonts w:ascii="SimSun" w:eastAsia="SimSun" w:hAnsi="SimSun" w:cs="SimSun" w:hint="eastAsia"/>
          <w:sz w:val="24"/>
          <w:szCs w:val="24"/>
          <w:lang w:eastAsia="zh-CN"/>
        </w:rPr>
        <w:t>：多民族玻利维亚国、巴西、喀麦隆、加拿大、哥伦比亚、哥斯达黎加、厄瓜多尔、埃及、欧洲联盟及其</w:t>
      </w:r>
      <w:r w:rsidRPr="00F63ABF">
        <w:rPr>
          <w:rFonts w:hAnsi="SimSun"/>
          <w:sz w:val="24"/>
          <w:szCs w:val="24"/>
          <w:lang w:eastAsia="zh-CN"/>
        </w:rPr>
        <w:t>28</w:t>
      </w:r>
      <w:r w:rsidRPr="00F63ABF">
        <w:rPr>
          <w:rFonts w:ascii="SimSun" w:eastAsia="SimSun" w:hAnsi="SimSun" w:cs="SimSun" w:hint="eastAsia"/>
          <w:sz w:val="24"/>
          <w:szCs w:val="24"/>
          <w:lang w:eastAsia="zh-CN"/>
        </w:rPr>
        <w:t>个成员国、加蓬、危地马拉、洪都拉斯、日本、墨西哥、菲律宾、新西兰、秘鲁、乌拉圭和委内瑞拉玻利瓦尔共和国。</w:t>
      </w:r>
    </w:p>
    <w:p w:rsidR="008D76BF" w:rsidRPr="00F63ABF" w:rsidRDefault="008D76BF" w:rsidP="00750ECD">
      <w:pPr>
        <w:pStyle w:val="Para1"/>
        <w:numPr>
          <w:ilvl w:val="0"/>
          <w:numId w:val="9"/>
        </w:numPr>
        <w:tabs>
          <w:tab w:val="clear" w:pos="360"/>
          <w:tab w:val="left" w:pos="720"/>
        </w:tabs>
        <w:ind w:firstLine="0"/>
        <w:rPr>
          <w:rFonts w:hAnsi="SimSun"/>
          <w:sz w:val="24"/>
          <w:szCs w:val="24"/>
          <w:lang w:eastAsia="zh-CN"/>
        </w:rPr>
      </w:pPr>
      <w:r w:rsidRPr="00F63ABF">
        <w:rPr>
          <w:rFonts w:ascii="SimSun" w:eastAsia="SimSun" w:hAnsi="SimSun" w:cs="SimSun" w:hint="eastAsia"/>
          <w:sz w:val="24"/>
          <w:szCs w:val="24"/>
          <w:lang w:eastAsia="zh-CN"/>
        </w:rPr>
        <w:t>工作组在</w:t>
      </w:r>
      <w:r w:rsidRPr="00F63ABF">
        <w:rPr>
          <w:rFonts w:hAnsi="SimSun"/>
          <w:sz w:val="24"/>
          <w:szCs w:val="24"/>
          <w:lang w:eastAsia="zh-CN"/>
        </w:rPr>
        <w:t>2018</w:t>
      </w:r>
      <w:r w:rsidRPr="00F63ABF">
        <w:rPr>
          <w:rFonts w:ascii="SimSun" w:eastAsia="SimSun" w:hAnsi="SimSun" w:cs="SimSun" w:hint="eastAsia"/>
          <w:sz w:val="24"/>
          <w:szCs w:val="24"/>
          <w:lang w:eastAsia="zh-CN"/>
        </w:rPr>
        <w:t>年</w:t>
      </w:r>
      <w:r w:rsidRPr="00F63ABF">
        <w:rPr>
          <w:rFonts w:hAnsi="SimSun"/>
          <w:sz w:val="24"/>
          <w:szCs w:val="24"/>
          <w:lang w:eastAsia="zh-CN"/>
        </w:rPr>
        <w:t>11</w:t>
      </w:r>
      <w:r w:rsidRPr="00F63ABF">
        <w:rPr>
          <w:rFonts w:ascii="SimSun" w:eastAsia="SimSun" w:hAnsi="SimSun" w:cs="SimSun" w:hint="eastAsia"/>
          <w:sz w:val="24"/>
          <w:szCs w:val="24"/>
          <w:lang w:eastAsia="zh-CN"/>
        </w:rPr>
        <w:t>月</w:t>
      </w:r>
      <w:r w:rsidRPr="00F63ABF">
        <w:rPr>
          <w:rFonts w:hAnsi="SimSun"/>
          <w:sz w:val="24"/>
          <w:szCs w:val="24"/>
          <w:lang w:eastAsia="zh-CN"/>
        </w:rPr>
        <w:t>26</w:t>
      </w:r>
      <w:r w:rsidRPr="00F63ABF">
        <w:rPr>
          <w:rFonts w:ascii="SimSun" w:eastAsia="SimSun" w:hAnsi="SimSun" w:cs="SimSun" w:hint="eastAsia"/>
          <w:sz w:val="24"/>
          <w:szCs w:val="24"/>
          <w:lang w:eastAsia="zh-CN"/>
        </w:rPr>
        <w:t>日第</w:t>
      </w:r>
      <w:r w:rsidRPr="00F63ABF">
        <w:rPr>
          <w:rFonts w:hAnsi="SimSun"/>
          <w:sz w:val="24"/>
          <w:szCs w:val="24"/>
          <w:lang w:eastAsia="zh-CN"/>
        </w:rPr>
        <w:t>13</w:t>
      </w:r>
      <w:r w:rsidRPr="00F63ABF">
        <w:rPr>
          <w:rFonts w:ascii="SimSun" w:eastAsia="SimSun" w:hAnsi="SimSun" w:cs="SimSun" w:hint="eastAsia"/>
          <w:sz w:val="24"/>
          <w:szCs w:val="24"/>
          <w:lang w:eastAsia="zh-CN"/>
        </w:rPr>
        <w:t>场会议上继续审议该决定草案。</w:t>
      </w:r>
    </w:p>
    <w:p w:rsidR="008D76BF" w:rsidRPr="00F63ABF" w:rsidRDefault="008D76BF" w:rsidP="00750ECD">
      <w:pPr>
        <w:pStyle w:val="Para1"/>
        <w:numPr>
          <w:ilvl w:val="0"/>
          <w:numId w:val="9"/>
        </w:numPr>
        <w:tabs>
          <w:tab w:val="clear" w:pos="360"/>
          <w:tab w:val="left" w:pos="720"/>
        </w:tabs>
        <w:ind w:firstLine="0"/>
        <w:rPr>
          <w:rFonts w:hAnsi="SimSun"/>
          <w:sz w:val="24"/>
          <w:szCs w:val="24"/>
          <w:lang w:eastAsia="zh-CN"/>
        </w:rPr>
      </w:pPr>
      <w:r w:rsidRPr="00F63ABF">
        <w:rPr>
          <w:rFonts w:ascii="SimSun" w:eastAsia="SimSun" w:hAnsi="SimSun" w:cs="SimSun" w:hint="eastAsia"/>
          <w:sz w:val="24"/>
          <w:szCs w:val="24"/>
          <w:lang w:eastAsia="zh-CN"/>
        </w:rPr>
        <w:t>下列国家代表</w:t>
      </w:r>
      <w:r w:rsidR="006952B0">
        <w:rPr>
          <w:rFonts w:ascii="SimSun" w:eastAsia="SimSun" w:hAnsi="SimSun" w:cs="SimSun" w:hint="eastAsia"/>
          <w:sz w:val="24"/>
          <w:szCs w:val="24"/>
          <w:lang w:eastAsia="zh-CN"/>
        </w:rPr>
        <w:t>作了发言</w:t>
      </w:r>
      <w:r w:rsidRPr="00F63ABF">
        <w:rPr>
          <w:rFonts w:ascii="SimSun" w:eastAsia="SimSun" w:hAnsi="SimSun" w:cs="SimSun" w:hint="eastAsia"/>
          <w:sz w:val="24"/>
          <w:szCs w:val="24"/>
          <w:lang w:eastAsia="zh-CN"/>
        </w:rPr>
        <w:t>：加拿大，哥伦比亚和新西兰。</w:t>
      </w:r>
    </w:p>
    <w:p w:rsidR="008D76BF" w:rsidRPr="00F63ABF" w:rsidRDefault="008D76BF" w:rsidP="00750ECD">
      <w:pPr>
        <w:pStyle w:val="Para1"/>
        <w:numPr>
          <w:ilvl w:val="0"/>
          <w:numId w:val="9"/>
        </w:numPr>
        <w:tabs>
          <w:tab w:val="clear" w:pos="360"/>
          <w:tab w:val="left" w:pos="720"/>
        </w:tabs>
        <w:ind w:firstLine="0"/>
        <w:rPr>
          <w:rFonts w:hAnsi="SimSun"/>
          <w:sz w:val="24"/>
          <w:szCs w:val="24"/>
          <w:lang w:eastAsia="zh-CN"/>
        </w:rPr>
      </w:pPr>
      <w:r w:rsidRPr="00F63ABF">
        <w:rPr>
          <w:rFonts w:ascii="SimSun" w:eastAsia="SimSun" w:hAnsi="SimSun" w:cs="SimSun" w:hint="eastAsia"/>
          <w:sz w:val="24"/>
          <w:szCs w:val="24"/>
          <w:lang w:eastAsia="zh-CN"/>
        </w:rPr>
        <w:t>生物多样性问题国际土著论坛的代表也</w:t>
      </w:r>
      <w:r w:rsidR="006952B0">
        <w:rPr>
          <w:rFonts w:ascii="SimSun" w:eastAsia="SimSun" w:hAnsi="SimSun" w:cs="SimSun" w:hint="eastAsia"/>
          <w:sz w:val="24"/>
          <w:szCs w:val="24"/>
          <w:lang w:eastAsia="zh-CN"/>
        </w:rPr>
        <w:t>作了发言</w:t>
      </w:r>
      <w:r w:rsidRPr="00F63ABF">
        <w:rPr>
          <w:rFonts w:ascii="SimSun" w:eastAsia="SimSun" w:hAnsi="SimSun" w:cs="SimSun" w:hint="eastAsia"/>
          <w:sz w:val="24"/>
          <w:szCs w:val="24"/>
          <w:lang w:eastAsia="zh-CN"/>
        </w:rPr>
        <w:t>。</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F63ABF">
        <w:rPr>
          <w:rFonts w:ascii="SimSun" w:eastAsia="SimSun" w:hAnsi="SimSun" w:cs="SimSun" w:hint="eastAsia"/>
          <w:sz w:val="24"/>
          <w:szCs w:val="24"/>
          <w:lang w:eastAsia="zh-CN"/>
        </w:rPr>
        <w:t>经交换意见后，工作组核准了决定草案，作为决定草案</w:t>
      </w:r>
      <w:r w:rsidRPr="00F63ABF">
        <w:rPr>
          <w:rFonts w:hAnsi="SimSun"/>
          <w:sz w:val="24"/>
          <w:szCs w:val="24"/>
          <w:lang w:eastAsia="zh-CN"/>
        </w:rPr>
        <w:t>CBD/COP/14/L.19</w:t>
      </w:r>
      <w:r w:rsidRPr="00F63ABF">
        <w:rPr>
          <w:rFonts w:ascii="SimSun" w:eastAsia="SimSun" w:hAnsi="SimSun" w:cs="SimSun" w:hint="eastAsia"/>
          <w:sz w:val="24"/>
          <w:szCs w:val="24"/>
          <w:lang w:eastAsia="zh-CN"/>
        </w:rPr>
        <w:t>转交全体会议。</w:t>
      </w:r>
    </w:p>
    <w:p w:rsidR="00C3501E" w:rsidRPr="00B5651D" w:rsidRDefault="00C3501E" w:rsidP="00C3501E">
      <w:pPr>
        <w:pStyle w:val="Para1"/>
        <w:numPr>
          <w:ilvl w:val="0"/>
          <w:numId w:val="9"/>
        </w:numPr>
        <w:tabs>
          <w:tab w:val="clear" w:pos="360"/>
          <w:tab w:val="left" w:pos="720"/>
        </w:tabs>
        <w:ind w:firstLine="0"/>
        <w:rPr>
          <w:rFonts w:eastAsia="SimSun"/>
          <w:sz w:val="24"/>
          <w:szCs w:val="24"/>
          <w:lang w:eastAsia="zh-CN"/>
        </w:rPr>
      </w:pPr>
      <w:r w:rsidRPr="00972641">
        <w:rPr>
          <w:rFonts w:ascii="SimSun" w:eastAsia="SimSun" w:hAnsi="SimSun" w:cs="SimSun" w:hint="eastAsia"/>
          <w:sz w:val="24"/>
          <w:szCs w:val="24"/>
          <w:lang w:eastAsia="zh-CN"/>
        </w:rPr>
        <w:t>在</w:t>
      </w:r>
      <w:r w:rsidRPr="00972641">
        <w:rPr>
          <w:rFonts w:hAnsi="SimSun"/>
          <w:sz w:val="24"/>
          <w:szCs w:val="24"/>
          <w:lang w:eastAsia="zh-CN"/>
        </w:rPr>
        <w:t>2018</w:t>
      </w:r>
      <w:r w:rsidRPr="00972641">
        <w:rPr>
          <w:rFonts w:ascii="SimSun" w:eastAsia="SimSun" w:hAnsi="SimSun" w:cs="SimSun" w:hint="eastAsia"/>
          <w:sz w:val="24"/>
          <w:szCs w:val="24"/>
          <w:lang w:eastAsia="zh-CN"/>
        </w:rPr>
        <w:t>年</w:t>
      </w:r>
      <w:r w:rsidRPr="00972641">
        <w:rPr>
          <w:rFonts w:hAnsi="SimSun"/>
          <w:sz w:val="24"/>
          <w:szCs w:val="24"/>
          <w:lang w:eastAsia="zh-CN"/>
        </w:rPr>
        <w:t>11</w:t>
      </w:r>
      <w:r w:rsidRPr="00972641">
        <w:rPr>
          <w:rFonts w:ascii="SimSun" w:eastAsia="SimSun" w:hAnsi="SimSun" w:cs="SimSun" w:hint="eastAsia"/>
          <w:sz w:val="24"/>
          <w:szCs w:val="24"/>
          <w:lang w:eastAsia="zh-CN"/>
        </w:rPr>
        <w:t>月</w:t>
      </w:r>
      <w:r w:rsidRPr="00972641">
        <w:rPr>
          <w:rFonts w:hAnsi="SimSun"/>
          <w:sz w:val="24"/>
          <w:szCs w:val="24"/>
          <w:lang w:eastAsia="zh-CN"/>
        </w:rPr>
        <w:t>29</w:t>
      </w:r>
      <w:r w:rsidR="004375B9">
        <w:rPr>
          <w:rFonts w:ascii="SimSun" w:eastAsia="SimSun" w:hAnsi="SimSun" w:cs="SimSun" w:hint="eastAsia"/>
          <w:sz w:val="24"/>
          <w:szCs w:val="24"/>
          <w:lang w:eastAsia="zh-CN"/>
        </w:rPr>
        <w:t>日会议的</w:t>
      </w:r>
      <w:r w:rsidRPr="00972641">
        <w:rPr>
          <w:rFonts w:ascii="SimSun" w:eastAsia="SimSun" w:hAnsi="SimSun" w:cs="SimSun" w:hint="eastAsia"/>
          <w:sz w:val="24"/>
          <w:szCs w:val="24"/>
          <w:lang w:eastAsia="zh-CN"/>
        </w:rPr>
        <w:t>第</w:t>
      </w:r>
      <w:r w:rsidRPr="00972641">
        <w:rPr>
          <w:rFonts w:hAnsi="SimSun"/>
          <w:sz w:val="24"/>
          <w:szCs w:val="24"/>
          <w:lang w:eastAsia="zh-CN"/>
        </w:rPr>
        <w:t>7</w:t>
      </w:r>
      <w:r w:rsidRPr="00972641">
        <w:rPr>
          <w:rFonts w:ascii="SimSun" w:eastAsia="SimSun" w:hAnsi="SimSun" w:cs="SimSun" w:hint="eastAsia"/>
          <w:sz w:val="24"/>
          <w:szCs w:val="24"/>
          <w:lang w:eastAsia="zh-CN"/>
        </w:rPr>
        <w:t>次全体会议上，</w:t>
      </w:r>
      <w:r>
        <w:rPr>
          <w:rFonts w:ascii="SimSun" w:eastAsia="SimSun" w:hAnsi="SimSun" w:cs="SimSun" w:hint="eastAsia"/>
          <w:sz w:val="24"/>
          <w:szCs w:val="24"/>
          <w:lang w:eastAsia="zh-CN"/>
        </w:rPr>
        <w:t>缔约方大会审议</w:t>
      </w:r>
      <w:r>
        <w:rPr>
          <w:rFonts w:ascii="SimSun" w:eastAsia="SimSun" w:hAnsi="SimSun" w:cs="SimSun"/>
          <w:sz w:val="24"/>
          <w:szCs w:val="24"/>
          <w:lang w:eastAsia="zh-CN"/>
        </w:rPr>
        <w:t>了</w:t>
      </w:r>
      <w:r>
        <w:rPr>
          <w:rFonts w:ascii="SimSun" w:eastAsia="SimSun" w:hAnsi="SimSun" w:cs="SimSun" w:hint="eastAsia"/>
          <w:sz w:val="24"/>
          <w:szCs w:val="24"/>
          <w:lang w:eastAsia="zh-CN"/>
        </w:rPr>
        <w:t>决定草案</w:t>
      </w:r>
      <w:r>
        <w:rPr>
          <w:rFonts w:eastAsia="SimSun"/>
          <w:sz w:val="24"/>
          <w:szCs w:val="24"/>
          <w:lang w:eastAsia="zh-CN"/>
        </w:rPr>
        <w:t>CBD/COP/14/L.19</w:t>
      </w:r>
      <w:r>
        <w:rPr>
          <w:rFonts w:eastAsia="SimSun" w:hint="eastAsia"/>
          <w:sz w:val="24"/>
          <w:szCs w:val="24"/>
          <w:lang w:eastAsia="zh-CN"/>
        </w:rPr>
        <w:t>。</w:t>
      </w:r>
    </w:p>
    <w:p w:rsidR="008D76BF" w:rsidRPr="00C3501E" w:rsidRDefault="00C3501E" w:rsidP="00D2148E">
      <w:pPr>
        <w:pStyle w:val="Para1"/>
        <w:numPr>
          <w:ilvl w:val="0"/>
          <w:numId w:val="9"/>
        </w:numPr>
        <w:tabs>
          <w:tab w:val="clear" w:pos="360"/>
          <w:tab w:val="left" w:pos="720"/>
        </w:tabs>
        <w:ind w:firstLine="0"/>
        <w:rPr>
          <w:rFonts w:hAnsi="SimSun"/>
          <w:sz w:val="24"/>
          <w:szCs w:val="24"/>
          <w:lang w:eastAsia="zh-CN"/>
        </w:rPr>
      </w:pPr>
      <w:r w:rsidRPr="00C3501E">
        <w:rPr>
          <w:rFonts w:ascii="SimSun" w:eastAsia="SimSun" w:hAnsi="SimSun" w:cs="SimSun" w:hint="eastAsia"/>
          <w:sz w:val="24"/>
          <w:szCs w:val="24"/>
          <w:lang w:eastAsia="zh-CN"/>
        </w:rPr>
        <w:t>经</w:t>
      </w:r>
      <w:r w:rsidRPr="00C3501E">
        <w:rPr>
          <w:rFonts w:ascii="SimSun" w:eastAsia="SimSun" w:hAnsi="SimSun" w:cs="SimSun"/>
          <w:sz w:val="24"/>
          <w:szCs w:val="24"/>
          <w:lang w:eastAsia="zh-CN"/>
        </w:rPr>
        <w:t>秘书处作出更正后，</w:t>
      </w:r>
      <w:r w:rsidRPr="00C3501E">
        <w:rPr>
          <w:rFonts w:ascii="SimSun" w:eastAsia="SimSun" w:hAnsi="SimSun" w:cs="SimSun" w:hint="eastAsia"/>
          <w:sz w:val="24"/>
          <w:szCs w:val="24"/>
          <w:lang w:eastAsia="zh-CN"/>
        </w:rPr>
        <w:t>缔约方大会通过了经口头修正</w:t>
      </w:r>
      <w:r w:rsidRPr="00C3501E">
        <w:rPr>
          <w:rFonts w:ascii="SimSun" w:eastAsia="SimSun" w:hAnsi="SimSun" w:cs="SimSun"/>
          <w:sz w:val="24"/>
          <w:szCs w:val="24"/>
          <w:lang w:eastAsia="zh-CN"/>
        </w:rPr>
        <w:t>的</w:t>
      </w:r>
      <w:r w:rsidRPr="00C3501E">
        <w:rPr>
          <w:rFonts w:ascii="SimSun" w:eastAsia="SimSun" w:hAnsi="SimSun" w:cs="SimSun" w:hint="eastAsia"/>
          <w:sz w:val="24"/>
          <w:szCs w:val="24"/>
          <w:lang w:eastAsia="zh-CN"/>
        </w:rPr>
        <w:t>决定草案</w:t>
      </w:r>
      <w:r w:rsidRPr="00C3501E">
        <w:rPr>
          <w:rFonts w:hAnsi="SimSun"/>
          <w:sz w:val="24"/>
          <w:szCs w:val="24"/>
          <w:lang w:eastAsia="zh-CN"/>
        </w:rPr>
        <w:t>CBD/COP/14/L.19</w:t>
      </w:r>
      <w:r w:rsidRPr="00C3501E">
        <w:rPr>
          <w:rFonts w:ascii="SimSun" w:eastAsia="SimSun" w:hAnsi="SimSun" w:cs="SimSun" w:hint="eastAsia"/>
          <w:sz w:val="24"/>
          <w:szCs w:val="24"/>
          <w:lang w:eastAsia="zh-CN"/>
        </w:rPr>
        <w:t>，成为第</w:t>
      </w:r>
      <w:r w:rsidRPr="00C3501E">
        <w:rPr>
          <w:rFonts w:hAnsi="SimSun"/>
          <w:sz w:val="24"/>
          <w:szCs w:val="24"/>
          <w:lang w:eastAsia="zh-CN"/>
        </w:rPr>
        <w:t>14/8</w:t>
      </w:r>
      <w:r w:rsidRPr="00C3501E">
        <w:rPr>
          <w:rFonts w:ascii="SimSun" w:eastAsia="SimSun" w:hAnsi="SimSun" w:cs="SimSun" w:hint="eastAsia"/>
          <w:sz w:val="24"/>
          <w:szCs w:val="24"/>
          <w:lang w:eastAsia="zh-CN"/>
        </w:rPr>
        <w:t>号决定</w:t>
      </w:r>
      <w:r w:rsidRPr="00C3501E">
        <w:rPr>
          <w:rFonts w:eastAsiaTheme="minorEastAsia" w:hAnsi="SimSun"/>
          <w:sz w:val="24"/>
          <w:lang w:eastAsia="zh-CN"/>
        </w:rPr>
        <w:t>（案文见第一章）。</w:t>
      </w:r>
    </w:p>
    <w:p w:rsidR="008D76BF" w:rsidRPr="00E63AA3" w:rsidRDefault="008D76BF" w:rsidP="00E63AA3">
      <w:pPr>
        <w:pStyle w:val="Heading1"/>
        <w:spacing w:before="120" w:after="120"/>
        <w:ind w:firstLine="0"/>
        <w:rPr>
          <w:sz w:val="24"/>
          <w:lang w:eastAsia="zh-CN"/>
        </w:rPr>
      </w:pPr>
      <w:bookmarkStart w:id="287" w:name="_Toc6243836"/>
      <w:r w:rsidRPr="00E63AA3">
        <w:rPr>
          <w:rFonts w:hint="eastAsia"/>
          <w:sz w:val="24"/>
          <w:lang w:eastAsia="zh-CN"/>
        </w:rPr>
        <w:t>项目</w:t>
      </w:r>
      <w:r w:rsidRPr="00E63AA3">
        <w:rPr>
          <w:sz w:val="24"/>
          <w:lang w:eastAsia="zh-CN"/>
        </w:rPr>
        <w:t xml:space="preserve">25.   </w:t>
      </w:r>
      <w:r w:rsidR="00366699" w:rsidRPr="00E63AA3">
        <w:rPr>
          <w:sz w:val="24"/>
          <w:lang w:eastAsia="zh-CN"/>
        </w:rPr>
        <w:t xml:space="preserve">  </w:t>
      </w:r>
      <w:r w:rsidRPr="00E63AA3">
        <w:rPr>
          <w:rFonts w:hint="eastAsia"/>
          <w:sz w:val="24"/>
          <w:lang w:eastAsia="zh-CN"/>
        </w:rPr>
        <w:t>海洋和沿海生物多样性</w:t>
      </w:r>
      <w:bookmarkEnd w:id="287"/>
    </w:p>
    <w:p w:rsidR="008D76BF" w:rsidRPr="00BF256D" w:rsidRDefault="004375B9"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BF256D">
        <w:rPr>
          <w:rFonts w:ascii="SimSun" w:eastAsia="SimSun" w:hAnsi="SimSun" w:cs="SimSun" w:hint="eastAsia"/>
          <w:sz w:val="24"/>
          <w:szCs w:val="24"/>
          <w:lang w:eastAsia="zh-CN"/>
        </w:rPr>
        <w:t>在</w:t>
      </w:r>
      <w:r w:rsidR="008D76BF" w:rsidRPr="00BF256D">
        <w:rPr>
          <w:rFonts w:hAnsi="SimSun"/>
          <w:sz w:val="24"/>
          <w:szCs w:val="24"/>
          <w:lang w:eastAsia="zh-CN"/>
        </w:rPr>
        <w:t>2018</w:t>
      </w:r>
      <w:r w:rsidR="008D76BF" w:rsidRPr="00BF256D">
        <w:rPr>
          <w:rFonts w:ascii="SimSun" w:eastAsia="SimSun" w:hAnsi="SimSun" w:cs="SimSun" w:hint="eastAsia"/>
          <w:sz w:val="24"/>
          <w:szCs w:val="24"/>
          <w:lang w:eastAsia="zh-CN"/>
        </w:rPr>
        <w:t>年</w:t>
      </w:r>
      <w:r w:rsidR="008D76BF" w:rsidRPr="00BF256D">
        <w:rPr>
          <w:rFonts w:hAnsi="SimSun"/>
          <w:sz w:val="24"/>
          <w:szCs w:val="24"/>
          <w:lang w:eastAsia="zh-CN"/>
        </w:rPr>
        <w:t>11</w:t>
      </w:r>
      <w:r w:rsidR="008D76BF" w:rsidRPr="00BF256D">
        <w:rPr>
          <w:rFonts w:ascii="SimSun" w:eastAsia="SimSun" w:hAnsi="SimSun" w:cs="SimSun" w:hint="eastAsia"/>
          <w:sz w:val="24"/>
          <w:szCs w:val="24"/>
          <w:lang w:eastAsia="zh-CN"/>
        </w:rPr>
        <w:t>月</w:t>
      </w:r>
      <w:r w:rsidR="008D76BF" w:rsidRPr="00BF256D">
        <w:rPr>
          <w:rFonts w:hAnsi="SimSun"/>
          <w:sz w:val="24"/>
          <w:szCs w:val="24"/>
          <w:lang w:eastAsia="zh-CN"/>
        </w:rPr>
        <w:t>20</w:t>
      </w:r>
      <w:r w:rsidR="008D76BF" w:rsidRPr="00BF256D">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BF256D">
        <w:rPr>
          <w:rFonts w:ascii="SimSun" w:eastAsia="SimSun" w:hAnsi="SimSun" w:cs="SimSun" w:hint="eastAsia"/>
          <w:sz w:val="24"/>
          <w:szCs w:val="24"/>
          <w:lang w:eastAsia="zh-CN"/>
        </w:rPr>
        <w:t>第</w:t>
      </w:r>
      <w:r w:rsidR="008D76BF" w:rsidRPr="00BF256D">
        <w:rPr>
          <w:rFonts w:hAnsi="SimSun"/>
          <w:sz w:val="24"/>
          <w:szCs w:val="24"/>
          <w:lang w:eastAsia="zh-CN"/>
        </w:rPr>
        <w:t>5</w:t>
      </w:r>
      <w:r w:rsidR="008D76BF" w:rsidRPr="00BF256D">
        <w:rPr>
          <w:rFonts w:ascii="SimSun" w:eastAsia="SimSun" w:hAnsi="SimSun" w:cs="SimSun" w:hint="eastAsia"/>
          <w:sz w:val="24"/>
          <w:szCs w:val="24"/>
          <w:lang w:eastAsia="zh-CN"/>
        </w:rPr>
        <w:t>场会议上</w:t>
      </w:r>
      <w:r>
        <w:rPr>
          <w:rFonts w:ascii="SimSun" w:eastAsia="SimSun" w:hAnsi="SimSun" w:cs="SimSun" w:hint="eastAsia"/>
          <w:sz w:val="24"/>
          <w:szCs w:val="24"/>
          <w:lang w:eastAsia="zh-CN"/>
        </w:rPr>
        <w:t>审议</w:t>
      </w:r>
      <w:r w:rsidR="008D76BF" w:rsidRPr="00BF256D">
        <w:rPr>
          <w:rFonts w:ascii="SimSun" w:eastAsia="SimSun" w:hAnsi="SimSun" w:cs="SimSun" w:hint="eastAsia"/>
          <w:sz w:val="24"/>
          <w:szCs w:val="24"/>
          <w:lang w:eastAsia="zh-CN"/>
        </w:rPr>
        <w:t>了议程项目</w:t>
      </w:r>
      <w:r w:rsidR="008D76BF" w:rsidRPr="00BF256D">
        <w:rPr>
          <w:rFonts w:hAnsi="SimSun"/>
          <w:sz w:val="24"/>
          <w:szCs w:val="24"/>
          <w:lang w:eastAsia="zh-CN"/>
        </w:rPr>
        <w:t>25</w:t>
      </w:r>
      <w:r w:rsidR="008D76BF" w:rsidRPr="00BF256D">
        <w:rPr>
          <w:rFonts w:ascii="SimSun" w:eastAsia="SimSun" w:hAnsi="SimSun" w:cs="SimSun" w:hint="eastAsia"/>
          <w:sz w:val="24"/>
          <w:szCs w:val="24"/>
          <w:lang w:eastAsia="zh-CN"/>
        </w:rPr>
        <w:t>，该项目有两个分项目。在审议</w:t>
      </w:r>
      <w:r w:rsidR="008D76BF">
        <w:rPr>
          <w:rFonts w:ascii="SimSun" w:eastAsia="SimSun" w:hAnsi="SimSun" w:cs="SimSun" w:hint="eastAsia"/>
          <w:sz w:val="24"/>
          <w:szCs w:val="24"/>
          <w:lang w:eastAsia="zh-CN"/>
        </w:rPr>
        <w:t>这个</w:t>
      </w:r>
      <w:r w:rsidR="008D76BF" w:rsidRPr="00BF256D">
        <w:rPr>
          <w:rFonts w:ascii="SimSun" w:eastAsia="SimSun" w:hAnsi="SimSun" w:cs="SimSun" w:hint="eastAsia"/>
          <w:sz w:val="24"/>
          <w:szCs w:val="24"/>
          <w:lang w:eastAsia="zh-CN"/>
        </w:rPr>
        <w:t>项目时，工作组</w:t>
      </w:r>
      <w:r w:rsidR="00733957">
        <w:rPr>
          <w:rFonts w:ascii="SimSun" w:eastAsia="SimSun" w:hAnsi="SimSun" w:cs="SimSun" w:hint="eastAsia"/>
          <w:sz w:val="24"/>
          <w:szCs w:val="24"/>
          <w:lang w:eastAsia="zh-CN"/>
        </w:rPr>
        <w:t>收到了</w:t>
      </w:r>
      <w:r w:rsidR="008D76BF" w:rsidRPr="00BF256D">
        <w:rPr>
          <w:rFonts w:ascii="SimSun" w:eastAsia="SimSun" w:hAnsi="SimSun" w:cs="SimSun" w:hint="eastAsia"/>
          <w:sz w:val="24"/>
          <w:szCs w:val="24"/>
          <w:lang w:eastAsia="zh-CN"/>
        </w:rPr>
        <w:t>决定草案汇编（</w:t>
      </w:r>
      <w:r w:rsidR="008D76BF" w:rsidRPr="00BF256D">
        <w:rPr>
          <w:rFonts w:hAnsi="SimSun"/>
          <w:sz w:val="24"/>
          <w:szCs w:val="24"/>
          <w:lang w:eastAsia="zh-CN"/>
        </w:rPr>
        <w:t>CBD/COP/14/2</w:t>
      </w:r>
      <w:r w:rsidR="008D76BF" w:rsidRPr="00BF256D">
        <w:rPr>
          <w:rFonts w:ascii="SimSun" w:eastAsia="SimSun" w:hAnsi="SimSun" w:cs="SimSun" w:hint="eastAsia"/>
          <w:sz w:val="24"/>
          <w:szCs w:val="24"/>
          <w:lang w:eastAsia="zh-CN"/>
        </w:rPr>
        <w:t>）</w:t>
      </w:r>
      <w:r w:rsidR="00733957">
        <w:rPr>
          <w:rFonts w:ascii="SimSun" w:eastAsia="SimSun" w:hAnsi="SimSun" w:cs="SimSun" w:hint="eastAsia"/>
          <w:sz w:val="24"/>
          <w:szCs w:val="24"/>
          <w:lang w:eastAsia="zh-CN"/>
        </w:rPr>
        <w:t>中</w:t>
      </w:r>
      <w:r w:rsidR="00733957">
        <w:rPr>
          <w:rFonts w:ascii="SimSun" w:eastAsia="SimSun" w:hAnsi="SimSun" w:cs="SimSun"/>
          <w:sz w:val="24"/>
          <w:szCs w:val="24"/>
          <w:lang w:eastAsia="zh-CN"/>
        </w:rPr>
        <w:t>所载的</w:t>
      </w:r>
      <w:r w:rsidR="008D76BF">
        <w:rPr>
          <w:rFonts w:ascii="SimSun" w:eastAsia="SimSun" w:hAnsi="SimSun" w:cs="SimSun" w:hint="eastAsia"/>
          <w:sz w:val="24"/>
          <w:szCs w:val="24"/>
          <w:lang w:eastAsia="zh-CN"/>
        </w:rPr>
        <w:t>根据第</w:t>
      </w:r>
      <w:r w:rsidR="008D76BF" w:rsidRPr="00BF256D">
        <w:rPr>
          <w:rFonts w:hAnsi="SimSun"/>
          <w:sz w:val="24"/>
          <w:szCs w:val="24"/>
          <w:lang w:eastAsia="zh-CN"/>
        </w:rPr>
        <w:t>SBSTTA-</w:t>
      </w:r>
      <w:r w:rsidR="008D76BF">
        <w:rPr>
          <w:rFonts w:hAnsi="SimSun"/>
          <w:sz w:val="24"/>
          <w:szCs w:val="24"/>
          <w:lang w:eastAsia="zh-CN"/>
        </w:rPr>
        <w:t>22</w:t>
      </w:r>
      <w:r w:rsidR="008D76BF" w:rsidRPr="00BF256D">
        <w:rPr>
          <w:rFonts w:hAnsi="SimSun"/>
          <w:sz w:val="24"/>
          <w:szCs w:val="24"/>
          <w:lang w:eastAsia="zh-CN"/>
        </w:rPr>
        <w:t>/6</w:t>
      </w:r>
      <w:r w:rsidR="008D76BF" w:rsidRPr="00BF256D">
        <w:rPr>
          <w:rFonts w:ascii="SimSun" w:eastAsia="SimSun" w:hAnsi="SimSun" w:cs="SimSun" w:hint="eastAsia"/>
          <w:sz w:val="24"/>
          <w:szCs w:val="24"/>
          <w:lang w:eastAsia="zh-CN"/>
        </w:rPr>
        <w:t>号建议</w:t>
      </w:r>
      <w:r w:rsidR="008D76BF">
        <w:rPr>
          <w:rFonts w:ascii="SimSun" w:eastAsia="SimSun" w:hAnsi="SimSun" w:cs="SimSun" w:hint="eastAsia"/>
          <w:sz w:val="24"/>
          <w:szCs w:val="24"/>
          <w:lang w:eastAsia="zh-CN"/>
        </w:rPr>
        <w:t>编制的</w:t>
      </w:r>
      <w:r w:rsidR="008D76BF" w:rsidRPr="00BF256D">
        <w:rPr>
          <w:rFonts w:ascii="SimSun" w:eastAsia="SimSun" w:hAnsi="SimSun" w:cs="SimSun" w:hint="eastAsia"/>
          <w:sz w:val="24"/>
          <w:szCs w:val="24"/>
          <w:lang w:eastAsia="zh-CN"/>
        </w:rPr>
        <w:t>决定草案。</w:t>
      </w:r>
    </w:p>
    <w:p w:rsidR="008D76BF" w:rsidRPr="00EE02DB" w:rsidRDefault="008D76BF" w:rsidP="00750ECD">
      <w:pPr>
        <w:pStyle w:val="Para1"/>
        <w:numPr>
          <w:ilvl w:val="0"/>
          <w:numId w:val="9"/>
        </w:numPr>
        <w:tabs>
          <w:tab w:val="clear" w:pos="360"/>
          <w:tab w:val="left" w:pos="720"/>
        </w:tabs>
        <w:ind w:firstLine="0"/>
        <w:rPr>
          <w:rFonts w:hAnsi="SimSun"/>
          <w:sz w:val="24"/>
          <w:szCs w:val="24"/>
          <w:lang w:eastAsia="zh-CN"/>
        </w:rPr>
      </w:pPr>
      <w:r w:rsidRPr="00BF256D">
        <w:rPr>
          <w:rFonts w:ascii="SimSun" w:eastAsia="SimSun" w:hAnsi="SimSun" w:cs="SimSun" w:hint="eastAsia"/>
          <w:sz w:val="24"/>
          <w:szCs w:val="24"/>
          <w:lang w:eastAsia="zh-CN"/>
        </w:rPr>
        <w:t>以下国家的代表</w:t>
      </w:r>
      <w:r w:rsidR="006952B0">
        <w:rPr>
          <w:rFonts w:ascii="SimSun" w:eastAsia="SimSun" w:hAnsi="SimSun" w:cs="SimSun" w:hint="eastAsia"/>
          <w:sz w:val="24"/>
          <w:szCs w:val="24"/>
          <w:lang w:eastAsia="zh-CN"/>
        </w:rPr>
        <w:t>作了发言</w:t>
      </w:r>
      <w:r w:rsidRPr="00BF256D">
        <w:rPr>
          <w:rFonts w:ascii="SimSun" w:eastAsia="SimSun" w:hAnsi="SimSun" w:cs="SimSun" w:hint="eastAsia"/>
          <w:sz w:val="24"/>
          <w:szCs w:val="24"/>
          <w:lang w:eastAsia="zh-CN"/>
        </w:rPr>
        <w:t>：阿根廷、巴西、加拿大、哥伦比亚、哥斯达黎加、埃及、欧洲联盟及其</w:t>
      </w:r>
      <w:r w:rsidRPr="00BF256D">
        <w:rPr>
          <w:rFonts w:hAnsi="SimSun"/>
          <w:sz w:val="24"/>
          <w:szCs w:val="24"/>
          <w:lang w:eastAsia="zh-CN"/>
        </w:rPr>
        <w:t>28</w:t>
      </w:r>
      <w:r w:rsidRPr="00BF256D">
        <w:rPr>
          <w:rFonts w:ascii="SimSun" w:eastAsia="SimSun" w:hAnsi="SimSun" w:cs="SimSun" w:hint="eastAsia"/>
          <w:sz w:val="24"/>
          <w:szCs w:val="24"/>
          <w:lang w:eastAsia="zh-CN"/>
        </w:rPr>
        <w:t>个成员国、加蓬、印度尼西亚、牙买加、马尔代夫、挪威、帕劳、菲律宾、大韩民国、新加坡、南非、瑞士、土耳其和委内瑞拉玻利瓦尔共和国。</w:t>
      </w:r>
    </w:p>
    <w:p w:rsidR="008D76BF" w:rsidRPr="00EE02DB" w:rsidRDefault="008D76BF" w:rsidP="00750ECD">
      <w:pPr>
        <w:pStyle w:val="Para1"/>
        <w:numPr>
          <w:ilvl w:val="0"/>
          <w:numId w:val="9"/>
        </w:numPr>
        <w:tabs>
          <w:tab w:val="clear" w:pos="360"/>
          <w:tab w:val="left" w:pos="720"/>
        </w:tabs>
        <w:ind w:firstLine="0"/>
        <w:rPr>
          <w:rFonts w:hAnsi="SimSun"/>
          <w:sz w:val="24"/>
          <w:szCs w:val="24"/>
          <w:lang w:eastAsia="zh-CN"/>
        </w:rPr>
      </w:pPr>
      <w:r w:rsidRPr="00733957">
        <w:rPr>
          <w:rFonts w:eastAsia="SimSun"/>
          <w:sz w:val="24"/>
          <w:szCs w:val="24"/>
          <w:lang w:eastAsia="zh-CN"/>
        </w:rPr>
        <w:t>工作组在</w:t>
      </w:r>
      <w:r w:rsidRPr="00733957">
        <w:rPr>
          <w:rFonts w:eastAsia="SimSun"/>
          <w:sz w:val="24"/>
          <w:szCs w:val="24"/>
          <w:lang w:eastAsia="zh-CN"/>
        </w:rPr>
        <w:t>2018</w:t>
      </w:r>
      <w:r w:rsidRPr="00733957">
        <w:rPr>
          <w:rFonts w:eastAsia="SimSun"/>
          <w:sz w:val="24"/>
          <w:szCs w:val="24"/>
          <w:lang w:eastAsia="zh-CN"/>
        </w:rPr>
        <w:t>年</w:t>
      </w:r>
      <w:r w:rsidRPr="00733957">
        <w:rPr>
          <w:rFonts w:eastAsia="SimSun"/>
          <w:sz w:val="24"/>
          <w:szCs w:val="24"/>
          <w:lang w:eastAsia="zh-CN"/>
        </w:rPr>
        <w:t>11</w:t>
      </w:r>
      <w:r w:rsidRPr="00733957">
        <w:rPr>
          <w:rFonts w:eastAsia="SimSun"/>
          <w:sz w:val="24"/>
          <w:szCs w:val="24"/>
          <w:lang w:eastAsia="zh-CN"/>
        </w:rPr>
        <w:t>月</w:t>
      </w:r>
      <w:r w:rsidRPr="00733957">
        <w:rPr>
          <w:rFonts w:eastAsia="SimSun"/>
          <w:sz w:val="24"/>
          <w:szCs w:val="24"/>
          <w:lang w:eastAsia="zh-CN"/>
        </w:rPr>
        <w:t>21</w:t>
      </w:r>
      <w:r w:rsidR="004375B9">
        <w:rPr>
          <w:rFonts w:eastAsia="SimSun"/>
          <w:sz w:val="24"/>
          <w:szCs w:val="24"/>
          <w:lang w:eastAsia="zh-CN"/>
        </w:rPr>
        <w:t>日</w:t>
      </w:r>
      <w:r w:rsidR="004375B9">
        <w:rPr>
          <w:rFonts w:eastAsia="SimSun" w:hint="eastAsia"/>
          <w:sz w:val="24"/>
          <w:szCs w:val="24"/>
          <w:lang w:eastAsia="zh-CN"/>
        </w:rPr>
        <w:t>其</w:t>
      </w:r>
      <w:r w:rsidRPr="00733957">
        <w:rPr>
          <w:rFonts w:eastAsia="SimSun"/>
          <w:sz w:val="24"/>
          <w:szCs w:val="24"/>
          <w:lang w:eastAsia="zh-CN"/>
        </w:rPr>
        <w:t>第</w:t>
      </w:r>
      <w:r w:rsidRPr="00733957">
        <w:rPr>
          <w:rFonts w:eastAsia="SimSun"/>
          <w:sz w:val="24"/>
          <w:szCs w:val="24"/>
          <w:lang w:eastAsia="zh-CN"/>
        </w:rPr>
        <w:t>6</w:t>
      </w:r>
      <w:r>
        <w:rPr>
          <w:rFonts w:ascii="SimSun" w:eastAsia="SimSun" w:hAnsi="SimSun" w:cs="SimSun" w:hint="eastAsia"/>
          <w:sz w:val="24"/>
          <w:szCs w:val="24"/>
          <w:lang w:eastAsia="zh-CN"/>
        </w:rPr>
        <w:t>场会议上恢复审议这个项目。</w:t>
      </w:r>
    </w:p>
    <w:p w:rsidR="008D76BF" w:rsidRPr="00EE02DB" w:rsidRDefault="004375B9" w:rsidP="00750ECD">
      <w:pPr>
        <w:pStyle w:val="Para1"/>
        <w:numPr>
          <w:ilvl w:val="0"/>
          <w:numId w:val="9"/>
        </w:numPr>
        <w:tabs>
          <w:tab w:val="clear" w:pos="360"/>
          <w:tab w:val="left" w:pos="720"/>
        </w:tabs>
        <w:ind w:firstLine="0"/>
        <w:rPr>
          <w:rFonts w:hAnsi="SimSun"/>
          <w:sz w:val="24"/>
          <w:szCs w:val="24"/>
          <w:lang w:eastAsia="zh-CN"/>
        </w:rPr>
      </w:pPr>
      <w:r w:rsidRPr="00BF256D">
        <w:rPr>
          <w:rFonts w:ascii="SimSun" w:eastAsia="SimSun" w:hAnsi="SimSun" w:cs="SimSun" w:hint="eastAsia"/>
          <w:sz w:val="24"/>
          <w:szCs w:val="24"/>
          <w:lang w:eastAsia="zh-CN"/>
        </w:rPr>
        <w:t>以下国家的代表</w:t>
      </w:r>
      <w:r>
        <w:rPr>
          <w:rFonts w:ascii="SimSun" w:eastAsia="SimSun" w:hAnsi="SimSun" w:cs="SimSun" w:hint="eastAsia"/>
          <w:sz w:val="24"/>
          <w:szCs w:val="24"/>
          <w:lang w:eastAsia="zh-CN"/>
        </w:rPr>
        <w:t>作了发言</w:t>
      </w:r>
      <w:r w:rsidRPr="00BF256D">
        <w:rPr>
          <w:rFonts w:ascii="SimSun" w:eastAsia="SimSun" w:hAnsi="SimSun" w:cs="SimSun" w:hint="eastAsia"/>
          <w:sz w:val="24"/>
          <w:szCs w:val="24"/>
          <w:lang w:eastAsia="zh-CN"/>
        </w:rPr>
        <w:t>：</w:t>
      </w:r>
      <w:r w:rsidR="008D76BF" w:rsidRPr="00EE02DB">
        <w:rPr>
          <w:rFonts w:ascii="SimSun" w:eastAsia="SimSun" w:hAnsi="SimSun" w:cs="SimSun" w:hint="eastAsia"/>
          <w:sz w:val="24"/>
          <w:szCs w:val="24"/>
          <w:lang w:eastAsia="zh-CN"/>
        </w:rPr>
        <w:t>阿尔及利亚、巴林、智利、中国、科特迪瓦、危地马拉、冰岛、印度、日本、毛里塔尼亚、墨西哥、摩洛哥、新西兰、沙特阿拉伯、塞内加尔、塞舌尔、阿拉伯联合酋长国和乌拉圭</w:t>
      </w:r>
      <w:r w:rsidR="008D76BF">
        <w:rPr>
          <w:rFonts w:ascii="SimSun" w:eastAsia="SimSun" w:hAnsi="SimSun" w:cs="SimSun" w:hint="eastAsia"/>
          <w:sz w:val="24"/>
          <w:szCs w:val="24"/>
          <w:lang w:eastAsia="zh-CN"/>
        </w:rPr>
        <w:t>。</w:t>
      </w:r>
    </w:p>
    <w:p w:rsidR="008D76BF" w:rsidRPr="00EE02DB" w:rsidRDefault="008D76B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lastRenderedPageBreak/>
        <w:t>联合国海洋法公约</w:t>
      </w:r>
      <w:r w:rsidRPr="00EE02DB">
        <w:rPr>
          <w:rFonts w:ascii="SimSun" w:eastAsia="SimSun" w:hAnsi="SimSun" w:cs="SimSun" w:hint="eastAsia"/>
          <w:sz w:val="24"/>
          <w:szCs w:val="24"/>
          <w:lang w:eastAsia="zh-CN"/>
        </w:rPr>
        <w:t>海洋事务和海洋法司</w:t>
      </w:r>
      <w:r>
        <w:rPr>
          <w:rFonts w:ascii="SimSun" w:eastAsia="SimSun" w:hAnsi="SimSun" w:cs="SimSun" w:hint="eastAsia"/>
          <w:sz w:val="24"/>
          <w:szCs w:val="24"/>
          <w:lang w:eastAsia="zh-CN"/>
        </w:rPr>
        <w:t>的代表也</w:t>
      </w:r>
      <w:r w:rsidR="006952B0">
        <w:rPr>
          <w:rFonts w:ascii="SimSun" w:eastAsia="SimSun" w:hAnsi="SimSun" w:cs="SimSun" w:hint="eastAsia"/>
          <w:sz w:val="24"/>
          <w:szCs w:val="24"/>
          <w:lang w:eastAsia="zh-CN"/>
        </w:rPr>
        <w:t>作了发言</w:t>
      </w:r>
      <w:r>
        <w:rPr>
          <w:rFonts w:ascii="SimSun" w:eastAsia="SimSun" w:hAnsi="SimSun" w:cs="SimSun" w:hint="eastAsia"/>
          <w:sz w:val="24"/>
          <w:szCs w:val="24"/>
          <w:lang w:eastAsia="zh-CN"/>
        </w:rPr>
        <w:t>。</w:t>
      </w:r>
    </w:p>
    <w:p w:rsidR="008D76BF" w:rsidRPr="00780084" w:rsidRDefault="008D76BF" w:rsidP="00750ECD">
      <w:pPr>
        <w:pStyle w:val="Para1"/>
        <w:numPr>
          <w:ilvl w:val="0"/>
          <w:numId w:val="9"/>
        </w:numPr>
        <w:tabs>
          <w:tab w:val="clear" w:pos="360"/>
          <w:tab w:val="left" w:pos="720"/>
        </w:tabs>
        <w:ind w:firstLine="0"/>
        <w:rPr>
          <w:rFonts w:eastAsia="SimSun"/>
          <w:sz w:val="24"/>
          <w:szCs w:val="24"/>
          <w:lang w:eastAsia="zh-CN"/>
        </w:rPr>
      </w:pPr>
      <w:r w:rsidRPr="00780084">
        <w:rPr>
          <w:rFonts w:eastAsia="SimSun" w:hAnsi="SimSun" w:hint="eastAsia"/>
          <w:sz w:val="24"/>
          <w:szCs w:val="24"/>
          <w:lang w:eastAsia="zh-CN"/>
        </w:rPr>
        <w:t>禽鸟生命国际组织、全球青年生物多样性网络（</w:t>
      </w:r>
      <w:r w:rsidRPr="00780084">
        <w:rPr>
          <w:rFonts w:eastAsia="SimSun"/>
          <w:sz w:val="24"/>
          <w:szCs w:val="24"/>
          <w:lang w:eastAsia="zh-CN"/>
        </w:rPr>
        <w:t>GYBN</w:t>
      </w:r>
      <w:r w:rsidRPr="00780084">
        <w:rPr>
          <w:rFonts w:eastAsia="SimSun" w:hAnsi="SimSun" w:hint="eastAsia"/>
          <w:sz w:val="24"/>
          <w:szCs w:val="24"/>
          <w:lang w:eastAsia="zh-CN"/>
        </w:rPr>
        <w:t>）、生物多样性问题国际土著论坛（</w:t>
      </w:r>
      <w:r w:rsidRPr="00780084">
        <w:rPr>
          <w:rFonts w:eastAsia="SimSun"/>
          <w:sz w:val="24"/>
          <w:szCs w:val="24"/>
          <w:lang w:eastAsia="zh-CN"/>
        </w:rPr>
        <w:t>IIFB</w:t>
      </w:r>
      <w:r w:rsidRPr="00780084">
        <w:rPr>
          <w:rFonts w:eastAsia="SimSun" w:hAnsi="SimSun" w:hint="eastAsia"/>
          <w:sz w:val="24"/>
          <w:szCs w:val="24"/>
          <w:lang w:eastAsia="zh-CN"/>
        </w:rPr>
        <w:t>）、国际捕鲸委员会和世界野生动物自然基金会（</w:t>
      </w:r>
      <w:r w:rsidRPr="00780084">
        <w:rPr>
          <w:rFonts w:eastAsia="SimSun"/>
          <w:sz w:val="24"/>
          <w:szCs w:val="24"/>
          <w:lang w:eastAsia="zh-CN"/>
        </w:rPr>
        <w:t>WWF</w:t>
      </w:r>
      <w:r w:rsidRPr="00780084">
        <w:rPr>
          <w:rFonts w:eastAsia="SimSun" w:hAnsi="SimSun" w:hint="eastAsia"/>
          <w:sz w:val="24"/>
          <w:szCs w:val="24"/>
          <w:lang w:eastAsia="zh-CN"/>
        </w:rPr>
        <w:t>）（也代表大自然保护协会）的代表还</w:t>
      </w:r>
      <w:r w:rsidR="006952B0">
        <w:rPr>
          <w:rFonts w:eastAsia="SimSun" w:hAnsi="SimSun" w:hint="eastAsia"/>
          <w:sz w:val="24"/>
          <w:szCs w:val="24"/>
          <w:lang w:eastAsia="zh-CN"/>
        </w:rPr>
        <w:t>作了发言</w:t>
      </w:r>
      <w:r w:rsidRPr="00780084">
        <w:rPr>
          <w:rFonts w:eastAsia="SimSun" w:hAnsi="SimSun" w:hint="eastAsia"/>
          <w:sz w:val="24"/>
          <w:szCs w:val="24"/>
          <w:lang w:eastAsia="zh-CN"/>
        </w:rPr>
        <w:t>。</w:t>
      </w:r>
    </w:p>
    <w:p w:rsidR="008D76BF" w:rsidRPr="00C3501E" w:rsidRDefault="008D76BF" w:rsidP="00750ECD">
      <w:pPr>
        <w:pStyle w:val="ListParagraph"/>
        <w:tabs>
          <w:tab w:val="left" w:pos="720"/>
        </w:tabs>
        <w:kinsoku w:val="0"/>
        <w:overflowPunct w:val="0"/>
        <w:autoSpaceDE w:val="0"/>
        <w:autoSpaceDN w:val="0"/>
        <w:adjustRightInd w:val="0"/>
        <w:snapToGrid w:val="0"/>
        <w:spacing w:line="240" w:lineRule="atLeast"/>
        <w:ind w:left="0" w:firstLine="0"/>
        <w:rPr>
          <w:rFonts w:eastAsiaTheme="minorEastAsia"/>
          <w:b/>
          <w:kern w:val="22"/>
          <w:lang w:val="en-CA" w:eastAsia="zh-CN"/>
        </w:rPr>
      </w:pPr>
      <w:r w:rsidRPr="00C3501E">
        <w:rPr>
          <w:rFonts w:eastAsiaTheme="minorEastAsia"/>
          <w:b/>
          <w:kern w:val="22"/>
          <w:lang w:val="en-CA" w:eastAsia="zh-CN"/>
        </w:rPr>
        <w:t>海洋和沿海生物多样性其他事项</w:t>
      </w:r>
    </w:p>
    <w:p w:rsidR="008D76BF" w:rsidRPr="00BF256D" w:rsidRDefault="00C3501E"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val="en-CA" w:eastAsia="zh-CN"/>
        </w:rPr>
        <w:t>继工作组</w:t>
      </w:r>
      <w:r w:rsidR="008D76BF" w:rsidRPr="00BF256D">
        <w:rPr>
          <w:rFonts w:hAnsi="SimSun"/>
          <w:sz w:val="24"/>
          <w:szCs w:val="24"/>
          <w:lang w:eastAsia="zh-CN"/>
        </w:rPr>
        <w:t>2018</w:t>
      </w:r>
      <w:r w:rsidR="008D76BF" w:rsidRPr="00BF256D">
        <w:rPr>
          <w:rFonts w:ascii="SimSun" w:eastAsia="SimSun" w:hAnsi="SimSun" w:cs="SimSun" w:hint="eastAsia"/>
          <w:sz w:val="24"/>
          <w:szCs w:val="24"/>
          <w:lang w:eastAsia="zh-CN"/>
        </w:rPr>
        <w:t>年</w:t>
      </w:r>
      <w:r w:rsidR="008D76BF" w:rsidRPr="00BF256D">
        <w:rPr>
          <w:rFonts w:hAnsi="SimSun"/>
          <w:sz w:val="24"/>
          <w:szCs w:val="24"/>
          <w:lang w:eastAsia="zh-CN"/>
        </w:rPr>
        <w:t>11</w:t>
      </w:r>
      <w:r w:rsidR="008D76BF" w:rsidRPr="00BF256D">
        <w:rPr>
          <w:rFonts w:ascii="SimSun" w:eastAsia="SimSun" w:hAnsi="SimSun" w:cs="SimSun" w:hint="eastAsia"/>
          <w:sz w:val="24"/>
          <w:szCs w:val="24"/>
          <w:lang w:eastAsia="zh-CN"/>
        </w:rPr>
        <w:t>月</w:t>
      </w:r>
      <w:r w:rsidR="008D76BF" w:rsidRPr="00BF256D">
        <w:rPr>
          <w:rFonts w:hAnsi="SimSun"/>
          <w:sz w:val="24"/>
          <w:szCs w:val="24"/>
          <w:lang w:eastAsia="zh-CN"/>
        </w:rPr>
        <w:t>20</w:t>
      </w:r>
      <w:r w:rsidR="008D76BF" w:rsidRPr="00BF256D">
        <w:rPr>
          <w:rFonts w:ascii="SimSun" w:eastAsia="SimSun" w:hAnsi="SimSun" w:cs="SimSun" w:hint="eastAsia"/>
          <w:sz w:val="24"/>
          <w:szCs w:val="24"/>
          <w:lang w:eastAsia="zh-CN"/>
        </w:rPr>
        <w:t>日第</w:t>
      </w:r>
      <w:r w:rsidR="008D76BF" w:rsidRPr="00BF256D">
        <w:rPr>
          <w:rFonts w:hAnsi="SimSun"/>
          <w:sz w:val="24"/>
          <w:szCs w:val="24"/>
          <w:lang w:eastAsia="zh-CN"/>
        </w:rPr>
        <w:t>5</w:t>
      </w:r>
      <w:r>
        <w:rPr>
          <w:rFonts w:ascii="SimSun" w:eastAsia="SimSun" w:hAnsi="SimSun" w:cs="SimSun" w:hint="eastAsia"/>
          <w:sz w:val="24"/>
          <w:szCs w:val="24"/>
          <w:lang w:eastAsia="zh-CN"/>
        </w:rPr>
        <w:t>次会议</w:t>
      </w:r>
      <w:r w:rsidR="008D76BF" w:rsidRPr="00BF256D">
        <w:rPr>
          <w:rFonts w:ascii="SimSun" w:eastAsia="SimSun" w:hAnsi="SimSun" w:cs="SimSun" w:hint="eastAsia"/>
          <w:sz w:val="24"/>
          <w:szCs w:val="24"/>
          <w:lang w:eastAsia="zh-CN"/>
        </w:rPr>
        <w:t>交换意见后，主席表示，她将就海洋和沿海生物多样性其他事项编写一份订正决定草案，供工作组审议。</w:t>
      </w:r>
    </w:p>
    <w:p w:rsidR="008D76BF" w:rsidRPr="00BF256D"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BF256D">
        <w:rPr>
          <w:rFonts w:ascii="SimSun" w:eastAsia="SimSun" w:hAnsi="SimSun" w:cs="SimSun" w:hint="eastAsia"/>
          <w:sz w:val="24"/>
          <w:szCs w:val="24"/>
          <w:lang w:eastAsia="zh-CN"/>
        </w:rPr>
        <w:t>在</w:t>
      </w:r>
      <w:r w:rsidR="008D76BF" w:rsidRPr="00BF256D">
        <w:rPr>
          <w:rFonts w:hAnsi="SimSun"/>
          <w:sz w:val="24"/>
          <w:szCs w:val="24"/>
          <w:lang w:eastAsia="zh-CN"/>
        </w:rPr>
        <w:t>2018</w:t>
      </w:r>
      <w:r w:rsidR="008D76BF" w:rsidRPr="00BF256D">
        <w:rPr>
          <w:rFonts w:ascii="SimSun" w:eastAsia="SimSun" w:hAnsi="SimSun" w:cs="SimSun" w:hint="eastAsia"/>
          <w:sz w:val="24"/>
          <w:szCs w:val="24"/>
          <w:lang w:eastAsia="zh-CN"/>
        </w:rPr>
        <w:t>年</w:t>
      </w:r>
      <w:r w:rsidR="008D76BF" w:rsidRPr="00BF256D">
        <w:rPr>
          <w:rFonts w:hAnsi="SimSun"/>
          <w:sz w:val="24"/>
          <w:szCs w:val="24"/>
          <w:lang w:eastAsia="zh-CN"/>
        </w:rPr>
        <w:t>11</w:t>
      </w:r>
      <w:r w:rsidR="008D76BF" w:rsidRPr="00BF256D">
        <w:rPr>
          <w:rFonts w:ascii="SimSun" w:eastAsia="SimSun" w:hAnsi="SimSun" w:cs="SimSun" w:hint="eastAsia"/>
          <w:sz w:val="24"/>
          <w:szCs w:val="24"/>
          <w:lang w:eastAsia="zh-CN"/>
        </w:rPr>
        <w:t>月</w:t>
      </w:r>
      <w:r w:rsidR="008D76BF" w:rsidRPr="00BF256D">
        <w:rPr>
          <w:rFonts w:hAnsi="SimSun"/>
          <w:sz w:val="24"/>
          <w:szCs w:val="24"/>
          <w:lang w:eastAsia="zh-CN"/>
        </w:rPr>
        <w:t>27</w:t>
      </w:r>
      <w:r w:rsidR="008D76BF" w:rsidRPr="00BF256D">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BF256D">
        <w:rPr>
          <w:rFonts w:ascii="SimSun" w:eastAsia="SimSun" w:hAnsi="SimSun" w:cs="SimSun" w:hint="eastAsia"/>
          <w:sz w:val="24"/>
          <w:szCs w:val="24"/>
          <w:lang w:eastAsia="zh-CN"/>
        </w:rPr>
        <w:t>第</w:t>
      </w:r>
      <w:r w:rsidR="008D76BF" w:rsidRPr="00BF256D">
        <w:rPr>
          <w:rFonts w:hAnsi="SimSun"/>
          <w:sz w:val="24"/>
          <w:szCs w:val="24"/>
          <w:lang w:eastAsia="zh-CN"/>
        </w:rPr>
        <w:t>14</w:t>
      </w:r>
      <w:r w:rsidR="008D76BF" w:rsidRPr="00BF256D">
        <w:rPr>
          <w:rFonts w:ascii="SimSun" w:eastAsia="SimSun" w:hAnsi="SimSun" w:cs="SimSun" w:hint="eastAsia"/>
          <w:sz w:val="24"/>
          <w:szCs w:val="24"/>
          <w:lang w:eastAsia="zh-CN"/>
        </w:rPr>
        <w:t>场会议上审议了主席提交的订正决定草案。</w:t>
      </w:r>
    </w:p>
    <w:p w:rsidR="008D76BF" w:rsidRPr="00BF256D" w:rsidRDefault="008D76BF" w:rsidP="00750ECD">
      <w:pPr>
        <w:pStyle w:val="Para1"/>
        <w:numPr>
          <w:ilvl w:val="0"/>
          <w:numId w:val="9"/>
        </w:numPr>
        <w:tabs>
          <w:tab w:val="clear" w:pos="360"/>
          <w:tab w:val="left" w:pos="720"/>
        </w:tabs>
        <w:ind w:firstLine="0"/>
        <w:rPr>
          <w:rFonts w:hAnsi="SimSun"/>
          <w:sz w:val="24"/>
          <w:szCs w:val="24"/>
          <w:lang w:eastAsia="zh-CN"/>
        </w:rPr>
      </w:pPr>
      <w:r w:rsidRPr="00BF256D">
        <w:rPr>
          <w:rFonts w:ascii="SimSun" w:eastAsia="SimSun" w:hAnsi="SimSun" w:cs="SimSun" w:hint="eastAsia"/>
          <w:sz w:val="24"/>
          <w:szCs w:val="24"/>
          <w:lang w:eastAsia="zh-CN"/>
        </w:rPr>
        <w:t>下列国家代表</w:t>
      </w:r>
      <w:r w:rsidR="006952B0">
        <w:rPr>
          <w:rFonts w:ascii="SimSun" w:eastAsia="SimSun" w:hAnsi="SimSun" w:cs="SimSun" w:hint="eastAsia"/>
          <w:sz w:val="24"/>
          <w:szCs w:val="24"/>
          <w:lang w:eastAsia="zh-CN"/>
        </w:rPr>
        <w:t>作了发言</w:t>
      </w:r>
      <w:r w:rsidRPr="00BF256D">
        <w:rPr>
          <w:rFonts w:ascii="SimSun" w:eastAsia="SimSun" w:hAnsi="SimSun" w:cs="SimSun" w:hint="eastAsia"/>
          <w:sz w:val="24"/>
          <w:szCs w:val="24"/>
          <w:lang w:eastAsia="zh-CN"/>
        </w:rPr>
        <w:t>：奥地利、贝宁、加拿大、欧洲联盟及其</w:t>
      </w:r>
      <w:r w:rsidRPr="00BF256D">
        <w:rPr>
          <w:rFonts w:hAnsi="SimSun"/>
          <w:sz w:val="24"/>
          <w:szCs w:val="24"/>
          <w:lang w:eastAsia="zh-CN"/>
        </w:rPr>
        <w:t>28</w:t>
      </w:r>
      <w:r w:rsidRPr="00BF256D">
        <w:rPr>
          <w:rFonts w:ascii="SimSun" w:eastAsia="SimSun" w:hAnsi="SimSun" w:cs="SimSun" w:hint="eastAsia"/>
          <w:sz w:val="24"/>
          <w:szCs w:val="24"/>
          <w:lang w:eastAsia="zh-CN"/>
        </w:rPr>
        <w:t>个成员国、摩洛哥、塞舌尔和南非。</w:t>
      </w:r>
    </w:p>
    <w:p w:rsidR="008D76BF" w:rsidRPr="00BF256D" w:rsidRDefault="008D76BF" w:rsidP="00750ECD">
      <w:pPr>
        <w:pStyle w:val="Para1"/>
        <w:numPr>
          <w:ilvl w:val="0"/>
          <w:numId w:val="9"/>
        </w:numPr>
        <w:tabs>
          <w:tab w:val="clear" w:pos="360"/>
          <w:tab w:val="left" w:pos="720"/>
        </w:tabs>
        <w:ind w:firstLine="0"/>
        <w:rPr>
          <w:rFonts w:hAnsi="SimSun"/>
          <w:sz w:val="24"/>
          <w:szCs w:val="24"/>
          <w:lang w:eastAsia="zh-CN"/>
        </w:rPr>
      </w:pPr>
      <w:r w:rsidRPr="00BF256D">
        <w:rPr>
          <w:rFonts w:ascii="SimSun" w:eastAsia="SimSun" w:hAnsi="SimSun" w:cs="SimSun" w:hint="eastAsia"/>
          <w:sz w:val="24"/>
          <w:szCs w:val="24"/>
          <w:lang w:eastAsia="zh-CN"/>
        </w:rPr>
        <w:t>经交换意见后，经口头订正的决定草案获得通过，将作为决定草案</w:t>
      </w:r>
      <w:r w:rsidRPr="00BF256D">
        <w:rPr>
          <w:rFonts w:hAnsi="SimSun"/>
          <w:sz w:val="24"/>
          <w:szCs w:val="24"/>
          <w:lang w:eastAsia="zh-CN"/>
        </w:rPr>
        <w:t>CBD/COP/14/L.24</w:t>
      </w:r>
      <w:r w:rsidRPr="00BF256D">
        <w:rPr>
          <w:rFonts w:ascii="SimSun" w:eastAsia="SimSun" w:hAnsi="SimSun" w:cs="SimSun" w:hint="eastAsia"/>
          <w:sz w:val="24"/>
          <w:szCs w:val="24"/>
          <w:lang w:eastAsia="zh-CN"/>
        </w:rPr>
        <w:t>转交全体会议。</w:t>
      </w:r>
    </w:p>
    <w:p w:rsidR="00C3501E" w:rsidRPr="00B5651D" w:rsidRDefault="00C3501E" w:rsidP="00C3501E">
      <w:pPr>
        <w:pStyle w:val="Para1"/>
        <w:numPr>
          <w:ilvl w:val="0"/>
          <w:numId w:val="9"/>
        </w:numPr>
        <w:tabs>
          <w:tab w:val="clear" w:pos="360"/>
          <w:tab w:val="left" w:pos="720"/>
        </w:tabs>
        <w:ind w:firstLine="0"/>
        <w:rPr>
          <w:rFonts w:eastAsia="SimSun"/>
          <w:sz w:val="24"/>
          <w:szCs w:val="24"/>
          <w:lang w:eastAsia="zh-CN"/>
        </w:rPr>
      </w:pPr>
      <w:r w:rsidRPr="00972641">
        <w:rPr>
          <w:rFonts w:ascii="SimSun" w:eastAsia="SimSun" w:hAnsi="SimSun" w:cs="SimSun" w:hint="eastAsia"/>
          <w:sz w:val="24"/>
          <w:szCs w:val="24"/>
          <w:lang w:eastAsia="zh-CN"/>
        </w:rPr>
        <w:t>在</w:t>
      </w:r>
      <w:r w:rsidRPr="00972641">
        <w:rPr>
          <w:rFonts w:hAnsi="SimSun"/>
          <w:sz w:val="24"/>
          <w:szCs w:val="24"/>
          <w:lang w:eastAsia="zh-CN"/>
        </w:rPr>
        <w:t>2018</w:t>
      </w:r>
      <w:r w:rsidRPr="00972641">
        <w:rPr>
          <w:rFonts w:ascii="SimSun" w:eastAsia="SimSun" w:hAnsi="SimSun" w:cs="SimSun" w:hint="eastAsia"/>
          <w:sz w:val="24"/>
          <w:szCs w:val="24"/>
          <w:lang w:eastAsia="zh-CN"/>
        </w:rPr>
        <w:t>年</w:t>
      </w:r>
      <w:r w:rsidRPr="00972641">
        <w:rPr>
          <w:rFonts w:hAnsi="SimSun"/>
          <w:sz w:val="24"/>
          <w:szCs w:val="24"/>
          <w:lang w:eastAsia="zh-CN"/>
        </w:rPr>
        <w:t>11</w:t>
      </w:r>
      <w:r w:rsidRPr="00972641">
        <w:rPr>
          <w:rFonts w:ascii="SimSun" w:eastAsia="SimSun" w:hAnsi="SimSun" w:cs="SimSun" w:hint="eastAsia"/>
          <w:sz w:val="24"/>
          <w:szCs w:val="24"/>
          <w:lang w:eastAsia="zh-CN"/>
        </w:rPr>
        <w:t>月</w:t>
      </w:r>
      <w:r w:rsidRPr="00972641">
        <w:rPr>
          <w:rFonts w:hAnsi="SimSun"/>
          <w:sz w:val="24"/>
          <w:szCs w:val="24"/>
          <w:lang w:eastAsia="zh-CN"/>
        </w:rPr>
        <w:t>29</w:t>
      </w:r>
      <w:r w:rsidR="002D53D3">
        <w:rPr>
          <w:rFonts w:ascii="SimSun" w:eastAsia="SimSun" w:hAnsi="SimSun" w:cs="SimSun" w:hint="eastAsia"/>
          <w:sz w:val="24"/>
          <w:szCs w:val="24"/>
          <w:lang w:eastAsia="zh-CN"/>
        </w:rPr>
        <w:t>日会议的</w:t>
      </w:r>
      <w:r w:rsidRPr="00972641">
        <w:rPr>
          <w:rFonts w:ascii="SimSun" w:eastAsia="SimSun" w:hAnsi="SimSun" w:cs="SimSun" w:hint="eastAsia"/>
          <w:sz w:val="24"/>
          <w:szCs w:val="24"/>
          <w:lang w:eastAsia="zh-CN"/>
        </w:rPr>
        <w:t>第</w:t>
      </w:r>
      <w:r w:rsidRPr="00972641">
        <w:rPr>
          <w:rFonts w:hAnsi="SimSun"/>
          <w:sz w:val="24"/>
          <w:szCs w:val="24"/>
          <w:lang w:eastAsia="zh-CN"/>
        </w:rPr>
        <w:t>7</w:t>
      </w:r>
      <w:r w:rsidRPr="00972641">
        <w:rPr>
          <w:rFonts w:ascii="SimSun" w:eastAsia="SimSun" w:hAnsi="SimSun" w:cs="SimSun" w:hint="eastAsia"/>
          <w:sz w:val="24"/>
          <w:szCs w:val="24"/>
          <w:lang w:eastAsia="zh-CN"/>
        </w:rPr>
        <w:t>次全体会议上，</w:t>
      </w:r>
      <w:r>
        <w:rPr>
          <w:rFonts w:ascii="SimSun" w:eastAsia="SimSun" w:hAnsi="SimSun" w:cs="SimSun" w:hint="eastAsia"/>
          <w:sz w:val="24"/>
          <w:szCs w:val="24"/>
          <w:lang w:eastAsia="zh-CN"/>
        </w:rPr>
        <w:t>缔约方大会审议</w:t>
      </w:r>
      <w:r>
        <w:rPr>
          <w:rFonts w:ascii="SimSun" w:eastAsia="SimSun" w:hAnsi="SimSun" w:cs="SimSun"/>
          <w:sz w:val="24"/>
          <w:szCs w:val="24"/>
          <w:lang w:eastAsia="zh-CN"/>
        </w:rPr>
        <w:t>了</w:t>
      </w:r>
      <w:r>
        <w:rPr>
          <w:rFonts w:ascii="SimSun" w:eastAsia="SimSun" w:hAnsi="SimSun" w:cs="SimSun" w:hint="eastAsia"/>
          <w:sz w:val="24"/>
          <w:szCs w:val="24"/>
          <w:lang w:eastAsia="zh-CN"/>
        </w:rPr>
        <w:t>决定草案</w:t>
      </w:r>
      <w:r>
        <w:rPr>
          <w:rFonts w:eastAsia="SimSun"/>
          <w:sz w:val="24"/>
          <w:szCs w:val="24"/>
          <w:lang w:eastAsia="zh-CN"/>
        </w:rPr>
        <w:t>CBD/COP/14/L.2</w:t>
      </w:r>
      <w:r w:rsidR="00D2148E">
        <w:rPr>
          <w:rFonts w:eastAsia="SimSun"/>
          <w:sz w:val="24"/>
          <w:szCs w:val="24"/>
          <w:lang w:eastAsia="zh-CN"/>
        </w:rPr>
        <w:t>4</w:t>
      </w:r>
      <w:r>
        <w:rPr>
          <w:rFonts w:eastAsia="SimSun" w:hint="eastAsia"/>
          <w:sz w:val="24"/>
          <w:szCs w:val="24"/>
          <w:lang w:eastAsia="zh-CN"/>
        </w:rPr>
        <w:t>。</w:t>
      </w:r>
    </w:p>
    <w:p w:rsidR="00C3501E" w:rsidRPr="00B5651D" w:rsidRDefault="00C3501E" w:rsidP="00C3501E">
      <w:pPr>
        <w:pStyle w:val="Para1"/>
        <w:numPr>
          <w:ilvl w:val="0"/>
          <w:numId w:val="9"/>
        </w:numPr>
        <w:tabs>
          <w:tab w:val="clear" w:pos="360"/>
          <w:tab w:val="left" w:pos="720"/>
        </w:tabs>
        <w:ind w:firstLine="0"/>
        <w:rPr>
          <w:rFonts w:eastAsia="SimSun"/>
          <w:sz w:val="24"/>
          <w:szCs w:val="24"/>
          <w:lang w:eastAsia="zh-CN"/>
        </w:rPr>
      </w:pPr>
      <w:r>
        <w:rPr>
          <w:rFonts w:eastAsia="SimSun"/>
          <w:sz w:val="24"/>
          <w:szCs w:val="24"/>
          <w:lang w:eastAsia="zh-CN"/>
        </w:rPr>
        <w:t>墨西哥的代表作了发言。</w:t>
      </w:r>
      <w:r w:rsidRPr="00B5651D">
        <w:rPr>
          <w:rFonts w:eastAsia="SimSun"/>
          <w:sz w:val="24"/>
          <w:szCs w:val="24"/>
          <w:lang w:eastAsia="zh-CN"/>
        </w:rPr>
        <w:t xml:space="preserve"> </w:t>
      </w:r>
    </w:p>
    <w:p w:rsidR="00C3501E" w:rsidRPr="00972641" w:rsidRDefault="00C3501E" w:rsidP="00C3501E">
      <w:pPr>
        <w:pStyle w:val="Para1"/>
        <w:numPr>
          <w:ilvl w:val="0"/>
          <w:numId w:val="9"/>
        </w:numPr>
        <w:tabs>
          <w:tab w:val="clear" w:pos="360"/>
          <w:tab w:val="left" w:pos="720"/>
        </w:tabs>
        <w:ind w:firstLine="0"/>
        <w:rPr>
          <w:rFonts w:hAnsi="SimSun"/>
          <w:sz w:val="24"/>
          <w:szCs w:val="24"/>
          <w:lang w:eastAsia="zh-CN"/>
        </w:rPr>
      </w:pPr>
      <w:r w:rsidRPr="00972641">
        <w:rPr>
          <w:rFonts w:ascii="SimSun" w:eastAsia="SimSun" w:hAnsi="SimSun" w:cs="SimSun" w:hint="eastAsia"/>
          <w:sz w:val="24"/>
          <w:szCs w:val="24"/>
          <w:lang w:eastAsia="zh-CN"/>
        </w:rPr>
        <w:t>决定草案</w:t>
      </w:r>
      <w:r w:rsidRPr="00972641">
        <w:rPr>
          <w:rFonts w:hAnsi="SimSun"/>
          <w:sz w:val="24"/>
          <w:szCs w:val="24"/>
          <w:lang w:eastAsia="zh-CN"/>
        </w:rPr>
        <w:t>CBD/COP/14/L.</w:t>
      </w:r>
      <w:r>
        <w:rPr>
          <w:rFonts w:hAnsi="SimSun"/>
          <w:sz w:val="24"/>
          <w:szCs w:val="24"/>
          <w:lang w:eastAsia="zh-CN"/>
        </w:rPr>
        <w:t>2</w:t>
      </w:r>
      <w:r w:rsidR="00D2148E">
        <w:rPr>
          <w:rFonts w:hAnsi="SimSun"/>
          <w:sz w:val="24"/>
          <w:szCs w:val="24"/>
          <w:lang w:eastAsia="zh-CN"/>
        </w:rPr>
        <w:t>4</w:t>
      </w:r>
      <w:r w:rsidR="00D2148E">
        <w:rPr>
          <w:rFonts w:hAnsi="SimSun" w:hint="eastAsia"/>
          <w:sz w:val="24"/>
          <w:szCs w:val="24"/>
          <w:lang w:eastAsia="zh-CN"/>
        </w:rPr>
        <w:t>获得通过</w:t>
      </w:r>
      <w:r w:rsidRPr="00972641">
        <w:rPr>
          <w:rFonts w:ascii="SimSun" w:eastAsia="SimSun" w:hAnsi="SimSun" w:cs="SimSun" w:hint="eastAsia"/>
          <w:sz w:val="24"/>
          <w:szCs w:val="24"/>
          <w:lang w:eastAsia="zh-CN"/>
        </w:rPr>
        <w:t>，成为第</w:t>
      </w:r>
      <w:r w:rsidRPr="00972641">
        <w:rPr>
          <w:rFonts w:hAnsi="SimSun"/>
          <w:sz w:val="24"/>
          <w:szCs w:val="24"/>
          <w:lang w:eastAsia="zh-CN"/>
        </w:rPr>
        <w:t>14/</w:t>
      </w:r>
      <w:r w:rsidR="00D2148E">
        <w:rPr>
          <w:rFonts w:hAnsi="SimSun"/>
          <w:sz w:val="24"/>
          <w:szCs w:val="24"/>
          <w:lang w:eastAsia="zh-CN"/>
        </w:rPr>
        <w:t>10</w:t>
      </w:r>
      <w:r w:rsidRPr="00972641">
        <w:rPr>
          <w:rFonts w:ascii="SimSun" w:eastAsia="SimSun" w:hAnsi="SimSun" w:cs="SimSun" w:hint="eastAsia"/>
          <w:sz w:val="24"/>
          <w:szCs w:val="24"/>
          <w:lang w:eastAsia="zh-CN"/>
        </w:rPr>
        <w:t>号决定</w:t>
      </w:r>
      <w:r w:rsidRPr="00972641">
        <w:rPr>
          <w:rFonts w:eastAsiaTheme="minorEastAsia" w:hAnsi="SimSun"/>
          <w:sz w:val="24"/>
          <w:lang w:eastAsia="zh-CN"/>
        </w:rPr>
        <w:t>（案文见第一章）。</w:t>
      </w:r>
    </w:p>
    <w:p w:rsidR="008D76BF" w:rsidRPr="00C3501E" w:rsidRDefault="008D76BF" w:rsidP="00750ECD">
      <w:pPr>
        <w:pStyle w:val="ListParagraph"/>
        <w:tabs>
          <w:tab w:val="left" w:pos="720"/>
        </w:tabs>
        <w:kinsoku w:val="0"/>
        <w:overflowPunct w:val="0"/>
        <w:autoSpaceDE w:val="0"/>
        <w:autoSpaceDN w:val="0"/>
        <w:adjustRightInd w:val="0"/>
        <w:snapToGrid w:val="0"/>
        <w:spacing w:line="240" w:lineRule="atLeast"/>
        <w:ind w:left="0" w:firstLine="0"/>
        <w:rPr>
          <w:rFonts w:asciiTheme="minorEastAsia" w:eastAsiaTheme="minorEastAsia" w:hAnsiTheme="minorEastAsia"/>
          <w:b/>
          <w:kern w:val="22"/>
          <w:lang w:val="en-CA" w:eastAsia="zh-CN"/>
        </w:rPr>
      </w:pPr>
      <w:r w:rsidRPr="00C3501E">
        <w:rPr>
          <w:rFonts w:asciiTheme="minorEastAsia" w:eastAsiaTheme="minorEastAsia" w:hAnsiTheme="minorEastAsia" w:hint="eastAsia"/>
          <w:b/>
          <w:kern w:val="22"/>
          <w:lang w:val="en-CA" w:eastAsia="zh-CN"/>
        </w:rPr>
        <w:t>具有重要生态或生物意义的海洋区域</w:t>
      </w:r>
    </w:p>
    <w:p w:rsidR="008D76BF" w:rsidRPr="00BF256D" w:rsidRDefault="008D76BF" w:rsidP="00750ECD">
      <w:pPr>
        <w:pStyle w:val="Para1"/>
        <w:numPr>
          <w:ilvl w:val="0"/>
          <w:numId w:val="9"/>
        </w:numPr>
        <w:tabs>
          <w:tab w:val="clear" w:pos="360"/>
          <w:tab w:val="left" w:pos="720"/>
        </w:tabs>
        <w:ind w:firstLine="0"/>
        <w:rPr>
          <w:rFonts w:hAnsi="SimSun"/>
          <w:sz w:val="24"/>
          <w:szCs w:val="24"/>
          <w:lang w:eastAsia="zh-CN"/>
        </w:rPr>
      </w:pPr>
      <w:r w:rsidRPr="00BF256D">
        <w:rPr>
          <w:rFonts w:ascii="SimSun" w:eastAsia="SimSun" w:hAnsi="SimSun" w:cs="SimSun" w:hint="eastAsia"/>
          <w:sz w:val="24"/>
          <w:szCs w:val="24"/>
          <w:lang w:eastAsia="zh-CN"/>
        </w:rPr>
        <w:t>工作组在</w:t>
      </w:r>
      <w:r w:rsidRPr="00BF256D">
        <w:rPr>
          <w:rFonts w:hAnsi="SimSun"/>
          <w:sz w:val="24"/>
          <w:szCs w:val="24"/>
          <w:lang w:eastAsia="zh-CN"/>
        </w:rPr>
        <w:t>2018</w:t>
      </w:r>
      <w:r w:rsidRPr="00BF256D">
        <w:rPr>
          <w:rFonts w:ascii="SimSun" w:eastAsia="SimSun" w:hAnsi="SimSun" w:cs="SimSun" w:hint="eastAsia"/>
          <w:sz w:val="24"/>
          <w:szCs w:val="24"/>
          <w:lang w:eastAsia="zh-CN"/>
        </w:rPr>
        <w:t>年</w:t>
      </w:r>
      <w:r w:rsidRPr="00BF256D">
        <w:rPr>
          <w:rFonts w:hAnsi="SimSun"/>
          <w:sz w:val="24"/>
          <w:szCs w:val="24"/>
          <w:lang w:eastAsia="zh-CN"/>
        </w:rPr>
        <w:t>11</w:t>
      </w:r>
      <w:r w:rsidRPr="00BF256D">
        <w:rPr>
          <w:rFonts w:ascii="SimSun" w:eastAsia="SimSun" w:hAnsi="SimSun" w:cs="SimSun" w:hint="eastAsia"/>
          <w:sz w:val="24"/>
          <w:szCs w:val="24"/>
          <w:lang w:eastAsia="zh-CN"/>
        </w:rPr>
        <w:t>月</w:t>
      </w:r>
      <w:r w:rsidRPr="00BF256D">
        <w:rPr>
          <w:rFonts w:hAnsi="SimSun"/>
          <w:sz w:val="24"/>
          <w:szCs w:val="24"/>
          <w:lang w:eastAsia="zh-CN"/>
        </w:rPr>
        <w:t>21</w:t>
      </w:r>
      <w:r w:rsidRPr="00BF256D">
        <w:rPr>
          <w:rFonts w:ascii="SimSun" w:eastAsia="SimSun" w:hAnsi="SimSun" w:cs="SimSun" w:hint="eastAsia"/>
          <w:sz w:val="24"/>
          <w:szCs w:val="24"/>
          <w:lang w:eastAsia="zh-CN"/>
        </w:rPr>
        <w:t>日</w:t>
      </w:r>
      <w:r w:rsidR="002D53D3">
        <w:rPr>
          <w:rFonts w:ascii="SimSun" w:eastAsia="SimSun" w:hAnsi="SimSun" w:cs="SimSun" w:hint="eastAsia"/>
          <w:sz w:val="24"/>
          <w:szCs w:val="24"/>
          <w:lang w:eastAsia="zh-CN"/>
        </w:rPr>
        <w:t>其</w:t>
      </w:r>
      <w:r w:rsidRPr="00BF256D">
        <w:rPr>
          <w:rFonts w:ascii="SimSun" w:eastAsia="SimSun" w:hAnsi="SimSun" w:cs="SimSun" w:hint="eastAsia"/>
          <w:sz w:val="24"/>
          <w:szCs w:val="24"/>
          <w:lang w:eastAsia="zh-CN"/>
        </w:rPr>
        <w:t>第</w:t>
      </w:r>
      <w:r w:rsidRPr="00BF256D">
        <w:rPr>
          <w:rFonts w:hAnsi="SimSun"/>
          <w:sz w:val="24"/>
          <w:szCs w:val="24"/>
          <w:lang w:eastAsia="zh-CN"/>
        </w:rPr>
        <w:t>6</w:t>
      </w:r>
      <w:r w:rsidRPr="00BF256D">
        <w:rPr>
          <w:rFonts w:ascii="SimSun" w:eastAsia="SimSun" w:hAnsi="SimSun" w:cs="SimSun" w:hint="eastAsia"/>
          <w:sz w:val="24"/>
          <w:szCs w:val="24"/>
          <w:lang w:eastAsia="zh-CN"/>
        </w:rPr>
        <w:t>场会议上</w:t>
      </w:r>
      <w:r>
        <w:rPr>
          <w:rFonts w:ascii="SimSun" w:eastAsia="SimSun" w:hAnsi="SimSun" w:cs="SimSun" w:hint="eastAsia"/>
          <w:sz w:val="24"/>
          <w:szCs w:val="24"/>
          <w:lang w:eastAsia="zh-CN"/>
        </w:rPr>
        <w:t>交换意见后同意</w:t>
      </w:r>
      <w:r w:rsidRPr="00BF256D">
        <w:rPr>
          <w:rFonts w:ascii="SimSun" w:eastAsia="SimSun" w:hAnsi="SimSun" w:cs="SimSun" w:hint="eastAsia"/>
          <w:sz w:val="24"/>
          <w:szCs w:val="24"/>
          <w:lang w:eastAsia="zh-CN"/>
        </w:rPr>
        <w:t>设立由</w:t>
      </w:r>
      <w:r w:rsidRPr="00BF256D">
        <w:rPr>
          <w:rFonts w:hAnsi="SimSun"/>
          <w:sz w:val="24"/>
          <w:szCs w:val="24"/>
          <w:lang w:eastAsia="zh-CN"/>
        </w:rPr>
        <w:t>Alain de Comarmond</w:t>
      </w:r>
      <w:r w:rsidRPr="00BF256D">
        <w:rPr>
          <w:rFonts w:ascii="SimSun" w:eastAsia="SimSun" w:hAnsi="SimSun" w:cs="SimSun" w:hint="eastAsia"/>
          <w:sz w:val="24"/>
          <w:szCs w:val="24"/>
          <w:lang w:eastAsia="zh-CN"/>
        </w:rPr>
        <w:t>先生（塞舌尔）主持的联络小组继续讨论该事项。</w:t>
      </w:r>
    </w:p>
    <w:p w:rsidR="008D76BF" w:rsidRPr="00BF256D"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BF256D">
        <w:rPr>
          <w:rFonts w:ascii="SimSun" w:eastAsia="SimSun" w:hAnsi="SimSun" w:cs="SimSun" w:hint="eastAsia"/>
          <w:sz w:val="24"/>
          <w:szCs w:val="24"/>
          <w:lang w:eastAsia="zh-CN"/>
        </w:rPr>
        <w:t>在</w:t>
      </w:r>
      <w:r w:rsidR="008D76BF" w:rsidRPr="00BF256D">
        <w:rPr>
          <w:rFonts w:hAnsi="SimSun"/>
          <w:sz w:val="24"/>
          <w:szCs w:val="24"/>
          <w:lang w:eastAsia="zh-CN"/>
        </w:rPr>
        <w:t>2018</w:t>
      </w:r>
      <w:r w:rsidR="008D76BF" w:rsidRPr="00BF256D">
        <w:rPr>
          <w:rFonts w:ascii="SimSun" w:eastAsia="SimSun" w:hAnsi="SimSun" w:cs="SimSun" w:hint="eastAsia"/>
          <w:sz w:val="24"/>
          <w:szCs w:val="24"/>
          <w:lang w:eastAsia="zh-CN"/>
        </w:rPr>
        <w:t>年</w:t>
      </w:r>
      <w:r w:rsidR="008D76BF" w:rsidRPr="00BF256D">
        <w:rPr>
          <w:rFonts w:hAnsi="SimSun"/>
          <w:sz w:val="24"/>
          <w:szCs w:val="24"/>
          <w:lang w:eastAsia="zh-CN"/>
        </w:rPr>
        <w:t>11</w:t>
      </w:r>
      <w:r w:rsidR="008D76BF" w:rsidRPr="00BF256D">
        <w:rPr>
          <w:rFonts w:ascii="SimSun" w:eastAsia="SimSun" w:hAnsi="SimSun" w:cs="SimSun" w:hint="eastAsia"/>
          <w:sz w:val="24"/>
          <w:szCs w:val="24"/>
          <w:lang w:eastAsia="zh-CN"/>
        </w:rPr>
        <w:t>月</w:t>
      </w:r>
      <w:r w:rsidR="008D76BF" w:rsidRPr="00BF256D">
        <w:rPr>
          <w:rFonts w:hAnsi="SimSun"/>
          <w:sz w:val="24"/>
          <w:szCs w:val="24"/>
          <w:lang w:eastAsia="zh-CN"/>
        </w:rPr>
        <w:t>27</w:t>
      </w:r>
      <w:r w:rsidR="008D76BF" w:rsidRPr="00BF256D">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BF256D">
        <w:rPr>
          <w:rFonts w:ascii="SimSun" w:eastAsia="SimSun" w:hAnsi="SimSun" w:cs="SimSun" w:hint="eastAsia"/>
          <w:sz w:val="24"/>
          <w:szCs w:val="24"/>
          <w:lang w:eastAsia="zh-CN"/>
        </w:rPr>
        <w:t>第</w:t>
      </w:r>
      <w:r w:rsidR="008D76BF" w:rsidRPr="00BF256D">
        <w:rPr>
          <w:rFonts w:hAnsi="SimSun"/>
          <w:sz w:val="24"/>
          <w:szCs w:val="24"/>
          <w:lang w:eastAsia="zh-CN"/>
        </w:rPr>
        <w:t>16</w:t>
      </w:r>
      <w:r w:rsidR="008D76BF" w:rsidRPr="00BF256D">
        <w:rPr>
          <w:rFonts w:ascii="SimSun" w:eastAsia="SimSun" w:hAnsi="SimSun" w:cs="SimSun" w:hint="eastAsia"/>
          <w:sz w:val="24"/>
          <w:szCs w:val="24"/>
          <w:lang w:eastAsia="zh-CN"/>
        </w:rPr>
        <w:t>场会议上审议了联络小组提交的决定草案。</w:t>
      </w:r>
    </w:p>
    <w:p w:rsidR="008D76BF" w:rsidRPr="00BF256D" w:rsidRDefault="008D76BF" w:rsidP="00750ECD">
      <w:pPr>
        <w:pStyle w:val="Para1"/>
        <w:numPr>
          <w:ilvl w:val="0"/>
          <w:numId w:val="9"/>
        </w:numPr>
        <w:tabs>
          <w:tab w:val="clear" w:pos="360"/>
          <w:tab w:val="left" w:pos="720"/>
        </w:tabs>
        <w:ind w:firstLine="0"/>
        <w:rPr>
          <w:rFonts w:hAnsi="SimSun"/>
          <w:sz w:val="24"/>
          <w:szCs w:val="24"/>
          <w:lang w:eastAsia="zh-CN"/>
        </w:rPr>
      </w:pPr>
      <w:r w:rsidRPr="00BF256D">
        <w:rPr>
          <w:rFonts w:ascii="SimSun" w:eastAsia="SimSun" w:hAnsi="SimSun" w:cs="SimSun" w:hint="eastAsia"/>
          <w:sz w:val="24"/>
          <w:szCs w:val="24"/>
          <w:lang w:eastAsia="zh-CN"/>
        </w:rPr>
        <w:t>下列国家代表</w:t>
      </w:r>
      <w:r w:rsidR="006952B0">
        <w:rPr>
          <w:rFonts w:ascii="SimSun" w:eastAsia="SimSun" w:hAnsi="SimSun" w:cs="SimSun" w:hint="eastAsia"/>
          <w:sz w:val="24"/>
          <w:szCs w:val="24"/>
          <w:lang w:eastAsia="zh-CN"/>
        </w:rPr>
        <w:t>作了发言</w:t>
      </w:r>
      <w:r w:rsidRPr="00BF256D">
        <w:rPr>
          <w:rFonts w:ascii="SimSun" w:eastAsia="SimSun" w:hAnsi="SimSun" w:cs="SimSun" w:hint="eastAsia"/>
          <w:sz w:val="24"/>
          <w:szCs w:val="24"/>
          <w:lang w:eastAsia="zh-CN"/>
        </w:rPr>
        <w:t>：阿根廷、巴西、加拿大、哥伦比亚、哥斯达黎加、埃及、欧洲联盟</w:t>
      </w:r>
      <w:r>
        <w:rPr>
          <w:rFonts w:ascii="SimSun" w:eastAsia="SimSun" w:hAnsi="SimSun" w:cs="SimSun" w:hint="eastAsia"/>
          <w:sz w:val="24"/>
          <w:szCs w:val="24"/>
          <w:lang w:eastAsia="zh-CN"/>
        </w:rPr>
        <w:t>及其</w:t>
      </w:r>
      <w:r w:rsidRPr="00583ABD">
        <w:rPr>
          <w:rFonts w:eastAsia="Times New Roman"/>
          <w:sz w:val="24"/>
          <w:szCs w:val="24"/>
          <w:lang w:eastAsia="zh-CN"/>
        </w:rPr>
        <w:t>28</w:t>
      </w:r>
      <w:r>
        <w:rPr>
          <w:rFonts w:ascii="SimSun" w:eastAsia="SimSun" w:hAnsi="SimSun" w:cs="SimSun" w:hint="eastAsia"/>
          <w:sz w:val="24"/>
          <w:szCs w:val="24"/>
          <w:lang w:eastAsia="zh-CN"/>
        </w:rPr>
        <w:t>个成员国</w:t>
      </w:r>
      <w:r w:rsidRPr="00BF256D">
        <w:rPr>
          <w:rFonts w:ascii="SimSun" w:eastAsia="SimSun" w:hAnsi="SimSun" w:cs="SimSun" w:hint="eastAsia"/>
          <w:sz w:val="24"/>
          <w:szCs w:val="24"/>
          <w:lang w:eastAsia="zh-CN"/>
        </w:rPr>
        <w:t>、加蓬、冰岛、印度尼西亚、日本、新西兰、挪威、菲律宾、大韩民国、新加坡、南非、土耳其和委内瑞拉玻利瓦尔共和国。</w:t>
      </w:r>
    </w:p>
    <w:p w:rsidR="008D76BF" w:rsidRPr="00BF256D" w:rsidRDefault="008D76BF" w:rsidP="00750ECD">
      <w:pPr>
        <w:pStyle w:val="Para1"/>
        <w:numPr>
          <w:ilvl w:val="0"/>
          <w:numId w:val="9"/>
        </w:numPr>
        <w:tabs>
          <w:tab w:val="clear" w:pos="360"/>
          <w:tab w:val="left" w:pos="720"/>
        </w:tabs>
        <w:ind w:firstLine="0"/>
        <w:rPr>
          <w:rFonts w:hAnsi="SimSun"/>
          <w:sz w:val="24"/>
          <w:szCs w:val="24"/>
          <w:lang w:eastAsia="zh-CN"/>
        </w:rPr>
      </w:pPr>
      <w:r w:rsidRPr="00BF256D">
        <w:rPr>
          <w:rFonts w:ascii="SimSun" w:eastAsia="SimSun" w:hAnsi="SimSun" w:cs="SimSun" w:hint="eastAsia"/>
          <w:sz w:val="24"/>
          <w:szCs w:val="24"/>
          <w:lang w:eastAsia="zh-CN"/>
        </w:rPr>
        <w:t>主席表示，她将编写一份订正决定草案，供工作组审议。</w:t>
      </w:r>
    </w:p>
    <w:p w:rsidR="008D76BF" w:rsidRPr="00BF256D"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BF256D">
        <w:rPr>
          <w:rFonts w:ascii="SimSun" w:eastAsia="SimSun" w:hAnsi="SimSun" w:cs="SimSun" w:hint="eastAsia"/>
          <w:sz w:val="24"/>
          <w:szCs w:val="24"/>
          <w:lang w:eastAsia="zh-CN"/>
        </w:rPr>
        <w:t>在</w:t>
      </w:r>
      <w:r w:rsidR="008D76BF" w:rsidRPr="00BF256D">
        <w:rPr>
          <w:rFonts w:hAnsi="SimSun"/>
          <w:sz w:val="24"/>
          <w:szCs w:val="24"/>
          <w:lang w:eastAsia="zh-CN"/>
        </w:rPr>
        <w:t>11</w:t>
      </w:r>
      <w:r w:rsidR="008D76BF" w:rsidRPr="00BF256D">
        <w:rPr>
          <w:rFonts w:ascii="SimSun" w:eastAsia="SimSun" w:hAnsi="SimSun" w:cs="SimSun" w:hint="eastAsia"/>
          <w:sz w:val="24"/>
          <w:szCs w:val="24"/>
          <w:lang w:eastAsia="zh-CN"/>
        </w:rPr>
        <w:t>月</w:t>
      </w:r>
      <w:r w:rsidR="008D76BF" w:rsidRPr="00BF256D">
        <w:rPr>
          <w:rFonts w:hAnsi="SimSun"/>
          <w:sz w:val="24"/>
          <w:szCs w:val="24"/>
          <w:lang w:eastAsia="zh-CN"/>
        </w:rPr>
        <w:t>28</w:t>
      </w:r>
      <w:r w:rsidR="008D76BF" w:rsidRPr="00BF256D">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BF256D">
        <w:rPr>
          <w:rFonts w:ascii="SimSun" w:eastAsia="SimSun" w:hAnsi="SimSun" w:cs="SimSun" w:hint="eastAsia"/>
          <w:sz w:val="24"/>
          <w:szCs w:val="24"/>
          <w:lang w:eastAsia="zh-CN"/>
        </w:rPr>
        <w:t>第</w:t>
      </w:r>
      <w:r w:rsidR="008D76BF" w:rsidRPr="00BF256D">
        <w:rPr>
          <w:rFonts w:hAnsi="SimSun"/>
          <w:sz w:val="24"/>
          <w:szCs w:val="24"/>
          <w:lang w:eastAsia="zh-CN"/>
        </w:rPr>
        <w:t>17</w:t>
      </w:r>
      <w:r w:rsidR="008D76BF" w:rsidRPr="00BF256D">
        <w:rPr>
          <w:rFonts w:ascii="SimSun" w:eastAsia="SimSun" w:hAnsi="SimSun" w:cs="SimSun" w:hint="eastAsia"/>
          <w:sz w:val="24"/>
          <w:szCs w:val="24"/>
          <w:lang w:eastAsia="zh-CN"/>
        </w:rPr>
        <w:t>场会议上</w:t>
      </w:r>
      <w:r>
        <w:rPr>
          <w:rFonts w:ascii="SimSun" w:eastAsia="SimSun" w:hAnsi="SimSun" w:cs="SimSun" w:hint="eastAsia"/>
          <w:sz w:val="24"/>
          <w:szCs w:val="24"/>
          <w:lang w:eastAsia="zh-CN"/>
        </w:rPr>
        <w:t>再次</w:t>
      </w:r>
      <w:r w:rsidR="008D76BF" w:rsidRPr="00BF256D">
        <w:rPr>
          <w:rFonts w:ascii="SimSun" w:eastAsia="SimSun" w:hAnsi="SimSun" w:cs="SimSun" w:hint="eastAsia"/>
          <w:sz w:val="24"/>
          <w:szCs w:val="24"/>
          <w:lang w:eastAsia="zh-CN"/>
        </w:rPr>
        <w:t>审议了</w:t>
      </w:r>
      <w:r>
        <w:rPr>
          <w:rFonts w:ascii="SimSun" w:eastAsia="SimSun" w:hAnsi="SimSun" w:cs="SimSun" w:hint="eastAsia"/>
          <w:sz w:val="24"/>
          <w:szCs w:val="24"/>
          <w:lang w:eastAsia="zh-CN"/>
        </w:rPr>
        <w:t>该</w:t>
      </w:r>
      <w:r w:rsidR="008D76BF" w:rsidRPr="00BF256D">
        <w:rPr>
          <w:rFonts w:ascii="SimSun" w:eastAsia="SimSun" w:hAnsi="SimSun" w:cs="SimSun" w:hint="eastAsia"/>
          <w:sz w:val="24"/>
          <w:szCs w:val="24"/>
          <w:lang w:eastAsia="zh-CN"/>
        </w:rPr>
        <w:t>分项目。</w:t>
      </w:r>
    </w:p>
    <w:p w:rsidR="008D76BF" w:rsidRPr="00BF256D" w:rsidRDefault="008D76BF" w:rsidP="00750ECD">
      <w:pPr>
        <w:pStyle w:val="Para1"/>
        <w:numPr>
          <w:ilvl w:val="0"/>
          <w:numId w:val="9"/>
        </w:numPr>
        <w:tabs>
          <w:tab w:val="clear" w:pos="360"/>
          <w:tab w:val="left" w:pos="720"/>
        </w:tabs>
        <w:ind w:firstLine="0"/>
        <w:rPr>
          <w:rFonts w:hAnsi="SimSun"/>
          <w:sz w:val="24"/>
          <w:szCs w:val="24"/>
          <w:lang w:eastAsia="zh-CN"/>
        </w:rPr>
      </w:pPr>
      <w:r w:rsidRPr="00BF256D">
        <w:rPr>
          <w:rFonts w:ascii="SimSun" w:eastAsia="SimSun" w:hAnsi="SimSun" w:cs="SimSun" w:hint="eastAsia"/>
          <w:sz w:val="24"/>
          <w:szCs w:val="24"/>
          <w:lang w:eastAsia="zh-CN"/>
        </w:rPr>
        <w:t>下列国家代表</w:t>
      </w:r>
      <w:r w:rsidR="006952B0">
        <w:rPr>
          <w:rFonts w:ascii="SimSun" w:eastAsia="SimSun" w:hAnsi="SimSun" w:cs="SimSun" w:hint="eastAsia"/>
          <w:sz w:val="24"/>
          <w:szCs w:val="24"/>
          <w:lang w:eastAsia="zh-CN"/>
        </w:rPr>
        <w:t>作了发言</w:t>
      </w:r>
      <w:r w:rsidRPr="00BF256D">
        <w:rPr>
          <w:rFonts w:ascii="SimSun" w:eastAsia="SimSun" w:hAnsi="SimSun" w:cs="SimSun" w:hint="eastAsia"/>
          <w:sz w:val="24"/>
          <w:szCs w:val="24"/>
          <w:lang w:eastAsia="zh-CN"/>
        </w:rPr>
        <w:t>：阿根廷、埃及、冰岛、大韩民国、新加坡、南非和土耳其。</w:t>
      </w:r>
    </w:p>
    <w:p w:rsidR="008D76BF" w:rsidRPr="00BF256D" w:rsidRDefault="008D76BF" w:rsidP="00750ECD">
      <w:pPr>
        <w:pStyle w:val="Para1"/>
        <w:numPr>
          <w:ilvl w:val="0"/>
          <w:numId w:val="9"/>
        </w:numPr>
        <w:tabs>
          <w:tab w:val="clear" w:pos="360"/>
          <w:tab w:val="left" w:pos="720"/>
        </w:tabs>
        <w:ind w:firstLine="0"/>
        <w:rPr>
          <w:rFonts w:hAnsi="SimSun"/>
          <w:sz w:val="24"/>
          <w:szCs w:val="24"/>
          <w:lang w:eastAsia="zh-CN"/>
        </w:rPr>
      </w:pPr>
      <w:r w:rsidRPr="00BF256D">
        <w:rPr>
          <w:rFonts w:ascii="SimSun" w:eastAsia="SimSun" w:hAnsi="SimSun" w:cs="SimSun" w:hint="eastAsia"/>
          <w:sz w:val="24"/>
          <w:szCs w:val="24"/>
          <w:lang w:eastAsia="zh-CN"/>
        </w:rPr>
        <w:t>主席设立了一个主席之友小组，由</w:t>
      </w:r>
      <w:r w:rsidRPr="00BF256D">
        <w:rPr>
          <w:rFonts w:hAnsi="SimSun"/>
          <w:sz w:val="24"/>
          <w:szCs w:val="24"/>
          <w:lang w:eastAsia="zh-CN"/>
        </w:rPr>
        <w:t>Alain de Comarmond</w:t>
      </w:r>
      <w:r w:rsidRPr="00BF256D">
        <w:rPr>
          <w:rFonts w:ascii="SimSun" w:eastAsia="SimSun" w:hAnsi="SimSun" w:cs="SimSun" w:hint="eastAsia"/>
          <w:sz w:val="24"/>
          <w:szCs w:val="24"/>
          <w:lang w:eastAsia="zh-CN"/>
        </w:rPr>
        <w:t>先生（塞舌尔）主持，力求就未决问题达成协议。</w:t>
      </w:r>
    </w:p>
    <w:p w:rsidR="008D76BF" w:rsidRPr="00583ABD"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lastRenderedPageBreak/>
        <w:t>工作组</w:t>
      </w:r>
      <w:r w:rsidR="008D76BF" w:rsidRPr="00BF256D">
        <w:rPr>
          <w:rFonts w:ascii="SimSun" w:eastAsia="SimSun" w:hAnsi="SimSun" w:cs="SimSun" w:hint="eastAsia"/>
          <w:sz w:val="24"/>
          <w:szCs w:val="24"/>
          <w:lang w:eastAsia="zh-CN"/>
        </w:rPr>
        <w:t>在</w:t>
      </w:r>
      <w:r w:rsidR="008D76BF" w:rsidRPr="00BF256D">
        <w:rPr>
          <w:rFonts w:hAnsi="SimSun"/>
          <w:sz w:val="24"/>
          <w:szCs w:val="24"/>
          <w:lang w:eastAsia="zh-CN"/>
        </w:rPr>
        <w:t>11</w:t>
      </w:r>
      <w:r w:rsidR="008D76BF" w:rsidRPr="00BF256D">
        <w:rPr>
          <w:rFonts w:ascii="SimSun" w:eastAsia="SimSun" w:hAnsi="SimSun" w:cs="SimSun" w:hint="eastAsia"/>
          <w:sz w:val="24"/>
          <w:szCs w:val="24"/>
          <w:lang w:eastAsia="zh-CN"/>
        </w:rPr>
        <w:t>月</w:t>
      </w:r>
      <w:r w:rsidR="008D76BF" w:rsidRPr="00BF256D">
        <w:rPr>
          <w:rFonts w:hAnsi="SimSun"/>
          <w:sz w:val="24"/>
          <w:szCs w:val="24"/>
          <w:lang w:eastAsia="zh-CN"/>
        </w:rPr>
        <w:t>28</w:t>
      </w:r>
      <w:r w:rsidR="008D76BF" w:rsidRPr="00BF256D">
        <w:rPr>
          <w:rFonts w:ascii="SimSun" w:eastAsia="SimSun" w:hAnsi="SimSun" w:cs="SimSun" w:hint="eastAsia"/>
          <w:sz w:val="24"/>
          <w:szCs w:val="24"/>
          <w:lang w:eastAsia="zh-CN"/>
        </w:rPr>
        <w:t>日</w:t>
      </w:r>
      <w:r w:rsidR="002D53D3">
        <w:rPr>
          <w:rFonts w:ascii="SimSun" w:eastAsia="SimSun" w:hAnsi="SimSun" w:cs="SimSun" w:hint="eastAsia"/>
          <w:sz w:val="24"/>
          <w:szCs w:val="24"/>
          <w:lang w:eastAsia="zh-CN"/>
        </w:rPr>
        <w:t>其</w:t>
      </w:r>
      <w:r w:rsidR="008D76BF" w:rsidRPr="00BF256D">
        <w:rPr>
          <w:rFonts w:ascii="SimSun" w:eastAsia="SimSun" w:hAnsi="SimSun" w:cs="SimSun" w:hint="eastAsia"/>
          <w:sz w:val="24"/>
          <w:szCs w:val="24"/>
          <w:lang w:eastAsia="zh-CN"/>
        </w:rPr>
        <w:t>第</w:t>
      </w:r>
      <w:r w:rsidR="008D76BF" w:rsidRPr="00BF256D">
        <w:rPr>
          <w:rFonts w:hAnsi="SimSun"/>
          <w:sz w:val="24"/>
          <w:szCs w:val="24"/>
          <w:lang w:eastAsia="zh-CN"/>
        </w:rPr>
        <w:t>18</w:t>
      </w:r>
      <w:r w:rsidR="008D76BF" w:rsidRPr="00BF256D">
        <w:rPr>
          <w:rFonts w:ascii="SimSun" w:eastAsia="SimSun" w:hAnsi="SimSun" w:cs="SimSun" w:hint="eastAsia"/>
          <w:sz w:val="24"/>
          <w:szCs w:val="24"/>
          <w:lang w:eastAsia="zh-CN"/>
        </w:rPr>
        <w:t>场会议上审议了主席提交的订正决定草案。</w:t>
      </w:r>
    </w:p>
    <w:p w:rsidR="008D76BF" w:rsidRPr="00583ABD" w:rsidRDefault="00EA4BF6"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下列国家代表</w:t>
      </w:r>
      <w:r w:rsidR="006952B0">
        <w:rPr>
          <w:rFonts w:ascii="SimSun" w:eastAsia="SimSun" w:hAnsi="SimSun" w:cs="SimSun" w:hint="eastAsia"/>
          <w:sz w:val="24"/>
          <w:szCs w:val="24"/>
          <w:lang w:eastAsia="zh-CN"/>
        </w:rPr>
        <w:t>作了发言</w:t>
      </w:r>
      <w:r w:rsidR="008D76BF" w:rsidRPr="00583ABD">
        <w:rPr>
          <w:rFonts w:ascii="SimSun" w:eastAsia="SimSun" w:hAnsi="SimSun" w:cs="SimSun" w:hint="eastAsia"/>
          <w:sz w:val="24"/>
          <w:szCs w:val="24"/>
          <w:lang w:eastAsia="zh-CN"/>
        </w:rPr>
        <w:t>：阿根廷、巴西、加拿大、哥伦比亚、埃及、欧洲联盟及其</w:t>
      </w:r>
      <w:r w:rsidR="008D76BF" w:rsidRPr="00583ABD">
        <w:rPr>
          <w:rFonts w:hAnsi="SimSun"/>
          <w:sz w:val="24"/>
          <w:szCs w:val="24"/>
          <w:lang w:eastAsia="zh-CN"/>
        </w:rPr>
        <w:t>28</w:t>
      </w:r>
      <w:r w:rsidR="008D76BF" w:rsidRPr="00583ABD">
        <w:rPr>
          <w:rFonts w:ascii="SimSun" w:eastAsia="SimSun" w:hAnsi="SimSun" w:cs="SimSun" w:hint="eastAsia"/>
          <w:sz w:val="24"/>
          <w:szCs w:val="24"/>
          <w:lang w:eastAsia="zh-CN"/>
        </w:rPr>
        <w:t>个成员国、加蓬、冰岛、印度尼西亚、墨西哥、新西兰、菲律宾、大韩民国、新加坡、南非、土耳其和委内瑞拉玻利瓦尔共和国。</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BF256D">
        <w:rPr>
          <w:rFonts w:ascii="SimSun" w:eastAsia="SimSun" w:hAnsi="SimSun" w:cs="SimSun" w:hint="eastAsia"/>
          <w:sz w:val="24"/>
          <w:szCs w:val="24"/>
          <w:lang w:eastAsia="zh-CN"/>
        </w:rPr>
        <w:t>经交换意见后，经口头订正的决定草案获得通过，将作为决定草案</w:t>
      </w:r>
      <w:r w:rsidRPr="00BF256D">
        <w:rPr>
          <w:rFonts w:hAnsi="SimSun"/>
          <w:sz w:val="24"/>
          <w:szCs w:val="24"/>
          <w:lang w:eastAsia="zh-CN"/>
        </w:rPr>
        <w:t>CBD/COP/14/L.</w:t>
      </w:r>
      <w:r w:rsidR="00D2148E">
        <w:rPr>
          <w:rFonts w:hAnsi="SimSun"/>
          <w:sz w:val="24"/>
          <w:szCs w:val="24"/>
          <w:lang w:eastAsia="zh-CN"/>
        </w:rPr>
        <w:t>34</w:t>
      </w:r>
      <w:r w:rsidRPr="00BF256D">
        <w:rPr>
          <w:rFonts w:ascii="SimSun" w:eastAsia="SimSun" w:hAnsi="SimSun" w:cs="SimSun" w:hint="eastAsia"/>
          <w:sz w:val="24"/>
          <w:szCs w:val="24"/>
          <w:lang w:eastAsia="zh-CN"/>
        </w:rPr>
        <w:t>转交全体会议。</w:t>
      </w:r>
    </w:p>
    <w:p w:rsidR="00620827" w:rsidRPr="00B5651D" w:rsidRDefault="00620827" w:rsidP="00620827">
      <w:pPr>
        <w:pStyle w:val="Para1"/>
        <w:numPr>
          <w:ilvl w:val="0"/>
          <w:numId w:val="9"/>
        </w:numPr>
        <w:tabs>
          <w:tab w:val="clear" w:pos="360"/>
          <w:tab w:val="left" w:pos="720"/>
        </w:tabs>
        <w:ind w:firstLine="0"/>
        <w:rPr>
          <w:rFonts w:eastAsia="SimSun"/>
          <w:sz w:val="24"/>
          <w:szCs w:val="24"/>
          <w:lang w:eastAsia="zh-CN"/>
        </w:rPr>
      </w:pPr>
      <w:r w:rsidRPr="00972641">
        <w:rPr>
          <w:rFonts w:ascii="SimSun" w:eastAsia="SimSun" w:hAnsi="SimSun" w:cs="SimSun" w:hint="eastAsia"/>
          <w:sz w:val="24"/>
          <w:szCs w:val="24"/>
          <w:lang w:eastAsia="zh-CN"/>
        </w:rPr>
        <w:t>在</w:t>
      </w:r>
      <w:r w:rsidRPr="00972641">
        <w:rPr>
          <w:rFonts w:hAnsi="SimSun"/>
          <w:sz w:val="24"/>
          <w:szCs w:val="24"/>
          <w:lang w:eastAsia="zh-CN"/>
        </w:rPr>
        <w:t>2018</w:t>
      </w:r>
      <w:r w:rsidRPr="00972641">
        <w:rPr>
          <w:rFonts w:ascii="SimSun" w:eastAsia="SimSun" w:hAnsi="SimSun" w:cs="SimSun" w:hint="eastAsia"/>
          <w:sz w:val="24"/>
          <w:szCs w:val="24"/>
          <w:lang w:eastAsia="zh-CN"/>
        </w:rPr>
        <w:t>年</w:t>
      </w:r>
      <w:r w:rsidRPr="00972641">
        <w:rPr>
          <w:rFonts w:hAnsi="SimSun"/>
          <w:sz w:val="24"/>
          <w:szCs w:val="24"/>
          <w:lang w:eastAsia="zh-CN"/>
        </w:rPr>
        <w:t>11</w:t>
      </w:r>
      <w:r w:rsidRPr="00972641">
        <w:rPr>
          <w:rFonts w:ascii="SimSun" w:eastAsia="SimSun" w:hAnsi="SimSun" w:cs="SimSun" w:hint="eastAsia"/>
          <w:sz w:val="24"/>
          <w:szCs w:val="24"/>
          <w:lang w:eastAsia="zh-CN"/>
        </w:rPr>
        <w:t>月</w:t>
      </w:r>
      <w:r w:rsidRPr="00972641">
        <w:rPr>
          <w:rFonts w:hAnsi="SimSun"/>
          <w:sz w:val="24"/>
          <w:szCs w:val="24"/>
          <w:lang w:eastAsia="zh-CN"/>
        </w:rPr>
        <w:t>2</w:t>
      </w:r>
      <w:r w:rsidR="00B4280E">
        <w:rPr>
          <w:rFonts w:hAnsi="SimSun"/>
          <w:sz w:val="24"/>
          <w:szCs w:val="24"/>
          <w:lang w:eastAsia="zh-CN"/>
        </w:rPr>
        <w:t>9</w:t>
      </w:r>
      <w:r w:rsidR="002D53D3">
        <w:rPr>
          <w:rFonts w:ascii="SimSun" w:eastAsia="SimSun" w:hAnsi="SimSun" w:cs="SimSun" w:hint="eastAsia"/>
          <w:sz w:val="24"/>
          <w:szCs w:val="24"/>
          <w:lang w:eastAsia="zh-CN"/>
        </w:rPr>
        <w:t>日会议的</w:t>
      </w:r>
      <w:r w:rsidRPr="00972641">
        <w:rPr>
          <w:rFonts w:ascii="SimSun" w:eastAsia="SimSun" w:hAnsi="SimSun" w:cs="SimSun" w:hint="eastAsia"/>
          <w:sz w:val="24"/>
          <w:szCs w:val="24"/>
          <w:lang w:eastAsia="zh-CN"/>
        </w:rPr>
        <w:t>第</w:t>
      </w:r>
      <w:r w:rsidRPr="00972641">
        <w:rPr>
          <w:rFonts w:hAnsi="SimSun"/>
          <w:sz w:val="24"/>
          <w:szCs w:val="24"/>
          <w:lang w:eastAsia="zh-CN"/>
        </w:rPr>
        <w:t>7</w:t>
      </w:r>
      <w:r w:rsidRPr="00972641">
        <w:rPr>
          <w:rFonts w:ascii="SimSun" w:eastAsia="SimSun" w:hAnsi="SimSun" w:cs="SimSun" w:hint="eastAsia"/>
          <w:sz w:val="24"/>
          <w:szCs w:val="24"/>
          <w:lang w:eastAsia="zh-CN"/>
        </w:rPr>
        <w:t>次全体会议上，</w:t>
      </w:r>
      <w:r>
        <w:rPr>
          <w:rFonts w:ascii="SimSun" w:eastAsia="SimSun" w:hAnsi="SimSun" w:cs="SimSun" w:hint="eastAsia"/>
          <w:sz w:val="24"/>
          <w:szCs w:val="24"/>
          <w:lang w:eastAsia="zh-CN"/>
        </w:rPr>
        <w:t>缔约方大会审议</w:t>
      </w:r>
      <w:r>
        <w:rPr>
          <w:rFonts w:ascii="SimSun" w:eastAsia="SimSun" w:hAnsi="SimSun" w:cs="SimSun"/>
          <w:sz w:val="24"/>
          <w:szCs w:val="24"/>
          <w:lang w:eastAsia="zh-CN"/>
        </w:rPr>
        <w:t>了</w:t>
      </w:r>
      <w:r>
        <w:rPr>
          <w:rFonts w:ascii="SimSun" w:eastAsia="SimSun" w:hAnsi="SimSun" w:cs="SimSun" w:hint="eastAsia"/>
          <w:sz w:val="24"/>
          <w:szCs w:val="24"/>
          <w:lang w:eastAsia="zh-CN"/>
        </w:rPr>
        <w:t>决定草案</w:t>
      </w:r>
      <w:r>
        <w:rPr>
          <w:rFonts w:eastAsia="SimSun"/>
          <w:sz w:val="24"/>
          <w:szCs w:val="24"/>
          <w:lang w:eastAsia="zh-CN"/>
        </w:rPr>
        <w:t>CBD/COP/14/L.34</w:t>
      </w:r>
      <w:r>
        <w:rPr>
          <w:rFonts w:eastAsia="SimSun" w:hint="eastAsia"/>
          <w:sz w:val="24"/>
          <w:szCs w:val="24"/>
          <w:lang w:eastAsia="zh-CN"/>
        </w:rPr>
        <w:t>。</w:t>
      </w:r>
    </w:p>
    <w:p w:rsidR="00620827" w:rsidRPr="00B5651D" w:rsidRDefault="00620827" w:rsidP="00620827">
      <w:pPr>
        <w:pStyle w:val="Para1"/>
        <w:numPr>
          <w:ilvl w:val="0"/>
          <w:numId w:val="9"/>
        </w:numPr>
        <w:tabs>
          <w:tab w:val="clear" w:pos="360"/>
          <w:tab w:val="left" w:pos="720"/>
        </w:tabs>
        <w:ind w:firstLine="0"/>
        <w:rPr>
          <w:rFonts w:eastAsia="SimSun"/>
          <w:sz w:val="24"/>
          <w:szCs w:val="24"/>
          <w:lang w:eastAsia="zh-CN"/>
        </w:rPr>
      </w:pPr>
      <w:r>
        <w:rPr>
          <w:rFonts w:eastAsia="SimSun" w:hint="eastAsia"/>
          <w:sz w:val="24"/>
          <w:szCs w:val="24"/>
          <w:lang w:eastAsia="zh-CN"/>
        </w:rPr>
        <w:t>摩洛哥</w:t>
      </w:r>
      <w:r>
        <w:rPr>
          <w:rFonts w:eastAsia="SimSun"/>
          <w:sz w:val="24"/>
          <w:szCs w:val="24"/>
          <w:lang w:eastAsia="zh-CN"/>
        </w:rPr>
        <w:t>和土耳其的代表作了发言。</w:t>
      </w:r>
      <w:r w:rsidRPr="00B5651D">
        <w:rPr>
          <w:rFonts w:eastAsia="SimSun"/>
          <w:sz w:val="24"/>
          <w:szCs w:val="24"/>
          <w:lang w:eastAsia="zh-CN"/>
        </w:rPr>
        <w:t xml:space="preserve"> </w:t>
      </w:r>
    </w:p>
    <w:p w:rsidR="00D2148E" w:rsidRPr="00D2148E" w:rsidRDefault="00620827" w:rsidP="00D2148E">
      <w:pPr>
        <w:pStyle w:val="Para1"/>
        <w:numPr>
          <w:ilvl w:val="0"/>
          <w:numId w:val="9"/>
        </w:numPr>
        <w:tabs>
          <w:tab w:val="clear" w:pos="360"/>
          <w:tab w:val="left" w:pos="720"/>
        </w:tabs>
        <w:ind w:firstLine="0"/>
        <w:rPr>
          <w:rFonts w:hAnsi="SimSun"/>
          <w:sz w:val="24"/>
          <w:szCs w:val="24"/>
          <w:lang w:eastAsia="zh-CN"/>
        </w:rPr>
      </w:pPr>
      <w:r>
        <w:rPr>
          <w:rFonts w:hAnsi="SimSun" w:hint="eastAsia"/>
          <w:sz w:val="24"/>
          <w:szCs w:val="24"/>
          <w:lang w:eastAsia="zh-CN"/>
        </w:rPr>
        <w:t>缔约方大会</w:t>
      </w:r>
      <w:r>
        <w:rPr>
          <w:rFonts w:hAnsi="SimSun" w:hint="eastAsia"/>
          <w:sz w:val="24"/>
          <w:szCs w:val="24"/>
          <w:lang w:eastAsia="zh-CN"/>
        </w:rPr>
        <w:t>2018</w:t>
      </w:r>
      <w:r>
        <w:rPr>
          <w:rFonts w:hAnsi="SimSun" w:hint="eastAsia"/>
          <w:sz w:val="24"/>
          <w:szCs w:val="24"/>
          <w:lang w:eastAsia="zh-CN"/>
        </w:rPr>
        <w:t>年</w:t>
      </w:r>
      <w:r>
        <w:rPr>
          <w:rFonts w:hAnsi="SimSun" w:hint="eastAsia"/>
          <w:sz w:val="24"/>
          <w:szCs w:val="24"/>
          <w:lang w:eastAsia="zh-CN"/>
        </w:rPr>
        <w:t>11</w:t>
      </w:r>
      <w:r w:rsidR="002D53D3">
        <w:rPr>
          <w:rFonts w:hAnsi="SimSun" w:hint="eastAsia"/>
          <w:sz w:val="24"/>
          <w:szCs w:val="24"/>
          <w:lang w:eastAsia="zh-CN"/>
        </w:rPr>
        <w:t>月</w:t>
      </w:r>
      <w:r>
        <w:rPr>
          <w:rFonts w:hAnsi="SimSun" w:hint="eastAsia"/>
          <w:sz w:val="24"/>
          <w:szCs w:val="24"/>
          <w:lang w:eastAsia="zh-CN"/>
        </w:rPr>
        <w:t>29</w:t>
      </w:r>
      <w:r>
        <w:rPr>
          <w:rFonts w:hAnsi="SimSun" w:hint="eastAsia"/>
          <w:sz w:val="24"/>
          <w:szCs w:val="24"/>
          <w:lang w:eastAsia="zh-CN"/>
        </w:rPr>
        <w:t>日</w:t>
      </w:r>
      <w:r w:rsidR="002D53D3">
        <w:rPr>
          <w:rFonts w:hAnsi="SimSun" w:hint="eastAsia"/>
          <w:sz w:val="24"/>
          <w:szCs w:val="24"/>
          <w:lang w:eastAsia="zh-CN"/>
        </w:rPr>
        <w:t>在</w:t>
      </w:r>
      <w:r w:rsidR="002D53D3">
        <w:rPr>
          <w:rFonts w:hAnsi="SimSun"/>
          <w:sz w:val="24"/>
          <w:szCs w:val="24"/>
          <w:lang w:eastAsia="zh-CN"/>
        </w:rPr>
        <w:t>其</w:t>
      </w:r>
      <w:r>
        <w:rPr>
          <w:rFonts w:hAnsi="SimSun"/>
          <w:sz w:val="24"/>
          <w:szCs w:val="24"/>
          <w:lang w:eastAsia="zh-CN"/>
        </w:rPr>
        <w:t>第</w:t>
      </w:r>
      <w:r>
        <w:rPr>
          <w:rFonts w:hAnsi="SimSun" w:hint="eastAsia"/>
          <w:sz w:val="24"/>
          <w:szCs w:val="24"/>
          <w:lang w:eastAsia="zh-CN"/>
        </w:rPr>
        <w:t>8</w:t>
      </w:r>
      <w:r>
        <w:rPr>
          <w:rFonts w:hAnsi="SimSun" w:hint="eastAsia"/>
          <w:sz w:val="24"/>
          <w:szCs w:val="24"/>
          <w:lang w:eastAsia="zh-CN"/>
        </w:rPr>
        <w:t>次</w:t>
      </w:r>
      <w:r>
        <w:rPr>
          <w:rFonts w:hAnsi="SimSun"/>
          <w:sz w:val="24"/>
          <w:szCs w:val="24"/>
          <w:lang w:eastAsia="zh-CN"/>
        </w:rPr>
        <w:t>全体会议上审议了决定草案</w:t>
      </w:r>
      <w:r w:rsidR="00D2148E" w:rsidRPr="00D2148E">
        <w:rPr>
          <w:rFonts w:hAnsi="SimSun"/>
          <w:sz w:val="24"/>
          <w:szCs w:val="24"/>
          <w:lang w:eastAsia="zh-CN"/>
        </w:rPr>
        <w:t xml:space="preserve">CBD/COP/14/L.34 </w:t>
      </w:r>
      <w:r>
        <w:rPr>
          <w:rFonts w:hAnsi="SimSun" w:hint="eastAsia"/>
          <w:sz w:val="24"/>
          <w:szCs w:val="24"/>
          <w:lang w:eastAsia="zh-CN"/>
        </w:rPr>
        <w:t>。</w:t>
      </w:r>
    </w:p>
    <w:p w:rsidR="00D2148E" w:rsidRPr="00D2148E" w:rsidRDefault="00620827" w:rsidP="00D2148E">
      <w:pPr>
        <w:pStyle w:val="Para1"/>
        <w:numPr>
          <w:ilvl w:val="0"/>
          <w:numId w:val="9"/>
        </w:numPr>
        <w:tabs>
          <w:tab w:val="clear" w:pos="360"/>
          <w:tab w:val="left" w:pos="720"/>
        </w:tabs>
        <w:ind w:firstLine="0"/>
        <w:rPr>
          <w:rFonts w:hAnsi="SimSun"/>
          <w:sz w:val="24"/>
          <w:szCs w:val="24"/>
          <w:lang w:eastAsia="zh-CN"/>
        </w:rPr>
      </w:pPr>
      <w:r w:rsidRPr="00BF256D">
        <w:rPr>
          <w:rFonts w:ascii="SimSun" w:eastAsia="SimSun" w:hAnsi="SimSun" w:cs="SimSun" w:hint="eastAsia"/>
          <w:sz w:val="24"/>
          <w:szCs w:val="24"/>
          <w:lang w:eastAsia="zh-CN"/>
        </w:rPr>
        <w:t>下列国家代表</w:t>
      </w:r>
      <w:r>
        <w:rPr>
          <w:rFonts w:ascii="SimSun" w:eastAsia="SimSun" w:hAnsi="SimSun" w:cs="SimSun" w:hint="eastAsia"/>
          <w:sz w:val="24"/>
          <w:szCs w:val="24"/>
          <w:lang w:eastAsia="zh-CN"/>
        </w:rPr>
        <w:t>作了发言</w:t>
      </w:r>
      <w:r w:rsidRPr="00BF256D">
        <w:rPr>
          <w:rFonts w:ascii="SimSun" w:eastAsia="SimSun" w:hAnsi="SimSun" w:cs="SimSun" w:hint="eastAsia"/>
          <w:sz w:val="24"/>
          <w:szCs w:val="24"/>
          <w:lang w:eastAsia="zh-CN"/>
        </w:rPr>
        <w:t>：阿根廷、</w:t>
      </w:r>
      <w:r>
        <w:rPr>
          <w:rFonts w:ascii="SimSun" w:eastAsia="SimSun" w:hAnsi="SimSun" w:cs="SimSun" w:hint="eastAsia"/>
          <w:sz w:val="24"/>
          <w:szCs w:val="24"/>
          <w:lang w:eastAsia="zh-CN"/>
        </w:rPr>
        <w:t>巴西、</w:t>
      </w:r>
      <w:r>
        <w:rPr>
          <w:rFonts w:ascii="SimSun" w:eastAsia="SimSun" w:hAnsi="SimSun" w:cs="SimSun"/>
          <w:sz w:val="24"/>
          <w:szCs w:val="24"/>
          <w:lang w:eastAsia="zh-CN"/>
        </w:rPr>
        <w:t>中国、哥伦比亚</w:t>
      </w:r>
      <w:r>
        <w:rPr>
          <w:rFonts w:ascii="SimSun" w:eastAsia="SimSun" w:hAnsi="SimSun" w:cs="SimSun" w:hint="eastAsia"/>
          <w:sz w:val="24"/>
          <w:szCs w:val="24"/>
          <w:lang w:eastAsia="zh-CN"/>
        </w:rPr>
        <w:t>、</w:t>
      </w:r>
      <w:r>
        <w:rPr>
          <w:rFonts w:ascii="SimSun" w:eastAsia="SimSun" w:hAnsi="SimSun" w:cs="SimSun"/>
          <w:sz w:val="24"/>
          <w:szCs w:val="24"/>
          <w:lang w:eastAsia="zh-CN"/>
        </w:rPr>
        <w:t>印度尼西亚、摩洛哥、菲律宾、土耳其和委内瑞拉玻利瓦尔共和国。</w:t>
      </w:r>
    </w:p>
    <w:p w:rsidR="003A6994" w:rsidRDefault="00620827" w:rsidP="00D2148E">
      <w:pPr>
        <w:pStyle w:val="Para1"/>
        <w:numPr>
          <w:ilvl w:val="0"/>
          <w:numId w:val="9"/>
        </w:numPr>
        <w:tabs>
          <w:tab w:val="clear" w:pos="360"/>
          <w:tab w:val="left" w:pos="720"/>
        </w:tabs>
        <w:ind w:firstLine="0"/>
        <w:rPr>
          <w:rFonts w:hAnsi="SimSun"/>
          <w:sz w:val="24"/>
          <w:szCs w:val="24"/>
          <w:lang w:eastAsia="zh-CN"/>
        </w:rPr>
      </w:pPr>
      <w:r>
        <w:rPr>
          <w:rFonts w:hAnsi="SimSun" w:hint="eastAsia"/>
          <w:sz w:val="24"/>
          <w:szCs w:val="24"/>
          <w:lang w:eastAsia="zh-CN"/>
        </w:rPr>
        <w:t>大韩民国</w:t>
      </w:r>
      <w:r>
        <w:rPr>
          <w:rFonts w:hAnsi="SimSun"/>
          <w:sz w:val="24"/>
          <w:szCs w:val="24"/>
          <w:lang w:eastAsia="zh-CN"/>
        </w:rPr>
        <w:t>的代表要求将其发言列入报告，</w:t>
      </w:r>
      <w:r w:rsidR="003A6994">
        <w:rPr>
          <w:rFonts w:hAnsi="SimSun" w:hint="eastAsia"/>
          <w:sz w:val="24"/>
          <w:szCs w:val="24"/>
          <w:lang w:eastAsia="zh-CN"/>
        </w:rPr>
        <w:t>该</w:t>
      </w:r>
      <w:r w:rsidR="003A6994">
        <w:rPr>
          <w:rFonts w:hAnsi="SimSun"/>
          <w:sz w:val="24"/>
          <w:szCs w:val="24"/>
          <w:lang w:eastAsia="zh-CN"/>
        </w:rPr>
        <w:t>代表</w:t>
      </w:r>
      <w:r>
        <w:rPr>
          <w:rFonts w:hAnsi="SimSun"/>
          <w:sz w:val="24"/>
          <w:szCs w:val="24"/>
          <w:lang w:eastAsia="zh-CN"/>
        </w:rPr>
        <w:t>要求</w:t>
      </w:r>
      <w:r w:rsidR="00816C5A">
        <w:rPr>
          <w:rFonts w:hAnsi="SimSun"/>
          <w:sz w:val="24"/>
          <w:szCs w:val="24"/>
          <w:lang w:eastAsia="zh-CN"/>
        </w:rPr>
        <w:t>执行秘书</w:t>
      </w:r>
      <w:r w:rsidR="00816C5A">
        <w:rPr>
          <w:rFonts w:hAnsi="SimSun" w:hint="eastAsia"/>
          <w:sz w:val="24"/>
          <w:szCs w:val="24"/>
          <w:lang w:eastAsia="zh-CN"/>
        </w:rPr>
        <w:t>应</w:t>
      </w:r>
      <w:r w:rsidR="00816C5A">
        <w:rPr>
          <w:rFonts w:hAnsi="SimSun"/>
          <w:sz w:val="24"/>
          <w:szCs w:val="24"/>
          <w:lang w:eastAsia="zh-CN"/>
        </w:rPr>
        <w:t>适当考虑当前的讨论</w:t>
      </w:r>
      <w:r w:rsidR="003A6994">
        <w:rPr>
          <w:rFonts w:hAnsi="SimSun" w:hint="eastAsia"/>
          <w:sz w:val="24"/>
          <w:szCs w:val="24"/>
          <w:lang w:eastAsia="zh-CN"/>
        </w:rPr>
        <w:t>，</w:t>
      </w:r>
      <w:r w:rsidR="00816C5A">
        <w:rPr>
          <w:rFonts w:hAnsi="SimSun" w:hint="eastAsia"/>
          <w:sz w:val="24"/>
          <w:szCs w:val="24"/>
          <w:lang w:eastAsia="zh-CN"/>
        </w:rPr>
        <w:t>并</w:t>
      </w:r>
      <w:r w:rsidR="00816C5A">
        <w:rPr>
          <w:rFonts w:hAnsi="SimSun"/>
          <w:sz w:val="24"/>
          <w:szCs w:val="24"/>
          <w:lang w:eastAsia="zh-CN"/>
        </w:rPr>
        <w:t>在</w:t>
      </w:r>
      <w:r w:rsidR="003A6994">
        <w:rPr>
          <w:rFonts w:hAnsi="SimSun" w:hint="eastAsia"/>
          <w:sz w:val="24"/>
          <w:szCs w:val="24"/>
          <w:lang w:eastAsia="zh-CN"/>
        </w:rPr>
        <w:t>秘书处</w:t>
      </w:r>
      <w:r w:rsidR="003A6994">
        <w:rPr>
          <w:rFonts w:hAnsi="SimSun"/>
          <w:sz w:val="24"/>
          <w:szCs w:val="24"/>
          <w:lang w:eastAsia="zh-CN"/>
        </w:rPr>
        <w:t>在收到来文后，</w:t>
      </w:r>
      <w:r w:rsidR="00816C5A">
        <w:rPr>
          <w:rFonts w:hAnsi="SimSun" w:hint="eastAsia"/>
          <w:sz w:val="24"/>
          <w:szCs w:val="24"/>
          <w:lang w:eastAsia="zh-CN"/>
        </w:rPr>
        <w:t>适当考虑</w:t>
      </w:r>
      <w:r w:rsidR="003A6994">
        <w:rPr>
          <w:rFonts w:hAnsi="SimSun"/>
          <w:sz w:val="24"/>
          <w:szCs w:val="24"/>
          <w:lang w:eastAsia="zh-CN"/>
        </w:rPr>
        <w:t>缔约方就</w:t>
      </w:r>
      <w:r w:rsidR="00816C5A">
        <w:rPr>
          <w:rFonts w:hAnsi="SimSun" w:hint="eastAsia"/>
          <w:sz w:val="24"/>
          <w:szCs w:val="24"/>
          <w:lang w:eastAsia="zh-CN"/>
        </w:rPr>
        <w:t>向</w:t>
      </w:r>
      <w:r w:rsidR="003A6994">
        <w:rPr>
          <w:rFonts w:hAnsi="SimSun"/>
          <w:sz w:val="24"/>
          <w:szCs w:val="24"/>
          <w:lang w:eastAsia="zh-CN"/>
        </w:rPr>
        <w:t>具有重要</w:t>
      </w:r>
      <w:r w:rsidR="00260F6B">
        <w:rPr>
          <w:rFonts w:hAnsi="SimSun"/>
          <w:sz w:val="24"/>
          <w:szCs w:val="24"/>
          <w:lang w:eastAsia="zh-CN"/>
        </w:rPr>
        <w:t>生态或生物多样性</w:t>
      </w:r>
      <w:r w:rsidR="003A6994">
        <w:rPr>
          <w:rFonts w:hAnsi="SimSun"/>
          <w:sz w:val="24"/>
          <w:szCs w:val="24"/>
          <w:lang w:eastAsia="zh-CN"/>
        </w:rPr>
        <w:t>意义的海洋区域</w:t>
      </w:r>
      <w:r w:rsidR="00816C5A">
        <w:rPr>
          <w:rFonts w:hAnsi="SimSun" w:hint="eastAsia"/>
          <w:sz w:val="24"/>
          <w:szCs w:val="24"/>
          <w:lang w:eastAsia="zh-CN"/>
        </w:rPr>
        <w:t>信息库</w:t>
      </w:r>
      <w:r w:rsidR="003A6994">
        <w:rPr>
          <w:rFonts w:hAnsi="SimSun"/>
          <w:sz w:val="24"/>
          <w:szCs w:val="24"/>
          <w:lang w:eastAsia="zh-CN"/>
        </w:rPr>
        <w:t>提交国家工作成果的现行进程</w:t>
      </w:r>
      <w:r w:rsidR="00816C5A">
        <w:rPr>
          <w:rFonts w:hAnsi="SimSun" w:hint="eastAsia"/>
          <w:sz w:val="24"/>
          <w:szCs w:val="24"/>
          <w:lang w:eastAsia="zh-CN"/>
        </w:rPr>
        <w:t>所</w:t>
      </w:r>
      <w:r w:rsidR="00816C5A">
        <w:rPr>
          <w:rFonts w:hAnsi="SimSun"/>
          <w:sz w:val="24"/>
          <w:szCs w:val="24"/>
          <w:lang w:eastAsia="zh-CN"/>
        </w:rPr>
        <w:t>表达的关切</w:t>
      </w:r>
      <w:r w:rsidR="003A6994">
        <w:rPr>
          <w:rFonts w:hAnsi="SimSun"/>
          <w:sz w:val="24"/>
          <w:szCs w:val="24"/>
          <w:lang w:eastAsia="zh-CN"/>
        </w:rPr>
        <w:t>。</w:t>
      </w:r>
    </w:p>
    <w:p w:rsidR="00816C5A" w:rsidRDefault="00816C5A" w:rsidP="00D2148E">
      <w:pPr>
        <w:pStyle w:val="Para1"/>
        <w:numPr>
          <w:ilvl w:val="0"/>
          <w:numId w:val="9"/>
        </w:numPr>
        <w:tabs>
          <w:tab w:val="clear" w:pos="360"/>
          <w:tab w:val="left" w:pos="720"/>
        </w:tabs>
        <w:ind w:firstLine="0"/>
        <w:rPr>
          <w:rFonts w:hAnsi="SimSun"/>
          <w:sz w:val="24"/>
          <w:szCs w:val="24"/>
          <w:lang w:eastAsia="zh-CN"/>
        </w:rPr>
      </w:pPr>
      <w:r>
        <w:rPr>
          <w:rFonts w:hAnsi="SimSun" w:hint="eastAsia"/>
          <w:sz w:val="24"/>
          <w:szCs w:val="24"/>
          <w:lang w:eastAsia="zh-CN"/>
        </w:rPr>
        <w:t>新加坡</w:t>
      </w:r>
      <w:r>
        <w:rPr>
          <w:rFonts w:hAnsi="SimSun"/>
          <w:sz w:val="24"/>
          <w:szCs w:val="24"/>
          <w:lang w:eastAsia="zh-CN"/>
        </w:rPr>
        <w:t>的代表要求将其发言列入报告，</w:t>
      </w:r>
      <w:r>
        <w:rPr>
          <w:rFonts w:hAnsi="SimSun" w:hint="eastAsia"/>
          <w:sz w:val="24"/>
          <w:szCs w:val="24"/>
          <w:lang w:eastAsia="zh-CN"/>
        </w:rPr>
        <w:t>她说</w:t>
      </w:r>
      <w:r>
        <w:rPr>
          <w:rFonts w:hAnsi="SimSun"/>
          <w:sz w:val="24"/>
          <w:szCs w:val="24"/>
          <w:lang w:eastAsia="zh-CN"/>
        </w:rPr>
        <w:t>，</w:t>
      </w:r>
      <w:r w:rsidR="005B3352">
        <w:rPr>
          <w:rFonts w:hAnsi="SimSun" w:hint="eastAsia"/>
          <w:sz w:val="24"/>
          <w:szCs w:val="24"/>
          <w:lang w:eastAsia="zh-CN"/>
        </w:rPr>
        <w:t>虽然</w:t>
      </w:r>
      <w:r w:rsidR="005B3352">
        <w:rPr>
          <w:rFonts w:hAnsi="SimSun"/>
          <w:sz w:val="24"/>
          <w:szCs w:val="24"/>
          <w:lang w:eastAsia="zh-CN"/>
        </w:rPr>
        <w:t>经过了漫长的讨论，但关于描述具有重要生态或生物多样性意义的区域的协商</w:t>
      </w:r>
      <w:r w:rsidR="005B3352">
        <w:rPr>
          <w:rFonts w:hAnsi="SimSun" w:hint="eastAsia"/>
          <w:sz w:val="24"/>
          <w:szCs w:val="24"/>
          <w:lang w:eastAsia="zh-CN"/>
        </w:rPr>
        <w:t>难于</w:t>
      </w:r>
      <w:r w:rsidR="005B3352">
        <w:rPr>
          <w:rFonts w:hAnsi="SimSun"/>
          <w:sz w:val="24"/>
          <w:szCs w:val="24"/>
          <w:lang w:eastAsia="zh-CN"/>
        </w:rPr>
        <w:t>达成共识。但</w:t>
      </w:r>
      <w:r w:rsidR="005B3352">
        <w:rPr>
          <w:rFonts w:hAnsi="SimSun" w:hint="eastAsia"/>
          <w:sz w:val="24"/>
          <w:szCs w:val="24"/>
          <w:lang w:eastAsia="zh-CN"/>
        </w:rPr>
        <w:t>很显然</w:t>
      </w:r>
      <w:r w:rsidR="005B3352">
        <w:rPr>
          <w:rFonts w:hAnsi="SimSun"/>
          <w:sz w:val="24"/>
          <w:szCs w:val="24"/>
          <w:lang w:eastAsia="zh-CN"/>
        </w:rPr>
        <w:t>，</w:t>
      </w:r>
      <w:r w:rsidR="005B3352">
        <w:rPr>
          <w:rFonts w:hAnsi="SimSun" w:hint="eastAsia"/>
          <w:sz w:val="24"/>
          <w:szCs w:val="24"/>
          <w:lang w:eastAsia="zh-CN"/>
        </w:rPr>
        <w:t>决定</w:t>
      </w:r>
      <w:r w:rsidR="005B3352">
        <w:rPr>
          <w:rFonts w:hAnsi="SimSun"/>
          <w:sz w:val="24"/>
          <w:szCs w:val="24"/>
          <w:lang w:eastAsia="zh-CN"/>
        </w:rPr>
        <w:t>中的</w:t>
      </w:r>
      <w:r w:rsidR="00AE06C5">
        <w:rPr>
          <w:rFonts w:hAnsi="SimSun"/>
          <w:sz w:val="24"/>
          <w:szCs w:val="24"/>
          <w:lang w:eastAsia="zh-CN"/>
        </w:rPr>
        <w:t>措辞</w:t>
      </w:r>
      <w:r w:rsidR="005B3352">
        <w:rPr>
          <w:rFonts w:hAnsi="SimSun"/>
          <w:sz w:val="24"/>
          <w:szCs w:val="24"/>
          <w:lang w:eastAsia="zh-CN"/>
        </w:rPr>
        <w:t>不可能增加或减少国际法</w:t>
      </w:r>
      <w:r w:rsidR="005B3352">
        <w:rPr>
          <w:rFonts w:hAnsi="SimSun" w:hint="eastAsia"/>
          <w:sz w:val="24"/>
          <w:szCs w:val="24"/>
          <w:lang w:eastAsia="zh-CN"/>
        </w:rPr>
        <w:t>包括《</w:t>
      </w:r>
      <w:r w:rsidR="005B3352">
        <w:rPr>
          <w:rFonts w:hAnsi="SimSun"/>
          <w:sz w:val="24"/>
          <w:szCs w:val="24"/>
          <w:lang w:eastAsia="zh-CN"/>
        </w:rPr>
        <w:t>联合国海洋法公约》</w:t>
      </w:r>
      <w:r w:rsidR="005B3352">
        <w:rPr>
          <w:rFonts w:hAnsi="SimSun" w:hint="eastAsia"/>
          <w:sz w:val="24"/>
          <w:szCs w:val="24"/>
          <w:lang w:eastAsia="zh-CN"/>
        </w:rPr>
        <w:t>为</w:t>
      </w:r>
      <w:r w:rsidR="005B3352">
        <w:rPr>
          <w:rFonts w:hAnsi="SimSun"/>
          <w:sz w:val="24"/>
          <w:szCs w:val="24"/>
          <w:lang w:eastAsia="zh-CN"/>
        </w:rPr>
        <w:t>各国规定的</w:t>
      </w:r>
      <w:r w:rsidR="005B3352">
        <w:rPr>
          <w:rFonts w:hAnsi="SimSun" w:hint="eastAsia"/>
          <w:sz w:val="24"/>
          <w:szCs w:val="24"/>
          <w:lang w:eastAsia="zh-CN"/>
        </w:rPr>
        <w:t>磋商</w:t>
      </w:r>
      <w:r w:rsidR="005B3352">
        <w:rPr>
          <w:rFonts w:hAnsi="SimSun"/>
          <w:sz w:val="24"/>
          <w:szCs w:val="24"/>
          <w:lang w:eastAsia="zh-CN"/>
        </w:rPr>
        <w:t>与合作的现行义务</w:t>
      </w:r>
      <w:r w:rsidR="005B3352">
        <w:rPr>
          <w:rFonts w:hAnsi="SimSun" w:hint="eastAsia"/>
          <w:sz w:val="24"/>
          <w:szCs w:val="24"/>
          <w:lang w:eastAsia="zh-CN"/>
        </w:rPr>
        <w:t>。</w:t>
      </w:r>
    </w:p>
    <w:p w:rsidR="00D2148E" w:rsidRPr="00B611EC" w:rsidRDefault="005B3352" w:rsidP="00873E85">
      <w:pPr>
        <w:pStyle w:val="Para1"/>
        <w:numPr>
          <w:ilvl w:val="0"/>
          <w:numId w:val="9"/>
        </w:numPr>
        <w:tabs>
          <w:tab w:val="clear" w:pos="360"/>
          <w:tab w:val="left" w:pos="720"/>
        </w:tabs>
        <w:ind w:firstLine="0"/>
        <w:rPr>
          <w:rFonts w:hAnsi="SimSun"/>
          <w:sz w:val="24"/>
          <w:szCs w:val="24"/>
          <w:lang w:eastAsia="zh-CN"/>
        </w:rPr>
      </w:pPr>
      <w:r w:rsidRPr="00B611EC">
        <w:rPr>
          <w:rFonts w:hAnsi="SimSun" w:hint="eastAsia"/>
          <w:sz w:val="24"/>
          <w:szCs w:val="24"/>
          <w:lang w:eastAsia="zh-CN"/>
        </w:rPr>
        <w:t>欧洲联盟</w:t>
      </w:r>
      <w:r w:rsidRPr="00B611EC">
        <w:rPr>
          <w:rFonts w:hAnsi="SimSun"/>
          <w:sz w:val="24"/>
          <w:szCs w:val="24"/>
          <w:lang w:eastAsia="zh-CN"/>
        </w:rPr>
        <w:t>及其</w:t>
      </w:r>
      <w:r w:rsidRPr="00B611EC">
        <w:rPr>
          <w:rFonts w:hAnsi="SimSun" w:hint="eastAsia"/>
          <w:sz w:val="24"/>
          <w:szCs w:val="24"/>
          <w:lang w:eastAsia="zh-CN"/>
        </w:rPr>
        <w:t>28</w:t>
      </w:r>
      <w:r w:rsidRPr="00B611EC">
        <w:rPr>
          <w:rFonts w:hAnsi="SimSun" w:hint="eastAsia"/>
          <w:sz w:val="24"/>
          <w:szCs w:val="24"/>
          <w:lang w:eastAsia="zh-CN"/>
        </w:rPr>
        <w:t>个成员国</w:t>
      </w:r>
      <w:r w:rsidRPr="00B611EC">
        <w:rPr>
          <w:rFonts w:hAnsi="SimSun"/>
          <w:sz w:val="24"/>
          <w:szCs w:val="24"/>
          <w:lang w:eastAsia="zh-CN"/>
        </w:rPr>
        <w:t>的代表要求将其发言列入报告，她说，</w:t>
      </w:r>
      <w:r w:rsidR="00AE06C5" w:rsidRPr="00B611EC">
        <w:rPr>
          <w:rFonts w:hAnsi="SimSun" w:hint="eastAsia"/>
          <w:sz w:val="24"/>
          <w:szCs w:val="24"/>
          <w:lang w:eastAsia="zh-CN"/>
        </w:rPr>
        <w:t>关于</w:t>
      </w:r>
      <w:r w:rsidR="00AE06C5" w:rsidRPr="00B611EC">
        <w:rPr>
          <w:rFonts w:hAnsi="SimSun"/>
          <w:sz w:val="24"/>
          <w:szCs w:val="24"/>
          <w:lang w:eastAsia="zh-CN"/>
        </w:rPr>
        <w:t>本事项决定的序言，</w:t>
      </w:r>
      <w:r w:rsidR="00AE06C5" w:rsidRPr="00B611EC">
        <w:rPr>
          <w:rFonts w:hAnsi="SimSun" w:hint="eastAsia"/>
          <w:sz w:val="24"/>
          <w:szCs w:val="24"/>
          <w:lang w:eastAsia="zh-CN"/>
        </w:rPr>
        <w:t>大会</w:t>
      </w:r>
      <w:r w:rsidR="00AE06C5" w:rsidRPr="00B611EC">
        <w:rPr>
          <w:rFonts w:hAnsi="SimSun"/>
          <w:sz w:val="24"/>
          <w:szCs w:val="24"/>
          <w:lang w:eastAsia="zh-CN"/>
        </w:rPr>
        <w:t>第</w:t>
      </w:r>
      <w:r w:rsidR="00D2148E" w:rsidRPr="00B611EC">
        <w:rPr>
          <w:rFonts w:hAnsi="SimSun"/>
          <w:sz w:val="24"/>
          <w:szCs w:val="24"/>
          <w:lang w:eastAsia="zh-CN"/>
        </w:rPr>
        <w:t>72/73</w:t>
      </w:r>
      <w:r w:rsidR="00AE06C5" w:rsidRPr="00B611EC">
        <w:rPr>
          <w:rFonts w:hAnsi="SimSun" w:hint="eastAsia"/>
          <w:sz w:val="24"/>
          <w:szCs w:val="24"/>
          <w:lang w:eastAsia="zh-CN"/>
        </w:rPr>
        <w:t>号决议</w:t>
      </w:r>
      <w:r w:rsidR="00AE06C5" w:rsidRPr="00B611EC">
        <w:rPr>
          <w:rFonts w:hAnsi="SimSun"/>
          <w:sz w:val="24"/>
          <w:szCs w:val="24"/>
          <w:lang w:eastAsia="zh-CN"/>
        </w:rPr>
        <w:t>关于海洋和海洋法的商定措辞</w:t>
      </w:r>
      <w:r w:rsidR="00F60132" w:rsidRPr="00B611EC">
        <w:rPr>
          <w:rFonts w:hAnsi="SimSun" w:hint="eastAsia"/>
          <w:sz w:val="24"/>
          <w:szCs w:val="24"/>
          <w:lang w:eastAsia="zh-CN"/>
        </w:rPr>
        <w:t>强调</w:t>
      </w:r>
      <w:r w:rsidR="00F60132" w:rsidRPr="00B611EC">
        <w:rPr>
          <w:rFonts w:hAnsi="SimSun"/>
          <w:sz w:val="24"/>
          <w:szCs w:val="24"/>
          <w:lang w:eastAsia="zh-CN"/>
        </w:rPr>
        <w:t>了《海洋法公约》的普遍</w:t>
      </w:r>
      <w:r w:rsidR="00F60132" w:rsidRPr="00B611EC">
        <w:rPr>
          <w:rFonts w:hAnsi="SimSun" w:hint="eastAsia"/>
          <w:sz w:val="24"/>
          <w:szCs w:val="24"/>
          <w:lang w:eastAsia="zh-CN"/>
        </w:rPr>
        <w:t>性</w:t>
      </w:r>
      <w:r w:rsidR="00F60132" w:rsidRPr="00B611EC">
        <w:rPr>
          <w:rFonts w:hAnsi="SimSun"/>
          <w:sz w:val="24"/>
          <w:szCs w:val="24"/>
          <w:lang w:eastAsia="zh-CN"/>
        </w:rPr>
        <w:t>和</w:t>
      </w:r>
      <w:r w:rsidR="00F60132" w:rsidRPr="00B611EC">
        <w:rPr>
          <w:rFonts w:hAnsi="SimSun" w:hint="eastAsia"/>
          <w:sz w:val="24"/>
          <w:szCs w:val="24"/>
          <w:lang w:eastAsia="zh-CN"/>
        </w:rPr>
        <w:t>统一性</w:t>
      </w:r>
      <w:r w:rsidR="00F60132" w:rsidRPr="00B611EC">
        <w:rPr>
          <w:rFonts w:hAnsi="SimSun"/>
          <w:sz w:val="24"/>
          <w:szCs w:val="24"/>
          <w:lang w:eastAsia="zh-CN"/>
        </w:rPr>
        <w:t>，该公约规定了</w:t>
      </w:r>
      <w:r w:rsidR="00214D61" w:rsidRPr="00B611EC">
        <w:rPr>
          <w:rFonts w:hAnsi="SimSun" w:hint="eastAsia"/>
          <w:sz w:val="24"/>
          <w:szCs w:val="24"/>
          <w:lang w:eastAsia="zh-CN"/>
        </w:rPr>
        <w:t>在海洋</w:t>
      </w:r>
      <w:r w:rsidR="00214D61" w:rsidRPr="00B611EC">
        <w:rPr>
          <w:rFonts w:hAnsi="SimSun"/>
          <w:sz w:val="24"/>
          <w:szCs w:val="24"/>
          <w:lang w:eastAsia="zh-CN"/>
        </w:rPr>
        <w:t>和海域</w:t>
      </w:r>
      <w:r w:rsidR="00214D61" w:rsidRPr="00B611EC">
        <w:rPr>
          <w:rFonts w:hAnsi="SimSun" w:hint="eastAsia"/>
          <w:sz w:val="24"/>
          <w:szCs w:val="24"/>
          <w:lang w:eastAsia="zh-CN"/>
        </w:rPr>
        <w:t>开展</w:t>
      </w:r>
      <w:r w:rsidR="00214D61" w:rsidRPr="00B611EC">
        <w:rPr>
          <w:rFonts w:hAnsi="SimSun"/>
          <w:sz w:val="24"/>
          <w:szCs w:val="24"/>
          <w:lang w:eastAsia="zh-CN"/>
        </w:rPr>
        <w:t>所有活动的法律框架，</w:t>
      </w:r>
      <w:r w:rsidR="00F60132" w:rsidRPr="00B611EC">
        <w:rPr>
          <w:rFonts w:hAnsi="SimSun" w:hint="eastAsia"/>
          <w:sz w:val="24"/>
          <w:szCs w:val="24"/>
          <w:lang w:eastAsia="zh-CN"/>
        </w:rPr>
        <w:t>因此具有作为海洋</w:t>
      </w:r>
      <w:r w:rsidR="00F60132" w:rsidRPr="00B611EC">
        <w:rPr>
          <w:rFonts w:hAnsi="SimSun"/>
          <w:sz w:val="24"/>
          <w:szCs w:val="24"/>
          <w:lang w:eastAsia="zh-CN"/>
        </w:rPr>
        <w:t>部门</w:t>
      </w:r>
      <w:r w:rsidR="00214D61" w:rsidRPr="00B611EC">
        <w:rPr>
          <w:rFonts w:hAnsi="SimSun" w:hint="eastAsia"/>
          <w:sz w:val="24"/>
          <w:szCs w:val="24"/>
          <w:lang w:eastAsia="zh-CN"/>
        </w:rPr>
        <w:t>中的</w:t>
      </w:r>
      <w:r w:rsidR="00F60132" w:rsidRPr="00B611EC">
        <w:rPr>
          <w:rFonts w:hAnsi="SimSun"/>
          <w:sz w:val="24"/>
          <w:szCs w:val="24"/>
          <w:lang w:eastAsia="zh-CN"/>
        </w:rPr>
        <w:t>国家、区域和全球行动与合作</w:t>
      </w:r>
      <w:r w:rsidR="00214D61" w:rsidRPr="00B611EC">
        <w:rPr>
          <w:rFonts w:hAnsi="SimSun" w:hint="eastAsia"/>
          <w:sz w:val="24"/>
          <w:szCs w:val="24"/>
          <w:lang w:eastAsia="zh-CN"/>
        </w:rPr>
        <w:t>的</w:t>
      </w:r>
      <w:r w:rsidR="00214D61" w:rsidRPr="00B611EC">
        <w:rPr>
          <w:rFonts w:hAnsi="SimSun"/>
          <w:sz w:val="24"/>
          <w:szCs w:val="24"/>
          <w:lang w:eastAsia="zh-CN"/>
        </w:rPr>
        <w:t>基础</w:t>
      </w:r>
      <w:r w:rsidR="00F60132" w:rsidRPr="00B611EC">
        <w:rPr>
          <w:rFonts w:hAnsi="SimSun" w:hint="eastAsia"/>
          <w:sz w:val="24"/>
          <w:szCs w:val="24"/>
          <w:lang w:eastAsia="zh-CN"/>
        </w:rPr>
        <w:t>的</w:t>
      </w:r>
      <w:r w:rsidR="00F60132" w:rsidRPr="00B611EC">
        <w:rPr>
          <w:rFonts w:hAnsi="SimSun"/>
          <w:sz w:val="24"/>
          <w:szCs w:val="24"/>
          <w:lang w:eastAsia="zh-CN"/>
        </w:rPr>
        <w:t>战略意义</w:t>
      </w:r>
      <w:r w:rsidR="00F60132" w:rsidRPr="00B611EC">
        <w:rPr>
          <w:rFonts w:hAnsi="SimSun" w:hint="eastAsia"/>
          <w:sz w:val="24"/>
          <w:szCs w:val="24"/>
          <w:lang w:eastAsia="zh-CN"/>
        </w:rPr>
        <w:t>。</w:t>
      </w:r>
      <w:r w:rsidR="00260F6B" w:rsidRPr="00B611EC">
        <w:rPr>
          <w:rFonts w:hAnsi="SimSun" w:hint="eastAsia"/>
          <w:sz w:val="24"/>
          <w:szCs w:val="24"/>
          <w:lang w:eastAsia="zh-CN"/>
        </w:rPr>
        <w:t>正如联合国</w:t>
      </w:r>
      <w:r w:rsidR="00260F6B" w:rsidRPr="00B611EC">
        <w:rPr>
          <w:rFonts w:hAnsi="SimSun"/>
          <w:sz w:val="24"/>
          <w:szCs w:val="24"/>
          <w:lang w:eastAsia="zh-CN"/>
        </w:rPr>
        <w:t>环境与发展大会在《</w:t>
      </w:r>
      <w:r w:rsidR="00260F6B" w:rsidRPr="00B611EC">
        <w:rPr>
          <w:rFonts w:hAnsi="SimSun" w:hint="eastAsia"/>
          <w:sz w:val="24"/>
          <w:szCs w:val="24"/>
          <w:lang w:eastAsia="zh-CN"/>
        </w:rPr>
        <w:t>二十一世纪</w:t>
      </w:r>
      <w:r w:rsidR="00260F6B" w:rsidRPr="00B611EC">
        <w:rPr>
          <w:rFonts w:hAnsi="SimSun"/>
          <w:sz w:val="24"/>
          <w:szCs w:val="24"/>
          <w:lang w:eastAsia="zh-CN"/>
        </w:rPr>
        <w:t>议程》第十七章中承认的，</w:t>
      </w:r>
      <w:r w:rsidR="00260F6B" w:rsidRPr="00B611EC">
        <w:rPr>
          <w:rFonts w:hAnsi="SimSun" w:hint="eastAsia"/>
          <w:sz w:val="24"/>
          <w:szCs w:val="24"/>
          <w:lang w:eastAsia="zh-CN"/>
        </w:rPr>
        <w:t>必须</w:t>
      </w:r>
      <w:r w:rsidR="00260F6B" w:rsidRPr="00B611EC">
        <w:rPr>
          <w:rFonts w:hAnsi="SimSun"/>
          <w:sz w:val="24"/>
          <w:szCs w:val="24"/>
          <w:lang w:eastAsia="zh-CN"/>
        </w:rPr>
        <w:t>维持</w:t>
      </w:r>
      <w:r w:rsidR="00260F6B" w:rsidRPr="00B611EC">
        <w:rPr>
          <w:rFonts w:hAnsi="SimSun" w:hint="eastAsia"/>
          <w:sz w:val="24"/>
          <w:szCs w:val="24"/>
          <w:lang w:eastAsia="zh-CN"/>
        </w:rPr>
        <w:t>这一</w:t>
      </w:r>
      <w:r w:rsidR="00260F6B" w:rsidRPr="00B611EC">
        <w:rPr>
          <w:rFonts w:hAnsi="SimSun"/>
          <w:sz w:val="24"/>
          <w:szCs w:val="24"/>
          <w:lang w:eastAsia="zh-CN"/>
        </w:rPr>
        <w:t>法律框架的完整性。</w:t>
      </w:r>
      <w:r w:rsidR="00260F6B" w:rsidRPr="00B611EC">
        <w:rPr>
          <w:rFonts w:hAnsi="SimSun" w:hint="eastAsia"/>
          <w:sz w:val="24"/>
          <w:szCs w:val="24"/>
          <w:lang w:eastAsia="zh-CN"/>
        </w:rPr>
        <w:t>因此</w:t>
      </w:r>
      <w:r w:rsidR="00260F6B" w:rsidRPr="00B611EC">
        <w:rPr>
          <w:rFonts w:hAnsi="SimSun"/>
          <w:sz w:val="24"/>
          <w:szCs w:val="24"/>
          <w:lang w:eastAsia="zh-CN"/>
        </w:rPr>
        <w:t>，关于有关具有重要生态或</w:t>
      </w:r>
      <w:r w:rsidR="00260F6B" w:rsidRPr="00B611EC">
        <w:rPr>
          <w:rFonts w:hAnsi="SimSun" w:hint="eastAsia"/>
          <w:sz w:val="24"/>
          <w:szCs w:val="24"/>
          <w:lang w:eastAsia="zh-CN"/>
        </w:rPr>
        <w:t>生物多样性</w:t>
      </w:r>
      <w:r w:rsidR="00260F6B" w:rsidRPr="00B611EC">
        <w:rPr>
          <w:rFonts w:hAnsi="SimSun"/>
          <w:sz w:val="24"/>
          <w:szCs w:val="24"/>
          <w:lang w:eastAsia="zh-CN"/>
        </w:rPr>
        <w:t>意义的海洋区域的决定草案，她重申，</w:t>
      </w:r>
      <w:r w:rsidR="00260F6B" w:rsidRPr="00B611EC">
        <w:rPr>
          <w:rFonts w:hAnsi="SimSun" w:hint="eastAsia"/>
          <w:sz w:val="24"/>
          <w:szCs w:val="24"/>
          <w:lang w:eastAsia="zh-CN"/>
        </w:rPr>
        <w:t>通过</w:t>
      </w:r>
      <w:r w:rsidR="00260F6B" w:rsidRPr="00B611EC">
        <w:rPr>
          <w:rFonts w:hAnsi="SimSun"/>
          <w:sz w:val="24"/>
          <w:szCs w:val="24"/>
          <w:lang w:eastAsia="zh-CN"/>
        </w:rPr>
        <w:t>建立</w:t>
      </w:r>
      <w:r w:rsidR="00260F6B" w:rsidRPr="00B611EC">
        <w:rPr>
          <w:rFonts w:hAnsi="SimSun" w:hint="eastAsia"/>
          <w:sz w:val="24"/>
          <w:szCs w:val="24"/>
          <w:lang w:eastAsia="zh-CN"/>
        </w:rPr>
        <w:t>在海洋</w:t>
      </w:r>
      <w:r w:rsidR="00260F6B" w:rsidRPr="00B611EC">
        <w:rPr>
          <w:rFonts w:hAnsi="SimSun"/>
          <w:sz w:val="24"/>
          <w:szCs w:val="24"/>
          <w:lang w:eastAsia="zh-CN"/>
        </w:rPr>
        <w:t>和海域</w:t>
      </w:r>
      <w:r w:rsidR="00260F6B" w:rsidRPr="00B611EC">
        <w:rPr>
          <w:rFonts w:hAnsi="SimSun" w:hint="eastAsia"/>
          <w:sz w:val="24"/>
          <w:szCs w:val="24"/>
          <w:lang w:eastAsia="zh-CN"/>
        </w:rPr>
        <w:t>开展</w:t>
      </w:r>
      <w:r w:rsidR="00260F6B" w:rsidRPr="00B611EC">
        <w:rPr>
          <w:rFonts w:hAnsi="SimSun"/>
          <w:sz w:val="24"/>
          <w:szCs w:val="24"/>
          <w:lang w:eastAsia="zh-CN"/>
        </w:rPr>
        <w:t>所有活动的法律框架</w:t>
      </w:r>
      <w:r w:rsidR="00260F6B" w:rsidRPr="00B611EC">
        <w:rPr>
          <w:rFonts w:hAnsi="SimSun" w:hint="eastAsia"/>
          <w:sz w:val="24"/>
          <w:szCs w:val="24"/>
          <w:lang w:eastAsia="zh-CN"/>
        </w:rPr>
        <w:t>，</w:t>
      </w:r>
      <w:r w:rsidR="00992E1D" w:rsidRPr="00B611EC">
        <w:rPr>
          <w:rFonts w:hAnsi="SimSun" w:hint="eastAsia"/>
          <w:sz w:val="24"/>
          <w:szCs w:val="24"/>
          <w:lang w:eastAsia="zh-CN"/>
        </w:rPr>
        <w:t>《</w:t>
      </w:r>
      <w:r w:rsidR="00992E1D" w:rsidRPr="00B611EC">
        <w:rPr>
          <w:rFonts w:hAnsi="SimSun"/>
          <w:sz w:val="24"/>
          <w:szCs w:val="24"/>
          <w:lang w:eastAsia="zh-CN"/>
        </w:rPr>
        <w:t>海洋法公约》促进了法律的稳定性和</w:t>
      </w:r>
      <w:r w:rsidR="00992E1D" w:rsidRPr="00B611EC">
        <w:rPr>
          <w:rFonts w:hAnsi="SimSun" w:hint="eastAsia"/>
          <w:sz w:val="24"/>
          <w:szCs w:val="24"/>
          <w:lang w:eastAsia="zh-CN"/>
        </w:rPr>
        <w:t>维护</w:t>
      </w:r>
      <w:r w:rsidR="00992E1D" w:rsidRPr="00B611EC">
        <w:rPr>
          <w:rFonts w:hAnsi="SimSun"/>
          <w:sz w:val="24"/>
          <w:szCs w:val="24"/>
          <w:lang w:eastAsia="zh-CN"/>
        </w:rPr>
        <w:t>国际和平与</w:t>
      </w:r>
      <w:r w:rsidR="00992E1D" w:rsidRPr="00B611EC">
        <w:rPr>
          <w:rFonts w:hAnsi="SimSun" w:hint="eastAsia"/>
          <w:sz w:val="24"/>
          <w:szCs w:val="24"/>
          <w:lang w:eastAsia="zh-CN"/>
        </w:rPr>
        <w:t>安全</w:t>
      </w:r>
      <w:r w:rsidR="00992E1D" w:rsidRPr="00B611EC">
        <w:rPr>
          <w:rFonts w:hAnsi="SimSun"/>
          <w:sz w:val="24"/>
          <w:szCs w:val="24"/>
          <w:lang w:eastAsia="zh-CN"/>
        </w:rPr>
        <w:t>。</w:t>
      </w:r>
      <w:r w:rsidR="00992E1D" w:rsidRPr="00B611EC">
        <w:rPr>
          <w:rFonts w:hAnsi="SimSun" w:hint="eastAsia"/>
          <w:sz w:val="24"/>
          <w:szCs w:val="24"/>
          <w:lang w:eastAsia="zh-CN"/>
        </w:rPr>
        <w:t>《</w:t>
      </w:r>
      <w:r w:rsidR="00992E1D" w:rsidRPr="00B611EC">
        <w:rPr>
          <w:rFonts w:hAnsi="SimSun"/>
          <w:sz w:val="24"/>
          <w:szCs w:val="24"/>
          <w:lang w:eastAsia="zh-CN"/>
        </w:rPr>
        <w:t>海洋法公约》的普遍性不仅</w:t>
      </w:r>
      <w:r w:rsidR="00B611EC" w:rsidRPr="00B611EC">
        <w:rPr>
          <w:rFonts w:hAnsi="SimSun" w:hint="eastAsia"/>
          <w:sz w:val="24"/>
          <w:szCs w:val="24"/>
          <w:lang w:eastAsia="zh-CN"/>
        </w:rPr>
        <w:t>体现在</w:t>
      </w:r>
      <w:r w:rsidR="00992E1D" w:rsidRPr="00B611EC">
        <w:rPr>
          <w:rFonts w:hAnsi="SimSun" w:hint="eastAsia"/>
          <w:sz w:val="24"/>
          <w:szCs w:val="24"/>
          <w:lang w:eastAsia="zh-CN"/>
        </w:rPr>
        <w:t>其具有</w:t>
      </w:r>
      <w:r w:rsidR="00992E1D" w:rsidRPr="00B611EC">
        <w:rPr>
          <w:rFonts w:hAnsi="SimSun"/>
          <w:sz w:val="24"/>
          <w:szCs w:val="24"/>
          <w:lang w:eastAsia="zh-CN"/>
        </w:rPr>
        <w:t>普遍性的措辞和宗旨</w:t>
      </w:r>
      <w:r w:rsidR="00992E1D" w:rsidRPr="00B611EC">
        <w:rPr>
          <w:rFonts w:hAnsi="SimSun" w:hint="eastAsia"/>
          <w:sz w:val="24"/>
          <w:szCs w:val="24"/>
          <w:lang w:eastAsia="zh-CN"/>
        </w:rPr>
        <w:t>，并</w:t>
      </w:r>
      <w:r w:rsidR="00992E1D" w:rsidRPr="00B611EC">
        <w:rPr>
          <w:rFonts w:hAnsi="SimSun"/>
          <w:sz w:val="24"/>
          <w:szCs w:val="24"/>
          <w:lang w:eastAsia="zh-CN"/>
        </w:rPr>
        <w:t>承诺在海洋问题</w:t>
      </w:r>
      <w:r w:rsidR="00B611EC" w:rsidRPr="00B611EC">
        <w:rPr>
          <w:rFonts w:hAnsi="SimSun"/>
          <w:sz w:val="24"/>
          <w:szCs w:val="24"/>
          <w:lang w:eastAsia="zh-CN"/>
        </w:rPr>
        <w:t>相互联系和需要作为</w:t>
      </w:r>
      <w:r w:rsidR="00B611EC" w:rsidRPr="00B611EC">
        <w:rPr>
          <w:rFonts w:hAnsi="SimSun" w:hint="eastAsia"/>
          <w:sz w:val="24"/>
          <w:szCs w:val="24"/>
          <w:lang w:eastAsia="zh-CN"/>
        </w:rPr>
        <w:t>一个</w:t>
      </w:r>
      <w:r w:rsidR="00B611EC" w:rsidRPr="00B611EC">
        <w:rPr>
          <w:rFonts w:hAnsi="SimSun"/>
          <w:sz w:val="24"/>
          <w:szCs w:val="24"/>
          <w:lang w:eastAsia="zh-CN"/>
        </w:rPr>
        <w:t>整体</w:t>
      </w:r>
      <w:r w:rsidR="00B611EC" w:rsidRPr="00B611EC">
        <w:rPr>
          <w:rFonts w:hAnsi="SimSun" w:hint="eastAsia"/>
          <w:sz w:val="24"/>
          <w:szCs w:val="24"/>
          <w:lang w:eastAsia="zh-CN"/>
        </w:rPr>
        <w:t>通盘考虑</w:t>
      </w:r>
      <w:r w:rsidR="00B611EC" w:rsidRPr="00B611EC">
        <w:rPr>
          <w:rFonts w:hAnsi="SimSun"/>
          <w:sz w:val="24"/>
          <w:szCs w:val="24"/>
          <w:lang w:eastAsia="zh-CN"/>
        </w:rPr>
        <w:t>的基础上解决所有海洋问题</w:t>
      </w:r>
      <w:r w:rsidR="00B611EC" w:rsidRPr="00B611EC">
        <w:rPr>
          <w:rFonts w:hAnsi="SimSun" w:hint="eastAsia"/>
          <w:sz w:val="24"/>
          <w:szCs w:val="24"/>
          <w:lang w:eastAsia="zh-CN"/>
        </w:rPr>
        <w:t>，</w:t>
      </w:r>
      <w:r w:rsidR="00B611EC" w:rsidRPr="00B611EC">
        <w:rPr>
          <w:rFonts w:hAnsi="SimSun"/>
          <w:sz w:val="24"/>
          <w:szCs w:val="24"/>
          <w:lang w:eastAsia="zh-CN"/>
        </w:rPr>
        <w:t>而且还主要</w:t>
      </w:r>
      <w:r w:rsidR="00B611EC" w:rsidRPr="00B611EC">
        <w:rPr>
          <w:rFonts w:hAnsi="SimSun" w:hint="eastAsia"/>
          <w:sz w:val="24"/>
          <w:szCs w:val="24"/>
          <w:lang w:eastAsia="zh-CN"/>
        </w:rPr>
        <w:t>体现在其几乎是</w:t>
      </w:r>
      <w:r w:rsidR="00B611EC" w:rsidRPr="00B611EC">
        <w:rPr>
          <w:rFonts w:hAnsi="SimSun"/>
          <w:sz w:val="24"/>
          <w:szCs w:val="24"/>
          <w:lang w:eastAsia="zh-CN"/>
        </w:rPr>
        <w:t>普遍的</w:t>
      </w:r>
      <w:r w:rsidR="00B611EC" w:rsidRPr="00B611EC">
        <w:rPr>
          <w:rFonts w:hAnsi="SimSun" w:hint="eastAsia"/>
          <w:sz w:val="24"/>
          <w:szCs w:val="24"/>
          <w:lang w:eastAsia="zh-CN"/>
        </w:rPr>
        <w:t>参与中</w:t>
      </w:r>
      <w:r w:rsidR="00B611EC" w:rsidRPr="00B611EC">
        <w:rPr>
          <w:rFonts w:hAnsi="SimSun"/>
          <w:sz w:val="24"/>
          <w:szCs w:val="24"/>
          <w:lang w:eastAsia="zh-CN"/>
        </w:rPr>
        <w:t>。</w:t>
      </w:r>
      <w:r w:rsidR="00992E1D" w:rsidRPr="00B611EC">
        <w:rPr>
          <w:rFonts w:hAnsi="SimSun" w:hint="eastAsia"/>
          <w:sz w:val="24"/>
          <w:szCs w:val="24"/>
          <w:lang w:eastAsia="zh-CN"/>
        </w:rPr>
        <w:t>总共</w:t>
      </w:r>
      <w:r w:rsidR="00992E1D" w:rsidRPr="00B611EC">
        <w:rPr>
          <w:rFonts w:hAnsi="SimSun" w:hint="eastAsia"/>
          <w:sz w:val="24"/>
          <w:szCs w:val="24"/>
          <w:lang w:eastAsia="zh-CN"/>
        </w:rPr>
        <w:t>168</w:t>
      </w:r>
      <w:r w:rsidR="00992E1D" w:rsidRPr="00B611EC">
        <w:rPr>
          <w:rFonts w:hAnsi="SimSun" w:hint="eastAsia"/>
          <w:sz w:val="24"/>
          <w:szCs w:val="24"/>
          <w:lang w:eastAsia="zh-CN"/>
        </w:rPr>
        <w:t>个</w:t>
      </w:r>
      <w:r w:rsidR="00992E1D" w:rsidRPr="00B611EC">
        <w:rPr>
          <w:rFonts w:hAnsi="SimSun"/>
          <w:sz w:val="24"/>
          <w:szCs w:val="24"/>
          <w:lang w:eastAsia="zh-CN"/>
        </w:rPr>
        <w:t>缔约方，包括欧洲联盟，目前都受其规定的约束。</w:t>
      </w:r>
      <w:r w:rsidR="00992E1D" w:rsidRPr="00B611EC">
        <w:rPr>
          <w:rFonts w:hAnsi="SimSun" w:hint="eastAsia"/>
          <w:sz w:val="24"/>
          <w:szCs w:val="24"/>
          <w:lang w:eastAsia="zh-CN"/>
        </w:rPr>
        <w:t>此外</w:t>
      </w:r>
      <w:r w:rsidR="00992E1D" w:rsidRPr="00B611EC">
        <w:rPr>
          <w:rFonts w:hAnsi="SimSun"/>
          <w:sz w:val="24"/>
          <w:szCs w:val="24"/>
          <w:lang w:eastAsia="zh-CN"/>
        </w:rPr>
        <w:t>，</w:t>
      </w:r>
      <w:r w:rsidR="00B611EC">
        <w:rPr>
          <w:rFonts w:hAnsi="SimSun" w:hint="eastAsia"/>
          <w:sz w:val="24"/>
          <w:szCs w:val="24"/>
          <w:lang w:eastAsia="zh-CN"/>
        </w:rPr>
        <w:t>国际判例早已</w:t>
      </w:r>
      <w:r w:rsidR="00B611EC">
        <w:rPr>
          <w:rFonts w:hAnsi="SimSun"/>
          <w:sz w:val="24"/>
          <w:szCs w:val="24"/>
          <w:lang w:eastAsia="zh-CN"/>
        </w:rPr>
        <w:t>接受其规定</w:t>
      </w:r>
      <w:r w:rsidR="00B611EC">
        <w:rPr>
          <w:rFonts w:hAnsi="SimSun" w:hint="eastAsia"/>
          <w:sz w:val="24"/>
          <w:szCs w:val="24"/>
          <w:lang w:eastAsia="zh-CN"/>
        </w:rPr>
        <w:t>体现</w:t>
      </w:r>
      <w:r w:rsidR="00B611EC">
        <w:rPr>
          <w:rFonts w:hAnsi="SimSun"/>
          <w:sz w:val="24"/>
          <w:szCs w:val="24"/>
          <w:lang w:eastAsia="zh-CN"/>
        </w:rPr>
        <w:t>或反映了习惯国际法。</w:t>
      </w:r>
    </w:p>
    <w:p w:rsidR="00D2148E" w:rsidRPr="00D2148E" w:rsidRDefault="00B611EC" w:rsidP="00D2148E">
      <w:pPr>
        <w:pStyle w:val="Para1"/>
        <w:numPr>
          <w:ilvl w:val="0"/>
          <w:numId w:val="9"/>
        </w:numPr>
        <w:tabs>
          <w:tab w:val="clear" w:pos="360"/>
          <w:tab w:val="left" w:pos="720"/>
        </w:tabs>
        <w:ind w:firstLine="0"/>
        <w:rPr>
          <w:rFonts w:hAnsi="SimSun"/>
          <w:sz w:val="24"/>
          <w:szCs w:val="24"/>
          <w:lang w:eastAsia="zh-CN"/>
        </w:rPr>
      </w:pPr>
      <w:r>
        <w:rPr>
          <w:rFonts w:hAnsi="SimSun" w:hint="eastAsia"/>
          <w:sz w:val="24"/>
          <w:szCs w:val="24"/>
          <w:lang w:eastAsia="zh-CN"/>
        </w:rPr>
        <w:t>欧洲联盟</w:t>
      </w:r>
      <w:r>
        <w:rPr>
          <w:rFonts w:hAnsi="SimSun"/>
          <w:sz w:val="24"/>
          <w:szCs w:val="24"/>
          <w:lang w:eastAsia="zh-CN"/>
        </w:rPr>
        <w:t>及其</w:t>
      </w:r>
      <w:r>
        <w:rPr>
          <w:rFonts w:hAnsi="SimSun" w:hint="eastAsia"/>
          <w:sz w:val="24"/>
          <w:szCs w:val="24"/>
          <w:lang w:eastAsia="zh-CN"/>
        </w:rPr>
        <w:t>28</w:t>
      </w:r>
      <w:r>
        <w:rPr>
          <w:rFonts w:hAnsi="SimSun" w:hint="eastAsia"/>
          <w:sz w:val="24"/>
          <w:szCs w:val="24"/>
          <w:lang w:eastAsia="zh-CN"/>
        </w:rPr>
        <w:t>个成员国</w:t>
      </w:r>
      <w:r>
        <w:rPr>
          <w:rFonts w:hAnsi="SimSun"/>
          <w:sz w:val="24"/>
          <w:szCs w:val="24"/>
          <w:lang w:eastAsia="zh-CN"/>
        </w:rPr>
        <w:t>代表所作发言得到了加纳和日本代表的赞同。</w:t>
      </w:r>
    </w:p>
    <w:p w:rsidR="00D2148E" w:rsidRPr="00D2148E" w:rsidRDefault="00B611EC" w:rsidP="00D2148E">
      <w:pPr>
        <w:pStyle w:val="Para1"/>
        <w:numPr>
          <w:ilvl w:val="0"/>
          <w:numId w:val="9"/>
        </w:numPr>
        <w:tabs>
          <w:tab w:val="clear" w:pos="360"/>
          <w:tab w:val="left" w:pos="720"/>
        </w:tabs>
        <w:ind w:firstLine="0"/>
        <w:rPr>
          <w:rFonts w:hAnsi="SimSun"/>
          <w:sz w:val="24"/>
          <w:szCs w:val="24"/>
          <w:lang w:eastAsia="zh-CN"/>
        </w:rPr>
      </w:pPr>
      <w:r>
        <w:rPr>
          <w:rFonts w:hAnsi="SimSun" w:hint="eastAsia"/>
          <w:sz w:val="24"/>
          <w:szCs w:val="24"/>
          <w:lang w:eastAsia="zh-CN"/>
        </w:rPr>
        <w:lastRenderedPageBreak/>
        <w:t>菲律宾</w:t>
      </w:r>
      <w:r>
        <w:rPr>
          <w:rFonts w:hAnsi="SimSun"/>
          <w:sz w:val="24"/>
          <w:szCs w:val="24"/>
          <w:lang w:eastAsia="zh-CN"/>
        </w:rPr>
        <w:t>代表说，她将提交一份书面声明，她要求将其列入报告。</w:t>
      </w:r>
      <w:r w:rsidR="00D2148E" w:rsidRPr="00B611EC">
        <w:rPr>
          <w:rFonts w:hAnsi="SimSun"/>
          <w:sz w:val="24"/>
          <w:szCs w:val="24"/>
          <w:vertAlign w:val="superscript"/>
          <w:lang w:eastAsia="zh-CN"/>
        </w:rPr>
        <w:footnoteReference w:id="335"/>
      </w:r>
    </w:p>
    <w:p w:rsidR="008D76BF" w:rsidRPr="00B611EC" w:rsidRDefault="00620827" w:rsidP="00873E85">
      <w:pPr>
        <w:pStyle w:val="Para1"/>
        <w:numPr>
          <w:ilvl w:val="0"/>
          <w:numId w:val="9"/>
        </w:numPr>
        <w:tabs>
          <w:tab w:val="clear" w:pos="360"/>
          <w:tab w:val="left" w:pos="720"/>
        </w:tabs>
        <w:ind w:firstLine="0"/>
        <w:rPr>
          <w:rFonts w:hAnsi="SimSun"/>
          <w:sz w:val="24"/>
          <w:szCs w:val="24"/>
          <w:lang w:eastAsia="zh-CN"/>
        </w:rPr>
      </w:pPr>
      <w:r w:rsidRPr="00B611EC">
        <w:rPr>
          <w:rFonts w:ascii="SimSun" w:eastAsia="SimSun" w:hAnsi="SimSun" w:cs="SimSun" w:hint="eastAsia"/>
          <w:sz w:val="24"/>
          <w:szCs w:val="24"/>
          <w:lang w:eastAsia="zh-CN"/>
        </w:rPr>
        <w:t>缔约方大会</w:t>
      </w:r>
      <w:r w:rsidRPr="00B611EC">
        <w:rPr>
          <w:rFonts w:ascii="SimSun" w:eastAsia="SimSun" w:hAnsi="SimSun" w:cs="SimSun"/>
          <w:sz w:val="24"/>
          <w:szCs w:val="24"/>
          <w:lang w:eastAsia="zh-CN"/>
        </w:rPr>
        <w:t>通过了</w:t>
      </w:r>
      <w:r w:rsidRPr="00B611EC">
        <w:rPr>
          <w:rFonts w:ascii="SimSun" w:eastAsia="SimSun" w:hAnsi="SimSun" w:cs="SimSun" w:hint="eastAsia"/>
          <w:sz w:val="24"/>
          <w:szCs w:val="24"/>
          <w:lang w:eastAsia="zh-CN"/>
        </w:rPr>
        <w:t>决定草案</w:t>
      </w:r>
      <w:r w:rsidRPr="00B611EC">
        <w:rPr>
          <w:rFonts w:hAnsi="SimSun"/>
          <w:sz w:val="24"/>
          <w:szCs w:val="24"/>
          <w:lang w:eastAsia="zh-CN"/>
        </w:rPr>
        <w:t>CBD/COP/14/L.34</w:t>
      </w:r>
      <w:r w:rsidRPr="00B611EC">
        <w:rPr>
          <w:rFonts w:ascii="SimSun" w:eastAsia="SimSun" w:hAnsi="SimSun" w:cs="SimSun" w:hint="eastAsia"/>
          <w:sz w:val="24"/>
          <w:szCs w:val="24"/>
          <w:lang w:eastAsia="zh-CN"/>
        </w:rPr>
        <w:t>，成为第</w:t>
      </w:r>
      <w:r w:rsidRPr="00B611EC">
        <w:rPr>
          <w:rFonts w:hAnsi="SimSun"/>
          <w:sz w:val="24"/>
          <w:szCs w:val="24"/>
          <w:lang w:eastAsia="zh-CN"/>
        </w:rPr>
        <w:t>14/</w:t>
      </w:r>
      <w:r w:rsidR="00B4280E">
        <w:rPr>
          <w:rFonts w:hAnsi="SimSun"/>
          <w:sz w:val="24"/>
          <w:szCs w:val="24"/>
          <w:lang w:eastAsia="zh-CN"/>
        </w:rPr>
        <w:t>9</w:t>
      </w:r>
      <w:r w:rsidRPr="00B611EC">
        <w:rPr>
          <w:rFonts w:ascii="SimSun" w:eastAsia="SimSun" w:hAnsi="SimSun" w:cs="SimSun" w:hint="eastAsia"/>
          <w:sz w:val="24"/>
          <w:szCs w:val="24"/>
          <w:lang w:eastAsia="zh-CN"/>
        </w:rPr>
        <w:t>号决定</w:t>
      </w:r>
      <w:r w:rsidRPr="00B611EC">
        <w:rPr>
          <w:rFonts w:eastAsiaTheme="minorEastAsia" w:hAnsi="SimSun"/>
          <w:sz w:val="24"/>
          <w:lang w:eastAsia="zh-CN"/>
        </w:rPr>
        <w:t>（案文见第一章）。</w:t>
      </w:r>
    </w:p>
    <w:p w:rsidR="008D76BF" w:rsidRPr="00E63AA3" w:rsidRDefault="008D76BF" w:rsidP="00E63AA3">
      <w:pPr>
        <w:pStyle w:val="Heading1"/>
        <w:spacing w:before="120" w:after="120"/>
        <w:ind w:firstLine="0"/>
        <w:rPr>
          <w:sz w:val="24"/>
          <w:lang w:eastAsia="zh-CN"/>
        </w:rPr>
      </w:pPr>
      <w:bookmarkStart w:id="288" w:name="_Toc6243837"/>
      <w:r w:rsidRPr="00E63AA3">
        <w:rPr>
          <w:rFonts w:hint="eastAsia"/>
          <w:sz w:val="24"/>
          <w:lang w:eastAsia="zh-CN"/>
        </w:rPr>
        <w:t>项目</w:t>
      </w:r>
      <w:r w:rsidRPr="00E63AA3">
        <w:rPr>
          <w:sz w:val="24"/>
          <w:lang w:eastAsia="zh-CN"/>
        </w:rPr>
        <w:t xml:space="preserve">26.    </w:t>
      </w:r>
      <w:r w:rsidR="00366699" w:rsidRPr="00E63AA3">
        <w:rPr>
          <w:sz w:val="24"/>
          <w:lang w:eastAsia="zh-CN"/>
        </w:rPr>
        <w:t xml:space="preserve">  </w:t>
      </w:r>
      <w:r w:rsidRPr="00E63AA3">
        <w:rPr>
          <w:rFonts w:hint="eastAsia"/>
          <w:sz w:val="24"/>
          <w:lang w:eastAsia="zh-CN"/>
        </w:rPr>
        <w:t>外来入侵物种</w:t>
      </w:r>
      <w:bookmarkEnd w:id="288"/>
    </w:p>
    <w:p w:rsidR="008D76BF" w:rsidRPr="008F1827" w:rsidRDefault="008D76BF" w:rsidP="00750ECD">
      <w:pPr>
        <w:pStyle w:val="Para1"/>
        <w:numPr>
          <w:ilvl w:val="0"/>
          <w:numId w:val="9"/>
        </w:numPr>
        <w:tabs>
          <w:tab w:val="clear" w:pos="360"/>
          <w:tab w:val="left" w:pos="720"/>
        </w:tabs>
        <w:ind w:firstLine="0"/>
        <w:rPr>
          <w:rFonts w:hAnsi="SimSun"/>
          <w:sz w:val="24"/>
          <w:szCs w:val="24"/>
          <w:lang w:eastAsia="zh-CN"/>
        </w:rPr>
      </w:pPr>
      <w:r w:rsidRPr="008F1827">
        <w:rPr>
          <w:rFonts w:ascii="SimSun" w:eastAsia="SimSun" w:hAnsi="SimSun" w:cs="SimSun" w:hint="eastAsia"/>
          <w:sz w:val="24"/>
          <w:szCs w:val="24"/>
          <w:lang w:eastAsia="zh-CN"/>
        </w:rPr>
        <w:t>第二工作组在</w:t>
      </w:r>
      <w:r w:rsidRPr="008F1827">
        <w:rPr>
          <w:rFonts w:hAnsi="SimSun"/>
          <w:sz w:val="24"/>
          <w:szCs w:val="24"/>
          <w:lang w:eastAsia="zh-CN"/>
        </w:rPr>
        <w:t>2018</w:t>
      </w:r>
      <w:r w:rsidRPr="008F1827">
        <w:rPr>
          <w:rFonts w:ascii="SimSun" w:eastAsia="SimSun" w:hAnsi="SimSun" w:cs="SimSun" w:hint="eastAsia"/>
          <w:sz w:val="24"/>
          <w:szCs w:val="24"/>
          <w:lang w:eastAsia="zh-CN"/>
        </w:rPr>
        <w:t>年</w:t>
      </w:r>
      <w:r w:rsidRPr="008F1827">
        <w:rPr>
          <w:rFonts w:hAnsi="SimSun"/>
          <w:sz w:val="24"/>
          <w:szCs w:val="24"/>
          <w:lang w:eastAsia="zh-CN"/>
        </w:rPr>
        <w:t>11</w:t>
      </w:r>
      <w:r w:rsidRPr="008F1827">
        <w:rPr>
          <w:rFonts w:ascii="SimSun" w:eastAsia="SimSun" w:hAnsi="SimSun" w:cs="SimSun" w:hint="eastAsia"/>
          <w:sz w:val="24"/>
          <w:szCs w:val="24"/>
          <w:lang w:eastAsia="zh-CN"/>
        </w:rPr>
        <w:t>月</w:t>
      </w:r>
      <w:r w:rsidRPr="008F1827">
        <w:rPr>
          <w:rFonts w:hAnsi="SimSun"/>
          <w:sz w:val="24"/>
          <w:szCs w:val="24"/>
          <w:lang w:eastAsia="zh-CN"/>
        </w:rPr>
        <w:t>21</w:t>
      </w:r>
      <w:r w:rsidRPr="008F1827">
        <w:rPr>
          <w:rFonts w:ascii="SimSun" w:eastAsia="SimSun" w:hAnsi="SimSun" w:cs="SimSun" w:hint="eastAsia"/>
          <w:sz w:val="24"/>
          <w:szCs w:val="24"/>
          <w:lang w:eastAsia="zh-CN"/>
        </w:rPr>
        <w:t>日</w:t>
      </w:r>
      <w:r w:rsidR="002D53D3">
        <w:rPr>
          <w:rFonts w:ascii="SimSun" w:eastAsia="SimSun" w:hAnsi="SimSun" w:cs="SimSun" w:hint="eastAsia"/>
          <w:sz w:val="24"/>
          <w:szCs w:val="24"/>
          <w:lang w:eastAsia="zh-CN"/>
        </w:rPr>
        <w:t>其</w:t>
      </w:r>
      <w:r w:rsidRPr="008F1827">
        <w:rPr>
          <w:rFonts w:ascii="SimSun" w:eastAsia="SimSun" w:hAnsi="SimSun" w:cs="SimSun" w:hint="eastAsia"/>
          <w:sz w:val="24"/>
          <w:szCs w:val="24"/>
          <w:lang w:eastAsia="zh-CN"/>
        </w:rPr>
        <w:t>第</w:t>
      </w:r>
      <w:r w:rsidRPr="008F1827">
        <w:rPr>
          <w:rFonts w:hAnsi="SimSun"/>
          <w:sz w:val="24"/>
          <w:szCs w:val="24"/>
          <w:lang w:eastAsia="zh-CN"/>
        </w:rPr>
        <w:t>6</w:t>
      </w:r>
      <w:r w:rsidRPr="008F1827">
        <w:rPr>
          <w:rFonts w:ascii="SimSun" w:eastAsia="SimSun" w:hAnsi="SimSun" w:cs="SimSun" w:hint="eastAsia"/>
          <w:sz w:val="24"/>
          <w:szCs w:val="24"/>
          <w:lang w:eastAsia="zh-CN"/>
        </w:rPr>
        <w:t>场会议审议了议程项目</w:t>
      </w:r>
      <w:r w:rsidRPr="008F1827">
        <w:rPr>
          <w:rFonts w:hAnsi="SimSun"/>
          <w:sz w:val="24"/>
          <w:szCs w:val="24"/>
          <w:lang w:eastAsia="zh-CN"/>
        </w:rPr>
        <w:t>26</w:t>
      </w:r>
      <w:r w:rsidRPr="008F1827">
        <w:rPr>
          <w:rFonts w:ascii="SimSun" w:eastAsia="SimSun" w:hAnsi="SimSun" w:cs="SimSun" w:hint="eastAsia"/>
          <w:sz w:val="24"/>
          <w:szCs w:val="24"/>
          <w:lang w:eastAsia="zh-CN"/>
        </w:rPr>
        <w:t>。在审议该项目时，工作组收到了根据决定草案汇编（</w:t>
      </w:r>
      <w:r w:rsidRPr="008F1827">
        <w:rPr>
          <w:rFonts w:hAnsi="SimSun"/>
          <w:sz w:val="24"/>
          <w:szCs w:val="24"/>
          <w:lang w:eastAsia="zh-CN"/>
        </w:rPr>
        <w:t>CBD/COP/14/2</w:t>
      </w:r>
      <w:r w:rsidRPr="008F1827">
        <w:rPr>
          <w:rFonts w:ascii="SimSun" w:eastAsia="SimSun" w:hAnsi="SimSun" w:cs="SimSun" w:hint="eastAsia"/>
          <w:sz w:val="24"/>
          <w:szCs w:val="24"/>
          <w:lang w:eastAsia="zh-CN"/>
        </w:rPr>
        <w:t>）所载科咨机构第</w:t>
      </w:r>
      <w:r w:rsidRPr="008F1827">
        <w:rPr>
          <w:rFonts w:hAnsi="SimSun"/>
          <w:sz w:val="24"/>
          <w:szCs w:val="24"/>
          <w:lang w:eastAsia="zh-CN"/>
        </w:rPr>
        <w:t>XXII</w:t>
      </w:r>
      <w:r w:rsidRPr="008F1827">
        <w:rPr>
          <w:rFonts w:ascii="SimSun" w:eastAsia="SimSun" w:hAnsi="SimSun" w:cs="SimSun" w:hint="eastAsia"/>
          <w:sz w:val="24"/>
          <w:szCs w:val="24"/>
          <w:lang w:eastAsia="zh-CN"/>
        </w:rPr>
        <w:t>号建议编制的决定草案，以及与自然保护联盟及其入侵物种专家组和有关利用生物控制剂对付外来入侵物种的有关国际组织合作情况的进度报告（</w:t>
      </w:r>
      <w:r w:rsidRPr="008F1827">
        <w:rPr>
          <w:rFonts w:hAnsi="SimSun"/>
          <w:sz w:val="24"/>
          <w:szCs w:val="24"/>
          <w:lang w:eastAsia="zh-CN"/>
        </w:rPr>
        <w:t>CBD/COP/14/INF/9</w:t>
      </w:r>
      <w:r w:rsidRPr="008F1827">
        <w:rPr>
          <w:rFonts w:ascii="SimSun" w:eastAsia="SimSun" w:hAnsi="SimSun" w:cs="SimSun" w:hint="eastAsia"/>
          <w:sz w:val="24"/>
          <w:szCs w:val="24"/>
          <w:lang w:eastAsia="zh-CN"/>
        </w:rPr>
        <w:t>）。</w:t>
      </w:r>
    </w:p>
    <w:p w:rsidR="008D76BF" w:rsidRPr="008F1827" w:rsidRDefault="008D76BF" w:rsidP="00750ECD">
      <w:pPr>
        <w:pStyle w:val="Para1"/>
        <w:numPr>
          <w:ilvl w:val="0"/>
          <w:numId w:val="9"/>
        </w:numPr>
        <w:tabs>
          <w:tab w:val="clear" w:pos="360"/>
          <w:tab w:val="left" w:pos="720"/>
        </w:tabs>
        <w:ind w:firstLine="0"/>
        <w:rPr>
          <w:rFonts w:hAnsi="SimSun"/>
          <w:sz w:val="24"/>
          <w:szCs w:val="24"/>
          <w:lang w:eastAsia="zh-CN"/>
        </w:rPr>
      </w:pPr>
      <w:r w:rsidRPr="008F1827">
        <w:rPr>
          <w:rFonts w:ascii="SimSun" w:eastAsia="SimSun" w:hAnsi="SimSun" w:cs="SimSun" w:hint="eastAsia"/>
          <w:sz w:val="24"/>
          <w:szCs w:val="24"/>
          <w:lang w:eastAsia="zh-CN"/>
        </w:rPr>
        <w:t>主席说她将编制决定草案供工作组核准。</w:t>
      </w:r>
    </w:p>
    <w:p w:rsidR="008D76BF" w:rsidRPr="008F1827"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8F1827">
        <w:rPr>
          <w:rFonts w:ascii="SimSun" w:eastAsia="SimSun" w:hAnsi="SimSun" w:cs="SimSun" w:hint="eastAsia"/>
          <w:sz w:val="24"/>
          <w:szCs w:val="24"/>
          <w:lang w:eastAsia="zh-CN"/>
        </w:rPr>
        <w:t>在</w:t>
      </w:r>
      <w:r w:rsidR="008D76BF" w:rsidRPr="008F1827">
        <w:rPr>
          <w:rFonts w:hAnsi="SimSun"/>
          <w:sz w:val="24"/>
          <w:szCs w:val="24"/>
          <w:lang w:eastAsia="zh-CN"/>
        </w:rPr>
        <w:t>2018</w:t>
      </w:r>
      <w:r w:rsidR="008D76BF" w:rsidRPr="008F1827">
        <w:rPr>
          <w:rFonts w:ascii="SimSun" w:eastAsia="SimSun" w:hAnsi="SimSun" w:cs="SimSun" w:hint="eastAsia"/>
          <w:sz w:val="24"/>
          <w:szCs w:val="24"/>
          <w:lang w:eastAsia="zh-CN"/>
        </w:rPr>
        <w:t>年</w:t>
      </w:r>
      <w:r w:rsidR="008D76BF" w:rsidRPr="008F1827">
        <w:rPr>
          <w:rFonts w:hAnsi="SimSun"/>
          <w:sz w:val="24"/>
          <w:szCs w:val="24"/>
          <w:lang w:eastAsia="zh-CN"/>
        </w:rPr>
        <w:t>11</w:t>
      </w:r>
      <w:r w:rsidR="008D76BF" w:rsidRPr="008F1827">
        <w:rPr>
          <w:rFonts w:ascii="SimSun" w:eastAsia="SimSun" w:hAnsi="SimSun" w:cs="SimSun" w:hint="eastAsia"/>
          <w:sz w:val="24"/>
          <w:szCs w:val="24"/>
          <w:lang w:eastAsia="zh-CN"/>
        </w:rPr>
        <w:t>月</w:t>
      </w:r>
      <w:r w:rsidR="008D76BF" w:rsidRPr="008F1827">
        <w:rPr>
          <w:rFonts w:hAnsi="SimSun"/>
          <w:sz w:val="24"/>
          <w:szCs w:val="24"/>
          <w:lang w:eastAsia="zh-CN"/>
        </w:rPr>
        <w:t>27</w:t>
      </w:r>
      <w:r w:rsidR="008D76BF" w:rsidRPr="008F1827">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8F1827">
        <w:rPr>
          <w:rFonts w:ascii="SimSun" w:eastAsia="SimSun" w:hAnsi="SimSun" w:cs="SimSun" w:hint="eastAsia"/>
          <w:sz w:val="24"/>
          <w:szCs w:val="24"/>
          <w:lang w:eastAsia="zh-CN"/>
        </w:rPr>
        <w:t>第</w:t>
      </w:r>
      <w:r w:rsidR="008D76BF" w:rsidRPr="008F1827">
        <w:rPr>
          <w:rFonts w:hAnsi="SimSun"/>
          <w:sz w:val="24"/>
          <w:szCs w:val="24"/>
          <w:lang w:eastAsia="zh-CN"/>
        </w:rPr>
        <w:t>15</w:t>
      </w:r>
      <w:r w:rsidR="008D76BF" w:rsidRPr="008F1827">
        <w:rPr>
          <w:rFonts w:ascii="SimSun" w:eastAsia="SimSun" w:hAnsi="SimSun" w:cs="SimSun" w:hint="eastAsia"/>
          <w:sz w:val="24"/>
          <w:szCs w:val="24"/>
          <w:lang w:eastAsia="zh-CN"/>
        </w:rPr>
        <w:t>场会议上审议了主席提交的决定草案。</w:t>
      </w:r>
    </w:p>
    <w:p w:rsidR="008D76BF" w:rsidRPr="008F1827" w:rsidRDefault="008D76BF" w:rsidP="00750ECD">
      <w:pPr>
        <w:pStyle w:val="Para1"/>
        <w:numPr>
          <w:ilvl w:val="0"/>
          <w:numId w:val="9"/>
        </w:numPr>
        <w:tabs>
          <w:tab w:val="clear" w:pos="360"/>
          <w:tab w:val="left" w:pos="720"/>
        </w:tabs>
        <w:ind w:firstLine="0"/>
        <w:rPr>
          <w:rFonts w:hAnsi="SimSun"/>
          <w:sz w:val="24"/>
          <w:szCs w:val="24"/>
          <w:lang w:eastAsia="zh-CN"/>
        </w:rPr>
      </w:pPr>
      <w:r w:rsidRPr="008F1827">
        <w:rPr>
          <w:rFonts w:ascii="SimSun" w:eastAsia="SimSun" w:hAnsi="SimSun" w:cs="SimSun" w:hint="eastAsia"/>
          <w:sz w:val="24"/>
          <w:szCs w:val="24"/>
          <w:lang w:eastAsia="zh-CN"/>
        </w:rPr>
        <w:t>下列国家代表</w:t>
      </w:r>
      <w:r w:rsidR="006952B0">
        <w:rPr>
          <w:rFonts w:ascii="SimSun" w:eastAsia="SimSun" w:hAnsi="SimSun" w:cs="SimSun" w:hint="eastAsia"/>
          <w:sz w:val="24"/>
          <w:szCs w:val="24"/>
          <w:lang w:eastAsia="zh-CN"/>
        </w:rPr>
        <w:t>作了发言</w:t>
      </w:r>
      <w:r w:rsidRPr="008F1827">
        <w:rPr>
          <w:rFonts w:ascii="SimSun" w:eastAsia="SimSun" w:hAnsi="SimSun" w:cs="SimSun" w:hint="eastAsia"/>
          <w:sz w:val="24"/>
          <w:szCs w:val="24"/>
          <w:lang w:eastAsia="zh-CN"/>
        </w:rPr>
        <w:t>：安提瓜和巴布达、阿根廷、孟加拉国、贝宁、哥伦比亚、哥斯达黎加、厄瓜多尔、埃及、埃塞俄比亚、欧洲联盟及其</w:t>
      </w:r>
      <w:r w:rsidRPr="008F1827">
        <w:rPr>
          <w:rFonts w:hAnsi="SimSun"/>
          <w:sz w:val="24"/>
          <w:szCs w:val="24"/>
          <w:lang w:eastAsia="zh-CN"/>
        </w:rPr>
        <w:t>28</w:t>
      </w:r>
      <w:r w:rsidRPr="008F1827">
        <w:rPr>
          <w:rFonts w:ascii="SimSun" w:eastAsia="SimSun" w:hAnsi="SimSun" w:cs="SimSun" w:hint="eastAsia"/>
          <w:sz w:val="24"/>
          <w:szCs w:val="24"/>
          <w:lang w:eastAsia="zh-CN"/>
        </w:rPr>
        <w:t>个成员国、加蓬、加纳、格林纳达、危地马拉、冰岛、肯尼亚、马拉维、墨西哥、摩洛哥、新西兰、尼日利亚、挪威、秘鲁、南非、坦桑尼亚联合共和国、委内瑞拉玻利瓦尔共和国和越南。</w:t>
      </w:r>
    </w:p>
    <w:p w:rsidR="008D76BF" w:rsidRPr="008F1827" w:rsidRDefault="008D76BF" w:rsidP="00750ECD">
      <w:pPr>
        <w:pStyle w:val="Para1"/>
        <w:numPr>
          <w:ilvl w:val="0"/>
          <w:numId w:val="9"/>
        </w:numPr>
        <w:tabs>
          <w:tab w:val="clear" w:pos="360"/>
          <w:tab w:val="left" w:pos="720"/>
        </w:tabs>
        <w:ind w:firstLine="0"/>
        <w:rPr>
          <w:rFonts w:hAnsi="SimSun"/>
          <w:sz w:val="24"/>
          <w:szCs w:val="24"/>
          <w:lang w:eastAsia="zh-CN"/>
        </w:rPr>
      </w:pPr>
      <w:r w:rsidRPr="008F1827">
        <w:rPr>
          <w:rFonts w:ascii="SimSun" w:eastAsia="SimSun" w:hAnsi="SimSun" w:cs="SimSun" w:hint="eastAsia"/>
          <w:sz w:val="24"/>
          <w:szCs w:val="24"/>
          <w:lang w:eastAsia="zh-CN"/>
        </w:rPr>
        <w:t>哥伦比亚代表要求将她的发言列入会议报告。她说，在今后的会议上，哥伦比亚代表团不赞同决定草案案文不供开放谈判的作法。哥伦比亚代表团的立场得到了阿根廷、孟加拉国、多民族玻利维亚国、巴西、智利、哥斯达黎加、古巴、多米尼加共和国、厄瓜多尔、危地马拉、洪都拉斯、墨西哥、尼加拉瓜、巴拿马、巴拉圭、秘鲁、乌拉圭和委内瑞拉玻利瓦尔共和国的代表的支持。</w:t>
      </w:r>
    </w:p>
    <w:p w:rsidR="00177A95" w:rsidRPr="00177A95" w:rsidRDefault="008D76BF" w:rsidP="00177A95">
      <w:pPr>
        <w:pStyle w:val="Para1"/>
        <w:numPr>
          <w:ilvl w:val="0"/>
          <w:numId w:val="9"/>
        </w:numPr>
        <w:tabs>
          <w:tab w:val="clear" w:pos="360"/>
          <w:tab w:val="left" w:pos="720"/>
        </w:tabs>
        <w:ind w:firstLine="0"/>
        <w:rPr>
          <w:rFonts w:eastAsia="SimSun"/>
          <w:sz w:val="24"/>
          <w:szCs w:val="24"/>
          <w:lang w:eastAsia="zh-CN"/>
        </w:rPr>
      </w:pPr>
      <w:r w:rsidRPr="00177A95">
        <w:rPr>
          <w:rFonts w:ascii="SimSun" w:eastAsia="SimSun" w:hAnsi="SimSun" w:cs="SimSun" w:hint="eastAsia"/>
          <w:sz w:val="24"/>
          <w:szCs w:val="24"/>
          <w:lang w:eastAsia="zh-CN"/>
        </w:rPr>
        <w:t>秘书处</w:t>
      </w:r>
      <w:r w:rsidR="00177A95" w:rsidRPr="00177A95">
        <w:rPr>
          <w:rFonts w:ascii="SimSun" w:eastAsia="SimSun" w:hAnsi="SimSun" w:cs="SimSun" w:hint="eastAsia"/>
          <w:sz w:val="24"/>
          <w:szCs w:val="24"/>
          <w:lang w:eastAsia="zh-CN"/>
        </w:rPr>
        <w:t>高级</w:t>
      </w:r>
      <w:r w:rsidRPr="00177A95">
        <w:rPr>
          <w:rFonts w:ascii="SimSun" w:eastAsia="SimSun" w:hAnsi="SimSun" w:cs="SimSun" w:hint="eastAsia"/>
          <w:sz w:val="24"/>
          <w:szCs w:val="24"/>
          <w:lang w:eastAsia="zh-CN"/>
        </w:rPr>
        <w:t>法律干事根据要求作出澄清，表示哥伦比亚代表的立场符合《公约》的议事规则。</w:t>
      </w:r>
      <w:r w:rsidR="00177A95" w:rsidRPr="00177A95">
        <w:rPr>
          <w:rFonts w:ascii="SimSun" w:eastAsia="SimSun" w:hAnsi="SimSun" w:cs="SimSun" w:hint="eastAsia"/>
          <w:sz w:val="24"/>
          <w:szCs w:val="24"/>
          <w:lang w:eastAsia="zh-CN"/>
        </w:rPr>
        <w:t>他说</w:t>
      </w:r>
      <w:r w:rsidR="00177A95" w:rsidRPr="00177A95">
        <w:rPr>
          <w:rFonts w:ascii="SimSun" w:eastAsia="SimSun" w:hAnsi="SimSun" w:cs="SimSun"/>
          <w:sz w:val="24"/>
          <w:szCs w:val="24"/>
          <w:lang w:eastAsia="zh-CN"/>
        </w:rPr>
        <w:t>，即便是拟议的决定是闭会期间举行会议的某一附属机构的结果，作为缔约方大会</w:t>
      </w:r>
      <w:r w:rsidR="00177A95" w:rsidRPr="00177A95">
        <w:rPr>
          <w:rFonts w:ascii="SimSun" w:eastAsia="SimSun" w:hAnsi="SimSun" w:cs="SimSun" w:hint="eastAsia"/>
          <w:sz w:val="24"/>
          <w:szCs w:val="24"/>
          <w:lang w:eastAsia="zh-CN"/>
        </w:rPr>
        <w:t>这一</w:t>
      </w:r>
      <w:r w:rsidR="00177A95" w:rsidRPr="00177A95">
        <w:rPr>
          <w:rFonts w:ascii="SimSun" w:eastAsia="SimSun" w:hAnsi="SimSun" w:cs="SimSun"/>
          <w:sz w:val="24"/>
          <w:szCs w:val="24"/>
          <w:lang w:eastAsia="zh-CN"/>
        </w:rPr>
        <w:t>理事机构的</w:t>
      </w:r>
      <w:r w:rsidR="00177A95" w:rsidRPr="00177A95">
        <w:rPr>
          <w:rFonts w:ascii="SimSun" w:eastAsia="SimSun" w:hAnsi="SimSun" w:cs="SimSun" w:hint="eastAsia"/>
          <w:sz w:val="24"/>
          <w:szCs w:val="24"/>
          <w:lang w:eastAsia="zh-CN"/>
        </w:rPr>
        <w:t>权力</w:t>
      </w:r>
      <w:r w:rsidR="00177A95" w:rsidRPr="00177A95">
        <w:rPr>
          <w:rFonts w:ascii="SimSun" w:eastAsia="SimSun" w:hAnsi="SimSun" w:cs="SimSun"/>
          <w:sz w:val="24"/>
          <w:szCs w:val="24"/>
          <w:lang w:eastAsia="zh-CN"/>
        </w:rPr>
        <w:t>的一部分</w:t>
      </w:r>
      <w:r w:rsidR="00177A95" w:rsidRPr="00177A95">
        <w:rPr>
          <w:rFonts w:ascii="SimSun" w:eastAsia="SimSun" w:hAnsi="SimSun" w:cs="SimSun" w:hint="eastAsia"/>
          <w:sz w:val="24"/>
          <w:szCs w:val="24"/>
          <w:lang w:eastAsia="zh-CN"/>
        </w:rPr>
        <w:t>，也应</w:t>
      </w:r>
      <w:r w:rsidR="00177A95" w:rsidRPr="00177A95">
        <w:rPr>
          <w:rFonts w:ascii="SimSun" w:eastAsia="SimSun" w:hAnsi="SimSun" w:cs="SimSun"/>
          <w:sz w:val="24"/>
          <w:szCs w:val="24"/>
          <w:lang w:eastAsia="zh-CN"/>
        </w:rPr>
        <w:t>允许本次会议的代表</w:t>
      </w:r>
      <w:r w:rsidR="00177A95" w:rsidRPr="00177A95">
        <w:rPr>
          <w:rFonts w:ascii="SimSun" w:eastAsia="SimSun" w:hAnsi="SimSun" w:cs="SimSun" w:hint="eastAsia"/>
          <w:sz w:val="24"/>
          <w:szCs w:val="24"/>
          <w:lang w:eastAsia="zh-CN"/>
        </w:rPr>
        <w:t>提出</w:t>
      </w:r>
      <w:r w:rsidR="00177A95" w:rsidRPr="00177A95">
        <w:rPr>
          <w:rFonts w:ascii="SimSun" w:eastAsia="SimSun" w:hAnsi="SimSun" w:cs="SimSun"/>
          <w:sz w:val="24"/>
          <w:szCs w:val="24"/>
          <w:lang w:eastAsia="zh-CN"/>
        </w:rPr>
        <w:t>评论意见。</w:t>
      </w:r>
      <w:r w:rsidR="00177A95" w:rsidRPr="00177A95">
        <w:rPr>
          <w:rFonts w:eastAsia="SimSun" w:hint="eastAsia"/>
          <w:sz w:val="24"/>
          <w:szCs w:val="24"/>
          <w:lang w:eastAsia="zh-CN"/>
        </w:rPr>
        <w:t>他</w:t>
      </w:r>
      <w:r w:rsidR="00177A95" w:rsidRPr="00177A95">
        <w:rPr>
          <w:rFonts w:eastAsia="SimSun"/>
          <w:sz w:val="24"/>
          <w:szCs w:val="24"/>
          <w:lang w:eastAsia="zh-CN"/>
        </w:rPr>
        <w:t>还表示，</w:t>
      </w:r>
      <w:r w:rsidR="00177A95" w:rsidRPr="00177A95">
        <w:rPr>
          <w:rFonts w:ascii="SimSun" w:eastAsia="SimSun" w:hAnsi="SimSun" w:cs="SimSun" w:hint="eastAsia"/>
          <w:sz w:val="24"/>
          <w:szCs w:val="24"/>
          <w:lang w:eastAsia="zh-CN"/>
        </w:rPr>
        <w:t>如果</w:t>
      </w:r>
      <w:r w:rsidR="00177A95">
        <w:rPr>
          <w:rFonts w:ascii="SimSun" w:eastAsia="SimSun" w:hAnsi="SimSun" w:cs="SimSun" w:hint="eastAsia"/>
          <w:sz w:val="24"/>
          <w:szCs w:val="24"/>
          <w:lang w:eastAsia="zh-CN"/>
        </w:rPr>
        <w:t>由于时间限制</w:t>
      </w:r>
      <w:r w:rsidR="00177A95">
        <w:rPr>
          <w:rFonts w:ascii="SimSun" w:eastAsia="SimSun" w:hAnsi="SimSun" w:cs="SimSun"/>
          <w:sz w:val="24"/>
          <w:szCs w:val="24"/>
          <w:lang w:eastAsia="zh-CN"/>
        </w:rPr>
        <w:t>，现行</w:t>
      </w:r>
      <w:r w:rsidR="00177A95" w:rsidRPr="00177A95">
        <w:rPr>
          <w:rFonts w:ascii="SimSun" w:eastAsia="SimSun" w:hAnsi="SimSun" w:cs="SimSun" w:hint="eastAsia"/>
          <w:sz w:val="24"/>
          <w:szCs w:val="24"/>
          <w:lang w:eastAsia="zh-CN"/>
        </w:rPr>
        <w:t>会议上无法</w:t>
      </w:r>
      <w:r w:rsidR="00177A95">
        <w:rPr>
          <w:rFonts w:ascii="SimSun" w:eastAsia="SimSun" w:hAnsi="SimSun" w:cs="SimSun" w:hint="eastAsia"/>
          <w:sz w:val="24"/>
          <w:szCs w:val="24"/>
          <w:lang w:eastAsia="zh-CN"/>
        </w:rPr>
        <w:t>完成</w:t>
      </w:r>
      <w:r w:rsidR="00177A95" w:rsidRPr="00177A95">
        <w:rPr>
          <w:rFonts w:ascii="SimSun" w:eastAsia="SimSun" w:hAnsi="SimSun" w:cs="SimSun" w:hint="eastAsia"/>
          <w:sz w:val="24"/>
          <w:szCs w:val="24"/>
          <w:lang w:eastAsia="zh-CN"/>
        </w:rPr>
        <w:t>该项目，可以在</w:t>
      </w:r>
      <w:r w:rsidR="00177A95">
        <w:rPr>
          <w:rFonts w:ascii="SimSun" w:eastAsia="SimSun" w:hAnsi="SimSun" w:cs="SimSun" w:hint="eastAsia"/>
          <w:sz w:val="24"/>
          <w:szCs w:val="24"/>
          <w:lang w:eastAsia="zh-CN"/>
        </w:rPr>
        <w:t>嗣后的会议上重新审议</w:t>
      </w:r>
      <w:r w:rsidR="00177A95" w:rsidRPr="00177A95">
        <w:rPr>
          <w:rFonts w:ascii="SimSun" w:eastAsia="SimSun" w:hAnsi="SimSun" w:cs="SimSun" w:hint="eastAsia"/>
          <w:sz w:val="24"/>
          <w:szCs w:val="24"/>
          <w:lang w:eastAsia="zh-CN"/>
        </w:rPr>
        <w:t>。</w:t>
      </w:r>
      <w:r w:rsidR="00177A95">
        <w:rPr>
          <w:rFonts w:ascii="SimSun" w:eastAsia="SimSun" w:hAnsi="SimSun" w:cs="SimSun" w:hint="eastAsia"/>
          <w:sz w:val="24"/>
          <w:szCs w:val="24"/>
          <w:lang w:eastAsia="zh-CN"/>
        </w:rPr>
        <w:t>根据</w:t>
      </w:r>
      <w:r w:rsidR="00177A95">
        <w:rPr>
          <w:rFonts w:ascii="SimSun" w:eastAsia="SimSun" w:hAnsi="SimSun" w:cs="SimSun"/>
          <w:sz w:val="24"/>
          <w:szCs w:val="24"/>
          <w:lang w:eastAsia="zh-CN"/>
        </w:rPr>
        <w:t>这一建议，工作组主席允许代表们</w:t>
      </w:r>
      <w:r w:rsidR="00177A95">
        <w:rPr>
          <w:rFonts w:ascii="SimSun" w:eastAsia="SimSun" w:hAnsi="SimSun" w:cs="SimSun" w:hint="eastAsia"/>
          <w:sz w:val="24"/>
          <w:szCs w:val="24"/>
          <w:lang w:eastAsia="zh-CN"/>
        </w:rPr>
        <w:t>就</w:t>
      </w:r>
      <w:r w:rsidR="00177A95">
        <w:rPr>
          <w:rFonts w:ascii="SimSun" w:eastAsia="SimSun" w:hAnsi="SimSun" w:cs="SimSun"/>
          <w:sz w:val="24"/>
          <w:szCs w:val="24"/>
          <w:lang w:eastAsia="zh-CN"/>
        </w:rPr>
        <w:t>其</w:t>
      </w:r>
      <w:r w:rsidR="00177A95">
        <w:rPr>
          <w:rFonts w:ascii="SimSun" w:eastAsia="SimSun" w:hAnsi="SimSun" w:cs="SimSun" w:hint="eastAsia"/>
          <w:sz w:val="24"/>
          <w:szCs w:val="24"/>
          <w:lang w:eastAsia="zh-CN"/>
        </w:rPr>
        <w:t>面前</w:t>
      </w:r>
      <w:r w:rsidR="00177A95">
        <w:rPr>
          <w:rFonts w:ascii="SimSun" w:eastAsia="SimSun" w:hAnsi="SimSun" w:cs="SimSun"/>
          <w:sz w:val="24"/>
          <w:szCs w:val="24"/>
          <w:lang w:eastAsia="zh-CN"/>
        </w:rPr>
        <w:t>的决定草案进行评论和</w:t>
      </w:r>
      <w:r w:rsidR="00177A95">
        <w:rPr>
          <w:rFonts w:ascii="SimSun" w:eastAsia="SimSun" w:hAnsi="SimSun" w:cs="SimSun" w:hint="eastAsia"/>
          <w:sz w:val="24"/>
          <w:szCs w:val="24"/>
          <w:lang w:eastAsia="zh-CN"/>
        </w:rPr>
        <w:t>提交</w:t>
      </w:r>
      <w:r w:rsidR="00177A95">
        <w:rPr>
          <w:rFonts w:ascii="SimSun" w:eastAsia="SimSun" w:hAnsi="SimSun" w:cs="SimSun"/>
          <w:sz w:val="24"/>
          <w:szCs w:val="24"/>
          <w:lang w:eastAsia="zh-CN"/>
        </w:rPr>
        <w:t>修改意见。</w:t>
      </w:r>
    </w:p>
    <w:p w:rsidR="008D76BF" w:rsidRPr="008F1827" w:rsidRDefault="008D76BF" w:rsidP="00750ECD">
      <w:pPr>
        <w:pStyle w:val="Para1"/>
        <w:numPr>
          <w:ilvl w:val="0"/>
          <w:numId w:val="9"/>
        </w:numPr>
        <w:tabs>
          <w:tab w:val="clear" w:pos="360"/>
          <w:tab w:val="left" w:pos="720"/>
        </w:tabs>
        <w:ind w:firstLine="0"/>
        <w:rPr>
          <w:rFonts w:hAnsi="SimSun"/>
          <w:sz w:val="24"/>
          <w:szCs w:val="24"/>
          <w:lang w:eastAsia="zh-CN"/>
        </w:rPr>
      </w:pPr>
      <w:r w:rsidRPr="008F1827">
        <w:rPr>
          <w:rFonts w:ascii="SimSun" w:eastAsia="SimSun" w:hAnsi="SimSun" w:cs="SimSun" w:hint="eastAsia"/>
          <w:sz w:val="24"/>
          <w:szCs w:val="24"/>
          <w:lang w:eastAsia="zh-CN"/>
        </w:rPr>
        <w:t>挪威代表注意到决定草案中关于外来入侵物种问题特设技术专家组的声明，她说，该国政府承诺提供</w:t>
      </w:r>
      <w:r w:rsidRPr="008F1827">
        <w:rPr>
          <w:rFonts w:hAnsi="SimSun"/>
          <w:sz w:val="24"/>
          <w:szCs w:val="24"/>
          <w:lang w:eastAsia="zh-CN"/>
        </w:rPr>
        <w:t>50</w:t>
      </w:r>
      <w:r w:rsidR="00177A95">
        <w:rPr>
          <w:rFonts w:hAnsi="SimSun"/>
          <w:sz w:val="24"/>
          <w:szCs w:val="24"/>
          <w:lang w:eastAsia="zh-CN"/>
        </w:rPr>
        <w:t xml:space="preserve"> 000</w:t>
      </w:r>
      <w:r w:rsidRPr="008F1827">
        <w:rPr>
          <w:rFonts w:ascii="SimSun" w:eastAsia="SimSun" w:hAnsi="SimSun" w:cs="SimSun" w:hint="eastAsia"/>
          <w:sz w:val="24"/>
          <w:szCs w:val="24"/>
          <w:lang w:eastAsia="zh-CN"/>
        </w:rPr>
        <w:t>挪威克朗（约合</w:t>
      </w:r>
      <w:r w:rsidRPr="008F1827">
        <w:rPr>
          <w:rFonts w:hAnsi="SimSun"/>
          <w:sz w:val="24"/>
          <w:szCs w:val="24"/>
          <w:lang w:eastAsia="zh-CN"/>
        </w:rPr>
        <w:t>6</w:t>
      </w:r>
      <w:r w:rsidR="00511C03">
        <w:rPr>
          <w:rFonts w:hAnsi="SimSun"/>
          <w:sz w:val="24"/>
          <w:szCs w:val="24"/>
          <w:lang w:eastAsia="zh-CN"/>
        </w:rPr>
        <w:t>0 000</w:t>
      </w:r>
      <w:r w:rsidRPr="008F1827">
        <w:rPr>
          <w:rFonts w:ascii="SimSun" w:eastAsia="SimSun" w:hAnsi="SimSun" w:cs="SimSun" w:hint="eastAsia"/>
          <w:sz w:val="24"/>
          <w:szCs w:val="24"/>
          <w:lang w:eastAsia="zh-CN"/>
        </w:rPr>
        <w:t>美元）来支持</w:t>
      </w:r>
      <w:r w:rsidR="00511C03">
        <w:rPr>
          <w:rFonts w:ascii="SimSun" w:eastAsia="SimSun" w:hAnsi="SimSun" w:cs="SimSun" w:hint="eastAsia"/>
          <w:sz w:val="24"/>
          <w:szCs w:val="24"/>
          <w:lang w:eastAsia="zh-CN"/>
        </w:rPr>
        <w:t>专家组</w:t>
      </w:r>
      <w:r w:rsidRPr="008F1827">
        <w:rPr>
          <w:rFonts w:ascii="SimSun" w:eastAsia="SimSun" w:hAnsi="SimSun" w:cs="SimSun" w:hint="eastAsia"/>
          <w:sz w:val="24"/>
          <w:szCs w:val="24"/>
          <w:lang w:eastAsia="zh-CN"/>
        </w:rPr>
        <w:t>的工作。</w:t>
      </w:r>
    </w:p>
    <w:p w:rsidR="008D76BF" w:rsidRPr="008F1827"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8F1827">
        <w:rPr>
          <w:rFonts w:ascii="SimSun" w:eastAsia="SimSun" w:hAnsi="SimSun" w:cs="SimSun" w:hint="eastAsia"/>
          <w:sz w:val="24"/>
          <w:szCs w:val="24"/>
          <w:lang w:eastAsia="zh-CN"/>
        </w:rPr>
        <w:t>在</w:t>
      </w:r>
      <w:r w:rsidR="008D76BF" w:rsidRPr="008F1827">
        <w:rPr>
          <w:rFonts w:hAnsi="SimSun"/>
          <w:sz w:val="24"/>
          <w:szCs w:val="24"/>
          <w:lang w:eastAsia="zh-CN"/>
        </w:rPr>
        <w:t>2018</w:t>
      </w:r>
      <w:r w:rsidR="008D76BF" w:rsidRPr="008F1827">
        <w:rPr>
          <w:rFonts w:ascii="SimSun" w:eastAsia="SimSun" w:hAnsi="SimSun" w:cs="SimSun" w:hint="eastAsia"/>
          <w:sz w:val="24"/>
          <w:szCs w:val="24"/>
          <w:lang w:eastAsia="zh-CN"/>
        </w:rPr>
        <w:t>年</w:t>
      </w:r>
      <w:r w:rsidR="008D76BF" w:rsidRPr="008F1827">
        <w:rPr>
          <w:rFonts w:hAnsi="SimSun"/>
          <w:sz w:val="24"/>
          <w:szCs w:val="24"/>
          <w:lang w:eastAsia="zh-CN"/>
        </w:rPr>
        <w:t>11</w:t>
      </w:r>
      <w:r w:rsidR="008D76BF" w:rsidRPr="008F1827">
        <w:rPr>
          <w:rFonts w:ascii="SimSun" w:eastAsia="SimSun" w:hAnsi="SimSun" w:cs="SimSun" w:hint="eastAsia"/>
          <w:sz w:val="24"/>
          <w:szCs w:val="24"/>
          <w:lang w:eastAsia="zh-CN"/>
        </w:rPr>
        <w:t>月</w:t>
      </w:r>
      <w:r w:rsidR="008D76BF" w:rsidRPr="008F1827">
        <w:rPr>
          <w:rFonts w:hAnsi="SimSun"/>
          <w:sz w:val="24"/>
          <w:szCs w:val="24"/>
          <w:lang w:eastAsia="zh-CN"/>
        </w:rPr>
        <w:t>27</w:t>
      </w:r>
      <w:r w:rsidR="008D76BF" w:rsidRPr="008F1827">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8F1827">
        <w:rPr>
          <w:rFonts w:ascii="SimSun" w:eastAsia="SimSun" w:hAnsi="SimSun" w:cs="SimSun" w:hint="eastAsia"/>
          <w:sz w:val="24"/>
          <w:szCs w:val="24"/>
          <w:lang w:eastAsia="zh-CN"/>
        </w:rPr>
        <w:t>第</w:t>
      </w:r>
      <w:r w:rsidR="008D76BF" w:rsidRPr="008F1827">
        <w:rPr>
          <w:rFonts w:hAnsi="SimSun"/>
          <w:sz w:val="24"/>
          <w:szCs w:val="24"/>
          <w:lang w:eastAsia="zh-CN"/>
        </w:rPr>
        <w:t>16</w:t>
      </w:r>
      <w:r w:rsidR="008D76BF" w:rsidRPr="008F1827">
        <w:rPr>
          <w:rFonts w:ascii="SimSun" w:eastAsia="SimSun" w:hAnsi="SimSun" w:cs="SimSun" w:hint="eastAsia"/>
          <w:sz w:val="24"/>
          <w:szCs w:val="24"/>
          <w:lang w:eastAsia="zh-CN"/>
        </w:rPr>
        <w:t>场会议上继续审议关于外来入侵物种的决定草案。</w:t>
      </w:r>
    </w:p>
    <w:p w:rsidR="008D76BF" w:rsidRPr="008F1827" w:rsidRDefault="008D76BF" w:rsidP="00750ECD">
      <w:pPr>
        <w:pStyle w:val="Para1"/>
        <w:numPr>
          <w:ilvl w:val="0"/>
          <w:numId w:val="9"/>
        </w:numPr>
        <w:tabs>
          <w:tab w:val="clear" w:pos="360"/>
          <w:tab w:val="left" w:pos="720"/>
        </w:tabs>
        <w:ind w:firstLine="0"/>
        <w:rPr>
          <w:rFonts w:hAnsi="SimSun"/>
          <w:sz w:val="24"/>
          <w:szCs w:val="24"/>
          <w:lang w:eastAsia="zh-CN"/>
        </w:rPr>
      </w:pPr>
      <w:r w:rsidRPr="008F1827">
        <w:rPr>
          <w:rFonts w:ascii="SimSun" w:eastAsia="SimSun" w:hAnsi="SimSun" w:cs="SimSun" w:hint="eastAsia"/>
          <w:sz w:val="24"/>
          <w:szCs w:val="24"/>
          <w:lang w:eastAsia="zh-CN"/>
        </w:rPr>
        <w:lastRenderedPageBreak/>
        <w:t>下列国家代表</w:t>
      </w:r>
      <w:r w:rsidR="006952B0">
        <w:rPr>
          <w:rFonts w:ascii="SimSun" w:eastAsia="SimSun" w:hAnsi="SimSun" w:cs="SimSun" w:hint="eastAsia"/>
          <w:sz w:val="24"/>
          <w:szCs w:val="24"/>
          <w:lang w:eastAsia="zh-CN"/>
        </w:rPr>
        <w:t>作了发言</w:t>
      </w:r>
      <w:r w:rsidRPr="008F1827">
        <w:rPr>
          <w:rFonts w:ascii="SimSun" w:eastAsia="SimSun" w:hAnsi="SimSun" w:cs="SimSun" w:hint="eastAsia"/>
          <w:sz w:val="24"/>
          <w:szCs w:val="24"/>
          <w:lang w:eastAsia="zh-CN"/>
        </w:rPr>
        <w:t>：巴西、哥伦比亚、格林纳达和新西兰。</w:t>
      </w:r>
    </w:p>
    <w:p w:rsidR="008D76BF" w:rsidRPr="008F1827" w:rsidRDefault="008D76BF" w:rsidP="00750ECD">
      <w:pPr>
        <w:pStyle w:val="Para1"/>
        <w:numPr>
          <w:ilvl w:val="0"/>
          <w:numId w:val="9"/>
        </w:numPr>
        <w:tabs>
          <w:tab w:val="clear" w:pos="360"/>
          <w:tab w:val="left" w:pos="720"/>
        </w:tabs>
        <w:ind w:firstLine="0"/>
        <w:rPr>
          <w:rFonts w:hAnsi="SimSun"/>
          <w:sz w:val="24"/>
          <w:szCs w:val="24"/>
          <w:lang w:eastAsia="zh-CN"/>
        </w:rPr>
      </w:pPr>
      <w:r w:rsidRPr="008F1827">
        <w:rPr>
          <w:rFonts w:ascii="SimSun" w:eastAsia="SimSun" w:hAnsi="SimSun" w:cs="SimSun" w:hint="eastAsia"/>
          <w:sz w:val="24"/>
          <w:szCs w:val="24"/>
          <w:lang w:eastAsia="zh-CN"/>
        </w:rPr>
        <w:t>生物多样性问题国际土著论坛（得到加拿大、哥斯达黎加、厄瓜多尔、菲律宾的支持）和岛屿保护的代表也</w:t>
      </w:r>
      <w:r w:rsidR="006952B0">
        <w:rPr>
          <w:rFonts w:ascii="SimSun" w:eastAsia="SimSun" w:hAnsi="SimSun" w:cs="SimSun" w:hint="eastAsia"/>
          <w:sz w:val="24"/>
          <w:szCs w:val="24"/>
          <w:lang w:eastAsia="zh-CN"/>
        </w:rPr>
        <w:t>作了发言</w:t>
      </w:r>
      <w:r w:rsidRPr="008F1827">
        <w:rPr>
          <w:rFonts w:ascii="SimSun" w:eastAsia="SimSun" w:hAnsi="SimSun" w:cs="SimSun" w:hint="eastAsia"/>
          <w:sz w:val="24"/>
          <w:szCs w:val="24"/>
          <w:lang w:eastAsia="zh-CN"/>
        </w:rPr>
        <w:t>。</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8F1827">
        <w:rPr>
          <w:rFonts w:ascii="SimSun" w:eastAsia="SimSun" w:hAnsi="SimSun" w:cs="SimSun" w:hint="eastAsia"/>
          <w:sz w:val="24"/>
          <w:szCs w:val="24"/>
          <w:lang w:eastAsia="zh-CN"/>
        </w:rPr>
        <w:t>经交换意见后，经口头修正的决定草案获得核准，作为决定草案</w:t>
      </w:r>
      <w:r w:rsidRPr="008F1827">
        <w:rPr>
          <w:rFonts w:hAnsi="SimSun"/>
          <w:sz w:val="24"/>
          <w:szCs w:val="24"/>
          <w:lang w:eastAsia="zh-CN"/>
        </w:rPr>
        <w:t>CBD/COP/14/L.27</w:t>
      </w:r>
      <w:r w:rsidRPr="008F1827">
        <w:rPr>
          <w:rFonts w:ascii="SimSun" w:eastAsia="SimSun" w:hAnsi="SimSun" w:cs="SimSun" w:hint="eastAsia"/>
          <w:sz w:val="24"/>
          <w:szCs w:val="24"/>
          <w:lang w:eastAsia="zh-CN"/>
        </w:rPr>
        <w:t>转交全体会议。</w:t>
      </w:r>
    </w:p>
    <w:p w:rsidR="00EF7DE2" w:rsidRPr="00EF7DE2" w:rsidRDefault="00177A95" w:rsidP="00EF7DE2">
      <w:pPr>
        <w:pStyle w:val="Para1"/>
        <w:numPr>
          <w:ilvl w:val="0"/>
          <w:numId w:val="9"/>
        </w:numPr>
        <w:tabs>
          <w:tab w:val="clear" w:pos="360"/>
          <w:tab w:val="left" w:pos="720"/>
        </w:tabs>
        <w:ind w:firstLine="0"/>
        <w:rPr>
          <w:rFonts w:hAnsi="SimSun"/>
          <w:sz w:val="24"/>
          <w:szCs w:val="24"/>
          <w:lang w:eastAsia="zh-CN"/>
        </w:rPr>
      </w:pPr>
      <w:r w:rsidRPr="00EF7DE2">
        <w:rPr>
          <w:rFonts w:ascii="SimSun" w:eastAsia="SimSun" w:hAnsi="SimSun" w:cs="SimSun" w:hint="eastAsia"/>
          <w:sz w:val="24"/>
          <w:szCs w:val="24"/>
          <w:lang w:eastAsia="zh-CN"/>
        </w:rPr>
        <w:t>在</w:t>
      </w:r>
      <w:r w:rsidRPr="00EF7DE2">
        <w:rPr>
          <w:rFonts w:hAnsi="SimSun"/>
          <w:sz w:val="24"/>
          <w:szCs w:val="24"/>
          <w:lang w:eastAsia="zh-CN"/>
        </w:rPr>
        <w:t>2018</w:t>
      </w:r>
      <w:r w:rsidRPr="00EF7DE2">
        <w:rPr>
          <w:rFonts w:ascii="SimSun" w:eastAsia="SimSun" w:hAnsi="SimSun" w:cs="SimSun" w:hint="eastAsia"/>
          <w:sz w:val="24"/>
          <w:szCs w:val="24"/>
          <w:lang w:eastAsia="zh-CN"/>
        </w:rPr>
        <w:t>年</w:t>
      </w:r>
      <w:r w:rsidRPr="00EF7DE2">
        <w:rPr>
          <w:rFonts w:hAnsi="SimSun"/>
          <w:sz w:val="24"/>
          <w:szCs w:val="24"/>
          <w:lang w:eastAsia="zh-CN"/>
        </w:rPr>
        <w:t>11</w:t>
      </w:r>
      <w:r w:rsidRPr="00EF7DE2">
        <w:rPr>
          <w:rFonts w:ascii="SimSun" w:eastAsia="SimSun" w:hAnsi="SimSun" w:cs="SimSun" w:hint="eastAsia"/>
          <w:sz w:val="24"/>
          <w:szCs w:val="24"/>
          <w:lang w:eastAsia="zh-CN"/>
        </w:rPr>
        <w:t>月</w:t>
      </w:r>
      <w:r w:rsidRPr="00EF7DE2">
        <w:rPr>
          <w:rFonts w:hAnsi="SimSun"/>
          <w:sz w:val="24"/>
          <w:szCs w:val="24"/>
          <w:lang w:eastAsia="zh-CN"/>
        </w:rPr>
        <w:t>2</w:t>
      </w:r>
      <w:r w:rsidR="00EF7DE2">
        <w:rPr>
          <w:rFonts w:hAnsi="SimSun"/>
          <w:sz w:val="24"/>
          <w:szCs w:val="24"/>
          <w:lang w:eastAsia="zh-CN"/>
        </w:rPr>
        <w:t>9</w:t>
      </w:r>
      <w:r w:rsidR="002D53D3">
        <w:rPr>
          <w:rFonts w:ascii="SimSun" w:eastAsia="SimSun" w:hAnsi="SimSun" w:cs="SimSun" w:hint="eastAsia"/>
          <w:sz w:val="24"/>
          <w:szCs w:val="24"/>
          <w:lang w:eastAsia="zh-CN"/>
        </w:rPr>
        <w:t>日会议的</w:t>
      </w:r>
      <w:r w:rsidRPr="00EF7DE2">
        <w:rPr>
          <w:rFonts w:ascii="SimSun" w:eastAsia="SimSun" w:hAnsi="SimSun" w:cs="SimSun" w:hint="eastAsia"/>
          <w:sz w:val="24"/>
          <w:szCs w:val="24"/>
          <w:lang w:eastAsia="zh-CN"/>
        </w:rPr>
        <w:t>第</w:t>
      </w:r>
      <w:r w:rsidRPr="00EF7DE2">
        <w:rPr>
          <w:rFonts w:hAnsi="SimSun"/>
          <w:sz w:val="24"/>
          <w:szCs w:val="24"/>
          <w:lang w:eastAsia="zh-CN"/>
        </w:rPr>
        <w:t>7</w:t>
      </w:r>
      <w:r w:rsidRPr="00EF7DE2">
        <w:rPr>
          <w:rFonts w:ascii="SimSun" w:eastAsia="SimSun" w:hAnsi="SimSun" w:cs="SimSun" w:hint="eastAsia"/>
          <w:sz w:val="24"/>
          <w:szCs w:val="24"/>
          <w:lang w:eastAsia="zh-CN"/>
        </w:rPr>
        <w:t>次全体会议上，</w:t>
      </w:r>
      <w:r w:rsidR="00EF7DE2" w:rsidRPr="00EF7DE2">
        <w:rPr>
          <w:rFonts w:ascii="SimSun" w:eastAsia="SimSun" w:hAnsi="SimSun" w:cs="SimSun" w:hint="eastAsia"/>
          <w:sz w:val="24"/>
          <w:szCs w:val="24"/>
          <w:lang w:eastAsia="zh-CN"/>
        </w:rPr>
        <w:t>缔约方大会</w:t>
      </w:r>
      <w:r w:rsidR="00EF7DE2" w:rsidRPr="00EF7DE2">
        <w:rPr>
          <w:rFonts w:ascii="SimSun" w:eastAsia="SimSun" w:hAnsi="SimSun" w:cs="SimSun"/>
          <w:sz w:val="24"/>
          <w:szCs w:val="24"/>
          <w:lang w:eastAsia="zh-CN"/>
        </w:rPr>
        <w:t>通过了</w:t>
      </w:r>
      <w:r w:rsidR="00EF7DE2" w:rsidRPr="00EF7DE2">
        <w:rPr>
          <w:rFonts w:ascii="SimSun" w:eastAsia="SimSun" w:hAnsi="SimSun" w:cs="SimSun" w:hint="eastAsia"/>
          <w:sz w:val="24"/>
          <w:szCs w:val="24"/>
          <w:lang w:eastAsia="zh-CN"/>
        </w:rPr>
        <w:t>决定草案</w:t>
      </w:r>
      <w:r w:rsidR="00EF7DE2" w:rsidRPr="00EF7DE2">
        <w:rPr>
          <w:rFonts w:hAnsi="SimSun"/>
          <w:sz w:val="24"/>
          <w:szCs w:val="24"/>
          <w:lang w:eastAsia="zh-CN"/>
        </w:rPr>
        <w:t>CBD/COP/14/L.</w:t>
      </w:r>
      <w:r w:rsidR="00EF7DE2">
        <w:rPr>
          <w:rFonts w:hAnsi="SimSun"/>
          <w:sz w:val="24"/>
          <w:szCs w:val="24"/>
          <w:lang w:eastAsia="zh-CN"/>
        </w:rPr>
        <w:t>27</w:t>
      </w:r>
      <w:r w:rsidR="00EF7DE2" w:rsidRPr="00EF7DE2">
        <w:rPr>
          <w:rFonts w:ascii="SimSun" w:eastAsia="SimSun" w:hAnsi="SimSun" w:cs="SimSun" w:hint="eastAsia"/>
          <w:sz w:val="24"/>
          <w:szCs w:val="24"/>
          <w:lang w:eastAsia="zh-CN"/>
        </w:rPr>
        <w:t>，成为第</w:t>
      </w:r>
      <w:r w:rsidR="00EF7DE2" w:rsidRPr="00EF7DE2">
        <w:rPr>
          <w:rFonts w:hAnsi="SimSun"/>
          <w:sz w:val="24"/>
          <w:szCs w:val="24"/>
          <w:lang w:eastAsia="zh-CN"/>
        </w:rPr>
        <w:t>14/1</w:t>
      </w:r>
      <w:r w:rsidR="00EF7DE2">
        <w:rPr>
          <w:rFonts w:hAnsi="SimSun"/>
          <w:sz w:val="24"/>
          <w:szCs w:val="24"/>
          <w:lang w:eastAsia="zh-CN"/>
        </w:rPr>
        <w:t>1</w:t>
      </w:r>
      <w:r w:rsidR="00EF7DE2" w:rsidRPr="00EF7DE2">
        <w:rPr>
          <w:rFonts w:ascii="SimSun" w:eastAsia="SimSun" w:hAnsi="SimSun" w:cs="SimSun" w:hint="eastAsia"/>
          <w:sz w:val="24"/>
          <w:szCs w:val="24"/>
          <w:lang w:eastAsia="zh-CN"/>
        </w:rPr>
        <w:t>号决定</w:t>
      </w:r>
      <w:r w:rsidR="00EF7DE2" w:rsidRPr="00EF7DE2">
        <w:rPr>
          <w:rFonts w:eastAsiaTheme="minorEastAsia" w:hAnsi="SimSun"/>
          <w:sz w:val="24"/>
          <w:lang w:eastAsia="zh-CN"/>
        </w:rPr>
        <w:t>（案文见第一章）。</w:t>
      </w:r>
    </w:p>
    <w:p w:rsidR="008D76BF" w:rsidRPr="00E63AA3" w:rsidRDefault="008D76BF" w:rsidP="00E63AA3">
      <w:pPr>
        <w:pStyle w:val="Heading1"/>
        <w:spacing w:before="120" w:after="120"/>
        <w:ind w:firstLine="0"/>
        <w:rPr>
          <w:sz w:val="24"/>
          <w:lang w:eastAsia="zh-CN"/>
        </w:rPr>
      </w:pPr>
      <w:bookmarkStart w:id="289" w:name="_Toc6243838"/>
      <w:r w:rsidRPr="00E63AA3">
        <w:rPr>
          <w:sz w:val="24"/>
          <w:lang w:eastAsia="zh-CN"/>
        </w:rPr>
        <w:t>项目</w:t>
      </w:r>
      <w:r w:rsidRPr="00E63AA3">
        <w:rPr>
          <w:sz w:val="24"/>
          <w:lang w:eastAsia="zh-CN"/>
        </w:rPr>
        <w:t xml:space="preserve">27.   </w:t>
      </w:r>
      <w:r w:rsidR="00366699" w:rsidRPr="00E63AA3">
        <w:rPr>
          <w:sz w:val="24"/>
          <w:lang w:eastAsia="zh-CN"/>
        </w:rPr>
        <w:t xml:space="preserve">   </w:t>
      </w:r>
      <w:r w:rsidRPr="00E63AA3">
        <w:rPr>
          <w:sz w:val="24"/>
          <w:lang w:eastAsia="zh-CN"/>
        </w:rPr>
        <w:t>合成生物学</w:t>
      </w:r>
      <w:bookmarkEnd w:id="289"/>
    </w:p>
    <w:p w:rsidR="008D76BF" w:rsidRPr="00211878" w:rsidRDefault="008D76BF" w:rsidP="00750ECD">
      <w:pPr>
        <w:pStyle w:val="Para1"/>
        <w:numPr>
          <w:ilvl w:val="0"/>
          <w:numId w:val="9"/>
        </w:numPr>
        <w:tabs>
          <w:tab w:val="clear" w:pos="360"/>
          <w:tab w:val="left" w:pos="720"/>
        </w:tabs>
        <w:ind w:firstLine="0"/>
        <w:rPr>
          <w:rFonts w:hAnsi="SimSun"/>
          <w:sz w:val="24"/>
          <w:szCs w:val="24"/>
          <w:lang w:eastAsia="zh-CN"/>
        </w:rPr>
      </w:pPr>
      <w:r w:rsidRPr="00211878">
        <w:rPr>
          <w:rFonts w:ascii="SimSun" w:eastAsia="SimSun" w:hAnsi="SimSun" w:cs="SimSun" w:hint="eastAsia"/>
          <w:sz w:val="24"/>
          <w:szCs w:val="24"/>
          <w:lang w:eastAsia="zh-CN"/>
        </w:rPr>
        <w:t>第二工作组在</w:t>
      </w:r>
      <w:r w:rsidRPr="00211878">
        <w:rPr>
          <w:rFonts w:hAnsi="SimSun"/>
          <w:sz w:val="24"/>
          <w:szCs w:val="24"/>
          <w:lang w:eastAsia="zh-CN"/>
        </w:rPr>
        <w:t>2018</w:t>
      </w:r>
      <w:r w:rsidRPr="00211878">
        <w:rPr>
          <w:rFonts w:ascii="SimSun" w:eastAsia="SimSun" w:hAnsi="SimSun" w:cs="SimSun" w:hint="eastAsia"/>
          <w:sz w:val="24"/>
          <w:szCs w:val="24"/>
          <w:lang w:eastAsia="zh-CN"/>
        </w:rPr>
        <w:t>年</w:t>
      </w:r>
      <w:r w:rsidRPr="00211878">
        <w:rPr>
          <w:rFonts w:hAnsi="SimSun"/>
          <w:sz w:val="24"/>
          <w:szCs w:val="24"/>
          <w:lang w:eastAsia="zh-CN"/>
        </w:rPr>
        <w:t>11</w:t>
      </w:r>
      <w:r w:rsidRPr="00211878">
        <w:rPr>
          <w:rFonts w:ascii="SimSun" w:eastAsia="SimSun" w:hAnsi="SimSun" w:cs="SimSun" w:hint="eastAsia"/>
          <w:sz w:val="24"/>
          <w:szCs w:val="24"/>
          <w:lang w:eastAsia="zh-CN"/>
        </w:rPr>
        <w:t>月</w:t>
      </w:r>
      <w:r w:rsidRPr="00211878">
        <w:rPr>
          <w:rFonts w:hAnsi="SimSun"/>
          <w:sz w:val="24"/>
          <w:szCs w:val="24"/>
          <w:lang w:eastAsia="zh-CN"/>
        </w:rPr>
        <w:t>18</w:t>
      </w:r>
      <w:r w:rsidRPr="00211878">
        <w:rPr>
          <w:rFonts w:ascii="SimSun" w:eastAsia="SimSun" w:hAnsi="SimSun" w:cs="SimSun" w:hint="eastAsia"/>
          <w:sz w:val="24"/>
          <w:szCs w:val="24"/>
          <w:lang w:eastAsia="zh-CN"/>
        </w:rPr>
        <w:t>日</w:t>
      </w:r>
      <w:r w:rsidR="002D53D3">
        <w:rPr>
          <w:rFonts w:ascii="SimSun" w:eastAsia="SimSun" w:hAnsi="SimSun" w:cs="SimSun" w:hint="eastAsia"/>
          <w:sz w:val="24"/>
          <w:szCs w:val="24"/>
          <w:lang w:eastAsia="zh-CN"/>
        </w:rPr>
        <w:t>其</w:t>
      </w:r>
      <w:r w:rsidRPr="00211878">
        <w:rPr>
          <w:rFonts w:ascii="SimSun" w:eastAsia="SimSun" w:hAnsi="SimSun" w:cs="SimSun" w:hint="eastAsia"/>
          <w:sz w:val="24"/>
          <w:szCs w:val="24"/>
          <w:lang w:eastAsia="zh-CN"/>
        </w:rPr>
        <w:t>第</w:t>
      </w:r>
      <w:r w:rsidRPr="00211878">
        <w:rPr>
          <w:rFonts w:hAnsi="SimSun"/>
          <w:sz w:val="24"/>
          <w:szCs w:val="24"/>
          <w:lang w:eastAsia="zh-CN"/>
        </w:rPr>
        <w:t>1</w:t>
      </w:r>
      <w:r w:rsidRPr="00211878">
        <w:rPr>
          <w:rFonts w:ascii="SimSun" w:eastAsia="SimSun" w:hAnsi="SimSun" w:cs="SimSun" w:hint="eastAsia"/>
          <w:sz w:val="24"/>
          <w:szCs w:val="24"/>
          <w:lang w:eastAsia="zh-CN"/>
        </w:rPr>
        <w:t>场会议上审议了议程项目</w:t>
      </w:r>
      <w:r w:rsidRPr="00211878">
        <w:rPr>
          <w:rFonts w:hAnsi="SimSun"/>
          <w:sz w:val="24"/>
          <w:szCs w:val="24"/>
          <w:lang w:eastAsia="zh-CN"/>
        </w:rPr>
        <w:t>27</w:t>
      </w:r>
      <w:r w:rsidRPr="00211878">
        <w:rPr>
          <w:rFonts w:ascii="SimSun" w:eastAsia="SimSun" w:hAnsi="SimSun" w:cs="SimSun" w:hint="eastAsia"/>
          <w:sz w:val="24"/>
          <w:szCs w:val="24"/>
          <w:lang w:eastAsia="zh-CN"/>
        </w:rPr>
        <w:t>。在审议该项目时，工作组收到了根据决定草案汇编（</w:t>
      </w:r>
      <w:r w:rsidRPr="00211878">
        <w:rPr>
          <w:rFonts w:hAnsi="SimSun"/>
          <w:sz w:val="24"/>
          <w:szCs w:val="24"/>
          <w:lang w:eastAsia="zh-CN"/>
        </w:rPr>
        <w:t>CBD/COP/14/2</w:t>
      </w:r>
      <w:r w:rsidRPr="00211878">
        <w:rPr>
          <w:rFonts w:ascii="SimSun" w:eastAsia="SimSun" w:hAnsi="SimSun" w:cs="SimSun" w:hint="eastAsia"/>
          <w:sz w:val="24"/>
          <w:szCs w:val="24"/>
          <w:lang w:eastAsia="zh-CN"/>
        </w:rPr>
        <w:t>）中所载科咨机构第</w:t>
      </w:r>
      <w:r w:rsidRPr="00211878">
        <w:rPr>
          <w:rFonts w:hAnsi="SimSun"/>
          <w:sz w:val="24"/>
          <w:szCs w:val="24"/>
          <w:lang w:eastAsia="zh-CN"/>
        </w:rPr>
        <w:t>22/2</w:t>
      </w:r>
      <w:r w:rsidRPr="00211878">
        <w:rPr>
          <w:rFonts w:ascii="SimSun" w:eastAsia="SimSun" w:hAnsi="SimSun" w:cs="SimSun" w:hint="eastAsia"/>
          <w:sz w:val="24"/>
          <w:szCs w:val="24"/>
          <w:lang w:eastAsia="zh-CN"/>
        </w:rPr>
        <w:t>号和第</w:t>
      </w:r>
      <w:r w:rsidRPr="00211878">
        <w:rPr>
          <w:rFonts w:hAnsi="SimSun"/>
          <w:sz w:val="24"/>
          <w:szCs w:val="24"/>
          <w:lang w:eastAsia="zh-CN"/>
        </w:rPr>
        <w:t>22/3</w:t>
      </w:r>
      <w:r w:rsidRPr="00211878">
        <w:rPr>
          <w:rFonts w:ascii="SimSun" w:eastAsia="SimSun" w:hAnsi="SimSun" w:cs="SimSun" w:hint="eastAsia"/>
          <w:sz w:val="24"/>
          <w:szCs w:val="24"/>
          <w:lang w:eastAsia="zh-CN"/>
        </w:rPr>
        <w:t>号建议编制的决定草案。</w:t>
      </w:r>
    </w:p>
    <w:p w:rsidR="008D76BF" w:rsidRPr="00211878" w:rsidRDefault="008D76BF" w:rsidP="00750ECD">
      <w:pPr>
        <w:pStyle w:val="Para1"/>
        <w:numPr>
          <w:ilvl w:val="0"/>
          <w:numId w:val="9"/>
        </w:numPr>
        <w:tabs>
          <w:tab w:val="clear" w:pos="360"/>
          <w:tab w:val="left" w:pos="720"/>
        </w:tabs>
        <w:ind w:firstLine="0"/>
        <w:rPr>
          <w:rFonts w:hAnsi="SimSun"/>
          <w:sz w:val="24"/>
          <w:szCs w:val="24"/>
          <w:lang w:eastAsia="zh-CN"/>
        </w:rPr>
      </w:pPr>
      <w:r w:rsidRPr="00211878">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211878">
        <w:rPr>
          <w:rFonts w:ascii="SimSun" w:eastAsia="SimSun" w:hAnsi="SimSun" w:cs="SimSun" w:hint="eastAsia"/>
          <w:sz w:val="24"/>
          <w:szCs w:val="24"/>
          <w:lang w:eastAsia="zh-CN"/>
        </w:rPr>
        <w:t>：安哥拉、阿根廷、孟加拉国、多民族玻利维亚国、巴西、加拿大、哥伦比亚、刚果、哥斯达黎加、厄瓜多尔、埃及、萨尔瓦多、欧洲联盟及其</w:t>
      </w:r>
      <w:r w:rsidRPr="00211878">
        <w:rPr>
          <w:rFonts w:hAnsi="SimSun"/>
          <w:sz w:val="24"/>
          <w:szCs w:val="24"/>
          <w:lang w:eastAsia="zh-CN"/>
        </w:rPr>
        <w:t>28</w:t>
      </w:r>
      <w:r w:rsidRPr="00211878">
        <w:rPr>
          <w:rFonts w:ascii="SimSun" w:eastAsia="SimSun" w:hAnsi="SimSun" w:cs="SimSun" w:hint="eastAsia"/>
          <w:sz w:val="24"/>
          <w:szCs w:val="24"/>
          <w:lang w:eastAsia="zh-CN"/>
        </w:rPr>
        <w:t>个成员国、加纳、格林纳达、危地马拉、洪都拉斯、印度、印度尼西亚、日本、肯尼亚、马来西亚、马里、墨西哥、摩洛哥、新西兰、尼日尔、尼日利亚、挪威、巴拿马、巴拉圭、秘鲁、菲律宾、大韩民国、沙特阿拉伯、南非、瑞士、泰国、多哥、土耳其、乌干达、坦桑尼亚联合共和国和委内瑞拉玻利瓦尔共和国。</w:t>
      </w:r>
    </w:p>
    <w:p w:rsidR="008D76BF" w:rsidRPr="00211878" w:rsidRDefault="008D76BF" w:rsidP="00750ECD">
      <w:pPr>
        <w:pStyle w:val="Para1"/>
        <w:numPr>
          <w:ilvl w:val="0"/>
          <w:numId w:val="9"/>
        </w:numPr>
        <w:tabs>
          <w:tab w:val="clear" w:pos="360"/>
          <w:tab w:val="left" w:pos="720"/>
        </w:tabs>
        <w:ind w:firstLine="0"/>
        <w:rPr>
          <w:rFonts w:hAnsi="SimSun"/>
          <w:sz w:val="24"/>
          <w:szCs w:val="24"/>
          <w:lang w:eastAsia="zh-CN"/>
        </w:rPr>
      </w:pPr>
      <w:r w:rsidRPr="00211878">
        <w:rPr>
          <w:rFonts w:ascii="SimSun" w:eastAsia="SimSun" w:hAnsi="SimSun" w:cs="SimSun" w:hint="eastAsia"/>
          <w:sz w:val="24"/>
          <w:szCs w:val="24"/>
          <w:lang w:eastAsia="zh-CN"/>
        </w:rPr>
        <w:t>国际生物多样性土著论坛、农民之路、</w:t>
      </w:r>
      <w:r w:rsidRPr="00211878">
        <w:rPr>
          <w:rFonts w:hAnsi="SimSun"/>
          <w:sz w:val="24"/>
          <w:szCs w:val="24"/>
          <w:lang w:eastAsia="zh-CN"/>
        </w:rPr>
        <w:t>TerraVie</w:t>
      </w:r>
      <w:r w:rsidRPr="00211878">
        <w:rPr>
          <w:rFonts w:ascii="SimSun" w:eastAsia="SimSun" w:hAnsi="SimSun" w:cs="SimSun" w:hint="eastAsia"/>
          <w:sz w:val="24"/>
          <w:szCs w:val="24"/>
          <w:lang w:eastAsia="zh-CN"/>
        </w:rPr>
        <w:t>、公共研究和规则倡议（</w:t>
      </w:r>
      <w:r w:rsidRPr="00211878">
        <w:rPr>
          <w:rFonts w:hAnsi="SimSun"/>
          <w:sz w:val="24"/>
          <w:szCs w:val="24"/>
          <w:lang w:eastAsia="zh-CN"/>
        </w:rPr>
        <w:t>PRRI</w:t>
      </w:r>
      <w:r w:rsidRPr="00211878">
        <w:rPr>
          <w:rFonts w:ascii="SimSun" w:eastAsia="SimSun" w:hAnsi="SimSun" w:cs="SimSun" w:hint="eastAsia"/>
          <w:sz w:val="24"/>
          <w:szCs w:val="24"/>
          <w:lang w:eastAsia="zh-CN"/>
        </w:rPr>
        <w:t>）、岛屿保护组织、企业与生物多样性、伦敦帝国理工学院、全球青年生物多样性网络、耶鲁大学和伦敦艺术大学也</w:t>
      </w:r>
      <w:r w:rsidR="006952B0">
        <w:rPr>
          <w:rFonts w:ascii="SimSun" w:eastAsia="SimSun" w:hAnsi="SimSun" w:cs="SimSun" w:hint="eastAsia"/>
          <w:sz w:val="24"/>
          <w:szCs w:val="24"/>
          <w:lang w:eastAsia="zh-CN"/>
        </w:rPr>
        <w:t>作了发言</w:t>
      </w:r>
      <w:r w:rsidRPr="00211878">
        <w:rPr>
          <w:rFonts w:ascii="SimSun" w:eastAsia="SimSun" w:hAnsi="SimSun" w:cs="SimSun" w:hint="eastAsia"/>
          <w:sz w:val="24"/>
          <w:szCs w:val="24"/>
          <w:lang w:eastAsia="zh-CN"/>
        </w:rPr>
        <w:t>。</w:t>
      </w:r>
    </w:p>
    <w:p w:rsidR="008D76BF" w:rsidRPr="00211878" w:rsidRDefault="008D76BF" w:rsidP="00750ECD">
      <w:pPr>
        <w:pStyle w:val="Para1"/>
        <w:numPr>
          <w:ilvl w:val="0"/>
          <w:numId w:val="9"/>
        </w:numPr>
        <w:tabs>
          <w:tab w:val="clear" w:pos="360"/>
          <w:tab w:val="left" w:pos="720"/>
        </w:tabs>
        <w:ind w:firstLine="0"/>
        <w:rPr>
          <w:rFonts w:hAnsi="SimSun"/>
          <w:sz w:val="24"/>
          <w:szCs w:val="24"/>
          <w:lang w:eastAsia="zh-CN"/>
        </w:rPr>
      </w:pPr>
      <w:r w:rsidRPr="00211878">
        <w:rPr>
          <w:rFonts w:ascii="SimSun" w:eastAsia="SimSun" w:hAnsi="SimSun" w:cs="SimSun" w:hint="eastAsia"/>
          <w:sz w:val="24"/>
          <w:szCs w:val="24"/>
          <w:lang w:eastAsia="zh-CN"/>
        </w:rPr>
        <w:t>工作组同意设立由</w:t>
      </w:r>
      <w:r w:rsidRPr="00211878">
        <w:rPr>
          <w:rFonts w:hAnsi="SimSun"/>
          <w:sz w:val="24"/>
          <w:szCs w:val="24"/>
          <w:lang w:eastAsia="zh-CN"/>
        </w:rPr>
        <w:t>Horst Korn</w:t>
      </w:r>
      <w:r w:rsidRPr="00211878">
        <w:rPr>
          <w:rFonts w:ascii="SimSun" w:eastAsia="SimSun" w:hAnsi="SimSun" w:cs="SimSun" w:hint="eastAsia"/>
          <w:sz w:val="24"/>
          <w:szCs w:val="24"/>
          <w:lang w:eastAsia="zh-CN"/>
        </w:rPr>
        <w:t>先生（德国）主持的联络小组，继续讨论第</w:t>
      </w:r>
      <w:r w:rsidRPr="00211878">
        <w:rPr>
          <w:rFonts w:hAnsi="SimSun"/>
          <w:sz w:val="24"/>
          <w:szCs w:val="24"/>
          <w:lang w:eastAsia="zh-CN"/>
        </w:rPr>
        <w:t>3</w:t>
      </w:r>
      <w:r w:rsidRPr="00211878">
        <w:rPr>
          <w:rFonts w:ascii="SimSun" w:eastAsia="SimSun" w:hAnsi="SimSun" w:cs="SimSun" w:hint="eastAsia"/>
          <w:sz w:val="24"/>
          <w:szCs w:val="24"/>
          <w:lang w:eastAsia="zh-CN"/>
        </w:rPr>
        <w:t>、</w:t>
      </w:r>
      <w:r w:rsidRPr="00211878">
        <w:rPr>
          <w:rFonts w:hAnsi="SimSun"/>
          <w:sz w:val="24"/>
          <w:szCs w:val="24"/>
          <w:lang w:eastAsia="zh-CN"/>
        </w:rPr>
        <w:t>4</w:t>
      </w:r>
      <w:r w:rsidRPr="00211878">
        <w:rPr>
          <w:rFonts w:ascii="SimSun" w:eastAsia="SimSun" w:hAnsi="SimSun" w:cs="SimSun" w:hint="eastAsia"/>
          <w:sz w:val="24"/>
          <w:szCs w:val="24"/>
          <w:lang w:eastAsia="zh-CN"/>
        </w:rPr>
        <w:t>和</w:t>
      </w:r>
      <w:r w:rsidRPr="00211878">
        <w:rPr>
          <w:rFonts w:hAnsi="SimSun"/>
          <w:sz w:val="24"/>
          <w:szCs w:val="24"/>
          <w:lang w:eastAsia="zh-CN"/>
        </w:rPr>
        <w:t>10</w:t>
      </w:r>
      <w:r w:rsidRPr="00211878">
        <w:rPr>
          <w:rFonts w:ascii="SimSun" w:eastAsia="SimSun" w:hAnsi="SimSun" w:cs="SimSun" w:hint="eastAsia"/>
          <w:sz w:val="24"/>
          <w:szCs w:val="24"/>
          <w:lang w:eastAsia="zh-CN"/>
        </w:rPr>
        <w:t>段。</w:t>
      </w:r>
    </w:p>
    <w:p w:rsidR="008D76BF" w:rsidRPr="00211878" w:rsidRDefault="0006774F"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t>工作组</w:t>
      </w:r>
      <w:r w:rsidR="008D76BF" w:rsidRPr="00211878">
        <w:rPr>
          <w:rFonts w:ascii="SimSun" w:eastAsia="SimSun" w:hAnsi="SimSun" w:cs="SimSun" w:hint="eastAsia"/>
          <w:sz w:val="24"/>
          <w:szCs w:val="24"/>
          <w:lang w:eastAsia="zh-CN"/>
        </w:rPr>
        <w:t>在</w:t>
      </w:r>
      <w:r w:rsidR="008D76BF" w:rsidRPr="00211878">
        <w:rPr>
          <w:rFonts w:hAnsi="SimSun"/>
          <w:sz w:val="24"/>
          <w:szCs w:val="24"/>
          <w:lang w:eastAsia="zh-CN"/>
        </w:rPr>
        <w:t>2018</w:t>
      </w:r>
      <w:r w:rsidR="008D76BF" w:rsidRPr="00211878">
        <w:rPr>
          <w:rFonts w:ascii="SimSun" w:eastAsia="SimSun" w:hAnsi="SimSun" w:cs="SimSun" w:hint="eastAsia"/>
          <w:sz w:val="24"/>
          <w:szCs w:val="24"/>
          <w:lang w:eastAsia="zh-CN"/>
        </w:rPr>
        <w:t>年</w:t>
      </w:r>
      <w:r w:rsidR="008D76BF" w:rsidRPr="00211878">
        <w:rPr>
          <w:rFonts w:hAnsi="SimSun"/>
          <w:sz w:val="24"/>
          <w:szCs w:val="24"/>
          <w:lang w:eastAsia="zh-CN"/>
        </w:rPr>
        <w:t>11</w:t>
      </w:r>
      <w:r w:rsidR="008D76BF" w:rsidRPr="00211878">
        <w:rPr>
          <w:rFonts w:ascii="SimSun" w:eastAsia="SimSun" w:hAnsi="SimSun" w:cs="SimSun" w:hint="eastAsia"/>
          <w:sz w:val="24"/>
          <w:szCs w:val="24"/>
          <w:lang w:eastAsia="zh-CN"/>
        </w:rPr>
        <w:t>月</w:t>
      </w:r>
      <w:r w:rsidR="008D76BF" w:rsidRPr="00211878">
        <w:rPr>
          <w:rFonts w:hAnsi="SimSun"/>
          <w:sz w:val="24"/>
          <w:szCs w:val="24"/>
          <w:lang w:eastAsia="zh-CN"/>
        </w:rPr>
        <w:t>28</w:t>
      </w:r>
      <w:r w:rsidR="008D76BF" w:rsidRPr="00211878">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211878">
        <w:rPr>
          <w:rFonts w:ascii="SimSun" w:eastAsia="SimSun" w:hAnsi="SimSun" w:cs="SimSun" w:hint="eastAsia"/>
          <w:sz w:val="24"/>
          <w:szCs w:val="24"/>
          <w:lang w:eastAsia="zh-CN"/>
        </w:rPr>
        <w:t>第</w:t>
      </w:r>
      <w:r w:rsidR="008D76BF" w:rsidRPr="00211878">
        <w:rPr>
          <w:rFonts w:hAnsi="SimSun"/>
          <w:sz w:val="24"/>
          <w:szCs w:val="24"/>
          <w:lang w:eastAsia="zh-CN"/>
        </w:rPr>
        <w:t>17</w:t>
      </w:r>
      <w:r w:rsidR="008D76BF" w:rsidRPr="00211878">
        <w:rPr>
          <w:rFonts w:ascii="SimSun" w:eastAsia="SimSun" w:hAnsi="SimSun" w:cs="SimSun" w:hint="eastAsia"/>
          <w:sz w:val="24"/>
          <w:szCs w:val="24"/>
          <w:lang w:eastAsia="zh-CN"/>
        </w:rPr>
        <w:t>场会议上审议了关于合成生物学的订正决定草案。</w:t>
      </w:r>
    </w:p>
    <w:p w:rsidR="008D76BF" w:rsidRPr="00211878" w:rsidRDefault="008D76BF" w:rsidP="00750ECD">
      <w:pPr>
        <w:pStyle w:val="Para1"/>
        <w:numPr>
          <w:ilvl w:val="0"/>
          <w:numId w:val="9"/>
        </w:numPr>
        <w:tabs>
          <w:tab w:val="clear" w:pos="360"/>
          <w:tab w:val="left" w:pos="720"/>
        </w:tabs>
        <w:ind w:firstLine="0"/>
        <w:rPr>
          <w:rFonts w:hAnsi="SimSun"/>
          <w:sz w:val="24"/>
          <w:szCs w:val="24"/>
          <w:lang w:eastAsia="zh-CN"/>
        </w:rPr>
      </w:pPr>
      <w:r w:rsidRPr="00211878">
        <w:rPr>
          <w:rFonts w:ascii="SimSun" w:eastAsia="SimSun" w:hAnsi="SimSun" w:cs="SimSun" w:hint="eastAsia"/>
          <w:sz w:val="24"/>
          <w:szCs w:val="24"/>
          <w:lang w:eastAsia="zh-CN"/>
        </w:rPr>
        <w:t>下列国家的代表</w:t>
      </w:r>
      <w:r w:rsidR="006952B0">
        <w:rPr>
          <w:rFonts w:ascii="SimSun" w:eastAsia="SimSun" w:hAnsi="SimSun" w:cs="SimSun" w:hint="eastAsia"/>
          <w:sz w:val="24"/>
          <w:szCs w:val="24"/>
          <w:lang w:eastAsia="zh-CN"/>
        </w:rPr>
        <w:t>作了发言</w:t>
      </w:r>
      <w:r w:rsidRPr="00211878">
        <w:rPr>
          <w:rFonts w:ascii="SimSun" w:eastAsia="SimSun" w:hAnsi="SimSun" w:cs="SimSun" w:hint="eastAsia"/>
          <w:sz w:val="24"/>
          <w:szCs w:val="24"/>
          <w:lang w:eastAsia="zh-CN"/>
        </w:rPr>
        <w:t>：阿根廷、多民族玻利维亚国、巴西、加拿大、哥伦比亚、哥斯达黎加、古巴、埃及、欧洲联盟</w:t>
      </w:r>
      <w:r>
        <w:rPr>
          <w:rFonts w:ascii="SimSun" w:eastAsia="SimSun" w:hAnsi="SimSun" w:cs="SimSun" w:hint="eastAsia"/>
          <w:sz w:val="24"/>
          <w:szCs w:val="24"/>
          <w:lang w:eastAsia="zh-CN"/>
        </w:rPr>
        <w:t>及其</w:t>
      </w:r>
      <w:r w:rsidRPr="006D22F9">
        <w:rPr>
          <w:rFonts w:eastAsia="Times New Roman"/>
          <w:sz w:val="24"/>
          <w:szCs w:val="24"/>
          <w:lang w:eastAsia="zh-CN"/>
        </w:rPr>
        <w:t>28</w:t>
      </w:r>
      <w:r>
        <w:rPr>
          <w:rFonts w:ascii="SimSun" w:eastAsia="SimSun" w:hAnsi="SimSun" w:cs="SimSun" w:hint="eastAsia"/>
          <w:sz w:val="24"/>
          <w:szCs w:val="24"/>
          <w:lang w:eastAsia="zh-CN"/>
        </w:rPr>
        <w:t>个成员国</w:t>
      </w:r>
      <w:r w:rsidRPr="00211878">
        <w:rPr>
          <w:rFonts w:ascii="SimSun" w:eastAsia="SimSun" w:hAnsi="SimSun" w:cs="SimSun" w:hint="eastAsia"/>
          <w:sz w:val="24"/>
          <w:szCs w:val="24"/>
          <w:lang w:eastAsia="zh-CN"/>
        </w:rPr>
        <w:t>、加蓬、加纳（代表非洲集团）、格林纳达、洪都拉斯、日本、肯尼亚、新西兰、尼日利亚、挪威、菲律宾、南非、乌拉圭和委内瑞拉玻利瓦尔共和国。</w:t>
      </w:r>
    </w:p>
    <w:p w:rsidR="008D76BF" w:rsidRPr="00211878" w:rsidRDefault="008D76BF" w:rsidP="00750ECD">
      <w:pPr>
        <w:pStyle w:val="Para1"/>
        <w:numPr>
          <w:ilvl w:val="0"/>
          <w:numId w:val="9"/>
        </w:numPr>
        <w:tabs>
          <w:tab w:val="clear" w:pos="360"/>
          <w:tab w:val="left" w:pos="720"/>
        </w:tabs>
        <w:ind w:firstLine="0"/>
        <w:rPr>
          <w:rFonts w:hAnsi="SimSun"/>
          <w:sz w:val="24"/>
          <w:szCs w:val="24"/>
          <w:lang w:eastAsia="zh-CN"/>
        </w:rPr>
      </w:pPr>
      <w:r w:rsidRPr="00780084">
        <w:rPr>
          <w:rFonts w:eastAsia="SimSun" w:hAnsi="SimSun" w:hint="eastAsia"/>
          <w:sz w:val="24"/>
          <w:szCs w:val="24"/>
          <w:lang w:eastAsia="zh-CN"/>
        </w:rPr>
        <w:t>生物多样性问题国际土著论坛</w:t>
      </w:r>
      <w:r>
        <w:rPr>
          <w:rFonts w:eastAsia="SimSun" w:hAnsi="SimSun" w:hint="eastAsia"/>
          <w:sz w:val="24"/>
          <w:szCs w:val="24"/>
          <w:lang w:eastAsia="zh-CN"/>
        </w:rPr>
        <w:t>和</w:t>
      </w:r>
      <w:r w:rsidRPr="00780084">
        <w:rPr>
          <w:rFonts w:eastAsia="SimSun" w:hAnsi="SimSun" w:hint="eastAsia"/>
          <w:sz w:val="24"/>
          <w:szCs w:val="24"/>
          <w:lang w:eastAsia="zh-CN"/>
        </w:rPr>
        <w:t>伦敦帝国理工学</w:t>
      </w:r>
      <w:r w:rsidRPr="00211878">
        <w:rPr>
          <w:rFonts w:ascii="SimSun" w:eastAsia="SimSun" w:hAnsi="SimSun" w:cs="SimSun" w:hint="eastAsia"/>
          <w:sz w:val="24"/>
          <w:szCs w:val="24"/>
          <w:lang w:eastAsia="zh-CN"/>
        </w:rPr>
        <w:t>院的代表（代表消除疟疾目标）也</w:t>
      </w:r>
      <w:r w:rsidR="006952B0">
        <w:rPr>
          <w:rFonts w:ascii="SimSun" w:eastAsia="SimSun" w:hAnsi="SimSun" w:cs="SimSun" w:hint="eastAsia"/>
          <w:sz w:val="24"/>
          <w:szCs w:val="24"/>
          <w:lang w:eastAsia="zh-CN"/>
        </w:rPr>
        <w:t>作了发言</w:t>
      </w:r>
      <w:r w:rsidRPr="00211878">
        <w:rPr>
          <w:rFonts w:ascii="SimSun" w:eastAsia="SimSun" w:hAnsi="SimSun" w:cs="SimSun" w:hint="eastAsia"/>
          <w:sz w:val="24"/>
          <w:szCs w:val="24"/>
          <w:lang w:eastAsia="zh-CN"/>
        </w:rPr>
        <w:t>。</w:t>
      </w:r>
    </w:p>
    <w:p w:rsidR="008D76BF" w:rsidRPr="00806BF8" w:rsidRDefault="0006774F" w:rsidP="00750ECD">
      <w:pPr>
        <w:pStyle w:val="Para1"/>
        <w:numPr>
          <w:ilvl w:val="0"/>
          <w:numId w:val="9"/>
        </w:numPr>
        <w:tabs>
          <w:tab w:val="clear" w:pos="360"/>
          <w:tab w:val="left" w:pos="720"/>
        </w:tabs>
        <w:ind w:firstLine="0"/>
        <w:rPr>
          <w:sz w:val="24"/>
          <w:szCs w:val="24"/>
          <w:lang w:eastAsia="zh-CN"/>
        </w:rPr>
      </w:pPr>
      <w:r>
        <w:rPr>
          <w:rFonts w:eastAsiaTheme="minorEastAsia" w:hAnsi="SimSun" w:hint="eastAsia"/>
          <w:sz w:val="24"/>
          <w:szCs w:val="24"/>
          <w:lang w:eastAsia="zh-CN"/>
        </w:rPr>
        <w:t>工作组</w:t>
      </w:r>
      <w:r w:rsidR="008D76BF" w:rsidRPr="00806BF8">
        <w:rPr>
          <w:rFonts w:eastAsia="Times New Roman" w:hAnsi="SimSun"/>
          <w:sz w:val="24"/>
          <w:szCs w:val="24"/>
          <w:lang w:eastAsia="zh-CN"/>
        </w:rPr>
        <w:t>在</w:t>
      </w:r>
      <w:r w:rsidR="008D76BF" w:rsidRPr="00806BF8">
        <w:rPr>
          <w:rFonts w:eastAsia="Times New Roman"/>
          <w:sz w:val="24"/>
          <w:szCs w:val="24"/>
          <w:lang w:eastAsia="zh-CN"/>
        </w:rPr>
        <w:t>2018</w:t>
      </w:r>
      <w:r w:rsidR="008D76BF" w:rsidRPr="00806BF8">
        <w:rPr>
          <w:rFonts w:eastAsia="Times New Roman" w:hAnsi="SimSun"/>
          <w:sz w:val="24"/>
          <w:szCs w:val="24"/>
          <w:lang w:eastAsia="zh-CN"/>
        </w:rPr>
        <w:t>年</w:t>
      </w:r>
      <w:r w:rsidR="008D76BF" w:rsidRPr="00806BF8">
        <w:rPr>
          <w:rFonts w:eastAsia="Times New Roman"/>
          <w:sz w:val="24"/>
          <w:szCs w:val="24"/>
          <w:lang w:eastAsia="zh-CN"/>
        </w:rPr>
        <w:t>11</w:t>
      </w:r>
      <w:r w:rsidR="008D76BF" w:rsidRPr="00806BF8">
        <w:rPr>
          <w:rFonts w:eastAsia="Times New Roman" w:hAnsi="SimSun"/>
          <w:sz w:val="24"/>
          <w:szCs w:val="24"/>
          <w:lang w:eastAsia="zh-CN"/>
        </w:rPr>
        <w:t>月</w:t>
      </w:r>
      <w:r w:rsidR="008D76BF" w:rsidRPr="00806BF8">
        <w:rPr>
          <w:rFonts w:eastAsia="Times New Roman"/>
          <w:sz w:val="24"/>
          <w:szCs w:val="24"/>
          <w:lang w:eastAsia="zh-CN"/>
        </w:rPr>
        <w:t>28</w:t>
      </w:r>
      <w:r w:rsidR="00EA4BF6">
        <w:rPr>
          <w:rFonts w:ascii="SimSun" w:eastAsia="SimSun" w:hAnsi="SimSun" w:cs="SimSun" w:hint="eastAsia"/>
          <w:sz w:val="24"/>
          <w:szCs w:val="24"/>
          <w:lang w:eastAsia="zh-CN"/>
        </w:rPr>
        <w:t>日</w:t>
      </w:r>
      <w:r>
        <w:rPr>
          <w:rFonts w:ascii="SimSun" w:eastAsia="SimSun" w:hAnsi="SimSun" w:cs="SimSun" w:hint="eastAsia"/>
          <w:sz w:val="24"/>
          <w:szCs w:val="24"/>
          <w:lang w:eastAsia="zh-CN"/>
        </w:rPr>
        <w:t>其</w:t>
      </w:r>
      <w:r w:rsidR="008D76BF" w:rsidRPr="00806BF8">
        <w:rPr>
          <w:rFonts w:eastAsia="Times New Roman" w:hAnsi="SimSun"/>
          <w:sz w:val="24"/>
          <w:szCs w:val="24"/>
          <w:lang w:eastAsia="zh-CN"/>
        </w:rPr>
        <w:t>第</w:t>
      </w:r>
      <w:r>
        <w:rPr>
          <w:rFonts w:eastAsiaTheme="minorEastAsia" w:hAnsi="SimSun" w:hint="eastAsia"/>
          <w:sz w:val="24"/>
          <w:szCs w:val="24"/>
          <w:lang w:eastAsia="zh-CN"/>
        </w:rPr>
        <w:t>18</w:t>
      </w:r>
      <w:r w:rsidR="008D76BF" w:rsidRPr="00806BF8">
        <w:rPr>
          <w:rFonts w:eastAsia="Times New Roman" w:hAnsi="SimSun"/>
          <w:sz w:val="24"/>
          <w:szCs w:val="24"/>
          <w:lang w:eastAsia="zh-CN"/>
        </w:rPr>
        <w:t>场会议上恢复审议</w:t>
      </w:r>
      <w:r>
        <w:rPr>
          <w:rFonts w:eastAsiaTheme="minorEastAsia" w:hAnsi="SimSun" w:hint="eastAsia"/>
          <w:sz w:val="24"/>
          <w:szCs w:val="24"/>
          <w:lang w:eastAsia="zh-CN"/>
        </w:rPr>
        <w:t>该</w:t>
      </w:r>
      <w:r w:rsidR="008D76BF" w:rsidRPr="00806BF8">
        <w:rPr>
          <w:rFonts w:eastAsia="Times New Roman" w:hAnsi="SimSun"/>
          <w:sz w:val="24"/>
          <w:szCs w:val="24"/>
          <w:lang w:eastAsia="zh-CN"/>
        </w:rPr>
        <w:t>决定草案。</w:t>
      </w:r>
    </w:p>
    <w:p w:rsidR="008D76BF" w:rsidRPr="00806BF8" w:rsidRDefault="00EA4BF6" w:rsidP="00750ECD">
      <w:pPr>
        <w:pStyle w:val="Para1"/>
        <w:numPr>
          <w:ilvl w:val="0"/>
          <w:numId w:val="9"/>
        </w:numPr>
        <w:tabs>
          <w:tab w:val="clear" w:pos="360"/>
          <w:tab w:val="left" w:pos="720"/>
        </w:tabs>
        <w:ind w:firstLine="0"/>
        <w:rPr>
          <w:rFonts w:hAnsi="SimSun"/>
          <w:sz w:val="24"/>
          <w:szCs w:val="24"/>
          <w:lang w:eastAsia="zh-CN"/>
        </w:rPr>
      </w:pPr>
      <w:r>
        <w:rPr>
          <w:rFonts w:ascii="SimSun" w:eastAsia="SimSun" w:hAnsi="SimSun" w:cs="SimSun" w:hint="eastAsia"/>
          <w:sz w:val="24"/>
          <w:szCs w:val="24"/>
          <w:lang w:eastAsia="zh-CN"/>
        </w:rPr>
        <w:lastRenderedPageBreak/>
        <w:t>下列国家代表</w:t>
      </w:r>
      <w:r w:rsidR="006952B0">
        <w:rPr>
          <w:rFonts w:ascii="SimSun" w:eastAsia="SimSun" w:hAnsi="SimSun" w:cs="SimSun" w:hint="eastAsia"/>
          <w:sz w:val="24"/>
          <w:szCs w:val="24"/>
          <w:lang w:eastAsia="zh-CN"/>
        </w:rPr>
        <w:t>作了发言</w:t>
      </w:r>
      <w:r w:rsidR="008D76BF" w:rsidRPr="00806BF8">
        <w:rPr>
          <w:rFonts w:ascii="SimSun" w:eastAsia="SimSun" w:hAnsi="SimSun" w:cs="SimSun" w:hint="eastAsia"/>
          <w:sz w:val="24"/>
          <w:szCs w:val="24"/>
          <w:lang w:eastAsia="zh-CN"/>
        </w:rPr>
        <w:t>：阿根廷、巴西、埃及、欧洲联盟及其</w:t>
      </w:r>
      <w:r w:rsidR="008D76BF" w:rsidRPr="00806BF8">
        <w:rPr>
          <w:rFonts w:hAnsi="SimSun"/>
          <w:sz w:val="24"/>
          <w:szCs w:val="24"/>
          <w:lang w:eastAsia="zh-CN"/>
        </w:rPr>
        <w:t>28</w:t>
      </w:r>
      <w:r w:rsidR="008D76BF" w:rsidRPr="00806BF8">
        <w:rPr>
          <w:rFonts w:ascii="SimSun" w:eastAsia="SimSun" w:hAnsi="SimSun" w:cs="SimSun" w:hint="eastAsia"/>
          <w:sz w:val="24"/>
          <w:szCs w:val="24"/>
          <w:lang w:eastAsia="zh-CN"/>
        </w:rPr>
        <w:t>个成员国、加蓬、加纳（代表非洲国家集团）、格林纳达、日本、马来西亚、墨西哥、新西兰、挪威、巴拿马、菲律宾、大韩民国和瑞士</w:t>
      </w:r>
      <w:r w:rsidR="008D76BF">
        <w:rPr>
          <w:rFonts w:ascii="SimSun" w:eastAsia="SimSun" w:hAnsi="SimSun" w:cs="SimSun" w:hint="eastAsia"/>
          <w:sz w:val="24"/>
          <w:szCs w:val="24"/>
          <w:lang w:eastAsia="zh-CN"/>
        </w:rPr>
        <w:t>。</w:t>
      </w:r>
    </w:p>
    <w:p w:rsidR="008D76BF" w:rsidRPr="004D1FBA" w:rsidRDefault="008D76BF" w:rsidP="00750ECD">
      <w:pPr>
        <w:pStyle w:val="Para1"/>
        <w:numPr>
          <w:ilvl w:val="0"/>
          <w:numId w:val="9"/>
        </w:numPr>
        <w:tabs>
          <w:tab w:val="clear" w:pos="360"/>
          <w:tab w:val="left" w:pos="720"/>
        </w:tabs>
        <w:ind w:firstLine="0"/>
        <w:rPr>
          <w:rFonts w:hAnsi="SimSun"/>
          <w:sz w:val="24"/>
          <w:szCs w:val="24"/>
          <w:lang w:eastAsia="zh-CN"/>
        </w:rPr>
      </w:pPr>
      <w:r w:rsidRPr="00806BF8">
        <w:rPr>
          <w:rFonts w:ascii="SimSun" w:eastAsia="SimSun" w:hAnsi="SimSun" w:cs="SimSun" w:hint="eastAsia"/>
          <w:sz w:val="24"/>
          <w:szCs w:val="24"/>
          <w:lang w:eastAsia="zh-CN"/>
        </w:rPr>
        <w:t>经交换意见后，经口头订正的决定草案获得通过，将作为决定草案</w:t>
      </w:r>
      <w:r w:rsidRPr="00806BF8">
        <w:rPr>
          <w:rFonts w:hAnsi="SimSun"/>
          <w:sz w:val="24"/>
          <w:szCs w:val="24"/>
          <w:lang w:eastAsia="zh-CN"/>
        </w:rPr>
        <w:t>CBD/COP/14/L.</w:t>
      </w:r>
      <w:r>
        <w:rPr>
          <w:rFonts w:hAnsi="SimSun"/>
          <w:sz w:val="24"/>
          <w:szCs w:val="24"/>
          <w:lang w:eastAsia="zh-CN"/>
        </w:rPr>
        <w:t>31</w:t>
      </w:r>
      <w:r w:rsidRPr="00806BF8">
        <w:rPr>
          <w:rFonts w:ascii="SimSun" w:eastAsia="SimSun" w:hAnsi="SimSun" w:cs="SimSun" w:hint="eastAsia"/>
          <w:sz w:val="24"/>
          <w:szCs w:val="24"/>
          <w:lang w:eastAsia="zh-CN"/>
        </w:rPr>
        <w:t>转交全体会议。</w:t>
      </w:r>
    </w:p>
    <w:p w:rsidR="00EF7DE2" w:rsidRPr="00EF7DE2" w:rsidRDefault="00EF7DE2" w:rsidP="00EF7DE2">
      <w:pPr>
        <w:pStyle w:val="Para1"/>
        <w:numPr>
          <w:ilvl w:val="0"/>
          <w:numId w:val="9"/>
        </w:numPr>
        <w:tabs>
          <w:tab w:val="clear" w:pos="360"/>
          <w:tab w:val="left" w:pos="720"/>
        </w:tabs>
        <w:ind w:firstLine="0"/>
        <w:rPr>
          <w:rFonts w:hAnsi="SimSun"/>
          <w:sz w:val="24"/>
          <w:szCs w:val="24"/>
          <w:lang w:eastAsia="zh-CN"/>
        </w:rPr>
      </w:pPr>
      <w:r w:rsidRPr="00EF7DE2">
        <w:rPr>
          <w:rFonts w:ascii="SimSun" w:eastAsia="SimSun" w:hAnsi="SimSun" w:cs="SimSun" w:hint="eastAsia"/>
          <w:sz w:val="24"/>
          <w:szCs w:val="24"/>
          <w:lang w:eastAsia="zh-CN"/>
        </w:rPr>
        <w:t>在</w:t>
      </w:r>
      <w:r w:rsidRPr="00EF7DE2">
        <w:rPr>
          <w:rFonts w:hAnsi="SimSun"/>
          <w:sz w:val="24"/>
          <w:szCs w:val="24"/>
          <w:lang w:eastAsia="zh-CN"/>
        </w:rPr>
        <w:t>2018</w:t>
      </w:r>
      <w:r w:rsidRPr="00EF7DE2">
        <w:rPr>
          <w:rFonts w:ascii="SimSun" w:eastAsia="SimSun" w:hAnsi="SimSun" w:cs="SimSun" w:hint="eastAsia"/>
          <w:sz w:val="24"/>
          <w:szCs w:val="24"/>
          <w:lang w:eastAsia="zh-CN"/>
        </w:rPr>
        <w:t>年</w:t>
      </w:r>
      <w:r w:rsidRPr="00EF7DE2">
        <w:rPr>
          <w:rFonts w:hAnsi="SimSun"/>
          <w:sz w:val="24"/>
          <w:szCs w:val="24"/>
          <w:lang w:eastAsia="zh-CN"/>
        </w:rPr>
        <w:t>11</w:t>
      </w:r>
      <w:r w:rsidRPr="00EF7DE2">
        <w:rPr>
          <w:rFonts w:ascii="SimSun" w:eastAsia="SimSun" w:hAnsi="SimSun" w:cs="SimSun" w:hint="eastAsia"/>
          <w:sz w:val="24"/>
          <w:szCs w:val="24"/>
          <w:lang w:eastAsia="zh-CN"/>
        </w:rPr>
        <w:t>月</w:t>
      </w:r>
      <w:r w:rsidRPr="00EF7DE2">
        <w:rPr>
          <w:rFonts w:hAnsi="SimSun"/>
          <w:sz w:val="24"/>
          <w:szCs w:val="24"/>
          <w:lang w:eastAsia="zh-CN"/>
        </w:rPr>
        <w:t>2</w:t>
      </w:r>
      <w:r>
        <w:rPr>
          <w:rFonts w:hAnsi="SimSun"/>
          <w:sz w:val="24"/>
          <w:szCs w:val="24"/>
          <w:lang w:eastAsia="zh-CN"/>
        </w:rPr>
        <w:t>9</w:t>
      </w:r>
      <w:r w:rsidR="002D53D3">
        <w:rPr>
          <w:rFonts w:ascii="SimSun" w:eastAsia="SimSun" w:hAnsi="SimSun" w:cs="SimSun" w:hint="eastAsia"/>
          <w:sz w:val="24"/>
          <w:szCs w:val="24"/>
          <w:lang w:eastAsia="zh-CN"/>
        </w:rPr>
        <w:t>日会议的</w:t>
      </w:r>
      <w:r w:rsidRPr="00EF7DE2">
        <w:rPr>
          <w:rFonts w:ascii="SimSun" w:eastAsia="SimSun" w:hAnsi="SimSun" w:cs="SimSun" w:hint="eastAsia"/>
          <w:sz w:val="24"/>
          <w:szCs w:val="24"/>
          <w:lang w:eastAsia="zh-CN"/>
        </w:rPr>
        <w:t>第</w:t>
      </w:r>
      <w:r w:rsidRPr="00EF7DE2">
        <w:rPr>
          <w:rFonts w:hAnsi="SimSun"/>
          <w:sz w:val="24"/>
          <w:szCs w:val="24"/>
          <w:lang w:eastAsia="zh-CN"/>
        </w:rPr>
        <w:t>7</w:t>
      </w:r>
      <w:r w:rsidRPr="00EF7DE2">
        <w:rPr>
          <w:rFonts w:ascii="SimSun" w:eastAsia="SimSun" w:hAnsi="SimSun" w:cs="SimSun" w:hint="eastAsia"/>
          <w:sz w:val="24"/>
          <w:szCs w:val="24"/>
          <w:lang w:eastAsia="zh-CN"/>
        </w:rPr>
        <w:t>次全体会议上，缔约方大会</w:t>
      </w:r>
      <w:r w:rsidRPr="00EF7DE2">
        <w:rPr>
          <w:rFonts w:ascii="SimSun" w:eastAsia="SimSun" w:hAnsi="SimSun" w:cs="SimSun"/>
          <w:sz w:val="24"/>
          <w:szCs w:val="24"/>
          <w:lang w:eastAsia="zh-CN"/>
        </w:rPr>
        <w:t>通过了</w:t>
      </w:r>
      <w:r w:rsidRPr="00EF7DE2">
        <w:rPr>
          <w:rFonts w:ascii="SimSun" w:eastAsia="SimSun" w:hAnsi="SimSun" w:cs="SimSun" w:hint="eastAsia"/>
          <w:sz w:val="24"/>
          <w:szCs w:val="24"/>
          <w:lang w:eastAsia="zh-CN"/>
        </w:rPr>
        <w:t>决定草案</w:t>
      </w:r>
      <w:r w:rsidRPr="00EF7DE2">
        <w:rPr>
          <w:rFonts w:hAnsi="SimSun"/>
          <w:sz w:val="24"/>
          <w:szCs w:val="24"/>
          <w:lang w:eastAsia="zh-CN"/>
        </w:rPr>
        <w:t>CBD/COP/14/L.</w:t>
      </w:r>
      <w:r w:rsidR="002C6A65">
        <w:rPr>
          <w:rFonts w:hAnsi="SimSun"/>
          <w:sz w:val="24"/>
          <w:szCs w:val="24"/>
          <w:lang w:eastAsia="zh-CN"/>
        </w:rPr>
        <w:t>31</w:t>
      </w:r>
      <w:r w:rsidRPr="00EF7DE2">
        <w:rPr>
          <w:rFonts w:ascii="SimSun" w:eastAsia="SimSun" w:hAnsi="SimSun" w:cs="SimSun" w:hint="eastAsia"/>
          <w:sz w:val="24"/>
          <w:szCs w:val="24"/>
          <w:lang w:eastAsia="zh-CN"/>
        </w:rPr>
        <w:t>，成为第</w:t>
      </w:r>
      <w:r w:rsidRPr="00EF7DE2">
        <w:rPr>
          <w:rFonts w:hAnsi="SimSun"/>
          <w:sz w:val="24"/>
          <w:szCs w:val="24"/>
          <w:lang w:eastAsia="zh-CN"/>
        </w:rPr>
        <w:t>14/1</w:t>
      </w:r>
      <w:r w:rsidR="002C6A65">
        <w:rPr>
          <w:rFonts w:hAnsi="SimSun"/>
          <w:sz w:val="24"/>
          <w:szCs w:val="24"/>
          <w:lang w:eastAsia="zh-CN"/>
        </w:rPr>
        <w:t>9</w:t>
      </w:r>
      <w:r w:rsidRPr="00EF7DE2">
        <w:rPr>
          <w:rFonts w:ascii="SimSun" w:eastAsia="SimSun" w:hAnsi="SimSun" w:cs="SimSun" w:hint="eastAsia"/>
          <w:sz w:val="24"/>
          <w:szCs w:val="24"/>
          <w:lang w:eastAsia="zh-CN"/>
        </w:rPr>
        <w:t>号决定</w:t>
      </w:r>
      <w:r w:rsidRPr="00EF7DE2">
        <w:rPr>
          <w:rFonts w:eastAsiaTheme="minorEastAsia" w:hAnsi="SimSun"/>
          <w:sz w:val="24"/>
          <w:lang w:eastAsia="zh-CN"/>
        </w:rPr>
        <w:t>（案文见第一章）。</w:t>
      </w:r>
    </w:p>
    <w:p w:rsidR="008D76BF" w:rsidRPr="00E63AA3" w:rsidRDefault="008D76BF" w:rsidP="00E63AA3">
      <w:pPr>
        <w:pStyle w:val="Heading1"/>
        <w:spacing w:before="120" w:after="120"/>
        <w:ind w:firstLine="0"/>
        <w:rPr>
          <w:sz w:val="24"/>
          <w:lang w:eastAsia="zh-CN"/>
        </w:rPr>
      </w:pPr>
      <w:bookmarkStart w:id="290" w:name="_Toc6243839"/>
      <w:r w:rsidRPr="00E63AA3">
        <w:rPr>
          <w:rFonts w:hint="eastAsia"/>
          <w:sz w:val="24"/>
          <w:lang w:eastAsia="zh-CN"/>
        </w:rPr>
        <w:t>项目</w:t>
      </w:r>
      <w:r w:rsidRPr="00E63AA3">
        <w:rPr>
          <w:sz w:val="24"/>
          <w:lang w:eastAsia="zh-CN"/>
        </w:rPr>
        <w:t xml:space="preserve">28.   </w:t>
      </w:r>
      <w:r w:rsidR="00366699" w:rsidRPr="00E63AA3">
        <w:rPr>
          <w:sz w:val="24"/>
          <w:lang w:eastAsia="zh-CN"/>
        </w:rPr>
        <w:t xml:space="preserve">   </w:t>
      </w:r>
      <w:r w:rsidRPr="00E63AA3">
        <w:rPr>
          <w:rFonts w:hint="eastAsia"/>
          <w:sz w:val="24"/>
          <w:lang w:eastAsia="zh-CN"/>
        </w:rPr>
        <w:t>赔偿责任和补救（第</w:t>
      </w:r>
      <w:r w:rsidRPr="00E63AA3">
        <w:rPr>
          <w:sz w:val="24"/>
          <w:lang w:eastAsia="zh-CN"/>
        </w:rPr>
        <w:t>14</w:t>
      </w:r>
      <w:r w:rsidRPr="00E63AA3">
        <w:rPr>
          <w:rFonts w:hint="eastAsia"/>
          <w:sz w:val="24"/>
          <w:lang w:eastAsia="zh-CN"/>
        </w:rPr>
        <w:t>条第</w:t>
      </w:r>
      <w:r w:rsidRPr="00E63AA3">
        <w:rPr>
          <w:sz w:val="24"/>
          <w:lang w:eastAsia="zh-CN"/>
        </w:rPr>
        <w:t>2</w:t>
      </w:r>
      <w:r w:rsidRPr="00E63AA3">
        <w:rPr>
          <w:rFonts w:hint="eastAsia"/>
          <w:sz w:val="24"/>
          <w:lang w:eastAsia="zh-CN"/>
        </w:rPr>
        <w:t>款）</w:t>
      </w:r>
      <w:bookmarkEnd w:id="290"/>
    </w:p>
    <w:p w:rsidR="008D76BF" w:rsidRPr="00E44D43" w:rsidRDefault="008D76BF" w:rsidP="00750ECD">
      <w:pPr>
        <w:pStyle w:val="Para1"/>
        <w:numPr>
          <w:ilvl w:val="0"/>
          <w:numId w:val="9"/>
        </w:numPr>
        <w:tabs>
          <w:tab w:val="clear" w:pos="360"/>
          <w:tab w:val="left" w:pos="720"/>
        </w:tabs>
        <w:ind w:firstLine="0"/>
        <w:rPr>
          <w:rFonts w:eastAsia="Times New Roman"/>
          <w:color w:val="212121"/>
          <w:sz w:val="24"/>
          <w:szCs w:val="24"/>
          <w:lang w:eastAsia="zh-CN"/>
        </w:rPr>
      </w:pPr>
      <w:r w:rsidRPr="00E44D43">
        <w:rPr>
          <w:rFonts w:ascii="SimSun" w:eastAsia="Times New Roman" w:cs="SimSun"/>
          <w:color w:val="212121"/>
          <w:sz w:val="24"/>
          <w:szCs w:val="24"/>
          <w:lang w:eastAsia="zh-CN"/>
        </w:rPr>
        <w:t>第二工作组在</w:t>
      </w:r>
      <w:r w:rsidRPr="00E44D43">
        <w:rPr>
          <w:rFonts w:eastAsia="Times New Roman"/>
          <w:color w:val="212121"/>
          <w:sz w:val="24"/>
          <w:szCs w:val="24"/>
          <w:lang w:eastAsia="zh-CN"/>
        </w:rPr>
        <w:t>2018</w:t>
      </w:r>
      <w:r w:rsidRPr="00E44D43">
        <w:rPr>
          <w:rFonts w:ascii="SimSun" w:eastAsia="Times New Roman" w:cs="SimSun"/>
          <w:color w:val="212121"/>
          <w:sz w:val="24"/>
          <w:szCs w:val="24"/>
          <w:lang w:eastAsia="zh-CN"/>
        </w:rPr>
        <w:t>年</w:t>
      </w:r>
      <w:r w:rsidRPr="00E44D43">
        <w:rPr>
          <w:rFonts w:eastAsia="Times New Roman"/>
          <w:color w:val="212121"/>
          <w:sz w:val="24"/>
          <w:szCs w:val="24"/>
          <w:lang w:eastAsia="zh-CN"/>
        </w:rPr>
        <w:t>11</w:t>
      </w:r>
      <w:r w:rsidRPr="00E44D43">
        <w:rPr>
          <w:rFonts w:ascii="SimSun" w:eastAsia="Times New Roman" w:cs="SimSun"/>
          <w:color w:val="212121"/>
          <w:sz w:val="24"/>
          <w:szCs w:val="24"/>
          <w:lang w:eastAsia="zh-CN"/>
        </w:rPr>
        <w:t>月</w:t>
      </w:r>
      <w:r w:rsidRPr="00E44D43">
        <w:rPr>
          <w:rFonts w:eastAsia="Times New Roman"/>
          <w:color w:val="212121"/>
          <w:sz w:val="24"/>
          <w:szCs w:val="24"/>
          <w:lang w:eastAsia="zh-CN"/>
        </w:rPr>
        <w:t>19</w:t>
      </w:r>
      <w:r w:rsidRPr="00E44D43">
        <w:rPr>
          <w:rFonts w:ascii="SimSun" w:eastAsia="Times New Roman" w:cs="SimSun"/>
          <w:color w:val="212121"/>
          <w:sz w:val="24"/>
          <w:szCs w:val="24"/>
          <w:lang w:eastAsia="zh-CN"/>
        </w:rPr>
        <w:t>日的第</w:t>
      </w:r>
      <w:r w:rsidRPr="00E44D43">
        <w:rPr>
          <w:rFonts w:eastAsia="Times New Roman"/>
          <w:color w:val="212121"/>
          <w:sz w:val="24"/>
          <w:szCs w:val="24"/>
          <w:lang w:eastAsia="zh-CN"/>
        </w:rPr>
        <w:t>3</w:t>
      </w:r>
      <w:r w:rsidRPr="00E44D43">
        <w:rPr>
          <w:rFonts w:ascii="SimSun" w:eastAsia="Times New Roman" w:cs="SimSun"/>
          <w:color w:val="212121"/>
          <w:sz w:val="24"/>
          <w:szCs w:val="24"/>
          <w:lang w:eastAsia="zh-CN"/>
        </w:rPr>
        <w:t>场会议审议了议程项目</w:t>
      </w:r>
      <w:r w:rsidRPr="00E44D43">
        <w:rPr>
          <w:rFonts w:eastAsia="Times New Roman"/>
          <w:color w:val="212121"/>
          <w:sz w:val="24"/>
          <w:szCs w:val="24"/>
          <w:lang w:eastAsia="zh-CN"/>
        </w:rPr>
        <w:t>28</w:t>
      </w:r>
      <w:r w:rsidRPr="00E44D43">
        <w:rPr>
          <w:rFonts w:ascii="SimSun" w:eastAsia="Times New Roman" w:cs="SimSun"/>
          <w:color w:val="212121"/>
          <w:sz w:val="24"/>
          <w:szCs w:val="24"/>
          <w:lang w:eastAsia="zh-CN"/>
        </w:rPr>
        <w:t>。在审议该项目时，工作组收到了执行秘书关于赔偿责任和补救问题的说明（</w:t>
      </w:r>
      <w:r w:rsidRPr="00E44D43">
        <w:rPr>
          <w:rFonts w:eastAsia="Times New Roman"/>
          <w:color w:val="212121"/>
          <w:sz w:val="24"/>
          <w:szCs w:val="24"/>
          <w:lang w:eastAsia="zh-CN"/>
        </w:rPr>
        <w:t>CBD/COP/14/10</w:t>
      </w:r>
      <w:r w:rsidRPr="00E44D43">
        <w:rPr>
          <w:rFonts w:ascii="SimSun" w:eastAsia="Times New Roman" w:cs="SimSun"/>
          <w:color w:val="212121"/>
          <w:sz w:val="24"/>
          <w:szCs w:val="24"/>
          <w:lang w:eastAsia="zh-CN"/>
        </w:rPr>
        <w:t>），包括一项决定草案的要点。</w:t>
      </w:r>
    </w:p>
    <w:p w:rsidR="008D76BF" w:rsidRPr="00E44D43" w:rsidRDefault="008D76BF" w:rsidP="00750ECD">
      <w:pPr>
        <w:pStyle w:val="Para1"/>
        <w:numPr>
          <w:ilvl w:val="0"/>
          <w:numId w:val="9"/>
        </w:numPr>
        <w:tabs>
          <w:tab w:val="clear" w:pos="360"/>
          <w:tab w:val="left" w:pos="567"/>
        </w:tabs>
        <w:ind w:firstLine="0"/>
        <w:rPr>
          <w:rFonts w:eastAsia="Times New Roman"/>
          <w:color w:val="212121"/>
          <w:sz w:val="24"/>
          <w:szCs w:val="24"/>
          <w:lang w:eastAsia="zh-CN"/>
        </w:rPr>
      </w:pPr>
      <w:r w:rsidRPr="00E44D43">
        <w:rPr>
          <w:rFonts w:eastAsia="Times New Roman"/>
          <w:color w:val="212121"/>
          <w:sz w:val="24"/>
          <w:szCs w:val="24"/>
          <w:lang w:eastAsia="zh-CN"/>
        </w:rPr>
        <w:tab/>
      </w:r>
      <w:r w:rsidRPr="00E44D43">
        <w:rPr>
          <w:rFonts w:ascii="SimSun" w:eastAsia="Times New Roman" w:cs="SimSun"/>
          <w:color w:val="212121"/>
          <w:sz w:val="24"/>
          <w:szCs w:val="24"/>
          <w:lang w:eastAsia="zh-CN"/>
        </w:rPr>
        <w:t>下列国家的代表</w:t>
      </w:r>
      <w:r w:rsidR="006952B0">
        <w:rPr>
          <w:rFonts w:ascii="SimSun" w:eastAsia="SimSun" w:hAnsi="SimSun" w:cs="SimSun" w:hint="eastAsia"/>
          <w:color w:val="212121"/>
          <w:sz w:val="24"/>
          <w:szCs w:val="24"/>
          <w:lang w:eastAsia="zh-CN"/>
        </w:rPr>
        <w:t>作了发言</w:t>
      </w:r>
      <w:r w:rsidRPr="00E44D43">
        <w:rPr>
          <w:rFonts w:ascii="SimSun" w:eastAsia="Times New Roman" w:cs="SimSun"/>
          <w:color w:val="212121"/>
          <w:sz w:val="24"/>
          <w:szCs w:val="24"/>
          <w:lang w:eastAsia="zh-CN"/>
        </w:rPr>
        <w:t>：喀麦隆、古巴、斯威斯兰、欧洲联盟及其</w:t>
      </w:r>
      <w:r w:rsidRPr="00E44D43">
        <w:rPr>
          <w:rFonts w:eastAsia="Times New Roman"/>
          <w:color w:val="212121"/>
          <w:sz w:val="24"/>
          <w:szCs w:val="24"/>
          <w:lang w:eastAsia="zh-CN"/>
        </w:rPr>
        <w:t>28</w:t>
      </w:r>
      <w:r w:rsidRPr="00E44D43">
        <w:rPr>
          <w:rFonts w:ascii="SimSun" w:eastAsia="Times New Roman" w:cs="SimSun"/>
          <w:color w:val="212121"/>
          <w:sz w:val="24"/>
          <w:szCs w:val="24"/>
          <w:lang w:eastAsia="zh-CN"/>
        </w:rPr>
        <w:t>个成员国、几内亚、印度、肯尼亚、马拉维、马来西亚、马尔代夫（代表出席会议的小岛屿发展中国家）、马里、摩洛哥（代表非洲集团）、南非、瑞士、乌干达和委内瑞拉玻利瓦尔共和国。</w:t>
      </w:r>
    </w:p>
    <w:p w:rsidR="008D76BF" w:rsidRPr="00E44D43" w:rsidRDefault="008D76BF" w:rsidP="00750ECD">
      <w:pPr>
        <w:pStyle w:val="Para1"/>
        <w:numPr>
          <w:ilvl w:val="0"/>
          <w:numId w:val="9"/>
        </w:numPr>
        <w:tabs>
          <w:tab w:val="clear" w:pos="360"/>
          <w:tab w:val="left" w:pos="567"/>
        </w:tabs>
        <w:ind w:firstLine="0"/>
        <w:rPr>
          <w:rFonts w:eastAsia="Times New Roman"/>
          <w:color w:val="212121"/>
          <w:sz w:val="24"/>
          <w:szCs w:val="24"/>
          <w:lang w:eastAsia="zh-CN"/>
        </w:rPr>
      </w:pPr>
      <w:r w:rsidRPr="00E44D43">
        <w:rPr>
          <w:rFonts w:eastAsia="Times New Roman"/>
          <w:color w:val="212121"/>
          <w:sz w:val="24"/>
          <w:szCs w:val="24"/>
          <w:lang w:eastAsia="zh-CN"/>
        </w:rPr>
        <w:tab/>
      </w:r>
      <w:r w:rsidRPr="00E44D43">
        <w:rPr>
          <w:rFonts w:ascii="SimSun" w:eastAsia="Times New Roman" w:cs="SimSun"/>
          <w:color w:val="212121"/>
          <w:sz w:val="24"/>
          <w:szCs w:val="24"/>
          <w:lang w:eastAsia="zh-CN"/>
        </w:rPr>
        <w:t>经交换意见后，主席说她将编写一份订正决定草案供工作组审议，同时顾及口头表达和书面提出的意见。</w:t>
      </w:r>
    </w:p>
    <w:p w:rsidR="008D76BF" w:rsidRPr="00E44D43" w:rsidRDefault="008D76BF" w:rsidP="00750ECD">
      <w:pPr>
        <w:pStyle w:val="Para1"/>
        <w:numPr>
          <w:ilvl w:val="0"/>
          <w:numId w:val="9"/>
        </w:numPr>
        <w:tabs>
          <w:tab w:val="clear" w:pos="360"/>
          <w:tab w:val="left" w:pos="567"/>
        </w:tabs>
        <w:ind w:firstLine="0"/>
        <w:rPr>
          <w:rFonts w:eastAsia="Times New Roman"/>
          <w:color w:val="212121"/>
          <w:sz w:val="24"/>
          <w:szCs w:val="24"/>
          <w:lang w:eastAsia="zh-CN"/>
        </w:rPr>
      </w:pPr>
      <w:r w:rsidRPr="00E44D43">
        <w:rPr>
          <w:rFonts w:eastAsia="Times New Roman"/>
          <w:color w:val="212121"/>
          <w:sz w:val="24"/>
          <w:szCs w:val="24"/>
          <w:lang w:eastAsia="zh-CN"/>
        </w:rPr>
        <w:tab/>
      </w:r>
      <w:r w:rsidRPr="00E44D43">
        <w:rPr>
          <w:rFonts w:ascii="SimSun" w:eastAsia="Times New Roman" w:cs="SimSun"/>
          <w:color w:val="212121"/>
          <w:sz w:val="24"/>
          <w:szCs w:val="24"/>
          <w:lang w:eastAsia="zh-CN"/>
        </w:rPr>
        <w:t>工作组在</w:t>
      </w:r>
      <w:r w:rsidRPr="00E44D43">
        <w:rPr>
          <w:rFonts w:eastAsia="Times New Roman"/>
          <w:color w:val="212121"/>
          <w:sz w:val="24"/>
          <w:szCs w:val="24"/>
          <w:lang w:eastAsia="zh-CN"/>
        </w:rPr>
        <w:t>2018</w:t>
      </w:r>
      <w:r w:rsidRPr="00E44D43">
        <w:rPr>
          <w:rFonts w:ascii="SimSun" w:eastAsia="Times New Roman" w:cs="SimSun"/>
          <w:color w:val="212121"/>
          <w:sz w:val="24"/>
          <w:szCs w:val="24"/>
          <w:lang w:eastAsia="zh-CN"/>
        </w:rPr>
        <w:t>年</w:t>
      </w:r>
      <w:r w:rsidRPr="00E44D43">
        <w:rPr>
          <w:rFonts w:eastAsia="Times New Roman"/>
          <w:color w:val="212121"/>
          <w:sz w:val="24"/>
          <w:szCs w:val="24"/>
          <w:lang w:eastAsia="zh-CN"/>
        </w:rPr>
        <w:t>11</w:t>
      </w:r>
      <w:r w:rsidRPr="00E44D43">
        <w:rPr>
          <w:rFonts w:ascii="SimSun" w:eastAsia="Times New Roman" w:cs="SimSun"/>
          <w:color w:val="212121"/>
          <w:sz w:val="24"/>
          <w:szCs w:val="24"/>
          <w:lang w:eastAsia="zh-CN"/>
        </w:rPr>
        <w:t>月</w:t>
      </w:r>
      <w:r w:rsidRPr="00E44D43">
        <w:rPr>
          <w:rFonts w:eastAsia="Times New Roman"/>
          <w:color w:val="212121"/>
          <w:sz w:val="24"/>
          <w:szCs w:val="24"/>
          <w:lang w:eastAsia="zh-CN"/>
        </w:rPr>
        <w:t>21</w:t>
      </w:r>
      <w:r w:rsidR="002D53D3">
        <w:rPr>
          <w:rFonts w:ascii="SimSun" w:eastAsia="Times New Roman" w:cs="SimSun"/>
          <w:color w:val="212121"/>
          <w:sz w:val="24"/>
          <w:szCs w:val="24"/>
          <w:lang w:eastAsia="zh-CN"/>
        </w:rPr>
        <w:t>日</w:t>
      </w:r>
      <w:r w:rsidR="002D53D3">
        <w:rPr>
          <w:rFonts w:ascii="SimSun" w:eastAsiaTheme="minorEastAsia" w:cs="SimSun" w:hint="eastAsia"/>
          <w:color w:val="212121"/>
          <w:sz w:val="24"/>
          <w:szCs w:val="24"/>
          <w:lang w:eastAsia="zh-CN"/>
        </w:rPr>
        <w:t>其</w:t>
      </w:r>
      <w:r w:rsidRPr="00E44D43">
        <w:rPr>
          <w:rFonts w:ascii="SimSun" w:eastAsia="Times New Roman" w:cs="SimSun"/>
          <w:color w:val="212121"/>
          <w:sz w:val="24"/>
          <w:szCs w:val="24"/>
          <w:lang w:eastAsia="zh-CN"/>
        </w:rPr>
        <w:t>第</w:t>
      </w:r>
      <w:r w:rsidRPr="00E44D43">
        <w:rPr>
          <w:rFonts w:eastAsia="Times New Roman"/>
          <w:color w:val="212121"/>
          <w:sz w:val="24"/>
          <w:szCs w:val="24"/>
          <w:lang w:eastAsia="zh-CN"/>
        </w:rPr>
        <w:t>6</w:t>
      </w:r>
      <w:r w:rsidRPr="00E44D43">
        <w:rPr>
          <w:rFonts w:ascii="SimSun" w:eastAsia="Times New Roman" w:cs="SimSun"/>
          <w:color w:val="212121"/>
          <w:sz w:val="24"/>
          <w:szCs w:val="24"/>
          <w:lang w:eastAsia="zh-CN"/>
        </w:rPr>
        <w:t>场会议上审议了由主席提交的决定草案。</w:t>
      </w:r>
    </w:p>
    <w:p w:rsidR="008D76BF" w:rsidRPr="00E44D43" w:rsidRDefault="008D76BF" w:rsidP="00750ECD">
      <w:pPr>
        <w:pStyle w:val="Para1"/>
        <w:numPr>
          <w:ilvl w:val="0"/>
          <w:numId w:val="9"/>
        </w:numPr>
        <w:tabs>
          <w:tab w:val="clear" w:pos="360"/>
          <w:tab w:val="left" w:pos="567"/>
        </w:tabs>
        <w:ind w:firstLine="0"/>
        <w:rPr>
          <w:rFonts w:eastAsia="Times New Roman"/>
          <w:color w:val="212121"/>
          <w:sz w:val="24"/>
          <w:szCs w:val="24"/>
          <w:lang w:eastAsia="zh-CN"/>
        </w:rPr>
      </w:pPr>
      <w:r w:rsidRPr="00E44D43">
        <w:rPr>
          <w:rFonts w:eastAsia="Times New Roman"/>
          <w:color w:val="212121"/>
          <w:sz w:val="24"/>
          <w:szCs w:val="24"/>
          <w:lang w:eastAsia="zh-CN"/>
        </w:rPr>
        <w:tab/>
      </w:r>
      <w:r w:rsidRPr="00E44D43">
        <w:rPr>
          <w:rFonts w:ascii="SimSun" w:eastAsia="Times New Roman" w:cs="SimSun"/>
          <w:color w:val="212121"/>
          <w:sz w:val="24"/>
          <w:szCs w:val="24"/>
          <w:lang w:eastAsia="zh-CN"/>
        </w:rPr>
        <w:t>下列国家的代表</w:t>
      </w:r>
      <w:r w:rsidR="006952B0">
        <w:rPr>
          <w:rFonts w:ascii="SimSun" w:eastAsia="SimSun" w:hAnsi="SimSun" w:cs="SimSun" w:hint="eastAsia"/>
          <w:color w:val="212121"/>
          <w:sz w:val="24"/>
          <w:szCs w:val="24"/>
          <w:lang w:eastAsia="zh-CN"/>
        </w:rPr>
        <w:t>作了发言</w:t>
      </w:r>
      <w:r w:rsidRPr="00E44D43">
        <w:rPr>
          <w:rFonts w:ascii="SimSun" w:eastAsia="Times New Roman" w:cs="SimSun"/>
          <w:color w:val="212121"/>
          <w:sz w:val="24"/>
          <w:szCs w:val="24"/>
          <w:lang w:eastAsia="zh-CN"/>
        </w:rPr>
        <w:t>：阿根廷、多民族玻利维亚国、巴西、加拿大、欧洲联盟及其</w:t>
      </w:r>
      <w:r w:rsidRPr="00E44D43">
        <w:rPr>
          <w:rFonts w:eastAsia="Times New Roman"/>
          <w:color w:val="212121"/>
          <w:sz w:val="24"/>
          <w:szCs w:val="24"/>
          <w:lang w:eastAsia="zh-CN"/>
        </w:rPr>
        <w:t>28</w:t>
      </w:r>
      <w:r w:rsidRPr="00E44D43">
        <w:rPr>
          <w:rFonts w:ascii="SimSun" w:eastAsia="Times New Roman" w:cs="SimSun"/>
          <w:color w:val="212121"/>
          <w:sz w:val="24"/>
          <w:szCs w:val="24"/>
          <w:lang w:eastAsia="zh-CN"/>
        </w:rPr>
        <w:t>个成员国、伊朗伊斯兰共和国、马尔代夫和沙特阿拉伯。</w:t>
      </w:r>
    </w:p>
    <w:p w:rsidR="008D76BF" w:rsidRPr="00E44D43" w:rsidRDefault="008D76BF" w:rsidP="00750ECD">
      <w:pPr>
        <w:pStyle w:val="Para1"/>
        <w:numPr>
          <w:ilvl w:val="0"/>
          <w:numId w:val="9"/>
        </w:numPr>
        <w:tabs>
          <w:tab w:val="clear" w:pos="360"/>
          <w:tab w:val="left" w:pos="567"/>
        </w:tabs>
        <w:ind w:firstLine="0"/>
        <w:rPr>
          <w:rFonts w:eastAsia="Times New Roman"/>
          <w:color w:val="212121"/>
          <w:sz w:val="24"/>
          <w:szCs w:val="24"/>
          <w:lang w:eastAsia="zh-CN"/>
        </w:rPr>
      </w:pPr>
      <w:r w:rsidRPr="00E44D43">
        <w:rPr>
          <w:rFonts w:eastAsia="Times New Roman"/>
          <w:color w:val="212121"/>
          <w:sz w:val="24"/>
          <w:szCs w:val="24"/>
          <w:lang w:eastAsia="zh-CN"/>
        </w:rPr>
        <w:tab/>
      </w:r>
      <w:r w:rsidRPr="00E44D43">
        <w:rPr>
          <w:rFonts w:ascii="SimSun" w:eastAsia="Times New Roman" w:cs="SimSun"/>
          <w:color w:val="212121"/>
          <w:sz w:val="24"/>
          <w:szCs w:val="24"/>
          <w:lang w:eastAsia="zh-CN"/>
        </w:rPr>
        <w:t>工作组商定由一个小组继续讨论。</w:t>
      </w:r>
    </w:p>
    <w:p w:rsidR="008D76BF" w:rsidRPr="00E44D43" w:rsidRDefault="008D76BF" w:rsidP="00750ECD">
      <w:pPr>
        <w:pStyle w:val="Para1"/>
        <w:numPr>
          <w:ilvl w:val="0"/>
          <w:numId w:val="9"/>
        </w:numPr>
        <w:tabs>
          <w:tab w:val="clear" w:pos="360"/>
          <w:tab w:val="left" w:pos="567"/>
        </w:tabs>
        <w:ind w:firstLine="0"/>
        <w:rPr>
          <w:rFonts w:eastAsia="Times New Roman"/>
          <w:color w:val="212121"/>
          <w:sz w:val="24"/>
          <w:szCs w:val="24"/>
          <w:lang w:eastAsia="zh-CN"/>
        </w:rPr>
      </w:pPr>
      <w:r w:rsidRPr="00E44D43">
        <w:rPr>
          <w:rFonts w:eastAsia="Times New Roman"/>
          <w:color w:val="212121"/>
          <w:sz w:val="24"/>
          <w:szCs w:val="24"/>
          <w:lang w:eastAsia="zh-CN"/>
        </w:rPr>
        <w:tab/>
      </w:r>
      <w:r w:rsidR="002D53D3" w:rsidRPr="00E44D43">
        <w:rPr>
          <w:rFonts w:ascii="SimSun" w:eastAsia="Times New Roman" w:cs="SimSun"/>
          <w:color w:val="212121"/>
          <w:sz w:val="24"/>
          <w:szCs w:val="24"/>
          <w:lang w:eastAsia="zh-CN"/>
        </w:rPr>
        <w:t>第二工作组</w:t>
      </w:r>
      <w:r w:rsidRPr="00E44D43">
        <w:rPr>
          <w:rFonts w:ascii="SimSun" w:eastAsia="Times New Roman" w:cs="SimSun"/>
          <w:color w:val="212121"/>
          <w:sz w:val="24"/>
          <w:szCs w:val="24"/>
          <w:lang w:eastAsia="zh-CN"/>
        </w:rPr>
        <w:t>在</w:t>
      </w:r>
      <w:r w:rsidRPr="00E44D43">
        <w:rPr>
          <w:rFonts w:eastAsia="Times New Roman"/>
          <w:color w:val="212121"/>
          <w:sz w:val="24"/>
          <w:szCs w:val="24"/>
          <w:lang w:eastAsia="zh-CN"/>
        </w:rPr>
        <w:t>2018</w:t>
      </w:r>
      <w:r w:rsidRPr="00E44D43">
        <w:rPr>
          <w:rFonts w:ascii="SimSun" w:eastAsia="Times New Roman" w:cs="SimSun"/>
          <w:color w:val="212121"/>
          <w:sz w:val="24"/>
          <w:szCs w:val="24"/>
          <w:lang w:eastAsia="zh-CN"/>
        </w:rPr>
        <w:t>年</w:t>
      </w:r>
      <w:r w:rsidRPr="00E44D43">
        <w:rPr>
          <w:rFonts w:eastAsia="Times New Roman"/>
          <w:color w:val="212121"/>
          <w:sz w:val="24"/>
          <w:szCs w:val="24"/>
          <w:lang w:eastAsia="zh-CN"/>
        </w:rPr>
        <w:t>11</w:t>
      </w:r>
      <w:r w:rsidRPr="00E44D43">
        <w:rPr>
          <w:rFonts w:ascii="SimSun" w:eastAsia="Times New Roman" w:cs="SimSun"/>
          <w:color w:val="212121"/>
          <w:sz w:val="24"/>
          <w:szCs w:val="24"/>
          <w:lang w:eastAsia="zh-CN"/>
        </w:rPr>
        <w:t>月</w:t>
      </w:r>
      <w:r w:rsidRPr="00E44D43">
        <w:rPr>
          <w:rFonts w:eastAsia="Times New Roman"/>
          <w:color w:val="212121"/>
          <w:sz w:val="24"/>
          <w:szCs w:val="24"/>
          <w:lang w:eastAsia="zh-CN"/>
        </w:rPr>
        <w:t>22</w:t>
      </w:r>
      <w:r w:rsidRPr="00E44D43">
        <w:rPr>
          <w:rFonts w:ascii="SimSun" w:eastAsia="Times New Roman" w:cs="SimSun"/>
          <w:color w:val="212121"/>
          <w:sz w:val="24"/>
          <w:szCs w:val="24"/>
          <w:lang w:eastAsia="zh-CN"/>
        </w:rPr>
        <w:t>日</w:t>
      </w:r>
      <w:r w:rsidR="002D53D3">
        <w:rPr>
          <w:rFonts w:ascii="SimSun" w:eastAsiaTheme="minorEastAsia" w:cs="SimSun" w:hint="eastAsia"/>
          <w:color w:val="212121"/>
          <w:sz w:val="24"/>
          <w:szCs w:val="24"/>
          <w:lang w:eastAsia="zh-CN"/>
        </w:rPr>
        <w:t>其</w:t>
      </w:r>
      <w:r w:rsidRPr="00E44D43">
        <w:rPr>
          <w:rFonts w:ascii="SimSun" w:eastAsia="Times New Roman" w:cs="SimSun"/>
          <w:color w:val="212121"/>
          <w:sz w:val="24"/>
          <w:szCs w:val="24"/>
          <w:lang w:eastAsia="zh-CN"/>
        </w:rPr>
        <w:t>第</w:t>
      </w:r>
      <w:r w:rsidRPr="00E44D43">
        <w:rPr>
          <w:rFonts w:eastAsia="Times New Roman"/>
          <w:color w:val="212121"/>
          <w:sz w:val="24"/>
          <w:szCs w:val="24"/>
          <w:lang w:eastAsia="zh-CN"/>
        </w:rPr>
        <w:t>8</w:t>
      </w:r>
      <w:r w:rsidRPr="00E44D43">
        <w:rPr>
          <w:rFonts w:ascii="SimSun" w:eastAsia="Times New Roman" w:cs="SimSun"/>
          <w:color w:val="212121"/>
          <w:sz w:val="24"/>
          <w:szCs w:val="24"/>
          <w:lang w:eastAsia="zh-CN"/>
        </w:rPr>
        <w:t>场议上继续审议该决定草案，包括上一场会议设立的小组商定的第</w:t>
      </w:r>
      <w:r w:rsidRPr="00E44D43">
        <w:rPr>
          <w:rFonts w:eastAsia="Times New Roman"/>
          <w:color w:val="212121"/>
          <w:sz w:val="24"/>
          <w:szCs w:val="24"/>
          <w:lang w:eastAsia="zh-CN"/>
        </w:rPr>
        <w:t>3</w:t>
      </w:r>
      <w:r w:rsidRPr="00E44D43">
        <w:rPr>
          <w:rFonts w:ascii="SimSun" w:eastAsia="Times New Roman" w:cs="SimSun"/>
          <w:color w:val="212121"/>
          <w:sz w:val="24"/>
          <w:szCs w:val="24"/>
          <w:lang w:eastAsia="zh-CN"/>
        </w:rPr>
        <w:t>段拟议案文。</w:t>
      </w:r>
    </w:p>
    <w:p w:rsidR="0006774F" w:rsidRPr="0006774F" w:rsidRDefault="008D76BF" w:rsidP="00BC1900">
      <w:pPr>
        <w:pStyle w:val="Para1"/>
        <w:numPr>
          <w:ilvl w:val="0"/>
          <w:numId w:val="9"/>
        </w:numPr>
        <w:tabs>
          <w:tab w:val="clear" w:pos="360"/>
          <w:tab w:val="left" w:pos="567"/>
        </w:tabs>
        <w:ind w:firstLine="0"/>
        <w:rPr>
          <w:rFonts w:eastAsia="Times New Roman"/>
          <w:color w:val="212121"/>
          <w:sz w:val="24"/>
          <w:szCs w:val="24"/>
          <w:lang w:eastAsia="zh-CN"/>
        </w:rPr>
      </w:pPr>
      <w:r w:rsidRPr="0006774F">
        <w:rPr>
          <w:rFonts w:eastAsia="Times New Roman"/>
          <w:color w:val="212121"/>
          <w:sz w:val="24"/>
          <w:szCs w:val="24"/>
          <w:lang w:eastAsia="zh-CN"/>
        </w:rPr>
        <w:tab/>
      </w:r>
      <w:r w:rsidRPr="0006774F">
        <w:rPr>
          <w:rFonts w:ascii="SimSun" w:eastAsia="Times New Roman" w:cs="SimSun"/>
          <w:color w:val="212121"/>
          <w:sz w:val="24"/>
          <w:szCs w:val="24"/>
          <w:lang w:eastAsia="zh-CN"/>
        </w:rPr>
        <w:t>阿根廷、多民族玻利维亚国、巴西、加拿大、科特迪瓦、欧洲联盟及其</w:t>
      </w:r>
      <w:r w:rsidRPr="0006774F">
        <w:rPr>
          <w:rFonts w:eastAsia="Times New Roman"/>
          <w:color w:val="212121"/>
          <w:sz w:val="24"/>
          <w:szCs w:val="24"/>
          <w:lang w:eastAsia="zh-CN"/>
        </w:rPr>
        <w:t>28</w:t>
      </w:r>
      <w:r w:rsidRPr="0006774F">
        <w:rPr>
          <w:rFonts w:ascii="SimSun" w:eastAsia="Times New Roman" w:cs="SimSun"/>
          <w:color w:val="212121"/>
          <w:sz w:val="24"/>
          <w:szCs w:val="24"/>
          <w:lang w:eastAsia="zh-CN"/>
        </w:rPr>
        <w:t>个成员国、伊朗伊斯兰共和国、墨西哥和瑞士的代表作了评论。</w:t>
      </w:r>
    </w:p>
    <w:p w:rsidR="008D76BF" w:rsidRPr="0006774F" w:rsidRDefault="008D76BF" w:rsidP="00BC1900">
      <w:pPr>
        <w:pStyle w:val="Para1"/>
        <w:numPr>
          <w:ilvl w:val="0"/>
          <w:numId w:val="9"/>
        </w:numPr>
        <w:tabs>
          <w:tab w:val="clear" w:pos="360"/>
          <w:tab w:val="left" w:pos="567"/>
        </w:tabs>
        <w:ind w:firstLine="0"/>
        <w:rPr>
          <w:rFonts w:eastAsia="Times New Roman"/>
          <w:color w:val="212121"/>
          <w:sz w:val="24"/>
          <w:szCs w:val="24"/>
          <w:lang w:eastAsia="zh-CN"/>
        </w:rPr>
      </w:pPr>
      <w:r w:rsidRPr="0006774F">
        <w:rPr>
          <w:rFonts w:ascii="SimSun" w:eastAsia="Times New Roman" w:cs="SimSun"/>
          <w:color w:val="212121"/>
          <w:sz w:val="24"/>
          <w:szCs w:val="24"/>
          <w:lang w:eastAsia="zh-CN"/>
        </w:rPr>
        <w:t>秘书处的一位代表就法律问题作了</w:t>
      </w:r>
      <w:r w:rsidRPr="0006774F">
        <w:rPr>
          <w:rFonts w:ascii="SimSun" w:eastAsia="SimSun" w:cs="SimSun" w:hint="eastAsia"/>
          <w:color w:val="212121"/>
          <w:sz w:val="24"/>
          <w:szCs w:val="24"/>
          <w:lang w:eastAsia="zh-CN"/>
        </w:rPr>
        <w:t>说明</w:t>
      </w:r>
      <w:r w:rsidRPr="0006774F">
        <w:rPr>
          <w:rFonts w:ascii="SimSun" w:eastAsia="Times New Roman" w:cs="SimSun"/>
          <w:color w:val="212121"/>
          <w:sz w:val="24"/>
          <w:szCs w:val="24"/>
          <w:lang w:eastAsia="zh-CN"/>
        </w:rPr>
        <w:t>。</w:t>
      </w:r>
    </w:p>
    <w:p w:rsidR="008D76BF" w:rsidRPr="00E44D43" w:rsidRDefault="008D76BF" w:rsidP="00750ECD">
      <w:pPr>
        <w:pStyle w:val="Para1"/>
        <w:numPr>
          <w:ilvl w:val="0"/>
          <w:numId w:val="9"/>
        </w:numPr>
        <w:tabs>
          <w:tab w:val="clear" w:pos="360"/>
          <w:tab w:val="left" w:pos="567"/>
        </w:tabs>
        <w:ind w:firstLine="0"/>
        <w:rPr>
          <w:rFonts w:eastAsia="Times New Roman"/>
          <w:color w:val="212121"/>
          <w:sz w:val="24"/>
          <w:szCs w:val="24"/>
          <w:lang w:eastAsia="zh-CN"/>
        </w:rPr>
      </w:pPr>
      <w:r w:rsidRPr="00E44D43">
        <w:rPr>
          <w:rFonts w:eastAsia="Times New Roman"/>
          <w:color w:val="212121"/>
          <w:sz w:val="24"/>
          <w:szCs w:val="24"/>
          <w:lang w:eastAsia="zh-CN"/>
        </w:rPr>
        <w:tab/>
      </w:r>
      <w:r w:rsidRPr="00E44D43">
        <w:rPr>
          <w:rFonts w:eastAsia="Times New Roman" w:hAnsi="SimSun"/>
          <w:color w:val="212121"/>
          <w:sz w:val="24"/>
          <w:szCs w:val="24"/>
          <w:lang w:eastAsia="zh-CN"/>
        </w:rPr>
        <w:t>由</w:t>
      </w:r>
      <w:r w:rsidRPr="00E44D43">
        <w:rPr>
          <w:rFonts w:eastAsia="Times New Roman"/>
          <w:color w:val="212121"/>
          <w:sz w:val="24"/>
          <w:szCs w:val="24"/>
          <w:lang w:eastAsia="zh-CN"/>
        </w:rPr>
        <w:t>Ilham Mohamed</w:t>
      </w:r>
      <w:r w:rsidRPr="00E44D43">
        <w:rPr>
          <w:rFonts w:eastAsia="Times New Roman" w:hAnsi="SimSun"/>
          <w:color w:val="212121"/>
          <w:sz w:val="24"/>
          <w:szCs w:val="24"/>
          <w:lang w:eastAsia="zh-CN"/>
        </w:rPr>
        <w:t>女士（马尔代夫）协助，主席设立了一个主席之友小组，以进一步讨论第</w:t>
      </w:r>
      <w:r w:rsidRPr="00E44D43">
        <w:rPr>
          <w:rFonts w:eastAsia="Times New Roman"/>
          <w:color w:val="212121"/>
          <w:sz w:val="24"/>
          <w:szCs w:val="24"/>
          <w:lang w:eastAsia="zh-CN"/>
        </w:rPr>
        <w:t>3</w:t>
      </w:r>
      <w:r w:rsidRPr="00E44D43">
        <w:rPr>
          <w:rFonts w:eastAsia="Times New Roman" w:hAnsi="SimSun"/>
          <w:color w:val="212121"/>
          <w:sz w:val="24"/>
          <w:szCs w:val="24"/>
          <w:lang w:eastAsia="zh-CN"/>
        </w:rPr>
        <w:t>段。</w:t>
      </w:r>
    </w:p>
    <w:p w:rsidR="008D76BF" w:rsidRPr="00E44D43" w:rsidRDefault="008D76BF" w:rsidP="00750ECD">
      <w:pPr>
        <w:pStyle w:val="Para1"/>
        <w:numPr>
          <w:ilvl w:val="0"/>
          <w:numId w:val="9"/>
        </w:numPr>
        <w:tabs>
          <w:tab w:val="clear" w:pos="360"/>
          <w:tab w:val="left" w:pos="567"/>
        </w:tabs>
        <w:ind w:firstLine="0"/>
        <w:rPr>
          <w:rFonts w:eastAsia="Times New Roman"/>
          <w:color w:val="212121"/>
          <w:sz w:val="24"/>
          <w:szCs w:val="24"/>
          <w:lang w:eastAsia="zh-CN"/>
        </w:rPr>
      </w:pPr>
      <w:r w:rsidRPr="00E44D43">
        <w:rPr>
          <w:rFonts w:eastAsia="Times New Roman"/>
          <w:color w:val="212121"/>
          <w:sz w:val="24"/>
          <w:szCs w:val="24"/>
          <w:lang w:eastAsia="zh-CN"/>
        </w:rPr>
        <w:tab/>
      </w:r>
      <w:r w:rsidR="0006774F">
        <w:rPr>
          <w:rFonts w:eastAsiaTheme="minorEastAsia" w:hint="eastAsia"/>
          <w:color w:val="212121"/>
          <w:sz w:val="24"/>
          <w:szCs w:val="24"/>
          <w:lang w:eastAsia="zh-CN"/>
        </w:rPr>
        <w:t>工作组</w:t>
      </w:r>
      <w:r w:rsidRPr="00E44D43">
        <w:rPr>
          <w:rFonts w:ascii="SimSun" w:eastAsia="Times New Roman" w:cs="SimSun"/>
          <w:color w:val="212121"/>
          <w:sz w:val="24"/>
          <w:szCs w:val="24"/>
          <w:lang w:eastAsia="zh-CN"/>
        </w:rPr>
        <w:t>在</w:t>
      </w:r>
      <w:r w:rsidRPr="00E44D43">
        <w:rPr>
          <w:rFonts w:eastAsia="Times New Roman"/>
          <w:color w:val="212121"/>
          <w:sz w:val="24"/>
          <w:szCs w:val="24"/>
          <w:lang w:eastAsia="zh-CN"/>
        </w:rPr>
        <w:t>2018</w:t>
      </w:r>
      <w:r w:rsidRPr="00E44D43">
        <w:rPr>
          <w:rFonts w:ascii="SimSun" w:eastAsia="Times New Roman" w:cs="SimSun"/>
          <w:color w:val="212121"/>
          <w:sz w:val="24"/>
          <w:szCs w:val="24"/>
          <w:lang w:eastAsia="zh-CN"/>
        </w:rPr>
        <w:t>年</w:t>
      </w:r>
      <w:r w:rsidRPr="00E44D43">
        <w:rPr>
          <w:rFonts w:eastAsia="Times New Roman"/>
          <w:color w:val="212121"/>
          <w:sz w:val="24"/>
          <w:szCs w:val="24"/>
          <w:lang w:eastAsia="zh-CN"/>
        </w:rPr>
        <w:t>11</w:t>
      </w:r>
      <w:r w:rsidRPr="00E44D43">
        <w:rPr>
          <w:rFonts w:ascii="SimSun" w:eastAsia="Times New Roman" w:cs="SimSun"/>
          <w:color w:val="212121"/>
          <w:sz w:val="24"/>
          <w:szCs w:val="24"/>
          <w:lang w:eastAsia="zh-CN"/>
        </w:rPr>
        <w:t>月</w:t>
      </w:r>
      <w:r w:rsidRPr="00E44D43">
        <w:rPr>
          <w:rFonts w:eastAsia="Times New Roman"/>
          <w:color w:val="212121"/>
          <w:sz w:val="24"/>
          <w:szCs w:val="24"/>
          <w:lang w:eastAsia="zh-CN"/>
        </w:rPr>
        <w:t>22</w:t>
      </w:r>
      <w:r w:rsidRPr="00E44D43">
        <w:rPr>
          <w:rFonts w:ascii="SimSun" w:eastAsia="Times New Roman" w:cs="SimSun"/>
          <w:color w:val="212121"/>
          <w:sz w:val="24"/>
          <w:szCs w:val="24"/>
          <w:lang w:eastAsia="zh-CN"/>
        </w:rPr>
        <w:t>日</w:t>
      </w:r>
      <w:r w:rsidR="0006774F">
        <w:rPr>
          <w:rFonts w:ascii="SimSun" w:eastAsiaTheme="minorEastAsia" w:cs="SimSun" w:hint="eastAsia"/>
          <w:color w:val="212121"/>
          <w:sz w:val="24"/>
          <w:szCs w:val="24"/>
          <w:lang w:eastAsia="zh-CN"/>
        </w:rPr>
        <w:t>其</w:t>
      </w:r>
      <w:r w:rsidRPr="00E44D43">
        <w:rPr>
          <w:rFonts w:ascii="SimSun" w:eastAsia="Times New Roman" w:cs="SimSun"/>
          <w:color w:val="212121"/>
          <w:sz w:val="24"/>
          <w:szCs w:val="24"/>
          <w:lang w:eastAsia="zh-CN"/>
        </w:rPr>
        <w:t>第</w:t>
      </w:r>
      <w:r w:rsidRPr="00E44D43">
        <w:rPr>
          <w:rFonts w:eastAsia="Times New Roman"/>
          <w:color w:val="212121"/>
          <w:sz w:val="24"/>
          <w:szCs w:val="24"/>
          <w:lang w:eastAsia="zh-CN"/>
        </w:rPr>
        <w:t>9</w:t>
      </w:r>
      <w:r w:rsidRPr="00E44D43">
        <w:rPr>
          <w:rFonts w:ascii="SimSun" w:eastAsia="Times New Roman" w:cs="SimSun"/>
          <w:color w:val="212121"/>
          <w:sz w:val="24"/>
          <w:szCs w:val="24"/>
          <w:lang w:eastAsia="zh-CN"/>
        </w:rPr>
        <w:t>场会议上再次讨论该决定草案供审议，并重新设立了主席之友小组，继续进行讨论。</w:t>
      </w:r>
    </w:p>
    <w:p w:rsidR="008D76BF" w:rsidRPr="00E44D43" w:rsidRDefault="008D76BF" w:rsidP="00750ECD">
      <w:pPr>
        <w:pStyle w:val="Para1"/>
        <w:numPr>
          <w:ilvl w:val="0"/>
          <w:numId w:val="9"/>
        </w:numPr>
        <w:tabs>
          <w:tab w:val="clear" w:pos="360"/>
          <w:tab w:val="left" w:pos="567"/>
        </w:tabs>
        <w:ind w:firstLine="0"/>
        <w:rPr>
          <w:rFonts w:eastAsia="Times New Roman"/>
          <w:color w:val="212121"/>
          <w:sz w:val="24"/>
          <w:szCs w:val="24"/>
          <w:lang w:eastAsia="zh-CN"/>
        </w:rPr>
      </w:pPr>
      <w:r w:rsidRPr="00E44D43">
        <w:rPr>
          <w:rFonts w:eastAsia="Times New Roman"/>
          <w:color w:val="212121"/>
          <w:sz w:val="24"/>
          <w:szCs w:val="24"/>
          <w:lang w:eastAsia="zh-CN"/>
        </w:rPr>
        <w:tab/>
      </w:r>
      <w:r w:rsidRPr="00E44D43">
        <w:rPr>
          <w:rFonts w:ascii="SimSun" w:eastAsia="Times New Roman" w:cs="SimSun"/>
          <w:color w:val="212121"/>
          <w:sz w:val="24"/>
          <w:szCs w:val="24"/>
          <w:lang w:eastAsia="zh-CN"/>
        </w:rPr>
        <w:t>工作组在</w:t>
      </w:r>
      <w:r w:rsidRPr="00E44D43">
        <w:rPr>
          <w:rFonts w:eastAsia="Times New Roman"/>
          <w:color w:val="212121"/>
          <w:sz w:val="24"/>
          <w:szCs w:val="24"/>
          <w:lang w:eastAsia="zh-CN"/>
        </w:rPr>
        <w:t>2018</w:t>
      </w:r>
      <w:r w:rsidRPr="00E44D43">
        <w:rPr>
          <w:rFonts w:ascii="SimSun" w:eastAsia="Times New Roman" w:cs="SimSun"/>
          <w:color w:val="212121"/>
          <w:sz w:val="24"/>
          <w:szCs w:val="24"/>
          <w:lang w:eastAsia="zh-CN"/>
        </w:rPr>
        <w:t>年</w:t>
      </w:r>
      <w:r w:rsidRPr="00E44D43">
        <w:rPr>
          <w:rFonts w:eastAsia="Times New Roman"/>
          <w:color w:val="212121"/>
          <w:sz w:val="24"/>
          <w:szCs w:val="24"/>
          <w:lang w:eastAsia="zh-CN"/>
        </w:rPr>
        <w:t>11</w:t>
      </w:r>
      <w:r w:rsidRPr="00E44D43">
        <w:rPr>
          <w:rFonts w:ascii="SimSun" w:eastAsia="Times New Roman" w:cs="SimSun"/>
          <w:color w:val="212121"/>
          <w:sz w:val="24"/>
          <w:szCs w:val="24"/>
          <w:lang w:eastAsia="zh-CN"/>
        </w:rPr>
        <w:t>月</w:t>
      </w:r>
      <w:r w:rsidRPr="00E44D43">
        <w:rPr>
          <w:rFonts w:eastAsia="Times New Roman"/>
          <w:color w:val="212121"/>
          <w:sz w:val="24"/>
          <w:szCs w:val="24"/>
          <w:lang w:eastAsia="zh-CN"/>
        </w:rPr>
        <w:t>26</w:t>
      </w:r>
      <w:r w:rsidRPr="00E44D43">
        <w:rPr>
          <w:rFonts w:ascii="SimSun" w:eastAsia="Times New Roman" w:cs="SimSun"/>
          <w:color w:val="212121"/>
          <w:sz w:val="24"/>
          <w:szCs w:val="24"/>
          <w:lang w:eastAsia="zh-CN"/>
        </w:rPr>
        <w:t>日</w:t>
      </w:r>
      <w:r w:rsidR="002D53D3">
        <w:rPr>
          <w:rFonts w:ascii="SimSun" w:eastAsiaTheme="minorEastAsia" w:cs="SimSun" w:hint="eastAsia"/>
          <w:color w:val="212121"/>
          <w:sz w:val="24"/>
          <w:szCs w:val="24"/>
          <w:lang w:eastAsia="zh-CN"/>
        </w:rPr>
        <w:t>其</w:t>
      </w:r>
      <w:r w:rsidRPr="00E44D43">
        <w:rPr>
          <w:rFonts w:ascii="SimSun" w:eastAsia="Times New Roman" w:cs="SimSun"/>
          <w:color w:val="212121"/>
          <w:sz w:val="24"/>
          <w:szCs w:val="24"/>
          <w:lang w:eastAsia="zh-CN"/>
        </w:rPr>
        <w:t>第</w:t>
      </w:r>
      <w:r w:rsidRPr="00E44D43">
        <w:rPr>
          <w:rFonts w:eastAsia="Times New Roman"/>
          <w:color w:val="212121"/>
          <w:sz w:val="24"/>
          <w:szCs w:val="24"/>
          <w:lang w:eastAsia="zh-CN"/>
        </w:rPr>
        <w:t>12</w:t>
      </w:r>
      <w:r w:rsidRPr="00E44D43">
        <w:rPr>
          <w:rFonts w:ascii="SimSun" w:eastAsia="Times New Roman" w:cs="SimSun"/>
          <w:color w:val="212121"/>
          <w:sz w:val="24"/>
          <w:szCs w:val="24"/>
          <w:lang w:eastAsia="zh-CN"/>
        </w:rPr>
        <w:t>场会议上继续审议决定草案。</w:t>
      </w:r>
    </w:p>
    <w:p w:rsidR="008D76BF" w:rsidRPr="00E44D43" w:rsidRDefault="008D76BF" w:rsidP="00750ECD">
      <w:pPr>
        <w:pStyle w:val="Para1"/>
        <w:numPr>
          <w:ilvl w:val="0"/>
          <w:numId w:val="9"/>
        </w:numPr>
        <w:tabs>
          <w:tab w:val="clear" w:pos="360"/>
          <w:tab w:val="left" w:pos="567"/>
        </w:tabs>
        <w:ind w:firstLine="0"/>
        <w:rPr>
          <w:rFonts w:eastAsia="Times New Roman"/>
          <w:color w:val="212121"/>
          <w:sz w:val="24"/>
          <w:szCs w:val="24"/>
          <w:lang w:eastAsia="zh-CN"/>
        </w:rPr>
      </w:pPr>
      <w:r w:rsidRPr="00E44D43">
        <w:rPr>
          <w:rFonts w:eastAsia="Times New Roman"/>
          <w:color w:val="212121"/>
          <w:sz w:val="24"/>
          <w:szCs w:val="24"/>
          <w:lang w:eastAsia="zh-CN"/>
        </w:rPr>
        <w:lastRenderedPageBreak/>
        <w:tab/>
      </w:r>
      <w:r w:rsidRPr="00E44D43">
        <w:rPr>
          <w:rFonts w:ascii="SimSun" w:eastAsia="Times New Roman" w:cs="SimSun"/>
          <w:color w:val="212121"/>
          <w:sz w:val="24"/>
          <w:szCs w:val="24"/>
          <w:lang w:eastAsia="zh-CN"/>
        </w:rPr>
        <w:t>下列国家的代表</w:t>
      </w:r>
      <w:r w:rsidR="006952B0">
        <w:rPr>
          <w:rFonts w:ascii="SimSun" w:eastAsia="SimSun" w:hAnsi="SimSun" w:cs="SimSun" w:hint="eastAsia"/>
          <w:color w:val="212121"/>
          <w:sz w:val="24"/>
          <w:szCs w:val="24"/>
          <w:lang w:eastAsia="zh-CN"/>
        </w:rPr>
        <w:t>作了发言</w:t>
      </w:r>
      <w:r w:rsidRPr="00E44D43">
        <w:rPr>
          <w:rFonts w:ascii="SimSun" w:eastAsia="Times New Roman" w:cs="SimSun"/>
          <w:color w:val="212121"/>
          <w:sz w:val="24"/>
          <w:szCs w:val="24"/>
          <w:lang w:eastAsia="zh-CN"/>
        </w:rPr>
        <w:t>：多民族玻利维亚国、巴西、喀麦隆、加拿大、哥伦比亚、哥斯达黎加、厄瓜多尔、埃及、欧洲联盟及其</w:t>
      </w:r>
      <w:r w:rsidRPr="00E44D43">
        <w:rPr>
          <w:rFonts w:eastAsia="Times New Roman"/>
          <w:color w:val="212121"/>
          <w:sz w:val="24"/>
          <w:szCs w:val="24"/>
          <w:lang w:eastAsia="zh-CN"/>
        </w:rPr>
        <w:t>28</w:t>
      </w:r>
      <w:r w:rsidRPr="00E44D43">
        <w:rPr>
          <w:rFonts w:ascii="SimSun" w:eastAsia="Times New Roman" w:cs="SimSun"/>
          <w:color w:val="212121"/>
          <w:sz w:val="24"/>
          <w:szCs w:val="24"/>
          <w:lang w:eastAsia="zh-CN"/>
        </w:rPr>
        <w:t>个成员国、加蓬、危地马拉、洪都拉斯、日本、墨西哥、菲律宾、新西兰、秘鲁、乌拉圭和委内瑞拉玻利瓦尔共和国。</w:t>
      </w:r>
    </w:p>
    <w:p w:rsidR="008D76BF" w:rsidRPr="00E44D43" w:rsidRDefault="008D76BF" w:rsidP="00750ECD">
      <w:pPr>
        <w:pStyle w:val="Para1"/>
        <w:numPr>
          <w:ilvl w:val="0"/>
          <w:numId w:val="9"/>
        </w:numPr>
        <w:tabs>
          <w:tab w:val="clear" w:pos="360"/>
          <w:tab w:val="left" w:pos="567"/>
        </w:tabs>
        <w:ind w:firstLine="0"/>
        <w:rPr>
          <w:rFonts w:eastAsia="Times New Roman"/>
          <w:color w:val="212121"/>
          <w:sz w:val="24"/>
          <w:szCs w:val="24"/>
          <w:lang w:eastAsia="zh-CN"/>
        </w:rPr>
      </w:pPr>
      <w:r w:rsidRPr="00E44D43">
        <w:rPr>
          <w:rFonts w:eastAsia="Times New Roman"/>
          <w:color w:val="212121"/>
          <w:sz w:val="24"/>
          <w:szCs w:val="24"/>
          <w:lang w:eastAsia="zh-CN"/>
        </w:rPr>
        <w:tab/>
      </w:r>
      <w:r w:rsidR="0006774F">
        <w:rPr>
          <w:rFonts w:eastAsiaTheme="minorEastAsia" w:hint="eastAsia"/>
          <w:color w:val="212121"/>
          <w:sz w:val="24"/>
          <w:szCs w:val="24"/>
          <w:lang w:eastAsia="zh-CN"/>
        </w:rPr>
        <w:t>工作组</w:t>
      </w:r>
      <w:r w:rsidRPr="00E44D43">
        <w:rPr>
          <w:rFonts w:ascii="SimSun" w:eastAsia="Times New Roman" w:cs="SimSun"/>
          <w:color w:val="212121"/>
          <w:sz w:val="24"/>
          <w:szCs w:val="24"/>
          <w:lang w:eastAsia="zh-CN"/>
        </w:rPr>
        <w:t>在</w:t>
      </w:r>
      <w:r w:rsidRPr="00E44D43">
        <w:rPr>
          <w:rFonts w:eastAsia="Times New Roman"/>
          <w:color w:val="212121"/>
          <w:sz w:val="24"/>
          <w:szCs w:val="24"/>
          <w:lang w:eastAsia="zh-CN"/>
        </w:rPr>
        <w:t>2018</w:t>
      </w:r>
      <w:r w:rsidRPr="00E44D43">
        <w:rPr>
          <w:rFonts w:ascii="SimSun" w:eastAsia="Times New Roman" w:cs="SimSun"/>
          <w:color w:val="212121"/>
          <w:sz w:val="24"/>
          <w:szCs w:val="24"/>
          <w:lang w:eastAsia="zh-CN"/>
        </w:rPr>
        <w:t>年</w:t>
      </w:r>
      <w:r w:rsidRPr="00E44D43">
        <w:rPr>
          <w:rFonts w:eastAsia="Times New Roman"/>
          <w:color w:val="212121"/>
          <w:sz w:val="24"/>
          <w:szCs w:val="24"/>
          <w:lang w:eastAsia="zh-CN"/>
        </w:rPr>
        <w:t>11</w:t>
      </w:r>
      <w:r w:rsidRPr="00E44D43">
        <w:rPr>
          <w:rFonts w:ascii="SimSun" w:eastAsia="Times New Roman" w:cs="SimSun"/>
          <w:color w:val="212121"/>
          <w:sz w:val="24"/>
          <w:szCs w:val="24"/>
          <w:lang w:eastAsia="zh-CN"/>
        </w:rPr>
        <w:t>月</w:t>
      </w:r>
      <w:r w:rsidRPr="00E44D43">
        <w:rPr>
          <w:rFonts w:eastAsia="Times New Roman"/>
          <w:color w:val="212121"/>
          <w:sz w:val="24"/>
          <w:szCs w:val="24"/>
          <w:lang w:eastAsia="zh-CN"/>
        </w:rPr>
        <w:t>27</w:t>
      </w:r>
      <w:r w:rsidRPr="00E44D43">
        <w:rPr>
          <w:rFonts w:ascii="SimSun" w:eastAsia="Times New Roman" w:cs="SimSun"/>
          <w:color w:val="212121"/>
          <w:sz w:val="24"/>
          <w:szCs w:val="24"/>
          <w:lang w:eastAsia="zh-CN"/>
        </w:rPr>
        <w:t>日</w:t>
      </w:r>
      <w:r w:rsidR="0006774F">
        <w:rPr>
          <w:rFonts w:ascii="SimSun" w:eastAsiaTheme="minorEastAsia" w:cs="SimSun" w:hint="eastAsia"/>
          <w:color w:val="212121"/>
          <w:sz w:val="24"/>
          <w:szCs w:val="24"/>
          <w:lang w:eastAsia="zh-CN"/>
        </w:rPr>
        <w:t>其</w:t>
      </w:r>
      <w:r w:rsidRPr="00E44D43">
        <w:rPr>
          <w:rFonts w:ascii="SimSun" w:eastAsia="Times New Roman" w:cs="SimSun"/>
          <w:color w:val="212121"/>
          <w:sz w:val="24"/>
          <w:szCs w:val="24"/>
          <w:lang w:eastAsia="zh-CN"/>
        </w:rPr>
        <w:t>第</w:t>
      </w:r>
      <w:r w:rsidRPr="00E44D43">
        <w:rPr>
          <w:rFonts w:eastAsia="Times New Roman"/>
          <w:color w:val="212121"/>
          <w:sz w:val="24"/>
          <w:szCs w:val="24"/>
          <w:lang w:eastAsia="zh-CN"/>
        </w:rPr>
        <w:t>16</w:t>
      </w:r>
      <w:r w:rsidRPr="00E44D43">
        <w:rPr>
          <w:rFonts w:ascii="SimSun" w:eastAsia="Times New Roman" w:cs="SimSun"/>
          <w:color w:val="212121"/>
          <w:sz w:val="24"/>
          <w:szCs w:val="24"/>
          <w:lang w:eastAsia="zh-CN"/>
        </w:rPr>
        <w:t>场会议上继续审议关于赔偿责任和补救的决定草案。</w:t>
      </w:r>
    </w:p>
    <w:p w:rsidR="008D76BF" w:rsidRPr="002160EC" w:rsidRDefault="008D76BF" w:rsidP="00750ECD">
      <w:pPr>
        <w:pStyle w:val="Para1"/>
        <w:numPr>
          <w:ilvl w:val="0"/>
          <w:numId w:val="9"/>
        </w:numPr>
        <w:tabs>
          <w:tab w:val="clear" w:pos="360"/>
          <w:tab w:val="left" w:pos="567"/>
        </w:tabs>
        <w:ind w:firstLine="0"/>
        <w:rPr>
          <w:rFonts w:eastAsia="Times New Roman"/>
          <w:sz w:val="24"/>
          <w:szCs w:val="24"/>
          <w:lang w:eastAsia="zh-CN"/>
        </w:rPr>
      </w:pPr>
      <w:r w:rsidRPr="00E44D43">
        <w:rPr>
          <w:rFonts w:eastAsia="Times New Roman"/>
          <w:color w:val="212121"/>
          <w:sz w:val="24"/>
          <w:szCs w:val="24"/>
          <w:lang w:eastAsia="zh-CN"/>
        </w:rPr>
        <w:tab/>
      </w:r>
      <w:r w:rsidRPr="00E44D43">
        <w:rPr>
          <w:rFonts w:ascii="SimSun" w:eastAsia="Times New Roman" w:cs="SimSun"/>
          <w:color w:val="212121"/>
          <w:sz w:val="24"/>
          <w:szCs w:val="24"/>
          <w:lang w:eastAsia="zh-CN"/>
        </w:rPr>
        <w:t>决定草案经核准作为决定草案</w:t>
      </w:r>
      <w:r w:rsidRPr="00E44D43">
        <w:rPr>
          <w:rFonts w:eastAsia="Times New Roman"/>
          <w:color w:val="212121"/>
          <w:sz w:val="24"/>
          <w:szCs w:val="24"/>
          <w:lang w:eastAsia="zh-CN"/>
        </w:rPr>
        <w:t>CBD/COP/14/L.26</w:t>
      </w:r>
      <w:r w:rsidRPr="00E44D43">
        <w:rPr>
          <w:rFonts w:ascii="SimSun" w:eastAsia="Times New Roman" w:cs="SimSun"/>
          <w:color w:val="212121"/>
          <w:sz w:val="24"/>
          <w:szCs w:val="24"/>
          <w:lang w:eastAsia="zh-CN"/>
        </w:rPr>
        <w:t>转交全体会议。</w:t>
      </w:r>
    </w:p>
    <w:p w:rsidR="002C6A65" w:rsidRPr="00EF7DE2" w:rsidRDefault="002C6A65" w:rsidP="002C6A65">
      <w:pPr>
        <w:pStyle w:val="Para1"/>
        <w:numPr>
          <w:ilvl w:val="0"/>
          <w:numId w:val="9"/>
        </w:numPr>
        <w:tabs>
          <w:tab w:val="clear" w:pos="360"/>
          <w:tab w:val="left" w:pos="720"/>
        </w:tabs>
        <w:ind w:firstLine="0"/>
        <w:rPr>
          <w:rFonts w:hAnsi="SimSun"/>
          <w:sz w:val="24"/>
          <w:szCs w:val="24"/>
          <w:lang w:eastAsia="zh-CN"/>
        </w:rPr>
      </w:pPr>
      <w:r w:rsidRPr="00EF7DE2">
        <w:rPr>
          <w:rFonts w:ascii="SimSun" w:eastAsia="SimSun" w:hAnsi="SimSun" w:cs="SimSun" w:hint="eastAsia"/>
          <w:sz w:val="24"/>
          <w:szCs w:val="24"/>
          <w:lang w:eastAsia="zh-CN"/>
        </w:rPr>
        <w:t>在</w:t>
      </w:r>
      <w:r w:rsidRPr="00EF7DE2">
        <w:rPr>
          <w:rFonts w:hAnsi="SimSun"/>
          <w:sz w:val="24"/>
          <w:szCs w:val="24"/>
          <w:lang w:eastAsia="zh-CN"/>
        </w:rPr>
        <w:t>2018</w:t>
      </w:r>
      <w:r w:rsidRPr="00EF7DE2">
        <w:rPr>
          <w:rFonts w:ascii="SimSun" w:eastAsia="SimSun" w:hAnsi="SimSun" w:cs="SimSun" w:hint="eastAsia"/>
          <w:sz w:val="24"/>
          <w:szCs w:val="24"/>
          <w:lang w:eastAsia="zh-CN"/>
        </w:rPr>
        <w:t>年</w:t>
      </w:r>
      <w:r w:rsidRPr="00EF7DE2">
        <w:rPr>
          <w:rFonts w:hAnsi="SimSun"/>
          <w:sz w:val="24"/>
          <w:szCs w:val="24"/>
          <w:lang w:eastAsia="zh-CN"/>
        </w:rPr>
        <w:t>11</w:t>
      </w:r>
      <w:r w:rsidRPr="00EF7DE2">
        <w:rPr>
          <w:rFonts w:ascii="SimSun" w:eastAsia="SimSun" w:hAnsi="SimSun" w:cs="SimSun" w:hint="eastAsia"/>
          <w:sz w:val="24"/>
          <w:szCs w:val="24"/>
          <w:lang w:eastAsia="zh-CN"/>
        </w:rPr>
        <w:t>月</w:t>
      </w:r>
      <w:r w:rsidRPr="00EF7DE2">
        <w:rPr>
          <w:rFonts w:hAnsi="SimSun"/>
          <w:sz w:val="24"/>
          <w:szCs w:val="24"/>
          <w:lang w:eastAsia="zh-CN"/>
        </w:rPr>
        <w:t>2</w:t>
      </w:r>
      <w:r>
        <w:rPr>
          <w:rFonts w:hAnsi="SimSun"/>
          <w:sz w:val="24"/>
          <w:szCs w:val="24"/>
          <w:lang w:eastAsia="zh-CN"/>
        </w:rPr>
        <w:t>9</w:t>
      </w:r>
      <w:r w:rsidR="002D53D3">
        <w:rPr>
          <w:rFonts w:ascii="SimSun" w:eastAsia="SimSun" w:hAnsi="SimSun" w:cs="SimSun" w:hint="eastAsia"/>
          <w:sz w:val="24"/>
          <w:szCs w:val="24"/>
          <w:lang w:eastAsia="zh-CN"/>
        </w:rPr>
        <w:t>日会议的</w:t>
      </w:r>
      <w:r w:rsidRPr="00EF7DE2">
        <w:rPr>
          <w:rFonts w:ascii="SimSun" w:eastAsia="SimSun" w:hAnsi="SimSun" w:cs="SimSun" w:hint="eastAsia"/>
          <w:sz w:val="24"/>
          <w:szCs w:val="24"/>
          <w:lang w:eastAsia="zh-CN"/>
        </w:rPr>
        <w:t>第</w:t>
      </w:r>
      <w:r w:rsidRPr="00EF7DE2">
        <w:rPr>
          <w:rFonts w:hAnsi="SimSun"/>
          <w:sz w:val="24"/>
          <w:szCs w:val="24"/>
          <w:lang w:eastAsia="zh-CN"/>
        </w:rPr>
        <w:t>7</w:t>
      </w:r>
      <w:r w:rsidRPr="00EF7DE2">
        <w:rPr>
          <w:rFonts w:ascii="SimSun" w:eastAsia="SimSun" w:hAnsi="SimSun" w:cs="SimSun" w:hint="eastAsia"/>
          <w:sz w:val="24"/>
          <w:szCs w:val="24"/>
          <w:lang w:eastAsia="zh-CN"/>
        </w:rPr>
        <w:t>次全体会议上，缔约方大会</w:t>
      </w:r>
      <w:r w:rsidRPr="00EF7DE2">
        <w:rPr>
          <w:rFonts w:ascii="SimSun" w:eastAsia="SimSun" w:hAnsi="SimSun" w:cs="SimSun"/>
          <w:sz w:val="24"/>
          <w:szCs w:val="24"/>
          <w:lang w:eastAsia="zh-CN"/>
        </w:rPr>
        <w:t>通过了</w:t>
      </w:r>
      <w:r w:rsidRPr="00EF7DE2">
        <w:rPr>
          <w:rFonts w:ascii="SimSun" w:eastAsia="SimSun" w:hAnsi="SimSun" w:cs="SimSun" w:hint="eastAsia"/>
          <w:sz w:val="24"/>
          <w:szCs w:val="24"/>
          <w:lang w:eastAsia="zh-CN"/>
        </w:rPr>
        <w:t>决定草案</w:t>
      </w:r>
      <w:r w:rsidRPr="00EF7DE2">
        <w:rPr>
          <w:rFonts w:hAnsi="SimSun"/>
          <w:sz w:val="24"/>
          <w:szCs w:val="24"/>
          <w:lang w:eastAsia="zh-CN"/>
        </w:rPr>
        <w:t>CBD/COP/14/L.</w:t>
      </w:r>
      <w:r>
        <w:rPr>
          <w:rFonts w:hAnsi="SimSun"/>
          <w:sz w:val="24"/>
          <w:szCs w:val="24"/>
          <w:lang w:eastAsia="zh-CN"/>
        </w:rPr>
        <w:t>26</w:t>
      </w:r>
      <w:r w:rsidRPr="00EF7DE2">
        <w:rPr>
          <w:rFonts w:ascii="SimSun" w:eastAsia="SimSun" w:hAnsi="SimSun" w:cs="SimSun" w:hint="eastAsia"/>
          <w:sz w:val="24"/>
          <w:szCs w:val="24"/>
          <w:lang w:eastAsia="zh-CN"/>
        </w:rPr>
        <w:t>，成为第</w:t>
      </w:r>
      <w:r w:rsidRPr="00EF7DE2">
        <w:rPr>
          <w:rFonts w:hAnsi="SimSun"/>
          <w:sz w:val="24"/>
          <w:szCs w:val="24"/>
          <w:lang w:eastAsia="zh-CN"/>
        </w:rPr>
        <w:t>14/</w:t>
      </w:r>
      <w:r>
        <w:rPr>
          <w:rFonts w:hAnsi="SimSun"/>
          <w:sz w:val="24"/>
          <w:szCs w:val="24"/>
          <w:lang w:eastAsia="zh-CN"/>
        </w:rPr>
        <w:t>21</w:t>
      </w:r>
      <w:r w:rsidRPr="00EF7DE2">
        <w:rPr>
          <w:rFonts w:ascii="SimSun" w:eastAsia="SimSun" w:hAnsi="SimSun" w:cs="SimSun" w:hint="eastAsia"/>
          <w:sz w:val="24"/>
          <w:szCs w:val="24"/>
          <w:lang w:eastAsia="zh-CN"/>
        </w:rPr>
        <w:t>号决定</w:t>
      </w:r>
      <w:r w:rsidRPr="00EF7DE2">
        <w:rPr>
          <w:rFonts w:eastAsiaTheme="minorEastAsia" w:hAnsi="SimSun"/>
          <w:sz w:val="24"/>
          <w:lang w:eastAsia="zh-CN"/>
        </w:rPr>
        <w:t>（案文见第一章）。</w:t>
      </w:r>
    </w:p>
    <w:p w:rsidR="008D76BF" w:rsidRPr="00E63AA3" w:rsidRDefault="008D76BF" w:rsidP="00E63AA3">
      <w:pPr>
        <w:pStyle w:val="Heading1"/>
        <w:spacing w:before="120" w:after="120"/>
        <w:ind w:firstLine="0"/>
        <w:rPr>
          <w:sz w:val="24"/>
          <w:lang w:eastAsia="zh-CN"/>
        </w:rPr>
      </w:pPr>
      <w:bookmarkStart w:id="291" w:name="_Toc6243840"/>
      <w:r w:rsidRPr="00E63AA3">
        <w:rPr>
          <w:rFonts w:hint="eastAsia"/>
          <w:sz w:val="24"/>
          <w:lang w:eastAsia="zh-CN"/>
        </w:rPr>
        <w:t>项目</w:t>
      </w:r>
      <w:r w:rsidRPr="00E63AA3">
        <w:rPr>
          <w:sz w:val="24"/>
          <w:lang w:eastAsia="zh-CN"/>
        </w:rPr>
        <w:t xml:space="preserve">29.  </w:t>
      </w:r>
      <w:r w:rsidR="00366699" w:rsidRPr="00E63AA3">
        <w:rPr>
          <w:sz w:val="24"/>
          <w:lang w:eastAsia="zh-CN"/>
        </w:rPr>
        <w:t xml:space="preserve">   </w:t>
      </w:r>
      <w:r w:rsidRPr="00E63AA3">
        <w:rPr>
          <w:rFonts w:hint="eastAsia"/>
          <w:sz w:val="24"/>
          <w:lang w:eastAsia="zh-CN"/>
        </w:rPr>
        <w:t>其他事项</w:t>
      </w:r>
      <w:bookmarkEnd w:id="291"/>
    </w:p>
    <w:bookmarkEnd w:id="276"/>
    <w:p w:rsidR="008D76BF" w:rsidRPr="004D1FBA" w:rsidRDefault="002C6A65" w:rsidP="00750ECD">
      <w:pPr>
        <w:pStyle w:val="Para1"/>
        <w:numPr>
          <w:ilvl w:val="0"/>
          <w:numId w:val="9"/>
        </w:numPr>
        <w:tabs>
          <w:tab w:val="clear" w:pos="360"/>
          <w:tab w:val="left" w:pos="720"/>
        </w:tabs>
        <w:ind w:firstLine="0"/>
        <w:rPr>
          <w:rFonts w:hAnsi="SimSun"/>
          <w:sz w:val="24"/>
          <w:szCs w:val="24"/>
          <w:lang w:eastAsia="zh-CN"/>
        </w:rPr>
      </w:pPr>
      <w:r w:rsidRPr="00EF7DE2">
        <w:rPr>
          <w:rFonts w:ascii="SimSun" w:eastAsia="SimSun" w:hAnsi="SimSun" w:cs="SimSun" w:hint="eastAsia"/>
          <w:sz w:val="24"/>
          <w:szCs w:val="24"/>
          <w:lang w:eastAsia="zh-CN"/>
        </w:rPr>
        <w:t>在</w:t>
      </w:r>
      <w:r w:rsidRPr="00EF7DE2">
        <w:rPr>
          <w:rFonts w:hAnsi="SimSun"/>
          <w:sz w:val="24"/>
          <w:szCs w:val="24"/>
          <w:lang w:eastAsia="zh-CN"/>
        </w:rPr>
        <w:t>2018</w:t>
      </w:r>
      <w:r w:rsidRPr="00EF7DE2">
        <w:rPr>
          <w:rFonts w:ascii="SimSun" w:eastAsia="SimSun" w:hAnsi="SimSun" w:cs="SimSun" w:hint="eastAsia"/>
          <w:sz w:val="24"/>
          <w:szCs w:val="24"/>
          <w:lang w:eastAsia="zh-CN"/>
        </w:rPr>
        <w:t>年</w:t>
      </w:r>
      <w:r w:rsidRPr="00EF7DE2">
        <w:rPr>
          <w:rFonts w:hAnsi="SimSun"/>
          <w:sz w:val="24"/>
          <w:szCs w:val="24"/>
          <w:lang w:eastAsia="zh-CN"/>
        </w:rPr>
        <w:t>11</w:t>
      </w:r>
      <w:r w:rsidRPr="00EF7DE2">
        <w:rPr>
          <w:rFonts w:ascii="SimSun" w:eastAsia="SimSun" w:hAnsi="SimSun" w:cs="SimSun" w:hint="eastAsia"/>
          <w:sz w:val="24"/>
          <w:szCs w:val="24"/>
          <w:lang w:eastAsia="zh-CN"/>
        </w:rPr>
        <w:t>月</w:t>
      </w:r>
      <w:r w:rsidRPr="00EF7DE2">
        <w:rPr>
          <w:rFonts w:hAnsi="SimSun"/>
          <w:sz w:val="24"/>
          <w:szCs w:val="24"/>
          <w:lang w:eastAsia="zh-CN"/>
        </w:rPr>
        <w:t>2</w:t>
      </w:r>
      <w:r>
        <w:rPr>
          <w:rFonts w:hAnsi="SimSun"/>
          <w:sz w:val="24"/>
          <w:szCs w:val="24"/>
          <w:lang w:eastAsia="zh-CN"/>
        </w:rPr>
        <w:t>9</w:t>
      </w:r>
      <w:r w:rsidRPr="00EF7DE2">
        <w:rPr>
          <w:rFonts w:ascii="SimSun" w:eastAsia="SimSun" w:hAnsi="SimSun" w:cs="SimSun" w:hint="eastAsia"/>
          <w:sz w:val="24"/>
          <w:szCs w:val="24"/>
          <w:lang w:eastAsia="zh-CN"/>
        </w:rPr>
        <w:t>日的第</w:t>
      </w:r>
      <w:r w:rsidRPr="00EF7DE2">
        <w:rPr>
          <w:rFonts w:hAnsi="SimSun"/>
          <w:sz w:val="24"/>
          <w:szCs w:val="24"/>
          <w:lang w:eastAsia="zh-CN"/>
        </w:rPr>
        <w:t>7</w:t>
      </w:r>
      <w:r w:rsidRPr="00EF7DE2">
        <w:rPr>
          <w:rFonts w:ascii="SimSun" w:eastAsia="SimSun" w:hAnsi="SimSun" w:cs="SimSun" w:hint="eastAsia"/>
          <w:sz w:val="24"/>
          <w:szCs w:val="24"/>
          <w:lang w:eastAsia="zh-CN"/>
        </w:rPr>
        <w:t>次全体会议上，</w:t>
      </w:r>
      <w:r>
        <w:rPr>
          <w:rFonts w:ascii="SimSun" w:eastAsia="SimSun" w:hAnsi="SimSun" w:cs="SimSun" w:hint="eastAsia"/>
          <w:sz w:val="24"/>
          <w:szCs w:val="24"/>
          <w:lang w:eastAsia="zh-CN"/>
        </w:rPr>
        <w:t>主席</w:t>
      </w:r>
      <w:r>
        <w:rPr>
          <w:rFonts w:ascii="SimSun" w:eastAsia="SimSun" w:hAnsi="SimSun" w:cs="SimSun"/>
          <w:sz w:val="24"/>
          <w:szCs w:val="24"/>
          <w:lang w:eastAsia="zh-CN"/>
        </w:rPr>
        <w:t>请各位代表起立，为过去一年去世的</w:t>
      </w:r>
      <w:r>
        <w:rPr>
          <w:rFonts w:ascii="SimSun" w:eastAsia="SimSun" w:hAnsi="SimSun" w:cs="SimSun" w:hint="eastAsia"/>
          <w:sz w:val="24"/>
          <w:szCs w:val="24"/>
          <w:lang w:eastAsia="zh-CN"/>
        </w:rPr>
        <w:t>以下</w:t>
      </w:r>
      <w:r>
        <w:rPr>
          <w:rFonts w:ascii="SimSun" w:eastAsia="SimSun" w:hAnsi="SimSun" w:cs="SimSun"/>
          <w:sz w:val="24"/>
          <w:szCs w:val="24"/>
          <w:lang w:eastAsia="zh-CN"/>
        </w:rPr>
        <w:t>同事和朋友默哀：</w:t>
      </w:r>
      <w:r>
        <w:rPr>
          <w:rFonts w:ascii="SimSun" w:eastAsia="SimSun" w:hAnsi="SimSun" w:cs="SimSun" w:hint="eastAsia"/>
          <w:sz w:val="24"/>
          <w:szCs w:val="24"/>
          <w:lang w:eastAsia="zh-CN"/>
        </w:rPr>
        <w:t>毛里塔尼亚</w:t>
      </w:r>
      <w:r>
        <w:rPr>
          <w:rFonts w:ascii="SimSun" w:eastAsia="SimSun" w:hAnsi="SimSun" w:cs="SimSun"/>
          <w:sz w:val="24"/>
          <w:szCs w:val="24"/>
          <w:lang w:eastAsia="zh-CN"/>
        </w:rPr>
        <w:t>国家联络人和第十三届会议主席团成员</w:t>
      </w:r>
      <w:r w:rsidRPr="002C6A65">
        <w:rPr>
          <w:rFonts w:hAnsi="SimSun"/>
          <w:sz w:val="24"/>
          <w:szCs w:val="24"/>
          <w:lang w:eastAsia="zh-CN"/>
        </w:rPr>
        <w:t>Cheikh Ould Sidi Mohamed</w:t>
      </w:r>
      <w:r>
        <w:rPr>
          <w:rFonts w:hAnsi="SimSun" w:hint="eastAsia"/>
          <w:sz w:val="24"/>
          <w:szCs w:val="24"/>
          <w:lang w:eastAsia="zh-CN"/>
        </w:rPr>
        <w:t>先生</w:t>
      </w:r>
      <w:r>
        <w:rPr>
          <w:rFonts w:hAnsi="SimSun"/>
          <w:sz w:val="24"/>
          <w:szCs w:val="24"/>
          <w:lang w:eastAsia="zh-CN"/>
        </w:rPr>
        <w:t>、</w:t>
      </w:r>
      <w:r>
        <w:rPr>
          <w:rFonts w:hAnsi="SimSun" w:hint="eastAsia"/>
          <w:sz w:val="24"/>
          <w:szCs w:val="24"/>
          <w:lang w:eastAsia="zh-CN"/>
        </w:rPr>
        <w:t>布隆迪</w:t>
      </w:r>
      <w:r>
        <w:rPr>
          <w:rFonts w:hAnsi="SimSun"/>
          <w:sz w:val="24"/>
          <w:szCs w:val="24"/>
          <w:lang w:eastAsia="zh-CN"/>
        </w:rPr>
        <w:t>国家第二联络人</w:t>
      </w:r>
      <w:r w:rsidRPr="002C6A65">
        <w:rPr>
          <w:rFonts w:hAnsi="SimSun"/>
          <w:sz w:val="24"/>
          <w:szCs w:val="24"/>
          <w:lang w:eastAsia="zh-CN"/>
        </w:rPr>
        <w:t>Benoit Nzigidahera</w:t>
      </w:r>
      <w:r>
        <w:rPr>
          <w:rFonts w:hAnsi="SimSun" w:hint="eastAsia"/>
          <w:sz w:val="24"/>
          <w:szCs w:val="24"/>
          <w:lang w:eastAsia="zh-CN"/>
        </w:rPr>
        <w:t>先生</w:t>
      </w:r>
      <w:r>
        <w:rPr>
          <w:rFonts w:hAnsi="SimSun"/>
          <w:sz w:val="24"/>
          <w:szCs w:val="24"/>
          <w:lang w:eastAsia="zh-CN"/>
        </w:rPr>
        <w:t>、</w:t>
      </w:r>
      <w:r>
        <w:rPr>
          <w:rFonts w:hAnsi="SimSun" w:hint="eastAsia"/>
          <w:sz w:val="24"/>
          <w:szCs w:val="24"/>
          <w:lang w:eastAsia="zh-CN"/>
        </w:rPr>
        <w:t>利比里亚</w:t>
      </w:r>
      <w:r>
        <w:rPr>
          <w:rFonts w:hAnsi="SimSun"/>
          <w:sz w:val="24"/>
          <w:szCs w:val="24"/>
          <w:lang w:eastAsia="zh-CN"/>
        </w:rPr>
        <w:t>国家联络人和《卡塔赫纳议定书》履约委员会</w:t>
      </w:r>
      <w:r>
        <w:rPr>
          <w:rFonts w:hAnsi="SimSun" w:hint="eastAsia"/>
          <w:sz w:val="24"/>
          <w:szCs w:val="24"/>
          <w:lang w:eastAsia="zh-CN"/>
        </w:rPr>
        <w:t>成员</w:t>
      </w:r>
      <w:r w:rsidRPr="002C6A65">
        <w:rPr>
          <w:rFonts w:hAnsi="SimSun"/>
          <w:sz w:val="24"/>
          <w:szCs w:val="24"/>
          <w:lang w:eastAsia="zh-CN"/>
        </w:rPr>
        <w:t>Johansen Volker</w:t>
      </w:r>
      <w:r>
        <w:rPr>
          <w:rFonts w:hAnsi="SimSun" w:hint="eastAsia"/>
          <w:sz w:val="24"/>
          <w:szCs w:val="24"/>
          <w:lang w:eastAsia="zh-CN"/>
        </w:rPr>
        <w:t>先生</w:t>
      </w:r>
      <w:r>
        <w:rPr>
          <w:rFonts w:hAnsi="SimSun"/>
          <w:sz w:val="24"/>
          <w:szCs w:val="24"/>
          <w:lang w:eastAsia="zh-CN"/>
        </w:rPr>
        <w:t>、</w:t>
      </w:r>
      <w:r>
        <w:rPr>
          <w:rFonts w:hAnsi="SimSun" w:hint="eastAsia"/>
          <w:sz w:val="24"/>
          <w:szCs w:val="24"/>
          <w:lang w:eastAsia="zh-CN"/>
        </w:rPr>
        <w:t>南非</w:t>
      </w:r>
      <w:r>
        <w:rPr>
          <w:rFonts w:hAnsi="SimSun"/>
          <w:sz w:val="24"/>
          <w:szCs w:val="24"/>
          <w:lang w:eastAsia="zh-CN"/>
        </w:rPr>
        <w:t>环境部长</w:t>
      </w:r>
      <w:r w:rsidRPr="002C6A65">
        <w:rPr>
          <w:rFonts w:hAnsi="SimSun"/>
          <w:sz w:val="24"/>
          <w:szCs w:val="24"/>
          <w:lang w:eastAsia="zh-CN"/>
        </w:rPr>
        <w:t>Edna Molewa</w:t>
      </w:r>
      <w:r>
        <w:rPr>
          <w:rFonts w:hAnsi="SimSun" w:hint="eastAsia"/>
          <w:sz w:val="24"/>
          <w:szCs w:val="24"/>
          <w:lang w:eastAsia="zh-CN"/>
        </w:rPr>
        <w:t>女士以及</w:t>
      </w:r>
      <w:r>
        <w:rPr>
          <w:rFonts w:hAnsi="SimSun"/>
          <w:sz w:val="24"/>
          <w:szCs w:val="24"/>
          <w:lang w:eastAsia="zh-CN"/>
        </w:rPr>
        <w:t>《公约》秘书处成员</w:t>
      </w:r>
      <w:r w:rsidRPr="002C6A65">
        <w:rPr>
          <w:rFonts w:hAnsi="SimSun"/>
          <w:sz w:val="24"/>
          <w:szCs w:val="24"/>
          <w:lang w:eastAsia="zh-CN"/>
        </w:rPr>
        <w:t>Olivier de Munck</w:t>
      </w:r>
      <w:r>
        <w:rPr>
          <w:rFonts w:hAnsi="SimSun" w:hint="eastAsia"/>
          <w:sz w:val="24"/>
          <w:szCs w:val="24"/>
          <w:lang w:eastAsia="zh-CN"/>
        </w:rPr>
        <w:t>先生</w:t>
      </w:r>
      <w:r>
        <w:rPr>
          <w:rFonts w:hAnsi="SimSun"/>
          <w:sz w:val="24"/>
          <w:szCs w:val="24"/>
          <w:lang w:eastAsia="zh-CN"/>
        </w:rPr>
        <w:t>。</w:t>
      </w:r>
    </w:p>
    <w:p w:rsidR="008D76BF" w:rsidRPr="00E63AA3" w:rsidRDefault="008D76BF" w:rsidP="00E63AA3">
      <w:pPr>
        <w:pStyle w:val="Heading1"/>
        <w:spacing w:before="120" w:after="120"/>
        <w:ind w:firstLine="0"/>
        <w:rPr>
          <w:sz w:val="24"/>
          <w:lang w:eastAsia="zh-CN"/>
        </w:rPr>
      </w:pPr>
      <w:bookmarkStart w:id="292" w:name="_Toc6243841"/>
      <w:bookmarkStart w:id="293" w:name="Item34"/>
      <w:r w:rsidRPr="00E63AA3">
        <w:rPr>
          <w:rFonts w:hint="eastAsia"/>
          <w:sz w:val="24"/>
          <w:lang w:eastAsia="zh-CN"/>
        </w:rPr>
        <w:t>项目</w:t>
      </w:r>
      <w:r w:rsidRPr="00E63AA3">
        <w:rPr>
          <w:sz w:val="24"/>
          <w:lang w:eastAsia="zh-CN"/>
        </w:rPr>
        <w:t xml:space="preserve">30.  </w:t>
      </w:r>
      <w:r w:rsidR="00366699" w:rsidRPr="00E63AA3">
        <w:rPr>
          <w:sz w:val="24"/>
          <w:lang w:eastAsia="zh-CN"/>
        </w:rPr>
        <w:t xml:space="preserve">   </w:t>
      </w:r>
      <w:r w:rsidRPr="00E63AA3">
        <w:rPr>
          <w:rFonts w:hint="eastAsia"/>
          <w:sz w:val="24"/>
          <w:lang w:eastAsia="zh-CN"/>
        </w:rPr>
        <w:t>通过报告</w:t>
      </w:r>
      <w:bookmarkEnd w:id="292"/>
    </w:p>
    <w:bookmarkEnd w:id="293"/>
    <w:p w:rsidR="008D76BF" w:rsidRPr="007B09C6" w:rsidRDefault="008D76BF" w:rsidP="00750ECD">
      <w:pPr>
        <w:pStyle w:val="Para1"/>
        <w:numPr>
          <w:ilvl w:val="0"/>
          <w:numId w:val="9"/>
        </w:numPr>
        <w:tabs>
          <w:tab w:val="clear" w:pos="360"/>
          <w:tab w:val="left" w:pos="720"/>
        </w:tabs>
        <w:ind w:firstLine="0"/>
        <w:rPr>
          <w:rFonts w:hAnsi="SimSun"/>
          <w:sz w:val="24"/>
          <w:szCs w:val="24"/>
          <w:lang w:eastAsia="zh-CN"/>
        </w:rPr>
      </w:pPr>
      <w:r w:rsidRPr="004D1FBA">
        <w:rPr>
          <w:rFonts w:ascii="SimSun" w:eastAsia="SimSun" w:hAnsi="SimSun" w:cs="SimSun" w:hint="eastAsia"/>
          <w:sz w:val="24"/>
          <w:szCs w:val="24"/>
          <w:lang w:eastAsia="zh-CN"/>
        </w:rPr>
        <w:t>本报告是</w:t>
      </w:r>
      <w:r w:rsidRPr="004D1FBA">
        <w:rPr>
          <w:rFonts w:hAnsi="SimSun"/>
          <w:sz w:val="24"/>
          <w:szCs w:val="24"/>
          <w:lang w:eastAsia="zh-CN"/>
        </w:rPr>
        <w:t>2018</w:t>
      </w:r>
      <w:r w:rsidRPr="004D1FBA">
        <w:rPr>
          <w:rFonts w:ascii="SimSun" w:eastAsia="SimSun" w:hAnsi="SimSun" w:cs="SimSun" w:hint="eastAsia"/>
          <w:sz w:val="24"/>
          <w:szCs w:val="24"/>
          <w:lang w:eastAsia="zh-CN"/>
        </w:rPr>
        <w:t>年</w:t>
      </w:r>
      <w:r w:rsidRPr="004D1FBA">
        <w:rPr>
          <w:rFonts w:hAnsi="SimSun"/>
          <w:sz w:val="24"/>
          <w:szCs w:val="24"/>
          <w:lang w:eastAsia="zh-CN"/>
        </w:rPr>
        <w:t>11</w:t>
      </w:r>
      <w:r w:rsidRPr="004D1FBA">
        <w:rPr>
          <w:rFonts w:ascii="SimSun" w:eastAsia="SimSun" w:hAnsi="SimSun" w:cs="SimSun" w:hint="eastAsia"/>
          <w:sz w:val="24"/>
          <w:szCs w:val="24"/>
          <w:lang w:eastAsia="zh-CN"/>
        </w:rPr>
        <w:t>月</w:t>
      </w:r>
      <w:r w:rsidR="007B09C6" w:rsidRPr="002D53D3">
        <w:rPr>
          <w:rFonts w:hAnsi="SimSun" w:hint="eastAsia"/>
          <w:sz w:val="24"/>
          <w:szCs w:val="24"/>
          <w:lang w:eastAsia="zh-CN"/>
        </w:rPr>
        <w:t>29</w:t>
      </w:r>
      <w:r w:rsidRPr="002D53D3">
        <w:rPr>
          <w:rFonts w:hAnsi="SimSun" w:hint="eastAsia"/>
          <w:sz w:val="24"/>
          <w:szCs w:val="24"/>
          <w:lang w:eastAsia="zh-CN"/>
        </w:rPr>
        <w:t>日会议的第</w:t>
      </w:r>
      <w:r w:rsidR="007B09C6" w:rsidRPr="002D53D3">
        <w:rPr>
          <w:rFonts w:hAnsi="SimSun" w:hint="eastAsia"/>
          <w:sz w:val="24"/>
          <w:szCs w:val="24"/>
          <w:lang w:eastAsia="zh-CN"/>
        </w:rPr>
        <w:t>8</w:t>
      </w:r>
      <w:r w:rsidRPr="002D53D3">
        <w:rPr>
          <w:rFonts w:hAnsi="SimSun" w:hint="eastAsia"/>
          <w:sz w:val="24"/>
          <w:szCs w:val="24"/>
          <w:lang w:eastAsia="zh-CN"/>
        </w:rPr>
        <w:t>次全体会议上</w:t>
      </w:r>
      <w:r w:rsidRPr="004D1FBA">
        <w:rPr>
          <w:rFonts w:ascii="SimSun" w:eastAsia="SimSun" w:hAnsi="SimSun" w:cs="SimSun" w:hint="eastAsia"/>
          <w:sz w:val="24"/>
          <w:szCs w:val="24"/>
          <w:lang w:eastAsia="zh-CN"/>
        </w:rPr>
        <w:t>，根据报告员提交的报告草稿（</w:t>
      </w:r>
      <w:r w:rsidRPr="004D1FBA">
        <w:rPr>
          <w:rFonts w:hAnsi="SimSun"/>
          <w:sz w:val="24"/>
          <w:szCs w:val="24"/>
          <w:lang w:eastAsia="zh-CN"/>
        </w:rPr>
        <w:t>CBD/COP/14/L.1</w:t>
      </w:r>
      <w:r w:rsidRPr="004D1FBA">
        <w:rPr>
          <w:rFonts w:ascii="SimSun" w:eastAsia="SimSun" w:hAnsi="SimSun" w:cs="SimSun" w:hint="eastAsia"/>
          <w:sz w:val="24"/>
          <w:szCs w:val="24"/>
          <w:lang w:eastAsia="zh-CN"/>
        </w:rPr>
        <w:t>）</w:t>
      </w:r>
      <w:r>
        <w:rPr>
          <w:rFonts w:ascii="SimSun" w:eastAsia="SimSun" w:hAnsi="SimSun" w:cs="SimSun" w:hint="eastAsia"/>
          <w:sz w:val="24"/>
          <w:szCs w:val="24"/>
          <w:lang w:eastAsia="zh-CN"/>
        </w:rPr>
        <w:t>获得</w:t>
      </w:r>
      <w:r w:rsidRPr="004D1FBA">
        <w:rPr>
          <w:rFonts w:ascii="SimSun" w:eastAsia="SimSun" w:hAnsi="SimSun" w:cs="SimSun" w:hint="eastAsia"/>
          <w:sz w:val="24"/>
          <w:szCs w:val="24"/>
          <w:lang w:eastAsia="zh-CN"/>
        </w:rPr>
        <w:t>通过。</w:t>
      </w:r>
    </w:p>
    <w:p w:rsidR="007B09C6" w:rsidRPr="007B09C6" w:rsidRDefault="007B09C6" w:rsidP="007B09C6">
      <w:pPr>
        <w:pStyle w:val="Para1"/>
        <w:numPr>
          <w:ilvl w:val="0"/>
          <w:numId w:val="9"/>
        </w:numPr>
        <w:tabs>
          <w:tab w:val="clear" w:pos="360"/>
          <w:tab w:val="left" w:pos="720"/>
        </w:tabs>
        <w:ind w:firstLine="0"/>
        <w:rPr>
          <w:rFonts w:eastAsia="SimSun"/>
          <w:sz w:val="24"/>
          <w:szCs w:val="24"/>
          <w:lang w:eastAsia="zh-CN"/>
        </w:rPr>
      </w:pPr>
      <w:r>
        <w:rPr>
          <w:rFonts w:eastAsia="SimSun" w:hint="eastAsia"/>
          <w:sz w:val="24"/>
          <w:szCs w:val="24"/>
          <w:lang w:eastAsia="zh-CN"/>
        </w:rPr>
        <w:t>墨西哥</w:t>
      </w:r>
      <w:r>
        <w:rPr>
          <w:rFonts w:eastAsia="SimSun"/>
          <w:sz w:val="24"/>
          <w:szCs w:val="24"/>
          <w:lang w:eastAsia="zh-CN"/>
        </w:rPr>
        <w:t>代表作了发言。</w:t>
      </w:r>
    </w:p>
    <w:p w:rsidR="007B09C6" w:rsidRPr="007B09C6" w:rsidRDefault="007B09C6" w:rsidP="00F942C2">
      <w:pPr>
        <w:pStyle w:val="Para1"/>
        <w:numPr>
          <w:ilvl w:val="0"/>
          <w:numId w:val="9"/>
        </w:numPr>
        <w:tabs>
          <w:tab w:val="clear" w:pos="360"/>
          <w:tab w:val="left" w:pos="720"/>
        </w:tabs>
        <w:ind w:firstLine="0"/>
        <w:rPr>
          <w:rFonts w:hAnsi="SimSun"/>
          <w:sz w:val="24"/>
          <w:szCs w:val="24"/>
          <w:lang w:eastAsia="zh-CN"/>
        </w:rPr>
      </w:pPr>
      <w:r w:rsidRPr="007B09C6">
        <w:rPr>
          <w:rFonts w:eastAsia="SimSun" w:hint="eastAsia"/>
          <w:sz w:val="24"/>
          <w:szCs w:val="24"/>
          <w:lang w:eastAsia="zh-CN"/>
        </w:rPr>
        <w:t>经口头修正</w:t>
      </w:r>
      <w:r w:rsidRPr="007B09C6">
        <w:rPr>
          <w:rFonts w:eastAsia="SimSun"/>
          <w:sz w:val="24"/>
          <w:szCs w:val="24"/>
          <w:lang w:eastAsia="zh-CN"/>
        </w:rPr>
        <w:t>的报告获得通过，</w:t>
      </w:r>
      <w:r w:rsidRPr="007B09C6">
        <w:rPr>
          <w:rFonts w:eastAsia="SimSun" w:hint="eastAsia"/>
          <w:sz w:val="24"/>
          <w:szCs w:val="24"/>
          <w:lang w:eastAsia="zh-CN"/>
        </w:rPr>
        <w:t>但有一项谅解，即授权报告员完成</w:t>
      </w:r>
      <w:r w:rsidRPr="007B09C6">
        <w:rPr>
          <w:rFonts w:eastAsia="SimSun"/>
          <w:sz w:val="24"/>
          <w:szCs w:val="24"/>
          <w:lang w:eastAsia="zh-CN"/>
        </w:rPr>
        <w:t>报告定稿。</w:t>
      </w:r>
    </w:p>
    <w:p w:rsidR="008D76BF" w:rsidRPr="00E63AA3" w:rsidRDefault="008D76BF" w:rsidP="00E63AA3">
      <w:pPr>
        <w:pStyle w:val="Heading1"/>
        <w:spacing w:before="120" w:after="120"/>
        <w:ind w:firstLine="0"/>
        <w:rPr>
          <w:sz w:val="24"/>
          <w:lang w:eastAsia="zh-CN"/>
        </w:rPr>
      </w:pPr>
      <w:bookmarkStart w:id="294" w:name="_Toc6243842"/>
      <w:bookmarkStart w:id="295" w:name="Item35"/>
      <w:r w:rsidRPr="00E63AA3">
        <w:rPr>
          <w:sz w:val="24"/>
          <w:lang w:eastAsia="zh-CN"/>
        </w:rPr>
        <w:t>项目</w:t>
      </w:r>
      <w:r w:rsidRPr="00E63AA3">
        <w:rPr>
          <w:sz w:val="24"/>
          <w:lang w:eastAsia="zh-CN"/>
        </w:rPr>
        <w:t xml:space="preserve">31.  </w:t>
      </w:r>
      <w:r w:rsidR="00366699" w:rsidRPr="00E63AA3">
        <w:rPr>
          <w:sz w:val="24"/>
          <w:lang w:eastAsia="zh-CN"/>
        </w:rPr>
        <w:t xml:space="preserve">   </w:t>
      </w:r>
      <w:r w:rsidRPr="00E63AA3">
        <w:rPr>
          <w:sz w:val="24"/>
          <w:lang w:eastAsia="zh-CN"/>
        </w:rPr>
        <w:t>会议闭幕</w:t>
      </w:r>
      <w:bookmarkEnd w:id="294"/>
    </w:p>
    <w:bookmarkEnd w:id="295"/>
    <w:p w:rsidR="008D76BF" w:rsidRPr="004D1FBA" w:rsidRDefault="007B09C6" w:rsidP="00750ECD">
      <w:pPr>
        <w:pStyle w:val="Para1"/>
        <w:numPr>
          <w:ilvl w:val="0"/>
          <w:numId w:val="9"/>
        </w:numPr>
        <w:tabs>
          <w:tab w:val="clear" w:pos="360"/>
          <w:tab w:val="left" w:pos="720"/>
        </w:tabs>
        <w:ind w:firstLine="0"/>
        <w:rPr>
          <w:rFonts w:hAnsi="SimSun"/>
          <w:sz w:val="24"/>
          <w:szCs w:val="24"/>
          <w:lang w:eastAsia="zh-CN"/>
        </w:rPr>
      </w:pPr>
      <w:r w:rsidRPr="00A00E57">
        <w:rPr>
          <w:rFonts w:eastAsia="SimSun" w:hint="eastAsia"/>
          <w:sz w:val="24"/>
          <w:szCs w:val="24"/>
          <w:lang w:eastAsia="zh-CN"/>
        </w:rPr>
        <w:t>经例行的礼节客套之后，</w:t>
      </w:r>
      <w:r w:rsidR="008D76BF" w:rsidRPr="004D1FBA">
        <w:rPr>
          <w:rFonts w:ascii="SimSun" w:eastAsia="SimSun" w:hAnsi="SimSun" w:cs="SimSun" w:hint="eastAsia"/>
          <w:sz w:val="24"/>
          <w:szCs w:val="24"/>
          <w:lang w:eastAsia="zh-CN"/>
        </w:rPr>
        <w:t>会议于</w:t>
      </w:r>
      <w:r w:rsidR="008D76BF" w:rsidRPr="004D1FBA">
        <w:rPr>
          <w:rFonts w:hAnsi="SimSun"/>
          <w:sz w:val="24"/>
          <w:szCs w:val="24"/>
          <w:lang w:eastAsia="zh-CN"/>
        </w:rPr>
        <w:t>2018</w:t>
      </w:r>
      <w:r w:rsidR="008D76BF" w:rsidRPr="004D1FBA">
        <w:rPr>
          <w:rFonts w:ascii="SimSun" w:eastAsia="SimSun" w:hAnsi="SimSun" w:cs="SimSun" w:hint="eastAsia"/>
          <w:sz w:val="24"/>
          <w:szCs w:val="24"/>
          <w:lang w:eastAsia="zh-CN"/>
        </w:rPr>
        <w:t>年</w:t>
      </w:r>
      <w:r w:rsidR="008D76BF" w:rsidRPr="004D1FBA">
        <w:rPr>
          <w:rFonts w:hAnsi="SimSun"/>
          <w:sz w:val="24"/>
          <w:szCs w:val="24"/>
          <w:lang w:eastAsia="zh-CN"/>
        </w:rPr>
        <w:t>11</w:t>
      </w:r>
      <w:r w:rsidR="008D76BF" w:rsidRPr="004D1FBA">
        <w:rPr>
          <w:rFonts w:ascii="SimSun" w:eastAsia="SimSun" w:hAnsi="SimSun" w:cs="SimSun" w:hint="eastAsia"/>
          <w:sz w:val="24"/>
          <w:szCs w:val="24"/>
          <w:lang w:eastAsia="zh-CN"/>
        </w:rPr>
        <w:t>月</w:t>
      </w:r>
      <w:r w:rsidR="008D76BF" w:rsidRPr="004D1FBA">
        <w:rPr>
          <w:rFonts w:hAnsi="SimSun"/>
          <w:sz w:val="24"/>
          <w:szCs w:val="24"/>
          <w:lang w:eastAsia="zh-CN"/>
        </w:rPr>
        <w:t>29</w:t>
      </w:r>
      <w:r>
        <w:rPr>
          <w:rFonts w:ascii="SimSun" w:eastAsia="SimSun" w:hAnsi="SimSun" w:cs="SimSun" w:hint="eastAsia"/>
          <w:sz w:val="24"/>
          <w:szCs w:val="24"/>
          <w:lang w:eastAsia="zh-CN"/>
        </w:rPr>
        <w:t>日晚9时宣布</w:t>
      </w:r>
      <w:r w:rsidR="008D76BF" w:rsidRPr="004D1FBA">
        <w:rPr>
          <w:rFonts w:ascii="SimSun" w:eastAsia="SimSun" w:hAnsi="SimSun" w:cs="SimSun" w:hint="eastAsia"/>
          <w:sz w:val="24"/>
          <w:szCs w:val="24"/>
          <w:lang w:eastAsia="zh-CN"/>
        </w:rPr>
        <w:t>闭幕。</w:t>
      </w:r>
    </w:p>
    <w:p w:rsidR="008D76BF" w:rsidRDefault="008D76BF">
      <w:pPr>
        <w:rPr>
          <w:rFonts w:ascii="SimSun" w:hAnsi="SimSun"/>
          <w:b/>
          <w:color w:val="212121"/>
          <w:shd w:val="clear" w:color="auto" w:fill="FFFFFF"/>
          <w:lang w:eastAsia="zh-CN"/>
        </w:rPr>
      </w:pPr>
      <w:r>
        <w:rPr>
          <w:rFonts w:ascii="SimSun" w:hAnsi="SimSun"/>
          <w:b/>
          <w:color w:val="212121"/>
          <w:shd w:val="clear" w:color="auto" w:fill="FFFFFF"/>
          <w:lang w:eastAsia="zh-CN"/>
        </w:rPr>
        <w:br w:type="page"/>
      </w:r>
    </w:p>
    <w:p w:rsidR="005A7430" w:rsidRDefault="005A7430" w:rsidP="00750ECD">
      <w:pPr>
        <w:pStyle w:val="ListParagraph"/>
        <w:tabs>
          <w:tab w:val="left" w:pos="720"/>
        </w:tabs>
        <w:kinsoku w:val="0"/>
        <w:overflowPunct w:val="0"/>
        <w:autoSpaceDE w:val="0"/>
        <w:autoSpaceDN w:val="0"/>
        <w:adjustRightInd w:val="0"/>
        <w:snapToGrid w:val="0"/>
        <w:spacing w:line="240" w:lineRule="atLeast"/>
        <w:ind w:left="0" w:firstLine="0"/>
        <w:jc w:val="center"/>
        <w:rPr>
          <w:rFonts w:ascii="KaiTi" w:eastAsia="KaiTi" w:hAnsi="KaiTi"/>
          <w:kern w:val="22"/>
          <w:lang w:val="en-CA" w:eastAsia="zh-CN"/>
        </w:rPr>
        <w:sectPr w:rsidR="005A7430" w:rsidSect="002D379A">
          <w:type w:val="continuous"/>
          <w:pgSz w:w="12240" w:h="15840"/>
          <w:pgMar w:top="567" w:right="1389" w:bottom="1134" w:left="1389" w:header="709" w:footer="709" w:gutter="0"/>
          <w:cols w:space="708"/>
          <w:docGrid w:linePitch="360"/>
        </w:sectPr>
      </w:pPr>
    </w:p>
    <w:p w:rsidR="008D76BF" w:rsidRPr="005D50C1" w:rsidRDefault="008D76BF" w:rsidP="00750ECD">
      <w:pPr>
        <w:pStyle w:val="ListParagraph"/>
        <w:tabs>
          <w:tab w:val="left" w:pos="720"/>
        </w:tabs>
        <w:kinsoku w:val="0"/>
        <w:overflowPunct w:val="0"/>
        <w:autoSpaceDE w:val="0"/>
        <w:autoSpaceDN w:val="0"/>
        <w:adjustRightInd w:val="0"/>
        <w:snapToGrid w:val="0"/>
        <w:spacing w:line="240" w:lineRule="atLeast"/>
        <w:ind w:left="0" w:firstLine="0"/>
        <w:jc w:val="center"/>
        <w:rPr>
          <w:rFonts w:ascii="SimSun" w:hAnsi="SimSun"/>
          <w:b/>
          <w:snapToGrid w:val="0"/>
          <w:color w:val="000000"/>
          <w:kern w:val="22"/>
          <w:lang w:eastAsia="zh-CN"/>
        </w:rPr>
      </w:pPr>
      <w:r w:rsidRPr="001E6973">
        <w:rPr>
          <w:rFonts w:ascii="KaiTi" w:eastAsia="KaiTi" w:hAnsi="KaiTi" w:hint="eastAsia"/>
          <w:kern w:val="22"/>
          <w:lang w:val="en-CA" w:eastAsia="zh-CN"/>
        </w:rPr>
        <w:lastRenderedPageBreak/>
        <w:t>附件一</w:t>
      </w:r>
    </w:p>
    <w:p w:rsidR="008D76BF" w:rsidRPr="008428A2" w:rsidRDefault="008D76BF" w:rsidP="00750ECD">
      <w:pPr>
        <w:tabs>
          <w:tab w:val="left" w:pos="720"/>
        </w:tabs>
        <w:ind w:firstLine="0"/>
        <w:jc w:val="center"/>
        <w:rPr>
          <w:rFonts w:ascii="SimSun" w:hAnsi="SimSun"/>
          <w:color w:val="000080"/>
          <w:lang w:eastAsia="zh-CN"/>
        </w:rPr>
      </w:pPr>
      <w:r w:rsidRPr="008428A2">
        <w:rPr>
          <w:rFonts w:ascii="SimSun" w:eastAsia="SimSun" w:hAnsi="SimSun" w:cs="SimSun" w:hint="eastAsia"/>
          <w:b/>
          <w:color w:val="212121"/>
          <w:shd w:val="clear" w:color="auto" w:fill="FFFFFF"/>
          <w:lang w:eastAsia="zh-CN"/>
        </w:rPr>
        <w:t>派代表出席缔约方大会第十四届会议、作为卡塔赫纳生物安全议定书缔约方会议的</w:t>
      </w:r>
      <w:r>
        <w:rPr>
          <w:rFonts w:ascii="SimSun" w:hAnsi="SimSun"/>
          <w:b/>
          <w:color w:val="212121"/>
          <w:shd w:val="clear" w:color="auto" w:fill="FFFFFF"/>
          <w:lang w:eastAsia="zh-CN"/>
        </w:rPr>
        <w:br/>
      </w:r>
      <w:r w:rsidRPr="008428A2">
        <w:rPr>
          <w:rFonts w:ascii="SimSun" w:eastAsia="SimSun" w:hAnsi="SimSun" w:cs="SimSun" w:hint="eastAsia"/>
          <w:b/>
          <w:color w:val="212121"/>
          <w:shd w:val="clear" w:color="auto" w:fill="FFFFFF"/>
          <w:lang w:eastAsia="zh-CN"/>
        </w:rPr>
        <w:t>缔约方大会第九次会议和作为获取和惠益分享名古屋议定书缔约方会议的</w:t>
      </w:r>
      <w:r>
        <w:rPr>
          <w:rFonts w:ascii="SimSun" w:hAnsi="SimSun"/>
          <w:b/>
          <w:color w:val="212121"/>
          <w:shd w:val="clear" w:color="auto" w:fill="FFFFFF"/>
          <w:lang w:eastAsia="zh-CN"/>
        </w:rPr>
        <w:br/>
      </w:r>
      <w:r w:rsidRPr="008428A2">
        <w:rPr>
          <w:rFonts w:ascii="SimSun" w:eastAsia="SimSun" w:hAnsi="SimSun" w:cs="SimSun" w:hint="eastAsia"/>
          <w:b/>
          <w:color w:val="212121"/>
          <w:shd w:val="clear" w:color="auto" w:fill="FFFFFF"/>
          <w:lang w:eastAsia="zh-CN"/>
        </w:rPr>
        <w:t>缔约方大会第三次会议的组织</w:t>
      </w:r>
    </w:p>
    <w:bookmarkEnd w:id="259"/>
    <w:p w:rsidR="007B09C6" w:rsidRDefault="007B09C6" w:rsidP="007B09C6">
      <w:pPr>
        <w:pStyle w:val="Para1"/>
        <w:tabs>
          <w:tab w:val="clear" w:pos="360"/>
        </w:tabs>
        <w:ind w:firstLine="0"/>
        <w:jc w:val="center"/>
        <w:rPr>
          <w:rFonts w:eastAsiaTheme="minorEastAsia"/>
          <w:b/>
          <w:color w:val="212121"/>
          <w:sz w:val="24"/>
          <w:szCs w:val="24"/>
          <w:shd w:val="clear" w:color="auto" w:fill="FFFFFF"/>
          <w:lang w:eastAsia="zh-CN"/>
        </w:rPr>
      </w:pPr>
      <w:r w:rsidRPr="007B09C6">
        <w:rPr>
          <w:rFonts w:eastAsiaTheme="minorEastAsia"/>
          <w:b/>
          <w:color w:val="212121"/>
          <w:sz w:val="24"/>
          <w:szCs w:val="24"/>
          <w:shd w:val="clear" w:color="auto" w:fill="FFFFFF"/>
          <w:lang w:eastAsia="zh-CN"/>
        </w:rPr>
        <w:t xml:space="preserve">A. </w:t>
      </w:r>
      <w:r>
        <w:rPr>
          <w:rFonts w:eastAsiaTheme="minorEastAsia"/>
          <w:b/>
          <w:color w:val="212121"/>
          <w:sz w:val="24"/>
          <w:szCs w:val="24"/>
          <w:shd w:val="clear" w:color="auto" w:fill="FFFFFF"/>
          <w:lang w:eastAsia="zh-CN"/>
        </w:rPr>
        <w:t xml:space="preserve">   </w:t>
      </w:r>
      <w:r>
        <w:rPr>
          <w:rFonts w:eastAsiaTheme="minorEastAsia" w:hint="eastAsia"/>
          <w:b/>
          <w:color w:val="212121"/>
          <w:sz w:val="24"/>
          <w:szCs w:val="24"/>
          <w:shd w:val="clear" w:color="auto" w:fill="FFFFFF"/>
          <w:lang w:eastAsia="zh-CN"/>
        </w:rPr>
        <w:t>秘书处</w:t>
      </w:r>
      <w:r>
        <w:rPr>
          <w:rFonts w:eastAsiaTheme="minorEastAsia"/>
          <w:b/>
          <w:color w:val="212121"/>
          <w:sz w:val="24"/>
          <w:szCs w:val="24"/>
          <w:shd w:val="clear" w:color="auto" w:fill="FFFFFF"/>
          <w:lang w:eastAsia="zh-CN"/>
        </w:rPr>
        <w:t>各单位、联合国方案和专门机构、公约和其他协定</w:t>
      </w:r>
    </w:p>
    <w:p w:rsidR="00606D6C" w:rsidRDefault="00606D6C" w:rsidP="00F23A43">
      <w:pPr>
        <w:spacing w:before="0" w:after="0"/>
        <w:ind w:left="288" w:hanging="288"/>
        <w:jc w:val="left"/>
        <w:rPr>
          <w:rFonts w:eastAsiaTheme="minorEastAsia"/>
          <w:kern w:val="22"/>
          <w:lang w:eastAsia="zh-CN"/>
        </w:rPr>
        <w:sectPr w:rsidR="00606D6C" w:rsidSect="00D74E33">
          <w:type w:val="continuous"/>
          <w:pgSz w:w="12240" w:h="15840"/>
          <w:pgMar w:top="567" w:right="1389" w:bottom="1134" w:left="1389" w:header="709" w:footer="709" w:gutter="0"/>
          <w:cols w:space="708"/>
          <w:docGrid w:linePitch="360"/>
        </w:sectPr>
      </w:pPr>
    </w:p>
    <w:p w:rsidR="00F23A43" w:rsidRPr="0084103D" w:rsidRDefault="00F23A43" w:rsidP="00F23A43">
      <w:pPr>
        <w:spacing w:before="0" w:after="0"/>
        <w:ind w:left="288" w:hanging="288"/>
        <w:jc w:val="left"/>
        <w:rPr>
          <w:rFonts w:eastAsiaTheme="minorEastAsia"/>
          <w:kern w:val="22"/>
          <w:lang w:eastAsia="zh-CN"/>
        </w:rPr>
      </w:pPr>
      <w:r w:rsidRPr="0084103D">
        <w:rPr>
          <w:rFonts w:eastAsiaTheme="minorEastAsia" w:hint="eastAsia"/>
          <w:kern w:val="22"/>
          <w:lang w:eastAsia="zh-CN"/>
        </w:rPr>
        <w:lastRenderedPageBreak/>
        <w:t>濒危野生动植物物种国际贸易公约</w:t>
      </w:r>
    </w:p>
    <w:p w:rsidR="00F23A43" w:rsidRPr="0084103D" w:rsidRDefault="00F23A43" w:rsidP="00F23A43">
      <w:pPr>
        <w:spacing w:before="0" w:after="0"/>
        <w:ind w:left="288" w:hanging="288"/>
        <w:jc w:val="left"/>
        <w:rPr>
          <w:rFonts w:eastAsiaTheme="minorEastAsia"/>
          <w:kern w:val="22"/>
          <w:lang w:eastAsia="zh-CN"/>
        </w:rPr>
      </w:pPr>
      <w:r w:rsidRPr="0084103D">
        <w:rPr>
          <w:rFonts w:eastAsiaTheme="minorEastAsia" w:hint="eastAsia"/>
          <w:kern w:val="22"/>
          <w:lang w:eastAsia="zh-CN"/>
        </w:rPr>
        <w:t>联合国</w:t>
      </w:r>
      <w:r w:rsidRPr="0084103D">
        <w:rPr>
          <w:rFonts w:eastAsiaTheme="minorEastAsia"/>
          <w:kern w:val="22"/>
          <w:lang w:eastAsia="zh-CN"/>
        </w:rPr>
        <w:t>粮食及农业组织</w:t>
      </w:r>
    </w:p>
    <w:p w:rsidR="00F23A43" w:rsidRPr="0084103D" w:rsidRDefault="00F23A43" w:rsidP="00F23A43">
      <w:pPr>
        <w:spacing w:before="0" w:after="0"/>
        <w:ind w:left="288" w:hanging="288"/>
        <w:jc w:val="left"/>
        <w:rPr>
          <w:rFonts w:eastAsiaTheme="minorEastAsia"/>
          <w:kern w:val="22"/>
          <w:lang w:eastAsia="zh-CN"/>
        </w:rPr>
      </w:pPr>
      <w:r w:rsidRPr="0084103D">
        <w:rPr>
          <w:rFonts w:eastAsiaTheme="minorEastAsia" w:hint="eastAsia"/>
          <w:kern w:val="22"/>
          <w:lang w:eastAsia="zh-CN"/>
        </w:rPr>
        <w:t>全球环境基金</w:t>
      </w:r>
    </w:p>
    <w:p w:rsidR="00F23A43" w:rsidRPr="0084103D" w:rsidRDefault="00F23A43" w:rsidP="00F23A43">
      <w:pPr>
        <w:spacing w:before="0" w:after="0"/>
        <w:ind w:left="288" w:hanging="288"/>
        <w:jc w:val="left"/>
        <w:rPr>
          <w:rFonts w:eastAsiaTheme="minorEastAsia"/>
          <w:kern w:val="22"/>
          <w:lang w:eastAsia="zh-CN"/>
        </w:rPr>
      </w:pPr>
      <w:r w:rsidRPr="0084103D">
        <w:rPr>
          <w:rFonts w:eastAsiaTheme="minorEastAsia" w:hint="eastAsia"/>
          <w:kern w:val="22"/>
          <w:lang w:eastAsia="zh-CN"/>
        </w:rPr>
        <w:t>阿伦达尔全球资源数据库</w:t>
      </w:r>
    </w:p>
    <w:p w:rsidR="00F23A43" w:rsidRPr="0084103D" w:rsidRDefault="00A65C60" w:rsidP="00F23A43">
      <w:pPr>
        <w:spacing w:before="0" w:after="0"/>
        <w:ind w:left="288" w:hanging="288"/>
        <w:jc w:val="left"/>
        <w:rPr>
          <w:rFonts w:eastAsiaTheme="minorEastAsia"/>
          <w:kern w:val="22"/>
          <w:lang w:eastAsia="zh-CN"/>
        </w:rPr>
      </w:pPr>
      <w:r>
        <w:rPr>
          <w:rFonts w:eastAsiaTheme="minorEastAsia" w:hint="eastAsia"/>
          <w:kern w:val="22"/>
          <w:lang w:eastAsia="zh-CN"/>
        </w:rPr>
        <w:t>生物多样性和生态系统服务政府间科学政策平台</w:t>
      </w:r>
    </w:p>
    <w:p w:rsidR="00F23A43" w:rsidRPr="0084103D" w:rsidRDefault="00F23A43" w:rsidP="00F23A43">
      <w:pPr>
        <w:spacing w:before="0" w:after="0"/>
        <w:ind w:left="288" w:hanging="288"/>
        <w:jc w:val="left"/>
        <w:rPr>
          <w:rFonts w:eastAsiaTheme="minorEastAsia"/>
          <w:kern w:val="22"/>
          <w:lang w:eastAsia="zh-CN"/>
        </w:rPr>
      </w:pPr>
      <w:r w:rsidRPr="0084103D">
        <w:rPr>
          <w:rFonts w:eastAsiaTheme="minorEastAsia" w:hint="eastAsia"/>
          <w:kern w:val="22"/>
          <w:lang w:eastAsia="zh-CN"/>
        </w:rPr>
        <w:t>国际金融公司</w:t>
      </w:r>
      <w:r w:rsidRPr="0084103D">
        <w:rPr>
          <w:rFonts w:eastAsiaTheme="minorEastAsia"/>
          <w:kern w:val="22"/>
          <w:lang w:eastAsia="zh-CN"/>
        </w:rPr>
        <w:t>——</w:t>
      </w:r>
      <w:r w:rsidRPr="0084103D">
        <w:rPr>
          <w:rFonts w:eastAsiaTheme="minorEastAsia"/>
          <w:kern w:val="22"/>
          <w:lang w:eastAsia="zh-CN"/>
        </w:rPr>
        <w:t>世界银行集团</w:t>
      </w:r>
    </w:p>
    <w:p w:rsidR="00F23A43" w:rsidRPr="0084103D" w:rsidRDefault="00F23A43" w:rsidP="00F23A43">
      <w:pPr>
        <w:spacing w:before="0" w:after="0"/>
        <w:ind w:left="288" w:hanging="288"/>
        <w:jc w:val="left"/>
        <w:rPr>
          <w:rFonts w:eastAsiaTheme="minorEastAsia"/>
          <w:kern w:val="22"/>
          <w:lang w:eastAsia="zh-CN"/>
        </w:rPr>
      </w:pPr>
      <w:r w:rsidRPr="0084103D">
        <w:rPr>
          <w:rFonts w:eastAsiaTheme="minorEastAsia" w:hint="eastAsia"/>
          <w:kern w:val="22"/>
          <w:lang w:eastAsia="zh-CN"/>
        </w:rPr>
        <w:t>国际</w:t>
      </w:r>
      <w:r w:rsidRPr="0084103D">
        <w:rPr>
          <w:rFonts w:eastAsiaTheme="minorEastAsia"/>
          <w:kern w:val="22"/>
          <w:lang w:eastAsia="zh-CN"/>
        </w:rPr>
        <w:t>农业开发</w:t>
      </w:r>
      <w:r w:rsidRPr="0084103D">
        <w:rPr>
          <w:rFonts w:eastAsiaTheme="minorEastAsia" w:hint="eastAsia"/>
          <w:kern w:val="22"/>
          <w:lang w:eastAsia="zh-CN"/>
        </w:rPr>
        <w:t>基金</w:t>
      </w:r>
    </w:p>
    <w:p w:rsidR="00F23A43" w:rsidRPr="0084103D" w:rsidRDefault="00F23A43" w:rsidP="00F23A43">
      <w:pPr>
        <w:spacing w:before="0" w:after="0"/>
        <w:ind w:left="288" w:hanging="288"/>
        <w:jc w:val="left"/>
        <w:rPr>
          <w:rFonts w:eastAsiaTheme="minorEastAsia"/>
          <w:kern w:val="22"/>
          <w:lang w:eastAsia="zh-CN"/>
        </w:rPr>
      </w:pPr>
      <w:r w:rsidRPr="0084103D">
        <w:rPr>
          <w:rFonts w:eastAsiaTheme="minorEastAsia" w:hint="eastAsia"/>
          <w:kern w:val="22"/>
          <w:lang w:eastAsia="zh-CN"/>
        </w:rPr>
        <w:t>国际</w:t>
      </w:r>
      <w:r w:rsidRPr="0084103D">
        <w:rPr>
          <w:rFonts w:eastAsiaTheme="minorEastAsia"/>
          <w:kern w:val="22"/>
          <w:lang w:eastAsia="zh-CN"/>
        </w:rPr>
        <w:t>植物保护公约秘书处</w:t>
      </w:r>
    </w:p>
    <w:p w:rsidR="00F23A43" w:rsidRDefault="00F23A43" w:rsidP="00F23A43">
      <w:pPr>
        <w:spacing w:before="0" w:after="0"/>
        <w:ind w:left="288" w:hanging="288"/>
        <w:jc w:val="left"/>
        <w:rPr>
          <w:rFonts w:eastAsiaTheme="minorEastAsia"/>
          <w:kern w:val="22"/>
          <w:lang w:eastAsia="zh-CN"/>
        </w:rPr>
      </w:pPr>
      <w:r w:rsidRPr="0084103D">
        <w:rPr>
          <w:rFonts w:eastAsiaTheme="minorEastAsia" w:hint="eastAsia"/>
          <w:kern w:val="22"/>
          <w:lang w:eastAsia="zh-CN"/>
        </w:rPr>
        <w:t>喀尔巴阡山脉</w:t>
      </w:r>
      <w:r>
        <w:rPr>
          <w:rFonts w:eastAsiaTheme="minorEastAsia" w:hint="eastAsia"/>
          <w:kern w:val="22"/>
          <w:lang w:eastAsia="zh-CN"/>
        </w:rPr>
        <w:t>公约</w:t>
      </w:r>
      <w:r>
        <w:rPr>
          <w:rFonts w:eastAsiaTheme="minorEastAsia"/>
          <w:kern w:val="22"/>
          <w:lang w:eastAsia="zh-CN"/>
        </w:rPr>
        <w:t>秘书处</w:t>
      </w:r>
    </w:p>
    <w:p w:rsidR="00F23A43" w:rsidRDefault="00F23A43" w:rsidP="00F23A43">
      <w:pPr>
        <w:spacing w:before="0" w:after="0"/>
        <w:ind w:left="288" w:hanging="288"/>
        <w:jc w:val="left"/>
        <w:rPr>
          <w:rFonts w:eastAsiaTheme="minorEastAsia"/>
          <w:kern w:val="22"/>
          <w:lang w:eastAsia="zh-CN"/>
        </w:rPr>
      </w:pPr>
      <w:r>
        <w:rPr>
          <w:rFonts w:eastAsiaTheme="minorEastAsia" w:hint="eastAsia"/>
          <w:kern w:val="22"/>
          <w:lang w:eastAsia="zh-CN"/>
        </w:rPr>
        <w:t>世界银行</w:t>
      </w:r>
    </w:p>
    <w:p w:rsidR="00F23A43" w:rsidRDefault="00F23A43" w:rsidP="00F23A43">
      <w:pPr>
        <w:spacing w:before="0" w:after="0"/>
        <w:ind w:left="288" w:hanging="288"/>
        <w:jc w:val="left"/>
        <w:rPr>
          <w:rFonts w:eastAsiaTheme="minorEastAsia"/>
          <w:kern w:val="22"/>
          <w:lang w:eastAsia="zh-CN"/>
        </w:rPr>
      </w:pPr>
      <w:r>
        <w:rPr>
          <w:rFonts w:eastAsiaTheme="minorEastAsia" w:hint="eastAsia"/>
          <w:kern w:val="22"/>
          <w:lang w:eastAsia="zh-CN"/>
        </w:rPr>
        <w:t>联合国</w:t>
      </w:r>
      <w:r>
        <w:rPr>
          <w:rFonts w:eastAsiaTheme="minorEastAsia"/>
          <w:kern w:val="22"/>
          <w:lang w:eastAsia="zh-CN"/>
        </w:rPr>
        <w:t>妇女署</w:t>
      </w:r>
    </w:p>
    <w:p w:rsidR="00F23A43" w:rsidRDefault="00F23A43" w:rsidP="00F23A43">
      <w:pPr>
        <w:spacing w:before="0" w:after="0"/>
        <w:ind w:left="288" w:hanging="288"/>
        <w:jc w:val="left"/>
        <w:rPr>
          <w:rFonts w:eastAsiaTheme="minorEastAsia"/>
          <w:kern w:val="22"/>
          <w:lang w:eastAsia="zh-CN"/>
        </w:rPr>
      </w:pPr>
      <w:r>
        <w:rPr>
          <w:rFonts w:eastAsiaTheme="minorEastAsia" w:hint="eastAsia"/>
          <w:kern w:val="22"/>
          <w:lang w:eastAsia="zh-CN"/>
        </w:rPr>
        <w:t>联合国</w:t>
      </w:r>
    </w:p>
    <w:p w:rsidR="00F23A43" w:rsidRDefault="00F23A43" w:rsidP="00F23A43">
      <w:pPr>
        <w:spacing w:before="0" w:after="0"/>
        <w:ind w:left="288" w:hanging="288"/>
        <w:jc w:val="left"/>
        <w:rPr>
          <w:rFonts w:eastAsiaTheme="minorEastAsia"/>
          <w:kern w:val="22"/>
          <w:lang w:eastAsia="zh-CN"/>
        </w:rPr>
      </w:pPr>
      <w:r>
        <w:rPr>
          <w:rFonts w:eastAsiaTheme="minorEastAsia" w:hint="eastAsia"/>
          <w:kern w:val="22"/>
          <w:lang w:eastAsia="zh-CN"/>
        </w:rPr>
        <w:t>联合国</w:t>
      </w:r>
      <w:r>
        <w:rPr>
          <w:rFonts w:eastAsiaTheme="minorEastAsia"/>
          <w:kern w:val="22"/>
          <w:lang w:eastAsia="zh-CN"/>
        </w:rPr>
        <w:t>贸易和发展会议</w:t>
      </w:r>
    </w:p>
    <w:p w:rsidR="00F23A43" w:rsidRDefault="00F23A43" w:rsidP="00F23A43">
      <w:pPr>
        <w:spacing w:before="0" w:after="0"/>
        <w:ind w:left="288" w:hanging="288"/>
        <w:jc w:val="left"/>
        <w:rPr>
          <w:rFonts w:eastAsiaTheme="minorEastAsia"/>
          <w:kern w:val="22"/>
          <w:lang w:eastAsia="zh-CN"/>
        </w:rPr>
      </w:pPr>
      <w:r>
        <w:rPr>
          <w:rFonts w:eastAsiaTheme="minorEastAsia" w:hint="eastAsia"/>
          <w:kern w:val="22"/>
          <w:lang w:eastAsia="zh-CN"/>
        </w:rPr>
        <w:lastRenderedPageBreak/>
        <w:t>联合国</w:t>
      </w:r>
      <w:r>
        <w:rPr>
          <w:rFonts w:eastAsiaTheme="minorEastAsia"/>
          <w:kern w:val="22"/>
          <w:lang w:eastAsia="zh-CN"/>
        </w:rPr>
        <w:t>防治荒漠化公约</w:t>
      </w:r>
    </w:p>
    <w:p w:rsidR="00F23A43" w:rsidRDefault="00F23A43" w:rsidP="00F23A43">
      <w:pPr>
        <w:spacing w:before="0" w:after="0"/>
        <w:ind w:left="288" w:hanging="288"/>
        <w:jc w:val="left"/>
        <w:rPr>
          <w:rFonts w:eastAsiaTheme="minorEastAsia"/>
          <w:kern w:val="22"/>
          <w:lang w:eastAsia="zh-CN"/>
        </w:rPr>
      </w:pPr>
      <w:r>
        <w:rPr>
          <w:rFonts w:eastAsiaTheme="minorEastAsia" w:hint="eastAsia"/>
          <w:kern w:val="22"/>
          <w:lang w:eastAsia="zh-CN"/>
        </w:rPr>
        <w:t>联合国</w:t>
      </w:r>
      <w:r>
        <w:rPr>
          <w:rFonts w:eastAsiaTheme="minorEastAsia"/>
          <w:kern w:val="22"/>
          <w:lang w:eastAsia="zh-CN"/>
        </w:rPr>
        <w:t>开发计划署</w:t>
      </w:r>
    </w:p>
    <w:p w:rsidR="00F23A43" w:rsidRDefault="00F23A43" w:rsidP="00F23A43">
      <w:pPr>
        <w:spacing w:before="0" w:after="0"/>
        <w:ind w:left="288" w:hanging="288"/>
        <w:jc w:val="left"/>
        <w:rPr>
          <w:rFonts w:eastAsiaTheme="minorEastAsia"/>
          <w:kern w:val="22"/>
          <w:lang w:eastAsia="zh-CN"/>
        </w:rPr>
      </w:pPr>
      <w:r>
        <w:rPr>
          <w:rFonts w:eastAsiaTheme="minorEastAsia" w:hint="eastAsia"/>
          <w:kern w:val="22"/>
          <w:lang w:eastAsia="zh-CN"/>
        </w:rPr>
        <w:t>联合国环境署</w:t>
      </w:r>
    </w:p>
    <w:p w:rsidR="00F23A43" w:rsidRDefault="00F23A43" w:rsidP="00F23A43">
      <w:pPr>
        <w:spacing w:before="0" w:after="0"/>
        <w:ind w:left="288" w:hanging="288"/>
        <w:jc w:val="left"/>
        <w:rPr>
          <w:rFonts w:eastAsiaTheme="minorEastAsia"/>
          <w:kern w:val="22"/>
          <w:lang w:eastAsia="zh-CN"/>
        </w:rPr>
      </w:pPr>
      <w:r>
        <w:rPr>
          <w:rFonts w:eastAsiaTheme="minorEastAsia" w:hint="eastAsia"/>
          <w:kern w:val="22"/>
          <w:lang w:eastAsia="zh-CN"/>
        </w:rPr>
        <w:t>联合国</w:t>
      </w:r>
      <w:r w:rsidRPr="0084103D">
        <w:rPr>
          <w:rFonts w:eastAsiaTheme="minorEastAsia" w:hint="eastAsia"/>
          <w:kern w:val="22"/>
          <w:lang w:eastAsia="zh-CN"/>
        </w:rPr>
        <w:t>西亚经济社会委员会</w:t>
      </w:r>
    </w:p>
    <w:p w:rsidR="00F23A43" w:rsidRDefault="00F23A43" w:rsidP="00F23A43">
      <w:pPr>
        <w:spacing w:before="0" w:after="0"/>
        <w:ind w:left="288" w:hanging="288"/>
        <w:jc w:val="left"/>
        <w:rPr>
          <w:rFonts w:eastAsiaTheme="minorEastAsia"/>
          <w:kern w:val="22"/>
          <w:lang w:eastAsia="zh-CN"/>
        </w:rPr>
      </w:pPr>
      <w:r>
        <w:rPr>
          <w:rFonts w:eastAsiaTheme="minorEastAsia" w:hint="eastAsia"/>
          <w:kern w:val="22"/>
          <w:lang w:eastAsia="zh-CN"/>
        </w:rPr>
        <w:t>联合国</w:t>
      </w:r>
      <w:r>
        <w:rPr>
          <w:rFonts w:eastAsiaTheme="minorEastAsia"/>
          <w:kern w:val="22"/>
          <w:lang w:eastAsia="zh-CN"/>
        </w:rPr>
        <w:t>教育、文化和科学组织</w:t>
      </w:r>
    </w:p>
    <w:p w:rsidR="00F23A43" w:rsidRDefault="00F23A43" w:rsidP="00F23A43">
      <w:pPr>
        <w:spacing w:before="0" w:after="0"/>
        <w:ind w:left="288" w:hanging="288"/>
        <w:jc w:val="left"/>
        <w:rPr>
          <w:rFonts w:eastAsiaTheme="minorEastAsia"/>
          <w:kern w:val="22"/>
          <w:lang w:eastAsia="zh-CN"/>
        </w:rPr>
      </w:pPr>
      <w:r>
        <w:rPr>
          <w:rFonts w:eastAsiaTheme="minorEastAsia" w:hint="eastAsia"/>
          <w:kern w:val="22"/>
          <w:lang w:eastAsia="zh-CN"/>
        </w:rPr>
        <w:t>联合国</w:t>
      </w:r>
      <w:r>
        <w:rPr>
          <w:rFonts w:eastAsiaTheme="minorEastAsia"/>
          <w:kern w:val="22"/>
          <w:lang w:eastAsia="zh-CN"/>
        </w:rPr>
        <w:t>森林论坛</w:t>
      </w:r>
    </w:p>
    <w:p w:rsidR="00F23A43" w:rsidRDefault="00F23A43" w:rsidP="00F23A43">
      <w:pPr>
        <w:spacing w:before="0" w:after="0"/>
        <w:ind w:left="288" w:hanging="288"/>
        <w:jc w:val="left"/>
        <w:rPr>
          <w:rFonts w:eastAsiaTheme="minorEastAsia"/>
          <w:kern w:val="22"/>
          <w:lang w:eastAsia="zh-CN"/>
        </w:rPr>
      </w:pPr>
      <w:r>
        <w:rPr>
          <w:rFonts w:eastAsiaTheme="minorEastAsia" w:hint="eastAsia"/>
          <w:kern w:val="22"/>
          <w:lang w:eastAsia="zh-CN"/>
        </w:rPr>
        <w:t>联合国</w:t>
      </w:r>
      <w:r>
        <w:rPr>
          <w:rFonts w:eastAsiaTheme="minorEastAsia"/>
          <w:kern w:val="22"/>
          <w:lang w:eastAsia="zh-CN"/>
        </w:rPr>
        <w:t>气候变化框架公约</w:t>
      </w:r>
    </w:p>
    <w:p w:rsidR="00F23A43" w:rsidRPr="0084103D" w:rsidRDefault="00F23A43" w:rsidP="00F23A43">
      <w:pPr>
        <w:spacing w:before="0" w:after="0"/>
        <w:ind w:left="288" w:hanging="288"/>
        <w:jc w:val="left"/>
        <w:rPr>
          <w:rFonts w:eastAsiaTheme="minorEastAsia"/>
          <w:kern w:val="22"/>
          <w:lang w:eastAsia="zh-CN"/>
        </w:rPr>
      </w:pPr>
      <w:r w:rsidRPr="0084103D">
        <w:rPr>
          <w:rFonts w:eastAsiaTheme="minorEastAsia" w:hint="eastAsia"/>
          <w:kern w:val="22"/>
          <w:lang w:eastAsia="zh-CN"/>
        </w:rPr>
        <w:t>联合国人类住区规划署</w:t>
      </w:r>
    </w:p>
    <w:p w:rsidR="00F23A43" w:rsidRPr="0084103D" w:rsidRDefault="00F23A43" w:rsidP="00F23A43">
      <w:pPr>
        <w:spacing w:before="0" w:after="0"/>
        <w:ind w:left="288" w:hanging="288"/>
        <w:jc w:val="left"/>
        <w:rPr>
          <w:rFonts w:eastAsiaTheme="minorEastAsia"/>
          <w:kern w:val="22"/>
          <w:lang w:eastAsia="zh-CN"/>
        </w:rPr>
      </w:pPr>
      <w:r w:rsidRPr="0084103D">
        <w:rPr>
          <w:rFonts w:eastAsiaTheme="minorEastAsia" w:hint="eastAsia"/>
          <w:kern w:val="22"/>
          <w:lang w:eastAsia="zh-CN"/>
        </w:rPr>
        <w:t>联合国工业发展组织</w:t>
      </w:r>
    </w:p>
    <w:p w:rsidR="00F23A43" w:rsidRDefault="00F23A43" w:rsidP="00F23A43">
      <w:pPr>
        <w:spacing w:before="0" w:after="0"/>
        <w:ind w:left="288" w:hanging="288"/>
        <w:jc w:val="left"/>
        <w:rPr>
          <w:rFonts w:eastAsiaTheme="minorEastAsia"/>
          <w:kern w:val="22"/>
          <w:lang w:eastAsia="zh-CN"/>
        </w:rPr>
      </w:pPr>
      <w:r>
        <w:rPr>
          <w:rFonts w:eastAsiaTheme="minorEastAsia" w:hint="eastAsia"/>
          <w:kern w:val="22"/>
          <w:lang w:eastAsia="zh-CN"/>
        </w:rPr>
        <w:t>联合国</w:t>
      </w:r>
      <w:r>
        <w:rPr>
          <w:rFonts w:eastAsiaTheme="minorEastAsia"/>
          <w:kern w:val="22"/>
          <w:lang w:eastAsia="zh-CN"/>
        </w:rPr>
        <w:t>项目事务厅</w:t>
      </w:r>
    </w:p>
    <w:p w:rsidR="00F23A43" w:rsidRPr="0084103D" w:rsidRDefault="00F23A43" w:rsidP="00F23A43">
      <w:pPr>
        <w:spacing w:before="0" w:after="0"/>
        <w:ind w:left="288" w:hanging="288"/>
        <w:jc w:val="left"/>
        <w:rPr>
          <w:rFonts w:eastAsiaTheme="minorEastAsia"/>
          <w:kern w:val="22"/>
          <w:lang w:eastAsia="zh-CN"/>
        </w:rPr>
      </w:pPr>
      <w:r w:rsidRPr="0084103D">
        <w:rPr>
          <w:rFonts w:eastAsiaTheme="minorEastAsia" w:hint="eastAsia"/>
          <w:kern w:val="22"/>
          <w:lang w:eastAsia="zh-CN"/>
        </w:rPr>
        <w:t>联合国大学可持续性问题高级研究所</w:t>
      </w:r>
    </w:p>
    <w:p w:rsidR="00F23A43" w:rsidRDefault="00F23A43" w:rsidP="00F23A43">
      <w:pPr>
        <w:spacing w:before="0" w:after="0"/>
        <w:ind w:left="288" w:hanging="288"/>
        <w:jc w:val="left"/>
        <w:rPr>
          <w:rFonts w:eastAsiaTheme="minorEastAsia"/>
          <w:kern w:val="22"/>
          <w:lang w:eastAsia="zh-CN"/>
        </w:rPr>
      </w:pPr>
      <w:r>
        <w:rPr>
          <w:rFonts w:eastAsiaTheme="minorEastAsia" w:hint="eastAsia"/>
          <w:kern w:val="22"/>
          <w:lang w:eastAsia="zh-CN"/>
        </w:rPr>
        <w:t>联合国志愿人员</w:t>
      </w:r>
    </w:p>
    <w:p w:rsidR="00F23A43" w:rsidRDefault="00F23A43" w:rsidP="002D379A">
      <w:pPr>
        <w:spacing w:before="0" w:after="0"/>
        <w:ind w:left="288" w:hanging="288"/>
        <w:jc w:val="left"/>
        <w:rPr>
          <w:rFonts w:eastAsiaTheme="minorEastAsia"/>
          <w:kern w:val="22"/>
          <w:lang w:eastAsia="zh-CN"/>
        </w:rPr>
      </w:pPr>
      <w:r>
        <w:rPr>
          <w:rFonts w:eastAsiaTheme="minorEastAsia" w:hint="eastAsia"/>
          <w:kern w:val="22"/>
          <w:lang w:eastAsia="zh-CN"/>
        </w:rPr>
        <w:t>世界卫生组织</w:t>
      </w:r>
    </w:p>
    <w:p w:rsidR="00606D6C" w:rsidRDefault="00606D6C" w:rsidP="00B55836">
      <w:pPr>
        <w:pStyle w:val="Para1"/>
        <w:tabs>
          <w:tab w:val="clear" w:pos="360"/>
        </w:tabs>
        <w:ind w:firstLine="0"/>
        <w:jc w:val="center"/>
        <w:rPr>
          <w:rFonts w:eastAsiaTheme="minorEastAsia"/>
          <w:b/>
          <w:color w:val="212121"/>
          <w:sz w:val="24"/>
          <w:szCs w:val="24"/>
          <w:shd w:val="clear" w:color="auto" w:fill="FFFFFF"/>
          <w:lang w:eastAsia="zh-CN"/>
        </w:rPr>
        <w:sectPr w:rsidR="00606D6C" w:rsidSect="00606D6C">
          <w:type w:val="continuous"/>
          <w:pgSz w:w="12240" w:h="15840"/>
          <w:pgMar w:top="567" w:right="1389" w:bottom="1134" w:left="1389" w:header="709" w:footer="709" w:gutter="0"/>
          <w:cols w:num="2" w:space="708"/>
          <w:docGrid w:linePitch="360"/>
        </w:sectPr>
      </w:pPr>
    </w:p>
    <w:p w:rsidR="00F23A43" w:rsidRDefault="007B09C6" w:rsidP="00B55836">
      <w:pPr>
        <w:pStyle w:val="Para1"/>
        <w:tabs>
          <w:tab w:val="clear" w:pos="360"/>
        </w:tabs>
        <w:ind w:firstLine="0"/>
        <w:jc w:val="center"/>
        <w:rPr>
          <w:rFonts w:eastAsiaTheme="minorEastAsia"/>
          <w:b/>
          <w:color w:val="212121"/>
          <w:sz w:val="24"/>
          <w:szCs w:val="24"/>
          <w:shd w:val="clear" w:color="auto" w:fill="FFFFFF"/>
          <w:lang w:eastAsia="zh-CN"/>
        </w:rPr>
      </w:pPr>
      <w:r w:rsidRPr="007B09C6">
        <w:rPr>
          <w:rFonts w:eastAsiaTheme="minorEastAsia"/>
          <w:b/>
          <w:color w:val="212121"/>
          <w:sz w:val="24"/>
          <w:szCs w:val="24"/>
          <w:shd w:val="clear" w:color="auto" w:fill="FFFFFF"/>
          <w:lang w:eastAsia="zh-CN"/>
        </w:rPr>
        <w:lastRenderedPageBreak/>
        <w:t xml:space="preserve">B. </w:t>
      </w:r>
      <w:r>
        <w:rPr>
          <w:rFonts w:eastAsiaTheme="minorEastAsia"/>
          <w:b/>
          <w:color w:val="212121"/>
          <w:sz w:val="24"/>
          <w:szCs w:val="24"/>
          <w:shd w:val="clear" w:color="auto" w:fill="FFFFFF"/>
          <w:lang w:eastAsia="zh-CN"/>
        </w:rPr>
        <w:t xml:space="preserve">   </w:t>
      </w:r>
      <w:r w:rsidRPr="007B09C6">
        <w:rPr>
          <w:rFonts w:eastAsiaTheme="minorEastAsia" w:hint="eastAsia"/>
          <w:b/>
          <w:color w:val="212121"/>
          <w:sz w:val="24"/>
          <w:szCs w:val="24"/>
          <w:shd w:val="clear" w:color="auto" w:fill="FFFFFF"/>
          <w:lang w:eastAsia="zh-CN"/>
        </w:rPr>
        <w:t>政府间组织</w:t>
      </w:r>
    </w:p>
    <w:p w:rsidR="00606D6C" w:rsidRDefault="00606D6C" w:rsidP="00F23A43">
      <w:pPr>
        <w:spacing w:before="0" w:after="0"/>
        <w:ind w:left="284" w:hanging="284"/>
        <w:jc w:val="left"/>
        <w:rPr>
          <w:kern w:val="22"/>
        </w:rPr>
        <w:sectPr w:rsidR="00606D6C" w:rsidSect="00D74E33">
          <w:type w:val="continuous"/>
          <w:pgSz w:w="12240" w:h="15840"/>
          <w:pgMar w:top="567" w:right="1389" w:bottom="1134" w:left="1389" w:header="709" w:footer="709" w:gutter="0"/>
          <w:cols w:space="708"/>
          <w:docGrid w:linePitch="360"/>
        </w:sectPr>
      </w:pPr>
    </w:p>
    <w:p w:rsidR="00F23A43" w:rsidRPr="000B7F95" w:rsidRDefault="00F23A43" w:rsidP="00F23A43">
      <w:pPr>
        <w:spacing w:before="0" w:after="0"/>
        <w:ind w:left="284" w:hanging="284"/>
        <w:jc w:val="left"/>
        <w:rPr>
          <w:kern w:val="22"/>
        </w:rPr>
      </w:pPr>
      <w:r w:rsidRPr="000B7F95">
        <w:rPr>
          <w:kern w:val="22"/>
        </w:rPr>
        <w:lastRenderedPageBreak/>
        <w:t>African Development Bank Group</w:t>
      </w:r>
    </w:p>
    <w:p w:rsidR="00F23A43" w:rsidRPr="000B7F95" w:rsidRDefault="00F23A43" w:rsidP="00F23A43">
      <w:pPr>
        <w:spacing w:before="0" w:after="0"/>
        <w:ind w:left="284" w:hanging="284"/>
        <w:jc w:val="left"/>
        <w:rPr>
          <w:kern w:val="22"/>
        </w:rPr>
      </w:pPr>
      <w:r w:rsidRPr="000B7F95">
        <w:rPr>
          <w:kern w:val="22"/>
        </w:rPr>
        <w:t>African Regional Intellectual Property Organization</w:t>
      </w:r>
    </w:p>
    <w:p w:rsidR="00F23A43" w:rsidRPr="000B7F95" w:rsidRDefault="00F23A43" w:rsidP="00F23A43">
      <w:pPr>
        <w:spacing w:before="0" w:after="0"/>
        <w:ind w:left="284" w:hanging="284"/>
        <w:jc w:val="left"/>
        <w:rPr>
          <w:kern w:val="22"/>
        </w:rPr>
      </w:pPr>
      <w:r w:rsidRPr="000B7F95">
        <w:rPr>
          <w:kern w:val="22"/>
        </w:rPr>
        <w:t>African Union</w:t>
      </w:r>
    </w:p>
    <w:p w:rsidR="00F23A43" w:rsidRPr="000B7F95" w:rsidRDefault="00F23A43" w:rsidP="00F23A43">
      <w:pPr>
        <w:spacing w:before="0" w:after="0"/>
        <w:ind w:left="284" w:hanging="284"/>
        <w:jc w:val="left"/>
        <w:rPr>
          <w:kern w:val="22"/>
        </w:rPr>
      </w:pPr>
      <w:r w:rsidRPr="000B7F95">
        <w:rPr>
          <w:kern w:val="22"/>
        </w:rPr>
        <w:t>Amazon Cooperation Treaty Organization</w:t>
      </w:r>
    </w:p>
    <w:p w:rsidR="00F23A43" w:rsidRPr="000B7F95" w:rsidRDefault="00F23A43" w:rsidP="00F23A43">
      <w:pPr>
        <w:spacing w:before="0" w:after="0"/>
        <w:ind w:left="284" w:hanging="284"/>
        <w:jc w:val="left"/>
        <w:rPr>
          <w:kern w:val="22"/>
        </w:rPr>
      </w:pPr>
      <w:r w:rsidRPr="000B7F95">
        <w:rPr>
          <w:kern w:val="22"/>
        </w:rPr>
        <w:t>Arab Organization for Agricultural Development</w:t>
      </w:r>
    </w:p>
    <w:p w:rsidR="00F23A43" w:rsidRPr="000B7F95" w:rsidRDefault="00F23A43" w:rsidP="00F23A43">
      <w:pPr>
        <w:spacing w:before="0" w:after="0"/>
        <w:ind w:left="284" w:hanging="284"/>
        <w:jc w:val="left"/>
        <w:rPr>
          <w:kern w:val="22"/>
        </w:rPr>
      </w:pPr>
      <w:r w:rsidRPr="000B7F95">
        <w:rPr>
          <w:kern w:val="22"/>
        </w:rPr>
        <w:t>ASEAN Centre for Biodiversity</w:t>
      </w:r>
    </w:p>
    <w:p w:rsidR="00F23A43" w:rsidRPr="000B7F95" w:rsidRDefault="00F23A43" w:rsidP="00F23A43">
      <w:pPr>
        <w:spacing w:before="0" w:after="0"/>
        <w:ind w:left="284" w:hanging="284"/>
        <w:jc w:val="left"/>
        <w:rPr>
          <w:kern w:val="22"/>
        </w:rPr>
      </w:pPr>
      <w:r w:rsidRPr="000B7F95">
        <w:rPr>
          <w:kern w:val="22"/>
        </w:rPr>
        <w:t>Asian Development Bank</w:t>
      </w:r>
    </w:p>
    <w:p w:rsidR="00F23A43" w:rsidRPr="000B7F95" w:rsidRDefault="00F23A43" w:rsidP="00F23A43">
      <w:pPr>
        <w:spacing w:before="0" w:after="0"/>
        <w:ind w:left="284" w:hanging="284"/>
        <w:jc w:val="left"/>
        <w:rPr>
          <w:kern w:val="22"/>
        </w:rPr>
      </w:pPr>
      <w:r w:rsidRPr="000B7F95">
        <w:rPr>
          <w:kern w:val="22"/>
        </w:rPr>
        <w:t>Bioversity International</w:t>
      </w:r>
    </w:p>
    <w:p w:rsidR="00F23A43" w:rsidRPr="000B7F95" w:rsidRDefault="00F23A43" w:rsidP="00F23A43">
      <w:pPr>
        <w:spacing w:before="0" w:after="0"/>
        <w:ind w:left="284" w:hanging="284"/>
        <w:jc w:val="left"/>
        <w:rPr>
          <w:kern w:val="22"/>
        </w:rPr>
      </w:pPr>
      <w:r w:rsidRPr="000B7F95">
        <w:rPr>
          <w:kern w:val="22"/>
        </w:rPr>
        <w:t>CAF Development Bank of Latin America</w:t>
      </w:r>
    </w:p>
    <w:p w:rsidR="00F23A43" w:rsidRPr="000B7F95" w:rsidRDefault="00F23A43" w:rsidP="00F23A43">
      <w:pPr>
        <w:spacing w:before="0" w:after="0"/>
        <w:ind w:left="284" w:hanging="284"/>
        <w:jc w:val="left"/>
        <w:rPr>
          <w:kern w:val="22"/>
        </w:rPr>
      </w:pPr>
      <w:r w:rsidRPr="000B7F95">
        <w:rPr>
          <w:kern w:val="22"/>
        </w:rPr>
        <w:t>Center for International Forestry Research</w:t>
      </w:r>
    </w:p>
    <w:p w:rsidR="00F23A43" w:rsidRPr="000B7F95" w:rsidRDefault="00F23A43" w:rsidP="00F23A43">
      <w:pPr>
        <w:spacing w:before="0" w:after="0"/>
        <w:ind w:left="284" w:hanging="284"/>
        <w:jc w:val="left"/>
        <w:rPr>
          <w:kern w:val="22"/>
        </w:rPr>
      </w:pPr>
      <w:r w:rsidRPr="000B7F95">
        <w:rPr>
          <w:kern w:val="22"/>
        </w:rPr>
        <w:t>CIC - International Council for Game and Wildlife Conservation</w:t>
      </w:r>
    </w:p>
    <w:p w:rsidR="00F23A43" w:rsidRPr="000B7F95" w:rsidRDefault="00F23A43" w:rsidP="00F23A43">
      <w:pPr>
        <w:spacing w:before="0" w:after="0"/>
        <w:ind w:left="284" w:hanging="284"/>
        <w:jc w:val="left"/>
        <w:rPr>
          <w:kern w:val="22"/>
          <w:lang w:val="fr-FR"/>
        </w:rPr>
      </w:pPr>
      <w:r w:rsidRPr="000B7F95">
        <w:rPr>
          <w:kern w:val="22"/>
          <w:lang w:val="fr-FR"/>
        </w:rPr>
        <w:t>Comité français de l’UICN</w:t>
      </w:r>
    </w:p>
    <w:p w:rsidR="00F23A43" w:rsidRPr="000B7F95" w:rsidRDefault="00F23A43" w:rsidP="00F23A43">
      <w:pPr>
        <w:spacing w:before="0" w:after="0"/>
        <w:ind w:left="284" w:hanging="284"/>
        <w:jc w:val="left"/>
        <w:rPr>
          <w:kern w:val="22"/>
          <w:lang w:val="fr-FR"/>
        </w:rPr>
      </w:pPr>
      <w:r w:rsidRPr="000B7F95">
        <w:rPr>
          <w:kern w:val="22"/>
          <w:lang w:val="fr-FR"/>
        </w:rPr>
        <w:t>Commission des Forêts d’Afrique Centrale</w:t>
      </w:r>
    </w:p>
    <w:p w:rsidR="00F23A43" w:rsidRPr="000B7F95" w:rsidRDefault="00F23A43" w:rsidP="00F23A43">
      <w:pPr>
        <w:spacing w:before="0" w:after="0"/>
        <w:ind w:left="284" w:hanging="284"/>
        <w:jc w:val="left"/>
        <w:rPr>
          <w:kern w:val="22"/>
        </w:rPr>
      </w:pPr>
      <w:r w:rsidRPr="000B7F95">
        <w:rPr>
          <w:kern w:val="22"/>
        </w:rPr>
        <w:t>Ecologic Institute</w:t>
      </w:r>
    </w:p>
    <w:p w:rsidR="00F23A43" w:rsidRPr="000B7F95" w:rsidRDefault="00F23A43" w:rsidP="00F23A43">
      <w:pPr>
        <w:spacing w:before="0" w:after="0"/>
        <w:ind w:left="284" w:hanging="284"/>
        <w:jc w:val="left"/>
        <w:rPr>
          <w:kern w:val="22"/>
        </w:rPr>
      </w:pPr>
      <w:r w:rsidRPr="000B7F95">
        <w:rPr>
          <w:kern w:val="22"/>
        </w:rPr>
        <w:t xml:space="preserve">Future Earth </w:t>
      </w:r>
    </w:p>
    <w:p w:rsidR="00F23A43" w:rsidRPr="000B7F95" w:rsidRDefault="00F23A43" w:rsidP="00F23A43">
      <w:pPr>
        <w:spacing w:before="0" w:after="0"/>
        <w:ind w:left="284" w:hanging="284"/>
        <w:jc w:val="left"/>
        <w:rPr>
          <w:kern w:val="22"/>
        </w:rPr>
      </w:pPr>
      <w:r w:rsidRPr="000B7F95">
        <w:rPr>
          <w:kern w:val="22"/>
        </w:rPr>
        <w:t>Global Biodiversity Information Facility</w:t>
      </w:r>
    </w:p>
    <w:p w:rsidR="00F23A43" w:rsidRPr="000B7F95" w:rsidRDefault="00F23A43" w:rsidP="00F23A43">
      <w:pPr>
        <w:spacing w:before="0" w:after="0"/>
        <w:ind w:left="284" w:hanging="284"/>
        <w:jc w:val="left"/>
        <w:rPr>
          <w:kern w:val="22"/>
        </w:rPr>
      </w:pPr>
      <w:r w:rsidRPr="000B7F95">
        <w:rPr>
          <w:kern w:val="22"/>
        </w:rPr>
        <w:t>Global Crop Diversity Trust</w:t>
      </w:r>
    </w:p>
    <w:p w:rsidR="00F23A43" w:rsidRPr="000B7F95" w:rsidRDefault="00F23A43" w:rsidP="00F23A43">
      <w:pPr>
        <w:spacing w:before="0" w:after="0"/>
        <w:ind w:left="284" w:hanging="284"/>
        <w:jc w:val="left"/>
        <w:rPr>
          <w:kern w:val="22"/>
        </w:rPr>
      </w:pPr>
      <w:r w:rsidRPr="000B7F95">
        <w:rPr>
          <w:kern w:val="22"/>
        </w:rPr>
        <w:lastRenderedPageBreak/>
        <w:t>Great Green Wall of the Sahara and the Sahel Initiative</w:t>
      </w:r>
    </w:p>
    <w:p w:rsidR="00F23A43" w:rsidRPr="000B7F95" w:rsidRDefault="00F23A43" w:rsidP="00F23A43">
      <w:pPr>
        <w:spacing w:before="0" w:after="0"/>
        <w:ind w:left="284" w:hanging="284"/>
        <w:jc w:val="left"/>
        <w:rPr>
          <w:kern w:val="22"/>
        </w:rPr>
      </w:pPr>
      <w:r w:rsidRPr="000B7F95">
        <w:rPr>
          <w:kern w:val="22"/>
        </w:rPr>
        <w:t>Group on Earth Observations Biodiversity Observation Network</w:t>
      </w:r>
    </w:p>
    <w:p w:rsidR="00F23A43" w:rsidRPr="000B7F95" w:rsidRDefault="00F23A43" w:rsidP="00F23A43">
      <w:pPr>
        <w:spacing w:before="0" w:after="0"/>
        <w:ind w:left="284" w:hanging="284"/>
        <w:jc w:val="left"/>
        <w:rPr>
          <w:kern w:val="22"/>
          <w:lang w:val="fr-FR"/>
        </w:rPr>
      </w:pPr>
      <w:r w:rsidRPr="000B7F95">
        <w:rPr>
          <w:kern w:val="22"/>
          <w:lang w:val="fr-FR"/>
        </w:rPr>
        <w:t>ICLEI - Local Governments for Sustainability</w:t>
      </w:r>
    </w:p>
    <w:p w:rsidR="00F23A43" w:rsidRPr="000B7F95" w:rsidRDefault="00F23A43" w:rsidP="00F23A43">
      <w:pPr>
        <w:spacing w:before="0" w:after="0"/>
        <w:ind w:left="284" w:hanging="284"/>
        <w:jc w:val="left"/>
        <w:rPr>
          <w:kern w:val="22"/>
          <w:lang w:val="fr-FR"/>
        </w:rPr>
      </w:pPr>
      <w:r w:rsidRPr="000B7F95">
        <w:rPr>
          <w:kern w:val="22"/>
          <w:lang w:val="fr-FR"/>
        </w:rPr>
        <w:t>Institut de la Francophonie pour le développement durable</w:t>
      </w:r>
    </w:p>
    <w:p w:rsidR="00F23A43" w:rsidRPr="000B7F95" w:rsidRDefault="00F23A43" w:rsidP="00F23A43">
      <w:pPr>
        <w:spacing w:before="0" w:after="0"/>
        <w:ind w:left="284" w:hanging="284"/>
        <w:jc w:val="left"/>
        <w:rPr>
          <w:kern w:val="22"/>
          <w:lang w:val="fr-FR"/>
        </w:rPr>
      </w:pPr>
      <w:r w:rsidRPr="000B7F95">
        <w:rPr>
          <w:kern w:val="22"/>
          <w:lang w:val="fr-FR"/>
        </w:rPr>
        <w:t>Institut de Recherche pour le Développement</w:t>
      </w:r>
    </w:p>
    <w:p w:rsidR="00F23A43" w:rsidRPr="000B7F95" w:rsidRDefault="00F23A43" w:rsidP="00F23A43">
      <w:pPr>
        <w:spacing w:before="0" w:after="0"/>
        <w:ind w:left="284" w:hanging="284"/>
        <w:jc w:val="left"/>
        <w:rPr>
          <w:kern w:val="22"/>
        </w:rPr>
      </w:pPr>
      <w:r w:rsidRPr="000B7F95">
        <w:rPr>
          <w:kern w:val="22"/>
        </w:rPr>
        <w:t>Inter-American Development Bank</w:t>
      </w:r>
    </w:p>
    <w:p w:rsidR="00F23A43" w:rsidRPr="000B7F95" w:rsidRDefault="00F23A43" w:rsidP="00F23A43">
      <w:pPr>
        <w:spacing w:before="0" w:after="0"/>
        <w:ind w:left="284" w:hanging="284"/>
        <w:jc w:val="left"/>
        <w:rPr>
          <w:kern w:val="22"/>
        </w:rPr>
      </w:pPr>
      <w:r w:rsidRPr="000B7F95">
        <w:rPr>
          <w:kern w:val="22"/>
        </w:rPr>
        <w:t>Inter-American Institute for Cooperation on Agriculture</w:t>
      </w:r>
    </w:p>
    <w:p w:rsidR="00F23A43" w:rsidRPr="000B7F95" w:rsidRDefault="00F23A43" w:rsidP="00F23A43">
      <w:pPr>
        <w:spacing w:before="0" w:after="0"/>
        <w:ind w:left="284" w:hanging="284"/>
        <w:jc w:val="left"/>
        <w:rPr>
          <w:kern w:val="22"/>
        </w:rPr>
      </w:pPr>
      <w:r w:rsidRPr="000B7F95">
        <w:rPr>
          <w:kern w:val="22"/>
        </w:rPr>
        <w:t>Inter-American Institute for Global Change Research</w:t>
      </w:r>
    </w:p>
    <w:p w:rsidR="00F23A43" w:rsidRPr="000B7F95" w:rsidRDefault="00F23A43" w:rsidP="00F23A43">
      <w:pPr>
        <w:spacing w:before="0" w:after="0"/>
        <w:ind w:left="284" w:hanging="284"/>
        <w:jc w:val="left"/>
        <w:rPr>
          <w:kern w:val="22"/>
        </w:rPr>
      </w:pPr>
      <w:r w:rsidRPr="000B7F95">
        <w:rPr>
          <w:kern w:val="22"/>
        </w:rPr>
        <w:t>International Center for Agricultural Research in the Dry Areas (ICARDA)</w:t>
      </w:r>
    </w:p>
    <w:p w:rsidR="00F23A43" w:rsidRPr="000B7F95" w:rsidRDefault="00F23A43" w:rsidP="00F23A43">
      <w:pPr>
        <w:spacing w:before="0" w:after="0"/>
        <w:ind w:left="284" w:hanging="284"/>
        <w:jc w:val="left"/>
        <w:rPr>
          <w:kern w:val="22"/>
        </w:rPr>
      </w:pPr>
      <w:r w:rsidRPr="000B7F95">
        <w:rPr>
          <w:kern w:val="22"/>
        </w:rPr>
        <w:t>International Centre for Genetic Engineering and Biotechnology</w:t>
      </w:r>
    </w:p>
    <w:p w:rsidR="00F23A43" w:rsidRPr="000B7F95" w:rsidRDefault="00F23A43" w:rsidP="00F23A43">
      <w:pPr>
        <w:spacing w:before="0" w:after="0"/>
        <w:ind w:left="284" w:hanging="284"/>
        <w:jc w:val="left"/>
        <w:rPr>
          <w:kern w:val="22"/>
        </w:rPr>
      </w:pPr>
      <w:r w:rsidRPr="000B7F95">
        <w:rPr>
          <w:kern w:val="22"/>
        </w:rPr>
        <w:t>International Coral Reef Initiative</w:t>
      </w:r>
    </w:p>
    <w:p w:rsidR="00F23A43" w:rsidRPr="000B7F95" w:rsidRDefault="00F23A43" w:rsidP="00F23A43">
      <w:pPr>
        <w:spacing w:before="0" w:after="0"/>
        <w:ind w:left="284" w:hanging="284"/>
        <w:jc w:val="left"/>
        <w:rPr>
          <w:kern w:val="22"/>
        </w:rPr>
      </w:pPr>
      <w:r w:rsidRPr="000B7F95">
        <w:rPr>
          <w:kern w:val="22"/>
        </w:rPr>
        <w:t>International Development Law Organization</w:t>
      </w:r>
    </w:p>
    <w:p w:rsidR="00F23A43" w:rsidRPr="000B7F95" w:rsidRDefault="00F23A43" w:rsidP="00F23A43">
      <w:pPr>
        <w:spacing w:before="0" w:after="0"/>
        <w:ind w:left="284" w:hanging="284"/>
        <w:jc w:val="left"/>
        <w:rPr>
          <w:kern w:val="22"/>
        </w:rPr>
      </w:pPr>
      <w:r w:rsidRPr="000B7F95">
        <w:rPr>
          <w:kern w:val="22"/>
        </w:rPr>
        <w:lastRenderedPageBreak/>
        <w:t xml:space="preserve">International Partnership for the Satoyama Initiative </w:t>
      </w:r>
    </w:p>
    <w:p w:rsidR="00F23A43" w:rsidRPr="000B7F95" w:rsidRDefault="00F23A43" w:rsidP="00F23A43">
      <w:pPr>
        <w:spacing w:before="0" w:after="0"/>
        <w:ind w:left="284" w:hanging="284"/>
        <w:jc w:val="left"/>
        <w:rPr>
          <w:kern w:val="22"/>
        </w:rPr>
      </w:pPr>
      <w:r w:rsidRPr="000B7F95">
        <w:rPr>
          <w:kern w:val="22"/>
        </w:rPr>
        <w:t>International Potato Center</w:t>
      </w:r>
    </w:p>
    <w:p w:rsidR="00F23A43" w:rsidRPr="000B7F95" w:rsidRDefault="00F23A43" w:rsidP="00F23A43">
      <w:pPr>
        <w:spacing w:before="0" w:after="0"/>
        <w:ind w:left="284" w:hanging="284"/>
        <w:jc w:val="left"/>
        <w:rPr>
          <w:kern w:val="22"/>
        </w:rPr>
      </w:pPr>
      <w:r w:rsidRPr="000B7F95">
        <w:rPr>
          <w:kern w:val="22"/>
        </w:rPr>
        <w:t>International Whaling Commission</w:t>
      </w:r>
    </w:p>
    <w:p w:rsidR="00F23A43" w:rsidRPr="00A8359F" w:rsidRDefault="00F23A43" w:rsidP="00F23A43">
      <w:pPr>
        <w:spacing w:before="0" w:after="0"/>
        <w:ind w:left="284" w:hanging="284"/>
        <w:jc w:val="left"/>
        <w:rPr>
          <w:kern w:val="22"/>
        </w:rPr>
      </w:pPr>
      <w:r w:rsidRPr="00A8359F">
        <w:rPr>
          <w:kern w:val="22"/>
        </w:rPr>
        <w:t>Itaipu Binacional</w:t>
      </w:r>
    </w:p>
    <w:p w:rsidR="00F23A43" w:rsidRPr="000B7F95" w:rsidRDefault="00F23A43" w:rsidP="00F23A43">
      <w:pPr>
        <w:spacing w:before="0" w:after="0"/>
        <w:ind w:left="284" w:hanging="284"/>
        <w:jc w:val="left"/>
        <w:rPr>
          <w:kern w:val="22"/>
        </w:rPr>
      </w:pPr>
      <w:r w:rsidRPr="000B7F95">
        <w:rPr>
          <w:kern w:val="22"/>
        </w:rPr>
        <w:t>IUCN International Union for Conservation of Nature</w:t>
      </w:r>
    </w:p>
    <w:p w:rsidR="00F23A43" w:rsidRPr="000B7F95" w:rsidRDefault="00F23A43" w:rsidP="00F23A43">
      <w:pPr>
        <w:spacing w:before="0" w:after="0"/>
        <w:ind w:left="284" w:hanging="284"/>
        <w:jc w:val="left"/>
        <w:rPr>
          <w:kern w:val="22"/>
        </w:rPr>
      </w:pPr>
      <w:r w:rsidRPr="000B7F95">
        <w:rPr>
          <w:kern w:val="22"/>
        </w:rPr>
        <w:t>League of Arab States</w:t>
      </w:r>
    </w:p>
    <w:p w:rsidR="00F23A43" w:rsidRPr="000B7F95" w:rsidRDefault="00F23A43" w:rsidP="00F23A43">
      <w:pPr>
        <w:spacing w:before="0" w:after="0"/>
        <w:ind w:left="284" w:hanging="284"/>
        <w:jc w:val="left"/>
        <w:rPr>
          <w:kern w:val="22"/>
        </w:rPr>
      </w:pPr>
      <w:r w:rsidRPr="000B7F95">
        <w:rPr>
          <w:kern w:val="22"/>
        </w:rPr>
        <w:t>NEPAD Planning and Coordinating Agency</w:t>
      </w:r>
    </w:p>
    <w:p w:rsidR="00F23A43" w:rsidRPr="000B7F95" w:rsidRDefault="00F23A43" w:rsidP="00F23A43">
      <w:pPr>
        <w:spacing w:before="0" w:after="0"/>
        <w:ind w:left="284" w:hanging="284"/>
        <w:jc w:val="left"/>
        <w:rPr>
          <w:kern w:val="22"/>
        </w:rPr>
      </w:pPr>
      <w:r w:rsidRPr="000B7F95">
        <w:rPr>
          <w:kern w:val="22"/>
        </w:rPr>
        <w:t xml:space="preserve">Nile Basin Initiative </w:t>
      </w:r>
    </w:p>
    <w:p w:rsidR="00F23A43" w:rsidRPr="000B7F95" w:rsidRDefault="00F23A43" w:rsidP="00F23A43">
      <w:pPr>
        <w:spacing w:before="0" w:after="0"/>
        <w:ind w:left="284" w:hanging="284"/>
        <w:jc w:val="left"/>
        <w:rPr>
          <w:kern w:val="22"/>
        </w:rPr>
      </w:pPr>
      <w:r w:rsidRPr="000B7F95">
        <w:rPr>
          <w:kern w:val="22"/>
        </w:rPr>
        <w:t>Nordic Council of Ministers</w:t>
      </w:r>
    </w:p>
    <w:p w:rsidR="00F23A43" w:rsidRPr="000B7F95" w:rsidRDefault="00F23A43" w:rsidP="00F23A43">
      <w:pPr>
        <w:spacing w:before="0" w:after="0"/>
        <w:ind w:left="284" w:hanging="284"/>
        <w:jc w:val="left"/>
        <w:rPr>
          <w:kern w:val="22"/>
          <w:lang w:val="fr-FR"/>
        </w:rPr>
      </w:pPr>
      <w:r w:rsidRPr="000B7F95">
        <w:rPr>
          <w:kern w:val="22"/>
          <w:lang w:val="fr-FR"/>
        </w:rPr>
        <w:t>Observatoire du Sahara et du Sahel</w:t>
      </w:r>
    </w:p>
    <w:p w:rsidR="00F23A43" w:rsidRPr="000B7F95" w:rsidRDefault="00F23A43" w:rsidP="00F23A43">
      <w:pPr>
        <w:spacing w:before="0" w:after="0"/>
        <w:ind w:left="284" w:hanging="284"/>
        <w:jc w:val="left"/>
        <w:rPr>
          <w:kern w:val="22"/>
        </w:rPr>
      </w:pPr>
      <w:r w:rsidRPr="000B7F95">
        <w:rPr>
          <w:kern w:val="22"/>
        </w:rPr>
        <w:t>Organization for Economic Co-operation and Development</w:t>
      </w:r>
    </w:p>
    <w:p w:rsidR="00F23A43" w:rsidRPr="000B7F95" w:rsidRDefault="00F23A43" w:rsidP="00F23A43">
      <w:pPr>
        <w:spacing w:before="0" w:after="0"/>
        <w:ind w:left="284" w:hanging="284"/>
        <w:jc w:val="left"/>
        <w:rPr>
          <w:kern w:val="22"/>
          <w:lang w:val="fr-FR"/>
        </w:rPr>
      </w:pPr>
      <w:r w:rsidRPr="000B7F95">
        <w:rPr>
          <w:kern w:val="22"/>
          <w:lang w:val="fr-FR"/>
        </w:rPr>
        <w:t>Ramsar Convention on Wetlands</w:t>
      </w:r>
    </w:p>
    <w:p w:rsidR="00F23A43" w:rsidRPr="000B7F95" w:rsidRDefault="00F23A43" w:rsidP="00F23A43">
      <w:pPr>
        <w:spacing w:before="0" w:after="0"/>
        <w:ind w:left="284" w:hanging="284"/>
        <w:jc w:val="left"/>
        <w:rPr>
          <w:kern w:val="22"/>
          <w:lang w:val="fr-FR"/>
        </w:rPr>
      </w:pPr>
      <w:r w:rsidRPr="000B7F95">
        <w:rPr>
          <w:kern w:val="22"/>
          <w:lang w:val="fr-FR"/>
        </w:rPr>
        <w:lastRenderedPageBreak/>
        <w:t>Réseau des gestionnaires d’aires marines protégées en Méditerranée</w:t>
      </w:r>
    </w:p>
    <w:p w:rsidR="00F23A43" w:rsidRPr="000B7F95" w:rsidRDefault="00F23A43" w:rsidP="00F23A43">
      <w:pPr>
        <w:spacing w:before="0" w:after="0"/>
        <w:ind w:left="284" w:hanging="284"/>
        <w:jc w:val="left"/>
        <w:rPr>
          <w:kern w:val="22"/>
        </w:rPr>
      </w:pPr>
      <w:r w:rsidRPr="000B7F95">
        <w:rPr>
          <w:kern w:val="22"/>
        </w:rPr>
        <w:t>Secretariat of the Pacific Regional Environment Programme</w:t>
      </w:r>
    </w:p>
    <w:p w:rsidR="00F23A43" w:rsidRPr="000B7F95" w:rsidRDefault="00F23A43" w:rsidP="00F23A43">
      <w:pPr>
        <w:spacing w:before="0" w:after="0"/>
        <w:ind w:left="284" w:hanging="284"/>
        <w:jc w:val="left"/>
        <w:rPr>
          <w:kern w:val="22"/>
        </w:rPr>
      </w:pPr>
      <w:r w:rsidRPr="000B7F95">
        <w:rPr>
          <w:kern w:val="22"/>
        </w:rPr>
        <w:t>South Asia Co-operative Environment Programme</w:t>
      </w:r>
    </w:p>
    <w:p w:rsidR="00F23A43" w:rsidRPr="000B7F95" w:rsidRDefault="00F23A43" w:rsidP="00F23A43">
      <w:pPr>
        <w:spacing w:before="0" w:after="0"/>
        <w:ind w:left="284" w:hanging="284"/>
        <w:jc w:val="left"/>
        <w:rPr>
          <w:kern w:val="22"/>
        </w:rPr>
      </w:pPr>
      <w:r w:rsidRPr="000B7F95">
        <w:rPr>
          <w:kern w:val="22"/>
        </w:rPr>
        <w:t>Southern African Development Community Secretariat</w:t>
      </w:r>
    </w:p>
    <w:p w:rsidR="00F23A43" w:rsidRPr="000B7F95" w:rsidRDefault="00F23A43" w:rsidP="00F23A43">
      <w:pPr>
        <w:spacing w:before="0" w:after="0"/>
        <w:ind w:left="284" w:hanging="284"/>
        <w:jc w:val="left"/>
        <w:rPr>
          <w:kern w:val="22"/>
        </w:rPr>
      </w:pPr>
      <w:r w:rsidRPr="000B7F95">
        <w:rPr>
          <w:kern w:val="22"/>
        </w:rPr>
        <w:t>The Cooperation Council for the Arab States of the Gulf</w:t>
      </w:r>
    </w:p>
    <w:p w:rsidR="00F23A43" w:rsidRPr="000B7F95" w:rsidRDefault="00F23A43" w:rsidP="00F23A43">
      <w:pPr>
        <w:spacing w:before="0" w:after="0"/>
        <w:ind w:left="284" w:hanging="284"/>
        <w:jc w:val="left"/>
        <w:rPr>
          <w:kern w:val="22"/>
        </w:rPr>
      </w:pPr>
      <w:r w:rsidRPr="000B7F95">
        <w:rPr>
          <w:kern w:val="22"/>
        </w:rPr>
        <w:t>The Regional Organization for the Conservation of the Environment of the Red Sea and Gulf of Aden</w:t>
      </w:r>
    </w:p>
    <w:p w:rsidR="00F23A43" w:rsidRPr="000B7F95" w:rsidRDefault="00F23A43" w:rsidP="00F23A43">
      <w:pPr>
        <w:spacing w:before="0" w:after="0"/>
        <w:ind w:left="284" w:hanging="284"/>
        <w:jc w:val="left"/>
        <w:rPr>
          <w:kern w:val="22"/>
        </w:rPr>
      </w:pPr>
      <w:r w:rsidRPr="000B7F95">
        <w:rPr>
          <w:kern w:val="22"/>
        </w:rPr>
        <w:t>Union for the Mediterranean</w:t>
      </w:r>
    </w:p>
    <w:p w:rsidR="00F23A43" w:rsidRPr="000B7F95" w:rsidRDefault="00F23A43" w:rsidP="00F23A43">
      <w:pPr>
        <w:spacing w:before="0" w:after="0"/>
        <w:ind w:left="284" w:hanging="284"/>
        <w:jc w:val="left"/>
        <w:rPr>
          <w:kern w:val="22"/>
        </w:rPr>
      </w:pPr>
      <w:r w:rsidRPr="000B7F95">
        <w:rPr>
          <w:kern w:val="22"/>
        </w:rPr>
        <w:t>World Agroforestry Centre</w:t>
      </w:r>
    </w:p>
    <w:p w:rsidR="002D379A" w:rsidRDefault="00F23A43" w:rsidP="002D379A">
      <w:pPr>
        <w:spacing w:before="0" w:after="0"/>
        <w:ind w:left="284" w:hanging="284"/>
        <w:jc w:val="left"/>
        <w:rPr>
          <w:kern w:val="22"/>
        </w:rPr>
      </w:pPr>
      <w:r w:rsidRPr="000B7F95">
        <w:rPr>
          <w:kern w:val="22"/>
        </w:rPr>
        <w:t>World Economic Forum</w:t>
      </w:r>
    </w:p>
    <w:p w:rsidR="00606D6C" w:rsidRDefault="00606D6C" w:rsidP="00B55836">
      <w:pPr>
        <w:pStyle w:val="Para1"/>
        <w:tabs>
          <w:tab w:val="clear" w:pos="360"/>
        </w:tabs>
        <w:ind w:firstLine="0"/>
        <w:jc w:val="center"/>
        <w:rPr>
          <w:rFonts w:eastAsiaTheme="minorEastAsia"/>
          <w:b/>
          <w:color w:val="212121"/>
          <w:sz w:val="24"/>
          <w:szCs w:val="24"/>
          <w:shd w:val="clear" w:color="auto" w:fill="FFFFFF"/>
          <w:lang w:eastAsia="zh-CN"/>
        </w:rPr>
        <w:sectPr w:rsidR="00606D6C" w:rsidSect="00606D6C">
          <w:type w:val="continuous"/>
          <w:pgSz w:w="12240" w:h="15840"/>
          <w:pgMar w:top="567" w:right="1389" w:bottom="1134" w:left="1389" w:header="709" w:footer="709" w:gutter="0"/>
          <w:cols w:num="2" w:space="708"/>
          <w:docGrid w:linePitch="360"/>
        </w:sectPr>
      </w:pPr>
    </w:p>
    <w:p w:rsidR="00F942C2" w:rsidRPr="00F942C2" w:rsidRDefault="00F23A43" w:rsidP="00B55836">
      <w:pPr>
        <w:pStyle w:val="Para1"/>
        <w:tabs>
          <w:tab w:val="clear" w:pos="360"/>
        </w:tabs>
        <w:ind w:firstLine="0"/>
        <w:jc w:val="center"/>
        <w:rPr>
          <w:rFonts w:eastAsiaTheme="minorEastAsia"/>
          <w:b/>
          <w:color w:val="212121"/>
          <w:sz w:val="24"/>
          <w:szCs w:val="24"/>
          <w:shd w:val="clear" w:color="auto" w:fill="FFFFFF"/>
          <w:lang w:eastAsia="zh-CN"/>
        </w:rPr>
      </w:pPr>
      <w:r>
        <w:rPr>
          <w:rFonts w:eastAsiaTheme="minorEastAsia"/>
          <w:b/>
          <w:color w:val="212121"/>
          <w:sz w:val="24"/>
          <w:szCs w:val="24"/>
          <w:shd w:val="clear" w:color="auto" w:fill="FFFFFF"/>
          <w:lang w:eastAsia="zh-CN"/>
        </w:rPr>
        <w:lastRenderedPageBreak/>
        <w:t>C</w:t>
      </w:r>
      <w:r w:rsidR="00F942C2" w:rsidRPr="00F942C2">
        <w:rPr>
          <w:rFonts w:eastAsiaTheme="minorEastAsia"/>
          <w:b/>
          <w:color w:val="212121"/>
          <w:sz w:val="24"/>
          <w:szCs w:val="24"/>
          <w:shd w:val="clear" w:color="auto" w:fill="FFFFFF"/>
          <w:lang w:eastAsia="zh-CN"/>
        </w:rPr>
        <w:t>.</w:t>
      </w:r>
      <w:r w:rsidR="00F942C2" w:rsidRPr="00F942C2">
        <w:rPr>
          <w:rFonts w:eastAsiaTheme="minorEastAsia"/>
          <w:b/>
          <w:color w:val="212121"/>
          <w:sz w:val="24"/>
          <w:szCs w:val="24"/>
          <w:shd w:val="clear" w:color="auto" w:fill="FFFFFF"/>
          <w:lang w:eastAsia="zh-CN"/>
        </w:rPr>
        <w:tab/>
      </w:r>
      <w:r w:rsidR="00F942C2" w:rsidRPr="00F942C2">
        <w:rPr>
          <w:rFonts w:eastAsiaTheme="minorEastAsia" w:hint="eastAsia"/>
          <w:b/>
          <w:color w:val="212121"/>
          <w:sz w:val="24"/>
          <w:szCs w:val="24"/>
          <w:shd w:val="clear" w:color="auto" w:fill="FFFFFF"/>
          <w:lang w:eastAsia="zh-CN"/>
        </w:rPr>
        <w:t>学术界</w:t>
      </w:r>
    </w:p>
    <w:p w:rsidR="00606D6C" w:rsidRDefault="00606D6C" w:rsidP="005A7430">
      <w:pPr>
        <w:spacing w:before="0" w:after="0"/>
        <w:ind w:firstLine="0"/>
        <w:jc w:val="left"/>
        <w:rPr>
          <w:kern w:val="22"/>
        </w:rPr>
        <w:sectPr w:rsidR="00606D6C" w:rsidSect="00D74E33">
          <w:type w:val="continuous"/>
          <w:pgSz w:w="12240" w:h="15840"/>
          <w:pgMar w:top="567" w:right="1389" w:bottom="1134" w:left="1389" w:header="709" w:footer="709" w:gutter="0"/>
          <w:cols w:space="708"/>
          <w:docGrid w:linePitch="360"/>
        </w:sectPr>
      </w:pPr>
    </w:p>
    <w:p w:rsidR="005A7430" w:rsidRPr="00A43FF4" w:rsidRDefault="005A7430" w:rsidP="005A7430">
      <w:pPr>
        <w:spacing w:before="0" w:after="0"/>
        <w:ind w:firstLine="0"/>
        <w:jc w:val="left"/>
        <w:rPr>
          <w:kern w:val="22"/>
        </w:rPr>
      </w:pPr>
      <w:r w:rsidRPr="00A43FF4">
        <w:rPr>
          <w:kern w:val="22"/>
        </w:rPr>
        <w:lastRenderedPageBreak/>
        <w:t>Ain Shams University</w:t>
      </w:r>
    </w:p>
    <w:p w:rsidR="005A7430" w:rsidRPr="00A43FF4" w:rsidRDefault="005A7430" w:rsidP="005A7430">
      <w:pPr>
        <w:spacing w:before="0" w:after="0"/>
        <w:ind w:left="284" w:hanging="284"/>
        <w:jc w:val="left"/>
        <w:rPr>
          <w:kern w:val="22"/>
        </w:rPr>
      </w:pPr>
      <w:r w:rsidRPr="00A43FF4">
        <w:rPr>
          <w:kern w:val="22"/>
        </w:rPr>
        <w:t>American Museum of Natural History</w:t>
      </w:r>
    </w:p>
    <w:p w:rsidR="005A7430" w:rsidRPr="00A8359F" w:rsidRDefault="005A7430" w:rsidP="005A7430">
      <w:pPr>
        <w:spacing w:before="0" w:after="0"/>
        <w:ind w:left="284" w:hanging="284"/>
        <w:jc w:val="left"/>
        <w:rPr>
          <w:kern w:val="22"/>
        </w:rPr>
      </w:pPr>
      <w:r w:rsidRPr="00A8359F">
        <w:rPr>
          <w:kern w:val="22"/>
        </w:rPr>
        <w:t>Association de Recherches et Études sur le Littoral du Sahara</w:t>
      </w:r>
    </w:p>
    <w:p w:rsidR="005A7430" w:rsidRPr="00A43FF4" w:rsidRDefault="005A7430" w:rsidP="005A7430">
      <w:pPr>
        <w:spacing w:before="0" w:after="0"/>
        <w:ind w:left="284" w:hanging="284"/>
        <w:jc w:val="left"/>
        <w:rPr>
          <w:kern w:val="22"/>
        </w:rPr>
      </w:pPr>
      <w:r w:rsidRPr="00A43FF4">
        <w:rPr>
          <w:kern w:val="22"/>
        </w:rPr>
        <w:t>Bayreuth Center of Ecology and Environmental Research (BayCEER)</w:t>
      </w:r>
    </w:p>
    <w:p w:rsidR="005A7430" w:rsidRPr="00A43FF4" w:rsidRDefault="005A7430" w:rsidP="005A7430">
      <w:pPr>
        <w:spacing w:before="0" w:after="0"/>
        <w:ind w:left="284" w:hanging="284"/>
        <w:jc w:val="left"/>
        <w:rPr>
          <w:kern w:val="22"/>
        </w:rPr>
      </w:pPr>
      <w:r w:rsidRPr="00A43FF4">
        <w:rPr>
          <w:kern w:val="22"/>
        </w:rPr>
        <w:t>Carnegie Council for Ethics in International Affairs</w:t>
      </w:r>
    </w:p>
    <w:p w:rsidR="005A7430" w:rsidRPr="00A43FF4" w:rsidRDefault="005A7430" w:rsidP="005A7430">
      <w:pPr>
        <w:spacing w:before="0" w:after="0"/>
        <w:ind w:left="284" w:hanging="284"/>
        <w:jc w:val="left"/>
        <w:rPr>
          <w:kern w:val="22"/>
        </w:rPr>
      </w:pPr>
      <w:r w:rsidRPr="00A43FF4">
        <w:rPr>
          <w:kern w:val="22"/>
        </w:rPr>
        <w:t>Centre for International Governance Innovation</w:t>
      </w:r>
    </w:p>
    <w:p w:rsidR="005A7430" w:rsidRPr="00A43FF4" w:rsidRDefault="005A7430" w:rsidP="005A7430">
      <w:pPr>
        <w:spacing w:before="0" w:after="0"/>
        <w:ind w:left="284" w:hanging="284"/>
        <w:jc w:val="left"/>
        <w:rPr>
          <w:kern w:val="22"/>
        </w:rPr>
      </w:pPr>
      <w:r w:rsidRPr="00A43FF4">
        <w:rPr>
          <w:kern w:val="22"/>
        </w:rPr>
        <w:t>Centre for International Sustainable Development Law</w:t>
      </w:r>
    </w:p>
    <w:p w:rsidR="005A7430" w:rsidRPr="00A43FF4" w:rsidRDefault="005A7430" w:rsidP="005A7430">
      <w:pPr>
        <w:spacing w:before="0" w:after="0"/>
        <w:ind w:left="284" w:hanging="284"/>
        <w:jc w:val="left"/>
        <w:rPr>
          <w:kern w:val="22"/>
        </w:rPr>
      </w:pPr>
      <w:r w:rsidRPr="00A43FF4">
        <w:rPr>
          <w:kern w:val="22"/>
        </w:rPr>
        <w:t>China Foreign Affairs University</w:t>
      </w:r>
    </w:p>
    <w:p w:rsidR="005A7430" w:rsidRPr="00A43FF4" w:rsidRDefault="005A7430" w:rsidP="005A7430">
      <w:pPr>
        <w:spacing w:before="0" w:after="0"/>
        <w:ind w:left="284" w:hanging="284"/>
        <w:jc w:val="left"/>
        <w:rPr>
          <w:kern w:val="22"/>
        </w:rPr>
      </w:pPr>
      <w:r w:rsidRPr="00A43FF4">
        <w:rPr>
          <w:kern w:val="22"/>
        </w:rPr>
        <w:t>Chinese Academy of Forestry</w:t>
      </w:r>
    </w:p>
    <w:p w:rsidR="005A7430" w:rsidRPr="00A8359F" w:rsidRDefault="005A7430" w:rsidP="005A7430">
      <w:pPr>
        <w:spacing w:before="0" w:after="0"/>
        <w:ind w:left="284" w:hanging="284"/>
        <w:jc w:val="left"/>
        <w:rPr>
          <w:kern w:val="22"/>
          <w:lang w:val="es-AR"/>
        </w:rPr>
      </w:pPr>
      <w:r w:rsidRPr="00A8359F">
        <w:rPr>
          <w:kern w:val="22"/>
          <w:lang w:val="es-AR"/>
        </w:rPr>
        <w:t>Cornell University</w:t>
      </w:r>
    </w:p>
    <w:p w:rsidR="005A7430" w:rsidRPr="00A8359F" w:rsidRDefault="005A7430" w:rsidP="005A7430">
      <w:pPr>
        <w:spacing w:before="0" w:after="0"/>
        <w:ind w:left="284" w:hanging="284"/>
        <w:jc w:val="left"/>
        <w:rPr>
          <w:kern w:val="22"/>
          <w:lang w:val="es-AR"/>
        </w:rPr>
      </w:pPr>
      <w:r w:rsidRPr="00A8359F">
        <w:rPr>
          <w:kern w:val="22"/>
          <w:lang w:val="es-AR"/>
        </w:rPr>
        <w:t>EKLIPSE (EU Project)</w:t>
      </w:r>
    </w:p>
    <w:p w:rsidR="005A7430" w:rsidRPr="00A43FF4" w:rsidRDefault="005A7430" w:rsidP="005A7430">
      <w:pPr>
        <w:spacing w:before="0" w:after="0"/>
        <w:ind w:left="284" w:hanging="284"/>
        <w:jc w:val="left"/>
        <w:rPr>
          <w:kern w:val="22"/>
          <w:lang w:val="es-ES"/>
        </w:rPr>
      </w:pPr>
      <w:r w:rsidRPr="00A43FF4">
        <w:rPr>
          <w:kern w:val="22"/>
          <w:lang w:val="es-ES"/>
        </w:rPr>
        <w:t>Escuela Superior Politécnica del Litoral</w:t>
      </w:r>
    </w:p>
    <w:p w:rsidR="005A7430" w:rsidRPr="00A43FF4" w:rsidRDefault="005A7430" w:rsidP="005A7430">
      <w:pPr>
        <w:spacing w:before="0" w:after="0"/>
        <w:ind w:left="284" w:hanging="284"/>
        <w:jc w:val="left"/>
        <w:rPr>
          <w:kern w:val="22"/>
        </w:rPr>
      </w:pPr>
      <w:r w:rsidRPr="00A43FF4">
        <w:rPr>
          <w:kern w:val="22"/>
        </w:rPr>
        <w:t>European Network of Scientists for Social Environmental Responsibility</w:t>
      </w:r>
    </w:p>
    <w:p w:rsidR="005A7430" w:rsidRPr="00A43FF4" w:rsidRDefault="005A7430" w:rsidP="005A7430">
      <w:pPr>
        <w:spacing w:before="0" w:after="0"/>
        <w:ind w:left="284" w:hanging="284"/>
        <w:jc w:val="left"/>
        <w:rPr>
          <w:kern w:val="22"/>
        </w:rPr>
      </w:pPr>
      <w:r w:rsidRPr="00A43FF4">
        <w:rPr>
          <w:kern w:val="22"/>
        </w:rPr>
        <w:t>Fayoum University</w:t>
      </w:r>
    </w:p>
    <w:p w:rsidR="005A7430" w:rsidRPr="00A43FF4" w:rsidRDefault="005A7430" w:rsidP="005A7430">
      <w:pPr>
        <w:spacing w:before="0" w:after="0"/>
        <w:ind w:left="284" w:hanging="284"/>
        <w:jc w:val="left"/>
        <w:rPr>
          <w:kern w:val="22"/>
        </w:rPr>
      </w:pPr>
      <w:r w:rsidRPr="00A43FF4">
        <w:rPr>
          <w:kern w:val="22"/>
        </w:rPr>
        <w:t>Fridtjof Nansen Institute</w:t>
      </w:r>
    </w:p>
    <w:p w:rsidR="005A7430" w:rsidRPr="00A43FF4" w:rsidRDefault="005A7430" w:rsidP="005A7430">
      <w:pPr>
        <w:spacing w:before="0" w:after="0"/>
        <w:ind w:left="284" w:hanging="284"/>
        <w:jc w:val="left"/>
        <w:rPr>
          <w:kern w:val="22"/>
        </w:rPr>
      </w:pPr>
      <w:r w:rsidRPr="00A43FF4">
        <w:rPr>
          <w:kern w:val="22"/>
        </w:rPr>
        <w:t>German Association for Synthetic Biology</w:t>
      </w:r>
    </w:p>
    <w:p w:rsidR="005A7430" w:rsidRPr="00A43FF4" w:rsidRDefault="005A7430" w:rsidP="005A7430">
      <w:pPr>
        <w:spacing w:before="0" w:after="0"/>
        <w:ind w:left="284" w:hanging="284"/>
        <w:jc w:val="left"/>
        <w:rPr>
          <w:kern w:val="22"/>
        </w:rPr>
      </w:pPr>
      <w:r w:rsidRPr="00A43FF4">
        <w:rPr>
          <w:kern w:val="22"/>
        </w:rPr>
        <w:t>German Research Foundation (DFG)</w:t>
      </w:r>
    </w:p>
    <w:p w:rsidR="005A7430" w:rsidRPr="00A43FF4" w:rsidRDefault="005A7430" w:rsidP="005A7430">
      <w:pPr>
        <w:spacing w:before="0" w:after="0"/>
        <w:ind w:left="284" w:hanging="284"/>
        <w:jc w:val="left"/>
        <w:rPr>
          <w:kern w:val="22"/>
        </w:rPr>
      </w:pPr>
      <w:r w:rsidRPr="00A43FF4">
        <w:rPr>
          <w:kern w:val="22"/>
        </w:rPr>
        <w:t>Ghent University</w:t>
      </w:r>
    </w:p>
    <w:p w:rsidR="005A7430" w:rsidRPr="00A43FF4" w:rsidRDefault="005A7430" w:rsidP="005A7430">
      <w:pPr>
        <w:spacing w:before="0" w:after="0"/>
        <w:ind w:left="284" w:hanging="284"/>
        <w:jc w:val="left"/>
        <w:rPr>
          <w:kern w:val="22"/>
        </w:rPr>
      </w:pPr>
      <w:r w:rsidRPr="00A43FF4">
        <w:rPr>
          <w:kern w:val="22"/>
        </w:rPr>
        <w:t>Helmholtz Centre for Environmental Research - UFZ</w:t>
      </w:r>
    </w:p>
    <w:p w:rsidR="005A7430" w:rsidRPr="00A43FF4" w:rsidRDefault="005A7430" w:rsidP="005A7430">
      <w:pPr>
        <w:spacing w:before="0" w:after="0"/>
        <w:ind w:left="284" w:hanging="284"/>
        <w:jc w:val="left"/>
        <w:rPr>
          <w:kern w:val="22"/>
        </w:rPr>
      </w:pPr>
      <w:r w:rsidRPr="00A43FF4">
        <w:rPr>
          <w:kern w:val="22"/>
        </w:rPr>
        <w:t>Imperial College London</w:t>
      </w:r>
    </w:p>
    <w:p w:rsidR="005A7430" w:rsidRPr="00A43FF4" w:rsidRDefault="005A7430" w:rsidP="005A7430">
      <w:pPr>
        <w:spacing w:before="0" w:after="0"/>
        <w:ind w:left="284" w:hanging="284"/>
        <w:jc w:val="left"/>
        <w:rPr>
          <w:kern w:val="22"/>
        </w:rPr>
      </w:pPr>
      <w:r w:rsidRPr="00A43FF4">
        <w:rPr>
          <w:kern w:val="22"/>
        </w:rPr>
        <w:t>Indian Institute of Technology Kharagpur</w:t>
      </w:r>
    </w:p>
    <w:p w:rsidR="005A7430" w:rsidRPr="00A43FF4" w:rsidRDefault="005A7430" w:rsidP="005A7430">
      <w:pPr>
        <w:spacing w:before="0" w:after="0"/>
        <w:ind w:left="284" w:hanging="284"/>
        <w:jc w:val="left"/>
        <w:rPr>
          <w:kern w:val="22"/>
          <w:lang w:val="fr-FR"/>
        </w:rPr>
      </w:pPr>
      <w:r w:rsidRPr="00A43FF4">
        <w:rPr>
          <w:kern w:val="22"/>
          <w:lang w:val="fr-FR"/>
        </w:rPr>
        <w:t>Institut de recherche en sciences de la santé</w:t>
      </w:r>
    </w:p>
    <w:p w:rsidR="005A7430" w:rsidRPr="00A43FF4" w:rsidRDefault="005A7430" w:rsidP="005A7430">
      <w:pPr>
        <w:spacing w:before="0" w:after="0"/>
        <w:ind w:left="284" w:hanging="284"/>
        <w:jc w:val="left"/>
        <w:rPr>
          <w:kern w:val="22"/>
        </w:rPr>
      </w:pPr>
      <w:r w:rsidRPr="00A43FF4">
        <w:rPr>
          <w:kern w:val="22"/>
        </w:rPr>
        <w:lastRenderedPageBreak/>
        <w:t>International Forestry Students Association</w:t>
      </w:r>
    </w:p>
    <w:p w:rsidR="005A7430" w:rsidRPr="00A43FF4" w:rsidRDefault="005A7430" w:rsidP="005A7430">
      <w:pPr>
        <w:spacing w:before="0" w:after="0"/>
        <w:ind w:left="284" w:hanging="284"/>
        <w:jc w:val="left"/>
        <w:rPr>
          <w:kern w:val="22"/>
        </w:rPr>
      </w:pPr>
      <w:r w:rsidRPr="00A43FF4">
        <w:rPr>
          <w:kern w:val="22"/>
        </w:rPr>
        <w:t>International Institute for Applied Systems Analysis</w:t>
      </w:r>
    </w:p>
    <w:p w:rsidR="005A7430" w:rsidRPr="00A43FF4" w:rsidRDefault="005A7430" w:rsidP="005A7430">
      <w:pPr>
        <w:spacing w:before="0" w:after="0"/>
        <w:ind w:left="284" w:hanging="284"/>
        <w:jc w:val="left"/>
        <w:rPr>
          <w:kern w:val="22"/>
        </w:rPr>
      </w:pPr>
      <w:r w:rsidRPr="00A43FF4">
        <w:rPr>
          <w:kern w:val="22"/>
        </w:rPr>
        <w:t>International Society for Biosafety Research</w:t>
      </w:r>
    </w:p>
    <w:p w:rsidR="005A7430" w:rsidRPr="00A43FF4" w:rsidRDefault="005A7430" w:rsidP="005A7430">
      <w:pPr>
        <w:spacing w:before="0" w:after="0"/>
        <w:ind w:left="284" w:hanging="284"/>
        <w:jc w:val="left"/>
        <w:rPr>
          <w:kern w:val="22"/>
        </w:rPr>
      </w:pPr>
      <w:r w:rsidRPr="00A43FF4">
        <w:rPr>
          <w:kern w:val="22"/>
        </w:rPr>
        <w:t>International Society for Reef Studies</w:t>
      </w:r>
    </w:p>
    <w:p w:rsidR="005A7430" w:rsidRPr="00A43FF4" w:rsidRDefault="005A7430" w:rsidP="005A7430">
      <w:pPr>
        <w:spacing w:before="0" w:after="0"/>
        <w:ind w:left="284" w:hanging="284"/>
        <w:jc w:val="left"/>
        <w:rPr>
          <w:kern w:val="22"/>
        </w:rPr>
      </w:pPr>
      <w:r w:rsidRPr="00A43FF4">
        <w:rPr>
          <w:kern w:val="22"/>
        </w:rPr>
        <w:t>International Sustainable Development Research Society</w:t>
      </w:r>
    </w:p>
    <w:p w:rsidR="005A7430" w:rsidRPr="00A43FF4" w:rsidRDefault="005A7430" w:rsidP="005A7430">
      <w:pPr>
        <w:spacing w:before="0" w:after="0"/>
        <w:ind w:left="284" w:hanging="284"/>
        <w:jc w:val="left"/>
        <w:rPr>
          <w:kern w:val="22"/>
        </w:rPr>
      </w:pPr>
      <w:r w:rsidRPr="00A43FF4">
        <w:rPr>
          <w:kern w:val="22"/>
        </w:rPr>
        <w:t>International University Network on Cultural and Biological Diversity</w:t>
      </w:r>
    </w:p>
    <w:p w:rsidR="005A7430" w:rsidRPr="00A43FF4" w:rsidRDefault="005A7430" w:rsidP="005A7430">
      <w:pPr>
        <w:spacing w:before="0" w:after="0"/>
        <w:ind w:left="284" w:hanging="284"/>
        <w:jc w:val="left"/>
        <w:rPr>
          <w:kern w:val="22"/>
        </w:rPr>
      </w:pPr>
      <w:r w:rsidRPr="00A43FF4">
        <w:rPr>
          <w:kern w:val="22"/>
        </w:rPr>
        <w:t>Key Conservation</w:t>
      </w:r>
    </w:p>
    <w:p w:rsidR="005A7430" w:rsidRPr="00A43FF4" w:rsidRDefault="005A7430" w:rsidP="005A7430">
      <w:pPr>
        <w:spacing w:before="0" w:after="0"/>
        <w:ind w:left="284" w:hanging="284"/>
        <w:jc w:val="left"/>
        <w:rPr>
          <w:kern w:val="22"/>
        </w:rPr>
      </w:pPr>
      <w:r w:rsidRPr="00A43FF4">
        <w:rPr>
          <w:kern w:val="22"/>
        </w:rPr>
        <w:t>Kyushu University</w:t>
      </w:r>
    </w:p>
    <w:p w:rsidR="005A7430" w:rsidRPr="00A43FF4" w:rsidRDefault="005A7430" w:rsidP="005A7430">
      <w:pPr>
        <w:spacing w:before="0" w:after="0"/>
        <w:ind w:left="284" w:hanging="284"/>
        <w:jc w:val="left"/>
        <w:rPr>
          <w:kern w:val="22"/>
        </w:rPr>
      </w:pPr>
      <w:r w:rsidRPr="00A43FF4">
        <w:rPr>
          <w:kern w:val="22"/>
        </w:rPr>
        <w:t>Leibniz Association</w:t>
      </w:r>
    </w:p>
    <w:p w:rsidR="005A7430" w:rsidRPr="00A43FF4" w:rsidRDefault="005A7430" w:rsidP="005A7430">
      <w:pPr>
        <w:spacing w:before="0" w:after="0"/>
        <w:ind w:left="284" w:hanging="284"/>
        <w:jc w:val="left"/>
        <w:rPr>
          <w:kern w:val="22"/>
        </w:rPr>
      </w:pPr>
      <w:r w:rsidRPr="00A43FF4">
        <w:rPr>
          <w:kern w:val="22"/>
        </w:rPr>
        <w:t>Max Planck Institute for Ornithology</w:t>
      </w:r>
    </w:p>
    <w:p w:rsidR="005A7430" w:rsidRPr="00A43FF4" w:rsidRDefault="005A7430" w:rsidP="005A7430">
      <w:pPr>
        <w:spacing w:before="0" w:after="0"/>
        <w:ind w:left="284" w:hanging="284"/>
        <w:jc w:val="left"/>
        <w:rPr>
          <w:kern w:val="22"/>
        </w:rPr>
      </w:pPr>
      <w:r w:rsidRPr="00A43FF4">
        <w:rPr>
          <w:kern w:val="22"/>
        </w:rPr>
        <w:t>McGill University</w:t>
      </w:r>
    </w:p>
    <w:p w:rsidR="005A7430" w:rsidRPr="00A43FF4" w:rsidRDefault="005A7430" w:rsidP="005A7430">
      <w:pPr>
        <w:spacing w:before="0" w:after="0"/>
        <w:ind w:left="284" w:hanging="284"/>
        <w:jc w:val="left"/>
        <w:rPr>
          <w:kern w:val="22"/>
        </w:rPr>
      </w:pPr>
      <w:r w:rsidRPr="00A43FF4">
        <w:rPr>
          <w:kern w:val="22"/>
        </w:rPr>
        <w:t>Michigan State University</w:t>
      </w:r>
    </w:p>
    <w:p w:rsidR="005A7430" w:rsidRPr="00A43FF4" w:rsidRDefault="005A7430" w:rsidP="005A7430">
      <w:pPr>
        <w:spacing w:before="0" w:after="0"/>
        <w:ind w:left="284" w:hanging="284"/>
        <w:jc w:val="left"/>
        <w:rPr>
          <w:kern w:val="22"/>
        </w:rPr>
      </w:pPr>
      <w:r w:rsidRPr="00A43FF4">
        <w:rPr>
          <w:kern w:val="22"/>
        </w:rPr>
        <w:t>Monash University</w:t>
      </w:r>
    </w:p>
    <w:p w:rsidR="005A7430" w:rsidRPr="00A43FF4" w:rsidRDefault="005A7430" w:rsidP="005A7430">
      <w:pPr>
        <w:spacing w:before="0" w:after="0"/>
        <w:ind w:left="284" w:hanging="284"/>
        <w:jc w:val="left"/>
        <w:rPr>
          <w:kern w:val="22"/>
          <w:lang w:val="de-DE"/>
        </w:rPr>
      </w:pPr>
      <w:r w:rsidRPr="00A43FF4">
        <w:rPr>
          <w:kern w:val="22"/>
          <w:lang w:val="de-DE"/>
        </w:rPr>
        <w:t>Museum für Naturkunde Berlin</w:t>
      </w:r>
    </w:p>
    <w:p w:rsidR="005A7430" w:rsidRPr="00A43FF4" w:rsidRDefault="005A7430" w:rsidP="005A7430">
      <w:pPr>
        <w:spacing w:before="0" w:after="0"/>
        <w:ind w:left="284" w:hanging="284"/>
        <w:jc w:val="left"/>
        <w:rPr>
          <w:kern w:val="22"/>
        </w:rPr>
      </w:pPr>
      <w:r w:rsidRPr="00A43FF4">
        <w:rPr>
          <w:kern w:val="22"/>
        </w:rPr>
        <w:t>National Institute of Oceanography and Fisheries</w:t>
      </w:r>
    </w:p>
    <w:p w:rsidR="005A7430" w:rsidRPr="00A43FF4" w:rsidRDefault="005A7430" w:rsidP="005A7430">
      <w:pPr>
        <w:spacing w:before="0" w:after="0"/>
        <w:ind w:left="284" w:hanging="284"/>
        <w:jc w:val="left"/>
        <w:rPr>
          <w:kern w:val="22"/>
        </w:rPr>
      </w:pPr>
      <w:r w:rsidRPr="00A43FF4">
        <w:rPr>
          <w:kern w:val="22"/>
        </w:rPr>
        <w:t>National Research Centre</w:t>
      </w:r>
    </w:p>
    <w:p w:rsidR="005A7430" w:rsidRPr="00A43FF4" w:rsidRDefault="005A7430" w:rsidP="005A7430">
      <w:pPr>
        <w:spacing w:before="0" w:after="0"/>
        <w:ind w:left="284" w:hanging="284"/>
        <w:jc w:val="left"/>
        <w:rPr>
          <w:kern w:val="22"/>
        </w:rPr>
      </w:pPr>
      <w:r w:rsidRPr="00A43FF4">
        <w:rPr>
          <w:kern w:val="22"/>
        </w:rPr>
        <w:t>National Taiwan University</w:t>
      </w:r>
    </w:p>
    <w:p w:rsidR="005A7430" w:rsidRPr="00A43FF4" w:rsidRDefault="005A7430" w:rsidP="005A7430">
      <w:pPr>
        <w:spacing w:before="0" w:after="0"/>
        <w:ind w:left="284" w:hanging="284"/>
        <w:jc w:val="left"/>
        <w:rPr>
          <w:kern w:val="22"/>
        </w:rPr>
      </w:pPr>
      <w:r w:rsidRPr="00A43FF4">
        <w:rPr>
          <w:kern w:val="22"/>
        </w:rPr>
        <w:t>NatureMetrics Ltd.</w:t>
      </w:r>
    </w:p>
    <w:p w:rsidR="005A7430" w:rsidRPr="00A43FF4" w:rsidRDefault="005A7430" w:rsidP="005A7430">
      <w:pPr>
        <w:spacing w:before="0" w:after="0"/>
        <w:ind w:left="284" w:hanging="284"/>
        <w:jc w:val="left"/>
        <w:rPr>
          <w:kern w:val="22"/>
        </w:rPr>
      </w:pPr>
      <w:r w:rsidRPr="00A43FF4">
        <w:rPr>
          <w:kern w:val="22"/>
        </w:rPr>
        <w:t>One World Analytics</w:t>
      </w:r>
    </w:p>
    <w:p w:rsidR="005A7430" w:rsidRPr="00A43FF4" w:rsidRDefault="005A7430" w:rsidP="005A7430">
      <w:pPr>
        <w:spacing w:before="0" w:after="0"/>
        <w:ind w:left="284" w:hanging="284"/>
        <w:jc w:val="left"/>
        <w:rPr>
          <w:kern w:val="22"/>
        </w:rPr>
      </w:pPr>
      <w:r w:rsidRPr="00A43FF4">
        <w:rPr>
          <w:kern w:val="22"/>
        </w:rPr>
        <w:t>Plant for Life International</w:t>
      </w:r>
    </w:p>
    <w:p w:rsidR="005A7430" w:rsidRPr="00A43FF4" w:rsidRDefault="005A7430" w:rsidP="005A7430">
      <w:pPr>
        <w:spacing w:before="0" w:after="0"/>
        <w:ind w:left="284" w:hanging="284"/>
        <w:jc w:val="left"/>
        <w:rPr>
          <w:kern w:val="22"/>
        </w:rPr>
      </w:pPr>
      <w:r w:rsidRPr="00A43FF4">
        <w:rPr>
          <w:kern w:val="22"/>
        </w:rPr>
        <w:t>Public Research and Regulation Initiative</w:t>
      </w:r>
    </w:p>
    <w:p w:rsidR="005A7430" w:rsidRPr="00A43FF4" w:rsidRDefault="005A7430" w:rsidP="005A7430">
      <w:pPr>
        <w:spacing w:before="0" w:after="0"/>
        <w:ind w:left="284" w:hanging="284"/>
        <w:jc w:val="left"/>
        <w:rPr>
          <w:kern w:val="22"/>
        </w:rPr>
      </w:pPr>
      <w:r w:rsidRPr="00A43FF4">
        <w:rPr>
          <w:kern w:val="22"/>
        </w:rPr>
        <w:t>Royal Botanic Gardens, Kew</w:t>
      </w:r>
    </w:p>
    <w:p w:rsidR="005A7430" w:rsidRPr="00A43FF4" w:rsidRDefault="005A7430" w:rsidP="005A7430">
      <w:pPr>
        <w:spacing w:before="0" w:after="0"/>
        <w:ind w:left="284" w:hanging="284"/>
        <w:jc w:val="left"/>
        <w:rPr>
          <w:kern w:val="22"/>
        </w:rPr>
      </w:pPr>
      <w:r w:rsidRPr="00A43FF4">
        <w:rPr>
          <w:kern w:val="22"/>
        </w:rPr>
        <w:t>Sabancı University</w:t>
      </w:r>
    </w:p>
    <w:p w:rsidR="005A7430" w:rsidRPr="00A43FF4" w:rsidRDefault="005A7430" w:rsidP="005A7430">
      <w:pPr>
        <w:spacing w:before="0" w:after="0"/>
        <w:ind w:left="284" w:hanging="284"/>
        <w:jc w:val="left"/>
        <w:rPr>
          <w:kern w:val="22"/>
        </w:rPr>
      </w:pPr>
      <w:r w:rsidRPr="00A43FF4">
        <w:rPr>
          <w:kern w:val="22"/>
        </w:rPr>
        <w:t>Saint-Joseph University</w:t>
      </w:r>
    </w:p>
    <w:p w:rsidR="005A7430" w:rsidRPr="00A43FF4" w:rsidRDefault="005A7430" w:rsidP="005A7430">
      <w:pPr>
        <w:spacing w:before="0" w:after="0"/>
        <w:ind w:left="284" w:hanging="284"/>
        <w:jc w:val="left"/>
        <w:rPr>
          <w:kern w:val="22"/>
        </w:rPr>
      </w:pPr>
      <w:r w:rsidRPr="00A43FF4">
        <w:rPr>
          <w:kern w:val="22"/>
        </w:rPr>
        <w:t>Sohag University</w:t>
      </w:r>
    </w:p>
    <w:p w:rsidR="005A7430" w:rsidRPr="00A43FF4" w:rsidRDefault="005A7430" w:rsidP="005A7430">
      <w:pPr>
        <w:spacing w:before="0" w:after="0"/>
        <w:ind w:left="284" w:hanging="284"/>
        <w:jc w:val="left"/>
        <w:rPr>
          <w:kern w:val="22"/>
        </w:rPr>
      </w:pPr>
      <w:r w:rsidRPr="00A43FF4">
        <w:rPr>
          <w:kern w:val="22"/>
        </w:rPr>
        <w:lastRenderedPageBreak/>
        <w:t>Stockholm Resilience Centre</w:t>
      </w:r>
    </w:p>
    <w:p w:rsidR="005A7430" w:rsidRPr="00A43FF4" w:rsidRDefault="005A7430" w:rsidP="005A7430">
      <w:pPr>
        <w:spacing w:before="0" w:after="0"/>
        <w:ind w:left="284" w:hanging="284"/>
        <w:jc w:val="left"/>
        <w:rPr>
          <w:kern w:val="22"/>
        </w:rPr>
      </w:pPr>
      <w:r w:rsidRPr="00A43FF4">
        <w:rPr>
          <w:kern w:val="22"/>
        </w:rPr>
        <w:t>SwedBio</w:t>
      </w:r>
    </w:p>
    <w:p w:rsidR="005A7430" w:rsidRPr="00A43FF4" w:rsidRDefault="005A7430" w:rsidP="005A7430">
      <w:pPr>
        <w:spacing w:before="0" w:after="0"/>
        <w:ind w:left="284" w:hanging="284"/>
        <w:jc w:val="left"/>
        <w:rPr>
          <w:kern w:val="22"/>
        </w:rPr>
      </w:pPr>
      <w:r w:rsidRPr="00A43FF4">
        <w:rPr>
          <w:kern w:val="22"/>
        </w:rPr>
        <w:t>Swedish University of Agricultural Sciences</w:t>
      </w:r>
    </w:p>
    <w:p w:rsidR="005A7430" w:rsidRPr="00A43FF4" w:rsidRDefault="005A7430" w:rsidP="005A7430">
      <w:pPr>
        <w:spacing w:before="0" w:after="0"/>
        <w:ind w:left="284" w:hanging="284"/>
        <w:jc w:val="left"/>
        <w:rPr>
          <w:kern w:val="22"/>
        </w:rPr>
      </w:pPr>
      <w:r w:rsidRPr="00A43FF4">
        <w:rPr>
          <w:kern w:val="22"/>
        </w:rPr>
        <w:t>Tanta University</w:t>
      </w:r>
    </w:p>
    <w:p w:rsidR="005A7430" w:rsidRPr="00A43FF4" w:rsidRDefault="005A7430" w:rsidP="005A7430">
      <w:pPr>
        <w:spacing w:before="0" w:after="0"/>
        <w:ind w:left="284" w:hanging="284"/>
        <w:jc w:val="left"/>
        <w:rPr>
          <w:kern w:val="22"/>
        </w:rPr>
      </w:pPr>
      <w:r w:rsidRPr="00A43FF4">
        <w:rPr>
          <w:kern w:val="22"/>
        </w:rPr>
        <w:t>Tata Institute for Genetics and Society</w:t>
      </w:r>
    </w:p>
    <w:p w:rsidR="005A7430" w:rsidRPr="00A43FF4" w:rsidRDefault="005A7430" w:rsidP="005A7430">
      <w:pPr>
        <w:spacing w:before="0" w:after="0"/>
        <w:ind w:left="284" w:hanging="284"/>
        <w:jc w:val="left"/>
        <w:rPr>
          <w:kern w:val="22"/>
        </w:rPr>
      </w:pPr>
      <w:r w:rsidRPr="00A43FF4">
        <w:rPr>
          <w:kern w:val="22"/>
        </w:rPr>
        <w:t>The Royal Society</w:t>
      </w:r>
    </w:p>
    <w:p w:rsidR="005A7430" w:rsidRPr="00A43FF4" w:rsidRDefault="005A7430" w:rsidP="005A7430">
      <w:pPr>
        <w:spacing w:before="0" w:after="0"/>
        <w:ind w:left="284" w:hanging="284"/>
        <w:jc w:val="left"/>
        <w:rPr>
          <w:kern w:val="22"/>
        </w:rPr>
      </w:pPr>
      <w:r w:rsidRPr="00A43FF4">
        <w:rPr>
          <w:kern w:val="22"/>
        </w:rPr>
        <w:t>The Royal Society of Queensland</w:t>
      </w:r>
    </w:p>
    <w:p w:rsidR="005A7430" w:rsidRPr="00A43FF4" w:rsidRDefault="005A7430" w:rsidP="005A7430">
      <w:pPr>
        <w:spacing w:before="0" w:after="0"/>
        <w:ind w:left="284" w:hanging="284"/>
        <w:jc w:val="left"/>
        <w:rPr>
          <w:kern w:val="22"/>
        </w:rPr>
      </w:pPr>
      <w:r w:rsidRPr="00A43FF4">
        <w:rPr>
          <w:kern w:val="22"/>
        </w:rPr>
        <w:t>University of Bonn, Botanical Institute, Botanical Gardens</w:t>
      </w:r>
    </w:p>
    <w:p w:rsidR="005A7430" w:rsidRPr="00A43FF4" w:rsidRDefault="005A7430" w:rsidP="005A7430">
      <w:pPr>
        <w:spacing w:before="0" w:after="0"/>
        <w:ind w:left="284" w:hanging="284"/>
        <w:jc w:val="left"/>
        <w:rPr>
          <w:kern w:val="22"/>
        </w:rPr>
      </w:pPr>
      <w:r w:rsidRPr="00A43FF4">
        <w:rPr>
          <w:kern w:val="22"/>
        </w:rPr>
        <w:t xml:space="preserve">University of California </w:t>
      </w:r>
    </w:p>
    <w:p w:rsidR="005A7430" w:rsidRPr="00A43FF4" w:rsidRDefault="005A7430" w:rsidP="005A7430">
      <w:pPr>
        <w:spacing w:before="0" w:after="0"/>
        <w:ind w:left="284" w:hanging="284"/>
        <w:jc w:val="left"/>
        <w:rPr>
          <w:kern w:val="22"/>
        </w:rPr>
      </w:pPr>
      <w:r w:rsidRPr="00A43FF4">
        <w:rPr>
          <w:kern w:val="22"/>
        </w:rPr>
        <w:t>University of Canberra</w:t>
      </w:r>
    </w:p>
    <w:p w:rsidR="005A7430" w:rsidRPr="00A43FF4" w:rsidRDefault="005A7430" w:rsidP="005A7430">
      <w:pPr>
        <w:spacing w:before="0" w:after="0"/>
        <w:ind w:left="284" w:hanging="284"/>
        <w:rPr>
          <w:kern w:val="22"/>
        </w:rPr>
      </w:pPr>
      <w:r w:rsidRPr="00A43FF4">
        <w:rPr>
          <w:kern w:val="22"/>
        </w:rPr>
        <w:t>University of Exeter</w:t>
      </w:r>
    </w:p>
    <w:p w:rsidR="005A7430" w:rsidRPr="00A43FF4" w:rsidRDefault="005A7430" w:rsidP="005A7430">
      <w:pPr>
        <w:spacing w:before="0" w:after="0"/>
        <w:ind w:left="284" w:hanging="284"/>
        <w:rPr>
          <w:kern w:val="22"/>
        </w:rPr>
      </w:pPr>
      <w:r w:rsidRPr="00A43FF4">
        <w:rPr>
          <w:kern w:val="22"/>
        </w:rPr>
        <w:t>University of Guelph</w:t>
      </w:r>
    </w:p>
    <w:p w:rsidR="005A7430" w:rsidRPr="00A43FF4" w:rsidRDefault="005A7430" w:rsidP="005A7430">
      <w:pPr>
        <w:spacing w:before="0" w:after="0"/>
        <w:ind w:left="284" w:hanging="284"/>
        <w:rPr>
          <w:kern w:val="22"/>
        </w:rPr>
      </w:pPr>
      <w:r w:rsidRPr="00A43FF4">
        <w:rPr>
          <w:kern w:val="22"/>
        </w:rPr>
        <w:t>University of Helsinki</w:t>
      </w:r>
    </w:p>
    <w:p w:rsidR="005A7430" w:rsidRPr="00A43FF4" w:rsidRDefault="005A7430" w:rsidP="005A7430">
      <w:pPr>
        <w:spacing w:before="0" w:after="0"/>
        <w:ind w:left="284" w:hanging="284"/>
        <w:rPr>
          <w:kern w:val="22"/>
        </w:rPr>
      </w:pPr>
      <w:r w:rsidRPr="00A43FF4">
        <w:rPr>
          <w:kern w:val="22"/>
        </w:rPr>
        <w:t>University of Ottawa</w:t>
      </w:r>
    </w:p>
    <w:p w:rsidR="005A7430" w:rsidRPr="00A43FF4" w:rsidRDefault="005A7430" w:rsidP="005A7430">
      <w:pPr>
        <w:spacing w:before="0" w:after="0"/>
        <w:ind w:left="284" w:hanging="284"/>
        <w:rPr>
          <w:kern w:val="22"/>
        </w:rPr>
      </w:pPr>
      <w:r w:rsidRPr="00A43FF4">
        <w:rPr>
          <w:kern w:val="22"/>
        </w:rPr>
        <w:lastRenderedPageBreak/>
        <w:t>University of Plovdiv (Bulgaria)</w:t>
      </w:r>
    </w:p>
    <w:p w:rsidR="005A7430" w:rsidRPr="00A43FF4" w:rsidRDefault="005A7430" w:rsidP="005A7430">
      <w:pPr>
        <w:spacing w:before="0" w:after="0"/>
        <w:ind w:left="284" w:hanging="284"/>
        <w:rPr>
          <w:kern w:val="22"/>
        </w:rPr>
      </w:pPr>
      <w:r w:rsidRPr="00A43FF4">
        <w:rPr>
          <w:kern w:val="22"/>
        </w:rPr>
        <w:t>University of Sadat City</w:t>
      </w:r>
    </w:p>
    <w:p w:rsidR="005A7430" w:rsidRPr="00A43FF4" w:rsidRDefault="005A7430" w:rsidP="005A7430">
      <w:pPr>
        <w:spacing w:before="0" w:after="0"/>
        <w:ind w:left="284" w:hanging="284"/>
        <w:rPr>
          <w:kern w:val="22"/>
        </w:rPr>
      </w:pPr>
      <w:r w:rsidRPr="00A43FF4">
        <w:rPr>
          <w:kern w:val="22"/>
        </w:rPr>
        <w:t>University of Saskatchewan</w:t>
      </w:r>
    </w:p>
    <w:p w:rsidR="005A7430" w:rsidRPr="00A43FF4" w:rsidRDefault="005A7430" w:rsidP="005A7430">
      <w:pPr>
        <w:spacing w:before="0" w:after="0"/>
        <w:ind w:left="284" w:hanging="284"/>
        <w:rPr>
          <w:kern w:val="22"/>
        </w:rPr>
      </w:pPr>
      <w:r w:rsidRPr="00A43FF4">
        <w:rPr>
          <w:kern w:val="22"/>
        </w:rPr>
        <w:t>University of Sheffield</w:t>
      </w:r>
    </w:p>
    <w:p w:rsidR="005A7430" w:rsidRPr="00A43FF4" w:rsidRDefault="005A7430" w:rsidP="005A7430">
      <w:pPr>
        <w:spacing w:before="0" w:after="0"/>
        <w:ind w:left="284" w:hanging="284"/>
        <w:rPr>
          <w:kern w:val="22"/>
        </w:rPr>
      </w:pPr>
      <w:r w:rsidRPr="00A43FF4">
        <w:rPr>
          <w:kern w:val="22"/>
        </w:rPr>
        <w:t>University of Strathclyde</w:t>
      </w:r>
    </w:p>
    <w:p w:rsidR="005A7430" w:rsidRPr="00A43FF4" w:rsidRDefault="005A7430" w:rsidP="005A7430">
      <w:pPr>
        <w:spacing w:before="0" w:after="0"/>
        <w:ind w:left="284" w:hanging="284"/>
        <w:rPr>
          <w:kern w:val="22"/>
        </w:rPr>
      </w:pPr>
      <w:r w:rsidRPr="00A43FF4">
        <w:rPr>
          <w:kern w:val="22"/>
        </w:rPr>
        <w:t>University of the Arts London</w:t>
      </w:r>
    </w:p>
    <w:p w:rsidR="005A7430" w:rsidRPr="00A43FF4" w:rsidRDefault="005A7430" w:rsidP="005A7430">
      <w:pPr>
        <w:spacing w:before="0" w:after="0"/>
        <w:ind w:left="284" w:hanging="284"/>
        <w:rPr>
          <w:kern w:val="22"/>
        </w:rPr>
      </w:pPr>
      <w:r w:rsidRPr="00A43FF4">
        <w:rPr>
          <w:kern w:val="22"/>
        </w:rPr>
        <w:t>University of the West Indies</w:t>
      </w:r>
    </w:p>
    <w:p w:rsidR="005A7430" w:rsidRPr="00A43FF4" w:rsidRDefault="005A7430" w:rsidP="005A7430">
      <w:pPr>
        <w:spacing w:before="0" w:after="0"/>
        <w:ind w:left="284" w:hanging="284"/>
        <w:rPr>
          <w:kern w:val="22"/>
        </w:rPr>
      </w:pPr>
      <w:r w:rsidRPr="00A43FF4">
        <w:rPr>
          <w:kern w:val="22"/>
        </w:rPr>
        <w:t>University of Trento</w:t>
      </w:r>
    </w:p>
    <w:p w:rsidR="005A7430" w:rsidRPr="00A43FF4" w:rsidRDefault="005A7430" w:rsidP="005A7430">
      <w:pPr>
        <w:spacing w:before="0" w:after="0"/>
        <w:ind w:left="284" w:hanging="284"/>
        <w:rPr>
          <w:kern w:val="22"/>
        </w:rPr>
      </w:pPr>
      <w:r w:rsidRPr="00A43FF4">
        <w:rPr>
          <w:kern w:val="22"/>
        </w:rPr>
        <w:t>University of Vienna</w:t>
      </w:r>
    </w:p>
    <w:p w:rsidR="005A7430" w:rsidRPr="00A43FF4" w:rsidRDefault="005A7430" w:rsidP="005A7430">
      <w:pPr>
        <w:spacing w:before="0" w:after="0"/>
        <w:ind w:left="284" w:hanging="284"/>
        <w:rPr>
          <w:kern w:val="22"/>
        </w:rPr>
      </w:pPr>
      <w:r w:rsidRPr="00A43FF4">
        <w:rPr>
          <w:kern w:val="22"/>
        </w:rPr>
        <w:t>University of Warsaw</w:t>
      </w:r>
    </w:p>
    <w:p w:rsidR="005A7430" w:rsidRPr="00A43FF4" w:rsidRDefault="005A7430" w:rsidP="005A7430">
      <w:pPr>
        <w:spacing w:before="0" w:after="0"/>
        <w:ind w:left="284" w:hanging="284"/>
        <w:rPr>
          <w:kern w:val="22"/>
        </w:rPr>
      </w:pPr>
      <w:r w:rsidRPr="00A43FF4">
        <w:rPr>
          <w:kern w:val="22"/>
        </w:rPr>
        <w:t>Vale Institute of Technology</w:t>
      </w:r>
    </w:p>
    <w:p w:rsidR="005A7430" w:rsidRPr="00A43FF4" w:rsidRDefault="005A7430" w:rsidP="005A7430">
      <w:pPr>
        <w:spacing w:before="0" w:after="0"/>
        <w:ind w:left="284" w:hanging="284"/>
        <w:rPr>
          <w:kern w:val="22"/>
        </w:rPr>
      </w:pPr>
      <w:r w:rsidRPr="00A43FF4">
        <w:rPr>
          <w:kern w:val="22"/>
          <w:lang w:val="pl-PL"/>
        </w:rPr>
        <w:t>Wszechnica Polska</w:t>
      </w:r>
      <w:r w:rsidRPr="00A43FF4">
        <w:rPr>
          <w:kern w:val="22"/>
        </w:rPr>
        <w:t xml:space="preserve"> University in Warsaw</w:t>
      </w:r>
    </w:p>
    <w:p w:rsidR="005A7430" w:rsidRPr="00A43FF4" w:rsidRDefault="005A7430" w:rsidP="005A7430">
      <w:pPr>
        <w:spacing w:before="0" w:after="0"/>
        <w:ind w:left="284" w:hanging="284"/>
        <w:rPr>
          <w:kern w:val="22"/>
        </w:rPr>
      </w:pPr>
      <w:r w:rsidRPr="00A43FF4">
        <w:rPr>
          <w:kern w:val="22"/>
        </w:rPr>
        <w:t>Yale University</w:t>
      </w:r>
    </w:p>
    <w:p w:rsidR="005A7430" w:rsidRDefault="005A7430" w:rsidP="005A7430">
      <w:pPr>
        <w:spacing w:before="0" w:after="0"/>
        <w:ind w:left="284" w:hanging="284"/>
        <w:rPr>
          <w:kern w:val="22"/>
        </w:rPr>
      </w:pPr>
      <w:r w:rsidRPr="00A43FF4">
        <w:rPr>
          <w:kern w:val="22"/>
        </w:rPr>
        <w:t>Youth Biotech</w:t>
      </w:r>
    </w:p>
    <w:p w:rsidR="00606D6C" w:rsidRDefault="00606D6C" w:rsidP="005A7430">
      <w:pPr>
        <w:spacing w:before="0" w:after="0"/>
        <w:ind w:left="284" w:hanging="284"/>
        <w:rPr>
          <w:kern w:val="22"/>
        </w:rPr>
        <w:sectPr w:rsidR="00606D6C" w:rsidSect="00606D6C">
          <w:type w:val="continuous"/>
          <w:pgSz w:w="12240" w:h="15840"/>
          <w:pgMar w:top="567" w:right="1389" w:bottom="1134" w:left="1389" w:header="709" w:footer="709" w:gutter="0"/>
          <w:cols w:num="2" w:space="708"/>
          <w:docGrid w:linePitch="360"/>
        </w:sectPr>
      </w:pPr>
    </w:p>
    <w:p w:rsidR="00D74E33" w:rsidRPr="00F94A6F" w:rsidRDefault="00D74E33" w:rsidP="00B55836">
      <w:pPr>
        <w:ind w:firstLine="0"/>
        <w:jc w:val="center"/>
        <w:rPr>
          <w:rFonts w:eastAsiaTheme="minorEastAsia"/>
          <w:b/>
          <w:kern w:val="22"/>
        </w:rPr>
        <w:sectPr w:rsidR="00D74E33" w:rsidRPr="00F94A6F" w:rsidSect="00D74E33">
          <w:type w:val="continuous"/>
          <w:pgSz w:w="12240" w:h="15840"/>
          <w:pgMar w:top="567" w:right="1389" w:bottom="1134" w:left="1389" w:header="709" w:footer="709" w:gutter="0"/>
          <w:cols w:space="708"/>
          <w:docGrid w:linePitch="360"/>
        </w:sectPr>
      </w:pPr>
      <w:r w:rsidRPr="00F94A6F">
        <w:rPr>
          <w:rFonts w:eastAsiaTheme="minorEastAsia"/>
          <w:b/>
          <w:kern w:val="22"/>
        </w:rPr>
        <w:lastRenderedPageBreak/>
        <w:t>D.</w:t>
      </w:r>
      <w:r w:rsidRPr="00F94A6F">
        <w:rPr>
          <w:rFonts w:eastAsiaTheme="minorEastAsia"/>
          <w:b/>
          <w:kern w:val="22"/>
        </w:rPr>
        <w:tab/>
      </w:r>
      <w:r w:rsidR="00B55836" w:rsidRPr="00F94A6F">
        <w:rPr>
          <w:rFonts w:eastAsiaTheme="minorEastAsia"/>
          <w:b/>
          <w:kern w:val="22"/>
          <w:lang w:eastAsia="zh-CN"/>
        </w:rPr>
        <w:t>土著群体</w:t>
      </w:r>
    </w:p>
    <w:p w:rsidR="00D74E33" w:rsidRPr="00A43FF4" w:rsidRDefault="00D74E33" w:rsidP="00D74E33">
      <w:pPr>
        <w:spacing w:before="0" w:after="0"/>
        <w:ind w:left="284" w:hanging="284"/>
        <w:jc w:val="left"/>
        <w:rPr>
          <w:kern w:val="22"/>
        </w:rPr>
      </w:pPr>
      <w:r w:rsidRPr="00A43FF4">
        <w:rPr>
          <w:kern w:val="22"/>
        </w:rPr>
        <w:lastRenderedPageBreak/>
        <w:t>African Indigenous Women Organization (Nairobi)</w:t>
      </w:r>
    </w:p>
    <w:p w:rsidR="00D74E33" w:rsidRPr="00A43FF4" w:rsidRDefault="00D74E33" w:rsidP="00D74E33">
      <w:pPr>
        <w:spacing w:before="0" w:after="0"/>
        <w:ind w:left="284" w:hanging="284"/>
        <w:jc w:val="left"/>
        <w:rPr>
          <w:kern w:val="22"/>
          <w:lang w:val="fr-FR"/>
        </w:rPr>
      </w:pPr>
      <w:r w:rsidRPr="00A43FF4">
        <w:rPr>
          <w:kern w:val="22"/>
          <w:lang w:val="fr-FR"/>
        </w:rPr>
        <w:t xml:space="preserve">Alliance Nationale d'Appui et de Promotion des Aires du Patrimoine Autochtone et Communautaire en RD Congo </w:t>
      </w:r>
    </w:p>
    <w:p w:rsidR="00D74E33" w:rsidRPr="00A43FF4" w:rsidRDefault="00D74E33" w:rsidP="00D74E33">
      <w:pPr>
        <w:spacing w:before="0" w:after="0"/>
        <w:ind w:left="284" w:hanging="284"/>
        <w:jc w:val="left"/>
        <w:rPr>
          <w:kern w:val="22"/>
        </w:rPr>
      </w:pPr>
      <w:r w:rsidRPr="00A43FF4">
        <w:rPr>
          <w:kern w:val="22"/>
        </w:rPr>
        <w:t>Andes Chinchasuyo</w:t>
      </w:r>
    </w:p>
    <w:p w:rsidR="00D74E33" w:rsidRPr="00A43FF4" w:rsidRDefault="00D74E33" w:rsidP="00D74E33">
      <w:pPr>
        <w:spacing w:before="0" w:after="0"/>
        <w:ind w:left="284" w:hanging="284"/>
        <w:jc w:val="left"/>
        <w:rPr>
          <w:kern w:val="22"/>
        </w:rPr>
      </w:pPr>
      <w:r w:rsidRPr="00A43FF4">
        <w:rPr>
          <w:kern w:val="22"/>
        </w:rPr>
        <w:t>Asia Indigenous Peoples Pact Foundation</w:t>
      </w:r>
    </w:p>
    <w:p w:rsidR="00D74E33" w:rsidRPr="00A43FF4" w:rsidRDefault="00D74E33" w:rsidP="00D74E33">
      <w:pPr>
        <w:spacing w:before="0" w:after="0"/>
        <w:ind w:left="284" w:hanging="284"/>
        <w:jc w:val="left"/>
        <w:rPr>
          <w:kern w:val="22"/>
        </w:rPr>
      </w:pPr>
      <w:r w:rsidRPr="00A43FF4">
        <w:rPr>
          <w:kern w:val="22"/>
        </w:rPr>
        <w:t>Association ANDES</w:t>
      </w:r>
    </w:p>
    <w:p w:rsidR="00D74E33" w:rsidRPr="00A43FF4" w:rsidRDefault="00D74E33" w:rsidP="00D74E33">
      <w:pPr>
        <w:spacing w:before="0" w:after="0"/>
        <w:ind w:left="284" w:hanging="284"/>
        <w:jc w:val="left"/>
        <w:rPr>
          <w:kern w:val="22"/>
        </w:rPr>
      </w:pPr>
      <w:r w:rsidRPr="00A43FF4">
        <w:rPr>
          <w:kern w:val="22"/>
        </w:rPr>
        <w:t>Barnes Hill Community Development Organization</w:t>
      </w:r>
    </w:p>
    <w:p w:rsidR="00D74E33" w:rsidRPr="00A43FF4" w:rsidRDefault="00D74E33" w:rsidP="00D74E33">
      <w:pPr>
        <w:spacing w:before="0" w:after="0"/>
        <w:ind w:left="284" w:hanging="284"/>
        <w:jc w:val="left"/>
        <w:rPr>
          <w:kern w:val="22"/>
        </w:rPr>
      </w:pPr>
      <w:r w:rsidRPr="00A43FF4">
        <w:rPr>
          <w:kern w:val="22"/>
        </w:rPr>
        <w:t>Bio Community Initiative</w:t>
      </w:r>
    </w:p>
    <w:p w:rsidR="00D74E33" w:rsidRPr="00A43FF4" w:rsidRDefault="00D74E33" w:rsidP="00D74E33">
      <w:pPr>
        <w:spacing w:before="0" w:after="0"/>
        <w:ind w:left="284" w:hanging="284"/>
        <w:jc w:val="left"/>
        <w:rPr>
          <w:kern w:val="22"/>
        </w:rPr>
      </w:pPr>
      <w:r w:rsidRPr="00A43FF4">
        <w:rPr>
          <w:kern w:val="22"/>
        </w:rPr>
        <w:t>Center for Support of Indigenous Peoples of the North/Russian Indigenous Training Centre</w:t>
      </w:r>
    </w:p>
    <w:p w:rsidR="00D74E33" w:rsidRPr="00A43FF4" w:rsidRDefault="00D74E33" w:rsidP="00D74E33">
      <w:pPr>
        <w:spacing w:before="0" w:after="0"/>
        <w:ind w:left="284" w:hanging="284"/>
        <w:jc w:val="left"/>
        <w:rPr>
          <w:kern w:val="22"/>
          <w:lang w:val="fr-FR"/>
        </w:rPr>
      </w:pPr>
      <w:r w:rsidRPr="00A43FF4">
        <w:rPr>
          <w:kern w:val="22"/>
          <w:lang w:val="fr-FR"/>
        </w:rPr>
        <w:t>Chibememe Earth Healing Association</w:t>
      </w:r>
    </w:p>
    <w:p w:rsidR="00D74E33" w:rsidRPr="00A43FF4" w:rsidRDefault="00D74E33" w:rsidP="00D74E33">
      <w:pPr>
        <w:spacing w:before="0" w:after="0"/>
        <w:ind w:left="284" w:hanging="284"/>
        <w:jc w:val="left"/>
        <w:rPr>
          <w:kern w:val="22"/>
          <w:lang w:val="fr-FR"/>
        </w:rPr>
      </w:pPr>
      <w:r w:rsidRPr="00A43FF4">
        <w:rPr>
          <w:kern w:val="22"/>
          <w:lang w:val="fr-FR"/>
        </w:rPr>
        <w:t>Communautés Locales, riveraines de la Forêt Marécageuse Hlanzoun de Koussoukpa</w:t>
      </w:r>
    </w:p>
    <w:p w:rsidR="00D74E33" w:rsidRPr="00A43FF4" w:rsidRDefault="00D74E33" w:rsidP="00D74E33">
      <w:pPr>
        <w:spacing w:before="0" w:after="0"/>
        <w:ind w:left="284" w:hanging="284"/>
        <w:jc w:val="left"/>
        <w:rPr>
          <w:kern w:val="22"/>
          <w:lang w:val="es-ES"/>
        </w:rPr>
      </w:pPr>
      <w:r w:rsidRPr="00A43FF4">
        <w:rPr>
          <w:kern w:val="22"/>
          <w:lang w:val="es-ES"/>
        </w:rPr>
        <w:t>Confederación de Nacionalidades Indígenas de la Amazonia Ecuatoriana</w:t>
      </w:r>
    </w:p>
    <w:p w:rsidR="00D74E33" w:rsidRPr="00A43FF4" w:rsidRDefault="00D74E33" w:rsidP="00D74E33">
      <w:pPr>
        <w:spacing w:before="0" w:after="0"/>
        <w:ind w:left="284" w:hanging="284"/>
        <w:jc w:val="left"/>
        <w:rPr>
          <w:kern w:val="22"/>
          <w:lang w:val="es-ES"/>
        </w:rPr>
      </w:pPr>
      <w:r w:rsidRPr="00A43FF4">
        <w:rPr>
          <w:kern w:val="22"/>
          <w:lang w:val="es-ES"/>
        </w:rPr>
        <w:t>Consejo Autónomo Aymara</w:t>
      </w:r>
    </w:p>
    <w:p w:rsidR="00D74E33" w:rsidRPr="00A43FF4" w:rsidRDefault="00D74E33" w:rsidP="00D74E33">
      <w:pPr>
        <w:spacing w:before="0" w:after="0"/>
        <w:ind w:left="284" w:hanging="284"/>
        <w:jc w:val="left"/>
        <w:rPr>
          <w:kern w:val="22"/>
          <w:lang w:val="es-ES"/>
        </w:rPr>
      </w:pPr>
      <w:r w:rsidRPr="00A43FF4">
        <w:rPr>
          <w:kern w:val="22"/>
          <w:lang w:val="es-ES"/>
        </w:rPr>
        <w:t>Consejo Shipibo Konibo Xetebo Peru</w:t>
      </w:r>
    </w:p>
    <w:p w:rsidR="00D74E33" w:rsidRPr="00A43FF4" w:rsidRDefault="00D74E33" w:rsidP="00D74E33">
      <w:pPr>
        <w:spacing w:before="0" w:after="0"/>
        <w:ind w:left="284" w:hanging="284"/>
        <w:jc w:val="left"/>
        <w:rPr>
          <w:kern w:val="22"/>
          <w:lang w:val="es-ES"/>
        </w:rPr>
      </w:pPr>
      <w:r w:rsidRPr="00A43FF4">
        <w:rPr>
          <w:kern w:val="22"/>
          <w:lang w:val="es-ES"/>
        </w:rPr>
        <w:t>Coordinadora de las Organizaciones Indígenas de la Cuenca Amaz</w:t>
      </w:r>
      <w:r w:rsidRPr="00A43FF4">
        <w:rPr>
          <w:rFonts w:eastAsia="Calibri"/>
          <w:snapToGrid w:val="0"/>
          <w:kern w:val="22"/>
          <w:lang w:val="es-ES"/>
        </w:rPr>
        <w:t>ó</w:t>
      </w:r>
      <w:r w:rsidRPr="00A43FF4">
        <w:rPr>
          <w:kern w:val="22"/>
          <w:lang w:val="es-ES"/>
        </w:rPr>
        <w:t>nica</w:t>
      </w:r>
    </w:p>
    <w:p w:rsidR="00D74E33" w:rsidRPr="00A43FF4" w:rsidRDefault="00D74E33" w:rsidP="00D74E33">
      <w:pPr>
        <w:spacing w:before="0" w:after="0"/>
        <w:ind w:left="284" w:hanging="284"/>
        <w:jc w:val="left"/>
        <w:rPr>
          <w:kern w:val="22"/>
        </w:rPr>
      </w:pPr>
      <w:r w:rsidRPr="00A43FF4">
        <w:rPr>
          <w:kern w:val="22"/>
        </w:rPr>
        <w:t>Il Ngwesi Group Ranch</w:t>
      </w:r>
    </w:p>
    <w:p w:rsidR="00D74E33" w:rsidRPr="00A43FF4" w:rsidRDefault="00D74E33" w:rsidP="00D74E33">
      <w:pPr>
        <w:spacing w:before="0" w:after="0"/>
        <w:ind w:left="284" w:hanging="284"/>
        <w:jc w:val="left"/>
        <w:rPr>
          <w:kern w:val="22"/>
        </w:rPr>
      </w:pPr>
      <w:r w:rsidRPr="00A43FF4">
        <w:rPr>
          <w:kern w:val="22"/>
        </w:rPr>
        <w:t>Indigenous Information Network</w:t>
      </w:r>
    </w:p>
    <w:p w:rsidR="00D74E33" w:rsidRPr="00A43FF4" w:rsidRDefault="00D74E33" w:rsidP="00D74E33">
      <w:pPr>
        <w:spacing w:before="0" w:after="0"/>
        <w:ind w:left="284" w:hanging="284"/>
        <w:jc w:val="left"/>
        <w:rPr>
          <w:kern w:val="22"/>
        </w:rPr>
      </w:pPr>
      <w:r w:rsidRPr="00A43FF4">
        <w:rPr>
          <w:kern w:val="22"/>
        </w:rPr>
        <w:t>Indigenous Peoples of Africa Co-ordinating Committee</w:t>
      </w:r>
    </w:p>
    <w:p w:rsidR="00D74E33" w:rsidRPr="00A43FF4" w:rsidRDefault="00D74E33" w:rsidP="00D74E33">
      <w:pPr>
        <w:spacing w:before="0" w:after="0"/>
        <w:ind w:left="284" w:hanging="284"/>
        <w:jc w:val="left"/>
        <w:rPr>
          <w:kern w:val="22"/>
        </w:rPr>
      </w:pPr>
      <w:r w:rsidRPr="00A43FF4">
        <w:rPr>
          <w:kern w:val="22"/>
        </w:rPr>
        <w:t>Indigenous Reference Group of the Fisheries Research and Development Corporation</w:t>
      </w:r>
    </w:p>
    <w:p w:rsidR="00D74E33" w:rsidRPr="00A43FF4" w:rsidRDefault="00D74E33" w:rsidP="00D74E33">
      <w:pPr>
        <w:spacing w:before="0" w:after="0"/>
        <w:ind w:left="284" w:hanging="284"/>
        <w:jc w:val="left"/>
        <w:rPr>
          <w:kern w:val="22"/>
        </w:rPr>
      </w:pPr>
      <w:r w:rsidRPr="00A43FF4">
        <w:rPr>
          <w:kern w:val="22"/>
        </w:rPr>
        <w:lastRenderedPageBreak/>
        <w:t>International Indigenous Forum on Biodiversity</w:t>
      </w:r>
    </w:p>
    <w:p w:rsidR="00D74E33" w:rsidRPr="00A43FF4" w:rsidRDefault="00D74E33" w:rsidP="00D74E33">
      <w:pPr>
        <w:spacing w:before="0" w:after="0"/>
        <w:ind w:left="284" w:hanging="284"/>
        <w:jc w:val="left"/>
        <w:rPr>
          <w:kern w:val="22"/>
        </w:rPr>
      </w:pPr>
      <w:r w:rsidRPr="00A43FF4">
        <w:rPr>
          <w:kern w:val="22"/>
        </w:rPr>
        <w:t>Inuit Circumpolar Council (Canada)</w:t>
      </w:r>
    </w:p>
    <w:p w:rsidR="00D74E33" w:rsidRPr="00A8359F" w:rsidRDefault="00D74E33" w:rsidP="00D74E33">
      <w:pPr>
        <w:spacing w:before="0" w:after="0"/>
        <w:ind w:left="284" w:hanging="284"/>
        <w:jc w:val="left"/>
        <w:rPr>
          <w:kern w:val="22"/>
          <w:lang w:val="es-AR"/>
        </w:rPr>
      </w:pPr>
      <w:r w:rsidRPr="00A8359F">
        <w:rPr>
          <w:kern w:val="22"/>
          <w:lang w:val="es-AR"/>
        </w:rPr>
        <w:t>Jabalbina Yalanji Aboriginal Corporation</w:t>
      </w:r>
    </w:p>
    <w:p w:rsidR="00D74E33" w:rsidRPr="00A8359F" w:rsidRDefault="00D74E33" w:rsidP="00D74E33">
      <w:pPr>
        <w:spacing w:before="0" w:after="0"/>
        <w:ind w:left="284" w:hanging="284"/>
        <w:jc w:val="left"/>
        <w:rPr>
          <w:kern w:val="22"/>
          <w:lang w:val="es-AR"/>
        </w:rPr>
      </w:pPr>
      <w:r w:rsidRPr="00A8359F">
        <w:rPr>
          <w:kern w:val="22"/>
          <w:lang w:val="es-AR"/>
        </w:rPr>
        <w:t>Kunene Regional Communal Conservancy Association</w:t>
      </w:r>
    </w:p>
    <w:p w:rsidR="00D74E33" w:rsidRPr="00A8359F" w:rsidRDefault="00D74E33" w:rsidP="00D74E33">
      <w:pPr>
        <w:spacing w:before="0" w:after="0"/>
        <w:ind w:left="284" w:hanging="284"/>
        <w:jc w:val="left"/>
        <w:rPr>
          <w:kern w:val="22"/>
          <w:lang w:val="es-AR"/>
        </w:rPr>
      </w:pPr>
      <w:r w:rsidRPr="00A8359F">
        <w:rPr>
          <w:kern w:val="22"/>
          <w:lang w:val="es-AR"/>
        </w:rPr>
        <w:t>M</w:t>
      </w:r>
      <w:r w:rsidRPr="00A43FF4">
        <w:rPr>
          <w:kern w:val="22"/>
          <w:lang w:val="es-ES"/>
        </w:rPr>
        <w:t>esa Nacional Indígena de Costa Rica</w:t>
      </w:r>
    </w:p>
    <w:p w:rsidR="00D74E33" w:rsidRPr="00A43FF4" w:rsidRDefault="00D74E33" w:rsidP="00D74E33">
      <w:pPr>
        <w:spacing w:before="0" w:after="0"/>
        <w:ind w:left="284" w:hanging="284"/>
        <w:jc w:val="left"/>
        <w:rPr>
          <w:kern w:val="22"/>
        </w:rPr>
      </w:pPr>
      <w:r w:rsidRPr="00A43FF4">
        <w:rPr>
          <w:kern w:val="22"/>
        </w:rPr>
        <w:t>National Indigenous Women Forum</w:t>
      </w:r>
    </w:p>
    <w:p w:rsidR="00D74E33" w:rsidRPr="00A43FF4" w:rsidRDefault="00D74E33" w:rsidP="00D74E33">
      <w:pPr>
        <w:spacing w:before="0" w:after="0"/>
        <w:ind w:left="284" w:hanging="284"/>
        <w:jc w:val="left"/>
        <w:rPr>
          <w:kern w:val="22"/>
        </w:rPr>
      </w:pPr>
      <w:r w:rsidRPr="00A43FF4">
        <w:rPr>
          <w:kern w:val="22"/>
        </w:rPr>
        <w:t>Network of Indigenous and Local Populations for the Sustainable Management of Central African Forest Ecosystems</w:t>
      </w:r>
    </w:p>
    <w:p w:rsidR="00D74E33" w:rsidRPr="00A43FF4" w:rsidRDefault="00D74E33" w:rsidP="00D74E33">
      <w:pPr>
        <w:spacing w:before="0" w:after="0"/>
        <w:ind w:left="284" w:hanging="284"/>
        <w:jc w:val="left"/>
        <w:rPr>
          <w:kern w:val="22"/>
        </w:rPr>
      </w:pPr>
      <w:r w:rsidRPr="00A43FF4">
        <w:rPr>
          <w:kern w:val="22"/>
        </w:rPr>
        <w:t>Nirmanee Development Foundation</w:t>
      </w:r>
    </w:p>
    <w:p w:rsidR="00D74E33" w:rsidRPr="00A43FF4" w:rsidRDefault="00D74E33" w:rsidP="00D74E33">
      <w:pPr>
        <w:spacing w:before="0" w:after="0"/>
        <w:ind w:left="284" w:hanging="284"/>
        <w:jc w:val="left"/>
        <w:rPr>
          <w:kern w:val="22"/>
        </w:rPr>
      </w:pPr>
      <w:r w:rsidRPr="00A43FF4">
        <w:rPr>
          <w:kern w:val="22"/>
        </w:rPr>
        <w:t>OGIEK Peoples Development Program (OPDP)</w:t>
      </w:r>
    </w:p>
    <w:p w:rsidR="00D74E33" w:rsidRPr="00A43FF4" w:rsidRDefault="00D74E33" w:rsidP="00D74E33">
      <w:pPr>
        <w:spacing w:before="0" w:after="0"/>
        <w:ind w:left="284" w:hanging="284"/>
        <w:jc w:val="left"/>
        <w:rPr>
          <w:kern w:val="22"/>
          <w:lang w:val="es-ES"/>
        </w:rPr>
      </w:pPr>
      <w:r w:rsidRPr="00A43FF4">
        <w:rPr>
          <w:kern w:val="22"/>
          <w:lang w:val="es-ES"/>
        </w:rPr>
        <w:t xml:space="preserve">Red de Asesores e Investigación Social </w:t>
      </w:r>
    </w:p>
    <w:p w:rsidR="00D74E33" w:rsidRPr="00A43FF4" w:rsidRDefault="00D74E33" w:rsidP="00D74E33">
      <w:pPr>
        <w:spacing w:before="0" w:after="0"/>
        <w:ind w:left="284" w:hanging="284"/>
        <w:jc w:val="left"/>
        <w:rPr>
          <w:kern w:val="22"/>
          <w:lang w:val="es-ES"/>
        </w:rPr>
      </w:pPr>
      <w:r w:rsidRPr="00A43FF4">
        <w:rPr>
          <w:kern w:val="22"/>
          <w:lang w:val="es-ES"/>
        </w:rPr>
        <w:t>Red de Mujeres Indígenas sobre Biodiversidad de América Latina y el Caribe</w:t>
      </w:r>
    </w:p>
    <w:p w:rsidR="00D74E33" w:rsidRPr="00A43FF4" w:rsidRDefault="00D74E33" w:rsidP="00D74E33">
      <w:pPr>
        <w:spacing w:before="0" w:after="0"/>
        <w:ind w:left="284" w:hanging="284"/>
        <w:jc w:val="left"/>
        <w:rPr>
          <w:kern w:val="22"/>
          <w:lang w:val="es-ES"/>
        </w:rPr>
      </w:pPr>
      <w:r w:rsidRPr="00A43FF4">
        <w:rPr>
          <w:kern w:val="22"/>
          <w:lang w:val="es-ES"/>
        </w:rPr>
        <w:t>Red Indígena de Turismo de México (RITA)</w:t>
      </w:r>
    </w:p>
    <w:p w:rsidR="00D74E33" w:rsidRPr="00A43FF4" w:rsidRDefault="00D74E33" w:rsidP="00D74E33">
      <w:pPr>
        <w:spacing w:before="0" w:after="0"/>
        <w:ind w:left="284" w:hanging="284"/>
        <w:jc w:val="left"/>
        <w:rPr>
          <w:kern w:val="22"/>
          <w:lang w:val="es-ES"/>
        </w:rPr>
      </w:pPr>
      <w:r w:rsidRPr="00A43FF4">
        <w:rPr>
          <w:kern w:val="22"/>
          <w:lang w:val="es-ES"/>
        </w:rPr>
        <w:t>Rueda de Medicina y Asociados, A.C.</w:t>
      </w:r>
    </w:p>
    <w:p w:rsidR="00D74E33" w:rsidRPr="00A43FF4" w:rsidRDefault="00D74E33" w:rsidP="00D74E33">
      <w:pPr>
        <w:spacing w:before="0" w:after="0"/>
        <w:ind w:left="284" w:hanging="284"/>
        <w:jc w:val="left"/>
        <w:rPr>
          <w:kern w:val="22"/>
        </w:rPr>
      </w:pPr>
      <w:r w:rsidRPr="00A43FF4">
        <w:rPr>
          <w:kern w:val="22"/>
        </w:rPr>
        <w:t>Saami Council</w:t>
      </w:r>
    </w:p>
    <w:p w:rsidR="00D74E33" w:rsidRPr="00A43FF4" w:rsidRDefault="00D74E33" w:rsidP="00D74E33">
      <w:pPr>
        <w:spacing w:before="0" w:after="0"/>
        <w:ind w:left="284" w:hanging="284"/>
        <w:jc w:val="left"/>
        <w:rPr>
          <w:kern w:val="22"/>
        </w:rPr>
      </w:pPr>
      <w:r w:rsidRPr="00A43FF4">
        <w:rPr>
          <w:kern w:val="22"/>
        </w:rPr>
        <w:t>Society for Wetland Biodiversity Conservation - Nepal</w:t>
      </w:r>
    </w:p>
    <w:p w:rsidR="00D74E33" w:rsidRPr="00A43FF4" w:rsidRDefault="00D74E33" w:rsidP="00D74E33">
      <w:pPr>
        <w:spacing w:before="0" w:after="0"/>
        <w:ind w:left="284" w:hanging="284"/>
        <w:jc w:val="left"/>
        <w:rPr>
          <w:kern w:val="22"/>
          <w:lang w:val="fr-FR"/>
        </w:rPr>
      </w:pPr>
      <w:r w:rsidRPr="00A43FF4">
        <w:rPr>
          <w:kern w:val="22"/>
          <w:lang w:val="fr-FR"/>
        </w:rPr>
        <w:t>TAFO MIHAAVO - Réseau National des Fokonolona Gestionnaires de Ressources Naturelles à Madagascar</w:t>
      </w:r>
    </w:p>
    <w:p w:rsidR="00D74E33" w:rsidRPr="00A43FF4" w:rsidRDefault="00D74E33" w:rsidP="00D74E33">
      <w:pPr>
        <w:spacing w:before="0" w:after="0"/>
        <w:ind w:left="284" w:hanging="284"/>
        <w:jc w:val="left"/>
        <w:rPr>
          <w:kern w:val="22"/>
        </w:rPr>
      </w:pPr>
      <w:r w:rsidRPr="00A43FF4">
        <w:rPr>
          <w:kern w:val="22"/>
        </w:rPr>
        <w:t>Tebtebba Foundation</w:t>
      </w:r>
    </w:p>
    <w:p w:rsidR="00D74E33" w:rsidRPr="00A43FF4" w:rsidRDefault="00D74E33" w:rsidP="00D74E33">
      <w:pPr>
        <w:spacing w:before="0" w:after="0"/>
        <w:ind w:left="284" w:hanging="284"/>
        <w:jc w:val="left"/>
        <w:rPr>
          <w:kern w:val="22"/>
        </w:rPr>
        <w:sectPr w:rsidR="00D74E33" w:rsidRPr="00A43FF4" w:rsidSect="00606D6C">
          <w:type w:val="continuous"/>
          <w:pgSz w:w="12240" w:h="15840"/>
          <w:pgMar w:top="567" w:right="1389" w:bottom="1134" w:left="1389" w:header="709" w:footer="709" w:gutter="0"/>
          <w:cols w:num="2" w:space="708"/>
          <w:docGrid w:linePitch="360"/>
        </w:sectPr>
      </w:pPr>
      <w:r w:rsidRPr="00A43FF4">
        <w:rPr>
          <w:kern w:val="22"/>
        </w:rPr>
        <w:lastRenderedPageBreak/>
        <w:t xml:space="preserve">United Organization of Batwa Development </w:t>
      </w:r>
      <w:r w:rsidRPr="00A43FF4">
        <w:rPr>
          <w:kern w:val="22"/>
        </w:rPr>
        <w:lastRenderedPageBreak/>
        <w:t>in Uganda</w:t>
      </w:r>
    </w:p>
    <w:p w:rsidR="00D74E33" w:rsidRPr="00B55836" w:rsidRDefault="00D74E33" w:rsidP="00B55836">
      <w:pPr>
        <w:ind w:firstLine="0"/>
        <w:jc w:val="center"/>
        <w:rPr>
          <w:b/>
          <w:kern w:val="22"/>
          <w:lang w:eastAsia="zh-CN"/>
        </w:rPr>
        <w:sectPr w:rsidR="00D74E33" w:rsidRPr="00B55836" w:rsidSect="00D74E33">
          <w:type w:val="continuous"/>
          <w:pgSz w:w="12240" w:h="15840"/>
          <w:pgMar w:top="567" w:right="1389" w:bottom="1134" w:left="1389" w:header="709" w:footer="709" w:gutter="0"/>
          <w:cols w:space="708"/>
          <w:docGrid w:linePitch="360"/>
        </w:sectPr>
      </w:pPr>
      <w:r w:rsidRPr="00B55836">
        <w:rPr>
          <w:b/>
          <w:kern w:val="22"/>
          <w:lang w:eastAsia="zh-CN"/>
        </w:rPr>
        <w:lastRenderedPageBreak/>
        <w:t>E.</w:t>
      </w:r>
      <w:r w:rsidRPr="00B55836">
        <w:rPr>
          <w:b/>
          <w:kern w:val="22"/>
          <w:lang w:eastAsia="zh-CN"/>
        </w:rPr>
        <w:tab/>
      </w:r>
      <w:r w:rsidR="00B55836">
        <w:rPr>
          <w:rFonts w:hint="eastAsia"/>
          <w:b/>
          <w:kern w:val="22"/>
          <w:lang w:eastAsia="zh-CN"/>
        </w:rPr>
        <w:t>非政府组织</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lastRenderedPageBreak/>
        <w:t>Abu Ghosoun Community Development Association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AEON Environmental Foundation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African Centre for Biodiversity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African Centre for Technology Studies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African Wildlife Foundation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Al Bishareya</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Alwatad Cultural Society for Human Development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Amazon Watch</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AMWAJ of the Environment - Beirut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Arab Federation for Wildlife Protection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 xml:space="preserve">Arab Office for Youth and Environment </w:t>
      </w:r>
    </w:p>
    <w:p w:rsidR="00D74E33" w:rsidRPr="00A43FF4" w:rsidRDefault="00D74E33" w:rsidP="00D74E33">
      <w:pPr>
        <w:spacing w:before="0" w:after="0"/>
        <w:ind w:left="284" w:hanging="284"/>
        <w:jc w:val="left"/>
        <w:rPr>
          <w:snapToGrid w:val="0"/>
          <w:color w:val="000000"/>
          <w:kern w:val="22"/>
          <w:lang w:val="es-ES"/>
        </w:rPr>
      </w:pPr>
      <w:r w:rsidRPr="00A43FF4">
        <w:rPr>
          <w:snapToGrid w:val="0"/>
          <w:color w:val="000000"/>
          <w:kern w:val="22"/>
          <w:lang w:val="es-ES"/>
        </w:rPr>
        <w:t>Asociación de Desarrollo Integral Mitij Ixoq (ADIMI)</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Assist Social Capital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Association for the Development and Environmental Protection</w:t>
      </w:r>
    </w:p>
    <w:p w:rsidR="00D74E33" w:rsidRPr="00A43FF4" w:rsidRDefault="00D74E33" w:rsidP="00D74E33">
      <w:pPr>
        <w:spacing w:before="0" w:after="0"/>
        <w:ind w:left="284" w:hanging="284"/>
        <w:jc w:val="left"/>
        <w:rPr>
          <w:snapToGrid w:val="0"/>
          <w:color w:val="000000"/>
          <w:kern w:val="22"/>
          <w:lang w:val="fr-FR"/>
        </w:rPr>
      </w:pPr>
      <w:r w:rsidRPr="00A43FF4">
        <w:rPr>
          <w:snapToGrid w:val="0"/>
          <w:color w:val="000000"/>
          <w:kern w:val="22"/>
          <w:lang w:val="fr-FR"/>
        </w:rPr>
        <w:t>Association Ibn Al Baytar</w:t>
      </w:r>
    </w:p>
    <w:p w:rsidR="00D74E33" w:rsidRPr="00A43FF4" w:rsidRDefault="00D74E33" w:rsidP="00D74E33">
      <w:pPr>
        <w:spacing w:before="0" w:after="0"/>
        <w:ind w:left="284" w:hanging="284"/>
        <w:jc w:val="left"/>
        <w:rPr>
          <w:snapToGrid w:val="0"/>
          <w:color w:val="000000"/>
          <w:kern w:val="22"/>
          <w:lang w:val="fr-FR"/>
        </w:rPr>
      </w:pPr>
      <w:r w:rsidRPr="00A43FF4">
        <w:rPr>
          <w:snapToGrid w:val="0"/>
          <w:color w:val="000000"/>
          <w:kern w:val="22"/>
          <w:lang w:val="fr-FR"/>
        </w:rPr>
        <w:t>Association Marocaine pour la Protection de l’Environnement et du Climat (ASMAPEC)</w:t>
      </w:r>
    </w:p>
    <w:p w:rsidR="00D74E33" w:rsidRPr="00A43FF4" w:rsidRDefault="00D74E33" w:rsidP="00D74E33">
      <w:pPr>
        <w:spacing w:before="0" w:after="0"/>
        <w:ind w:left="284" w:hanging="284"/>
        <w:jc w:val="left"/>
        <w:rPr>
          <w:snapToGrid w:val="0"/>
          <w:color w:val="000000"/>
          <w:kern w:val="22"/>
          <w:lang w:val="fr-FR"/>
        </w:rPr>
      </w:pPr>
      <w:r w:rsidRPr="00A43FF4">
        <w:rPr>
          <w:snapToGrid w:val="0"/>
          <w:color w:val="000000"/>
          <w:kern w:val="22"/>
          <w:lang w:val="fr-FR"/>
        </w:rPr>
        <w:t>Association Nationale Biodiversité et Énergies Renouvelables</w:t>
      </w:r>
    </w:p>
    <w:p w:rsidR="00D74E33" w:rsidRPr="00A43FF4" w:rsidRDefault="00D74E33" w:rsidP="00D74E33">
      <w:pPr>
        <w:spacing w:before="0" w:after="0"/>
        <w:ind w:left="284" w:hanging="284"/>
        <w:jc w:val="left"/>
        <w:rPr>
          <w:snapToGrid w:val="0"/>
          <w:color w:val="000000"/>
          <w:kern w:val="22"/>
          <w:lang w:val="en-CA"/>
        </w:rPr>
      </w:pPr>
      <w:r w:rsidRPr="00A43FF4">
        <w:rPr>
          <w:snapToGrid w:val="0"/>
          <w:color w:val="000000"/>
          <w:kern w:val="22"/>
          <w:lang w:val="en-CA"/>
        </w:rPr>
        <w:t>Association Orée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Australian Conservation Foundation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Australian Rainforest Conservation Society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Avaaz</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Beam of the Environment Association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Biotechnology Coalition of the Philippines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BirdLife International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BirdLife South Africa</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Bombay Natural History Society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Born Free Foundation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Botanic Gardens Conservation International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Brahma Kumaris World Spiritual University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C40 Cities Climate Leadership Group</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Campaign for Nature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Canadian Wildlife Federation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Caribbean Biodiversity Fund</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Catholic Youth Network for Environmental Sustainability in Africa (CYNESA)</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CBD Alliance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 xml:space="preserve">Center for Biodiversity Conservation </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lastRenderedPageBreak/>
        <w:t>Center for Large Landscape Conservation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Central Africa Bushmeat Action Group</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Central Research Institute of Electric Power Industry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Centre for Sustainable Development and Environment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Children and Nature Network</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China Biodiversity Conservation and Green Development Foundation</w:t>
      </w:r>
    </w:p>
    <w:p w:rsidR="00D74E33" w:rsidRPr="00A43FF4" w:rsidRDefault="00D74E33" w:rsidP="00D74E33">
      <w:pPr>
        <w:spacing w:before="0" w:after="0"/>
        <w:ind w:left="284" w:hanging="284"/>
        <w:jc w:val="left"/>
        <w:rPr>
          <w:noProof/>
          <w:snapToGrid w:val="0"/>
          <w:color w:val="000000"/>
          <w:kern w:val="22"/>
          <w:lang w:val="fr-FR"/>
        </w:rPr>
      </w:pPr>
      <w:r w:rsidRPr="00A43FF4">
        <w:rPr>
          <w:noProof/>
          <w:snapToGrid w:val="0"/>
          <w:color w:val="000000"/>
          <w:kern w:val="22"/>
          <w:lang w:val="fr-FR"/>
        </w:rPr>
        <w:t>ClientEarth</w:t>
      </w:r>
    </w:p>
    <w:p w:rsidR="00D74E33" w:rsidRPr="00A43FF4" w:rsidRDefault="00D74E33" w:rsidP="00D74E33">
      <w:pPr>
        <w:spacing w:before="0" w:after="0"/>
        <w:ind w:left="284" w:hanging="284"/>
        <w:jc w:val="left"/>
        <w:rPr>
          <w:snapToGrid w:val="0"/>
          <w:color w:val="000000"/>
          <w:kern w:val="22"/>
          <w:lang w:val="fr-FR"/>
        </w:rPr>
      </w:pPr>
      <w:r w:rsidRPr="00A43FF4">
        <w:rPr>
          <w:noProof/>
          <w:snapToGrid w:val="0"/>
          <w:color w:val="000000"/>
          <w:kern w:val="22"/>
          <w:lang w:val="fr-FR"/>
        </w:rPr>
        <w:t>Climate</w:t>
      </w:r>
      <w:r w:rsidRPr="00A43FF4">
        <w:rPr>
          <w:snapToGrid w:val="0"/>
          <w:color w:val="000000"/>
          <w:kern w:val="22"/>
          <w:lang w:val="fr-FR"/>
        </w:rPr>
        <w:t xml:space="preserve"> Tracker Inc.</w:t>
      </w:r>
    </w:p>
    <w:p w:rsidR="00D74E33" w:rsidRPr="00A43FF4" w:rsidRDefault="00D74E33" w:rsidP="00D74E33">
      <w:pPr>
        <w:spacing w:before="0" w:after="0"/>
        <w:ind w:left="284" w:hanging="284"/>
        <w:jc w:val="left"/>
        <w:rPr>
          <w:snapToGrid w:val="0"/>
          <w:color w:val="000000"/>
          <w:kern w:val="22"/>
          <w:lang w:val="fr-FR"/>
        </w:rPr>
      </w:pPr>
      <w:r w:rsidRPr="00A43FF4">
        <w:rPr>
          <w:snapToGrid w:val="0"/>
          <w:color w:val="000000"/>
          <w:kern w:val="22"/>
          <w:lang w:val="fr-FR"/>
        </w:rPr>
        <w:t>Club Marocain pour l’Environnement et le Développement (CMED)</w:t>
      </w:r>
    </w:p>
    <w:p w:rsidR="00D74E33" w:rsidRPr="00A43FF4" w:rsidRDefault="00D74E33" w:rsidP="00D74E33">
      <w:pPr>
        <w:spacing w:before="0" w:after="0"/>
        <w:ind w:left="284" w:hanging="284"/>
        <w:jc w:val="left"/>
        <w:rPr>
          <w:snapToGrid w:val="0"/>
          <w:color w:val="000000"/>
          <w:kern w:val="22"/>
          <w:lang w:val="it-IT"/>
        </w:rPr>
      </w:pPr>
      <w:r w:rsidRPr="00A43FF4">
        <w:rPr>
          <w:snapToGrid w:val="0"/>
          <w:color w:val="000000"/>
          <w:kern w:val="22"/>
          <w:lang w:val="it-IT"/>
        </w:rPr>
        <w:t>COBASE Cooperativa Tecnico Scientifica di Base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Community Development and Youth Training</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Community Technology Development Organisation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Compassion in World Farming</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Conservation International</w:t>
      </w:r>
    </w:p>
    <w:p w:rsidR="00D74E33" w:rsidRPr="00A8359F" w:rsidRDefault="00D74E33" w:rsidP="00D74E33">
      <w:pPr>
        <w:spacing w:before="0" w:after="0"/>
        <w:ind w:left="284" w:hanging="284"/>
        <w:jc w:val="left"/>
        <w:rPr>
          <w:snapToGrid w:val="0"/>
          <w:color w:val="000000"/>
          <w:kern w:val="22"/>
          <w:lang w:val="es-AR"/>
        </w:rPr>
      </w:pPr>
      <w:r w:rsidRPr="00A8359F">
        <w:rPr>
          <w:snapToGrid w:val="0"/>
          <w:color w:val="000000"/>
          <w:kern w:val="22"/>
          <w:lang w:val="es-AR"/>
        </w:rPr>
        <w:t>Conservation International Africa Field Division</w:t>
      </w:r>
    </w:p>
    <w:p w:rsidR="00D74E33" w:rsidRPr="00A43FF4" w:rsidRDefault="00D74E33" w:rsidP="00D74E33">
      <w:pPr>
        <w:spacing w:before="0" w:after="0"/>
        <w:ind w:left="284" w:hanging="284"/>
        <w:jc w:val="left"/>
        <w:rPr>
          <w:snapToGrid w:val="0"/>
          <w:color w:val="000000"/>
          <w:kern w:val="22"/>
          <w:lang w:val="es-ES"/>
        </w:rPr>
      </w:pPr>
      <w:r w:rsidRPr="00A43FF4">
        <w:rPr>
          <w:snapToGrid w:val="0"/>
          <w:color w:val="000000"/>
          <w:kern w:val="22"/>
          <w:lang w:val="es-ES"/>
        </w:rPr>
        <w:t>Cooperativa Autogestionaria de Servicios Profesionales para la Solidaridad Social, R.L.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Council for Green Revolution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Cross Cutting Capacity Development</w:t>
      </w:r>
    </w:p>
    <w:p w:rsidR="00D74E33" w:rsidRPr="00A43FF4" w:rsidRDefault="00D74E33" w:rsidP="00D74E33">
      <w:pPr>
        <w:spacing w:before="0" w:after="0"/>
        <w:ind w:left="284" w:hanging="284"/>
        <w:jc w:val="left"/>
        <w:rPr>
          <w:snapToGrid w:val="0"/>
          <w:color w:val="000000"/>
          <w:kern w:val="22"/>
          <w:lang w:val="es-ES"/>
        </w:rPr>
      </w:pPr>
      <w:r w:rsidRPr="00A43FF4">
        <w:rPr>
          <w:snapToGrid w:val="0"/>
          <w:color w:val="000000"/>
          <w:kern w:val="22"/>
          <w:lang w:val="es-ES"/>
        </w:rPr>
        <w:t>Derecho Ambiente y Recursos Naturales</w:t>
      </w:r>
    </w:p>
    <w:p w:rsidR="00D74E33" w:rsidRPr="00A8359F" w:rsidRDefault="00D74E33" w:rsidP="00D74E33">
      <w:pPr>
        <w:spacing w:before="0" w:after="0"/>
        <w:ind w:left="284" w:hanging="284"/>
        <w:jc w:val="left"/>
        <w:rPr>
          <w:snapToGrid w:val="0"/>
          <w:color w:val="000000"/>
          <w:kern w:val="22"/>
          <w:lang w:val="es-AR"/>
        </w:rPr>
      </w:pPr>
      <w:r w:rsidRPr="00A8359F">
        <w:rPr>
          <w:snapToGrid w:val="0"/>
          <w:color w:val="000000"/>
          <w:kern w:val="22"/>
          <w:lang w:val="es-AR"/>
        </w:rPr>
        <w:t>DHI Water &amp; Environment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DRIFT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Earth Island Institute</w:t>
      </w:r>
    </w:p>
    <w:p w:rsidR="00D74E33" w:rsidRPr="00A43FF4" w:rsidRDefault="00D74E33" w:rsidP="00D74E33">
      <w:pPr>
        <w:spacing w:before="0" w:after="0"/>
        <w:ind w:left="284" w:hanging="284"/>
        <w:jc w:val="left"/>
        <w:rPr>
          <w:snapToGrid w:val="0"/>
          <w:color w:val="000000"/>
          <w:kern w:val="22"/>
        </w:rPr>
      </w:pPr>
      <w:r w:rsidRPr="00A43FF4">
        <w:rPr>
          <w:noProof/>
          <w:snapToGrid w:val="0"/>
          <w:color w:val="000000"/>
          <w:kern w:val="22"/>
        </w:rPr>
        <w:t>EcoHealth</w:t>
      </w:r>
      <w:r w:rsidRPr="00A43FF4">
        <w:rPr>
          <w:snapToGrid w:val="0"/>
          <w:color w:val="000000"/>
          <w:kern w:val="22"/>
        </w:rPr>
        <w:t xml:space="preserve"> Alliance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Ecological Movement “BIOM”</w:t>
      </w:r>
    </w:p>
    <w:p w:rsidR="00D74E33" w:rsidRPr="00A43FF4" w:rsidRDefault="00D74E33" w:rsidP="00D74E33">
      <w:pPr>
        <w:spacing w:before="0" w:after="0"/>
        <w:ind w:left="284" w:hanging="284"/>
        <w:jc w:val="left"/>
        <w:rPr>
          <w:noProof/>
          <w:snapToGrid w:val="0"/>
          <w:color w:val="000000"/>
          <w:kern w:val="22"/>
        </w:rPr>
      </w:pPr>
      <w:r w:rsidRPr="00A43FF4">
        <w:rPr>
          <w:noProof/>
          <w:snapToGrid w:val="0"/>
          <w:color w:val="000000"/>
          <w:kern w:val="22"/>
        </w:rPr>
        <w:t>EcoNexus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ECOROPA</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EGYCOM</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Egypt Green Energy Association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Egyptian Association for Creation and Development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Egyptian Association for the Preservation of Heritage, Environment &amp; Family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Egyptian Italian Environmental Cooperation Project-Phase III (EIE CPIII)</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lastRenderedPageBreak/>
        <w:t>Egyptian Nile Basin Discourse Forum</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Egyptian Sustainable Development Forum</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El Nafeza Foundation for Contemporary Art and Development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El Ramis Society for Local Community Development of Barrany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Endangered Wildlife Trust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Environmental Conservation Trust of Uganda</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Environmental Foundation (Guarantee) Limited</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Environmental Protection Association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Environmental Rights Action / Friends of the Earth Nigeria</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ETC Group</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European Bureau for Conservation and Development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European Climate Foundation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European Landowners' Organization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Every Woman Hope Centre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Fayrouz Society for Social, Environmental and Economical Services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Federation of German Scientists</w:t>
      </w:r>
    </w:p>
    <w:p w:rsidR="00D74E33" w:rsidRPr="00A43FF4" w:rsidRDefault="00D74E33" w:rsidP="00D74E33">
      <w:pPr>
        <w:spacing w:before="0" w:after="0"/>
        <w:ind w:left="284" w:hanging="284"/>
        <w:jc w:val="left"/>
        <w:rPr>
          <w:snapToGrid w:val="0"/>
          <w:color w:val="000000"/>
          <w:kern w:val="22"/>
          <w:lang w:val="en-CA"/>
        </w:rPr>
      </w:pPr>
      <w:r w:rsidRPr="00A43FF4">
        <w:rPr>
          <w:snapToGrid w:val="0"/>
          <w:color w:val="000000"/>
          <w:kern w:val="22"/>
          <w:lang w:val="en-CA"/>
        </w:rPr>
        <w:t>Fondation Franz Weber</w:t>
      </w:r>
    </w:p>
    <w:p w:rsidR="00D74E33" w:rsidRPr="00A43FF4" w:rsidRDefault="00D74E33" w:rsidP="00D74E33">
      <w:pPr>
        <w:spacing w:before="0" w:after="0"/>
        <w:ind w:left="284" w:hanging="284"/>
        <w:jc w:val="left"/>
        <w:rPr>
          <w:snapToGrid w:val="0"/>
          <w:color w:val="000000"/>
          <w:kern w:val="22"/>
          <w:lang w:val="fr-FR"/>
        </w:rPr>
      </w:pPr>
      <w:r w:rsidRPr="00A43FF4">
        <w:rPr>
          <w:snapToGrid w:val="0"/>
          <w:color w:val="000000"/>
          <w:kern w:val="22"/>
          <w:lang w:val="fr-FR"/>
        </w:rPr>
        <w:t>Fondation Tany Meva</w:t>
      </w:r>
    </w:p>
    <w:p w:rsidR="00D74E33" w:rsidRPr="00A43FF4" w:rsidRDefault="00D74E33" w:rsidP="00D74E33">
      <w:pPr>
        <w:spacing w:before="0" w:after="0"/>
        <w:ind w:left="284" w:hanging="284"/>
        <w:jc w:val="left"/>
        <w:rPr>
          <w:snapToGrid w:val="0"/>
          <w:color w:val="000000"/>
          <w:kern w:val="22"/>
          <w:lang w:val="fr-FR"/>
        </w:rPr>
      </w:pPr>
      <w:r w:rsidRPr="00A43FF4">
        <w:rPr>
          <w:snapToGrid w:val="0"/>
          <w:color w:val="000000"/>
          <w:kern w:val="22"/>
          <w:lang w:val="fr-FR"/>
        </w:rPr>
        <w:t>Fondation Tour du Valat</w:t>
      </w:r>
    </w:p>
    <w:p w:rsidR="00D74E33" w:rsidRPr="00A43FF4" w:rsidRDefault="00D74E33" w:rsidP="00D74E33">
      <w:pPr>
        <w:spacing w:before="0" w:after="0"/>
        <w:ind w:left="284" w:hanging="284"/>
        <w:jc w:val="left"/>
        <w:rPr>
          <w:snapToGrid w:val="0"/>
          <w:color w:val="000000"/>
          <w:kern w:val="22"/>
          <w:lang w:val="es-ES"/>
        </w:rPr>
      </w:pPr>
      <w:r w:rsidRPr="00A43FF4">
        <w:rPr>
          <w:snapToGrid w:val="0"/>
          <w:color w:val="000000"/>
          <w:kern w:val="22"/>
          <w:lang w:val="es-ES"/>
        </w:rPr>
        <w:t>Fondo Mexicano para la Conservación de la Naturaleza</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Forest Peoples Programme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Forests of the World</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Forum for Law, Environment, Development and Governance (FLEDGE)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Foundation for the National Institutes of Health</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Fragments of Extinction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Friends of the Earth International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Friends of the Siberian Forests</w:t>
      </w:r>
    </w:p>
    <w:p w:rsidR="00D74E33" w:rsidRPr="00A43FF4" w:rsidRDefault="00D74E33" w:rsidP="00D74E33">
      <w:pPr>
        <w:spacing w:before="0" w:after="0"/>
        <w:ind w:left="284" w:hanging="284"/>
        <w:jc w:val="left"/>
        <w:rPr>
          <w:noProof/>
          <w:snapToGrid w:val="0"/>
          <w:color w:val="000000"/>
          <w:kern w:val="22"/>
        </w:rPr>
      </w:pPr>
      <w:r w:rsidRPr="00A43FF4">
        <w:rPr>
          <w:noProof/>
          <w:snapToGrid w:val="0"/>
          <w:color w:val="000000"/>
          <w:kern w:val="22"/>
        </w:rPr>
        <w:t>Frogleaps</w:t>
      </w:r>
    </w:p>
    <w:p w:rsidR="00D74E33" w:rsidRPr="00A43FF4" w:rsidRDefault="00D74E33" w:rsidP="00D74E33">
      <w:pPr>
        <w:spacing w:before="0" w:after="0"/>
        <w:ind w:left="284" w:hanging="284"/>
        <w:jc w:val="left"/>
        <w:rPr>
          <w:snapToGrid w:val="0"/>
          <w:color w:val="000000"/>
          <w:kern w:val="22"/>
          <w:lang w:val="pt-PT"/>
        </w:rPr>
      </w:pPr>
      <w:r w:rsidRPr="00A43FF4">
        <w:rPr>
          <w:snapToGrid w:val="0"/>
          <w:color w:val="000000"/>
          <w:kern w:val="22"/>
          <w:lang w:val="pt-PT"/>
        </w:rPr>
        <w:t>Fundação O Boticário de Proteção a Natureza</w:t>
      </w:r>
    </w:p>
    <w:p w:rsidR="00D74E33" w:rsidRPr="00A43FF4" w:rsidRDefault="00D74E33" w:rsidP="00D74E33">
      <w:pPr>
        <w:spacing w:before="0" w:after="0"/>
        <w:ind w:left="284" w:hanging="284"/>
        <w:jc w:val="left"/>
        <w:rPr>
          <w:snapToGrid w:val="0"/>
          <w:color w:val="000000"/>
          <w:kern w:val="22"/>
          <w:lang w:val="es-ES"/>
        </w:rPr>
      </w:pPr>
      <w:r w:rsidRPr="00A43FF4">
        <w:rPr>
          <w:snapToGrid w:val="0"/>
          <w:color w:val="000000"/>
          <w:kern w:val="22"/>
          <w:lang w:val="es-ES"/>
        </w:rPr>
        <w:t>Fundación Ambiente y Recursos Naturales</w:t>
      </w:r>
    </w:p>
    <w:p w:rsidR="00D74E33" w:rsidRPr="00A43FF4" w:rsidRDefault="00D74E33" w:rsidP="00D74E33">
      <w:pPr>
        <w:spacing w:before="0" w:after="0"/>
        <w:ind w:left="284" w:hanging="284"/>
        <w:jc w:val="left"/>
        <w:rPr>
          <w:snapToGrid w:val="0"/>
          <w:color w:val="000000"/>
          <w:kern w:val="22"/>
          <w:lang w:val="es-ES"/>
        </w:rPr>
      </w:pPr>
      <w:r w:rsidRPr="00A43FF4">
        <w:rPr>
          <w:snapToGrid w:val="0"/>
          <w:color w:val="000000"/>
          <w:kern w:val="22"/>
          <w:lang w:val="es-ES"/>
        </w:rPr>
        <w:t>Fundación Antonio Núñez Jiménez de la naturaleza y el hombre</w:t>
      </w:r>
    </w:p>
    <w:p w:rsidR="00D74E33" w:rsidRPr="00A43FF4" w:rsidRDefault="00D74E33" w:rsidP="00D74E33">
      <w:pPr>
        <w:spacing w:before="0" w:after="0"/>
        <w:ind w:left="284" w:hanging="284"/>
        <w:jc w:val="left"/>
        <w:rPr>
          <w:snapToGrid w:val="0"/>
          <w:color w:val="000000"/>
          <w:kern w:val="22"/>
          <w:lang w:val="es-ES"/>
        </w:rPr>
      </w:pPr>
      <w:r w:rsidRPr="00A43FF4">
        <w:rPr>
          <w:snapToGrid w:val="0"/>
          <w:color w:val="000000"/>
          <w:kern w:val="22"/>
          <w:lang w:val="es-ES"/>
        </w:rPr>
        <w:t>Fundación Biodiversidad</w:t>
      </w:r>
    </w:p>
    <w:p w:rsidR="00D74E33" w:rsidRPr="00A8359F" w:rsidRDefault="00D74E33" w:rsidP="00D74E33">
      <w:pPr>
        <w:spacing w:before="0" w:after="0"/>
        <w:ind w:left="284" w:hanging="284"/>
        <w:jc w:val="left"/>
        <w:rPr>
          <w:snapToGrid w:val="0"/>
          <w:color w:val="000000"/>
          <w:kern w:val="22"/>
          <w:lang w:val="es-AR"/>
        </w:rPr>
      </w:pPr>
      <w:r w:rsidRPr="00A8359F">
        <w:rPr>
          <w:snapToGrid w:val="0"/>
          <w:color w:val="000000"/>
          <w:kern w:val="22"/>
          <w:lang w:val="es-AR"/>
        </w:rPr>
        <w:t>Future Law</w:t>
      </w:r>
    </w:p>
    <w:p w:rsidR="00D74E33" w:rsidRPr="00A8359F" w:rsidRDefault="00D74E33" w:rsidP="00D74E33">
      <w:pPr>
        <w:spacing w:before="0" w:after="0"/>
        <w:ind w:left="284" w:hanging="284"/>
        <w:jc w:val="left"/>
        <w:rPr>
          <w:snapToGrid w:val="0"/>
          <w:color w:val="000000"/>
          <w:kern w:val="22"/>
          <w:lang w:val="es-AR"/>
        </w:rPr>
      </w:pPr>
      <w:r w:rsidRPr="00A8359F">
        <w:rPr>
          <w:snapToGrid w:val="0"/>
          <w:color w:val="000000"/>
          <w:kern w:val="22"/>
          <w:lang w:val="es-AR"/>
        </w:rPr>
        <w:t>GHADI (Lebanon NGO)</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lastRenderedPageBreak/>
        <w:t>Global Forest Coalition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Global Island Partnership</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Global Ocean Biodiversity Initiative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Green Connexion, Environmental Group</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Greenpeace International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Healthy Urban Microbiome Initiative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Human Environment Association for Development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Hurghada Environmental Protection and Conservation Association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ICCA Consortium</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Ifakara Health Institute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IFOAM - Organics International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iGEM Foundation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Infra Eco Network Europe - IENE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Initiative for Responsible Mining Assurance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Institute for Advanced Sustainability Studies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Institute for Biodiversity Network</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Institute for Global Environmental Strategies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Instituto LIFE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Integration of Amazon Protected Areas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International Association for Falconry and the Conservation of Birds of Prey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International Collective in Support of Fishworkers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International Fund for Animal Welfare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International Institute for Environment and Development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International Institute for Sustainability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International Institute for Sustainable Development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International Planning Committee for Food Sovereignty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International Service for the Acquisition of Agri-biotech Applications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International Union of Biological Sciences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International Union of Forest Research Organizations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Island Conservation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IUCN Commission on Education and Communication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J. Craig Venter Institute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Japan Civil Network for the United Nations Decade on Biodiversity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Japan Environmental Lawyers for Future (JELF)</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lastRenderedPageBreak/>
        <w:t>Jordanian Friends of Heritage Society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Leaders Egyptian Association for Development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League for Pastoral Peoples and Endogenous Livestock Development</w:t>
      </w:r>
    </w:p>
    <w:p w:rsidR="00D74E33" w:rsidRPr="00A43FF4" w:rsidRDefault="00D74E33" w:rsidP="00D74E33">
      <w:pPr>
        <w:spacing w:before="0" w:after="0"/>
        <w:ind w:left="284" w:hanging="284"/>
        <w:jc w:val="left"/>
        <w:rPr>
          <w:snapToGrid w:val="0"/>
          <w:color w:val="000000"/>
          <w:kern w:val="22"/>
          <w:lang w:val="fr-FR"/>
        </w:rPr>
      </w:pPr>
      <w:r w:rsidRPr="00A43FF4">
        <w:rPr>
          <w:snapToGrid w:val="0"/>
          <w:color w:val="000000"/>
          <w:kern w:val="22"/>
          <w:lang w:val="fr-FR"/>
        </w:rPr>
        <w:t>Les Amis de la Terre</w:t>
      </w:r>
    </w:p>
    <w:p w:rsidR="00D74E33" w:rsidRPr="00A43FF4" w:rsidRDefault="00D74E33" w:rsidP="00D74E33">
      <w:pPr>
        <w:spacing w:before="0" w:after="0"/>
        <w:ind w:left="284" w:hanging="284"/>
        <w:jc w:val="left"/>
        <w:rPr>
          <w:snapToGrid w:val="0"/>
          <w:color w:val="000000"/>
          <w:kern w:val="22"/>
          <w:lang w:val="fr-FR"/>
        </w:rPr>
      </w:pPr>
      <w:r w:rsidRPr="00A43FF4">
        <w:rPr>
          <w:snapToGrid w:val="0"/>
          <w:color w:val="000000"/>
          <w:kern w:val="22"/>
          <w:lang w:val="fr-FR"/>
        </w:rPr>
        <w:t>Linking Tourism &amp; Conservation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Little Bees International</w:t>
      </w:r>
    </w:p>
    <w:p w:rsidR="00D74E33" w:rsidRPr="00A43FF4" w:rsidRDefault="00D74E33" w:rsidP="00D74E33">
      <w:pPr>
        <w:spacing w:before="0" w:after="0"/>
        <w:ind w:left="284" w:hanging="284"/>
        <w:jc w:val="left"/>
        <w:rPr>
          <w:snapToGrid w:val="0"/>
          <w:color w:val="000000"/>
          <w:kern w:val="22"/>
        </w:rPr>
      </w:pPr>
      <w:r w:rsidRPr="00A43FF4">
        <w:rPr>
          <w:noProof/>
          <w:snapToGrid w:val="0"/>
          <w:color w:val="000000"/>
          <w:kern w:val="22"/>
        </w:rPr>
        <w:t>Makhzoumi</w:t>
      </w:r>
      <w:r w:rsidRPr="00A43FF4">
        <w:rPr>
          <w:snapToGrid w:val="0"/>
          <w:color w:val="000000"/>
          <w:kern w:val="22"/>
        </w:rPr>
        <w:t xml:space="preserve"> Foundation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MARS Practitioners Network</w:t>
      </w:r>
    </w:p>
    <w:p w:rsidR="00D74E33" w:rsidRPr="00A43FF4" w:rsidRDefault="00D74E33" w:rsidP="00D74E33">
      <w:pPr>
        <w:spacing w:before="0" w:after="0"/>
        <w:ind w:left="284" w:hanging="284"/>
        <w:jc w:val="left"/>
        <w:rPr>
          <w:snapToGrid w:val="0"/>
          <w:color w:val="000000"/>
          <w:kern w:val="22"/>
          <w:lang w:val="fr-FR"/>
        </w:rPr>
      </w:pPr>
      <w:r w:rsidRPr="00A43FF4">
        <w:rPr>
          <w:noProof/>
          <w:snapToGrid w:val="0"/>
          <w:color w:val="000000"/>
          <w:kern w:val="22"/>
          <w:lang w:val="fr-FR"/>
        </w:rPr>
        <w:t>Masungi Georeserve</w:t>
      </w:r>
      <w:r w:rsidRPr="00A43FF4">
        <w:rPr>
          <w:snapToGrid w:val="0"/>
          <w:color w:val="000000"/>
          <w:kern w:val="22"/>
          <w:lang w:val="fr-FR"/>
        </w:rPr>
        <w:t xml:space="preserve"> Foundation</w:t>
      </w:r>
    </w:p>
    <w:p w:rsidR="00D74E33" w:rsidRPr="00A43FF4" w:rsidRDefault="00D74E33" w:rsidP="00D74E33">
      <w:pPr>
        <w:spacing w:before="0" w:after="0"/>
        <w:ind w:left="284" w:hanging="284"/>
        <w:jc w:val="left"/>
        <w:rPr>
          <w:snapToGrid w:val="0"/>
          <w:color w:val="000000"/>
          <w:kern w:val="22"/>
          <w:lang w:val="fr-FR"/>
        </w:rPr>
      </w:pPr>
      <w:r w:rsidRPr="00A43FF4">
        <w:rPr>
          <w:snapToGrid w:val="0"/>
          <w:color w:val="000000"/>
          <w:kern w:val="22"/>
          <w:lang w:val="fr-FR"/>
        </w:rPr>
        <w:t>MAVA Fondation pour la Nature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Medicinal Plants Association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Michael Succow Foundation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National Association of Professional Environmentalists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National Geographic Society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Natural Capital Coalition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Natural Justice (Lawyers for Communities and the Environment)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Natural Resources Defense Council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Nature and Science Foundation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Nature Conservation Egypt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NatureServe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Network for Evaluation of One Health</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Network of Regional Governments for Sustainable Development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Non-Timber Forest Products - Exchange Programme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Oro Verde - The Tropical Forest Foundation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Panthera</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Partenariat Français pour l’Eau</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Pet Industry Joint Advisory Council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Philippine Association For Intercultural Development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Prespa Ohrid Nature Trust</w:t>
      </w:r>
    </w:p>
    <w:p w:rsidR="003624D7" w:rsidRPr="003624D7" w:rsidRDefault="003624D7" w:rsidP="003624D7">
      <w:pPr>
        <w:spacing w:before="0" w:after="0"/>
        <w:ind w:left="284" w:hanging="284"/>
        <w:jc w:val="left"/>
        <w:rPr>
          <w:snapToGrid w:val="0"/>
          <w:color w:val="000000"/>
          <w:kern w:val="22"/>
        </w:rPr>
      </w:pPr>
      <w:r w:rsidRPr="003624D7">
        <w:rPr>
          <w:snapToGrid w:val="0"/>
          <w:color w:val="000000"/>
          <w:kern w:val="22"/>
        </w:rPr>
        <w:t>Pro Natura MEXICO</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Rainforest Foundation Norway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Rare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Red Sea Association for Diving and Water Sports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Regional Agricultural and Environmental Innovations Network - Africa</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Research and Development Centre, Nepal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Sasakawa Peace Foundation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lastRenderedPageBreak/>
        <w:t>Sawa Association for Development and Care of Special Groups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Secretariat of the Arab Network for Environment and Development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Shakshouk Association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Sinaweya</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Slow Food Movement</w:t>
      </w:r>
    </w:p>
    <w:p w:rsidR="00D74E33" w:rsidRPr="00A43FF4" w:rsidRDefault="00D74E33" w:rsidP="00D74E33">
      <w:pPr>
        <w:spacing w:before="0" w:after="0"/>
        <w:ind w:left="284" w:hanging="284"/>
        <w:jc w:val="left"/>
        <w:rPr>
          <w:snapToGrid w:val="0"/>
          <w:color w:val="000000"/>
          <w:kern w:val="22"/>
          <w:lang w:val="es-ES"/>
        </w:rPr>
      </w:pPr>
      <w:r w:rsidRPr="00A43FF4">
        <w:rPr>
          <w:snapToGrid w:val="0"/>
          <w:color w:val="000000"/>
          <w:kern w:val="22"/>
          <w:lang w:val="es-ES"/>
        </w:rPr>
        <w:t>Sociedad Peruana de Derecho Ambiental</w:t>
      </w:r>
    </w:p>
    <w:p w:rsidR="00D74E33" w:rsidRPr="00A8359F" w:rsidRDefault="00D74E33" w:rsidP="00D74E33">
      <w:pPr>
        <w:spacing w:before="0" w:after="0"/>
        <w:ind w:left="284" w:hanging="284"/>
        <w:jc w:val="left"/>
        <w:rPr>
          <w:snapToGrid w:val="0"/>
          <w:color w:val="000000"/>
          <w:kern w:val="22"/>
          <w:lang w:val="es-AR"/>
        </w:rPr>
      </w:pPr>
      <w:r w:rsidRPr="00A8359F">
        <w:rPr>
          <w:snapToGrid w:val="0"/>
          <w:color w:val="000000"/>
          <w:kern w:val="22"/>
          <w:lang w:val="es-AR"/>
        </w:rPr>
        <w:t>Society for Ecological Restoration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Society for the Protection of Nature in Lebanon (SPNL)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Solar Energy Development Association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Southeast Asia Regional Initiatives for Community Empowerment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Strong Roots Congo</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Sustainable Transport Project for Egypt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SWAN International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The Coalition of the Willing</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The Danish 92-Group</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The Development Institute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The Nature Conservancy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The Nature Conservation Society of Japan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The Ocean Agency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The Pew Charitable Trusts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Thinking Animals United</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Third World Network</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Three-River-Source National Park Service</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Tourism and Environment Association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Tourism Development Association in Dahshour</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TRAFFIC International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Transparent World</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Vida Silvestre Uruguay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We Mean Business Coalition</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Wellcome Trust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Wetlands International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WildArk</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Wildlife Clubs of Kenya</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Wildlife Conservation Society</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Window to Environment</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World Association of Zoos and Aquariums</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WWF - Brazil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WWF Denmark</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WWF International</w:t>
      </w:r>
    </w:p>
    <w:p w:rsidR="00D74E33" w:rsidRPr="00A43FF4" w:rsidRDefault="00D74E33" w:rsidP="00D74E33">
      <w:pPr>
        <w:spacing w:before="0" w:after="0"/>
        <w:ind w:left="284" w:hanging="284"/>
        <w:jc w:val="left"/>
        <w:rPr>
          <w:snapToGrid w:val="0"/>
          <w:color w:val="000000"/>
          <w:kern w:val="22"/>
        </w:rPr>
      </w:pPr>
      <w:r w:rsidRPr="00A43FF4">
        <w:rPr>
          <w:snapToGrid w:val="0"/>
          <w:color w:val="000000"/>
          <w:kern w:val="22"/>
        </w:rPr>
        <w:t>Youth Love Egypt Foundation</w:t>
      </w:r>
    </w:p>
    <w:p w:rsidR="00D74E33" w:rsidRPr="00A43FF4" w:rsidRDefault="00D74E33" w:rsidP="00D74E33">
      <w:pPr>
        <w:spacing w:before="0" w:after="0"/>
        <w:ind w:left="284" w:hanging="284"/>
        <w:jc w:val="left"/>
        <w:rPr>
          <w:snapToGrid w:val="0"/>
          <w:color w:val="000000"/>
          <w:kern w:val="22"/>
        </w:rPr>
        <w:sectPr w:rsidR="00D74E33" w:rsidRPr="00A43FF4" w:rsidSect="00606D6C">
          <w:type w:val="continuous"/>
          <w:pgSz w:w="12240" w:h="15840"/>
          <w:pgMar w:top="567" w:right="1389" w:bottom="1134" w:left="1389" w:header="709" w:footer="709" w:gutter="0"/>
          <w:cols w:num="2" w:space="708"/>
          <w:docGrid w:linePitch="360"/>
        </w:sectPr>
      </w:pPr>
      <w:r w:rsidRPr="00A43FF4">
        <w:rPr>
          <w:snapToGrid w:val="0"/>
          <w:color w:val="000000"/>
          <w:kern w:val="22"/>
        </w:rPr>
        <w:t>Zoological Society of London</w:t>
      </w:r>
    </w:p>
    <w:p w:rsidR="00D74E33" w:rsidRPr="00B55836" w:rsidRDefault="00D74E33" w:rsidP="00F94A6F">
      <w:pPr>
        <w:ind w:firstLine="0"/>
        <w:jc w:val="center"/>
        <w:rPr>
          <w:rFonts w:eastAsiaTheme="minorEastAsia"/>
          <w:b/>
          <w:kern w:val="22"/>
        </w:rPr>
      </w:pPr>
      <w:r w:rsidRPr="00B55836">
        <w:rPr>
          <w:rFonts w:eastAsiaTheme="minorEastAsia"/>
          <w:b/>
          <w:kern w:val="22"/>
        </w:rPr>
        <w:lastRenderedPageBreak/>
        <w:t>F.</w:t>
      </w:r>
      <w:r w:rsidRPr="00B55836">
        <w:rPr>
          <w:rFonts w:eastAsiaTheme="minorEastAsia"/>
          <w:b/>
          <w:kern w:val="22"/>
        </w:rPr>
        <w:tab/>
      </w:r>
      <w:r w:rsidR="00B55836" w:rsidRPr="00B55836">
        <w:rPr>
          <w:rFonts w:eastAsiaTheme="minorEastAsia"/>
          <w:b/>
          <w:kern w:val="22"/>
          <w:lang w:eastAsia="zh-CN"/>
        </w:rPr>
        <w:t>业界</w:t>
      </w:r>
    </w:p>
    <w:p w:rsidR="00D74E33" w:rsidRPr="00A43FF4" w:rsidRDefault="00D74E33" w:rsidP="00D74E33">
      <w:pPr>
        <w:spacing w:before="0" w:after="0"/>
        <w:rPr>
          <w:kern w:val="22"/>
        </w:rPr>
        <w:sectPr w:rsidR="00D74E33" w:rsidRPr="00A43FF4" w:rsidSect="00D74E33">
          <w:type w:val="continuous"/>
          <w:pgSz w:w="12240" w:h="15840"/>
          <w:pgMar w:top="567" w:right="1389" w:bottom="1134" w:left="1389" w:header="709" w:footer="709" w:gutter="0"/>
          <w:cols w:space="708"/>
          <w:docGrid w:linePitch="360"/>
        </w:sectPr>
      </w:pPr>
    </w:p>
    <w:p w:rsidR="00D74E33" w:rsidRPr="00A43FF4" w:rsidRDefault="00D74E33" w:rsidP="00D74E33">
      <w:pPr>
        <w:spacing w:before="0" w:after="0"/>
        <w:ind w:left="284" w:hanging="284"/>
        <w:jc w:val="left"/>
        <w:rPr>
          <w:kern w:val="22"/>
        </w:rPr>
      </w:pPr>
      <w:r w:rsidRPr="00A43FF4">
        <w:rPr>
          <w:kern w:val="22"/>
        </w:rPr>
        <w:lastRenderedPageBreak/>
        <w:t>ABS-int</w:t>
      </w:r>
    </w:p>
    <w:p w:rsidR="00D74E33" w:rsidRPr="00A43FF4" w:rsidRDefault="00D74E33" w:rsidP="00D74E33">
      <w:pPr>
        <w:spacing w:before="0" w:after="0"/>
        <w:ind w:left="284" w:hanging="284"/>
        <w:jc w:val="left"/>
        <w:rPr>
          <w:kern w:val="22"/>
        </w:rPr>
      </w:pPr>
      <w:r w:rsidRPr="00A43FF4">
        <w:rPr>
          <w:kern w:val="22"/>
        </w:rPr>
        <w:t>Ajinomoto Co. Inc.</w:t>
      </w:r>
    </w:p>
    <w:p w:rsidR="00D74E33" w:rsidRPr="00A43FF4" w:rsidRDefault="00D74E33" w:rsidP="00D74E33">
      <w:pPr>
        <w:spacing w:before="0" w:after="0"/>
        <w:ind w:left="284" w:hanging="284"/>
        <w:jc w:val="left"/>
        <w:rPr>
          <w:kern w:val="22"/>
        </w:rPr>
      </w:pPr>
      <w:r w:rsidRPr="00A43FF4">
        <w:rPr>
          <w:kern w:val="22"/>
        </w:rPr>
        <w:t>Al Badr for Investments FROZENA</w:t>
      </w:r>
    </w:p>
    <w:p w:rsidR="00D74E33" w:rsidRPr="00A8359F" w:rsidRDefault="00D74E33" w:rsidP="00D74E33">
      <w:pPr>
        <w:spacing w:before="0" w:after="0"/>
        <w:ind w:left="284" w:hanging="284"/>
        <w:jc w:val="left"/>
        <w:rPr>
          <w:kern w:val="22"/>
        </w:rPr>
      </w:pPr>
      <w:r w:rsidRPr="00A8359F">
        <w:rPr>
          <w:kern w:val="22"/>
        </w:rPr>
        <w:t>ASN Bank</w:t>
      </w:r>
    </w:p>
    <w:p w:rsidR="00D74E33" w:rsidRPr="00A8359F" w:rsidRDefault="00D74E33" w:rsidP="00D74E33">
      <w:pPr>
        <w:spacing w:before="0" w:after="0"/>
        <w:ind w:left="284" w:hanging="284"/>
        <w:jc w:val="left"/>
        <w:rPr>
          <w:kern w:val="22"/>
        </w:rPr>
      </w:pPr>
      <w:r w:rsidRPr="00A8359F">
        <w:rPr>
          <w:kern w:val="22"/>
        </w:rPr>
        <w:t>Association Française des Entreprises pour l’Environnement</w:t>
      </w:r>
    </w:p>
    <w:p w:rsidR="00D74E33" w:rsidRPr="00A43FF4" w:rsidRDefault="00D74E33" w:rsidP="00D74E33">
      <w:pPr>
        <w:spacing w:before="0" w:after="0"/>
        <w:ind w:left="284" w:hanging="284"/>
        <w:jc w:val="left"/>
        <w:rPr>
          <w:kern w:val="22"/>
        </w:rPr>
      </w:pPr>
      <w:r w:rsidRPr="00A43FF4">
        <w:rPr>
          <w:kern w:val="22"/>
        </w:rPr>
        <w:t>Beijing Minghong Science and Trade Co., Ltd.</w:t>
      </w:r>
    </w:p>
    <w:p w:rsidR="00D74E33" w:rsidRPr="00A43FF4" w:rsidRDefault="00D74E33" w:rsidP="00D74E33">
      <w:pPr>
        <w:spacing w:before="0" w:after="0"/>
        <w:ind w:left="284" w:hanging="284"/>
        <w:jc w:val="left"/>
        <w:rPr>
          <w:kern w:val="22"/>
          <w:lang w:val="pt-PT"/>
        </w:rPr>
      </w:pPr>
      <w:r w:rsidRPr="00A43FF4">
        <w:rPr>
          <w:kern w:val="22"/>
          <w:lang w:val="pt-PT"/>
        </w:rPr>
        <w:t>Beraca Ingredientes Naturais S.A.</w:t>
      </w:r>
    </w:p>
    <w:p w:rsidR="00D74E33" w:rsidRPr="00A43FF4" w:rsidRDefault="00D74E33" w:rsidP="00D74E33">
      <w:pPr>
        <w:spacing w:before="0" w:after="0"/>
        <w:ind w:left="284" w:hanging="284"/>
        <w:jc w:val="left"/>
        <w:rPr>
          <w:kern w:val="22"/>
        </w:rPr>
      </w:pPr>
      <w:r w:rsidRPr="00A43FF4">
        <w:rPr>
          <w:kern w:val="22"/>
        </w:rPr>
        <w:t>BIOCARE INDIA PVT Ltd.</w:t>
      </w:r>
    </w:p>
    <w:p w:rsidR="00D74E33" w:rsidRPr="00A43FF4" w:rsidRDefault="00D74E33" w:rsidP="00D74E33">
      <w:pPr>
        <w:spacing w:before="0" w:after="0"/>
        <w:ind w:left="284" w:hanging="284"/>
        <w:jc w:val="left"/>
        <w:rPr>
          <w:kern w:val="22"/>
        </w:rPr>
      </w:pPr>
      <w:r w:rsidRPr="00A43FF4">
        <w:rPr>
          <w:kern w:val="22"/>
        </w:rPr>
        <w:t xml:space="preserve">Biodiversity Partnership Mesoamerica </w:t>
      </w:r>
    </w:p>
    <w:p w:rsidR="00D74E33" w:rsidRPr="00A43FF4" w:rsidRDefault="00D74E33" w:rsidP="00D74E33">
      <w:pPr>
        <w:spacing w:before="0" w:after="0"/>
        <w:ind w:left="284" w:hanging="284"/>
        <w:jc w:val="left"/>
        <w:rPr>
          <w:kern w:val="22"/>
          <w:lang w:val="fr-FR"/>
        </w:rPr>
      </w:pPr>
      <w:r w:rsidRPr="00A43FF4">
        <w:rPr>
          <w:kern w:val="22"/>
          <w:lang w:val="fr-FR"/>
        </w:rPr>
        <w:t>Biotechnology Innovation Organization</w:t>
      </w:r>
    </w:p>
    <w:p w:rsidR="00D74E33" w:rsidRPr="00A43FF4" w:rsidRDefault="00D74E33" w:rsidP="00D74E33">
      <w:pPr>
        <w:spacing w:before="0" w:after="0"/>
        <w:ind w:left="284" w:hanging="284"/>
        <w:jc w:val="left"/>
        <w:rPr>
          <w:kern w:val="22"/>
          <w:lang w:val="fr-FR"/>
        </w:rPr>
      </w:pPr>
      <w:r w:rsidRPr="00A43FF4">
        <w:rPr>
          <w:kern w:val="22"/>
          <w:lang w:val="fr-FR"/>
        </w:rPr>
        <w:t>Caisse des Dépôts et Consignations</w:t>
      </w:r>
    </w:p>
    <w:p w:rsidR="00D74E33" w:rsidRPr="00A43FF4" w:rsidRDefault="00D74E33" w:rsidP="00D74E33">
      <w:pPr>
        <w:spacing w:before="0" w:after="0"/>
        <w:ind w:left="284" w:hanging="284"/>
        <w:jc w:val="left"/>
        <w:rPr>
          <w:kern w:val="22"/>
          <w:lang w:val="fr-FR"/>
        </w:rPr>
      </w:pPr>
      <w:r w:rsidRPr="00A43FF4">
        <w:rPr>
          <w:kern w:val="22"/>
          <w:lang w:val="fr-FR"/>
        </w:rPr>
        <w:t>CDC Biodiversité</w:t>
      </w:r>
    </w:p>
    <w:p w:rsidR="00D74E33" w:rsidRPr="00A43FF4" w:rsidRDefault="00D74E33" w:rsidP="00D74E33">
      <w:pPr>
        <w:spacing w:before="0" w:after="0"/>
        <w:ind w:left="284" w:hanging="284"/>
        <w:jc w:val="left"/>
        <w:rPr>
          <w:kern w:val="22"/>
          <w:lang w:val="fr-FR"/>
        </w:rPr>
      </w:pPr>
      <w:r w:rsidRPr="00A43FF4">
        <w:rPr>
          <w:kern w:val="22"/>
          <w:lang w:val="fr-FR"/>
        </w:rPr>
        <w:t>Commercial International Bank (CIB)</w:t>
      </w:r>
    </w:p>
    <w:p w:rsidR="00D74E33" w:rsidRPr="00A43FF4" w:rsidRDefault="00D74E33" w:rsidP="00D74E33">
      <w:pPr>
        <w:spacing w:before="0" w:after="0"/>
        <w:ind w:left="284" w:hanging="284"/>
        <w:jc w:val="left"/>
        <w:rPr>
          <w:kern w:val="22"/>
          <w:lang w:val="fr-FR"/>
        </w:rPr>
      </w:pPr>
      <w:r w:rsidRPr="00A43FF4">
        <w:rPr>
          <w:kern w:val="22"/>
          <w:lang w:val="fr-FR"/>
        </w:rPr>
        <w:t>Concepta Ingredients</w:t>
      </w:r>
    </w:p>
    <w:p w:rsidR="00D74E33" w:rsidRPr="00A8359F" w:rsidRDefault="00D74E33" w:rsidP="00D74E33">
      <w:pPr>
        <w:spacing w:before="0" w:after="0"/>
        <w:ind w:left="284" w:hanging="284"/>
        <w:jc w:val="left"/>
        <w:rPr>
          <w:kern w:val="22"/>
          <w:lang w:val="fr-FR"/>
        </w:rPr>
      </w:pPr>
      <w:r w:rsidRPr="00A8359F">
        <w:rPr>
          <w:kern w:val="22"/>
          <w:lang w:val="fr-FR"/>
        </w:rPr>
        <w:t>Conictus</w:t>
      </w:r>
    </w:p>
    <w:p w:rsidR="00D74E33" w:rsidRPr="00A8359F" w:rsidRDefault="00D74E33" w:rsidP="00D74E33">
      <w:pPr>
        <w:spacing w:before="0" w:after="0"/>
        <w:ind w:left="284" w:hanging="284"/>
        <w:jc w:val="left"/>
        <w:rPr>
          <w:kern w:val="22"/>
          <w:lang w:val="fr-FR"/>
        </w:rPr>
      </w:pPr>
      <w:r w:rsidRPr="00A8359F">
        <w:rPr>
          <w:kern w:val="22"/>
          <w:lang w:val="fr-FR"/>
        </w:rPr>
        <w:t>CropLife International</w:t>
      </w:r>
    </w:p>
    <w:p w:rsidR="00D74E33" w:rsidRPr="00A8359F" w:rsidRDefault="00D74E33" w:rsidP="00D74E33">
      <w:pPr>
        <w:spacing w:before="0" w:after="0"/>
        <w:ind w:left="284" w:hanging="284"/>
        <w:jc w:val="left"/>
        <w:rPr>
          <w:kern w:val="22"/>
          <w:lang w:val="fr-FR"/>
        </w:rPr>
      </w:pPr>
      <w:r w:rsidRPr="00A8359F">
        <w:rPr>
          <w:kern w:val="22"/>
          <w:lang w:val="fr-FR"/>
        </w:rPr>
        <w:t xml:space="preserve">eFresh Agribusiness Solutions Pvt Ltd </w:t>
      </w:r>
    </w:p>
    <w:p w:rsidR="00D74E33" w:rsidRPr="00A8359F" w:rsidRDefault="00D74E33" w:rsidP="00D74E33">
      <w:pPr>
        <w:spacing w:before="0" w:after="0"/>
        <w:ind w:left="284" w:hanging="284"/>
        <w:jc w:val="left"/>
        <w:rPr>
          <w:kern w:val="22"/>
          <w:lang w:val="fr-FR"/>
        </w:rPr>
      </w:pPr>
      <w:r w:rsidRPr="00A8359F">
        <w:rPr>
          <w:kern w:val="22"/>
          <w:lang w:val="fr-FR"/>
        </w:rPr>
        <w:t>Enel SpA</w:t>
      </w:r>
    </w:p>
    <w:p w:rsidR="00D74E33" w:rsidRPr="00A8359F" w:rsidRDefault="00D74E33" w:rsidP="00D74E33">
      <w:pPr>
        <w:spacing w:before="0" w:after="0"/>
        <w:ind w:left="284" w:hanging="284"/>
        <w:jc w:val="left"/>
        <w:rPr>
          <w:kern w:val="22"/>
          <w:lang w:val="fr-FR"/>
        </w:rPr>
      </w:pPr>
      <w:r w:rsidRPr="00A8359F">
        <w:rPr>
          <w:kern w:val="22"/>
          <w:lang w:val="fr-FR"/>
        </w:rPr>
        <w:t>ENI</w:t>
      </w:r>
    </w:p>
    <w:p w:rsidR="00D74E33" w:rsidRPr="00A8359F" w:rsidRDefault="00D74E33" w:rsidP="00D74E33">
      <w:pPr>
        <w:spacing w:before="0" w:after="0"/>
        <w:ind w:left="284" w:hanging="284"/>
        <w:jc w:val="left"/>
        <w:rPr>
          <w:kern w:val="22"/>
          <w:lang w:val="fr-FR"/>
        </w:rPr>
      </w:pPr>
      <w:r w:rsidRPr="00A8359F">
        <w:rPr>
          <w:kern w:val="22"/>
          <w:lang w:val="fr-FR"/>
        </w:rPr>
        <w:t>Expediciones Biosfera</w:t>
      </w:r>
    </w:p>
    <w:p w:rsidR="00D74E33" w:rsidRPr="00A43FF4" w:rsidRDefault="00D74E33" w:rsidP="00D74E33">
      <w:pPr>
        <w:spacing w:before="0" w:after="0"/>
        <w:ind w:left="284" w:hanging="284"/>
        <w:jc w:val="left"/>
        <w:rPr>
          <w:kern w:val="22"/>
        </w:rPr>
      </w:pPr>
      <w:r w:rsidRPr="00A43FF4">
        <w:rPr>
          <w:kern w:val="22"/>
        </w:rPr>
        <w:t>Facebook AI Computer Vision Organization</w:t>
      </w:r>
    </w:p>
    <w:p w:rsidR="00D74E33" w:rsidRPr="00A43FF4" w:rsidRDefault="00D74E33" w:rsidP="00D74E33">
      <w:pPr>
        <w:spacing w:before="0" w:after="0"/>
        <w:ind w:left="284" w:hanging="284"/>
        <w:jc w:val="left"/>
        <w:rPr>
          <w:kern w:val="22"/>
        </w:rPr>
      </w:pPr>
      <w:r w:rsidRPr="00A43FF4">
        <w:rPr>
          <w:kern w:val="22"/>
        </w:rPr>
        <w:t>FIRMENICH</w:t>
      </w:r>
    </w:p>
    <w:p w:rsidR="00D74E33" w:rsidRPr="00A43FF4" w:rsidRDefault="00D74E33" w:rsidP="00D74E33">
      <w:pPr>
        <w:spacing w:before="0" w:after="0"/>
        <w:ind w:left="284" w:hanging="284"/>
        <w:jc w:val="left"/>
        <w:rPr>
          <w:kern w:val="22"/>
          <w:lang w:val="en-CA"/>
        </w:rPr>
      </w:pPr>
      <w:r w:rsidRPr="00A43FF4">
        <w:rPr>
          <w:kern w:val="22"/>
          <w:lang w:val="en-CA"/>
        </w:rPr>
        <w:t>Fondation Yves Rocher</w:t>
      </w:r>
    </w:p>
    <w:p w:rsidR="00D74E33" w:rsidRPr="00A43FF4" w:rsidRDefault="00D74E33" w:rsidP="00D74E33">
      <w:pPr>
        <w:spacing w:before="0" w:after="0"/>
        <w:ind w:left="284" w:hanging="284"/>
        <w:jc w:val="left"/>
        <w:rPr>
          <w:kern w:val="22"/>
        </w:rPr>
      </w:pPr>
      <w:r w:rsidRPr="00A43FF4">
        <w:rPr>
          <w:kern w:val="22"/>
        </w:rPr>
        <w:t>Gates Foundation</w:t>
      </w:r>
    </w:p>
    <w:p w:rsidR="00D74E33" w:rsidRPr="00A43FF4" w:rsidRDefault="00D74E33" w:rsidP="00D74E33">
      <w:pPr>
        <w:spacing w:before="0" w:after="0"/>
        <w:ind w:left="284" w:hanging="284"/>
        <w:jc w:val="left"/>
        <w:rPr>
          <w:kern w:val="22"/>
        </w:rPr>
      </w:pPr>
      <w:r w:rsidRPr="00A43FF4">
        <w:rPr>
          <w:kern w:val="22"/>
        </w:rPr>
        <w:t>Global Compact Network Egypt</w:t>
      </w:r>
    </w:p>
    <w:p w:rsidR="00D74E33" w:rsidRPr="00A43FF4" w:rsidRDefault="00D74E33" w:rsidP="00D74E33">
      <w:pPr>
        <w:spacing w:before="0" w:after="0"/>
        <w:ind w:left="284" w:hanging="284"/>
        <w:jc w:val="left"/>
        <w:rPr>
          <w:kern w:val="22"/>
        </w:rPr>
      </w:pPr>
      <w:r w:rsidRPr="00A43FF4">
        <w:rPr>
          <w:kern w:val="22"/>
        </w:rPr>
        <w:t>Global Industry Coalition</w:t>
      </w:r>
    </w:p>
    <w:p w:rsidR="00D74E33" w:rsidRPr="00A43FF4" w:rsidRDefault="00D74E33" w:rsidP="00D74E33">
      <w:pPr>
        <w:spacing w:before="0" w:after="0"/>
        <w:ind w:left="284" w:hanging="284"/>
        <w:jc w:val="left"/>
        <w:rPr>
          <w:kern w:val="22"/>
        </w:rPr>
      </w:pPr>
      <w:r w:rsidRPr="00A43FF4">
        <w:rPr>
          <w:kern w:val="22"/>
        </w:rPr>
        <w:t>GoldenBee Corporate Social Responsibility Consulting</w:t>
      </w:r>
    </w:p>
    <w:p w:rsidR="00D74E33" w:rsidRPr="00A8359F" w:rsidRDefault="00D74E33" w:rsidP="00D74E33">
      <w:pPr>
        <w:spacing w:before="0" w:after="0"/>
        <w:ind w:left="284" w:hanging="284"/>
        <w:jc w:val="left"/>
        <w:rPr>
          <w:kern w:val="22"/>
        </w:rPr>
      </w:pPr>
      <w:r w:rsidRPr="00A8359F">
        <w:rPr>
          <w:kern w:val="22"/>
        </w:rPr>
        <w:t>Habitats ApS</w:t>
      </w:r>
    </w:p>
    <w:p w:rsidR="00D74E33" w:rsidRPr="00A8359F" w:rsidRDefault="00D74E33" w:rsidP="00D74E33">
      <w:pPr>
        <w:spacing w:before="0" w:after="0"/>
        <w:ind w:left="284" w:hanging="284"/>
        <w:jc w:val="left"/>
        <w:rPr>
          <w:kern w:val="22"/>
        </w:rPr>
      </w:pPr>
      <w:r w:rsidRPr="00A8359F">
        <w:rPr>
          <w:kern w:val="22"/>
        </w:rPr>
        <w:t>HeidelbergCement A.G.</w:t>
      </w:r>
    </w:p>
    <w:p w:rsidR="00D74E33" w:rsidRPr="00A43FF4" w:rsidRDefault="00D74E33" w:rsidP="00D74E33">
      <w:pPr>
        <w:spacing w:before="0" w:after="0"/>
        <w:ind w:left="284" w:hanging="284"/>
        <w:jc w:val="left"/>
        <w:rPr>
          <w:kern w:val="22"/>
        </w:rPr>
      </w:pPr>
      <w:r w:rsidRPr="00A43FF4">
        <w:rPr>
          <w:kern w:val="22"/>
        </w:rPr>
        <w:t xml:space="preserve">India Business &amp; Biodiversity Initiative </w:t>
      </w:r>
    </w:p>
    <w:p w:rsidR="00D74E33" w:rsidRPr="00A43FF4" w:rsidRDefault="00D74E33" w:rsidP="00D74E33">
      <w:pPr>
        <w:spacing w:before="0" w:after="0"/>
        <w:ind w:left="284" w:hanging="284"/>
        <w:jc w:val="left"/>
        <w:rPr>
          <w:kern w:val="22"/>
        </w:rPr>
      </w:pPr>
      <w:r w:rsidRPr="00A43FF4">
        <w:rPr>
          <w:kern w:val="22"/>
        </w:rPr>
        <w:t>Inner Mongolia Yili Industrial Group Co. Ltd</w:t>
      </w:r>
    </w:p>
    <w:p w:rsidR="00D74E33" w:rsidRPr="00A43FF4" w:rsidRDefault="00D74E33" w:rsidP="00D74E33">
      <w:pPr>
        <w:spacing w:before="0" w:after="0"/>
        <w:ind w:left="284" w:hanging="284"/>
        <w:jc w:val="left"/>
        <w:rPr>
          <w:kern w:val="22"/>
        </w:rPr>
      </w:pPr>
      <w:r w:rsidRPr="00A43FF4">
        <w:rPr>
          <w:kern w:val="22"/>
        </w:rPr>
        <w:t>International Chamber of Commerce</w:t>
      </w:r>
    </w:p>
    <w:p w:rsidR="00D74E33" w:rsidRPr="00A43FF4" w:rsidRDefault="00D74E33" w:rsidP="00D74E33">
      <w:pPr>
        <w:spacing w:before="0" w:after="0"/>
        <w:ind w:left="284" w:hanging="284"/>
        <w:jc w:val="left"/>
        <w:rPr>
          <w:kern w:val="22"/>
        </w:rPr>
      </w:pPr>
      <w:r w:rsidRPr="00A43FF4">
        <w:rPr>
          <w:kern w:val="22"/>
        </w:rPr>
        <w:t>International Federation of Pharmaceutical Manufacturers and Associations</w:t>
      </w:r>
    </w:p>
    <w:p w:rsidR="00D74E33" w:rsidRPr="00A43FF4" w:rsidRDefault="00D74E33" w:rsidP="00D74E33">
      <w:pPr>
        <w:spacing w:before="0" w:after="0"/>
        <w:ind w:left="284" w:hanging="284"/>
        <w:jc w:val="left"/>
        <w:rPr>
          <w:kern w:val="22"/>
        </w:rPr>
      </w:pPr>
      <w:r w:rsidRPr="00A43FF4">
        <w:rPr>
          <w:kern w:val="22"/>
        </w:rPr>
        <w:t>International Seed Federation</w:t>
      </w:r>
    </w:p>
    <w:p w:rsidR="00D74E33" w:rsidRPr="00A43FF4" w:rsidRDefault="00D74E33" w:rsidP="00D74E33">
      <w:pPr>
        <w:spacing w:before="0" w:after="0"/>
        <w:ind w:left="284" w:hanging="284"/>
        <w:jc w:val="left"/>
        <w:rPr>
          <w:kern w:val="22"/>
        </w:rPr>
      </w:pPr>
      <w:r w:rsidRPr="00A43FF4">
        <w:rPr>
          <w:kern w:val="22"/>
        </w:rPr>
        <w:t>Iora Ecological Solutions (INDIA)</w:t>
      </w:r>
    </w:p>
    <w:p w:rsidR="00D74E33" w:rsidRPr="00A43FF4" w:rsidRDefault="00D74E33" w:rsidP="00D74E33">
      <w:pPr>
        <w:spacing w:before="0" w:after="0"/>
        <w:ind w:left="284" w:hanging="284"/>
        <w:jc w:val="left"/>
        <w:rPr>
          <w:kern w:val="22"/>
        </w:rPr>
      </w:pPr>
      <w:r w:rsidRPr="00A43FF4">
        <w:rPr>
          <w:kern w:val="22"/>
        </w:rPr>
        <w:lastRenderedPageBreak/>
        <w:t>IPIECA</w:t>
      </w:r>
    </w:p>
    <w:p w:rsidR="00D74E33" w:rsidRPr="00A43FF4" w:rsidRDefault="00D74E33" w:rsidP="00D74E33">
      <w:pPr>
        <w:spacing w:before="0" w:after="0"/>
        <w:ind w:left="284" w:hanging="284"/>
        <w:jc w:val="left"/>
        <w:rPr>
          <w:kern w:val="22"/>
        </w:rPr>
      </w:pPr>
      <w:r w:rsidRPr="00A43FF4">
        <w:rPr>
          <w:kern w:val="22"/>
        </w:rPr>
        <w:t>Jain Irrigation systems Ltd (India)</w:t>
      </w:r>
    </w:p>
    <w:p w:rsidR="00D74E33" w:rsidRPr="00A43FF4" w:rsidRDefault="00D74E33" w:rsidP="00D74E33">
      <w:pPr>
        <w:spacing w:before="0" w:after="0"/>
        <w:ind w:left="284" w:hanging="284"/>
        <w:jc w:val="left"/>
        <w:rPr>
          <w:kern w:val="22"/>
        </w:rPr>
      </w:pPr>
      <w:r w:rsidRPr="00A43FF4">
        <w:rPr>
          <w:kern w:val="22"/>
        </w:rPr>
        <w:t>Japan Business Initiative for Biodiversity</w:t>
      </w:r>
    </w:p>
    <w:p w:rsidR="00D74E33" w:rsidRPr="00A43FF4" w:rsidRDefault="00D74E33" w:rsidP="00D74E33">
      <w:pPr>
        <w:spacing w:before="0" w:after="0"/>
        <w:ind w:left="284" w:hanging="284"/>
        <w:jc w:val="left"/>
        <w:rPr>
          <w:kern w:val="22"/>
        </w:rPr>
      </w:pPr>
      <w:r w:rsidRPr="00A43FF4">
        <w:rPr>
          <w:kern w:val="22"/>
        </w:rPr>
        <w:t>Juhayna Food Industries</w:t>
      </w:r>
    </w:p>
    <w:p w:rsidR="00D74E33" w:rsidRPr="00A43FF4" w:rsidRDefault="00D74E33" w:rsidP="00D74E33">
      <w:pPr>
        <w:spacing w:before="0" w:after="0"/>
        <w:ind w:left="284" w:hanging="284"/>
        <w:jc w:val="left"/>
        <w:rPr>
          <w:kern w:val="22"/>
        </w:rPr>
      </w:pPr>
      <w:r w:rsidRPr="00A43FF4">
        <w:rPr>
          <w:kern w:val="22"/>
        </w:rPr>
        <w:t>Keidanren Committee on Nature Conservation</w:t>
      </w:r>
    </w:p>
    <w:p w:rsidR="00D74E33" w:rsidRPr="00A43FF4" w:rsidRDefault="00D74E33" w:rsidP="00D74E33">
      <w:pPr>
        <w:spacing w:before="0" w:after="0"/>
        <w:ind w:left="284" w:hanging="284"/>
        <w:jc w:val="left"/>
        <w:rPr>
          <w:kern w:val="22"/>
        </w:rPr>
      </w:pPr>
      <w:r w:rsidRPr="00A43FF4">
        <w:rPr>
          <w:kern w:val="22"/>
        </w:rPr>
        <w:t>kering</w:t>
      </w:r>
    </w:p>
    <w:p w:rsidR="00D74E33" w:rsidRPr="00A43FF4" w:rsidRDefault="00D74E33" w:rsidP="00D74E33">
      <w:pPr>
        <w:spacing w:before="0" w:after="0"/>
        <w:ind w:left="284" w:hanging="284"/>
        <w:jc w:val="left"/>
        <w:rPr>
          <w:kern w:val="22"/>
        </w:rPr>
      </w:pPr>
      <w:r w:rsidRPr="00A43FF4">
        <w:rPr>
          <w:kern w:val="22"/>
        </w:rPr>
        <w:t xml:space="preserve">Korea Business Council for Sustainable Development </w:t>
      </w:r>
    </w:p>
    <w:p w:rsidR="00D74E33" w:rsidRPr="00A43FF4" w:rsidRDefault="00D74E33" w:rsidP="00D74E33">
      <w:pPr>
        <w:spacing w:before="0" w:after="0"/>
        <w:ind w:left="284" w:hanging="284"/>
        <w:jc w:val="left"/>
        <w:rPr>
          <w:kern w:val="22"/>
        </w:rPr>
      </w:pPr>
      <w:r w:rsidRPr="00A43FF4">
        <w:rPr>
          <w:kern w:val="22"/>
        </w:rPr>
        <w:t>Levin Sources</w:t>
      </w:r>
    </w:p>
    <w:p w:rsidR="00D74E33" w:rsidRPr="00A43FF4" w:rsidRDefault="00D74E33" w:rsidP="00D74E33">
      <w:pPr>
        <w:spacing w:before="0" w:after="0"/>
        <w:ind w:left="284" w:hanging="284"/>
        <w:jc w:val="left"/>
        <w:rPr>
          <w:kern w:val="22"/>
        </w:rPr>
      </w:pPr>
      <w:r w:rsidRPr="00A43FF4">
        <w:rPr>
          <w:kern w:val="22"/>
        </w:rPr>
        <w:t>Natura Cosmetics</w:t>
      </w:r>
    </w:p>
    <w:p w:rsidR="00D74E33" w:rsidRPr="00A43FF4" w:rsidRDefault="00D74E33" w:rsidP="00D74E33">
      <w:pPr>
        <w:spacing w:before="0" w:after="0"/>
        <w:ind w:left="284" w:hanging="284"/>
        <w:jc w:val="left"/>
        <w:rPr>
          <w:kern w:val="22"/>
        </w:rPr>
      </w:pPr>
      <w:r w:rsidRPr="00A43FF4">
        <w:rPr>
          <w:kern w:val="22"/>
        </w:rPr>
        <w:t>Nimura Genetic solutions Co., Ltd.</w:t>
      </w:r>
    </w:p>
    <w:p w:rsidR="00D74E33" w:rsidRPr="00A43FF4" w:rsidRDefault="00D74E33" w:rsidP="00D74E33">
      <w:pPr>
        <w:spacing w:before="0" w:after="0"/>
        <w:ind w:left="284" w:hanging="284"/>
        <w:jc w:val="left"/>
        <w:rPr>
          <w:kern w:val="22"/>
        </w:rPr>
      </w:pPr>
      <w:r w:rsidRPr="00A43FF4">
        <w:rPr>
          <w:kern w:val="22"/>
        </w:rPr>
        <w:t>NTPC Limited (Power Generation Company)</w:t>
      </w:r>
    </w:p>
    <w:p w:rsidR="00D74E33" w:rsidRPr="00A43FF4" w:rsidRDefault="00D74E33" w:rsidP="00D74E33">
      <w:pPr>
        <w:spacing w:before="0" w:after="0"/>
        <w:ind w:left="284" w:hanging="284"/>
        <w:jc w:val="left"/>
        <w:rPr>
          <w:kern w:val="22"/>
        </w:rPr>
      </w:pPr>
      <w:r w:rsidRPr="00A43FF4">
        <w:rPr>
          <w:kern w:val="22"/>
        </w:rPr>
        <w:t>PROTEAK</w:t>
      </w:r>
    </w:p>
    <w:p w:rsidR="00D74E33" w:rsidRPr="00A43FF4" w:rsidRDefault="00D74E33" w:rsidP="00D74E33">
      <w:pPr>
        <w:spacing w:before="0" w:after="0"/>
        <w:ind w:left="284" w:hanging="284"/>
        <w:jc w:val="left"/>
        <w:rPr>
          <w:kern w:val="22"/>
        </w:rPr>
      </w:pPr>
      <w:r w:rsidRPr="00A43FF4">
        <w:rPr>
          <w:kern w:val="22"/>
        </w:rPr>
        <w:t>PROVITAL Groupe</w:t>
      </w:r>
    </w:p>
    <w:p w:rsidR="00D74E33" w:rsidRPr="00A43FF4" w:rsidRDefault="00D74E33" w:rsidP="00D74E33">
      <w:pPr>
        <w:spacing w:before="0" w:after="0"/>
        <w:ind w:left="284" w:hanging="284"/>
        <w:jc w:val="left"/>
        <w:rPr>
          <w:kern w:val="22"/>
        </w:rPr>
      </w:pPr>
      <w:r w:rsidRPr="00A43FF4">
        <w:rPr>
          <w:kern w:val="22"/>
        </w:rPr>
        <w:t>RAM Rating Services Berhad</w:t>
      </w:r>
    </w:p>
    <w:p w:rsidR="00D74E33" w:rsidRPr="00A43FF4" w:rsidRDefault="00D74E33" w:rsidP="00D74E33">
      <w:pPr>
        <w:spacing w:before="0" w:after="0"/>
        <w:ind w:left="284" w:hanging="284"/>
        <w:jc w:val="left"/>
        <w:rPr>
          <w:kern w:val="22"/>
        </w:rPr>
      </w:pPr>
      <w:r w:rsidRPr="00A43FF4">
        <w:rPr>
          <w:kern w:val="22"/>
        </w:rPr>
        <w:t>SARAYA Co., LTD.</w:t>
      </w:r>
    </w:p>
    <w:p w:rsidR="00D74E33" w:rsidRPr="00A43FF4" w:rsidRDefault="00D74E33" w:rsidP="00D74E33">
      <w:pPr>
        <w:spacing w:before="0" w:after="0"/>
        <w:ind w:left="284" w:hanging="284"/>
        <w:jc w:val="left"/>
        <w:rPr>
          <w:kern w:val="22"/>
        </w:rPr>
      </w:pPr>
      <w:r w:rsidRPr="00A43FF4">
        <w:rPr>
          <w:kern w:val="22"/>
        </w:rPr>
        <w:t>Savannah Tracking Ltd</w:t>
      </w:r>
    </w:p>
    <w:p w:rsidR="00D74E33" w:rsidRPr="00A43FF4" w:rsidRDefault="00D74E33" w:rsidP="00D74E33">
      <w:pPr>
        <w:spacing w:before="0" w:after="0"/>
        <w:ind w:left="284" w:hanging="284"/>
        <w:jc w:val="left"/>
        <w:rPr>
          <w:kern w:val="22"/>
        </w:rPr>
      </w:pPr>
      <w:r w:rsidRPr="00A43FF4">
        <w:rPr>
          <w:kern w:val="22"/>
        </w:rPr>
        <w:t>Shell Petroleum Development Co. Limited. Nigeria</w:t>
      </w:r>
    </w:p>
    <w:p w:rsidR="00D74E33" w:rsidRPr="00A43FF4" w:rsidRDefault="00D74E33" w:rsidP="00D74E33">
      <w:pPr>
        <w:spacing w:before="0" w:after="0"/>
        <w:ind w:left="284" w:hanging="284"/>
        <w:jc w:val="left"/>
        <w:rPr>
          <w:kern w:val="22"/>
        </w:rPr>
      </w:pPr>
      <w:r w:rsidRPr="00A43FF4">
        <w:rPr>
          <w:kern w:val="22"/>
        </w:rPr>
        <w:t>Smart Parks</w:t>
      </w:r>
    </w:p>
    <w:p w:rsidR="00D74E33" w:rsidRPr="00A43FF4" w:rsidRDefault="00D74E33" w:rsidP="00D74E33">
      <w:pPr>
        <w:spacing w:before="0" w:after="0"/>
        <w:ind w:left="284" w:hanging="284"/>
        <w:jc w:val="left"/>
        <w:rPr>
          <w:kern w:val="22"/>
        </w:rPr>
      </w:pPr>
      <w:r w:rsidRPr="00A43FF4">
        <w:rPr>
          <w:kern w:val="22"/>
        </w:rPr>
        <w:t xml:space="preserve">Sony Computer Science Laboratories Inc. </w:t>
      </w:r>
    </w:p>
    <w:p w:rsidR="00D74E33" w:rsidRPr="00A43FF4" w:rsidRDefault="00D74E33" w:rsidP="00D74E33">
      <w:pPr>
        <w:spacing w:before="0" w:after="0"/>
        <w:ind w:left="284" w:hanging="284"/>
        <w:jc w:val="left"/>
        <w:rPr>
          <w:kern w:val="22"/>
        </w:rPr>
      </w:pPr>
      <w:r w:rsidRPr="00A43FF4">
        <w:rPr>
          <w:kern w:val="22"/>
        </w:rPr>
        <w:t>South Pole</w:t>
      </w:r>
    </w:p>
    <w:p w:rsidR="00D74E33" w:rsidRPr="00A43FF4" w:rsidRDefault="00D74E33" w:rsidP="00D74E33">
      <w:pPr>
        <w:spacing w:before="0" w:after="0"/>
        <w:ind w:left="284" w:hanging="284"/>
        <w:jc w:val="left"/>
        <w:rPr>
          <w:kern w:val="22"/>
        </w:rPr>
      </w:pPr>
      <w:r w:rsidRPr="00A43FF4">
        <w:rPr>
          <w:kern w:val="22"/>
        </w:rPr>
        <w:t>The 4 Electrical and Electronic Industry Associations</w:t>
      </w:r>
    </w:p>
    <w:p w:rsidR="00D74E33" w:rsidRPr="00A43FF4" w:rsidRDefault="00D74E33" w:rsidP="00D74E33">
      <w:pPr>
        <w:spacing w:before="0" w:after="0"/>
        <w:ind w:left="284" w:hanging="284"/>
        <w:jc w:val="left"/>
        <w:rPr>
          <w:kern w:val="22"/>
        </w:rPr>
      </w:pPr>
      <w:r w:rsidRPr="00A43FF4">
        <w:rPr>
          <w:kern w:val="22"/>
        </w:rPr>
        <w:t>The Biodiversity Consultancy</w:t>
      </w:r>
    </w:p>
    <w:p w:rsidR="00D74E33" w:rsidRPr="00A43FF4" w:rsidRDefault="00D74E33" w:rsidP="00D74E33">
      <w:pPr>
        <w:spacing w:before="0" w:after="0"/>
        <w:ind w:left="284" w:hanging="284"/>
        <w:jc w:val="left"/>
        <w:rPr>
          <w:kern w:val="22"/>
        </w:rPr>
      </w:pPr>
      <w:r w:rsidRPr="00A43FF4">
        <w:rPr>
          <w:kern w:val="22"/>
        </w:rPr>
        <w:t>The Greener Ethanol Protocol</w:t>
      </w:r>
    </w:p>
    <w:p w:rsidR="00D74E33" w:rsidRPr="00A43FF4" w:rsidRDefault="00D74E33" w:rsidP="00D74E33">
      <w:pPr>
        <w:spacing w:before="0" w:after="0"/>
        <w:ind w:left="284" w:hanging="284"/>
        <w:jc w:val="left"/>
        <w:rPr>
          <w:kern w:val="22"/>
        </w:rPr>
      </w:pPr>
      <w:r w:rsidRPr="00A43FF4">
        <w:rPr>
          <w:kern w:val="22"/>
        </w:rPr>
        <w:t>The Union for Ethical BioTrade</w:t>
      </w:r>
    </w:p>
    <w:p w:rsidR="00D74E33" w:rsidRPr="00A43FF4" w:rsidRDefault="00D74E33" w:rsidP="00D74E33">
      <w:pPr>
        <w:spacing w:before="0" w:after="0"/>
        <w:ind w:left="284" w:hanging="284"/>
        <w:jc w:val="left"/>
        <w:rPr>
          <w:kern w:val="22"/>
        </w:rPr>
      </w:pPr>
      <w:r w:rsidRPr="00A43FF4">
        <w:rPr>
          <w:kern w:val="22"/>
        </w:rPr>
        <w:t>TOTAL</w:t>
      </w:r>
    </w:p>
    <w:p w:rsidR="00D74E33" w:rsidRPr="00A43FF4" w:rsidRDefault="00D74E33" w:rsidP="00D74E33">
      <w:pPr>
        <w:spacing w:before="0" w:after="0"/>
        <w:ind w:left="284" w:hanging="284"/>
        <w:jc w:val="left"/>
        <w:rPr>
          <w:kern w:val="22"/>
        </w:rPr>
      </w:pPr>
      <w:r w:rsidRPr="00A43FF4">
        <w:rPr>
          <w:kern w:val="22"/>
        </w:rPr>
        <w:t>Unilever UK Limited</w:t>
      </w:r>
    </w:p>
    <w:p w:rsidR="00D74E33" w:rsidRPr="00A43FF4" w:rsidRDefault="00D74E33" w:rsidP="00D74E33">
      <w:pPr>
        <w:spacing w:before="0" w:after="0"/>
        <w:ind w:left="284" w:hanging="284"/>
        <w:jc w:val="left"/>
        <w:rPr>
          <w:kern w:val="22"/>
        </w:rPr>
      </w:pPr>
      <w:r w:rsidRPr="00A43FF4">
        <w:rPr>
          <w:noProof/>
          <w:kern w:val="22"/>
        </w:rPr>
        <w:t>UPM - Kymmene</w:t>
      </w:r>
      <w:r w:rsidRPr="00A43FF4">
        <w:rPr>
          <w:kern w:val="22"/>
        </w:rPr>
        <w:t xml:space="preserve"> Corporation</w:t>
      </w:r>
    </w:p>
    <w:p w:rsidR="00D74E33" w:rsidRPr="00A8359F" w:rsidRDefault="00D74E33" w:rsidP="00D74E33">
      <w:pPr>
        <w:spacing w:before="0" w:after="0"/>
        <w:ind w:left="284" w:hanging="284"/>
        <w:jc w:val="left"/>
        <w:rPr>
          <w:kern w:val="22"/>
          <w:lang w:val="es-AR"/>
        </w:rPr>
      </w:pPr>
      <w:r w:rsidRPr="00A8359F">
        <w:rPr>
          <w:kern w:val="22"/>
          <w:lang w:val="es-AR"/>
        </w:rPr>
        <w:t>VALE S.A.</w:t>
      </w:r>
    </w:p>
    <w:p w:rsidR="00D74E33" w:rsidRPr="00A8359F" w:rsidRDefault="00D74E33" w:rsidP="00D74E33">
      <w:pPr>
        <w:spacing w:before="0" w:after="0"/>
        <w:ind w:left="284" w:hanging="284"/>
        <w:jc w:val="left"/>
        <w:rPr>
          <w:kern w:val="22"/>
          <w:lang w:val="es-AR"/>
        </w:rPr>
      </w:pPr>
      <w:r w:rsidRPr="00A8359F">
        <w:rPr>
          <w:kern w:val="22"/>
          <w:lang w:val="es-AR"/>
        </w:rPr>
        <w:t>Vulcan Inc.</w:t>
      </w:r>
    </w:p>
    <w:p w:rsidR="00D74E33" w:rsidRPr="00A43FF4" w:rsidRDefault="00D74E33" w:rsidP="00D74E33">
      <w:pPr>
        <w:spacing w:before="0" w:after="0"/>
        <w:ind w:left="284" w:hanging="284"/>
        <w:jc w:val="left"/>
        <w:rPr>
          <w:kern w:val="22"/>
        </w:rPr>
      </w:pPr>
      <w:r w:rsidRPr="00A43FF4">
        <w:rPr>
          <w:kern w:val="22"/>
        </w:rPr>
        <w:t>W.S. Badger Company, Inc.</w:t>
      </w:r>
    </w:p>
    <w:p w:rsidR="00D74E33" w:rsidRPr="00A43FF4" w:rsidRDefault="00D74E33" w:rsidP="00D74E33">
      <w:pPr>
        <w:spacing w:before="0" w:after="0"/>
        <w:ind w:left="284" w:hanging="284"/>
        <w:jc w:val="left"/>
        <w:rPr>
          <w:kern w:val="22"/>
        </w:rPr>
      </w:pPr>
      <w:r w:rsidRPr="00A43FF4">
        <w:rPr>
          <w:kern w:val="22"/>
        </w:rPr>
        <w:t>World Business Council for Sustainable Development</w:t>
      </w:r>
    </w:p>
    <w:p w:rsidR="00D74E33" w:rsidRPr="00A43FF4" w:rsidRDefault="00D74E33" w:rsidP="00D74E33">
      <w:pPr>
        <w:spacing w:before="0" w:after="0"/>
        <w:ind w:left="284" w:hanging="284"/>
        <w:jc w:val="left"/>
        <w:rPr>
          <w:kern w:val="22"/>
        </w:rPr>
        <w:sectPr w:rsidR="00D74E33" w:rsidRPr="00A43FF4" w:rsidSect="00606D6C">
          <w:type w:val="continuous"/>
          <w:pgSz w:w="12240" w:h="15840"/>
          <w:pgMar w:top="567" w:right="1389" w:bottom="1134" w:left="1389" w:header="709" w:footer="709" w:gutter="0"/>
          <w:cols w:num="2" w:space="708"/>
          <w:docGrid w:linePitch="360"/>
        </w:sectPr>
      </w:pPr>
      <w:r w:rsidRPr="00A43FF4">
        <w:rPr>
          <w:kern w:val="22"/>
        </w:rPr>
        <w:t>ZADNA for Agriculture Investment Co.</w:t>
      </w:r>
    </w:p>
    <w:p w:rsidR="00B55836" w:rsidRPr="00F94A6F" w:rsidRDefault="00B55836" w:rsidP="00B55836">
      <w:pPr>
        <w:ind w:left="288" w:hanging="288"/>
        <w:jc w:val="center"/>
        <w:rPr>
          <w:rFonts w:eastAsiaTheme="minorEastAsia"/>
          <w:b/>
          <w:kern w:val="22"/>
          <w:lang w:eastAsia="zh-CN"/>
        </w:rPr>
      </w:pPr>
      <w:r w:rsidRPr="00F94A6F">
        <w:rPr>
          <w:rFonts w:eastAsiaTheme="minorEastAsia"/>
          <w:b/>
          <w:kern w:val="22"/>
          <w:lang w:eastAsia="zh-CN"/>
        </w:rPr>
        <w:lastRenderedPageBreak/>
        <w:t>G.</w:t>
      </w:r>
      <w:r w:rsidRPr="00F94A6F">
        <w:rPr>
          <w:rFonts w:eastAsiaTheme="minorEastAsia"/>
          <w:b/>
          <w:kern w:val="22"/>
          <w:lang w:eastAsia="zh-CN"/>
        </w:rPr>
        <w:tab/>
        <w:t xml:space="preserve">   </w:t>
      </w:r>
      <w:r w:rsidR="00F94A6F">
        <w:rPr>
          <w:rFonts w:eastAsiaTheme="minorEastAsia"/>
          <w:b/>
          <w:kern w:val="22"/>
          <w:lang w:eastAsia="zh-CN"/>
        </w:rPr>
        <w:t xml:space="preserve"> </w:t>
      </w:r>
      <w:r w:rsidRPr="00F94A6F">
        <w:rPr>
          <w:rFonts w:eastAsiaTheme="minorEastAsia"/>
          <w:b/>
          <w:kern w:val="22"/>
          <w:lang w:eastAsia="zh-CN"/>
        </w:rPr>
        <w:t>地方当局</w:t>
      </w:r>
    </w:p>
    <w:p w:rsidR="00606D6C" w:rsidRDefault="00606D6C" w:rsidP="00B55836">
      <w:pPr>
        <w:spacing w:before="0" w:after="0"/>
        <w:ind w:left="284" w:hanging="284"/>
        <w:jc w:val="left"/>
        <w:rPr>
          <w:kern w:val="22"/>
        </w:rPr>
        <w:sectPr w:rsidR="00606D6C" w:rsidSect="002F3D6F">
          <w:type w:val="continuous"/>
          <w:pgSz w:w="12240" w:h="15840"/>
          <w:pgMar w:top="567" w:right="1389" w:bottom="1134" w:left="1389" w:header="709" w:footer="709" w:gutter="0"/>
          <w:cols w:space="708"/>
          <w:docGrid w:linePitch="360"/>
        </w:sectPr>
      </w:pPr>
    </w:p>
    <w:p w:rsidR="00B55836" w:rsidRPr="00DC65D8" w:rsidRDefault="00B55836" w:rsidP="00B55836">
      <w:pPr>
        <w:spacing w:before="0" w:after="0"/>
        <w:ind w:left="284" w:hanging="284"/>
        <w:jc w:val="left"/>
        <w:rPr>
          <w:kern w:val="22"/>
        </w:rPr>
      </w:pPr>
      <w:r w:rsidRPr="00DC65D8">
        <w:rPr>
          <w:kern w:val="22"/>
        </w:rPr>
        <w:lastRenderedPageBreak/>
        <w:t>Aichi Prefecture (Japan)</w:t>
      </w:r>
    </w:p>
    <w:p w:rsidR="00B55836" w:rsidRPr="00DC65D8" w:rsidRDefault="00B55836" w:rsidP="00B55836">
      <w:pPr>
        <w:spacing w:before="0" w:after="0"/>
        <w:ind w:left="284" w:hanging="284"/>
        <w:jc w:val="left"/>
        <w:rPr>
          <w:kern w:val="22"/>
        </w:rPr>
      </w:pPr>
      <w:r w:rsidRPr="00DC65D8">
        <w:rPr>
          <w:kern w:val="22"/>
        </w:rPr>
        <w:t>Gangwon Province (Republic of Korea)</w:t>
      </w:r>
    </w:p>
    <w:p w:rsidR="00B55836" w:rsidRPr="00DC65D8" w:rsidRDefault="00B55836" w:rsidP="00B55836">
      <w:pPr>
        <w:spacing w:before="0" w:after="0"/>
        <w:ind w:left="284" w:hanging="284"/>
        <w:jc w:val="left"/>
        <w:rPr>
          <w:kern w:val="22"/>
        </w:rPr>
      </w:pPr>
      <w:r w:rsidRPr="00DC65D8">
        <w:rPr>
          <w:kern w:val="22"/>
        </w:rPr>
        <w:lastRenderedPageBreak/>
        <w:t>Madinah Region Development Authority (Saudi Arabia)</w:t>
      </w:r>
    </w:p>
    <w:p w:rsidR="00606D6C" w:rsidRDefault="00606D6C" w:rsidP="00B55836">
      <w:pPr>
        <w:ind w:left="288" w:hanging="288"/>
        <w:jc w:val="center"/>
        <w:rPr>
          <w:rFonts w:asciiTheme="minorEastAsia" w:eastAsiaTheme="minorEastAsia" w:hAnsiTheme="minorEastAsia"/>
          <w:b/>
          <w:kern w:val="22"/>
          <w:lang w:eastAsia="zh-CN"/>
        </w:rPr>
        <w:sectPr w:rsidR="00606D6C" w:rsidSect="00606D6C">
          <w:type w:val="continuous"/>
          <w:pgSz w:w="12240" w:h="15840"/>
          <w:pgMar w:top="567" w:right="1389" w:bottom="1134" w:left="1389" w:header="709" w:footer="709" w:gutter="0"/>
          <w:cols w:num="2" w:space="708"/>
          <w:docGrid w:linePitch="360"/>
        </w:sectPr>
      </w:pPr>
    </w:p>
    <w:p w:rsidR="00B55836" w:rsidRPr="00B55836" w:rsidRDefault="00B55836" w:rsidP="00B55836">
      <w:pPr>
        <w:ind w:left="288" w:hanging="288"/>
        <w:jc w:val="center"/>
        <w:rPr>
          <w:rFonts w:asciiTheme="minorEastAsia" w:eastAsiaTheme="minorEastAsia" w:hAnsiTheme="minorEastAsia"/>
          <w:b/>
          <w:kern w:val="22"/>
          <w:lang w:eastAsia="zh-CN"/>
        </w:rPr>
      </w:pPr>
      <w:r>
        <w:rPr>
          <w:rFonts w:asciiTheme="minorEastAsia" w:eastAsiaTheme="minorEastAsia" w:hAnsiTheme="minorEastAsia" w:hint="eastAsia"/>
          <w:b/>
          <w:kern w:val="22"/>
          <w:lang w:eastAsia="zh-CN"/>
        </w:rPr>
        <w:lastRenderedPageBreak/>
        <w:t>青年</w:t>
      </w:r>
    </w:p>
    <w:p w:rsidR="00B55836" w:rsidRPr="00DC65D8" w:rsidRDefault="00B55836" w:rsidP="00B55836">
      <w:pPr>
        <w:rPr>
          <w:kern w:val="22"/>
        </w:rPr>
        <w:sectPr w:rsidR="00B55836" w:rsidRPr="00DC65D8" w:rsidSect="002F3D6F">
          <w:type w:val="continuous"/>
          <w:pgSz w:w="12240" w:h="15840"/>
          <w:pgMar w:top="567" w:right="1389" w:bottom="1134" w:left="1389" w:header="709" w:footer="709" w:gutter="0"/>
          <w:cols w:space="708"/>
          <w:docGrid w:linePitch="360"/>
        </w:sectPr>
      </w:pPr>
    </w:p>
    <w:p w:rsidR="00B55836" w:rsidRPr="00DC65D8" w:rsidRDefault="00B55836" w:rsidP="00B55836">
      <w:pPr>
        <w:spacing w:before="0" w:after="0"/>
        <w:ind w:left="284" w:hanging="284"/>
        <w:jc w:val="left"/>
        <w:rPr>
          <w:kern w:val="22"/>
        </w:rPr>
      </w:pPr>
      <w:r w:rsidRPr="00DC65D8">
        <w:rPr>
          <w:kern w:val="22"/>
        </w:rPr>
        <w:lastRenderedPageBreak/>
        <w:t>Global Youth Biodiversity Network</w:t>
      </w:r>
    </w:p>
    <w:p w:rsidR="00B55836" w:rsidRPr="00DC65D8" w:rsidRDefault="00B55836" w:rsidP="00B55836">
      <w:pPr>
        <w:spacing w:before="0" w:after="0"/>
        <w:ind w:left="284" w:hanging="284"/>
        <w:jc w:val="left"/>
        <w:rPr>
          <w:kern w:val="22"/>
        </w:rPr>
      </w:pPr>
      <w:r w:rsidRPr="00DC65D8">
        <w:rPr>
          <w:kern w:val="22"/>
        </w:rPr>
        <w:t>Japan Biodiversity Youth Network</w:t>
      </w:r>
    </w:p>
    <w:p w:rsidR="00B55836" w:rsidRPr="00B55836" w:rsidRDefault="00B55836" w:rsidP="00B55836">
      <w:pPr>
        <w:spacing w:before="0" w:after="0"/>
        <w:ind w:left="284" w:hanging="284"/>
        <w:jc w:val="left"/>
        <w:rPr>
          <w:kern w:val="22"/>
        </w:rPr>
      </w:pPr>
      <w:r w:rsidRPr="00B55836">
        <w:rPr>
          <w:kern w:val="22"/>
        </w:rPr>
        <w:lastRenderedPageBreak/>
        <w:t>Naturschutzjugend - NAJU</w:t>
      </w:r>
    </w:p>
    <w:p w:rsidR="00606D6C" w:rsidRDefault="00606D6C" w:rsidP="00B55836">
      <w:pPr>
        <w:ind w:left="288" w:hanging="288"/>
        <w:jc w:val="center"/>
        <w:rPr>
          <w:rFonts w:asciiTheme="minorEastAsia" w:eastAsiaTheme="minorEastAsia" w:hAnsiTheme="minorEastAsia"/>
          <w:b/>
          <w:kern w:val="22"/>
          <w:lang w:eastAsia="zh-CN"/>
        </w:rPr>
        <w:sectPr w:rsidR="00606D6C" w:rsidSect="00606D6C">
          <w:type w:val="continuous"/>
          <w:pgSz w:w="12240" w:h="15840"/>
          <w:pgMar w:top="567" w:right="1389" w:bottom="1134" w:left="1389" w:header="709" w:footer="709" w:gutter="0"/>
          <w:cols w:num="2" w:space="708"/>
          <w:docGrid w:linePitch="360"/>
        </w:sectPr>
      </w:pPr>
    </w:p>
    <w:p w:rsidR="00B55836" w:rsidRPr="00B55836" w:rsidRDefault="00B55836" w:rsidP="00B55836">
      <w:pPr>
        <w:ind w:left="288" w:hanging="288"/>
        <w:jc w:val="center"/>
        <w:rPr>
          <w:rFonts w:asciiTheme="minorEastAsia" w:eastAsiaTheme="minorEastAsia" w:hAnsiTheme="minorEastAsia"/>
          <w:b/>
          <w:kern w:val="22"/>
          <w:lang w:eastAsia="zh-CN"/>
        </w:rPr>
      </w:pPr>
      <w:r w:rsidRPr="00B55836">
        <w:rPr>
          <w:rFonts w:asciiTheme="minorEastAsia" w:eastAsiaTheme="minorEastAsia" w:hAnsiTheme="minorEastAsia" w:hint="eastAsia"/>
          <w:b/>
          <w:kern w:val="22"/>
          <w:lang w:eastAsia="zh-CN"/>
        </w:rPr>
        <w:lastRenderedPageBreak/>
        <w:t>观察员</w:t>
      </w:r>
    </w:p>
    <w:p w:rsidR="00606D6C" w:rsidRDefault="00606D6C" w:rsidP="00D74E33">
      <w:pPr>
        <w:spacing w:before="0" w:after="0"/>
        <w:ind w:left="284" w:hanging="284"/>
        <w:jc w:val="left"/>
        <w:rPr>
          <w:kern w:val="22"/>
        </w:rPr>
        <w:sectPr w:rsidR="00606D6C" w:rsidSect="00D74E33">
          <w:type w:val="continuous"/>
          <w:pgSz w:w="12240" w:h="15840"/>
          <w:pgMar w:top="567" w:right="1389" w:bottom="1134" w:left="1389" w:header="709" w:footer="709" w:gutter="0"/>
          <w:cols w:space="708"/>
          <w:docGrid w:linePitch="360"/>
        </w:sectPr>
      </w:pPr>
    </w:p>
    <w:p w:rsidR="00D74E33" w:rsidRPr="00A43FF4" w:rsidRDefault="00D74E33" w:rsidP="00D74E33">
      <w:pPr>
        <w:spacing w:before="0" w:after="0"/>
        <w:ind w:left="284" w:hanging="284"/>
        <w:jc w:val="left"/>
        <w:rPr>
          <w:kern w:val="22"/>
        </w:rPr>
      </w:pPr>
      <w:r w:rsidRPr="00A43FF4">
        <w:rPr>
          <w:kern w:val="22"/>
        </w:rPr>
        <w:lastRenderedPageBreak/>
        <w:t>ABS Capacity Development Initiative</w:t>
      </w:r>
    </w:p>
    <w:p w:rsidR="00D74E33" w:rsidRPr="00A43FF4" w:rsidRDefault="00D74E33" w:rsidP="00D74E33">
      <w:pPr>
        <w:spacing w:before="0" w:after="0"/>
        <w:ind w:left="284" w:hanging="284"/>
        <w:jc w:val="left"/>
        <w:rPr>
          <w:kern w:val="22"/>
        </w:rPr>
      </w:pPr>
      <w:r w:rsidRPr="00A43FF4">
        <w:rPr>
          <w:kern w:val="22"/>
        </w:rPr>
        <w:t>Andhra Pradesh State Biodiversity Board</w:t>
      </w:r>
    </w:p>
    <w:p w:rsidR="00D74E33" w:rsidRPr="00A43FF4" w:rsidRDefault="00D74E33" w:rsidP="00D74E33">
      <w:pPr>
        <w:spacing w:before="0" w:after="0"/>
        <w:ind w:left="284" w:hanging="284"/>
        <w:jc w:val="left"/>
        <w:rPr>
          <w:kern w:val="22"/>
        </w:rPr>
      </w:pPr>
      <w:r w:rsidRPr="00A43FF4">
        <w:rPr>
          <w:kern w:val="22"/>
        </w:rPr>
        <w:t>Biotech Consortium India Limited (BCIL)</w:t>
      </w:r>
    </w:p>
    <w:p w:rsidR="00D74E33" w:rsidRPr="00A43FF4" w:rsidRDefault="00D74E33" w:rsidP="00D74E33">
      <w:pPr>
        <w:spacing w:before="0" w:after="0"/>
        <w:ind w:left="284" w:hanging="284"/>
        <w:jc w:val="left"/>
        <w:rPr>
          <w:kern w:val="22"/>
        </w:rPr>
      </w:pPr>
      <w:r w:rsidRPr="00A43FF4">
        <w:rPr>
          <w:kern w:val="22"/>
        </w:rPr>
        <w:t>COP:14: Science for Biodiversity Forum</w:t>
      </w:r>
    </w:p>
    <w:p w:rsidR="00D74E33" w:rsidRPr="00A43FF4" w:rsidRDefault="00D74E33" w:rsidP="00D74E33">
      <w:pPr>
        <w:spacing w:before="0" w:after="0"/>
        <w:ind w:left="284" w:hanging="284"/>
        <w:jc w:val="left"/>
        <w:rPr>
          <w:kern w:val="22"/>
        </w:rPr>
      </w:pPr>
      <w:r w:rsidRPr="00A43FF4">
        <w:rPr>
          <w:kern w:val="22"/>
        </w:rPr>
        <w:t>Danish Parliament</w:t>
      </w:r>
    </w:p>
    <w:p w:rsidR="00D74E33" w:rsidRPr="00A43FF4" w:rsidRDefault="00D74E33" w:rsidP="00D74E33">
      <w:pPr>
        <w:spacing w:before="0" w:after="0"/>
        <w:ind w:left="284" w:hanging="284"/>
        <w:jc w:val="left"/>
        <w:rPr>
          <w:kern w:val="22"/>
        </w:rPr>
      </w:pPr>
      <w:r w:rsidRPr="00A43FF4">
        <w:rPr>
          <w:kern w:val="22"/>
        </w:rPr>
        <w:t>Department of the Environment and Energy</w:t>
      </w:r>
    </w:p>
    <w:p w:rsidR="00D74E33" w:rsidRPr="00A43FF4" w:rsidRDefault="00D74E33" w:rsidP="00D74E33">
      <w:pPr>
        <w:spacing w:before="0" w:after="0"/>
        <w:ind w:left="284" w:hanging="284"/>
        <w:jc w:val="left"/>
        <w:rPr>
          <w:kern w:val="22"/>
        </w:rPr>
      </w:pPr>
      <w:r w:rsidRPr="00A43FF4">
        <w:rPr>
          <w:snapToGrid w:val="0"/>
          <w:color w:val="000000"/>
          <w:kern w:val="22"/>
          <w:lang w:val="de-DE"/>
        </w:rPr>
        <w:t>Deutsche Gesellschaft für Internationale Zusammenarbeit (</w:t>
      </w:r>
      <w:r w:rsidRPr="00A43FF4">
        <w:rPr>
          <w:kern w:val="22"/>
        </w:rPr>
        <w:t>GIZ)</w:t>
      </w:r>
    </w:p>
    <w:p w:rsidR="00D74E33" w:rsidRPr="00A43FF4" w:rsidRDefault="00D74E33" w:rsidP="00D74E33">
      <w:pPr>
        <w:spacing w:before="0" w:after="0"/>
        <w:ind w:left="284" w:hanging="284"/>
        <w:jc w:val="left"/>
        <w:rPr>
          <w:noProof/>
          <w:kern w:val="22"/>
        </w:rPr>
      </w:pPr>
      <w:r w:rsidRPr="00A43FF4">
        <w:rPr>
          <w:noProof/>
          <w:kern w:val="22"/>
        </w:rPr>
        <w:t>EcoShape</w:t>
      </w:r>
    </w:p>
    <w:p w:rsidR="00D74E33" w:rsidRPr="00A43FF4" w:rsidRDefault="00D74E33" w:rsidP="00D74E33">
      <w:pPr>
        <w:spacing w:before="0" w:after="0"/>
        <w:ind w:left="284" w:hanging="284"/>
        <w:jc w:val="left"/>
        <w:rPr>
          <w:kern w:val="22"/>
        </w:rPr>
      </w:pPr>
      <w:r w:rsidRPr="00A43FF4">
        <w:rPr>
          <w:kern w:val="22"/>
        </w:rPr>
        <w:t>Finnish Wildlife Agency</w:t>
      </w:r>
    </w:p>
    <w:p w:rsidR="00D74E33" w:rsidRPr="00A43FF4" w:rsidRDefault="00D74E33" w:rsidP="00D74E33">
      <w:pPr>
        <w:spacing w:before="0" w:after="0"/>
        <w:ind w:left="284" w:hanging="284"/>
        <w:jc w:val="left"/>
        <w:rPr>
          <w:kern w:val="22"/>
        </w:rPr>
      </w:pPr>
      <w:r w:rsidRPr="00A43FF4">
        <w:rPr>
          <w:kern w:val="22"/>
        </w:rPr>
        <w:t>International Nitrogen Initiative</w:t>
      </w:r>
    </w:p>
    <w:p w:rsidR="00D74E33" w:rsidRPr="00A43FF4" w:rsidRDefault="00D74E33" w:rsidP="00D74E33">
      <w:pPr>
        <w:spacing w:before="0" w:after="0"/>
        <w:ind w:left="284" w:hanging="284"/>
        <w:jc w:val="left"/>
        <w:rPr>
          <w:kern w:val="22"/>
        </w:rPr>
      </w:pPr>
      <w:r w:rsidRPr="00A43FF4">
        <w:rPr>
          <w:kern w:val="22"/>
        </w:rPr>
        <w:t>Japan International Cooperation Agency</w:t>
      </w:r>
    </w:p>
    <w:p w:rsidR="00D74E33" w:rsidRPr="00A43FF4" w:rsidRDefault="00D74E33" w:rsidP="00D74E33">
      <w:pPr>
        <w:spacing w:before="0" w:after="0"/>
        <w:ind w:left="284" w:hanging="284"/>
        <w:jc w:val="left"/>
        <w:rPr>
          <w:kern w:val="22"/>
        </w:rPr>
      </w:pPr>
      <w:r w:rsidRPr="00A43FF4">
        <w:rPr>
          <w:kern w:val="22"/>
        </w:rPr>
        <w:t>Kenya Medical Research Institute</w:t>
      </w:r>
    </w:p>
    <w:p w:rsidR="00D74E33" w:rsidRPr="00A43FF4" w:rsidRDefault="00D74E33" w:rsidP="00D74E33">
      <w:pPr>
        <w:spacing w:before="0" w:after="0"/>
        <w:ind w:left="284" w:hanging="284"/>
        <w:jc w:val="left"/>
        <w:rPr>
          <w:kern w:val="22"/>
        </w:rPr>
      </w:pPr>
      <w:r w:rsidRPr="00A43FF4">
        <w:rPr>
          <w:kern w:val="22"/>
        </w:rPr>
        <w:lastRenderedPageBreak/>
        <w:t>Medical and Electronic Waste Management Project</w:t>
      </w:r>
    </w:p>
    <w:p w:rsidR="00D74E33" w:rsidRPr="00A43FF4" w:rsidRDefault="00D74E33" w:rsidP="00D74E33">
      <w:pPr>
        <w:spacing w:before="0" w:after="0"/>
        <w:ind w:left="284" w:hanging="284"/>
        <w:jc w:val="left"/>
        <w:rPr>
          <w:kern w:val="22"/>
        </w:rPr>
      </w:pPr>
      <w:r w:rsidRPr="00A43FF4">
        <w:rPr>
          <w:kern w:val="22"/>
        </w:rPr>
        <w:t>National Commission for Natural Protected Areas</w:t>
      </w:r>
    </w:p>
    <w:p w:rsidR="00D74E33" w:rsidRPr="00A43FF4" w:rsidRDefault="00D74E33" w:rsidP="00D74E33">
      <w:pPr>
        <w:spacing w:before="0" w:after="0"/>
        <w:ind w:left="284" w:hanging="284"/>
        <w:jc w:val="left"/>
        <w:rPr>
          <w:kern w:val="22"/>
        </w:rPr>
      </w:pPr>
      <w:r w:rsidRPr="00A43FF4">
        <w:rPr>
          <w:kern w:val="22"/>
        </w:rPr>
        <w:t>National Confederation of Industries</w:t>
      </w:r>
    </w:p>
    <w:p w:rsidR="00D74E33" w:rsidRPr="00A8359F" w:rsidRDefault="00D74E33" w:rsidP="00D74E33">
      <w:pPr>
        <w:spacing w:before="0" w:after="0"/>
        <w:ind w:left="284" w:hanging="284"/>
        <w:jc w:val="left"/>
        <w:rPr>
          <w:kern w:val="22"/>
        </w:rPr>
      </w:pPr>
      <w:r w:rsidRPr="00A8359F">
        <w:rPr>
          <w:kern w:val="22"/>
        </w:rPr>
        <w:t>Parques Nacionales Naturales de Colombia</w:t>
      </w:r>
    </w:p>
    <w:p w:rsidR="00D74E33" w:rsidRPr="00A43FF4" w:rsidRDefault="00D74E33" w:rsidP="00D74E33">
      <w:pPr>
        <w:spacing w:before="0" w:after="0"/>
        <w:ind w:left="284" w:hanging="284"/>
        <w:jc w:val="left"/>
        <w:rPr>
          <w:kern w:val="22"/>
        </w:rPr>
      </w:pPr>
      <w:r w:rsidRPr="00A43FF4">
        <w:rPr>
          <w:noProof/>
          <w:kern w:val="22"/>
        </w:rPr>
        <w:t>PBL</w:t>
      </w:r>
      <w:r w:rsidRPr="00A43FF4">
        <w:rPr>
          <w:kern w:val="22"/>
        </w:rPr>
        <w:t xml:space="preserve"> Netherlands Environmental Assessment Agency</w:t>
      </w:r>
    </w:p>
    <w:p w:rsidR="00D74E33" w:rsidRPr="00A43FF4" w:rsidRDefault="00D74E33" w:rsidP="00D74E33">
      <w:pPr>
        <w:spacing w:before="0" w:after="0"/>
        <w:ind w:left="284" w:hanging="284"/>
        <w:jc w:val="left"/>
        <w:rPr>
          <w:kern w:val="22"/>
        </w:rPr>
      </w:pPr>
      <w:r w:rsidRPr="00A43FF4">
        <w:rPr>
          <w:kern w:val="22"/>
        </w:rPr>
        <w:t>Plant for the Planet Foundation</w:t>
      </w:r>
    </w:p>
    <w:p w:rsidR="00D74E33" w:rsidRPr="00A43FF4" w:rsidRDefault="00D74E33" w:rsidP="00D74E33">
      <w:pPr>
        <w:spacing w:before="0" w:after="0"/>
        <w:ind w:left="284" w:hanging="284"/>
        <w:jc w:val="left"/>
        <w:rPr>
          <w:kern w:val="22"/>
          <w:lang w:val="es-ES"/>
        </w:rPr>
      </w:pPr>
      <w:r w:rsidRPr="00A43FF4">
        <w:rPr>
          <w:kern w:val="22"/>
          <w:lang w:val="es-ES"/>
        </w:rPr>
        <w:t>Procuraduría Federal de Protección al Ambiente</w:t>
      </w:r>
    </w:p>
    <w:p w:rsidR="00D74E33" w:rsidRPr="00A43FF4" w:rsidRDefault="00D74E33" w:rsidP="00D74E33">
      <w:pPr>
        <w:spacing w:before="0" w:after="0"/>
        <w:ind w:left="284" w:hanging="284"/>
        <w:jc w:val="left"/>
        <w:rPr>
          <w:kern w:val="22"/>
        </w:rPr>
      </w:pPr>
      <w:r w:rsidRPr="00A43FF4">
        <w:rPr>
          <w:kern w:val="22"/>
        </w:rPr>
        <w:t>Saudi Wildlife Authority</w:t>
      </w:r>
    </w:p>
    <w:p w:rsidR="00D74E33" w:rsidRPr="00A43FF4" w:rsidRDefault="00D74E33" w:rsidP="00D74E33">
      <w:pPr>
        <w:spacing w:before="0" w:after="0"/>
        <w:ind w:left="284" w:hanging="284"/>
        <w:jc w:val="left"/>
        <w:rPr>
          <w:kern w:val="22"/>
        </w:rPr>
      </w:pPr>
      <w:r w:rsidRPr="00A43FF4">
        <w:rPr>
          <w:kern w:val="22"/>
        </w:rPr>
        <w:t>Scottish Natural Heritage</w:t>
      </w:r>
    </w:p>
    <w:p w:rsidR="00606D6C" w:rsidRDefault="009C2411" w:rsidP="009C2411">
      <w:pPr>
        <w:spacing w:before="0" w:after="0"/>
        <w:ind w:left="284" w:hanging="284"/>
        <w:jc w:val="left"/>
        <w:rPr>
          <w:kern w:val="22"/>
          <w:lang w:eastAsia="zh-CN"/>
        </w:rPr>
      </w:pPr>
      <w:r>
        <w:rPr>
          <w:kern w:val="22"/>
          <w:lang w:eastAsia="zh-CN"/>
        </w:rPr>
        <w:t>USTA</w:t>
      </w:r>
    </w:p>
    <w:p w:rsidR="009C2411" w:rsidRDefault="009C2411" w:rsidP="009C2411">
      <w:pPr>
        <w:spacing w:before="0" w:after="0"/>
        <w:ind w:left="284" w:hanging="284"/>
        <w:jc w:val="left"/>
        <w:rPr>
          <w:kern w:val="22"/>
          <w:lang w:eastAsia="zh-CN"/>
        </w:rPr>
        <w:sectPr w:rsidR="009C2411" w:rsidSect="009C2411">
          <w:type w:val="continuous"/>
          <w:pgSz w:w="12240" w:h="15840"/>
          <w:pgMar w:top="567" w:right="1389" w:bottom="1134" w:left="1389" w:header="709" w:footer="709" w:gutter="0"/>
          <w:cols w:num="2" w:space="708"/>
          <w:docGrid w:linePitch="360"/>
        </w:sectPr>
      </w:pPr>
    </w:p>
    <w:p w:rsidR="009C2411" w:rsidRDefault="009C2411" w:rsidP="009C2411">
      <w:pPr>
        <w:spacing w:before="0" w:after="0"/>
        <w:ind w:left="284" w:hanging="284"/>
        <w:jc w:val="left"/>
        <w:rPr>
          <w:kern w:val="22"/>
          <w:lang w:eastAsia="zh-CN"/>
        </w:rPr>
      </w:pPr>
    </w:p>
    <w:p w:rsidR="009C2411" w:rsidRPr="009C2411" w:rsidRDefault="009C2411" w:rsidP="009C2411">
      <w:pPr>
        <w:spacing w:before="0" w:after="0"/>
        <w:ind w:left="284" w:hanging="284"/>
        <w:jc w:val="left"/>
        <w:rPr>
          <w:kern w:val="22"/>
          <w:lang w:eastAsia="zh-CN"/>
        </w:rPr>
        <w:sectPr w:rsidR="009C2411" w:rsidRPr="009C2411" w:rsidSect="00606D6C">
          <w:type w:val="continuous"/>
          <w:pgSz w:w="12240" w:h="15840"/>
          <w:pgMar w:top="567" w:right="1389" w:bottom="1134" w:left="1389" w:header="709" w:footer="709" w:gutter="0"/>
          <w:cols w:num="2" w:space="708"/>
          <w:docGrid w:linePitch="360"/>
        </w:sectPr>
      </w:pPr>
    </w:p>
    <w:p w:rsidR="008D76BF" w:rsidRPr="00737609" w:rsidRDefault="00606D6C" w:rsidP="009C2411">
      <w:pPr>
        <w:spacing w:after="240"/>
        <w:ind w:firstLine="0"/>
        <w:jc w:val="center"/>
        <w:rPr>
          <w:rFonts w:ascii="KaiTi" w:eastAsia="KaiTi" w:hAnsi="KaiTi"/>
          <w:snapToGrid w:val="0"/>
          <w:color w:val="000000"/>
          <w:kern w:val="22"/>
          <w:lang w:eastAsia="zh-CN"/>
        </w:rPr>
      </w:pPr>
      <w:r w:rsidRPr="00606D6C">
        <w:rPr>
          <w:rFonts w:ascii="KaiTi" w:eastAsia="KaiTi" w:hAnsi="KaiTi" w:hint="eastAsia"/>
          <w:kern w:val="22"/>
          <w:lang w:eastAsia="zh-CN"/>
        </w:rPr>
        <w:lastRenderedPageBreak/>
        <w:t>附件二</w:t>
      </w:r>
    </w:p>
    <w:p w:rsidR="008D76BF" w:rsidRPr="00B8426E" w:rsidRDefault="008D76BF" w:rsidP="004E4C6C">
      <w:pPr>
        <w:ind w:firstLine="0"/>
        <w:jc w:val="center"/>
        <w:rPr>
          <w:b/>
          <w:snapToGrid w:val="0"/>
          <w:color w:val="000000"/>
          <w:kern w:val="22"/>
          <w:lang w:eastAsia="zh-CN"/>
        </w:rPr>
      </w:pPr>
      <w:r>
        <w:rPr>
          <w:rFonts w:ascii="SimSun" w:eastAsia="SimSun" w:hAnsi="SimSun" w:cs="SimSun" w:hint="eastAsia"/>
          <w:b/>
          <w:snapToGrid w:val="0"/>
          <w:color w:val="000000"/>
          <w:kern w:val="22"/>
          <w:lang w:eastAsia="zh-CN"/>
        </w:rPr>
        <w:t>生物多样性公约缔约方大会第十四届会议开幕式上的发言</w:t>
      </w:r>
    </w:p>
    <w:p w:rsidR="008D76BF" w:rsidRPr="004E4C6C" w:rsidRDefault="008D76BF" w:rsidP="004E4C6C">
      <w:pPr>
        <w:pStyle w:val="Heading6"/>
        <w:adjustRightInd w:val="0"/>
        <w:snapToGrid w:val="0"/>
        <w:ind w:left="720" w:right="399" w:firstLine="0"/>
        <w:jc w:val="both"/>
        <w:rPr>
          <w:rFonts w:ascii="KaiTi" w:eastAsia="KaiTi" w:hAnsi="KaiTi"/>
          <w:snapToGrid w:val="0"/>
          <w:kern w:val="22"/>
          <w:sz w:val="24"/>
          <w:lang w:eastAsia="zh-CN"/>
        </w:rPr>
      </w:pPr>
      <w:r w:rsidRPr="004E4C6C">
        <w:rPr>
          <w:rFonts w:ascii="KaiTi" w:eastAsia="KaiTi" w:hAnsi="KaiTi" w:cs="SimSun" w:hint="eastAsia"/>
          <w:snapToGrid w:val="0"/>
          <w:kern w:val="22"/>
          <w:sz w:val="24"/>
          <w:lang w:eastAsia="zh-CN"/>
        </w:rPr>
        <w:t>墨西哥驻埃及大使</w:t>
      </w:r>
      <w:r w:rsidRPr="004E4C6C">
        <w:rPr>
          <w:rFonts w:ascii="KaiTi" w:eastAsia="KaiTi" w:hAnsi="KaiTi"/>
          <w:snapToGrid w:val="0"/>
          <w:kern w:val="22"/>
          <w:sz w:val="24"/>
          <w:lang w:eastAsia="zh-CN"/>
        </w:rPr>
        <w:t>José Octavio</w:t>
      </w:r>
      <w:r w:rsidRPr="004E4C6C">
        <w:rPr>
          <w:rFonts w:ascii="Calibri" w:eastAsia="KaiTi" w:hAnsi="Calibri" w:cs="Calibri"/>
          <w:snapToGrid w:val="0"/>
          <w:kern w:val="22"/>
          <w:sz w:val="24"/>
          <w:lang w:eastAsia="zh-CN"/>
        </w:rPr>
        <w:t> </w:t>
      </w:r>
      <w:r w:rsidRPr="004E4C6C">
        <w:rPr>
          <w:rFonts w:ascii="KaiTi" w:eastAsia="KaiTi" w:hAnsi="KaiTi"/>
          <w:snapToGrid w:val="0"/>
          <w:kern w:val="22"/>
          <w:sz w:val="24"/>
          <w:lang w:eastAsia="zh-CN"/>
        </w:rPr>
        <w:t>Tripp Villanueva</w:t>
      </w:r>
      <w:r w:rsidRPr="004E4C6C">
        <w:rPr>
          <w:rFonts w:ascii="KaiTi" w:eastAsia="KaiTi" w:hAnsi="KaiTi" w:cs="SimSun" w:hint="eastAsia"/>
          <w:snapToGrid w:val="0"/>
          <w:kern w:val="22"/>
          <w:sz w:val="24"/>
          <w:lang w:eastAsia="zh-CN"/>
        </w:rPr>
        <w:t>先生代表墨西哥环境和自然资源部长及缔约方大会离任主席</w:t>
      </w:r>
      <w:r w:rsidRPr="004E4C6C">
        <w:rPr>
          <w:rFonts w:ascii="KaiTi" w:eastAsia="KaiTi" w:hAnsi="KaiTi"/>
          <w:snapToGrid w:val="0"/>
          <w:kern w:val="22"/>
          <w:sz w:val="24"/>
          <w:lang w:eastAsia="zh-CN"/>
        </w:rPr>
        <w:t>Rafael</w:t>
      </w:r>
      <w:r w:rsidR="0032740B" w:rsidRPr="004E4C6C">
        <w:rPr>
          <w:rFonts w:ascii="KaiTi" w:eastAsia="KaiTi" w:hAnsi="KaiTi"/>
          <w:snapToGrid w:val="0"/>
          <w:kern w:val="22"/>
          <w:sz w:val="24"/>
          <w:lang w:eastAsia="zh-CN"/>
        </w:rPr>
        <w:t xml:space="preserve"> </w:t>
      </w:r>
      <w:r w:rsidRPr="004E4C6C">
        <w:rPr>
          <w:rFonts w:ascii="KaiTi" w:eastAsia="KaiTi" w:hAnsi="KaiTi"/>
          <w:snapToGrid w:val="0"/>
          <w:kern w:val="22"/>
          <w:sz w:val="24"/>
          <w:lang w:eastAsia="zh-CN"/>
        </w:rPr>
        <w:t>Pacchiano</w:t>
      </w:r>
      <w:r w:rsidR="0032740B" w:rsidRPr="004E4C6C">
        <w:rPr>
          <w:rFonts w:ascii="KaiTi" w:eastAsia="KaiTi" w:hAnsi="KaiTi"/>
          <w:snapToGrid w:val="0"/>
          <w:kern w:val="22"/>
          <w:sz w:val="24"/>
          <w:lang w:eastAsia="zh-CN"/>
        </w:rPr>
        <w:t xml:space="preserve"> </w:t>
      </w:r>
      <w:r w:rsidRPr="004E4C6C">
        <w:rPr>
          <w:rFonts w:ascii="KaiTi" w:eastAsia="KaiTi" w:hAnsi="KaiTi"/>
          <w:snapToGrid w:val="0"/>
          <w:kern w:val="22"/>
          <w:sz w:val="24"/>
          <w:lang w:eastAsia="zh-CN"/>
        </w:rPr>
        <w:t>Alamán</w:t>
      </w:r>
      <w:r w:rsidRPr="004E4C6C">
        <w:rPr>
          <w:rFonts w:ascii="KaiTi" w:eastAsia="KaiTi" w:hAnsi="KaiTi" w:cs="SimSun" w:hint="eastAsia"/>
          <w:snapToGrid w:val="0"/>
          <w:kern w:val="22"/>
          <w:sz w:val="24"/>
          <w:lang w:eastAsia="zh-CN"/>
        </w:rPr>
        <w:t>先生作开幕发言</w:t>
      </w:r>
    </w:p>
    <w:p w:rsidR="008D76BF" w:rsidRPr="004A6822" w:rsidRDefault="008D76BF" w:rsidP="002A2E8B">
      <w:pPr>
        <w:pStyle w:val="Para1"/>
        <w:numPr>
          <w:ilvl w:val="0"/>
          <w:numId w:val="7"/>
        </w:numPr>
        <w:tabs>
          <w:tab w:val="clear" w:pos="360"/>
          <w:tab w:val="left" w:pos="720"/>
        </w:tabs>
        <w:ind w:firstLine="0"/>
        <w:rPr>
          <w:sz w:val="24"/>
          <w:szCs w:val="24"/>
          <w:lang w:eastAsia="zh-CN"/>
        </w:rPr>
      </w:pPr>
      <w:r w:rsidRPr="004A6822">
        <w:rPr>
          <w:sz w:val="24"/>
          <w:szCs w:val="24"/>
          <w:lang w:eastAsia="zh-CN"/>
        </w:rPr>
        <w:t>Tripp Villanueva</w:t>
      </w:r>
      <w:r w:rsidRPr="004A6822">
        <w:rPr>
          <w:rFonts w:ascii="SimSun" w:eastAsia="SimSun" w:hAnsi="SimSun" w:cs="SimSun" w:hint="eastAsia"/>
          <w:sz w:val="24"/>
          <w:szCs w:val="24"/>
          <w:lang w:eastAsia="zh-CN"/>
        </w:rPr>
        <w:t>先生回顾说，墨西哥在担任缔约方大会第十三届会议主席后，一直依赖国际社会支持《坎昆宣言》所体现的将保护和可持续利用生物多样性纳入主流以造福所有人的概念。他表示赞赏各国政府在坚持这一概念方面表现出的政治意愿，本届会议将对此作进一步讨论。他还回顾说，《公约》各缔约方与联合国其他机构的成员国以及渔业、农业、林业和旅游业等部门的决策者和利益攸关方一起积极参与，导致产生了一个跨领域议程，证明了富有成效的多边主义所产生的积极影响。在土著人民、基层社区、妇女和青年、学术界、民间社会和私营部门的参与下继续共同努力，将有助于在实现《</w:t>
      </w:r>
      <w:r w:rsidRPr="004A6822">
        <w:rPr>
          <w:sz w:val="24"/>
          <w:szCs w:val="24"/>
          <w:lang w:eastAsia="zh-CN"/>
        </w:rPr>
        <w:t>2011-2020</w:t>
      </w:r>
      <w:r w:rsidRPr="004A6822">
        <w:rPr>
          <w:rFonts w:ascii="SimSun" w:eastAsia="SimSun" w:hAnsi="SimSun" w:cs="SimSun" w:hint="eastAsia"/>
          <w:sz w:val="24"/>
          <w:szCs w:val="24"/>
          <w:lang w:eastAsia="zh-CN"/>
        </w:rPr>
        <w:t>年生物多样性战略计划》和爱知生物多样性指标以及实现《</w:t>
      </w:r>
      <w:r w:rsidRPr="004A6822">
        <w:rPr>
          <w:sz w:val="24"/>
          <w:szCs w:val="24"/>
          <w:lang w:eastAsia="zh-CN"/>
        </w:rPr>
        <w:t>2030</w:t>
      </w:r>
      <w:r w:rsidRPr="004A6822">
        <w:rPr>
          <w:rFonts w:ascii="SimSun" w:eastAsia="SimSun" w:hAnsi="SimSun" w:cs="SimSun" w:hint="eastAsia"/>
          <w:sz w:val="24"/>
          <w:szCs w:val="24"/>
          <w:lang w:eastAsia="zh-CN"/>
        </w:rPr>
        <w:t>年可持续发展议程》方面取得进一步进展。</w:t>
      </w:r>
    </w:p>
    <w:p w:rsidR="008D76BF" w:rsidRPr="00C92662" w:rsidRDefault="008D76BF" w:rsidP="002A2E8B">
      <w:pPr>
        <w:pStyle w:val="Para1"/>
        <w:numPr>
          <w:ilvl w:val="0"/>
          <w:numId w:val="7"/>
        </w:numPr>
        <w:tabs>
          <w:tab w:val="clear" w:pos="360"/>
          <w:tab w:val="left" w:pos="720"/>
        </w:tabs>
        <w:ind w:firstLine="0"/>
        <w:rPr>
          <w:sz w:val="24"/>
          <w:szCs w:val="24"/>
          <w:lang w:eastAsia="zh-CN"/>
        </w:rPr>
      </w:pPr>
      <w:r w:rsidRPr="00C92662">
        <w:rPr>
          <w:rFonts w:ascii="SimSun" w:eastAsia="SimSun" w:hAnsi="SimSun" w:cs="SimSun" w:hint="eastAsia"/>
          <w:sz w:val="24"/>
          <w:szCs w:val="24"/>
          <w:lang w:eastAsia="zh-CN"/>
        </w:rPr>
        <w:t>自第十三届会议闭幕以来，墨西哥协助组织了执行问题附属机构、第</w:t>
      </w:r>
      <w:r w:rsidRPr="00C92662">
        <w:rPr>
          <w:sz w:val="24"/>
          <w:szCs w:val="24"/>
          <w:lang w:eastAsia="zh-CN"/>
        </w:rPr>
        <w:t>8</w:t>
      </w:r>
      <w:r>
        <w:rPr>
          <w:rFonts w:ascii="SimSun" w:eastAsia="SimSun" w:hAnsi="SimSun" w:cs="SimSun" w:hint="eastAsia"/>
          <w:sz w:val="24"/>
          <w:szCs w:val="24"/>
          <w:lang w:eastAsia="zh-CN"/>
        </w:rPr>
        <w:t>（</w:t>
      </w:r>
      <w:r w:rsidRPr="00C92662">
        <w:rPr>
          <w:sz w:val="24"/>
          <w:szCs w:val="24"/>
          <w:lang w:eastAsia="zh-CN"/>
        </w:rPr>
        <w:t>j</w:t>
      </w:r>
      <w:r>
        <w:rPr>
          <w:rFonts w:ascii="SimSun" w:eastAsia="SimSun" w:hAnsi="SimSun" w:cs="SimSun" w:hint="eastAsia"/>
          <w:sz w:val="24"/>
          <w:szCs w:val="24"/>
          <w:lang w:eastAsia="zh-CN"/>
        </w:rPr>
        <w:t>）</w:t>
      </w:r>
      <w:r w:rsidRPr="00C92662">
        <w:rPr>
          <w:rFonts w:ascii="SimSun" w:eastAsia="SimSun" w:hAnsi="SimSun" w:cs="SimSun" w:hint="eastAsia"/>
          <w:sz w:val="24"/>
          <w:szCs w:val="24"/>
          <w:lang w:eastAsia="zh-CN"/>
        </w:rPr>
        <w:t>不限成员名额特设工作组和科学、技术和工艺咨询附属机构的闭会期间会议，并支持联合国粮食及农业组织、</w:t>
      </w:r>
      <w:r w:rsidR="00780033">
        <w:rPr>
          <w:rFonts w:ascii="SimSun" w:eastAsia="SimSun" w:hAnsi="SimSun" w:cs="SimSun" w:hint="eastAsia"/>
          <w:sz w:val="24"/>
          <w:szCs w:val="24"/>
          <w:lang w:eastAsia="zh-CN"/>
        </w:rPr>
        <w:t>联合国环境署</w:t>
      </w:r>
      <w:r w:rsidRPr="00C92662">
        <w:rPr>
          <w:rFonts w:ascii="SimSun" w:eastAsia="SimSun" w:hAnsi="SimSun" w:cs="SimSun" w:hint="eastAsia"/>
          <w:sz w:val="24"/>
          <w:szCs w:val="24"/>
          <w:lang w:eastAsia="zh-CN"/>
        </w:rPr>
        <w:t>、世界旅游组织、世界卫生组织、世界贸易组织和联合国大会等其他政府间论坛通过关于可持续利用生物多样性的决定和决议。尽管取得了重大进展，前进的道路仍然漫长而富有挑战性，特别是在编写</w:t>
      </w:r>
      <w:r w:rsidRPr="00C92662">
        <w:rPr>
          <w:sz w:val="24"/>
          <w:szCs w:val="24"/>
          <w:lang w:eastAsia="zh-CN"/>
        </w:rPr>
        <w:t>2020</w:t>
      </w:r>
      <w:r w:rsidRPr="00C92662">
        <w:rPr>
          <w:rFonts w:ascii="SimSun" w:eastAsia="SimSun" w:hAnsi="SimSun" w:cs="SimSun" w:hint="eastAsia"/>
          <w:sz w:val="24"/>
          <w:szCs w:val="24"/>
          <w:lang w:eastAsia="zh-CN"/>
        </w:rPr>
        <w:t>年后全球生物多样性框架供缔约方大会第十五届会议通过方面。</w:t>
      </w:r>
    </w:p>
    <w:p w:rsidR="008D76BF" w:rsidRPr="00C92662" w:rsidRDefault="008D76BF" w:rsidP="002A2E8B">
      <w:pPr>
        <w:pStyle w:val="Para1"/>
        <w:numPr>
          <w:ilvl w:val="0"/>
          <w:numId w:val="7"/>
        </w:numPr>
        <w:tabs>
          <w:tab w:val="clear" w:pos="360"/>
          <w:tab w:val="left" w:pos="720"/>
        </w:tabs>
        <w:ind w:firstLine="0"/>
        <w:rPr>
          <w:rFonts w:ascii="SimSun" w:hAnsi="SimSun"/>
          <w:sz w:val="24"/>
          <w:szCs w:val="24"/>
          <w:lang w:eastAsia="zh-CN"/>
        </w:rPr>
      </w:pPr>
      <w:r w:rsidRPr="00C92662">
        <w:rPr>
          <w:rFonts w:ascii="SimSun" w:eastAsia="SimSun" w:hAnsi="SimSun" w:cs="SimSun" w:hint="eastAsia"/>
          <w:sz w:val="24"/>
          <w:szCs w:val="24"/>
          <w:lang w:eastAsia="zh-CN"/>
        </w:rPr>
        <w:t>将生物多样性纳入主流至关重要，埃及在这方面展现了出色的领导能力，一定能够与基础设施、采矿、能源、制造业和卫生部门等相关部门合作，推进这项议程。他在正式移交缔约方大会主席职务时，强调了墨西哥政府关于墨西哥担任缔约方大会第十三届会议主席的报告中的结论，即需要齐心协力推动必要的转型变革。必须将保护和可持续利用生物多样性纳入《公约》框架内外所有活动的日常做法中，每个国家都必须为保护生物多样性进行投资</w:t>
      </w:r>
      <w:r w:rsidRPr="00C92662">
        <w:rPr>
          <w:rFonts w:ascii="SimSun" w:hAnsi="SimSun"/>
          <w:sz w:val="24"/>
          <w:szCs w:val="24"/>
          <w:lang w:eastAsia="zh-CN"/>
        </w:rPr>
        <w:t>,</w:t>
      </w:r>
      <w:r w:rsidRPr="00C92662">
        <w:rPr>
          <w:rFonts w:ascii="SimSun" w:eastAsia="SimSun" w:hAnsi="SimSun" w:cs="SimSun" w:hint="eastAsia"/>
          <w:sz w:val="24"/>
          <w:szCs w:val="24"/>
          <w:lang w:eastAsia="zh-CN"/>
        </w:rPr>
        <w:t>以造福于本国人民和整个地球。他祝愿埃及取得圆满成功，并热烈欢迎担任缔约方大会新任主席的埃及环境部长</w:t>
      </w:r>
      <w:r w:rsidR="0099160A">
        <w:rPr>
          <w:sz w:val="24"/>
          <w:szCs w:val="24"/>
          <w:lang w:eastAsia="zh-CN"/>
        </w:rPr>
        <w:t>Fouad</w:t>
      </w:r>
      <w:r w:rsidRPr="00C92662">
        <w:rPr>
          <w:rFonts w:ascii="SimSun" w:eastAsia="SimSun" w:hAnsi="SimSun" w:cs="SimSun" w:hint="eastAsia"/>
          <w:sz w:val="24"/>
          <w:szCs w:val="24"/>
          <w:lang w:eastAsia="zh-CN"/>
        </w:rPr>
        <w:t>女士。</w:t>
      </w:r>
    </w:p>
    <w:p w:rsidR="008D76BF" w:rsidRPr="002A2E8B" w:rsidRDefault="008D76BF" w:rsidP="002A2E8B">
      <w:pPr>
        <w:pStyle w:val="Heading6"/>
        <w:tabs>
          <w:tab w:val="left" w:pos="720"/>
        </w:tabs>
        <w:adjustRightInd w:val="0"/>
        <w:snapToGrid w:val="0"/>
        <w:ind w:left="720" w:firstLine="0"/>
        <w:jc w:val="left"/>
        <w:rPr>
          <w:rFonts w:ascii="KaiTi" w:eastAsia="KaiTi" w:hAnsi="KaiTi"/>
          <w:snapToGrid w:val="0"/>
          <w:kern w:val="22"/>
          <w:sz w:val="24"/>
          <w:lang w:eastAsia="zh-CN"/>
        </w:rPr>
      </w:pPr>
      <w:r w:rsidRPr="002A2E8B">
        <w:rPr>
          <w:rFonts w:ascii="KaiTi" w:eastAsia="KaiTi" w:hAnsi="KaiTi" w:hint="eastAsia"/>
          <w:snapToGrid w:val="0"/>
          <w:kern w:val="22"/>
          <w:sz w:val="24"/>
          <w:lang w:eastAsia="zh-CN"/>
        </w:rPr>
        <w:t>埃及环境部长兼缔约方大会第十四届会议主席</w:t>
      </w:r>
      <w:r w:rsidRPr="002A2E8B">
        <w:rPr>
          <w:rFonts w:ascii="KaiTi" w:eastAsia="KaiTi" w:hAnsi="KaiTi"/>
          <w:snapToGrid w:val="0"/>
          <w:kern w:val="22"/>
          <w:sz w:val="24"/>
          <w:lang w:eastAsia="zh-CN"/>
        </w:rPr>
        <w:t>Yasmine Fouad</w:t>
      </w:r>
      <w:r w:rsidRPr="002A2E8B">
        <w:rPr>
          <w:rFonts w:ascii="KaiTi" w:eastAsia="KaiTi" w:hAnsi="KaiTi" w:hint="eastAsia"/>
          <w:snapToGrid w:val="0"/>
          <w:kern w:val="22"/>
          <w:sz w:val="24"/>
          <w:lang w:eastAsia="zh-CN"/>
        </w:rPr>
        <w:t>女士作开幕发言</w:t>
      </w:r>
    </w:p>
    <w:p w:rsidR="008D76BF" w:rsidRPr="00C92662" w:rsidRDefault="0099160A" w:rsidP="002A2E8B">
      <w:pPr>
        <w:pStyle w:val="Para1"/>
        <w:numPr>
          <w:ilvl w:val="0"/>
          <w:numId w:val="7"/>
        </w:numPr>
        <w:tabs>
          <w:tab w:val="clear" w:pos="360"/>
          <w:tab w:val="left" w:pos="720"/>
        </w:tabs>
        <w:ind w:firstLine="0"/>
        <w:rPr>
          <w:rFonts w:ascii="SimSun" w:hAnsi="SimSun"/>
          <w:sz w:val="24"/>
          <w:szCs w:val="24"/>
          <w:lang w:eastAsia="zh-CN"/>
        </w:rPr>
      </w:pPr>
      <w:r>
        <w:rPr>
          <w:sz w:val="24"/>
          <w:szCs w:val="24"/>
          <w:lang w:eastAsia="zh-CN"/>
        </w:rPr>
        <w:t>Fouad</w:t>
      </w:r>
      <w:r w:rsidR="008D76BF" w:rsidRPr="00C92662">
        <w:rPr>
          <w:rFonts w:ascii="SimSun" w:eastAsia="SimSun" w:hAnsi="SimSun" w:cs="SimSun" w:hint="eastAsia"/>
          <w:sz w:val="24"/>
          <w:szCs w:val="24"/>
          <w:lang w:eastAsia="zh-CN"/>
        </w:rPr>
        <w:t>女士对墨西哥政府自缔约方大会第十三届会议以来主持《公约》的工作表示赞赏；感谢塞西先生参加缔约方大会第十四届会议的组织工作，并成为埃及第一位出席多边环境协定会议的总统；感谢支持埃及竞选第十四届会议主席的非洲国家。一段时间以来，非洲国家一直在努力为非洲达成一个共同的谈判立场，并编制了一份强有力的文件，其中强调了非洲大陆在努力打击偷猎野生动物及其非法交易等行为以保护其丰富的自然资源方面的优先事项。该文件特别强调将生物多样性的利用和保护纳入每个相关部门的主流，以此作为国家一级所有发展努力的基础。埃及作为一个生物多样性丰富的文明摇篮，对此问题十分重视，这表现在总理和几名政府部长出席本届会议；批准国家发展计划执行模式；起草雄心勃勃的政治宣言提交缔约方大会在未来几天内审议。</w:t>
      </w:r>
    </w:p>
    <w:p w:rsidR="008D76BF" w:rsidRPr="00B8426E" w:rsidRDefault="008D76BF" w:rsidP="002A2E8B">
      <w:pPr>
        <w:pStyle w:val="Para1"/>
        <w:numPr>
          <w:ilvl w:val="0"/>
          <w:numId w:val="7"/>
        </w:numPr>
        <w:tabs>
          <w:tab w:val="clear" w:pos="360"/>
          <w:tab w:val="left" w:pos="720"/>
        </w:tabs>
        <w:ind w:firstLine="0"/>
        <w:rPr>
          <w:sz w:val="24"/>
          <w:szCs w:val="24"/>
          <w:lang w:eastAsia="zh-CN"/>
        </w:rPr>
      </w:pPr>
      <w:r w:rsidRPr="00804429">
        <w:rPr>
          <w:rFonts w:ascii="SimSun" w:eastAsia="SimSun" w:hAnsi="SimSun" w:cs="SimSun" w:hint="eastAsia"/>
          <w:sz w:val="24"/>
          <w:szCs w:val="24"/>
          <w:lang w:eastAsia="zh-CN"/>
        </w:rPr>
        <w:lastRenderedPageBreak/>
        <w:t>埃及致力于制定一个</w:t>
      </w:r>
      <w:r>
        <w:rPr>
          <w:rFonts w:ascii="SimSun" w:eastAsia="SimSun" w:hAnsi="SimSun" w:cs="SimSun" w:hint="eastAsia"/>
          <w:sz w:val="24"/>
          <w:szCs w:val="24"/>
          <w:lang w:eastAsia="zh-CN"/>
        </w:rPr>
        <w:t>能够有效保护世界自然资源，造福于子孙后代的具有操作性的</w:t>
      </w:r>
      <w:r w:rsidRPr="00804429">
        <w:rPr>
          <w:sz w:val="24"/>
          <w:szCs w:val="24"/>
          <w:lang w:eastAsia="zh-CN"/>
        </w:rPr>
        <w:t>2020</w:t>
      </w:r>
      <w:r w:rsidRPr="00804429">
        <w:rPr>
          <w:rFonts w:ascii="SimSun" w:eastAsia="SimSun" w:hAnsi="SimSun" w:cs="SimSun" w:hint="eastAsia"/>
          <w:sz w:val="24"/>
          <w:szCs w:val="24"/>
          <w:lang w:eastAsia="zh-CN"/>
        </w:rPr>
        <w:t>年后生物多样性框架</w:t>
      </w:r>
      <w:r>
        <w:rPr>
          <w:rFonts w:ascii="SimSun" w:eastAsia="SimSun" w:hAnsi="SimSun" w:cs="SimSun" w:hint="eastAsia"/>
          <w:sz w:val="24"/>
          <w:szCs w:val="24"/>
          <w:lang w:eastAsia="zh-CN"/>
        </w:rPr>
        <w:t>。</w:t>
      </w:r>
      <w:r w:rsidRPr="00804429">
        <w:rPr>
          <w:rFonts w:ascii="SimSun" w:eastAsia="SimSun" w:hAnsi="SimSun" w:cs="SimSun" w:hint="eastAsia"/>
          <w:sz w:val="24"/>
          <w:szCs w:val="24"/>
          <w:lang w:eastAsia="zh-CN"/>
        </w:rPr>
        <w:t>埃及</w:t>
      </w:r>
      <w:r>
        <w:rPr>
          <w:rFonts w:ascii="SimSun" w:eastAsia="SimSun" w:hAnsi="SimSun" w:cs="SimSun" w:hint="eastAsia"/>
          <w:sz w:val="24"/>
          <w:szCs w:val="24"/>
          <w:lang w:eastAsia="zh-CN"/>
        </w:rPr>
        <w:t>期待</w:t>
      </w:r>
      <w:r w:rsidRPr="00804429">
        <w:rPr>
          <w:rFonts w:ascii="SimSun" w:eastAsia="SimSun" w:hAnsi="SimSun" w:cs="SimSun" w:hint="eastAsia"/>
          <w:sz w:val="24"/>
          <w:szCs w:val="24"/>
          <w:lang w:eastAsia="zh-CN"/>
        </w:rPr>
        <w:t>《公约》</w:t>
      </w:r>
      <w:r>
        <w:rPr>
          <w:rFonts w:ascii="SimSun" w:eastAsia="SimSun" w:hAnsi="SimSun" w:cs="SimSun" w:hint="eastAsia"/>
          <w:sz w:val="24"/>
          <w:szCs w:val="24"/>
          <w:lang w:eastAsia="zh-CN"/>
        </w:rPr>
        <w:t>各</w:t>
      </w:r>
      <w:r w:rsidRPr="00804429">
        <w:rPr>
          <w:rFonts w:ascii="SimSun" w:eastAsia="SimSun" w:hAnsi="SimSun" w:cs="SimSun" w:hint="eastAsia"/>
          <w:sz w:val="24"/>
          <w:szCs w:val="24"/>
          <w:lang w:eastAsia="zh-CN"/>
        </w:rPr>
        <w:t>缔约方</w:t>
      </w:r>
      <w:r>
        <w:rPr>
          <w:rFonts w:ascii="SimSun" w:eastAsia="SimSun" w:hAnsi="SimSun" w:cs="SimSun" w:hint="eastAsia"/>
          <w:sz w:val="24"/>
          <w:szCs w:val="24"/>
          <w:lang w:eastAsia="zh-CN"/>
        </w:rPr>
        <w:t>展现</w:t>
      </w:r>
      <w:r w:rsidRPr="00804429">
        <w:rPr>
          <w:rFonts w:ascii="SimSun" w:eastAsia="SimSun" w:hAnsi="SimSun" w:cs="SimSun" w:hint="eastAsia"/>
          <w:sz w:val="24"/>
          <w:szCs w:val="24"/>
          <w:lang w:eastAsia="zh-CN"/>
        </w:rPr>
        <w:t>政治意愿</w:t>
      </w:r>
      <w:r>
        <w:rPr>
          <w:rFonts w:ascii="SimSun" w:eastAsia="SimSun" w:hAnsi="SimSun" w:cs="SimSun" w:hint="eastAsia"/>
          <w:sz w:val="24"/>
          <w:szCs w:val="24"/>
          <w:lang w:eastAsia="zh-CN"/>
        </w:rPr>
        <w:t>，</w:t>
      </w:r>
      <w:r w:rsidRPr="00804429">
        <w:rPr>
          <w:rFonts w:ascii="SimSun" w:eastAsia="SimSun" w:hAnsi="SimSun" w:cs="SimSun" w:hint="eastAsia"/>
          <w:sz w:val="24"/>
          <w:szCs w:val="24"/>
          <w:lang w:eastAsia="zh-CN"/>
        </w:rPr>
        <w:t>共同努力确保</w:t>
      </w:r>
      <w:r>
        <w:rPr>
          <w:rFonts w:ascii="SimSun" w:eastAsia="SimSun" w:hAnsi="SimSun" w:cs="SimSun" w:hint="eastAsia"/>
          <w:sz w:val="24"/>
          <w:szCs w:val="24"/>
          <w:lang w:eastAsia="zh-CN"/>
        </w:rPr>
        <w:t>完成这样一个</w:t>
      </w:r>
      <w:r w:rsidRPr="00804429">
        <w:rPr>
          <w:rFonts w:ascii="SimSun" w:eastAsia="SimSun" w:hAnsi="SimSun" w:cs="SimSun" w:hint="eastAsia"/>
          <w:sz w:val="24"/>
          <w:szCs w:val="24"/>
          <w:lang w:eastAsia="zh-CN"/>
        </w:rPr>
        <w:t>框架</w:t>
      </w:r>
      <w:r>
        <w:rPr>
          <w:rFonts w:ascii="SimSun" w:eastAsia="SimSun" w:hAnsi="SimSun" w:cs="SimSun" w:hint="eastAsia"/>
          <w:sz w:val="24"/>
          <w:szCs w:val="24"/>
          <w:lang w:eastAsia="zh-CN"/>
        </w:rPr>
        <w:t>，</w:t>
      </w:r>
      <w:r w:rsidRPr="00804429">
        <w:rPr>
          <w:rFonts w:ascii="SimSun" w:eastAsia="SimSun" w:hAnsi="SimSun" w:cs="SimSun" w:hint="eastAsia"/>
          <w:sz w:val="24"/>
          <w:szCs w:val="24"/>
          <w:lang w:eastAsia="zh-CN"/>
        </w:rPr>
        <w:t>供缔约方大会第十五届会议通过。在本</w:t>
      </w:r>
      <w:r>
        <w:rPr>
          <w:rFonts w:ascii="SimSun" w:eastAsia="SimSun" w:hAnsi="SimSun" w:cs="SimSun" w:hint="eastAsia"/>
          <w:sz w:val="24"/>
          <w:szCs w:val="24"/>
          <w:lang w:eastAsia="zh-CN"/>
        </w:rPr>
        <w:t>届</w:t>
      </w:r>
      <w:r w:rsidRPr="00804429">
        <w:rPr>
          <w:rFonts w:ascii="SimSun" w:eastAsia="SimSun" w:hAnsi="SimSun" w:cs="SimSun" w:hint="eastAsia"/>
          <w:sz w:val="24"/>
          <w:szCs w:val="24"/>
          <w:lang w:eastAsia="zh-CN"/>
        </w:rPr>
        <w:t>会议的审议过程中，各</w:t>
      </w:r>
      <w:r>
        <w:rPr>
          <w:rFonts w:ascii="SimSun" w:eastAsia="SimSun" w:hAnsi="SimSun" w:cs="SimSun" w:hint="eastAsia"/>
          <w:sz w:val="24"/>
          <w:szCs w:val="24"/>
          <w:lang w:eastAsia="zh-CN"/>
        </w:rPr>
        <w:t>缔约方</w:t>
      </w:r>
      <w:r w:rsidRPr="00804429">
        <w:rPr>
          <w:rFonts w:ascii="SimSun" w:eastAsia="SimSun" w:hAnsi="SimSun" w:cs="SimSun" w:hint="eastAsia"/>
          <w:sz w:val="24"/>
          <w:szCs w:val="24"/>
          <w:lang w:eastAsia="zh-CN"/>
        </w:rPr>
        <w:t>应努力铭记</w:t>
      </w:r>
      <w:r w:rsidRPr="00804429">
        <w:rPr>
          <w:sz w:val="24"/>
          <w:szCs w:val="24"/>
          <w:lang w:eastAsia="zh-CN"/>
        </w:rPr>
        <w:t>2018</w:t>
      </w:r>
      <w:r w:rsidRPr="00804429">
        <w:rPr>
          <w:rFonts w:ascii="SimSun" w:eastAsia="SimSun" w:hAnsi="SimSun" w:cs="SimSun" w:hint="eastAsia"/>
          <w:sz w:val="24"/>
          <w:szCs w:val="24"/>
          <w:lang w:eastAsia="zh-CN"/>
        </w:rPr>
        <w:t>年</w:t>
      </w:r>
      <w:r w:rsidRPr="00804429">
        <w:rPr>
          <w:sz w:val="24"/>
          <w:szCs w:val="24"/>
          <w:lang w:eastAsia="zh-CN"/>
        </w:rPr>
        <w:t>11</w:t>
      </w:r>
      <w:r w:rsidRPr="00804429">
        <w:rPr>
          <w:rFonts w:ascii="SimSun" w:eastAsia="SimSun" w:hAnsi="SimSun" w:cs="SimSun" w:hint="eastAsia"/>
          <w:sz w:val="24"/>
          <w:szCs w:val="24"/>
          <w:lang w:eastAsia="zh-CN"/>
        </w:rPr>
        <w:t>月</w:t>
      </w:r>
      <w:r w:rsidRPr="00804429">
        <w:rPr>
          <w:sz w:val="24"/>
          <w:szCs w:val="24"/>
          <w:lang w:eastAsia="zh-CN"/>
        </w:rPr>
        <w:t>2</w:t>
      </w:r>
      <w:r w:rsidRPr="00804429">
        <w:rPr>
          <w:rFonts w:ascii="SimSun" w:eastAsia="SimSun" w:hAnsi="SimSun" w:cs="SimSun" w:hint="eastAsia"/>
          <w:sz w:val="24"/>
          <w:szCs w:val="24"/>
          <w:lang w:eastAsia="zh-CN"/>
        </w:rPr>
        <w:t>日至</w:t>
      </w:r>
      <w:r w:rsidRPr="00804429">
        <w:rPr>
          <w:sz w:val="24"/>
          <w:szCs w:val="24"/>
          <w:lang w:eastAsia="zh-CN"/>
        </w:rPr>
        <w:t>6</w:t>
      </w:r>
      <w:r w:rsidRPr="00804429">
        <w:rPr>
          <w:rFonts w:ascii="SimSun" w:eastAsia="SimSun" w:hAnsi="SimSun" w:cs="SimSun" w:hint="eastAsia"/>
          <w:sz w:val="24"/>
          <w:szCs w:val="24"/>
          <w:lang w:eastAsia="zh-CN"/>
        </w:rPr>
        <w:t>日在沙姆沙伊赫举行的世界青年论坛发出的一个关键信息，即多样性和文化是稳定</w:t>
      </w:r>
      <w:r>
        <w:rPr>
          <w:rFonts w:ascii="SimSun" w:eastAsia="SimSun" w:hAnsi="SimSun" w:cs="SimSun" w:hint="eastAsia"/>
          <w:sz w:val="24"/>
          <w:szCs w:val="24"/>
          <w:lang w:eastAsia="zh-CN"/>
        </w:rPr>
        <w:t>与</w:t>
      </w:r>
      <w:r w:rsidRPr="00804429">
        <w:rPr>
          <w:rFonts w:ascii="SimSun" w:eastAsia="SimSun" w:hAnsi="SimSun" w:cs="SimSun" w:hint="eastAsia"/>
          <w:sz w:val="24"/>
          <w:szCs w:val="24"/>
          <w:lang w:eastAsia="zh-CN"/>
        </w:rPr>
        <w:t>持久和平的基础，发展、和平与环境</w:t>
      </w:r>
      <w:r>
        <w:rPr>
          <w:rFonts w:ascii="SimSun" w:eastAsia="SimSun" w:hAnsi="SimSun" w:cs="SimSun" w:hint="eastAsia"/>
          <w:sz w:val="24"/>
          <w:szCs w:val="24"/>
          <w:lang w:eastAsia="zh-CN"/>
        </w:rPr>
        <w:t>三者</w:t>
      </w:r>
      <w:r w:rsidRPr="00804429">
        <w:rPr>
          <w:rFonts w:ascii="SimSun" w:eastAsia="SimSun" w:hAnsi="SimSun" w:cs="SimSun" w:hint="eastAsia"/>
          <w:sz w:val="24"/>
          <w:szCs w:val="24"/>
          <w:lang w:eastAsia="zh-CN"/>
        </w:rPr>
        <w:t>不可分割</w:t>
      </w:r>
      <w:r>
        <w:rPr>
          <w:rFonts w:ascii="SimSun" w:eastAsia="SimSun" w:hAnsi="SimSun" w:cs="SimSun" w:hint="eastAsia"/>
          <w:sz w:val="24"/>
          <w:szCs w:val="24"/>
          <w:lang w:eastAsia="zh-CN"/>
        </w:rPr>
        <w:t>。</w:t>
      </w:r>
    </w:p>
    <w:p w:rsidR="008D76BF" w:rsidRPr="00B8426E" w:rsidRDefault="008D76BF" w:rsidP="002A2E8B">
      <w:pPr>
        <w:pStyle w:val="Para1"/>
        <w:numPr>
          <w:ilvl w:val="0"/>
          <w:numId w:val="7"/>
        </w:numPr>
        <w:tabs>
          <w:tab w:val="clear" w:pos="360"/>
          <w:tab w:val="left" w:pos="720"/>
        </w:tabs>
        <w:ind w:firstLine="0"/>
        <w:rPr>
          <w:sz w:val="24"/>
          <w:szCs w:val="24"/>
          <w:lang w:eastAsia="zh-CN"/>
        </w:rPr>
      </w:pPr>
      <w:r w:rsidRPr="00E55925">
        <w:rPr>
          <w:rFonts w:ascii="SimSun" w:eastAsia="SimSun" w:hAnsi="SimSun" w:cs="SimSun" w:hint="eastAsia"/>
          <w:sz w:val="24"/>
          <w:szCs w:val="24"/>
          <w:lang w:eastAsia="zh-CN"/>
        </w:rPr>
        <w:t>在国家一级，埃及通过</w:t>
      </w:r>
      <w:r>
        <w:rPr>
          <w:rFonts w:ascii="SimSun" w:eastAsia="SimSun" w:hAnsi="SimSun" w:cs="SimSun" w:hint="eastAsia"/>
          <w:sz w:val="24"/>
          <w:szCs w:val="24"/>
          <w:lang w:eastAsia="zh-CN"/>
        </w:rPr>
        <w:t>实施</w:t>
      </w:r>
      <w:r w:rsidRPr="00E55925">
        <w:rPr>
          <w:rFonts w:ascii="SimSun" w:eastAsia="SimSun" w:hAnsi="SimSun" w:cs="SimSun" w:hint="eastAsia"/>
          <w:sz w:val="24"/>
          <w:szCs w:val="24"/>
          <w:lang w:eastAsia="zh-CN"/>
        </w:rPr>
        <w:t>旨在解决曼扎拉湖地区以及在邻国支持下解决尼罗河流域生态系统退化和污染</w:t>
      </w:r>
      <w:r>
        <w:rPr>
          <w:rFonts w:ascii="SimSun" w:eastAsia="SimSun" w:hAnsi="SimSun" w:cs="SimSun" w:hint="eastAsia"/>
          <w:sz w:val="24"/>
          <w:szCs w:val="24"/>
          <w:lang w:eastAsia="zh-CN"/>
        </w:rPr>
        <w:t>问题等</w:t>
      </w:r>
      <w:r w:rsidRPr="00E55925">
        <w:rPr>
          <w:rFonts w:ascii="SimSun" w:eastAsia="SimSun" w:hAnsi="SimSun" w:cs="SimSun" w:hint="eastAsia"/>
          <w:sz w:val="24"/>
          <w:szCs w:val="24"/>
          <w:lang w:eastAsia="zh-CN"/>
        </w:rPr>
        <w:t>项目，继续投资于保护其生物多样性。</w:t>
      </w:r>
      <w:r>
        <w:rPr>
          <w:rFonts w:ascii="SimSun" w:eastAsia="SimSun" w:hAnsi="SimSun" w:cs="SimSun" w:hint="eastAsia"/>
          <w:sz w:val="24"/>
          <w:szCs w:val="24"/>
          <w:lang w:eastAsia="zh-CN"/>
        </w:rPr>
        <w:t>塞西</w:t>
      </w:r>
      <w:r w:rsidRPr="00E55925">
        <w:rPr>
          <w:rFonts w:ascii="SimSun" w:eastAsia="SimSun" w:hAnsi="SimSun" w:cs="SimSun" w:hint="eastAsia"/>
          <w:sz w:val="24"/>
          <w:szCs w:val="24"/>
          <w:lang w:eastAsia="zh-CN"/>
        </w:rPr>
        <w:t>先生</w:t>
      </w:r>
      <w:r>
        <w:rPr>
          <w:rFonts w:ascii="SimSun" w:eastAsia="SimSun" w:hAnsi="SimSun" w:cs="SimSun" w:hint="eastAsia"/>
          <w:sz w:val="24"/>
          <w:szCs w:val="24"/>
          <w:lang w:eastAsia="zh-CN"/>
        </w:rPr>
        <w:t>本人</w:t>
      </w:r>
      <w:r w:rsidRPr="00E55925">
        <w:rPr>
          <w:rFonts w:ascii="SimSun" w:eastAsia="SimSun" w:hAnsi="SimSun" w:cs="SimSun" w:hint="eastAsia"/>
          <w:sz w:val="24"/>
          <w:szCs w:val="24"/>
          <w:lang w:eastAsia="zh-CN"/>
        </w:rPr>
        <w:t>对这项工作表现出极大的兴趣，这表现在他支持</w:t>
      </w:r>
      <w:r>
        <w:rPr>
          <w:rFonts w:ascii="SimSun" w:eastAsia="SimSun" w:hAnsi="SimSun" w:cs="SimSun" w:hint="eastAsia"/>
          <w:sz w:val="24"/>
          <w:szCs w:val="24"/>
          <w:lang w:eastAsia="zh-CN"/>
        </w:rPr>
        <w:t>由每个</w:t>
      </w:r>
      <w:r w:rsidRPr="00E55925">
        <w:rPr>
          <w:rFonts w:ascii="SimSun" w:eastAsia="SimSun" w:hAnsi="SimSun" w:cs="SimSun" w:hint="eastAsia"/>
          <w:sz w:val="24"/>
          <w:szCs w:val="24"/>
          <w:lang w:eastAsia="zh-CN"/>
        </w:rPr>
        <w:t>代表团团长在本</w:t>
      </w:r>
      <w:r>
        <w:rPr>
          <w:rFonts w:ascii="SimSun" w:eastAsia="SimSun" w:hAnsi="SimSun" w:cs="SimSun" w:hint="eastAsia"/>
          <w:sz w:val="24"/>
          <w:szCs w:val="24"/>
          <w:lang w:eastAsia="zh-CN"/>
        </w:rPr>
        <w:t>届</w:t>
      </w:r>
      <w:r w:rsidRPr="00E55925">
        <w:rPr>
          <w:rFonts w:ascii="SimSun" w:eastAsia="SimSun" w:hAnsi="SimSun" w:cs="SimSun" w:hint="eastAsia"/>
          <w:sz w:val="24"/>
          <w:szCs w:val="24"/>
          <w:lang w:eastAsia="zh-CN"/>
        </w:rPr>
        <w:t>会议开幕前在沙姆沙伊赫和平公园种植一棵橄榄树</w:t>
      </w:r>
      <w:r>
        <w:rPr>
          <w:rFonts w:ascii="SimSun" w:eastAsia="SimSun" w:hAnsi="SimSun" w:cs="SimSun" w:hint="eastAsia"/>
          <w:sz w:val="24"/>
          <w:szCs w:val="24"/>
          <w:lang w:eastAsia="zh-CN"/>
        </w:rPr>
        <w:t>的这一</w:t>
      </w:r>
      <w:r w:rsidRPr="00E55925">
        <w:rPr>
          <w:rFonts w:ascii="SimSun" w:eastAsia="SimSun" w:hAnsi="SimSun" w:cs="SimSun" w:hint="eastAsia"/>
          <w:sz w:val="24"/>
          <w:szCs w:val="24"/>
          <w:lang w:eastAsia="zh-CN"/>
        </w:rPr>
        <w:t>象征性</w:t>
      </w:r>
      <w:r>
        <w:rPr>
          <w:rFonts w:ascii="SimSun" w:eastAsia="SimSun" w:hAnsi="SimSun" w:cs="SimSun" w:hint="eastAsia"/>
          <w:sz w:val="24"/>
          <w:szCs w:val="24"/>
          <w:lang w:eastAsia="zh-CN"/>
        </w:rPr>
        <w:t>举措。</w:t>
      </w:r>
    </w:p>
    <w:p w:rsidR="008D76BF" w:rsidRPr="00B8426E" w:rsidRDefault="008D76BF" w:rsidP="002A2E8B">
      <w:pPr>
        <w:pStyle w:val="Para1"/>
        <w:numPr>
          <w:ilvl w:val="0"/>
          <w:numId w:val="7"/>
        </w:numPr>
        <w:tabs>
          <w:tab w:val="clear" w:pos="360"/>
          <w:tab w:val="left" w:pos="720"/>
        </w:tabs>
        <w:ind w:firstLine="0"/>
        <w:rPr>
          <w:sz w:val="24"/>
          <w:szCs w:val="24"/>
          <w:lang w:eastAsia="zh-CN"/>
        </w:rPr>
      </w:pPr>
      <w:r w:rsidRPr="002506B6">
        <w:rPr>
          <w:rFonts w:ascii="SimSun" w:eastAsia="SimSun" w:hAnsi="SimSun" w:cs="SimSun" w:hint="eastAsia"/>
          <w:sz w:val="24"/>
          <w:szCs w:val="24"/>
          <w:lang w:eastAsia="zh-CN"/>
        </w:rPr>
        <w:t>埃及自豪地成为第一个担任缔约方</w:t>
      </w:r>
      <w:r>
        <w:rPr>
          <w:rFonts w:ascii="SimSun" w:eastAsia="SimSun" w:hAnsi="SimSun" w:cs="SimSun" w:hint="eastAsia"/>
          <w:sz w:val="24"/>
          <w:szCs w:val="24"/>
          <w:lang w:eastAsia="zh-CN"/>
        </w:rPr>
        <w:t>大会</w:t>
      </w:r>
      <w:r w:rsidRPr="002506B6">
        <w:rPr>
          <w:rFonts w:ascii="SimSun" w:eastAsia="SimSun" w:hAnsi="SimSun" w:cs="SimSun" w:hint="eastAsia"/>
          <w:sz w:val="24"/>
          <w:szCs w:val="24"/>
          <w:lang w:eastAsia="zh-CN"/>
        </w:rPr>
        <w:t>主席的阿拉伯国家</w:t>
      </w:r>
      <w:r>
        <w:rPr>
          <w:rFonts w:ascii="SimSun" w:eastAsia="SimSun" w:hAnsi="SimSun" w:cs="SimSun" w:hint="eastAsia"/>
          <w:sz w:val="24"/>
          <w:szCs w:val="24"/>
          <w:lang w:eastAsia="zh-CN"/>
        </w:rPr>
        <w:t>和</w:t>
      </w:r>
      <w:r w:rsidRPr="002506B6">
        <w:rPr>
          <w:rFonts w:ascii="SimSun" w:eastAsia="SimSun" w:hAnsi="SimSun" w:cs="SimSun" w:hint="eastAsia"/>
          <w:sz w:val="24"/>
          <w:szCs w:val="24"/>
          <w:lang w:eastAsia="zh-CN"/>
        </w:rPr>
        <w:t>非洲国家，她感谢</w:t>
      </w:r>
      <w:r>
        <w:rPr>
          <w:rFonts w:ascii="SimSun" w:eastAsia="SimSun" w:hAnsi="SimSun" w:cs="SimSun" w:hint="eastAsia"/>
          <w:sz w:val="24"/>
          <w:szCs w:val="24"/>
          <w:lang w:eastAsia="zh-CN"/>
        </w:rPr>
        <w:t>塞西</w:t>
      </w:r>
      <w:r w:rsidRPr="002506B6">
        <w:rPr>
          <w:rFonts w:ascii="SimSun" w:eastAsia="SimSun" w:hAnsi="SimSun" w:cs="SimSun" w:hint="eastAsia"/>
          <w:sz w:val="24"/>
          <w:szCs w:val="24"/>
          <w:lang w:eastAsia="zh-CN"/>
        </w:rPr>
        <w:t>先生委托她作为一名妇女担任其政府部长</w:t>
      </w:r>
      <w:r>
        <w:rPr>
          <w:rFonts w:ascii="SimSun" w:eastAsia="SimSun" w:hAnsi="SimSun" w:cs="SimSun" w:hint="eastAsia"/>
          <w:sz w:val="24"/>
          <w:szCs w:val="24"/>
          <w:lang w:eastAsia="zh-CN"/>
        </w:rPr>
        <w:t>兼大会</w:t>
      </w:r>
      <w:r w:rsidRPr="002506B6">
        <w:rPr>
          <w:rFonts w:ascii="SimSun" w:eastAsia="SimSun" w:hAnsi="SimSun" w:cs="SimSun" w:hint="eastAsia"/>
          <w:sz w:val="24"/>
          <w:szCs w:val="24"/>
          <w:lang w:eastAsia="zh-CN"/>
        </w:rPr>
        <w:t>主席。</w:t>
      </w:r>
      <w:r>
        <w:rPr>
          <w:rFonts w:ascii="SimSun" w:eastAsia="SimSun" w:hAnsi="SimSun" w:cs="SimSun" w:hint="eastAsia"/>
          <w:sz w:val="24"/>
          <w:szCs w:val="24"/>
          <w:lang w:eastAsia="zh-CN"/>
        </w:rPr>
        <w:t>确信</w:t>
      </w:r>
      <w:r w:rsidRPr="002506B6">
        <w:rPr>
          <w:rFonts w:ascii="SimSun" w:eastAsia="SimSun" w:hAnsi="SimSun" w:cs="SimSun" w:hint="eastAsia"/>
          <w:sz w:val="24"/>
          <w:szCs w:val="24"/>
          <w:lang w:eastAsia="zh-CN"/>
        </w:rPr>
        <w:t>各</w:t>
      </w:r>
      <w:r>
        <w:rPr>
          <w:rFonts w:ascii="SimSun" w:eastAsia="SimSun" w:hAnsi="SimSun" w:cs="SimSun" w:hint="eastAsia"/>
          <w:sz w:val="24"/>
          <w:szCs w:val="24"/>
          <w:lang w:eastAsia="zh-CN"/>
        </w:rPr>
        <w:t>缔约方</w:t>
      </w:r>
      <w:r w:rsidRPr="002506B6">
        <w:rPr>
          <w:rFonts w:ascii="SimSun" w:eastAsia="SimSun" w:hAnsi="SimSun" w:cs="SimSun" w:hint="eastAsia"/>
          <w:sz w:val="24"/>
          <w:szCs w:val="24"/>
          <w:lang w:eastAsia="zh-CN"/>
        </w:rPr>
        <w:t>将团结一致，</w:t>
      </w:r>
      <w:r>
        <w:rPr>
          <w:rFonts w:ascii="SimSun" w:eastAsia="SimSun" w:hAnsi="SimSun" w:cs="SimSun" w:hint="eastAsia"/>
          <w:sz w:val="24"/>
          <w:szCs w:val="24"/>
          <w:lang w:eastAsia="zh-CN"/>
        </w:rPr>
        <w:t>支持采取必要的紧急行动保护生物多样性，以造福于</w:t>
      </w:r>
      <w:r w:rsidRPr="002506B6">
        <w:rPr>
          <w:rFonts w:ascii="SimSun" w:eastAsia="SimSun" w:hAnsi="SimSun" w:cs="SimSun" w:hint="eastAsia"/>
          <w:sz w:val="24"/>
          <w:szCs w:val="24"/>
          <w:lang w:eastAsia="zh-CN"/>
        </w:rPr>
        <w:t>子孙后代，实际上</w:t>
      </w:r>
      <w:r>
        <w:rPr>
          <w:rFonts w:ascii="SimSun" w:eastAsia="SimSun" w:hAnsi="SimSun" w:cs="SimSun" w:hint="eastAsia"/>
          <w:sz w:val="24"/>
          <w:szCs w:val="24"/>
          <w:lang w:eastAsia="zh-CN"/>
        </w:rPr>
        <w:t>也是</w:t>
      </w:r>
      <w:r w:rsidRPr="002506B6">
        <w:rPr>
          <w:rFonts w:ascii="SimSun" w:eastAsia="SimSun" w:hAnsi="SimSun" w:cs="SimSun" w:hint="eastAsia"/>
          <w:sz w:val="24"/>
          <w:szCs w:val="24"/>
          <w:lang w:eastAsia="zh-CN"/>
        </w:rPr>
        <w:t>为</w:t>
      </w:r>
      <w:r>
        <w:rPr>
          <w:rFonts w:ascii="SimSun" w:eastAsia="SimSun" w:hAnsi="SimSun" w:cs="SimSun" w:hint="eastAsia"/>
          <w:sz w:val="24"/>
          <w:szCs w:val="24"/>
          <w:lang w:eastAsia="zh-CN"/>
        </w:rPr>
        <w:t>了维持</w:t>
      </w:r>
      <w:r w:rsidRPr="002506B6">
        <w:rPr>
          <w:rFonts w:ascii="SimSun" w:eastAsia="SimSun" w:hAnsi="SimSun" w:cs="SimSun" w:hint="eastAsia"/>
          <w:sz w:val="24"/>
          <w:szCs w:val="24"/>
          <w:lang w:eastAsia="zh-CN"/>
        </w:rPr>
        <w:t>人类唯一能够称之为家园的星球的生存。</w:t>
      </w:r>
      <w:r>
        <w:rPr>
          <w:rFonts w:ascii="SimSun" w:eastAsia="SimSun" w:hAnsi="SimSun" w:cs="SimSun" w:hint="eastAsia"/>
          <w:sz w:val="24"/>
          <w:szCs w:val="24"/>
          <w:lang w:eastAsia="zh-CN"/>
        </w:rPr>
        <w:t>除了</w:t>
      </w:r>
      <w:r w:rsidRPr="002506B6">
        <w:rPr>
          <w:rFonts w:ascii="SimSun" w:eastAsia="SimSun" w:hAnsi="SimSun" w:cs="SimSun" w:hint="eastAsia"/>
          <w:sz w:val="24"/>
          <w:szCs w:val="24"/>
          <w:lang w:eastAsia="zh-CN"/>
        </w:rPr>
        <w:t>确保在本</w:t>
      </w:r>
      <w:r>
        <w:rPr>
          <w:rFonts w:ascii="SimSun" w:eastAsia="SimSun" w:hAnsi="SimSun" w:cs="SimSun" w:hint="eastAsia"/>
          <w:sz w:val="24"/>
          <w:szCs w:val="24"/>
          <w:lang w:eastAsia="zh-CN"/>
        </w:rPr>
        <w:t>届</w:t>
      </w:r>
      <w:r w:rsidRPr="002506B6">
        <w:rPr>
          <w:rFonts w:ascii="SimSun" w:eastAsia="SimSun" w:hAnsi="SimSun" w:cs="SimSun" w:hint="eastAsia"/>
          <w:sz w:val="24"/>
          <w:szCs w:val="24"/>
          <w:lang w:eastAsia="zh-CN"/>
        </w:rPr>
        <w:t>会议上采取这</w:t>
      </w:r>
      <w:r>
        <w:rPr>
          <w:rFonts w:ascii="SimSun" w:eastAsia="SimSun" w:hAnsi="SimSun" w:cs="SimSun" w:hint="eastAsia"/>
          <w:sz w:val="24"/>
          <w:szCs w:val="24"/>
          <w:lang w:eastAsia="zh-CN"/>
        </w:rPr>
        <w:t>项</w:t>
      </w:r>
      <w:r w:rsidRPr="002506B6">
        <w:rPr>
          <w:rFonts w:ascii="SimSun" w:eastAsia="SimSun" w:hAnsi="SimSun" w:cs="SimSun" w:hint="eastAsia"/>
          <w:sz w:val="24"/>
          <w:szCs w:val="24"/>
          <w:lang w:eastAsia="zh-CN"/>
        </w:rPr>
        <w:t>行动，别无选择，她祝愿与会者在审议</w:t>
      </w:r>
      <w:r>
        <w:rPr>
          <w:rFonts w:ascii="SimSun" w:eastAsia="SimSun" w:hAnsi="SimSun" w:cs="SimSun" w:hint="eastAsia"/>
          <w:sz w:val="24"/>
          <w:szCs w:val="24"/>
          <w:lang w:eastAsia="zh-CN"/>
        </w:rPr>
        <w:t>工作</w:t>
      </w:r>
      <w:r w:rsidRPr="002506B6">
        <w:rPr>
          <w:rFonts w:ascii="SimSun" w:eastAsia="SimSun" w:hAnsi="SimSun" w:cs="SimSun" w:hint="eastAsia"/>
          <w:sz w:val="24"/>
          <w:szCs w:val="24"/>
          <w:lang w:eastAsia="zh-CN"/>
        </w:rPr>
        <w:t>中取得圆满成功</w:t>
      </w:r>
      <w:r>
        <w:rPr>
          <w:rFonts w:ascii="SimSun" w:eastAsia="SimSun" w:hAnsi="SimSun" w:cs="SimSun" w:hint="eastAsia"/>
          <w:sz w:val="24"/>
          <w:szCs w:val="24"/>
          <w:lang w:eastAsia="zh-CN"/>
        </w:rPr>
        <w:t>。</w:t>
      </w:r>
    </w:p>
    <w:p w:rsidR="008D76BF" w:rsidRPr="002A2E8B" w:rsidRDefault="008D76BF" w:rsidP="006B4E7D">
      <w:pPr>
        <w:spacing w:after="240"/>
        <w:rPr>
          <w:rFonts w:ascii="KaiTi" w:eastAsia="KaiTi" w:hAnsi="KaiTi"/>
          <w:snapToGrid w:val="0"/>
          <w:kern w:val="22"/>
          <w:lang w:eastAsia="zh-CN"/>
        </w:rPr>
      </w:pPr>
      <w:r w:rsidRPr="002A2E8B">
        <w:rPr>
          <w:rFonts w:ascii="KaiTi" w:eastAsia="KaiTi" w:hAnsi="KaiTi" w:hint="eastAsia"/>
          <w:snapToGrid w:val="0"/>
          <w:kern w:val="22"/>
          <w:lang w:eastAsia="zh-CN"/>
        </w:rPr>
        <w:t>生物多样性公约执行秘书</w:t>
      </w:r>
      <w:r w:rsidR="006B4E7D" w:rsidRPr="006B4E7D">
        <w:rPr>
          <w:rFonts w:ascii="KaiTi" w:eastAsia="KaiTi" w:hAnsi="KaiTi" w:hint="eastAsia"/>
          <w:snapToGrid w:val="0"/>
          <w:kern w:val="22"/>
          <w:lang w:eastAsia="zh-CN"/>
        </w:rPr>
        <w:t>克里斯蒂娜·帕斯卡·帕梅尔</w:t>
      </w:r>
      <w:r w:rsidRPr="002A2E8B">
        <w:rPr>
          <w:rFonts w:ascii="KaiTi" w:eastAsia="KaiTi" w:hAnsi="KaiTi" w:hint="eastAsia"/>
          <w:snapToGrid w:val="0"/>
          <w:kern w:val="22"/>
          <w:lang w:eastAsia="zh-CN"/>
        </w:rPr>
        <w:t>女士作开幕发言</w:t>
      </w:r>
    </w:p>
    <w:p w:rsidR="008D76BF" w:rsidRPr="006B4E7D" w:rsidRDefault="006B4E7D" w:rsidP="00BC1900">
      <w:pPr>
        <w:pStyle w:val="Para1"/>
        <w:numPr>
          <w:ilvl w:val="0"/>
          <w:numId w:val="7"/>
        </w:numPr>
        <w:tabs>
          <w:tab w:val="clear" w:pos="360"/>
          <w:tab w:val="left" w:pos="720"/>
        </w:tabs>
        <w:ind w:firstLine="0"/>
        <w:rPr>
          <w:sz w:val="24"/>
          <w:szCs w:val="24"/>
          <w:lang w:eastAsia="zh-CN"/>
        </w:rPr>
      </w:pPr>
      <w:r w:rsidRPr="006B4E7D">
        <w:rPr>
          <w:rFonts w:ascii="SimSun" w:eastAsia="SimSun" w:hAnsi="SimSun" w:cs="SimSun" w:hint="eastAsia"/>
          <w:sz w:val="24"/>
          <w:szCs w:val="24"/>
          <w:lang w:eastAsia="zh-CN"/>
        </w:rPr>
        <w:t>帕斯卡·帕梅尔</w:t>
      </w:r>
      <w:r w:rsidR="008D76BF" w:rsidRPr="006B4E7D">
        <w:rPr>
          <w:rFonts w:ascii="SimSun" w:eastAsia="SimSun" w:hAnsi="SimSun" w:cs="SimSun" w:hint="eastAsia"/>
          <w:sz w:val="24"/>
          <w:szCs w:val="24"/>
          <w:lang w:eastAsia="zh-CN"/>
        </w:rPr>
        <w:t>女士对与会者表示欢迎，并说，在</w:t>
      </w:r>
      <w:r w:rsidR="008D76BF" w:rsidRPr="006B4E7D">
        <w:rPr>
          <w:sz w:val="24"/>
          <w:szCs w:val="24"/>
          <w:lang w:eastAsia="zh-CN"/>
        </w:rPr>
        <w:t>1992</w:t>
      </w:r>
      <w:r w:rsidR="008D76BF" w:rsidRPr="006B4E7D">
        <w:rPr>
          <w:rFonts w:ascii="SimSun" w:eastAsia="SimSun" w:hAnsi="SimSun" w:cs="SimSun" w:hint="eastAsia"/>
          <w:sz w:val="24"/>
          <w:szCs w:val="24"/>
          <w:lang w:eastAsia="zh-CN"/>
        </w:rPr>
        <w:t>年《生物多样性公约》生效以来的</w:t>
      </w:r>
      <w:r w:rsidR="008D76BF" w:rsidRPr="006B4E7D">
        <w:rPr>
          <w:sz w:val="24"/>
          <w:szCs w:val="24"/>
          <w:lang w:eastAsia="zh-CN"/>
        </w:rPr>
        <w:t>25</w:t>
      </w:r>
      <w:r w:rsidR="008D76BF" w:rsidRPr="006B4E7D">
        <w:rPr>
          <w:rFonts w:ascii="SimSun" w:eastAsia="SimSun" w:hAnsi="SimSun" w:cs="SimSun" w:hint="eastAsia"/>
          <w:sz w:val="24"/>
          <w:szCs w:val="24"/>
          <w:lang w:eastAsia="zh-CN"/>
        </w:rPr>
        <w:t>年里，在保护和可持续利用生物多样性方面取得了有意义的进展。但是，植物和动物多样性的丧失每年仍在不断加深，同时受到气候变化的影响和驱动。必须做出的严酷选择是，要么继续走在毁灭的道路上，给自然和人类带来无数连锁后果，要么在不可逆转的临界点到来之前，沿着保护、恢复和转变的道路前行。在这方面，主要挑战是加速实现爱知生物多样性指标和通过一个新的</w:t>
      </w:r>
      <w:r w:rsidR="008D76BF" w:rsidRPr="006B4E7D">
        <w:rPr>
          <w:sz w:val="24"/>
          <w:szCs w:val="24"/>
          <w:lang w:eastAsia="zh-CN"/>
        </w:rPr>
        <w:t>2020</w:t>
      </w:r>
      <w:r w:rsidR="008D76BF" w:rsidRPr="006B4E7D">
        <w:rPr>
          <w:rFonts w:ascii="SimSun" w:eastAsia="SimSun" w:hAnsi="SimSun" w:cs="SimSun" w:hint="eastAsia"/>
          <w:sz w:val="24"/>
          <w:szCs w:val="24"/>
          <w:lang w:eastAsia="zh-CN"/>
        </w:rPr>
        <w:t>年后框架；到</w:t>
      </w:r>
      <w:r w:rsidR="008D76BF" w:rsidRPr="006B4E7D">
        <w:rPr>
          <w:sz w:val="24"/>
          <w:szCs w:val="24"/>
          <w:lang w:eastAsia="zh-CN"/>
        </w:rPr>
        <w:t>2030</w:t>
      </w:r>
      <w:r w:rsidR="008D76BF" w:rsidRPr="006B4E7D">
        <w:rPr>
          <w:rFonts w:ascii="SimSun" w:eastAsia="SimSun" w:hAnsi="SimSun" w:cs="SimSun" w:hint="eastAsia"/>
          <w:sz w:val="24"/>
          <w:szCs w:val="24"/>
          <w:lang w:eastAsia="zh-CN"/>
        </w:rPr>
        <w:t>年扭转生物多样性的丧失；到</w:t>
      </w:r>
      <w:r w:rsidR="008D76BF" w:rsidRPr="006B4E7D">
        <w:rPr>
          <w:sz w:val="24"/>
          <w:szCs w:val="24"/>
          <w:lang w:eastAsia="zh-CN"/>
        </w:rPr>
        <w:t>2050</w:t>
      </w:r>
      <w:r w:rsidR="008D76BF" w:rsidRPr="006B4E7D">
        <w:rPr>
          <w:rFonts w:ascii="SimSun" w:eastAsia="SimSun" w:hAnsi="SimSun" w:cs="SimSun" w:hint="eastAsia"/>
          <w:sz w:val="24"/>
          <w:szCs w:val="24"/>
          <w:lang w:eastAsia="zh-CN"/>
        </w:rPr>
        <w:t>年实现与自然和谐相处的愿景。</w:t>
      </w:r>
    </w:p>
    <w:p w:rsidR="008D76BF" w:rsidRPr="00B8426E" w:rsidRDefault="008D76BF" w:rsidP="002A2E8B">
      <w:pPr>
        <w:pStyle w:val="Para1"/>
        <w:numPr>
          <w:ilvl w:val="0"/>
          <w:numId w:val="7"/>
        </w:numPr>
        <w:tabs>
          <w:tab w:val="clear" w:pos="360"/>
          <w:tab w:val="left" w:pos="720"/>
        </w:tabs>
        <w:ind w:firstLine="0"/>
        <w:rPr>
          <w:sz w:val="24"/>
          <w:szCs w:val="24"/>
          <w:lang w:eastAsia="zh-CN"/>
        </w:rPr>
      </w:pPr>
      <w:r w:rsidRPr="00BD71CC">
        <w:rPr>
          <w:rFonts w:ascii="SimSun" w:eastAsia="SimSun" w:hAnsi="SimSun" w:cs="SimSun" w:hint="eastAsia"/>
          <w:sz w:val="24"/>
          <w:szCs w:val="24"/>
          <w:lang w:eastAsia="zh-CN"/>
        </w:rPr>
        <w:t>她对克服这些挑战表示乐观，因为在本</w:t>
      </w:r>
      <w:r>
        <w:rPr>
          <w:rFonts w:ascii="SimSun" w:eastAsia="SimSun" w:hAnsi="SimSun" w:cs="SimSun" w:hint="eastAsia"/>
          <w:sz w:val="24"/>
          <w:szCs w:val="24"/>
          <w:lang w:eastAsia="zh-CN"/>
        </w:rPr>
        <w:t>届</w:t>
      </w:r>
      <w:r w:rsidRPr="00BD71CC">
        <w:rPr>
          <w:rFonts w:ascii="SimSun" w:eastAsia="SimSun" w:hAnsi="SimSun" w:cs="SimSun" w:hint="eastAsia"/>
          <w:sz w:val="24"/>
          <w:szCs w:val="24"/>
          <w:lang w:eastAsia="zh-CN"/>
        </w:rPr>
        <w:t>会议之前的三天里实现了新的里程碑和成就，</w:t>
      </w:r>
      <w:r>
        <w:rPr>
          <w:rFonts w:ascii="SimSun" w:eastAsia="SimSun" w:hAnsi="SimSun" w:cs="SimSun" w:hint="eastAsia"/>
          <w:sz w:val="24"/>
          <w:szCs w:val="24"/>
          <w:lang w:eastAsia="zh-CN"/>
        </w:rPr>
        <w:t>具体而言，</w:t>
      </w:r>
      <w:r w:rsidRPr="00BD71CC">
        <w:rPr>
          <w:rFonts w:ascii="SimSun" w:eastAsia="SimSun" w:hAnsi="SimSun" w:cs="SimSun" w:hint="eastAsia"/>
          <w:sz w:val="24"/>
          <w:szCs w:val="24"/>
          <w:lang w:eastAsia="zh-CN"/>
        </w:rPr>
        <w:t>通过了《非洲生物多样性</w:t>
      </w:r>
      <w:r>
        <w:rPr>
          <w:rFonts w:ascii="SimSun" w:eastAsia="SimSun" w:hAnsi="SimSun" w:cs="SimSun" w:hint="eastAsia"/>
          <w:sz w:val="24"/>
          <w:szCs w:val="24"/>
          <w:lang w:eastAsia="zh-CN"/>
        </w:rPr>
        <w:t>问题</w:t>
      </w:r>
      <w:r w:rsidRPr="00BD71CC">
        <w:rPr>
          <w:rFonts w:ascii="SimSun" w:eastAsia="SimSun" w:hAnsi="SimSun" w:cs="SimSun" w:hint="eastAsia"/>
          <w:sz w:val="24"/>
          <w:szCs w:val="24"/>
          <w:lang w:eastAsia="zh-CN"/>
        </w:rPr>
        <w:t>部长级宣言》和关于生态系统恢复和复原力的泛非行动议程；召开</w:t>
      </w:r>
      <w:r>
        <w:rPr>
          <w:rFonts w:ascii="SimSun" w:eastAsia="SimSun" w:hAnsi="SimSun" w:cs="SimSun" w:hint="eastAsia"/>
          <w:sz w:val="24"/>
          <w:szCs w:val="24"/>
          <w:lang w:eastAsia="zh-CN"/>
        </w:rPr>
        <w:t>了</w:t>
      </w:r>
      <w:r w:rsidRPr="00BD71CC">
        <w:rPr>
          <w:rFonts w:ascii="SimSun" w:eastAsia="SimSun" w:hAnsi="SimSun" w:cs="SimSun" w:hint="eastAsia"/>
          <w:sz w:val="24"/>
          <w:szCs w:val="24"/>
          <w:lang w:eastAsia="zh-CN"/>
        </w:rPr>
        <w:t>一次主题为</w:t>
      </w:r>
      <w:r w:rsidRPr="00BD71CC">
        <w:rPr>
          <w:rFonts w:ascii="SimSun" w:eastAsia="Times New Roman" w:hAnsi="SimSun" w:cs="SimSun"/>
          <w:sz w:val="24"/>
          <w:szCs w:val="24"/>
          <w:lang w:eastAsia="zh-CN"/>
        </w:rPr>
        <w:t>“</w:t>
      </w:r>
      <w:r>
        <w:rPr>
          <w:rFonts w:ascii="SimSun" w:eastAsia="SimSun" w:hAnsi="SimSun" w:cs="SimSun" w:hint="eastAsia"/>
          <w:sz w:val="24"/>
          <w:szCs w:val="24"/>
          <w:lang w:eastAsia="zh-CN"/>
        </w:rPr>
        <w:t>着力进行人力和地球建设</w:t>
      </w:r>
      <w:r w:rsidRPr="00BD71CC">
        <w:rPr>
          <w:rFonts w:ascii="SimSun" w:eastAsia="Times New Roman" w:hAnsi="SimSun" w:cs="SimSun"/>
          <w:sz w:val="24"/>
          <w:szCs w:val="24"/>
          <w:lang w:eastAsia="zh-CN"/>
        </w:rPr>
        <w:t>”</w:t>
      </w:r>
      <w:r w:rsidRPr="00BD71CC">
        <w:rPr>
          <w:rFonts w:ascii="SimSun" w:eastAsia="SimSun" w:hAnsi="SimSun" w:cs="SimSun" w:hint="eastAsia"/>
          <w:sz w:val="24"/>
          <w:szCs w:val="24"/>
          <w:lang w:eastAsia="zh-CN"/>
        </w:rPr>
        <w:t>的高级别</w:t>
      </w:r>
      <w:r>
        <w:rPr>
          <w:rFonts w:ascii="SimSun" w:eastAsia="SimSun" w:hAnsi="SimSun" w:cs="SimSun" w:hint="eastAsia"/>
          <w:sz w:val="24"/>
          <w:szCs w:val="24"/>
          <w:lang w:eastAsia="zh-CN"/>
        </w:rPr>
        <w:t>部分</w:t>
      </w:r>
      <w:r w:rsidRPr="00BD71CC">
        <w:rPr>
          <w:rFonts w:ascii="SimSun" w:eastAsia="SimSun" w:hAnsi="SimSun" w:cs="SimSun" w:hint="eastAsia"/>
          <w:sz w:val="24"/>
          <w:szCs w:val="24"/>
          <w:lang w:eastAsia="zh-CN"/>
        </w:rPr>
        <w:t>和一次商业和多样性论坛会议；</w:t>
      </w:r>
      <w:r>
        <w:rPr>
          <w:rFonts w:ascii="SimSun" w:eastAsia="SimSun" w:hAnsi="SimSun" w:cs="SimSun" w:hint="eastAsia"/>
          <w:sz w:val="24"/>
          <w:szCs w:val="24"/>
          <w:lang w:eastAsia="zh-CN"/>
        </w:rPr>
        <w:t>宣布了《从</w:t>
      </w:r>
      <w:r w:rsidRPr="00804429">
        <w:rPr>
          <w:rFonts w:ascii="SimSun" w:eastAsia="SimSun" w:hAnsi="SimSun" w:cs="SimSun" w:hint="eastAsia"/>
          <w:sz w:val="24"/>
          <w:szCs w:val="24"/>
          <w:lang w:eastAsia="zh-CN"/>
        </w:rPr>
        <w:t>沙姆沙伊赫</w:t>
      </w:r>
      <w:r>
        <w:rPr>
          <w:rFonts w:ascii="SimSun" w:eastAsia="SimSun" w:hAnsi="SimSun" w:cs="SimSun" w:hint="eastAsia"/>
          <w:sz w:val="24"/>
          <w:szCs w:val="24"/>
          <w:lang w:eastAsia="zh-CN"/>
        </w:rPr>
        <w:t>到北京的自然与人行动议程》</w:t>
      </w:r>
      <w:r w:rsidRPr="00BD71CC">
        <w:rPr>
          <w:rFonts w:ascii="SimSun" w:eastAsia="SimSun" w:hAnsi="SimSun" w:cs="SimSun" w:hint="eastAsia"/>
          <w:sz w:val="24"/>
          <w:szCs w:val="24"/>
          <w:lang w:eastAsia="zh-CN"/>
        </w:rPr>
        <w:t>以及与联合国教育、科学及文化组织</w:t>
      </w:r>
      <w:r>
        <w:rPr>
          <w:rFonts w:ascii="SimSun" w:eastAsia="SimSun" w:hAnsi="SimSun" w:cs="SimSun" w:hint="eastAsia"/>
          <w:sz w:val="24"/>
          <w:szCs w:val="24"/>
          <w:lang w:eastAsia="zh-CN"/>
        </w:rPr>
        <w:t>（</w:t>
      </w:r>
      <w:r w:rsidRPr="00BD71CC">
        <w:rPr>
          <w:rFonts w:ascii="SimSun" w:eastAsia="SimSun" w:hAnsi="SimSun" w:cs="SimSun" w:hint="eastAsia"/>
          <w:sz w:val="24"/>
          <w:szCs w:val="24"/>
          <w:lang w:eastAsia="zh-CN"/>
        </w:rPr>
        <w:t>教科文组织</w:t>
      </w:r>
      <w:r>
        <w:rPr>
          <w:rFonts w:ascii="SimSun" w:eastAsia="SimSun" w:hAnsi="SimSun" w:cs="SimSun" w:hint="eastAsia"/>
          <w:sz w:val="24"/>
          <w:szCs w:val="24"/>
          <w:lang w:eastAsia="zh-CN"/>
        </w:rPr>
        <w:t>）</w:t>
      </w:r>
      <w:r w:rsidRPr="00BD71CC">
        <w:rPr>
          <w:rFonts w:ascii="SimSun" w:eastAsia="SimSun" w:hAnsi="SimSun" w:cs="SimSun" w:hint="eastAsia"/>
          <w:sz w:val="24"/>
          <w:szCs w:val="24"/>
          <w:lang w:eastAsia="zh-CN"/>
        </w:rPr>
        <w:t>和国际自然保护联盟</w:t>
      </w:r>
      <w:r>
        <w:rPr>
          <w:rFonts w:ascii="SimSun" w:eastAsia="SimSun" w:hAnsi="SimSun" w:cs="SimSun" w:hint="eastAsia"/>
          <w:sz w:val="24"/>
          <w:szCs w:val="24"/>
          <w:lang w:eastAsia="zh-CN"/>
        </w:rPr>
        <w:t>（</w:t>
      </w:r>
      <w:r w:rsidRPr="00BD71CC">
        <w:rPr>
          <w:rFonts w:ascii="SimSun" w:eastAsia="SimSun" w:hAnsi="SimSun" w:cs="SimSun" w:hint="eastAsia"/>
          <w:sz w:val="24"/>
          <w:szCs w:val="24"/>
          <w:lang w:eastAsia="zh-CN"/>
        </w:rPr>
        <w:t>自然保护联盟</w:t>
      </w:r>
      <w:r>
        <w:rPr>
          <w:rFonts w:ascii="SimSun" w:eastAsia="SimSun" w:hAnsi="SimSun" w:cs="SimSun" w:hint="eastAsia"/>
          <w:sz w:val="24"/>
          <w:szCs w:val="24"/>
          <w:lang w:eastAsia="zh-CN"/>
        </w:rPr>
        <w:t>）</w:t>
      </w:r>
      <w:r w:rsidRPr="00BD71CC">
        <w:rPr>
          <w:rFonts w:ascii="SimSun" w:eastAsia="SimSun" w:hAnsi="SimSun" w:cs="SimSun" w:hint="eastAsia"/>
          <w:sz w:val="24"/>
          <w:szCs w:val="24"/>
          <w:lang w:eastAsia="zh-CN"/>
        </w:rPr>
        <w:t>联合发起的关于自然和文化的新倡议</w:t>
      </w:r>
      <w:r>
        <w:rPr>
          <w:rFonts w:ascii="SimSun" w:eastAsia="SimSun" w:hAnsi="SimSun" w:cs="SimSun" w:hint="eastAsia"/>
          <w:sz w:val="24"/>
          <w:szCs w:val="24"/>
          <w:lang w:eastAsia="zh-CN"/>
        </w:rPr>
        <w:t>。</w:t>
      </w:r>
    </w:p>
    <w:p w:rsidR="008D76BF" w:rsidRPr="00B8426E" w:rsidRDefault="008D76BF" w:rsidP="002A2E8B">
      <w:pPr>
        <w:pStyle w:val="Para1"/>
        <w:numPr>
          <w:ilvl w:val="0"/>
          <w:numId w:val="7"/>
        </w:numPr>
        <w:tabs>
          <w:tab w:val="clear" w:pos="360"/>
          <w:tab w:val="left" w:pos="720"/>
        </w:tabs>
        <w:ind w:firstLine="0"/>
        <w:rPr>
          <w:sz w:val="24"/>
          <w:szCs w:val="24"/>
          <w:lang w:eastAsia="zh-CN"/>
        </w:rPr>
      </w:pPr>
      <w:r w:rsidRPr="00994A46">
        <w:rPr>
          <w:rFonts w:ascii="SimSun" w:eastAsia="SimSun" w:hAnsi="SimSun" w:cs="SimSun" w:hint="eastAsia"/>
          <w:sz w:val="24"/>
          <w:szCs w:val="24"/>
          <w:lang w:eastAsia="zh-CN"/>
        </w:rPr>
        <w:t>她</w:t>
      </w:r>
      <w:r>
        <w:rPr>
          <w:rFonts w:ascii="SimSun" w:eastAsia="SimSun" w:hAnsi="SimSun" w:cs="SimSun" w:hint="eastAsia"/>
          <w:sz w:val="24"/>
          <w:szCs w:val="24"/>
          <w:lang w:eastAsia="zh-CN"/>
        </w:rPr>
        <w:t>着重介绍</w:t>
      </w:r>
      <w:r w:rsidRPr="00994A46">
        <w:rPr>
          <w:rFonts w:ascii="SimSun" w:eastAsia="SimSun" w:hAnsi="SimSun" w:cs="SimSun" w:hint="eastAsia"/>
          <w:sz w:val="24"/>
          <w:szCs w:val="24"/>
          <w:lang w:eastAsia="zh-CN"/>
        </w:rPr>
        <w:t>了会议将</w:t>
      </w:r>
      <w:r>
        <w:rPr>
          <w:rFonts w:ascii="SimSun" w:eastAsia="SimSun" w:hAnsi="SimSun" w:cs="SimSun" w:hint="eastAsia"/>
          <w:sz w:val="24"/>
          <w:szCs w:val="24"/>
          <w:lang w:eastAsia="zh-CN"/>
        </w:rPr>
        <w:t>要</w:t>
      </w:r>
      <w:r w:rsidRPr="00994A46">
        <w:rPr>
          <w:rFonts w:ascii="SimSun" w:eastAsia="SimSun" w:hAnsi="SimSun" w:cs="SimSun" w:hint="eastAsia"/>
          <w:sz w:val="24"/>
          <w:szCs w:val="24"/>
          <w:lang w:eastAsia="zh-CN"/>
        </w:rPr>
        <w:t>处理的一些</w:t>
      </w:r>
      <w:r>
        <w:rPr>
          <w:rFonts w:ascii="SimSun" w:eastAsia="SimSun" w:hAnsi="SimSun" w:cs="SimSun" w:hint="eastAsia"/>
          <w:sz w:val="24"/>
          <w:szCs w:val="24"/>
          <w:lang w:eastAsia="zh-CN"/>
        </w:rPr>
        <w:t>重大</w:t>
      </w:r>
      <w:r w:rsidRPr="00994A46">
        <w:rPr>
          <w:rFonts w:ascii="SimSun" w:eastAsia="SimSun" w:hAnsi="SimSun" w:cs="SimSun" w:hint="eastAsia"/>
          <w:sz w:val="24"/>
          <w:szCs w:val="24"/>
          <w:lang w:eastAsia="zh-CN"/>
        </w:rPr>
        <w:t>战略</w:t>
      </w:r>
      <w:r>
        <w:rPr>
          <w:rFonts w:ascii="SimSun" w:eastAsia="SimSun" w:hAnsi="SimSun" w:cs="SimSun" w:hint="eastAsia"/>
          <w:sz w:val="24"/>
          <w:szCs w:val="24"/>
          <w:lang w:eastAsia="zh-CN"/>
        </w:rPr>
        <w:t>问题</w:t>
      </w:r>
      <w:r w:rsidRPr="00994A46">
        <w:rPr>
          <w:rFonts w:ascii="SimSun" w:eastAsia="SimSun" w:hAnsi="SimSun" w:cs="SimSun" w:hint="eastAsia"/>
          <w:sz w:val="24"/>
          <w:szCs w:val="24"/>
          <w:lang w:eastAsia="zh-CN"/>
        </w:rPr>
        <w:t>和技术问题，以及为对会议成果作出重大贡献而组织的各种</w:t>
      </w:r>
      <w:r w:rsidR="003624D7">
        <w:rPr>
          <w:rFonts w:ascii="SimSun" w:eastAsia="SimSun" w:hAnsi="SimSun" w:cs="SimSun" w:hint="eastAsia"/>
          <w:sz w:val="24"/>
          <w:szCs w:val="24"/>
          <w:lang w:eastAsia="zh-CN"/>
        </w:rPr>
        <w:t>平行活动</w:t>
      </w:r>
      <w:r>
        <w:rPr>
          <w:rFonts w:ascii="SimSun" w:eastAsia="SimSun" w:hAnsi="SimSun" w:cs="SimSun" w:hint="eastAsia"/>
          <w:sz w:val="24"/>
          <w:szCs w:val="24"/>
          <w:lang w:eastAsia="zh-CN"/>
        </w:rPr>
        <w:t>和会外</w:t>
      </w:r>
      <w:r w:rsidRPr="00994A46">
        <w:rPr>
          <w:rFonts w:ascii="SimSun" w:eastAsia="SimSun" w:hAnsi="SimSun" w:cs="SimSun" w:hint="eastAsia"/>
          <w:sz w:val="24"/>
          <w:szCs w:val="24"/>
          <w:lang w:eastAsia="zh-CN"/>
        </w:rPr>
        <w:t>活动。她还</w:t>
      </w:r>
      <w:r>
        <w:rPr>
          <w:rFonts w:ascii="SimSun" w:eastAsia="SimSun" w:hAnsi="SimSun" w:cs="SimSun" w:hint="eastAsia"/>
          <w:sz w:val="24"/>
          <w:szCs w:val="24"/>
          <w:lang w:eastAsia="zh-CN"/>
        </w:rPr>
        <w:t>深切感谢</w:t>
      </w:r>
      <w:r w:rsidRPr="00994A46">
        <w:rPr>
          <w:rFonts w:ascii="SimSun" w:eastAsia="SimSun" w:hAnsi="SimSun" w:cs="SimSun" w:hint="eastAsia"/>
          <w:sz w:val="24"/>
          <w:szCs w:val="24"/>
          <w:lang w:eastAsia="zh-CN"/>
        </w:rPr>
        <w:t>澳大利亚、加拿大、埃及、芬兰、德国、日本、新西兰、挪威、瑞典和瑞士政府</w:t>
      </w:r>
      <w:r w:rsidR="00823C45">
        <w:rPr>
          <w:rFonts w:ascii="SimSun" w:eastAsia="SimSun" w:hAnsi="SimSun" w:cs="SimSun" w:hint="eastAsia"/>
          <w:sz w:val="24"/>
          <w:szCs w:val="24"/>
          <w:lang w:eastAsia="zh-CN"/>
        </w:rPr>
        <w:t>以及</w:t>
      </w:r>
      <w:r w:rsidR="00823C45">
        <w:rPr>
          <w:rFonts w:ascii="SimSun" w:eastAsia="SimSun" w:hAnsi="SimSun" w:cs="SimSun"/>
          <w:sz w:val="24"/>
          <w:szCs w:val="24"/>
          <w:lang w:eastAsia="zh-CN"/>
        </w:rPr>
        <w:t>欧洲联盟</w:t>
      </w:r>
      <w:r w:rsidRPr="00994A46">
        <w:rPr>
          <w:rFonts w:ascii="SimSun" w:eastAsia="SimSun" w:hAnsi="SimSun" w:cs="SimSun" w:hint="eastAsia"/>
          <w:sz w:val="24"/>
          <w:szCs w:val="24"/>
          <w:lang w:eastAsia="zh-CN"/>
        </w:rPr>
        <w:t>为确保发展中国家的与会者以及土著人民和地方社区代表出席会议提供</w:t>
      </w:r>
      <w:r>
        <w:rPr>
          <w:rFonts w:ascii="SimSun" w:eastAsia="SimSun" w:hAnsi="SimSun" w:cs="SimSun" w:hint="eastAsia"/>
          <w:sz w:val="24"/>
          <w:szCs w:val="24"/>
          <w:lang w:eastAsia="zh-CN"/>
        </w:rPr>
        <w:t>了</w:t>
      </w:r>
      <w:r w:rsidRPr="00994A46">
        <w:rPr>
          <w:rFonts w:ascii="SimSun" w:eastAsia="SimSun" w:hAnsi="SimSun" w:cs="SimSun" w:hint="eastAsia"/>
          <w:sz w:val="24"/>
          <w:szCs w:val="24"/>
          <w:lang w:eastAsia="zh-CN"/>
        </w:rPr>
        <w:t>慷慨资助。最后，她鼓励</w:t>
      </w:r>
      <w:r>
        <w:rPr>
          <w:rFonts w:ascii="SimSun" w:eastAsia="SimSun" w:hAnsi="SimSun" w:cs="SimSun" w:hint="eastAsia"/>
          <w:sz w:val="24"/>
          <w:szCs w:val="24"/>
          <w:lang w:eastAsia="zh-CN"/>
        </w:rPr>
        <w:t>大会</w:t>
      </w:r>
      <w:r w:rsidRPr="00994A46">
        <w:rPr>
          <w:rFonts w:ascii="SimSun" w:eastAsia="SimSun" w:hAnsi="SimSun" w:cs="SimSun" w:hint="eastAsia"/>
          <w:sz w:val="24"/>
          <w:szCs w:val="24"/>
          <w:lang w:eastAsia="zh-CN"/>
        </w:rPr>
        <w:t>在保护地球上所有生命的共同努力中做出大胆和明智的决定</w:t>
      </w:r>
      <w:r>
        <w:rPr>
          <w:rFonts w:ascii="SimSun" w:eastAsia="SimSun" w:hAnsi="SimSun" w:cs="SimSun" w:hint="eastAsia"/>
          <w:bCs/>
          <w:color w:val="222222"/>
          <w:sz w:val="24"/>
          <w:szCs w:val="24"/>
          <w:shd w:val="clear" w:color="auto" w:fill="FFFFFF"/>
          <w:lang w:eastAsia="zh-CN"/>
        </w:rPr>
        <w:t>。</w:t>
      </w:r>
    </w:p>
    <w:p w:rsidR="008D76BF" w:rsidRPr="002A2E8B" w:rsidRDefault="008D76BF" w:rsidP="002A2E8B">
      <w:pPr>
        <w:pStyle w:val="Heading6"/>
        <w:tabs>
          <w:tab w:val="left" w:pos="720"/>
        </w:tabs>
        <w:adjustRightInd w:val="0"/>
        <w:snapToGrid w:val="0"/>
        <w:ind w:left="720" w:firstLine="0"/>
        <w:jc w:val="left"/>
        <w:rPr>
          <w:rFonts w:ascii="KaiTi" w:eastAsia="KaiTi" w:hAnsi="KaiTi"/>
          <w:snapToGrid w:val="0"/>
          <w:kern w:val="22"/>
          <w:sz w:val="24"/>
          <w:lang w:eastAsia="zh-CN"/>
        </w:rPr>
      </w:pPr>
      <w:r w:rsidRPr="002A2E8B">
        <w:rPr>
          <w:rFonts w:ascii="KaiTi" w:eastAsia="KaiTi" w:hAnsi="KaiTi" w:hint="eastAsia"/>
          <w:snapToGrid w:val="0"/>
          <w:kern w:val="22"/>
          <w:sz w:val="24"/>
          <w:lang w:eastAsia="zh-CN"/>
        </w:rPr>
        <w:lastRenderedPageBreak/>
        <w:t>联合国大会主席</w:t>
      </w:r>
      <w:r w:rsidR="006B4E7D" w:rsidRPr="006B4E7D">
        <w:rPr>
          <w:rFonts w:ascii="KaiTi" w:eastAsia="KaiTi" w:hAnsi="KaiTi" w:hint="eastAsia"/>
          <w:snapToGrid w:val="0"/>
          <w:kern w:val="22"/>
          <w:sz w:val="24"/>
          <w:lang w:eastAsia="zh-CN"/>
        </w:rPr>
        <w:t>玛丽亚·费尔南达·埃斯皮诺萨·加尔塞斯</w:t>
      </w:r>
      <w:r w:rsidRPr="002A2E8B">
        <w:rPr>
          <w:rFonts w:ascii="KaiTi" w:eastAsia="KaiTi" w:hAnsi="KaiTi" w:hint="eastAsia"/>
          <w:snapToGrid w:val="0"/>
          <w:kern w:val="22"/>
          <w:sz w:val="24"/>
          <w:lang w:eastAsia="zh-CN"/>
        </w:rPr>
        <w:t>女士作开幕发言（通过视频）</w:t>
      </w:r>
    </w:p>
    <w:p w:rsidR="008D76BF" w:rsidRDefault="0099160A" w:rsidP="002A2E8B">
      <w:pPr>
        <w:pStyle w:val="Para1"/>
        <w:numPr>
          <w:ilvl w:val="0"/>
          <w:numId w:val="7"/>
        </w:numPr>
        <w:tabs>
          <w:tab w:val="clear" w:pos="360"/>
          <w:tab w:val="left" w:pos="720"/>
        </w:tabs>
        <w:ind w:firstLine="0"/>
        <w:rPr>
          <w:lang w:eastAsia="zh-CN"/>
        </w:rPr>
      </w:pPr>
      <w:r w:rsidRPr="0099160A">
        <w:rPr>
          <w:rFonts w:ascii="SimSun" w:eastAsia="SimSun" w:hAnsi="SimSun" w:cs="SimSun" w:hint="eastAsia"/>
          <w:sz w:val="24"/>
          <w:szCs w:val="24"/>
          <w:lang w:eastAsia="zh-CN"/>
        </w:rPr>
        <w:t>埃斯皮诺萨·加尔塞斯</w:t>
      </w:r>
      <w:r w:rsidR="008D76BF" w:rsidRPr="00617467">
        <w:rPr>
          <w:rFonts w:ascii="SimSun" w:eastAsia="SimSun" w:hAnsi="SimSun" w:cs="SimSun" w:hint="eastAsia"/>
          <w:sz w:val="24"/>
          <w:szCs w:val="24"/>
          <w:lang w:eastAsia="zh-CN"/>
        </w:rPr>
        <w:t>女士在她预先录制的视频发言中说，为了人类自身和地球的生存，保护生物多样性和生态系统健康符合全人类的共同利益；每个国家和地区</w:t>
      </w:r>
      <w:r w:rsidR="008D76BF">
        <w:rPr>
          <w:rFonts w:ascii="SimSun" w:eastAsia="SimSun" w:hAnsi="SimSun" w:cs="SimSun" w:hint="eastAsia"/>
          <w:sz w:val="24"/>
          <w:szCs w:val="24"/>
          <w:lang w:eastAsia="zh-CN"/>
        </w:rPr>
        <w:t>对</w:t>
      </w:r>
      <w:r w:rsidR="008D76BF" w:rsidRPr="00617467">
        <w:rPr>
          <w:rFonts w:ascii="SimSun" w:eastAsia="SimSun" w:hAnsi="SimSun" w:cs="SimSun" w:hint="eastAsia"/>
          <w:sz w:val="24"/>
          <w:szCs w:val="24"/>
          <w:lang w:eastAsia="zh-CN"/>
        </w:rPr>
        <w:t>自然资源</w:t>
      </w:r>
      <w:r w:rsidR="008D76BF">
        <w:rPr>
          <w:rFonts w:ascii="SimSun" w:eastAsia="SimSun" w:hAnsi="SimSun" w:cs="SimSun" w:hint="eastAsia"/>
          <w:sz w:val="24"/>
          <w:szCs w:val="24"/>
          <w:lang w:eastAsia="zh-CN"/>
        </w:rPr>
        <w:t>的</w:t>
      </w:r>
      <w:r w:rsidR="008D76BF" w:rsidRPr="00617467">
        <w:rPr>
          <w:rFonts w:ascii="SimSun" w:eastAsia="SimSun" w:hAnsi="SimSun" w:cs="SimSun" w:hint="eastAsia"/>
          <w:sz w:val="24"/>
          <w:szCs w:val="24"/>
          <w:lang w:eastAsia="zh-CN"/>
        </w:rPr>
        <w:t>可持续利用是可持续发展、消除贫穷、保护人权、人民和国家和平共处的关键；因此，扭转自</w:t>
      </w:r>
      <w:r w:rsidR="008D76BF" w:rsidRPr="00617467">
        <w:rPr>
          <w:sz w:val="24"/>
          <w:szCs w:val="24"/>
          <w:lang w:eastAsia="zh-CN"/>
        </w:rPr>
        <w:t>1970</w:t>
      </w:r>
      <w:r w:rsidR="008D76BF" w:rsidRPr="00617467">
        <w:rPr>
          <w:rFonts w:ascii="SimSun" w:eastAsia="SimSun" w:hAnsi="SimSun" w:cs="SimSun" w:hint="eastAsia"/>
          <w:sz w:val="24"/>
          <w:szCs w:val="24"/>
          <w:lang w:eastAsia="zh-CN"/>
        </w:rPr>
        <w:t>年代以来人类活动导致动植物物种大量丧失的趋势至关重要。为此，缔约方大会本届会议的与会者</w:t>
      </w:r>
      <w:r w:rsidR="008D76BF">
        <w:rPr>
          <w:rFonts w:ascii="SimSun" w:eastAsia="SimSun" w:hAnsi="SimSun" w:cs="SimSun" w:hint="eastAsia"/>
          <w:sz w:val="24"/>
          <w:szCs w:val="24"/>
          <w:lang w:eastAsia="zh-CN"/>
        </w:rPr>
        <w:t>们</w:t>
      </w:r>
      <w:r w:rsidR="008D76BF" w:rsidRPr="00617467">
        <w:rPr>
          <w:rFonts w:ascii="SimSun" w:eastAsia="SimSun" w:hAnsi="SimSun" w:cs="SimSun" w:hint="eastAsia"/>
          <w:sz w:val="24"/>
          <w:szCs w:val="24"/>
          <w:lang w:eastAsia="zh-CN"/>
        </w:rPr>
        <w:t>必须履行责任，确保执行关于生物多样性、气候变化和防治荒漠化的三项相互依存、相互加强的多边环境协定，并实现《</w:t>
      </w:r>
      <w:r w:rsidR="008D76BF" w:rsidRPr="00617467">
        <w:rPr>
          <w:sz w:val="24"/>
          <w:szCs w:val="24"/>
          <w:lang w:eastAsia="zh-CN"/>
        </w:rPr>
        <w:t>2030</w:t>
      </w:r>
      <w:r w:rsidR="008D76BF" w:rsidRPr="00617467">
        <w:rPr>
          <w:rFonts w:ascii="SimSun" w:eastAsia="SimSun" w:hAnsi="SimSun" w:cs="SimSun" w:hint="eastAsia"/>
          <w:sz w:val="24"/>
          <w:szCs w:val="24"/>
          <w:lang w:eastAsia="zh-CN"/>
        </w:rPr>
        <w:t>年可持续发展议程》约三分之二的目标。</w:t>
      </w:r>
    </w:p>
    <w:p w:rsidR="008D76BF" w:rsidRPr="00E14D2F" w:rsidRDefault="008D76BF" w:rsidP="002A2E8B">
      <w:pPr>
        <w:pStyle w:val="Para1"/>
        <w:numPr>
          <w:ilvl w:val="0"/>
          <w:numId w:val="9"/>
        </w:numPr>
        <w:tabs>
          <w:tab w:val="clear" w:pos="360"/>
          <w:tab w:val="left" w:pos="720"/>
        </w:tabs>
        <w:ind w:left="86" w:firstLine="0"/>
        <w:rPr>
          <w:rFonts w:hAnsi="SimSun"/>
          <w:sz w:val="24"/>
          <w:szCs w:val="24"/>
          <w:lang w:eastAsia="zh-CN"/>
        </w:rPr>
      </w:pPr>
      <w:r w:rsidRPr="00E14D2F">
        <w:rPr>
          <w:rFonts w:ascii="SimSun" w:eastAsia="SimSun" w:hAnsi="SimSun" w:cs="SimSun" w:hint="eastAsia"/>
          <w:sz w:val="24"/>
          <w:szCs w:val="24"/>
          <w:lang w:eastAsia="zh-CN"/>
        </w:rPr>
        <w:t>除了为人类提供防御自然灾害、水和粮食不安全和疾病的手段之外，保护生物多样性还对移民和性别平等等问题产生影响：全球饥饿人数增加</w:t>
      </w:r>
      <w:r w:rsidRPr="00E14D2F">
        <w:rPr>
          <w:rFonts w:hAnsi="SimSun"/>
          <w:sz w:val="24"/>
          <w:szCs w:val="24"/>
          <w:lang w:eastAsia="zh-CN"/>
        </w:rPr>
        <w:t>1</w:t>
      </w:r>
      <w:r w:rsidRPr="00E14D2F">
        <w:rPr>
          <w:rFonts w:ascii="SimSun" w:eastAsia="SimSun" w:hAnsi="SimSun" w:cs="SimSun" w:hint="eastAsia"/>
          <w:sz w:val="24"/>
          <w:szCs w:val="24"/>
          <w:lang w:eastAsia="zh-CN"/>
        </w:rPr>
        <w:t>％，移民就增加</w:t>
      </w:r>
      <w:r w:rsidRPr="00E14D2F">
        <w:rPr>
          <w:rFonts w:hAnsi="SimSun"/>
          <w:sz w:val="24"/>
          <w:szCs w:val="24"/>
          <w:lang w:eastAsia="zh-CN"/>
        </w:rPr>
        <w:t>2%</w:t>
      </w:r>
      <w:r w:rsidRPr="00E14D2F">
        <w:rPr>
          <w:rFonts w:ascii="SimSun" w:eastAsia="SimSun" w:hAnsi="SimSun" w:cs="SimSun" w:hint="eastAsia"/>
          <w:sz w:val="24"/>
          <w:szCs w:val="24"/>
          <w:lang w:eastAsia="zh-CN"/>
        </w:rPr>
        <w:t>，这要求采取集体行动确保安全、有序和规范，解决生物多样性丧失和生态系统退化问题的努力，可以通过为妇女和少女提供教育和生产性活动来帮助解决性别不平等问题。</w:t>
      </w:r>
    </w:p>
    <w:p w:rsidR="008D76BF" w:rsidRPr="00E14D2F" w:rsidRDefault="008D76BF" w:rsidP="002A2E8B">
      <w:pPr>
        <w:pStyle w:val="Para1"/>
        <w:numPr>
          <w:ilvl w:val="0"/>
          <w:numId w:val="9"/>
        </w:numPr>
        <w:tabs>
          <w:tab w:val="clear" w:pos="360"/>
          <w:tab w:val="left" w:pos="720"/>
        </w:tabs>
        <w:ind w:left="86" w:firstLine="0"/>
        <w:rPr>
          <w:rFonts w:hAnsi="SimSun"/>
          <w:sz w:val="24"/>
          <w:szCs w:val="24"/>
          <w:lang w:eastAsia="zh-CN"/>
        </w:rPr>
      </w:pPr>
      <w:r w:rsidRPr="00E14D2F">
        <w:rPr>
          <w:rFonts w:ascii="SimSun" w:eastAsia="SimSun" w:hAnsi="SimSun" w:cs="SimSun" w:hint="eastAsia"/>
          <w:sz w:val="24"/>
          <w:szCs w:val="24"/>
          <w:lang w:eastAsia="zh-CN"/>
        </w:rPr>
        <w:t>人类的生存同人类与自然和谐共处的能力有着内在的联系，在迅速变化的时代，至为重要的是确保后代不因不可持续的发展而减少这种能力。自远古以来，拉丁美洲的土著人民一直遵循与自然保持平衡</w:t>
      </w:r>
      <w:r>
        <w:rPr>
          <w:rFonts w:ascii="SimSun" w:eastAsia="SimSun" w:hAnsi="SimSun" w:cs="SimSun" w:hint="eastAsia"/>
          <w:sz w:val="24"/>
          <w:szCs w:val="24"/>
          <w:lang w:eastAsia="zh-CN"/>
        </w:rPr>
        <w:t>（</w:t>
      </w:r>
      <w:r w:rsidRPr="00E14D2F">
        <w:rPr>
          <w:rFonts w:hAnsi="SimSun"/>
          <w:sz w:val="24"/>
          <w:szCs w:val="24"/>
          <w:lang w:eastAsia="zh-CN"/>
        </w:rPr>
        <w:t>“</w:t>
      </w:r>
      <w:r w:rsidRPr="00E14D2F">
        <w:rPr>
          <w:rFonts w:ascii="SimSun" w:eastAsia="SimSun" w:hAnsi="SimSun" w:cs="SimSun" w:hint="eastAsia"/>
          <w:sz w:val="24"/>
          <w:szCs w:val="24"/>
          <w:lang w:eastAsia="zh-CN"/>
        </w:rPr>
        <w:t>生活得好</w:t>
      </w:r>
      <w:r w:rsidRPr="00E14D2F">
        <w:rPr>
          <w:rFonts w:hAnsi="SimSun"/>
          <w:sz w:val="24"/>
          <w:szCs w:val="24"/>
          <w:lang w:eastAsia="zh-CN"/>
        </w:rPr>
        <w:t>”</w:t>
      </w:r>
      <w:r>
        <w:rPr>
          <w:rFonts w:ascii="SimSun" w:eastAsia="SimSun" w:hAnsi="SimSun" w:cs="SimSun" w:hint="eastAsia"/>
          <w:sz w:val="24"/>
          <w:szCs w:val="24"/>
          <w:lang w:eastAsia="zh-CN"/>
        </w:rPr>
        <w:t>）</w:t>
      </w:r>
      <w:r w:rsidRPr="00E14D2F">
        <w:rPr>
          <w:rFonts w:ascii="SimSun" w:eastAsia="SimSun" w:hAnsi="SimSun" w:cs="SimSun" w:hint="eastAsia"/>
          <w:sz w:val="24"/>
          <w:szCs w:val="24"/>
          <w:lang w:eastAsia="zh-CN"/>
        </w:rPr>
        <w:t>的原则，集体意识到个人福祉、自由和尊严的重要性。希望该原则有助于指导缔约方大会本次会议的审议并努力就人类福祉和保护其地球家园所需的勇敢的、必要的决定，特别是关于</w:t>
      </w:r>
      <w:r w:rsidRPr="00E14D2F">
        <w:rPr>
          <w:rFonts w:hAnsi="SimSun"/>
          <w:sz w:val="24"/>
          <w:szCs w:val="24"/>
          <w:lang w:eastAsia="zh-CN"/>
        </w:rPr>
        <w:t>2020</w:t>
      </w:r>
      <w:r w:rsidRPr="00E14D2F">
        <w:rPr>
          <w:rFonts w:ascii="SimSun" w:eastAsia="SimSun" w:hAnsi="SimSun" w:cs="SimSun" w:hint="eastAsia"/>
          <w:sz w:val="24"/>
          <w:szCs w:val="24"/>
          <w:lang w:eastAsia="zh-CN"/>
        </w:rPr>
        <w:t>年后的新生物多样性框架，达成协议。</w:t>
      </w:r>
    </w:p>
    <w:p w:rsidR="008D76BF" w:rsidRPr="002A2E8B" w:rsidRDefault="008D76BF" w:rsidP="002A2E8B">
      <w:pPr>
        <w:pStyle w:val="Heading6"/>
        <w:tabs>
          <w:tab w:val="left" w:pos="720"/>
        </w:tabs>
        <w:adjustRightInd w:val="0"/>
        <w:snapToGrid w:val="0"/>
        <w:ind w:left="720" w:firstLine="0"/>
        <w:jc w:val="left"/>
        <w:rPr>
          <w:rFonts w:ascii="KaiTi" w:eastAsia="KaiTi" w:hAnsi="KaiTi"/>
          <w:snapToGrid w:val="0"/>
          <w:kern w:val="22"/>
          <w:sz w:val="24"/>
          <w:lang w:eastAsia="zh-CN"/>
        </w:rPr>
      </w:pPr>
      <w:r w:rsidRPr="002A2E8B">
        <w:rPr>
          <w:rFonts w:ascii="KaiTi" w:eastAsia="KaiTi" w:hAnsi="KaiTi" w:hint="eastAsia"/>
          <w:snapToGrid w:val="0"/>
          <w:kern w:val="22"/>
          <w:sz w:val="24"/>
          <w:lang w:eastAsia="zh-CN"/>
        </w:rPr>
        <w:t>埃及总统阿卜杜勒</w:t>
      </w:r>
      <w:r w:rsidR="002A2E8B">
        <w:rPr>
          <w:rFonts w:ascii="KaiTi" w:eastAsia="KaiTi" w:hAnsi="KaiTi" w:hint="eastAsia"/>
          <w:snapToGrid w:val="0"/>
          <w:kern w:val="22"/>
          <w:sz w:val="24"/>
          <w:lang w:eastAsia="zh-CN"/>
        </w:rPr>
        <w:t>·</w:t>
      </w:r>
      <w:r w:rsidRPr="002A2E8B">
        <w:rPr>
          <w:rFonts w:ascii="KaiTi" w:eastAsia="KaiTi" w:hAnsi="KaiTi" w:hint="eastAsia"/>
          <w:snapToGrid w:val="0"/>
          <w:kern w:val="22"/>
          <w:sz w:val="24"/>
          <w:lang w:eastAsia="zh-CN"/>
        </w:rPr>
        <w:t>法塔赫</w:t>
      </w:r>
      <w:r w:rsidR="002A2E8B">
        <w:rPr>
          <w:rFonts w:ascii="KaiTi" w:eastAsia="KaiTi" w:hAnsi="KaiTi" w:hint="eastAsia"/>
          <w:snapToGrid w:val="0"/>
          <w:kern w:val="22"/>
          <w:sz w:val="24"/>
          <w:lang w:eastAsia="zh-CN"/>
        </w:rPr>
        <w:t>·</w:t>
      </w:r>
      <w:r w:rsidRPr="002A2E8B">
        <w:rPr>
          <w:rFonts w:ascii="KaiTi" w:eastAsia="KaiTi" w:hAnsi="KaiTi" w:hint="eastAsia"/>
          <w:snapToGrid w:val="0"/>
          <w:kern w:val="22"/>
          <w:sz w:val="24"/>
          <w:lang w:eastAsia="zh-CN"/>
        </w:rPr>
        <w:t>塞西先生的开幕词</w:t>
      </w:r>
    </w:p>
    <w:p w:rsidR="008D76BF" w:rsidRPr="009C184A" w:rsidRDefault="008D76BF" w:rsidP="002A2E8B">
      <w:pPr>
        <w:pStyle w:val="Para1"/>
        <w:numPr>
          <w:ilvl w:val="0"/>
          <w:numId w:val="7"/>
        </w:numPr>
        <w:tabs>
          <w:tab w:val="clear" w:pos="360"/>
          <w:tab w:val="left" w:pos="720"/>
        </w:tabs>
        <w:ind w:firstLine="0"/>
        <w:rPr>
          <w:sz w:val="24"/>
          <w:szCs w:val="24"/>
          <w:lang w:eastAsia="zh-CN"/>
        </w:rPr>
      </w:pPr>
      <w:r w:rsidRPr="009C184A">
        <w:rPr>
          <w:rFonts w:ascii="SimSun" w:eastAsia="SimSun" w:hAnsi="SimSun" w:cs="SimSun" w:hint="eastAsia"/>
          <w:sz w:val="24"/>
          <w:szCs w:val="24"/>
          <w:lang w:eastAsia="zh-CN"/>
        </w:rPr>
        <w:t>塞西先生，代表埃及人民对到和平之城沙姆沙伊赫参加会议的所有人表示热烈欢迎，他说，埃及是一个从自然资源中繁荣发展的文明，古埃及神圣的文本中完全体现人类对保护环境的古老承诺。当今的埃及也是心怀广阔的环境考虑，走着可持续发展和社会正义的道路。事实上，埃及宪法为保护和合理利用本国的自然资源，包括为了拯救动植物免于灭绝，奠定了坚实的基础。</w:t>
      </w:r>
    </w:p>
    <w:p w:rsidR="008D76BF" w:rsidRPr="009C184A" w:rsidRDefault="008D76BF" w:rsidP="002A2E8B">
      <w:pPr>
        <w:pStyle w:val="Para1"/>
        <w:numPr>
          <w:ilvl w:val="0"/>
          <w:numId w:val="7"/>
        </w:numPr>
        <w:tabs>
          <w:tab w:val="clear" w:pos="360"/>
          <w:tab w:val="left" w:pos="720"/>
        </w:tabs>
        <w:ind w:firstLine="0"/>
        <w:rPr>
          <w:sz w:val="24"/>
          <w:szCs w:val="24"/>
          <w:lang w:eastAsia="zh-CN"/>
        </w:rPr>
      </w:pPr>
      <w:r w:rsidRPr="009C184A">
        <w:rPr>
          <w:rFonts w:ascii="SimSun" w:eastAsia="SimSun" w:hAnsi="SimSun" w:cs="SimSun" w:hint="eastAsia"/>
          <w:sz w:val="24"/>
          <w:szCs w:val="24"/>
          <w:lang w:eastAsia="zh-CN"/>
        </w:rPr>
        <w:t>国际社会尽管做出了努力，但是仍然没有能制止生物多样性的减少并改善自然资源的可持续管理。因此，它试图通过宣布</w:t>
      </w:r>
      <w:r w:rsidRPr="009C184A">
        <w:rPr>
          <w:sz w:val="24"/>
          <w:szCs w:val="24"/>
          <w:lang w:eastAsia="zh-CN"/>
        </w:rPr>
        <w:t>2011-2020</w:t>
      </w:r>
      <w:r w:rsidRPr="009C184A">
        <w:rPr>
          <w:rFonts w:ascii="SimSun" w:eastAsia="SimSun" w:hAnsi="SimSun" w:cs="SimSun" w:hint="eastAsia"/>
          <w:sz w:val="24"/>
          <w:szCs w:val="24"/>
          <w:lang w:eastAsia="zh-CN"/>
        </w:rPr>
        <w:t>年为联合国生物多样性十年，进一步动员加强生物多样性主流化，以促进同一期间《生物多样性战略计划》的实施。尽管如此，由于气候变化等因素，生物多样性和生态系统的持续丧失，构成了巨大的挑战并最终威胁到人类。</w:t>
      </w:r>
    </w:p>
    <w:p w:rsidR="008D76BF" w:rsidRPr="009C184A" w:rsidRDefault="008D76BF" w:rsidP="002A2E8B">
      <w:pPr>
        <w:pStyle w:val="Para1"/>
        <w:numPr>
          <w:ilvl w:val="0"/>
          <w:numId w:val="7"/>
        </w:numPr>
        <w:tabs>
          <w:tab w:val="clear" w:pos="360"/>
          <w:tab w:val="left" w:pos="720"/>
        </w:tabs>
        <w:ind w:firstLine="0"/>
        <w:rPr>
          <w:sz w:val="24"/>
          <w:szCs w:val="24"/>
          <w:lang w:eastAsia="zh-CN"/>
        </w:rPr>
      </w:pPr>
      <w:r w:rsidRPr="009C184A">
        <w:rPr>
          <w:rFonts w:ascii="SimSun" w:eastAsia="SimSun" w:hAnsi="SimSun" w:cs="SimSun" w:hint="eastAsia"/>
          <w:sz w:val="24"/>
          <w:szCs w:val="24"/>
          <w:lang w:eastAsia="zh-CN"/>
        </w:rPr>
        <w:t>因此，会议的主题</w:t>
      </w:r>
      <w:r w:rsidRPr="00030D19">
        <w:rPr>
          <w:rFonts w:ascii="SimSun" w:hAnsi="SimSun"/>
          <w:spacing w:val="-42"/>
          <w:sz w:val="24"/>
          <w:szCs w:val="24"/>
          <w:lang w:eastAsia="zh-CN"/>
        </w:rPr>
        <w:t>——</w:t>
      </w:r>
      <w:r w:rsidRPr="009C184A">
        <w:rPr>
          <w:rFonts w:ascii="SimSun" w:hAnsi="SimSun"/>
          <w:sz w:val="24"/>
          <w:szCs w:val="24"/>
          <w:lang w:eastAsia="zh-CN"/>
        </w:rPr>
        <w:t>“</w:t>
      </w:r>
      <w:r w:rsidRPr="009C184A">
        <w:rPr>
          <w:rFonts w:ascii="SimSun" w:eastAsia="SimSun" w:hAnsi="SimSun" w:cs="SimSun" w:hint="eastAsia"/>
          <w:sz w:val="24"/>
          <w:szCs w:val="24"/>
          <w:lang w:eastAsia="zh-CN"/>
        </w:rPr>
        <w:t>为人类和地球向生物多样性投资</w:t>
      </w:r>
      <w:r w:rsidRPr="009C184A">
        <w:rPr>
          <w:rFonts w:ascii="SimSun" w:hAnsi="SimSun"/>
          <w:sz w:val="24"/>
          <w:szCs w:val="24"/>
          <w:lang w:eastAsia="zh-CN"/>
        </w:rPr>
        <w:t>”</w:t>
      </w:r>
      <w:r w:rsidRPr="00030D19">
        <w:rPr>
          <w:rFonts w:ascii="SimSun" w:hAnsi="SimSun"/>
          <w:spacing w:val="-42"/>
          <w:sz w:val="24"/>
          <w:szCs w:val="24"/>
          <w:lang w:eastAsia="zh-CN"/>
        </w:rPr>
        <w:t>——</w:t>
      </w:r>
      <w:r w:rsidRPr="009C184A">
        <w:rPr>
          <w:rFonts w:ascii="SimSun" w:eastAsia="SimSun" w:hAnsi="SimSun" w:cs="SimSun" w:hint="eastAsia"/>
          <w:sz w:val="24"/>
          <w:szCs w:val="24"/>
          <w:lang w:eastAsia="zh-CN"/>
        </w:rPr>
        <w:t>具有高度的相关性，反映了将生物多样性纳入生活各个方面的主流，以确保其保护、养护和对可持续管理的关切，这是一个需要国际合作、多边谈判和多部门协调的目标。埃及根据相关公约奉行应对气候变化和荒漠化以及保护生物多样性的措施和举措时，指望得到支持。为此目的，它调动了财政和技术承诺，并与包括民间社会和私营部门在内的利益攸关方建立了相关的伙伴关系。他说，广而言之，不仅要提高人们对生物多样性和自然资源不断退化所带来的风险的认识，而且要从愿景转向行动。有了这一目标，他祝会议的审议获得圆满成功。</w:t>
      </w:r>
    </w:p>
    <w:p w:rsidR="008D76BF" w:rsidRPr="002A2E8B" w:rsidRDefault="008D76BF" w:rsidP="002A2E8B">
      <w:pPr>
        <w:pStyle w:val="Heading6"/>
        <w:tabs>
          <w:tab w:val="left" w:pos="720"/>
        </w:tabs>
        <w:adjustRightInd w:val="0"/>
        <w:snapToGrid w:val="0"/>
        <w:ind w:left="720" w:firstLine="0"/>
        <w:jc w:val="left"/>
        <w:rPr>
          <w:snapToGrid w:val="0"/>
          <w:kern w:val="22"/>
          <w:sz w:val="24"/>
        </w:rPr>
      </w:pPr>
      <w:r w:rsidRPr="002A2E8B">
        <w:rPr>
          <w:rFonts w:ascii="KaiTi" w:eastAsia="KaiTi" w:hAnsi="KaiTi" w:hint="eastAsia"/>
          <w:snapToGrid w:val="0"/>
          <w:kern w:val="22"/>
          <w:sz w:val="24"/>
        </w:rPr>
        <w:lastRenderedPageBreak/>
        <w:t>区域发言</w:t>
      </w:r>
    </w:p>
    <w:p w:rsidR="008D76BF" w:rsidRPr="009C184A" w:rsidRDefault="008D76BF" w:rsidP="002A2E8B">
      <w:pPr>
        <w:pStyle w:val="Para1"/>
        <w:numPr>
          <w:ilvl w:val="0"/>
          <w:numId w:val="7"/>
        </w:numPr>
        <w:tabs>
          <w:tab w:val="clear" w:pos="360"/>
          <w:tab w:val="left" w:pos="720"/>
        </w:tabs>
        <w:ind w:firstLine="0"/>
        <w:rPr>
          <w:sz w:val="24"/>
          <w:szCs w:val="24"/>
          <w:lang w:eastAsia="zh-CN"/>
        </w:rPr>
      </w:pPr>
      <w:r w:rsidRPr="009C184A">
        <w:rPr>
          <w:rFonts w:ascii="SimSun" w:eastAsia="SimSun" w:hAnsi="SimSun" w:cs="SimSun" w:hint="eastAsia"/>
          <w:color w:val="212121"/>
          <w:sz w:val="24"/>
          <w:szCs w:val="24"/>
          <w:lang w:val="en-US" w:eastAsia="zh-CN"/>
        </w:rPr>
        <w:t>阿根廷代表代表拉丁美洲和加勒比集团发言说，出席前两天</w:t>
      </w:r>
      <w:r w:rsidR="00C32428">
        <w:rPr>
          <w:rFonts w:ascii="SimSun" w:eastAsia="SimSun" w:hAnsi="SimSun" w:cs="SimSun" w:hint="eastAsia"/>
          <w:color w:val="212121"/>
          <w:sz w:val="24"/>
          <w:szCs w:val="24"/>
          <w:lang w:val="en-US" w:eastAsia="zh-CN"/>
        </w:rPr>
        <w:t>高级别部分</w:t>
      </w:r>
      <w:r w:rsidRPr="009C184A">
        <w:rPr>
          <w:rFonts w:ascii="SimSun" w:eastAsia="SimSun" w:hAnsi="SimSun" w:cs="SimSun" w:hint="eastAsia"/>
          <w:color w:val="212121"/>
          <w:sz w:val="24"/>
          <w:szCs w:val="24"/>
          <w:lang w:val="en-US" w:eastAsia="zh-CN"/>
        </w:rPr>
        <w:t>的部长们强调了进一步将生物多样性纳入经济部门和保持地球健康的重要性。在过去</w:t>
      </w:r>
      <w:r w:rsidRPr="009C184A">
        <w:rPr>
          <w:color w:val="212121"/>
          <w:sz w:val="24"/>
          <w:szCs w:val="24"/>
          <w:lang w:val="en-US" w:eastAsia="zh-CN"/>
        </w:rPr>
        <w:t>25</w:t>
      </w:r>
      <w:r w:rsidRPr="009C184A">
        <w:rPr>
          <w:rFonts w:ascii="SimSun" w:eastAsia="SimSun" w:hAnsi="SimSun" w:cs="SimSun" w:hint="eastAsia"/>
          <w:color w:val="212121"/>
          <w:sz w:val="24"/>
          <w:szCs w:val="24"/>
          <w:lang w:val="en-US" w:eastAsia="zh-CN"/>
        </w:rPr>
        <w:t>年中，制止生物多样性丧失的进展并不充分；缔约方有责任从过去的错误中吸取教训。拉丁美洲和加勒比集团感谢所提供的资金，使该地区的国家能够参加《公约》下的活动；尽管如此，鉴于生物多样性大国面临的挑战，需要更多的支持和技术转让。拉丁美洲和加勒比集团认识到在执行《公约》第</w:t>
      </w:r>
      <w:r w:rsidRPr="009C184A">
        <w:rPr>
          <w:color w:val="212121"/>
          <w:sz w:val="24"/>
          <w:szCs w:val="24"/>
          <w:lang w:val="en-US" w:eastAsia="zh-CN"/>
        </w:rPr>
        <w:t>8</w:t>
      </w:r>
      <w:r w:rsidR="00823C45">
        <w:rPr>
          <w:color w:val="212121"/>
          <w:sz w:val="24"/>
          <w:szCs w:val="24"/>
          <w:lang w:val="en-US" w:eastAsia="zh-CN"/>
        </w:rPr>
        <w:t>(</w:t>
      </w:r>
      <w:r w:rsidRPr="009C184A">
        <w:rPr>
          <w:color w:val="212121"/>
          <w:sz w:val="24"/>
          <w:szCs w:val="24"/>
          <w:lang w:val="en-US" w:eastAsia="zh-CN"/>
        </w:rPr>
        <w:t>j</w:t>
      </w:r>
      <w:r w:rsidR="00823C45">
        <w:rPr>
          <w:color w:val="212121"/>
          <w:sz w:val="24"/>
          <w:szCs w:val="24"/>
          <w:lang w:val="en-US" w:eastAsia="zh-CN"/>
        </w:rPr>
        <w:t>)</w:t>
      </w:r>
      <w:r w:rsidRPr="009C184A">
        <w:rPr>
          <w:rFonts w:ascii="SimSun" w:eastAsia="SimSun" w:hAnsi="SimSun" w:cs="SimSun" w:hint="eastAsia"/>
          <w:color w:val="212121"/>
          <w:sz w:val="24"/>
          <w:szCs w:val="24"/>
          <w:lang w:val="en-US" w:eastAsia="zh-CN"/>
        </w:rPr>
        <w:t>条方面取得的进展，以保护和保存传统知识，并确保听取土著人民和地方社区的意见。在重组公约秘书处时，应注意确保拉丁美洲和加勒比集团各国更好的代表性。他们将努力确保</w:t>
      </w:r>
      <w:r w:rsidRPr="009C184A">
        <w:rPr>
          <w:color w:val="212121"/>
          <w:sz w:val="24"/>
          <w:szCs w:val="24"/>
          <w:lang w:val="en-US" w:eastAsia="zh-CN"/>
        </w:rPr>
        <w:t>2020</w:t>
      </w:r>
      <w:r w:rsidRPr="009C184A">
        <w:rPr>
          <w:rFonts w:ascii="SimSun" w:eastAsia="SimSun" w:hAnsi="SimSun" w:cs="SimSun" w:hint="eastAsia"/>
          <w:color w:val="212121"/>
          <w:sz w:val="24"/>
          <w:szCs w:val="24"/>
          <w:lang w:val="en-US" w:eastAsia="zh-CN"/>
        </w:rPr>
        <w:t>年后框架提出雄心勃勃的、可行的措施，能灵活应对不同的挑战，并且所有利益攸关方采取有效行动，确保生物多样性不仅由联合国组织，而且也由所有关心的方面，包括公众共同应对。迫切需要一种广泛的、包容性的宣传战略。应与其他里约各公约和</w:t>
      </w:r>
      <w:r w:rsidRPr="009C184A">
        <w:rPr>
          <w:rFonts w:ascii="SimSun" w:eastAsia="SimSun" w:hAnsi="SimSun" w:cs="SimSun" w:hint="eastAsia"/>
          <w:sz w:val="24"/>
          <w:szCs w:val="24"/>
          <w:lang w:eastAsia="zh-CN"/>
        </w:rPr>
        <w:t>政府间科学政策平台</w:t>
      </w:r>
      <w:r w:rsidRPr="009C184A">
        <w:rPr>
          <w:rFonts w:ascii="SimSun" w:eastAsia="SimSun" w:hAnsi="SimSun" w:cs="SimSun" w:hint="eastAsia"/>
          <w:color w:val="212121"/>
          <w:sz w:val="24"/>
          <w:szCs w:val="24"/>
          <w:lang w:val="en-US" w:eastAsia="zh-CN"/>
        </w:rPr>
        <w:t>寻求协同增效作用。为确保在不久的将来产生重大影响，缔约方应集中注意基本要点：实现《公约》目标和调动资源的综合办法。拉丁美洲和加勒比集团强调了作为公共政策目标的</w:t>
      </w:r>
      <w:r w:rsidRPr="009C184A">
        <w:rPr>
          <w:rFonts w:ascii="SimSun" w:hAnsi="SimSun"/>
          <w:color w:val="212121"/>
          <w:sz w:val="24"/>
          <w:szCs w:val="24"/>
          <w:lang w:val="en-US" w:eastAsia="zh-CN"/>
        </w:rPr>
        <w:t>“</w:t>
      </w:r>
      <w:r w:rsidRPr="009C184A">
        <w:rPr>
          <w:color w:val="212121"/>
          <w:sz w:val="24"/>
          <w:szCs w:val="24"/>
          <w:lang w:val="en-US" w:eastAsia="zh-CN"/>
        </w:rPr>
        <w:t>2030</w:t>
      </w:r>
      <w:r w:rsidRPr="009C184A">
        <w:rPr>
          <w:rFonts w:ascii="SimSun" w:eastAsia="SimSun" w:hAnsi="SimSun" w:cs="SimSun" w:hint="eastAsia"/>
          <w:color w:val="212121"/>
          <w:sz w:val="24"/>
          <w:szCs w:val="24"/>
          <w:lang w:val="en-US" w:eastAsia="zh-CN"/>
        </w:rPr>
        <w:t>年</w:t>
      </w:r>
      <w:r w:rsidR="00823C45">
        <w:rPr>
          <w:rFonts w:ascii="SimSun" w:eastAsia="SimSun" w:hAnsi="SimSun" w:cs="SimSun" w:hint="eastAsia"/>
          <w:color w:val="212121"/>
          <w:sz w:val="24"/>
          <w:szCs w:val="24"/>
          <w:lang w:val="en-US" w:eastAsia="zh-CN"/>
        </w:rPr>
        <w:t>可持续发展</w:t>
      </w:r>
      <w:r w:rsidRPr="009C184A">
        <w:rPr>
          <w:rFonts w:ascii="SimSun" w:eastAsia="SimSun" w:hAnsi="SimSun" w:cs="SimSun" w:hint="eastAsia"/>
          <w:color w:val="212121"/>
          <w:sz w:val="24"/>
          <w:szCs w:val="24"/>
          <w:lang w:val="en-US" w:eastAsia="zh-CN"/>
        </w:rPr>
        <w:t>议程</w:t>
      </w:r>
      <w:r w:rsidRPr="009C184A">
        <w:rPr>
          <w:rFonts w:ascii="SimSun" w:hAnsi="SimSun"/>
          <w:color w:val="212121"/>
          <w:sz w:val="24"/>
          <w:szCs w:val="24"/>
          <w:lang w:val="en-US" w:eastAsia="zh-CN"/>
        </w:rPr>
        <w:t>”</w:t>
      </w:r>
      <w:r w:rsidRPr="009C184A">
        <w:rPr>
          <w:rFonts w:ascii="SimSun" w:eastAsia="SimSun" w:hAnsi="SimSun" w:cs="SimSun" w:hint="eastAsia"/>
          <w:color w:val="212121"/>
          <w:sz w:val="24"/>
          <w:szCs w:val="24"/>
          <w:lang w:val="en-US" w:eastAsia="zh-CN"/>
        </w:rPr>
        <w:t>和</w:t>
      </w:r>
      <w:r w:rsidRPr="009C184A">
        <w:rPr>
          <w:rFonts w:ascii="SimSun" w:hAnsi="SimSun"/>
          <w:color w:val="212121"/>
          <w:sz w:val="24"/>
          <w:szCs w:val="24"/>
          <w:lang w:val="en-US" w:eastAsia="zh-CN"/>
        </w:rPr>
        <w:t>“</w:t>
      </w:r>
      <w:r w:rsidRPr="009C184A">
        <w:rPr>
          <w:rFonts w:ascii="SimSun" w:eastAsia="SimSun" w:hAnsi="SimSun" w:cs="SimSun" w:hint="eastAsia"/>
          <w:color w:val="212121"/>
          <w:sz w:val="24"/>
          <w:szCs w:val="24"/>
          <w:lang w:val="en-US" w:eastAsia="zh-CN"/>
        </w:rPr>
        <w:t>可持续发展目标</w:t>
      </w:r>
      <w:r w:rsidRPr="009C184A">
        <w:rPr>
          <w:rFonts w:ascii="SimSun" w:hAnsi="SimSun"/>
          <w:color w:val="212121"/>
          <w:sz w:val="24"/>
          <w:szCs w:val="24"/>
          <w:lang w:val="en-US" w:eastAsia="zh-CN"/>
        </w:rPr>
        <w:t>”</w:t>
      </w:r>
      <w:r w:rsidRPr="009C184A">
        <w:rPr>
          <w:rFonts w:ascii="SimSun" w:eastAsia="SimSun" w:hAnsi="SimSun" w:cs="SimSun" w:hint="eastAsia"/>
          <w:color w:val="212121"/>
          <w:sz w:val="24"/>
          <w:szCs w:val="24"/>
          <w:lang w:val="en-US" w:eastAsia="zh-CN"/>
        </w:rPr>
        <w:t>的重要性。</w:t>
      </w:r>
    </w:p>
    <w:p w:rsidR="008D76BF" w:rsidRPr="009C184A" w:rsidRDefault="008D76BF" w:rsidP="002A2E8B">
      <w:pPr>
        <w:pStyle w:val="Para1"/>
        <w:numPr>
          <w:ilvl w:val="0"/>
          <w:numId w:val="7"/>
        </w:numPr>
        <w:tabs>
          <w:tab w:val="clear" w:pos="360"/>
          <w:tab w:val="left" w:pos="720"/>
        </w:tabs>
        <w:ind w:firstLine="0"/>
        <w:rPr>
          <w:sz w:val="24"/>
          <w:szCs w:val="24"/>
          <w:lang w:eastAsia="zh-CN"/>
        </w:rPr>
      </w:pPr>
      <w:r w:rsidRPr="009C184A">
        <w:rPr>
          <w:rFonts w:ascii="SimSun" w:eastAsia="SimSun" w:hAnsi="SimSun" w:cs="SimSun" w:hint="eastAsia"/>
          <w:color w:val="212121"/>
          <w:sz w:val="24"/>
          <w:szCs w:val="24"/>
          <w:lang w:val="en-US" w:eastAsia="zh-CN"/>
        </w:rPr>
        <w:t>欧洲联盟及</w:t>
      </w:r>
      <w:r w:rsidRPr="00CF11CD">
        <w:rPr>
          <w:rFonts w:eastAsia="Times New Roman" w:hAnsi="SimSun"/>
          <w:color w:val="212121"/>
          <w:sz w:val="24"/>
          <w:szCs w:val="24"/>
          <w:lang w:val="en-US" w:eastAsia="zh-CN"/>
        </w:rPr>
        <w:t>其</w:t>
      </w:r>
      <w:r w:rsidRPr="00CF11CD">
        <w:rPr>
          <w:rFonts w:eastAsia="Times New Roman"/>
          <w:color w:val="212121"/>
          <w:sz w:val="24"/>
          <w:szCs w:val="24"/>
          <w:lang w:val="en-US" w:eastAsia="zh-CN"/>
        </w:rPr>
        <w:t>28</w:t>
      </w:r>
      <w:r w:rsidRPr="00CF11CD">
        <w:rPr>
          <w:rFonts w:eastAsia="Times New Roman" w:hAnsi="SimSun"/>
          <w:color w:val="212121"/>
          <w:sz w:val="24"/>
          <w:szCs w:val="24"/>
          <w:lang w:val="en-US" w:eastAsia="zh-CN"/>
        </w:rPr>
        <w:t>个</w:t>
      </w:r>
      <w:r w:rsidRPr="009C184A">
        <w:rPr>
          <w:rFonts w:ascii="SimSun" w:eastAsia="SimSun" w:hAnsi="SimSun" w:cs="SimSun" w:hint="eastAsia"/>
          <w:color w:val="212121"/>
          <w:sz w:val="24"/>
          <w:szCs w:val="24"/>
          <w:lang w:val="en-US" w:eastAsia="zh-CN"/>
        </w:rPr>
        <w:t>成员国的代表说，尽管在《公约》下取得了成功，但不应自满。按照目前的进展速度，大多数爱知指标都无法实现。</w:t>
      </w:r>
      <w:r w:rsidRPr="009C184A">
        <w:rPr>
          <w:color w:val="212121"/>
          <w:sz w:val="24"/>
          <w:szCs w:val="24"/>
          <w:lang w:val="en-US" w:eastAsia="zh-CN"/>
        </w:rPr>
        <w:t>2020</w:t>
      </w:r>
      <w:r w:rsidRPr="009C184A">
        <w:rPr>
          <w:rFonts w:ascii="SimSun" w:eastAsia="SimSun" w:hAnsi="SimSun" w:cs="SimSun" w:hint="eastAsia"/>
          <w:color w:val="212121"/>
          <w:sz w:val="24"/>
          <w:szCs w:val="24"/>
          <w:lang w:val="en-US" w:eastAsia="zh-CN"/>
        </w:rPr>
        <w:t>年后框架应确保缔约方和其他方面实现其目标。消费和生产模式需要真正的转变，生物多样性在各个层面都得到有效的主流化；应对每个部门与生物多样性之间的联系进行研究。</w:t>
      </w:r>
      <w:r w:rsidRPr="009C184A">
        <w:rPr>
          <w:color w:val="212121"/>
          <w:sz w:val="24"/>
          <w:szCs w:val="24"/>
          <w:lang w:val="en-US" w:eastAsia="zh-CN"/>
        </w:rPr>
        <w:t>2020</w:t>
      </w:r>
      <w:r w:rsidRPr="009C184A">
        <w:rPr>
          <w:rFonts w:ascii="SimSun" w:eastAsia="SimSun" w:hAnsi="SimSun" w:cs="SimSun" w:hint="eastAsia"/>
          <w:color w:val="212121"/>
          <w:sz w:val="24"/>
          <w:szCs w:val="24"/>
          <w:lang w:val="en-US" w:eastAsia="zh-CN"/>
        </w:rPr>
        <w:t>年后框架应提供机会，同商业部门建立强有力的伙伴关系。欧洲联盟仍然致力于同合作伙伴一起执行《名古屋议定书》，包括讨论数字序列信息，以及执行《卡塔赫纳议定书》，促进生物多样性信息交换所对改性生物体风险进行有效评估。</w:t>
      </w:r>
    </w:p>
    <w:p w:rsidR="008D76BF" w:rsidRPr="009C184A" w:rsidRDefault="008D76BF" w:rsidP="002A2E8B">
      <w:pPr>
        <w:pStyle w:val="Para1"/>
        <w:numPr>
          <w:ilvl w:val="0"/>
          <w:numId w:val="7"/>
        </w:numPr>
        <w:tabs>
          <w:tab w:val="clear" w:pos="360"/>
          <w:tab w:val="left" w:pos="720"/>
        </w:tabs>
        <w:ind w:firstLine="0"/>
        <w:rPr>
          <w:sz w:val="24"/>
          <w:szCs w:val="24"/>
          <w:lang w:eastAsia="zh-CN"/>
        </w:rPr>
      </w:pPr>
      <w:r w:rsidRPr="009C184A">
        <w:rPr>
          <w:rFonts w:ascii="SimSun" w:eastAsia="SimSun" w:hAnsi="SimSun" w:cs="SimSun" w:hint="eastAsia"/>
          <w:color w:val="212121"/>
          <w:sz w:val="24"/>
          <w:szCs w:val="24"/>
          <w:lang w:val="en-US" w:eastAsia="zh-CN"/>
        </w:rPr>
        <w:t>加拿大代表也代表澳大利亚、列支敦士登、新西兰、挪威和瑞士发言，指出生物多样性状况令人震惊，并敦促各位代表尊重商定的案文并解决括号内的案文。</w:t>
      </w:r>
      <w:r w:rsidRPr="009C184A">
        <w:rPr>
          <w:color w:val="212121"/>
          <w:sz w:val="24"/>
          <w:szCs w:val="24"/>
          <w:lang w:val="en-US" w:eastAsia="zh-CN"/>
        </w:rPr>
        <w:t>2020</w:t>
      </w:r>
      <w:r w:rsidRPr="009C184A">
        <w:rPr>
          <w:rFonts w:ascii="SimSun" w:eastAsia="SimSun" w:hAnsi="SimSun" w:cs="SimSun" w:hint="eastAsia"/>
          <w:color w:val="212121"/>
          <w:sz w:val="24"/>
          <w:szCs w:val="24"/>
          <w:lang w:val="en-US" w:eastAsia="zh-CN"/>
        </w:rPr>
        <w:t>年之后</w:t>
      </w:r>
      <w:r w:rsidR="009D782B">
        <w:rPr>
          <w:rFonts w:ascii="SimSun" w:eastAsia="SimSun" w:hAnsi="SimSun" w:cs="SimSun" w:hint="eastAsia"/>
          <w:color w:val="212121"/>
          <w:sz w:val="24"/>
          <w:szCs w:val="24"/>
          <w:lang w:val="en-US" w:eastAsia="zh-CN"/>
        </w:rPr>
        <w:t>应当</w:t>
      </w:r>
      <w:r w:rsidRPr="009C184A">
        <w:rPr>
          <w:rFonts w:ascii="SimSun" w:eastAsia="SimSun" w:hAnsi="SimSun" w:cs="SimSun" w:hint="eastAsia"/>
          <w:color w:val="212121"/>
          <w:sz w:val="24"/>
          <w:szCs w:val="24"/>
          <w:lang w:val="en-US" w:eastAsia="zh-CN"/>
        </w:rPr>
        <w:t>雄心勃勃，为缔约方大会下届会议提供具体、包容、切实、有效的路线图，缔约方应确保在返回本国时路线图已经制定，并将土著和地方社区和妇女包括在内，还有卫生、生产和商业等部门的更广泛参与。</w:t>
      </w:r>
    </w:p>
    <w:p w:rsidR="008D76BF" w:rsidRPr="009C184A" w:rsidRDefault="008D76BF" w:rsidP="002A2E8B">
      <w:pPr>
        <w:pStyle w:val="Para1"/>
        <w:numPr>
          <w:ilvl w:val="0"/>
          <w:numId w:val="7"/>
        </w:numPr>
        <w:tabs>
          <w:tab w:val="clear" w:pos="360"/>
          <w:tab w:val="left" w:pos="720"/>
        </w:tabs>
        <w:ind w:firstLine="0"/>
        <w:rPr>
          <w:sz w:val="24"/>
          <w:szCs w:val="24"/>
          <w:lang w:eastAsia="zh-CN"/>
        </w:rPr>
      </w:pPr>
      <w:r w:rsidRPr="009C184A">
        <w:rPr>
          <w:rFonts w:ascii="SimSun" w:eastAsia="SimSun" w:hAnsi="SimSun" w:cs="SimSun" w:hint="eastAsia"/>
          <w:color w:val="212121"/>
          <w:sz w:val="24"/>
          <w:szCs w:val="24"/>
          <w:lang w:val="en-US" w:eastAsia="zh-CN"/>
        </w:rPr>
        <w:t>白俄罗斯代表代表中欧、东欧和中亚国家发言，指出缔约方改进了国家对保护、可持续利用生物多样性和土地管理的监管，但应采取进一步措施保护采矿和工业活动密集地区的生物多样性并对基础设施领域进行规划。她指出，名古屋议定书缔约方正在协调其国家立法与议定书条款。通过全球环境基金资助的全球项目提供的支持，使各国能够迅速开展必要的研究并实施必要的改革。同土著人民和地方社区存活的国家相比，在某些政治、经济和社会制度中，难以实现保存遗传资源传统知识、这种知识的法律保护以及公平和公正的获取。需要国际社会大力支持确保《名古屋议定书》下与遗传资源有关的传统知识及其持有者</w:t>
      </w:r>
      <w:r w:rsidRPr="009C184A">
        <w:rPr>
          <w:rFonts w:ascii="SimSun" w:eastAsia="SimSun" w:hAnsi="SimSun" w:cs="SimSun" w:hint="eastAsia"/>
          <w:sz w:val="24"/>
          <w:szCs w:val="24"/>
          <w:lang w:eastAsia="zh-CN"/>
        </w:rPr>
        <w:t>的地位。</w:t>
      </w:r>
    </w:p>
    <w:p w:rsidR="008D76BF" w:rsidRPr="00093667" w:rsidRDefault="008D76BF" w:rsidP="002A2E8B">
      <w:pPr>
        <w:pStyle w:val="Para1"/>
        <w:numPr>
          <w:ilvl w:val="0"/>
          <w:numId w:val="7"/>
        </w:numPr>
        <w:tabs>
          <w:tab w:val="clear" w:pos="360"/>
          <w:tab w:val="left" w:pos="720"/>
        </w:tabs>
        <w:ind w:firstLine="0"/>
        <w:rPr>
          <w:sz w:val="24"/>
          <w:szCs w:val="24"/>
          <w:lang w:eastAsia="zh-CN"/>
        </w:rPr>
      </w:pPr>
      <w:r w:rsidRPr="009C184A">
        <w:rPr>
          <w:rFonts w:ascii="SimSun" w:eastAsia="SimSun" w:hAnsi="SimSun" w:cs="SimSun" w:hint="eastAsia"/>
          <w:color w:val="212121"/>
          <w:sz w:val="24"/>
          <w:szCs w:val="24"/>
          <w:lang w:val="en-US" w:eastAsia="zh-CN"/>
        </w:rPr>
        <w:t>卢旺达代表代表非洲集团发言，他回顾说</w:t>
      </w:r>
      <w:r w:rsidR="007A65A5">
        <w:rPr>
          <w:rFonts w:ascii="SimSun" w:eastAsia="SimSun" w:hAnsi="SimSun" w:cs="SimSun" w:hint="eastAsia"/>
          <w:color w:val="212121"/>
          <w:sz w:val="24"/>
          <w:szCs w:val="24"/>
          <w:lang w:val="en-US" w:eastAsia="zh-CN"/>
        </w:rPr>
        <w:t>，</w:t>
      </w:r>
      <w:r w:rsidRPr="009C184A">
        <w:rPr>
          <w:rFonts w:ascii="SimSun" w:eastAsia="SimSun" w:hAnsi="SimSun" w:cs="SimSun" w:hint="eastAsia"/>
          <w:color w:val="212121"/>
          <w:sz w:val="24"/>
          <w:szCs w:val="24"/>
          <w:lang w:val="en-US" w:eastAsia="zh-CN"/>
        </w:rPr>
        <w:t>非洲大陆是人类的摇篮。然而，</w:t>
      </w:r>
      <w:r w:rsidR="007A65A5">
        <w:rPr>
          <w:rFonts w:ascii="SimSun" w:eastAsia="SimSun" w:hAnsi="SimSun" w:cs="SimSun" w:hint="eastAsia"/>
          <w:color w:val="212121"/>
          <w:sz w:val="24"/>
          <w:szCs w:val="24"/>
          <w:lang w:val="en-US" w:eastAsia="zh-CN"/>
        </w:rPr>
        <w:t>人口</w:t>
      </w:r>
      <w:r w:rsidR="007A65A5">
        <w:rPr>
          <w:rFonts w:ascii="SimSun" w:eastAsia="SimSun" w:hAnsi="SimSun" w:cs="SimSun"/>
          <w:color w:val="212121"/>
          <w:sz w:val="24"/>
          <w:szCs w:val="24"/>
          <w:lang w:val="en-US" w:eastAsia="zh-CN"/>
        </w:rPr>
        <w:t>增长</w:t>
      </w:r>
      <w:r w:rsidR="007A65A5">
        <w:rPr>
          <w:rFonts w:ascii="SimSun" w:eastAsia="SimSun" w:hAnsi="SimSun" w:cs="SimSun" w:hint="eastAsia"/>
          <w:color w:val="212121"/>
          <w:sz w:val="24"/>
          <w:szCs w:val="24"/>
          <w:lang w:val="en-US" w:eastAsia="zh-CN"/>
        </w:rPr>
        <w:t>预测</w:t>
      </w:r>
      <w:r w:rsidR="007A65A5">
        <w:rPr>
          <w:rFonts w:ascii="SimSun" w:eastAsia="SimSun" w:hAnsi="SimSun" w:cs="SimSun"/>
          <w:color w:val="212121"/>
          <w:sz w:val="24"/>
          <w:szCs w:val="24"/>
          <w:lang w:val="en-US" w:eastAsia="zh-CN"/>
        </w:rPr>
        <w:t>到</w:t>
      </w:r>
      <w:r w:rsidRPr="009C184A">
        <w:rPr>
          <w:color w:val="212121"/>
          <w:sz w:val="24"/>
          <w:szCs w:val="24"/>
          <w:lang w:val="en-US" w:eastAsia="zh-CN"/>
        </w:rPr>
        <w:t>2050</w:t>
      </w:r>
      <w:r w:rsidRPr="009C184A">
        <w:rPr>
          <w:rFonts w:ascii="SimSun" w:eastAsia="SimSun" w:hAnsi="SimSun" w:cs="SimSun" w:hint="eastAsia"/>
          <w:color w:val="212121"/>
          <w:sz w:val="24"/>
          <w:szCs w:val="24"/>
          <w:lang w:val="en-US" w:eastAsia="zh-CN"/>
        </w:rPr>
        <w:t>年高达</w:t>
      </w:r>
      <w:r w:rsidRPr="009C184A">
        <w:rPr>
          <w:color w:val="212121"/>
          <w:sz w:val="24"/>
          <w:szCs w:val="24"/>
          <w:lang w:val="en-US" w:eastAsia="zh-CN"/>
        </w:rPr>
        <w:t>15</w:t>
      </w:r>
      <w:r w:rsidRPr="009C184A">
        <w:rPr>
          <w:rFonts w:ascii="SimSun" w:eastAsia="SimSun" w:hAnsi="SimSun" w:cs="SimSun" w:hint="eastAsia"/>
          <w:color w:val="212121"/>
          <w:sz w:val="24"/>
          <w:szCs w:val="24"/>
          <w:lang w:val="en-US" w:eastAsia="zh-CN"/>
        </w:rPr>
        <w:t>亿时，保护生物多样性与经济增长和发展之间存在利弊权衡的问题。人类创新继续提供应对挑战的技术，因此资源调动至关重要。虽然非洲拥有丰富的生物多样性，但正在迅速消失。非洲遗传资源被送往世界其他地区，在那里进行数字化、记录和正式化，而没有得到承认或分享惠益。非洲区域通过其</w:t>
      </w:r>
      <w:r w:rsidRPr="00823C45">
        <w:rPr>
          <w:rFonts w:asciiTheme="minorEastAsia" w:eastAsiaTheme="minorEastAsia" w:hAnsiTheme="minorEastAsia"/>
          <w:color w:val="212121"/>
          <w:sz w:val="24"/>
          <w:szCs w:val="24"/>
          <w:lang w:val="en-US" w:eastAsia="zh-CN"/>
        </w:rPr>
        <w:t>“</w:t>
      </w:r>
      <w:r w:rsidRPr="009C184A">
        <w:rPr>
          <w:color w:val="212121"/>
          <w:sz w:val="24"/>
          <w:szCs w:val="24"/>
          <w:lang w:val="en-US" w:eastAsia="zh-CN"/>
        </w:rPr>
        <w:t>2063</w:t>
      </w:r>
      <w:r w:rsidRPr="009C184A">
        <w:rPr>
          <w:rFonts w:ascii="SimSun" w:eastAsia="SimSun" w:hAnsi="SimSun" w:cs="SimSun" w:hint="eastAsia"/>
          <w:color w:val="212121"/>
          <w:sz w:val="24"/>
          <w:szCs w:val="24"/>
          <w:lang w:val="en-US" w:eastAsia="zh-CN"/>
        </w:rPr>
        <w:t>年议程</w:t>
      </w:r>
      <w:r w:rsidRPr="00823C45">
        <w:rPr>
          <w:rFonts w:asciiTheme="minorEastAsia" w:eastAsiaTheme="minorEastAsia" w:hAnsiTheme="minorEastAsia"/>
          <w:color w:val="212121"/>
          <w:sz w:val="24"/>
          <w:szCs w:val="24"/>
          <w:lang w:val="en-US" w:eastAsia="zh-CN"/>
        </w:rPr>
        <w:t>”</w:t>
      </w:r>
      <w:r w:rsidRPr="009C184A">
        <w:rPr>
          <w:rFonts w:ascii="SimSun" w:eastAsia="SimSun" w:hAnsi="SimSun" w:cs="SimSun" w:hint="eastAsia"/>
          <w:color w:val="212121"/>
          <w:sz w:val="24"/>
          <w:szCs w:val="24"/>
          <w:lang w:val="en-US" w:eastAsia="zh-CN"/>
        </w:rPr>
        <w:t>，致力于由本地区公民领</w:t>
      </w:r>
      <w:r w:rsidRPr="009C184A">
        <w:rPr>
          <w:rFonts w:ascii="SimSun" w:eastAsia="SimSun" w:hAnsi="SimSun" w:cs="SimSun" w:hint="eastAsia"/>
          <w:color w:val="212121"/>
          <w:sz w:val="24"/>
          <w:szCs w:val="24"/>
          <w:lang w:val="en-US" w:eastAsia="zh-CN"/>
        </w:rPr>
        <w:lastRenderedPageBreak/>
        <w:t>导的一体化、繁荣、和平地区的泛非愿景，在全球代表一股充满活力的力量。目的是利用科学、技术与创新建立环境可持续的、气候适应性强的经济体。</w:t>
      </w:r>
    </w:p>
    <w:p w:rsidR="008D76BF" w:rsidRPr="000C3E10" w:rsidRDefault="008D76BF" w:rsidP="002A2E8B">
      <w:pPr>
        <w:pStyle w:val="Para1"/>
        <w:numPr>
          <w:ilvl w:val="0"/>
          <w:numId w:val="7"/>
        </w:numPr>
        <w:tabs>
          <w:tab w:val="clear" w:pos="360"/>
          <w:tab w:val="left" w:pos="567"/>
          <w:tab w:val="left" w:pos="720"/>
        </w:tabs>
        <w:ind w:firstLine="0"/>
        <w:rPr>
          <w:rFonts w:eastAsia="Times New Roman"/>
          <w:sz w:val="24"/>
          <w:szCs w:val="24"/>
          <w:lang w:eastAsia="zh-CN"/>
        </w:rPr>
      </w:pPr>
      <w:r>
        <w:rPr>
          <w:sz w:val="24"/>
          <w:szCs w:val="24"/>
          <w:lang w:val="en-US" w:eastAsia="zh-CN"/>
        </w:rPr>
        <w:t xml:space="preserve"> </w:t>
      </w:r>
      <w:r w:rsidRPr="000C3E10">
        <w:rPr>
          <w:rFonts w:eastAsia="Times New Roman" w:hAnsi="SimSun"/>
          <w:sz w:val="24"/>
          <w:szCs w:val="24"/>
          <w:lang w:eastAsia="zh-CN"/>
        </w:rPr>
        <w:t>马来西亚代表代表观点相同的生物多样性大国集团发言说，该集团促进了生物多样性的保护及其组成部分的可持续利用，并公平和公正地分享了其利用所产生的惠益。</w:t>
      </w:r>
      <w:r w:rsidRPr="000C3E10">
        <w:rPr>
          <w:rFonts w:eastAsia="Times New Roman"/>
          <w:sz w:val="24"/>
          <w:szCs w:val="24"/>
          <w:lang w:eastAsia="zh-CN"/>
        </w:rPr>
        <w:t>2018</w:t>
      </w:r>
      <w:r w:rsidRPr="000C3E10">
        <w:rPr>
          <w:rFonts w:eastAsia="Times New Roman" w:hAnsi="SimSun"/>
          <w:sz w:val="24"/>
          <w:szCs w:val="24"/>
          <w:lang w:eastAsia="zh-CN"/>
        </w:rPr>
        <w:t>年</w:t>
      </w:r>
      <w:r w:rsidRPr="000C3E10">
        <w:rPr>
          <w:rFonts w:eastAsia="Times New Roman"/>
          <w:sz w:val="24"/>
          <w:szCs w:val="24"/>
          <w:lang w:eastAsia="zh-CN"/>
        </w:rPr>
        <w:t>11</w:t>
      </w:r>
      <w:r w:rsidRPr="000C3E10">
        <w:rPr>
          <w:rFonts w:eastAsia="Times New Roman" w:hAnsi="SimSun"/>
          <w:sz w:val="24"/>
          <w:szCs w:val="24"/>
          <w:lang w:eastAsia="zh-CN"/>
        </w:rPr>
        <w:t>月</w:t>
      </w:r>
      <w:r w:rsidRPr="000C3E10">
        <w:rPr>
          <w:rFonts w:eastAsia="Times New Roman"/>
          <w:sz w:val="24"/>
          <w:szCs w:val="24"/>
          <w:lang w:eastAsia="zh-CN"/>
        </w:rPr>
        <w:t>15</w:t>
      </w:r>
      <w:r w:rsidRPr="000C3E10">
        <w:rPr>
          <w:rFonts w:eastAsia="Times New Roman" w:hAnsi="SimSun"/>
          <w:sz w:val="24"/>
          <w:szCs w:val="24"/>
          <w:lang w:eastAsia="zh-CN"/>
        </w:rPr>
        <w:t>日在沙姆沙伊赫举行的部长级会议通过了一项宣言，除其他外，其重点是生物多样性的主流化、遗传资源数字序列信息、爱知</w:t>
      </w:r>
      <w:r w:rsidR="00823C45">
        <w:rPr>
          <w:rFonts w:eastAsiaTheme="minorEastAsia" w:hAnsi="SimSun" w:hint="eastAsia"/>
          <w:sz w:val="24"/>
          <w:szCs w:val="24"/>
          <w:lang w:eastAsia="zh-CN"/>
        </w:rPr>
        <w:t>生物多样性</w:t>
      </w:r>
      <w:r w:rsidRPr="000C3E10">
        <w:rPr>
          <w:rFonts w:eastAsia="Times New Roman" w:hAnsi="SimSun"/>
          <w:sz w:val="24"/>
          <w:szCs w:val="24"/>
          <w:lang w:eastAsia="zh-CN"/>
        </w:rPr>
        <w:t>目标</w:t>
      </w:r>
      <w:r w:rsidRPr="000C3E10">
        <w:rPr>
          <w:rFonts w:eastAsia="Times New Roman"/>
          <w:sz w:val="24"/>
          <w:szCs w:val="24"/>
          <w:lang w:eastAsia="zh-CN"/>
        </w:rPr>
        <w:t>11</w:t>
      </w:r>
      <w:r w:rsidRPr="000C3E10">
        <w:rPr>
          <w:rFonts w:eastAsia="Times New Roman" w:hAnsi="SimSun"/>
          <w:sz w:val="24"/>
          <w:szCs w:val="24"/>
          <w:lang w:eastAsia="zh-CN"/>
        </w:rPr>
        <w:t>、零灭绝联盟倡议、</w:t>
      </w:r>
      <w:r w:rsidRPr="000C3E10">
        <w:rPr>
          <w:rFonts w:eastAsia="Times New Roman"/>
          <w:sz w:val="24"/>
          <w:szCs w:val="24"/>
          <w:lang w:eastAsia="zh-CN"/>
        </w:rPr>
        <w:t>2020</w:t>
      </w:r>
      <w:r w:rsidRPr="000C3E10">
        <w:rPr>
          <w:rFonts w:eastAsia="Times New Roman" w:hAnsi="SimSun"/>
          <w:sz w:val="24"/>
          <w:szCs w:val="24"/>
          <w:lang w:eastAsia="zh-CN"/>
        </w:rPr>
        <w:t>年后全球生物多样性框架和资源调动。他强调了该集团在实现爱知目标</w:t>
      </w:r>
      <w:r w:rsidRPr="000C3E10">
        <w:rPr>
          <w:rFonts w:eastAsia="Times New Roman"/>
          <w:sz w:val="24"/>
          <w:szCs w:val="24"/>
          <w:lang w:eastAsia="zh-CN"/>
        </w:rPr>
        <w:t>11</w:t>
      </w:r>
      <w:r w:rsidRPr="000C3E10">
        <w:rPr>
          <w:rFonts w:eastAsia="Times New Roman" w:hAnsi="SimSun"/>
          <w:sz w:val="24"/>
          <w:szCs w:val="24"/>
          <w:lang w:eastAsia="zh-CN"/>
        </w:rPr>
        <w:t>方面取得的进展，并表示，该集团重申将发挥机制作用，以促进与《生物多样性公约》三项目标、其议定书以及其他与生物多样性和生态系统服务有关的国际论坛的共同利益和优先事项。</w:t>
      </w:r>
    </w:p>
    <w:p w:rsidR="008D76BF" w:rsidRPr="002A2E8B" w:rsidRDefault="008D76BF" w:rsidP="002A2E8B">
      <w:pPr>
        <w:pStyle w:val="Heading6"/>
        <w:tabs>
          <w:tab w:val="left" w:pos="720"/>
        </w:tabs>
        <w:adjustRightInd w:val="0"/>
        <w:snapToGrid w:val="0"/>
        <w:ind w:left="720" w:firstLine="0"/>
        <w:jc w:val="left"/>
        <w:rPr>
          <w:rFonts w:ascii="KaiTi" w:eastAsia="KaiTi" w:hAnsi="KaiTi"/>
          <w:snapToGrid w:val="0"/>
          <w:kern w:val="22"/>
          <w:sz w:val="24"/>
        </w:rPr>
      </w:pPr>
      <w:r w:rsidRPr="002A2E8B">
        <w:rPr>
          <w:rFonts w:ascii="KaiTi" w:eastAsia="KaiTi" w:hAnsi="KaiTi" w:hint="eastAsia"/>
          <w:snapToGrid w:val="0"/>
          <w:kern w:val="22"/>
          <w:sz w:val="24"/>
          <w:lang w:eastAsia="zh-CN"/>
        </w:rPr>
        <w:t>其他开幕词</w:t>
      </w:r>
    </w:p>
    <w:p w:rsidR="008D76BF" w:rsidRPr="00BA48C7" w:rsidRDefault="008D76BF" w:rsidP="002A2E8B">
      <w:pPr>
        <w:pStyle w:val="Para1"/>
        <w:numPr>
          <w:ilvl w:val="0"/>
          <w:numId w:val="7"/>
        </w:numPr>
        <w:tabs>
          <w:tab w:val="clear" w:pos="360"/>
          <w:tab w:val="left" w:pos="720"/>
        </w:tabs>
        <w:ind w:firstLine="0"/>
        <w:rPr>
          <w:rFonts w:eastAsia="Times New Roman"/>
          <w:sz w:val="24"/>
          <w:szCs w:val="24"/>
          <w:lang w:eastAsia="zh-CN"/>
        </w:rPr>
      </w:pPr>
      <w:r w:rsidRPr="00BA48C7">
        <w:rPr>
          <w:rFonts w:eastAsia="Times New Roman" w:hAnsi="SimSun"/>
          <w:color w:val="212121"/>
          <w:sz w:val="24"/>
          <w:szCs w:val="24"/>
          <w:lang w:val="en-US" w:eastAsia="zh-CN"/>
        </w:rPr>
        <w:t>土著妇女生物多样性网络的代表提请注意土著语言的丧失，这与通过提供对不同生态和文化系统的了解而与生物多样性直接相关。该网络关注的是继续将采矿、巨型水坝、采伐和开采扩大到他们的、为他们提供食物和传统医学的家园。妇女在手工艺、民族旅游和烹饪方面的传统知识有效地促进了一些土著社区的社会和经济发展，在没有引入外部产业或活动的情况下消除了贫困。她敦促在规划</w:t>
      </w:r>
      <w:r w:rsidRPr="00BA48C7">
        <w:rPr>
          <w:rFonts w:eastAsia="Times New Roman"/>
          <w:color w:val="212121"/>
          <w:sz w:val="24"/>
          <w:szCs w:val="24"/>
          <w:lang w:val="en-US" w:eastAsia="zh-CN"/>
        </w:rPr>
        <w:t>2020</w:t>
      </w:r>
      <w:r w:rsidRPr="00BA48C7">
        <w:rPr>
          <w:rFonts w:eastAsia="Times New Roman" w:hAnsi="SimSun"/>
          <w:color w:val="212121"/>
          <w:sz w:val="24"/>
          <w:szCs w:val="24"/>
          <w:lang w:val="en-US" w:eastAsia="zh-CN"/>
        </w:rPr>
        <w:t>年后议程时考虑这些事例。该网络对黑碳排放率和汞污染感到惊恐，在这方面土著妇女、政府和其他方面需要加强合作。不幸的是，一些国家没有承认土著人民，许多地区的土著妇女经历过各种形式的暴力。她欢迎在《公约》文件中提及自由、事先知情同意，因为土著妇女往往被剥夺了这项人权。土著语言、知识系统、认识论、宇宙学、土地和水域都是与地球建立整体关系的有力支持系统。</w:t>
      </w:r>
    </w:p>
    <w:p w:rsidR="008D76BF" w:rsidRPr="00A416C7" w:rsidRDefault="008D76BF" w:rsidP="002A2E8B">
      <w:pPr>
        <w:pStyle w:val="Para1"/>
        <w:numPr>
          <w:ilvl w:val="0"/>
          <w:numId w:val="7"/>
        </w:numPr>
        <w:tabs>
          <w:tab w:val="clear" w:pos="360"/>
          <w:tab w:val="left" w:pos="720"/>
        </w:tabs>
        <w:ind w:firstLine="0"/>
        <w:rPr>
          <w:sz w:val="24"/>
          <w:szCs w:val="24"/>
          <w:lang w:val="en-US" w:eastAsia="zh-CN"/>
        </w:rPr>
      </w:pPr>
      <w:r w:rsidRPr="00A416C7">
        <w:rPr>
          <w:rFonts w:ascii="SimSun" w:eastAsia="SimSun" w:hAnsi="SimSun" w:cs="SimSun" w:hint="eastAsia"/>
          <w:sz w:val="24"/>
          <w:szCs w:val="24"/>
          <w:lang w:eastAsia="zh-CN"/>
        </w:rPr>
        <w:t>国际生物多样性</w:t>
      </w:r>
      <w:r>
        <w:rPr>
          <w:rFonts w:ascii="SimSun" w:eastAsia="SimSun" w:hAnsi="SimSun" w:cs="SimSun" w:hint="eastAsia"/>
          <w:sz w:val="24"/>
          <w:szCs w:val="24"/>
          <w:lang w:eastAsia="zh-CN"/>
        </w:rPr>
        <w:t>土著</w:t>
      </w:r>
      <w:r w:rsidRPr="00A416C7">
        <w:rPr>
          <w:rFonts w:ascii="SimSun" w:eastAsia="SimSun" w:hAnsi="SimSun" w:cs="SimSun" w:hint="eastAsia"/>
          <w:sz w:val="24"/>
          <w:szCs w:val="24"/>
          <w:lang w:eastAsia="zh-CN"/>
        </w:rPr>
        <w:t>论坛</w:t>
      </w:r>
      <w:r>
        <w:rPr>
          <w:rFonts w:ascii="SimSun" w:eastAsia="SimSun" w:hAnsi="SimSun" w:cs="SimSun" w:hint="eastAsia"/>
          <w:sz w:val="24"/>
          <w:szCs w:val="24"/>
          <w:lang w:eastAsia="zh-CN"/>
        </w:rPr>
        <w:t>（</w:t>
      </w:r>
      <w:r w:rsidRPr="00A416C7">
        <w:rPr>
          <w:sz w:val="24"/>
          <w:szCs w:val="24"/>
          <w:lang w:eastAsia="zh-CN"/>
        </w:rPr>
        <w:t>IIFB</w:t>
      </w:r>
      <w:r>
        <w:rPr>
          <w:rFonts w:ascii="SimSun" w:eastAsia="SimSun" w:hAnsi="SimSun" w:cs="SimSun" w:hint="eastAsia"/>
          <w:sz w:val="24"/>
          <w:szCs w:val="24"/>
          <w:lang w:eastAsia="zh-CN"/>
        </w:rPr>
        <w:t>）</w:t>
      </w:r>
      <w:r w:rsidRPr="00A416C7">
        <w:rPr>
          <w:rFonts w:ascii="SimSun" w:eastAsia="SimSun" w:hAnsi="SimSun" w:cs="SimSun" w:hint="eastAsia"/>
          <w:sz w:val="24"/>
          <w:szCs w:val="24"/>
          <w:lang w:eastAsia="zh-CN"/>
        </w:rPr>
        <w:t>的代表感谢埃及</w:t>
      </w:r>
      <w:r>
        <w:rPr>
          <w:rFonts w:ascii="SimSun" w:eastAsia="SimSun" w:hAnsi="SimSun" w:cs="SimSun" w:hint="eastAsia"/>
          <w:sz w:val="24"/>
          <w:szCs w:val="24"/>
          <w:lang w:eastAsia="zh-CN"/>
        </w:rPr>
        <w:t>、</w:t>
      </w:r>
      <w:r w:rsidRPr="00A416C7">
        <w:rPr>
          <w:rFonts w:ascii="SimSun" w:eastAsia="SimSun" w:hAnsi="SimSun" w:cs="SimSun" w:hint="eastAsia"/>
          <w:sz w:val="24"/>
          <w:szCs w:val="24"/>
          <w:lang w:eastAsia="zh-CN"/>
        </w:rPr>
        <w:t>德国</w:t>
      </w:r>
      <w:r>
        <w:rPr>
          <w:rFonts w:ascii="SimSun" w:eastAsia="SimSun" w:hAnsi="SimSun" w:cs="SimSun" w:hint="eastAsia"/>
          <w:sz w:val="24"/>
          <w:szCs w:val="24"/>
          <w:lang w:eastAsia="zh-CN"/>
        </w:rPr>
        <w:t>、</w:t>
      </w:r>
      <w:r w:rsidRPr="00A416C7">
        <w:rPr>
          <w:rFonts w:ascii="SimSun" w:eastAsia="SimSun" w:hAnsi="SimSun" w:cs="SimSun" w:hint="eastAsia"/>
          <w:sz w:val="24"/>
          <w:szCs w:val="24"/>
          <w:lang w:eastAsia="zh-CN"/>
        </w:rPr>
        <w:t>墨西哥</w:t>
      </w:r>
      <w:r>
        <w:rPr>
          <w:rFonts w:ascii="SimSun" w:eastAsia="SimSun" w:hAnsi="SimSun" w:cs="SimSun" w:hint="eastAsia"/>
          <w:sz w:val="24"/>
          <w:szCs w:val="24"/>
          <w:lang w:eastAsia="zh-CN"/>
        </w:rPr>
        <w:t>、</w:t>
      </w:r>
      <w:r w:rsidRPr="00A416C7">
        <w:rPr>
          <w:rFonts w:ascii="SimSun" w:eastAsia="SimSun" w:hAnsi="SimSun" w:cs="SimSun" w:hint="eastAsia"/>
          <w:sz w:val="24"/>
          <w:szCs w:val="24"/>
          <w:lang w:eastAsia="zh-CN"/>
        </w:rPr>
        <w:t>新西兰和挪威政府为自愿基金捐款，以支持</w:t>
      </w:r>
      <w:r>
        <w:rPr>
          <w:rFonts w:ascii="SimSun" w:eastAsia="SimSun" w:hAnsi="SimSun" w:cs="SimSun" w:hint="eastAsia"/>
          <w:sz w:val="24"/>
          <w:szCs w:val="24"/>
          <w:lang w:eastAsia="zh-CN"/>
        </w:rPr>
        <w:t>土著</w:t>
      </w:r>
      <w:r w:rsidRPr="00A416C7">
        <w:rPr>
          <w:rFonts w:ascii="SimSun" w:eastAsia="SimSun" w:hAnsi="SimSun" w:cs="SimSun" w:hint="eastAsia"/>
          <w:sz w:val="24"/>
          <w:szCs w:val="24"/>
          <w:lang w:eastAsia="zh-CN"/>
        </w:rPr>
        <w:t>人民和</w:t>
      </w:r>
      <w:r>
        <w:rPr>
          <w:rFonts w:ascii="SimSun" w:eastAsia="SimSun" w:hAnsi="SimSun" w:cs="SimSun" w:hint="eastAsia"/>
          <w:sz w:val="24"/>
          <w:szCs w:val="24"/>
          <w:lang w:eastAsia="zh-CN"/>
        </w:rPr>
        <w:t>地方</w:t>
      </w:r>
      <w:r w:rsidRPr="00A416C7">
        <w:rPr>
          <w:rFonts w:ascii="SimSun" w:eastAsia="SimSun" w:hAnsi="SimSun" w:cs="SimSun" w:hint="eastAsia"/>
          <w:sz w:val="24"/>
          <w:szCs w:val="24"/>
          <w:lang w:eastAsia="zh-CN"/>
        </w:rPr>
        <w:t>社区参加本次会议</w:t>
      </w:r>
      <w:r>
        <w:rPr>
          <w:rFonts w:ascii="SimSun" w:eastAsia="SimSun" w:hAnsi="SimSun" w:cs="SimSun" w:hint="eastAsia"/>
          <w:sz w:val="24"/>
          <w:szCs w:val="24"/>
          <w:lang w:eastAsia="zh-CN"/>
        </w:rPr>
        <w:t>以及</w:t>
      </w:r>
      <w:r w:rsidRPr="00A416C7">
        <w:rPr>
          <w:sz w:val="24"/>
          <w:szCs w:val="24"/>
          <w:lang w:eastAsia="zh-CN"/>
        </w:rPr>
        <w:t>2018</w:t>
      </w:r>
      <w:r w:rsidRPr="00A416C7">
        <w:rPr>
          <w:rFonts w:ascii="SimSun" w:eastAsia="SimSun" w:hAnsi="SimSun" w:cs="SimSun" w:hint="eastAsia"/>
          <w:sz w:val="24"/>
          <w:szCs w:val="24"/>
          <w:lang w:eastAsia="zh-CN"/>
        </w:rPr>
        <w:t>年</w:t>
      </w:r>
      <w:r w:rsidRPr="00A416C7">
        <w:rPr>
          <w:sz w:val="24"/>
          <w:szCs w:val="24"/>
          <w:lang w:eastAsia="zh-CN"/>
        </w:rPr>
        <w:t>11</w:t>
      </w:r>
      <w:r w:rsidRPr="00A416C7">
        <w:rPr>
          <w:rFonts w:ascii="SimSun" w:eastAsia="SimSun" w:hAnsi="SimSun" w:cs="SimSun" w:hint="eastAsia"/>
          <w:sz w:val="24"/>
          <w:szCs w:val="24"/>
          <w:lang w:eastAsia="zh-CN"/>
        </w:rPr>
        <w:t>月</w:t>
      </w:r>
      <w:r w:rsidRPr="00A416C7">
        <w:rPr>
          <w:sz w:val="24"/>
          <w:szCs w:val="24"/>
          <w:lang w:eastAsia="zh-CN"/>
        </w:rPr>
        <w:t>22</w:t>
      </w:r>
      <w:r w:rsidRPr="00A416C7">
        <w:rPr>
          <w:rFonts w:ascii="SimSun" w:eastAsia="SimSun" w:hAnsi="SimSun" w:cs="SimSun" w:hint="eastAsia"/>
          <w:sz w:val="24"/>
          <w:szCs w:val="24"/>
          <w:lang w:eastAsia="zh-CN"/>
        </w:rPr>
        <w:t>日至</w:t>
      </w:r>
      <w:r w:rsidRPr="00A416C7">
        <w:rPr>
          <w:sz w:val="24"/>
          <w:szCs w:val="24"/>
          <w:lang w:eastAsia="zh-CN"/>
        </w:rPr>
        <w:t>24</w:t>
      </w:r>
      <w:r w:rsidRPr="00A416C7">
        <w:rPr>
          <w:rFonts w:ascii="SimSun" w:eastAsia="SimSun" w:hAnsi="SimSun" w:cs="SimSun" w:hint="eastAsia"/>
          <w:sz w:val="24"/>
          <w:szCs w:val="24"/>
          <w:lang w:eastAsia="zh-CN"/>
        </w:rPr>
        <w:t>日在沙姆沙伊赫举行的自然与文化</w:t>
      </w:r>
      <w:r>
        <w:rPr>
          <w:rFonts w:ascii="SimSun" w:eastAsia="SimSun" w:hAnsi="SimSun" w:cs="SimSun" w:hint="eastAsia"/>
          <w:sz w:val="24"/>
          <w:szCs w:val="24"/>
          <w:lang w:eastAsia="zh-CN"/>
        </w:rPr>
        <w:t>高峰会议</w:t>
      </w:r>
      <w:r w:rsidRPr="00A416C7">
        <w:rPr>
          <w:rFonts w:ascii="SimSun" w:eastAsia="SimSun" w:hAnsi="SimSun" w:cs="SimSun" w:hint="eastAsia"/>
          <w:sz w:val="24"/>
          <w:szCs w:val="24"/>
          <w:lang w:eastAsia="zh-CN"/>
        </w:rPr>
        <w:t>。</w:t>
      </w:r>
      <w:r>
        <w:rPr>
          <w:rFonts w:ascii="SimSun" w:eastAsia="SimSun" w:hAnsi="SimSun" w:cs="SimSun" w:hint="eastAsia"/>
          <w:sz w:val="24"/>
          <w:szCs w:val="24"/>
          <w:lang w:eastAsia="zh-CN"/>
        </w:rPr>
        <w:t>土著</w:t>
      </w:r>
      <w:r w:rsidRPr="00A416C7">
        <w:rPr>
          <w:rFonts w:ascii="SimSun" w:eastAsia="SimSun" w:hAnsi="SimSun" w:cs="SimSun" w:hint="eastAsia"/>
          <w:sz w:val="24"/>
          <w:szCs w:val="24"/>
          <w:lang w:eastAsia="zh-CN"/>
        </w:rPr>
        <w:t>和地方社区为保护生物多样性和实现可持续发展目标的全球战略提供了解决方案</w:t>
      </w:r>
      <w:r>
        <w:rPr>
          <w:rFonts w:ascii="SimSun" w:eastAsia="SimSun" w:hAnsi="SimSun" w:cs="SimSun" w:hint="eastAsia"/>
          <w:sz w:val="24"/>
          <w:szCs w:val="24"/>
          <w:lang w:eastAsia="zh-CN"/>
        </w:rPr>
        <w:t>；但</w:t>
      </w:r>
      <w:r w:rsidRPr="00A416C7">
        <w:rPr>
          <w:rFonts w:ascii="SimSun" w:eastAsia="SimSun" w:hAnsi="SimSun" w:cs="SimSun" w:hint="eastAsia"/>
          <w:sz w:val="24"/>
          <w:szCs w:val="24"/>
          <w:lang w:eastAsia="zh-CN"/>
        </w:rPr>
        <w:t>缺乏</w:t>
      </w:r>
      <w:r>
        <w:rPr>
          <w:rFonts w:ascii="SimSun" w:eastAsia="SimSun" w:hAnsi="SimSun" w:cs="SimSun" w:hint="eastAsia"/>
          <w:sz w:val="24"/>
          <w:szCs w:val="24"/>
          <w:lang w:eastAsia="zh-CN"/>
        </w:rPr>
        <w:t>让他们参与其事的</w:t>
      </w:r>
      <w:r w:rsidRPr="00A416C7">
        <w:rPr>
          <w:rFonts w:ascii="SimSun" w:eastAsia="SimSun" w:hAnsi="SimSun" w:cs="SimSun" w:hint="eastAsia"/>
          <w:sz w:val="24"/>
          <w:szCs w:val="24"/>
          <w:lang w:eastAsia="zh-CN"/>
        </w:rPr>
        <w:t>可持续</w:t>
      </w:r>
      <w:r>
        <w:rPr>
          <w:rFonts w:ascii="SimSun" w:eastAsia="SimSun" w:hAnsi="SimSun" w:cs="SimSun" w:hint="eastAsia"/>
          <w:sz w:val="24"/>
          <w:szCs w:val="24"/>
          <w:lang w:eastAsia="zh-CN"/>
        </w:rPr>
        <w:t>财务</w:t>
      </w:r>
      <w:r w:rsidRPr="00A416C7">
        <w:rPr>
          <w:rFonts w:ascii="SimSun" w:eastAsia="SimSun" w:hAnsi="SimSun" w:cs="SimSun" w:hint="eastAsia"/>
          <w:sz w:val="24"/>
          <w:szCs w:val="24"/>
          <w:lang w:eastAsia="zh-CN"/>
        </w:rPr>
        <w:t>机制</w:t>
      </w:r>
      <w:r>
        <w:rPr>
          <w:rFonts w:ascii="SimSun" w:eastAsia="SimSun" w:hAnsi="SimSun" w:cs="SimSun" w:hint="eastAsia"/>
          <w:sz w:val="24"/>
          <w:szCs w:val="24"/>
          <w:lang w:eastAsia="zh-CN"/>
        </w:rPr>
        <w:t>，对他们是一项挑战</w:t>
      </w:r>
      <w:r w:rsidRPr="00A416C7">
        <w:rPr>
          <w:rFonts w:ascii="SimSun" w:eastAsia="SimSun" w:hAnsi="SimSun" w:cs="SimSun" w:hint="eastAsia"/>
          <w:sz w:val="24"/>
          <w:szCs w:val="24"/>
          <w:lang w:eastAsia="zh-CN"/>
        </w:rPr>
        <w:t>。</w:t>
      </w:r>
      <w:r>
        <w:rPr>
          <w:rFonts w:ascii="SimSun" w:eastAsia="SimSun" w:hAnsi="SimSun" w:cs="SimSun" w:hint="eastAsia"/>
          <w:sz w:val="24"/>
          <w:szCs w:val="24"/>
          <w:lang w:eastAsia="zh-CN"/>
        </w:rPr>
        <w:t>土著</w:t>
      </w:r>
      <w:r w:rsidRPr="00A416C7">
        <w:rPr>
          <w:rFonts w:ascii="SimSun" w:eastAsia="SimSun" w:hAnsi="SimSun" w:cs="SimSun" w:hint="eastAsia"/>
          <w:sz w:val="24"/>
          <w:szCs w:val="24"/>
          <w:lang w:eastAsia="zh-CN"/>
        </w:rPr>
        <w:t>人民关切生物多样性的丧失</w:t>
      </w:r>
      <w:r>
        <w:rPr>
          <w:rFonts w:ascii="SimSun" w:eastAsia="SimSun" w:hAnsi="SimSun" w:cs="SimSun" w:hint="eastAsia"/>
          <w:sz w:val="24"/>
          <w:szCs w:val="24"/>
          <w:lang w:eastAsia="zh-CN"/>
        </w:rPr>
        <w:t>，关切</w:t>
      </w:r>
      <w:r w:rsidRPr="00A416C7">
        <w:rPr>
          <w:rFonts w:ascii="SimSun" w:eastAsia="SimSun" w:hAnsi="SimSun" w:cs="SimSun" w:hint="eastAsia"/>
          <w:sz w:val="24"/>
          <w:szCs w:val="24"/>
          <w:lang w:eastAsia="zh-CN"/>
        </w:rPr>
        <w:t>在捍卫自然</w:t>
      </w:r>
      <w:r>
        <w:rPr>
          <w:rFonts w:ascii="SimSun" w:eastAsia="SimSun" w:hAnsi="SimSun" w:cs="SimSun" w:hint="eastAsia"/>
          <w:sz w:val="24"/>
          <w:szCs w:val="24"/>
          <w:lang w:eastAsia="zh-CN"/>
        </w:rPr>
        <w:t>时</w:t>
      </w:r>
      <w:r w:rsidRPr="00A416C7">
        <w:rPr>
          <w:rFonts w:ascii="SimSun" w:eastAsia="SimSun" w:hAnsi="SimSun" w:cs="SimSun" w:hint="eastAsia"/>
          <w:sz w:val="24"/>
          <w:szCs w:val="24"/>
          <w:lang w:eastAsia="zh-CN"/>
        </w:rPr>
        <w:t>面临的危险，但他们愿意努力</w:t>
      </w:r>
      <w:r>
        <w:rPr>
          <w:rFonts w:ascii="SimSun" w:eastAsia="SimSun" w:hAnsi="SimSun" w:cs="SimSun" w:hint="eastAsia"/>
          <w:sz w:val="24"/>
          <w:szCs w:val="24"/>
          <w:lang w:eastAsia="zh-CN"/>
        </w:rPr>
        <w:t>工作，以</w:t>
      </w:r>
      <w:r w:rsidRPr="00A416C7">
        <w:rPr>
          <w:rFonts w:ascii="SimSun" w:eastAsia="SimSun" w:hAnsi="SimSun" w:cs="SimSun" w:hint="eastAsia"/>
          <w:sz w:val="24"/>
          <w:szCs w:val="24"/>
          <w:lang w:eastAsia="zh-CN"/>
        </w:rPr>
        <w:t>确保在制定</w:t>
      </w:r>
      <w:r w:rsidRPr="00A416C7">
        <w:rPr>
          <w:sz w:val="24"/>
          <w:szCs w:val="24"/>
          <w:lang w:eastAsia="zh-CN"/>
        </w:rPr>
        <w:t>2020</w:t>
      </w:r>
      <w:r w:rsidRPr="00A416C7">
        <w:rPr>
          <w:rFonts w:ascii="SimSun" w:eastAsia="SimSun" w:hAnsi="SimSun" w:cs="SimSun" w:hint="eastAsia"/>
          <w:sz w:val="24"/>
          <w:szCs w:val="24"/>
          <w:lang w:eastAsia="zh-CN"/>
        </w:rPr>
        <w:t>年后</w:t>
      </w:r>
      <w:r w:rsidR="00823C45">
        <w:rPr>
          <w:rFonts w:ascii="SimSun" w:eastAsia="SimSun" w:hAnsi="SimSun" w:cs="SimSun" w:hint="eastAsia"/>
          <w:sz w:val="24"/>
          <w:szCs w:val="24"/>
          <w:lang w:eastAsia="zh-CN"/>
        </w:rPr>
        <w:t>全球</w:t>
      </w:r>
      <w:r w:rsidRPr="00A416C7">
        <w:rPr>
          <w:rFonts w:ascii="SimSun" w:eastAsia="SimSun" w:hAnsi="SimSun" w:cs="SimSun" w:hint="eastAsia"/>
          <w:sz w:val="24"/>
          <w:szCs w:val="24"/>
          <w:lang w:eastAsia="zh-CN"/>
        </w:rPr>
        <w:t>生物多样性框架方面取得成功，并建立真正的伙伴关系，</w:t>
      </w:r>
      <w:r>
        <w:rPr>
          <w:rFonts w:ascii="SimSun" w:eastAsia="SimSun" w:hAnsi="SimSun" w:cs="SimSun" w:hint="eastAsia"/>
          <w:sz w:val="24"/>
          <w:szCs w:val="24"/>
          <w:lang w:eastAsia="zh-CN"/>
        </w:rPr>
        <w:t>从而</w:t>
      </w:r>
      <w:r w:rsidRPr="00A416C7">
        <w:rPr>
          <w:rFonts w:ascii="SimSun" w:eastAsia="SimSun" w:hAnsi="SimSun" w:cs="SimSun" w:hint="eastAsia"/>
          <w:sz w:val="24"/>
          <w:szCs w:val="24"/>
          <w:lang w:eastAsia="zh-CN"/>
        </w:rPr>
        <w:t>实现</w:t>
      </w:r>
      <w:r w:rsidRPr="00BA48C7">
        <w:rPr>
          <w:rFonts w:eastAsia="Times New Roman"/>
          <w:sz w:val="24"/>
          <w:szCs w:val="24"/>
          <w:lang w:eastAsia="zh-CN"/>
        </w:rPr>
        <w:t>2050</w:t>
      </w:r>
      <w:r>
        <w:rPr>
          <w:rFonts w:ascii="SimSun" w:eastAsia="SimSun" w:hAnsi="SimSun" w:cs="SimSun" w:hint="eastAsia"/>
          <w:sz w:val="24"/>
          <w:szCs w:val="24"/>
          <w:lang w:eastAsia="zh-CN"/>
        </w:rPr>
        <w:t>年</w:t>
      </w:r>
      <w:r w:rsidRPr="00A416C7">
        <w:rPr>
          <w:rFonts w:ascii="SimSun" w:eastAsia="SimSun" w:hAnsi="SimSun" w:cs="SimSun" w:hint="eastAsia"/>
          <w:sz w:val="24"/>
          <w:szCs w:val="24"/>
          <w:lang w:eastAsia="zh-CN"/>
        </w:rPr>
        <w:t>与自然和谐相处</w:t>
      </w:r>
      <w:r>
        <w:rPr>
          <w:rFonts w:ascii="SimSun" w:eastAsia="SimSun" w:hAnsi="SimSun" w:cs="SimSun" w:hint="eastAsia"/>
          <w:sz w:val="24"/>
          <w:szCs w:val="24"/>
          <w:lang w:eastAsia="zh-CN"/>
        </w:rPr>
        <w:t>的</w:t>
      </w:r>
      <w:r w:rsidRPr="00A416C7">
        <w:rPr>
          <w:rFonts w:ascii="SimSun" w:eastAsia="SimSun" w:hAnsi="SimSun" w:cs="SimSun" w:hint="eastAsia"/>
          <w:sz w:val="24"/>
          <w:szCs w:val="24"/>
          <w:lang w:eastAsia="zh-CN"/>
        </w:rPr>
        <w:t>愿景。</w:t>
      </w:r>
    </w:p>
    <w:p w:rsidR="008D76BF" w:rsidRPr="00BA48C7" w:rsidRDefault="008D76BF" w:rsidP="002A2E8B">
      <w:pPr>
        <w:pStyle w:val="Para1"/>
        <w:numPr>
          <w:ilvl w:val="0"/>
          <w:numId w:val="7"/>
        </w:numPr>
        <w:tabs>
          <w:tab w:val="clear" w:pos="360"/>
          <w:tab w:val="left" w:pos="720"/>
        </w:tabs>
        <w:ind w:firstLine="0"/>
        <w:rPr>
          <w:sz w:val="24"/>
          <w:szCs w:val="24"/>
          <w:lang w:eastAsia="zh-CN"/>
        </w:rPr>
      </w:pPr>
      <w:r w:rsidRPr="00BA48C7">
        <w:rPr>
          <w:rFonts w:ascii="SimSun" w:eastAsia="SimSun" w:hAnsi="SimSun" w:cs="SimSun" w:hint="eastAsia"/>
          <w:sz w:val="24"/>
          <w:szCs w:val="24"/>
          <w:lang w:eastAsia="zh-CN"/>
        </w:rPr>
        <w:t>生物多样性公约联盟的代表说，地球再生能力有限，这一点应得到尊重。需要进行重大系统性变革，这意味着就破坏自然的活动商定出具体的、有时限的限制。主流化不应用来为大公司开脱其责，大规模污染方不应左右政策，各国也不应利用本次会议来洗清他们的形象。各企业必须通过履约机制对其造成的损害负责。自然不是货币商品，</w:t>
      </w:r>
      <w:r w:rsidRPr="00BA48C7">
        <w:rPr>
          <w:rFonts w:ascii="SimSun" w:eastAsia="SimSun" w:hAnsi="SimSun" w:cs="SimSun" w:hint="eastAsia"/>
          <w:sz w:val="24"/>
          <w:lang w:val="en-US" w:eastAsia="zh-CN"/>
        </w:rPr>
        <w:t>抵消对生物多样性危害办法</w:t>
      </w:r>
      <w:r w:rsidRPr="00BA48C7">
        <w:rPr>
          <w:rFonts w:ascii="SimSun" w:eastAsia="SimSun" w:hAnsi="SimSun" w:cs="SimSun" w:hint="eastAsia"/>
          <w:sz w:val="24"/>
          <w:szCs w:val="24"/>
          <w:lang w:eastAsia="zh-CN"/>
        </w:rPr>
        <w:t>等虚假的解决方案应该休矣。必须取消对所有破坏环境的部门的投资，缔约方必须批准并执行避免和管理利益冲突的程序。发展系统造成的不平等和权力不对称不能再继续下去了，</w:t>
      </w:r>
      <w:r w:rsidRPr="00BA48C7">
        <w:rPr>
          <w:sz w:val="24"/>
          <w:szCs w:val="24"/>
          <w:lang w:eastAsia="zh-CN"/>
        </w:rPr>
        <w:t>2020</w:t>
      </w:r>
      <w:r w:rsidRPr="00BA48C7">
        <w:rPr>
          <w:rFonts w:ascii="SimSun" w:eastAsia="SimSun" w:hAnsi="SimSun" w:cs="SimSun" w:hint="eastAsia"/>
          <w:sz w:val="24"/>
          <w:szCs w:val="24"/>
          <w:lang w:eastAsia="zh-CN"/>
        </w:rPr>
        <w:t>年后的努力必须由妇女、土著人民和当地社区以及青年等利益攸关方领导，他们都已受到目前不作为的影响：他们有权获得拨乱反正。必须采用预防原则，必须加强事先知情同意；必须停止将遗传基因灭绝技术</w:t>
      </w:r>
      <w:r>
        <w:rPr>
          <w:rFonts w:ascii="SimSun" w:eastAsia="SimSun" w:hAnsi="SimSun" w:cs="SimSun" w:hint="eastAsia"/>
          <w:sz w:val="24"/>
          <w:szCs w:val="24"/>
          <w:lang w:eastAsia="zh-CN"/>
        </w:rPr>
        <w:t>（</w:t>
      </w:r>
      <w:r w:rsidRPr="00BA48C7">
        <w:rPr>
          <w:rFonts w:ascii="SimSun" w:eastAsia="SimSun" w:hAnsi="SimSun" w:cs="SimSun" w:hint="eastAsia"/>
          <w:sz w:val="24"/>
          <w:szCs w:val="24"/>
          <w:lang w:eastAsia="zh-CN"/>
        </w:rPr>
        <w:t>基因驱动</w:t>
      </w:r>
      <w:r>
        <w:rPr>
          <w:rFonts w:ascii="SimSun" w:eastAsia="SimSun" w:hAnsi="SimSun" w:cs="SimSun" w:hint="eastAsia"/>
          <w:sz w:val="24"/>
          <w:szCs w:val="24"/>
          <w:lang w:eastAsia="zh-CN"/>
        </w:rPr>
        <w:t>）</w:t>
      </w:r>
      <w:r w:rsidRPr="00BA48C7">
        <w:rPr>
          <w:rFonts w:ascii="SimSun" w:eastAsia="SimSun" w:hAnsi="SimSun" w:cs="SimSun" w:hint="eastAsia"/>
          <w:sz w:val="24"/>
          <w:szCs w:val="24"/>
          <w:lang w:eastAsia="zh-CN"/>
        </w:rPr>
        <w:t>公诸于众的做法。在没有惠益分享的情况下使用数字序列信息，既不公平又存在长期威胁。敦促各缔约方建立更加公平的系统，并呼吁重新设立</w:t>
      </w:r>
      <w:r w:rsidRPr="00BA48C7">
        <w:rPr>
          <w:rFonts w:ascii="SimSun" w:eastAsia="SimSun" w:hAnsi="SimSun" w:cs="SimSun" w:hint="eastAsia"/>
          <w:sz w:val="24"/>
          <w:lang w:val="en-US" w:eastAsia="zh-CN"/>
        </w:rPr>
        <w:t>风险评估问题特设技术专家组</w:t>
      </w:r>
      <w:r w:rsidRPr="00BA48C7">
        <w:rPr>
          <w:rFonts w:ascii="SimSun" w:eastAsia="SimSun" w:hAnsi="SimSun" w:cs="SimSun" w:hint="eastAsia"/>
          <w:sz w:val="24"/>
          <w:szCs w:val="24"/>
          <w:lang w:eastAsia="zh-CN"/>
        </w:rPr>
        <w:t>。据估计，世界上尚存生物多样性中，</w:t>
      </w:r>
      <w:r w:rsidRPr="00BA48C7">
        <w:rPr>
          <w:sz w:val="24"/>
          <w:szCs w:val="24"/>
          <w:lang w:eastAsia="zh-CN"/>
        </w:rPr>
        <w:t>80</w:t>
      </w:r>
      <w:r w:rsidRPr="00BA48C7">
        <w:rPr>
          <w:rFonts w:ascii="SimSun" w:eastAsia="SimSun" w:hAnsi="SimSun" w:cs="SimSun" w:hint="eastAsia"/>
          <w:sz w:val="24"/>
          <w:szCs w:val="24"/>
          <w:lang w:eastAsia="zh-CN"/>
        </w:rPr>
        <w:t>％是在</w:t>
      </w:r>
      <w:r w:rsidRPr="00BA48C7">
        <w:rPr>
          <w:rFonts w:ascii="SimSun" w:eastAsia="SimSun" w:hAnsi="SimSun" w:cs="SimSun" w:hint="eastAsia"/>
          <w:sz w:val="24"/>
          <w:szCs w:val="24"/>
          <w:lang w:eastAsia="zh-CN"/>
        </w:rPr>
        <w:lastRenderedPageBreak/>
        <w:t>土著人民和地方社区的领土和土地上发现，必须</w:t>
      </w:r>
      <w:r w:rsidR="009D782B">
        <w:rPr>
          <w:rFonts w:ascii="SimSun" w:eastAsia="SimSun" w:hAnsi="SimSun" w:cs="SimSun" w:hint="eastAsia"/>
          <w:sz w:val="24"/>
          <w:szCs w:val="24"/>
          <w:lang w:eastAsia="zh-CN"/>
        </w:rPr>
        <w:t>加强</w:t>
      </w:r>
      <w:r w:rsidRPr="00BA48C7">
        <w:rPr>
          <w:rFonts w:ascii="SimSun" w:eastAsia="SimSun" w:hAnsi="SimSun" w:cs="SimSun" w:hint="eastAsia"/>
          <w:sz w:val="24"/>
          <w:szCs w:val="24"/>
          <w:lang w:eastAsia="zh-CN"/>
        </w:rPr>
        <w:t>努力支持这些社区集体治理、管理、保护和养护其领土的努力。</w:t>
      </w:r>
    </w:p>
    <w:p w:rsidR="008D76BF" w:rsidRPr="00492ACE" w:rsidRDefault="008D76BF" w:rsidP="002A2E8B">
      <w:pPr>
        <w:pStyle w:val="Para1"/>
        <w:numPr>
          <w:ilvl w:val="0"/>
          <w:numId w:val="7"/>
        </w:numPr>
        <w:tabs>
          <w:tab w:val="clear" w:pos="360"/>
          <w:tab w:val="left" w:pos="720"/>
        </w:tabs>
        <w:ind w:firstLine="0"/>
        <w:rPr>
          <w:sz w:val="24"/>
          <w:szCs w:val="24"/>
          <w:lang w:eastAsia="zh-CN"/>
        </w:rPr>
      </w:pPr>
      <w:r w:rsidRPr="00F508E9">
        <w:rPr>
          <w:rFonts w:ascii="SimSun" w:eastAsia="SimSun" w:hAnsi="SimSun" w:cs="SimSun" w:hint="eastAsia"/>
          <w:spacing w:val="-2"/>
          <w:sz w:val="24"/>
          <w:szCs w:val="24"/>
          <w:lang w:eastAsia="de-DE"/>
        </w:rPr>
        <w:t>全球青年生物多样性网络</w:t>
      </w:r>
      <w:r>
        <w:rPr>
          <w:rFonts w:ascii="SimSun" w:eastAsia="SimSun" w:hAnsi="SimSun" w:cs="SimSun" w:hint="eastAsia"/>
          <w:spacing w:val="-2"/>
          <w:sz w:val="24"/>
          <w:szCs w:val="24"/>
          <w:lang w:eastAsia="de-DE"/>
        </w:rPr>
        <w:t>（</w:t>
      </w:r>
      <w:r w:rsidRPr="00F508E9">
        <w:rPr>
          <w:spacing w:val="-2"/>
          <w:sz w:val="24"/>
          <w:szCs w:val="24"/>
          <w:lang w:eastAsia="de-DE"/>
        </w:rPr>
        <w:t>GBYN</w:t>
      </w:r>
      <w:r>
        <w:rPr>
          <w:rFonts w:ascii="SimSun" w:eastAsia="SimSun" w:hAnsi="SimSun" w:cs="SimSun" w:hint="eastAsia"/>
          <w:spacing w:val="-2"/>
          <w:sz w:val="24"/>
          <w:szCs w:val="24"/>
          <w:lang w:eastAsia="de-DE"/>
        </w:rPr>
        <w:t>）</w:t>
      </w:r>
      <w:r w:rsidRPr="00F508E9">
        <w:rPr>
          <w:rFonts w:ascii="SimSun" w:eastAsia="SimSun" w:hAnsi="SimSun" w:cs="SimSun" w:hint="eastAsia"/>
          <w:spacing w:val="-2"/>
          <w:sz w:val="24"/>
          <w:szCs w:val="24"/>
          <w:lang w:eastAsia="de-DE"/>
        </w:rPr>
        <w:t>的代表说，全球政治经济</w:t>
      </w:r>
      <w:r w:rsidRPr="00F508E9">
        <w:rPr>
          <w:rFonts w:ascii="SimSun" w:eastAsia="SimSun" w:hAnsi="SimSun" w:cs="SimSun" w:hint="eastAsia"/>
          <w:spacing w:val="-2"/>
          <w:sz w:val="24"/>
          <w:szCs w:val="24"/>
          <w:lang w:eastAsia="zh-CN"/>
        </w:rPr>
        <w:t>加重了</w:t>
      </w:r>
      <w:r w:rsidRPr="00F508E9">
        <w:rPr>
          <w:rFonts w:ascii="SimSun" w:eastAsia="SimSun" w:hAnsi="SimSun" w:cs="SimSun" w:hint="eastAsia"/>
          <w:spacing w:val="-2"/>
          <w:sz w:val="24"/>
          <w:szCs w:val="24"/>
          <w:lang w:eastAsia="de-DE"/>
        </w:rPr>
        <w:t>不平等和权力不对称</w:t>
      </w:r>
      <w:r w:rsidRPr="00F508E9">
        <w:rPr>
          <w:rFonts w:ascii="SimSun" w:eastAsia="SimSun" w:hAnsi="SimSun" w:cs="SimSun" w:hint="eastAsia"/>
          <w:spacing w:val="-2"/>
          <w:sz w:val="24"/>
          <w:szCs w:val="24"/>
          <w:lang w:eastAsia="zh-CN"/>
        </w:rPr>
        <w:t>现象，基于</w:t>
      </w:r>
      <w:r w:rsidRPr="00F508E9">
        <w:rPr>
          <w:rFonts w:ascii="SimSun" w:eastAsia="SimSun" w:hAnsi="SimSun" w:cs="SimSun" w:hint="eastAsia"/>
          <w:spacing w:val="-2"/>
          <w:sz w:val="24"/>
          <w:szCs w:val="24"/>
          <w:lang w:eastAsia="de-DE"/>
        </w:rPr>
        <w:t>恐惧和镇压的治理模式</w:t>
      </w:r>
      <w:r w:rsidRPr="00F508E9">
        <w:rPr>
          <w:rFonts w:ascii="SimSun" w:eastAsia="SimSun" w:hAnsi="SimSun" w:cs="SimSun" w:hint="eastAsia"/>
          <w:spacing w:val="-2"/>
          <w:sz w:val="24"/>
          <w:szCs w:val="24"/>
          <w:lang w:eastAsia="zh-CN"/>
        </w:rPr>
        <w:t>广为采纳</w:t>
      </w:r>
      <w:r w:rsidRPr="00F508E9">
        <w:rPr>
          <w:rFonts w:ascii="SimSun" w:eastAsia="SimSun" w:hAnsi="SimSun" w:cs="SimSun" w:hint="eastAsia"/>
          <w:spacing w:val="-2"/>
          <w:sz w:val="24"/>
          <w:szCs w:val="24"/>
          <w:lang w:eastAsia="de-DE"/>
        </w:rPr>
        <w:t>。</w:t>
      </w:r>
      <w:r w:rsidRPr="00F508E9">
        <w:rPr>
          <w:rFonts w:ascii="SimSun" w:eastAsia="SimSun" w:hAnsi="SimSun" w:cs="SimSun" w:hint="eastAsia"/>
          <w:spacing w:val="-2"/>
          <w:sz w:val="24"/>
          <w:szCs w:val="24"/>
          <w:lang w:eastAsia="zh-CN"/>
        </w:rPr>
        <w:t>这种制度</w:t>
      </w:r>
      <w:r w:rsidRPr="00F508E9">
        <w:rPr>
          <w:rFonts w:ascii="SimSun" w:eastAsia="SimSun" w:hAnsi="SimSun" w:cs="SimSun" w:hint="eastAsia"/>
          <w:spacing w:val="-2"/>
          <w:sz w:val="24"/>
          <w:szCs w:val="24"/>
          <w:lang w:eastAsia="de-DE"/>
        </w:rPr>
        <w:t>是造成生物多样性丧失的根本原因，</w:t>
      </w:r>
      <w:r w:rsidRPr="00492ACE">
        <w:rPr>
          <w:rFonts w:ascii="SimSun" w:eastAsia="SimSun" w:hAnsi="SimSun" w:cs="SimSun" w:hint="eastAsia"/>
          <w:sz w:val="24"/>
          <w:szCs w:val="24"/>
          <w:lang w:eastAsia="de-DE"/>
        </w:rPr>
        <w:t>其直接影响是青年</w:t>
      </w:r>
      <w:r>
        <w:rPr>
          <w:rFonts w:ascii="SimSun" w:eastAsia="SimSun" w:hAnsi="SimSun" w:cs="SimSun" w:hint="eastAsia"/>
          <w:sz w:val="24"/>
          <w:szCs w:val="24"/>
          <w:lang w:eastAsia="zh-CN"/>
        </w:rPr>
        <w:t>、</w:t>
      </w:r>
      <w:r w:rsidRPr="00492ACE">
        <w:rPr>
          <w:rFonts w:ascii="SimSun" w:eastAsia="SimSun" w:hAnsi="SimSun" w:cs="SimSun" w:hint="eastAsia"/>
          <w:sz w:val="24"/>
          <w:szCs w:val="24"/>
          <w:lang w:eastAsia="de-DE"/>
        </w:rPr>
        <w:t>妇女</w:t>
      </w:r>
      <w:r>
        <w:rPr>
          <w:rFonts w:ascii="SimSun" w:eastAsia="SimSun" w:hAnsi="SimSun" w:cs="SimSun" w:hint="eastAsia"/>
          <w:sz w:val="24"/>
          <w:szCs w:val="24"/>
          <w:lang w:eastAsia="zh-CN"/>
        </w:rPr>
        <w:t>、土著</w:t>
      </w:r>
      <w:r w:rsidRPr="00492ACE">
        <w:rPr>
          <w:rFonts w:ascii="SimSun" w:eastAsia="SimSun" w:hAnsi="SimSun" w:cs="SimSun" w:hint="eastAsia"/>
          <w:sz w:val="24"/>
          <w:szCs w:val="24"/>
          <w:lang w:eastAsia="de-DE"/>
        </w:rPr>
        <w:t>人民和</w:t>
      </w:r>
      <w:r>
        <w:rPr>
          <w:rFonts w:ascii="SimSun" w:eastAsia="SimSun" w:hAnsi="SimSun" w:cs="SimSun" w:hint="eastAsia"/>
          <w:sz w:val="24"/>
          <w:szCs w:val="24"/>
          <w:lang w:eastAsia="zh-CN"/>
        </w:rPr>
        <w:t>地方</w:t>
      </w:r>
      <w:r w:rsidRPr="00492ACE">
        <w:rPr>
          <w:rFonts w:ascii="SimSun" w:eastAsia="SimSun" w:hAnsi="SimSun" w:cs="SimSun" w:hint="eastAsia"/>
          <w:sz w:val="24"/>
          <w:szCs w:val="24"/>
          <w:lang w:eastAsia="de-DE"/>
        </w:rPr>
        <w:t>社区等弱势群体的边缘化。年轻妇女和男子正在抵制不公平政治制度的威胁，并展示如何通过生物多样性来繁荣发展。他们对政治领导人失去信心，希望有效参与</w:t>
      </w:r>
      <w:r>
        <w:rPr>
          <w:rFonts w:ascii="SimSun" w:eastAsia="SimSun" w:hAnsi="SimSun" w:cs="SimSun" w:hint="eastAsia"/>
          <w:sz w:val="24"/>
          <w:szCs w:val="24"/>
          <w:lang w:eastAsia="zh-CN"/>
        </w:rPr>
        <w:t>规划</w:t>
      </w:r>
      <w:r w:rsidRPr="00492ACE">
        <w:rPr>
          <w:sz w:val="24"/>
          <w:szCs w:val="24"/>
          <w:lang w:eastAsia="de-DE"/>
        </w:rPr>
        <w:t>2020</w:t>
      </w:r>
      <w:r w:rsidRPr="00492ACE">
        <w:rPr>
          <w:rFonts w:ascii="SimSun" w:eastAsia="SimSun" w:hAnsi="SimSun" w:cs="SimSun" w:hint="eastAsia"/>
          <w:sz w:val="24"/>
          <w:szCs w:val="24"/>
          <w:lang w:eastAsia="de-DE"/>
        </w:rPr>
        <w:t>年后生物多样性议程的所有进程。她呼吁各国政府将青年视为设计</w:t>
      </w:r>
      <w:r>
        <w:rPr>
          <w:rFonts w:ascii="SimSun" w:eastAsia="SimSun" w:hAnsi="SimSun" w:cs="SimSun" w:hint="eastAsia"/>
          <w:sz w:val="24"/>
          <w:szCs w:val="24"/>
          <w:lang w:eastAsia="zh-CN"/>
        </w:rPr>
        <w:t>、</w:t>
      </w:r>
      <w:r w:rsidR="00B47408">
        <w:rPr>
          <w:rFonts w:ascii="SimSun" w:eastAsia="SimSun" w:hAnsi="SimSun" w:cs="SimSun" w:hint="eastAsia"/>
          <w:sz w:val="24"/>
          <w:szCs w:val="24"/>
          <w:lang w:eastAsia="zh-CN"/>
        </w:rPr>
        <w:t>实施</w:t>
      </w:r>
      <w:r w:rsidRPr="00492ACE">
        <w:rPr>
          <w:rFonts w:ascii="SimSun" w:eastAsia="SimSun" w:hAnsi="SimSun" w:cs="SimSun" w:hint="eastAsia"/>
          <w:sz w:val="24"/>
          <w:szCs w:val="24"/>
          <w:lang w:eastAsia="de-DE"/>
        </w:rPr>
        <w:t>和报告</w:t>
      </w:r>
      <w:r>
        <w:rPr>
          <w:rFonts w:ascii="SimSun" w:eastAsia="SimSun" w:hAnsi="SimSun" w:cs="SimSun" w:hint="eastAsia"/>
          <w:sz w:val="24"/>
          <w:szCs w:val="24"/>
          <w:lang w:eastAsia="zh-CN"/>
        </w:rPr>
        <w:t>各国</w:t>
      </w:r>
      <w:r w:rsidRPr="00492ACE">
        <w:rPr>
          <w:rFonts w:ascii="SimSun" w:eastAsia="SimSun" w:hAnsi="SimSun" w:cs="SimSun" w:hint="eastAsia"/>
          <w:sz w:val="24"/>
          <w:szCs w:val="24"/>
          <w:lang w:eastAsia="de-DE"/>
        </w:rPr>
        <w:t>执行</w:t>
      </w:r>
      <w:r>
        <w:rPr>
          <w:rFonts w:ascii="SimSun" w:eastAsia="SimSun" w:hAnsi="SimSun" w:cs="SimSun" w:hint="eastAsia"/>
          <w:sz w:val="24"/>
          <w:szCs w:val="24"/>
          <w:lang w:eastAsia="zh-CN"/>
        </w:rPr>
        <w:t>《</w:t>
      </w:r>
      <w:r w:rsidRPr="00492ACE">
        <w:rPr>
          <w:rFonts w:ascii="SimSun" w:eastAsia="SimSun" w:hAnsi="SimSun" w:cs="SimSun" w:hint="eastAsia"/>
          <w:sz w:val="24"/>
          <w:szCs w:val="24"/>
          <w:lang w:eastAsia="de-DE"/>
        </w:rPr>
        <w:t>公约</w:t>
      </w:r>
      <w:r>
        <w:rPr>
          <w:rFonts w:ascii="SimSun" w:eastAsia="SimSun" w:hAnsi="SimSun" w:cs="SimSun" w:hint="eastAsia"/>
          <w:sz w:val="24"/>
          <w:szCs w:val="24"/>
          <w:lang w:eastAsia="zh-CN"/>
        </w:rPr>
        <w:t>》</w:t>
      </w:r>
      <w:r w:rsidRPr="00492ACE">
        <w:rPr>
          <w:rFonts w:ascii="SimSun" w:eastAsia="SimSun" w:hAnsi="SimSun" w:cs="SimSun" w:hint="eastAsia"/>
          <w:sz w:val="24"/>
          <w:szCs w:val="24"/>
          <w:lang w:eastAsia="de-DE"/>
        </w:rPr>
        <w:t>举措的战略伙伴。全球青年生物多样性网络最近举办了五次青年能力建设</w:t>
      </w:r>
      <w:r>
        <w:rPr>
          <w:rFonts w:ascii="SimSun" w:eastAsia="SimSun" w:hAnsi="SimSun" w:cs="SimSun" w:hint="eastAsia"/>
          <w:sz w:val="24"/>
          <w:szCs w:val="24"/>
          <w:lang w:eastAsia="zh-CN"/>
        </w:rPr>
        <w:t>区域</w:t>
      </w:r>
      <w:r w:rsidRPr="00492ACE">
        <w:rPr>
          <w:rFonts w:ascii="SimSun" w:eastAsia="SimSun" w:hAnsi="SimSun" w:cs="SimSun" w:hint="eastAsia"/>
          <w:sz w:val="24"/>
          <w:szCs w:val="24"/>
          <w:lang w:eastAsia="de-DE"/>
        </w:rPr>
        <w:t>研讨会，计划在</w:t>
      </w:r>
      <w:r w:rsidRPr="00492ACE">
        <w:rPr>
          <w:sz w:val="24"/>
          <w:szCs w:val="24"/>
          <w:lang w:eastAsia="de-DE"/>
        </w:rPr>
        <w:t>2019</w:t>
      </w:r>
      <w:r w:rsidRPr="00492ACE">
        <w:rPr>
          <w:rFonts w:ascii="SimSun" w:eastAsia="SimSun" w:hAnsi="SimSun" w:cs="SimSun" w:hint="eastAsia"/>
          <w:sz w:val="24"/>
          <w:szCs w:val="24"/>
          <w:lang w:eastAsia="de-DE"/>
        </w:rPr>
        <w:t>年再举办两次，并希望在世界其余地区举办其他研讨会。敦促各国政府与全球青年生物多样性网络合作并推进其计划</w:t>
      </w:r>
      <w:r>
        <w:rPr>
          <w:rFonts w:ascii="SimSun" w:eastAsia="SimSun" w:hAnsi="SimSun" w:cs="SimSun" w:hint="eastAsia"/>
          <w:sz w:val="24"/>
          <w:szCs w:val="24"/>
          <w:lang w:eastAsia="zh-CN"/>
        </w:rPr>
        <w:t>的执行</w:t>
      </w:r>
      <w:r w:rsidRPr="00492ACE">
        <w:rPr>
          <w:rFonts w:ascii="SimSun" w:eastAsia="SimSun" w:hAnsi="SimSun" w:cs="SimSun" w:hint="eastAsia"/>
          <w:sz w:val="24"/>
          <w:szCs w:val="24"/>
          <w:lang w:eastAsia="de-DE"/>
        </w:rPr>
        <w:t>。</w:t>
      </w:r>
    </w:p>
    <w:p w:rsidR="008D76BF" w:rsidRPr="006A550F" w:rsidRDefault="00A65C60" w:rsidP="002F3D6F">
      <w:pPr>
        <w:pStyle w:val="Para1"/>
        <w:numPr>
          <w:ilvl w:val="0"/>
          <w:numId w:val="7"/>
        </w:numPr>
        <w:tabs>
          <w:tab w:val="clear" w:pos="360"/>
          <w:tab w:val="left" w:pos="720"/>
        </w:tabs>
        <w:ind w:firstLine="0"/>
        <w:rPr>
          <w:sz w:val="24"/>
          <w:szCs w:val="24"/>
          <w:lang w:val="en-US" w:eastAsia="zh-CN"/>
        </w:rPr>
      </w:pPr>
      <w:r w:rsidRPr="006A550F">
        <w:rPr>
          <w:rFonts w:ascii="SimSun" w:eastAsia="SimSun" w:hAnsi="SimSun" w:cs="SimSun" w:hint="eastAsia"/>
          <w:sz w:val="24"/>
          <w:szCs w:val="24"/>
          <w:lang w:val="en-US" w:eastAsia="zh-CN"/>
        </w:rPr>
        <w:t>生物多样性和生态系统服务政府间科学政策平台</w:t>
      </w:r>
      <w:r w:rsidR="008D76BF" w:rsidRPr="006A550F">
        <w:rPr>
          <w:rFonts w:ascii="SimSun" w:eastAsia="SimSun" w:hAnsi="SimSun" w:cs="SimSun" w:hint="eastAsia"/>
          <w:sz w:val="24"/>
          <w:szCs w:val="24"/>
          <w:lang w:val="en-US" w:eastAsia="zh-CN"/>
        </w:rPr>
        <w:t>（</w:t>
      </w:r>
      <w:r w:rsidR="008D76BF" w:rsidRPr="006A550F">
        <w:rPr>
          <w:sz w:val="24"/>
          <w:szCs w:val="24"/>
          <w:lang w:val="en-US" w:eastAsia="zh-CN"/>
        </w:rPr>
        <w:t>IPBES</w:t>
      </w:r>
      <w:r w:rsidR="008D76BF" w:rsidRPr="006A550F">
        <w:rPr>
          <w:rFonts w:ascii="SimSun" w:eastAsia="SimSun" w:hAnsi="SimSun" w:cs="SimSun" w:hint="eastAsia"/>
          <w:sz w:val="24"/>
          <w:szCs w:val="24"/>
          <w:lang w:val="en-US" w:eastAsia="zh-CN"/>
        </w:rPr>
        <w:t>）执行秘书</w:t>
      </w:r>
      <w:r w:rsidR="008D76BF" w:rsidRPr="006A550F">
        <w:rPr>
          <w:sz w:val="24"/>
          <w:szCs w:val="24"/>
          <w:lang w:val="en-US" w:eastAsia="zh-CN"/>
        </w:rPr>
        <w:t>Anne Larigauderie</w:t>
      </w:r>
      <w:r w:rsidR="008D76BF" w:rsidRPr="006A550F">
        <w:rPr>
          <w:rFonts w:ascii="SimSun" w:eastAsia="SimSun" w:hAnsi="SimSun" w:cs="SimSun" w:hint="eastAsia"/>
          <w:sz w:val="24"/>
          <w:szCs w:val="24"/>
          <w:lang w:val="en-US" w:eastAsia="zh-CN"/>
        </w:rPr>
        <w:t>说，本次会议是评估实施</w:t>
      </w:r>
      <w:r w:rsidR="00823C45" w:rsidRPr="006A550F">
        <w:rPr>
          <w:rFonts w:ascii="SimSun" w:eastAsia="SimSun" w:hAnsi="SimSun" w:cs="SimSun" w:hint="eastAsia"/>
          <w:sz w:val="24"/>
          <w:szCs w:val="24"/>
          <w:lang w:val="en-US" w:eastAsia="zh-CN"/>
        </w:rPr>
        <w:t>《</w:t>
      </w:r>
      <w:r w:rsidR="00A11F32" w:rsidRPr="006A550F">
        <w:rPr>
          <w:rFonts w:hint="eastAsia"/>
          <w:sz w:val="24"/>
          <w:szCs w:val="24"/>
          <w:lang w:val="en-US" w:eastAsia="zh-CN"/>
        </w:rPr>
        <w:t>2011-2020</w:t>
      </w:r>
      <w:r w:rsidR="00A11F32" w:rsidRPr="006A550F">
        <w:rPr>
          <w:rFonts w:ascii="SimSun" w:eastAsia="SimSun" w:hAnsi="SimSun" w:cs="SimSun" w:hint="eastAsia"/>
          <w:sz w:val="24"/>
          <w:szCs w:val="24"/>
          <w:lang w:val="en-US" w:eastAsia="zh-CN"/>
        </w:rPr>
        <w:t>年</w:t>
      </w:r>
      <w:r w:rsidR="008D76BF" w:rsidRPr="006A550F">
        <w:rPr>
          <w:rFonts w:ascii="SimSun" w:eastAsia="SimSun" w:hAnsi="SimSun" w:cs="SimSun" w:hint="eastAsia"/>
          <w:sz w:val="24"/>
          <w:szCs w:val="24"/>
          <w:lang w:val="en-US" w:eastAsia="zh-CN"/>
        </w:rPr>
        <w:t>生物多样性战略计划</w:t>
      </w:r>
      <w:r w:rsidR="00A11F32" w:rsidRPr="006A550F">
        <w:rPr>
          <w:rFonts w:ascii="SimSun" w:eastAsiaTheme="minorEastAsia" w:hAnsi="SimSun" w:cs="SimSun" w:hint="eastAsia"/>
          <w:sz w:val="24"/>
          <w:szCs w:val="24"/>
          <w:lang w:val="en-US" w:eastAsia="zh-CN"/>
        </w:rPr>
        <w:t>》</w:t>
      </w:r>
      <w:r w:rsidR="008D76BF" w:rsidRPr="006A550F">
        <w:rPr>
          <w:rFonts w:ascii="SimSun" w:eastAsia="SimSun" w:hAnsi="SimSun" w:cs="SimSun" w:hint="eastAsia"/>
          <w:sz w:val="24"/>
          <w:szCs w:val="24"/>
          <w:lang w:val="en-US" w:eastAsia="zh-CN"/>
        </w:rPr>
        <w:t>和实现爱知生物多样性进展以及</w:t>
      </w:r>
      <w:r w:rsidRPr="006A550F">
        <w:rPr>
          <w:rFonts w:ascii="SimSun" w:eastAsia="SimSun" w:hAnsi="SimSun" w:cs="SimSun" w:hint="eastAsia"/>
          <w:sz w:val="24"/>
          <w:szCs w:val="24"/>
          <w:lang w:val="en-US" w:eastAsia="zh-CN"/>
        </w:rPr>
        <w:t>规划</w:t>
      </w:r>
      <w:r w:rsidR="008D76BF" w:rsidRPr="006A550F">
        <w:rPr>
          <w:sz w:val="24"/>
          <w:szCs w:val="24"/>
          <w:lang w:val="en-US" w:eastAsia="zh-CN"/>
        </w:rPr>
        <w:t>2020</w:t>
      </w:r>
      <w:r w:rsidR="008D76BF" w:rsidRPr="006A550F">
        <w:rPr>
          <w:rFonts w:ascii="SimSun" w:eastAsia="SimSun" w:hAnsi="SimSun" w:cs="SimSun" w:hint="eastAsia"/>
          <w:sz w:val="24"/>
          <w:szCs w:val="24"/>
          <w:lang w:val="en-US" w:eastAsia="zh-CN"/>
        </w:rPr>
        <w:t>年后生物多样性框架的</w:t>
      </w:r>
      <w:r w:rsidRPr="006A550F">
        <w:rPr>
          <w:rFonts w:ascii="SimSun" w:eastAsia="SimSun" w:hAnsi="SimSun" w:cs="SimSun" w:hint="eastAsia"/>
          <w:sz w:val="24"/>
          <w:szCs w:val="24"/>
          <w:lang w:val="en-US" w:eastAsia="zh-CN"/>
        </w:rPr>
        <w:t>一个</w:t>
      </w:r>
      <w:r w:rsidR="008D76BF" w:rsidRPr="006A550F">
        <w:rPr>
          <w:rFonts w:ascii="SimSun" w:eastAsia="SimSun" w:hAnsi="SimSun" w:cs="SimSun" w:hint="eastAsia"/>
          <w:sz w:val="24"/>
          <w:szCs w:val="24"/>
          <w:lang w:val="en-US" w:eastAsia="zh-CN"/>
        </w:rPr>
        <w:t>重要里程碑。</w:t>
      </w:r>
      <w:r w:rsidR="008D76BF" w:rsidRPr="006A550F">
        <w:rPr>
          <w:sz w:val="24"/>
          <w:szCs w:val="24"/>
          <w:lang w:val="en-US" w:eastAsia="zh-CN"/>
        </w:rPr>
        <w:t xml:space="preserve"> </w:t>
      </w:r>
      <w:r w:rsidR="008D76BF" w:rsidRPr="006A550F">
        <w:rPr>
          <w:rFonts w:ascii="SimSun" w:eastAsia="SimSun" w:hAnsi="SimSun" w:cs="SimSun" w:hint="eastAsia"/>
          <w:sz w:val="24"/>
          <w:szCs w:val="24"/>
          <w:lang w:val="en-US" w:eastAsia="zh-CN"/>
        </w:rPr>
        <w:t>她报告了</w:t>
      </w:r>
      <w:r w:rsidR="00056835" w:rsidRPr="006A550F">
        <w:rPr>
          <w:rFonts w:ascii="SimSun" w:eastAsia="SimSun" w:hAnsi="SimSun" w:cs="SimSun" w:hint="eastAsia"/>
          <w:sz w:val="24"/>
          <w:szCs w:val="24"/>
          <w:lang w:val="en-US" w:eastAsia="zh-CN"/>
        </w:rPr>
        <w:t>政府间科学政策平台</w:t>
      </w:r>
      <w:r w:rsidR="008D76BF" w:rsidRPr="006A550F">
        <w:rPr>
          <w:rFonts w:ascii="SimSun" w:eastAsia="SimSun" w:hAnsi="SimSun" w:cs="SimSun" w:hint="eastAsia"/>
          <w:sz w:val="24"/>
          <w:szCs w:val="24"/>
          <w:lang w:val="en-US" w:eastAsia="zh-CN"/>
        </w:rPr>
        <w:t>的活动以及将于</w:t>
      </w:r>
      <w:r w:rsidR="008D76BF" w:rsidRPr="006A550F">
        <w:rPr>
          <w:sz w:val="24"/>
          <w:szCs w:val="24"/>
          <w:lang w:val="en-US" w:eastAsia="zh-CN"/>
        </w:rPr>
        <w:t>2019</w:t>
      </w:r>
      <w:r w:rsidR="008D76BF" w:rsidRPr="006A550F">
        <w:rPr>
          <w:rFonts w:ascii="SimSun" w:eastAsia="SimSun" w:hAnsi="SimSun" w:cs="SimSun" w:hint="eastAsia"/>
          <w:sz w:val="24"/>
          <w:szCs w:val="24"/>
          <w:lang w:val="en-US" w:eastAsia="zh-CN"/>
        </w:rPr>
        <w:t>年</w:t>
      </w:r>
      <w:r w:rsidR="008D76BF" w:rsidRPr="006A550F">
        <w:rPr>
          <w:sz w:val="24"/>
          <w:szCs w:val="24"/>
          <w:lang w:val="en-US" w:eastAsia="zh-CN"/>
        </w:rPr>
        <w:t>4</w:t>
      </w:r>
      <w:r w:rsidR="008D76BF" w:rsidRPr="006A550F">
        <w:rPr>
          <w:rFonts w:ascii="SimSun" w:eastAsia="SimSun" w:hAnsi="SimSun" w:cs="SimSun" w:hint="eastAsia"/>
          <w:sz w:val="24"/>
          <w:szCs w:val="24"/>
          <w:lang w:val="en-US" w:eastAsia="zh-CN"/>
        </w:rPr>
        <w:t>月</w:t>
      </w:r>
      <w:r w:rsidR="008D76BF" w:rsidRPr="006A550F">
        <w:rPr>
          <w:sz w:val="24"/>
          <w:szCs w:val="24"/>
          <w:lang w:val="en-US" w:eastAsia="zh-CN"/>
        </w:rPr>
        <w:t>29</w:t>
      </w:r>
      <w:r w:rsidR="008D76BF" w:rsidRPr="006A550F">
        <w:rPr>
          <w:rFonts w:ascii="SimSun" w:eastAsia="SimSun" w:hAnsi="SimSun" w:cs="SimSun" w:hint="eastAsia"/>
          <w:sz w:val="24"/>
          <w:szCs w:val="24"/>
          <w:lang w:val="en-US" w:eastAsia="zh-CN"/>
        </w:rPr>
        <w:t>日至</w:t>
      </w:r>
      <w:r w:rsidR="008D76BF" w:rsidRPr="006A550F">
        <w:rPr>
          <w:sz w:val="24"/>
          <w:szCs w:val="24"/>
          <w:lang w:val="en-US" w:eastAsia="zh-CN"/>
        </w:rPr>
        <w:t>5</w:t>
      </w:r>
      <w:r w:rsidR="008D76BF" w:rsidRPr="006A550F">
        <w:rPr>
          <w:rFonts w:ascii="SimSun" w:eastAsia="SimSun" w:hAnsi="SimSun" w:cs="SimSun" w:hint="eastAsia"/>
          <w:sz w:val="24"/>
          <w:szCs w:val="24"/>
          <w:lang w:val="en-US" w:eastAsia="zh-CN"/>
        </w:rPr>
        <w:t>月</w:t>
      </w:r>
      <w:r w:rsidR="008D76BF" w:rsidRPr="006A550F">
        <w:rPr>
          <w:sz w:val="24"/>
          <w:szCs w:val="24"/>
          <w:lang w:val="en-US" w:eastAsia="zh-CN"/>
        </w:rPr>
        <w:t>4</w:t>
      </w:r>
      <w:r w:rsidR="008D76BF" w:rsidRPr="006A550F">
        <w:rPr>
          <w:rFonts w:ascii="SimSun" w:eastAsia="SimSun" w:hAnsi="SimSun" w:cs="SimSun" w:hint="eastAsia"/>
          <w:sz w:val="24"/>
          <w:szCs w:val="24"/>
          <w:lang w:val="en-US" w:eastAsia="zh-CN"/>
        </w:rPr>
        <w:t>日在巴黎举行的第七届会议的方案，</w:t>
      </w:r>
      <w:r w:rsidR="006A550F" w:rsidRPr="006A550F">
        <w:rPr>
          <w:rFonts w:ascii="SimSun" w:eastAsia="SimSun" w:hAnsi="SimSun" w:cs="SimSun" w:hint="eastAsia"/>
          <w:sz w:val="24"/>
          <w:szCs w:val="24"/>
          <w:lang w:val="en-US" w:eastAsia="zh-CN"/>
        </w:rPr>
        <w:t>主席团</w:t>
      </w:r>
      <w:r w:rsidR="006A550F" w:rsidRPr="006A550F">
        <w:rPr>
          <w:rFonts w:ascii="SimSun" w:eastAsia="SimSun" w:hAnsi="SimSun" w:cs="SimSun"/>
          <w:sz w:val="24"/>
          <w:szCs w:val="24"/>
          <w:lang w:val="en-US" w:eastAsia="zh-CN"/>
        </w:rPr>
        <w:t>将于会议上</w:t>
      </w:r>
      <w:r w:rsidR="008D76BF" w:rsidRPr="006A550F">
        <w:rPr>
          <w:rFonts w:ascii="SimSun" w:eastAsia="SimSun" w:hAnsi="SimSun" w:cs="SimSun" w:hint="eastAsia"/>
          <w:sz w:val="24"/>
          <w:szCs w:val="24"/>
          <w:lang w:val="en-US" w:eastAsia="zh-CN"/>
        </w:rPr>
        <w:t>通过</w:t>
      </w:r>
      <w:r w:rsidR="008D76BF" w:rsidRPr="006A550F">
        <w:rPr>
          <w:sz w:val="24"/>
          <w:szCs w:val="24"/>
          <w:lang w:val="en-US" w:eastAsia="zh-CN"/>
        </w:rPr>
        <w:t>2030</w:t>
      </w:r>
      <w:r w:rsidR="008D76BF" w:rsidRPr="006A550F">
        <w:rPr>
          <w:rFonts w:ascii="SimSun" w:eastAsia="SimSun" w:hAnsi="SimSun" w:cs="SimSun" w:hint="eastAsia"/>
          <w:sz w:val="24"/>
          <w:szCs w:val="24"/>
          <w:lang w:val="en-US" w:eastAsia="zh-CN"/>
        </w:rPr>
        <w:t>年前</w:t>
      </w:r>
      <w:r w:rsidR="00056835" w:rsidRPr="006A550F">
        <w:rPr>
          <w:rFonts w:ascii="SimSun" w:eastAsia="SimSun" w:hAnsi="SimSun" w:cs="SimSun" w:hint="eastAsia"/>
          <w:sz w:val="24"/>
          <w:szCs w:val="24"/>
          <w:lang w:val="en-US" w:eastAsia="zh-CN"/>
        </w:rPr>
        <w:t>政府间科学政策平台</w:t>
      </w:r>
      <w:r w:rsidR="008D76BF" w:rsidRPr="006A550F">
        <w:rPr>
          <w:rFonts w:ascii="SimSun" w:eastAsia="SimSun" w:hAnsi="SimSun" w:cs="SimSun" w:hint="eastAsia"/>
          <w:sz w:val="24"/>
          <w:szCs w:val="24"/>
          <w:lang w:val="en-US" w:eastAsia="zh-CN"/>
        </w:rPr>
        <w:t>的下一个工作方案。平台也已开始对自然的众多价值及其惠益进行评估，以及对可持续利用野生物种进行评估。将于</w:t>
      </w:r>
      <w:r w:rsidR="008D76BF" w:rsidRPr="006A550F">
        <w:rPr>
          <w:sz w:val="24"/>
          <w:szCs w:val="24"/>
          <w:lang w:val="en-US" w:eastAsia="zh-CN"/>
        </w:rPr>
        <w:t>2019</w:t>
      </w:r>
      <w:r w:rsidR="008D76BF" w:rsidRPr="006A550F">
        <w:rPr>
          <w:rFonts w:ascii="SimSun" w:eastAsia="SimSun" w:hAnsi="SimSun" w:cs="SimSun" w:hint="eastAsia"/>
          <w:sz w:val="24"/>
          <w:szCs w:val="24"/>
          <w:lang w:val="en-US" w:eastAsia="zh-CN"/>
        </w:rPr>
        <w:t>年期间提供这些评估的初稿，目前正公开呼吁提名评估外来入侵物种的专家。</w:t>
      </w:r>
    </w:p>
    <w:p w:rsidR="008D76BF" w:rsidRDefault="008D76BF">
      <w:pPr>
        <w:rPr>
          <w:rFonts w:ascii="SimSun" w:hAnsi="SimSun"/>
          <w:snapToGrid w:val="0"/>
          <w:szCs w:val="18"/>
          <w:lang w:val="en-GB" w:eastAsia="zh-CN"/>
        </w:rPr>
      </w:pPr>
      <w:r>
        <w:rPr>
          <w:rFonts w:ascii="SimSun" w:hAnsi="SimSun"/>
          <w:lang w:eastAsia="zh-CN"/>
        </w:rPr>
        <w:br w:type="page"/>
      </w:r>
    </w:p>
    <w:p w:rsidR="008D76BF" w:rsidRPr="00737609" w:rsidRDefault="008D76BF" w:rsidP="009C2411">
      <w:pPr>
        <w:pStyle w:val="ListParagraph"/>
        <w:tabs>
          <w:tab w:val="left" w:pos="720"/>
        </w:tabs>
        <w:kinsoku w:val="0"/>
        <w:overflowPunct w:val="0"/>
        <w:autoSpaceDE w:val="0"/>
        <w:autoSpaceDN w:val="0"/>
        <w:adjustRightInd w:val="0"/>
        <w:snapToGrid w:val="0"/>
        <w:ind w:left="0" w:firstLine="0"/>
        <w:jc w:val="center"/>
        <w:rPr>
          <w:rFonts w:ascii="KaiTi" w:eastAsia="KaiTi" w:hAnsi="KaiTi"/>
          <w:snapToGrid w:val="0"/>
          <w:color w:val="000000"/>
          <w:kern w:val="22"/>
          <w:lang w:eastAsia="zh-CN"/>
        </w:rPr>
      </w:pPr>
      <w:r w:rsidRPr="001E6973">
        <w:rPr>
          <w:rFonts w:ascii="KaiTi" w:eastAsia="KaiTi" w:hAnsi="KaiTi" w:hint="eastAsia"/>
          <w:kern w:val="22"/>
          <w:lang w:val="en-CA" w:eastAsia="zh-CN"/>
        </w:rPr>
        <w:lastRenderedPageBreak/>
        <w:t>附件三</w:t>
      </w:r>
    </w:p>
    <w:p w:rsidR="008D76BF" w:rsidRPr="000309D2" w:rsidRDefault="008D76BF" w:rsidP="009C2411">
      <w:pPr>
        <w:ind w:firstLine="0"/>
        <w:jc w:val="center"/>
        <w:rPr>
          <w:b/>
          <w:snapToGrid w:val="0"/>
          <w:color w:val="000000"/>
          <w:kern w:val="22"/>
          <w:lang w:eastAsia="zh-CN"/>
        </w:rPr>
      </w:pPr>
      <w:r w:rsidRPr="000309D2">
        <w:rPr>
          <w:rFonts w:ascii="SimSun" w:eastAsia="SimSun" w:hAnsi="SimSun" w:cs="SimSun" w:hint="eastAsia"/>
          <w:b/>
          <w:snapToGrid w:val="0"/>
          <w:color w:val="000000"/>
          <w:kern w:val="22"/>
          <w:lang w:eastAsia="zh-CN"/>
        </w:rPr>
        <w:t>关于</w:t>
      </w:r>
      <w:r w:rsidRPr="000309D2">
        <w:rPr>
          <w:rFonts w:ascii="SimSun" w:eastAsia="Times New Roman" w:hAnsi="SimSun" w:cs="SimSun"/>
          <w:b/>
          <w:snapToGrid w:val="0"/>
          <w:color w:val="000000"/>
          <w:kern w:val="22"/>
          <w:lang w:eastAsia="zh-CN"/>
        </w:rPr>
        <w:t>“</w:t>
      </w:r>
      <w:r w:rsidRPr="000309D2">
        <w:rPr>
          <w:rFonts w:ascii="SimSun" w:eastAsia="SimSun" w:hAnsi="SimSun" w:cs="SimSun" w:hint="eastAsia"/>
          <w:b/>
          <w:snapToGrid w:val="0"/>
          <w:color w:val="000000"/>
          <w:kern w:val="22"/>
          <w:lang w:eastAsia="zh-CN"/>
        </w:rPr>
        <w:t>与自然和谐相处的办法</w:t>
      </w:r>
      <w:r w:rsidRPr="000309D2">
        <w:rPr>
          <w:rFonts w:ascii="SimSun" w:eastAsia="Times New Roman" w:hAnsi="SimSun" w:cs="SimSun"/>
          <w:b/>
          <w:snapToGrid w:val="0"/>
          <w:color w:val="000000"/>
          <w:kern w:val="22"/>
          <w:lang w:eastAsia="zh-CN"/>
        </w:rPr>
        <w:t>”</w:t>
      </w:r>
      <w:r w:rsidRPr="000309D2">
        <w:rPr>
          <w:rFonts w:ascii="SimSun" w:eastAsia="SimSun" w:hAnsi="SimSun" w:cs="SimSun" w:hint="eastAsia"/>
          <w:b/>
          <w:snapToGrid w:val="0"/>
          <w:color w:val="000000"/>
          <w:kern w:val="22"/>
          <w:lang w:eastAsia="zh-CN"/>
        </w:rPr>
        <w:t>的互动对话</w:t>
      </w:r>
    </w:p>
    <w:p w:rsidR="008D76BF" w:rsidRPr="000309D2" w:rsidRDefault="00AB1DA6" w:rsidP="009C2411">
      <w:pPr>
        <w:pStyle w:val="Para1"/>
        <w:numPr>
          <w:ilvl w:val="0"/>
          <w:numId w:val="10"/>
        </w:numPr>
        <w:tabs>
          <w:tab w:val="clear" w:pos="360"/>
          <w:tab w:val="left" w:pos="720"/>
        </w:tabs>
        <w:ind w:firstLine="0"/>
        <w:rPr>
          <w:rFonts w:eastAsia="Times New Roman"/>
          <w:color w:val="212121"/>
          <w:sz w:val="24"/>
          <w:szCs w:val="24"/>
          <w:shd w:val="clear" w:color="auto" w:fill="FFFFFF"/>
          <w:lang w:eastAsia="zh-CN"/>
        </w:rPr>
      </w:pPr>
      <w:r>
        <w:rPr>
          <w:rFonts w:eastAsiaTheme="minorEastAsia" w:hint="eastAsia"/>
          <w:color w:val="212121"/>
          <w:sz w:val="24"/>
          <w:szCs w:val="24"/>
          <w:shd w:val="clear" w:color="auto" w:fill="FFFFFF"/>
          <w:lang w:eastAsia="zh-CN"/>
        </w:rPr>
        <w:t>在</w:t>
      </w:r>
      <w:r w:rsidR="008D76BF" w:rsidRPr="000309D2">
        <w:rPr>
          <w:rFonts w:eastAsia="Times New Roman"/>
          <w:color w:val="212121"/>
          <w:sz w:val="24"/>
          <w:szCs w:val="24"/>
          <w:shd w:val="clear" w:color="auto" w:fill="FFFFFF"/>
          <w:lang w:eastAsia="zh-CN"/>
        </w:rPr>
        <w:t>2018</w:t>
      </w:r>
      <w:r w:rsidR="008D76BF" w:rsidRPr="000309D2">
        <w:rPr>
          <w:rFonts w:ascii="SimSun" w:eastAsia="SimSun" w:hAnsi="SimSun" w:cs="SimSun" w:hint="eastAsia"/>
          <w:color w:val="212121"/>
          <w:sz w:val="24"/>
          <w:szCs w:val="24"/>
          <w:shd w:val="clear" w:color="auto" w:fill="FFFFFF"/>
          <w:lang w:eastAsia="zh-CN"/>
        </w:rPr>
        <w:t>年</w:t>
      </w:r>
      <w:r w:rsidR="008D76BF" w:rsidRPr="000309D2">
        <w:rPr>
          <w:rFonts w:eastAsia="Times New Roman"/>
          <w:color w:val="212121"/>
          <w:sz w:val="24"/>
          <w:szCs w:val="24"/>
          <w:shd w:val="clear" w:color="auto" w:fill="FFFFFF"/>
          <w:lang w:eastAsia="zh-CN"/>
        </w:rPr>
        <w:t>11</w:t>
      </w:r>
      <w:r w:rsidR="008D76BF" w:rsidRPr="000309D2">
        <w:rPr>
          <w:rFonts w:ascii="SimSun" w:eastAsia="SimSun" w:hAnsi="SimSun" w:cs="SimSun" w:hint="eastAsia"/>
          <w:color w:val="212121"/>
          <w:sz w:val="24"/>
          <w:szCs w:val="24"/>
          <w:shd w:val="clear" w:color="auto" w:fill="FFFFFF"/>
          <w:lang w:eastAsia="zh-CN"/>
        </w:rPr>
        <w:t>月</w:t>
      </w:r>
      <w:r w:rsidR="008D76BF" w:rsidRPr="000309D2">
        <w:rPr>
          <w:rFonts w:eastAsia="Times New Roman"/>
          <w:color w:val="212121"/>
          <w:sz w:val="24"/>
          <w:szCs w:val="24"/>
          <w:shd w:val="clear" w:color="auto" w:fill="FFFFFF"/>
          <w:lang w:eastAsia="zh-CN"/>
        </w:rPr>
        <w:t>20</w:t>
      </w:r>
      <w:r w:rsidR="008D76BF" w:rsidRPr="000309D2">
        <w:rPr>
          <w:rFonts w:ascii="SimSun" w:eastAsia="SimSun" w:hAnsi="SimSun" w:cs="SimSun" w:hint="eastAsia"/>
          <w:color w:val="212121"/>
          <w:sz w:val="24"/>
          <w:szCs w:val="24"/>
          <w:shd w:val="clear" w:color="auto" w:fill="FFFFFF"/>
          <w:lang w:eastAsia="zh-CN"/>
        </w:rPr>
        <w:t>日缔约方大会</w:t>
      </w:r>
      <w:r>
        <w:rPr>
          <w:rFonts w:ascii="SimSun" w:eastAsia="SimSun" w:hAnsi="SimSun" w:cs="SimSun" w:hint="eastAsia"/>
          <w:color w:val="212121"/>
          <w:sz w:val="24"/>
          <w:szCs w:val="24"/>
          <w:shd w:val="clear" w:color="auto" w:fill="FFFFFF"/>
          <w:lang w:eastAsia="zh-CN"/>
        </w:rPr>
        <w:t>会议的第</w:t>
      </w:r>
      <w:r w:rsidRPr="00AB1DA6">
        <w:rPr>
          <w:rFonts w:eastAsia="Times New Roman" w:hint="eastAsia"/>
          <w:color w:val="212121"/>
          <w:sz w:val="24"/>
          <w:szCs w:val="24"/>
          <w:shd w:val="clear" w:color="auto" w:fill="FFFFFF"/>
          <w:lang w:eastAsia="zh-CN"/>
        </w:rPr>
        <w:t>3</w:t>
      </w:r>
      <w:r w:rsidR="008D76BF" w:rsidRPr="000309D2">
        <w:rPr>
          <w:rFonts w:ascii="SimSun" w:eastAsia="SimSun" w:hAnsi="SimSun" w:cs="SimSun" w:hint="eastAsia"/>
          <w:color w:val="212121"/>
          <w:sz w:val="24"/>
          <w:szCs w:val="24"/>
          <w:shd w:val="clear" w:color="auto" w:fill="FFFFFF"/>
          <w:lang w:eastAsia="zh-CN"/>
        </w:rPr>
        <w:t>次全体会议</w:t>
      </w:r>
      <w:r>
        <w:rPr>
          <w:rFonts w:ascii="SimSun" w:eastAsia="SimSun" w:hAnsi="SimSun" w:cs="SimSun" w:hint="eastAsia"/>
          <w:color w:val="212121"/>
          <w:sz w:val="24"/>
          <w:szCs w:val="24"/>
          <w:shd w:val="clear" w:color="auto" w:fill="FFFFFF"/>
          <w:lang w:eastAsia="zh-CN"/>
        </w:rPr>
        <w:t>上</w:t>
      </w:r>
      <w:r>
        <w:rPr>
          <w:rFonts w:ascii="SimSun" w:eastAsia="SimSun" w:hAnsi="SimSun" w:cs="SimSun"/>
          <w:color w:val="212121"/>
          <w:sz w:val="24"/>
          <w:szCs w:val="24"/>
          <w:shd w:val="clear" w:color="auto" w:fill="FFFFFF"/>
          <w:lang w:eastAsia="zh-CN"/>
        </w:rPr>
        <w:t>，</w:t>
      </w:r>
      <w:r w:rsidR="008D76BF" w:rsidRPr="000309D2">
        <w:rPr>
          <w:rFonts w:ascii="SimSun" w:eastAsia="SimSun" w:hAnsi="SimSun" w:cs="SimSun" w:hint="eastAsia"/>
          <w:color w:val="212121"/>
          <w:sz w:val="24"/>
          <w:szCs w:val="24"/>
          <w:shd w:val="clear" w:color="auto" w:fill="FFFFFF"/>
          <w:lang w:eastAsia="zh-CN"/>
        </w:rPr>
        <w:t>就</w:t>
      </w:r>
      <w:r w:rsidR="008D76BF" w:rsidRPr="008D6349">
        <w:rPr>
          <w:rFonts w:asciiTheme="minorEastAsia" w:eastAsiaTheme="minorEastAsia" w:hAnsiTheme="minorEastAsia"/>
          <w:color w:val="212121"/>
          <w:sz w:val="24"/>
          <w:szCs w:val="24"/>
          <w:shd w:val="clear" w:color="auto" w:fill="FFFFFF"/>
          <w:lang w:eastAsia="zh-CN"/>
        </w:rPr>
        <w:t>“</w:t>
      </w:r>
      <w:r w:rsidR="008D76BF" w:rsidRPr="000309D2">
        <w:rPr>
          <w:rFonts w:ascii="SimSun" w:eastAsia="SimSun" w:hAnsi="SimSun" w:cs="SimSun" w:hint="eastAsia"/>
          <w:color w:val="212121"/>
          <w:sz w:val="24"/>
          <w:szCs w:val="24"/>
          <w:shd w:val="clear" w:color="auto" w:fill="FFFFFF"/>
          <w:lang w:eastAsia="zh-CN"/>
        </w:rPr>
        <w:t>与自然和谐相处的方法</w:t>
      </w:r>
      <w:r w:rsidR="008D76BF">
        <w:rPr>
          <w:rFonts w:ascii="SimSun" w:hAnsi="SimSun"/>
          <w:color w:val="212121"/>
          <w:sz w:val="24"/>
          <w:szCs w:val="24"/>
          <w:shd w:val="clear" w:color="auto" w:fill="FFFFFF"/>
          <w:lang w:eastAsia="zh-CN"/>
        </w:rPr>
        <w:t>”</w:t>
      </w:r>
      <w:r w:rsidR="008D76BF" w:rsidRPr="000309D2">
        <w:rPr>
          <w:rFonts w:ascii="SimSun" w:eastAsia="SimSun" w:hAnsi="SimSun" w:cs="SimSun" w:hint="eastAsia"/>
          <w:color w:val="212121"/>
          <w:sz w:val="24"/>
          <w:szCs w:val="24"/>
          <w:shd w:val="clear" w:color="auto" w:fill="FFFFFF"/>
          <w:lang w:eastAsia="zh-CN"/>
        </w:rPr>
        <w:t>的主题举行了互动对话。对话场景由四人专家小组设置，他们分别来自联合国系统、科学界以及土著人民和地方社区。意大利声音艺术家和研究员</w:t>
      </w:r>
      <w:r w:rsidR="008D76BF" w:rsidRPr="000309D2">
        <w:rPr>
          <w:rFonts w:eastAsia="Times New Roman"/>
          <w:color w:val="212121"/>
          <w:sz w:val="24"/>
          <w:szCs w:val="24"/>
          <w:shd w:val="clear" w:color="auto" w:fill="FFFFFF"/>
          <w:lang w:eastAsia="zh-CN"/>
        </w:rPr>
        <w:t>David Monacchi</w:t>
      </w:r>
      <w:r w:rsidR="008D76BF" w:rsidRPr="000309D2">
        <w:rPr>
          <w:rFonts w:ascii="SimSun" w:eastAsia="SimSun" w:hAnsi="SimSun" w:cs="SimSun" w:hint="eastAsia"/>
          <w:color w:val="212121"/>
          <w:sz w:val="24"/>
          <w:szCs w:val="24"/>
          <w:shd w:val="clear" w:color="auto" w:fill="FFFFFF"/>
          <w:lang w:eastAsia="zh-CN"/>
        </w:rPr>
        <w:t>先生根据对世界上最后剩余的未受干扰原始赤道雨林地区的实地研究，作了题为</w:t>
      </w:r>
      <w:r w:rsidR="008D76BF" w:rsidRPr="008B1AB8">
        <w:rPr>
          <w:rFonts w:asciiTheme="minorEastAsia" w:eastAsiaTheme="minorEastAsia" w:hAnsiTheme="minorEastAsia"/>
          <w:color w:val="212121"/>
          <w:sz w:val="24"/>
          <w:szCs w:val="24"/>
          <w:shd w:val="clear" w:color="auto" w:fill="FFFFFF"/>
          <w:lang w:eastAsia="zh-CN"/>
        </w:rPr>
        <w:t>“</w:t>
      </w:r>
      <w:r w:rsidR="008D76BF" w:rsidRPr="008B1AB8">
        <w:rPr>
          <w:rFonts w:asciiTheme="minorEastAsia" w:eastAsiaTheme="minorEastAsia" w:hAnsiTheme="minorEastAsia" w:cs="SimSun" w:hint="eastAsia"/>
          <w:color w:val="212121"/>
          <w:sz w:val="24"/>
          <w:szCs w:val="24"/>
          <w:shd w:val="clear" w:color="auto" w:fill="FFFFFF"/>
          <w:lang w:eastAsia="zh-CN"/>
        </w:rPr>
        <w:t>灭绝的片段</w:t>
      </w:r>
      <w:r w:rsidR="008D76BF" w:rsidRPr="008B1AB8">
        <w:rPr>
          <w:rFonts w:asciiTheme="minorEastAsia" w:eastAsiaTheme="minorEastAsia" w:hAnsiTheme="minorEastAsia"/>
          <w:color w:val="212121"/>
          <w:sz w:val="24"/>
          <w:szCs w:val="24"/>
          <w:shd w:val="clear" w:color="auto" w:fill="FFFFFF"/>
          <w:lang w:eastAsia="zh-CN"/>
        </w:rPr>
        <w:t>”</w:t>
      </w:r>
      <w:r w:rsidR="008D76BF" w:rsidRPr="000309D2">
        <w:rPr>
          <w:rFonts w:ascii="SimSun" w:eastAsia="SimSun" w:hAnsi="SimSun" w:cs="SimSun" w:hint="eastAsia"/>
          <w:color w:val="212121"/>
          <w:sz w:val="24"/>
          <w:szCs w:val="24"/>
          <w:shd w:val="clear" w:color="auto" w:fill="FFFFFF"/>
          <w:lang w:eastAsia="zh-CN"/>
        </w:rPr>
        <w:t>的介绍性发言，随后，小组每位成员都就这一主题发表了自己的观点。对话由执行秘书主持。</w:t>
      </w:r>
    </w:p>
    <w:p w:rsidR="008D76BF" w:rsidRDefault="008D76BF" w:rsidP="009C2411">
      <w:pPr>
        <w:ind w:firstLine="0"/>
        <w:jc w:val="center"/>
        <w:rPr>
          <w:b/>
          <w:lang w:eastAsia="zh-CN"/>
        </w:rPr>
      </w:pPr>
      <w:r w:rsidRPr="009D782B">
        <w:rPr>
          <w:b/>
          <w:lang w:eastAsia="zh-CN"/>
        </w:rPr>
        <w:t>A.</w:t>
      </w:r>
      <w:r>
        <w:rPr>
          <w:lang w:eastAsia="zh-CN"/>
        </w:rPr>
        <w:t xml:space="preserve">    </w:t>
      </w:r>
      <w:r>
        <w:rPr>
          <w:rFonts w:ascii="SimSun" w:eastAsia="SimSun" w:hAnsi="SimSun" w:cs="SimSun" w:hint="eastAsia"/>
          <w:b/>
          <w:lang w:eastAsia="zh-CN"/>
        </w:rPr>
        <w:t>小组发言</w:t>
      </w:r>
    </w:p>
    <w:p w:rsidR="008D76BF" w:rsidRPr="00FE7644" w:rsidRDefault="008D76BF" w:rsidP="009C2411">
      <w:pPr>
        <w:pStyle w:val="Para1"/>
        <w:tabs>
          <w:tab w:val="clear" w:pos="360"/>
          <w:tab w:val="left" w:pos="720"/>
        </w:tabs>
        <w:ind w:firstLine="0"/>
        <w:rPr>
          <w:rFonts w:ascii="KaiTi" w:eastAsia="KaiTi" w:hAnsi="KaiTi"/>
          <w:color w:val="212121"/>
          <w:sz w:val="24"/>
          <w:szCs w:val="24"/>
          <w:shd w:val="clear" w:color="auto" w:fill="FFFFFF"/>
          <w:lang w:eastAsia="zh-CN"/>
        </w:rPr>
      </w:pPr>
      <w:r w:rsidRPr="00FE7644">
        <w:rPr>
          <w:rFonts w:ascii="KaiTi" w:eastAsia="KaiTi" w:hAnsi="KaiTi" w:hint="eastAsia"/>
          <w:color w:val="212121"/>
          <w:sz w:val="24"/>
          <w:szCs w:val="24"/>
          <w:shd w:val="clear" w:color="auto" w:fill="FFFFFF"/>
          <w:lang w:eastAsia="zh-CN"/>
        </w:rPr>
        <w:t>法国南巴黎大学生态学教授</w:t>
      </w:r>
      <w:r w:rsidRPr="00FE7644">
        <w:rPr>
          <w:rFonts w:ascii="KaiTi" w:eastAsia="KaiTi" w:hAnsi="KaiTi"/>
          <w:color w:val="212121"/>
          <w:sz w:val="24"/>
          <w:szCs w:val="24"/>
          <w:shd w:val="clear" w:color="auto" w:fill="FFFFFF"/>
          <w:lang w:eastAsia="zh-CN"/>
        </w:rPr>
        <w:t>Paul Leadley</w:t>
      </w:r>
      <w:r w:rsidRPr="00FE7644">
        <w:rPr>
          <w:rFonts w:ascii="KaiTi" w:eastAsia="KaiTi" w:hAnsi="KaiTi" w:hint="eastAsia"/>
          <w:color w:val="212121"/>
          <w:sz w:val="24"/>
          <w:szCs w:val="24"/>
          <w:shd w:val="clear" w:color="auto" w:fill="FFFFFF"/>
          <w:lang w:eastAsia="zh-CN"/>
        </w:rPr>
        <w:t>先生</w:t>
      </w:r>
    </w:p>
    <w:p w:rsidR="008D76BF" w:rsidRPr="000309D2" w:rsidRDefault="008D76BF" w:rsidP="009C2411">
      <w:pPr>
        <w:pStyle w:val="Para1"/>
        <w:numPr>
          <w:ilvl w:val="0"/>
          <w:numId w:val="10"/>
        </w:numPr>
        <w:tabs>
          <w:tab w:val="clear" w:pos="360"/>
          <w:tab w:val="left" w:pos="720"/>
        </w:tabs>
        <w:ind w:firstLine="0"/>
        <w:rPr>
          <w:rFonts w:eastAsia="Times New Roman"/>
          <w:color w:val="212121"/>
          <w:sz w:val="24"/>
          <w:szCs w:val="24"/>
          <w:shd w:val="clear" w:color="auto" w:fill="FFFFFF"/>
          <w:lang w:eastAsia="zh-CN"/>
        </w:rPr>
      </w:pPr>
      <w:r w:rsidRPr="000309D2">
        <w:rPr>
          <w:rFonts w:eastAsia="Times New Roman"/>
          <w:color w:val="212121"/>
          <w:sz w:val="24"/>
          <w:szCs w:val="24"/>
          <w:shd w:val="clear" w:color="auto" w:fill="FFFFFF"/>
          <w:lang w:eastAsia="zh-CN"/>
        </w:rPr>
        <w:t>Leadley</w:t>
      </w:r>
      <w:r w:rsidRPr="000309D2">
        <w:rPr>
          <w:rFonts w:ascii="SimSun" w:eastAsia="SimSun" w:hAnsi="SimSun" w:cs="SimSun" w:hint="eastAsia"/>
          <w:color w:val="212121"/>
          <w:sz w:val="24"/>
          <w:szCs w:val="24"/>
          <w:shd w:val="clear" w:color="auto" w:fill="FFFFFF"/>
          <w:lang w:eastAsia="zh-CN"/>
        </w:rPr>
        <w:t>先生概要说明有越来越多的科学家在开展模型和</w:t>
      </w:r>
      <w:r w:rsidR="00AF42FB">
        <w:rPr>
          <w:rFonts w:ascii="SimSun" w:eastAsia="SimSun" w:hAnsi="SimSun" w:cs="SimSun" w:hint="eastAsia"/>
          <w:color w:val="212121"/>
          <w:sz w:val="24"/>
          <w:szCs w:val="24"/>
          <w:shd w:val="clear" w:color="auto" w:fill="FFFFFF"/>
          <w:lang w:eastAsia="zh-CN"/>
        </w:rPr>
        <w:t>情景</w:t>
      </w:r>
      <w:r w:rsidRPr="000309D2">
        <w:rPr>
          <w:rFonts w:ascii="SimSun" w:eastAsia="SimSun" w:hAnsi="SimSun" w:cs="SimSun" w:hint="eastAsia"/>
          <w:color w:val="212121"/>
          <w:sz w:val="24"/>
          <w:szCs w:val="24"/>
          <w:shd w:val="clear" w:color="auto" w:fill="FFFFFF"/>
          <w:lang w:eastAsia="zh-CN"/>
        </w:rPr>
        <w:t>设想的工作，以帮助为实现《</w:t>
      </w:r>
      <w:r w:rsidRPr="000309D2">
        <w:rPr>
          <w:rFonts w:eastAsia="Times New Roman"/>
          <w:color w:val="212121"/>
          <w:sz w:val="24"/>
          <w:szCs w:val="24"/>
          <w:shd w:val="clear" w:color="auto" w:fill="FFFFFF"/>
          <w:lang w:eastAsia="zh-CN"/>
        </w:rPr>
        <w:t>2011-2020</w:t>
      </w:r>
      <w:r w:rsidRPr="000309D2">
        <w:rPr>
          <w:rFonts w:ascii="SimSun" w:eastAsia="SimSun" w:hAnsi="SimSun" w:cs="SimSun" w:hint="eastAsia"/>
          <w:color w:val="212121"/>
          <w:sz w:val="24"/>
          <w:szCs w:val="24"/>
          <w:shd w:val="clear" w:color="auto" w:fill="FFFFFF"/>
          <w:lang w:eastAsia="zh-CN"/>
        </w:rPr>
        <w:t>年生物多样性战略计划》的</w:t>
      </w:r>
      <w:r w:rsidRPr="000309D2">
        <w:rPr>
          <w:rFonts w:eastAsia="Times New Roman"/>
          <w:color w:val="212121"/>
          <w:sz w:val="24"/>
          <w:szCs w:val="24"/>
          <w:shd w:val="clear" w:color="auto" w:fill="FFFFFF"/>
          <w:lang w:eastAsia="zh-CN"/>
        </w:rPr>
        <w:t>2050</w:t>
      </w:r>
      <w:r w:rsidRPr="000309D2">
        <w:rPr>
          <w:rFonts w:ascii="SimSun" w:eastAsia="SimSun" w:hAnsi="SimSun" w:cs="SimSun" w:hint="eastAsia"/>
          <w:color w:val="212121"/>
          <w:sz w:val="24"/>
          <w:szCs w:val="24"/>
          <w:shd w:val="clear" w:color="auto" w:fill="FFFFFF"/>
          <w:lang w:eastAsia="zh-CN"/>
        </w:rPr>
        <w:t>年愿景铺平道路。最近的研究证实，大多数现有的生物多样性指标</w:t>
      </w:r>
      <w:r>
        <w:rPr>
          <w:rFonts w:ascii="SimSun" w:eastAsia="SimSun" w:hAnsi="SimSun" w:cs="SimSun" w:hint="eastAsia"/>
          <w:color w:val="212121"/>
          <w:sz w:val="24"/>
          <w:szCs w:val="24"/>
          <w:shd w:val="clear" w:color="auto" w:fill="FFFFFF"/>
          <w:lang w:eastAsia="zh-CN"/>
        </w:rPr>
        <w:t>（</w:t>
      </w:r>
      <w:r w:rsidRPr="000309D2">
        <w:rPr>
          <w:rFonts w:ascii="SimSun" w:eastAsia="SimSun" w:hAnsi="SimSun" w:cs="SimSun" w:hint="eastAsia"/>
          <w:color w:val="212121"/>
          <w:sz w:val="24"/>
          <w:szCs w:val="24"/>
          <w:shd w:val="clear" w:color="auto" w:fill="FFFFFF"/>
          <w:lang w:eastAsia="zh-CN"/>
        </w:rPr>
        <w:t>包括那些考虑到根据《公约》采取的行动的指标</w:t>
      </w:r>
      <w:r>
        <w:rPr>
          <w:rFonts w:ascii="SimSun" w:eastAsia="SimSun" w:hAnsi="SimSun" w:cs="SimSun" w:hint="eastAsia"/>
          <w:color w:val="212121"/>
          <w:sz w:val="24"/>
          <w:szCs w:val="24"/>
          <w:shd w:val="clear" w:color="auto" w:fill="FFFFFF"/>
          <w:lang w:eastAsia="zh-CN"/>
        </w:rPr>
        <w:t>）</w:t>
      </w:r>
      <w:r w:rsidRPr="000309D2">
        <w:rPr>
          <w:rFonts w:ascii="SimSun" w:eastAsia="SimSun" w:hAnsi="SimSun" w:cs="SimSun" w:hint="eastAsia"/>
          <w:color w:val="212121"/>
          <w:sz w:val="24"/>
          <w:szCs w:val="24"/>
          <w:shd w:val="clear" w:color="auto" w:fill="FFFFFF"/>
          <w:lang w:eastAsia="zh-CN"/>
        </w:rPr>
        <w:t>确认生物多样性状况已持续下降，并证实迫切需要做出更大胆的努力，不仅要阻止还要扭转下降趋势，即</w:t>
      </w:r>
      <w:r w:rsidRPr="000309D2">
        <w:rPr>
          <w:rFonts w:eastAsia="Times New Roman"/>
          <w:color w:val="212121"/>
          <w:sz w:val="24"/>
          <w:szCs w:val="24"/>
          <w:shd w:val="clear" w:color="auto" w:fill="FFFFFF"/>
          <w:lang w:eastAsia="zh-CN"/>
        </w:rPr>
        <w:t>“</w:t>
      </w:r>
      <w:r w:rsidRPr="000309D2">
        <w:rPr>
          <w:rFonts w:ascii="SimSun" w:eastAsia="SimSun" w:hAnsi="SimSun" w:cs="SimSun" w:hint="eastAsia"/>
          <w:color w:val="212121"/>
          <w:sz w:val="24"/>
          <w:szCs w:val="24"/>
          <w:shd w:val="clear" w:color="auto" w:fill="FFFFFF"/>
          <w:lang w:eastAsia="zh-CN"/>
        </w:rPr>
        <w:t>弯曲曲线</w:t>
      </w:r>
      <w:r w:rsidRPr="000309D2">
        <w:rPr>
          <w:rFonts w:eastAsia="Times New Roman"/>
          <w:color w:val="212121"/>
          <w:sz w:val="24"/>
          <w:szCs w:val="24"/>
          <w:shd w:val="clear" w:color="auto" w:fill="FFFFFF"/>
          <w:lang w:eastAsia="zh-CN"/>
        </w:rPr>
        <w:t>”</w:t>
      </w:r>
      <w:r w:rsidRPr="000309D2">
        <w:rPr>
          <w:rFonts w:ascii="SimSun" w:eastAsia="SimSun" w:hAnsi="SimSun" w:cs="SimSun" w:hint="eastAsia"/>
          <w:color w:val="212121"/>
          <w:sz w:val="24"/>
          <w:szCs w:val="24"/>
          <w:shd w:val="clear" w:color="auto" w:fill="FFFFFF"/>
          <w:lang w:eastAsia="zh-CN"/>
        </w:rPr>
        <w:t>。有人提出了新的指标，如野生物种的种群趋势、生态系统的保护状况和生物完整性，这有可能根据观察结果、模型和</w:t>
      </w:r>
      <w:r w:rsidR="00AF42FB">
        <w:rPr>
          <w:rFonts w:ascii="SimSun" w:eastAsia="SimSun" w:hAnsi="SimSun" w:cs="SimSun" w:hint="eastAsia"/>
          <w:color w:val="212121"/>
          <w:sz w:val="24"/>
          <w:szCs w:val="24"/>
          <w:shd w:val="clear" w:color="auto" w:fill="FFFFFF"/>
          <w:lang w:eastAsia="zh-CN"/>
        </w:rPr>
        <w:t>情景</w:t>
      </w:r>
      <w:r w:rsidRPr="000309D2">
        <w:rPr>
          <w:rFonts w:ascii="SimSun" w:eastAsia="SimSun" w:hAnsi="SimSun" w:cs="SimSun" w:hint="eastAsia"/>
          <w:color w:val="212121"/>
          <w:sz w:val="24"/>
          <w:szCs w:val="24"/>
          <w:shd w:val="clear" w:color="auto" w:fill="FFFFFF"/>
          <w:lang w:eastAsia="zh-CN"/>
        </w:rPr>
        <w:t>设想绘制假设曲线并预测未来。例如，对爱知生物多样性指标指数的统计推断表明，尽管由于生物多样性所受压力增加，为解决这一问题加大了努力，但是，随着时间的推移，生物多样性状况仍在持续下降。与此同时，第四版《全球生物多样性展望》使用了新的可持续性</w:t>
      </w:r>
      <w:r w:rsidR="00AF42FB">
        <w:rPr>
          <w:rFonts w:ascii="SimSun" w:eastAsia="SimSun" w:hAnsi="SimSun" w:cs="SimSun" w:hint="eastAsia"/>
          <w:color w:val="212121"/>
          <w:sz w:val="24"/>
          <w:szCs w:val="24"/>
          <w:shd w:val="clear" w:color="auto" w:fill="FFFFFF"/>
          <w:lang w:eastAsia="zh-CN"/>
        </w:rPr>
        <w:t>的</w:t>
      </w:r>
      <w:r w:rsidR="00AF42FB">
        <w:rPr>
          <w:rFonts w:ascii="SimSun" w:eastAsia="SimSun" w:hAnsi="SimSun" w:cs="SimSun"/>
          <w:color w:val="212121"/>
          <w:sz w:val="24"/>
          <w:szCs w:val="24"/>
          <w:shd w:val="clear" w:color="auto" w:fill="FFFFFF"/>
          <w:lang w:eastAsia="zh-CN"/>
        </w:rPr>
        <w:t>情景</w:t>
      </w:r>
      <w:r w:rsidRPr="000309D2">
        <w:rPr>
          <w:rFonts w:ascii="SimSun" w:eastAsia="SimSun" w:hAnsi="SimSun" w:cs="SimSun" w:hint="eastAsia"/>
          <w:color w:val="212121"/>
          <w:sz w:val="24"/>
          <w:szCs w:val="24"/>
          <w:shd w:val="clear" w:color="auto" w:fill="FFFFFF"/>
          <w:lang w:eastAsia="zh-CN"/>
        </w:rPr>
        <w:t>设想，即</w:t>
      </w:r>
      <w:r w:rsidR="00AF42FB">
        <w:rPr>
          <w:rFonts w:ascii="SimSun" w:eastAsia="SimSun" w:hAnsi="SimSun" w:cs="SimSun" w:hint="eastAsia"/>
          <w:color w:val="212121"/>
          <w:sz w:val="24"/>
          <w:szCs w:val="24"/>
          <w:shd w:val="clear" w:color="auto" w:fill="FFFFFF"/>
          <w:lang w:eastAsia="zh-CN"/>
        </w:rPr>
        <w:t>“</w:t>
      </w:r>
      <w:r w:rsidRPr="000309D2">
        <w:rPr>
          <w:rFonts w:ascii="SimSun" w:eastAsia="SimSun" w:hAnsi="SimSun" w:cs="SimSun" w:hint="eastAsia"/>
          <w:color w:val="212121"/>
          <w:sz w:val="24"/>
          <w:szCs w:val="24"/>
          <w:shd w:val="clear" w:color="auto" w:fill="FFFFFF"/>
          <w:lang w:eastAsia="zh-CN"/>
        </w:rPr>
        <w:t>里约</w:t>
      </w:r>
      <w:r w:rsidRPr="000309D2">
        <w:rPr>
          <w:rFonts w:eastAsia="Times New Roman"/>
          <w:color w:val="212121"/>
          <w:sz w:val="24"/>
          <w:szCs w:val="24"/>
          <w:shd w:val="clear" w:color="auto" w:fill="FFFFFF"/>
          <w:lang w:eastAsia="zh-CN"/>
        </w:rPr>
        <w:t>+20</w:t>
      </w:r>
      <w:r w:rsidR="00AF42FB">
        <w:rPr>
          <w:rFonts w:eastAsiaTheme="minorEastAsia" w:hint="eastAsia"/>
          <w:color w:val="212121"/>
          <w:sz w:val="24"/>
          <w:szCs w:val="24"/>
          <w:shd w:val="clear" w:color="auto" w:fill="FFFFFF"/>
          <w:lang w:eastAsia="zh-CN"/>
        </w:rPr>
        <w:t>情景</w:t>
      </w:r>
      <w:r w:rsidRPr="000309D2">
        <w:rPr>
          <w:rFonts w:ascii="SimSun" w:eastAsia="SimSun" w:hAnsi="SimSun" w:cs="SimSun" w:hint="eastAsia"/>
          <w:color w:val="212121"/>
          <w:sz w:val="24"/>
          <w:szCs w:val="24"/>
          <w:shd w:val="clear" w:color="auto" w:fill="FFFFFF"/>
          <w:lang w:eastAsia="zh-CN"/>
        </w:rPr>
        <w:t>设想</w:t>
      </w:r>
      <w:r w:rsidR="00AF42FB">
        <w:rPr>
          <w:rFonts w:asciiTheme="minorEastAsia" w:eastAsiaTheme="minorEastAsia" w:hAnsiTheme="minorEastAsia"/>
          <w:color w:val="212121"/>
          <w:sz w:val="24"/>
          <w:szCs w:val="24"/>
          <w:shd w:val="clear" w:color="auto" w:fill="FFFFFF"/>
          <w:lang w:eastAsia="zh-CN"/>
        </w:rPr>
        <w:t>”</w:t>
      </w:r>
      <w:r w:rsidRPr="000309D2">
        <w:rPr>
          <w:rFonts w:ascii="SimSun" w:eastAsia="SimSun" w:hAnsi="SimSun" w:cs="SimSun" w:hint="eastAsia"/>
          <w:color w:val="212121"/>
          <w:sz w:val="24"/>
          <w:szCs w:val="24"/>
          <w:shd w:val="clear" w:color="auto" w:fill="FFFFFF"/>
          <w:lang w:eastAsia="zh-CN"/>
        </w:rPr>
        <w:t>来强调预期的未来成果，其中明确指出，评估全球一级趋势的能力是近五年来刚产生的。</w:t>
      </w:r>
    </w:p>
    <w:p w:rsidR="008D76BF" w:rsidRPr="000309D2" w:rsidRDefault="008D76BF" w:rsidP="009C2411">
      <w:pPr>
        <w:pStyle w:val="Para1"/>
        <w:numPr>
          <w:ilvl w:val="0"/>
          <w:numId w:val="10"/>
        </w:numPr>
        <w:tabs>
          <w:tab w:val="clear" w:pos="360"/>
          <w:tab w:val="left" w:pos="720"/>
        </w:tabs>
        <w:ind w:firstLine="0"/>
        <w:rPr>
          <w:rFonts w:eastAsia="Times New Roman"/>
          <w:color w:val="212121"/>
          <w:sz w:val="24"/>
          <w:szCs w:val="24"/>
          <w:shd w:val="clear" w:color="auto" w:fill="FFFFFF"/>
          <w:lang w:eastAsia="zh-CN"/>
        </w:rPr>
      </w:pPr>
      <w:r w:rsidRPr="000309D2">
        <w:rPr>
          <w:rFonts w:ascii="SimSun" w:eastAsia="SimSun" w:hAnsi="SimSun" w:cs="SimSun" w:hint="eastAsia"/>
          <w:color w:val="212121"/>
          <w:sz w:val="24"/>
          <w:szCs w:val="24"/>
          <w:shd w:val="clear" w:color="auto" w:fill="FFFFFF"/>
          <w:lang w:eastAsia="zh-CN"/>
        </w:rPr>
        <w:t>关于弯曲曲线需要采取哪些措施的问题，目前的研究工作</w:t>
      </w:r>
      <w:r>
        <w:rPr>
          <w:rFonts w:ascii="SimSun" w:eastAsia="SimSun" w:hAnsi="SimSun" w:cs="SimSun" w:hint="eastAsia"/>
          <w:color w:val="212121"/>
          <w:sz w:val="24"/>
          <w:szCs w:val="24"/>
          <w:shd w:val="clear" w:color="auto" w:fill="FFFFFF"/>
          <w:lang w:eastAsia="zh-CN"/>
        </w:rPr>
        <w:t>（</w:t>
      </w:r>
      <w:r w:rsidRPr="000309D2">
        <w:rPr>
          <w:rFonts w:ascii="SimSun" w:eastAsia="SimSun" w:hAnsi="SimSun" w:cs="SimSun" w:hint="eastAsia"/>
          <w:color w:val="212121"/>
          <w:sz w:val="24"/>
          <w:szCs w:val="24"/>
          <w:shd w:val="clear" w:color="auto" w:fill="FFFFFF"/>
          <w:lang w:eastAsia="zh-CN"/>
        </w:rPr>
        <w:t>包括生物多样性和生态系统服务政府间科学政策平台</w:t>
      </w:r>
      <w:r>
        <w:rPr>
          <w:rFonts w:ascii="SimSun" w:eastAsia="SimSun" w:hAnsi="SimSun" w:cs="SimSun" w:hint="eastAsia"/>
          <w:color w:val="212121"/>
          <w:sz w:val="24"/>
          <w:szCs w:val="24"/>
          <w:shd w:val="clear" w:color="auto" w:fill="FFFFFF"/>
          <w:lang w:eastAsia="zh-CN"/>
        </w:rPr>
        <w:t>（</w:t>
      </w:r>
      <w:r w:rsidRPr="000309D2">
        <w:rPr>
          <w:rFonts w:ascii="SimSun" w:eastAsia="SimSun" w:hAnsi="SimSun" w:cs="SimSun" w:hint="eastAsia"/>
          <w:color w:val="212121"/>
          <w:sz w:val="24"/>
          <w:szCs w:val="24"/>
          <w:shd w:val="clear" w:color="auto" w:fill="FFFFFF"/>
          <w:lang w:eastAsia="zh-CN"/>
        </w:rPr>
        <w:t>政府间科学政策平台</w:t>
      </w:r>
      <w:r>
        <w:rPr>
          <w:rFonts w:ascii="SimSun" w:eastAsia="SimSun" w:hAnsi="SimSun" w:cs="SimSun" w:hint="eastAsia"/>
          <w:color w:val="212121"/>
          <w:sz w:val="24"/>
          <w:szCs w:val="24"/>
          <w:shd w:val="clear" w:color="auto" w:fill="FFFFFF"/>
          <w:lang w:eastAsia="zh-CN"/>
        </w:rPr>
        <w:t>）</w:t>
      </w:r>
      <w:r w:rsidRPr="000309D2">
        <w:rPr>
          <w:rFonts w:ascii="SimSun" w:eastAsia="SimSun" w:hAnsi="SimSun" w:cs="SimSun" w:hint="eastAsia"/>
          <w:color w:val="212121"/>
          <w:sz w:val="24"/>
          <w:szCs w:val="24"/>
          <w:shd w:val="clear" w:color="auto" w:fill="FFFFFF"/>
          <w:lang w:eastAsia="zh-CN"/>
        </w:rPr>
        <w:t>支持的研究工作</w:t>
      </w:r>
      <w:r>
        <w:rPr>
          <w:rFonts w:ascii="SimSun" w:eastAsia="SimSun" w:hAnsi="SimSun" w:cs="SimSun" w:hint="eastAsia"/>
          <w:color w:val="212121"/>
          <w:sz w:val="24"/>
          <w:szCs w:val="24"/>
          <w:shd w:val="clear" w:color="auto" w:fill="FFFFFF"/>
          <w:lang w:eastAsia="zh-CN"/>
        </w:rPr>
        <w:t>）</w:t>
      </w:r>
      <w:r w:rsidRPr="000309D2">
        <w:rPr>
          <w:rFonts w:ascii="SimSun" w:eastAsia="SimSun" w:hAnsi="SimSun" w:cs="SimSun" w:hint="eastAsia"/>
          <w:color w:val="212121"/>
          <w:sz w:val="24"/>
          <w:szCs w:val="24"/>
          <w:shd w:val="clear" w:color="auto" w:fill="FFFFFF"/>
          <w:lang w:eastAsia="zh-CN"/>
        </w:rPr>
        <w:t>表明，只有单一的行动方案是不够的，确定一整套行动方案至关重要。为此，利用模型和</w:t>
      </w:r>
      <w:r w:rsidR="00AF42FB">
        <w:rPr>
          <w:rFonts w:ascii="SimSun" w:eastAsia="SimSun" w:hAnsi="SimSun" w:cs="SimSun" w:hint="eastAsia"/>
          <w:color w:val="212121"/>
          <w:sz w:val="24"/>
          <w:szCs w:val="24"/>
          <w:shd w:val="clear" w:color="auto" w:fill="FFFFFF"/>
          <w:lang w:eastAsia="zh-CN"/>
        </w:rPr>
        <w:t>情景</w:t>
      </w:r>
      <w:r w:rsidRPr="000309D2">
        <w:rPr>
          <w:rFonts w:ascii="SimSun" w:eastAsia="SimSun" w:hAnsi="SimSun" w:cs="SimSun" w:hint="eastAsia"/>
          <w:color w:val="212121"/>
          <w:sz w:val="24"/>
          <w:szCs w:val="24"/>
          <w:shd w:val="clear" w:color="auto" w:fill="FFFFFF"/>
          <w:lang w:eastAsia="zh-CN"/>
        </w:rPr>
        <w:t>设想是关键。尽管一切照旧的做法可使生物多样性指标保持稳定，但可能有必要更进一步。有好几个方法可用来实现可持续性，例如通过技术变革和改变消费模式，答案是努力建立一个包括保护物种和生态系统的传统保护组合，因此，必须继续努力促进可持续粮食生产和消费以及可持续用水和生态系统恢复，否则曲线永远不会弯曲。有关上述组合的一种</w:t>
      </w:r>
      <w:r w:rsidR="00AF42FB">
        <w:rPr>
          <w:rFonts w:ascii="SimSun" w:eastAsia="SimSun" w:hAnsi="SimSun" w:cs="SimSun" w:hint="eastAsia"/>
          <w:color w:val="212121"/>
          <w:sz w:val="24"/>
          <w:szCs w:val="24"/>
          <w:shd w:val="clear" w:color="auto" w:fill="FFFFFF"/>
          <w:lang w:eastAsia="zh-CN"/>
        </w:rPr>
        <w:t>情景</w:t>
      </w:r>
      <w:r w:rsidRPr="000309D2">
        <w:rPr>
          <w:rFonts w:ascii="SimSun" w:eastAsia="SimSun" w:hAnsi="SimSun" w:cs="SimSun" w:hint="eastAsia"/>
          <w:color w:val="212121"/>
          <w:sz w:val="24"/>
          <w:szCs w:val="24"/>
          <w:shd w:val="clear" w:color="auto" w:fill="FFFFFF"/>
          <w:lang w:eastAsia="zh-CN"/>
        </w:rPr>
        <w:t>设想是实现各项爱知生物多样性指标，使整个地球更加有利于生物多样性，而不是采取</w:t>
      </w:r>
      <w:r w:rsidRPr="00AF42FB">
        <w:rPr>
          <w:rFonts w:asciiTheme="minorEastAsia" w:eastAsiaTheme="minorEastAsia" w:hAnsiTheme="minorEastAsia"/>
          <w:color w:val="212121"/>
          <w:sz w:val="24"/>
          <w:szCs w:val="24"/>
          <w:shd w:val="clear" w:color="auto" w:fill="FFFFFF"/>
          <w:lang w:eastAsia="zh-CN"/>
        </w:rPr>
        <w:t>“</w:t>
      </w:r>
      <w:r w:rsidRPr="00AF42FB">
        <w:rPr>
          <w:rFonts w:asciiTheme="minorEastAsia" w:eastAsiaTheme="minorEastAsia" w:hAnsiTheme="minorEastAsia" w:cs="SimSun" w:hint="eastAsia"/>
          <w:color w:val="212121"/>
          <w:sz w:val="24"/>
          <w:szCs w:val="24"/>
          <w:shd w:val="clear" w:color="auto" w:fill="FFFFFF"/>
          <w:lang w:eastAsia="zh-CN"/>
        </w:rPr>
        <w:t>半个地球</w:t>
      </w:r>
      <w:r w:rsidRPr="00AF42FB">
        <w:rPr>
          <w:rFonts w:asciiTheme="minorEastAsia" w:eastAsiaTheme="minorEastAsia" w:hAnsiTheme="minorEastAsia"/>
          <w:color w:val="212121"/>
          <w:sz w:val="24"/>
          <w:szCs w:val="24"/>
          <w:shd w:val="clear" w:color="auto" w:fill="FFFFFF"/>
          <w:lang w:eastAsia="zh-CN"/>
        </w:rPr>
        <w:t>”</w:t>
      </w:r>
      <w:r w:rsidRPr="000309D2">
        <w:rPr>
          <w:rFonts w:ascii="SimSun" w:eastAsia="SimSun" w:hAnsi="SimSun" w:cs="SimSun" w:hint="eastAsia"/>
          <w:color w:val="212121"/>
          <w:sz w:val="24"/>
          <w:szCs w:val="24"/>
          <w:shd w:val="clear" w:color="auto" w:fill="FFFFFF"/>
          <w:lang w:eastAsia="zh-CN"/>
        </w:rPr>
        <w:t>方式，这种方式除其他外，大大增加了粮食供应冲突的风险。各国在决定最适当的行动方案时有多项选择可以采用，不仅可选择技术解决方案，还可选择非技术解决方案，例如减少毁林和促进重新造林，这取决于实施这些方案的国家和地方的具体情况。</w:t>
      </w:r>
    </w:p>
    <w:p w:rsidR="008D76BF" w:rsidRPr="00FE7644" w:rsidRDefault="008D76BF" w:rsidP="009C2411">
      <w:pPr>
        <w:pStyle w:val="Para1"/>
        <w:tabs>
          <w:tab w:val="clear" w:pos="360"/>
          <w:tab w:val="left" w:pos="720"/>
        </w:tabs>
        <w:ind w:firstLine="0"/>
        <w:rPr>
          <w:rFonts w:ascii="KaiTi" w:eastAsia="KaiTi" w:hAnsi="KaiTi"/>
          <w:color w:val="212121"/>
          <w:sz w:val="24"/>
          <w:szCs w:val="24"/>
          <w:shd w:val="clear" w:color="auto" w:fill="FFFFFF"/>
          <w:lang w:eastAsia="zh-CN"/>
        </w:rPr>
      </w:pPr>
      <w:r w:rsidRPr="00FE7644">
        <w:rPr>
          <w:rFonts w:ascii="KaiTi" w:eastAsia="KaiTi" w:hAnsi="KaiTi" w:hint="eastAsia"/>
          <w:color w:val="212121"/>
          <w:sz w:val="24"/>
          <w:szCs w:val="24"/>
          <w:shd w:val="clear" w:color="auto" w:fill="FFFFFF"/>
          <w:lang w:eastAsia="zh-CN"/>
        </w:rPr>
        <w:t>菲律宾全球青年生物多样性网络东南亚分会共同协调员</w:t>
      </w:r>
      <w:r w:rsidRPr="00FE7644">
        <w:rPr>
          <w:rFonts w:ascii="KaiTi" w:eastAsia="KaiTi" w:hAnsi="KaiTi"/>
          <w:color w:val="212121"/>
          <w:sz w:val="24"/>
          <w:szCs w:val="24"/>
          <w:shd w:val="clear" w:color="auto" w:fill="FFFFFF"/>
          <w:lang w:eastAsia="zh-CN"/>
        </w:rPr>
        <w:t>Josefa Carino Tauli</w:t>
      </w:r>
      <w:r w:rsidRPr="00FE7644">
        <w:rPr>
          <w:rFonts w:ascii="KaiTi" w:eastAsia="KaiTi" w:hAnsi="KaiTi" w:hint="eastAsia"/>
          <w:color w:val="212121"/>
          <w:sz w:val="24"/>
          <w:szCs w:val="24"/>
          <w:shd w:val="clear" w:color="auto" w:fill="FFFFFF"/>
          <w:lang w:eastAsia="zh-CN"/>
        </w:rPr>
        <w:t>女士</w:t>
      </w:r>
    </w:p>
    <w:p w:rsidR="008D76BF" w:rsidRPr="000309D2" w:rsidRDefault="008D76BF" w:rsidP="009C2411">
      <w:pPr>
        <w:pStyle w:val="Para1"/>
        <w:numPr>
          <w:ilvl w:val="0"/>
          <w:numId w:val="10"/>
        </w:numPr>
        <w:tabs>
          <w:tab w:val="clear" w:pos="360"/>
          <w:tab w:val="left" w:pos="720"/>
        </w:tabs>
        <w:ind w:firstLine="0"/>
        <w:rPr>
          <w:rFonts w:eastAsia="Times New Roman"/>
          <w:color w:val="212121"/>
          <w:sz w:val="24"/>
          <w:szCs w:val="24"/>
          <w:shd w:val="clear" w:color="auto" w:fill="FFFFFF"/>
          <w:lang w:eastAsia="zh-CN"/>
        </w:rPr>
      </w:pPr>
      <w:r w:rsidRPr="000309D2">
        <w:rPr>
          <w:rFonts w:eastAsia="Times New Roman"/>
          <w:color w:val="212121"/>
          <w:sz w:val="24"/>
          <w:szCs w:val="24"/>
          <w:shd w:val="clear" w:color="auto" w:fill="FFFFFF"/>
          <w:lang w:eastAsia="zh-CN"/>
        </w:rPr>
        <w:t>Carino Tauli</w:t>
      </w:r>
      <w:r w:rsidRPr="000309D2">
        <w:rPr>
          <w:rFonts w:ascii="SimSun" w:eastAsia="SimSun" w:hAnsi="SimSun" w:cs="SimSun" w:hint="eastAsia"/>
          <w:color w:val="212121"/>
          <w:sz w:val="24"/>
          <w:szCs w:val="24"/>
          <w:shd w:val="clear" w:color="auto" w:fill="FFFFFF"/>
          <w:lang w:eastAsia="zh-CN"/>
        </w:rPr>
        <w:t>女士是土著人民</w:t>
      </w:r>
      <w:r w:rsidRPr="000309D2">
        <w:rPr>
          <w:rFonts w:eastAsia="Times New Roman"/>
          <w:color w:val="212121"/>
          <w:sz w:val="24"/>
          <w:szCs w:val="24"/>
          <w:shd w:val="clear" w:color="auto" w:fill="FFFFFF"/>
          <w:lang w:eastAsia="zh-CN"/>
        </w:rPr>
        <w:t>Igoot</w:t>
      </w:r>
      <w:r w:rsidRPr="000309D2">
        <w:rPr>
          <w:rFonts w:ascii="SimSun" w:eastAsia="SimSun" w:hAnsi="SimSun" w:cs="SimSun" w:hint="eastAsia"/>
          <w:color w:val="212121"/>
          <w:sz w:val="24"/>
          <w:szCs w:val="24"/>
          <w:shd w:val="clear" w:color="auto" w:fill="FFFFFF"/>
          <w:lang w:eastAsia="zh-CN"/>
        </w:rPr>
        <w:t>群体的成员，她指出在实现《公约》规定的</w:t>
      </w:r>
      <w:r w:rsidRPr="000309D2">
        <w:rPr>
          <w:rFonts w:eastAsia="Times New Roman"/>
          <w:color w:val="212121"/>
          <w:sz w:val="24"/>
          <w:szCs w:val="24"/>
          <w:shd w:val="clear" w:color="auto" w:fill="FFFFFF"/>
          <w:lang w:eastAsia="zh-CN"/>
        </w:rPr>
        <w:t>2020</w:t>
      </w:r>
      <w:r w:rsidRPr="000309D2">
        <w:rPr>
          <w:rFonts w:ascii="SimSun" w:eastAsia="SimSun" w:hAnsi="SimSun" w:cs="SimSun" w:hint="eastAsia"/>
          <w:color w:val="212121"/>
          <w:sz w:val="24"/>
          <w:szCs w:val="24"/>
          <w:shd w:val="clear" w:color="auto" w:fill="FFFFFF"/>
          <w:lang w:eastAsia="zh-CN"/>
        </w:rPr>
        <w:t>年目标方面缺乏进展，强调必须抵制诱惑，不要将行动推迟到</w:t>
      </w:r>
      <w:r w:rsidRPr="000309D2">
        <w:rPr>
          <w:rFonts w:eastAsia="Times New Roman"/>
          <w:color w:val="212121"/>
          <w:sz w:val="24"/>
          <w:szCs w:val="24"/>
          <w:shd w:val="clear" w:color="auto" w:fill="FFFFFF"/>
          <w:lang w:eastAsia="zh-CN"/>
        </w:rPr>
        <w:t>2020</w:t>
      </w:r>
      <w:r w:rsidRPr="000309D2">
        <w:rPr>
          <w:rFonts w:ascii="SimSun" w:eastAsia="SimSun" w:hAnsi="SimSun" w:cs="SimSun" w:hint="eastAsia"/>
          <w:color w:val="212121"/>
          <w:sz w:val="24"/>
          <w:szCs w:val="24"/>
          <w:shd w:val="clear" w:color="auto" w:fill="FFFFFF"/>
          <w:lang w:eastAsia="zh-CN"/>
        </w:rPr>
        <w:t>年后战略计划期间，而应立即采取行动处理生物多样性危机。</w:t>
      </w:r>
    </w:p>
    <w:p w:rsidR="008D76BF" w:rsidRPr="000309D2" w:rsidRDefault="008D76BF" w:rsidP="009C2411">
      <w:pPr>
        <w:pStyle w:val="Para1"/>
        <w:numPr>
          <w:ilvl w:val="0"/>
          <w:numId w:val="10"/>
        </w:numPr>
        <w:tabs>
          <w:tab w:val="clear" w:pos="360"/>
          <w:tab w:val="left" w:pos="720"/>
        </w:tabs>
        <w:ind w:firstLine="0"/>
        <w:rPr>
          <w:rFonts w:eastAsia="Times New Roman"/>
          <w:color w:val="212121"/>
          <w:sz w:val="24"/>
          <w:szCs w:val="24"/>
          <w:shd w:val="clear" w:color="auto" w:fill="FFFFFF"/>
          <w:lang w:eastAsia="zh-CN"/>
        </w:rPr>
      </w:pPr>
      <w:r w:rsidRPr="000309D2">
        <w:rPr>
          <w:rFonts w:ascii="SimSun" w:eastAsia="SimSun" w:hAnsi="SimSun" w:cs="SimSun" w:hint="eastAsia"/>
          <w:color w:val="212121"/>
          <w:sz w:val="24"/>
          <w:szCs w:val="24"/>
          <w:shd w:val="clear" w:color="auto" w:fill="FFFFFF"/>
          <w:lang w:eastAsia="zh-CN"/>
        </w:rPr>
        <w:lastRenderedPageBreak/>
        <w:t>几千年来，土著人民在其传统价值观和做法的指导下，一直积极参与自然资源的可持续利用和管理，以造福今世后代。作为生物多样性的守护者，土著人民和地方社区正在共同努力，推进实现《战略计划》的目标和爱知生物多样性指标，支持他们的行动是实现这一目标的最有效手段之一。然而，主流保护工作却将他们排除在解决方案之外，这侵犯了他们的土地权、生命权、自由事先知情同意权以及安全健康的环境权等各项人权。尊重和保护土著人民领地的基于权利的方法是确保人民与自然和谐相处的</w:t>
      </w:r>
      <w:r w:rsidRPr="000309D2">
        <w:rPr>
          <w:rFonts w:eastAsia="Times New Roman"/>
          <w:color w:val="212121"/>
          <w:sz w:val="24"/>
          <w:szCs w:val="24"/>
          <w:shd w:val="clear" w:color="auto" w:fill="FFFFFF"/>
          <w:lang w:eastAsia="zh-CN"/>
        </w:rPr>
        <w:t>2050</w:t>
      </w:r>
      <w:r w:rsidRPr="000309D2">
        <w:rPr>
          <w:rFonts w:ascii="SimSun" w:eastAsia="SimSun" w:hAnsi="SimSun" w:cs="SimSun" w:hint="eastAsia"/>
          <w:color w:val="212121"/>
          <w:sz w:val="24"/>
          <w:szCs w:val="24"/>
          <w:shd w:val="clear" w:color="auto" w:fill="FFFFFF"/>
          <w:lang w:eastAsia="zh-CN"/>
        </w:rPr>
        <w:t>年愿景目标的关键。将土著知识系统和做法充分纳入《公约》将有可能利用传统的农业生态耕作系统改变目前不可持续的生产和消费模式；有效管理当前的保护区网络；将生物多样性纳入经济发展的主流；促进保护当地语言，从而促进保护文化和语言多样性；并解决社会公正和平等的重大问题。</w:t>
      </w:r>
    </w:p>
    <w:p w:rsidR="008D76BF" w:rsidRPr="000309D2" w:rsidRDefault="008D76BF" w:rsidP="009C2411">
      <w:pPr>
        <w:pStyle w:val="Para1"/>
        <w:numPr>
          <w:ilvl w:val="0"/>
          <w:numId w:val="10"/>
        </w:numPr>
        <w:tabs>
          <w:tab w:val="clear" w:pos="360"/>
          <w:tab w:val="left" w:pos="720"/>
        </w:tabs>
        <w:ind w:firstLine="0"/>
        <w:rPr>
          <w:rFonts w:eastAsia="Times New Roman"/>
          <w:color w:val="212121"/>
          <w:sz w:val="24"/>
          <w:szCs w:val="24"/>
          <w:shd w:val="clear" w:color="auto" w:fill="FFFFFF"/>
          <w:lang w:eastAsia="zh-CN"/>
        </w:rPr>
      </w:pPr>
      <w:r w:rsidRPr="000309D2">
        <w:rPr>
          <w:rFonts w:ascii="SimSun" w:eastAsia="SimSun" w:hAnsi="SimSun" w:cs="SimSun" w:hint="eastAsia"/>
          <w:color w:val="212121"/>
          <w:sz w:val="24"/>
          <w:szCs w:val="24"/>
          <w:shd w:val="clear" w:color="auto" w:fill="FFFFFF"/>
          <w:lang w:eastAsia="zh-CN"/>
        </w:rPr>
        <w:t>代际学习和交流对于长者向年轻人传播知识至关重要，但这不仅仅是一个单向的过程：老年人也可以从年轻人那里学到很多东西。作为知识的继承者，土著青年和全球青年都有责任为子孙后代传授这些知识，从而促进其社区的适应性和复原力。她敦请她的长辈们倾听并信任她这一代人的新想法、新技能和新能量。青年和幼儿特别容易受到粮食和水短缺、战争、环境灾难、失业、犯罪和贫穷的影响，</w:t>
      </w:r>
      <w:r w:rsidR="009D782B">
        <w:rPr>
          <w:rFonts w:ascii="SimSun" w:eastAsia="SimSun" w:hAnsi="SimSun" w:cs="SimSun" w:hint="eastAsia"/>
          <w:color w:val="212121"/>
          <w:sz w:val="24"/>
          <w:szCs w:val="24"/>
          <w:shd w:val="clear" w:color="auto" w:fill="FFFFFF"/>
          <w:lang w:eastAsia="zh-CN"/>
        </w:rPr>
        <w:t>应当</w:t>
      </w:r>
      <w:r w:rsidRPr="000309D2">
        <w:rPr>
          <w:rFonts w:ascii="SimSun" w:eastAsia="SimSun" w:hAnsi="SimSun" w:cs="SimSun" w:hint="eastAsia"/>
          <w:color w:val="212121"/>
          <w:sz w:val="24"/>
          <w:szCs w:val="24"/>
          <w:shd w:val="clear" w:color="auto" w:fill="FFFFFF"/>
          <w:lang w:eastAsia="zh-CN"/>
        </w:rPr>
        <w:t>向他们提供机会参与对他们产生影响的问题的决策，并为化解当前环境危机的努力做出贡献，使人能够与自然和谐相处。</w:t>
      </w:r>
    </w:p>
    <w:p w:rsidR="008D76BF" w:rsidRPr="001F1B68" w:rsidRDefault="008D76BF" w:rsidP="009C2411">
      <w:pPr>
        <w:keepNext/>
        <w:tabs>
          <w:tab w:val="left" w:pos="720"/>
        </w:tabs>
        <w:ind w:firstLine="0"/>
        <w:rPr>
          <w:snapToGrid w:val="0"/>
          <w:kern w:val="22"/>
          <w:lang w:val="en-GB" w:eastAsia="zh-CN"/>
        </w:rPr>
      </w:pPr>
      <w:r w:rsidRPr="001F1B68">
        <w:rPr>
          <w:rFonts w:ascii="KaiTi" w:eastAsia="KaiTi" w:hAnsi="KaiTi" w:cs="SimSun" w:hint="eastAsia"/>
          <w:snapToGrid w:val="0"/>
          <w:kern w:val="22"/>
          <w:lang w:val="en-GB" w:eastAsia="zh-CN"/>
        </w:rPr>
        <w:t>中国科学院动物研究所教授魏辅文先生，野生生物生态与保护学教授</w:t>
      </w:r>
    </w:p>
    <w:p w:rsidR="008D76BF" w:rsidRPr="00366D37" w:rsidRDefault="008D76BF" w:rsidP="009C2411">
      <w:pPr>
        <w:pStyle w:val="Para1"/>
        <w:numPr>
          <w:ilvl w:val="0"/>
          <w:numId w:val="10"/>
        </w:numPr>
        <w:tabs>
          <w:tab w:val="clear" w:pos="360"/>
          <w:tab w:val="left" w:pos="720"/>
        </w:tabs>
        <w:ind w:firstLine="0"/>
        <w:rPr>
          <w:rFonts w:eastAsia="Times New Roman"/>
          <w:color w:val="212121"/>
          <w:sz w:val="24"/>
          <w:szCs w:val="24"/>
          <w:shd w:val="clear" w:color="auto" w:fill="FFFFFF"/>
          <w:lang w:eastAsia="zh-CN"/>
        </w:rPr>
      </w:pPr>
      <w:r w:rsidRPr="00366D37">
        <w:rPr>
          <w:rFonts w:ascii="SimSun" w:eastAsia="SimSun" w:hAnsi="SimSun" w:cs="SimSun" w:hint="eastAsia"/>
          <w:color w:val="212121"/>
          <w:sz w:val="24"/>
          <w:szCs w:val="24"/>
          <w:shd w:val="clear" w:color="auto" w:fill="FFFFFF"/>
          <w:lang w:eastAsia="zh-CN"/>
        </w:rPr>
        <w:t>魏先生在题为</w:t>
      </w:r>
      <w:r w:rsidRPr="00554EB4">
        <w:rPr>
          <w:rFonts w:asciiTheme="minorEastAsia" w:eastAsiaTheme="minorEastAsia" w:hAnsiTheme="minorEastAsia"/>
          <w:color w:val="212121"/>
          <w:sz w:val="24"/>
          <w:szCs w:val="24"/>
          <w:shd w:val="clear" w:color="auto" w:fill="FFFFFF"/>
          <w:lang w:eastAsia="zh-CN"/>
        </w:rPr>
        <w:t>“</w:t>
      </w:r>
      <w:r w:rsidRPr="00554EB4">
        <w:rPr>
          <w:rFonts w:asciiTheme="minorEastAsia" w:eastAsiaTheme="minorEastAsia" w:hAnsiTheme="minorEastAsia" w:cs="SimSun" w:hint="eastAsia"/>
          <w:color w:val="212121"/>
          <w:sz w:val="24"/>
          <w:szCs w:val="24"/>
          <w:shd w:val="clear" w:color="auto" w:fill="FFFFFF"/>
          <w:lang w:eastAsia="zh-CN"/>
        </w:rPr>
        <w:t>如何保证自然与人类的统一</w:t>
      </w:r>
      <w:r w:rsidRPr="00554EB4">
        <w:rPr>
          <w:rFonts w:asciiTheme="minorEastAsia" w:eastAsiaTheme="minorEastAsia" w:hAnsiTheme="minorEastAsia"/>
          <w:color w:val="212121"/>
          <w:sz w:val="24"/>
          <w:szCs w:val="24"/>
          <w:shd w:val="clear" w:color="auto" w:fill="FFFFFF"/>
          <w:lang w:eastAsia="zh-CN"/>
        </w:rPr>
        <w:t>——</w:t>
      </w:r>
      <w:r w:rsidRPr="00554EB4">
        <w:rPr>
          <w:rFonts w:asciiTheme="minorEastAsia" w:eastAsiaTheme="minorEastAsia" w:hAnsiTheme="minorEastAsia" w:cs="SimSun" w:hint="eastAsia"/>
          <w:color w:val="212121"/>
          <w:sz w:val="24"/>
          <w:szCs w:val="24"/>
          <w:shd w:val="clear" w:color="auto" w:fill="FFFFFF"/>
          <w:lang w:eastAsia="zh-CN"/>
        </w:rPr>
        <w:t>生态文明</w:t>
      </w:r>
      <w:r w:rsidRPr="00554EB4">
        <w:rPr>
          <w:rFonts w:asciiTheme="minorEastAsia" w:eastAsiaTheme="minorEastAsia" w:hAnsiTheme="minorEastAsia"/>
          <w:color w:val="212121"/>
          <w:sz w:val="24"/>
          <w:szCs w:val="24"/>
          <w:shd w:val="clear" w:color="auto" w:fill="FFFFFF"/>
          <w:lang w:eastAsia="zh-CN"/>
        </w:rPr>
        <w:t>”</w:t>
      </w:r>
      <w:r w:rsidRPr="00366D37">
        <w:rPr>
          <w:rFonts w:ascii="SimSun" w:eastAsia="SimSun" w:hAnsi="SimSun" w:cs="SimSun" w:hint="eastAsia"/>
          <w:color w:val="212121"/>
          <w:sz w:val="24"/>
          <w:szCs w:val="24"/>
          <w:shd w:val="clear" w:color="auto" w:fill="FFFFFF"/>
          <w:lang w:eastAsia="zh-CN"/>
        </w:rPr>
        <w:t>的发言中，提请注意以下事实，即，科学界警告说，环境危机已经把地球带到动植物生命第六次大灭绝的边缘，为此，中国政府提出了坚持生态文明的概念：这种文明包括史前人类对自然的依赖；这种依赖性的转型以及农业和工业革命对自然的征服；现如今通过协调</w:t>
      </w:r>
      <w:r w:rsidR="00B47408">
        <w:rPr>
          <w:rFonts w:ascii="SimSun" w:eastAsia="SimSun" w:hAnsi="SimSun" w:cs="SimSun" w:hint="eastAsia"/>
          <w:color w:val="212121"/>
          <w:sz w:val="24"/>
          <w:szCs w:val="24"/>
          <w:shd w:val="clear" w:color="auto" w:fill="FFFFFF"/>
          <w:lang w:eastAsia="zh-CN"/>
        </w:rPr>
        <w:t>实施</w:t>
      </w:r>
      <w:r w:rsidRPr="00366D37">
        <w:rPr>
          <w:rFonts w:ascii="SimSun" w:eastAsia="SimSun" w:hAnsi="SimSun" w:cs="SimSun" w:hint="eastAsia"/>
          <w:color w:val="212121"/>
          <w:sz w:val="24"/>
          <w:szCs w:val="24"/>
          <w:shd w:val="clear" w:color="auto" w:fill="FFFFFF"/>
          <w:lang w:eastAsia="zh-CN"/>
        </w:rPr>
        <w:t>创新、绿色、可持续发展的手段，尊重和保护自然，以追求更加稳定和健康的生活。</w:t>
      </w:r>
    </w:p>
    <w:p w:rsidR="008D76BF" w:rsidRPr="00366D37" w:rsidRDefault="008D76BF" w:rsidP="009C2411">
      <w:pPr>
        <w:pStyle w:val="Para1"/>
        <w:numPr>
          <w:ilvl w:val="0"/>
          <w:numId w:val="10"/>
        </w:numPr>
        <w:tabs>
          <w:tab w:val="clear" w:pos="360"/>
          <w:tab w:val="left" w:pos="720"/>
        </w:tabs>
        <w:ind w:firstLine="0"/>
        <w:rPr>
          <w:rFonts w:eastAsia="Times New Roman"/>
          <w:color w:val="212121"/>
          <w:sz w:val="24"/>
          <w:szCs w:val="24"/>
          <w:shd w:val="clear" w:color="auto" w:fill="FFFFFF"/>
          <w:lang w:eastAsia="zh-CN"/>
        </w:rPr>
      </w:pPr>
      <w:r w:rsidRPr="00366D37">
        <w:rPr>
          <w:rFonts w:ascii="SimSun" w:eastAsia="SimSun" w:hAnsi="SimSun" w:cs="SimSun" w:hint="eastAsia"/>
          <w:color w:val="212121"/>
          <w:sz w:val="24"/>
          <w:szCs w:val="24"/>
          <w:shd w:val="clear" w:color="auto" w:fill="FFFFFF"/>
          <w:lang w:eastAsia="zh-CN"/>
        </w:rPr>
        <w:t>爱知生物多样性的大多数目标在</w:t>
      </w:r>
      <w:r w:rsidRPr="00366D37">
        <w:rPr>
          <w:rFonts w:eastAsia="Times New Roman"/>
          <w:color w:val="212121"/>
          <w:sz w:val="24"/>
          <w:szCs w:val="24"/>
          <w:shd w:val="clear" w:color="auto" w:fill="FFFFFF"/>
          <w:lang w:eastAsia="zh-CN"/>
        </w:rPr>
        <w:t>2020</w:t>
      </w:r>
      <w:r w:rsidRPr="00366D37">
        <w:rPr>
          <w:rFonts w:ascii="SimSun" w:eastAsia="SimSun" w:hAnsi="SimSun" w:cs="SimSun" w:hint="eastAsia"/>
          <w:color w:val="212121"/>
          <w:sz w:val="24"/>
          <w:szCs w:val="24"/>
          <w:shd w:val="clear" w:color="auto" w:fill="FFFFFF"/>
          <w:lang w:eastAsia="zh-CN"/>
        </w:rPr>
        <w:t>年之前都不可能实现，这可能是因为制定了过于雄心勃勃的标准，以及保护和发展目标之间有冲突。迄今为止，保护区的重点仅限于保护生物多样性和濒危生态系统，而并没有考虑人类的生态系统。如果没有生态系统服务提供的安全食品、清洁水和新鲜空气，人类就无法生存。因此在人与自然之间建立联系至关重要。为此，可将保护区重新定义为有利于人类生存和社会发展的核心生产区，这将有助于提高认识并促进民间社会的积极参与。</w:t>
      </w:r>
    </w:p>
    <w:p w:rsidR="008D76BF" w:rsidRPr="00366D37" w:rsidRDefault="008D76BF" w:rsidP="009C2411">
      <w:pPr>
        <w:pStyle w:val="Para1"/>
        <w:numPr>
          <w:ilvl w:val="0"/>
          <w:numId w:val="10"/>
        </w:numPr>
        <w:tabs>
          <w:tab w:val="clear" w:pos="360"/>
          <w:tab w:val="left" w:pos="720"/>
        </w:tabs>
        <w:ind w:firstLine="0"/>
        <w:rPr>
          <w:rFonts w:eastAsia="Times New Roman"/>
          <w:color w:val="212121"/>
          <w:sz w:val="24"/>
          <w:szCs w:val="24"/>
          <w:shd w:val="clear" w:color="auto" w:fill="FFFFFF"/>
          <w:lang w:eastAsia="zh-CN"/>
        </w:rPr>
      </w:pPr>
      <w:r w:rsidRPr="00366D37">
        <w:rPr>
          <w:rFonts w:ascii="SimSun" w:eastAsia="SimSun" w:hAnsi="SimSun" w:cs="SimSun" w:hint="eastAsia"/>
          <w:color w:val="212121"/>
          <w:sz w:val="24"/>
          <w:szCs w:val="24"/>
          <w:shd w:val="clear" w:color="auto" w:fill="FFFFFF"/>
          <w:lang w:eastAsia="zh-CN"/>
        </w:rPr>
        <w:t>预计到</w:t>
      </w:r>
      <w:r w:rsidRPr="00366D37">
        <w:rPr>
          <w:rFonts w:eastAsia="Times New Roman"/>
          <w:color w:val="212121"/>
          <w:sz w:val="24"/>
          <w:szCs w:val="24"/>
          <w:shd w:val="clear" w:color="auto" w:fill="FFFFFF"/>
          <w:lang w:eastAsia="zh-CN"/>
        </w:rPr>
        <w:t>2050</w:t>
      </w:r>
      <w:r w:rsidRPr="00366D37">
        <w:rPr>
          <w:rFonts w:ascii="SimSun" w:eastAsia="SimSun" w:hAnsi="SimSun" w:cs="SimSun" w:hint="eastAsia"/>
          <w:color w:val="212121"/>
          <w:sz w:val="24"/>
          <w:szCs w:val="24"/>
          <w:shd w:val="clear" w:color="auto" w:fill="FFFFFF"/>
          <w:lang w:eastAsia="zh-CN"/>
        </w:rPr>
        <w:t>年全球人口将增至</w:t>
      </w:r>
      <w:r w:rsidRPr="00366D37">
        <w:rPr>
          <w:rFonts w:eastAsia="Times New Roman"/>
          <w:color w:val="212121"/>
          <w:sz w:val="24"/>
          <w:szCs w:val="24"/>
          <w:shd w:val="clear" w:color="auto" w:fill="FFFFFF"/>
          <w:lang w:eastAsia="zh-CN"/>
        </w:rPr>
        <w:t>100</w:t>
      </w:r>
      <w:r w:rsidRPr="00366D37">
        <w:rPr>
          <w:rFonts w:ascii="SimSun" w:eastAsia="SimSun" w:hAnsi="SimSun" w:cs="SimSun" w:hint="eastAsia"/>
          <w:color w:val="212121"/>
          <w:sz w:val="24"/>
          <w:szCs w:val="24"/>
          <w:shd w:val="clear" w:color="auto" w:fill="FFFFFF"/>
          <w:lang w:eastAsia="zh-CN"/>
        </w:rPr>
        <w:t>亿，而可用土地数量将减少，面临的问题是给予自然保护的关注度应该是多少。当然，答案是应尽可能多地关注。例如，中国在挽救大熊猫因为栖息地分散和缩小濒临灭绝方面取得了显著成功，但国际自然保护联盟</w:t>
      </w:r>
      <w:r>
        <w:rPr>
          <w:rFonts w:ascii="SimSun" w:eastAsia="SimSun" w:hAnsi="SimSun" w:cs="SimSun" w:hint="eastAsia"/>
          <w:color w:val="212121"/>
          <w:sz w:val="24"/>
          <w:szCs w:val="24"/>
          <w:shd w:val="clear" w:color="auto" w:fill="FFFFFF"/>
          <w:lang w:eastAsia="zh-CN"/>
        </w:rPr>
        <w:t>（</w:t>
      </w:r>
      <w:r w:rsidRPr="00366D37">
        <w:rPr>
          <w:rFonts w:eastAsia="Times New Roman"/>
          <w:color w:val="212121"/>
          <w:sz w:val="24"/>
          <w:szCs w:val="24"/>
          <w:shd w:val="clear" w:color="auto" w:fill="FFFFFF"/>
          <w:lang w:eastAsia="zh-CN"/>
        </w:rPr>
        <w:t>IUCN</w:t>
      </w:r>
      <w:r>
        <w:rPr>
          <w:rFonts w:ascii="SimSun" w:eastAsia="SimSun" w:hAnsi="SimSun" w:cs="SimSun" w:hint="eastAsia"/>
          <w:color w:val="212121"/>
          <w:sz w:val="24"/>
          <w:szCs w:val="24"/>
          <w:shd w:val="clear" w:color="auto" w:fill="FFFFFF"/>
          <w:lang w:eastAsia="zh-CN"/>
        </w:rPr>
        <w:t>）</w:t>
      </w:r>
      <w:r w:rsidRPr="00366D37">
        <w:rPr>
          <w:rFonts w:ascii="SimSun" w:eastAsia="SimSun" w:hAnsi="SimSun" w:cs="SimSun" w:hint="eastAsia"/>
          <w:color w:val="212121"/>
          <w:sz w:val="24"/>
          <w:szCs w:val="24"/>
          <w:shd w:val="clear" w:color="auto" w:fill="FFFFFF"/>
          <w:lang w:eastAsia="zh-CN"/>
        </w:rPr>
        <w:t>随即将该物种的状态从濒危状态升级为脆弱状态，这表明需要采取一种新的办法，以查明在保护自然与其他目标之间必须取得平衡的关键点。</w:t>
      </w:r>
      <w:r w:rsidRPr="008D6349">
        <w:rPr>
          <w:rFonts w:asciiTheme="minorEastAsia" w:eastAsiaTheme="minorEastAsia" w:hAnsiTheme="minorEastAsia" w:cs="SimSun" w:hint="eastAsia"/>
          <w:color w:val="212121"/>
          <w:sz w:val="24"/>
          <w:szCs w:val="24"/>
          <w:shd w:val="clear" w:color="auto" w:fill="FFFFFF"/>
          <w:lang w:eastAsia="zh-CN"/>
        </w:rPr>
        <w:t>提出所谓</w:t>
      </w:r>
      <w:r w:rsidRPr="008D6349">
        <w:rPr>
          <w:rFonts w:asciiTheme="minorEastAsia" w:eastAsiaTheme="minorEastAsia" w:hAnsiTheme="minorEastAsia"/>
          <w:color w:val="212121"/>
          <w:sz w:val="24"/>
          <w:szCs w:val="24"/>
          <w:shd w:val="clear" w:color="auto" w:fill="FFFFFF"/>
          <w:lang w:eastAsia="zh-CN"/>
        </w:rPr>
        <w:t>“</w:t>
      </w:r>
      <w:r w:rsidRPr="008D6349">
        <w:rPr>
          <w:rFonts w:asciiTheme="minorEastAsia" w:eastAsiaTheme="minorEastAsia" w:hAnsiTheme="minorEastAsia" w:cs="SimSun" w:hint="eastAsia"/>
          <w:color w:val="212121"/>
          <w:sz w:val="24"/>
          <w:szCs w:val="24"/>
          <w:shd w:val="clear" w:color="auto" w:fill="FFFFFF"/>
          <w:lang w:eastAsia="zh-CN"/>
        </w:rPr>
        <w:t>自然比例</w:t>
      </w:r>
      <w:r w:rsidRPr="008D6349">
        <w:rPr>
          <w:rFonts w:asciiTheme="minorEastAsia" w:eastAsiaTheme="minorEastAsia" w:hAnsiTheme="minorEastAsia"/>
          <w:color w:val="212121"/>
          <w:sz w:val="24"/>
          <w:szCs w:val="24"/>
          <w:shd w:val="clear" w:color="auto" w:fill="FFFFFF"/>
          <w:lang w:eastAsia="zh-CN"/>
        </w:rPr>
        <w:t>”</w:t>
      </w:r>
      <w:r w:rsidRPr="008D6349">
        <w:rPr>
          <w:rFonts w:asciiTheme="minorEastAsia" w:eastAsiaTheme="minorEastAsia" w:hAnsiTheme="minorEastAsia" w:cs="SimSun" w:hint="eastAsia"/>
          <w:color w:val="212121"/>
          <w:sz w:val="24"/>
          <w:szCs w:val="24"/>
          <w:shd w:val="clear" w:color="auto" w:fill="FFFFFF"/>
          <w:lang w:eastAsia="zh-CN"/>
        </w:rPr>
        <w:t>或</w:t>
      </w:r>
      <w:r w:rsidR="008D6349">
        <w:rPr>
          <w:rFonts w:asciiTheme="minorEastAsia" w:eastAsiaTheme="minorEastAsia" w:hAnsiTheme="minorEastAsia"/>
          <w:color w:val="212121"/>
          <w:sz w:val="24"/>
          <w:szCs w:val="24"/>
          <w:shd w:val="clear" w:color="auto" w:fill="FFFFFF"/>
          <w:lang w:eastAsia="zh-CN"/>
        </w:rPr>
        <w:t>“‘N’</w:t>
      </w:r>
      <w:r w:rsidR="008D6349" w:rsidRPr="008D6349">
        <w:rPr>
          <w:rFonts w:eastAsiaTheme="minorEastAsia"/>
          <w:color w:val="212121"/>
          <w:sz w:val="24"/>
          <w:szCs w:val="24"/>
          <w:shd w:val="clear" w:color="auto" w:fill="FFFFFF"/>
          <w:lang w:eastAsia="zh-CN"/>
        </w:rPr>
        <w:t>%</w:t>
      </w:r>
      <w:r w:rsidRPr="008D6349">
        <w:rPr>
          <w:rFonts w:asciiTheme="minorEastAsia" w:eastAsiaTheme="minorEastAsia" w:hAnsiTheme="minorEastAsia"/>
          <w:color w:val="212121"/>
          <w:sz w:val="24"/>
          <w:szCs w:val="24"/>
          <w:shd w:val="clear" w:color="auto" w:fill="FFFFFF"/>
          <w:lang w:eastAsia="zh-CN"/>
        </w:rPr>
        <w:t>”</w:t>
      </w:r>
      <w:r w:rsidRPr="00366D37">
        <w:rPr>
          <w:rFonts w:ascii="SimSun" w:eastAsia="SimSun" w:hAnsi="SimSun" w:cs="SimSun" w:hint="eastAsia"/>
          <w:color w:val="212121"/>
          <w:sz w:val="24"/>
          <w:szCs w:val="24"/>
          <w:shd w:val="clear" w:color="auto" w:fill="FFFFFF"/>
          <w:lang w:eastAsia="zh-CN"/>
        </w:rPr>
        <w:t>的概念，以此作为科学手段，确立全球或国家范围自然区域必须用于人类生存的份额，同时查明生物多样性的诸个热点。因此，确保人类生存，被认为是一个基本目标。中国科学院已启动建立</w:t>
      </w:r>
      <w:r w:rsidRPr="00366D37">
        <w:rPr>
          <w:rFonts w:eastAsia="Times New Roman"/>
          <w:color w:val="212121"/>
          <w:sz w:val="24"/>
          <w:szCs w:val="24"/>
          <w:shd w:val="clear" w:color="auto" w:fill="FFFFFF"/>
          <w:lang w:eastAsia="zh-CN"/>
        </w:rPr>
        <w:t>N%</w:t>
      </w:r>
      <w:r w:rsidRPr="00366D37">
        <w:rPr>
          <w:rFonts w:ascii="SimSun" w:eastAsia="SimSun" w:hAnsi="SimSun" w:cs="SimSun" w:hint="eastAsia"/>
          <w:color w:val="212121"/>
          <w:sz w:val="24"/>
          <w:szCs w:val="24"/>
          <w:shd w:val="clear" w:color="auto" w:fill="FFFFFF"/>
          <w:lang w:eastAsia="zh-CN"/>
        </w:rPr>
        <w:t>全球研究网络的项目，正在开发</w:t>
      </w:r>
      <w:r w:rsidRPr="00366D37">
        <w:rPr>
          <w:rFonts w:eastAsia="Times New Roman"/>
          <w:color w:val="212121"/>
          <w:sz w:val="24"/>
          <w:szCs w:val="24"/>
          <w:shd w:val="clear" w:color="auto" w:fill="FFFFFF"/>
          <w:lang w:eastAsia="zh-CN"/>
        </w:rPr>
        <w:t>N%</w:t>
      </w:r>
      <w:r w:rsidRPr="00366D37">
        <w:rPr>
          <w:rFonts w:ascii="SimSun" w:eastAsia="SimSun" w:hAnsi="SimSun" w:cs="SimSun" w:hint="eastAsia"/>
          <w:color w:val="212121"/>
          <w:sz w:val="24"/>
          <w:szCs w:val="24"/>
          <w:shd w:val="clear" w:color="auto" w:fill="FFFFFF"/>
          <w:lang w:eastAsia="zh-CN"/>
        </w:rPr>
        <w:t>的计算和指标体系，研究如何将这一概念纳入国家政策制定、立法和法规的主流，为此，团队合作至关重要。</w:t>
      </w:r>
    </w:p>
    <w:p w:rsidR="008D76BF" w:rsidRPr="00366D37" w:rsidRDefault="008D76BF" w:rsidP="009C2411">
      <w:pPr>
        <w:keepNext/>
        <w:tabs>
          <w:tab w:val="left" w:pos="720"/>
        </w:tabs>
        <w:ind w:firstLine="0"/>
        <w:rPr>
          <w:rFonts w:ascii="KaiTi" w:eastAsia="KaiTi" w:hAnsi="KaiTi" w:cs="SimSun"/>
          <w:snapToGrid w:val="0"/>
          <w:kern w:val="22"/>
          <w:lang w:val="en-GB" w:eastAsia="zh-CN"/>
        </w:rPr>
      </w:pPr>
      <w:r w:rsidRPr="00366D37">
        <w:rPr>
          <w:rFonts w:ascii="KaiTi" w:eastAsia="KaiTi" w:hAnsi="KaiTi" w:cs="SimSun"/>
          <w:snapToGrid w:val="0"/>
          <w:kern w:val="22"/>
          <w:lang w:val="en-GB" w:eastAsia="zh-CN"/>
        </w:rPr>
        <w:lastRenderedPageBreak/>
        <w:t>HalidorThorgeissen</w:t>
      </w:r>
      <w:r w:rsidRPr="00366D37">
        <w:rPr>
          <w:rFonts w:ascii="KaiTi" w:eastAsia="KaiTi" w:hAnsi="KaiTi" w:cs="SimSun" w:hint="eastAsia"/>
          <w:snapToGrid w:val="0"/>
          <w:kern w:val="22"/>
          <w:lang w:val="en-GB" w:eastAsia="zh-CN"/>
        </w:rPr>
        <w:t>先生，联合国气候变化框架公约</w:t>
      </w:r>
      <w:r w:rsidR="008D6349">
        <w:rPr>
          <w:rFonts w:ascii="KaiTi" w:eastAsia="KaiTi" w:hAnsi="KaiTi" w:cs="SimSun" w:hint="eastAsia"/>
          <w:snapToGrid w:val="0"/>
          <w:kern w:val="22"/>
          <w:lang w:val="en-GB" w:eastAsia="zh-CN"/>
        </w:rPr>
        <w:t>（</w:t>
      </w:r>
      <w:r w:rsidR="008D6349" w:rsidRPr="00366D37">
        <w:rPr>
          <w:rFonts w:ascii="KaiTi" w:eastAsia="KaiTi" w:hAnsi="KaiTi" w:cs="SimSun" w:hint="eastAsia"/>
          <w:snapToGrid w:val="0"/>
          <w:kern w:val="22"/>
          <w:lang w:val="en-GB" w:eastAsia="zh-CN"/>
        </w:rPr>
        <w:t>气候变化框架公约</w:t>
      </w:r>
      <w:r w:rsidR="008D6349">
        <w:rPr>
          <w:rFonts w:ascii="KaiTi" w:eastAsia="KaiTi" w:hAnsi="KaiTi" w:cs="SimSun"/>
          <w:snapToGrid w:val="0"/>
          <w:kern w:val="22"/>
          <w:lang w:val="en-GB" w:eastAsia="zh-CN"/>
        </w:rPr>
        <w:t>）</w:t>
      </w:r>
      <w:r w:rsidRPr="00366D37">
        <w:rPr>
          <w:rFonts w:ascii="KaiTi" w:eastAsia="KaiTi" w:hAnsi="KaiTi" w:cs="SimSun" w:hint="eastAsia"/>
          <w:snapToGrid w:val="0"/>
          <w:kern w:val="22"/>
          <w:lang w:val="en-GB" w:eastAsia="zh-CN"/>
        </w:rPr>
        <w:t>战略前高级主任兼</w:t>
      </w:r>
      <w:r w:rsidRPr="00366D37">
        <w:rPr>
          <w:rFonts w:ascii="KaiTi" w:eastAsia="KaiTi" w:hAnsi="KaiTi" w:cs="SimSun"/>
          <w:snapToGrid w:val="0"/>
          <w:kern w:val="22"/>
          <w:lang w:val="en-GB" w:eastAsia="zh-CN"/>
        </w:rPr>
        <w:t>2020</w:t>
      </w:r>
      <w:r w:rsidRPr="00366D37">
        <w:rPr>
          <w:rFonts w:ascii="KaiTi" w:eastAsia="KaiTi" w:hAnsi="KaiTi" w:cs="SimSun" w:hint="eastAsia"/>
          <w:snapToGrid w:val="0"/>
          <w:kern w:val="22"/>
          <w:lang w:val="en-GB" w:eastAsia="zh-CN"/>
        </w:rPr>
        <w:t>年后进程执行秘书的战略顾问</w:t>
      </w:r>
    </w:p>
    <w:p w:rsidR="008D76BF" w:rsidRPr="00366D37" w:rsidRDefault="008D76BF" w:rsidP="009C2411">
      <w:pPr>
        <w:pStyle w:val="Para1"/>
        <w:numPr>
          <w:ilvl w:val="0"/>
          <w:numId w:val="10"/>
        </w:numPr>
        <w:tabs>
          <w:tab w:val="clear" w:pos="360"/>
          <w:tab w:val="left" w:pos="720"/>
        </w:tabs>
        <w:ind w:firstLine="0"/>
        <w:rPr>
          <w:rFonts w:eastAsia="Times New Roman"/>
          <w:color w:val="212121"/>
          <w:sz w:val="24"/>
          <w:szCs w:val="24"/>
          <w:shd w:val="clear" w:color="auto" w:fill="FFFFFF"/>
          <w:lang w:eastAsia="zh-CN"/>
        </w:rPr>
      </w:pPr>
      <w:r w:rsidRPr="00366D37">
        <w:rPr>
          <w:rFonts w:eastAsia="Times New Roman"/>
          <w:color w:val="212121"/>
          <w:sz w:val="24"/>
          <w:szCs w:val="24"/>
          <w:shd w:val="clear" w:color="auto" w:fill="FFFFFF"/>
          <w:lang w:eastAsia="zh-CN"/>
        </w:rPr>
        <w:t>Thorgeissen</w:t>
      </w:r>
      <w:r w:rsidRPr="00366D37">
        <w:rPr>
          <w:rFonts w:ascii="SimSun" w:eastAsia="SimSun" w:hAnsi="SimSun" w:cs="SimSun" w:hint="eastAsia"/>
          <w:color w:val="212121"/>
          <w:sz w:val="24"/>
          <w:szCs w:val="24"/>
          <w:shd w:val="clear" w:color="auto" w:fill="FFFFFF"/>
          <w:lang w:eastAsia="zh-CN"/>
        </w:rPr>
        <w:t>先生为其发言确定了范围，他回顾说，《巴黎协定》规定了全球气候变暖的上限为</w:t>
      </w:r>
      <w:r w:rsidRPr="00366D37">
        <w:rPr>
          <w:rFonts w:eastAsia="Times New Roman"/>
          <w:color w:val="212121"/>
          <w:sz w:val="24"/>
          <w:szCs w:val="24"/>
          <w:shd w:val="clear" w:color="auto" w:fill="FFFFFF"/>
          <w:lang w:eastAsia="zh-CN"/>
        </w:rPr>
        <w:t>2</w:t>
      </w:r>
      <w:r w:rsidR="008D6349">
        <w:rPr>
          <w:rFonts w:ascii="SimSun" w:eastAsia="SimSun" w:hAnsi="SimSun" w:cs="SimSun" w:hint="eastAsia"/>
          <w:color w:val="212121"/>
          <w:sz w:val="24"/>
          <w:szCs w:val="24"/>
          <w:shd w:val="clear" w:color="auto" w:fill="FFFFFF"/>
          <w:lang w:eastAsia="zh-CN"/>
        </w:rPr>
        <w:t>摄氏度</w:t>
      </w:r>
      <w:r w:rsidRPr="00366D37">
        <w:rPr>
          <w:rFonts w:ascii="SimSun" w:eastAsia="SimSun" w:hAnsi="SimSun" w:cs="SimSun" w:hint="eastAsia"/>
          <w:color w:val="212121"/>
          <w:sz w:val="24"/>
          <w:szCs w:val="24"/>
          <w:shd w:val="clear" w:color="auto" w:fill="FFFFFF"/>
          <w:lang w:eastAsia="zh-CN"/>
        </w:rPr>
        <w:t>，在理想情况下，稳定在接近</w:t>
      </w:r>
      <w:r w:rsidRPr="00366D37">
        <w:rPr>
          <w:rFonts w:eastAsia="Times New Roman"/>
          <w:color w:val="212121"/>
          <w:sz w:val="24"/>
          <w:szCs w:val="24"/>
          <w:shd w:val="clear" w:color="auto" w:fill="FFFFFF"/>
          <w:lang w:eastAsia="zh-CN"/>
        </w:rPr>
        <w:t>1.5</w:t>
      </w:r>
      <w:r w:rsidR="008D6349">
        <w:rPr>
          <w:rFonts w:ascii="SimSun" w:eastAsia="SimSun" w:hAnsi="SimSun" w:cs="SimSun" w:hint="eastAsia"/>
          <w:color w:val="212121"/>
          <w:sz w:val="24"/>
          <w:szCs w:val="24"/>
          <w:shd w:val="clear" w:color="auto" w:fill="FFFFFF"/>
          <w:lang w:eastAsia="zh-CN"/>
        </w:rPr>
        <w:t>摄氏度</w:t>
      </w:r>
      <w:r w:rsidRPr="00366D37">
        <w:rPr>
          <w:rFonts w:ascii="SimSun" w:eastAsia="SimSun" w:hAnsi="SimSun" w:cs="SimSun" w:hint="eastAsia"/>
          <w:color w:val="212121"/>
          <w:sz w:val="24"/>
          <w:szCs w:val="24"/>
          <w:shd w:val="clear" w:color="auto" w:fill="FFFFFF"/>
          <w:lang w:eastAsia="zh-CN"/>
        </w:rPr>
        <w:t>。各缔约方对因此产生的减缓目标的总合影响如何，与五年一次的全球盘点活动实现长期目标相关联。至于他要传达的主要信息是，刚刚起步的《全球气候行动议程》继续为进一步促进所有利益攸关方之间的合作精神，提供巨大潜力。有了政治雄心和紧迫感，以及对早期行动的实际惠益的交口称赞，《议程》已激发了尽快取得进展的集体动力，并通过允许政府着手建立伙伴关系，而降低了采取行动的政治门槛。《议程》还为企业提供了切入点。这方面的一些突破性措施可适用于生物多样性目的。这些措施包括建立一个基于网络的平台，非国家行为者可通过该平台汇报成果；出版强调成功和趋势的年鉴；组织召开缔约方年度会议，作为伙伴关系合作与分享成果的有益论坛。</w:t>
      </w:r>
    </w:p>
    <w:p w:rsidR="008D76BF" w:rsidRPr="00366D37" w:rsidRDefault="008D76BF" w:rsidP="009C2411">
      <w:pPr>
        <w:pStyle w:val="Para1"/>
        <w:numPr>
          <w:ilvl w:val="0"/>
          <w:numId w:val="10"/>
        </w:numPr>
        <w:tabs>
          <w:tab w:val="clear" w:pos="360"/>
          <w:tab w:val="left" w:pos="720"/>
        </w:tabs>
        <w:ind w:firstLine="0"/>
        <w:rPr>
          <w:rFonts w:eastAsia="Times New Roman"/>
          <w:color w:val="212121"/>
          <w:sz w:val="24"/>
          <w:szCs w:val="24"/>
          <w:shd w:val="clear" w:color="auto" w:fill="FFFFFF"/>
          <w:lang w:eastAsia="zh-CN"/>
        </w:rPr>
      </w:pPr>
      <w:r w:rsidRPr="00366D37">
        <w:rPr>
          <w:rFonts w:ascii="SimSun" w:eastAsia="SimSun" w:hAnsi="SimSun" w:cs="SimSun" w:hint="eastAsia"/>
          <w:color w:val="212121"/>
          <w:sz w:val="24"/>
          <w:szCs w:val="24"/>
          <w:shd w:val="clear" w:color="auto" w:fill="FFFFFF"/>
          <w:lang w:eastAsia="zh-CN"/>
        </w:rPr>
        <w:t>沿着实现《巴黎协定》目标的道路，已采取若干重要步骤，而首先是为在</w:t>
      </w:r>
      <w:r w:rsidRPr="00366D37">
        <w:rPr>
          <w:rFonts w:eastAsia="Times New Roman"/>
          <w:color w:val="212121"/>
          <w:sz w:val="24"/>
          <w:szCs w:val="24"/>
          <w:shd w:val="clear" w:color="auto" w:fill="FFFFFF"/>
          <w:lang w:eastAsia="zh-CN"/>
        </w:rPr>
        <w:t>2020</w:t>
      </w:r>
      <w:r w:rsidRPr="00366D37">
        <w:rPr>
          <w:rFonts w:ascii="SimSun" w:eastAsia="SimSun" w:hAnsi="SimSun" w:cs="SimSun" w:hint="eastAsia"/>
          <w:color w:val="212121"/>
          <w:sz w:val="24"/>
          <w:szCs w:val="24"/>
          <w:shd w:val="clear" w:color="auto" w:fill="FFFFFF"/>
          <w:lang w:eastAsia="zh-CN"/>
        </w:rPr>
        <w:t>年之前加强气候行动。这些步骤促使采取系统努力，在关键部门寻求解决方案。</w:t>
      </w:r>
      <w:r w:rsidRPr="00366D37">
        <w:rPr>
          <w:rFonts w:eastAsia="Times New Roman"/>
          <w:color w:val="212121"/>
          <w:sz w:val="24"/>
          <w:szCs w:val="24"/>
          <w:shd w:val="clear" w:color="auto" w:fill="FFFFFF"/>
          <w:lang w:eastAsia="zh-CN"/>
        </w:rPr>
        <w:t xml:space="preserve"> 2014</w:t>
      </w:r>
      <w:r w:rsidRPr="00366D37">
        <w:rPr>
          <w:rFonts w:ascii="SimSun" w:eastAsia="SimSun" w:hAnsi="SimSun" w:cs="SimSun" w:hint="eastAsia"/>
          <w:color w:val="212121"/>
          <w:sz w:val="24"/>
          <w:szCs w:val="24"/>
          <w:shd w:val="clear" w:color="auto" w:fill="FFFFFF"/>
          <w:lang w:eastAsia="zh-CN"/>
        </w:rPr>
        <w:t>年</w:t>
      </w:r>
      <w:r w:rsidRPr="00366D37">
        <w:rPr>
          <w:rFonts w:eastAsia="Times New Roman"/>
          <w:color w:val="212121"/>
          <w:sz w:val="24"/>
          <w:szCs w:val="24"/>
          <w:shd w:val="clear" w:color="auto" w:fill="FFFFFF"/>
          <w:lang w:eastAsia="zh-CN"/>
        </w:rPr>
        <w:t>9</w:t>
      </w:r>
      <w:r w:rsidRPr="00366D37">
        <w:rPr>
          <w:rFonts w:ascii="SimSun" w:eastAsia="SimSun" w:hAnsi="SimSun" w:cs="SimSun" w:hint="eastAsia"/>
          <w:color w:val="212121"/>
          <w:sz w:val="24"/>
          <w:szCs w:val="24"/>
          <w:shd w:val="clear" w:color="auto" w:fill="FFFFFF"/>
          <w:lang w:eastAsia="zh-CN"/>
        </w:rPr>
        <w:t>月举行的联合国气候峰会动员了行动联盟，并让企业界负责人也参与进来，形成进而制定《利马</w:t>
      </w:r>
      <w:r w:rsidRPr="00366D37">
        <w:rPr>
          <w:rFonts w:eastAsia="Times New Roman"/>
          <w:color w:val="212121"/>
          <w:sz w:val="24"/>
          <w:szCs w:val="24"/>
          <w:shd w:val="clear" w:color="auto" w:fill="FFFFFF"/>
          <w:lang w:eastAsia="zh-CN"/>
        </w:rPr>
        <w:t>-</w:t>
      </w:r>
      <w:r w:rsidRPr="00366D37">
        <w:rPr>
          <w:rFonts w:ascii="SimSun" w:eastAsia="SimSun" w:hAnsi="SimSun" w:cs="SimSun" w:hint="eastAsia"/>
          <w:color w:val="212121"/>
          <w:sz w:val="24"/>
          <w:szCs w:val="24"/>
          <w:shd w:val="clear" w:color="auto" w:fill="FFFFFF"/>
          <w:lang w:eastAsia="zh-CN"/>
        </w:rPr>
        <w:t>巴黎行动议程》的势头。在《巴黎协定》最终谈判期间正开展的许多与气候有关的行动，实际上均依据了上述《议程》。事实上，新宣布的《从沙姆沙伊赫到北京自然与人类行动议程》和该《议程》是相互关联的，从而加强了目标和各方面提供支助的一致性，以达成一项雄心勃勃的协议。现有的认识表明，国家自主贡献加在一起也不足以实现预期目标，这进一步提高了缔结这样一项协议的必要性。他注意到许多气候行动取得了重大的生物多样性结果，并与《</w:t>
      </w:r>
      <w:r w:rsidRPr="00366D37">
        <w:rPr>
          <w:rFonts w:eastAsia="Times New Roman"/>
          <w:color w:val="212121"/>
          <w:sz w:val="24"/>
          <w:szCs w:val="24"/>
          <w:shd w:val="clear" w:color="auto" w:fill="FFFFFF"/>
          <w:lang w:eastAsia="zh-CN"/>
        </w:rPr>
        <w:t>2030</w:t>
      </w:r>
      <w:r w:rsidRPr="00366D37">
        <w:rPr>
          <w:rFonts w:ascii="SimSun" w:eastAsia="SimSun" w:hAnsi="SimSun" w:cs="SimSun" w:hint="eastAsia"/>
          <w:color w:val="212121"/>
          <w:sz w:val="24"/>
          <w:szCs w:val="24"/>
          <w:shd w:val="clear" w:color="auto" w:fill="FFFFFF"/>
          <w:lang w:eastAsia="zh-CN"/>
        </w:rPr>
        <w:t>年可持续发展议程》密切配合，因此强调说，必须将言论转化为行动，以释放出可用于应对生物多样性挑战的巨大的、尚未开发的可能性。</w:t>
      </w:r>
    </w:p>
    <w:p w:rsidR="008D76BF" w:rsidRPr="009423F9" w:rsidRDefault="008D76BF" w:rsidP="009C2411">
      <w:pPr>
        <w:ind w:firstLine="0"/>
        <w:jc w:val="center"/>
        <w:rPr>
          <w:rFonts w:eastAsia="Times New Roman"/>
        </w:rPr>
      </w:pPr>
      <w:r w:rsidRPr="009423F9">
        <w:rPr>
          <w:rFonts w:eastAsia="Times New Roman"/>
          <w:b/>
          <w:snapToGrid w:val="0"/>
          <w:kern w:val="22"/>
        </w:rPr>
        <w:t>B.</w:t>
      </w:r>
      <w:r w:rsidRPr="009423F9">
        <w:rPr>
          <w:rFonts w:eastAsia="Times New Roman"/>
          <w:b/>
          <w:snapToGrid w:val="0"/>
          <w:kern w:val="22"/>
        </w:rPr>
        <w:tab/>
      </w:r>
      <w:r w:rsidRPr="009423F9">
        <w:rPr>
          <w:rFonts w:ascii="SimSun" w:eastAsia="SimSun" w:hAnsi="SimSun" w:cs="SimSun" w:hint="eastAsia"/>
          <w:b/>
          <w:color w:val="212121"/>
          <w:shd w:val="clear" w:color="auto" w:fill="FFFFFF"/>
          <w:lang w:eastAsia="zh-CN"/>
        </w:rPr>
        <w:t>互动对话</w:t>
      </w:r>
    </w:p>
    <w:p w:rsidR="008D76BF" w:rsidRPr="00A24D58" w:rsidRDefault="008D76BF" w:rsidP="009C2411">
      <w:pPr>
        <w:pStyle w:val="Para1"/>
        <w:numPr>
          <w:ilvl w:val="0"/>
          <w:numId w:val="10"/>
        </w:numPr>
        <w:tabs>
          <w:tab w:val="clear" w:pos="360"/>
          <w:tab w:val="left" w:pos="720"/>
        </w:tabs>
        <w:ind w:firstLine="0"/>
        <w:rPr>
          <w:rFonts w:eastAsia="Times New Roman"/>
          <w:lang w:eastAsia="zh-CN"/>
        </w:rPr>
      </w:pPr>
      <w:r w:rsidRPr="00A24D58">
        <w:rPr>
          <w:rFonts w:ascii="SimSun" w:eastAsia="SimSun" w:hAnsi="SimSun" w:cs="SimSun" w:hint="eastAsia"/>
          <w:color w:val="212121"/>
          <w:sz w:val="24"/>
          <w:szCs w:val="24"/>
          <w:shd w:val="clear" w:color="auto" w:fill="FFFFFF"/>
          <w:lang w:eastAsia="zh-CN"/>
        </w:rPr>
        <w:t>执行秘书在总结了发言的主要信息之后，邀请与会成员提问。</w:t>
      </w:r>
    </w:p>
    <w:p w:rsidR="008D76BF" w:rsidRPr="009423F9" w:rsidRDefault="008D76BF" w:rsidP="009C2411">
      <w:pPr>
        <w:pStyle w:val="Para1"/>
        <w:numPr>
          <w:ilvl w:val="0"/>
          <w:numId w:val="9"/>
        </w:numPr>
        <w:tabs>
          <w:tab w:val="clear" w:pos="360"/>
          <w:tab w:val="left" w:pos="720"/>
        </w:tabs>
        <w:ind w:firstLine="0"/>
        <w:rPr>
          <w:rFonts w:eastAsia="Times New Roman"/>
          <w:lang w:eastAsia="zh-CN"/>
        </w:rPr>
      </w:pPr>
      <w:r w:rsidRPr="009423F9">
        <w:rPr>
          <w:rFonts w:eastAsia="Times New Roman"/>
          <w:color w:val="212121"/>
          <w:sz w:val="24"/>
          <w:szCs w:val="24"/>
          <w:shd w:val="clear" w:color="auto" w:fill="FFFFFF"/>
          <w:lang w:eastAsia="zh-CN"/>
        </w:rPr>
        <w:t>Thorgeissen</w:t>
      </w:r>
      <w:r w:rsidRPr="009423F9">
        <w:rPr>
          <w:rFonts w:ascii="SimSun" w:eastAsia="SimSun" w:hAnsi="SimSun" w:cs="SimSun" w:hint="eastAsia"/>
          <w:color w:val="212121"/>
          <w:sz w:val="24"/>
          <w:szCs w:val="24"/>
          <w:shd w:val="clear" w:color="auto" w:fill="FFFFFF"/>
          <w:lang w:eastAsia="zh-CN"/>
        </w:rPr>
        <w:t>先生在回应埃及代表的评论时说，人与自然的关系确实至关重要，但必须扭转目前发展</w:t>
      </w:r>
      <w:r>
        <w:rPr>
          <w:rFonts w:ascii="SimSun" w:eastAsia="SimSun" w:hAnsi="SimSun" w:cs="SimSun" w:hint="eastAsia"/>
          <w:color w:val="212121"/>
          <w:sz w:val="24"/>
          <w:szCs w:val="24"/>
          <w:shd w:val="clear" w:color="auto" w:fill="FFFFFF"/>
          <w:lang w:eastAsia="zh-CN"/>
        </w:rPr>
        <w:t>方向</w:t>
      </w:r>
      <w:r w:rsidRPr="009423F9">
        <w:rPr>
          <w:rFonts w:ascii="SimSun" w:eastAsia="SimSun" w:hAnsi="SimSun" w:cs="SimSun" w:hint="eastAsia"/>
          <w:color w:val="212121"/>
          <w:sz w:val="24"/>
          <w:szCs w:val="24"/>
          <w:shd w:val="clear" w:color="auto" w:fill="FFFFFF"/>
          <w:lang w:eastAsia="zh-CN"/>
        </w:rPr>
        <w:t>，</w:t>
      </w:r>
      <w:r>
        <w:rPr>
          <w:rFonts w:ascii="SimSun" w:eastAsia="SimSun" w:hAnsi="SimSun" w:cs="SimSun" w:hint="eastAsia"/>
          <w:color w:val="212121"/>
          <w:sz w:val="24"/>
          <w:szCs w:val="24"/>
          <w:shd w:val="clear" w:color="auto" w:fill="FFFFFF"/>
          <w:lang w:eastAsia="zh-CN"/>
        </w:rPr>
        <w:t>以求</w:t>
      </w:r>
      <w:r w:rsidRPr="009423F9">
        <w:rPr>
          <w:rFonts w:ascii="SimSun" w:eastAsia="SimSun" w:hAnsi="SimSun" w:cs="SimSun" w:hint="eastAsia"/>
          <w:color w:val="212121"/>
          <w:sz w:val="24"/>
          <w:szCs w:val="24"/>
          <w:shd w:val="clear" w:color="auto" w:fill="FFFFFF"/>
          <w:lang w:eastAsia="zh-CN"/>
        </w:rPr>
        <w:t>更为理想的结果。在回</w:t>
      </w:r>
      <w:r>
        <w:rPr>
          <w:rFonts w:ascii="SimSun" w:eastAsia="SimSun" w:hAnsi="SimSun" w:cs="SimSun" w:hint="eastAsia"/>
          <w:color w:val="212121"/>
          <w:sz w:val="24"/>
          <w:szCs w:val="24"/>
          <w:shd w:val="clear" w:color="auto" w:fill="FFFFFF"/>
          <w:lang w:eastAsia="zh-CN"/>
        </w:rPr>
        <w:t>应</w:t>
      </w:r>
      <w:r w:rsidRPr="009423F9">
        <w:rPr>
          <w:rFonts w:ascii="SimSun" w:eastAsia="SimSun" w:hAnsi="SimSun" w:cs="SimSun" w:hint="eastAsia"/>
          <w:color w:val="212121"/>
          <w:sz w:val="24"/>
          <w:szCs w:val="24"/>
          <w:shd w:val="clear" w:color="auto" w:fill="FFFFFF"/>
          <w:lang w:eastAsia="zh-CN"/>
        </w:rPr>
        <w:t>瑞士代表关于《巴黎协定》之前的进程形式的问题时，他说，</w:t>
      </w:r>
      <w:r w:rsidRPr="009423F9">
        <w:rPr>
          <w:rFonts w:eastAsia="Times New Roman"/>
          <w:color w:val="212121"/>
          <w:sz w:val="24"/>
          <w:szCs w:val="24"/>
          <w:shd w:val="clear" w:color="auto" w:fill="FFFFFF"/>
          <w:lang w:eastAsia="zh-CN"/>
        </w:rPr>
        <w:t>2014</w:t>
      </w:r>
      <w:r w:rsidRPr="009423F9">
        <w:rPr>
          <w:rFonts w:ascii="SimSun" w:eastAsia="SimSun" w:hAnsi="SimSun" w:cs="SimSun" w:hint="eastAsia"/>
          <w:color w:val="212121"/>
          <w:sz w:val="24"/>
          <w:szCs w:val="24"/>
          <w:shd w:val="clear" w:color="auto" w:fill="FFFFFF"/>
          <w:lang w:eastAsia="zh-CN"/>
        </w:rPr>
        <w:t>年在联合国气候变化框架公约缔约方大会离任主席和上任主席、联合国秘书长气候变化支持小组和联合国气候变化框架公约秘书处之间建立了伙伴关系，完全是非正式的，其宗旨是推进利马</w:t>
      </w:r>
      <w:r w:rsidR="00554EB4">
        <w:rPr>
          <w:rFonts w:ascii="SimSun" w:eastAsia="SimSun" w:hAnsi="SimSun" w:cs="SimSun" w:hint="eastAsia"/>
          <w:color w:val="212121"/>
          <w:sz w:val="24"/>
          <w:szCs w:val="24"/>
          <w:shd w:val="clear" w:color="auto" w:fill="FFFFFF"/>
          <w:lang w:eastAsia="zh-CN"/>
        </w:rPr>
        <w:t>-</w:t>
      </w:r>
      <w:r w:rsidRPr="009423F9">
        <w:rPr>
          <w:rFonts w:ascii="SimSun" w:eastAsia="SimSun" w:hAnsi="SimSun" w:cs="SimSun" w:hint="eastAsia"/>
          <w:color w:val="212121"/>
          <w:sz w:val="24"/>
          <w:szCs w:val="24"/>
          <w:shd w:val="clear" w:color="auto" w:fill="FFFFFF"/>
          <w:lang w:eastAsia="zh-CN"/>
        </w:rPr>
        <w:t>巴黎行动议程。在框架公约缔约方大会期间于巴黎举办了专题日，其主要目的是为提出进度报告或宣布新举措提供机会。缔约方对这种非正式活动方式表示欢迎，结果这已</w:t>
      </w:r>
      <w:r>
        <w:rPr>
          <w:rFonts w:ascii="SimSun" w:eastAsia="SimSun" w:hAnsi="SimSun" w:cs="SimSun" w:hint="eastAsia"/>
          <w:color w:val="212121"/>
          <w:sz w:val="24"/>
          <w:szCs w:val="24"/>
          <w:shd w:val="clear" w:color="auto" w:fill="FFFFFF"/>
          <w:lang w:eastAsia="zh-CN"/>
        </w:rPr>
        <w:t>经</w:t>
      </w:r>
      <w:r w:rsidRPr="009423F9">
        <w:rPr>
          <w:rFonts w:ascii="SimSun" w:eastAsia="SimSun" w:hAnsi="SimSun" w:cs="SimSun" w:hint="eastAsia"/>
          <w:color w:val="212121"/>
          <w:sz w:val="24"/>
          <w:szCs w:val="24"/>
          <w:shd w:val="clear" w:color="auto" w:fill="FFFFFF"/>
          <w:lang w:eastAsia="zh-CN"/>
        </w:rPr>
        <w:t>成为促进实现既定目标的积极行动和合作努力的一种手段。另一方面，它增加了场地容量需求，这对缔约方会议的主办方造成影响。同样有帮助的是，上任和离任的会议主席总是各自任命一名高级别气候旗手，以协助推动气候行动。另一项值得考虑的措施是为联合国气候变化框架公约秘书处主办的非国家行为人气候行动区数据伙伴关系建立门户，该门户展示了全球为应对气候变化而开展的各项行动。简而言之，所提到的各项举措并非经过这种谈判而商定的，而是因为各方认识到要实现《巴黎协定》的目标，共同努力至关重要。</w:t>
      </w:r>
      <w:r w:rsidRPr="009423F9">
        <w:rPr>
          <w:rFonts w:eastAsia="Times New Roman"/>
          <w:color w:val="212121"/>
          <w:sz w:val="24"/>
          <w:szCs w:val="24"/>
          <w:shd w:val="clear" w:color="auto" w:fill="FFFFFF"/>
          <w:lang w:eastAsia="zh-CN"/>
        </w:rPr>
        <w:t xml:space="preserve"> </w:t>
      </w:r>
      <w:r w:rsidRPr="009423F9">
        <w:rPr>
          <w:rFonts w:eastAsia="Times New Roman"/>
          <w:lang w:eastAsia="zh-CN"/>
        </w:rPr>
        <w:t xml:space="preserve"> </w:t>
      </w:r>
    </w:p>
    <w:p w:rsidR="008D76BF" w:rsidRPr="009423F9" w:rsidRDefault="008D76BF" w:rsidP="009C2411">
      <w:pPr>
        <w:pStyle w:val="Para1"/>
        <w:numPr>
          <w:ilvl w:val="0"/>
          <w:numId w:val="9"/>
        </w:numPr>
        <w:tabs>
          <w:tab w:val="clear" w:pos="360"/>
          <w:tab w:val="left" w:pos="720"/>
        </w:tabs>
        <w:ind w:firstLine="0"/>
        <w:rPr>
          <w:rFonts w:eastAsia="Times New Roman"/>
          <w:color w:val="212121"/>
          <w:sz w:val="24"/>
          <w:szCs w:val="24"/>
          <w:shd w:val="clear" w:color="auto" w:fill="FFFFFF"/>
          <w:lang w:eastAsia="zh-CN"/>
        </w:rPr>
      </w:pPr>
      <w:r w:rsidRPr="009423F9">
        <w:rPr>
          <w:rFonts w:ascii="SimSun" w:eastAsia="SimSun" w:hAnsi="SimSun" w:cs="SimSun" w:hint="eastAsia"/>
          <w:color w:val="212121"/>
          <w:sz w:val="24"/>
          <w:szCs w:val="24"/>
          <w:shd w:val="clear" w:color="auto" w:fill="FFFFFF"/>
          <w:lang w:eastAsia="zh-CN"/>
        </w:rPr>
        <w:lastRenderedPageBreak/>
        <w:t>在回</w:t>
      </w:r>
      <w:r>
        <w:rPr>
          <w:rFonts w:ascii="SimSun" w:eastAsia="SimSun" w:hAnsi="SimSun" w:cs="SimSun" w:hint="eastAsia"/>
          <w:color w:val="212121"/>
          <w:sz w:val="24"/>
          <w:szCs w:val="24"/>
          <w:shd w:val="clear" w:color="auto" w:fill="FFFFFF"/>
          <w:lang w:eastAsia="zh-CN"/>
        </w:rPr>
        <w:t>应</w:t>
      </w:r>
      <w:r w:rsidRPr="009423F9">
        <w:rPr>
          <w:rFonts w:ascii="SimSun" w:eastAsia="SimSun" w:hAnsi="SimSun" w:cs="SimSun" w:hint="eastAsia"/>
          <w:color w:val="212121"/>
          <w:sz w:val="24"/>
          <w:szCs w:val="24"/>
          <w:shd w:val="clear" w:color="auto" w:fill="FFFFFF"/>
          <w:lang w:eastAsia="zh-CN"/>
        </w:rPr>
        <w:t>利比里亚代表关于政治决定对《巴黎协定》造成不利影响的问题时，他说，</w:t>
      </w:r>
      <w:r w:rsidR="00F81ADD">
        <w:rPr>
          <w:rFonts w:ascii="SimSun" w:eastAsia="SimSun" w:hAnsi="SimSun" w:cs="SimSun" w:hint="eastAsia"/>
          <w:color w:val="212121"/>
          <w:sz w:val="24"/>
          <w:szCs w:val="24"/>
          <w:shd w:val="clear" w:color="auto" w:fill="FFFFFF"/>
          <w:lang w:eastAsia="zh-CN"/>
        </w:rPr>
        <w:t>某一</w:t>
      </w:r>
      <w:r w:rsidRPr="009423F9">
        <w:rPr>
          <w:rFonts w:ascii="SimSun" w:eastAsia="SimSun" w:hAnsi="SimSun" w:cs="SimSun" w:hint="eastAsia"/>
          <w:color w:val="212121"/>
          <w:sz w:val="24"/>
          <w:szCs w:val="24"/>
          <w:shd w:val="clear" w:color="auto" w:fill="FFFFFF"/>
          <w:lang w:eastAsia="zh-CN"/>
        </w:rPr>
        <w:t>缔约方宣布它打算退出《协定》的做法决不会影响到已经在创纪录时间内生效的文书批准速度。事实上，随着国际上对气候行动需求的理解日益加深，对《协定》的政治支持仍然没有减弱，而且加强了力度。因此，涉及《协定》的任何政治困难都可能与在基础设施、脱碳和土地使用等问题上所作国家抉择密切相关。</w:t>
      </w:r>
    </w:p>
    <w:p w:rsidR="008D76BF" w:rsidRPr="009D04A9" w:rsidRDefault="008D76BF" w:rsidP="009C2411">
      <w:pPr>
        <w:pStyle w:val="Para1"/>
        <w:numPr>
          <w:ilvl w:val="0"/>
          <w:numId w:val="9"/>
        </w:numPr>
        <w:tabs>
          <w:tab w:val="clear" w:pos="360"/>
          <w:tab w:val="left" w:pos="720"/>
        </w:tabs>
        <w:ind w:firstLine="0"/>
        <w:rPr>
          <w:rFonts w:eastAsia="Times New Roman"/>
          <w:color w:val="212121"/>
          <w:sz w:val="24"/>
          <w:szCs w:val="24"/>
          <w:shd w:val="clear" w:color="auto" w:fill="FFFFFF"/>
          <w:lang w:eastAsia="zh-CN"/>
        </w:rPr>
      </w:pPr>
      <w:r w:rsidRPr="009D04A9">
        <w:rPr>
          <w:rFonts w:ascii="SimSun" w:eastAsia="SimSun" w:hAnsi="SimSun" w:cs="SimSun" w:hint="eastAsia"/>
          <w:color w:val="212121"/>
          <w:sz w:val="24"/>
          <w:szCs w:val="24"/>
          <w:shd w:val="clear" w:color="auto" w:fill="FFFFFF"/>
          <w:lang w:eastAsia="zh-CN"/>
        </w:rPr>
        <w:t>针对加拿大代表提出的问题，即从《联合国气候变化框架公约》的经验中吸取教训，构建和采取透明、包容和以缔约方为主导的进程，制定</w:t>
      </w:r>
      <w:r w:rsidRPr="009D04A9">
        <w:rPr>
          <w:rFonts w:eastAsia="Times New Roman"/>
          <w:color w:val="212121"/>
          <w:sz w:val="24"/>
          <w:szCs w:val="24"/>
          <w:shd w:val="clear" w:color="auto" w:fill="FFFFFF"/>
          <w:lang w:eastAsia="zh-CN"/>
        </w:rPr>
        <w:t>2020</w:t>
      </w:r>
      <w:r w:rsidRPr="009D04A9">
        <w:rPr>
          <w:rFonts w:ascii="SimSun" w:eastAsia="SimSun" w:hAnsi="SimSun" w:cs="SimSun" w:hint="eastAsia"/>
          <w:color w:val="212121"/>
          <w:sz w:val="24"/>
          <w:szCs w:val="24"/>
          <w:shd w:val="clear" w:color="auto" w:fill="FFFFFF"/>
          <w:lang w:eastAsia="zh-CN"/>
        </w:rPr>
        <w:t>年后全球生物多样性框架，他说，根据缔约方大会第十七届会议达成的协议，《巴黎协定》谈判完全由缔约方推动，并且是在大会设立的一个特设附属机构进行的，并由一个发展中国家和一个发达国家共同主持。值得注意的是，缔约方大会每年举行一次会议，由政府部长提供政治指导，并偶尔积极参与谈判。与此同时，部长们也有机会在由各任主席和予以配合的政府所主持会议期间举行非正式会议。初期沟通主要集中在该过程的概念上，包括需要进行评估、宏大周期和透明测量、记录和验证框架等。缔约方大会第十九届会议</w:t>
      </w:r>
      <w:r w:rsidR="005F62C3" w:rsidRPr="009D04A9">
        <w:rPr>
          <w:rFonts w:ascii="SimSun" w:eastAsia="SimSun" w:hAnsi="SimSun" w:cs="SimSun" w:hint="eastAsia"/>
          <w:color w:val="212121"/>
          <w:sz w:val="24"/>
          <w:szCs w:val="24"/>
          <w:shd w:val="clear" w:color="auto" w:fill="FFFFFF"/>
          <w:lang w:eastAsia="zh-CN"/>
        </w:rPr>
        <w:t>在</w:t>
      </w:r>
      <w:r w:rsidR="005F62C3" w:rsidRPr="009D04A9">
        <w:rPr>
          <w:rFonts w:ascii="SimSun" w:eastAsia="SimSun" w:hAnsi="SimSun" w:cs="SimSun"/>
          <w:color w:val="212121"/>
          <w:sz w:val="24"/>
          <w:szCs w:val="24"/>
          <w:shd w:val="clear" w:color="auto" w:fill="FFFFFF"/>
          <w:lang w:eastAsia="zh-CN"/>
        </w:rPr>
        <w:t>会议的</w:t>
      </w:r>
      <w:r w:rsidRPr="009D04A9">
        <w:rPr>
          <w:rFonts w:ascii="SimSun" w:eastAsia="SimSun" w:hAnsi="SimSun" w:cs="SimSun" w:hint="eastAsia"/>
          <w:color w:val="212121"/>
          <w:sz w:val="24"/>
          <w:szCs w:val="24"/>
          <w:shd w:val="clear" w:color="auto" w:fill="FFFFFF"/>
          <w:lang w:eastAsia="zh-CN"/>
        </w:rPr>
        <w:t>中间点达成了一个重要</w:t>
      </w:r>
      <w:r w:rsidR="009D04A9" w:rsidRPr="009D04A9">
        <w:rPr>
          <w:rFonts w:ascii="SimSun" w:eastAsia="SimSun" w:hAnsi="SimSun" w:cs="SimSun" w:hint="eastAsia"/>
          <w:color w:val="212121"/>
          <w:sz w:val="24"/>
          <w:szCs w:val="24"/>
          <w:shd w:val="clear" w:color="auto" w:fill="FFFFFF"/>
          <w:lang w:eastAsia="zh-CN"/>
        </w:rPr>
        <w:t>的</w:t>
      </w:r>
      <w:r w:rsidRPr="009D04A9">
        <w:rPr>
          <w:rFonts w:ascii="SimSun" w:eastAsia="SimSun" w:hAnsi="SimSun" w:cs="SimSun" w:hint="eastAsia"/>
          <w:color w:val="212121"/>
          <w:sz w:val="24"/>
          <w:szCs w:val="24"/>
          <w:shd w:val="clear" w:color="auto" w:fill="FFFFFF"/>
          <w:lang w:eastAsia="zh-CN"/>
        </w:rPr>
        <w:t>里程碑，国际外交领域</w:t>
      </w:r>
      <w:r w:rsidR="005F62C3" w:rsidRPr="009D04A9">
        <w:rPr>
          <w:rFonts w:ascii="SimSun" w:eastAsia="SimSun" w:hAnsi="SimSun" w:cs="SimSun" w:hint="eastAsia"/>
          <w:color w:val="212121"/>
          <w:sz w:val="24"/>
          <w:szCs w:val="24"/>
          <w:shd w:val="clear" w:color="auto" w:fill="FFFFFF"/>
          <w:lang w:eastAsia="zh-CN"/>
        </w:rPr>
        <w:t>扬弃</w:t>
      </w:r>
      <w:r w:rsidRPr="009D04A9">
        <w:rPr>
          <w:rFonts w:ascii="SimSun" w:eastAsia="SimSun" w:hAnsi="SimSun" w:cs="SimSun" w:hint="eastAsia"/>
          <w:color w:val="212121"/>
          <w:sz w:val="24"/>
          <w:szCs w:val="24"/>
          <w:shd w:val="clear" w:color="auto" w:fill="FFFFFF"/>
          <w:lang w:eastAsia="zh-CN"/>
        </w:rPr>
        <w:t>习惯做法</w:t>
      </w:r>
      <w:r w:rsidR="005F62C3" w:rsidRPr="009D04A9">
        <w:rPr>
          <w:rFonts w:ascii="SimSun" w:eastAsia="SimSun" w:hAnsi="SimSun" w:cs="SimSun" w:hint="eastAsia"/>
          <w:color w:val="212121"/>
          <w:sz w:val="24"/>
          <w:szCs w:val="24"/>
          <w:shd w:val="clear" w:color="auto" w:fill="FFFFFF"/>
          <w:lang w:eastAsia="zh-CN"/>
        </w:rPr>
        <w:t>，</w:t>
      </w:r>
      <w:r w:rsidR="009D04A9" w:rsidRPr="009D04A9">
        <w:rPr>
          <w:rFonts w:ascii="SimSun" w:eastAsia="SimSun" w:hAnsi="SimSun" w:cs="SimSun" w:hint="eastAsia"/>
          <w:color w:val="212121"/>
          <w:sz w:val="24"/>
          <w:szCs w:val="24"/>
          <w:shd w:val="clear" w:color="auto" w:fill="FFFFFF"/>
          <w:lang w:eastAsia="zh-CN"/>
        </w:rPr>
        <w:t>同意</w:t>
      </w:r>
      <w:r w:rsidRPr="009D04A9">
        <w:rPr>
          <w:rFonts w:ascii="SimSun" w:eastAsia="SimSun" w:hAnsi="SimSun" w:cs="SimSun" w:hint="eastAsia"/>
          <w:color w:val="212121"/>
          <w:sz w:val="24"/>
          <w:szCs w:val="24"/>
          <w:shd w:val="clear" w:color="auto" w:fill="FFFFFF"/>
          <w:lang w:eastAsia="zh-CN"/>
        </w:rPr>
        <w:t>在</w:t>
      </w:r>
      <w:r w:rsidR="009D04A9" w:rsidRPr="009D04A9">
        <w:rPr>
          <w:rFonts w:ascii="SimSun" w:eastAsia="SimSun" w:hAnsi="SimSun" w:cs="SimSun" w:hint="eastAsia"/>
          <w:color w:val="212121"/>
          <w:sz w:val="24"/>
          <w:szCs w:val="24"/>
          <w:shd w:val="clear" w:color="auto" w:fill="FFFFFF"/>
          <w:lang w:eastAsia="zh-CN"/>
        </w:rPr>
        <w:t>没有</w:t>
      </w:r>
      <w:r w:rsidRPr="009D04A9">
        <w:rPr>
          <w:rFonts w:ascii="SimSun" w:eastAsia="SimSun" w:hAnsi="SimSun" w:cs="SimSun" w:hint="eastAsia"/>
          <w:color w:val="212121"/>
          <w:sz w:val="24"/>
          <w:szCs w:val="24"/>
          <w:shd w:val="clear" w:color="auto" w:fill="FFFFFF"/>
          <w:lang w:eastAsia="zh-CN"/>
        </w:rPr>
        <w:t>缔结最终协议之前</w:t>
      </w:r>
      <w:r w:rsidR="009D04A9" w:rsidRPr="009D04A9">
        <w:rPr>
          <w:rFonts w:ascii="SimSun" w:eastAsia="SimSun" w:hAnsi="SimSun" w:cs="SimSun" w:hint="eastAsia"/>
          <w:color w:val="212121"/>
          <w:sz w:val="24"/>
          <w:szCs w:val="24"/>
          <w:shd w:val="clear" w:color="auto" w:fill="FFFFFF"/>
          <w:lang w:eastAsia="zh-CN"/>
        </w:rPr>
        <w:t>便</w:t>
      </w:r>
      <w:r w:rsidRPr="009D04A9">
        <w:rPr>
          <w:rFonts w:ascii="SimSun" w:eastAsia="SimSun" w:hAnsi="SimSun" w:cs="SimSun" w:hint="eastAsia"/>
          <w:color w:val="212121"/>
          <w:sz w:val="24"/>
          <w:szCs w:val="24"/>
          <w:shd w:val="clear" w:color="auto" w:fill="FFFFFF"/>
          <w:lang w:eastAsia="zh-CN"/>
        </w:rPr>
        <w:t>由各国提出其</w:t>
      </w:r>
      <w:r w:rsidR="009D04A9" w:rsidRPr="009D04A9">
        <w:rPr>
          <w:rFonts w:ascii="SimSun" w:eastAsia="SimSun" w:hAnsi="SimSun" w:cs="SimSun" w:hint="eastAsia"/>
          <w:color w:val="212121"/>
          <w:sz w:val="24"/>
          <w:szCs w:val="24"/>
          <w:shd w:val="clear" w:color="auto" w:fill="FFFFFF"/>
          <w:lang w:eastAsia="zh-CN"/>
        </w:rPr>
        <w:t>国家自主贡献</w:t>
      </w:r>
      <w:r w:rsidRPr="009D04A9">
        <w:rPr>
          <w:rFonts w:ascii="SimSun" w:eastAsia="SimSun" w:hAnsi="SimSun" w:cs="SimSun" w:hint="eastAsia"/>
          <w:color w:val="212121"/>
          <w:sz w:val="24"/>
          <w:szCs w:val="24"/>
          <w:shd w:val="clear" w:color="auto" w:fill="FFFFFF"/>
          <w:lang w:eastAsia="zh-CN"/>
        </w:rPr>
        <w:t>。巴黎会议第二十一届会议最后出现的关键举措是，特设附属机构在完成工作后，将谈判情况告知会议主席，由会议主席随后召开一次部长会议以解决任何悬而未决的问题。随后，附属机构的联合主席协助拟定并提交谈判案文，并举办了若干次会期研讨会，以探讨具体的关键组成部分。由于各政府间交流的密集程度，其他方面贡献甚微。</w:t>
      </w:r>
    </w:p>
    <w:p w:rsidR="008D76BF" w:rsidRPr="009423F9" w:rsidRDefault="008D76BF" w:rsidP="009C2411">
      <w:pPr>
        <w:pStyle w:val="Para1"/>
        <w:numPr>
          <w:ilvl w:val="0"/>
          <w:numId w:val="9"/>
        </w:numPr>
        <w:tabs>
          <w:tab w:val="clear" w:pos="360"/>
          <w:tab w:val="left" w:pos="720"/>
        </w:tabs>
        <w:ind w:firstLine="0"/>
        <w:rPr>
          <w:rFonts w:eastAsia="Times New Roman"/>
          <w:color w:val="212121"/>
          <w:sz w:val="24"/>
          <w:szCs w:val="24"/>
          <w:shd w:val="clear" w:color="auto" w:fill="FFFFFF"/>
          <w:lang w:eastAsia="zh-CN"/>
        </w:rPr>
      </w:pPr>
      <w:r w:rsidRPr="009423F9">
        <w:rPr>
          <w:rFonts w:eastAsia="Times New Roman"/>
          <w:color w:val="212121"/>
          <w:sz w:val="24"/>
          <w:szCs w:val="24"/>
          <w:shd w:val="clear" w:color="auto" w:fill="FFFFFF"/>
          <w:lang w:eastAsia="zh-CN"/>
        </w:rPr>
        <w:t>Leadley</w:t>
      </w:r>
      <w:r w:rsidRPr="009423F9">
        <w:rPr>
          <w:rFonts w:ascii="SimSun" w:eastAsia="SimSun" w:hAnsi="SimSun" w:cs="SimSun" w:hint="eastAsia"/>
          <w:color w:val="212121"/>
          <w:sz w:val="24"/>
          <w:szCs w:val="24"/>
          <w:shd w:val="clear" w:color="auto" w:fill="FFFFFF"/>
          <w:lang w:eastAsia="zh-CN"/>
        </w:rPr>
        <w:t>先生在回</w:t>
      </w:r>
      <w:r>
        <w:rPr>
          <w:rFonts w:ascii="SimSun" w:eastAsia="SimSun" w:hAnsi="SimSun" w:cs="SimSun" w:hint="eastAsia"/>
          <w:color w:val="212121"/>
          <w:sz w:val="24"/>
          <w:szCs w:val="24"/>
          <w:shd w:val="clear" w:color="auto" w:fill="FFFFFF"/>
          <w:lang w:eastAsia="zh-CN"/>
        </w:rPr>
        <w:t>应</w:t>
      </w:r>
      <w:r w:rsidRPr="009423F9">
        <w:rPr>
          <w:rFonts w:ascii="SimSun" w:eastAsia="SimSun" w:hAnsi="SimSun" w:cs="SimSun" w:hint="eastAsia"/>
          <w:color w:val="212121"/>
          <w:sz w:val="24"/>
          <w:szCs w:val="24"/>
          <w:shd w:val="clear" w:color="auto" w:fill="FFFFFF"/>
          <w:lang w:eastAsia="zh-CN"/>
        </w:rPr>
        <w:t>瑞士代表关于制定适当指标的问题时说，一项良好起始原则是在制定指标要确保着眼于未来，同时要衡量生物多样性的关键领域。符合这些标准的例子包括以下指标：人口变化，可以通过生命地球指数进行追踪；保护状况，可通过世界自然保护联盟濒危物种红色名录进行追踪；以及最近已进入可追踪范围的生物多样性的完整性。还可以针对特定分类群计算指标，并以分层方式从多个空间、国家、区域和全球角度计算指标。</w:t>
      </w:r>
    </w:p>
    <w:p w:rsidR="008D76BF" w:rsidRPr="009423F9" w:rsidRDefault="008D76BF" w:rsidP="009C2411">
      <w:pPr>
        <w:pStyle w:val="Para1"/>
        <w:numPr>
          <w:ilvl w:val="0"/>
          <w:numId w:val="9"/>
        </w:numPr>
        <w:tabs>
          <w:tab w:val="clear" w:pos="360"/>
          <w:tab w:val="left" w:pos="720"/>
        </w:tabs>
        <w:ind w:firstLine="0"/>
        <w:rPr>
          <w:rFonts w:eastAsia="Times New Roman"/>
          <w:sz w:val="24"/>
          <w:szCs w:val="24"/>
          <w:lang w:eastAsia="zh-CN"/>
        </w:rPr>
      </w:pPr>
      <w:r w:rsidRPr="009423F9">
        <w:rPr>
          <w:rFonts w:ascii="SimSun" w:eastAsia="SimSun" w:hAnsi="SimSun" w:cs="SimSun" w:hint="eastAsia"/>
          <w:sz w:val="24"/>
          <w:szCs w:val="24"/>
          <w:lang w:eastAsia="zh-CN"/>
        </w:rPr>
        <w:t>针对摩洛哥代表关于迄今为止为解决生物多样性丧失仅采取了谨小慎微行动的评论，以及全球森林联盟代表的另一项评论，他说，关于使用</w:t>
      </w:r>
      <w:r w:rsidR="00AF42FB">
        <w:rPr>
          <w:rFonts w:ascii="SimSun" w:eastAsia="SimSun" w:hAnsi="SimSun" w:cs="SimSun" w:hint="eastAsia"/>
          <w:sz w:val="24"/>
          <w:szCs w:val="24"/>
          <w:lang w:eastAsia="zh-CN"/>
        </w:rPr>
        <w:t>情景</w:t>
      </w:r>
      <w:r w:rsidR="00AF42FB">
        <w:rPr>
          <w:rFonts w:ascii="SimSun" w:eastAsia="SimSun" w:hAnsi="SimSun" w:cs="SimSun"/>
          <w:sz w:val="24"/>
          <w:szCs w:val="24"/>
          <w:lang w:eastAsia="zh-CN"/>
        </w:rPr>
        <w:t>设想</w:t>
      </w:r>
      <w:r w:rsidRPr="009423F9">
        <w:rPr>
          <w:rFonts w:ascii="SimSun" w:eastAsia="SimSun" w:hAnsi="SimSun" w:cs="SimSun" w:hint="eastAsia"/>
          <w:sz w:val="24"/>
          <w:szCs w:val="24"/>
          <w:lang w:eastAsia="zh-CN"/>
        </w:rPr>
        <w:t>和模式的讨论表明，目前情况绝对需要作出彻底变革。按部就班的做法不足以解决问题，为光明的未来和实现</w:t>
      </w:r>
      <w:r w:rsidRPr="009423F9">
        <w:rPr>
          <w:rFonts w:eastAsia="Times New Roman"/>
          <w:sz w:val="24"/>
          <w:szCs w:val="24"/>
          <w:lang w:eastAsia="zh-CN"/>
        </w:rPr>
        <w:t>2050</w:t>
      </w:r>
      <w:r w:rsidRPr="009423F9">
        <w:rPr>
          <w:rFonts w:ascii="SimSun" w:eastAsia="SimSun" w:hAnsi="SimSun" w:cs="SimSun" w:hint="eastAsia"/>
          <w:sz w:val="24"/>
          <w:szCs w:val="24"/>
          <w:lang w:eastAsia="zh-CN"/>
        </w:rPr>
        <w:t>年愿景铺平道路的关键是要采取一系列行动；这其中的每一项行动都需要作出变革；事实上，将重点转移到全球规模的情景</w:t>
      </w:r>
      <w:r w:rsidR="00AF42FB">
        <w:rPr>
          <w:rFonts w:ascii="SimSun" w:eastAsia="SimSun" w:hAnsi="SimSun" w:cs="SimSun" w:hint="eastAsia"/>
          <w:sz w:val="24"/>
          <w:szCs w:val="24"/>
          <w:lang w:eastAsia="zh-CN"/>
        </w:rPr>
        <w:t>设想</w:t>
      </w:r>
      <w:r w:rsidRPr="009423F9">
        <w:rPr>
          <w:rFonts w:ascii="SimSun" w:eastAsia="SimSun" w:hAnsi="SimSun" w:cs="SimSun" w:hint="eastAsia"/>
          <w:sz w:val="24"/>
          <w:szCs w:val="24"/>
          <w:lang w:eastAsia="zh-CN"/>
        </w:rPr>
        <w:t>和模式并不意味着变化必须由最高层启动</w:t>
      </w:r>
      <w:r w:rsidR="009D04A9">
        <w:rPr>
          <w:rFonts w:ascii="SimSun" w:eastAsia="SimSun" w:hAnsi="SimSun" w:cs="SimSun" w:hint="eastAsia"/>
          <w:sz w:val="24"/>
          <w:szCs w:val="24"/>
          <w:lang w:eastAsia="zh-CN"/>
        </w:rPr>
        <w:t>——很多</w:t>
      </w:r>
      <w:r w:rsidRPr="009423F9">
        <w:rPr>
          <w:rFonts w:ascii="SimSun" w:eastAsia="SimSun" w:hAnsi="SimSun" w:cs="SimSun" w:hint="eastAsia"/>
          <w:sz w:val="24"/>
          <w:szCs w:val="24"/>
          <w:lang w:eastAsia="zh-CN"/>
        </w:rPr>
        <w:t>情况下变革必须是自下而上的产物。</w:t>
      </w:r>
    </w:p>
    <w:p w:rsidR="008D76BF" w:rsidRPr="009423F9" w:rsidRDefault="008D76BF" w:rsidP="009C2411">
      <w:pPr>
        <w:pStyle w:val="Para1"/>
        <w:numPr>
          <w:ilvl w:val="0"/>
          <w:numId w:val="9"/>
        </w:numPr>
        <w:tabs>
          <w:tab w:val="clear" w:pos="360"/>
          <w:tab w:val="left" w:pos="720"/>
        </w:tabs>
        <w:ind w:firstLine="0"/>
        <w:rPr>
          <w:rFonts w:eastAsia="Times New Roman"/>
          <w:lang w:eastAsia="zh-CN"/>
        </w:rPr>
      </w:pPr>
      <w:r w:rsidRPr="009423F9">
        <w:rPr>
          <w:rFonts w:ascii="SimSun" w:eastAsia="SimSun" w:hAnsi="SimSun" w:cs="SimSun" w:hint="eastAsia"/>
          <w:sz w:val="24"/>
          <w:szCs w:val="24"/>
          <w:lang w:eastAsia="zh-CN"/>
        </w:rPr>
        <w:t>魏先生就早先关于指标的问题指出，</w:t>
      </w:r>
      <w:r w:rsidR="009D04A9" w:rsidRPr="009D04A9">
        <w:rPr>
          <w:rFonts w:asciiTheme="minorEastAsia" w:eastAsiaTheme="minorEastAsia" w:hAnsiTheme="minorEastAsia"/>
          <w:sz w:val="24"/>
          <w:szCs w:val="24"/>
          <w:lang w:eastAsia="zh-CN"/>
        </w:rPr>
        <w:t>“</w:t>
      </w:r>
      <w:r w:rsidRPr="009423F9">
        <w:rPr>
          <w:rFonts w:eastAsia="Times New Roman"/>
          <w:sz w:val="24"/>
          <w:szCs w:val="24"/>
          <w:lang w:eastAsia="zh-CN"/>
        </w:rPr>
        <w:t>N</w:t>
      </w:r>
      <w:r>
        <w:rPr>
          <w:rFonts w:eastAsia="Times New Roman"/>
          <w:sz w:val="24"/>
          <w:szCs w:val="24"/>
          <w:lang w:eastAsia="zh-CN"/>
        </w:rPr>
        <w:t>%</w:t>
      </w:r>
      <w:r w:rsidRPr="00366D37">
        <w:rPr>
          <w:rFonts w:ascii="SimSun" w:hAnsi="SimSun"/>
          <w:sz w:val="24"/>
          <w:szCs w:val="24"/>
          <w:lang w:eastAsia="zh-CN"/>
        </w:rPr>
        <w:t>”</w:t>
      </w:r>
      <w:r w:rsidRPr="009423F9">
        <w:rPr>
          <w:rFonts w:ascii="SimSun" w:eastAsia="SimSun" w:hAnsi="SimSun" w:cs="SimSun" w:hint="eastAsia"/>
          <w:sz w:val="24"/>
          <w:szCs w:val="24"/>
          <w:lang w:eastAsia="zh-CN"/>
        </w:rPr>
        <w:t>是一项新提出的统计计算方式，其目的是让后代受益，并显示出人类对粮食、空气和清洁水的需求，这些需求在各国之间难免有所不同。相关比额表应通过自下而上程序制定，以争取所有利益攸关方尽可能广泛的支持。</w:t>
      </w:r>
    </w:p>
    <w:p w:rsidR="008D76BF" w:rsidRPr="009423F9" w:rsidRDefault="009D04A9" w:rsidP="009C2411">
      <w:pPr>
        <w:pStyle w:val="Para1"/>
        <w:numPr>
          <w:ilvl w:val="0"/>
          <w:numId w:val="9"/>
        </w:numPr>
        <w:tabs>
          <w:tab w:val="clear" w:pos="360"/>
          <w:tab w:val="left" w:pos="720"/>
        </w:tabs>
        <w:ind w:firstLine="0"/>
        <w:rPr>
          <w:rFonts w:eastAsia="Times New Roman"/>
          <w:lang w:eastAsia="zh-CN"/>
        </w:rPr>
      </w:pPr>
      <w:r>
        <w:rPr>
          <w:rFonts w:ascii="SimSun" w:eastAsia="SimSun" w:hAnsi="SimSun" w:cs="SimSun" w:hint="eastAsia"/>
          <w:sz w:val="24"/>
          <w:szCs w:val="24"/>
          <w:lang w:eastAsia="zh-CN"/>
        </w:rPr>
        <w:t>他</w:t>
      </w:r>
      <w:r w:rsidR="008D76BF" w:rsidRPr="009423F9">
        <w:rPr>
          <w:rFonts w:ascii="SimSun" w:eastAsia="SimSun" w:hAnsi="SimSun" w:cs="SimSun" w:hint="eastAsia"/>
          <w:sz w:val="24"/>
          <w:szCs w:val="24"/>
          <w:lang w:eastAsia="zh-CN"/>
        </w:rPr>
        <w:t>在回</w:t>
      </w:r>
      <w:r w:rsidR="008D76BF">
        <w:rPr>
          <w:rFonts w:ascii="SimSun" w:eastAsia="SimSun" w:hAnsi="SimSun" w:cs="SimSun" w:hint="eastAsia"/>
          <w:sz w:val="24"/>
          <w:szCs w:val="24"/>
          <w:lang w:eastAsia="zh-CN"/>
        </w:rPr>
        <w:t>应</w:t>
      </w:r>
      <w:r w:rsidR="008D76BF" w:rsidRPr="009423F9">
        <w:rPr>
          <w:rFonts w:ascii="SimSun" w:eastAsia="SimSun" w:hAnsi="SimSun" w:cs="SimSun" w:hint="eastAsia"/>
          <w:sz w:val="24"/>
          <w:szCs w:val="24"/>
          <w:lang w:eastAsia="zh-CN"/>
        </w:rPr>
        <w:t>乌拉圭代表关于保护工作是否应集中于保护全部领土的问题时说</w:t>
      </w:r>
      <w:r>
        <w:rPr>
          <w:rFonts w:ascii="SimSun" w:eastAsia="SimSun" w:hAnsi="SimSun" w:cs="SimSun" w:hint="eastAsia"/>
          <w:sz w:val="24"/>
          <w:szCs w:val="24"/>
          <w:lang w:eastAsia="zh-CN"/>
        </w:rPr>
        <w:t>，</w:t>
      </w:r>
      <w:r w:rsidR="008D76BF" w:rsidRPr="009423F9">
        <w:rPr>
          <w:rFonts w:ascii="SimSun" w:eastAsia="SimSun" w:hAnsi="SimSun" w:cs="SimSun" w:hint="eastAsia"/>
          <w:sz w:val="24"/>
          <w:szCs w:val="24"/>
          <w:lang w:eastAsia="zh-CN"/>
        </w:rPr>
        <w:t>必须将保护自然的行动视为在保护与发展之间取得适当平衡的起点。之后才能将注意力转向保护人类文明。自然与人的统一是关键，健康的环境则是宝贵的财富。在建立生态文明的概念之前，各国还必须拥有自己的具体环境制度框架、法律和法规，特别是发展中国家很难根据环境保护的需求来确定</w:t>
      </w:r>
      <w:r w:rsidR="008D76BF" w:rsidRPr="009D04A9">
        <w:rPr>
          <w:rFonts w:asciiTheme="minorEastAsia" w:eastAsiaTheme="minorEastAsia" w:hAnsiTheme="minorEastAsia"/>
          <w:sz w:val="24"/>
          <w:szCs w:val="24"/>
          <w:lang w:eastAsia="zh-CN"/>
        </w:rPr>
        <w:t>“</w:t>
      </w:r>
      <w:r w:rsidR="008D76BF" w:rsidRPr="009423F9">
        <w:rPr>
          <w:rFonts w:eastAsia="Times New Roman"/>
          <w:sz w:val="24"/>
          <w:szCs w:val="24"/>
          <w:lang w:eastAsia="zh-CN"/>
        </w:rPr>
        <w:t>N</w:t>
      </w:r>
      <w:r w:rsidR="008D76BF">
        <w:rPr>
          <w:rFonts w:eastAsia="Times New Roman"/>
          <w:sz w:val="24"/>
          <w:szCs w:val="24"/>
          <w:lang w:eastAsia="zh-CN"/>
        </w:rPr>
        <w:t>%</w:t>
      </w:r>
      <w:r w:rsidR="008D76BF" w:rsidRPr="00366D37">
        <w:rPr>
          <w:rFonts w:ascii="SimSun" w:hAnsi="SimSun"/>
          <w:sz w:val="24"/>
          <w:szCs w:val="24"/>
          <w:lang w:eastAsia="zh-CN"/>
        </w:rPr>
        <w:t>”</w:t>
      </w:r>
      <w:r w:rsidR="008D76BF" w:rsidRPr="009423F9">
        <w:rPr>
          <w:rFonts w:ascii="SimSun" w:eastAsia="SimSun" w:hAnsi="SimSun" w:cs="SimSun" w:hint="eastAsia"/>
          <w:sz w:val="24"/>
          <w:szCs w:val="24"/>
          <w:lang w:eastAsia="zh-CN"/>
        </w:rPr>
        <w:t>数字。</w:t>
      </w:r>
    </w:p>
    <w:p w:rsidR="008D76BF" w:rsidRPr="009423F9" w:rsidRDefault="003624D7" w:rsidP="009C2411">
      <w:pPr>
        <w:pStyle w:val="Para1"/>
        <w:widowControl w:val="0"/>
        <w:numPr>
          <w:ilvl w:val="0"/>
          <w:numId w:val="9"/>
        </w:numPr>
        <w:tabs>
          <w:tab w:val="clear" w:pos="360"/>
          <w:tab w:val="left" w:pos="720"/>
        </w:tabs>
        <w:ind w:firstLine="0"/>
        <w:rPr>
          <w:rFonts w:eastAsia="Times New Roman"/>
          <w:lang w:eastAsia="zh-CN"/>
        </w:rPr>
      </w:pPr>
      <w:r>
        <w:rPr>
          <w:rFonts w:ascii="SimSun" w:eastAsia="SimSun" w:hAnsi="SimSun" w:cs="SimSun" w:hint="eastAsia"/>
          <w:sz w:val="24"/>
          <w:szCs w:val="24"/>
          <w:lang w:eastAsia="zh-CN"/>
        </w:rPr>
        <w:t>在</w:t>
      </w:r>
      <w:r w:rsidR="008D76BF" w:rsidRPr="009423F9">
        <w:rPr>
          <w:rFonts w:ascii="SimSun" w:eastAsia="SimSun" w:hAnsi="SimSun" w:cs="SimSun" w:hint="eastAsia"/>
          <w:sz w:val="24"/>
          <w:szCs w:val="24"/>
          <w:lang w:eastAsia="zh-CN"/>
        </w:rPr>
        <w:t>非洲联盟代表就优先考虑公平和公正的惠益分享以鼓励土著人民和当地社区参与自</w:t>
      </w:r>
      <w:r w:rsidR="008D76BF" w:rsidRPr="009423F9">
        <w:rPr>
          <w:rFonts w:ascii="SimSun" w:eastAsia="SimSun" w:hAnsi="SimSun" w:cs="SimSun" w:hint="eastAsia"/>
          <w:sz w:val="24"/>
          <w:szCs w:val="24"/>
          <w:lang w:eastAsia="zh-CN"/>
        </w:rPr>
        <w:lastRenderedPageBreak/>
        <w:t>然保护和可持续发展的重要性发表评论后，他</w:t>
      </w:r>
      <w:r>
        <w:rPr>
          <w:rFonts w:ascii="SimSun" w:eastAsia="SimSun" w:hAnsi="SimSun" w:cs="SimSun" w:hint="eastAsia"/>
          <w:sz w:val="24"/>
          <w:szCs w:val="24"/>
          <w:lang w:eastAsia="zh-CN"/>
        </w:rPr>
        <w:t>表示</w:t>
      </w:r>
      <w:r>
        <w:rPr>
          <w:rFonts w:ascii="SimSun" w:eastAsia="SimSun" w:hAnsi="SimSun" w:cs="SimSun"/>
          <w:sz w:val="24"/>
          <w:szCs w:val="24"/>
          <w:lang w:eastAsia="zh-CN"/>
        </w:rPr>
        <w:t>，</w:t>
      </w:r>
      <w:r w:rsidR="008D76BF" w:rsidRPr="009423F9">
        <w:rPr>
          <w:rFonts w:ascii="SimSun" w:eastAsia="SimSun" w:hAnsi="SimSun" w:cs="SimSun" w:hint="eastAsia"/>
          <w:sz w:val="24"/>
          <w:szCs w:val="24"/>
          <w:lang w:eastAsia="zh-CN"/>
        </w:rPr>
        <w:t>各国政府应努力促进转移支付等措施，以确保保护区内的土著人民享受绿色发展的好处。</w:t>
      </w:r>
    </w:p>
    <w:p w:rsidR="008D76BF" w:rsidRDefault="008D76BF" w:rsidP="009C2411">
      <w:pPr>
        <w:ind w:firstLine="0"/>
        <w:rPr>
          <w:rFonts w:ascii="KaiTi" w:eastAsia="KaiTi" w:hAnsi="KaiTi"/>
          <w:snapToGrid w:val="0"/>
          <w:color w:val="000000"/>
          <w:kern w:val="22"/>
          <w:lang w:eastAsia="zh-CN"/>
        </w:rPr>
      </w:pPr>
      <w:r>
        <w:rPr>
          <w:rFonts w:ascii="KaiTi" w:eastAsia="KaiTi" w:hAnsi="KaiTi"/>
          <w:snapToGrid w:val="0"/>
          <w:color w:val="000000"/>
          <w:kern w:val="22"/>
          <w:lang w:eastAsia="zh-CN"/>
        </w:rPr>
        <w:br w:type="page"/>
      </w:r>
    </w:p>
    <w:p w:rsidR="008D76BF" w:rsidRPr="00737609" w:rsidRDefault="008D76BF" w:rsidP="00FE5FC3">
      <w:pPr>
        <w:pStyle w:val="ListParagraph"/>
        <w:tabs>
          <w:tab w:val="left" w:pos="720"/>
        </w:tabs>
        <w:kinsoku w:val="0"/>
        <w:overflowPunct w:val="0"/>
        <w:autoSpaceDE w:val="0"/>
        <w:autoSpaceDN w:val="0"/>
        <w:adjustRightInd w:val="0"/>
        <w:snapToGrid w:val="0"/>
        <w:ind w:left="0"/>
        <w:jc w:val="center"/>
        <w:rPr>
          <w:rFonts w:ascii="KaiTi" w:eastAsia="KaiTi" w:hAnsi="KaiTi"/>
          <w:snapToGrid w:val="0"/>
          <w:color w:val="000000"/>
          <w:kern w:val="22"/>
          <w:lang w:eastAsia="zh-CN"/>
        </w:rPr>
      </w:pPr>
      <w:r w:rsidRPr="001E6973">
        <w:rPr>
          <w:rFonts w:ascii="KaiTi" w:eastAsia="KaiTi" w:hAnsi="KaiTi" w:hint="eastAsia"/>
          <w:kern w:val="22"/>
          <w:lang w:val="en-CA" w:eastAsia="zh-CN"/>
        </w:rPr>
        <w:lastRenderedPageBreak/>
        <w:t>附件四</w:t>
      </w:r>
    </w:p>
    <w:p w:rsidR="008D76BF" w:rsidRDefault="003624D7" w:rsidP="00FE5FC3">
      <w:pPr>
        <w:jc w:val="center"/>
        <w:rPr>
          <w:b/>
          <w:snapToGrid w:val="0"/>
          <w:color w:val="000000"/>
          <w:kern w:val="22"/>
          <w:lang w:eastAsia="zh-CN"/>
        </w:rPr>
      </w:pPr>
      <w:r>
        <w:rPr>
          <w:rFonts w:ascii="SimSun" w:eastAsia="SimSun" w:hAnsi="SimSun" w:cs="SimSun" w:hint="eastAsia"/>
          <w:b/>
          <w:snapToGrid w:val="0"/>
          <w:color w:val="000000"/>
          <w:kern w:val="22"/>
          <w:lang w:eastAsia="zh-CN"/>
        </w:rPr>
        <w:t>平行活动</w:t>
      </w:r>
      <w:r w:rsidR="008D76BF" w:rsidRPr="00830AF7">
        <w:rPr>
          <w:rFonts w:ascii="SimSun" w:eastAsia="SimSun" w:hAnsi="SimSun" w:cs="SimSun" w:hint="eastAsia"/>
          <w:b/>
          <w:snapToGrid w:val="0"/>
          <w:color w:val="000000"/>
          <w:kern w:val="22"/>
          <w:lang w:eastAsia="zh-CN"/>
        </w:rPr>
        <w:t>和颁奖</w:t>
      </w:r>
    </w:p>
    <w:p w:rsidR="008D76BF" w:rsidRPr="0077733C" w:rsidRDefault="003624D7" w:rsidP="00FE5FC3">
      <w:pPr>
        <w:pStyle w:val="Para1"/>
        <w:widowControl w:val="0"/>
        <w:tabs>
          <w:tab w:val="clear" w:pos="360"/>
          <w:tab w:val="left" w:pos="720"/>
        </w:tabs>
        <w:adjustRightInd w:val="0"/>
        <w:ind w:firstLine="0"/>
        <w:rPr>
          <w:rFonts w:ascii="KaiTi" w:eastAsia="KaiTi" w:hAnsi="KaiTi"/>
          <w:color w:val="212121"/>
          <w:sz w:val="24"/>
          <w:szCs w:val="24"/>
          <w:shd w:val="clear" w:color="auto" w:fill="FFFFFF"/>
          <w:lang w:eastAsia="zh-CN"/>
        </w:rPr>
      </w:pPr>
      <w:r>
        <w:rPr>
          <w:rFonts w:ascii="KaiTi" w:eastAsia="KaiTi" w:hAnsi="KaiTi" w:hint="eastAsia"/>
          <w:color w:val="212121"/>
          <w:sz w:val="24"/>
          <w:szCs w:val="24"/>
          <w:shd w:val="clear" w:color="auto" w:fill="FFFFFF"/>
          <w:lang w:eastAsia="zh-CN"/>
        </w:rPr>
        <w:t>平行活动</w:t>
      </w:r>
    </w:p>
    <w:p w:rsidR="008D76BF" w:rsidRPr="00830AF7" w:rsidRDefault="008D76BF" w:rsidP="000A1A91">
      <w:pPr>
        <w:pStyle w:val="Para1"/>
        <w:widowControl w:val="0"/>
        <w:numPr>
          <w:ilvl w:val="0"/>
          <w:numId w:val="11"/>
        </w:numPr>
        <w:tabs>
          <w:tab w:val="left" w:pos="720"/>
        </w:tabs>
        <w:adjustRightInd w:val="0"/>
        <w:ind w:left="0" w:firstLine="0"/>
        <w:rPr>
          <w:rFonts w:eastAsia="Times New Roman"/>
          <w:color w:val="212121"/>
          <w:sz w:val="24"/>
          <w:szCs w:val="24"/>
          <w:shd w:val="clear" w:color="auto" w:fill="FFFFFF"/>
          <w:lang w:eastAsia="zh-CN"/>
        </w:rPr>
      </w:pPr>
      <w:r w:rsidRPr="00830AF7">
        <w:rPr>
          <w:rFonts w:ascii="SimSun" w:eastAsia="SimSun" w:hAnsi="SimSun" w:cs="SimSun" w:hint="eastAsia"/>
          <w:color w:val="212121"/>
          <w:sz w:val="24"/>
          <w:szCs w:val="24"/>
          <w:shd w:val="clear" w:color="auto" w:fill="FFFFFF"/>
          <w:lang w:eastAsia="zh-CN"/>
        </w:rPr>
        <w:t>在</w:t>
      </w:r>
      <w:r w:rsidRPr="00830AF7">
        <w:rPr>
          <w:rFonts w:eastAsia="Times New Roman"/>
          <w:color w:val="212121"/>
          <w:sz w:val="24"/>
          <w:szCs w:val="24"/>
          <w:shd w:val="clear" w:color="auto" w:fill="FFFFFF"/>
          <w:lang w:eastAsia="zh-CN"/>
        </w:rPr>
        <w:t>2018</w:t>
      </w:r>
      <w:r w:rsidRPr="00830AF7">
        <w:rPr>
          <w:rFonts w:ascii="SimSun" w:eastAsia="SimSun" w:hAnsi="SimSun" w:cs="SimSun" w:hint="eastAsia"/>
          <w:color w:val="212121"/>
          <w:sz w:val="24"/>
          <w:szCs w:val="24"/>
          <w:shd w:val="clear" w:color="auto" w:fill="FFFFFF"/>
          <w:lang w:eastAsia="zh-CN"/>
        </w:rPr>
        <w:t>年</w:t>
      </w:r>
      <w:r w:rsidRPr="00830AF7">
        <w:rPr>
          <w:rFonts w:eastAsia="Times New Roman"/>
          <w:color w:val="212121"/>
          <w:sz w:val="24"/>
          <w:szCs w:val="24"/>
          <w:shd w:val="clear" w:color="auto" w:fill="FFFFFF"/>
          <w:lang w:eastAsia="zh-CN"/>
        </w:rPr>
        <w:t>11</w:t>
      </w:r>
      <w:r w:rsidRPr="00830AF7">
        <w:rPr>
          <w:rFonts w:ascii="SimSun" w:eastAsia="SimSun" w:hAnsi="SimSun" w:cs="SimSun" w:hint="eastAsia"/>
          <w:color w:val="212121"/>
          <w:sz w:val="24"/>
          <w:szCs w:val="24"/>
          <w:shd w:val="clear" w:color="auto" w:fill="FFFFFF"/>
          <w:lang w:eastAsia="zh-CN"/>
        </w:rPr>
        <w:t>月</w:t>
      </w:r>
      <w:r w:rsidRPr="00830AF7">
        <w:rPr>
          <w:rFonts w:eastAsia="Times New Roman"/>
          <w:color w:val="212121"/>
          <w:sz w:val="24"/>
          <w:szCs w:val="24"/>
          <w:shd w:val="clear" w:color="auto" w:fill="FFFFFF"/>
          <w:lang w:eastAsia="zh-CN"/>
        </w:rPr>
        <w:t>17</w:t>
      </w:r>
      <w:r w:rsidRPr="00830AF7">
        <w:rPr>
          <w:rFonts w:ascii="SimSun" w:eastAsia="SimSun" w:hAnsi="SimSun" w:cs="SimSun" w:hint="eastAsia"/>
          <w:color w:val="212121"/>
          <w:sz w:val="24"/>
          <w:szCs w:val="24"/>
          <w:shd w:val="clear" w:color="auto" w:fill="FFFFFF"/>
          <w:lang w:eastAsia="zh-CN"/>
        </w:rPr>
        <w:t>日会议的第</w:t>
      </w:r>
      <w:r w:rsidRPr="00830AF7">
        <w:rPr>
          <w:rFonts w:eastAsia="Times New Roman"/>
          <w:color w:val="212121"/>
          <w:sz w:val="24"/>
          <w:szCs w:val="24"/>
          <w:shd w:val="clear" w:color="auto" w:fill="FFFFFF"/>
          <w:lang w:eastAsia="zh-CN"/>
        </w:rPr>
        <w:t>2</w:t>
      </w:r>
      <w:r w:rsidRPr="00830AF7">
        <w:rPr>
          <w:rFonts w:ascii="SimSun" w:eastAsia="SimSun" w:hAnsi="SimSun" w:cs="SimSun" w:hint="eastAsia"/>
          <w:color w:val="212121"/>
          <w:sz w:val="24"/>
          <w:szCs w:val="24"/>
          <w:shd w:val="clear" w:color="auto" w:fill="FFFFFF"/>
          <w:lang w:eastAsia="zh-CN"/>
        </w:rPr>
        <w:t>次全体会议上，哥斯达黎加环境和能源部长</w:t>
      </w:r>
      <w:r w:rsidRPr="00830AF7">
        <w:rPr>
          <w:rFonts w:eastAsia="Times New Roman"/>
          <w:color w:val="212121"/>
          <w:sz w:val="24"/>
          <w:szCs w:val="24"/>
          <w:shd w:val="clear" w:color="auto" w:fill="FFFFFF"/>
          <w:lang w:eastAsia="zh-CN"/>
        </w:rPr>
        <w:t>Carlos Manuel Rodriguez</w:t>
      </w:r>
      <w:r w:rsidRPr="00830AF7">
        <w:rPr>
          <w:rFonts w:ascii="SimSun" w:eastAsia="SimSun" w:hAnsi="SimSun" w:cs="SimSun" w:hint="eastAsia"/>
          <w:color w:val="212121"/>
          <w:sz w:val="24"/>
          <w:szCs w:val="24"/>
          <w:shd w:val="clear" w:color="auto" w:fill="FFFFFF"/>
          <w:lang w:eastAsia="zh-CN"/>
        </w:rPr>
        <w:t>先生报告了与本次会议</w:t>
      </w:r>
      <w:r w:rsidR="003624D7">
        <w:rPr>
          <w:rFonts w:ascii="SimSun" w:eastAsia="SimSun" w:hAnsi="SimSun" w:cs="SimSun" w:hint="eastAsia"/>
          <w:color w:val="212121"/>
          <w:sz w:val="24"/>
          <w:szCs w:val="24"/>
          <w:shd w:val="clear" w:color="auto" w:fill="FFFFFF"/>
          <w:lang w:eastAsia="zh-CN"/>
        </w:rPr>
        <w:t>前后相衔接举行</w:t>
      </w:r>
      <w:r w:rsidRPr="00830AF7">
        <w:rPr>
          <w:rFonts w:ascii="SimSun" w:eastAsia="SimSun" w:hAnsi="SimSun" w:cs="SimSun" w:hint="eastAsia"/>
          <w:color w:val="212121"/>
          <w:sz w:val="24"/>
          <w:szCs w:val="24"/>
          <w:shd w:val="clear" w:color="auto" w:fill="FFFFFF"/>
          <w:lang w:eastAsia="zh-CN"/>
        </w:rPr>
        <w:t>的全球商业和生物多样性论坛。与会者认识到生态系统和生物多样性的丧失使人类福祉受到威胁，并破坏了《</w:t>
      </w:r>
      <w:r w:rsidRPr="00830AF7">
        <w:rPr>
          <w:rFonts w:eastAsia="Times New Roman"/>
          <w:color w:val="212121"/>
          <w:sz w:val="24"/>
          <w:szCs w:val="24"/>
          <w:shd w:val="clear" w:color="auto" w:fill="FFFFFF"/>
          <w:lang w:eastAsia="zh-CN"/>
        </w:rPr>
        <w:t>2030</w:t>
      </w:r>
      <w:r w:rsidRPr="00830AF7">
        <w:rPr>
          <w:rFonts w:ascii="SimSun" w:eastAsia="SimSun" w:hAnsi="SimSun" w:cs="SimSun" w:hint="eastAsia"/>
          <w:color w:val="212121"/>
          <w:sz w:val="24"/>
          <w:szCs w:val="24"/>
          <w:shd w:val="clear" w:color="auto" w:fill="FFFFFF"/>
          <w:lang w:eastAsia="zh-CN"/>
        </w:rPr>
        <w:t>年可持续发展议程》的实现。他们还认识到企业对生物多样性和生态系统服务具有重大影响，企业也依赖于生物多样性和生态系统服务。存在着开发创新金融工具和将生物多样性目标整合进国家经济发展计划的重要机会，这将为在关键经济部门开发新的商业模式带来重大机遇。各国政府需要认识到商业现实情况，认识到明确的和可预测的国家和国际政策对于实现长期业务规划和投资的重要性。制定必要的政策和监管框架会有助于将生物多样性和可持续性纳入商业运作的主流，但这需要改变叙述方法，强调经济机会并使用企业理解的语言和指标。一个宏伟的</w:t>
      </w:r>
      <w:r w:rsidRPr="00830AF7">
        <w:rPr>
          <w:rFonts w:eastAsia="Times New Roman"/>
          <w:color w:val="212121"/>
          <w:sz w:val="24"/>
          <w:szCs w:val="24"/>
          <w:shd w:val="clear" w:color="auto" w:fill="FFFFFF"/>
          <w:lang w:eastAsia="zh-CN"/>
        </w:rPr>
        <w:t>2020</w:t>
      </w:r>
      <w:r w:rsidRPr="00830AF7">
        <w:rPr>
          <w:rFonts w:ascii="SimSun" w:eastAsia="SimSun" w:hAnsi="SimSun" w:cs="SimSun" w:hint="eastAsia"/>
          <w:color w:val="212121"/>
          <w:sz w:val="24"/>
          <w:szCs w:val="24"/>
          <w:shd w:val="clear" w:color="auto" w:fill="FFFFFF"/>
          <w:lang w:eastAsia="zh-CN"/>
        </w:rPr>
        <w:t>年后全球生物多样性框架应以现有的生物多样性管理良好做法为基础，将于</w:t>
      </w:r>
      <w:r w:rsidRPr="00830AF7">
        <w:rPr>
          <w:rFonts w:eastAsia="Times New Roman"/>
          <w:color w:val="212121"/>
          <w:sz w:val="24"/>
          <w:szCs w:val="24"/>
          <w:shd w:val="clear" w:color="auto" w:fill="FFFFFF"/>
          <w:lang w:eastAsia="zh-CN"/>
        </w:rPr>
        <w:t>2019</w:t>
      </w:r>
      <w:r w:rsidRPr="00830AF7">
        <w:rPr>
          <w:rFonts w:ascii="SimSun" w:eastAsia="SimSun" w:hAnsi="SimSun" w:cs="SimSun" w:hint="eastAsia"/>
          <w:color w:val="212121"/>
          <w:sz w:val="24"/>
          <w:szCs w:val="24"/>
          <w:shd w:val="clear" w:color="auto" w:fill="FFFFFF"/>
          <w:lang w:eastAsia="zh-CN"/>
        </w:rPr>
        <w:t>年</w:t>
      </w:r>
      <w:r w:rsidRPr="00830AF7">
        <w:rPr>
          <w:rFonts w:eastAsia="Times New Roman"/>
          <w:color w:val="212121"/>
          <w:sz w:val="24"/>
          <w:szCs w:val="24"/>
          <w:shd w:val="clear" w:color="auto" w:fill="FFFFFF"/>
          <w:lang w:eastAsia="zh-CN"/>
        </w:rPr>
        <w:t>3</w:t>
      </w:r>
      <w:r w:rsidRPr="00830AF7">
        <w:rPr>
          <w:rFonts w:ascii="SimSun" w:eastAsia="SimSun" w:hAnsi="SimSun" w:cs="SimSun" w:hint="eastAsia"/>
          <w:color w:val="212121"/>
          <w:sz w:val="24"/>
          <w:szCs w:val="24"/>
          <w:shd w:val="clear" w:color="auto" w:fill="FFFFFF"/>
          <w:lang w:eastAsia="zh-CN"/>
        </w:rPr>
        <w:t>月</w:t>
      </w:r>
      <w:r w:rsidRPr="00830AF7">
        <w:rPr>
          <w:rFonts w:eastAsia="Times New Roman"/>
          <w:color w:val="212121"/>
          <w:sz w:val="24"/>
          <w:szCs w:val="24"/>
          <w:shd w:val="clear" w:color="auto" w:fill="FFFFFF"/>
          <w:lang w:eastAsia="zh-CN"/>
        </w:rPr>
        <w:t>11</w:t>
      </w:r>
      <w:r w:rsidRPr="00830AF7">
        <w:rPr>
          <w:rFonts w:ascii="SimSun" w:eastAsia="SimSun" w:hAnsi="SimSun" w:cs="SimSun" w:hint="eastAsia"/>
          <w:color w:val="212121"/>
          <w:sz w:val="24"/>
          <w:szCs w:val="24"/>
          <w:shd w:val="clear" w:color="auto" w:fill="FFFFFF"/>
          <w:lang w:eastAsia="zh-CN"/>
        </w:rPr>
        <w:t>日至</w:t>
      </w:r>
      <w:r w:rsidRPr="00830AF7">
        <w:rPr>
          <w:rFonts w:eastAsia="Times New Roman"/>
          <w:color w:val="212121"/>
          <w:sz w:val="24"/>
          <w:szCs w:val="24"/>
          <w:shd w:val="clear" w:color="auto" w:fill="FFFFFF"/>
          <w:lang w:eastAsia="zh-CN"/>
        </w:rPr>
        <w:t>15</w:t>
      </w:r>
      <w:r w:rsidR="00EA4BF6">
        <w:rPr>
          <w:rFonts w:ascii="SimSun" w:eastAsia="SimSun" w:hAnsi="SimSun" w:cs="SimSun" w:hint="eastAsia"/>
          <w:color w:val="212121"/>
          <w:sz w:val="24"/>
          <w:szCs w:val="24"/>
          <w:shd w:val="clear" w:color="auto" w:fill="FFFFFF"/>
          <w:lang w:eastAsia="zh-CN"/>
        </w:rPr>
        <w:t>日的</w:t>
      </w:r>
      <w:r w:rsidRPr="00830AF7">
        <w:rPr>
          <w:rFonts w:ascii="SimSun" w:eastAsia="SimSun" w:hAnsi="SimSun" w:cs="SimSun" w:hint="eastAsia"/>
          <w:color w:val="212121"/>
          <w:sz w:val="24"/>
          <w:szCs w:val="24"/>
          <w:shd w:val="clear" w:color="auto" w:fill="FFFFFF"/>
          <w:lang w:eastAsia="zh-CN"/>
        </w:rPr>
        <w:t>第四届联合国环境大会，应采取行动，创造有利环境，将生物多样性和可持续性纳入企业运作的主流。</w:t>
      </w:r>
    </w:p>
    <w:p w:rsidR="008D76BF" w:rsidRPr="00830AF7" w:rsidRDefault="008D76BF" w:rsidP="000A1A91">
      <w:pPr>
        <w:pStyle w:val="Para1"/>
        <w:widowControl w:val="0"/>
        <w:numPr>
          <w:ilvl w:val="0"/>
          <w:numId w:val="11"/>
        </w:numPr>
        <w:tabs>
          <w:tab w:val="left" w:pos="720"/>
        </w:tabs>
        <w:adjustRightInd w:val="0"/>
        <w:ind w:left="0" w:firstLine="0"/>
        <w:rPr>
          <w:rFonts w:eastAsia="Times New Roman"/>
          <w:color w:val="212121"/>
          <w:sz w:val="24"/>
          <w:szCs w:val="24"/>
          <w:shd w:val="clear" w:color="auto" w:fill="FFFFFF"/>
          <w:lang w:eastAsia="zh-CN"/>
        </w:rPr>
      </w:pPr>
      <w:r w:rsidRPr="00830AF7">
        <w:rPr>
          <w:rFonts w:ascii="SimSun" w:eastAsia="SimSun" w:hAnsi="SimSun" w:cs="SimSun" w:hint="eastAsia"/>
          <w:color w:val="212121"/>
          <w:sz w:val="24"/>
          <w:szCs w:val="24"/>
          <w:shd w:val="clear" w:color="auto" w:fill="FFFFFF"/>
          <w:lang w:eastAsia="zh-CN"/>
        </w:rPr>
        <w:t>在</w:t>
      </w:r>
      <w:r w:rsidRPr="00830AF7">
        <w:rPr>
          <w:rFonts w:eastAsia="Times New Roman"/>
          <w:color w:val="212121"/>
          <w:sz w:val="24"/>
          <w:szCs w:val="24"/>
          <w:shd w:val="clear" w:color="auto" w:fill="FFFFFF"/>
          <w:lang w:eastAsia="zh-CN"/>
        </w:rPr>
        <w:t>2018</w:t>
      </w:r>
      <w:r w:rsidRPr="00830AF7">
        <w:rPr>
          <w:rFonts w:ascii="SimSun" w:eastAsia="SimSun" w:hAnsi="SimSun" w:cs="SimSun" w:hint="eastAsia"/>
          <w:color w:val="212121"/>
          <w:sz w:val="24"/>
          <w:szCs w:val="24"/>
          <w:shd w:val="clear" w:color="auto" w:fill="FFFFFF"/>
          <w:lang w:eastAsia="zh-CN"/>
        </w:rPr>
        <w:t>年</w:t>
      </w:r>
      <w:r w:rsidRPr="00830AF7">
        <w:rPr>
          <w:rFonts w:eastAsia="Times New Roman"/>
          <w:color w:val="212121"/>
          <w:sz w:val="24"/>
          <w:szCs w:val="24"/>
          <w:shd w:val="clear" w:color="auto" w:fill="FFFFFF"/>
          <w:lang w:eastAsia="zh-CN"/>
        </w:rPr>
        <w:t>11</w:t>
      </w:r>
      <w:r w:rsidRPr="00830AF7">
        <w:rPr>
          <w:rFonts w:ascii="SimSun" w:eastAsia="SimSun" w:hAnsi="SimSun" w:cs="SimSun" w:hint="eastAsia"/>
          <w:color w:val="212121"/>
          <w:sz w:val="24"/>
          <w:szCs w:val="24"/>
          <w:shd w:val="clear" w:color="auto" w:fill="FFFFFF"/>
          <w:lang w:eastAsia="zh-CN"/>
        </w:rPr>
        <w:t>月</w:t>
      </w:r>
      <w:r w:rsidRPr="00830AF7">
        <w:rPr>
          <w:rFonts w:eastAsia="Times New Roman"/>
          <w:color w:val="212121"/>
          <w:sz w:val="24"/>
          <w:szCs w:val="24"/>
          <w:shd w:val="clear" w:color="auto" w:fill="FFFFFF"/>
          <w:lang w:eastAsia="zh-CN"/>
        </w:rPr>
        <w:t>25</w:t>
      </w:r>
      <w:r w:rsidRPr="00830AF7">
        <w:rPr>
          <w:rFonts w:ascii="SimSun" w:eastAsia="SimSun" w:hAnsi="SimSun" w:cs="SimSun" w:hint="eastAsia"/>
          <w:color w:val="212121"/>
          <w:sz w:val="24"/>
          <w:szCs w:val="24"/>
          <w:shd w:val="clear" w:color="auto" w:fill="FFFFFF"/>
          <w:lang w:eastAsia="zh-CN"/>
        </w:rPr>
        <w:t>日会议的第</w:t>
      </w:r>
      <w:r w:rsidRPr="00830AF7">
        <w:rPr>
          <w:rFonts w:eastAsia="Times New Roman"/>
          <w:color w:val="212121"/>
          <w:sz w:val="24"/>
          <w:szCs w:val="24"/>
          <w:shd w:val="clear" w:color="auto" w:fill="FFFFFF"/>
          <w:lang w:eastAsia="zh-CN"/>
        </w:rPr>
        <w:t>5</w:t>
      </w:r>
      <w:r w:rsidRPr="00830AF7">
        <w:rPr>
          <w:rFonts w:ascii="SimSun" w:eastAsia="SimSun" w:hAnsi="SimSun" w:cs="SimSun" w:hint="eastAsia"/>
          <w:color w:val="212121"/>
          <w:sz w:val="24"/>
          <w:szCs w:val="24"/>
          <w:shd w:val="clear" w:color="auto" w:fill="FFFFFF"/>
          <w:lang w:eastAsia="zh-CN"/>
        </w:rPr>
        <w:t>次全体会议上，一些其他代表提供了他们参加的活动的精彩片段。</w:t>
      </w:r>
    </w:p>
    <w:p w:rsidR="008D76BF" w:rsidRPr="00830AF7" w:rsidRDefault="008D76BF" w:rsidP="000A1A91">
      <w:pPr>
        <w:pStyle w:val="Para1"/>
        <w:widowControl w:val="0"/>
        <w:numPr>
          <w:ilvl w:val="0"/>
          <w:numId w:val="11"/>
        </w:numPr>
        <w:tabs>
          <w:tab w:val="left" w:pos="720"/>
        </w:tabs>
        <w:adjustRightInd w:val="0"/>
        <w:ind w:left="0" w:firstLine="0"/>
        <w:rPr>
          <w:rFonts w:eastAsia="Times New Roman"/>
          <w:color w:val="212121"/>
          <w:sz w:val="24"/>
          <w:szCs w:val="24"/>
          <w:shd w:val="clear" w:color="auto" w:fill="FFFFFF"/>
          <w:lang w:eastAsia="zh-CN"/>
        </w:rPr>
      </w:pPr>
      <w:r w:rsidRPr="00830AF7">
        <w:rPr>
          <w:rFonts w:ascii="SimSun" w:eastAsia="SimSun" w:hAnsi="SimSun" w:cs="SimSun" w:hint="eastAsia"/>
          <w:color w:val="212121"/>
          <w:sz w:val="24"/>
          <w:szCs w:val="24"/>
          <w:shd w:val="clear" w:color="auto" w:fill="FFFFFF"/>
          <w:lang w:eastAsia="zh-CN"/>
        </w:rPr>
        <w:t>伊朗可持续发展与环境中心</w:t>
      </w:r>
      <w:r>
        <w:rPr>
          <w:rFonts w:ascii="SimSun" w:eastAsia="SimSun" w:hAnsi="SimSun" w:cs="SimSun" w:hint="eastAsia"/>
          <w:color w:val="212121"/>
          <w:sz w:val="24"/>
          <w:szCs w:val="24"/>
          <w:shd w:val="clear" w:color="auto" w:fill="FFFFFF"/>
          <w:lang w:eastAsia="zh-CN"/>
        </w:rPr>
        <w:t>（</w:t>
      </w:r>
      <w:r w:rsidRPr="00830AF7">
        <w:rPr>
          <w:rFonts w:eastAsia="Times New Roman"/>
          <w:color w:val="212121"/>
          <w:sz w:val="24"/>
          <w:szCs w:val="24"/>
          <w:shd w:val="clear" w:color="auto" w:fill="FFFFFF"/>
          <w:lang w:eastAsia="zh-CN"/>
        </w:rPr>
        <w:t>CENESTA</w:t>
      </w:r>
      <w:r>
        <w:rPr>
          <w:rFonts w:ascii="SimSun" w:eastAsia="SimSun" w:hAnsi="SimSun" w:cs="SimSun" w:hint="eastAsia"/>
          <w:color w:val="212121"/>
          <w:sz w:val="24"/>
          <w:szCs w:val="24"/>
          <w:shd w:val="clear" w:color="auto" w:fill="FFFFFF"/>
          <w:lang w:eastAsia="zh-CN"/>
        </w:rPr>
        <w:t>）</w:t>
      </w:r>
      <w:r w:rsidRPr="00830AF7">
        <w:rPr>
          <w:rFonts w:ascii="SimSun" w:eastAsia="SimSun" w:hAnsi="SimSun" w:cs="SimSun" w:hint="eastAsia"/>
          <w:color w:val="212121"/>
          <w:sz w:val="24"/>
          <w:szCs w:val="24"/>
          <w:shd w:val="clear" w:color="auto" w:fill="FFFFFF"/>
          <w:lang w:eastAsia="zh-CN"/>
        </w:rPr>
        <w:t>的</w:t>
      </w:r>
      <w:r w:rsidRPr="00830AF7">
        <w:rPr>
          <w:rFonts w:eastAsia="Times New Roman"/>
          <w:color w:val="212121"/>
          <w:sz w:val="24"/>
          <w:szCs w:val="24"/>
          <w:shd w:val="clear" w:color="auto" w:fill="FFFFFF"/>
          <w:lang w:eastAsia="zh-CN"/>
        </w:rPr>
        <w:t xml:space="preserve"> Ghanimat Azhdari</w:t>
      </w:r>
      <w:r w:rsidRPr="00830AF7">
        <w:rPr>
          <w:rFonts w:ascii="SimSun" w:eastAsia="SimSun" w:hAnsi="SimSun" w:cs="SimSun" w:hint="eastAsia"/>
          <w:color w:val="212121"/>
          <w:sz w:val="24"/>
          <w:szCs w:val="24"/>
          <w:shd w:val="clear" w:color="auto" w:fill="FFFFFF"/>
          <w:lang w:eastAsia="zh-CN"/>
        </w:rPr>
        <w:t>女士报告</w:t>
      </w:r>
      <w:r w:rsidRPr="00830AF7">
        <w:rPr>
          <w:rFonts w:eastAsia="Times New Roman"/>
          <w:color w:val="212121"/>
          <w:sz w:val="24"/>
          <w:szCs w:val="24"/>
          <w:shd w:val="clear" w:color="auto" w:fill="FFFFFF"/>
          <w:lang w:eastAsia="zh-CN"/>
        </w:rPr>
        <w:t>2018</w:t>
      </w:r>
      <w:r w:rsidRPr="00830AF7">
        <w:rPr>
          <w:rFonts w:ascii="SimSun" w:eastAsia="SimSun" w:hAnsi="SimSun" w:cs="SimSun" w:hint="eastAsia"/>
          <w:color w:val="212121"/>
          <w:sz w:val="24"/>
          <w:szCs w:val="24"/>
          <w:shd w:val="clear" w:color="auto" w:fill="FFFFFF"/>
          <w:lang w:eastAsia="zh-CN"/>
        </w:rPr>
        <w:t>年</w:t>
      </w:r>
      <w:r w:rsidRPr="00830AF7">
        <w:rPr>
          <w:rFonts w:eastAsia="Times New Roman"/>
          <w:color w:val="212121"/>
          <w:sz w:val="24"/>
          <w:szCs w:val="24"/>
          <w:shd w:val="clear" w:color="auto" w:fill="FFFFFF"/>
          <w:lang w:eastAsia="zh-CN"/>
        </w:rPr>
        <w:t>11</w:t>
      </w:r>
      <w:r w:rsidRPr="00830AF7">
        <w:rPr>
          <w:rFonts w:ascii="SimSun" w:eastAsia="SimSun" w:hAnsi="SimSun" w:cs="SimSun" w:hint="eastAsia"/>
          <w:color w:val="212121"/>
          <w:sz w:val="24"/>
          <w:szCs w:val="24"/>
          <w:shd w:val="clear" w:color="auto" w:fill="FFFFFF"/>
          <w:lang w:eastAsia="zh-CN"/>
        </w:rPr>
        <w:t>月</w:t>
      </w:r>
      <w:r w:rsidRPr="00830AF7">
        <w:rPr>
          <w:rFonts w:eastAsia="Times New Roman"/>
          <w:color w:val="212121"/>
          <w:sz w:val="24"/>
          <w:szCs w:val="24"/>
          <w:shd w:val="clear" w:color="auto" w:fill="FFFFFF"/>
          <w:lang w:eastAsia="zh-CN"/>
        </w:rPr>
        <w:t>22</w:t>
      </w:r>
      <w:r w:rsidRPr="00830AF7">
        <w:rPr>
          <w:rFonts w:ascii="SimSun" w:eastAsia="SimSun" w:hAnsi="SimSun" w:cs="SimSun" w:hint="eastAsia"/>
          <w:color w:val="212121"/>
          <w:sz w:val="24"/>
          <w:szCs w:val="24"/>
          <w:shd w:val="clear" w:color="auto" w:fill="FFFFFF"/>
          <w:lang w:eastAsia="zh-CN"/>
        </w:rPr>
        <w:t>日至</w:t>
      </w:r>
      <w:r w:rsidRPr="00830AF7">
        <w:rPr>
          <w:rFonts w:eastAsia="Times New Roman"/>
          <w:color w:val="212121"/>
          <w:sz w:val="24"/>
          <w:szCs w:val="24"/>
          <w:shd w:val="clear" w:color="auto" w:fill="FFFFFF"/>
          <w:lang w:eastAsia="zh-CN"/>
        </w:rPr>
        <w:t>24</w:t>
      </w:r>
      <w:r w:rsidR="00EA4BF6">
        <w:rPr>
          <w:rFonts w:ascii="SimSun" w:eastAsia="SimSun" w:hAnsi="SimSun" w:cs="SimSun" w:hint="eastAsia"/>
          <w:color w:val="212121"/>
          <w:sz w:val="24"/>
          <w:szCs w:val="24"/>
          <w:shd w:val="clear" w:color="auto" w:fill="FFFFFF"/>
          <w:lang w:eastAsia="zh-CN"/>
        </w:rPr>
        <w:t>日的</w:t>
      </w:r>
      <w:r w:rsidRPr="00830AF7">
        <w:rPr>
          <w:rFonts w:ascii="SimSun" w:eastAsia="SimSun" w:hAnsi="SimSun" w:cs="SimSun" w:hint="eastAsia"/>
          <w:color w:val="212121"/>
          <w:sz w:val="24"/>
          <w:szCs w:val="24"/>
          <w:shd w:val="clear" w:color="auto" w:fill="FFFFFF"/>
          <w:lang w:eastAsia="zh-CN"/>
        </w:rPr>
        <w:t>自然与文化峰会成果时，宣读了峰会的最后宣言</w:t>
      </w:r>
      <w:r>
        <w:rPr>
          <w:rFonts w:ascii="SimSun" w:eastAsia="SimSun" w:hAnsi="SimSun" w:cs="SimSun" w:hint="eastAsia"/>
          <w:color w:val="212121"/>
          <w:sz w:val="24"/>
          <w:szCs w:val="24"/>
          <w:shd w:val="clear" w:color="auto" w:fill="FFFFFF"/>
          <w:lang w:eastAsia="zh-CN"/>
        </w:rPr>
        <w:t>（</w:t>
      </w:r>
      <w:r w:rsidRPr="00830AF7">
        <w:rPr>
          <w:rFonts w:eastAsia="Times New Roman"/>
          <w:color w:val="212121"/>
          <w:sz w:val="24"/>
          <w:szCs w:val="24"/>
          <w:shd w:val="clear" w:color="auto" w:fill="FFFFFF"/>
          <w:lang w:eastAsia="zh-CN"/>
        </w:rPr>
        <w:t>CBD/COP/14/INF/46</w:t>
      </w:r>
      <w:r>
        <w:rPr>
          <w:rFonts w:ascii="SimSun" w:eastAsia="SimSun" w:hAnsi="SimSun" w:cs="SimSun" w:hint="eastAsia"/>
          <w:color w:val="212121"/>
          <w:sz w:val="24"/>
          <w:szCs w:val="24"/>
          <w:shd w:val="clear" w:color="auto" w:fill="FFFFFF"/>
          <w:lang w:eastAsia="zh-CN"/>
        </w:rPr>
        <w:t>）</w:t>
      </w:r>
      <w:r w:rsidRPr="00830AF7">
        <w:rPr>
          <w:rFonts w:ascii="SimSun" w:eastAsia="SimSun" w:hAnsi="SimSun" w:cs="SimSun" w:hint="eastAsia"/>
          <w:color w:val="212121"/>
          <w:sz w:val="24"/>
          <w:szCs w:val="24"/>
          <w:shd w:val="clear" w:color="auto" w:fill="FFFFFF"/>
          <w:lang w:eastAsia="zh-CN"/>
        </w:rPr>
        <w:t>。</w:t>
      </w:r>
      <w:r w:rsidRPr="00830AF7">
        <w:rPr>
          <w:rFonts w:eastAsia="Times New Roman"/>
          <w:color w:val="212121"/>
          <w:sz w:val="24"/>
          <w:szCs w:val="24"/>
          <w:shd w:val="clear" w:color="auto" w:fill="FFFFFF"/>
          <w:lang w:eastAsia="zh-CN"/>
        </w:rPr>
        <w:t xml:space="preserve"> </w:t>
      </w:r>
    </w:p>
    <w:p w:rsidR="008D76BF" w:rsidRPr="00830AF7" w:rsidRDefault="008D76BF" w:rsidP="000A1A91">
      <w:pPr>
        <w:pStyle w:val="Para1"/>
        <w:widowControl w:val="0"/>
        <w:numPr>
          <w:ilvl w:val="0"/>
          <w:numId w:val="11"/>
        </w:numPr>
        <w:tabs>
          <w:tab w:val="left" w:pos="720"/>
        </w:tabs>
        <w:adjustRightInd w:val="0"/>
        <w:ind w:left="0" w:firstLine="0"/>
        <w:rPr>
          <w:rFonts w:eastAsia="Times New Roman"/>
          <w:color w:val="212121"/>
          <w:sz w:val="24"/>
          <w:szCs w:val="24"/>
          <w:shd w:val="clear" w:color="auto" w:fill="FFFFFF"/>
          <w:lang w:eastAsia="zh-CN"/>
        </w:rPr>
      </w:pPr>
      <w:r w:rsidRPr="00830AF7">
        <w:rPr>
          <w:rFonts w:ascii="SimSun" w:eastAsia="SimSun" w:hAnsi="SimSun" w:cs="SimSun" w:hint="eastAsia"/>
          <w:color w:val="212121"/>
          <w:sz w:val="24"/>
          <w:szCs w:val="24"/>
          <w:shd w:val="clear" w:color="auto" w:fill="FFFFFF"/>
          <w:lang w:eastAsia="zh-CN"/>
        </w:rPr>
        <w:t>地方政府可持续发展协会</w:t>
      </w:r>
      <w:r>
        <w:rPr>
          <w:rFonts w:ascii="SimSun" w:eastAsia="SimSun" w:hAnsi="SimSun" w:cs="SimSun" w:hint="eastAsia"/>
          <w:color w:val="212121"/>
          <w:sz w:val="24"/>
          <w:szCs w:val="24"/>
          <w:shd w:val="clear" w:color="auto" w:fill="FFFFFF"/>
          <w:lang w:eastAsia="zh-CN"/>
        </w:rPr>
        <w:t>（</w:t>
      </w:r>
      <w:r w:rsidRPr="00830AF7">
        <w:rPr>
          <w:rFonts w:eastAsia="Times New Roman"/>
          <w:color w:val="212121"/>
          <w:sz w:val="24"/>
          <w:szCs w:val="24"/>
          <w:shd w:val="clear" w:color="auto" w:fill="FFFFFF"/>
          <w:lang w:eastAsia="zh-CN"/>
        </w:rPr>
        <w:t>ICLEI</w:t>
      </w:r>
      <w:r>
        <w:rPr>
          <w:rFonts w:ascii="SimSun" w:eastAsia="SimSun" w:hAnsi="SimSun" w:cs="SimSun" w:hint="eastAsia"/>
          <w:color w:val="212121"/>
          <w:sz w:val="24"/>
          <w:szCs w:val="24"/>
          <w:shd w:val="clear" w:color="auto" w:fill="FFFFFF"/>
          <w:lang w:eastAsia="zh-CN"/>
        </w:rPr>
        <w:t>）</w:t>
      </w:r>
      <w:r w:rsidRPr="00830AF7">
        <w:rPr>
          <w:rFonts w:ascii="SimSun" w:eastAsia="SimSun" w:hAnsi="SimSun" w:cs="SimSun" w:hint="eastAsia"/>
          <w:color w:val="212121"/>
          <w:sz w:val="24"/>
          <w:szCs w:val="24"/>
          <w:shd w:val="clear" w:color="auto" w:fill="FFFFFF"/>
          <w:lang w:eastAsia="zh-CN"/>
        </w:rPr>
        <w:t>副主席</w:t>
      </w:r>
      <w:r w:rsidRPr="00830AF7">
        <w:rPr>
          <w:rFonts w:eastAsia="Times New Roman"/>
          <w:color w:val="212121"/>
          <w:sz w:val="24"/>
          <w:szCs w:val="24"/>
          <w:shd w:val="clear" w:color="auto" w:fill="FFFFFF"/>
          <w:lang w:eastAsia="zh-CN"/>
        </w:rPr>
        <w:t>Cathy Oke</w:t>
      </w:r>
      <w:r w:rsidRPr="00830AF7">
        <w:rPr>
          <w:rFonts w:ascii="SimSun" w:eastAsia="SimSun" w:hAnsi="SimSun" w:cs="SimSun" w:hint="eastAsia"/>
          <w:color w:val="212121"/>
          <w:sz w:val="24"/>
          <w:szCs w:val="24"/>
          <w:shd w:val="clear" w:color="auto" w:fill="FFFFFF"/>
          <w:lang w:eastAsia="zh-CN"/>
        </w:rPr>
        <w:t>女士报告了关于</w:t>
      </w:r>
      <w:r w:rsidRPr="00AB1DA6">
        <w:rPr>
          <w:rFonts w:asciiTheme="minorEastAsia" w:eastAsiaTheme="minorEastAsia" w:hAnsiTheme="minorEastAsia"/>
          <w:color w:val="212121"/>
          <w:sz w:val="24"/>
          <w:szCs w:val="24"/>
          <w:shd w:val="clear" w:color="auto" w:fill="FFFFFF"/>
          <w:lang w:eastAsia="zh-CN"/>
        </w:rPr>
        <w:t>“</w:t>
      </w:r>
      <w:r w:rsidRPr="00AB1DA6">
        <w:rPr>
          <w:rFonts w:asciiTheme="minorEastAsia" w:eastAsiaTheme="minorEastAsia" w:hAnsiTheme="minorEastAsia" w:cs="SimSun" w:hint="eastAsia"/>
          <w:color w:val="212121"/>
          <w:sz w:val="24"/>
          <w:szCs w:val="24"/>
          <w:shd w:val="clear" w:color="auto" w:fill="FFFFFF"/>
          <w:lang w:eastAsia="zh-CN"/>
        </w:rPr>
        <w:t>将生物多样性纳入城市和区域发展主流</w:t>
      </w:r>
      <w:r w:rsidRPr="00AB1DA6">
        <w:rPr>
          <w:rFonts w:asciiTheme="minorEastAsia" w:eastAsiaTheme="minorEastAsia" w:hAnsiTheme="minorEastAsia"/>
          <w:color w:val="212121"/>
          <w:sz w:val="24"/>
          <w:szCs w:val="24"/>
          <w:shd w:val="clear" w:color="auto" w:fill="FFFFFF"/>
          <w:lang w:eastAsia="zh-CN"/>
        </w:rPr>
        <w:t>”</w:t>
      </w:r>
      <w:r w:rsidRPr="00830AF7">
        <w:rPr>
          <w:rFonts w:ascii="SimSun" w:eastAsia="SimSun" w:hAnsi="SimSun" w:cs="SimSun" w:hint="eastAsia"/>
          <w:color w:val="212121"/>
          <w:sz w:val="24"/>
          <w:szCs w:val="24"/>
          <w:shd w:val="clear" w:color="auto" w:fill="FFFFFF"/>
          <w:lang w:eastAsia="zh-CN"/>
        </w:rPr>
        <w:t>的第六届地方和国家以下各级政府全球生物多样性首脑会议的成果，该会议于</w:t>
      </w:r>
      <w:r w:rsidRPr="00830AF7">
        <w:rPr>
          <w:rFonts w:eastAsia="Times New Roman"/>
          <w:color w:val="212121"/>
          <w:sz w:val="24"/>
          <w:szCs w:val="24"/>
          <w:shd w:val="clear" w:color="auto" w:fill="FFFFFF"/>
          <w:lang w:eastAsia="zh-CN"/>
        </w:rPr>
        <w:t>2018</w:t>
      </w:r>
      <w:r w:rsidRPr="00830AF7">
        <w:rPr>
          <w:rFonts w:ascii="SimSun" w:eastAsia="SimSun" w:hAnsi="SimSun" w:cs="SimSun" w:hint="eastAsia"/>
          <w:color w:val="212121"/>
          <w:sz w:val="24"/>
          <w:szCs w:val="24"/>
          <w:shd w:val="clear" w:color="auto" w:fill="FFFFFF"/>
          <w:lang w:eastAsia="zh-CN"/>
        </w:rPr>
        <w:t>年</w:t>
      </w:r>
      <w:r w:rsidRPr="00830AF7">
        <w:rPr>
          <w:rFonts w:eastAsia="Times New Roman"/>
          <w:color w:val="212121"/>
          <w:sz w:val="24"/>
          <w:szCs w:val="24"/>
          <w:shd w:val="clear" w:color="auto" w:fill="FFFFFF"/>
          <w:lang w:eastAsia="zh-CN"/>
        </w:rPr>
        <w:t>11</w:t>
      </w:r>
      <w:r w:rsidRPr="00830AF7">
        <w:rPr>
          <w:rFonts w:ascii="SimSun" w:eastAsia="SimSun" w:hAnsi="SimSun" w:cs="SimSun" w:hint="eastAsia"/>
          <w:color w:val="212121"/>
          <w:sz w:val="24"/>
          <w:szCs w:val="24"/>
          <w:shd w:val="clear" w:color="auto" w:fill="FFFFFF"/>
          <w:lang w:eastAsia="zh-CN"/>
        </w:rPr>
        <w:t>月</w:t>
      </w:r>
      <w:r w:rsidRPr="00830AF7">
        <w:rPr>
          <w:rFonts w:eastAsia="Times New Roman"/>
          <w:color w:val="212121"/>
          <w:sz w:val="24"/>
          <w:szCs w:val="24"/>
          <w:shd w:val="clear" w:color="auto" w:fill="FFFFFF"/>
          <w:lang w:eastAsia="zh-CN"/>
        </w:rPr>
        <w:t>23</w:t>
      </w:r>
      <w:r w:rsidRPr="00830AF7">
        <w:rPr>
          <w:rFonts w:ascii="SimSun" w:eastAsia="SimSun" w:hAnsi="SimSun" w:cs="SimSun" w:hint="eastAsia"/>
          <w:color w:val="212121"/>
          <w:sz w:val="24"/>
          <w:szCs w:val="24"/>
          <w:shd w:val="clear" w:color="auto" w:fill="FFFFFF"/>
          <w:lang w:eastAsia="zh-CN"/>
        </w:rPr>
        <w:t>日至</w:t>
      </w:r>
      <w:r w:rsidRPr="00830AF7">
        <w:rPr>
          <w:rFonts w:eastAsia="Times New Roman"/>
          <w:color w:val="212121"/>
          <w:sz w:val="24"/>
          <w:szCs w:val="24"/>
          <w:shd w:val="clear" w:color="auto" w:fill="FFFFFF"/>
          <w:lang w:eastAsia="zh-CN"/>
        </w:rPr>
        <w:t>24</w:t>
      </w:r>
      <w:r w:rsidRPr="00830AF7">
        <w:rPr>
          <w:rFonts w:ascii="SimSun" w:eastAsia="SimSun" w:hAnsi="SimSun" w:cs="SimSun" w:hint="eastAsia"/>
          <w:color w:val="212121"/>
          <w:sz w:val="24"/>
          <w:szCs w:val="24"/>
          <w:shd w:val="clear" w:color="auto" w:fill="FFFFFF"/>
          <w:lang w:eastAsia="zh-CN"/>
        </w:rPr>
        <w:t>日举行。她介绍了沙姆沙伊赫地方和国家以下</w:t>
      </w:r>
      <w:r w:rsidRPr="00830AF7">
        <w:rPr>
          <w:rFonts w:eastAsia="Times New Roman"/>
          <w:color w:val="212121"/>
          <w:sz w:val="24"/>
          <w:szCs w:val="24"/>
          <w:shd w:val="clear" w:color="auto" w:fill="FFFFFF"/>
          <w:lang w:eastAsia="zh-CN"/>
        </w:rPr>
        <w:t>2018</w:t>
      </w:r>
      <w:r w:rsidRPr="00830AF7">
        <w:rPr>
          <w:rFonts w:ascii="SimSun" w:eastAsia="SimSun" w:hAnsi="SimSun" w:cs="SimSun" w:hint="eastAsia"/>
          <w:color w:val="212121"/>
          <w:sz w:val="24"/>
          <w:szCs w:val="24"/>
          <w:shd w:val="clear" w:color="auto" w:fill="FFFFFF"/>
          <w:lang w:eastAsia="zh-CN"/>
        </w:rPr>
        <w:t>年自然与人类行动公报的亮点</w:t>
      </w:r>
      <w:r>
        <w:rPr>
          <w:rFonts w:ascii="SimSun" w:eastAsia="SimSun" w:hAnsi="SimSun" w:cs="SimSun" w:hint="eastAsia"/>
          <w:color w:val="212121"/>
          <w:sz w:val="24"/>
          <w:szCs w:val="24"/>
          <w:shd w:val="clear" w:color="auto" w:fill="FFFFFF"/>
          <w:lang w:eastAsia="zh-CN"/>
        </w:rPr>
        <w:t>（</w:t>
      </w:r>
      <w:r w:rsidRPr="00830AF7">
        <w:rPr>
          <w:rFonts w:eastAsia="Times New Roman"/>
          <w:color w:val="212121"/>
          <w:sz w:val="24"/>
          <w:szCs w:val="24"/>
          <w:shd w:val="clear" w:color="auto" w:fill="FFFFFF"/>
          <w:lang w:eastAsia="zh-CN"/>
        </w:rPr>
        <w:t>CBD/COP/14/INF/48</w:t>
      </w:r>
      <w:r>
        <w:rPr>
          <w:rFonts w:ascii="SimSun" w:eastAsia="SimSun" w:hAnsi="SimSun" w:cs="SimSun" w:hint="eastAsia"/>
          <w:color w:val="212121"/>
          <w:sz w:val="24"/>
          <w:szCs w:val="24"/>
          <w:shd w:val="clear" w:color="auto" w:fill="FFFFFF"/>
          <w:lang w:eastAsia="zh-CN"/>
        </w:rPr>
        <w:t>）</w:t>
      </w:r>
      <w:r w:rsidRPr="00830AF7">
        <w:rPr>
          <w:rFonts w:ascii="SimSun" w:eastAsia="SimSun" w:hAnsi="SimSun" w:cs="SimSun" w:hint="eastAsia"/>
          <w:color w:val="212121"/>
          <w:sz w:val="24"/>
          <w:szCs w:val="24"/>
          <w:shd w:val="clear" w:color="auto" w:fill="FFFFFF"/>
          <w:lang w:eastAsia="zh-CN"/>
        </w:rPr>
        <w:t>，并表示由于未来属于城市，她的选区支持对</w:t>
      </w:r>
      <w:r w:rsidRPr="00830AF7">
        <w:rPr>
          <w:rFonts w:eastAsia="Times New Roman"/>
          <w:color w:val="212121"/>
          <w:sz w:val="24"/>
          <w:szCs w:val="24"/>
          <w:shd w:val="clear" w:color="auto" w:fill="FFFFFF"/>
          <w:lang w:eastAsia="zh-CN"/>
        </w:rPr>
        <w:t>2020</w:t>
      </w:r>
      <w:r w:rsidRPr="00830AF7">
        <w:rPr>
          <w:rFonts w:ascii="SimSun" w:eastAsia="SimSun" w:hAnsi="SimSun" w:cs="SimSun" w:hint="eastAsia"/>
          <w:color w:val="212121"/>
          <w:sz w:val="24"/>
          <w:szCs w:val="24"/>
          <w:shd w:val="clear" w:color="auto" w:fill="FFFFFF"/>
          <w:lang w:eastAsia="zh-CN"/>
        </w:rPr>
        <w:t>年后全球生物多样性框加速采取行动。</w:t>
      </w:r>
      <w:r w:rsidR="009D782B">
        <w:rPr>
          <w:rFonts w:ascii="SimSun" w:eastAsia="SimSun" w:hAnsi="SimSun" w:cs="SimSun" w:hint="eastAsia"/>
          <w:color w:val="212121"/>
          <w:sz w:val="24"/>
          <w:szCs w:val="24"/>
          <w:shd w:val="clear" w:color="auto" w:fill="FFFFFF"/>
          <w:lang w:eastAsia="zh-CN"/>
        </w:rPr>
        <w:t>应当</w:t>
      </w:r>
      <w:r w:rsidRPr="00830AF7">
        <w:rPr>
          <w:rFonts w:ascii="SimSun" w:eastAsia="SimSun" w:hAnsi="SimSun" w:cs="SimSun" w:hint="eastAsia"/>
          <w:color w:val="212121"/>
          <w:sz w:val="24"/>
          <w:szCs w:val="24"/>
          <w:shd w:val="clear" w:color="auto" w:fill="FFFFFF"/>
          <w:lang w:eastAsia="zh-CN"/>
        </w:rPr>
        <w:t>记住沙姆沙伊赫会议是确保生物多样性同</w:t>
      </w:r>
      <w:r w:rsidRPr="00830AF7">
        <w:rPr>
          <w:rFonts w:eastAsia="Times New Roman"/>
          <w:color w:val="212121"/>
          <w:sz w:val="24"/>
          <w:szCs w:val="24"/>
          <w:shd w:val="clear" w:color="auto" w:fill="FFFFFF"/>
          <w:lang w:eastAsia="zh-CN"/>
        </w:rPr>
        <w:t>2015</w:t>
      </w:r>
      <w:r w:rsidRPr="00830AF7">
        <w:rPr>
          <w:rFonts w:ascii="SimSun" w:eastAsia="SimSun" w:hAnsi="SimSun" w:cs="SimSun" w:hint="eastAsia"/>
          <w:color w:val="212121"/>
          <w:sz w:val="24"/>
          <w:szCs w:val="24"/>
          <w:shd w:val="clear" w:color="auto" w:fill="FFFFFF"/>
          <w:lang w:eastAsia="zh-CN"/>
        </w:rPr>
        <w:t>年</w:t>
      </w:r>
      <w:r w:rsidRPr="00830AF7">
        <w:rPr>
          <w:rFonts w:eastAsia="Times New Roman"/>
          <w:color w:val="212121"/>
          <w:sz w:val="24"/>
          <w:szCs w:val="24"/>
          <w:shd w:val="clear" w:color="auto" w:fill="FFFFFF"/>
          <w:lang w:eastAsia="zh-CN"/>
        </w:rPr>
        <w:t>12</w:t>
      </w:r>
      <w:r w:rsidRPr="00830AF7">
        <w:rPr>
          <w:rFonts w:ascii="SimSun" w:eastAsia="SimSun" w:hAnsi="SimSun" w:cs="SimSun" w:hint="eastAsia"/>
          <w:color w:val="212121"/>
          <w:sz w:val="24"/>
          <w:szCs w:val="24"/>
          <w:shd w:val="clear" w:color="auto" w:fill="FFFFFF"/>
          <w:lang w:eastAsia="zh-CN"/>
        </w:rPr>
        <w:t>月</w:t>
      </w:r>
      <w:r w:rsidRPr="00830AF7">
        <w:rPr>
          <w:rFonts w:eastAsia="Times New Roman"/>
          <w:color w:val="212121"/>
          <w:sz w:val="24"/>
          <w:szCs w:val="24"/>
          <w:shd w:val="clear" w:color="auto" w:fill="FFFFFF"/>
          <w:lang w:eastAsia="zh-CN"/>
        </w:rPr>
        <w:t>12</w:t>
      </w:r>
      <w:r w:rsidRPr="00830AF7">
        <w:rPr>
          <w:rFonts w:ascii="SimSun" w:eastAsia="SimSun" w:hAnsi="SimSun" w:cs="SimSun" w:hint="eastAsia"/>
          <w:color w:val="212121"/>
          <w:sz w:val="24"/>
          <w:szCs w:val="24"/>
          <w:shd w:val="clear" w:color="auto" w:fill="FFFFFF"/>
          <w:lang w:eastAsia="zh-CN"/>
        </w:rPr>
        <w:t>日通过《联合国气候变化框架公约巴黎协定》后气候变化一样得到认可的一次关键会议。</w:t>
      </w:r>
    </w:p>
    <w:p w:rsidR="008D76BF" w:rsidRPr="00830AF7" w:rsidRDefault="008D76BF" w:rsidP="000A1A91">
      <w:pPr>
        <w:pStyle w:val="Para1"/>
        <w:widowControl w:val="0"/>
        <w:numPr>
          <w:ilvl w:val="0"/>
          <w:numId w:val="11"/>
        </w:numPr>
        <w:tabs>
          <w:tab w:val="left" w:pos="720"/>
        </w:tabs>
        <w:adjustRightInd w:val="0"/>
        <w:ind w:left="0" w:firstLine="0"/>
        <w:rPr>
          <w:rFonts w:eastAsia="Times New Roman"/>
          <w:color w:val="212121"/>
          <w:sz w:val="24"/>
          <w:szCs w:val="24"/>
          <w:shd w:val="clear" w:color="auto" w:fill="FFFFFF"/>
          <w:lang w:eastAsia="zh-CN"/>
        </w:rPr>
      </w:pPr>
      <w:r w:rsidRPr="00830AF7">
        <w:rPr>
          <w:rFonts w:ascii="SimSun" w:eastAsia="SimSun" w:hAnsi="SimSun" w:cs="SimSun" w:hint="eastAsia"/>
          <w:color w:val="212121"/>
          <w:sz w:val="24"/>
          <w:szCs w:val="24"/>
          <w:shd w:val="clear" w:color="auto" w:fill="FFFFFF"/>
          <w:lang w:eastAsia="zh-CN"/>
        </w:rPr>
        <w:t>可持续野生生物管理合作伙伴关系和粮农组织及非洲联盟委员会秘书处的</w:t>
      </w:r>
      <w:r w:rsidRPr="00830AF7">
        <w:rPr>
          <w:rFonts w:eastAsia="Times New Roman"/>
          <w:color w:val="212121"/>
          <w:sz w:val="24"/>
          <w:szCs w:val="24"/>
          <w:shd w:val="clear" w:color="auto" w:fill="FFFFFF"/>
          <w:lang w:eastAsia="zh-CN"/>
        </w:rPr>
        <w:t>Sheila Wertz-Kanounnikoff</w:t>
      </w:r>
      <w:r w:rsidRPr="00830AF7">
        <w:rPr>
          <w:rFonts w:ascii="SimSun" w:eastAsia="SimSun" w:hAnsi="SimSun" w:cs="SimSun" w:hint="eastAsia"/>
          <w:color w:val="212121"/>
          <w:sz w:val="24"/>
          <w:szCs w:val="24"/>
          <w:shd w:val="clear" w:color="auto" w:fill="FFFFFF"/>
          <w:lang w:eastAsia="zh-CN"/>
        </w:rPr>
        <w:t>女士，报告了</w:t>
      </w:r>
      <w:r w:rsidRPr="00830AF7">
        <w:rPr>
          <w:rFonts w:eastAsia="Times New Roman"/>
          <w:color w:val="212121"/>
          <w:sz w:val="24"/>
          <w:szCs w:val="24"/>
          <w:shd w:val="clear" w:color="auto" w:fill="FFFFFF"/>
          <w:lang w:eastAsia="zh-CN"/>
        </w:rPr>
        <w:t>2018</w:t>
      </w:r>
      <w:r w:rsidRPr="00830AF7">
        <w:rPr>
          <w:rFonts w:ascii="SimSun" w:eastAsia="SimSun" w:hAnsi="SimSun" w:cs="SimSun" w:hint="eastAsia"/>
          <w:color w:val="212121"/>
          <w:sz w:val="24"/>
          <w:szCs w:val="24"/>
          <w:shd w:val="clear" w:color="auto" w:fill="FFFFFF"/>
          <w:lang w:eastAsia="zh-CN"/>
        </w:rPr>
        <w:t>年</w:t>
      </w:r>
      <w:r w:rsidRPr="00830AF7">
        <w:rPr>
          <w:rFonts w:eastAsia="Times New Roman"/>
          <w:color w:val="212121"/>
          <w:sz w:val="24"/>
          <w:szCs w:val="24"/>
          <w:shd w:val="clear" w:color="auto" w:fill="FFFFFF"/>
          <w:lang w:eastAsia="zh-CN"/>
        </w:rPr>
        <w:t>11</w:t>
      </w:r>
      <w:r w:rsidRPr="00830AF7">
        <w:rPr>
          <w:rFonts w:ascii="SimSun" w:eastAsia="SimSun" w:hAnsi="SimSun" w:cs="SimSun" w:hint="eastAsia"/>
          <w:color w:val="212121"/>
          <w:sz w:val="24"/>
          <w:szCs w:val="24"/>
          <w:shd w:val="clear" w:color="auto" w:fill="FFFFFF"/>
          <w:lang w:eastAsia="zh-CN"/>
        </w:rPr>
        <w:t>月</w:t>
      </w:r>
      <w:r w:rsidRPr="00830AF7">
        <w:rPr>
          <w:rFonts w:eastAsia="Times New Roman"/>
          <w:color w:val="212121"/>
          <w:sz w:val="24"/>
          <w:szCs w:val="24"/>
          <w:shd w:val="clear" w:color="auto" w:fill="FFFFFF"/>
          <w:lang w:eastAsia="zh-CN"/>
        </w:rPr>
        <w:t>21</w:t>
      </w:r>
      <w:r w:rsidR="00EA4BF6">
        <w:rPr>
          <w:rFonts w:ascii="SimSun" w:eastAsia="SimSun" w:hAnsi="SimSun" w:cs="SimSun" w:hint="eastAsia"/>
          <w:color w:val="212121"/>
          <w:sz w:val="24"/>
          <w:szCs w:val="24"/>
          <w:shd w:val="clear" w:color="auto" w:fill="FFFFFF"/>
          <w:lang w:eastAsia="zh-CN"/>
        </w:rPr>
        <w:t>日的</w:t>
      </w:r>
      <w:r w:rsidRPr="00830AF7">
        <w:rPr>
          <w:rFonts w:ascii="SimSun" w:eastAsia="SimSun" w:hAnsi="SimSun" w:cs="SimSun" w:hint="eastAsia"/>
          <w:color w:val="212121"/>
          <w:sz w:val="24"/>
          <w:szCs w:val="24"/>
          <w:shd w:val="clear" w:color="auto" w:fill="FFFFFF"/>
          <w:lang w:eastAsia="zh-CN"/>
        </w:rPr>
        <w:t>第二届野生动物论坛，主题是</w:t>
      </w:r>
      <w:r w:rsidRPr="00AB1DA6">
        <w:rPr>
          <w:rFonts w:asciiTheme="minorEastAsia" w:eastAsiaTheme="minorEastAsia" w:hAnsiTheme="minorEastAsia"/>
          <w:color w:val="212121"/>
          <w:sz w:val="24"/>
          <w:szCs w:val="24"/>
          <w:shd w:val="clear" w:color="auto" w:fill="FFFFFF"/>
          <w:lang w:eastAsia="zh-CN"/>
        </w:rPr>
        <w:t>“</w:t>
      </w:r>
      <w:r w:rsidRPr="00AB1DA6">
        <w:rPr>
          <w:rFonts w:asciiTheme="minorEastAsia" w:eastAsiaTheme="minorEastAsia" w:hAnsiTheme="minorEastAsia" w:cs="SimSun" w:hint="eastAsia"/>
          <w:color w:val="212121"/>
          <w:sz w:val="24"/>
          <w:szCs w:val="24"/>
          <w:shd w:val="clear" w:color="auto" w:fill="FFFFFF"/>
          <w:lang w:eastAsia="zh-CN"/>
        </w:rPr>
        <w:t>可持续利用促进保护和生计</w:t>
      </w:r>
      <w:r w:rsidRPr="00AB1DA6">
        <w:rPr>
          <w:rFonts w:asciiTheme="minorEastAsia" w:eastAsiaTheme="minorEastAsia" w:hAnsiTheme="minorEastAsia"/>
          <w:color w:val="212121"/>
          <w:sz w:val="24"/>
          <w:szCs w:val="24"/>
          <w:shd w:val="clear" w:color="auto" w:fill="FFFFFF"/>
          <w:lang w:eastAsia="zh-CN"/>
        </w:rPr>
        <w:t>”</w:t>
      </w:r>
      <w:r w:rsidRPr="00AB1DA6">
        <w:rPr>
          <w:rFonts w:asciiTheme="minorEastAsia" w:eastAsiaTheme="minorEastAsia" w:hAnsiTheme="minorEastAsia" w:cs="SimSun" w:hint="eastAsia"/>
          <w:color w:val="212121"/>
          <w:sz w:val="24"/>
          <w:szCs w:val="24"/>
          <w:shd w:val="clear" w:color="auto" w:fill="FFFFFF"/>
          <w:lang w:eastAsia="zh-CN"/>
        </w:rPr>
        <w:t>。</w:t>
      </w:r>
      <w:r w:rsidRPr="00830AF7">
        <w:rPr>
          <w:rFonts w:ascii="SimSun" w:eastAsia="SimSun" w:hAnsi="SimSun" w:cs="SimSun" w:hint="eastAsia"/>
          <w:color w:val="212121"/>
          <w:sz w:val="24"/>
          <w:szCs w:val="24"/>
          <w:shd w:val="clear" w:color="auto" w:fill="FFFFFF"/>
          <w:lang w:eastAsia="zh-CN"/>
        </w:rPr>
        <w:t>该论坛汇集了来自世界各地的利益悠关方，讨论经验，寻求创造性的解决方案，以保护人类和野生动物的健康和安全，解决野生肉类危机和不可持续的野生动物利用。现场有</w:t>
      </w:r>
      <w:r w:rsidRPr="00830AF7">
        <w:rPr>
          <w:rFonts w:eastAsia="Times New Roman"/>
          <w:color w:val="212121"/>
          <w:sz w:val="24"/>
          <w:szCs w:val="24"/>
          <w:shd w:val="clear" w:color="auto" w:fill="FFFFFF"/>
          <w:lang w:eastAsia="zh-CN"/>
        </w:rPr>
        <w:t>170</w:t>
      </w:r>
      <w:r w:rsidRPr="00830AF7">
        <w:rPr>
          <w:rFonts w:ascii="SimSun" w:eastAsia="SimSun" w:hAnsi="SimSun" w:cs="SimSun" w:hint="eastAsia"/>
          <w:color w:val="212121"/>
          <w:sz w:val="24"/>
          <w:szCs w:val="24"/>
          <w:shd w:val="clear" w:color="auto" w:fill="FFFFFF"/>
          <w:lang w:eastAsia="zh-CN"/>
        </w:rPr>
        <w:t>多名参与者，另有</w:t>
      </w:r>
      <w:r w:rsidRPr="00830AF7">
        <w:rPr>
          <w:rFonts w:eastAsia="Times New Roman"/>
          <w:color w:val="212121"/>
          <w:sz w:val="24"/>
          <w:szCs w:val="24"/>
          <w:shd w:val="clear" w:color="auto" w:fill="FFFFFF"/>
          <w:lang w:eastAsia="zh-CN"/>
        </w:rPr>
        <w:t>Facebook</w:t>
      </w:r>
      <w:r w:rsidRPr="00830AF7">
        <w:rPr>
          <w:rFonts w:ascii="SimSun" w:eastAsia="SimSun" w:hAnsi="SimSun" w:cs="SimSun" w:hint="eastAsia"/>
          <w:color w:val="212121"/>
          <w:sz w:val="24"/>
          <w:szCs w:val="24"/>
          <w:shd w:val="clear" w:color="auto" w:fill="FFFFFF"/>
          <w:lang w:eastAsia="zh-CN"/>
        </w:rPr>
        <w:t>上的</w:t>
      </w:r>
      <w:r w:rsidRPr="00830AF7">
        <w:rPr>
          <w:rFonts w:eastAsia="Times New Roman"/>
          <w:color w:val="212121"/>
          <w:sz w:val="24"/>
          <w:szCs w:val="24"/>
          <w:shd w:val="clear" w:color="auto" w:fill="FFFFFF"/>
          <w:lang w:eastAsia="zh-CN"/>
        </w:rPr>
        <w:t>500</w:t>
      </w:r>
      <w:r w:rsidRPr="00830AF7">
        <w:rPr>
          <w:rFonts w:ascii="SimSun" w:eastAsia="SimSun" w:hAnsi="SimSun" w:cs="SimSun" w:hint="eastAsia"/>
          <w:color w:val="212121"/>
          <w:sz w:val="24"/>
          <w:szCs w:val="24"/>
          <w:shd w:val="clear" w:color="auto" w:fill="FFFFFF"/>
          <w:lang w:eastAsia="zh-CN"/>
        </w:rPr>
        <w:t>名参与者，参加了以下会议：人与野生动物：健康与安全；分享野生肉类：解决生存和商业用途之间的冲突；从非洲的地点到亚洲的货架：解决不可持续的野生动物使用和非法贸易；</w:t>
      </w:r>
      <w:r w:rsidRPr="00830AF7">
        <w:rPr>
          <w:rFonts w:eastAsia="Times New Roman"/>
          <w:color w:val="212121"/>
          <w:sz w:val="24"/>
          <w:szCs w:val="24"/>
          <w:shd w:val="clear" w:color="auto" w:fill="FFFFFF"/>
          <w:lang w:eastAsia="zh-CN"/>
        </w:rPr>
        <w:t>2050</w:t>
      </w:r>
      <w:r w:rsidRPr="00830AF7">
        <w:rPr>
          <w:rFonts w:ascii="SimSun" w:eastAsia="SimSun" w:hAnsi="SimSun" w:cs="SimSun" w:hint="eastAsia"/>
          <w:color w:val="212121"/>
          <w:sz w:val="24"/>
          <w:szCs w:val="24"/>
          <w:shd w:val="clear" w:color="auto" w:fill="FFFFFF"/>
          <w:lang w:eastAsia="zh-CN"/>
        </w:rPr>
        <w:t>年的野生动物和人类：可持续野生动物管理的愿景。讨论将有助于确定</w:t>
      </w:r>
      <w:r w:rsidRPr="00830AF7">
        <w:rPr>
          <w:rFonts w:eastAsia="Times New Roman"/>
          <w:color w:val="212121"/>
          <w:sz w:val="24"/>
          <w:szCs w:val="24"/>
          <w:shd w:val="clear" w:color="auto" w:fill="FFFFFF"/>
          <w:lang w:eastAsia="zh-CN"/>
        </w:rPr>
        <w:t>2020</w:t>
      </w:r>
      <w:r w:rsidRPr="00830AF7">
        <w:rPr>
          <w:rFonts w:ascii="SimSun" w:eastAsia="SimSun" w:hAnsi="SimSun" w:cs="SimSun" w:hint="eastAsia"/>
          <w:color w:val="212121"/>
          <w:sz w:val="24"/>
          <w:szCs w:val="24"/>
          <w:shd w:val="clear" w:color="auto" w:fill="FFFFFF"/>
          <w:lang w:eastAsia="zh-CN"/>
        </w:rPr>
        <w:t>年后生物多样性框架中可持续野生动物管理的优先事项。合作伙伴的作品中呈现了一个动画视频</w:t>
      </w:r>
      <w:r w:rsidRPr="008D6349">
        <w:rPr>
          <w:rFonts w:asciiTheme="minorEastAsia" w:eastAsiaTheme="minorEastAsia" w:hAnsiTheme="minorEastAsia"/>
          <w:color w:val="212121"/>
          <w:sz w:val="24"/>
          <w:szCs w:val="24"/>
          <w:shd w:val="clear" w:color="auto" w:fill="FFFFFF"/>
          <w:lang w:eastAsia="zh-CN"/>
        </w:rPr>
        <w:t>“</w:t>
      </w:r>
      <w:r w:rsidRPr="008D6349">
        <w:rPr>
          <w:rFonts w:asciiTheme="minorEastAsia" w:eastAsiaTheme="minorEastAsia" w:hAnsiTheme="minorEastAsia" w:cs="SimSun" w:hint="eastAsia"/>
          <w:color w:val="212121"/>
          <w:sz w:val="24"/>
          <w:szCs w:val="24"/>
          <w:shd w:val="clear" w:color="auto" w:fill="FFFFFF"/>
          <w:lang w:eastAsia="zh-CN"/>
        </w:rPr>
        <w:t>我们更加强大</w:t>
      </w:r>
      <w:r w:rsidRPr="008D6349">
        <w:rPr>
          <w:rFonts w:asciiTheme="minorEastAsia" w:eastAsiaTheme="minorEastAsia" w:hAnsiTheme="minorEastAsia"/>
          <w:color w:val="212121"/>
          <w:sz w:val="24"/>
          <w:szCs w:val="24"/>
          <w:shd w:val="clear" w:color="auto" w:fill="FFFFFF"/>
          <w:lang w:eastAsia="zh-CN"/>
        </w:rPr>
        <w:t>”</w:t>
      </w:r>
      <w:r w:rsidRPr="00830AF7">
        <w:rPr>
          <w:rFonts w:ascii="SimSun" w:eastAsia="SimSun" w:hAnsi="SimSun" w:cs="SimSun" w:hint="eastAsia"/>
          <w:color w:val="212121"/>
          <w:sz w:val="24"/>
          <w:szCs w:val="24"/>
          <w:shd w:val="clear" w:color="auto" w:fill="FFFFFF"/>
          <w:lang w:eastAsia="zh-CN"/>
        </w:rPr>
        <w:t>，</w:t>
      </w:r>
      <w:r w:rsidR="006B4E7D" w:rsidRPr="00C30193">
        <w:rPr>
          <w:rFonts w:hint="eastAsia"/>
          <w:bCs/>
          <w:sz w:val="24"/>
          <w:lang w:eastAsia="zh-CN"/>
        </w:rPr>
        <w:t>帕斯卡·帕梅尔</w:t>
      </w:r>
      <w:r w:rsidRPr="00830AF7">
        <w:rPr>
          <w:rFonts w:ascii="SimSun" w:eastAsia="SimSun" w:hAnsi="SimSun" w:cs="SimSun" w:hint="eastAsia"/>
          <w:color w:val="212121"/>
          <w:sz w:val="24"/>
          <w:szCs w:val="24"/>
          <w:shd w:val="clear" w:color="auto" w:fill="FFFFFF"/>
          <w:lang w:eastAsia="zh-CN"/>
        </w:rPr>
        <w:t>女士向芬兰野生动物保护局颁发了国际游戏和野生动物保护理事会两年一度的</w:t>
      </w:r>
      <w:r w:rsidRPr="00830AF7">
        <w:rPr>
          <w:rFonts w:eastAsia="Times New Roman"/>
          <w:color w:val="212121"/>
          <w:sz w:val="24"/>
          <w:szCs w:val="24"/>
          <w:shd w:val="clear" w:color="auto" w:fill="FFFFFF"/>
          <w:lang w:eastAsia="zh-CN"/>
        </w:rPr>
        <w:t>Markhor</w:t>
      </w:r>
      <w:r w:rsidRPr="00830AF7">
        <w:rPr>
          <w:rFonts w:ascii="SimSun" w:eastAsia="SimSun" w:hAnsi="SimSun" w:cs="SimSun" w:hint="eastAsia"/>
          <w:color w:val="212121"/>
          <w:sz w:val="24"/>
          <w:szCs w:val="24"/>
          <w:shd w:val="clear" w:color="auto" w:fill="FFFFFF"/>
          <w:lang w:eastAsia="zh-CN"/>
        </w:rPr>
        <w:t>奖，表彰其</w:t>
      </w:r>
      <w:r w:rsidRPr="008D6349">
        <w:rPr>
          <w:rFonts w:asciiTheme="minorEastAsia" w:eastAsiaTheme="minorEastAsia" w:hAnsiTheme="minorEastAsia" w:cs="SimSun"/>
          <w:color w:val="212121"/>
          <w:sz w:val="24"/>
          <w:szCs w:val="24"/>
          <w:shd w:val="clear" w:color="auto" w:fill="FFFFFF"/>
          <w:lang w:eastAsia="zh-CN"/>
        </w:rPr>
        <w:t>“</w:t>
      </w:r>
      <w:r w:rsidRPr="008D6349">
        <w:rPr>
          <w:rFonts w:asciiTheme="minorEastAsia" w:eastAsiaTheme="minorEastAsia" w:hAnsiTheme="minorEastAsia" w:cs="SimSun" w:hint="eastAsia"/>
          <w:color w:val="212121"/>
          <w:sz w:val="24"/>
          <w:szCs w:val="24"/>
          <w:shd w:val="clear" w:color="auto" w:fill="FFFFFF"/>
          <w:lang w:eastAsia="zh-CN"/>
        </w:rPr>
        <w:t>生活</w:t>
      </w:r>
      <w:r w:rsidRPr="00830AF7">
        <w:rPr>
          <w:rFonts w:eastAsia="Times New Roman"/>
          <w:color w:val="212121"/>
          <w:sz w:val="24"/>
          <w:szCs w:val="24"/>
          <w:shd w:val="clear" w:color="auto" w:fill="FFFFFF"/>
          <w:lang w:eastAsia="zh-CN"/>
        </w:rPr>
        <w:t>+</w:t>
      </w:r>
      <w:r w:rsidRPr="00830AF7">
        <w:rPr>
          <w:rFonts w:ascii="SimSun" w:eastAsia="SimSun" w:hAnsi="SimSun" w:cs="SimSun" w:hint="eastAsia"/>
          <w:color w:val="212121"/>
          <w:sz w:val="24"/>
          <w:szCs w:val="24"/>
          <w:shd w:val="clear" w:color="auto" w:fill="FFFFFF"/>
          <w:lang w:eastAsia="zh-CN"/>
        </w:rPr>
        <w:t>回归农村湿地</w:t>
      </w:r>
      <w:r w:rsidRPr="008D6349">
        <w:rPr>
          <w:rFonts w:asciiTheme="minorEastAsia" w:eastAsiaTheme="minorEastAsia" w:hAnsiTheme="minorEastAsia" w:cs="SimSun"/>
          <w:color w:val="212121"/>
          <w:sz w:val="24"/>
          <w:szCs w:val="24"/>
          <w:shd w:val="clear" w:color="auto" w:fill="FFFFFF"/>
          <w:lang w:eastAsia="zh-CN"/>
        </w:rPr>
        <w:t>”</w:t>
      </w:r>
      <w:r>
        <w:rPr>
          <w:rFonts w:ascii="SimSun" w:eastAsia="SimSun" w:hAnsi="SimSun" w:cs="SimSun" w:hint="eastAsia"/>
          <w:color w:val="212121"/>
          <w:sz w:val="24"/>
          <w:szCs w:val="24"/>
          <w:shd w:val="clear" w:color="auto" w:fill="FFFFFF"/>
          <w:lang w:eastAsia="zh-CN"/>
        </w:rPr>
        <w:t>（</w:t>
      </w:r>
      <w:r w:rsidRPr="008D6349">
        <w:rPr>
          <w:rFonts w:asciiTheme="minorEastAsia" w:eastAsiaTheme="minorEastAsia" w:hAnsiTheme="minorEastAsia" w:cs="SimSun"/>
          <w:color w:val="212121"/>
          <w:sz w:val="24"/>
          <w:szCs w:val="24"/>
          <w:shd w:val="clear" w:color="auto" w:fill="FFFFFF"/>
          <w:lang w:eastAsia="zh-CN"/>
        </w:rPr>
        <w:t>“</w:t>
      </w:r>
      <w:r w:rsidRPr="00830AF7">
        <w:rPr>
          <w:rFonts w:eastAsia="Times New Roman"/>
          <w:color w:val="212121"/>
          <w:sz w:val="24"/>
          <w:szCs w:val="24"/>
          <w:shd w:val="clear" w:color="auto" w:fill="FFFFFF"/>
          <w:lang w:eastAsia="zh-CN"/>
        </w:rPr>
        <w:t>LIFE+ Return of Rural Wetlands</w:t>
      </w:r>
      <w:r w:rsidRPr="008D6349">
        <w:rPr>
          <w:rFonts w:asciiTheme="minorEastAsia" w:eastAsiaTheme="minorEastAsia" w:hAnsiTheme="minorEastAsia" w:cs="SimSun"/>
          <w:color w:val="212121"/>
          <w:sz w:val="24"/>
          <w:szCs w:val="24"/>
          <w:shd w:val="clear" w:color="auto" w:fill="FFFFFF"/>
          <w:lang w:eastAsia="zh-CN"/>
        </w:rPr>
        <w:t>”</w:t>
      </w:r>
      <w:r>
        <w:rPr>
          <w:rFonts w:ascii="SimSun" w:eastAsia="SimSun" w:hAnsi="SimSun" w:cs="SimSun" w:hint="eastAsia"/>
          <w:color w:val="212121"/>
          <w:sz w:val="24"/>
          <w:szCs w:val="24"/>
          <w:shd w:val="clear" w:color="auto" w:fill="FFFFFF"/>
          <w:lang w:eastAsia="zh-CN"/>
        </w:rPr>
        <w:t>）</w:t>
      </w:r>
      <w:r w:rsidRPr="00830AF7">
        <w:rPr>
          <w:rFonts w:ascii="SimSun" w:eastAsia="SimSun" w:hAnsi="SimSun" w:cs="SimSun" w:hint="eastAsia"/>
          <w:color w:val="212121"/>
          <w:sz w:val="24"/>
          <w:szCs w:val="24"/>
          <w:shd w:val="clear" w:color="auto" w:fill="FFFFFF"/>
          <w:lang w:eastAsia="zh-CN"/>
        </w:rPr>
        <w:t>项目</w:t>
      </w:r>
      <w:r w:rsidRPr="00830AF7">
        <w:rPr>
          <w:rFonts w:eastAsia="Times New Roman"/>
          <w:color w:val="212121"/>
          <w:sz w:val="24"/>
          <w:szCs w:val="24"/>
          <w:shd w:val="clear" w:color="auto" w:fill="FFFFFF"/>
          <w:lang w:eastAsia="zh-CN"/>
        </w:rPr>
        <w:t xml:space="preserve"> </w:t>
      </w:r>
      <w:r w:rsidRPr="00830AF7">
        <w:rPr>
          <w:rFonts w:ascii="SimSun" w:eastAsia="SimSun" w:hAnsi="SimSun" w:cs="SimSun" w:hint="eastAsia"/>
          <w:color w:val="212121"/>
          <w:sz w:val="24"/>
          <w:szCs w:val="24"/>
          <w:shd w:val="clear" w:color="auto" w:fill="FFFFFF"/>
          <w:lang w:eastAsia="zh-CN"/>
        </w:rPr>
        <w:t>，以确保湿地仍然</w:t>
      </w:r>
      <w:r w:rsidRPr="00830AF7">
        <w:rPr>
          <w:rFonts w:ascii="SimSun" w:eastAsia="SimSun" w:hAnsi="SimSun" w:cs="SimSun" w:hint="eastAsia"/>
          <w:color w:val="212121"/>
          <w:sz w:val="24"/>
          <w:szCs w:val="24"/>
          <w:shd w:val="clear" w:color="auto" w:fill="FFFFFF"/>
          <w:lang w:eastAsia="zh-CN"/>
        </w:rPr>
        <w:lastRenderedPageBreak/>
        <w:t>是芬</w:t>
      </w:r>
      <w:r w:rsidRPr="008D6349">
        <w:rPr>
          <w:rFonts w:asciiTheme="minorEastAsia" w:eastAsiaTheme="minorEastAsia" w:hAnsiTheme="minorEastAsia" w:cs="SimSun" w:hint="eastAsia"/>
          <w:color w:val="212121"/>
          <w:sz w:val="24"/>
          <w:szCs w:val="24"/>
          <w:shd w:val="clear" w:color="auto" w:fill="FFFFFF"/>
          <w:lang w:eastAsia="zh-CN"/>
        </w:rPr>
        <w:t>兰</w:t>
      </w:r>
      <w:r w:rsidRPr="008D6349">
        <w:rPr>
          <w:rFonts w:asciiTheme="minorEastAsia" w:eastAsiaTheme="minorEastAsia" w:hAnsiTheme="minorEastAsia"/>
          <w:color w:val="212121"/>
          <w:sz w:val="24"/>
          <w:szCs w:val="24"/>
          <w:shd w:val="clear" w:color="auto" w:fill="FFFFFF"/>
          <w:lang w:eastAsia="zh-CN"/>
        </w:rPr>
        <w:t>“</w:t>
      </w:r>
      <w:r w:rsidRPr="008D6349">
        <w:rPr>
          <w:rFonts w:asciiTheme="minorEastAsia" w:eastAsiaTheme="minorEastAsia" w:hAnsiTheme="minorEastAsia" w:cs="SimSun" w:hint="eastAsia"/>
          <w:color w:val="212121"/>
          <w:sz w:val="24"/>
          <w:szCs w:val="24"/>
          <w:shd w:val="clear" w:color="auto" w:fill="FFFFFF"/>
          <w:lang w:eastAsia="zh-CN"/>
        </w:rPr>
        <w:t>生活景观的一部分</w:t>
      </w:r>
      <w:r w:rsidRPr="008D6349">
        <w:rPr>
          <w:rFonts w:asciiTheme="minorEastAsia" w:eastAsiaTheme="minorEastAsia" w:hAnsiTheme="minorEastAsia"/>
          <w:color w:val="212121"/>
          <w:sz w:val="24"/>
          <w:szCs w:val="24"/>
          <w:shd w:val="clear" w:color="auto" w:fill="FFFFFF"/>
          <w:lang w:eastAsia="zh-CN"/>
        </w:rPr>
        <w:t>”</w:t>
      </w:r>
      <w:r w:rsidRPr="00830AF7">
        <w:rPr>
          <w:rFonts w:ascii="SimSun" w:eastAsia="SimSun" w:hAnsi="SimSun" w:cs="SimSun" w:hint="eastAsia"/>
          <w:color w:val="212121"/>
          <w:sz w:val="24"/>
          <w:szCs w:val="24"/>
          <w:shd w:val="clear" w:color="auto" w:fill="FFFFFF"/>
          <w:lang w:eastAsia="zh-CN"/>
        </w:rPr>
        <w:t>。匈牙利已宣布打算于</w:t>
      </w:r>
      <w:r w:rsidRPr="00830AF7">
        <w:rPr>
          <w:rFonts w:eastAsia="Times New Roman"/>
          <w:color w:val="212121"/>
          <w:sz w:val="24"/>
          <w:szCs w:val="24"/>
          <w:shd w:val="clear" w:color="auto" w:fill="FFFFFF"/>
          <w:lang w:eastAsia="zh-CN"/>
        </w:rPr>
        <w:t>2021</w:t>
      </w:r>
      <w:r w:rsidRPr="00830AF7">
        <w:rPr>
          <w:rFonts w:ascii="SimSun" w:eastAsia="SimSun" w:hAnsi="SimSun" w:cs="SimSun" w:hint="eastAsia"/>
          <w:color w:val="212121"/>
          <w:sz w:val="24"/>
          <w:szCs w:val="24"/>
          <w:shd w:val="clear" w:color="auto" w:fill="FFFFFF"/>
          <w:lang w:eastAsia="zh-CN"/>
        </w:rPr>
        <w:t>年在布达佩斯承办野生动物论坛。</w:t>
      </w:r>
    </w:p>
    <w:p w:rsidR="008D76BF" w:rsidRPr="00E12B4A" w:rsidRDefault="008D76BF" w:rsidP="002F3D6F">
      <w:pPr>
        <w:pStyle w:val="Para1"/>
        <w:widowControl w:val="0"/>
        <w:numPr>
          <w:ilvl w:val="0"/>
          <w:numId w:val="11"/>
        </w:numPr>
        <w:tabs>
          <w:tab w:val="left" w:pos="720"/>
        </w:tabs>
        <w:adjustRightInd w:val="0"/>
        <w:ind w:left="0" w:firstLine="0"/>
        <w:rPr>
          <w:rFonts w:eastAsia="Times New Roman"/>
          <w:color w:val="212121"/>
          <w:sz w:val="24"/>
          <w:szCs w:val="24"/>
          <w:shd w:val="clear" w:color="auto" w:fill="FFFFFF"/>
          <w:lang w:eastAsia="zh-CN"/>
        </w:rPr>
      </w:pPr>
      <w:r w:rsidRPr="00E12B4A">
        <w:rPr>
          <w:rFonts w:eastAsia="Times New Roman"/>
          <w:color w:val="212121"/>
          <w:sz w:val="24"/>
          <w:szCs w:val="24"/>
          <w:shd w:val="clear" w:color="auto" w:fill="FFFFFF"/>
          <w:lang w:eastAsia="zh-CN"/>
        </w:rPr>
        <w:t>LilyRodríguez</w:t>
      </w:r>
      <w:r w:rsidRPr="00E12B4A">
        <w:rPr>
          <w:rFonts w:ascii="SimSun" w:eastAsia="SimSun" w:hAnsi="SimSun" w:cs="SimSun" w:hint="eastAsia"/>
          <w:color w:val="212121"/>
          <w:sz w:val="24"/>
          <w:szCs w:val="24"/>
          <w:shd w:val="clear" w:color="auto" w:fill="FFFFFF"/>
          <w:lang w:eastAsia="zh-CN"/>
        </w:rPr>
        <w:t>女士就国际生物科学联合会与欧洲委员会共同组织的</w:t>
      </w:r>
      <w:r w:rsidR="009B0F5B" w:rsidRPr="00E12B4A">
        <w:rPr>
          <w:rFonts w:ascii="SimSun" w:eastAsia="SimSun" w:hAnsi="SimSun" w:cs="SimSun" w:hint="eastAsia"/>
          <w:color w:val="212121"/>
          <w:sz w:val="24"/>
          <w:szCs w:val="24"/>
          <w:shd w:val="clear" w:color="auto" w:fill="FFFFFF"/>
          <w:lang w:eastAsia="zh-CN"/>
        </w:rPr>
        <w:t>第四次科学论坛作了报告，该论坛得到了欧洲知识和学习机制的支持，旨在</w:t>
      </w:r>
      <w:r w:rsidRPr="00E12B4A">
        <w:rPr>
          <w:rFonts w:ascii="SimSun" w:eastAsia="SimSun" w:hAnsi="SimSun" w:cs="SimSun" w:hint="eastAsia"/>
          <w:color w:val="212121"/>
          <w:sz w:val="24"/>
          <w:szCs w:val="24"/>
          <w:shd w:val="clear" w:color="auto" w:fill="FFFFFF"/>
          <w:lang w:eastAsia="zh-CN"/>
        </w:rPr>
        <w:t>改善生物多样性和生态服务系统的政策</w:t>
      </w:r>
      <w:r w:rsidRPr="00E12B4A">
        <w:rPr>
          <w:rFonts w:eastAsia="Times New Roman"/>
          <w:color w:val="212121"/>
          <w:sz w:val="24"/>
          <w:szCs w:val="24"/>
          <w:shd w:val="clear" w:color="auto" w:fill="FFFFFF"/>
          <w:lang w:eastAsia="zh-CN"/>
        </w:rPr>
        <w:t>-</w:t>
      </w:r>
      <w:r w:rsidRPr="00E12B4A">
        <w:rPr>
          <w:rFonts w:ascii="SimSun" w:eastAsia="SimSun" w:hAnsi="SimSun" w:cs="SimSun" w:hint="eastAsia"/>
          <w:color w:val="212121"/>
          <w:sz w:val="24"/>
          <w:szCs w:val="24"/>
          <w:shd w:val="clear" w:color="auto" w:fill="FFFFFF"/>
          <w:lang w:eastAsia="zh-CN"/>
        </w:rPr>
        <w:t>科学</w:t>
      </w:r>
      <w:r w:rsidRPr="00E12B4A">
        <w:rPr>
          <w:rFonts w:eastAsia="Times New Roman"/>
          <w:color w:val="212121"/>
          <w:sz w:val="24"/>
          <w:szCs w:val="24"/>
          <w:shd w:val="clear" w:color="auto" w:fill="FFFFFF"/>
          <w:lang w:eastAsia="zh-CN"/>
        </w:rPr>
        <w:t>-</w:t>
      </w:r>
      <w:r w:rsidRPr="00E12B4A">
        <w:rPr>
          <w:rFonts w:ascii="SimSun" w:eastAsia="SimSun" w:hAnsi="SimSun" w:cs="SimSun" w:hint="eastAsia"/>
          <w:color w:val="212121"/>
          <w:sz w:val="24"/>
          <w:szCs w:val="24"/>
          <w:shd w:val="clear" w:color="auto" w:fill="FFFFFF"/>
          <w:lang w:eastAsia="zh-CN"/>
        </w:rPr>
        <w:t>社会（</w:t>
      </w:r>
      <w:r w:rsidRPr="00E12B4A">
        <w:rPr>
          <w:rFonts w:eastAsia="Times New Roman"/>
          <w:color w:val="212121"/>
          <w:sz w:val="24"/>
          <w:szCs w:val="24"/>
          <w:shd w:val="clear" w:color="auto" w:fill="FFFFFF"/>
          <w:lang w:eastAsia="zh-CN"/>
        </w:rPr>
        <w:t>EKLIPSE</w:t>
      </w:r>
      <w:r w:rsidRPr="00E12B4A">
        <w:rPr>
          <w:rFonts w:ascii="SimSun" w:eastAsia="SimSun" w:hAnsi="SimSun" w:cs="SimSun" w:hint="eastAsia"/>
          <w:color w:val="212121"/>
          <w:sz w:val="24"/>
          <w:szCs w:val="24"/>
          <w:shd w:val="clear" w:color="auto" w:fill="FFFFFF"/>
          <w:lang w:eastAsia="zh-CN"/>
        </w:rPr>
        <w:t>）、美洲全球变化研究所和公约秘书处的接口。论坛讨论了实现</w:t>
      </w:r>
      <w:r w:rsidRPr="00E12B4A">
        <w:rPr>
          <w:rFonts w:eastAsia="Times New Roman"/>
          <w:color w:val="212121"/>
          <w:sz w:val="24"/>
          <w:szCs w:val="24"/>
          <w:shd w:val="clear" w:color="auto" w:fill="FFFFFF"/>
          <w:lang w:eastAsia="zh-CN"/>
        </w:rPr>
        <w:t>2050</w:t>
      </w:r>
      <w:r w:rsidRPr="00E12B4A">
        <w:rPr>
          <w:rFonts w:ascii="SimSun" w:eastAsia="SimSun" w:hAnsi="SimSun" w:cs="SimSun" w:hint="eastAsia"/>
          <w:color w:val="212121"/>
          <w:sz w:val="24"/>
          <w:szCs w:val="24"/>
          <w:shd w:val="clear" w:color="auto" w:fill="FFFFFF"/>
          <w:lang w:eastAsia="zh-CN"/>
        </w:rPr>
        <w:t>年生物多样性愿景的转变和转型变革运作的挑战。需要各级以规模宏大、强劲的努力来支持人类社会的健康和更美好的生活。</w:t>
      </w:r>
      <w:r w:rsidR="00F413D3" w:rsidRPr="00E12B4A">
        <w:rPr>
          <w:rFonts w:ascii="SimSun" w:eastAsia="SimSun" w:hAnsi="SimSun" w:cs="SimSun" w:hint="eastAsia"/>
          <w:color w:val="212121"/>
          <w:sz w:val="24"/>
          <w:szCs w:val="24"/>
          <w:shd w:val="clear" w:color="auto" w:fill="FFFFFF"/>
          <w:lang w:eastAsia="zh-CN"/>
        </w:rPr>
        <w:t>主要变革将是社会性变革，将生物多样性纳入主流以确保发展与保护之间的平衡，创造生态、社会和政治的连通性。全球性问题应当用地方性办法解决的概念，需要更有效的沟通、政策和治理模式。这种社会政治变革需要</w:t>
      </w:r>
      <w:r w:rsidR="00FB0EAB" w:rsidRPr="00E12B4A">
        <w:rPr>
          <w:rFonts w:ascii="SimSun" w:eastAsia="SimSun" w:hAnsi="SimSun" w:cs="SimSun" w:hint="eastAsia"/>
          <w:color w:val="212121"/>
          <w:sz w:val="24"/>
          <w:szCs w:val="24"/>
          <w:shd w:val="clear" w:color="auto" w:fill="FFFFFF"/>
          <w:lang w:eastAsia="zh-CN"/>
        </w:rPr>
        <w:t>通过</w:t>
      </w:r>
      <w:r w:rsidR="00F413D3" w:rsidRPr="00E12B4A">
        <w:rPr>
          <w:rFonts w:ascii="SimSun" w:eastAsia="SimSun" w:hAnsi="SimSun" w:cs="SimSun" w:hint="eastAsia"/>
          <w:color w:val="212121"/>
          <w:sz w:val="24"/>
          <w:szCs w:val="24"/>
          <w:shd w:val="clear" w:color="auto" w:fill="FFFFFF"/>
          <w:lang w:eastAsia="zh-CN"/>
        </w:rPr>
        <w:t>自然科学和社会科学</w:t>
      </w:r>
      <w:r w:rsidR="00FB0EAB" w:rsidRPr="00E12B4A">
        <w:rPr>
          <w:rFonts w:ascii="SimSun" w:eastAsia="SimSun" w:hAnsi="SimSun" w:cs="SimSun" w:hint="eastAsia"/>
          <w:color w:val="212121"/>
          <w:sz w:val="24"/>
          <w:szCs w:val="24"/>
          <w:shd w:val="clear" w:color="auto" w:fill="FFFFFF"/>
          <w:lang w:eastAsia="zh-CN"/>
        </w:rPr>
        <w:t>的</w:t>
      </w:r>
      <w:r w:rsidR="00FB0EAB" w:rsidRPr="00E12B4A">
        <w:rPr>
          <w:rFonts w:ascii="SimSun" w:eastAsia="SimSun" w:hAnsi="SimSun" w:cs="SimSun"/>
          <w:color w:val="212121"/>
          <w:sz w:val="24"/>
          <w:szCs w:val="24"/>
          <w:shd w:val="clear" w:color="auto" w:fill="FFFFFF"/>
          <w:lang w:eastAsia="zh-CN"/>
        </w:rPr>
        <w:t>一体化</w:t>
      </w:r>
      <w:r w:rsidR="00F413D3" w:rsidRPr="00E12B4A">
        <w:rPr>
          <w:rFonts w:ascii="SimSun" w:eastAsia="SimSun" w:hAnsi="SimSun" w:cs="SimSun" w:hint="eastAsia"/>
          <w:color w:val="212121"/>
          <w:sz w:val="24"/>
          <w:szCs w:val="24"/>
          <w:shd w:val="clear" w:color="auto" w:fill="FFFFFF"/>
          <w:lang w:eastAsia="zh-CN"/>
        </w:rPr>
        <w:t>为决策寻找明确的答案，并同等考虑到地方和传统知识。</w:t>
      </w:r>
      <w:r w:rsidR="00F413D3" w:rsidRPr="00E12B4A">
        <w:rPr>
          <w:rFonts w:eastAsia="Times New Roman"/>
          <w:color w:val="212121"/>
          <w:sz w:val="24"/>
          <w:szCs w:val="24"/>
          <w:shd w:val="clear" w:color="auto" w:fill="FFFFFF"/>
          <w:lang w:eastAsia="zh-CN"/>
        </w:rPr>
        <w:t>2050</w:t>
      </w:r>
      <w:r w:rsidR="00F413D3" w:rsidRPr="00E12B4A">
        <w:rPr>
          <w:rFonts w:ascii="SimSun" w:eastAsia="SimSun" w:hAnsi="SimSun" w:cs="SimSun" w:hint="eastAsia"/>
          <w:color w:val="212121"/>
          <w:sz w:val="24"/>
          <w:szCs w:val="24"/>
          <w:shd w:val="clear" w:color="auto" w:fill="FFFFFF"/>
          <w:lang w:eastAsia="zh-CN"/>
        </w:rPr>
        <w:t>年愿景</w:t>
      </w:r>
      <w:r w:rsidR="009D782B" w:rsidRPr="00E12B4A">
        <w:rPr>
          <w:rFonts w:ascii="SimSun" w:eastAsia="SimSun" w:hAnsi="SimSun" w:cs="SimSun" w:hint="eastAsia"/>
          <w:color w:val="212121"/>
          <w:sz w:val="24"/>
          <w:szCs w:val="24"/>
          <w:shd w:val="clear" w:color="auto" w:fill="FFFFFF"/>
          <w:lang w:eastAsia="zh-CN"/>
        </w:rPr>
        <w:t>应</w:t>
      </w:r>
      <w:r w:rsidR="00F413D3" w:rsidRPr="00E12B4A">
        <w:rPr>
          <w:rFonts w:ascii="SimSun" w:eastAsia="SimSun" w:hAnsi="SimSun" w:cs="SimSun" w:hint="eastAsia"/>
          <w:color w:val="212121"/>
          <w:sz w:val="24"/>
          <w:szCs w:val="24"/>
          <w:shd w:val="clear" w:color="auto" w:fill="FFFFFF"/>
          <w:lang w:eastAsia="zh-CN"/>
        </w:rPr>
        <w:t>是多层面的，具有自然性质、社会性质和作为各种文化的一部分的性质，力求取得平衡以实现与自然和谐相处的共同愿景。防止灭绝、扭转衰退、保持完整无损和恢复生态系统，光这些措施还不够，应首先重视导致生物多样性丧失的主要驱动因素，而这些往往是外部因素。采用基于自然的解决办法是与可持续发展目标和气候变化等全球议程相互联系的最佳手段之一。</w:t>
      </w:r>
      <w:r w:rsidRPr="00E12B4A">
        <w:rPr>
          <w:rFonts w:ascii="SimSun" w:eastAsia="SimSun" w:hAnsi="SimSun" w:cs="SimSun" w:hint="eastAsia"/>
          <w:color w:val="212121"/>
          <w:sz w:val="24"/>
          <w:szCs w:val="24"/>
          <w:shd w:val="clear" w:color="auto" w:fill="FFFFFF"/>
          <w:lang w:eastAsia="zh-CN"/>
        </w:rPr>
        <w:t>需要进行两种类型的创新</w:t>
      </w:r>
      <w:r w:rsidRPr="00E12B4A">
        <w:rPr>
          <w:rFonts w:eastAsia="Times New Roman"/>
          <w:color w:val="212121"/>
          <w:sz w:val="24"/>
          <w:szCs w:val="24"/>
          <w:shd w:val="clear" w:color="auto" w:fill="FFFFFF"/>
          <w:lang w:eastAsia="zh-CN"/>
        </w:rPr>
        <w:t>—</w:t>
      </w:r>
      <w:r w:rsidRPr="00E12B4A">
        <w:rPr>
          <w:rFonts w:ascii="SimSun" w:eastAsia="SimSun" w:hAnsi="SimSun" w:cs="SimSun" w:hint="eastAsia"/>
          <w:color w:val="212121"/>
          <w:sz w:val="24"/>
          <w:szCs w:val="24"/>
          <w:shd w:val="clear" w:color="auto" w:fill="FFFFFF"/>
          <w:lang w:eastAsia="zh-CN"/>
        </w:rPr>
        <w:t>渐进式创新和激进创新。应使全球承诺与地方和国家政策保持一致，将生物多样性纳入各自部门的主流。</w:t>
      </w:r>
      <w:r w:rsidR="009D782B" w:rsidRPr="00E12B4A">
        <w:rPr>
          <w:rFonts w:ascii="SimSun" w:eastAsia="SimSun" w:hAnsi="SimSun" w:cs="SimSun" w:hint="eastAsia"/>
          <w:color w:val="212121"/>
          <w:sz w:val="24"/>
          <w:szCs w:val="24"/>
          <w:shd w:val="clear" w:color="auto" w:fill="FFFFFF"/>
          <w:lang w:eastAsia="zh-CN"/>
        </w:rPr>
        <w:t>应</w:t>
      </w:r>
      <w:r w:rsidRPr="00E12B4A">
        <w:rPr>
          <w:rFonts w:ascii="SimSun" w:eastAsia="SimSun" w:hAnsi="SimSun" w:cs="SimSun" w:hint="eastAsia"/>
          <w:color w:val="212121"/>
          <w:sz w:val="24"/>
          <w:szCs w:val="24"/>
          <w:shd w:val="clear" w:color="auto" w:fill="FFFFFF"/>
          <w:lang w:eastAsia="zh-CN"/>
        </w:rPr>
        <w:t>通过科学使人们认识到需要在发展与保护之间作出权衡取舍，并查明确保可持续利用生物多样性的门槛。国际生物科学联合会建议创造有利条件，例如提高认识和提供信息，以衡量执行</w:t>
      </w:r>
      <w:r w:rsidRPr="00E12B4A">
        <w:rPr>
          <w:rFonts w:eastAsia="Times New Roman"/>
          <w:color w:val="212121"/>
          <w:sz w:val="24"/>
          <w:szCs w:val="24"/>
          <w:shd w:val="clear" w:color="auto" w:fill="FFFFFF"/>
          <w:lang w:eastAsia="zh-CN"/>
        </w:rPr>
        <w:t>2020</w:t>
      </w:r>
      <w:r w:rsidRPr="00E12B4A">
        <w:rPr>
          <w:rFonts w:ascii="SimSun" w:eastAsia="SimSun" w:hAnsi="SimSun" w:cs="SimSun" w:hint="eastAsia"/>
          <w:color w:val="212121"/>
          <w:sz w:val="24"/>
          <w:szCs w:val="24"/>
          <w:shd w:val="clear" w:color="auto" w:fill="FFFFFF"/>
          <w:lang w:eastAsia="zh-CN"/>
        </w:rPr>
        <w:t>年后议程的具有成本效益的解决方案的进展和供资情况。</w:t>
      </w:r>
    </w:p>
    <w:p w:rsidR="008D76BF" w:rsidRPr="0097302E" w:rsidRDefault="008D76BF" w:rsidP="000A1A91">
      <w:pPr>
        <w:pStyle w:val="Para1"/>
        <w:widowControl w:val="0"/>
        <w:numPr>
          <w:ilvl w:val="0"/>
          <w:numId w:val="11"/>
        </w:numPr>
        <w:tabs>
          <w:tab w:val="left" w:pos="720"/>
        </w:tabs>
        <w:adjustRightInd w:val="0"/>
        <w:ind w:left="0" w:firstLine="0"/>
        <w:rPr>
          <w:rFonts w:eastAsia="Times New Roman"/>
          <w:color w:val="212121"/>
          <w:sz w:val="24"/>
          <w:szCs w:val="24"/>
          <w:shd w:val="clear" w:color="auto" w:fill="FFFFFF"/>
          <w:lang w:eastAsia="zh-CN"/>
        </w:rPr>
      </w:pPr>
      <w:r w:rsidRPr="0097302E">
        <w:rPr>
          <w:rFonts w:ascii="SimSun" w:eastAsia="SimSun" w:hAnsi="SimSun" w:cs="SimSun" w:hint="eastAsia"/>
          <w:color w:val="212121"/>
          <w:sz w:val="24"/>
          <w:szCs w:val="24"/>
          <w:shd w:val="clear" w:color="auto" w:fill="FFFFFF"/>
          <w:lang w:eastAsia="zh-CN"/>
        </w:rPr>
        <w:t>国际可持续发展法中心和国际可持续发展法学院</w:t>
      </w:r>
      <w:r w:rsidRPr="0097302E">
        <w:rPr>
          <w:rFonts w:eastAsia="Times New Roman"/>
          <w:color w:val="212121"/>
          <w:sz w:val="24"/>
          <w:szCs w:val="24"/>
          <w:shd w:val="clear" w:color="auto" w:fill="FFFFFF"/>
          <w:lang w:eastAsia="zh-CN"/>
        </w:rPr>
        <w:t>Marie-Claire Cordonier Segger</w:t>
      </w:r>
      <w:r w:rsidRPr="0097302E">
        <w:rPr>
          <w:rFonts w:ascii="SimSun" w:eastAsia="SimSun" w:hAnsi="SimSun" w:cs="SimSun" w:hint="eastAsia"/>
          <w:color w:val="212121"/>
          <w:sz w:val="24"/>
          <w:szCs w:val="24"/>
          <w:shd w:val="clear" w:color="auto" w:fill="FFFFFF"/>
          <w:lang w:eastAsia="zh-CN"/>
        </w:rPr>
        <w:t>女士报告说，《公约》和其他生物多样性协定的缔约方和观察员正在召集一个全球生物多样性法和治理同业交流群，以支持执行《公约》和可持续发展目标。可以通过精心制定、忠实执行的法律和体制改革消除实现《公约》目标的障碍。第二个生物多样性法和治理日确定了通过法律、公众参与、获取信息和环境评估，包括战略评估，将生物多样性纳入其他部门主流的创新、共享经验和前进道路。法律和治理工具，包括基于权利的方法和土著条约，都有助于实现《</w:t>
      </w:r>
      <w:r w:rsidRPr="0097302E">
        <w:rPr>
          <w:rFonts w:eastAsia="Times New Roman"/>
          <w:color w:val="212121"/>
          <w:sz w:val="24"/>
          <w:szCs w:val="24"/>
          <w:shd w:val="clear" w:color="auto" w:fill="FFFFFF"/>
          <w:lang w:eastAsia="zh-CN"/>
        </w:rPr>
        <w:t>2020</w:t>
      </w:r>
      <w:r w:rsidRPr="0097302E">
        <w:rPr>
          <w:rFonts w:ascii="SimSun" w:eastAsia="SimSun" w:hAnsi="SimSun" w:cs="SimSun" w:hint="eastAsia"/>
          <w:color w:val="212121"/>
          <w:sz w:val="24"/>
          <w:szCs w:val="24"/>
          <w:shd w:val="clear" w:color="auto" w:fill="FFFFFF"/>
          <w:lang w:eastAsia="zh-CN"/>
        </w:rPr>
        <w:t>年战略计划》。法律措施可以为新兴技术提供框架，并有助于实现《名古屋议定书》的目标。有</w:t>
      </w:r>
      <w:r w:rsidRPr="0097302E">
        <w:rPr>
          <w:rFonts w:eastAsia="Times New Roman"/>
          <w:color w:val="212121"/>
          <w:sz w:val="24"/>
          <w:szCs w:val="24"/>
          <w:shd w:val="clear" w:color="auto" w:fill="FFFFFF"/>
          <w:lang w:eastAsia="zh-CN"/>
        </w:rPr>
        <w:t>320</w:t>
      </w:r>
      <w:r w:rsidRPr="0097302E">
        <w:rPr>
          <w:rFonts w:ascii="SimSun" w:eastAsia="SimSun" w:hAnsi="SimSun" w:cs="SimSun" w:hint="eastAsia"/>
          <w:color w:val="212121"/>
          <w:sz w:val="24"/>
          <w:szCs w:val="24"/>
          <w:shd w:val="clear" w:color="auto" w:fill="FFFFFF"/>
          <w:lang w:eastAsia="zh-CN"/>
        </w:rPr>
        <w:t>多个国际条约和组织与生物多样性和生态系统有关，可利用法律和治理机制加强它们之间的协调和一致。这次活动的目的是分担创新的法律和体制挑战、共享机制和最佳做法；促进知识交流，找到新方法和产生新认识；并支持法律和政策创新、行动和能力发展，以执行《公约》。</w:t>
      </w:r>
    </w:p>
    <w:p w:rsidR="008D76BF" w:rsidRPr="00C520C4" w:rsidRDefault="008D76BF" w:rsidP="006A550F">
      <w:pPr>
        <w:pStyle w:val="Heading3"/>
        <w:tabs>
          <w:tab w:val="left" w:pos="720"/>
        </w:tabs>
        <w:ind w:firstLine="0"/>
        <w:jc w:val="left"/>
        <w:rPr>
          <w:sz w:val="24"/>
          <w:lang w:eastAsia="zh-CN"/>
        </w:rPr>
      </w:pPr>
      <w:bookmarkStart w:id="296" w:name="_Toc6243843"/>
      <w:r w:rsidRPr="00C520C4">
        <w:rPr>
          <w:rFonts w:eastAsia="KaiTi"/>
          <w:i w:val="0"/>
          <w:sz w:val="24"/>
          <w:lang w:eastAsia="zh-CN"/>
        </w:rPr>
        <w:t>2018</w:t>
      </w:r>
      <w:r w:rsidRPr="00C520C4">
        <w:rPr>
          <w:rFonts w:eastAsia="KaiTi" w:hAnsi="KaiTi" w:hint="eastAsia"/>
          <w:i w:val="0"/>
          <w:sz w:val="24"/>
          <w:lang w:eastAsia="zh-CN"/>
        </w:rPr>
        <w:t>年</w:t>
      </w:r>
      <w:r w:rsidRPr="00C520C4">
        <w:rPr>
          <w:rFonts w:ascii="KaiTi" w:eastAsia="KaiTi" w:hAnsi="KaiTi" w:cs="SimSun" w:hint="eastAsia"/>
          <w:i w:val="0"/>
          <w:sz w:val="24"/>
          <w:lang w:eastAsia="zh-CN"/>
        </w:rPr>
        <w:t>生物多样性绿色奖</w:t>
      </w:r>
      <w:bookmarkEnd w:id="296"/>
    </w:p>
    <w:p w:rsidR="008D76BF" w:rsidRPr="0097302E" w:rsidRDefault="008D76BF" w:rsidP="000A1A91">
      <w:pPr>
        <w:pStyle w:val="Para1"/>
        <w:widowControl w:val="0"/>
        <w:numPr>
          <w:ilvl w:val="0"/>
          <w:numId w:val="11"/>
        </w:numPr>
        <w:tabs>
          <w:tab w:val="left" w:pos="720"/>
        </w:tabs>
        <w:adjustRightInd w:val="0"/>
        <w:ind w:left="0" w:firstLine="0"/>
        <w:rPr>
          <w:rFonts w:eastAsia="Times New Roman"/>
          <w:color w:val="212121"/>
          <w:sz w:val="24"/>
          <w:szCs w:val="24"/>
          <w:shd w:val="clear" w:color="auto" w:fill="FFFFFF"/>
          <w:lang w:eastAsia="zh-CN"/>
        </w:rPr>
      </w:pPr>
      <w:r w:rsidRPr="0097302E">
        <w:rPr>
          <w:rFonts w:ascii="SimSun" w:eastAsia="SimSun" w:hAnsi="SimSun" w:cs="SimSun" w:hint="eastAsia"/>
          <w:color w:val="212121"/>
          <w:sz w:val="24"/>
          <w:szCs w:val="24"/>
          <w:shd w:val="clear" w:color="auto" w:fill="FFFFFF"/>
          <w:lang w:eastAsia="zh-CN"/>
        </w:rPr>
        <w:t>在</w:t>
      </w:r>
      <w:r w:rsidRPr="0097302E">
        <w:rPr>
          <w:rFonts w:eastAsia="Times New Roman"/>
          <w:color w:val="212121"/>
          <w:sz w:val="24"/>
          <w:szCs w:val="24"/>
          <w:shd w:val="clear" w:color="auto" w:fill="FFFFFF"/>
          <w:lang w:eastAsia="zh-CN"/>
        </w:rPr>
        <w:t>2018</w:t>
      </w:r>
      <w:r w:rsidRPr="0097302E">
        <w:rPr>
          <w:rFonts w:ascii="SimSun" w:eastAsia="SimSun" w:hAnsi="SimSun" w:cs="SimSun" w:hint="eastAsia"/>
          <w:color w:val="212121"/>
          <w:sz w:val="24"/>
          <w:szCs w:val="24"/>
          <w:shd w:val="clear" w:color="auto" w:fill="FFFFFF"/>
          <w:lang w:eastAsia="zh-CN"/>
        </w:rPr>
        <w:t>年</w:t>
      </w:r>
      <w:r w:rsidRPr="0097302E">
        <w:rPr>
          <w:rFonts w:eastAsia="Times New Roman"/>
          <w:color w:val="212121"/>
          <w:sz w:val="24"/>
          <w:szCs w:val="24"/>
          <w:shd w:val="clear" w:color="auto" w:fill="FFFFFF"/>
          <w:lang w:eastAsia="zh-CN"/>
        </w:rPr>
        <w:t>11</w:t>
      </w:r>
      <w:r w:rsidRPr="0097302E">
        <w:rPr>
          <w:rFonts w:ascii="SimSun" w:eastAsia="SimSun" w:hAnsi="SimSun" w:cs="SimSun" w:hint="eastAsia"/>
          <w:color w:val="212121"/>
          <w:sz w:val="24"/>
          <w:szCs w:val="24"/>
          <w:shd w:val="clear" w:color="auto" w:fill="FFFFFF"/>
          <w:lang w:eastAsia="zh-CN"/>
        </w:rPr>
        <w:t>月</w:t>
      </w:r>
      <w:r w:rsidRPr="0097302E">
        <w:rPr>
          <w:rFonts w:eastAsia="Times New Roman"/>
          <w:color w:val="212121"/>
          <w:sz w:val="24"/>
          <w:szCs w:val="24"/>
          <w:shd w:val="clear" w:color="auto" w:fill="FFFFFF"/>
          <w:lang w:eastAsia="zh-CN"/>
        </w:rPr>
        <w:t>17</w:t>
      </w:r>
      <w:r w:rsidRPr="0097302E">
        <w:rPr>
          <w:rFonts w:ascii="SimSun" w:eastAsia="SimSun" w:hAnsi="SimSun" w:cs="SimSun" w:hint="eastAsia"/>
          <w:color w:val="212121"/>
          <w:sz w:val="24"/>
          <w:szCs w:val="24"/>
          <w:shd w:val="clear" w:color="auto" w:fill="FFFFFF"/>
          <w:lang w:eastAsia="zh-CN"/>
        </w:rPr>
        <w:t>日</w:t>
      </w:r>
      <w:r w:rsidR="00AB1DA6">
        <w:rPr>
          <w:rFonts w:ascii="SimSun" w:eastAsia="SimSun" w:hAnsi="SimSun" w:cs="SimSun" w:hint="eastAsia"/>
          <w:color w:val="212121"/>
          <w:sz w:val="24"/>
          <w:szCs w:val="24"/>
          <w:shd w:val="clear" w:color="auto" w:fill="FFFFFF"/>
          <w:lang w:eastAsia="zh-CN"/>
        </w:rPr>
        <w:t>会议的</w:t>
      </w:r>
      <w:r w:rsidRPr="0097302E">
        <w:rPr>
          <w:rFonts w:ascii="SimSun" w:eastAsia="SimSun" w:hAnsi="SimSun" w:cs="SimSun" w:hint="eastAsia"/>
          <w:color w:val="212121"/>
          <w:sz w:val="24"/>
          <w:szCs w:val="24"/>
          <w:shd w:val="clear" w:color="auto" w:fill="FFFFFF"/>
          <w:lang w:eastAsia="zh-CN"/>
        </w:rPr>
        <w:t>第二</w:t>
      </w:r>
      <w:r w:rsidR="00B45641">
        <w:rPr>
          <w:rFonts w:ascii="SimSun" w:eastAsia="SimSun" w:hAnsi="SimSun" w:cs="SimSun" w:hint="eastAsia"/>
          <w:color w:val="212121"/>
          <w:sz w:val="24"/>
          <w:szCs w:val="24"/>
          <w:shd w:val="clear" w:color="auto" w:fill="FFFFFF"/>
          <w:lang w:eastAsia="zh-CN"/>
        </w:rPr>
        <w:t>次全体会议</w:t>
      </w:r>
      <w:r w:rsidRPr="0097302E">
        <w:rPr>
          <w:rFonts w:ascii="SimSun" w:eastAsia="SimSun" w:hAnsi="SimSun" w:cs="SimSun" w:hint="eastAsia"/>
          <w:color w:val="212121"/>
          <w:sz w:val="24"/>
          <w:szCs w:val="24"/>
          <w:shd w:val="clear" w:color="auto" w:fill="FFFFFF"/>
          <w:lang w:eastAsia="zh-CN"/>
        </w:rPr>
        <w:t>上举行了</w:t>
      </w:r>
      <w:r w:rsidRPr="0097302E">
        <w:rPr>
          <w:rFonts w:eastAsia="Times New Roman"/>
          <w:color w:val="212121"/>
          <w:sz w:val="24"/>
          <w:szCs w:val="24"/>
          <w:shd w:val="clear" w:color="auto" w:fill="FFFFFF"/>
          <w:lang w:eastAsia="zh-CN"/>
        </w:rPr>
        <w:t>2018</w:t>
      </w:r>
      <w:r w:rsidRPr="0097302E">
        <w:rPr>
          <w:rFonts w:ascii="SimSun" w:eastAsia="SimSun" w:hAnsi="SimSun" w:cs="SimSun" w:hint="eastAsia"/>
          <w:color w:val="212121"/>
          <w:sz w:val="24"/>
          <w:szCs w:val="24"/>
          <w:shd w:val="clear" w:color="auto" w:fill="FFFFFF"/>
          <w:lang w:eastAsia="zh-CN"/>
        </w:rPr>
        <w:t>年生物多样性绿色奖颁奖仪式。</w:t>
      </w:r>
      <w:r w:rsidR="006B4E7D" w:rsidRPr="00C30193">
        <w:rPr>
          <w:rFonts w:hint="eastAsia"/>
          <w:bCs/>
          <w:sz w:val="24"/>
          <w:lang w:eastAsia="zh-CN"/>
        </w:rPr>
        <w:t>帕斯卡·帕梅尔</w:t>
      </w:r>
      <w:r w:rsidRPr="0097302E">
        <w:rPr>
          <w:rFonts w:ascii="SimSun" w:eastAsia="SimSun" w:hAnsi="SimSun" w:cs="SimSun" w:hint="eastAsia"/>
          <w:color w:val="212121"/>
          <w:sz w:val="24"/>
          <w:szCs w:val="24"/>
          <w:shd w:val="clear" w:color="auto" w:fill="FFFFFF"/>
          <w:lang w:eastAsia="zh-CN"/>
        </w:rPr>
        <w:t>女士介绍了该奖项。会上放映了介绍</w:t>
      </w:r>
      <w:r w:rsidRPr="0097302E">
        <w:rPr>
          <w:rFonts w:eastAsia="Times New Roman"/>
          <w:color w:val="212121"/>
          <w:sz w:val="24"/>
          <w:szCs w:val="24"/>
          <w:shd w:val="clear" w:color="auto" w:fill="FFFFFF"/>
          <w:lang w:eastAsia="zh-CN"/>
        </w:rPr>
        <w:t>2018</w:t>
      </w:r>
      <w:r w:rsidRPr="0097302E">
        <w:rPr>
          <w:rFonts w:ascii="SimSun" w:eastAsia="SimSun" w:hAnsi="SimSun" w:cs="SimSun" w:hint="eastAsia"/>
          <w:color w:val="212121"/>
          <w:sz w:val="24"/>
          <w:szCs w:val="24"/>
          <w:shd w:val="clear" w:color="auto" w:fill="FFFFFF"/>
          <w:lang w:eastAsia="zh-CN"/>
        </w:rPr>
        <w:t>年获奖者事迹的电影。国际自然保护联盟世界保护区委员会主席</w:t>
      </w:r>
      <w:r w:rsidRPr="0097302E">
        <w:rPr>
          <w:rFonts w:eastAsia="Times New Roman"/>
          <w:color w:val="212121"/>
          <w:sz w:val="24"/>
          <w:szCs w:val="24"/>
          <w:shd w:val="clear" w:color="auto" w:fill="FFFFFF"/>
          <w:lang w:eastAsia="zh-CN"/>
        </w:rPr>
        <w:t>Kathy MacKinnon</w:t>
      </w:r>
      <w:r w:rsidRPr="0097302E">
        <w:rPr>
          <w:rFonts w:ascii="SimSun" w:eastAsia="SimSun" w:hAnsi="SimSun" w:cs="SimSun" w:hint="eastAsia"/>
          <w:color w:val="212121"/>
          <w:sz w:val="24"/>
          <w:szCs w:val="24"/>
          <w:shd w:val="clear" w:color="auto" w:fill="FFFFFF"/>
          <w:lang w:eastAsia="zh-CN"/>
        </w:rPr>
        <w:t>女士、黎巴嫩保护自然协会总干事</w:t>
      </w:r>
      <w:r w:rsidRPr="0097302E">
        <w:rPr>
          <w:rFonts w:eastAsia="Times New Roman"/>
          <w:color w:val="212121"/>
          <w:sz w:val="24"/>
          <w:szCs w:val="24"/>
          <w:shd w:val="clear" w:color="auto" w:fill="FFFFFF"/>
          <w:lang w:eastAsia="zh-CN"/>
        </w:rPr>
        <w:t>Assad Serhal</w:t>
      </w:r>
      <w:r w:rsidRPr="0097302E">
        <w:rPr>
          <w:rFonts w:ascii="SimSun" w:eastAsia="SimSun" w:hAnsi="SimSun" w:cs="SimSun" w:hint="eastAsia"/>
          <w:color w:val="212121"/>
          <w:sz w:val="24"/>
          <w:szCs w:val="24"/>
          <w:shd w:val="clear" w:color="auto" w:fill="FFFFFF"/>
          <w:lang w:eastAsia="zh-CN"/>
        </w:rPr>
        <w:t>先生、马来西亚工业</w:t>
      </w:r>
      <w:r w:rsidRPr="0097302E">
        <w:rPr>
          <w:rFonts w:eastAsia="Times New Roman"/>
          <w:color w:val="212121"/>
          <w:sz w:val="24"/>
          <w:szCs w:val="24"/>
          <w:shd w:val="clear" w:color="auto" w:fill="FFFFFF"/>
          <w:lang w:eastAsia="zh-CN"/>
        </w:rPr>
        <w:t>-</w:t>
      </w:r>
      <w:r w:rsidRPr="0097302E">
        <w:rPr>
          <w:rFonts w:ascii="SimSun" w:eastAsia="SimSun" w:hAnsi="SimSun" w:cs="SimSun" w:hint="eastAsia"/>
          <w:color w:val="212121"/>
          <w:sz w:val="24"/>
          <w:szCs w:val="24"/>
          <w:shd w:val="clear" w:color="auto" w:fill="FFFFFF"/>
          <w:lang w:eastAsia="zh-CN"/>
        </w:rPr>
        <w:t>政府高科技集团联合主席</w:t>
      </w:r>
      <w:r w:rsidRPr="0097302E">
        <w:rPr>
          <w:rFonts w:eastAsia="Times New Roman"/>
          <w:color w:val="212121"/>
          <w:sz w:val="24"/>
          <w:szCs w:val="24"/>
          <w:shd w:val="clear" w:color="auto" w:fill="FFFFFF"/>
          <w:lang w:eastAsia="zh-CN"/>
        </w:rPr>
        <w:t>Abdul Hamid Zakri</w:t>
      </w:r>
      <w:r w:rsidRPr="0097302E">
        <w:rPr>
          <w:rFonts w:ascii="SimSun" w:eastAsia="SimSun" w:hAnsi="SimSun" w:cs="SimSun" w:hint="eastAsia"/>
          <w:color w:val="212121"/>
          <w:sz w:val="24"/>
          <w:szCs w:val="24"/>
          <w:shd w:val="clear" w:color="auto" w:fill="FFFFFF"/>
          <w:lang w:eastAsia="zh-CN"/>
        </w:rPr>
        <w:t>博士、埃及政府</w:t>
      </w:r>
      <w:r w:rsidRPr="0097302E">
        <w:rPr>
          <w:rFonts w:eastAsia="Times New Roman"/>
          <w:color w:val="212121"/>
          <w:sz w:val="24"/>
          <w:szCs w:val="24"/>
          <w:shd w:val="clear" w:color="auto" w:fill="FFFFFF"/>
          <w:lang w:eastAsia="zh-CN"/>
        </w:rPr>
        <w:t>Hamdallah Zedan</w:t>
      </w:r>
      <w:r w:rsidRPr="0097302E">
        <w:rPr>
          <w:rFonts w:ascii="SimSun" w:eastAsia="SimSun" w:hAnsi="SimSun" w:cs="SimSun" w:hint="eastAsia"/>
          <w:color w:val="212121"/>
          <w:sz w:val="24"/>
          <w:szCs w:val="24"/>
          <w:shd w:val="clear" w:color="auto" w:fill="FFFFFF"/>
          <w:lang w:eastAsia="zh-CN"/>
        </w:rPr>
        <w:t>先生作了总结发言。</w:t>
      </w:r>
    </w:p>
    <w:p w:rsidR="008D76BF" w:rsidRPr="0097302E" w:rsidRDefault="008D76BF" w:rsidP="006A550F">
      <w:pPr>
        <w:pStyle w:val="Heading3"/>
        <w:tabs>
          <w:tab w:val="left" w:pos="720"/>
        </w:tabs>
        <w:ind w:firstLine="0"/>
        <w:jc w:val="left"/>
        <w:rPr>
          <w:rFonts w:ascii="KaiTi" w:eastAsia="KaiTi" w:hAnsi="KaiTi" w:cs="SimSun"/>
          <w:i w:val="0"/>
          <w:sz w:val="24"/>
          <w:lang w:eastAsia="zh-CN"/>
        </w:rPr>
      </w:pPr>
      <w:bookmarkStart w:id="297" w:name="_Toc6243844"/>
      <w:r w:rsidRPr="0097302E">
        <w:rPr>
          <w:rFonts w:ascii="KaiTi" w:eastAsia="KaiTi" w:hAnsi="KaiTi" w:cs="SimSun" w:hint="eastAsia"/>
          <w:i w:val="0"/>
          <w:sz w:val="24"/>
          <w:lang w:eastAsia="zh-CN"/>
        </w:rPr>
        <w:t>自然保护创新开拓奖</w:t>
      </w:r>
      <w:bookmarkEnd w:id="297"/>
    </w:p>
    <w:p w:rsidR="008D76BF" w:rsidRPr="0097302E" w:rsidRDefault="008D76BF" w:rsidP="000A1A91">
      <w:pPr>
        <w:pStyle w:val="Para1"/>
        <w:widowControl w:val="0"/>
        <w:numPr>
          <w:ilvl w:val="0"/>
          <w:numId w:val="11"/>
        </w:numPr>
        <w:tabs>
          <w:tab w:val="left" w:pos="720"/>
        </w:tabs>
        <w:adjustRightInd w:val="0"/>
        <w:ind w:left="0" w:firstLine="0"/>
        <w:rPr>
          <w:rFonts w:eastAsia="Times New Roman"/>
          <w:color w:val="212121"/>
          <w:sz w:val="24"/>
          <w:szCs w:val="24"/>
          <w:shd w:val="clear" w:color="auto" w:fill="FFFFFF"/>
          <w:lang w:eastAsia="zh-CN"/>
        </w:rPr>
      </w:pPr>
      <w:r w:rsidRPr="0097302E">
        <w:rPr>
          <w:rFonts w:ascii="SimSun" w:eastAsia="SimSun" w:hAnsi="SimSun" w:cs="SimSun" w:hint="eastAsia"/>
          <w:color w:val="212121"/>
          <w:sz w:val="24"/>
          <w:szCs w:val="24"/>
          <w:shd w:val="clear" w:color="auto" w:fill="FFFFFF"/>
          <w:lang w:eastAsia="zh-CN"/>
        </w:rPr>
        <w:t>在</w:t>
      </w:r>
      <w:r w:rsidRPr="0097302E">
        <w:rPr>
          <w:rFonts w:eastAsia="Times New Roman"/>
          <w:color w:val="212121"/>
          <w:sz w:val="24"/>
          <w:szCs w:val="24"/>
          <w:shd w:val="clear" w:color="auto" w:fill="FFFFFF"/>
          <w:lang w:eastAsia="zh-CN"/>
        </w:rPr>
        <w:t>2018</w:t>
      </w:r>
      <w:r w:rsidRPr="0097302E">
        <w:rPr>
          <w:rFonts w:ascii="SimSun" w:eastAsia="SimSun" w:hAnsi="SimSun" w:cs="SimSun" w:hint="eastAsia"/>
          <w:color w:val="212121"/>
          <w:sz w:val="24"/>
          <w:szCs w:val="24"/>
          <w:shd w:val="clear" w:color="auto" w:fill="FFFFFF"/>
          <w:lang w:eastAsia="zh-CN"/>
        </w:rPr>
        <w:t>年</w:t>
      </w:r>
      <w:r w:rsidRPr="0097302E">
        <w:rPr>
          <w:rFonts w:eastAsia="Times New Roman"/>
          <w:color w:val="212121"/>
          <w:sz w:val="24"/>
          <w:szCs w:val="24"/>
          <w:shd w:val="clear" w:color="auto" w:fill="FFFFFF"/>
          <w:lang w:eastAsia="zh-CN"/>
        </w:rPr>
        <w:t>11</w:t>
      </w:r>
      <w:r w:rsidRPr="0097302E">
        <w:rPr>
          <w:rFonts w:ascii="SimSun" w:eastAsia="SimSun" w:hAnsi="SimSun" w:cs="SimSun" w:hint="eastAsia"/>
          <w:color w:val="212121"/>
          <w:sz w:val="24"/>
          <w:szCs w:val="24"/>
          <w:shd w:val="clear" w:color="auto" w:fill="FFFFFF"/>
          <w:lang w:eastAsia="zh-CN"/>
        </w:rPr>
        <w:t>月</w:t>
      </w:r>
      <w:r w:rsidRPr="0097302E">
        <w:rPr>
          <w:rFonts w:eastAsia="Times New Roman"/>
          <w:color w:val="212121"/>
          <w:sz w:val="24"/>
          <w:szCs w:val="24"/>
          <w:shd w:val="clear" w:color="auto" w:fill="FFFFFF"/>
          <w:lang w:eastAsia="zh-CN"/>
        </w:rPr>
        <w:t>17</w:t>
      </w:r>
      <w:r w:rsidRPr="0097302E">
        <w:rPr>
          <w:rFonts w:ascii="SimSun" w:eastAsia="SimSun" w:hAnsi="SimSun" w:cs="SimSun" w:hint="eastAsia"/>
          <w:color w:val="212121"/>
          <w:sz w:val="24"/>
          <w:szCs w:val="24"/>
          <w:shd w:val="clear" w:color="auto" w:fill="FFFFFF"/>
          <w:lang w:eastAsia="zh-CN"/>
        </w:rPr>
        <w:t>日</w:t>
      </w:r>
      <w:r w:rsidR="00AB1DA6">
        <w:rPr>
          <w:rFonts w:ascii="SimSun" w:eastAsia="SimSun" w:hAnsi="SimSun" w:cs="SimSun" w:hint="eastAsia"/>
          <w:color w:val="212121"/>
          <w:sz w:val="24"/>
          <w:szCs w:val="24"/>
          <w:shd w:val="clear" w:color="auto" w:fill="FFFFFF"/>
          <w:lang w:eastAsia="zh-CN"/>
        </w:rPr>
        <w:t>会议的</w:t>
      </w:r>
      <w:r w:rsidRPr="0097302E">
        <w:rPr>
          <w:rFonts w:ascii="SimSun" w:eastAsia="SimSun" w:hAnsi="SimSun" w:cs="SimSun" w:hint="eastAsia"/>
          <w:color w:val="212121"/>
          <w:sz w:val="24"/>
          <w:szCs w:val="24"/>
          <w:shd w:val="clear" w:color="auto" w:fill="FFFFFF"/>
          <w:lang w:eastAsia="zh-CN"/>
        </w:rPr>
        <w:t>第二</w:t>
      </w:r>
      <w:r w:rsidR="00B45641">
        <w:rPr>
          <w:rFonts w:ascii="SimSun" w:eastAsia="SimSun" w:hAnsi="SimSun" w:cs="SimSun" w:hint="eastAsia"/>
          <w:color w:val="212121"/>
          <w:sz w:val="24"/>
          <w:szCs w:val="24"/>
          <w:shd w:val="clear" w:color="auto" w:fill="FFFFFF"/>
          <w:lang w:eastAsia="zh-CN"/>
        </w:rPr>
        <w:t>次全体会议</w:t>
      </w:r>
      <w:r w:rsidRPr="0097302E">
        <w:rPr>
          <w:rFonts w:ascii="SimSun" w:eastAsia="SimSun" w:hAnsi="SimSun" w:cs="SimSun" w:hint="eastAsia"/>
          <w:color w:val="212121"/>
          <w:sz w:val="24"/>
          <w:szCs w:val="24"/>
          <w:shd w:val="clear" w:color="auto" w:fill="FFFFFF"/>
          <w:lang w:eastAsia="zh-CN"/>
        </w:rPr>
        <w:t>上举行了</w:t>
      </w:r>
      <w:r w:rsidRPr="0097302E">
        <w:rPr>
          <w:rFonts w:eastAsia="Times New Roman"/>
          <w:color w:val="212121"/>
          <w:sz w:val="24"/>
          <w:szCs w:val="24"/>
          <w:shd w:val="clear" w:color="auto" w:fill="FFFFFF"/>
          <w:lang w:eastAsia="zh-CN"/>
        </w:rPr>
        <w:t>2018</w:t>
      </w:r>
      <w:r w:rsidRPr="0097302E">
        <w:rPr>
          <w:rFonts w:ascii="SimSun" w:eastAsia="SimSun" w:hAnsi="SimSun" w:cs="SimSun" w:hint="eastAsia"/>
          <w:color w:val="212121"/>
          <w:sz w:val="24"/>
          <w:szCs w:val="24"/>
          <w:shd w:val="clear" w:color="auto" w:fill="FFFFFF"/>
          <w:lang w:eastAsia="zh-CN"/>
        </w:rPr>
        <w:t>年自然保护创新开拓奖颁</w:t>
      </w:r>
      <w:r w:rsidRPr="0097302E">
        <w:rPr>
          <w:rFonts w:ascii="SimSun" w:eastAsia="SimSun" w:hAnsi="SimSun" w:cs="SimSun" w:hint="eastAsia"/>
          <w:color w:val="212121"/>
          <w:sz w:val="24"/>
          <w:szCs w:val="24"/>
          <w:shd w:val="clear" w:color="auto" w:fill="FFFFFF"/>
          <w:lang w:eastAsia="zh-CN"/>
        </w:rPr>
        <w:lastRenderedPageBreak/>
        <w:t>奖仪式、该奖项旨在表彰保护区融资中的杰出创新解决方案。世界自然保护联盟全球保护区方案主任</w:t>
      </w:r>
      <w:r w:rsidRPr="0097302E">
        <w:rPr>
          <w:rFonts w:eastAsia="Times New Roman"/>
          <w:color w:val="212121"/>
          <w:sz w:val="24"/>
          <w:szCs w:val="24"/>
          <w:shd w:val="clear" w:color="auto" w:fill="FFFFFF"/>
          <w:lang w:eastAsia="zh-CN"/>
        </w:rPr>
        <w:t>Trevor Sandwith</w:t>
      </w:r>
      <w:r w:rsidRPr="0097302E">
        <w:rPr>
          <w:rFonts w:ascii="SimSun" w:eastAsia="SimSun" w:hAnsi="SimSun" w:cs="SimSun" w:hint="eastAsia"/>
          <w:color w:val="212121"/>
          <w:sz w:val="24"/>
          <w:szCs w:val="24"/>
          <w:shd w:val="clear" w:color="auto" w:fill="FFFFFF"/>
          <w:lang w:eastAsia="zh-CN"/>
        </w:rPr>
        <w:t>先生和联合国开发计划署（开发署）生态系统和生物多样性负责人</w:t>
      </w:r>
      <w:r w:rsidRPr="0097302E">
        <w:rPr>
          <w:rFonts w:eastAsia="Times New Roman"/>
          <w:color w:val="212121"/>
          <w:sz w:val="24"/>
          <w:szCs w:val="24"/>
          <w:shd w:val="clear" w:color="auto" w:fill="FFFFFF"/>
          <w:lang w:eastAsia="zh-CN"/>
        </w:rPr>
        <w:t>Midori Paxton</w:t>
      </w:r>
      <w:r w:rsidRPr="0097302E">
        <w:rPr>
          <w:rFonts w:ascii="SimSun" w:eastAsia="SimSun" w:hAnsi="SimSun" w:cs="SimSun" w:hint="eastAsia"/>
          <w:color w:val="212121"/>
          <w:sz w:val="24"/>
          <w:szCs w:val="24"/>
          <w:shd w:val="clear" w:color="auto" w:fill="FFFFFF"/>
          <w:lang w:eastAsia="zh-CN"/>
        </w:rPr>
        <w:t>女士介绍了获奖情况。随后颁发以下奖项：</w:t>
      </w:r>
    </w:p>
    <w:p w:rsidR="008D76BF" w:rsidRPr="00C520C4" w:rsidRDefault="008D76BF" w:rsidP="00E12B4A">
      <w:pPr>
        <w:pStyle w:val="ListParagraph"/>
        <w:numPr>
          <w:ilvl w:val="0"/>
          <w:numId w:val="12"/>
        </w:numPr>
        <w:suppressLineNumbers/>
        <w:tabs>
          <w:tab w:val="left" w:pos="720"/>
        </w:tabs>
        <w:suppressAutoHyphens/>
        <w:kinsoku w:val="0"/>
        <w:overflowPunct w:val="0"/>
        <w:autoSpaceDE w:val="0"/>
        <w:autoSpaceDN w:val="0"/>
        <w:spacing w:before="0"/>
        <w:rPr>
          <w:rFonts w:eastAsia="Times New Roman"/>
          <w:snapToGrid w:val="0"/>
          <w:kern w:val="22"/>
          <w:lang w:eastAsia="zh-CN"/>
        </w:rPr>
      </w:pPr>
      <w:r w:rsidRPr="00C520C4">
        <w:rPr>
          <w:rFonts w:ascii="SimSun" w:eastAsia="SimSun" w:hAnsi="SimSun" w:cs="SimSun" w:hint="eastAsia"/>
          <w:snapToGrid w:val="0"/>
          <w:kern w:val="22"/>
          <w:lang w:eastAsia="zh-CN"/>
        </w:rPr>
        <w:t>获奖者：</w:t>
      </w:r>
      <w:r w:rsidRPr="00C520C4">
        <w:rPr>
          <w:lang w:eastAsia="zh-CN"/>
        </w:rPr>
        <w:t xml:space="preserve">Prespa Ohrid </w:t>
      </w:r>
      <w:r w:rsidRPr="00C520C4">
        <w:rPr>
          <w:rFonts w:ascii="SimSun" w:eastAsia="SimSun" w:hAnsi="SimSun" w:cs="SimSun" w:hint="eastAsia"/>
          <w:lang w:eastAsia="zh-CN"/>
        </w:rPr>
        <w:t>自然信托基金（</w:t>
      </w:r>
      <w:r w:rsidRPr="00C520C4">
        <w:rPr>
          <w:lang w:eastAsia="zh-CN"/>
        </w:rPr>
        <w:t>PONT</w:t>
      </w:r>
      <w:r w:rsidRPr="00C520C4">
        <w:rPr>
          <w:rFonts w:ascii="SimSun" w:eastAsia="SimSun" w:hAnsi="SimSun" w:cs="SimSun" w:hint="eastAsia"/>
          <w:lang w:eastAsia="zh-CN"/>
        </w:rPr>
        <w:t>）</w:t>
      </w:r>
      <w:r w:rsidRPr="00C520C4">
        <w:rPr>
          <w:rFonts w:eastAsia="Times New Roman"/>
          <w:snapToGrid w:val="0"/>
          <w:kern w:val="22"/>
          <w:lang w:eastAsia="zh-CN"/>
        </w:rPr>
        <w:t xml:space="preserve"> —</w:t>
      </w:r>
      <w:r w:rsidRPr="00C520C4">
        <w:rPr>
          <w:rFonts w:ascii="SimSun" w:eastAsia="SimSun" w:hAnsi="SimSun" w:cs="SimSun" w:hint="eastAsia"/>
          <w:snapToGrid w:val="0"/>
          <w:kern w:val="22"/>
          <w:lang w:eastAsia="zh-CN"/>
        </w:rPr>
        <w:t>为重要保护活动建立长期融资并吸引共同融资</w:t>
      </w:r>
    </w:p>
    <w:p w:rsidR="008D76BF" w:rsidRPr="00C520C4" w:rsidRDefault="008D76BF" w:rsidP="00E12B4A">
      <w:pPr>
        <w:pStyle w:val="ListParagraph"/>
        <w:numPr>
          <w:ilvl w:val="0"/>
          <w:numId w:val="12"/>
        </w:numPr>
        <w:suppressLineNumbers/>
        <w:tabs>
          <w:tab w:val="left" w:pos="720"/>
        </w:tabs>
        <w:suppressAutoHyphens/>
        <w:kinsoku w:val="0"/>
        <w:overflowPunct w:val="0"/>
        <w:autoSpaceDE w:val="0"/>
        <w:autoSpaceDN w:val="0"/>
        <w:spacing w:before="0"/>
        <w:rPr>
          <w:rFonts w:eastAsia="Times New Roman"/>
          <w:snapToGrid w:val="0"/>
          <w:kern w:val="22"/>
          <w:lang w:eastAsia="zh-CN"/>
        </w:rPr>
      </w:pPr>
      <w:r w:rsidRPr="00C520C4">
        <w:rPr>
          <w:rFonts w:ascii="SimSun" w:eastAsia="SimSun" w:hAnsi="SimSun" w:cs="SimSun" w:hint="eastAsia"/>
          <w:snapToGrid w:val="0"/>
          <w:kern w:val="22"/>
          <w:lang w:eastAsia="zh-CN"/>
        </w:rPr>
        <w:t>亚军：</w:t>
      </w:r>
      <w:r w:rsidRPr="00C520C4">
        <w:t>Assist Social Capital CIC for Oasis</w:t>
      </w:r>
      <w:r w:rsidRPr="00C520C4">
        <w:rPr>
          <w:rFonts w:eastAsia="Times New Roman"/>
          <w:snapToGrid w:val="0"/>
          <w:kern w:val="22"/>
          <w:lang w:eastAsia="zh-CN"/>
        </w:rPr>
        <w:t>—</w:t>
      </w:r>
      <w:r w:rsidRPr="00C520C4">
        <w:rPr>
          <w:rFonts w:ascii="SimSun" w:eastAsia="SimSun" w:hAnsi="SimSun" w:cs="SimSun" w:hint="eastAsia"/>
          <w:lang w:eastAsia="zh-CN"/>
        </w:rPr>
        <w:t>开辟</w:t>
      </w:r>
      <w:r w:rsidRPr="00C520C4">
        <w:rPr>
          <w:rFonts w:ascii="SimSun" w:eastAsia="SimSun" w:hAnsi="SimSun" w:cs="SimSun" w:hint="eastAsia"/>
          <w:snapToGrid w:val="0"/>
          <w:kern w:val="22"/>
          <w:lang w:eastAsia="zh-CN"/>
        </w:rPr>
        <w:t>可持续的独立收入流</w:t>
      </w:r>
    </w:p>
    <w:p w:rsidR="008D76BF" w:rsidRPr="00C520C4" w:rsidRDefault="008D76BF" w:rsidP="00E12B4A">
      <w:pPr>
        <w:pStyle w:val="ListParagraph"/>
        <w:numPr>
          <w:ilvl w:val="0"/>
          <w:numId w:val="12"/>
        </w:numPr>
        <w:suppressLineNumbers/>
        <w:tabs>
          <w:tab w:val="left" w:pos="720"/>
        </w:tabs>
        <w:suppressAutoHyphens/>
        <w:kinsoku w:val="0"/>
        <w:overflowPunct w:val="0"/>
        <w:autoSpaceDE w:val="0"/>
        <w:autoSpaceDN w:val="0"/>
        <w:spacing w:before="0"/>
        <w:rPr>
          <w:rFonts w:eastAsia="Times New Roman"/>
          <w:snapToGrid w:val="0"/>
          <w:kern w:val="22"/>
          <w:lang w:eastAsia="zh-CN"/>
        </w:rPr>
      </w:pPr>
      <w:r w:rsidRPr="00C520C4">
        <w:rPr>
          <w:rFonts w:ascii="SimSun" w:eastAsia="SimSun" w:hAnsi="SimSun" w:cs="SimSun" w:hint="eastAsia"/>
          <w:snapToGrid w:val="0"/>
          <w:kern w:val="22"/>
          <w:lang w:eastAsia="zh-CN"/>
        </w:rPr>
        <w:t>特别表彰：南非鸟类生命组织的</w:t>
      </w:r>
      <w:r w:rsidRPr="00C520C4">
        <w:rPr>
          <w:rFonts w:eastAsia="Times New Roman"/>
          <w:snapToGrid w:val="0"/>
          <w:kern w:val="22"/>
          <w:lang w:eastAsia="zh-CN"/>
        </w:rPr>
        <w:t>Candice Stevens</w:t>
      </w:r>
      <w:r w:rsidRPr="00C520C4">
        <w:rPr>
          <w:rFonts w:ascii="SimSun" w:eastAsia="SimSun" w:hAnsi="SimSun" w:cs="SimSun" w:hint="eastAsia"/>
          <w:snapToGrid w:val="0"/>
          <w:kern w:val="22"/>
          <w:lang w:eastAsia="zh-CN"/>
        </w:rPr>
        <w:t>女士和南非政府</w:t>
      </w:r>
      <w:r w:rsidRPr="00C520C4">
        <w:rPr>
          <w:rFonts w:eastAsia="Times New Roman"/>
          <w:snapToGrid w:val="0"/>
          <w:kern w:val="22"/>
          <w:lang w:eastAsia="zh-CN"/>
        </w:rPr>
        <w:t>—</w:t>
      </w:r>
      <w:r w:rsidRPr="00C520C4">
        <w:rPr>
          <w:rFonts w:ascii="SimSun" w:eastAsia="SimSun" w:hAnsi="SimSun" w:cs="SimSun" w:hint="eastAsia"/>
          <w:snapToGrid w:val="0"/>
          <w:kern w:val="22"/>
          <w:lang w:eastAsia="zh-CN"/>
        </w:rPr>
        <w:t>为南非保护区网络提供生物多样性税收激励</w:t>
      </w:r>
    </w:p>
    <w:p w:rsidR="008D76BF" w:rsidRPr="0097302E" w:rsidRDefault="008D76BF" w:rsidP="00E12B4A">
      <w:pPr>
        <w:pStyle w:val="ListParagraph"/>
        <w:numPr>
          <w:ilvl w:val="0"/>
          <w:numId w:val="12"/>
        </w:numPr>
        <w:suppressLineNumbers/>
        <w:tabs>
          <w:tab w:val="left" w:pos="720"/>
        </w:tabs>
        <w:suppressAutoHyphens/>
        <w:kinsoku w:val="0"/>
        <w:overflowPunct w:val="0"/>
        <w:autoSpaceDE w:val="0"/>
        <w:autoSpaceDN w:val="0"/>
        <w:spacing w:before="0"/>
        <w:rPr>
          <w:rFonts w:eastAsia="Times New Roman"/>
          <w:snapToGrid w:val="0"/>
          <w:kern w:val="22"/>
          <w:lang w:eastAsia="zh-CN"/>
        </w:rPr>
      </w:pPr>
      <w:r w:rsidRPr="0097302E">
        <w:rPr>
          <w:rFonts w:ascii="SimSun" w:eastAsia="SimSun" w:hAnsi="SimSun" w:cs="SimSun" w:hint="eastAsia"/>
          <w:snapToGrid w:val="0"/>
          <w:kern w:val="22"/>
          <w:lang w:eastAsia="zh-CN"/>
        </w:rPr>
        <w:t>特别表彰：菲律宾</w:t>
      </w:r>
      <w:r w:rsidRPr="0097302E">
        <w:rPr>
          <w:rFonts w:eastAsia="Times New Roman"/>
          <w:snapToGrid w:val="0"/>
          <w:kern w:val="22"/>
          <w:lang w:eastAsia="zh-CN"/>
        </w:rPr>
        <w:t>Masungi</w:t>
      </w:r>
      <w:r w:rsidRPr="0097302E">
        <w:rPr>
          <w:rFonts w:ascii="SimSun" w:eastAsia="SimSun" w:hAnsi="SimSun" w:cs="SimSun" w:hint="eastAsia"/>
          <w:snapToGrid w:val="0"/>
          <w:kern w:val="22"/>
          <w:lang w:eastAsia="zh-CN"/>
        </w:rPr>
        <w:t>地质保护区基金会</w:t>
      </w:r>
      <w:r w:rsidRPr="0097302E">
        <w:rPr>
          <w:rFonts w:eastAsia="Times New Roman"/>
          <w:snapToGrid w:val="0"/>
          <w:kern w:val="22"/>
          <w:lang w:eastAsia="zh-CN"/>
        </w:rPr>
        <w:t>—</w:t>
      </w:r>
      <w:r w:rsidRPr="0097302E">
        <w:rPr>
          <w:rFonts w:ascii="SimSun" w:eastAsia="SimSun" w:hAnsi="SimSun" w:cs="SimSun" w:hint="eastAsia"/>
          <w:snapToGrid w:val="0"/>
          <w:kern w:val="22"/>
          <w:lang w:eastAsia="zh-CN"/>
        </w:rPr>
        <w:t>地质保护模式：悉心设计在保护区创造可持续旅游价值和收入</w:t>
      </w:r>
    </w:p>
    <w:p w:rsidR="008D76BF" w:rsidRPr="0097302E" w:rsidRDefault="008D76BF" w:rsidP="00E12B4A">
      <w:pPr>
        <w:pStyle w:val="Heading3"/>
        <w:tabs>
          <w:tab w:val="left" w:pos="720"/>
        </w:tabs>
        <w:ind w:firstLine="0"/>
        <w:jc w:val="left"/>
        <w:rPr>
          <w:rFonts w:ascii="KaiTi" w:eastAsia="KaiTi" w:hAnsi="KaiTi" w:cs="SimSun"/>
          <w:i w:val="0"/>
          <w:sz w:val="24"/>
          <w:lang w:eastAsia="zh-CN"/>
        </w:rPr>
      </w:pPr>
      <w:bookmarkStart w:id="298" w:name="_Toc6243845"/>
      <w:r w:rsidRPr="0097302E">
        <w:rPr>
          <w:rFonts w:ascii="KaiTi" w:eastAsia="KaiTi" w:hAnsi="KaiTi" w:cs="SimSun"/>
          <w:i w:val="0"/>
          <w:sz w:val="24"/>
          <w:lang w:eastAsia="zh-CN"/>
        </w:rPr>
        <w:t>2018</w:t>
      </w:r>
      <w:r w:rsidRPr="0097302E">
        <w:rPr>
          <w:rFonts w:ascii="KaiTi" w:eastAsia="KaiTi" w:hAnsi="KaiTi" w:cs="SimSun" w:hint="eastAsia"/>
          <w:i w:val="0"/>
          <w:sz w:val="24"/>
          <w:lang w:eastAsia="zh-CN"/>
        </w:rPr>
        <w:t>年信息交换所机制奖</w:t>
      </w:r>
      <w:bookmarkEnd w:id="298"/>
    </w:p>
    <w:p w:rsidR="008D76BF" w:rsidRPr="0097302E" w:rsidRDefault="008D76BF" w:rsidP="000A1A91">
      <w:pPr>
        <w:pStyle w:val="Para1"/>
        <w:widowControl w:val="0"/>
        <w:numPr>
          <w:ilvl w:val="0"/>
          <w:numId w:val="11"/>
        </w:numPr>
        <w:tabs>
          <w:tab w:val="left" w:pos="720"/>
        </w:tabs>
        <w:adjustRightInd w:val="0"/>
        <w:ind w:left="0" w:firstLine="0"/>
        <w:rPr>
          <w:rFonts w:eastAsia="Times New Roman"/>
          <w:color w:val="212121"/>
          <w:sz w:val="24"/>
          <w:szCs w:val="24"/>
          <w:shd w:val="clear" w:color="auto" w:fill="FFFFFF"/>
          <w:lang w:eastAsia="zh-CN"/>
        </w:rPr>
      </w:pPr>
      <w:r w:rsidRPr="0097302E">
        <w:rPr>
          <w:rFonts w:ascii="SimSun" w:eastAsia="SimSun" w:hAnsi="SimSun" w:cs="SimSun" w:hint="eastAsia"/>
          <w:color w:val="212121"/>
          <w:sz w:val="24"/>
          <w:szCs w:val="24"/>
          <w:shd w:val="clear" w:color="auto" w:fill="FFFFFF"/>
          <w:lang w:eastAsia="zh-CN"/>
        </w:rPr>
        <w:t>在</w:t>
      </w:r>
      <w:r w:rsidRPr="0097302E">
        <w:rPr>
          <w:rFonts w:eastAsia="Times New Roman"/>
          <w:color w:val="212121"/>
          <w:sz w:val="24"/>
          <w:szCs w:val="24"/>
          <w:shd w:val="clear" w:color="auto" w:fill="FFFFFF"/>
          <w:lang w:eastAsia="zh-CN"/>
        </w:rPr>
        <w:t>2018</w:t>
      </w:r>
      <w:r w:rsidRPr="0097302E">
        <w:rPr>
          <w:rFonts w:ascii="SimSun" w:eastAsia="SimSun" w:hAnsi="SimSun" w:cs="SimSun" w:hint="eastAsia"/>
          <w:color w:val="212121"/>
          <w:sz w:val="24"/>
          <w:szCs w:val="24"/>
          <w:shd w:val="clear" w:color="auto" w:fill="FFFFFF"/>
          <w:lang w:eastAsia="zh-CN"/>
        </w:rPr>
        <w:t>年</w:t>
      </w:r>
      <w:r w:rsidRPr="0097302E">
        <w:rPr>
          <w:rFonts w:eastAsia="Times New Roman"/>
          <w:color w:val="212121"/>
          <w:sz w:val="24"/>
          <w:szCs w:val="24"/>
          <w:shd w:val="clear" w:color="auto" w:fill="FFFFFF"/>
          <w:lang w:eastAsia="zh-CN"/>
        </w:rPr>
        <w:t>11</w:t>
      </w:r>
      <w:r w:rsidRPr="0097302E">
        <w:rPr>
          <w:rFonts w:ascii="SimSun" w:eastAsia="SimSun" w:hAnsi="SimSun" w:cs="SimSun" w:hint="eastAsia"/>
          <w:color w:val="212121"/>
          <w:sz w:val="24"/>
          <w:szCs w:val="24"/>
          <w:shd w:val="clear" w:color="auto" w:fill="FFFFFF"/>
          <w:lang w:eastAsia="zh-CN"/>
        </w:rPr>
        <w:t>月</w:t>
      </w:r>
      <w:r w:rsidRPr="0097302E">
        <w:rPr>
          <w:rFonts w:eastAsia="Times New Roman"/>
          <w:color w:val="212121"/>
          <w:sz w:val="24"/>
          <w:szCs w:val="24"/>
          <w:shd w:val="clear" w:color="auto" w:fill="FFFFFF"/>
          <w:lang w:eastAsia="zh-CN"/>
        </w:rPr>
        <w:t>25</w:t>
      </w:r>
      <w:r w:rsidRPr="0097302E">
        <w:rPr>
          <w:rFonts w:ascii="SimSun" w:eastAsia="SimSun" w:hAnsi="SimSun" w:cs="SimSun" w:hint="eastAsia"/>
          <w:color w:val="212121"/>
          <w:sz w:val="24"/>
          <w:szCs w:val="24"/>
          <w:shd w:val="clear" w:color="auto" w:fill="FFFFFF"/>
          <w:lang w:eastAsia="zh-CN"/>
        </w:rPr>
        <w:t>日</w:t>
      </w:r>
      <w:r w:rsidR="00AB1DA6">
        <w:rPr>
          <w:rFonts w:ascii="SimSun" w:eastAsia="SimSun" w:hAnsi="SimSun" w:cs="SimSun" w:hint="eastAsia"/>
          <w:color w:val="212121"/>
          <w:sz w:val="24"/>
          <w:szCs w:val="24"/>
          <w:shd w:val="clear" w:color="auto" w:fill="FFFFFF"/>
          <w:lang w:eastAsia="zh-CN"/>
        </w:rPr>
        <w:t>会议的</w:t>
      </w:r>
      <w:r w:rsidRPr="0097302E">
        <w:rPr>
          <w:rFonts w:ascii="SimSun" w:eastAsia="SimSun" w:hAnsi="SimSun" w:cs="SimSun" w:hint="eastAsia"/>
          <w:color w:val="212121"/>
          <w:sz w:val="24"/>
          <w:szCs w:val="24"/>
          <w:shd w:val="clear" w:color="auto" w:fill="FFFFFF"/>
          <w:lang w:eastAsia="zh-CN"/>
        </w:rPr>
        <w:t>第五</w:t>
      </w:r>
      <w:r w:rsidR="00B45641">
        <w:rPr>
          <w:rFonts w:ascii="SimSun" w:eastAsia="SimSun" w:hAnsi="SimSun" w:cs="SimSun" w:hint="eastAsia"/>
          <w:color w:val="212121"/>
          <w:sz w:val="24"/>
          <w:szCs w:val="24"/>
          <w:shd w:val="clear" w:color="auto" w:fill="FFFFFF"/>
          <w:lang w:eastAsia="zh-CN"/>
        </w:rPr>
        <w:t>次全体会议</w:t>
      </w:r>
      <w:r w:rsidRPr="0097302E">
        <w:rPr>
          <w:rFonts w:ascii="SimSun" w:eastAsia="SimSun" w:hAnsi="SimSun" w:cs="SimSun" w:hint="eastAsia"/>
          <w:color w:val="212121"/>
          <w:sz w:val="24"/>
          <w:szCs w:val="24"/>
          <w:shd w:val="clear" w:color="auto" w:fill="FFFFFF"/>
          <w:lang w:eastAsia="zh-CN"/>
        </w:rPr>
        <w:t>上举行了</w:t>
      </w:r>
      <w:r w:rsidRPr="0097302E">
        <w:rPr>
          <w:rFonts w:eastAsia="Times New Roman"/>
          <w:color w:val="212121"/>
          <w:sz w:val="24"/>
          <w:szCs w:val="24"/>
          <w:shd w:val="clear" w:color="auto" w:fill="FFFFFF"/>
          <w:lang w:eastAsia="zh-CN"/>
        </w:rPr>
        <w:t>2018</w:t>
      </w:r>
      <w:r w:rsidRPr="0097302E">
        <w:rPr>
          <w:rFonts w:ascii="SimSun" w:eastAsia="SimSun" w:hAnsi="SimSun" w:cs="SimSun" w:hint="eastAsia"/>
          <w:color w:val="212121"/>
          <w:sz w:val="24"/>
          <w:szCs w:val="24"/>
          <w:shd w:val="clear" w:color="auto" w:fill="FFFFFF"/>
          <w:lang w:eastAsia="zh-CN"/>
        </w:rPr>
        <w:t>年信息交换所机制奖颁奖仪式。颁奖前，会议特意向领导开发信息交换所机制的</w:t>
      </w:r>
      <w:r w:rsidRPr="0097302E">
        <w:rPr>
          <w:rFonts w:eastAsia="Times New Roman"/>
          <w:color w:val="212121"/>
          <w:sz w:val="24"/>
          <w:szCs w:val="24"/>
          <w:shd w:val="clear" w:color="auto" w:fill="FFFFFF"/>
          <w:lang w:eastAsia="zh-CN"/>
        </w:rPr>
        <w:t>Olivier de Munck</w:t>
      </w:r>
      <w:r w:rsidRPr="0097302E">
        <w:rPr>
          <w:rFonts w:ascii="SimSun" w:eastAsia="SimSun" w:hAnsi="SimSun" w:cs="SimSun" w:hint="eastAsia"/>
          <w:color w:val="212121"/>
          <w:sz w:val="24"/>
          <w:szCs w:val="24"/>
          <w:shd w:val="clear" w:color="auto" w:fill="FFFFFF"/>
          <w:lang w:eastAsia="zh-CN"/>
        </w:rPr>
        <w:t>先生表示敬意，他在今年早些时候去世。奖项共分两类：第一类奖颁发给在缔约方大会第十三届会议之前建立国家信息交换所机制的缔约方，第二类奖颁发给将在缔约方大会第十三届和第十四届会议之间建立国家信息交换所机制的缔约方。两类奖项各分三个等级：金奖、银奖和铜奖。随后颁发了以下奖项：</w:t>
      </w:r>
    </w:p>
    <w:p w:rsidR="008D76BF" w:rsidRPr="00C520C4" w:rsidRDefault="008D76BF" w:rsidP="00E12B4A">
      <w:pPr>
        <w:pStyle w:val="ListParagraph"/>
        <w:numPr>
          <w:ilvl w:val="0"/>
          <w:numId w:val="12"/>
        </w:numPr>
        <w:suppressLineNumbers/>
        <w:tabs>
          <w:tab w:val="left" w:pos="720"/>
        </w:tabs>
        <w:suppressAutoHyphens/>
        <w:kinsoku w:val="0"/>
        <w:overflowPunct w:val="0"/>
        <w:autoSpaceDE w:val="0"/>
        <w:autoSpaceDN w:val="0"/>
        <w:spacing w:before="0"/>
        <w:rPr>
          <w:rFonts w:eastAsia="Times New Roman"/>
          <w:snapToGrid w:val="0"/>
          <w:kern w:val="22"/>
          <w:lang w:eastAsia="zh-CN"/>
        </w:rPr>
      </w:pPr>
      <w:r w:rsidRPr="00C520C4">
        <w:rPr>
          <w:rFonts w:ascii="SimSun" w:eastAsia="SimSun" w:hAnsi="SimSun" w:cs="SimSun" w:hint="eastAsia"/>
          <w:snapToGrid w:val="0"/>
          <w:kern w:val="22"/>
          <w:lang w:eastAsia="zh-CN"/>
        </w:rPr>
        <w:t>第二类金奖：印度尼西亚</w:t>
      </w:r>
    </w:p>
    <w:p w:rsidR="008D76BF" w:rsidRPr="00C520C4" w:rsidRDefault="008D76BF" w:rsidP="00E12B4A">
      <w:pPr>
        <w:pStyle w:val="ListParagraph"/>
        <w:numPr>
          <w:ilvl w:val="0"/>
          <w:numId w:val="12"/>
        </w:numPr>
        <w:suppressLineNumbers/>
        <w:tabs>
          <w:tab w:val="left" w:pos="720"/>
        </w:tabs>
        <w:suppressAutoHyphens/>
        <w:kinsoku w:val="0"/>
        <w:overflowPunct w:val="0"/>
        <w:autoSpaceDE w:val="0"/>
        <w:autoSpaceDN w:val="0"/>
        <w:spacing w:before="0"/>
        <w:rPr>
          <w:rFonts w:eastAsia="Times New Roman"/>
          <w:snapToGrid w:val="0"/>
          <w:kern w:val="22"/>
          <w:lang w:eastAsia="zh-CN"/>
        </w:rPr>
      </w:pPr>
      <w:r w:rsidRPr="00C520C4">
        <w:rPr>
          <w:rFonts w:ascii="SimSun" w:eastAsia="SimSun" w:hAnsi="SimSun" w:cs="SimSun" w:hint="eastAsia"/>
          <w:snapToGrid w:val="0"/>
          <w:kern w:val="22"/>
          <w:lang w:eastAsia="zh-CN"/>
        </w:rPr>
        <w:t>第二类银奖：斯里兰卡</w:t>
      </w:r>
    </w:p>
    <w:p w:rsidR="008D76BF" w:rsidRPr="00C520C4" w:rsidRDefault="008D76BF" w:rsidP="00E12B4A">
      <w:pPr>
        <w:pStyle w:val="ListParagraph"/>
        <w:numPr>
          <w:ilvl w:val="0"/>
          <w:numId w:val="12"/>
        </w:numPr>
        <w:suppressLineNumbers/>
        <w:tabs>
          <w:tab w:val="left" w:pos="720"/>
        </w:tabs>
        <w:suppressAutoHyphens/>
        <w:kinsoku w:val="0"/>
        <w:overflowPunct w:val="0"/>
        <w:autoSpaceDE w:val="0"/>
        <w:autoSpaceDN w:val="0"/>
        <w:spacing w:before="0"/>
        <w:rPr>
          <w:rFonts w:eastAsia="Times New Roman"/>
          <w:snapToGrid w:val="0"/>
          <w:kern w:val="22"/>
          <w:lang w:eastAsia="zh-CN"/>
        </w:rPr>
      </w:pPr>
      <w:r w:rsidRPr="00C520C4">
        <w:rPr>
          <w:rFonts w:ascii="SimSun" w:eastAsia="SimSun" w:hAnsi="SimSun" w:cs="SimSun" w:hint="eastAsia"/>
          <w:snapToGrid w:val="0"/>
          <w:kern w:val="22"/>
          <w:lang w:eastAsia="zh-CN"/>
        </w:rPr>
        <w:t>第二类铜奖：几内亚比绍</w:t>
      </w:r>
    </w:p>
    <w:p w:rsidR="008D76BF" w:rsidRPr="00C520C4" w:rsidRDefault="008D76BF" w:rsidP="00E12B4A">
      <w:pPr>
        <w:pStyle w:val="ListParagraph"/>
        <w:numPr>
          <w:ilvl w:val="0"/>
          <w:numId w:val="12"/>
        </w:numPr>
        <w:suppressLineNumbers/>
        <w:tabs>
          <w:tab w:val="left" w:pos="720"/>
        </w:tabs>
        <w:suppressAutoHyphens/>
        <w:kinsoku w:val="0"/>
        <w:overflowPunct w:val="0"/>
        <w:autoSpaceDE w:val="0"/>
        <w:autoSpaceDN w:val="0"/>
        <w:spacing w:before="0"/>
        <w:rPr>
          <w:rFonts w:eastAsia="Times New Roman"/>
          <w:snapToGrid w:val="0"/>
          <w:kern w:val="22"/>
          <w:lang w:eastAsia="zh-CN"/>
        </w:rPr>
      </w:pPr>
      <w:r w:rsidRPr="00C520C4">
        <w:rPr>
          <w:rFonts w:ascii="SimSun" w:eastAsia="SimSun" w:hAnsi="SimSun" w:cs="SimSun" w:hint="eastAsia"/>
          <w:snapToGrid w:val="0"/>
          <w:kern w:val="22"/>
          <w:lang w:eastAsia="zh-CN"/>
        </w:rPr>
        <w:t>第一类金奖：布隆迪</w:t>
      </w:r>
    </w:p>
    <w:p w:rsidR="008D76BF" w:rsidRPr="00C520C4" w:rsidRDefault="008D76BF" w:rsidP="00E12B4A">
      <w:pPr>
        <w:pStyle w:val="ListParagraph"/>
        <w:numPr>
          <w:ilvl w:val="0"/>
          <w:numId w:val="12"/>
        </w:numPr>
        <w:suppressLineNumbers/>
        <w:tabs>
          <w:tab w:val="left" w:pos="720"/>
        </w:tabs>
        <w:suppressAutoHyphens/>
        <w:kinsoku w:val="0"/>
        <w:overflowPunct w:val="0"/>
        <w:autoSpaceDE w:val="0"/>
        <w:autoSpaceDN w:val="0"/>
        <w:spacing w:before="0"/>
        <w:rPr>
          <w:rFonts w:eastAsia="Times New Roman"/>
          <w:snapToGrid w:val="0"/>
          <w:kern w:val="22"/>
          <w:lang w:eastAsia="zh-CN"/>
        </w:rPr>
      </w:pPr>
      <w:r w:rsidRPr="00C520C4">
        <w:rPr>
          <w:rFonts w:ascii="SimSun" w:eastAsia="SimSun" w:hAnsi="SimSun" w:cs="SimSun" w:hint="eastAsia"/>
          <w:snapToGrid w:val="0"/>
          <w:kern w:val="22"/>
          <w:lang w:eastAsia="zh-CN"/>
        </w:rPr>
        <w:t>第一类银奖：哥伦比亚</w:t>
      </w:r>
    </w:p>
    <w:p w:rsidR="008D76BF" w:rsidRPr="00C520C4" w:rsidRDefault="008D76BF" w:rsidP="00E12B4A">
      <w:pPr>
        <w:pStyle w:val="ListParagraph"/>
        <w:numPr>
          <w:ilvl w:val="0"/>
          <w:numId w:val="12"/>
        </w:numPr>
        <w:suppressLineNumbers/>
        <w:tabs>
          <w:tab w:val="left" w:pos="720"/>
        </w:tabs>
        <w:suppressAutoHyphens/>
        <w:kinsoku w:val="0"/>
        <w:overflowPunct w:val="0"/>
        <w:autoSpaceDE w:val="0"/>
        <w:autoSpaceDN w:val="0"/>
        <w:spacing w:before="0"/>
        <w:rPr>
          <w:rFonts w:eastAsia="Times New Roman"/>
          <w:snapToGrid w:val="0"/>
          <w:kern w:val="22"/>
          <w:lang w:eastAsia="zh-CN"/>
        </w:rPr>
      </w:pPr>
      <w:r w:rsidRPr="00C520C4">
        <w:rPr>
          <w:rFonts w:ascii="SimSun" w:eastAsia="SimSun" w:hAnsi="SimSun" w:cs="SimSun" w:hint="eastAsia"/>
          <w:snapToGrid w:val="0"/>
          <w:kern w:val="22"/>
          <w:lang w:eastAsia="zh-CN"/>
        </w:rPr>
        <w:t>第一</w:t>
      </w:r>
      <w:r>
        <w:rPr>
          <w:rFonts w:ascii="SimSun" w:eastAsia="SimSun" w:hAnsi="SimSun" w:cs="SimSun" w:hint="eastAsia"/>
          <w:snapToGrid w:val="0"/>
          <w:kern w:val="22"/>
          <w:lang w:eastAsia="zh-CN"/>
        </w:rPr>
        <w:t>类</w:t>
      </w:r>
      <w:r w:rsidRPr="00C520C4">
        <w:rPr>
          <w:rFonts w:ascii="SimSun" w:eastAsia="SimSun" w:hAnsi="SimSun" w:cs="SimSun" w:hint="eastAsia"/>
          <w:snapToGrid w:val="0"/>
          <w:kern w:val="22"/>
          <w:lang w:eastAsia="zh-CN"/>
        </w:rPr>
        <w:t>铜奖：摩洛哥</w:t>
      </w:r>
    </w:p>
    <w:p w:rsidR="008D76BF" w:rsidRPr="00C520C4" w:rsidRDefault="008D76BF" w:rsidP="00E12B4A">
      <w:pPr>
        <w:pStyle w:val="ListParagraph"/>
        <w:numPr>
          <w:ilvl w:val="0"/>
          <w:numId w:val="12"/>
        </w:numPr>
        <w:suppressLineNumbers/>
        <w:tabs>
          <w:tab w:val="left" w:pos="720"/>
        </w:tabs>
        <w:suppressAutoHyphens/>
        <w:kinsoku w:val="0"/>
        <w:overflowPunct w:val="0"/>
        <w:autoSpaceDE w:val="0"/>
        <w:autoSpaceDN w:val="0"/>
        <w:spacing w:before="0"/>
        <w:rPr>
          <w:rFonts w:eastAsia="Times New Roman"/>
          <w:snapToGrid w:val="0"/>
          <w:kern w:val="22"/>
          <w:lang w:eastAsia="zh-CN"/>
        </w:rPr>
      </w:pPr>
      <w:r w:rsidRPr="00C520C4">
        <w:rPr>
          <w:rFonts w:ascii="SimSun" w:eastAsia="SimSun" w:hAnsi="SimSun" w:cs="SimSun" w:hint="eastAsia"/>
          <w:snapToGrid w:val="0"/>
          <w:kern w:val="22"/>
          <w:lang w:eastAsia="zh-CN"/>
        </w:rPr>
        <w:t>特别嘉奖并获成就证书：加拿大、危地马拉、洪都拉斯和马来西亚</w:t>
      </w:r>
    </w:p>
    <w:p w:rsidR="008D76BF" w:rsidRDefault="008D76BF" w:rsidP="008640E9">
      <w:pPr>
        <w:pStyle w:val="Para1"/>
        <w:keepNext/>
        <w:keepLines/>
        <w:tabs>
          <w:tab w:val="clear" w:pos="360"/>
        </w:tabs>
        <w:spacing w:before="0" w:after="0"/>
        <w:ind w:firstLine="0"/>
        <w:jc w:val="center"/>
        <w:rPr>
          <w:rFonts w:ascii="SimSun" w:hAnsi="SimSun"/>
          <w:sz w:val="24"/>
          <w:lang w:eastAsia="zh-CN"/>
        </w:rPr>
      </w:pPr>
      <w:r w:rsidRPr="003135E7">
        <w:rPr>
          <w:rFonts w:ascii="SimSun" w:hAnsi="SimSun"/>
          <w:sz w:val="24"/>
          <w:lang w:eastAsia="zh-CN"/>
        </w:rPr>
        <w:t>____________</w:t>
      </w:r>
    </w:p>
    <w:sectPr w:rsidR="008D76BF" w:rsidSect="002D379A">
      <w:endnotePr>
        <w:numFmt w:val="decimal"/>
      </w:endnotePr>
      <w:pgSz w:w="12242" w:h="15842" w:code="1"/>
      <w:pgMar w:top="1077" w:right="1043" w:bottom="1140" w:left="1440" w:header="459"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6BF" w:rsidRDefault="009E06BF">
      <w:r>
        <w:separator/>
      </w:r>
    </w:p>
  </w:endnote>
  <w:endnote w:type="continuationSeparator" w:id="0">
    <w:p w:rsidR="009E06BF" w:rsidRDefault="009E06B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KaiTi">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ngXian">
    <w:altName w:val="SimSun"/>
    <w:panose1 w:val="00000000000000000000"/>
    <w:charset w:val="86"/>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0"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khbar MT">
    <w:altName w:val="Times New Roman"/>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Univers">
    <w:altName w:val="Arial"/>
    <w:charset w:val="00"/>
    <w:family w:val="swiss"/>
    <w:pitch w:val="variable"/>
    <w:sig w:usb0="80000287" w:usb1="00000000" w:usb2="00000000" w:usb3="00000000" w:csb0="0000000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imes Regular">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Liberation Serif">
    <w:altName w:val="Times New Roman"/>
    <w:charset w:val="00"/>
    <w:family w:val="roman"/>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DaunPenh">
    <w:panose1 w:val="01010101010101010101"/>
    <w:charset w:val="00"/>
    <w:family w:val="auto"/>
    <w:pitch w:val="variable"/>
    <w:sig w:usb0="00000003" w:usb1="00000000" w:usb2="0001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Roboto">
    <w:altName w:val="Arial"/>
    <w:charset w:val="00"/>
    <w:family w:val="auto"/>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楷体">
    <w:altName w:val="Arial Unicode MS"/>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0B" w:rsidRDefault="00594C0B" w:rsidP="00772406">
    <w:pPr>
      <w:pStyle w:val="Footer"/>
      <w:tabs>
        <w:tab w:val="clear" w:pos="4320"/>
        <w:tab w:val="clear" w:pos="8640"/>
      </w:tabs>
      <w:ind w:firstLine="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0B" w:rsidRDefault="00594C0B" w:rsidP="00772406">
    <w:pPr>
      <w:pStyle w:val="Footer"/>
      <w:tabs>
        <w:tab w:val="clear" w:pos="4320"/>
        <w:tab w:val="clear" w:pos="8640"/>
      </w:tabs>
      <w:ind w:firstLine="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0B" w:rsidRPr="00EC6497" w:rsidRDefault="00594C0B" w:rsidP="00772406">
    <w:pPr>
      <w:pStyle w:val="Footer"/>
      <w:tabs>
        <w:tab w:val="clear" w:pos="4320"/>
        <w:tab w:val="clear" w:pos="8640"/>
      </w:tabs>
      <w:ind w:firstLine="0"/>
      <w:rPr>
        <w:kern w:val="22"/>
        <w:szCs w:val="2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0B" w:rsidRPr="00EC6497" w:rsidRDefault="00594C0B" w:rsidP="00772406">
    <w:pPr>
      <w:pStyle w:val="Footer"/>
      <w:tabs>
        <w:tab w:val="clear" w:pos="4320"/>
        <w:tab w:val="clear" w:pos="8640"/>
      </w:tabs>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6BF" w:rsidRDefault="009E06BF">
      <w:r>
        <w:separator/>
      </w:r>
    </w:p>
  </w:footnote>
  <w:footnote w:type="continuationSeparator" w:id="0">
    <w:p w:rsidR="009E06BF" w:rsidRDefault="009E06BF">
      <w:r>
        <w:continuationSeparator/>
      </w:r>
    </w:p>
  </w:footnote>
  <w:footnote w:id="1">
    <w:p w:rsidR="00594C0B" w:rsidRPr="00650F1F" w:rsidRDefault="00594C0B" w:rsidP="00650F1F">
      <w:pPr>
        <w:pStyle w:val="FootnoteText"/>
        <w:tabs>
          <w:tab w:val="left" w:pos="360"/>
        </w:tabs>
        <w:adjustRightInd w:val="0"/>
        <w:snapToGrid w:val="0"/>
        <w:spacing w:before="0"/>
        <w:ind w:firstLine="0"/>
        <w:jc w:val="left"/>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第</w:t>
      </w:r>
      <w:hyperlink r:id="rId1" w:history="1">
        <w:r w:rsidRPr="00650F1F">
          <w:rPr>
            <w:rStyle w:val="Hyperlink"/>
            <w:rFonts w:eastAsiaTheme="minorEastAsia"/>
            <w:sz w:val="20"/>
            <w:szCs w:val="20"/>
            <w:lang w:eastAsia="zh-CN"/>
          </w:rPr>
          <w:t>X/2</w:t>
        </w:r>
      </w:hyperlink>
      <w:r w:rsidRPr="00650F1F">
        <w:rPr>
          <w:rFonts w:eastAsiaTheme="minorEastAsia"/>
          <w:sz w:val="20"/>
          <w:szCs w:val="20"/>
          <w:lang w:eastAsia="zh-CN"/>
        </w:rPr>
        <w:t>号决定。</w:t>
      </w:r>
    </w:p>
  </w:footnote>
  <w:footnote w:id="2">
    <w:p w:rsidR="00594C0B" w:rsidRPr="00650F1F" w:rsidRDefault="00594C0B" w:rsidP="00650F1F">
      <w:pPr>
        <w:pStyle w:val="FootnoteText"/>
        <w:tabs>
          <w:tab w:val="left" w:pos="360"/>
        </w:tabs>
        <w:adjustRightInd w:val="0"/>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见联合国大会题为</w:t>
      </w:r>
      <w:r w:rsidRPr="005C1755">
        <w:rPr>
          <w:rFonts w:asciiTheme="minorEastAsia" w:eastAsiaTheme="minorEastAsia" w:hAnsiTheme="minorEastAsia"/>
          <w:sz w:val="20"/>
          <w:szCs w:val="20"/>
          <w:lang w:eastAsia="zh-CN"/>
        </w:rPr>
        <w:t>“</w:t>
      </w:r>
      <w:r w:rsidRPr="00650F1F">
        <w:rPr>
          <w:rFonts w:eastAsiaTheme="minorEastAsia"/>
          <w:sz w:val="20"/>
          <w:szCs w:val="20"/>
          <w:lang w:eastAsia="zh-CN"/>
        </w:rPr>
        <w:t>改变我们的世界：</w:t>
      </w:r>
      <w:r w:rsidRPr="00650F1F">
        <w:rPr>
          <w:rFonts w:eastAsiaTheme="minorEastAsia"/>
          <w:sz w:val="20"/>
          <w:szCs w:val="20"/>
          <w:lang w:eastAsia="zh-CN"/>
        </w:rPr>
        <w:t>2030</w:t>
      </w:r>
      <w:r w:rsidRPr="00650F1F">
        <w:rPr>
          <w:rFonts w:eastAsiaTheme="minorEastAsia"/>
          <w:sz w:val="20"/>
          <w:szCs w:val="20"/>
          <w:lang w:eastAsia="zh-CN"/>
        </w:rPr>
        <w:t>年可持续发展议程</w:t>
      </w:r>
      <w:r w:rsidRPr="005C1755">
        <w:rPr>
          <w:rFonts w:asciiTheme="minorEastAsia" w:eastAsiaTheme="minorEastAsia" w:hAnsiTheme="minorEastAsia"/>
          <w:sz w:val="20"/>
          <w:szCs w:val="20"/>
          <w:lang w:eastAsia="zh-CN"/>
        </w:rPr>
        <w:t>”的第</w:t>
      </w:r>
      <w:hyperlink r:id="rId2" w:history="1">
        <w:r w:rsidRPr="00650F1F">
          <w:rPr>
            <w:rStyle w:val="Hyperlink"/>
            <w:rFonts w:eastAsiaTheme="minorEastAsia"/>
            <w:sz w:val="20"/>
            <w:szCs w:val="20"/>
            <w:lang w:eastAsia="zh-CN"/>
          </w:rPr>
          <w:t>70/1</w:t>
        </w:r>
      </w:hyperlink>
      <w:r w:rsidRPr="00650F1F">
        <w:rPr>
          <w:rFonts w:eastAsiaTheme="minorEastAsia"/>
          <w:sz w:val="20"/>
          <w:szCs w:val="20"/>
          <w:lang w:eastAsia="zh-CN"/>
        </w:rPr>
        <w:t>号决议。</w:t>
      </w:r>
    </w:p>
  </w:footnote>
  <w:footnote w:id="3">
    <w:p w:rsidR="00594C0B" w:rsidRPr="00650F1F" w:rsidRDefault="00594C0B" w:rsidP="00650F1F">
      <w:pPr>
        <w:pStyle w:val="FootnoteText"/>
        <w:tabs>
          <w:tab w:val="left" w:pos="360"/>
        </w:tabs>
        <w:adjustRightInd w:val="0"/>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rPr>
        <w:t xml:space="preserve"> </w:t>
      </w:r>
      <w:r w:rsidRPr="00650F1F">
        <w:rPr>
          <w:rFonts w:eastAsiaTheme="minorEastAsia"/>
          <w:bCs/>
          <w:sz w:val="20"/>
          <w:szCs w:val="20"/>
        </w:rPr>
        <w:tab/>
      </w:r>
      <w:r w:rsidRPr="00650F1F">
        <w:rPr>
          <w:rFonts w:eastAsiaTheme="minorEastAsia"/>
          <w:sz w:val="20"/>
          <w:szCs w:val="20"/>
        </w:rPr>
        <w:t>CBD/COP/14/5</w:t>
      </w:r>
      <w:r w:rsidRPr="00650F1F">
        <w:rPr>
          <w:rStyle w:val="Hyperlink"/>
          <w:rFonts w:eastAsiaTheme="minorEastAsia"/>
          <w:bCs/>
          <w:kern w:val="18"/>
          <w:sz w:val="20"/>
          <w:szCs w:val="20"/>
          <w:u w:val="none"/>
          <w:lang w:eastAsia="zh-CN"/>
        </w:rPr>
        <w:t>、</w:t>
      </w:r>
      <w:r w:rsidRPr="00650F1F">
        <w:rPr>
          <w:rFonts w:eastAsiaTheme="minorEastAsia"/>
          <w:sz w:val="20"/>
          <w:szCs w:val="20"/>
        </w:rPr>
        <w:t>Add.1</w:t>
      </w:r>
      <w:r w:rsidRPr="00650F1F">
        <w:rPr>
          <w:rFonts w:eastAsiaTheme="minorEastAsia"/>
          <w:sz w:val="20"/>
          <w:szCs w:val="20"/>
          <w:lang w:eastAsia="zh-CN"/>
        </w:rPr>
        <w:t>和</w:t>
      </w:r>
      <w:r w:rsidRPr="00650F1F">
        <w:rPr>
          <w:rFonts w:eastAsiaTheme="minorEastAsia"/>
          <w:sz w:val="20"/>
        </w:rPr>
        <w:t>Add.2</w:t>
      </w:r>
      <w:r w:rsidRPr="00650F1F">
        <w:rPr>
          <w:rFonts w:eastAsiaTheme="minorEastAsia"/>
          <w:kern w:val="18"/>
          <w:sz w:val="20"/>
          <w:szCs w:val="20"/>
          <w:lang w:eastAsia="zh-CN"/>
        </w:rPr>
        <w:t>。</w:t>
      </w:r>
    </w:p>
  </w:footnote>
  <w:footnote w:id="4">
    <w:p w:rsidR="00594C0B" w:rsidRPr="00650F1F" w:rsidRDefault="00594C0B" w:rsidP="00650F1F">
      <w:pPr>
        <w:pStyle w:val="FootnoteText"/>
        <w:tabs>
          <w:tab w:val="left" w:pos="360"/>
        </w:tabs>
        <w:snapToGrid w:val="0"/>
        <w:spacing w:before="0"/>
        <w:ind w:firstLine="0"/>
        <w:rPr>
          <w:rFonts w:eastAsiaTheme="minorEastAsia"/>
          <w:sz w:val="20"/>
          <w:szCs w:val="20"/>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rPr>
        <w:t xml:space="preserve">  </w:t>
      </w:r>
      <w:r w:rsidRPr="00650F1F">
        <w:rPr>
          <w:rFonts w:eastAsiaTheme="minorEastAsia"/>
          <w:sz w:val="20"/>
          <w:szCs w:val="20"/>
          <w:lang w:eastAsia="zh-CN"/>
        </w:rPr>
        <w:tab/>
      </w:r>
      <w:r w:rsidRPr="00650F1F">
        <w:rPr>
          <w:rFonts w:eastAsiaTheme="minorEastAsia"/>
          <w:sz w:val="20"/>
          <w:szCs w:val="20"/>
          <w:lang w:eastAsia="zh-CN"/>
        </w:rPr>
        <w:t>另见：</w:t>
      </w:r>
      <w:r w:rsidRPr="00650F1F">
        <w:rPr>
          <w:rFonts w:eastAsiaTheme="minorEastAsia"/>
          <w:sz w:val="20"/>
          <w:szCs w:val="20"/>
          <w:lang w:eastAsia="zh-CN"/>
        </w:rPr>
        <w:t>CBD/SBSTTA/22/INF/10</w:t>
      </w:r>
      <w:r w:rsidRPr="00650F1F">
        <w:rPr>
          <w:rFonts w:eastAsiaTheme="minorEastAsia"/>
          <w:sz w:val="20"/>
          <w:szCs w:val="20"/>
          <w:lang w:eastAsia="zh-CN"/>
        </w:rPr>
        <w:t>、</w:t>
      </w:r>
      <w:r w:rsidRPr="00650F1F">
        <w:rPr>
          <w:rFonts w:eastAsiaTheme="minorEastAsia"/>
          <w:sz w:val="20"/>
          <w:szCs w:val="20"/>
          <w:lang w:eastAsia="zh-CN"/>
        </w:rPr>
        <w:t>INF/22</w:t>
      </w:r>
      <w:r w:rsidRPr="00650F1F">
        <w:rPr>
          <w:rFonts w:eastAsiaTheme="minorEastAsia"/>
          <w:sz w:val="20"/>
          <w:szCs w:val="20"/>
          <w:lang w:eastAsia="zh-CN"/>
        </w:rPr>
        <w:t>、</w:t>
      </w:r>
      <w:r w:rsidRPr="00650F1F">
        <w:rPr>
          <w:rFonts w:eastAsiaTheme="minorEastAsia"/>
          <w:sz w:val="20"/>
          <w:szCs w:val="20"/>
          <w:lang w:eastAsia="zh-CN"/>
        </w:rPr>
        <w:t>IN</w:t>
      </w:r>
      <w:r w:rsidRPr="00650F1F">
        <w:rPr>
          <w:rFonts w:eastAsiaTheme="minorEastAsia"/>
          <w:sz w:val="20"/>
          <w:szCs w:val="20"/>
        </w:rPr>
        <w:t>F/23</w:t>
      </w:r>
      <w:r w:rsidRPr="00650F1F">
        <w:rPr>
          <w:rFonts w:eastAsiaTheme="minorEastAsia"/>
          <w:sz w:val="20"/>
          <w:szCs w:val="20"/>
          <w:lang w:eastAsia="zh-CN"/>
        </w:rPr>
        <w:t>、</w:t>
      </w:r>
      <w:r w:rsidRPr="00650F1F">
        <w:rPr>
          <w:rFonts w:eastAsiaTheme="minorEastAsia"/>
          <w:sz w:val="20"/>
          <w:szCs w:val="20"/>
        </w:rPr>
        <w:t>INF/26</w:t>
      </w:r>
      <w:r w:rsidRPr="00650F1F">
        <w:rPr>
          <w:rFonts w:eastAsiaTheme="minorEastAsia"/>
          <w:sz w:val="20"/>
          <w:szCs w:val="20"/>
          <w:lang w:eastAsia="zh-CN"/>
        </w:rPr>
        <w:t>、</w:t>
      </w:r>
      <w:r w:rsidRPr="00650F1F">
        <w:rPr>
          <w:rFonts w:eastAsiaTheme="minorEastAsia"/>
          <w:sz w:val="20"/>
          <w:szCs w:val="20"/>
        </w:rPr>
        <w:t>INF/30</w:t>
      </w:r>
      <w:r w:rsidRPr="00650F1F">
        <w:rPr>
          <w:rFonts w:eastAsiaTheme="minorEastAsia"/>
          <w:sz w:val="20"/>
          <w:szCs w:val="20"/>
          <w:lang w:eastAsia="zh-CN"/>
        </w:rPr>
        <w:t>、</w:t>
      </w:r>
      <w:r w:rsidRPr="00650F1F">
        <w:rPr>
          <w:rFonts w:eastAsiaTheme="minorEastAsia"/>
          <w:sz w:val="20"/>
          <w:szCs w:val="20"/>
        </w:rPr>
        <w:t>INF/31</w:t>
      </w:r>
      <w:r w:rsidRPr="00650F1F">
        <w:rPr>
          <w:rFonts w:eastAsiaTheme="minorEastAsia"/>
          <w:sz w:val="20"/>
          <w:szCs w:val="20"/>
          <w:lang w:eastAsia="zh-CN"/>
        </w:rPr>
        <w:t>、</w:t>
      </w:r>
      <w:r w:rsidRPr="00650F1F">
        <w:rPr>
          <w:rFonts w:eastAsiaTheme="minorEastAsia"/>
          <w:sz w:val="20"/>
          <w:szCs w:val="20"/>
        </w:rPr>
        <w:t>INF/32</w:t>
      </w:r>
      <w:r w:rsidRPr="00650F1F">
        <w:rPr>
          <w:rFonts w:eastAsiaTheme="minorEastAsia"/>
          <w:sz w:val="20"/>
          <w:szCs w:val="20"/>
          <w:lang w:eastAsia="zh-CN"/>
        </w:rPr>
        <w:t>、</w:t>
      </w:r>
      <w:r w:rsidRPr="00650F1F">
        <w:rPr>
          <w:rFonts w:eastAsiaTheme="minorEastAsia"/>
          <w:sz w:val="20"/>
          <w:szCs w:val="20"/>
        </w:rPr>
        <w:t>INF/34</w:t>
      </w:r>
      <w:r w:rsidRPr="00650F1F">
        <w:rPr>
          <w:rFonts w:eastAsiaTheme="minorEastAsia"/>
          <w:sz w:val="20"/>
          <w:szCs w:val="20"/>
          <w:lang w:eastAsia="zh-CN"/>
        </w:rPr>
        <w:t>和</w:t>
      </w:r>
      <w:r w:rsidRPr="00650F1F">
        <w:rPr>
          <w:rFonts w:eastAsiaTheme="minorEastAsia"/>
          <w:sz w:val="20"/>
          <w:szCs w:val="20"/>
        </w:rPr>
        <w:t>INF/35</w:t>
      </w:r>
      <w:r w:rsidRPr="00650F1F">
        <w:rPr>
          <w:rFonts w:eastAsiaTheme="minorEastAsia"/>
          <w:sz w:val="20"/>
          <w:szCs w:val="20"/>
          <w:lang w:eastAsia="zh-CN"/>
        </w:rPr>
        <w:t>。</w:t>
      </w:r>
    </w:p>
  </w:footnote>
  <w:footnote w:id="5">
    <w:p w:rsidR="00594C0B" w:rsidRPr="00650F1F" w:rsidRDefault="00594C0B" w:rsidP="00650F1F">
      <w:pPr>
        <w:pStyle w:val="FootnoteText"/>
        <w:tabs>
          <w:tab w:val="left" w:pos="360"/>
        </w:tabs>
        <w:snapToGrid w:val="0"/>
        <w:spacing w:before="0"/>
        <w:ind w:firstLine="0"/>
        <w:rPr>
          <w:rFonts w:eastAsiaTheme="minorEastAsia"/>
          <w:sz w:val="20"/>
          <w:szCs w:val="20"/>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rPr>
        <w:t xml:space="preserve">  </w:t>
      </w:r>
      <w:r w:rsidRPr="00650F1F">
        <w:rPr>
          <w:rFonts w:eastAsiaTheme="minorEastAsia"/>
          <w:sz w:val="20"/>
          <w:szCs w:val="20"/>
        </w:rPr>
        <w:tab/>
      </w:r>
      <w:r w:rsidRPr="00650F1F">
        <w:rPr>
          <w:rFonts w:eastAsiaTheme="minorEastAsia"/>
          <w:iCs/>
          <w:snapToGrid w:val="0"/>
          <w:kern w:val="22"/>
          <w:sz w:val="20"/>
          <w:szCs w:val="20"/>
          <w:lang w:eastAsia="zh-CN"/>
        </w:rPr>
        <w:t>CBD/SBSTTA/22</w:t>
      </w:r>
      <w:r w:rsidRPr="00650F1F">
        <w:rPr>
          <w:rFonts w:eastAsiaTheme="minorEastAsia"/>
          <w:iCs/>
          <w:snapToGrid w:val="0"/>
          <w:kern w:val="22"/>
          <w:sz w:val="20"/>
          <w:szCs w:val="20"/>
          <w:lang w:eastAsia="zh-CN"/>
        </w:rPr>
        <w:t>，</w:t>
      </w:r>
      <w:r w:rsidRPr="00650F1F">
        <w:rPr>
          <w:rFonts w:eastAsiaTheme="minorEastAsia"/>
          <w:iCs/>
          <w:snapToGrid w:val="0"/>
          <w:kern w:val="22"/>
          <w:sz w:val="20"/>
          <w:szCs w:val="20"/>
          <w:lang w:val="fr-FR" w:eastAsia="zh-CN"/>
        </w:rPr>
        <w:t>附件一。</w:t>
      </w:r>
    </w:p>
  </w:footnote>
  <w:footnote w:id="6">
    <w:p w:rsidR="00594C0B" w:rsidRPr="00650F1F" w:rsidRDefault="00594C0B" w:rsidP="00650F1F">
      <w:pPr>
        <w:pStyle w:val="FootnoteText"/>
        <w:tabs>
          <w:tab w:val="left" w:pos="360"/>
        </w:tabs>
        <w:snapToGrid w:val="0"/>
        <w:spacing w:before="0"/>
        <w:ind w:firstLine="0"/>
        <w:rPr>
          <w:rFonts w:eastAsiaTheme="minorEastAsia"/>
          <w:sz w:val="20"/>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rPr>
        <w:t xml:space="preserve"> </w:t>
      </w:r>
      <w:r w:rsidRPr="00650F1F">
        <w:rPr>
          <w:rFonts w:eastAsiaTheme="minorEastAsia"/>
          <w:sz w:val="20"/>
          <w:szCs w:val="20"/>
        </w:rPr>
        <w:tab/>
      </w:r>
      <w:r w:rsidRPr="00650F1F">
        <w:rPr>
          <w:rFonts w:eastAsiaTheme="minorEastAsia"/>
          <w:sz w:val="20"/>
          <w:szCs w:val="20"/>
          <w:lang w:val="en-US"/>
        </w:rPr>
        <w:t>CBD/COP/14/5</w:t>
      </w:r>
      <w:r w:rsidRPr="00650F1F">
        <w:rPr>
          <w:rFonts w:eastAsiaTheme="minorEastAsia"/>
          <w:sz w:val="20"/>
          <w:szCs w:val="20"/>
          <w:lang w:val="en-US" w:eastAsia="zh-CN"/>
        </w:rPr>
        <w:t>、</w:t>
      </w:r>
      <w:r w:rsidRPr="00650F1F">
        <w:rPr>
          <w:rFonts w:eastAsiaTheme="minorEastAsia"/>
          <w:sz w:val="20"/>
          <w:szCs w:val="20"/>
          <w:lang w:val="en-US" w:eastAsia="zh-CN"/>
        </w:rPr>
        <w:t>Add.1</w:t>
      </w:r>
      <w:r w:rsidRPr="00650F1F">
        <w:rPr>
          <w:rFonts w:eastAsiaTheme="minorEastAsia"/>
          <w:sz w:val="20"/>
          <w:szCs w:val="20"/>
          <w:lang w:val="en-US" w:eastAsia="zh-CN"/>
        </w:rPr>
        <w:t>和</w:t>
      </w:r>
      <w:r w:rsidRPr="00650F1F">
        <w:rPr>
          <w:rFonts w:eastAsiaTheme="minorEastAsia"/>
          <w:sz w:val="20"/>
          <w:szCs w:val="20"/>
          <w:lang w:val="en-US"/>
        </w:rPr>
        <w:t>Add.2</w:t>
      </w:r>
      <w:r w:rsidRPr="00650F1F">
        <w:rPr>
          <w:rFonts w:eastAsiaTheme="minorEastAsia"/>
          <w:sz w:val="20"/>
          <w:szCs w:val="20"/>
          <w:lang w:val="en-US" w:eastAsia="zh-CN"/>
        </w:rPr>
        <w:t>。</w:t>
      </w:r>
    </w:p>
  </w:footnote>
  <w:footnote w:id="7">
    <w:p w:rsidR="00594C0B" w:rsidRPr="00650F1F" w:rsidRDefault="00594C0B" w:rsidP="00650F1F">
      <w:pPr>
        <w:pStyle w:val="FootnoteText"/>
        <w:tabs>
          <w:tab w:val="left" w:pos="360"/>
        </w:tabs>
        <w:snapToGrid w:val="0"/>
        <w:spacing w:before="0"/>
        <w:ind w:firstLine="0"/>
        <w:rPr>
          <w:rFonts w:eastAsiaTheme="minorEastAsia"/>
          <w:sz w:val="20"/>
        </w:rPr>
      </w:pPr>
      <w:r w:rsidRPr="00650F1F">
        <w:rPr>
          <w:rStyle w:val="FootnoteReference"/>
          <w:rFonts w:eastAsiaTheme="minorEastAsia"/>
          <w:sz w:val="24"/>
          <w:szCs w:val="18"/>
          <w:u w:val="none"/>
          <w:vertAlign w:val="superscript"/>
        </w:rPr>
        <w:footnoteRef/>
      </w:r>
      <w:r w:rsidRPr="00650F1F">
        <w:rPr>
          <w:rStyle w:val="FootnoteReference"/>
          <w:rFonts w:eastAsiaTheme="minorEastAsia"/>
          <w:sz w:val="24"/>
          <w:szCs w:val="18"/>
          <w:u w:val="none"/>
          <w:vertAlign w:val="superscript"/>
        </w:rPr>
        <w:t xml:space="preserve"> </w:t>
      </w:r>
      <w:r w:rsidRPr="00650F1F">
        <w:rPr>
          <w:rFonts w:eastAsiaTheme="minorEastAsia"/>
          <w:sz w:val="20"/>
          <w:szCs w:val="18"/>
          <w:lang w:eastAsia="zh-CN"/>
        </w:rPr>
        <w:t xml:space="preserve"> </w:t>
      </w:r>
      <w:r w:rsidRPr="00650F1F">
        <w:rPr>
          <w:rFonts w:eastAsiaTheme="minorEastAsia"/>
          <w:sz w:val="20"/>
          <w:szCs w:val="18"/>
          <w:lang w:eastAsia="zh-CN"/>
        </w:rPr>
        <w:tab/>
        <w:t>CBD/SBSTTA/22/INF/10</w:t>
      </w:r>
      <w:r w:rsidRPr="00650F1F">
        <w:rPr>
          <w:rFonts w:eastAsiaTheme="minorEastAsia"/>
          <w:sz w:val="20"/>
          <w:szCs w:val="18"/>
          <w:lang w:eastAsia="zh-CN"/>
        </w:rPr>
        <w:t>。</w:t>
      </w:r>
    </w:p>
  </w:footnote>
  <w:footnote w:id="8">
    <w:p w:rsidR="00594C0B" w:rsidRPr="00650F1F" w:rsidRDefault="00594C0B" w:rsidP="00650F1F">
      <w:pPr>
        <w:pStyle w:val="FootnoteText"/>
        <w:tabs>
          <w:tab w:val="left" w:pos="360"/>
        </w:tabs>
        <w:snapToGrid w:val="0"/>
        <w:spacing w:before="0"/>
        <w:ind w:firstLine="0"/>
        <w:rPr>
          <w:rFonts w:eastAsiaTheme="minorEastAsia"/>
          <w:sz w:val="20"/>
        </w:rPr>
      </w:pPr>
      <w:r w:rsidRPr="00650F1F">
        <w:rPr>
          <w:rStyle w:val="FootnoteReference"/>
          <w:rFonts w:eastAsiaTheme="minorEastAsia"/>
          <w:sz w:val="24"/>
          <w:szCs w:val="18"/>
          <w:u w:val="none"/>
          <w:vertAlign w:val="superscript"/>
        </w:rPr>
        <w:footnoteRef/>
      </w:r>
      <w:r w:rsidRPr="00650F1F">
        <w:rPr>
          <w:rStyle w:val="FootnoteReference"/>
          <w:rFonts w:eastAsiaTheme="minorEastAsia"/>
          <w:sz w:val="24"/>
          <w:szCs w:val="18"/>
          <w:u w:val="none"/>
          <w:vertAlign w:val="superscript"/>
        </w:rPr>
        <w:t xml:space="preserve"> </w:t>
      </w:r>
      <w:r w:rsidRPr="00650F1F">
        <w:rPr>
          <w:rStyle w:val="FootnoteReference"/>
          <w:rFonts w:eastAsiaTheme="minorEastAsia"/>
          <w:sz w:val="24"/>
          <w:szCs w:val="18"/>
          <w:u w:val="none"/>
          <w:vertAlign w:val="superscript"/>
          <w:lang w:eastAsia="zh-CN"/>
        </w:rPr>
        <w:t xml:space="preserve"> </w:t>
      </w:r>
      <w:r w:rsidRPr="00650F1F">
        <w:rPr>
          <w:rFonts w:eastAsiaTheme="minorEastAsia"/>
          <w:sz w:val="20"/>
          <w:szCs w:val="18"/>
          <w:lang w:eastAsia="zh-CN"/>
        </w:rPr>
        <w:tab/>
      </w:r>
      <w:r w:rsidRPr="00650F1F">
        <w:rPr>
          <w:rFonts w:eastAsiaTheme="minorEastAsia"/>
          <w:sz w:val="20"/>
          <w:szCs w:val="18"/>
          <w:lang w:val="en-US" w:eastAsia="zh-CN"/>
        </w:rPr>
        <w:t>CBD/SBSTTA/22/INF/10</w:t>
      </w:r>
      <w:r w:rsidRPr="00650F1F">
        <w:rPr>
          <w:rFonts w:eastAsiaTheme="minorEastAsia"/>
          <w:sz w:val="20"/>
          <w:szCs w:val="18"/>
          <w:lang w:val="en-US" w:eastAsia="zh-CN"/>
        </w:rPr>
        <w:t>，</w:t>
      </w:r>
      <w:r w:rsidRPr="00650F1F">
        <w:rPr>
          <w:rFonts w:eastAsiaTheme="minorEastAsia"/>
          <w:sz w:val="20"/>
          <w:szCs w:val="18"/>
          <w:lang w:eastAsia="zh-CN"/>
        </w:rPr>
        <w:t>附件。</w:t>
      </w:r>
    </w:p>
  </w:footnote>
  <w:footnote w:id="9">
    <w:p w:rsidR="00594C0B" w:rsidRPr="00650F1F" w:rsidRDefault="00594C0B" w:rsidP="00650F1F">
      <w:pPr>
        <w:pStyle w:val="FootnoteText"/>
        <w:tabs>
          <w:tab w:val="left" w:pos="360"/>
        </w:tabs>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z w:val="20"/>
          <w:szCs w:val="20"/>
          <w:lang w:val="en-US" w:eastAsia="zh-CN"/>
        </w:rPr>
        <w:tab/>
      </w:r>
      <w:r w:rsidRPr="00650F1F">
        <w:rPr>
          <w:rFonts w:eastAsiaTheme="minorEastAsia"/>
          <w:sz w:val="20"/>
          <w:szCs w:val="20"/>
          <w:lang w:eastAsia="zh-CN"/>
        </w:rPr>
        <w:t>见关于建立能力在政府间科学政策平台进行国家生态系统评估的全球启动和能力建设会议的报告（</w:t>
      </w:r>
      <w:r w:rsidRPr="00650F1F">
        <w:rPr>
          <w:rFonts w:eastAsiaTheme="minorEastAsia"/>
          <w:sz w:val="20"/>
          <w:szCs w:val="20"/>
          <w:lang w:eastAsia="zh-CN"/>
        </w:rPr>
        <w:t>2017</w:t>
      </w:r>
      <w:r w:rsidRPr="00650F1F">
        <w:rPr>
          <w:rFonts w:eastAsiaTheme="minorEastAsia"/>
          <w:sz w:val="20"/>
          <w:szCs w:val="20"/>
          <w:lang w:eastAsia="zh-CN"/>
        </w:rPr>
        <w:t>年</w:t>
      </w:r>
      <w:r w:rsidRPr="00650F1F">
        <w:rPr>
          <w:rFonts w:eastAsiaTheme="minorEastAsia"/>
          <w:sz w:val="20"/>
          <w:szCs w:val="20"/>
          <w:lang w:eastAsia="zh-CN"/>
        </w:rPr>
        <w:t>7</w:t>
      </w:r>
      <w:r w:rsidRPr="00650F1F">
        <w:rPr>
          <w:rFonts w:eastAsiaTheme="minorEastAsia"/>
          <w:sz w:val="20"/>
          <w:szCs w:val="20"/>
          <w:lang w:eastAsia="zh-CN"/>
        </w:rPr>
        <w:t>月，喀麦隆克里比）</w:t>
      </w:r>
      <w:r w:rsidRPr="00650F1F">
        <w:rPr>
          <w:rFonts w:eastAsiaTheme="minorEastAsia"/>
          <w:sz w:val="20"/>
          <w:szCs w:val="20"/>
          <w:lang w:val="en-US" w:eastAsia="zh-CN"/>
        </w:rPr>
        <w:t>，</w:t>
      </w:r>
      <w:r w:rsidRPr="00650F1F">
        <w:rPr>
          <w:rFonts w:eastAsiaTheme="minorEastAsia"/>
          <w:sz w:val="20"/>
          <w:szCs w:val="20"/>
          <w:lang w:eastAsia="zh-CN"/>
        </w:rPr>
        <w:t>以及关于</w:t>
      </w:r>
      <w:r w:rsidRPr="00563674">
        <w:rPr>
          <w:rFonts w:asciiTheme="minorEastAsia" w:eastAsiaTheme="minorEastAsia" w:hAnsiTheme="minorEastAsia"/>
          <w:sz w:val="20"/>
          <w:szCs w:val="20"/>
          <w:lang w:val="en-US" w:eastAsia="zh-CN"/>
        </w:rPr>
        <w:t>“</w:t>
      </w:r>
      <w:r w:rsidRPr="00563674">
        <w:rPr>
          <w:rFonts w:asciiTheme="minorEastAsia" w:eastAsiaTheme="minorEastAsia" w:hAnsiTheme="minorEastAsia"/>
          <w:sz w:val="20"/>
          <w:szCs w:val="20"/>
          <w:lang w:eastAsia="zh-CN"/>
        </w:rPr>
        <w:t>通过政府间科学政策平台</w:t>
      </w:r>
      <w:r w:rsidRPr="00563674">
        <w:rPr>
          <w:rFonts w:asciiTheme="minorEastAsia" w:eastAsiaTheme="minorEastAsia" w:hAnsiTheme="minorEastAsia"/>
          <w:sz w:val="20"/>
          <w:szCs w:val="20"/>
          <w:lang w:val="en-US" w:eastAsia="zh-CN"/>
        </w:rPr>
        <w:t>，</w:t>
      </w:r>
      <w:r w:rsidRPr="00563674">
        <w:rPr>
          <w:rFonts w:asciiTheme="minorEastAsia" w:eastAsiaTheme="minorEastAsia" w:hAnsiTheme="minorEastAsia"/>
          <w:sz w:val="20"/>
          <w:szCs w:val="20"/>
          <w:lang w:eastAsia="zh-CN"/>
        </w:rPr>
        <w:t>经开发计划署管理的生物多样性和生态系统服务网络和环境署-养护监测中心主办的全球以下一级评估网络</w:t>
      </w:r>
      <w:r w:rsidRPr="00563674">
        <w:rPr>
          <w:rFonts w:asciiTheme="minorEastAsia" w:eastAsiaTheme="minorEastAsia" w:hAnsiTheme="minorEastAsia"/>
          <w:sz w:val="20"/>
          <w:szCs w:val="20"/>
          <w:lang w:val="en-US" w:eastAsia="zh-CN"/>
        </w:rPr>
        <w:t>，</w:t>
      </w:r>
      <w:r w:rsidRPr="00563674">
        <w:rPr>
          <w:rFonts w:asciiTheme="minorEastAsia" w:eastAsiaTheme="minorEastAsia" w:hAnsiTheme="minorEastAsia"/>
          <w:sz w:val="20"/>
          <w:szCs w:val="20"/>
          <w:lang w:eastAsia="zh-CN"/>
        </w:rPr>
        <w:t>支持发展解决科学政策问题的国家能力</w:t>
      </w:r>
      <w:r w:rsidRPr="00563674">
        <w:rPr>
          <w:rFonts w:asciiTheme="minorEastAsia" w:eastAsiaTheme="minorEastAsia" w:hAnsiTheme="minorEastAsia"/>
          <w:sz w:val="20"/>
          <w:szCs w:val="20"/>
          <w:lang w:val="en-US" w:eastAsia="zh-CN"/>
        </w:rPr>
        <w:t>”</w:t>
      </w:r>
      <w:r w:rsidRPr="00650F1F">
        <w:rPr>
          <w:rFonts w:eastAsiaTheme="minorEastAsia"/>
          <w:sz w:val="20"/>
          <w:szCs w:val="20"/>
          <w:lang w:eastAsia="zh-CN"/>
        </w:rPr>
        <w:t>的项目。</w:t>
      </w:r>
    </w:p>
  </w:footnote>
  <w:footnote w:id="10">
    <w:p w:rsidR="00594C0B" w:rsidRPr="00650F1F" w:rsidRDefault="00594C0B" w:rsidP="00650F1F">
      <w:pPr>
        <w:pStyle w:val="FootnoteText"/>
        <w:tabs>
          <w:tab w:val="left" w:pos="360"/>
        </w:tabs>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第</w:t>
      </w:r>
      <w:r w:rsidRPr="00650F1F">
        <w:rPr>
          <w:rFonts w:eastAsiaTheme="minorEastAsia"/>
          <w:sz w:val="20"/>
          <w:szCs w:val="20"/>
          <w:lang w:val="en-US" w:eastAsia="zh-CN"/>
        </w:rPr>
        <w:t>VIII/23</w:t>
      </w:r>
      <w:r w:rsidRPr="00650F1F">
        <w:rPr>
          <w:rFonts w:eastAsiaTheme="minorEastAsia"/>
          <w:sz w:val="20"/>
          <w:szCs w:val="20"/>
          <w:lang w:eastAsia="zh-CN"/>
        </w:rPr>
        <w:t>号和第</w:t>
      </w:r>
      <w:r w:rsidRPr="00650F1F">
        <w:rPr>
          <w:rFonts w:eastAsiaTheme="minorEastAsia"/>
          <w:sz w:val="20"/>
          <w:szCs w:val="20"/>
          <w:lang w:eastAsia="zh-CN"/>
        </w:rPr>
        <w:t>X/34</w:t>
      </w:r>
      <w:r w:rsidRPr="00650F1F">
        <w:rPr>
          <w:rFonts w:eastAsiaTheme="minorEastAsia"/>
          <w:sz w:val="20"/>
          <w:szCs w:val="20"/>
          <w:lang w:eastAsia="zh-CN"/>
        </w:rPr>
        <w:t>号决定。</w:t>
      </w:r>
    </w:p>
  </w:footnote>
  <w:footnote w:id="11">
    <w:p w:rsidR="00594C0B" w:rsidRPr="00650F1F" w:rsidRDefault="00594C0B" w:rsidP="00650F1F">
      <w:pPr>
        <w:pStyle w:val="FootnoteText"/>
        <w:tabs>
          <w:tab w:val="left" w:pos="360"/>
        </w:tabs>
        <w:snapToGrid w:val="0"/>
        <w:spacing w:before="0"/>
        <w:ind w:firstLine="0"/>
        <w:rPr>
          <w:rFonts w:eastAsiaTheme="minorEastAsia"/>
          <w:sz w:val="20"/>
          <w:szCs w:val="20"/>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rPr>
        <w:t xml:space="preserve"> </w:t>
      </w:r>
      <w:r w:rsidRPr="00650F1F">
        <w:rPr>
          <w:rStyle w:val="FootnoteReference"/>
          <w:rFonts w:eastAsiaTheme="minorEastAsia"/>
          <w:sz w:val="24"/>
          <w:u w:val="none"/>
          <w:vertAlign w:val="superscript"/>
        </w:rPr>
        <w:t xml:space="preserve"> </w:t>
      </w:r>
      <w:r w:rsidRPr="00650F1F">
        <w:rPr>
          <w:rStyle w:val="FootnoteReference"/>
          <w:rFonts w:eastAsiaTheme="minorEastAsia"/>
          <w:sz w:val="24"/>
          <w:u w:val="none"/>
          <w:vertAlign w:val="superscript"/>
        </w:rPr>
        <w:tab/>
      </w:r>
      <w:r w:rsidRPr="00650F1F">
        <w:rPr>
          <w:rFonts w:eastAsiaTheme="minorEastAsia"/>
          <w:sz w:val="20"/>
          <w:szCs w:val="20"/>
          <w:lang w:val="en-US" w:eastAsia="zh-CN"/>
        </w:rPr>
        <w:t>CBD/SBSTTA/22/INF/23</w:t>
      </w:r>
      <w:r w:rsidRPr="00650F1F">
        <w:rPr>
          <w:rFonts w:eastAsiaTheme="minorEastAsia"/>
          <w:sz w:val="20"/>
          <w:szCs w:val="20"/>
          <w:lang w:eastAsia="zh-CN"/>
        </w:rPr>
        <w:t>。</w:t>
      </w:r>
    </w:p>
  </w:footnote>
  <w:footnote w:id="12">
    <w:p w:rsidR="00594C0B" w:rsidRPr="00650F1F" w:rsidRDefault="00594C0B" w:rsidP="00650F1F">
      <w:pPr>
        <w:pStyle w:val="FootnoteText"/>
        <w:tabs>
          <w:tab w:val="left" w:pos="360"/>
        </w:tabs>
        <w:snapToGrid w:val="0"/>
        <w:spacing w:before="0"/>
        <w:ind w:firstLine="0"/>
        <w:rPr>
          <w:rFonts w:eastAsiaTheme="minorEastAsia"/>
          <w:sz w:val="20"/>
          <w:szCs w:val="20"/>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rPr>
        <w:t xml:space="preserve">  </w:t>
      </w:r>
      <w:r w:rsidRPr="00650F1F">
        <w:rPr>
          <w:rFonts w:eastAsiaTheme="minorEastAsia"/>
          <w:sz w:val="20"/>
          <w:szCs w:val="20"/>
          <w:lang w:val="en-US" w:eastAsia="zh-CN"/>
        </w:rPr>
        <w:tab/>
      </w:r>
      <w:r w:rsidRPr="00650F1F">
        <w:rPr>
          <w:rFonts w:eastAsiaTheme="minorEastAsia"/>
          <w:sz w:val="20"/>
          <w:szCs w:val="20"/>
          <w:lang w:eastAsia="zh-CN"/>
        </w:rPr>
        <w:t>第</w:t>
      </w:r>
      <w:r w:rsidRPr="00650F1F">
        <w:rPr>
          <w:rFonts w:eastAsiaTheme="minorEastAsia"/>
          <w:sz w:val="20"/>
          <w:szCs w:val="20"/>
          <w:lang w:val="en-US" w:eastAsia="zh-CN"/>
        </w:rPr>
        <w:t>XIII/5</w:t>
      </w:r>
      <w:r w:rsidRPr="00650F1F">
        <w:rPr>
          <w:rFonts w:eastAsiaTheme="minorEastAsia"/>
          <w:sz w:val="20"/>
          <w:szCs w:val="20"/>
          <w:lang w:eastAsia="zh-CN"/>
        </w:rPr>
        <w:t>号决定</w:t>
      </w:r>
      <w:r w:rsidRPr="00650F1F">
        <w:rPr>
          <w:rFonts w:eastAsiaTheme="minorEastAsia"/>
          <w:sz w:val="20"/>
          <w:szCs w:val="20"/>
          <w:lang w:val="en-US" w:eastAsia="zh-CN"/>
        </w:rPr>
        <w:t>，</w:t>
      </w:r>
      <w:r w:rsidRPr="00650F1F">
        <w:rPr>
          <w:rFonts w:eastAsiaTheme="minorEastAsia"/>
          <w:sz w:val="20"/>
          <w:szCs w:val="20"/>
          <w:lang w:eastAsia="zh-CN"/>
        </w:rPr>
        <w:t>附件。</w:t>
      </w:r>
    </w:p>
  </w:footnote>
  <w:footnote w:id="13">
    <w:p w:rsidR="00594C0B" w:rsidRPr="00650F1F" w:rsidRDefault="00594C0B" w:rsidP="00650F1F">
      <w:pPr>
        <w:pStyle w:val="FootnoteText"/>
        <w:tabs>
          <w:tab w:val="left" w:pos="360"/>
        </w:tabs>
        <w:snapToGrid w:val="0"/>
        <w:spacing w:before="0"/>
        <w:ind w:firstLine="0"/>
        <w:rPr>
          <w:rFonts w:eastAsiaTheme="minorEastAsia"/>
          <w:sz w:val="20"/>
          <w:szCs w:val="20"/>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rPr>
        <w:t xml:space="preserve"> </w:t>
      </w:r>
      <w:r w:rsidRPr="00650F1F">
        <w:rPr>
          <w:rStyle w:val="FootnoteReference"/>
          <w:rFonts w:eastAsiaTheme="minorEastAsia"/>
          <w:sz w:val="24"/>
          <w:u w:val="none"/>
          <w:vertAlign w:val="superscript"/>
        </w:rPr>
        <w:tab/>
      </w:r>
      <w:r w:rsidRPr="00650F1F">
        <w:rPr>
          <w:rFonts w:eastAsiaTheme="minorEastAsia"/>
          <w:sz w:val="20"/>
          <w:szCs w:val="20"/>
        </w:rPr>
        <w:t>https://www.cbd.int/doc/c/274b/80e7/34d341167178fe08effd0900/cop-14-afr-hls-04-final-en.pdf</w:t>
      </w:r>
      <w:r w:rsidRPr="00650F1F">
        <w:rPr>
          <w:rFonts w:eastAsiaTheme="minorEastAsia"/>
          <w:sz w:val="20"/>
          <w:szCs w:val="20"/>
          <w:lang w:eastAsia="zh-CN"/>
        </w:rPr>
        <w:t>。</w:t>
      </w:r>
    </w:p>
  </w:footnote>
  <w:footnote w:id="14">
    <w:p w:rsidR="00594C0B" w:rsidRPr="00650F1F" w:rsidRDefault="00594C0B" w:rsidP="00650F1F">
      <w:pPr>
        <w:pStyle w:val="FootnoteText"/>
        <w:tabs>
          <w:tab w:val="left" w:pos="360"/>
        </w:tabs>
        <w:snapToGrid w:val="0"/>
        <w:spacing w:before="0"/>
        <w:ind w:firstLine="0"/>
        <w:jc w:val="left"/>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u w:val="none"/>
          <w:vertAlign w:val="superscript"/>
          <w:lang w:eastAsia="zh-CN"/>
        </w:rPr>
        <w:t xml:space="preserve"> </w:t>
      </w:r>
      <w:r w:rsidRPr="00650F1F">
        <w:rPr>
          <w:rStyle w:val="FootnoteReference"/>
          <w:rFonts w:eastAsiaTheme="minorEastAsia"/>
          <w:sz w:val="24"/>
          <w:u w:val="none"/>
          <w:vertAlign w:val="superscript"/>
          <w:lang w:eastAsia="zh-CN"/>
        </w:rPr>
        <w:tab/>
      </w:r>
      <w:smartTag w:uri="urn:schemas-microsoft-com:office:smarttags" w:element="chsdate">
        <w:smartTagPr>
          <w:attr w:name="Year" w:val="2018"/>
          <w:attr w:name="Month" w:val="11"/>
          <w:attr w:name="Day" w:val="13"/>
          <w:attr w:name="IsLunarDate" w:val="False"/>
          <w:attr w:name="IsROCDate" w:val="False"/>
        </w:smartTagPr>
        <w:r w:rsidRPr="00650F1F">
          <w:rPr>
            <w:rFonts w:eastAsiaTheme="minorEastAsia"/>
            <w:sz w:val="20"/>
            <w:szCs w:val="20"/>
            <w:lang w:eastAsia="zh-CN"/>
          </w:rPr>
          <w:t>2018</w:t>
        </w:r>
        <w:r w:rsidRPr="00650F1F">
          <w:rPr>
            <w:rFonts w:eastAsiaTheme="minorEastAsia"/>
            <w:sz w:val="20"/>
            <w:szCs w:val="20"/>
            <w:lang w:eastAsia="zh-CN"/>
          </w:rPr>
          <w:t>年</w:t>
        </w:r>
        <w:r w:rsidRPr="00650F1F">
          <w:rPr>
            <w:rFonts w:eastAsiaTheme="minorEastAsia"/>
            <w:sz w:val="20"/>
            <w:szCs w:val="20"/>
            <w:lang w:eastAsia="zh-CN"/>
          </w:rPr>
          <w:t>11</w:t>
        </w:r>
        <w:r w:rsidRPr="00650F1F">
          <w:rPr>
            <w:rFonts w:eastAsiaTheme="minorEastAsia"/>
            <w:sz w:val="20"/>
            <w:szCs w:val="20"/>
            <w:lang w:eastAsia="zh-CN"/>
          </w:rPr>
          <w:t>月</w:t>
        </w:r>
        <w:r w:rsidRPr="00650F1F">
          <w:rPr>
            <w:rFonts w:eastAsiaTheme="minorEastAsia"/>
            <w:sz w:val="20"/>
            <w:szCs w:val="20"/>
            <w:lang w:eastAsia="zh-CN"/>
          </w:rPr>
          <w:t>13</w:t>
        </w:r>
        <w:r w:rsidRPr="00650F1F">
          <w:rPr>
            <w:rFonts w:eastAsiaTheme="minorEastAsia"/>
            <w:sz w:val="20"/>
            <w:szCs w:val="20"/>
            <w:lang w:eastAsia="zh-CN"/>
          </w:rPr>
          <w:t>日</w:t>
        </w:r>
      </w:smartTag>
      <w:r w:rsidRPr="00650F1F">
        <w:rPr>
          <w:rFonts w:eastAsiaTheme="minorEastAsia"/>
          <w:sz w:val="20"/>
          <w:szCs w:val="20"/>
          <w:lang w:eastAsia="zh-CN"/>
        </w:rPr>
        <w:t>，埃及沙姆沙伊赫，见</w:t>
      </w:r>
      <w:r w:rsidRPr="00650F1F">
        <w:rPr>
          <w:rFonts w:eastAsiaTheme="minorEastAsia"/>
          <w:sz w:val="20"/>
          <w:szCs w:val="20"/>
          <w:lang w:eastAsia="zh-CN"/>
        </w:rPr>
        <w:t xml:space="preserve"> https://www.cbd.int/doc/c/274b/80e7/34d341167178fe08effd0900/cop-14-afr-hls-04-final-en.pdf</w:t>
      </w:r>
      <w:r w:rsidRPr="00650F1F">
        <w:rPr>
          <w:rFonts w:eastAsiaTheme="minorEastAsia"/>
          <w:sz w:val="20"/>
          <w:szCs w:val="20"/>
          <w:lang w:eastAsia="zh-CN"/>
        </w:rPr>
        <w:t>。</w:t>
      </w:r>
    </w:p>
  </w:footnote>
  <w:footnote w:id="15">
    <w:p w:rsidR="00594C0B" w:rsidRPr="00650F1F" w:rsidRDefault="00594C0B" w:rsidP="00650F1F">
      <w:pPr>
        <w:pStyle w:val="FootnoteText"/>
        <w:tabs>
          <w:tab w:val="left" w:pos="360"/>
        </w:tabs>
        <w:snapToGrid w:val="0"/>
        <w:spacing w:before="0"/>
        <w:ind w:firstLine="0"/>
        <w:rPr>
          <w:rFonts w:eastAsiaTheme="minorEastAsia"/>
          <w:sz w:val="20"/>
          <w:szCs w:val="20"/>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rPr>
        <w:t xml:space="preserve"> </w:t>
      </w:r>
      <w:r w:rsidRPr="00650F1F">
        <w:rPr>
          <w:rStyle w:val="FootnoteReference"/>
          <w:rFonts w:eastAsiaTheme="minorEastAsia"/>
          <w:sz w:val="24"/>
          <w:u w:val="none"/>
          <w:vertAlign w:val="superscript"/>
        </w:rPr>
        <w:t xml:space="preserve"> </w:t>
      </w:r>
      <w:r w:rsidRPr="00650F1F">
        <w:rPr>
          <w:rFonts w:eastAsiaTheme="minorEastAsia"/>
          <w:sz w:val="20"/>
          <w:szCs w:val="20"/>
          <w:lang w:val="en-US" w:eastAsia="zh-CN"/>
        </w:rPr>
        <w:tab/>
      </w:r>
      <w:hyperlink r:id="rId3" w:history="1">
        <w:r w:rsidRPr="00650F1F">
          <w:rPr>
            <w:rStyle w:val="Hyperlink"/>
            <w:rFonts w:eastAsiaTheme="minorEastAsia"/>
            <w:sz w:val="20"/>
            <w:szCs w:val="20"/>
            <w:lang w:val="en-US" w:eastAsia="zh-CN"/>
          </w:rPr>
          <w:t>https://www.cbd.int/gbo/gbo4/publication/lbo-en.pdf</w:t>
        </w:r>
      </w:hyperlink>
      <w:r w:rsidRPr="00650F1F">
        <w:rPr>
          <w:rFonts w:eastAsiaTheme="minorEastAsia"/>
          <w:sz w:val="20"/>
          <w:szCs w:val="20"/>
          <w:lang w:val="fr-FR" w:eastAsia="zh-CN"/>
        </w:rPr>
        <w:t>。</w:t>
      </w:r>
    </w:p>
  </w:footnote>
  <w:footnote w:id="16">
    <w:p w:rsidR="00594C0B" w:rsidRPr="00650F1F" w:rsidRDefault="00594C0B" w:rsidP="00650F1F">
      <w:pPr>
        <w:pStyle w:val="FootnoteText"/>
        <w:tabs>
          <w:tab w:val="left" w:pos="360"/>
        </w:tabs>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第</w:t>
      </w:r>
      <w:r w:rsidRPr="00650F1F">
        <w:rPr>
          <w:rFonts w:eastAsiaTheme="minorEastAsia"/>
          <w:sz w:val="20"/>
          <w:szCs w:val="20"/>
          <w:lang w:eastAsia="zh-CN"/>
        </w:rPr>
        <w:t>XIII/31</w:t>
      </w:r>
      <w:r w:rsidRPr="00650F1F">
        <w:rPr>
          <w:rFonts w:eastAsiaTheme="minorEastAsia"/>
          <w:sz w:val="20"/>
          <w:szCs w:val="20"/>
          <w:lang w:eastAsia="zh-CN"/>
        </w:rPr>
        <w:t>号决定，附件。</w:t>
      </w:r>
    </w:p>
  </w:footnote>
  <w:footnote w:id="17">
    <w:p w:rsidR="00594C0B" w:rsidRPr="00650F1F" w:rsidRDefault="00594C0B" w:rsidP="00650F1F">
      <w:pPr>
        <w:pStyle w:val="FootnoteText"/>
        <w:tabs>
          <w:tab w:val="left" w:pos="360"/>
        </w:tabs>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Style w:val="FootnoteReference"/>
          <w:rFonts w:eastAsiaTheme="minorEastAsia"/>
          <w:sz w:val="24"/>
          <w:u w:val="none"/>
          <w:vertAlign w:val="superscript"/>
          <w:lang w:eastAsia="zh-CN"/>
        </w:rPr>
        <w:t xml:space="preserve"> </w:t>
      </w:r>
      <w:r w:rsidRPr="00650F1F">
        <w:rPr>
          <w:rFonts w:eastAsiaTheme="minorEastAsia"/>
          <w:sz w:val="20"/>
          <w:szCs w:val="20"/>
          <w:lang w:val="en-US" w:eastAsia="zh-CN"/>
        </w:rPr>
        <w:tab/>
      </w:r>
      <w:r w:rsidRPr="00650F1F">
        <w:rPr>
          <w:rFonts w:eastAsiaTheme="minorEastAsia"/>
          <w:sz w:val="20"/>
          <w:szCs w:val="20"/>
          <w:lang w:eastAsia="zh-CN"/>
        </w:rPr>
        <w:t>第</w:t>
      </w:r>
      <w:r w:rsidRPr="00650F1F">
        <w:rPr>
          <w:rFonts w:eastAsiaTheme="minorEastAsia"/>
          <w:iCs/>
          <w:snapToGrid w:val="0"/>
          <w:kern w:val="22"/>
          <w:sz w:val="20"/>
          <w:szCs w:val="20"/>
          <w:lang w:val="en-US" w:eastAsia="zh-CN"/>
        </w:rPr>
        <w:t>X/2</w:t>
      </w:r>
      <w:r w:rsidRPr="00650F1F">
        <w:rPr>
          <w:rFonts w:eastAsiaTheme="minorEastAsia"/>
          <w:iCs/>
          <w:snapToGrid w:val="0"/>
          <w:kern w:val="22"/>
          <w:sz w:val="20"/>
          <w:szCs w:val="20"/>
          <w:lang w:eastAsia="zh-CN"/>
        </w:rPr>
        <w:t>号决定</w:t>
      </w:r>
      <w:r w:rsidRPr="00650F1F">
        <w:rPr>
          <w:rFonts w:eastAsiaTheme="minorEastAsia"/>
          <w:iCs/>
          <w:snapToGrid w:val="0"/>
          <w:kern w:val="22"/>
          <w:sz w:val="20"/>
          <w:szCs w:val="20"/>
          <w:lang w:val="en-US" w:eastAsia="zh-CN"/>
        </w:rPr>
        <w:t>，</w:t>
      </w:r>
      <w:r w:rsidRPr="00650F1F">
        <w:rPr>
          <w:rFonts w:eastAsiaTheme="minorEastAsia"/>
          <w:iCs/>
          <w:snapToGrid w:val="0"/>
          <w:kern w:val="22"/>
          <w:sz w:val="20"/>
          <w:szCs w:val="20"/>
          <w:lang w:eastAsia="zh-CN"/>
        </w:rPr>
        <w:t>第六节。</w:t>
      </w:r>
    </w:p>
  </w:footnote>
  <w:footnote w:id="18">
    <w:p w:rsidR="00594C0B" w:rsidRPr="00650F1F" w:rsidRDefault="00594C0B" w:rsidP="00650F1F">
      <w:pPr>
        <w:pStyle w:val="FootnoteText"/>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u w:val="none"/>
          <w:vertAlign w:val="superscript"/>
          <w:lang w:eastAsia="zh-CN"/>
        </w:rPr>
        <w:t xml:space="preserve"> </w:t>
      </w:r>
      <w:r w:rsidRPr="00650F1F">
        <w:rPr>
          <w:rFonts w:eastAsiaTheme="minorEastAsia"/>
          <w:sz w:val="20"/>
          <w:szCs w:val="20"/>
          <w:lang w:eastAsia="zh-CN"/>
        </w:rPr>
        <w:t xml:space="preserve">   </w:t>
      </w:r>
      <w:r w:rsidRPr="00650F1F">
        <w:rPr>
          <w:rFonts w:eastAsiaTheme="minorEastAsia"/>
          <w:sz w:val="20"/>
          <w:szCs w:val="20"/>
          <w:lang w:eastAsia="zh-CN"/>
        </w:rPr>
        <w:t>第</w:t>
      </w:r>
      <w:r w:rsidRPr="00650F1F">
        <w:rPr>
          <w:rFonts w:eastAsiaTheme="minorEastAsia"/>
          <w:sz w:val="20"/>
          <w:szCs w:val="20"/>
          <w:lang w:eastAsia="zh-CN"/>
        </w:rPr>
        <w:t>XII/3</w:t>
      </w:r>
      <w:r w:rsidRPr="00650F1F">
        <w:rPr>
          <w:rFonts w:eastAsiaTheme="minorEastAsia"/>
          <w:sz w:val="20"/>
          <w:szCs w:val="20"/>
          <w:lang w:eastAsia="zh-CN"/>
        </w:rPr>
        <w:t>号决定。</w:t>
      </w:r>
    </w:p>
  </w:footnote>
  <w:footnote w:id="19">
    <w:p w:rsidR="00594C0B" w:rsidRPr="00650F1F" w:rsidRDefault="00594C0B" w:rsidP="00650F1F">
      <w:pPr>
        <w:pStyle w:val="FootnoteText"/>
        <w:tabs>
          <w:tab w:val="left" w:pos="360"/>
        </w:tabs>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z w:val="20"/>
          <w:szCs w:val="20"/>
          <w:lang w:val="en-US" w:eastAsia="zh-CN"/>
        </w:rPr>
        <w:t xml:space="preserve"> </w:t>
      </w:r>
      <w:r w:rsidRPr="00650F1F">
        <w:rPr>
          <w:rFonts w:eastAsiaTheme="minorEastAsia"/>
          <w:sz w:val="20"/>
          <w:szCs w:val="20"/>
          <w:lang w:val="en-US" w:eastAsia="zh-CN"/>
        </w:rPr>
        <w:tab/>
      </w:r>
      <w:r w:rsidRPr="00650F1F">
        <w:rPr>
          <w:rFonts w:eastAsiaTheme="minorEastAsia"/>
          <w:sz w:val="20"/>
          <w:szCs w:val="20"/>
          <w:lang w:eastAsia="zh-CN"/>
        </w:rPr>
        <w:t>应将其中确定的行动与缔约方大会业已制定的指导意见联系起来看待</w:t>
      </w:r>
      <w:r w:rsidRPr="00650F1F">
        <w:rPr>
          <w:rFonts w:eastAsiaTheme="minorEastAsia"/>
          <w:sz w:val="20"/>
          <w:szCs w:val="20"/>
          <w:lang w:val="en-US" w:eastAsia="zh-CN"/>
        </w:rPr>
        <w:t>，</w:t>
      </w:r>
      <w:r w:rsidRPr="00650F1F">
        <w:rPr>
          <w:rFonts w:eastAsiaTheme="minorEastAsia"/>
          <w:sz w:val="20"/>
          <w:szCs w:val="20"/>
          <w:lang w:eastAsia="zh-CN"/>
        </w:rPr>
        <w:t>包括关于《</w:t>
      </w:r>
      <w:r w:rsidRPr="00650F1F">
        <w:rPr>
          <w:rFonts w:eastAsiaTheme="minorEastAsia"/>
          <w:sz w:val="20"/>
          <w:szCs w:val="20"/>
          <w:lang w:val="en-US" w:eastAsia="zh-CN"/>
        </w:rPr>
        <w:t>2011-2020</w:t>
      </w:r>
      <w:r w:rsidRPr="00650F1F">
        <w:rPr>
          <w:rFonts w:eastAsiaTheme="minorEastAsia"/>
          <w:sz w:val="20"/>
          <w:szCs w:val="20"/>
          <w:lang w:eastAsia="zh-CN"/>
        </w:rPr>
        <w:t>年生物多样性战略计划》的第</w:t>
      </w:r>
      <w:r w:rsidRPr="00650F1F">
        <w:rPr>
          <w:rFonts w:eastAsiaTheme="minorEastAsia"/>
          <w:sz w:val="20"/>
          <w:szCs w:val="20"/>
          <w:lang w:val="en-US" w:eastAsia="zh-CN"/>
        </w:rPr>
        <w:t>X/2</w:t>
      </w:r>
      <w:r w:rsidRPr="00650F1F">
        <w:rPr>
          <w:rFonts w:eastAsiaTheme="minorEastAsia"/>
          <w:sz w:val="20"/>
          <w:szCs w:val="20"/>
          <w:lang w:eastAsia="zh-CN"/>
        </w:rPr>
        <w:t>号决定及其技术理由</w:t>
      </w:r>
      <w:r w:rsidRPr="00650F1F">
        <w:rPr>
          <w:rFonts w:eastAsiaTheme="minorEastAsia"/>
          <w:sz w:val="20"/>
          <w:szCs w:val="20"/>
          <w:lang w:val="en-US" w:eastAsia="zh-CN"/>
        </w:rPr>
        <w:t>（</w:t>
      </w:r>
      <w:r w:rsidRPr="00650F1F">
        <w:rPr>
          <w:rFonts w:eastAsiaTheme="minorEastAsia"/>
          <w:sz w:val="20"/>
          <w:szCs w:val="20"/>
          <w:lang w:val="en-US" w:eastAsia="zh-CN"/>
        </w:rPr>
        <w:t>UNEP/CBD/COP/10/27/Add.1</w:t>
      </w:r>
      <w:r w:rsidRPr="00650F1F">
        <w:rPr>
          <w:rFonts w:eastAsiaTheme="minorEastAsia"/>
          <w:sz w:val="20"/>
          <w:szCs w:val="20"/>
          <w:lang w:val="en-US" w:eastAsia="zh-CN"/>
        </w:rPr>
        <w:t>），</w:t>
      </w:r>
      <w:r w:rsidRPr="00650F1F">
        <w:rPr>
          <w:rFonts w:eastAsiaTheme="minorEastAsia"/>
          <w:sz w:val="20"/>
          <w:szCs w:val="20"/>
          <w:lang w:eastAsia="zh-CN"/>
        </w:rPr>
        <w:t>以及缔约方大会在第</w:t>
      </w:r>
      <w:r w:rsidRPr="00650F1F">
        <w:rPr>
          <w:rFonts w:eastAsiaTheme="minorEastAsia"/>
          <w:sz w:val="20"/>
          <w:szCs w:val="20"/>
          <w:lang w:val="en-US" w:eastAsia="zh-CN"/>
        </w:rPr>
        <w:t>XII/1</w:t>
      </w:r>
      <w:r w:rsidRPr="00650F1F">
        <w:rPr>
          <w:rFonts w:eastAsiaTheme="minorEastAsia"/>
          <w:sz w:val="20"/>
          <w:szCs w:val="20"/>
          <w:lang w:eastAsia="zh-CN"/>
        </w:rPr>
        <w:t>号决定中确定的执行需要。</w:t>
      </w:r>
    </w:p>
  </w:footnote>
  <w:footnote w:id="20">
    <w:p w:rsidR="00594C0B" w:rsidRPr="00650F1F" w:rsidRDefault="00594C0B" w:rsidP="00650F1F">
      <w:pPr>
        <w:pStyle w:val="FootnoteText"/>
        <w:tabs>
          <w:tab w:val="left" w:pos="360"/>
        </w:tabs>
        <w:spacing w:before="0"/>
        <w:ind w:firstLine="0"/>
        <w:rPr>
          <w:rFonts w:eastAsiaTheme="minorEastAsia"/>
          <w:sz w:val="20"/>
          <w:szCs w:val="20"/>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sz w:val="24"/>
          <w:szCs w:val="20"/>
          <w:u w:val="none"/>
          <w:vertAlign w:val="superscript"/>
        </w:rPr>
        <w:t xml:space="preserve">  </w:t>
      </w:r>
      <w:r w:rsidRPr="00650F1F">
        <w:rPr>
          <w:rFonts w:eastAsiaTheme="minorEastAsia"/>
          <w:kern w:val="18"/>
          <w:sz w:val="20"/>
        </w:rPr>
        <w:t xml:space="preserve"> </w:t>
      </w:r>
      <w:r w:rsidRPr="00650F1F">
        <w:rPr>
          <w:rFonts w:eastAsiaTheme="minorEastAsia"/>
          <w:kern w:val="18"/>
          <w:sz w:val="20"/>
        </w:rPr>
        <w:tab/>
      </w:r>
      <w:hyperlink r:id="rId4" w:history="1">
        <w:r w:rsidRPr="00650F1F">
          <w:rPr>
            <w:rStyle w:val="Hyperlink"/>
            <w:rFonts w:eastAsiaTheme="minorEastAsia"/>
            <w:kern w:val="18"/>
            <w:sz w:val="20"/>
            <w:szCs w:val="20"/>
          </w:rPr>
          <w:t>CBD/SBSTTA/21/2</w:t>
        </w:r>
      </w:hyperlink>
      <w:r w:rsidRPr="00650F1F">
        <w:rPr>
          <w:rFonts w:eastAsiaTheme="minorEastAsia"/>
          <w:kern w:val="18"/>
          <w:sz w:val="20"/>
          <w:szCs w:val="20"/>
        </w:rPr>
        <w:t>和</w:t>
      </w:r>
      <w:hyperlink r:id="rId5" w:history="1">
        <w:r w:rsidRPr="00650F1F">
          <w:rPr>
            <w:rStyle w:val="Hyperlink"/>
            <w:rFonts w:eastAsiaTheme="minorEastAsia"/>
            <w:kern w:val="18"/>
            <w:sz w:val="20"/>
            <w:szCs w:val="20"/>
          </w:rPr>
          <w:t>Add.1</w:t>
        </w:r>
      </w:hyperlink>
      <w:r w:rsidRPr="00650F1F">
        <w:rPr>
          <w:rFonts w:eastAsiaTheme="minorEastAsia"/>
          <w:sz w:val="20"/>
          <w:szCs w:val="20"/>
        </w:rPr>
        <w:t>、</w:t>
      </w:r>
      <w:hyperlink r:id="rId6" w:history="1">
        <w:r w:rsidRPr="00650F1F">
          <w:rPr>
            <w:rStyle w:val="Hyperlink"/>
            <w:rFonts w:eastAsiaTheme="minorEastAsia"/>
            <w:kern w:val="18"/>
            <w:sz w:val="20"/>
            <w:szCs w:val="20"/>
          </w:rPr>
          <w:t>CBD/SBSTTA/21/INF/2</w:t>
        </w:r>
      </w:hyperlink>
      <w:r w:rsidRPr="00650F1F">
        <w:rPr>
          <w:rStyle w:val="Hyperlink"/>
          <w:rFonts w:eastAsiaTheme="minorEastAsia"/>
          <w:kern w:val="18"/>
          <w:sz w:val="20"/>
          <w:szCs w:val="20"/>
        </w:rPr>
        <w:t>/Rev.1</w:t>
      </w:r>
      <w:r w:rsidRPr="00650F1F">
        <w:rPr>
          <w:rFonts w:eastAsiaTheme="minorEastAsia"/>
          <w:sz w:val="20"/>
          <w:szCs w:val="20"/>
        </w:rPr>
        <w:t>、</w:t>
      </w:r>
      <w:hyperlink r:id="rId7" w:history="1">
        <w:r w:rsidRPr="00650F1F">
          <w:rPr>
            <w:rStyle w:val="Hyperlink"/>
            <w:rFonts w:eastAsiaTheme="minorEastAsia"/>
            <w:kern w:val="18"/>
            <w:sz w:val="20"/>
            <w:szCs w:val="20"/>
          </w:rPr>
          <w:t>INF/3</w:t>
        </w:r>
      </w:hyperlink>
      <w:r w:rsidRPr="00650F1F">
        <w:rPr>
          <w:rStyle w:val="Hyperlink"/>
          <w:rFonts w:eastAsiaTheme="minorEastAsia"/>
          <w:kern w:val="18"/>
          <w:sz w:val="20"/>
          <w:szCs w:val="20"/>
        </w:rPr>
        <w:t>/Rev.1</w:t>
      </w:r>
      <w:r w:rsidRPr="00650F1F">
        <w:rPr>
          <w:rFonts w:eastAsiaTheme="minorEastAsia"/>
          <w:sz w:val="20"/>
          <w:szCs w:val="20"/>
        </w:rPr>
        <w:t>、</w:t>
      </w:r>
      <w:hyperlink r:id="rId8" w:history="1">
        <w:r w:rsidRPr="00650F1F">
          <w:rPr>
            <w:rStyle w:val="Hyperlink"/>
            <w:rFonts w:eastAsiaTheme="minorEastAsia"/>
            <w:kern w:val="18"/>
            <w:sz w:val="20"/>
            <w:szCs w:val="20"/>
          </w:rPr>
          <w:t>INF/4</w:t>
        </w:r>
      </w:hyperlink>
      <w:r w:rsidRPr="00650F1F">
        <w:rPr>
          <w:rStyle w:val="Hyperlink"/>
          <w:rFonts w:eastAsiaTheme="minorEastAsia"/>
          <w:kern w:val="18"/>
          <w:sz w:val="20"/>
          <w:szCs w:val="20"/>
        </w:rPr>
        <w:t>/Rev.1</w:t>
      </w:r>
      <w:r w:rsidRPr="00650F1F">
        <w:rPr>
          <w:rFonts w:eastAsiaTheme="minorEastAsia"/>
          <w:sz w:val="20"/>
          <w:szCs w:val="20"/>
        </w:rPr>
        <w:t>、</w:t>
      </w:r>
      <w:hyperlink r:id="rId9" w:history="1">
        <w:r w:rsidRPr="00650F1F">
          <w:rPr>
            <w:rStyle w:val="Hyperlink"/>
            <w:rFonts w:eastAsiaTheme="minorEastAsia"/>
            <w:kern w:val="18"/>
            <w:sz w:val="20"/>
            <w:szCs w:val="20"/>
          </w:rPr>
          <w:t>INF/18</w:t>
        </w:r>
      </w:hyperlink>
      <w:r w:rsidRPr="00650F1F">
        <w:rPr>
          <w:rStyle w:val="Hyperlink"/>
          <w:rFonts w:eastAsiaTheme="minorEastAsia"/>
          <w:kern w:val="18"/>
          <w:sz w:val="20"/>
          <w:szCs w:val="20"/>
        </w:rPr>
        <w:t>/Rev.1</w:t>
      </w:r>
      <w:r w:rsidRPr="00650F1F">
        <w:rPr>
          <w:rFonts w:eastAsiaTheme="minorEastAsia"/>
          <w:sz w:val="20"/>
          <w:szCs w:val="20"/>
        </w:rPr>
        <w:t>。</w:t>
      </w:r>
    </w:p>
  </w:footnote>
  <w:footnote w:id="21">
    <w:p w:rsidR="00594C0B" w:rsidRPr="00650F1F" w:rsidRDefault="00594C0B" w:rsidP="00650F1F">
      <w:pPr>
        <w:pStyle w:val="FootnoteText"/>
        <w:tabs>
          <w:tab w:val="left" w:pos="360"/>
        </w:tabs>
        <w:spacing w:before="0"/>
        <w:ind w:firstLine="0"/>
        <w:rPr>
          <w:rFonts w:eastAsiaTheme="minorEastAsia"/>
          <w:sz w:val="20"/>
          <w:szCs w:val="20"/>
        </w:rPr>
      </w:pPr>
      <w:r w:rsidRPr="00650F1F">
        <w:rPr>
          <w:rStyle w:val="FootnoteReference"/>
          <w:rFonts w:eastAsiaTheme="minorEastAsia"/>
          <w:kern w:val="18"/>
          <w:sz w:val="24"/>
          <w:szCs w:val="20"/>
          <w:u w:val="none"/>
          <w:vertAlign w:val="superscript"/>
        </w:rPr>
        <w:footnoteRef/>
      </w:r>
      <w:r w:rsidRPr="00650F1F">
        <w:rPr>
          <w:rFonts w:eastAsiaTheme="minorEastAsia"/>
          <w:sz w:val="20"/>
          <w:szCs w:val="20"/>
        </w:rPr>
        <w:t xml:space="preserve"> </w:t>
      </w:r>
      <w:r w:rsidRPr="00650F1F">
        <w:rPr>
          <w:rFonts w:eastAsiaTheme="minorEastAsia"/>
          <w:sz w:val="20"/>
          <w:szCs w:val="20"/>
        </w:rPr>
        <w:tab/>
      </w:r>
      <w:r w:rsidRPr="00650F1F">
        <w:rPr>
          <w:rFonts w:eastAsiaTheme="minorEastAsia"/>
          <w:sz w:val="20"/>
          <w:szCs w:val="20"/>
        </w:rPr>
        <w:t>生物多样性和生态系统服务政府间科学政策平台，</w:t>
      </w:r>
      <w:r w:rsidRPr="00650F1F">
        <w:rPr>
          <w:rFonts w:eastAsiaTheme="minorEastAsia"/>
          <w:sz w:val="20"/>
          <w:szCs w:val="20"/>
        </w:rPr>
        <w:t>2016</w:t>
      </w:r>
      <w:r w:rsidRPr="00650F1F">
        <w:rPr>
          <w:rFonts w:eastAsiaTheme="minorEastAsia"/>
          <w:sz w:val="20"/>
          <w:szCs w:val="20"/>
        </w:rPr>
        <w:t>年（见</w:t>
      </w:r>
      <w:r w:rsidRPr="00650F1F">
        <w:rPr>
          <w:rFonts w:eastAsiaTheme="minorEastAsia"/>
          <w:kern w:val="18"/>
          <w:sz w:val="20"/>
          <w:szCs w:val="20"/>
        </w:rPr>
        <w:t>https://www.ipbes.net/assessment-reports/scenarios</w:t>
      </w:r>
      <w:r w:rsidRPr="00650F1F">
        <w:rPr>
          <w:rFonts w:eastAsiaTheme="minorEastAsia"/>
          <w:sz w:val="20"/>
          <w:szCs w:val="20"/>
        </w:rPr>
        <w:t>）。</w:t>
      </w:r>
    </w:p>
  </w:footnote>
  <w:footnote w:id="22">
    <w:p w:rsidR="00594C0B" w:rsidRPr="00650F1F" w:rsidRDefault="00594C0B" w:rsidP="00650F1F">
      <w:pPr>
        <w:pStyle w:val="FootnoteText"/>
        <w:tabs>
          <w:tab w:val="left" w:pos="360"/>
        </w:tabs>
        <w:spacing w:before="0"/>
        <w:ind w:firstLine="0"/>
        <w:jc w:val="left"/>
        <w:rPr>
          <w:rFonts w:eastAsiaTheme="minorEastAsia"/>
        </w:rPr>
      </w:pPr>
      <w:r w:rsidRPr="00650F1F">
        <w:rPr>
          <w:rStyle w:val="FootnoteReference"/>
          <w:rFonts w:eastAsiaTheme="minorEastAsia"/>
          <w:sz w:val="24"/>
          <w:szCs w:val="20"/>
          <w:u w:val="none"/>
          <w:vertAlign w:val="superscript"/>
        </w:rPr>
        <w:footnoteRef/>
      </w:r>
      <w:r w:rsidRPr="00650F1F">
        <w:rPr>
          <w:rFonts w:eastAsiaTheme="minorEastAsia"/>
          <w:sz w:val="24"/>
          <w:szCs w:val="20"/>
          <w:vertAlign w:val="superscript"/>
          <w:lang w:eastAsia="zh-CN"/>
        </w:rPr>
        <w:t xml:space="preserve"> </w:t>
      </w:r>
      <w:r w:rsidRPr="00650F1F">
        <w:rPr>
          <w:rFonts w:eastAsiaTheme="minorEastAsia"/>
          <w:sz w:val="20"/>
          <w:szCs w:val="20"/>
          <w:lang w:eastAsia="zh-CN"/>
        </w:rPr>
        <w:tab/>
      </w:r>
      <w:r w:rsidRPr="005C1755">
        <w:rPr>
          <w:rFonts w:eastAsiaTheme="minorEastAsia"/>
          <w:sz w:val="20"/>
          <w:szCs w:val="20"/>
          <w:lang w:eastAsia="zh-CN"/>
        </w:rPr>
        <w:t>另见</w:t>
      </w:r>
      <w:r w:rsidRPr="005C1755">
        <w:rPr>
          <w:rFonts w:eastAsiaTheme="minorEastAsia"/>
          <w:kern w:val="18"/>
          <w:sz w:val="20"/>
          <w:szCs w:val="20"/>
          <w:lang w:eastAsia="zh-CN"/>
        </w:rPr>
        <w:t>Leadley</w:t>
      </w:r>
      <w:r w:rsidRPr="005C1755">
        <w:rPr>
          <w:rFonts w:eastAsiaTheme="minorEastAsia"/>
          <w:kern w:val="18"/>
          <w:sz w:val="20"/>
          <w:szCs w:val="20"/>
          <w:lang w:eastAsia="zh-CN"/>
        </w:rPr>
        <w:t>等（</w:t>
      </w:r>
      <w:r w:rsidRPr="005C1755">
        <w:rPr>
          <w:rFonts w:eastAsiaTheme="minorEastAsia"/>
          <w:kern w:val="18"/>
          <w:sz w:val="20"/>
          <w:szCs w:val="20"/>
          <w:lang w:eastAsia="zh-CN"/>
        </w:rPr>
        <w:t>2014</w:t>
      </w:r>
      <w:r w:rsidRPr="005C1755">
        <w:rPr>
          <w:rFonts w:eastAsiaTheme="minorEastAsia"/>
          <w:kern w:val="18"/>
          <w:sz w:val="20"/>
          <w:szCs w:val="20"/>
          <w:lang w:eastAsia="zh-CN"/>
        </w:rPr>
        <w:t>年），《爱知生物多样性目标的进展：评估生物多样性趋势、政策设想和关键行动》。</w:t>
      </w:r>
      <w:r w:rsidRPr="005C1755">
        <w:rPr>
          <w:rFonts w:eastAsiaTheme="minorEastAsia"/>
          <w:kern w:val="18"/>
          <w:sz w:val="20"/>
          <w:szCs w:val="20"/>
        </w:rPr>
        <w:t>生物多样性公约秘书处《技术丛书第</w:t>
      </w:r>
      <w:r w:rsidRPr="005C1755">
        <w:rPr>
          <w:rFonts w:eastAsiaTheme="minorEastAsia"/>
          <w:kern w:val="18"/>
          <w:sz w:val="20"/>
          <w:szCs w:val="20"/>
        </w:rPr>
        <w:t>78</w:t>
      </w:r>
      <w:r w:rsidRPr="005C1755">
        <w:rPr>
          <w:rFonts w:eastAsiaTheme="minorEastAsia"/>
          <w:kern w:val="18"/>
          <w:sz w:val="20"/>
          <w:szCs w:val="20"/>
        </w:rPr>
        <w:t>号》（</w:t>
      </w:r>
      <w:hyperlink r:id="rId10" w:history="1">
        <w:r w:rsidRPr="005C1755">
          <w:rPr>
            <w:rStyle w:val="Hyperlink"/>
            <w:rFonts w:eastAsiaTheme="minorEastAsia"/>
            <w:kern w:val="18"/>
            <w:sz w:val="20"/>
            <w:szCs w:val="20"/>
          </w:rPr>
          <w:t>https://www.cbd.int/doc/publications/cbd-ts-78-en.pdf</w:t>
        </w:r>
      </w:hyperlink>
      <w:r w:rsidRPr="005C1755">
        <w:rPr>
          <w:rFonts w:eastAsiaTheme="minorEastAsia"/>
          <w:kern w:val="18"/>
          <w:sz w:val="20"/>
          <w:szCs w:val="20"/>
        </w:rPr>
        <w:t>）以及</w:t>
      </w:r>
      <w:r w:rsidRPr="005C1755">
        <w:rPr>
          <w:rFonts w:eastAsiaTheme="minorEastAsia"/>
          <w:kern w:val="18"/>
          <w:sz w:val="20"/>
          <w:szCs w:val="20"/>
        </w:rPr>
        <w:t>Kok and Alkemade</w:t>
      </w:r>
      <w:r w:rsidRPr="005C1755">
        <w:rPr>
          <w:rFonts w:eastAsiaTheme="minorEastAsia"/>
          <w:kern w:val="18"/>
          <w:sz w:val="20"/>
          <w:szCs w:val="20"/>
        </w:rPr>
        <w:t>（编辑）（</w:t>
      </w:r>
      <w:r w:rsidRPr="005C1755">
        <w:rPr>
          <w:rFonts w:eastAsiaTheme="minorEastAsia"/>
          <w:kern w:val="18"/>
          <w:sz w:val="20"/>
          <w:szCs w:val="20"/>
        </w:rPr>
        <w:t>2014</w:t>
      </w:r>
      <w:r w:rsidRPr="005C1755">
        <w:rPr>
          <w:rFonts w:eastAsiaTheme="minorEastAsia"/>
          <w:kern w:val="18"/>
          <w:sz w:val="20"/>
          <w:szCs w:val="20"/>
        </w:rPr>
        <w:t>年），《各部门如何促进可持续利用和保护生物多样性》生物多样性公约秘书处和</w:t>
      </w:r>
      <w:r w:rsidRPr="005C1755">
        <w:rPr>
          <w:rFonts w:eastAsiaTheme="minorEastAsia"/>
          <w:kern w:val="18"/>
          <w:sz w:val="20"/>
          <w:szCs w:val="20"/>
        </w:rPr>
        <w:t>PBL</w:t>
      </w:r>
      <w:r w:rsidRPr="005C1755">
        <w:rPr>
          <w:rFonts w:eastAsiaTheme="minorEastAsia"/>
          <w:kern w:val="18"/>
          <w:sz w:val="20"/>
          <w:szCs w:val="20"/>
        </w:rPr>
        <w:t>荷兰环境评估机构，《技术丛书第</w:t>
      </w:r>
      <w:r w:rsidRPr="005C1755">
        <w:rPr>
          <w:rFonts w:eastAsiaTheme="minorEastAsia"/>
          <w:kern w:val="18"/>
          <w:sz w:val="20"/>
          <w:szCs w:val="20"/>
        </w:rPr>
        <w:t>79</w:t>
      </w:r>
      <w:r w:rsidRPr="005C1755">
        <w:rPr>
          <w:rFonts w:eastAsiaTheme="minorEastAsia"/>
          <w:kern w:val="18"/>
          <w:sz w:val="20"/>
          <w:szCs w:val="20"/>
        </w:rPr>
        <w:t>号》（</w:t>
      </w:r>
      <w:hyperlink r:id="rId11" w:history="1">
        <w:r w:rsidRPr="005C1755">
          <w:rPr>
            <w:rStyle w:val="Hyperlink"/>
            <w:rFonts w:eastAsiaTheme="minorEastAsia"/>
            <w:kern w:val="18"/>
            <w:sz w:val="20"/>
            <w:szCs w:val="20"/>
          </w:rPr>
          <w:t>https://www.cbd.int/doc/publications/cbd-ts-79-en.pdf</w:t>
        </w:r>
      </w:hyperlink>
      <w:r w:rsidRPr="005C1755">
        <w:rPr>
          <w:rFonts w:eastAsiaTheme="minorEastAsia"/>
          <w:kern w:val="18"/>
          <w:sz w:val="20"/>
          <w:szCs w:val="20"/>
        </w:rPr>
        <w:t>）。</w:t>
      </w:r>
    </w:p>
  </w:footnote>
  <w:footnote w:id="23">
    <w:p w:rsidR="00594C0B" w:rsidRPr="00650F1F" w:rsidRDefault="00594C0B" w:rsidP="00650F1F">
      <w:pPr>
        <w:pStyle w:val="FootnoteText"/>
        <w:suppressLineNumbers/>
        <w:tabs>
          <w:tab w:val="left" w:pos="360"/>
        </w:tabs>
        <w:suppressAutoHyphens/>
        <w:kinsoku w:val="0"/>
        <w:overflowPunct w:val="0"/>
        <w:autoSpaceDE w:val="0"/>
        <w:autoSpaceDN w:val="0"/>
        <w:adjustRightInd w:val="0"/>
        <w:spacing w:before="0"/>
        <w:ind w:firstLine="0"/>
        <w:jc w:val="left"/>
        <w:rPr>
          <w:rFonts w:eastAsiaTheme="minorEastAsia"/>
          <w:snapToGrid w:val="0"/>
          <w:kern w:val="18"/>
          <w:sz w:val="20"/>
          <w:szCs w:val="20"/>
          <w:lang w:eastAsia="zh-CN"/>
        </w:rPr>
      </w:pPr>
      <w:r w:rsidRPr="00650F1F">
        <w:rPr>
          <w:rStyle w:val="FootnoteReference"/>
          <w:rFonts w:eastAsiaTheme="minorEastAsia"/>
          <w:kern w:val="18"/>
          <w:sz w:val="24"/>
          <w:szCs w:val="20"/>
          <w:u w:val="none"/>
          <w:vertAlign w:val="superscript"/>
        </w:rPr>
        <w:footnoteRef/>
      </w:r>
      <w:r w:rsidRPr="00650F1F">
        <w:rPr>
          <w:rFonts w:eastAsiaTheme="minorEastAsia"/>
          <w:snapToGrid w:val="0"/>
          <w:kern w:val="18"/>
          <w:sz w:val="20"/>
          <w:szCs w:val="20"/>
          <w:lang w:eastAsia="zh-CN"/>
        </w:rPr>
        <w:tab/>
      </w:r>
      <w:hyperlink r:id="rId12" w:history="1">
        <w:r w:rsidRPr="00650F1F">
          <w:rPr>
            <w:rStyle w:val="Hyperlink"/>
            <w:rFonts w:eastAsiaTheme="minorEastAsia"/>
            <w:snapToGrid w:val="0"/>
            <w:kern w:val="18"/>
            <w:sz w:val="20"/>
            <w:szCs w:val="20"/>
            <w:lang w:eastAsia="zh-CN"/>
          </w:rPr>
          <w:t>UNEP/CBD/COP/13/24</w:t>
        </w:r>
      </w:hyperlink>
      <w:r w:rsidRPr="00650F1F">
        <w:rPr>
          <w:rFonts w:eastAsiaTheme="minorEastAsia"/>
          <w:snapToGrid w:val="0"/>
          <w:kern w:val="18"/>
          <w:sz w:val="20"/>
          <w:szCs w:val="20"/>
          <w:lang w:eastAsia="zh-CN"/>
        </w:rPr>
        <w:t>。</w:t>
      </w:r>
    </w:p>
  </w:footnote>
  <w:footnote w:id="24">
    <w:p w:rsidR="00594C0B" w:rsidRPr="00650F1F" w:rsidRDefault="00594C0B" w:rsidP="00650F1F">
      <w:pPr>
        <w:pStyle w:val="FootnoteText"/>
        <w:tabs>
          <w:tab w:val="left" w:pos="360"/>
        </w:tabs>
        <w:adjustRightInd w:val="0"/>
        <w:spacing w:before="0"/>
        <w:ind w:firstLine="0"/>
        <w:rPr>
          <w:rFonts w:eastAsiaTheme="minorEastAsia"/>
          <w:sz w:val="20"/>
          <w:szCs w:val="20"/>
          <w:lang w:val="en-US"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rPr>
        <w:t xml:space="preserve"> </w:t>
      </w:r>
      <w:r w:rsidRPr="00650F1F">
        <w:rPr>
          <w:rStyle w:val="FootnoteReference"/>
          <w:rFonts w:eastAsiaTheme="minorEastAsia"/>
          <w:kern w:val="18"/>
          <w:sz w:val="24"/>
          <w:u w:val="none"/>
          <w:vertAlign w:val="superscript"/>
        </w:rPr>
        <w:t xml:space="preserve"> </w:t>
      </w:r>
      <w:r w:rsidRPr="00650F1F">
        <w:rPr>
          <w:rFonts w:eastAsiaTheme="minorEastAsia"/>
          <w:sz w:val="20"/>
          <w:szCs w:val="20"/>
          <w:lang w:eastAsia="zh-CN"/>
        </w:rPr>
        <w:t xml:space="preserve">   </w:t>
      </w:r>
      <w:hyperlink r:id="rId13" w:history="1">
        <w:r w:rsidRPr="00650F1F">
          <w:rPr>
            <w:rStyle w:val="Hyperlink"/>
            <w:rFonts w:eastAsiaTheme="minorEastAsia"/>
            <w:sz w:val="20"/>
            <w:szCs w:val="20"/>
            <w:lang w:eastAsia="zh-CN"/>
          </w:rPr>
          <w:t>CBD/COP/14/12</w:t>
        </w:r>
      </w:hyperlink>
      <w:r w:rsidRPr="00650F1F">
        <w:rPr>
          <w:rFonts w:eastAsiaTheme="minorEastAsia"/>
          <w:sz w:val="20"/>
          <w:szCs w:val="20"/>
          <w:lang w:eastAsia="zh-CN"/>
        </w:rPr>
        <w:t>。</w:t>
      </w:r>
    </w:p>
  </w:footnote>
  <w:footnote w:id="25">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jc w:val="left"/>
        <w:rPr>
          <w:rFonts w:eastAsiaTheme="minorEastAsia"/>
          <w:sz w:val="20"/>
          <w:szCs w:val="20"/>
          <w:lang w:eastAsia="zh-CN"/>
        </w:rPr>
      </w:pPr>
      <w:r w:rsidRPr="00650F1F">
        <w:rPr>
          <w:rStyle w:val="FootnoteReference"/>
          <w:rFonts w:eastAsiaTheme="minorEastAsia"/>
          <w:kern w:val="18"/>
          <w:sz w:val="24"/>
          <w:szCs w:val="20"/>
          <w:u w:val="none"/>
          <w:vertAlign w:val="superscript"/>
        </w:rPr>
        <w:footnoteRef/>
      </w:r>
      <w:r w:rsidRPr="00650F1F">
        <w:rPr>
          <w:rFonts w:eastAsiaTheme="minorEastAsia"/>
          <w:kern w:val="18"/>
          <w:sz w:val="20"/>
          <w:szCs w:val="20"/>
          <w:lang w:eastAsia="zh-CN"/>
        </w:rPr>
        <w:tab/>
      </w:r>
      <w:hyperlink r:id="rId14" w:history="1">
        <w:r w:rsidRPr="00650F1F">
          <w:rPr>
            <w:rStyle w:val="Hyperlink"/>
            <w:rFonts w:eastAsiaTheme="minorEastAsia"/>
            <w:sz w:val="20"/>
            <w:szCs w:val="20"/>
            <w:lang w:val="zh-CN" w:eastAsia="zh-CN"/>
          </w:rPr>
          <w:t>第</w:t>
        </w:r>
        <w:r w:rsidRPr="00650F1F">
          <w:rPr>
            <w:rStyle w:val="Hyperlink"/>
            <w:rFonts w:eastAsiaTheme="minorEastAsia"/>
            <w:sz w:val="20"/>
            <w:szCs w:val="20"/>
            <w:lang w:val="zh-CN" w:eastAsia="zh-CN"/>
          </w:rPr>
          <w:t>X/2</w:t>
        </w:r>
        <w:r w:rsidRPr="00650F1F">
          <w:rPr>
            <w:rStyle w:val="Hyperlink"/>
            <w:rFonts w:eastAsiaTheme="minorEastAsia"/>
            <w:sz w:val="20"/>
            <w:szCs w:val="20"/>
            <w:lang w:val="zh-CN" w:eastAsia="zh-CN"/>
          </w:rPr>
          <w:t>号决定</w:t>
        </w:r>
      </w:hyperlink>
      <w:r w:rsidRPr="00650F1F">
        <w:rPr>
          <w:rFonts w:eastAsiaTheme="minorEastAsia"/>
          <w:sz w:val="20"/>
          <w:szCs w:val="20"/>
          <w:lang w:val="zh-CN" w:eastAsia="zh-CN"/>
        </w:rPr>
        <w:t>，附件。</w:t>
      </w:r>
    </w:p>
  </w:footnote>
  <w:footnote w:id="26">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jc w:val="left"/>
        <w:rPr>
          <w:rFonts w:eastAsiaTheme="minorEastAsia"/>
          <w:sz w:val="20"/>
          <w:szCs w:val="20"/>
          <w:lang w:eastAsia="zh-CN"/>
        </w:rPr>
      </w:pPr>
      <w:r w:rsidRPr="00650F1F">
        <w:rPr>
          <w:rStyle w:val="FootnoteReference"/>
          <w:rFonts w:eastAsiaTheme="minorEastAsia"/>
          <w:kern w:val="18"/>
          <w:sz w:val="24"/>
          <w:szCs w:val="20"/>
          <w:u w:val="none"/>
          <w:vertAlign w:val="superscript"/>
        </w:rPr>
        <w:footnoteRef/>
      </w:r>
      <w:r w:rsidRPr="00650F1F">
        <w:rPr>
          <w:rFonts w:eastAsiaTheme="minorEastAsia"/>
          <w:kern w:val="18"/>
          <w:sz w:val="20"/>
          <w:szCs w:val="20"/>
          <w:lang w:eastAsia="zh-CN"/>
        </w:rPr>
        <w:tab/>
      </w:r>
      <w:r w:rsidRPr="00650F1F">
        <w:rPr>
          <w:rFonts w:eastAsiaTheme="minorEastAsia"/>
          <w:sz w:val="20"/>
          <w:szCs w:val="20"/>
          <w:lang w:val="zh-CN" w:eastAsia="zh-CN"/>
        </w:rPr>
        <w:t>见联大</w:t>
      </w:r>
      <w:r w:rsidRPr="00650F1F">
        <w:rPr>
          <w:rFonts w:eastAsiaTheme="minorEastAsia"/>
          <w:sz w:val="20"/>
          <w:szCs w:val="20"/>
          <w:lang w:val="zh-CN" w:eastAsia="zh-CN"/>
        </w:rPr>
        <w:t>2015</w:t>
      </w:r>
      <w:r w:rsidRPr="00650F1F">
        <w:rPr>
          <w:rFonts w:eastAsiaTheme="minorEastAsia"/>
          <w:sz w:val="20"/>
          <w:szCs w:val="20"/>
          <w:lang w:val="zh-CN" w:eastAsia="zh-CN"/>
        </w:rPr>
        <w:t>年</w:t>
      </w:r>
      <w:r w:rsidRPr="00650F1F">
        <w:rPr>
          <w:rFonts w:eastAsiaTheme="minorEastAsia"/>
          <w:sz w:val="20"/>
          <w:szCs w:val="20"/>
          <w:lang w:val="zh-CN" w:eastAsia="zh-CN"/>
        </w:rPr>
        <w:t>9</w:t>
      </w:r>
      <w:r w:rsidRPr="00650F1F">
        <w:rPr>
          <w:rFonts w:eastAsiaTheme="minorEastAsia"/>
          <w:sz w:val="20"/>
          <w:szCs w:val="20"/>
          <w:lang w:val="zh-CN" w:eastAsia="zh-CN"/>
        </w:rPr>
        <w:t>月</w:t>
      </w:r>
      <w:r w:rsidRPr="00650F1F">
        <w:rPr>
          <w:rFonts w:eastAsiaTheme="minorEastAsia"/>
          <w:sz w:val="20"/>
          <w:szCs w:val="20"/>
          <w:lang w:val="zh-CN" w:eastAsia="zh-CN"/>
        </w:rPr>
        <w:t>25</w:t>
      </w:r>
      <w:r w:rsidRPr="00650F1F">
        <w:rPr>
          <w:rFonts w:eastAsiaTheme="minorEastAsia"/>
          <w:sz w:val="20"/>
          <w:szCs w:val="20"/>
          <w:lang w:val="zh-CN" w:eastAsia="zh-CN"/>
        </w:rPr>
        <w:t>日</w:t>
      </w:r>
      <w:hyperlink r:id="rId15" w:history="1">
        <w:r w:rsidRPr="00650F1F">
          <w:rPr>
            <w:rStyle w:val="Hyperlink"/>
            <w:rFonts w:eastAsiaTheme="minorEastAsia"/>
            <w:sz w:val="20"/>
            <w:szCs w:val="20"/>
            <w:lang w:val="zh-CN" w:eastAsia="zh-CN"/>
          </w:rPr>
          <w:t>第</w:t>
        </w:r>
        <w:r w:rsidRPr="00650F1F">
          <w:rPr>
            <w:rStyle w:val="Hyperlink"/>
            <w:rFonts w:eastAsiaTheme="minorEastAsia"/>
            <w:sz w:val="20"/>
            <w:szCs w:val="20"/>
            <w:lang w:val="zh-CN" w:eastAsia="zh-CN"/>
          </w:rPr>
          <w:t>70/1</w:t>
        </w:r>
        <w:r w:rsidRPr="00650F1F">
          <w:rPr>
            <w:rStyle w:val="Hyperlink"/>
            <w:rFonts w:eastAsiaTheme="minorEastAsia"/>
            <w:sz w:val="20"/>
            <w:szCs w:val="20"/>
            <w:lang w:val="zh-CN" w:eastAsia="zh-CN"/>
          </w:rPr>
          <w:t>号决议</w:t>
        </w:r>
      </w:hyperlink>
      <w:r w:rsidRPr="00650F1F">
        <w:rPr>
          <w:rFonts w:eastAsiaTheme="minorEastAsia"/>
          <w:sz w:val="20"/>
          <w:szCs w:val="20"/>
          <w:lang w:val="zh-CN" w:eastAsia="zh-CN"/>
        </w:rPr>
        <w:t>，题为</w:t>
      </w:r>
      <w:r w:rsidRPr="005C1755">
        <w:rPr>
          <w:rFonts w:asciiTheme="minorEastAsia" w:eastAsiaTheme="minorEastAsia" w:hAnsiTheme="minorEastAsia"/>
          <w:sz w:val="20"/>
          <w:szCs w:val="20"/>
          <w:lang w:val="zh-CN" w:eastAsia="zh-CN"/>
        </w:rPr>
        <w:t>“改变我们的世界：</w:t>
      </w:r>
      <w:r w:rsidRPr="005C1755">
        <w:rPr>
          <w:rFonts w:eastAsiaTheme="minorEastAsia"/>
          <w:sz w:val="20"/>
          <w:szCs w:val="20"/>
          <w:lang w:val="zh-CN" w:eastAsia="zh-CN"/>
        </w:rPr>
        <w:t>2030</w:t>
      </w:r>
      <w:r w:rsidRPr="005C1755">
        <w:rPr>
          <w:rFonts w:asciiTheme="minorEastAsia" w:eastAsiaTheme="minorEastAsia" w:hAnsiTheme="minorEastAsia"/>
          <w:sz w:val="20"/>
          <w:szCs w:val="20"/>
          <w:lang w:val="zh-CN" w:eastAsia="zh-CN"/>
        </w:rPr>
        <w:t>年可持续发展议程”。</w:t>
      </w:r>
    </w:p>
  </w:footnote>
  <w:footnote w:id="27">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jc w:val="left"/>
        <w:rPr>
          <w:rFonts w:eastAsiaTheme="minorEastAsia"/>
          <w:sz w:val="20"/>
          <w:szCs w:val="20"/>
          <w:lang w:val="zh-CN"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lang w:eastAsia="zh-CN"/>
        </w:rPr>
        <w:t xml:space="preserve"> </w:t>
      </w:r>
      <w:r w:rsidRPr="00650F1F">
        <w:rPr>
          <w:rFonts w:eastAsiaTheme="minorEastAsia"/>
          <w:kern w:val="18"/>
          <w:sz w:val="20"/>
          <w:szCs w:val="20"/>
          <w:lang w:eastAsia="zh-CN"/>
        </w:rPr>
        <w:tab/>
      </w:r>
      <w:r w:rsidRPr="00650F1F">
        <w:rPr>
          <w:rFonts w:eastAsiaTheme="minorEastAsia"/>
          <w:sz w:val="20"/>
          <w:szCs w:val="20"/>
          <w:lang w:val="zh-CN" w:eastAsia="zh-CN"/>
        </w:rPr>
        <w:t>《联合国气候变化框架公约》，</w:t>
      </w:r>
      <w:r w:rsidRPr="00650F1F">
        <w:rPr>
          <w:rFonts w:eastAsiaTheme="minorEastAsia"/>
          <w:spacing w:val="-20"/>
          <w:sz w:val="20"/>
          <w:szCs w:val="20"/>
          <w:lang w:val="zh-CN" w:eastAsia="zh-CN"/>
        </w:rPr>
        <w:t>缔约方大会第二十一届会议，第</w:t>
      </w:r>
      <w:r w:rsidRPr="00650F1F">
        <w:rPr>
          <w:rFonts w:eastAsiaTheme="minorEastAsia"/>
          <w:spacing w:val="-20"/>
          <w:sz w:val="20"/>
          <w:szCs w:val="20"/>
          <w:lang w:val="zh-CN" w:eastAsia="zh-CN"/>
        </w:rPr>
        <w:t>1/CP.21</w:t>
      </w:r>
      <w:r w:rsidRPr="00650F1F">
        <w:rPr>
          <w:rFonts w:eastAsiaTheme="minorEastAsia"/>
          <w:spacing w:val="-20"/>
          <w:sz w:val="20"/>
          <w:szCs w:val="20"/>
          <w:lang w:val="zh-CN" w:eastAsia="zh-CN"/>
        </w:rPr>
        <w:t>号决定（见</w:t>
      </w:r>
      <w:r w:rsidRPr="00650F1F">
        <w:rPr>
          <w:rFonts w:eastAsiaTheme="minorEastAsia"/>
          <w:spacing w:val="-20"/>
          <w:sz w:val="20"/>
          <w:szCs w:val="20"/>
          <w:lang w:val="zh-CN" w:eastAsia="zh-CN"/>
        </w:rPr>
        <w:t>FCCC/CP/2015</w:t>
      </w:r>
      <w:r w:rsidRPr="00650F1F">
        <w:rPr>
          <w:rFonts w:eastAsiaTheme="minorEastAsia"/>
          <w:sz w:val="20"/>
          <w:szCs w:val="20"/>
          <w:lang w:val="zh-CN" w:eastAsia="zh-CN"/>
        </w:rPr>
        <w:t>/10/Add.1</w:t>
      </w:r>
      <w:r w:rsidRPr="00650F1F">
        <w:rPr>
          <w:rFonts w:eastAsiaTheme="minorEastAsia"/>
          <w:sz w:val="20"/>
          <w:szCs w:val="20"/>
          <w:lang w:val="zh-CN" w:eastAsia="zh-CN"/>
        </w:rPr>
        <w:t>）。</w:t>
      </w:r>
    </w:p>
  </w:footnote>
  <w:footnote w:id="28">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jc w:val="left"/>
        <w:rPr>
          <w:rFonts w:eastAsiaTheme="minorEastAsia"/>
          <w:sz w:val="20"/>
          <w:szCs w:val="20"/>
          <w:lang w:eastAsia="zh-CN"/>
        </w:rPr>
      </w:pPr>
      <w:r w:rsidRPr="00650F1F">
        <w:rPr>
          <w:rStyle w:val="FootnoteReference"/>
          <w:rFonts w:eastAsiaTheme="minorEastAsia"/>
          <w:kern w:val="18"/>
          <w:sz w:val="24"/>
          <w:szCs w:val="20"/>
          <w:u w:val="none"/>
          <w:vertAlign w:val="superscript"/>
        </w:rPr>
        <w:footnoteRef/>
      </w:r>
      <w:r w:rsidRPr="00650F1F">
        <w:rPr>
          <w:rFonts w:eastAsiaTheme="minorEastAsia"/>
          <w:sz w:val="20"/>
          <w:szCs w:val="20"/>
          <w:lang w:val="zh-CN" w:eastAsia="zh-CN"/>
        </w:rPr>
        <w:tab/>
      </w:r>
      <w:hyperlink r:id="rId16" w:history="1">
        <w:r w:rsidRPr="00650F1F">
          <w:rPr>
            <w:rStyle w:val="Hyperlink"/>
            <w:rFonts w:eastAsiaTheme="minorEastAsia"/>
            <w:sz w:val="20"/>
            <w:szCs w:val="20"/>
            <w:lang w:val="zh-CN" w:eastAsia="zh-CN"/>
          </w:rPr>
          <w:t>生物多样性公约秘书处（</w:t>
        </w:r>
        <w:r w:rsidRPr="00650F1F">
          <w:rPr>
            <w:rStyle w:val="Hyperlink"/>
            <w:rFonts w:eastAsiaTheme="minorEastAsia"/>
            <w:sz w:val="20"/>
            <w:szCs w:val="20"/>
            <w:lang w:eastAsia="zh-CN"/>
          </w:rPr>
          <w:t>2012</w:t>
        </w:r>
        <w:r w:rsidRPr="00650F1F">
          <w:rPr>
            <w:rStyle w:val="Hyperlink"/>
            <w:rFonts w:eastAsiaTheme="minorEastAsia"/>
            <w:sz w:val="20"/>
            <w:szCs w:val="20"/>
            <w:lang w:val="zh-CN" w:eastAsia="zh-CN"/>
          </w:rPr>
          <w:t>年），《城市和生物多样性展望》，加拿大蒙特利尔</w:t>
        </w:r>
      </w:hyperlink>
      <w:r w:rsidRPr="00650F1F">
        <w:rPr>
          <w:rFonts w:eastAsiaTheme="minorEastAsia"/>
          <w:sz w:val="20"/>
          <w:szCs w:val="20"/>
          <w:lang w:val="zh-CN" w:eastAsia="zh-CN"/>
        </w:rPr>
        <w:t>。</w:t>
      </w:r>
    </w:p>
  </w:footnote>
  <w:footnote w:id="29">
    <w:p w:rsidR="00594C0B" w:rsidRPr="00650F1F" w:rsidRDefault="00594C0B" w:rsidP="00650F1F">
      <w:pPr>
        <w:pStyle w:val="FootnoteText"/>
        <w:suppressLineNumbers/>
        <w:tabs>
          <w:tab w:val="left" w:pos="360"/>
        </w:tabs>
        <w:suppressAutoHyphens/>
        <w:kinsoku w:val="0"/>
        <w:overflowPunct w:val="0"/>
        <w:autoSpaceDE w:val="0"/>
        <w:autoSpaceDN w:val="0"/>
        <w:adjustRightInd w:val="0"/>
        <w:spacing w:before="0"/>
        <w:ind w:firstLine="0"/>
        <w:jc w:val="left"/>
        <w:rPr>
          <w:rFonts w:eastAsiaTheme="minorEastAsia"/>
          <w:sz w:val="20"/>
          <w:szCs w:val="20"/>
          <w:lang w:eastAsia="zh-CN"/>
        </w:rPr>
      </w:pPr>
      <w:r w:rsidRPr="00650F1F">
        <w:rPr>
          <w:rStyle w:val="FootnoteReference"/>
          <w:rFonts w:eastAsiaTheme="minorEastAsia"/>
          <w:kern w:val="18"/>
          <w:sz w:val="24"/>
          <w:szCs w:val="20"/>
          <w:u w:val="none"/>
          <w:vertAlign w:val="superscript"/>
        </w:rPr>
        <w:footnoteRef/>
      </w:r>
      <w:r w:rsidRPr="00650F1F">
        <w:rPr>
          <w:rFonts w:eastAsiaTheme="minorEastAsia"/>
          <w:sz w:val="20"/>
          <w:szCs w:val="20"/>
          <w:lang w:eastAsia="zh-CN"/>
        </w:rPr>
        <w:tab/>
      </w:r>
      <w:r w:rsidRPr="00650F1F">
        <w:rPr>
          <w:rFonts w:eastAsiaTheme="minorEastAsia"/>
          <w:sz w:val="20"/>
          <w:szCs w:val="20"/>
          <w:lang w:eastAsia="zh-CN"/>
        </w:rPr>
        <w:t>联大第</w:t>
      </w:r>
      <w:r w:rsidRPr="00650F1F">
        <w:rPr>
          <w:rFonts w:eastAsiaTheme="minorEastAsia"/>
          <w:sz w:val="20"/>
          <w:szCs w:val="20"/>
          <w:lang w:eastAsia="zh-CN"/>
        </w:rPr>
        <w:t>71/256</w:t>
      </w:r>
      <w:r w:rsidRPr="00650F1F">
        <w:rPr>
          <w:rFonts w:eastAsiaTheme="minorEastAsia"/>
          <w:sz w:val="20"/>
          <w:szCs w:val="20"/>
          <w:lang w:eastAsia="zh-CN"/>
        </w:rPr>
        <w:t>号决议，附件。</w:t>
      </w:r>
    </w:p>
  </w:footnote>
  <w:footnote w:id="30">
    <w:p w:rsidR="00594C0B" w:rsidRPr="00650F1F" w:rsidRDefault="00594C0B" w:rsidP="00650F1F">
      <w:pPr>
        <w:pStyle w:val="FootnoteText"/>
        <w:tabs>
          <w:tab w:val="left" w:pos="360"/>
        </w:tabs>
        <w:adjustRightInd w:val="0"/>
        <w:spacing w:before="0"/>
        <w:ind w:firstLine="0"/>
        <w:rPr>
          <w:rFonts w:eastAsiaTheme="minorEastAsia"/>
          <w:sz w:val="20"/>
          <w:szCs w:val="20"/>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lang w:eastAsia="zh-CN"/>
        </w:rPr>
        <w:t xml:space="preserve"> </w:t>
      </w:r>
      <w:r w:rsidRPr="00650F1F">
        <w:rPr>
          <w:rFonts w:eastAsiaTheme="minorEastAsia"/>
          <w:sz w:val="20"/>
          <w:szCs w:val="20"/>
          <w:lang w:eastAsia="zh-CN"/>
        </w:rPr>
        <w:t xml:space="preserve"> </w:t>
      </w:r>
      <w:r>
        <w:rPr>
          <w:rFonts w:eastAsiaTheme="minorEastAsia"/>
          <w:sz w:val="20"/>
          <w:szCs w:val="20"/>
          <w:lang w:eastAsia="zh-CN"/>
        </w:rPr>
        <w:t xml:space="preserve"> </w:t>
      </w:r>
      <w:hyperlink r:id="rId17" w:history="1">
        <w:r w:rsidRPr="00650F1F">
          <w:rPr>
            <w:rStyle w:val="Hyperlink"/>
            <w:rFonts w:eastAsiaTheme="minorEastAsia"/>
            <w:sz w:val="20"/>
            <w:szCs w:val="20"/>
            <w:lang w:eastAsia="zh-CN"/>
          </w:rPr>
          <w:t>国</w:t>
        </w:r>
        <w:r w:rsidRPr="00650F1F">
          <w:rPr>
            <w:rStyle w:val="Hyperlink"/>
            <w:rFonts w:eastAsiaTheme="minorEastAsia"/>
            <w:sz w:val="20"/>
            <w:szCs w:val="20"/>
            <w:lang w:eastAsia="zh-CN"/>
          </w:rPr>
          <w:t>​</w:t>
        </w:r>
        <w:r w:rsidRPr="00650F1F">
          <w:rPr>
            <w:rStyle w:val="Hyperlink"/>
            <w:rFonts w:eastAsiaTheme="minorEastAsia"/>
            <w:sz w:val="20"/>
            <w:szCs w:val="20"/>
            <w:lang w:eastAsia="zh-CN"/>
          </w:rPr>
          <w:t>际</w:t>
        </w:r>
        <w:r w:rsidRPr="00650F1F">
          <w:rPr>
            <w:rStyle w:val="Hyperlink"/>
            <w:rFonts w:eastAsiaTheme="minorEastAsia"/>
            <w:sz w:val="20"/>
            <w:szCs w:val="20"/>
            <w:lang w:eastAsia="zh-CN"/>
          </w:rPr>
          <w:t>​</w:t>
        </w:r>
        <w:r w:rsidRPr="00650F1F">
          <w:rPr>
            <w:rStyle w:val="Hyperlink"/>
            <w:rFonts w:eastAsiaTheme="minorEastAsia"/>
            <w:sz w:val="20"/>
            <w:szCs w:val="20"/>
            <w:lang w:eastAsia="zh-CN"/>
          </w:rPr>
          <w:t>资</w:t>
        </w:r>
        <w:r w:rsidRPr="00650F1F">
          <w:rPr>
            <w:rStyle w:val="Hyperlink"/>
            <w:rFonts w:eastAsiaTheme="minorEastAsia"/>
            <w:sz w:val="20"/>
            <w:szCs w:val="20"/>
            <w:lang w:eastAsia="zh-CN"/>
          </w:rPr>
          <w:t>​</w:t>
        </w:r>
        <w:r w:rsidRPr="00650F1F">
          <w:rPr>
            <w:rStyle w:val="Hyperlink"/>
            <w:rFonts w:eastAsiaTheme="minorEastAsia"/>
            <w:sz w:val="20"/>
            <w:szCs w:val="20"/>
            <w:lang w:eastAsia="zh-CN"/>
          </w:rPr>
          <w:t>源</w:t>
        </w:r>
        <w:r w:rsidRPr="00650F1F">
          <w:rPr>
            <w:rStyle w:val="Hyperlink"/>
            <w:rFonts w:eastAsiaTheme="minorEastAsia"/>
            <w:sz w:val="20"/>
            <w:szCs w:val="20"/>
            <w:lang w:eastAsia="zh-CN"/>
          </w:rPr>
          <w:t>​</w:t>
        </w:r>
        <w:r w:rsidRPr="00650F1F">
          <w:rPr>
            <w:rStyle w:val="Hyperlink"/>
            <w:rFonts w:eastAsiaTheme="minorEastAsia"/>
            <w:sz w:val="20"/>
            <w:szCs w:val="20"/>
            <w:lang w:eastAsia="zh-CN"/>
          </w:rPr>
          <w:t>小</w:t>
        </w:r>
        <w:r w:rsidRPr="00650F1F">
          <w:rPr>
            <w:rStyle w:val="Hyperlink"/>
            <w:rFonts w:eastAsiaTheme="minorEastAsia"/>
            <w:sz w:val="20"/>
            <w:szCs w:val="20"/>
            <w:lang w:eastAsia="zh-CN"/>
          </w:rPr>
          <w:t>​</w:t>
        </w:r>
        <w:r w:rsidRPr="00650F1F">
          <w:rPr>
            <w:rStyle w:val="Hyperlink"/>
            <w:rFonts w:eastAsiaTheme="minorEastAsia"/>
            <w:sz w:val="20"/>
            <w:szCs w:val="20"/>
            <w:lang w:eastAsia="zh-CN"/>
          </w:rPr>
          <w:t>组，</w:t>
        </w:r>
        <w:r w:rsidRPr="005C1755">
          <w:rPr>
            <w:rStyle w:val="Hyperlink"/>
            <w:rFonts w:asciiTheme="minorEastAsia" w:eastAsiaTheme="minorEastAsia" w:hAnsiTheme="minorEastAsia"/>
            <w:kern w:val="22"/>
            <w:sz w:val="20"/>
            <w:szCs w:val="20"/>
            <w:lang w:eastAsia="zh-CN"/>
          </w:rPr>
          <w:t>“城市的重量：未来城市化的资源需求”，</w:t>
        </w:r>
        <w:r>
          <w:rPr>
            <w:rStyle w:val="Hyperlink"/>
            <w:rFonts w:eastAsiaTheme="minorEastAsia"/>
            <w:kern w:val="22"/>
            <w:sz w:val="20"/>
            <w:szCs w:val="20"/>
            <w:lang w:eastAsia="zh-CN"/>
          </w:rPr>
          <w:t>联合国环境署</w:t>
        </w:r>
        <w:r w:rsidRPr="00650F1F">
          <w:rPr>
            <w:rStyle w:val="Hyperlink"/>
            <w:rFonts w:eastAsiaTheme="minorEastAsia"/>
            <w:kern w:val="22"/>
            <w:sz w:val="20"/>
            <w:szCs w:val="20"/>
            <w:lang w:eastAsia="zh-CN"/>
          </w:rPr>
          <w:t>，</w:t>
        </w:r>
        <w:r w:rsidRPr="00650F1F">
          <w:rPr>
            <w:rStyle w:val="Hyperlink"/>
            <w:rFonts w:eastAsiaTheme="minorEastAsia"/>
            <w:kern w:val="22"/>
            <w:sz w:val="20"/>
            <w:szCs w:val="20"/>
            <w:lang w:eastAsia="zh-CN"/>
          </w:rPr>
          <w:t>2018</w:t>
        </w:r>
        <w:r w:rsidRPr="00650F1F">
          <w:rPr>
            <w:rStyle w:val="Hyperlink"/>
            <w:rFonts w:eastAsiaTheme="minorEastAsia"/>
            <w:kern w:val="22"/>
            <w:sz w:val="20"/>
            <w:szCs w:val="20"/>
            <w:lang w:eastAsia="zh-CN"/>
          </w:rPr>
          <w:t>年，肯尼亚内罗毕</w:t>
        </w:r>
      </w:hyperlink>
      <w:r w:rsidRPr="00650F1F">
        <w:rPr>
          <w:rFonts w:eastAsiaTheme="minorEastAsia"/>
          <w:color w:val="000000" w:themeColor="text1"/>
          <w:kern w:val="22"/>
          <w:sz w:val="20"/>
          <w:szCs w:val="20"/>
          <w:lang w:eastAsia="zh-CN"/>
        </w:rPr>
        <w:t>。</w:t>
      </w:r>
    </w:p>
  </w:footnote>
  <w:footnote w:id="31">
    <w:p w:rsidR="00594C0B" w:rsidRPr="00650F1F" w:rsidRDefault="00594C0B" w:rsidP="00650F1F">
      <w:pPr>
        <w:pStyle w:val="FootnoteText"/>
        <w:suppressLineNumbers/>
        <w:tabs>
          <w:tab w:val="left" w:pos="360"/>
        </w:tabs>
        <w:suppressAutoHyphens/>
        <w:kinsoku w:val="0"/>
        <w:overflowPunct w:val="0"/>
        <w:autoSpaceDE w:val="0"/>
        <w:autoSpaceDN w:val="0"/>
        <w:adjustRightInd w:val="0"/>
        <w:spacing w:before="0"/>
        <w:ind w:firstLine="0"/>
        <w:jc w:val="left"/>
        <w:rPr>
          <w:rFonts w:eastAsiaTheme="minorEastAsia"/>
          <w:sz w:val="20"/>
          <w:szCs w:val="20"/>
        </w:rPr>
      </w:pPr>
      <w:r w:rsidRPr="00650F1F">
        <w:rPr>
          <w:rStyle w:val="FootnoteReference"/>
          <w:rFonts w:eastAsiaTheme="minorEastAsia"/>
          <w:kern w:val="18"/>
          <w:sz w:val="24"/>
          <w:szCs w:val="20"/>
          <w:u w:val="none"/>
          <w:vertAlign w:val="superscript"/>
        </w:rPr>
        <w:footnoteRef/>
      </w:r>
      <w:r w:rsidRPr="00650F1F">
        <w:rPr>
          <w:rFonts w:eastAsiaTheme="minorEastAsia"/>
          <w:sz w:val="20"/>
          <w:szCs w:val="20"/>
        </w:rPr>
        <w:tab/>
        <w:t>CBD/SBI/2/INF/39</w:t>
      </w:r>
      <w:r w:rsidRPr="00650F1F">
        <w:rPr>
          <w:rFonts w:eastAsiaTheme="minorEastAsia"/>
          <w:sz w:val="20"/>
          <w:szCs w:val="20"/>
        </w:rPr>
        <w:t>。</w:t>
      </w:r>
    </w:p>
  </w:footnote>
  <w:footnote w:id="32">
    <w:p w:rsidR="00594C0B" w:rsidRPr="00650F1F" w:rsidRDefault="00594C0B" w:rsidP="00650F1F">
      <w:pPr>
        <w:pStyle w:val="FootnoteText"/>
        <w:suppressLineNumbers/>
        <w:tabs>
          <w:tab w:val="left" w:pos="360"/>
        </w:tabs>
        <w:suppressAutoHyphens/>
        <w:kinsoku w:val="0"/>
        <w:overflowPunct w:val="0"/>
        <w:autoSpaceDE w:val="0"/>
        <w:autoSpaceDN w:val="0"/>
        <w:adjustRightInd w:val="0"/>
        <w:spacing w:before="0"/>
        <w:ind w:firstLine="0"/>
        <w:jc w:val="left"/>
        <w:rPr>
          <w:rFonts w:eastAsiaTheme="minorEastAsia"/>
          <w:sz w:val="20"/>
          <w:szCs w:val="20"/>
        </w:rPr>
      </w:pPr>
      <w:r w:rsidRPr="00650F1F">
        <w:rPr>
          <w:rStyle w:val="FootnoteReference"/>
          <w:rFonts w:eastAsiaTheme="minorEastAsia"/>
          <w:kern w:val="18"/>
          <w:sz w:val="24"/>
          <w:szCs w:val="20"/>
          <w:u w:val="none"/>
          <w:vertAlign w:val="superscript"/>
        </w:rPr>
        <w:footnoteRef/>
      </w:r>
      <w:r w:rsidRPr="00650F1F">
        <w:rPr>
          <w:rFonts w:eastAsiaTheme="minorEastAsia"/>
          <w:sz w:val="20"/>
          <w:szCs w:val="20"/>
        </w:rPr>
        <w:tab/>
        <w:t>CBD/SBI/2/INF/37</w:t>
      </w:r>
      <w:r w:rsidRPr="00650F1F">
        <w:rPr>
          <w:rFonts w:eastAsiaTheme="minorEastAsia"/>
          <w:sz w:val="20"/>
          <w:szCs w:val="20"/>
        </w:rPr>
        <w:t>。</w:t>
      </w:r>
    </w:p>
  </w:footnote>
  <w:footnote w:id="33">
    <w:p w:rsidR="00594C0B" w:rsidRPr="00650F1F" w:rsidRDefault="00594C0B" w:rsidP="00650F1F">
      <w:pPr>
        <w:pStyle w:val="FootnoteText"/>
        <w:suppressLineNumbers/>
        <w:tabs>
          <w:tab w:val="left" w:pos="360"/>
        </w:tabs>
        <w:suppressAutoHyphens/>
        <w:kinsoku w:val="0"/>
        <w:overflowPunct w:val="0"/>
        <w:autoSpaceDE w:val="0"/>
        <w:autoSpaceDN w:val="0"/>
        <w:adjustRightInd w:val="0"/>
        <w:spacing w:before="0"/>
        <w:ind w:firstLine="0"/>
        <w:jc w:val="left"/>
        <w:rPr>
          <w:rFonts w:eastAsiaTheme="minorEastAsia"/>
          <w:sz w:val="20"/>
          <w:szCs w:val="20"/>
        </w:rPr>
      </w:pPr>
      <w:r w:rsidRPr="00650F1F">
        <w:rPr>
          <w:rStyle w:val="FootnoteReference"/>
          <w:rFonts w:eastAsiaTheme="minorEastAsia"/>
          <w:kern w:val="18"/>
          <w:sz w:val="24"/>
          <w:szCs w:val="20"/>
          <w:u w:val="none"/>
          <w:vertAlign w:val="superscript"/>
        </w:rPr>
        <w:footnoteRef/>
      </w:r>
      <w:r w:rsidRPr="00650F1F">
        <w:rPr>
          <w:rFonts w:eastAsiaTheme="minorEastAsia"/>
          <w:sz w:val="20"/>
          <w:szCs w:val="20"/>
        </w:rPr>
        <w:tab/>
        <w:t>CBD/SBI/2/4/Add.2</w:t>
      </w:r>
      <w:r w:rsidRPr="00650F1F">
        <w:rPr>
          <w:rFonts w:eastAsiaTheme="minorEastAsia"/>
          <w:sz w:val="20"/>
          <w:szCs w:val="20"/>
        </w:rPr>
        <w:t>。</w:t>
      </w:r>
    </w:p>
  </w:footnote>
  <w:footnote w:id="34">
    <w:p w:rsidR="00594C0B" w:rsidRPr="00650F1F" w:rsidRDefault="00594C0B" w:rsidP="00650F1F">
      <w:pPr>
        <w:pStyle w:val="FootnoteText"/>
        <w:suppressLineNumbers/>
        <w:tabs>
          <w:tab w:val="left" w:pos="360"/>
        </w:tabs>
        <w:suppressAutoHyphens/>
        <w:kinsoku w:val="0"/>
        <w:overflowPunct w:val="0"/>
        <w:autoSpaceDE w:val="0"/>
        <w:autoSpaceDN w:val="0"/>
        <w:adjustRightInd w:val="0"/>
        <w:spacing w:before="0"/>
        <w:ind w:firstLine="0"/>
        <w:jc w:val="left"/>
        <w:rPr>
          <w:rFonts w:eastAsiaTheme="minorEastAsia"/>
          <w:sz w:val="20"/>
          <w:szCs w:val="20"/>
        </w:rPr>
      </w:pPr>
      <w:r w:rsidRPr="00650F1F">
        <w:rPr>
          <w:rStyle w:val="FootnoteReference"/>
          <w:rFonts w:eastAsiaTheme="minorEastAsia"/>
          <w:kern w:val="18"/>
          <w:sz w:val="24"/>
          <w:szCs w:val="20"/>
          <w:u w:val="none"/>
          <w:vertAlign w:val="superscript"/>
        </w:rPr>
        <w:footnoteRef/>
      </w:r>
      <w:r w:rsidRPr="00650F1F">
        <w:rPr>
          <w:rFonts w:eastAsiaTheme="minorEastAsia"/>
          <w:sz w:val="20"/>
          <w:szCs w:val="20"/>
        </w:rPr>
        <w:tab/>
        <w:t>CBD/SBI/2/INF/29</w:t>
      </w:r>
      <w:r w:rsidRPr="00650F1F">
        <w:rPr>
          <w:rFonts w:eastAsiaTheme="minorEastAsia"/>
          <w:sz w:val="20"/>
          <w:szCs w:val="20"/>
        </w:rPr>
        <w:t>。</w:t>
      </w:r>
    </w:p>
  </w:footnote>
  <w:footnote w:id="35">
    <w:p w:rsidR="00594C0B" w:rsidRPr="005C1755" w:rsidRDefault="00594C0B" w:rsidP="00650F1F">
      <w:pPr>
        <w:pStyle w:val="FootnoteText"/>
        <w:suppressLineNumbers/>
        <w:tabs>
          <w:tab w:val="left" w:pos="360"/>
        </w:tabs>
        <w:suppressAutoHyphens/>
        <w:kinsoku w:val="0"/>
        <w:overflowPunct w:val="0"/>
        <w:autoSpaceDE w:val="0"/>
        <w:autoSpaceDN w:val="0"/>
        <w:adjustRightInd w:val="0"/>
        <w:spacing w:before="0"/>
        <w:ind w:firstLine="0"/>
        <w:jc w:val="left"/>
        <w:rPr>
          <w:rFonts w:asciiTheme="minorEastAsia" w:eastAsiaTheme="minorEastAsia" w:hAnsiTheme="minorEastAsia"/>
          <w:sz w:val="20"/>
          <w:szCs w:val="20"/>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rPr>
        <w:t xml:space="preserve"> </w:t>
      </w:r>
      <w:r w:rsidRPr="00650F1F">
        <w:rPr>
          <w:rStyle w:val="FootnoteReference"/>
          <w:rFonts w:eastAsiaTheme="minorEastAsia"/>
          <w:sz w:val="24"/>
          <w:szCs w:val="20"/>
          <w:u w:val="none"/>
          <w:vertAlign w:val="superscript"/>
        </w:rPr>
        <w:t xml:space="preserve"> </w:t>
      </w:r>
      <w:r w:rsidRPr="00650F1F">
        <w:rPr>
          <w:rFonts w:eastAsiaTheme="minorEastAsia"/>
          <w:sz w:val="20"/>
          <w:szCs w:val="20"/>
        </w:rPr>
        <w:t xml:space="preserve">  UNEP/CMS/Resolution 7.05</w:t>
      </w:r>
      <w:r w:rsidRPr="00650F1F">
        <w:rPr>
          <w:rFonts w:eastAsiaTheme="minorEastAsia"/>
          <w:sz w:val="20"/>
          <w:szCs w:val="20"/>
          <w:lang w:eastAsia="zh-CN"/>
        </w:rPr>
        <w:t>（</w:t>
      </w:r>
      <w:r w:rsidRPr="00650F1F">
        <w:rPr>
          <w:rFonts w:eastAsiaTheme="minorEastAsia"/>
          <w:kern w:val="18"/>
          <w:sz w:val="20"/>
          <w:szCs w:val="20"/>
        </w:rPr>
        <w:t>Rev. COP 12</w:t>
      </w:r>
      <w:r w:rsidRPr="00650F1F">
        <w:rPr>
          <w:rFonts w:eastAsiaTheme="minorEastAsia"/>
          <w:kern w:val="18"/>
          <w:sz w:val="20"/>
          <w:szCs w:val="20"/>
          <w:lang w:eastAsia="zh-CN"/>
        </w:rPr>
        <w:t>）</w:t>
      </w:r>
      <w:r w:rsidRPr="005C1755">
        <w:rPr>
          <w:rFonts w:asciiTheme="minorEastAsia" w:eastAsiaTheme="minorEastAsia" w:hAnsiTheme="minorEastAsia"/>
          <w:kern w:val="18"/>
          <w:sz w:val="20"/>
          <w:szCs w:val="20"/>
          <w:lang w:eastAsia="zh-CN"/>
        </w:rPr>
        <w:t>“</w:t>
      </w:r>
      <w:r w:rsidRPr="005C1755">
        <w:rPr>
          <w:rFonts w:asciiTheme="minorEastAsia" w:eastAsiaTheme="minorEastAsia" w:hAnsiTheme="minorEastAsia"/>
          <w:sz w:val="20"/>
          <w:szCs w:val="20"/>
        </w:rPr>
        <w:t>风力涡轮机和移栖物种</w:t>
      </w:r>
      <w:r w:rsidRPr="005C1755">
        <w:rPr>
          <w:rFonts w:asciiTheme="minorEastAsia" w:eastAsiaTheme="minorEastAsia" w:hAnsiTheme="minorEastAsia"/>
          <w:kern w:val="18"/>
          <w:sz w:val="20"/>
          <w:szCs w:val="20"/>
          <w:lang w:eastAsia="zh-CN"/>
        </w:rPr>
        <w:t>”</w:t>
      </w:r>
      <w:r w:rsidRPr="005C1755">
        <w:rPr>
          <w:rFonts w:asciiTheme="minorEastAsia" w:eastAsiaTheme="minorEastAsia" w:hAnsiTheme="minorEastAsia"/>
          <w:sz w:val="20"/>
          <w:szCs w:val="20"/>
        </w:rPr>
        <w:t>、</w:t>
      </w:r>
      <w:r w:rsidRPr="005C1755">
        <w:rPr>
          <w:rFonts w:eastAsiaTheme="minorEastAsia"/>
          <w:kern w:val="18"/>
          <w:sz w:val="20"/>
          <w:szCs w:val="20"/>
        </w:rPr>
        <w:t>UNEP/CMS/Resolution 7.04</w:t>
      </w:r>
      <w:r w:rsidRPr="005C1755">
        <w:rPr>
          <w:rFonts w:asciiTheme="minorEastAsia" w:eastAsiaTheme="minorEastAsia" w:hAnsiTheme="minorEastAsia"/>
          <w:kern w:val="18"/>
          <w:sz w:val="20"/>
          <w:szCs w:val="20"/>
          <w:lang w:eastAsia="zh-CN"/>
        </w:rPr>
        <w:t xml:space="preserve"> “</w:t>
      </w:r>
      <w:r w:rsidRPr="005C1755">
        <w:rPr>
          <w:rFonts w:asciiTheme="minorEastAsia" w:eastAsiaTheme="minorEastAsia" w:hAnsiTheme="minorEastAsia"/>
          <w:sz w:val="20"/>
          <w:szCs w:val="20"/>
        </w:rPr>
        <w:t>移栖物种的触电</w:t>
      </w:r>
      <w:r w:rsidRPr="005C1755">
        <w:rPr>
          <w:rFonts w:asciiTheme="minorEastAsia" w:eastAsiaTheme="minorEastAsia" w:hAnsiTheme="minorEastAsia"/>
          <w:kern w:val="18"/>
          <w:sz w:val="20"/>
          <w:szCs w:val="20"/>
          <w:lang w:eastAsia="zh-CN"/>
        </w:rPr>
        <w:t>”、</w:t>
      </w:r>
      <w:r w:rsidRPr="005C1755">
        <w:rPr>
          <w:rFonts w:eastAsiaTheme="minorEastAsia"/>
          <w:kern w:val="18"/>
          <w:sz w:val="20"/>
          <w:szCs w:val="20"/>
        </w:rPr>
        <w:t>UNEP/CMS/Resolution 10.11</w:t>
      </w:r>
      <w:r w:rsidRPr="005C1755">
        <w:rPr>
          <w:rFonts w:asciiTheme="minorEastAsia" w:eastAsiaTheme="minorEastAsia" w:hAnsiTheme="minorEastAsia"/>
          <w:sz w:val="20"/>
          <w:szCs w:val="20"/>
        </w:rPr>
        <w:t xml:space="preserve"> </w:t>
      </w:r>
      <w:r w:rsidRPr="005C1755">
        <w:rPr>
          <w:rFonts w:asciiTheme="minorEastAsia" w:eastAsiaTheme="minorEastAsia" w:hAnsiTheme="minorEastAsia"/>
          <w:kern w:val="18"/>
          <w:sz w:val="20"/>
          <w:szCs w:val="20"/>
          <w:lang w:eastAsia="zh-CN"/>
        </w:rPr>
        <w:t>“输电线与移栖物种”、</w:t>
      </w:r>
      <w:r w:rsidRPr="005C1755">
        <w:rPr>
          <w:rFonts w:eastAsiaTheme="minorEastAsia"/>
          <w:kern w:val="18"/>
          <w:sz w:val="20"/>
          <w:szCs w:val="20"/>
        </w:rPr>
        <w:t>UNEP/CMS 11.27</w:t>
      </w:r>
      <w:r w:rsidRPr="005C1755">
        <w:rPr>
          <w:rFonts w:asciiTheme="minorEastAsia" w:eastAsiaTheme="minorEastAsia" w:hAnsiTheme="minorEastAsia"/>
          <w:sz w:val="20"/>
          <w:szCs w:val="20"/>
        </w:rPr>
        <w:t xml:space="preserve"> </w:t>
      </w:r>
      <w:r w:rsidRPr="005C1755">
        <w:rPr>
          <w:rFonts w:asciiTheme="minorEastAsia" w:eastAsiaTheme="minorEastAsia" w:hAnsiTheme="minorEastAsia"/>
          <w:kern w:val="18"/>
          <w:sz w:val="20"/>
          <w:szCs w:val="20"/>
          <w:lang w:eastAsia="zh-CN"/>
        </w:rPr>
        <w:t>“可再生能源与移栖物种”。</w:t>
      </w:r>
    </w:p>
  </w:footnote>
  <w:footnote w:id="36">
    <w:p w:rsidR="00594C0B" w:rsidRPr="00650F1F" w:rsidRDefault="00594C0B" w:rsidP="00650F1F">
      <w:pPr>
        <w:pStyle w:val="FootnoteText"/>
        <w:suppressLineNumbers/>
        <w:tabs>
          <w:tab w:val="left" w:pos="360"/>
        </w:tabs>
        <w:suppressAutoHyphens/>
        <w:kinsoku w:val="0"/>
        <w:overflowPunct w:val="0"/>
        <w:autoSpaceDE w:val="0"/>
        <w:autoSpaceDN w:val="0"/>
        <w:adjustRightInd w:val="0"/>
        <w:spacing w:before="0"/>
        <w:ind w:firstLine="0"/>
        <w:jc w:val="left"/>
        <w:rPr>
          <w:rFonts w:eastAsiaTheme="minorEastAsia"/>
          <w:sz w:val="20"/>
          <w:szCs w:val="20"/>
          <w:lang w:eastAsia="zh-CN"/>
        </w:rPr>
      </w:pPr>
      <w:r w:rsidRPr="00650F1F">
        <w:rPr>
          <w:rStyle w:val="FootnoteReference"/>
          <w:rFonts w:eastAsiaTheme="minorEastAsia"/>
          <w:kern w:val="18"/>
          <w:sz w:val="24"/>
          <w:szCs w:val="20"/>
          <w:u w:val="none"/>
          <w:vertAlign w:val="superscript"/>
        </w:rPr>
        <w:footnoteRef/>
      </w:r>
      <w:r w:rsidRPr="00650F1F">
        <w:rPr>
          <w:rFonts w:eastAsiaTheme="minorEastAsia"/>
          <w:sz w:val="20"/>
          <w:szCs w:val="20"/>
          <w:lang w:eastAsia="zh-CN"/>
        </w:rPr>
        <w:tab/>
      </w:r>
      <w:r w:rsidRPr="00650F1F">
        <w:rPr>
          <w:rFonts w:eastAsiaTheme="minorEastAsia"/>
          <w:sz w:val="20"/>
          <w:szCs w:val="20"/>
          <w:lang w:eastAsia="zh-CN"/>
        </w:rPr>
        <w:t>包括缔约方大会第</w:t>
      </w:r>
      <w:r w:rsidRPr="00650F1F">
        <w:rPr>
          <w:rFonts w:eastAsiaTheme="minorEastAsia"/>
          <w:sz w:val="20"/>
          <w:szCs w:val="20"/>
          <w:lang w:eastAsia="zh-CN"/>
        </w:rPr>
        <w:t>VIII/28</w:t>
      </w:r>
      <w:r w:rsidRPr="00650F1F">
        <w:rPr>
          <w:rFonts w:eastAsiaTheme="minorEastAsia"/>
          <w:sz w:val="20"/>
          <w:szCs w:val="20"/>
          <w:lang w:eastAsia="zh-CN"/>
        </w:rPr>
        <w:t>号决定通过的涵盖生物多样性各个方面的影响评估自愿准则。</w:t>
      </w:r>
    </w:p>
  </w:footnote>
  <w:footnote w:id="37">
    <w:p w:rsidR="00594C0B" w:rsidRPr="00650F1F" w:rsidRDefault="00594C0B" w:rsidP="00650F1F">
      <w:pPr>
        <w:pStyle w:val="FootnoteText"/>
        <w:suppressLineNumbers/>
        <w:tabs>
          <w:tab w:val="left" w:pos="360"/>
        </w:tabs>
        <w:suppressAutoHyphens/>
        <w:spacing w:before="0"/>
        <w:ind w:firstLine="0"/>
        <w:jc w:val="left"/>
        <w:rPr>
          <w:rFonts w:eastAsiaTheme="minorEastAsia"/>
          <w:kern w:val="18"/>
          <w:sz w:val="20"/>
          <w:szCs w:val="20"/>
          <w:lang w:eastAsia="zh-CN"/>
        </w:rPr>
      </w:pPr>
      <w:r w:rsidRPr="00650F1F">
        <w:rPr>
          <w:rStyle w:val="FootnoteReference"/>
          <w:rFonts w:eastAsiaTheme="minorEastAsia"/>
          <w:kern w:val="18"/>
          <w:sz w:val="24"/>
          <w:szCs w:val="20"/>
          <w:u w:val="none"/>
          <w:vertAlign w:val="superscript"/>
        </w:rPr>
        <w:footnoteRef/>
      </w:r>
      <w:r w:rsidRPr="00650F1F">
        <w:rPr>
          <w:rFonts w:eastAsiaTheme="minorEastAsia"/>
          <w:kern w:val="18"/>
          <w:sz w:val="20"/>
          <w:szCs w:val="20"/>
          <w:vertAlign w:val="superscript"/>
          <w:lang w:eastAsia="zh-CN"/>
        </w:rPr>
        <w:t xml:space="preserve"> </w:t>
      </w:r>
      <w:r w:rsidRPr="00650F1F">
        <w:rPr>
          <w:rFonts w:eastAsiaTheme="minorEastAsia"/>
          <w:kern w:val="18"/>
          <w:sz w:val="20"/>
          <w:szCs w:val="20"/>
          <w:lang w:eastAsia="zh-CN"/>
        </w:rPr>
        <w:tab/>
      </w:r>
      <w:r w:rsidRPr="00650F1F">
        <w:rPr>
          <w:rFonts w:eastAsiaTheme="minorEastAsia"/>
          <w:kern w:val="18"/>
          <w:sz w:val="20"/>
          <w:szCs w:val="20"/>
          <w:lang w:eastAsia="zh-CN"/>
        </w:rPr>
        <w:t>第</w:t>
      </w:r>
      <w:r w:rsidRPr="00650F1F">
        <w:rPr>
          <w:rFonts w:eastAsiaTheme="minorEastAsia"/>
          <w:kern w:val="18"/>
          <w:sz w:val="20"/>
          <w:szCs w:val="20"/>
          <w:lang w:eastAsia="zh-CN"/>
        </w:rPr>
        <w:t>X/2</w:t>
      </w:r>
      <w:r w:rsidRPr="00650F1F">
        <w:rPr>
          <w:rFonts w:eastAsiaTheme="minorEastAsia"/>
          <w:kern w:val="18"/>
          <w:sz w:val="20"/>
          <w:szCs w:val="20"/>
          <w:lang w:eastAsia="zh-CN"/>
        </w:rPr>
        <w:t>号决定，附件。</w:t>
      </w:r>
    </w:p>
  </w:footnote>
  <w:footnote w:id="38">
    <w:p w:rsidR="00594C0B" w:rsidRPr="00650F1F" w:rsidRDefault="00594C0B" w:rsidP="00650F1F">
      <w:pPr>
        <w:pStyle w:val="FootnoteText"/>
        <w:suppressLineNumbers/>
        <w:tabs>
          <w:tab w:val="left" w:pos="360"/>
        </w:tabs>
        <w:suppressAutoHyphens/>
        <w:spacing w:before="0"/>
        <w:ind w:firstLine="0"/>
        <w:jc w:val="left"/>
        <w:rPr>
          <w:rFonts w:eastAsiaTheme="minorEastAsia"/>
          <w:kern w:val="18"/>
          <w:szCs w:val="18"/>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sz w:val="24"/>
          <w:u w:val="none"/>
          <w:vertAlign w:val="superscript"/>
          <w:lang w:eastAsia="zh-CN"/>
        </w:rPr>
        <w:t xml:space="preserve"> </w:t>
      </w:r>
      <w:r w:rsidRPr="00650F1F">
        <w:rPr>
          <w:rFonts w:eastAsiaTheme="minorEastAsia"/>
          <w:kern w:val="18"/>
          <w:sz w:val="20"/>
          <w:szCs w:val="20"/>
          <w:lang w:eastAsia="zh-CN"/>
        </w:rPr>
        <w:tab/>
      </w:r>
      <w:r w:rsidRPr="00650F1F">
        <w:rPr>
          <w:rFonts w:eastAsiaTheme="minorEastAsia"/>
          <w:kern w:val="18"/>
          <w:sz w:val="20"/>
          <w:szCs w:val="20"/>
          <w:lang w:eastAsia="zh-CN"/>
        </w:rPr>
        <w:t>见</w:t>
      </w:r>
      <w:r w:rsidRPr="00650F1F">
        <w:rPr>
          <w:rFonts w:eastAsiaTheme="minorEastAsia"/>
          <w:kern w:val="18"/>
          <w:sz w:val="20"/>
          <w:szCs w:val="20"/>
          <w:lang w:eastAsia="zh-CN"/>
        </w:rPr>
        <w:t>2015</w:t>
      </w:r>
      <w:r w:rsidRPr="00650F1F">
        <w:rPr>
          <w:rFonts w:eastAsiaTheme="minorEastAsia"/>
          <w:kern w:val="18"/>
          <w:sz w:val="20"/>
          <w:szCs w:val="20"/>
          <w:lang w:eastAsia="zh-CN"/>
        </w:rPr>
        <w:t>年</w:t>
      </w:r>
      <w:r w:rsidRPr="00650F1F">
        <w:rPr>
          <w:rFonts w:eastAsiaTheme="minorEastAsia"/>
          <w:kern w:val="18"/>
          <w:sz w:val="20"/>
          <w:szCs w:val="20"/>
          <w:lang w:eastAsia="zh-CN"/>
        </w:rPr>
        <w:t>9</w:t>
      </w:r>
      <w:r w:rsidRPr="00650F1F">
        <w:rPr>
          <w:rFonts w:eastAsiaTheme="minorEastAsia"/>
          <w:kern w:val="18"/>
          <w:sz w:val="20"/>
          <w:szCs w:val="20"/>
          <w:lang w:eastAsia="zh-CN"/>
        </w:rPr>
        <w:t>月</w:t>
      </w:r>
      <w:r w:rsidRPr="00650F1F">
        <w:rPr>
          <w:rFonts w:eastAsiaTheme="minorEastAsia"/>
          <w:kern w:val="18"/>
          <w:sz w:val="20"/>
          <w:szCs w:val="20"/>
          <w:lang w:eastAsia="zh-CN"/>
        </w:rPr>
        <w:t>25</w:t>
      </w:r>
      <w:r w:rsidRPr="00650F1F">
        <w:rPr>
          <w:rFonts w:eastAsiaTheme="minorEastAsia"/>
          <w:kern w:val="18"/>
          <w:sz w:val="20"/>
          <w:szCs w:val="20"/>
          <w:lang w:eastAsia="zh-CN"/>
        </w:rPr>
        <w:t>日联大第</w:t>
      </w:r>
      <w:r w:rsidRPr="00650F1F">
        <w:rPr>
          <w:rFonts w:eastAsiaTheme="minorEastAsia"/>
          <w:kern w:val="18"/>
          <w:sz w:val="20"/>
          <w:szCs w:val="20"/>
          <w:lang w:eastAsia="zh-CN"/>
        </w:rPr>
        <w:t>70/1</w:t>
      </w:r>
      <w:r w:rsidRPr="00650F1F">
        <w:rPr>
          <w:rFonts w:eastAsiaTheme="minorEastAsia"/>
          <w:kern w:val="18"/>
          <w:sz w:val="20"/>
          <w:szCs w:val="20"/>
          <w:lang w:eastAsia="zh-CN"/>
        </w:rPr>
        <w:t>号决议。</w:t>
      </w:r>
    </w:p>
  </w:footnote>
  <w:footnote w:id="39">
    <w:p w:rsidR="00594C0B" w:rsidRPr="00650F1F" w:rsidRDefault="00594C0B" w:rsidP="00650F1F">
      <w:pPr>
        <w:pStyle w:val="FootnoteText"/>
        <w:suppressLineNumbers/>
        <w:tabs>
          <w:tab w:val="left" w:pos="360"/>
        </w:tabs>
        <w:suppressAutoHyphens/>
        <w:spacing w:before="0"/>
        <w:ind w:firstLine="0"/>
        <w:jc w:val="left"/>
        <w:rPr>
          <w:rFonts w:eastAsiaTheme="minorEastAsia"/>
          <w:kern w:val="18"/>
          <w:szCs w:val="18"/>
          <w:lang w:eastAsia="zh-CN"/>
        </w:rPr>
      </w:pPr>
      <w:r w:rsidRPr="00650F1F">
        <w:rPr>
          <w:rStyle w:val="FootnoteReference"/>
          <w:rFonts w:eastAsiaTheme="minorEastAsia"/>
          <w:kern w:val="18"/>
          <w:sz w:val="24"/>
          <w:szCs w:val="18"/>
          <w:u w:val="none"/>
          <w:vertAlign w:val="superscript"/>
        </w:rPr>
        <w:footnoteRef/>
      </w:r>
      <w:r w:rsidRPr="00650F1F">
        <w:rPr>
          <w:rFonts w:eastAsiaTheme="minorEastAsia"/>
          <w:kern w:val="18"/>
          <w:sz w:val="24"/>
          <w:szCs w:val="18"/>
          <w:vertAlign w:val="superscript"/>
          <w:lang w:eastAsia="zh-CN"/>
        </w:rPr>
        <w:t xml:space="preserve"> </w:t>
      </w:r>
      <w:r w:rsidRPr="00650F1F">
        <w:rPr>
          <w:rFonts w:eastAsiaTheme="minorEastAsia"/>
          <w:kern w:val="18"/>
          <w:sz w:val="20"/>
          <w:szCs w:val="18"/>
          <w:vertAlign w:val="superscript"/>
          <w:lang w:eastAsia="zh-CN"/>
        </w:rPr>
        <w:tab/>
      </w:r>
      <w:r w:rsidRPr="00650F1F">
        <w:rPr>
          <w:rFonts w:eastAsiaTheme="minorEastAsia"/>
          <w:kern w:val="18"/>
          <w:sz w:val="20"/>
          <w:szCs w:val="18"/>
          <w:lang w:eastAsia="zh-CN"/>
        </w:rPr>
        <w:t>参见</w:t>
      </w:r>
      <w:r w:rsidRPr="00650F1F">
        <w:rPr>
          <w:rFonts w:eastAsiaTheme="minorEastAsia"/>
          <w:kern w:val="18"/>
          <w:sz w:val="20"/>
          <w:szCs w:val="18"/>
          <w:lang w:eastAsia="zh-CN"/>
        </w:rPr>
        <w:t>2018</w:t>
      </w:r>
      <w:r w:rsidRPr="00650F1F">
        <w:rPr>
          <w:rFonts w:eastAsiaTheme="minorEastAsia"/>
          <w:kern w:val="18"/>
          <w:sz w:val="20"/>
          <w:szCs w:val="18"/>
          <w:lang w:eastAsia="zh-CN"/>
        </w:rPr>
        <w:t>年</w:t>
      </w:r>
      <w:r w:rsidRPr="00650F1F">
        <w:rPr>
          <w:rFonts w:eastAsiaTheme="minorEastAsia"/>
          <w:kern w:val="18"/>
          <w:sz w:val="20"/>
          <w:szCs w:val="18"/>
          <w:lang w:eastAsia="zh-CN"/>
        </w:rPr>
        <w:t>3</w:t>
      </w:r>
      <w:r w:rsidRPr="00650F1F">
        <w:rPr>
          <w:rFonts w:eastAsiaTheme="minorEastAsia"/>
          <w:kern w:val="18"/>
          <w:sz w:val="20"/>
          <w:szCs w:val="18"/>
          <w:lang w:eastAsia="zh-CN"/>
        </w:rPr>
        <w:t>月</w:t>
      </w:r>
      <w:r w:rsidRPr="00650F1F">
        <w:rPr>
          <w:rFonts w:eastAsiaTheme="minorEastAsia"/>
          <w:kern w:val="18"/>
          <w:sz w:val="20"/>
          <w:szCs w:val="18"/>
          <w:lang w:eastAsia="zh-CN"/>
        </w:rPr>
        <w:t>29</w:t>
      </w:r>
      <w:r w:rsidRPr="00650F1F">
        <w:rPr>
          <w:rFonts w:eastAsiaTheme="minorEastAsia"/>
          <w:kern w:val="18"/>
          <w:sz w:val="20"/>
          <w:szCs w:val="18"/>
          <w:lang w:eastAsia="zh-CN"/>
        </w:rPr>
        <w:t>日世界卫生大会文件</w:t>
      </w:r>
      <w:hyperlink r:id="rId18" w:history="1">
        <w:r w:rsidRPr="00650F1F">
          <w:rPr>
            <w:rStyle w:val="Hyperlink"/>
            <w:rFonts w:eastAsiaTheme="minorEastAsia"/>
            <w:kern w:val="18"/>
            <w:sz w:val="20"/>
            <w:szCs w:val="18"/>
            <w:lang w:eastAsia="zh-CN"/>
          </w:rPr>
          <w:t>A71/11</w:t>
        </w:r>
      </w:hyperlink>
      <w:r w:rsidRPr="00650F1F">
        <w:rPr>
          <w:rFonts w:eastAsiaTheme="minorEastAsia"/>
          <w:kern w:val="18"/>
          <w:sz w:val="20"/>
          <w:szCs w:val="18"/>
          <w:lang w:eastAsia="zh-CN"/>
        </w:rPr>
        <w:t>。</w:t>
      </w:r>
    </w:p>
  </w:footnote>
  <w:footnote w:id="40">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jc w:val="left"/>
        <w:rPr>
          <w:rFonts w:eastAsiaTheme="minorEastAsia"/>
          <w:sz w:val="20"/>
          <w:szCs w:val="20"/>
          <w:lang w:eastAsia="zh-CN"/>
        </w:rPr>
      </w:pPr>
      <w:r w:rsidRPr="00650F1F">
        <w:rPr>
          <w:rStyle w:val="FootnoteReference"/>
          <w:rFonts w:eastAsiaTheme="minorEastAsia"/>
          <w:kern w:val="18"/>
          <w:sz w:val="24"/>
          <w:szCs w:val="20"/>
          <w:u w:val="none"/>
          <w:vertAlign w:val="superscript"/>
        </w:rPr>
        <w:footnoteRef/>
      </w:r>
      <w:r w:rsidRPr="00650F1F">
        <w:rPr>
          <w:rFonts w:eastAsiaTheme="minorEastAsia"/>
          <w:kern w:val="18"/>
          <w:sz w:val="20"/>
          <w:szCs w:val="20"/>
          <w:lang w:eastAsia="zh-CN"/>
        </w:rPr>
        <w:tab/>
      </w:r>
      <w:hyperlink r:id="rId19" w:history="1">
        <w:r w:rsidRPr="00650F1F">
          <w:rPr>
            <w:rStyle w:val="Hyperlink"/>
            <w:rFonts w:eastAsiaTheme="minorEastAsia"/>
            <w:kern w:val="18"/>
            <w:sz w:val="20"/>
            <w:szCs w:val="20"/>
            <w:lang w:val="zh-CN" w:eastAsia="zh-CN"/>
          </w:rPr>
          <w:t>CBD/SBSTTA/21/4</w:t>
        </w:r>
      </w:hyperlink>
      <w:r w:rsidRPr="00650F1F">
        <w:rPr>
          <w:rFonts w:eastAsiaTheme="minorEastAsia"/>
          <w:sz w:val="20"/>
          <w:szCs w:val="20"/>
          <w:lang w:val="zh-CN" w:eastAsia="zh-CN"/>
        </w:rPr>
        <w:t>，第三节。</w:t>
      </w:r>
    </w:p>
  </w:footnote>
  <w:footnote w:id="41">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0"/>
          <w:szCs w:val="20"/>
          <w:u w:val="none"/>
          <w:lang w:eastAsia="zh-CN"/>
        </w:rPr>
        <w:t xml:space="preserve">    </w:t>
      </w:r>
      <w:r w:rsidRPr="00650F1F">
        <w:rPr>
          <w:rFonts w:eastAsiaTheme="minorEastAsia"/>
          <w:sz w:val="20"/>
          <w:szCs w:val="20"/>
          <w:lang w:eastAsia="zh-CN"/>
        </w:rPr>
        <w:t>联合国，《条约汇编》，登记号</w:t>
      </w:r>
      <w:r w:rsidRPr="00650F1F">
        <w:rPr>
          <w:rFonts w:eastAsiaTheme="minorEastAsia"/>
          <w:sz w:val="20"/>
          <w:szCs w:val="20"/>
          <w:lang w:eastAsia="zh-CN"/>
        </w:rPr>
        <w:t>I-54113</w:t>
      </w:r>
      <w:r w:rsidRPr="00650F1F">
        <w:rPr>
          <w:rFonts w:eastAsiaTheme="minorEastAsia"/>
          <w:sz w:val="20"/>
          <w:szCs w:val="20"/>
          <w:lang w:eastAsia="zh-CN"/>
        </w:rPr>
        <w:t>。</w:t>
      </w:r>
    </w:p>
  </w:footnote>
  <w:footnote w:id="42">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0"/>
          <w:szCs w:val="20"/>
          <w:u w:val="none"/>
          <w:lang w:eastAsia="zh-CN"/>
        </w:rPr>
        <w:t xml:space="preserve">   </w:t>
      </w:r>
      <w:r w:rsidRPr="00650F1F">
        <w:rPr>
          <w:rFonts w:eastAsiaTheme="minorEastAsia"/>
          <w:sz w:val="20"/>
          <w:szCs w:val="20"/>
          <w:lang w:eastAsia="zh-CN"/>
        </w:rPr>
        <w:t xml:space="preserve"> </w:t>
      </w:r>
      <w:r w:rsidRPr="00650F1F">
        <w:rPr>
          <w:rFonts w:eastAsiaTheme="minorEastAsia"/>
          <w:sz w:val="20"/>
          <w:szCs w:val="20"/>
          <w:lang w:eastAsia="zh-CN"/>
        </w:rPr>
        <w:t>第</w:t>
      </w:r>
      <w:hyperlink r:id="rId20" w:history="1">
        <w:r w:rsidRPr="00650F1F">
          <w:rPr>
            <w:rFonts w:eastAsiaTheme="minorEastAsia"/>
            <w:sz w:val="20"/>
            <w:szCs w:val="20"/>
            <w:lang w:eastAsia="zh-CN"/>
          </w:rPr>
          <w:t>VII/11</w:t>
        </w:r>
      </w:hyperlink>
      <w:r w:rsidRPr="00650F1F">
        <w:rPr>
          <w:rFonts w:eastAsiaTheme="minorEastAsia"/>
          <w:snapToGrid w:val="0"/>
          <w:kern w:val="18"/>
          <w:sz w:val="20"/>
          <w:szCs w:val="20"/>
          <w:lang w:eastAsia="zh-CN"/>
        </w:rPr>
        <w:t>号决定</w:t>
      </w:r>
      <w:r w:rsidRPr="00650F1F">
        <w:rPr>
          <w:rFonts w:eastAsiaTheme="minorEastAsia"/>
          <w:sz w:val="20"/>
          <w:szCs w:val="20"/>
          <w:lang w:eastAsia="zh-CN"/>
        </w:rPr>
        <w:t>。</w:t>
      </w:r>
    </w:p>
  </w:footnote>
  <w:footnote w:id="43">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napToGrid w:val="0"/>
          <w:kern w:val="18"/>
          <w:sz w:val="20"/>
          <w:szCs w:val="20"/>
          <w:lang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根据联合国气候变化框架公约缔约方大会第</w:t>
      </w:r>
      <w:r w:rsidRPr="00650F1F">
        <w:rPr>
          <w:rFonts w:eastAsiaTheme="minorEastAsia"/>
          <w:sz w:val="20"/>
          <w:szCs w:val="20"/>
          <w:lang w:eastAsia="zh-CN"/>
        </w:rPr>
        <w:t>1/CP.21</w:t>
      </w:r>
      <w:r w:rsidRPr="00650F1F">
        <w:rPr>
          <w:rFonts w:eastAsiaTheme="minorEastAsia"/>
          <w:sz w:val="20"/>
          <w:szCs w:val="20"/>
          <w:lang w:eastAsia="zh-CN"/>
        </w:rPr>
        <w:t>号决定第</w:t>
      </w:r>
      <w:r w:rsidRPr="00650F1F">
        <w:rPr>
          <w:rFonts w:eastAsiaTheme="minorEastAsia"/>
          <w:sz w:val="20"/>
          <w:szCs w:val="20"/>
          <w:lang w:eastAsia="zh-CN"/>
        </w:rPr>
        <w:t>135</w:t>
      </w:r>
      <w:r w:rsidRPr="00650F1F">
        <w:rPr>
          <w:rFonts w:eastAsiaTheme="minorEastAsia"/>
          <w:sz w:val="20"/>
          <w:szCs w:val="20"/>
          <w:lang w:eastAsia="zh-CN"/>
        </w:rPr>
        <w:t>段设立（见</w:t>
      </w:r>
      <w:r w:rsidRPr="00650F1F">
        <w:rPr>
          <w:rFonts w:eastAsiaTheme="minorEastAsia"/>
          <w:sz w:val="20"/>
          <w:szCs w:val="20"/>
          <w:lang w:eastAsia="zh-CN"/>
        </w:rPr>
        <w:t>FCCC/CP/2015/10/Add.1</w:t>
      </w:r>
      <w:r w:rsidRPr="00650F1F">
        <w:rPr>
          <w:rFonts w:eastAsiaTheme="minorEastAsia"/>
          <w:sz w:val="20"/>
          <w:szCs w:val="20"/>
          <w:lang w:eastAsia="zh-CN"/>
        </w:rPr>
        <w:t>）。</w:t>
      </w:r>
    </w:p>
  </w:footnote>
  <w:footnote w:id="44">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 xml:space="preserve"> </w:t>
      </w:r>
      <w:r w:rsidRPr="00650F1F">
        <w:rPr>
          <w:rFonts w:eastAsiaTheme="minorEastAsia"/>
          <w:snapToGrid w:val="0"/>
          <w:kern w:val="18"/>
          <w:sz w:val="20"/>
          <w:szCs w:val="20"/>
          <w:lang w:eastAsia="zh-CN"/>
        </w:rPr>
        <w:t>CBD</w:t>
      </w:r>
      <w:r w:rsidRPr="00650F1F">
        <w:rPr>
          <w:rFonts w:eastAsiaTheme="minorEastAsia"/>
          <w:sz w:val="20"/>
          <w:szCs w:val="20"/>
          <w:lang w:eastAsia="zh-CN"/>
        </w:rPr>
        <w:t>/</w:t>
      </w:r>
      <w:r w:rsidRPr="00650F1F">
        <w:rPr>
          <w:rFonts w:eastAsiaTheme="minorEastAsia"/>
          <w:snapToGrid w:val="0"/>
          <w:kern w:val="18"/>
          <w:sz w:val="20"/>
          <w:szCs w:val="20"/>
          <w:lang w:eastAsia="zh-CN"/>
        </w:rPr>
        <w:t>COP</w:t>
      </w:r>
      <w:r w:rsidRPr="00650F1F">
        <w:rPr>
          <w:rFonts w:eastAsiaTheme="minorEastAsia"/>
          <w:sz w:val="20"/>
          <w:szCs w:val="20"/>
          <w:lang w:eastAsia="zh-CN"/>
        </w:rPr>
        <w:t>/14/INF/22</w:t>
      </w:r>
      <w:r w:rsidRPr="00650F1F">
        <w:rPr>
          <w:rFonts w:eastAsiaTheme="minorEastAsia"/>
          <w:sz w:val="20"/>
          <w:szCs w:val="20"/>
          <w:lang w:eastAsia="zh-CN"/>
        </w:rPr>
        <w:t>。</w:t>
      </w:r>
    </w:p>
  </w:footnote>
  <w:footnote w:id="45">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ab/>
      </w:r>
      <w:r w:rsidRPr="00650F1F">
        <w:rPr>
          <w:rFonts w:eastAsiaTheme="minorEastAsia"/>
          <w:snapToGrid w:val="0"/>
          <w:kern w:val="18"/>
          <w:sz w:val="20"/>
          <w:szCs w:val="20"/>
          <w:lang w:eastAsia="zh-CN"/>
        </w:rPr>
        <w:t>联合国，《条约汇编》，登记号：</w:t>
      </w:r>
      <w:r w:rsidRPr="00650F1F">
        <w:rPr>
          <w:rFonts w:eastAsiaTheme="minorEastAsia"/>
          <w:snapToGrid w:val="0"/>
          <w:kern w:val="18"/>
          <w:sz w:val="20"/>
          <w:szCs w:val="20"/>
          <w:lang w:eastAsia="zh-CN"/>
        </w:rPr>
        <w:t>I-54113</w:t>
      </w:r>
      <w:r w:rsidRPr="00650F1F">
        <w:rPr>
          <w:rFonts w:eastAsiaTheme="minorEastAsia"/>
          <w:snapToGrid w:val="0"/>
          <w:kern w:val="18"/>
          <w:sz w:val="20"/>
          <w:szCs w:val="20"/>
          <w:lang w:eastAsia="zh-CN"/>
        </w:rPr>
        <w:t>。</w:t>
      </w:r>
    </w:p>
  </w:footnote>
  <w:footnote w:id="46">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sz w:val="24"/>
          <w:szCs w:val="20"/>
          <w:u w:val="none"/>
          <w:vertAlign w:val="superscript"/>
        </w:rPr>
        <w:footnoteRef/>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见</w:t>
      </w:r>
      <w:r w:rsidRPr="00650F1F">
        <w:rPr>
          <w:rFonts w:eastAsiaTheme="minorEastAsia"/>
          <w:snapToGrid w:val="0"/>
          <w:kern w:val="18"/>
          <w:sz w:val="20"/>
          <w:szCs w:val="20"/>
          <w:lang w:eastAsia="zh-CN"/>
        </w:rPr>
        <w:t>2015</w:t>
      </w:r>
      <w:r w:rsidRPr="00650F1F">
        <w:rPr>
          <w:rFonts w:eastAsiaTheme="minorEastAsia"/>
          <w:snapToGrid w:val="0"/>
          <w:kern w:val="18"/>
          <w:sz w:val="20"/>
          <w:szCs w:val="20"/>
          <w:lang w:eastAsia="zh-CN"/>
        </w:rPr>
        <w:t>年</w:t>
      </w:r>
      <w:r w:rsidRPr="00650F1F">
        <w:rPr>
          <w:rFonts w:eastAsiaTheme="minorEastAsia"/>
          <w:snapToGrid w:val="0"/>
          <w:kern w:val="18"/>
          <w:sz w:val="20"/>
          <w:szCs w:val="20"/>
          <w:lang w:eastAsia="zh-CN"/>
        </w:rPr>
        <w:t>9</w:t>
      </w:r>
      <w:r w:rsidRPr="00650F1F">
        <w:rPr>
          <w:rFonts w:eastAsiaTheme="minorEastAsia"/>
          <w:snapToGrid w:val="0"/>
          <w:kern w:val="18"/>
          <w:sz w:val="20"/>
          <w:szCs w:val="20"/>
          <w:lang w:eastAsia="zh-CN"/>
        </w:rPr>
        <w:t>月</w:t>
      </w:r>
      <w:r w:rsidRPr="00650F1F">
        <w:rPr>
          <w:rFonts w:eastAsiaTheme="minorEastAsia"/>
          <w:snapToGrid w:val="0"/>
          <w:kern w:val="18"/>
          <w:sz w:val="20"/>
          <w:szCs w:val="20"/>
          <w:lang w:eastAsia="zh-CN"/>
        </w:rPr>
        <w:t>25</w:t>
      </w:r>
      <w:r w:rsidRPr="00650F1F">
        <w:rPr>
          <w:rFonts w:eastAsiaTheme="minorEastAsia"/>
          <w:snapToGrid w:val="0"/>
          <w:kern w:val="18"/>
          <w:sz w:val="20"/>
          <w:szCs w:val="20"/>
          <w:lang w:eastAsia="zh-CN"/>
        </w:rPr>
        <w:t>日联大第</w:t>
      </w:r>
      <w:r w:rsidRPr="00650F1F">
        <w:rPr>
          <w:rFonts w:eastAsiaTheme="minorEastAsia"/>
          <w:snapToGrid w:val="0"/>
          <w:kern w:val="18"/>
          <w:sz w:val="20"/>
          <w:szCs w:val="20"/>
          <w:lang w:eastAsia="zh-CN"/>
        </w:rPr>
        <w:t>70/1</w:t>
      </w:r>
      <w:r w:rsidRPr="00650F1F">
        <w:rPr>
          <w:rFonts w:eastAsiaTheme="minorEastAsia"/>
          <w:snapToGrid w:val="0"/>
          <w:kern w:val="18"/>
          <w:sz w:val="20"/>
          <w:szCs w:val="20"/>
          <w:lang w:eastAsia="zh-CN"/>
        </w:rPr>
        <w:t>号决议。</w:t>
      </w:r>
    </w:p>
  </w:footnote>
  <w:footnote w:id="47">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ab/>
      </w:r>
      <w:r w:rsidRPr="00650F1F">
        <w:rPr>
          <w:rFonts w:eastAsiaTheme="minorEastAsia"/>
          <w:snapToGrid w:val="0"/>
          <w:kern w:val="18"/>
          <w:sz w:val="20"/>
          <w:szCs w:val="20"/>
          <w:lang w:eastAsia="zh-CN"/>
        </w:rPr>
        <w:t>第</w:t>
      </w:r>
      <w:hyperlink r:id="rId21" w:history="1">
        <w:r w:rsidRPr="00650F1F">
          <w:rPr>
            <w:rStyle w:val="Hyperlink"/>
            <w:rFonts w:eastAsiaTheme="minorEastAsia"/>
            <w:sz w:val="20"/>
            <w:szCs w:val="20"/>
            <w:lang w:eastAsia="zh-CN"/>
          </w:rPr>
          <w:t>X/2</w:t>
        </w:r>
      </w:hyperlink>
      <w:r w:rsidRPr="00650F1F">
        <w:rPr>
          <w:rFonts w:eastAsiaTheme="minorEastAsia"/>
          <w:snapToGrid w:val="0"/>
          <w:kern w:val="18"/>
          <w:sz w:val="20"/>
          <w:szCs w:val="20"/>
          <w:lang w:eastAsia="zh-CN"/>
        </w:rPr>
        <w:t>号决定。</w:t>
      </w:r>
    </w:p>
  </w:footnote>
  <w:footnote w:id="48">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 xml:space="preserve">  </w:t>
      </w:r>
      <w:r w:rsidRPr="00650F1F">
        <w:rPr>
          <w:rFonts w:eastAsiaTheme="minorEastAsia"/>
          <w:sz w:val="20"/>
          <w:szCs w:val="20"/>
          <w:lang w:eastAsia="zh-CN"/>
        </w:rPr>
        <w:t>联大第</w:t>
      </w:r>
      <w:r w:rsidRPr="00650F1F">
        <w:rPr>
          <w:rFonts w:eastAsiaTheme="minorEastAsia"/>
          <w:snapToGrid w:val="0"/>
          <w:kern w:val="18"/>
          <w:sz w:val="20"/>
          <w:szCs w:val="20"/>
          <w:lang w:eastAsia="zh-CN"/>
        </w:rPr>
        <w:t>69/283</w:t>
      </w:r>
      <w:r w:rsidRPr="00650F1F">
        <w:rPr>
          <w:rFonts w:eastAsiaTheme="minorEastAsia"/>
          <w:sz w:val="20"/>
          <w:szCs w:val="20"/>
          <w:lang w:eastAsia="zh-CN"/>
        </w:rPr>
        <w:t>号决议，附件二。</w:t>
      </w:r>
    </w:p>
  </w:footnote>
  <w:footnote w:id="49">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napToGrid w:val="0"/>
          <w:kern w:val="18"/>
          <w:sz w:val="20"/>
          <w:szCs w:val="20"/>
          <w:lang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政府间气候变化专门委员会</w:t>
      </w:r>
      <w:r w:rsidRPr="00650F1F">
        <w:rPr>
          <w:rFonts w:eastAsiaTheme="minorEastAsia"/>
          <w:color w:val="222222"/>
          <w:sz w:val="20"/>
          <w:szCs w:val="20"/>
          <w:shd w:val="clear" w:color="auto" w:fill="FCFDFD"/>
          <w:lang w:eastAsia="zh-CN"/>
        </w:rPr>
        <w:t>，</w:t>
      </w:r>
      <w:r w:rsidRPr="00650F1F">
        <w:rPr>
          <w:rFonts w:eastAsiaTheme="minorEastAsia"/>
          <w:color w:val="222222"/>
          <w:sz w:val="20"/>
          <w:szCs w:val="20"/>
          <w:shd w:val="clear" w:color="auto" w:fill="FCFDFD"/>
          <w:lang w:eastAsia="zh-CN"/>
        </w:rPr>
        <w:t>2018</w:t>
      </w:r>
      <w:r w:rsidRPr="00650F1F">
        <w:rPr>
          <w:rFonts w:eastAsiaTheme="minorEastAsia"/>
          <w:color w:val="222222"/>
          <w:sz w:val="20"/>
          <w:szCs w:val="20"/>
          <w:shd w:val="clear" w:color="auto" w:fill="FCFDFD"/>
          <w:lang w:eastAsia="zh-CN"/>
        </w:rPr>
        <w:t>年。可查阅：</w:t>
      </w:r>
      <w:hyperlink r:id="rId22" w:history="1">
        <w:r w:rsidRPr="00650F1F">
          <w:rPr>
            <w:rStyle w:val="Hyperlink"/>
            <w:rFonts w:eastAsiaTheme="minorEastAsia"/>
            <w:kern w:val="18"/>
            <w:sz w:val="20"/>
            <w:szCs w:val="20"/>
            <w:lang w:eastAsia="zh-CN"/>
          </w:rPr>
          <w:t>http://www.ipcc.ch/report/sr15/</w:t>
        </w:r>
      </w:hyperlink>
      <w:r w:rsidRPr="00650F1F">
        <w:rPr>
          <w:rFonts w:eastAsiaTheme="minorEastAsia"/>
          <w:kern w:val="18"/>
          <w:sz w:val="20"/>
          <w:szCs w:val="20"/>
          <w:lang w:eastAsia="zh-CN"/>
        </w:rPr>
        <w:t>。</w:t>
      </w:r>
    </w:p>
  </w:footnote>
  <w:footnote w:id="50">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ab/>
      </w:r>
      <w:r w:rsidRPr="00650F1F">
        <w:rPr>
          <w:rFonts w:eastAsiaTheme="minorEastAsia"/>
          <w:snapToGrid w:val="0"/>
          <w:kern w:val="18"/>
          <w:sz w:val="20"/>
          <w:szCs w:val="20"/>
          <w:lang w:eastAsia="zh-CN"/>
        </w:rPr>
        <w:t>CBD/SBSTTA/22/INF/1</w:t>
      </w:r>
      <w:r w:rsidRPr="00650F1F">
        <w:rPr>
          <w:rFonts w:eastAsiaTheme="minorEastAsia"/>
          <w:snapToGrid w:val="0"/>
          <w:kern w:val="18"/>
          <w:sz w:val="20"/>
          <w:szCs w:val="20"/>
          <w:lang w:eastAsia="zh-CN"/>
        </w:rPr>
        <w:t>。</w:t>
      </w:r>
    </w:p>
  </w:footnote>
  <w:footnote w:id="51">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Style w:val="FootnoteReference"/>
          <w:rFonts w:eastAsiaTheme="minorEastAsia"/>
          <w:sz w:val="24"/>
          <w:u w:val="none"/>
          <w:vertAlign w:val="superscript"/>
          <w:lang w:eastAsia="zh-CN"/>
        </w:rPr>
        <w:tab/>
      </w:r>
      <w:r w:rsidRPr="00650F1F">
        <w:rPr>
          <w:rFonts w:eastAsiaTheme="minorEastAsia"/>
          <w:snapToGrid w:val="0"/>
          <w:kern w:val="18"/>
          <w:sz w:val="20"/>
          <w:szCs w:val="20"/>
          <w:lang w:eastAsia="zh-CN"/>
        </w:rPr>
        <w:t>来自生物多样性公约技术丛书第</w:t>
      </w:r>
      <w:r w:rsidRPr="00650F1F">
        <w:rPr>
          <w:rFonts w:eastAsiaTheme="minorEastAsia"/>
          <w:snapToGrid w:val="0"/>
          <w:kern w:val="18"/>
          <w:sz w:val="20"/>
          <w:szCs w:val="20"/>
          <w:lang w:eastAsia="zh-CN"/>
        </w:rPr>
        <w:t>41</w:t>
      </w:r>
      <w:r w:rsidRPr="00650F1F">
        <w:rPr>
          <w:rFonts w:eastAsiaTheme="minorEastAsia"/>
          <w:snapToGrid w:val="0"/>
          <w:kern w:val="18"/>
          <w:sz w:val="20"/>
          <w:szCs w:val="20"/>
          <w:lang w:eastAsia="zh-CN"/>
        </w:rPr>
        <w:t>号，</w:t>
      </w:r>
      <w:r w:rsidRPr="00650F1F">
        <w:rPr>
          <w:rFonts w:eastAsiaTheme="minorEastAsia"/>
          <w:snapToGrid w:val="0"/>
          <w:kern w:val="18"/>
          <w:sz w:val="20"/>
          <w:szCs w:val="20"/>
          <w:lang w:eastAsia="zh-CN"/>
        </w:rPr>
        <w:t>2009</w:t>
      </w:r>
      <w:r w:rsidRPr="00650F1F">
        <w:rPr>
          <w:rFonts w:eastAsiaTheme="minorEastAsia"/>
          <w:snapToGrid w:val="0"/>
          <w:kern w:val="18"/>
          <w:sz w:val="20"/>
          <w:szCs w:val="20"/>
          <w:lang w:eastAsia="zh-CN"/>
        </w:rPr>
        <w:t>年。将生物多样性与减缓和适应气候变化相联系：生物多样性和气候变化问题第二特设技术专家组的报告。</w:t>
      </w:r>
    </w:p>
  </w:footnote>
  <w:footnote w:id="52">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z w:val="20"/>
          <w:szCs w:val="20"/>
          <w:lang w:val="fr-FR" w:eastAsia="zh-CN"/>
        </w:rPr>
      </w:pPr>
      <w:r w:rsidRPr="00650F1F">
        <w:rPr>
          <w:rStyle w:val="FootnoteReference"/>
          <w:rFonts w:eastAsiaTheme="minorEastAsia"/>
          <w:sz w:val="24"/>
          <w:szCs w:val="20"/>
          <w:u w:val="none"/>
          <w:vertAlign w:val="superscript"/>
        </w:rPr>
        <w:footnoteRef/>
      </w:r>
      <w:r w:rsidRPr="00A8359F">
        <w:rPr>
          <w:rStyle w:val="FootnoteReference"/>
          <w:rFonts w:eastAsiaTheme="minorEastAsia"/>
          <w:sz w:val="24"/>
          <w:szCs w:val="20"/>
          <w:u w:val="none"/>
          <w:vertAlign w:val="superscript"/>
          <w:lang w:val="es-AR"/>
        </w:rPr>
        <w:t xml:space="preserve"> </w:t>
      </w:r>
      <w:r w:rsidRPr="00650F1F">
        <w:rPr>
          <w:rFonts w:eastAsiaTheme="minorEastAsia"/>
          <w:kern w:val="18"/>
          <w:sz w:val="20"/>
          <w:szCs w:val="20"/>
          <w:lang w:val="es-ES_tradnl" w:eastAsia="zh-CN"/>
        </w:rPr>
        <w:tab/>
      </w:r>
      <w:r w:rsidRPr="00A8359F">
        <w:rPr>
          <w:rFonts w:eastAsiaTheme="minorEastAsia"/>
          <w:snapToGrid w:val="0"/>
          <w:kern w:val="18"/>
          <w:sz w:val="20"/>
          <w:szCs w:val="20"/>
          <w:lang w:val="es-AR" w:eastAsia="zh-CN"/>
        </w:rPr>
        <w:t>Estrella, M.</w:t>
      </w:r>
      <w:r w:rsidRPr="00650F1F">
        <w:rPr>
          <w:rFonts w:eastAsiaTheme="minorEastAsia"/>
          <w:snapToGrid w:val="0"/>
          <w:kern w:val="18"/>
          <w:sz w:val="20"/>
          <w:szCs w:val="20"/>
          <w:lang w:eastAsia="zh-CN"/>
        </w:rPr>
        <w:t>和</w:t>
      </w:r>
      <w:r w:rsidRPr="00A8359F">
        <w:rPr>
          <w:rFonts w:eastAsiaTheme="minorEastAsia"/>
          <w:snapToGrid w:val="0"/>
          <w:kern w:val="18"/>
          <w:sz w:val="20"/>
          <w:szCs w:val="20"/>
          <w:lang w:val="es-AR" w:eastAsia="zh-CN"/>
        </w:rPr>
        <w:t>N. Saalismaa</w:t>
      </w:r>
      <w:r w:rsidRPr="00650F1F">
        <w:rPr>
          <w:rFonts w:eastAsiaTheme="minorEastAsia"/>
          <w:snapToGrid w:val="0"/>
          <w:kern w:val="18"/>
          <w:sz w:val="20"/>
          <w:szCs w:val="20"/>
          <w:lang w:eastAsia="zh-CN"/>
        </w:rPr>
        <w:t>。</w:t>
      </w:r>
      <w:r w:rsidRPr="00650F1F">
        <w:rPr>
          <w:rFonts w:eastAsiaTheme="minorEastAsia"/>
          <w:snapToGrid w:val="0"/>
          <w:kern w:val="18"/>
          <w:sz w:val="20"/>
          <w:szCs w:val="20"/>
          <w:lang w:eastAsia="zh-CN"/>
        </w:rPr>
        <w:t>2013</w:t>
      </w:r>
      <w:r w:rsidRPr="00650F1F">
        <w:rPr>
          <w:rFonts w:eastAsiaTheme="minorEastAsia"/>
          <w:snapToGrid w:val="0"/>
          <w:kern w:val="18"/>
          <w:sz w:val="20"/>
          <w:szCs w:val="20"/>
          <w:lang w:eastAsia="zh-CN"/>
        </w:rPr>
        <w:t>年。基于生态系统的减少灾害风险：概论，</w:t>
      </w:r>
      <w:r w:rsidRPr="00650F1F">
        <w:rPr>
          <w:rFonts w:eastAsiaTheme="minorEastAsia"/>
          <w:snapToGrid w:val="0"/>
          <w:kern w:val="18"/>
          <w:sz w:val="20"/>
          <w:szCs w:val="20"/>
          <w:lang w:eastAsia="zh-CN"/>
        </w:rPr>
        <w:t xml:space="preserve">Renaud, F., Sudmeier-Rieux, K. and M. Estrella (eds.), </w:t>
      </w:r>
      <w:r w:rsidRPr="00650F1F">
        <w:rPr>
          <w:rFonts w:eastAsiaTheme="minorEastAsia"/>
          <w:snapToGrid w:val="0"/>
          <w:kern w:val="18"/>
          <w:sz w:val="20"/>
          <w:szCs w:val="20"/>
          <w:lang w:eastAsia="zh-CN"/>
        </w:rPr>
        <w:t>生态系统管理在减少灾害风险中的作用。东京联合国大学出版社。</w:t>
      </w:r>
    </w:p>
  </w:footnote>
  <w:footnote w:id="53">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val="fr-FR"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napToGrid w:val="0"/>
          <w:kern w:val="18"/>
          <w:sz w:val="20"/>
          <w:szCs w:val="20"/>
          <w:lang w:val="fr-FR" w:eastAsia="zh-CN"/>
        </w:rPr>
        <w:tab/>
      </w:r>
      <w:r w:rsidRPr="00650F1F">
        <w:rPr>
          <w:rFonts w:eastAsiaTheme="minorEastAsia"/>
          <w:snapToGrid w:val="0"/>
          <w:kern w:val="18"/>
          <w:sz w:val="20"/>
          <w:szCs w:val="20"/>
          <w:lang w:eastAsia="zh-CN"/>
        </w:rPr>
        <w:t>CBD/SBSTTA/22/INF/1</w:t>
      </w:r>
      <w:r w:rsidRPr="00650F1F">
        <w:rPr>
          <w:rFonts w:eastAsiaTheme="minorEastAsia"/>
          <w:snapToGrid w:val="0"/>
          <w:kern w:val="18"/>
          <w:sz w:val="20"/>
          <w:szCs w:val="20"/>
          <w:lang w:eastAsia="zh-CN"/>
        </w:rPr>
        <w:t>。</w:t>
      </w:r>
    </w:p>
  </w:footnote>
  <w:footnote w:id="54">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z w:val="20"/>
          <w:szCs w:val="20"/>
          <w:lang w:val="zh-CN"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Style w:val="FootnoteReference"/>
          <w:rFonts w:eastAsiaTheme="minorEastAsia"/>
          <w:sz w:val="24"/>
          <w:u w:val="none"/>
          <w:vertAlign w:val="superscript"/>
          <w:lang w:eastAsia="zh-CN"/>
        </w:rPr>
        <w:tab/>
      </w:r>
      <w:r w:rsidRPr="00650F1F">
        <w:rPr>
          <w:rFonts w:eastAsiaTheme="minorEastAsia"/>
          <w:snapToGrid w:val="0"/>
          <w:kern w:val="18"/>
          <w:sz w:val="20"/>
          <w:szCs w:val="20"/>
          <w:lang w:eastAsia="zh-CN"/>
        </w:rPr>
        <w:t>使用生态系统的适应气候变化和减少灾害风险的经验的综合报告</w:t>
      </w:r>
    </w:p>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z w:val="20"/>
          <w:szCs w:val="20"/>
          <w:lang w:val="fr-FR" w:eastAsia="zh-CN"/>
        </w:rPr>
      </w:pPr>
      <w:r w:rsidRPr="00650F1F">
        <w:rPr>
          <w:rFonts w:eastAsiaTheme="minorEastAsia"/>
          <w:sz w:val="20"/>
          <w:szCs w:val="20"/>
          <w:lang w:val="fr-FR" w:eastAsia="zh-CN"/>
        </w:rPr>
        <w:t>（</w:t>
      </w:r>
      <w:hyperlink r:id="rId23" w:history="1">
        <w:r w:rsidRPr="00650F1F">
          <w:rPr>
            <w:rStyle w:val="Hyperlink"/>
            <w:rFonts w:eastAsiaTheme="minorEastAsia"/>
            <w:kern w:val="18"/>
            <w:sz w:val="20"/>
            <w:szCs w:val="20"/>
            <w:lang w:val="fr-FR" w:eastAsia="zh-CN"/>
          </w:rPr>
          <w:t>https://www.cbd.int/doc/publications/cbd-ts-85-zh.pdf</w:t>
        </w:r>
      </w:hyperlink>
      <w:r w:rsidRPr="00650F1F">
        <w:rPr>
          <w:rFonts w:eastAsiaTheme="minorEastAsia"/>
          <w:sz w:val="20"/>
          <w:szCs w:val="20"/>
          <w:lang w:val="fr-FR" w:eastAsia="zh-CN"/>
        </w:rPr>
        <w:t>）</w:t>
      </w:r>
      <w:r w:rsidRPr="00650F1F">
        <w:rPr>
          <w:rFonts w:eastAsiaTheme="minorEastAsia"/>
          <w:sz w:val="20"/>
          <w:szCs w:val="20"/>
          <w:lang w:val="zh-CN" w:eastAsia="zh-CN"/>
        </w:rPr>
        <w:t>。</w:t>
      </w:r>
    </w:p>
  </w:footnote>
  <w:footnote w:id="55">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z w:val="20"/>
          <w:szCs w:val="20"/>
          <w:lang w:val="fr-FR"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val="fr-FR"/>
        </w:rPr>
        <w:t xml:space="preserve"> </w:t>
      </w:r>
      <w:r w:rsidRPr="00650F1F">
        <w:rPr>
          <w:rFonts w:eastAsiaTheme="minorEastAsia"/>
          <w:kern w:val="18"/>
          <w:sz w:val="20"/>
          <w:szCs w:val="20"/>
          <w:lang w:val="fr-FR"/>
        </w:rPr>
        <w:tab/>
      </w:r>
      <w:r w:rsidRPr="00650F1F">
        <w:rPr>
          <w:rFonts w:eastAsiaTheme="minorEastAsia"/>
          <w:kern w:val="18"/>
          <w:sz w:val="20"/>
          <w:szCs w:val="20"/>
          <w:lang w:val="zh-CN" w:eastAsia="zh-CN"/>
        </w:rPr>
        <w:t>资料来源</w:t>
      </w:r>
      <w:r w:rsidRPr="00650F1F">
        <w:rPr>
          <w:rFonts w:eastAsiaTheme="minorEastAsia"/>
          <w:kern w:val="18"/>
          <w:sz w:val="20"/>
          <w:szCs w:val="20"/>
          <w:lang w:val="fr-FR" w:eastAsia="zh-CN"/>
        </w:rPr>
        <w:t>：</w:t>
      </w:r>
      <w:r w:rsidRPr="00650F1F">
        <w:rPr>
          <w:rFonts w:eastAsiaTheme="minorEastAsia"/>
          <w:kern w:val="18"/>
          <w:sz w:val="20"/>
          <w:szCs w:val="20"/>
          <w:lang w:val="fr-FR" w:eastAsia="zh-CN"/>
        </w:rPr>
        <w:t>PANORAMA</w:t>
      </w:r>
      <w:r w:rsidRPr="00650F1F">
        <w:rPr>
          <w:rFonts w:eastAsiaTheme="minorEastAsia"/>
          <w:kern w:val="18"/>
          <w:sz w:val="20"/>
          <w:szCs w:val="20"/>
          <w:lang w:val="zh-CN" w:eastAsia="zh-CN"/>
        </w:rPr>
        <w:t>数据库</w:t>
      </w:r>
      <w:hyperlink r:id="rId24" w:history="1">
        <w:r w:rsidRPr="00650F1F">
          <w:rPr>
            <w:rStyle w:val="Hyperlink"/>
            <w:rFonts w:eastAsiaTheme="minorEastAsia"/>
            <w:kern w:val="18"/>
            <w:sz w:val="20"/>
            <w:szCs w:val="20"/>
            <w:lang w:val="fr-FR" w:eastAsia="zh-CN"/>
          </w:rPr>
          <w:t>http://panorama.solutions/en</w:t>
        </w:r>
      </w:hyperlink>
      <w:r w:rsidRPr="00650F1F">
        <w:rPr>
          <w:rFonts w:eastAsiaTheme="minorEastAsia"/>
          <w:sz w:val="20"/>
          <w:szCs w:val="20"/>
          <w:lang w:val="zh-CN" w:eastAsia="zh-CN"/>
        </w:rPr>
        <w:t>。</w:t>
      </w:r>
    </w:p>
  </w:footnote>
  <w:footnote w:id="56">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z w:val="20"/>
          <w:szCs w:val="20"/>
          <w:lang w:val="fr-FR"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Style w:val="FootnoteReference"/>
          <w:rFonts w:eastAsiaTheme="minorEastAsia"/>
          <w:sz w:val="24"/>
          <w:u w:val="none"/>
          <w:vertAlign w:val="superscript"/>
          <w:lang w:eastAsia="zh-CN"/>
        </w:rPr>
        <w:tab/>
      </w:r>
      <w:r w:rsidRPr="00650F1F">
        <w:rPr>
          <w:rFonts w:eastAsiaTheme="minorEastAsia"/>
          <w:kern w:val="18"/>
          <w:sz w:val="20"/>
          <w:szCs w:val="20"/>
          <w:lang w:val="zh-CN" w:eastAsia="zh-CN"/>
        </w:rPr>
        <w:t>包括</w:t>
      </w:r>
      <w:r w:rsidRPr="00BB6C4C">
        <w:rPr>
          <w:rFonts w:asciiTheme="minorEastAsia" w:eastAsiaTheme="minorEastAsia" w:hAnsiTheme="minorEastAsia"/>
          <w:kern w:val="18"/>
          <w:sz w:val="20"/>
          <w:szCs w:val="20"/>
          <w:lang w:val="zh-CN" w:eastAsia="zh-CN"/>
        </w:rPr>
        <w:t>“关于增进气候变化适应活动对生物多样性的正面影响和尽量降低其负面影响的指导”（</w:t>
      </w:r>
      <w:r w:rsidRPr="00650F1F">
        <w:rPr>
          <w:rFonts w:eastAsiaTheme="minorEastAsia"/>
          <w:kern w:val="18"/>
          <w:sz w:val="20"/>
          <w:szCs w:val="20"/>
          <w:lang w:val="zh-CN" w:eastAsia="zh-CN"/>
        </w:rPr>
        <w:t>UNEP/CBD/SBSTTA/20/INF/1</w:t>
      </w:r>
      <w:r w:rsidRPr="00650F1F">
        <w:rPr>
          <w:rFonts w:eastAsiaTheme="minorEastAsia"/>
          <w:kern w:val="18"/>
          <w:sz w:val="20"/>
          <w:szCs w:val="20"/>
          <w:lang w:val="zh-CN" w:eastAsia="zh-CN"/>
        </w:rPr>
        <w:t>）。</w:t>
      </w:r>
    </w:p>
  </w:footnote>
  <w:footnote w:id="57">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z w:val="20"/>
          <w:szCs w:val="20"/>
          <w:lang w:val="fr-FR"/>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val="fr-FR"/>
        </w:rPr>
        <w:t xml:space="preserve"> </w:t>
      </w:r>
      <w:r w:rsidRPr="00650F1F">
        <w:rPr>
          <w:rFonts w:eastAsiaTheme="minorEastAsia"/>
          <w:kern w:val="18"/>
          <w:sz w:val="20"/>
          <w:szCs w:val="20"/>
          <w:lang w:val="fr-FR" w:eastAsia="zh-CN"/>
        </w:rPr>
        <w:tab/>
      </w:r>
      <w:r w:rsidRPr="00650F1F">
        <w:rPr>
          <w:rFonts w:eastAsiaTheme="minorEastAsia"/>
          <w:kern w:val="18"/>
          <w:sz w:val="20"/>
          <w:szCs w:val="20"/>
          <w:lang w:val="zh-CN" w:eastAsia="zh-CN"/>
        </w:rPr>
        <w:t>见生态系统恢复</w:t>
      </w:r>
      <w:r w:rsidRPr="00650F1F">
        <w:rPr>
          <w:rFonts w:eastAsiaTheme="minorEastAsia"/>
          <w:kern w:val="18"/>
          <w:sz w:val="20"/>
          <w:szCs w:val="20"/>
          <w:lang w:val="fr-FR" w:eastAsia="zh-CN"/>
        </w:rPr>
        <w:t>：</w:t>
      </w:r>
      <w:r w:rsidRPr="00650F1F">
        <w:rPr>
          <w:rFonts w:eastAsiaTheme="minorEastAsia"/>
          <w:sz w:val="20"/>
          <w:szCs w:val="20"/>
          <w:lang w:val="zh-CN" w:eastAsia="zh-CN"/>
        </w:rPr>
        <w:t>短期行动计划</w:t>
      </w:r>
      <w:r w:rsidRPr="00650F1F">
        <w:rPr>
          <w:rFonts w:eastAsiaTheme="minorEastAsia"/>
          <w:sz w:val="20"/>
          <w:szCs w:val="20"/>
          <w:lang w:val="fr-FR" w:eastAsia="zh-CN"/>
        </w:rPr>
        <w:t>（</w:t>
      </w:r>
      <w:r w:rsidRPr="00650F1F">
        <w:rPr>
          <w:rFonts w:eastAsiaTheme="minorEastAsia"/>
          <w:sz w:val="20"/>
          <w:szCs w:val="20"/>
          <w:lang w:eastAsia="zh-CN"/>
        </w:rPr>
        <w:t>第</w:t>
      </w:r>
      <w:hyperlink r:id="rId25" w:history="1">
        <w:r w:rsidRPr="00650F1F">
          <w:rPr>
            <w:rStyle w:val="Hyperlink"/>
            <w:rFonts w:eastAsiaTheme="minorEastAsia"/>
            <w:kern w:val="18"/>
            <w:sz w:val="20"/>
            <w:szCs w:val="20"/>
            <w:lang w:val="fr-FR" w:eastAsia="zh-CN"/>
          </w:rPr>
          <w:t>XIII/5</w:t>
        </w:r>
      </w:hyperlink>
      <w:r w:rsidRPr="00650F1F">
        <w:rPr>
          <w:rFonts w:eastAsiaTheme="minorEastAsia"/>
          <w:kern w:val="18"/>
          <w:sz w:val="20"/>
          <w:szCs w:val="20"/>
        </w:rPr>
        <w:t>号决定</w:t>
      </w:r>
      <w:r w:rsidRPr="00650F1F">
        <w:rPr>
          <w:rFonts w:eastAsiaTheme="minorEastAsia"/>
          <w:kern w:val="18"/>
          <w:sz w:val="20"/>
          <w:szCs w:val="20"/>
          <w:lang w:val="fr-FR"/>
        </w:rPr>
        <w:t>）</w:t>
      </w:r>
      <w:r w:rsidRPr="00650F1F">
        <w:rPr>
          <w:rFonts w:eastAsiaTheme="minorEastAsia"/>
          <w:sz w:val="20"/>
          <w:szCs w:val="20"/>
          <w:lang w:val="fr-FR" w:eastAsia="zh-CN"/>
        </w:rPr>
        <w:t>；</w:t>
      </w:r>
      <w:r w:rsidRPr="00650F1F">
        <w:rPr>
          <w:rFonts w:eastAsiaTheme="minorEastAsia"/>
          <w:sz w:val="20"/>
          <w:szCs w:val="20"/>
          <w:lang w:val="zh-CN" w:eastAsia="zh-CN"/>
        </w:rPr>
        <w:t>《</w:t>
      </w:r>
      <w:hyperlink r:id="rId26" w:history="1">
        <w:r w:rsidRPr="00650F1F">
          <w:rPr>
            <w:rStyle w:val="Hyperlink"/>
            <w:rFonts w:eastAsiaTheme="minorEastAsia"/>
            <w:sz w:val="20"/>
            <w:szCs w:val="20"/>
            <w:lang w:val="zh-CN" w:eastAsia="zh-CN"/>
          </w:rPr>
          <w:t>联合国土著人民权利宣言</w:t>
        </w:r>
      </w:hyperlink>
      <w:r w:rsidRPr="00650F1F">
        <w:rPr>
          <w:rFonts w:eastAsiaTheme="minorEastAsia"/>
          <w:sz w:val="20"/>
          <w:szCs w:val="20"/>
          <w:lang w:val="zh-CN" w:eastAsia="zh-CN"/>
        </w:rPr>
        <w:t>》</w:t>
      </w:r>
      <w:r w:rsidRPr="00650F1F">
        <w:rPr>
          <w:rFonts w:eastAsiaTheme="minorEastAsia"/>
          <w:sz w:val="20"/>
          <w:szCs w:val="20"/>
          <w:lang w:val="fr-FR" w:eastAsia="zh-CN"/>
        </w:rPr>
        <w:t>；</w:t>
      </w:r>
      <w:r w:rsidRPr="00650F1F">
        <w:rPr>
          <w:rFonts w:eastAsiaTheme="minorEastAsia"/>
          <w:sz w:val="20"/>
          <w:szCs w:val="20"/>
          <w:lang w:val="zh-CN" w:eastAsia="zh-CN"/>
        </w:rPr>
        <w:t>和根据《公约》制定的原则、准则和其他工具</w:t>
      </w:r>
      <w:r w:rsidRPr="00650F1F">
        <w:rPr>
          <w:rFonts w:eastAsiaTheme="minorEastAsia"/>
          <w:sz w:val="20"/>
          <w:szCs w:val="20"/>
          <w:lang w:val="fr-FR" w:eastAsia="zh-CN"/>
        </w:rPr>
        <w:t>，可查阅：</w:t>
      </w:r>
      <w:hyperlink r:id="rId27" w:history="1">
        <w:r w:rsidRPr="00650F1F">
          <w:rPr>
            <w:rStyle w:val="Hyperlink"/>
            <w:rFonts w:eastAsiaTheme="minorEastAsia"/>
            <w:kern w:val="18"/>
            <w:sz w:val="20"/>
            <w:szCs w:val="20"/>
            <w:lang w:val="fr-FR" w:eastAsia="zh-CN"/>
          </w:rPr>
          <w:t>https://www.cbd.int/guidelines/</w:t>
        </w:r>
      </w:hyperlink>
      <w:r w:rsidRPr="00650F1F">
        <w:rPr>
          <w:rFonts w:eastAsiaTheme="minorEastAsia"/>
          <w:sz w:val="20"/>
          <w:szCs w:val="20"/>
          <w:lang w:val="zh-CN"/>
        </w:rPr>
        <w:t>。</w:t>
      </w:r>
    </w:p>
  </w:footnote>
  <w:footnote w:id="58">
    <w:p w:rsidR="00594C0B" w:rsidRPr="00650F1F" w:rsidRDefault="00594C0B" w:rsidP="00BC1E75">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kern w:val="18"/>
          <w:sz w:val="20"/>
          <w:szCs w:val="20"/>
          <w:lang w:val="fr-FR" w:eastAsia="zh-CN"/>
        </w:rPr>
        <w:tab/>
      </w:r>
      <w:r w:rsidRPr="00650F1F">
        <w:rPr>
          <w:rFonts w:eastAsiaTheme="minorEastAsia"/>
          <w:sz w:val="20"/>
          <w:szCs w:val="20"/>
          <w:lang w:val="zh-CN" w:eastAsia="zh-CN"/>
        </w:rPr>
        <w:t>通过将减少灾害风险措施纳入实体基础设施和社会体系的恢复，并纳入生计、经济和环境的复苏，在灾难发生后利用复原、恢复和重建阶段，加强国家和社区的复原力（</w:t>
      </w:r>
      <w:r w:rsidRPr="00650F1F">
        <w:rPr>
          <w:rFonts w:eastAsiaTheme="minorEastAsia"/>
          <w:kern w:val="18"/>
          <w:sz w:val="20"/>
          <w:szCs w:val="20"/>
          <w:lang w:val="zh-CN" w:eastAsia="zh-CN"/>
        </w:rPr>
        <w:t>联合国减少灾害风险办公室关于</w:t>
      </w:r>
      <w:r w:rsidRPr="00650F1F">
        <w:rPr>
          <w:rFonts w:eastAsiaTheme="minorEastAsia"/>
          <w:kern w:val="18"/>
          <w:sz w:val="20"/>
          <w:szCs w:val="20"/>
          <w:lang w:val="zh-CN" w:eastAsia="zh-CN"/>
        </w:rPr>
        <w:t>“</w:t>
      </w:r>
      <w:r w:rsidRPr="00650F1F">
        <w:rPr>
          <w:rFonts w:eastAsiaTheme="minorEastAsia"/>
          <w:kern w:val="18"/>
          <w:sz w:val="20"/>
          <w:szCs w:val="20"/>
          <w:lang w:val="zh-CN" w:eastAsia="zh-CN"/>
        </w:rPr>
        <w:t>重建得更好</w:t>
      </w:r>
      <w:r w:rsidRPr="00650F1F">
        <w:rPr>
          <w:rFonts w:eastAsiaTheme="minorEastAsia"/>
          <w:kern w:val="18"/>
          <w:sz w:val="20"/>
          <w:szCs w:val="20"/>
          <w:lang w:val="zh-CN" w:eastAsia="zh-CN"/>
        </w:rPr>
        <w:t>”</w:t>
      </w:r>
      <w:r w:rsidRPr="00650F1F">
        <w:rPr>
          <w:rFonts w:eastAsiaTheme="minorEastAsia"/>
          <w:kern w:val="18"/>
          <w:sz w:val="20"/>
          <w:szCs w:val="20"/>
          <w:lang w:val="zh-CN" w:eastAsia="zh-CN"/>
        </w:rPr>
        <w:t>的定义，</w:t>
      </w:r>
      <w:r w:rsidRPr="00650F1F">
        <w:rPr>
          <w:rFonts w:eastAsiaTheme="minorEastAsia"/>
          <w:kern w:val="18"/>
          <w:sz w:val="20"/>
          <w:szCs w:val="20"/>
          <w:lang w:val="zh-CN" w:eastAsia="zh-CN"/>
        </w:rPr>
        <w:t>2017</w:t>
      </w:r>
      <w:r w:rsidRPr="00650F1F">
        <w:rPr>
          <w:rFonts w:eastAsiaTheme="minorEastAsia"/>
          <w:kern w:val="18"/>
          <w:sz w:val="20"/>
          <w:szCs w:val="20"/>
          <w:lang w:val="zh-CN" w:eastAsia="zh-CN"/>
        </w:rPr>
        <w:t>年。</w:t>
      </w:r>
      <w:r w:rsidRPr="00650F1F">
        <w:rPr>
          <w:rFonts w:eastAsiaTheme="minorEastAsia"/>
          <w:sz w:val="20"/>
          <w:szCs w:val="20"/>
          <w:lang w:val="zh-CN" w:eastAsia="zh-CN"/>
        </w:rPr>
        <w:t>减少灾害风险的术语不限成员名额政府间专家工作组的建议（</w:t>
      </w:r>
      <w:hyperlink r:id="rId28" w:history="1">
        <w:r w:rsidRPr="00650F1F">
          <w:rPr>
            <w:rStyle w:val="Hyperlink"/>
            <w:rFonts w:eastAsiaTheme="minorEastAsia"/>
            <w:snapToGrid w:val="0"/>
            <w:kern w:val="18"/>
            <w:sz w:val="20"/>
            <w:szCs w:val="20"/>
            <w:lang w:eastAsia="zh-CN"/>
          </w:rPr>
          <w:t>A/71/644</w:t>
        </w:r>
      </w:hyperlink>
      <w:r w:rsidRPr="00650F1F">
        <w:rPr>
          <w:rFonts w:eastAsiaTheme="minorEastAsia"/>
          <w:snapToGrid w:val="0"/>
          <w:kern w:val="18"/>
          <w:sz w:val="20"/>
          <w:szCs w:val="20"/>
          <w:lang w:eastAsia="zh-CN"/>
        </w:rPr>
        <w:t xml:space="preserve"> </w:t>
      </w:r>
      <w:r w:rsidRPr="00650F1F">
        <w:rPr>
          <w:rFonts w:eastAsiaTheme="minorEastAsia"/>
          <w:snapToGrid w:val="0"/>
          <w:kern w:val="18"/>
          <w:sz w:val="20"/>
          <w:szCs w:val="20"/>
          <w:lang w:eastAsia="zh-CN"/>
        </w:rPr>
        <w:t>和</w:t>
      </w:r>
      <w:r w:rsidRPr="00650F1F">
        <w:rPr>
          <w:rFonts w:eastAsiaTheme="minorEastAsia"/>
          <w:snapToGrid w:val="0"/>
          <w:kern w:val="18"/>
          <w:sz w:val="20"/>
          <w:szCs w:val="20"/>
          <w:lang w:eastAsia="zh-CN"/>
        </w:rPr>
        <w:t xml:space="preserve"> </w:t>
      </w:r>
      <w:hyperlink r:id="rId29" w:history="1">
        <w:r w:rsidRPr="00650F1F">
          <w:rPr>
            <w:rStyle w:val="Hyperlink"/>
            <w:rFonts w:eastAsiaTheme="minorEastAsia"/>
            <w:snapToGrid w:val="0"/>
            <w:kern w:val="18"/>
            <w:sz w:val="20"/>
            <w:szCs w:val="20"/>
            <w:lang w:eastAsia="zh-CN"/>
          </w:rPr>
          <w:t>Corr.1</w:t>
        </w:r>
      </w:hyperlink>
      <w:r w:rsidRPr="00650F1F">
        <w:rPr>
          <w:rFonts w:eastAsiaTheme="minorEastAsia"/>
          <w:sz w:val="20"/>
          <w:szCs w:val="20"/>
          <w:lang w:val="zh-CN" w:eastAsia="zh-CN"/>
        </w:rPr>
        <w:t>）和得到联合国大会的核可（见第</w:t>
      </w:r>
      <w:hyperlink r:id="rId30" w:history="1">
        <w:r w:rsidRPr="00650F1F">
          <w:rPr>
            <w:rStyle w:val="Hyperlink"/>
            <w:rFonts w:eastAsiaTheme="minorEastAsia"/>
            <w:sz w:val="20"/>
            <w:szCs w:val="20"/>
            <w:lang w:val="zh-CN" w:eastAsia="zh-CN"/>
          </w:rPr>
          <w:t>71/276</w:t>
        </w:r>
      </w:hyperlink>
      <w:r w:rsidRPr="00650F1F">
        <w:rPr>
          <w:rFonts w:eastAsiaTheme="minorEastAsia"/>
          <w:sz w:val="20"/>
          <w:szCs w:val="20"/>
          <w:lang w:val="zh-CN" w:eastAsia="zh-CN"/>
        </w:rPr>
        <w:t>号决议）。</w:t>
      </w:r>
    </w:p>
  </w:footnote>
  <w:footnote w:id="59">
    <w:p w:rsidR="00594C0B" w:rsidRPr="00650F1F" w:rsidRDefault="00594C0B" w:rsidP="00BC1E75">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kern w:val="18"/>
          <w:sz w:val="20"/>
          <w:szCs w:val="20"/>
          <w:lang w:eastAsia="zh-CN"/>
        </w:rPr>
        <w:tab/>
      </w:r>
      <w:r w:rsidRPr="00650F1F">
        <w:rPr>
          <w:rFonts w:eastAsiaTheme="minorEastAsia"/>
          <w:kern w:val="18"/>
          <w:sz w:val="20"/>
          <w:szCs w:val="20"/>
          <w:lang w:val="zh-CN" w:eastAsia="zh-CN"/>
        </w:rPr>
        <w:t>在《生物多样性公约》的前言中，指明预防性办法为：</w:t>
      </w:r>
      <w:r w:rsidRPr="00650F1F">
        <w:rPr>
          <w:rFonts w:eastAsiaTheme="minorEastAsia"/>
          <w:kern w:val="18"/>
          <w:sz w:val="20"/>
          <w:szCs w:val="20"/>
          <w:lang w:val="zh-CN" w:eastAsia="zh-CN"/>
        </w:rPr>
        <w:t>“</w:t>
      </w:r>
      <w:r w:rsidRPr="00650F1F">
        <w:rPr>
          <w:rFonts w:eastAsiaTheme="minorEastAsia"/>
          <w:kern w:val="18"/>
          <w:sz w:val="20"/>
          <w:szCs w:val="20"/>
          <w:lang w:val="zh-CN" w:eastAsia="zh-CN"/>
        </w:rPr>
        <w:t>生物多样性遭受严重减少或损失的威胁时，不应以缺乏充分的科学定论为理由，而推迟采取旨在避免或尽量减轻此种威胁的措施</w:t>
      </w:r>
      <w:r w:rsidRPr="00650F1F">
        <w:rPr>
          <w:rFonts w:eastAsiaTheme="minorEastAsia"/>
          <w:kern w:val="18"/>
          <w:sz w:val="20"/>
          <w:szCs w:val="20"/>
          <w:lang w:val="zh-CN" w:eastAsia="zh-CN"/>
        </w:rPr>
        <w:t>”</w:t>
      </w:r>
      <w:r w:rsidRPr="00650F1F">
        <w:rPr>
          <w:rFonts w:eastAsiaTheme="minorEastAsia"/>
          <w:kern w:val="18"/>
          <w:sz w:val="20"/>
          <w:szCs w:val="20"/>
          <w:lang w:val="zh-CN" w:eastAsia="zh-CN"/>
        </w:rPr>
        <w:t>。</w:t>
      </w:r>
      <w:r w:rsidRPr="00650F1F">
        <w:rPr>
          <w:rFonts w:eastAsiaTheme="minorEastAsia"/>
          <w:kern w:val="18"/>
          <w:sz w:val="20"/>
          <w:szCs w:val="20"/>
          <w:lang w:val="zh-CN" w:eastAsia="zh-CN"/>
        </w:rPr>
        <w:t xml:space="preserve"> </w:t>
      </w:r>
    </w:p>
  </w:footnote>
  <w:footnote w:id="60">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随着时间的推移形成的世界观纳入了物质和精神两个方面（改编自土著人民复兴网站）。</w:t>
      </w:r>
    </w:p>
  </w:footnote>
  <w:footnote w:id="61">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u w:val="none"/>
          <w:vertAlign w:val="superscript"/>
        </w:rPr>
        <w:t xml:space="preserve"> </w:t>
      </w:r>
      <w:r w:rsidRPr="00650F1F">
        <w:rPr>
          <w:rFonts w:eastAsiaTheme="minorEastAsia"/>
          <w:snapToGrid w:val="0"/>
          <w:kern w:val="18"/>
          <w:sz w:val="20"/>
          <w:szCs w:val="20"/>
        </w:rPr>
        <w:tab/>
        <w:t>CBD/SBSTTA/22/INF/1</w:t>
      </w:r>
      <w:r w:rsidRPr="00650F1F">
        <w:rPr>
          <w:rFonts w:eastAsiaTheme="minorEastAsia"/>
          <w:snapToGrid w:val="0"/>
          <w:kern w:val="18"/>
          <w:sz w:val="20"/>
          <w:szCs w:val="20"/>
        </w:rPr>
        <w:t>。</w:t>
      </w:r>
    </w:p>
  </w:footnote>
  <w:footnote w:id="62">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rPr>
        <w:t xml:space="preserve"> </w:t>
      </w:r>
      <w:r w:rsidRPr="00650F1F">
        <w:rPr>
          <w:rStyle w:val="FootnoteReference"/>
          <w:rFonts w:eastAsiaTheme="minorEastAsia"/>
          <w:sz w:val="24"/>
          <w:szCs w:val="20"/>
          <w:u w:val="none"/>
          <w:vertAlign w:val="superscript"/>
        </w:rPr>
        <w:tab/>
      </w:r>
      <w:r w:rsidRPr="00650F1F">
        <w:rPr>
          <w:rFonts w:eastAsiaTheme="minorEastAsia"/>
          <w:snapToGrid w:val="0"/>
          <w:kern w:val="18"/>
          <w:sz w:val="20"/>
          <w:szCs w:val="20"/>
        </w:rPr>
        <w:t>CBD/SBSTTA/22/INF/1</w:t>
      </w:r>
      <w:r w:rsidRPr="00650F1F">
        <w:rPr>
          <w:rFonts w:eastAsiaTheme="minorEastAsia"/>
          <w:snapToGrid w:val="0"/>
          <w:kern w:val="18"/>
          <w:sz w:val="20"/>
          <w:szCs w:val="20"/>
        </w:rPr>
        <w:t>。</w:t>
      </w:r>
    </w:p>
  </w:footnote>
  <w:footnote w:id="63">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同上。</w:t>
      </w:r>
    </w:p>
  </w:footnote>
  <w:footnote w:id="64">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Style w:val="FootnoteReference"/>
          <w:rFonts w:eastAsiaTheme="minorEastAsia"/>
          <w:sz w:val="24"/>
          <w:u w:val="none"/>
          <w:vertAlign w:val="superscript"/>
          <w:lang w:eastAsia="zh-CN"/>
        </w:rPr>
        <w:tab/>
      </w:r>
      <w:r w:rsidRPr="00650F1F">
        <w:rPr>
          <w:rFonts w:eastAsiaTheme="minorEastAsia"/>
          <w:snapToGrid w:val="0"/>
          <w:kern w:val="18"/>
          <w:sz w:val="20"/>
          <w:szCs w:val="20"/>
          <w:lang w:eastAsia="zh-CN"/>
        </w:rPr>
        <w:t>CBD/SBSTTA/22/INF/1</w:t>
      </w:r>
      <w:r w:rsidRPr="00650F1F">
        <w:rPr>
          <w:rFonts w:eastAsiaTheme="minorEastAsia"/>
          <w:snapToGrid w:val="0"/>
          <w:kern w:val="18"/>
          <w:sz w:val="20"/>
          <w:szCs w:val="20"/>
          <w:lang w:eastAsia="zh-CN"/>
        </w:rPr>
        <w:t>，附件；</w:t>
      </w:r>
      <w:r w:rsidRPr="00650F1F">
        <w:rPr>
          <w:rFonts w:eastAsiaTheme="minorEastAsia"/>
          <w:iCs/>
          <w:snapToGrid w:val="0"/>
          <w:kern w:val="18"/>
          <w:sz w:val="20"/>
          <w:szCs w:val="20"/>
          <w:lang w:eastAsia="zh-CN"/>
        </w:rPr>
        <w:t>《</w:t>
      </w:r>
      <w:hyperlink r:id="rId31" w:history="1">
        <w:r w:rsidRPr="00650F1F">
          <w:rPr>
            <w:rStyle w:val="Hyperlink"/>
            <w:rFonts w:eastAsiaTheme="minorEastAsia"/>
            <w:sz w:val="20"/>
            <w:szCs w:val="20"/>
            <w:lang w:eastAsia="zh-CN"/>
          </w:rPr>
          <w:t>生物多样性公约技术丛刊</w:t>
        </w:r>
      </w:hyperlink>
      <w:r w:rsidRPr="00650F1F">
        <w:rPr>
          <w:rFonts w:eastAsiaTheme="minorEastAsia"/>
          <w:iCs/>
          <w:snapToGrid w:val="0"/>
          <w:kern w:val="18"/>
          <w:sz w:val="20"/>
          <w:szCs w:val="20"/>
          <w:lang w:eastAsia="zh-CN"/>
        </w:rPr>
        <w:t>》第</w:t>
      </w:r>
      <w:r w:rsidRPr="00650F1F">
        <w:rPr>
          <w:rFonts w:eastAsiaTheme="minorEastAsia"/>
          <w:iCs/>
          <w:snapToGrid w:val="0"/>
          <w:kern w:val="18"/>
          <w:sz w:val="20"/>
          <w:szCs w:val="20"/>
          <w:lang w:eastAsia="zh-CN"/>
        </w:rPr>
        <w:t>85</w:t>
      </w:r>
      <w:r w:rsidRPr="00650F1F">
        <w:rPr>
          <w:rFonts w:eastAsiaTheme="minorEastAsia"/>
          <w:iCs/>
          <w:snapToGrid w:val="0"/>
          <w:kern w:val="18"/>
          <w:sz w:val="20"/>
          <w:szCs w:val="20"/>
          <w:lang w:eastAsia="zh-CN"/>
        </w:rPr>
        <w:t>期</w:t>
      </w:r>
      <w:r w:rsidRPr="00650F1F">
        <w:rPr>
          <w:rFonts w:eastAsiaTheme="minorEastAsia"/>
          <w:snapToGrid w:val="0"/>
          <w:kern w:val="18"/>
          <w:sz w:val="20"/>
          <w:szCs w:val="20"/>
          <w:lang w:eastAsia="zh-CN"/>
        </w:rPr>
        <w:t>，</w:t>
      </w:r>
      <w:r w:rsidRPr="00650F1F">
        <w:rPr>
          <w:rFonts w:eastAsiaTheme="minorEastAsia"/>
          <w:snapToGrid w:val="0"/>
          <w:kern w:val="18"/>
          <w:sz w:val="20"/>
          <w:szCs w:val="20"/>
          <w:lang w:eastAsia="zh-CN"/>
        </w:rPr>
        <w:t xml:space="preserve"> </w:t>
      </w:r>
      <w:r w:rsidRPr="00650F1F">
        <w:rPr>
          <w:rFonts w:eastAsiaTheme="minorEastAsia"/>
          <w:snapToGrid w:val="0"/>
          <w:kern w:val="18"/>
          <w:sz w:val="20"/>
          <w:szCs w:val="20"/>
          <w:lang w:eastAsia="zh-CN"/>
        </w:rPr>
        <w:t>附件二和附件三。</w:t>
      </w:r>
    </w:p>
  </w:footnote>
  <w:footnote w:id="65">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napToGrid w:val="0"/>
          <w:kern w:val="18"/>
          <w:sz w:val="20"/>
          <w:szCs w:val="20"/>
          <w:lang w:eastAsia="zh-CN"/>
        </w:rPr>
        <w:tab/>
        <w:t>CBD/SBSTTA/22/INF/1</w:t>
      </w:r>
      <w:r w:rsidRPr="00650F1F">
        <w:rPr>
          <w:rFonts w:eastAsiaTheme="minorEastAsia"/>
          <w:snapToGrid w:val="0"/>
          <w:kern w:val="18"/>
          <w:sz w:val="20"/>
          <w:szCs w:val="20"/>
          <w:lang w:eastAsia="zh-CN"/>
        </w:rPr>
        <w:t>。</w:t>
      </w:r>
    </w:p>
  </w:footnote>
  <w:footnote w:id="66">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lang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例如环境和减少灾害风险伙伴关系、基于生态系统的办法适应气候变化之友、</w:t>
      </w:r>
      <w:r w:rsidRPr="00650F1F">
        <w:rPr>
          <w:rFonts w:eastAsiaTheme="minorEastAsia"/>
          <w:snapToGrid w:val="0"/>
          <w:kern w:val="18"/>
          <w:sz w:val="20"/>
          <w:szCs w:val="20"/>
          <w:lang w:eastAsia="zh-CN"/>
        </w:rPr>
        <w:t>PANORAMA</w:t>
      </w:r>
      <w:r w:rsidRPr="00650F1F">
        <w:rPr>
          <w:rFonts w:eastAsiaTheme="minorEastAsia"/>
          <w:snapToGrid w:val="0"/>
          <w:kern w:val="18"/>
          <w:sz w:val="20"/>
          <w:szCs w:val="20"/>
          <w:lang w:eastAsia="zh-CN"/>
        </w:rPr>
        <w:t>、</w:t>
      </w:r>
      <w:r w:rsidRPr="00650F1F">
        <w:rPr>
          <w:rFonts w:eastAsiaTheme="minorEastAsia"/>
          <w:snapToGrid w:val="0"/>
          <w:kern w:val="18"/>
          <w:sz w:val="20"/>
          <w:szCs w:val="20"/>
          <w:lang w:eastAsia="zh-CN"/>
        </w:rPr>
        <w:t>BES-Net</w:t>
      </w:r>
      <w:r w:rsidRPr="00650F1F">
        <w:rPr>
          <w:rFonts w:eastAsiaTheme="minorEastAsia"/>
          <w:snapToGrid w:val="0"/>
          <w:kern w:val="18"/>
          <w:sz w:val="20"/>
          <w:szCs w:val="20"/>
          <w:lang w:eastAsia="zh-CN"/>
        </w:rPr>
        <w:t>（生物多样性和生态系统服务网络）、</w:t>
      </w:r>
      <w:r w:rsidRPr="00650F1F">
        <w:rPr>
          <w:rFonts w:eastAsiaTheme="minorEastAsia"/>
          <w:snapToGrid w:val="0"/>
          <w:kern w:val="18"/>
          <w:sz w:val="20"/>
          <w:szCs w:val="20"/>
          <w:lang w:eastAsia="zh-CN"/>
        </w:rPr>
        <w:t>Ecoshape</w:t>
      </w:r>
      <w:r w:rsidRPr="00650F1F">
        <w:rPr>
          <w:rFonts w:eastAsiaTheme="minorEastAsia"/>
          <w:snapToGrid w:val="0"/>
          <w:kern w:val="18"/>
          <w:sz w:val="20"/>
          <w:szCs w:val="20"/>
          <w:lang w:eastAsia="zh-CN"/>
        </w:rPr>
        <w:t>、生态系统服务伙伴关系的生态系统服务和减少灾害风险专题工作组、</w:t>
      </w:r>
      <w:r w:rsidRPr="00650F1F">
        <w:rPr>
          <w:rStyle w:val="ng-binding"/>
          <w:rFonts w:eastAsiaTheme="minorEastAsia"/>
          <w:sz w:val="20"/>
          <w:szCs w:val="20"/>
          <w:lang w:eastAsia="zh-CN"/>
        </w:rPr>
        <w:t>自然保护联盟各</w:t>
      </w:r>
      <w:r w:rsidRPr="00650F1F">
        <w:rPr>
          <w:rFonts w:eastAsiaTheme="minorEastAsia"/>
          <w:snapToGrid w:val="0"/>
          <w:kern w:val="18"/>
          <w:sz w:val="20"/>
          <w:szCs w:val="20"/>
          <w:lang w:eastAsia="zh-CN"/>
        </w:rPr>
        <w:t>专题小组和</w:t>
      </w:r>
      <w:r w:rsidRPr="00650F1F">
        <w:rPr>
          <w:rFonts w:eastAsiaTheme="minorEastAsia"/>
          <w:snapToGrid w:val="0"/>
          <w:kern w:val="18"/>
          <w:sz w:val="20"/>
          <w:szCs w:val="20"/>
          <w:lang w:eastAsia="zh-CN"/>
        </w:rPr>
        <w:t>CAP-Net</w:t>
      </w:r>
      <w:r w:rsidRPr="00650F1F">
        <w:rPr>
          <w:rFonts w:eastAsiaTheme="minorEastAsia"/>
          <w:snapToGrid w:val="0"/>
          <w:kern w:val="18"/>
          <w:sz w:val="20"/>
          <w:szCs w:val="20"/>
          <w:lang w:eastAsia="zh-CN"/>
        </w:rPr>
        <w:t>（开发计划署）。</w:t>
      </w:r>
    </w:p>
  </w:footnote>
  <w:footnote w:id="67">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lang w:eastAsia="zh-CN"/>
        </w:rPr>
        <w:t xml:space="preserve">  </w:t>
      </w:r>
      <w:r w:rsidRPr="00650F1F">
        <w:rPr>
          <w:rStyle w:val="FootnoteReference"/>
          <w:rFonts w:eastAsiaTheme="minorEastAsia"/>
          <w:sz w:val="24"/>
          <w:u w:val="none"/>
          <w:vertAlign w:val="superscript"/>
          <w:lang w:eastAsia="zh-CN"/>
        </w:rPr>
        <w:tab/>
      </w:r>
      <w:r w:rsidRPr="00650F1F">
        <w:rPr>
          <w:rFonts w:eastAsiaTheme="minorEastAsia"/>
          <w:snapToGrid w:val="0"/>
          <w:kern w:val="18"/>
          <w:sz w:val="20"/>
          <w:szCs w:val="20"/>
          <w:lang w:eastAsia="zh-CN"/>
        </w:rPr>
        <w:t>包括：国家适应计划（《气候变化框架公约》）、基于生态系统的办法适应气候变化行动框架（世界自然基金会）、适应气候变化主流化周期（德国国际合作机构）、灾害风险管理周期（欧洲环境署）、基于生态系统的办法减少灾害风险周期（</w:t>
      </w:r>
      <w:r w:rsidRPr="00650F1F">
        <w:rPr>
          <w:rFonts w:eastAsiaTheme="minorEastAsia"/>
          <w:snapToGrid w:val="0"/>
          <w:kern w:val="18"/>
          <w:sz w:val="20"/>
          <w:szCs w:val="20"/>
          <w:lang w:eastAsia="zh-CN"/>
        </w:rPr>
        <w:t>Sudmeier-Rieux</w:t>
      </w:r>
      <w:r w:rsidRPr="00650F1F">
        <w:rPr>
          <w:rFonts w:eastAsiaTheme="minorEastAsia"/>
          <w:snapToGrid w:val="0"/>
          <w:kern w:val="18"/>
          <w:sz w:val="20"/>
          <w:szCs w:val="20"/>
          <w:lang w:eastAsia="zh-CN"/>
        </w:rPr>
        <w:t>，</w:t>
      </w:r>
      <w:r w:rsidRPr="00650F1F">
        <w:rPr>
          <w:rFonts w:eastAsiaTheme="minorEastAsia"/>
          <w:snapToGrid w:val="0"/>
          <w:kern w:val="18"/>
          <w:sz w:val="20"/>
          <w:szCs w:val="20"/>
          <w:lang w:eastAsia="zh-CN"/>
        </w:rPr>
        <w:t xml:space="preserve"> 2013</w:t>
      </w:r>
      <w:r w:rsidRPr="00650F1F">
        <w:rPr>
          <w:rFonts w:eastAsiaTheme="minorEastAsia"/>
          <w:snapToGrid w:val="0"/>
          <w:kern w:val="18"/>
          <w:sz w:val="20"/>
          <w:szCs w:val="20"/>
          <w:lang w:eastAsia="zh-CN"/>
        </w:rPr>
        <w:t>年）、保护基础设施和社区的生态系统</w:t>
      </w:r>
      <w:r w:rsidRPr="00650F1F">
        <w:rPr>
          <w:rFonts w:eastAsiaTheme="minorEastAsia"/>
          <w:snapToGrid w:val="0"/>
          <w:kern w:val="18"/>
          <w:sz w:val="20"/>
          <w:szCs w:val="20"/>
          <w:lang w:eastAsia="zh-CN"/>
        </w:rPr>
        <w:t xml:space="preserve"> </w:t>
      </w:r>
      <w:r w:rsidRPr="00650F1F">
        <w:rPr>
          <w:rFonts w:eastAsiaTheme="minorEastAsia"/>
          <w:snapToGrid w:val="0"/>
          <w:kern w:val="18"/>
          <w:sz w:val="20"/>
          <w:szCs w:val="20"/>
          <w:lang w:eastAsia="zh-CN"/>
        </w:rPr>
        <w:t>（国际自然保护联盟，</w:t>
      </w:r>
      <w:r w:rsidRPr="00650F1F">
        <w:rPr>
          <w:rFonts w:eastAsiaTheme="minorEastAsia"/>
          <w:snapToGrid w:val="0"/>
          <w:kern w:val="18"/>
          <w:sz w:val="20"/>
          <w:szCs w:val="20"/>
          <w:lang w:eastAsia="zh-CN"/>
        </w:rPr>
        <w:t>Monty</w:t>
      </w:r>
      <w:r w:rsidRPr="00650F1F">
        <w:rPr>
          <w:rFonts w:eastAsiaTheme="minorEastAsia"/>
          <w:snapToGrid w:val="0"/>
          <w:kern w:val="18"/>
          <w:sz w:val="20"/>
          <w:szCs w:val="20"/>
          <w:lang w:eastAsia="zh-CN"/>
        </w:rPr>
        <w:t>等，</w:t>
      </w:r>
      <w:r w:rsidRPr="00650F1F">
        <w:rPr>
          <w:rFonts w:eastAsiaTheme="minorEastAsia"/>
          <w:snapToGrid w:val="0"/>
          <w:kern w:val="18"/>
          <w:sz w:val="20"/>
          <w:szCs w:val="20"/>
          <w:lang w:eastAsia="zh-CN"/>
        </w:rPr>
        <w:t>2017</w:t>
      </w:r>
      <w:r w:rsidRPr="00650F1F">
        <w:rPr>
          <w:rFonts w:eastAsiaTheme="minorEastAsia"/>
          <w:snapToGrid w:val="0"/>
          <w:kern w:val="18"/>
          <w:sz w:val="20"/>
          <w:szCs w:val="20"/>
          <w:lang w:eastAsia="zh-CN"/>
        </w:rPr>
        <w:t>年）、景观方法（荷兰</w:t>
      </w:r>
      <w:r w:rsidRPr="00650F1F">
        <w:rPr>
          <w:rFonts w:eastAsiaTheme="minorEastAsia"/>
          <w:snapToGrid w:val="0"/>
          <w:kern w:val="18"/>
          <w:sz w:val="20"/>
          <w:szCs w:val="20"/>
          <w:lang w:eastAsia="zh-CN"/>
        </w:rPr>
        <w:t>CARE</w:t>
      </w:r>
      <w:r w:rsidRPr="00650F1F">
        <w:rPr>
          <w:rFonts w:eastAsiaTheme="minorEastAsia"/>
          <w:snapToGrid w:val="0"/>
          <w:kern w:val="18"/>
          <w:sz w:val="20"/>
          <w:szCs w:val="20"/>
          <w:lang w:eastAsia="zh-CN"/>
        </w:rPr>
        <w:t>组织和国际湿地组织）。</w:t>
      </w:r>
    </w:p>
  </w:footnote>
  <w:footnote w:id="68">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rPr>
        <w:t xml:space="preserve">  </w:t>
      </w:r>
      <w:r w:rsidRPr="00650F1F">
        <w:rPr>
          <w:rStyle w:val="FootnoteReference"/>
          <w:rFonts w:eastAsiaTheme="minorEastAsia"/>
          <w:sz w:val="24"/>
          <w:u w:val="none"/>
          <w:vertAlign w:val="superscript"/>
        </w:rPr>
        <w:tab/>
      </w:r>
      <w:r w:rsidRPr="00650F1F">
        <w:rPr>
          <w:rFonts w:eastAsiaTheme="minorEastAsia"/>
          <w:snapToGrid w:val="0"/>
          <w:kern w:val="18"/>
          <w:sz w:val="20"/>
          <w:szCs w:val="20"/>
          <w:lang w:eastAsia="zh-CN"/>
        </w:rPr>
        <w:t>更多细节见：</w:t>
      </w:r>
      <w:r w:rsidRPr="00650F1F">
        <w:rPr>
          <w:rFonts w:eastAsiaTheme="minorEastAsia"/>
          <w:snapToGrid w:val="0"/>
          <w:kern w:val="18"/>
          <w:sz w:val="20"/>
          <w:szCs w:val="20"/>
          <w:lang w:eastAsia="zh-CN"/>
        </w:rPr>
        <w:t xml:space="preserve"> CBD/SBSTTA/22/INF/1</w:t>
      </w:r>
      <w:r w:rsidRPr="00650F1F">
        <w:rPr>
          <w:rFonts w:eastAsiaTheme="minorEastAsia"/>
          <w:snapToGrid w:val="0"/>
          <w:kern w:val="18"/>
          <w:sz w:val="20"/>
          <w:szCs w:val="20"/>
          <w:lang w:eastAsia="zh-CN"/>
        </w:rPr>
        <w:t>。</w:t>
      </w:r>
    </w:p>
  </w:footnote>
  <w:footnote w:id="69">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rPr>
        <w:t xml:space="preserve"> </w:t>
      </w:r>
      <w:r w:rsidRPr="00650F1F">
        <w:rPr>
          <w:rFonts w:eastAsiaTheme="minorEastAsia"/>
          <w:snapToGrid w:val="0"/>
          <w:kern w:val="18"/>
          <w:sz w:val="20"/>
          <w:szCs w:val="20"/>
        </w:rPr>
        <w:tab/>
      </w:r>
      <w:r w:rsidRPr="00650F1F">
        <w:rPr>
          <w:rFonts w:eastAsiaTheme="minorEastAsia"/>
          <w:snapToGrid w:val="0"/>
          <w:kern w:val="18"/>
          <w:sz w:val="20"/>
          <w:szCs w:val="20"/>
          <w:lang w:eastAsia="zh-CN"/>
        </w:rPr>
        <w:t>CBD/SBSTTA/22/INF/1</w:t>
      </w:r>
      <w:r w:rsidRPr="00650F1F">
        <w:rPr>
          <w:rFonts w:eastAsiaTheme="minorEastAsia"/>
          <w:snapToGrid w:val="0"/>
          <w:kern w:val="18"/>
          <w:sz w:val="20"/>
          <w:szCs w:val="20"/>
          <w:lang w:eastAsia="zh-CN"/>
        </w:rPr>
        <w:t>。</w:t>
      </w:r>
    </w:p>
  </w:footnote>
  <w:footnote w:id="70">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rPr>
        <w:t xml:space="preserve">  </w:t>
      </w:r>
      <w:r w:rsidRPr="00650F1F">
        <w:rPr>
          <w:rStyle w:val="FootnoteReference"/>
          <w:rFonts w:eastAsiaTheme="minorEastAsia"/>
          <w:sz w:val="24"/>
          <w:u w:val="none"/>
          <w:vertAlign w:val="superscript"/>
        </w:rPr>
        <w:tab/>
      </w:r>
      <w:r w:rsidRPr="00650F1F">
        <w:rPr>
          <w:rFonts w:eastAsiaTheme="minorEastAsia"/>
          <w:snapToGrid w:val="0"/>
          <w:kern w:val="18"/>
          <w:sz w:val="20"/>
          <w:szCs w:val="20"/>
          <w:lang w:eastAsia="zh-CN"/>
        </w:rPr>
        <w:t>可查阅</w:t>
      </w:r>
      <w:r w:rsidRPr="00650F1F">
        <w:rPr>
          <w:rFonts w:eastAsiaTheme="minorEastAsia"/>
          <w:snapToGrid w:val="0"/>
          <w:kern w:val="18"/>
          <w:sz w:val="20"/>
          <w:szCs w:val="20"/>
          <w:lang w:eastAsia="zh-CN"/>
        </w:rPr>
        <w:t>CBD/SBSTTA/22/INF/1</w:t>
      </w:r>
      <w:r w:rsidRPr="00650F1F">
        <w:rPr>
          <w:rFonts w:eastAsiaTheme="minorEastAsia"/>
          <w:snapToGrid w:val="0"/>
          <w:kern w:val="18"/>
          <w:sz w:val="20"/>
          <w:szCs w:val="20"/>
          <w:lang w:eastAsia="zh-CN"/>
        </w:rPr>
        <w:t>。</w:t>
      </w:r>
    </w:p>
  </w:footnote>
  <w:footnote w:id="71">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政府间气候变化专门委员会，第五次评估报告，</w:t>
      </w:r>
      <w:r w:rsidRPr="00650F1F">
        <w:rPr>
          <w:rFonts w:eastAsiaTheme="minorEastAsia"/>
          <w:snapToGrid w:val="0"/>
          <w:kern w:val="18"/>
          <w:sz w:val="20"/>
          <w:szCs w:val="20"/>
          <w:lang w:eastAsia="zh-CN"/>
        </w:rPr>
        <w:t>2014</w:t>
      </w:r>
      <w:r w:rsidRPr="00650F1F">
        <w:rPr>
          <w:rFonts w:eastAsiaTheme="minorEastAsia"/>
          <w:snapToGrid w:val="0"/>
          <w:kern w:val="18"/>
          <w:sz w:val="20"/>
          <w:szCs w:val="20"/>
          <w:lang w:eastAsia="zh-CN"/>
        </w:rPr>
        <w:t>年。</w:t>
      </w:r>
    </w:p>
  </w:footnote>
  <w:footnote w:id="72">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lang w:eastAsia="zh-CN"/>
        </w:rPr>
        <w:t xml:space="preserve"> </w:t>
      </w:r>
      <w:r w:rsidRPr="00650F1F">
        <w:rPr>
          <w:rStyle w:val="FootnoteReference"/>
          <w:rFonts w:eastAsiaTheme="minorEastAsia"/>
          <w:kern w:val="18"/>
          <w:sz w:val="24"/>
          <w:szCs w:val="20"/>
          <w:u w:val="none"/>
          <w:vertAlign w:val="superscript"/>
          <w:lang w:eastAsia="zh-CN"/>
        </w:rPr>
        <w:tab/>
      </w:r>
      <w:r w:rsidRPr="00650F1F">
        <w:rPr>
          <w:rFonts w:eastAsiaTheme="minorEastAsia"/>
          <w:snapToGrid w:val="0"/>
          <w:kern w:val="18"/>
          <w:sz w:val="20"/>
          <w:szCs w:val="20"/>
          <w:lang w:eastAsia="zh-CN"/>
        </w:rPr>
        <w:t>见</w:t>
      </w:r>
      <w:r w:rsidRPr="00650F1F">
        <w:rPr>
          <w:rFonts w:eastAsiaTheme="minorEastAsia"/>
          <w:snapToGrid w:val="0"/>
          <w:kern w:val="18"/>
          <w:sz w:val="20"/>
          <w:szCs w:val="20"/>
          <w:lang w:eastAsia="zh-CN"/>
        </w:rPr>
        <w:t>CBD/SBSTTA/22/INF/1</w:t>
      </w:r>
      <w:r w:rsidRPr="00650F1F">
        <w:rPr>
          <w:rFonts w:eastAsiaTheme="minorEastAsia"/>
          <w:snapToGrid w:val="0"/>
          <w:kern w:val="18"/>
          <w:sz w:val="20"/>
          <w:szCs w:val="20"/>
          <w:lang w:eastAsia="zh-CN"/>
        </w:rPr>
        <w:t>。</w:t>
      </w:r>
    </w:p>
  </w:footnote>
  <w:footnote w:id="73">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lang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同上。</w:t>
      </w:r>
    </w:p>
  </w:footnote>
  <w:footnote w:id="74">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lang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载于</w:t>
      </w:r>
      <w:r w:rsidRPr="00650F1F">
        <w:rPr>
          <w:rFonts w:eastAsiaTheme="minorEastAsia"/>
          <w:snapToGrid w:val="0"/>
          <w:kern w:val="18"/>
          <w:sz w:val="20"/>
          <w:szCs w:val="20"/>
          <w:lang w:eastAsia="zh-CN"/>
        </w:rPr>
        <w:t>CBD/SBSTTA/22/INF/1</w:t>
      </w:r>
      <w:r w:rsidRPr="00650F1F">
        <w:rPr>
          <w:rFonts w:eastAsiaTheme="minorEastAsia"/>
          <w:snapToGrid w:val="0"/>
          <w:kern w:val="18"/>
          <w:sz w:val="20"/>
          <w:szCs w:val="20"/>
          <w:lang w:eastAsia="zh-CN"/>
        </w:rPr>
        <w:t>。</w:t>
      </w:r>
    </w:p>
  </w:footnote>
  <w:footnote w:id="75">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lang w:eastAsia="zh-CN"/>
        </w:rPr>
        <w:t xml:space="preserve">  </w:t>
      </w:r>
      <w:r w:rsidRPr="00650F1F">
        <w:rPr>
          <w:rStyle w:val="FootnoteReference"/>
          <w:rFonts w:eastAsiaTheme="minorEastAsia"/>
          <w:sz w:val="24"/>
          <w:u w:val="none"/>
          <w:vertAlign w:val="superscript"/>
          <w:lang w:eastAsia="zh-CN"/>
        </w:rPr>
        <w:tab/>
      </w:r>
      <w:r w:rsidRPr="00650F1F">
        <w:rPr>
          <w:rFonts w:eastAsiaTheme="minorEastAsia"/>
          <w:snapToGrid w:val="0"/>
          <w:kern w:val="18"/>
          <w:sz w:val="20"/>
          <w:szCs w:val="20"/>
          <w:lang w:eastAsia="zh-CN"/>
        </w:rPr>
        <w:t>见</w:t>
      </w:r>
      <w:r w:rsidRPr="00650F1F">
        <w:rPr>
          <w:rFonts w:eastAsiaTheme="minorEastAsia"/>
          <w:snapToGrid w:val="0"/>
          <w:kern w:val="22"/>
          <w:sz w:val="20"/>
          <w:lang w:val="en-US" w:eastAsia="zh-CN"/>
        </w:rPr>
        <w:t>“</w:t>
      </w:r>
      <w:hyperlink r:id="rId32" w:history="1">
        <w:r w:rsidRPr="00650F1F">
          <w:rPr>
            <w:rStyle w:val="Hyperlink"/>
            <w:rFonts w:eastAsiaTheme="minorEastAsia"/>
            <w:sz w:val="20"/>
            <w:szCs w:val="20"/>
            <w:lang w:eastAsia="zh-CN"/>
          </w:rPr>
          <w:t>实现基于生态系统的办法适应气候变化的有效性</w:t>
        </w:r>
        <w:r w:rsidRPr="00650F1F">
          <w:rPr>
            <w:rStyle w:val="Hyperlink"/>
            <w:rFonts w:eastAsiaTheme="minorEastAsia"/>
            <w:sz w:val="20"/>
            <w:szCs w:val="20"/>
            <w:lang w:eastAsia="zh-CN"/>
          </w:rPr>
          <w:t xml:space="preserve"> - </w:t>
        </w:r>
        <w:r w:rsidRPr="00650F1F">
          <w:rPr>
            <w:rStyle w:val="Hyperlink"/>
            <w:rFonts w:eastAsiaTheme="minorEastAsia"/>
            <w:sz w:val="20"/>
            <w:szCs w:val="20"/>
            <w:lang w:eastAsia="zh-CN"/>
          </w:rPr>
          <w:t>一个定义合格标准和质量标准的框架</w:t>
        </w:r>
      </w:hyperlink>
      <w:r w:rsidRPr="00650F1F">
        <w:rPr>
          <w:rFonts w:eastAsiaTheme="minorEastAsia"/>
          <w:snapToGrid w:val="0"/>
          <w:kern w:val="22"/>
          <w:sz w:val="20"/>
          <w:lang w:val="en-US" w:eastAsia="zh-CN"/>
        </w:rPr>
        <w:t>”</w:t>
      </w:r>
      <w:r w:rsidRPr="00650F1F">
        <w:rPr>
          <w:rFonts w:eastAsiaTheme="minorEastAsia"/>
          <w:snapToGrid w:val="0"/>
          <w:kern w:val="18"/>
          <w:sz w:val="20"/>
          <w:szCs w:val="20"/>
          <w:lang w:eastAsia="zh-CN"/>
        </w:rPr>
        <w:t>（基于生态系统的办法适应气候变化之友的技术文件）。</w:t>
      </w:r>
    </w:p>
  </w:footnote>
  <w:footnote w:id="76">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lang w:eastAsia="zh-CN"/>
        </w:rPr>
        <w:t xml:space="preserve">  </w:t>
      </w:r>
      <w:r w:rsidRPr="00650F1F">
        <w:rPr>
          <w:rStyle w:val="FootnoteReference"/>
          <w:rFonts w:eastAsiaTheme="minorEastAsia"/>
          <w:sz w:val="24"/>
          <w:u w:val="none"/>
          <w:vertAlign w:val="superscript"/>
          <w:lang w:eastAsia="zh-CN"/>
        </w:rPr>
        <w:tab/>
      </w:r>
      <w:r w:rsidRPr="00650F1F">
        <w:rPr>
          <w:rFonts w:eastAsiaTheme="minorEastAsia"/>
          <w:snapToGrid w:val="0"/>
          <w:kern w:val="18"/>
          <w:sz w:val="20"/>
          <w:szCs w:val="20"/>
          <w:lang w:eastAsia="zh-CN"/>
        </w:rPr>
        <w:t>见</w:t>
      </w:r>
      <w:r w:rsidRPr="00650F1F">
        <w:rPr>
          <w:rFonts w:eastAsiaTheme="minorEastAsia"/>
          <w:snapToGrid w:val="0"/>
          <w:kern w:val="18"/>
          <w:sz w:val="20"/>
          <w:szCs w:val="20"/>
          <w:lang w:eastAsia="zh-CN"/>
        </w:rPr>
        <w:t xml:space="preserve"> CBD/SBSTTA/22/INF/1</w:t>
      </w:r>
      <w:r w:rsidRPr="00650F1F">
        <w:rPr>
          <w:rFonts w:eastAsiaTheme="minorEastAsia"/>
          <w:snapToGrid w:val="0"/>
          <w:kern w:val="18"/>
          <w:sz w:val="20"/>
          <w:szCs w:val="20"/>
          <w:lang w:eastAsia="zh-CN"/>
        </w:rPr>
        <w:t>。</w:t>
      </w:r>
    </w:p>
  </w:footnote>
  <w:footnote w:id="77">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lang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同上。</w:t>
      </w:r>
    </w:p>
  </w:footnote>
  <w:footnote w:id="78">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lang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同上。</w:t>
      </w:r>
    </w:p>
  </w:footnote>
  <w:footnote w:id="79">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lang w:eastAsia="zh-CN"/>
        </w:rPr>
        <w:t xml:space="preserve">  </w:t>
      </w:r>
      <w:r w:rsidRPr="00650F1F">
        <w:rPr>
          <w:rStyle w:val="FootnoteReference"/>
          <w:rFonts w:eastAsiaTheme="minorEastAsia"/>
          <w:sz w:val="24"/>
          <w:u w:val="none"/>
          <w:vertAlign w:val="superscript"/>
          <w:lang w:eastAsia="zh-CN"/>
        </w:rPr>
        <w:tab/>
      </w:r>
      <w:r w:rsidRPr="00650F1F">
        <w:rPr>
          <w:rFonts w:eastAsiaTheme="minorEastAsia"/>
          <w:snapToGrid w:val="0"/>
          <w:kern w:val="18"/>
          <w:sz w:val="20"/>
          <w:szCs w:val="20"/>
          <w:lang w:eastAsia="zh-CN"/>
        </w:rPr>
        <w:t>对基于生态系统的办法适应气候变化和减少灾害风险活动进行价值评估的方法，摘自：《前线经济》（</w:t>
      </w:r>
      <w:r w:rsidRPr="00650F1F">
        <w:rPr>
          <w:rFonts w:eastAsiaTheme="minorEastAsia"/>
          <w:snapToGrid w:val="0"/>
          <w:kern w:val="18"/>
          <w:sz w:val="20"/>
          <w:szCs w:val="20"/>
          <w:lang w:eastAsia="zh-CN"/>
        </w:rPr>
        <w:t>2013</w:t>
      </w:r>
      <w:r w:rsidRPr="00650F1F">
        <w:rPr>
          <w:rFonts w:eastAsiaTheme="minorEastAsia"/>
          <w:snapToGrid w:val="0"/>
          <w:kern w:val="18"/>
          <w:sz w:val="20"/>
          <w:szCs w:val="20"/>
          <w:lang w:eastAsia="zh-CN"/>
        </w:rPr>
        <w:t>年），</w:t>
      </w:r>
      <w:r w:rsidRPr="004B7DAB">
        <w:rPr>
          <w:rFonts w:asciiTheme="minorEastAsia" w:eastAsiaTheme="minorEastAsia" w:hAnsiTheme="minorEastAsia"/>
          <w:snapToGrid w:val="0"/>
          <w:kern w:val="18"/>
          <w:sz w:val="20"/>
          <w:szCs w:val="20"/>
          <w:lang w:eastAsia="zh-CN"/>
        </w:rPr>
        <w:t>“</w:t>
      </w:r>
      <w:hyperlink r:id="rId33" w:history="1">
        <w:r w:rsidRPr="00650F1F">
          <w:rPr>
            <w:rStyle w:val="Hyperlink"/>
            <w:rFonts w:eastAsiaTheme="minorEastAsia"/>
            <w:sz w:val="20"/>
            <w:szCs w:val="20"/>
            <w:lang w:eastAsia="zh-CN"/>
          </w:rPr>
          <w:t>气候适应能力经济学</w:t>
        </w:r>
      </w:hyperlink>
      <w:r w:rsidRPr="00650F1F">
        <w:rPr>
          <w:rStyle w:val="Hyperlink"/>
          <w:rFonts w:eastAsiaTheme="minorEastAsia"/>
          <w:sz w:val="20"/>
          <w:szCs w:val="20"/>
          <w:lang w:eastAsia="zh-CN"/>
        </w:rPr>
        <w:t>：评估洪水管理举措</w:t>
      </w:r>
      <w:r w:rsidRPr="00650F1F">
        <w:rPr>
          <w:rStyle w:val="Hyperlink"/>
          <w:rFonts w:eastAsiaTheme="minorEastAsia"/>
          <w:sz w:val="20"/>
          <w:szCs w:val="20"/>
          <w:lang w:eastAsia="zh-CN"/>
        </w:rPr>
        <w:t>-</w:t>
      </w:r>
      <w:r w:rsidRPr="00650F1F">
        <w:rPr>
          <w:rStyle w:val="Hyperlink"/>
          <w:rFonts w:eastAsiaTheme="minorEastAsia"/>
          <w:sz w:val="20"/>
          <w:szCs w:val="20"/>
          <w:lang w:eastAsia="zh-CN"/>
        </w:rPr>
        <w:t>案例研究</w:t>
      </w:r>
      <w:r w:rsidRPr="004B7DAB">
        <w:rPr>
          <w:rFonts w:asciiTheme="minorEastAsia" w:eastAsiaTheme="minorEastAsia" w:hAnsiTheme="minorEastAsia"/>
          <w:snapToGrid w:val="0"/>
          <w:kern w:val="18"/>
          <w:sz w:val="20"/>
          <w:szCs w:val="20"/>
          <w:lang w:eastAsia="zh-CN"/>
        </w:rPr>
        <w:t>”</w:t>
      </w:r>
      <w:r w:rsidRPr="00650F1F">
        <w:rPr>
          <w:rFonts w:eastAsiaTheme="minorEastAsia"/>
          <w:snapToGrid w:val="0"/>
          <w:kern w:val="18"/>
          <w:sz w:val="20"/>
          <w:szCs w:val="20"/>
          <w:lang w:eastAsia="zh-CN"/>
        </w:rPr>
        <w:t>，可查阅：</w:t>
      </w:r>
      <w:r w:rsidRPr="00650F1F">
        <w:rPr>
          <w:rFonts w:eastAsiaTheme="minorEastAsia"/>
          <w:snapToGrid w:val="0"/>
          <w:kern w:val="18"/>
          <w:sz w:val="20"/>
          <w:szCs w:val="20"/>
          <w:lang w:eastAsia="zh-CN"/>
        </w:rPr>
        <w:t>CBD/SBSTTA/22/INF/1</w:t>
      </w:r>
      <w:r w:rsidRPr="00650F1F">
        <w:rPr>
          <w:rFonts w:eastAsiaTheme="minorEastAsia"/>
          <w:snapToGrid w:val="0"/>
          <w:kern w:val="18"/>
          <w:sz w:val="20"/>
          <w:szCs w:val="20"/>
          <w:lang w:eastAsia="zh-CN"/>
        </w:rPr>
        <w:t>。</w:t>
      </w:r>
    </w:p>
  </w:footnote>
  <w:footnote w:id="80">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sz w:val="24"/>
          <w:u w:val="none"/>
          <w:vertAlign w:val="superscript"/>
        </w:rPr>
        <w:t xml:space="preserve">  </w:t>
      </w:r>
      <w:r w:rsidRPr="00650F1F">
        <w:rPr>
          <w:rStyle w:val="FootnoteReference"/>
          <w:rFonts w:eastAsiaTheme="minorEastAsia"/>
          <w:sz w:val="24"/>
          <w:u w:val="none"/>
          <w:vertAlign w:val="superscript"/>
        </w:rPr>
        <w:tab/>
      </w:r>
      <w:r w:rsidRPr="00650F1F">
        <w:rPr>
          <w:rFonts w:eastAsiaTheme="minorEastAsia"/>
          <w:snapToGrid w:val="0"/>
          <w:kern w:val="18"/>
          <w:sz w:val="20"/>
          <w:szCs w:val="20"/>
          <w:lang w:eastAsia="zh-CN"/>
        </w:rPr>
        <w:t>可查阅：</w:t>
      </w:r>
      <w:r w:rsidRPr="00650F1F">
        <w:rPr>
          <w:rFonts w:eastAsiaTheme="minorEastAsia"/>
          <w:snapToGrid w:val="0"/>
          <w:kern w:val="18"/>
          <w:sz w:val="20"/>
          <w:szCs w:val="20"/>
          <w:lang w:eastAsia="zh-CN"/>
        </w:rPr>
        <w:t>CBD</w:t>
      </w:r>
      <w:r w:rsidRPr="00650F1F">
        <w:rPr>
          <w:rFonts w:eastAsiaTheme="minorEastAsia"/>
          <w:snapToGrid w:val="0"/>
          <w:kern w:val="18"/>
          <w:sz w:val="20"/>
          <w:szCs w:val="20"/>
        </w:rPr>
        <w:t>/SBSTTA/22/INF/1</w:t>
      </w:r>
      <w:r w:rsidRPr="00650F1F">
        <w:rPr>
          <w:rFonts w:eastAsiaTheme="minorEastAsia"/>
          <w:snapToGrid w:val="0"/>
          <w:kern w:val="18"/>
          <w:sz w:val="20"/>
          <w:szCs w:val="20"/>
        </w:rPr>
        <w:t>。</w:t>
      </w:r>
    </w:p>
  </w:footnote>
  <w:footnote w:id="81">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b/>
          <w:snapToGrid w:val="0"/>
          <w:kern w:val="18"/>
          <w:sz w:val="20"/>
          <w:szCs w:val="20"/>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sz w:val="24"/>
          <w:szCs w:val="20"/>
          <w:u w:val="none"/>
          <w:vertAlign w:val="superscript"/>
        </w:rPr>
        <w:t xml:space="preserve"> </w:t>
      </w:r>
      <w:r w:rsidRPr="00650F1F">
        <w:rPr>
          <w:rFonts w:eastAsiaTheme="minorEastAsia"/>
          <w:snapToGrid w:val="0"/>
          <w:kern w:val="18"/>
          <w:sz w:val="24"/>
          <w:szCs w:val="20"/>
          <w:vertAlign w:val="superscript"/>
        </w:rPr>
        <w:t xml:space="preserve"> </w:t>
      </w:r>
      <w:r w:rsidRPr="00650F1F">
        <w:rPr>
          <w:rFonts w:eastAsiaTheme="minorEastAsia"/>
          <w:snapToGrid w:val="0"/>
          <w:kern w:val="18"/>
          <w:sz w:val="24"/>
          <w:szCs w:val="20"/>
          <w:vertAlign w:val="superscript"/>
        </w:rPr>
        <w:tab/>
      </w:r>
      <w:r w:rsidRPr="00650F1F">
        <w:rPr>
          <w:rFonts w:eastAsiaTheme="minorEastAsia"/>
          <w:snapToGrid w:val="0"/>
          <w:kern w:val="18"/>
          <w:sz w:val="20"/>
          <w:szCs w:val="20"/>
          <w:lang w:eastAsia="zh-CN"/>
        </w:rPr>
        <w:t>其中一些关键行动和考虑因素是根据</w:t>
      </w:r>
      <w:r w:rsidRPr="00650F1F">
        <w:rPr>
          <w:rFonts w:eastAsiaTheme="minorEastAsia"/>
          <w:snapToGrid w:val="0"/>
          <w:kern w:val="18"/>
          <w:sz w:val="20"/>
          <w:szCs w:val="20"/>
          <w:lang w:val="de-DE" w:eastAsia="zh-CN"/>
        </w:rPr>
        <w:t>Deutsche Gesellschaft für Internationale Zusammenarbeit</w:t>
      </w:r>
      <w:r w:rsidRPr="00650F1F">
        <w:rPr>
          <w:rFonts w:eastAsiaTheme="minorEastAsia"/>
          <w:snapToGrid w:val="0"/>
          <w:kern w:val="18"/>
          <w:sz w:val="20"/>
          <w:szCs w:val="20"/>
          <w:lang w:val="de-DE" w:eastAsia="zh-CN"/>
        </w:rPr>
        <w:t>订于</w:t>
      </w:r>
      <w:r w:rsidRPr="00650F1F">
        <w:rPr>
          <w:rFonts w:eastAsiaTheme="minorEastAsia"/>
          <w:snapToGrid w:val="0"/>
          <w:kern w:val="18"/>
          <w:sz w:val="20"/>
          <w:szCs w:val="20"/>
          <w:lang w:eastAsia="zh-CN"/>
        </w:rPr>
        <w:t>2018</w:t>
      </w:r>
      <w:r w:rsidRPr="00650F1F">
        <w:rPr>
          <w:rFonts w:eastAsiaTheme="minorEastAsia"/>
          <w:snapToGrid w:val="0"/>
          <w:kern w:val="18"/>
          <w:sz w:val="20"/>
          <w:szCs w:val="20"/>
          <w:lang w:eastAsia="zh-CN"/>
        </w:rPr>
        <w:t>年发布的学习简报（正在编写）提出的</w:t>
      </w:r>
      <w:r w:rsidRPr="00650F1F">
        <w:rPr>
          <w:rFonts w:eastAsiaTheme="minorEastAsia"/>
          <w:snapToGrid w:val="0"/>
          <w:kern w:val="18"/>
          <w:sz w:val="20"/>
          <w:szCs w:val="20"/>
        </w:rPr>
        <w:t>。</w:t>
      </w:r>
    </w:p>
  </w:footnote>
  <w:footnote w:id="82">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见</w:t>
      </w:r>
      <w:r w:rsidRPr="00650F1F">
        <w:rPr>
          <w:rFonts w:eastAsiaTheme="minorEastAsia"/>
          <w:snapToGrid w:val="0"/>
          <w:kern w:val="18"/>
          <w:sz w:val="20"/>
          <w:szCs w:val="20"/>
          <w:lang w:eastAsia="zh-CN"/>
        </w:rPr>
        <w:t xml:space="preserve"> </w:t>
      </w:r>
      <w:r w:rsidRPr="00650F1F">
        <w:rPr>
          <w:rFonts w:eastAsiaTheme="minorEastAsia"/>
          <w:snapToGrid w:val="0"/>
          <w:kern w:val="18"/>
          <w:sz w:val="20"/>
          <w:szCs w:val="20"/>
          <w:lang w:val="de-DE" w:eastAsia="zh-CN"/>
        </w:rPr>
        <w:t>CBD/SBSTTA/22/INF/1</w:t>
      </w:r>
      <w:r w:rsidRPr="00650F1F">
        <w:rPr>
          <w:rFonts w:eastAsiaTheme="minorEastAsia"/>
          <w:snapToGrid w:val="0"/>
          <w:kern w:val="18"/>
          <w:sz w:val="20"/>
          <w:szCs w:val="20"/>
          <w:lang w:eastAsia="zh-CN"/>
        </w:rPr>
        <w:t>。</w:t>
      </w:r>
    </w:p>
  </w:footnote>
  <w:footnote w:id="83">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lang w:eastAsia="zh-CN"/>
        </w:rPr>
        <w:t xml:space="preserve"> </w:t>
      </w:r>
      <w:r w:rsidRPr="00650F1F">
        <w:rPr>
          <w:rFonts w:eastAsiaTheme="minorEastAsia"/>
          <w:snapToGrid w:val="0"/>
          <w:kern w:val="18"/>
          <w:sz w:val="24"/>
          <w:szCs w:val="20"/>
          <w:vertAlign w:val="superscript"/>
          <w:lang w:eastAsia="zh-CN"/>
        </w:rPr>
        <w:tab/>
      </w:r>
      <w:r w:rsidRPr="00650F1F">
        <w:rPr>
          <w:rFonts w:eastAsiaTheme="minorEastAsia"/>
          <w:snapToGrid w:val="0"/>
          <w:kern w:val="18"/>
          <w:sz w:val="20"/>
          <w:szCs w:val="20"/>
          <w:lang w:eastAsia="zh-CN"/>
        </w:rPr>
        <w:t>《生物多样性公约》网站（</w:t>
      </w:r>
      <w:hyperlink r:id="rId34" w:history="1">
        <w:r w:rsidRPr="00650F1F">
          <w:rPr>
            <w:rStyle w:val="Hyperlink"/>
            <w:rFonts w:eastAsiaTheme="minorEastAsia"/>
            <w:snapToGrid w:val="0"/>
            <w:kern w:val="18"/>
            <w:sz w:val="20"/>
            <w:szCs w:val="20"/>
            <w:lang w:eastAsia="zh-CN"/>
          </w:rPr>
          <w:t>https://www.cbd.int/indicators/default.shtml</w:t>
        </w:r>
      </w:hyperlink>
      <w:r w:rsidRPr="00650F1F">
        <w:rPr>
          <w:rFonts w:eastAsiaTheme="minorEastAsia"/>
          <w:snapToGrid w:val="0"/>
          <w:kern w:val="18"/>
          <w:sz w:val="20"/>
          <w:szCs w:val="20"/>
          <w:lang w:eastAsia="zh-CN"/>
        </w:rPr>
        <w:t xml:space="preserve">) </w:t>
      </w:r>
      <w:r w:rsidRPr="00650F1F">
        <w:rPr>
          <w:rFonts w:eastAsiaTheme="minorEastAsia"/>
          <w:snapToGrid w:val="0"/>
          <w:kern w:val="18"/>
          <w:sz w:val="20"/>
          <w:szCs w:val="20"/>
          <w:lang w:eastAsia="zh-CN"/>
        </w:rPr>
        <w:t>和</w:t>
      </w:r>
      <w:r w:rsidRPr="00650F1F">
        <w:rPr>
          <w:rStyle w:val="ng-binding"/>
          <w:rFonts w:eastAsiaTheme="minorEastAsia"/>
          <w:sz w:val="20"/>
          <w:szCs w:val="20"/>
          <w:lang w:eastAsia="zh-CN"/>
        </w:rPr>
        <w:t>政府间气候变化专门委员会第五次评估报告</w:t>
      </w:r>
      <w:r w:rsidRPr="00650F1F">
        <w:rPr>
          <w:rFonts w:eastAsiaTheme="minorEastAsia"/>
          <w:snapToGrid w:val="0"/>
          <w:kern w:val="18"/>
          <w:sz w:val="20"/>
          <w:szCs w:val="20"/>
          <w:lang w:eastAsia="zh-CN"/>
        </w:rPr>
        <w:t>（见</w:t>
      </w:r>
      <w:r w:rsidRPr="00650F1F">
        <w:rPr>
          <w:rFonts w:eastAsiaTheme="minorEastAsia"/>
          <w:snapToGrid w:val="0"/>
          <w:kern w:val="18"/>
          <w:sz w:val="20"/>
          <w:szCs w:val="20"/>
          <w:lang w:eastAsia="zh-CN"/>
        </w:rPr>
        <w:t xml:space="preserve"> </w:t>
      </w:r>
      <w:hyperlink r:id="rId35" w:history="1">
        <w:r w:rsidRPr="00650F1F">
          <w:rPr>
            <w:rStyle w:val="Hyperlink"/>
            <w:rFonts w:eastAsiaTheme="minorEastAsia"/>
            <w:snapToGrid w:val="0"/>
            <w:kern w:val="18"/>
            <w:sz w:val="20"/>
            <w:szCs w:val="20"/>
            <w:lang w:eastAsia="zh-CN"/>
          </w:rPr>
          <w:t>https://www.ipcc.ch/report/ar5/</w:t>
        </w:r>
      </w:hyperlink>
      <w:r w:rsidRPr="00650F1F">
        <w:rPr>
          <w:rFonts w:eastAsiaTheme="minorEastAsia"/>
          <w:snapToGrid w:val="0"/>
          <w:kern w:val="18"/>
          <w:sz w:val="20"/>
          <w:szCs w:val="20"/>
          <w:lang w:eastAsia="zh-CN"/>
        </w:rPr>
        <w:t>）</w:t>
      </w:r>
      <w:r w:rsidRPr="00650F1F">
        <w:rPr>
          <w:rStyle w:val="ng-binding"/>
          <w:rFonts w:eastAsiaTheme="minorEastAsia"/>
          <w:sz w:val="20"/>
          <w:szCs w:val="20"/>
          <w:lang w:eastAsia="zh-CN"/>
        </w:rPr>
        <w:t>提供了更多信息</w:t>
      </w:r>
      <w:r w:rsidRPr="00650F1F">
        <w:rPr>
          <w:rFonts w:eastAsiaTheme="minorEastAsia"/>
          <w:snapToGrid w:val="0"/>
          <w:kern w:val="18"/>
          <w:sz w:val="20"/>
          <w:szCs w:val="20"/>
          <w:lang w:eastAsia="zh-CN"/>
        </w:rPr>
        <w:t>。</w:t>
      </w:r>
      <w:r w:rsidRPr="00650F1F">
        <w:rPr>
          <w:rFonts w:eastAsiaTheme="minorEastAsia"/>
          <w:snapToGrid w:val="0"/>
          <w:kern w:val="18"/>
          <w:sz w:val="20"/>
          <w:szCs w:val="20"/>
          <w:lang w:eastAsia="zh-CN"/>
        </w:rPr>
        <w:t xml:space="preserve"> </w:t>
      </w:r>
    </w:p>
  </w:footnote>
  <w:footnote w:id="84">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lang w:eastAsia="zh-CN"/>
        </w:rPr>
      </w:pPr>
      <w:r w:rsidRPr="00650F1F">
        <w:rPr>
          <w:rStyle w:val="FootnoteReference"/>
          <w:rFonts w:eastAsiaTheme="minorEastAsia"/>
          <w:kern w:val="18"/>
          <w:sz w:val="24"/>
          <w:szCs w:val="20"/>
          <w:u w:val="none"/>
          <w:vertAlign w:val="superscript"/>
        </w:rPr>
        <w:footnoteRef/>
      </w:r>
      <w:r w:rsidRPr="00650F1F">
        <w:rPr>
          <w:rStyle w:val="FootnoteReference"/>
          <w:rFonts w:eastAsiaTheme="minorEastAsia"/>
          <w:kern w:val="18"/>
          <w:sz w:val="24"/>
          <w:szCs w:val="20"/>
          <w:u w:val="none"/>
          <w:vertAlign w:val="superscript"/>
          <w:lang w:eastAsia="zh-CN"/>
        </w:rPr>
        <w:t xml:space="preserve"> </w:t>
      </w:r>
      <w:r w:rsidRPr="00650F1F">
        <w:rPr>
          <w:rStyle w:val="FootnoteReference"/>
          <w:rFonts w:eastAsiaTheme="minorEastAsia"/>
          <w:sz w:val="24"/>
          <w:u w:val="none"/>
          <w:vertAlign w:val="superscript"/>
          <w:lang w:eastAsia="zh-CN"/>
        </w:rPr>
        <w:tab/>
      </w:r>
      <w:r w:rsidRPr="00650F1F">
        <w:rPr>
          <w:rFonts w:eastAsiaTheme="minorEastAsia"/>
          <w:snapToGrid w:val="0"/>
          <w:kern w:val="18"/>
          <w:sz w:val="20"/>
          <w:szCs w:val="20"/>
          <w:lang w:eastAsia="zh-CN"/>
        </w:rPr>
        <w:t>见</w:t>
      </w:r>
      <w:r w:rsidRPr="00650F1F">
        <w:rPr>
          <w:rFonts w:eastAsiaTheme="minorEastAsia"/>
          <w:snapToGrid w:val="0"/>
          <w:kern w:val="18"/>
          <w:sz w:val="20"/>
          <w:szCs w:val="20"/>
          <w:lang w:eastAsia="zh-CN"/>
        </w:rPr>
        <w:t>CBD/SBSTTA/22/INF/1</w:t>
      </w:r>
      <w:r w:rsidRPr="00650F1F">
        <w:rPr>
          <w:rFonts w:eastAsiaTheme="minorEastAsia"/>
          <w:snapToGrid w:val="0"/>
          <w:kern w:val="18"/>
          <w:sz w:val="20"/>
          <w:szCs w:val="20"/>
          <w:lang w:eastAsia="zh-CN"/>
        </w:rPr>
        <w:t>，附件三。</w:t>
      </w:r>
    </w:p>
  </w:footnote>
  <w:footnote w:id="85">
    <w:p w:rsidR="00594C0B" w:rsidRPr="00650F1F" w:rsidRDefault="00594C0B" w:rsidP="00650F1F">
      <w:pPr>
        <w:pStyle w:val="FootnoteText"/>
        <w:tabs>
          <w:tab w:val="left" w:pos="360"/>
        </w:tabs>
        <w:kinsoku w:val="0"/>
        <w:overflowPunct w:val="0"/>
        <w:autoSpaceDE w:val="0"/>
        <w:autoSpaceDN w:val="0"/>
        <w:adjustRightInd w:val="0"/>
        <w:snapToGrid w:val="0"/>
        <w:spacing w:before="0"/>
        <w:ind w:firstLine="0"/>
        <w:jc w:val="left"/>
        <w:rPr>
          <w:rFonts w:eastAsiaTheme="minorEastAsia"/>
          <w:szCs w:val="18"/>
          <w:lang w:eastAsia="zh-CN"/>
        </w:rPr>
      </w:pPr>
      <w:r w:rsidRPr="00A62C57">
        <w:rPr>
          <w:rStyle w:val="FootnoteReference"/>
          <w:rFonts w:eastAsiaTheme="minorEastAsia"/>
          <w:sz w:val="24"/>
          <w:u w:val="none"/>
          <w:vertAlign w:val="superscript"/>
        </w:rPr>
        <w:footnoteRef/>
      </w:r>
      <w:r w:rsidRPr="00A62C57">
        <w:rPr>
          <w:rStyle w:val="FootnoteReference"/>
          <w:rFonts w:eastAsiaTheme="minorEastAsia"/>
          <w:sz w:val="24"/>
          <w:u w:val="none"/>
          <w:vertAlign w:val="superscript"/>
          <w:lang w:eastAsia="zh-CN"/>
        </w:rPr>
        <w:t xml:space="preserve">  </w:t>
      </w:r>
      <w:r w:rsidRPr="00650F1F">
        <w:rPr>
          <w:rFonts w:eastAsiaTheme="minorEastAsia"/>
          <w:lang w:eastAsia="zh-CN"/>
        </w:rPr>
        <w:tab/>
      </w:r>
      <w:r w:rsidRPr="00650F1F">
        <w:rPr>
          <w:rFonts w:eastAsiaTheme="minorEastAsia"/>
          <w:sz w:val="20"/>
          <w:lang w:eastAsia="zh-CN"/>
        </w:rPr>
        <w:t>附件一所载《</w:t>
      </w:r>
      <w:r w:rsidRPr="00650F1F">
        <w:rPr>
          <w:rFonts w:eastAsiaTheme="minorEastAsia"/>
          <w:sz w:val="20"/>
          <w:szCs w:val="18"/>
          <w:lang w:eastAsia="zh-CN"/>
        </w:rPr>
        <w:t>2018 - 2030</w:t>
      </w:r>
      <w:r w:rsidRPr="00650F1F">
        <w:rPr>
          <w:rFonts w:eastAsiaTheme="minorEastAsia"/>
          <w:sz w:val="20"/>
          <w:szCs w:val="18"/>
          <w:lang w:eastAsia="zh-CN"/>
        </w:rPr>
        <w:t>年行动计划》要素</w:t>
      </w:r>
      <w:r w:rsidRPr="00650F1F">
        <w:rPr>
          <w:rFonts w:eastAsiaTheme="minorEastAsia"/>
          <w:sz w:val="20"/>
          <w:szCs w:val="18"/>
          <w:lang w:eastAsia="zh-CN"/>
        </w:rPr>
        <w:t>4</w:t>
      </w:r>
      <w:r w:rsidRPr="00650F1F">
        <w:rPr>
          <w:rFonts w:eastAsiaTheme="minorEastAsia"/>
          <w:sz w:val="20"/>
          <w:szCs w:val="18"/>
          <w:lang w:eastAsia="zh-CN"/>
        </w:rPr>
        <w:t>中确定的差距。</w:t>
      </w:r>
    </w:p>
  </w:footnote>
  <w:footnote w:id="86">
    <w:p w:rsidR="00594C0B" w:rsidRPr="00650F1F" w:rsidRDefault="00594C0B" w:rsidP="00650F1F">
      <w:pPr>
        <w:pStyle w:val="FootnoteText"/>
        <w:tabs>
          <w:tab w:val="left" w:pos="360"/>
        </w:tabs>
        <w:spacing w:before="0"/>
        <w:ind w:firstLine="0"/>
        <w:rPr>
          <w:rFonts w:eastAsiaTheme="minorEastAsia"/>
          <w:sz w:val="20"/>
          <w:szCs w:val="20"/>
          <w:lang w:eastAsia="zh-CN"/>
        </w:rPr>
      </w:pPr>
      <w:r w:rsidRPr="00703807">
        <w:rPr>
          <w:rStyle w:val="FootnoteReference"/>
          <w:rFonts w:eastAsiaTheme="minorEastAsia"/>
          <w:sz w:val="24"/>
          <w:u w:val="none"/>
          <w:vertAlign w:val="superscript"/>
        </w:rPr>
        <w:footnoteRef/>
      </w:r>
      <w:r w:rsidRPr="00703807">
        <w:rPr>
          <w:rStyle w:val="FootnoteReference"/>
          <w:rFonts w:eastAsiaTheme="minorEastAsia"/>
          <w:sz w:val="24"/>
          <w:u w:val="none"/>
          <w:vertAlign w:val="superscript"/>
          <w:lang w:eastAsia="zh-CN"/>
        </w:rPr>
        <w:t xml:space="preserve"> </w:t>
      </w:r>
      <w:r w:rsidRPr="00650F1F">
        <w:rPr>
          <w:rFonts w:eastAsiaTheme="minorEastAsia"/>
          <w:sz w:val="20"/>
          <w:szCs w:val="20"/>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政府间科学政策平台（</w:t>
      </w:r>
      <w:r w:rsidRPr="00650F1F">
        <w:rPr>
          <w:rFonts w:eastAsiaTheme="minorEastAsia"/>
          <w:sz w:val="20"/>
          <w:szCs w:val="20"/>
          <w:lang w:eastAsia="de-DE"/>
        </w:rPr>
        <w:t>201</w:t>
      </w:r>
      <w:r w:rsidRPr="00650F1F">
        <w:rPr>
          <w:rFonts w:eastAsiaTheme="minorEastAsia"/>
          <w:sz w:val="20"/>
          <w:szCs w:val="20"/>
          <w:lang w:eastAsia="zh-CN"/>
        </w:rPr>
        <w:t>6</w:t>
      </w:r>
      <w:r w:rsidRPr="00650F1F">
        <w:rPr>
          <w:rFonts w:eastAsiaTheme="minorEastAsia"/>
          <w:sz w:val="20"/>
          <w:szCs w:val="20"/>
          <w:lang w:eastAsia="zh-CN"/>
        </w:rPr>
        <w:t>年）。</w:t>
      </w:r>
      <w:r w:rsidRPr="00650F1F">
        <w:rPr>
          <w:rFonts w:eastAsiaTheme="minorEastAsia"/>
          <w:snapToGrid w:val="0"/>
          <w:sz w:val="20"/>
          <w:szCs w:val="20"/>
          <w:lang w:eastAsia="zh-CN"/>
        </w:rPr>
        <w:t>《关于授粉媒介、授粉和粮食生产的评估报告》</w:t>
      </w:r>
      <w:r w:rsidRPr="00650F1F">
        <w:rPr>
          <w:rFonts w:eastAsiaTheme="minorEastAsia"/>
          <w:sz w:val="20"/>
          <w:szCs w:val="20"/>
          <w:lang w:val="en-US" w:eastAsia="zh-CN"/>
        </w:rPr>
        <w:t>。</w:t>
      </w:r>
    </w:p>
  </w:footnote>
  <w:footnote w:id="87">
    <w:p w:rsidR="00594C0B" w:rsidRPr="00650F1F" w:rsidRDefault="00594C0B" w:rsidP="00650F1F">
      <w:pPr>
        <w:pStyle w:val="FootnoteText"/>
        <w:tabs>
          <w:tab w:val="left" w:pos="360"/>
        </w:tabs>
        <w:spacing w:before="0"/>
        <w:ind w:firstLine="0"/>
        <w:rPr>
          <w:rFonts w:eastAsiaTheme="minorEastAsia"/>
          <w:sz w:val="20"/>
          <w:szCs w:val="20"/>
          <w:lang w:val="en-US" w:eastAsia="zh-CN"/>
        </w:rPr>
      </w:pPr>
      <w:r w:rsidRPr="00703807">
        <w:rPr>
          <w:rStyle w:val="FootnoteReference"/>
          <w:rFonts w:eastAsiaTheme="minorEastAsia"/>
          <w:sz w:val="24"/>
          <w:u w:val="none"/>
          <w:vertAlign w:val="superscript"/>
        </w:rPr>
        <w:footnoteRef/>
      </w:r>
      <w:r w:rsidRPr="00703807">
        <w:rPr>
          <w:rStyle w:val="FootnoteReference"/>
          <w:rFonts w:eastAsiaTheme="minorEastAsia"/>
          <w:sz w:val="24"/>
          <w:u w:val="none"/>
          <w:vertAlign w:val="superscript"/>
          <w:lang w:eastAsia="zh-CN"/>
        </w:rPr>
        <w:t xml:space="preserve"> </w:t>
      </w:r>
      <w:r w:rsidRPr="00703807">
        <w:rPr>
          <w:rFonts w:eastAsiaTheme="minorEastAsia"/>
          <w:sz w:val="20"/>
          <w:szCs w:val="20"/>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同上。</w:t>
      </w:r>
    </w:p>
  </w:footnote>
  <w:footnote w:id="88">
    <w:p w:rsidR="00594C0B" w:rsidRPr="00650F1F" w:rsidRDefault="00594C0B" w:rsidP="00650F1F">
      <w:pPr>
        <w:pStyle w:val="FootnoteText"/>
        <w:tabs>
          <w:tab w:val="left" w:pos="360"/>
        </w:tabs>
        <w:spacing w:before="0"/>
        <w:ind w:firstLine="0"/>
        <w:rPr>
          <w:rFonts w:eastAsiaTheme="minorEastAsia"/>
          <w:szCs w:val="18"/>
          <w:lang w:eastAsia="zh-CN"/>
        </w:rPr>
      </w:pPr>
      <w:r w:rsidRPr="00703807">
        <w:rPr>
          <w:rStyle w:val="FootnoteReference"/>
          <w:rFonts w:eastAsiaTheme="minorEastAsia"/>
          <w:sz w:val="24"/>
          <w:u w:val="none"/>
          <w:vertAlign w:val="superscript"/>
        </w:rPr>
        <w:footnoteRef/>
      </w:r>
      <w:r w:rsidRPr="00703807">
        <w:rPr>
          <w:rStyle w:val="FootnoteReference"/>
          <w:rFonts w:eastAsiaTheme="minorEastAsia"/>
          <w:sz w:val="24"/>
          <w:u w:val="none"/>
          <w:vertAlign w:val="superscript"/>
          <w:lang w:eastAsia="zh-CN"/>
        </w:rPr>
        <w:t xml:space="preserve"> </w:t>
      </w:r>
      <w:r w:rsidRPr="00650F1F">
        <w:rPr>
          <w:rFonts w:eastAsiaTheme="minorEastAsia"/>
          <w:sz w:val="20"/>
          <w:szCs w:val="20"/>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关于农业生物多样性的第</w:t>
      </w:r>
      <w:r w:rsidRPr="00650F1F">
        <w:rPr>
          <w:rFonts w:eastAsiaTheme="minorEastAsia"/>
          <w:sz w:val="20"/>
          <w:szCs w:val="20"/>
          <w:lang w:eastAsia="zh-CN"/>
        </w:rPr>
        <w:t xml:space="preserve"> V/5 </w:t>
      </w:r>
      <w:r w:rsidRPr="00650F1F">
        <w:rPr>
          <w:rFonts w:eastAsiaTheme="minorEastAsia"/>
          <w:sz w:val="20"/>
          <w:szCs w:val="20"/>
          <w:lang w:eastAsia="zh-CN"/>
        </w:rPr>
        <w:t>号决定。</w:t>
      </w:r>
    </w:p>
  </w:footnote>
  <w:footnote w:id="89">
    <w:p w:rsidR="00594C0B" w:rsidRPr="00650F1F" w:rsidRDefault="00594C0B" w:rsidP="00650F1F">
      <w:pPr>
        <w:pStyle w:val="FootnoteText"/>
        <w:tabs>
          <w:tab w:val="left" w:pos="360"/>
        </w:tabs>
        <w:spacing w:before="0"/>
        <w:ind w:firstLine="0"/>
        <w:rPr>
          <w:rFonts w:eastAsiaTheme="minorEastAsia"/>
          <w:sz w:val="20"/>
          <w:szCs w:val="20"/>
          <w:lang w:val="en-US" w:eastAsia="zh-CN"/>
        </w:rPr>
      </w:pPr>
      <w:r w:rsidRPr="00703807">
        <w:rPr>
          <w:rStyle w:val="FootnoteReference"/>
          <w:rFonts w:eastAsiaTheme="minorEastAsia"/>
          <w:sz w:val="24"/>
          <w:u w:val="none"/>
          <w:vertAlign w:val="superscript"/>
        </w:rPr>
        <w:footnoteRef/>
      </w:r>
      <w:r w:rsidRPr="00703807">
        <w:rPr>
          <w:rStyle w:val="FootnoteReference"/>
          <w:rFonts w:eastAsiaTheme="minorEastAsia"/>
          <w:sz w:val="24"/>
          <w:u w:val="none"/>
          <w:vertAlign w:val="superscript"/>
          <w:lang w:eastAsia="zh-CN"/>
        </w:rPr>
        <w:t xml:space="preserve"> </w:t>
      </w:r>
      <w:r w:rsidRPr="00703807">
        <w:rPr>
          <w:rFonts w:eastAsiaTheme="minorEastAsia"/>
          <w:sz w:val="22"/>
          <w:szCs w:val="20"/>
          <w:lang w:val="en-US" w:eastAsia="zh-CN"/>
        </w:rPr>
        <w:t xml:space="preserve"> </w:t>
      </w:r>
      <w:r w:rsidRPr="00650F1F">
        <w:rPr>
          <w:rFonts w:eastAsiaTheme="minorEastAsia"/>
          <w:sz w:val="20"/>
          <w:szCs w:val="20"/>
          <w:lang w:val="en-US" w:eastAsia="zh-CN"/>
        </w:rPr>
        <w:tab/>
      </w:r>
      <w:r w:rsidRPr="00650F1F">
        <w:rPr>
          <w:rFonts w:eastAsiaTheme="minorEastAsia"/>
          <w:sz w:val="20"/>
          <w:szCs w:val="20"/>
          <w:lang w:val="en-US" w:eastAsia="zh-CN"/>
        </w:rPr>
        <w:t>授粉媒介生境</w:t>
      </w:r>
      <w:r w:rsidRPr="00650F1F">
        <w:rPr>
          <w:rFonts w:eastAsiaTheme="minorEastAsia"/>
          <w:sz w:val="20"/>
          <w:szCs w:val="20"/>
          <w:lang w:eastAsia="zh-CN"/>
        </w:rPr>
        <w:t>：为不同授粉媒介物种完成生命周期提供饲料、筑巢地和其他条件的地区</w:t>
      </w:r>
      <w:r w:rsidRPr="00650F1F">
        <w:rPr>
          <w:rFonts w:eastAsiaTheme="minorEastAsia"/>
          <w:sz w:val="20"/>
          <w:szCs w:val="20"/>
          <w:lang w:val="en-US" w:eastAsia="zh-CN"/>
        </w:rPr>
        <w:t>。</w:t>
      </w:r>
    </w:p>
  </w:footnote>
  <w:footnote w:id="90">
    <w:p w:rsidR="00594C0B" w:rsidRPr="00650F1F" w:rsidRDefault="00594C0B" w:rsidP="00650F1F">
      <w:pPr>
        <w:pStyle w:val="FootnoteText"/>
        <w:tabs>
          <w:tab w:val="left" w:pos="360"/>
        </w:tabs>
        <w:spacing w:before="0"/>
        <w:ind w:firstLine="0"/>
        <w:rPr>
          <w:rFonts w:eastAsiaTheme="minorEastAsia"/>
          <w:szCs w:val="18"/>
          <w:lang w:eastAsia="zh-CN"/>
        </w:rPr>
      </w:pPr>
      <w:r w:rsidRPr="00703807">
        <w:rPr>
          <w:rStyle w:val="FootnoteReference"/>
          <w:rFonts w:eastAsiaTheme="minorEastAsia"/>
          <w:sz w:val="24"/>
          <w:u w:val="none"/>
          <w:vertAlign w:val="superscript"/>
        </w:rPr>
        <w:footnoteRef/>
      </w:r>
      <w:r w:rsidRPr="00703807">
        <w:rPr>
          <w:rStyle w:val="FootnoteReference"/>
          <w:rFonts w:eastAsiaTheme="minorEastAsia"/>
          <w:sz w:val="24"/>
          <w:u w:val="none"/>
          <w:vertAlign w:val="superscript"/>
          <w:lang w:eastAsia="zh-CN"/>
        </w:rPr>
        <w:t xml:space="preserve"> </w:t>
      </w:r>
      <w:r w:rsidRPr="00703807">
        <w:rPr>
          <w:rFonts w:eastAsiaTheme="minorEastAsia"/>
          <w:sz w:val="20"/>
          <w:szCs w:val="20"/>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注意到</w:t>
      </w:r>
      <w:r w:rsidRPr="00650F1F">
        <w:rPr>
          <w:rStyle w:val="ng-binding"/>
          <w:rFonts w:eastAsiaTheme="minorEastAsia"/>
          <w:sz w:val="20"/>
          <w:szCs w:val="20"/>
          <w:lang w:eastAsia="zh-CN"/>
        </w:rPr>
        <w:t>自然保护联盟</w:t>
      </w:r>
      <w:r w:rsidRPr="00650F1F">
        <w:rPr>
          <w:rFonts w:eastAsiaTheme="minorEastAsia"/>
          <w:sz w:val="20"/>
          <w:szCs w:val="20"/>
          <w:lang w:val="en-US" w:eastAsia="zh-CN"/>
        </w:rPr>
        <w:t>-</w:t>
      </w:r>
      <w:r w:rsidRPr="00650F1F">
        <w:rPr>
          <w:rFonts w:eastAsiaTheme="minorEastAsia"/>
          <w:sz w:val="20"/>
          <w:szCs w:val="20"/>
          <w:lang w:val="en-US" w:eastAsia="zh-CN"/>
        </w:rPr>
        <w:t>生态系统管理委员会</w:t>
      </w:r>
      <w:r w:rsidRPr="00650F1F">
        <w:rPr>
          <w:rFonts w:eastAsiaTheme="minorEastAsia"/>
          <w:sz w:val="20"/>
          <w:szCs w:val="20"/>
          <w:lang w:val="en-US" w:eastAsia="zh-CN"/>
        </w:rPr>
        <w:t>/</w:t>
      </w:r>
      <w:r w:rsidRPr="00650F1F">
        <w:rPr>
          <w:rFonts w:eastAsiaTheme="minorEastAsia"/>
          <w:sz w:val="20"/>
          <w:szCs w:val="20"/>
          <w:lang w:val="en-US" w:eastAsia="zh-CN"/>
        </w:rPr>
        <w:t>物种生存委员会系统农药专题小组出版物</w:t>
      </w:r>
      <w:r w:rsidRPr="00650F1F">
        <w:rPr>
          <w:rFonts w:eastAsiaTheme="minorEastAsia"/>
          <w:sz w:val="20"/>
          <w:szCs w:val="20"/>
          <w:lang w:val="en-US" w:eastAsia="zh-CN"/>
        </w:rPr>
        <w:t>“</w:t>
      </w:r>
      <w:r w:rsidRPr="00650F1F">
        <w:rPr>
          <w:rFonts w:eastAsiaTheme="minorEastAsia"/>
          <w:sz w:val="20"/>
          <w:szCs w:val="20"/>
          <w:lang w:val="en-US" w:eastAsia="zh-CN"/>
        </w:rPr>
        <w:t>关于内吸杀虫剂的最新全球综合评估</w:t>
      </w:r>
      <w:r w:rsidRPr="00650F1F">
        <w:rPr>
          <w:rFonts w:eastAsiaTheme="minorEastAsia"/>
          <w:sz w:val="20"/>
          <w:szCs w:val="20"/>
          <w:lang w:val="en-US" w:eastAsia="zh-CN"/>
        </w:rPr>
        <w:t>”</w:t>
      </w:r>
      <w:r w:rsidRPr="00650F1F">
        <w:rPr>
          <w:rFonts w:eastAsiaTheme="minorEastAsia"/>
          <w:sz w:val="20"/>
          <w:szCs w:val="20"/>
          <w:lang w:val="en-US" w:eastAsia="zh-CN"/>
        </w:rPr>
        <w:t>。</w:t>
      </w:r>
    </w:p>
  </w:footnote>
  <w:footnote w:id="91">
    <w:p w:rsidR="00594C0B" w:rsidRPr="00650F1F" w:rsidRDefault="00594C0B" w:rsidP="00650F1F">
      <w:pPr>
        <w:pStyle w:val="FootnoteText"/>
        <w:tabs>
          <w:tab w:val="left" w:pos="360"/>
        </w:tabs>
        <w:spacing w:before="0"/>
        <w:ind w:firstLine="0"/>
        <w:jc w:val="left"/>
        <w:rPr>
          <w:rFonts w:eastAsiaTheme="minorEastAsia"/>
          <w:sz w:val="20"/>
          <w:szCs w:val="20"/>
          <w:lang w:val="en-US" w:eastAsia="zh-CN"/>
        </w:rPr>
      </w:pPr>
      <w:r w:rsidRPr="00703807">
        <w:rPr>
          <w:rStyle w:val="FootnoteReference"/>
          <w:rFonts w:eastAsiaTheme="minorEastAsia"/>
          <w:sz w:val="24"/>
          <w:u w:val="none"/>
          <w:vertAlign w:val="superscript"/>
        </w:rPr>
        <w:footnoteRef/>
      </w:r>
      <w:r w:rsidRPr="00703807">
        <w:rPr>
          <w:rFonts w:eastAsiaTheme="minorEastAsia"/>
          <w:sz w:val="24"/>
          <w:szCs w:val="20"/>
          <w:lang w:val="en-US" w:eastAsia="zh-CN"/>
        </w:rPr>
        <w:t xml:space="preserve"> </w:t>
      </w:r>
      <w:r w:rsidRPr="00650F1F">
        <w:rPr>
          <w:rFonts w:eastAsiaTheme="minorEastAsia"/>
          <w:sz w:val="20"/>
          <w:szCs w:val="20"/>
          <w:lang w:val="en-US" w:eastAsia="zh-CN"/>
        </w:rPr>
        <w:tab/>
      </w:r>
      <w:r w:rsidRPr="00650F1F">
        <w:rPr>
          <w:rFonts w:eastAsiaTheme="minorEastAsia"/>
          <w:sz w:val="20"/>
          <w:szCs w:val="20"/>
          <w:lang w:val="en-US" w:eastAsia="zh-CN"/>
        </w:rPr>
        <w:t>见联大</w:t>
      </w:r>
      <w:r w:rsidRPr="00650F1F">
        <w:rPr>
          <w:rFonts w:eastAsiaTheme="minorEastAsia"/>
          <w:sz w:val="20"/>
          <w:szCs w:val="20"/>
          <w:lang w:val="en-US" w:eastAsia="zh-CN"/>
        </w:rPr>
        <w:t>2017</w:t>
      </w:r>
      <w:r w:rsidRPr="00650F1F">
        <w:rPr>
          <w:rFonts w:eastAsiaTheme="minorEastAsia"/>
          <w:sz w:val="20"/>
          <w:szCs w:val="20"/>
          <w:lang w:val="en-US" w:eastAsia="zh-CN"/>
        </w:rPr>
        <w:t>年</w:t>
      </w:r>
      <w:r w:rsidRPr="00650F1F">
        <w:rPr>
          <w:rFonts w:eastAsiaTheme="minorEastAsia"/>
          <w:sz w:val="20"/>
          <w:szCs w:val="20"/>
          <w:lang w:val="en-US" w:eastAsia="zh-CN"/>
        </w:rPr>
        <w:t>12</w:t>
      </w:r>
      <w:r w:rsidRPr="00650F1F">
        <w:rPr>
          <w:rFonts w:eastAsiaTheme="minorEastAsia"/>
          <w:sz w:val="20"/>
          <w:szCs w:val="20"/>
          <w:lang w:val="en-US" w:eastAsia="zh-CN"/>
        </w:rPr>
        <w:t>月</w:t>
      </w:r>
      <w:r w:rsidRPr="00650F1F">
        <w:rPr>
          <w:rFonts w:eastAsiaTheme="minorEastAsia"/>
          <w:sz w:val="20"/>
          <w:szCs w:val="20"/>
          <w:lang w:val="en-US" w:eastAsia="zh-CN"/>
        </w:rPr>
        <w:t>20</w:t>
      </w:r>
      <w:r w:rsidRPr="00650F1F">
        <w:rPr>
          <w:rFonts w:eastAsiaTheme="minorEastAsia"/>
          <w:sz w:val="20"/>
          <w:szCs w:val="20"/>
          <w:lang w:val="en-US" w:eastAsia="zh-CN"/>
        </w:rPr>
        <w:t>日关于农业发展、粮食安全和营养的第</w:t>
      </w:r>
      <w:hyperlink r:id="rId36" w:history="1">
        <w:r w:rsidRPr="00650F1F">
          <w:rPr>
            <w:rStyle w:val="Hyperlink"/>
            <w:rFonts w:eastAsiaTheme="minorEastAsia"/>
            <w:sz w:val="20"/>
            <w:szCs w:val="20"/>
            <w:lang w:val="en-US" w:eastAsia="zh-CN"/>
          </w:rPr>
          <w:t>A/72/238</w:t>
        </w:r>
      </w:hyperlink>
      <w:r w:rsidRPr="00650F1F">
        <w:rPr>
          <w:rFonts w:eastAsiaTheme="minorEastAsia"/>
          <w:sz w:val="20"/>
          <w:szCs w:val="20"/>
          <w:lang w:val="en-US" w:eastAsia="zh-CN"/>
        </w:rPr>
        <w:t>号决定。</w:t>
      </w:r>
    </w:p>
  </w:footnote>
  <w:footnote w:id="92">
    <w:p w:rsidR="00594C0B" w:rsidRPr="00650F1F" w:rsidRDefault="00594C0B" w:rsidP="00650F1F">
      <w:pPr>
        <w:pStyle w:val="FootnoteText"/>
        <w:keepLines w:val="0"/>
        <w:tabs>
          <w:tab w:val="left" w:pos="360"/>
        </w:tabs>
        <w:kinsoku w:val="0"/>
        <w:overflowPunct w:val="0"/>
        <w:autoSpaceDE w:val="0"/>
        <w:autoSpaceDN w:val="0"/>
        <w:spacing w:before="0"/>
        <w:ind w:firstLine="0"/>
        <w:jc w:val="left"/>
        <w:rPr>
          <w:rFonts w:eastAsiaTheme="minorEastAsia"/>
          <w:snapToGrid w:val="0"/>
          <w:kern w:val="18"/>
          <w:szCs w:val="18"/>
          <w:lang w:eastAsia="zh-CN"/>
        </w:rPr>
      </w:pPr>
      <w:r w:rsidRPr="00703807">
        <w:rPr>
          <w:rStyle w:val="FootnoteReference"/>
          <w:rFonts w:eastAsiaTheme="minorEastAsia"/>
          <w:sz w:val="24"/>
          <w:u w:val="none"/>
          <w:vertAlign w:val="superscript"/>
        </w:rPr>
        <w:footnoteRef/>
      </w:r>
      <w:r w:rsidRPr="00703807">
        <w:rPr>
          <w:rStyle w:val="FootnoteReference"/>
          <w:rFonts w:eastAsiaTheme="minorEastAsia"/>
          <w:sz w:val="24"/>
          <w:u w:val="none"/>
          <w:lang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例如，为倡议举行的一次常会（可能与</w:t>
      </w:r>
      <w:r w:rsidRPr="00650F1F">
        <w:rPr>
          <w:rFonts w:eastAsiaTheme="minorEastAsia"/>
          <w:color w:val="000000"/>
          <w:sz w:val="20"/>
          <w:szCs w:val="20"/>
          <w:lang w:eastAsia="zh-CN"/>
        </w:rPr>
        <w:t>国际养蜂业协会联合会</w:t>
      </w:r>
      <w:r w:rsidRPr="00650F1F">
        <w:rPr>
          <w:rFonts w:eastAsiaTheme="minorEastAsia"/>
          <w:snapToGrid w:val="0"/>
          <w:kern w:val="18"/>
          <w:sz w:val="20"/>
          <w:szCs w:val="20"/>
          <w:lang w:eastAsia="zh-CN"/>
        </w:rPr>
        <w:t>挂钩）</w:t>
      </w:r>
      <w:r w:rsidRPr="00650F1F">
        <w:rPr>
          <w:rFonts w:eastAsiaTheme="minorEastAsia"/>
          <w:snapToGrid w:val="0"/>
          <w:kern w:val="18"/>
          <w:sz w:val="20"/>
          <w:szCs w:val="20"/>
          <w:lang w:eastAsia="zh-CN"/>
        </w:rPr>
        <w:t xml:space="preserve"> (</w:t>
      </w:r>
      <w:hyperlink r:id="rId37" w:history="1">
        <w:r w:rsidRPr="00650F1F">
          <w:rPr>
            <w:rStyle w:val="Hyperlink"/>
            <w:rFonts w:eastAsiaTheme="minorEastAsia"/>
            <w:snapToGrid w:val="0"/>
            <w:kern w:val="18"/>
            <w:sz w:val="20"/>
            <w:szCs w:val="20"/>
            <w:lang w:eastAsia="zh-CN"/>
          </w:rPr>
          <w:t>http://www.apimondia.com/</w:t>
        </w:r>
      </w:hyperlink>
      <w:r w:rsidRPr="00650F1F">
        <w:rPr>
          <w:rStyle w:val="Hyperlink"/>
          <w:rFonts w:eastAsiaTheme="minorEastAsia"/>
          <w:snapToGrid w:val="0"/>
          <w:kern w:val="18"/>
          <w:sz w:val="20"/>
          <w:szCs w:val="20"/>
          <w:lang w:eastAsia="zh-CN"/>
        </w:rPr>
        <w:t>)</w:t>
      </w:r>
      <w:r w:rsidRPr="00650F1F">
        <w:rPr>
          <w:rFonts w:eastAsiaTheme="minorEastAsia"/>
          <w:snapToGrid w:val="0"/>
          <w:sz w:val="20"/>
          <w:szCs w:val="20"/>
          <w:lang w:eastAsia="zh-CN"/>
        </w:rPr>
        <w:t>。</w:t>
      </w:r>
    </w:p>
  </w:footnote>
  <w:footnote w:id="93">
    <w:p w:rsidR="00594C0B" w:rsidRPr="00650F1F" w:rsidRDefault="00594C0B" w:rsidP="00703807">
      <w:pPr>
        <w:pStyle w:val="Para1"/>
        <w:tabs>
          <w:tab w:val="left" w:pos="360"/>
        </w:tabs>
        <w:spacing w:before="0" w:after="60"/>
        <w:ind w:firstLine="0"/>
        <w:rPr>
          <w:rFonts w:eastAsiaTheme="minorEastAsia"/>
          <w:lang w:eastAsia="zh-CN"/>
        </w:rPr>
      </w:pPr>
      <w:r w:rsidRPr="00650F1F">
        <w:rPr>
          <w:rFonts w:eastAsiaTheme="minorEastAsia"/>
          <w:sz w:val="24"/>
          <w:szCs w:val="20"/>
          <w:vertAlign w:val="superscript"/>
        </w:rPr>
        <w:footnoteRef/>
      </w:r>
      <w:r w:rsidRPr="00650F1F">
        <w:rPr>
          <w:rFonts w:eastAsiaTheme="minorEastAsia"/>
          <w:sz w:val="24"/>
          <w:szCs w:val="20"/>
          <w:vertAlign w:val="superscript"/>
          <w:lang w:eastAsia="zh-CN"/>
        </w:rPr>
        <w:t xml:space="preserve"> </w:t>
      </w:r>
      <w:r w:rsidRPr="00650F1F">
        <w:rPr>
          <w:rFonts w:eastAsiaTheme="minorEastAsia"/>
          <w:szCs w:val="20"/>
          <w:lang w:eastAsia="zh-CN"/>
        </w:rPr>
        <w:tab/>
        <w:t xml:space="preserve"> </w:t>
      </w:r>
      <w:r w:rsidRPr="00650F1F">
        <w:rPr>
          <w:rFonts w:eastAsiaTheme="minorEastAsia"/>
          <w:szCs w:val="20"/>
          <w:lang w:eastAsia="zh-CN"/>
        </w:rPr>
        <w:t>审查授粉媒介和授粉除了其对于农业和粮食生产的作用之外对于所有生态系统生物多样性的保护和可持续利用的相关性（</w:t>
      </w:r>
      <w:r w:rsidRPr="00650F1F">
        <w:rPr>
          <w:rFonts w:eastAsiaTheme="minorEastAsia"/>
          <w:szCs w:val="20"/>
          <w:lang w:eastAsia="zh-CN"/>
        </w:rPr>
        <w:t>CBD/COP/14/INF/8</w:t>
      </w:r>
      <w:r w:rsidRPr="00650F1F">
        <w:rPr>
          <w:rFonts w:eastAsiaTheme="minorEastAsia"/>
          <w:szCs w:val="20"/>
          <w:lang w:eastAsia="zh-CN"/>
        </w:rPr>
        <w:t>）。</w:t>
      </w:r>
    </w:p>
  </w:footnote>
  <w:footnote w:id="94">
    <w:p w:rsidR="00594C0B" w:rsidRPr="00650F1F" w:rsidRDefault="00594C0B" w:rsidP="00703807">
      <w:pPr>
        <w:pStyle w:val="Para1"/>
        <w:tabs>
          <w:tab w:val="left" w:pos="360"/>
        </w:tabs>
        <w:spacing w:before="0" w:after="60"/>
        <w:ind w:firstLine="0"/>
        <w:rPr>
          <w:rFonts w:eastAsiaTheme="minorEastAsia"/>
          <w:lang w:eastAsia="de-DE"/>
        </w:rPr>
      </w:pPr>
      <w:r w:rsidRPr="00650F1F">
        <w:rPr>
          <w:rStyle w:val="FootnoteReference"/>
          <w:rFonts w:eastAsiaTheme="minorEastAsia"/>
          <w:sz w:val="24"/>
          <w:szCs w:val="24"/>
          <w:u w:val="none"/>
          <w:vertAlign w:val="superscript"/>
          <w:lang/>
        </w:rPr>
        <w:footnoteRef/>
      </w:r>
      <w:r w:rsidRPr="00650F1F">
        <w:rPr>
          <w:rStyle w:val="FootnoteReference"/>
          <w:rFonts w:eastAsiaTheme="minorEastAsia"/>
          <w:sz w:val="24"/>
          <w:szCs w:val="24"/>
          <w:u w:val="none"/>
          <w:vertAlign w:val="superscript"/>
          <w:lang/>
        </w:rPr>
        <w:t xml:space="preserve"> </w:t>
      </w:r>
      <w:r w:rsidRPr="00650F1F">
        <w:rPr>
          <w:rFonts w:eastAsiaTheme="minorEastAsia"/>
          <w:szCs w:val="20"/>
        </w:rPr>
        <w:tab/>
      </w:r>
      <w:r w:rsidRPr="00650F1F">
        <w:rPr>
          <w:rFonts w:eastAsiaTheme="minorEastAsia"/>
          <w:szCs w:val="20"/>
        </w:rPr>
        <w:t>报告的主要作者是</w:t>
      </w:r>
      <w:r w:rsidRPr="00650F1F">
        <w:rPr>
          <w:rFonts w:eastAsiaTheme="minorEastAsia"/>
          <w:szCs w:val="20"/>
        </w:rPr>
        <w:t>Marcelo Aizen</w:t>
      </w:r>
      <w:r w:rsidRPr="00650F1F">
        <w:rPr>
          <w:rFonts w:eastAsiaTheme="minorEastAsia"/>
          <w:szCs w:val="20"/>
        </w:rPr>
        <w:t>、</w:t>
      </w:r>
      <w:r w:rsidRPr="00650F1F">
        <w:rPr>
          <w:rFonts w:eastAsiaTheme="minorEastAsia"/>
          <w:szCs w:val="20"/>
        </w:rPr>
        <w:t>PathibaBasu</w:t>
      </w:r>
      <w:r w:rsidRPr="00650F1F">
        <w:rPr>
          <w:rFonts w:eastAsiaTheme="minorEastAsia"/>
          <w:szCs w:val="20"/>
        </w:rPr>
        <w:t>、</w:t>
      </w:r>
      <w:r w:rsidRPr="00650F1F">
        <w:rPr>
          <w:rFonts w:eastAsiaTheme="minorEastAsia"/>
          <w:szCs w:val="20"/>
        </w:rPr>
        <w:t>DamayantiBuchori</w:t>
      </w:r>
      <w:r w:rsidRPr="00650F1F">
        <w:rPr>
          <w:rFonts w:eastAsiaTheme="minorEastAsia"/>
          <w:szCs w:val="20"/>
        </w:rPr>
        <w:t>、</w:t>
      </w:r>
      <w:r w:rsidRPr="00650F1F">
        <w:rPr>
          <w:rFonts w:eastAsiaTheme="minorEastAsia"/>
          <w:szCs w:val="20"/>
        </w:rPr>
        <w:t>Lynn Dicks</w:t>
      </w:r>
      <w:r w:rsidRPr="00650F1F">
        <w:rPr>
          <w:rFonts w:eastAsiaTheme="minorEastAsia"/>
          <w:szCs w:val="20"/>
        </w:rPr>
        <w:t>、</w:t>
      </w:r>
      <w:r w:rsidRPr="00650F1F">
        <w:rPr>
          <w:rFonts w:eastAsiaTheme="minorEastAsia"/>
          <w:szCs w:val="20"/>
        </w:rPr>
        <w:t>Vera Lucia Imperatriz Fonseca</w:t>
      </w:r>
      <w:r w:rsidRPr="00650F1F">
        <w:rPr>
          <w:rFonts w:eastAsiaTheme="minorEastAsia"/>
          <w:szCs w:val="20"/>
        </w:rPr>
        <w:t>、</w:t>
      </w:r>
      <w:r w:rsidRPr="00650F1F">
        <w:rPr>
          <w:rFonts w:eastAsiaTheme="minorEastAsia"/>
          <w:szCs w:val="20"/>
        </w:rPr>
        <w:t>Leonardo Galetto</w:t>
      </w:r>
      <w:r w:rsidRPr="00650F1F">
        <w:rPr>
          <w:rFonts w:eastAsiaTheme="minorEastAsia"/>
          <w:szCs w:val="20"/>
        </w:rPr>
        <w:t>、</w:t>
      </w:r>
      <w:r w:rsidRPr="00650F1F">
        <w:rPr>
          <w:rFonts w:eastAsiaTheme="minorEastAsia"/>
          <w:szCs w:val="20"/>
        </w:rPr>
        <w:t>Lucas Garibaldi</w:t>
      </w:r>
      <w:r w:rsidRPr="00650F1F">
        <w:rPr>
          <w:rFonts w:eastAsiaTheme="minorEastAsia"/>
          <w:szCs w:val="20"/>
        </w:rPr>
        <w:t>、</w:t>
      </w:r>
      <w:r w:rsidRPr="00650F1F">
        <w:rPr>
          <w:rFonts w:eastAsiaTheme="minorEastAsia"/>
          <w:szCs w:val="20"/>
        </w:rPr>
        <w:t>Brad Howlett</w:t>
      </w:r>
      <w:r w:rsidRPr="00650F1F">
        <w:rPr>
          <w:rFonts w:eastAsiaTheme="minorEastAsia"/>
          <w:szCs w:val="20"/>
        </w:rPr>
        <w:t>、</w:t>
      </w:r>
      <w:r w:rsidRPr="00650F1F">
        <w:rPr>
          <w:rFonts w:eastAsiaTheme="minorEastAsia"/>
          <w:szCs w:val="20"/>
        </w:rPr>
        <w:t>Stephen Johnson</w:t>
      </w:r>
      <w:r w:rsidRPr="00650F1F">
        <w:rPr>
          <w:rFonts w:eastAsiaTheme="minorEastAsia"/>
          <w:szCs w:val="20"/>
        </w:rPr>
        <w:t>、</w:t>
      </w:r>
      <w:r w:rsidRPr="00650F1F">
        <w:rPr>
          <w:rFonts w:eastAsiaTheme="minorEastAsia"/>
          <w:szCs w:val="20"/>
        </w:rPr>
        <w:t>Monica Kobayashi</w:t>
      </w:r>
      <w:r w:rsidRPr="00650F1F">
        <w:rPr>
          <w:rFonts w:eastAsiaTheme="minorEastAsia"/>
          <w:szCs w:val="20"/>
        </w:rPr>
        <w:t>、</w:t>
      </w:r>
      <w:r w:rsidRPr="00650F1F">
        <w:rPr>
          <w:rFonts w:eastAsiaTheme="minorEastAsia"/>
          <w:szCs w:val="20"/>
        </w:rPr>
        <w:t>Michael Lattorff</w:t>
      </w:r>
      <w:r w:rsidRPr="00650F1F">
        <w:rPr>
          <w:rFonts w:eastAsiaTheme="minorEastAsia"/>
          <w:szCs w:val="20"/>
        </w:rPr>
        <w:t>、</w:t>
      </w:r>
      <w:r w:rsidRPr="00650F1F">
        <w:rPr>
          <w:rFonts w:eastAsiaTheme="minorEastAsia"/>
          <w:szCs w:val="20"/>
        </w:rPr>
        <w:t>Phil Lyver</w:t>
      </w:r>
      <w:r w:rsidRPr="00650F1F">
        <w:rPr>
          <w:rFonts w:eastAsiaTheme="minorEastAsia"/>
          <w:szCs w:val="20"/>
        </w:rPr>
        <w:t>、</w:t>
      </w:r>
      <w:r w:rsidRPr="00650F1F">
        <w:rPr>
          <w:rFonts w:eastAsiaTheme="minorEastAsia"/>
          <w:szCs w:val="20"/>
        </w:rPr>
        <w:t>Hien Ngo</w:t>
      </w:r>
      <w:r w:rsidRPr="00650F1F">
        <w:rPr>
          <w:rFonts w:eastAsiaTheme="minorEastAsia"/>
          <w:szCs w:val="20"/>
        </w:rPr>
        <w:t>、</w:t>
      </w:r>
      <w:r w:rsidRPr="00650F1F">
        <w:rPr>
          <w:rFonts w:eastAsiaTheme="minorEastAsia"/>
          <w:szCs w:val="20"/>
        </w:rPr>
        <w:t xml:space="preserve">Simon Potts </w:t>
      </w:r>
      <w:r w:rsidRPr="00650F1F">
        <w:rPr>
          <w:rFonts w:eastAsiaTheme="minorEastAsia"/>
          <w:szCs w:val="20"/>
        </w:rPr>
        <w:t>、</w:t>
      </w:r>
      <w:r w:rsidRPr="00650F1F">
        <w:rPr>
          <w:rFonts w:eastAsiaTheme="minorEastAsia"/>
          <w:szCs w:val="20"/>
        </w:rPr>
        <w:t>Deepa Senapathi</w:t>
      </w:r>
      <w:r w:rsidRPr="00650F1F">
        <w:rPr>
          <w:rFonts w:eastAsiaTheme="minorEastAsia"/>
          <w:szCs w:val="20"/>
        </w:rPr>
        <w:t>、</w:t>
      </w:r>
      <w:r w:rsidRPr="00650F1F">
        <w:rPr>
          <w:rFonts w:eastAsiaTheme="minorEastAsia"/>
          <w:szCs w:val="20"/>
        </w:rPr>
        <w:t>Colleen Seymour</w:t>
      </w:r>
      <w:r w:rsidRPr="00650F1F">
        <w:rPr>
          <w:rFonts w:eastAsiaTheme="minorEastAsia"/>
          <w:szCs w:val="20"/>
        </w:rPr>
        <w:t>和</w:t>
      </w:r>
      <w:r w:rsidRPr="00650F1F">
        <w:rPr>
          <w:rFonts w:eastAsiaTheme="minorEastAsia"/>
          <w:szCs w:val="20"/>
        </w:rPr>
        <w:t>Adam Vanbergen</w:t>
      </w:r>
      <w:r w:rsidRPr="00650F1F">
        <w:rPr>
          <w:rFonts w:eastAsiaTheme="minorEastAsia"/>
          <w:szCs w:val="20"/>
        </w:rPr>
        <w:t>。</w:t>
      </w:r>
      <w:r w:rsidRPr="00650F1F">
        <w:rPr>
          <w:rFonts w:eastAsiaTheme="minorEastAsia"/>
          <w:szCs w:val="20"/>
          <w:lang w:eastAsia="zh-CN"/>
        </w:rPr>
        <w:t>报告的编辑是</w:t>
      </w:r>
      <w:r w:rsidRPr="00650F1F">
        <w:rPr>
          <w:rFonts w:eastAsiaTheme="minorEastAsia"/>
          <w:szCs w:val="20"/>
          <w:lang w:eastAsia="zh-CN"/>
        </w:rPr>
        <w:t>Barbara Gemmill-Herren</w:t>
      </w:r>
      <w:r w:rsidRPr="00650F1F">
        <w:rPr>
          <w:rFonts w:eastAsiaTheme="minorEastAsia"/>
          <w:szCs w:val="20"/>
          <w:lang w:eastAsia="zh-CN"/>
        </w:rPr>
        <w:t>和</w:t>
      </w:r>
      <w:r w:rsidRPr="00650F1F">
        <w:rPr>
          <w:rFonts w:eastAsiaTheme="minorEastAsia"/>
          <w:szCs w:val="20"/>
          <w:lang w:eastAsia="zh-CN"/>
        </w:rPr>
        <w:t>Monica Kobayashi</w:t>
      </w:r>
      <w:r w:rsidRPr="00650F1F">
        <w:rPr>
          <w:rFonts w:eastAsiaTheme="minorEastAsia"/>
          <w:szCs w:val="20"/>
          <w:lang w:eastAsia="zh-CN"/>
        </w:rPr>
        <w:t>。</w:t>
      </w:r>
      <w:r w:rsidRPr="00650F1F">
        <w:rPr>
          <w:rFonts w:eastAsiaTheme="minorEastAsia"/>
          <w:szCs w:val="20"/>
          <w:lang w:eastAsia="zh-CN"/>
        </w:rPr>
        <w:t>2017</w:t>
      </w:r>
      <w:r w:rsidRPr="00650F1F">
        <w:rPr>
          <w:rFonts w:eastAsiaTheme="minorEastAsia"/>
          <w:szCs w:val="20"/>
          <w:lang w:eastAsia="zh-CN"/>
        </w:rPr>
        <w:t>年</w:t>
      </w:r>
      <w:r w:rsidRPr="00650F1F">
        <w:rPr>
          <w:rFonts w:eastAsiaTheme="minorEastAsia"/>
          <w:szCs w:val="20"/>
          <w:lang w:eastAsia="zh-CN"/>
        </w:rPr>
        <w:t>11</w:t>
      </w:r>
      <w:r w:rsidRPr="00650F1F">
        <w:rPr>
          <w:rFonts w:eastAsiaTheme="minorEastAsia"/>
          <w:szCs w:val="20"/>
          <w:lang w:eastAsia="zh-CN"/>
        </w:rPr>
        <w:t>月</w:t>
      </w:r>
      <w:r w:rsidRPr="00650F1F">
        <w:rPr>
          <w:rFonts w:eastAsiaTheme="minorEastAsia"/>
          <w:szCs w:val="20"/>
          <w:lang w:eastAsia="zh-CN"/>
        </w:rPr>
        <w:t>27</w:t>
      </w:r>
      <w:r w:rsidRPr="00650F1F">
        <w:rPr>
          <w:rFonts w:eastAsiaTheme="minorEastAsia"/>
          <w:szCs w:val="20"/>
          <w:lang w:eastAsia="zh-CN"/>
        </w:rPr>
        <w:t>日至</w:t>
      </w:r>
      <w:r w:rsidRPr="00650F1F">
        <w:rPr>
          <w:rFonts w:eastAsiaTheme="minorEastAsia"/>
          <w:szCs w:val="20"/>
          <w:lang w:eastAsia="zh-CN"/>
        </w:rPr>
        <w:t>29</w:t>
      </w:r>
      <w:r w:rsidRPr="00650F1F">
        <w:rPr>
          <w:rFonts w:eastAsiaTheme="minorEastAsia"/>
          <w:szCs w:val="20"/>
          <w:lang w:eastAsia="zh-CN"/>
        </w:rPr>
        <w:t>日与政府间科学政策平台、雷丁大学和生物多样性公约合作召开的研讨会，召集了各区域授粉媒介专家，讨论和评估授粉媒介和授粉服务在支持农业系统之外的生态系统以及支持粮食生产以外的生态系统服务方面的作用</w:t>
      </w:r>
      <w:r w:rsidRPr="00650F1F">
        <w:rPr>
          <w:rFonts w:eastAsiaTheme="minorEastAsia"/>
          <w:sz w:val="18"/>
          <w:lang w:eastAsia="zh-CN"/>
        </w:rPr>
        <w:t>。</w:t>
      </w:r>
    </w:p>
  </w:footnote>
  <w:footnote w:id="95">
    <w:p w:rsidR="00594C0B" w:rsidRPr="00650F1F" w:rsidRDefault="00594C0B" w:rsidP="00650F1F">
      <w:pPr>
        <w:pStyle w:val="FootnoteText"/>
        <w:tabs>
          <w:tab w:val="left" w:pos="360"/>
        </w:tabs>
        <w:spacing w:before="0"/>
        <w:ind w:firstLine="0"/>
        <w:rPr>
          <w:rFonts w:eastAsiaTheme="minorEastAsia"/>
          <w:sz w:val="20"/>
          <w:szCs w:val="20"/>
          <w:lang w:eastAsia="zh-CN"/>
        </w:rPr>
      </w:pPr>
      <w:r w:rsidRPr="00650F1F">
        <w:rPr>
          <w:rStyle w:val="FootnoteReference"/>
          <w:rFonts w:eastAsiaTheme="minorEastAsia"/>
          <w:sz w:val="24"/>
          <w:u w:val="none"/>
          <w:vertAlign w:val="superscript"/>
        </w:rPr>
        <w:footnoteRef/>
      </w:r>
      <w:r w:rsidRPr="00650F1F">
        <w:rPr>
          <w:rStyle w:val="FootnoteReference"/>
          <w:rFonts w:eastAsiaTheme="minorEastAsia"/>
          <w:sz w:val="24"/>
          <w:u w:val="none"/>
          <w:vertAlign w:val="superscript"/>
        </w:rPr>
        <w:t xml:space="preserve"> </w:t>
      </w:r>
      <w:r w:rsidRPr="00650F1F">
        <w:rPr>
          <w:rFonts w:eastAsiaTheme="minorEastAsia"/>
          <w:lang w:eastAsia="zh-CN"/>
        </w:rPr>
        <w:tab/>
      </w:r>
      <w:r w:rsidRPr="00650F1F">
        <w:rPr>
          <w:rFonts w:eastAsiaTheme="minorEastAsia"/>
          <w:sz w:val="20"/>
          <w:szCs w:val="20"/>
          <w:lang w:eastAsia="zh-CN"/>
        </w:rPr>
        <w:t>官方数据</w:t>
      </w:r>
      <w:r w:rsidRPr="00650F1F">
        <w:rPr>
          <w:rFonts w:eastAsiaTheme="minorEastAsia"/>
          <w:sz w:val="20"/>
          <w:szCs w:val="20"/>
          <w:lang w:val="en-US" w:eastAsia="zh-CN"/>
        </w:rPr>
        <w:t>：</w:t>
      </w:r>
      <w:hyperlink r:id="rId38" w:history="1">
        <w:r w:rsidRPr="00650F1F">
          <w:rPr>
            <w:rStyle w:val="Hyperlink"/>
            <w:rFonts w:eastAsiaTheme="minorEastAsia"/>
            <w:snapToGrid w:val="0"/>
            <w:kern w:val="18"/>
            <w:sz w:val="20"/>
            <w:szCs w:val="20"/>
            <w:lang w:val="en-US"/>
          </w:rPr>
          <w:t>http://www.mma.gov.br/biomas/mata-atl%C3%A2ntica_emdesenvolvimento</w:t>
        </w:r>
      </w:hyperlink>
      <w:r w:rsidRPr="00650F1F">
        <w:rPr>
          <w:rFonts w:eastAsiaTheme="minorEastAsia"/>
          <w:sz w:val="20"/>
          <w:szCs w:val="20"/>
          <w:lang w:val="en-US" w:eastAsia="zh-CN"/>
        </w:rPr>
        <w:t>。</w:t>
      </w:r>
    </w:p>
  </w:footnote>
  <w:footnote w:id="96">
    <w:p w:rsidR="00594C0B" w:rsidRPr="00650F1F" w:rsidRDefault="00594C0B" w:rsidP="00650F1F">
      <w:pPr>
        <w:pStyle w:val="FootnoteText"/>
        <w:tabs>
          <w:tab w:val="left" w:pos="360"/>
        </w:tabs>
        <w:spacing w:before="0"/>
        <w:ind w:firstLine="0"/>
        <w:rPr>
          <w:rFonts w:eastAsiaTheme="minorEastAsia"/>
          <w:lang w:val="en-US" w:eastAsia="zh-CN"/>
        </w:rPr>
      </w:pPr>
      <w:r w:rsidRPr="00650F1F">
        <w:rPr>
          <w:rStyle w:val="FootnoteReference"/>
          <w:rFonts w:eastAsiaTheme="minorEastAsia"/>
          <w:sz w:val="24"/>
          <w:u w:val="none"/>
          <w:vertAlign w:val="superscript"/>
        </w:rPr>
        <w:footnoteRef/>
      </w:r>
      <w:r w:rsidRPr="00650F1F">
        <w:rPr>
          <w:rStyle w:val="FootnoteReference"/>
          <w:rFonts w:eastAsiaTheme="minorEastAsia"/>
          <w:sz w:val="24"/>
          <w:u w:val="none"/>
          <w:vertAlign w:val="superscript"/>
          <w:lang w:eastAsia="zh-CN"/>
        </w:rPr>
        <w:t xml:space="preserve"> </w:t>
      </w:r>
      <w:r w:rsidRPr="00650F1F">
        <w:rPr>
          <w:rFonts w:eastAsiaTheme="minorEastAsia"/>
          <w:sz w:val="20"/>
          <w:szCs w:val="20"/>
          <w:lang w:val="en-US" w:eastAsia="zh-CN"/>
        </w:rPr>
        <w:tab/>
        <w:t xml:space="preserve"> </w:t>
      </w:r>
      <w:r w:rsidRPr="00650F1F">
        <w:rPr>
          <w:rFonts w:eastAsiaTheme="minorEastAsia"/>
          <w:sz w:val="20"/>
          <w:szCs w:val="20"/>
          <w:lang w:val="en-US" w:eastAsia="zh-CN"/>
        </w:rPr>
        <w:t>这些作物包括马铃薯、番茄、</w:t>
      </w:r>
      <w:r w:rsidRPr="00650F1F">
        <w:rPr>
          <w:rFonts w:eastAsiaTheme="minorEastAsia"/>
          <w:snapToGrid w:val="0"/>
          <w:color w:val="000000" w:themeColor="text1"/>
          <w:kern w:val="18"/>
          <w:sz w:val="20"/>
          <w:szCs w:val="18"/>
          <w:lang w:eastAsia="zh-CN"/>
        </w:rPr>
        <w:t>西葫芦、南瓜、豆类、</w:t>
      </w:r>
      <w:r w:rsidRPr="00650F1F">
        <w:rPr>
          <w:rFonts w:eastAsiaTheme="minorEastAsia"/>
          <w:sz w:val="20"/>
          <w:szCs w:val="20"/>
          <w:lang w:val="en-US" w:eastAsia="zh-CN"/>
        </w:rPr>
        <w:t>胡椒、可可、草莓、藜麦、</w:t>
      </w:r>
      <w:r w:rsidRPr="00650F1F">
        <w:rPr>
          <w:rFonts w:eastAsiaTheme="minorEastAsia"/>
          <w:sz w:val="20"/>
          <w:szCs w:val="20"/>
          <w:lang w:val="en-US" w:eastAsia="zh-CN"/>
        </w:rPr>
        <w:t>amaranto</w:t>
      </w:r>
      <w:r w:rsidRPr="00650F1F">
        <w:rPr>
          <w:rFonts w:eastAsiaTheme="minorEastAsia"/>
          <w:sz w:val="20"/>
          <w:szCs w:val="20"/>
          <w:lang w:val="en-US" w:eastAsia="zh-CN"/>
        </w:rPr>
        <w:t>、鳄梨、红薯、</w:t>
      </w:r>
      <w:r w:rsidRPr="00650F1F">
        <w:rPr>
          <w:rStyle w:val="st"/>
          <w:rFonts w:eastAsiaTheme="minorEastAsia"/>
          <w:sz w:val="20"/>
          <w:szCs w:val="20"/>
          <w:lang w:eastAsia="zh-CN"/>
        </w:rPr>
        <w:t>巴西莓</w:t>
      </w:r>
      <w:r w:rsidRPr="00650F1F">
        <w:rPr>
          <w:rFonts w:eastAsiaTheme="minorEastAsia"/>
          <w:sz w:val="20"/>
          <w:szCs w:val="20"/>
          <w:lang w:val="en-US" w:eastAsia="zh-CN"/>
        </w:rPr>
        <w:t>、</w:t>
      </w:r>
      <w:r w:rsidRPr="00650F1F">
        <w:rPr>
          <w:rStyle w:val="st"/>
          <w:rFonts w:eastAsiaTheme="minorEastAsia"/>
          <w:sz w:val="20"/>
          <w:szCs w:val="20"/>
          <w:lang w:eastAsia="zh-CN"/>
        </w:rPr>
        <w:t>棕榈芯</w:t>
      </w:r>
      <w:r w:rsidRPr="00650F1F">
        <w:rPr>
          <w:rFonts w:eastAsiaTheme="minorEastAsia"/>
          <w:sz w:val="20"/>
          <w:szCs w:val="20"/>
          <w:lang w:val="en-US" w:eastAsia="zh-CN"/>
        </w:rPr>
        <w:t>、巴西坚果，瓜拉那、百香果和丝兰。</w:t>
      </w:r>
    </w:p>
  </w:footnote>
  <w:footnote w:id="97">
    <w:p w:rsidR="00594C0B" w:rsidRPr="00650F1F" w:rsidRDefault="00594C0B" w:rsidP="00650F1F">
      <w:pPr>
        <w:pStyle w:val="FootnoteText"/>
        <w:pageBreakBefore/>
        <w:tabs>
          <w:tab w:val="left" w:pos="360"/>
        </w:tabs>
        <w:snapToGrid w:val="0"/>
        <w:spacing w:before="0"/>
        <w:ind w:firstLine="0"/>
        <w:rPr>
          <w:rFonts w:eastAsiaTheme="minorEastAsia"/>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u w:val="none"/>
          <w:vertAlign w:val="superscript"/>
          <w:lang w:eastAsia="zh-CN"/>
        </w:rPr>
        <w:t xml:space="preserve"> </w:t>
      </w:r>
      <w:r w:rsidRPr="00650F1F">
        <w:rPr>
          <w:rFonts w:eastAsiaTheme="minorEastAsia"/>
          <w:sz w:val="20"/>
          <w:szCs w:val="20"/>
          <w:lang w:eastAsia="zh-CN"/>
        </w:rPr>
        <w:tab/>
      </w:r>
      <w:r w:rsidRPr="00650F1F">
        <w:rPr>
          <w:rFonts w:eastAsiaTheme="minorEastAsia"/>
          <w:snapToGrid w:val="0"/>
          <w:kern w:val="18"/>
          <w:sz w:val="20"/>
          <w:szCs w:val="20"/>
          <w:lang w:eastAsia="zh-CN"/>
        </w:rPr>
        <w:t>可持续野生动物管理是</w:t>
      </w:r>
      <w:r w:rsidRPr="00084B39">
        <w:rPr>
          <w:rFonts w:asciiTheme="minorEastAsia" w:eastAsiaTheme="minorEastAsia" w:hAnsiTheme="minorEastAsia"/>
          <w:snapToGrid w:val="0"/>
          <w:kern w:val="18"/>
          <w:sz w:val="20"/>
          <w:szCs w:val="20"/>
          <w:lang w:eastAsia="zh-CN"/>
        </w:rPr>
        <w:t>“妥善地管理野生动物物种以长期维持其种群和生境，同时亦顾及人类的社会经济需要”</w:t>
      </w:r>
      <w:r w:rsidRPr="00650F1F">
        <w:rPr>
          <w:rFonts w:eastAsiaTheme="minorEastAsia"/>
          <w:snapToGrid w:val="0"/>
          <w:kern w:val="18"/>
          <w:sz w:val="20"/>
          <w:szCs w:val="20"/>
          <w:lang w:eastAsia="zh-CN"/>
        </w:rPr>
        <w:t>。如果得到可持续的管理，野生动物能够为地方社区提供长期的营养和持续的收入，因而大大有助于当地的生计和维护人类和环境健康（</w:t>
      </w:r>
      <w:r w:rsidRPr="00650F1F">
        <w:rPr>
          <w:rFonts w:eastAsiaTheme="minorEastAsia"/>
          <w:sz w:val="20"/>
          <w:szCs w:val="20"/>
          <w:lang w:val="zh-CN" w:eastAsia="zh-CN"/>
        </w:rPr>
        <w:t>野生动物可持续管理合作伙伴关系，</w:t>
      </w:r>
      <w:r w:rsidRPr="00650F1F">
        <w:rPr>
          <w:rFonts w:eastAsiaTheme="minorEastAsia"/>
          <w:snapToGrid w:val="0"/>
          <w:kern w:val="18"/>
          <w:sz w:val="20"/>
          <w:szCs w:val="20"/>
          <w:lang w:eastAsia="zh-CN"/>
        </w:rPr>
        <w:t>2015</w:t>
      </w:r>
      <w:r w:rsidRPr="00650F1F">
        <w:rPr>
          <w:rFonts w:eastAsiaTheme="minorEastAsia"/>
          <w:snapToGrid w:val="0"/>
          <w:kern w:val="18"/>
          <w:sz w:val="20"/>
          <w:szCs w:val="20"/>
          <w:lang w:eastAsia="zh-CN"/>
        </w:rPr>
        <w:t>年）。</w:t>
      </w:r>
    </w:p>
  </w:footnote>
  <w:footnote w:id="98">
    <w:p w:rsidR="00594C0B" w:rsidRPr="00650F1F" w:rsidRDefault="00594C0B" w:rsidP="00650F1F">
      <w:pPr>
        <w:pStyle w:val="FootnoteText"/>
        <w:pageBreakBefore/>
        <w:tabs>
          <w:tab w:val="left" w:pos="360"/>
        </w:tabs>
        <w:spacing w:before="0"/>
        <w:ind w:firstLine="0"/>
        <w:rPr>
          <w:rFonts w:eastAsiaTheme="minorEastAsia"/>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u w:val="none"/>
          <w:vertAlign w:val="superscript"/>
          <w:lang w:eastAsia="zh-CN"/>
        </w:rPr>
        <w:t xml:space="preserve"> </w:t>
      </w:r>
      <w:r w:rsidRPr="00650F1F">
        <w:rPr>
          <w:rFonts w:eastAsiaTheme="minorEastAsia"/>
          <w:sz w:val="20"/>
          <w:szCs w:val="20"/>
          <w:lang w:eastAsia="zh-CN"/>
        </w:rPr>
        <w:tab/>
      </w:r>
      <w:r w:rsidRPr="00650F1F">
        <w:rPr>
          <w:rStyle w:val="Hyperlink"/>
          <w:rFonts w:eastAsiaTheme="minorEastAsia"/>
          <w:sz w:val="20"/>
          <w:szCs w:val="20"/>
          <w:lang w:eastAsia="zh-CN"/>
        </w:rPr>
        <w:t>第</w:t>
      </w:r>
      <w:hyperlink r:id="rId39" w:history="1">
        <w:r w:rsidRPr="00650F1F">
          <w:rPr>
            <w:rStyle w:val="Hyperlink"/>
            <w:rFonts w:eastAsiaTheme="minorEastAsia"/>
            <w:sz w:val="20"/>
            <w:szCs w:val="20"/>
            <w:lang w:eastAsia="zh-CN"/>
          </w:rPr>
          <w:t>XII/12B</w:t>
        </w:r>
      </w:hyperlink>
      <w:r w:rsidRPr="00650F1F">
        <w:rPr>
          <w:rStyle w:val="Hyperlink"/>
          <w:rFonts w:eastAsiaTheme="minorEastAsia"/>
          <w:sz w:val="20"/>
          <w:szCs w:val="20"/>
          <w:lang w:eastAsia="zh-CN"/>
        </w:rPr>
        <w:t>号决定</w:t>
      </w:r>
      <w:r w:rsidRPr="00650F1F">
        <w:rPr>
          <w:rFonts w:eastAsiaTheme="minorEastAsia"/>
          <w:sz w:val="20"/>
          <w:szCs w:val="20"/>
          <w:lang w:eastAsia="zh-CN"/>
        </w:rPr>
        <w:t>，附件。</w:t>
      </w:r>
    </w:p>
  </w:footnote>
  <w:footnote w:id="99">
    <w:p w:rsidR="00594C0B" w:rsidRPr="00650F1F" w:rsidRDefault="00594C0B" w:rsidP="00650F1F">
      <w:pPr>
        <w:pStyle w:val="FootnoteText"/>
        <w:widowControl w:val="0"/>
        <w:tabs>
          <w:tab w:val="left" w:pos="360"/>
        </w:tabs>
        <w:spacing w:before="0"/>
        <w:ind w:firstLine="0"/>
        <w:rPr>
          <w:rFonts w:eastAsiaTheme="minorEastAsia"/>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见联合国大会</w:t>
      </w:r>
      <w:smartTag w:uri="urn:schemas-microsoft-com:office:smarttags" w:element="chsdate">
        <w:smartTagPr>
          <w:attr w:name="Year" w:val="2015"/>
          <w:attr w:name="Month" w:val="9"/>
          <w:attr w:name="Day" w:val="25"/>
          <w:attr w:name="IsLunarDate" w:val="False"/>
          <w:attr w:name="IsROCDate" w:val="False"/>
        </w:smartTagPr>
        <w:r w:rsidRPr="00650F1F">
          <w:rPr>
            <w:rFonts w:eastAsiaTheme="minorEastAsia"/>
            <w:sz w:val="20"/>
            <w:szCs w:val="20"/>
            <w:lang w:eastAsia="zh-CN"/>
          </w:rPr>
          <w:t>2015</w:t>
        </w:r>
        <w:r w:rsidRPr="00650F1F">
          <w:rPr>
            <w:rFonts w:eastAsiaTheme="minorEastAsia"/>
            <w:sz w:val="20"/>
            <w:szCs w:val="20"/>
            <w:lang w:eastAsia="zh-CN"/>
          </w:rPr>
          <w:t>年</w:t>
        </w:r>
        <w:r w:rsidRPr="00650F1F">
          <w:rPr>
            <w:rFonts w:eastAsiaTheme="minorEastAsia"/>
            <w:sz w:val="20"/>
            <w:szCs w:val="20"/>
            <w:lang w:eastAsia="zh-CN"/>
          </w:rPr>
          <w:t>9</w:t>
        </w:r>
        <w:r w:rsidRPr="00650F1F">
          <w:rPr>
            <w:rFonts w:eastAsiaTheme="minorEastAsia"/>
            <w:sz w:val="20"/>
            <w:szCs w:val="20"/>
            <w:lang w:eastAsia="zh-CN"/>
          </w:rPr>
          <w:t>月</w:t>
        </w:r>
        <w:r w:rsidRPr="00650F1F">
          <w:rPr>
            <w:rFonts w:eastAsiaTheme="minorEastAsia"/>
            <w:sz w:val="20"/>
            <w:szCs w:val="20"/>
            <w:lang w:eastAsia="zh-CN"/>
          </w:rPr>
          <w:t>25</w:t>
        </w:r>
        <w:r w:rsidRPr="00650F1F">
          <w:rPr>
            <w:rFonts w:eastAsiaTheme="minorEastAsia"/>
            <w:sz w:val="20"/>
            <w:szCs w:val="20"/>
            <w:lang w:eastAsia="zh-CN"/>
          </w:rPr>
          <w:t>日</w:t>
        </w:r>
      </w:smartTag>
      <w:r w:rsidRPr="00650F1F">
        <w:rPr>
          <w:rStyle w:val="Hyperlink"/>
          <w:rFonts w:eastAsiaTheme="minorEastAsia"/>
          <w:sz w:val="20"/>
          <w:szCs w:val="20"/>
          <w:lang w:eastAsia="zh-CN"/>
        </w:rPr>
        <w:t>第</w:t>
      </w:r>
      <w:hyperlink r:id="rId40" w:history="1">
        <w:r w:rsidRPr="00650F1F">
          <w:rPr>
            <w:rStyle w:val="Hyperlink"/>
            <w:rFonts w:eastAsiaTheme="minorEastAsia"/>
            <w:snapToGrid w:val="0"/>
            <w:kern w:val="18"/>
            <w:sz w:val="20"/>
            <w:szCs w:val="20"/>
            <w:lang w:eastAsia="zh-CN"/>
          </w:rPr>
          <w:t>70/1</w:t>
        </w:r>
      </w:hyperlink>
      <w:r w:rsidRPr="00650F1F">
        <w:rPr>
          <w:rStyle w:val="Hyperlink"/>
          <w:rFonts w:eastAsiaTheme="minorEastAsia"/>
          <w:snapToGrid w:val="0"/>
          <w:kern w:val="18"/>
          <w:sz w:val="20"/>
          <w:szCs w:val="20"/>
          <w:lang w:eastAsia="zh-CN"/>
        </w:rPr>
        <w:t>号决议</w:t>
      </w:r>
      <w:r w:rsidRPr="00650F1F">
        <w:rPr>
          <w:rFonts w:eastAsiaTheme="minorEastAsia"/>
          <w:sz w:val="20"/>
          <w:szCs w:val="20"/>
          <w:lang w:eastAsia="zh-CN"/>
        </w:rPr>
        <w:t>，题为</w:t>
      </w:r>
      <w:r w:rsidRPr="00FF4964">
        <w:rPr>
          <w:rFonts w:asciiTheme="minorEastAsia" w:eastAsiaTheme="minorEastAsia" w:hAnsiTheme="minorEastAsia"/>
          <w:snapToGrid w:val="0"/>
          <w:kern w:val="18"/>
          <w:sz w:val="20"/>
          <w:szCs w:val="20"/>
          <w:lang w:eastAsia="zh-CN"/>
        </w:rPr>
        <w:t>“</w:t>
      </w:r>
      <w:r w:rsidRPr="00FF4964">
        <w:rPr>
          <w:rStyle w:val="zh"/>
          <w:rFonts w:asciiTheme="minorEastAsia" w:eastAsiaTheme="minorEastAsia" w:hAnsiTheme="minorEastAsia"/>
          <w:bCs/>
          <w:sz w:val="20"/>
          <w:szCs w:val="20"/>
          <w:lang w:eastAsia="zh-CN"/>
        </w:rPr>
        <w:t>变革我们的世界：</w:t>
      </w:r>
      <w:r w:rsidRPr="00FF4964">
        <w:rPr>
          <w:lang w:eastAsia="zh-CN"/>
        </w:rPr>
        <w:t>2030</w:t>
      </w:r>
      <w:r w:rsidRPr="00FF4964">
        <w:rPr>
          <w:rStyle w:val="zh"/>
          <w:rFonts w:asciiTheme="minorEastAsia" w:eastAsiaTheme="minorEastAsia" w:hAnsiTheme="minorEastAsia"/>
          <w:bCs/>
          <w:sz w:val="20"/>
          <w:szCs w:val="20"/>
          <w:lang w:eastAsia="zh-CN"/>
        </w:rPr>
        <w:t>年可持续发展议程</w:t>
      </w:r>
      <w:r w:rsidRPr="00FF4964">
        <w:rPr>
          <w:rFonts w:asciiTheme="minorEastAsia" w:eastAsiaTheme="minorEastAsia" w:hAnsiTheme="minorEastAsia"/>
          <w:snapToGrid w:val="0"/>
          <w:kern w:val="18"/>
          <w:sz w:val="20"/>
          <w:szCs w:val="20"/>
          <w:lang w:eastAsia="zh-CN"/>
        </w:rPr>
        <w:t>”。</w:t>
      </w:r>
    </w:p>
  </w:footnote>
  <w:footnote w:id="100">
    <w:p w:rsidR="00594C0B" w:rsidRPr="00650F1F" w:rsidRDefault="00594C0B" w:rsidP="00650F1F">
      <w:pPr>
        <w:pStyle w:val="FootnoteText"/>
        <w:tabs>
          <w:tab w:val="left" w:pos="360"/>
        </w:tabs>
        <w:spacing w:before="0"/>
        <w:ind w:firstLine="0"/>
        <w:rPr>
          <w:rFonts w:eastAsiaTheme="minorEastAsia"/>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rPr>
        <w:t xml:space="preserve"> </w:t>
      </w:r>
      <w:r w:rsidRPr="00650F1F">
        <w:rPr>
          <w:rFonts w:eastAsiaTheme="minorEastAsia"/>
          <w:sz w:val="20"/>
          <w:szCs w:val="20"/>
        </w:rPr>
        <w:tab/>
      </w:r>
      <w:r w:rsidRPr="00650F1F">
        <w:rPr>
          <w:rFonts w:eastAsiaTheme="minorEastAsia"/>
          <w:sz w:val="20"/>
          <w:szCs w:val="20"/>
        </w:rPr>
        <w:t>见</w:t>
      </w:r>
      <w:hyperlink r:id="rId41" w:history="1">
        <w:r w:rsidRPr="00650F1F">
          <w:rPr>
            <w:rStyle w:val="Hyperlink"/>
            <w:rFonts w:eastAsiaTheme="minorEastAsia"/>
            <w:kern w:val="18"/>
            <w:sz w:val="20"/>
            <w:szCs w:val="20"/>
          </w:rPr>
          <w:t>https://www.cbd.int/brc</w:t>
        </w:r>
        <w:r w:rsidRPr="00650F1F">
          <w:rPr>
            <w:rStyle w:val="Hyperlink"/>
            <w:rFonts w:eastAsiaTheme="minorEastAsia"/>
            <w:color w:val="000000"/>
            <w:kern w:val="18"/>
            <w:sz w:val="20"/>
            <w:szCs w:val="20"/>
          </w:rPr>
          <w:t>/</w:t>
        </w:r>
      </w:hyperlink>
      <w:r w:rsidRPr="00650F1F">
        <w:rPr>
          <w:rStyle w:val="Hyperlink"/>
          <w:rFonts w:eastAsiaTheme="minorEastAsia"/>
          <w:color w:val="000000"/>
          <w:kern w:val="18"/>
          <w:sz w:val="20"/>
          <w:szCs w:val="20"/>
        </w:rPr>
        <w:t xml:space="preserve"> </w:t>
      </w:r>
      <w:r w:rsidRPr="00650F1F">
        <w:rPr>
          <w:rFonts w:eastAsiaTheme="minorEastAsia"/>
          <w:snapToGrid w:val="0"/>
          <w:kern w:val="18"/>
          <w:sz w:val="20"/>
          <w:szCs w:val="20"/>
        </w:rPr>
        <w:t>。</w:t>
      </w:r>
    </w:p>
  </w:footnote>
  <w:footnote w:id="101">
    <w:p w:rsidR="00594C0B" w:rsidRPr="00650F1F" w:rsidRDefault="00594C0B" w:rsidP="00FF4964">
      <w:pPr>
        <w:shd w:val="clear" w:color="auto" w:fill="FFFFFF"/>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0" w:after="60"/>
        <w:ind w:firstLine="0"/>
        <w:rPr>
          <w:rFonts w:eastAsiaTheme="minorEastAsia"/>
          <w:lang w:eastAsia="zh-CN"/>
        </w:rPr>
      </w:pPr>
      <w:r w:rsidRPr="00650F1F">
        <w:rPr>
          <w:rStyle w:val="FootnoteReference"/>
          <w:rFonts w:eastAsiaTheme="minorEastAsia"/>
          <w:sz w:val="24"/>
          <w:szCs w:val="20"/>
          <w:u w:val="none"/>
          <w:vertAlign w:val="superscript"/>
          <w:lang w:val="en-GB"/>
        </w:rPr>
        <w:footnoteRef/>
      </w:r>
      <w:r w:rsidRPr="00650F1F">
        <w:rPr>
          <w:rStyle w:val="FootnoteReference"/>
          <w:rFonts w:eastAsiaTheme="minorEastAsia"/>
          <w:sz w:val="24"/>
          <w:szCs w:val="20"/>
          <w:u w:val="none"/>
          <w:vertAlign w:val="superscript"/>
          <w:lang w:val="en-GB" w:eastAsia="zh-CN"/>
        </w:rPr>
        <w:t xml:space="preserve"> </w:t>
      </w:r>
      <w:r w:rsidRPr="00650F1F">
        <w:rPr>
          <w:rFonts w:eastAsiaTheme="minorEastAsia"/>
          <w:sz w:val="20"/>
          <w:szCs w:val="20"/>
          <w:lang w:eastAsia="zh-CN" w:bidi="th-TH"/>
        </w:rPr>
        <w:tab/>
      </w:r>
      <w:r w:rsidRPr="00650F1F">
        <w:rPr>
          <w:rFonts w:eastAsiaTheme="minorEastAsia"/>
          <w:sz w:val="20"/>
          <w:szCs w:val="20"/>
          <w:lang w:eastAsia="zh-CN" w:bidi="th-TH"/>
        </w:rPr>
        <w:t>一些</w:t>
      </w:r>
      <w:r w:rsidRPr="00650F1F">
        <w:rPr>
          <w:rFonts w:eastAsiaTheme="minorEastAsia"/>
          <w:color w:val="212121"/>
          <w:sz w:val="20"/>
          <w:szCs w:val="20"/>
          <w:lang w:eastAsia="zh-CN" w:bidi="th-TH"/>
        </w:rPr>
        <w:t>缔约方不把可持续野生动物肉的经营视为一个经济部门。</w:t>
      </w:r>
    </w:p>
  </w:footnote>
  <w:footnote w:id="102">
    <w:p w:rsidR="00594C0B" w:rsidRPr="00650F1F" w:rsidRDefault="00594C0B" w:rsidP="00FF4964">
      <w:pPr>
        <w:shd w:val="clear" w:color="auto" w:fill="FFFFFF"/>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0" w:after="60"/>
        <w:ind w:firstLine="0"/>
        <w:rPr>
          <w:rFonts w:eastAsiaTheme="minorEastAsia"/>
          <w:lang w:eastAsia="zh-CN"/>
        </w:rPr>
      </w:pPr>
      <w:r w:rsidRPr="00650F1F">
        <w:rPr>
          <w:rStyle w:val="FootnoteReference"/>
          <w:rFonts w:eastAsiaTheme="minorEastAsia"/>
          <w:sz w:val="24"/>
          <w:szCs w:val="20"/>
          <w:u w:val="none"/>
          <w:vertAlign w:val="superscript"/>
          <w:lang w:val="en-GB"/>
        </w:rPr>
        <w:footnoteRef/>
      </w:r>
      <w:r w:rsidRPr="00650F1F">
        <w:rPr>
          <w:rStyle w:val="FootnoteReference"/>
          <w:rFonts w:eastAsiaTheme="minorEastAsia"/>
          <w:sz w:val="24"/>
          <w:szCs w:val="20"/>
          <w:u w:val="none"/>
          <w:vertAlign w:val="superscript"/>
          <w:lang w:val="en-GB" w:eastAsia="zh-CN"/>
        </w:rPr>
        <w:t xml:space="preserve"> </w:t>
      </w:r>
      <w:r w:rsidRPr="00650F1F">
        <w:rPr>
          <w:rFonts w:eastAsiaTheme="minorEastAsia"/>
          <w:snapToGrid w:val="0"/>
          <w:kern w:val="18"/>
          <w:sz w:val="20"/>
          <w:szCs w:val="20"/>
          <w:lang w:eastAsia="zh-CN" w:bidi="th-TH"/>
        </w:rPr>
        <w:tab/>
      </w:r>
      <w:r w:rsidRPr="00650F1F">
        <w:rPr>
          <w:rFonts w:eastAsiaTheme="minorEastAsia"/>
          <w:color w:val="212121"/>
          <w:sz w:val="20"/>
          <w:szCs w:val="20"/>
          <w:lang w:eastAsia="zh-CN" w:bidi="th-TH"/>
        </w:rPr>
        <w:t>为科咨机构第二十次会议（</w:t>
      </w:r>
      <w:hyperlink r:id="rId42" w:history="1">
        <w:r w:rsidRPr="00650F1F">
          <w:rPr>
            <w:rStyle w:val="Hyperlink"/>
            <w:rFonts w:eastAsiaTheme="minorEastAsia"/>
            <w:sz w:val="20"/>
            <w:szCs w:val="20"/>
            <w:lang w:eastAsia="zh-CN"/>
          </w:rPr>
          <w:t>UNEP/CBD/SBSTTA/20/INF/46</w:t>
        </w:r>
      </w:hyperlink>
      <w:r w:rsidRPr="00650F1F">
        <w:rPr>
          <w:rFonts w:eastAsiaTheme="minorEastAsia"/>
          <w:color w:val="212121"/>
          <w:sz w:val="20"/>
          <w:szCs w:val="20"/>
          <w:lang w:eastAsia="zh-CN" w:bidi="th-TH"/>
        </w:rPr>
        <w:t>）编写的关于可持续野生动物管理的资料文件包括：关于维生狩猎在人类社会中的作用的概述，关于维生和商业狩猎的影响的概述（包括狩猎和因农业和工业活动改变土地用途的共同影响），和根据管理共有资源的理论进行的分析。另一份资料文件（</w:t>
      </w:r>
      <w:hyperlink r:id="rId43" w:history="1">
        <w:r w:rsidRPr="00650F1F">
          <w:rPr>
            <w:rStyle w:val="Hyperlink"/>
            <w:rFonts w:eastAsiaTheme="minorEastAsia"/>
            <w:sz w:val="20"/>
            <w:szCs w:val="20"/>
            <w:lang w:eastAsia="zh-CN"/>
          </w:rPr>
          <w:t>UNEP/CBD/SBSTTA/20/INF/47</w:t>
        </w:r>
      </w:hyperlink>
      <w:r w:rsidRPr="00650F1F">
        <w:rPr>
          <w:rFonts w:eastAsiaTheme="minorEastAsia"/>
          <w:color w:val="212121"/>
          <w:sz w:val="20"/>
          <w:szCs w:val="20"/>
          <w:lang w:eastAsia="zh-CN" w:bidi="th-TH"/>
        </w:rPr>
        <w:t>）中载有与缔约方国家报告和国家生物多样性战略和行动计划以及可持续利用野生动物相关的补偿信息。</w:t>
      </w:r>
    </w:p>
  </w:footnote>
  <w:footnote w:id="103">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见</w:t>
      </w:r>
      <w:hyperlink r:id="rId44" w:history="1">
        <w:r w:rsidRPr="00650F1F">
          <w:rPr>
            <w:rStyle w:val="Hyperlink"/>
            <w:rFonts w:eastAsiaTheme="minorEastAsia"/>
            <w:sz w:val="20"/>
            <w:szCs w:val="20"/>
            <w:lang w:eastAsia="zh-CN"/>
          </w:rPr>
          <w:t>UNEP/CBD/SBSTTA/20/11</w:t>
        </w:r>
      </w:hyperlink>
      <w:r w:rsidRPr="00650F1F">
        <w:rPr>
          <w:rFonts w:eastAsiaTheme="minorEastAsia"/>
          <w:sz w:val="20"/>
          <w:szCs w:val="20"/>
          <w:lang w:eastAsia="zh-CN"/>
        </w:rPr>
        <w:t>，第</w:t>
      </w:r>
      <w:r w:rsidRPr="00650F1F">
        <w:rPr>
          <w:rFonts w:eastAsiaTheme="minorEastAsia"/>
          <w:sz w:val="20"/>
          <w:szCs w:val="20"/>
          <w:lang w:eastAsia="zh-CN"/>
        </w:rPr>
        <w:t>26</w:t>
      </w:r>
      <w:r w:rsidRPr="00650F1F">
        <w:rPr>
          <w:rFonts w:eastAsiaTheme="minorEastAsia"/>
          <w:sz w:val="20"/>
          <w:szCs w:val="20"/>
          <w:lang w:eastAsia="zh-CN"/>
        </w:rPr>
        <w:t>段。</w:t>
      </w:r>
    </w:p>
  </w:footnote>
  <w:footnote w:id="104">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Style w:val="FootnoteReference"/>
          <w:rFonts w:eastAsiaTheme="minorEastAsia"/>
          <w:sz w:val="24"/>
          <w:u w:val="none"/>
          <w:vertAlign w:val="superscript"/>
          <w:lang w:eastAsia="zh-CN"/>
        </w:rPr>
        <w:t xml:space="preserve"> </w:t>
      </w:r>
      <w:r w:rsidRPr="00650F1F">
        <w:rPr>
          <w:rFonts w:eastAsiaTheme="minorEastAsia"/>
          <w:sz w:val="20"/>
          <w:szCs w:val="20"/>
          <w:vertAlign w:val="superscript"/>
          <w:lang w:eastAsia="zh-CN"/>
        </w:rPr>
        <w:tab/>
      </w:r>
      <w:r w:rsidRPr="00650F1F">
        <w:rPr>
          <w:rFonts w:eastAsiaTheme="minorEastAsia"/>
          <w:sz w:val="20"/>
          <w:szCs w:val="20"/>
          <w:lang w:eastAsia="zh-CN"/>
        </w:rPr>
        <w:t>S.S. Myers</w:t>
      </w:r>
      <w:r w:rsidRPr="00650F1F">
        <w:rPr>
          <w:rFonts w:eastAsiaTheme="minorEastAsia"/>
          <w:color w:val="212121"/>
          <w:sz w:val="20"/>
          <w:szCs w:val="20"/>
          <w:lang w:eastAsia="zh-CN"/>
        </w:rPr>
        <w:t>等（</w:t>
      </w:r>
      <w:r w:rsidRPr="00650F1F">
        <w:rPr>
          <w:rFonts w:eastAsiaTheme="minorEastAsia"/>
          <w:sz w:val="20"/>
          <w:szCs w:val="20"/>
          <w:lang w:eastAsia="zh-CN"/>
        </w:rPr>
        <w:t>2013</w:t>
      </w:r>
      <w:r w:rsidRPr="00650F1F">
        <w:rPr>
          <w:rFonts w:eastAsiaTheme="minorEastAsia"/>
          <w:color w:val="212121"/>
          <w:sz w:val="20"/>
          <w:szCs w:val="20"/>
          <w:lang w:eastAsia="zh-CN"/>
        </w:rPr>
        <w:t>年</w:t>
      </w:r>
      <w:r w:rsidRPr="00650F1F">
        <w:rPr>
          <w:rFonts w:eastAsiaTheme="minorEastAsia"/>
          <w:sz w:val="20"/>
          <w:szCs w:val="20"/>
          <w:lang w:eastAsia="zh-CN"/>
        </w:rPr>
        <w:t>），《国家科学院记录》第</w:t>
      </w:r>
      <w:r w:rsidRPr="00650F1F">
        <w:rPr>
          <w:rFonts w:eastAsiaTheme="minorEastAsia"/>
          <w:sz w:val="20"/>
          <w:szCs w:val="20"/>
          <w:lang w:eastAsia="zh-CN"/>
        </w:rPr>
        <w:t>110</w:t>
      </w:r>
      <w:r w:rsidRPr="00650F1F">
        <w:rPr>
          <w:rFonts w:eastAsiaTheme="minorEastAsia"/>
          <w:sz w:val="20"/>
          <w:szCs w:val="20"/>
          <w:lang w:eastAsia="zh-CN"/>
        </w:rPr>
        <w:t>期，第</w:t>
      </w:r>
      <w:r w:rsidRPr="00650F1F">
        <w:rPr>
          <w:rFonts w:eastAsiaTheme="minorEastAsia"/>
          <w:sz w:val="20"/>
          <w:szCs w:val="20"/>
          <w:lang w:eastAsia="zh-CN"/>
        </w:rPr>
        <w:t>18753-18760</w:t>
      </w:r>
      <w:r w:rsidRPr="00650F1F">
        <w:rPr>
          <w:rFonts w:eastAsiaTheme="minorEastAsia"/>
          <w:sz w:val="20"/>
          <w:szCs w:val="20"/>
          <w:lang w:eastAsia="zh-CN"/>
        </w:rPr>
        <w:t>页。</w:t>
      </w:r>
      <w:r w:rsidRPr="00650F1F">
        <w:rPr>
          <w:rFonts w:eastAsiaTheme="minorEastAsia"/>
          <w:sz w:val="20"/>
          <w:szCs w:val="20"/>
          <w:lang w:eastAsia="zh-CN"/>
        </w:rPr>
        <w:t xml:space="preserve"> </w:t>
      </w:r>
    </w:p>
  </w:footnote>
  <w:footnote w:id="105">
    <w:p w:rsidR="00594C0B" w:rsidRPr="00650F1F" w:rsidRDefault="00594C0B" w:rsidP="00FF4964">
      <w:pPr>
        <w:pStyle w:val="FootnoteText"/>
        <w:tabs>
          <w:tab w:val="left" w:pos="360"/>
        </w:tabs>
        <w:adjustRightInd w:val="0"/>
        <w:snapToGrid w:val="0"/>
        <w:spacing w:before="0"/>
        <w:ind w:firstLine="0"/>
        <w:rPr>
          <w:rFonts w:eastAsiaTheme="minorEastAsia"/>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rPr>
        <w:t xml:space="preserve"> </w:t>
      </w:r>
      <w:r w:rsidRPr="00650F1F">
        <w:rPr>
          <w:rFonts w:eastAsiaTheme="minorEastAsia"/>
          <w:sz w:val="20"/>
          <w:szCs w:val="20"/>
          <w:lang w:bidi="th-TH"/>
        </w:rPr>
        <w:t xml:space="preserve"> </w:t>
      </w:r>
      <w:r w:rsidRPr="00650F1F">
        <w:rPr>
          <w:rFonts w:eastAsiaTheme="minorEastAsia"/>
          <w:sz w:val="20"/>
          <w:szCs w:val="20"/>
          <w:lang w:bidi="th-TH"/>
        </w:rPr>
        <w:tab/>
        <w:t>S.H.M. Butchart</w:t>
      </w:r>
      <w:r w:rsidRPr="00650F1F">
        <w:rPr>
          <w:rFonts w:eastAsiaTheme="minorEastAsia"/>
          <w:color w:val="212121"/>
          <w:sz w:val="20"/>
          <w:szCs w:val="20"/>
          <w:lang w:bidi="th-TH"/>
        </w:rPr>
        <w:t>等</w:t>
      </w:r>
      <w:r w:rsidRPr="00650F1F">
        <w:rPr>
          <w:rFonts w:eastAsiaTheme="minorEastAsia"/>
          <w:color w:val="212121"/>
          <w:sz w:val="20"/>
          <w:szCs w:val="20"/>
          <w:lang w:eastAsia="zh-CN" w:bidi="th-TH"/>
        </w:rPr>
        <w:t>（</w:t>
      </w:r>
      <w:r w:rsidRPr="00650F1F">
        <w:rPr>
          <w:rFonts w:eastAsiaTheme="minorEastAsia"/>
          <w:sz w:val="20"/>
          <w:szCs w:val="20"/>
          <w:lang w:bidi="th-TH"/>
        </w:rPr>
        <w:t>2010</w:t>
      </w:r>
      <w:r w:rsidRPr="00650F1F">
        <w:rPr>
          <w:rFonts w:eastAsiaTheme="minorEastAsia"/>
          <w:sz w:val="20"/>
          <w:szCs w:val="20"/>
          <w:lang w:bidi="th-TH"/>
        </w:rPr>
        <w:t>年</w:t>
      </w:r>
      <w:r w:rsidRPr="00650F1F">
        <w:rPr>
          <w:rFonts w:eastAsiaTheme="minorEastAsia"/>
          <w:sz w:val="20"/>
          <w:szCs w:val="20"/>
          <w:lang w:eastAsia="zh-CN" w:bidi="th-TH"/>
        </w:rPr>
        <w:t>）</w:t>
      </w:r>
      <w:r w:rsidRPr="00650F1F">
        <w:rPr>
          <w:rFonts w:eastAsiaTheme="minorEastAsia"/>
          <w:sz w:val="20"/>
          <w:szCs w:val="20"/>
          <w:lang w:bidi="th-TH"/>
        </w:rPr>
        <w:t>，《</w:t>
      </w:r>
      <w:r w:rsidRPr="00650F1F">
        <w:rPr>
          <w:rFonts w:eastAsiaTheme="minorEastAsia"/>
          <w:sz w:val="20"/>
          <w:szCs w:val="20"/>
          <w:lang w:eastAsia="zh-CN"/>
        </w:rPr>
        <w:t>科学杂志</w:t>
      </w:r>
      <w:r w:rsidRPr="00650F1F">
        <w:rPr>
          <w:rFonts w:eastAsiaTheme="minorEastAsia"/>
          <w:sz w:val="20"/>
          <w:szCs w:val="20"/>
          <w:lang w:bidi="th-TH"/>
        </w:rPr>
        <w:t>》第</w:t>
      </w:r>
      <w:r w:rsidRPr="00650F1F">
        <w:rPr>
          <w:rFonts w:eastAsiaTheme="minorEastAsia"/>
          <w:sz w:val="20"/>
          <w:szCs w:val="20"/>
          <w:lang w:bidi="th-TH"/>
        </w:rPr>
        <w:t>328</w:t>
      </w:r>
      <w:r w:rsidRPr="00650F1F">
        <w:rPr>
          <w:rFonts w:eastAsiaTheme="minorEastAsia"/>
          <w:sz w:val="20"/>
          <w:szCs w:val="20"/>
          <w:lang w:bidi="th-TH"/>
        </w:rPr>
        <w:t>期，第</w:t>
      </w:r>
      <w:r w:rsidRPr="00650F1F">
        <w:rPr>
          <w:rFonts w:eastAsiaTheme="minorEastAsia"/>
          <w:sz w:val="20"/>
          <w:szCs w:val="20"/>
          <w:lang w:bidi="th-TH"/>
        </w:rPr>
        <w:t>1164–1168</w:t>
      </w:r>
      <w:r w:rsidRPr="00650F1F">
        <w:rPr>
          <w:rFonts w:eastAsiaTheme="minorEastAsia"/>
          <w:sz w:val="20"/>
          <w:szCs w:val="20"/>
          <w:lang w:bidi="th-TH"/>
        </w:rPr>
        <w:t>页。</w:t>
      </w:r>
    </w:p>
  </w:footnote>
  <w:footnote w:id="106">
    <w:p w:rsidR="00594C0B" w:rsidRPr="00650F1F" w:rsidRDefault="00594C0B" w:rsidP="00650F1F">
      <w:pPr>
        <w:pStyle w:val="FootnoteText"/>
        <w:tabs>
          <w:tab w:val="left" w:pos="360"/>
        </w:tabs>
        <w:adjustRightInd w:val="0"/>
        <w:snapToGrid w:val="0"/>
        <w:spacing w:before="0"/>
        <w:ind w:firstLine="0"/>
        <w:rPr>
          <w:rFonts w:eastAsiaTheme="minorEastAsia"/>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u w:val="none"/>
          <w:vertAlign w:val="superscript"/>
        </w:rPr>
        <w:t xml:space="preserve"> </w:t>
      </w:r>
      <w:r w:rsidRPr="00650F1F">
        <w:rPr>
          <w:rFonts w:eastAsiaTheme="minorEastAsia"/>
          <w:sz w:val="20"/>
          <w:szCs w:val="20"/>
        </w:rPr>
        <w:tab/>
      </w:r>
      <w:r w:rsidRPr="00650F1F">
        <w:rPr>
          <w:rFonts w:eastAsiaTheme="minorEastAsia"/>
          <w:color w:val="212121"/>
          <w:sz w:val="20"/>
          <w:szCs w:val="20"/>
        </w:rPr>
        <w:t>人畜共患病原体，如埃博拉病毒、马尔堡病毒和猴痘。</w:t>
      </w:r>
      <w:r w:rsidRPr="00650F1F">
        <w:rPr>
          <w:rFonts w:eastAsiaTheme="minorEastAsia"/>
          <w:sz w:val="20"/>
          <w:szCs w:val="20"/>
        </w:rPr>
        <w:t xml:space="preserve"> </w:t>
      </w:r>
    </w:p>
  </w:footnote>
  <w:footnote w:id="107">
    <w:p w:rsidR="00594C0B" w:rsidRPr="00650F1F" w:rsidRDefault="00594C0B" w:rsidP="00084B39">
      <w:pPr>
        <w:pStyle w:val="CommentText"/>
        <w:tabs>
          <w:tab w:val="left" w:pos="360"/>
        </w:tabs>
        <w:adjustRightInd w:val="0"/>
        <w:snapToGrid w:val="0"/>
        <w:spacing w:before="0" w:after="60"/>
        <w:ind w:firstLine="0"/>
        <w:rPr>
          <w:rFonts w:eastAsiaTheme="minorEastAsia"/>
          <w:lang w:eastAsia="zh-CN"/>
        </w:rPr>
      </w:pPr>
      <w:r w:rsidRPr="00650F1F">
        <w:rPr>
          <w:rStyle w:val="FootnoteReference"/>
          <w:rFonts w:eastAsiaTheme="minorEastAsia"/>
          <w:sz w:val="24"/>
          <w:u w:val="none"/>
          <w:vertAlign w:val="superscript"/>
          <w:lang w:val="en-GB"/>
        </w:rPr>
        <w:footnoteRef/>
      </w:r>
      <w:r w:rsidRPr="00650F1F">
        <w:rPr>
          <w:rStyle w:val="FootnoteReference"/>
          <w:rFonts w:eastAsiaTheme="minorEastAsia"/>
          <w:sz w:val="24"/>
          <w:u w:val="none"/>
          <w:vertAlign w:val="superscript"/>
          <w:lang w:val="en-GB" w:eastAsia="zh-CN"/>
        </w:rPr>
        <w:t xml:space="preserve"> </w:t>
      </w:r>
      <w:r w:rsidRPr="00650F1F">
        <w:rPr>
          <w:rFonts w:eastAsiaTheme="minorEastAsia"/>
          <w:bCs/>
          <w:snapToGrid w:val="0"/>
          <w:kern w:val="18"/>
          <w:lang w:eastAsia="zh-CN"/>
        </w:rPr>
        <w:tab/>
      </w:r>
      <w:r w:rsidRPr="00650F1F">
        <w:rPr>
          <w:rFonts w:eastAsiaTheme="minorEastAsia"/>
          <w:color w:val="212121"/>
          <w:lang w:eastAsia="zh-CN"/>
        </w:rPr>
        <w:t>根据以往关于《公约》森林生物多样性工作方案的决定开展的野生动物肉类（或</w:t>
      </w:r>
      <w:r w:rsidRPr="00084B39">
        <w:rPr>
          <w:rFonts w:asciiTheme="minorEastAsia" w:eastAsiaTheme="minorEastAsia" w:hAnsiTheme="minorEastAsia"/>
          <w:color w:val="212121"/>
          <w:lang w:eastAsia="zh-CN"/>
        </w:rPr>
        <w:t>“野生肉类”</w:t>
      </w:r>
      <w:r w:rsidRPr="00650F1F">
        <w:rPr>
          <w:rFonts w:eastAsiaTheme="minorEastAsia"/>
          <w:color w:val="212121"/>
          <w:lang w:eastAsia="zh-CN"/>
        </w:rPr>
        <w:t>）的工作范围，本报告的重点是用于食物的热带和亚热带森林中的野生动物。本指导原则不包括重点非食品用途，包括药用用途。</w:t>
      </w:r>
      <w:hyperlink r:id="rId45" w:history="1">
        <w:r w:rsidRPr="00650F1F">
          <w:rPr>
            <w:rStyle w:val="Hyperlink"/>
            <w:rFonts w:eastAsiaTheme="minorEastAsia"/>
            <w:shd w:val="clear" w:color="auto" w:fill="FFFFFF"/>
            <w:lang w:eastAsia="zh-CN"/>
          </w:rPr>
          <w:t>UNEP/CBD/SBSTTA/20/INF/46</w:t>
        </w:r>
        <w:r w:rsidRPr="00650F1F">
          <w:rPr>
            <w:rStyle w:val="Hyperlink"/>
            <w:rFonts w:eastAsiaTheme="minorEastAsia"/>
            <w:shd w:val="clear" w:color="auto" w:fill="FFFFFF"/>
            <w:lang w:eastAsia="zh-CN"/>
          </w:rPr>
          <w:t>号</w:t>
        </w:r>
      </w:hyperlink>
      <w:r w:rsidRPr="00650F1F">
        <w:rPr>
          <w:rFonts w:eastAsiaTheme="minorEastAsia"/>
          <w:color w:val="212121"/>
          <w:shd w:val="clear" w:color="auto" w:fill="FFFFFF"/>
          <w:lang w:eastAsia="zh-CN"/>
        </w:rPr>
        <w:t>资料文件为收获用于食物或其他目的的非驯化陆生哺乳动物、鸟类、爬行动物和两栖动物提供了更广泛的分析。</w:t>
      </w:r>
      <w:r w:rsidRPr="00650F1F">
        <w:rPr>
          <w:rFonts w:eastAsiaTheme="minorEastAsia"/>
          <w:color w:val="212121"/>
          <w:shd w:val="clear" w:color="auto" w:fill="FFFFFF"/>
          <w:lang w:eastAsia="zh-CN"/>
        </w:rPr>
        <w:t xml:space="preserve">   </w:t>
      </w:r>
    </w:p>
  </w:footnote>
  <w:footnote w:id="108">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Style w:val="FootnoteReference"/>
          <w:rFonts w:eastAsiaTheme="minorEastAsia"/>
          <w:sz w:val="24"/>
          <w:u w:val="none"/>
          <w:vertAlign w:val="superscript"/>
          <w:lang w:eastAsia="zh-CN"/>
        </w:rPr>
        <w:t xml:space="preserve"> </w:t>
      </w:r>
      <w:r w:rsidRPr="00650F1F">
        <w:rPr>
          <w:rFonts w:eastAsiaTheme="minorEastAsia"/>
          <w:sz w:val="20"/>
          <w:szCs w:val="20"/>
          <w:vertAlign w:val="superscript"/>
          <w:lang w:eastAsia="zh-CN"/>
        </w:rPr>
        <w:tab/>
      </w:r>
      <w:r w:rsidRPr="00650F1F">
        <w:rPr>
          <w:rFonts w:eastAsiaTheme="minorEastAsia"/>
          <w:color w:val="212121"/>
          <w:sz w:val="20"/>
          <w:szCs w:val="20"/>
          <w:shd w:val="clear" w:color="auto" w:fill="FFFFFF"/>
          <w:lang w:eastAsia="zh-CN"/>
        </w:rPr>
        <w:t>爱知生物多样性目标</w:t>
      </w:r>
      <w:r w:rsidRPr="00650F1F">
        <w:rPr>
          <w:rFonts w:eastAsiaTheme="minorEastAsia"/>
          <w:color w:val="212121"/>
          <w:sz w:val="20"/>
          <w:szCs w:val="20"/>
          <w:shd w:val="clear" w:color="auto" w:fill="FFFFFF"/>
          <w:lang w:eastAsia="zh-CN"/>
        </w:rPr>
        <w:t>4</w:t>
      </w:r>
      <w:r w:rsidRPr="00650F1F">
        <w:rPr>
          <w:rFonts w:eastAsiaTheme="minorEastAsia"/>
          <w:color w:val="212121"/>
          <w:sz w:val="20"/>
          <w:szCs w:val="20"/>
          <w:shd w:val="clear" w:color="auto" w:fill="FFFFFF"/>
          <w:lang w:eastAsia="zh-CN"/>
        </w:rPr>
        <w:t>旨在实现或实施可持续生产和消费计划，到</w:t>
      </w:r>
      <w:r w:rsidRPr="00650F1F">
        <w:rPr>
          <w:rFonts w:eastAsiaTheme="minorEastAsia"/>
          <w:color w:val="212121"/>
          <w:sz w:val="20"/>
          <w:szCs w:val="20"/>
          <w:shd w:val="clear" w:color="auto" w:fill="FFFFFF"/>
          <w:lang w:eastAsia="zh-CN"/>
        </w:rPr>
        <w:t>2020</w:t>
      </w:r>
      <w:r w:rsidRPr="00650F1F">
        <w:rPr>
          <w:rFonts w:eastAsiaTheme="minorEastAsia"/>
          <w:color w:val="212121"/>
          <w:sz w:val="20"/>
          <w:szCs w:val="20"/>
          <w:shd w:val="clear" w:color="auto" w:fill="FFFFFF"/>
          <w:lang w:eastAsia="zh-CN"/>
        </w:rPr>
        <w:t>年将自然资源使用的影响保持在安全的生态限制范围内。目标</w:t>
      </w:r>
      <w:r w:rsidRPr="00650F1F">
        <w:rPr>
          <w:rFonts w:eastAsiaTheme="minorEastAsia"/>
          <w:color w:val="212121"/>
          <w:sz w:val="20"/>
          <w:szCs w:val="20"/>
          <w:shd w:val="clear" w:color="auto" w:fill="FFFFFF"/>
          <w:lang w:eastAsia="zh-CN"/>
        </w:rPr>
        <w:t>7</w:t>
      </w:r>
      <w:r w:rsidRPr="00650F1F">
        <w:rPr>
          <w:rFonts w:eastAsiaTheme="minorEastAsia"/>
          <w:color w:val="212121"/>
          <w:sz w:val="20"/>
          <w:szCs w:val="20"/>
          <w:shd w:val="clear" w:color="auto" w:fill="FFFFFF"/>
          <w:lang w:eastAsia="zh-CN"/>
        </w:rPr>
        <w:t>要求对农业、水产养殖和林业领域的可持续管理，确保目标</w:t>
      </w:r>
      <w:r w:rsidRPr="00650F1F">
        <w:rPr>
          <w:rFonts w:eastAsiaTheme="minorEastAsia"/>
          <w:color w:val="212121"/>
          <w:sz w:val="20"/>
          <w:szCs w:val="20"/>
          <w:shd w:val="clear" w:color="auto" w:fill="FFFFFF"/>
          <w:lang w:eastAsia="zh-CN"/>
        </w:rPr>
        <w:t>12</w:t>
      </w:r>
      <w:r w:rsidRPr="00650F1F">
        <w:rPr>
          <w:rFonts w:eastAsiaTheme="minorEastAsia"/>
          <w:color w:val="212121"/>
          <w:sz w:val="20"/>
          <w:szCs w:val="20"/>
          <w:shd w:val="clear" w:color="auto" w:fill="FFFFFF"/>
          <w:lang w:eastAsia="zh-CN"/>
        </w:rPr>
        <w:t>的最终目的是到</w:t>
      </w:r>
      <w:r w:rsidRPr="00650F1F">
        <w:rPr>
          <w:rFonts w:eastAsiaTheme="minorEastAsia"/>
          <w:color w:val="212121"/>
          <w:sz w:val="20"/>
          <w:szCs w:val="20"/>
          <w:shd w:val="clear" w:color="auto" w:fill="FFFFFF"/>
          <w:lang w:eastAsia="zh-CN"/>
        </w:rPr>
        <w:t>2020</w:t>
      </w:r>
      <w:r w:rsidRPr="00650F1F">
        <w:rPr>
          <w:rFonts w:eastAsiaTheme="minorEastAsia"/>
          <w:color w:val="212121"/>
          <w:sz w:val="20"/>
          <w:szCs w:val="20"/>
          <w:shd w:val="clear" w:color="auto" w:fill="FFFFFF"/>
          <w:lang w:eastAsia="zh-CN"/>
        </w:rPr>
        <w:t>年防止已知的受威胁物种的灭绝，特别是对于那些处于衰退状态的人来说，改善和保持其保护地位。目标</w:t>
      </w:r>
      <w:r w:rsidRPr="00650F1F">
        <w:rPr>
          <w:rFonts w:eastAsiaTheme="minorEastAsia"/>
          <w:color w:val="212121"/>
          <w:sz w:val="20"/>
          <w:szCs w:val="20"/>
          <w:shd w:val="clear" w:color="auto" w:fill="FFFFFF"/>
          <w:lang w:eastAsia="zh-CN"/>
        </w:rPr>
        <w:t>18</w:t>
      </w:r>
      <w:r w:rsidRPr="00650F1F">
        <w:rPr>
          <w:rFonts w:eastAsiaTheme="minorEastAsia"/>
          <w:color w:val="212121"/>
          <w:sz w:val="20"/>
          <w:szCs w:val="20"/>
          <w:shd w:val="clear" w:color="auto" w:fill="FFFFFF"/>
          <w:lang w:eastAsia="zh-CN"/>
        </w:rPr>
        <w:t>旨在促进传统知识和土著人民的充分参与和当地社区。</w:t>
      </w:r>
    </w:p>
  </w:footnote>
  <w:footnote w:id="109">
    <w:p w:rsidR="00594C0B" w:rsidRPr="00650F1F" w:rsidRDefault="00594C0B" w:rsidP="00650F1F">
      <w:pPr>
        <w:pStyle w:val="NormalWeb"/>
        <w:tabs>
          <w:tab w:val="left" w:pos="360"/>
        </w:tabs>
        <w:adjustRightInd w:val="0"/>
        <w:snapToGrid w:val="0"/>
        <w:spacing w:before="0" w:beforeAutospacing="0" w:after="60" w:afterAutospacing="0"/>
        <w:rPr>
          <w:rFonts w:ascii="Times New Roman" w:eastAsiaTheme="minorEastAsia" w:hAnsi="Times New Roman" w:cs="Times New Roman"/>
          <w:lang w:eastAsia="zh-CN"/>
        </w:rPr>
      </w:pPr>
      <w:r w:rsidRPr="00650F1F">
        <w:rPr>
          <w:rStyle w:val="FootnoteReference"/>
          <w:rFonts w:ascii="Times New Roman" w:eastAsiaTheme="minorEastAsia" w:hAnsi="Times New Roman"/>
          <w:sz w:val="24"/>
          <w:szCs w:val="20"/>
          <w:u w:val="none"/>
          <w:vertAlign w:val="superscript"/>
          <w:lang w:val="en-GB"/>
        </w:rPr>
        <w:footnoteRef/>
      </w:r>
      <w:r w:rsidRPr="00650F1F">
        <w:rPr>
          <w:rStyle w:val="FootnoteReference"/>
          <w:rFonts w:ascii="Times New Roman" w:eastAsiaTheme="minorEastAsia" w:hAnsi="Times New Roman"/>
          <w:sz w:val="24"/>
          <w:szCs w:val="20"/>
          <w:u w:val="none"/>
          <w:vertAlign w:val="superscript"/>
          <w:lang w:val="en-GB" w:eastAsia="zh-CN"/>
        </w:rPr>
        <w:t xml:space="preserve"> </w:t>
      </w:r>
      <w:r w:rsidRPr="00650F1F">
        <w:rPr>
          <w:rFonts w:ascii="Times New Roman" w:eastAsiaTheme="minorEastAsia" w:hAnsi="Times New Roman" w:cs="Times New Roman"/>
          <w:sz w:val="20"/>
          <w:szCs w:val="20"/>
          <w:lang w:eastAsia="zh-CN"/>
        </w:rPr>
        <w:tab/>
      </w:r>
      <w:r w:rsidRPr="00650F1F">
        <w:rPr>
          <w:rFonts w:ascii="Times New Roman" w:eastAsiaTheme="minorEastAsia" w:hAnsi="Times New Roman" w:cs="Times New Roman"/>
          <w:sz w:val="20"/>
          <w:szCs w:val="20"/>
          <w:lang w:eastAsia="zh-CN"/>
        </w:rPr>
        <w:t>特别是第</w:t>
      </w:r>
      <w:r w:rsidRPr="00650F1F">
        <w:rPr>
          <w:rFonts w:ascii="Times New Roman" w:eastAsiaTheme="minorEastAsia" w:hAnsi="Times New Roman" w:cs="Times New Roman"/>
          <w:sz w:val="20"/>
          <w:szCs w:val="20"/>
          <w:lang w:eastAsia="zh-CN"/>
        </w:rPr>
        <w:t>10</w:t>
      </w:r>
      <w:r w:rsidRPr="00650F1F">
        <w:rPr>
          <w:rFonts w:ascii="Times New Roman" w:eastAsiaTheme="minorEastAsia" w:hAnsi="Times New Roman" w:cs="Times New Roman"/>
          <w:sz w:val="20"/>
          <w:szCs w:val="20"/>
          <w:lang w:eastAsia="zh-CN"/>
        </w:rPr>
        <w:t>条（</w:t>
      </w:r>
      <w:hyperlink r:id="rId46" w:history="1">
        <w:r w:rsidRPr="00650F1F">
          <w:rPr>
            <w:rStyle w:val="Hyperlink"/>
            <w:rFonts w:ascii="Times New Roman" w:eastAsiaTheme="minorEastAsia" w:hAnsi="Times New Roman"/>
            <w:sz w:val="20"/>
            <w:szCs w:val="20"/>
            <w:lang w:eastAsia="zh-CN"/>
          </w:rPr>
          <w:t>生物多样性组成部分的持续利用</w:t>
        </w:r>
      </w:hyperlink>
      <w:r w:rsidRPr="00650F1F">
        <w:rPr>
          <w:rFonts w:ascii="Times New Roman" w:eastAsiaTheme="minorEastAsia" w:hAnsi="Times New Roman" w:cs="Times New Roman"/>
          <w:sz w:val="20"/>
          <w:szCs w:val="20"/>
          <w:lang w:eastAsia="zh-CN"/>
        </w:rPr>
        <w:t>），要求缔约放应尽可能并酌情：</w:t>
      </w:r>
      <w:r w:rsidRPr="00650F1F">
        <w:rPr>
          <w:rFonts w:ascii="Times New Roman" w:eastAsiaTheme="minorEastAsia" w:hAnsi="Times New Roman" w:cs="Times New Roman"/>
          <w:sz w:val="20"/>
          <w:szCs w:val="20"/>
          <w:lang w:eastAsia="zh-CN"/>
        </w:rPr>
        <w:t xml:space="preserve">(a) </w:t>
      </w:r>
      <w:r w:rsidRPr="00650F1F">
        <w:rPr>
          <w:rFonts w:ascii="Times New Roman" w:eastAsiaTheme="minorEastAsia" w:hAnsi="Times New Roman" w:cs="Times New Roman"/>
          <w:sz w:val="20"/>
          <w:szCs w:val="20"/>
          <w:lang w:eastAsia="zh-CN"/>
        </w:rPr>
        <w:t>在国家决策过程中考虑到生物资源的保护和持续利用；</w:t>
      </w:r>
      <w:r w:rsidRPr="00650F1F">
        <w:rPr>
          <w:rFonts w:ascii="Times New Roman" w:eastAsiaTheme="minorEastAsia" w:hAnsi="Times New Roman" w:cs="Times New Roman"/>
          <w:sz w:val="20"/>
          <w:szCs w:val="20"/>
          <w:lang w:eastAsia="zh-CN"/>
        </w:rPr>
        <w:t xml:space="preserve">(b) </w:t>
      </w:r>
      <w:r w:rsidRPr="00650F1F">
        <w:rPr>
          <w:rFonts w:ascii="Times New Roman" w:eastAsiaTheme="minorEastAsia" w:hAnsi="Times New Roman" w:cs="Times New Roman"/>
          <w:sz w:val="20"/>
          <w:szCs w:val="20"/>
          <w:lang w:eastAsia="zh-CN"/>
        </w:rPr>
        <w:t>采取有关利用生物资源的措施，以避免或尽量减少对生物多样性的不利影响；</w:t>
      </w:r>
      <w:r w:rsidRPr="00650F1F">
        <w:rPr>
          <w:rFonts w:ascii="Times New Roman" w:eastAsiaTheme="minorEastAsia" w:hAnsi="Times New Roman" w:cs="Times New Roman"/>
          <w:sz w:val="20"/>
          <w:szCs w:val="20"/>
          <w:lang w:eastAsia="zh-CN"/>
        </w:rPr>
        <w:t xml:space="preserve">(c) </w:t>
      </w:r>
      <w:r w:rsidRPr="00650F1F">
        <w:rPr>
          <w:rFonts w:ascii="Times New Roman" w:eastAsiaTheme="minorEastAsia" w:hAnsi="Times New Roman" w:cs="Times New Roman"/>
          <w:sz w:val="20"/>
          <w:szCs w:val="20"/>
          <w:lang w:eastAsia="zh-CN"/>
        </w:rPr>
        <w:t>保护并鼓励那些按照传统文化惯例而且符合保护或持续利用要求的生物资源习惯使用方式；</w:t>
      </w:r>
      <w:r w:rsidRPr="00650F1F">
        <w:rPr>
          <w:rFonts w:ascii="Times New Roman" w:eastAsiaTheme="minorEastAsia" w:hAnsi="Times New Roman" w:cs="Times New Roman"/>
          <w:sz w:val="20"/>
          <w:szCs w:val="20"/>
          <w:lang w:eastAsia="zh-CN"/>
        </w:rPr>
        <w:t xml:space="preserve">(d) </w:t>
      </w:r>
      <w:r w:rsidRPr="00650F1F">
        <w:rPr>
          <w:rFonts w:ascii="Times New Roman" w:eastAsiaTheme="minorEastAsia" w:hAnsi="Times New Roman" w:cs="Times New Roman"/>
          <w:sz w:val="20"/>
          <w:szCs w:val="20"/>
          <w:lang w:eastAsia="zh-CN"/>
        </w:rPr>
        <w:t>在生物多样性已减少的退化地区支助地方居民规划和实施补救行动；</w:t>
      </w:r>
      <w:r w:rsidRPr="00650F1F">
        <w:rPr>
          <w:rFonts w:ascii="Times New Roman" w:eastAsiaTheme="minorEastAsia" w:hAnsi="Times New Roman" w:cs="Times New Roman"/>
          <w:sz w:val="20"/>
          <w:szCs w:val="20"/>
          <w:lang w:eastAsia="zh-CN"/>
        </w:rPr>
        <w:t xml:space="preserve">(e) </w:t>
      </w:r>
      <w:r w:rsidRPr="00650F1F">
        <w:rPr>
          <w:rFonts w:ascii="Times New Roman" w:eastAsiaTheme="minorEastAsia" w:hAnsi="Times New Roman" w:cs="Times New Roman"/>
          <w:sz w:val="20"/>
          <w:szCs w:val="20"/>
          <w:lang w:eastAsia="zh-CN"/>
        </w:rPr>
        <w:t>鼓励其政府当局和私营部门合作制定生物资源持续利用的方法。</w:t>
      </w:r>
    </w:p>
  </w:footnote>
  <w:footnote w:id="110">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见联大</w:t>
      </w:r>
      <w:smartTag w:uri="urn:schemas-microsoft-com:office:smarttags" w:element="chsdate">
        <w:smartTagPr>
          <w:attr w:name="IsROCDate" w:val="False"/>
          <w:attr w:name="IsLunarDate" w:val="False"/>
          <w:attr w:name="Day" w:val="25"/>
          <w:attr w:name="Month" w:val="9"/>
          <w:attr w:name="Year" w:val="2015"/>
        </w:smartTagPr>
        <w:r w:rsidRPr="00650F1F">
          <w:rPr>
            <w:rFonts w:eastAsiaTheme="minorEastAsia"/>
            <w:sz w:val="20"/>
            <w:szCs w:val="20"/>
            <w:lang w:eastAsia="zh-CN"/>
          </w:rPr>
          <w:t>2015</w:t>
        </w:r>
        <w:r w:rsidRPr="00650F1F">
          <w:rPr>
            <w:rFonts w:eastAsiaTheme="minorEastAsia"/>
            <w:sz w:val="20"/>
            <w:szCs w:val="20"/>
            <w:lang w:eastAsia="zh-CN"/>
          </w:rPr>
          <w:t>年</w:t>
        </w:r>
        <w:r w:rsidRPr="00650F1F">
          <w:rPr>
            <w:rFonts w:eastAsiaTheme="minorEastAsia"/>
            <w:sz w:val="20"/>
            <w:szCs w:val="20"/>
            <w:lang w:eastAsia="zh-CN"/>
          </w:rPr>
          <w:t>9</w:t>
        </w:r>
        <w:r w:rsidRPr="00650F1F">
          <w:rPr>
            <w:rFonts w:eastAsiaTheme="minorEastAsia"/>
            <w:sz w:val="20"/>
            <w:szCs w:val="20"/>
            <w:lang w:eastAsia="zh-CN"/>
          </w:rPr>
          <w:t>月</w:t>
        </w:r>
        <w:r w:rsidRPr="00650F1F">
          <w:rPr>
            <w:rFonts w:eastAsiaTheme="minorEastAsia"/>
            <w:sz w:val="20"/>
            <w:szCs w:val="20"/>
            <w:lang w:eastAsia="zh-CN"/>
          </w:rPr>
          <w:t>25</w:t>
        </w:r>
        <w:r w:rsidRPr="00650F1F">
          <w:rPr>
            <w:rFonts w:eastAsiaTheme="minorEastAsia"/>
            <w:sz w:val="20"/>
            <w:szCs w:val="20"/>
            <w:lang w:eastAsia="zh-CN"/>
          </w:rPr>
          <w:t>日</w:t>
        </w:r>
      </w:smartTag>
      <w:r w:rsidRPr="00650F1F">
        <w:rPr>
          <w:rStyle w:val="Hyperlink"/>
          <w:rFonts w:eastAsiaTheme="minorEastAsia"/>
          <w:sz w:val="20"/>
          <w:szCs w:val="20"/>
          <w:lang w:eastAsia="zh-CN"/>
        </w:rPr>
        <w:t>第</w:t>
      </w:r>
      <w:hyperlink r:id="rId47" w:history="1">
        <w:r w:rsidRPr="00650F1F">
          <w:rPr>
            <w:rStyle w:val="Hyperlink"/>
            <w:rFonts w:eastAsiaTheme="minorEastAsia"/>
            <w:sz w:val="20"/>
            <w:szCs w:val="20"/>
            <w:lang w:eastAsia="zh-CN"/>
          </w:rPr>
          <w:t>70/1</w:t>
        </w:r>
      </w:hyperlink>
      <w:r w:rsidRPr="00650F1F">
        <w:rPr>
          <w:rStyle w:val="Hyperlink"/>
          <w:rFonts w:eastAsiaTheme="minorEastAsia"/>
          <w:sz w:val="20"/>
          <w:szCs w:val="20"/>
          <w:lang w:eastAsia="zh-CN"/>
        </w:rPr>
        <w:t>号决议</w:t>
      </w:r>
      <w:r w:rsidRPr="00650F1F">
        <w:rPr>
          <w:rFonts w:eastAsiaTheme="minorEastAsia"/>
          <w:sz w:val="20"/>
          <w:szCs w:val="20"/>
          <w:lang w:eastAsia="zh-CN"/>
        </w:rPr>
        <w:t>，题为</w:t>
      </w:r>
      <w:r w:rsidRPr="00650F1F">
        <w:rPr>
          <w:rFonts w:eastAsiaTheme="minorEastAsia"/>
          <w:snapToGrid w:val="0"/>
          <w:kern w:val="18"/>
          <w:sz w:val="20"/>
          <w:szCs w:val="20"/>
          <w:lang w:eastAsia="zh-CN"/>
        </w:rPr>
        <w:t>“</w:t>
      </w:r>
      <w:r w:rsidRPr="00650F1F">
        <w:rPr>
          <w:rStyle w:val="ng-binding"/>
          <w:rFonts w:eastAsiaTheme="minorEastAsia"/>
          <w:sz w:val="20"/>
          <w:szCs w:val="20"/>
          <w:lang w:eastAsia="zh-CN"/>
        </w:rPr>
        <w:t>变革我们的世界：</w:t>
      </w:r>
      <w:r w:rsidRPr="00650F1F">
        <w:rPr>
          <w:rStyle w:val="ng-binding"/>
          <w:rFonts w:eastAsiaTheme="minorEastAsia"/>
          <w:sz w:val="20"/>
          <w:szCs w:val="20"/>
          <w:lang w:eastAsia="zh-CN"/>
        </w:rPr>
        <w:t>2030</w:t>
      </w:r>
      <w:r w:rsidRPr="00650F1F">
        <w:rPr>
          <w:rStyle w:val="ng-binding"/>
          <w:rFonts w:eastAsiaTheme="minorEastAsia"/>
          <w:sz w:val="20"/>
          <w:szCs w:val="20"/>
          <w:lang w:eastAsia="zh-CN"/>
        </w:rPr>
        <w:t>年可持续发展议程</w:t>
      </w:r>
      <w:r w:rsidRPr="00650F1F">
        <w:rPr>
          <w:rFonts w:eastAsiaTheme="minorEastAsia"/>
          <w:snapToGrid w:val="0"/>
          <w:kern w:val="18"/>
          <w:sz w:val="20"/>
          <w:szCs w:val="20"/>
          <w:lang w:eastAsia="zh-CN"/>
        </w:rPr>
        <w:t>”</w:t>
      </w:r>
      <w:r w:rsidRPr="00650F1F">
        <w:rPr>
          <w:rFonts w:eastAsiaTheme="minorEastAsia"/>
          <w:sz w:val="20"/>
          <w:szCs w:val="20"/>
          <w:lang w:eastAsia="zh-CN"/>
        </w:rPr>
        <w:t>。</w:t>
      </w:r>
    </w:p>
  </w:footnote>
  <w:footnote w:id="111">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土地使用区应界定：</w:t>
      </w:r>
      <w:r w:rsidRPr="00650F1F">
        <w:rPr>
          <w:rFonts w:eastAsiaTheme="minorEastAsia"/>
          <w:sz w:val="20"/>
          <w:szCs w:val="20"/>
          <w:lang w:eastAsia="zh-CN"/>
        </w:rPr>
        <w:t xml:space="preserve">(a) </w:t>
      </w:r>
      <w:r w:rsidRPr="00650F1F">
        <w:rPr>
          <w:rFonts w:eastAsiaTheme="minorEastAsia"/>
          <w:sz w:val="20"/>
          <w:szCs w:val="20"/>
          <w:lang w:eastAsia="zh-CN"/>
        </w:rPr>
        <w:t>严禁狩猎的地区，以便让种群恢复和保护对于人类干扰非常敏感的物种的不受侵扰的生境；</w:t>
      </w:r>
      <w:r w:rsidRPr="00650F1F">
        <w:rPr>
          <w:rFonts w:eastAsiaTheme="minorEastAsia"/>
          <w:sz w:val="20"/>
          <w:szCs w:val="20"/>
          <w:lang w:eastAsia="zh-CN"/>
        </w:rPr>
        <w:t xml:space="preserve">(b) </w:t>
      </w:r>
      <w:r w:rsidRPr="00650F1F">
        <w:rPr>
          <w:rFonts w:eastAsiaTheme="minorEastAsia"/>
          <w:sz w:val="20"/>
          <w:szCs w:val="20"/>
          <w:lang w:eastAsia="zh-CN"/>
        </w:rPr>
        <w:t>通过许可证、执照等允许进行某种狩猎的地区；</w:t>
      </w:r>
      <w:r w:rsidRPr="00650F1F">
        <w:rPr>
          <w:rFonts w:eastAsiaTheme="minorEastAsia"/>
          <w:sz w:val="20"/>
          <w:szCs w:val="20"/>
          <w:lang w:eastAsia="zh-CN"/>
        </w:rPr>
        <w:t xml:space="preserve">(c) </w:t>
      </w:r>
      <w:r w:rsidRPr="00650F1F">
        <w:rPr>
          <w:rFonts w:eastAsiaTheme="minorEastAsia"/>
          <w:sz w:val="20"/>
          <w:szCs w:val="20"/>
          <w:lang w:eastAsia="zh-CN"/>
        </w:rPr>
        <w:t>狩猎受限较少的地区，受保护物种不在此列。</w:t>
      </w:r>
    </w:p>
  </w:footnote>
  <w:footnote w:id="112">
    <w:p w:rsidR="00594C0B" w:rsidRPr="00650F1F" w:rsidRDefault="00594C0B" w:rsidP="00650F1F">
      <w:pPr>
        <w:pStyle w:val="FootnoteText"/>
        <w:tabs>
          <w:tab w:val="left" w:pos="360"/>
        </w:tabs>
        <w:adjustRightInd w:val="0"/>
        <w:snapToGrid w:val="0"/>
        <w:spacing w:before="0"/>
        <w:ind w:firstLine="0"/>
        <w:jc w:val="left"/>
        <w:rPr>
          <w:rFonts w:eastAsiaTheme="minorEastAsia"/>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在这方面，</w:t>
      </w:r>
      <w:hyperlink r:id="rId48" w:history="1">
        <w:r w:rsidRPr="00650F1F">
          <w:rPr>
            <w:rStyle w:val="Hyperlink"/>
            <w:rFonts w:eastAsiaTheme="minorEastAsia"/>
            <w:sz w:val="20"/>
            <w:szCs w:val="20"/>
            <w:lang w:eastAsia="zh-CN"/>
          </w:rPr>
          <w:t>自然保护联盟最佳做法准则第</w:t>
        </w:r>
        <w:r w:rsidRPr="00650F1F">
          <w:rPr>
            <w:rStyle w:val="Hyperlink"/>
            <w:rFonts w:eastAsiaTheme="minorEastAsia"/>
            <w:sz w:val="20"/>
            <w:szCs w:val="20"/>
            <w:lang w:eastAsia="zh-CN"/>
          </w:rPr>
          <w:t>20</w:t>
        </w:r>
        <w:r w:rsidRPr="00650F1F">
          <w:rPr>
            <w:rStyle w:val="Hyperlink"/>
            <w:rFonts w:eastAsiaTheme="minorEastAsia"/>
            <w:sz w:val="20"/>
            <w:szCs w:val="20"/>
            <w:lang w:eastAsia="zh-CN"/>
          </w:rPr>
          <w:t>号</w:t>
        </w:r>
      </w:hyperlink>
      <w:r w:rsidRPr="00650F1F">
        <w:rPr>
          <w:rFonts w:eastAsiaTheme="minorEastAsia"/>
          <w:sz w:val="20"/>
          <w:szCs w:val="20"/>
          <w:lang w:eastAsia="zh-CN"/>
        </w:rPr>
        <w:t>可能有帮助。见：</w:t>
      </w:r>
      <w:hyperlink r:id="rId49" w:history="1">
        <w:r w:rsidRPr="00650F1F">
          <w:rPr>
            <w:rStyle w:val="Hyperlink"/>
            <w:rFonts w:eastAsiaTheme="minorEastAsia"/>
            <w:sz w:val="20"/>
            <w:szCs w:val="20"/>
            <w:lang w:eastAsia="zh-CN"/>
          </w:rPr>
          <w:t>https://www.iccaconsortium.org/index.php/2015/08/08/governance-for-the-conservation-of-nature/</w:t>
        </w:r>
      </w:hyperlink>
      <w:r w:rsidRPr="00650F1F">
        <w:rPr>
          <w:rFonts w:eastAsiaTheme="minorEastAsia"/>
          <w:bCs/>
          <w:iCs/>
          <w:snapToGrid w:val="0"/>
          <w:kern w:val="18"/>
          <w:sz w:val="20"/>
          <w:szCs w:val="20"/>
          <w:lang w:eastAsia="zh-CN" w:bidi="th-TH"/>
        </w:rPr>
        <w:t>。</w:t>
      </w:r>
    </w:p>
  </w:footnote>
  <w:footnote w:id="113">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t xml:space="preserve"> </w:t>
      </w:r>
      <w:r w:rsidRPr="00650F1F">
        <w:rPr>
          <w:rFonts w:eastAsiaTheme="minorEastAsia"/>
          <w:bCs/>
          <w:iCs/>
          <w:snapToGrid w:val="0"/>
          <w:kern w:val="18"/>
          <w:sz w:val="20"/>
          <w:szCs w:val="20"/>
          <w:lang w:eastAsia="zh-CN" w:bidi="th-TH"/>
        </w:rPr>
        <w:t>《生物多样性公约》有关于</w:t>
      </w:r>
      <w:r w:rsidRPr="00650F1F">
        <w:rPr>
          <w:rFonts w:eastAsiaTheme="minorEastAsia"/>
          <w:bCs/>
          <w:iCs/>
          <w:snapToGrid w:val="0"/>
          <w:kern w:val="18"/>
          <w:sz w:val="20"/>
          <w:szCs w:val="20"/>
          <w:lang w:eastAsia="zh-CN" w:bidi="th-TH"/>
        </w:rPr>
        <w:t>“</w:t>
      </w:r>
      <w:r w:rsidRPr="00650F1F">
        <w:rPr>
          <w:rFonts w:eastAsiaTheme="minorEastAsia"/>
          <w:bCs/>
          <w:iCs/>
          <w:snapToGrid w:val="0"/>
          <w:kern w:val="18"/>
          <w:sz w:val="20"/>
          <w:szCs w:val="20"/>
          <w:lang w:eastAsia="zh-CN" w:bidi="th-TH"/>
        </w:rPr>
        <w:t>土著和社区保护领地和地区</w:t>
      </w:r>
      <w:r w:rsidRPr="00650F1F">
        <w:rPr>
          <w:rFonts w:eastAsiaTheme="minorEastAsia"/>
          <w:bCs/>
          <w:iCs/>
          <w:snapToGrid w:val="0"/>
          <w:kern w:val="18"/>
          <w:sz w:val="20"/>
          <w:szCs w:val="20"/>
          <w:lang w:eastAsia="zh-CN" w:bidi="th-TH"/>
        </w:rPr>
        <w:t>”</w:t>
      </w:r>
      <w:r w:rsidRPr="00650F1F">
        <w:rPr>
          <w:rFonts w:eastAsiaTheme="minorEastAsia"/>
          <w:bCs/>
          <w:iCs/>
          <w:snapToGrid w:val="0"/>
          <w:kern w:val="18"/>
          <w:sz w:val="20"/>
          <w:szCs w:val="20"/>
          <w:lang w:eastAsia="zh-CN" w:bidi="th-TH"/>
        </w:rPr>
        <w:t>（又称土著人民和地方社区保护领地和地区）的决定。见：</w:t>
      </w:r>
      <w:hyperlink r:id="rId50" w:history="1">
        <w:r w:rsidRPr="00650F1F">
          <w:rPr>
            <w:rStyle w:val="Hyperlink"/>
            <w:rFonts w:eastAsiaTheme="minorEastAsia"/>
            <w:bCs/>
            <w:iCs/>
            <w:snapToGrid w:val="0"/>
            <w:kern w:val="18"/>
            <w:sz w:val="20"/>
            <w:szCs w:val="20"/>
            <w:lang w:eastAsia="ja-JP" w:bidi="th-TH"/>
          </w:rPr>
          <w:t>https://www.iccaconsortium.org/index.php/international-en/conservation-en/</w:t>
        </w:r>
      </w:hyperlink>
      <w:r w:rsidRPr="00650F1F">
        <w:rPr>
          <w:rFonts w:eastAsiaTheme="minorEastAsia"/>
          <w:bCs/>
          <w:iCs/>
          <w:snapToGrid w:val="0"/>
          <w:kern w:val="18"/>
          <w:sz w:val="20"/>
          <w:szCs w:val="20"/>
          <w:lang w:eastAsia="zh-CN" w:bidi="th-TH"/>
        </w:rPr>
        <w:t>。</w:t>
      </w:r>
    </w:p>
  </w:footnote>
  <w:footnote w:id="114">
    <w:p w:rsidR="00594C0B" w:rsidRPr="00650F1F" w:rsidRDefault="00594C0B" w:rsidP="0052581D">
      <w:pPr>
        <w:tabs>
          <w:tab w:val="left" w:pos="360"/>
        </w:tabs>
        <w:adjustRightInd w:val="0"/>
        <w:snapToGrid w:val="0"/>
        <w:spacing w:before="0" w:after="60"/>
        <w:ind w:firstLine="0"/>
        <w:rPr>
          <w:rFonts w:eastAsiaTheme="minorEastAsia"/>
          <w:lang w:eastAsia="zh-CN"/>
        </w:rPr>
      </w:pPr>
      <w:r w:rsidRPr="00650F1F">
        <w:rPr>
          <w:rStyle w:val="FootnoteReference"/>
          <w:rFonts w:eastAsiaTheme="minorEastAsia"/>
          <w:sz w:val="24"/>
          <w:szCs w:val="20"/>
          <w:u w:val="none"/>
          <w:vertAlign w:val="superscript"/>
          <w:lang w:val="en-GB"/>
        </w:rPr>
        <w:footnoteRef/>
      </w:r>
      <w:r w:rsidRPr="00650F1F">
        <w:rPr>
          <w:rStyle w:val="FootnoteReference"/>
          <w:rFonts w:eastAsiaTheme="minorEastAsia"/>
          <w:sz w:val="24"/>
          <w:u w:val="none"/>
          <w:vertAlign w:val="superscript"/>
          <w:lang w:val="en-GB" w:eastAsia="zh-CN"/>
        </w:rPr>
        <w:t xml:space="preserve"> </w:t>
      </w:r>
      <w:r w:rsidRPr="00650F1F">
        <w:rPr>
          <w:rFonts w:eastAsiaTheme="minorEastAsia"/>
          <w:bCs/>
          <w:iCs/>
          <w:snapToGrid w:val="0"/>
          <w:kern w:val="18"/>
          <w:sz w:val="20"/>
          <w:szCs w:val="20"/>
          <w:lang w:eastAsia="zh-CN" w:bidi="th-TH"/>
        </w:rPr>
        <w:tab/>
      </w:r>
      <w:r w:rsidRPr="00650F1F">
        <w:rPr>
          <w:rFonts w:eastAsiaTheme="minorEastAsia"/>
          <w:bCs/>
          <w:iCs/>
          <w:snapToGrid w:val="0"/>
          <w:kern w:val="18"/>
          <w:sz w:val="20"/>
          <w:szCs w:val="20"/>
          <w:lang w:eastAsia="zh-CN" w:bidi="th-TH"/>
        </w:rPr>
        <w:t>第</w:t>
      </w:r>
      <w:r w:rsidRPr="00650F1F">
        <w:rPr>
          <w:rFonts w:eastAsiaTheme="minorEastAsia"/>
          <w:bCs/>
          <w:iCs/>
          <w:snapToGrid w:val="0"/>
          <w:kern w:val="18"/>
          <w:sz w:val="20"/>
          <w:szCs w:val="20"/>
          <w:lang w:eastAsia="ja-JP" w:bidi="th-TH"/>
        </w:rPr>
        <w:t>VII/28</w:t>
      </w:r>
      <w:r w:rsidRPr="00650F1F">
        <w:rPr>
          <w:rFonts w:eastAsiaTheme="minorEastAsia"/>
          <w:bCs/>
          <w:iCs/>
          <w:snapToGrid w:val="0"/>
          <w:kern w:val="18"/>
          <w:sz w:val="20"/>
          <w:szCs w:val="20"/>
          <w:lang w:eastAsia="zh-CN" w:bidi="th-TH"/>
        </w:rPr>
        <w:t>号决定第</w:t>
      </w:r>
      <w:r w:rsidRPr="00650F1F">
        <w:rPr>
          <w:rFonts w:eastAsiaTheme="minorEastAsia"/>
          <w:bCs/>
          <w:iCs/>
          <w:snapToGrid w:val="0"/>
          <w:kern w:val="18"/>
          <w:sz w:val="20"/>
          <w:szCs w:val="20"/>
          <w:lang w:eastAsia="zh-CN" w:bidi="th-TH"/>
        </w:rPr>
        <w:t>22</w:t>
      </w:r>
      <w:r w:rsidRPr="00650F1F">
        <w:rPr>
          <w:rFonts w:eastAsiaTheme="minorEastAsia"/>
          <w:bCs/>
          <w:iCs/>
          <w:snapToGrid w:val="0"/>
          <w:kern w:val="18"/>
          <w:sz w:val="20"/>
          <w:szCs w:val="20"/>
          <w:lang w:eastAsia="zh-CN" w:bidi="th-TH"/>
        </w:rPr>
        <w:t>段：</w:t>
      </w:r>
      <w:r w:rsidRPr="00084B39">
        <w:rPr>
          <w:rFonts w:asciiTheme="minorEastAsia" w:eastAsiaTheme="minorEastAsia" w:hAnsiTheme="minorEastAsia"/>
          <w:bCs/>
          <w:iCs/>
          <w:snapToGrid w:val="0"/>
          <w:kern w:val="18"/>
          <w:sz w:val="20"/>
          <w:szCs w:val="20"/>
          <w:lang w:val="en-GB" w:eastAsia="zh-CN" w:bidi="th-TH"/>
        </w:rPr>
        <w:t>“</w:t>
      </w:r>
      <w:r w:rsidRPr="00650F1F">
        <w:rPr>
          <w:rFonts w:eastAsiaTheme="minorEastAsia"/>
          <w:bCs/>
          <w:iCs/>
          <w:snapToGrid w:val="0"/>
          <w:kern w:val="18"/>
          <w:sz w:val="20"/>
          <w:szCs w:val="20"/>
          <w:lang w:eastAsia="zh-CN" w:bidi="th-TH"/>
        </w:rPr>
        <w:t>回顾缔约方根据第</w:t>
      </w:r>
      <w:r w:rsidRPr="00650F1F">
        <w:rPr>
          <w:rFonts w:eastAsiaTheme="minorEastAsia"/>
          <w:bCs/>
          <w:iCs/>
          <w:snapToGrid w:val="0"/>
          <w:kern w:val="18"/>
          <w:sz w:val="20"/>
          <w:szCs w:val="20"/>
          <w:lang w:eastAsia="zh-CN" w:bidi="th-TH"/>
        </w:rPr>
        <w:t>8(j)</w:t>
      </w:r>
      <w:r w:rsidRPr="00650F1F">
        <w:rPr>
          <w:rFonts w:eastAsiaTheme="minorEastAsia"/>
          <w:bCs/>
          <w:iCs/>
          <w:snapToGrid w:val="0"/>
          <w:kern w:val="18"/>
          <w:sz w:val="20"/>
          <w:szCs w:val="20"/>
          <w:lang w:eastAsia="zh-CN" w:bidi="th-TH"/>
        </w:rPr>
        <w:t>条和相关条款对土著社区和地方社区承担的义务，并指出，保护区的建立、管理和监测应该有土著社区和地方社区的充分和切实参与，并充分尊重这些社区的权利，同时符合国家法律和适用的国际义务。</w:t>
      </w:r>
      <w:r w:rsidRPr="00084B39">
        <w:rPr>
          <w:rFonts w:asciiTheme="minorEastAsia" w:eastAsiaTheme="minorEastAsia" w:hAnsiTheme="minorEastAsia"/>
          <w:bCs/>
          <w:iCs/>
          <w:snapToGrid w:val="0"/>
          <w:kern w:val="18"/>
          <w:sz w:val="20"/>
          <w:szCs w:val="20"/>
          <w:lang w:val="en-GB" w:eastAsia="zh-CN" w:bidi="th-TH"/>
        </w:rPr>
        <w:t>”</w:t>
      </w:r>
    </w:p>
  </w:footnote>
  <w:footnote w:id="115">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650F1F">
        <w:rPr>
          <w:rStyle w:val="FootnoteReference"/>
          <w:rFonts w:eastAsiaTheme="minorEastAsia"/>
          <w:sz w:val="24"/>
          <w:szCs w:val="20"/>
          <w:u w:val="none"/>
          <w:vertAlign w:val="superscript"/>
        </w:rPr>
        <w:footnoteRef/>
      </w:r>
      <w:r w:rsidRPr="00650F1F">
        <w:rPr>
          <w:rFonts w:eastAsiaTheme="minorEastAsia"/>
          <w:sz w:val="20"/>
          <w:szCs w:val="20"/>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例如森林认证机制认可方案</w:t>
      </w:r>
      <w:r w:rsidRPr="00650F1F">
        <w:rPr>
          <w:rFonts w:eastAsiaTheme="minorEastAsia"/>
          <w:bCs/>
          <w:iCs/>
          <w:snapToGrid w:val="0"/>
          <w:color w:val="000000"/>
          <w:kern w:val="22"/>
          <w:sz w:val="20"/>
          <w:szCs w:val="20"/>
          <w:lang w:eastAsia="zh-CN" w:bidi="th-TH"/>
        </w:rPr>
        <w:t>和森林管理理事会。</w:t>
      </w:r>
    </w:p>
  </w:footnote>
  <w:footnote w:id="116">
    <w:p w:rsidR="00594C0B" w:rsidRPr="00650F1F" w:rsidRDefault="00594C0B" w:rsidP="00650F1F">
      <w:pPr>
        <w:pStyle w:val="FootnoteText"/>
        <w:tabs>
          <w:tab w:val="left" w:pos="360"/>
          <w:tab w:val="left" w:pos="720"/>
        </w:tabs>
        <w:adjustRightInd w:val="0"/>
        <w:snapToGrid w:val="0"/>
        <w:spacing w:before="0"/>
        <w:ind w:firstLine="0"/>
        <w:rPr>
          <w:rFonts w:eastAsiaTheme="minorEastAsia"/>
          <w:lang w:eastAsia="zh-CN"/>
        </w:rPr>
      </w:pPr>
      <w:r w:rsidRPr="00650F1F">
        <w:rPr>
          <w:rStyle w:val="FootnoteReference"/>
          <w:rFonts w:eastAsiaTheme="minorEastAsia"/>
          <w:sz w:val="24"/>
          <w:szCs w:val="20"/>
          <w:u w:val="none"/>
          <w:vertAlign w:val="superscript"/>
        </w:rPr>
        <w:footnoteRef/>
      </w:r>
      <w:r w:rsidRPr="00650F1F">
        <w:rPr>
          <w:rFonts w:eastAsiaTheme="minorEastAsia"/>
          <w:sz w:val="20"/>
          <w:szCs w:val="20"/>
          <w:lang w:eastAsia="zh-CN"/>
        </w:rPr>
        <w:tab/>
      </w:r>
      <w:r w:rsidRPr="00650F1F">
        <w:rPr>
          <w:rFonts w:eastAsiaTheme="minorEastAsia"/>
          <w:sz w:val="20"/>
          <w:szCs w:val="20"/>
          <w:lang w:eastAsia="zh-CN"/>
        </w:rPr>
        <w:t>这可能是实际价格或影子价格（即不存在市场价格的货物或服务的估计价格）。</w:t>
      </w:r>
    </w:p>
  </w:footnote>
  <w:footnote w:id="117">
    <w:p w:rsidR="00594C0B" w:rsidRPr="00650F1F" w:rsidRDefault="00594C0B" w:rsidP="00650F1F">
      <w:pPr>
        <w:pStyle w:val="FootnoteText"/>
        <w:tabs>
          <w:tab w:val="left" w:pos="360"/>
          <w:tab w:val="left" w:pos="720"/>
        </w:tabs>
        <w:adjustRightInd w:val="0"/>
        <w:snapToGrid w:val="0"/>
        <w:spacing w:before="0"/>
        <w:ind w:firstLine="0"/>
        <w:rPr>
          <w:rFonts w:eastAsiaTheme="minorEastAsia"/>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这需要大大改善项目监测和报告。制定和实施适当监测和评价框架应成为捐助方或政府提供资金的前提。</w:t>
      </w:r>
    </w:p>
  </w:footnote>
  <w:footnote w:id="118">
    <w:p w:rsidR="00594C0B" w:rsidRPr="00650F1F" w:rsidRDefault="00594C0B" w:rsidP="00650F1F">
      <w:pPr>
        <w:pStyle w:val="FootnoteText"/>
        <w:tabs>
          <w:tab w:val="left" w:pos="360"/>
          <w:tab w:val="left" w:pos="720"/>
        </w:tabs>
        <w:adjustRightInd w:val="0"/>
        <w:snapToGrid w:val="0"/>
        <w:spacing w:before="0"/>
        <w:ind w:firstLine="0"/>
        <w:rPr>
          <w:rFonts w:eastAsiaTheme="minorEastAsia"/>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例如《生物多样性公约》《</w:t>
      </w:r>
      <w:r w:rsidRPr="00650F1F">
        <w:rPr>
          <w:rFonts w:eastAsiaTheme="minorEastAsia"/>
          <w:sz w:val="20"/>
          <w:szCs w:val="20"/>
          <w:lang w:val="zh-CN" w:eastAsia="zh-CN"/>
        </w:rPr>
        <w:t>濒危物种公约》和《养护野生动物移栖物种公约》。</w:t>
      </w:r>
    </w:p>
  </w:footnote>
  <w:footnote w:id="119">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Style w:val="FootnoteReference"/>
          <w:rFonts w:eastAsiaTheme="minorEastAsia"/>
          <w:sz w:val="24"/>
          <w:u w:val="none"/>
          <w:vertAlign w:val="superscript"/>
          <w:lang w:eastAsia="zh-CN"/>
        </w:rPr>
        <w:tab/>
      </w:r>
      <w:r w:rsidRPr="00650F1F">
        <w:rPr>
          <w:rFonts w:eastAsiaTheme="minorEastAsia"/>
          <w:sz w:val="20"/>
          <w:szCs w:val="20"/>
          <w:lang w:eastAsia="zh-CN"/>
        </w:rPr>
        <w:t xml:space="preserve"> </w:t>
      </w:r>
      <w:r w:rsidRPr="00650F1F">
        <w:rPr>
          <w:rFonts w:eastAsiaTheme="minorEastAsia"/>
          <w:sz w:val="20"/>
          <w:szCs w:val="20"/>
          <w:lang w:eastAsia="zh-CN"/>
        </w:rPr>
        <w:t>濒危物种公约缔约方大会第十七届会议（</w:t>
      </w:r>
      <w:r w:rsidRPr="00650F1F">
        <w:rPr>
          <w:rFonts w:eastAsiaTheme="minorEastAsia"/>
          <w:bCs/>
          <w:iCs/>
          <w:sz w:val="20"/>
          <w:szCs w:val="20"/>
          <w:lang w:eastAsia="zh-CN"/>
        </w:rPr>
        <w:t>Conf. 13.11</w:t>
      </w:r>
      <w:r w:rsidRPr="00650F1F">
        <w:rPr>
          <w:rFonts w:eastAsiaTheme="minorEastAsia"/>
          <w:bCs/>
          <w:iCs/>
          <w:sz w:val="20"/>
          <w:szCs w:val="20"/>
          <w:lang w:eastAsia="zh-CN"/>
        </w:rPr>
        <w:t>）以及生物多样性公约缔约方大会</w:t>
      </w:r>
      <w:r w:rsidRPr="00650F1F">
        <w:rPr>
          <w:rStyle w:val="Hyperlink"/>
          <w:rFonts w:eastAsiaTheme="minorEastAsia"/>
          <w:bCs/>
          <w:iCs/>
          <w:sz w:val="20"/>
          <w:szCs w:val="20"/>
          <w:lang w:eastAsia="zh-CN"/>
        </w:rPr>
        <w:t>第</w:t>
      </w:r>
      <w:hyperlink r:id="rId51" w:history="1">
        <w:r w:rsidRPr="00650F1F">
          <w:rPr>
            <w:rStyle w:val="Hyperlink"/>
            <w:rFonts w:eastAsiaTheme="minorEastAsia"/>
            <w:bCs/>
            <w:iCs/>
            <w:sz w:val="20"/>
            <w:szCs w:val="20"/>
            <w:lang w:eastAsia="zh-CN"/>
          </w:rPr>
          <w:t>XI/25</w:t>
        </w:r>
      </w:hyperlink>
      <w:r w:rsidRPr="00650F1F">
        <w:rPr>
          <w:rStyle w:val="Hyperlink"/>
          <w:rFonts w:eastAsiaTheme="minorEastAsia"/>
          <w:bCs/>
          <w:iCs/>
          <w:sz w:val="20"/>
          <w:szCs w:val="20"/>
          <w:lang w:eastAsia="zh-CN"/>
        </w:rPr>
        <w:t>号决定</w:t>
      </w:r>
      <w:r w:rsidRPr="00650F1F">
        <w:rPr>
          <w:rFonts w:eastAsiaTheme="minorEastAsia"/>
          <w:bCs/>
          <w:iCs/>
          <w:lang w:eastAsia="zh-CN"/>
        </w:rPr>
        <w:t>。</w:t>
      </w:r>
    </w:p>
  </w:footnote>
  <w:footnote w:id="120">
    <w:p w:rsidR="00594C0B" w:rsidRPr="00650F1F" w:rsidRDefault="00594C0B" w:rsidP="00650F1F">
      <w:pPr>
        <w:pStyle w:val="FootnoteText"/>
        <w:tabs>
          <w:tab w:val="left" w:pos="360"/>
        </w:tabs>
        <w:spacing w:before="0"/>
        <w:ind w:firstLine="0"/>
        <w:rPr>
          <w:rFonts w:eastAsiaTheme="minorEastAsia"/>
          <w:sz w:val="20"/>
          <w:szCs w:val="20"/>
          <w:lang w:eastAsia="zh-CN"/>
        </w:rPr>
      </w:pPr>
      <w:r w:rsidRPr="0052581D">
        <w:rPr>
          <w:rStyle w:val="FootnoteReference"/>
          <w:rFonts w:eastAsiaTheme="minorEastAsia"/>
          <w:sz w:val="24"/>
          <w:szCs w:val="20"/>
          <w:u w:val="none"/>
          <w:vertAlign w:val="superscript"/>
          <w:lang w:eastAsia="zh-CN"/>
        </w:rPr>
        <w:footnoteRef/>
      </w:r>
      <w:r w:rsidRPr="0052581D">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如《生物多样性公约》第</w:t>
      </w:r>
      <w:r w:rsidRPr="00650F1F">
        <w:rPr>
          <w:rFonts w:eastAsiaTheme="minorEastAsia"/>
          <w:sz w:val="20"/>
          <w:szCs w:val="20"/>
          <w:lang w:eastAsia="zh-CN"/>
        </w:rPr>
        <w:t>2</w:t>
      </w:r>
      <w:r w:rsidRPr="00650F1F">
        <w:rPr>
          <w:rFonts w:eastAsiaTheme="minorEastAsia"/>
          <w:sz w:val="20"/>
          <w:szCs w:val="20"/>
          <w:lang w:eastAsia="zh-CN"/>
        </w:rPr>
        <w:t>条所定义，并按《公约》所规定。</w:t>
      </w:r>
    </w:p>
  </w:footnote>
  <w:footnote w:id="121">
    <w:p w:rsidR="00594C0B" w:rsidRPr="00650F1F" w:rsidRDefault="00594C0B" w:rsidP="00650F1F">
      <w:pPr>
        <w:pStyle w:val="FootnoteText"/>
        <w:suppressLineNumbers/>
        <w:tabs>
          <w:tab w:val="left" w:pos="360"/>
        </w:tabs>
        <w:suppressAutoHyphens/>
        <w:kinsoku w:val="0"/>
        <w:overflowPunct w:val="0"/>
        <w:autoSpaceDE w:val="0"/>
        <w:autoSpaceDN w:val="0"/>
        <w:adjustRightInd w:val="0"/>
        <w:snapToGrid w:val="0"/>
        <w:spacing w:before="0"/>
        <w:ind w:firstLine="0"/>
        <w:jc w:val="left"/>
        <w:rPr>
          <w:rFonts w:eastAsiaTheme="minorEastAsia"/>
          <w:sz w:val="20"/>
          <w:szCs w:val="20"/>
          <w:lang w:eastAsia="zh-CN"/>
        </w:rPr>
      </w:pPr>
      <w:r w:rsidRPr="0052581D">
        <w:rPr>
          <w:rStyle w:val="FootnoteReference"/>
          <w:rFonts w:eastAsiaTheme="minorEastAsia"/>
          <w:sz w:val="24"/>
          <w:szCs w:val="20"/>
          <w:u w:val="none"/>
          <w:vertAlign w:val="superscript"/>
          <w:lang w:eastAsia="zh-CN"/>
        </w:rPr>
        <w:footnoteRef/>
      </w:r>
      <w:r w:rsidRPr="0052581D">
        <w:rPr>
          <w:rStyle w:val="FootnoteReference"/>
          <w:rFonts w:eastAsiaTheme="minorEastAsia"/>
          <w:sz w:val="24"/>
          <w:szCs w:val="20"/>
          <w:u w:val="none"/>
          <w:vertAlign w:val="superscript"/>
          <w:lang w:eastAsia="zh-CN"/>
        </w:rPr>
        <w:t xml:space="preserve"> </w:t>
      </w:r>
      <w:r w:rsidRPr="00650F1F">
        <w:rPr>
          <w:rFonts w:eastAsiaTheme="minorEastAsia"/>
          <w:snapToGrid w:val="0"/>
          <w:spacing w:val="-3"/>
          <w:kern w:val="18"/>
          <w:sz w:val="20"/>
          <w:szCs w:val="20"/>
          <w:lang w:eastAsia="zh-CN"/>
        </w:rPr>
        <w:tab/>
      </w:r>
      <w:r w:rsidRPr="00650F1F">
        <w:rPr>
          <w:rFonts w:eastAsiaTheme="minorEastAsia"/>
          <w:snapToGrid w:val="0"/>
          <w:spacing w:val="-3"/>
          <w:kern w:val="18"/>
          <w:sz w:val="20"/>
          <w:szCs w:val="20"/>
          <w:lang w:eastAsia="zh-CN"/>
        </w:rPr>
        <w:t>人权理事会</w:t>
      </w:r>
      <w:r w:rsidRPr="00650F1F">
        <w:rPr>
          <w:rFonts w:eastAsiaTheme="minorEastAsia"/>
          <w:color w:val="000000"/>
          <w:sz w:val="20"/>
          <w:szCs w:val="20"/>
          <w:lang w:eastAsia="zh-CN"/>
        </w:rPr>
        <w:t>土著人民权利问题特别报告员维多利亚</w:t>
      </w:r>
      <w:r w:rsidRPr="00650F1F">
        <w:rPr>
          <w:rFonts w:eastAsiaTheme="minorEastAsia"/>
          <w:sz w:val="20"/>
          <w:szCs w:val="20"/>
          <w:lang w:eastAsia="zh-CN"/>
        </w:rPr>
        <w:t>·</w:t>
      </w:r>
      <w:r w:rsidRPr="00650F1F">
        <w:rPr>
          <w:rFonts w:eastAsiaTheme="minorEastAsia"/>
          <w:color w:val="000000"/>
          <w:sz w:val="20"/>
          <w:szCs w:val="20"/>
          <w:lang w:eastAsia="zh-CN"/>
        </w:rPr>
        <w:t>陶利</w:t>
      </w:r>
      <w:r w:rsidRPr="00650F1F">
        <w:rPr>
          <w:rFonts w:eastAsiaTheme="minorEastAsia"/>
          <w:color w:val="000000"/>
          <w:sz w:val="20"/>
          <w:szCs w:val="20"/>
          <w:lang w:eastAsia="zh-CN"/>
        </w:rPr>
        <w:t>-</w:t>
      </w:r>
      <w:r w:rsidRPr="00650F1F">
        <w:rPr>
          <w:rFonts w:eastAsiaTheme="minorEastAsia"/>
          <w:color w:val="000000"/>
          <w:sz w:val="20"/>
          <w:szCs w:val="20"/>
          <w:lang w:eastAsia="zh-CN"/>
        </w:rPr>
        <w:t>科尔普斯的报告（</w:t>
      </w:r>
      <w:hyperlink r:id="rId52" w:history="1">
        <w:r w:rsidRPr="00650F1F">
          <w:rPr>
            <w:rStyle w:val="Hyperlink"/>
            <w:rFonts w:eastAsiaTheme="minorEastAsia"/>
            <w:snapToGrid w:val="0"/>
            <w:spacing w:val="-3"/>
            <w:kern w:val="18"/>
            <w:sz w:val="20"/>
            <w:szCs w:val="20"/>
            <w:lang w:eastAsia="zh-CN"/>
          </w:rPr>
          <w:t>A/71/229</w:t>
        </w:r>
      </w:hyperlink>
      <w:r w:rsidRPr="00650F1F">
        <w:rPr>
          <w:rFonts w:eastAsiaTheme="minorEastAsia"/>
          <w:snapToGrid w:val="0"/>
          <w:spacing w:val="-3"/>
          <w:kern w:val="18"/>
          <w:sz w:val="20"/>
          <w:szCs w:val="20"/>
          <w:lang w:eastAsia="zh-CN"/>
        </w:rPr>
        <w:t>）</w:t>
      </w:r>
      <w:r w:rsidRPr="00650F1F">
        <w:rPr>
          <w:rFonts w:eastAsiaTheme="minorEastAsia"/>
          <w:snapToGrid w:val="0"/>
          <w:kern w:val="18"/>
          <w:sz w:val="20"/>
          <w:szCs w:val="20"/>
          <w:lang w:eastAsia="zh-CN"/>
        </w:rPr>
        <w:t>。</w:t>
      </w:r>
    </w:p>
  </w:footnote>
  <w:footnote w:id="122">
    <w:p w:rsidR="00594C0B" w:rsidRPr="00650F1F" w:rsidRDefault="00594C0B" w:rsidP="00650F1F">
      <w:pPr>
        <w:pStyle w:val="FootnoteText"/>
        <w:tabs>
          <w:tab w:val="left" w:pos="360"/>
        </w:tabs>
        <w:spacing w:before="0"/>
        <w:ind w:firstLine="0"/>
        <w:rPr>
          <w:rFonts w:eastAsiaTheme="minorEastAsia"/>
          <w:lang w:eastAsia="zh-CN"/>
        </w:rPr>
      </w:pPr>
      <w:r w:rsidRPr="0052581D">
        <w:rPr>
          <w:rStyle w:val="FootnoteReference"/>
          <w:rFonts w:eastAsiaTheme="minorEastAsia"/>
          <w:sz w:val="24"/>
          <w:szCs w:val="20"/>
          <w:u w:val="none"/>
          <w:vertAlign w:val="superscript"/>
          <w:lang w:eastAsia="zh-CN"/>
        </w:rPr>
        <w:footnoteRef/>
      </w:r>
      <w:r w:rsidRPr="0052581D">
        <w:rPr>
          <w:rStyle w:val="FootnoteReference"/>
          <w:rFonts w:eastAsiaTheme="minorEastAsia"/>
          <w:sz w:val="24"/>
          <w:u w:val="none"/>
          <w:vertAlign w:val="superscript"/>
          <w:lang w:eastAsia="zh-CN"/>
        </w:rPr>
        <w:t xml:space="preserve"> </w:t>
      </w:r>
      <w:r w:rsidRPr="00650F1F">
        <w:rPr>
          <w:rFonts w:eastAsiaTheme="minorEastAsia"/>
          <w:snapToGrid w:val="0"/>
          <w:kern w:val="18"/>
          <w:sz w:val="20"/>
          <w:szCs w:val="20"/>
          <w:lang w:eastAsia="zh-CN"/>
        </w:rPr>
        <w:t xml:space="preserve">  </w:t>
      </w:r>
      <w:r w:rsidRPr="00650F1F">
        <w:rPr>
          <w:rFonts w:eastAsiaTheme="minorEastAsia"/>
          <w:snapToGrid w:val="0"/>
          <w:kern w:val="18"/>
          <w:sz w:val="20"/>
          <w:szCs w:val="20"/>
          <w:lang w:eastAsia="zh-CN"/>
        </w:rPr>
        <w:t>人权理事会</w:t>
      </w:r>
      <w:r w:rsidRPr="00650F1F">
        <w:rPr>
          <w:rFonts w:eastAsiaTheme="minorEastAsia"/>
          <w:color w:val="000000"/>
          <w:sz w:val="20"/>
          <w:szCs w:val="20"/>
          <w:lang w:eastAsia="zh-CN"/>
        </w:rPr>
        <w:t>与享有安全、清洁、卫生和可持续环境有关的人权义务问题的特别报告员</w:t>
      </w:r>
      <w:r w:rsidRPr="00650F1F">
        <w:rPr>
          <w:rFonts w:eastAsiaTheme="minorEastAsia"/>
          <w:sz w:val="20"/>
          <w:szCs w:val="20"/>
          <w:lang w:eastAsia="zh-CN"/>
        </w:rPr>
        <w:t>约翰</w:t>
      </w:r>
      <w:r w:rsidRPr="00650F1F">
        <w:rPr>
          <w:rFonts w:eastAsiaTheme="minorEastAsia"/>
          <w:sz w:val="20"/>
          <w:szCs w:val="20"/>
          <w:lang w:eastAsia="zh-CN"/>
        </w:rPr>
        <w:t>·</w:t>
      </w:r>
      <w:r w:rsidRPr="00650F1F">
        <w:rPr>
          <w:rFonts w:eastAsiaTheme="minorEastAsia"/>
          <w:sz w:val="20"/>
          <w:szCs w:val="20"/>
          <w:lang w:eastAsia="zh-CN"/>
        </w:rPr>
        <w:t>诺克斯</w:t>
      </w:r>
      <w:r w:rsidRPr="00650F1F">
        <w:rPr>
          <w:rFonts w:eastAsiaTheme="minorEastAsia"/>
          <w:snapToGrid w:val="0"/>
          <w:kern w:val="18"/>
          <w:sz w:val="20"/>
          <w:szCs w:val="20"/>
          <w:lang w:eastAsia="zh-CN"/>
        </w:rPr>
        <w:t>的报告（</w:t>
      </w:r>
      <w:hyperlink r:id="rId53" w:history="1">
        <w:r w:rsidRPr="00650F1F">
          <w:rPr>
            <w:rStyle w:val="Hyperlink"/>
            <w:rFonts w:eastAsiaTheme="minorEastAsia"/>
            <w:snapToGrid w:val="0"/>
            <w:kern w:val="18"/>
            <w:sz w:val="20"/>
            <w:szCs w:val="20"/>
            <w:lang w:eastAsia="zh-CN"/>
          </w:rPr>
          <w:t>A/HRC/34/49</w:t>
        </w:r>
      </w:hyperlink>
      <w:r w:rsidRPr="00650F1F">
        <w:rPr>
          <w:rFonts w:eastAsiaTheme="minorEastAsia"/>
          <w:snapToGrid w:val="0"/>
          <w:kern w:val="18"/>
          <w:sz w:val="20"/>
          <w:szCs w:val="20"/>
          <w:lang w:eastAsia="zh-CN"/>
        </w:rPr>
        <w:t>）。</w:t>
      </w:r>
    </w:p>
  </w:footnote>
  <w:footnote w:id="123">
    <w:p w:rsidR="00594C0B" w:rsidRPr="00650F1F" w:rsidRDefault="00594C0B" w:rsidP="00166D58">
      <w:pPr>
        <w:pStyle w:val="FootnoteText"/>
        <w:tabs>
          <w:tab w:val="left" w:pos="360"/>
        </w:tabs>
        <w:spacing w:before="0"/>
        <w:ind w:firstLine="0"/>
        <w:rPr>
          <w:rFonts w:eastAsiaTheme="minorEastAsia"/>
          <w:sz w:val="20"/>
          <w:szCs w:val="20"/>
          <w:lang w:eastAsia="zh-CN"/>
        </w:rPr>
      </w:pPr>
      <w:r w:rsidRPr="0052581D">
        <w:rPr>
          <w:rStyle w:val="FootnoteReference"/>
          <w:rFonts w:eastAsiaTheme="minorEastAsia"/>
          <w:sz w:val="24"/>
          <w:szCs w:val="20"/>
          <w:u w:val="none"/>
          <w:vertAlign w:val="superscript"/>
          <w:lang w:eastAsia="en-GB"/>
        </w:rPr>
        <w:footnoteRef/>
      </w:r>
      <w:r w:rsidRPr="0052581D">
        <w:rPr>
          <w:rStyle w:val="FootnoteReference"/>
          <w:rFonts w:eastAsiaTheme="minorEastAsia"/>
          <w:sz w:val="24"/>
          <w:szCs w:val="20"/>
          <w:u w:val="none"/>
          <w:vertAlign w:val="superscript"/>
          <w:lang w:eastAsia="zh-CN"/>
        </w:rPr>
        <w:t xml:space="preserve"> </w:t>
      </w:r>
      <w:r w:rsidRPr="00650F1F">
        <w:rPr>
          <w:rFonts w:eastAsiaTheme="minorEastAsia"/>
          <w:snapToGrid w:val="0"/>
          <w:kern w:val="18"/>
          <w:sz w:val="20"/>
          <w:szCs w:val="20"/>
          <w:lang w:eastAsia="zh-CN"/>
        </w:rPr>
        <w:tab/>
        <w:t xml:space="preserve">Hadded, N.M. </w:t>
      </w:r>
      <w:r w:rsidRPr="00650F1F">
        <w:rPr>
          <w:rFonts w:eastAsiaTheme="minorEastAsia"/>
          <w:snapToGrid w:val="0"/>
          <w:kern w:val="18"/>
          <w:sz w:val="20"/>
          <w:szCs w:val="20"/>
          <w:lang w:eastAsia="zh-CN"/>
        </w:rPr>
        <w:t>等，</w:t>
      </w:r>
      <w:r w:rsidRPr="00650F1F">
        <w:rPr>
          <w:rFonts w:eastAsiaTheme="minorEastAsia"/>
          <w:snapToGrid w:val="0"/>
          <w:kern w:val="18"/>
          <w:sz w:val="20"/>
          <w:szCs w:val="20"/>
          <w:lang w:eastAsia="zh-CN"/>
        </w:rPr>
        <w:t>2015</w:t>
      </w:r>
      <w:r w:rsidRPr="00650F1F">
        <w:rPr>
          <w:rFonts w:eastAsiaTheme="minorEastAsia"/>
          <w:snapToGrid w:val="0"/>
          <w:kern w:val="18"/>
          <w:sz w:val="20"/>
          <w:szCs w:val="20"/>
          <w:lang w:eastAsia="zh-CN"/>
        </w:rPr>
        <w:t>年，</w:t>
      </w:r>
      <w:r w:rsidRPr="0052581D">
        <w:rPr>
          <w:rFonts w:asciiTheme="minorEastAsia" w:eastAsiaTheme="minorEastAsia" w:hAnsiTheme="minorEastAsia"/>
          <w:snapToGrid w:val="0"/>
          <w:kern w:val="18"/>
          <w:sz w:val="20"/>
          <w:szCs w:val="20"/>
          <w:lang w:eastAsia="zh-CN"/>
        </w:rPr>
        <w:t>“生境破碎化及其对地球生态系统的长久影响”</w:t>
      </w:r>
      <w:r w:rsidRPr="00650F1F">
        <w:rPr>
          <w:rFonts w:eastAsiaTheme="minorEastAsia"/>
          <w:snapToGrid w:val="0"/>
          <w:kern w:val="18"/>
          <w:sz w:val="20"/>
          <w:szCs w:val="20"/>
          <w:lang w:eastAsia="zh-CN"/>
        </w:rPr>
        <w:t>，《科学进展》：</w:t>
      </w:r>
      <w:r w:rsidRPr="00650F1F">
        <w:rPr>
          <w:rFonts w:eastAsiaTheme="minorEastAsia"/>
          <w:snapToGrid w:val="0"/>
          <w:kern w:val="18"/>
          <w:sz w:val="20"/>
          <w:szCs w:val="20"/>
          <w:lang w:eastAsia="zh-CN"/>
        </w:rPr>
        <w:t>1(2)</w:t>
      </w:r>
      <w:r w:rsidRPr="00650F1F">
        <w:rPr>
          <w:rFonts w:eastAsiaTheme="minorEastAsia"/>
          <w:snapToGrid w:val="0"/>
          <w:kern w:val="18"/>
          <w:sz w:val="20"/>
          <w:szCs w:val="20"/>
          <w:lang w:eastAsia="zh-CN"/>
        </w:rPr>
        <w:t>：</w:t>
      </w:r>
      <w:r w:rsidRPr="00650F1F">
        <w:rPr>
          <w:rFonts w:eastAsiaTheme="minorEastAsia"/>
          <w:snapToGrid w:val="0"/>
          <w:kern w:val="18"/>
          <w:sz w:val="20"/>
          <w:szCs w:val="20"/>
          <w:lang w:eastAsia="zh-CN"/>
        </w:rPr>
        <w:t xml:space="preserve"> e1500052</w:t>
      </w:r>
      <w:r w:rsidRPr="00650F1F">
        <w:rPr>
          <w:rFonts w:eastAsiaTheme="minorEastAsia"/>
          <w:snapToGrid w:val="0"/>
          <w:kern w:val="18"/>
          <w:sz w:val="20"/>
          <w:szCs w:val="20"/>
          <w:lang w:eastAsia="zh-CN"/>
        </w:rPr>
        <w:t>，</w:t>
      </w:r>
      <w:r w:rsidRPr="00650F1F">
        <w:rPr>
          <w:rFonts w:eastAsiaTheme="minorEastAsia"/>
          <w:snapToGrid w:val="0"/>
          <w:kern w:val="18"/>
          <w:sz w:val="20"/>
          <w:szCs w:val="20"/>
          <w:lang w:eastAsia="zh-CN"/>
        </w:rPr>
        <w:t>2015</w:t>
      </w:r>
      <w:r w:rsidRPr="00650F1F">
        <w:rPr>
          <w:rFonts w:eastAsiaTheme="minorEastAsia"/>
          <w:snapToGrid w:val="0"/>
          <w:kern w:val="18"/>
          <w:sz w:val="20"/>
          <w:szCs w:val="20"/>
          <w:lang w:eastAsia="zh-CN"/>
        </w:rPr>
        <w:t>年</w:t>
      </w:r>
      <w:r w:rsidRPr="00650F1F">
        <w:rPr>
          <w:rFonts w:eastAsiaTheme="minorEastAsia"/>
          <w:snapToGrid w:val="0"/>
          <w:kern w:val="18"/>
          <w:sz w:val="20"/>
          <w:szCs w:val="20"/>
          <w:lang w:eastAsia="zh-CN"/>
        </w:rPr>
        <w:t>3</w:t>
      </w:r>
      <w:r w:rsidRPr="00650F1F">
        <w:rPr>
          <w:rFonts w:eastAsiaTheme="minorEastAsia"/>
          <w:snapToGrid w:val="0"/>
          <w:kern w:val="18"/>
          <w:sz w:val="20"/>
          <w:szCs w:val="20"/>
          <w:lang w:eastAsia="zh-CN"/>
        </w:rPr>
        <w:t>月。</w:t>
      </w:r>
      <w:hyperlink r:id="rId54" w:history="1">
        <w:r w:rsidRPr="00650F1F">
          <w:rPr>
            <w:rStyle w:val="Hyperlink"/>
            <w:rFonts w:eastAsiaTheme="minorEastAsia"/>
            <w:snapToGrid w:val="0"/>
            <w:kern w:val="18"/>
            <w:sz w:val="20"/>
            <w:szCs w:val="20"/>
            <w:lang w:eastAsia="zh-CN"/>
          </w:rPr>
          <w:t>https://www.ncbi.nlm.nih.gov/pmc/articles/PMC4643828/</w:t>
        </w:r>
      </w:hyperlink>
      <w:r w:rsidRPr="00650F1F">
        <w:rPr>
          <w:rFonts w:eastAsiaTheme="minorEastAsia"/>
          <w:snapToGrid w:val="0"/>
          <w:kern w:val="18"/>
          <w:sz w:val="20"/>
          <w:szCs w:val="20"/>
          <w:lang w:eastAsia="zh-CN"/>
        </w:rPr>
        <w:t>。</w:t>
      </w:r>
    </w:p>
  </w:footnote>
  <w:footnote w:id="124">
    <w:p w:rsidR="00594C0B" w:rsidRPr="00650F1F" w:rsidRDefault="00594C0B" w:rsidP="00166D58">
      <w:pPr>
        <w:pStyle w:val="FootnoteText"/>
        <w:tabs>
          <w:tab w:val="left" w:pos="360"/>
        </w:tabs>
        <w:spacing w:before="0"/>
        <w:ind w:firstLine="0"/>
        <w:rPr>
          <w:rFonts w:eastAsiaTheme="minorEastAsia"/>
          <w:sz w:val="20"/>
          <w:szCs w:val="20"/>
          <w:lang w:eastAsia="zh-CN"/>
        </w:rPr>
      </w:pPr>
      <w:r w:rsidRPr="0052581D">
        <w:rPr>
          <w:rStyle w:val="FootnoteReference"/>
          <w:rFonts w:eastAsiaTheme="minorEastAsia"/>
          <w:sz w:val="24"/>
          <w:szCs w:val="20"/>
          <w:u w:val="none"/>
          <w:vertAlign w:val="superscript"/>
          <w:lang w:eastAsia="en-GB"/>
        </w:rPr>
        <w:footnoteRef/>
      </w:r>
      <w:r w:rsidRPr="0052581D">
        <w:rPr>
          <w:rStyle w:val="FootnoteReference"/>
          <w:rFonts w:eastAsiaTheme="minorEastAsia"/>
          <w:sz w:val="24"/>
          <w:szCs w:val="20"/>
          <w:u w:val="none"/>
          <w:vertAlign w:val="superscript"/>
          <w:lang w:eastAsia="zh-CN"/>
        </w:rPr>
        <w:t xml:space="preserve"> </w:t>
      </w:r>
      <w:r w:rsidRPr="00650F1F">
        <w:rPr>
          <w:rFonts w:eastAsiaTheme="minorEastAsia"/>
          <w:snapToGrid w:val="0"/>
          <w:kern w:val="18"/>
          <w:sz w:val="20"/>
          <w:szCs w:val="20"/>
          <w:lang w:eastAsia="zh-CN"/>
        </w:rPr>
        <w:tab/>
        <w:t xml:space="preserve">Watson, J. </w:t>
      </w:r>
      <w:r w:rsidRPr="00650F1F">
        <w:rPr>
          <w:rFonts w:eastAsiaTheme="minorEastAsia"/>
          <w:snapToGrid w:val="0"/>
          <w:kern w:val="18"/>
          <w:sz w:val="20"/>
          <w:szCs w:val="20"/>
          <w:lang w:eastAsia="zh-CN"/>
        </w:rPr>
        <w:t>等，</w:t>
      </w:r>
      <w:r w:rsidRPr="00650F1F">
        <w:rPr>
          <w:rFonts w:eastAsiaTheme="minorEastAsia"/>
          <w:snapToGrid w:val="0"/>
          <w:kern w:val="18"/>
          <w:sz w:val="20"/>
          <w:szCs w:val="20"/>
          <w:lang w:eastAsia="zh-CN"/>
        </w:rPr>
        <w:t>2018</w:t>
      </w:r>
      <w:r w:rsidRPr="00650F1F">
        <w:rPr>
          <w:rFonts w:eastAsiaTheme="minorEastAsia"/>
          <w:snapToGrid w:val="0"/>
          <w:kern w:val="18"/>
          <w:sz w:val="20"/>
          <w:szCs w:val="20"/>
          <w:lang w:eastAsia="zh-CN"/>
        </w:rPr>
        <w:t>年，</w:t>
      </w:r>
      <w:r w:rsidRPr="0052581D">
        <w:rPr>
          <w:rFonts w:asciiTheme="minorEastAsia" w:eastAsiaTheme="minorEastAsia" w:hAnsiTheme="minorEastAsia"/>
          <w:snapToGrid w:val="0"/>
          <w:kern w:val="18"/>
          <w:sz w:val="20"/>
          <w:szCs w:val="20"/>
          <w:lang w:eastAsia="zh-CN"/>
        </w:rPr>
        <w:t>“完整森林生态系统的特别价值”</w:t>
      </w:r>
      <w:r w:rsidRPr="00650F1F">
        <w:rPr>
          <w:rFonts w:eastAsiaTheme="minorEastAsia"/>
          <w:snapToGrid w:val="0"/>
          <w:kern w:val="18"/>
          <w:sz w:val="20"/>
          <w:szCs w:val="20"/>
          <w:lang w:eastAsia="zh-CN"/>
        </w:rPr>
        <w:t>，《自然生态与进化</w:t>
      </w:r>
      <w:r w:rsidRPr="00650F1F">
        <w:rPr>
          <w:rFonts w:eastAsiaTheme="minorEastAsia"/>
          <w:snapToGrid w:val="0"/>
          <w:kern w:val="18"/>
          <w:sz w:val="20"/>
          <w:szCs w:val="20"/>
          <w:lang w:eastAsia="zh-CN"/>
        </w:rPr>
        <w:t>2</w:t>
      </w:r>
      <w:r w:rsidRPr="00650F1F">
        <w:rPr>
          <w:rFonts w:eastAsiaTheme="minorEastAsia"/>
          <w:snapToGrid w:val="0"/>
          <w:kern w:val="18"/>
          <w:sz w:val="20"/>
          <w:szCs w:val="20"/>
          <w:lang w:eastAsia="zh-CN"/>
        </w:rPr>
        <w:t>》</w:t>
      </w:r>
      <w:r w:rsidRPr="00650F1F">
        <w:rPr>
          <w:rFonts w:eastAsiaTheme="minorEastAsia"/>
          <w:snapToGrid w:val="0"/>
          <w:kern w:val="18"/>
          <w:sz w:val="20"/>
          <w:szCs w:val="20"/>
          <w:lang w:eastAsia="zh-CN"/>
        </w:rPr>
        <w:t>, 599-610</w:t>
      </w:r>
      <w:r w:rsidRPr="00650F1F">
        <w:rPr>
          <w:rFonts w:eastAsiaTheme="minorEastAsia"/>
          <w:snapToGrid w:val="0"/>
          <w:kern w:val="18"/>
          <w:sz w:val="20"/>
          <w:szCs w:val="20"/>
          <w:lang w:eastAsia="zh-CN"/>
        </w:rPr>
        <w:t>。</w:t>
      </w:r>
    </w:p>
  </w:footnote>
  <w:footnote w:id="125">
    <w:p w:rsidR="00594C0B" w:rsidRPr="00650F1F" w:rsidRDefault="00594C0B" w:rsidP="00166D58">
      <w:pPr>
        <w:pStyle w:val="HTMLPreformatted"/>
        <w:tabs>
          <w:tab w:val="left" w:pos="360"/>
        </w:tabs>
        <w:spacing w:before="0" w:after="60"/>
        <w:ind w:firstLine="0"/>
        <w:rPr>
          <w:rFonts w:ascii="Times New Roman" w:eastAsiaTheme="minorEastAsia" w:hAnsi="Times New Roman"/>
        </w:rPr>
      </w:pPr>
      <w:r w:rsidRPr="0052581D">
        <w:rPr>
          <w:rStyle w:val="FootnoteReference"/>
          <w:rFonts w:ascii="Times New Roman" w:eastAsiaTheme="minorEastAsia" w:hAnsi="Times New Roman"/>
          <w:sz w:val="24"/>
          <w:u w:val="none"/>
          <w:vertAlign w:val="superscript"/>
          <w:lang w:val="en-GB"/>
        </w:rPr>
        <w:footnoteRef/>
      </w:r>
      <w:r w:rsidRPr="0052581D">
        <w:rPr>
          <w:rStyle w:val="FootnoteReference"/>
          <w:rFonts w:ascii="Times New Roman" w:eastAsiaTheme="minorEastAsia" w:hAnsi="Times New Roman"/>
          <w:sz w:val="24"/>
          <w:u w:val="none"/>
          <w:vertAlign w:val="superscript"/>
          <w:lang w:val="en-GB"/>
        </w:rPr>
        <w:t xml:space="preserve"> </w:t>
      </w:r>
      <w:r w:rsidRPr="00650F1F">
        <w:rPr>
          <w:rFonts w:ascii="Times New Roman" w:eastAsiaTheme="minorEastAsia" w:hAnsi="Times New Roman"/>
          <w:snapToGrid w:val="0"/>
          <w:kern w:val="18"/>
        </w:rPr>
        <w:tab/>
        <w:t>Ervin, J.</w:t>
      </w:r>
      <w:r w:rsidRPr="00650F1F">
        <w:rPr>
          <w:rFonts w:ascii="Times New Roman" w:eastAsiaTheme="minorEastAsia" w:hAnsi="Times New Roman"/>
          <w:snapToGrid w:val="0"/>
          <w:kern w:val="18"/>
        </w:rPr>
        <w:t>、</w:t>
      </w:r>
      <w:r w:rsidRPr="00650F1F">
        <w:rPr>
          <w:rFonts w:ascii="Times New Roman" w:eastAsiaTheme="minorEastAsia" w:hAnsi="Times New Roman"/>
          <w:snapToGrid w:val="0"/>
          <w:kern w:val="18"/>
        </w:rPr>
        <w:t>K. J. Mulongoy</w:t>
      </w:r>
      <w:r w:rsidRPr="00650F1F">
        <w:rPr>
          <w:rFonts w:ascii="Times New Roman" w:eastAsiaTheme="minorEastAsia" w:hAnsi="Times New Roman"/>
          <w:snapToGrid w:val="0"/>
          <w:kern w:val="18"/>
        </w:rPr>
        <w:t>、</w:t>
      </w:r>
      <w:r w:rsidRPr="00650F1F">
        <w:rPr>
          <w:rFonts w:ascii="Times New Roman" w:eastAsiaTheme="minorEastAsia" w:hAnsi="Times New Roman"/>
          <w:snapToGrid w:val="0"/>
          <w:kern w:val="18"/>
        </w:rPr>
        <w:t>K. Lawrence</w:t>
      </w:r>
      <w:r w:rsidRPr="00650F1F">
        <w:rPr>
          <w:rFonts w:ascii="Times New Roman" w:eastAsiaTheme="minorEastAsia" w:hAnsi="Times New Roman"/>
          <w:snapToGrid w:val="0"/>
          <w:kern w:val="18"/>
        </w:rPr>
        <w:t>、</w:t>
      </w:r>
      <w:r w:rsidRPr="00650F1F">
        <w:rPr>
          <w:rFonts w:ascii="Times New Roman" w:eastAsiaTheme="minorEastAsia" w:hAnsi="Times New Roman"/>
          <w:snapToGrid w:val="0"/>
          <w:kern w:val="18"/>
        </w:rPr>
        <w:t>E. Game</w:t>
      </w:r>
      <w:r w:rsidRPr="00650F1F">
        <w:rPr>
          <w:rFonts w:ascii="Times New Roman" w:eastAsiaTheme="minorEastAsia" w:hAnsi="Times New Roman"/>
          <w:snapToGrid w:val="0"/>
          <w:kern w:val="18"/>
        </w:rPr>
        <w:t>、</w:t>
      </w:r>
      <w:r w:rsidRPr="00650F1F">
        <w:rPr>
          <w:rFonts w:ascii="Times New Roman" w:eastAsiaTheme="minorEastAsia" w:hAnsi="Times New Roman"/>
          <w:snapToGrid w:val="0"/>
          <w:kern w:val="18"/>
        </w:rPr>
        <w:t>D. Sheppard</w:t>
      </w:r>
      <w:r w:rsidRPr="00650F1F">
        <w:rPr>
          <w:rFonts w:ascii="Times New Roman" w:eastAsiaTheme="minorEastAsia" w:hAnsi="Times New Roman"/>
          <w:snapToGrid w:val="0"/>
          <w:kern w:val="18"/>
        </w:rPr>
        <w:t>、</w:t>
      </w:r>
      <w:r w:rsidRPr="00650F1F">
        <w:rPr>
          <w:rFonts w:ascii="Times New Roman" w:eastAsiaTheme="minorEastAsia" w:hAnsi="Times New Roman"/>
          <w:snapToGrid w:val="0"/>
          <w:kern w:val="18"/>
        </w:rPr>
        <w:t>P. Bridgewater</w:t>
      </w:r>
      <w:r w:rsidRPr="00650F1F">
        <w:rPr>
          <w:rFonts w:ascii="Times New Roman" w:eastAsiaTheme="minorEastAsia" w:hAnsi="Times New Roman"/>
          <w:snapToGrid w:val="0"/>
          <w:kern w:val="18"/>
        </w:rPr>
        <w:t>、</w:t>
      </w:r>
      <w:r w:rsidRPr="00650F1F">
        <w:rPr>
          <w:rFonts w:ascii="Times New Roman" w:eastAsiaTheme="minorEastAsia" w:hAnsi="Times New Roman"/>
          <w:snapToGrid w:val="0"/>
          <w:kern w:val="18"/>
        </w:rPr>
        <w:t>G. Bennett</w:t>
      </w:r>
      <w:r w:rsidRPr="00650F1F">
        <w:rPr>
          <w:rFonts w:ascii="Times New Roman" w:eastAsiaTheme="minorEastAsia" w:hAnsi="Times New Roman"/>
          <w:snapToGrid w:val="0"/>
          <w:kern w:val="18"/>
        </w:rPr>
        <w:t>、</w:t>
      </w:r>
      <w:r w:rsidRPr="00650F1F">
        <w:rPr>
          <w:rFonts w:ascii="Times New Roman" w:eastAsiaTheme="minorEastAsia" w:hAnsi="Times New Roman"/>
          <w:snapToGrid w:val="0"/>
          <w:kern w:val="18"/>
        </w:rPr>
        <w:t xml:space="preserve">S.B. Gidda </w:t>
      </w:r>
      <w:r w:rsidRPr="00650F1F">
        <w:rPr>
          <w:rFonts w:ascii="Times New Roman" w:eastAsiaTheme="minorEastAsia" w:hAnsi="Times New Roman"/>
          <w:snapToGrid w:val="0"/>
          <w:kern w:val="18"/>
        </w:rPr>
        <w:t>和</w:t>
      </w:r>
      <w:r w:rsidRPr="00650F1F">
        <w:rPr>
          <w:rFonts w:ascii="Times New Roman" w:eastAsiaTheme="minorEastAsia" w:hAnsi="Times New Roman"/>
          <w:snapToGrid w:val="0"/>
          <w:kern w:val="18"/>
        </w:rPr>
        <w:t xml:space="preserve"> P. Bos</w:t>
      </w:r>
      <w:r w:rsidRPr="00650F1F">
        <w:rPr>
          <w:rFonts w:ascii="Times New Roman" w:eastAsiaTheme="minorEastAsia" w:hAnsi="Times New Roman"/>
          <w:snapToGrid w:val="0"/>
          <w:kern w:val="18"/>
        </w:rPr>
        <w:t>，</w:t>
      </w:r>
      <w:r w:rsidRPr="00650F1F">
        <w:rPr>
          <w:rFonts w:ascii="Times New Roman" w:eastAsiaTheme="minorEastAsia" w:hAnsi="Times New Roman"/>
          <w:snapToGrid w:val="0"/>
          <w:kern w:val="18"/>
        </w:rPr>
        <w:t>2010</w:t>
      </w:r>
      <w:r w:rsidRPr="00650F1F">
        <w:rPr>
          <w:rFonts w:ascii="Times New Roman" w:eastAsiaTheme="minorEastAsia" w:hAnsi="Times New Roman"/>
          <w:snapToGrid w:val="0"/>
          <w:kern w:val="18"/>
        </w:rPr>
        <w:t>年，</w:t>
      </w:r>
      <w:r w:rsidRPr="0052581D">
        <w:rPr>
          <w:rFonts w:asciiTheme="minorEastAsia" w:eastAsiaTheme="minorEastAsia" w:hAnsiTheme="minorEastAsia"/>
          <w:snapToGrid w:val="0"/>
          <w:kern w:val="18"/>
          <w:lang w:val="en-GB" w:eastAsia="zh-CN"/>
        </w:rPr>
        <w:t>“使保护区具有相关性</w:t>
      </w:r>
      <w:r w:rsidRPr="00650F1F">
        <w:rPr>
          <w:rFonts w:ascii="Times New Roman" w:eastAsiaTheme="minorEastAsia" w:hAnsi="Times New Roman"/>
        </w:rPr>
        <w:t>：将保护区纳入更广泛的陆地景观、海洋景观和部门计划与战略的指南</w:t>
      </w:r>
      <w:r w:rsidRPr="0052581D">
        <w:rPr>
          <w:rFonts w:asciiTheme="minorEastAsia" w:eastAsiaTheme="minorEastAsia" w:hAnsiTheme="minorEastAsia"/>
          <w:snapToGrid w:val="0"/>
          <w:kern w:val="18"/>
          <w:lang w:val="en-GB" w:eastAsia="zh-CN"/>
        </w:rPr>
        <w:t>”</w:t>
      </w:r>
      <w:r w:rsidRPr="00650F1F">
        <w:rPr>
          <w:rFonts w:ascii="Times New Roman" w:eastAsiaTheme="minorEastAsia" w:hAnsi="Times New Roman"/>
        </w:rPr>
        <w:t>，</w:t>
      </w:r>
      <w:r w:rsidRPr="00650F1F">
        <w:rPr>
          <w:rFonts w:ascii="Times New Roman" w:eastAsiaTheme="minorEastAsia" w:hAnsi="Times New Roman"/>
          <w:snapToGrid w:val="0"/>
          <w:kern w:val="18"/>
        </w:rPr>
        <w:t>《生物多样性公约技术丛书》第</w:t>
      </w:r>
      <w:r w:rsidRPr="00650F1F">
        <w:rPr>
          <w:rFonts w:ascii="Times New Roman" w:eastAsiaTheme="minorEastAsia" w:hAnsi="Times New Roman"/>
          <w:snapToGrid w:val="0"/>
          <w:kern w:val="18"/>
        </w:rPr>
        <w:t>44</w:t>
      </w:r>
      <w:r w:rsidRPr="00650F1F">
        <w:rPr>
          <w:rFonts w:ascii="Times New Roman" w:eastAsiaTheme="minorEastAsia" w:hAnsi="Times New Roman"/>
          <w:snapToGrid w:val="0"/>
          <w:kern w:val="18"/>
        </w:rPr>
        <w:t>号，加拿大蒙特利尔：生物多样性公约，第</w:t>
      </w:r>
      <w:r w:rsidRPr="00650F1F">
        <w:rPr>
          <w:rFonts w:ascii="Times New Roman" w:eastAsiaTheme="minorEastAsia" w:hAnsi="Times New Roman"/>
          <w:snapToGrid w:val="0"/>
          <w:kern w:val="18"/>
        </w:rPr>
        <w:t>94</w:t>
      </w:r>
      <w:r w:rsidRPr="00650F1F">
        <w:rPr>
          <w:rFonts w:ascii="Times New Roman" w:eastAsiaTheme="minorEastAsia" w:hAnsi="Times New Roman"/>
          <w:snapToGrid w:val="0"/>
          <w:kern w:val="18"/>
        </w:rPr>
        <w:t>页。</w:t>
      </w:r>
    </w:p>
  </w:footnote>
  <w:footnote w:id="126">
    <w:p w:rsidR="00594C0B" w:rsidRPr="00650F1F" w:rsidRDefault="00594C0B" w:rsidP="00166D58">
      <w:pPr>
        <w:pStyle w:val="FootnoteText"/>
        <w:tabs>
          <w:tab w:val="left" w:pos="360"/>
        </w:tabs>
        <w:spacing w:before="0"/>
        <w:ind w:firstLine="0"/>
        <w:rPr>
          <w:rFonts w:eastAsiaTheme="minorEastAsia"/>
          <w:sz w:val="20"/>
          <w:szCs w:val="20"/>
          <w:lang w:eastAsia="zh-CN"/>
        </w:rPr>
      </w:pPr>
      <w:r w:rsidRPr="0052581D">
        <w:rPr>
          <w:rStyle w:val="FootnoteReference"/>
          <w:rFonts w:eastAsiaTheme="minorEastAsia"/>
          <w:sz w:val="24"/>
          <w:szCs w:val="20"/>
          <w:u w:val="none"/>
          <w:vertAlign w:val="superscript"/>
          <w:lang w:eastAsia="en-GB"/>
        </w:rPr>
        <w:footnoteRef/>
      </w:r>
      <w:r w:rsidRPr="0052581D">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例如见《生物多样性公约》，</w:t>
      </w:r>
      <w:r w:rsidRPr="00650F1F">
        <w:rPr>
          <w:rFonts w:eastAsiaTheme="minorEastAsia"/>
          <w:sz w:val="20"/>
          <w:szCs w:val="20"/>
          <w:lang w:eastAsia="zh-CN"/>
        </w:rPr>
        <w:t>2016</w:t>
      </w:r>
      <w:r w:rsidRPr="00650F1F">
        <w:rPr>
          <w:rFonts w:eastAsiaTheme="minorEastAsia"/>
          <w:sz w:val="20"/>
          <w:szCs w:val="20"/>
          <w:lang w:eastAsia="zh-CN"/>
        </w:rPr>
        <w:t>年，</w:t>
      </w:r>
      <w:r w:rsidRPr="0052581D">
        <w:rPr>
          <w:rFonts w:asciiTheme="minorEastAsia" w:eastAsiaTheme="minorEastAsia" w:hAnsiTheme="minorEastAsia"/>
          <w:snapToGrid w:val="0"/>
          <w:kern w:val="18"/>
          <w:sz w:val="20"/>
          <w:szCs w:val="20"/>
          <w:lang w:eastAsia="zh-CN"/>
        </w:rPr>
        <w:t>“生物多样性与2030年议程”，</w:t>
      </w:r>
      <w:r w:rsidRPr="00650F1F">
        <w:rPr>
          <w:rFonts w:eastAsiaTheme="minorEastAsia"/>
          <w:sz w:val="20"/>
          <w:szCs w:val="20"/>
          <w:lang w:eastAsia="zh-CN"/>
        </w:rPr>
        <w:t>蒙特利尔：生物多样性公约秘书处。</w:t>
      </w:r>
      <w:r w:rsidRPr="00650F1F">
        <w:rPr>
          <w:rFonts w:eastAsiaTheme="minorEastAsia"/>
          <w:snapToGrid w:val="0"/>
          <w:kern w:val="18"/>
          <w:sz w:val="20"/>
          <w:szCs w:val="20"/>
          <w:lang w:eastAsia="zh-CN"/>
        </w:rPr>
        <w:t>可查阅</w:t>
      </w:r>
      <w:hyperlink r:id="rId55" w:history="1">
        <w:r w:rsidRPr="00650F1F">
          <w:rPr>
            <w:rStyle w:val="Hyperlink"/>
            <w:rFonts w:eastAsiaTheme="minorEastAsia"/>
            <w:snapToGrid w:val="0"/>
            <w:kern w:val="18"/>
            <w:sz w:val="20"/>
            <w:szCs w:val="20"/>
            <w:lang w:eastAsia="zh-CN"/>
          </w:rPr>
          <w:t>https://www.cbd.int/development/doc/biodiversity-2030-agenda-policy-brief-en.pdf</w:t>
        </w:r>
      </w:hyperlink>
      <w:r w:rsidRPr="00650F1F">
        <w:rPr>
          <w:rFonts w:eastAsiaTheme="minorEastAsia"/>
          <w:snapToGrid w:val="0"/>
          <w:kern w:val="18"/>
          <w:sz w:val="20"/>
          <w:szCs w:val="20"/>
          <w:lang w:eastAsia="zh-CN"/>
        </w:rPr>
        <w:t>。</w:t>
      </w:r>
    </w:p>
  </w:footnote>
  <w:footnote w:id="127">
    <w:p w:rsidR="00594C0B" w:rsidRPr="00650F1F" w:rsidRDefault="00594C0B" w:rsidP="00166D58">
      <w:pPr>
        <w:pStyle w:val="FootnoteText"/>
        <w:tabs>
          <w:tab w:val="left" w:pos="360"/>
        </w:tabs>
        <w:spacing w:before="0"/>
        <w:ind w:firstLine="0"/>
        <w:rPr>
          <w:rFonts w:eastAsiaTheme="minorEastAsia"/>
          <w:sz w:val="20"/>
          <w:szCs w:val="20"/>
          <w:lang w:eastAsia="zh-CN"/>
        </w:rPr>
      </w:pPr>
      <w:r w:rsidRPr="0052581D">
        <w:rPr>
          <w:rStyle w:val="FootnoteReference"/>
          <w:rFonts w:eastAsiaTheme="minorEastAsia"/>
          <w:sz w:val="24"/>
          <w:szCs w:val="20"/>
          <w:u w:val="none"/>
          <w:vertAlign w:val="superscript"/>
          <w:lang w:eastAsia="en-GB"/>
        </w:rPr>
        <w:footnoteRef/>
      </w:r>
      <w:r w:rsidRPr="0052581D">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ab/>
      </w:r>
      <w:r w:rsidRPr="00650F1F">
        <w:rPr>
          <w:rFonts w:eastAsiaTheme="minorEastAsia"/>
          <w:sz w:val="20"/>
          <w:szCs w:val="20"/>
          <w:lang w:eastAsia="zh-CN"/>
        </w:rPr>
        <w:t>例如见：联合国开发计划署，</w:t>
      </w:r>
      <w:r w:rsidRPr="00650F1F">
        <w:rPr>
          <w:rFonts w:eastAsiaTheme="minorEastAsia"/>
          <w:snapToGrid w:val="0"/>
          <w:kern w:val="18"/>
          <w:sz w:val="20"/>
          <w:szCs w:val="20"/>
          <w:lang w:eastAsia="zh-CN"/>
        </w:rPr>
        <w:t>2018</w:t>
      </w:r>
      <w:r w:rsidRPr="00650F1F">
        <w:rPr>
          <w:rFonts w:eastAsiaTheme="minorEastAsia"/>
          <w:snapToGrid w:val="0"/>
          <w:kern w:val="18"/>
          <w:sz w:val="20"/>
          <w:szCs w:val="20"/>
          <w:lang w:eastAsia="zh-CN"/>
        </w:rPr>
        <w:t>年，《自然有水，自然有生活：实现全球目标的自然解决办法》，纽约，开发计划署。可查阅</w:t>
      </w:r>
      <w:hyperlink r:id="rId56" w:history="1">
        <w:r w:rsidRPr="00650F1F">
          <w:rPr>
            <w:rStyle w:val="Hyperlink"/>
            <w:rFonts w:eastAsiaTheme="minorEastAsia"/>
            <w:snapToGrid w:val="0"/>
            <w:kern w:val="18"/>
            <w:sz w:val="20"/>
            <w:szCs w:val="20"/>
            <w:lang w:eastAsia="zh-CN"/>
          </w:rPr>
          <w:t>www.natureforlife.world</w:t>
        </w:r>
      </w:hyperlink>
      <w:r w:rsidRPr="00650F1F">
        <w:rPr>
          <w:rFonts w:eastAsiaTheme="minorEastAsia"/>
          <w:snapToGrid w:val="0"/>
          <w:kern w:val="18"/>
          <w:sz w:val="20"/>
          <w:szCs w:val="20"/>
          <w:lang w:eastAsia="zh-CN"/>
        </w:rPr>
        <w:t>。</w:t>
      </w:r>
    </w:p>
  </w:footnote>
  <w:footnote w:id="128">
    <w:p w:rsidR="00594C0B" w:rsidRPr="00650F1F" w:rsidRDefault="00594C0B" w:rsidP="00166D58">
      <w:pPr>
        <w:pStyle w:val="FootnoteText"/>
        <w:tabs>
          <w:tab w:val="left" w:pos="360"/>
        </w:tabs>
        <w:spacing w:before="0"/>
        <w:ind w:firstLine="0"/>
        <w:rPr>
          <w:rFonts w:eastAsiaTheme="minorEastAsia"/>
          <w:sz w:val="20"/>
          <w:szCs w:val="20"/>
          <w:lang w:eastAsia="zh-CN"/>
        </w:rPr>
      </w:pPr>
      <w:r w:rsidRPr="0052581D">
        <w:rPr>
          <w:rStyle w:val="FootnoteReference"/>
          <w:rFonts w:eastAsiaTheme="minorEastAsia"/>
          <w:sz w:val="24"/>
          <w:szCs w:val="20"/>
          <w:u w:val="none"/>
          <w:vertAlign w:val="superscript"/>
          <w:lang w:eastAsia="en-GB"/>
        </w:rPr>
        <w:footnoteRef/>
      </w:r>
      <w:r w:rsidRPr="0052581D">
        <w:rPr>
          <w:rStyle w:val="FootnoteReference"/>
          <w:rFonts w:eastAsiaTheme="minorEastAsia"/>
          <w:sz w:val="24"/>
          <w:szCs w:val="20"/>
          <w:u w:val="none"/>
          <w:vertAlign w:val="superscript"/>
          <w:lang w:eastAsia="zh-CN"/>
        </w:rPr>
        <w:t xml:space="preserve"> </w:t>
      </w:r>
      <w:r w:rsidRPr="0052581D">
        <w:rPr>
          <w:rStyle w:val="FootnoteReference"/>
          <w:sz w:val="24"/>
          <w:u w:val="none"/>
          <w:vertAlign w:val="superscript"/>
          <w:lang w:eastAsia="zh-CN"/>
        </w:rPr>
        <w:tab/>
      </w:r>
      <w:r w:rsidRPr="00650F1F">
        <w:rPr>
          <w:rFonts w:eastAsiaTheme="minorEastAsia"/>
          <w:sz w:val="20"/>
          <w:szCs w:val="20"/>
          <w:lang w:eastAsia="zh-CN"/>
        </w:rPr>
        <w:t>见</w:t>
      </w:r>
      <w:r w:rsidRPr="00650F1F">
        <w:rPr>
          <w:rFonts w:eastAsiaTheme="minorEastAsia"/>
          <w:snapToGrid w:val="0"/>
          <w:kern w:val="18"/>
          <w:sz w:val="20"/>
          <w:szCs w:val="20"/>
          <w:lang w:eastAsia="zh-CN"/>
        </w:rPr>
        <w:t>Bronson</w:t>
      </w:r>
      <w:r w:rsidRPr="00650F1F">
        <w:rPr>
          <w:rFonts w:eastAsiaTheme="minorEastAsia"/>
          <w:snapToGrid w:val="0"/>
          <w:kern w:val="18"/>
          <w:sz w:val="20"/>
          <w:szCs w:val="20"/>
          <w:lang w:eastAsia="zh-CN"/>
        </w:rPr>
        <w:t>等，</w:t>
      </w:r>
      <w:r w:rsidRPr="00650F1F">
        <w:rPr>
          <w:rFonts w:eastAsiaTheme="minorEastAsia"/>
          <w:snapToGrid w:val="0"/>
          <w:kern w:val="18"/>
          <w:sz w:val="20"/>
          <w:szCs w:val="20"/>
          <w:lang w:eastAsia="zh-CN"/>
        </w:rPr>
        <w:t>2017</w:t>
      </w:r>
      <w:r w:rsidRPr="00650F1F">
        <w:rPr>
          <w:rFonts w:eastAsiaTheme="minorEastAsia"/>
          <w:snapToGrid w:val="0"/>
          <w:kern w:val="18"/>
          <w:sz w:val="20"/>
          <w:szCs w:val="20"/>
          <w:lang w:eastAsia="zh-CN"/>
        </w:rPr>
        <w:t>年，</w:t>
      </w:r>
      <w:r w:rsidRPr="0052581D">
        <w:rPr>
          <w:rFonts w:asciiTheme="minorEastAsia" w:eastAsiaTheme="minorEastAsia" w:hAnsiTheme="minorEastAsia"/>
          <w:snapToGrid w:val="0"/>
          <w:kern w:val="18"/>
          <w:sz w:val="20"/>
          <w:szCs w:val="20"/>
          <w:lang w:eastAsia="zh-CN"/>
        </w:rPr>
        <w:t>“气候变化的自然解决办法”</w:t>
      </w:r>
      <w:r w:rsidRPr="00650F1F">
        <w:rPr>
          <w:rFonts w:eastAsiaTheme="minorEastAsia"/>
          <w:snapToGrid w:val="0"/>
          <w:kern w:val="18"/>
          <w:sz w:val="20"/>
          <w:szCs w:val="20"/>
          <w:lang w:eastAsia="zh-CN"/>
        </w:rPr>
        <w:t>，</w:t>
      </w:r>
      <w:r w:rsidRPr="00650F1F">
        <w:rPr>
          <w:rFonts w:eastAsiaTheme="minorEastAsia"/>
          <w:snapToGrid w:val="0"/>
          <w:kern w:val="18"/>
          <w:sz w:val="20"/>
          <w:szCs w:val="20"/>
          <w:lang w:eastAsia="zh-CN"/>
        </w:rPr>
        <w:t>PNAS: 114(44)</w:t>
      </w:r>
      <w:r w:rsidRPr="00650F1F">
        <w:rPr>
          <w:rFonts w:eastAsiaTheme="minorEastAsia"/>
          <w:snapToGrid w:val="0"/>
          <w:kern w:val="18"/>
          <w:sz w:val="20"/>
          <w:szCs w:val="20"/>
          <w:lang w:val="en-US" w:eastAsia="zh-CN"/>
        </w:rPr>
        <w:t>：</w:t>
      </w:r>
      <w:r w:rsidRPr="00650F1F">
        <w:rPr>
          <w:rFonts w:eastAsiaTheme="minorEastAsia"/>
          <w:snapToGrid w:val="0"/>
          <w:kern w:val="18"/>
          <w:sz w:val="20"/>
          <w:szCs w:val="20"/>
          <w:lang w:eastAsia="zh-CN"/>
        </w:rPr>
        <w:t>11645-11650</w:t>
      </w:r>
      <w:r w:rsidRPr="00650F1F">
        <w:rPr>
          <w:rFonts w:eastAsiaTheme="minorEastAsia"/>
          <w:snapToGrid w:val="0"/>
          <w:kern w:val="18"/>
          <w:sz w:val="20"/>
          <w:szCs w:val="20"/>
          <w:lang w:eastAsia="zh-CN"/>
        </w:rPr>
        <w:t>。可查阅</w:t>
      </w:r>
      <w:hyperlink r:id="rId57" w:history="1">
        <w:r w:rsidRPr="00650F1F">
          <w:rPr>
            <w:rStyle w:val="Hyperlink"/>
            <w:rFonts w:eastAsiaTheme="minorEastAsia"/>
            <w:snapToGrid w:val="0"/>
            <w:kern w:val="18"/>
            <w:sz w:val="20"/>
            <w:szCs w:val="20"/>
            <w:lang w:eastAsia="zh-CN"/>
          </w:rPr>
          <w:t>http://www.pnas.org/content/114/44/11645</w:t>
        </w:r>
      </w:hyperlink>
      <w:r w:rsidRPr="00650F1F">
        <w:rPr>
          <w:rFonts w:eastAsiaTheme="minorEastAsia"/>
          <w:snapToGrid w:val="0"/>
          <w:kern w:val="18"/>
          <w:sz w:val="20"/>
          <w:szCs w:val="20"/>
          <w:lang w:eastAsia="zh-CN"/>
        </w:rPr>
        <w:t>。</w:t>
      </w:r>
    </w:p>
  </w:footnote>
  <w:footnote w:id="129">
    <w:p w:rsidR="00594C0B" w:rsidRPr="00650F1F" w:rsidRDefault="00594C0B" w:rsidP="00166D58">
      <w:pPr>
        <w:pStyle w:val="HTMLPreformatted"/>
        <w:tabs>
          <w:tab w:val="left" w:pos="360"/>
        </w:tabs>
        <w:adjustRightInd w:val="0"/>
        <w:spacing w:before="0" w:after="60"/>
        <w:ind w:firstLine="0"/>
        <w:rPr>
          <w:rFonts w:ascii="Times New Roman" w:eastAsiaTheme="minorEastAsia" w:hAnsi="Times New Roman"/>
          <w:lang w:eastAsia="zh-CN"/>
        </w:rPr>
      </w:pPr>
      <w:r w:rsidRPr="0052581D">
        <w:rPr>
          <w:rStyle w:val="FootnoteReference"/>
          <w:rFonts w:ascii="Times New Roman" w:eastAsiaTheme="minorEastAsia" w:hAnsi="Times New Roman"/>
          <w:sz w:val="24"/>
          <w:u w:val="none"/>
          <w:vertAlign w:val="superscript"/>
          <w:lang w:val="en-GB"/>
        </w:rPr>
        <w:footnoteRef/>
      </w:r>
      <w:r w:rsidRPr="0052581D">
        <w:rPr>
          <w:rStyle w:val="FootnoteReference"/>
          <w:rFonts w:ascii="Times New Roman" w:eastAsiaTheme="minorEastAsia" w:hAnsi="Times New Roman"/>
          <w:sz w:val="24"/>
          <w:u w:val="none"/>
          <w:vertAlign w:val="superscript"/>
          <w:lang w:val="en-GB" w:eastAsia="zh-CN"/>
        </w:rPr>
        <w:t xml:space="preserve"> </w:t>
      </w:r>
      <w:r w:rsidRPr="00650F1F">
        <w:rPr>
          <w:rFonts w:ascii="Times New Roman" w:eastAsiaTheme="minorEastAsia" w:hAnsi="Times New Roman"/>
          <w:snapToGrid w:val="0"/>
          <w:kern w:val="18"/>
          <w:lang w:val="en-CA" w:eastAsia="zh-CN"/>
        </w:rPr>
        <w:tab/>
        <w:t xml:space="preserve">Dudley, N. </w:t>
      </w:r>
      <w:r w:rsidRPr="00650F1F">
        <w:rPr>
          <w:rFonts w:ascii="Times New Roman" w:eastAsiaTheme="minorEastAsia" w:hAnsi="Times New Roman"/>
          <w:snapToGrid w:val="0"/>
          <w:kern w:val="18"/>
          <w:lang w:val="en-CA" w:eastAsia="zh-CN"/>
        </w:rPr>
        <w:t>等，</w:t>
      </w:r>
      <w:r w:rsidRPr="00650F1F">
        <w:rPr>
          <w:rFonts w:ascii="Times New Roman" w:eastAsiaTheme="minorEastAsia" w:hAnsi="Times New Roman"/>
          <w:snapToGrid w:val="0"/>
          <w:kern w:val="18"/>
          <w:lang w:val="en-CA" w:eastAsia="zh-CN"/>
        </w:rPr>
        <w:t>2009</w:t>
      </w:r>
      <w:r w:rsidRPr="00650F1F">
        <w:rPr>
          <w:rFonts w:ascii="Times New Roman" w:eastAsiaTheme="minorEastAsia" w:hAnsi="Times New Roman"/>
          <w:snapToGrid w:val="0"/>
          <w:kern w:val="18"/>
          <w:lang w:val="en-CA" w:eastAsia="zh-CN"/>
        </w:rPr>
        <w:t>年，</w:t>
      </w:r>
      <w:r w:rsidRPr="0052581D">
        <w:rPr>
          <w:rFonts w:asciiTheme="minorEastAsia" w:eastAsiaTheme="minorEastAsia" w:hAnsiTheme="minorEastAsia"/>
          <w:snapToGrid w:val="0"/>
          <w:kern w:val="18"/>
          <w:lang w:val="en-GB" w:eastAsia="zh-CN"/>
        </w:rPr>
        <w:t>“自然解决办法--保护区：帮助人们应对气候变化”，</w:t>
      </w:r>
      <w:r w:rsidRPr="00650F1F">
        <w:rPr>
          <w:rFonts w:ascii="Times New Roman" w:eastAsiaTheme="minorEastAsia" w:hAnsi="Times New Roman"/>
          <w:lang w:eastAsia="zh-CN"/>
        </w:rPr>
        <w:t>瑞士，自然保护联盟。</w:t>
      </w:r>
      <w:r w:rsidRPr="00650F1F">
        <w:rPr>
          <w:rFonts w:ascii="Times New Roman" w:eastAsiaTheme="minorEastAsia" w:hAnsi="Times New Roman"/>
          <w:snapToGrid w:val="0"/>
          <w:kern w:val="18"/>
          <w:lang w:eastAsia="zh-CN"/>
        </w:rPr>
        <w:t>可查阅</w:t>
      </w:r>
      <w:hyperlink r:id="rId58" w:history="1">
        <w:r w:rsidRPr="00650F1F">
          <w:rPr>
            <w:rStyle w:val="Hyperlink"/>
            <w:rFonts w:ascii="Times New Roman" w:eastAsiaTheme="minorEastAsia" w:hAnsi="Times New Roman"/>
            <w:snapToGrid w:val="0"/>
            <w:kern w:val="18"/>
            <w:lang w:eastAsia="zh-CN"/>
          </w:rPr>
          <w:t>https://www.iucn.org/content/natural-solutions-protected-areas-helping-people-cope-climate-change</w:t>
        </w:r>
      </w:hyperlink>
      <w:r w:rsidRPr="00650F1F">
        <w:rPr>
          <w:rFonts w:ascii="Times New Roman" w:eastAsiaTheme="minorEastAsia" w:hAnsi="Times New Roman"/>
          <w:snapToGrid w:val="0"/>
          <w:kern w:val="18"/>
          <w:lang w:eastAsia="zh-CN"/>
        </w:rPr>
        <w:t>。</w:t>
      </w:r>
    </w:p>
  </w:footnote>
  <w:footnote w:id="130">
    <w:p w:rsidR="00594C0B" w:rsidRPr="00650F1F" w:rsidRDefault="00594C0B" w:rsidP="00650F1F">
      <w:pPr>
        <w:pStyle w:val="FootnoteText"/>
        <w:tabs>
          <w:tab w:val="left" w:pos="360"/>
        </w:tabs>
        <w:spacing w:before="0"/>
        <w:ind w:firstLine="0"/>
        <w:rPr>
          <w:rFonts w:eastAsiaTheme="minorEastAsia"/>
          <w:sz w:val="20"/>
          <w:szCs w:val="20"/>
          <w:lang w:eastAsia="zh-CN"/>
        </w:rPr>
      </w:pPr>
      <w:r w:rsidRPr="00166D58">
        <w:rPr>
          <w:rStyle w:val="FootnoteReference"/>
          <w:rFonts w:eastAsiaTheme="minorEastAsia"/>
          <w:sz w:val="24"/>
          <w:szCs w:val="20"/>
          <w:u w:val="none"/>
          <w:vertAlign w:val="superscript"/>
          <w:lang w:eastAsia="zh-CN"/>
        </w:rPr>
        <w:footnoteRef/>
      </w:r>
      <w:r w:rsidRPr="00166D58">
        <w:rPr>
          <w:rStyle w:val="FootnoteReference"/>
          <w:rFonts w:eastAsiaTheme="minorEastAsia"/>
          <w:sz w:val="20"/>
          <w:szCs w:val="20"/>
          <w:u w:val="none"/>
        </w:rPr>
        <w:t xml:space="preserve"> </w:t>
      </w:r>
      <w:r w:rsidRPr="00166D58">
        <w:rPr>
          <w:rFonts w:eastAsiaTheme="minorEastAsia"/>
          <w:sz w:val="20"/>
          <w:szCs w:val="20"/>
          <w:lang w:eastAsia="zh-CN"/>
        </w:rPr>
        <w:tab/>
      </w:r>
      <w:r w:rsidRPr="00650F1F">
        <w:rPr>
          <w:rFonts w:eastAsiaTheme="minorEastAsia"/>
          <w:sz w:val="20"/>
          <w:szCs w:val="20"/>
          <w:lang w:eastAsia="zh-CN"/>
        </w:rPr>
        <w:t>见开发计划署，</w:t>
      </w:r>
      <w:r w:rsidRPr="00650F1F">
        <w:rPr>
          <w:rFonts w:eastAsiaTheme="minorEastAsia"/>
          <w:sz w:val="20"/>
          <w:szCs w:val="20"/>
          <w:lang w:eastAsia="zh-CN"/>
        </w:rPr>
        <w:t>2016</w:t>
      </w:r>
      <w:r w:rsidRPr="00650F1F">
        <w:rPr>
          <w:rFonts w:eastAsiaTheme="minorEastAsia"/>
          <w:sz w:val="20"/>
          <w:szCs w:val="20"/>
          <w:lang w:eastAsia="zh-CN"/>
        </w:rPr>
        <w:t>年，</w:t>
      </w:r>
      <w:r w:rsidRPr="00166D58">
        <w:rPr>
          <w:rFonts w:asciiTheme="minorEastAsia" w:eastAsiaTheme="minorEastAsia" w:hAnsiTheme="minorEastAsia"/>
          <w:sz w:val="20"/>
          <w:szCs w:val="20"/>
          <w:lang w:eastAsia="zh-CN"/>
        </w:rPr>
        <w:t>“国家生物多样性战略和行动计划：加速行动实现可持续发展目标的自然催化剂”，</w:t>
      </w:r>
      <w:r w:rsidRPr="00650F1F">
        <w:rPr>
          <w:rFonts w:eastAsiaTheme="minorEastAsia"/>
          <w:sz w:val="20"/>
          <w:szCs w:val="20"/>
          <w:lang w:eastAsia="zh-CN"/>
        </w:rPr>
        <w:t>中期报告，联合国开发计划署，</w:t>
      </w:r>
      <w:r w:rsidRPr="00650F1F">
        <w:rPr>
          <w:rFonts w:eastAsiaTheme="minorEastAsia"/>
          <w:sz w:val="20"/>
          <w:szCs w:val="20"/>
          <w:lang w:eastAsia="zh-CN"/>
        </w:rPr>
        <w:t>2016</w:t>
      </w:r>
      <w:r w:rsidRPr="00650F1F">
        <w:rPr>
          <w:rFonts w:eastAsiaTheme="minorEastAsia"/>
          <w:sz w:val="20"/>
          <w:szCs w:val="20"/>
          <w:lang w:eastAsia="zh-CN"/>
        </w:rPr>
        <w:t>年</w:t>
      </w:r>
      <w:r w:rsidRPr="00650F1F">
        <w:rPr>
          <w:rFonts w:eastAsiaTheme="minorEastAsia"/>
          <w:sz w:val="20"/>
          <w:szCs w:val="20"/>
          <w:lang w:eastAsia="zh-CN"/>
        </w:rPr>
        <w:t>12</w:t>
      </w:r>
      <w:r w:rsidRPr="00650F1F">
        <w:rPr>
          <w:rFonts w:eastAsiaTheme="minorEastAsia"/>
          <w:sz w:val="20"/>
          <w:szCs w:val="20"/>
          <w:lang w:eastAsia="zh-CN"/>
        </w:rPr>
        <w:t>月，</w:t>
      </w:r>
      <w:r w:rsidRPr="00650F1F">
        <w:rPr>
          <w:rFonts w:eastAsiaTheme="minorEastAsia"/>
          <w:snapToGrid w:val="0"/>
          <w:kern w:val="18"/>
          <w:sz w:val="20"/>
          <w:szCs w:val="20"/>
        </w:rPr>
        <w:t>UNDP: New York, United States of America. 10017</w:t>
      </w:r>
      <w:r w:rsidRPr="00650F1F">
        <w:rPr>
          <w:rFonts w:eastAsiaTheme="minorEastAsia"/>
          <w:snapToGrid w:val="0"/>
          <w:kern w:val="18"/>
          <w:sz w:val="20"/>
          <w:szCs w:val="20"/>
          <w:lang w:eastAsia="zh-CN"/>
        </w:rPr>
        <w:t>。可查阅</w:t>
      </w:r>
      <w:hyperlink r:id="rId59" w:history="1">
        <w:r w:rsidRPr="00650F1F">
          <w:rPr>
            <w:rStyle w:val="Hyperlink"/>
            <w:rFonts w:eastAsiaTheme="minorEastAsia"/>
            <w:snapToGrid w:val="0"/>
            <w:kern w:val="18"/>
            <w:sz w:val="20"/>
            <w:szCs w:val="20"/>
            <w:lang w:eastAsia="zh-CN"/>
          </w:rPr>
          <w:t>https://www.cbd.int/doc/nbsap/NBSAPs-catalysts-SDGs.pdf</w:t>
        </w:r>
      </w:hyperlink>
      <w:r w:rsidRPr="00650F1F">
        <w:rPr>
          <w:rFonts w:eastAsiaTheme="minorEastAsia"/>
          <w:sz w:val="20"/>
          <w:szCs w:val="20"/>
          <w:lang w:eastAsia="zh-CN"/>
        </w:rPr>
        <w:t>。</w:t>
      </w:r>
    </w:p>
  </w:footnote>
  <w:footnote w:id="131">
    <w:p w:rsidR="00594C0B" w:rsidRPr="00650F1F" w:rsidRDefault="00594C0B" w:rsidP="00650F1F">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lang w:eastAsia="zh-CN"/>
        </w:rPr>
        <w:footnoteRef/>
      </w:r>
      <w:r w:rsidRPr="00171125">
        <w:rPr>
          <w:rStyle w:val="FootnoteReference"/>
          <w:rFonts w:eastAsiaTheme="minorEastAsia"/>
          <w:sz w:val="24"/>
          <w:u w:val="none"/>
          <w:vertAlign w:val="superscript"/>
          <w:lang w:eastAsia="zh-CN"/>
        </w:rPr>
        <w:t xml:space="preserve"> </w:t>
      </w:r>
      <w:r w:rsidRPr="00171125">
        <w:rPr>
          <w:rStyle w:val="FootnoteReference"/>
          <w:rFonts w:eastAsiaTheme="minorEastAsia"/>
          <w:sz w:val="24"/>
          <w:u w:val="none"/>
          <w:vertAlign w:val="superscript"/>
          <w:lang w:eastAsia="zh-CN"/>
        </w:rPr>
        <w:tab/>
      </w:r>
      <w:r w:rsidRPr="00650F1F">
        <w:rPr>
          <w:rFonts w:eastAsiaTheme="minorEastAsia"/>
          <w:sz w:val="20"/>
          <w:szCs w:val="20"/>
          <w:lang w:eastAsia="zh-CN"/>
        </w:rPr>
        <w:t>几项研究（包括最近对全球</w:t>
      </w:r>
      <w:r w:rsidRPr="00650F1F">
        <w:rPr>
          <w:rFonts w:eastAsiaTheme="minorEastAsia"/>
          <w:sz w:val="20"/>
          <w:szCs w:val="20"/>
          <w:lang w:eastAsia="zh-CN"/>
        </w:rPr>
        <w:t>165</w:t>
      </w:r>
      <w:r w:rsidRPr="00650F1F">
        <w:rPr>
          <w:rFonts w:eastAsiaTheme="minorEastAsia"/>
          <w:sz w:val="20"/>
          <w:szCs w:val="20"/>
          <w:lang w:eastAsia="zh-CN"/>
        </w:rPr>
        <w:t>个保护区的分析）发现，那些当地人直接参与保护工作并从中受益的保护区，在生物多样性保护和社会经济发展方面更为有效。</w:t>
      </w:r>
      <w:r w:rsidRPr="00650F1F">
        <w:rPr>
          <w:rFonts w:eastAsiaTheme="minorEastAsia"/>
          <w:sz w:val="20"/>
          <w:szCs w:val="20"/>
          <w:lang w:eastAsia="zh-CN"/>
        </w:rPr>
        <w:t xml:space="preserve"> Oldekop</w:t>
      </w:r>
      <w:r w:rsidRPr="00650F1F">
        <w:rPr>
          <w:rFonts w:eastAsiaTheme="minorEastAsia"/>
          <w:sz w:val="20"/>
          <w:szCs w:val="20"/>
          <w:lang w:eastAsia="zh-CN"/>
        </w:rPr>
        <w:t>，</w:t>
      </w:r>
      <w:r w:rsidRPr="00650F1F">
        <w:rPr>
          <w:rFonts w:eastAsiaTheme="minorEastAsia"/>
          <w:sz w:val="20"/>
          <w:szCs w:val="20"/>
          <w:lang w:eastAsia="zh-CN"/>
        </w:rPr>
        <w:t>J.A.</w:t>
      </w:r>
      <w:r w:rsidRPr="00650F1F">
        <w:rPr>
          <w:rFonts w:eastAsiaTheme="minorEastAsia"/>
          <w:sz w:val="20"/>
          <w:szCs w:val="20"/>
          <w:lang w:eastAsia="zh-CN"/>
        </w:rPr>
        <w:t>等（</w:t>
      </w:r>
      <w:r w:rsidRPr="00650F1F">
        <w:rPr>
          <w:rFonts w:eastAsiaTheme="minorEastAsia"/>
          <w:sz w:val="20"/>
          <w:szCs w:val="20"/>
          <w:lang w:eastAsia="zh-CN"/>
        </w:rPr>
        <w:t>2015</w:t>
      </w:r>
      <w:r w:rsidRPr="00650F1F">
        <w:rPr>
          <w:rFonts w:eastAsiaTheme="minorEastAsia"/>
          <w:sz w:val="20"/>
          <w:szCs w:val="20"/>
          <w:lang w:eastAsia="zh-CN"/>
        </w:rPr>
        <w:t>），</w:t>
      </w:r>
      <w:r w:rsidRPr="00171125">
        <w:rPr>
          <w:rFonts w:asciiTheme="minorEastAsia" w:eastAsiaTheme="minorEastAsia" w:hAnsiTheme="minorEastAsia"/>
          <w:sz w:val="20"/>
          <w:szCs w:val="20"/>
          <w:lang w:eastAsia="zh-CN"/>
        </w:rPr>
        <w:t>“对</w:t>
      </w:r>
      <w:r w:rsidRPr="00650F1F">
        <w:rPr>
          <w:rFonts w:eastAsiaTheme="minorEastAsia"/>
          <w:sz w:val="20"/>
          <w:szCs w:val="20"/>
          <w:lang w:eastAsia="zh-CN"/>
        </w:rPr>
        <w:t>保护区社会和保护成果的全球评估</w:t>
      </w:r>
      <w:r w:rsidRPr="00171125">
        <w:rPr>
          <w:rFonts w:asciiTheme="minorEastAsia" w:eastAsiaTheme="minorEastAsia" w:hAnsiTheme="minorEastAsia"/>
          <w:sz w:val="20"/>
          <w:szCs w:val="20"/>
          <w:lang w:eastAsia="zh-CN"/>
        </w:rPr>
        <w:t xml:space="preserve"> ”</w:t>
      </w:r>
      <w:r w:rsidRPr="00650F1F">
        <w:rPr>
          <w:rFonts w:eastAsiaTheme="minorEastAsia"/>
          <w:sz w:val="20"/>
          <w:szCs w:val="20"/>
          <w:lang w:eastAsia="zh-CN"/>
        </w:rPr>
        <w:t>，《保护生物学》，</w:t>
      </w:r>
      <w:r w:rsidRPr="00650F1F">
        <w:rPr>
          <w:rFonts w:eastAsiaTheme="minorEastAsia"/>
          <w:sz w:val="20"/>
          <w:szCs w:val="20"/>
          <w:lang w:eastAsia="zh-CN"/>
        </w:rPr>
        <w:t>30 (1)</w:t>
      </w:r>
      <w:r w:rsidRPr="00650F1F">
        <w:rPr>
          <w:rFonts w:eastAsiaTheme="minorEastAsia"/>
          <w:sz w:val="20"/>
          <w:szCs w:val="20"/>
          <w:lang w:eastAsia="zh-CN"/>
        </w:rPr>
        <w:t>：</w:t>
      </w:r>
      <w:r w:rsidRPr="00650F1F">
        <w:rPr>
          <w:rFonts w:eastAsiaTheme="minorEastAsia"/>
          <w:sz w:val="20"/>
          <w:szCs w:val="20"/>
          <w:lang w:eastAsia="zh-CN"/>
        </w:rPr>
        <w:t>133-141</w:t>
      </w:r>
      <w:r w:rsidRPr="00650F1F">
        <w:rPr>
          <w:rFonts w:eastAsiaTheme="minorEastAsia"/>
          <w:sz w:val="20"/>
          <w:szCs w:val="20"/>
          <w:lang w:eastAsia="zh-CN"/>
        </w:rPr>
        <w:t>。</w:t>
      </w:r>
    </w:p>
  </w:footnote>
  <w:footnote w:id="132">
    <w:p w:rsidR="00594C0B" w:rsidRPr="00650F1F" w:rsidRDefault="00594C0B" w:rsidP="00650F1F">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lang w:eastAsia="zh-CN"/>
        </w:rPr>
        <w:footnoteRef/>
      </w:r>
      <w:r w:rsidRPr="00171125">
        <w:rPr>
          <w:rStyle w:val="FootnoteReference"/>
          <w:sz w:val="24"/>
          <w:u w:val="none"/>
          <w:vertAlign w:val="superscript"/>
          <w:lang w:eastAsia="zh-CN"/>
        </w:rPr>
        <w:tab/>
      </w:r>
      <w:r w:rsidRPr="00650F1F">
        <w:rPr>
          <w:rFonts w:eastAsiaTheme="minorEastAsia"/>
          <w:sz w:val="20"/>
          <w:szCs w:val="20"/>
          <w:lang w:eastAsia="zh-CN"/>
        </w:rPr>
        <w:t>同一决定邀请缔约方根据国家法律和适用国际义务建立明确机制和程序，以公平分享保护区的成本和惠益，保证土著人民和地方社区的充分和有效参与；承认土著人民和地方社区保护区和其他利益攸关方的保护区在生物多样性保护、合作管理、治理类型多样化等方面的作用。</w:t>
      </w:r>
    </w:p>
  </w:footnote>
  <w:footnote w:id="133">
    <w:p w:rsidR="00594C0B" w:rsidRPr="00650F1F" w:rsidRDefault="00594C0B" w:rsidP="00650F1F">
      <w:pPr>
        <w:pStyle w:val="FootnoteText"/>
        <w:tabs>
          <w:tab w:val="left" w:pos="360"/>
        </w:tabs>
        <w:spacing w:before="0"/>
        <w:ind w:firstLine="0"/>
        <w:rPr>
          <w:rFonts w:eastAsiaTheme="minorEastAsia"/>
          <w:sz w:val="20"/>
          <w:szCs w:val="20"/>
          <w:lang w:eastAsia="zh-CN"/>
        </w:rPr>
      </w:pPr>
      <w:r w:rsidRPr="00171125">
        <w:rPr>
          <w:rStyle w:val="FootnoteReference"/>
          <w:rFonts w:eastAsiaTheme="minorEastAsia"/>
          <w:sz w:val="24"/>
          <w:szCs w:val="20"/>
          <w:u w:val="none"/>
          <w:vertAlign w:val="superscript"/>
          <w:lang w:eastAsia="zh-CN"/>
        </w:rPr>
        <w:footnoteRef/>
      </w:r>
      <w:r w:rsidRPr="00171125">
        <w:rPr>
          <w:rStyle w:val="FootnoteReference"/>
          <w:rFonts w:eastAsiaTheme="minorEastAsia"/>
          <w:sz w:val="24"/>
          <w:szCs w:val="20"/>
          <w:u w:val="none"/>
          <w:vertAlign w:val="superscript"/>
          <w:lang w:eastAsia="zh-CN"/>
        </w:rPr>
        <w:t xml:space="preserve"> </w:t>
      </w:r>
      <w:r w:rsidRPr="00171125">
        <w:rPr>
          <w:rStyle w:val="FootnoteReference"/>
          <w:sz w:val="24"/>
          <w:u w:val="none"/>
          <w:vertAlign w:val="superscript"/>
          <w:lang w:eastAsia="zh-CN"/>
        </w:rPr>
        <w:tab/>
      </w:r>
      <w:r w:rsidRPr="00650F1F">
        <w:rPr>
          <w:rFonts w:eastAsiaTheme="minorEastAsia"/>
          <w:snapToGrid w:val="0"/>
          <w:kern w:val="18"/>
          <w:sz w:val="20"/>
          <w:szCs w:val="20"/>
          <w:lang w:eastAsia="ja-JP" w:bidi="th-TH"/>
        </w:rPr>
        <w:t>CBD/SBSTTA/22/INF/8</w:t>
      </w:r>
      <w:r w:rsidRPr="00650F1F">
        <w:rPr>
          <w:rFonts w:eastAsiaTheme="minorEastAsia"/>
          <w:snapToGrid w:val="0"/>
          <w:kern w:val="18"/>
          <w:sz w:val="20"/>
          <w:szCs w:val="20"/>
          <w:lang w:eastAsia="zh-CN" w:bidi="th-TH"/>
        </w:rPr>
        <w:t>。</w:t>
      </w:r>
    </w:p>
  </w:footnote>
  <w:footnote w:id="134">
    <w:p w:rsidR="00594C0B" w:rsidRPr="00650F1F" w:rsidRDefault="00594C0B" w:rsidP="00650F1F">
      <w:pPr>
        <w:pStyle w:val="FootnoteText"/>
        <w:tabs>
          <w:tab w:val="left" w:pos="360"/>
        </w:tabs>
        <w:spacing w:before="0"/>
        <w:ind w:firstLine="0"/>
        <w:rPr>
          <w:rFonts w:eastAsiaTheme="minorEastAsia"/>
          <w:sz w:val="20"/>
          <w:szCs w:val="20"/>
          <w:lang w:eastAsia="zh-CN"/>
        </w:rPr>
      </w:pPr>
      <w:r w:rsidRPr="00171125">
        <w:rPr>
          <w:rStyle w:val="FootnoteReference"/>
          <w:rFonts w:eastAsiaTheme="minorEastAsia"/>
          <w:sz w:val="24"/>
          <w:szCs w:val="20"/>
          <w:u w:val="none"/>
          <w:vertAlign w:val="superscript"/>
          <w:lang w:eastAsia="zh-CN"/>
        </w:rPr>
        <w:footnoteRef/>
      </w:r>
      <w:r w:rsidRPr="00171125">
        <w:rPr>
          <w:rStyle w:val="FootnoteReference"/>
          <w:sz w:val="24"/>
          <w:u w:val="none"/>
          <w:vertAlign w:val="superscript"/>
          <w:lang w:eastAsia="zh-CN"/>
        </w:rPr>
        <w:tab/>
      </w:r>
      <w:r w:rsidRPr="00650F1F">
        <w:rPr>
          <w:rFonts w:eastAsiaTheme="minorEastAsia"/>
          <w:sz w:val="20"/>
          <w:szCs w:val="20"/>
          <w:lang w:eastAsia="zh-CN"/>
        </w:rPr>
        <w:t>如土著人民和地方社区与政府之间，或个人与政府之间。</w:t>
      </w:r>
    </w:p>
  </w:footnote>
  <w:footnote w:id="135">
    <w:p w:rsidR="00594C0B" w:rsidRPr="00650F1F" w:rsidRDefault="00594C0B" w:rsidP="00650F1F">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lang w:eastAsia="zh-CN"/>
        </w:rPr>
        <w:footnoteRef/>
      </w:r>
      <w:r w:rsidRPr="00650F1F">
        <w:rPr>
          <w:rFonts w:eastAsiaTheme="minorEastAsia"/>
          <w:sz w:val="20"/>
          <w:szCs w:val="20"/>
          <w:lang w:eastAsia="zh-CN"/>
        </w:rPr>
        <w:tab/>
      </w:r>
      <w:r w:rsidRPr="00650F1F">
        <w:rPr>
          <w:rFonts w:eastAsiaTheme="minorEastAsia"/>
          <w:sz w:val="20"/>
          <w:szCs w:val="20"/>
          <w:lang w:eastAsia="zh-CN"/>
        </w:rPr>
        <w:t>这是因为治理类型涉及谁是带头发起建立保护区并对保护区拥有权责的行为者，因保有权和利益攸关方的期望不同而有所不同。</w:t>
      </w:r>
    </w:p>
  </w:footnote>
  <w:footnote w:id="136">
    <w:p w:rsidR="00594C0B" w:rsidRPr="00650F1F" w:rsidRDefault="00594C0B" w:rsidP="00171125">
      <w:pPr>
        <w:pStyle w:val="HTMLPreformatted"/>
        <w:tabs>
          <w:tab w:val="left" w:pos="360"/>
        </w:tabs>
        <w:spacing w:before="0" w:after="60"/>
        <w:ind w:firstLine="0"/>
        <w:rPr>
          <w:rFonts w:ascii="Times New Roman" w:eastAsiaTheme="minorEastAsia" w:hAnsi="Times New Roman"/>
          <w:lang w:eastAsia="zh-CN"/>
        </w:rPr>
      </w:pPr>
      <w:r w:rsidRPr="00171125">
        <w:rPr>
          <w:rStyle w:val="FootnoteReference"/>
          <w:rFonts w:ascii="Times New Roman" w:eastAsiaTheme="minorEastAsia" w:hAnsi="Times New Roman"/>
          <w:sz w:val="24"/>
          <w:u w:val="none"/>
          <w:vertAlign w:val="superscript"/>
          <w:lang w:val="en-GB"/>
        </w:rPr>
        <w:footnoteRef/>
      </w:r>
      <w:r w:rsidRPr="00171125">
        <w:rPr>
          <w:rStyle w:val="FootnoteReference"/>
          <w:rFonts w:ascii="Times New Roman" w:eastAsiaTheme="minorEastAsia" w:hAnsi="Times New Roman"/>
          <w:u w:val="none"/>
          <w:lang w:val="en-GB" w:eastAsia="zh-CN"/>
        </w:rPr>
        <w:t xml:space="preserve"> </w:t>
      </w:r>
      <w:r w:rsidRPr="00650F1F">
        <w:rPr>
          <w:rFonts w:ascii="Times New Roman" w:eastAsiaTheme="minorEastAsia" w:hAnsi="Times New Roman"/>
          <w:lang w:eastAsia="zh-CN"/>
        </w:rPr>
        <w:t>有用指南包括：《生物多样性公约技术丛书》第</w:t>
      </w:r>
      <w:r w:rsidRPr="00650F1F">
        <w:rPr>
          <w:rFonts w:ascii="Times New Roman" w:eastAsiaTheme="minorEastAsia" w:hAnsi="Times New Roman"/>
          <w:lang w:eastAsia="zh-CN"/>
        </w:rPr>
        <w:t>64</w:t>
      </w:r>
      <w:r w:rsidRPr="00650F1F">
        <w:rPr>
          <w:rFonts w:ascii="Times New Roman" w:eastAsiaTheme="minorEastAsia" w:hAnsi="Times New Roman"/>
          <w:lang w:eastAsia="zh-CN"/>
        </w:rPr>
        <w:t>号，《联合国土著人民权利宣言》；</w:t>
      </w:r>
      <w:r w:rsidRPr="00650F1F">
        <w:rPr>
          <w:rFonts w:ascii="Times New Roman" w:eastAsiaTheme="minorEastAsia" w:hAnsi="Times New Roman"/>
          <w:lang w:eastAsia="zh-CN"/>
        </w:rPr>
        <w:t>Sue Stolton</w:t>
      </w:r>
      <w:r w:rsidRPr="00650F1F">
        <w:rPr>
          <w:rFonts w:ascii="Times New Roman" w:eastAsiaTheme="minorEastAsia" w:hAnsi="Times New Roman"/>
          <w:lang w:eastAsia="zh-CN"/>
        </w:rPr>
        <w:t>、</w:t>
      </w:r>
      <w:r w:rsidRPr="00650F1F">
        <w:rPr>
          <w:rFonts w:ascii="Times New Roman" w:eastAsiaTheme="minorEastAsia" w:hAnsi="Times New Roman"/>
          <w:lang w:eastAsia="zh-CN"/>
        </w:rPr>
        <w:t>Kent H. Redford</w:t>
      </w:r>
      <w:r w:rsidRPr="00650F1F">
        <w:rPr>
          <w:rFonts w:ascii="Times New Roman" w:eastAsiaTheme="minorEastAsia" w:hAnsi="Times New Roman"/>
          <w:lang w:eastAsia="zh-CN"/>
        </w:rPr>
        <w:t>和</w:t>
      </w:r>
      <w:r w:rsidRPr="00650F1F">
        <w:rPr>
          <w:rFonts w:ascii="Times New Roman" w:eastAsiaTheme="minorEastAsia" w:hAnsi="Times New Roman"/>
          <w:lang w:eastAsia="zh-CN"/>
        </w:rPr>
        <w:t>Nigel Dudley</w:t>
      </w:r>
      <w:r w:rsidRPr="00650F1F">
        <w:rPr>
          <w:rFonts w:ascii="Times New Roman" w:eastAsiaTheme="minorEastAsia" w:hAnsi="Times New Roman"/>
          <w:lang w:eastAsia="zh-CN"/>
        </w:rPr>
        <w:t>（</w:t>
      </w:r>
      <w:r w:rsidRPr="00650F1F">
        <w:rPr>
          <w:rFonts w:ascii="Times New Roman" w:eastAsiaTheme="minorEastAsia" w:hAnsi="Times New Roman"/>
          <w:lang w:eastAsia="zh-CN"/>
        </w:rPr>
        <w:t>2014</w:t>
      </w:r>
      <w:r w:rsidRPr="00650F1F">
        <w:rPr>
          <w:rFonts w:ascii="Times New Roman" w:eastAsiaTheme="minorEastAsia" w:hAnsi="Times New Roman"/>
          <w:lang w:eastAsia="zh-CN"/>
        </w:rPr>
        <w:t>），《私有保护区的未来》，瑞士格朗，自然保护联盟。</w:t>
      </w:r>
    </w:p>
  </w:footnote>
  <w:footnote w:id="137">
    <w:p w:rsidR="00594C0B" w:rsidRPr="00650F1F" w:rsidRDefault="00594C0B" w:rsidP="00650F1F">
      <w:pPr>
        <w:pStyle w:val="FootnoteText"/>
        <w:tabs>
          <w:tab w:val="left" w:pos="360"/>
        </w:tabs>
        <w:spacing w:before="0"/>
        <w:ind w:firstLine="0"/>
        <w:rPr>
          <w:rFonts w:eastAsiaTheme="minorEastAsia"/>
          <w:sz w:val="20"/>
          <w:szCs w:val="20"/>
          <w:lang w:eastAsia="zh-CN"/>
        </w:rPr>
      </w:pPr>
      <w:r w:rsidRPr="00171125">
        <w:rPr>
          <w:rStyle w:val="FootnoteReference"/>
          <w:rFonts w:eastAsiaTheme="minorEastAsia"/>
          <w:sz w:val="24"/>
          <w:szCs w:val="20"/>
          <w:u w:val="none"/>
          <w:vertAlign w:val="superscript"/>
          <w:lang w:eastAsia="en-GB"/>
        </w:rPr>
        <w:footnoteRef/>
      </w:r>
      <w:r w:rsidRPr="00171125">
        <w:rPr>
          <w:rStyle w:val="FootnoteReference"/>
          <w:rFonts w:eastAsiaTheme="minorEastAsia"/>
          <w:sz w:val="24"/>
          <w:szCs w:val="20"/>
          <w:u w:val="none"/>
          <w:vertAlign w:val="superscript"/>
          <w:lang w:eastAsia="zh-CN"/>
        </w:rPr>
        <w:t xml:space="preserve"> </w:t>
      </w:r>
      <w:r w:rsidRPr="00650F1F">
        <w:rPr>
          <w:rFonts w:eastAsiaTheme="minorEastAsia"/>
          <w:sz w:val="20"/>
          <w:szCs w:val="20"/>
          <w:lang w:val="en-US" w:eastAsia="zh-CN"/>
        </w:rPr>
        <w:tab/>
      </w:r>
      <w:r w:rsidRPr="00650F1F">
        <w:rPr>
          <w:rFonts w:eastAsiaTheme="minorEastAsia"/>
          <w:sz w:val="20"/>
          <w:szCs w:val="20"/>
          <w:lang w:eastAsia="zh-CN"/>
        </w:rPr>
        <w:t>例如国家以下级政府、地方政府、土地所有者、小农、非政府组织和其他民间团体、土著人民和地方社区等行为者。</w:t>
      </w:r>
    </w:p>
  </w:footnote>
  <w:footnote w:id="138">
    <w:p w:rsidR="00594C0B" w:rsidRPr="00650F1F" w:rsidRDefault="00594C0B" w:rsidP="00650F1F">
      <w:pPr>
        <w:pStyle w:val="FootnoteText"/>
        <w:tabs>
          <w:tab w:val="left" w:pos="360"/>
        </w:tabs>
        <w:spacing w:before="0"/>
        <w:ind w:firstLine="0"/>
        <w:rPr>
          <w:rFonts w:eastAsiaTheme="minorEastAsia"/>
          <w:sz w:val="20"/>
          <w:szCs w:val="20"/>
          <w:lang w:eastAsia="zh-CN"/>
        </w:rPr>
      </w:pPr>
      <w:r w:rsidRPr="00171125">
        <w:rPr>
          <w:rStyle w:val="FootnoteReference"/>
          <w:rFonts w:eastAsiaTheme="minorEastAsia"/>
          <w:sz w:val="24"/>
          <w:szCs w:val="20"/>
          <w:u w:val="none"/>
          <w:vertAlign w:val="superscript"/>
          <w:lang w:eastAsia="en-GB"/>
        </w:rPr>
        <w:footnoteRef/>
      </w:r>
      <w:r w:rsidRPr="00171125">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有用指南包括：《自然保护联盟最佳做法准则</w:t>
      </w:r>
      <w:r w:rsidRPr="00650F1F">
        <w:rPr>
          <w:rFonts w:eastAsiaTheme="minorEastAsia"/>
          <w:sz w:val="20"/>
          <w:szCs w:val="20"/>
          <w:lang w:eastAsia="zh-CN"/>
        </w:rPr>
        <w:t>No. 20</w:t>
      </w:r>
      <w:r w:rsidRPr="00650F1F">
        <w:rPr>
          <w:rFonts w:eastAsiaTheme="minorEastAsia"/>
          <w:sz w:val="20"/>
          <w:szCs w:val="20"/>
          <w:lang w:eastAsia="zh-CN"/>
        </w:rPr>
        <w:t>：保护区的治理：从了解到行动》（</w:t>
      </w:r>
      <w:r w:rsidRPr="00650F1F">
        <w:rPr>
          <w:rFonts w:eastAsiaTheme="minorEastAsia"/>
          <w:sz w:val="20"/>
          <w:szCs w:val="20"/>
          <w:lang w:eastAsia="zh-CN"/>
        </w:rPr>
        <w:t>2013</w:t>
      </w:r>
      <w:r w:rsidRPr="00650F1F">
        <w:rPr>
          <w:rFonts w:eastAsiaTheme="minorEastAsia"/>
          <w:sz w:val="20"/>
          <w:szCs w:val="20"/>
          <w:lang w:eastAsia="zh-CN"/>
        </w:rPr>
        <w:t>）。</w:t>
      </w:r>
    </w:p>
  </w:footnote>
  <w:footnote w:id="139">
    <w:p w:rsidR="00594C0B" w:rsidRPr="00650F1F" w:rsidRDefault="00594C0B" w:rsidP="00650F1F">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lang w:eastAsia="en-GB"/>
        </w:rPr>
        <w:footnoteRef/>
      </w:r>
      <w:r w:rsidRPr="00171125">
        <w:rPr>
          <w:rStyle w:val="FootnoteReference"/>
          <w:rFonts w:eastAsiaTheme="minorEastAsia"/>
          <w:sz w:val="24"/>
          <w:szCs w:val="20"/>
          <w:u w:val="none"/>
          <w:vertAlign w:val="superscript"/>
          <w:lang w:eastAsia="zh-CN"/>
        </w:rPr>
        <w:t xml:space="preserve"> </w:t>
      </w:r>
      <w:r w:rsidRPr="00171125">
        <w:rPr>
          <w:rStyle w:val="FootnoteReference"/>
          <w:sz w:val="24"/>
          <w:u w:val="none"/>
          <w:vertAlign w:val="superscript"/>
          <w:lang w:eastAsia="zh-CN"/>
        </w:rPr>
        <w:tab/>
      </w:r>
      <w:r w:rsidRPr="00650F1F">
        <w:rPr>
          <w:rFonts w:eastAsiaTheme="minorEastAsia"/>
          <w:sz w:val="20"/>
          <w:szCs w:val="20"/>
          <w:lang w:eastAsia="zh-CN"/>
        </w:rPr>
        <w:t>这种评估还有助于查明对生物多样性特别重要的地区，其保护状况，是由谁和如何管理的，表明可能对现有网络做出贡献的机会。应考虑经济、社会和文化成本和惠益。</w:t>
      </w:r>
    </w:p>
  </w:footnote>
  <w:footnote w:id="140">
    <w:p w:rsidR="00594C0B" w:rsidRPr="00650F1F" w:rsidRDefault="00594C0B" w:rsidP="00650F1F">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lang w:eastAsia="zh-CN"/>
        </w:rPr>
        <w:footnoteRef/>
      </w:r>
      <w:r w:rsidRPr="00171125">
        <w:rPr>
          <w:rFonts w:eastAsiaTheme="minorEastAsia"/>
          <w:sz w:val="20"/>
          <w:szCs w:val="20"/>
          <w:lang w:val="en-US" w:eastAsia="zh-CN"/>
        </w:rPr>
        <w:t xml:space="preserve"> </w:t>
      </w:r>
      <w:r w:rsidRPr="00650F1F">
        <w:rPr>
          <w:rFonts w:eastAsiaTheme="minorEastAsia"/>
          <w:sz w:val="20"/>
          <w:szCs w:val="20"/>
          <w:lang w:val="en-US" w:eastAsia="zh-CN"/>
        </w:rPr>
        <w:tab/>
      </w:r>
      <w:r w:rsidRPr="00650F1F">
        <w:rPr>
          <w:rFonts w:eastAsiaTheme="minorEastAsia"/>
          <w:sz w:val="20"/>
          <w:szCs w:val="20"/>
          <w:lang w:eastAsia="zh-CN"/>
        </w:rPr>
        <w:t>一些缔约方有许多指南和经验供有兴趣的国家政府和其他利益攸关方索取。有用指南包括：《生物多样性公约技术丛书》第</w:t>
      </w:r>
      <w:r w:rsidRPr="00650F1F">
        <w:rPr>
          <w:rFonts w:eastAsiaTheme="minorEastAsia"/>
          <w:sz w:val="20"/>
          <w:szCs w:val="20"/>
          <w:lang w:eastAsia="zh-CN"/>
        </w:rPr>
        <w:t>64</w:t>
      </w:r>
      <w:r w:rsidRPr="00650F1F">
        <w:rPr>
          <w:rFonts w:eastAsiaTheme="minorEastAsia"/>
          <w:sz w:val="20"/>
          <w:szCs w:val="20"/>
          <w:lang w:eastAsia="zh-CN"/>
        </w:rPr>
        <w:t>号；</w:t>
      </w:r>
      <w:r w:rsidRPr="00650F1F">
        <w:rPr>
          <w:rFonts w:eastAsiaTheme="minorEastAsia"/>
          <w:sz w:val="20"/>
          <w:szCs w:val="20"/>
          <w:lang w:eastAsia="zh-CN"/>
        </w:rPr>
        <w:t>Sue Stolton</w:t>
      </w:r>
      <w:r w:rsidRPr="00650F1F">
        <w:rPr>
          <w:rFonts w:eastAsiaTheme="minorEastAsia"/>
          <w:sz w:val="20"/>
          <w:szCs w:val="20"/>
          <w:lang w:eastAsia="zh-CN"/>
        </w:rPr>
        <w:t>、</w:t>
      </w:r>
      <w:r w:rsidRPr="00650F1F">
        <w:rPr>
          <w:rFonts w:eastAsiaTheme="minorEastAsia"/>
          <w:sz w:val="20"/>
          <w:szCs w:val="20"/>
          <w:lang w:eastAsia="zh-CN"/>
        </w:rPr>
        <w:t>Kent H. Redford</w:t>
      </w:r>
      <w:r w:rsidRPr="00650F1F">
        <w:rPr>
          <w:rFonts w:eastAsiaTheme="minorEastAsia"/>
          <w:sz w:val="20"/>
          <w:szCs w:val="20"/>
          <w:lang w:eastAsia="zh-CN"/>
        </w:rPr>
        <w:t>和</w:t>
      </w:r>
      <w:r w:rsidRPr="00650F1F">
        <w:rPr>
          <w:rFonts w:eastAsiaTheme="minorEastAsia"/>
          <w:sz w:val="20"/>
          <w:szCs w:val="20"/>
          <w:lang w:eastAsia="zh-CN"/>
        </w:rPr>
        <w:t>Nigel Dudley</w:t>
      </w:r>
      <w:r w:rsidRPr="00650F1F">
        <w:rPr>
          <w:rFonts w:eastAsiaTheme="minorEastAsia"/>
          <w:sz w:val="20"/>
          <w:szCs w:val="20"/>
          <w:lang w:eastAsia="zh-CN"/>
        </w:rPr>
        <w:t>（</w:t>
      </w:r>
      <w:r w:rsidRPr="00650F1F">
        <w:rPr>
          <w:rFonts w:eastAsiaTheme="minorEastAsia"/>
          <w:sz w:val="20"/>
          <w:szCs w:val="20"/>
          <w:lang w:eastAsia="zh-CN"/>
        </w:rPr>
        <w:t>2014</w:t>
      </w:r>
      <w:r w:rsidRPr="00650F1F">
        <w:rPr>
          <w:rFonts w:eastAsiaTheme="minorEastAsia"/>
          <w:sz w:val="20"/>
          <w:szCs w:val="20"/>
          <w:lang w:eastAsia="zh-CN"/>
        </w:rPr>
        <w:t>），《私有保护区的未来》，瑞士格朗，自然保护联盟；资料文件</w:t>
      </w:r>
      <w:r w:rsidRPr="00650F1F">
        <w:rPr>
          <w:rFonts w:eastAsiaTheme="minorEastAsia"/>
          <w:snapToGrid w:val="0"/>
          <w:kern w:val="18"/>
          <w:sz w:val="20"/>
          <w:szCs w:val="20"/>
          <w:lang w:eastAsia="zh-CN"/>
        </w:rPr>
        <w:t>CBD/SBSTTA/22/INF/8</w:t>
      </w:r>
      <w:r w:rsidRPr="00650F1F">
        <w:rPr>
          <w:rFonts w:eastAsiaTheme="minorEastAsia"/>
          <w:sz w:val="20"/>
          <w:szCs w:val="20"/>
          <w:lang w:eastAsia="zh-CN"/>
        </w:rPr>
        <w:t>。</w:t>
      </w:r>
    </w:p>
  </w:footnote>
  <w:footnote w:id="141">
    <w:p w:rsidR="00594C0B" w:rsidRPr="00650F1F" w:rsidRDefault="00594C0B" w:rsidP="00650F1F">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rPr>
        <w:footnoteRef/>
      </w:r>
      <w:r w:rsidRPr="00171125">
        <w:rPr>
          <w:rStyle w:val="FootnoteReference"/>
          <w:rFonts w:eastAsiaTheme="minorEastAsia"/>
          <w:sz w:val="24"/>
          <w:szCs w:val="20"/>
          <w:u w:val="none"/>
          <w:vertAlign w:val="superscript"/>
          <w:lang w:eastAsia="zh-CN"/>
        </w:rPr>
        <w:t xml:space="preserve"> </w:t>
      </w:r>
      <w:r w:rsidRPr="00650F1F">
        <w:rPr>
          <w:rFonts w:eastAsiaTheme="minorEastAsia"/>
          <w:sz w:val="20"/>
          <w:szCs w:val="20"/>
          <w:lang w:val="en-US" w:eastAsia="zh-CN"/>
        </w:rPr>
        <w:tab/>
      </w:r>
      <w:r w:rsidRPr="00650F1F">
        <w:rPr>
          <w:rFonts w:eastAsiaTheme="minorEastAsia"/>
          <w:sz w:val="20"/>
          <w:szCs w:val="20"/>
          <w:lang w:eastAsia="zh-CN"/>
        </w:rPr>
        <w:t>《自然保护联盟最佳做法准则</w:t>
      </w:r>
      <w:r w:rsidRPr="00650F1F">
        <w:rPr>
          <w:rFonts w:eastAsiaTheme="minorEastAsia"/>
          <w:sz w:val="20"/>
          <w:szCs w:val="20"/>
          <w:lang w:eastAsia="zh-CN"/>
        </w:rPr>
        <w:t>No. 20</w:t>
      </w:r>
      <w:r w:rsidRPr="00650F1F">
        <w:rPr>
          <w:rFonts w:eastAsiaTheme="minorEastAsia"/>
          <w:sz w:val="20"/>
          <w:szCs w:val="20"/>
          <w:lang w:eastAsia="zh-CN"/>
        </w:rPr>
        <w:t>》。</w:t>
      </w:r>
    </w:p>
  </w:footnote>
  <w:footnote w:id="142">
    <w:p w:rsidR="00594C0B" w:rsidRPr="00650F1F" w:rsidRDefault="00594C0B" w:rsidP="00171125">
      <w:pPr>
        <w:pStyle w:val="HTMLPreformatted"/>
        <w:tabs>
          <w:tab w:val="left" w:pos="360"/>
        </w:tabs>
        <w:spacing w:before="0" w:after="60"/>
        <w:ind w:firstLine="0"/>
        <w:rPr>
          <w:rFonts w:ascii="Times New Roman" w:eastAsiaTheme="minorEastAsia" w:hAnsi="Times New Roman"/>
          <w:lang w:eastAsia="zh-CN"/>
        </w:rPr>
      </w:pPr>
      <w:r w:rsidRPr="00171125">
        <w:rPr>
          <w:rStyle w:val="FootnoteReference"/>
          <w:rFonts w:ascii="Times New Roman" w:eastAsiaTheme="minorEastAsia" w:hAnsi="Times New Roman"/>
          <w:sz w:val="24"/>
          <w:u w:val="none"/>
          <w:vertAlign w:val="superscript"/>
          <w:lang w:val="en-GB" w:eastAsia="en-US"/>
        </w:rPr>
        <w:footnoteRef/>
      </w:r>
      <w:r w:rsidRPr="00171125">
        <w:rPr>
          <w:rStyle w:val="FootnoteReference"/>
          <w:rFonts w:ascii="Times New Roman" w:eastAsiaTheme="minorEastAsia" w:hAnsi="Times New Roman"/>
          <w:sz w:val="24"/>
          <w:u w:val="none"/>
          <w:vertAlign w:val="superscript"/>
          <w:lang w:val="en-GB"/>
        </w:rPr>
        <w:t xml:space="preserve"> </w:t>
      </w:r>
      <w:r w:rsidRPr="00171125">
        <w:rPr>
          <w:rFonts w:ascii="Times New Roman" w:eastAsiaTheme="minorEastAsia" w:hAnsi="Times New Roman"/>
          <w:lang w:eastAsia="zh-CN"/>
        </w:rPr>
        <w:t xml:space="preserve"> </w:t>
      </w:r>
      <w:r w:rsidRPr="00650F1F">
        <w:rPr>
          <w:rFonts w:ascii="Times New Roman" w:eastAsiaTheme="minorEastAsia" w:hAnsi="Times New Roman"/>
          <w:lang w:eastAsia="zh-CN"/>
        </w:rPr>
        <w:t>就保护区而言，</w:t>
      </w:r>
      <w:r w:rsidRPr="00084B39">
        <w:rPr>
          <w:rFonts w:asciiTheme="minorEastAsia" w:eastAsiaTheme="minorEastAsia" w:hAnsiTheme="minorEastAsia"/>
          <w:lang w:val="en-CA" w:eastAsia="zh-CN"/>
        </w:rPr>
        <w:t>“权利持有人”指按国家立法对自然资源和土地拥有合法或习惯权利的行为者</w:t>
      </w:r>
      <w:r w:rsidRPr="00650F1F">
        <w:rPr>
          <w:rFonts w:ascii="Times New Roman" w:eastAsiaTheme="minorEastAsia" w:hAnsi="Times New Roman"/>
          <w:lang w:eastAsia="zh-CN"/>
        </w:rPr>
        <w:t>。</w:t>
      </w:r>
      <w:r w:rsidRPr="00084B39">
        <w:rPr>
          <w:rFonts w:asciiTheme="minorEastAsia" w:eastAsiaTheme="minorEastAsia" w:hAnsiTheme="minorEastAsia"/>
          <w:lang w:val="en-CA" w:eastAsia="zh-CN"/>
        </w:rPr>
        <w:t>“利益攸关方”指对自然资源和土地感兴趣和关切的行为者</w:t>
      </w:r>
      <w:r w:rsidRPr="00650F1F">
        <w:rPr>
          <w:rFonts w:ascii="Times New Roman" w:eastAsiaTheme="minorEastAsia" w:hAnsi="Times New Roman"/>
          <w:lang w:eastAsia="zh-CN"/>
        </w:rPr>
        <w:t>。</w:t>
      </w:r>
    </w:p>
  </w:footnote>
  <w:footnote w:id="143">
    <w:p w:rsidR="00594C0B" w:rsidRPr="00650F1F" w:rsidRDefault="00594C0B" w:rsidP="00650F1F">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rPr>
        <w:footnoteRef/>
      </w:r>
      <w:r w:rsidRPr="00171125">
        <w:rPr>
          <w:rStyle w:val="FootnoteReference"/>
          <w:rFonts w:eastAsiaTheme="minorEastAsia"/>
          <w:sz w:val="24"/>
          <w:szCs w:val="20"/>
          <w:u w:val="none"/>
          <w:vertAlign w:val="superscript"/>
          <w:lang w:eastAsia="zh-CN"/>
        </w:rPr>
        <w:t xml:space="preserve"> </w:t>
      </w:r>
      <w:r w:rsidRPr="00650F1F">
        <w:rPr>
          <w:rFonts w:eastAsiaTheme="minorEastAsia"/>
          <w:snapToGrid w:val="0"/>
          <w:kern w:val="18"/>
          <w:sz w:val="20"/>
          <w:szCs w:val="20"/>
          <w:lang w:eastAsia="zh-CN"/>
        </w:rPr>
        <w:tab/>
        <w:t xml:space="preserve">Schreckenberg, K. </w:t>
      </w:r>
      <w:r w:rsidRPr="00650F1F">
        <w:rPr>
          <w:rFonts w:eastAsiaTheme="minorEastAsia"/>
          <w:snapToGrid w:val="0"/>
          <w:kern w:val="18"/>
          <w:sz w:val="20"/>
          <w:szCs w:val="20"/>
          <w:lang w:eastAsia="zh-CN"/>
        </w:rPr>
        <w:t>等（</w:t>
      </w:r>
      <w:r w:rsidRPr="00650F1F">
        <w:rPr>
          <w:rFonts w:eastAsiaTheme="minorEastAsia"/>
          <w:snapToGrid w:val="0"/>
          <w:kern w:val="18"/>
          <w:sz w:val="20"/>
          <w:szCs w:val="20"/>
          <w:lang w:eastAsia="zh-CN"/>
        </w:rPr>
        <w:t>2016</w:t>
      </w:r>
      <w:r w:rsidRPr="00650F1F">
        <w:rPr>
          <w:rFonts w:eastAsiaTheme="minorEastAsia"/>
          <w:snapToGrid w:val="0"/>
          <w:kern w:val="18"/>
          <w:sz w:val="20"/>
          <w:szCs w:val="20"/>
          <w:lang w:eastAsia="zh-CN"/>
        </w:rPr>
        <w:t>年），</w:t>
      </w:r>
      <w:r w:rsidRPr="00650F1F">
        <w:rPr>
          <w:rFonts w:eastAsiaTheme="minorEastAsia"/>
          <w:snapToGrid w:val="0"/>
          <w:kern w:val="18"/>
          <w:sz w:val="20"/>
          <w:szCs w:val="20"/>
          <w:lang w:eastAsia="zh-CN"/>
        </w:rPr>
        <w:t xml:space="preserve"> </w:t>
      </w:r>
      <w:r w:rsidRPr="00171125">
        <w:rPr>
          <w:rFonts w:asciiTheme="minorEastAsia" w:eastAsiaTheme="minorEastAsia" w:hAnsiTheme="minorEastAsia"/>
          <w:snapToGrid w:val="0"/>
          <w:kern w:val="18"/>
          <w:sz w:val="20"/>
          <w:szCs w:val="20"/>
          <w:lang w:eastAsia="zh-CN"/>
        </w:rPr>
        <w:t>“保护区养护公平性解析”</w:t>
      </w:r>
      <w:r w:rsidRPr="00650F1F">
        <w:rPr>
          <w:rFonts w:eastAsiaTheme="minorEastAsia"/>
          <w:snapToGrid w:val="0"/>
          <w:kern w:val="18"/>
          <w:sz w:val="20"/>
          <w:szCs w:val="20"/>
          <w:lang w:eastAsia="zh-CN"/>
        </w:rPr>
        <w:t>，《</w:t>
      </w:r>
      <w:r w:rsidRPr="00650F1F">
        <w:rPr>
          <w:rFonts w:eastAsiaTheme="minorEastAsia"/>
          <w:iCs/>
          <w:snapToGrid w:val="0"/>
          <w:kern w:val="18"/>
          <w:sz w:val="20"/>
          <w:szCs w:val="20"/>
          <w:lang w:eastAsia="zh-CN"/>
        </w:rPr>
        <w:t>PARKS Journal</w:t>
      </w:r>
      <w:r w:rsidRPr="00650F1F">
        <w:rPr>
          <w:rFonts w:eastAsiaTheme="minorEastAsia"/>
          <w:iCs/>
          <w:snapToGrid w:val="0"/>
          <w:kern w:val="18"/>
          <w:sz w:val="20"/>
          <w:szCs w:val="20"/>
          <w:lang w:eastAsia="zh-CN"/>
        </w:rPr>
        <w:t>》</w:t>
      </w:r>
      <w:r w:rsidRPr="00650F1F">
        <w:rPr>
          <w:rFonts w:eastAsiaTheme="minorEastAsia"/>
          <w:i/>
          <w:iCs/>
          <w:snapToGrid w:val="0"/>
          <w:kern w:val="18"/>
          <w:sz w:val="20"/>
          <w:szCs w:val="20"/>
          <w:lang w:eastAsia="zh-CN"/>
        </w:rPr>
        <w:t>。</w:t>
      </w:r>
    </w:p>
  </w:footnote>
  <w:footnote w:id="144">
    <w:p w:rsidR="00594C0B" w:rsidRPr="00650F1F" w:rsidRDefault="00594C0B" w:rsidP="00650F1F">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rPr>
        <w:footnoteRef/>
      </w:r>
      <w:r w:rsidRPr="00171125">
        <w:rPr>
          <w:rStyle w:val="FootnoteReference"/>
          <w:rFonts w:eastAsiaTheme="minorEastAsia"/>
          <w:sz w:val="24"/>
          <w:szCs w:val="20"/>
          <w:u w:val="none"/>
          <w:vertAlign w:val="superscript"/>
          <w:lang w:eastAsia="zh-CN"/>
        </w:rPr>
        <w:t xml:space="preserve"> </w:t>
      </w:r>
      <w:r w:rsidRPr="00650F1F">
        <w:rPr>
          <w:rFonts w:eastAsiaTheme="minorEastAsia"/>
          <w:snapToGrid w:val="0"/>
          <w:kern w:val="18"/>
          <w:sz w:val="20"/>
          <w:szCs w:val="20"/>
          <w:lang w:eastAsia="zh-CN"/>
        </w:rPr>
        <w:tab/>
      </w:r>
      <w:r w:rsidRPr="00171125">
        <w:rPr>
          <w:rFonts w:asciiTheme="minorEastAsia" w:eastAsiaTheme="minorEastAsia" w:hAnsiTheme="minorEastAsia"/>
          <w:snapToGrid w:val="0"/>
          <w:kern w:val="18"/>
          <w:sz w:val="20"/>
          <w:szCs w:val="20"/>
          <w:lang w:eastAsia="zh-CN"/>
        </w:rPr>
        <w:t>“</w:t>
      </w:r>
      <w:r w:rsidRPr="00650F1F">
        <w:rPr>
          <w:rFonts w:eastAsiaTheme="minorEastAsia"/>
          <w:snapToGrid w:val="0"/>
          <w:kern w:val="18"/>
          <w:sz w:val="20"/>
          <w:szCs w:val="20"/>
          <w:lang w:eastAsia="zh-CN"/>
        </w:rPr>
        <w:t>保护区：促进实现爱知多样性目标</w:t>
      </w:r>
      <w:r w:rsidRPr="00650F1F">
        <w:rPr>
          <w:rFonts w:eastAsiaTheme="minorEastAsia"/>
          <w:snapToGrid w:val="0"/>
          <w:kern w:val="18"/>
          <w:sz w:val="20"/>
          <w:szCs w:val="20"/>
          <w:lang w:eastAsia="zh-CN"/>
        </w:rPr>
        <w:t>11</w:t>
      </w:r>
      <w:r w:rsidRPr="00ED5046">
        <w:rPr>
          <w:rFonts w:asciiTheme="minorEastAsia" w:eastAsiaTheme="minorEastAsia" w:hAnsiTheme="minorEastAsia"/>
          <w:snapToGrid w:val="0"/>
          <w:kern w:val="18"/>
          <w:sz w:val="20"/>
          <w:szCs w:val="20"/>
          <w:lang w:eastAsia="zh-CN"/>
        </w:rPr>
        <w:t xml:space="preserve">” </w:t>
      </w:r>
      <w:r w:rsidRPr="00650F1F">
        <w:rPr>
          <w:rFonts w:eastAsiaTheme="minorEastAsia"/>
          <w:snapToGrid w:val="0"/>
          <w:kern w:val="18"/>
          <w:sz w:val="20"/>
          <w:szCs w:val="20"/>
          <w:lang w:eastAsia="zh-CN"/>
        </w:rPr>
        <w:t>（</w:t>
      </w:r>
      <w:r w:rsidRPr="00650F1F">
        <w:rPr>
          <w:rFonts w:eastAsiaTheme="minorEastAsia"/>
          <w:snapToGrid w:val="0"/>
          <w:kern w:val="18"/>
          <w:sz w:val="20"/>
          <w:szCs w:val="20"/>
          <w:lang w:eastAsia="zh-CN"/>
        </w:rPr>
        <w:t>UNEP/CBD/COP/13/INF/17</w:t>
      </w:r>
      <w:r w:rsidRPr="00650F1F">
        <w:rPr>
          <w:rFonts w:eastAsiaTheme="minorEastAsia"/>
          <w:snapToGrid w:val="0"/>
          <w:kern w:val="18"/>
          <w:sz w:val="20"/>
          <w:szCs w:val="20"/>
          <w:lang w:eastAsia="zh-CN"/>
        </w:rPr>
        <w:t>）。</w:t>
      </w:r>
    </w:p>
  </w:footnote>
  <w:footnote w:id="145">
    <w:p w:rsidR="00594C0B" w:rsidRPr="00650F1F" w:rsidRDefault="00594C0B" w:rsidP="00650F1F">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rPr>
        <w:footnoteRef/>
      </w:r>
      <w:r w:rsidRPr="00171125">
        <w:rPr>
          <w:rStyle w:val="FootnoteReference"/>
          <w:rFonts w:eastAsiaTheme="minorEastAsia"/>
          <w:sz w:val="20"/>
          <w:szCs w:val="20"/>
          <w:u w:val="none"/>
          <w:lang w:eastAsia="zh-CN"/>
        </w:rPr>
        <w:t xml:space="preserve"> </w:t>
      </w:r>
      <w:r w:rsidRPr="00650F1F">
        <w:rPr>
          <w:rFonts w:eastAsiaTheme="minorEastAsia"/>
          <w:sz w:val="20"/>
          <w:szCs w:val="20"/>
          <w:lang w:val="en-US" w:eastAsia="zh-CN"/>
        </w:rPr>
        <w:tab/>
      </w:r>
      <w:r w:rsidRPr="00650F1F">
        <w:rPr>
          <w:rFonts w:eastAsiaTheme="minorEastAsia"/>
          <w:sz w:val="20"/>
          <w:szCs w:val="20"/>
          <w:lang w:eastAsia="zh-CN"/>
        </w:rPr>
        <w:t>其他利益攸关方的有效参与适用于管理保护区的公共实体，而与其他利益攸关方的协调适用于管理保护区的非国家行为者。</w:t>
      </w:r>
    </w:p>
  </w:footnote>
  <w:footnote w:id="146">
    <w:p w:rsidR="00594C0B" w:rsidRPr="00ED5046" w:rsidRDefault="00594C0B" w:rsidP="00650F1F">
      <w:pPr>
        <w:pStyle w:val="FootnoteText"/>
        <w:tabs>
          <w:tab w:val="left" w:pos="360"/>
        </w:tabs>
        <w:spacing w:before="0"/>
        <w:ind w:firstLine="0"/>
        <w:jc w:val="left"/>
        <w:rPr>
          <w:rFonts w:asciiTheme="minorEastAsia" w:eastAsiaTheme="minorEastAsia" w:hAnsiTheme="minorEastAsia"/>
          <w:snapToGrid w:val="0"/>
          <w:kern w:val="18"/>
          <w:sz w:val="20"/>
          <w:szCs w:val="20"/>
          <w:lang w:eastAsia="zh-CN"/>
        </w:rPr>
      </w:pPr>
      <w:r w:rsidRPr="00171125">
        <w:rPr>
          <w:rStyle w:val="FootnoteReference"/>
          <w:rFonts w:eastAsiaTheme="minorEastAsia"/>
          <w:sz w:val="24"/>
          <w:szCs w:val="20"/>
          <w:u w:val="none"/>
          <w:vertAlign w:val="superscript"/>
        </w:rPr>
        <w:footnoteRef/>
      </w:r>
      <w:r w:rsidRPr="00171125">
        <w:rPr>
          <w:rStyle w:val="FootnoteReference"/>
          <w:sz w:val="24"/>
          <w:u w:val="none"/>
          <w:vertAlign w:val="superscript"/>
          <w:lang w:eastAsia="zh-CN"/>
        </w:rPr>
        <w:tab/>
      </w:r>
      <w:r w:rsidRPr="00650F1F">
        <w:rPr>
          <w:rFonts w:eastAsiaTheme="minorEastAsia"/>
          <w:sz w:val="20"/>
          <w:szCs w:val="20"/>
          <w:lang w:eastAsia="zh-CN"/>
        </w:rPr>
        <w:t>另见</w:t>
      </w:r>
      <w:r w:rsidRPr="00650F1F">
        <w:rPr>
          <w:rStyle w:val="Hyperlink"/>
          <w:rFonts w:eastAsiaTheme="minorEastAsia"/>
          <w:sz w:val="20"/>
          <w:szCs w:val="20"/>
          <w:lang w:eastAsia="zh-CN"/>
        </w:rPr>
        <w:t>第</w:t>
      </w:r>
      <w:hyperlink r:id="rId60" w:history="1">
        <w:r w:rsidRPr="00650F1F">
          <w:rPr>
            <w:rStyle w:val="Hyperlink"/>
            <w:rFonts w:eastAsiaTheme="minorEastAsia"/>
            <w:sz w:val="20"/>
            <w:szCs w:val="20"/>
            <w:lang w:eastAsia="zh-CN"/>
          </w:rPr>
          <w:t>VII/28</w:t>
        </w:r>
      </w:hyperlink>
      <w:r w:rsidRPr="00650F1F">
        <w:rPr>
          <w:rStyle w:val="Hyperlink"/>
          <w:rFonts w:eastAsiaTheme="minorEastAsia"/>
          <w:sz w:val="20"/>
          <w:szCs w:val="20"/>
          <w:lang w:eastAsia="zh-CN"/>
        </w:rPr>
        <w:t>号决定</w:t>
      </w:r>
      <w:r w:rsidRPr="00650F1F">
        <w:rPr>
          <w:rFonts w:eastAsiaTheme="minorEastAsia"/>
          <w:snapToGrid w:val="0"/>
          <w:kern w:val="18"/>
          <w:sz w:val="20"/>
          <w:szCs w:val="20"/>
          <w:lang w:eastAsia="zh-CN"/>
        </w:rPr>
        <w:t>：</w:t>
      </w:r>
      <w:r w:rsidRPr="00ED5046">
        <w:rPr>
          <w:rFonts w:asciiTheme="minorEastAsia" w:eastAsiaTheme="minorEastAsia" w:hAnsiTheme="minorEastAsia"/>
          <w:snapToGrid w:val="0"/>
          <w:kern w:val="18"/>
          <w:sz w:val="20"/>
          <w:szCs w:val="20"/>
          <w:lang w:eastAsia="zh-CN"/>
        </w:rPr>
        <w:t>“</w:t>
      </w:r>
      <w:r w:rsidRPr="00650F1F">
        <w:rPr>
          <w:rFonts w:eastAsiaTheme="minorEastAsia"/>
          <w:snapToGrid w:val="0"/>
          <w:kern w:val="18"/>
          <w:sz w:val="20"/>
          <w:szCs w:val="20"/>
          <w:lang w:eastAsia="zh-CN"/>
        </w:rPr>
        <w:t>指出保护区的建立、管理和监测工作应该有土著人民和地方社区的充分和切实参与，并充分尊重这些社区的权利，同时符合国家法律和适用的国际义务</w:t>
      </w:r>
      <w:r w:rsidRPr="00ED5046">
        <w:rPr>
          <w:rFonts w:asciiTheme="minorEastAsia" w:eastAsiaTheme="minorEastAsia" w:hAnsiTheme="minorEastAsia"/>
          <w:snapToGrid w:val="0"/>
          <w:kern w:val="18"/>
          <w:sz w:val="20"/>
          <w:szCs w:val="20"/>
          <w:lang w:eastAsia="zh-CN"/>
        </w:rPr>
        <w:t>”。</w:t>
      </w:r>
    </w:p>
  </w:footnote>
  <w:footnote w:id="147">
    <w:p w:rsidR="00594C0B" w:rsidRPr="00650F1F" w:rsidRDefault="00594C0B" w:rsidP="00650F1F">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rPr>
        <w:footnoteRef/>
      </w:r>
      <w:r w:rsidRPr="00171125">
        <w:rPr>
          <w:rStyle w:val="FootnoteReference"/>
          <w:rFonts w:eastAsiaTheme="minorEastAsia"/>
          <w:sz w:val="24"/>
          <w:szCs w:val="20"/>
          <w:u w:val="none"/>
          <w:vertAlign w:val="superscript"/>
          <w:lang w:eastAsia="zh-CN"/>
        </w:rPr>
        <w:t xml:space="preserve"> </w:t>
      </w:r>
      <w:r w:rsidRPr="00650F1F">
        <w:rPr>
          <w:rFonts w:eastAsiaTheme="minorEastAsia"/>
          <w:sz w:val="20"/>
          <w:szCs w:val="20"/>
          <w:lang w:val="en-US" w:eastAsia="zh-CN"/>
        </w:rPr>
        <w:tab/>
      </w:r>
      <w:r w:rsidRPr="00650F1F">
        <w:rPr>
          <w:rFonts w:eastAsiaTheme="minorEastAsia"/>
          <w:sz w:val="20"/>
          <w:szCs w:val="20"/>
          <w:lang w:eastAsia="zh-CN"/>
        </w:rPr>
        <w:t>有用指南包括：粮农组织《保有权负责任治理自愿准则》（</w:t>
      </w:r>
      <w:r w:rsidRPr="00650F1F">
        <w:rPr>
          <w:rFonts w:eastAsiaTheme="minorEastAsia"/>
          <w:sz w:val="20"/>
          <w:szCs w:val="20"/>
          <w:lang w:eastAsia="zh-CN"/>
        </w:rPr>
        <w:t>2012</w:t>
      </w:r>
      <w:r w:rsidRPr="00650F1F">
        <w:rPr>
          <w:rFonts w:eastAsiaTheme="minorEastAsia"/>
          <w:sz w:val="20"/>
          <w:szCs w:val="20"/>
          <w:lang w:eastAsia="zh-CN"/>
        </w:rPr>
        <w:t>年）；《生物多样性公约技术丛书》第</w:t>
      </w:r>
      <w:r w:rsidRPr="00650F1F">
        <w:rPr>
          <w:rFonts w:eastAsiaTheme="minorEastAsia"/>
          <w:sz w:val="20"/>
          <w:szCs w:val="20"/>
          <w:lang w:eastAsia="zh-CN"/>
        </w:rPr>
        <w:t>64</w:t>
      </w:r>
      <w:r w:rsidRPr="00650F1F">
        <w:rPr>
          <w:rFonts w:eastAsiaTheme="minorEastAsia"/>
          <w:sz w:val="20"/>
          <w:szCs w:val="20"/>
          <w:lang w:eastAsia="zh-CN"/>
        </w:rPr>
        <w:t>号。</w:t>
      </w:r>
    </w:p>
  </w:footnote>
  <w:footnote w:id="148">
    <w:p w:rsidR="00594C0B" w:rsidRPr="00650F1F" w:rsidRDefault="00594C0B" w:rsidP="00650F1F">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rPr>
        <w:footnoteRef/>
      </w:r>
      <w:r w:rsidRPr="00171125">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hyperlink r:id="rId61" w:history="1">
        <w:r w:rsidRPr="00650F1F">
          <w:rPr>
            <w:rStyle w:val="Hyperlink"/>
            <w:rFonts w:eastAsiaTheme="minorEastAsia"/>
            <w:sz w:val="20"/>
            <w:szCs w:val="20"/>
            <w:lang w:eastAsia="zh-CN"/>
          </w:rPr>
          <w:t>第</w:t>
        </w:r>
        <w:r w:rsidRPr="00650F1F">
          <w:rPr>
            <w:rStyle w:val="Hyperlink"/>
            <w:rFonts w:eastAsiaTheme="minorEastAsia"/>
            <w:snapToGrid w:val="0"/>
            <w:kern w:val="18"/>
            <w:sz w:val="20"/>
            <w:szCs w:val="20"/>
            <w:lang w:eastAsia="zh-CN"/>
          </w:rPr>
          <w:t>XII/12</w:t>
        </w:r>
        <w:r w:rsidRPr="00650F1F">
          <w:rPr>
            <w:rStyle w:val="Hyperlink"/>
            <w:rFonts w:eastAsiaTheme="minorEastAsia"/>
            <w:snapToGrid w:val="0"/>
            <w:kern w:val="18"/>
            <w:sz w:val="20"/>
            <w:szCs w:val="20"/>
            <w:lang w:eastAsia="zh-CN"/>
          </w:rPr>
          <w:t>号决定</w:t>
        </w:r>
      </w:hyperlink>
      <w:r w:rsidRPr="00650F1F">
        <w:rPr>
          <w:rStyle w:val="Hyperlink"/>
          <w:rFonts w:eastAsiaTheme="minorEastAsia"/>
          <w:snapToGrid w:val="0"/>
          <w:kern w:val="18"/>
          <w:sz w:val="20"/>
          <w:szCs w:val="20"/>
          <w:lang w:eastAsia="zh-CN"/>
        </w:rPr>
        <w:t>，附件，特别是关于保护区的任务三。</w:t>
      </w:r>
    </w:p>
  </w:footnote>
  <w:footnote w:id="149">
    <w:p w:rsidR="00594C0B" w:rsidRPr="00650F1F" w:rsidRDefault="00594C0B" w:rsidP="00650F1F">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rPr>
        <w:footnoteRef/>
      </w:r>
      <w:r w:rsidRPr="00650F1F">
        <w:rPr>
          <w:rStyle w:val="FootnoteReference"/>
          <w:rFonts w:eastAsiaTheme="minorEastAsia"/>
          <w:sz w:val="24"/>
          <w:szCs w:val="20"/>
          <w:vertAlign w:val="superscript"/>
          <w:lang w:eastAsia="zh-CN"/>
        </w:rPr>
        <w:t xml:space="preserve"> </w:t>
      </w:r>
      <w:r w:rsidRPr="00650F1F">
        <w:rPr>
          <w:rFonts w:eastAsiaTheme="minorEastAsia"/>
          <w:sz w:val="20"/>
          <w:szCs w:val="20"/>
          <w:lang w:val="en-US" w:eastAsia="zh-CN"/>
        </w:rPr>
        <w:tab/>
      </w:r>
      <w:r w:rsidRPr="00650F1F">
        <w:rPr>
          <w:rFonts w:eastAsiaTheme="minorEastAsia"/>
          <w:sz w:val="20"/>
          <w:szCs w:val="20"/>
          <w:lang w:eastAsia="zh-CN"/>
        </w:rPr>
        <w:t>有用指南包括：联合国欧洲经济委员会，《</w:t>
      </w:r>
      <w:r w:rsidRPr="00650F1F">
        <w:rPr>
          <w:rStyle w:val="ng-binding"/>
          <w:rFonts w:eastAsiaTheme="minorEastAsia"/>
          <w:sz w:val="20"/>
          <w:szCs w:val="20"/>
          <w:lang w:eastAsia="zh-CN"/>
        </w:rPr>
        <w:t>在环境问题上获得信息、公众参与决策和诉诸法律的公约》（奥胡斯公约）。</w:t>
      </w:r>
    </w:p>
  </w:footnote>
  <w:footnote w:id="150">
    <w:p w:rsidR="00594C0B" w:rsidRPr="00650F1F" w:rsidRDefault="00594C0B" w:rsidP="00650F1F">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rPr>
        <w:footnoteRef/>
      </w:r>
      <w:r w:rsidRPr="00171125">
        <w:rPr>
          <w:rStyle w:val="FootnoteReference"/>
          <w:rFonts w:eastAsiaTheme="minorEastAsia"/>
          <w:sz w:val="24"/>
          <w:szCs w:val="20"/>
          <w:u w:val="none"/>
          <w:vertAlign w:val="superscript"/>
          <w:lang w:eastAsia="zh-CN"/>
        </w:rPr>
        <w:t xml:space="preserve"> </w:t>
      </w:r>
      <w:r w:rsidRPr="00650F1F">
        <w:rPr>
          <w:rFonts w:eastAsiaTheme="minorEastAsia"/>
          <w:bCs/>
          <w:snapToGrid w:val="0"/>
          <w:kern w:val="18"/>
          <w:sz w:val="20"/>
          <w:szCs w:val="20"/>
          <w:lang w:eastAsia="zh-CN"/>
        </w:rPr>
        <w:tab/>
        <w:t xml:space="preserve">Franks, P </w:t>
      </w:r>
      <w:r w:rsidRPr="00650F1F">
        <w:rPr>
          <w:rFonts w:eastAsiaTheme="minorEastAsia"/>
          <w:bCs/>
          <w:snapToGrid w:val="0"/>
          <w:kern w:val="18"/>
          <w:sz w:val="20"/>
          <w:szCs w:val="20"/>
          <w:lang w:eastAsia="zh-CN"/>
        </w:rPr>
        <w:t>等（</w:t>
      </w:r>
      <w:r w:rsidRPr="00650F1F">
        <w:rPr>
          <w:rFonts w:eastAsiaTheme="minorEastAsia"/>
          <w:bCs/>
          <w:snapToGrid w:val="0"/>
          <w:kern w:val="18"/>
          <w:sz w:val="20"/>
          <w:szCs w:val="20"/>
          <w:lang w:eastAsia="zh-CN"/>
        </w:rPr>
        <w:t>2018</w:t>
      </w:r>
      <w:r w:rsidRPr="00650F1F">
        <w:rPr>
          <w:rFonts w:eastAsiaTheme="minorEastAsia"/>
          <w:bCs/>
          <w:snapToGrid w:val="0"/>
          <w:kern w:val="18"/>
          <w:sz w:val="20"/>
          <w:szCs w:val="20"/>
          <w:lang w:eastAsia="zh-CN"/>
        </w:rPr>
        <w:t>年），</w:t>
      </w:r>
      <w:r w:rsidRPr="00ED5046">
        <w:rPr>
          <w:rFonts w:asciiTheme="minorEastAsia" w:eastAsiaTheme="minorEastAsia" w:hAnsiTheme="minorEastAsia"/>
          <w:snapToGrid w:val="0"/>
          <w:kern w:val="18"/>
          <w:sz w:val="20"/>
          <w:szCs w:val="20"/>
          <w:lang w:eastAsia="zh-CN"/>
        </w:rPr>
        <w:t>“了解和评估保护区养护的公平性：治理、权利、社会影响和人类福祉”。</w:t>
      </w:r>
      <w:r w:rsidRPr="00650F1F">
        <w:rPr>
          <w:rFonts w:eastAsiaTheme="minorEastAsia"/>
          <w:sz w:val="20"/>
          <w:szCs w:val="20"/>
          <w:lang w:eastAsia="zh-CN"/>
        </w:rPr>
        <w:t>环发学会</w:t>
      </w:r>
      <w:r w:rsidRPr="00650F1F">
        <w:rPr>
          <w:rStyle w:val="ng-binding"/>
          <w:rFonts w:eastAsiaTheme="minorEastAsia"/>
          <w:sz w:val="20"/>
          <w:szCs w:val="20"/>
          <w:lang w:eastAsia="zh-CN"/>
        </w:rPr>
        <w:t>议题文件。伦敦，</w:t>
      </w:r>
      <w:r w:rsidRPr="00650F1F">
        <w:rPr>
          <w:rFonts w:eastAsiaTheme="minorEastAsia"/>
          <w:sz w:val="20"/>
          <w:szCs w:val="20"/>
          <w:lang w:eastAsia="zh-CN"/>
        </w:rPr>
        <w:t>环发学会</w:t>
      </w:r>
      <w:r w:rsidRPr="00650F1F">
        <w:rPr>
          <w:rStyle w:val="ng-binding"/>
          <w:rFonts w:eastAsiaTheme="minorEastAsia"/>
          <w:sz w:val="20"/>
          <w:szCs w:val="20"/>
          <w:lang w:eastAsia="zh-CN"/>
        </w:rPr>
        <w:t>。</w:t>
      </w:r>
    </w:p>
  </w:footnote>
  <w:footnote w:id="151">
    <w:p w:rsidR="00594C0B" w:rsidRPr="00650F1F" w:rsidRDefault="00594C0B" w:rsidP="00650F1F">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rPr>
        <w:footnoteRef/>
      </w:r>
      <w:r w:rsidRPr="00650F1F">
        <w:rPr>
          <w:rFonts w:eastAsiaTheme="minorEastAsia"/>
          <w:sz w:val="20"/>
          <w:szCs w:val="20"/>
          <w:lang w:eastAsia="zh-CN"/>
        </w:rPr>
        <w:tab/>
      </w:r>
      <w:r w:rsidRPr="00650F1F">
        <w:rPr>
          <w:rStyle w:val="Hyperlink"/>
          <w:rFonts w:eastAsiaTheme="minorEastAsia"/>
          <w:sz w:val="20"/>
          <w:szCs w:val="20"/>
          <w:lang w:eastAsia="zh-CN"/>
        </w:rPr>
        <w:t>第</w:t>
      </w:r>
      <w:hyperlink r:id="rId62" w:history="1">
        <w:r w:rsidRPr="00650F1F">
          <w:rPr>
            <w:rStyle w:val="Hyperlink"/>
            <w:rFonts w:eastAsiaTheme="minorEastAsia"/>
            <w:sz w:val="20"/>
            <w:szCs w:val="20"/>
            <w:lang w:eastAsia="zh-CN"/>
          </w:rPr>
          <w:t>VII/28</w:t>
        </w:r>
      </w:hyperlink>
      <w:r w:rsidRPr="00650F1F">
        <w:rPr>
          <w:rStyle w:val="Hyperlink"/>
          <w:rFonts w:eastAsiaTheme="minorEastAsia"/>
          <w:sz w:val="20"/>
          <w:szCs w:val="20"/>
          <w:lang w:eastAsia="zh-CN"/>
        </w:rPr>
        <w:t>号决定</w:t>
      </w:r>
      <w:r w:rsidRPr="00650F1F">
        <w:rPr>
          <w:rFonts w:eastAsiaTheme="minorEastAsia"/>
          <w:sz w:val="20"/>
          <w:szCs w:val="20"/>
          <w:lang w:eastAsia="zh-CN"/>
        </w:rPr>
        <w:t>，建议活动</w:t>
      </w:r>
      <w:r w:rsidRPr="00650F1F">
        <w:rPr>
          <w:rFonts w:eastAsiaTheme="minorEastAsia"/>
          <w:sz w:val="20"/>
          <w:szCs w:val="20"/>
          <w:lang w:eastAsia="zh-CN"/>
        </w:rPr>
        <w:t>2.1.1</w:t>
      </w:r>
      <w:r w:rsidRPr="00650F1F">
        <w:rPr>
          <w:rFonts w:eastAsiaTheme="minorEastAsia"/>
          <w:sz w:val="20"/>
          <w:szCs w:val="20"/>
          <w:lang w:eastAsia="zh-CN"/>
        </w:rPr>
        <w:t>；</w:t>
      </w:r>
      <w:r w:rsidRPr="00650F1F">
        <w:rPr>
          <w:rStyle w:val="Hyperlink"/>
          <w:rFonts w:eastAsiaTheme="minorEastAsia"/>
          <w:sz w:val="20"/>
          <w:szCs w:val="20"/>
          <w:lang w:eastAsia="zh-CN"/>
        </w:rPr>
        <w:t>第</w:t>
      </w:r>
      <w:hyperlink r:id="rId63" w:history="1">
        <w:r w:rsidRPr="00650F1F">
          <w:rPr>
            <w:rStyle w:val="Hyperlink"/>
            <w:rFonts w:eastAsiaTheme="minorEastAsia"/>
            <w:sz w:val="20"/>
            <w:szCs w:val="20"/>
            <w:lang w:eastAsia="zh-CN"/>
          </w:rPr>
          <w:t>IX/18A</w:t>
        </w:r>
      </w:hyperlink>
      <w:r w:rsidRPr="00650F1F">
        <w:rPr>
          <w:rStyle w:val="Hyperlink"/>
          <w:rFonts w:eastAsiaTheme="minorEastAsia"/>
          <w:sz w:val="20"/>
          <w:szCs w:val="20"/>
          <w:lang w:eastAsia="zh-CN"/>
        </w:rPr>
        <w:t>号决定</w:t>
      </w:r>
      <w:r w:rsidRPr="00650F1F">
        <w:rPr>
          <w:rFonts w:eastAsiaTheme="minorEastAsia"/>
          <w:sz w:val="20"/>
          <w:szCs w:val="20"/>
          <w:lang w:eastAsia="zh-CN"/>
        </w:rPr>
        <w:t>第</w:t>
      </w:r>
      <w:r w:rsidRPr="00650F1F">
        <w:rPr>
          <w:rFonts w:eastAsiaTheme="minorEastAsia"/>
          <w:snapToGrid w:val="0"/>
          <w:kern w:val="18"/>
          <w:sz w:val="20"/>
          <w:szCs w:val="20"/>
          <w:lang w:eastAsia="zh-CN"/>
        </w:rPr>
        <w:t>6(e)</w:t>
      </w:r>
      <w:r w:rsidRPr="00650F1F">
        <w:rPr>
          <w:rFonts w:eastAsiaTheme="minorEastAsia"/>
          <w:snapToGrid w:val="0"/>
          <w:kern w:val="18"/>
          <w:sz w:val="20"/>
          <w:szCs w:val="20"/>
          <w:lang w:eastAsia="zh-CN"/>
        </w:rPr>
        <w:t>段；</w:t>
      </w:r>
      <w:r w:rsidRPr="00650F1F">
        <w:rPr>
          <w:rStyle w:val="Hyperlink"/>
          <w:rFonts w:eastAsiaTheme="minorEastAsia"/>
          <w:snapToGrid w:val="0"/>
          <w:kern w:val="18"/>
          <w:sz w:val="20"/>
          <w:szCs w:val="20"/>
          <w:lang w:eastAsia="zh-CN"/>
        </w:rPr>
        <w:t>第</w:t>
      </w:r>
      <w:hyperlink r:id="rId64" w:history="1">
        <w:r w:rsidRPr="00650F1F">
          <w:rPr>
            <w:rStyle w:val="Hyperlink"/>
            <w:rFonts w:eastAsiaTheme="minorEastAsia"/>
            <w:snapToGrid w:val="0"/>
            <w:kern w:val="18"/>
            <w:sz w:val="20"/>
            <w:szCs w:val="20"/>
            <w:lang w:eastAsia="zh-CN"/>
          </w:rPr>
          <w:t>X/31</w:t>
        </w:r>
      </w:hyperlink>
      <w:r w:rsidRPr="00650F1F">
        <w:rPr>
          <w:rStyle w:val="Hyperlink"/>
          <w:rFonts w:eastAsiaTheme="minorEastAsia"/>
          <w:snapToGrid w:val="0"/>
          <w:kern w:val="18"/>
          <w:sz w:val="20"/>
          <w:szCs w:val="20"/>
          <w:lang w:eastAsia="zh-CN"/>
        </w:rPr>
        <w:t>号决定</w:t>
      </w:r>
      <w:r w:rsidRPr="00650F1F">
        <w:rPr>
          <w:rFonts w:eastAsiaTheme="minorEastAsia"/>
          <w:snapToGrid w:val="0"/>
          <w:kern w:val="18"/>
          <w:sz w:val="20"/>
          <w:szCs w:val="20"/>
          <w:lang w:eastAsia="zh-CN"/>
        </w:rPr>
        <w:t>第</w:t>
      </w:r>
      <w:r w:rsidRPr="00650F1F">
        <w:rPr>
          <w:rFonts w:eastAsiaTheme="minorEastAsia"/>
          <w:snapToGrid w:val="0"/>
          <w:kern w:val="18"/>
          <w:sz w:val="20"/>
          <w:szCs w:val="20"/>
          <w:lang w:eastAsia="zh-CN"/>
        </w:rPr>
        <w:t>31(a)</w:t>
      </w:r>
      <w:r w:rsidRPr="00650F1F">
        <w:rPr>
          <w:rFonts w:eastAsiaTheme="minorEastAsia"/>
          <w:snapToGrid w:val="0"/>
          <w:kern w:val="18"/>
          <w:sz w:val="20"/>
          <w:szCs w:val="20"/>
          <w:lang w:eastAsia="zh-CN"/>
        </w:rPr>
        <w:t>和</w:t>
      </w:r>
      <w:r w:rsidRPr="00650F1F">
        <w:rPr>
          <w:rFonts w:eastAsiaTheme="minorEastAsia"/>
          <w:snapToGrid w:val="0"/>
          <w:kern w:val="18"/>
          <w:sz w:val="20"/>
          <w:szCs w:val="20"/>
          <w:lang w:eastAsia="zh-CN"/>
        </w:rPr>
        <w:t>32(d)</w:t>
      </w:r>
      <w:r w:rsidRPr="00650F1F">
        <w:rPr>
          <w:rFonts w:eastAsiaTheme="minorEastAsia"/>
          <w:snapToGrid w:val="0"/>
          <w:kern w:val="18"/>
          <w:sz w:val="20"/>
          <w:szCs w:val="20"/>
          <w:lang w:eastAsia="zh-CN"/>
        </w:rPr>
        <w:t>段。</w:t>
      </w:r>
    </w:p>
  </w:footnote>
  <w:footnote w:id="152">
    <w:p w:rsidR="00594C0B" w:rsidRPr="00650F1F" w:rsidRDefault="00594C0B" w:rsidP="00171125">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rPr>
        <w:footnoteRef/>
      </w:r>
      <w:r w:rsidRPr="00171125">
        <w:rPr>
          <w:rStyle w:val="FootnoteReference"/>
          <w:sz w:val="24"/>
          <w:u w:val="none"/>
          <w:vertAlign w:val="superscript"/>
          <w:lang w:eastAsia="zh-CN"/>
        </w:rPr>
        <w:t xml:space="preserve">  </w:t>
      </w:r>
      <w:r w:rsidRPr="00650F1F">
        <w:rPr>
          <w:rStyle w:val="Hyperlink"/>
          <w:rFonts w:eastAsiaTheme="minorEastAsia"/>
          <w:sz w:val="20"/>
          <w:szCs w:val="20"/>
          <w:lang w:eastAsia="zh-CN"/>
        </w:rPr>
        <w:t xml:space="preserve"> </w:t>
      </w:r>
      <w:r w:rsidRPr="00650F1F">
        <w:rPr>
          <w:rStyle w:val="Hyperlink"/>
          <w:rFonts w:eastAsiaTheme="minorEastAsia"/>
          <w:sz w:val="20"/>
          <w:szCs w:val="20"/>
          <w:lang w:eastAsia="zh-CN"/>
        </w:rPr>
        <w:t>第</w:t>
      </w:r>
      <w:hyperlink r:id="rId65" w:history="1">
        <w:r w:rsidRPr="00650F1F">
          <w:rPr>
            <w:rStyle w:val="Hyperlink"/>
            <w:rFonts w:eastAsiaTheme="minorEastAsia"/>
            <w:sz w:val="20"/>
            <w:szCs w:val="20"/>
            <w:lang w:eastAsia="zh-CN"/>
          </w:rPr>
          <w:t>VII/28</w:t>
        </w:r>
      </w:hyperlink>
      <w:r w:rsidRPr="00650F1F">
        <w:rPr>
          <w:rStyle w:val="Hyperlink"/>
          <w:rFonts w:eastAsiaTheme="minorEastAsia"/>
          <w:sz w:val="20"/>
          <w:szCs w:val="20"/>
          <w:lang w:eastAsia="zh-CN"/>
        </w:rPr>
        <w:t>号决定</w:t>
      </w:r>
      <w:r w:rsidRPr="00650F1F">
        <w:rPr>
          <w:rFonts w:eastAsiaTheme="minorEastAsia"/>
          <w:sz w:val="20"/>
          <w:szCs w:val="20"/>
          <w:lang w:eastAsia="zh-CN"/>
        </w:rPr>
        <w:t>，保护区工作方案目标</w:t>
      </w:r>
      <w:r w:rsidRPr="00650F1F">
        <w:rPr>
          <w:rFonts w:eastAsiaTheme="minorEastAsia"/>
          <w:sz w:val="20"/>
          <w:szCs w:val="20"/>
          <w:lang w:eastAsia="zh-CN"/>
        </w:rPr>
        <w:t>1</w:t>
      </w:r>
      <w:r w:rsidRPr="00650F1F">
        <w:rPr>
          <w:rFonts w:eastAsiaTheme="minorEastAsia"/>
          <w:sz w:val="20"/>
          <w:szCs w:val="20"/>
          <w:lang w:eastAsia="zh-CN"/>
        </w:rPr>
        <w:t>建议活动</w:t>
      </w:r>
      <w:r w:rsidRPr="00650F1F">
        <w:rPr>
          <w:rFonts w:eastAsiaTheme="minorEastAsia"/>
          <w:sz w:val="20"/>
          <w:szCs w:val="20"/>
          <w:lang w:eastAsia="zh-CN"/>
        </w:rPr>
        <w:t>1.1.7</w:t>
      </w:r>
      <w:r w:rsidRPr="00650F1F">
        <w:rPr>
          <w:rFonts w:eastAsiaTheme="minorEastAsia"/>
          <w:sz w:val="20"/>
          <w:szCs w:val="20"/>
          <w:lang w:eastAsia="zh-CN"/>
        </w:rPr>
        <w:t>。</w:t>
      </w:r>
    </w:p>
  </w:footnote>
  <w:footnote w:id="153">
    <w:p w:rsidR="00594C0B" w:rsidRPr="00650F1F" w:rsidRDefault="00594C0B" w:rsidP="00171125">
      <w:pPr>
        <w:pStyle w:val="FootnoteText"/>
        <w:suppressLineNumbers/>
        <w:tabs>
          <w:tab w:val="left" w:pos="360"/>
        </w:tabs>
        <w:suppressAutoHyphens/>
        <w:kinsoku w:val="0"/>
        <w:overflowPunct w:val="0"/>
        <w:autoSpaceDE w:val="0"/>
        <w:autoSpaceDN w:val="0"/>
        <w:adjustRightInd w:val="0"/>
        <w:snapToGrid w:val="0"/>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rPr>
        <w:footnoteRef/>
      </w:r>
      <w:r w:rsidRPr="00171125">
        <w:rPr>
          <w:rStyle w:val="FootnoteReference"/>
          <w:sz w:val="24"/>
          <w:u w:val="none"/>
          <w:vertAlign w:val="superscript"/>
          <w:lang w:eastAsia="zh-CN"/>
        </w:rPr>
        <w:t xml:space="preserve">  </w:t>
      </w:r>
      <w:r w:rsidRPr="00650F1F">
        <w:rPr>
          <w:rFonts w:eastAsiaTheme="minorEastAsia"/>
          <w:sz w:val="20"/>
          <w:szCs w:val="20"/>
          <w:lang w:eastAsia="zh-CN"/>
        </w:rPr>
        <w:t xml:space="preserve"> </w:t>
      </w:r>
      <w:r w:rsidRPr="00650F1F">
        <w:rPr>
          <w:rFonts w:eastAsiaTheme="minorEastAsia"/>
          <w:sz w:val="20"/>
          <w:szCs w:val="20"/>
          <w:lang w:eastAsia="zh-CN"/>
        </w:rPr>
        <w:t>有用指南包括：联合国欧洲经济委员会，《</w:t>
      </w:r>
      <w:r w:rsidRPr="00650F1F">
        <w:rPr>
          <w:rStyle w:val="ng-binding"/>
          <w:rFonts w:eastAsiaTheme="minorEastAsia"/>
          <w:sz w:val="20"/>
          <w:szCs w:val="20"/>
          <w:lang w:eastAsia="zh-CN"/>
        </w:rPr>
        <w:t>在环境问题上获得信息、公众参与决策和诉诸法律的公约》（</w:t>
      </w:r>
      <w:r w:rsidRPr="00171125">
        <w:rPr>
          <w:rStyle w:val="ng-binding"/>
          <w:rFonts w:asciiTheme="minorEastAsia" w:eastAsiaTheme="minorEastAsia" w:hAnsiTheme="minorEastAsia"/>
          <w:sz w:val="20"/>
          <w:szCs w:val="20"/>
          <w:lang w:eastAsia="zh-CN"/>
        </w:rPr>
        <w:t>“奥胡斯公约”</w:t>
      </w:r>
      <w:r w:rsidRPr="00650F1F">
        <w:rPr>
          <w:rStyle w:val="ng-binding"/>
          <w:rFonts w:eastAsiaTheme="minorEastAsia"/>
          <w:sz w:val="20"/>
          <w:szCs w:val="20"/>
          <w:lang w:eastAsia="zh-CN"/>
        </w:rPr>
        <w:t>）；</w:t>
      </w:r>
      <w:r w:rsidRPr="00650F1F">
        <w:rPr>
          <w:rFonts w:eastAsiaTheme="minorEastAsia"/>
          <w:sz w:val="20"/>
          <w:szCs w:val="20"/>
          <w:lang w:eastAsia="zh-CN"/>
        </w:rPr>
        <w:t>粮农组织《保有权负责任治理自愿准则》（</w:t>
      </w:r>
      <w:r w:rsidRPr="00650F1F">
        <w:rPr>
          <w:rFonts w:eastAsiaTheme="minorEastAsia"/>
          <w:sz w:val="20"/>
          <w:szCs w:val="20"/>
          <w:lang w:eastAsia="zh-CN"/>
        </w:rPr>
        <w:t>2012</w:t>
      </w:r>
      <w:r w:rsidRPr="00650F1F">
        <w:rPr>
          <w:rFonts w:eastAsiaTheme="minorEastAsia"/>
          <w:sz w:val="20"/>
          <w:szCs w:val="20"/>
          <w:lang w:eastAsia="zh-CN"/>
        </w:rPr>
        <w:t>）；《生物多样性可持续习惯使用行动计划》</w:t>
      </w:r>
      <w:r w:rsidRPr="00650F1F">
        <w:rPr>
          <w:rFonts w:eastAsiaTheme="minorEastAsia"/>
          <w:snapToGrid w:val="0"/>
          <w:kern w:val="18"/>
          <w:sz w:val="20"/>
          <w:szCs w:val="20"/>
          <w:lang w:eastAsia="zh-CN"/>
        </w:rPr>
        <w:t xml:space="preserve"> (</w:t>
      </w:r>
      <w:r w:rsidRPr="00650F1F">
        <w:rPr>
          <w:rStyle w:val="Hyperlink"/>
          <w:rFonts w:eastAsiaTheme="minorEastAsia"/>
          <w:snapToGrid w:val="0"/>
          <w:kern w:val="18"/>
          <w:sz w:val="20"/>
          <w:szCs w:val="20"/>
          <w:lang w:eastAsia="zh-CN"/>
        </w:rPr>
        <w:t>第</w:t>
      </w:r>
      <w:hyperlink r:id="rId66" w:history="1">
        <w:r w:rsidRPr="00650F1F">
          <w:rPr>
            <w:rStyle w:val="Hyperlink"/>
            <w:rFonts w:eastAsiaTheme="minorEastAsia"/>
            <w:snapToGrid w:val="0"/>
            <w:kern w:val="18"/>
            <w:sz w:val="20"/>
            <w:szCs w:val="20"/>
            <w:lang w:eastAsia="zh-CN"/>
          </w:rPr>
          <w:t>XII/12</w:t>
        </w:r>
      </w:hyperlink>
      <w:r w:rsidRPr="00650F1F">
        <w:rPr>
          <w:rStyle w:val="Hyperlink"/>
          <w:rFonts w:eastAsiaTheme="minorEastAsia"/>
          <w:snapToGrid w:val="0"/>
          <w:kern w:val="18"/>
          <w:sz w:val="20"/>
          <w:szCs w:val="20"/>
          <w:lang w:eastAsia="zh-CN"/>
        </w:rPr>
        <w:t>号决定</w:t>
      </w:r>
      <w:r w:rsidRPr="00650F1F">
        <w:rPr>
          <w:rFonts w:eastAsiaTheme="minorEastAsia"/>
          <w:snapToGrid w:val="0"/>
          <w:kern w:val="18"/>
          <w:sz w:val="20"/>
          <w:szCs w:val="20"/>
          <w:lang w:eastAsia="zh-CN"/>
        </w:rPr>
        <w:t>，附件</w:t>
      </w:r>
      <w:r w:rsidRPr="00650F1F">
        <w:rPr>
          <w:rFonts w:eastAsiaTheme="minorEastAsia"/>
          <w:snapToGrid w:val="0"/>
          <w:kern w:val="18"/>
          <w:sz w:val="20"/>
          <w:szCs w:val="20"/>
          <w:lang w:eastAsia="zh-CN"/>
        </w:rPr>
        <w:t>)</w:t>
      </w:r>
      <w:r w:rsidRPr="00650F1F">
        <w:rPr>
          <w:rFonts w:eastAsiaTheme="minorEastAsia"/>
          <w:snapToGrid w:val="0"/>
          <w:kern w:val="18"/>
          <w:sz w:val="20"/>
          <w:szCs w:val="20"/>
          <w:lang w:eastAsia="zh-CN"/>
        </w:rPr>
        <w:t>；《</w:t>
      </w:r>
      <w:r w:rsidRPr="00650F1F">
        <w:rPr>
          <w:rFonts w:eastAsiaTheme="minorEastAsia"/>
          <w:sz w:val="20"/>
          <w:szCs w:val="20"/>
          <w:lang w:eastAsia="zh-CN"/>
        </w:rPr>
        <w:t>阿格维古准则》；《</w:t>
      </w:r>
      <w:r w:rsidRPr="00650F1F">
        <w:rPr>
          <w:rStyle w:val="ng-binding"/>
          <w:rFonts w:eastAsiaTheme="minorEastAsia"/>
          <w:sz w:val="20"/>
          <w:szCs w:val="20"/>
          <w:lang w:eastAsia="zh-CN"/>
        </w:rPr>
        <w:t>联合国土著人民权利宣言》；</w:t>
      </w:r>
      <w:r w:rsidRPr="00650F1F">
        <w:rPr>
          <w:rFonts w:eastAsiaTheme="minorEastAsia"/>
          <w:snapToGrid w:val="0"/>
          <w:kern w:val="18"/>
          <w:sz w:val="20"/>
          <w:szCs w:val="20"/>
          <w:lang w:eastAsia="zh-CN"/>
        </w:rPr>
        <w:t>粮农组织</w:t>
      </w:r>
      <w:r w:rsidRPr="00650F1F">
        <w:rPr>
          <w:rStyle w:val="ng-binding"/>
          <w:rFonts w:eastAsiaTheme="minorEastAsia"/>
          <w:sz w:val="20"/>
          <w:szCs w:val="20"/>
          <w:lang w:eastAsia="zh-CN"/>
        </w:rPr>
        <w:t>《小规模渔业自愿准则》。</w:t>
      </w:r>
    </w:p>
  </w:footnote>
  <w:footnote w:id="154">
    <w:p w:rsidR="00594C0B" w:rsidRPr="00650F1F" w:rsidRDefault="00594C0B" w:rsidP="00171125">
      <w:pPr>
        <w:pStyle w:val="HTMLPreformatted"/>
        <w:tabs>
          <w:tab w:val="left" w:pos="360"/>
        </w:tabs>
        <w:spacing w:before="0" w:after="60"/>
        <w:ind w:firstLine="0"/>
        <w:rPr>
          <w:rFonts w:ascii="Times New Roman" w:eastAsiaTheme="minorEastAsia" w:hAnsi="Times New Roman"/>
          <w:lang w:eastAsia="zh-CN"/>
        </w:rPr>
      </w:pPr>
      <w:r w:rsidRPr="00171125">
        <w:rPr>
          <w:rStyle w:val="FootnoteReference"/>
          <w:rFonts w:ascii="Times New Roman" w:eastAsiaTheme="minorEastAsia" w:hAnsi="Times New Roman"/>
          <w:sz w:val="24"/>
          <w:u w:val="none"/>
          <w:vertAlign w:val="superscript"/>
          <w:lang w:val="en-GB" w:eastAsia="en-US"/>
        </w:rPr>
        <w:footnoteRef/>
      </w:r>
      <w:r w:rsidRPr="00171125">
        <w:rPr>
          <w:rStyle w:val="FootnoteReference"/>
          <w:rFonts w:ascii="Times New Roman" w:eastAsiaTheme="minorEastAsia" w:hAnsi="Times New Roman"/>
          <w:sz w:val="24"/>
          <w:u w:val="none"/>
          <w:vertAlign w:val="superscript"/>
          <w:lang w:val="en-GB" w:eastAsia="zh-CN"/>
        </w:rPr>
        <w:t xml:space="preserve">  </w:t>
      </w:r>
      <w:r w:rsidRPr="00650F1F">
        <w:rPr>
          <w:rFonts w:ascii="Times New Roman" w:eastAsiaTheme="minorEastAsia" w:hAnsi="Times New Roman"/>
          <w:lang w:eastAsia="zh-CN"/>
        </w:rPr>
        <w:t>有用指南包括：</w:t>
      </w:r>
      <w:r w:rsidRPr="00171125">
        <w:rPr>
          <w:rStyle w:val="ng-binding"/>
          <w:rFonts w:asciiTheme="minorEastAsia" w:eastAsiaTheme="minorEastAsia" w:hAnsiTheme="minorEastAsia"/>
          <w:lang w:val="en-GB" w:eastAsia="zh-CN"/>
        </w:rPr>
        <w:t>“定点治理评估方法”</w:t>
      </w:r>
      <w:r w:rsidRPr="00650F1F">
        <w:rPr>
          <w:rFonts w:ascii="Times New Roman" w:eastAsiaTheme="minorEastAsia" w:hAnsi="Times New Roman"/>
          <w:lang w:eastAsia="zh-CN"/>
        </w:rPr>
        <w:t>（环发学会，即将出版）</w:t>
      </w:r>
      <w:r w:rsidRPr="00650F1F">
        <w:rPr>
          <w:rFonts w:ascii="Times New Roman" w:eastAsiaTheme="minorEastAsia" w:hAnsi="Times New Roman"/>
          <w:lang w:eastAsia="zh-CN"/>
        </w:rPr>
        <w:t>——</w:t>
      </w:r>
      <w:r w:rsidRPr="00650F1F">
        <w:rPr>
          <w:rFonts w:ascii="Times New Roman" w:eastAsiaTheme="minorEastAsia" w:hAnsi="Times New Roman"/>
          <w:lang w:eastAsia="zh-CN"/>
        </w:rPr>
        <w:t>定点评估有助于了解实践中的治理，找到改进办法和（或）更好地根据当地情况设定治理类型和决策安排。</w:t>
      </w:r>
    </w:p>
  </w:footnote>
  <w:footnote w:id="155">
    <w:p w:rsidR="00594C0B" w:rsidRPr="00650F1F" w:rsidRDefault="00594C0B" w:rsidP="00171125">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rPr>
        <w:footnoteRef/>
      </w:r>
      <w:r w:rsidRPr="00171125">
        <w:rPr>
          <w:rStyle w:val="FootnoteReference"/>
          <w:rFonts w:eastAsiaTheme="minorEastAsia"/>
          <w:sz w:val="24"/>
          <w:szCs w:val="20"/>
          <w:u w:val="none"/>
          <w:vertAlign w:val="superscript"/>
          <w:lang w:eastAsia="zh-CN"/>
        </w:rPr>
        <w:t xml:space="preserve"> </w:t>
      </w:r>
      <w:r w:rsidRPr="00650F1F">
        <w:rPr>
          <w:rFonts w:eastAsiaTheme="minorEastAsia"/>
          <w:sz w:val="20"/>
          <w:szCs w:val="20"/>
          <w:lang w:val="en-US" w:eastAsia="zh-CN"/>
        </w:rPr>
        <w:tab/>
      </w:r>
      <w:r w:rsidRPr="00171125">
        <w:rPr>
          <w:rFonts w:eastAsiaTheme="minorEastAsia"/>
          <w:sz w:val="20"/>
          <w:szCs w:val="20"/>
          <w:lang w:eastAsia="zh-CN"/>
        </w:rPr>
        <w:t>有用指南包括：</w:t>
      </w:r>
      <w:r w:rsidRPr="00171125">
        <w:rPr>
          <w:rFonts w:eastAsiaTheme="minorEastAsia"/>
          <w:snapToGrid w:val="0"/>
          <w:color w:val="000000"/>
          <w:kern w:val="18"/>
          <w:sz w:val="20"/>
          <w:szCs w:val="20"/>
          <w:lang w:eastAsia="zh-CN"/>
        </w:rPr>
        <w:t xml:space="preserve">Franks, P </w:t>
      </w:r>
      <w:r w:rsidRPr="00171125">
        <w:rPr>
          <w:rFonts w:eastAsiaTheme="minorEastAsia"/>
          <w:snapToGrid w:val="0"/>
          <w:color w:val="000000"/>
          <w:kern w:val="18"/>
          <w:sz w:val="20"/>
          <w:szCs w:val="20"/>
          <w:lang w:eastAsia="zh-CN"/>
        </w:rPr>
        <w:t>和</w:t>
      </w:r>
      <w:r w:rsidRPr="00171125">
        <w:rPr>
          <w:rFonts w:eastAsiaTheme="minorEastAsia"/>
          <w:snapToGrid w:val="0"/>
          <w:color w:val="000000"/>
          <w:kern w:val="18"/>
          <w:sz w:val="20"/>
          <w:szCs w:val="20"/>
          <w:lang w:eastAsia="zh-CN"/>
        </w:rPr>
        <w:t xml:space="preserve"> Small, R (2016) </w:t>
      </w:r>
      <w:r w:rsidRPr="00171125">
        <w:rPr>
          <w:rStyle w:val="ng-binding"/>
          <w:rFonts w:asciiTheme="minorEastAsia" w:eastAsiaTheme="minorEastAsia" w:hAnsiTheme="minorEastAsia"/>
          <w:sz w:val="20"/>
          <w:szCs w:val="20"/>
          <w:lang w:eastAsia="zh-CN"/>
        </w:rPr>
        <w:t>“保护区社会评估”，《</w:t>
      </w:r>
      <w:r w:rsidRPr="00171125">
        <w:rPr>
          <w:rFonts w:eastAsiaTheme="minorEastAsia"/>
          <w:snapToGrid w:val="0"/>
          <w:color w:val="000000"/>
          <w:kern w:val="18"/>
          <w:sz w:val="20"/>
          <w:szCs w:val="20"/>
          <w:lang w:eastAsia="zh-CN"/>
        </w:rPr>
        <w:t>保护区社会评估主持人方法手册》，伦敦，环发学会。</w:t>
      </w:r>
    </w:p>
  </w:footnote>
  <w:footnote w:id="156">
    <w:p w:rsidR="00594C0B" w:rsidRPr="00650F1F" w:rsidRDefault="00594C0B" w:rsidP="00171125">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rPr>
        <w:footnoteRef/>
      </w:r>
      <w:r w:rsidRPr="00171125">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r w:rsidRPr="00650F1F">
        <w:rPr>
          <w:rStyle w:val="Hyperlink"/>
          <w:rFonts w:eastAsiaTheme="minorEastAsia"/>
          <w:sz w:val="20"/>
          <w:szCs w:val="20"/>
          <w:lang w:eastAsia="zh-CN"/>
        </w:rPr>
        <w:t>第</w:t>
      </w:r>
      <w:hyperlink r:id="rId67" w:history="1">
        <w:r w:rsidRPr="00650F1F">
          <w:rPr>
            <w:rStyle w:val="Hyperlink"/>
            <w:rFonts w:eastAsiaTheme="minorEastAsia"/>
            <w:sz w:val="20"/>
            <w:szCs w:val="20"/>
            <w:lang w:eastAsia="zh-CN"/>
          </w:rPr>
          <w:t>VII/28</w:t>
        </w:r>
      </w:hyperlink>
      <w:r w:rsidRPr="00650F1F">
        <w:rPr>
          <w:rStyle w:val="Hyperlink"/>
          <w:rFonts w:eastAsiaTheme="minorEastAsia"/>
          <w:sz w:val="20"/>
          <w:szCs w:val="20"/>
          <w:lang w:eastAsia="zh-CN"/>
        </w:rPr>
        <w:t>号决定</w:t>
      </w:r>
      <w:r w:rsidRPr="00650F1F">
        <w:rPr>
          <w:rFonts w:eastAsiaTheme="minorEastAsia"/>
          <w:snapToGrid w:val="0"/>
          <w:color w:val="000000"/>
          <w:kern w:val="18"/>
          <w:sz w:val="20"/>
          <w:szCs w:val="20"/>
          <w:lang w:eastAsia="zh-CN"/>
        </w:rPr>
        <w:t>，建议活动</w:t>
      </w:r>
      <w:r w:rsidRPr="00650F1F">
        <w:rPr>
          <w:rFonts w:eastAsiaTheme="minorEastAsia"/>
          <w:snapToGrid w:val="0"/>
          <w:color w:val="000000"/>
          <w:kern w:val="18"/>
          <w:sz w:val="20"/>
          <w:szCs w:val="20"/>
          <w:shd w:val="clear" w:color="auto" w:fill="FFFFFF"/>
          <w:lang w:eastAsia="zh-CN"/>
        </w:rPr>
        <w:t>2.1.6</w:t>
      </w:r>
      <w:r w:rsidRPr="00650F1F">
        <w:rPr>
          <w:rFonts w:eastAsiaTheme="minorEastAsia"/>
          <w:snapToGrid w:val="0"/>
          <w:color w:val="000000"/>
          <w:kern w:val="18"/>
          <w:sz w:val="20"/>
          <w:szCs w:val="20"/>
          <w:shd w:val="clear" w:color="auto" w:fill="FFFFFF"/>
          <w:lang w:eastAsia="zh-CN"/>
        </w:rPr>
        <w:t>。</w:t>
      </w:r>
      <w:r w:rsidRPr="00650F1F">
        <w:rPr>
          <w:rFonts w:eastAsiaTheme="minorEastAsia"/>
          <w:snapToGrid w:val="0"/>
          <w:color w:val="000000"/>
          <w:kern w:val="18"/>
          <w:sz w:val="20"/>
          <w:szCs w:val="20"/>
          <w:shd w:val="clear" w:color="auto" w:fill="FFFFFF"/>
          <w:lang w:eastAsia="zh-CN"/>
        </w:rPr>
        <w:t xml:space="preserve"> </w:t>
      </w:r>
    </w:p>
  </w:footnote>
  <w:footnote w:id="157">
    <w:p w:rsidR="00594C0B" w:rsidRPr="00650F1F" w:rsidRDefault="00594C0B" w:rsidP="00650F1F">
      <w:pPr>
        <w:pStyle w:val="FootnoteText"/>
        <w:tabs>
          <w:tab w:val="left" w:pos="360"/>
        </w:tabs>
        <w:spacing w:before="0"/>
        <w:ind w:firstLine="0"/>
        <w:jc w:val="left"/>
        <w:rPr>
          <w:rFonts w:eastAsiaTheme="minorEastAsia"/>
          <w:sz w:val="20"/>
          <w:szCs w:val="20"/>
          <w:lang w:eastAsia="zh-CN"/>
        </w:rPr>
      </w:pPr>
      <w:r w:rsidRPr="00171125">
        <w:rPr>
          <w:rStyle w:val="FootnoteReference"/>
          <w:rFonts w:eastAsiaTheme="minorEastAsia"/>
          <w:sz w:val="24"/>
          <w:szCs w:val="20"/>
          <w:u w:val="none"/>
          <w:vertAlign w:val="superscript"/>
        </w:rPr>
        <w:footnoteRef/>
      </w:r>
      <w:r w:rsidRPr="00171125">
        <w:rPr>
          <w:rStyle w:val="FootnoteReference"/>
          <w:rFonts w:eastAsiaTheme="minorEastAsia"/>
          <w:sz w:val="20"/>
          <w:szCs w:val="20"/>
          <w:u w:val="none"/>
          <w:lang w:eastAsia="zh-CN"/>
        </w:rPr>
        <w:t xml:space="preserve"> </w:t>
      </w:r>
      <w:r w:rsidRPr="00650F1F">
        <w:rPr>
          <w:rFonts w:eastAsiaTheme="minorEastAsia"/>
          <w:sz w:val="20"/>
          <w:szCs w:val="20"/>
          <w:lang w:val="en-US" w:eastAsia="zh-CN"/>
        </w:rPr>
        <w:tab/>
      </w:r>
      <w:r w:rsidRPr="00650F1F">
        <w:rPr>
          <w:rFonts w:eastAsiaTheme="minorEastAsia"/>
          <w:sz w:val="20"/>
          <w:szCs w:val="20"/>
          <w:lang w:eastAsia="zh-CN"/>
        </w:rPr>
        <w:t>有用指南包括：</w:t>
      </w:r>
      <w:r w:rsidRPr="00171125">
        <w:rPr>
          <w:rFonts w:ascii="SimSun" w:eastAsia="SimSun" w:hAnsi="SimSun"/>
          <w:snapToGrid w:val="0"/>
          <w:color w:val="000000"/>
          <w:kern w:val="18"/>
          <w:sz w:val="20"/>
          <w:szCs w:val="20"/>
          <w:lang w:eastAsia="zh-CN"/>
        </w:rPr>
        <w:t>“保护区社会评估”。</w:t>
      </w:r>
    </w:p>
  </w:footnote>
  <w:footnote w:id="158">
    <w:p w:rsidR="00594C0B" w:rsidRPr="00650F1F" w:rsidRDefault="00594C0B" w:rsidP="00650F1F">
      <w:pPr>
        <w:pStyle w:val="FootnoteText"/>
        <w:tabs>
          <w:tab w:val="left" w:pos="360"/>
        </w:tabs>
        <w:spacing w:before="0"/>
        <w:ind w:firstLine="0"/>
        <w:rPr>
          <w:rFonts w:eastAsiaTheme="minorEastAsia"/>
          <w:sz w:val="20"/>
          <w:szCs w:val="20"/>
          <w:lang w:eastAsia="zh-CN"/>
        </w:rPr>
      </w:pPr>
      <w:r w:rsidRPr="00084B39">
        <w:rPr>
          <w:rStyle w:val="FootnoteReference"/>
          <w:rFonts w:eastAsiaTheme="minorEastAsia"/>
          <w:sz w:val="24"/>
          <w:szCs w:val="20"/>
          <w:u w:val="none"/>
          <w:vertAlign w:val="superscript"/>
        </w:rPr>
        <w:footnoteRef/>
      </w:r>
      <w:r w:rsidRPr="00650F1F">
        <w:rPr>
          <w:rFonts w:eastAsiaTheme="minorEastAsia"/>
          <w:snapToGrid w:val="0"/>
          <w:kern w:val="18"/>
          <w:sz w:val="20"/>
          <w:szCs w:val="20"/>
          <w:lang w:eastAsia="zh-CN"/>
        </w:rPr>
        <w:tab/>
        <w:t xml:space="preserve">CBD/PA/EM/2018/1/INF/4 </w:t>
      </w:r>
      <w:r w:rsidRPr="00650F1F">
        <w:rPr>
          <w:rFonts w:eastAsiaTheme="minorEastAsia"/>
          <w:snapToGrid w:val="0"/>
          <w:kern w:val="18"/>
          <w:sz w:val="20"/>
          <w:szCs w:val="20"/>
          <w:lang w:eastAsia="zh-CN"/>
        </w:rPr>
        <w:t>提供了许多贡献范例。</w:t>
      </w:r>
    </w:p>
  </w:footnote>
  <w:footnote w:id="159">
    <w:p w:rsidR="00594C0B" w:rsidRPr="00650F1F" w:rsidRDefault="00594C0B" w:rsidP="00C9773D">
      <w:pPr>
        <w:tabs>
          <w:tab w:val="left" w:pos="360"/>
        </w:tabs>
        <w:spacing w:before="0" w:after="60"/>
        <w:ind w:firstLine="0"/>
        <w:rPr>
          <w:rFonts w:eastAsiaTheme="minorEastAsia"/>
          <w:kern w:val="18"/>
          <w:sz w:val="20"/>
          <w:szCs w:val="18"/>
          <w:lang w:eastAsia="zh-CN"/>
        </w:rPr>
      </w:pPr>
      <w:r w:rsidRPr="00650F1F">
        <w:rPr>
          <w:rStyle w:val="FootnoteReference"/>
          <w:rFonts w:eastAsiaTheme="minorEastAsia"/>
          <w:bCs/>
          <w:kern w:val="22"/>
          <w:sz w:val="24"/>
          <w:szCs w:val="18"/>
          <w:u w:val="none"/>
          <w:vertAlign w:val="superscript"/>
          <w:lang w:val="en-GB"/>
        </w:rPr>
        <w:footnoteRef/>
      </w:r>
      <w:r w:rsidRPr="00650F1F">
        <w:rPr>
          <w:rFonts w:eastAsiaTheme="minorEastAsia"/>
          <w:kern w:val="18"/>
          <w:szCs w:val="18"/>
          <w:lang w:eastAsia="zh-CN"/>
        </w:rPr>
        <w:t xml:space="preserve"> </w:t>
      </w:r>
      <w:r w:rsidRPr="00650F1F">
        <w:rPr>
          <w:rFonts w:eastAsiaTheme="minorEastAsia"/>
          <w:kern w:val="18"/>
          <w:sz w:val="20"/>
          <w:szCs w:val="18"/>
          <w:lang w:eastAsia="zh-CN"/>
        </w:rPr>
        <w:tab/>
      </w:r>
      <w:r w:rsidRPr="00650F1F">
        <w:rPr>
          <w:rFonts w:eastAsiaTheme="minorEastAsia"/>
          <w:kern w:val="18"/>
          <w:sz w:val="20"/>
          <w:szCs w:val="18"/>
          <w:lang/>
        </w:rPr>
        <w:t>土耳其不同意其中提到土耳其所参加的一项国际文书，即</w:t>
      </w:r>
      <w:r w:rsidRPr="00650F1F">
        <w:rPr>
          <w:rFonts w:eastAsiaTheme="minorEastAsia"/>
          <w:kern w:val="18"/>
          <w:sz w:val="20"/>
          <w:szCs w:val="18"/>
          <w:lang/>
        </w:rPr>
        <w:t>1982</w:t>
      </w:r>
      <w:r w:rsidRPr="00650F1F">
        <w:rPr>
          <w:rFonts w:eastAsiaTheme="minorEastAsia"/>
          <w:kern w:val="18"/>
          <w:sz w:val="20"/>
          <w:szCs w:val="18"/>
          <w:lang/>
        </w:rPr>
        <w:t>年《联合国海洋法公约》。参加这一会议不得解释为土耳其在这一文书问题上众所周知的法律立场有改变。</w:t>
      </w:r>
    </w:p>
  </w:footnote>
  <w:footnote w:id="160">
    <w:p w:rsidR="00594C0B" w:rsidRPr="00650F1F" w:rsidRDefault="00594C0B" w:rsidP="00C9773D">
      <w:pPr>
        <w:tabs>
          <w:tab w:val="left" w:pos="360"/>
        </w:tabs>
        <w:spacing w:before="0" w:after="60"/>
        <w:ind w:firstLine="0"/>
        <w:rPr>
          <w:rFonts w:eastAsiaTheme="minorEastAsia"/>
          <w:kern w:val="18"/>
          <w:sz w:val="20"/>
          <w:szCs w:val="18"/>
          <w:lang w:eastAsia="zh-CN"/>
        </w:rPr>
      </w:pPr>
      <w:r w:rsidRPr="00650F1F">
        <w:rPr>
          <w:rStyle w:val="FootnoteReference"/>
          <w:rFonts w:eastAsiaTheme="minorEastAsia"/>
          <w:bCs/>
          <w:kern w:val="22"/>
          <w:sz w:val="24"/>
          <w:szCs w:val="18"/>
          <w:u w:val="none"/>
          <w:vertAlign w:val="superscript"/>
          <w:lang w:val="en-GB"/>
        </w:rPr>
        <w:footnoteRef/>
      </w:r>
      <w:r w:rsidRPr="00650F1F">
        <w:rPr>
          <w:rStyle w:val="FootnoteReference"/>
          <w:rFonts w:eastAsiaTheme="minorEastAsia"/>
          <w:bCs/>
          <w:kern w:val="22"/>
          <w:sz w:val="24"/>
          <w:szCs w:val="18"/>
          <w:u w:val="none"/>
          <w:vertAlign w:val="superscript"/>
          <w:lang w:val="en-GB" w:eastAsia="zh-CN"/>
        </w:rPr>
        <w:t xml:space="preserve"> </w:t>
      </w:r>
      <w:r w:rsidRPr="00650F1F">
        <w:rPr>
          <w:rFonts w:eastAsiaTheme="minorEastAsia"/>
          <w:kern w:val="18"/>
          <w:sz w:val="20"/>
          <w:szCs w:val="18"/>
          <w:lang w:eastAsia="zh-CN"/>
        </w:rPr>
        <w:tab/>
      </w:r>
      <w:r w:rsidRPr="00650F1F">
        <w:rPr>
          <w:rFonts w:eastAsiaTheme="minorEastAsia"/>
          <w:kern w:val="18"/>
          <w:sz w:val="20"/>
          <w:szCs w:val="18"/>
          <w:lang/>
        </w:rPr>
        <w:t>委内瑞拉玻利瓦尔共和国认为，《联合国海洋法公约》并非指导所有与海域和海洋相关活动的唯一法律文书。</w:t>
      </w:r>
    </w:p>
  </w:footnote>
  <w:footnote w:id="161">
    <w:p w:rsidR="00594C0B" w:rsidRPr="00650F1F" w:rsidRDefault="00594C0B" w:rsidP="00C9773D">
      <w:pPr>
        <w:tabs>
          <w:tab w:val="left" w:pos="360"/>
        </w:tabs>
        <w:spacing w:before="0" w:after="60"/>
        <w:ind w:firstLine="0"/>
        <w:rPr>
          <w:rFonts w:eastAsiaTheme="minorEastAsia"/>
          <w:kern w:val="18"/>
          <w:szCs w:val="18"/>
          <w:lang w:eastAsia="zh-CN"/>
        </w:rPr>
      </w:pPr>
      <w:r w:rsidRPr="00650F1F">
        <w:rPr>
          <w:rStyle w:val="FootnoteReference"/>
          <w:rFonts w:eastAsiaTheme="minorEastAsia"/>
          <w:bCs/>
          <w:kern w:val="22"/>
          <w:sz w:val="24"/>
          <w:szCs w:val="18"/>
          <w:u w:val="none"/>
          <w:vertAlign w:val="superscript"/>
          <w:lang w:val="en-GB"/>
        </w:rPr>
        <w:footnoteRef/>
      </w:r>
      <w:r w:rsidRPr="00650F1F">
        <w:rPr>
          <w:rFonts w:eastAsiaTheme="minorEastAsia"/>
          <w:kern w:val="18"/>
          <w:sz w:val="20"/>
          <w:szCs w:val="18"/>
          <w:lang w:eastAsia="zh-CN"/>
        </w:rPr>
        <w:t xml:space="preserve"> </w:t>
      </w:r>
      <w:r w:rsidRPr="00650F1F">
        <w:rPr>
          <w:rFonts w:eastAsiaTheme="minorEastAsia"/>
          <w:kern w:val="18"/>
          <w:sz w:val="20"/>
          <w:szCs w:val="18"/>
          <w:lang w:eastAsia="zh-CN"/>
        </w:rPr>
        <w:tab/>
      </w:r>
      <w:r w:rsidRPr="00650F1F">
        <w:rPr>
          <w:rFonts w:eastAsiaTheme="minorEastAsia"/>
          <w:kern w:val="18"/>
          <w:sz w:val="20"/>
          <w:szCs w:val="18"/>
          <w:lang w:eastAsia="zh-CN"/>
        </w:rPr>
        <w:t>哥伦比亚重申，《联合国海洋法公约》并非指导所有在海域和海洋上开展的法律活动的唯一法律文书。哥伦比亚参加这一会议并不影响其地位或权利，也不应被解释为默认或明示地接受《联合国海洋法公约》这一哥伦比亚并未参加的文书的规定。</w:t>
      </w:r>
    </w:p>
  </w:footnote>
  <w:footnote w:id="162">
    <w:p w:rsidR="00594C0B" w:rsidRPr="00650F1F" w:rsidRDefault="00594C0B" w:rsidP="00C9773D">
      <w:pPr>
        <w:pStyle w:val="FootnoteText"/>
        <w:keepLines w:val="0"/>
        <w:tabs>
          <w:tab w:val="left" w:pos="360"/>
        </w:tabs>
        <w:kinsoku w:val="0"/>
        <w:overflowPunct w:val="0"/>
        <w:autoSpaceDE w:val="0"/>
        <w:autoSpaceDN w:val="0"/>
        <w:spacing w:before="0"/>
        <w:ind w:firstLine="0"/>
        <w:jc w:val="left"/>
        <w:rPr>
          <w:rFonts w:eastAsiaTheme="minorEastAsia"/>
          <w:b/>
          <w:lang w:eastAsia="zh-CN"/>
        </w:rPr>
      </w:pPr>
      <w:r w:rsidRPr="00650F1F">
        <w:rPr>
          <w:rStyle w:val="FootnoteReference"/>
          <w:rFonts w:eastAsiaTheme="minorEastAsia"/>
          <w:b/>
          <w:kern w:val="22"/>
          <w:sz w:val="24"/>
          <w:u w:val="none"/>
          <w:vertAlign w:val="superscript"/>
        </w:rPr>
        <w:footnoteRef/>
      </w:r>
      <w:r w:rsidRPr="00650F1F">
        <w:rPr>
          <w:rStyle w:val="FootnoteReference"/>
          <w:rFonts w:eastAsiaTheme="minorEastAsia"/>
          <w:b/>
          <w:kern w:val="22"/>
          <w:sz w:val="24"/>
          <w:u w:val="none"/>
          <w:vertAlign w:val="superscript"/>
        </w:rPr>
        <w:t xml:space="preserve"> </w:t>
      </w:r>
      <w:r w:rsidRPr="00650F1F">
        <w:rPr>
          <w:rStyle w:val="Strong"/>
          <w:rFonts w:eastAsiaTheme="minorEastAsia"/>
          <w:snapToGrid w:val="0"/>
          <w:kern w:val="18"/>
          <w:sz w:val="20"/>
          <w:szCs w:val="18"/>
          <w:lang w:eastAsia="zh-CN"/>
        </w:rPr>
        <w:tab/>
      </w:r>
      <w:r w:rsidRPr="00650F1F">
        <w:rPr>
          <w:rStyle w:val="Strong"/>
          <w:rFonts w:eastAsiaTheme="minorEastAsia"/>
          <w:b w:val="0"/>
          <w:snapToGrid w:val="0"/>
          <w:sz w:val="20"/>
          <w:lang w:eastAsia="zh-CN"/>
        </w:rPr>
        <w:t>CBD/EBSA/WS/2017/1/3</w:t>
      </w:r>
      <w:r w:rsidRPr="00650F1F">
        <w:rPr>
          <w:rStyle w:val="Strong"/>
          <w:rFonts w:eastAsiaTheme="minorEastAsia"/>
          <w:b w:val="0"/>
          <w:snapToGrid w:val="0"/>
          <w:sz w:val="20"/>
          <w:lang w:eastAsia="zh-CN"/>
        </w:rPr>
        <w:t>和</w:t>
      </w:r>
      <w:r w:rsidRPr="00650F1F">
        <w:rPr>
          <w:rStyle w:val="Strong"/>
          <w:rFonts w:eastAsiaTheme="minorEastAsia"/>
          <w:b w:val="0"/>
          <w:snapToGrid w:val="0"/>
          <w:sz w:val="20"/>
          <w:lang w:eastAsia="zh-CN"/>
        </w:rPr>
        <w:t>CBD/EBSA/WS/2018/1/4</w:t>
      </w:r>
      <w:r w:rsidRPr="00650F1F">
        <w:rPr>
          <w:rStyle w:val="Strong"/>
          <w:rFonts w:eastAsiaTheme="minorEastAsia"/>
          <w:b w:val="0"/>
          <w:snapToGrid w:val="0"/>
          <w:sz w:val="20"/>
          <w:lang w:eastAsia="zh-CN"/>
        </w:rPr>
        <w:t>。</w:t>
      </w:r>
    </w:p>
  </w:footnote>
  <w:footnote w:id="163">
    <w:p w:rsidR="00594C0B" w:rsidRPr="00650F1F" w:rsidRDefault="00594C0B" w:rsidP="00C9773D">
      <w:pPr>
        <w:pStyle w:val="FootnoteText"/>
        <w:tabs>
          <w:tab w:val="left" w:pos="360"/>
        </w:tabs>
        <w:adjustRightInd w:val="0"/>
        <w:spacing w:before="0"/>
        <w:ind w:firstLine="0"/>
        <w:rPr>
          <w:rFonts w:eastAsiaTheme="minorEastAsia"/>
          <w:b/>
          <w:bCs/>
          <w:kern w:val="18"/>
          <w:szCs w:val="18"/>
          <w:lang w:eastAsia="zh-CN"/>
        </w:rPr>
      </w:pPr>
      <w:r w:rsidRPr="00650F1F">
        <w:rPr>
          <w:rFonts w:eastAsiaTheme="minorEastAsia"/>
          <w:kern w:val="22"/>
          <w:sz w:val="24"/>
          <w:szCs w:val="20"/>
          <w:vertAlign w:val="superscript"/>
          <w:lang w:eastAsia="zh-CN"/>
        </w:rPr>
        <w:footnoteRef/>
      </w:r>
      <w:r w:rsidRPr="00650F1F">
        <w:rPr>
          <w:rFonts w:eastAsiaTheme="minorEastAsia"/>
          <w:kern w:val="22"/>
          <w:sz w:val="28"/>
          <w:szCs w:val="20"/>
          <w:vertAlign w:val="superscript"/>
          <w:lang w:eastAsia="zh-CN"/>
        </w:rPr>
        <w:t xml:space="preserve"> </w:t>
      </w:r>
      <w:r w:rsidRPr="00650F1F">
        <w:rPr>
          <w:rFonts w:eastAsiaTheme="minorEastAsia"/>
          <w:kern w:val="22"/>
          <w:sz w:val="20"/>
          <w:szCs w:val="20"/>
          <w:lang w:eastAsia="zh-CN"/>
        </w:rPr>
        <w:tab/>
        <w:t>CBD/EBSA/EM/2017/1/3</w:t>
      </w:r>
      <w:r w:rsidRPr="00650F1F">
        <w:rPr>
          <w:rFonts w:eastAsiaTheme="minorEastAsia"/>
          <w:kern w:val="22"/>
          <w:sz w:val="20"/>
          <w:szCs w:val="20"/>
          <w:lang w:eastAsia="zh-CN"/>
        </w:rPr>
        <w:t>。</w:t>
      </w:r>
    </w:p>
  </w:footnote>
  <w:footnote w:id="164">
    <w:p w:rsidR="00594C0B" w:rsidRPr="00650F1F" w:rsidRDefault="00594C0B" w:rsidP="00650F1F">
      <w:pPr>
        <w:pStyle w:val="FootnoteText"/>
        <w:tabs>
          <w:tab w:val="left" w:pos="360"/>
        </w:tabs>
        <w:adjustRightIn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Fonts w:eastAsiaTheme="minorEastAsia"/>
          <w:sz w:val="24"/>
          <w:szCs w:val="20"/>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报告载</w:t>
      </w:r>
      <w:r w:rsidRPr="00650F1F">
        <w:rPr>
          <w:rFonts w:eastAsiaTheme="minorEastAsia"/>
          <w:kern w:val="22"/>
          <w:sz w:val="20"/>
          <w:szCs w:val="20"/>
          <w:lang w:eastAsia="zh-CN"/>
        </w:rPr>
        <w:t>CBD/EBSA/WS/2017/1/3</w:t>
      </w:r>
      <w:r w:rsidRPr="00650F1F">
        <w:rPr>
          <w:rFonts w:eastAsiaTheme="minorEastAsia"/>
          <w:kern w:val="22"/>
          <w:sz w:val="20"/>
          <w:szCs w:val="20"/>
          <w:lang w:eastAsia="zh-CN"/>
        </w:rPr>
        <w:t>。</w:t>
      </w:r>
    </w:p>
  </w:footnote>
  <w:footnote w:id="165">
    <w:p w:rsidR="00594C0B" w:rsidRPr="00650F1F" w:rsidRDefault="00594C0B" w:rsidP="00650F1F">
      <w:pPr>
        <w:pStyle w:val="FootnoteText"/>
        <w:tabs>
          <w:tab w:val="left" w:pos="360"/>
        </w:tabs>
        <w:adjustRightInd w:val="0"/>
        <w:spacing w:before="0"/>
        <w:ind w:firstLine="0"/>
        <w:rPr>
          <w:rFonts w:eastAsiaTheme="minorEastAsia"/>
          <w:sz w:val="20"/>
          <w:szCs w:val="20"/>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报告载</w:t>
      </w:r>
      <w:r w:rsidRPr="00650F1F">
        <w:rPr>
          <w:rFonts w:eastAsiaTheme="minorEastAsia"/>
          <w:kern w:val="22"/>
          <w:sz w:val="20"/>
          <w:szCs w:val="20"/>
          <w:lang w:eastAsia="zh-CN"/>
        </w:rPr>
        <w:t>CBD/EBSA/WS/2018/1/4</w:t>
      </w:r>
      <w:r w:rsidRPr="00650F1F">
        <w:rPr>
          <w:rFonts w:eastAsiaTheme="minorEastAsia"/>
          <w:kern w:val="22"/>
          <w:sz w:val="20"/>
          <w:szCs w:val="20"/>
          <w:lang w:eastAsia="zh-CN"/>
        </w:rPr>
        <w:t>。</w:t>
      </w:r>
    </w:p>
  </w:footnote>
  <w:footnote w:id="166">
    <w:p w:rsidR="00594C0B" w:rsidRPr="00650F1F" w:rsidRDefault="00594C0B" w:rsidP="00650F1F">
      <w:pPr>
        <w:pStyle w:val="FootnoteText"/>
        <w:tabs>
          <w:tab w:val="left" w:pos="360"/>
          <w:tab w:val="left" w:pos="720"/>
        </w:tabs>
        <w:adjustRightInd w:val="0"/>
        <w:spacing w:before="0"/>
        <w:ind w:firstLine="0"/>
        <w:rPr>
          <w:rFonts w:eastAsiaTheme="minorEastAsia"/>
          <w:szCs w:val="18"/>
          <w:lang w:eastAsia="zh-CN"/>
        </w:rPr>
      </w:pPr>
      <w:r w:rsidRPr="00650F1F">
        <w:rPr>
          <w:rStyle w:val="FootnoteReference"/>
          <w:rFonts w:eastAsiaTheme="minorEastAsia"/>
          <w:sz w:val="24"/>
          <w:szCs w:val="20"/>
          <w:u w:val="none"/>
          <w:vertAlign w:val="superscript"/>
        </w:rPr>
        <w:footnoteRef/>
      </w:r>
      <w:r w:rsidRPr="00650F1F">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 xml:space="preserve"> </w:t>
      </w:r>
      <w:r w:rsidRPr="00650F1F">
        <w:rPr>
          <w:rFonts w:eastAsiaTheme="minorEastAsia"/>
          <w:sz w:val="20"/>
          <w:szCs w:val="20"/>
          <w:lang w:eastAsia="zh-CN"/>
        </w:rPr>
        <w:tab/>
      </w:r>
      <w:hyperlink r:id="rId68" w:history="1">
        <w:r w:rsidRPr="00650F1F">
          <w:rPr>
            <w:rStyle w:val="Hyperlink"/>
            <w:rFonts w:eastAsiaTheme="minorEastAsia"/>
            <w:sz w:val="20"/>
            <w:szCs w:val="20"/>
            <w:lang w:eastAsia="zh-CN"/>
          </w:rPr>
          <w:t>联合国，《条约汇编》，第</w:t>
        </w:r>
        <w:r w:rsidRPr="00650F1F">
          <w:rPr>
            <w:rStyle w:val="Hyperlink"/>
            <w:rFonts w:eastAsiaTheme="minorEastAsia"/>
            <w:sz w:val="20"/>
            <w:szCs w:val="20"/>
            <w:lang w:eastAsia="zh-CN"/>
          </w:rPr>
          <w:t>1833</w:t>
        </w:r>
        <w:r w:rsidRPr="00650F1F">
          <w:rPr>
            <w:rStyle w:val="Hyperlink"/>
            <w:rFonts w:eastAsiaTheme="minorEastAsia"/>
            <w:sz w:val="20"/>
            <w:szCs w:val="20"/>
            <w:lang w:eastAsia="zh-CN"/>
          </w:rPr>
          <w:t>卷，第</w:t>
        </w:r>
        <w:r w:rsidRPr="00650F1F">
          <w:rPr>
            <w:rStyle w:val="Hyperlink"/>
            <w:rFonts w:eastAsiaTheme="minorEastAsia"/>
            <w:sz w:val="20"/>
            <w:szCs w:val="20"/>
            <w:lang w:eastAsia="zh-CN"/>
          </w:rPr>
          <w:t>31363</w:t>
        </w:r>
        <w:r w:rsidRPr="00650F1F">
          <w:rPr>
            <w:rStyle w:val="Hyperlink"/>
            <w:rFonts w:eastAsiaTheme="minorEastAsia"/>
            <w:sz w:val="20"/>
            <w:szCs w:val="20"/>
            <w:lang w:eastAsia="zh-CN"/>
          </w:rPr>
          <w:t>号</w:t>
        </w:r>
      </w:hyperlink>
      <w:r w:rsidRPr="00650F1F">
        <w:rPr>
          <w:rFonts w:eastAsiaTheme="minorEastAsia"/>
          <w:sz w:val="20"/>
          <w:szCs w:val="20"/>
          <w:lang w:eastAsia="zh-CN"/>
        </w:rPr>
        <w:t>。</w:t>
      </w:r>
    </w:p>
  </w:footnote>
  <w:footnote w:id="167">
    <w:p w:rsidR="00594C0B" w:rsidRPr="00650F1F" w:rsidRDefault="00594C0B" w:rsidP="00650F1F">
      <w:pPr>
        <w:pStyle w:val="FootnoteText"/>
        <w:tabs>
          <w:tab w:val="left" w:pos="360"/>
        </w:tabs>
        <w:spacing w:before="0"/>
        <w:ind w:firstLine="0"/>
        <w:rPr>
          <w:rFonts w:eastAsiaTheme="minorEastAsia"/>
          <w:lang w:val="en-US" w:eastAsia="zh-CN"/>
        </w:rPr>
      </w:pPr>
      <w:r w:rsidRPr="00C9773D">
        <w:rPr>
          <w:rStyle w:val="FootnoteReference"/>
          <w:rFonts w:eastAsiaTheme="minorEastAsia"/>
          <w:sz w:val="24"/>
          <w:u w:val="none"/>
          <w:vertAlign w:val="superscript"/>
        </w:rPr>
        <w:footnoteRef/>
      </w:r>
      <w:r w:rsidRPr="00C9773D">
        <w:rPr>
          <w:rStyle w:val="FootnoteReference"/>
          <w:sz w:val="24"/>
          <w:u w:val="none"/>
          <w:vertAlign w:val="superscript"/>
          <w:lang w:eastAsia="zh-CN"/>
        </w:rPr>
        <w:t xml:space="preserve"> </w:t>
      </w:r>
      <w:r w:rsidRPr="00650F1F">
        <w:rPr>
          <w:rFonts w:eastAsiaTheme="minorEastAsia"/>
          <w:lang w:eastAsia="zh-CN"/>
        </w:rPr>
        <w:t xml:space="preserve">  </w:t>
      </w:r>
      <w:r w:rsidRPr="00650F1F">
        <w:rPr>
          <w:rFonts w:eastAsiaTheme="minorEastAsia"/>
          <w:sz w:val="20"/>
          <w:szCs w:val="20"/>
          <w:lang w:val="en-US" w:eastAsia="zh-CN"/>
        </w:rPr>
        <w:t>包括参加区域讲习班的专家，根据对拟议修改的</w:t>
      </w:r>
      <w:r w:rsidRPr="00650F1F">
        <w:rPr>
          <w:rFonts w:eastAsiaTheme="minorEastAsia"/>
          <w:snapToGrid w:val="0"/>
          <w:kern w:val="22"/>
          <w:sz w:val="20"/>
          <w:szCs w:val="20"/>
          <w:lang w:eastAsia="zh-CN"/>
        </w:rPr>
        <w:t>具有重要生态或生物意义的海洋区域进行最初叙述的国家联络点和相关组织的提名。</w:t>
      </w:r>
    </w:p>
  </w:footnote>
  <w:footnote w:id="168">
    <w:p w:rsidR="00594C0B" w:rsidRPr="00650F1F" w:rsidRDefault="00594C0B" w:rsidP="00650F1F">
      <w:pPr>
        <w:pStyle w:val="FootnoteText"/>
        <w:tabs>
          <w:tab w:val="left" w:pos="360"/>
        </w:tabs>
        <w:spacing w:before="0"/>
        <w:ind w:firstLine="0"/>
        <w:rPr>
          <w:rFonts w:eastAsiaTheme="minorEastAsia"/>
          <w:lang w:eastAsia="zh-CN"/>
        </w:rPr>
      </w:pPr>
      <w:r w:rsidRPr="00C9773D">
        <w:rPr>
          <w:rStyle w:val="FootnoteReference"/>
          <w:rFonts w:eastAsiaTheme="minorEastAsia"/>
          <w:sz w:val="24"/>
          <w:u w:val="none"/>
          <w:vertAlign w:val="superscript"/>
        </w:rPr>
        <w:footnoteRef/>
      </w:r>
      <w:r w:rsidRPr="00C9773D">
        <w:rPr>
          <w:rStyle w:val="FootnoteReference"/>
          <w:rFonts w:eastAsiaTheme="minorEastAsia"/>
          <w:sz w:val="24"/>
          <w:u w:val="none"/>
          <w:vertAlign w:val="superscript"/>
          <w:lang w:eastAsia="zh-CN"/>
        </w:rPr>
        <w:t xml:space="preserve">  </w:t>
      </w:r>
      <w:r w:rsidRPr="00650F1F">
        <w:rPr>
          <w:rFonts w:eastAsiaTheme="minorEastAsia"/>
          <w:lang w:eastAsia="zh-CN"/>
        </w:rPr>
        <w:t xml:space="preserve"> </w:t>
      </w:r>
      <w:r w:rsidRPr="00650F1F">
        <w:rPr>
          <w:rFonts w:eastAsiaTheme="minorEastAsia"/>
          <w:sz w:val="20"/>
          <w:szCs w:val="20"/>
          <w:lang w:eastAsia="zh-CN"/>
        </w:rPr>
        <w:t>执行秘书将根据</w:t>
      </w:r>
      <w:r w:rsidRPr="00650F1F">
        <w:rPr>
          <w:rFonts w:eastAsiaTheme="minorEastAsia"/>
          <w:snapToGrid w:val="0"/>
          <w:kern w:val="22"/>
          <w:sz w:val="20"/>
          <w:szCs w:val="20"/>
          <w:lang w:eastAsia="zh-CN"/>
        </w:rPr>
        <w:t>重要生态或生物意义的海洋区域</w:t>
      </w:r>
      <w:r w:rsidRPr="00650F1F">
        <w:rPr>
          <w:rFonts w:eastAsiaTheme="minorEastAsia"/>
          <w:sz w:val="20"/>
          <w:szCs w:val="20"/>
          <w:lang w:eastAsia="zh-CN"/>
        </w:rPr>
        <w:t>非正式咨询小组的建议制定关于同行评审程序的自愿准则，供科学、技术和工艺咨询附属机构和缔约方大会审议。</w:t>
      </w:r>
    </w:p>
  </w:footnote>
  <w:footnote w:id="169">
    <w:p w:rsidR="00594C0B" w:rsidRPr="00650F1F" w:rsidRDefault="00594C0B" w:rsidP="00650F1F">
      <w:pPr>
        <w:pStyle w:val="FootnoteText"/>
        <w:tabs>
          <w:tab w:val="left" w:pos="360"/>
        </w:tabs>
        <w:spacing w:before="0"/>
        <w:ind w:firstLine="0"/>
        <w:rPr>
          <w:rFonts w:eastAsiaTheme="minorEastAsia"/>
          <w:lang w:eastAsia="zh-CN"/>
        </w:rPr>
      </w:pPr>
      <w:r w:rsidRPr="00C9773D">
        <w:rPr>
          <w:rStyle w:val="FootnoteReference"/>
          <w:rFonts w:eastAsiaTheme="minorEastAsia"/>
          <w:sz w:val="24"/>
          <w:u w:val="none"/>
          <w:vertAlign w:val="superscript"/>
        </w:rPr>
        <w:footnoteRef/>
      </w:r>
      <w:r w:rsidRPr="00C9773D">
        <w:rPr>
          <w:rFonts w:eastAsiaTheme="minorEastAsia"/>
          <w:sz w:val="22"/>
          <w:vertAlign w:val="superscript"/>
          <w:lang w:eastAsia="zh-CN"/>
        </w:rPr>
        <w:t xml:space="preserve"> </w:t>
      </w:r>
      <w:r w:rsidRPr="00C9773D">
        <w:rPr>
          <w:rFonts w:eastAsiaTheme="minorEastAsia"/>
          <w:vertAlign w:val="superscript"/>
          <w:lang w:eastAsia="zh-CN"/>
        </w:rPr>
        <w:t xml:space="preserve"> </w:t>
      </w:r>
      <w:r w:rsidRPr="00650F1F">
        <w:rPr>
          <w:rFonts w:eastAsiaTheme="minorEastAsia"/>
          <w:lang w:eastAsia="zh-CN"/>
        </w:rPr>
        <w:t xml:space="preserve"> </w:t>
      </w:r>
      <w:r w:rsidRPr="00650F1F">
        <w:rPr>
          <w:rFonts w:eastAsiaTheme="minorEastAsia"/>
          <w:sz w:val="20"/>
          <w:szCs w:val="20"/>
          <w:lang w:eastAsia="zh-CN"/>
        </w:rPr>
        <w:t>执行秘书将根据</w:t>
      </w:r>
      <w:r w:rsidRPr="00650F1F">
        <w:rPr>
          <w:rFonts w:eastAsiaTheme="minorEastAsia"/>
          <w:kern w:val="22"/>
          <w:sz w:val="20"/>
          <w:szCs w:val="20"/>
          <w:lang w:eastAsia="zh-CN"/>
        </w:rPr>
        <w:t>具有重要生态或生物意义的海洋区域</w:t>
      </w:r>
      <w:r w:rsidRPr="00650F1F">
        <w:rPr>
          <w:rFonts w:eastAsiaTheme="minorEastAsia"/>
          <w:sz w:val="20"/>
          <w:szCs w:val="20"/>
          <w:lang w:eastAsia="zh-CN"/>
        </w:rPr>
        <w:t>非正式咨询小组的建议制定关于同行评审程序的自愿准则，供科学、技术和工艺咨询附属机构和缔约方大会审议。</w:t>
      </w:r>
    </w:p>
  </w:footnote>
  <w:footnote w:id="170">
    <w:p w:rsidR="00594C0B" w:rsidRPr="00650F1F" w:rsidRDefault="00594C0B" w:rsidP="00650F1F">
      <w:pPr>
        <w:pStyle w:val="FootnoteText"/>
        <w:tabs>
          <w:tab w:val="left" w:pos="360"/>
        </w:tabs>
        <w:adjustRightInd w:val="0"/>
        <w:spacing w:before="0"/>
        <w:ind w:firstLine="0"/>
        <w:rPr>
          <w:rFonts w:eastAsiaTheme="minorEastAsia"/>
          <w:lang w:eastAsia="zh-CN"/>
        </w:rPr>
      </w:pPr>
      <w:r w:rsidRPr="00650F1F">
        <w:rPr>
          <w:rStyle w:val="FootnoteReference"/>
          <w:rFonts w:eastAsiaTheme="minorEastAsia"/>
          <w:sz w:val="24"/>
          <w:u w:val="none"/>
          <w:vertAlign w:val="superscript"/>
        </w:rPr>
        <w:footnoteRef/>
      </w:r>
      <w:r w:rsidRPr="00650F1F">
        <w:rPr>
          <w:rFonts w:eastAsiaTheme="minorEastAsia"/>
          <w:spacing w:val="-8"/>
          <w:kern w:val="18"/>
          <w:sz w:val="28"/>
          <w:szCs w:val="20"/>
          <w:lang w:eastAsia="zh-CN"/>
        </w:rPr>
        <w:t xml:space="preserve"> </w:t>
      </w:r>
      <w:r w:rsidRPr="00650F1F">
        <w:rPr>
          <w:rFonts w:eastAsiaTheme="minorEastAsia"/>
          <w:spacing w:val="-8"/>
          <w:kern w:val="18"/>
          <w:sz w:val="20"/>
          <w:szCs w:val="20"/>
          <w:lang w:eastAsia="zh-CN"/>
        </w:rPr>
        <w:t xml:space="preserve">  </w:t>
      </w:r>
      <w:r w:rsidRPr="00650F1F">
        <w:rPr>
          <w:rFonts w:eastAsiaTheme="minorEastAsia"/>
          <w:spacing w:val="-8"/>
          <w:kern w:val="18"/>
          <w:sz w:val="20"/>
          <w:szCs w:val="20"/>
          <w:lang w:eastAsia="zh-CN"/>
        </w:rPr>
        <w:t>参见</w:t>
      </w:r>
      <w:smartTag w:uri="urn:schemas-microsoft-com:office:smarttags" w:element="chsdate">
        <w:smartTagPr>
          <w:attr w:name="IsROCDate" w:val="False"/>
          <w:attr w:name="IsLunarDate" w:val="False"/>
          <w:attr w:name="Day" w:val="25"/>
          <w:attr w:name="Month" w:val="9"/>
          <w:attr w:name="Year" w:val="2015"/>
        </w:smartTagPr>
        <w:r w:rsidRPr="00650F1F">
          <w:rPr>
            <w:rFonts w:eastAsiaTheme="minorEastAsia"/>
            <w:spacing w:val="-8"/>
            <w:kern w:val="18"/>
            <w:sz w:val="20"/>
            <w:szCs w:val="20"/>
            <w:lang w:eastAsia="zh-CN"/>
          </w:rPr>
          <w:t xml:space="preserve">2015 </w:t>
        </w:r>
        <w:r w:rsidRPr="00650F1F">
          <w:rPr>
            <w:rFonts w:eastAsiaTheme="minorEastAsia"/>
            <w:spacing w:val="-8"/>
            <w:kern w:val="18"/>
            <w:sz w:val="20"/>
            <w:szCs w:val="20"/>
            <w:lang w:eastAsia="zh-CN"/>
          </w:rPr>
          <w:t>年</w:t>
        </w:r>
        <w:r w:rsidRPr="00650F1F">
          <w:rPr>
            <w:rFonts w:eastAsiaTheme="minorEastAsia"/>
            <w:spacing w:val="-8"/>
            <w:kern w:val="18"/>
            <w:sz w:val="20"/>
            <w:szCs w:val="20"/>
            <w:lang w:eastAsia="zh-CN"/>
          </w:rPr>
          <w:t>9</w:t>
        </w:r>
        <w:r w:rsidRPr="00650F1F">
          <w:rPr>
            <w:rFonts w:eastAsiaTheme="minorEastAsia"/>
            <w:spacing w:val="-8"/>
            <w:kern w:val="18"/>
            <w:sz w:val="20"/>
            <w:szCs w:val="20"/>
            <w:lang w:eastAsia="zh-CN"/>
          </w:rPr>
          <w:t>月</w:t>
        </w:r>
        <w:r w:rsidRPr="00650F1F">
          <w:rPr>
            <w:rFonts w:eastAsiaTheme="minorEastAsia"/>
            <w:spacing w:val="-8"/>
            <w:kern w:val="18"/>
            <w:sz w:val="20"/>
            <w:szCs w:val="20"/>
            <w:lang w:eastAsia="zh-CN"/>
          </w:rPr>
          <w:t>25</w:t>
        </w:r>
      </w:smartTag>
      <w:r w:rsidRPr="00650F1F">
        <w:rPr>
          <w:rFonts w:eastAsiaTheme="minorEastAsia"/>
          <w:spacing w:val="-8"/>
          <w:kern w:val="18"/>
          <w:sz w:val="20"/>
          <w:szCs w:val="20"/>
          <w:lang w:eastAsia="zh-CN"/>
        </w:rPr>
        <w:t>日题为</w:t>
      </w:r>
      <w:r w:rsidRPr="002C0C4B">
        <w:rPr>
          <w:rFonts w:asciiTheme="minorEastAsia" w:eastAsiaTheme="minorEastAsia" w:hAnsiTheme="minorEastAsia"/>
          <w:spacing w:val="-8"/>
          <w:kern w:val="18"/>
          <w:sz w:val="20"/>
          <w:szCs w:val="20"/>
          <w:lang w:eastAsia="zh-CN"/>
        </w:rPr>
        <w:t>“改</w:t>
      </w:r>
      <w:r w:rsidRPr="00650F1F">
        <w:rPr>
          <w:rFonts w:eastAsiaTheme="minorEastAsia"/>
          <w:spacing w:val="-8"/>
          <w:kern w:val="18"/>
          <w:sz w:val="20"/>
          <w:szCs w:val="20"/>
          <w:lang w:eastAsia="zh-CN"/>
        </w:rPr>
        <w:t>变我们的世界：</w:t>
      </w:r>
      <w:r w:rsidRPr="00650F1F">
        <w:rPr>
          <w:rFonts w:eastAsiaTheme="minorEastAsia"/>
          <w:spacing w:val="-8"/>
          <w:kern w:val="18"/>
          <w:sz w:val="20"/>
          <w:szCs w:val="20"/>
          <w:lang w:eastAsia="zh-CN"/>
        </w:rPr>
        <w:t>2030</w:t>
      </w:r>
      <w:r w:rsidRPr="00650F1F">
        <w:rPr>
          <w:rFonts w:eastAsiaTheme="minorEastAsia"/>
          <w:spacing w:val="-8"/>
          <w:kern w:val="18"/>
          <w:sz w:val="20"/>
          <w:szCs w:val="20"/>
          <w:lang w:eastAsia="zh-CN"/>
        </w:rPr>
        <w:t>年可持续发展议程</w:t>
      </w:r>
      <w:r w:rsidRPr="002C0C4B">
        <w:rPr>
          <w:rFonts w:asciiTheme="minorEastAsia" w:eastAsiaTheme="minorEastAsia" w:hAnsiTheme="minorEastAsia"/>
          <w:spacing w:val="-8"/>
          <w:kern w:val="18"/>
          <w:sz w:val="20"/>
          <w:szCs w:val="20"/>
          <w:lang w:eastAsia="zh-CN"/>
        </w:rPr>
        <w:t>”的联合国大会第</w:t>
      </w:r>
      <w:hyperlink r:id="rId69" w:history="1">
        <w:r w:rsidRPr="00650F1F">
          <w:rPr>
            <w:rStyle w:val="Hyperlink"/>
            <w:rFonts w:eastAsiaTheme="minorEastAsia"/>
            <w:spacing w:val="-8"/>
            <w:kern w:val="18"/>
            <w:sz w:val="20"/>
            <w:szCs w:val="20"/>
            <w:lang w:eastAsia="zh-CN"/>
          </w:rPr>
          <w:t>70/1</w:t>
        </w:r>
      </w:hyperlink>
      <w:r w:rsidRPr="00650F1F">
        <w:rPr>
          <w:rFonts w:eastAsiaTheme="minorEastAsia"/>
          <w:spacing w:val="-8"/>
          <w:kern w:val="18"/>
          <w:sz w:val="20"/>
          <w:szCs w:val="20"/>
          <w:lang w:eastAsia="zh-CN"/>
        </w:rPr>
        <w:t>号决议。</w:t>
      </w:r>
    </w:p>
  </w:footnote>
  <w:footnote w:id="171">
    <w:p w:rsidR="00594C0B" w:rsidRPr="00650F1F" w:rsidRDefault="00594C0B" w:rsidP="00650F1F">
      <w:pPr>
        <w:pStyle w:val="FootnoteText"/>
        <w:tabs>
          <w:tab w:val="left" w:pos="360"/>
        </w:tabs>
        <w:kinsoku w:val="0"/>
        <w:overflowPunct w:val="0"/>
        <w:autoSpaceDE w:val="0"/>
        <w:autoSpaceDN w:val="0"/>
        <w:spacing w:before="0"/>
        <w:ind w:firstLine="0"/>
        <w:jc w:val="left"/>
        <w:rPr>
          <w:rFonts w:eastAsiaTheme="minorEastAsia"/>
          <w:lang w:eastAsia="zh-CN"/>
        </w:rPr>
      </w:pPr>
      <w:r w:rsidRPr="00650F1F">
        <w:rPr>
          <w:rStyle w:val="FootnoteReference"/>
          <w:rFonts w:eastAsiaTheme="minorEastAsia"/>
          <w:sz w:val="24"/>
          <w:u w:val="none"/>
          <w:vertAlign w:val="superscript"/>
        </w:rPr>
        <w:footnoteRef/>
      </w:r>
      <w:r w:rsidRPr="00650F1F">
        <w:rPr>
          <w:rStyle w:val="FootnoteReference"/>
          <w:rFonts w:eastAsiaTheme="minorEastAsia"/>
          <w:sz w:val="24"/>
          <w:u w:val="none"/>
          <w:vertAlign w:val="superscript"/>
          <w:lang w:eastAsia="zh-CN"/>
        </w:rPr>
        <w:t xml:space="preserve">   </w:t>
      </w:r>
      <w:r w:rsidRPr="00650F1F">
        <w:rPr>
          <w:rFonts w:eastAsiaTheme="minorEastAsia"/>
          <w:sz w:val="20"/>
          <w:szCs w:val="20"/>
          <w:lang w:eastAsia="zh-CN"/>
        </w:rPr>
        <w:t>见</w:t>
      </w:r>
      <w:smartTag w:uri="urn:schemas-microsoft-com:office:smarttags" w:element="chsdate">
        <w:smartTagPr>
          <w:attr w:name="Year" w:val="2017"/>
          <w:attr w:name="Month" w:val="7"/>
          <w:attr w:name="Day" w:val="6"/>
          <w:attr w:name="IsLunarDate" w:val="False"/>
          <w:attr w:name="IsROCDate" w:val="False"/>
        </w:smartTagPr>
        <w:r w:rsidRPr="00650F1F">
          <w:rPr>
            <w:rFonts w:eastAsiaTheme="minorEastAsia"/>
            <w:sz w:val="20"/>
            <w:szCs w:val="20"/>
            <w:lang w:eastAsia="zh-CN"/>
          </w:rPr>
          <w:t>2017</w:t>
        </w:r>
        <w:r w:rsidRPr="00650F1F">
          <w:rPr>
            <w:rFonts w:eastAsiaTheme="minorEastAsia"/>
            <w:sz w:val="20"/>
            <w:szCs w:val="20"/>
            <w:lang w:eastAsia="zh-CN"/>
          </w:rPr>
          <w:t>年</w:t>
        </w:r>
        <w:r w:rsidRPr="00650F1F">
          <w:rPr>
            <w:rFonts w:eastAsiaTheme="minorEastAsia"/>
            <w:sz w:val="20"/>
            <w:szCs w:val="20"/>
            <w:lang w:eastAsia="zh-CN"/>
          </w:rPr>
          <w:t>7</w:t>
        </w:r>
        <w:r w:rsidRPr="00650F1F">
          <w:rPr>
            <w:rFonts w:eastAsiaTheme="minorEastAsia"/>
            <w:sz w:val="20"/>
            <w:szCs w:val="20"/>
            <w:lang w:eastAsia="zh-CN"/>
          </w:rPr>
          <w:t>月</w:t>
        </w:r>
        <w:r w:rsidRPr="00650F1F">
          <w:rPr>
            <w:rFonts w:eastAsiaTheme="minorEastAsia"/>
            <w:sz w:val="20"/>
            <w:szCs w:val="20"/>
            <w:lang w:eastAsia="zh-CN"/>
          </w:rPr>
          <w:t>6</w:t>
        </w:r>
        <w:r w:rsidRPr="00650F1F">
          <w:rPr>
            <w:rFonts w:eastAsiaTheme="minorEastAsia"/>
            <w:sz w:val="20"/>
            <w:szCs w:val="20"/>
            <w:lang w:eastAsia="zh-CN"/>
          </w:rPr>
          <w:t>日</w:t>
        </w:r>
      </w:smartTag>
      <w:r w:rsidRPr="00650F1F">
        <w:rPr>
          <w:rFonts w:eastAsiaTheme="minorEastAsia"/>
          <w:sz w:val="20"/>
          <w:szCs w:val="20"/>
          <w:lang w:eastAsia="zh-CN"/>
        </w:rPr>
        <w:t>联合国大会第</w:t>
      </w:r>
      <w:hyperlink r:id="rId70" w:history="1">
        <w:r w:rsidRPr="00650F1F">
          <w:rPr>
            <w:rStyle w:val="Hyperlink"/>
            <w:rFonts w:eastAsiaTheme="minorEastAsia"/>
            <w:sz w:val="20"/>
            <w:szCs w:val="20"/>
            <w:lang w:eastAsia="zh-CN"/>
          </w:rPr>
          <w:t>71/312</w:t>
        </w:r>
      </w:hyperlink>
      <w:r w:rsidRPr="00650F1F">
        <w:rPr>
          <w:rFonts w:eastAsiaTheme="minorEastAsia"/>
          <w:sz w:val="20"/>
          <w:szCs w:val="20"/>
          <w:lang w:eastAsia="zh-CN"/>
        </w:rPr>
        <w:t>号决议。</w:t>
      </w:r>
    </w:p>
  </w:footnote>
  <w:footnote w:id="172">
    <w:p w:rsidR="00594C0B" w:rsidRPr="00650F1F" w:rsidRDefault="00594C0B" w:rsidP="00650F1F">
      <w:pPr>
        <w:pStyle w:val="FootnoteText"/>
        <w:tabs>
          <w:tab w:val="left" w:pos="360"/>
        </w:tabs>
        <w:spacing w:before="0"/>
        <w:ind w:firstLine="0"/>
        <w:jc w:val="left"/>
        <w:rPr>
          <w:rFonts w:eastAsiaTheme="minorEastAsia"/>
        </w:rPr>
      </w:pPr>
      <w:r w:rsidRPr="00650F1F">
        <w:rPr>
          <w:rStyle w:val="FootnoteReference"/>
          <w:rFonts w:eastAsiaTheme="minorEastAsia"/>
          <w:sz w:val="24"/>
          <w:u w:val="none"/>
          <w:vertAlign w:val="superscript"/>
        </w:rPr>
        <w:footnoteRef/>
      </w:r>
      <w:r w:rsidRPr="00650F1F">
        <w:rPr>
          <w:rStyle w:val="FootnoteReference"/>
          <w:rFonts w:eastAsiaTheme="minorEastAsia"/>
          <w:sz w:val="24"/>
          <w:u w:val="none"/>
          <w:vertAlign w:val="superscript"/>
        </w:rPr>
        <w:t xml:space="preserve">  </w:t>
      </w:r>
      <w:r w:rsidRPr="00650F1F">
        <w:rPr>
          <w:rFonts w:eastAsiaTheme="minorEastAsia"/>
          <w:kern w:val="18"/>
          <w:szCs w:val="18"/>
        </w:rPr>
        <w:t xml:space="preserve">  </w:t>
      </w:r>
      <w:r w:rsidRPr="00650F1F">
        <w:rPr>
          <w:rFonts w:eastAsiaTheme="minorEastAsia"/>
          <w:kern w:val="18"/>
          <w:sz w:val="20"/>
          <w:szCs w:val="20"/>
        </w:rPr>
        <w:t>CBD/SBSTTA/22/INF/13</w:t>
      </w:r>
      <w:r w:rsidRPr="00650F1F">
        <w:rPr>
          <w:rFonts w:eastAsiaTheme="minorEastAsia"/>
          <w:kern w:val="18"/>
          <w:sz w:val="20"/>
          <w:szCs w:val="20"/>
        </w:rPr>
        <w:t>。</w:t>
      </w:r>
    </w:p>
  </w:footnote>
  <w:footnote w:id="173">
    <w:p w:rsidR="00594C0B" w:rsidRPr="00650F1F" w:rsidRDefault="00594C0B" w:rsidP="00650F1F">
      <w:pPr>
        <w:pStyle w:val="FootnoteText"/>
        <w:tabs>
          <w:tab w:val="left" w:pos="360"/>
        </w:tabs>
        <w:spacing w:before="0"/>
        <w:ind w:firstLine="0"/>
        <w:jc w:val="left"/>
        <w:rPr>
          <w:rFonts w:eastAsiaTheme="minorEastAsia"/>
        </w:rPr>
      </w:pPr>
      <w:r w:rsidRPr="00650F1F">
        <w:rPr>
          <w:rStyle w:val="FootnoteReference"/>
          <w:rFonts w:eastAsiaTheme="minorEastAsia"/>
          <w:sz w:val="24"/>
          <w:u w:val="none"/>
          <w:vertAlign w:val="superscript"/>
        </w:rPr>
        <w:footnoteRef/>
      </w:r>
      <w:r w:rsidRPr="00650F1F">
        <w:rPr>
          <w:rStyle w:val="FootnoteReference"/>
          <w:rFonts w:eastAsiaTheme="minorEastAsia"/>
          <w:sz w:val="24"/>
          <w:u w:val="none"/>
          <w:vertAlign w:val="superscript"/>
        </w:rPr>
        <w:t xml:space="preserve">   </w:t>
      </w:r>
      <w:r w:rsidRPr="00650F1F">
        <w:rPr>
          <w:rFonts w:eastAsiaTheme="minorEastAsia"/>
          <w:kern w:val="18"/>
          <w:szCs w:val="18"/>
        </w:rPr>
        <w:t xml:space="preserve"> </w:t>
      </w:r>
      <w:r w:rsidRPr="00650F1F">
        <w:rPr>
          <w:rFonts w:eastAsiaTheme="minorEastAsia"/>
          <w:kern w:val="18"/>
          <w:sz w:val="20"/>
          <w:szCs w:val="20"/>
        </w:rPr>
        <w:t>CBD/SBSTTA/22/INF/14</w:t>
      </w:r>
      <w:r w:rsidRPr="00650F1F">
        <w:rPr>
          <w:rFonts w:eastAsiaTheme="minorEastAsia"/>
          <w:kern w:val="18"/>
          <w:sz w:val="20"/>
          <w:szCs w:val="20"/>
        </w:rPr>
        <w:t>。</w:t>
      </w:r>
    </w:p>
  </w:footnote>
  <w:footnote w:id="174">
    <w:p w:rsidR="00594C0B" w:rsidRPr="00650F1F" w:rsidRDefault="00594C0B" w:rsidP="00650F1F">
      <w:pPr>
        <w:pStyle w:val="FootnoteText"/>
        <w:tabs>
          <w:tab w:val="left" w:pos="360"/>
        </w:tabs>
        <w:adjustRightInd w:val="0"/>
        <w:spacing w:before="0"/>
        <w:ind w:firstLine="0"/>
        <w:rPr>
          <w:rFonts w:eastAsiaTheme="minorEastAsia"/>
          <w:lang w:eastAsia="zh-CN"/>
        </w:rPr>
      </w:pPr>
      <w:r w:rsidRPr="00650F1F">
        <w:rPr>
          <w:rStyle w:val="FootnoteReference"/>
          <w:rFonts w:eastAsiaTheme="minorEastAsia"/>
          <w:sz w:val="24"/>
          <w:u w:val="none"/>
          <w:vertAlign w:val="superscript"/>
        </w:rPr>
        <w:footnoteRef/>
      </w:r>
      <w:r w:rsidRPr="00650F1F">
        <w:rPr>
          <w:rFonts w:eastAsiaTheme="minorEastAsia"/>
          <w:sz w:val="24"/>
          <w:szCs w:val="18"/>
          <w:lang w:eastAsia="zh-CN"/>
        </w:rPr>
        <w:t xml:space="preserve">  “</w:t>
      </w:r>
      <w:r w:rsidRPr="00650F1F">
        <w:rPr>
          <w:rFonts w:eastAsiaTheme="minorEastAsia"/>
          <w:sz w:val="20"/>
          <w:szCs w:val="18"/>
          <w:lang w:eastAsia="zh-CN"/>
        </w:rPr>
        <w:t>将生物多样性纳入渔业主流的经验综合和汇编</w:t>
      </w:r>
      <w:r w:rsidRPr="002C0C4B">
        <w:rPr>
          <w:rFonts w:asciiTheme="minorEastAsia" w:eastAsiaTheme="minorEastAsia" w:hAnsiTheme="minorEastAsia"/>
          <w:sz w:val="20"/>
          <w:szCs w:val="18"/>
          <w:lang w:eastAsia="zh-CN"/>
        </w:rPr>
        <w:t>”</w:t>
      </w:r>
      <w:r w:rsidRPr="00650F1F">
        <w:rPr>
          <w:rFonts w:eastAsiaTheme="minorEastAsia"/>
          <w:sz w:val="20"/>
          <w:szCs w:val="18"/>
          <w:lang w:eastAsia="zh-CN"/>
        </w:rPr>
        <w:t>（</w:t>
      </w:r>
      <w:r w:rsidRPr="00650F1F">
        <w:rPr>
          <w:rFonts w:eastAsiaTheme="minorEastAsia"/>
          <w:sz w:val="20"/>
          <w:szCs w:val="18"/>
          <w:lang w:eastAsia="zh-CN"/>
        </w:rPr>
        <w:t>CBD/SBSTTA/22/INF/15</w:t>
      </w:r>
      <w:r w:rsidRPr="00650F1F">
        <w:rPr>
          <w:rFonts w:eastAsiaTheme="minorEastAsia"/>
          <w:sz w:val="20"/>
          <w:szCs w:val="18"/>
          <w:lang w:eastAsia="zh-CN"/>
        </w:rPr>
        <w:t>）。</w:t>
      </w:r>
    </w:p>
  </w:footnote>
  <w:footnote w:id="175">
    <w:p w:rsidR="00594C0B" w:rsidRPr="00650F1F" w:rsidRDefault="00594C0B" w:rsidP="00650F1F">
      <w:pPr>
        <w:pStyle w:val="FootnoteText"/>
        <w:tabs>
          <w:tab w:val="left" w:pos="360"/>
        </w:tabs>
        <w:spacing w:before="0"/>
        <w:ind w:firstLine="0"/>
        <w:jc w:val="left"/>
        <w:rPr>
          <w:rFonts w:eastAsiaTheme="minorEastAsia"/>
          <w:lang w:eastAsia="zh-CN"/>
        </w:rPr>
      </w:pPr>
      <w:r w:rsidRPr="002C0C4B">
        <w:rPr>
          <w:rStyle w:val="FootnoteReference"/>
          <w:rFonts w:eastAsiaTheme="minorEastAsia"/>
          <w:snapToGrid w:val="0"/>
          <w:kern w:val="18"/>
          <w:sz w:val="24"/>
          <w:szCs w:val="20"/>
          <w:u w:val="none"/>
          <w:vertAlign w:val="superscript"/>
        </w:rPr>
        <w:footnoteRef/>
      </w:r>
      <w:r w:rsidRPr="002C0C4B">
        <w:rPr>
          <w:rStyle w:val="FootnoteReference"/>
          <w:rFonts w:eastAsiaTheme="minorEastAsia"/>
          <w:snapToGrid w:val="0"/>
          <w:kern w:val="18"/>
          <w:sz w:val="24"/>
          <w:szCs w:val="20"/>
          <w:u w:val="none"/>
          <w:vertAlign w:val="superscript"/>
          <w:lang w:eastAsia="zh-CN"/>
        </w:rPr>
        <w:t xml:space="preserve"> </w:t>
      </w:r>
      <w:r w:rsidRPr="002C0C4B">
        <w:rPr>
          <w:rFonts w:eastAsiaTheme="minorEastAsia"/>
          <w:vertAlign w:val="superscript"/>
          <w:lang w:eastAsia="zh-CN"/>
        </w:rPr>
        <w:t xml:space="preserve">  </w:t>
      </w:r>
      <w:r w:rsidRPr="00650F1F">
        <w:rPr>
          <w:rFonts w:eastAsiaTheme="minorEastAsia"/>
          <w:vertAlign w:val="superscript"/>
          <w:lang w:eastAsia="zh-CN"/>
        </w:rPr>
        <w:t xml:space="preserve">  </w:t>
      </w:r>
      <w:r w:rsidRPr="00650F1F">
        <w:rPr>
          <w:rFonts w:eastAsiaTheme="minorEastAsia"/>
          <w:sz w:val="20"/>
          <w:szCs w:val="20"/>
          <w:lang w:eastAsia="zh-CN"/>
        </w:rPr>
        <w:t>见</w:t>
      </w:r>
      <w:r w:rsidRPr="00650F1F">
        <w:rPr>
          <w:rFonts w:eastAsiaTheme="minorEastAsia"/>
          <w:kern w:val="18"/>
          <w:sz w:val="20"/>
          <w:szCs w:val="20"/>
          <w:lang w:eastAsia="zh-CN"/>
        </w:rPr>
        <w:t xml:space="preserve"> CBD/COP/14/INF/12/Add.1</w:t>
      </w:r>
      <w:r w:rsidRPr="00650F1F">
        <w:rPr>
          <w:rFonts w:eastAsiaTheme="minorEastAsia"/>
          <w:kern w:val="18"/>
          <w:sz w:val="20"/>
          <w:szCs w:val="20"/>
          <w:lang w:eastAsia="zh-CN"/>
        </w:rPr>
        <w:t>。</w:t>
      </w:r>
    </w:p>
  </w:footnote>
  <w:footnote w:id="176">
    <w:p w:rsidR="00594C0B" w:rsidRPr="00650F1F" w:rsidRDefault="00594C0B" w:rsidP="00650F1F">
      <w:pPr>
        <w:pStyle w:val="FootnoteText"/>
        <w:tabs>
          <w:tab w:val="left" w:pos="360"/>
        </w:tabs>
        <w:spacing w:before="0"/>
        <w:ind w:firstLine="0"/>
        <w:rPr>
          <w:rFonts w:eastAsiaTheme="minorEastAsia"/>
          <w:lang w:eastAsia="zh-CN"/>
        </w:rPr>
      </w:pPr>
      <w:r w:rsidRPr="002C0C4B">
        <w:rPr>
          <w:rStyle w:val="FootnoteReference"/>
          <w:rFonts w:eastAsiaTheme="minorEastAsia"/>
          <w:snapToGrid w:val="0"/>
          <w:kern w:val="18"/>
          <w:sz w:val="24"/>
          <w:szCs w:val="20"/>
          <w:u w:val="none"/>
          <w:vertAlign w:val="superscript"/>
        </w:rPr>
        <w:footnoteRef/>
      </w:r>
      <w:r w:rsidRPr="002C0C4B">
        <w:rPr>
          <w:rStyle w:val="FootnoteReference"/>
          <w:rFonts w:eastAsiaTheme="minorEastAsia"/>
          <w:snapToGrid w:val="0"/>
          <w:kern w:val="18"/>
          <w:sz w:val="24"/>
          <w:szCs w:val="20"/>
          <w:u w:val="none"/>
          <w:vertAlign w:val="superscript"/>
          <w:lang w:eastAsia="zh-CN"/>
        </w:rPr>
        <w:t xml:space="preserve"> </w:t>
      </w:r>
      <w:r w:rsidRPr="002C0C4B">
        <w:rPr>
          <w:rStyle w:val="FootnoteReference"/>
          <w:snapToGrid w:val="0"/>
          <w:kern w:val="18"/>
          <w:sz w:val="24"/>
          <w:szCs w:val="20"/>
          <w:u w:val="none"/>
          <w:vertAlign w:val="superscript"/>
          <w:lang w:eastAsia="zh-CN"/>
        </w:rPr>
        <w:t xml:space="preserve">  </w:t>
      </w:r>
      <w:r w:rsidRPr="00650F1F">
        <w:rPr>
          <w:rFonts w:eastAsiaTheme="minorEastAsia"/>
          <w:sz w:val="20"/>
          <w:szCs w:val="20"/>
          <w:lang w:eastAsia="zh-CN"/>
        </w:rPr>
        <w:t>见</w:t>
      </w:r>
      <w:r w:rsidRPr="00650F1F">
        <w:rPr>
          <w:rFonts w:eastAsiaTheme="minorEastAsia"/>
          <w:kern w:val="18"/>
          <w:sz w:val="20"/>
          <w:szCs w:val="20"/>
          <w:lang w:eastAsia="zh-CN"/>
        </w:rPr>
        <w:t>CBD/COP/14/INF/9</w:t>
      </w:r>
      <w:r w:rsidRPr="00650F1F">
        <w:rPr>
          <w:rFonts w:eastAsiaTheme="minorEastAsia"/>
          <w:kern w:val="18"/>
          <w:sz w:val="20"/>
          <w:szCs w:val="20"/>
          <w:lang w:eastAsia="zh-CN"/>
        </w:rPr>
        <w:t>。</w:t>
      </w:r>
    </w:p>
  </w:footnote>
  <w:footnote w:id="177">
    <w:p w:rsidR="00594C0B" w:rsidRPr="00650F1F" w:rsidRDefault="00594C0B" w:rsidP="00650F1F">
      <w:pPr>
        <w:pStyle w:val="FootnoteText"/>
        <w:tabs>
          <w:tab w:val="left" w:pos="360"/>
        </w:tabs>
        <w:kinsoku w:val="0"/>
        <w:overflowPunct w:val="0"/>
        <w:autoSpaceDE w:val="0"/>
        <w:autoSpaceDN w:val="0"/>
        <w:spacing w:before="0"/>
        <w:ind w:firstLine="0"/>
        <w:jc w:val="left"/>
        <w:rPr>
          <w:rFonts w:eastAsiaTheme="minorEastAsia"/>
          <w:snapToGrid w:val="0"/>
          <w:kern w:val="18"/>
          <w:sz w:val="20"/>
          <w:szCs w:val="20"/>
          <w:lang w:val="en-US" w:eastAsia="zh-CN"/>
        </w:rPr>
      </w:pPr>
      <w:r w:rsidRPr="002C0C4B">
        <w:rPr>
          <w:rStyle w:val="FootnoteReference"/>
          <w:rFonts w:eastAsiaTheme="minorEastAsia"/>
          <w:snapToGrid w:val="0"/>
          <w:kern w:val="18"/>
          <w:sz w:val="24"/>
          <w:szCs w:val="20"/>
          <w:u w:val="none"/>
          <w:vertAlign w:val="superscript"/>
        </w:rPr>
        <w:footnoteRef/>
      </w:r>
      <w:r w:rsidRPr="002C0C4B">
        <w:rPr>
          <w:rStyle w:val="FootnoteReference"/>
          <w:rFonts w:eastAsiaTheme="minorEastAsia"/>
          <w:sz w:val="24"/>
          <w:u w:val="none"/>
          <w:vertAlign w:val="superscript"/>
          <w:lang w:eastAsia="zh-CN"/>
        </w:rPr>
        <w:t xml:space="preserve"> </w:t>
      </w:r>
      <w:r w:rsidRPr="00650F1F">
        <w:rPr>
          <w:rFonts w:eastAsiaTheme="minorEastAsia"/>
          <w:snapToGrid w:val="0"/>
          <w:kern w:val="18"/>
          <w:sz w:val="20"/>
          <w:szCs w:val="20"/>
          <w:lang w:eastAsia="zh-CN"/>
        </w:rPr>
        <w:t xml:space="preserve"> </w:t>
      </w:r>
      <w:r w:rsidRPr="00650F1F">
        <w:rPr>
          <w:rFonts w:eastAsiaTheme="minorEastAsia"/>
          <w:snapToGrid w:val="0"/>
          <w:kern w:val="18"/>
          <w:sz w:val="20"/>
          <w:szCs w:val="20"/>
          <w:lang w:eastAsia="zh-CN"/>
        </w:rPr>
        <w:tab/>
      </w:r>
      <w:r w:rsidRPr="00650F1F">
        <w:rPr>
          <w:rFonts w:eastAsiaTheme="minorEastAsia"/>
          <w:sz w:val="20"/>
          <w:lang w:eastAsia="zh-CN"/>
        </w:rPr>
        <w:t>在导致通过本决议的过程中，有一位代表提出正式异议，并且强调其不认为缔约方会议能够合理地采取适当的正式异议行为或文件。几位代表就导致采取本决议的程序表达了保留意见。几位代表就导致采取本决议的程序表达了保留意见（见</w:t>
      </w:r>
      <w:r w:rsidRPr="00650F1F">
        <w:rPr>
          <w:rFonts w:eastAsiaTheme="minorEastAsia"/>
          <w:sz w:val="20"/>
          <w:lang w:eastAsia="zh-CN"/>
        </w:rPr>
        <w:t>UNEP/CBD/COP/6/20</w:t>
      </w:r>
      <w:r w:rsidRPr="00650F1F">
        <w:rPr>
          <w:rFonts w:eastAsiaTheme="minorEastAsia"/>
          <w:sz w:val="20"/>
          <w:lang w:eastAsia="zh-CN"/>
        </w:rPr>
        <w:t>，第</w:t>
      </w:r>
      <w:r w:rsidRPr="00650F1F">
        <w:rPr>
          <w:rFonts w:eastAsiaTheme="minorEastAsia"/>
          <w:sz w:val="20"/>
          <w:lang w:eastAsia="zh-CN"/>
        </w:rPr>
        <w:t>294-324</w:t>
      </w:r>
      <w:r w:rsidRPr="00650F1F">
        <w:rPr>
          <w:rFonts w:eastAsiaTheme="minorEastAsia"/>
          <w:sz w:val="20"/>
          <w:lang w:eastAsia="zh-CN"/>
        </w:rPr>
        <w:t>段）。</w:t>
      </w:r>
    </w:p>
  </w:footnote>
  <w:footnote w:id="178">
    <w:p w:rsidR="00594C0B" w:rsidRPr="00650F1F" w:rsidRDefault="00594C0B" w:rsidP="00650F1F">
      <w:pPr>
        <w:pStyle w:val="FootnoteText"/>
        <w:tabs>
          <w:tab w:val="left" w:pos="360"/>
        </w:tabs>
        <w:kinsoku w:val="0"/>
        <w:overflowPunct w:val="0"/>
        <w:autoSpaceDE w:val="0"/>
        <w:autoSpaceDN w:val="0"/>
        <w:spacing w:before="0"/>
        <w:ind w:firstLine="0"/>
        <w:jc w:val="left"/>
        <w:rPr>
          <w:rFonts w:eastAsiaTheme="minorEastAsia"/>
          <w:snapToGrid w:val="0"/>
          <w:kern w:val="18"/>
          <w:sz w:val="20"/>
          <w:szCs w:val="20"/>
          <w:lang w:val="en-CA" w:eastAsia="zh-CN"/>
        </w:rPr>
      </w:pPr>
      <w:r w:rsidRPr="0083788E">
        <w:rPr>
          <w:rStyle w:val="FootnoteReference"/>
          <w:rFonts w:eastAsiaTheme="minorEastAsia"/>
          <w:snapToGrid w:val="0"/>
          <w:kern w:val="18"/>
          <w:sz w:val="24"/>
          <w:szCs w:val="20"/>
          <w:u w:val="none"/>
          <w:vertAlign w:val="superscript"/>
        </w:rPr>
        <w:footnoteRef/>
      </w:r>
      <w:r w:rsidRPr="0083788E">
        <w:rPr>
          <w:rStyle w:val="FootnoteReference"/>
          <w:rFonts w:eastAsiaTheme="minorEastAsia"/>
          <w:snapToGrid w:val="0"/>
          <w:kern w:val="18"/>
          <w:sz w:val="24"/>
          <w:szCs w:val="20"/>
          <w:u w:val="none"/>
          <w:vertAlign w:val="superscript"/>
        </w:rPr>
        <w:t xml:space="preserve"> </w:t>
      </w:r>
      <w:r w:rsidRPr="0083788E">
        <w:rPr>
          <w:rStyle w:val="FootnoteReference"/>
          <w:rFonts w:eastAsiaTheme="minorEastAsia"/>
          <w:sz w:val="24"/>
          <w:u w:val="none"/>
          <w:vertAlign w:val="superscript"/>
        </w:rPr>
        <w:t xml:space="preserve"> </w:t>
      </w:r>
      <w:r w:rsidRPr="0083788E">
        <w:rPr>
          <w:rFonts w:eastAsiaTheme="minorEastAsia"/>
          <w:snapToGrid w:val="0"/>
          <w:kern w:val="18"/>
          <w:sz w:val="20"/>
          <w:szCs w:val="20"/>
          <w:lang w:eastAsia="zh-CN"/>
        </w:rPr>
        <w:tab/>
      </w:r>
      <w:hyperlink r:id="rId71" w:history="1">
        <w:r w:rsidRPr="00650F1F">
          <w:rPr>
            <w:rStyle w:val="Hyperlink"/>
            <w:rFonts w:eastAsiaTheme="minorEastAsia"/>
            <w:snapToGrid w:val="0"/>
            <w:kern w:val="18"/>
            <w:sz w:val="20"/>
            <w:szCs w:val="20"/>
            <w:lang w:eastAsia="zh-CN"/>
          </w:rPr>
          <w:t>https://www.unece.org/fileadmin/DAM/trans/doc/2014/wp24/CTU_Code_January_2014.pdf</w:t>
        </w:r>
      </w:hyperlink>
      <w:r w:rsidRPr="00650F1F">
        <w:rPr>
          <w:rFonts w:eastAsiaTheme="minorEastAsia"/>
          <w:snapToGrid w:val="0"/>
          <w:kern w:val="18"/>
          <w:sz w:val="20"/>
          <w:szCs w:val="20"/>
          <w:lang w:eastAsia="zh-CN"/>
        </w:rPr>
        <w:t>。</w:t>
      </w:r>
    </w:p>
  </w:footnote>
  <w:footnote w:id="179">
    <w:p w:rsidR="00594C0B" w:rsidRPr="00650F1F" w:rsidRDefault="00594C0B" w:rsidP="00650F1F">
      <w:pPr>
        <w:pStyle w:val="FootnoteText"/>
        <w:tabs>
          <w:tab w:val="left" w:pos="360"/>
        </w:tabs>
        <w:kinsoku w:val="0"/>
        <w:overflowPunct w:val="0"/>
        <w:autoSpaceDE w:val="0"/>
        <w:autoSpaceDN w:val="0"/>
        <w:spacing w:before="0"/>
        <w:ind w:firstLine="0"/>
        <w:jc w:val="left"/>
        <w:rPr>
          <w:rFonts w:eastAsiaTheme="minorEastAsia"/>
          <w:snapToGrid w:val="0"/>
          <w:kern w:val="18"/>
          <w:sz w:val="20"/>
          <w:szCs w:val="20"/>
          <w:lang w:eastAsia="zh-CN"/>
        </w:rPr>
      </w:pPr>
      <w:r w:rsidRPr="0083788E">
        <w:rPr>
          <w:rStyle w:val="FootnoteReference"/>
          <w:rFonts w:eastAsiaTheme="minorEastAsia"/>
          <w:snapToGrid w:val="0"/>
          <w:kern w:val="18"/>
          <w:sz w:val="24"/>
          <w:szCs w:val="20"/>
          <w:u w:val="none"/>
          <w:vertAlign w:val="superscript"/>
        </w:rPr>
        <w:footnoteRef/>
      </w:r>
      <w:r w:rsidRPr="00650F1F">
        <w:rPr>
          <w:rFonts w:eastAsiaTheme="minorEastAsia"/>
          <w:snapToGrid w:val="0"/>
          <w:kern w:val="18"/>
          <w:sz w:val="24"/>
          <w:szCs w:val="20"/>
          <w:vertAlign w:val="superscript"/>
          <w:lang w:eastAsia="zh-CN"/>
        </w:rPr>
        <w:t xml:space="preserve"> </w:t>
      </w:r>
      <w:r w:rsidRPr="00650F1F">
        <w:rPr>
          <w:rFonts w:eastAsiaTheme="minorEastAsia"/>
          <w:snapToGrid w:val="0"/>
          <w:kern w:val="18"/>
          <w:sz w:val="20"/>
          <w:szCs w:val="20"/>
          <w:lang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消毒是指在彻底清洗之后应用旨在销毁动物疾病的传染性或寄生性病原体，包括人畜共患的疾病；这适用于可能直接或间接被污染的房舍、车辆和各种不同物品（世界动物卫生组织陆生动物卫生法典）。</w:t>
      </w:r>
    </w:p>
  </w:footnote>
  <w:footnote w:id="180">
    <w:p w:rsidR="00594C0B" w:rsidRPr="00650F1F" w:rsidRDefault="00594C0B" w:rsidP="00650F1F">
      <w:pPr>
        <w:pStyle w:val="FootnoteText"/>
        <w:tabs>
          <w:tab w:val="left" w:pos="360"/>
        </w:tabs>
        <w:kinsoku w:val="0"/>
        <w:overflowPunct w:val="0"/>
        <w:autoSpaceDE w:val="0"/>
        <w:autoSpaceDN w:val="0"/>
        <w:spacing w:before="0"/>
        <w:ind w:firstLine="0"/>
        <w:jc w:val="left"/>
        <w:rPr>
          <w:rFonts w:eastAsiaTheme="minorEastAsia"/>
          <w:kern w:val="18"/>
          <w:szCs w:val="18"/>
          <w:lang w:eastAsia="zh-CN"/>
        </w:rPr>
      </w:pPr>
      <w:r w:rsidRPr="00650F1F">
        <w:rPr>
          <w:rFonts w:eastAsiaTheme="minorEastAsia"/>
          <w:sz w:val="20"/>
          <w:szCs w:val="20"/>
          <w:vertAlign w:val="superscript"/>
        </w:rPr>
        <w:footnoteRef/>
      </w:r>
      <w:r w:rsidRPr="00650F1F">
        <w:rPr>
          <w:rFonts w:eastAsiaTheme="minorEastAsia"/>
          <w:sz w:val="20"/>
          <w:szCs w:val="20"/>
          <w:lang w:eastAsia="zh-CN"/>
        </w:rPr>
        <w:t xml:space="preserve"> </w:t>
      </w:r>
      <w:r w:rsidRPr="00650F1F">
        <w:rPr>
          <w:rFonts w:eastAsiaTheme="minorEastAsia"/>
          <w:lang w:eastAsia="zh-CN"/>
        </w:rPr>
        <w:tab/>
      </w:r>
      <w:r w:rsidRPr="00650F1F">
        <w:rPr>
          <w:rFonts w:eastAsiaTheme="minorEastAsia"/>
          <w:sz w:val="20"/>
          <w:szCs w:val="20"/>
          <w:lang w:eastAsia="zh-CN"/>
        </w:rPr>
        <w:t>第</w:t>
      </w:r>
      <w:hyperlink r:id="rId72" w:history="1">
        <w:r w:rsidRPr="00650F1F">
          <w:rPr>
            <w:rStyle w:val="Hyperlink"/>
            <w:rFonts w:eastAsiaTheme="minorEastAsia"/>
            <w:kern w:val="18"/>
            <w:sz w:val="20"/>
            <w:szCs w:val="20"/>
            <w:lang w:eastAsia="zh-CN"/>
          </w:rPr>
          <w:t>VIII/10</w:t>
        </w:r>
      </w:hyperlink>
      <w:r w:rsidRPr="00650F1F">
        <w:rPr>
          <w:rFonts w:eastAsiaTheme="minorEastAsia"/>
          <w:sz w:val="20"/>
          <w:szCs w:val="20"/>
          <w:lang w:eastAsia="zh-CN"/>
        </w:rPr>
        <w:t>号决定，附件三。</w:t>
      </w:r>
    </w:p>
  </w:footnote>
  <w:footnote w:id="181">
    <w:p w:rsidR="00594C0B" w:rsidRPr="00650F1F" w:rsidRDefault="00594C0B" w:rsidP="00650F1F">
      <w:pPr>
        <w:pStyle w:val="FootnoteText"/>
        <w:suppressLineNumbers/>
        <w:tabs>
          <w:tab w:val="left" w:pos="360"/>
        </w:tabs>
        <w:suppressAutoHyphens/>
        <w:spacing w:before="0"/>
        <w:ind w:firstLine="0"/>
        <w:rPr>
          <w:rFonts w:eastAsiaTheme="minorEastAsia"/>
          <w:kern w:val="18"/>
          <w:sz w:val="20"/>
          <w:szCs w:val="20"/>
          <w:lang w:eastAsia="zh-CN"/>
        </w:rPr>
      </w:pPr>
      <w:r w:rsidRPr="00D3556D">
        <w:rPr>
          <w:rStyle w:val="FootnoteReference"/>
          <w:rFonts w:eastAsiaTheme="minorEastAsia"/>
          <w:snapToGrid w:val="0"/>
          <w:kern w:val="18"/>
          <w:sz w:val="24"/>
          <w:u w:val="none"/>
          <w:vertAlign w:val="superscript"/>
          <w:lang w:val="en-CA" w:eastAsia="en-CA"/>
        </w:rPr>
        <w:footnoteRef/>
      </w:r>
      <w:r w:rsidRPr="00D3556D">
        <w:rPr>
          <w:rStyle w:val="FootnoteReference"/>
          <w:rFonts w:eastAsiaTheme="minorEastAsia"/>
          <w:snapToGrid w:val="0"/>
          <w:kern w:val="18"/>
          <w:sz w:val="24"/>
          <w:u w:val="none"/>
          <w:vertAlign w:val="superscript"/>
          <w:lang w:val="en-CA" w:eastAsia="zh-CN"/>
        </w:rPr>
        <w:t xml:space="preserve"> </w:t>
      </w:r>
      <w:r w:rsidRPr="00D3556D">
        <w:rPr>
          <w:rFonts w:eastAsiaTheme="minorEastAsia"/>
          <w:kern w:val="18"/>
          <w:sz w:val="20"/>
          <w:szCs w:val="20"/>
          <w:lang w:eastAsia="zh-CN"/>
        </w:rPr>
        <w:t xml:space="preserve"> </w:t>
      </w:r>
      <w:r w:rsidRPr="00D3556D">
        <w:rPr>
          <w:rFonts w:asciiTheme="minorEastAsia" w:eastAsiaTheme="minorEastAsia" w:hAnsiTheme="minorEastAsia"/>
          <w:kern w:val="18"/>
          <w:sz w:val="20"/>
          <w:szCs w:val="20"/>
          <w:lang w:eastAsia="zh-CN"/>
        </w:rPr>
        <w:t>“</w:t>
      </w:r>
      <w:r w:rsidRPr="00D3556D">
        <w:rPr>
          <w:rFonts w:asciiTheme="minorEastAsia" w:eastAsiaTheme="minorEastAsia" w:hAnsiTheme="minorEastAsia"/>
          <w:sz w:val="20"/>
          <w:szCs w:val="20"/>
          <w:lang w:eastAsia="zh-CN"/>
        </w:rPr>
        <w:t>卢佐利希里沙希克</w:t>
      </w:r>
      <w:r w:rsidRPr="00D3556D">
        <w:rPr>
          <w:rFonts w:asciiTheme="minorEastAsia" w:eastAsiaTheme="minorEastAsia" w:hAnsiTheme="minorEastAsia"/>
          <w:kern w:val="18"/>
          <w:sz w:val="20"/>
          <w:szCs w:val="20"/>
          <w:lang w:eastAsia="zh-CN"/>
        </w:rPr>
        <w:t>”在玛雅喀克其奎族当地传统语言中的意思是“返还其原籍地”。</w:t>
      </w:r>
    </w:p>
  </w:footnote>
  <w:footnote w:id="182">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lang w:eastAsia="zh-CN"/>
        </w:rPr>
      </w:pPr>
      <w:r w:rsidRPr="00650F1F">
        <w:rPr>
          <w:rFonts w:eastAsiaTheme="minorEastAsia"/>
          <w:color w:val="000000"/>
          <w:kern w:val="22"/>
          <w:sz w:val="24"/>
          <w:vertAlign w:val="superscript"/>
        </w:rPr>
        <w:footnoteRef/>
      </w:r>
      <w:r w:rsidRPr="00650F1F">
        <w:rPr>
          <w:rFonts w:eastAsiaTheme="minorEastAsia"/>
          <w:snapToGrid w:val="0"/>
          <w:color w:val="000000"/>
          <w:kern w:val="22"/>
          <w:sz w:val="36"/>
          <w:vertAlign w:val="superscript"/>
          <w:lang w:eastAsia="zh-CN"/>
        </w:rPr>
        <w:t xml:space="preserve"> </w:t>
      </w:r>
      <w:r w:rsidRPr="00650F1F">
        <w:rPr>
          <w:rFonts w:eastAsiaTheme="minorEastAsia"/>
          <w:snapToGrid w:val="0"/>
          <w:kern w:val="18"/>
          <w:lang w:eastAsia="zh-CN"/>
        </w:rPr>
        <w:t xml:space="preserve"> </w:t>
      </w:r>
      <w:r w:rsidRPr="00650F1F">
        <w:rPr>
          <w:rFonts w:eastAsiaTheme="minorEastAsia"/>
          <w:snapToGrid w:val="0"/>
          <w:kern w:val="18"/>
          <w:lang w:eastAsia="zh-CN"/>
        </w:rPr>
        <w:tab/>
      </w:r>
      <w:r w:rsidRPr="00650F1F">
        <w:rPr>
          <w:rFonts w:eastAsiaTheme="minorEastAsia"/>
          <w:snapToGrid w:val="0"/>
          <w:kern w:val="18"/>
          <w:sz w:val="20"/>
          <w:lang w:eastAsia="zh-CN"/>
        </w:rPr>
        <w:t>传统知识门户可查阅</w:t>
      </w:r>
      <w:r w:rsidRPr="00650F1F">
        <w:rPr>
          <w:rFonts w:eastAsiaTheme="minorEastAsia"/>
          <w:snapToGrid w:val="0"/>
          <w:kern w:val="18"/>
          <w:sz w:val="20"/>
          <w:lang w:eastAsia="zh-CN"/>
        </w:rPr>
        <w:t xml:space="preserve"> </w:t>
      </w:r>
      <w:hyperlink r:id="rId73" w:history="1">
        <w:r w:rsidRPr="00650F1F">
          <w:rPr>
            <w:rStyle w:val="Hyperlink"/>
            <w:rFonts w:eastAsiaTheme="minorEastAsia"/>
            <w:lang w:eastAsia="zh-CN"/>
          </w:rPr>
          <w:t>https://www.cbd.int/tk/default.shtml</w:t>
        </w:r>
      </w:hyperlink>
      <w:r w:rsidRPr="00650F1F">
        <w:rPr>
          <w:rFonts w:eastAsiaTheme="minorEastAsia"/>
          <w:snapToGrid w:val="0"/>
          <w:kern w:val="18"/>
          <w:sz w:val="20"/>
          <w:lang w:eastAsia="zh-CN"/>
        </w:rPr>
        <w:t>，是《生物多样性公约》信息交换所机制的一部分。</w:t>
      </w:r>
    </w:p>
  </w:footnote>
  <w:footnote w:id="183">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235140">
        <w:rPr>
          <w:rStyle w:val="FootnoteReference"/>
          <w:rFonts w:eastAsiaTheme="minorEastAsia"/>
          <w:snapToGrid w:val="0"/>
          <w:kern w:val="18"/>
          <w:sz w:val="24"/>
          <w:u w:val="none"/>
          <w:vertAlign w:val="superscript"/>
          <w:lang w:val="en-CA" w:eastAsia="en-CA"/>
        </w:rPr>
        <w:footnoteRef/>
      </w:r>
      <w:r w:rsidRPr="00235140">
        <w:rPr>
          <w:rStyle w:val="FootnoteReference"/>
          <w:rFonts w:eastAsiaTheme="minorEastAsia"/>
          <w:snapToGrid w:val="0"/>
          <w:kern w:val="18"/>
          <w:sz w:val="24"/>
          <w:u w:val="none"/>
          <w:vertAlign w:val="superscript"/>
          <w:lang w:val="en-CA" w:eastAsia="zh-CN"/>
        </w:rPr>
        <w:t xml:space="preserve"> </w:t>
      </w:r>
      <w:r w:rsidRPr="00235140">
        <w:rPr>
          <w:rStyle w:val="FootnoteReference"/>
          <w:rFonts w:eastAsiaTheme="minorEastAsia"/>
          <w:snapToGrid w:val="0"/>
          <w:kern w:val="18"/>
          <w:sz w:val="24"/>
          <w:u w:val="none"/>
          <w:lang w:eastAsia="zh-CN"/>
        </w:rPr>
        <w:t xml:space="preserve"> </w:t>
      </w:r>
      <w:r w:rsidRPr="00650F1F">
        <w:rPr>
          <w:rFonts w:eastAsiaTheme="minorEastAsia"/>
          <w:snapToGrid w:val="0"/>
          <w:kern w:val="18"/>
          <w:sz w:val="24"/>
          <w:lang w:eastAsia="zh-CN"/>
        </w:rPr>
        <w:tab/>
      </w:r>
      <w:r w:rsidRPr="00650F1F">
        <w:rPr>
          <w:rFonts w:eastAsiaTheme="minorEastAsia"/>
          <w:snapToGrid w:val="0"/>
          <w:kern w:val="18"/>
          <w:sz w:val="20"/>
          <w:szCs w:val="20"/>
          <w:lang w:eastAsia="zh-CN"/>
        </w:rPr>
        <w:t>见</w:t>
      </w:r>
      <w:hyperlink r:id="rId74" w:history="1">
        <w:r w:rsidRPr="00650F1F">
          <w:rPr>
            <w:rStyle w:val="Hyperlink"/>
            <w:rFonts w:eastAsiaTheme="minorEastAsia"/>
            <w:snapToGrid w:val="0"/>
            <w:kern w:val="18"/>
            <w:lang w:eastAsia="zh-CN"/>
          </w:rPr>
          <w:t>第</w:t>
        </w:r>
        <w:r w:rsidRPr="00650F1F">
          <w:rPr>
            <w:rStyle w:val="Hyperlink"/>
            <w:rFonts w:eastAsiaTheme="minorEastAsia"/>
            <w:snapToGrid w:val="0"/>
            <w:kern w:val="18"/>
            <w:lang w:eastAsia="zh-CN"/>
          </w:rPr>
          <w:t>X/43</w:t>
        </w:r>
        <w:r w:rsidRPr="00650F1F">
          <w:rPr>
            <w:rStyle w:val="Hyperlink"/>
            <w:rFonts w:eastAsiaTheme="minorEastAsia"/>
            <w:snapToGrid w:val="0"/>
            <w:kern w:val="18"/>
            <w:lang w:eastAsia="zh-CN"/>
          </w:rPr>
          <w:t>号决定</w:t>
        </w:r>
      </w:hyperlink>
      <w:r w:rsidRPr="00650F1F">
        <w:rPr>
          <w:rFonts w:eastAsiaTheme="minorEastAsia"/>
          <w:snapToGrid w:val="0"/>
          <w:kern w:val="18"/>
          <w:sz w:val="20"/>
          <w:szCs w:val="20"/>
          <w:lang w:eastAsia="zh-CN"/>
        </w:rPr>
        <w:t>，附件，第</w:t>
      </w:r>
      <w:r w:rsidRPr="00650F1F">
        <w:rPr>
          <w:rFonts w:eastAsiaTheme="minorEastAsia"/>
          <w:snapToGrid w:val="0"/>
          <w:kern w:val="18"/>
          <w:sz w:val="20"/>
          <w:szCs w:val="20"/>
          <w:lang w:eastAsia="zh-CN"/>
        </w:rPr>
        <w:t>1</w:t>
      </w:r>
      <w:r w:rsidRPr="00650F1F">
        <w:rPr>
          <w:rFonts w:eastAsiaTheme="minorEastAsia"/>
          <w:snapToGrid w:val="0"/>
          <w:kern w:val="18"/>
          <w:sz w:val="20"/>
          <w:szCs w:val="20"/>
          <w:lang w:eastAsia="zh-CN"/>
        </w:rPr>
        <w:t>段。</w:t>
      </w:r>
    </w:p>
  </w:footnote>
  <w:footnote w:id="184">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83788E">
        <w:rPr>
          <w:rStyle w:val="FootnoteReference"/>
          <w:rFonts w:eastAsiaTheme="minorEastAsia"/>
          <w:snapToGrid w:val="0"/>
          <w:kern w:val="18"/>
          <w:sz w:val="24"/>
          <w:u w:val="none"/>
          <w:vertAlign w:val="superscript"/>
          <w:lang w:val="en-CA" w:eastAsia="en-CA"/>
        </w:rPr>
        <w:footnoteRef/>
      </w:r>
      <w:r w:rsidRPr="0083788E">
        <w:rPr>
          <w:rStyle w:val="FootnoteReference"/>
          <w:rFonts w:eastAsiaTheme="minorEastAsia"/>
          <w:snapToGrid w:val="0"/>
          <w:kern w:val="18"/>
          <w:sz w:val="24"/>
          <w:u w:val="none"/>
          <w:vertAlign w:val="superscript"/>
          <w:lang w:val="en-CA" w:eastAsia="zh-CN"/>
        </w:rPr>
        <w:t xml:space="preserve"> </w:t>
      </w:r>
      <w:r w:rsidRPr="00650F1F">
        <w:rPr>
          <w:rFonts w:eastAsiaTheme="minorEastAsia"/>
          <w:kern w:val="18"/>
          <w:sz w:val="24"/>
          <w:lang w:eastAsia="zh-CN"/>
        </w:rPr>
        <w:tab/>
      </w:r>
      <w:r w:rsidRPr="00650F1F">
        <w:rPr>
          <w:rFonts w:eastAsiaTheme="minorEastAsia"/>
          <w:iCs/>
          <w:snapToGrid w:val="0"/>
          <w:color w:val="000000"/>
          <w:kern w:val="22"/>
          <w:sz w:val="20"/>
          <w:szCs w:val="20"/>
          <w:lang w:eastAsia="zh-CN"/>
        </w:rPr>
        <w:t>关于传统知识的《</w:t>
      </w:r>
      <w:r w:rsidRPr="0083788E">
        <w:rPr>
          <w:rFonts w:asciiTheme="minorEastAsia" w:eastAsiaTheme="minorEastAsia" w:hAnsiTheme="minorEastAsia"/>
          <w:kern w:val="18"/>
          <w:sz w:val="20"/>
          <w:szCs w:val="20"/>
          <w:lang w:eastAsia="zh-CN"/>
        </w:rPr>
        <w:t>“</w:t>
      </w:r>
      <w:r w:rsidRPr="00650F1F">
        <w:rPr>
          <w:rFonts w:eastAsiaTheme="minorEastAsia"/>
          <w:noProof/>
          <w:kern w:val="18"/>
          <w:sz w:val="20"/>
          <w:szCs w:val="20"/>
          <w:lang w:eastAsia="zh-CN"/>
        </w:rPr>
        <w:t>Mo’otz Kuxtal</w:t>
      </w:r>
      <w:r w:rsidRPr="0083788E">
        <w:rPr>
          <w:rFonts w:asciiTheme="minorEastAsia" w:eastAsiaTheme="minorEastAsia" w:hAnsiTheme="minorEastAsia"/>
          <w:kern w:val="18"/>
          <w:sz w:val="20"/>
          <w:szCs w:val="20"/>
          <w:lang w:eastAsia="zh-CN"/>
        </w:rPr>
        <w:t>”</w:t>
      </w:r>
      <w:r w:rsidRPr="00650F1F">
        <w:rPr>
          <w:rFonts w:eastAsiaTheme="minorEastAsia"/>
          <w:snapToGrid w:val="0"/>
          <w:kern w:val="18"/>
          <w:sz w:val="20"/>
          <w:szCs w:val="20"/>
          <w:lang w:eastAsia="zh-CN"/>
        </w:rPr>
        <w:t>自愿准则》由缔约方大会在</w:t>
      </w:r>
      <w:hyperlink r:id="rId75" w:history="1">
        <w:r w:rsidRPr="00650F1F">
          <w:rPr>
            <w:rStyle w:val="Hyperlink"/>
            <w:rFonts w:eastAsiaTheme="minorEastAsia"/>
            <w:snapToGrid w:val="0"/>
            <w:kern w:val="18"/>
            <w:lang w:eastAsia="zh-CN"/>
          </w:rPr>
          <w:t>第</w:t>
        </w:r>
        <w:r w:rsidRPr="00650F1F">
          <w:rPr>
            <w:rStyle w:val="Hyperlink"/>
            <w:rFonts w:eastAsiaTheme="minorEastAsia"/>
            <w:snapToGrid w:val="0"/>
            <w:kern w:val="18"/>
            <w:lang w:eastAsia="zh-CN"/>
          </w:rPr>
          <w:t>XIII/18</w:t>
        </w:r>
        <w:r w:rsidRPr="00650F1F">
          <w:rPr>
            <w:rStyle w:val="Hyperlink"/>
            <w:rFonts w:eastAsiaTheme="minorEastAsia"/>
            <w:snapToGrid w:val="0"/>
            <w:kern w:val="18"/>
            <w:lang w:eastAsia="zh-CN"/>
          </w:rPr>
          <w:t>号决定</w:t>
        </w:r>
      </w:hyperlink>
      <w:r w:rsidRPr="00650F1F">
        <w:rPr>
          <w:rFonts w:eastAsiaTheme="minorEastAsia"/>
          <w:snapToGrid w:val="0"/>
          <w:kern w:val="18"/>
          <w:sz w:val="20"/>
          <w:szCs w:val="20"/>
          <w:lang w:eastAsia="zh-CN"/>
        </w:rPr>
        <w:t>中通过。</w:t>
      </w:r>
      <w:r w:rsidRPr="0083788E">
        <w:rPr>
          <w:rFonts w:asciiTheme="minorEastAsia" w:eastAsiaTheme="minorEastAsia" w:hAnsiTheme="minorEastAsia"/>
          <w:kern w:val="18"/>
          <w:sz w:val="20"/>
          <w:szCs w:val="20"/>
          <w:lang w:eastAsia="zh-CN"/>
        </w:rPr>
        <w:t>“</w:t>
      </w:r>
      <w:r w:rsidRPr="00650F1F">
        <w:rPr>
          <w:rFonts w:eastAsiaTheme="minorEastAsia"/>
          <w:noProof/>
          <w:kern w:val="18"/>
          <w:sz w:val="20"/>
          <w:szCs w:val="20"/>
          <w:lang w:eastAsia="zh-CN"/>
        </w:rPr>
        <w:t>Mo’otz Kuxtal</w:t>
      </w:r>
      <w:r w:rsidRPr="0083788E">
        <w:rPr>
          <w:rFonts w:asciiTheme="minorEastAsia" w:eastAsiaTheme="minorEastAsia" w:hAnsiTheme="minorEastAsia"/>
          <w:kern w:val="18"/>
          <w:sz w:val="20"/>
          <w:szCs w:val="20"/>
          <w:lang w:eastAsia="zh-CN"/>
        </w:rPr>
        <w:t>”</w:t>
      </w:r>
      <w:r w:rsidRPr="0083788E">
        <w:rPr>
          <w:rFonts w:asciiTheme="minorEastAsia" w:eastAsiaTheme="minorEastAsia" w:hAnsiTheme="minorEastAsia"/>
          <w:kern w:val="18"/>
          <w:lang w:eastAsia="zh-CN"/>
        </w:rPr>
        <w:t>在玛雅语中的意思是</w:t>
      </w:r>
      <w:r w:rsidRPr="0083788E">
        <w:rPr>
          <w:rFonts w:asciiTheme="minorEastAsia" w:eastAsiaTheme="minorEastAsia" w:hAnsiTheme="minorEastAsia"/>
          <w:kern w:val="18"/>
          <w:sz w:val="20"/>
          <w:szCs w:val="20"/>
          <w:lang w:eastAsia="zh-CN"/>
        </w:rPr>
        <w:t>“生命之根”</w:t>
      </w:r>
      <w:r w:rsidRPr="0083788E">
        <w:rPr>
          <w:rFonts w:asciiTheme="minorEastAsia" w:hAnsiTheme="minorEastAsia"/>
          <w:kern w:val="18"/>
          <w:lang w:eastAsia="zh-CN"/>
        </w:rPr>
        <w:t>。</w:t>
      </w:r>
    </w:p>
  </w:footnote>
  <w:footnote w:id="185">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lang w:eastAsia="zh-CN"/>
        </w:rPr>
      </w:pPr>
      <w:r w:rsidRPr="0083788E">
        <w:rPr>
          <w:rStyle w:val="FootnoteReference"/>
          <w:rFonts w:eastAsiaTheme="minorEastAsia"/>
          <w:snapToGrid w:val="0"/>
          <w:kern w:val="18"/>
          <w:sz w:val="24"/>
          <w:u w:val="none"/>
          <w:vertAlign w:val="superscript"/>
          <w:lang w:val="en-CA" w:eastAsia="en-CA"/>
        </w:rPr>
        <w:footnoteRef/>
      </w:r>
      <w:r w:rsidRPr="0083788E">
        <w:rPr>
          <w:rStyle w:val="FootnoteReference"/>
          <w:rFonts w:eastAsiaTheme="minorEastAsia"/>
          <w:snapToGrid w:val="0"/>
          <w:kern w:val="18"/>
          <w:sz w:val="24"/>
          <w:u w:val="none"/>
          <w:vertAlign w:val="superscript"/>
          <w:lang w:val="en-CA" w:eastAsia="zh-CN"/>
        </w:rPr>
        <w:t xml:space="preserve"> </w:t>
      </w:r>
      <w:r w:rsidRPr="00650F1F">
        <w:rPr>
          <w:rFonts w:eastAsiaTheme="minorEastAsia"/>
          <w:snapToGrid w:val="0"/>
          <w:kern w:val="18"/>
          <w:sz w:val="24"/>
          <w:lang w:eastAsia="zh-CN"/>
        </w:rPr>
        <w:tab/>
      </w:r>
      <w:hyperlink r:id="rId76" w:history="1">
        <w:r w:rsidRPr="00650F1F">
          <w:rPr>
            <w:rStyle w:val="Hyperlink"/>
            <w:rFonts w:eastAsiaTheme="minorEastAsia"/>
            <w:snapToGrid w:val="0"/>
            <w:kern w:val="18"/>
            <w:lang w:eastAsia="zh-CN"/>
          </w:rPr>
          <w:t>第</w:t>
        </w:r>
        <w:r w:rsidRPr="00650F1F">
          <w:rPr>
            <w:rStyle w:val="Hyperlink"/>
            <w:rFonts w:eastAsiaTheme="minorEastAsia"/>
            <w:snapToGrid w:val="0"/>
            <w:kern w:val="18"/>
            <w:lang w:eastAsia="zh-CN"/>
          </w:rPr>
          <w:t> X/42</w:t>
        </w:r>
        <w:r w:rsidRPr="00650F1F">
          <w:rPr>
            <w:rStyle w:val="Hyperlink"/>
            <w:rFonts w:eastAsiaTheme="minorEastAsia"/>
            <w:snapToGrid w:val="0"/>
            <w:kern w:val="18"/>
            <w:lang w:eastAsia="zh-CN"/>
          </w:rPr>
          <w:t>号决定</w:t>
        </w:r>
      </w:hyperlink>
      <w:r w:rsidRPr="00650F1F">
        <w:rPr>
          <w:rFonts w:eastAsiaTheme="minorEastAsia"/>
          <w:snapToGrid w:val="0"/>
          <w:kern w:val="18"/>
          <w:sz w:val="20"/>
          <w:szCs w:val="20"/>
          <w:lang w:eastAsia="zh-CN"/>
        </w:rPr>
        <w:t>附件，《特加里瓦伊埃里道德行为守则》</w:t>
      </w:r>
      <w:r w:rsidRPr="00650F1F">
        <w:rPr>
          <w:rFonts w:eastAsiaTheme="minorEastAsia"/>
          <w:snapToGrid w:val="0"/>
          <w:kern w:val="18"/>
          <w:sz w:val="20"/>
          <w:szCs w:val="20"/>
          <w:lang w:eastAsia="zh-CN"/>
        </w:rPr>
        <w:t xml:space="preserve"> </w:t>
      </w:r>
      <w:r w:rsidRPr="00650F1F">
        <w:rPr>
          <w:rFonts w:eastAsiaTheme="minorEastAsia"/>
          <w:snapToGrid w:val="0"/>
          <w:kern w:val="18"/>
          <w:sz w:val="20"/>
          <w:szCs w:val="20"/>
          <w:lang w:eastAsia="zh-CN"/>
        </w:rPr>
        <w:t>第</w:t>
      </w:r>
      <w:r w:rsidRPr="00650F1F">
        <w:rPr>
          <w:rFonts w:eastAsiaTheme="minorEastAsia"/>
          <w:snapToGrid w:val="0"/>
          <w:kern w:val="18"/>
          <w:sz w:val="20"/>
          <w:szCs w:val="20"/>
          <w:lang w:eastAsia="zh-CN"/>
        </w:rPr>
        <w:t>23</w:t>
      </w:r>
      <w:r w:rsidRPr="00650F1F">
        <w:rPr>
          <w:rFonts w:eastAsiaTheme="minorEastAsia"/>
          <w:snapToGrid w:val="0"/>
          <w:kern w:val="18"/>
          <w:sz w:val="20"/>
          <w:szCs w:val="20"/>
          <w:lang w:eastAsia="zh-CN"/>
        </w:rPr>
        <w:t>条。</w:t>
      </w:r>
    </w:p>
  </w:footnote>
  <w:footnote w:id="186">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83788E">
        <w:rPr>
          <w:rStyle w:val="FootnoteReference"/>
          <w:rFonts w:eastAsiaTheme="minorEastAsia"/>
          <w:snapToGrid w:val="0"/>
          <w:kern w:val="18"/>
          <w:sz w:val="24"/>
          <w:u w:val="none"/>
          <w:vertAlign w:val="superscript"/>
          <w:lang w:val="en-CA" w:eastAsia="en-CA"/>
        </w:rPr>
        <w:footnoteRef/>
      </w:r>
      <w:r w:rsidRPr="0083788E">
        <w:rPr>
          <w:rStyle w:val="FootnoteReference"/>
          <w:rFonts w:eastAsiaTheme="minorEastAsia"/>
          <w:snapToGrid w:val="0"/>
          <w:kern w:val="18"/>
          <w:sz w:val="24"/>
          <w:u w:val="none"/>
          <w:vertAlign w:val="superscript"/>
          <w:lang w:val="en-CA" w:eastAsia="zh-CN"/>
        </w:rPr>
        <w:t xml:space="preserve"> </w:t>
      </w:r>
      <w:r w:rsidRPr="0083788E">
        <w:rPr>
          <w:rStyle w:val="FootnoteReference"/>
          <w:snapToGrid w:val="0"/>
          <w:kern w:val="18"/>
          <w:sz w:val="24"/>
          <w:u w:val="none"/>
          <w:vertAlign w:val="superscript"/>
          <w:lang w:val="en-CA" w:eastAsia="zh-CN"/>
        </w:rPr>
        <w:tab/>
      </w:r>
      <w:hyperlink r:id="rId77" w:history="1">
        <w:r w:rsidRPr="00650F1F">
          <w:rPr>
            <w:rStyle w:val="Hyperlink"/>
            <w:rFonts w:eastAsiaTheme="minorEastAsia"/>
            <w:snapToGrid w:val="0"/>
            <w:kern w:val="18"/>
            <w:lang w:eastAsia="zh-CN"/>
          </w:rPr>
          <w:t>联大第</w:t>
        </w:r>
        <w:r w:rsidRPr="00650F1F">
          <w:rPr>
            <w:rStyle w:val="Hyperlink"/>
            <w:rFonts w:eastAsiaTheme="minorEastAsia"/>
            <w:snapToGrid w:val="0"/>
            <w:kern w:val="18"/>
            <w:lang w:eastAsia="zh-CN"/>
          </w:rPr>
          <w:t>61/295</w:t>
        </w:r>
        <w:r w:rsidRPr="00650F1F">
          <w:rPr>
            <w:rStyle w:val="Hyperlink"/>
            <w:rFonts w:eastAsiaTheme="minorEastAsia"/>
            <w:snapToGrid w:val="0"/>
            <w:kern w:val="18"/>
            <w:lang w:eastAsia="zh-CN"/>
          </w:rPr>
          <w:t>号决议</w:t>
        </w:r>
      </w:hyperlink>
      <w:r w:rsidRPr="00650F1F">
        <w:rPr>
          <w:rFonts w:eastAsiaTheme="minorEastAsia"/>
          <w:snapToGrid w:val="0"/>
          <w:kern w:val="18"/>
          <w:sz w:val="20"/>
          <w:szCs w:val="20"/>
          <w:lang w:eastAsia="zh-CN"/>
        </w:rPr>
        <w:t>，附件。</w:t>
      </w:r>
    </w:p>
  </w:footnote>
  <w:footnote w:id="187">
    <w:p w:rsidR="00594C0B" w:rsidRPr="0083788E" w:rsidRDefault="00594C0B" w:rsidP="00650F1F">
      <w:pPr>
        <w:pStyle w:val="FootnoteText"/>
        <w:tabs>
          <w:tab w:val="left" w:pos="360"/>
        </w:tabs>
        <w:adjustRightInd w:val="0"/>
        <w:snapToGrid w:val="0"/>
        <w:spacing w:before="0"/>
        <w:ind w:firstLine="0"/>
        <w:rPr>
          <w:rFonts w:asciiTheme="minorEastAsia" w:eastAsiaTheme="minorEastAsia" w:hAnsiTheme="minorEastAsia"/>
          <w:sz w:val="20"/>
          <w:szCs w:val="20"/>
          <w:lang w:eastAsia="zh-CN"/>
        </w:rPr>
      </w:pPr>
      <w:r w:rsidRPr="0083788E">
        <w:rPr>
          <w:rStyle w:val="FootnoteReference"/>
          <w:rFonts w:eastAsiaTheme="minorEastAsia"/>
          <w:snapToGrid w:val="0"/>
          <w:kern w:val="18"/>
          <w:sz w:val="24"/>
          <w:u w:val="none"/>
          <w:vertAlign w:val="superscript"/>
          <w:lang w:val="en-CA" w:eastAsia="en-CA"/>
        </w:rPr>
        <w:footnoteRef/>
      </w:r>
      <w:r w:rsidRPr="0083788E">
        <w:rPr>
          <w:rStyle w:val="FootnoteReference"/>
          <w:rFonts w:eastAsiaTheme="minorEastAsia"/>
          <w:snapToGrid w:val="0"/>
          <w:kern w:val="18"/>
          <w:sz w:val="24"/>
          <w:u w:val="none"/>
          <w:vertAlign w:val="superscript"/>
          <w:lang w:val="en-CA" w:eastAsia="zh-CN"/>
        </w:rPr>
        <w:t xml:space="preserve"> </w:t>
      </w:r>
      <w:r w:rsidRPr="00650F1F">
        <w:rPr>
          <w:rFonts w:eastAsiaTheme="minorEastAsia"/>
          <w:sz w:val="20"/>
          <w:szCs w:val="20"/>
          <w:lang w:eastAsia="zh-CN"/>
        </w:rPr>
        <w:t xml:space="preserve"> </w:t>
      </w:r>
      <w:r w:rsidRPr="0083788E">
        <w:rPr>
          <w:rFonts w:asciiTheme="minorEastAsia" w:eastAsiaTheme="minorEastAsia" w:hAnsiTheme="minorEastAsia"/>
          <w:kern w:val="18"/>
          <w:sz w:val="20"/>
          <w:szCs w:val="20"/>
          <w:lang w:eastAsia="zh-CN"/>
        </w:rPr>
        <w:t>“</w:t>
      </w:r>
      <w:r w:rsidRPr="0083788E">
        <w:rPr>
          <w:rFonts w:asciiTheme="minorEastAsia" w:eastAsiaTheme="minorEastAsia" w:hAnsiTheme="minorEastAsia"/>
          <w:sz w:val="20"/>
          <w:szCs w:val="20"/>
          <w:lang w:eastAsia="zh-CN"/>
        </w:rPr>
        <w:t>卢佐利希里沙希克</w:t>
      </w:r>
      <w:r w:rsidRPr="0083788E">
        <w:rPr>
          <w:rFonts w:asciiTheme="minorEastAsia" w:eastAsiaTheme="minorEastAsia" w:hAnsiTheme="minorEastAsia"/>
          <w:kern w:val="18"/>
          <w:sz w:val="20"/>
          <w:szCs w:val="20"/>
          <w:lang w:eastAsia="zh-CN"/>
        </w:rPr>
        <w:t>”在玛雅喀克其奎族当地传统语言中的意思是“返还其原籍地”。</w:t>
      </w:r>
    </w:p>
  </w:footnote>
  <w:footnote w:id="188">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83788E">
        <w:rPr>
          <w:rStyle w:val="FootnoteReference"/>
          <w:rFonts w:eastAsiaTheme="minorEastAsia"/>
          <w:snapToGrid w:val="0"/>
          <w:kern w:val="18"/>
          <w:sz w:val="24"/>
          <w:u w:val="none"/>
          <w:vertAlign w:val="superscript"/>
          <w:lang w:val="en-CA" w:eastAsia="en-CA"/>
        </w:rPr>
        <w:footnoteRef/>
      </w:r>
      <w:r w:rsidRPr="0083788E">
        <w:rPr>
          <w:rStyle w:val="FootnoteReference"/>
          <w:rFonts w:eastAsiaTheme="minorEastAsia"/>
          <w:snapToGrid w:val="0"/>
          <w:kern w:val="18"/>
          <w:sz w:val="24"/>
          <w:u w:val="none"/>
          <w:vertAlign w:val="superscript"/>
          <w:lang w:val="en-CA" w:eastAsia="zh-CN"/>
        </w:rPr>
        <w:t xml:space="preserve"> </w:t>
      </w:r>
      <w:r w:rsidRPr="0083788E">
        <w:rPr>
          <w:rStyle w:val="FootnoteReference"/>
          <w:sz w:val="24"/>
          <w:u w:val="none"/>
          <w:vertAlign w:val="superscript"/>
          <w:lang w:val="en-CA" w:eastAsia="zh-CN"/>
        </w:rPr>
        <w:tab/>
      </w:r>
      <w:r w:rsidRPr="00650F1F">
        <w:rPr>
          <w:rStyle w:val="FootnoteReference"/>
          <w:rFonts w:eastAsiaTheme="minorEastAsia"/>
          <w:snapToGrid w:val="0"/>
          <w:kern w:val="18"/>
          <w:sz w:val="20"/>
          <w:szCs w:val="20"/>
          <w:lang w:eastAsia="zh-CN"/>
        </w:rPr>
        <w:t xml:space="preserve"> </w:t>
      </w:r>
      <w:hyperlink r:id="rId78" w:history="1">
        <w:r w:rsidRPr="00650F1F">
          <w:rPr>
            <w:rStyle w:val="Hyperlink"/>
            <w:rFonts w:eastAsiaTheme="minorEastAsia"/>
            <w:lang w:eastAsia="zh-CN"/>
          </w:rPr>
          <w:t>第</w:t>
        </w:r>
        <w:r w:rsidRPr="00650F1F">
          <w:rPr>
            <w:rStyle w:val="Hyperlink"/>
            <w:rFonts w:eastAsiaTheme="minorEastAsia"/>
            <w:snapToGrid w:val="0"/>
            <w:kern w:val="18"/>
            <w:lang w:eastAsia="ja-JP"/>
          </w:rPr>
          <w:t>XI/14D</w:t>
        </w:r>
        <w:r w:rsidRPr="00650F1F">
          <w:rPr>
            <w:rStyle w:val="Hyperlink"/>
            <w:rFonts w:eastAsiaTheme="minorEastAsia"/>
            <w:snapToGrid w:val="0"/>
            <w:kern w:val="18"/>
            <w:lang w:eastAsia="zh-CN"/>
          </w:rPr>
          <w:t>号决定</w:t>
        </w:r>
      </w:hyperlink>
      <w:r w:rsidRPr="00650F1F">
        <w:rPr>
          <w:rFonts w:eastAsiaTheme="minorEastAsia"/>
          <w:snapToGrid w:val="0"/>
          <w:kern w:val="18"/>
          <w:sz w:val="20"/>
          <w:szCs w:val="20"/>
          <w:lang w:eastAsia="zh-CN"/>
        </w:rPr>
        <w:t>，附件，返还准则的职责范围。</w:t>
      </w:r>
    </w:p>
  </w:footnote>
  <w:footnote w:id="189">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kern w:val="18"/>
          <w:sz w:val="20"/>
          <w:szCs w:val="20"/>
          <w:lang w:eastAsia="zh-CN"/>
        </w:rPr>
      </w:pPr>
      <w:r w:rsidRPr="0083788E">
        <w:rPr>
          <w:rStyle w:val="FootnoteReference"/>
          <w:rFonts w:eastAsiaTheme="minorEastAsia"/>
          <w:snapToGrid w:val="0"/>
          <w:kern w:val="18"/>
          <w:sz w:val="24"/>
          <w:u w:val="none"/>
          <w:vertAlign w:val="superscript"/>
          <w:lang w:val="en-CA" w:eastAsia="en-CA"/>
        </w:rPr>
        <w:footnoteRef/>
      </w:r>
      <w:r w:rsidRPr="0083788E">
        <w:rPr>
          <w:rStyle w:val="FootnoteReference"/>
          <w:rFonts w:eastAsiaTheme="minorEastAsia"/>
          <w:snapToGrid w:val="0"/>
          <w:kern w:val="18"/>
          <w:sz w:val="24"/>
          <w:szCs w:val="20"/>
          <w:u w:val="none"/>
          <w:lang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本段并不排除《名古屋议定书》的任何规定的酌情适用。</w:t>
      </w:r>
      <w:r w:rsidRPr="00650F1F">
        <w:rPr>
          <w:rFonts w:eastAsiaTheme="minorEastAsia"/>
          <w:kern w:val="18"/>
          <w:sz w:val="20"/>
          <w:szCs w:val="20"/>
          <w:lang w:eastAsia="zh-CN"/>
        </w:rPr>
        <w:t xml:space="preserve"> </w:t>
      </w:r>
    </w:p>
  </w:footnote>
  <w:footnote w:id="190">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650F1F">
        <w:rPr>
          <w:rStyle w:val="FootnoteReference"/>
          <w:rFonts w:eastAsiaTheme="minorEastAsia"/>
          <w:snapToGrid w:val="0"/>
          <w:kern w:val="18"/>
          <w:sz w:val="24"/>
          <w:vertAlign w:val="superscript"/>
          <w:lang w:val="en-CA" w:eastAsia="en-CA"/>
        </w:rPr>
        <w:footnoteRef/>
      </w:r>
      <w:r w:rsidRPr="00650F1F">
        <w:rPr>
          <w:rStyle w:val="FootnoteReference"/>
          <w:rFonts w:eastAsiaTheme="minorEastAsia"/>
          <w:snapToGrid w:val="0"/>
          <w:kern w:val="18"/>
          <w:sz w:val="24"/>
          <w:vertAlign w:val="superscript"/>
          <w:lang w:val="en-CA"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所涉传统知识可能包括有关或补充信息。</w:t>
      </w:r>
    </w:p>
  </w:footnote>
  <w:footnote w:id="191">
    <w:p w:rsidR="00594C0B" w:rsidRPr="00650F1F" w:rsidRDefault="00594C0B" w:rsidP="00235140">
      <w:pPr>
        <w:suppressLineNumbers/>
        <w:tabs>
          <w:tab w:val="left" w:pos="360"/>
        </w:tabs>
        <w:suppressAutoHyphens/>
        <w:kinsoku w:val="0"/>
        <w:overflowPunct w:val="0"/>
        <w:autoSpaceDE w:val="0"/>
        <w:autoSpaceDN w:val="0"/>
        <w:adjustRightInd w:val="0"/>
        <w:snapToGrid w:val="0"/>
        <w:spacing w:before="0" w:after="60"/>
        <w:ind w:firstLine="0"/>
        <w:rPr>
          <w:rFonts w:eastAsiaTheme="minorEastAsia"/>
          <w:b/>
          <w:bCs/>
          <w:snapToGrid w:val="0"/>
          <w:kern w:val="18"/>
          <w:sz w:val="20"/>
          <w:szCs w:val="20"/>
          <w:lang w:eastAsia="zh-CN"/>
        </w:rPr>
      </w:pPr>
      <w:r w:rsidRPr="00235140">
        <w:rPr>
          <w:rStyle w:val="FootnoteReference"/>
          <w:rFonts w:eastAsiaTheme="minorEastAsia"/>
          <w:snapToGrid w:val="0"/>
          <w:kern w:val="18"/>
          <w:sz w:val="24"/>
          <w:szCs w:val="20"/>
          <w:u w:val="none"/>
          <w:vertAlign w:val="superscript"/>
          <w:lang w:val="en-CA" w:eastAsia="en-CA"/>
        </w:rPr>
        <w:footnoteRef/>
      </w:r>
      <w:r w:rsidRPr="00235140">
        <w:rPr>
          <w:rStyle w:val="FootnoteReference"/>
          <w:rFonts w:eastAsiaTheme="minorEastAsia"/>
          <w:snapToGrid w:val="0"/>
          <w:kern w:val="18"/>
          <w:sz w:val="24"/>
          <w:szCs w:val="20"/>
          <w:u w:val="none"/>
          <w:vertAlign w:val="superscript"/>
          <w:lang w:val="en-CA"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见执行秘书关于</w:t>
      </w:r>
      <w:r w:rsidRPr="00650F1F">
        <w:rPr>
          <w:rFonts w:eastAsiaTheme="minorEastAsia"/>
          <w:kern w:val="2"/>
          <w:sz w:val="20"/>
          <w:szCs w:val="20"/>
          <w:lang w:eastAsia="zh-CN"/>
        </w:rPr>
        <w:t>制定返还与生物多样性的保护和可持续利用相关的传统知识最佳做法准则的说明</w:t>
      </w:r>
      <w:r w:rsidRPr="00650F1F">
        <w:rPr>
          <w:rFonts w:eastAsiaTheme="minorEastAsia"/>
          <w:snapToGrid w:val="0"/>
          <w:kern w:val="18"/>
          <w:sz w:val="20"/>
          <w:szCs w:val="20"/>
          <w:lang w:eastAsia="zh-CN"/>
        </w:rPr>
        <w:t>（</w:t>
      </w:r>
      <w:hyperlink r:id="rId79" w:history="1">
        <w:r w:rsidRPr="00650F1F">
          <w:rPr>
            <w:rStyle w:val="Hyperlink"/>
            <w:rFonts w:eastAsiaTheme="minorEastAsia"/>
            <w:snapToGrid w:val="0"/>
            <w:kern w:val="18"/>
            <w:lang w:eastAsia="zh-CN"/>
          </w:rPr>
          <w:t>UNEP/CBD/WG8J/8/5</w:t>
        </w:r>
      </w:hyperlink>
      <w:r w:rsidRPr="00650F1F">
        <w:rPr>
          <w:rFonts w:eastAsiaTheme="minorEastAsia"/>
          <w:bCs/>
          <w:snapToGrid w:val="0"/>
          <w:kern w:val="18"/>
          <w:sz w:val="20"/>
          <w:szCs w:val="20"/>
          <w:lang w:eastAsia="zh-CN"/>
        </w:rPr>
        <w:t>，第</w:t>
      </w:r>
      <w:r w:rsidRPr="00650F1F">
        <w:rPr>
          <w:rFonts w:eastAsiaTheme="minorEastAsia"/>
          <w:bCs/>
          <w:snapToGrid w:val="0"/>
          <w:kern w:val="18"/>
          <w:sz w:val="20"/>
          <w:szCs w:val="20"/>
          <w:lang w:eastAsia="zh-CN"/>
        </w:rPr>
        <w:t>13</w:t>
      </w:r>
      <w:r w:rsidRPr="00650F1F">
        <w:rPr>
          <w:rFonts w:eastAsiaTheme="minorEastAsia"/>
          <w:bCs/>
          <w:snapToGrid w:val="0"/>
          <w:kern w:val="18"/>
          <w:sz w:val="20"/>
          <w:szCs w:val="20"/>
          <w:lang w:eastAsia="zh-CN"/>
        </w:rPr>
        <w:t>段）</w:t>
      </w:r>
      <w:r w:rsidRPr="00650F1F">
        <w:rPr>
          <w:rFonts w:eastAsiaTheme="minorEastAsia"/>
          <w:snapToGrid w:val="0"/>
          <w:kern w:val="18"/>
          <w:sz w:val="20"/>
          <w:szCs w:val="20"/>
          <w:lang w:eastAsia="zh-CN"/>
        </w:rPr>
        <w:t>。</w:t>
      </w:r>
    </w:p>
  </w:footnote>
  <w:footnote w:id="192">
    <w:p w:rsidR="00594C0B" w:rsidRPr="00650F1F" w:rsidRDefault="00594C0B" w:rsidP="00235140">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noProof/>
          <w:snapToGrid w:val="0"/>
          <w:kern w:val="18"/>
          <w:sz w:val="20"/>
          <w:szCs w:val="20"/>
          <w:lang w:eastAsia="zh-CN"/>
        </w:rPr>
      </w:pPr>
      <w:r w:rsidRPr="00713CEE">
        <w:rPr>
          <w:rStyle w:val="FootnoteReference"/>
          <w:rFonts w:eastAsiaTheme="minorEastAsia"/>
          <w:snapToGrid w:val="0"/>
          <w:kern w:val="18"/>
          <w:sz w:val="24"/>
          <w:u w:val="none"/>
          <w:vertAlign w:val="superscript"/>
          <w:lang w:val="en-CA" w:eastAsia="en-CA"/>
        </w:rPr>
        <w:footnoteRef/>
      </w:r>
      <w:r w:rsidRPr="00713CEE">
        <w:rPr>
          <w:rStyle w:val="FootnoteReference"/>
          <w:rFonts w:eastAsiaTheme="minorEastAsia"/>
          <w:snapToGrid w:val="0"/>
          <w:kern w:val="18"/>
          <w:sz w:val="24"/>
          <w:u w:val="none"/>
          <w:vertAlign w:val="superscript"/>
          <w:lang w:val="en-CA" w:eastAsia="zh-CN"/>
        </w:rPr>
        <w:t xml:space="preserve"> </w:t>
      </w:r>
      <w:r w:rsidRPr="00713CEE">
        <w:rPr>
          <w:rStyle w:val="FootnoteReference"/>
          <w:rFonts w:eastAsiaTheme="minorEastAsia"/>
          <w:sz w:val="24"/>
          <w:u w:val="none"/>
          <w:vertAlign w:val="superscript"/>
          <w:lang w:val="en-CA" w:eastAsia="zh-CN"/>
        </w:rPr>
        <w:tab/>
      </w:r>
      <w:r w:rsidRPr="00650F1F">
        <w:rPr>
          <w:rFonts w:eastAsiaTheme="minorEastAsia"/>
          <w:snapToGrid w:val="0"/>
          <w:kern w:val="18"/>
          <w:sz w:val="20"/>
          <w:szCs w:val="20"/>
          <w:lang w:eastAsia="zh-CN"/>
        </w:rPr>
        <w:t>包括可能持有与保护和可持续利用生物多样性相关的土著和</w:t>
      </w:r>
      <w:r w:rsidRPr="00650F1F">
        <w:rPr>
          <w:rFonts w:eastAsiaTheme="minorEastAsia"/>
          <w:snapToGrid w:val="0"/>
          <w:kern w:val="18"/>
          <w:sz w:val="20"/>
          <w:szCs w:val="20"/>
          <w:lang w:eastAsia="zh-CN"/>
        </w:rPr>
        <w:t>/</w:t>
      </w:r>
      <w:r w:rsidRPr="00650F1F">
        <w:rPr>
          <w:rFonts w:eastAsiaTheme="minorEastAsia"/>
          <w:snapToGrid w:val="0"/>
          <w:kern w:val="18"/>
          <w:sz w:val="20"/>
          <w:szCs w:val="20"/>
          <w:lang w:eastAsia="zh-CN"/>
        </w:rPr>
        <w:t>或地方社区传统知识和相关或补充信息的国家</w:t>
      </w:r>
      <w:r w:rsidRPr="00650F1F">
        <w:rPr>
          <w:rFonts w:eastAsiaTheme="minorEastAsia"/>
          <w:snapToGrid w:val="0"/>
          <w:kern w:val="18"/>
          <w:sz w:val="20"/>
          <w:szCs w:val="20"/>
          <w:lang w:eastAsia="zh-CN"/>
        </w:rPr>
        <w:t xml:space="preserve"> </w:t>
      </w:r>
      <w:r w:rsidRPr="00650F1F">
        <w:rPr>
          <w:rFonts w:eastAsiaTheme="minorEastAsia"/>
          <w:snapToGrid w:val="0"/>
          <w:kern w:val="18"/>
          <w:sz w:val="20"/>
          <w:szCs w:val="20"/>
          <w:lang w:eastAsia="zh-CN"/>
        </w:rPr>
        <w:t>以下政府和政府部门。</w:t>
      </w:r>
    </w:p>
  </w:footnote>
  <w:footnote w:id="193">
    <w:p w:rsidR="00594C0B" w:rsidRPr="00650F1F" w:rsidRDefault="00594C0B" w:rsidP="00235140">
      <w:pPr>
        <w:pStyle w:val="NormalWeb"/>
        <w:suppressLineNumbers/>
        <w:tabs>
          <w:tab w:val="left" w:pos="360"/>
        </w:tabs>
        <w:suppressAutoHyphens/>
        <w:adjustRightInd w:val="0"/>
        <w:snapToGrid w:val="0"/>
        <w:spacing w:before="0" w:beforeAutospacing="0" w:after="60" w:afterAutospacing="0"/>
        <w:ind w:firstLine="0"/>
        <w:rPr>
          <w:rFonts w:ascii="Times New Roman" w:eastAsiaTheme="minorEastAsia" w:hAnsi="Times New Roman" w:cs="Times New Roman"/>
          <w:snapToGrid w:val="0"/>
          <w:kern w:val="18"/>
          <w:sz w:val="20"/>
          <w:szCs w:val="20"/>
          <w:lang w:val="en-GB" w:eastAsia="zh-CN"/>
        </w:rPr>
      </w:pPr>
      <w:r w:rsidRPr="00235140">
        <w:rPr>
          <w:rStyle w:val="FootnoteReference"/>
          <w:rFonts w:ascii="Times New Roman" w:eastAsiaTheme="minorEastAsia" w:hAnsi="Times New Roman"/>
          <w:snapToGrid w:val="0"/>
          <w:kern w:val="18"/>
          <w:sz w:val="24"/>
          <w:szCs w:val="20"/>
          <w:u w:val="none"/>
          <w:vertAlign w:val="superscript"/>
          <w:lang w:val="en-CA" w:eastAsia="en-CA"/>
        </w:rPr>
        <w:footnoteRef/>
      </w:r>
      <w:r w:rsidRPr="00235140">
        <w:rPr>
          <w:rStyle w:val="FootnoteReference"/>
          <w:rFonts w:ascii="Times New Roman" w:eastAsiaTheme="minorEastAsia" w:hAnsi="Times New Roman"/>
          <w:snapToGrid w:val="0"/>
          <w:kern w:val="18"/>
          <w:sz w:val="24"/>
          <w:szCs w:val="20"/>
          <w:u w:val="none"/>
          <w:vertAlign w:val="superscript"/>
          <w:lang w:val="en-CA" w:eastAsia="zh-CN"/>
        </w:rPr>
        <w:t xml:space="preserve"> </w:t>
      </w:r>
      <w:r w:rsidRPr="00235140">
        <w:rPr>
          <w:rStyle w:val="FootnoteReference"/>
          <w:sz w:val="24"/>
          <w:u w:val="none"/>
          <w:vertAlign w:val="superscript"/>
          <w:lang w:val="en-CA" w:eastAsia="zh-CN"/>
        </w:rPr>
        <w:tab/>
      </w:r>
      <w:r w:rsidRPr="00650F1F">
        <w:rPr>
          <w:rFonts w:ascii="Times New Roman" w:eastAsiaTheme="minorEastAsia" w:hAnsi="Times New Roman" w:cs="Times New Roman"/>
          <w:snapToGrid w:val="0"/>
          <w:kern w:val="18"/>
          <w:sz w:val="20"/>
          <w:szCs w:val="20"/>
          <w:lang w:val="en-GB" w:eastAsia="zh-CN"/>
        </w:rPr>
        <w:t>信息专业人员是收集、记录、组织、存储、保存、检索和传播印刷的或数字信息的人。该术语最经常与</w:t>
      </w:r>
      <w:r w:rsidRPr="00235140">
        <w:rPr>
          <w:rFonts w:asciiTheme="minorEastAsia" w:eastAsiaTheme="minorEastAsia" w:hAnsiTheme="minorEastAsia" w:cs="Times New Roman"/>
          <w:snapToGrid w:val="0"/>
          <w:kern w:val="18"/>
          <w:sz w:val="20"/>
          <w:szCs w:val="20"/>
          <w:lang w:val="en-GB" w:eastAsia="zh-CN"/>
        </w:rPr>
        <w:t>“</w:t>
      </w:r>
      <w:hyperlink r:id="rId80" w:tooltip="Librarian" w:history="1">
        <w:r w:rsidRPr="00650F1F">
          <w:rPr>
            <w:rFonts w:ascii="Times New Roman" w:eastAsiaTheme="minorEastAsia" w:hAnsi="Times New Roman" w:cs="Times New Roman"/>
            <w:color w:val="0000FF"/>
            <w:kern w:val="18"/>
            <w:sz w:val="20"/>
            <w:szCs w:val="20"/>
            <w:u w:val="single"/>
            <w:lang w:val="en-GB" w:eastAsia="zh-CN"/>
          </w:rPr>
          <w:t>图书管理员</w:t>
        </w:r>
      </w:hyperlink>
      <w:r w:rsidRPr="00235140">
        <w:rPr>
          <w:rFonts w:asciiTheme="minorEastAsia" w:eastAsiaTheme="minorEastAsia" w:hAnsiTheme="minorEastAsia" w:cs="Times New Roman"/>
          <w:snapToGrid w:val="0"/>
          <w:kern w:val="18"/>
          <w:sz w:val="20"/>
          <w:szCs w:val="20"/>
          <w:lang w:val="en-GB" w:eastAsia="zh-CN"/>
        </w:rPr>
        <w:t>”</w:t>
      </w:r>
      <w:r w:rsidRPr="00650F1F">
        <w:rPr>
          <w:rFonts w:ascii="Times New Roman" w:eastAsiaTheme="minorEastAsia" w:hAnsi="Times New Roman" w:cs="Times New Roman"/>
          <w:snapToGrid w:val="0"/>
          <w:kern w:val="18"/>
          <w:sz w:val="20"/>
          <w:szCs w:val="20"/>
          <w:lang w:val="en-GB" w:eastAsia="zh-CN"/>
        </w:rPr>
        <w:t>通用（见美国专业人员展望手册（</w:t>
      </w:r>
      <w:r w:rsidRPr="00650F1F">
        <w:rPr>
          <w:rFonts w:ascii="Times New Roman" w:eastAsiaTheme="minorEastAsia" w:hAnsi="Times New Roman" w:cs="Times New Roman"/>
          <w:kern w:val="18"/>
          <w:sz w:val="20"/>
          <w:szCs w:val="20"/>
          <w:lang w:val="en-GB" w:eastAsia="zh-CN"/>
        </w:rPr>
        <w:t>2008-2009</w:t>
      </w:r>
      <w:r w:rsidRPr="00650F1F">
        <w:rPr>
          <w:rFonts w:ascii="Times New Roman" w:eastAsiaTheme="minorEastAsia" w:hAnsi="Times New Roman" w:cs="Times New Roman"/>
          <w:kern w:val="18"/>
          <w:sz w:val="20"/>
          <w:szCs w:val="20"/>
          <w:lang w:val="en-GB" w:eastAsia="zh-CN"/>
        </w:rPr>
        <w:t>年版）</w:t>
      </w:r>
      <w:r w:rsidRPr="00650F1F">
        <w:rPr>
          <w:rFonts w:ascii="Times New Roman" w:eastAsiaTheme="minorEastAsia" w:hAnsi="Times New Roman" w:cs="Times New Roman"/>
          <w:snapToGrid w:val="0"/>
          <w:kern w:val="18"/>
          <w:sz w:val="20"/>
          <w:szCs w:val="20"/>
          <w:lang w:val="en-GB" w:eastAsia="zh-CN"/>
        </w:rPr>
        <w:t>，第</w:t>
      </w:r>
      <w:r w:rsidRPr="00650F1F">
        <w:rPr>
          <w:rFonts w:ascii="Times New Roman" w:eastAsiaTheme="minorEastAsia" w:hAnsi="Times New Roman" w:cs="Times New Roman"/>
          <w:snapToGrid w:val="0"/>
          <w:kern w:val="18"/>
          <w:sz w:val="20"/>
          <w:szCs w:val="20"/>
          <w:lang w:val="en-GB" w:eastAsia="zh-CN"/>
        </w:rPr>
        <w:t>266</w:t>
      </w:r>
      <w:r w:rsidRPr="00650F1F">
        <w:rPr>
          <w:rFonts w:ascii="Times New Roman" w:eastAsiaTheme="minorEastAsia" w:hAnsi="Times New Roman" w:cs="Times New Roman"/>
          <w:snapToGrid w:val="0"/>
          <w:kern w:val="18"/>
          <w:sz w:val="20"/>
          <w:szCs w:val="20"/>
          <w:lang w:val="en-GB" w:eastAsia="zh-CN"/>
        </w:rPr>
        <w:t>页），或是其发展。图书管理员通常管理书籍或其他纸质记录中所载的信息。然而，现在，图书馆广泛使用现代媒介和技术；</w:t>
      </w:r>
      <w:r w:rsidRPr="00650F1F">
        <w:rPr>
          <w:rFonts w:ascii="Times New Roman" w:eastAsiaTheme="minorEastAsia" w:hAnsi="Times New Roman" w:cs="Times New Roman"/>
          <w:snapToGrid w:val="0"/>
          <w:kern w:val="18"/>
          <w:sz w:val="20"/>
          <w:szCs w:val="20"/>
          <w:lang w:val="en-GB" w:eastAsia="zh-CN"/>
        </w:rPr>
        <w:t xml:space="preserve"> </w:t>
      </w:r>
      <w:r w:rsidRPr="00650F1F">
        <w:rPr>
          <w:rFonts w:ascii="Times New Roman" w:eastAsiaTheme="minorEastAsia" w:hAnsi="Times New Roman" w:cs="Times New Roman"/>
          <w:snapToGrid w:val="0"/>
          <w:kern w:val="18"/>
          <w:sz w:val="20"/>
          <w:szCs w:val="20"/>
          <w:lang w:val="en-GB" w:eastAsia="zh-CN"/>
        </w:rPr>
        <w:t>因此，图书馆员的作用得到了提升。</w:t>
      </w:r>
      <w:r w:rsidRPr="00235140">
        <w:rPr>
          <w:rFonts w:asciiTheme="minorEastAsia" w:eastAsiaTheme="minorEastAsia" w:hAnsiTheme="minorEastAsia" w:cs="Times New Roman"/>
          <w:snapToGrid w:val="0"/>
          <w:kern w:val="18"/>
          <w:sz w:val="20"/>
          <w:szCs w:val="20"/>
          <w:lang w:val="en-GB" w:eastAsia="zh-CN"/>
        </w:rPr>
        <w:t>“信</w:t>
      </w:r>
      <w:r w:rsidRPr="00650F1F">
        <w:rPr>
          <w:rFonts w:ascii="Times New Roman" w:eastAsiaTheme="minorEastAsia" w:hAnsi="Times New Roman" w:cs="Times New Roman"/>
          <w:snapToGrid w:val="0"/>
          <w:kern w:val="18"/>
          <w:sz w:val="20"/>
          <w:szCs w:val="20"/>
          <w:lang w:val="en-GB" w:eastAsia="zh-CN"/>
        </w:rPr>
        <w:t>息专业人员</w:t>
      </w:r>
      <w:r w:rsidRPr="00235140">
        <w:rPr>
          <w:rFonts w:asciiTheme="minorEastAsia" w:eastAsiaTheme="minorEastAsia" w:hAnsiTheme="minorEastAsia" w:cs="Times New Roman"/>
          <w:snapToGrid w:val="0"/>
          <w:kern w:val="18"/>
          <w:sz w:val="20"/>
          <w:szCs w:val="20"/>
          <w:lang w:val="en-GB" w:eastAsia="zh-CN"/>
        </w:rPr>
        <w:t>”</w:t>
      </w:r>
      <w:r w:rsidRPr="00650F1F">
        <w:rPr>
          <w:rFonts w:ascii="Times New Roman" w:eastAsiaTheme="minorEastAsia" w:hAnsi="Times New Roman" w:cs="Times New Roman"/>
          <w:snapToGrid w:val="0"/>
          <w:kern w:val="18"/>
          <w:sz w:val="20"/>
          <w:szCs w:val="20"/>
          <w:lang w:val="en-GB" w:eastAsia="zh-CN"/>
        </w:rPr>
        <w:t>这一多功能术语也用于描述其他类似的职业，如</w:t>
      </w:r>
      <w:hyperlink r:id="rId81" w:tooltip="Archivist" w:history="1">
        <w:r w:rsidRPr="00650F1F">
          <w:rPr>
            <w:rFonts w:ascii="Times New Roman" w:eastAsiaTheme="minorEastAsia" w:hAnsi="Times New Roman" w:cs="Times New Roman"/>
            <w:color w:val="0000FF"/>
            <w:kern w:val="18"/>
            <w:sz w:val="20"/>
            <w:szCs w:val="20"/>
            <w:u w:val="single"/>
            <w:lang w:val="en-GB" w:eastAsia="zh-CN"/>
          </w:rPr>
          <w:t>档案管理员</w:t>
        </w:r>
      </w:hyperlink>
      <w:r w:rsidRPr="00650F1F">
        <w:rPr>
          <w:rFonts w:ascii="Times New Roman" w:eastAsiaTheme="minorEastAsia" w:hAnsi="Times New Roman" w:cs="Times New Roman"/>
          <w:snapToGrid w:val="0"/>
          <w:kern w:val="18"/>
          <w:sz w:val="20"/>
          <w:szCs w:val="20"/>
          <w:lang w:val="en-GB" w:eastAsia="zh-CN"/>
        </w:rPr>
        <w:t>、信息管理员、信息系统专家和</w:t>
      </w:r>
      <w:hyperlink r:id="rId82" w:tooltip="Records manager" w:history="1">
        <w:r w:rsidRPr="00650F1F">
          <w:rPr>
            <w:rFonts w:ascii="Times New Roman" w:eastAsiaTheme="minorEastAsia" w:hAnsi="Times New Roman" w:cs="Times New Roman"/>
            <w:color w:val="0000FF"/>
            <w:kern w:val="18"/>
            <w:sz w:val="20"/>
            <w:szCs w:val="20"/>
            <w:u w:val="single"/>
            <w:lang w:val="en-GB" w:eastAsia="zh-CN"/>
          </w:rPr>
          <w:t>记录管理员</w:t>
        </w:r>
      </w:hyperlink>
      <w:r w:rsidRPr="00650F1F">
        <w:rPr>
          <w:rFonts w:ascii="Times New Roman" w:eastAsiaTheme="minorEastAsia" w:hAnsi="Times New Roman" w:cs="Times New Roman"/>
          <w:iCs/>
          <w:kern w:val="18"/>
          <w:sz w:val="20"/>
          <w:szCs w:val="20"/>
          <w:lang w:val="en-GB" w:eastAsia="zh-CN"/>
        </w:rPr>
        <w:t>。（见图书馆和信息专业人员导言，作者：</w:t>
      </w:r>
      <w:r w:rsidRPr="00650F1F">
        <w:rPr>
          <w:rFonts w:ascii="Times New Roman" w:eastAsiaTheme="minorEastAsia" w:hAnsi="Times New Roman" w:cs="Times New Roman"/>
          <w:kern w:val="18"/>
          <w:sz w:val="20"/>
          <w:szCs w:val="20"/>
          <w:lang w:val="en-GB" w:eastAsia="zh-CN"/>
        </w:rPr>
        <w:t>Roger C. Greer, Robert J. Grover, Susan G. Fowler</w:t>
      </w:r>
      <w:r w:rsidRPr="00650F1F">
        <w:rPr>
          <w:rFonts w:ascii="Times New Roman" w:eastAsiaTheme="minorEastAsia" w:hAnsi="Times New Roman" w:cs="Times New Roman"/>
          <w:kern w:val="18"/>
          <w:sz w:val="20"/>
          <w:szCs w:val="20"/>
          <w:lang w:val="en-GB" w:eastAsia="zh-CN"/>
        </w:rPr>
        <w:t>，第</w:t>
      </w:r>
      <w:r w:rsidRPr="00650F1F">
        <w:rPr>
          <w:rFonts w:ascii="Times New Roman" w:eastAsiaTheme="minorEastAsia" w:hAnsi="Times New Roman" w:cs="Times New Roman"/>
          <w:kern w:val="18"/>
          <w:sz w:val="20"/>
          <w:szCs w:val="20"/>
          <w:lang w:val="en-GB" w:eastAsia="zh-CN"/>
        </w:rPr>
        <w:t>12-15</w:t>
      </w:r>
      <w:r w:rsidRPr="00650F1F">
        <w:rPr>
          <w:rFonts w:ascii="Times New Roman" w:eastAsiaTheme="minorEastAsia" w:hAnsi="Times New Roman" w:cs="Times New Roman"/>
          <w:kern w:val="18"/>
          <w:sz w:val="20"/>
          <w:szCs w:val="20"/>
          <w:lang w:val="en-GB" w:eastAsia="zh-CN"/>
        </w:rPr>
        <w:t>页）</w:t>
      </w:r>
      <w:r w:rsidRPr="00650F1F">
        <w:rPr>
          <w:rFonts w:ascii="Times New Roman" w:eastAsiaTheme="minorEastAsia" w:hAnsi="Times New Roman" w:cs="Times New Roman"/>
          <w:snapToGrid w:val="0"/>
          <w:kern w:val="18"/>
          <w:sz w:val="20"/>
          <w:szCs w:val="20"/>
          <w:lang w:val="en-GB" w:eastAsia="zh-CN"/>
        </w:rPr>
        <w:t>。信息专业人员在各种私人、公共和学术机构工作。</w:t>
      </w:r>
    </w:p>
  </w:footnote>
  <w:footnote w:id="194">
    <w:p w:rsidR="00594C0B" w:rsidRPr="00650F1F" w:rsidRDefault="00594C0B" w:rsidP="00235140">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235140">
        <w:rPr>
          <w:rStyle w:val="FootnoteReference"/>
          <w:rFonts w:eastAsiaTheme="minorEastAsia"/>
          <w:snapToGrid w:val="0"/>
          <w:kern w:val="18"/>
          <w:sz w:val="24"/>
          <w:u w:val="none"/>
          <w:vertAlign w:val="superscript"/>
          <w:lang w:val="en-CA" w:eastAsia="en-CA"/>
        </w:rPr>
        <w:footnoteRef/>
      </w:r>
      <w:r w:rsidRPr="00235140">
        <w:rPr>
          <w:rStyle w:val="FootnoteReference"/>
          <w:rFonts w:eastAsiaTheme="minorEastAsia"/>
          <w:snapToGrid w:val="0"/>
          <w:kern w:val="18"/>
          <w:sz w:val="24"/>
          <w:u w:val="none"/>
          <w:vertAlign w:val="superscript"/>
          <w:lang w:val="en-CA"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第</w:t>
      </w:r>
      <w:r w:rsidRPr="00650F1F">
        <w:rPr>
          <w:rFonts w:eastAsiaTheme="minorEastAsia"/>
          <w:snapToGrid w:val="0"/>
          <w:kern w:val="18"/>
          <w:sz w:val="20"/>
          <w:szCs w:val="20"/>
          <w:lang w:eastAsia="zh-CN"/>
        </w:rPr>
        <w:t>8(j)</w:t>
      </w:r>
      <w:r w:rsidRPr="00650F1F">
        <w:rPr>
          <w:rFonts w:eastAsiaTheme="minorEastAsia"/>
          <w:snapToGrid w:val="0"/>
          <w:kern w:val="18"/>
          <w:sz w:val="20"/>
          <w:szCs w:val="20"/>
          <w:lang w:eastAsia="zh-CN"/>
        </w:rPr>
        <w:t>条要求缔约方，</w:t>
      </w:r>
      <w:r w:rsidRPr="00650F1F">
        <w:rPr>
          <w:rFonts w:eastAsiaTheme="minorEastAsia"/>
          <w:sz w:val="20"/>
          <w:szCs w:val="20"/>
          <w:lang w:eastAsia="zh-CN"/>
        </w:rPr>
        <w:t>依照国家法律，尊重、保存和维持体现土著和地方社区传统生活方式而与生物多样性的保护和持续利用相关的知识、创新和实践并促进其广泛应用，由此等知识、创新和实践的拥有者认可和参与下并鼓励公平地分享因利用此种知识、创新和做法所产生的惠益</w:t>
      </w:r>
      <w:r w:rsidRPr="00650F1F">
        <w:rPr>
          <w:rFonts w:eastAsiaTheme="minorEastAsia"/>
          <w:snapToGrid w:val="0"/>
          <w:kern w:val="22"/>
          <w:sz w:val="20"/>
          <w:szCs w:val="20"/>
          <w:lang w:eastAsia="zh-CN"/>
        </w:rPr>
        <w:t>。</w:t>
      </w:r>
    </w:p>
  </w:footnote>
  <w:footnote w:id="195">
    <w:p w:rsidR="00594C0B" w:rsidRPr="00650F1F" w:rsidRDefault="00594C0B" w:rsidP="00235140">
      <w:pPr>
        <w:suppressLineNumbers/>
        <w:tabs>
          <w:tab w:val="left" w:pos="360"/>
        </w:tabs>
        <w:suppressAutoHyphens/>
        <w:autoSpaceDE w:val="0"/>
        <w:autoSpaceDN w:val="0"/>
        <w:adjustRightInd w:val="0"/>
        <w:snapToGrid w:val="0"/>
        <w:spacing w:before="0" w:after="60"/>
        <w:ind w:firstLine="0"/>
        <w:rPr>
          <w:rFonts w:eastAsiaTheme="minorEastAsia"/>
          <w:iCs/>
          <w:snapToGrid w:val="0"/>
          <w:kern w:val="18"/>
          <w:sz w:val="20"/>
          <w:szCs w:val="20"/>
          <w:lang w:eastAsia="en-GB"/>
        </w:rPr>
      </w:pPr>
      <w:r w:rsidRPr="00235140">
        <w:rPr>
          <w:rStyle w:val="FootnoteReference"/>
          <w:rFonts w:eastAsiaTheme="minorEastAsia"/>
          <w:snapToGrid w:val="0"/>
          <w:kern w:val="18"/>
          <w:sz w:val="24"/>
          <w:u w:val="none"/>
          <w:vertAlign w:val="superscript"/>
          <w:lang w:val="en-CA" w:eastAsia="en-CA"/>
        </w:rPr>
        <w:footnoteRef/>
      </w:r>
      <w:r w:rsidRPr="00235140">
        <w:rPr>
          <w:rStyle w:val="FootnoteReference"/>
          <w:rFonts w:eastAsiaTheme="minorEastAsia"/>
          <w:snapToGrid w:val="0"/>
          <w:kern w:val="18"/>
          <w:sz w:val="24"/>
          <w:u w:val="none"/>
          <w:vertAlign w:val="superscript"/>
          <w:lang w:val="en-CA" w:eastAsia="en-CA"/>
        </w:rPr>
        <w:t xml:space="preserve"> </w:t>
      </w:r>
      <w:r w:rsidRPr="00235140">
        <w:rPr>
          <w:rStyle w:val="FootnoteReference"/>
          <w:rFonts w:eastAsiaTheme="minorEastAsia"/>
          <w:snapToGrid w:val="0"/>
          <w:kern w:val="18"/>
          <w:sz w:val="24"/>
          <w:u w:val="none"/>
          <w:vertAlign w:val="superscript"/>
          <w:lang w:val="en-CA" w:eastAsia="en-CA"/>
        </w:rPr>
        <w:tab/>
      </w:r>
      <w:r w:rsidRPr="00650F1F">
        <w:rPr>
          <w:rFonts w:eastAsiaTheme="minorEastAsia"/>
          <w:snapToGrid w:val="0"/>
          <w:kern w:val="18"/>
          <w:sz w:val="20"/>
          <w:szCs w:val="20"/>
        </w:rPr>
        <w:t>见第</w:t>
      </w:r>
      <w:r w:rsidRPr="00650F1F">
        <w:rPr>
          <w:rFonts w:eastAsiaTheme="minorEastAsia"/>
          <w:iCs/>
          <w:snapToGrid w:val="0"/>
          <w:kern w:val="18"/>
          <w:sz w:val="20"/>
          <w:szCs w:val="20"/>
          <w:lang w:eastAsia="en-GB"/>
        </w:rPr>
        <w:t>X/42</w:t>
      </w:r>
      <w:r w:rsidRPr="00650F1F">
        <w:rPr>
          <w:rFonts w:eastAsiaTheme="minorEastAsia"/>
          <w:iCs/>
          <w:snapToGrid w:val="0"/>
          <w:kern w:val="18"/>
          <w:sz w:val="20"/>
          <w:szCs w:val="20"/>
        </w:rPr>
        <w:t>号决定通过的</w:t>
      </w:r>
      <w:r w:rsidRPr="00650F1F">
        <w:rPr>
          <w:rFonts w:eastAsiaTheme="minorEastAsia"/>
          <w:snapToGrid w:val="0"/>
          <w:kern w:val="18"/>
          <w:sz w:val="20"/>
          <w:szCs w:val="20"/>
        </w:rPr>
        <w:t>《</w:t>
      </w:r>
      <w:r w:rsidRPr="00650F1F">
        <w:rPr>
          <w:rFonts w:eastAsiaTheme="minorEastAsia"/>
          <w:bCs/>
          <w:sz w:val="20"/>
          <w:szCs w:val="20"/>
        </w:rPr>
        <w:t>尊重土著和地方社区与保护和可持续利用生物多样性相关的文化和知识遗产的特加里瓦伊埃里道德行为守则》中关于互惠原则的第</w:t>
      </w:r>
      <w:r w:rsidRPr="00650F1F">
        <w:rPr>
          <w:rFonts w:eastAsiaTheme="minorEastAsia"/>
          <w:bCs/>
          <w:sz w:val="20"/>
          <w:szCs w:val="20"/>
        </w:rPr>
        <w:t>32</w:t>
      </w:r>
      <w:r w:rsidRPr="00650F1F">
        <w:rPr>
          <w:rFonts w:eastAsiaTheme="minorEastAsia"/>
          <w:bCs/>
          <w:sz w:val="20"/>
          <w:szCs w:val="20"/>
        </w:rPr>
        <w:t>段，可查阅：</w:t>
      </w:r>
      <w:hyperlink r:id="rId83" w:history="1">
        <w:r w:rsidRPr="00650F1F">
          <w:rPr>
            <w:rStyle w:val="Hyperlink"/>
            <w:rFonts w:eastAsiaTheme="minorEastAsia"/>
          </w:rPr>
          <w:t>https://www.cbd.int/doc/publications/ethicalconduct-brochure-en.pdf</w:t>
        </w:r>
      </w:hyperlink>
      <w:r w:rsidRPr="00650F1F">
        <w:rPr>
          <w:rFonts w:eastAsiaTheme="minorEastAsia"/>
          <w:snapToGrid w:val="0"/>
          <w:kern w:val="18"/>
          <w:sz w:val="20"/>
          <w:szCs w:val="20"/>
        </w:rPr>
        <w:t>。</w:t>
      </w:r>
    </w:p>
  </w:footnote>
  <w:footnote w:id="196">
    <w:p w:rsidR="00594C0B" w:rsidRPr="00650F1F" w:rsidRDefault="00594C0B" w:rsidP="00235140">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235140">
        <w:rPr>
          <w:rStyle w:val="FootnoteReference"/>
          <w:rFonts w:eastAsiaTheme="minorEastAsia"/>
          <w:snapToGrid w:val="0"/>
          <w:kern w:val="18"/>
          <w:sz w:val="24"/>
          <w:u w:val="none"/>
          <w:vertAlign w:val="superscript"/>
          <w:lang w:val="en-CA" w:eastAsia="en-CA"/>
        </w:rPr>
        <w:footnoteRef/>
      </w:r>
      <w:r w:rsidRPr="00235140">
        <w:rPr>
          <w:rStyle w:val="FootnoteReference"/>
          <w:rFonts w:eastAsiaTheme="minorEastAsia"/>
          <w:snapToGrid w:val="0"/>
          <w:kern w:val="18"/>
          <w:sz w:val="24"/>
          <w:u w:val="none"/>
          <w:vertAlign w:val="superscript"/>
          <w:lang w:val="en-CA"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以及有关信息或补充信息</w:t>
      </w:r>
      <w:r w:rsidRPr="00650F1F">
        <w:rPr>
          <w:rFonts w:eastAsiaTheme="minorEastAsia"/>
          <w:iCs/>
          <w:snapToGrid w:val="0"/>
          <w:color w:val="000000"/>
          <w:kern w:val="18"/>
          <w:sz w:val="20"/>
          <w:szCs w:val="20"/>
          <w:lang w:eastAsia="zh-CN"/>
        </w:rPr>
        <w:t>。</w:t>
      </w:r>
    </w:p>
  </w:footnote>
  <w:footnote w:id="197">
    <w:p w:rsidR="00594C0B" w:rsidRPr="00650F1F" w:rsidRDefault="00594C0B" w:rsidP="00235140">
      <w:pPr>
        <w:pStyle w:val="FootnoteText"/>
        <w:suppressLineNumbers/>
        <w:tabs>
          <w:tab w:val="left" w:pos="360"/>
        </w:tabs>
        <w:suppressAutoHyphens/>
        <w:kinsoku w:val="0"/>
        <w:overflowPunct w:val="0"/>
        <w:autoSpaceDE w:val="0"/>
        <w:autoSpaceDN w:val="0"/>
        <w:adjustRightInd w:val="0"/>
        <w:snapToGrid w:val="0"/>
        <w:spacing w:before="0"/>
        <w:ind w:firstLine="0"/>
        <w:rPr>
          <w:rFonts w:eastAsiaTheme="minorEastAsia"/>
          <w:snapToGrid w:val="0"/>
          <w:kern w:val="18"/>
          <w:sz w:val="20"/>
          <w:szCs w:val="20"/>
          <w:lang w:eastAsia="zh-CN"/>
        </w:rPr>
      </w:pPr>
      <w:r w:rsidRPr="00235140">
        <w:rPr>
          <w:rStyle w:val="FootnoteReference"/>
          <w:rFonts w:eastAsiaTheme="minorEastAsia"/>
          <w:snapToGrid w:val="0"/>
          <w:kern w:val="18"/>
          <w:sz w:val="24"/>
          <w:u w:val="none"/>
          <w:vertAlign w:val="superscript"/>
          <w:lang w:val="en-CA" w:eastAsia="en-CA"/>
        </w:rPr>
        <w:footnoteRef/>
      </w:r>
      <w:r w:rsidRPr="00235140">
        <w:rPr>
          <w:rStyle w:val="FootnoteReference"/>
          <w:rFonts w:eastAsiaTheme="minorEastAsia"/>
          <w:snapToGrid w:val="0"/>
          <w:kern w:val="18"/>
          <w:sz w:val="24"/>
          <w:u w:val="none"/>
          <w:vertAlign w:val="superscript"/>
          <w:lang w:val="en-CA"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见</w:t>
      </w:r>
      <w:hyperlink r:id="rId84" w:history="1">
        <w:r w:rsidRPr="00650F1F">
          <w:rPr>
            <w:rStyle w:val="Hyperlink"/>
            <w:rFonts w:eastAsiaTheme="minorEastAsia"/>
            <w:lang w:eastAsia="zh-CN"/>
          </w:rPr>
          <w:t>第</w:t>
        </w:r>
        <w:r w:rsidRPr="00650F1F">
          <w:rPr>
            <w:rStyle w:val="Hyperlink"/>
            <w:rFonts w:eastAsiaTheme="minorEastAsia"/>
            <w:lang w:eastAsia="zh-CN"/>
          </w:rPr>
          <w:t xml:space="preserve"> X/42</w:t>
        </w:r>
        <w:r w:rsidRPr="00650F1F">
          <w:rPr>
            <w:rStyle w:val="Hyperlink"/>
            <w:rFonts w:eastAsiaTheme="minorEastAsia"/>
            <w:lang w:eastAsia="zh-CN"/>
          </w:rPr>
          <w:t>号决定</w:t>
        </w:r>
      </w:hyperlink>
      <w:r w:rsidRPr="00650F1F">
        <w:rPr>
          <w:rFonts w:eastAsiaTheme="minorEastAsia"/>
          <w:snapToGrid w:val="0"/>
          <w:kern w:val="18"/>
          <w:sz w:val="20"/>
          <w:szCs w:val="20"/>
          <w:lang w:eastAsia="zh-CN"/>
        </w:rPr>
        <w:t>。</w:t>
      </w:r>
    </w:p>
  </w:footnote>
  <w:footnote w:id="198">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235140">
        <w:rPr>
          <w:rStyle w:val="FootnoteReference"/>
          <w:rFonts w:eastAsiaTheme="minorEastAsia"/>
          <w:snapToGrid w:val="0"/>
          <w:kern w:val="18"/>
          <w:sz w:val="24"/>
          <w:u w:val="none"/>
          <w:vertAlign w:val="superscript"/>
          <w:lang w:val="en-CA" w:eastAsia="en-CA"/>
        </w:rPr>
        <w:footnoteRef/>
      </w:r>
      <w:r w:rsidRPr="00235140">
        <w:rPr>
          <w:rStyle w:val="FootnoteReference"/>
          <w:rFonts w:eastAsiaTheme="minorEastAsia"/>
          <w:snapToGrid w:val="0"/>
          <w:kern w:val="18"/>
          <w:sz w:val="24"/>
          <w:szCs w:val="20"/>
          <w:u w:val="none"/>
          <w:lang w:eastAsia="zh-CN"/>
        </w:rPr>
        <w:t xml:space="preserve"> </w:t>
      </w:r>
      <w:r w:rsidRPr="00235140">
        <w:rPr>
          <w:rFonts w:eastAsiaTheme="minorEastAsia"/>
          <w:snapToGrid w:val="0"/>
          <w:kern w:val="18"/>
          <w:sz w:val="20"/>
          <w:szCs w:val="20"/>
          <w:lang w:eastAsia="zh-CN"/>
        </w:rPr>
        <w:tab/>
      </w:r>
      <w:r w:rsidRPr="00650F1F">
        <w:rPr>
          <w:rFonts w:eastAsiaTheme="minorEastAsia"/>
          <w:snapToGrid w:val="0"/>
          <w:kern w:val="18"/>
          <w:sz w:val="20"/>
          <w:szCs w:val="20"/>
          <w:lang w:eastAsia="zh-CN"/>
        </w:rPr>
        <w:t>这是对关于</w:t>
      </w:r>
      <w:r w:rsidRPr="00235140">
        <w:rPr>
          <w:rFonts w:asciiTheme="minorEastAsia" w:eastAsiaTheme="minorEastAsia" w:hAnsiTheme="minorEastAsia"/>
          <w:snapToGrid w:val="0"/>
          <w:kern w:val="18"/>
          <w:sz w:val="20"/>
          <w:szCs w:val="20"/>
          <w:lang w:eastAsia="zh-CN"/>
        </w:rPr>
        <w:t>“准备接受”</w:t>
      </w:r>
      <w:r w:rsidRPr="00650F1F">
        <w:rPr>
          <w:rFonts w:eastAsiaTheme="minorEastAsia"/>
          <w:snapToGrid w:val="0"/>
          <w:kern w:val="18"/>
          <w:sz w:val="20"/>
          <w:szCs w:val="20"/>
          <w:lang w:eastAsia="zh-CN"/>
        </w:rPr>
        <w:t>的程序性考虑</w:t>
      </w:r>
      <w:r w:rsidRPr="00650F1F">
        <w:rPr>
          <w:rFonts w:eastAsiaTheme="minorEastAsia"/>
          <w:snapToGrid w:val="0"/>
          <w:kern w:val="18"/>
          <w:sz w:val="20"/>
          <w:szCs w:val="20"/>
          <w:lang w:eastAsia="zh-CN"/>
        </w:rPr>
        <w:t>7</w:t>
      </w:r>
      <w:r w:rsidRPr="00650F1F">
        <w:rPr>
          <w:rFonts w:eastAsiaTheme="minorEastAsia"/>
          <w:snapToGrid w:val="0"/>
          <w:kern w:val="18"/>
          <w:sz w:val="20"/>
          <w:szCs w:val="20"/>
          <w:lang w:eastAsia="zh-CN"/>
        </w:rPr>
        <w:t>的补充。</w:t>
      </w:r>
    </w:p>
  </w:footnote>
  <w:footnote w:id="199">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235140">
        <w:rPr>
          <w:rStyle w:val="FootnoteReference"/>
          <w:rFonts w:eastAsiaTheme="minorEastAsia"/>
          <w:snapToGrid w:val="0"/>
          <w:kern w:val="18"/>
          <w:sz w:val="24"/>
          <w:u w:val="none"/>
          <w:vertAlign w:val="superscript"/>
          <w:lang w:val="en-CA" w:eastAsia="en-CA"/>
        </w:rPr>
        <w:footnoteRef/>
      </w:r>
      <w:r w:rsidRPr="00235140">
        <w:rPr>
          <w:rStyle w:val="FootnoteReference"/>
          <w:rFonts w:eastAsiaTheme="minorEastAsia"/>
          <w:snapToGrid w:val="0"/>
          <w:kern w:val="18"/>
          <w:sz w:val="24"/>
          <w:u w:val="none"/>
          <w:vertAlign w:val="superscript"/>
          <w:lang w:val="en-CA"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请注意有形文化遗产，比如文物以及人体遗骸，是教文科组织的任务。</w:t>
      </w:r>
    </w:p>
  </w:footnote>
  <w:footnote w:id="200">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235140">
        <w:rPr>
          <w:rStyle w:val="FootnoteReference"/>
          <w:rFonts w:eastAsiaTheme="minorEastAsia"/>
          <w:snapToGrid w:val="0"/>
          <w:kern w:val="18"/>
          <w:sz w:val="24"/>
          <w:u w:val="none"/>
          <w:vertAlign w:val="superscript"/>
          <w:lang w:val="en-CA" w:eastAsia="en-CA"/>
        </w:rPr>
        <w:footnoteRef/>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传统知识和有关或补充知识。</w:t>
      </w:r>
    </w:p>
  </w:footnote>
  <w:footnote w:id="201">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235140">
        <w:rPr>
          <w:rStyle w:val="FootnoteReference"/>
          <w:rFonts w:eastAsiaTheme="minorEastAsia"/>
          <w:snapToGrid w:val="0"/>
          <w:kern w:val="18"/>
          <w:sz w:val="24"/>
          <w:u w:val="none"/>
          <w:vertAlign w:val="superscript"/>
          <w:lang w:val="en-CA" w:eastAsia="en-CA"/>
        </w:rPr>
        <w:footnoteRef/>
      </w:r>
      <w:r w:rsidRPr="00235140">
        <w:rPr>
          <w:rStyle w:val="FootnoteReference"/>
          <w:rFonts w:eastAsiaTheme="minorEastAsia"/>
          <w:snapToGrid w:val="0"/>
          <w:kern w:val="18"/>
          <w:sz w:val="24"/>
          <w:u w:val="none"/>
          <w:vertAlign w:val="superscript"/>
          <w:lang w:val="en-CA" w:eastAsia="zh-CN"/>
        </w:rPr>
        <w:t xml:space="preserve"> </w:t>
      </w:r>
      <w:r w:rsidRPr="00235140">
        <w:rPr>
          <w:rFonts w:eastAsiaTheme="minorEastAsia"/>
          <w:snapToGrid w:val="0"/>
          <w:kern w:val="18"/>
          <w:sz w:val="20"/>
          <w:szCs w:val="20"/>
          <w:lang w:eastAsia="zh-CN"/>
        </w:rPr>
        <w:tab/>
      </w:r>
      <w:hyperlink r:id="rId85" w:history="1">
        <w:r w:rsidRPr="00650F1F">
          <w:rPr>
            <w:rStyle w:val="Hyperlink"/>
            <w:rFonts w:eastAsiaTheme="minorEastAsia"/>
            <w:kern w:val="18"/>
            <w:lang w:eastAsia="zh-CN"/>
          </w:rPr>
          <w:t>第</w:t>
        </w:r>
        <w:r w:rsidRPr="00650F1F">
          <w:rPr>
            <w:rStyle w:val="Hyperlink"/>
            <w:rFonts w:eastAsiaTheme="minorEastAsia"/>
            <w:kern w:val="18"/>
            <w:lang w:eastAsia="zh-CN"/>
          </w:rPr>
          <w:t>XI/14 D</w:t>
        </w:r>
        <w:r w:rsidRPr="00650F1F">
          <w:rPr>
            <w:rStyle w:val="Hyperlink"/>
            <w:rFonts w:eastAsiaTheme="minorEastAsia"/>
            <w:kern w:val="18"/>
            <w:lang w:eastAsia="zh-CN"/>
          </w:rPr>
          <w:t>号决定</w:t>
        </w:r>
      </w:hyperlink>
      <w:r w:rsidRPr="00650F1F">
        <w:rPr>
          <w:rFonts w:eastAsiaTheme="minorEastAsia"/>
          <w:snapToGrid w:val="0"/>
          <w:kern w:val="18"/>
          <w:sz w:val="20"/>
          <w:szCs w:val="20"/>
          <w:lang w:eastAsia="zh-CN"/>
        </w:rPr>
        <w:t>通过的职责范围规定，</w:t>
      </w:r>
      <w:r w:rsidRPr="00650F1F">
        <w:rPr>
          <w:rFonts w:eastAsiaTheme="minorEastAsia"/>
          <w:color w:val="000000"/>
          <w:sz w:val="20"/>
          <w:szCs w:val="20"/>
          <w:lang w:eastAsia="zh-CN"/>
        </w:rPr>
        <w:t>任务</w:t>
      </w:r>
      <w:r w:rsidRPr="00650F1F">
        <w:rPr>
          <w:rFonts w:eastAsiaTheme="minorEastAsia"/>
          <w:color w:val="000000"/>
          <w:sz w:val="20"/>
          <w:szCs w:val="20"/>
          <w:lang w:eastAsia="zh-CN"/>
        </w:rPr>
        <w:t>15</w:t>
      </w:r>
      <w:r w:rsidRPr="00650F1F">
        <w:rPr>
          <w:rFonts w:eastAsiaTheme="minorEastAsia"/>
          <w:color w:val="000000"/>
          <w:sz w:val="20"/>
          <w:szCs w:val="20"/>
          <w:lang w:eastAsia="zh-CN"/>
        </w:rPr>
        <w:t>的目的是根据《生物多样性公约》第</w:t>
      </w:r>
      <w:r w:rsidRPr="00650F1F">
        <w:rPr>
          <w:rFonts w:eastAsiaTheme="minorEastAsia"/>
          <w:color w:val="000000"/>
          <w:sz w:val="20"/>
          <w:szCs w:val="20"/>
          <w:lang w:eastAsia="zh-CN"/>
        </w:rPr>
        <w:t>8(j)</w:t>
      </w:r>
      <w:r w:rsidRPr="00650F1F">
        <w:rPr>
          <w:rFonts w:eastAsiaTheme="minorEastAsia"/>
          <w:color w:val="000000"/>
          <w:sz w:val="20"/>
          <w:szCs w:val="20"/>
          <w:lang w:eastAsia="zh-CN"/>
        </w:rPr>
        <w:t>条和第</w:t>
      </w:r>
      <w:r w:rsidRPr="00650F1F">
        <w:rPr>
          <w:rFonts w:eastAsiaTheme="minorEastAsia"/>
          <w:color w:val="000000"/>
          <w:sz w:val="20"/>
          <w:szCs w:val="20"/>
          <w:lang w:eastAsia="zh-CN"/>
        </w:rPr>
        <w:t>17</w:t>
      </w:r>
      <w:r w:rsidRPr="00650F1F">
        <w:rPr>
          <w:rFonts w:eastAsiaTheme="minorEastAsia"/>
          <w:color w:val="000000"/>
          <w:sz w:val="20"/>
          <w:szCs w:val="20"/>
          <w:lang w:eastAsia="zh-CN"/>
        </w:rPr>
        <w:t>条第</w:t>
      </w:r>
      <w:r w:rsidRPr="00650F1F">
        <w:rPr>
          <w:rFonts w:eastAsiaTheme="minorEastAsia"/>
          <w:color w:val="000000"/>
          <w:sz w:val="20"/>
          <w:szCs w:val="20"/>
          <w:lang w:eastAsia="zh-CN"/>
        </w:rPr>
        <w:t>2</w:t>
      </w:r>
      <w:r w:rsidRPr="00650F1F">
        <w:rPr>
          <w:rFonts w:eastAsiaTheme="minorEastAsia"/>
          <w:color w:val="000000"/>
          <w:sz w:val="20"/>
          <w:szCs w:val="20"/>
          <w:lang w:eastAsia="zh-CN"/>
        </w:rPr>
        <w:t>款，制订最佳做法的准则，以帮助扩大返还与保护和可持续利用生物多样性相关的土著和传统知识，包括与文化财产有关的土著和传统知识，以便利恢复生物多样性传统知识。</w:t>
      </w:r>
    </w:p>
  </w:footnote>
  <w:footnote w:id="202">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235140">
        <w:rPr>
          <w:rStyle w:val="FootnoteReference"/>
          <w:rFonts w:eastAsiaTheme="minorEastAsia"/>
          <w:snapToGrid w:val="0"/>
          <w:kern w:val="18"/>
          <w:sz w:val="24"/>
          <w:u w:val="none"/>
          <w:vertAlign w:val="superscript"/>
          <w:lang w:val="en-CA" w:eastAsia="en-CA"/>
        </w:rPr>
        <w:footnoteRef/>
      </w:r>
      <w:r w:rsidRPr="00235140">
        <w:rPr>
          <w:rStyle w:val="FootnoteReference"/>
          <w:rFonts w:eastAsiaTheme="minorEastAsia"/>
          <w:snapToGrid w:val="0"/>
          <w:kern w:val="18"/>
          <w:sz w:val="24"/>
          <w:u w:val="none"/>
          <w:vertAlign w:val="superscript"/>
          <w:lang w:val="en-CA" w:eastAsia="zh-CN"/>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可能包括其他国家或跨界情况下持有的传统知识（比如外借或收藏）。</w:t>
      </w:r>
    </w:p>
  </w:footnote>
  <w:footnote w:id="203">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235140">
        <w:rPr>
          <w:rStyle w:val="FootnoteReference"/>
          <w:rFonts w:eastAsiaTheme="minorEastAsia"/>
          <w:snapToGrid w:val="0"/>
          <w:kern w:val="18"/>
          <w:sz w:val="24"/>
          <w:u w:val="none"/>
          <w:vertAlign w:val="superscript"/>
          <w:lang w:val="en-CA" w:eastAsia="en-CA"/>
        </w:rPr>
        <w:footnoteRef/>
      </w:r>
      <w:r w:rsidRPr="00235140">
        <w:rPr>
          <w:rStyle w:val="FootnoteReference"/>
          <w:rFonts w:eastAsiaTheme="minorEastAsia"/>
          <w:snapToGrid w:val="0"/>
          <w:kern w:val="18"/>
          <w:sz w:val="24"/>
          <w:u w:val="none"/>
          <w:vertAlign w:val="superscript"/>
          <w:lang w:val="en-CA" w:eastAsia="zh-CN"/>
        </w:rPr>
        <w:t xml:space="preserve"> </w:t>
      </w:r>
      <w:r w:rsidRPr="00235140">
        <w:rPr>
          <w:rStyle w:val="FootnoteReference"/>
          <w:sz w:val="24"/>
          <w:u w:val="none"/>
          <w:vertAlign w:val="superscript"/>
          <w:lang w:val="en-CA" w:eastAsia="zh-CN"/>
        </w:rPr>
        <w:tab/>
      </w:r>
      <w:r w:rsidRPr="00650F1F">
        <w:rPr>
          <w:rFonts w:eastAsiaTheme="minorEastAsia"/>
          <w:snapToGrid w:val="0"/>
          <w:kern w:val="18"/>
          <w:sz w:val="20"/>
          <w:szCs w:val="20"/>
          <w:lang w:eastAsia="zh-CN"/>
        </w:rPr>
        <w:t>这可通过第一步</w:t>
      </w:r>
      <w:r w:rsidRPr="00235140">
        <w:rPr>
          <w:rFonts w:asciiTheme="minorEastAsia" w:eastAsiaTheme="minorEastAsia" w:hAnsiTheme="minorEastAsia"/>
          <w:snapToGrid w:val="0"/>
          <w:kern w:val="18"/>
          <w:sz w:val="20"/>
          <w:szCs w:val="20"/>
          <w:lang w:eastAsia="zh-CN"/>
        </w:rPr>
        <w:t>“建立一个包含土著人民和地方社区返还代表的团队”来实现</w:t>
      </w:r>
      <w:r w:rsidRPr="00650F1F">
        <w:rPr>
          <w:rFonts w:eastAsiaTheme="minorEastAsia"/>
          <w:snapToGrid w:val="0"/>
          <w:kern w:val="18"/>
          <w:sz w:val="20"/>
          <w:szCs w:val="20"/>
          <w:lang w:eastAsia="zh-CN"/>
        </w:rPr>
        <w:t>。</w:t>
      </w:r>
    </w:p>
  </w:footnote>
  <w:footnote w:id="204">
    <w:p w:rsidR="00594C0B" w:rsidRPr="00235140" w:rsidRDefault="00594C0B" w:rsidP="00650F1F">
      <w:pPr>
        <w:pStyle w:val="FootnoteText"/>
        <w:suppressLineNumbers/>
        <w:tabs>
          <w:tab w:val="left" w:pos="360"/>
        </w:tabs>
        <w:suppressAutoHyphens/>
        <w:adjustRightInd w:val="0"/>
        <w:snapToGrid w:val="0"/>
        <w:spacing w:before="0"/>
        <w:ind w:firstLine="0"/>
        <w:rPr>
          <w:rFonts w:asciiTheme="minorEastAsia" w:eastAsiaTheme="minorEastAsia" w:hAnsiTheme="minorEastAsia"/>
          <w:snapToGrid w:val="0"/>
          <w:kern w:val="18"/>
          <w:sz w:val="20"/>
          <w:szCs w:val="20"/>
          <w:lang w:eastAsia="zh-CN"/>
        </w:rPr>
      </w:pPr>
      <w:r w:rsidRPr="00235140">
        <w:rPr>
          <w:rStyle w:val="FootnoteReference"/>
          <w:rFonts w:eastAsiaTheme="minorEastAsia"/>
          <w:snapToGrid w:val="0"/>
          <w:kern w:val="18"/>
          <w:sz w:val="24"/>
          <w:u w:val="none"/>
          <w:vertAlign w:val="superscript"/>
          <w:lang w:val="en-CA" w:eastAsia="en-CA"/>
        </w:rPr>
        <w:footnoteRef/>
      </w:r>
      <w:r w:rsidRPr="00235140">
        <w:rPr>
          <w:rStyle w:val="FootnoteReference"/>
          <w:snapToGrid w:val="0"/>
          <w:kern w:val="18"/>
          <w:sz w:val="24"/>
          <w:u w:val="none"/>
          <w:vertAlign w:val="superscript"/>
          <w:lang w:val="en-CA" w:eastAsia="zh-CN"/>
        </w:rPr>
        <w:tab/>
      </w:r>
      <w:r w:rsidRPr="00235140">
        <w:rPr>
          <w:rFonts w:asciiTheme="minorEastAsia" w:eastAsiaTheme="minorEastAsia" w:hAnsiTheme="minorEastAsia"/>
          <w:snapToGrid w:val="0"/>
          <w:kern w:val="18"/>
          <w:sz w:val="20"/>
          <w:szCs w:val="20"/>
          <w:lang w:eastAsia="zh-CN"/>
        </w:rPr>
        <w:t>要返还的传统知识可能包括“有关或补充信息”。</w:t>
      </w:r>
    </w:p>
  </w:footnote>
  <w:footnote w:id="205">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83788E">
        <w:rPr>
          <w:rStyle w:val="FootnoteReference"/>
          <w:rFonts w:eastAsiaTheme="minorEastAsia"/>
          <w:snapToGrid w:val="0"/>
          <w:kern w:val="18"/>
          <w:sz w:val="24"/>
          <w:u w:val="none"/>
          <w:vertAlign w:val="superscript"/>
          <w:lang w:val="en-CA" w:eastAsia="en-CA"/>
        </w:rPr>
        <w:footnoteRef/>
      </w:r>
      <w:r w:rsidRPr="0083788E">
        <w:rPr>
          <w:rStyle w:val="FootnoteReference"/>
          <w:rFonts w:eastAsiaTheme="minorEastAsia"/>
          <w:snapToGrid w:val="0"/>
          <w:kern w:val="18"/>
          <w:sz w:val="24"/>
          <w:u w:val="none"/>
          <w:vertAlign w:val="superscript"/>
          <w:lang w:val="en-CA" w:eastAsia="zh-CN"/>
        </w:rPr>
        <w:t xml:space="preserve"> </w:t>
      </w:r>
      <w:r w:rsidRPr="00650F1F">
        <w:rPr>
          <w:rFonts w:eastAsiaTheme="minorEastAsia"/>
          <w:snapToGrid w:val="0"/>
          <w:kern w:val="18"/>
          <w:sz w:val="24"/>
          <w:vertAlign w:val="superscript"/>
          <w:lang w:val="en-CA" w:eastAsia="zh-CN"/>
        </w:rPr>
        <w:t xml:space="preserve">  </w:t>
      </w:r>
      <w:r w:rsidRPr="00650F1F">
        <w:rPr>
          <w:rFonts w:eastAsiaTheme="minorEastAsia"/>
          <w:snapToGrid w:val="0"/>
          <w:kern w:val="18"/>
          <w:sz w:val="20"/>
          <w:szCs w:val="20"/>
          <w:lang w:eastAsia="zh-CN"/>
        </w:rPr>
        <w:t>中可包括缔约方、其他国家政府和其他实体，包括国际组织、博物馆、植物标本馆、动植物园、数据库、登记册、基因库等等。</w:t>
      </w:r>
    </w:p>
  </w:footnote>
  <w:footnote w:id="206">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83788E">
        <w:rPr>
          <w:rStyle w:val="FootnoteReference"/>
          <w:rFonts w:eastAsiaTheme="minorEastAsia"/>
          <w:snapToGrid w:val="0"/>
          <w:kern w:val="18"/>
          <w:sz w:val="24"/>
          <w:u w:val="none"/>
          <w:vertAlign w:val="superscript"/>
          <w:lang w:val="en-CA" w:eastAsia="en-CA"/>
        </w:rPr>
        <w:footnoteRef/>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比如安全数据库。</w:t>
      </w:r>
    </w:p>
  </w:footnote>
  <w:footnote w:id="207">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83788E">
        <w:rPr>
          <w:rStyle w:val="FootnoteReference"/>
          <w:rFonts w:eastAsiaTheme="minorEastAsia"/>
          <w:snapToGrid w:val="0"/>
          <w:kern w:val="18"/>
          <w:sz w:val="24"/>
          <w:u w:val="none"/>
          <w:vertAlign w:val="superscript"/>
          <w:lang w:val="en-CA" w:eastAsia="en-CA"/>
        </w:rPr>
        <w:footnoteRef/>
      </w:r>
      <w:r w:rsidRPr="0083788E">
        <w:rPr>
          <w:rStyle w:val="FootnoteReference"/>
          <w:rFonts w:eastAsiaTheme="minorEastAsia"/>
          <w:snapToGrid w:val="0"/>
          <w:kern w:val="18"/>
          <w:sz w:val="24"/>
          <w:u w:val="none"/>
          <w:vertAlign w:val="superscript"/>
          <w:lang w:val="en-CA" w:eastAsia="zh-CN"/>
        </w:rPr>
        <w:t xml:space="preserve"> </w:t>
      </w:r>
      <w:r w:rsidRPr="0083788E">
        <w:rPr>
          <w:rStyle w:val="FootnoteReference"/>
          <w:sz w:val="24"/>
          <w:u w:val="none"/>
          <w:vertAlign w:val="superscript"/>
          <w:lang w:val="en-CA" w:eastAsia="zh-CN"/>
        </w:rPr>
        <w:tab/>
      </w:r>
      <w:r w:rsidRPr="00650F1F">
        <w:rPr>
          <w:rFonts w:eastAsiaTheme="minorEastAsia"/>
          <w:snapToGrid w:val="0"/>
          <w:kern w:val="18"/>
          <w:sz w:val="20"/>
          <w:szCs w:val="20"/>
          <w:lang w:eastAsia="zh-CN"/>
        </w:rPr>
        <w:t>数字化是将信息转为数字或电子格式的过程。</w:t>
      </w:r>
      <w:r w:rsidRPr="00650F1F">
        <w:rPr>
          <w:rStyle w:val="tgc"/>
          <w:rFonts w:eastAsiaTheme="minorEastAsia"/>
          <w:snapToGrid w:val="0"/>
          <w:color w:val="222222"/>
          <w:kern w:val="18"/>
          <w:sz w:val="20"/>
          <w:szCs w:val="20"/>
          <w:lang w:eastAsia="zh-CN"/>
        </w:rPr>
        <w:t>请注意，文档化和数字化是截然不同的行为。文档化是一种记录方式，通常是将信息写下来，而数字化则是将记录的信息转为电子格式。</w:t>
      </w:r>
    </w:p>
  </w:footnote>
  <w:footnote w:id="208">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83788E">
        <w:rPr>
          <w:rStyle w:val="FootnoteReference"/>
          <w:rFonts w:eastAsiaTheme="minorEastAsia"/>
          <w:snapToGrid w:val="0"/>
          <w:kern w:val="18"/>
          <w:sz w:val="24"/>
          <w:u w:val="none"/>
          <w:vertAlign w:val="superscript"/>
          <w:lang w:val="en-CA" w:eastAsia="en-CA"/>
        </w:rPr>
        <w:footnoteRef/>
      </w:r>
      <w:r w:rsidRPr="0083788E">
        <w:rPr>
          <w:rStyle w:val="FootnoteReference"/>
          <w:rFonts w:eastAsiaTheme="minorEastAsia"/>
          <w:snapToGrid w:val="0"/>
          <w:kern w:val="18"/>
          <w:sz w:val="24"/>
          <w:u w:val="none"/>
          <w:vertAlign w:val="superscript"/>
          <w:lang w:val="en-CA" w:eastAsia="zh-CN"/>
        </w:rPr>
        <w:t xml:space="preserve"> </w:t>
      </w:r>
      <w:r w:rsidRPr="0083788E">
        <w:rPr>
          <w:rStyle w:val="FootnoteReference"/>
          <w:sz w:val="24"/>
          <w:u w:val="none"/>
          <w:vertAlign w:val="superscript"/>
          <w:lang w:val="en-CA" w:eastAsia="zh-CN"/>
        </w:rPr>
        <w:tab/>
      </w:r>
      <w:r w:rsidRPr="00650F1F">
        <w:rPr>
          <w:rFonts w:eastAsiaTheme="minorEastAsia"/>
          <w:snapToGrid w:val="0"/>
          <w:kern w:val="18"/>
          <w:sz w:val="20"/>
          <w:szCs w:val="20"/>
          <w:lang w:eastAsia="zh-CN"/>
        </w:rPr>
        <w:t xml:space="preserve"> </w:t>
      </w:r>
      <w:r w:rsidRPr="00650F1F">
        <w:rPr>
          <w:rFonts w:eastAsiaTheme="minorEastAsia"/>
          <w:snapToGrid w:val="0"/>
          <w:kern w:val="18"/>
          <w:sz w:val="20"/>
          <w:szCs w:val="20"/>
          <w:lang w:eastAsia="zh-CN"/>
        </w:rPr>
        <w:t>见</w:t>
      </w:r>
      <w:r w:rsidRPr="00650F1F">
        <w:rPr>
          <w:rFonts w:eastAsiaTheme="minorEastAsia"/>
          <w:iCs/>
          <w:snapToGrid w:val="0"/>
          <w:color w:val="000000"/>
          <w:kern w:val="18"/>
          <w:sz w:val="20"/>
          <w:szCs w:val="20"/>
          <w:lang w:eastAsia="zh-CN"/>
        </w:rPr>
        <w:t>第</w:t>
      </w:r>
      <w:hyperlink r:id="rId86" w:history="1">
        <w:r w:rsidRPr="00650F1F">
          <w:rPr>
            <w:rStyle w:val="Hyperlink"/>
            <w:rFonts w:eastAsiaTheme="minorEastAsia"/>
            <w:iCs/>
            <w:snapToGrid w:val="0"/>
            <w:kern w:val="18"/>
            <w:lang w:eastAsia="zh-CN"/>
          </w:rPr>
          <w:t>VIII/5</w:t>
        </w:r>
      </w:hyperlink>
      <w:r w:rsidRPr="00650F1F">
        <w:rPr>
          <w:rFonts w:eastAsiaTheme="minorEastAsia"/>
          <w:iCs/>
          <w:snapToGrid w:val="0"/>
          <w:color w:val="000000"/>
          <w:kern w:val="18"/>
          <w:sz w:val="20"/>
          <w:szCs w:val="20"/>
          <w:lang w:eastAsia="zh-CN"/>
        </w:rPr>
        <w:t xml:space="preserve"> B</w:t>
      </w:r>
      <w:r w:rsidRPr="00650F1F">
        <w:rPr>
          <w:rFonts w:eastAsiaTheme="minorEastAsia"/>
          <w:iCs/>
          <w:snapToGrid w:val="0"/>
          <w:color w:val="000000"/>
          <w:kern w:val="18"/>
          <w:sz w:val="20"/>
          <w:szCs w:val="20"/>
          <w:lang w:eastAsia="zh-CN"/>
        </w:rPr>
        <w:t>号决定，该决定建议缔约方和各国政府铭记登记册只是保护传统知识、创新和做法的一种办法，因此，建立登记册应是自愿的，不是保护的一个前提条件。登记册只应得到土著人民和地方社区事先知情同意后才能建立。</w:t>
      </w:r>
    </w:p>
  </w:footnote>
  <w:footnote w:id="209">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83788E">
        <w:rPr>
          <w:rStyle w:val="FootnoteReference"/>
          <w:rFonts w:eastAsiaTheme="minorEastAsia"/>
          <w:snapToGrid w:val="0"/>
          <w:kern w:val="18"/>
          <w:sz w:val="24"/>
          <w:u w:val="none"/>
          <w:vertAlign w:val="superscript"/>
          <w:lang w:val="en-CA" w:eastAsia="en-CA"/>
        </w:rPr>
        <w:footnoteRef/>
      </w:r>
      <w:r w:rsidRPr="0083788E">
        <w:rPr>
          <w:rStyle w:val="FootnoteReference"/>
          <w:rFonts w:eastAsiaTheme="minorEastAsia"/>
          <w:snapToGrid w:val="0"/>
          <w:kern w:val="18"/>
          <w:sz w:val="24"/>
          <w:u w:val="none"/>
          <w:vertAlign w:val="superscript"/>
          <w:lang w:val="en-CA" w:eastAsia="en-CA"/>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lang w:eastAsia="zh-CN"/>
        </w:rPr>
        <w:t>例如见：</w:t>
      </w:r>
      <w:hyperlink r:id="rId87" w:history="1">
        <w:r w:rsidRPr="00650F1F">
          <w:rPr>
            <w:rStyle w:val="Hyperlink"/>
            <w:rFonts w:eastAsiaTheme="minorEastAsia"/>
            <w:lang w:eastAsia="zh-CN"/>
          </w:rPr>
          <w:t>http://aiatsis.gov.au/about-us</w:t>
        </w:r>
      </w:hyperlink>
      <w:r w:rsidRPr="00650F1F">
        <w:rPr>
          <w:rFonts w:eastAsiaTheme="minorEastAsia"/>
          <w:snapToGrid w:val="0"/>
          <w:kern w:val="18"/>
          <w:sz w:val="20"/>
          <w:szCs w:val="20"/>
          <w:lang w:eastAsia="zh-CN"/>
        </w:rPr>
        <w:t>。</w:t>
      </w:r>
    </w:p>
  </w:footnote>
  <w:footnote w:id="210">
    <w:p w:rsidR="00594C0B" w:rsidRPr="00650F1F" w:rsidRDefault="00594C0B" w:rsidP="00650F1F">
      <w:pPr>
        <w:pStyle w:val="FootnoteText"/>
        <w:tabs>
          <w:tab w:val="left" w:pos="360"/>
        </w:tabs>
        <w:adjustRightInd w:val="0"/>
        <w:snapToGrid w:val="0"/>
        <w:spacing w:before="0"/>
        <w:ind w:firstLine="0"/>
        <w:rPr>
          <w:rFonts w:eastAsiaTheme="minorEastAsia"/>
          <w:sz w:val="20"/>
          <w:szCs w:val="20"/>
        </w:rPr>
      </w:pPr>
      <w:r w:rsidRPr="0083788E">
        <w:rPr>
          <w:rStyle w:val="FootnoteReference"/>
          <w:rFonts w:eastAsiaTheme="minorEastAsia"/>
          <w:snapToGrid w:val="0"/>
          <w:kern w:val="18"/>
          <w:sz w:val="24"/>
          <w:u w:val="none"/>
          <w:vertAlign w:val="superscript"/>
          <w:lang w:val="en-CA" w:eastAsia="en-CA"/>
        </w:rPr>
        <w:footnoteRef/>
      </w:r>
      <w:r w:rsidRPr="0083788E">
        <w:rPr>
          <w:rStyle w:val="FootnoteReference"/>
          <w:rFonts w:eastAsiaTheme="minorEastAsia"/>
          <w:snapToGrid w:val="0"/>
          <w:kern w:val="18"/>
          <w:sz w:val="24"/>
          <w:u w:val="none"/>
          <w:vertAlign w:val="superscript"/>
          <w:lang w:val="en-CA" w:eastAsia="en-CA"/>
        </w:rPr>
        <w:t xml:space="preserve">  </w:t>
      </w:r>
      <w:r w:rsidRPr="0083788E">
        <w:rPr>
          <w:rStyle w:val="FootnoteReference"/>
          <w:sz w:val="24"/>
          <w:u w:val="none"/>
          <w:vertAlign w:val="superscript"/>
          <w:lang w:val="en-CA" w:eastAsia="en-CA"/>
        </w:rPr>
        <w:tab/>
      </w:r>
      <w:r w:rsidRPr="00650F1F">
        <w:rPr>
          <w:rFonts w:eastAsiaTheme="minorEastAsia"/>
          <w:sz w:val="20"/>
          <w:szCs w:val="20"/>
        </w:rPr>
        <w:t>可查阅：</w:t>
      </w:r>
      <w:hyperlink r:id="rId88" w:history="1">
        <w:r w:rsidRPr="00650F1F">
          <w:rPr>
            <w:rStyle w:val="Hyperlink"/>
            <w:rFonts w:eastAsiaTheme="minorEastAsia"/>
            <w:kern w:val="18"/>
          </w:rPr>
          <w:t>http://www.wipo.int/edocs/pubdocs/en/wipo_pub_1049.pdf</w:t>
        </w:r>
      </w:hyperlink>
      <w:r w:rsidRPr="00650F1F">
        <w:rPr>
          <w:rFonts w:eastAsiaTheme="minorEastAsia"/>
          <w:snapToGrid w:val="0"/>
          <w:kern w:val="18"/>
          <w:sz w:val="20"/>
          <w:szCs w:val="20"/>
        </w:rPr>
        <w:t>。</w:t>
      </w:r>
    </w:p>
  </w:footnote>
  <w:footnote w:id="211">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rPr>
      </w:pPr>
      <w:r w:rsidRPr="0083788E">
        <w:rPr>
          <w:rStyle w:val="FootnoteReference"/>
          <w:rFonts w:eastAsiaTheme="minorEastAsia"/>
          <w:snapToGrid w:val="0"/>
          <w:kern w:val="18"/>
          <w:sz w:val="24"/>
          <w:u w:val="none"/>
          <w:vertAlign w:val="superscript"/>
          <w:lang w:val="en-CA" w:eastAsia="en-CA"/>
        </w:rPr>
        <w:footnoteRef/>
      </w:r>
      <w:r w:rsidRPr="0083788E">
        <w:rPr>
          <w:rStyle w:val="FootnoteReference"/>
          <w:rFonts w:eastAsiaTheme="minorEastAsia"/>
          <w:snapToGrid w:val="0"/>
          <w:kern w:val="18"/>
          <w:sz w:val="24"/>
          <w:u w:val="none"/>
          <w:vertAlign w:val="superscript"/>
          <w:lang w:val="en-CA" w:eastAsia="en-CA"/>
        </w:rPr>
        <w:t xml:space="preserve"> </w:t>
      </w:r>
      <w:r w:rsidRPr="00650F1F">
        <w:rPr>
          <w:rFonts w:eastAsiaTheme="minorEastAsia"/>
          <w:snapToGrid w:val="0"/>
          <w:kern w:val="18"/>
          <w:sz w:val="20"/>
          <w:szCs w:val="20"/>
          <w:lang w:eastAsia="zh-CN"/>
        </w:rPr>
        <w:tab/>
      </w:r>
      <w:r w:rsidRPr="00650F1F">
        <w:rPr>
          <w:rFonts w:eastAsiaTheme="minorEastAsia"/>
          <w:snapToGrid w:val="0"/>
          <w:kern w:val="18"/>
          <w:sz w:val="20"/>
          <w:szCs w:val="20"/>
        </w:rPr>
        <w:t>这一原则也包含在</w:t>
      </w:r>
      <w:r w:rsidRPr="00650F1F">
        <w:rPr>
          <w:rFonts w:eastAsiaTheme="minorEastAsia"/>
          <w:iCs/>
          <w:snapToGrid w:val="0"/>
          <w:kern w:val="18"/>
          <w:sz w:val="20"/>
          <w:szCs w:val="20"/>
        </w:rPr>
        <w:t>第</w:t>
      </w:r>
      <w:r w:rsidRPr="00650F1F">
        <w:rPr>
          <w:rFonts w:eastAsiaTheme="minorEastAsia"/>
          <w:iCs/>
          <w:snapToGrid w:val="0"/>
          <w:kern w:val="18"/>
          <w:sz w:val="20"/>
          <w:szCs w:val="20"/>
        </w:rPr>
        <w:t>X/42</w:t>
      </w:r>
      <w:r w:rsidRPr="00650F1F">
        <w:rPr>
          <w:rFonts w:eastAsiaTheme="minorEastAsia"/>
          <w:iCs/>
          <w:snapToGrid w:val="0"/>
          <w:kern w:val="18"/>
          <w:sz w:val="20"/>
          <w:szCs w:val="20"/>
        </w:rPr>
        <w:t>号决定通过的</w:t>
      </w:r>
      <w:r w:rsidRPr="00650F1F">
        <w:rPr>
          <w:rFonts w:eastAsiaTheme="minorEastAsia"/>
          <w:snapToGrid w:val="0"/>
          <w:kern w:val="18"/>
          <w:sz w:val="20"/>
          <w:szCs w:val="20"/>
        </w:rPr>
        <w:t>《</w:t>
      </w:r>
      <w:r w:rsidRPr="00650F1F">
        <w:rPr>
          <w:rFonts w:eastAsiaTheme="minorEastAsia"/>
          <w:iCs/>
          <w:snapToGrid w:val="0"/>
          <w:kern w:val="18"/>
          <w:sz w:val="20"/>
          <w:szCs w:val="20"/>
        </w:rPr>
        <w:t>确保</w:t>
      </w:r>
      <w:r w:rsidRPr="00650F1F">
        <w:rPr>
          <w:rFonts w:eastAsiaTheme="minorEastAsia"/>
          <w:bCs/>
          <w:sz w:val="20"/>
          <w:szCs w:val="20"/>
        </w:rPr>
        <w:t>尊重与保护和可持续利用生物多样性相关的文化和知识遗产的特加里瓦伊埃里道德行为守则》的互惠原则中，可查阅</w:t>
      </w:r>
      <w:hyperlink r:id="rId89" w:history="1">
        <w:r w:rsidRPr="00650F1F">
          <w:rPr>
            <w:rStyle w:val="Hyperlink"/>
            <w:rFonts w:eastAsiaTheme="minorEastAsia"/>
          </w:rPr>
          <w:t>https://www.cbd.int/doc/publications/ethicalconduct-brochure-en.pdf</w:t>
        </w:r>
      </w:hyperlink>
      <w:r w:rsidRPr="00650F1F">
        <w:rPr>
          <w:rFonts w:eastAsiaTheme="minorEastAsia"/>
          <w:snapToGrid w:val="0"/>
          <w:kern w:val="18"/>
          <w:sz w:val="20"/>
          <w:szCs w:val="20"/>
        </w:rPr>
        <w:t>。</w:t>
      </w:r>
    </w:p>
  </w:footnote>
  <w:footnote w:id="212">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z w:val="20"/>
          <w:szCs w:val="20"/>
          <w:lang w:eastAsia="zh-CN"/>
        </w:rPr>
      </w:pPr>
      <w:r w:rsidRPr="0083788E">
        <w:rPr>
          <w:rStyle w:val="FootnoteReference"/>
          <w:rFonts w:eastAsiaTheme="minorEastAsia"/>
          <w:snapToGrid w:val="0"/>
          <w:kern w:val="18"/>
          <w:sz w:val="24"/>
          <w:u w:val="none"/>
          <w:vertAlign w:val="superscript"/>
          <w:lang w:val="en-CA" w:eastAsia="en-CA"/>
        </w:rPr>
        <w:footnoteRef/>
      </w:r>
      <w:r w:rsidRPr="0083788E">
        <w:rPr>
          <w:rStyle w:val="FootnoteReference"/>
          <w:rFonts w:eastAsiaTheme="minorEastAsia"/>
          <w:snapToGrid w:val="0"/>
          <w:kern w:val="18"/>
          <w:sz w:val="24"/>
          <w:u w:val="none"/>
          <w:vertAlign w:val="superscript"/>
          <w:lang w:val="en-CA" w:eastAsia="zh-CN"/>
        </w:rPr>
        <w:t xml:space="preserve"> </w:t>
      </w:r>
      <w:r w:rsidRPr="0083788E">
        <w:rPr>
          <w:rFonts w:eastAsiaTheme="minorEastAsia"/>
          <w:snapToGrid w:val="0"/>
          <w:kern w:val="18"/>
          <w:sz w:val="20"/>
          <w:szCs w:val="20"/>
          <w:lang w:eastAsia="zh-CN"/>
        </w:rPr>
        <w:tab/>
      </w:r>
      <w:r w:rsidRPr="00650F1F">
        <w:rPr>
          <w:rFonts w:eastAsiaTheme="minorEastAsia"/>
          <w:snapToGrid w:val="0"/>
          <w:kern w:val="18"/>
          <w:sz w:val="20"/>
          <w:szCs w:val="20"/>
          <w:lang w:eastAsia="zh-CN"/>
        </w:rPr>
        <w:t>见</w:t>
      </w:r>
      <w:r w:rsidRPr="00650F1F">
        <w:rPr>
          <w:rFonts w:eastAsiaTheme="minorEastAsia"/>
          <w:snapToGrid w:val="0"/>
          <w:kern w:val="18"/>
          <w:sz w:val="20"/>
          <w:szCs w:val="20"/>
          <w:lang w:eastAsia="zh-CN"/>
        </w:rPr>
        <w:t xml:space="preserve"> </w:t>
      </w:r>
      <w:hyperlink r:id="rId90" w:history="1">
        <w:r w:rsidRPr="00650F1F">
          <w:rPr>
            <w:rStyle w:val="Hyperlink"/>
            <w:rFonts w:eastAsiaTheme="minorEastAsia"/>
            <w:snapToGrid w:val="0"/>
            <w:kern w:val="18"/>
            <w:lang w:eastAsia="zh-CN"/>
          </w:rPr>
          <w:t>UNEP/CBD/WG8J/8/5</w:t>
        </w:r>
      </w:hyperlink>
      <w:r w:rsidRPr="00650F1F">
        <w:rPr>
          <w:rFonts w:eastAsiaTheme="minorEastAsia"/>
          <w:snapToGrid w:val="0"/>
          <w:kern w:val="18"/>
          <w:sz w:val="20"/>
          <w:szCs w:val="20"/>
          <w:lang w:eastAsia="zh-CN"/>
        </w:rPr>
        <w:t>，第</w:t>
      </w:r>
      <w:r w:rsidRPr="00650F1F">
        <w:rPr>
          <w:rFonts w:eastAsiaTheme="minorEastAsia"/>
          <w:snapToGrid w:val="0"/>
          <w:kern w:val="18"/>
          <w:sz w:val="20"/>
          <w:szCs w:val="20"/>
          <w:lang w:eastAsia="zh-CN"/>
        </w:rPr>
        <w:t xml:space="preserve"> 72</w:t>
      </w:r>
      <w:r w:rsidRPr="00650F1F">
        <w:rPr>
          <w:rFonts w:eastAsiaTheme="minorEastAsia"/>
          <w:snapToGrid w:val="0"/>
          <w:kern w:val="18"/>
          <w:sz w:val="20"/>
          <w:szCs w:val="20"/>
          <w:lang w:eastAsia="zh-CN"/>
        </w:rPr>
        <w:t>段。</w:t>
      </w:r>
    </w:p>
  </w:footnote>
  <w:footnote w:id="213">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 w:val="20"/>
          <w:szCs w:val="20"/>
          <w:lang w:eastAsia="zh-CN"/>
        </w:rPr>
      </w:pPr>
      <w:r w:rsidRPr="0083788E">
        <w:rPr>
          <w:rStyle w:val="FootnoteReference"/>
          <w:rFonts w:eastAsiaTheme="minorEastAsia"/>
          <w:snapToGrid w:val="0"/>
          <w:kern w:val="18"/>
          <w:sz w:val="24"/>
          <w:u w:val="none"/>
          <w:vertAlign w:val="superscript"/>
          <w:lang w:val="en-CA" w:eastAsia="en-CA"/>
        </w:rPr>
        <w:footnoteRef/>
      </w:r>
      <w:r w:rsidRPr="0083788E">
        <w:rPr>
          <w:rStyle w:val="FootnoteReference"/>
          <w:rFonts w:eastAsiaTheme="minorEastAsia"/>
          <w:snapToGrid w:val="0"/>
          <w:kern w:val="18"/>
          <w:sz w:val="24"/>
          <w:u w:val="none"/>
          <w:vertAlign w:val="superscript"/>
          <w:lang w:val="en-CA" w:eastAsia="zh-CN"/>
        </w:rPr>
        <w:t xml:space="preserve"> </w:t>
      </w:r>
      <w:r w:rsidRPr="0083788E">
        <w:rPr>
          <w:rStyle w:val="FootnoteReference"/>
          <w:rFonts w:eastAsiaTheme="minorEastAsia"/>
          <w:snapToGrid w:val="0"/>
          <w:kern w:val="18"/>
          <w:sz w:val="24"/>
          <w:u w:val="none"/>
          <w:vertAlign w:val="superscript"/>
          <w:lang w:val="en-CA" w:eastAsia="zh-CN"/>
        </w:rPr>
        <w:tab/>
      </w:r>
      <w:r w:rsidRPr="00650F1F">
        <w:rPr>
          <w:rFonts w:eastAsiaTheme="minorEastAsia"/>
          <w:sz w:val="20"/>
          <w:szCs w:val="20"/>
          <w:lang w:eastAsia="zh-CN"/>
        </w:rPr>
        <w:t>不应将秘密或神圣或敏感的土著人民和地方社区信息与可能被视为对于土著人民和地方社区具有冒犯性的材料相混淆。</w:t>
      </w:r>
    </w:p>
  </w:footnote>
  <w:footnote w:id="214">
    <w:p w:rsidR="00594C0B" w:rsidRPr="00650F1F" w:rsidRDefault="00594C0B" w:rsidP="00650F1F">
      <w:pPr>
        <w:pStyle w:val="FootnoteText"/>
        <w:suppressLineNumbers/>
        <w:tabs>
          <w:tab w:val="left" w:pos="360"/>
        </w:tabs>
        <w:suppressAutoHyphens/>
        <w:adjustRightInd w:val="0"/>
        <w:snapToGrid w:val="0"/>
        <w:spacing w:before="0"/>
        <w:ind w:firstLine="0"/>
        <w:rPr>
          <w:rFonts w:eastAsiaTheme="minorEastAsia"/>
          <w:snapToGrid w:val="0"/>
          <w:kern w:val="18"/>
          <w:szCs w:val="18"/>
          <w:lang w:eastAsia="zh-CN"/>
        </w:rPr>
      </w:pPr>
      <w:r w:rsidRPr="0083788E">
        <w:rPr>
          <w:rStyle w:val="FootnoteReference"/>
          <w:rFonts w:eastAsiaTheme="minorEastAsia"/>
          <w:snapToGrid w:val="0"/>
          <w:kern w:val="18"/>
          <w:sz w:val="24"/>
          <w:u w:val="none"/>
          <w:vertAlign w:val="superscript"/>
          <w:lang w:val="en-CA" w:eastAsia="en-CA"/>
        </w:rPr>
        <w:footnoteRef/>
      </w:r>
      <w:r w:rsidRPr="0083788E">
        <w:rPr>
          <w:rStyle w:val="FootnoteReference"/>
          <w:rFonts w:eastAsiaTheme="minorEastAsia"/>
          <w:snapToGrid w:val="0"/>
          <w:kern w:val="18"/>
          <w:sz w:val="24"/>
          <w:u w:val="none"/>
          <w:vertAlign w:val="superscript"/>
          <w:lang w:val="en-CA" w:eastAsia="zh-CN"/>
        </w:rPr>
        <w:t xml:space="preserve"> </w:t>
      </w:r>
      <w:r w:rsidRPr="0083788E">
        <w:rPr>
          <w:rStyle w:val="FootnoteReference"/>
          <w:snapToGrid w:val="0"/>
          <w:kern w:val="18"/>
          <w:sz w:val="24"/>
          <w:u w:val="none"/>
          <w:vertAlign w:val="superscript"/>
          <w:lang w:val="en-CA" w:eastAsia="zh-CN"/>
        </w:rPr>
        <w:tab/>
      </w:r>
      <w:r w:rsidRPr="00650F1F">
        <w:rPr>
          <w:rFonts w:eastAsiaTheme="minorEastAsia"/>
          <w:snapToGrid w:val="0"/>
          <w:kern w:val="18"/>
          <w:sz w:val="20"/>
          <w:szCs w:val="20"/>
          <w:lang w:eastAsia="zh-CN"/>
        </w:rPr>
        <w:t>例如，只有妇女可以获取妇女的知识在文化上可能是适当的。</w:t>
      </w:r>
    </w:p>
  </w:footnote>
  <w:footnote w:id="215">
    <w:p w:rsidR="00594C0B" w:rsidRPr="00650F1F" w:rsidRDefault="00594C0B" w:rsidP="00650F1F">
      <w:pPr>
        <w:pStyle w:val="FootnoteText"/>
        <w:tabs>
          <w:tab w:val="left" w:pos="360"/>
        </w:tabs>
        <w:spacing w:before="0"/>
        <w:ind w:firstLine="0"/>
        <w:rPr>
          <w:rFonts w:eastAsiaTheme="minorEastAsia"/>
          <w:sz w:val="20"/>
          <w:szCs w:val="20"/>
          <w:lang w:eastAsia="zh-CN"/>
        </w:rPr>
      </w:pPr>
      <w:r w:rsidRPr="00974D16">
        <w:rPr>
          <w:rStyle w:val="FootnoteReference"/>
          <w:rFonts w:eastAsiaTheme="minorEastAsia"/>
          <w:sz w:val="24"/>
          <w:szCs w:val="18"/>
          <w:u w:val="none"/>
          <w:vertAlign w:val="superscript"/>
        </w:rPr>
        <w:footnoteRef/>
      </w:r>
      <w:r w:rsidRPr="00974D16">
        <w:rPr>
          <w:rStyle w:val="FootnoteReference"/>
          <w:rFonts w:eastAsiaTheme="minorEastAsia"/>
          <w:sz w:val="24"/>
          <w:szCs w:val="18"/>
          <w:u w:val="none"/>
          <w:vertAlign w:val="superscript"/>
          <w:lang w:eastAsia="zh-CN"/>
        </w:rPr>
        <w:t xml:space="preserve"> </w:t>
      </w:r>
      <w:r w:rsidRPr="00974D16">
        <w:rPr>
          <w:rFonts w:eastAsiaTheme="minorEastAsia"/>
          <w:sz w:val="20"/>
          <w:szCs w:val="20"/>
          <w:lang w:eastAsia="zh-CN"/>
        </w:rPr>
        <w:t xml:space="preserve"> </w:t>
      </w:r>
      <w:r w:rsidRPr="00650F1F">
        <w:rPr>
          <w:rFonts w:eastAsiaTheme="minorEastAsia"/>
          <w:sz w:val="20"/>
          <w:szCs w:val="20"/>
          <w:lang w:eastAsia="zh-CN"/>
        </w:rPr>
        <w:tab/>
      </w:r>
      <w:r w:rsidRPr="000932B0">
        <w:rPr>
          <w:rFonts w:eastAsiaTheme="minorEastAsia"/>
          <w:sz w:val="20"/>
          <w:szCs w:val="18"/>
          <w:lang w:eastAsia="zh-CN"/>
        </w:rPr>
        <w:t>联合国，《条约汇编》，</w:t>
      </w:r>
      <w:r w:rsidRPr="000932B0">
        <w:rPr>
          <w:rFonts w:eastAsiaTheme="minorEastAsia"/>
          <w:kern w:val="18"/>
          <w:sz w:val="20"/>
          <w:szCs w:val="18"/>
          <w:lang w:val="zh-CN" w:eastAsia="zh-CN"/>
        </w:rPr>
        <w:t>第</w:t>
      </w:r>
      <w:r w:rsidRPr="000932B0">
        <w:rPr>
          <w:rFonts w:eastAsiaTheme="minorEastAsia"/>
          <w:kern w:val="18"/>
          <w:sz w:val="20"/>
          <w:szCs w:val="18"/>
          <w:lang w:val="zh-CN" w:eastAsia="zh-CN"/>
        </w:rPr>
        <w:t>1155</w:t>
      </w:r>
      <w:r w:rsidRPr="000932B0">
        <w:rPr>
          <w:rFonts w:eastAsiaTheme="minorEastAsia"/>
          <w:kern w:val="18"/>
          <w:sz w:val="20"/>
          <w:szCs w:val="18"/>
          <w:lang w:val="zh-CN" w:eastAsia="zh-CN"/>
        </w:rPr>
        <w:t>卷，第</w:t>
      </w:r>
      <w:r w:rsidRPr="000932B0">
        <w:rPr>
          <w:rFonts w:eastAsiaTheme="minorEastAsia"/>
          <w:kern w:val="18"/>
          <w:sz w:val="20"/>
          <w:szCs w:val="18"/>
          <w:lang w:val="zh-CN" w:eastAsia="zh-CN"/>
        </w:rPr>
        <w:t>18232</w:t>
      </w:r>
      <w:r w:rsidRPr="000932B0">
        <w:rPr>
          <w:rFonts w:eastAsiaTheme="minorEastAsia"/>
          <w:sz w:val="20"/>
          <w:szCs w:val="18"/>
          <w:lang w:eastAsia="zh-CN"/>
        </w:rPr>
        <w:t>号。</w:t>
      </w:r>
    </w:p>
  </w:footnote>
  <w:footnote w:id="216">
    <w:p w:rsidR="00594C0B" w:rsidRPr="00650F1F" w:rsidRDefault="00594C0B" w:rsidP="00974D16">
      <w:pPr>
        <w:pStyle w:val="FootnoteText"/>
        <w:keepLines w:val="0"/>
        <w:suppressLineNumbers/>
        <w:tabs>
          <w:tab w:val="left" w:pos="360"/>
        </w:tabs>
        <w:suppressAutoHyphens/>
        <w:autoSpaceDE w:val="0"/>
        <w:autoSpaceDN w:val="0"/>
        <w:adjustRightInd w:val="0"/>
        <w:snapToGrid w:val="0"/>
        <w:spacing w:before="0"/>
        <w:ind w:firstLine="0"/>
        <w:jc w:val="left"/>
        <w:rPr>
          <w:rFonts w:eastAsiaTheme="minorEastAsia"/>
          <w:szCs w:val="18"/>
          <w:lang w:eastAsia="zh-CN"/>
        </w:rPr>
      </w:pPr>
      <w:r w:rsidRPr="00974D16">
        <w:rPr>
          <w:rStyle w:val="FootnoteReference"/>
          <w:rFonts w:eastAsiaTheme="minorEastAsia"/>
          <w:sz w:val="24"/>
          <w:szCs w:val="18"/>
          <w:u w:val="none"/>
          <w:vertAlign w:val="superscript"/>
        </w:rPr>
        <w:footnoteRef/>
      </w:r>
      <w:r w:rsidRPr="00974D16">
        <w:rPr>
          <w:rStyle w:val="FootnoteReference"/>
          <w:rFonts w:eastAsiaTheme="minorEastAsia"/>
          <w:szCs w:val="18"/>
          <w:u w:val="none"/>
          <w:lang w:eastAsia="zh-CN"/>
        </w:rPr>
        <w:tab/>
      </w:r>
      <w:r w:rsidRPr="000932B0">
        <w:rPr>
          <w:rFonts w:eastAsiaTheme="minorEastAsia"/>
          <w:kern w:val="18"/>
          <w:sz w:val="20"/>
          <w:szCs w:val="18"/>
          <w:lang w:val="zh-CN" w:eastAsia="zh-CN"/>
        </w:rPr>
        <w:t>来自第</w:t>
      </w:r>
      <w:r w:rsidRPr="000932B0">
        <w:rPr>
          <w:rFonts w:eastAsiaTheme="minorEastAsia"/>
          <w:kern w:val="18"/>
          <w:sz w:val="20"/>
          <w:szCs w:val="18"/>
          <w:lang w:val="zh-CN" w:eastAsia="zh-CN"/>
        </w:rPr>
        <w:t>8(j)</w:t>
      </w:r>
      <w:r w:rsidRPr="000932B0">
        <w:rPr>
          <w:rFonts w:eastAsiaTheme="minorEastAsia"/>
          <w:snapToGrid w:val="0"/>
          <w:kern w:val="18"/>
          <w:sz w:val="20"/>
          <w:szCs w:val="18"/>
          <w:lang w:val="en-US" w:eastAsia="zh-CN"/>
        </w:rPr>
        <w:t>条并在关于</w:t>
      </w:r>
      <w:r w:rsidRPr="000932B0">
        <w:rPr>
          <w:rFonts w:eastAsiaTheme="minorEastAsia"/>
          <w:kern w:val="18"/>
          <w:sz w:val="20"/>
          <w:szCs w:val="18"/>
          <w:lang w:val="zh-CN" w:eastAsia="zh-CN"/>
        </w:rPr>
        <w:t>《阿格维古准则》的</w:t>
      </w:r>
      <w:hyperlink r:id="rId91" w:history="1">
        <w:r w:rsidRPr="000932B0">
          <w:rPr>
            <w:rStyle w:val="Hyperlink"/>
            <w:rFonts w:eastAsiaTheme="minorEastAsia"/>
            <w:kern w:val="18"/>
            <w:sz w:val="20"/>
            <w:szCs w:val="18"/>
            <w:lang w:eastAsia="zh-CN"/>
          </w:rPr>
          <w:t>第</w:t>
        </w:r>
        <w:r w:rsidRPr="000932B0">
          <w:rPr>
            <w:rStyle w:val="Hyperlink"/>
            <w:rFonts w:eastAsiaTheme="minorEastAsia"/>
            <w:kern w:val="18"/>
            <w:sz w:val="20"/>
            <w:szCs w:val="18"/>
            <w:lang w:val="zh-CN" w:eastAsia="zh-CN"/>
          </w:rPr>
          <w:t>VII/16</w:t>
        </w:r>
        <w:r w:rsidRPr="000932B0">
          <w:rPr>
            <w:rStyle w:val="Hyperlink"/>
            <w:rFonts w:eastAsiaTheme="minorEastAsia"/>
            <w:kern w:val="18"/>
            <w:sz w:val="20"/>
            <w:szCs w:val="18"/>
            <w:lang w:eastAsia="zh-CN"/>
          </w:rPr>
          <w:t>号决定</w:t>
        </w:r>
      </w:hyperlink>
      <w:r w:rsidRPr="000932B0">
        <w:rPr>
          <w:rFonts w:eastAsiaTheme="minorEastAsia"/>
          <w:kern w:val="18"/>
          <w:sz w:val="20"/>
          <w:szCs w:val="18"/>
          <w:lang w:val="zh-CN" w:eastAsia="zh-CN"/>
        </w:rPr>
        <w:t>F</w:t>
      </w:r>
      <w:r w:rsidRPr="000932B0">
        <w:rPr>
          <w:rFonts w:eastAsiaTheme="minorEastAsia"/>
          <w:kern w:val="18"/>
          <w:sz w:val="20"/>
          <w:szCs w:val="18"/>
          <w:lang w:val="zh-CN" w:eastAsia="zh-CN"/>
        </w:rPr>
        <w:t>节的第</w:t>
      </w:r>
      <w:r w:rsidRPr="000932B0">
        <w:rPr>
          <w:rFonts w:eastAsiaTheme="minorEastAsia"/>
          <w:kern w:val="18"/>
          <w:sz w:val="20"/>
          <w:szCs w:val="18"/>
          <w:lang w:val="zh-CN" w:eastAsia="zh-CN"/>
        </w:rPr>
        <w:t>6(h)</w:t>
      </w:r>
      <w:r w:rsidRPr="000932B0">
        <w:rPr>
          <w:rFonts w:eastAsiaTheme="minorEastAsia"/>
          <w:kern w:val="18"/>
          <w:sz w:val="20"/>
          <w:szCs w:val="18"/>
          <w:lang w:val="zh-CN" w:eastAsia="zh-CN"/>
        </w:rPr>
        <w:t>段中得到核可。</w:t>
      </w:r>
    </w:p>
  </w:footnote>
  <w:footnote w:id="217">
    <w:p w:rsidR="00594C0B" w:rsidRPr="00650F1F" w:rsidRDefault="00594C0B" w:rsidP="00974D16">
      <w:pPr>
        <w:pStyle w:val="FootnoteText"/>
        <w:keepLines w:val="0"/>
        <w:suppressLineNumbers/>
        <w:tabs>
          <w:tab w:val="left" w:pos="360"/>
        </w:tabs>
        <w:suppressAutoHyphens/>
        <w:autoSpaceDE w:val="0"/>
        <w:autoSpaceDN w:val="0"/>
        <w:adjustRightInd w:val="0"/>
        <w:snapToGrid w:val="0"/>
        <w:spacing w:before="0"/>
        <w:ind w:firstLine="0"/>
        <w:jc w:val="left"/>
        <w:rPr>
          <w:rFonts w:eastAsiaTheme="minorEastAsia"/>
          <w:szCs w:val="18"/>
          <w:lang w:eastAsia="zh-CN"/>
        </w:rPr>
      </w:pPr>
      <w:r w:rsidRPr="00974D16">
        <w:rPr>
          <w:rStyle w:val="FootnoteReference"/>
          <w:rFonts w:eastAsiaTheme="minorEastAsia"/>
          <w:sz w:val="24"/>
          <w:szCs w:val="18"/>
          <w:u w:val="none"/>
          <w:vertAlign w:val="superscript"/>
        </w:rPr>
        <w:footnoteRef/>
      </w:r>
      <w:r w:rsidRPr="00974D16">
        <w:rPr>
          <w:rStyle w:val="FootnoteReference"/>
          <w:rFonts w:eastAsiaTheme="minorEastAsia"/>
          <w:sz w:val="24"/>
          <w:szCs w:val="18"/>
          <w:u w:val="none"/>
          <w:vertAlign w:val="superscript"/>
          <w:lang w:eastAsia="zh-CN"/>
        </w:rPr>
        <w:t xml:space="preserve"> </w:t>
      </w:r>
      <w:r w:rsidRPr="00974D16">
        <w:rPr>
          <w:rStyle w:val="FootnoteReference"/>
          <w:sz w:val="24"/>
          <w:u w:val="none"/>
          <w:vertAlign w:val="superscript"/>
          <w:lang w:eastAsia="zh-CN"/>
        </w:rPr>
        <w:tab/>
      </w:r>
      <w:r w:rsidRPr="000932B0">
        <w:rPr>
          <w:rFonts w:eastAsiaTheme="minorEastAsia"/>
          <w:kern w:val="18"/>
          <w:sz w:val="20"/>
          <w:szCs w:val="18"/>
          <w:lang w:val="zh-CN" w:eastAsia="zh-CN"/>
        </w:rPr>
        <w:t>来自第</w:t>
      </w:r>
      <w:r w:rsidRPr="000932B0">
        <w:rPr>
          <w:rFonts w:eastAsiaTheme="minorEastAsia"/>
          <w:kern w:val="18"/>
          <w:sz w:val="20"/>
          <w:szCs w:val="18"/>
          <w:lang w:val="zh-CN" w:eastAsia="zh-CN"/>
        </w:rPr>
        <w:t xml:space="preserve"> 10</w:t>
      </w:r>
      <w:r w:rsidRPr="000932B0">
        <w:rPr>
          <w:rFonts w:eastAsiaTheme="minorEastAsia"/>
          <w:kern w:val="18"/>
          <w:sz w:val="20"/>
          <w:szCs w:val="18"/>
          <w:lang w:val="zh-CN" w:eastAsia="zh-CN"/>
        </w:rPr>
        <w:t>条</w:t>
      </w:r>
      <w:r w:rsidRPr="000932B0">
        <w:rPr>
          <w:rFonts w:eastAsiaTheme="minorEastAsia"/>
          <w:kern w:val="18"/>
          <w:sz w:val="20"/>
          <w:szCs w:val="18"/>
          <w:lang w:val="zh-CN" w:eastAsia="zh-CN"/>
        </w:rPr>
        <w:t>(c)</w:t>
      </w:r>
      <w:r w:rsidRPr="000932B0">
        <w:rPr>
          <w:rFonts w:eastAsiaTheme="minorEastAsia"/>
          <w:kern w:val="18"/>
          <w:sz w:val="20"/>
          <w:szCs w:val="18"/>
          <w:lang w:val="zh-CN" w:eastAsia="zh-CN"/>
        </w:rPr>
        <w:t>款。</w:t>
      </w:r>
    </w:p>
  </w:footnote>
  <w:footnote w:id="218">
    <w:p w:rsidR="00594C0B" w:rsidRPr="00650F1F" w:rsidRDefault="00594C0B" w:rsidP="00974D16">
      <w:pPr>
        <w:pStyle w:val="recommendationheader"/>
        <w:keepNext w:val="0"/>
        <w:suppressLineNumbers/>
        <w:tabs>
          <w:tab w:val="clear" w:pos="720"/>
          <w:tab w:val="left" w:pos="360"/>
        </w:tabs>
        <w:suppressAutoHyphens/>
        <w:autoSpaceDE w:val="0"/>
        <w:autoSpaceDN w:val="0"/>
        <w:adjustRightInd w:val="0"/>
        <w:snapToGrid w:val="0"/>
        <w:spacing w:before="0" w:after="60"/>
        <w:ind w:firstLine="0"/>
        <w:jc w:val="both"/>
        <w:rPr>
          <w:rFonts w:eastAsiaTheme="minorEastAsia"/>
          <w:b w:val="0"/>
          <w:bCs w:val="0"/>
          <w:iCs w:val="0"/>
          <w:sz w:val="18"/>
          <w:szCs w:val="18"/>
          <w:lang w:eastAsia="zh-CN"/>
        </w:rPr>
      </w:pPr>
      <w:r w:rsidRPr="00974D16">
        <w:rPr>
          <w:rStyle w:val="FootnoteReference"/>
          <w:rFonts w:eastAsiaTheme="minorEastAsia"/>
          <w:b w:val="0"/>
          <w:bCs w:val="0"/>
          <w:iCs w:val="0"/>
          <w:sz w:val="24"/>
          <w:szCs w:val="18"/>
          <w:u w:val="none"/>
          <w:vertAlign w:val="superscript"/>
          <w:lang w:val="en-GB" w:eastAsia="en-US"/>
        </w:rPr>
        <w:footnoteRef/>
      </w:r>
      <w:r w:rsidRPr="00974D16">
        <w:rPr>
          <w:rStyle w:val="FootnoteReference"/>
          <w:rFonts w:eastAsiaTheme="minorEastAsia"/>
          <w:b w:val="0"/>
          <w:bCs w:val="0"/>
          <w:iCs w:val="0"/>
          <w:sz w:val="24"/>
          <w:szCs w:val="18"/>
          <w:u w:val="none"/>
          <w:vertAlign w:val="superscript"/>
          <w:lang w:val="en-GB" w:eastAsia="zh-CN"/>
        </w:rPr>
        <w:t xml:space="preserve"> </w:t>
      </w:r>
      <w:r w:rsidRPr="00974D16">
        <w:rPr>
          <w:rStyle w:val="FootnoteReference"/>
          <w:rFonts w:eastAsiaTheme="minorEastAsia"/>
          <w:iCs w:val="0"/>
          <w:sz w:val="24"/>
          <w:u w:val="none"/>
          <w:vertAlign w:val="superscript"/>
          <w:lang w:val="en-GB" w:eastAsia="zh-CN"/>
        </w:rPr>
        <w:tab/>
      </w:r>
      <w:r w:rsidRPr="000932B0">
        <w:rPr>
          <w:rFonts w:eastAsiaTheme="minorEastAsia"/>
          <w:b w:val="0"/>
          <w:bCs w:val="0"/>
          <w:iCs w:val="0"/>
          <w:kern w:val="18"/>
          <w:sz w:val="20"/>
          <w:szCs w:val="18"/>
          <w:lang w:val="zh-CN" w:eastAsia="zh-CN"/>
        </w:rPr>
        <w:t>缔约方大会</w:t>
      </w:r>
      <w:hyperlink r:id="rId92" w:history="1">
        <w:r w:rsidRPr="000932B0">
          <w:rPr>
            <w:rStyle w:val="Hyperlink"/>
            <w:rFonts w:eastAsiaTheme="minorEastAsia"/>
            <w:b w:val="0"/>
            <w:bCs w:val="0"/>
            <w:iCs w:val="0"/>
            <w:kern w:val="18"/>
            <w:sz w:val="20"/>
            <w:szCs w:val="18"/>
            <w:lang w:val="en-GB" w:eastAsia="zh-CN"/>
          </w:rPr>
          <w:t>第</w:t>
        </w:r>
        <w:r w:rsidRPr="000932B0">
          <w:rPr>
            <w:rStyle w:val="Hyperlink"/>
            <w:rFonts w:eastAsiaTheme="minorEastAsia"/>
            <w:b w:val="0"/>
            <w:kern w:val="18"/>
            <w:sz w:val="20"/>
            <w:szCs w:val="18"/>
            <w:lang w:val="zh-CN" w:eastAsia="zh-CN"/>
          </w:rPr>
          <w:t>XII/12</w:t>
        </w:r>
        <w:r w:rsidRPr="000932B0">
          <w:rPr>
            <w:rStyle w:val="Hyperlink"/>
            <w:rFonts w:eastAsiaTheme="minorEastAsia"/>
            <w:b w:val="0"/>
            <w:bCs w:val="0"/>
            <w:iCs w:val="0"/>
            <w:kern w:val="18"/>
            <w:sz w:val="20"/>
            <w:szCs w:val="18"/>
            <w:lang w:val="en-GB" w:eastAsia="zh-CN"/>
          </w:rPr>
          <w:t>号决定</w:t>
        </w:r>
      </w:hyperlink>
      <w:r w:rsidRPr="000932B0">
        <w:rPr>
          <w:rFonts w:eastAsiaTheme="minorEastAsia"/>
          <w:b w:val="0"/>
          <w:kern w:val="18"/>
          <w:sz w:val="20"/>
          <w:szCs w:val="18"/>
          <w:lang w:val="zh-CN" w:eastAsia="zh-CN"/>
        </w:rPr>
        <w:t>F</w:t>
      </w:r>
      <w:r w:rsidRPr="000932B0">
        <w:rPr>
          <w:rFonts w:eastAsiaTheme="minorEastAsia"/>
          <w:b w:val="0"/>
          <w:kern w:val="18"/>
          <w:sz w:val="20"/>
          <w:szCs w:val="18"/>
          <w:lang w:val="zh-CN" w:eastAsia="zh-CN"/>
        </w:rPr>
        <w:t>节</w:t>
      </w:r>
      <w:r w:rsidRPr="000932B0">
        <w:rPr>
          <w:rFonts w:eastAsiaTheme="minorEastAsia"/>
          <w:b w:val="0"/>
          <w:bCs w:val="0"/>
          <w:iCs w:val="0"/>
          <w:kern w:val="18"/>
          <w:sz w:val="20"/>
          <w:szCs w:val="18"/>
          <w:lang w:val="zh-CN" w:eastAsia="zh-CN"/>
        </w:rPr>
        <w:t>在今后根据《公约》通过的决定中使用</w:t>
      </w:r>
      <w:r w:rsidRPr="000932B0">
        <w:rPr>
          <w:rFonts w:eastAsiaTheme="minorEastAsia"/>
          <w:b w:val="0"/>
          <w:bCs w:val="0"/>
          <w:iCs w:val="0"/>
          <w:kern w:val="18"/>
          <w:sz w:val="20"/>
          <w:szCs w:val="18"/>
          <w:lang w:eastAsia="zh-CN"/>
        </w:rPr>
        <w:t>“</w:t>
      </w:r>
      <w:r w:rsidRPr="000932B0">
        <w:rPr>
          <w:rFonts w:eastAsiaTheme="minorEastAsia"/>
          <w:b w:val="0"/>
          <w:bCs w:val="0"/>
          <w:iCs w:val="0"/>
          <w:kern w:val="18"/>
          <w:sz w:val="20"/>
          <w:szCs w:val="18"/>
          <w:lang w:eastAsia="zh-CN"/>
        </w:rPr>
        <w:t>土著人民和地方社区</w:t>
      </w:r>
      <w:r w:rsidRPr="000932B0">
        <w:rPr>
          <w:rFonts w:eastAsiaTheme="minorEastAsia"/>
          <w:b w:val="0"/>
          <w:bCs w:val="0"/>
          <w:iCs w:val="0"/>
          <w:kern w:val="18"/>
          <w:sz w:val="20"/>
          <w:szCs w:val="18"/>
          <w:lang w:eastAsia="zh-CN"/>
        </w:rPr>
        <w:t>”</w:t>
      </w:r>
      <w:r w:rsidRPr="000932B0">
        <w:rPr>
          <w:rFonts w:eastAsiaTheme="minorEastAsia"/>
          <w:b w:val="0"/>
          <w:bCs w:val="0"/>
          <w:iCs w:val="0"/>
          <w:kern w:val="18"/>
          <w:sz w:val="20"/>
          <w:szCs w:val="18"/>
          <w:lang w:val="zh-CN" w:eastAsia="zh-CN"/>
        </w:rPr>
        <w:t>这一术语，并且不以任何方式影响《公约》第</w:t>
      </w:r>
      <w:r w:rsidRPr="000932B0">
        <w:rPr>
          <w:rFonts w:eastAsiaTheme="minorEastAsia"/>
          <w:b w:val="0"/>
          <w:bCs w:val="0"/>
          <w:iCs w:val="0"/>
          <w:kern w:val="18"/>
          <w:sz w:val="20"/>
          <w:szCs w:val="18"/>
          <w:lang w:val="zh-CN" w:eastAsia="zh-CN"/>
        </w:rPr>
        <w:t>8</w:t>
      </w:r>
      <w:r w:rsidRPr="000932B0">
        <w:rPr>
          <w:rFonts w:eastAsiaTheme="minorEastAsia"/>
          <w:b w:val="0"/>
          <w:kern w:val="18"/>
          <w:sz w:val="20"/>
          <w:szCs w:val="18"/>
          <w:lang w:val="zh-CN" w:eastAsia="zh-CN"/>
        </w:rPr>
        <w:t>(j)</w:t>
      </w:r>
      <w:r w:rsidRPr="000932B0">
        <w:rPr>
          <w:rFonts w:eastAsiaTheme="minorEastAsia"/>
          <w:b w:val="0"/>
          <w:bCs w:val="0"/>
          <w:iCs w:val="0"/>
          <w:kern w:val="18"/>
          <w:sz w:val="20"/>
          <w:szCs w:val="18"/>
          <w:lang w:val="zh-CN" w:eastAsia="zh-CN"/>
        </w:rPr>
        <w:t>条和相关条款的法律意义。随后</w:t>
      </w:r>
      <w:r w:rsidRPr="000932B0">
        <w:rPr>
          <w:rFonts w:eastAsiaTheme="minorEastAsia"/>
          <w:b w:val="0"/>
          <w:bCs w:val="0"/>
          <w:iCs w:val="0"/>
          <w:kern w:val="18"/>
          <w:sz w:val="20"/>
          <w:szCs w:val="18"/>
          <w:lang w:eastAsia="zh-CN"/>
        </w:rPr>
        <w:t>，</w:t>
      </w:r>
      <w:r w:rsidRPr="000932B0">
        <w:rPr>
          <w:rFonts w:eastAsiaTheme="minorEastAsia"/>
          <w:b w:val="0"/>
          <w:bCs w:val="0"/>
          <w:iCs w:val="0"/>
          <w:kern w:val="18"/>
          <w:sz w:val="20"/>
          <w:szCs w:val="18"/>
          <w:lang w:eastAsia="zh-CN"/>
        </w:rPr>
        <w:t>2016</w:t>
      </w:r>
      <w:r w:rsidRPr="000932B0">
        <w:rPr>
          <w:rFonts w:eastAsiaTheme="minorEastAsia"/>
          <w:b w:val="0"/>
          <w:bCs w:val="0"/>
          <w:iCs w:val="0"/>
          <w:kern w:val="18"/>
          <w:sz w:val="20"/>
          <w:szCs w:val="18"/>
          <w:lang w:eastAsia="zh-CN"/>
        </w:rPr>
        <w:t>年</w:t>
      </w:r>
      <w:r w:rsidRPr="000932B0">
        <w:rPr>
          <w:rFonts w:eastAsiaTheme="minorEastAsia"/>
          <w:b w:val="0"/>
          <w:bCs w:val="0"/>
          <w:iCs w:val="0"/>
          <w:kern w:val="18"/>
          <w:sz w:val="20"/>
          <w:szCs w:val="18"/>
          <w:lang w:eastAsia="zh-CN"/>
        </w:rPr>
        <w:t>12</w:t>
      </w:r>
      <w:r w:rsidRPr="000932B0">
        <w:rPr>
          <w:rFonts w:eastAsiaTheme="minorEastAsia"/>
          <w:b w:val="0"/>
          <w:bCs w:val="0"/>
          <w:iCs w:val="0"/>
          <w:kern w:val="18"/>
          <w:sz w:val="20"/>
          <w:szCs w:val="18"/>
          <w:lang w:eastAsia="zh-CN"/>
        </w:rPr>
        <w:t>月</w:t>
      </w:r>
      <w:r w:rsidRPr="000932B0">
        <w:rPr>
          <w:rFonts w:eastAsiaTheme="minorEastAsia"/>
          <w:b w:val="0"/>
          <w:bCs w:val="0"/>
          <w:iCs w:val="0"/>
          <w:kern w:val="18"/>
          <w:sz w:val="20"/>
          <w:szCs w:val="18"/>
          <w:lang w:val="zh-CN" w:eastAsia="zh-CN"/>
        </w:rPr>
        <w:t>《卡塔赫纳议定书》和《名古屋议定书》的缔约方分别在</w:t>
      </w:r>
      <w:hyperlink r:id="rId93" w:history="1">
        <w:r w:rsidRPr="000932B0">
          <w:rPr>
            <w:rStyle w:val="Hyperlink"/>
            <w:rFonts w:eastAsiaTheme="minorEastAsia"/>
            <w:b w:val="0"/>
            <w:kern w:val="18"/>
            <w:sz w:val="20"/>
            <w:szCs w:val="18"/>
            <w:lang w:eastAsia="zh-CN"/>
          </w:rPr>
          <w:t>BS-</w:t>
        </w:r>
        <w:r w:rsidRPr="000932B0">
          <w:rPr>
            <w:rStyle w:val="Hyperlink"/>
            <w:rFonts w:eastAsiaTheme="minorEastAsia"/>
            <w:b w:val="0"/>
            <w:sz w:val="20"/>
            <w:szCs w:val="18"/>
            <w:lang w:eastAsia="zh-CN"/>
          </w:rPr>
          <w:t>VIII/19</w:t>
        </w:r>
      </w:hyperlink>
      <w:r w:rsidRPr="000932B0">
        <w:rPr>
          <w:rFonts w:eastAsiaTheme="minorEastAsia"/>
          <w:b w:val="0"/>
          <w:bCs w:val="0"/>
          <w:iCs w:val="0"/>
          <w:kern w:val="18"/>
          <w:sz w:val="20"/>
          <w:szCs w:val="18"/>
          <w:lang w:val="zh-CN" w:eastAsia="zh-CN"/>
        </w:rPr>
        <w:t>号决定和</w:t>
      </w:r>
      <w:hyperlink r:id="rId94" w:history="1">
        <w:r w:rsidRPr="000932B0">
          <w:rPr>
            <w:rStyle w:val="Hyperlink"/>
            <w:rFonts w:eastAsiaTheme="minorEastAsia"/>
            <w:b w:val="0"/>
            <w:sz w:val="20"/>
            <w:szCs w:val="18"/>
            <w:lang w:eastAsia="zh-CN"/>
          </w:rPr>
          <w:t>NP</w:t>
        </w:r>
        <w:r w:rsidRPr="000932B0">
          <w:rPr>
            <w:rStyle w:val="Hyperlink"/>
            <w:rFonts w:eastAsiaTheme="minorEastAsia"/>
            <w:b w:val="0"/>
            <w:kern w:val="18"/>
            <w:sz w:val="20"/>
            <w:szCs w:val="18"/>
            <w:lang w:eastAsia="zh-CN"/>
          </w:rPr>
          <w:t>-</w:t>
        </w:r>
        <w:r w:rsidRPr="000932B0">
          <w:rPr>
            <w:rStyle w:val="Hyperlink"/>
            <w:rFonts w:eastAsiaTheme="minorEastAsia"/>
            <w:b w:val="0"/>
            <w:sz w:val="20"/>
            <w:szCs w:val="18"/>
            <w:lang w:eastAsia="zh-CN"/>
          </w:rPr>
          <w:t>2/7</w:t>
        </w:r>
      </w:hyperlink>
      <w:r w:rsidRPr="000932B0">
        <w:rPr>
          <w:rFonts w:eastAsiaTheme="minorEastAsia"/>
          <w:b w:val="0"/>
          <w:bCs w:val="0"/>
          <w:iCs w:val="0"/>
          <w:kern w:val="18"/>
          <w:sz w:val="20"/>
          <w:szCs w:val="18"/>
          <w:lang w:val="zh-CN" w:eastAsia="zh-CN"/>
        </w:rPr>
        <w:t>号决定中作出类似决定。</w:t>
      </w:r>
    </w:p>
  </w:footnote>
  <w:footnote w:id="219">
    <w:p w:rsidR="00594C0B" w:rsidRPr="00650F1F" w:rsidRDefault="00594C0B" w:rsidP="00974D16">
      <w:pPr>
        <w:suppressLineNumbers/>
        <w:tabs>
          <w:tab w:val="left" w:pos="360"/>
        </w:tabs>
        <w:suppressAutoHyphens/>
        <w:autoSpaceDE w:val="0"/>
        <w:autoSpaceDN w:val="0"/>
        <w:adjustRightInd w:val="0"/>
        <w:snapToGrid w:val="0"/>
        <w:spacing w:before="0" w:after="60"/>
        <w:ind w:firstLine="0"/>
        <w:rPr>
          <w:rFonts w:eastAsiaTheme="minorEastAsia"/>
          <w:sz w:val="18"/>
          <w:szCs w:val="18"/>
          <w:lang w:eastAsia="zh-CN"/>
        </w:rPr>
      </w:pPr>
      <w:r w:rsidRPr="00974D16">
        <w:rPr>
          <w:rStyle w:val="FootnoteReference"/>
          <w:rFonts w:eastAsiaTheme="minorEastAsia"/>
          <w:sz w:val="24"/>
          <w:szCs w:val="18"/>
          <w:u w:val="none"/>
          <w:vertAlign w:val="superscript"/>
          <w:lang w:val="en-GB"/>
        </w:rPr>
        <w:footnoteRef/>
      </w:r>
      <w:r w:rsidRPr="00974D16">
        <w:rPr>
          <w:rStyle w:val="FootnoteReference"/>
          <w:rFonts w:eastAsiaTheme="minorEastAsia"/>
          <w:sz w:val="24"/>
          <w:szCs w:val="18"/>
          <w:u w:val="none"/>
          <w:vertAlign w:val="superscript"/>
          <w:lang w:val="en-GB" w:eastAsia="zh-CN"/>
        </w:rPr>
        <w:t xml:space="preserve"> </w:t>
      </w:r>
      <w:r w:rsidRPr="00974D16">
        <w:rPr>
          <w:rStyle w:val="FootnoteReference"/>
          <w:sz w:val="24"/>
          <w:u w:val="none"/>
          <w:vertAlign w:val="superscript"/>
          <w:lang w:val="en-GB" w:eastAsia="zh-CN"/>
        </w:rPr>
        <w:tab/>
      </w:r>
      <w:r w:rsidRPr="000932B0">
        <w:rPr>
          <w:rFonts w:eastAsiaTheme="minorEastAsia"/>
          <w:kern w:val="18"/>
          <w:sz w:val="20"/>
          <w:szCs w:val="20"/>
          <w:lang w:val="zh-CN" w:eastAsia="zh-CN"/>
        </w:rPr>
        <w:t>注：《联合国土著人民权利宣言》未通过关于</w:t>
      </w:r>
      <w:r w:rsidRPr="000932B0">
        <w:rPr>
          <w:rFonts w:asciiTheme="minorEastAsia" w:eastAsiaTheme="minorEastAsia" w:hAnsiTheme="minorEastAsia"/>
          <w:kern w:val="18"/>
          <w:sz w:val="20"/>
          <w:szCs w:val="20"/>
          <w:lang w:val="zh-CN" w:eastAsia="zh-CN"/>
        </w:rPr>
        <w:t>“土著人民”</w:t>
      </w:r>
      <w:r w:rsidRPr="000932B0">
        <w:rPr>
          <w:rFonts w:eastAsiaTheme="minorEastAsia"/>
          <w:kern w:val="18"/>
          <w:sz w:val="20"/>
          <w:szCs w:val="20"/>
          <w:lang w:val="zh-CN" w:eastAsia="zh-CN"/>
        </w:rPr>
        <w:t>的普遍性定义，因此，不建议制定这样一个定义。</w:t>
      </w:r>
      <w:r w:rsidRPr="000932B0">
        <w:rPr>
          <w:rFonts w:eastAsiaTheme="minorEastAsia"/>
          <w:sz w:val="20"/>
          <w:szCs w:val="20"/>
          <w:lang w:val="zh-CN" w:eastAsia="zh-CN"/>
        </w:rPr>
        <w:t>不过</w:t>
      </w:r>
      <w:r w:rsidRPr="000932B0">
        <w:rPr>
          <w:rFonts w:eastAsiaTheme="minorEastAsia"/>
          <w:sz w:val="20"/>
          <w:szCs w:val="20"/>
          <w:lang w:eastAsia="zh-CN"/>
        </w:rPr>
        <w:t>，</w:t>
      </w:r>
      <w:r w:rsidRPr="000932B0">
        <w:rPr>
          <w:rFonts w:eastAsiaTheme="minorEastAsia"/>
          <w:sz w:val="20"/>
          <w:szCs w:val="20"/>
          <w:lang w:val="zh-CN" w:eastAsia="zh-CN"/>
        </w:rPr>
        <w:t>联合国土著问题常设论坛作为专家机构</w:t>
      </w:r>
      <w:r w:rsidRPr="000932B0">
        <w:rPr>
          <w:rFonts w:eastAsiaTheme="minorEastAsia"/>
          <w:sz w:val="20"/>
          <w:szCs w:val="20"/>
          <w:lang w:eastAsia="zh-CN"/>
        </w:rPr>
        <w:t>，</w:t>
      </w:r>
      <w:r w:rsidRPr="000932B0">
        <w:rPr>
          <w:rFonts w:asciiTheme="minorEastAsia" w:eastAsiaTheme="minorEastAsia" w:hAnsiTheme="minorEastAsia"/>
          <w:sz w:val="20"/>
          <w:szCs w:val="20"/>
          <w:lang w:val="zh-CN" w:eastAsia="zh-CN"/>
        </w:rPr>
        <w:t>对</w:t>
      </w:r>
      <w:r w:rsidRPr="000932B0">
        <w:rPr>
          <w:rFonts w:asciiTheme="minorEastAsia" w:eastAsiaTheme="minorEastAsia" w:hAnsiTheme="minorEastAsia"/>
          <w:kern w:val="18"/>
          <w:sz w:val="20"/>
          <w:szCs w:val="20"/>
          <w:lang w:val="zh-CN" w:eastAsia="zh-CN"/>
        </w:rPr>
        <w:t>“土著人民的概念”</w:t>
      </w:r>
      <w:r w:rsidRPr="000932B0">
        <w:rPr>
          <w:rFonts w:eastAsiaTheme="minorEastAsia"/>
          <w:sz w:val="20"/>
          <w:szCs w:val="20"/>
          <w:lang w:val="zh-CN" w:eastAsia="zh-CN"/>
        </w:rPr>
        <w:t>提出了建议</w:t>
      </w:r>
      <w:r w:rsidRPr="000932B0">
        <w:rPr>
          <w:rFonts w:eastAsiaTheme="minorEastAsia"/>
          <w:sz w:val="20"/>
          <w:szCs w:val="20"/>
          <w:lang w:eastAsia="zh-CN"/>
        </w:rPr>
        <w:t>，</w:t>
      </w:r>
      <w:r w:rsidRPr="000932B0">
        <w:rPr>
          <w:rFonts w:eastAsiaTheme="minorEastAsia"/>
          <w:sz w:val="20"/>
          <w:szCs w:val="20"/>
          <w:lang w:val="zh-CN" w:eastAsia="zh-CN"/>
        </w:rPr>
        <w:t>它引述了特别报告</w:t>
      </w:r>
      <w:r w:rsidRPr="000932B0">
        <w:rPr>
          <w:rFonts w:eastAsiaTheme="minorEastAsia"/>
          <w:kern w:val="18"/>
          <w:sz w:val="20"/>
          <w:szCs w:val="20"/>
          <w:lang w:val="zh-CN" w:eastAsia="zh-CN"/>
        </w:rPr>
        <w:t>员</w:t>
      </w:r>
      <w:r w:rsidRPr="000932B0">
        <w:rPr>
          <w:rFonts w:eastAsiaTheme="minorEastAsia"/>
          <w:kern w:val="18"/>
          <w:sz w:val="20"/>
          <w:szCs w:val="20"/>
          <w:lang w:val="zh-CN" w:eastAsia="zh-CN"/>
        </w:rPr>
        <w:t>José Martínez Cobo</w:t>
      </w:r>
      <w:r w:rsidRPr="000932B0">
        <w:rPr>
          <w:rFonts w:eastAsiaTheme="minorEastAsia"/>
          <w:kern w:val="18"/>
          <w:sz w:val="20"/>
          <w:szCs w:val="20"/>
          <w:lang w:val="zh-CN" w:eastAsia="zh-CN"/>
        </w:rPr>
        <w:t>先生关于对土著人民的歧视问题的报告</w:t>
      </w:r>
      <w:r w:rsidRPr="000932B0">
        <w:rPr>
          <w:rFonts w:eastAsiaTheme="minorEastAsia"/>
          <w:sz w:val="20"/>
          <w:szCs w:val="20"/>
          <w:lang w:val="zh-CN" w:eastAsia="zh-CN"/>
        </w:rPr>
        <w:t>（</w:t>
      </w:r>
      <w:r w:rsidRPr="000932B0">
        <w:rPr>
          <w:rFonts w:eastAsiaTheme="minorEastAsia"/>
          <w:kern w:val="18"/>
          <w:sz w:val="20"/>
          <w:szCs w:val="20"/>
          <w:lang w:val="zh-CN" w:eastAsia="zh-CN"/>
        </w:rPr>
        <w:t>E/CN.4/Sub.2/1982/2/Add.6</w:t>
      </w:r>
      <w:r w:rsidRPr="000932B0">
        <w:rPr>
          <w:rFonts w:eastAsiaTheme="minorEastAsia"/>
          <w:sz w:val="20"/>
          <w:szCs w:val="20"/>
          <w:lang w:eastAsia="zh-CN"/>
        </w:rPr>
        <w:t>）</w:t>
      </w:r>
      <w:r w:rsidRPr="000932B0">
        <w:rPr>
          <w:rFonts w:eastAsiaTheme="minorEastAsia"/>
          <w:sz w:val="20"/>
          <w:szCs w:val="20"/>
          <w:lang w:val="zh-CN" w:eastAsia="zh-CN"/>
        </w:rPr>
        <w:t>。见</w:t>
      </w:r>
      <w:hyperlink r:id="rId95" w:history="1">
        <w:r w:rsidRPr="000932B0">
          <w:rPr>
            <w:rStyle w:val="Hyperlink"/>
            <w:rFonts w:eastAsiaTheme="minorEastAsia"/>
            <w:kern w:val="22"/>
            <w:sz w:val="20"/>
            <w:szCs w:val="20"/>
            <w:lang w:eastAsia="zh-CN"/>
          </w:rPr>
          <w:t>http://www.un.org/esa/socdev/unpfii/documents/MCS_v_en.pdf</w:t>
        </w:r>
      </w:hyperlink>
      <w:r w:rsidRPr="000932B0">
        <w:rPr>
          <w:rFonts w:eastAsiaTheme="minorEastAsia"/>
          <w:sz w:val="20"/>
          <w:szCs w:val="20"/>
          <w:lang w:val="zh-CN" w:eastAsia="zh-CN"/>
        </w:rPr>
        <w:t>。</w:t>
      </w:r>
      <w:r w:rsidRPr="00650F1F">
        <w:rPr>
          <w:rFonts w:eastAsiaTheme="minorEastAsia"/>
          <w:kern w:val="18"/>
          <w:sz w:val="18"/>
          <w:szCs w:val="18"/>
          <w:lang w:eastAsia="zh-CN"/>
        </w:rPr>
        <w:t xml:space="preserve"> </w:t>
      </w:r>
    </w:p>
  </w:footnote>
  <w:footnote w:id="220">
    <w:p w:rsidR="00594C0B" w:rsidRPr="00650F1F" w:rsidRDefault="00594C0B" w:rsidP="00974D16">
      <w:pPr>
        <w:pStyle w:val="FootnoteText"/>
        <w:keepLines w:val="0"/>
        <w:suppressLineNumbers/>
        <w:tabs>
          <w:tab w:val="left" w:pos="-900"/>
          <w:tab w:val="left" w:pos="360"/>
        </w:tabs>
        <w:suppressAutoHyphens/>
        <w:autoSpaceDE w:val="0"/>
        <w:autoSpaceDN w:val="0"/>
        <w:adjustRightInd w:val="0"/>
        <w:snapToGrid w:val="0"/>
        <w:spacing w:before="0"/>
        <w:ind w:firstLine="0"/>
        <w:rPr>
          <w:rFonts w:eastAsiaTheme="minorEastAsia"/>
          <w:sz w:val="20"/>
          <w:szCs w:val="20"/>
          <w:lang w:eastAsia="zh-CN"/>
        </w:rPr>
      </w:pPr>
      <w:r w:rsidRPr="00974D16">
        <w:rPr>
          <w:rStyle w:val="FootnoteReference"/>
          <w:rFonts w:eastAsiaTheme="minorEastAsia"/>
          <w:sz w:val="24"/>
          <w:szCs w:val="18"/>
          <w:u w:val="none"/>
          <w:vertAlign w:val="superscript"/>
        </w:rPr>
        <w:footnoteRef/>
      </w:r>
      <w:r w:rsidRPr="00974D16">
        <w:rPr>
          <w:rStyle w:val="FootnoteReference"/>
          <w:rFonts w:eastAsiaTheme="minorEastAsia"/>
          <w:sz w:val="24"/>
          <w:szCs w:val="18"/>
          <w:u w:val="none"/>
          <w:vertAlign w:val="superscript"/>
          <w:lang w:eastAsia="zh-CN"/>
        </w:rPr>
        <w:t xml:space="preserve"> </w:t>
      </w:r>
      <w:r w:rsidRPr="00974D16">
        <w:rPr>
          <w:rStyle w:val="FootnoteReference"/>
          <w:sz w:val="24"/>
          <w:u w:val="none"/>
          <w:vertAlign w:val="superscript"/>
          <w:lang w:eastAsia="zh-CN"/>
        </w:rPr>
        <w:tab/>
      </w:r>
      <w:r w:rsidRPr="000932B0">
        <w:rPr>
          <w:rFonts w:eastAsiaTheme="minorEastAsia"/>
          <w:kern w:val="18"/>
          <w:sz w:val="20"/>
          <w:szCs w:val="18"/>
          <w:lang w:val="zh-CN" w:eastAsia="zh-CN"/>
        </w:rPr>
        <w:t>有关地方社区的涵意可引述关于地方社区的第</w:t>
      </w:r>
      <w:r w:rsidRPr="000932B0">
        <w:rPr>
          <w:rFonts w:eastAsiaTheme="minorEastAsia"/>
          <w:snapToGrid w:val="0"/>
          <w:kern w:val="18"/>
          <w:sz w:val="20"/>
          <w:szCs w:val="18"/>
          <w:lang w:val="en-US" w:eastAsia="zh-CN"/>
        </w:rPr>
        <w:t>XI/14</w:t>
      </w:r>
      <w:r w:rsidRPr="000932B0">
        <w:rPr>
          <w:rFonts w:eastAsiaTheme="minorEastAsia"/>
          <w:snapToGrid w:val="0"/>
          <w:kern w:val="18"/>
          <w:sz w:val="20"/>
          <w:szCs w:val="18"/>
          <w:lang w:val="en-US" w:eastAsia="zh-CN"/>
        </w:rPr>
        <w:t>号决定第</w:t>
      </w:r>
      <w:r w:rsidRPr="000932B0">
        <w:rPr>
          <w:rFonts w:eastAsiaTheme="minorEastAsia"/>
          <w:snapToGrid w:val="0"/>
          <w:kern w:val="18"/>
          <w:sz w:val="20"/>
          <w:szCs w:val="18"/>
          <w:lang w:val="en-US" w:eastAsia="zh-CN"/>
        </w:rPr>
        <w:t>17-21</w:t>
      </w:r>
      <w:r w:rsidRPr="000932B0">
        <w:rPr>
          <w:rFonts w:eastAsiaTheme="minorEastAsia"/>
          <w:kern w:val="18"/>
          <w:sz w:val="20"/>
          <w:szCs w:val="18"/>
          <w:lang w:val="zh-CN" w:eastAsia="zh-CN"/>
        </w:rPr>
        <w:t>段和《生物多样性公约》第</w:t>
      </w:r>
      <w:r w:rsidRPr="000932B0">
        <w:rPr>
          <w:rFonts w:eastAsiaTheme="minorEastAsia"/>
          <w:snapToGrid w:val="0"/>
          <w:kern w:val="18"/>
          <w:sz w:val="20"/>
          <w:szCs w:val="18"/>
          <w:lang w:val="en-US" w:eastAsia="zh-CN"/>
        </w:rPr>
        <w:t>8(j)</w:t>
      </w:r>
      <w:r w:rsidRPr="000932B0">
        <w:rPr>
          <w:rFonts w:eastAsiaTheme="minorEastAsia"/>
          <w:kern w:val="18"/>
          <w:sz w:val="20"/>
          <w:szCs w:val="18"/>
          <w:lang w:val="zh-CN" w:eastAsia="zh-CN"/>
        </w:rPr>
        <w:t>条和相关条款范围内地方社区代表专家组会议的报告（</w:t>
      </w:r>
      <w:r w:rsidRPr="000932B0">
        <w:rPr>
          <w:rFonts w:eastAsiaTheme="minorEastAsia"/>
          <w:kern w:val="18"/>
          <w:sz w:val="20"/>
          <w:szCs w:val="18"/>
          <w:lang w:val="zh-CN" w:eastAsia="zh-CN"/>
        </w:rPr>
        <w:t>UNEP/CBD/WG8J/7/8/Add.1</w:t>
      </w:r>
      <w:r w:rsidRPr="000932B0">
        <w:rPr>
          <w:rFonts w:eastAsiaTheme="minorEastAsia"/>
          <w:kern w:val="18"/>
          <w:sz w:val="20"/>
          <w:szCs w:val="18"/>
          <w:lang w:eastAsia="zh-CN"/>
        </w:rPr>
        <w:t>）</w:t>
      </w:r>
      <w:r w:rsidRPr="000932B0">
        <w:rPr>
          <w:rFonts w:eastAsiaTheme="minorEastAsia"/>
          <w:kern w:val="18"/>
          <w:sz w:val="20"/>
          <w:szCs w:val="18"/>
          <w:lang w:val="zh-CN" w:eastAsia="zh-CN"/>
        </w:rPr>
        <w:t>。</w:t>
      </w:r>
    </w:p>
  </w:footnote>
  <w:footnote w:id="221">
    <w:p w:rsidR="00594C0B" w:rsidRPr="00650F1F" w:rsidRDefault="00594C0B" w:rsidP="00650F1F">
      <w:pPr>
        <w:pStyle w:val="FootnoteText"/>
        <w:keepLines w:val="0"/>
        <w:suppressLineNumbers/>
        <w:tabs>
          <w:tab w:val="left" w:pos="360"/>
        </w:tabs>
        <w:suppressAutoHyphens/>
        <w:autoSpaceDE w:val="0"/>
        <w:autoSpaceDN w:val="0"/>
        <w:adjustRightInd w:val="0"/>
        <w:snapToGrid w:val="0"/>
        <w:spacing w:before="0"/>
        <w:ind w:firstLine="0"/>
        <w:jc w:val="left"/>
        <w:rPr>
          <w:rFonts w:eastAsiaTheme="minorEastAsia"/>
          <w:szCs w:val="18"/>
          <w:lang w:eastAsia="zh-CN"/>
        </w:rPr>
      </w:pPr>
      <w:r w:rsidRPr="00974D16">
        <w:rPr>
          <w:rStyle w:val="FootnoteReference"/>
          <w:rFonts w:eastAsiaTheme="minorEastAsia"/>
          <w:sz w:val="24"/>
          <w:szCs w:val="18"/>
          <w:u w:val="none"/>
          <w:vertAlign w:val="superscript"/>
        </w:rPr>
        <w:footnoteRef/>
      </w:r>
      <w:r w:rsidRPr="00974D16">
        <w:rPr>
          <w:rStyle w:val="FootnoteReference"/>
          <w:rFonts w:eastAsiaTheme="minorEastAsia"/>
          <w:sz w:val="24"/>
          <w:szCs w:val="18"/>
          <w:u w:val="none"/>
          <w:vertAlign w:val="superscript"/>
          <w:lang w:eastAsia="zh-CN"/>
        </w:rPr>
        <w:t xml:space="preserve"> </w:t>
      </w:r>
      <w:r w:rsidRPr="00974D16">
        <w:rPr>
          <w:rStyle w:val="FootnoteReference"/>
          <w:sz w:val="24"/>
          <w:u w:val="none"/>
          <w:vertAlign w:val="superscript"/>
          <w:lang w:eastAsia="zh-CN"/>
        </w:rPr>
        <w:tab/>
      </w:r>
      <w:r w:rsidRPr="000932B0">
        <w:rPr>
          <w:rFonts w:eastAsiaTheme="minorEastAsia"/>
          <w:kern w:val="18"/>
          <w:sz w:val="20"/>
          <w:szCs w:val="18"/>
          <w:lang w:val="zh-CN" w:eastAsia="zh-CN"/>
        </w:rPr>
        <w:t>《生物多样性公约》</w:t>
      </w:r>
      <w:r w:rsidRPr="000932B0">
        <w:rPr>
          <w:rFonts w:eastAsiaTheme="minorEastAsia"/>
          <w:snapToGrid w:val="0"/>
          <w:kern w:val="18"/>
          <w:sz w:val="20"/>
          <w:szCs w:val="18"/>
          <w:lang w:val="en-US" w:eastAsia="zh-CN"/>
        </w:rPr>
        <w:t>第</w:t>
      </w:r>
      <w:r w:rsidRPr="000932B0">
        <w:rPr>
          <w:rFonts w:eastAsiaTheme="minorEastAsia"/>
          <w:kern w:val="18"/>
          <w:sz w:val="20"/>
          <w:szCs w:val="18"/>
          <w:lang w:val="zh-CN" w:eastAsia="zh-CN"/>
        </w:rPr>
        <w:t>14</w:t>
      </w:r>
      <w:r w:rsidRPr="000932B0">
        <w:rPr>
          <w:rFonts w:eastAsiaTheme="minorEastAsia"/>
          <w:kern w:val="18"/>
          <w:sz w:val="20"/>
          <w:szCs w:val="18"/>
          <w:lang w:val="zh-CN" w:eastAsia="zh-CN"/>
        </w:rPr>
        <w:t>条（</w:t>
      </w:r>
      <w:r w:rsidRPr="000932B0">
        <w:rPr>
          <w:rFonts w:asciiTheme="minorEastAsia" w:eastAsiaTheme="minorEastAsia" w:hAnsiTheme="minorEastAsia"/>
          <w:kern w:val="18"/>
          <w:sz w:val="20"/>
          <w:szCs w:val="18"/>
          <w:lang w:val="zh-CN" w:eastAsia="zh-CN"/>
        </w:rPr>
        <w:t>“影响评估和尽量减少不利影响”</w:t>
      </w:r>
      <w:r w:rsidRPr="000932B0">
        <w:rPr>
          <w:rFonts w:eastAsiaTheme="minorEastAsia"/>
          <w:kern w:val="18"/>
          <w:sz w:val="20"/>
          <w:szCs w:val="18"/>
          <w:lang w:val="zh-CN" w:eastAsia="zh-CN"/>
        </w:rPr>
        <w:t>）。</w:t>
      </w:r>
    </w:p>
  </w:footnote>
  <w:footnote w:id="222">
    <w:p w:rsidR="00594C0B" w:rsidRPr="00650F1F" w:rsidRDefault="00594C0B" w:rsidP="00650F1F">
      <w:pPr>
        <w:pStyle w:val="FootnoteText"/>
        <w:keepLines w:val="0"/>
        <w:suppressLineNumbers/>
        <w:tabs>
          <w:tab w:val="left" w:pos="360"/>
        </w:tabs>
        <w:suppressAutoHyphens/>
        <w:autoSpaceDE w:val="0"/>
        <w:autoSpaceDN w:val="0"/>
        <w:adjustRightInd w:val="0"/>
        <w:snapToGrid w:val="0"/>
        <w:spacing w:before="0"/>
        <w:ind w:firstLine="0"/>
        <w:jc w:val="left"/>
        <w:rPr>
          <w:rFonts w:eastAsiaTheme="minorEastAsia"/>
          <w:kern w:val="18"/>
          <w:szCs w:val="18"/>
          <w:lang w:eastAsia="zh-CN"/>
        </w:rPr>
      </w:pPr>
      <w:r w:rsidRPr="00974D16">
        <w:rPr>
          <w:rStyle w:val="FootnoteReference"/>
          <w:rFonts w:eastAsiaTheme="minorEastAsia"/>
          <w:sz w:val="24"/>
          <w:szCs w:val="18"/>
          <w:u w:val="none"/>
          <w:vertAlign w:val="superscript"/>
        </w:rPr>
        <w:footnoteRef/>
      </w:r>
      <w:r w:rsidRPr="00974D16">
        <w:rPr>
          <w:rStyle w:val="FootnoteReference"/>
          <w:rFonts w:eastAsiaTheme="minorEastAsia"/>
          <w:sz w:val="24"/>
          <w:szCs w:val="18"/>
          <w:u w:val="none"/>
          <w:vertAlign w:val="superscript"/>
          <w:lang w:eastAsia="zh-CN"/>
        </w:rPr>
        <w:t xml:space="preserve"> </w:t>
      </w:r>
      <w:r w:rsidRPr="00974D16">
        <w:rPr>
          <w:rStyle w:val="FootnoteReference"/>
          <w:sz w:val="24"/>
          <w:u w:val="none"/>
          <w:vertAlign w:val="superscript"/>
          <w:lang w:eastAsia="zh-CN"/>
        </w:rPr>
        <w:t xml:space="preserve"> </w:t>
      </w:r>
      <w:r w:rsidRPr="00650F1F">
        <w:rPr>
          <w:rFonts w:eastAsiaTheme="minorEastAsia"/>
          <w:kern w:val="18"/>
          <w:szCs w:val="18"/>
          <w:vertAlign w:val="superscript"/>
          <w:lang w:eastAsia="zh-CN"/>
        </w:rPr>
        <w:tab/>
      </w:r>
      <w:r w:rsidRPr="000932B0">
        <w:rPr>
          <w:rFonts w:eastAsiaTheme="minorEastAsia"/>
          <w:kern w:val="18"/>
          <w:sz w:val="20"/>
          <w:szCs w:val="18"/>
          <w:lang w:eastAsia="zh-CN"/>
        </w:rPr>
        <w:t>在关于</w:t>
      </w:r>
      <w:r w:rsidRPr="000932B0">
        <w:rPr>
          <w:rFonts w:eastAsiaTheme="minorEastAsia"/>
          <w:kern w:val="18"/>
          <w:sz w:val="20"/>
          <w:szCs w:val="18"/>
          <w:lang w:val="zh-CN" w:eastAsia="zh-CN"/>
        </w:rPr>
        <w:t>《阿格维古准则》的</w:t>
      </w:r>
      <w:hyperlink r:id="rId96" w:history="1">
        <w:r w:rsidRPr="000932B0">
          <w:rPr>
            <w:rStyle w:val="Hyperlink"/>
            <w:rFonts w:eastAsiaTheme="minorEastAsia"/>
            <w:kern w:val="18"/>
            <w:sz w:val="20"/>
            <w:szCs w:val="18"/>
            <w:lang w:eastAsia="zh-CN"/>
          </w:rPr>
          <w:t>第</w:t>
        </w:r>
        <w:r w:rsidRPr="000932B0">
          <w:rPr>
            <w:rStyle w:val="Hyperlink"/>
            <w:rFonts w:eastAsiaTheme="minorEastAsia"/>
            <w:kern w:val="18"/>
            <w:sz w:val="20"/>
            <w:szCs w:val="18"/>
            <w:lang w:val="zh-CN" w:eastAsia="zh-CN"/>
          </w:rPr>
          <w:t>VII/16</w:t>
        </w:r>
        <w:r w:rsidRPr="000932B0">
          <w:rPr>
            <w:rStyle w:val="Hyperlink"/>
            <w:rFonts w:eastAsiaTheme="minorEastAsia"/>
            <w:kern w:val="18"/>
            <w:sz w:val="20"/>
            <w:szCs w:val="18"/>
            <w:lang w:eastAsia="zh-CN"/>
          </w:rPr>
          <w:t>号决定</w:t>
        </w:r>
      </w:hyperlink>
      <w:r w:rsidRPr="000932B0">
        <w:rPr>
          <w:rFonts w:eastAsiaTheme="minorEastAsia"/>
          <w:kern w:val="18"/>
          <w:sz w:val="20"/>
          <w:szCs w:val="18"/>
          <w:lang w:val="zh-CN" w:eastAsia="zh-CN"/>
        </w:rPr>
        <w:t>F</w:t>
      </w:r>
      <w:r w:rsidRPr="000932B0">
        <w:rPr>
          <w:rFonts w:eastAsiaTheme="minorEastAsia"/>
          <w:kern w:val="18"/>
          <w:sz w:val="20"/>
          <w:szCs w:val="18"/>
          <w:lang w:val="zh-CN" w:eastAsia="zh-CN"/>
        </w:rPr>
        <w:t>节的第</w:t>
      </w:r>
      <w:r w:rsidRPr="000932B0">
        <w:rPr>
          <w:rFonts w:eastAsiaTheme="minorEastAsia"/>
          <w:kern w:val="18"/>
          <w:sz w:val="20"/>
          <w:szCs w:val="18"/>
          <w:lang w:val="zh-CN" w:eastAsia="zh-CN"/>
        </w:rPr>
        <w:t>6(a)</w:t>
      </w:r>
      <w:r w:rsidRPr="000932B0">
        <w:rPr>
          <w:rFonts w:eastAsiaTheme="minorEastAsia"/>
          <w:kern w:val="18"/>
          <w:sz w:val="20"/>
          <w:szCs w:val="18"/>
          <w:lang w:val="zh-CN" w:eastAsia="zh-CN"/>
        </w:rPr>
        <w:t>段中得到核可。</w:t>
      </w:r>
    </w:p>
  </w:footnote>
  <w:footnote w:id="223">
    <w:p w:rsidR="00594C0B" w:rsidRPr="00650F1F" w:rsidRDefault="00594C0B" w:rsidP="00650F1F">
      <w:pPr>
        <w:pStyle w:val="FootnoteText"/>
        <w:keepLines w:val="0"/>
        <w:suppressLineNumbers/>
        <w:tabs>
          <w:tab w:val="left" w:pos="360"/>
        </w:tabs>
        <w:suppressAutoHyphens/>
        <w:autoSpaceDE w:val="0"/>
        <w:autoSpaceDN w:val="0"/>
        <w:adjustRightInd w:val="0"/>
        <w:snapToGrid w:val="0"/>
        <w:spacing w:before="0"/>
        <w:ind w:firstLine="0"/>
        <w:rPr>
          <w:rFonts w:eastAsiaTheme="minorEastAsia"/>
          <w:kern w:val="18"/>
          <w:szCs w:val="18"/>
          <w:lang w:eastAsia="zh-CN"/>
        </w:rPr>
      </w:pPr>
      <w:r w:rsidRPr="00974D16">
        <w:rPr>
          <w:rStyle w:val="FootnoteReference"/>
          <w:rFonts w:eastAsiaTheme="minorEastAsia"/>
          <w:sz w:val="24"/>
          <w:szCs w:val="18"/>
          <w:u w:val="none"/>
          <w:vertAlign w:val="superscript"/>
        </w:rPr>
        <w:footnoteRef/>
      </w:r>
      <w:r w:rsidRPr="00974D16">
        <w:rPr>
          <w:rStyle w:val="FootnoteReference"/>
          <w:rFonts w:eastAsiaTheme="minorEastAsia"/>
          <w:sz w:val="24"/>
          <w:szCs w:val="18"/>
          <w:u w:val="none"/>
          <w:vertAlign w:val="superscript"/>
          <w:lang w:eastAsia="zh-CN"/>
        </w:rPr>
        <w:t xml:space="preserve"> </w:t>
      </w:r>
      <w:r w:rsidRPr="00974D16">
        <w:rPr>
          <w:rStyle w:val="FootnoteReference"/>
          <w:sz w:val="24"/>
          <w:u w:val="none"/>
          <w:vertAlign w:val="superscript"/>
          <w:lang w:eastAsia="zh-CN"/>
        </w:rPr>
        <w:t xml:space="preserve"> </w:t>
      </w:r>
      <w:r w:rsidRPr="00650F1F">
        <w:rPr>
          <w:rFonts w:eastAsiaTheme="minorEastAsia"/>
          <w:szCs w:val="18"/>
          <w:vertAlign w:val="superscript"/>
          <w:lang w:val="zh-CN" w:eastAsia="zh-CN"/>
        </w:rPr>
        <w:tab/>
      </w:r>
      <w:r w:rsidRPr="000932B0">
        <w:rPr>
          <w:rFonts w:eastAsiaTheme="minorEastAsia"/>
          <w:kern w:val="18"/>
          <w:sz w:val="20"/>
          <w:szCs w:val="18"/>
          <w:lang w:eastAsia="zh-CN"/>
        </w:rPr>
        <w:t>在关于</w:t>
      </w:r>
      <w:r w:rsidRPr="000932B0">
        <w:rPr>
          <w:rFonts w:eastAsiaTheme="minorEastAsia"/>
          <w:kern w:val="18"/>
          <w:sz w:val="20"/>
          <w:szCs w:val="18"/>
          <w:lang w:val="zh-CN" w:eastAsia="zh-CN"/>
        </w:rPr>
        <w:t>《阿格维古准则》的</w:t>
      </w:r>
      <w:hyperlink r:id="rId97" w:history="1">
        <w:r w:rsidRPr="000932B0">
          <w:rPr>
            <w:rStyle w:val="Hyperlink"/>
            <w:rFonts w:eastAsiaTheme="minorEastAsia"/>
            <w:kern w:val="18"/>
            <w:sz w:val="20"/>
            <w:szCs w:val="18"/>
            <w:lang w:eastAsia="zh-CN"/>
          </w:rPr>
          <w:t>第</w:t>
        </w:r>
        <w:r w:rsidRPr="000932B0">
          <w:rPr>
            <w:rStyle w:val="Hyperlink"/>
            <w:rFonts w:eastAsiaTheme="minorEastAsia"/>
            <w:kern w:val="18"/>
            <w:sz w:val="20"/>
            <w:szCs w:val="18"/>
            <w:lang w:val="zh-CN" w:eastAsia="zh-CN"/>
          </w:rPr>
          <w:t>VII/16</w:t>
        </w:r>
        <w:r w:rsidRPr="000932B0">
          <w:rPr>
            <w:rStyle w:val="Hyperlink"/>
            <w:rFonts w:eastAsiaTheme="minorEastAsia"/>
            <w:kern w:val="18"/>
            <w:sz w:val="20"/>
            <w:szCs w:val="18"/>
            <w:lang w:eastAsia="zh-CN"/>
          </w:rPr>
          <w:t>号决定</w:t>
        </w:r>
      </w:hyperlink>
      <w:r w:rsidRPr="000932B0">
        <w:rPr>
          <w:rFonts w:eastAsiaTheme="minorEastAsia"/>
          <w:kern w:val="18"/>
          <w:sz w:val="20"/>
          <w:szCs w:val="18"/>
          <w:lang w:val="zh-CN" w:eastAsia="zh-CN"/>
        </w:rPr>
        <w:t>F</w:t>
      </w:r>
      <w:r w:rsidRPr="000932B0">
        <w:rPr>
          <w:rFonts w:eastAsiaTheme="minorEastAsia"/>
          <w:kern w:val="18"/>
          <w:sz w:val="20"/>
          <w:szCs w:val="18"/>
          <w:lang w:val="zh-CN" w:eastAsia="zh-CN"/>
        </w:rPr>
        <w:t>节的第</w:t>
      </w:r>
      <w:r w:rsidRPr="000932B0">
        <w:rPr>
          <w:rFonts w:eastAsiaTheme="minorEastAsia"/>
          <w:kern w:val="18"/>
          <w:sz w:val="20"/>
          <w:szCs w:val="18"/>
          <w:lang w:val="zh-CN" w:eastAsia="zh-CN"/>
        </w:rPr>
        <w:t>6(b)</w:t>
      </w:r>
      <w:r w:rsidRPr="000932B0">
        <w:rPr>
          <w:rFonts w:eastAsiaTheme="minorEastAsia"/>
          <w:kern w:val="18"/>
          <w:sz w:val="20"/>
          <w:szCs w:val="18"/>
          <w:lang w:val="zh-CN" w:eastAsia="zh-CN"/>
        </w:rPr>
        <w:t>段中得到核可。应结合本词汇表中纳入的文化遗产影响评估和文化遗产的定义予以审议。</w:t>
      </w:r>
    </w:p>
  </w:footnote>
  <w:footnote w:id="224">
    <w:p w:rsidR="00594C0B" w:rsidRPr="00650F1F" w:rsidRDefault="00594C0B" w:rsidP="00650F1F">
      <w:pPr>
        <w:pStyle w:val="FootnoteText"/>
        <w:keepLines w:val="0"/>
        <w:suppressLineNumbers/>
        <w:tabs>
          <w:tab w:val="left" w:pos="360"/>
        </w:tabs>
        <w:suppressAutoHyphens/>
        <w:autoSpaceDE w:val="0"/>
        <w:autoSpaceDN w:val="0"/>
        <w:adjustRightInd w:val="0"/>
        <w:snapToGrid w:val="0"/>
        <w:spacing w:before="0"/>
        <w:ind w:firstLine="0"/>
        <w:jc w:val="left"/>
        <w:rPr>
          <w:rFonts w:eastAsiaTheme="minorEastAsia"/>
          <w:kern w:val="18"/>
          <w:szCs w:val="18"/>
          <w:lang w:eastAsia="zh-CN"/>
        </w:rPr>
      </w:pPr>
      <w:r w:rsidRPr="00974D16">
        <w:rPr>
          <w:rStyle w:val="FootnoteReference"/>
          <w:rFonts w:eastAsiaTheme="minorEastAsia"/>
          <w:sz w:val="24"/>
          <w:szCs w:val="18"/>
          <w:u w:val="none"/>
          <w:vertAlign w:val="superscript"/>
        </w:rPr>
        <w:footnoteRef/>
      </w:r>
      <w:r w:rsidRPr="00974D16">
        <w:rPr>
          <w:rStyle w:val="FootnoteReference"/>
          <w:rFonts w:eastAsiaTheme="minorEastAsia"/>
          <w:sz w:val="24"/>
          <w:szCs w:val="18"/>
          <w:u w:val="none"/>
          <w:vertAlign w:val="superscript"/>
          <w:lang w:eastAsia="zh-CN"/>
        </w:rPr>
        <w:t xml:space="preserve"> </w:t>
      </w:r>
      <w:r w:rsidRPr="00974D16">
        <w:rPr>
          <w:rStyle w:val="FootnoteReference"/>
          <w:sz w:val="24"/>
          <w:u w:val="none"/>
          <w:vertAlign w:val="superscript"/>
          <w:lang w:eastAsia="zh-CN"/>
        </w:rPr>
        <w:t xml:space="preserve"> </w:t>
      </w:r>
      <w:r w:rsidRPr="00974D16">
        <w:rPr>
          <w:rStyle w:val="FootnoteReference"/>
          <w:sz w:val="24"/>
          <w:u w:val="none"/>
          <w:vertAlign w:val="superscript"/>
          <w:lang w:eastAsia="zh-CN"/>
        </w:rPr>
        <w:tab/>
      </w:r>
      <w:r w:rsidRPr="000932B0">
        <w:rPr>
          <w:rFonts w:eastAsiaTheme="minorEastAsia"/>
          <w:kern w:val="18"/>
          <w:sz w:val="20"/>
          <w:szCs w:val="18"/>
          <w:lang w:eastAsia="zh-CN"/>
        </w:rPr>
        <w:t>在关于</w:t>
      </w:r>
      <w:r w:rsidRPr="000932B0">
        <w:rPr>
          <w:rFonts w:eastAsiaTheme="minorEastAsia"/>
          <w:kern w:val="18"/>
          <w:sz w:val="20"/>
          <w:szCs w:val="18"/>
          <w:lang w:val="zh-CN" w:eastAsia="zh-CN"/>
        </w:rPr>
        <w:t>《阿格维古准则》的第</w:t>
      </w:r>
      <w:hyperlink r:id="rId98" w:history="1">
        <w:r w:rsidRPr="000932B0">
          <w:rPr>
            <w:rStyle w:val="Hyperlink"/>
            <w:rFonts w:eastAsiaTheme="minorEastAsia"/>
            <w:kern w:val="18"/>
            <w:sz w:val="20"/>
            <w:szCs w:val="18"/>
            <w:lang w:val="zh-CN" w:eastAsia="zh-CN"/>
          </w:rPr>
          <w:t>VII/16</w:t>
        </w:r>
        <w:r w:rsidRPr="000932B0">
          <w:rPr>
            <w:rStyle w:val="Hyperlink"/>
            <w:rFonts w:eastAsiaTheme="minorEastAsia"/>
            <w:kern w:val="18"/>
            <w:sz w:val="20"/>
            <w:szCs w:val="18"/>
            <w:lang w:eastAsia="zh-CN"/>
          </w:rPr>
          <w:t>号决定</w:t>
        </w:r>
      </w:hyperlink>
      <w:r w:rsidRPr="000932B0">
        <w:rPr>
          <w:rFonts w:eastAsiaTheme="minorEastAsia"/>
          <w:kern w:val="18"/>
          <w:sz w:val="20"/>
          <w:szCs w:val="18"/>
          <w:lang w:val="zh-CN" w:eastAsia="zh-CN"/>
        </w:rPr>
        <w:t>F</w:t>
      </w:r>
      <w:r w:rsidRPr="000932B0">
        <w:rPr>
          <w:rFonts w:eastAsiaTheme="minorEastAsia"/>
          <w:kern w:val="18"/>
          <w:sz w:val="20"/>
          <w:szCs w:val="18"/>
          <w:lang w:val="zh-CN" w:eastAsia="zh-CN"/>
        </w:rPr>
        <w:t>节的第</w:t>
      </w:r>
      <w:r w:rsidRPr="000932B0">
        <w:rPr>
          <w:rFonts w:eastAsiaTheme="minorEastAsia"/>
          <w:kern w:val="18"/>
          <w:sz w:val="20"/>
          <w:szCs w:val="18"/>
          <w:lang w:val="zh-CN" w:eastAsia="zh-CN"/>
        </w:rPr>
        <w:t>6(c)</w:t>
      </w:r>
      <w:r w:rsidRPr="000932B0">
        <w:rPr>
          <w:rFonts w:eastAsiaTheme="minorEastAsia"/>
          <w:kern w:val="18"/>
          <w:sz w:val="20"/>
          <w:szCs w:val="18"/>
          <w:lang w:val="zh-CN" w:eastAsia="zh-CN"/>
        </w:rPr>
        <w:t>段中得到核可。</w:t>
      </w:r>
    </w:p>
  </w:footnote>
  <w:footnote w:id="225">
    <w:p w:rsidR="00594C0B" w:rsidRPr="00650F1F" w:rsidRDefault="00594C0B" w:rsidP="00650F1F">
      <w:pPr>
        <w:pStyle w:val="FootnoteText"/>
        <w:keepLines w:val="0"/>
        <w:suppressLineNumbers/>
        <w:tabs>
          <w:tab w:val="left" w:pos="360"/>
        </w:tabs>
        <w:suppressAutoHyphens/>
        <w:autoSpaceDE w:val="0"/>
        <w:autoSpaceDN w:val="0"/>
        <w:adjustRightInd w:val="0"/>
        <w:snapToGrid w:val="0"/>
        <w:spacing w:before="0"/>
        <w:ind w:firstLine="0"/>
        <w:jc w:val="left"/>
        <w:rPr>
          <w:rFonts w:eastAsiaTheme="minorEastAsia"/>
          <w:kern w:val="18"/>
          <w:szCs w:val="18"/>
          <w:lang w:eastAsia="zh-CN"/>
        </w:rPr>
      </w:pPr>
      <w:r w:rsidRPr="00974D16">
        <w:rPr>
          <w:rStyle w:val="FootnoteReference"/>
          <w:rFonts w:eastAsiaTheme="minorEastAsia"/>
          <w:sz w:val="24"/>
          <w:szCs w:val="18"/>
          <w:u w:val="none"/>
          <w:vertAlign w:val="superscript"/>
        </w:rPr>
        <w:footnoteRef/>
      </w:r>
      <w:r w:rsidRPr="00974D16">
        <w:rPr>
          <w:rStyle w:val="FootnoteReference"/>
          <w:rFonts w:eastAsiaTheme="minorEastAsia"/>
          <w:u w:val="none"/>
          <w:lang w:eastAsia="zh-CN"/>
        </w:rPr>
        <w:t xml:space="preserve">  </w:t>
      </w:r>
      <w:r w:rsidRPr="00974D16">
        <w:rPr>
          <w:rFonts w:eastAsiaTheme="minorEastAsia"/>
          <w:kern w:val="18"/>
          <w:szCs w:val="18"/>
          <w:vertAlign w:val="superscript"/>
          <w:lang w:eastAsia="zh-CN"/>
        </w:rPr>
        <w:t xml:space="preserve"> </w:t>
      </w:r>
      <w:r w:rsidRPr="000932B0">
        <w:rPr>
          <w:rFonts w:eastAsiaTheme="minorEastAsia"/>
          <w:kern w:val="18"/>
          <w:sz w:val="20"/>
          <w:szCs w:val="18"/>
          <w:lang w:eastAsia="zh-CN"/>
        </w:rPr>
        <w:t>在关于</w:t>
      </w:r>
      <w:r w:rsidRPr="000932B0">
        <w:rPr>
          <w:rFonts w:eastAsiaTheme="minorEastAsia"/>
          <w:kern w:val="18"/>
          <w:sz w:val="20"/>
          <w:szCs w:val="18"/>
          <w:lang w:val="zh-CN" w:eastAsia="zh-CN"/>
        </w:rPr>
        <w:t>《阿格维古准则》的第</w:t>
      </w:r>
      <w:hyperlink r:id="rId99" w:history="1">
        <w:r w:rsidRPr="000932B0">
          <w:rPr>
            <w:rStyle w:val="Hyperlink"/>
            <w:rFonts w:eastAsiaTheme="minorEastAsia"/>
            <w:kern w:val="18"/>
            <w:sz w:val="20"/>
            <w:szCs w:val="18"/>
            <w:lang w:val="zh-CN" w:eastAsia="zh-CN"/>
          </w:rPr>
          <w:t>VII/16</w:t>
        </w:r>
        <w:r w:rsidRPr="000932B0">
          <w:rPr>
            <w:rStyle w:val="Hyperlink"/>
            <w:rFonts w:eastAsiaTheme="minorEastAsia"/>
            <w:kern w:val="18"/>
            <w:sz w:val="20"/>
            <w:szCs w:val="18"/>
            <w:lang w:eastAsia="zh-CN"/>
          </w:rPr>
          <w:t>号决定</w:t>
        </w:r>
      </w:hyperlink>
      <w:r w:rsidRPr="000932B0">
        <w:rPr>
          <w:rFonts w:eastAsiaTheme="minorEastAsia"/>
          <w:kern w:val="18"/>
          <w:sz w:val="20"/>
          <w:szCs w:val="18"/>
          <w:lang w:val="zh-CN" w:eastAsia="zh-CN"/>
        </w:rPr>
        <w:t>F</w:t>
      </w:r>
      <w:r w:rsidRPr="000932B0">
        <w:rPr>
          <w:rFonts w:eastAsiaTheme="minorEastAsia"/>
          <w:kern w:val="18"/>
          <w:sz w:val="20"/>
          <w:szCs w:val="18"/>
          <w:lang w:val="zh-CN" w:eastAsia="zh-CN"/>
        </w:rPr>
        <w:t>节的第</w:t>
      </w:r>
      <w:r w:rsidRPr="000932B0">
        <w:rPr>
          <w:rFonts w:eastAsiaTheme="minorEastAsia"/>
          <w:kern w:val="18"/>
          <w:sz w:val="20"/>
          <w:szCs w:val="18"/>
          <w:lang w:val="zh-CN" w:eastAsia="zh-CN"/>
        </w:rPr>
        <w:t>6(d)</w:t>
      </w:r>
      <w:r w:rsidRPr="000932B0">
        <w:rPr>
          <w:rFonts w:eastAsiaTheme="minorEastAsia"/>
          <w:kern w:val="18"/>
          <w:sz w:val="20"/>
          <w:szCs w:val="18"/>
          <w:lang w:val="zh-CN" w:eastAsia="zh-CN"/>
        </w:rPr>
        <w:t>段中得到核可。</w:t>
      </w:r>
    </w:p>
  </w:footnote>
  <w:footnote w:id="226">
    <w:p w:rsidR="00594C0B" w:rsidRPr="00650F1F" w:rsidRDefault="00594C0B" w:rsidP="00650F1F">
      <w:pPr>
        <w:pStyle w:val="FootnoteText"/>
        <w:keepLines w:val="0"/>
        <w:suppressLineNumbers/>
        <w:tabs>
          <w:tab w:val="left" w:pos="360"/>
        </w:tabs>
        <w:suppressAutoHyphens/>
        <w:autoSpaceDE w:val="0"/>
        <w:autoSpaceDN w:val="0"/>
        <w:adjustRightInd w:val="0"/>
        <w:snapToGrid w:val="0"/>
        <w:spacing w:before="0"/>
        <w:ind w:firstLine="0"/>
        <w:jc w:val="left"/>
        <w:rPr>
          <w:rFonts w:eastAsiaTheme="minorEastAsia"/>
          <w:kern w:val="18"/>
          <w:sz w:val="20"/>
          <w:szCs w:val="20"/>
          <w:lang w:eastAsia="zh-CN"/>
        </w:rPr>
      </w:pPr>
      <w:r w:rsidRPr="000932B0">
        <w:rPr>
          <w:rStyle w:val="FootnoteReference"/>
          <w:rFonts w:eastAsiaTheme="minorEastAsia"/>
          <w:sz w:val="24"/>
          <w:szCs w:val="18"/>
          <w:u w:val="none"/>
          <w:vertAlign w:val="superscript"/>
        </w:rPr>
        <w:footnoteRef/>
      </w:r>
      <w:r w:rsidRPr="000932B0">
        <w:rPr>
          <w:rStyle w:val="FootnoteReference"/>
          <w:rFonts w:eastAsiaTheme="minorEastAsia"/>
          <w:sz w:val="24"/>
          <w:u w:val="none"/>
          <w:vertAlign w:val="superscript"/>
          <w:lang w:eastAsia="zh-CN"/>
        </w:rPr>
        <w:t xml:space="preserve"> </w:t>
      </w:r>
      <w:r w:rsidRPr="00650F1F">
        <w:rPr>
          <w:rFonts w:eastAsiaTheme="minorEastAsia"/>
          <w:kern w:val="18"/>
          <w:szCs w:val="18"/>
          <w:lang w:eastAsia="zh-CN"/>
        </w:rPr>
        <w:t xml:space="preserve"> </w:t>
      </w:r>
      <w:r w:rsidRPr="00650F1F">
        <w:rPr>
          <w:rFonts w:eastAsiaTheme="minorEastAsia"/>
          <w:kern w:val="18"/>
          <w:szCs w:val="18"/>
          <w:lang w:eastAsia="zh-CN"/>
        </w:rPr>
        <w:tab/>
      </w:r>
      <w:r w:rsidRPr="000932B0">
        <w:rPr>
          <w:rFonts w:eastAsiaTheme="minorEastAsia"/>
          <w:kern w:val="18"/>
          <w:sz w:val="20"/>
          <w:szCs w:val="18"/>
          <w:lang w:eastAsia="zh-CN"/>
        </w:rPr>
        <w:t>在关于</w:t>
      </w:r>
      <w:r w:rsidRPr="000932B0">
        <w:rPr>
          <w:rFonts w:eastAsiaTheme="minorEastAsia"/>
          <w:kern w:val="18"/>
          <w:sz w:val="20"/>
          <w:szCs w:val="18"/>
          <w:lang w:val="zh-CN" w:eastAsia="zh-CN"/>
        </w:rPr>
        <w:t>《阿格维古准则》的</w:t>
      </w:r>
      <w:hyperlink r:id="rId100" w:history="1">
        <w:r w:rsidRPr="000932B0">
          <w:rPr>
            <w:rStyle w:val="Hyperlink"/>
            <w:rFonts w:eastAsiaTheme="minorEastAsia"/>
            <w:kern w:val="18"/>
            <w:sz w:val="20"/>
            <w:szCs w:val="18"/>
            <w:lang w:eastAsia="zh-CN"/>
          </w:rPr>
          <w:t>第</w:t>
        </w:r>
        <w:r w:rsidRPr="000932B0">
          <w:rPr>
            <w:rStyle w:val="Hyperlink"/>
            <w:rFonts w:eastAsiaTheme="minorEastAsia"/>
            <w:kern w:val="18"/>
            <w:sz w:val="20"/>
            <w:szCs w:val="18"/>
            <w:lang w:val="zh-CN" w:eastAsia="zh-CN"/>
          </w:rPr>
          <w:t>VII/16</w:t>
        </w:r>
        <w:r w:rsidRPr="000932B0">
          <w:rPr>
            <w:rStyle w:val="Hyperlink"/>
            <w:rFonts w:eastAsiaTheme="minorEastAsia"/>
            <w:kern w:val="18"/>
            <w:sz w:val="20"/>
            <w:szCs w:val="18"/>
            <w:lang w:eastAsia="zh-CN"/>
          </w:rPr>
          <w:t>号决定</w:t>
        </w:r>
      </w:hyperlink>
      <w:r w:rsidRPr="000932B0">
        <w:rPr>
          <w:rFonts w:eastAsiaTheme="minorEastAsia"/>
          <w:kern w:val="18"/>
          <w:sz w:val="20"/>
          <w:szCs w:val="18"/>
          <w:lang w:val="zh-CN" w:eastAsia="zh-CN"/>
        </w:rPr>
        <w:t>F</w:t>
      </w:r>
      <w:r w:rsidRPr="000932B0">
        <w:rPr>
          <w:rFonts w:eastAsiaTheme="minorEastAsia"/>
          <w:kern w:val="18"/>
          <w:sz w:val="20"/>
          <w:szCs w:val="18"/>
          <w:lang w:val="zh-CN" w:eastAsia="zh-CN"/>
        </w:rPr>
        <w:t>节的第</w:t>
      </w:r>
      <w:r w:rsidRPr="000932B0">
        <w:rPr>
          <w:rFonts w:eastAsiaTheme="minorEastAsia"/>
          <w:kern w:val="18"/>
          <w:sz w:val="20"/>
          <w:szCs w:val="18"/>
          <w:lang w:val="zh-CN" w:eastAsia="zh-CN"/>
        </w:rPr>
        <w:t>6(e)</w:t>
      </w:r>
      <w:r w:rsidRPr="000932B0">
        <w:rPr>
          <w:rFonts w:eastAsiaTheme="minorEastAsia"/>
          <w:kern w:val="18"/>
          <w:sz w:val="20"/>
          <w:szCs w:val="18"/>
          <w:lang w:val="zh-CN" w:eastAsia="zh-CN"/>
        </w:rPr>
        <w:t>段中得到核可。</w:t>
      </w:r>
    </w:p>
  </w:footnote>
  <w:footnote w:id="227">
    <w:p w:rsidR="00594C0B" w:rsidRPr="00650F1F" w:rsidRDefault="00594C0B" w:rsidP="00650F1F">
      <w:pPr>
        <w:pStyle w:val="FootnoteText"/>
        <w:keepLines w:val="0"/>
        <w:suppressLineNumbers/>
        <w:tabs>
          <w:tab w:val="left" w:pos="360"/>
        </w:tabs>
        <w:suppressAutoHyphens/>
        <w:autoSpaceDE w:val="0"/>
        <w:autoSpaceDN w:val="0"/>
        <w:adjustRightInd w:val="0"/>
        <w:snapToGrid w:val="0"/>
        <w:spacing w:before="0"/>
        <w:ind w:firstLine="0"/>
        <w:jc w:val="left"/>
        <w:rPr>
          <w:rFonts w:eastAsiaTheme="minorEastAsia"/>
          <w:kern w:val="18"/>
          <w:szCs w:val="18"/>
          <w:lang w:eastAsia="zh-CN"/>
        </w:rPr>
      </w:pPr>
      <w:r w:rsidRPr="000932B0">
        <w:rPr>
          <w:rStyle w:val="FootnoteReference"/>
          <w:rFonts w:eastAsiaTheme="minorEastAsia"/>
          <w:sz w:val="24"/>
          <w:szCs w:val="18"/>
          <w:u w:val="none"/>
          <w:vertAlign w:val="superscript"/>
        </w:rPr>
        <w:footnoteRef/>
      </w:r>
      <w:r w:rsidRPr="000932B0">
        <w:rPr>
          <w:rStyle w:val="FootnoteReference"/>
          <w:sz w:val="24"/>
          <w:u w:val="none"/>
          <w:vertAlign w:val="superscript"/>
          <w:lang w:eastAsia="zh-CN"/>
        </w:rPr>
        <w:t xml:space="preserve">  </w:t>
      </w:r>
      <w:r w:rsidRPr="00650F1F">
        <w:rPr>
          <w:rFonts w:eastAsiaTheme="minorEastAsia"/>
          <w:szCs w:val="18"/>
          <w:vertAlign w:val="superscript"/>
          <w:lang w:val="zh-CN" w:eastAsia="zh-CN"/>
        </w:rPr>
        <w:tab/>
      </w:r>
      <w:r w:rsidRPr="000932B0">
        <w:rPr>
          <w:rFonts w:eastAsiaTheme="minorEastAsia"/>
          <w:kern w:val="18"/>
          <w:sz w:val="20"/>
          <w:szCs w:val="18"/>
          <w:lang w:eastAsia="zh-CN"/>
        </w:rPr>
        <w:t>在关于</w:t>
      </w:r>
      <w:r w:rsidRPr="000932B0">
        <w:rPr>
          <w:rFonts w:eastAsiaTheme="minorEastAsia"/>
          <w:kern w:val="18"/>
          <w:sz w:val="20"/>
          <w:szCs w:val="18"/>
          <w:lang w:val="zh-CN" w:eastAsia="zh-CN"/>
        </w:rPr>
        <w:t>《阿格维古准则》的第</w:t>
      </w:r>
      <w:hyperlink r:id="rId101" w:history="1">
        <w:r w:rsidRPr="000932B0">
          <w:rPr>
            <w:rStyle w:val="Hyperlink"/>
            <w:rFonts w:eastAsiaTheme="minorEastAsia"/>
            <w:kern w:val="18"/>
            <w:sz w:val="20"/>
            <w:szCs w:val="18"/>
            <w:lang w:eastAsia="zh-CN"/>
          </w:rPr>
          <w:t>VII/16</w:t>
        </w:r>
        <w:r w:rsidRPr="000932B0">
          <w:rPr>
            <w:rStyle w:val="Hyperlink"/>
            <w:rFonts w:eastAsiaTheme="minorEastAsia"/>
            <w:kern w:val="18"/>
            <w:sz w:val="20"/>
            <w:szCs w:val="18"/>
            <w:lang w:eastAsia="zh-CN"/>
          </w:rPr>
          <w:t>号决定</w:t>
        </w:r>
      </w:hyperlink>
      <w:r w:rsidRPr="000932B0">
        <w:rPr>
          <w:rFonts w:eastAsiaTheme="minorEastAsia"/>
          <w:kern w:val="18"/>
          <w:sz w:val="20"/>
          <w:szCs w:val="18"/>
          <w:lang w:val="zh-CN" w:eastAsia="zh-CN"/>
        </w:rPr>
        <w:t>F</w:t>
      </w:r>
      <w:r w:rsidRPr="000932B0">
        <w:rPr>
          <w:rFonts w:eastAsiaTheme="minorEastAsia"/>
          <w:kern w:val="18"/>
          <w:sz w:val="20"/>
          <w:szCs w:val="18"/>
          <w:lang w:val="zh-CN" w:eastAsia="zh-CN"/>
        </w:rPr>
        <w:t>节的第</w:t>
      </w:r>
      <w:r w:rsidRPr="000932B0">
        <w:rPr>
          <w:rFonts w:eastAsiaTheme="minorEastAsia"/>
          <w:kern w:val="18"/>
          <w:sz w:val="20"/>
          <w:szCs w:val="18"/>
          <w:lang w:eastAsia="zh-CN"/>
        </w:rPr>
        <w:t>6(f)</w:t>
      </w:r>
      <w:r w:rsidRPr="000932B0">
        <w:rPr>
          <w:rFonts w:eastAsiaTheme="minorEastAsia"/>
          <w:kern w:val="18"/>
          <w:sz w:val="20"/>
          <w:szCs w:val="18"/>
          <w:lang w:val="zh-CN" w:eastAsia="zh-CN"/>
        </w:rPr>
        <w:t>段中得到核可。</w:t>
      </w:r>
    </w:p>
  </w:footnote>
  <w:footnote w:id="228">
    <w:p w:rsidR="00594C0B" w:rsidRPr="00650F1F" w:rsidRDefault="00594C0B" w:rsidP="00650F1F">
      <w:pPr>
        <w:pStyle w:val="FootnoteText"/>
        <w:keepLines w:val="0"/>
        <w:suppressLineNumbers/>
        <w:tabs>
          <w:tab w:val="left" w:pos="360"/>
        </w:tabs>
        <w:suppressAutoHyphens/>
        <w:autoSpaceDE w:val="0"/>
        <w:autoSpaceDN w:val="0"/>
        <w:adjustRightInd w:val="0"/>
        <w:snapToGrid w:val="0"/>
        <w:spacing w:before="0"/>
        <w:ind w:firstLine="0"/>
        <w:jc w:val="left"/>
        <w:rPr>
          <w:rFonts w:eastAsiaTheme="minorEastAsia"/>
          <w:kern w:val="18"/>
          <w:szCs w:val="18"/>
          <w:lang w:eastAsia="zh-CN"/>
        </w:rPr>
      </w:pPr>
      <w:r w:rsidRPr="000932B0">
        <w:rPr>
          <w:rStyle w:val="FootnoteReference"/>
          <w:rFonts w:eastAsiaTheme="minorEastAsia"/>
          <w:sz w:val="24"/>
          <w:szCs w:val="18"/>
          <w:u w:val="none"/>
          <w:vertAlign w:val="superscript"/>
        </w:rPr>
        <w:footnoteRef/>
      </w:r>
      <w:r w:rsidRPr="000932B0">
        <w:rPr>
          <w:rStyle w:val="FootnoteReference"/>
          <w:rFonts w:eastAsiaTheme="minorEastAsia"/>
          <w:sz w:val="24"/>
          <w:szCs w:val="18"/>
          <w:u w:val="none"/>
          <w:vertAlign w:val="superscript"/>
          <w:lang w:eastAsia="zh-CN"/>
        </w:rPr>
        <w:t xml:space="preserve"> </w:t>
      </w:r>
      <w:r w:rsidRPr="000932B0">
        <w:rPr>
          <w:rStyle w:val="FootnoteReference"/>
          <w:rFonts w:eastAsiaTheme="minorEastAsia"/>
          <w:szCs w:val="18"/>
          <w:u w:val="none"/>
          <w:lang w:eastAsia="zh-CN"/>
        </w:rPr>
        <w:t xml:space="preserve"> </w:t>
      </w:r>
      <w:r w:rsidRPr="000932B0">
        <w:rPr>
          <w:rFonts w:eastAsiaTheme="minorEastAsia"/>
          <w:kern w:val="18"/>
          <w:sz w:val="20"/>
          <w:szCs w:val="18"/>
          <w:lang w:eastAsia="zh-CN"/>
        </w:rPr>
        <w:t>在关于</w:t>
      </w:r>
      <w:r w:rsidRPr="000932B0">
        <w:rPr>
          <w:rFonts w:eastAsiaTheme="minorEastAsia"/>
          <w:kern w:val="18"/>
          <w:sz w:val="20"/>
          <w:szCs w:val="18"/>
          <w:lang w:val="zh-CN" w:eastAsia="zh-CN"/>
        </w:rPr>
        <w:t>《阿格维古准则》的第</w:t>
      </w:r>
      <w:hyperlink r:id="rId102" w:history="1">
        <w:r w:rsidRPr="000932B0">
          <w:rPr>
            <w:rStyle w:val="Hyperlink"/>
            <w:rFonts w:eastAsiaTheme="minorEastAsia"/>
            <w:kern w:val="18"/>
            <w:sz w:val="20"/>
            <w:szCs w:val="18"/>
            <w:lang w:val="zh-CN" w:eastAsia="zh-CN"/>
          </w:rPr>
          <w:t>VII/16</w:t>
        </w:r>
        <w:r w:rsidRPr="000932B0">
          <w:rPr>
            <w:rStyle w:val="Hyperlink"/>
            <w:rFonts w:eastAsiaTheme="minorEastAsia"/>
            <w:kern w:val="18"/>
            <w:sz w:val="20"/>
            <w:szCs w:val="18"/>
            <w:lang w:eastAsia="zh-CN"/>
          </w:rPr>
          <w:t>号决定</w:t>
        </w:r>
      </w:hyperlink>
      <w:r w:rsidRPr="000932B0">
        <w:rPr>
          <w:rFonts w:eastAsiaTheme="minorEastAsia"/>
          <w:kern w:val="18"/>
          <w:sz w:val="20"/>
          <w:szCs w:val="18"/>
          <w:lang w:val="zh-CN" w:eastAsia="zh-CN"/>
        </w:rPr>
        <w:t>F</w:t>
      </w:r>
      <w:r w:rsidRPr="000932B0">
        <w:rPr>
          <w:rFonts w:eastAsiaTheme="minorEastAsia"/>
          <w:kern w:val="18"/>
          <w:sz w:val="20"/>
          <w:szCs w:val="18"/>
          <w:lang w:val="zh-CN" w:eastAsia="zh-CN"/>
        </w:rPr>
        <w:t>节的第</w:t>
      </w:r>
      <w:r w:rsidRPr="000932B0">
        <w:rPr>
          <w:rFonts w:eastAsiaTheme="minorEastAsia"/>
          <w:kern w:val="18"/>
          <w:sz w:val="20"/>
          <w:szCs w:val="18"/>
          <w:lang w:val="zh-CN" w:eastAsia="zh-CN"/>
        </w:rPr>
        <w:t>6(g)</w:t>
      </w:r>
      <w:r w:rsidRPr="000932B0">
        <w:rPr>
          <w:rFonts w:eastAsiaTheme="minorEastAsia"/>
          <w:kern w:val="18"/>
          <w:sz w:val="20"/>
          <w:szCs w:val="18"/>
          <w:lang w:val="zh-CN" w:eastAsia="zh-CN"/>
        </w:rPr>
        <w:t>段中得到核可。</w:t>
      </w:r>
    </w:p>
  </w:footnote>
  <w:footnote w:id="229">
    <w:p w:rsidR="00594C0B" w:rsidRPr="00650F1F" w:rsidRDefault="00594C0B" w:rsidP="000932B0">
      <w:pPr>
        <w:suppressLineNumbers/>
        <w:tabs>
          <w:tab w:val="left" w:pos="360"/>
        </w:tabs>
        <w:suppressAutoHyphens/>
        <w:autoSpaceDE w:val="0"/>
        <w:autoSpaceDN w:val="0"/>
        <w:adjustRightInd w:val="0"/>
        <w:snapToGrid w:val="0"/>
        <w:spacing w:before="0" w:after="60"/>
        <w:ind w:firstLine="0"/>
        <w:outlineLvl w:val="1"/>
        <w:rPr>
          <w:rFonts w:eastAsiaTheme="minorEastAsia"/>
          <w:b/>
          <w:caps/>
          <w:kern w:val="18"/>
          <w:sz w:val="18"/>
          <w:szCs w:val="18"/>
          <w:lang w:eastAsia="zh-CN"/>
        </w:rPr>
      </w:pPr>
      <w:r w:rsidRPr="000932B0">
        <w:rPr>
          <w:rStyle w:val="FootnoteReference"/>
          <w:rFonts w:eastAsiaTheme="minorEastAsia"/>
          <w:sz w:val="24"/>
          <w:szCs w:val="18"/>
          <w:u w:val="none"/>
          <w:vertAlign w:val="superscript"/>
          <w:lang w:val="en-GB"/>
        </w:rPr>
        <w:footnoteRef/>
      </w:r>
      <w:r w:rsidRPr="000932B0">
        <w:rPr>
          <w:rStyle w:val="FootnoteReference"/>
          <w:rFonts w:eastAsiaTheme="minorEastAsia"/>
          <w:sz w:val="24"/>
          <w:szCs w:val="18"/>
          <w:u w:val="none"/>
          <w:vertAlign w:val="superscript"/>
          <w:lang w:val="en-GB" w:eastAsia="zh-CN"/>
        </w:rPr>
        <w:t xml:space="preserve"> </w:t>
      </w:r>
      <w:r w:rsidRPr="000932B0">
        <w:rPr>
          <w:rStyle w:val="FootnoteReference"/>
          <w:sz w:val="24"/>
          <w:u w:val="none"/>
          <w:vertAlign w:val="superscript"/>
          <w:lang w:val="en-GB" w:eastAsia="zh-CN"/>
        </w:rPr>
        <w:tab/>
      </w:r>
      <w:r w:rsidRPr="000932B0">
        <w:rPr>
          <w:rFonts w:eastAsiaTheme="minorEastAsia"/>
          <w:kern w:val="18"/>
          <w:sz w:val="20"/>
          <w:szCs w:val="18"/>
          <w:lang w:val="zh-CN" w:eastAsia="zh-CN"/>
        </w:rPr>
        <w:t>制订各种机制、法律或其他适当倡议，确保土著人民和地方社区对于获取其知识、创新和做法取得取决于国情的</w:t>
      </w:r>
      <w:r w:rsidRPr="000932B0">
        <w:rPr>
          <w:rFonts w:asciiTheme="minorEastAsia" w:eastAsiaTheme="minorEastAsia" w:hAnsiTheme="minorEastAsia"/>
          <w:kern w:val="18"/>
          <w:sz w:val="20"/>
          <w:szCs w:val="18"/>
          <w:lang w:val="zh-CN" w:eastAsia="zh-CN"/>
        </w:rPr>
        <w:t>“事先和知情同意”、“自由、事先和知情同意”或“核准和参与”，</w:t>
      </w:r>
      <w:r w:rsidRPr="000932B0">
        <w:rPr>
          <w:rFonts w:eastAsiaTheme="minorEastAsia"/>
          <w:kern w:val="18"/>
          <w:sz w:val="20"/>
          <w:szCs w:val="18"/>
          <w:lang w:val="zh-CN" w:eastAsia="zh-CN"/>
        </w:rPr>
        <w:t>以及公正和公平地分享利用和应用与保护和可持续利用生物多样性有关的此种知识、创新和做法所产生的惠益，以及报告和防止非法盗用传统知识的自愿准则。</w:t>
      </w:r>
    </w:p>
  </w:footnote>
  <w:footnote w:id="230">
    <w:p w:rsidR="00594C0B" w:rsidRPr="00974D16" w:rsidRDefault="00594C0B" w:rsidP="00974D16">
      <w:pPr>
        <w:suppressLineNumbers/>
        <w:tabs>
          <w:tab w:val="left" w:pos="360"/>
        </w:tabs>
        <w:suppressAutoHyphens/>
        <w:autoSpaceDE w:val="0"/>
        <w:autoSpaceDN w:val="0"/>
        <w:adjustRightInd w:val="0"/>
        <w:snapToGrid w:val="0"/>
        <w:spacing w:before="0" w:after="60"/>
        <w:ind w:firstLine="0"/>
        <w:outlineLvl w:val="1"/>
        <w:rPr>
          <w:rFonts w:eastAsiaTheme="minorEastAsia"/>
          <w:kern w:val="18"/>
          <w:sz w:val="20"/>
          <w:szCs w:val="20"/>
          <w:lang w:eastAsia="zh-CN"/>
        </w:rPr>
      </w:pPr>
      <w:r w:rsidRPr="00974D16">
        <w:rPr>
          <w:rFonts w:eastAsiaTheme="minorEastAsia"/>
          <w:kern w:val="18"/>
          <w:szCs w:val="20"/>
          <w:vertAlign w:val="superscript"/>
          <w:lang w:eastAsia="zh-CN"/>
        </w:rPr>
        <w:footnoteRef/>
      </w:r>
      <w:r w:rsidRPr="00974D16">
        <w:rPr>
          <w:rFonts w:eastAsiaTheme="minorEastAsia"/>
          <w:kern w:val="18"/>
          <w:szCs w:val="20"/>
          <w:vertAlign w:val="superscript"/>
          <w:lang w:eastAsia="zh-CN"/>
        </w:rPr>
        <w:t xml:space="preserve"> </w:t>
      </w:r>
      <w:r w:rsidRPr="00974D16">
        <w:rPr>
          <w:rFonts w:eastAsiaTheme="minorEastAsia"/>
          <w:sz w:val="20"/>
          <w:szCs w:val="20"/>
          <w:vertAlign w:val="superscript"/>
          <w:lang w:val="zh-CN" w:eastAsia="zh-CN"/>
        </w:rPr>
        <w:tab/>
      </w:r>
      <w:r w:rsidRPr="00974D16">
        <w:rPr>
          <w:rFonts w:eastAsiaTheme="minorEastAsia"/>
          <w:kern w:val="18"/>
          <w:sz w:val="20"/>
          <w:szCs w:val="20"/>
          <w:lang w:eastAsia="zh-CN"/>
        </w:rPr>
        <w:t>在关于《</w:t>
      </w:r>
      <w:r w:rsidRPr="00974D16">
        <w:rPr>
          <w:rFonts w:asciiTheme="minorEastAsia" w:eastAsiaTheme="minorEastAsia" w:hAnsiTheme="minorEastAsia"/>
          <w:kern w:val="18"/>
          <w:sz w:val="20"/>
          <w:szCs w:val="20"/>
          <w:lang w:eastAsia="zh-CN"/>
        </w:rPr>
        <w:t>“生命之根”</w:t>
      </w:r>
      <w:r w:rsidRPr="00974D16">
        <w:rPr>
          <w:rFonts w:eastAsiaTheme="minorEastAsia"/>
          <w:kern w:val="18"/>
          <w:sz w:val="20"/>
          <w:szCs w:val="20"/>
          <w:lang w:eastAsia="zh-CN"/>
        </w:rPr>
        <w:t>自愿准则》的</w:t>
      </w:r>
      <w:hyperlink r:id="rId103" w:history="1">
        <w:r w:rsidRPr="00974D16">
          <w:rPr>
            <w:rStyle w:val="Hyperlink"/>
            <w:rFonts w:eastAsiaTheme="minorEastAsia"/>
            <w:kern w:val="18"/>
            <w:sz w:val="20"/>
            <w:szCs w:val="20"/>
            <w:lang w:eastAsia="zh-CN"/>
          </w:rPr>
          <w:t>第</w:t>
        </w:r>
        <w:r w:rsidRPr="00974D16">
          <w:rPr>
            <w:rStyle w:val="Hyperlink"/>
            <w:rFonts w:eastAsiaTheme="minorEastAsia"/>
            <w:kern w:val="18"/>
            <w:sz w:val="20"/>
            <w:szCs w:val="20"/>
            <w:lang w:eastAsia="zh-CN"/>
          </w:rPr>
          <w:t>XIII/18</w:t>
        </w:r>
        <w:r w:rsidRPr="00974D16">
          <w:rPr>
            <w:rStyle w:val="Hyperlink"/>
            <w:rFonts w:eastAsiaTheme="minorEastAsia"/>
            <w:kern w:val="18"/>
            <w:sz w:val="20"/>
            <w:szCs w:val="20"/>
            <w:lang w:eastAsia="zh-CN"/>
          </w:rPr>
          <w:t>号决定</w:t>
        </w:r>
      </w:hyperlink>
      <w:r w:rsidRPr="00974D16">
        <w:rPr>
          <w:rFonts w:eastAsiaTheme="minorEastAsia"/>
          <w:kern w:val="18"/>
          <w:sz w:val="20"/>
          <w:szCs w:val="20"/>
          <w:lang w:eastAsia="zh-CN"/>
        </w:rPr>
        <w:t>附件的第</w:t>
      </w:r>
      <w:r w:rsidRPr="00974D16">
        <w:rPr>
          <w:rFonts w:eastAsiaTheme="minorEastAsia"/>
          <w:kern w:val="18"/>
          <w:sz w:val="20"/>
          <w:szCs w:val="20"/>
          <w:lang w:eastAsia="zh-CN"/>
        </w:rPr>
        <w:t>7</w:t>
      </w:r>
      <w:r w:rsidRPr="00974D16">
        <w:rPr>
          <w:rFonts w:eastAsiaTheme="minorEastAsia"/>
          <w:kern w:val="18"/>
          <w:sz w:val="20"/>
          <w:szCs w:val="20"/>
          <w:lang w:eastAsia="zh-CN"/>
        </w:rPr>
        <w:t>和</w:t>
      </w:r>
      <w:r w:rsidRPr="00974D16">
        <w:rPr>
          <w:rFonts w:eastAsiaTheme="minorEastAsia"/>
          <w:kern w:val="18"/>
          <w:sz w:val="20"/>
          <w:szCs w:val="20"/>
          <w:lang w:eastAsia="zh-CN"/>
        </w:rPr>
        <w:t>8</w:t>
      </w:r>
      <w:r w:rsidRPr="00974D16">
        <w:rPr>
          <w:rFonts w:eastAsiaTheme="minorEastAsia"/>
          <w:kern w:val="18"/>
          <w:sz w:val="20"/>
          <w:szCs w:val="20"/>
          <w:lang w:eastAsia="zh-CN"/>
        </w:rPr>
        <w:t>段中得到核可。</w:t>
      </w:r>
    </w:p>
  </w:footnote>
  <w:footnote w:id="231">
    <w:p w:rsidR="00594C0B" w:rsidRPr="00974D16" w:rsidRDefault="00594C0B" w:rsidP="00974D16">
      <w:pPr>
        <w:suppressLineNumbers/>
        <w:tabs>
          <w:tab w:val="left" w:pos="360"/>
        </w:tabs>
        <w:suppressAutoHyphens/>
        <w:autoSpaceDE w:val="0"/>
        <w:autoSpaceDN w:val="0"/>
        <w:adjustRightInd w:val="0"/>
        <w:snapToGrid w:val="0"/>
        <w:spacing w:before="0" w:after="60"/>
        <w:ind w:firstLine="0"/>
        <w:outlineLvl w:val="1"/>
        <w:rPr>
          <w:rFonts w:eastAsiaTheme="minorEastAsia"/>
          <w:sz w:val="20"/>
          <w:szCs w:val="20"/>
          <w:lang w:eastAsia="zh-CN"/>
        </w:rPr>
      </w:pPr>
      <w:r w:rsidRPr="00974D16">
        <w:rPr>
          <w:rFonts w:eastAsiaTheme="minorEastAsia"/>
          <w:kern w:val="18"/>
          <w:szCs w:val="20"/>
          <w:vertAlign w:val="superscript"/>
          <w:lang w:eastAsia="zh-CN"/>
        </w:rPr>
        <w:footnoteRef/>
      </w:r>
      <w:r w:rsidRPr="00974D16">
        <w:rPr>
          <w:rFonts w:eastAsiaTheme="minorEastAsia"/>
          <w:kern w:val="18"/>
          <w:szCs w:val="20"/>
          <w:vertAlign w:val="superscript"/>
          <w:lang w:eastAsia="zh-CN"/>
        </w:rPr>
        <w:t xml:space="preserve"> </w:t>
      </w:r>
      <w:r w:rsidRPr="00974D16">
        <w:rPr>
          <w:rFonts w:eastAsiaTheme="minorEastAsia"/>
          <w:kern w:val="18"/>
          <w:sz w:val="20"/>
          <w:szCs w:val="20"/>
          <w:lang w:eastAsia="zh-CN"/>
        </w:rPr>
        <w:tab/>
      </w:r>
      <w:r w:rsidRPr="00974D16">
        <w:rPr>
          <w:rFonts w:eastAsiaTheme="minorEastAsia"/>
          <w:kern w:val="18"/>
          <w:sz w:val="20"/>
          <w:szCs w:val="20"/>
          <w:lang w:eastAsia="zh-CN"/>
        </w:rPr>
        <w:t>在关于《</w:t>
      </w:r>
      <w:r w:rsidRPr="00974D16">
        <w:rPr>
          <w:rFonts w:asciiTheme="minorEastAsia" w:eastAsiaTheme="minorEastAsia" w:hAnsiTheme="minorEastAsia"/>
          <w:kern w:val="18"/>
          <w:sz w:val="20"/>
          <w:szCs w:val="20"/>
          <w:lang w:eastAsia="zh-CN"/>
        </w:rPr>
        <w:t>“生命之根”自愿准则</w:t>
      </w:r>
      <w:r w:rsidRPr="00974D16">
        <w:rPr>
          <w:rFonts w:eastAsiaTheme="minorEastAsia"/>
          <w:kern w:val="18"/>
          <w:sz w:val="20"/>
          <w:szCs w:val="20"/>
          <w:lang w:eastAsia="zh-CN"/>
        </w:rPr>
        <w:t>》的</w:t>
      </w:r>
      <w:hyperlink r:id="rId104" w:history="1">
        <w:r w:rsidRPr="00974D16">
          <w:rPr>
            <w:rStyle w:val="Hyperlink"/>
            <w:rFonts w:eastAsiaTheme="minorEastAsia"/>
            <w:kern w:val="18"/>
            <w:sz w:val="20"/>
            <w:szCs w:val="20"/>
            <w:lang w:eastAsia="zh-CN"/>
          </w:rPr>
          <w:t>第</w:t>
        </w:r>
        <w:r w:rsidRPr="00974D16">
          <w:rPr>
            <w:rStyle w:val="Hyperlink"/>
            <w:rFonts w:eastAsiaTheme="minorEastAsia"/>
            <w:kern w:val="18"/>
            <w:sz w:val="20"/>
            <w:szCs w:val="20"/>
            <w:lang w:eastAsia="zh-CN"/>
          </w:rPr>
          <w:t>XIII/18</w:t>
        </w:r>
        <w:r w:rsidRPr="00974D16">
          <w:rPr>
            <w:rStyle w:val="Hyperlink"/>
            <w:rFonts w:eastAsiaTheme="minorEastAsia"/>
            <w:kern w:val="18"/>
            <w:sz w:val="20"/>
            <w:szCs w:val="20"/>
            <w:lang w:eastAsia="zh-CN"/>
          </w:rPr>
          <w:t>号决定</w:t>
        </w:r>
      </w:hyperlink>
      <w:r w:rsidRPr="00974D16">
        <w:rPr>
          <w:rFonts w:eastAsiaTheme="minorEastAsia"/>
          <w:kern w:val="18"/>
          <w:sz w:val="20"/>
          <w:szCs w:val="20"/>
          <w:lang w:eastAsia="zh-CN"/>
        </w:rPr>
        <w:t>附件的第</w:t>
      </w:r>
      <w:r w:rsidRPr="00974D16">
        <w:rPr>
          <w:rFonts w:eastAsiaTheme="minorEastAsia"/>
          <w:kern w:val="18"/>
          <w:sz w:val="20"/>
          <w:szCs w:val="20"/>
          <w:lang w:eastAsia="zh-CN"/>
        </w:rPr>
        <w:t>19</w:t>
      </w:r>
      <w:r w:rsidRPr="00974D16">
        <w:rPr>
          <w:rFonts w:eastAsiaTheme="minorEastAsia"/>
          <w:kern w:val="18"/>
          <w:sz w:val="20"/>
          <w:szCs w:val="20"/>
          <w:lang w:eastAsia="zh-CN"/>
        </w:rPr>
        <w:t>段中得到核可。</w:t>
      </w:r>
    </w:p>
  </w:footnote>
  <w:footnote w:id="232">
    <w:p w:rsidR="00594C0B" w:rsidRPr="00650F1F" w:rsidRDefault="00594C0B" w:rsidP="00974D16">
      <w:pPr>
        <w:pStyle w:val="FootnoteText"/>
        <w:keepLines w:val="0"/>
        <w:suppressLineNumbers/>
        <w:tabs>
          <w:tab w:val="left" w:pos="360"/>
        </w:tabs>
        <w:suppressAutoHyphens/>
        <w:autoSpaceDE w:val="0"/>
        <w:autoSpaceDN w:val="0"/>
        <w:adjustRightInd w:val="0"/>
        <w:snapToGrid w:val="0"/>
        <w:spacing w:before="0"/>
        <w:ind w:firstLine="0"/>
        <w:jc w:val="left"/>
        <w:rPr>
          <w:rFonts w:eastAsiaTheme="minorEastAsia"/>
          <w:sz w:val="20"/>
          <w:szCs w:val="20"/>
          <w:lang w:eastAsia="zh-CN"/>
        </w:rPr>
      </w:pPr>
      <w:r w:rsidRPr="00974D16">
        <w:rPr>
          <w:rFonts w:eastAsiaTheme="minorEastAsia"/>
          <w:kern w:val="18"/>
          <w:sz w:val="24"/>
          <w:szCs w:val="20"/>
          <w:vertAlign w:val="superscript"/>
          <w:lang w:val="en-US" w:eastAsia="zh-CN"/>
        </w:rPr>
        <w:footnoteRef/>
      </w:r>
      <w:r w:rsidRPr="00974D16">
        <w:rPr>
          <w:rFonts w:eastAsiaTheme="minorEastAsia"/>
          <w:kern w:val="18"/>
          <w:sz w:val="24"/>
          <w:szCs w:val="20"/>
          <w:vertAlign w:val="superscript"/>
          <w:lang w:val="en-US" w:eastAsia="zh-CN"/>
        </w:rPr>
        <w:t xml:space="preserve">  </w:t>
      </w:r>
      <w:r w:rsidRPr="00974D16">
        <w:rPr>
          <w:rFonts w:eastAsiaTheme="minorEastAsia"/>
          <w:kern w:val="18"/>
          <w:sz w:val="20"/>
          <w:szCs w:val="20"/>
          <w:lang w:val="zh-CN" w:eastAsia="zh-CN"/>
        </w:rPr>
        <w:t>这些术语和概念来自工作组第八次会议发布的关于《保护土著和地方社区传统知识、创新和做法特殊制度的可能组成部分》</w:t>
      </w:r>
      <w:r w:rsidRPr="00974D16">
        <w:rPr>
          <w:rFonts w:eastAsiaTheme="minorEastAsia"/>
          <w:kern w:val="22"/>
          <w:sz w:val="20"/>
          <w:szCs w:val="20"/>
          <w:lang w:val="zh-CN" w:eastAsia="zh-CN"/>
        </w:rPr>
        <w:t>的文件</w:t>
      </w:r>
      <w:r w:rsidRPr="00974D16">
        <w:rPr>
          <w:rFonts w:eastAsiaTheme="minorEastAsia"/>
          <w:kern w:val="22"/>
          <w:sz w:val="20"/>
          <w:szCs w:val="20"/>
          <w:lang w:eastAsia="zh-CN"/>
        </w:rPr>
        <w:t>(</w:t>
      </w:r>
      <w:hyperlink r:id="rId105" w:history="1">
        <w:r w:rsidRPr="00974D16">
          <w:rPr>
            <w:rStyle w:val="Hyperlink"/>
            <w:rFonts w:eastAsiaTheme="minorEastAsia"/>
            <w:kern w:val="18"/>
            <w:sz w:val="20"/>
            <w:szCs w:val="20"/>
            <w:lang w:eastAsia="zh-CN"/>
          </w:rPr>
          <w:t>UNEP/CBD/WG8J/8/6/Add.1</w:t>
        </w:r>
      </w:hyperlink>
      <w:r w:rsidRPr="00974D16">
        <w:rPr>
          <w:rFonts w:eastAsiaTheme="minorEastAsia"/>
          <w:kern w:val="22"/>
          <w:sz w:val="20"/>
          <w:szCs w:val="20"/>
          <w:lang w:eastAsia="zh-CN"/>
        </w:rPr>
        <w:t>，</w:t>
      </w:r>
      <w:r w:rsidRPr="00974D16">
        <w:rPr>
          <w:rFonts w:eastAsiaTheme="minorEastAsia"/>
          <w:kern w:val="22"/>
          <w:sz w:val="20"/>
          <w:szCs w:val="20"/>
          <w:lang w:val="zh-CN" w:eastAsia="zh-CN"/>
        </w:rPr>
        <w:t>附件</w:t>
      </w:r>
      <w:r w:rsidRPr="00974D16">
        <w:rPr>
          <w:rFonts w:eastAsiaTheme="minorEastAsia"/>
          <w:kern w:val="22"/>
          <w:sz w:val="20"/>
          <w:szCs w:val="20"/>
          <w:lang w:eastAsia="zh-CN"/>
        </w:rPr>
        <w:t>，</w:t>
      </w:r>
      <w:r w:rsidRPr="00974D16">
        <w:rPr>
          <w:rFonts w:eastAsiaTheme="minorEastAsia"/>
          <w:kern w:val="22"/>
          <w:sz w:val="20"/>
          <w:szCs w:val="20"/>
          <w:lang w:val="zh-CN" w:eastAsia="zh-CN"/>
        </w:rPr>
        <w:t>第二节</w:t>
      </w:r>
      <w:r w:rsidRPr="00974D16">
        <w:rPr>
          <w:rFonts w:eastAsiaTheme="minorEastAsia"/>
          <w:kern w:val="22"/>
          <w:sz w:val="20"/>
          <w:szCs w:val="20"/>
          <w:lang w:eastAsia="zh-CN"/>
        </w:rPr>
        <w:t>)</w:t>
      </w:r>
      <w:r w:rsidRPr="00974D16">
        <w:rPr>
          <w:rFonts w:eastAsiaTheme="minorEastAsia"/>
          <w:kern w:val="22"/>
          <w:sz w:val="20"/>
          <w:szCs w:val="20"/>
          <w:lang w:val="zh-CN" w:eastAsia="zh-CN"/>
        </w:rPr>
        <w:t>。</w:t>
      </w:r>
    </w:p>
  </w:footnote>
  <w:footnote w:id="233">
    <w:p w:rsidR="00594C0B" w:rsidRPr="00650F1F" w:rsidRDefault="00594C0B" w:rsidP="00650F1F">
      <w:pPr>
        <w:pStyle w:val="FootnoteText"/>
        <w:keepLines w:val="0"/>
        <w:suppressLineNumbers/>
        <w:tabs>
          <w:tab w:val="left" w:pos="360"/>
        </w:tabs>
        <w:suppressAutoHyphens/>
        <w:autoSpaceDE w:val="0"/>
        <w:autoSpaceDN w:val="0"/>
        <w:adjustRightInd w:val="0"/>
        <w:snapToGrid w:val="0"/>
        <w:spacing w:before="0"/>
        <w:ind w:firstLine="0"/>
        <w:jc w:val="left"/>
        <w:rPr>
          <w:rFonts w:eastAsiaTheme="minorEastAsia"/>
          <w:szCs w:val="18"/>
          <w:lang w:eastAsia="zh-CN"/>
        </w:rPr>
      </w:pPr>
      <w:r w:rsidRPr="00650F1F">
        <w:rPr>
          <w:rFonts w:eastAsiaTheme="minorEastAsia"/>
          <w:sz w:val="24"/>
          <w:vertAlign w:val="superscript"/>
          <w:lang w:val="zh-CN" w:eastAsia="zh-CN"/>
        </w:rPr>
        <w:footnoteRef/>
      </w:r>
      <w:r w:rsidRPr="00650F1F">
        <w:rPr>
          <w:rFonts w:eastAsiaTheme="minorEastAsia"/>
          <w:sz w:val="24"/>
          <w:vertAlign w:val="superscript"/>
          <w:lang w:val="zh-CN" w:eastAsia="zh-CN"/>
        </w:rPr>
        <w:t xml:space="preserve"> </w:t>
      </w:r>
      <w:r w:rsidRPr="00650F1F">
        <w:rPr>
          <w:rFonts w:eastAsiaTheme="minorEastAsia"/>
          <w:kern w:val="18"/>
          <w:szCs w:val="18"/>
          <w:lang w:eastAsia="zh-CN"/>
        </w:rPr>
        <w:t xml:space="preserve"> </w:t>
      </w:r>
      <w:r w:rsidRPr="000932B0">
        <w:rPr>
          <w:rFonts w:eastAsiaTheme="minorEastAsia"/>
          <w:kern w:val="18"/>
          <w:sz w:val="20"/>
          <w:szCs w:val="18"/>
          <w:lang w:eastAsia="zh-CN"/>
        </w:rPr>
        <w:t>这一措辞</w:t>
      </w:r>
      <w:r w:rsidRPr="000932B0">
        <w:rPr>
          <w:rFonts w:eastAsiaTheme="minorEastAsia"/>
          <w:kern w:val="18"/>
          <w:sz w:val="20"/>
          <w:szCs w:val="18"/>
          <w:lang w:val="zh-CN" w:eastAsia="zh-CN"/>
        </w:rPr>
        <w:t>普遍用于生物多样性公约缔约方大会</w:t>
      </w:r>
      <w:hyperlink r:id="rId106" w:history="1">
        <w:r w:rsidRPr="000932B0">
          <w:rPr>
            <w:rStyle w:val="Hyperlink"/>
            <w:rFonts w:eastAsiaTheme="minorEastAsia"/>
            <w:kern w:val="18"/>
            <w:sz w:val="20"/>
            <w:szCs w:val="18"/>
            <w:lang w:eastAsia="zh-CN"/>
          </w:rPr>
          <w:t>第</w:t>
        </w:r>
        <w:r w:rsidRPr="000932B0">
          <w:rPr>
            <w:rStyle w:val="Hyperlink"/>
            <w:rFonts w:eastAsiaTheme="minorEastAsia"/>
            <w:kern w:val="18"/>
            <w:sz w:val="20"/>
            <w:szCs w:val="18"/>
            <w:lang w:eastAsia="zh-CN"/>
          </w:rPr>
          <w:t>X/42</w:t>
        </w:r>
        <w:r w:rsidRPr="000932B0">
          <w:rPr>
            <w:rStyle w:val="Hyperlink"/>
            <w:rFonts w:eastAsiaTheme="minorEastAsia"/>
            <w:kern w:val="18"/>
            <w:sz w:val="20"/>
            <w:szCs w:val="18"/>
            <w:lang w:eastAsia="zh-CN"/>
          </w:rPr>
          <w:t>号决定</w:t>
        </w:r>
      </w:hyperlink>
      <w:r w:rsidRPr="000932B0">
        <w:rPr>
          <w:rFonts w:eastAsiaTheme="minorEastAsia"/>
          <w:kern w:val="18"/>
          <w:sz w:val="20"/>
          <w:szCs w:val="18"/>
          <w:lang w:val="zh-CN" w:eastAsia="zh-CN"/>
        </w:rPr>
        <w:t>中通过的《确保尊重土著和地方社区文化和知识遗产的特加里瓦伊埃里道德行为守则》。</w:t>
      </w:r>
    </w:p>
  </w:footnote>
  <w:footnote w:id="234">
    <w:p w:rsidR="00594C0B" w:rsidRPr="00650F1F" w:rsidRDefault="00594C0B" w:rsidP="00650F1F">
      <w:pPr>
        <w:pStyle w:val="FootnoteText"/>
        <w:keepLines w:val="0"/>
        <w:suppressLineNumbers/>
        <w:tabs>
          <w:tab w:val="left" w:pos="360"/>
        </w:tabs>
        <w:suppressAutoHyphens/>
        <w:autoSpaceDE w:val="0"/>
        <w:autoSpaceDN w:val="0"/>
        <w:spacing w:before="0"/>
        <w:ind w:firstLine="0"/>
        <w:jc w:val="left"/>
        <w:rPr>
          <w:rFonts w:eastAsiaTheme="minorEastAsia"/>
          <w:kern w:val="18"/>
          <w:szCs w:val="18"/>
        </w:rPr>
      </w:pPr>
      <w:r w:rsidRPr="00650F1F">
        <w:rPr>
          <w:rFonts w:eastAsiaTheme="minorEastAsia"/>
          <w:sz w:val="24"/>
          <w:vertAlign w:val="superscript"/>
          <w:lang w:val="zh-CN" w:eastAsia="zh-CN"/>
        </w:rPr>
        <w:footnoteRef/>
      </w:r>
      <w:r w:rsidRPr="00650F1F">
        <w:rPr>
          <w:rFonts w:eastAsiaTheme="minorEastAsia"/>
          <w:sz w:val="24"/>
          <w:vertAlign w:val="superscript"/>
          <w:lang w:eastAsia="zh-CN"/>
        </w:rPr>
        <w:t xml:space="preserve"> </w:t>
      </w:r>
      <w:r w:rsidRPr="00650F1F">
        <w:rPr>
          <w:rFonts w:eastAsiaTheme="minorEastAsia"/>
          <w:szCs w:val="18"/>
          <w:lang w:eastAsia="zh-CN"/>
        </w:rPr>
        <w:tab/>
      </w:r>
      <w:r w:rsidRPr="000932B0">
        <w:rPr>
          <w:rFonts w:eastAsiaTheme="minorEastAsia"/>
          <w:kern w:val="18"/>
          <w:sz w:val="20"/>
          <w:szCs w:val="18"/>
        </w:rPr>
        <w:t>根据</w:t>
      </w:r>
      <w:r w:rsidRPr="000932B0">
        <w:rPr>
          <w:rFonts w:eastAsiaTheme="minorEastAsia"/>
          <w:kern w:val="22"/>
          <w:sz w:val="20"/>
          <w:szCs w:val="18"/>
          <w:lang w:val="zh-CN"/>
        </w:rPr>
        <w:t>土</w:t>
      </w:r>
      <w:r w:rsidRPr="000932B0">
        <w:rPr>
          <w:rFonts w:eastAsiaTheme="minorEastAsia"/>
          <w:kern w:val="18"/>
          <w:sz w:val="20"/>
          <w:szCs w:val="18"/>
          <w:lang w:val="zh-CN"/>
        </w:rPr>
        <w:t>著和社区保护</w:t>
      </w:r>
      <w:r w:rsidRPr="000932B0">
        <w:rPr>
          <w:rFonts w:eastAsiaTheme="minorEastAsia"/>
          <w:kern w:val="18"/>
          <w:sz w:val="20"/>
          <w:szCs w:val="18"/>
        </w:rPr>
        <w:t>区联盟，</w:t>
      </w:r>
      <w:r w:rsidRPr="000932B0">
        <w:rPr>
          <w:rFonts w:eastAsiaTheme="minorEastAsia"/>
          <w:kern w:val="18"/>
          <w:sz w:val="20"/>
          <w:szCs w:val="18"/>
          <w:lang w:val="zh-CN"/>
        </w:rPr>
        <w:t>见</w:t>
      </w:r>
      <w:hyperlink r:id="rId107" w:history="1">
        <w:r w:rsidRPr="000932B0">
          <w:rPr>
            <w:rStyle w:val="Hyperlink"/>
            <w:rFonts w:eastAsiaTheme="minorEastAsia"/>
            <w:kern w:val="18"/>
            <w:sz w:val="20"/>
            <w:szCs w:val="18"/>
          </w:rPr>
          <w:t>https://www.iccaconsortium.org/index.php/discover/</w:t>
        </w:r>
      </w:hyperlink>
      <w:r w:rsidRPr="000932B0">
        <w:rPr>
          <w:rFonts w:eastAsiaTheme="minorEastAsia"/>
          <w:kern w:val="18"/>
          <w:sz w:val="20"/>
          <w:szCs w:val="18"/>
          <w:lang w:val="zh-CN"/>
        </w:rPr>
        <w:t>。</w:t>
      </w:r>
    </w:p>
  </w:footnote>
  <w:footnote w:id="235">
    <w:p w:rsidR="00594C0B" w:rsidRPr="00650F1F" w:rsidRDefault="00594C0B" w:rsidP="00650F1F">
      <w:pPr>
        <w:pStyle w:val="FootnoteText"/>
        <w:tabs>
          <w:tab w:val="left" w:pos="360"/>
        </w:tabs>
        <w:spacing w:before="0"/>
        <w:ind w:firstLine="0"/>
        <w:rPr>
          <w:rFonts w:eastAsiaTheme="minorEastAsia"/>
          <w:sz w:val="20"/>
          <w:szCs w:val="20"/>
          <w:lang w:eastAsia="zh-CN"/>
        </w:rPr>
      </w:pPr>
      <w:r w:rsidRPr="000932B0">
        <w:rPr>
          <w:rStyle w:val="FootnoteReference"/>
          <w:rFonts w:eastAsiaTheme="minorEastAsia"/>
          <w:sz w:val="24"/>
          <w:szCs w:val="20"/>
          <w:u w:val="none"/>
          <w:vertAlign w:val="superscript"/>
        </w:rPr>
        <w:footnoteRef/>
      </w:r>
      <w:r w:rsidRPr="000932B0">
        <w:rPr>
          <w:rFonts w:eastAsiaTheme="minorEastAsia"/>
          <w:sz w:val="24"/>
          <w:szCs w:val="20"/>
          <w:vertAlign w:val="superscript"/>
          <w:lang w:eastAsia="zh-CN"/>
        </w:rPr>
        <w:t xml:space="preserve"> </w:t>
      </w:r>
      <w:r w:rsidRPr="00650F1F">
        <w:rPr>
          <w:rFonts w:eastAsiaTheme="minorEastAsia"/>
          <w:sz w:val="24"/>
          <w:szCs w:val="20"/>
          <w:vertAlign w:val="superscript"/>
          <w:lang w:eastAsia="zh-CN"/>
        </w:rPr>
        <w:t xml:space="preserve"> </w:t>
      </w:r>
      <w:r w:rsidRPr="00650F1F">
        <w:rPr>
          <w:rFonts w:eastAsiaTheme="minorEastAsia"/>
          <w:sz w:val="20"/>
          <w:szCs w:val="20"/>
          <w:lang w:eastAsia="zh-CN"/>
        </w:rPr>
        <w:tab/>
      </w:r>
      <w:hyperlink r:id="rId108" w:history="1">
        <w:r w:rsidRPr="00650F1F">
          <w:rPr>
            <w:rFonts w:eastAsiaTheme="minorEastAsia"/>
            <w:sz w:val="20"/>
            <w:szCs w:val="20"/>
            <w:lang w:eastAsia="zh-CN"/>
          </w:rPr>
          <w:t>大会</w:t>
        </w:r>
        <w:r w:rsidRPr="00650F1F">
          <w:rPr>
            <w:rFonts w:eastAsiaTheme="minorEastAsia"/>
            <w:sz w:val="20"/>
            <w:szCs w:val="20"/>
            <w:lang w:eastAsia="zh-CN"/>
          </w:rPr>
          <w:t>2015</w:t>
        </w:r>
        <w:r w:rsidRPr="00650F1F">
          <w:rPr>
            <w:rFonts w:eastAsiaTheme="minorEastAsia"/>
            <w:sz w:val="20"/>
            <w:szCs w:val="20"/>
            <w:lang w:eastAsia="zh-CN"/>
          </w:rPr>
          <w:t>年</w:t>
        </w:r>
        <w:r w:rsidRPr="00650F1F">
          <w:rPr>
            <w:rFonts w:eastAsiaTheme="minorEastAsia"/>
            <w:sz w:val="20"/>
            <w:szCs w:val="20"/>
            <w:lang w:eastAsia="zh-CN"/>
          </w:rPr>
          <w:t>9</w:t>
        </w:r>
        <w:r w:rsidRPr="00650F1F">
          <w:rPr>
            <w:rFonts w:eastAsiaTheme="minorEastAsia"/>
            <w:sz w:val="20"/>
            <w:szCs w:val="20"/>
            <w:lang w:eastAsia="zh-CN"/>
          </w:rPr>
          <w:t>月</w:t>
        </w:r>
        <w:r w:rsidRPr="00650F1F">
          <w:rPr>
            <w:rFonts w:eastAsiaTheme="minorEastAsia"/>
            <w:sz w:val="20"/>
            <w:szCs w:val="20"/>
            <w:lang w:eastAsia="zh-CN"/>
          </w:rPr>
          <w:t>25</w:t>
        </w:r>
        <w:r w:rsidRPr="00650F1F">
          <w:rPr>
            <w:rFonts w:eastAsiaTheme="minorEastAsia"/>
            <w:sz w:val="20"/>
            <w:szCs w:val="20"/>
            <w:lang w:eastAsia="zh-CN"/>
          </w:rPr>
          <w:t>日第</w:t>
        </w:r>
        <w:r w:rsidRPr="00650F1F">
          <w:rPr>
            <w:rStyle w:val="Hyperlink"/>
            <w:rFonts w:eastAsiaTheme="minorEastAsia"/>
            <w:kern w:val="18"/>
            <w:lang w:eastAsia="zh-CN"/>
          </w:rPr>
          <w:t>70/1</w:t>
        </w:r>
        <w:r w:rsidRPr="00650F1F">
          <w:rPr>
            <w:rFonts w:eastAsiaTheme="minorEastAsia"/>
            <w:sz w:val="20"/>
            <w:szCs w:val="20"/>
            <w:lang w:eastAsia="zh-CN"/>
          </w:rPr>
          <w:t>号决议，题为</w:t>
        </w:r>
        <w:r w:rsidRPr="00933CD4">
          <w:rPr>
            <w:rFonts w:asciiTheme="minorEastAsia" w:eastAsiaTheme="minorEastAsia" w:hAnsiTheme="minorEastAsia"/>
            <w:sz w:val="20"/>
            <w:szCs w:val="20"/>
            <w:lang w:eastAsia="zh-CN"/>
          </w:rPr>
          <w:t>“变</w:t>
        </w:r>
        <w:r w:rsidRPr="00650F1F">
          <w:rPr>
            <w:rFonts w:eastAsiaTheme="minorEastAsia"/>
            <w:sz w:val="20"/>
            <w:szCs w:val="20"/>
            <w:lang w:eastAsia="zh-CN"/>
          </w:rPr>
          <w:t>革我们的世界：</w:t>
        </w:r>
        <w:r w:rsidRPr="00650F1F">
          <w:rPr>
            <w:rFonts w:eastAsiaTheme="minorEastAsia"/>
            <w:sz w:val="20"/>
            <w:szCs w:val="20"/>
            <w:lang w:eastAsia="zh-CN"/>
          </w:rPr>
          <w:t>2030</w:t>
        </w:r>
        <w:r w:rsidRPr="00650F1F">
          <w:rPr>
            <w:rFonts w:eastAsiaTheme="minorEastAsia"/>
            <w:sz w:val="20"/>
            <w:szCs w:val="20"/>
            <w:lang w:eastAsia="zh-CN"/>
          </w:rPr>
          <w:t>年可持续发展议程</w:t>
        </w:r>
        <w:r w:rsidRPr="00933CD4">
          <w:rPr>
            <w:rFonts w:asciiTheme="minorEastAsia" w:eastAsiaTheme="minorEastAsia" w:hAnsiTheme="minorEastAsia"/>
            <w:sz w:val="20"/>
            <w:szCs w:val="20"/>
            <w:lang w:eastAsia="zh-CN"/>
          </w:rPr>
          <w:t>”</w:t>
        </w:r>
      </w:hyperlink>
      <w:r w:rsidRPr="00650F1F">
        <w:rPr>
          <w:rFonts w:eastAsiaTheme="minorEastAsia"/>
          <w:sz w:val="20"/>
          <w:szCs w:val="20"/>
          <w:lang w:eastAsia="zh-CN"/>
        </w:rPr>
        <w:t>，附件。</w:t>
      </w:r>
    </w:p>
  </w:footnote>
  <w:footnote w:id="236">
    <w:p w:rsidR="00594C0B" w:rsidRPr="00650F1F" w:rsidRDefault="00594C0B" w:rsidP="00650F1F">
      <w:pPr>
        <w:pStyle w:val="FootnoteText"/>
        <w:tabs>
          <w:tab w:val="left" w:pos="360"/>
        </w:tabs>
        <w:spacing w:before="0"/>
        <w:ind w:firstLine="0"/>
        <w:rPr>
          <w:rFonts w:eastAsiaTheme="minorEastAsia"/>
          <w:kern w:val="18"/>
          <w:szCs w:val="18"/>
          <w:lang w:eastAsia="zh-CN"/>
        </w:rPr>
      </w:pPr>
      <w:r w:rsidRPr="00650F1F">
        <w:rPr>
          <w:rFonts w:eastAsiaTheme="minorEastAsia"/>
          <w:sz w:val="24"/>
          <w:szCs w:val="20"/>
          <w:vertAlign w:val="superscript"/>
          <w:lang w:eastAsia="zh-CN"/>
        </w:rPr>
        <w:footnoteRef/>
      </w:r>
      <w:r w:rsidRPr="00650F1F">
        <w:rPr>
          <w:rFonts w:eastAsiaTheme="minorEastAsia"/>
          <w:sz w:val="24"/>
          <w:szCs w:val="20"/>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见</w:t>
      </w:r>
      <w:r w:rsidRPr="00650F1F">
        <w:rPr>
          <w:rFonts w:eastAsiaTheme="minorEastAsia"/>
          <w:sz w:val="20"/>
          <w:szCs w:val="20"/>
          <w:lang w:eastAsia="zh-CN"/>
        </w:rPr>
        <w:t>CBD/WG8J/10/11</w:t>
      </w:r>
      <w:r w:rsidRPr="00650F1F">
        <w:rPr>
          <w:rFonts w:eastAsiaTheme="minorEastAsia"/>
          <w:sz w:val="20"/>
          <w:szCs w:val="20"/>
          <w:lang w:eastAsia="zh-CN"/>
        </w:rPr>
        <w:t>，第一节，第</w:t>
      </w:r>
      <w:r w:rsidRPr="00650F1F">
        <w:rPr>
          <w:rFonts w:eastAsiaTheme="minorEastAsia"/>
          <w:sz w:val="20"/>
          <w:szCs w:val="20"/>
          <w:lang w:eastAsia="zh-CN"/>
        </w:rPr>
        <w:t>10/6</w:t>
      </w:r>
      <w:r w:rsidRPr="00650F1F">
        <w:rPr>
          <w:rFonts w:eastAsiaTheme="minorEastAsia"/>
          <w:sz w:val="20"/>
          <w:szCs w:val="20"/>
          <w:lang w:eastAsia="zh-CN"/>
        </w:rPr>
        <w:t>号建议。</w:t>
      </w:r>
    </w:p>
  </w:footnote>
  <w:footnote w:id="237">
    <w:p w:rsidR="00594C0B" w:rsidRPr="00650F1F" w:rsidRDefault="00594C0B" w:rsidP="00650F1F">
      <w:pPr>
        <w:pStyle w:val="FootnoteText"/>
        <w:keepLines w:val="0"/>
        <w:suppressLineNumbers/>
        <w:tabs>
          <w:tab w:val="left" w:pos="360"/>
        </w:tabs>
        <w:suppressAutoHyphens/>
        <w:kinsoku w:val="0"/>
        <w:overflowPunct w:val="0"/>
        <w:autoSpaceDE w:val="0"/>
        <w:autoSpaceDN w:val="0"/>
        <w:adjustRightInd w:val="0"/>
        <w:snapToGrid w:val="0"/>
        <w:spacing w:before="0"/>
        <w:ind w:firstLine="0"/>
        <w:jc w:val="left"/>
        <w:rPr>
          <w:rFonts w:eastAsiaTheme="minorEastAsia"/>
          <w:snapToGrid w:val="0"/>
          <w:kern w:val="18"/>
          <w:szCs w:val="18"/>
          <w:lang w:val="en-US" w:eastAsia="zh-CN"/>
        </w:rPr>
      </w:pPr>
      <w:r w:rsidRPr="00933CD4">
        <w:rPr>
          <w:rStyle w:val="FootnoteReference"/>
          <w:rFonts w:eastAsiaTheme="minorEastAsia"/>
          <w:snapToGrid w:val="0"/>
          <w:kern w:val="18"/>
          <w:sz w:val="24"/>
          <w:szCs w:val="18"/>
          <w:u w:val="none"/>
          <w:vertAlign w:val="superscript"/>
        </w:rPr>
        <w:footnoteRef/>
      </w:r>
      <w:r w:rsidRPr="00933CD4">
        <w:rPr>
          <w:rFonts w:eastAsiaTheme="minorEastAsia"/>
          <w:snapToGrid w:val="0"/>
          <w:kern w:val="18"/>
          <w:sz w:val="24"/>
          <w:szCs w:val="18"/>
          <w:vertAlign w:val="superscript"/>
          <w:lang w:eastAsia="zh-CN"/>
        </w:rPr>
        <w:t xml:space="preserve"> </w:t>
      </w:r>
      <w:r w:rsidRPr="00650F1F">
        <w:rPr>
          <w:rFonts w:eastAsiaTheme="minorEastAsia"/>
          <w:snapToGrid w:val="0"/>
          <w:kern w:val="18"/>
          <w:szCs w:val="18"/>
          <w:lang w:eastAsia="zh-CN"/>
        </w:rPr>
        <w:tab/>
      </w:r>
      <w:r w:rsidRPr="00650F1F">
        <w:rPr>
          <w:rFonts w:eastAsiaTheme="minorEastAsia"/>
          <w:snapToGrid w:val="0"/>
          <w:kern w:val="18"/>
          <w:sz w:val="20"/>
          <w:szCs w:val="18"/>
          <w:lang w:eastAsia="zh-CN"/>
        </w:rPr>
        <w:t>联大第</w:t>
      </w:r>
      <w:hyperlink r:id="rId109" w:history="1">
        <w:r w:rsidRPr="00650F1F">
          <w:rPr>
            <w:rStyle w:val="Hyperlink"/>
            <w:rFonts w:eastAsiaTheme="minorEastAsia"/>
            <w:snapToGrid w:val="0"/>
            <w:kern w:val="18"/>
            <w:sz w:val="20"/>
            <w:szCs w:val="20"/>
            <w:lang w:eastAsia="zh-CN"/>
          </w:rPr>
          <w:t>61</w:t>
        </w:r>
        <w:r w:rsidRPr="00650F1F">
          <w:rPr>
            <w:rStyle w:val="Hyperlink"/>
            <w:rFonts w:eastAsiaTheme="minorEastAsia"/>
            <w:snapToGrid w:val="0"/>
            <w:kern w:val="18"/>
            <w:sz w:val="20"/>
            <w:szCs w:val="20"/>
            <w:lang w:val="en-US" w:eastAsia="zh-CN"/>
          </w:rPr>
          <w:t>/295</w:t>
        </w:r>
      </w:hyperlink>
      <w:r w:rsidRPr="00650F1F">
        <w:rPr>
          <w:rFonts w:eastAsiaTheme="minorEastAsia"/>
          <w:snapToGrid w:val="0"/>
          <w:kern w:val="18"/>
          <w:sz w:val="20"/>
          <w:szCs w:val="20"/>
          <w:lang w:val="en-US" w:eastAsia="zh-CN"/>
        </w:rPr>
        <w:t>号决议，附件。</w:t>
      </w:r>
    </w:p>
  </w:footnote>
  <w:footnote w:id="238">
    <w:p w:rsidR="00594C0B" w:rsidRPr="00496736" w:rsidRDefault="00594C0B" w:rsidP="00496736">
      <w:pPr>
        <w:pStyle w:val="FootnoteText"/>
        <w:tabs>
          <w:tab w:val="left" w:pos="360"/>
        </w:tabs>
        <w:spacing w:before="0"/>
        <w:ind w:firstLine="0"/>
        <w:rPr>
          <w:rFonts w:eastAsiaTheme="minorEastAsia"/>
          <w:sz w:val="20"/>
          <w:szCs w:val="20"/>
          <w:lang w:eastAsia="zh-CN"/>
        </w:rPr>
      </w:pPr>
      <w:r w:rsidRPr="00496736">
        <w:rPr>
          <w:rStyle w:val="FootnoteReference"/>
          <w:rFonts w:eastAsiaTheme="minorEastAsia"/>
          <w:sz w:val="24"/>
          <w:szCs w:val="20"/>
          <w:u w:val="none"/>
          <w:vertAlign w:val="superscript"/>
        </w:rPr>
        <w:footnoteRef/>
      </w:r>
      <w:r w:rsidRPr="00496736">
        <w:rPr>
          <w:rFonts w:eastAsiaTheme="minorEastAsia"/>
          <w:sz w:val="24"/>
          <w:szCs w:val="20"/>
          <w:vertAlign w:val="superscript"/>
          <w:lang w:eastAsia="zh-CN"/>
        </w:rPr>
        <w:t xml:space="preserve"> </w:t>
      </w:r>
      <w:r w:rsidRPr="00496736">
        <w:rPr>
          <w:rFonts w:eastAsiaTheme="minorEastAsia"/>
          <w:sz w:val="20"/>
          <w:szCs w:val="20"/>
          <w:lang w:eastAsia="zh-CN"/>
        </w:rPr>
        <w:t xml:space="preserve"> </w:t>
      </w:r>
      <w:r w:rsidRPr="00496736">
        <w:rPr>
          <w:rFonts w:eastAsiaTheme="minorEastAsia"/>
          <w:snapToGrid w:val="0"/>
          <w:kern w:val="18"/>
          <w:sz w:val="20"/>
          <w:szCs w:val="20"/>
          <w:lang w:eastAsia="zh-CN"/>
        </w:rPr>
        <w:t>第</w:t>
      </w:r>
      <w:r w:rsidRPr="00496736">
        <w:rPr>
          <w:rFonts w:eastAsiaTheme="minorEastAsia"/>
          <w:sz w:val="20"/>
          <w:szCs w:val="20"/>
          <w:lang w:eastAsia="zh-CN"/>
        </w:rPr>
        <w:t>X/2</w:t>
      </w:r>
      <w:r w:rsidRPr="00496736">
        <w:rPr>
          <w:rFonts w:eastAsiaTheme="minorEastAsia"/>
          <w:sz w:val="20"/>
          <w:szCs w:val="20"/>
          <w:lang w:eastAsia="zh-CN"/>
        </w:rPr>
        <w:t>号决定</w:t>
      </w:r>
      <w:r w:rsidRPr="00496736">
        <w:rPr>
          <w:rFonts w:eastAsiaTheme="minorEastAsia"/>
          <w:snapToGrid w:val="0"/>
          <w:kern w:val="18"/>
          <w:sz w:val="20"/>
          <w:szCs w:val="20"/>
          <w:lang w:eastAsia="zh-CN"/>
        </w:rPr>
        <w:t>，附件。</w:t>
      </w:r>
    </w:p>
  </w:footnote>
  <w:footnote w:id="239">
    <w:p w:rsidR="00594C0B" w:rsidRPr="00496736" w:rsidRDefault="00594C0B" w:rsidP="00496736">
      <w:pPr>
        <w:pStyle w:val="NormalWeb"/>
        <w:tabs>
          <w:tab w:val="left" w:pos="360"/>
        </w:tabs>
        <w:kinsoku w:val="0"/>
        <w:overflowPunct w:val="0"/>
        <w:spacing w:before="0" w:beforeAutospacing="0" w:after="60" w:afterAutospacing="0"/>
        <w:ind w:hanging="29"/>
        <w:textAlignment w:val="baseline"/>
        <w:rPr>
          <w:rFonts w:ascii="Times New Roman" w:eastAsiaTheme="minorEastAsia" w:hAnsi="Times New Roman" w:cs="Times New Roman"/>
          <w:snapToGrid w:val="0"/>
          <w:kern w:val="18"/>
          <w:sz w:val="20"/>
          <w:szCs w:val="20"/>
          <w:lang w:eastAsia="zh-CN"/>
        </w:rPr>
      </w:pPr>
      <w:r w:rsidRPr="00496736">
        <w:rPr>
          <w:rStyle w:val="FootnoteReference"/>
          <w:rFonts w:ascii="Times New Roman" w:eastAsiaTheme="minorEastAsia" w:hAnsi="Times New Roman"/>
          <w:sz w:val="24"/>
          <w:szCs w:val="20"/>
          <w:u w:val="none"/>
          <w:vertAlign w:val="superscript"/>
          <w:lang w:val="en-GB"/>
        </w:rPr>
        <w:footnoteRef/>
      </w:r>
      <w:r w:rsidRPr="00496736">
        <w:rPr>
          <w:rStyle w:val="FootnoteReference"/>
          <w:rFonts w:ascii="Times New Roman" w:eastAsiaTheme="minorEastAsia" w:hAnsi="Times New Roman"/>
          <w:sz w:val="24"/>
          <w:szCs w:val="20"/>
          <w:u w:val="none"/>
          <w:vertAlign w:val="superscript"/>
          <w:lang w:val="en-GB" w:eastAsia="zh-CN"/>
        </w:rPr>
        <w:t xml:space="preserve"> </w:t>
      </w:r>
      <w:r w:rsidRPr="00496736">
        <w:rPr>
          <w:rFonts w:ascii="Times New Roman" w:eastAsiaTheme="minorEastAsia" w:hAnsi="Times New Roman" w:cs="Times New Roman"/>
          <w:snapToGrid w:val="0"/>
          <w:kern w:val="18"/>
          <w:sz w:val="20"/>
          <w:szCs w:val="20"/>
          <w:lang w:eastAsia="zh-CN"/>
        </w:rPr>
        <w:tab/>
      </w:r>
      <w:r w:rsidRPr="00496736">
        <w:rPr>
          <w:rFonts w:ascii="Times New Roman" w:eastAsiaTheme="minorEastAsia" w:hAnsi="Times New Roman" w:cs="Times New Roman"/>
          <w:snapToGrid w:val="0"/>
          <w:kern w:val="18"/>
          <w:sz w:val="20"/>
          <w:szCs w:val="20"/>
          <w:lang w:eastAsia="zh-CN"/>
        </w:rPr>
        <w:t>缔约方大会第</w:t>
      </w:r>
      <w:r w:rsidRPr="00496736">
        <w:rPr>
          <w:rFonts w:ascii="Times New Roman" w:eastAsiaTheme="minorEastAsia" w:hAnsi="Times New Roman" w:cs="Times New Roman"/>
          <w:snapToGrid w:val="0"/>
          <w:kern w:val="18"/>
          <w:sz w:val="20"/>
          <w:szCs w:val="20"/>
          <w:lang w:eastAsia="zh-CN"/>
        </w:rPr>
        <w:t xml:space="preserve"> X/43</w:t>
      </w:r>
      <w:r w:rsidRPr="00496736">
        <w:rPr>
          <w:rFonts w:ascii="Times New Roman" w:eastAsiaTheme="minorEastAsia" w:hAnsi="Times New Roman" w:cs="Times New Roman"/>
          <w:snapToGrid w:val="0"/>
          <w:kern w:val="18"/>
          <w:sz w:val="20"/>
          <w:szCs w:val="20"/>
          <w:lang w:eastAsia="zh-CN"/>
        </w:rPr>
        <w:t>号决定通过</w:t>
      </w:r>
      <w:r w:rsidRPr="00496736">
        <w:rPr>
          <w:rFonts w:ascii="Times New Roman" w:eastAsiaTheme="minorEastAsia" w:hAnsi="Times New Roman" w:cs="Times New Roman"/>
          <w:snapToGrid w:val="0"/>
          <w:kern w:val="18"/>
          <w:sz w:val="20"/>
          <w:szCs w:val="20"/>
          <w:lang w:eastAsia="zh-CN"/>
        </w:rPr>
        <w:t>“</w:t>
      </w:r>
      <w:r w:rsidRPr="00496736">
        <w:rPr>
          <w:rFonts w:ascii="Times New Roman" w:eastAsiaTheme="minorEastAsia" w:hAnsi="Times New Roman" w:cs="Times New Roman"/>
          <w:snapToGrid w:val="0"/>
          <w:kern w:val="18"/>
          <w:sz w:val="20"/>
          <w:szCs w:val="20"/>
          <w:lang w:eastAsia="zh-CN"/>
        </w:rPr>
        <w:t>土著和地方社区传统领地土地使用变化和土地使用权现状和趋势</w:t>
      </w:r>
      <w:r w:rsidRPr="00496736">
        <w:rPr>
          <w:rFonts w:ascii="Times New Roman" w:eastAsiaTheme="minorEastAsia" w:hAnsi="Times New Roman" w:cs="Times New Roman"/>
          <w:snapToGrid w:val="0"/>
          <w:kern w:val="18"/>
          <w:sz w:val="20"/>
          <w:szCs w:val="20"/>
          <w:lang w:eastAsia="zh-CN"/>
        </w:rPr>
        <w:t>”</w:t>
      </w:r>
      <w:r w:rsidRPr="00496736">
        <w:rPr>
          <w:rFonts w:ascii="Times New Roman" w:eastAsiaTheme="minorEastAsia" w:hAnsi="Times New Roman" w:cs="Times New Roman"/>
          <w:snapToGrid w:val="0"/>
          <w:kern w:val="18"/>
          <w:sz w:val="20"/>
          <w:szCs w:val="20"/>
          <w:lang w:eastAsia="zh-CN"/>
        </w:rPr>
        <w:t>，将其作为《生物多样性公约》下传统知识的四项指标之一。土著人民和地方社区领地</w:t>
      </w:r>
      <w:r w:rsidRPr="00496736">
        <w:rPr>
          <w:rFonts w:ascii="Times New Roman" w:eastAsiaTheme="minorEastAsia" w:hAnsi="Times New Roman" w:cs="Times New Roman"/>
          <w:snapToGrid w:val="0"/>
          <w:kern w:val="18"/>
          <w:sz w:val="20"/>
          <w:szCs w:val="20"/>
          <w:lang w:eastAsia="zh-CN"/>
        </w:rPr>
        <w:t>“</w:t>
      </w:r>
      <w:r w:rsidRPr="00496736">
        <w:rPr>
          <w:rFonts w:ascii="Times New Roman" w:eastAsiaTheme="minorEastAsia" w:hAnsi="Times New Roman" w:cs="Times New Roman"/>
          <w:snapToGrid w:val="0"/>
          <w:kern w:val="18"/>
          <w:sz w:val="20"/>
          <w:szCs w:val="20"/>
          <w:lang w:eastAsia="zh-CN"/>
        </w:rPr>
        <w:t>使用权</w:t>
      </w:r>
      <w:r w:rsidRPr="00496736">
        <w:rPr>
          <w:rFonts w:ascii="Times New Roman" w:eastAsiaTheme="minorEastAsia" w:hAnsi="Times New Roman" w:cs="Times New Roman"/>
          <w:snapToGrid w:val="0"/>
          <w:kern w:val="18"/>
          <w:sz w:val="20"/>
          <w:szCs w:val="20"/>
          <w:lang w:eastAsia="zh-CN"/>
        </w:rPr>
        <w:t>”</w:t>
      </w:r>
      <w:r w:rsidRPr="00496736">
        <w:rPr>
          <w:rFonts w:ascii="Times New Roman" w:eastAsiaTheme="minorEastAsia" w:hAnsi="Times New Roman" w:cs="Times New Roman"/>
          <w:snapToGrid w:val="0"/>
          <w:kern w:val="18"/>
          <w:sz w:val="20"/>
          <w:szCs w:val="20"/>
          <w:lang w:eastAsia="zh-CN"/>
        </w:rPr>
        <w:t>可包括陆域和水域。</w:t>
      </w:r>
    </w:p>
  </w:footnote>
  <w:footnote w:id="240">
    <w:p w:rsidR="00594C0B" w:rsidRPr="00132DF3" w:rsidRDefault="00594C0B" w:rsidP="00496736">
      <w:pPr>
        <w:pStyle w:val="NormalWeb"/>
        <w:tabs>
          <w:tab w:val="left" w:pos="360"/>
        </w:tabs>
        <w:kinsoku w:val="0"/>
        <w:overflowPunct w:val="0"/>
        <w:spacing w:before="0" w:beforeAutospacing="0" w:after="60" w:afterAutospacing="0"/>
        <w:ind w:hanging="29"/>
        <w:textAlignment w:val="baseline"/>
        <w:rPr>
          <w:snapToGrid w:val="0"/>
          <w:kern w:val="18"/>
          <w:lang w:eastAsia="zh-CN"/>
        </w:rPr>
      </w:pPr>
      <w:r w:rsidRPr="00496736">
        <w:rPr>
          <w:rStyle w:val="FootnoteReference"/>
          <w:rFonts w:ascii="Times New Roman" w:eastAsiaTheme="minorEastAsia" w:hAnsi="Times New Roman"/>
          <w:sz w:val="24"/>
          <w:szCs w:val="20"/>
          <w:u w:val="none"/>
          <w:vertAlign w:val="superscript"/>
          <w:lang w:val="en-GB"/>
        </w:rPr>
        <w:footnoteRef/>
      </w:r>
      <w:r w:rsidRPr="00496736">
        <w:rPr>
          <w:rStyle w:val="FootnoteReference"/>
          <w:rFonts w:ascii="Times New Roman" w:eastAsiaTheme="minorEastAsia" w:hAnsi="Times New Roman"/>
          <w:sz w:val="24"/>
          <w:szCs w:val="20"/>
          <w:u w:val="none"/>
          <w:vertAlign w:val="superscript"/>
          <w:lang w:val="en-GB" w:eastAsia="zh-CN"/>
        </w:rPr>
        <w:t xml:space="preserve"> </w:t>
      </w:r>
      <w:r w:rsidRPr="00496736">
        <w:rPr>
          <w:rStyle w:val="FootnoteReference"/>
          <w:sz w:val="24"/>
          <w:u w:val="none"/>
          <w:vertAlign w:val="superscript"/>
          <w:lang w:val="en-GB" w:eastAsia="zh-CN"/>
        </w:rPr>
        <w:t xml:space="preserve"> </w:t>
      </w:r>
      <w:r w:rsidRPr="00496736">
        <w:rPr>
          <w:rFonts w:ascii="Times New Roman" w:eastAsiaTheme="minorEastAsia" w:hAnsi="Times New Roman" w:cs="Times New Roman"/>
          <w:snapToGrid w:val="0"/>
          <w:kern w:val="18"/>
          <w:sz w:val="20"/>
          <w:szCs w:val="20"/>
          <w:lang w:eastAsia="zh-CN"/>
        </w:rPr>
        <w:tab/>
      </w:r>
      <w:r w:rsidRPr="00496736">
        <w:rPr>
          <w:rFonts w:ascii="Times New Roman" w:eastAsiaTheme="minorEastAsia" w:hAnsi="Times New Roman" w:cs="Times New Roman"/>
          <w:snapToGrid w:val="0"/>
          <w:kern w:val="18"/>
          <w:sz w:val="20"/>
          <w:szCs w:val="20"/>
          <w:lang w:eastAsia="zh-CN"/>
        </w:rPr>
        <w:t>缔约方大会第</w:t>
      </w:r>
      <w:r w:rsidRPr="00496736">
        <w:rPr>
          <w:rFonts w:ascii="Times New Roman" w:eastAsiaTheme="minorEastAsia" w:hAnsi="Times New Roman" w:cs="Times New Roman"/>
          <w:snapToGrid w:val="0"/>
          <w:kern w:val="18"/>
          <w:sz w:val="20"/>
          <w:szCs w:val="20"/>
          <w:lang w:eastAsia="zh-CN"/>
        </w:rPr>
        <w:t>XII/12B</w:t>
      </w:r>
      <w:r w:rsidRPr="00496736">
        <w:rPr>
          <w:rFonts w:ascii="Times New Roman" w:eastAsiaTheme="minorEastAsia" w:hAnsi="Times New Roman" w:cs="Times New Roman"/>
          <w:snapToGrid w:val="0"/>
          <w:kern w:val="18"/>
          <w:sz w:val="20"/>
          <w:szCs w:val="20"/>
          <w:lang w:eastAsia="zh-CN"/>
        </w:rPr>
        <w:t>号决定附件通过全球《生物多样性可持续习惯使用行动计划》。</w:t>
      </w:r>
    </w:p>
  </w:footnote>
  <w:footnote w:id="241">
    <w:p w:rsidR="00594C0B" w:rsidRPr="00650F1F" w:rsidRDefault="00594C0B" w:rsidP="00650F1F">
      <w:pPr>
        <w:pStyle w:val="FootnoteText"/>
        <w:tabs>
          <w:tab w:val="left" w:pos="360"/>
        </w:tabs>
        <w:adjustRightInd w:val="0"/>
        <w:spacing w:before="0"/>
        <w:ind w:firstLine="0"/>
        <w:rPr>
          <w:rFonts w:eastAsiaTheme="minorEastAsia"/>
          <w:lang w:eastAsia="zh-CN"/>
        </w:rPr>
      </w:pPr>
      <w:r w:rsidRPr="00102C6C">
        <w:rPr>
          <w:rStyle w:val="FootnoteReference"/>
          <w:rFonts w:eastAsiaTheme="minorEastAsia"/>
          <w:sz w:val="24"/>
          <w:szCs w:val="20"/>
          <w:u w:val="none"/>
          <w:vertAlign w:val="superscript"/>
        </w:rPr>
        <w:footnoteRef/>
      </w:r>
      <w:r w:rsidRPr="00102C6C">
        <w:rPr>
          <w:rFonts w:eastAsiaTheme="minorEastAsia"/>
          <w:sz w:val="20"/>
          <w:szCs w:val="20"/>
          <w:vertAlign w:val="superscript"/>
          <w:lang w:eastAsia="zh-CN"/>
        </w:rPr>
        <w:t xml:space="preserve"> </w:t>
      </w:r>
      <w:r w:rsidRPr="00102C6C">
        <w:rPr>
          <w:rFonts w:eastAsiaTheme="minorEastAsia"/>
          <w:sz w:val="20"/>
          <w:szCs w:val="20"/>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在</w:t>
      </w:r>
      <w:hyperlink r:id="rId110" w:history="1">
        <w:r w:rsidRPr="00650F1F">
          <w:rPr>
            <w:rStyle w:val="Hyperlink"/>
            <w:rFonts w:eastAsiaTheme="minorEastAsia"/>
            <w:kern w:val="18"/>
            <w:sz w:val="20"/>
            <w:szCs w:val="20"/>
            <w:lang w:eastAsia="zh-CN"/>
          </w:rPr>
          <w:t>第</w:t>
        </w:r>
        <w:r w:rsidRPr="00650F1F">
          <w:rPr>
            <w:rStyle w:val="Hyperlink"/>
            <w:rFonts w:eastAsiaTheme="minorEastAsia"/>
            <w:kern w:val="18"/>
            <w:sz w:val="20"/>
            <w:szCs w:val="20"/>
            <w:lang w:eastAsia="zh-CN"/>
          </w:rPr>
          <w:t>X/43</w:t>
        </w:r>
        <w:r w:rsidRPr="00650F1F">
          <w:rPr>
            <w:rStyle w:val="Hyperlink"/>
            <w:rFonts w:eastAsiaTheme="minorEastAsia"/>
            <w:kern w:val="18"/>
            <w:sz w:val="20"/>
            <w:szCs w:val="20"/>
            <w:lang w:eastAsia="zh-CN"/>
          </w:rPr>
          <w:t>号决定</w:t>
        </w:r>
      </w:hyperlink>
      <w:r w:rsidRPr="00650F1F">
        <w:rPr>
          <w:rFonts w:eastAsiaTheme="minorEastAsia"/>
          <w:sz w:val="20"/>
          <w:szCs w:val="20"/>
          <w:lang w:eastAsia="zh-CN"/>
        </w:rPr>
        <w:t>中，缔约方大会</w:t>
      </w:r>
      <w:r w:rsidRPr="00650F1F">
        <w:rPr>
          <w:rFonts w:eastAsiaTheme="minorEastAsia"/>
          <w:kern w:val="18"/>
          <w:sz w:val="20"/>
          <w:szCs w:val="20"/>
          <w:lang w:eastAsia="zh-CN"/>
        </w:rPr>
        <w:t>通过了经订正的第</w:t>
      </w:r>
      <w:r w:rsidRPr="00650F1F">
        <w:rPr>
          <w:rFonts w:eastAsiaTheme="minorEastAsia"/>
          <w:kern w:val="18"/>
          <w:sz w:val="20"/>
          <w:szCs w:val="20"/>
          <w:lang w:eastAsia="zh-CN"/>
        </w:rPr>
        <w:t>8(j)</w:t>
      </w:r>
      <w:r w:rsidRPr="00650F1F">
        <w:rPr>
          <w:rFonts w:eastAsiaTheme="minorEastAsia"/>
          <w:kern w:val="18"/>
          <w:sz w:val="20"/>
          <w:szCs w:val="20"/>
          <w:lang w:eastAsia="zh-CN"/>
        </w:rPr>
        <w:t>条多年期工作方案，其中撤下已完成或被取代的任务</w:t>
      </w:r>
      <w:r w:rsidRPr="00650F1F">
        <w:rPr>
          <w:rFonts w:eastAsiaTheme="minorEastAsia"/>
          <w:kern w:val="18"/>
          <w:sz w:val="20"/>
          <w:szCs w:val="20"/>
          <w:lang w:eastAsia="zh-CN"/>
        </w:rPr>
        <w:t>3</w:t>
      </w:r>
      <w:r w:rsidRPr="00650F1F">
        <w:rPr>
          <w:rFonts w:eastAsiaTheme="minorEastAsia"/>
          <w:kern w:val="18"/>
          <w:sz w:val="20"/>
          <w:szCs w:val="20"/>
          <w:lang w:eastAsia="zh-CN"/>
        </w:rPr>
        <w:t>、</w:t>
      </w:r>
      <w:r w:rsidRPr="00650F1F">
        <w:rPr>
          <w:rFonts w:eastAsiaTheme="minorEastAsia"/>
          <w:kern w:val="18"/>
          <w:sz w:val="20"/>
          <w:szCs w:val="20"/>
          <w:lang w:eastAsia="zh-CN"/>
        </w:rPr>
        <w:t>5</w:t>
      </w:r>
      <w:r w:rsidRPr="00650F1F">
        <w:rPr>
          <w:rFonts w:eastAsiaTheme="minorEastAsia"/>
          <w:kern w:val="18"/>
          <w:sz w:val="20"/>
          <w:szCs w:val="20"/>
          <w:lang w:eastAsia="zh-CN"/>
        </w:rPr>
        <w:t>、</w:t>
      </w:r>
      <w:r w:rsidRPr="00650F1F">
        <w:rPr>
          <w:rFonts w:eastAsiaTheme="minorEastAsia"/>
          <w:kern w:val="18"/>
          <w:sz w:val="20"/>
          <w:szCs w:val="20"/>
          <w:lang w:eastAsia="zh-CN"/>
        </w:rPr>
        <w:t>8</w:t>
      </w:r>
      <w:r w:rsidRPr="00650F1F">
        <w:rPr>
          <w:rFonts w:eastAsiaTheme="minorEastAsia"/>
          <w:kern w:val="18"/>
          <w:sz w:val="20"/>
          <w:szCs w:val="20"/>
          <w:lang w:eastAsia="zh-CN"/>
        </w:rPr>
        <w:t>、</w:t>
      </w:r>
      <w:r w:rsidRPr="00650F1F">
        <w:rPr>
          <w:rFonts w:eastAsiaTheme="minorEastAsia"/>
          <w:kern w:val="18"/>
          <w:sz w:val="20"/>
          <w:szCs w:val="20"/>
          <w:lang w:eastAsia="zh-CN"/>
        </w:rPr>
        <w:t>9</w:t>
      </w:r>
      <w:r w:rsidRPr="00650F1F">
        <w:rPr>
          <w:rFonts w:eastAsiaTheme="minorEastAsia"/>
          <w:kern w:val="18"/>
          <w:sz w:val="20"/>
          <w:szCs w:val="20"/>
          <w:lang w:eastAsia="zh-CN"/>
        </w:rPr>
        <w:t>和</w:t>
      </w:r>
      <w:r w:rsidRPr="00650F1F">
        <w:rPr>
          <w:rFonts w:eastAsiaTheme="minorEastAsia"/>
          <w:kern w:val="18"/>
          <w:sz w:val="20"/>
          <w:szCs w:val="20"/>
          <w:lang w:eastAsia="zh-CN"/>
        </w:rPr>
        <w:t>16</w:t>
      </w:r>
      <w:r w:rsidRPr="00650F1F">
        <w:rPr>
          <w:rFonts w:eastAsiaTheme="minorEastAsia"/>
          <w:kern w:val="18"/>
          <w:sz w:val="20"/>
          <w:szCs w:val="20"/>
          <w:lang w:eastAsia="zh-CN"/>
        </w:rPr>
        <w:t>。</w:t>
      </w:r>
    </w:p>
  </w:footnote>
  <w:footnote w:id="242">
    <w:p w:rsidR="00594C0B" w:rsidRPr="00650F1F" w:rsidRDefault="00594C0B" w:rsidP="00650F1F">
      <w:pPr>
        <w:pStyle w:val="FootnoteText"/>
        <w:tabs>
          <w:tab w:val="left" w:pos="360"/>
        </w:tabs>
        <w:adjustRightInd w:val="0"/>
        <w:spacing w:before="0"/>
        <w:ind w:firstLine="0"/>
        <w:rPr>
          <w:rFonts w:eastAsiaTheme="minorEastAsia"/>
          <w:lang w:eastAsia="zh-CN"/>
        </w:rPr>
      </w:pPr>
      <w:r w:rsidRPr="00102C6C">
        <w:rPr>
          <w:rStyle w:val="FootnoteReference"/>
          <w:rFonts w:eastAsiaTheme="minorEastAsia"/>
          <w:sz w:val="24"/>
          <w:szCs w:val="20"/>
          <w:u w:val="none"/>
          <w:vertAlign w:val="superscript"/>
        </w:rPr>
        <w:footnoteRef/>
      </w:r>
      <w:r w:rsidRPr="00102C6C">
        <w:rPr>
          <w:rStyle w:val="FootnoteReference"/>
          <w:rFonts w:eastAsiaTheme="minorEastAsia"/>
          <w:sz w:val="24"/>
          <w:szCs w:val="20"/>
          <w:u w:val="none"/>
          <w:vertAlign w:val="superscript"/>
          <w:lang w:eastAsia="zh-CN"/>
        </w:rPr>
        <w:t xml:space="preserve"> </w:t>
      </w:r>
      <w:r w:rsidRPr="00102C6C">
        <w:rPr>
          <w:rFonts w:eastAsiaTheme="minorEastAsia"/>
          <w:sz w:val="20"/>
          <w:szCs w:val="20"/>
          <w:lang w:eastAsia="zh-CN"/>
        </w:rPr>
        <w:tab/>
      </w:r>
      <w:r w:rsidRPr="00650F1F">
        <w:rPr>
          <w:rFonts w:eastAsiaTheme="minorEastAsia"/>
          <w:sz w:val="20"/>
          <w:szCs w:val="20"/>
          <w:lang w:eastAsia="zh-CN"/>
        </w:rPr>
        <w:t>见</w:t>
      </w:r>
      <w:hyperlink r:id="rId111" w:history="1">
        <w:r w:rsidRPr="00650F1F">
          <w:rPr>
            <w:rStyle w:val="Hyperlink"/>
            <w:rFonts w:eastAsiaTheme="minorEastAsia"/>
            <w:sz w:val="20"/>
            <w:szCs w:val="20"/>
            <w:lang w:val="en-US" w:eastAsia="zh-CN"/>
          </w:rPr>
          <w:t>联大第</w:t>
        </w:r>
        <w:r w:rsidRPr="00650F1F">
          <w:rPr>
            <w:rStyle w:val="Hyperlink"/>
            <w:rFonts w:eastAsiaTheme="minorEastAsia"/>
            <w:sz w:val="20"/>
            <w:szCs w:val="20"/>
            <w:lang w:val="en-US" w:eastAsia="zh-CN"/>
          </w:rPr>
          <w:t>70/1</w:t>
        </w:r>
        <w:r w:rsidRPr="00650F1F">
          <w:rPr>
            <w:rStyle w:val="Hyperlink"/>
            <w:rFonts w:eastAsiaTheme="minorEastAsia"/>
            <w:sz w:val="20"/>
            <w:szCs w:val="20"/>
            <w:lang w:val="en-US" w:eastAsia="zh-CN"/>
          </w:rPr>
          <w:t>号决议</w:t>
        </w:r>
      </w:hyperlink>
      <w:r w:rsidRPr="00650F1F">
        <w:rPr>
          <w:rFonts w:eastAsiaTheme="minorEastAsia"/>
          <w:sz w:val="20"/>
          <w:szCs w:val="20"/>
          <w:lang w:val="en-US" w:eastAsia="zh-CN"/>
        </w:rPr>
        <w:t>，题为</w:t>
      </w:r>
      <w:r w:rsidRPr="00102C6C">
        <w:rPr>
          <w:rStyle w:val="ng-binding"/>
          <w:rFonts w:asciiTheme="minorEastAsia" w:eastAsiaTheme="minorEastAsia" w:hAnsiTheme="minorEastAsia"/>
          <w:sz w:val="20"/>
          <w:szCs w:val="20"/>
          <w:lang w:eastAsia="zh-CN"/>
        </w:rPr>
        <w:t>“变革我们的世界</w:t>
      </w:r>
      <w:r w:rsidRPr="00650F1F">
        <w:rPr>
          <w:rStyle w:val="ng-binding"/>
          <w:rFonts w:eastAsiaTheme="minorEastAsia"/>
          <w:sz w:val="20"/>
          <w:szCs w:val="20"/>
          <w:lang w:eastAsia="zh-CN"/>
        </w:rPr>
        <w:t>：</w:t>
      </w:r>
      <w:r w:rsidRPr="00650F1F">
        <w:rPr>
          <w:rStyle w:val="ng-binding"/>
          <w:rFonts w:eastAsiaTheme="minorEastAsia"/>
          <w:sz w:val="20"/>
          <w:szCs w:val="20"/>
          <w:lang w:eastAsia="zh-CN"/>
        </w:rPr>
        <w:t>2030</w:t>
      </w:r>
      <w:r w:rsidRPr="00650F1F">
        <w:rPr>
          <w:rStyle w:val="ng-binding"/>
          <w:rFonts w:eastAsiaTheme="minorEastAsia"/>
          <w:sz w:val="20"/>
          <w:szCs w:val="20"/>
          <w:lang w:eastAsia="zh-CN"/>
        </w:rPr>
        <w:t>年可持续发展议程</w:t>
      </w:r>
      <w:r w:rsidRPr="00102C6C">
        <w:rPr>
          <w:rStyle w:val="ng-binding"/>
          <w:rFonts w:asciiTheme="minorEastAsia" w:eastAsiaTheme="minorEastAsia" w:hAnsiTheme="minorEastAsia"/>
          <w:sz w:val="20"/>
          <w:szCs w:val="20"/>
          <w:lang w:eastAsia="zh-CN"/>
        </w:rPr>
        <w:t>”</w:t>
      </w:r>
      <w:r w:rsidRPr="00650F1F">
        <w:rPr>
          <w:rStyle w:val="ng-binding"/>
          <w:rFonts w:eastAsiaTheme="minorEastAsia"/>
          <w:sz w:val="20"/>
          <w:szCs w:val="20"/>
          <w:lang w:eastAsia="zh-CN"/>
        </w:rPr>
        <w:t>。</w:t>
      </w:r>
    </w:p>
  </w:footnote>
  <w:footnote w:id="243">
    <w:p w:rsidR="00594C0B" w:rsidRPr="00650F1F" w:rsidRDefault="00594C0B" w:rsidP="00650F1F">
      <w:pPr>
        <w:pStyle w:val="FootnoteText"/>
        <w:suppressLineNumbers/>
        <w:tabs>
          <w:tab w:val="left" w:pos="360"/>
        </w:tabs>
        <w:suppressAutoHyphens/>
        <w:spacing w:before="0"/>
        <w:ind w:firstLine="0"/>
        <w:jc w:val="left"/>
        <w:rPr>
          <w:rFonts w:eastAsiaTheme="minorEastAsia"/>
          <w:kern w:val="18"/>
          <w:szCs w:val="18"/>
          <w:lang w:eastAsia="zh-CN"/>
        </w:rPr>
      </w:pPr>
      <w:r w:rsidRPr="00102C6C">
        <w:rPr>
          <w:rStyle w:val="FootnoteReference"/>
          <w:rFonts w:eastAsiaTheme="minorEastAsia"/>
          <w:kern w:val="18"/>
          <w:sz w:val="24"/>
          <w:szCs w:val="18"/>
          <w:u w:val="none"/>
          <w:vertAlign w:val="superscript"/>
        </w:rPr>
        <w:footnoteRef/>
      </w:r>
      <w:r w:rsidRPr="00102C6C">
        <w:rPr>
          <w:rFonts w:eastAsiaTheme="minorEastAsia"/>
          <w:kern w:val="18"/>
          <w:sz w:val="24"/>
          <w:szCs w:val="18"/>
          <w:vertAlign w:val="superscript"/>
          <w:lang w:eastAsia="zh-CN"/>
        </w:rPr>
        <w:t xml:space="preserve"> </w:t>
      </w:r>
      <w:r w:rsidRPr="00102C6C">
        <w:rPr>
          <w:rFonts w:eastAsiaTheme="minorEastAsia"/>
          <w:kern w:val="18"/>
          <w:szCs w:val="18"/>
          <w:lang w:eastAsia="zh-CN"/>
        </w:rPr>
        <w:t xml:space="preserve"> </w:t>
      </w:r>
      <w:r w:rsidRPr="00650F1F">
        <w:rPr>
          <w:rFonts w:eastAsiaTheme="minorEastAsia"/>
          <w:kern w:val="18"/>
          <w:szCs w:val="18"/>
          <w:lang w:eastAsia="zh-CN"/>
        </w:rPr>
        <w:t xml:space="preserve"> </w:t>
      </w:r>
      <w:r w:rsidRPr="00650F1F">
        <w:rPr>
          <w:rFonts w:eastAsiaTheme="minorEastAsia"/>
          <w:kern w:val="18"/>
          <w:sz w:val="20"/>
          <w:szCs w:val="20"/>
          <w:lang w:eastAsia="zh-CN"/>
        </w:rPr>
        <w:t>联合国《条约汇编》，登记号</w:t>
      </w:r>
      <w:r w:rsidRPr="00650F1F">
        <w:rPr>
          <w:rFonts w:eastAsiaTheme="minorEastAsia"/>
          <w:kern w:val="18"/>
          <w:sz w:val="20"/>
          <w:szCs w:val="20"/>
          <w:lang w:eastAsia="zh-CN"/>
        </w:rPr>
        <w:t>I-54113</w:t>
      </w:r>
      <w:r w:rsidRPr="00650F1F">
        <w:rPr>
          <w:rFonts w:eastAsiaTheme="minorEastAsia"/>
          <w:sz w:val="20"/>
          <w:szCs w:val="20"/>
          <w:lang w:eastAsia="zh-CN"/>
        </w:rPr>
        <w:t>。</w:t>
      </w:r>
    </w:p>
  </w:footnote>
  <w:footnote w:id="244">
    <w:p w:rsidR="00594C0B" w:rsidRPr="00650F1F" w:rsidRDefault="00594C0B" w:rsidP="00650F1F">
      <w:pPr>
        <w:pStyle w:val="FootnoteText"/>
        <w:tabs>
          <w:tab w:val="left" w:pos="360"/>
        </w:tabs>
        <w:adjustRightInd w:val="0"/>
        <w:spacing w:before="0"/>
        <w:ind w:firstLine="0"/>
        <w:rPr>
          <w:rFonts w:eastAsiaTheme="minorEastAsia"/>
          <w:lang w:eastAsia="zh-CN"/>
        </w:rPr>
      </w:pPr>
      <w:r w:rsidRPr="00102C6C">
        <w:rPr>
          <w:rStyle w:val="FootnoteReference"/>
          <w:rFonts w:eastAsiaTheme="minorEastAsia"/>
          <w:sz w:val="24"/>
          <w:szCs w:val="20"/>
          <w:u w:val="none"/>
          <w:vertAlign w:val="superscript"/>
        </w:rPr>
        <w:footnoteRef/>
      </w:r>
      <w:r w:rsidRPr="00102C6C">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土著和地方经验</w:t>
      </w:r>
      <w:r w:rsidRPr="00102C6C">
        <w:rPr>
          <w:rStyle w:val="ng-binding"/>
          <w:rFonts w:asciiTheme="minorEastAsia" w:hAnsiTheme="minorEastAsia"/>
          <w:lang w:eastAsia="zh-CN"/>
        </w:rPr>
        <w:t>“</w:t>
      </w:r>
      <w:r w:rsidRPr="00650F1F">
        <w:rPr>
          <w:rFonts w:eastAsiaTheme="minorEastAsia"/>
          <w:snapToGrid w:val="0"/>
          <w:kern w:val="18"/>
          <w:sz w:val="20"/>
          <w:szCs w:val="20"/>
          <w:lang w:eastAsia="zh-CN"/>
        </w:rPr>
        <w:t>Múuch’tambal</w:t>
      </w:r>
      <w:r w:rsidRPr="00102C6C">
        <w:rPr>
          <w:rStyle w:val="ng-binding"/>
          <w:rFonts w:asciiTheme="minorEastAsia" w:hAnsiTheme="minorEastAsia"/>
          <w:lang w:eastAsia="zh-CN"/>
        </w:rPr>
        <w:t>”</w:t>
      </w:r>
      <w:r w:rsidRPr="00650F1F">
        <w:rPr>
          <w:rFonts w:eastAsiaTheme="minorEastAsia"/>
          <w:kern w:val="18"/>
          <w:sz w:val="20"/>
          <w:szCs w:val="20"/>
          <w:lang w:eastAsia="zh-CN"/>
        </w:rPr>
        <w:t>峰会在缔约方大会第十三届会议期间举行，其《宣言》见</w:t>
      </w:r>
      <w:hyperlink r:id="rId112" w:history="1">
        <w:r w:rsidRPr="00650F1F">
          <w:rPr>
            <w:rStyle w:val="Hyperlink"/>
            <w:rFonts w:eastAsiaTheme="minorEastAsia"/>
            <w:sz w:val="20"/>
            <w:szCs w:val="20"/>
            <w:lang w:eastAsia="zh-CN"/>
          </w:rPr>
          <w:t>UNEP/CBD/COP/13/INF/48</w:t>
        </w:r>
      </w:hyperlink>
      <w:r w:rsidRPr="00650F1F">
        <w:rPr>
          <w:rFonts w:eastAsiaTheme="minorEastAsia"/>
          <w:kern w:val="18"/>
          <w:sz w:val="20"/>
          <w:szCs w:val="20"/>
          <w:lang w:eastAsia="zh-CN"/>
        </w:rPr>
        <w:t>。</w:t>
      </w:r>
    </w:p>
  </w:footnote>
  <w:footnote w:id="245">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102C6C">
        <w:rPr>
          <w:rStyle w:val="FootnoteReference"/>
          <w:rFonts w:eastAsiaTheme="minorEastAsia"/>
          <w:sz w:val="24"/>
          <w:szCs w:val="20"/>
          <w:u w:val="none"/>
          <w:vertAlign w:val="superscript"/>
        </w:rPr>
        <w:footnoteRef/>
      </w:r>
      <w:r w:rsidRPr="00102C6C">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hyperlink r:id="rId113" w:history="1">
        <w:r w:rsidRPr="00650F1F">
          <w:rPr>
            <w:rStyle w:val="Hyperlink"/>
            <w:rFonts w:eastAsiaTheme="minorEastAsia"/>
            <w:kern w:val="18"/>
            <w:sz w:val="20"/>
            <w:szCs w:val="20"/>
            <w:lang w:eastAsia="zh-CN"/>
          </w:rPr>
          <w:t>第</w:t>
        </w:r>
        <w:r w:rsidRPr="00650F1F">
          <w:rPr>
            <w:rStyle w:val="Hyperlink"/>
            <w:rFonts w:eastAsiaTheme="minorEastAsia"/>
            <w:kern w:val="18"/>
            <w:sz w:val="20"/>
            <w:szCs w:val="20"/>
            <w:lang w:eastAsia="zh-CN"/>
          </w:rPr>
          <w:t>VII/16</w:t>
        </w:r>
        <w:r w:rsidRPr="00650F1F">
          <w:rPr>
            <w:rStyle w:val="Hyperlink"/>
            <w:rFonts w:eastAsiaTheme="minorEastAsia"/>
            <w:kern w:val="18"/>
            <w:sz w:val="20"/>
            <w:szCs w:val="20"/>
            <w:lang w:eastAsia="zh-CN"/>
          </w:rPr>
          <w:t>号决定</w:t>
        </w:r>
      </w:hyperlink>
      <w:r w:rsidRPr="00650F1F">
        <w:rPr>
          <w:rFonts w:eastAsiaTheme="minorEastAsia"/>
          <w:kern w:val="18"/>
          <w:sz w:val="20"/>
          <w:szCs w:val="20"/>
          <w:lang w:eastAsia="zh-CN"/>
        </w:rPr>
        <w:t>。</w:t>
      </w:r>
    </w:p>
  </w:footnote>
  <w:footnote w:id="246">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102C6C">
        <w:rPr>
          <w:rStyle w:val="FootnoteReference"/>
          <w:rFonts w:eastAsiaTheme="minorEastAsia"/>
          <w:sz w:val="24"/>
          <w:szCs w:val="20"/>
          <w:u w:val="none"/>
          <w:vertAlign w:val="superscript"/>
        </w:rPr>
        <w:footnoteRef/>
      </w:r>
      <w:r w:rsidRPr="00102C6C">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hyperlink r:id="rId114" w:history="1">
        <w:r w:rsidRPr="00650F1F">
          <w:rPr>
            <w:rStyle w:val="Hyperlink"/>
            <w:rFonts w:eastAsiaTheme="minorEastAsia"/>
            <w:kern w:val="18"/>
            <w:sz w:val="20"/>
            <w:szCs w:val="20"/>
            <w:lang w:eastAsia="zh-CN"/>
          </w:rPr>
          <w:t>第</w:t>
        </w:r>
        <w:r w:rsidRPr="00650F1F">
          <w:rPr>
            <w:rStyle w:val="Hyperlink"/>
            <w:rFonts w:eastAsiaTheme="minorEastAsia"/>
            <w:kern w:val="18"/>
            <w:sz w:val="20"/>
            <w:szCs w:val="20"/>
            <w:lang w:eastAsia="zh-CN"/>
          </w:rPr>
          <w:t>X/42</w:t>
        </w:r>
        <w:r w:rsidRPr="00650F1F">
          <w:rPr>
            <w:rStyle w:val="Hyperlink"/>
            <w:rFonts w:eastAsiaTheme="minorEastAsia"/>
            <w:kern w:val="18"/>
            <w:sz w:val="20"/>
            <w:szCs w:val="20"/>
            <w:lang w:eastAsia="zh-CN"/>
          </w:rPr>
          <w:t>号决定</w:t>
        </w:r>
      </w:hyperlink>
      <w:r w:rsidRPr="00650F1F">
        <w:rPr>
          <w:rFonts w:eastAsiaTheme="minorEastAsia"/>
          <w:kern w:val="18"/>
          <w:sz w:val="20"/>
          <w:szCs w:val="20"/>
          <w:lang w:eastAsia="zh-CN"/>
        </w:rPr>
        <w:t>，附件。</w:t>
      </w:r>
    </w:p>
  </w:footnote>
  <w:footnote w:id="247">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102C6C">
        <w:rPr>
          <w:rStyle w:val="FootnoteReference"/>
          <w:rFonts w:eastAsiaTheme="minorEastAsia"/>
          <w:sz w:val="24"/>
          <w:szCs w:val="20"/>
          <w:u w:val="none"/>
          <w:vertAlign w:val="superscript"/>
        </w:rPr>
        <w:footnoteRef/>
      </w:r>
      <w:r w:rsidRPr="00102C6C">
        <w:rPr>
          <w:rStyle w:val="FootnoteReference"/>
          <w:rFonts w:eastAsiaTheme="minorEastAsia"/>
          <w:sz w:val="24"/>
          <w:szCs w:val="20"/>
          <w:u w:val="none"/>
          <w:vertAlign w:val="superscript"/>
          <w:lang w:eastAsia="zh-CN"/>
        </w:rPr>
        <w:t xml:space="preserve"> </w:t>
      </w:r>
      <w:r w:rsidRPr="00102C6C">
        <w:rPr>
          <w:rFonts w:eastAsiaTheme="minorEastAsia"/>
          <w:kern w:val="22"/>
          <w:sz w:val="20"/>
          <w:szCs w:val="20"/>
          <w:lang w:eastAsia="zh-CN"/>
        </w:rPr>
        <w:tab/>
      </w:r>
      <w:r w:rsidRPr="00650F1F">
        <w:rPr>
          <w:rFonts w:eastAsiaTheme="minorEastAsia"/>
          <w:kern w:val="22"/>
          <w:sz w:val="20"/>
          <w:szCs w:val="20"/>
          <w:lang w:eastAsia="zh-CN"/>
        </w:rPr>
        <w:t>译自玛雅语</w:t>
      </w:r>
      <w:r w:rsidRPr="00650F1F">
        <w:rPr>
          <w:rFonts w:eastAsiaTheme="minorEastAsia"/>
          <w:noProof/>
          <w:kern w:val="22"/>
          <w:sz w:val="20"/>
          <w:szCs w:val="20"/>
          <w:lang w:eastAsia="zh-CN"/>
        </w:rPr>
        <w:t>Mo’otz kuxtal</w:t>
      </w:r>
      <w:r w:rsidRPr="00650F1F">
        <w:rPr>
          <w:rFonts w:eastAsiaTheme="minorEastAsia"/>
          <w:kern w:val="22"/>
          <w:sz w:val="20"/>
          <w:szCs w:val="20"/>
          <w:lang w:eastAsia="zh-CN"/>
        </w:rPr>
        <w:t>。</w:t>
      </w:r>
    </w:p>
  </w:footnote>
  <w:footnote w:id="248">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102C6C">
        <w:rPr>
          <w:rStyle w:val="FootnoteReference"/>
          <w:rFonts w:eastAsiaTheme="minorEastAsia"/>
          <w:sz w:val="24"/>
          <w:szCs w:val="20"/>
          <w:u w:val="none"/>
          <w:vertAlign w:val="superscript"/>
        </w:rPr>
        <w:footnoteRef/>
      </w:r>
      <w:r w:rsidRPr="00102C6C">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在这些准则中</w:t>
      </w:r>
      <w:r w:rsidRPr="00102C6C">
        <w:rPr>
          <w:rStyle w:val="ng-binding"/>
          <w:rFonts w:asciiTheme="minorEastAsia" w:eastAsiaTheme="minorEastAsia" w:hAnsiTheme="minorEastAsia"/>
          <w:sz w:val="20"/>
          <w:lang w:eastAsia="zh-CN"/>
        </w:rPr>
        <w:t>“土著人民和地方社区”</w:t>
      </w:r>
      <w:r w:rsidRPr="00650F1F">
        <w:rPr>
          <w:rFonts w:eastAsiaTheme="minorEastAsia"/>
          <w:sz w:val="20"/>
          <w:szCs w:val="20"/>
          <w:lang w:eastAsia="zh-CN"/>
        </w:rPr>
        <w:t>一词的使用和解释请参阅</w:t>
      </w:r>
      <w:hyperlink r:id="rId115" w:history="1">
        <w:r w:rsidRPr="00650F1F">
          <w:rPr>
            <w:rStyle w:val="Hyperlink"/>
            <w:rFonts w:eastAsiaTheme="minorEastAsia"/>
            <w:kern w:val="18"/>
            <w:sz w:val="20"/>
            <w:szCs w:val="20"/>
            <w:lang w:eastAsia="zh-CN"/>
          </w:rPr>
          <w:t>第</w:t>
        </w:r>
        <w:r w:rsidRPr="00650F1F">
          <w:rPr>
            <w:rStyle w:val="Hyperlink"/>
            <w:rFonts w:eastAsiaTheme="minorEastAsia"/>
            <w:kern w:val="18"/>
            <w:sz w:val="20"/>
            <w:szCs w:val="20"/>
            <w:lang w:eastAsia="zh-CN"/>
          </w:rPr>
          <w:t>XII/12</w:t>
        </w:r>
        <w:r w:rsidRPr="00650F1F">
          <w:rPr>
            <w:rStyle w:val="Hyperlink"/>
            <w:rFonts w:eastAsiaTheme="minorEastAsia"/>
            <w:kern w:val="18"/>
            <w:sz w:val="20"/>
            <w:szCs w:val="20"/>
            <w:lang w:eastAsia="zh-CN"/>
          </w:rPr>
          <w:t>号决定</w:t>
        </w:r>
      </w:hyperlink>
      <w:r w:rsidRPr="00650F1F">
        <w:rPr>
          <w:rFonts w:eastAsiaTheme="minorEastAsia"/>
          <w:color w:val="000000"/>
          <w:kern w:val="18"/>
          <w:sz w:val="20"/>
          <w:szCs w:val="20"/>
          <w:lang w:eastAsia="zh-CN"/>
        </w:rPr>
        <w:t>，</w:t>
      </w:r>
      <w:r w:rsidRPr="00650F1F">
        <w:rPr>
          <w:rFonts w:eastAsiaTheme="minorEastAsia"/>
          <w:color w:val="000000"/>
          <w:kern w:val="18"/>
          <w:sz w:val="20"/>
          <w:szCs w:val="20"/>
          <w:lang w:eastAsia="zh-CN"/>
        </w:rPr>
        <w:t>F</w:t>
      </w:r>
      <w:r w:rsidRPr="00650F1F">
        <w:rPr>
          <w:rFonts w:eastAsiaTheme="minorEastAsia"/>
          <w:color w:val="000000"/>
          <w:kern w:val="18"/>
          <w:sz w:val="20"/>
          <w:szCs w:val="20"/>
          <w:lang w:eastAsia="zh-CN"/>
        </w:rPr>
        <w:t>节，第</w:t>
      </w:r>
      <w:r w:rsidRPr="00650F1F">
        <w:rPr>
          <w:rFonts w:eastAsiaTheme="minorEastAsia"/>
          <w:color w:val="000000"/>
          <w:kern w:val="18"/>
          <w:sz w:val="20"/>
          <w:szCs w:val="20"/>
          <w:lang w:eastAsia="zh-CN"/>
        </w:rPr>
        <w:t>2(a)</w:t>
      </w:r>
      <w:r w:rsidRPr="00650F1F">
        <w:rPr>
          <w:rFonts w:eastAsiaTheme="minorEastAsia"/>
          <w:color w:val="000000"/>
          <w:kern w:val="18"/>
          <w:sz w:val="20"/>
          <w:szCs w:val="20"/>
          <w:lang w:eastAsia="zh-CN"/>
        </w:rPr>
        <w:t>、</w:t>
      </w:r>
      <w:r w:rsidRPr="00650F1F">
        <w:rPr>
          <w:rFonts w:eastAsiaTheme="minorEastAsia"/>
          <w:color w:val="000000"/>
          <w:kern w:val="18"/>
          <w:sz w:val="20"/>
          <w:szCs w:val="20"/>
          <w:lang w:eastAsia="zh-CN"/>
        </w:rPr>
        <w:t>(b)</w:t>
      </w:r>
      <w:r w:rsidRPr="00650F1F">
        <w:rPr>
          <w:rFonts w:eastAsiaTheme="minorEastAsia"/>
          <w:color w:val="000000"/>
          <w:kern w:val="18"/>
          <w:sz w:val="20"/>
          <w:szCs w:val="20"/>
          <w:lang w:eastAsia="zh-CN"/>
        </w:rPr>
        <w:t>、</w:t>
      </w:r>
      <w:r w:rsidRPr="00650F1F">
        <w:rPr>
          <w:rFonts w:eastAsiaTheme="minorEastAsia"/>
          <w:color w:val="000000"/>
          <w:kern w:val="18"/>
          <w:sz w:val="20"/>
          <w:szCs w:val="20"/>
          <w:lang w:eastAsia="zh-CN"/>
        </w:rPr>
        <w:t>(c)</w:t>
      </w:r>
      <w:r w:rsidRPr="00650F1F">
        <w:rPr>
          <w:rFonts w:eastAsiaTheme="minorEastAsia"/>
          <w:color w:val="000000"/>
          <w:kern w:val="18"/>
          <w:sz w:val="20"/>
          <w:szCs w:val="20"/>
          <w:lang w:eastAsia="zh-CN"/>
        </w:rPr>
        <w:t>段。</w:t>
      </w:r>
    </w:p>
  </w:footnote>
  <w:footnote w:id="249">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314EE8">
        <w:rPr>
          <w:rStyle w:val="FootnoteReference"/>
          <w:rFonts w:eastAsiaTheme="minorEastAsia"/>
          <w:sz w:val="24"/>
          <w:szCs w:val="20"/>
          <w:u w:val="none"/>
          <w:vertAlign w:val="superscript"/>
        </w:rPr>
        <w:footnoteRef/>
      </w:r>
      <w:r w:rsidRPr="00314EE8">
        <w:rPr>
          <w:rFonts w:eastAsiaTheme="minorEastAsia"/>
          <w:sz w:val="20"/>
          <w:szCs w:val="20"/>
          <w:lang w:eastAsia="zh-CN"/>
        </w:rPr>
        <w:t xml:space="preserve"> </w:t>
      </w:r>
      <w:r w:rsidRPr="00650F1F">
        <w:rPr>
          <w:rFonts w:eastAsiaTheme="minorEastAsia"/>
          <w:sz w:val="20"/>
          <w:szCs w:val="20"/>
          <w:lang w:eastAsia="zh-CN"/>
        </w:rPr>
        <w:tab/>
      </w:r>
      <w:hyperlink r:id="rId116" w:history="1">
        <w:r w:rsidRPr="00650F1F">
          <w:rPr>
            <w:rStyle w:val="Hyperlink"/>
            <w:rFonts w:eastAsiaTheme="minorEastAsia"/>
            <w:kern w:val="18"/>
            <w:sz w:val="20"/>
            <w:szCs w:val="20"/>
            <w:lang w:eastAsia="zh-CN"/>
          </w:rPr>
          <w:t>第</w:t>
        </w:r>
        <w:r w:rsidRPr="00650F1F">
          <w:rPr>
            <w:rStyle w:val="Hyperlink"/>
            <w:rFonts w:eastAsiaTheme="minorEastAsia"/>
            <w:kern w:val="18"/>
            <w:sz w:val="20"/>
            <w:szCs w:val="20"/>
            <w:lang w:eastAsia="zh-CN"/>
          </w:rPr>
          <w:t>XIII/18</w:t>
        </w:r>
        <w:r w:rsidRPr="00650F1F">
          <w:rPr>
            <w:rStyle w:val="Hyperlink"/>
            <w:rFonts w:eastAsiaTheme="minorEastAsia"/>
            <w:kern w:val="18"/>
            <w:sz w:val="20"/>
            <w:szCs w:val="20"/>
            <w:lang w:eastAsia="zh-CN"/>
          </w:rPr>
          <w:t>号决定</w:t>
        </w:r>
      </w:hyperlink>
      <w:r w:rsidRPr="00650F1F">
        <w:rPr>
          <w:rFonts w:eastAsiaTheme="minorEastAsia"/>
          <w:kern w:val="18"/>
          <w:sz w:val="20"/>
          <w:szCs w:val="20"/>
          <w:lang w:eastAsia="zh-CN"/>
        </w:rPr>
        <w:t>。</w:t>
      </w:r>
    </w:p>
  </w:footnote>
  <w:footnote w:id="250">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314EE8">
        <w:rPr>
          <w:rStyle w:val="FootnoteReference"/>
          <w:rFonts w:eastAsiaTheme="minorEastAsia"/>
          <w:sz w:val="24"/>
          <w:szCs w:val="20"/>
          <w:u w:val="none"/>
          <w:vertAlign w:val="superscript"/>
        </w:rPr>
        <w:footnoteRef/>
      </w:r>
      <w:r w:rsidRPr="00314EE8">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第</w:t>
      </w:r>
      <w:r w:rsidRPr="00650F1F">
        <w:rPr>
          <w:rFonts w:eastAsiaTheme="minorEastAsia"/>
          <w:sz w:val="20"/>
          <w:szCs w:val="20"/>
          <w:lang w:eastAsia="zh-CN"/>
        </w:rPr>
        <w:t>14/12</w:t>
      </w:r>
      <w:r w:rsidRPr="00650F1F">
        <w:rPr>
          <w:rFonts w:eastAsiaTheme="minorEastAsia"/>
          <w:sz w:val="20"/>
          <w:szCs w:val="20"/>
          <w:lang w:eastAsia="zh-CN"/>
        </w:rPr>
        <w:t>号决定。</w:t>
      </w:r>
    </w:p>
  </w:footnote>
  <w:footnote w:id="251">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314EE8">
        <w:rPr>
          <w:rStyle w:val="FootnoteReference"/>
          <w:rFonts w:eastAsiaTheme="minorEastAsia"/>
          <w:sz w:val="24"/>
          <w:szCs w:val="20"/>
          <w:u w:val="none"/>
          <w:vertAlign w:val="superscript"/>
        </w:rPr>
        <w:footnoteRef/>
      </w:r>
      <w:r w:rsidRPr="00650F1F">
        <w:rPr>
          <w:rFonts w:eastAsiaTheme="minorEastAsia"/>
          <w:sz w:val="20"/>
          <w:szCs w:val="20"/>
          <w:lang w:eastAsia="zh-CN"/>
        </w:rPr>
        <w:t xml:space="preserve"> </w:t>
      </w:r>
      <w:r w:rsidRPr="00650F1F">
        <w:rPr>
          <w:rFonts w:eastAsiaTheme="minorEastAsia"/>
          <w:sz w:val="20"/>
          <w:szCs w:val="20"/>
          <w:lang w:eastAsia="zh-CN"/>
        </w:rPr>
        <w:tab/>
      </w:r>
      <w:hyperlink r:id="rId117" w:history="1">
        <w:r w:rsidRPr="00650F1F">
          <w:rPr>
            <w:rStyle w:val="Hyperlink"/>
            <w:rFonts w:eastAsiaTheme="minorEastAsia"/>
            <w:kern w:val="18"/>
            <w:sz w:val="20"/>
            <w:szCs w:val="20"/>
            <w:lang w:eastAsia="zh-CN"/>
          </w:rPr>
          <w:t>第</w:t>
        </w:r>
        <w:r w:rsidRPr="00650F1F">
          <w:rPr>
            <w:rStyle w:val="Hyperlink"/>
            <w:rFonts w:eastAsiaTheme="minorEastAsia"/>
            <w:kern w:val="18"/>
            <w:sz w:val="20"/>
            <w:szCs w:val="20"/>
            <w:lang w:eastAsia="zh-CN"/>
          </w:rPr>
          <w:t>XII/12</w:t>
        </w:r>
        <w:r w:rsidRPr="00650F1F">
          <w:rPr>
            <w:rStyle w:val="Hyperlink"/>
            <w:rFonts w:eastAsiaTheme="minorEastAsia"/>
            <w:kern w:val="18"/>
            <w:sz w:val="20"/>
            <w:szCs w:val="20"/>
            <w:lang w:eastAsia="zh-CN"/>
          </w:rPr>
          <w:t>号决定</w:t>
        </w:r>
      </w:hyperlink>
      <w:r w:rsidRPr="00650F1F">
        <w:rPr>
          <w:rFonts w:eastAsiaTheme="minorEastAsia"/>
          <w:kern w:val="18"/>
          <w:sz w:val="20"/>
          <w:szCs w:val="20"/>
          <w:lang w:eastAsia="zh-CN"/>
        </w:rPr>
        <w:t>B</w:t>
      </w:r>
      <w:r w:rsidRPr="00650F1F">
        <w:rPr>
          <w:rFonts w:eastAsiaTheme="minorEastAsia"/>
          <w:kern w:val="18"/>
          <w:sz w:val="20"/>
          <w:szCs w:val="20"/>
          <w:lang w:eastAsia="zh-CN"/>
        </w:rPr>
        <w:t>节，附件。</w:t>
      </w:r>
    </w:p>
  </w:footnote>
  <w:footnote w:id="252">
    <w:p w:rsidR="00594C0B" w:rsidRPr="00650F1F" w:rsidRDefault="00594C0B" w:rsidP="00650F1F">
      <w:pPr>
        <w:pStyle w:val="FootnoteText"/>
        <w:tabs>
          <w:tab w:val="left" w:pos="360"/>
        </w:tabs>
        <w:adjustRightInd w:val="0"/>
        <w:snapToGrid w:val="0"/>
        <w:spacing w:before="0"/>
        <w:ind w:firstLine="0"/>
        <w:rPr>
          <w:rFonts w:eastAsiaTheme="minorEastAsia"/>
          <w:lang w:eastAsia="zh-CN"/>
        </w:rPr>
      </w:pPr>
      <w:r w:rsidRPr="00314EE8">
        <w:rPr>
          <w:rStyle w:val="FootnoteReference"/>
          <w:rFonts w:eastAsiaTheme="minorEastAsia"/>
          <w:sz w:val="24"/>
          <w:szCs w:val="20"/>
          <w:u w:val="none"/>
          <w:vertAlign w:val="superscript"/>
        </w:rPr>
        <w:footnoteRef/>
      </w:r>
      <w:r w:rsidRPr="00314EE8">
        <w:rPr>
          <w:rStyle w:val="FootnoteReference"/>
          <w:rFonts w:eastAsiaTheme="minorEastAsia"/>
          <w:sz w:val="24"/>
          <w:szCs w:val="20"/>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见关于与其他公约和国际组织及倡议合作的</w:t>
      </w:r>
      <w:hyperlink r:id="rId118" w:history="1">
        <w:r w:rsidRPr="00650F1F">
          <w:rPr>
            <w:rStyle w:val="Hyperlink"/>
            <w:rFonts w:eastAsiaTheme="minorEastAsia"/>
            <w:kern w:val="18"/>
            <w:sz w:val="20"/>
            <w:szCs w:val="20"/>
            <w:lang w:eastAsia="zh-CN"/>
          </w:rPr>
          <w:t>第</w:t>
        </w:r>
        <w:r w:rsidRPr="00650F1F">
          <w:rPr>
            <w:rStyle w:val="Hyperlink"/>
            <w:rFonts w:eastAsiaTheme="minorEastAsia"/>
            <w:kern w:val="18"/>
            <w:sz w:val="20"/>
            <w:szCs w:val="20"/>
            <w:lang w:eastAsia="zh-CN"/>
          </w:rPr>
          <w:t>X/20</w:t>
        </w:r>
        <w:r w:rsidRPr="00650F1F">
          <w:rPr>
            <w:rStyle w:val="Hyperlink"/>
            <w:rFonts w:eastAsiaTheme="minorEastAsia"/>
            <w:kern w:val="18"/>
            <w:sz w:val="20"/>
            <w:szCs w:val="20"/>
            <w:lang w:eastAsia="zh-CN"/>
          </w:rPr>
          <w:t>号决定</w:t>
        </w:r>
      </w:hyperlink>
      <w:r w:rsidRPr="00650F1F">
        <w:rPr>
          <w:rFonts w:eastAsiaTheme="minorEastAsia"/>
          <w:kern w:val="18"/>
          <w:sz w:val="20"/>
          <w:szCs w:val="20"/>
          <w:lang w:eastAsia="zh-CN"/>
        </w:rPr>
        <w:t>，缔约方大会在第</w:t>
      </w:r>
      <w:r w:rsidRPr="00650F1F">
        <w:rPr>
          <w:rFonts w:eastAsiaTheme="minorEastAsia"/>
          <w:kern w:val="18"/>
          <w:sz w:val="20"/>
          <w:szCs w:val="20"/>
          <w:lang w:eastAsia="zh-CN"/>
        </w:rPr>
        <w:t>16</w:t>
      </w:r>
      <w:r w:rsidRPr="00650F1F">
        <w:rPr>
          <w:rFonts w:eastAsiaTheme="minorEastAsia"/>
          <w:kern w:val="18"/>
          <w:sz w:val="20"/>
          <w:szCs w:val="20"/>
          <w:lang w:eastAsia="zh-CN"/>
        </w:rPr>
        <w:t>段中对联合工作方案表示欢迎。</w:t>
      </w:r>
    </w:p>
  </w:footnote>
  <w:footnote w:id="253">
    <w:p w:rsidR="00594C0B" w:rsidRPr="00650F1F" w:rsidRDefault="00594C0B" w:rsidP="00650F1F">
      <w:pPr>
        <w:pStyle w:val="FootnoteText"/>
        <w:keepLines w:val="0"/>
        <w:suppressLineNumbers/>
        <w:tabs>
          <w:tab w:val="left" w:pos="360"/>
        </w:tabs>
        <w:suppressAutoHyphens/>
        <w:adjustRightInd w:val="0"/>
        <w:snapToGrid w:val="0"/>
        <w:spacing w:before="0"/>
        <w:ind w:firstLine="0"/>
        <w:rPr>
          <w:rFonts w:eastAsiaTheme="minorEastAsia"/>
          <w:lang w:eastAsia="zh-CN"/>
        </w:rPr>
      </w:pPr>
      <w:r w:rsidRPr="00314EE8">
        <w:rPr>
          <w:rStyle w:val="FootnoteReference"/>
          <w:rFonts w:eastAsiaTheme="minorEastAsia"/>
          <w:sz w:val="24"/>
          <w:szCs w:val="20"/>
          <w:u w:val="none"/>
          <w:vertAlign w:val="superscript"/>
        </w:rPr>
        <w:footnoteRef/>
      </w:r>
      <w:r w:rsidRPr="00314EE8">
        <w:rPr>
          <w:rStyle w:val="FootnoteReference"/>
          <w:rFonts w:eastAsiaTheme="minorEastAsia"/>
          <w:sz w:val="24"/>
          <w:szCs w:val="20"/>
          <w:u w:val="none"/>
          <w:vertAlign w:val="superscript"/>
          <w:lang w:eastAsia="zh-CN"/>
        </w:rPr>
        <w:t xml:space="preserve"> </w:t>
      </w:r>
      <w:r w:rsidRPr="00314EE8">
        <w:rPr>
          <w:rStyle w:val="FootnoteReference"/>
          <w:sz w:val="24"/>
          <w:u w:val="none"/>
          <w:vertAlign w:val="superscript"/>
          <w:lang w:eastAsia="zh-CN"/>
        </w:rPr>
        <w:tab/>
      </w:r>
      <w:r w:rsidRPr="00650F1F">
        <w:rPr>
          <w:rFonts w:eastAsiaTheme="minorEastAsia"/>
          <w:sz w:val="20"/>
          <w:szCs w:val="20"/>
          <w:lang w:eastAsia="zh-CN"/>
        </w:rPr>
        <w:t>第</w:t>
      </w:r>
      <w:r w:rsidRPr="00650F1F">
        <w:rPr>
          <w:rFonts w:eastAsiaTheme="minorEastAsia"/>
          <w:sz w:val="20"/>
          <w:szCs w:val="20"/>
          <w:lang w:eastAsia="zh-CN"/>
        </w:rPr>
        <w:t>14/12</w:t>
      </w:r>
      <w:r w:rsidRPr="00650F1F">
        <w:rPr>
          <w:rFonts w:eastAsiaTheme="minorEastAsia"/>
          <w:sz w:val="20"/>
          <w:szCs w:val="20"/>
          <w:lang w:eastAsia="zh-CN"/>
        </w:rPr>
        <w:t>号决定。</w:t>
      </w:r>
    </w:p>
  </w:footnote>
  <w:footnote w:id="254">
    <w:p w:rsidR="00594C0B" w:rsidRPr="00650F1F" w:rsidRDefault="00594C0B" w:rsidP="00650F1F">
      <w:pPr>
        <w:pStyle w:val="FootnoteText"/>
        <w:tabs>
          <w:tab w:val="left" w:pos="360"/>
        </w:tabs>
        <w:adjustRightInd w:val="0"/>
        <w:spacing w:before="0"/>
        <w:ind w:firstLine="0"/>
        <w:rPr>
          <w:rFonts w:eastAsiaTheme="minorEastAsia"/>
          <w:sz w:val="20"/>
          <w:szCs w:val="20"/>
          <w:lang w:eastAsia="zh-CN"/>
        </w:rPr>
      </w:pPr>
      <w:r w:rsidRPr="00102C6C">
        <w:rPr>
          <w:rStyle w:val="FootnoteReference"/>
          <w:rFonts w:eastAsiaTheme="minorEastAsia"/>
          <w:sz w:val="24"/>
          <w:szCs w:val="20"/>
          <w:u w:val="none"/>
          <w:vertAlign w:val="superscript"/>
        </w:rPr>
        <w:footnoteRef/>
      </w:r>
      <w:r w:rsidRPr="00102C6C">
        <w:rPr>
          <w:rFonts w:eastAsiaTheme="minorEastAsia"/>
          <w:sz w:val="24"/>
          <w:szCs w:val="20"/>
          <w:lang w:eastAsia="zh-CN"/>
        </w:rPr>
        <w:t xml:space="preserve"> </w:t>
      </w:r>
      <w:r w:rsidRPr="00650F1F">
        <w:rPr>
          <w:rFonts w:eastAsiaTheme="minorEastAsia"/>
          <w:sz w:val="20"/>
          <w:szCs w:val="20"/>
          <w:lang w:eastAsia="zh-CN"/>
        </w:rPr>
        <w:tab/>
      </w:r>
      <w:hyperlink r:id="rId119" w:history="1">
        <w:r w:rsidRPr="00650F1F">
          <w:rPr>
            <w:rStyle w:val="Hyperlink"/>
            <w:rFonts w:eastAsiaTheme="minorEastAsia"/>
            <w:bCs/>
            <w:sz w:val="20"/>
            <w:szCs w:val="20"/>
            <w:lang w:eastAsia="zh-CN"/>
          </w:rPr>
          <w:t>CBD/SBI/2/2/ADD.3</w:t>
        </w:r>
      </w:hyperlink>
      <w:r w:rsidRPr="00650F1F">
        <w:rPr>
          <w:rFonts w:eastAsiaTheme="minorEastAsia"/>
          <w:bCs/>
          <w:sz w:val="20"/>
          <w:szCs w:val="20"/>
          <w:lang w:eastAsia="zh-CN"/>
        </w:rPr>
        <w:t>。</w:t>
      </w:r>
    </w:p>
  </w:footnote>
  <w:footnote w:id="255">
    <w:p w:rsidR="00594C0B" w:rsidRPr="00650F1F" w:rsidRDefault="00594C0B" w:rsidP="00650F1F">
      <w:pPr>
        <w:pStyle w:val="FootnoteText"/>
        <w:tabs>
          <w:tab w:val="left" w:pos="360"/>
        </w:tabs>
        <w:adjustRightInd w:val="0"/>
        <w:spacing w:before="0"/>
        <w:ind w:firstLine="0"/>
        <w:rPr>
          <w:rFonts w:eastAsiaTheme="minorEastAsia"/>
          <w:lang w:eastAsia="zh-CN"/>
        </w:rPr>
      </w:pPr>
      <w:r w:rsidRPr="00102C6C">
        <w:rPr>
          <w:rStyle w:val="FootnoteReference"/>
          <w:rFonts w:eastAsiaTheme="minorEastAsia"/>
          <w:sz w:val="24"/>
          <w:szCs w:val="20"/>
          <w:u w:val="none"/>
          <w:vertAlign w:val="superscript"/>
        </w:rPr>
        <w:footnoteRef/>
      </w:r>
      <w:r w:rsidRPr="00102C6C">
        <w:rPr>
          <w:rStyle w:val="FootnoteReference"/>
          <w:rFonts w:eastAsiaTheme="minorEastAsia"/>
          <w:sz w:val="24"/>
          <w:szCs w:val="20"/>
          <w:u w:val="none"/>
          <w:vertAlign w:val="superscript"/>
          <w:lang w:eastAsia="zh-CN"/>
        </w:rPr>
        <w:t xml:space="preserve"> </w:t>
      </w:r>
      <w:r w:rsidRPr="00102C6C">
        <w:rPr>
          <w:rStyle w:val="FootnoteReference"/>
          <w:sz w:val="24"/>
          <w:u w:val="none"/>
          <w:vertAlign w:val="superscript"/>
          <w:lang w:eastAsia="zh-CN"/>
        </w:rPr>
        <w:tab/>
      </w:r>
      <w:r w:rsidRPr="00650F1F">
        <w:rPr>
          <w:rFonts w:eastAsiaTheme="minorEastAsia"/>
          <w:sz w:val="20"/>
          <w:szCs w:val="20"/>
          <w:lang w:eastAsia="zh-CN"/>
        </w:rPr>
        <w:t>见大会</w:t>
      </w:r>
      <w:hyperlink r:id="rId120" w:history="1">
        <w:r w:rsidRPr="00650F1F">
          <w:rPr>
            <w:rFonts w:eastAsiaTheme="minorEastAsia"/>
            <w:sz w:val="20"/>
            <w:szCs w:val="20"/>
            <w:lang w:eastAsia="zh-CN"/>
          </w:rPr>
          <w:t>第</w:t>
        </w:r>
        <w:r w:rsidRPr="00650F1F">
          <w:rPr>
            <w:rStyle w:val="Hyperlink"/>
            <w:rFonts w:eastAsiaTheme="minorEastAsia"/>
            <w:snapToGrid w:val="0"/>
            <w:kern w:val="18"/>
            <w:sz w:val="20"/>
            <w:szCs w:val="20"/>
            <w:lang w:eastAsia="zh-CN"/>
          </w:rPr>
          <w:t>70/1</w:t>
        </w:r>
        <w:r w:rsidRPr="00650F1F">
          <w:rPr>
            <w:rFonts w:eastAsiaTheme="minorEastAsia"/>
            <w:sz w:val="20"/>
            <w:szCs w:val="20"/>
            <w:lang w:eastAsia="zh-CN"/>
          </w:rPr>
          <w:t>号决议</w:t>
        </w:r>
      </w:hyperlink>
      <w:r w:rsidRPr="00650F1F">
        <w:rPr>
          <w:rFonts w:eastAsiaTheme="minorEastAsia"/>
          <w:bCs/>
          <w:sz w:val="20"/>
          <w:szCs w:val="20"/>
          <w:lang w:eastAsia="zh-CN"/>
        </w:rPr>
        <w:t>，附件。</w:t>
      </w:r>
    </w:p>
  </w:footnote>
  <w:footnote w:id="256">
    <w:p w:rsidR="00594C0B" w:rsidRPr="00650F1F" w:rsidRDefault="00594C0B" w:rsidP="00650F1F">
      <w:pPr>
        <w:pStyle w:val="FootnoteText"/>
        <w:tabs>
          <w:tab w:val="left" w:pos="360"/>
        </w:tabs>
        <w:kinsoku w:val="0"/>
        <w:overflowPunct w:val="0"/>
        <w:autoSpaceDE w:val="0"/>
        <w:autoSpaceDN w:val="0"/>
        <w:adjustRightInd w:val="0"/>
        <w:snapToGrid w:val="0"/>
        <w:spacing w:before="0"/>
        <w:ind w:firstLine="0"/>
        <w:rPr>
          <w:rFonts w:eastAsiaTheme="minorEastAsia"/>
          <w:sz w:val="20"/>
          <w:szCs w:val="20"/>
          <w:lang w:eastAsia="zh-CN"/>
        </w:rPr>
      </w:pPr>
      <w:r w:rsidRPr="00102C6C">
        <w:rPr>
          <w:rStyle w:val="FootnoteReference"/>
          <w:rFonts w:eastAsiaTheme="minorEastAsia"/>
          <w:sz w:val="24"/>
          <w:szCs w:val="20"/>
          <w:u w:val="none"/>
          <w:vertAlign w:val="superscript"/>
        </w:rPr>
        <w:footnoteRef/>
      </w:r>
      <w:r w:rsidRPr="00102C6C">
        <w:rPr>
          <w:rStyle w:val="FootnoteReference"/>
          <w:rFonts w:eastAsiaTheme="minorEastAsia"/>
          <w:sz w:val="24"/>
          <w:szCs w:val="20"/>
          <w:u w:val="none"/>
          <w:vertAlign w:val="superscript"/>
          <w:lang w:eastAsia="zh-CN"/>
        </w:rPr>
        <w:t xml:space="preserve"> </w:t>
      </w:r>
      <w:r w:rsidRPr="00650F1F">
        <w:rPr>
          <w:rFonts w:eastAsiaTheme="minorEastAsia"/>
          <w:kern w:val="18"/>
          <w:sz w:val="20"/>
          <w:szCs w:val="20"/>
          <w:lang w:eastAsia="zh-CN"/>
        </w:rPr>
        <w:tab/>
      </w:r>
      <w:r w:rsidRPr="00650F1F">
        <w:rPr>
          <w:rFonts w:eastAsiaTheme="minorEastAsia"/>
          <w:kern w:val="18"/>
          <w:sz w:val="20"/>
          <w:szCs w:val="20"/>
          <w:lang w:val="en-US" w:eastAsia="zh-CN"/>
        </w:rPr>
        <w:t>CBD/SBSTTA/22/4</w:t>
      </w:r>
      <w:r w:rsidRPr="00650F1F">
        <w:rPr>
          <w:rFonts w:eastAsiaTheme="minorEastAsia"/>
          <w:kern w:val="18"/>
          <w:sz w:val="20"/>
          <w:szCs w:val="20"/>
          <w:lang w:val="en-US" w:eastAsia="zh-CN"/>
        </w:rPr>
        <w:t>，</w:t>
      </w:r>
      <w:r w:rsidRPr="00650F1F">
        <w:rPr>
          <w:rFonts w:eastAsiaTheme="minorEastAsia"/>
          <w:kern w:val="18"/>
          <w:sz w:val="20"/>
          <w:szCs w:val="20"/>
          <w:lang w:val="zh-CN" w:eastAsia="zh-CN"/>
        </w:rPr>
        <w:t>附件。</w:t>
      </w:r>
    </w:p>
  </w:footnote>
  <w:footnote w:id="257">
    <w:p w:rsidR="00594C0B" w:rsidRPr="00650F1F" w:rsidRDefault="00594C0B" w:rsidP="00650F1F">
      <w:pPr>
        <w:pStyle w:val="FootnoteText"/>
        <w:tabs>
          <w:tab w:val="left" w:pos="360"/>
        </w:tabs>
        <w:kinsoku w:val="0"/>
        <w:overflowPunct w:val="0"/>
        <w:autoSpaceDE w:val="0"/>
        <w:autoSpaceDN w:val="0"/>
        <w:adjustRightInd w:val="0"/>
        <w:snapToGrid w:val="0"/>
        <w:spacing w:before="0"/>
        <w:ind w:firstLine="0"/>
        <w:jc w:val="left"/>
        <w:rPr>
          <w:rFonts w:eastAsiaTheme="minorEastAsia"/>
          <w:kern w:val="18"/>
          <w:sz w:val="20"/>
          <w:szCs w:val="20"/>
          <w:lang w:val="en-US" w:eastAsia="zh-CN"/>
        </w:rPr>
      </w:pPr>
      <w:r w:rsidRPr="00102C6C">
        <w:rPr>
          <w:rStyle w:val="FootnoteReference"/>
          <w:rFonts w:eastAsiaTheme="minorEastAsia"/>
          <w:sz w:val="24"/>
          <w:szCs w:val="20"/>
          <w:u w:val="none"/>
          <w:vertAlign w:val="superscript"/>
        </w:rPr>
        <w:footnoteRef/>
      </w:r>
      <w:r w:rsidRPr="00102C6C">
        <w:rPr>
          <w:rStyle w:val="FootnoteReference"/>
          <w:rFonts w:eastAsiaTheme="minorEastAsia"/>
          <w:sz w:val="24"/>
          <w:szCs w:val="20"/>
          <w:u w:val="none"/>
          <w:vertAlign w:val="superscript"/>
          <w:lang w:eastAsia="zh-CN"/>
        </w:rPr>
        <w:t xml:space="preserve"> </w:t>
      </w:r>
      <w:r w:rsidRPr="00102C6C">
        <w:rPr>
          <w:rStyle w:val="FootnoteReference"/>
          <w:sz w:val="24"/>
          <w:u w:val="none"/>
          <w:vertAlign w:val="superscript"/>
          <w:lang w:eastAsia="zh-CN"/>
        </w:rPr>
        <w:t xml:space="preserve">   </w:t>
      </w:r>
      <w:r>
        <w:rPr>
          <w:rFonts w:eastAsiaTheme="minorEastAsia"/>
          <w:kern w:val="18"/>
          <w:sz w:val="20"/>
          <w:szCs w:val="20"/>
          <w:lang w:eastAsia="zh-CN"/>
        </w:rPr>
        <w:t xml:space="preserve"> </w:t>
      </w:r>
      <w:r w:rsidRPr="00650F1F">
        <w:rPr>
          <w:rFonts w:eastAsiaTheme="minorEastAsia"/>
          <w:snapToGrid w:val="0"/>
          <w:kern w:val="18"/>
          <w:sz w:val="20"/>
          <w:szCs w:val="20"/>
          <w:lang w:eastAsia="zh-CN"/>
        </w:rPr>
        <w:t>科学、技术和工艺咨询附属机构建议作为卡塔赫纳生物安全议定书缔约方会议的缔约方大会（第</w:t>
      </w:r>
      <w:r w:rsidRPr="00650F1F">
        <w:rPr>
          <w:rFonts w:eastAsiaTheme="minorEastAsia"/>
          <w:snapToGrid w:val="0"/>
          <w:kern w:val="18"/>
          <w:sz w:val="20"/>
          <w:szCs w:val="20"/>
          <w:lang/>
        </w:rPr>
        <w:t>22/2</w:t>
      </w:r>
      <w:r w:rsidRPr="00650F1F">
        <w:rPr>
          <w:rFonts w:eastAsiaTheme="minorEastAsia"/>
          <w:snapToGrid w:val="0"/>
          <w:kern w:val="18"/>
          <w:sz w:val="20"/>
          <w:szCs w:val="20"/>
          <w:lang w:eastAsia="zh-CN"/>
        </w:rPr>
        <w:t>号建议）第十次会议审议是否需要就</w:t>
      </w:r>
      <w:r w:rsidRPr="00650F1F">
        <w:rPr>
          <w:rFonts w:eastAsiaTheme="minorEastAsia"/>
          <w:sz w:val="20"/>
          <w:szCs w:val="20"/>
          <w:lang w:val="zh-CN" w:eastAsia="zh-CN"/>
        </w:rPr>
        <w:t>含有人工基因驱动的改性活生物体制订进行风险评估的具体指导意见</w:t>
      </w:r>
      <w:r w:rsidRPr="00650F1F">
        <w:rPr>
          <w:rFonts w:eastAsiaTheme="minorEastAsia"/>
          <w:kern w:val="18"/>
          <w:sz w:val="20"/>
          <w:szCs w:val="20"/>
          <w:lang w:eastAsia="zh-CN"/>
        </w:rPr>
        <w:t>。</w:t>
      </w:r>
    </w:p>
  </w:footnote>
  <w:footnote w:id="258">
    <w:p w:rsidR="00594C0B" w:rsidRPr="00650F1F" w:rsidRDefault="00594C0B" w:rsidP="00650F1F">
      <w:pPr>
        <w:pStyle w:val="FootnoteText"/>
        <w:tabs>
          <w:tab w:val="left" w:pos="360"/>
        </w:tabs>
        <w:kinsoku w:val="0"/>
        <w:overflowPunct w:val="0"/>
        <w:autoSpaceDE w:val="0"/>
        <w:autoSpaceDN w:val="0"/>
        <w:adjustRightInd w:val="0"/>
        <w:snapToGrid w:val="0"/>
        <w:spacing w:before="0"/>
        <w:ind w:firstLine="0"/>
        <w:jc w:val="left"/>
        <w:rPr>
          <w:rFonts w:eastAsiaTheme="minorEastAsia"/>
          <w:kern w:val="18"/>
          <w:sz w:val="20"/>
          <w:szCs w:val="20"/>
          <w:lang w:val="en-US"/>
        </w:rPr>
      </w:pPr>
      <w:r w:rsidRPr="00102C6C">
        <w:rPr>
          <w:rStyle w:val="FootnoteReference"/>
          <w:rFonts w:eastAsiaTheme="minorEastAsia"/>
          <w:sz w:val="24"/>
          <w:szCs w:val="20"/>
          <w:u w:val="none"/>
          <w:vertAlign w:val="superscript"/>
        </w:rPr>
        <w:footnoteRef/>
      </w:r>
      <w:r w:rsidRPr="00102C6C">
        <w:rPr>
          <w:rStyle w:val="FootnoteReference"/>
          <w:rFonts w:eastAsiaTheme="minorEastAsia"/>
          <w:sz w:val="24"/>
          <w:u w:val="none"/>
          <w:vertAlign w:val="superscript"/>
        </w:rPr>
        <w:t xml:space="preserve"> </w:t>
      </w:r>
      <w:r w:rsidRPr="00650F1F">
        <w:rPr>
          <w:rFonts w:eastAsiaTheme="minorEastAsia"/>
          <w:kern w:val="18"/>
          <w:sz w:val="20"/>
          <w:szCs w:val="20"/>
        </w:rPr>
        <w:tab/>
      </w:r>
      <w:hyperlink r:id="rId121" w:history="1">
        <w:r w:rsidRPr="00B21B5E">
          <w:rPr>
            <w:rStyle w:val="Hyperlink"/>
            <w:rFonts w:eastAsiaTheme="minorEastAsia"/>
            <w:kern w:val="18"/>
            <w:sz w:val="20"/>
            <w:szCs w:val="20"/>
          </w:rPr>
          <w:t>https://www.cbd.int/meetings/SYNBIOAHTEG-2017-01</w:t>
        </w:r>
      </w:hyperlink>
      <w:r w:rsidRPr="00B21B5E">
        <w:rPr>
          <w:rFonts w:eastAsiaTheme="minorEastAsia"/>
          <w:kern w:val="18"/>
          <w:sz w:val="20"/>
          <w:szCs w:val="20"/>
          <w:lang w:eastAsia="zh-CN"/>
        </w:rPr>
        <w:t>。</w:t>
      </w:r>
    </w:p>
  </w:footnote>
  <w:footnote w:id="259">
    <w:p w:rsidR="00594C0B" w:rsidRPr="00650F1F" w:rsidRDefault="00594C0B" w:rsidP="00B01154">
      <w:pPr>
        <w:pStyle w:val="FootnoteText"/>
        <w:tabs>
          <w:tab w:val="left" w:pos="360"/>
        </w:tabs>
        <w:spacing w:before="0"/>
        <w:ind w:firstLine="0"/>
        <w:rPr>
          <w:rFonts w:eastAsiaTheme="minorEastAsia"/>
          <w:sz w:val="20"/>
          <w:szCs w:val="20"/>
          <w:lang w:eastAsia="zh-CN"/>
        </w:rPr>
      </w:pPr>
      <w:r w:rsidRPr="00650F1F">
        <w:rPr>
          <w:rStyle w:val="FootnoteReference"/>
          <w:rFonts w:eastAsiaTheme="minorEastAsia"/>
          <w:snapToGrid w:val="0"/>
          <w:kern w:val="22"/>
          <w:sz w:val="24"/>
          <w:szCs w:val="20"/>
          <w:u w:val="none"/>
          <w:vertAlign w:val="superscript"/>
        </w:rPr>
        <w:footnoteRef/>
      </w:r>
      <w:r w:rsidRPr="00650F1F">
        <w:rPr>
          <w:rStyle w:val="FootnoteReference"/>
          <w:rFonts w:eastAsiaTheme="minorEastAsia"/>
          <w:snapToGrid w:val="0"/>
          <w:kern w:val="22"/>
          <w:sz w:val="24"/>
          <w:u w:val="none"/>
          <w:vertAlign w:val="superscript"/>
          <w:lang w:eastAsia="zh-CN"/>
        </w:rPr>
        <w:t xml:space="preserve">  </w:t>
      </w:r>
      <w:r>
        <w:rPr>
          <w:rFonts w:eastAsiaTheme="minorEastAsia"/>
          <w:sz w:val="20"/>
          <w:szCs w:val="20"/>
          <w:lang w:eastAsia="zh-CN"/>
        </w:rPr>
        <w:t xml:space="preserve"> </w:t>
      </w:r>
      <w:r w:rsidRPr="00650F1F">
        <w:rPr>
          <w:rFonts w:eastAsiaTheme="minorEastAsia"/>
          <w:sz w:val="20"/>
          <w:szCs w:val="20"/>
          <w:lang w:eastAsia="zh-CN"/>
        </w:rPr>
        <w:t>见第</w:t>
      </w:r>
      <w:r w:rsidRPr="00650F1F">
        <w:rPr>
          <w:rFonts w:eastAsiaTheme="minorEastAsia"/>
          <w:kern w:val="18"/>
          <w:sz w:val="20"/>
          <w:szCs w:val="20"/>
          <w:lang w:eastAsia="zh-CN"/>
        </w:rPr>
        <w:t>XIII/17</w:t>
      </w:r>
      <w:r w:rsidRPr="00650F1F">
        <w:rPr>
          <w:rFonts w:eastAsiaTheme="minorEastAsia"/>
          <w:kern w:val="18"/>
          <w:sz w:val="20"/>
          <w:szCs w:val="20"/>
          <w:lang w:eastAsia="zh-CN"/>
        </w:rPr>
        <w:t>号决定。</w:t>
      </w:r>
    </w:p>
  </w:footnote>
  <w:footnote w:id="260">
    <w:p w:rsidR="00594C0B" w:rsidRPr="00650F1F" w:rsidRDefault="00594C0B" w:rsidP="00B01154">
      <w:pPr>
        <w:pStyle w:val="FootnoteText"/>
        <w:tabs>
          <w:tab w:val="left" w:pos="360"/>
        </w:tabs>
        <w:spacing w:before="0"/>
        <w:ind w:firstLine="0"/>
        <w:rPr>
          <w:rFonts w:eastAsiaTheme="minorEastAsia"/>
          <w:sz w:val="20"/>
          <w:szCs w:val="20"/>
          <w:lang w:val="en-US" w:eastAsia="zh-CN"/>
        </w:rPr>
      </w:pPr>
      <w:r w:rsidRPr="00650F1F">
        <w:rPr>
          <w:rStyle w:val="FootnoteReference"/>
          <w:rFonts w:eastAsiaTheme="minorEastAsia"/>
          <w:snapToGrid w:val="0"/>
          <w:kern w:val="22"/>
          <w:sz w:val="24"/>
          <w:szCs w:val="20"/>
          <w:u w:val="none"/>
          <w:vertAlign w:val="superscript"/>
        </w:rPr>
        <w:footnoteRef/>
      </w:r>
      <w:r w:rsidRPr="00650F1F">
        <w:rPr>
          <w:rStyle w:val="FootnoteReference"/>
          <w:rFonts w:eastAsiaTheme="minorEastAsia"/>
          <w:snapToGrid w:val="0"/>
          <w:kern w:val="22"/>
          <w:sz w:val="24"/>
          <w:szCs w:val="20"/>
          <w:u w:val="none"/>
          <w:vertAlign w:val="superscript"/>
          <w:lang w:eastAsia="zh-CN"/>
        </w:rPr>
        <w:t xml:space="preserve">  </w:t>
      </w:r>
      <w:r w:rsidRPr="00650F1F">
        <w:rPr>
          <w:rFonts w:eastAsiaTheme="minorEastAsia"/>
          <w:sz w:val="20"/>
          <w:szCs w:val="20"/>
          <w:lang w:eastAsia="zh-CN"/>
        </w:rPr>
        <w:tab/>
      </w:r>
      <w:r w:rsidRPr="00650F1F">
        <w:rPr>
          <w:rFonts w:eastAsiaTheme="minorEastAsia"/>
          <w:sz w:val="20"/>
          <w:szCs w:val="20"/>
          <w:lang w:eastAsia="zh-CN"/>
        </w:rPr>
        <w:t>第</w:t>
      </w:r>
      <w:r w:rsidRPr="00650F1F">
        <w:rPr>
          <w:rFonts w:eastAsiaTheme="minorEastAsia"/>
          <w:sz w:val="20"/>
          <w:szCs w:val="20"/>
          <w:lang w:eastAsia="zh-CN"/>
        </w:rPr>
        <w:t>XIII/18</w:t>
      </w:r>
      <w:r w:rsidRPr="00650F1F">
        <w:rPr>
          <w:rFonts w:eastAsiaTheme="minorEastAsia"/>
          <w:sz w:val="20"/>
          <w:szCs w:val="20"/>
          <w:lang w:eastAsia="zh-CN"/>
        </w:rPr>
        <w:t>号决定</w:t>
      </w:r>
      <w:r w:rsidRPr="00650F1F">
        <w:rPr>
          <w:rFonts w:eastAsiaTheme="minorEastAsia"/>
          <w:kern w:val="18"/>
          <w:sz w:val="20"/>
          <w:szCs w:val="20"/>
          <w:lang w:eastAsia="zh-CN"/>
        </w:rPr>
        <w:t>。</w:t>
      </w:r>
    </w:p>
  </w:footnote>
  <w:footnote w:id="261">
    <w:p w:rsidR="00594C0B" w:rsidRPr="00650F1F" w:rsidRDefault="00594C0B" w:rsidP="00650F1F">
      <w:pPr>
        <w:pStyle w:val="FootnoteText"/>
        <w:tabs>
          <w:tab w:val="left" w:pos="360"/>
        </w:tabs>
        <w:kinsoku w:val="0"/>
        <w:overflowPunct w:val="0"/>
        <w:autoSpaceDE w:val="0"/>
        <w:autoSpaceDN w:val="0"/>
        <w:adjustRightInd w:val="0"/>
        <w:snapToGrid w:val="0"/>
        <w:spacing w:before="0"/>
        <w:ind w:firstLine="0"/>
        <w:rPr>
          <w:rFonts w:eastAsiaTheme="minorEastAsia"/>
          <w:sz w:val="20"/>
          <w:szCs w:val="20"/>
        </w:rPr>
      </w:pPr>
      <w:r w:rsidRPr="00650F1F">
        <w:rPr>
          <w:rStyle w:val="FootnoteReference"/>
          <w:rFonts w:eastAsiaTheme="minorEastAsia"/>
          <w:snapToGrid w:val="0"/>
          <w:kern w:val="22"/>
          <w:sz w:val="24"/>
          <w:szCs w:val="20"/>
          <w:u w:val="none"/>
          <w:vertAlign w:val="superscript"/>
        </w:rPr>
        <w:footnoteRef/>
      </w:r>
      <w:r w:rsidRPr="00650F1F">
        <w:rPr>
          <w:rStyle w:val="FootnoteReference"/>
          <w:rFonts w:eastAsiaTheme="minorEastAsia"/>
          <w:snapToGrid w:val="0"/>
          <w:kern w:val="22"/>
          <w:sz w:val="24"/>
          <w:szCs w:val="20"/>
          <w:u w:val="none"/>
          <w:vertAlign w:val="superscript"/>
        </w:rPr>
        <w:t xml:space="preserve"> </w:t>
      </w:r>
      <w:r w:rsidRPr="00650F1F">
        <w:rPr>
          <w:rFonts w:eastAsiaTheme="minorEastAsia"/>
          <w:sz w:val="20"/>
          <w:szCs w:val="20"/>
        </w:rPr>
        <w:tab/>
      </w:r>
      <w:hyperlink r:id="rId122" w:history="1">
        <w:r w:rsidRPr="00B21B5E">
          <w:rPr>
            <w:rStyle w:val="Hyperlink"/>
            <w:rFonts w:eastAsiaTheme="minorEastAsia"/>
            <w:sz w:val="20"/>
          </w:rPr>
          <w:t>http://bch.cbd.int/onlineconferences/portal_detection/lab_network.shtml</w:t>
        </w:r>
      </w:hyperlink>
      <w:r w:rsidRPr="00B21B5E">
        <w:rPr>
          <w:rFonts w:eastAsiaTheme="minorEastAsia"/>
          <w:sz w:val="22"/>
          <w:szCs w:val="20"/>
        </w:rPr>
        <w:t>。</w:t>
      </w:r>
    </w:p>
  </w:footnote>
  <w:footnote w:id="262">
    <w:p w:rsidR="00594C0B" w:rsidRPr="00DD1AA9" w:rsidRDefault="00594C0B" w:rsidP="00650F1F">
      <w:pPr>
        <w:pStyle w:val="FootnoteText"/>
        <w:tabs>
          <w:tab w:val="left" w:pos="360"/>
        </w:tabs>
        <w:spacing w:before="0"/>
        <w:ind w:firstLine="0"/>
        <w:rPr>
          <w:sz w:val="20"/>
          <w:szCs w:val="20"/>
          <w:lang w:eastAsia="zh-CN"/>
        </w:rPr>
      </w:pPr>
      <w:r w:rsidRPr="00650F1F">
        <w:rPr>
          <w:rStyle w:val="FootnoteReference"/>
          <w:rFonts w:eastAsiaTheme="minorEastAsia"/>
          <w:snapToGrid w:val="0"/>
          <w:kern w:val="22"/>
          <w:sz w:val="24"/>
          <w:szCs w:val="20"/>
          <w:u w:val="none"/>
          <w:vertAlign w:val="superscript"/>
        </w:rPr>
        <w:footnoteRef/>
      </w:r>
      <w:r w:rsidRPr="00650F1F">
        <w:rPr>
          <w:rStyle w:val="FootnoteReference"/>
          <w:rFonts w:eastAsiaTheme="minorEastAsia"/>
          <w:snapToGrid w:val="0"/>
          <w:kern w:val="22"/>
          <w:szCs w:val="20"/>
          <w:u w:val="none"/>
          <w:vertAlign w:val="superscript"/>
          <w:lang w:eastAsia="zh-CN"/>
        </w:rPr>
        <w:t xml:space="preserve"> </w:t>
      </w:r>
      <w:r w:rsidRPr="00650F1F">
        <w:rPr>
          <w:rFonts w:eastAsiaTheme="minorEastAsia"/>
          <w:sz w:val="20"/>
          <w:szCs w:val="20"/>
          <w:lang w:eastAsia="zh-CN"/>
        </w:rPr>
        <w:tab/>
        <w:t>SBSTTA/22/INF/17</w:t>
      </w:r>
      <w:r w:rsidRPr="00650F1F">
        <w:rPr>
          <w:rFonts w:eastAsiaTheme="minorEastAsia"/>
          <w:sz w:val="20"/>
          <w:szCs w:val="20"/>
          <w:lang w:eastAsia="zh-CN"/>
        </w:rPr>
        <w:t>。</w:t>
      </w:r>
    </w:p>
  </w:footnote>
  <w:footnote w:id="263">
    <w:p w:rsidR="00594C0B" w:rsidRPr="00044C26" w:rsidRDefault="00594C0B" w:rsidP="00B01154">
      <w:pPr>
        <w:pStyle w:val="FootnoteText"/>
        <w:tabs>
          <w:tab w:val="left" w:pos="360"/>
        </w:tabs>
        <w:spacing w:before="0"/>
        <w:ind w:firstLine="0"/>
        <w:rPr>
          <w:rFonts w:eastAsia="SimSun"/>
          <w:lang w:val="en-US" w:eastAsia="zh-CN"/>
        </w:rPr>
      </w:pPr>
      <w:r w:rsidRPr="00B01154">
        <w:rPr>
          <w:rStyle w:val="FootnoteReference"/>
          <w:rFonts w:eastAsia="SimSun"/>
          <w:sz w:val="24"/>
          <w:u w:val="none"/>
          <w:vertAlign w:val="superscript"/>
        </w:rPr>
        <w:footnoteRef/>
      </w:r>
      <w:r w:rsidRPr="00044C26">
        <w:rPr>
          <w:rFonts w:eastAsia="SimSun"/>
          <w:lang w:eastAsia="zh-CN"/>
        </w:rPr>
        <w:tab/>
        <w:t xml:space="preserve"> </w:t>
      </w:r>
      <w:r w:rsidRPr="00B21B5E">
        <w:rPr>
          <w:rFonts w:eastAsia="SimSun"/>
          <w:sz w:val="20"/>
          <w:lang w:eastAsia="zh-CN"/>
        </w:rPr>
        <w:t>特设技术专家组将根据科学、技术和工艺咨询附属机构的工作方法召开，只是会有五个区域各提名的五位专家。</w:t>
      </w:r>
    </w:p>
  </w:footnote>
  <w:footnote w:id="264">
    <w:p w:rsidR="00594C0B" w:rsidRPr="00602655" w:rsidRDefault="00594C0B" w:rsidP="00B01154">
      <w:pPr>
        <w:pStyle w:val="FootnoteText"/>
        <w:tabs>
          <w:tab w:val="left" w:pos="360"/>
        </w:tabs>
        <w:spacing w:before="0"/>
        <w:ind w:firstLine="0"/>
        <w:rPr>
          <w:rFonts w:ascii="SimSun" w:eastAsia="SimSun" w:hAnsi="SimSun"/>
          <w:lang w:val="en-US" w:eastAsia="zh-CN"/>
        </w:rPr>
      </w:pPr>
      <w:r w:rsidRPr="00B01154">
        <w:rPr>
          <w:rStyle w:val="FootnoteReference"/>
          <w:rFonts w:eastAsia="SimSun"/>
          <w:sz w:val="24"/>
          <w:u w:val="none"/>
          <w:vertAlign w:val="superscript"/>
        </w:rPr>
        <w:footnoteRef/>
      </w:r>
      <w:r w:rsidRPr="00044C26">
        <w:rPr>
          <w:rFonts w:eastAsia="SimSun"/>
          <w:lang w:eastAsia="zh-CN"/>
        </w:rPr>
        <w:tab/>
      </w:r>
      <w:r w:rsidRPr="00B21B5E">
        <w:rPr>
          <w:rFonts w:eastAsia="SimSun"/>
          <w:sz w:val="20"/>
          <w:lang w:eastAsia="zh-CN"/>
        </w:rPr>
        <w:t>《生物多样性公约》和《名古屋议定书》范围内的遗传资源数字序列信息的实况调查和范围研究，</w:t>
      </w:r>
      <w:r w:rsidRPr="00B21B5E">
        <w:rPr>
          <w:rFonts w:eastAsia="SimSun"/>
          <w:sz w:val="20"/>
          <w:lang w:eastAsia="zh-CN"/>
        </w:rPr>
        <w:t xml:space="preserve"> CBD/DSI/AHTEG/2018/1/3</w:t>
      </w:r>
      <w:r w:rsidRPr="00B21B5E">
        <w:rPr>
          <w:rFonts w:eastAsia="SimSun"/>
          <w:sz w:val="20"/>
          <w:lang w:eastAsia="zh-CN"/>
        </w:rPr>
        <w:t>。</w:t>
      </w:r>
    </w:p>
  </w:footnote>
  <w:footnote w:id="265">
    <w:p w:rsidR="00594C0B" w:rsidRPr="0030344A" w:rsidRDefault="00594C0B" w:rsidP="00840175">
      <w:pPr>
        <w:pStyle w:val="FootnoteText"/>
        <w:tabs>
          <w:tab w:val="left" w:pos="360"/>
        </w:tabs>
        <w:spacing w:before="0"/>
        <w:ind w:firstLine="0"/>
        <w:rPr>
          <w:rFonts w:eastAsiaTheme="minorEastAsia"/>
          <w:lang w:val="en-US" w:eastAsia="zh-CN"/>
        </w:rPr>
      </w:pPr>
      <w:r w:rsidRPr="00840175">
        <w:rPr>
          <w:rStyle w:val="FootnoteReference"/>
          <w:rFonts w:eastAsia="SimSun"/>
          <w:sz w:val="24"/>
          <w:u w:val="none"/>
          <w:vertAlign w:val="superscript"/>
        </w:rPr>
        <w:footnoteRef/>
      </w:r>
      <w:r w:rsidRPr="00840175">
        <w:rPr>
          <w:rStyle w:val="FootnoteReference"/>
          <w:rFonts w:hint="eastAsia"/>
          <w:sz w:val="24"/>
          <w:u w:val="none"/>
          <w:vertAlign w:val="superscript"/>
          <w:lang w:eastAsia="zh-CN"/>
        </w:rPr>
        <w:t xml:space="preserve"> </w:t>
      </w:r>
      <w:r>
        <w:rPr>
          <w:rFonts w:ascii="SimSun" w:eastAsia="SimSun" w:hAnsi="SimSun" w:hint="eastAsia"/>
          <w:lang w:eastAsia="zh-CN"/>
        </w:rPr>
        <w:t xml:space="preserve"> </w:t>
      </w:r>
      <w:r w:rsidRPr="00B21B5E">
        <w:rPr>
          <w:rFonts w:ascii="SimSun" w:eastAsia="SimSun" w:hAnsi="SimSun" w:hint="eastAsia"/>
          <w:sz w:val="20"/>
          <w:lang w:eastAsia="zh-CN"/>
        </w:rPr>
        <w:t>关于制定</w:t>
      </w:r>
      <w:r w:rsidRPr="00B21B5E">
        <w:rPr>
          <w:rFonts w:eastAsia="SimSun"/>
          <w:sz w:val="20"/>
          <w:lang w:eastAsia="zh-CN"/>
        </w:rPr>
        <w:t>2020</w:t>
      </w:r>
      <w:r w:rsidRPr="00B21B5E">
        <w:rPr>
          <w:rFonts w:eastAsia="SimSun"/>
          <w:sz w:val="20"/>
          <w:lang w:eastAsia="zh-CN"/>
        </w:rPr>
        <w:t>年后全球生物多样性框架的决定（项目</w:t>
      </w:r>
      <w:r w:rsidRPr="00B21B5E">
        <w:rPr>
          <w:rFonts w:eastAsia="SimSun"/>
          <w:sz w:val="20"/>
          <w:lang w:eastAsia="zh-CN"/>
        </w:rPr>
        <w:t>17</w:t>
      </w:r>
      <w:r w:rsidRPr="00B21B5E">
        <w:rPr>
          <w:rFonts w:ascii="SimSun" w:eastAsia="SimSun" w:hAnsi="SimSun" w:hint="eastAsia"/>
          <w:sz w:val="20"/>
          <w:lang w:eastAsia="zh-CN"/>
        </w:rPr>
        <w:t>）。</w:t>
      </w:r>
    </w:p>
  </w:footnote>
  <w:footnote w:id="266">
    <w:p w:rsidR="00594C0B" w:rsidRDefault="00594C0B" w:rsidP="009B18C7">
      <w:pPr>
        <w:pStyle w:val="FootnoteText"/>
        <w:tabs>
          <w:tab w:val="left" w:pos="360"/>
        </w:tabs>
        <w:spacing w:before="0"/>
        <w:ind w:firstLine="0"/>
      </w:pPr>
      <w:r w:rsidRPr="004F62FD">
        <w:rPr>
          <w:rStyle w:val="FootnoteReference"/>
          <w:sz w:val="24"/>
          <w:u w:val="none"/>
          <w:vertAlign w:val="superscript"/>
        </w:rPr>
        <w:footnoteRef/>
      </w:r>
      <w:r w:rsidRPr="00DC3D90">
        <w:rPr>
          <w:sz w:val="20"/>
        </w:rPr>
        <w:t xml:space="preserve"> </w:t>
      </w:r>
      <w:r>
        <w:rPr>
          <w:sz w:val="20"/>
        </w:rPr>
        <w:t xml:space="preserve">  </w:t>
      </w:r>
      <w:r w:rsidRPr="00DC3D90">
        <w:rPr>
          <w:sz w:val="20"/>
          <w:lang w:val="en-US"/>
        </w:rPr>
        <w:t>CBD/COP/14/10</w:t>
      </w:r>
      <w:r>
        <w:rPr>
          <w:rFonts w:ascii="SimSun" w:hAnsi="SimSun" w:cs="SimSun" w:hint="eastAsia"/>
          <w:sz w:val="20"/>
          <w:lang w:val="en-US"/>
        </w:rPr>
        <w:t>。</w:t>
      </w:r>
    </w:p>
  </w:footnote>
  <w:footnote w:id="267">
    <w:p w:rsidR="00594C0B" w:rsidRDefault="00594C0B" w:rsidP="009B18C7">
      <w:pPr>
        <w:pStyle w:val="FootnoteText"/>
        <w:suppressLineNumbers/>
        <w:tabs>
          <w:tab w:val="left" w:pos="360"/>
        </w:tabs>
        <w:suppressAutoHyphens/>
        <w:kinsoku w:val="0"/>
        <w:overflowPunct w:val="0"/>
        <w:autoSpaceDE w:val="0"/>
        <w:autoSpaceDN w:val="0"/>
        <w:spacing w:before="0"/>
        <w:ind w:firstLine="0"/>
        <w:rPr>
          <w:lang w:eastAsia="zh-CN"/>
        </w:rPr>
      </w:pPr>
      <w:r w:rsidRPr="009B18C7">
        <w:rPr>
          <w:rStyle w:val="FootnoteReference"/>
          <w:snapToGrid w:val="0"/>
          <w:kern w:val="18"/>
          <w:sz w:val="24"/>
          <w:szCs w:val="18"/>
          <w:u w:val="none"/>
          <w:vertAlign w:val="superscript"/>
        </w:rPr>
        <w:footnoteRef/>
      </w:r>
      <w:r w:rsidRPr="009B18C7">
        <w:rPr>
          <w:lang w:eastAsia="zh-CN"/>
        </w:rPr>
        <w:t xml:space="preserve"> </w:t>
      </w:r>
      <w:r>
        <w:rPr>
          <w:lang w:eastAsia="zh-CN"/>
        </w:rPr>
        <w:t xml:space="preserve">   </w:t>
      </w:r>
      <w:r w:rsidRPr="003537DE">
        <w:rPr>
          <w:kern w:val="18"/>
          <w:sz w:val="20"/>
          <w:szCs w:val="18"/>
          <w:lang w:eastAsia="zh-CN"/>
        </w:rPr>
        <w:t>CBD/COP/14/6</w:t>
      </w:r>
      <w:r w:rsidRPr="003537DE">
        <w:rPr>
          <w:rFonts w:hint="eastAsia"/>
          <w:kern w:val="18"/>
          <w:sz w:val="20"/>
          <w:szCs w:val="18"/>
          <w:lang w:eastAsia="zh-CN"/>
        </w:rPr>
        <w:t>。</w:t>
      </w:r>
    </w:p>
  </w:footnote>
  <w:footnote w:id="268">
    <w:p w:rsidR="00594C0B" w:rsidRPr="009847B6" w:rsidRDefault="00594C0B" w:rsidP="009B18C7">
      <w:pPr>
        <w:pStyle w:val="FootnoteText"/>
        <w:tabs>
          <w:tab w:val="left" w:pos="360"/>
        </w:tabs>
        <w:adjustRightInd w:val="0"/>
        <w:spacing w:before="0"/>
        <w:ind w:firstLine="0"/>
        <w:rPr>
          <w:rFonts w:eastAsiaTheme="minorEastAsia"/>
          <w:lang w:eastAsia="zh-CN"/>
        </w:rPr>
      </w:pPr>
      <w:r w:rsidRPr="009B18C7">
        <w:rPr>
          <w:rStyle w:val="FootnoteReference"/>
          <w:rFonts w:eastAsiaTheme="minorEastAsia"/>
          <w:snapToGrid w:val="0"/>
          <w:kern w:val="18"/>
          <w:sz w:val="24"/>
          <w:u w:val="none"/>
          <w:vertAlign w:val="superscript"/>
        </w:rPr>
        <w:footnoteRef/>
      </w:r>
      <w:r w:rsidRPr="009847B6">
        <w:rPr>
          <w:rFonts w:eastAsiaTheme="minorEastAsia"/>
          <w:sz w:val="22"/>
          <w:lang w:eastAsia="zh-CN"/>
        </w:rPr>
        <w:t xml:space="preserve"> </w:t>
      </w:r>
      <w:r w:rsidRPr="009847B6">
        <w:rPr>
          <w:rFonts w:eastAsiaTheme="minorEastAsia"/>
          <w:lang w:eastAsia="zh-CN"/>
        </w:rPr>
        <w:t xml:space="preserve">  </w:t>
      </w:r>
      <w:r w:rsidRPr="003537DE">
        <w:rPr>
          <w:rFonts w:eastAsiaTheme="minorEastAsia"/>
          <w:noProof/>
          <w:snapToGrid w:val="0"/>
          <w:kern w:val="18"/>
          <w:sz w:val="20"/>
          <w:szCs w:val="18"/>
          <w:lang w:eastAsia="zh-CN"/>
        </w:rPr>
        <w:t>第</w:t>
      </w:r>
      <w:hyperlink r:id="rId123" w:history="1">
        <w:r w:rsidRPr="003537DE">
          <w:rPr>
            <w:rStyle w:val="Hyperlink"/>
            <w:rFonts w:eastAsiaTheme="minorEastAsia"/>
            <w:snapToGrid w:val="0"/>
            <w:kern w:val="18"/>
            <w:sz w:val="20"/>
            <w:szCs w:val="18"/>
            <w:lang w:eastAsia="zh-CN"/>
          </w:rPr>
          <w:t>XII/3</w:t>
        </w:r>
      </w:hyperlink>
      <w:r w:rsidRPr="003537DE">
        <w:rPr>
          <w:rFonts w:eastAsiaTheme="minorEastAsia"/>
          <w:noProof/>
          <w:snapToGrid w:val="0"/>
          <w:kern w:val="18"/>
          <w:sz w:val="20"/>
          <w:szCs w:val="18"/>
          <w:lang w:eastAsia="zh-CN"/>
        </w:rPr>
        <w:t>号决定</w:t>
      </w:r>
      <w:r w:rsidRPr="003537DE">
        <w:rPr>
          <w:rFonts w:eastAsiaTheme="minorEastAsia" w:hint="eastAsia"/>
          <w:noProof/>
          <w:snapToGrid w:val="0"/>
          <w:kern w:val="18"/>
          <w:sz w:val="20"/>
          <w:szCs w:val="18"/>
          <w:lang w:eastAsia="zh-CN"/>
        </w:rPr>
        <w:t>。</w:t>
      </w:r>
    </w:p>
  </w:footnote>
  <w:footnote w:id="269">
    <w:p w:rsidR="00594C0B" w:rsidRPr="003969C2" w:rsidRDefault="00594C0B" w:rsidP="009B18C7">
      <w:pPr>
        <w:pStyle w:val="FootnoteText"/>
        <w:suppressLineNumbers/>
        <w:tabs>
          <w:tab w:val="left" w:pos="360"/>
        </w:tabs>
        <w:suppressAutoHyphens/>
        <w:adjustRightInd w:val="0"/>
        <w:spacing w:before="0"/>
        <w:ind w:firstLine="0"/>
        <w:jc w:val="left"/>
        <w:rPr>
          <w:rFonts w:eastAsiaTheme="minorEastAsia"/>
          <w:kern w:val="18"/>
          <w:sz w:val="20"/>
          <w:szCs w:val="18"/>
          <w:lang w:eastAsia="zh-CN"/>
        </w:rPr>
      </w:pPr>
      <w:r w:rsidRPr="009B18C7">
        <w:rPr>
          <w:rStyle w:val="FootnoteReference"/>
          <w:rFonts w:eastAsiaTheme="minorEastAsia"/>
          <w:kern w:val="18"/>
          <w:sz w:val="24"/>
          <w:szCs w:val="18"/>
          <w:u w:val="none"/>
          <w:vertAlign w:val="superscript"/>
        </w:rPr>
        <w:footnoteRef/>
      </w:r>
      <w:r w:rsidRPr="009B18C7">
        <w:rPr>
          <w:rFonts w:eastAsiaTheme="minorEastAsia"/>
          <w:kern w:val="18"/>
          <w:sz w:val="24"/>
          <w:szCs w:val="18"/>
          <w:vertAlign w:val="superscript"/>
          <w:lang w:eastAsia="zh-CN"/>
        </w:rPr>
        <w:t xml:space="preserve"> </w:t>
      </w:r>
      <w:r w:rsidRPr="003969C2">
        <w:rPr>
          <w:rFonts w:eastAsiaTheme="minorEastAsia"/>
          <w:kern w:val="18"/>
          <w:sz w:val="20"/>
          <w:szCs w:val="18"/>
          <w:lang w:eastAsia="zh-CN"/>
        </w:rPr>
        <w:tab/>
      </w:r>
      <w:r w:rsidRPr="003969C2">
        <w:rPr>
          <w:rFonts w:eastAsiaTheme="minorEastAsia"/>
          <w:color w:val="212121"/>
          <w:sz w:val="20"/>
          <w:lang w:eastAsia="zh-CN"/>
        </w:rPr>
        <w:t>见关于</w:t>
      </w:r>
      <w:r w:rsidRPr="003969C2">
        <w:rPr>
          <w:rFonts w:eastAsiaTheme="minorEastAsia"/>
          <w:color w:val="212121"/>
          <w:sz w:val="20"/>
          <w:lang w:eastAsia="zh-CN"/>
        </w:rPr>
        <w:t>2050</w:t>
      </w:r>
      <w:r w:rsidRPr="003969C2">
        <w:rPr>
          <w:rFonts w:eastAsiaTheme="minorEastAsia"/>
          <w:color w:val="212121"/>
          <w:sz w:val="20"/>
          <w:lang w:eastAsia="zh-CN"/>
        </w:rPr>
        <w:t>年生物多样性愿景</w:t>
      </w:r>
      <w:r>
        <w:rPr>
          <w:rFonts w:eastAsiaTheme="minorEastAsia" w:hint="eastAsia"/>
          <w:color w:val="212121"/>
          <w:sz w:val="20"/>
          <w:lang w:eastAsia="zh-CN"/>
        </w:rPr>
        <w:t>情景</w:t>
      </w:r>
      <w:r w:rsidRPr="003969C2">
        <w:rPr>
          <w:rFonts w:eastAsiaTheme="minorEastAsia"/>
          <w:color w:val="212121"/>
          <w:sz w:val="20"/>
          <w:lang w:eastAsia="zh-CN"/>
        </w:rPr>
        <w:t>的第</w:t>
      </w:r>
      <w:r>
        <w:rPr>
          <w:rFonts w:eastAsiaTheme="minorEastAsia" w:hint="eastAsia"/>
          <w:color w:val="212121"/>
          <w:sz w:val="20"/>
          <w:lang w:eastAsia="zh-CN"/>
        </w:rPr>
        <w:t>14</w:t>
      </w:r>
      <w:r w:rsidRPr="003969C2">
        <w:rPr>
          <w:rFonts w:eastAsiaTheme="minorEastAsia"/>
          <w:color w:val="212121"/>
          <w:sz w:val="20"/>
          <w:lang w:eastAsia="zh-CN"/>
        </w:rPr>
        <w:t>/</w:t>
      </w:r>
      <w:r>
        <w:rPr>
          <w:rFonts w:eastAsiaTheme="minorEastAsia"/>
          <w:color w:val="212121"/>
          <w:sz w:val="20"/>
          <w:lang w:eastAsia="zh-CN"/>
        </w:rPr>
        <w:t>2</w:t>
      </w:r>
      <w:r w:rsidRPr="003969C2">
        <w:rPr>
          <w:rFonts w:eastAsiaTheme="minorEastAsia"/>
          <w:color w:val="212121"/>
          <w:sz w:val="20"/>
          <w:lang w:eastAsia="zh-CN"/>
        </w:rPr>
        <w:t>决定第</w:t>
      </w:r>
      <w:r w:rsidRPr="003969C2">
        <w:rPr>
          <w:rFonts w:eastAsiaTheme="minorEastAsia"/>
          <w:color w:val="212121"/>
          <w:sz w:val="20"/>
          <w:lang w:eastAsia="zh-CN"/>
        </w:rPr>
        <w:t>2</w:t>
      </w:r>
      <w:r>
        <w:rPr>
          <w:rFonts w:eastAsiaTheme="minorEastAsia" w:hint="eastAsia"/>
          <w:color w:val="212121"/>
          <w:sz w:val="20"/>
          <w:lang w:eastAsia="zh-CN"/>
        </w:rPr>
        <w:t>(</w:t>
      </w:r>
      <w:r w:rsidRPr="003969C2">
        <w:rPr>
          <w:rFonts w:eastAsiaTheme="minorEastAsia"/>
          <w:color w:val="212121"/>
          <w:sz w:val="20"/>
          <w:lang w:eastAsia="zh-CN"/>
        </w:rPr>
        <w:t>f</w:t>
      </w:r>
      <w:r>
        <w:rPr>
          <w:rFonts w:eastAsiaTheme="minorEastAsia"/>
          <w:color w:val="212121"/>
          <w:sz w:val="20"/>
          <w:lang w:eastAsia="zh-CN"/>
        </w:rPr>
        <w:t>)</w:t>
      </w:r>
      <w:r w:rsidRPr="003969C2">
        <w:rPr>
          <w:rFonts w:eastAsiaTheme="minorEastAsia"/>
          <w:color w:val="212121"/>
          <w:sz w:val="20"/>
          <w:lang w:eastAsia="zh-CN"/>
        </w:rPr>
        <w:t>段</w:t>
      </w:r>
      <w:r>
        <w:rPr>
          <w:rFonts w:eastAsiaTheme="minorEastAsia" w:hint="eastAsia"/>
          <w:color w:val="212121"/>
          <w:sz w:val="20"/>
          <w:lang w:eastAsia="zh-CN"/>
        </w:rPr>
        <w:t>。</w:t>
      </w:r>
    </w:p>
  </w:footnote>
  <w:footnote w:id="270">
    <w:p w:rsidR="00594C0B" w:rsidRPr="009847B6" w:rsidRDefault="00594C0B" w:rsidP="009B18C7">
      <w:pPr>
        <w:pStyle w:val="FootnoteText"/>
        <w:suppressLineNumbers/>
        <w:tabs>
          <w:tab w:val="left" w:pos="360"/>
        </w:tabs>
        <w:suppressAutoHyphens/>
        <w:adjustRightInd w:val="0"/>
        <w:spacing w:before="0"/>
        <w:ind w:firstLine="0"/>
        <w:jc w:val="left"/>
        <w:rPr>
          <w:rFonts w:eastAsiaTheme="minorEastAsia"/>
          <w:kern w:val="18"/>
          <w:szCs w:val="18"/>
          <w:lang w:eastAsia="zh-CN"/>
        </w:rPr>
      </w:pPr>
      <w:r w:rsidRPr="009B18C7">
        <w:rPr>
          <w:rStyle w:val="FootnoteReference"/>
          <w:rFonts w:eastAsiaTheme="minorEastAsia"/>
          <w:kern w:val="18"/>
          <w:sz w:val="24"/>
          <w:szCs w:val="18"/>
          <w:u w:val="none"/>
          <w:vertAlign w:val="superscript"/>
        </w:rPr>
        <w:footnoteRef/>
      </w:r>
      <w:r w:rsidRPr="009B18C7">
        <w:rPr>
          <w:rStyle w:val="FootnoteReference"/>
          <w:sz w:val="24"/>
          <w:u w:val="none"/>
          <w:vertAlign w:val="superscript"/>
          <w:lang w:eastAsia="zh-CN"/>
        </w:rPr>
        <w:t xml:space="preserve"> </w:t>
      </w:r>
      <w:r w:rsidRPr="009B18C7">
        <w:rPr>
          <w:rFonts w:eastAsiaTheme="minorEastAsia"/>
          <w:kern w:val="18"/>
          <w:sz w:val="20"/>
          <w:szCs w:val="18"/>
          <w:lang w:eastAsia="zh-CN"/>
        </w:rPr>
        <w:tab/>
      </w:r>
      <w:r w:rsidRPr="003969C2">
        <w:rPr>
          <w:rFonts w:eastAsiaTheme="minorEastAsia"/>
          <w:color w:val="212121"/>
          <w:sz w:val="20"/>
          <w:lang w:eastAsia="zh-CN"/>
        </w:rPr>
        <w:t>见执行</w:t>
      </w:r>
      <w:r w:rsidRPr="003969C2">
        <w:rPr>
          <w:rFonts w:eastAsiaTheme="minorEastAsia"/>
          <w:color w:val="212121"/>
          <w:sz w:val="20"/>
          <w:lang w:eastAsia="zh-CN"/>
        </w:rPr>
        <w:t>2011</w:t>
      </w:r>
      <w:r>
        <w:rPr>
          <w:rFonts w:eastAsiaTheme="minorEastAsia"/>
          <w:color w:val="212121"/>
          <w:sz w:val="20"/>
          <w:lang w:eastAsia="zh-CN"/>
        </w:rPr>
        <w:t>-</w:t>
      </w:r>
      <w:r w:rsidRPr="003969C2">
        <w:rPr>
          <w:rFonts w:eastAsiaTheme="minorEastAsia"/>
          <w:color w:val="212121"/>
          <w:sz w:val="20"/>
          <w:lang w:eastAsia="zh-CN"/>
        </w:rPr>
        <w:t>2020</w:t>
      </w:r>
      <w:r w:rsidRPr="003969C2">
        <w:rPr>
          <w:rFonts w:eastAsiaTheme="minorEastAsia"/>
          <w:color w:val="212121"/>
          <w:sz w:val="20"/>
          <w:lang w:eastAsia="zh-CN"/>
        </w:rPr>
        <w:t>年生物多样性战略计划资源全球评估高级别小组的第二份报告（</w:t>
      </w:r>
      <w:r w:rsidRPr="00264013">
        <w:rPr>
          <w:rFonts w:ascii="KaiTi" w:eastAsia="KaiTi" w:hAnsi="KaiTi"/>
          <w:color w:val="212121"/>
          <w:sz w:val="20"/>
          <w:lang w:eastAsia="zh-CN"/>
        </w:rPr>
        <w:t>爱知生物多样性目标的资源分配，实施2011-2020年生物多样性战略计划的效益、投资和资源需求的评估</w:t>
      </w:r>
      <w:r w:rsidRPr="003969C2">
        <w:rPr>
          <w:rFonts w:eastAsiaTheme="minorEastAsia"/>
          <w:color w:val="212121"/>
          <w:sz w:val="20"/>
          <w:lang w:eastAsia="zh-CN"/>
        </w:rPr>
        <w:t>）；关于生态系统和生物多样性经济学的全球倡议的报告，以及生物多样性和生态系统服务政府间科学政策平台的相关评估。</w:t>
      </w:r>
    </w:p>
  </w:footnote>
  <w:footnote w:id="271">
    <w:p w:rsidR="00594C0B" w:rsidRPr="00E90444" w:rsidRDefault="00594C0B" w:rsidP="00ED6D98">
      <w:pPr>
        <w:pStyle w:val="FootnoteText"/>
        <w:tabs>
          <w:tab w:val="left" w:pos="360"/>
        </w:tabs>
        <w:spacing w:before="0"/>
        <w:ind w:firstLine="0"/>
        <w:rPr>
          <w:sz w:val="20"/>
          <w:szCs w:val="20"/>
        </w:rPr>
      </w:pPr>
      <w:r w:rsidRPr="00ED6D98">
        <w:rPr>
          <w:rStyle w:val="FootnoteReference"/>
          <w:sz w:val="24"/>
          <w:szCs w:val="20"/>
          <w:u w:val="none"/>
          <w:vertAlign w:val="superscript"/>
        </w:rPr>
        <w:footnoteRef/>
      </w:r>
      <w:r w:rsidRPr="00ED6D98">
        <w:rPr>
          <w:rFonts w:hint="eastAsia"/>
          <w:sz w:val="24"/>
          <w:szCs w:val="20"/>
        </w:rPr>
        <w:t xml:space="preserve"> </w:t>
      </w:r>
      <w:r w:rsidRPr="00E90444">
        <w:rPr>
          <w:rFonts w:hint="eastAsia"/>
          <w:sz w:val="20"/>
          <w:szCs w:val="20"/>
        </w:rPr>
        <w:t xml:space="preserve">   </w:t>
      </w:r>
      <w:r w:rsidRPr="00E90444">
        <w:rPr>
          <w:sz w:val="20"/>
          <w:szCs w:val="20"/>
        </w:rPr>
        <w:t>CBD/COP/14/7</w:t>
      </w:r>
      <w:r w:rsidRPr="00E90444">
        <w:rPr>
          <w:rFonts w:hint="eastAsia"/>
          <w:sz w:val="20"/>
          <w:szCs w:val="20"/>
        </w:rPr>
        <w:t>。</w:t>
      </w:r>
    </w:p>
  </w:footnote>
  <w:footnote w:id="272">
    <w:p w:rsidR="00594C0B" w:rsidRPr="00E90444" w:rsidRDefault="00594C0B" w:rsidP="00ED6D98">
      <w:pPr>
        <w:pStyle w:val="FootnoteText"/>
        <w:tabs>
          <w:tab w:val="left" w:pos="360"/>
        </w:tabs>
        <w:spacing w:before="0"/>
        <w:ind w:firstLine="0"/>
        <w:rPr>
          <w:kern w:val="18"/>
          <w:sz w:val="20"/>
          <w:szCs w:val="20"/>
        </w:rPr>
      </w:pPr>
      <w:r w:rsidRPr="00ED6D98">
        <w:rPr>
          <w:rStyle w:val="FootnoteReference"/>
          <w:sz w:val="24"/>
          <w:szCs w:val="20"/>
          <w:u w:val="none"/>
          <w:vertAlign w:val="superscript"/>
        </w:rPr>
        <w:footnoteRef/>
      </w:r>
      <w:r w:rsidRPr="00ED6D98">
        <w:rPr>
          <w:rStyle w:val="FootnoteReference"/>
          <w:sz w:val="24"/>
          <w:szCs w:val="20"/>
          <w:u w:val="none"/>
          <w:vertAlign w:val="superscript"/>
        </w:rPr>
        <w:t xml:space="preserve"> </w:t>
      </w:r>
      <w:r w:rsidRPr="00ED6D98">
        <w:rPr>
          <w:rStyle w:val="FootnoteReference"/>
          <w:rFonts w:hint="eastAsia"/>
          <w:sz w:val="24"/>
          <w:szCs w:val="20"/>
          <w:u w:val="none"/>
          <w:vertAlign w:val="superscript"/>
        </w:rPr>
        <w:t xml:space="preserve">  </w:t>
      </w:r>
      <w:r w:rsidRPr="00ED6D98">
        <w:rPr>
          <w:rStyle w:val="FootnoteReference"/>
          <w:rFonts w:hint="eastAsia"/>
          <w:sz w:val="20"/>
          <w:szCs w:val="20"/>
          <w:u w:val="none"/>
          <w:vertAlign w:val="superscript"/>
        </w:rPr>
        <w:t xml:space="preserve"> </w:t>
      </w:r>
      <w:r w:rsidRPr="00ED6D98">
        <w:rPr>
          <w:rFonts w:hint="eastAsia"/>
          <w:sz w:val="20"/>
          <w:szCs w:val="20"/>
          <w:vertAlign w:val="superscript"/>
        </w:rPr>
        <w:t xml:space="preserve">  </w:t>
      </w:r>
      <w:r w:rsidRPr="00E90444">
        <w:rPr>
          <w:kern w:val="18"/>
          <w:sz w:val="20"/>
          <w:szCs w:val="20"/>
        </w:rPr>
        <w:t>CBD/COP/14/8</w:t>
      </w:r>
      <w:r w:rsidRPr="00E90444">
        <w:rPr>
          <w:rFonts w:hint="eastAsia"/>
          <w:kern w:val="18"/>
          <w:sz w:val="20"/>
          <w:szCs w:val="20"/>
        </w:rPr>
        <w:t>。</w:t>
      </w:r>
    </w:p>
  </w:footnote>
  <w:footnote w:id="273">
    <w:p w:rsidR="00594C0B" w:rsidRPr="00E90444" w:rsidRDefault="00594C0B" w:rsidP="00ED6D98">
      <w:pPr>
        <w:pStyle w:val="FootnoteText"/>
        <w:tabs>
          <w:tab w:val="left" w:pos="360"/>
        </w:tabs>
        <w:spacing w:before="0"/>
        <w:ind w:firstLine="0"/>
        <w:rPr>
          <w:sz w:val="20"/>
          <w:szCs w:val="20"/>
          <w:lang w:eastAsia="zh-CN"/>
        </w:rPr>
      </w:pPr>
      <w:r w:rsidRPr="00ED6D98">
        <w:rPr>
          <w:rStyle w:val="FootnoteReference"/>
          <w:sz w:val="24"/>
          <w:szCs w:val="20"/>
          <w:u w:val="none"/>
          <w:vertAlign w:val="superscript"/>
        </w:rPr>
        <w:footnoteRef/>
      </w:r>
      <w:r w:rsidRPr="00ED6D98">
        <w:rPr>
          <w:rStyle w:val="FootnoteReference"/>
          <w:rFonts w:hint="eastAsia"/>
          <w:sz w:val="24"/>
          <w:szCs w:val="20"/>
          <w:u w:val="none"/>
          <w:vertAlign w:val="superscript"/>
          <w:lang w:eastAsia="zh-CN"/>
        </w:rPr>
        <w:t xml:space="preserve">   </w:t>
      </w:r>
      <w:r w:rsidRPr="00ED6D98">
        <w:rPr>
          <w:rStyle w:val="FootnoteReference"/>
          <w:sz w:val="24"/>
          <w:u w:val="none"/>
          <w:vertAlign w:val="superscript"/>
          <w:lang w:eastAsia="zh-CN"/>
        </w:rPr>
        <w:t xml:space="preserve"> </w:t>
      </w:r>
      <w:r w:rsidRPr="00E90444">
        <w:rPr>
          <w:rFonts w:ascii="SimSun" w:hAnsi="SimSun" w:cs="SimSun" w:hint="eastAsia"/>
          <w:sz w:val="20"/>
          <w:szCs w:val="20"/>
          <w:lang w:eastAsia="zh-CN"/>
        </w:rPr>
        <w:t>见第</w:t>
      </w:r>
      <w:r w:rsidRPr="00E90444">
        <w:rPr>
          <w:sz w:val="20"/>
          <w:szCs w:val="20"/>
          <w:lang w:eastAsia="zh-CN"/>
        </w:rPr>
        <w:t xml:space="preserve"> XIII/21</w:t>
      </w:r>
      <w:r w:rsidRPr="00E90444">
        <w:rPr>
          <w:rFonts w:ascii="SimSun" w:hAnsi="SimSun" w:cs="SimSun" w:hint="eastAsia"/>
          <w:sz w:val="20"/>
          <w:szCs w:val="20"/>
          <w:lang w:eastAsia="zh-CN"/>
        </w:rPr>
        <w:t>号决定。</w:t>
      </w:r>
    </w:p>
  </w:footnote>
  <w:footnote w:id="274">
    <w:p w:rsidR="00594C0B" w:rsidRDefault="00594C0B" w:rsidP="00D9416A">
      <w:pPr>
        <w:pStyle w:val="FootnoteText"/>
        <w:suppressLineNumbers/>
        <w:tabs>
          <w:tab w:val="left" w:pos="360"/>
        </w:tabs>
        <w:suppressAutoHyphens/>
        <w:kinsoku w:val="0"/>
        <w:overflowPunct w:val="0"/>
        <w:autoSpaceDE w:val="0"/>
        <w:autoSpaceDN w:val="0"/>
        <w:spacing w:before="0"/>
        <w:ind w:firstLine="0"/>
        <w:jc w:val="left"/>
        <w:rPr>
          <w:lang w:eastAsia="zh-CN"/>
        </w:rPr>
      </w:pPr>
      <w:r w:rsidRPr="00D9416A">
        <w:rPr>
          <w:rStyle w:val="FootnoteReference"/>
          <w:kern w:val="18"/>
          <w:sz w:val="24"/>
          <w:szCs w:val="20"/>
          <w:u w:val="none"/>
          <w:vertAlign w:val="superscript"/>
        </w:rPr>
        <w:footnoteRef/>
      </w:r>
      <w:r w:rsidRPr="00D9416A">
        <w:rPr>
          <w:kern w:val="18"/>
          <w:sz w:val="24"/>
          <w:szCs w:val="20"/>
          <w:lang w:val="en-US" w:eastAsia="zh-CN"/>
        </w:rPr>
        <w:t xml:space="preserve"> </w:t>
      </w:r>
      <w:r w:rsidRPr="001E4CBE">
        <w:rPr>
          <w:kern w:val="18"/>
          <w:sz w:val="20"/>
          <w:szCs w:val="20"/>
          <w:lang w:val="en-US" w:eastAsia="zh-CN"/>
        </w:rPr>
        <w:t xml:space="preserve"> </w:t>
      </w:r>
      <w:r w:rsidRPr="001E4CBE">
        <w:rPr>
          <w:kern w:val="18"/>
          <w:sz w:val="20"/>
          <w:szCs w:val="20"/>
          <w:lang w:val="en-US" w:eastAsia="zh-CN"/>
        </w:rPr>
        <w:tab/>
        <w:t>CBD/COP/14/INF/10</w:t>
      </w:r>
      <w:r w:rsidRPr="001A63EF">
        <w:rPr>
          <w:rFonts w:ascii="SimSun" w:eastAsia="Times New Roman"/>
          <w:kern w:val="18"/>
          <w:sz w:val="20"/>
          <w:szCs w:val="20"/>
          <w:lang w:val="zh-CN" w:eastAsia="zh-CN"/>
        </w:rPr>
        <w:t>。</w:t>
      </w:r>
    </w:p>
  </w:footnote>
  <w:footnote w:id="275">
    <w:p w:rsidR="00594C0B" w:rsidRDefault="00594C0B" w:rsidP="00D9416A">
      <w:pPr>
        <w:pStyle w:val="FootnoteText"/>
        <w:suppressLineNumbers/>
        <w:tabs>
          <w:tab w:val="left" w:pos="360"/>
        </w:tabs>
        <w:suppressAutoHyphens/>
        <w:kinsoku w:val="0"/>
        <w:overflowPunct w:val="0"/>
        <w:autoSpaceDE w:val="0"/>
        <w:autoSpaceDN w:val="0"/>
        <w:spacing w:before="0"/>
        <w:ind w:firstLine="0"/>
        <w:jc w:val="left"/>
        <w:rPr>
          <w:lang w:eastAsia="zh-CN"/>
        </w:rPr>
      </w:pPr>
      <w:r w:rsidRPr="00D9416A">
        <w:rPr>
          <w:rStyle w:val="FootnoteReference"/>
          <w:kern w:val="18"/>
          <w:sz w:val="24"/>
          <w:szCs w:val="20"/>
          <w:u w:val="none"/>
          <w:vertAlign w:val="superscript"/>
        </w:rPr>
        <w:footnoteRef/>
      </w:r>
      <w:r w:rsidRPr="00D9416A">
        <w:rPr>
          <w:rStyle w:val="FootnoteReference"/>
          <w:kern w:val="18"/>
          <w:sz w:val="24"/>
          <w:szCs w:val="20"/>
          <w:u w:val="none"/>
          <w:vertAlign w:val="superscript"/>
          <w:lang w:eastAsia="zh-CN"/>
        </w:rPr>
        <w:t xml:space="preserve"> </w:t>
      </w:r>
      <w:r w:rsidRPr="00D9416A">
        <w:rPr>
          <w:rFonts w:ascii="SimSun"/>
          <w:sz w:val="20"/>
          <w:szCs w:val="20"/>
          <w:lang w:eastAsia="zh-CN"/>
        </w:rPr>
        <w:tab/>
      </w:r>
      <w:r w:rsidRPr="001A63EF">
        <w:rPr>
          <w:rFonts w:ascii="SimSun" w:eastAsia="Times New Roman"/>
          <w:sz w:val="20"/>
          <w:szCs w:val="20"/>
          <w:lang w:val="zh-CN" w:eastAsia="zh-CN"/>
        </w:rPr>
        <w:t>见</w:t>
      </w:r>
      <w:r>
        <w:rPr>
          <w:rFonts w:ascii="SimSun" w:eastAsia="Times New Roman"/>
          <w:sz w:val="20"/>
          <w:szCs w:val="20"/>
          <w:lang w:val="zh-CN" w:eastAsia="zh-CN"/>
        </w:rPr>
        <w:t>联</w:t>
      </w:r>
      <w:r w:rsidRPr="001A63EF">
        <w:rPr>
          <w:rFonts w:ascii="SimSun" w:hint="eastAsia"/>
          <w:sz w:val="20"/>
          <w:szCs w:val="20"/>
          <w:lang w:val="zh-CN" w:eastAsia="zh-CN"/>
        </w:rPr>
        <w:t>大</w:t>
      </w:r>
      <w:smartTag w:uri="urn:schemas-microsoft-com:office:smarttags" w:element="chsdate">
        <w:smartTagPr>
          <w:attr w:name="Year" w:val="2015"/>
          <w:attr w:name="Month" w:val="9"/>
          <w:attr w:name="Day" w:val="25"/>
          <w:attr w:name="IsLunarDate" w:val="False"/>
          <w:attr w:name="IsROCDate" w:val="False"/>
        </w:smartTagPr>
        <w:r w:rsidRPr="00D9416A">
          <w:rPr>
            <w:sz w:val="20"/>
            <w:szCs w:val="20"/>
            <w:lang w:eastAsia="zh-CN"/>
          </w:rPr>
          <w:t>2015</w:t>
        </w:r>
        <w:r w:rsidRPr="001A63EF">
          <w:rPr>
            <w:rFonts w:ascii="SimSun" w:eastAsia="Times New Roman"/>
            <w:sz w:val="20"/>
            <w:szCs w:val="20"/>
            <w:lang w:val="zh-CN" w:eastAsia="zh-CN"/>
          </w:rPr>
          <w:t>年</w:t>
        </w:r>
        <w:r w:rsidRPr="00D9416A">
          <w:rPr>
            <w:sz w:val="20"/>
            <w:szCs w:val="20"/>
            <w:lang w:eastAsia="zh-CN"/>
          </w:rPr>
          <w:t>9</w:t>
        </w:r>
        <w:r w:rsidRPr="001A63EF">
          <w:rPr>
            <w:rFonts w:ascii="SimSun" w:eastAsia="Times New Roman"/>
            <w:sz w:val="20"/>
            <w:szCs w:val="20"/>
            <w:lang w:val="zh-CN" w:eastAsia="zh-CN"/>
          </w:rPr>
          <w:t>月</w:t>
        </w:r>
        <w:r w:rsidRPr="00D9416A">
          <w:rPr>
            <w:sz w:val="20"/>
            <w:szCs w:val="20"/>
            <w:lang w:eastAsia="zh-CN"/>
          </w:rPr>
          <w:t>25</w:t>
        </w:r>
        <w:r w:rsidRPr="001A63EF">
          <w:rPr>
            <w:rFonts w:ascii="SimSun" w:eastAsia="Times New Roman"/>
            <w:sz w:val="20"/>
            <w:szCs w:val="20"/>
            <w:lang w:val="zh-CN" w:eastAsia="zh-CN"/>
          </w:rPr>
          <w:t>日</w:t>
        </w:r>
      </w:smartTag>
      <w:r w:rsidRPr="001A63EF">
        <w:rPr>
          <w:rFonts w:ascii="SimSun" w:eastAsia="Times New Roman"/>
          <w:sz w:val="20"/>
          <w:szCs w:val="20"/>
          <w:lang w:val="zh-CN" w:eastAsia="zh-CN"/>
        </w:rPr>
        <w:t>第</w:t>
      </w:r>
      <w:r w:rsidRPr="00D9416A">
        <w:rPr>
          <w:sz w:val="20"/>
          <w:szCs w:val="20"/>
          <w:lang w:eastAsia="zh-CN"/>
        </w:rPr>
        <w:t>70/1</w:t>
      </w:r>
      <w:r w:rsidRPr="001A63EF">
        <w:rPr>
          <w:rFonts w:ascii="SimSun" w:eastAsia="Times New Roman"/>
          <w:sz w:val="20"/>
          <w:szCs w:val="20"/>
          <w:lang w:val="zh-CN" w:eastAsia="zh-CN"/>
        </w:rPr>
        <w:t>号决议。</w:t>
      </w:r>
    </w:p>
  </w:footnote>
  <w:footnote w:id="276">
    <w:p w:rsidR="00594C0B" w:rsidRDefault="00594C0B" w:rsidP="00D9416A">
      <w:pPr>
        <w:pStyle w:val="FootnoteText"/>
        <w:suppressLineNumbers/>
        <w:tabs>
          <w:tab w:val="left" w:pos="360"/>
        </w:tabs>
        <w:suppressAutoHyphens/>
        <w:kinsoku w:val="0"/>
        <w:overflowPunct w:val="0"/>
        <w:autoSpaceDE w:val="0"/>
        <w:autoSpaceDN w:val="0"/>
        <w:spacing w:before="0"/>
        <w:ind w:firstLine="0"/>
        <w:jc w:val="left"/>
      </w:pPr>
      <w:r w:rsidRPr="00D9416A">
        <w:rPr>
          <w:rStyle w:val="FootnoteReference"/>
          <w:kern w:val="18"/>
          <w:sz w:val="24"/>
          <w:szCs w:val="20"/>
          <w:u w:val="none"/>
          <w:vertAlign w:val="superscript"/>
        </w:rPr>
        <w:footnoteRef/>
      </w:r>
      <w:r w:rsidRPr="00D9416A">
        <w:rPr>
          <w:rStyle w:val="FootnoteReference"/>
          <w:sz w:val="24"/>
          <w:u w:val="none"/>
          <w:vertAlign w:val="superscript"/>
        </w:rPr>
        <w:t xml:space="preserve">  </w:t>
      </w:r>
      <w:r w:rsidRPr="00D9416A">
        <w:rPr>
          <w:rStyle w:val="FootnoteReference"/>
          <w:sz w:val="24"/>
          <w:u w:val="none"/>
          <w:vertAlign w:val="superscript"/>
        </w:rPr>
        <w:tab/>
      </w:r>
      <w:r w:rsidRPr="00EF1AAE">
        <w:rPr>
          <w:kern w:val="18"/>
          <w:sz w:val="20"/>
          <w:szCs w:val="20"/>
        </w:rPr>
        <w:t>CBD/COP/14/INF/23</w:t>
      </w:r>
      <w:r w:rsidRPr="00DF41A0">
        <w:rPr>
          <w:rFonts w:ascii="SimSun" w:hAnsi="SimSun" w:cs="SimSun" w:hint="eastAsia"/>
          <w:kern w:val="18"/>
          <w:sz w:val="20"/>
          <w:szCs w:val="20"/>
          <w:lang w:val="zh-CN"/>
        </w:rPr>
        <w:t>。</w:t>
      </w:r>
    </w:p>
  </w:footnote>
  <w:footnote w:id="277">
    <w:p w:rsidR="00594C0B" w:rsidRDefault="00594C0B" w:rsidP="00D9416A">
      <w:pPr>
        <w:pStyle w:val="FootnoteText"/>
        <w:tabs>
          <w:tab w:val="left" w:pos="360"/>
        </w:tabs>
        <w:spacing w:before="0"/>
        <w:ind w:firstLine="0"/>
      </w:pPr>
      <w:r w:rsidRPr="00D9416A">
        <w:rPr>
          <w:rStyle w:val="FootnoteReference"/>
          <w:kern w:val="18"/>
          <w:sz w:val="24"/>
          <w:szCs w:val="20"/>
          <w:u w:val="none"/>
          <w:vertAlign w:val="superscript"/>
        </w:rPr>
        <w:footnoteRef/>
      </w:r>
      <w:r w:rsidRPr="00D9416A">
        <w:rPr>
          <w:rStyle w:val="FootnoteReference"/>
          <w:kern w:val="18"/>
          <w:sz w:val="24"/>
          <w:szCs w:val="20"/>
          <w:u w:val="none"/>
          <w:vertAlign w:val="superscript"/>
        </w:rPr>
        <w:t xml:space="preserve"> </w:t>
      </w:r>
      <w:r w:rsidRPr="00DF41A0">
        <w:rPr>
          <w:sz w:val="20"/>
          <w:szCs w:val="20"/>
        </w:rPr>
        <w:t xml:space="preserve"> </w:t>
      </w:r>
      <w:r>
        <w:rPr>
          <w:sz w:val="20"/>
          <w:szCs w:val="20"/>
        </w:rPr>
        <w:tab/>
      </w:r>
      <w:r w:rsidRPr="00DF41A0">
        <w:rPr>
          <w:bCs/>
          <w:color w:val="333333"/>
          <w:kern w:val="18"/>
          <w:sz w:val="20"/>
          <w:szCs w:val="20"/>
        </w:rPr>
        <w:t>CBD/COP/14/INF/12/Add.1</w:t>
      </w:r>
      <w:r>
        <w:rPr>
          <w:rFonts w:hint="eastAsia"/>
          <w:bCs/>
          <w:color w:val="333333"/>
          <w:kern w:val="18"/>
          <w:sz w:val="20"/>
          <w:szCs w:val="20"/>
        </w:rPr>
        <w:t>。</w:t>
      </w:r>
    </w:p>
  </w:footnote>
  <w:footnote w:id="278">
    <w:p w:rsidR="00594C0B" w:rsidRDefault="00594C0B" w:rsidP="00D9416A">
      <w:pPr>
        <w:pStyle w:val="FootnoteText"/>
        <w:tabs>
          <w:tab w:val="left" w:pos="360"/>
        </w:tabs>
        <w:spacing w:before="0"/>
        <w:ind w:firstLine="0"/>
      </w:pPr>
      <w:r w:rsidRPr="00D9416A">
        <w:rPr>
          <w:rStyle w:val="FootnoteReference"/>
          <w:kern w:val="18"/>
          <w:sz w:val="24"/>
          <w:szCs w:val="20"/>
          <w:u w:val="none"/>
          <w:vertAlign w:val="superscript"/>
        </w:rPr>
        <w:footnoteRef/>
      </w:r>
      <w:r w:rsidRPr="00D9416A">
        <w:rPr>
          <w:rStyle w:val="FootnoteReference"/>
          <w:kern w:val="18"/>
          <w:sz w:val="24"/>
          <w:szCs w:val="20"/>
          <w:u w:val="none"/>
          <w:vertAlign w:val="superscript"/>
        </w:rPr>
        <w:t xml:space="preserve"> </w:t>
      </w:r>
      <w:r>
        <w:rPr>
          <w:sz w:val="20"/>
          <w:szCs w:val="20"/>
        </w:rPr>
        <w:tab/>
      </w:r>
      <w:hyperlink r:id="rId124" w:history="1">
        <w:r w:rsidRPr="00DF41A0">
          <w:rPr>
            <w:rStyle w:val="Hyperlink"/>
            <w:kern w:val="18"/>
            <w:sz w:val="20"/>
            <w:szCs w:val="20"/>
          </w:rPr>
          <w:t>https://www.biodiversityinformatics.org/en/shared-ambitions/</w:t>
        </w:r>
      </w:hyperlink>
      <w:r w:rsidRPr="00DF41A0">
        <w:rPr>
          <w:rFonts w:ascii="SimSun" w:hAnsi="SimSun" w:cs="SimSun" w:hint="eastAsia"/>
          <w:kern w:val="18"/>
          <w:sz w:val="20"/>
          <w:szCs w:val="20"/>
        </w:rPr>
        <w:t>。</w:t>
      </w:r>
    </w:p>
  </w:footnote>
  <w:footnote w:id="279">
    <w:p w:rsidR="00594C0B" w:rsidRPr="00FC1FE0" w:rsidRDefault="00594C0B" w:rsidP="00D9416A">
      <w:pPr>
        <w:pStyle w:val="FootnoteText"/>
        <w:tabs>
          <w:tab w:val="left" w:pos="360"/>
        </w:tabs>
        <w:spacing w:before="0"/>
        <w:ind w:firstLine="0"/>
        <w:rPr>
          <w:rFonts w:ascii="SimSun" w:hAnsi="SimSun"/>
          <w:lang w:eastAsia="zh-CN"/>
        </w:rPr>
      </w:pPr>
      <w:r w:rsidRPr="00D9416A">
        <w:rPr>
          <w:rStyle w:val="FootnoteReference"/>
          <w:kern w:val="18"/>
          <w:sz w:val="24"/>
          <w:szCs w:val="20"/>
          <w:u w:val="none"/>
          <w:vertAlign w:val="superscript"/>
        </w:rPr>
        <w:footnoteRef/>
      </w:r>
      <w:r w:rsidRPr="00D9416A">
        <w:rPr>
          <w:rStyle w:val="FootnoteReference"/>
          <w:kern w:val="18"/>
          <w:sz w:val="24"/>
          <w:szCs w:val="20"/>
          <w:u w:val="none"/>
          <w:vertAlign w:val="superscript"/>
          <w:lang w:eastAsia="zh-CN"/>
        </w:rPr>
        <w:t xml:space="preserve"> </w:t>
      </w:r>
      <w:r w:rsidRPr="00D9416A">
        <w:rPr>
          <w:rStyle w:val="FootnoteReference"/>
          <w:kern w:val="18"/>
          <w:sz w:val="24"/>
          <w:szCs w:val="20"/>
          <w:u w:val="none"/>
          <w:vertAlign w:val="superscript"/>
          <w:lang w:eastAsia="zh-CN"/>
        </w:rPr>
        <w:tab/>
      </w:r>
      <w:r w:rsidRPr="00292FDB">
        <w:rPr>
          <w:rFonts w:hint="eastAsia"/>
          <w:sz w:val="20"/>
          <w:szCs w:val="20"/>
          <w:lang w:eastAsia="zh-CN"/>
        </w:rPr>
        <w:t>见</w:t>
      </w:r>
      <w:r w:rsidRPr="00292FDB">
        <w:rPr>
          <w:kern w:val="18"/>
          <w:sz w:val="20"/>
          <w:szCs w:val="20"/>
          <w:lang w:eastAsia="zh-CN"/>
        </w:rPr>
        <w:t>CBD/COP14/INF/23</w:t>
      </w:r>
      <w:r w:rsidRPr="00292FDB">
        <w:rPr>
          <w:rFonts w:ascii="SimSun" w:hAnsi="SimSun" w:hint="eastAsia"/>
          <w:kern w:val="18"/>
          <w:sz w:val="20"/>
          <w:szCs w:val="20"/>
          <w:lang w:eastAsia="zh-CN"/>
        </w:rPr>
        <w:t>。</w:t>
      </w:r>
    </w:p>
  </w:footnote>
  <w:footnote w:id="280">
    <w:p w:rsidR="00594C0B" w:rsidRDefault="00594C0B" w:rsidP="00D9416A">
      <w:pPr>
        <w:pStyle w:val="FootnoteText"/>
        <w:tabs>
          <w:tab w:val="left" w:pos="360"/>
        </w:tabs>
        <w:topLinePunct/>
        <w:autoSpaceDE w:val="0"/>
        <w:autoSpaceDN w:val="0"/>
        <w:adjustRightInd w:val="0"/>
        <w:snapToGrid w:val="0"/>
        <w:spacing w:before="0"/>
        <w:ind w:firstLine="0"/>
        <w:jc w:val="left"/>
        <w:rPr>
          <w:lang w:eastAsia="zh-CN"/>
        </w:rPr>
      </w:pPr>
      <w:r w:rsidRPr="00D9416A">
        <w:rPr>
          <w:rStyle w:val="FootnoteReference"/>
          <w:kern w:val="18"/>
          <w:sz w:val="24"/>
          <w:szCs w:val="20"/>
          <w:u w:val="none"/>
          <w:vertAlign w:val="superscript"/>
        </w:rPr>
        <w:footnoteRef/>
      </w:r>
      <w:r w:rsidRPr="00D9416A">
        <w:rPr>
          <w:rStyle w:val="FootnoteReference"/>
          <w:kern w:val="18"/>
          <w:sz w:val="24"/>
          <w:u w:val="none"/>
          <w:vertAlign w:val="superscript"/>
          <w:lang w:eastAsia="zh-CN"/>
        </w:rPr>
        <w:t xml:space="preserve">  </w:t>
      </w:r>
      <w:r>
        <w:rPr>
          <w:sz w:val="24"/>
          <w:szCs w:val="20"/>
          <w:lang w:eastAsia="zh-CN"/>
        </w:rPr>
        <w:tab/>
      </w:r>
      <w:r w:rsidRPr="00F17BC2">
        <w:rPr>
          <w:rFonts w:hint="eastAsia"/>
          <w:kern w:val="18"/>
          <w:sz w:val="20"/>
          <w:szCs w:val="20"/>
          <w:lang w:eastAsia="zh-CN"/>
        </w:rPr>
        <w:t>如</w:t>
      </w:r>
      <w:r w:rsidRPr="00F17BC2">
        <w:rPr>
          <w:kern w:val="18"/>
          <w:sz w:val="20"/>
          <w:szCs w:val="20"/>
          <w:lang w:eastAsia="zh-CN"/>
        </w:rPr>
        <w:t>CBD/SBI/2/2/Add/1</w:t>
      </w:r>
      <w:r w:rsidRPr="00F17BC2">
        <w:rPr>
          <w:rFonts w:hint="eastAsia"/>
          <w:kern w:val="18"/>
          <w:sz w:val="20"/>
          <w:szCs w:val="20"/>
          <w:lang w:eastAsia="zh-CN"/>
        </w:rPr>
        <w:t>第</w:t>
      </w:r>
      <w:r w:rsidRPr="00F17BC2">
        <w:rPr>
          <w:kern w:val="18"/>
          <w:sz w:val="20"/>
          <w:szCs w:val="20"/>
          <w:lang w:eastAsia="zh-CN"/>
        </w:rPr>
        <w:t>12</w:t>
      </w:r>
      <w:r w:rsidRPr="00F17BC2">
        <w:rPr>
          <w:rFonts w:hint="eastAsia"/>
          <w:kern w:val="18"/>
          <w:sz w:val="20"/>
          <w:szCs w:val="20"/>
          <w:lang w:eastAsia="zh-CN"/>
        </w:rPr>
        <w:t>段所述，在向秘书处提交的</w:t>
      </w:r>
      <w:r w:rsidRPr="00F17BC2">
        <w:rPr>
          <w:kern w:val="18"/>
          <w:sz w:val="20"/>
          <w:szCs w:val="20"/>
          <w:lang w:eastAsia="zh-CN"/>
        </w:rPr>
        <w:t>154</w:t>
      </w:r>
      <w:r w:rsidRPr="00F17BC2">
        <w:rPr>
          <w:rFonts w:hint="eastAsia"/>
          <w:kern w:val="18"/>
          <w:sz w:val="20"/>
          <w:szCs w:val="20"/>
          <w:lang w:eastAsia="zh-CN"/>
        </w:rPr>
        <w:t>份订正国家生物多样性战略和行动计划中，有</w:t>
      </w:r>
      <w:r w:rsidRPr="00F17BC2">
        <w:rPr>
          <w:kern w:val="18"/>
          <w:sz w:val="20"/>
          <w:szCs w:val="20"/>
          <w:lang w:eastAsia="zh-CN"/>
        </w:rPr>
        <w:t>18</w:t>
      </w:r>
      <w:r w:rsidRPr="00F17BC2">
        <w:rPr>
          <w:rFonts w:hint="eastAsia"/>
          <w:kern w:val="18"/>
          <w:sz w:val="20"/>
          <w:szCs w:val="20"/>
          <w:lang w:eastAsia="zh-CN"/>
        </w:rPr>
        <w:t>项包括国家能力发展计划。</w:t>
      </w:r>
    </w:p>
  </w:footnote>
  <w:footnote w:id="281">
    <w:p w:rsidR="00594C0B" w:rsidRDefault="00594C0B" w:rsidP="00D9416A">
      <w:pPr>
        <w:pStyle w:val="FootnoteText"/>
        <w:tabs>
          <w:tab w:val="left" w:pos="360"/>
        </w:tabs>
        <w:topLinePunct/>
        <w:autoSpaceDE w:val="0"/>
        <w:autoSpaceDN w:val="0"/>
        <w:adjustRightInd w:val="0"/>
        <w:snapToGrid w:val="0"/>
        <w:spacing w:before="0"/>
        <w:ind w:firstLine="0"/>
        <w:jc w:val="left"/>
        <w:rPr>
          <w:lang w:eastAsia="zh-CN"/>
        </w:rPr>
      </w:pPr>
      <w:r w:rsidRPr="00D9416A">
        <w:rPr>
          <w:rStyle w:val="FootnoteReference"/>
          <w:kern w:val="18"/>
          <w:sz w:val="24"/>
          <w:szCs w:val="20"/>
          <w:u w:val="none"/>
          <w:vertAlign w:val="superscript"/>
        </w:rPr>
        <w:footnoteRef/>
      </w:r>
      <w:r w:rsidRPr="00D9416A">
        <w:rPr>
          <w:rStyle w:val="FootnoteReference"/>
          <w:kern w:val="18"/>
          <w:sz w:val="24"/>
          <w:szCs w:val="20"/>
          <w:u w:val="none"/>
          <w:vertAlign w:val="superscript"/>
          <w:lang w:eastAsia="zh-CN"/>
        </w:rPr>
        <w:t xml:space="preserve"> </w:t>
      </w:r>
      <w:r w:rsidRPr="00D9416A">
        <w:rPr>
          <w:rStyle w:val="FootnoteReference"/>
          <w:sz w:val="24"/>
          <w:u w:val="none"/>
          <w:vertAlign w:val="superscript"/>
          <w:lang w:eastAsia="zh-CN"/>
        </w:rPr>
        <w:t xml:space="preserve"> </w:t>
      </w:r>
      <w:r>
        <w:rPr>
          <w:kern w:val="18"/>
          <w:sz w:val="20"/>
          <w:szCs w:val="20"/>
          <w:lang w:eastAsia="zh-CN"/>
        </w:rPr>
        <w:tab/>
      </w:r>
      <w:r w:rsidRPr="00F17BC2">
        <w:rPr>
          <w:rFonts w:hint="eastAsia"/>
          <w:kern w:val="18"/>
          <w:sz w:val="20"/>
          <w:szCs w:val="20"/>
          <w:lang w:eastAsia="zh-CN"/>
        </w:rPr>
        <w:t>包括由国际自然保护联盟代表</w:t>
      </w:r>
      <w:r>
        <w:rPr>
          <w:rFonts w:hint="eastAsia"/>
          <w:kern w:val="18"/>
          <w:sz w:val="20"/>
          <w:szCs w:val="20"/>
          <w:lang w:eastAsia="zh-CN"/>
        </w:rPr>
        <w:t>联合国环境署</w:t>
      </w:r>
      <w:r w:rsidRPr="00F17BC2">
        <w:rPr>
          <w:rFonts w:hint="eastAsia"/>
          <w:kern w:val="18"/>
          <w:sz w:val="20"/>
          <w:szCs w:val="20"/>
          <w:lang w:eastAsia="zh-CN"/>
        </w:rPr>
        <w:t>进行的与执行生物多样性相关公约有关的国家能力发展调查以及联合国开发计划署根据生物多样性和生态系统服务政府间科学政策平台</w:t>
      </w:r>
      <w:r w:rsidRPr="00F17BC2">
        <w:rPr>
          <w:rStyle w:val="style21"/>
          <w:rFonts w:ascii="MS Mincho" w:eastAsia="MS Mincho" w:hAnsi="MS Mincho" w:cs="MS Mincho" w:hint="eastAsia"/>
          <w:sz w:val="20"/>
          <w:szCs w:val="20"/>
          <w:lang w:eastAsia="zh-CN"/>
        </w:rPr>
        <w:t>​</w:t>
      </w:r>
      <w:r w:rsidRPr="00F17BC2">
        <w:rPr>
          <w:rFonts w:hint="eastAsia"/>
          <w:kern w:val="18"/>
          <w:sz w:val="20"/>
          <w:szCs w:val="20"/>
          <w:lang w:eastAsia="zh-CN"/>
        </w:rPr>
        <w:t>对</w:t>
      </w:r>
      <w:r w:rsidRPr="00F17BC2">
        <w:rPr>
          <w:kern w:val="18"/>
          <w:sz w:val="20"/>
          <w:szCs w:val="20"/>
          <w:lang w:eastAsia="zh-CN"/>
        </w:rPr>
        <w:t>140</w:t>
      </w:r>
      <w:r w:rsidRPr="00F17BC2">
        <w:rPr>
          <w:rFonts w:hint="eastAsia"/>
          <w:kern w:val="18"/>
          <w:sz w:val="20"/>
          <w:szCs w:val="20"/>
          <w:lang w:eastAsia="zh-CN"/>
        </w:rPr>
        <w:t>多份国家生物多样性战略和行动计划进行的分析所编写的报告。</w:t>
      </w:r>
    </w:p>
  </w:footnote>
  <w:footnote w:id="282">
    <w:p w:rsidR="00594C0B" w:rsidRDefault="00594C0B" w:rsidP="00FF485B">
      <w:pPr>
        <w:pStyle w:val="FootnoteText"/>
        <w:suppressLineNumbers/>
        <w:tabs>
          <w:tab w:val="left" w:pos="360"/>
        </w:tabs>
        <w:suppressAutoHyphens/>
        <w:kinsoku w:val="0"/>
        <w:overflowPunct w:val="0"/>
        <w:autoSpaceDE w:val="0"/>
        <w:autoSpaceDN w:val="0"/>
        <w:spacing w:before="0"/>
        <w:ind w:firstLine="0"/>
        <w:jc w:val="left"/>
        <w:rPr>
          <w:rFonts w:ascii="SimSun"/>
          <w:lang w:eastAsia="zh-CN"/>
        </w:rPr>
      </w:pPr>
      <w:r w:rsidRPr="00FF485B">
        <w:rPr>
          <w:rStyle w:val="FootnoteReference"/>
          <w:kern w:val="18"/>
          <w:sz w:val="24"/>
          <w:szCs w:val="20"/>
          <w:u w:val="none"/>
          <w:vertAlign w:val="superscript"/>
        </w:rPr>
        <w:footnoteRef/>
      </w:r>
      <w:r w:rsidRPr="00FF485B">
        <w:rPr>
          <w:rStyle w:val="FootnoteReference"/>
          <w:rFonts w:hint="eastAsia"/>
          <w:sz w:val="24"/>
          <w:u w:val="none"/>
          <w:vertAlign w:val="superscript"/>
          <w:lang w:eastAsia="zh-CN"/>
        </w:rPr>
        <w:t xml:space="preserve"> </w:t>
      </w:r>
      <w:r>
        <w:rPr>
          <w:sz w:val="24"/>
          <w:lang w:eastAsia="zh-CN"/>
        </w:rPr>
        <w:tab/>
      </w:r>
      <w:r w:rsidRPr="00BD4ED4">
        <w:rPr>
          <w:rFonts w:ascii="SimSun" w:hint="eastAsia"/>
          <w:kern w:val="18"/>
          <w:sz w:val="20"/>
          <w:szCs w:val="20"/>
          <w:lang w:val="zh-CN" w:eastAsia="zh-CN"/>
        </w:rPr>
        <w:t>见</w:t>
      </w:r>
      <w:r w:rsidRPr="00BD4ED4">
        <w:rPr>
          <w:kern w:val="18"/>
          <w:sz w:val="20"/>
          <w:szCs w:val="20"/>
          <w:lang w:eastAsia="zh-CN"/>
        </w:rPr>
        <w:t>CBD/SBI/2/9</w:t>
      </w:r>
      <w:r w:rsidRPr="00BD4ED4">
        <w:rPr>
          <w:rFonts w:ascii="SimSun" w:hint="eastAsia"/>
          <w:kern w:val="18"/>
          <w:sz w:val="20"/>
          <w:szCs w:val="20"/>
          <w:lang w:val="zh-CN" w:eastAsia="zh-CN"/>
        </w:rPr>
        <w:t>。</w:t>
      </w:r>
    </w:p>
  </w:footnote>
  <w:footnote w:id="283">
    <w:p w:rsidR="00594C0B" w:rsidRPr="00B06616" w:rsidRDefault="00594C0B" w:rsidP="00FF485B">
      <w:pPr>
        <w:pStyle w:val="FootnoteText"/>
        <w:suppressLineNumbers/>
        <w:tabs>
          <w:tab w:val="left" w:pos="360"/>
        </w:tabs>
        <w:suppressAutoHyphens/>
        <w:spacing w:before="0"/>
        <w:ind w:firstLine="0"/>
        <w:jc w:val="left"/>
        <w:rPr>
          <w:kern w:val="18"/>
          <w:szCs w:val="18"/>
          <w:lang w:eastAsia="zh-CN"/>
        </w:rPr>
      </w:pPr>
      <w:r w:rsidRPr="00FF485B">
        <w:rPr>
          <w:rStyle w:val="FootnoteReference"/>
          <w:kern w:val="18"/>
          <w:sz w:val="24"/>
          <w:szCs w:val="20"/>
          <w:u w:val="none"/>
          <w:vertAlign w:val="superscript"/>
        </w:rPr>
        <w:footnoteRef/>
      </w:r>
      <w:r w:rsidRPr="00FF485B">
        <w:rPr>
          <w:rStyle w:val="FootnoteReference"/>
          <w:kern w:val="18"/>
          <w:sz w:val="24"/>
          <w:szCs w:val="20"/>
          <w:u w:val="none"/>
          <w:vertAlign w:val="superscript"/>
          <w:lang w:eastAsia="zh-CN"/>
        </w:rPr>
        <w:t xml:space="preserve">  </w:t>
      </w:r>
      <w:r w:rsidRPr="00FF485B">
        <w:rPr>
          <w:rStyle w:val="FootnoteReference"/>
          <w:sz w:val="24"/>
          <w:szCs w:val="20"/>
          <w:u w:val="none"/>
          <w:vertAlign w:val="superscript"/>
          <w:lang w:eastAsia="zh-CN"/>
        </w:rPr>
        <w:t xml:space="preserve"> </w:t>
      </w:r>
      <w:r>
        <w:rPr>
          <w:kern w:val="18"/>
          <w:szCs w:val="18"/>
          <w:lang w:eastAsia="zh-CN"/>
        </w:rPr>
        <w:t xml:space="preserve"> </w:t>
      </w:r>
      <w:r w:rsidRPr="00FF485B">
        <w:rPr>
          <w:rFonts w:hint="eastAsia"/>
          <w:kern w:val="18"/>
          <w:sz w:val="20"/>
          <w:szCs w:val="18"/>
          <w:lang w:eastAsia="zh-CN"/>
        </w:rPr>
        <w:t>第</w:t>
      </w:r>
      <w:r w:rsidRPr="00FF485B">
        <w:rPr>
          <w:kern w:val="18"/>
          <w:sz w:val="20"/>
          <w:szCs w:val="18"/>
          <w:lang w:eastAsia="zh-CN"/>
        </w:rPr>
        <w:t xml:space="preserve"> X/2</w:t>
      </w:r>
      <w:r w:rsidRPr="00FF485B">
        <w:rPr>
          <w:rFonts w:hint="eastAsia"/>
          <w:kern w:val="18"/>
          <w:sz w:val="20"/>
          <w:szCs w:val="18"/>
          <w:lang w:eastAsia="zh-CN"/>
        </w:rPr>
        <w:t>号决定，附件。</w:t>
      </w:r>
    </w:p>
  </w:footnote>
  <w:footnote w:id="284">
    <w:p w:rsidR="00594C0B" w:rsidRPr="00B06616" w:rsidRDefault="00594C0B" w:rsidP="00FF485B">
      <w:pPr>
        <w:pStyle w:val="FootnoteText"/>
        <w:suppressLineNumbers/>
        <w:tabs>
          <w:tab w:val="left" w:pos="360"/>
        </w:tabs>
        <w:suppressAutoHyphens/>
        <w:spacing w:before="0"/>
        <w:ind w:firstLine="0"/>
        <w:jc w:val="left"/>
        <w:rPr>
          <w:kern w:val="18"/>
          <w:szCs w:val="18"/>
          <w:lang w:eastAsia="zh-CN"/>
        </w:rPr>
      </w:pPr>
      <w:r w:rsidRPr="00FF485B">
        <w:rPr>
          <w:rStyle w:val="FootnoteReference"/>
          <w:kern w:val="18"/>
          <w:sz w:val="24"/>
          <w:szCs w:val="20"/>
          <w:u w:val="none"/>
          <w:vertAlign w:val="superscript"/>
        </w:rPr>
        <w:footnoteRef/>
      </w:r>
      <w:r w:rsidRPr="00FF485B">
        <w:rPr>
          <w:rStyle w:val="FootnoteReference"/>
          <w:kern w:val="18"/>
          <w:sz w:val="24"/>
          <w:szCs w:val="20"/>
          <w:u w:val="none"/>
          <w:vertAlign w:val="superscript"/>
          <w:lang w:eastAsia="zh-CN"/>
        </w:rPr>
        <w:t xml:space="preserve"> </w:t>
      </w:r>
      <w:r w:rsidRPr="00FF485B">
        <w:rPr>
          <w:rStyle w:val="FootnoteReference"/>
          <w:sz w:val="24"/>
          <w:szCs w:val="20"/>
          <w:u w:val="none"/>
          <w:vertAlign w:val="superscript"/>
          <w:lang w:eastAsia="zh-CN"/>
        </w:rPr>
        <w:t xml:space="preserve">  </w:t>
      </w:r>
      <w:r>
        <w:rPr>
          <w:kern w:val="18"/>
          <w:szCs w:val="18"/>
          <w:lang w:eastAsia="zh-CN"/>
        </w:rPr>
        <w:t xml:space="preserve"> </w:t>
      </w:r>
      <w:r>
        <w:rPr>
          <w:rFonts w:hint="eastAsia"/>
          <w:kern w:val="18"/>
          <w:szCs w:val="18"/>
          <w:lang w:eastAsia="zh-CN"/>
        </w:rPr>
        <w:t>见联大</w:t>
      </w:r>
      <w:r>
        <w:rPr>
          <w:rFonts w:hint="eastAsia"/>
          <w:kern w:val="18"/>
          <w:szCs w:val="18"/>
          <w:lang w:eastAsia="zh-CN"/>
        </w:rPr>
        <w:t>2015</w:t>
      </w:r>
      <w:r>
        <w:rPr>
          <w:rFonts w:hint="eastAsia"/>
          <w:kern w:val="18"/>
          <w:szCs w:val="18"/>
          <w:lang w:eastAsia="zh-CN"/>
        </w:rPr>
        <w:t>年</w:t>
      </w:r>
      <w:r>
        <w:rPr>
          <w:rFonts w:hint="eastAsia"/>
          <w:kern w:val="18"/>
          <w:szCs w:val="18"/>
          <w:lang w:eastAsia="zh-CN"/>
        </w:rPr>
        <w:t>9</w:t>
      </w:r>
      <w:r>
        <w:rPr>
          <w:rFonts w:hint="eastAsia"/>
          <w:kern w:val="18"/>
          <w:szCs w:val="18"/>
          <w:lang w:eastAsia="zh-CN"/>
        </w:rPr>
        <w:t>月</w:t>
      </w:r>
      <w:r>
        <w:rPr>
          <w:rFonts w:hint="eastAsia"/>
          <w:kern w:val="18"/>
          <w:szCs w:val="18"/>
          <w:lang w:eastAsia="zh-CN"/>
        </w:rPr>
        <w:t>25</w:t>
      </w:r>
      <w:r>
        <w:rPr>
          <w:rFonts w:hint="eastAsia"/>
          <w:kern w:val="18"/>
          <w:szCs w:val="18"/>
          <w:lang w:eastAsia="zh-CN"/>
        </w:rPr>
        <w:t>日第</w:t>
      </w:r>
      <w:r w:rsidRPr="00B06616">
        <w:rPr>
          <w:kern w:val="18"/>
          <w:szCs w:val="18"/>
          <w:lang w:eastAsia="zh-CN"/>
        </w:rPr>
        <w:t>70/1</w:t>
      </w:r>
      <w:r>
        <w:rPr>
          <w:rFonts w:hint="eastAsia"/>
          <w:kern w:val="18"/>
          <w:szCs w:val="18"/>
          <w:lang w:eastAsia="zh-CN"/>
        </w:rPr>
        <w:t>号决定。</w:t>
      </w:r>
    </w:p>
  </w:footnote>
  <w:footnote w:id="285">
    <w:p w:rsidR="00594C0B" w:rsidRDefault="00594C0B" w:rsidP="001152C0">
      <w:pPr>
        <w:pStyle w:val="FootnoteText"/>
        <w:tabs>
          <w:tab w:val="left" w:pos="360"/>
        </w:tabs>
        <w:kinsoku w:val="0"/>
        <w:overflowPunct w:val="0"/>
        <w:autoSpaceDE w:val="0"/>
        <w:autoSpaceDN w:val="0"/>
        <w:spacing w:before="0"/>
        <w:ind w:firstLine="0"/>
        <w:rPr>
          <w:lang w:eastAsia="zh-CN"/>
        </w:rPr>
      </w:pPr>
      <w:r w:rsidRPr="001152C0">
        <w:rPr>
          <w:rStyle w:val="FootnoteReference"/>
          <w:sz w:val="24"/>
          <w:u w:val="none"/>
          <w:vertAlign w:val="superscript"/>
        </w:rPr>
        <w:footnoteRef/>
      </w:r>
      <w:r w:rsidRPr="00184358">
        <w:rPr>
          <w:sz w:val="20"/>
          <w:vertAlign w:val="superscript"/>
          <w:lang w:eastAsia="zh-CN"/>
        </w:rPr>
        <w:t xml:space="preserve"> </w:t>
      </w:r>
      <w:r w:rsidRPr="00184358">
        <w:rPr>
          <w:lang w:eastAsia="zh-CN"/>
        </w:rPr>
        <w:t xml:space="preserve"> </w:t>
      </w:r>
      <w:r>
        <w:rPr>
          <w:lang w:eastAsia="zh-CN"/>
        </w:rPr>
        <w:tab/>
      </w:r>
      <w:r>
        <w:rPr>
          <w:rFonts w:ascii="SimSun" w:hAnsi="SimSun" w:cs="SimSun" w:hint="eastAsia"/>
          <w:snapToGrid w:val="0"/>
          <w:kern w:val="22"/>
          <w:sz w:val="20"/>
          <w:lang w:eastAsia="zh-CN"/>
        </w:rPr>
        <w:t>联大</w:t>
      </w:r>
      <w:r w:rsidRPr="00D61E46">
        <w:rPr>
          <w:snapToGrid w:val="0"/>
          <w:kern w:val="22"/>
          <w:sz w:val="20"/>
          <w:lang w:eastAsia="zh-CN"/>
        </w:rPr>
        <w:t>2015</w:t>
      </w:r>
      <w:r w:rsidRPr="00D61E46">
        <w:rPr>
          <w:rFonts w:ascii="SimSun" w:hAnsi="SimSun" w:cs="SimSun" w:hint="eastAsia"/>
          <w:snapToGrid w:val="0"/>
          <w:kern w:val="22"/>
          <w:sz w:val="20"/>
          <w:lang w:eastAsia="zh-CN"/>
        </w:rPr>
        <w:t>年</w:t>
      </w:r>
      <w:r w:rsidRPr="00D61E46">
        <w:rPr>
          <w:snapToGrid w:val="0"/>
          <w:kern w:val="22"/>
          <w:sz w:val="20"/>
          <w:lang w:eastAsia="zh-CN"/>
        </w:rPr>
        <w:t>9</w:t>
      </w:r>
      <w:r w:rsidRPr="00D61E46">
        <w:rPr>
          <w:rFonts w:ascii="SimSun" w:hAnsi="SimSun" w:cs="SimSun" w:hint="eastAsia"/>
          <w:snapToGrid w:val="0"/>
          <w:kern w:val="22"/>
          <w:sz w:val="20"/>
          <w:lang w:eastAsia="zh-CN"/>
        </w:rPr>
        <w:t>月</w:t>
      </w:r>
      <w:r w:rsidRPr="00D61E46">
        <w:rPr>
          <w:snapToGrid w:val="0"/>
          <w:kern w:val="22"/>
          <w:sz w:val="20"/>
          <w:lang w:eastAsia="zh-CN"/>
        </w:rPr>
        <w:t>25</w:t>
      </w:r>
      <w:r w:rsidRPr="00D61E46">
        <w:rPr>
          <w:rFonts w:ascii="SimSun" w:hAnsi="SimSun" w:cs="SimSun" w:hint="eastAsia"/>
          <w:snapToGrid w:val="0"/>
          <w:kern w:val="22"/>
          <w:sz w:val="20"/>
          <w:lang w:eastAsia="zh-CN"/>
        </w:rPr>
        <w:t>日第</w:t>
      </w:r>
      <w:r w:rsidRPr="00D61E46">
        <w:rPr>
          <w:snapToGrid w:val="0"/>
          <w:kern w:val="22"/>
          <w:sz w:val="20"/>
          <w:lang w:eastAsia="zh-CN"/>
        </w:rPr>
        <w:t>70/1</w:t>
      </w:r>
      <w:r w:rsidRPr="00D61E46">
        <w:rPr>
          <w:rFonts w:ascii="SimSun" w:hAnsi="SimSun" w:cs="SimSun" w:hint="eastAsia"/>
          <w:snapToGrid w:val="0"/>
          <w:kern w:val="22"/>
          <w:sz w:val="20"/>
          <w:lang w:eastAsia="zh-CN"/>
        </w:rPr>
        <w:t>号决议。</w:t>
      </w:r>
    </w:p>
  </w:footnote>
  <w:footnote w:id="286">
    <w:p w:rsidR="00594C0B" w:rsidRPr="00E313AE" w:rsidRDefault="00594C0B" w:rsidP="001152C0">
      <w:pPr>
        <w:pStyle w:val="FootnoteText"/>
        <w:tabs>
          <w:tab w:val="left" w:pos="360"/>
        </w:tabs>
        <w:spacing w:before="0"/>
        <w:ind w:firstLine="0"/>
        <w:rPr>
          <w:kern w:val="18"/>
          <w:sz w:val="20"/>
          <w:szCs w:val="20"/>
          <w:lang w:eastAsia="zh-CN"/>
        </w:rPr>
      </w:pPr>
      <w:r w:rsidRPr="001152C0">
        <w:rPr>
          <w:rStyle w:val="FootnoteReference"/>
          <w:kern w:val="18"/>
          <w:sz w:val="24"/>
          <w:szCs w:val="20"/>
          <w:u w:val="none"/>
          <w:vertAlign w:val="superscript"/>
        </w:rPr>
        <w:footnoteRef/>
      </w:r>
      <w:r w:rsidRPr="00514E0C">
        <w:rPr>
          <w:kern w:val="18"/>
          <w:sz w:val="24"/>
          <w:szCs w:val="20"/>
          <w:lang w:eastAsia="zh-CN"/>
        </w:rPr>
        <w:t xml:space="preserve"> </w:t>
      </w:r>
      <w:r w:rsidRPr="00E313AE">
        <w:rPr>
          <w:rFonts w:hint="eastAsia"/>
          <w:kern w:val="18"/>
          <w:sz w:val="20"/>
          <w:szCs w:val="20"/>
          <w:lang w:eastAsia="zh-CN"/>
        </w:rPr>
        <w:tab/>
      </w:r>
      <w:hyperlink r:id="rId125" w:history="1">
        <w:r w:rsidRPr="00E313AE">
          <w:rPr>
            <w:rStyle w:val="Hyperlink"/>
            <w:kern w:val="18"/>
            <w:lang w:eastAsia="zh-CN"/>
          </w:rPr>
          <w:t>CBD/SBSTTA/21/7</w:t>
        </w:r>
      </w:hyperlink>
      <w:r w:rsidRPr="00E313AE">
        <w:rPr>
          <w:rFonts w:hint="eastAsia"/>
          <w:kern w:val="18"/>
          <w:sz w:val="20"/>
          <w:szCs w:val="20"/>
          <w:lang w:eastAsia="zh-CN"/>
        </w:rPr>
        <w:t>。</w:t>
      </w:r>
    </w:p>
  </w:footnote>
  <w:footnote w:id="287">
    <w:p w:rsidR="00594C0B" w:rsidRDefault="00594C0B" w:rsidP="001152C0">
      <w:pPr>
        <w:pStyle w:val="FootnoteText"/>
        <w:tabs>
          <w:tab w:val="left" w:pos="360"/>
        </w:tabs>
        <w:kinsoku w:val="0"/>
        <w:overflowPunct w:val="0"/>
        <w:autoSpaceDE w:val="0"/>
        <w:autoSpaceDN w:val="0"/>
        <w:ind w:firstLine="0"/>
        <w:jc w:val="left"/>
      </w:pPr>
      <w:r w:rsidRPr="001152C0">
        <w:rPr>
          <w:rStyle w:val="FootnoteReference"/>
          <w:sz w:val="24"/>
          <w:szCs w:val="18"/>
          <w:u w:val="none"/>
          <w:vertAlign w:val="superscript"/>
        </w:rPr>
        <w:footnoteRef/>
      </w:r>
      <w:r w:rsidRPr="001152C0">
        <w:rPr>
          <w:sz w:val="24"/>
          <w:szCs w:val="18"/>
        </w:rPr>
        <w:t xml:space="preserve"> </w:t>
      </w:r>
      <w:r>
        <w:rPr>
          <w:sz w:val="24"/>
          <w:szCs w:val="18"/>
        </w:rPr>
        <w:tab/>
      </w:r>
      <w:r w:rsidRPr="00562938">
        <w:rPr>
          <w:rFonts w:ascii="SimSun" w:hAnsi="SimSun" w:cs="SimSun" w:hint="eastAsia"/>
          <w:sz w:val="20"/>
          <w:szCs w:val="20"/>
        </w:rPr>
        <w:t>第</w:t>
      </w:r>
      <w:r w:rsidRPr="00562938">
        <w:rPr>
          <w:rFonts w:eastAsia="KaiTi"/>
          <w:kern w:val="22"/>
          <w:sz w:val="20"/>
          <w:szCs w:val="20"/>
          <w:lang w:val="en-US"/>
        </w:rPr>
        <w:t>X/2</w:t>
      </w:r>
      <w:r w:rsidRPr="00562938">
        <w:rPr>
          <w:rFonts w:ascii="SimSun" w:hAnsi="SimSun" w:cs="SimSun" w:hint="eastAsia"/>
          <w:sz w:val="20"/>
          <w:szCs w:val="20"/>
        </w:rPr>
        <w:t>号决定，附件。</w:t>
      </w:r>
    </w:p>
  </w:footnote>
  <w:footnote w:id="288">
    <w:p w:rsidR="00594C0B" w:rsidRDefault="00594C0B" w:rsidP="001152C0">
      <w:pPr>
        <w:pStyle w:val="FootnoteText"/>
        <w:tabs>
          <w:tab w:val="left" w:pos="360"/>
        </w:tabs>
        <w:kinsoku w:val="0"/>
        <w:overflowPunct w:val="0"/>
        <w:autoSpaceDE w:val="0"/>
        <w:autoSpaceDN w:val="0"/>
        <w:spacing w:before="0"/>
        <w:ind w:firstLine="0"/>
        <w:jc w:val="left"/>
      </w:pPr>
      <w:r w:rsidRPr="001152C0">
        <w:rPr>
          <w:rStyle w:val="FootnoteReference"/>
          <w:sz w:val="24"/>
          <w:szCs w:val="18"/>
          <w:u w:val="none"/>
          <w:vertAlign w:val="superscript"/>
        </w:rPr>
        <w:footnoteRef/>
      </w:r>
      <w:r w:rsidRPr="001152C0">
        <w:rPr>
          <w:rStyle w:val="FootnoteReference"/>
          <w:sz w:val="24"/>
          <w:u w:val="none"/>
        </w:rPr>
        <w:t xml:space="preserve"> </w:t>
      </w:r>
      <w:r>
        <w:rPr>
          <w:sz w:val="24"/>
        </w:rPr>
        <w:tab/>
      </w:r>
      <w:r w:rsidRPr="00B60AAB">
        <w:rPr>
          <w:rFonts w:ascii="SimSun" w:hAnsi="SimSun" w:cs="SimSun" w:hint="eastAsia"/>
          <w:sz w:val="20"/>
          <w:szCs w:val="18"/>
        </w:rPr>
        <w:t>如</w:t>
      </w:r>
      <w:r w:rsidRPr="00246641">
        <w:rPr>
          <w:sz w:val="20"/>
          <w:szCs w:val="18"/>
        </w:rPr>
        <w:t>UNEP/CBD/SBI/1/10/Add.3</w:t>
      </w:r>
      <w:r w:rsidRPr="00B60AAB">
        <w:rPr>
          <w:rFonts w:ascii="SimSun" w:hAnsi="SimSun" w:cs="SimSun" w:hint="eastAsia"/>
          <w:sz w:val="20"/>
          <w:szCs w:val="18"/>
        </w:rPr>
        <w:t>和</w:t>
      </w:r>
      <w:r w:rsidRPr="00246641">
        <w:rPr>
          <w:sz w:val="20"/>
          <w:szCs w:val="18"/>
        </w:rPr>
        <w:t>CBD/SBI/2/11</w:t>
      </w:r>
      <w:r w:rsidRPr="00B60AAB">
        <w:rPr>
          <w:rFonts w:ascii="SimSun" w:hAnsi="SimSun" w:cs="SimSun" w:hint="eastAsia"/>
          <w:sz w:val="20"/>
          <w:szCs w:val="18"/>
        </w:rPr>
        <w:t>所述</w:t>
      </w:r>
      <w:r w:rsidRPr="00246641">
        <w:rPr>
          <w:rFonts w:hint="eastAsia"/>
          <w:sz w:val="20"/>
          <w:szCs w:val="18"/>
        </w:rPr>
        <w:t>。</w:t>
      </w:r>
    </w:p>
  </w:footnote>
  <w:footnote w:id="289">
    <w:p w:rsidR="00594C0B" w:rsidRPr="005A3708" w:rsidRDefault="00594C0B" w:rsidP="001F1AAC">
      <w:pPr>
        <w:pStyle w:val="FootnoteText"/>
        <w:tabs>
          <w:tab w:val="left" w:pos="360"/>
        </w:tabs>
        <w:spacing w:before="0"/>
        <w:ind w:firstLine="0"/>
        <w:rPr>
          <w:sz w:val="20"/>
          <w:szCs w:val="20"/>
          <w:lang w:val="en-US" w:eastAsia="zh-CN"/>
        </w:rPr>
      </w:pPr>
      <w:r w:rsidRPr="001F1AAC">
        <w:rPr>
          <w:rStyle w:val="FootnoteReference"/>
          <w:sz w:val="24"/>
          <w:szCs w:val="18"/>
          <w:u w:val="none"/>
          <w:vertAlign w:val="superscript"/>
        </w:rPr>
        <w:footnoteRef/>
      </w:r>
      <w:r w:rsidRPr="001F1AAC">
        <w:rPr>
          <w:rFonts w:hint="eastAsia"/>
          <w:sz w:val="28"/>
          <w:szCs w:val="20"/>
          <w:lang w:val="en-US" w:eastAsia="zh-CN"/>
        </w:rPr>
        <w:t xml:space="preserve"> </w:t>
      </w:r>
      <w:r w:rsidRPr="001F1AAC">
        <w:rPr>
          <w:rFonts w:hint="eastAsia"/>
          <w:sz w:val="20"/>
          <w:szCs w:val="20"/>
          <w:lang w:val="en-US" w:eastAsia="zh-CN"/>
        </w:rPr>
        <w:t xml:space="preserve"> </w:t>
      </w:r>
      <w:r w:rsidRPr="005A3708">
        <w:rPr>
          <w:rFonts w:hint="eastAsia"/>
          <w:sz w:val="20"/>
          <w:szCs w:val="20"/>
          <w:lang w:val="en-US" w:eastAsia="zh-CN"/>
        </w:rPr>
        <w:t xml:space="preserve"> </w:t>
      </w:r>
      <w:r w:rsidRPr="005A3708">
        <w:rPr>
          <w:rFonts w:hint="eastAsia"/>
          <w:sz w:val="20"/>
          <w:szCs w:val="20"/>
          <w:lang w:val="en-US" w:eastAsia="zh-CN"/>
        </w:rPr>
        <w:t>第</w:t>
      </w:r>
      <w:r w:rsidRPr="005A3708">
        <w:rPr>
          <w:sz w:val="20"/>
          <w:szCs w:val="20"/>
          <w:lang w:val="en-US" w:eastAsia="zh-CN"/>
        </w:rPr>
        <w:t>X/2</w:t>
      </w:r>
      <w:r w:rsidRPr="005A3708">
        <w:rPr>
          <w:rFonts w:hint="eastAsia"/>
          <w:sz w:val="20"/>
          <w:szCs w:val="20"/>
          <w:lang w:val="en-US" w:eastAsia="zh-CN"/>
        </w:rPr>
        <w:t>号决定，附件。</w:t>
      </w:r>
    </w:p>
  </w:footnote>
  <w:footnote w:id="290">
    <w:p w:rsidR="00594C0B" w:rsidRPr="005A3708" w:rsidRDefault="00594C0B" w:rsidP="001F1AAC">
      <w:pPr>
        <w:pStyle w:val="FootnoteText"/>
        <w:tabs>
          <w:tab w:val="left" w:pos="360"/>
        </w:tabs>
        <w:spacing w:before="0"/>
        <w:ind w:firstLine="0"/>
        <w:rPr>
          <w:rFonts w:eastAsiaTheme="minorEastAsia"/>
          <w:sz w:val="20"/>
          <w:szCs w:val="20"/>
          <w:lang w:eastAsia="zh-CN"/>
        </w:rPr>
      </w:pPr>
      <w:r w:rsidRPr="001F1AAC">
        <w:rPr>
          <w:rStyle w:val="FootnoteReference"/>
          <w:sz w:val="24"/>
          <w:szCs w:val="18"/>
          <w:u w:val="none"/>
          <w:vertAlign w:val="superscript"/>
        </w:rPr>
        <w:footnoteRef/>
      </w:r>
      <w:r w:rsidRPr="005A3708">
        <w:rPr>
          <w:rFonts w:eastAsiaTheme="minorEastAsia" w:hint="eastAsia"/>
          <w:sz w:val="20"/>
          <w:szCs w:val="20"/>
          <w:lang w:eastAsia="zh-CN"/>
        </w:rPr>
        <w:tab/>
      </w:r>
      <w:r w:rsidRPr="005A3708">
        <w:rPr>
          <w:rFonts w:eastAsiaTheme="minorEastAsia"/>
          <w:sz w:val="20"/>
          <w:szCs w:val="20"/>
          <w:lang w:eastAsia="zh-CN"/>
        </w:rPr>
        <w:t>养护野生动物移栖物种公约缔约方大会第十二</w:t>
      </w:r>
      <w:r w:rsidRPr="005A3708">
        <w:rPr>
          <w:rFonts w:eastAsiaTheme="minorEastAsia" w:hint="eastAsia"/>
          <w:sz w:val="20"/>
          <w:szCs w:val="20"/>
          <w:lang w:eastAsia="zh-CN"/>
        </w:rPr>
        <w:t>届会议</w:t>
      </w:r>
      <w:r w:rsidRPr="005A3708">
        <w:rPr>
          <w:rFonts w:eastAsiaTheme="minorEastAsia"/>
          <w:sz w:val="20"/>
          <w:szCs w:val="20"/>
          <w:lang w:eastAsia="zh-CN"/>
        </w:rPr>
        <w:t>通过的第</w:t>
      </w:r>
      <w:r w:rsidRPr="005A3708">
        <w:rPr>
          <w:rFonts w:eastAsiaTheme="minorEastAsia"/>
          <w:sz w:val="20"/>
          <w:szCs w:val="20"/>
          <w:lang w:eastAsia="zh-CN"/>
        </w:rPr>
        <w:t>11.10</w:t>
      </w:r>
      <w:r w:rsidRPr="005A3708">
        <w:rPr>
          <w:rFonts w:eastAsiaTheme="minorEastAsia"/>
          <w:sz w:val="20"/>
          <w:szCs w:val="20"/>
          <w:lang w:eastAsia="zh-CN"/>
        </w:rPr>
        <w:t>号决议（</w:t>
      </w:r>
      <w:r w:rsidRPr="005A3708">
        <w:rPr>
          <w:rFonts w:eastAsiaTheme="minorEastAsia"/>
          <w:sz w:val="20"/>
          <w:szCs w:val="20"/>
          <w:lang w:eastAsia="zh-CN"/>
        </w:rPr>
        <w:t>Rev.COP12</w:t>
      </w:r>
      <w:r w:rsidRPr="005A3708">
        <w:rPr>
          <w:rFonts w:eastAsiaTheme="minorEastAsia"/>
          <w:sz w:val="20"/>
          <w:szCs w:val="20"/>
          <w:lang w:eastAsia="zh-CN"/>
        </w:rPr>
        <w:t>）</w:t>
      </w:r>
      <w:r>
        <w:rPr>
          <w:rFonts w:eastAsiaTheme="minorEastAsia" w:hint="eastAsia"/>
          <w:sz w:val="20"/>
          <w:szCs w:val="20"/>
          <w:lang w:eastAsia="zh-CN"/>
        </w:rPr>
        <w:t>；</w:t>
      </w:r>
      <w:r w:rsidRPr="005A3708">
        <w:rPr>
          <w:rFonts w:eastAsiaTheme="minorEastAsia"/>
          <w:sz w:val="20"/>
          <w:szCs w:val="20"/>
          <w:lang w:eastAsia="zh-CN"/>
        </w:rPr>
        <w:t>粮食和农业植物遗传资源国际条约理事会第七届会议通过的第</w:t>
      </w:r>
      <w:r w:rsidRPr="005A3708">
        <w:rPr>
          <w:rFonts w:eastAsiaTheme="minorEastAsia"/>
          <w:sz w:val="20"/>
          <w:szCs w:val="20"/>
          <w:lang w:eastAsia="zh-CN"/>
        </w:rPr>
        <w:t>9/2017</w:t>
      </w:r>
      <w:r w:rsidRPr="005A3708">
        <w:rPr>
          <w:rFonts w:eastAsiaTheme="minorEastAsia"/>
          <w:sz w:val="20"/>
          <w:szCs w:val="20"/>
          <w:lang w:eastAsia="zh-CN"/>
        </w:rPr>
        <w:t>号和第</w:t>
      </w:r>
      <w:r w:rsidRPr="005A3708">
        <w:rPr>
          <w:rFonts w:eastAsiaTheme="minorEastAsia"/>
          <w:sz w:val="20"/>
          <w:szCs w:val="20"/>
          <w:lang w:eastAsia="zh-CN"/>
        </w:rPr>
        <w:t>12/2017</w:t>
      </w:r>
      <w:r w:rsidRPr="005A3708">
        <w:rPr>
          <w:rFonts w:eastAsiaTheme="minorEastAsia"/>
          <w:sz w:val="20"/>
          <w:szCs w:val="20"/>
          <w:lang w:eastAsia="zh-CN"/>
        </w:rPr>
        <w:t>号决议</w:t>
      </w:r>
      <w:r>
        <w:rPr>
          <w:rFonts w:eastAsiaTheme="minorEastAsia" w:hint="eastAsia"/>
          <w:sz w:val="20"/>
          <w:szCs w:val="20"/>
          <w:lang w:eastAsia="zh-CN"/>
        </w:rPr>
        <w:t>；</w:t>
      </w:r>
      <w:r w:rsidRPr="005A3708">
        <w:rPr>
          <w:rFonts w:eastAsiaTheme="minorEastAsia"/>
          <w:sz w:val="20"/>
          <w:szCs w:val="20"/>
          <w:lang w:eastAsia="zh-CN"/>
        </w:rPr>
        <w:t>以及关于特别是作为水禽栖息地的国际重要湿地公约（拉姆萨尔公约）缔约方大会第十三</w:t>
      </w:r>
      <w:r w:rsidRPr="005A3708">
        <w:rPr>
          <w:rFonts w:eastAsiaTheme="minorEastAsia" w:hint="eastAsia"/>
          <w:sz w:val="20"/>
          <w:szCs w:val="20"/>
          <w:lang w:eastAsia="zh-CN"/>
        </w:rPr>
        <w:t>届会议</w:t>
      </w:r>
      <w:r w:rsidRPr="005A3708">
        <w:rPr>
          <w:rFonts w:eastAsiaTheme="minorEastAsia"/>
          <w:sz w:val="20"/>
          <w:szCs w:val="20"/>
          <w:lang w:eastAsia="zh-CN"/>
        </w:rPr>
        <w:t>通过的</w:t>
      </w:r>
      <w:r>
        <w:rPr>
          <w:rFonts w:eastAsiaTheme="minorEastAsia" w:hint="eastAsia"/>
          <w:sz w:val="20"/>
          <w:szCs w:val="20"/>
          <w:lang w:eastAsia="zh-CN"/>
        </w:rPr>
        <w:t>第</w:t>
      </w:r>
      <w:r w:rsidRPr="00A57930">
        <w:rPr>
          <w:kern w:val="18"/>
          <w:sz w:val="20"/>
          <w:szCs w:val="18"/>
          <w:lang w:eastAsia="zh-CN"/>
        </w:rPr>
        <w:t>XIII.7</w:t>
      </w:r>
      <w:r>
        <w:rPr>
          <w:rFonts w:hint="eastAsia"/>
          <w:kern w:val="18"/>
          <w:sz w:val="20"/>
          <w:szCs w:val="18"/>
          <w:lang w:eastAsia="zh-CN"/>
        </w:rPr>
        <w:t>和</w:t>
      </w:r>
      <w:r>
        <w:rPr>
          <w:kern w:val="18"/>
          <w:sz w:val="20"/>
          <w:szCs w:val="18"/>
          <w:lang w:eastAsia="zh-CN"/>
        </w:rPr>
        <w:t>第</w:t>
      </w:r>
      <w:r w:rsidRPr="00A57930">
        <w:rPr>
          <w:kern w:val="18"/>
          <w:sz w:val="20"/>
          <w:szCs w:val="18"/>
          <w:lang w:eastAsia="zh-CN"/>
        </w:rPr>
        <w:t>XIII.20</w:t>
      </w:r>
      <w:r>
        <w:rPr>
          <w:rFonts w:hint="eastAsia"/>
          <w:kern w:val="18"/>
          <w:sz w:val="20"/>
          <w:szCs w:val="18"/>
          <w:lang w:eastAsia="zh-CN"/>
        </w:rPr>
        <w:t>号决定</w:t>
      </w:r>
      <w:r w:rsidRPr="005A3708">
        <w:rPr>
          <w:rFonts w:eastAsiaTheme="minorEastAsia"/>
          <w:sz w:val="20"/>
          <w:szCs w:val="20"/>
          <w:lang w:eastAsia="zh-CN"/>
        </w:rPr>
        <w:t>。</w:t>
      </w:r>
    </w:p>
  </w:footnote>
  <w:footnote w:id="291">
    <w:p w:rsidR="00594C0B" w:rsidRPr="005A3708" w:rsidRDefault="00594C0B" w:rsidP="001F1AAC">
      <w:pPr>
        <w:pStyle w:val="FootnoteText"/>
        <w:tabs>
          <w:tab w:val="left" w:pos="360"/>
        </w:tabs>
        <w:spacing w:before="0"/>
        <w:ind w:firstLine="0"/>
        <w:rPr>
          <w:rFonts w:eastAsiaTheme="minorEastAsia"/>
          <w:sz w:val="20"/>
          <w:szCs w:val="20"/>
          <w:lang w:eastAsia="zh-CN"/>
        </w:rPr>
      </w:pPr>
      <w:r w:rsidRPr="001F1AAC">
        <w:rPr>
          <w:rStyle w:val="FootnoteReference"/>
          <w:sz w:val="24"/>
          <w:szCs w:val="18"/>
          <w:u w:val="none"/>
          <w:vertAlign w:val="superscript"/>
        </w:rPr>
        <w:footnoteRef/>
      </w:r>
      <w:r w:rsidRPr="005A3708">
        <w:rPr>
          <w:rFonts w:eastAsiaTheme="minorEastAsia" w:hint="eastAsia"/>
          <w:sz w:val="20"/>
          <w:szCs w:val="20"/>
          <w:lang w:eastAsia="zh-CN"/>
        </w:rPr>
        <w:tab/>
      </w:r>
      <w:r>
        <w:rPr>
          <w:rFonts w:eastAsiaTheme="minorEastAsia" w:hint="eastAsia"/>
          <w:sz w:val="20"/>
          <w:szCs w:val="20"/>
          <w:lang w:eastAsia="zh-CN"/>
        </w:rPr>
        <w:t>联大</w:t>
      </w:r>
      <w:r w:rsidRPr="00700ED5">
        <w:rPr>
          <w:rFonts w:eastAsiaTheme="minorEastAsia"/>
          <w:sz w:val="20"/>
          <w:szCs w:val="20"/>
          <w:lang w:eastAsia="zh-CN"/>
        </w:rPr>
        <w:t>第</w:t>
      </w:r>
      <w:hyperlink r:id="rId126" w:history="1">
        <w:r w:rsidRPr="00700ED5">
          <w:rPr>
            <w:rStyle w:val="Hyperlink"/>
            <w:rFonts w:eastAsiaTheme="minorEastAsia"/>
            <w:snapToGrid w:val="0"/>
            <w:kern w:val="18"/>
            <w:sz w:val="20"/>
            <w:szCs w:val="20"/>
            <w:lang w:eastAsia="zh-CN"/>
          </w:rPr>
          <w:t>70/1</w:t>
        </w:r>
      </w:hyperlink>
      <w:r w:rsidRPr="00700ED5">
        <w:rPr>
          <w:rFonts w:eastAsiaTheme="minorEastAsia"/>
          <w:snapToGrid w:val="0"/>
          <w:kern w:val="18"/>
          <w:sz w:val="20"/>
          <w:szCs w:val="20"/>
          <w:lang w:eastAsia="zh-CN"/>
        </w:rPr>
        <w:t>号决议</w:t>
      </w:r>
      <w:r w:rsidRPr="00466808">
        <w:rPr>
          <w:rStyle w:val="Hyperlink"/>
          <w:rFonts w:eastAsiaTheme="minorEastAsia"/>
          <w:snapToGrid w:val="0"/>
          <w:color w:val="000000" w:themeColor="text1"/>
          <w:kern w:val="18"/>
          <w:sz w:val="20"/>
          <w:szCs w:val="20"/>
          <w:u w:val="none"/>
          <w:lang w:eastAsia="zh-CN"/>
        </w:rPr>
        <w:t>，</w:t>
      </w:r>
      <w:r w:rsidRPr="005A3708">
        <w:rPr>
          <w:rFonts w:eastAsiaTheme="minorEastAsia"/>
          <w:sz w:val="20"/>
          <w:szCs w:val="20"/>
          <w:lang w:eastAsia="zh-CN"/>
        </w:rPr>
        <w:t>题为</w:t>
      </w:r>
      <w:r>
        <w:rPr>
          <w:rFonts w:eastAsiaTheme="minorEastAsia" w:hint="eastAsia"/>
          <w:sz w:val="20"/>
          <w:szCs w:val="20"/>
          <w:lang w:eastAsia="zh-CN"/>
        </w:rPr>
        <w:t>“</w:t>
      </w:r>
      <w:r w:rsidRPr="005A3708">
        <w:rPr>
          <w:rFonts w:eastAsiaTheme="minorEastAsia"/>
          <w:sz w:val="20"/>
          <w:szCs w:val="20"/>
          <w:lang w:eastAsia="zh-CN"/>
        </w:rPr>
        <w:t>变革我们的世界：</w:t>
      </w:r>
      <w:r w:rsidRPr="005A3708">
        <w:rPr>
          <w:rFonts w:eastAsiaTheme="minorEastAsia"/>
          <w:sz w:val="20"/>
          <w:szCs w:val="20"/>
          <w:lang w:eastAsia="zh-CN"/>
        </w:rPr>
        <w:t xml:space="preserve">2030 </w:t>
      </w:r>
      <w:r w:rsidRPr="005A3708">
        <w:rPr>
          <w:rFonts w:eastAsiaTheme="minorEastAsia"/>
          <w:sz w:val="20"/>
          <w:szCs w:val="20"/>
          <w:lang w:eastAsia="zh-CN"/>
        </w:rPr>
        <w:t>年可持续发展议程</w:t>
      </w:r>
      <w:r>
        <w:rPr>
          <w:rFonts w:eastAsiaTheme="minorEastAsia" w:hint="eastAsia"/>
          <w:sz w:val="20"/>
          <w:szCs w:val="20"/>
          <w:lang w:eastAsia="zh-CN"/>
        </w:rPr>
        <w:t>”</w:t>
      </w:r>
      <w:r w:rsidRPr="005A3708">
        <w:rPr>
          <w:rFonts w:eastAsiaTheme="minorEastAsia"/>
          <w:sz w:val="20"/>
          <w:szCs w:val="20"/>
          <w:lang w:eastAsia="zh-CN"/>
        </w:rPr>
        <w:t>。</w:t>
      </w:r>
    </w:p>
  </w:footnote>
  <w:footnote w:id="292">
    <w:p w:rsidR="00594C0B" w:rsidRPr="005A3708" w:rsidRDefault="00594C0B" w:rsidP="001F1AAC">
      <w:pPr>
        <w:pStyle w:val="FootnoteText"/>
        <w:tabs>
          <w:tab w:val="left" w:pos="360"/>
        </w:tabs>
        <w:kinsoku w:val="0"/>
        <w:overflowPunct w:val="0"/>
        <w:autoSpaceDE w:val="0"/>
        <w:autoSpaceDN w:val="0"/>
        <w:spacing w:before="0"/>
        <w:ind w:firstLine="0"/>
        <w:rPr>
          <w:rFonts w:eastAsiaTheme="minorEastAsia"/>
          <w:kern w:val="18"/>
          <w:sz w:val="20"/>
          <w:szCs w:val="20"/>
        </w:rPr>
      </w:pPr>
      <w:r w:rsidRPr="001F1AAC">
        <w:rPr>
          <w:rStyle w:val="FootnoteReference"/>
          <w:sz w:val="24"/>
          <w:szCs w:val="18"/>
          <w:u w:val="none"/>
          <w:vertAlign w:val="superscript"/>
        </w:rPr>
        <w:footnoteRef/>
      </w:r>
      <w:r w:rsidRPr="005A3708">
        <w:rPr>
          <w:rFonts w:eastAsiaTheme="minorEastAsia" w:hint="eastAsia"/>
          <w:kern w:val="18"/>
          <w:sz w:val="20"/>
          <w:szCs w:val="20"/>
        </w:rPr>
        <w:tab/>
      </w:r>
      <w:r w:rsidRPr="005A3708">
        <w:rPr>
          <w:rFonts w:eastAsiaTheme="minorEastAsia"/>
          <w:kern w:val="18"/>
          <w:sz w:val="20"/>
          <w:szCs w:val="20"/>
        </w:rPr>
        <w:t>CBD/SBI/2/10/Add.1</w:t>
      </w:r>
      <w:r w:rsidRPr="005A3708">
        <w:rPr>
          <w:rFonts w:eastAsiaTheme="minorEastAsia"/>
          <w:kern w:val="18"/>
          <w:sz w:val="20"/>
          <w:szCs w:val="20"/>
        </w:rPr>
        <w:t>。</w:t>
      </w:r>
    </w:p>
  </w:footnote>
  <w:footnote w:id="293">
    <w:p w:rsidR="00594C0B" w:rsidRPr="005A3708" w:rsidRDefault="00594C0B" w:rsidP="001F1AAC">
      <w:pPr>
        <w:pStyle w:val="FootnoteText"/>
        <w:tabs>
          <w:tab w:val="left" w:pos="360"/>
        </w:tabs>
        <w:spacing w:before="0"/>
        <w:ind w:firstLine="0"/>
        <w:rPr>
          <w:rFonts w:eastAsiaTheme="minorEastAsia"/>
          <w:sz w:val="20"/>
          <w:szCs w:val="20"/>
        </w:rPr>
      </w:pPr>
      <w:r w:rsidRPr="001F1AAC">
        <w:rPr>
          <w:rStyle w:val="FootnoteReference"/>
          <w:sz w:val="24"/>
          <w:szCs w:val="18"/>
          <w:u w:val="none"/>
          <w:vertAlign w:val="superscript"/>
        </w:rPr>
        <w:footnoteRef/>
      </w:r>
      <w:r w:rsidRPr="005A3708">
        <w:rPr>
          <w:rFonts w:eastAsiaTheme="minorEastAsia" w:hint="eastAsia"/>
          <w:sz w:val="20"/>
          <w:szCs w:val="20"/>
        </w:rPr>
        <w:tab/>
      </w:r>
      <w:r w:rsidRPr="005A3708">
        <w:rPr>
          <w:rFonts w:eastAsiaTheme="minorEastAsia"/>
          <w:snapToGrid w:val="0"/>
          <w:color w:val="000000"/>
          <w:kern w:val="18"/>
          <w:sz w:val="20"/>
          <w:szCs w:val="20"/>
        </w:rPr>
        <w:t>CBD/SBI/2/INF/20</w:t>
      </w:r>
      <w:r w:rsidRPr="005A3708">
        <w:rPr>
          <w:rFonts w:eastAsiaTheme="minorEastAsia"/>
          <w:snapToGrid w:val="0"/>
          <w:color w:val="000000"/>
          <w:kern w:val="18"/>
          <w:sz w:val="20"/>
          <w:szCs w:val="20"/>
        </w:rPr>
        <w:t>。</w:t>
      </w:r>
    </w:p>
  </w:footnote>
  <w:footnote w:id="294">
    <w:p w:rsidR="00594C0B" w:rsidRPr="005A3708" w:rsidRDefault="00594C0B" w:rsidP="001F1AAC">
      <w:pPr>
        <w:pStyle w:val="FootnoteText"/>
        <w:tabs>
          <w:tab w:val="left" w:pos="360"/>
        </w:tabs>
        <w:spacing w:before="0"/>
        <w:ind w:firstLine="0"/>
        <w:rPr>
          <w:rFonts w:eastAsiaTheme="minorEastAsia"/>
          <w:sz w:val="20"/>
          <w:szCs w:val="20"/>
          <w:lang w:eastAsia="zh-CN"/>
        </w:rPr>
      </w:pPr>
      <w:r w:rsidRPr="001F1AAC">
        <w:rPr>
          <w:rStyle w:val="FootnoteReference"/>
          <w:sz w:val="24"/>
          <w:szCs w:val="18"/>
          <w:u w:val="none"/>
          <w:vertAlign w:val="superscript"/>
        </w:rPr>
        <w:footnoteRef/>
      </w:r>
      <w:bookmarkStart w:id="222" w:name="_Hlk519208617"/>
      <w:r w:rsidRPr="005A3708">
        <w:rPr>
          <w:rFonts w:eastAsiaTheme="minorEastAsia" w:hint="eastAsia"/>
          <w:sz w:val="20"/>
          <w:szCs w:val="20"/>
          <w:lang w:eastAsia="zh-CN"/>
        </w:rPr>
        <w:tab/>
      </w:r>
      <w:bookmarkEnd w:id="222"/>
      <w:r>
        <w:rPr>
          <w:rFonts w:eastAsiaTheme="minorEastAsia" w:hint="eastAsia"/>
          <w:sz w:val="20"/>
          <w:szCs w:val="20"/>
          <w:lang w:eastAsia="zh-CN"/>
        </w:rPr>
        <w:t>关于</w:t>
      </w:r>
      <w:r w:rsidRPr="006D753B">
        <w:rPr>
          <w:rFonts w:eastAsiaTheme="minorEastAsia" w:hint="eastAsia"/>
          <w:sz w:val="20"/>
          <w:szCs w:val="20"/>
          <w:lang w:eastAsia="zh-CN"/>
        </w:rPr>
        <w:t>促进</w:t>
      </w:r>
      <w:r>
        <w:rPr>
          <w:rFonts w:eastAsiaTheme="minorEastAsia" w:hint="eastAsia"/>
          <w:sz w:val="20"/>
          <w:szCs w:val="20"/>
          <w:lang w:eastAsia="zh-CN"/>
        </w:rPr>
        <w:t>保护</w:t>
      </w:r>
      <w:r w:rsidRPr="006D753B">
        <w:rPr>
          <w:rFonts w:eastAsiaTheme="minorEastAsia" w:hint="eastAsia"/>
          <w:sz w:val="20"/>
          <w:szCs w:val="20"/>
          <w:lang w:eastAsia="zh-CN"/>
        </w:rPr>
        <w:t>对</w:t>
      </w:r>
      <w:r w:rsidRPr="006D753B">
        <w:rPr>
          <w:rFonts w:eastAsiaTheme="minorEastAsia"/>
          <w:sz w:val="20"/>
          <w:szCs w:val="20"/>
          <w:lang w:eastAsia="zh-CN"/>
        </w:rPr>
        <w:t>移栖</w:t>
      </w:r>
      <w:r w:rsidRPr="006D753B">
        <w:rPr>
          <w:rFonts w:eastAsiaTheme="minorEastAsia" w:hint="eastAsia"/>
          <w:sz w:val="20"/>
          <w:szCs w:val="20"/>
          <w:lang w:eastAsia="zh-CN"/>
        </w:rPr>
        <w:t>物种</w:t>
      </w:r>
      <w:r>
        <w:rPr>
          <w:rFonts w:eastAsiaTheme="minorEastAsia" w:hint="eastAsia"/>
          <w:sz w:val="20"/>
          <w:szCs w:val="20"/>
          <w:lang w:eastAsia="zh-CN"/>
        </w:rPr>
        <w:t>至关重要的</w:t>
      </w:r>
      <w:r w:rsidRPr="006D753B">
        <w:rPr>
          <w:rFonts w:eastAsiaTheme="minorEastAsia" w:hint="eastAsia"/>
          <w:sz w:val="20"/>
          <w:szCs w:val="20"/>
          <w:lang w:eastAsia="zh-CN"/>
        </w:rPr>
        <w:t>潮间带和其他沿海栖息地</w:t>
      </w:r>
      <w:r>
        <w:rPr>
          <w:rFonts w:eastAsiaTheme="minorEastAsia" w:hint="eastAsia"/>
          <w:sz w:val="20"/>
          <w:szCs w:val="20"/>
          <w:lang w:eastAsia="zh-CN"/>
        </w:rPr>
        <w:t>的第</w:t>
      </w:r>
      <w:r w:rsidRPr="006D753B">
        <w:rPr>
          <w:rFonts w:eastAsiaTheme="minorEastAsia"/>
          <w:sz w:val="20"/>
          <w:szCs w:val="20"/>
          <w:lang w:eastAsia="zh-CN"/>
        </w:rPr>
        <w:t>12.25</w:t>
      </w:r>
      <w:r>
        <w:rPr>
          <w:rFonts w:eastAsiaTheme="minorEastAsia" w:hint="eastAsia"/>
          <w:sz w:val="20"/>
          <w:szCs w:val="20"/>
          <w:lang w:eastAsia="zh-CN"/>
        </w:rPr>
        <w:t>号决议</w:t>
      </w:r>
      <w:r w:rsidRPr="005A3708">
        <w:rPr>
          <w:rFonts w:eastAsiaTheme="minorEastAsia"/>
          <w:sz w:val="20"/>
          <w:szCs w:val="20"/>
          <w:lang w:eastAsia="zh-CN"/>
        </w:rPr>
        <w:t>。</w:t>
      </w:r>
    </w:p>
  </w:footnote>
  <w:footnote w:id="295">
    <w:p w:rsidR="00594C0B" w:rsidRDefault="00594C0B" w:rsidP="001F1AAC">
      <w:pPr>
        <w:pStyle w:val="FootnoteText"/>
        <w:spacing w:before="0"/>
        <w:ind w:firstLine="0"/>
        <w:rPr>
          <w:lang w:eastAsia="zh-CN"/>
        </w:rPr>
      </w:pPr>
      <w:r w:rsidRPr="001F1AAC">
        <w:rPr>
          <w:rStyle w:val="FootnoteReference"/>
          <w:sz w:val="24"/>
          <w:szCs w:val="18"/>
          <w:u w:val="none"/>
          <w:vertAlign w:val="superscript"/>
        </w:rPr>
        <w:footnoteRef/>
      </w:r>
      <w:r w:rsidRPr="001F1AAC">
        <w:rPr>
          <w:rStyle w:val="FootnoteReference"/>
          <w:sz w:val="24"/>
          <w:szCs w:val="18"/>
          <w:u w:val="none"/>
          <w:vertAlign w:val="superscript"/>
          <w:lang w:eastAsia="zh-CN"/>
        </w:rPr>
        <w:t xml:space="preserve"> </w:t>
      </w:r>
      <w:r w:rsidRPr="001F1AAC">
        <w:rPr>
          <w:rStyle w:val="FootnoteReference"/>
          <w:sz w:val="24"/>
          <w:u w:val="none"/>
          <w:vertAlign w:val="superscript"/>
          <w:lang w:eastAsia="zh-CN"/>
        </w:rPr>
        <w:t xml:space="preserve"> </w:t>
      </w:r>
      <w:r>
        <w:rPr>
          <w:kern w:val="18"/>
          <w:szCs w:val="18"/>
          <w:lang w:eastAsia="zh-CN"/>
        </w:rPr>
        <w:t xml:space="preserve"> </w:t>
      </w:r>
      <w:r w:rsidRPr="0006326C">
        <w:rPr>
          <w:rFonts w:hint="eastAsia"/>
          <w:kern w:val="18"/>
          <w:sz w:val="20"/>
          <w:szCs w:val="20"/>
          <w:lang w:eastAsia="zh-CN"/>
        </w:rPr>
        <w:t>关于促进潮间带湿地和生态相关栖息地的保护和合理利用的第</w:t>
      </w:r>
      <w:r w:rsidRPr="0006326C">
        <w:rPr>
          <w:kern w:val="18"/>
          <w:sz w:val="20"/>
          <w:szCs w:val="20"/>
          <w:lang w:eastAsia="zh-CN"/>
        </w:rPr>
        <w:t>XIII.20</w:t>
      </w:r>
      <w:r w:rsidRPr="0006326C">
        <w:rPr>
          <w:rFonts w:hint="eastAsia"/>
          <w:kern w:val="18"/>
          <w:sz w:val="20"/>
          <w:szCs w:val="20"/>
          <w:lang w:eastAsia="zh-CN"/>
        </w:rPr>
        <w:t>号决议。</w:t>
      </w:r>
    </w:p>
  </w:footnote>
  <w:footnote w:id="296">
    <w:p w:rsidR="00594C0B" w:rsidRPr="005A3708" w:rsidRDefault="00594C0B" w:rsidP="001F1AAC">
      <w:pPr>
        <w:pStyle w:val="FootnoteText"/>
        <w:tabs>
          <w:tab w:val="left" w:pos="360"/>
        </w:tabs>
        <w:kinsoku w:val="0"/>
        <w:overflowPunct w:val="0"/>
        <w:autoSpaceDE w:val="0"/>
        <w:autoSpaceDN w:val="0"/>
        <w:spacing w:before="0"/>
        <w:ind w:firstLine="0"/>
        <w:rPr>
          <w:rFonts w:eastAsiaTheme="minorEastAsia"/>
          <w:kern w:val="18"/>
          <w:sz w:val="20"/>
          <w:szCs w:val="20"/>
          <w:lang w:eastAsia="zh-CN"/>
        </w:rPr>
      </w:pPr>
      <w:r w:rsidRPr="001F1AAC">
        <w:rPr>
          <w:rStyle w:val="FootnoteReference"/>
          <w:sz w:val="24"/>
          <w:szCs w:val="18"/>
          <w:u w:val="none"/>
          <w:vertAlign w:val="superscript"/>
        </w:rPr>
        <w:footnoteRef/>
      </w:r>
      <w:r w:rsidRPr="005A3708">
        <w:rPr>
          <w:rFonts w:eastAsiaTheme="minorEastAsia" w:hint="eastAsia"/>
          <w:kern w:val="18"/>
          <w:sz w:val="20"/>
          <w:szCs w:val="20"/>
          <w:lang w:eastAsia="zh-CN"/>
        </w:rPr>
        <w:tab/>
      </w:r>
      <w:r w:rsidRPr="005A3708">
        <w:rPr>
          <w:rFonts w:eastAsiaTheme="minorEastAsia"/>
          <w:sz w:val="20"/>
          <w:szCs w:val="20"/>
          <w:lang w:eastAsia="zh-CN"/>
        </w:rPr>
        <w:t>联合国，《条约汇编》，登记号</w:t>
      </w:r>
      <w:r w:rsidRPr="005A3708">
        <w:rPr>
          <w:rFonts w:eastAsiaTheme="minorEastAsia"/>
          <w:sz w:val="20"/>
          <w:szCs w:val="20"/>
          <w:lang w:eastAsia="zh-CN"/>
        </w:rPr>
        <w:t>I-54113</w:t>
      </w:r>
      <w:r w:rsidRPr="005A3708">
        <w:rPr>
          <w:rFonts w:eastAsiaTheme="minorEastAsia"/>
          <w:kern w:val="18"/>
          <w:sz w:val="20"/>
          <w:szCs w:val="20"/>
          <w:lang w:eastAsia="zh-CN"/>
        </w:rPr>
        <w:t>。</w:t>
      </w:r>
    </w:p>
  </w:footnote>
  <w:footnote w:id="297">
    <w:p w:rsidR="00594C0B" w:rsidRPr="005A3708" w:rsidRDefault="00594C0B" w:rsidP="001F1AAC">
      <w:pPr>
        <w:pStyle w:val="FootnoteText"/>
        <w:tabs>
          <w:tab w:val="left" w:pos="360"/>
        </w:tabs>
        <w:kinsoku w:val="0"/>
        <w:overflowPunct w:val="0"/>
        <w:autoSpaceDE w:val="0"/>
        <w:autoSpaceDN w:val="0"/>
        <w:spacing w:before="0"/>
        <w:ind w:firstLine="0"/>
        <w:rPr>
          <w:rFonts w:eastAsiaTheme="minorEastAsia"/>
          <w:color w:val="212121"/>
          <w:sz w:val="20"/>
          <w:szCs w:val="20"/>
          <w:shd w:val="clear" w:color="auto" w:fill="FFFFFF"/>
          <w:lang w:eastAsia="zh-CN"/>
        </w:rPr>
      </w:pPr>
      <w:r w:rsidRPr="001F1AAC">
        <w:rPr>
          <w:rStyle w:val="FootnoteReference"/>
          <w:sz w:val="24"/>
          <w:szCs w:val="18"/>
          <w:u w:val="none"/>
          <w:vertAlign w:val="superscript"/>
        </w:rPr>
        <w:footnoteRef/>
      </w:r>
      <w:r w:rsidRPr="005A3708">
        <w:rPr>
          <w:rFonts w:eastAsiaTheme="minorEastAsia" w:hint="eastAsia"/>
          <w:spacing w:val="-4"/>
          <w:kern w:val="18"/>
          <w:sz w:val="20"/>
          <w:szCs w:val="20"/>
          <w:lang w:eastAsia="zh-CN"/>
        </w:rPr>
        <w:tab/>
      </w:r>
      <w:r w:rsidRPr="005A3708">
        <w:rPr>
          <w:rFonts w:eastAsiaTheme="minorEastAsia"/>
          <w:color w:val="212121"/>
          <w:sz w:val="20"/>
          <w:szCs w:val="20"/>
          <w:shd w:val="clear" w:color="auto" w:fill="FFFFFF"/>
          <w:lang w:eastAsia="zh-CN"/>
        </w:rPr>
        <w:t>见经济及社会理事会</w:t>
      </w:r>
      <w:r w:rsidRPr="005A3708">
        <w:rPr>
          <w:rFonts w:eastAsiaTheme="minorEastAsia"/>
          <w:color w:val="212121"/>
          <w:sz w:val="20"/>
          <w:szCs w:val="20"/>
          <w:shd w:val="clear" w:color="auto" w:fill="FFFFFF"/>
          <w:lang w:eastAsia="zh-CN"/>
        </w:rPr>
        <w:t>2017</w:t>
      </w:r>
      <w:r w:rsidRPr="005A3708">
        <w:rPr>
          <w:rFonts w:eastAsiaTheme="minorEastAsia"/>
          <w:color w:val="212121"/>
          <w:sz w:val="20"/>
          <w:szCs w:val="20"/>
          <w:shd w:val="clear" w:color="auto" w:fill="FFFFFF"/>
          <w:lang w:eastAsia="zh-CN"/>
        </w:rPr>
        <w:t>年</w:t>
      </w:r>
      <w:r w:rsidRPr="005A3708">
        <w:rPr>
          <w:rFonts w:eastAsiaTheme="minorEastAsia"/>
          <w:color w:val="212121"/>
          <w:sz w:val="20"/>
          <w:szCs w:val="20"/>
          <w:shd w:val="clear" w:color="auto" w:fill="FFFFFF"/>
          <w:lang w:eastAsia="zh-CN"/>
        </w:rPr>
        <w:t>4</w:t>
      </w:r>
      <w:r w:rsidRPr="005A3708">
        <w:rPr>
          <w:rFonts w:eastAsiaTheme="minorEastAsia"/>
          <w:color w:val="212121"/>
          <w:sz w:val="20"/>
          <w:szCs w:val="20"/>
          <w:shd w:val="clear" w:color="auto" w:fill="FFFFFF"/>
          <w:lang w:eastAsia="zh-CN"/>
        </w:rPr>
        <w:t>月</w:t>
      </w:r>
      <w:r w:rsidRPr="005A3708">
        <w:rPr>
          <w:rFonts w:eastAsiaTheme="minorEastAsia"/>
          <w:color w:val="212121"/>
          <w:sz w:val="20"/>
          <w:szCs w:val="20"/>
          <w:shd w:val="clear" w:color="auto" w:fill="FFFFFF"/>
          <w:lang w:eastAsia="zh-CN"/>
        </w:rPr>
        <w:t>20</w:t>
      </w:r>
      <w:r w:rsidRPr="005A3708">
        <w:rPr>
          <w:rFonts w:eastAsiaTheme="minorEastAsia"/>
          <w:color w:val="212121"/>
          <w:sz w:val="20"/>
          <w:szCs w:val="20"/>
          <w:shd w:val="clear" w:color="auto" w:fill="FFFFFF"/>
          <w:lang w:eastAsia="zh-CN"/>
        </w:rPr>
        <w:t>日</w:t>
      </w:r>
      <w:r w:rsidRPr="002336C9">
        <w:rPr>
          <w:rFonts w:eastAsiaTheme="minorEastAsia"/>
          <w:sz w:val="20"/>
          <w:szCs w:val="20"/>
          <w:shd w:val="clear" w:color="auto" w:fill="FFFFFF"/>
          <w:lang w:eastAsia="zh-CN"/>
        </w:rPr>
        <w:t>第</w:t>
      </w:r>
      <w:hyperlink r:id="rId127" w:history="1">
        <w:r w:rsidRPr="002336C9">
          <w:rPr>
            <w:rStyle w:val="Hyperlink"/>
            <w:rFonts w:eastAsiaTheme="minorEastAsia"/>
            <w:sz w:val="20"/>
            <w:szCs w:val="20"/>
            <w:shd w:val="clear" w:color="auto" w:fill="FFFFFF"/>
            <w:lang w:eastAsia="zh-CN"/>
          </w:rPr>
          <w:t>2017/4</w:t>
        </w:r>
      </w:hyperlink>
      <w:r w:rsidRPr="002336C9">
        <w:rPr>
          <w:rFonts w:eastAsiaTheme="minorEastAsia"/>
          <w:sz w:val="20"/>
          <w:szCs w:val="20"/>
          <w:shd w:val="clear" w:color="auto" w:fill="FFFFFF"/>
          <w:lang w:eastAsia="zh-CN"/>
        </w:rPr>
        <w:t>号决议</w:t>
      </w:r>
      <w:r w:rsidRPr="005A3708">
        <w:rPr>
          <w:rFonts w:eastAsiaTheme="minorEastAsia"/>
          <w:color w:val="212121"/>
          <w:sz w:val="20"/>
          <w:szCs w:val="20"/>
          <w:shd w:val="clear" w:color="auto" w:fill="FFFFFF"/>
          <w:lang w:eastAsia="zh-CN"/>
        </w:rPr>
        <w:t>（另见</w:t>
      </w:r>
      <w:r>
        <w:rPr>
          <w:rFonts w:eastAsiaTheme="minorEastAsia" w:hint="eastAsia"/>
          <w:color w:val="212121"/>
          <w:sz w:val="20"/>
          <w:szCs w:val="20"/>
          <w:shd w:val="clear" w:color="auto" w:fill="FFFFFF"/>
          <w:lang w:eastAsia="zh-CN"/>
        </w:rPr>
        <w:t>联大</w:t>
      </w:r>
      <w:r w:rsidRPr="005A3708">
        <w:rPr>
          <w:rFonts w:eastAsiaTheme="minorEastAsia"/>
          <w:color w:val="212121"/>
          <w:sz w:val="20"/>
          <w:szCs w:val="20"/>
          <w:shd w:val="clear" w:color="auto" w:fill="FFFFFF"/>
          <w:lang w:eastAsia="zh-CN"/>
        </w:rPr>
        <w:t>2017</w:t>
      </w:r>
      <w:r w:rsidRPr="005A3708">
        <w:rPr>
          <w:rFonts w:eastAsiaTheme="minorEastAsia"/>
          <w:color w:val="212121"/>
          <w:sz w:val="20"/>
          <w:szCs w:val="20"/>
          <w:shd w:val="clear" w:color="auto" w:fill="FFFFFF"/>
          <w:lang w:eastAsia="zh-CN"/>
        </w:rPr>
        <w:t>年</w:t>
      </w:r>
      <w:r w:rsidRPr="005A3708">
        <w:rPr>
          <w:rFonts w:eastAsiaTheme="minorEastAsia"/>
          <w:color w:val="212121"/>
          <w:sz w:val="20"/>
          <w:szCs w:val="20"/>
          <w:shd w:val="clear" w:color="auto" w:fill="FFFFFF"/>
          <w:lang w:eastAsia="zh-CN"/>
        </w:rPr>
        <w:t>4</w:t>
      </w:r>
      <w:r w:rsidRPr="005A3708">
        <w:rPr>
          <w:rFonts w:eastAsiaTheme="minorEastAsia"/>
          <w:color w:val="212121"/>
          <w:sz w:val="20"/>
          <w:szCs w:val="20"/>
          <w:shd w:val="clear" w:color="auto" w:fill="FFFFFF"/>
          <w:lang w:eastAsia="zh-CN"/>
        </w:rPr>
        <w:t>月</w:t>
      </w:r>
      <w:r w:rsidRPr="005A3708">
        <w:rPr>
          <w:rFonts w:eastAsiaTheme="minorEastAsia"/>
          <w:color w:val="212121"/>
          <w:sz w:val="20"/>
          <w:szCs w:val="20"/>
          <w:shd w:val="clear" w:color="auto" w:fill="FFFFFF"/>
          <w:lang w:eastAsia="zh-CN"/>
        </w:rPr>
        <w:t>27</w:t>
      </w:r>
      <w:r w:rsidRPr="005A3708">
        <w:rPr>
          <w:rFonts w:eastAsiaTheme="minorEastAsia"/>
          <w:color w:val="212121"/>
          <w:sz w:val="20"/>
          <w:szCs w:val="20"/>
          <w:shd w:val="clear" w:color="auto" w:fill="FFFFFF"/>
          <w:lang w:eastAsia="zh-CN"/>
        </w:rPr>
        <w:t>日</w:t>
      </w:r>
      <w:r w:rsidRPr="00700ED5">
        <w:rPr>
          <w:rFonts w:eastAsiaTheme="minorEastAsia"/>
          <w:sz w:val="20"/>
          <w:szCs w:val="20"/>
          <w:shd w:val="clear" w:color="auto" w:fill="FFFFFF"/>
          <w:lang w:eastAsia="zh-CN"/>
        </w:rPr>
        <w:t>第</w:t>
      </w:r>
      <w:hyperlink r:id="rId128" w:history="1">
        <w:r w:rsidRPr="00700ED5">
          <w:rPr>
            <w:rStyle w:val="Hyperlink"/>
            <w:rFonts w:eastAsiaTheme="minorEastAsia"/>
            <w:sz w:val="20"/>
            <w:szCs w:val="20"/>
            <w:shd w:val="clear" w:color="auto" w:fill="FFFFFF"/>
            <w:lang w:eastAsia="zh-CN"/>
          </w:rPr>
          <w:t>71/285</w:t>
        </w:r>
      </w:hyperlink>
      <w:r w:rsidRPr="00700ED5">
        <w:rPr>
          <w:rFonts w:eastAsiaTheme="minorEastAsia"/>
          <w:sz w:val="20"/>
          <w:szCs w:val="20"/>
          <w:shd w:val="clear" w:color="auto" w:fill="FFFFFF"/>
          <w:lang w:eastAsia="zh-CN"/>
        </w:rPr>
        <w:t>号决议</w:t>
      </w:r>
      <w:r w:rsidRPr="005A3708">
        <w:rPr>
          <w:rFonts w:eastAsiaTheme="minorEastAsia"/>
          <w:color w:val="212121"/>
          <w:sz w:val="20"/>
          <w:szCs w:val="20"/>
          <w:shd w:val="clear" w:color="auto" w:fill="FFFFFF"/>
          <w:lang w:eastAsia="zh-CN"/>
        </w:rPr>
        <w:t>）。</w:t>
      </w:r>
    </w:p>
  </w:footnote>
  <w:footnote w:id="298">
    <w:p w:rsidR="00594C0B" w:rsidRPr="005A3708" w:rsidRDefault="00594C0B" w:rsidP="001F1AAC">
      <w:pPr>
        <w:pStyle w:val="FootnoteText"/>
        <w:tabs>
          <w:tab w:val="left" w:pos="360"/>
        </w:tabs>
        <w:kinsoku w:val="0"/>
        <w:overflowPunct w:val="0"/>
        <w:autoSpaceDE w:val="0"/>
        <w:autoSpaceDN w:val="0"/>
        <w:spacing w:before="0"/>
        <w:ind w:firstLine="0"/>
        <w:rPr>
          <w:rFonts w:eastAsiaTheme="minorEastAsia"/>
          <w:color w:val="212121"/>
          <w:lang w:eastAsia="zh-CN"/>
        </w:rPr>
      </w:pPr>
      <w:r w:rsidRPr="001F1AAC">
        <w:rPr>
          <w:rStyle w:val="FootnoteReference"/>
          <w:rFonts w:eastAsia="SimSun"/>
          <w:sz w:val="24"/>
          <w:szCs w:val="18"/>
          <w:u w:val="none"/>
          <w:vertAlign w:val="superscript"/>
        </w:rPr>
        <w:footnoteRef/>
      </w:r>
      <w:r w:rsidRPr="005A3708">
        <w:rPr>
          <w:rFonts w:eastAsiaTheme="minorEastAsia" w:hint="eastAsia"/>
          <w:lang w:eastAsia="zh-CN"/>
        </w:rPr>
        <w:tab/>
      </w:r>
      <w:r>
        <w:rPr>
          <w:rFonts w:eastAsiaTheme="minorEastAsia" w:hint="eastAsia"/>
          <w:color w:val="212121"/>
          <w:shd w:val="clear" w:color="auto" w:fill="FFFFFF"/>
          <w:lang w:eastAsia="zh-CN"/>
        </w:rPr>
        <w:t>大会</w:t>
      </w:r>
      <w:r w:rsidRPr="005A3708">
        <w:rPr>
          <w:rFonts w:eastAsiaTheme="minorEastAsia"/>
          <w:color w:val="212121"/>
          <w:lang w:eastAsia="zh-CN"/>
        </w:rPr>
        <w:t>2014</w:t>
      </w:r>
      <w:r w:rsidRPr="005A3708">
        <w:rPr>
          <w:rFonts w:eastAsiaTheme="minorEastAsia"/>
          <w:color w:val="212121"/>
          <w:lang w:eastAsia="zh-CN"/>
        </w:rPr>
        <w:t>年</w:t>
      </w:r>
      <w:r w:rsidRPr="005A3708">
        <w:rPr>
          <w:rFonts w:eastAsiaTheme="minorEastAsia"/>
          <w:color w:val="212121"/>
          <w:lang w:eastAsia="zh-CN"/>
        </w:rPr>
        <w:t>11</w:t>
      </w:r>
      <w:r w:rsidRPr="005A3708">
        <w:rPr>
          <w:rFonts w:eastAsiaTheme="minorEastAsia"/>
          <w:color w:val="212121"/>
          <w:lang w:eastAsia="zh-CN"/>
        </w:rPr>
        <w:t>月</w:t>
      </w:r>
      <w:r w:rsidRPr="005A3708">
        <w:rPr>
          <w:rFonts w:eastAsiaTheme="minorEastAsia"/>
          <w:color w:val="212121"/>
          <w:lang w:eastAsia="zh-CN"/>
        </w:rPr>
        <w:t>14</w:t>
      </w:r>
      <w:r w:rsidRPr="005A3708">
        <w:rPr>
          <w:rFonts w:eastAsiaTheme="minorEastAsia"/>
          <w:color w:val="212121"/>
          <w:lang w:eastAsia="zh-CN"/>
        </w:rPr>
        <w:t>日第</w:t>
      </w:r>
      <w:r w:rsidRPr="005A3708">
        <w:rPr>
          <w:rFonts w:eastAsiaTheme="minorEastAsia"/>
          <w:color w:val="212121"/>
          <w:lang w:eastAsia="zh-CN"/>
        </w:rPr>
        <w:t>69/15</w:t>
      </w:r>
      <w:r w:rsidRPr="005A3708">
        <w:rPr>
          <w:rFonts w:eastAsiaTheme="minorEastAsia"/>
          <w:color w:val="212121"/>
          <w:lang w:eastAsia="zh-CN"/>
        </w:rPr>
        <w:t>号决议，附件。</w:t>
      </w:r>
    </w:p>
  </w:footnote>
  <w:footnote w:id="299">
    <w:p w:rsidR="00594C0B" w:rsidRPr="005A3708" w:rsidRDefault="00594C0B" w:rsidP="001F1AAC">
      <w:pPr>
        <w:pStyle w:val="FootnoteText"/>
        <w:tabs>
          <w:tab w:val="left" w:pos="360"/>
        </w:tabs>
        <w:spacing w:before="0"/>
        <w:ind w:firstLine="0"/>
        <w:rPr>
          <w:rFonts w:eastAsiaTheme="minorEastAsia"/>
          <w:sz w:val="20"/>
          <w:szCs w:val="20"/>
        </w:rPr>
      </w:pPr>
      <w:r w:rsidRPr="001F1AAC">
        <w:rPr>
          <w:rStyle w:val="FootnoteReference"/>
          <w:sz w:val="24"/>
          <w:szCs w:val="18"/>
          <w:u w:val="none"/>
          <w:vertAlign w:val="superscript"/>
        </w:rPr>
        <w:footnoteRef/>
      </w:r>
      <w:r w:rsidRPr="005A3708">
        <w:rPr>
          <w:rFonts w:eastAsiaTheme="minorEastAsia" w:hint="eastAsia"/>
          <w:sz w:val="20"/>
          <w:szCs w:val="20"/>
        </w:rPr>
        <w:tab/>
      </w:r>
      <w:r w:rsidRPr="005A3708">
        <w:rPr>
          <w:rFonts w:eastAsiaTheme="minorEastAsia"/>
          <w:sz w:val="20"/>
          <w:szCs w:val="20"/>
        </w:rPr>
        <w:t>有关决议和决定</w:t>
      </w:r>
      <w:r>
        <w:rPr>
          <w:rFonts w:eastAsiaTheme="minorEastAsia" w:hint="eastAsia"/>
          <w:sz w:val="20"/>
          <w:szCs w:val="20"/>
        </w:rPr>
        <w:t>将</w:t>
      </w:r>
      <w:r w:rsidRPr="005A3708">
        <w:rPr>
          <w:rFonts w:eastAsiaTheme="minorEastAsia"/>
          <w:sz w:val="20"/>
          <w:szCs w:val="20"/>
        </w:rPr>
        <w:t>载于</w:t>
      </w:r>
      <w:r w:rsidRPr="005A3708">
        <w:rPr>
          <w:rFonts w:eastAsiaTheme="minorEastAsia" w:hint="eastAsia"/>
          <w:sz w:val="20"/>
          <w:szCs w:val="20"/>
        </w:rPr>
        <w:t>：</w:t>
      </w:r>
      <w:hyperlink r:id="rId129" w:history="1">
        <w:r w:rsidRPr="005A3708">
          <w:rPr>
            <w:rStyle w:val="Hyperlink"/>
            <w:rFonts w:eastAsiaTheme="minorEastAsia"/>
            <w:snapToGrid w:val="0"/>
            <w:kern w:val="18"/>
            <w:sz w:val="20"/>
            <w:szCs w:val="20"/>
          </w:rPr>
          <w:t>http://apps.who.int/gb/e/e_wha71.html</w:t>
        </w:r>
      </w:hyperlink>
      <w:r w:rsidRPr="005A3708">
        <w:rPr>
          <w:rFonts w:hint="eastAsia"/>
          <w:color w:val="212121"/>
          <w:sz w:val="20"/>
          <w:szCs w:val="20"/>
          <w:shd w:val="clear" w:color="auto" w:fill="FFFFFF"/>
        </w:rPr>
        <w:t>。</w:t>
      </w:r>
    </w:p>
  </w:footnote>
  <w:footnote w:id="300">
    <w:p w:rsidR="00594C0B" w:rsidRPr="005A3708" w:rsidRDefault="00594C0B" w:rsidP="001F1AAC">
      <w:pPr>
        <w:pStyle w:val="FootnoteText"/>
        <w:tabs>
          <w:tab w:val="left" w:pos="360"/>
        </w:tabs>
        <w:spacing w:before="0"/>
        <w:ind w:firstLine="0"/>
        <w:rPr>
          <w:sz w:val="20"/>
          <w:szCs w:val="20"/>
          <w:lang w:eastAsia="zh-CN"/>
        </w:rPr>
      </w:pPr>
      <w:r w:rsidRPr="001F1AAC">
        <w:rPr>
          <w:rStyle w:val="FootnoteReference"/>
          <w:sz w:val="24"/>
          <w:szCs w:val="18"/>
          <w:u w:val="none"/>
          <w:vertAlign w:val="superscript"/>
        </w:rPr>
        <w:footnoteRef/>
      </w:r>
      <w:r w:rsidRPr="001F1AAC">
        <w:rPr>
          <w:rFonts w:eastAsiaTheme="minorEastAsia" w:hint="eastAsia"/>
          <w:sz w:val="20"/>
          <w:szCs w:val="20"/>
          <w:lang w:eastAsia="zh-CN"/>
        </w:rPr>
        <w:tab/>
      </w:r>
      <w:r w:rsidRPr="005A3708">
        <w:rPr>
          <w:rFonts w:eastAsiaTheme="minorEastAsia"/>
          <w:sz w:val="20"/>
          <w:szCs w:val="20"/>
          <w:lang w:eastAsia="zh-CN"/>
        </w:rPr>
        <w:t>第</w:t>
      </w:r>
      <w:r w:rsidRPr="005A3708">
        <w:rPr>
          <w:rFonts w:eastAsiaTheme="minorEastAsia"/>
          <w:sz w:val="20"/>
          <w:szCs w:val="20"/>
          <w:lang w:eastAsia="zh-CN"/>
        </w:rPr>
        <w:t>XIII/5</w:t>
      </w:r>
      <w:r w:rsidRPr="005A3708">
        <w:rPr>
          <w:rFonts w:eastAsiaTheme="minorEastAsia"/>
          <w:sz w:val="20"/>
          <w:szCs w:val="20"/>
          <w:lang w:eastAsia="zh-CN"/>
        </w:rPr>
        <w:t>号决定，附件。</w:t>
      </w:r>
    </w:p>
  </w:footnote>
  <w:footnote w:id="301">
    <w:p w:rsidR="00594C0B" w:rsidRDefault="00594C0B" w:rsidP="001F1AAC">
      <w:pPr>
        <w:pStyle w:val="FootnoteText"/>
        <w:tabs>
          <w:tab w:val="left" w:pos="360"/>
        </w:tabs>
        <w:kinsoku w:val="0"/>
        <w:overflowPunct w:val="0"/>
        <w:autoSpaceDE w:val="0"/>
        <w:autoSpaceDN w:val="0"/>
        <w:spacing w:before="0"/>
        <w:ind w:firstLine="0"/>
        <w:rPr>
          <w:szCs w:val="18"/>
          <w:lang w:eastAsia="zh-CN"/>
        </w:rPr>
      </w:pPr>
      <w:r w:rsidRPr="001F1AAC">
        <w:rPr>
          <w:rStyle w:val="FootnoteReference"/>
          <w:rFonts w:eastAsiaTheme="majorEastAsia"/>
          <w:sz w:val="24"/>
          <w:u w:val="none"/>
          <w:vertAlign w:val="superscript"/>
        </w:rPr>
        <w:footnoteRef/>
      </w:r>
      <w:r w:rsidRPr="001F1AAC">
        <w:rPr>
          <w:rFonts w:ascii="Roboto" w:hAnsi="Roboto" w:hint="eastAsia"/>
          <w:color w:val="202124"/>
          <w:sz w:val="20"/>
          <w:shd w:val="clear" w:color="auto" w:fill="FFFFFF"/>
          <w:vertAlign w:val="superscript"/>
          <w:lang w:eastAsia="zh-CN"/>
        </w:rPr>
        <w:t xml:space="preserve"> </w:t>
      </w:r>
      <w:r>
        <w:rPr>
          <w:rFonts w:ascii="Roboto" w:hAnsi="Roboto" w:hint="eastAsia"/>
          <w:color w:val="202124"/>
          <w:shd w:val="clear" w:color="auto" w:fill="FFFFFF"/>
          <w:lang w:eastAsia="zh-CN"/>
        </w:rPr>
        <w:tab/>
      </w:r>
      <w:r w:rsidRPr="003F42F7">
        <w:rPr>
          <w:color w:val="202124"/>
          <w:sz w:val="20"/>
          <w:szCs w:val="20"/>
          <w:shd w:val="clear" w:color="auto" w:fill="FFFFFF"/>
          <w:lang w:eastAsia="zh-CN"/>
        </w:rPr>
        <w:t>第</w:t>
      </w:r>
      <w:r w:rsidRPr="003F42F7">
        <w:rPr>
          <w:color w:val="202124"/>
          <w:sz w:val="20"/>
          <w:szCs w:val="20"/>
          <w:shd w:val="clear" w:color="auto" w:fill="FFFFFF"/>
          <w:lang w:eastAsia="zh-CN"/>
        </w:rPr>
        <w:t>XII/29</w:t>
      </w:r>
      <w:r w:rsidRPr="003F42F7">
        <w:rPr>
          <w:color w:val="202124"/>
          <w:sz w:val="20"/>
          <w:szCs w:val="20"/>
          <w:shd w:val="clear" w:color="auto" w:fill="FFFFFF"/>
          <w:lang w:eastAsia="zh-CN"/>
        </w:rPr>
        <w:t>号决定第</w:t>
      </w:r>
      <w:r w:rsidRPr="003F42F7">
        <w:rPr>
          <w:color w:val="202124"/>
          <w:sz w:val="20"/>
          <w:szCs w:val="20"/>
          <w:shd w:val="clear" w:color="auto" w:fill="FFFFFF"/>
          <w:lang w:eastAsia="zh-CN"/>
        </w:rPr>
        <w:t>9</w:t>
      </w:r>
      <w:r w:rsidRPr="003F42F7">
        <w:rPr>
          <w:color w:val="202124"/>
          <w:sz w:val="20"/>
          <w:szCs w:val="20"/>
          <w:shd w:val="clear" w:color="auto" w:fill="FFFFFF"/>
          <w:lang w:eastAsia="zh-CN"/>
        </w:rPr>
        <w:t>段和第</w:t>
      </w:r>
      <w:r w:rsidRPr="003F42F7">
        <w:rPr>
          <w:color w:val="202124"/>
          <w:sz w:val="20"/>
          <w:szCs w:val="20"/>
          <w:shd w:val="clear" w:color="auto" w:fill="FFFFFF"/>
          <w:lang w:eastAsia="zh-CN"/>
        </w:rPr>
        <w:t>BS-VII/5</w:t>
      </w:r>
      <w:r w:rsidRPr="003F42F7">
        <w:rPr>
          <w:color w:val="202124"/>
          <w:sz w:val="20"/>
          <w:szCs w:val="20"/>
          <w:shd w:val="clear" w:color="auto" w:fill="FFFFFF"/>
          <w:lang w:eastAsia="zh-CN"/>
        </w:rPr>
        <w:t>号决定第</w:t>
      </w:r>
      <w:r w:rsidRPr="003F42F7">
        <w:rPr>
          <w:color w:val="202124"/>
          <w:sz w:val="20"/>
          <w:szCs w:val="20"/>
          <w:shd w:val="clear" w:color="auto" w:fill="FFFFFF"/>
          <w:lang w:eastAsia="zh-CN"/>
        </w:rPr>
        <w:t>10</w:t>
      </w:r>
      <w:r w:rsidRPr="003F42F7">
        <w:rPr>
          <w:color w:val="202124"/>
          <w:sz w:val="20"/>
          <w:szCs w:val="20"/>
          <w:shd w:val="clear" w:color="auto" w:fill="FFFFFF"/>
          <w:lang w:eastAsia="zh-CN"/>
        </w:rPr>
        <w:t>段</w:t>
      </w:r>
      <w:r w:rsidRPr="005250EB">
        <w:rPr>
          <w:color w:val="202124"/>
          <w:sz w:val="20"/>
          <w:szCs w:val="20"/>
          <w:shd w:val="clear" w:color="auto" w:fill="FFFFFF"/>
          <w:lang w:eastAsia="zh-CN"/>
        </w:rPr>
        <w:t>。</w:t>
      </w:r>
    </w:p>
  </w:footnote>
  <w:footnote w:id="302">
    <w:p w:rsidR="00594C0B" w:rsidRDefault="00594C0B" w:rsidP="001F1AAC">
      <w:pPr>
        <w:pStyle w:val="FootnoteText"/>
        <w:spacing w:before="0"/>
        <w:ind w:firstLine="0"/>
        <w:rPr>
          <w:lang w:eastAsia="zh-CN"/>
        </w:rPr>
      </w:pPr>
      <w:r w:rsidRPr="001F1AAC">
        <w:rPr>
          <w:rStyle w:val="FootnoteReference"/>
          <w:sz w:val="24"/>
          <w:u w:val="none"/>
          <w:vertAlign w:val="superscript"/>
        </w:rPr>
        <w:footnoteRef/>
      </w:r>
      <w:r w:rsidRPr="001F1AAC">
        <w:rPr>
          <w:lang w:eastAsia="zh-CN"/>
        </w:rPr>
        <w:t xml:space="preserve">  </w:t>
      </w:r>
      <w:r>
        <w:rPr>
          <w:lang w:eastAsia="zh-CN"/>
        </w:rPr>
        <w:t xml:space="preserve">   </w:t>
      </w:r>
      <w:r>
        <w:rPr>
          <w:sz w:val="20"/>
          <w:lang w:val="en-US" w:eastAsia="zh-CN"/>
        </w:rPr>
        <w:t>CBD/SBI/2/16</w:t>
      </w:r>
      <w:r>
        <w:rPr>
          <w:rFonts w:hint="eastAsia"/>
          <w:sz w:val="20"/>
          <w:lang w:val="en-US" w:eastAsia="zh-CN"/>
        </w:rPr>
        <w:t>和</w:t>
      </w:r>
      <w:r w:rsidRPr="00471EA3">
        <w:rPr>
          <w:sz w:val="20"/>
          <w:lang w:val="en-US" w:eastAsia="zh-CN"/>
        </w:rPr>
        <w:t>Add.1</w:t>
      </w:r>
      <w:r>
        <w:rPr>
          <w:rFonts w:hint="eastAsia"/>
          <w:sz w:val="20"/>
          <w:lang w:val="en-US" w:eastAsia="zh-CN"/>
        </w:rPr>
        <w:t>。</w:t>
      </w:r>
    </w:p>
  </w:footnote>
  <w:footnote w:id="303">
    <w:p w:rsidR="00594C0B" w:rsidRDefault="00594C0B" w:rsidP="0044481C">
      <w:pPr>
        <w:pStyle w:val="FootnoteText"/>
        <w:tabs>
          <w:tab w:val="left" w:pos="360"/>
        </w:tabs>
        <w:kinsoku w:val="0"/>
        <w:overflowPunct w:val="0"/>
        <w:autoSpaceDE w:val="0"/>
        <w:autoSpaceDN w:val="0"/>
        <w:adjustRightInd w:val="0"/>
        <w:snapToGrid w:val="0"/>
        <w:spacing w:before="0"/>
        <w:ind w:firstLine="0"/>
        <w:jc w:val="left"/>
        <w:rPr>
          <w:lang w:eastAsia="zh-CN"/>
        </w:rPr>
      </w:pPr>
      <w:r w:rsidRPr="0044481C">
        <w:rPr>
          <w:rStyle w:val="FootnoteReference"/>
          <w:kern w:val="18"/>
          <w:sz w:val="24"/>
          <w:szCs w:val="20"/>
          <w:u w:val="none"/>
          <w:vertAlign w:val="superscript"/>
        </w:rPr>
        <w:footnoteRef/>
      </w:r>
      <w:r w:rsidRPr="0044481C">
        <w:rPr>
          <w:kern w:val="18"/>
          <w:sz w:val="24"/>
          <w:szCs w:val="20"/>
          <w:lang w:eastAsia="zh-CN"/>
        </w:rPr>
        <w:t xml:space="preserve"> </w:t>
      </w:r>
      <w:r>
        <w:rPr>
          <w:kern w:val="18"/>
          <w:sz w:val="24"/>
          <w:szCs w:val="20"/>
          <w:lang w:eastAsia="zh-CN"/>
        </w:rPr>
        <w:tab/>
      </w:r>
      <w:r w:rsidRPr="00215894">
        <w:rPr>
          <w:rFonts w:ascii="SimSun" w:eastAsia="Times New Roman"/>
          <w:sz w:val="20"/>
          <w:szCs w:val="20"/>
          <w:lang w:val="zh-CN" w:eastAsia="zh-CN"/>
        </w:rPr>
        <w:t>提名表以卡塔赫纳生物安全议定书的专家名册所需的表格为基准</w:t>
      </w:r>
      <w:r>
        <w:rPr>
          <w:rFonts w:ascii="SimSun" w:eastAsiaTheme="minorEastAsia" w:hint="eastAsia"/>
          <w:sz w:val="20"/>
          <w:szCs w:val="20"/>
          <w:lang w:val="zh-CN" w:eastAsia="zh-CN"/>
        </w:rPr>
        <w:t>（</w:t>
      </w:r>
      <w:hyperlink r:id="rId130" w:history="1">
        <w:r w:rsidRPr="00921D9D">
          <w:rPr>
            <w:rFonts w:ascii="SimSun" w:hAnsi="SimSun" w:cs="SimSun" w:hint="eastAsia"/>
            <w:sz w:val="20"/>
            <w:lang w:eastAsia="zh-CN"/>
          </w:rPr>
          <w:t>第</w:t>
        </w:r>
        <w:r w:rsidRPr="00215894">
          <w:rPr>
            <w:rStyle w:val="Hyperlink"/>
            <w:kern w:val="18"/>
            <w:sz w:val="20"/>
            <w:szCs w:val="20"/>
            <w:lang w:val="zh-CN" w:eastAsia="zh-CN"/>
          </w:rPr>
          <w:t>BS-I/4</w:t>
        </w:r>
        <w:r w:rsidRPr="00921D9D">
          <w:rPr>
            <w:rFonts w:hint="eastAsia"/>
            <w:sz w:val="20"/>
            <w:lang w:eastAsia="zh-CN"/>
          </w:rPr>
          <w:t>号决定</w:t>
        </w:r>
      </w:hyperlink>
      <w:r w:rsidRPr="00215894">
        <w:rPr>
          <w:rFonts w:ascii="SimSun" w:eastAsia="Times New Roman"/>
          <w:sz w:val="20"/>
          <w:szCs w:val="20"/>
          <w:lang w:val="zh-CN" w:eastAsia="zh-CN"/>
        </w:rPr>
        <w:t>，附件一，附录）。</w:t>
      </w:r>
    </w:p>
  </w:footnote>
  <w:footnote w:id="304">
    <w:p w:rsidR="00594C0B" w:rsidRPr="00B41940" w:rsidRDefault="00594C0B" w:rsidP="00B41940">
      <w:pPr>
        <w:pStyle w:val="FootnoteText"/>
        <w:tabs>
          <w:tab w:val="left" w:pos="360"/>
        </w:tabs>
        <w:spacing w:before="0"/>
        <w:ind w:firstLine="0"/>
        <w:rPr>
          <w:rFonts w:eastAsiaTheme="minorEastAsia"/>
          <w:sz w:val="20"/>
          <w:szCs w:val="20"/>
        </w:rPr>
      </w:pPr>
      <w:r w:rsidRPr="00B72FA3">
        <w:rPr>
          <w:rStyle w:val="FootnoteReference"/>
          <w:rFonts w:eastAsiaTheme="minorEastAsia"/>
          <w:sz w:val="24"/>
          <w:szCs w:val="20"/>
          <w:u w:val="none"/>
          <w:vertAlign w:val="superscript"/>
        </w:rPr>
        <w:footnoteRef/>
      </w:r>
      <w:r w:rsidRPr="00B72FA3">
        <w:rPr>
          <w:rStyle w:val="FootnoteReference"/>
          <w:rFonts w:eastAsiaTheme="minorEastAsia"/>
          <w:sz w:val="24"/>
          <w:szCs w:val="20"/>
          <w:u w:val="none"/>
          <w:vertAlign w:val="superscript"/>
        </w:rPr>
        <w:t xml:space="preserve">  </w:t>
      </w:r>
      <w:r w:rsidRPr="00B72FA3">
        <w:rPr>
          <w:rStyle w:val="FootnoteReference"/>
          <w:sz w:val="24"/>
          <w:u w:val="none"/>
          <w:vertAlign w:val="superscript"/>
        </w:rPr>
        <w:t xml:space="preserve"> </w:t>
      </w:r>
      <w:r w:rsidRPr="00B41940">
        <w:rPr>
          <w:rStyle w:val="Strong"/>
          <w:rFonts w:eastAsiaTheme="minorEastAsia"/>
          <w:b w:val="0"/>
          <w:kern w:val="18"/>
          <w:sz w:val="20"/>
          <w:szCs w:val="20"/>
        </w:rPr>
        <w:t>CBD/COP/14/9/Add.1</w:t>
      </w:r>
      <w:r w:rsidRPr="00B41940">
        <w:rPr>
          <w:rStyle w:val="Strong"/>
          <w:rFonts w:eastAsiaTheme="minorEastAsia"/>
          <w:b w:val="0"/>
          <w:kern w:val="18"/>
          <w:sz w:val="20"/>
          <w:szCs w:val="20"/>
        </w:rPr>
        <w:t>、</w:t>
      </w:r>
      <w:r w:rsidRPr="00B41940">
        <w:rPr>
          <w:rFonts w:eastAsiaTheme="minorEastAsia"/>
          <w:kern w:val="22"/>
          <w:sz w:val="20"/>
          <w:szCs w:val="20"/>
        </w:rPr>
        <w:t>CBD/COP/14/INF/15</w:t>
      </w:r>
      <w:r w:rsidRPr="00B41940">
        <w:rPr>
          <w:rFonts w:eastAsiaTheme="minorEastAsia"/>
          <w:kern w:val="22"/>
          <w:sz w:val="20"/>
          <w:szCs w:val="20"/>
        </w:rPr>
        <w:t>和</w:t>
      </w:r>
      <w:r w:rsidRPr="00B41940">
        <w:rPr>
          <w:rFonts w:eastAsiaTheme="minorEastAsia"/>
          <w:kern w:val="18"/>
          <w:sz w:val="20"/>
          <w:szCs w:val="20"/>
        </w:rPr>
        <w:t>CBD/COP/14/INF/21</w:t>
      </w:r>
      <w:r w:rsidRPr="00B41940">
        <w:rPr>
          <w:rFonts w:eastAsiaTheme="minorEastAsia"/>
          <w:kern w:val="18"/>
          <w:sz w:val="20"/>
          <w:szCs w:val="20"/>
        </w:rPr>
        <w:t>。</w:t>
      </w:r>
    </w:p>
  </w:footnote>
  <w:footnote w:id="305">
    <w:p w:rsidR="00594C0B" w:rsidRPr="00B41940" w:rsidRDefault="00594C0B" w:rsidP="00B41940">
      <w:pPr>
        <w:pStyle w:val="FootnoteText"/>
        <w:tabs>
          <w:tab w:val="left" w:pos="360"/>
        </w:tabs>
        <w:spacing w:before="0"/>
        <w:ind w:firstLine="0"/>
        <w:rPr>
          <w:rFonts w:eastAsiaTheme="minorEastAsia"/>
          <w:sz w:val="20"/>
          <w:szCs w:val="20"/>
          <w:lang w:val="en-US"/>
        </w:rPr>
      </w:pPr>
      <w:r w:rsidRPr="00B72FA3">
        <w:rPr>
          <w:rStyle w:val="FootnoteReference"/>
          <w:rFonts w:eastAsiaTheme="minorEastAsia"/>
          <w:sz w:val="24"/>
          <w:szCs w:val="20"/>
          <w:u w:val="none"/>
          <w:vertAlign w:val="superscript"/>
        </w:rPr>
        <w:footnoteRef/>
      </w:r>
      <w:r w:rsidRPr="00B72FA3">
        <w:rPr>
          <w:rStyle w:val="FootnoteReference"/>
          <w:sz w:val="24"/>
          <w:u w:val="none"/>
          <w:vertAlign w:val="superscript"/>
        </w:rPr>
        <w:t xml:space="preserve"> </w:t>
      </w:r>
      <w:r w:rsidRPr="00B41940">
        <w:rPr>
          <w:rFonts w:eastAsiaTheme="minorEastAsia"/>
          <w:sz w:val="20"/>
          <w:szCs w:val="20"/>
        </w:rPr>
        <w:tab/>
      </w:r>
      <w:hyperlink r:id="rId131" w:history="1">
        <w:r w:rsidRPr="00B41940">
          <w:rPr>
            <w:rStyle w:val="Hyperlink"/>
            <w:rFonts w:eastAsiaTheme="minorEastAsia"/>
            <w:sz w:val="20"/>
            <w:szCs w:val="20"/>
          </w:rPr>
          <w:t>https://www.cbd.int/cop/cop-14/annoucement/nature-action-agenda-egypt-to-china-en.pdf</w:t>
        </w:r>
      </w:hyperlink>
      <w:r w:rsidRPr="00B41940">
        <w:rPr>
          <w:rFonts w:eastAsiaTheme="minorEastAsia"/>
          <w:snapToGrid w:val="0"/>
          <w:kern w:val="18"/>
          <w:sz w:val="20"/>
          <w:szCs w:val="20"/>
        </w:rPr>
        <w:t>。</w:t>
      </w:r>
    </w:p>
  </w:footnote>
  <w:footnote w:id="306">
    <w:p w:rsidR="00594C0B" w:rsidRPr="00B41940" w:rsidRDefault="00594C0B" w:rsidP="00B41940">
      <w:pPr>
        <w:pStyle w:val="FootnoteText"/>
        <w:tabs>
          <w:tab w:val="left" w:pos="360"/>
        </w:tabs>
        <w:spacing w:before="0"/>
        <w:ind w:firstLine="0"/>
        <w:rPr>
          <w:rFonts w:eastAsiaTheme="minorEastAsia"/>
          <w:sz w:val="20"/>
          <w:szCs w:val="20"/>
          <w:lang w:eastAsia="zh-CN"/>
        </w:rPr>
      </w:pPr>
      <w:r w:rsidRPr="00B72FA3">
        <w:rPr>
          <w:rStyle w:val="FootnoteReference"/>
          <w:rFonts w:eastAsiaTheme="minorEastAsia"/>
          <w:sz w:val="24"/>
          <w:szCs w:val="20"/>
          <w:u w:val="none"/>
          <w:vertAlign w:val="superscript"/>
        </w:rPr>
        <w:footnoteRef/>
      </w:r>
      <w:r w:rsidRPr="00B72FA3">
        <w:rPr>
          <w:rStyle w:val="FootnoteReference"/>
          <w:sz w:val="24"/>
          <w:u w:val="none"/>
          <w:vertAlign w:val="superscript"/>
          <w:lang w:eastAsia="zh-CN"/>
        </w:rPr>
        <w:t xml:space="preserve">  </w:t>
      </w:r>
      <w:r w:rsidRPr="00B41940">
        <w:rPr>
          <w:rFonts w:eastAsiaTheme="minorEastAsia"/>
          <w:sz w:val="20"/>
          <w:szCs w:val="20"/>
          <w:lang w:eastAsia="zh-CN"/>
        </w:rPr>
        <w:tab/>
      </w:r>
      <w:r w:rsidRPr="00B41940">
        <w:rPr>
          <w:rFonts w:eastAsiaTheme="minorEastAsia"/>
          <w:sz w:val="20"/>
          <w:szCs w:val="20"/>
          <w:lang w:eastAsia="zh-CN"/>
        </w:rPr>
        <w:t>联大</w:t>
      </w:r>
      <w:r w:rsidRPr="00B41940">
        <w:rPr>
          <w:rFonts w:eastAsiaTheme="minorEastAsia"/>
          <w:snapToGrid w:val="0"/>
          <w:kern w:val="18"/>
          <w:sz w:val="20"/>
          <w:szCs w:val="20"/>
          <w:lang w:eastAsia="zh-CN"/>
        </w:rPr>
        <w:t>2015</w:t>
      </w:r>
      <w:r w:rsidRPr="00B41940">
        <w:rPr>
          <w:rFonts w:eastAsiaTheme="minorEastAsia"/>
          <w:snapToGrid w:val="0"/>
          <w:kern w:val="18"/>
          <w:sz w:val="20"/>
          <w:szCs w:val="20"/>
          <w:lang w:eastAsia="zh-CN"/>
        </w:rPr>
        <w:t>年</w:t>
      </w:r>
      <w:r w:rsidRPr="00B41940">
        <w:rPr>
          <w:rFonts w:eastAsiaTheme="minorEastAsia"/>
          <w:snapToGrid w:val="0"/>
          <w:kern w:val="18"/>
          <w:sz w:val="20"/>
          <w:szCs w:val="20"/>
          <w:lang w:eastAsia="zh-CN"/>
        </w:rPr>
        <w:t>9</w:t>
      </w:r>
      <w:r w:rsidRPr="00B41940">
        <w:rPr>
          <w:rFonts w:eastAsiaTheme="minorEastAsia"/>
          <w:snapToGrid w:val="0"/>
          <w:kern w:val="18"/>
          <w:sz w:val="20"/>
          <w:szCs w:val="20"/>
          <w:lang w:eastAsia="zh-CN"/>
        </w:rPr>
        <w:t>月</w:t>
      </w:r>
      <w:r w:rsidRPr="00B41940">
        <w:rPr>
          <w:rFonts w:eastAsiaTheme="minorEastAsia"/>
          <w:snapToGrid w:val="0"/>
          <w:kern w:val="18"/>
          <w:sz w:val="20"/>
          <w:szCs w:val="20"/>
          <w:lang w:eastAsia="zh-CN"/>
        </w:rPr>
        <w:t>25</w:t>
      </w:r>
      <w:r w:rsidRPr="00B41940">
        <w:rPr>
          <w:rFonts w:eastAsiaTheme="minorEastAsia"/>
          <w:snapToGrid w:val="0"/>
          <w:kern w:val="18"/>
          <w:sz w:val="20"/>
          <w:szCs w:val="20"/>
          <w:lang w:eastAsia="zh-CN"/>
        </w:rPr>
        <w:t>日第</w:t>
      </w:r>
      <w:r w:rsidRPr="00B41940">
        <w:rPr>
          <w:rFonts w:eastAsiaTheme="minorEastAsia"/>
          <w:snapToGrid w:val="0"/>
          <w:kern w:val="18"/>
          <w:sz w:val="20"/>
          <w:szCs w:val="20"/>
          <w:lang w:eastAsia="zh-CN"/>
        </w:rPr>
        <w:t>70/1</w:t>
      </w:r>
      <w:r w:rsidRPr="00B41940">
        <w:rPr>
          <w:rFonts w:eastAsiaTheme="minorEastAsia"/>
          <w:snapToGrid w:val="0"/>
          <w:kern w:val="18"/>
          <w:sz w:val="20"/>
          <w:szCs w:val="20"/>
          <w:lang w:eastAsia="zh-CN"/>
        </w:rPr>
        <w:t>号决议。</w:t>
      </w:r>
    </w:p>
  </w:footnote>
  <w:footnote w:id="307">
    <w:p w:rsidR="00594C0B" w:rsidRPr="00B41940" w:rsidRDefault="00594C0B" w:rsidP="00B41940">
      <w:pPr>
        <w:pStyle w:val="FootnoteText"/>
        <w:suppressLineNumbers/>
        <w:tabs>
          <w:tab w:val="left" w:pos="360"/>
        </w:tabs>
        <w:suppressAutoHyphens/>
        <w:kinsoku w:val="0"/>
        <w:overflowPunct w:val="0"/>
        <w:autoSpaceDE w:val="0"/>
        <w:autoSpaceDN w:val="0"/>
        <w:adjustRightInd w:val="0"/>
        <w:snapToGrid w:val="0"/>
        <w:spacing w:before="0"/>
        <w:ind w:firstLine="0"/>
        <w:jc w:val="left"/>
        <w:rPr>
          <w:rFonts w:eastAsiaTheme="minorEastAsia"/>
          <w:sz w:val="20"/>
          <w:szCs w:val="20"/>
          <w:lang w:eastAsia="zh-CN"/>
        </w:rPr>
      </w:pPr>
      <w:r w:rsidRPr="00B72FA3">
        <w:rPr>
          <w:rStyle w:val="FootnoteReference"/>
          <w:rFonts w:eastAsiaTheme="minorEastAsia"/>
          <w:sz w:val="24"/>
          <w:szCs w:val="20"/>
          <w:u w:val="none"/>
          <w:vertAlign w:val="superscript"/>
        </w:rPr>
        <w:footnoteRef/>
      </w:r>
      <w:r w:rsidRPr="00B72FA3">
        <w:rPr>
          <w:rStyle w:val="FootnoteReference"/>
          <w:sz w:val="24"/>
          <w:u w:val="none"/>
          <w:vertAlign w:val="superscript"/>
          <w:lang w:eastAsia="zh-CN"/>
        </w:rPr>
        <w:t xml:space="preserve"> </w:t>
      </w:r>
      <w:r w:rsidRPr="00B41940">
        <w:rPr>
          <w:rFonts w:eastAsiaTheme="minorEastAsia"/>
          <w:kern w:val="18"/>
          <w:sz w:val="20"/>
          <w:szCs w:val="20"/>
          <w:lang w:eastAsia="zh-CN"/>
        </w:rPr>
        <w:tab/>
      </w:r>
      <w:r w:rsidRPr="00B41940">
        <w:rPr>
          <w:rFonts w:eastAsiaTheme="minorEastAsia"/>
          <w:kern w:val="18"/>
          <w:sz w:val="20"/>
          <w:szCs w:val="20"/>
          <w:lang w:val="zh-CN" w:eastAsia="zh-CN"/>
        </w:rPr>
        <w:t>在本文件中使用了</w:t>
      </w:r>
      <w:r w:rsidRPr="00622344">
        <w:rPr>
          <w:rFonts w:asciiTheme="minorEastAsia" w:eastAsiaTheme="minorEastAsia" w:hAnsiTheme="minorEastAsia"/>
          <w:kern w:val="18"/>
          <w:sz w:val="20"/>
          <w:szCs w:val="20"/>
          <w:lang w:val="zh-CN" w:eastAsia="zh-CN"/>
        </w:rPr>
        <w:t>“框架”一词</w:t>
      </w:r>
      <w:r w:rsidRPr="00B41940">
        <w:rPr>
          <w:rFonts w:eastAsiaTheme="minorEastAsia"/>
          <w:kern w:val="18"/>
          <w:sz w:val="20"/>
          <w:szCs w:val="20"/>
          <w:lang w:val="zh-CN" w:eastAsia="zh-CN"/>
        </w:rPr>
        <w:t>，以便不预先判断生物多样性公约缔约方大会、作为卡塔赫纳生物安全议定书缔约方会议的缔约方大会和作为关于获取遗传资源和公正和公平分享其利用所产生惠益的名古屋议定书缔约方会议的缔约方大会在《</w:t>
      </w:r>
      <w:r w:rsidRPr="00B41940">
        <w:rPr>
          <w:rFonts w:eastAsiaTheme="minorEastAsia"/>
          <w:kern w:val="18"/>
          <w:sz w:val="20"/>
          <w:szCs w:val="20"/>
          <w:lang w:val="zh-CN" w:eastAsia="zh-CN"/>
        </w:rPr>
        <w:t>2011-2020</w:t>
      </w:r>
      <w:r w:rsidRPr="00B41940">
        <w:rPr>
          <w:rFonts w:eastAsiaTheme="minorEastAsia"/>
          <w:kern w:val="18"/>
          <w:sz w:val="20"/>
          <w:szCs w:val="20"/>
          <w:lang w:val="zh-CN" w:eastAsia="zh-CN"/>
        </w:rPr>
        <w:t>年生物多样性战略计划》后续行动的形式方面将作何种决定。</w:t>
      </w:r>
    </w:p>
  </w:footnote>
  <w:footnote w:id="308">
    <w:p w:rsidR="00594C0B" w:rsidRPr="00B41940" w:rsidRDefault="00594C0B" w:rsidP="00B41940">
      <w:pPr>
        <w:pStyle w:val="FootnoteText"/>
        <w:suppressLineNumbers/>
        <w:tabs>
          <w:tab w:val="left" w:pos="360"/>
        </w:tabs>
        <w:suppressAutoHyphens/>
        <w:spacing w:before="0"/>
        <w:ind w:firstLine="0"/>
        <w:jc w:val="left"/>
        <w:rPr>
          <w:rFonts w:eastAsiaTheme="minorEastAsia"/>
          <w:sz w:val="20"/>
          <w:szCs w:val="20"/>
          <w:lang w:eastAsia="zh-CN"/>
        </w:rPr>
      </w:pPr>
      <w:r w:rsidRPr="00B72FA3">
        <w:rPr>
          <w:rStyle w:val="FootnoteReference"/>
          <w:rFonts w:eastAsiaTheme="minorEastAsia"/>
          <w:sz w:val="24"/>
          <w:szCs w:val="20"/>
          <w:u w:val="none"/>
          <w:vertAlign w:val="superscript"/>
        </w:rPr>
        <w:footnoteRef/>
      </w:r>
      <w:r w:rsidRPr="00B72FA3">
        <w:rPr>
          <w:rStyle w:val="FootnoteReference"/>
          <w:rFonts w:eastAsiaTheme="minorEastAsia"/>
          <w:sz w:val="24"/>
          <w:szCs w:val="20"/>
          <w:u w:val="none"/>
          <w:vertAlign w:val="superscript"/>
          <w:lang w:eastAsia="zh-CN"/>
        </w:rPr>
        <w:t xml:space="preserve"> </w:t>
      </w:r>
      <w:r w:rsidRPr="00B41940">
        <w:rPr>
          <w:rFonts w:eastAsiaTheme="minorEastAsia"/>
          <w:sz w:val="20"/>
          <w:szCs w:val="20"/>
          <w:lang w:eastAsia="zh-CN"/>
        </w:rPr>
        <w:tab/>
      </w:r>
      <w:r w:rsidRPr="00B41940">
        <w:rPr>
          <w:rFonts w:eastAsiaTheme="minorEastAsia"/>
          <w:sz w:val="20"/>
          <w:szCs w:val="20"/>
          <w:lang w:eastAsia="zh-CN"/>
        </w:rPr>
        <w:t>联合国，《二十一世纪议程：地球问题首脑会议：联合国里约行动纲领》（联合国出版物，销售编号：</w:t>
      </w:r>
      <w:r w:rsidRPr="00B41940">
        <w:rPr>
          <w:rFonts w:eastAsiaTheme="minorEastAsia"/>
          <w:sz w:val="20"/>
          <w:szCs w:val="20"/>
          <w:lang w:eastAsia="zh-CN"/>
        </w:rPr>
        <w:t>E.93.I.11</w:t>
      </w:r>
      <w:r w:rsidRPr="00B41940">
        <w:rPr>
          <w:rFonts w:eastAsiaTheme="minorEastAsia"/>
          <w:sz w:val="20"/>
          <w:szCs w:val="20"/>
          <w:lang w:eastAsia="zh-CN"/>
        </w:rPr>
        <w:t>）</w:t>
      </w:r>
      <w:r w:rsidRPr="00B41940">
        <w:rPr>
          <w:rFonts w:eastAsiaTheme="minorEastAsia"/>
          <w:kern w:val="18"/>
          <w:sz w:val="20"/>
          <w:szCs w:val="20"/>
          <w:lang w:val="zh-CN" w:eastAsia="zh-CN"/>
        </w:rPr>
        <w:t>。</w:t>
      </w:r>
    </w:p>
  </w:footnote>
  <w:footnote w:id="309">
    <w:p w:rsidR="00594C0B" w:rsidRPr="00B41940" w:rsidRDefault="00594C0B" w:rsidP="00B41940">
      <w:pPr>
        <w:pStyle w:val="Para1"/>
        <w:tabs>
          <w:tab w:val="left" w:pos="360"/>
        </w:tabs>
        <w:adjustRightInd w:val="0"/>
        <w:spacing w:before="0" w:after="60"/>
        <w:ind w:firstLine="0"/>
        <w:rPr>
          <w:rFonts w:eastAsiaTheme="minorEastAsia"/>
          <w:szCs w:val="20"/>
          <w:lang w:eastAsia="zh-CN"/>
        </w:rPr>
      </w:pPr>
      <w:r w:rsidRPr="00B72FA3">
        <w:rPr>
          <w:rStyle w:val="FootnoteReference"/>
          <w:rFonts w:eastAsiaTheme="minorEastAsia"/>
          <w:sz w:val="24"/>
          <w:szCs w:val="20"/>
          <w:u w:val="none"/>
          <w:vertAlign w:val="superscript"/>
        </w:rPr>
        <w:footnoteRef/>
      </w:r>
      <w:r w:rsidRPr="00B72FA3">
        <w:rPr>
          <w:rStyle w:val="FootnoteReference"/>
          <w:rFonts w:eastAsiaTheme="minorEastAsia"/>
          <w:sz w:val="24"/>
          <w:szCs w:val="20"/>
          <w:u w:val="none"/>
          <w:vertAlign w:val="superscript"/>
          <w:lang w:eastAsia="zh-CN"/>
        </w:rPr>
        <w:t xml:space="preserve"> </w:t>
      </w:r>
      <w:r w:rsidRPr="00B41940">
        <w:rPr>
          <w:rFonts w:eastAsiaTheme="minorEastAsia"/>
          <w:szCs w:val="20"/>
          <w:lang w:eastAsia="zh-CN"/>
        </w:rPr>
        <w:tab/>
      </w:r>
      <w:r w:rsidRPr="00B41940">
        <w:rPr>
          <w:rFonts w:eastAsiaTheme="minorEastAsia"/>
          <w:kern w:val="22"/>
          <w:szCs w:val="20"/>
          <w:lang w:val="zh-CN" w:eastAsia="zh-CN"/>
        </w:rPr>
        <w:t>为制定</w:t>
      </w:r>
      <w:r w:rsidRPr="00B41940">
        <w:rPr>
          <w:rFonts w:eastAsiaTheme="minorEastAsia"/>
          <w:kern w:val="22"/>
          <w:szCs w:val="20"/>
          <w:lang w:val="zh-CN" w:eastAsia="zh-CN"/>
        </w:rPr>
        <w:t>2020</w:t>
      </w:r>
      <w:r w:rsidRPr="00B41940">
        <w:rPr>
          <w:rFonts w:eastAsiaTheme="minorEastAsia"/>
          <w:kern w:val="22"/>
          <w:szCs w:val="20"/>
          <w:lang w:val="zh-CN" w:eastAsia="zh-CN"/>
        </w:rPr>
        <w:t>年后生物多样性框架已经为缔约方、秘书处和其他相关组织编制了能促进性别平等进程的咨询意见草案，这项咨询意见草案载于</w:t>
      </w:r>
      <w:r w:rsidRPr="00B41940">
        <w:rPr>
          <w:rFonts w:eastAsiaTheme="minorEastAsia"/>
          <w:kern w:val="22"/>
          <w:szCs w:val="20"/>
          <w:lang w:val="zh-CN" w:eastAsia="zh-CN"/>
        </w:rPr>
        <w:t>CBD/COP/14/9/Add.1</w:t>
      </w:r>
      <w:r w:rsidRPr="00B41940">
        <w:rPr>
          <w:rFonts w:eastAsiaTheme="minorEastAsia"/>
          <w:kern w:val="22"/>
          <w:szCs w:val="20"/>
          <w:lang w:val="zh-CN" w:eastAsia="zh-CN"/>
        </w:rPr>
        <w:t>、</w:t>
      </w:r>
      <w:r w:rsidRPr="00B41940">
        <w:rPr>
          <w:rFonts w:eastAsiaTheme="minorEastAsia"/>
          <w:kern w:val="22"/>
          <w:szCs w:val="20"/>
          <w:lang w:val="zh-CN" w:eastAsia="zh-CN"/>
        </w:rPr>
        <w:t>CBD/COP/14/INF 15</w:t>
      </w:r>
      <w:r w:rsidRPr="00B41940">
        <w:rPr>
          <w:rFonts w:eastAsiaTheme="minorEastAsia"/>
          <w:kern w:val="22"/>
          <w:szCs w:val="20"/>
          <w:lang w:val="zh-CN" w:eastAsia="zh-CN"/>
        </w:rPr>
        <w:t>和</w:t>
      </w:r>
      <w:r w:rsidRPr="00B41940">
        <w:rPr>
          <w:rFonts w:eastAsiaTheme="minorEastAsia"/>
          <w:kern w:val="22"/>
          <w:szCs w:val="20"/>
          <w:lang w:val="zh-CN" w:eastAsia="zh-CN"/>
        </w:rPr>
        <w:t>CBD/COP/14/INF/21</w:t>
      </w:r>
      <w:r w:rsidRPr="00B41940">
        <w:rPr>
          <w:rFonts w:eastAsiaTheme="minorEastAsia"/>
          <w:kern w:val="22"/>
          <w:szCs w:val="20"/>
          <w:lang w:val="zh-CN" w:eastAsia="zh-CN"/>
        </w:rPr>
        <w:t>。</w:t>
      </w:r>
    </w:p>
  </w:footnote>
  <w:footnote w:id="310">
    <w:p w:rsidR="00594C0B" w:rsidRPr="00B41940" w:rsidRDefault="00594C0B" w:rsidP="00622344">
      <w:pPr>
        <w:pStyle w:val="FootnoteText"/>
        <w:suppressLineNumbers/>
        <w:tabs>
          <w:tab w:val="left" w:pos="360"/>
        </w:tabs>
        <w:suppressAutoHyphens/>
        <w:spacing w:before="0"/>
        <w:ind w:firstLine="0"/>
        <w:jc w:val="left"/>
        <w:rPr>
          <w:rFonts w:eastAsiaTheme="minorEastAsia"/>
          <w:kern w:val="18"/>
          <w:sz w:val="20"/>
          <w:szCs w:val="20"/>
          <w:lang w:eastAsia="zh-CN"/>
        </w:rPr>
      </w:pPr>
      <w:r w:rsidRPr="00B72FA3">
        <w:rPr>
          <w:rStyle w:val="FootnoteReference"/>
          <w:rFonts w:eastAsiaTheme="minorEastAsia"/>
          <w:sz w:val="24"/>
          <w:szCs w:val="20"/>
          <w:u w:val="none"/>
          <w:vertAlign w:val="superscript"/>
        </w:rPr>
        <w:footnoteRef/>
      </w:r>
      <w:r w:rsidRPr="00B72FA3">
        <w:rPr>
          <w:rStyle w:val="FootnoteReference"/>
          <w:rFonts w:eastAsiaTheme="minorEastAsia"/>
          <w:sz w:val="24"/>
          <w:szCs w:val="20"/>
          <w:u w:val="none"/>
          <w:vertAlign w:val="superscript"/>
          <w:lang w:eastAsia="zh-CN"/>
        </w:rPr>
        <w:t xml:space="preserve"> </w:t>
      </w:r>
      <w:r w:rsidRPr="00B72FA3">
        <w:rPr>
          <w:rStyle w:val="FootnoteReference"/>
          <w:sz w:val="24"/>
          <w:u w:val="none"/>
          <w:vertAlign w:val="superscript"/>
          <w:lang w:eastAsia="zh-CN"/>
        </w:rPr>
        <w:tab/>
      </w:r>
      <w:r w:rsidRPr="00B41940">
        <w:rPr>
          <w:rFonts w:eastAsiaTheme="minorEastAsia"/>
          <w:kern w:val="18"/>
          <w:sz w:val="20"/>
          <w:szCs w:val="20"/>
          <w:lang w:eastAsia="zh-CN"/>
        </w:rPr>
        <w:t>在联合国气候变化框架公约下通过（联合国，《条约汇编》，登记号：</w:t>
      </w:r>
      <w:r w:rsidRPr="00B41940">
        <w:rPr>
          <w:rFonts w:eastAsiaTheme="minorEastAsia"/>
          <w:snapToGrid w:val="0"/>
          <w:kern w:val="18"/>
          <w:sz w:val="20"/>
          <w:szCs w:val="20"/>
          <w:lang w:eastAsia="zh-CN"/>
        </w:rPr>
        <w:t xml:space="preserve"> I-54113</w:t>
      </w:r>
      <w:r w:rsidRPr="00B41940">
        <w:rPr>
          <w:rFonts w:eastAsiaTheme="minorEastAsia"/>
          <w:sz w:val="20"/>
          <w:szCs w:val="20"/>
          <w:lang w:eastAsia="zh-CN"/>
        </w:rPr>
        <w:t>）。</w:t>
      </w:r>
    </w:p>
  </w:footnote>
  <w:footnote w:id="311">
    <w:p w:rsidR="00594C0B" w:rsidRPr="00B41940" w:rsidRDefault="00594C0B" w:rsidP="00622344">
      <w:pPr>
        <w:pStyle w:val="FootnoteText"/>
        <w:tabs>
          <w:tab w:val="left" w:pos="360"/>
        </w:tabs>
        <w:spacing w:before="0"/>
        <w:ind w:firstLine="0"/>
        <w:rPr>
          <w:rFonts w:eastAsiaTheme="minorEastAsia"/>
          <w:sz w:val="20"/>
          <w:szCs w:val="20"/>
          <w:lang w:eastAsia="zh-CN"/>
        </w:rPr>
      </w:pPr>
      <w:r w:rsidRPr="00B72FA3">
        <w:rPr>
          <w:rStyle w:val="FootnoteReference"/>
          <w:rFonts w:eastAsiaTheme="minorEastAsia"/>
          <w:sz w:val="24"/>
          <w:szCs w:val="20"/>
          <w:u w:val="none"/>
          <w:vertAlign w:val="superscript"/>
        </w:rPr>
        <w:footnoteRef/>
      </w:r>
      <w:r w:rsidRPr="00B72FA3">
        <w:rPr>
          <w:rFonts w:eastAsiaTheme="minorEastAsia"/>
          <w:sz w:val="24"/>
          <w:szCs w:val="20"/>
          <w:lang w:eastAsia="zh-CN"/>
        </w:rPr>
        <w:t xml:space="preserve"> </w:t>
      </w:r>
      <w:r w:rsidRPr="00B41940">
        <w:rPr>
          <w:rFonts w:eastAsiaTheme="minorEastAsia"/>
          <w:sz w:val="20"/>
          <w:szCs w:val="20"/>
          <w:lang w:eastAsia="zh-CN"/>
        </w:rPr>
        <w:tab/>
      </w:r>
      <w:r w:rsidRPr="00B72FA3">
        <w:rPr>
          <w:rStyle w:val="FootnoteReference"/>
          <w:rFonts w:eastAsiaTheme="minorEastAsia"/>
          <w:sz w:val="20"/>
          <w:szCs w:val="20"/>
          <w:u w:val="none"/>
          <w:lang w:eastAsia="zh-CN"/>
        </w:rPr>
        <w:t>这些协定是：</w:t>
      </w:r>
      <w:r w:rsidRPr="00B72FA3">
        <w:rPr>
          <w:rStyle w:val="FootnoteReference"/>
          <w:rFonts w:eastAsiaTheme="minorEastAsia"/>
          <w:sz w:val="20"/>
          <w:szCs w:val="20"/>
          <w:u w:val="none"/>
          <w:lang w:eastAsia="zh-CN"/>
        </w:rPr>
        <w:t>(a)</w:t>
      </w:r>
      <w:r w:rsidRPr="00B72FA3">
        <w:rPr>
          <w:rFonts w:eastAsiaTheme="minorEastAsia"/>
          <w:sz w:val="20"/>
          <w:szCs w:val="20"/>
          <w:lang w:eastAsia="zh-CN"/>
        </w:rPr>
        <w:t xml:space="preserve">  </w:t>
      </w:r>
      <w:r w:rsidRPr="00B72FA3">
        <w:rPr>
          <w:rStyle w:val="FootnoteReference"/>
          <w:rFonts w:eastAsiaTheme="minorEastAsia"/>
          <w:sz w:val="20"/>
          <w:szCs w:val="20"/>
          <w:u w:val="none"/>
          <w:lang w:eastAsia="zh-CN"/>
        </w:rPr>
        <w:t>联合国减少灾害风险办公室通过的《</w:t>
      </w:r>
      <w:r w:rsidRPr="00B72FA3">
        <w:rPr>
          <w:rStyle w:val="FootnoteReference"/>
          <w:rFonts w:eastAsiaTheme="minorEastAsia"/>
          <w:sz w:val="20"/>
          <w:szCs w:val="20"/>
          <w:u w:val="none"/>
          <w:lang w:eastAsia="zh-CN"/>
        </w:rPr>
        <w:t>2015-2030</w:t>
      </w:r>
      <w:r w:rsidRPr="00B72FA3">
        <w:rPr>
          <w:rStyle w:val="FootnoteReference"/>
          <w:rFonts w:eastAsiaTheme="minorEastAsia"/>
          <w:sz w:val="20"/>
          <w:szCs w:val="20"/>
          <w:u w:val="none"/>
          <w:lang w:eastAsia="zh-CN"/>
        </w:rPr>
        <w:t>年仙台减少灾害风险框架》、</w:t>
      </w:r>
      <w:r w:rsidRPr="00B72FA3">
        <w:rPr>
          <w:rStyle w:val="FootnoteReference"/>
          <w:rFonts w:eastAsiaTheme="minorEastAsia"/>
          <w:sz w:val="20"/>
          <w:szCs w:val="20"/>
          <w:u w:val="none"/>
          <w:lang w:eastAsia="zh-CN"/>
        </w:rPr>
        <w:t>(b)</w:t>
      </w:r>
      <w:r w:rsidRPr="00B72FA3">
        <w:rPr>
          <w:rStyle w:val="FootnoteReference"/>
          <w:rFonts w:eastAsiaTheme="minorEastAsia"/>
          <w:sz w:val="20"/>
          <w:szCs w:val="20"/>
          <w:u w:val="none"/>
          <w:lang w:eastAsia="zh-CN"/>
        </w:rPr>
        <w:t>《联合国防治荒漠化公约》通过的《土地退化零增长目标》、</w:t>
      </w:r>
      <w:r w:rsidRPr="00B72FA3">
        <w:rPr>
          <w:rStyle w:val="FootnoteReference"/>
          <w:rFonts w:eastAsiaTheme="minorEastAsia"/>
          <w:sz w:val="20"/>
          <w:szCs w:val="20"/>
          <w:u w:val="none"/>
          <w:lang w:eastAsia="zh-CN"/>
        </w:rPr>
        <w:t>(c)</w:t>
      </w:r>
      <w:r w:rsidRPr="00B72FA3">
        <w:rPr>
          <w:rFonts w:eastAsiaTheme="minorEastAsia"/>
          <w:sz w:val="20"/>
          <w:szCs w:val="20"/>
          <w:lang w:eastAsia="zh-CN"/>
        </w:rPr>
        <w:t xml:space="preserve"> </w:t>
      </w:r>
      <w:r w:rsidRPr="00B72FA3">
        <w:rPr>
          <w:rStyle w:val="FootnoteReference"/>
          <w:rFonts w:eastAsiaTheme="minorEastAsia"/>
          <w:sz w:val="20"/>
          <w:szCs w:val="20"/>
          <w:u w:val="none"/>
          <w:lang w:eastAsia="zh-CN"/>
        </w:rPr>
        <w:t>联合国人类住区规划署通过的《新城市议程》、</w:t>
      </w:r>
      <w:r w:rsidRPr="00B72FA3">
        <w:rPr>
          <w:rStyle w:val="FootnoteReference"/>
          <w:rFonts w:eastAsiaTheme="minorEastAsia"/>
          <w:sz w:val="20"/>
          <w:szCs w:val="20"/>
          <w:u w:val="none"/>
          <w:lang w:eastAsia="zh-CN"/>
        </w:rPr>
        <w:t>(d)</w:t>
      </w:r>
      <w:r w:rsidRPr="00B72FA3">
        <w:rPr>
          <w:rFonts w:eastAsiaTheme="minorEastAsia"/>
          <w:sz w:val="20"/>
          <w:szCs w:val="20"/>
          <w:lang w:eastAsia="zh-CN"/>
        </w:rPr>
        <w:t xml:space="preserve"> </w:t>
      </w:r>
      <w:r w:rsidRPr="00B72FA3">
        <w:rPr>
          <w:rStyle w:val="FootnoteReference"/>
          <w:rFonts w:eastAsiaTheme="minorEastAsia"/>
          <w:sz w:val="20"/>
          <w:szCs w:val="20"/>
          <w:u w:val="none"/>
          <w:lang w:eastAsia="zh-CN"/>
        </w:rPr>
        <w:t>《粮食和农业植物遗传资源国际条约》、</w:t>
      </w:r>
      <w:r w:rsidRPr="00B72FA3">
        <w:rPr>
          <w:rStyle w:val="FootnoteReference"/>
          <w:rFonts w:eastAsiaTheme="minorEastAsia"/>
          <w:sz w:val="20"/>
          <w:szCs w:val="20"/>
          <w:u w:val="none"/>
          <w:lang w:eastAsia="zh-CN"/>
        </w:rPr>
        <w:t>(e)</w:t>
      </w:r>
      <w:r w:rsidRPr="00B72FA3">
        <w:rPr>
          <w:rFonts w:eastAsiaTheme="minorEastAsia"/>
          <w:sz w:val="20"/>
          <w:szCs w:val="20"/>
          <w:lang w:eastAsia="zh-CN"/>
        </w:rPr>
        <w:t xml:space="preserve"> </w:t>
      </w:r>
      <w:r w:rsidRPr="00B72FA3">
        <w:rPr>
          <w:rFonts w:eastAsiaTheme="minorEastAsia"/>
          <w:sz w:val="20"/>
          <w:szCs w:val="20"/>
          <w:lang w:eastAsia="zh-CN"/>
        </w:rPr>
        <w:t>联合国教育、文化和科学组织（</w:t>
      </w:r>
      <w:r w:rsidRPr="00B72FA3">
        <w:rPr>
          <w:rStyle w:val="FootnoteReference"/>
          <w:rFonts w:eastAsiaTheme="minorEastAsia"/>
          <w:sz w:val="20"/>
          <w:szCs w:val="20"/>
          <w:u w:val="none"/>
          <w:lang w:eastAsia="zh-CN"/>
        </w:rPr>
        <w:t>教科文组织）人与生物圈计划及其世界生物圈保护区网络和《世界遗产公约》、</w:t>
      </w:r>
      <w:r w:rsidRPr="00B72FA3">
        <w:rPr>
          <w:rStyle w:val="FootnoteReference"/>
          <w:rFonts w:eastAsiaTheme="minorEastAsia"/>
          <w:sz w:val="20"/>
          <w:szCs w:val="20"/>
          <w:u w:val="none"/>
          <w:lang w:eastAsia="zh-CN"/>
        </w:rPr>
        <w:t>(f)</w:t>
      </w:r>
      <w:r w:rsidRPr="00B72FA3">
        <w:rPr>
          <w:rFonts w:eastAsiaTheme="minorEastAsia"/>
          <w:sz w:val="20"/>
          <w:szCs w:val="20"/>
          <w:lang w:eastAsia="zh-CN"/>
        </w:rPr>
        <w:t xml:space="preserve"> </w:t>
      </w:r>
      <w:r w:rsidRPr="00B72FA3">
        <w:rPr>
          <w:rStyle w:val="FootnoteReference"/>
          <w:rFonts w:eastAsiaTheme="minorEastAsia"/>
          <w:sz w:val="20"/>
          <w:szCs w:val="20"/>
          <w:u w:val="none"/>
          <w:lang w:eastAsia="zh-CN"/>
        </w:rPr>
        <w:t>《联合国海洋法公约》以及其他生物多样性相关公约通过的关键战略</w:t>
      </w:r>
      <w:r w:rsidRPr="00B72FA3">
        <w:rPr>
          <w:rStyle w:val="FootnoteReference"/>
          <w:rFonts w:eastAsiaTheme="minorEastAsia"/>
          <w:sz w:val="20"/>
          <w:szCs w:val="20"/>
          <w:u w:val="none"/>
          <w:lang w:eastAsia="zh-CN"/>
        </w:rPr>
        <w:t>/</w:t>
      </w:r>
      <w:r w:rsidRPr="00B72FA3">
        <w:rPr>
          <w:rStyle w:val="FootnoteReference"/>
          <w:rFonts w:eastAsiaTheme="minorEastAsia"/>
          <w:sz w:val="20"/>
          <w:szCs w:val="20"/>
          <w:u w:val="none"/>
          <w:lang w:eastAsia="zh-CN"/>
        </w:rPr>
        <w:t>议程，例如</w:t>
      </w:r>
      <w:r w:rsidRPr="00B72FA3">
        <w:rPr>
          <w:rFonts w:eastAsiaTheme="minorEastAsia"/>
          <w:sz w:val="20"/>
          <w:szCs w:val="20"/>
          <w:lang w:eastAsia="zh-CN"/>
        </w:rPr>
        <w:t xml:space="preserve"> </w:t>
      </w:r>
      <w:r w:rsidRPr="00B72FA3">
        <w:rPr>
          <w:rStyle w:val="FootnoteReference"/>
          <w:rFonts w:eastAsiaTheme="minorEastAsia"/>
          <w:sz w:val="20"/>
          <w:szCs w:val="20"/>
          <w:u w:val="none"/>
          <w:lang w:eastAsia="zh-CN"/>
        </w:rPr>
        <w:t>(g)</w:t>
      </w:r>
      <w:r w:rsidRPr="00B72FA3">
        <w:rPr>
          <w:rFonts w:eastAsiaTheme="minorEastAsia"/>
          <w:sz w:val="20"/>
          <w:szCs w:val="20"/>
          <w:lang w:eastAsia="zh-CN"/>
        </w:rPr>
        <w:t xml:space="preserve"> </w:t>
      </w:r>
      <w:r w:rsidRPr="00B72FA3">
        <w:rPr>
          <w:rStyle w:val="FootnoteReference"/>
          <w:rFonts w:eastAsiaTheme="minorEastAsia"/>
          <w:sz w:val="20"/>
          <w:szCs w:val="20"/>
          <w:u w:val="none"/>
          <w:lang w:eastAsia="zh-CN"/>
        </w:rPr>
        <w:t>《</w:t>
      </w:r>
      <w:r w:rsidRPr="00B72FA3">
        <w:rPr>
          <w:rStyle w:val="FootnoteReference"/>
          <w:rFonts w:eastAsiaTheme="minorEastAsia"/>
          <w:sz w:val="20"/>
          <w:szCs w:val="20"/>
          <w:u w:val="none"/>
          <w:lang w:eastAsia="zh-CN"/>
        </w:rPr>
        <w:t>2015-2023</w:t>
      </w:r>
      <w:r w:rsidRPr="00B72FA3">
        <w:rPr>
          <w:rStyle w:val="FootnoteReference"/>
          <w:rFonts w:eastAsiaTheme="minorEastAsia"/>
          <w:sz w:val="20"/>
          <w:szCs w:val="20"/>
          <w:u w:val="none"/>
          <w:lang w:eastAsia="zh-CN"/>
        </w:rPr>
        <w:t>年移栖物种战略计划》、</w:t>
      </w:r>
      <w:r w:rsidRPr="00B72FA3">
        <w:rPr>
          <w:rStyle w:val="FootnoteReference"/>
          <w:rFonts w:eastAsiaTheme="minorEastAsia"/>
          <w:sz w:val="20"/>
          <w:szCs w:val="20"/>
          <w:u w:val="none"/>
          <w:lang w:eastAsia="zh-CN"/>
        </w:rPr>
        <w:t>(h)</w:t>
      </w:r>
      <w:r w:rsidRPr="00B72FA3">
        <w:rPr>
          <w:rFonts w:eastAsiaTheme="minorEastAsia"/>
          <w:sz w:val="20"/>
          <w:szCs w:val="20"/>
          <w:lang w:eastAsia="zh-CN"/>
        </w:rPr>
        <w:t xml:space="preserve"> </w:t>
      </w:r>
      <w:r w:rsidRPr="00B72FA3">
        <w:rPr>
          <w:rStyle w:val="FootnoteReference"/>
          <w:rFonts w:eastAsiaTheme="minorEastAsia"/>
          <w:sz w:val="20"/>
          <w:szCs w:val="20"/>
          <w:u w:val="none"/>
          <w:lang w:eastAsia="zh-CN"/>
        </w:rPr>
        <w:t>《联合国</w:t>
      </w:r>
      <w:r w:rsidRPr="00B72FA3">
        <w:rPr>
          <w:rStyle w:val="FootnoteReference"/>
          <w:rFonts w:eastAsiaTheme="minorEastAsia"/>
          <w:sz w:val="20"/>
          <w:szCs w:val="20"/>
          <w:u w:val="none"/>
          <w:lang w:eastAsia="zh-CN"/>
        </w:rPr>
        <w:t>2017-2030</w:t>
      </w:r>
      <w:r w:rsidRPr="00B72FA3">
        <w:rPr>
          <w:rStyle w:val="FootnoteReference"/>
          <w:rFonts w:eastAsiaTheme="minorEastAsia"/>
          <w:sz w:val="20"/>
          <w:szCs w:val="20"/>
          <w:u w:val="none"/>
          <w:lang w:eastAsia="zh-CN"/>
        </w:rPr>
        <w:t>年森林战略计划》、</w:t>
      </w:r>
      <w:r w:rsidRPr="00B72FA3">
        <w:rPr>
          <w:rStyle w:val="FootnoteReference"/>
          <w:rFonts w:eastAsiaTheme="minorEastAsia"/>
          <w:sz w:val="20"/>
          <w:szCs w:val="20"/>
          <w:u w:val="none"/>
          <w:lang w:eastAsia="zh-CN"/>
        </w:rPr>
        <w:t>(i)</w:t>
      </w:r>
      <w:r w:rsidRPr="00B72FA3">
        <w:rPr>
          <w:rFonts w:eastAsiaTheme="minorEastAsia"/>
          <w:sz w:val="20"/>
          <w:szCs w:val="20"/>
          <w:lang w:eastAsia="zh-CN"/>
        </w:rPr>
        <w:t xml:space="preserve"> </w:t>
      </w:r>
      <w:r w:rsidRPr="00B72FA3">
        <w:rPr>
          <w:rStyle w:val="FootnoteReference"/>
          <w:rFonts w:eastAsiaTheme="minorEastAsia"/>
          <w:sz w:val="20"/>
          <w:szCs w:val="20"/>
          <w:u w:val="none"/>
          <w:lang w:eastAsia="zh-CN"/>
        </w:rPr>
        <w:t>《</w:t>
      </w:r>
      <w:r w:rsidRPr="00B72FA3">
        <w:rPr>
          <w:rStyle w:val="FootnoteReference"/>
          <w:rFonts w:eastAsiaTheme="minorEastAsia"/>
          <w:sz w:val="20"/>
          <w:szCs w:val="20"/>
          <w:u w:val="none"/>
          <w:lang w:eastAsia="zh-CN"/>
        </w:rPr>
        <w:t>2016-2024</w:t>
      </w:r>
      <w:r w:rsidRPr="00B72FA3">
        <w:rPr>
          <w:rStyle w:val="FootnoteReference"/>
          <w:rFonts w:eastAsiaTheme="minorEastAsia"/>
          <w:sz w:val="20"/>
          <w:szCs w:val="20"/>
          <w:u w:val="none"/>
          <w:lang w:eastAsia="zh-CN"/>
        </w:rPr>
        <w:t>年第四次拉姆萨尔战略计划》、</w:t>
      </w:r>
      <w:r w:rsidRPr="00B72FA3">
        <w:rPr>
          <w:rStyle w:val="FootnoteReference"/>
          <w:rFonts w:eastAsiaTheme="minorEastAsia"/>
          <w:sz w:val="20"/>
          <w:szCs w:val="20"/>
          <w:u w:val="none"/>
          <w:lang w:eastAsia="zh-CN"/>
        </w:rPr>
        <w:t>(j)</w:t>
      </w:r>
      <w:r w:rsidRPr="00B72FA3">
        <w:rPr>
          <w:rFonts w:eastAsiaTheme="minorEastAsia"/>
          <w:sz w:val="20"/>
          <w:szCs w:val="20"/>
          <w:lang w:eastAsia="zh-CN"/>
        </w:rPr>
        <w:t xml:space="preserve"> </w:t>
      </w:r>
      <w:r w:rsidRPr="00B72FA3">
        <w:rPr>
          <w:rFonts w:eastAsiaTheme="minorEastAsia"/>
          <w:sz w:val="20"/>
          <w:szCs w:val="20"/>
          <w:lang w:eastAsia="zh-CN"/>
        </w:rPr>
        <w:t>《濒危野生动植物物种国际贸易公约》（</w:t>
      </w:r>
      <w:r w:rsidRPr="00B72FA3">
        <w:rPr>
          <w:rStyle w:val="FootnoteReference"/>
          <w:rFonts w:eastAsiaTheme="minorEastAsia"/>
          <w:sz w:val="20"/>
          <w:szCs w:val="20"/>
          <w:u w:val="none"/>
          <w:lang w:eastAsia="zh-CN"/>
        </w:rPr>
        <w:t>濒危物种公约</w:t>
      </w:r>
      <w:r w:rsidRPr="00B72FA3">
        <w:rPr>
          <w:rFonts w:eastAsiaTheme="minorEastAsia"/>
          <w:sz w:val="20"/>
          <w:szCs w:val="20"/>
          <w:lang w:eastAsia="zh-CN"/>
        </w:rPr>
        <w:t>）通过的</w:t>
      </w:r>
      <w:r w:rsidRPr="00B72FA3">
        <w:rPr>
          <w:rStyle w:val="FootnoteReference"/>
          <w:rFonts w:eastAsiaTheme="minorEastAsia"/>
          <w:sz w:val="20"/>
          <w:szCs w:val="20"/>
          <w:u w:val="none"/>
          <w:lang w:eastAsia="zh-CN"/>
        </w:rPr>
        <w:t>《战略远景：</w:t>
      </w:r>
      <w:r w:rsidRPr="00B72FA3">
        <w:rPr>
          <w:rStyle w:val="FootnoteReference"/>
          <w:rFonts w:eastAsiaTheme="minorEastAsia"/>
          <w:sz w:val="20"/>
          <w:szCs w:val="20"/>
          <w:u w:val="none"/>
          <w:lang w:eastAsia="zh-CN"/>
        </w:rPr>
        <w:t>2008-2020</w:t>
      </w:r>
      <w:r w:rsidRPr="00B72FA3">
        <w:rPr>
          <w:rStyle w:val="FootnoteReference"/>
          <w:rFonts w:eastAsiaTheme="minorEastAsia"/>
          <w:sz w:val="20"/>
          <w:szCs w:val="20"/>
          <w:u w:val="none"/>
          <w:lang w:eastAsia="zh-CN"/>
        </w:rPr>
        <w:t>年》、</w:t>
      </w:r>
      <w:r w:rsidRPr="00B72FA3">
        <w:rPr>
          <w:rStyle w:val="FootnoteReference"/>
          <w:rFonts w:eastAsiaTheme="minorEastAsia"/>
          <w:sz w:val="20"/>
          <w:szCs w:val="20"/>
          <w:u w:val="none"/>
          <w:lang w:eastAsia="zh-CN"/>
        </w:rPr>
        <w:t>(k)</w:t>
      </w:r>
      <w:r w:rsidRPr="00B72FA3">
        <w:rPr>
          <w:rFonts w:eastAsiaTheme="minorEastAsia"/>
          <w:sz w:val="20"/>
          <w:szCs w:val="20"/>
          <w:lang w:eastAsia="zh-CN"/>
        </w:rPr>
        <w:t xml:space="preserve"> </w:t>
      </w:r>
      <w:r w:rsidRPr="00B72FA3">
        <w:rPr>
          <w:rStyle w:val="FootnoteReference"/>
          <w:rFonts w:eastAsiaTheme="minorEastAsia"/>
          <w:sz w:val="20"/>
          <w:szCs w:val="20"/>
          <w:u w:val="none"/>
          <w:lang w:eastAsia="zh-CN"/>
        </w:rPr>
        <w:t>第三次发展筹资问题国际会议通过的《亚的斯亚贝巴行动议程》、</w:t>
      </w:r>
      <w:r w:rsidRPr="00B72FA3">
        <w:rPr>
          <w:rStyle w:val="FootnoteReference"/>
          <w:rFonts w:eastAsiaTheme="minorEastAsia"/>
          <w:sz w:val="20"/>
          <w:szCs w:val="20"/>
          <w:u w:val="none"/>
          <w:lang w:eastAsia="zh-CN"/>
        </w:rPr>
        <w:t>(l)</w:t>
      </w:r>
      <w:r w:rsidRPr="00B72FA3">
        <w:rPr>
          <w:rFonts w:eastAsiaTheme="minorEastAsia"/>
          <w:sz w:val="20"/>
          <w:szCs w:val="20"/>
          <w:lang w:eastAsia="zh-CN"/>
        </w:rPr>
        <w:t xml:space="preserve"> </w:t>
      </w:r>
      <w:r w:rsidRPr="00B72FA3">
        <w:rPr>
          <w:rStyle w:val="FootnoteReference"/>
          <w:rFonts w:eastAsiaTheme="minorEastAsia"/>
          <w:sz w:val="20"/>
          <w:szCs w:val="20"/>
          <w:u w:val="none"/>
          <w:lang w:eastAsia="zh-CN"/>
        </w:rPr>
        <w:t>《</w:t>
      </w:r>
      <w:r w:rsidRPr="00B72FA3">
        <w:rPr>
          <w:rFonts w:eastAsiaTheme="minorEastAsia"/>
          <w:sz w:val="20"/>
          <w:szCs w:val="20"/>
          <w:lang w:eastAsia="zh-CN"/>
        </w:rPr>
        <w:t>小岛屿发展中国家快速行动方式</w:t>
      </w:r>
      <w:r w:rsidRPr="00B72FA3">
        <w:rPr>
          <w:rStyle w:val="FootnoteReference"/>
          <w:rFonts w:eastAsiaTheme="minorEastAsia"/>
          <w:sz w:val="20"/>
          <w:szCs w:val="20"/>
          <w:u w:val="none"/>
          <w:lang w:eastAsia="zh-CN"/>
        </w:rPr>
        <w:t>（萨摩亚途径）》、</w:t>
      </w:r>
      <w:r w:rsidRPr="00B72FA3">
        <w:rPr>
          <w:rStyle w:val="FootnoteReference"/>
          <w:rFonts w:eastAsiaTheme="minorEastAsia"/>
          <w:sz w:val="20"/>
          <w:szCs w:val="20"/>
          <w:u w:val="none"/>
          <w:lang w:eastAsia="zh-CN"/>
        </w:rPr>
        <w:t>(m)</w:t>
      </w:r>
      <w:r w:rsidRPr="00B72FA3">
        <w:rPr>
          <w:rFonts w:eastAsiaTheme="minorEastAsia"/>
          <w:sz w:val="20"/>
          <w:szCs w:val="20"/>
          <w:lang w:eastAsia="zh-CN"/>
        </w:rPr>
        <w:t xml:space="preserve"> </w:t>
      </w:r>
      <w:r w:rsidRPr="00B72FA3">
        <w:rPr>
          <w:rStyle w:val="FootnoteReference"/>
          <w:rFonts w:eastAsiaTheme="minorEastAsia"/>
          <w:sz w:val="20"/>
          <w:szCs w:val="20"/>
          <w:u w:val="none"/>
          <w:lang w:eastAsia="zh-CN"/>
        </w:rPr>
        <w:t>《山区伙伴关系的愿景与使命》。</w:t>
      </w:r>
    </w:p>
  </w:footnote>
  <w:footnote w:id="312">
    <w:p w:rsidR="00594C0B" w:rsidRPr="00B41940" w:rsidRDefault="00594C0B" w:rsidP="00B41940">
      <w:pPr>
        <w:pStyle w:val="FootnoteText"/>
        <w:suppressLineNumbers/>
        <w:tabs>
          <w:tab w:val="left" w:pos="360"/>
        </w:tabs>
        <w:suppressAutoHyphens/>
        <w:spacing w:before="0"/>
        <w:ind w:firstLine="0"/>
        <w:jc w:val="left"/>
        <w:rPr>
          <w:rFonts w:eastAsiaTheme="minorEastAsia"/>
          <w:kern w:val="18"/>
          <w:sz w:val="20"/>
          <w:szCs w:val="20"/>
          <w:lang w:eastAsia="zh-CN"/>
        </w:rPr>
      </w:pPr>
      <w:r w:rsidRPr="00B41940">
        <w:rPr>
          <w:rStyle w:val="FootnoteReference"/>
          <w:rFonts w:eastAsiaTheme="minorEastAsia"/>
          <w:kern w:val="18"/>
          <w:sz w:val="24"/>
          <w:szCs w:val="20"/>
          <w:u w:val="none"/>
          <w:vertAlign w:val="superscript"/>
        </w:rPr>
        <w:footnoteRef/>
      </w:r>
      <w:r w:rsidRPr="00B41940">
        <w:rPr>
          <w:rFonts w:eastAsiaTheme="minorEastAsia"/>
          <w:kern w:val="18"/>
          <w:sz w:val="20"/>
          <w:szCs w:val="20"/>
          <w:lang w:eastAsia="zh-CN"/>
        </w:rPr>
        <w:t xml:space="preserve"> </w:t>
      </w:r>
      <w:r w:rsidRPr="00B41940">
        <w:rPr>
          <w:rFonts w:eastAsiaTheme="minorEastAsia"/>
          <w:kern w:val="18"/>
          <w:sz w:val="20"/>
          <w:szCs w:val="20"/>
          <w:lang w:eastAsia="zh-CN"/>
        </w:rPr>
        <w:tab/>
      </w:r>
      <w:r w:rsidRPr="00B41940">
        <w:rPr>
          <w:rFonts w:eastAsiaTheme="minorEastAsia"/>
          <w:kern w:val="18"/>
          <w:sz w:val="20"/>
          <w:szCs w:val="20"/>
          <w:lang w:eastAsia="zh-CN"/>
        </w:rPr>
        <w:t>在联合国气候变化框架公约下通过（联合国，《条约汇编》，登记号：</w:t>
      </w:r>
      <w:r w:rsidRPr="00B41940">
        <w:rPr>
          <w:rFonts w:eastAsiaTheme="minorEastAsia"/>
          <w:snapToGrid w:val="0"/>
          <w:kern w:val="18"/>
          <w:sz w:val="20"/>
          <w:szCs w:val="20"/>
          <w:lang w:eastAsia="zh-CN"/>
        </w:rPr>
        <w:t xml:space="preserve"> I-54113</w:t>
      </w:r>
      <w:r w:rsidRPr="00B41940">
        <w:rPr>
          <w:rFonts w:eastAsiaTheme="minorEastAsia"/>
          <w:sz w:val="20"/>
          <w:szCs w:val="20"/>
          <w:lang w:eastAsia="zh-CN"/>
        </w:rPr>
        <w:t>）。</w:t>
      </w:r>
    </w:p>
  </w:footnote>
  <w:footnote w:id="313">
    <w:p w:rsidR="00594C0B" w:rsidRPr="00B41940" w:rsidRDefault="00594C0B" w:rsidP="00B41940">
      <w:pPr>
        <w:pStyle w:val="FootnoteText"/>
        <w:tabs>
          <w:tab w:val="left" w:pos="360"/>
        </w:tabs>
        <w:spacing w:before="0"/>
        <w:ind w:firstLine="0"/>
        <w:rPr>
          <w:rFonts w:eastAsiaTheme="minorEastAsia"/>
          <w:sz w:val="20"/>
          <w:szCs w:val="20"/>
        </w:rPr>
      </w:pPr>
      <w:r w:rsidRPr="00B41940">
        <w:rPr>
          <w:rStyle w:val="FootnoteReference"/>
          <w:kern w:val="18"/>
          <w:sz w:val="24"/>
          <w:u w:val="none"/>
          <w:vertAlign w:val="superscript"/>
        </w:rPr>
        <w:footnoteRef/>
      </w:r>
      <w:r w:rsidRPr="00B41940">
        <w:rPr>
          <w:rStyle w:val="FootnoteReference"/>
          <w:kern w:val="18"/>
          <w:sz w:val="24"/>
          <w:u w:val="none"/>
          <w:vertAlign w:val="superscript"/>
        </w:rPr>
        <w:t xml:space="preserve"> </w:t>
      </w:r>
      <w:r w:rsidRPr="00B41940">
        <w:rPr>
          <w:rFonts w:eastAsiaTheme="minorEastAsia"/>
          <w:sz w:val="20"/>
          <w:szCs w:val="20"/>
        </w:rPr>
        <w:tab/>
      </w:r>
      <w:r w:rsidRPr="00B41940">
        <w:rPr>
          <w:rFonts w:eastAsiaTheme="minorEastAsia"/>
          <w:kern w:val="18"/>
          <w:sz w:val="20"/>
          <w:szCs w:val="20"/>
        </w:rPr>
        <w:t>CBD/NP/MOP/DEC/3/1</w:t>
      </w:r>
      <w:r w:rsidRPr="00B41940">
        <w:rPr>
          <w:rFonts w:eastAsiaTheme="minorEastAsia"/>
          <w:snapToGrid w:val="0"/>
          <w:kern w:val="18"/>
          <w:sz w:val="20"/>
          <w:szCs w:val="20"/>
        </w:rPr>
        <w:t>。</w:t>
      </w:r>
    </w:p>
  </w:footnote>
  <w:footnote w:id="314">
    <w:p w:rsidR="00594C0B" w:rsidRPr="00B41940" w:rsidRDefault="00594C0B" w:rsidP="00B41940">
      <w:pPr>
        <w:pStyle w:val="FootnoteText"/>
        <w:suppressLineNumbers/>
        <w:tabs>
          <w:tab w:val="left" w:pos="360"/>
        </w:tabs>
        <w:suppressAutoHyphens/>
        <w:spacing w:before="0"/>
        <w:ind w:firstLine="0"/>
        <w:jc w:val="left"/>
        <w:rPr>
          <w:rFonts w:eastAsiaTheme="minorEastAsia"/>
          <w:kern w:val="18"/>
          <w:sz w:val="20"/>
          <w:szCs w:val="20"/>
        </w:rPr>
      </w:pPr>
      <w:r w:rsidRPr="00B41940">
        <w:rPr>
          <w:rStyle w:val="FootnoteReference"/>
          <w:kern w:val="18"/>
          <w:sz w:val="24"/>
          <w:u w:val="none"/>
          <w:vertAlign w:val="superscript"/>
        </w:rPr>
        <w:footnoteRef/>
      </w:r>
      <w:r w:rsidRPr="00B41940">
        <w:rPr>
          <w:rStyle w:val="FootnoteReference"/>
          <w:sz w:val="24"/>
          <w:u w:val="none"/>
          <w:vertAlign w:val="superscript"/>
        </w:rPr>
        <w:t xml:space="preserve"> </w:t>
      </w:r>
      <w:r w:rsidRPr="00B41940">
        <w:rPr>
          <w:rFonts w:eastAsiaTheme="minorEastAsia"/>
          <w:snapToGrid w:val="0"/>
          <w:kern w:val="18"/>
          <w:sz w:val="20"/>
          <w:szCs w:val="20"/>
        </w:rPr>
        <w:tab/>
        <w:t>CBD/CP/MOP/DEC/9/3</w:t>
      </w:r>
      <w:r w:rsidRPr="00B41940">
        <w:rPr>
          <w:rFonts w:eastAsiaTheme="minorEastAsia"/>
          <w:snapToGrid w:val="0"/>
          <w:kern w:val="18"/>
          <w:sz w:val="20"/>
          <w:szCs w:val="20"/>
        </w:rPr>
        <w:t>。</w:t>
      </w:r>
    </w:p>
  </w:footnote>
  <w:footnote w:id="315">
    <w:p w:rsidR="00594C0B" w:rsidRPr="00B41940" w:rsidRDefault="00594C0B" w:rsidP="00B41940">
      <w:pPr>
        <w:keepLines/>
        <w:suppressLineNumbers/>
        <w:tabs>
          <w:tab w:val="left" w:pos="360"/>
        </w:tabs>
        <w:suppressAutoHyphens/>
        <w:kinsoku w:val="0"/>
        <w:overflowPunct w:val="0"/>
        <w:autoSpaceDE w:val="0"/>
        <w:autoSpaceDN w:val="0"/>
        <w:adjustRightInd w:val="0"/>
        <w:snapToGrid w:val="0"/>
        <w:spacing w:before="0" w:after="60"/>
        <w:ind w:firstLine="0"/>
        <w:jc w:val="left"/>
        <w:rPr>
          <w:rFonts w:eastAsiaTheme="minorEastAsia"/>
          <w:snapToGrid w:val="0"/>
          <w:kern w:val="18"/>
          <w:sz w:val="20"/>
          <w:szCs w:val="20"/>
          <w:lang w:eastAsia="zh-CN"/>
        </w:rPr>
      </w:pPr>
      <w:r w:rsidRPr="00B41940">
        <w:rPr>
          <w:rStyle w:val="FootnoteReference"/>
          <w:rFonts w:eastAsiaTheme="minorEastAsia"/>
          <w:snapToGrid w:val="0"/>
          <w:kern w:val="18"/>
          <w:sz w:val="24"/>
          <w:szCs w:val="20"/>
          <w:u w:val="none"/>
          <w:vertAlign w:val="superscript"/>
        </w:rPr>
        <w:footnoteRef/>
      </w:r>
      <w:r w:rsidRPr="00B41940">
        <w:rPr>
          <w:rStyle w:val="FootnoteReference"/>
          <w:sz w:val="24"/>
          <w:u w:val="none"/>
          <w:vertAlign w:val="superscript"/>
          <w:lang w:eastAsia="zh-CN"/>
        </w:rPr>
        <w:t xml:space="preserve">  </w:t>
      </w:r>
      <w:r w:rsidRPr="00B41940">
        <w:rPr>
          <w:rFonts w:eastAsiaTheme="minorEastAsia"/>
          <w:snapToGrid w:val="0"/>
          <w:kern w:val="18"/>
          <w:sz w:val="20"/>
          <w:szCs w:val="20"/>
          <w:lang w:eastAsia="zh-CN"/>
        </w:rPr>
        <w:tab/>
      </w:r>
      <w:r w:rsidRPr="00B41940">
        <w:rPr>
          <w:rFonts w:eastAsiaTheme="minorEastAsia"/>
          <w:color w:val="000000"/>
          <w:sz w:val="20"/>
          <w:szCs w:val="20"/>
          <w:lang w:eastAsia="zh-CN"/>
        </w:rPr>
        <w:t>联大</w:t>
      </w:r>
      <w:r w:rsidRPr="00B41940">
        <w:rPr>
          <w:rFonts w:eastAsiaTheme="minorEastAsia"/>
          <w:color w:val="000000"/>
          <w:sz w:val="20"/>
          <w:szCs w:val="20"/>
          <w:lang w:eastAsia="zh-CN"/>
        </w:rPr>
        <w:t>2015</w:t>
      </w:r>
      <w:r w:rsidRPr="00B41940">
        <w:rPr>
          <w:rFonts w:eastAsiaTheme="minorEastAsia"/>
          <w:color w:val="000000"/>
          <w:sz w:val="20"/>
          <w:szCs w:val="20"/>
          <w:lang w:eastAsia="zh-CN"/>
        </w:rPr>
        <w:t>年</w:t>
      </w:r>
      <w:r w:rsidRPr="00B41940">
        <w:rPr>
          <w:rFonts w:eastAsiaTheme="minorEastAsia"/>
          <w:color w:val="000000"/>
          <w:sz w:val="20"/>
          <w:szCs w:val="20"/>
          <w:lang w:eastAsia="zh-CN"/>
        </w:rPr>
        <w:t>9</w:t>
      </w:r>
      <w:r w:rsidRPr="00B41940">
        <w:rPr>
          <w:rFonts w:eastAsiaTheme="minorEastAsia"/>
          <w:color w:val="000000"/>
          <w:sz w:val="20"/>
          <w:szCs w:val="20"/>
          <w:lang w:eastAsia="zh-CN"/>
        </w:rPr>
        <w:t>月</w:t>
      </w:r>
      <w:r w:rsidRPr="00B41940">
        <w:rPr>
          <w:rFonts w:eastAsiaTheme="minorEastAsia"/>
          <w:color w:val="000000"/>
          <w:sz w:val="20"/>
          <w:szCs w:val="20"/>
          <w:lang w:eastAsia="zh-CN"/>
        </w:rPr>
        <w:t>25</w:t>
      </w:r>
      <w:r w:rsidRPr="00B41940">
        <w:rPr>
          <w:rFonts w:eastAsiaTheme="minorEastAsia"/>
          <w:color w:val="000000"/>
          <w:sz w:val="20"/>
          <w:szCs w:val="20"/>
          <w:lang w:eastAsia="zh-CN"/>
        </w:rPr>
        <w:t>日题为</w:t>
      </w:r>
      <w:r w:rsidRPr="00B41940">
        <w:rPr>
          <w:rFonts w:asciiTheme="minorEastAsia" w:eastAsiaTheme="minorEastAsia" w:hAnsiTheme="minorEastAsia"/>
          <w:color w:val="000000"/>
          <w:sz w:val="20"/>
          <w:szCs w:val="20"/>
          <w:lang w:eastAsia="zh-CN"/>
        </w:rPr>
        <w:t>“</w:t>
      </w:r>
      <w:r w:rsidRPr="00B41940">
        <w:rPr>
          <w:rFonts w:eastAsiaTheme="minorEastAsia"/>
          <w:color w:val="000000"/>
          <w:sz w:val="20"/>
          <w:szCs w:val="20"/>
          <w:lang w:eastAsia="zh-CN"/>
        </w:rPr>
        <w:t>变革我们的世界：</w:t>
      </w:r>
      <w:r w:rsidRPr="00B41940">
        <w:rPr>
          <w:rFonts w:eastAsiaTheme="minorEastAsia"/>
          <w:color w:val="000000"/>
          <w:sz w:val="20"/>
          <w:szCs w:val="20"/>
          <w:lang w:eastAsia="zh-CN"/>
        </w:rPr>
        <w:t>2030</w:t>
      </w:r>
      <w:r w:rsidRPr="00B41940">
        <w:rPr>
          <w:rFonts w:eastAsiaTheme="minorEastAsia"/>
          <w:color w:val="000000"/>
          <w:sz w:val="20"/>
          <w:szCs w:val="20"/>
          <w:lang w:eastAsia="zh-CN"/>
        </w:rPr>
        <w:t>年可持续发展议程</w:t>
      </w:r>
      <w:r w:rsidRPr="00B41940">
        <w:rPr>
          <w:rFonts w:asciiTheme="minorEastAsia" w:eastAsiaTheme="minorEastAsia" w:hAnsiTheme="minorEastAsia"/>
          <w:color w:val="000000"/>
          <w:sz w:val="20"/>
          <w:szCs w:val="20"/>
          <w:lang w:eastAsia="zh-CN"/>
        </w:rPr>
        <w:t>”</w:t>
      </w:r>
      <w:r w:rsidRPr="00B41940">
        <w:rPr>
          <w:rFonts w:eastAsiaTheme="minorEastAsia"/>
          <w:color w:val="000000"/>
          <w:sz w:val="20"/>
          <w:szCs w:val="20"/>
          <w:lang w:eastAsia="zh-CN"/>
        </w:rPr>
        <w:t>的第</w:t>
      </w:r>
      <w:hyperlink r:id="rId132" w:history="1">
        <w:r w:rsidRPr="00B41940">
          <w:rPr>
            <w:rStyle w:val="Hyperlink"/>
            <w:rFonts w:eastAsiaTheme="minorEastAsia"/>
            <w:snapToGrid w:val="0"/>
            <w:kern w:val="18"/>
            <w:sz w:val="20"/>
            <w:szCs w:val="20"/>
            <w:lang w:eastAsia="zh-CN"/>
          </w:rPr>
          <w:t>70/1</w:t>
        </w:r>
      </w:hyperlink>
      <w:r w:rsidRPr="00B41940">
        <w:rPr>
          <w:rFonts w:eastAsiaTheme="minorEastAsia"/>
          <w:color w:val="000000"/>
          <w:sz w:val="20"/>
          <w:szCs w:val="20"/>
          <w:lang w:eastAsia="zh-CN"/>
        </w:rPr>
        <w:t>号决议</w:t>
      </w:r>
      <w:r w:rsidRPr="00B41940">
        <w:rPr>
          <w:rFonts w:eastAsiaTheme="minorEastAsia"/>
          <w:snapToGrid w:val="0"/>
          <w:kern w:val="18"/>
          <w:sz w:val="20"/>
          <w:szCs w:val="20"/>
          <w:lang w:eastAsia="zh-CN"/>
        </w:rPr>
        <w:t>附件，第</w:t>
      </w:r>
      <w:r w:rsidRPr="00B41940">
        <w:rPr>
          <w:rFonts w:eastAsiaTheme="minorEastAsia"/>
          <w:snapToGrid w:val="0"/>
          <w:kern w:val="18"/>
          <w:sz w:val="20"/>
          <w:szCs w:val="20"/>
          <w:lang w:eastAsia="zh-CN"/>
        </w:rPr>
        <w:t>83</w:t>
      </w:r>
      <w:r w:rsidRPr="00B41940">
        <w:rPr>
          <w:rFonts w:eastAsiaTheme="minorEastAsia"/>
          <w:snapToGrid w:val="0"/>
          <w:kern w:val="18"/>
          <w:sz w:val="20"/>
          <w:szCs w:val="20"/>
          <w:lang w:eastAsia="zh-CN"/>
        </w:rPr>
        <w:t>段。</w:t>
      </w:r>
    </w:p>
  </w:footnote>
  <w:footnote w:id="316">
    <w:p w:rsidR="00594C0B" w:rsidRPr="00B41940" w:rsidRDefault="00594C0B" w:rsidP="00B41940">
      <w:pPr>
        <w:keepLines/>
        <w:suppressLineNumbers/>
        <w:tabs>
          <w:tab w:val="left" w:pos="360"/>
        </w:tabs>
        <w:suppressAutoHyphens/>
        <w:kinsoku w:val="0"/>
        <w:overflowPunct w:val="0"/>
        <w:autoSpaceDE w:val="0"/>
        <w:autoSpaceDN w:val="0"/>
        <w:adjustRightInd w:val="0"/>
        <w:snapToGrid w:val="0"/>
        <w:spacing w:before="0" w:after="60"/>
        <w:ind w:firstLine="0"/>
        <w:jc w:val="left"/>
        <w:rPr>
          <w:rFonts w:eastAsiaTheme="minorEastAsia"/>
          <w:kern w:val="18"/>
          <w:sz w:val="20"/>
          <w:szCs w:val="20"/>
        </w:rPr>
      </w:pPr>
      <w:r w:rsidRPr="00B41940">
        <w:rPr>
          <w:rStyle w:val="FootnoteReference"/>
          <w:rFonts w:eastAsiaTheme="minorEastAsia"/>
          <w:snapToGrid w:val="0"/>
          <w:kern w:val="18"/>
          <w:sz w:val="24"/>
          <w:szCs w:val="20"/>
          <w:u w:val="none"/>
          <w:vertAlign w:val="superscript"/>
        </w:rPr>
        <w:footnoteRef/>
      </w:r>
      <w:r w:rsidRPr="00B41940">
        <w:rPr>
          <w:rStyle w:val="FootnoteReference"/>
          <w:rFonts w:eastAsiaTheme="minorEastAsia"/>
          <w:snapToGrid w:val="0"/>
          <w:kern w:val="18"/>
          <w:sz w:val="24"/>
          <w:szCs w:val="20"/>
          <w:u w:val="none"/>
          <w:vertAlign w:val="superscript"/>
        </w:rPr>
        <w:t xml:space="preserve"> </w:t>
      </w:r>
      <w:r w:rsidRPr="00B41940">
        <w:rPr>
          <w:rFonts w:eastAsiaTheme="minorEastAsia"/>
          <w:color w:val="000000"/>
          <w:sz w:val="20"/>
          <w:szCs w:val="20"/>
        </w:rPr>
        <w:tab/>
        <w:t>https://www.cbd.int/conferences/2018/cop-14-afr-hls</w:t>
      </w:r>
      <w:r w:rsidRPr="00B41940">
        <w:rPr>
          <w:rFonts w:eastAsiaTheme="minorEastAsia"/>
          <w:color w:val="000000"/>
          <w:sz w:val="20"/>
          <w:szCs w:val="20"/>
        </w:rPr>
        <w:t>。</w:t>
      </w:r>
    </w:p>
  </w:footnote>
  <w:footnote w:id="317">
    <w:p w:rsidR="00594C0B" w:rsidRPr="00B41940" w:rsidRDefault="00594C0B" w:rsidP="00B41940">
      <w:pPr>
        <w:keepLines/>
        <w:suppressLineNumbers/>
        <w:tabs>
          <w:tab w:val="left" w:pos="360"/>
        </w:tabs>
        <w:suppressAutoHyphens/>
        <w:kinsoku w:val="0"/>
        <w:overflowPunct w:val="0"/>
        <w:autoSpaceDE w:val="0"/>
        <w:autoSpaceDN w:val="0"/>
        <w:adjustRightInd w:val="0"/>
        <w:snapToGrid w:val="0"/>
        <w:spacing w:before="0" w:after="60"/>
        <w:ind w:firstLine="0"/>
        <w:jc w:val="left"/>
        <w:rPr>
          <w:rFonts w:eastAsiaTheme="minorEastAsia"/>
          <w:color w:val="000000"/>
          <w:sz w:val="20"/>
          <w:szCs w:val="20"/>
        </w:rPr>
      </w:pPr>
      <w:r w:rsidRPr="00B41940">
        <w:rPr>
          <w:rStyle w:val="FootnoteReference"/>
          <w:rFonts w:eastAsiaTheme="minorEastAsia"/>
          <w:snapToGrid w:val="0"/>
          <w:kern w:val="18"/>
          <w:sz w:val="24"/>
          <w:szCs w:val="20"/>
          <w:u w:val="none"/>
          <w:vertAlign w:val="superscript"/>
        </w:rPr>
        <w:footnoteRef/>
      </w:r>
      <w:r w:rsidRPr="00B41940">
        <w:rPr>
          <w:rStyle w:val="FootnoteReference"/>
          <w:rFonts w:eastAsiaTheme="minorEastAsia"/>
          <w:snapToGrid w:val="0"/>
          <w:kern w:val="18"/>
          <w:sz w:val="24"/>
          <w:szCs w:val="20"/>
          <w:u w:val="none"/>
          <w:vertAlign w:val="superscript"/>
        </w:rPr>
        <w:t xml:space="preserve"> </w:t>
      </w:r>
      <w:r w:rsidRPr="00B41940">
        <w:rPr>
          <w:rStyle w:val="FootnoteReference"/>
          <w:rFonts w:eastAsiaTheme="minorEastAsia"/>
          <w:snapToGrid w:val="0"/>
          <w:kern w:val="18"/>
          <w:sz w:val="20"/>
          <w:szCs w:val="20"/>
          <w:u w:val="none"/>
          <w:vertAlign w:val="superscript"/>
        </w:rPr>
        <w:tab/>
      </w:r>
      <w:r w:rsidRPr="00B41940">
        <w:rPr>
          <w:rFonts w:eastAsiaTheme="minorEastAsia"/>
          <w:kern w:val="18"/>
          <w:sz w:val="20"/>
          <w:szCs w:val="20"/>
        </w:rPr>
        <w:t>https://www.cbd.int/conferences/2018/parallel-meetings/science-forum</w:t>
      </w:r>
      <w:r w:rsidRPr="00B41940">
        <w:rPr>
          <w:rFonts w:eastAsiaTheme="minorEastAsia"/>
          <w:color w:val="000000"/>
          <w:sz w:val="20"/>
          <w:szCs w:val="20"/>
        </w:rPr>
        <w:t>。</w:t>
      </w:r>
    </w:p>
  </w:footnote>
  <w:footnote w:id="318">
    <w:p w:rsidR="00594C0B" w:rsidRPr="00B41940" w:rsidRDefault="00594C0B" w:rsidP="00B41940">
      <w:pPr>
        <w:keepLines/>
        <w:suppressLineNumbers/>
        <w:tabs>
          <w:tab w:val="left" w:pos="360"/>
        </w:tabs>
        <w:suppressAutoHyphens/>
        <w:kinsoku w:val="0"/>
        <w:overflowPunct w:val="0"/>
        <w:autoSpaceDE w:val="0"/>
        <w:autoSpaceDN w:val="0"/>
        <w:adjustRightInd w:val="0"/>
        <w:snapToGrid w:val="0"/>
        <w:spacing w:before="0" w:after="60"/>
        <w:ind w:firstLine="0"/>
        <w:jc w:val="left"/>
        <w:rPr>
          <w:rFonts w:eastAsiaTheme="minorEastAsia"/>
          <w:color w:val="000000"/>
          <w:sz w:val="20"/>
          <w:szCs w:val="20"/>
        </w:rPr>
      </w:pPr>
      <w:r w:rsidRPr="00B41940">
        <w:rPr>
          <w:rStyle w:val="FootnoteReference"/>
          <w:rFonts w:eastAsiaTheme="minorEastAsia"/>
          <w:snapToGrid w:val="0"/>
          <w:kern w:val="18"/>
          <w:sz w:val="24"/>
          <w:szCs w:val="20"/>
          <w:u w:val="none"/>
          <w:vertAlign w:val="superscript"/>
        </w:rPr>
        <w:footnoteRef/>
      </w:r>
      <w:r w:rsidRPr="00B41940">
        <w:rPr>
          <w:rStyle w:val="FootnoteReference"/>
          <w:rFonts w:eastAsiaTheme="minorEastAsia"/>
          <w:snapToGrid w:val="0"/>
          <w:kern w:val="18"/>
          <w:sz w:val="24"/>
          <w:szCs w:val="20"/>
          <w:u w:val="none"/>
          <w:vertAlign w:val="superscript"/>
        </w:rPr>
        <w:t xml:space="preserve"> </w:t>
      </w:r>
      <w:r w:rsidRPr="00B41940">
        <w:rPr>
          <w:rStyle w:val="FootnoteReference"/>
          <w:rFonts w:hint="eastAsia"/>
          <w:snapToGrid w:val="0"/>
          <w:kern w:val="18"/>
          <w:sz w:val="24"/>
          <w:u w:val="none"/>
          <w:vertAlign w:val="superscript"/>
        </w:rPr>
        <w:tab/>
      </w:r>
      <w:r w:rsidRPr="00B41940">
        <w:rPr>
          <w:rFonts w:eastAsiaTheme="minorEastAsia"/>
          <w:kern w:val="18"/>
          <w:sz w:val="20"/>
          <w:szCs w:val="20"/>
        </w:rPr>
        <w:t>https://www.cbd.int/business/meetings-events/2018/default.shtml</w:t>
      </w:r>
      <w:r w:rsidRPr="00B41940">
        <w:rPr>
          <w:rFonts w:eastAsiaTheme="minorEastAsia"/>
          <w:color w:val="000000"/>
          <w:sz w:val="20"/>
          <w:szCs w:val="20"/>
        </w:rPr>
        <w:t>。</w:t>
      </w:r>
    </w:p>
  </w:footnote>
  <w:footnote w:id="319">
    <w:p w:rsidR="00594C0B" w:rsidRPr="00B41940" w:rsidRDefault="00594C0B" w:rsidP="00B41940">
      <w:pPr>
        <w:keepLines/>
        <w:suppressLineNumbers/>
        <w:tabs>
          <w:tab w:val="left" w:pos="360"/>
        </w:tabs>
        <w:suppressAutoHyphens/>
        <w:kinsoku w:val="0"/>
        <w:overflowPunct w:val="0"/>
        <w:autoSpaceDE w:val="0"/>
        <w:autoSpaceDN w:val="0"/>
        <w:adjustRightInd w:val="0"/>
        <w:snapToGrid w:val="0"/>
        <w:spacing w:before="0" w:after="60"/>
        <w:ind w:firstLine="0"/>
        <w:jc w:val="left"/>
        <w:rPr>
          <w:rFonts w:eastAsiaTheme="minorEastAsia"/>
          <w:color w:val="000000"/>
          <w:sz w:val="20"/>
          <w:szCs w:val="20"/>
        </w:rPr>
      </w:pPr>
      <w:r w:rsidRPr="00B41940">
        <w:rPr>
          <w:rStyle w:val="FootnoteReference"/>
          <w:rFonts w:eastAsiaTheme="minorEastAsia"/>
          <w:snapToGrid w:val="0"/>
          <w:kern w:val="18"/>
          <w:sz w:val="24"/>
          <w:szCs w:val="20"/>
          <w:u w:val="none"/>
          <w:vertAlign w:val="superscript"/>
        </w:rPr>
        <w:footnoteRef/>
      </w:r>
      <w:r w:rsidRPr="00B41940">
        <w:rPr>
          <w:rStyle w:val="FootnoteReference"/>
          <w:rFonts w:eastAsiaTheme="minorEastAsia"/>
          <w:snapToGrid w:val="0"/>
          <w:kern w:val="18"/>
          <w:sz w:val="24"/>
          <w:szCs w:val="20"/>
          <w:u w:val="none"/>
          <w:vertAlign w:val="superscript"/>
        </w:rPr>
        <w:t xml:space="preserve"> </w:t>
      </w:r>
      <w:r w:rsidRPr="00B41940">
        <w:rPr>
          <w:rStyle w:val="FootnoteReference"/>
          <w:rFonts w:hint="eastAsia"/>
          <w:snapToGrid w:val="0"/>
          <w:kern w:val="18"/>
          <w:sz w:val="24"/>
          <w:u w:val="none"/>
          <w:vertAlign w:val="superscript"/>
        </w:rPr>
        <w:tab/>
      </w:r>
      <w:r w:rsidRPr="00B41940">
        <w:rPr>
          <w:rFonts w:eastAsiaTheme="minorEastAsia"/>
          <w:color w:val="000000"/>
          <w:sz w:val="20"/>
          <w:szCs w:val="20"/>
        </w:rPr>
        <w:t>CBD/COP/14/INF/46</w:t>
      </w:r>
      <w:r w:rsidRPr="00B41940">
        <w:rPr>
          <w:rFonts w:eastAsiaTheme="minorEastAsia"/>
          <w:color w:val="000000"/>
          <w:sz w:val="20"/>
          <w:szCs w:val="20"/>
        </w:rPr>
        <w:t>。</w:t>
      </w:r>
    </w:p>
  </w:footnote>
  <w:footnote w:id="320">
    <w:p w:rsidR="00594C0B" w:rsidRPr="00B41940" w:rsidRDefault="00594C0B" w:rsidP="00B41940">
      <w:pPr>
        <w:keepLines/>
        <w:suppressLineNumbers/>
        <w:tabs>
          <w:tab w:val="left" w:pos="360"/>
        </w:tabs>
        <w:suppressAutoHyphens/>
        <w:kinsoku w:val="0"/>
        <w:overflowPunct w:val="0"/>
        <w:autoSpaceDE w:val="0"/>
        <w:autoSpaceDN w:val="0"/>
        <w:adjustRightInd w:val="0"/>
        <w:snapToGrid w:val="0"/>
        <w:spacing w:before="0" w:after="60"/>
        <w:ind w:firstLine="0"/>
        <w:jc w:val="left"/>
        <w:rPr>
          <w:rFonts w:eastAsiaTheme="minorEastAsia"/>
          <w:kern w:val="18"/>
          <w:sz w:val="20"/>
          <w:szCs w:val="20"/>
        </w:rPr>
      </w:pPr>
      <w:r w:rsidRPr="00B41940">
        <w:rPr>
          <w:rStyle w:val="FootnoteReference"/>
          <w:rFonts w:eastAsiaTheme="minorEastAsia"/>
          <w:snapToGrid w:val="0"/>
          <w:kern w:val="18"/>
          <w:sz w:val="24"/>
          <w:szCs w:val="20"/>
          <w:u w:val="none"/>
          <w:vertAlign w:val="superscript"/>
        </w:rPr>
        <w:footnoteRef/>
      </w:r>
      <w:r w:rsidRPr="00B41940">
        <w:rPr>
          <w:rStyle w:val="FootnoteReference"/>
          <w:rFonts w:eastAsiaTheme="minorEastAsia"/>
          <w:snapToGrid w:val="0"/>
          <w:kern w:val="18"/>
          <w:sz w:val="24"/>
          <w:szCs w:val="20"/>
          <w:u w:val="none"/>
          <w:vertAlign w:val="superscript"/>
        </w:rPr>
        <w:t xml:space="preserve"> </w:t>
      </w:r>
      <w:r w:rsidRPr="00B41940">
        <w:rPr>
          <w:rFonts w:eastAsiaTheme="minorEastAsia"/>
          <w:color w:val="000000"/>
          <w:szCs w:val="20"/>
        </w:rPr>
        <w:tab/>
      </w:r>
      <w:r w:rsidRPr="00B41940">
        <w:rPr>
          <w:rFonts w:eastAsiaTheme="minorEastAsia"/>
          <w:color w:val="000000"/>
          <w:sz w:val="20"/>
          <w:szCs w:val="20"/>
        </w:rPr>
        <w:t>https://cbc.iclei.org/event/6thbiodiversitysummit/</w:t>
      </w:r>
      <w:r w:rsidRPr="00B41940">
        <w:rPr>
          <w:rFonts w:eastAsiaTheme="minorEastAsia"/>
          <w:color w:val="000000"/>
          <w:sz w:val="20"/>
          <w:szCs w:val="20"/>
        </w:rPr>
        <w:t>。</w:t>
      </w:r>
    </w:p>
  </w:footnote>
  <w:footnote w:id="321">
    <w:p w:rsidR="00594C0B" w:rsidRDefault="00594C0B" w:rsidP="00B72FA3">
      <w:pPr>
        <w:suppressLineNumbers/>
        <w:tabs>
          <w:tab w:val="left" w:pos="360"/>
        </w:tabs>
        <w:suppressAutoHyphens/>
        <w:spacing w:before="0" w:after="60"/>
        <w:ind w:firstLine="0"/>
        <w:rPr>
          <w:lang w:eastAsia="zh-CN"/>
        </w:rPr>
      </w:pPr>
      <w:r w:rsidRPr="00B72FA3">
        <w:rPr>
          <w:rStyle w:val="FootnoteReference"/>
          <w:sz w:val="24"/>
          <w:szCs w:val="28"/>
          <w:u w:val="none"/>
          <w:vertAlign w:val="superscript"/>
        </w:rPr>
        <w:footnoteRef/>
      </w:r>
      <w:r w:rsidRPr="00B72FA3">
        <w:rPr>
          <w:rFonts w:ascii="SimSun" w:hAnsi="SimSun"/>
          <w:sz w:val="28"/>
          <w:szCs w:val="20"/>
          <w:lang w:eastAsia="zh-CN"/>
        </w:rPr>
        <w:t xml:space="preserve"> </w:t>
      </w:r>
      <w:hyperlink r:id="rId133" w:history="1">
        <w:r w:rsidRPr="00DD0EF1">
          <w:rPr>
            <w:rStyle w:val="Hyperlink"/>
            <w:rFonts w:ascii="SimSun" w:hAnsi="SimSun" w:cs="SimSun" w:hint="eastAsia"/>
            <w:sz w:val="20"/>
            <w:szCs w:val="20"/>
            <w:lang w:eastAsia="zh-CN"/>
          </w:rPr>
          <w:t>第</w:t>
        </w:r>
        <w:r w:rsidRPr="00DD0EF1">
          <w:rPr>
            <w:rStyle w:val="Hyperlink"/>
            <w:sz w:val="20"/>
            <w:szCs w:val="20"/>
            <w:lang w:eastAsia="zh-CN"/>
          </w:rPr>
          <w:t>X/2</w:t>
        </w:r>
        <w:r w:rsidRPr="00DD0EF1">
          <w:rPr>
            <w:rStyle w:val="Hyperlink"/>
            <w:rFonts w:ascii="SimSun" w:hAnsi="SimSun"/>
            <w:sz w:val="20"/>
            <w:szCs w:val="20"/>
            <w:lang w:eastAsia="zh-CN"/>
          </w:rPr>
          <w:t>号决定</w:t>
        </w:r>
      </w:hyperlink>
      <w:r w:rsidRPr="007D1D1F">
        <w:rPr>
          <w:rFonts w:ascii="SimSun" w:hAnsi="SimSun" w:hint="eastAsia"/>
          <w:kern w:val="22"/>
          <w:sz w:val="20"/>
          <w:szCs w:val="20"/>
          <w:lang w:eastAsia="zh-CN"/>
        </w:rPr>
        <w:t>，附件。</w:t>
      </w:r>
    </w:p>
  </w:footnote>
  <w:footnote w:id="322">
    <w:p w:rsidR="00594C0B" w:rsidRPr="007D1D1F" w:rsidRDefault="00594C0B" w:rsidP="00B72FA3">
      <w:pPr>
        <w:suppressLineNumbers/>
        <w:tabs>
          <w:tab w:val="left" w:pos="360"/>
        </w:tabs>
        <w:suppressAutoHyphens/>
        <w:spacing w:before="0" w:after="60"/>
        <w:ind w:firstLine="0"/>
        <w:rPr>
          <w:lang w:eastAsia="zh-CN"/>
        </w:rPr>
      </w:pPr>
      <w:r w:rsidRPr="00B72FA3">
        <w:rPr>
          <w:rStyle w:val="FootnoteReference"/>
          <w:sz w:val="24"/>
          <w:szCs w:val="28"/>
          <w:u w:val="none"/>
          <w:vertAlign w:val="superscript"/>
        </w:rPr>
        <w:footnoteRef/>
      </w:r>
      <w:r w:rsidRPr="00B72FA3">
        <w:rPr>
          <w:rFonts w:ascii="SimSun" w:hAnsi="SimSun"/>
          <w:kern w:val="22"/>
          <w:sz w:val="28"/>
          <w:szCs w:val="20"/>
          <w:lang w:eastAsia="zh-CN"/>
        </w:rPr>
        <w:t xml:space="preserve"> </w:t>
      </w:r>
      <w:r w:rsidRPr="00534165">
        <w:rPr>
          <w:rFonts w:ascii="SimSun" w:hAnsi="SimSun" w:hint="eastAsia"/>
          <w:kern w:val="22"/>
          <w:sz w:val="20"/>
          <w:szCs w:val="20"/>
          <w:lang w:eastAsia="zh-CN"/>
        </w:rPr>
        <w:t>见科咨机构第</w:t>
      </w:r>
      <w:r w:rsidRPr="00EA0838">
        <w:rPr>
          <w:kern w:val="22"/>
          <w:sz w:val="20"/>
          <w:szCs w:val="20"/>
          <w:lang w:eastAsia="zh-CN"/>
        </w:rPr>
        <w:t>XXI/1</w:t>
      </w:r>
      <w:r w:rsidRPr="00534165">
        <w:rPr>
          <w:rFonts w:ascii="SimSun" w:hAnsi="SimSun" w:hint="eastAsia"/>
          <w:kern w:val="22"/>
          <w:sz w:val="20"/>
          <w:szCs w:val="20"/>
          <w:lang w:eastAsia="zh-CN"/>
        </w:rPr>
        <w:t>号建议所载缔约方大会决定草案。</w:t>
      </w:r>
    </w:p>
  </w:footnote>
  <w:footnote w:id="323">
    <w:p w:rsidR="00594C0B" w:rsidRPr="00DE1325" w:rsidRDefault="00594C0B" w:rsidP="00B72FA3">
      <w:pPr>
        <w:pStyle w:val="FootnoteText"/>
        <w:tabs>
          <w:tab w:val="left" w:pos="360"/>
        </w:tabs>
        <w:kinsoku w:val="0"/>
        <w:overflowPunct w:val="0"/>
        <w:autoSpaceDE w:val="0"/>
        <w:autoSpaceDN w:val="0"/>
        <w:adjustRightInd w:val="0"/>
        <w:snapToGrid w:val="0"/>
        <w:spacing w:before="0"/>
        <w:ind w:firstLine="0"/>
        <w:jc w:val="left"/>
        <w:rPr>
          <w:sz w:val="20"/>
          <w:szCs w:val="20"/>
          <w:lang w:eastAsia="zh-CN"/>
        </w:rPr>
      </w:pPr>
      <w:r w:rsidRPr="00B72FA3">
        <w:rPr>
          <w:rStyle w:val="FootnoteReference"/>
          <w:kern w:val="18"/>
          <w:sz w:val="24"/>
          <w:szCs w:val="20"/>
          <w:u w:val="none"/>
          <w:vertAlign w:val="superscript"/>
        </w:rPr>
        <w:footnoteRef/>
      </w:r>
      <w:r w:rsidRPr="00DE1325">
        <w:rPr>
          <w:kern w:val="18"/>
          <w:sz w:val="20"/>
          <w:szCs w:val="20"/>
          <w:lang w:eastAsia="zh-CN"/>
        </w:rPr>
        <w:t xml:space="preserve"> </w:t>
      </w:r>
      <w:r w:rsidRPr="00DE1325">
        <w:rPr>
          <w:kern w:val="18"/>
          <w:sz w:val="20"/>
          <w:szCs w:val="20"/>
          <w:lang w:eastAsia="zh-CN"/>
        </w:rPr>
        <w:tab/>
      </w:r>
      <w:r w:rsidRPr="00DE1325">
        <w:rPr>
          <w:rFonts w:ascii="SimSun" w:hAnsi="SimSun" w:cs="SimSun" w:hint="eastAsia"/>
          <w:kern w:val="18"/>
          <w:sz w:val="20"/>
          <w:szCs w:val="20"/>
          <w:lang w:eastAsia="zh-CN"/>
        </w:rPr>
        <w:t>见联大</w:t>
      </w:r>
      <w:smartTag w:uri="urn:schemas-microsoft-com:office:smarttags" w:element="chsdate">
        <w:smartTagPr>
          <w:attr w:name="IsROCDate" w:val="False"/>
          <w:attr w:name="IsLunarDate" w:val="False"/>
          <w:attr w:name="Day" w:val="25"/>
          <w:attr w:name="Month" w:val="9"/>
          <w:attr w:name="Year" w:val="2015"/>
        </w:smartTagPr>
        <w:r w:rsidRPr="00DE1325">
          <w:rPr>
            <w:kern w:val="18"/>
            <w:sz w:val="20"/>
            <w:szCs w:val="20"/>
            <w:lang w:eastAsia="zh-CN"/>
          </w:rPr>
          <w:t>2015</w:t>
        </w:r>
        <w:r w:rsidRPr="00DE1325">
          <w:rPr>
            <w:rFonts w:ascii="SimSun" w:hAnsi="SimSun" w:cs="SimSun" w:hint="eastAsia"/>
            <w:kern w:val="18"/>
            <w:sz w:val="20"/>
            <w:szCs w:val="20"/>
            <w:lang w:eastAsia="zh-CN"/>
          </w:rPr>
          <w:t>年</w:t>
        </w:r>
        <w:r w:rsidRPr="00DE1325">
          <w:rPr>
            <w:kern w:val="18"/>
            <w:sz w:val="20"/>
            <w:szCs w:val="20"/>
            <w:lang w:eastAsia="zh-CN"/>
          </w:rPr>
          <w:t>9</w:t>
        </w:r>
        <w:r w:rsidRPr="00DE1325">
          <w:rPr>
            <w:rFonts w:ascii="SimSun" w:hAnsi="SimSun" w:cs="SimSun" w:hint="eastAsia"/>
            <w:kern w:val="18"/>
            <w:sz w:val="20"/>
            <w:szCs w:val="20"/>
            <w:lang w:eastAsia="zh-CN"/>
          </w:rPr>
          <w:t>月</w:t>
        </w:r>
        <w:r w:rsidRPr="00DE1325">
          <w:rPr>
            <w:kern w:val="18"/>
            <w:sz w:val="20"/>
            <w:szCs w:val="20"/>
            <w:lang w:eastAsia="zh-CN"/>
          </w:rPr>
          <w:t>25</w:t>
        </w:r>
        <w:r w:rsidRPr="00DE1325">
          <w:rPr>
            <w:rFonts w:ascii="SimSun" w:hAnsi="SimSun" w:cs="SimSun" w:hint="eastAsia"/>
            <w:kern w:val="18"/>
            <w:sz w:val="20"/>
            <w:szCs w:val="20"/>
            <w:lang w:eastAsia="zh-CN"/>
          </w:rPr>
          <w:t>日</w:t>
        </w:r>
      </w:smartTag>
      <w:r w:rsidRPr="00DE1325">
        <w:rPr>
          <w:rFonts w:ascii="SimSun" w:hAnsi="SimSun" w:cs="SimSun" w:hint="eastAsia"/>
          <w:kern w:val="18"/>
          <w:sz w:val="20"/>
          <w:szCs w:val="20"/>
          <w:lang w:eastAsia="zh-CN"/>
        </w:rPr>
        <w:t>第</w:t>
      </w:r>
      <w:hyperlink r:id="rId134" w:history="1">
        <w:r w:rsidRPr="00DE1325">
          <w:rPr>
            <w:rStyle w:val="Hyperlink"/>
            <w:kern w:val="18"/>
            <w:lang w:eastAsia="zh-CN"/>
          </w:rPr>
          <w:t>70/1</w:t>
        </w:r>
      </w:hyperlink>
      <w:r w:rsidRPr="00DE1325">
        <w:rPr>
          <w:rFonts w:ascii="SimSun" w:hAnsi="SimSun" w:cs="SimSun" w:hint="eastAsia"/>
          <w:kern w:val="18"/>
          <w:sz w:val="20"/>
          <w:szCs w:val="20"/>
          <w:lang w:eastAsia="zh-CN"/>
        </w:rPr>
        <w:t>号决议。</w:t>
      </w:r>
    </w:p>
  </w:footnote>
  <w:footnote w:id="324">
    <w:p w:rsidR="00594C0B" w:rsidRPr="00DE1325" w:rsidRDefault="00594C0B" w:rsidP="00B72FA3">
      <w:pPr>
        <w:pStyle w:val="FootnoteText"/>
        <w:tabs>
          <w:tab w:val="left" w:pos="360"/>
        </w:tabs>
        <w:kinsoku w:val="0"/>
        <w:overflowPunct w:val="0"/>
        <w:autoSpaceDE w:val="0"/>
        <w:autoSpaceDN w:val="0"/>
        <w:adjustRightInd w:val="0"/>
        <w:snapToGrid w:val="0"/>
        <w:spacing w:before="0"/>
        <w:ind w:firstLine="0"/>
        <w:jc w:val="left"/>
        <w:rPr>
          <w:sz w:val="20"/>
          <w:szCs w:val="20"/>
          <w:lang w:eastAsia="zh-CN"/>
        </w:rPr>
      </w:pPr>
      <w:r w:rsidRPr="00B72FA3">
        <w:rPr>
          <w:rStyle w:val="FootnoteReference"/>
          <w:kern w:val="18"/>
          <w:sz w:val="24"/>
          <w:szCs w:val="20"/>
          <w:u w:val="none"/>
          <w:vertAlign w:val="superscript"/>
        </w:rPr>
        <w:footnoteRef/>
      </w:r>
      <w:r w:rsidRPr="00B72FA3">
        <w:rPr>
          <w:rStyle w:val="FootnoteReference"/>
          <w:sz w:val="24"/>
          <w:szCs w:val="20"/>
          <w:u w:val="none"/>
          <w:lang w:eastAsia="zh-CN"/>
        </w:rPr>
        <w:t xml:space="preserve"> </w:t>
      </w:r>
      <w:r w:rsidRPr="00DE1325">
        <w:rPr>
          <w:sz w:val="20"/>
          <w:szCs w:val="20"/>
          <w:lang w:eastAsia="zh-CN"/>
        </w:rPr>
        <w:tab/>
      </w:r>
      <w:r w:rsidRPr="00DE1325">
        <w:rPr>
          <w:rFonts w:ascii="SimSun" w:hAnsi="SimSun" w:cs="SimSun" w:hint="eastAsia"/>
          <w:kern w:val="18"/>
          <w:sz w:val="20"/>
          <w:szCs w:val="20"/>
          <w:lang w:eastAsia="zh-CN"/>
        </w:rPr>
        <w:t>联合国，《</w:t>
      </w:r>
      <w:r w:rsidRPr="00DE1325">
        <w:rPr>
          <w:rFonts w:ascii="KaiTi" w:eastAsia="KaiTi" w:hAnsi="KaiTi" w:hint="eastAsia"/>
          <w:iCs/>
          <w:sz w:val="20"/>
          <w:szCs w:val="20"/>
          <w:lang w:eastAsia="zh-CN"/>
        </w:rPr>
        <w:t>条约汇编</w:t>
      </w:r>
      <w:r w:rsidRPr="00DE1325">
        <w:rPr>
          <w:rFonts w:ascii="SimSun" w:hAnsi="SimSun" w:cs="SimSun" w:hint="eastAsia"/>
          <w:kern w:val="18"/>
          <w:sz w:val="20"/>
          <w:szCs w:val="20"/>
          <w:lang w:eastAsia="zh-CN"/>
        </w:rPr>
        <w:t>》，第</w:t>
      </w:r>
      <w:r w:rsidRPr="00DE1325">
        <w:rPr>
          <w:kern w:val="18"/>
          <w:sz w:val="20"/>
          <w:szCs w:val="20"/>
          <w:lang w:eastAsia="zh-CN"/>
        </w:rPr>
        <w:t>54113</w:t>
      </w:r>
      <w:r w:rsidRPr="00DE1325">
        <w:rPr>
          <w:rFonts w:ascii="SimSun" w:hAnsi="SimSun" w:cs="SimSun" w:hint="eastAsia"/>
          <w:kern w:val="18"/>
          <w:sz w:val="20"/>
          <w:szCs w:val="20"/>
          <w:lang w:eastAsia="zh-CN"/>
        </w:rPr>
        <w:t>号。</w:t>
      </w:r>
    </w:p>
  </w:footnote>
  <w:footnote w:id="325">
    <w:p w:rsidR="00594C0B" w:rsidRDefault="00594C0B" w:rsidP="00B72FA3">
      <w:pPr>
        <w:pStyle w:val="FootnoteText"/>
        <w:tabs>
          <w:tab w:val="left" w:pos="360"/>
        </w:tabs>
        <w:kinsoku w:val="0"/>
        <w:overflowPunct w:val="0"/>
        <w:autoSpaceDE w:val="0"/>
        <w:autoSpaceDN w:val="0"/>
        <w:adjustRightInd w:val="0"/>
        <w:snapToGrid w:val="0"/>
        <w:spacing w:before="0"/>
        <w:ind w:firstLine="0"/>
        <w:jc w:val="left"/>
        <w:rPr>
          <w:lang w:eastAsia="zh-CN"/>
        </w:rPr>
      </w:pPr>
      <w:r w:rsidRPr="00B72FA3">
        <w:rPr>
          <w:rStyle w:val="FootnoteReference"/>
          <w:kern w:val="18"/>
          <w:sz w:val="24"/>
          <w:szCs w:val="20"/>
          <w:u w:val="none"/>
          <w:vertAlign w:val="superscript"/>
        </w:rPr>
        <w:footnoteRef/>
      </w:r>
      <w:r w:rsidRPr="00B72FA3">
        <w:rPr>
          <w:rStyle w:val="FootnoteReference"/>
          <w:kern w:val="18"/>
          <w:sz w:val="24"/>
          <w:u w:val="none"/>
          <w:vertAlign w:val="superscript"/>
          <w:lang w:eastAsia="zh-CN"/>
        </w:rPr>
        <w:t xml:space="preserve"> </w:t>
      </w:r>
      <w:r w:rsidRPr="00DE1325">
        <w:rPr>
          <w:sz w:val="20"/>
          <w:szCs w:val="20"/>
          <w:lang w:eastAsia="zh-CN"/>
        </w:rPr>
        <w:tab/>
      </w:r>
      <w:r w:rsidRPr="00DE1325">
        <w:rPr>
          <w:rFonts w:hint="eastAsia"/>
          <w:sz w:val="20"/>
          <w:szCs w:val="20"/>
          <w:lang w:eastAsia="zh-CN"/>
        </w:rPr>
        <w:t>关于平台第一次工作方案执行情况的第</w:t>
      </w:r>
      <w:r w:rsidRPr="00DE1325">
        <w:rPr>
          <w:kern w:val="18"/>
          <w:sz w:val="20"/>
          <w:szCs w:val="20"/>
          <w:lang w:eastAsia="zh-CN"/>
        </w:rPr>
        <w:t>IPBES-6/1</w:t>
      </w:r>
      <w:r w:rsidRPr="00DE1325">
        <w:rPr>
          <w:rFonts w:hint="eastAsia"/>
          <w:sz w:val="20"/>
          <w:szCs w:val="20"/>
          <w:lang w:eastAsia="zh-CN"/>
        </w:rPr>
        <w:t>号决定。</w:t>
      </w:r>
    </w:p>
  </w:footnote>
  <w:footnote w:id="326">
    <w:p w:rsidR="00594C0B" w:rsidRPr="008640E9" w:rsidRDefault="00594C0B" w:rsidP="008640E9">
      <w:pPr>
        <w:pStyle w:val="ListParagraph"/>
        <w:tabs>
          <w:tab w:val="left" w:pos="360"/>
        </w:tabs>
        <w:spacing w:before="0" w:after="60"/>
        <w:ind w:left="0" w:firstLine="0"/>
        <w:rPr>
          <w:rFonts w:eastAsiaTheme="minorEastAsia"/>
          <w:kern w:val="18"/>
          <w:szCs w:val="18"/>
          <w:lang w:val="en-GB" w:eastAsia="zh-CN"/>
        </w:rPr>
      </w:pPr>
      <w:r w:rsidRPr="008640E9">
        <w:rPr>
          <w:rStyle w:val="FootnoteReference"/>
          <w:rFonts w:eastAsiaTheme="minorEastAsia"/>
          <w:kern w:val="18"/>
          <w:sz w:val="24"/>
          <w:szCs w:val="18"/>
          <w:u w:val="none"/>
          <w:vertAlign w:val="superscript"/>
          <w:lang w:val="en-GB"/>
        </w:rPr>
        <w:footnoteRef/>
      </w:r>
      <w:r w:rsidRPr="008640E9">
        <w:rPr>
          <w:rFonts w:eastAsiaTheme="minorEastAsia"/>
          <w:kern w:val="18"/>
          <w:sz w:val="36"/>
          <w:szCs w:val="18"/>
          <w:vertAlign w:val="superscript"/>
          <w:lang w:val="en-GB" w:eastAsia="zh-CN"/>
        </w:rPr>
        <w:t xml:space="preserve"> </w:t>
      </w:r>
      <w:r w:rsidRPr="008640E9">
        <w:rPr>
          <w:rFonts w:eastAsiaTheme="minorEastAsia"/>
          <w:kern w:val="18"/>
          <w:sz w:val="18"/>
          <w:szCs w:val="18"/>
          <w:lang w:val="en-GB" w:eastAsia="zh-CN"/>
        </w:rPr>
        <w:tab/>
      </w:r>
      <w:r w:rsidRPr="008640E9">
        <w:rPr>
          <w:rFonts w:eastAsiaTheme="minorEastAsia"/>
          <w:kern w:val="18"/>
          <w:sz w:val="18"/>
          <w:szCs w:val="18"/>
          <w:lang w:val="en-GB" w:eastAsia="zh-CN"/>
        </w:rPr>
        <w:t>见</w:t>
      </w:r>
      <w:r w:rsidRPr="008640E9">
        <w:rPr>
          <w:rFonts w:eastAsiaTheme="minorEastAsia"/>
          <w:kern w:val="18"/>
          <w:sz w:val="20"/>
          <w:szCs w:val="20"/>
          <w:lang w:val="en-GB" w:eastAsia="zh-CN"/>
        </w:rPr>
        <w:t>表</w:t>
      </w:r>
      <w:r w:rsidRPr="008640E9">
        <w:rPr>
          <w:rFonts w:eastAsiaTheme="minorEastAsia"/>
          <w:kern w:val="18"/>
          <w:sz w:val="20"/>
          <w:szCs w:val="20"/>
          <w:lang w:val="en-GB" w:eastAsia="zh-CN"/>
        </w:rPr>
        <w:t>6</w:t>
      </w:r>
      <w:r w:rsidRPr="008640E9">
        <w:rPr>
          <w:rFonts w:eastAsiaTheme="minorEastAsia"/>
          <w:kern w:val="18"/>
          <w:sz w:val="20"/>
          <w:szCs w:val="20"/>
          <w:lang w:val="en-GB" w:eastAsia="zh-CN"/>
        </w:rPr>
        <w:t>的脚注。根据联合国大会第</w:t>
      </w:r>
      <w:r w:rsidRPr="008640E9">
        <w:rPr>
          <w:rFonts w:eastAsiaTheme="minorEastAsia"/>
          <w:kern w:val="18"/>
          <w:sz w:val="20"/>
          <w:szCs w:val="20"/>
          <w:lang w:val="en-GB" w:eastAsia="zh-CN"/>
        </w:rPr>
        <w:t>70/245</w:t>
      </w:r>
      <w:r w:rsidRPr="008640E9">
        <w:rPr>
          <w:rFonts w:eastAsiaTheme="minorEastAsia"/>
          <w:kern w:val="18"/>
          <w:sz w:val="20"/>
          <w:szCs w:val="20"/>
          <w:lang w:val="en-GB" w:eastAsia="zh-CN"/>
        </w:rPr>
        <w:t>号决议。</w:t>
      </w:r>
    </w:p>
  </w:footnote>
  <w:footnote w:id="327">
    <w:p w:rsidR="00594C0B" w:rsidRPr="008640E9" w:rsidRDefault="00594C0B" w:rsidP="008640E9">
      <w:pPr>
        <w:pStyle w:val="ListParagraph"/>
        <w:tabs>
          <w:tab w:val="left" w:pos="360"/>
        </w:tabs>
        <w:spacing w:before="0" w:after="60"/>
        <w:ind w:left="0" w:firstLine="0"/>
        <w:rPr>
          <w:rFonts w:eastAsiaTheme="minorEastAsia"/>
          <w:kern w:val="18"/>
          <w:szCs w:val="18"/>
          <w:lang w:val="en-GB" w:eastAsia="zh-CN"/>
        </w:rPr>
      </w:pPr>
      <w:r w:rsidRPr="008640E9">
        <w:rPr>
          <w:rFonts w:eastAsiaTheme="minorEastAsia"/>
          <w:szCs w:val="20"/>
          <w:vertAlign w:val="superscript"/>
          <w:lang w:eastAsia="zh-CN"/>
        </w:rPr>
        <w:footnoteRef/>
      </w:r>
      <w:r w:rsidRPr="008640E9">
        <w:rPr>
          <w:rFonts w:eastAsiaTheme="minorEastAsia"/>
          <w:kern w:val="18"/>
          <w:szCs w:val="20"/>
          <w:vertAlign w:val="superscript"/>
          <w:lang w:val="en-GB" w:eastAsia="zh-CN"/>
        </w:rPr>
        <w:t xml:space="preserve"> </w:t>
      </w:r>
      <w:r w:rsidRPr="008640E9">
        <w:rPr>
          <w:rFonts w:eastAsiaTheme="minorEastAsia"/>
          <w:kern w:val="18"/>
          <w:sz w:val="20"/>
          <w:szCs w:val="20"/>
          <w:lang w:val="en-GB" w:eastAsia="zh-CN"/>
        </w:rPr>
        <w:tab/>
      </w:r>
      <w:hyperlink r:id="rId135" w:history="1">
        <w:r w:rsidRPr="008640E9">
          <w:rPr>
            <w:rStyle w:val="Hyperlink"/>
            <w:rFonts w:eastAsiaTheme="minorEastAsia"/>
            <w:kern w:val="18"/>
            <w:sz w:val="20"/>
            <w:szCs w:val="20"/>
            <w:lang w:eastAsia="zh-CN"/>
          </w:rPr>
          <w:t>CBD/COP</w:t>
        </w:r>
        <w:r w:rsidRPr="008640E9">
          <w:rPr>
            <w:rStyle w:val="Hyperlink"/>
            <w:rFonts w:eastAsiaTheme="minorEastAsia"/>
            <w:kern w:val="18"/>
            <w:sz w:val="20"/>
            <w:szCs w:val="20"/>
            <w:lang w:val="en-GB" w:eastAsia="zh-CN"/>
          </w:rPr>
          <w:t>/</w:t>
        </w:r>
        <w:r w:rsidRPr="008640E9">
          <w:rPr>
            <w:rStyle w:val="Hyperlink"/>
            <w:rFonts w:eastAsiaTheme="minorEastAsia"/>
            <w:kern w:val="18"/>
            <w:sz w:val="20"/>
            <w:szCs w:val="20"/>
            <w:lang w:eastAsia="zh-CN"/>
          </w:rPr>
          <w:t>14/4</w:t>
        </w:r>
      </w:hyperlink>
      <w:r w:rsidRPr="008640E9">
        <w:rPr>
          <w:rFonts w:eastAsiaTheme="minorEastAsia"/>
          <w:kern w:val="18"/>
          <w:sz w:val="20"/>
          <w:szCs w:val="20"/>
          <w:lang w:val="en-GB" w:eastAsia="zh-CN"/>
        </w:rPr>
        <w:t>。</w:t>
      </w:r>
    </w:p>
  </w:footnote>
  <w:footnote w:id="328">
    <w:p w:rsidR="00594C0B" w:rsidRPr="008640E9" w:rsidRDefault="00594C0B" w:rsidP="008640E9">
      <w:pPr>
        <w:pStyle w:val="FootnoteText"/>
        <w:tabs>
          <w:tab w:val="left" w:pos="360"/>
        </w:tabs>
        <w:spacing w:before="0"/>
        <w:ind w:firstLine="0"/>
        <w:rPr>
          <w:rFonts w:eastAsiaTheme="minorEastAsia"/>
          <w:lang w:eastAsia="zh-CN"/>
        </w:rPr>
      </w:pPr>
      <w:r w:rsidRPr="008640E9">
        <w:rPr>
          <w:rStyle w:val="FootnoteReference"/>
          <w:rFonts w:eastAsiaTheme="minorEastAsia"/>
          <w:sz w:val="24"/>
          <w:u w:val="none"/>
          <w:vertAlign w:val="superscript"/>
        </w:rPr>
        <w:footnoteRef/>
      </w:r>
      <w:r w:rsidRPr="008640E9">
        <w:rPr>
          <w:rFonts w:eastAsiaTheme="minorEastAsia"/>
          <w:kern w:val="18"/>
          <w:sz w:val="28"/>
          <w:szCs w:val="18"/>
          <w:vertAlign w:val="superscript"/>
          <w:lang w:eastAsia="zh-CN"/>
        </w:rPr>
        <w:t xml:space="preserve"> </w:t>
      </w:r>
      <w:r w:rsidRPr="008640E9">
        <w:rPr>
          <w:rFonts w:eastAsiaTheme="minorEastAsia"/>
          <w:kern w:val="18"/>
          <w:sz w:val="20"/>
          <w:szCs w:val="18"/>
          <w:lang w:eastAsia="zh-CN"/>
        </w:rPr>
        <w:tab/>
      </w:r>
      <w:r w:rsidRPr="008640E9">
        <w:rPr>
          <w:rFonts w:eastAsiaTheme="minorEastAsia"/>
          <w:kern w:val="18"/>
          <w:sz w:val="20"/>
          <w:szCs w:val="18"/>
          <w:lang w:eastAsia="zh-CN"/>
        </w:rPr>
        <w:t>见联大第</w:t>
      </w:r>
      <w:r w:rsidRPr="008640E9">
        <w:rPr>
          <w:rStyle w:val="Hyperlink"/>
          <w:rFonts w:eastAsiaTheme="minorEastAsia"/>
          <w:lang w:eastAsia="zh-CN"/>
        </w:rPr>
        <w:t>60/</w:t>
      </w:r>
      <w:hyperlink r:id="rId136" w:history="1">
        <w:r w:rsidRPr="008640E9">
          <w:rPr>
            <w:rStyle w:val="Hyperlink"/>
            <w:rFonts w:eastAsiaTheme="minorEastAsia"/>
            <w:lang w:eastAsia="zh-CN"/>
          </w:rPr>
          <w:t>283</w:t>
        </w:r>
      </w:hyperlink>
      <w:r w:rsidRPr="008640E9">
        <w:rPr>
          <w:rFonts w:eastAsiaTheme="minorEastAsia"/>
          <w:kern w:val="18"/>
          <w:sz w:val="20"/>
          <w:szCs w:val="18"/>
          <w:lang w:eastAsia="zh-CN"/>
        </w:rPr>
        <w:t>号决议，第四节。</w:t>
      </w:r>
    </w:p>
  </w:footnote>
  <w:footnote w:id="329">
    <w:p w:rsidR="00594C0B" w:rsidRPr="008640E9" w:rsidRDefault="00594C0B" w:rsidP="008640E9">
      <w:pPr>
        <w:pStyle w:val="FootnoteText"/>
        <w:tabs>
          <w:tab w:val="left" w:pos="360"/>
        </w:tabs>
        <w:spacing w:before="0"/>
        <w:ind w:firstLine="0"/>
        <w:jc w:val="left"/>
        <w:rPr>
          <w:rFonts w:eastAsiaTheme="minorEastAsia"/>
          <w:kern w:val="18"/>
          <w:sz w:val="20"/>
          <w:szCs w:val="18"/>
          <w:lang w:eastAsia="zh-CN"/>
        </w:rPr>
      </w:pPr>
      <w:r w:rsidRPr="008640E9">
        <w:rPr>
          <w:rStyle w:val="FootnoteReference"/>
          <w:rFonts w:eastAsiaTheme="minorEastAsia"/>
          <w:kern w:val="18"/>
          <w:sz w:val="24"/>
          <w:szCs w:val="18"/>
          <w:u w:val="none"/>
          <w:vertAlign w:val="superscript"/>
        </w:rPr>
        <w:footnoteRef/>
      </w:r>
      <w:r w:rsidRPr="008640E9">
        <w:rPr>
          <w:rFonts w:eastAsiaTheme="minorEastAsia"/>
          <w:kern w:val="18"/>
          <w:sz w:val="20"/>
          <w:szCs w:val="18"/>
          <w:lang w:eastAsia="zh-CN"/>
        </w:rPr>
        <w:t xml:space="preserve"> </w:t>
      </w:r>
      <w:r w:rsidRPr="008640E9">
        <w:rPr>
          <w:rFonts w:eastAsiaTheme="minorEastAsia"/>
          <w:kern w:val="18"/>
          <w:sz w:val="20"/>
          <w:szCs w:val="18"/>
          <w:lang w:eastAsia="zh-CN"/>
        </w:rPr>
        <w:tab/>
      </w:r>
      <w:r w:rsidRPr="008640E9">
        <w:rPr>
          <w:rFonts w:eastAsiaTheme="minorEastAsia"/>
          <w:kern w:val="18"/>
          <w:sz w:val="20"/>
          <w:szCs w:val="18"/>
          <w:lang w:eastAsia="zh-CN"/>
        </w:rPr>
        <w:t>见：</w:t>
      </w:r>
      <w:hyperlink r:id="rId137" w:history="1">
        <w:r w:rsidRPr="008640E9">
          <w:rPr>
            <w:rStyle w:val="Hyperlink"/>
            <w:rFonts w:eastAsiaTheme="minorEastAsia"/>
            <w:kern w:val="18"/>
            <w:szCs w:val="18"/>
            <w:lang w:eastAsia="zh-CN"/>
          </w:rPr>
          <w:t>CBD/SBI/2/22</w:t>
        </w:r>
      </w:hyperlink>
      <w:r w:rsidRPr="008640E9">
        <w:rPr>
          <w:rFonts w:eastAsiaTheme="minorEastAsia"/>
          <w:kern w:val="18"/>
          <w:sz w:val="20"/>
          <w:szCs w:val="18"/>
          <w:lang w:eastAsia="zh-CN"/>
        </w:rPr>
        <w:t>，第一节。</w:t>
      </w:r>
    </w:p>
  </w:footnote>
  <w:footnote w:id="330">
    <w:p w:rsidR="00594C0B" w:rsidRPr="008640E9" w:rsidRDefault="00594C0B" w:rsidP="008640E9">
      <w:pPr>
        <w:pStyle w:val="FootnoteText"/>
        <w:tabs>
          <w:tab w:val="left" w:pos="360"/>
        </w:tabs>
        <w:spacing w:before="0"/>
        <w:ind w:firstLine="0"/>
        <w:jc w:val="left"/>
        <w:rPr>
          <w:rFonts w:eastAsiaTheme="minorEastAsia"/>
          <w:kern w:val="18"/>
          <w:szCs w:val="18"/>
          <w:lang w:eastAsia="zh-CN"/>
        </w:rPr>
      </w:pPr>
      <w:r w:rsidRPr="008640E9">
        <w:rPr>
          <w:rStyle w:val="FootnoteReference"/>
          <w:rFonts w:eastAsiaTheme="minorEastAsia"/>
          <w:kern w:val="18"/>
          <w:sz w:val="24"/>
          <w:szCs w:val="18"/>
          <w:u w:val="none"/>
          <w:vertAlign w:val="superscript"/>
        </w:rPr>
        <w:footnoteRef/>
      </w:r>
      <w:r w:rsidRPr="008640E9">
        <w:rPr>
          <w:rStyle w:val="FootnoteReference"/>
          <w:rFonts w:eastAsiaTheme="minorEastAsia"/>
          <w:sz w:val="24"/>
          <w:u w:val="none"/>
          <w:vertAlign w:val="superscript"/>
          <w:lang w:eastAsia="zh-CN"/>
        </w:rPr>
        <w:t xml:space="preserve"> </w:t>
      </w:r>
      <w:r w:rsidRPr="008640E9">
        <w:rPr>
          <w:rFonts w:eastAsiaTheme="minorEastAsia"/>
          <w:kern w:val="18"/>
          <w:sz w:val="20"/>
          <w:szCs w:val="18"/>
          <w:lang w:eastAsia="zh-CN"/>
        </w:rPr>
        <w:tab/>
      </w:r>
      <w:r w:rsidRPr="008640E9">
        <w:rPr>
          <w:rFonts w:eastAsiaTheme="minorEastAsia"/>
          <w:kern w:val="18"/>
          <w:sz w:val="20"/>
          <w:szCs w:val="18"/>
          <w:lang w:eastAsia="zh-CN"/>
        </w:rPr>
        <w:t>见第</w:t>
      </w:r>
      <w:hyperlink r:id="rId138" w:history="1">
        <w:r w:rsidRPr="008640E9">
          <w:rPr>
            <w:rStyle w:val="Hyperlink"/>
            <w:rFonts w:eastAsiaTheme="minorEastAsia"/>
            <w:kern w:val="18"/>
            <w:szCs w:val="18"/>
            <w:lang w:eastAsia="zh-CN"/>
          </w:rPr>
          <w:t>IX/34</w:t>
        </w:r>
      </w:hyperlink>
      <w:r w:rsidRPr="008640E9">
        <w:rPr>
          <w:rFonts w:eastAsiaTheme="minorEastAsia"/>
          <w:sz w:val="20"/>
          <w:szCs w:val="20"/>
          <w:lang w:eastAsia="zh-CN"/>
        </w:rPr>
        <w:t>号决定，附件。</w:t>
      </w:r>
    </w:p>
  </w:footnote>
  <w:footnote w:id="331">
    <w:p w:rsidR="00594C0B" w:rsidRPr="008640E9" w:rsidRDefault="00594C0B" w:rsidP="008640E9">
      <w:pPr>
        <w:pStyle w:val="FootnoteText"/>
        <w:tabs>
          <w:tab w:val="left" w:pos="360"/>
        </w:tabs>
        <w:spacing w:before="0"/>
        <w:ind w:firstLine="0"/>
        <w:rPr>
          <w:rFonts w:eastAsiaTheme="minorEastAsia"/>
          <w:kern w:val="18"/>
          <w:sz w:val="20"/>
          <w:szCs w:val="18"/>
          <w:lang w:eastAsia="zh-CN"/>
        </w:rPr>
      </w:pPr>
      <w:r w:rsidRPr="008640E9">
        <w:rPr>
          <w:rFonts w:eastAsiaTheme="minorEastAsia"/>
          <w:kern w:val="18"/>
          <w:sz w:val="24"/>
          <w:szCs w:val="18"/>
          <w:vertAlign w:val="superscript"/>
          <w:lang w:eastAsia="zh-CN"/>
        </w:rPr>
        <w:footnoteRef/>
      </w:r>
      <w:r w:rsidRPr="008640E9">
        <w:rPr>
          <w:rFonts w:eastAsiaTheme="minorEastAsia"/>
          <w:kern w:val="18"/>
          <w:sz w:val="24"/>
          <w:szCs w:val="18"/>
          <w:vertAlign w:val="superscript"/>
          <w:lang w:eastAsia="zh-CN"/>
        </w:rPr>
        <w:t xml:space="preserve"> </w:t>
      </w:r>
      <w:r w:rsidRPr="008640E9">
        <w:rPr>
          <w:rFonts w:eastAsiaTheme="minorEastAsia"/>
          <w:kern w:val="18"/>
          <w:sz w:val="20"/>
          <w:szCs w:val="18"/>
          <w:lang w:eastAsia="zh-CN"/>
        </w:rPr>
        <w:tab/>
      </w:r>
      <w:r w:rsidRPr="008640E9">
        <w:rPr>
          <w:rFonts w:eastAsiaTheme="minorEastAsia"/>
          <w:kern w:val="18"/>
          <w:sz w:val="20"/>
          <w:szCs w:val="18"/>
          <w:lang w:eastAsia="zh-CN"/>
        </w:rPr>
        <w:t>日本生物多样性基金的预期终止时间是</w:t>
      </w:r>
      <w:r w:rsidRPr="008640E9">
        <w:rPr>
          <w:rFonts w:eastAsiaTheme="minorEastAsia"/>
          <w:kern w:val="18"/>
          <w:sz w:val="20"/>
          <w:szCs w:val="18"/>
          <w:lang w:eastAsia="zh-CN"/>
        </w:rPr>
        <w:t>2020</w:t>
      </w:r>
      <w:r w:rsidRPr="008640E9">
        <w:rPr>
          <w:rFonts w:eastAsiaTheme="minorEastAsia"/>
          <w:kern w:val="18"/>
          <w:sz w:val="20"/>
          <w:szCs w:val="18"/>
          <w:lang w:eastAsia="zh-CN"/>
        </w:rPr>
        <w:t>年，导致的缴款截止期限为</w:t>
      </w:r>
      <w:r w:rsidRPr="008640E9">
        <w:rPr>
          <w:rFonts w:eastAsiaTheme="minorEastAsia"/>
          <w:kern w:val="18"/>
          <w:sz w:val="20"/>
          <w:szCs w:val="18"/>
          <w:lang w:eastAsia="zh-CN"/>
        </w:rPr>
        <w:t>2020</w:t>
      </w:r>
      <w:r w:rsidRPr="008640E9">
        <w:rPr>
          <w:rFonts w:eastAsiaTheme="minorEastAsia"/>
          <w:kern w:val="18"/>
          <w:sz w:val="20"/>
          <w:szCs w:val="18"/>
          <w:lang w:eastAsia="zh-CN"/>
        </w:rPr>
        <w:t>年底。</w:t>
      </w:r>
    </w:p>
  </w:footnote>
  <w:footnote w:id="332">
    <w:p w:rsidR="00594C0B" w:rsidRPr="008640E9" w:rsidRDefault="00594C0B" w:rsidP="008640E9">
      <w:pPr>
        <w:pStyle w:val="FootnoteText"/>
        <w:tabs>
          <w:tab w:val="left" w:pos="360"/>
        </w:tabs>
        <w:spacing w:before="0"/>
        <w:ind w:firstLine="0"/>
        <w:rPr>
          <w:rFonts w:eastAsiaTheme="minorEastAsia"/>
          <w:lang w:val="en-US" w:eastAsia="zh-CN"/>
        </w:rPr>
      </w:pPr>
      <w:r w:rsidRPr="008640E9">
        <w:rPr>
          <w:rFonts w:eastAsiaTheme="minorEastAsia"/>
          <w:kern w:val="18"/>
          <w:sz w:val="24"/>
          <w:szCs w:val="18"/>
          <w:vertAlign w:val="superscript"/>
          <w:lang w:eastAsia="zh-CN"/>
        </w:rPr>
        <w:footnoteRef/>
      </w:r>
      <w:r w:rsidRPr="008640E9">
        <w:rPr>
          <w:rFonts w:eastAsiaTheme="minorEastAsia"/>
          <w:kern w:val="18"/>
          <w:sz w:val="20"/>
          <w:szCs w:val="18"/>
          <w:lang w:eastAsia="zh-CN"/>
        </w:rPr>
        <w:t xml:space="preserve"> </w:t>
      </w:r>
      <w:r w:rsidRPr="008640E9">
        <w:rPr>
          <w:rFonts w:eastAsiaTheme="minorEastAsia"/>
          <w:kern w:val="18"/>
          <w:sz w:val="20"/>
          <w:szCs w:val="18"/>
          <w:lang w:eastAsia="zh-CN"/>
        </w:rPr>
        <w:tab/>
      </w:r>
      <w:r w:rsidRPr="008640E9">
        <w:rPr>
          <w:rFonts w:eastAsiaTheme="minorEastAsia"/>
          <w:kern w:val="18"/>
          <w:sz w:val="20"/>
          <w:szCs w:val="18"/>
          <w:lang w:eastAsia="zh-CN"/>
        </w:rPr>
        <w:t>优先会议：缔约方大会、作为卡塔赫纳和名古屋议定书缔约方会议的缔约方大会、科学、技术和工艺咨询附属机构机构、执行问题附属机构、第</w:t>
      </w:r>
      <w:r w:rsidRPr="008640E9">
        <w:rPr>
          <w:rFonts w:eastAsiaTheme="minorEastAsia"/>
          <w:kern w:val="18"/>
          <w:sz w:val="20"/>
          <w:szCs w:val="18"/>
          <w:lang w:eastAsia="zh-CN"/>
        </w:rPr>
        <w:t>8(j)</w:t>
      </w:r>
      <w:r w:rsidRPr="008640E9">
        <w:rPr>
          <w:rFonts w:eastAsiaTheme="minorEastAsia"/>
          <w:kern w:val="18"/>
          <w:sz w:val="20"/>
          <w:szCs w:val="18"/>
          <w:lang w:eastAsia="zh-CN"/>
        </w:rPr>
        <w:t>条和相关条款问题不限成员名额特设工作组以及关于</w:t>
      </w:r>
      <w:r w:rsidRPr="008640E9">
        <w:rPr>
          <w:rFonts w:eastAsiaTheme="minorEastAsia"/>
          <w:kern w:val="18"/>
          <w:sz w:val="20"/>
          <w:szCs w:val="18"/>
          <w:lang w:eastAsia="zh-CN"/>
        </w:rPr>
        <w:t>2020</w:t>
      </w:r>
      <w:r w:rsidRPr="008640E9">
        <w:rPr>
          <w:rFonts w:eastAsiaTheme="minorEastAsia"/>
          <w:kern w:val="18"/>
          <w:sz w:val="20"/>
          <w:szCs w:val="18"/>
          <w:lang w:eastAsia="zh-CN"/>
        </w:rPr>
        <w:t>年后全球生物多样性框架的特别会议。</w:t>
      </w:r>
    </w:p>
  </w:footnote>
  <w:footnote w:id="333">
    <w:p w:rsidR="00594C0B" w:rsidRPr="00827646" w:rsidRDefault="00594C0B" w:rsidP="008640E9">
      <w:pPr>
        <w:pStyle w:val="FootnoteText"/>
        <w:tabs>
          <w:tab w:val="left" w:pos="360"/>
        </w:tabs>
        <w:spacing w:before="0"/>
        <w:ind w:firstLine="0"/>
        <w:rPr>
          <w:kern w:val="18"/>
          <w:sz w:val="20"/>
          <w:szCs w:val="18"/>
          <w:lang w:eastAsia="zh-CN"/>
        </w:rPr>
      </w:pPr>
      <w:r w:rsidRPr="008640E9">
        <w:rPr>
          <w:rFonts w:eastAsiaTheme="minorEastAsia"/>
          <w:kern w:val="18"/>
          <w:sz w:val="24"/>
          <w:szCs w:val="18"/>
          <w:vertAlign w:val="superscript"/>
          <w:lang w:eastAsia="zh-CN"/>
        </w:rPr>
        <w:footnoteRef/>
      </w:r>
      <w:r w:rsidRPr="008640E9">
        <w:rPr>
          <w:rFonts w:eastAsiaTheme="minorEastAsia"/>
          <w:kern w:val="18"/>
          <w:sz w:val="24"/>
          <w:szCs w:val="18"/>
          <w:vertAlign w:val="superscript"/>
          <w:lang w:eastAsia="zh-CN"/>
        </w:rPr>
        <w:t xml:space="preserve"> </w:t>
      </w:r>
      <w:r w:rsidRPr="008640E9">
        <w:rPr>
          <w:rFonts w:eastAsiaTheme="minorEastAsia"/>
          <w:kern w:val="18"/>
          <w:sz w:val="20"/>
          <w:szCs w:val="18"/>
          <w:lang w:eastAsia="zh-CN"/>
        </w:rPr>
        <w:tab/>
      </w:r>
      <w:r w:rsidRPr="008640E9">
        <w:rPr>
          <w:rFonts w:eastAsiaTheme="minorEastAsia"/>
          <w:kern w:val="18"/>
          <w:sz w:val="20"/>
          <w:szCs w:val="18"/>
          <w:lang w:eastAsia="zh-CN"/>
        </w:rPr>
        <w:t>特殊情况包括：执行秘书在会前三个月认为，由于</w:t>
      </w:r>
      <w:r w:rsidRPr="008640E9">
        <w:rPr>
          <w:rFonts w:eastAsiaTheme="minorEastAsia"/>
          <w:kern w:val="18"/>
          <w:sz w:val="20"/>
          <w:szCs w:val="18"/>
          <w:lang w:eastAsia="zh-CN"/>
        </w:rPr>
        <w:t>BZ</w:t>
      </w:r>
      <w:r w:rsidRPr="008640E9">
        <w:rPr>
          <w:rFonts w:eastAsiaTheme="minorEastAsia"/>
          <w:kern w:val="18"/>
          <w:sz w:val="20"/>
          <w:szCs w:val="18"/>
          <w:lang w:eastAsia="zh-CN"/>
        </w:rPr>
        <w:t>信托基金没有足够的资金，危及与会的程度。</w:t>
      </w:r>
    </w:p>
  </w:footnote>
  <w:footnote w:id="334">
    <w:p w:rsidR="00594C0B" w:rsidRDefault="00594C0B" w:rsidP="00B72FA3">
      <w:pPr>
        <w:pStyle w:val="FootnoteText"/>
        <w:tabs>
          <w:tab w:val="left" w:pos="360"/>
        </w:tabs>
        <w:spacing w:before="0"/>
        <w:ind w:firstLine="0"/>
        <w:rPr>
          <w:sz w:val="20"/>
          <w:lang w:eastAsia="zh-CN"/>
        </w:rPr>
      </w:pPr>
      <w:r w:rsidRPr="00B72FA3">
        <w:rPr>
          <w:rStyle w:val="FootnoteReference"/>
          <w:sz w:val="24"/>
          <w:u w:val="none"/>
          <w:vertAlign w:val="superscript"/>
        </w:rPr>
        <w:footnoteRef/>
      </w:r>
      <w:r w:rsidRPr="009B3B8E">
        <w:rPr>
          <w:sz w:val="24"/>
          <w:vertAlign w:val="superscript"/>
          <w:lang w:eastAsia="zh-CN"/>
        </w:rPr>
        <w:t xml:space="preserve"> </w:t>
      </w:r>
      <w:r>
        <w:rPr>
          <w:sz w:val="20"/>
          <w:lang w:eastAsia="zh-CN"/>
        </w:rPr>
        <w:tab/>
      </w:r>
      <w:r>
        <w:rPr>
          <w:rFonts w:hint="eastAsia"/>
          <w:sz w:val="20"/>
          <w:lang w:eastAsia="zh-CN"/>
        </w:rPr>
        <w:t>根据</w:t>
      </w:r>
      <w:r>
        <w:rPr>
          <w:sz w:val="20"/>
          <w:lang w:eastAsia="zh-CN"/>
        </w:rPr>
        <w:t>联合国大会第</w:t>
      </w:r>
      <w:r w:rsidRPr="00693417">
        <w:rPr>
          <w:sz w:val="20"/>
          <w:lang w:eastAsia="zh-CN"/>
        </w:rPr>
        <w:t>70/245</w:t>
      </w:r>
      <w:r>
        <w:rPr>
          <w:rFonts w:hint="eastAsia"/>
          <w:sz w:val="20"/>
          <w:lang w:eastAsia="zh-CN"/>
        </w:rPr>
        <w:t>号决议</w:t>
      </w:r>
      <w:r>
        <w:rPr>
          <w:sz w:val="20"/>
          <w:lang w:eastAsia="zh-CN"/>
        </w:rPr>
        <w:t>，</w:t>
      </w:r>
      <w:r>
        <w:rPr>
          <w:rFonts w:hint="eastAsia"/>
          <w:sz w:val="20"/>
          <w:lang w:eastAsia="zh-CN"/>
        </w:rPr>
        <w:t>将在发布</w:t>
      </w:r>
      <w:r>
        <w:rPr>
          <w:sz w:val="20"/>
          <w:lang w:eastAsia="zh-CN"/>
        </w:rPr>
        <w:t>后</w:t>
      </w:r>
      <w:r>
        <w:rPr>
          <w:rFonts w:hint="eastAsia"/>
          <w:sz w:val="20"/>
          <w:lang w:eastAsia="zh-CN"/>
        </w:rPr>
        <w:t>适用</w:t>
      </w:r>
      <w:r>
        <w:rPr>
          <w:sz w:val="20"/>
          <w:lang w:eastAsia="zh-CN"/>
        </w:rPr>
        <w:t>两年期</w:t>
      </w:r>
      <w:r>
        <w:rPr>
          <w:rFonts w:hint="eastAsia"/>
          <w:sz w:val="20"/>
          <w:lang w:eastAsia="zh-CN"/>
        </w:rPr>
        <w:t>的订正</w:t>
      </w:r>
      <w:r>
        <w:rPr>
          <w:sz w:val="20"/>
          <w:lang w:eastAsia="zh-CN"/>
        </w:rPr>
        <w:t>分摊比额表</w:t>
      </w:r>
      <w:r>
        <w:rPr>
          <w:rFonts w:hint="eastAsia"/>
          <w:sz w:val="20"/>
          <w:lang w:eastAsia="zh-CN"/>
        </w:rPr>
        <w:t>，</w:t>
      </w:r>
      <w:r>
        <w:rPr>
          <w:sz w:val="20"/>
          <w:lang w:eastAsia="zh-CN"/>
        </w:rPr>
        <w:t>计算</w:t>
      </w:r>
      <w:r w:rsidRPr="00693417">
        <w:rPr>
          <w:sz w:val="20"/>
          <w:lang w:eastAsia="zh-CN"/>
        </w:rPr>
        <w:t>2019-2020</w:t>
      </w:r>
      <w:r>
        <w:rPr>
          <w:rFonts w:hint="eastAsia"/>
          <w:sz w:val="20"/>
          <w:lang w:eastAsia="zh-CN"/>
        </w:rPr>
        <w:t>年</w:t>
      </w:r>
      <w:r>
        <w:rPr>
          <w:sz w:val="20"/>
          <w:lang w:eastAsia="zh-CN"/>
        </w:rPr>
        <w:t>两年期的</w:t>
      </w:r>
      <w:r>
        <w:rPr>
          <w:rFonts w:hint="eastAsia"/>
          <w:sz w:val="20"/>
          <w:lang w:eastAsia="zh-CN"/>
        </w:rPr>
        <w:t>摊款</w:t>
      </w:r>
      <w:r>
        <w:rPr>
          <w:sz w:val="20"/>
          <w:lang w:eastAsia="zh-CN"/>
        </w:rPr>
        <w:t>。</w:t>
      </w:r>
    </w:p>
    <w:p w:rsidR="00594C0B" w:rsidRPr="00A43B67" w:rsidRDefault="00594C0B" w:rsidP="00B72FA3">
      <w:pPr>
        <w:pStyle w:val="FootnoteText"/>
        <w:tabs>
          <w:tab w:val="left" w:pos="360"/>
        </w:tabs>
        <w:spacing w:before="0"/>
        <w:ind w:firstLine="0"/>
        <w:rPr>
          <w:sz w:val="20"/>
          <w:szCs w:val="20"/>
          <w:lang w:eastAsia="zh-CN"/>
        </w:rPr>
      </w:pPr>
      <w:r w:rsidRPr="00A43B67">
        <w:rPr>
          <w:rFonts w:hint="eastAsia"/>
          <w:kern w:val="18"/>
          <w:sz w:val="20"/>
          <w:szCs w:val="20"/>
          <w:lang w:eastAsia="zh-CN"/>
        </w:rPr>
        <w:t>（</w:t>
      </w:r>
      <w:r w:rsidRPr="00A43B67">
        <w:rPr>
          <w:kern w:val="18"/>
          <w:sz w:val="20"/>
          <w:szCs w:val="20"/>
          <w:lang w:eastAsia="zh-CN"/>
        </w:rPr>
        <w:t>见</w:t>
      </w:r>
      <w:hyperlink r:id="rId139" w:history="1">
        <w:r w:rsidRPr="00A43B67">
          <w:rPr>
            <w:rStyle w:val="Hyperlink"/>
            <w:kern w:val="18"/>
          </w:rPr>
          <w:t>https://www.cbd.int/doc/notifications/2019/ntf-2019-015-budget-cbd-en.pdf</w:t>
        </w:r>
      </w:hyperlink>
      <w:r w:rsidRPr="00A43B67">
        <w:rPr>
          <w:rFonts w:hint="eastAsia"/>
          <w:kern w:val="18"/>
          <w:sz w:val="20"/>
          <w:szCs w:val="20"/>
          <w:lang w:eastAsia="zh-CN"/>
        </w:rPr>
        <w:t>）。</w:t>
      </w:r>
    </w:p>
    <w:p w:rsidR="00594C0B" w:rsidRPr="00910C44" w:rsidRDefault="00594C0B" w:rsidP="00B72FA3">
      <w:pPr>
        <w:pStyle w:val="FootnoteText"/>
        <w:rPr>
          <w:lang w:val="en-US" w:eastAsia="zh-CN"/>
        </w:rPr>
      </w:pPr>
    </w:p>
  </w:footnote>
  <w:footnote w:id="335">
    <w:p w:rsidR="00594C0B" w:rsidRPr="00C00545" w:rsidRDefault="00594C0B" w:rsidP="00B611EC">
      <w:pPr>
        <w:pStyle w:val="FootnoteText"/>
        <w:tabs>
          <w:tab w:val="left" w:pos="360"/>
        </w:tabs>
        <w:spacing w:before="0"/>
        <w:ind w:firstLine="0"/>
        <w:jc w:val="left"/>
        <w:rPr>
          <w:szCs w:val="18"/>
        </w:rPr>
      </w:pPr>
      <w:r w:rsidRPr="00B611EC">
        <w:rPr>
          <w:rStyle w:val="FootnoteReference"/>
          <w:sz w:val="24"/>
          <w:szCs w:val="18"/>
          <w:u w:val="none"/>
          <w:vertAlign w:val="superscript"/>
        </w:rPr>
        <w:footnoteRef/>
      </w:r>
      <w:r w:rsidRPr="00B611EC">
        <w:rPr>
          <w:sz w:val="24"/>
          <w:szCs w:val="18"/>
          <w:vertAlign w:val="superscript"/>
          <w:lang w:eastAsia="zh-CN"/>
        </w:rPr>
        <w:t xml:space="preserve"> </w:t>
      </w:r>
      <w:r>
        <w:rPr>
          <w:sz w:val="24"/>
          <w:szCs w:val="18"/>
          <w:vertAlign w:val="superscript"/>
          <w:lang w:eastAsia="zh-CN"/>
        </w:rPr>
        <w:tab/>
      </w:r>
      <w:r w:rsidRPr="00177A95">
        <w:rPr>
          <w:rFonts w:asciiTheme="minorEastAsia" w:eastAsiaTheme="minorEastAsia" w:hAnsiTheme="minorEastAsia" w:hint="eastAsia"/>
          <w:sz w:val="20"/>
          <w:szCs w:val="18"/>
          <w:lang w:eastAsia="zh-CN"/>
        </w:rPr>
        <w:t>菲律宾</w:t>
      </w:r>
      <w:r w:rsidRPr="00177A95">
        <w:rPr>
          <w:rFonts w:asciiTheme="minorEastAsia" w:eastAsiaTheme="minorEastAsia" w:hAnsiTheme="minorEastAsia"/>
          <w:sz w:val="20"/>
          <w:szCs w:val="18"/>
          <w:lang w:eastAsia="zh-CN"/>
        </w:rPr>
        <w:t>提供了</w:t>
      </w:r>
      <w:r w:rsidRPr="00177A95">
        <w:rPr>
          <w:rFonts w:asciiTheme="minorEastAsia" w:eastAsiaTheme="minorEastAsia" w:hAnsiTheme="minorEastAsia" w:hint="eastAsia"/>
          <w:sz w:val="20"/>
          <w:szCs w:val="18"/>
          <w:lang w:eastAsia="zh-CN"/>
        </w:rPr>
        <w:t>以下</w:t>
      </w:r>
      <w:r w:rsidRPr="00177A95">
        <w:rPr>
          <w:rFonts w:asciiTheme="minorEastAsia" w:eastAsiaTheme="minorEastAsia" w:hAnsiTheme="minorEastAsia"/>
          <w:sz w:val="20"/>
          <w:szCs w:val="18"/>
          <w:lang w:eastAsia="zh-CN"/>
        </w:rPr>
        <w:t>书面声明</w:t>
      </w:r>
      <w:r w:rsidRPr="00177A95">
        <w:rPr>
          <w:rFonts w:asciiTheme="minorEastAsia" w:eastAsiaTheme="minorEastAsia" w:hAnsiTheme="minorEastAsia" w:hint="eastAsia"/>
          <w:sz w:val="20"/>
          <w:szCs w:val="18"/>
          <w:lang w:eastAsia="zh-CN"/>
        </w:rPr>
        <w:t>：</w:t>
      </w:r>
      <w:r w:rsidRPr="00177A95">
        <w:rPr>
          <w:rFonts w:asciiTheme="minorEastAsia" w:eastAsiaTheme="minorEastAsia" w:hAnsiTheme="minorEastAsia"/>
          <w:sz w:val="20"/>
          <w:szCs w:val="18"/>
          <w:lang w:eastAsia="zh-CN"/>
        </w:rPr>
        <w:t>“</w:t>
      </w:r>
      <w:r w:rsidRPr="00177A95">
        <w:rPr>
          <w:rFonts w:asciiTheme="minorEastAsia" w:eastAsiaTheme="minorEastAsia" w:hAnsiTheme="minorEastAsia" w:hint="eastAsia"/>
          <w:sz w:val="20"/>
          <w:szCs w:val="18"/>
          <w:lang w:eastAsia="zh-CN"/>
        </w:rPr>
        <w:t>菲律宾</w:t>
      </w:r>
      <w:r w:rsidRPr="00177A95">
        <w:rPr>
          <w:rFonts w:asciiTheme="minorEastAsia" w:eastAsiaTheme="minorEastAsia" w:hAnsiTheme="minorEastAsia"/>
          <w:sz w:val="20"/>
          <w:szCs w:val="18"/>
          <w:lang w:eastAsia="zh-CN"/>
        </w:rPr>
        <w:t>认为，</w:t>
      </w:r>
      <w:r w:rsidRPr="00177A95">
        <w:rPr>
          <w:rFonts w:asciiTheme="minorEastAsia" w:eastAsiaTheme="minorEastAsia" w:hAnsiTheme="minorEastAsia" w:hint="eastAsia"/>
          <w:sz w:val="20"/>
          <w:szCs w:val="18"/>
          <w:lang w:eastAsia="zh-CN"/>
        </w:rPr>
        <w:t>附件二</w:t>
      </w:r>
      <w:r w:rsidRPr="00177A95">
        <w:rPr>
          <w:rFonts w:asciiTheme="minorEastAsia" w:eastAsiaTheme="minorEastAsia" w:hAnsiTheme="minorEastAsia"/>
          <w:sz w:val="20"/>
          <w:szCs w:val="18"/>
          <w:lang w:eastAsia="zh-CN"/>
        </w:rPr>
        <w:t>中拟议第</w:t>
      </w:r>
      <w:r w:rsidRPr="00177A95">
        <w:rPr>
          <w:rFonts w:eastAsiaTheme="minorEastAsia"/>
          <w:sz w:val="20"/>
          <w:szCs w:val="18"/>
          <w:lang w:eastAsia="zh-CN"/>
        </w:rPr>
        <w:t>5(b)</w:t>
      </w:r>
      <w:r w:rsidRPr="00177A95">
        <w:rPr>
          <w:rFonts w:asciiTheme="minorEastAsia" w:eastAsiaTheme="minorEastAsia" w:hAnsiTheme="minorEastAsia" w:hint="eastAsia"/>
          <w:sz w:val="20"/>
          <w:szCs w:val="18"/>
          <w:lang w:eastAsia="zh-CN"/>
        </w:rPr>
        <w:t>段</w:t>
      </w:r>
      <w:r w:rsidRPr="00177A95">
        <w:rPr>
          <w:rFonts w:asciiTheme="minorEastAsia" w:eastAsiaTheme="minorEastAsia" w:hAnsiTheme="minorEastAsia"/>
          <w:sz w:val="20"/>
          <w:szCs w:val="18"/>
          <w:lang w:eastAsia="zh-CN"/>
        </w:rPr>
        <w:t>中以及提及沿海国家的文件的其他部分中的‘沿海包括岛屿国家’的短语应为‘</w:t>
      </w:r>
      <w:r w:rsidRPr="00177A95">
        <w:rPr>
          <w:rFonts w:asciiTheme="minorEastAsia" w:eastAsiaTheme="minorEastAsia" w:hAnsiTheme="minorEastAsia" w:hint="eastAsia"/>
          <w:sz w:val="20"/>
          <w:szCs w:val="18"/>
          <w:lang w:eastAsia="zh-CN"/>
        </w:rPr>
        <w:t>沿海</w:t>
      </w:r>
      <w:r w:rsidRPr="00177A95">
        <w:rPr>
          <w:rFonts w:asciiTheme="minorEastAsia" w:eastAsiaTheme="minorEastAsia" w:hAnsiTheme="minorEastAsia"/>
          <w:sz w:val="20"/>
          <w:szCs w:val="18"/>
          <w:lang w:eastAsia="zh-CN"/>
        </w:rPr>
        <w:t>和（或）岛屿国家’。</w:t>
      </w:r>
      <w:r w:rsidRPr="00177A95">
        <w:rPr>
          <w:rFonts w:asciiTheme="minorEastAsia" w:eastAsiaTheme="minorEastAsia" w:hAnsiTheme="minorEastAsia" w:hint="eastAsia"/>
          <w:sz w:val="20"/>
          <w:szCs w:val="18"/>
          <w:lang w:eastAsia="zh-CN"/>
        </w:rPr>
        <w:t>作为</w:t>
      </w:r>
      <w:r w:rsidRPr="00177A95">
        <w:rPr>
          <w:rFonts w:asciiTheme="minorEastAsia" w:eastAsiaTheme="minorEastAsia" w:hAnsiTheme="minorEastAsia"/>
          <w:sz w:val="20"/>
          <w:szCs w:val="18"/>
          <w:lang w:eastAsia="zh-CN"/>
        </w:rPr>
        <w:t>替代办法，菲律宾可以接受提及国家，</w:t>
      </w:r>
      <w:r w:rsidRPr="00177A95">
        <w:rPr>
          <w:rFonts w:asciiTheme="minorEastAsia" w:eastAsiaTheme="minorEastAsia" w:hAnsiTheme="minorEastAsia" w:hint="eastAsia"/>
          <w:sz w:val="20"/>
          <w:szCs w:val="18"/>
          <w:lang w:eastAsia="zh-CN"/>
        </w:rPr>
        <w:t>不</w:t>
      </w:r>
      <w:r w:rsidRPr="00177A95">
        <w:rPr>
          <w:rFonts w:asciiTheme="minorEastAsia" w:eastAsiaTheme="minorEastAsia" w:hAnsiTheme="minorEastAsia"/>
          <w:sz w:val="20"/>
          <w:szCs w:val="18"/>
          <w:lang w:eastAsia="zh-CN"/>
        </w:rPr>
        <w:t>进一步提及其性质，不论是沿海还是岛屿。</w:t>
      </w:r>
      <w:r w:rsidRPr="00177A95">
        <w:rPr>
          <w:rFonts w:asciiTheme="minorEastAsia" w:eastAsiaTheme="minorEastAsia" w:hAnsiTheme="minorEastAsia" w:hint="eastAsia"/>
          <w:sz w:val="20"/>
          <w:szCs w:val="18"/>
          <w:lang w:eastAsia="zh-CN"/>
        </w:rPr>
        <w:t>在</w:t>
      </w:r>
      <w:r w:rsidRPr="00177A95">
        <w:rPr>
          <w:rFonts w:asciiTheme="minorEastAsia" w:eastAsiaTheme="minorEastAsia" w:hAnsiTheme="minorEastAsia"/>
          <w:sz w:val="20"/>
          <w:szCs w:val="18"/>
          <w:lang w:eastAsia="zh-CN"/>
        </w:rPr>
        <w:t>与我国</w:t>
      </w:r>
      <w:r w:rsidRPr="00177A95">
        <w:rPr>
          <w:rFonts w:asciiTheme="minorEastAsia" w:eastAsiaTheme="minorEastAsia" w:hAnsiTheme="minorEastAsia" w:hint="eastAsia"/>
          <w:sz w:val="20"/>
          <w:szCs w:val="18"/>
          <w:lang w:eastAsia="zh-CN"/>
        </w:rPr>
        <w:t>首都</w:t>
      </w:r>
      <w:r w:rsidRPr="00177A95">
        <w:rPr>
          <w:rFonts w:asciiTheme="minorEastAsia" w:eastAsiaTheme="minorEastAsia" w:hAnsiTheme="minorEastAsia"/>
          <w:sz w:val="20"/>
          <w:szCs w:val="18"/>
          <w:lang w:eastAsia="zh-CN"/>
        </w:rPr>
        <w:t>进一步磋商后，还将</w:t>
      </w:r>
      <w:r w:rsidRPr="00177A95">
        <w:rPr>
          <w:rFonts w:asciiTheme="minorEastAsia" w:eastAsiaTheme="minorEastAsia" w:hAnsiTheme="minorEastAsia" w:hint="eastAsia"/>
          <w:sz w:val="20"/>
          <w:szCs w:val="18"/>
          <w:lang w:eastAsia="zh-CN"/>
        </w:rPr>
        <w:t>进一步</w:t>
      </w:r>
      <w:r w:rsidRPr="00177A95">
        <w:rPr>
          <w:rFonts w:asciiTheme="minorEastAsia" w:eastAsiaTheme="minorEastAsia" w:hAnsiTheme="minorEastAsia"/>
          <w:sz w:val="20"/>
          <w:szCs w:val="18"/>
          <w:lang w:eastAsia="zh-CN"/>
        </w:rPr>
        <w:t>提交</w:t>
      </w:r>
      <w:r w:rsidRPr="00177A95">
        <w:rPr>
          <w:rFonts w:asciiTheme="minorEastAsia" w:eastAsiaTheme="minorEastAsia" w:hAnsiTheme="minorEastAsia" w:hint="eastAsia"/>
          <w:sz w:val="20"/>
          <w:szCs w:val="18"/>
          <w:lang w:eastAsia="zh-CN"/>
        </w:rPr>
        <w:t>书面</w:t>
      </w:r>
      <w:r w:rsidRPr="00177A95">
        <w:rPr>
          <w:rFonts w:asciiTheme="minorEastAsia" w:eastAsiaTheme="minorEastAsia" w:hAnsiTheme="minorEastAsia"/>
          <w:sz w:val="20"/>
          <w:szCs w:val="18"/>
          <w:lang w:eastAsia="zh-CN"/>
        </w:rPr>
        <w:t>形式的表述。</w:t>
      </w:r>
      <w:r w:rsidRPr="00177A95">
        <w:rPr>
          <w:rFonts w:asciiTheme="minorEastAsia" w:eastAsiaTheme="minorEastAsia" w:hAnsiTheme="minorEastAsia"/>
          <w:sz w:val="20"/>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0B" w:rsidRPr="00663489" w:rsidRDefault="00594C0B" w:rsidP="00C9773D">
    <w:pPr>
      <w:topLinePunct/>
      <w:spacing w:before="0" w:after="0"/>
      <w:ind w:firstLine="0"/>
      <w:jc w:val="left"/>
      <w:rPr>
        <w:lang w:eastAsia="zh-CN"/>
      </w:rPr>
    </w:pPr>
    <w:r w:rsidRPr="00663489">
      <w:rPr>
        <w:lang w:eastAsia="zh-CN"/>
      </w:rPr>
      <w:t>CBD/COP/14/</w:t>
    </w:r>
    <w:r>
      <w:rPr>
        <w:lang w:eastAsia="zh-CN"/>
      </w:rPr>
      <w:t>14</w:t>
    </w:r>
  </w:p>
  <w:p w:rsidR="00594C0B" w:rsidRPr="008C6EB5" w:rsidRDefault="00594C0B" w:rsidP="00C9773D">
    <w:pPr>
      <w:topLinePunct/>
      <w:spacing w:before="0" w:after="0"/>
      <w:ind w:firstLine="0"/>
      <w:jc w:val="left"/>
      <w:rPr>
        <w:lang w:eastAsia="zh-CN"/>
      </w:rPr>
    </w:pPr>
    <w:r w:rsidRPr="008C6EB5">
      <w:rPr>
        <w:lang w:eastAsia="zh-CN"/>
      </w:rPr>
      <w:t xml:space="preserve">Page </w:t>
    </w:r>
    <w:r w:rsidR="00FE18AA" w:rsidRPr="008C6EB5">
      <w:rPr>
        <w:lang w:eastAsia="zh-CN"/>
      </w:rPr>
      <w:fldChar w:fldCharType="begin"/>
    </w:r>
    <w:r w:rsidRPr="008C6EB5">
      <w:rPr>
        <w:lang w:eastAsia="zh-CN"/>
      </w:rPr>
      <w:instrText xml:space="preserve"> PAGE   \* MERGEFORMAT </w:instrText>
    </w:r>
    <w:r w:rsidR="00FE18AA" w:rsidRPr="008C6EB5">
      <w:rPr>
        <w:lang w:eastAsia="zh-CN"/>
      </w:rPr>
      <w:fldChar w:fldCharType="separate"/>
    </w:r>
    <w:r w:rsidR="007D1184">
      <w:rPr>
        <w:noProof/>
        <w:lang w:eastAsia="zh-CN"/>
      </w:rPr>
      <w:t>112</w:t>
    </w:r>
    <w:r w:rsidR="00FE18AA" w:rsidRPr="008C6EB5">
      <w:rPr>
        <w:lang w:eastAsia="zh-CN"/>
      </w:rPr>
      <w:fldChar w:fldCharType="end"/>
    </w:r>
  </w:p>
  <w:p w:rsidR="00594C0B" w:rsidRPr="00C9773D" w:rsidRDefault="00594C0B" w:rsidP="00C9773D">
    <w:pPr>
      <w:pStyle w:val="Header"/>
      <w:ind w:firstLine="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0B" w:rsidRPr="00663489" w:rsidRDefault="00594C0B" w:rsidP="000606E1">
    <w:pPr>
      <w:topLinePunct/>
      <w:spacing w:before="0" w:after="0"/>
      <w:ind w:firstLine="0"/>
      <w:jc w:val="right"/>
      <w:rPr>
        <w:lang w:eastAsia="zh-CN"/>
      </w:rPr>
    </w:pPr>
    <w:r w:rsidRPr="00663489">
      <w:rPr>
        <w:lang w:eastAsia="zh-CN"/>
      </w:rPr>
      <w:t>CBD/COP/14/</w:t>
    </w:r>
    <w:r>
      <w:rPr>
        <w:lang w:eastAsia="zh-CN"/>
      </w:rPr>
      <w:t>14</w:t>
    </w:r>
  </w:p>
  <w:p w:rsidR="00594C0B" w:rsidRDefault="00594C0B" w:rsidP="000606E1">
    <w:pPr>
      <w:topLinePunct/>
      <w:spacing w:before="0" w:after="0"/>
      <w:ind w:firstLine="0"/>
      <w:jc w:val="right"/>
      <w:rPr>
        <w:lang w:eastAsia="zh-CN"/>
      </w:rPr>
    </w:pPr>
    <w:r w:rsidRPr="008C6EB5">
      <w:rPr>
        <w:lang w:eastAsia="zh-CN"/>
      </w:rPr>
      <w:t xml:space="preserve">Page </w:t>
    </w:r>
    <w:r w:rsidR="00FE18AA" w:rsidRPr="008C6EB5">
      <w:rPr>
        <w:lang w:eastAsia="zh-CN"/>
      </w:rPr>
      <w:fldChar w:fldCharType="begin"/>
    </w:r>
    <w:r w:rsidRPr="008C6EB5">
      <w:rPr>
        <w:lang w:eastAsia="zh-CN"/>
      </w:rPr>
      <w:instrText xml:space="preserve"> PAGE   \* MERGEFORMAT </w:instrText>
    </w:r>
    <w:r w:rsidR="00FE18AA" w:rsidRPr="008C6EB5">
      <w:rPr>
        <w:lang w:eastAsia="zh-CN"/>
      </w:rPr>
      <w:fldChar w:fldCharType="separate"/>
    </w:r>
    <w:r w:rsidR="007D1184">
      <w:rPr>
        <w:noProof/>
        <w:lang w:eastAsia="zh-CN"/>
      </w:rPr>
      <w:t>261</w:t>
    </w:r>
    <w:r w:rsidR="00FE18AA" w:rsidRPr="008C6EB5">
      <w:rPr>
        <w:lang w:eastAsia="zh-CN"/>
      </w:rPr>
      <w:fldChar w:fldCharType="end"/>
    </w:r>
  </w:p>
  <w:p w:rsidR="00594C0B" w:rsidRPr="000606E1" w:rsidRDefault="00594C0B" w:rsidP="00AA50C2">
    <w:pPr>
      <w:pStyle w:val="Header"/>
      <w:jc w:val="right"/>
      <w:rPr>
        <w:noProof/>
        <w:sz w:val="22"/>
        <w:szCs w:val="22"/>
        <w:lang w:val="en-CA" w:eastAsia="zh-CN"/>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0B" w:rsidRPr="00663489" w:rsidRDefault="00594C0B" w:rsidP="000606E1">
    <w:pPr>
      <w:topLinePunct/>
      <w:spacing w:before="0" w:after="0"/>
      <w:ind w:firstLine="0"/>
      <w:rPr>
        <w:lang w:eastAsia="zh-CN"/>
      </w:rPr>
    </w:pPr>
    <w:r w:rsidRPr="00663489">
      <w:rPr>
        <w:lang w:eastAsia="zh-CN"/>
      </w:rPr>
      <w:t>CBD/COP/14/</w:t>
    </w:r>
    <w:r>
      <w:rPr>
        <w:lang w:eastAsia="zh-CN"/>
      </w:rPr>
      <w:t>14</w:t>
    </w:r>
  </w:p>
  <w:p w:rsidR="00594C0B" w:rsidRDefault="00594C0B" w:rsidP="000606E1">
    <w:pPr>
      <w:topLinePunct/>
      <w:spacing w:before="0" w:after="0"/>
      <w:ind w:firstLine="0"/>
      <w:rPr>
        <w:lang w:eastAsia="zh-CN"/>
      </w:rPr>
    </w:pPr>
    <w:r w:rsidRPr="008C6EB5">
      <w:rPr>
        <w:lang w:eastAsia="zh-CN"/>
      </w:rPr>
      <w:t xml:space="preserve">Page </w:t>
    </w:r>
    <w:r w:rsidR="00FE18AA" w:rsidRPr="008C6EB5">
      <w:rPr>
        <w:lang w:eastAsia="zh-CN"/>
      </w:rPr>
      <w:fldChar w:fldCharType="begin"/>
    </w:r>
    <w:r w:rsidRPr="008C6EB5">
      <w:rPr>
        <w:lang w:eastAsia="zh-CN"/>
      </w:rPr>
      <w:instrText xml:space="preserve"> PAGE   \* MERGEFORMAT </w:instrText>
    </w:r>
    <w:r w:rsidR="00FE18AA" w:rsidRPr="008C6EB5">
      <w:rPr>
        <w:lang w:eastAsia="zh-CN"/>
      </w:rPr>
      <w:fldChar w:fldCharType="separate"/>
    </w:r>
    <w:r w:rsidR="007D1184">
      <w:rPr>
        <w:noProof/>
        <w:lang w:eastAsia="zh-CN"/>
      </w:rPr>
      <w:t>254</w:t>
    </w:r>
    <w:r w:rsidR="00FE18AA" w:rsidRPr="008C6EB5">
      <w:rPr>
        <w:lang w:eastAsia="zh-CN"/>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0B" w:rsidRPr="00663489" w:rsidRDefault="00594C0B" w:rsidP="001A2AC9">
    <w:pPr>
      <w:topLinePunct/>
      <w:spacing w:before="0" w:after="0"/>
      <w:jc w:val="right"/>
      <w:rPr>
        <w:lang w:eastAsia="zh-CN"/>
      </w:rPr>
    </w:pPr>
    <w:r w:rsidRPr="00663489">
      <w:rPr>
        <w:lang w:eastAsia="zh-CN"/>
      </w:rPr>
      <w:t>CBD/COP/14/</w:t>
    </w:r>
    <w:r>
      <w:rPr>
        <w:lang w:eastAsia="zh-CN"/>
      </w:rPr>
      <w:t>14</w:t>
    </w:r>
  </w:p>
  <w:p w:rsidR="00594C0B" w:rsidRPr="008C6EB5" w:rsidRDefault="00594C0B" w:rsidP="001A2AC9">
    <w:pPr>
      <w:topLinePunct/>
      <w:spacing w:before="0" w:after="0"/>
      <w:jc w:val="right"/>
      <w:rPr>
        <w:lang w:eastAsia="zh-CN"/>
      </w:rPr>
    </w:pPr>
    <w:r w:rsidRPr="008C6EB5">
      <w:rPr>
        <w:lang w:eastAsia="zh-CN"/>
      </w:rPr>
      <w:t xml:space="preserve">Page </w:t>
    </w:r>
    <w:r w:rsidR="00FE18AA" w:rsidRPr="008C6EB5">
      <w:rPr>
        <w:lang w:eastAsia="zh-CN"/>
      </w:rPr>
      <w:fldChar w:fldCharType="begin"/>
    </w:r>
    <w:r w:rsidRPr="008C6EB5">
      <w:rPr>
        <w:lang w:eastAsia="zh-CN"/>
      </w:rPr>
      <w:instrText xml:space="preserve"> PAGE   \* MERGEFORMAT </w:instrText>
    </w:r>
    <w:r w:rsidR="00FE18AA" w:rsidRPr="008C6EB5">
      <w:rPr>
        <w:lang w:eastAsia="zh-CN"/>
      </w:rPr>
      <w:fldChar w:fldCharType="separate"/>
    </w:r>
    <w:r w:rsidR="007D1184">
      <w:rPr>
        <w:noProof/>
        <w:lang w:eastAsia="zh-CN"/>
      </w:rPr>
      <w:t>111</w:t>
    </w:r>
    <w:r w:rsidR="00FE18AA" w:rsidRPr="008C6EB5">
      <w:rPr>
        <w:lang w:eastAsia="zh-CN"/>
      </w:rPr>
      <w:fldChar w:fldCharType="end"/>
    </w:r>
  </w:p>
  <w:p w:rsidR="00594C0B" w:rsidRDefault="00594C0B" w:rsidP="00772406">
    <w:pPr>
      <w:pStyle w:val="Header"/>
      <w:tabs>
        <w:tab w:val="clear" w:pos="4320"/>
        <w:tab w:val="clear" w:pos="8640"/>
      </w:tabs>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0B" w:rsidRPr="008C6EB5" w:rsidRDefault="00594C0B" w:rsidP="006F1C16">
    <w:pPr>
      <w:topLinePunct/>
      <w:spacing w:before="0" w:after="0"/>
      <w:jc w:val="right"/>
      <w:rPr>
        <w:lang w:eastAsia="zh-CN"/>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0B" w:rsidRPr="00663489" w:rsidRDefault="00594C0B" w:rsidP="00C9773D">
    <w:pPr>
      <w:topLinePunct/>
      <w:spacing w:before="0" w:after="0"/>
      <w:jc w:val="left"/>
      <w:rPr>
        <w:lang w:eastAsia="zh-CN"/>
      </w:rPr>
    </w:pPr>
    <w:r w:rsidRPr="00663489">
      <w:rPr>
        <w:lang w:eastAsia="zh-CN"/>
      </w:rPr>
      <w:t>CBD/COP/14/</w:t>
    </w:r>
    <w:r>
      <w:rPr>
        <w:lang w:eastAsia="zh-CN"/>
      </w:rPr>
      <w:t>14</w:t>
    </w:r>
  </w:p>
  <w:p w:rsidR="00594C0B" w:rsidRPr="008C6EB5" w:rsidRDefault="00594C0B" w:rsidP="00C9773D">
    <w:pPr>
      <w:topLinePunct/>
      <w:spacing w:before="0" w:after="0"/>
      <w:jc w:val="left"/>
      <w:rPr>
        <w:lang w:eastAsia="zh-CN"/>
      </w:rPr>
    </w:pPr>
    <w:r w:rsidRPr="008C6EB5">
      <w:rPr>
        <w:lang w:eastAsia="zh-CN"/>
      </w:rPr>
      <w:t xml:space="preserve">Page </w:t>
    </w:r>
    <w:r w:rsidR="00FE18AA" w:rsidRPr="008C6EB5">
      <w:rPr>
        <w:lang w:eastAsia="zh-CN"/>
      </w:rPr>
      <w:fldChar w:fldCharType="begin"/>
    </w:r>
    <w:r w:rsidRPr="008C6EB5">
      <w:rPr>
        <w:lang w:eastAsia="zh-CN"/>
      </w:rPr>
      <w:instrText xml:space="preserve"> PAGE   \* MERGEFORMAT </w:instrText>
    </w:r>
    <w:r w:rsidR="00FE18AA" w:rsidRPr="008C6EB5">
      <w:rPr>
        <w:lang w:eastAsia="zh-CN"/>
      </w:rPr>
      <w:fldChar w:fldCharType="separate"/>
    </w:r>
    <w:r>
      <w:rPr>
        <w:noProof/>
        <w:lang w:eastAsia="zh-CN"/>
      </w:rPr>
      <w:t>112</w:t>
    </w:r>
    <w:r w:rsidR="00FE18AA" w:rsidRPr="008C6EB5">
      <w:rPr>
        <w:lang w:eastAsia="zh-CN"/>
      </w:rPr>
      <w:fldChar w:fldCharType="end"/>
    </w:r>
  </w:p>
  <w:p w:rsidR="00594C0B" w:rsidRPr="00BD7F46" w:rsidRDefault="00594C0B" w:rsidP="00772406">
    <w:pPr>
      <w:pStyle w:val="Header"/>
      <w:tabs>
        <w:tab w:val="clear" w:pos="4320"/>
        <w:tab w:val="clear" w:pos="8640"/>
      </w:tabs>
      <w:rPr>
        <w:rFonts w:eastAsiaTheme="minorEastAsia"/>
        <w:noProof/>
        <w:kern w:val="22"/>
        <w:lang w:eastAsia="zh-CN"/>
      </w:rPr>
    </w:pPr>
  </w:p>
  <w:p w:rsidR="00594C0B" w:rsidRPr="003839D2" w:rsidRDefault="00594C0B" w:rsidP="00772406">
    <w:pPr>
      <w:pStyle w:val="Header"/>
      <w:tabs>
        <w:tab w:val="clear" w:pos="4320"/>
        <w:tab w:val="clear" w:pos="8640"/>
      </w:tabs>
      <w:rPr>
        <w:noProof/>
        <w:kern w:val="2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0B" w:rsidRPr="00663489" w:rsidRDefault="00594C0B" w:rsidP="00C9773D">
    <w:pPr>
      <w:topLinePunct/>
      <w:spacing w:before="0" w:after="0"/>
      <w:jc w:val="right"/>
      <w:rPr>
        <w:lang w:eastAsia="zh-CN"/>
      </w:rPr>
    </w:pPr>
    <w:r w:rsidRPr="00663489">
      <w:rPr>
        <w:lang w:eastAsia="zh-CN"/>
      </w:rPr>
      <w:t>CBD/COP/14/</w:t>
    </w:r>
    <w:r>
      <w:rPr>
        <w:lang w:eastAsia="zh-CN"/>
      </w:rPr>
      <w:t>14</w:t>
    </w:r>
  </w:p>
  <w:p w:rsidR="00594C0B" w:rsidRPr="008C6EB5" w:rsidRDefault="00594C0B" w:rsidP="00C9773D">
    <w:pPr>
      <w:topLinePunct/>
      <w:spacing w:before="0" w:after="0"/>
      <w:jc w:val="right"/>
      <w:rPr>
        <w:lang w:eastAsia="zh-CN"/>
      </w:rPr>
    </w:pPr>
    <w:r w:rsidRPr="008C6EB5">
      <w:rPr>
        <w:lang w:eastAsia="zh-CN"/>
      </w:rPr>
      <w:t xml:space="preserve">Page </w:t>
    </w:r>
    <w:r w:rsidR="00FE18AA" w:rsidRPr="008C6EB5">
      <w:rPr>
        <w:lang w:eastAsia="zh-CN"/>
      </w:rPr>
      <w:fldChar w:fldCharType="begin"/>
    </w:r>
    <w:r w:rsidRPr="008C6EB5">
      <w:rPr>
        <w:lang w:eastAsia="zh-CN"/>
      </w:rPr>
      <w:instrText xml:space="preserve"> PAGE   \* MERGEFORMAT </w:instrText>
    </w:r>
    <w:r w:rsidR="00FE18AA" w:rsidRPr="008C6EB5">
      <w:rPr>
        <w:lang w:eastAsia="zh-CN"/>
      </w:rPr>
      <w:fldChar w:fldCharType="separate"/>
    </w:r>
    <w:r w:rsidR="007D1184">
      <w:rPr>
        <w:noProof/>
        <w:lang w:eastAsia="zh-CN"/>
      </w:rPr>
      <w:t>113</w:t>
    </w:r>
    <w:r w:rsidR="00FE18AA" w:rsidRPr="008C6EB5">
      <w:rPr>
        <w:lang w:eastAsia="zh-CN"/>
      </w:rPr>
      <w:fldChar w:fldCharType="end"/>
    </w:r>
  </w:p>
  <w:p w:rsidR="00594C0B" w:rsidRDefault="00594C0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0B" w:rsidRPr="00663489" w:rsidRDefault="00594C0B" w:rsidP="00C9773D">
    <w:pPr>
      <w:topLinePunct/>
      <w:spacing w:before="0" w:after="0"/>
      <w:ind w:firstLine="0"/>
      <w:jc w:val="left"/>
      <w:rPr>
        <w:lang w:eastAsia="zh-CN"/>
      </w:rPr>
    </w:pPr>
    <w:r w:rsidRPr="00663489">
      <w:rPr>
        <w:lang w:eastAsia="zh-CN"/>
      </w:rPr>
      <w:t>CBD/COP/14/</w:t>
    </w:r>
    <w:r>
      <w:rPr>
        <w:lang w:eastAsia="zh-CN"/>
      </w:rPr>
      <w:t>14</w:t>
    </w:r>
  </w:p>
  <w:p w:rsidR="00594C0B" w:rsidRPr="008C6EB5" w:rsidRDefault="00594C0B" w:rsidP="00C9773D">
    <w:pPr>
      <w:topLinePunct/>
      <w:spacing w:before="0" w:after="0"/>
      <w:ind w:firstLine="0"/>
      <w:jc w:val="left"/>
      <w:rPr>
        <w:lang w:eastAsia="zh-CN"/>
      </w:rPr>
    </w:pPr>
    <w:r w:rsidRPr="008C6EB5">
      <w:rPr>
        <w:lang w:eastAsia="zh-CN"/>
      </w:rPr>
      <w:t xml:space="preserve">Page </w:t>
    </w:r>
    <w:r w:rsidR="00FE18AA" w:rsidRPr="008C6EB5">
      <w:rPr>
        <w:lang w:eastAsia="zh-CN"/>
      </w:rPr>
      <w:fldChar w:fldCharType="begin"/>
    </w:r>
    <w:r w:rsidRPr="008C6EB5">
      <w:rPr>
        <w:lang w:eastAsia="zh-CN"/>
      </w:rPr>
      <w:instrText xml:space="preserve"> PAGE   \* MERGEFORMAT </w:instrText>
    </w:r>
    <w:r w:rsidR="00FE18AA" w:rsidRPr="008C6EB5">
      <w:rPr>
        <w:lang w:eastAsia="zh-CN"/>
      </w:rPr>
      <w:fldChar w:fldCharType="separate"/>
    </w:r>
    <w:r w:rsidR="007D1184">
      <w:rPr>
        <w:noProof/>
        <w:lang w:eastAsia="zh-CN"/>
      </w:rPr>
      <w:t>200</w:t>
    </w:r>
    <w:r w:rsidR="00FE18AA" w:rsidRPr="008C6EB5">
      <w:rPr>
        <w:lang w:eastAsia="zh-CN"/>
      </w:rPr>
      <w:fldChar w:fldCharType="end"/>
    </w:r>
  </w:p>
  <w:p w:rsidR="00594C0B" w:rsidRPr="00EC6497" w:rsidRDefault="00594C0B" w:rsidP="00772406">
    <w:pPr>
      <w:pStyle w:val="Header"/>
      <w:tabs>
        <w:tab w:val="clear" w:pos="4320"/>
        <w:tab w:val="clear" w:pos="8640"/>
      </w:tabs>
      <w:rPr>
        <w:noProof/>
        <w:kern w:val="22"/>
        <w:szCs w:val="2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0B" w:rsidRPr="00663489" w:rsidRDefault="00594C0B" w:rsidP="00C9773D">
    <w:pPr>
      <w:topLinePunct/>
      <w:spacing w:before="0" w:after="0"/>
      <w:jc w:val="right"/>
      <w:rPr>
        <w:lang w:eastAsia="zh-CN"/>
      </w:rPr>
    </w:pPr>
    <w:r w:rsidRPr="00663489">
      <w:rPr>
        <w:lang w:eastAsia="zh-CN"/>
      </w:rPr>
      <w:t>CBD/COP/14/</w:t>
    </w:r>
    <w:r>
      <w:rPr>
        <w:lang w:eastAsia="zh-CN"/>
      </w:rPr>
      <w:t>14</w:t>
    </w:r>
  </w:p>
  <w:p w:rsidR="00594C0B" w:rsidRPr="008C6EB5" w:rsidRDefault="00594C0B" w:rsidP="00C9773D">
    <w:pPr>
      <w:topLinePunct/>
      <w:spacing w:before="0" w:after="0"/>
      <w:jc w:val="right"/>
      <w:rPr>
        <w:lang w:eastAsia="zh-CN"/>
      </w:rPr>
    </w:pPr>
    <w:r w:rsidRPr="008C6EB5">
      <w:rPr>
        <w:lang w:eastAsia="zh-CN"/>
      </w:rPr>
      <w:t xml:space="preserve">Page </w:t>
    </w:r>
    <w:r w:rsidR="00FE18AA" w:rsidRPr="008C6EB5">
      <w:rPr>
        <w:lang w:eastAsia="zh-CN"/>
      </w:rPr>
      <w:fldChar w:fldCharType="begin"/>
    </w:r>
    <w:r w:rsidRPr="008C6EB5">
      <w:rPr>
        <w:lang w:eastAsia="zh-CN"/>
      </w:rPr>
      <w:instrText xml:space="preserve"> PAGE   \* MERGEFORMAT </w:instrText>
    </w:r>
    <w:r w:rsidR="00FE18AA" w:rsidRPr="008C6EB5">
      <w:rPr>
        <w:lang w:eastAsia="zh-CN"/>
      </w:rPr>
      <w:fldChar w:fldCharType="separate"/>
    </w:r>
    <w:r w:rsidR="007D1184">
      <w:rPr>
        <w:noProof/>
        <w:lang w:eastAsia="zh-CN"/>
      </w:rPr>
      <w:t>125</w:t>
    </w:r>
    <w:r w:rsidR="00FE18AA" w:rsidRPr="008C6EB5">
      <w:rPr>
        <w:lang w:eastAsia="zh-CN"/>
      </w:rPr>
      <w:fldChar w:fldCharType="end"/>
    </w:r>
  </w:p>
  <w:p w:rsidR="00594C0B" w:rsidRPr="00884ACB" w:rsidRDefault="00594C0B" w:rsidP="0077240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0B" w:rsidRPr="00663489" w:rsidRDefault="00594C0B" w:rsidP="00466808">
    <w:pPr>
      <w:topLinePunct/>
      <w:spacing w:before="0" w:after="0"/>
      <w:ind w:firstLine="0"/>
      <w:jc w:val="right"/>
      <w:rPr>
        <w:lang w:eastAsia="zh-CN"/>
      </w:rPr>
    </w:pPr>
    <w:r w:rsidRPr="00663489">
      <w:rPr>
        <w:lang w:eastAsia="zh-CN"/>
      </w:rPr>
      <w:t>CBD/COP/14/</w:t>
    </w:r>
    <w:r>
      <w:rPr>
        <w:lang w:eastAsia="zh-CN"/>
      </w:rPr>
      <w:t>14</w:t>
    </w:r>
  </w:p>
  <w:p w:rsidR="00594C0B" w:rsidRPr="008C6EB5" w:rsidRDefault="00594C0B" w:rsidP="00466808">
    <w:pPr>
      <w:topLinePunct/>
      <w:spacing w:before="0" w:after="0"/>
      <w:ind w:firstLine="0"/>
      <w:jc w:val="right"/>
      <w:rPr>
        <w:lang w:eastAsia="zh-CN"/>
      </w:rPr>
    </w:pPr>
    <w:r w:rsidRPr="008C6EB5">
      <w:rPr>
        <w:lang w:eastAsia="zh-CN"/>
      </w:rPr>
      <w:t xml:space="preserve">Page </w:t>
    </w:r>
    <w:r w:rsidR="00FE18AA" w:rsidRPr="008C6EB5">
      <w:rPr>
        <w:lang w:eastAsia="zh-CN"/>
      </w:rPr>
      <w:fldChar w:fldCharType="begin"/>
    </w:r>
    <w:r w:rsidRPr="008C6EB5">
      <w:rPr>
        <w:lang w:eastAsia="zh-CN"/>
      </w:rPr>
      <w:instrText xml:space="preserve"> PAGE   \* MERGEFORMAT </w:instrText>
    </w:r>
    <w:r w:rsidR="00FE18AA" w:rsidRPr="008C6EB5">
      <w:rPr>
        <w:lang w:eastAsia="zh-CN"/>
      </w:rPr>
      <w:fldChar w:fldCharType="separate"/>
    </w:r>
    <w:r w:rsidR="007D1184">
      <w:rPr>
        <w:noProof/>
        <w:lang w:eastAsia="zh-CN"/>
      </w:rPr>
      <w:t>199</w:t>
    </w:r>
    <w:r w:rsidR="00FE18AA" w:rsidRPr="008C6EB5">
      <w:rPr>
        <w:lang w:eastAsia="zh-CN"/>
      </w:rPr>
      <w:fldChar w:fldCharType="end"/>
    </w:r>
  </w:p>
  <w:p w:rsidR="00594C0B" w:rsidRPr="00AA50C2" w:rsidRDefault="00594C0B" w:rsidP="00AA50C2">
    <w:pPr>
      <w:pStyle w:val="Header"/>
      <w:jc w:val="right"/>
      <w:rPr>
        <w:noProof/>
        <w:sz w:val="22"/>
        <w:szCs w:val="22"/>
        <w:lang w:val="en-G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C0B" w:rsidRPr="00663489" w:rsidRDefault="00594C0B" w:rsidP="001A2AC9">
    <w:pPr>
      <w:topLinePunct/>
      <w:spacing w:before="0" w:after="0"/>
      <w:ind w:firstLine="0"/>
      <w:rPr>
        <w:lang w:eastAsia="zh-CN"/>
      </w:rPr>
    </w:pPr>
    <w:r w:rsidRPr="00663489">
      <w:rPr>
        <w:lang w:eastAsia="zh-CN"/>
      </w:rPr>
      <w:t>CBD/COP/14/</w:t>
    </w:r>
    <w:r>
      <w:rPr>
        <w:lang w:eastAsia="zh-CN"/>
      </w:rPr>
      <w:t>14</w:t>
    </w:r>
  </w:p>
  <w:p w:rsidR="00594C0B" w:rsidRDefault="00594C0B" w:rsidP="001A2AC9">
    <w:pPr>
      <w:topLinePunct/>
      <w:spacing w:before="0" w:after="0"/>
      <w:ind w:firstLine="0"/>
      <w:rPr>
        <w:lang w:eastAsia="zh-CN"/>
      </w:rPr>
    </w:pPr>
    <w:r w:rsidRPr="008C6EB5">
      <w:rPr>
        <w:lang w:eastAsia="zh-CN"/>
      </w:rPr>
      <w:t xml:space="preserve">Page </w:t>
    </w:r>
    <w:r w:rsidR="00FE18AA" w:rsidRPr="008C6EB5">
      <w:rPr>
        <w:lang w:eastAsia="zh-CN"/>
      </w:rPr>
      <w:fldChar w:fldCharType="begin"/>
    </w:r>
    <w:r w:rsidRPr="008C6EB5">
      <w:rPr>
        <w:lang w:eastAsia="zh-CN"/>
      </w:rPr>
      <w:instrText xml:space="preserve"> PAGE   \* MERGEFORMAT </w:instrText>
    </w:r>
    <w:r w:rsidR="00FE18AA" w:rsidRPr="008C6EB5">
      <w:rPr>
        <w:lang w:eastAsia="zh-CN"/>
      </w:rPr>
      <w:fldChar w:fldCharType="separate"/>
    </w:r>
    <w:r w:rsidR="007D1184">
      <w:rPr>
        <w:noProof/>
        <w:lang w:eastAsia="zh-CN"/>
      </w:rPr>
      <w:t>260</w:t>
    </w:r>
    <w:r w:rsidR="00FE18AA" w:rsidRPr="008C6EB5">
      <w:rPr>
        <w:lang w:eastAsia="zh-CN"/>
      </w:rPr>
      <w:fldChar w:fldCharType="end"/>
    </w:r>
  </w:p>
  <w:p w:rsidR="00594C0B" w:rsidRPr="008C6EB5" w:rsidRDefault="00594C0B" w:rsidP="001A2AC9">
    <w:pPr>
      <w:topLinePunct/>
      <w:spacing w:before="0" w:after="0"/>
      <w:rPr>
        <w:lang w:eastAsia="zh-C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EBCFEF8"/>
    <w:lvl w:ilvl="0">
      <w:start w:val="1"/>
      <w:numFmt w:val="bullet"/>
      <w:pStyle w:val="Para3"/>
      <w:lvlText w:val=""/>
      <w:lvlJc w:val="left"/>
      <w:pPr>
        <w:tabs>
          <w:tab w:val="num" w:pos="360"/>
        </w:tabs>
        <w:ind w:left="360" w:hanging="360"/>
      </w:pPr>
      <w:rPr>
        <w:rFonts w:ascii="Wingdings" w:hAnsi="Wingdings" w:hint="default"/>
      </w:rPr>
    </w:lvl>
  </w:abstractNum>
  <w:abstractNum w:abstractNumId="1">
    <w:nsid w:val="0009761C"/>
    <w:multiLevelType w:val="hybridMultilevel"/>
    <w:tmpl w:val="EC0AD1EE"/>
    <w:lvl w:ilvl="0" w:tplc="2A348DB8">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11448A"/>
    <w:multiLevelType w:val="hybridMultilevel"/>
    <w:tmpl w:val="634CD162"/>
    <w:lvl w:ilvl="0" w:tplc="0409000F">
      <w:start w:val="1"/>
      <w:numFmt w:val="decimal"/>
      <w:lvlText w:val="%1."/>
      <w:lvlJc w:val="left"/>
      <w:pPr>
        <w:ind w:left="850" w:hanging="360"/>
      </w:p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3">
    <w:nsid w:val="00BF4200"/>
    <w:multiLevelType w:val="hybridMultilevel"/>
    <w:tmpl w:val="6FBE4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0CB0DFE"/>
    <w:multiLevelType w:val="hybridMultilevel"/>
    <w:tmpl w:val="EB0CB47E"/>
    <w:lvl w:ilvl="0" w:tplc="CAB40D4C">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1AB24B7"/>
    <w:multiLevelType w:val="multilevel"/>
    <w:tmpl w:val="645467C2"/>
    <w:lvl w:ilvl="0">
      <w:start w:val="1"/>
      <w:numFmt w:val="decimal"/>
      <w:lvlText w:val="%1."/>
      <w:lvlJc w:val="left"/>
      <w:pPr>
        <w:tabs>
          <w:tab w:val="num" w:pos="360"/>
        </w:tabs>
        <w:ind w:left="0" w:firstLine="0"/>
      </w:pPr>
      <w:rPr>
        <w:rFonts w:ascii="KaiTi" w:eastAsia="KaiTi" w:hAnsi="KaiTi" w:cs="Times New Roman" w:hint="default"/>
      </w:rPr>
    </w:lvl>
    <w:lvl w:ilvl="1">
      <w:start w:val="1"/>
      <w:numFmt w:val="decimal"/>
      <w:lvlText w:val="%2."/>
      <w:lvlJc w:val="left"/>
      <w:pPr>
        <w:tabs>
          <w:tab w:val="num" w:pos="1440"/>
        </w:tabs>
        <w:ind w:left="0" w:firstLine="720"/>
      </w:pPr>
      <w:rPr>
        <w:rFonts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1D44278"/>
    <w:multiLevelType w:val="hybridMultilevel"/>
    <w:tmpl w:val="048E32D0"/>
    <w:lvl w:ilvl="0" w:tplc="DF2C5472">
      <w:start w:val="1"/>
      <w:numFmt w:val="lowerLetter"/>
      <w:lvlText w:val="(%1)"/>
      <w:lvlJc w:val="left"/>
      <w:pPr>
        <w:ind w:left="2496" w:hanging="360"/>
      </w:pPr>
      <w:rPr>
        <w:rFonts w:ascii="Times New Roman" w:hAnsi="Times New Roman" w:cs="Times New Roman" w:hint="default"/>
        <w:b w:val="0"/>
      </w:rPr>
    </w:lvl>
    <w:lvl w:ilvl="1" w:tplc="04090019">
      <w:start w:val="1"/>
      <w:numFmt w:val="lowerLetter"/>
      <w:lvlText w:val="%2."/>
      <w:lvlJc w:val="left"/>
      <w:pPr>
        <w:ind w:left="3216" w:hanging="360"/>
      </w:pPr>
      <w:rPr>
        <w:rFonts w:cs="Times New Roman"/>
      </w:rPr>
    </w:lvl>
    <w:lvl w:ilvl="2" w:tplc="0409001B" w:tentative="1">
      <w:start w:val="1"/>
      <w:numFmt w:val="lowerRoman"/>
      <w:lvlText w:val="%3."/>
      <w:lvlJc w:val="right"/>
      <w:pPr>
        <w:ind w:left="3936" w:hanging="180"/>
      </w:pPr>
      <w:rPr>
        <w:rFonts w:cs="Times New Roman"/>
      </w:rPr>
    </w:lvl>
    <w:lvl w:ilvl="3" w:tplc="0409000F" w:tentative="1">
      <w:start w:val="1"/>
      <w:numFmt w:val="decimal"/>
      <w:lvlText w:val="%4."/>
      <w:lvlJc w:val="left"/>
      <w:pPr>
        <w:ind w:left="4656" w:hanging="360"/>
      </w:pPr>
      <w:rPr>
        <w:rFonts w:cs="Times New Roman"/>
      </w:rPr>
    </w:lvl>
    <w:lvl w:ilvl="4" w:tplc="04090019" w:tentative="1">
      <w:start w:val="1"/>
      <w:numFmt w:val="lowerLetter"/>
      <w:lvlText w:val="%5."/>
      <w:lvlJc w:val="left"/>
      <w:pPr>
        <w:ind w:left="5376" w:hanging="360"/>
      </w:pPr>
      <w:rPr>
        <w:rFonts w:cs="Times New Roman"/>
      </w:rPr>
    </w:lvl>
    <w:lvl w:ilvl="5" w:tplc="0409001B" w:tentative="1">
      <w:start w:val="1"/>
      <w:numFmt w:val="lowerRoman"/>
      <w:lvlText w:val="%6."/>
      <w:lvlJc w:val="right"/>
      <w:pPr>
        <w:ind w:left="6096" w:hanging="180"/>
      </w:pPr>
      <w:rPr>
        <w:rFonts w:cs="Times New Roman"/>
      </w:rPr>
    </w:lvl>
    <w:lvl w:ilvl="6" w:tplc="0409000F" w:tentative="1">
      <w:start w:val="1"/>
      <w:numFmt w:val="decimal"/>
      <w:lvlText w:val="%7."/>
      <w:lvlJc w:val="left"/>
      <w:pPr>
        <w:ind w:left="6816" w:hanging="360"/>
      </w:pPr>
      <w:rPr>
        <w:rFonts w:cs="Times New Roman"/>
      </w:rPr>
    </w:lvl>
    <w:lvl w:ilvl="7" w:tplc="04090019" w:tentative="1">
      <w:start w:val="1"/>
      <w:numFmt w:val="lowerLetter"/>
      <w:lvlText w:val="%8."/>
      <w:lvlJc w:val="left"/>
      <w:pPr>
        <w:ind w:left="7536" w:hanging="360"/>
      </w:pPr>
      <w:rPr>
        <w:rFonts w:cs="Times New Roman"/>
      </w:rPr>
    </w:lvl>
    <w:lvl w:ilvl="8" w:tplc="0409001B" w:tentative="1">
      <w:start w:val="1"/>
      <w:numFmt w:val="lowerRoman"/>
      <w:lvlText w:val="%9."/>
      <w:lvlJc w:val="right"/>
      <w:pPr>
        <w:ind w:left="8256" w:hanging="180"/>
      </w:pPr>
      <w:rPr>
        <w:rFonts w:cs="Times New Roman"/>
      </w:rPr>
    </w:lvl>
  </w:abstractNum>
  <w:abstractNum w:abstractNumId="7">
    <w:nsid w:val="02C32A6A"/>
    <w:multiLevelType w:val="hybridMultilevel"/>
    <w:tmpl w:val="35626356"/>
    <w:lvl w:ilvl="0" w:tplc="72EE9CAE">
      <w:start w:val="1"/>
      <w:numFmt w:val="decimal"/>
      <w:lvlText w:val="%1."/>
      <w:lvlJc w:val="left"/>
      <w:pPr>
        <w:ind w:left="216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2C74C35"/>
    <w:multiLevelType w:val="hybridMultilevel"/>
    <w:tmpl w:val="B63833E6"/>
    <w:lvl w:ilvl="0" w:tplc="26E2111E">
      <w:start w:val="8"/>
      <w:numFmt w:val="decimal"/>
      <w:lvlText w:val="%1."/>
      <w:lvlJc w:val="left"/>
      <w:pPr>
        <w:ind w:left="2685" w:hanging="1245"/>
      </w:pPr>
      <w:rPr>
        <w:rFonts w:ascii="Times New Roman" w:hAnsi="Times New Roman"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02E24A2F"/>
    <w:multiLevelType w:val="hybridMultilevel"/>
    <w:tmpl w:val="88580CD0"/>
    <w:lvl w:ilvl="0" w:tplc="301E5D26">
      <w:start w:val="13"/>
      <w:numFmt w:val="decimal"/>
      <w:lvlText w:val="%1."/>
      <w:lvlJc w:val="left"/>
      <w:pPr>
        <w:ind w:left="720" w:hanging="360"/>
      </w:pPr>
      <w:rPr>
        <w:rFonts w:ascii="Times New Roman" w:hAnsi="Times New Roman" w:cs="Times New Roman"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55715C"/>
    <w:multiLevelType w:val="hybridMultilevel"/>
    <w:tmpl w:val="A056716A"/>
    <w:lvl w:ilvl="0" w:tplc="A41C3BA2">
      <w:start w:val="1"/>
      <w:numFmt w:val="lowerLetter"/>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3EB7AF2"/>
    <w:multiLevelType w:val="hybridMultilevel"/>
    <w:tmpl w:val="EDFC6670"/>
    <w:lvl w:ilvl="0" w:tplc="64241D14">
      <w:start w:val="1"/>
      <w:numFmt w:val="lowerLetter"/>
      <w:lvlText w:val="(%1)"/>
      <w:lvlJc w:val="left"/>
      <w:pPr>
        <w:ind w:left="720" w:hanging="360"/>
      </w:pPr>
      <w:rPr>
        <w:rFonts w:asciiTheme="majorBidi" w:hAnsiTheme="majorBidi" w:cstheme="majorBidi" w:hint="default"/>
        <w:b w:val="0"/>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055B1AE3"/>
    <w:multiLevelType w:val="hybridMultilevel"/>
    <w:tmpl w:val="37181E78"/>
    <w:lvl w:ilvl="0" w:tplc="CFB62B08">
      <w:start w:val="1"/>
      <w:numFmt w:val="decimal"/>
      <w:lvlText w:val="%1."/>
      <w:lvlJc w:val="left"/>
      <w:pPr>
        <w:tabs>
          <w:tab w:val="num" w:pos="1080"/>
        </w:tabs>
        <w:ind w:left="1080" w:hanging="360"/>
      </w:pPr>
      <w:rPr>
        <w:rFonts w:cs="Times New Roman" w:hint="default"/>
        <w:i w:val="0"/>
        <w:iCs/>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8725404">
      <w:start w:val="1"/>
      <w:numFmt w:val="decimal"/>
      <w:lvlText w:val="%4."/>
      <w:lvlJc w:val="left"/>
      <w:pPr>
        <w:tabs>
          <w:tab w:val="num" w:pos="3600"/>
        </w:tabs>
        <w:ind w:left="3600" w:hanging="360"/>
      </w:pPr>
      <w:rPr>
        <w:rFonts w:ascii="Times New Roman" w:hAnsi="Times New Roman" w:cs="Times New Roman" w:hint="default"/>
      </w:rPr>
    </w:lvl>
    <w:lvl w:ilvl="4" w:tplc="0409000F">
      <w:start w:val="1"/>
      <w:numFmt w:val="decimal"/>
      <w:lvlText w:val="%5."/>
      <w:lvlJc w:val="left"/>
      <w:pPr>
        <w:ind w:left="4680" w:hanging="720"/>
      </w:pPr>
      <w:rPr>
        <w:rFonts w:cs="Times New Roman" w:hint="default"/>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
    <w:nsid w:val="059716FF"/>
    <w:multiLevelType w:val="hybridMultilevel"/>
    <w:tmpl w:val="FFD2C286"/>
    <w:lvl w:ilvl="0" w:tplc="172C5C3A">
      <w:start w:val="1"/>
      <w:numFmt w:val="decimal"/>
      <w:lvlText w:val="%1."/>
      <w:lvlJc w:val="left"/>
      <w:pPr>
        <w:ind w:left="2160" w:hanging="720"/>
      </w:pPr>
      <w:rPr>
        <w:rFonts w:ascii="Times New Roman"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05AD5F34"/>
    <w:multiLevelType w:val="hybridMultilevel"/>
    <w:tmpl w:val="F9862970"/>
    <w:lvl w:ilvl="0" w:tplc="CAB40D4C">
      <w:start w:val="1"/>
      <w:numFmt w:val="lowerLetter"/>
      <w:lvlText w:val="(%1)"/>
      <w:lvlJc w:val="left"/>
      <w:pPr>
        <w:ind w:left="1440" w:hanging="360"/>
      </w:pPr>
      <w:rPr>
        <w:rFonts w:cs="Times New Roman" w:hint="default"/>
        <w:b w:val="0"/>
      </w:rPr>
    </w:lvl>
    <w:lvl w:ilvl="1" w:tplc="0409000F">
      <w:start w:val="1"/>
      <w:numFmt w:val="decimal"/>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15">
    <w:nsid w:val="05AE1F1C"/>
    <w:multiLevelType w:val="multilevel"/>
    <w:tmpl w:val="9362B9D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chineseCountingThousand"/>
      <w:lvlText w:val="(%7)"/>
      <w:lvlJc w:val="left"/>
      <w:pPr>
        <w:ind w:left="2520" w:hanging="360"/>
      </w:pPr>
      <w:rPr>
        <w:rFonts w:ascii="Times New Roman" w:eastAsia="Times New Roman" w:hAnsi="Times New Roman" w:cs="Times New Roman" w:hint="default"/>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07601AED"/>
    <w:multiLevelType w:val="multilevel"/>
    <w:tmpl w:val="94064D5E"/>
    <w:lvl w:ilvl="0">
      <w:start w:val="1"/>
      <w:numFmt w:val="decimal"/>
      <w:lvlText w:val="%1."/>
      <w:lvlJc w:val="left"/>
      <w:pPr>
        <w:tabs>
          <w:tab w:val="num" w:pos="360"/>
        </w:tabs>
      </w:pPr>
      <w:rPr>
        <w:rFonts w:ascii="Times New Roman" w:hAnsi="Times New Roman" w:cs="Times New Roman" w:hint="default"/>
        <w:b w:val="0"/>
        <w:i w:val="0"/>
        <w:sz w:val="24"/>
        <w:szCs w:val="24"/>
      </w:rPr>
    </w:lvl>
    <w:lvl w:ilvl="1">
      <w:start w:val="1"/>
      <w:numFmt w:val="lowerLetter"/>
      <w:lvlText w:val="(%2)"/>
      <w:lvlJc w:val="left"/>
      <w:pPr>
        <w:tabs>
          <w:tab w:val="num" w:pos="1440"/>
        </w:tabs>
        <w:ind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092B729F"/>
    <w:multiLevelType w:val="hybridMultilevel"/>
    <w:tmpl w:val="D1A097D0"/>
    <w:lvl w:ilvl="0" w:tplc="787E1D26">
      <w:start w:val="1"/>
      <w:numFmt w:val="decimal"/>
      <w:lvlText w:val="%1."/>
      <w:lvlJc w:val="left"/>
      <w:pPr>
        <w:ind w:left="1440" w:hanging="360"/>
      </w:pPr>
      <w:rPr>
        <w:rFonts w:asciiTheme="majorBidi" w:hAnsiTheme="majorBidi" w:cstheme="majorBidi" w:hint="default"/>
        <w:b w:val="0"/>
        <w:bCs w:val="0"/>
        <w:sz w:val="24"/>
        <w:szCs w:val="24"/>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8">
    <w:nsid w:val="0A1455CE"/>
    <w:multiLevelType w:val="multilevel"/>
    <w:tmpl w:val="0D5E0F2A"/>
    <w:lvl w:ilvl="0">
      <w:start w:val="15"/>
      <w:numFmt w:val="decimal"/>
      <w:lvlText w:val="%1."/>
      <w:lvlJc w:val="left"/>
      <w:pPr>
        <w:tabs>
          <w:tab w:val="num" w:pos="360"/>
        </w:tabs>
        <w:ind w:left="0" w:firstLine="0"/>
      </w:pPr>
      <w:rPr>
        <w:rFonts w:ascii="Times New Roman" w:hAnsi="Times New Roman" w:cs="Times New Roman" w:hint="default"/>
        <w:b w:val="0"/>
      </w:rPr>
    </w:lvl>
    <w:lvl w:ilvl="1">
      <w:start w:val="1"/>
      <w:numFmt w:val="lowerLetter"/>
      <w:lvlText w:val="(%2)"/>
      <w:lvlJc w:val="left"/>
      <w:pPr>
        <w:tabs>
          <w:tab w:val="num" w:pos="1440"/>
        </w:tabs>
        <w:ind w:left="0" w:firstLine="720"/>
      </w:pPr>
      <w:rPr>
        <w:rFonts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0A8672A2"/>
    <w:multiLevelType w:val="hybridMultilevel"/>
    <w:tmpl w:val="FA60F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A910917"/>
    <w:multiLevelType w:val="hybridMultilevel"/>
    <w:tmpl w:val="FD28857E"/>
    <w:lvl w:ilvl="0" w:tplc="A3A0DCF0">
      <w:start w:val="1"/>
      <w:numFmt w:val="decimal"/>
      <w:lvlText w:val="%1."/>
      <w:lvlJc w:val="left"/>
      <w:pPr>
        <w:ind w:left="360" w:hanging="360"/>
      </w:pPr>
      <w:rPr>
        <w:rFonts w:ascii="Times New Roman" w:hAnsi="Times New Roman" w:cs="Times New Roman" w:hint="default"/>
        <w:b w:val="0"/>
        <w:i w:val="0"/>
      </w:rPr>
    </w:lvl>
    <w:lvl w:ilvl="1" w:tplc="EC8C5788">
      <w:start w:val="1"/>
      <w:numFmt w:val="lowerLetter"/>
      <w:lvlText w:val="(%2)"/>
      <w:lvlJc w:val="left"/>
      <w:pPr>
        <w:ind w:left="1440" w:hanging="360"/>
      </w:pPr>
      <w:rPr>
        <w:rFonts w:hAnsi="Arial Unicode MS"/>
        <w:caps w:val="0"/>
        <w:smallCaps w:val="0"/>
        <w:strike w:val="0"/>
        <w:dstrike w:val="0"/>
        <w:color w:val="000000"/>
        <w:spacing w:val="0"/>
        <w:w w:val="100"/>
        <w:kern w:val="0"/>
        <w:position w:val="0"/>
        <w:u w:val="none"/>
        <w:effect w:val="none"/>
        <w:vertAlign w:val="baseli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0A9F3826"/>
    <w:multiLevelType w:val="hybridMultilevel"/>
    <w:tmpl w:val="CCFC9F88"/>
    <w:lvl w:ilvl="0" w:tplc="8DA80EE4">
      <w:start w:val="1"/>
      <w:numFmt w:val="decimal"/>
      <w:lvlText w:val="%1."/>
      <w:lvlJc w:val="left"/>
      <w:pPr>
        <w:ind w:left="2160" w:hanging="720"/>
      </w:pPr>
      <w:rPr>
        <w:rFonts w:ascii="Times New Roman" w:hAnsi="Times New Roman"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0B08597F"/>
    <w:multiLevelType w:val="hybridMultilevel"/>
    <w:tmpl w:val="BD18DBA6"/>
    <w:lvl w:ilvl="0" w:tplc="579C6FDA">
      <w:start w:val="1"/>
      <w:numFmt w:val="lowerLetter"/>
      <w:lvlText w:val="（%1）"/>
      <w:lvlJc w:val="left"/>
      <w:pPr>
        <w:ind w:left="1930" w:hanging="360"/>
      </w:pPr>
      <w:rPr>
        <w:rFonts w:cs="Times New Roman" w:hint="default"/>
      </w:rPr>
    </w:lvl>
    <w:lvl w:ilvl="1" w:tplc="028AD7BC">
      <w:start w:val="1"/>
      <w:numFmt w:val="lowerLetter"/>
      <w:lvlText w:val="(%2)"/>
      <w:lvlJc w:val="left"/>
      <w:pPr>
        <w:ind w:left="1170" w:hanging="360"/>
      </w:pPr>
      <w:rPr>
        <w:rFonts w:ascii="Times New Roman" w:eastAsia="DengXian" w:hAnsi="Times New Roman" w:cs="Times New Roman"/>
      </w:rPr>
    </w:lvl>
    <w:lvl w:ilvl="2" w:tplc="0409001B" w:tentative="1">
      <w:start w:val="1"/>
      <w:numFmt w:val="lowerRoman"/>
      <w:lvlText w:val="%3."/>
      <w:lvlJc w:val="right"/>
      <w:pPr>
        <w:ind w:left="3370" w:hanging="180"/>
      </w:pPr>
      <w:rPr>
        <w:rFonts w:cs="Times New Roman"/>
      </w:rPr>
    </w:lvl>
    <w:lvl w:ilvl="3" w:tplc="0409000F" w:tentative="1">
      <w:start w:val="1"/>
      <w:numFmt w:val="decimal"/>
      <w:lvlText w:val="%4."/>
      <w:lvlJc w:val="left"/>
      <w:pPr>
        <w:ind w:left="4090" w:hanging="360"/>
      </w:pPr>
      <w:rPr>
        <w:rFonts w:cs="Times New Roman"/>
      </w:rPr>
    </w:lvl>
    <w:lvl w:ilvl="4" w:tplc="04090019" w:tentative="1">
      <w:start w:val="1"/>
      <w:numFmt w:val="lowerLetter"/>
      <w:lvlText w:val="%5."/>
      <w:lvlJc w:val="left"/>
      <w:pPr>
        <w:ind w:left="4810" w:hanging="360"/>
      </w:pPr>
      <w:rPr>
        <w:rFonts w:cs="Times New Roman"/>
      </w:rPr>
    </w:lvl>
    <w:lvl w:ilvl="5" w:tplc="0409001B" w:tentative="1">
      <w:start w:val="1"/>
      <w:numFmt w:val="lowerRoman"/>
      <w:lvlText w:val="%6."/>
      <w:lvlJc w:val="right"/>
      <w:pPr>
        <w:ind w:left="5530" w:hanging="180"/>
      </w:pPr>
      <w:rPr>
        <w:rFonts w:cs="Times New Roman"/>
      </w:rPr>
    </w:lvl>
    <w:lvl w:ilvl="6" w:tplc="0409000F" w:tentative="1">
      <w:start w:val="1"/>
      <w:numFmt w:val="decimal"/>
      <w:lvlText w:val="%7."/>
      <w:lvlJc w:val="left"/>
      <w:pPr>
        <w:ind w:left="6250" w:hanging="360"/>
      </w:pPr>
      <w:rPr>
        <w:rFonts w:cs="Times New Roman"/>
      </w:rPr>
    </w:lvl>
    <w:lvl w:ilvl="7" w:tplc="04090019" w:tentative="1">
      <w:start w:val="1"/>
      <w:numFmt w:val="lowerLetter"/>
      <w:lvlText w:val="%8."/>
      <w:lvlJc w:val="left"/>
      <w:pPr>
        <w:ind w:left="6970" w:hanging="360"/>
      </w:pPr>
      <w:rPr>
        <w:rFonts w:cs="Times New Roman"/>
      </w:rPr>
    </w:lvl>
    <w:lvl w:ilvl="8" w:tplc="0409001B" w:tentative="1">
      <w:start w:val="1"/>
      <w:numFmt w:val="lowerRoman"/>
      <w:lvlText w:val="%9."/>
      <w:lvlJc w:val="right"/>
      <w:pPr>
        <w:ind w:left="7690" w:hanging="180"/>
      </w:pPr>
      <w:rPr>
        <w:rFonts w:cs="Times New Roman"/>
      </w:rPr>
    </w:lvl>
  </w:abstractNum>
  <w:abstractNum w:abstractNumId="23">
    <w:nsid w:val="0B1901B7"/>
    <w:multiLevelType w:val="hybridMultilevel"/>
    <w:tmpl w:val="FAE6E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0B950AC6"/>
    <w:multiLevelType w:val="multilevel"/>
    <w:tmpl w:val="FF5C19E0"/>
    <w:lvl w:ilvl="0">
      <w:start w:val="1"/>
      <w:numFmt w:val="decimal"/>
      <w:pStyle w:val="Para1alternative"/>
      <w:lvlText w:val="%1."/>
      <w:lvlJc w:val="left"/>
      <w:pPr>
        <w:tabs>
          <w:tab w:val="num" w:pos="360"/>
        </w:tabs>
      </w:pPr>
      <w:rPr>
        <w:rFonts w:ascii="Times New Roman" w:hAnsi="Times New Roman" w:cs="Times New Roman" w:hint="default"/>
        <w:b w:val="0"/>
        <w:i w:val="0"/>
        <w:sz w:val="22"/>
      </w:rPr>
    </w:lvl>
    <w:lvl w:ilvl="1">
      <w:start w:val="1"/>
      <w:numFmt w:val="lowerLetter"/>
      <w:lvlText w:val="(%2)"/>
      <w:lvlJc w:val="left"/>
      <w:pPr>
        <w:tabs>
          <w:tab w:val="num" w:pos="2160"/>
        </w:tabs>
        <w:ind w:left="720" w:firstLine="720"/>
      </w:pPr>
      <w:rPr>
        <w:rFonts w:cs="Times New Roman" w:hint="default"/>
        <w:b w:val="0"/>
        <w:i w:val="0"/>
      </w:rPr>
    </w:lvl>
    <w:lvl w:ilvl="2">
      <w:start w:val="1"/>
      <w:numFmt w:val="lowerRoman"/>
      <w:lvlText w:val="(%3)"/>
      <w:lvlJc w:val="right"/>
      <w:pPr>
        <w:tabs>
          <w:tab w:val="num" w:pos="2160"/>
        </w:tabs>
        <w:ind w:left="2160" w:hanging="360"/>
      </w:pPr>
      <w:rPr>
        <w:rFonts w:cs="Times New Roman" w:hint="default"/>
      </w:rPr>
    </w:lvl>
    <w:lvl w:ilvl="3">
      <w:start w:val="1"/>
      <w:numFmt w:val="bullet"/>
      <w:lvlText w:val=""/>
      <w:lvlJc w:val="left"/>
      <w:pPr>
        <w:tabs>
          <w:tab w:val="num" w:pos="2880"/>
        </w:tabs>
        <w:ind w:left="2880" w:hanging="720"/>
      </w:pPr>
      <w:rPr>
        <w:rFonts w:ascii="Symbol" w:hAnsi="Symbol" w:hint="default"/>
        <w:color w:val="auto"/>
        <w:sz w:val="28"/>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25">
    <w:nsid w:val="0BF145E2"/>
    <w:multiLevelType w:val="hybridMultilevel"/>
    <w:tmpl w:val="1CBA95AE"/>
    <w:lvl w:ilvl="0" w:tplc="81C87DF2">
      <w:start w:val="1"/>
      <w:numFmt w:val="chineseCountingThousand"/>
      <w:lvlText w:val="(%1)"/>
      <w:lvlJc w:val="left"/>
      <w:pPr>
        <w:ind w:left="1080" w:hanging="360"/>
      </w:pPr>
      <w:rPr>
        <w:rFonts w:ascii="Times New Roman" w:eastAsia="Times New Roman" w:hAnsi="Times New Roman"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6">
    <w:nsid w:val="0D7D20E4"/>
    <w:multiLevelType w:val="hybridMultilevel"/>
    <w:tmpl w:val="2E8884C4"/>
    <w:lvl w:ilvl="0" w:tplc="E0AA5ADC">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D7D350B"/>
    <w:multiLevelType w:val="hybridMultilevel"/>
    <w:tmpl w:val="6CBA9708"/>
    <w:lvl w:ilvl="0" w:tplc="1FB4AF94">
      <w:start w:val="1"/>
      <w:numFmt w:val="lowerLetter"/>
      <w:lvlText w:val="(%1)"/>
      <w:lvlJc w:val="left"/>
      <w:pPr>
        <w:ind w:left="1470" w:hanging="75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0E8A79F4"/>
    <w:multiLevelType w:val="hybridMultilevel"/>
    <w:tmpl w:val="A056716A"/>
    <w:lvl w:ilvl="0" w:tplc="A41C3BA2">
      <w:start w:val="1"/>
      <w:numFmt w:val="lowerLetter"/>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0ED237F3"/>
    <w:multiLevelType w:val="hybridMultilevel"/>
    <w:tmpl w:val="3620F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0F2D5F56"/>
    <w:multiLevelType w:val="multilevel"/>
    <w:tmpl w:val="FB127D3A"/>
    <w:lvl w:ilvl="0">
      <w:start w:val="1"/>
      <w:numFmt w:val="decimal"/>
      <w:lvlText w:val="%1."/>
      <w:lvlJc w:val="left"/>
      <w:pPr>
        <w:tabs>
          <w:tab w:val="num" w:pos="360"/>
        </w:tabs>
        <w:ind w:left="0" w:firstLine="0"/>
      </w:pPr>
      <w:rPr>
        <w:rFonts w:ascii="Times New Roman" w:hAnsi="Times New Roman" w:cs="Times New Roman" w:hint="default"/>
      </w:rPr>
    </w:lvl>
    <w:lvl w:ilvl="1">
      <w:start w:val="1"/>
      <w:numFmt w:val="decimal"/>
      <w:lvlText w:val="%2."/>
      <w:lvlJc w:val="left"/>
      <w:pPr>
        <w:tabs>
          <w:tab w:val="num" w:pos="1440"/>
        </w:tabs>
        <w:ind w:left="0" w:firstLine="720"/>
      </w:pPr>
      <w:rPr>
        <w:rFonts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109E368C"/>
    <w:multiLevelType w:val="hybridMultilevel"/>
    <w:tmpl w:val="90CC5D08"/>
    <w:lvl w:ilvl="0" w:tplc="0D0E480A">
      <w:start w:val="10"/>
      <w:numFmt w:val="decimal"/>
      <w:lvlText w:val="%1."/>
      <w:lvlJc w:val="left"/>
      <w:pPr>
        <w:ind w:left="2325" w:hanging="525"/>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10AA07C4"/>
    <w:multiLevelType w:val="hybridMultilevel"/>
    <w:tmpl w:val="ED50B072"/>
    <w:lvl w:ilvl="0" w:tplc="E1DE932E">
      <w:start w:val="1"/>
      <w:numFmt w:val="upperLetter"/>
      <w:lvlText w:val="%1."/>
      <w:lvlJc w:val="left"/>
      <w:pPr>
        <w:ind w:left="1211" w:hanging="360"/>
      </w:pPr>
      <w:rPr>
        <w:b/>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3">
    <w:nsid w:val="10B9437E"/>
    <w:multiLevelType w:val="multilevel"/>
    <w:tmpl w:val="E8545DE0"/>
    <w:lvl w:ilvl="0">
      <w:start w:val="1"/>
      <w:numFmt w:val="decimal"/>
      <w:lvlText w:val="%1."/>
      <w:lvlJc w:val="left"/>
      <w:pPr>
        <w:tabs>
          <w:tab w:val="num" w:pos="360"/>
        </w:tabs>
        <w:ind w:left="0" w:firstLine="0"/>
      </w:pPr>
      <w:rPr>
        <w:rFonts w:hint="default"/>
      </w:rPr>
    </w:lvl>
    <w:lvl w:ilvl="1">
      <w:start w:val="1"/>
      <w:numFmt w:val="decimal"/>
      <w:lvlText w:val="%2."/>
      <w:lvlJc w:val="left"/>
      <w:pPr>
        <w:tabs>
          <w:tab w:val="num" w:pos="1440"/>
        </w:tabs>
        <w:ind w:left="0" w:firstLine="720"/>
      </w:pPr>
      <w:rPr>
        <w:rFonts w:ascii="Times New Roman" w:hAnsi="Times New Roman" w:cs="Times New Roman"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10F65751"/>
    <w:multiLevelType w:val="hybridMultilevel"/>
    <w:tmpl w:val="FCC811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11464D68"/>
    <w:multiLevelType w:val="hybridMultilevel"/>
    <w:tmpl w:val="B62AF3EE"/>
    <w:lvl w:ilvl="0" w:tplc="F89AE9DE">
      <w:start w:val="1"/>
      <w:numFmt w:val="lowerLetter"/>
      <w:lvlText w:val="(%1)"/>
      <w:lvlJc w:val="left"/>
      <w:pPr>
        <w:ind w:left="2160" w:hanging="720"/>
      </w:pPr>
      <w:rPr>
        <w:rFonts w:hint="default"/>
        <w:b w:val="0"/>
        <w:i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6">
    <w:nsid w:val="11536183"/>
    <w:multiLevelType w:val="hybridMultilevel"/>
    <w:tmpl w:val="C4B261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nsid w:val="128C364C"/>
    <w:multiLevelType w:val="multilevel"/>
    <w:tmpl w:val="FB127D3A"/>
    <w:lvl w:ilvl="0">
      <w:start w:val="1"/>
      <w:numFmt w:val="decimal"/>
      <w:lvlText w:val="%1."/>
      <w:lvlJc w:val="left"/>
      <w:pPr>
        <w:tabs>
          <w:tab w:val="num" w:pos="360"/>
        </w:tabs>
        <w:ind w:left="0" w:firstLine="0"/>
      </w:pPr>
      <w:rPr>
        <w:rFonts w:ascii="Times New Roman" w:hAnsi="Times New Roman" w:cs="Times New Roman" w:hint="default"/>
      </w:rPr>
    </w:lvl>
    <w:lvl w:ilvl="1">
      <w:start w:val="1"/>
      <w:numFmt w:val="decimal"/>
      <w:lvlText w:val="%2."/>
      <w:lvlJc w:val="left"/>
      <w:pPr>
        <w:tabs>
          <w:tab w:val="num" w:pos="1440"/>
        </w:tabs>
        <w:ind w:left="0" w:firstLine="720"/>
      </w:pPr>
      <w:rPr>
        <w:rFonts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12F903B5"/>
    <w:multiLevelType w:val="hybridMultilevel"/>
    <w:tmpl w:val="B24A5CD0"/>
    <w:lvl w:ilvl="0" w:tplc="1CEA9BA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35D1435"/>
    <w:multiLevelType w:val="hybridMultilevel"/>
    <w:tmpl w:val="EDFC6670"/>
    <w:lvl w:ilvl="0" w:tplc="64241D14">
      <w:start w:val="1"/>
      <w:numFmt w:val="lowerLetter"/>
      <w:lvlText w:val="(%1)"/>
      <w:lvlJc w:val="left"/>
      <w:pPr>
        <w:ind w:left="720" w:hanging="360"/>
      </w:pPr>
      <w:rPr>
        <w:rFonts w:asciiTheme="majorBidi" w:hAnsiTheme="majorBidi" w:cstheme="majorBidi" w:hint="default"/>
        <w:b w:val="0"/>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13834492"/>
    <w:multiLevelType w:val="hybridMultilevel"/>
    <w:tmpl w:val="FAD8D3DE"/>
    <w:lvl w:ilvl="0" w:tplc="8CE6FEE4">
      <w:start w:val="1"/>
      <w:numFmt w:val="lowerLetter"/>
      <w:lvlText w:val="(%1)"/>
      <w:lvlJc w:val="left"/>
      <w:pPr>
        <w:ind w:left="1080" w:hanging="360"/>
      </w:pPr>
      <w:rPr>
        <w:rFonts w:cs="Times New Roman"/>
        <w:b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1">
    <w:nsid w:val="13EA2C40"/>
    <w:multiLevelType w:val="hybridMultilevel"/>
    <w:tmpl w:val="B1E2C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3FD7A69"/>
    <w:multiLevelType w:val="multilevel"/>
    <w:tmpl w:val="3078D9F2"/>
    <w:lvl w:ilvl="0">
      <w:start w:val="1"/>
      <w:numFmt w:val="lowerLetter"/>
      <w:lvlText w:val="(%1)"/>
      <w:lvlJc w:val="left"/>
      <w:pPr>
        <w:tabs>
          <w:tab w:val="num" w:pos="360"/>
        </w:tabs>
      </w:pPr>
      <w:rPr>
        <w:rFonts w:cs="Times New Roman" w:hint="default"/>
        <w:b w:val="0"/>
        <w:i w:val="0"/>
        <w:sz w:val="24"/>
      </w:rPr>
    </w:lvl>
    <w:lvl w:ilvl="1">
      <w:start w:val="1"/>
      <w:numFmt w:val="lowerLetter"/>
      <w:lvlText w:val="(%2)"/>
      <w:lvlJc w:val="left"/>
      <w:pPr>
        <w:tabs>
          <w:tab w:val="num" w:pos="1440"/>
        </w:tabs>
        <w:ind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3">
    <w:nsid w:val="1453612D"/>
    <w:multiLevelType w:val="hybridMultilevel"/>
    <w:tmpl w:val="57E68E02"/>
    <w:lvl w:ilvl="0" w:tplc="0C743B4C">
      <w:start w:val="1"/>
      <w:numFmt w:val="lowerLetter"/>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4">
    <w:nsid w:val="148C007C"/>
    <w:multiLevelType w:val="hybridMultilevel"/>
    <w:tmpl w:val="36D4DADA"/>
    <w:lvl w:ilvl="0" w:tplc="D43ED8C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4901FA3"/>
    <w:multiLevelType w:val="hybridMultilevel"/>
    <w:tmpl w:val="8ED64BC4"/>
    <w:lvl w:ilvl="0" w:tplc="2CB68B02">
      <w:start w:val="1"/>
      <w:numFmt w:val="decimal"/>
      <w:lvlText w:val="%1."/>
      <w:lvlJc w:val="left"/>
      <w:pPr>
        <w:ind w:left="720" w:hanging="360"/>
      </w:pPr>
      <w:rPr>
        <w:rFonts w:ascii="Times New Roman" w:hAnsi="Times New Roman" w:cs="Times New Roman"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4925AA9"/>
    <w:multiLevelType w:val="hybridMultilevel"/>
    <w:tmpl w:val="2C203770"/>
    <w:lvl w:ilvl="0" w:tplc="48A68452">
      <w:start w:val="1"/>
      <w:numFmt w:val="decimal"/>
      <w:lvlText w:val="%1."/>
      <w:lvlJc w:val="left"/>
      <w:pPr>
        <w:ind w:left="1210" w:hanging="360"/>
      </w:pPr>
      <w:rPr>
        <w:i w:val="0"/>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47">
    <w:nsid w:val="14DD0DE2"/>
    <w:multiLevelType w:val="hybridMultilevel"/>
    <w:tmpl w:val="8154F202"/>
    <w:lvl w:ilvl="0" w:tplc="B35EBD1E">
      <w:start w:val="1"/>
      <w:numFmt w:val="decimal"/>
      <w:lvlText w:val="%1."/>
      <w:lvlJc w:val="left"/>
      <w:pPr>
        <w:ind w:left="2685" w:hanging="1245"/>
      </w:pPr>
      <w:rPr>
        <w:rFonts w:ascii="Times New Roman" w:hAnsi="Times New Roman"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8">
    <w:nsid w:val="15D41E45"/>
    <w:multiLevelType w:val="hybridMultilevel"/>
    <w:tmpl w:val="C936BDEA"/>
    <w:lvl w:ilvl="0" w:tplc="B066D3EE">
      <w:start w:val="1"/>
      <w:numFmt w:val="upperLetter"/>
      <w:lvlText w:val="%1."/>
      <w:lvlJc w:val="left"/>
      <w:pPr>
        <w:ind w:left="4230" w:hanging="360"/>
      </w:pPr>
      <w:rPr>
        <w:rFonts w:ascii="Times New Roman" w:eastAsiaTheme="minorEastAsia" w:hAnsi="Times New Roman" w:hint="default"/>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49">
    <w:nsid w:val="15DB394E"/>
    <w:multiLevelType w:val="hybridMultilevel"/>
    <w:tmpl w:val="E6EEBAB4"/>
    <w:lvl w:ilvl="0" w:tplc="42C4B7EA">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5EE0A8C"/>
    <w:multiLevelType w:val="hybridMultilevel"/>
    <w:tmpl w:val="FFCCC92E"/>
    <w:lvl w:ilvl="0" w:tplc="96E2082A">
      <w:start w:val="1"/>
      <w:numFmt w:val="decimal"/>
      <w:pStyle w:val="a"/>
      <w:lvlText w:val="%1."/>
      <w:lvlJc w:val="left"/>
      <w:pPr>
        <w:tabs>
          <w:tab w:val="num" w:pos="360"/>
        </w:tabs>
        <w:ind w:left="0" w:firstLine="0"/>
      </w:pPr>
      <w:rPr>
        <w:rFonts w:ascii="Times New Roman" w:eastAsia="SimSun" w:hAnsi="Times New Roman"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6420FA8"/>
    <w:multiLevelType w:val="hybridMultilevel"/>
    <w:tmpl w:val="D1BCCAD8"/>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52">
    <w:nsid w:val="16532336"/>
    <w:multiLevelType w:val="multilevel"/>
    <w:tmpl w:val="13D2C18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chineseCountingThousand"/>
      <w:lvlText w:val="(%7)"/>
      <w:lvlJc w:val="left"/>
      <w:pPr>
        <w:ind w:left="2520" w:hanging="360"/>
      </w:pPr>
      <w:rPr>
        <w:rFonts w:ascii="SimSun" w:eastAsia="Times New Roman" w:hAnsi="SimSun" w:cs="Times New Roman" w:hint="default"/>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3">
    <w:nsid w:val="16766D6C"/>
    <w:multiLevelType w:val="multilevel"/>
    <w:tmpl w:val="E79CCF6E"/>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chineseCountingThousand"/>
      <w:lvlText w:val="(%7)"/>
      <w:lvlJc w:val="left"/>
      <w:pPr>
        <w:ind w:left="2520" w:hanging="360"/>
      </w:pPr>
      <w:rPr>
        <w:rFonts w:ascii="SimSun" w:eastAsia="Times New Roman" w:hAnsi="SimSun"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4">
    <w:nsid w:val="16CE0850"/>
    <w:multiLevelType w:val="hybridMultilevel"/>
    <w:tmpl w:val="0BB69168"/>
    <w:lvl w:ilvl="0" w:tplc="C82A7022">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16FB582D"/>
    <w:multiLevelType w:val="hybridMultilevel"/>
    <w:tmpl w:val="EDFC6670"/>
    <w:lvl w:ilvl="0" w:tplc="64241D14">
      <w:start w:val="1"/>
      <w:numFmt w:val="lowerLetter"/>
      <w:lvlText w:val="(%1)"/>
      <w:lvlJc w:val="left"/>
      <w:pPr>
        <w:ind w:left="720" w:hanging="360"/>
      </w:pPr>
      <w:rPr>
        <w:rFonts w:asciiTheme="majorBidi" w:hAnsiTheme="majorBidi" w:cstheme="majorBidi" w:hint="default"/>
        <w:b w:val="0"/>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nsid w:val="18220D05"/>
    <w:multiLevelType w:val="hybridMultilevel"/>
    <w:tmpl w:val="63EA8A36"/>
    <w:lvl w:ilvl="0" w:tplc="3FEA68DE">
      <w:start w:val="1"/>
      <w:numFmt w:val="lowerLetter"/>
      <w:lvlText w:val="(%1)"/>
      <w:lvlJc w:val="left"/>
      <w:pPr>
        <w:ind w:left="720" w:hanging="360"/>
      </w:pPr>
      <w:rPr>
        <w:rFonts w:ascii="Times New Roman" w:hAnsi="Times New Roman" w:cs="Times New Roman"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nsid w:val="182737F4"/>
    <w:multiLevelType w:val="hybridMultilevel"/>
    <w:tmpl w:val="07E41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1844150B"/>
    <w:multiLevelType w:val="hybridMultilevel"/>
    <w:tmpl w:val="89E495C4"/>
    <w:lvl w:ilvl="0" w:tplc="64241D14">
      <w:start w:val="1"/>
      <w:numFmt w:val="lowerLetter"/>
      <w:lvlText w:val="(%1)"/>
      <w:lvlJc w:val="left"/>
      <w:pPr>
        <w:ind w:left="720" w:hanging="360"/>
      </w:pPr>
      <w:rPr>
        <w:rFonts w:asciiTheme="majorBidi" w:hAnsiTheme="majorBidi" w:cstheme="majorBidi" w:hint="default"/>
        <w:b w:val="0"/>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nsid w:val="189D0203"/>
    <w:multiLevelType w:val="hybridMultilevel"/>
    <w:tmpl w:val="EDFC6670"/>
    <w:lvl w:ilvl="0" w:tplc="64241D14">
      <w:start w:val="1"/>
      <w:numFmt w:val="lowerLetter"/>
      <w:lvlText w:val="(%1)"/>
      <w:lvlJc w:val="left"/>
      <w:pPr>
        <w:ind w:left="720" w:hanging="360"/>
      </w:pPr>
      <w:rPr>
        <w:rFonts w:asciiTheme="majorBidi" w:hAnsiTheme="majorBidi" w:cstheme="majorBidi" w:hint="default"/>
        <w:b w:val="0"/>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nsid w:val="18C4435A"/>
    <w:multiLevelType w:val="hybridMultilevel"/>
    <w:tmpl w:val="D5F6E854"/>
    <w:lvl w:ilvl="0" w:tplc="7A0A3D1C">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90C1385"/>
    <w:multiLevelType w:val="multilevel"/>
    <w:tmpl w:val="FB127D3A"/>
    <w:lvl w:ilvl="0">
      <w:start w:val="1"/>
      <w:numFmt w:val="decimal"/>
      <w:lvlText w:val="%1."/>
      <w:lvlJc w:val="left"/>
      <w:pPr>
        <w:tabs>
          <w:tab w:val="num" w:pos="360"/>
        </w:tabs>
        <w:ind w:left="0" w:firstLine="0"/>
      </w:pPr>
      <w:rPr>
        <w:rFonts w:ascii="Times New Roman" w:hAnsi="Times New Roman" w:cs="Times New Roman" w:hint="default"/>
      </w:rPr>
    </w:lvl>
    <w:lvl w:ilvl="1">
      <w:start w:val="1"/>
      <w:numFmt w:val="decimal"/>
      <w:lvlText w:val="%2."/>
      <w:lvlJc w:val="left"/>
      <w:pPr>
        <w:tabs>
          <w:tab w:val="num" w:pos="1440"/>
        </w:tabs>
        <w:ind w:left="0" w:firstLine="720"/>
      </w:pPr>
      <w:rPr>
        <w:rFonts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nsid w:val="1960337C"/>
    <w:multiLevelType w:val="hybridMultilevel"/>
    <w:tmpl w:val="C658D024"/>
    <w:lvl w:ilvl="0" w:tplc="4970C85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198424C1"/>
    <w:multiLevelType w:val="hybridMultilevel"/>
    <w:tmpl w:val="F4DC4A84"/>
    <w:lvl w:ilvl="0" w:tplc="1D50CD9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19F205DF"/>
    <w:multiLevelType w:val="hybridMultilevel"/>
    <w:tmpl w:val="C274777A"/>
    <w:lvl w:ilvl="0" w:tplc="E250BFE6">
      <w:start w:val="1"/>
      <w:numFmt w:val="lowerLetter"/>
      <w:lvlText w:val="(%1)"/>
      <w:lvlJc w:val="left"/>
      <w:pPr>
        <w:ind w:left="810" w:hanging="360"/>
      </w:pPr>
      <w:rPr>
        <w:rFonts w:ascii="Times New Roman" w:eastAsia="KaiTi" w:hAnsi="Times New Roman" w:cs="Times New Roman"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5">
    <w:nsid w:val="1A706EB2"/>
    <w:multiLevelType w:val="hybridMultilevel"/>
    <w:tmpl w:val="4EA8F774"/>
    <w:lvl w:ilvl="0" w:tplc="F4ECA7D0">
      <w:start w:val="1"/>
      <w:numFmt w:val="japaneseCounting"/>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ACB231C"/>
    <w:multiLevelType w:val="hybridMultilevel"/>
    <w:tmpl w:val="A05A12AE"/>
    <w:lvl w:ilvl="0" w:tplc="FA08A6A4">
      <w:start w:val="1"/>
      <w:numFmt w:val="lowerLetter"/>
      <w:lvlText w:val="(%1)"/>
      <w:lvlJc w:val="left"/>
      <w:pPr>
        <w:ind w:left="79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862624"/>
    <w:multiLevelType w:val="hybridMultilevel"/>
    <w:tmpl w:val="F3548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C535531"/>
    <w:multiLevelType w:val="hybridMultilevel"/>
    <w:tmpl w:val="EDB00AE6"/>
    <w:lvl w:ilvl="0" w:tplc="B456FCDE">
      <w:start w:val="1"/>
      <w:numFmt w:val="japaneseCounting"/>
      <w:lvlText w:val="(%1)"/>
      <w:lvlJc w:val="left"/>
      <w:pPr>
        <w:ind w:left="177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C9076BD"/>
    <w:multiLevelType w:val="hybridMultilevel"/>
    <w:tmpl w:val="B2FE4684"/>
    <w:lvl w:ilvl="0" w:tplc="F314D782">
      <w:start w:val="1"/>
      <w:numFmt w:val="decimal"/>
      <w:lvlText w:val="%1."/>
      <w:lvlJc w:val="left"/>
      <w:pPr>
        <w:ind w:left="540" w:hanging="360"/>
      </w:pPr>
      <w:rPr>
        <w:rFonts w:ascii="Times New Roman" w:hAnsi="Times New Roman" w:cs="Times New Roman" w:hint="default"/>
      </w:rPr>
    </w:lvl>
    <w:lvl w:ilvl="1" w:tplc="B456FCDE">
      <w:start w:val="1"/>
      <w:numFmt w:val="japaneseCounting"/>
      <w:lvlText w:val="(%2)"/>
      <w:lvlJc w:val="left"/>
      <w:pPr>
        <w:ind w:left="1770" w:hanging="870"/>
      </w:pPr>
      <w:rPr>
        <w:rFont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0">
    <w:nsid w:val="1C995D84"/>
    <w:multiLevelType w:val="hybridMultilevel"/>
    <w:tmpl w:val="C9822840"/>
    <w:lvl w:ilvl="0" w:tplc="A5FEA760">
      <w:start w:val="1"/>
      <w:numFmt w:val="lowerLetter"/>
      <w:lvlText w:val="(%1)"/>
      <w:lvlJc w:val="left"/>
      <w:pPr>
        <w:ind w:left="2160" w:hanging="72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1CB74169"/>
    <w:multiLevelType w:val="hybridMultilevel"/>
    <w:tmpl w:val="860055C4"/>
    <w:lvl w:ilvl="0" w:tplc="12080DB6">
      <w:start w:val="1"/>
      <w:numFmt w:val="decimal"/>
      <w:lvlText w:val="%1."/>
      <w:lvlJc w:val="left"/>
      <w:pPr>
        <w:ind w:left="1272" w:hanging="912"/>
      </w:pPr>
      <w:rPr>
        <w:rFonts w:ascii="Times New Roman" w:eastAsia="Yu Mincho" w:hAnsi="Times New Roman" w:cs="Times New Roman" w:hint="default"/>
        <w:color w:val="auto"/>
      </w:rPr>
    </w:lvl>
    <w:lvl w:ilvl="1" w:tplc="E13EBF0A">
      <w:start w:val="1"/>
      <w:numFmt w:val="lowerLetter"/>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1CE406E6"/>
    <w:multiLevelType w:val="multilevel"/>
    <w:tmpl w:val="3670F952"/>
    <w:lvl w:ilvl="0">
      <w:start w:val="7"/>
      <w:numFmt w:val="decimal"/>
      <w:lvlText w:val="%1."/>
      <w:lvlJc w:val="left"/>
      <w:pPr>
        <w:tabs>
          <w:tab w:val="num" w:pos="360"/>
        </w:tabs>
      </w:pPr>
      <w:rPr>
        <w:rFonts w:ascii="Times New Roman" w:eastAsia="MS Mincho" w:hAnsi="Times New Roman" w:cs="Angsana New" w:hint="default"/>
        <w:b w:val="0"/>
        <w:i w:val="0"/>
        <w:sz w:val="22"/>
        <w:szCs w:val="22"/>
      </w:rPr>
    </w:lvl>
    <w:lvl w:ilvl="1">
      <w:start w:val="1"/>
      <w:numFmt w:val="lowerLetter"/>
      <w:lvlText w:val="(%2)"/>
      <w:lvlJc w:val="left"/>
      <w:pPr>
        <w:tabs>
          <w:tab w:val="num" w:pos="1440"/>
        </w:tabs>
        <w:ind w:firstLine="720"/>
      </w:pPr>
      <w:rPr>
        <w:rFonts w:cs="Times New Roman" w:hint="default"/>
        <w:b w:val="0"/>
        <w:i w:val="0"/>
      </w:rPr>
    </w:lvl>
    <w:lvl w:ilvl="2">
      <w:start w:val="1"/>
      <w:numFmt w:val="chineseCountingThousand"/>
      <w:lvlText w:val="(%3)"/>
      <w:lvlJc w:val="left"/>
      <w:pPr>
        <w:tabs>
          <w:tab w:val="num" w:pos="1260"/>
        </w:tabs>
        <w:ind w:left="1260" w:hanging="360"/>
      </w:pPr>
      <w:rPr>
        <w:rFonts w:ascii="Times New Roman" w:eastAsia="Times New Roman" w:hAnsi="Times New Roman" w:cs="Times New Roman" w:hint="default"/>
      </w:rPr>
    </w:lvl>
    <w:lvl w:ilvl="3">
      <w:start w:val="1"/>
      <w:numFmt w:val="lowerRoman"/>
      <w:lvlText w:val="%4."/>
      <w:lvlJc w:val="right"/>
      <w:pPr>
        <w:tabs>
          <w:tab w:val="num" w:pos="2160"/>
        </w:tabs>
        <w:ind w:left="2160" w:hanging="720"/>
      </w:pPr>
      <w:rPr>
        <w:rFonts w:cs="Times New Roman"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3">
    <w:nsid w:val="1E2D53E0"/>
    <w:multiLevelType w:val="hybridMultilevel"/>
    <w:tmpl w:val="B358E0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4">
    <w:nsid w:val="1EA970CE"/>
    <w:multiLevelType w:val="hybridMultilevel"/>
    <w:tmpl w:val="A05A12AE"/>
    <w:lvl w:ilvl="0" w:tplc="FA08A6A4">
      <w:start w:val="1"/>
      <w:numFmt w:val="lowerLetter"/>
      <w:lvlText w:val="(%1)"/>
      <w:lvlJc w:val="left"/>
      <w:pPr>
        <w:ind w:left="79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EE7457D"/>
    <w:multiLevelType w:val="hybridMultilevel"/>
    <w:tmpl w:val="9CC83A88"/>
    <w:lvl w:ilvl="0" w:tplc="324881DE">
      <w:start w:val="1"/>
      <w:numFmt w:val="japaneseCounting"/>
      <w:lvlText w:val="(%1)"/>
      <w:lvlJc w:val="left"/>
      <w:pPr>
        <w:ind w:left="1080" w:hanging="720"/>
      </w:pPr>
      <w:rPr>
        <w:rFonts w:cs="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1FED75C9"/>
    <w:multiLevelType w:val="hybridMultilevel"/>
    <w:tmpl w:val="AE9E8A28"/>
    <w:lvl w:ilvl="0" w:tplc="85381882">
      <w:start w:val="1"/>
      <w:numFmt w:val="lowerLetter"/>
      <w:lvlText w:val="(%1)"/>
      <w:lvlJc w:val="left"/>
      <w:pPr>
        <w:ind w:left="2968" w:hanging="1470"/>
      </w:pPr>
      <w:rPr>
        <w:rFonts w:ascii="Times New Roman" w:hAnsi="Times New Roman" w:cs="Times New Roman" w:hint="default"/>
      </w:rPr>
    </w:lvl>
    <w:lvl w:ilvl="1" w:tplc="04090019" w:tentative="1">
      <w:start w:val="1"/>
      <w:numFmt w:val="lowerLetter"/>
      <w:lvlText w:val="%2."/>
      <w:lvlJc w:val="left"/>
      <w:pPr>
        <w:ind w:left="2578" w:hanging="360"/>
      </w:pPr>
      <w:rPr>
        <w:rFonts w:cs="Times New Roman"/>
      </w:rPr>
    </w:lvl>
    <w:lvl w:ilvl="2" w:tplc="0409001B" w:tentative="1">
      <w:start w:val="1"/>
      <w:numFmt w:val="lowerRoman"/>
      <w:lvlText w:val="%3."/>
      <w:lvlJc w:val="right"/>
      <w:pPr>
        <w:ind w:left="3298" w:hanging="180"/>
      </w:pPr>
      <w:rPr>
        <w:rFonts w:cs="Times New Roman"/>
      </w:rPr>
    </w:lvl>
    <w:lvl w:ilvl="3" w:tplc="0409000F" w:tentative="1">
      <w:start w:val="1"/>
      <w:numFmt w:val="decimal"/>
      <w:lvlText w:val="%4."/>
      <w:lvlJc w:val="left"/>
      <w:pPr>
        <w:ind w:left="4018" w:hanging="360"/>
      </w:pPr>
      <w:rPr>
        <w:rFonts w:cs="Times New Roman"/>
      </w:rPr>
    </w:lvl>
    <w:lvl w:ilvl="4" w:tplc="04090019" w:tentative="1">
      <w:start w:val="1"/>
      <w:numFmt w:val="lowerLetter"/>
      <w:lvlText w:val="%5."/>
      <w:lvlJc w:val="left"/>
      <w:pPr>
        <w:ind w:left="4738" w:hanging="360"/>
      </w:pPr>
      <w:rPr>
        <w:rFonts w:cs="Times New Roman"/>
      </w:rPr>
    </w:lvl>
    <w:lvl w:ilvl="5" w:tplc="0409001B" w:tentative="1">
      <w:start w:val="1"/>
      <w:numFmt w:val="lowerRoman"/>
      <w:lvlText w:val="%6."/>
      <w:lvlJc w:val="right"/>
      <w:pPr>
        <w:ind w:left="5458" w:hanging="180"/>
      </w:pPr>
      <w:rPr>
        <w:rFonts w:cs="Times New Roman"/>
      </w:rPr>
    </w:lvl>
    <w:lvl w:ilvl="6" w:tplc="0409000F" w:tentative="1">
      <w:start w:val="1"/>
      <w:numFmt w:val="decimal"/>
      <w:lvlText w:val="%7."/>
      <w:lvlJc w:val="left"/>
      <w:pPr>
        <w:ind w:left="6178" w:hanging="360"/>
      </w:pPr>
      <w:rPr>
        <w:rFonts w:cs="Times New Roman"/>
      </w:rPr>
    </w:lvl>
    <w:lvl w:ilvl="7" w:tplc="04090019" w:tentative="1">
      <w:start w:val="1"/>
      <w:numFmt w:val="lowerLetter"/>
      <w:lvlText w:val="%8."/>
      <w:lvlJc w:val="left"/>
      <w:pPr>
        <w:ind w:left="6898" w:hanging="360"/>
      </w:pPr>
      <w:rPr>
        <w:rFonts w:cs="Times New Roman"/>
      </w:rPr>
    </w:lvl>
    <w:lvl w:ilvl="8" w:tplc="0409001B" w:tentative="1">
      <w:start w:val="1"/>
      <w:numFmt w:val="lowerRoman"/>
      <w:lvlText w:val="%9."/>
      <w:lvlJc w:val="right"/>
      <w:pPr>
        <w:ind w:left="7618" w:hanging="180"/>
      </w:pPr>
      <w:rPr>
        <w:rFonts w:cs="Times New Roman"/>
      </w:rPr>
    </w:lvl>
  </w:abstractNum>
  <w:abstractNum w:abstractNumId="77">
    <w:nsid w:val="20C31751"/>
    <w:multiLevelType w:val="hybridMultilevel"/>
    <w:tmpl w:val="58E6DD3E"/>
    <w:lvl w:ilvl="0" w:tplc="44C6F6C0">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1D9312F"/>
    <w:multiLevelType w:val="hybridMultilevel"/>
    <w:tmpl w:val="3A680B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nsid w:val="21EB7693"/>
    <w:multiLevelType w:val="hybridMultilevel"/>
    <w:tmpl w:val="89A04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21E7E50"/>
    <w:multiLevelType w:val="hybridMultilevel"/>
    <w:tmpl w:val="F2B47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340166F"/>
    <w:multiLevelType w:val="hybridMultilevel"/>
    <w:tmpl w:val="6CCC5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239F4BFB"/>
    <w:multiLevelType w:val="hybridMultilevel"/>
    <w:tmpl w:val="AF6E9DEC"/>
    <w:lvl w:ilvl="0" w:tplc="76D412D2">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3DA2BF5"/>
    <w:multiLevelType w:val="multilevel"/>
    <w:tmpl w:val="FB127D3A"/>
    <w:lvl w:ilvl="0">
      <w:start w:val="1"/>
      <w:numFmt w:val="decimal"/>
      <w:lvlText w:val="%1."/>
      <w:lvlJc w:val="left"/>
      <w:pPr>
        <w:tabs>
          <w:tab w:val="num" w:pos="360"/>
        </w:tabs>
        <w:ind w:left="0" w:firstLine="0"/>
      </w:pPr>
      <w:rPr>
        <w:rFonts w:ascii="Times New Roman" w:hAnsi="Times New Roman" w:cs="Times New Roman" w:hint="default"/>
      </w:rPr>
    </w:lvl>
    <w:lvl w:ilvl="1">
      <w:start w:val="1"/>
      <w:numFmt w:val="decimal"/>
      <w:lvlText w:val="%2."/>
      <w:lvlJc w:val="left"/>
      <w:pPr>
        <w:tabs>
          <w:tab w:val="num" w:pos="1440"/>
        </w:tabs>
        <w:ind w:left="0" w:firstLine="720"/>
      </w:pPr>
      <w:rPr>
        <w:rFonts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nsid w:val="242B437E"/>
    <w:multiLevelType w:val="hybridMultilevel"/>
    <w:tmpl w:val="F7FE6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243654B0"/>
    <w:multiLevelType w:val="hybridMultilevel"/>
    <w:tmpl w:val="EDFC6670"/>
    <w:lvl w:ilvl="0" w:tplc="64241D14">
      <w:start w:val="1"/>
      <w:numFmt w:val="lowerLetter"/>
      <w:lvlText w:val="(%1)"/>
      <w:lvlJc w:val="left"/>
      <w:pPr>
        <w:ind w:left="720" w:hanging="360"/>
      </w:pPr>
      <w:rPr>
        <w:rFonts w:asciiTheme="majorBidi" w:hAnsiTheme="majorBidi" w:cstheme="majorBidi" w:hint="default"/>
        <w:b w:val="0"/>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nsid w:val="24B43886"/>
    <w:multiLevelType w:val="hybridMultilevel"/>
    <w:tmpl w:val="C4E4F7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24D64F5F"/>
    <w:multiLevelType w:val="multilevel"/>
    <w:tmpl w:val="02CE0D1E"/>
    <w:lvl w:ilvl="0">
      <w:start w:val="1"/>
      <w:numFmt w:val="decimal"/>
      <w:lvlText w:val="%1."/>
      <w:lvlJc w:val="left"/>
      <w:pPr>
        <w:ind w:left="0" w:firstLine="0"/>
      </w:pPr>
      <w:rPr>
        <w:rFonts w:cs="Times New Roman"/>
        <w:b w:val="0"/>
        <w:i w:val="0"/>
        <w:color w:val="000000"/>
        <w:position w:val="0"/>
      </w:rPr>
    </w:lvl>
    <w:lvl w:ilvl="1">
      <w:start w:val="1"/>
      <w:numFmt w:val="lowerLetter"/>
      <w:lvlText w:val="(%2)"/>
      <w:lvlJc w:val="left"/>
      <w:pPr>
        <w:ind w:left="0" w:firstLine="0"/>
      </w:pPr>
      <w:rPr>
        <w:rFonts w:cs="Times New Roman"/>
        <w:color w:val="000000"/>
        <w:position w:val="0"/>
      </w:rPr>
    </w:lvl>
    <w:lvl w:ilvl="2">
      <w:start w:val="1"/>
      <w:numFmt w:val="lowerRoman"/>
      <w:lvlText w:val="(%3)"/>
      <w:lvlJc w:val="left"/>
      <w:pPr>
        <w:ind w:left="0" w:firstLine="0"/>
      </w:pPr>
      <w:rPr>
        <w:rFonts w:cs="Times New Roman"/>
        <w:color w:val="000000"/>
        <w:position w:val="0"/>
      </w:rPr>
    </w:lvl>
    <w:lvl w:ilvl="3">
      <w:start w:val="1"/>
      <w:numFmt w:val="bullet"/>
      <w:lvlText w:val="•"/>
      <w:lvlJc w:val="left"/>
      <w:pPr>
        <w:ind w:left="0" w:firstLine="0"/>
      </w:pPr>
      <w:rPr>
        <w:color w:val="000000"/>
        <w:position w:val="0"/>
      </w:rPr>
    </w:lvl>
    <w:lvl w:ilvl="4">
      <w:start w:val="1"/>
      <w:numFmt w:val="lowerLetter"/>
      <w:lvlText w:val="(%5)"/>
      <w:lvlJc w:val="left"/>
      <w:pPr>
        <w:ind w:left="0" w:firstLine="0"/>
      </w:pPr>
      <w:rPr>
        <w:rFonts w:cs="Times New Roman"/>
        <w:color w:val="000000"/>
        <w:position w:val="0"/>
      </w:rPr>
    </w:lvl>
    <w:lvl w:ilvl="5">
      <w:start w:val="1"/>
      <w:numFmt w:val="lowerRoman"/>
      <w:lvlText w:val="(%6)"/>
      <w:lvlJc w:val="left"/>
      <w:pPr>
        <w:ind w:left="0" w:firstLine="0"/>
      </w:pPr>
      <w:rPr>
        <w:rFonts w:cs="Times New Roman"/>
        <w:color w:val="000000"/>
        <w:position w:val="0"/>
      </w:rPr>
    </w:lvl>
    <w:lvl w:ilvl="6">
      <w:start w:val="1"/>
      <w:numFmt w:val="decimal"/>
      <w:lvlText w:val="%7."/>
      <w:lvlJc w:val="left"/>
      <w:pPr>
        <w:ind w:left="0" w:firstLine="0"/>
      </w:pPr>
      <w:rPr>
        <w:rFonts w:cs="Times New Roman"/>
        <w:color w:val="000000"/>
        <w:position w:val="0"/>
      </w:rPr>
    </w:lvl>
    <w:lvl w:ilvl="7">
      <w:start w:val="1"/>
      <w:numFmt w:val="lowerLetter"/>
      <w:lvlText w:val="%8."/>
      <w:lvlJc w:val="left"/>
      <w:pPr>
        <w:ind w:left="0" w:firstLine="0"/>
      </w:pPr>
      <w:rPr>
        <w:rFonts w:cs="Times New Roman"/>
        <w:color w:val="000000"/>
        <w:position w:val="0"/>
      </w:rPr>
    </w:lvl>
    <w:lvl w:ilvl="8">
      <w:start w:val="1"/>
      <w:numFmt w:val="lowerRoman"/>
      <w:lvlText w:val="%9."/>
      <w:lvlJc w:val="left"/>
      <w:pPr>
        <w:ind w:left="0" w:firstLine="0"/>
      </w:pPr>
      <w:rPr>
        <w:rFonts w:cs="Times New Roman"/>
        <w:color w:val="000000"/>
        <w:position w:val="0"/>
      </w:rPr>
    </w:lvl>
  </w:abstractNum>
  <w:abstractNum w:abstractNumId="88">
    <w:nsid w:val="2519626A"/>
    <w:multiLevelType w:val="multilevel"/>
    <w:tmpl w:val="881AE7CC"/>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ascii="Times New Roman" w:hAnsi="Times New Roman" w:cs="Times New Roman" w:hint="default"/>
        <w:b w:val="0"/>
      </w:rPr>
    </w:lvl>
    <w:lvl w:ilvl="5">
      <w:start w:val="1"/>
      <w:numFmt w:val="lowerRoman"/>
      <w:lvlText w:val="(%6)"/>
      <w:lvlJc w:val="left"/>
      <w:pPr>
        <w:ind w:left="2160" w:hanging="360"/>
      </w:pPr>
      <w:rPr>
        <w:rFonts w:cs="Times New Roman"/>
      </w:rPr>
    </w:lvl>
    <w:lvl w:ilvl="6">
      <w:start w:val="1"/>
      <w:numFmt w:val="chineseCountingThousand"/>
      <w:lvlText w:val="(%7)"/>
      <w:lvlJc w:val="left"/>
      <w:pPr>
        <w:ind w:left="2520" w:hanging="360"/>
      </w:pPr>
      <w:rPr>
        <w:rFonts w:ascii="Times New Roman" w:eastAsia="Times New Roman" w:hAnsi="Times New Roman" w:cs="Times New Roman" w:hint="default"/>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9">
    <w:nsid w:val="251976F4"/>
    <w:multiLevelType w:val="multilevel"/>
    <w:tmpl w:val="F95ABD88"/>
    <w:lvl w:ilvl="0">
      <w:start w:val="1"/>
      <w:numFmt w:val="decimal"/>
      <w:lvlText w:val="%1."/>
      <w:lvlJc w:val="left"/>
      <w:pPr>
        <w:tabs>
          <w:tab w:val="num" w:pos="360"/>
        </w:tabs>
        <w:ind w:left="0" w:firstLine="0"/>
      </w:pPr>
      <w:rPr>
        <w:rFonts w:ascii="Times New Roman" w:hAnsi="Times New Roman" w:cs="Times New Roman" w:hint="default"/>
        <w:b w:val="0"/>
      </w:rPr>
    </w:lvl>
    <w:lvl w:ilvl="1">
      <w:start w:val="1"/>
      <w:numFmt w:val="lowerLetter"/>
      <w:lvlText w:val="(%2)"/>
      <w:lvlJc w:val="left"/>
      <w:pPr>
        <w:tabs>
          <w:tab w:val="num" w:pos="1440"/>
        </w:tabs>
        <w:ind w:left="0" w:firstLine="720"/>
      </w:pPr>
      <w:rPr>
        <w:rFonts w:ascii="Times New Roman" w:hAnsi="Times New Roman" w:cs="Times New Roman"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nsid w:val="25706D4C"/>
    <w:multiLevelType w:val="hybridMultilevel"/>
    <w:tmpl w:val="6E7856FA"/>
    <w:lvl w:ilvl="0" w:tplc="43461FC2">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628111C">
      <w:start w:val="1"/>
      <w:numFmt w:val="decimal"/>
      <w:lvlText w:val="%4."/>
      <w:lvlJc w:val="left"/>
      <w:pPr>
        <w:tabs>
          <w:tab w:val="num" w:pos="2880"/>
        </w:tabs>
        <w:ind w:left="2880" w:hanging="360"/>
      </w:pPr>
      <w:rPr>
        <w:rFonts w:ascii="Times New Roman" w:hAnsi="Times New Roman" w:cs="Times New Roman"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1">
    <w:nsid w:val="257114C3"/>
    <w:multiLevelType w:val="hybridMultilevel"/>
    <w:tmpl w:val="CA3009FC"/>
    <w:lvl w:ilvl="0" w:tplc="6792A530">
      <w:start w:val="1"/>
      <w:numFmt w:val="lowerLetter"/>
      <w:lvlText w:val="(%1)"/>
      <w:lvlJc w:val="left"/>
      <w:pPr>
        <w:ind w:left="810" w:hanging="360"/>
      </w:pPr>
      <w:rPr>
        <w:rFonts w:ascii="Times New Roman" w:eastAsia="KaiTi" w:hAnsi="Times New Roman" w:cs="Times New Roman" w:hint="default"/>
        <w:b w:val="0"/>
        <w:sz w:val="24"/>
        <w:szCs w:val="24"/>
        <w:vertAlign w:val="baseli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2">
    <w:nsid w:val="25CA71AC"/>
    <w:multiLevelType w:val="hybridMultilevel"/>
    <w:tmpl w:val="A2423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26774F16"/>
    <w:multiLevelType w:val="hybridMultilevel"/>
    <w:tmpl w:val="7794F28A"/>
    <w:lvl w:ilvl="0" w:tplc="22AC6E6A">
      <w:start w:val="1"/>
      <w:numFmt w:val="japaneseCounting"/>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68C7CAA"/>
    <w:multiLevelType w:val="hybridMultilevel"/>
    <w:tmpl w:val="3C0E4E5C"/>
    <w:lvl w:ilvl="0" w:tplc="76727E1E">
      <w:start w:val="9"/>
      <w:numFmt w:val="decimal"/>
      <w:lvlText w:val="%1."/>
      <w:lvlJc w:val="left"/>
      <w:pPr>
        <w:ind w:left="720" w:hanging="360"/>
      </w:pPr>
      <w:rPr>
        <w:rFonts w:ascii="Times New Roman" w:hAnsi="Times New Roman" w:cs="Times New Roman" w:hint="default"/>
        <w:sz w:val="24"/>
      </w:rPr>
    </w:lvl>
    <w:lvl w:ilvl="1" w:tplc="80B404BE">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7082A57"/>
    <w:multiLevelType w:val="hybridMultilevel"/>
    <w:tmpl w:val="2968D7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6">
    <w:nsid w:val="27441569"/>
    <w:multiLevelType w:val="hybridMultilevel"/>
    <w:tmpl w:val="6EF0484A"/>
    <w:lvl w:ilvl="0" w:tplc="0F34840E">
      <w:start w:val="1"/>
      <w:numFmt w:val="decimal"/>
      <w:lvlText w:val="%1."/>
      <w:lvlJc w:val="left"/>
      <w:pPr>
        <w:ind w:left="1444" w:hanging="735"/>
      </w:pPr>
      <w:rPr>
        <w:rFonts w:ascii="Times New Roman" w:eastAsia="KaiTi" w:hAnsi="Times New Roman"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7">
    <w:nsid w:val="27CC6A62"/>
    <w:multiLevelType w:val="hybridMultilevel"/>
    <w:tmpl w:val="A056716A"/>
    <w:lvl w:ilvl="0" w:tplc="A41C3BA2">
      <w:start w:val="1"/>
      <w:numFmt w:val="lowerLetter"/>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282972E7"/>
    <w:multiLevelType w:val="multilevel"/>
    <w:tmpl w:val="D438127E"/>
    <w:lvl w:ilvl="0">
      <w:start w:val="1"/>
      <w:numFmt w:val="lowerLetter"/>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2"/>
        <w:vertAlign w:val="baseline"/>
      </w:rPr>
    </w:lvl>
    <w:lvl w:ilvl="1">
      <w:start w:val="1"/>
      <w:numFmt w:val="lowerLetter"/>
      <w:lvlText w:val="（%2）"/>
      <w:lvlJc w:val="left"/>
      <w:pPr>
        <w:ind w:left="1440" w:hanging="720"/>
      </w:pPr>
      <w:rPr>
        <w:rFonts w:ascii="inherit" w:eastAsia="Times New Roman" w:hAnsi="inherit" w:cs="Courier New"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9">
    <w:nsid w:val="285B5512"/>
    <w:multiLevelType w:val="hybridMultilevel"/>
    <w:tmpl w:val="C386A278"/>
    <w:lvl w:ilvl="0" w:tplc="2AC2DBBC">
      <w:start w:val="1"/>
      <w:numFmt w:val="decimal"/>
      <w:lvlText w:val="%1."/>
      <w:lvlJc w:val="left"/>
      <w:pPr>
        <w:ind w:left="1080" w:hanging="720"/>
      </w:pPr>
      <w:rPr>
        <w:rFonts w:hint="default"/>
      </w:rPr>
    </w:lvl>
    <w:lvl w:ilvl="1" w:tplc="48D0BAFE">
      <w:start w:val="1"/>
      <w:numFmt w:val="lowerLetter"/>
      <w:lvlText w:val="(%2)"/>
      <w:lvlJc w:val="left"/>
      <w:pPr>
        <w:ind w:left="1440" w:hanging="360"/>
      </w:pPr>
      <w:rPr>
        <w:rFonts w:hint="default"/>
        <w:b w:val="0"/>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9432FC4"/>
    <w:multiLevelType w:val="hybridMultilevel"/>
    <w:tmpl w:val="A48E6C32"/>
    <w:lvl w:ilvl="0" w:tplc="2FF08EE6">
      <w:start w:val="1"/>
      <w:numFmt w:val="decimal"/>
      <w:lvlText w:val="%1."/>
      <w:lvlJc w:val="left"/>
      <w:pPr>
        <w:ind w:left="1440" w:hanging="72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2A5F3CD6"/>
    <w:multiLevelType w:val="hybridMultilevel"/>
    <w:tmpl w:val="7D6ADB16"/>
    <w:lvl w:ilvl="0" w:tplc="9BF0AF50">
      <w:start w:val="1"/>
      <w:numFmt w:val="lowerLetter"/>
      <w:lvlText w:val="(%1)"/>
      <w:lvlJc w:val="left"/>
      <w:pPr>
        <w:ind w:left="1440" w:hanging="72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2B260290"/>
    <w:multiLevelType w:val="hybridMultilevel"/>
    <w:tmpl w:val="E1B0DE4E"/>
    <w:lvl w:ilvl="0" w:tplc="F89AE9DE">
      <w:start w:val="1"/>
      <w:numFmt w:val="lowerLetter"/>
      <w:lvlText w:val="(%1)"/>
      <w:lvlJc w:val="left"/>
      <w:pPr>
        <w:ind w:left="2160" w:hanging="720"/>
      </w:pPr>
      <w:rPr>
        <w:rFonts w:hint="default"/>
        <w:b w:val="0"/>
        <w:i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3">
    <w:nsid w:val="2B41226C"/>
    <w:multiLevelType w:val="hybridMultilevel"/>
    <w:tmpl w:val="F93C0486"/>
    <w:lvl w:ilvl="0" w:tplc="DBA6F166">
      <w:start w:val="1"/>
      <w:numFmt w:val="lowerLetter"/>
      <w:lvlText w:val="(%1)"/>
      <w:lvlJc w:val="left"/>
      <w:pPr>
        <w:ind w:left="1440" w:hanging="72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2CC0733B"/>
    <w:multiLevelType w:val="hybridMultilevel"/>
    <w:tmpl w:val="A1386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2DC80AC1"/>
    <w:multiLevelType w:val="hybridMultilevel"/>
    <w:tmpl w:val="D7BE16C8"/>
    <w:lvl w:ilvl="0" w:tplc="8C763014">
      <w:start w:val="1"/>
      <w:numFmt w:val="japaneseCounting"/>
      <w:lvlText w:val="(%1)"/>
      <w:lvlJc w:val="left"/>
      <w:pPr>
        <w:ind w:left="1905" w:hanging="46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nsid w:val="2E5F3272"/>
    <w:multiLevelType w:val="hybridMultilevel"/>
    <w:tmpl w:val="E7123476"/>
    <w:lvl w:ilvl="0" w:tplc="1A720472">
      <w:start w:val="1"/>
      <w:numFmt w:val="lowerLetter"/>
      <w:lvlText w:val="(%1)"/>
      <w:lvlJc w:val="left"/>
      <w:pPr>
        <w:ind w:left="2225" w:hanging="525"/>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nsid w:val="2EEA03B5"/>
    <w:multiLevelType w:val="hybridMultilevel"/>
    <w:tmpl w:val="C274777A"/>
    <w:lvl w:ilvl="0" w:tplc="E250BFE6">
      <w:start w:val="1"/>
      <w:numFmt w:val="lowerLetter"/>
      <w:lvlText w:val="(%1)"/>
      <w:lvlJc w:val="left"/>
      <w:pPr>
        <w:ind w:left="810" w:hanging="360"/>
      </w:pPr>
      <w:rPr>
        <w:rFonts w:ascii="Times New Roman" w:eastAsia="KaiTi" w:hAnsi="Times New Roman" w:cs="Times New Roman"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8">
    <w:nsid w:val="2F13258C"/>
    <w:multiLevelType w:val="multilevel"/>
    <w:tmpl w:val="0BA076D2"/>
    <w:lvl w:ilvl="0">
      <w:start w:val="1"/>
      <w:numFmt w:val="decimal"/>
      <w:lvlText w:val="%1."/>
      <w:lvlJc w:val="left"/>
      <w:pPr>
        <w:tabs>
          <w:tab w:val="num" w:pos="360"/>
        </w:tabs>
        <w:ind w:left="0" w:firstLine="0"/>
      </w:pPr>
      <w:rPr>
        <w:rFonts w:ascii="Times New Roman" w:hAnsi="Times New Roman" w:cs="Times New Roman" w:hint="default"/>
      </w:rPr>
    </w:lvl>
    <w:lvl w:ilvl="1">
      <w:start w:val="1"/>
      <w:numFmt w:val="decimal"/>
      <w:lvlText w:val="%2."/>
      <w:lvlJc w:val="left"/>
      <w:pPr>
        <w:tabs>
          <w:tab w:val="num" w:pos="1440"/>
        </w:tabs>
        <w:ind w:left="0" w:firstLine="720"/>
      </w:pPr>
      <w:rPr>
        <w:rFonts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9">
    <w:nsid w:val="2FA926F0"/>
    <w:multiLevelType w:val="hybridMultilevel"/>
    <w:tmpl w:val="8F3425A6"/>
    <w:lvl w:ilvl="0" w:tplc="9574059E">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nsid w:val="2FE52DD2"/>
    <w:multiLevelType w:val="hybridMultilevel"/>
    <w:tmpl w:val="239EC374"/>
    <w:lvl w:ilvl="0" w:tplc="37FC5064">
      <w:start w:val="1"/>
      <w:numFmt w:val="lowerLetter"/>
      <w:lvlText w:val="(%1)"/>
      <w:lvlJc w:val="left"/>
      <w:pPr>
        <w:ind w:left="216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31A0727F"/>
    <w:multiLevelType w:val="hybridMultilevel"/>
    <w:tmpl w:val="E87A4660"/>
    <w:lvl w:ilvl="0" w:tplc="228EF5B6">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351747B"/>
    <w:multiLevelType w:val="multilevel"/>
    <w:tmpl w:val="FB127D3A"/>
    <w:lvl w:ilvl="0">
      <w:start w:val="1"/>
      <w:numFmt w:val="decimal"/>
      <w:lvlText w:val="%1."/>
      <w:lvlJc w:val="left"/>
      <w:pPr>
        <w:tabs>
          <w:tab w:val="num" w:pos="360"/>
        </w:tabs>
        <w:ind w:left="0" w:firstLine="0"/>
      </w:pPr>
      <w:rPr>
        <w:rFonts w:ascii="Times New Roman" w:hAnsi="Times New Roman" w:cs="Times New Roman" w:hint="default"/>
      </w:rPr>
    </w:lvl>
    <w:lvl w:ilvl="1">
      <w:start w:val="1"/>
      <w:numFmt w:val="decimal"/>
      <w:lvlText w:val="%2."/>
      <w:lvlJc w:val="left"/>
      <w:pPr>
        <w:tabs>
          <w:tab w:val="num" w:pos="1440"/>
        </w:tabs>
        <w:ind w:left="0" w:firstLine="720"/>
      </w:pPr>
      <w:rPr>
        <w:rFonts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3">
    <w:nsid w:val="33CE2720"/>
    <w:multiLevelType w:val="hybridMultilevel"/>
    <w:tmpl w:val="CD0C053E"/>
    <w:lvl w:ilvl="0" w:tplc="9EF0F486">
      <w:start w:val="3"/>
      <w:numFmt w:val="decimal"/>
      <w:lvlText w:val="%1."/>
      <w:lvlJc w:val="left"/>
      <w:pPr>
        <w:ind w:left="121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3DB26AD"/>
    <w:multiLevelType w:val="multilevel"/>
    <w:tmpl w:val="2B26C50C"/>
    <w:lvl w:ilvl="0">
      <w:start w:val="1"/>
      <w:numFmt w:val="decimal"/>
      <w:lvlText w:val="%1."/>
      <w:lvlJc w:val="left"/>
      <w:pPr>
        <w:tabs>
          <w:tab w:val="num" w:pos="360"/>
        </w:tabs>
      </w:pPr>
      <w:rPr>
        <w:rFonts w:ascii="Times New Roman" w:hAnsi="Times New Roman" w:cs="Times New Roman" w:hint="default"/>
        <w:b w:val="0"/>
        <w:i w:val="0"/>
        <w:sz w:val="22"/>
      </w:rPr>
    </w:lvl>
    <w:lvl w:ilvl="1">
      <w:start w:val="1"/>
      <w:numFmt w:val="lowerLetter"/>
      <w:lvlText w:val="(%2)"/>
      <w:lvlJc w:val="left"/>
      <w:pPr>
        <w:tabs>
          <w:tab w:val="num" w:pos="1440"/>
        </w:tabs>
        <w:ind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5">
    <w:nsid w:val="34B71720"/>
    <w:multiLevelType w:val="hybridMultilevel"/>
    <w:tmpl w:val="DA50C8CC"/>
    <w:lvl w:ilvl="0" w:tplc="561613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34C120A8"/>
    <w:multiLevelType w:val="hybridMultilevel"/>
    <w:tmpl w:val="718EDCEC"/>
    <w:lvl w:ilvl="0" w:tplc="A41C3BA2">
      <w:start w:val="1"/>
      <w:numFmt w:val="lowerLetter"/>
      <w:lvlText w:val="(%1)"/>
      <w:lvlJc w:val="left"/>
      <w:pPr>
        <w:ind w:left="2160" w:hanging="720"/>
      </w:pPr>
      <w:rPr>
        <w:rFonts w:hint="default"/>
      </w:rPr>
    </w:lvl>
    <w:lvl w:ilvl="1" w:tplc="39A4BE58">
      <w:start w:val="1"/>
      <w:numFmt w:val="lowerRoman"/>
      <w:lvlText w:val="（%2）"/>
      <w:lvlJc w:val="left"/>
      <w:pPr>
        <w:ind w:left="2880" w:hanging="108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34FD1AAB"/>
    <w:multiLevelType w:val="hybridMultilevel"/>
    <w:tmpl w:val="AF6E9DEC"/>
    <w:lvl w:ilvl="0" w:tplc="76D412D2">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52B73E4"/>
    <w:multiLevelType w:val="hybridMultilevel"/>
    <w:tmpl w:val="0CEC2F74"/>
    <w:lvl w:ilvl="0" w:tplc="A754AB8C">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9">
    <w:nsid w:val="356A5787"/>
    <w:multiLevelType w:val="hybridMultilevel"/>
    <w:tmpl w:val="4202B680"/>
    <w:lvl w:ilvl="0" w:tplc="F3A20EAC">
      <w:start w:val="1"/>
      <w:numFmt w:val="lowerLetter"/>
      <w:lvlText w:val="(%1)"/>
      <w:lvlJc w:val="left"/>
      <w:pPr>
        <w:ind w:left="1965" w:hanging="525"/>
      </w:pPr>
      <w:rPr>
        <w:rFonts w:ascii="Times New Roman" w:hAnsi="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nsid w:val="35890179"/>
    <w:multiLevelType w:val="hybridMultilevel"/>
    <w:tmpl w:val="477E0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35AF292B"/>
    <w:multiLevelType w:val="hybridMultilevel"/>
    <w:tmpl w:val="1848C0E4"/>
    <w:lvl w:ilvl="0" w:tplc="8A06A996">
      <w:start w:val="1"/>
      <w:numFmt w:val="lowerLetter"/>
      <w:lvlText w:val="(%1)"/>
      <w:lvlJc w:val="left"/>
      <w:pPr>
        <w:ind w:left="121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5D451D4"/>
    <w:multiLevelType w:val="hybridMultilevel"/>
    <w:tmpl w:val="D01ECEFE"/>
    <w:lvl w:ilvl="0" w:tplc="561613B4">
      <w:start w:val="1"/>
      <w:numFmt w:val="lowerLetter"/>
      <w:lvlText w:val="(%1)"/>
      <w:lvlJc w:val="left"/>
      <w:pPr>
        <w:ind w:left="1700" w:hanging="720"/>
      </w:pPr>
      <w:rPr>
        <w:rFonts w:hint="default"/>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123">
    <w:nsid w:val="35F70E66"/>
    <w:multiLevelType w:val="hybridMultilevel"/>
    <w:tmpl w:val="F41C6B9A"/>
    <w:lvl w:ilvl="0" w:tplc="71E6E154">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60D4FCD"/>
    <w:multiLevelType w:val="hybridMultilevel"/>
    <w:tmpl w:val="B2087266"/>
    <w:lvl w:ilvl="0" w:tplc="149289D0">
      <w:start w:val="1"/>
      <w:numFmt w:val="upperLetter"/>
      <w:lvlText w:val="%1."/>
      <w:lvlJc w:val="left"/>
      <w:pPr>
        <w:ind w:left="4680" w:hanging="360"/>
      </w:pPr>
      <w:rPr>
        <w:rFonts w:ascii="Times New Roman" w:hAnsi="Times New Roman" w:cs="Times New Roman" w:hint="default"/>
      </w:rPr>
    </w:lvl>
    <w:lvl w:ilvl="1" w:tplc="04090019" w:tentative="1">
      <w:start w:val="1"/>
      <w:numFmt w:val="lowerLetter"/>
      <w:lvlText w:val="%2."/>
      <w:lvlJc w:val="left"/>
      <w:pPr>
        <w:ind w:left="5400" w:hanging="360"/>
      </w:pPr>
      <w:rPr>
        <w:rFonts w:cs="Times New Roman"/>
      </w:rPr>
    </w:lvl>
    <w:lvl w:ilvl="2" w:tplc="0409001B" w:tentative="1">
      <w:start w:val="1"/>
      <w:numFmt w:val="lowerRoman"/>
      <w:lvlText w:val="%3."/>
      <w:lvlJc w:val="right"/>
      <w:pPr>
        <w:ind w:left="6120" w:hanging="180"/>
      </w:pPr>
      <w:rPr>
        <w:rFonts w:cs="Times New Roman"/>
      </w:rPr>
    </w:lvl>
    <w:lvl w:ilvl="3" w:tplc="0409000F" w:tentative="1">
      <w:start w:val="1"/>
      <w:numFmt w:val="decimal"/>
      <w:lvlText w:val="%4."/>
      <w:lvlJc w:val="left"/>
      <w:pPr>
        <w:ind w:left="6840" w:hanging="360"/>
      </w:pPr>
      <w:rPr>
        <w:rFonts w:cs="Times New Roman"/>
      </w:rPr>
    </w:lvl>
    <w:lvl w:ilvl="4" w:tplc="04090019" w:tentative="1">
      <w:start w:val="1"/>
      <w:numFmt w:val="lowerLetter"/>
      <w:lvlText w:val="%5."/>
      <w:lvlJc w:val="left"/>
      <w:pPr>
        <w:ind w:left="7560" w:hanging="360"/>
      </w:pPr>
      <w:rPr>
        <w:rFonts w:cs="Times New Roman"/>
      </w:rPr>
    </w:lvl>
    <w:lvl w:ilvl="5" w:tplc="0409001B" w:tentative="1">
      <w:start w:val="1"/>
      <w:numFmt w:val="lowerRoman"/>
      <w:lvlText w:val="%6."/>
      <w:lvlJc w:val="right"/>
      <w:pPr>
        <w:ind w:left="8280" w:hanging="180"/>
      </w:pPr>
      <w:rPr>
        <w:rFonts w:cs="Times New Roman"/>
      </w:rPr>
    </w:lvl>
    <w:lvl w:ilvl="6" w:tplc="0409000F" w:tentative="1">
      <w:start w:val="1"/>
      <w:numFmt w:val="decimal"/>
      <w:lvlText w:val="%7."/>
      <w:lvlJc w:val="left"/>
      <w:pPr>
        <w:ind w:left="9000" w:hanging="360"/>
      </w:pPr>
      <w:rPr>
        <w:rFonts w:cs="Times New Roman"/>
      </w:rPr>
    </w:lvl>
    <w:lvl w:ilvl="7" w:tplc="04090019" w:tentative="1">
      <w:start w:val="1"/>
      <w:numFmt w:val="lowerLetter"/>
      <w:lvlText w:val="%8."/>
      <w:lvlJc w:val="left"/>
      <w:pPr>
        <w:ind w:left="9720" w:hanging="360"/>
      </w:pPr>
      <w:rPr>
        <w:rFonts w:cs="Times New Roman"/>
      </w:rPr>
    </w:lvl>
    <w:lvl w:ilvl="8" w:tplc="0409001B" w:tentative="1">
      <w:start w:val="1"/>
      <w:numFmt w:val="lowerRoman"/>
      <w:lvlText w:val="%9."/>
      <w:lvlJc w:val="right"/>
      <w:pPr>
        <w:ind w:left="10440" w:hanging="180"/>
      </w:pPr>
      <w:rPr>
        <w:rFonts w:cs="Times New Roman"/>
      </w:rPr>
    </w:lvl>
  </w:abstractNum>
  <w:abstractNum w:abstractNumId="125">
    <w:nsid w:val="36EE7984"/>
    <w:multiLevelType w:val="hybridMultilevel"/>
    <w:tmpl w:val="C41A94A2"/>
    <w:lvl w:ilvl="0" w:tplc="903028FC">
      <w:start w:val="1"/>
      <w:numFmt w:val="chineseCountingThousand"/>
      <w:lvlText w:val="（%1）"/>
      <w:lvlJc w:val="left"/>
      <w:pPr>
        <w:ind w:left="1400" w:hanging="420"/>
      </w:pPr>
      <w:rPr>
        <w:rFonts w:ascii="Times New Roman" w:hAnsi="Times New Roman" w:cs="Times New Roman" w:hint="default"/>
        <w:b w:val="0"/>
        <w:sz w:val="24"/>
      </w:rPr>
    </w:lvl>
    <w:lvl w:ilvl="1" w:tplc="8E584EA2">
      <w:start w:val="1"/>
      <w:numFmt w:val="lowerLetter"/>
      <w:lvlText w:val="(%2)"/>
      <w:lvlJc w:val="left"/>
      <w:pPr>
        <w:ind w:left="2375" w:hanging="975"/>
      </w:pPr>
      <w:rPr>
        <w:rFonts w:ascii="Times New Roman" w:hAnsi="Times New Roman" w:hint="default"/>
      </w:rPr>
    </w:lvl>
    <w:lvl w:ilvl="2" w:tplc="0409001B" w:tentative="1">
      <w:start w:val="1"/>
      <w:numFmt w:val="lowerRoman"/>
      <w:lvlText w:val="%3."/>
      <w:lvlJc w:val="right"/>
      <w:pPr>
        <w:ind w:left="2240" w:hanging="420"/>
      </w:pPr>
    </w:lvl>
    <w:lvl w:ilvl="3" w:tplc="0409000F" w:tentative="1">
      <w:start w:val="1"/>
      <w:numFmt w:val="decimal"/>
      <w:lvlText w:val="%4."/>
      <w:lvlJc w:val="left"/>
      <w:pPr>
        <w:ind w:left="2660" w:hanging="420"/>
      </w:pPr>
    </w:lvl>
    <w:lvl w:ilvl="4" w:tplc="04090019" w:tentative="1">
      <w:start w:val="1"/>
      <w:numFmt w:val="lowerLetter"/>
      <w:lvlText w:val="%5)"/>
      <w:lvlJc w:val="left"/>
      <w:pPr>
        <w:ind w:left="3080" w:hanging="420"/>
      </w:pPr>
    </w:lvl>
    <w:lvl w:ilvl="5" w:tplc="0409001B" w:tentative="1">
      <w:start w:val="1"/>
      <w:numFmt w:val="lowerRoman"/>
      <w:lvlText w:val="%6."/>
      <w:lvlJc w:val="right"/>
      <w:pPr>
        <w:ind w:left="3500" w:hanging="420"/>
      </w:pPr>
    </w:lvl>
    <w:lvl w:ilvl="6" w:tplc="0409000F" w:tentative="1">
      <w:start w:val="1"/>
      <w:numFmt w:val="decimal"/>
      <w:lvlText w:val="%7."/>
      <w:lvlJc w:val="left"/>
      <w:pPr>
        <w:ind w:left="3920" w:hanging="420"/>
      </w:pPr>
    </w:lvl>
    <w:lvl w:ilvl="7" w:tplc="04090019" w:tentative="1">
      <w:start w:val="1"/>
      <w:numFmt w:val="lowerLetter"/>
      <w:lvlText w:val="%8)"/>
      <w:lvlJc w:val="left"/>
      <w:pPr>
        <w:ind w:left="4340" w:hanging="420"/>
      </w:pPr>
    </w:lvl>
    <w:lvl w:ilvl="8" w:tplc="0409001B" w:tentative="1">
      <w:start w:val="1"/>
      <w:numFmt w:val="lowerRoman"/>
      <w:lvlText w:val="%9."/>
      <w:lvlJc w:val="right"/>
      <w:pPr>
        <w:ind w:left="4760" w:hanging="420"/>
      </w:pPr>
    </w:lvl>
  </w:abstractNum>
  <w:abstractNum w:abstractNumId="126">
    <w:nsid w:val="374641EC"/>
    <w:multiLevelType w:val="hybridMultilevel"/>
    <w:tmpl w:val="9CC83A88"/>
    <w:lvl w:ilvl="0" w:tplc="324881DE">
      <w:start w:val="1"/>
      <w:numFmt w:val="japaneseCounting"/>
      <w:lvlText w:val="(%1)"/>
      <w:lvlJc w:val="left"/>
      <w:pPr>
        <w:ind w:left="1080" w:hanging="720"/>
      </w:pPr>
      <w:rPr>
        <w:rFonts w:cs="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82223AB"/>
    <w:multiLevelType w:val="multilevel"/>
    <w:tmpl w:val="FB127D3A"/>
    <w:lvl w:ilvl="0">
      <w:start w:val="1"/>
      <w:numFmt w:val="decimal"/>
      <w:lvlText w:val="%1."/>
      <w:lvlJc w:val="left"/>
      <w:pPr>
        <w:tabs>
          <w:tab w:val="num" w:pos="360"/>
        </w:tabs>
        <w:ind w:left="0" w:firstLine="0"/>
      </w:pPr>
      <w:rPr>
        <w:rFonts w:ascii="Times New Roman" w:hAnsi="Times New Roman" w:cs="Times New Roman" w:hint="default"/>
      </w:rPr>
    </w:lvl>
    <w:lvl w:ilvl="1">
      <w:start w:val="1"/>
      <w:numFmt w:val="decimal"/>
      <w:lvlText w:val="%2."/>
      <w:lvlJc w:val="left"/>
      <w:pPr>
        <w:tabs>
          <w:tab w:val="num" w:pos="1440"/>
        </w:tabs>
        <w:ind w:left="0" w:firstLine="720"/>
      </w:pPr>
      <w:rPr>
        <w:rFonts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nsid w:val="38B549BF"/>
    <w:multiLevelType w:val="hybridMultilevel"/>
    <w:tmpl w:val="958EE62C"/>
    <w:lvl w:ilvl="0" w:tplc="56B615BA">
      <w:start w:val="1"/>
      <w:numFmt w:val="lowerLetter"/>
      <w:lvlText w:val="(%1)"/>
      <w:lvlJc w:val="left"/>
      <w:pPr>
        <w:ind w:left="720" w:hanging="360"/>
      </w:pPr>
      <w:rPr>
        <w:rFonts w:ascii="Times New Roman" w:hAnsi="Times New Roman" w:cs="Times New Roman" w:hint="default"/>
        <w:b w:val="0"/>
      </w:rPr>
    </w:lvl>
    <w:lvl w:ilvl="1" w:tplc="B8645378">
      <w:start w:val="1"/>
      <w:numFmt w:val="japaneseCounting"/>
      <w:lvlText w:val="（%2）"/>
      <w:lvlJc w:val="left"/>
      <w:pPr>
        <w:ind w:left="1800" w:hanging="720"/>
      </w:pPr>
      <w:rPr>
        <w:rFonts w:cs="SimSun" w:hint="default"/>
      </w:rPr>
    </w:lvl>
    <w:lvl w:ilvl="2" w:tplc="BAFE24C2">
      <w:start w:val="1"/>
      <w:numFmt w:val="japaneseCounting"/>
      <w:lvlText w:val="(%3)"/>
      <w:lvlJc w:val="left"/>
      <w:pPr>
        <w:ind w:left="2460" w:hanging="660"/>
      </w:pPr>
      <w:rPr>
        <w:rFonts w:cs="SimSun"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9">
    <w:nsid w:val="394F5A8F"/>
    <w:multiLevelType w:val="hybridMultilevel"/>
    <w:tmpl w:val="1488EAEA"/>
    <w:lvl w:ilvl="0" w:tplc="BE126700">
      <w:start w:val="1"/>
      <w:numFmt w:val="decimal"/>
      <w:lvlText w:val="%1."/>
      <w:lvlJc w:val="left"/>
      <w:pPr>
        <w:ind w:left="810" w:hanging="360"/>
      </w:pPr>
      <w:rPr>
        <w:rFonts w:ascii="Times New Roman" w:hAnsi="Times New Roman"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30">
    <w:nsid w:val="395819B1"/>
    <w:multiLevelType w:val="multilevel"/>
    <w:tmpl w:val="8076AD14"/>
    <w:lvl w:ilvl="0">
      <w:start w:val="7"/>
      <w:numFmt w:val="decimal"/>
      <w:lvlText w:val="%1."/>
      <w:lvlJc w:val="left"/>
      <w:pPr>
        <w:tabs>
          <w:tab w:val="num" w:pos="360"/>
        </w:tabs>
      </w:pPr>
      <w:rPr>
        <w:rFonts w:ascii="Times New Roman" w:eastAsia="MS Mincho" w:hAnsi="Times New Roman" w:cs="Angsana New" w:hint="default"/>
        <w:b w:val="0"/>
        <w:i w:val="0"/>
        <w:sz w:val="22"/>
        <w:szCs w:val="22"/>
      </w:rPr>
    </w:lvl>
    <w:lvl w:ilvl="1">
      <w:start w:val="1"/>
      <w:numFmt w:val="lowerLetter"/>
      <w:lvlText w:val="(%2)"/>
      <w:lvlJc w:val="left"/>
      <w:pPr>
        <w:tabs>
          <w:tab w:val="num" w:pos="1440"/>
        </w:tabs>
        <w:ind w:firstLine="720"/>
      </w:pPr>
      <w:rPr>
        <w:rFonts w:cs="Times New Roman" w:hint="default"/>
        <w:b w:val="0"/>
        <w:i w:val="0"/>
      </w:rPr>
    </w:lvl>
    <w:lvl w:ilvl="2">
      <w:start w:val="1"/>
      <w:numFmt w:val="lowerRoman"/>
      <w:lvlText w:val="(%3)"/>
      <w:lvlJc w:val="right"/>
      <w:pPr>
        <w:tabs>
          <w:tab w:val="num" w:pos="1260"/>
        </w:tabs>
        <w:ind w:left="1260" w:hanging="360"/>
      </w:pPr>
      <w:rPr>
        <w:rFonts w:cs="Times New Roman" w:hint="default"/>
      </w:rPr>
    </w:lvl>
    <w:lvl w:ilvl="3">
      <w:start w:val="1"/>
      <w:numFmt w:val="lowerRoman"/>
      <w:lvlText w:val="%4."/>
      <w:lvlJc w:val="right"/>
      <w:pPr>
        <w:tabs>
          <w:tab w:val="num" w:pos="2160"/>
        </w:tabs>
        <w:ind w:left="2160" w:hanging="720"/>
      </w:pPr>
      <w:rPr>
        <w:rFonts w:cs="Times New Roman"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1">
    <w:nsid w:val="396814BD"/>
    <w:multiLevelType w:val="hybridMultilevel"/>
    <w:tmpl w:val="EC8A1EBE"/>
    <w:lvl w:ilvl="0" w:tplc="F89AE9DE">
      <w:start w:val="1"/>
      <w:numFmt w:val="lowerLetter"/>
      <w:lvlText w:val="(%1)"/>
      <w:lvlJc w:val="left"/>
      <w:pPr>
        <w:ind w:left="1440" w:hanging="360"/>
      </w:pPr>
      <w:rPr>
        <w:rFonts w:cs="Times New Roman" w:hint="default"/>
        <w:b w:val="0"/>
        <w:i w:val="0"/>
      </w:rPr>
    </w:lvl>
    <w:lvl w:ilvl="1" w:tplc="E6E2270E">
      <w:start w:val="1"/>
      <w:numFmt w:val="decimal"/>
      <w:lvlText w:val="%2."/>
      <w:lvlJc w:val="left"/>
      <w:pPr>
        <w:ind w:left="2520" w:hanging="720"/>
      </w:pPr>
      <w:rPr>
        <w:rFonts w:ascii="Times New Roman" w:hAnsi="Times New Roman" w:cs="Times New Roman" w:hint="default"/>
        <w:color w:val="000000"/>
        <w:sz w:val="24"/>
        <w:szCs w:val="24"/>
        <w:vertAlign w:val="baseline"/>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2">
    <w:nsid w:val="39FB0DD0"/>
    <w:multiLevelType w:val="hybridMultilevel"/>
    <w:tmpl w:val="0980E954"/>
    <w:lvl w:ilvl="0" w:tplc="8E584EA2">
      <w:start w:val="1"/>
      <w:numFmt w:val="lowerLetter"/>
      <w:lvlText w:val="(%1)"/>
      <w:lvlJc w:val="left"/>
      <w:pPr>
        <w:ind w:left="2375" w:hanging="975"/>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A2A2E83"/>
    <w:multiLevelType w:val="hybridMultilevel"/>
    <w:tmpl w:val="20164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3AE81F5D"/>
    <w:multiLevelType w:val="hybridMultilevel"/>
    <w:tmpl w:val="B41AC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3AEB0B1E"/>
    <w:multiLevelType w:val="multilevel"/>
    <w:tmpl w:val="E07EC098"/>
    <w:lvl w:ilvl="0">
      <w:start w:val="1"/>
      <w:numFmt w:val="decimal"/>
      <w:pStyle w:val="para2"/>
      <w:lvlText w:val="%1."/>
      <w:lvlJc w:val="left"/>
      <w:pPr>
        <w:tabs>
          <w:tab w:val="num" w:pos="360"/>
        </w:tabs>
      </w:pPr>
      <w:rPr>
        <w:rFonts w:cs="Times New Roman" w:hint="default"/>
      </w:rPr>
    </w:lvl>
    <w:lvl w:ilvl="1">
      <w:start w:val="1"/>
      <w:numFmt w:val="lowerLetter"/>
      <w:lvlText w:val="(%2)"/>
      <w:lvlJc w:val="left"/>
      <w:pPr>
        <w:tabs>
          <w:tab w:val="num" w:pos="1080"/>
        </w:tabs>
        <w:ind w:firstLine="720"/>
      </w:pPr>
      <w:rPr>
        <w:rFonts w:cs="Times New Roman" w:hint="default"/>
      </w:rPr>
    </w:lvl>
    <w:lvl w:ilvl="2">
      <w:start w:val="1"/>
      <w:numFmt w:val="lowerRoman"/>
      <w:lvlText w:val="(%3)"/>
      <w:lvlJc w:val="right"/>
      <w:pPr>
        <w:tabs>
          <w:tab w:val="num" w:pos="2736"/>
        </w:tabs>
        <w:ind w:left="2736" w:hanging="432"/>
      </w:pPr>
      <w:rPr>
        <w:rFonts w:cs="Times New Roman" w:hint="default"/>
      </w:rPr>
    </w:lvl>
    <w:lvl w:ilvl="3">
      <w:start w:val="1"/>
      <w:numFmt w:val="decimal"/>
      <w:lvlText w:val="a."/>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136">
    <w:nsid w:val="3B7077A0"/>
    <w:multiLevelType w:val="hybridMultilevel"/>
    <w:tmpl w:val="A056716A"/>
    <w:lvl w:ilvl="0" w:tplc="A41C3BA2">
      <w:start w:val="1"/>
      <w:numFmt w:val="lowerLetter"/>
      <w:lvlText w:val="(%1)"/>
      <w:lvlJc w:val="left"/>
      <w:pPr>
        <w:ind w:left="171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7">
    <w:nsid w:val="3BA26588"/>
    <w:multiLevelType w:val="hybridMultilevel"/>
    <w:tmpl w:val="7A20A8B4"/>
    <w:lvl w:ilvl="0" w:tplc="6D7CC3D2">
      <w:start w:val="1"/>
      <w:numFmt w:val="decimal"/>
      <w:lvlText w:val="%1."/>
      <w:lvlJc w:val="left"/>
      <w:pPr>
        <w:ind w:left="1440" w:hanging="360"/>
      </w:pPr>
      <w:rPr>
        <w:rFonts w:ascii="Times New Roman" w:hAnsi="Times New Roman" w:cs="Times New Roman"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nsid w:val="3BCB11F4"/>
    <w:multiLevelType w:val="multilevel"/>
    <w:tmpl w:val="FB127D3A"/>
    <w:lvl w:ilvl="0">
      <w:start w:val="1"/>
      <w:numFmt w:val="decimal"/>
      <w:lvlText w:val="%1."/>
      <w:lvlJc w:val="left"/>
      <w:pPr>
        <w:tabs>
          <w:tab w:val="num" w:pos="360"/>
        </w:tabs>
        <w:ind w:left="0" w:firstLine="0"/>
      </w:pPr>
      <w:rPr>
        <w:rFonts w:ascii="Times New Roman" w:hAnsi="Times New Roman" w:cs="Times New Roman" w:hint="default"/>
      </w:rPr>
    </w:lvl>
    <w:lvl w:ilvl="1">
      <w:start w:val="1"/>
      <w:numFmt w:val="decimal"/>
      <w:lvlText w:val="%2."/>
      <w:lvlJc w:val="left"/>
      <w:pPr>
        <w:tabs>
          <w:tab w:val="num" w:pos="1440"/>
        </w:tabs>
        <w:ind w:left="0" w:firstLine="720"/>
      </w:pPr>
      <w:rPr>
        <w:rFonts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9">
    <w:nsid w:val="3C1C3B38"/>
    <w:multiLevelType w:val="hybridMultilevel"/>
    <w:tmpl w:val="060EB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3C584262"/>
    <w:multiLevelType w:val="hybridMultilevel"/>
    <w:tmpl w:val="FC1AF4C0"/>
    <w:lvl w:ilvl="0" w:tplc="CAB40D4C">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3D4E1A19"/>
    <w:multiLevelType w:val="multilevel"/>
    <w:tmpl w:val="2C842EB6"/>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0" w:firstLine="720"/>
      </w:pPr>
      <w:rPr>
        <w:rFonts w:ascii="Times New Roman" w:hAnsi="Times New Roman" w:cs="Times New Roman" w:hint="default"/>
        <w:i w:val="0"/>
        <w:sz w:val="24"/>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2">
    <w:nsid w:val="3D547C05"/>
    <w:multiLevelType w:val="hybridMultilevel"/>
    <w:tmpl w:val="5F08290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3">
    <w:nsid w:val="3E23758F"/>
    <w:multiLevelType w:val="hybridMultilevel"/>
    <w:tmpl w:val="A47CC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3EC539E3"/>
    <w:multiLevelType w:val="hybridMultilevel"/>
    <w:tmpl w:val="EC924C0E"/>
    <w:lvl w:ilvl="0" w:tplc="49A46C26">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3EEC1E9E"/>
    <w:multiLevelType w:val="hybridMultilevel"/>
    <w:tmpl w:val="9288F410"/>
    <w:lvl w:ilvl="0" w:tplc="A8CC2946">
      <w:start w:val="1"/>
      <w:numFmt w:val="lowerLetter"/>
      <w:lvlText w:val="(%1)"/>
      <w:lvlJc w:val="left"/>
      <w:pPr>
        <w:ind w:left="1080" w:hanging="360"/>
      </w:pPr>
      <w:rPr>
        <w:rFonts w:ascii="Times New Roman" w:hAnsi="Times New Roman" w:cs="Times New Roman" w:hint="default"/>
        <w:b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6">
    <w:nsid w:val="3F001445"/>
    <w:multiLevelType w:val="hybridMultilevel"/>
    <w:tmpl w:val="82FC9A8C"/>
    <w:lvl w:ilvl="0" w:tplc="91062D36">
      <w:start w:val="1"/>
      <w:numFmt w:val="lowerLetter"/>
      <w:lvlText w:val="(%1)"/>
      <w:lvlJc w:val="left"/>
      <w:pPr>
        <w:ind w:left="720"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3FFF48E0"/>
    <w:multiLevelType w:val="hybridMultilevel"/>
    <w:tmpl w:val="AE9E8A28"/>
    <w:lvl w:ilvl="0" w:tplc="85381882">
      <w:start w:val="1"/>
      <w:numFmt w:val="lowerLetter"/>
      <w:lvlText w:val="(%1)"/>
      <w:lvlJc w:val="left"/>
      <w:pPr>
        <w:ind w:left="2968" w:hanging="1470"/>
      </w:pPr>
      <w:rPr>
        <w:rFonts w:ascii="Times New Roman" w:hAnsi="Times New Roman" w:cs="Times New Roman" w:hint="default"/>
      </w:rPr>
    </w:lvl>
    <w:lvl w:ilvl="1" w:tplc="04090019" w:tentative="1">
      <w:start w:val="1"/>
      <w:numFmt w:val="lowerLetter"/>
      <w:lvlText w:val="%2."/>
      <w:lvlJc w:val="left"/>
      <w:pPr>
        <w:ind w:left="2578" w:hanging="360"/>
      </w:pPr>
      <w:rPr>
        <w:rFonts w:cs="Times New Roman"/>
      </w:rPr>
    </w:lvl>
    <w:lvl w:ilvl="2" w:tplc="0409001B" w:tentative="1">
      <w:start w:val="1"/>
      <w:numFmt w:val="lowerRoman"/>
      <w:lvlText w:val="%3."/>
      <w:lvlJc w:val="right"/>
      <w:pPr>
        <w:ind w:left="3298" w:hanging="180"/>
      </w:pPr>
      <w:rPr>
        <w:rFonts w:cs="Times New Roman"/>
      </w:rPr>
    </w:lvl>
    <w:lvl w:ilvl="3" w:tplc="0409000F" w:tentative="1">
      <w:start w:val="1"/>
      <w:numFmt w:val="decimal"/>
      <w:lvlText w:val="%4."/>
      <w:lvlJc w:val="left"/>
      <w:pPr>
        <w:ind w:left="4018" w:hanging="360"/>
      </w:pPr>
      <w:rPr>
        <w:rFonts w:cs="Times New Roman"/>
      </w:rPr>
    </w:lvl>
    <w:lvl w:ilvl="4" w:tplc="04090019" w:tentative="1">
      <w:start w:val="1"/>
      <w:numFmt w:val="lowerLetter"/>
      <w:lvlText w:val="%5."/>
      <w:lvlJc w:val="left"/>
      <w:pPr>
        <w:ind w:left="4738" w:hanging="360"/>
      </w:pPr>
      <w:rPr>
        <w:rFonts w:cs="Times New Roman"/>
      </w:rPr>
    </w:lvl>
    <w:lvl w:ilvl="5" w:tplc="0409001B" w:tentative="1">
      <w:start w:val="1"/>
      <w:numFmt w:val="lowerRoman"/>
      <w:lvlText w:val="%6."/>
      <w:lvlJc w:val="right"/>
      <w:pPr>
        <w:ind w:left="5458" w:hanging="180"/>
      </w:pPr>
      <w:rPr>
        <w:rFonts w:cs="Times New Roman"/>
      </w:rPr>
    </w:lvl>
    <w:lvl w:ilvl="6" w:tplc="0409000F" w:tentative="1">
      <w:start w:val="1"/>
      <w:numFmt w:val="decimal"/>
      <w:lvlText w:val="%7."/>
      <w:lvlJc w:val="left"/>
      <w:pPr>
        <w:ind w:left="6178" w:hanging="360"/>
      </w:pPr>
      <w:rPr>
        <w:rFonts w:cs="Times New Roman"/>
      </w:rPr>
    </w:lvl>
    <w:lvl w:ilvl="7" w:tplc="04090019" w:tentative="1">
      <w:start w:val="1"/>
      <w:numFmt w:val="lowerLetter"/>
      <w:lvlText w:val="%8."/>
      <w:lvlJc w:val="left"/>
      <w:pPr>
        <w:ind w:left="6898" w:hanging="360"/>
      </w:pPr>
      <w:rPr>
        <w:rFonts w:cs="Times New Roman"/>
      </w:rPr>
    </w:lvl>
    <w:lvl w:ilvl="8" w:tplc="0409001B" w:tentative="1">
      <w:start w:val="1"/>
      <w:numFmt w:val="lowerRoman"/>
      <w:lvlText w:val="%9."/>
      <w:lvlJc w:val="right"/>
      <w:pPr>
        <w:ind w:left="7618" w:hanging="180"/>
      </w:pPr>
      <w:rPr>
        <w:rFonts w:cs="Times New Roman"/>
      </w:rPr>
    </w:lvl>
  </w:abstractNum>
  <w:abstractNum w:abstractNumId="148">
    <w:nsid w:val="40165948"/>
    <w:multiLevelType w:val="hybridMultilevel"/>
    <w:tmpl w:val="BFC8EBC8"/>
    <w:lvl w:ilvl="0" w:tplc="01D0C1E8">
      <w:start w:val="1"/>
      <w:numFmt w:val="decimal"/>
      <w:lvlText w:val="%1."/>
      <w:lvlJc w:val="left"/>
      <w:pPr>
        <w:ind w:left="720" w:hanging="360"/>
      </w:pPr>
      <w:rPr>
        <w:rFonts w:ascii="Times New Roman" w:hAnsi="Times New Roman" w:cs="Times New Roman"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02177F5"/>
    <w:multiLevelType w:val="hybridMultilevel"/>
    <w:tmpl w:val="E5B4B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0E9787A"/>
    <w:multiLevelType w:val="hybridMultilevel"/>
    <w:tmpl w:val="642685BE"/>
    <w:lvl w:ilvl="0" w:tplc="CAB40D4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rPr>
        <w:rFonts w:cs="Times New Roman"/>
      </w:rPr>
    </w:lvl>
    <w:lvl w:ilvl="2" w:tplc="CAB40D4C">
      <w:start w:val="1"/>
      <w:numFmt w:val="lowerLetter"/>
      <w:lvlText w:val="(%3)"/>
      <w:lvlJc w:val="left"/>
      <w:pPr>
        <w:ind w:left="3960" w:hanging="180"/>
      </w:pPr>
      <w:rPr>
        <w:rFonts w:cs="Times New Roman" w:hint="default"/>
        <w:b w:val="0"/>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51">
    <w:nsid w:val="417B5FF0"/>
    <w:multiLevelType w:val="multilevel"/>
    <w:tmpl w:val="FB127D3A"/>
    <w:lvl w:ilvl="0">
      <w:start w:val="1"/>
      <w:numFmt w:val="decimal"/>
      <w:lvlText w:val="%1."/>
      <w:lvlJc w:val="left"/>
      <w:pPr>
        <w:tabs>
          <w:tab w:val="num" w:pos="360"/>
        </w:tabs>
        <w:ind w:left="0" w:firstLine="0"/>
      </w:pPr>
      <w:rPr>
        <w:rFonts w:ascii="Times New Roman" w:hAnsi="Times New Roman" w:cs="Times New Roman" w:hint="default"/>
      </w:rPr>
    </w:lvl>
    <w:lvl w:ilvl="1">
      <w:start w:val="1"/>
      <w:numFmt w:val="decimal"/>
      <w:lvlText w:val="%2."/>
      <w:lvlJc w:val="left"/>
      <w:pPr>
        <w:tabs>
          <w:tab w:val="num" w:pos="1440"/>
        </w:tabs>
        <w:ind w:left="0" w:firstLine="720"/>
      </w:pPr>
      <w:rPr>
        <w:rFonts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2">
    <w:nsid w:val="41866A7D"/>
    <w:multiLevelType w:val="hybridMultilevel"/>
    <w:tmpl w:val="9288F410"/>
    <w:lvl w:ilvl="0" w:tplc="A8CC2946">
      <w:start w:val="1"/>
      <w:numFmt w:val="lowerLetter"/>
      <w:lvlText w:val="(%1)"/>
      <w:lvlJc w:val="left"/>
      <w:pPr>
        <w:ind w:left="1080" w:hanging="360"/>
      </w:pPr>
      <w:rPr>
        <w:rFonts w:ascii="Times New Roman" w:hAnsi="Times New Roman" w:cs="Times New Roman" w:hint="default"/>
        <w:b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3">
    <w:nsid w:val="41D708BA"/>
    <w:multiLevelType w:val="hybridMultilevel"/>
    <w:tmpl w:val="C14CF19A"/>
    <w:lvl w:ilvl="0" w:tplc="2916778E">
      <w:start w:val="1"/>
      <w:numFmt w:val="lowerLetter"/>
      <w:lvlText w:val="(%1)"/>
      <w:lvlJc w:val="left"/>
      <w:pPr>
        <w:ind w:left="1440" w:hanging="360"/>
      </w:pPr>
      <w:rPr>
        <w:rFonts w:ascii="Times New Roman" w:hAnsi="Times New Roman"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4">
    <w:nsid w:val="4218618C"/>
    <w:multiLevelType w:val="hybridMultilevel"/>
    <w:tmpl w:val="E078D6DA"/>
    <w:lvl w:ilvl="0" w:tplc="3C26D4E2">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628111C">
      <w:start w:val="1"/>
      <w:numFmt w:val="decimal"/>
      <w:lvlText w:val="%4."/>
      <w:lvlJc w:val="left"/>
      <w:pPr>
        <w:tabs>
          <w:tab w:val="num" w:pos="2880"/>
        </w:tabs>
        <w:ind w:left="2880" w:hanging="360"/>
      </w:pPr>
      <w:rPr>
        <w:rFonts w:ascii="Times New Roman" w:hAnsi="Times New Roman" w:cs="Times New Roman"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5">
    <w:nsid w:val="44BD45BB"/>
    <w:multiLevelType w:val="hybridMultilevel"/>
    <w:tmpl w:val="B00A0F20"/>
    <w:lvl w:ilvl="0" w:tplc="CAB40D4C">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6">
    <w:nsid w:val="44CC7FBB"/>
    <w:multiLevelType w:val="hybridMultilevel"/>
    <w:tmpl w:val="6DE45AE6"/>
    <w:lvl w:ilvl="0" w:tplc="F89AE9DE">
      <w:start w:val="1"/>
      <w:numFmt w:val="lowerLetter"/>
      <w:lvlRestart w:val="0"/>
      <w:pStyle w:val="Para20"/>
      <w:lvlText w:val="(%1)"/>
      <w:lvlJc w:val="left"/>
      <w:pPr>
        <w:tabs>
          <w:tab w:val="num" w:pos="1080"/>
        </w:tabs>
        <w:ind w:firstLine="720"/>
      </w:pPr>
      <w:rPr>
        <w:rFonts w:ascii="CG Times" w:hAnsi="CG Times" w:cs="Times New Roman" w:hint="default"/>
        <w:b w:val="0"/>
        <w:i w:val="0"/>
        <w:sz w:val="24"/>
        <w:szCs w:val="24"/>
        <w:u w:val="none"/>
      </w:rPr>
    </w:lvl>
    <w:lvl w:ilvl="1" w:tplc="04090019">
      <w:start w:val="1"/>
      <w:numFmt w:val="lowerLetter"/>
      <w:lvlText w:val="%2."/>
      <w:lvlJc w:val="left"/>
      <w:pPr>
        <w:tabs>
          <w:tab w:val="num" w:pos="2160"/>
        </w:tabs>
        <w:ind w:left="2160" w:hanging="360"/>
      </w:pPr>
      <w:rPr>
        <w:rFonts w:cs="Times New Roman"/>
      </w:rPr>
    </w:lvl>
    <w:lvl w:ilvl="2" w:tplc="8BB656BC">
      <w:start w:val="9"/>
      <w:numFmt w:val="decimal"/>
      <w:lvlText w:val="%3."/>
      <w:lvlJc w:val="left"/>
      <w:pPr>
        <w:tabs>
          <w:tab w:val="num" w:pos="3420"/>
        </w:tabs>
        <w:ind w:left="3420" w:hanging="720"/>
      </w:pPr>
      <w:rPr>
        <w:rFonts w:cs="Times New Roman" w:hint="default"/>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57">
    <w:nsid w:val="46630514"/>
    <w:multiLevelType w:val="hybridMultilevel"/>
    <w:tmpl w:val="1160DE5E"/>
    <w:lvl w:ilvl="0" w:tplc="0409000F">
      <w:start w:val="1"/>
      <w:numFmt w:val="decimal"/>
      <w:lvlText w:val="%1."/>
      <w:lvlJc w:val="left"/>
      <w:pPr>
        <w:ind w:left="1700" w:hanging="360"/>
      </w:pPr>
    </w:lvl>
    <w:lvl w:ilvl="1" w:tplc="04090019" w:tentative="1">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158">
    <w:nsid w:val="473209E3"/>
    <w:multiLevelType w:val="hybridMultilevel"/>
    <w:tmpl w:val="15B40CB2"/>
    <w:lvl w:ilvl="0" w:tplc="61B6F71C">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7985D0B"/>
    <w:multiLevelType w:val="hybridMultilevel"/>
    <w:tmpl w:val="6FA2005A"/>
    <w:lvl w:ilvl="0" w:tplc="CAB40D4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0">
    <w:nsid w:val="48E4287B"/>
    <w:multiLevelType w:val="multilevel"/>
    <w:tmpl w:val="5DEA693C"/>
    <w:lvl w:ilvl="0">
      <w:start w:val="1"/>
      <w:numFmt w:val="decimal"/>
      <w:lvlText w:val="%1."/>
      <w:lvlJc w:val="left"/>
      <w:pPr>
        <w:tabs>
          <w:tab w:val="num" w:pos="360"/>
        </w:tabs>
      </w:pPr>
      <w:rPr>
        <w:rFonts w:cs="Times New Roman"/>
      </w:rPr>
    </w:lvl>
    <w:lvl w:ilvl="1">
      <w:start w:val="1"/>
      <w:numFmt w:val="lowerLetter"/>
      <w:lvlText w:val="(%2)"/>
      <w:lvlJc w:val="left"/>
      <w:pPr>
        <w:tabs>
          <w:tab w:val="num" w:pos="1440"/>
        </w:tabs>
        <w:ind w:firstLine="720"/>
      </w:pPr>
      <w:rPr>
        <w:rFonts w:cs="Times New Roman"/>
      </w:rPr>
    </w:lvl>
    <w:lvl w:ilvl="2">
      <w:start w:val="1"/>
      <w:numFmt w:val="lowerRoman"/>
      <w:lvlText w:val="(%3)"/>
      <w:lvlJc w:val="right"/>
      <w:pPr>
        <w:tabs>
          <w:tab w:val="num" w:pos="1800"/>
        </w:tabs>
        <w:ind w:left="1800" w:hanging="720"/>
      </w:pPr>
      <w:rPr>
        <w:rFonts w:cs="Times New Roman"/>
      </w:rPr>
    </w:lvl>
    <w:lvl w:ilvl="3">
      <w:start w:val="1"/>
      <w:numFmt w:val="decimal"/>
      <w:pStyle w:val="para4"/>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1">
    <w:nsid w:val="49174BE7"/>
    <w:multiLevelType w:val="hybridMultilevel"/>
    <w:tmpl w:val="CF76653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A056DAE"/>
    <w:multiLevelType w:val="multilevel"/>
    <w:tmpl w:val="7754471C"/>
    <w:lvl w:ilvl="0">
      <w:start w:val="25"/>
      <w:numFmt w:val="decimal"/>
      <w:lvlText w:val="%1."/>
      <w:lvlJc w:val="left"/>
      <w:pPr>
        <w:tabs>
          <w:tab w:val="num" w:pos="360"/>
        </w:tabs>
        <w:ind w:left="0" w:firstLine="0"/>
      </w:pPr>
      <w:rPr>
        <w:rFonts w:ascii="Times New Roman" w:hAnsi="Times New Roman" w:cs="Times New Roman" w:hint="default"/>
        <w:b w:val="0"/>
        <w:i w:val="0"/>
      </w:rPr>
    </w:lvl>
    <w:lvl w:ilvl="1">
      <w:start w:val="1"/>
      <w:numFmt w:val="lowerLetter"/>
      <w:lvlText w:val="(%2)"/>
      <w:lvlJc w:val="left"/>
      <w:pPr>
        <w:tabs>
          <w:tab w:val="num" w:pos="1440"/>
        </w:tabs>
        <w:ind w:left="0" w:firstLine="720"/>
      </w:pPr>
      <w:rPr>
        <w:rFonts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3">
    <w:nsid w:val="4A557017"/>
    <w:multiLevelType w:val="hybridMultilevel"/>
    <w:tmpl w:val="0980E954"/>
    <w:lvl w:ilvl="0" w:tplc="8E584EA2">
      <w:start w:val="1"/>
      <w:numFmt w:val="lowerLetter"/>
      <w:lvlText w:val="(%1)"/>
      <w:lvlJc w:val="left"/>
      <w:pPr>
        <w:ind w:left="2375" w:hanging="975"/>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4AFD1F12"/>
    <w:multiLevelType w:val="hybridMultilevel"/>
    <w:tmpl w:val="85184F2E"/>
    <w:lvl w:ilvl="0" w:tplc="7CD8E12A">
      <w:start w:val="1"/>
      <w:numFmt w:val="lowerLetter"/>
      <w:lvlText w:val="(%1)"/>
      <w:lvlJc w:val="left"/>
      <w:pPr>
        <w:ind w:left="1440" w:hanging="72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4C07700F"/>
    <w:multiLevelType w:val="hybridMultilevel"/>
    <w:tmpl w:val="CC043098"/>
    <w:lvl w:ilvl="0" w:tplc="0409000F">
      <w:start w:val="1"/>
      <w:numFmt w:val="decimal"/>
      <w:lvlText w:val="%1."/>
      <w:lvlJc w:val="left"/>
      <w:pPr>
        <w:ind w:left="850" w:hanging="360"/>
      </w:pPr>
    </w:lvl>
    <w:lvl w:ilvl="1" w:tplc="04090019">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66">
    <w:nsid w:val="4C4C3D43"/>
    <w:multiLevelType w:val="hybridMultilevel"/>
    <w:tmpl w:val="13D8B642"/>
    <w:lvl w:ilvl="0" w:tplc="B8E01F1A">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4C580AD8"/>
    <w:multiLevelType w:val="hybridMultilevel"/>
    <w:tmpl w:val="07106C34"/>
    <w:lvl w:ilvl="0" w:tplc="1668EF28">
      <w:start w:val="1"/>
      <w:numFmt w:val="decimal"/>
      <w:lvlText w:val="%1."/>
      <w:lvlJc w:val="left"/>
      <w:pPr>
        <w:ind w:left="1830" w:hanging="360"/>
      </w:pPr>
      <w:rPr>
        <w:rFonts w:ascii="Times New Roman" w:hAnsi="Times New Roman" w:cs="Times New Roman" w:hint="default"/>
        <w:b w:val="0"/>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68">
    <w:nsid w:val="4C7C6740"/>
    <w:multiLevelType w:val="hybridMultilevel"/>
    <w:tmpl w:val="9CB40C66"/>
    <w:lvl w:ilvl="0" w:tplc="1084E4CE">
      <w:start w:val="5"/>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9">
    <w:nsid w:val="4C99617D"/>
    <w:multiLevelType w:val="hybridMultilevel"/>
    <w:tmpl w:val="A6F6A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4CFC21EB"/>
    <w:multiLevelType w:val="hybridMultilevel"/>
    <w:tmpl w:val="23C6B992"/>
    <w:lvl w:ilvl="0" w:tplc="93C67C9A">
      <w:start w:val="1"/>
      <w:numFmt w:val="decimal"/>
      <w:lvlText w:val="%1."/>
      <w:lvlJc w:val="left"/>
      <w:pPr>
        <w:ind w:left="1530" w:hanging="360"/>
      </w:pPr>
      <w:rPr>
        <w:rFonts w:ascii="Times New Roman" w:hAnsi="Times New Roman" w:cs="Times New Roman"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nsid w:val="4D142B38"/>
    <w:multiLevelType w:val="hybridMultilevel"/>
    <w:tmpl w:val="5A2CBBC0"/>
    <w:lvl w:ilvl="0" w:tplc="D23839B0">
      <w:start w:val="5"/>
      <w:numFmt w:val="lowerLetter"/>
      <w:lvlText w:val="(%1)"/>
      <w:lvlJc w:val="left"/>
      <w:pPr>
        <w:ind w:left="1475" w:hanging="495"/>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2">
    <w:nsid w:val="4E0442B4"/>
    <w:multiLevelType w:val="multilevel"/>
    <w:tmpl w:val="2B26C50C"/>
    <w:styleLink w:val="ImportedStyle141"/>
    <w:lvl w:ilvl="0">
      <w:start w:val="1"/>
      <w:numFmt w:val="decimal"/>
      <w:lvlText w:val="%1."/>
      <w:lvlJc w:val="left"/>
      <w:pPr>
        <w:tabs>
          <w:tab w:val="num" w:pos="360"/>
        </w:tabs>
      </w:pPr>
      <w:rPr>
        <w:rFonts w:ascii="Times New Roman" w:hAnsi="Times New Roman" w:cs="Times New Roman" w:hint="default"/>
        <w:b w:val="0"/>
        <w:i w:val="0"/>
        <w:sz w:val="22"/>
      </w:rPr>
    </w:lvl>
    <w:lvl w:ilvl="1">
      <w:start w:val="1"/>
      <w:numFmt w:val="lowerLetter"/>
      <w:lvlText w:val="(%2)"/>
      <w:lvlJc w:val="left"/>
      <w:pPr>
        <w:tabs>
          <w:tab w:val="num" w:pos="1440"/>
        </w:tabs>
        <w:ind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3">
    <w:nsid w:val="4E3753D5"/>
    <w:multiLevelType w:val="hybridMultilevel"/>
    <w:tmpl w:val="8BCEF57A"/>
    <w:lvl w:ilvl="0" w:tplc="F7A28CE2">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4E5D154C"/>
    <w:multiLevelType w:val="multilevel"/>
    <w:tmpl w:val="8982DC1C"/>
    <w:lvl w:ilvl="0">
      <w:start w:val="1"/>
      <w:numFmt w:val="decimal"/>
      <w:lvlText w:val="%1."/>
      <w:lvlJc w:val="left"/>
      <w:pPr>
        <w:tabs>
          <w:tab w:val="num" w:pos="360"/>
        </w:tabs>
        <w:ind w:left="0" w:firstLine="0"/>
      </w:pPr>
      <w:rPr>
        <w:rFonts w:ascii="Times New Roman" w:hAnsi="Times New Roman" w:cs="Times New Roman" w:hint="default"/>
        <w:b w:val="0"/>
        <w:i w:val="0"/>
        <w:sz w:val="22"/>
      </w:rPr>
    </w:lvl>
    <w:lvl w:ilvl="1">
      <w:start w:val="1"/>
      <w:numFmt w:val="lowerLetter"/>
      <w:lvlText w:val="(%2)"/>
      <w:lvlJc w:val="left"/>
      <w:pPr>
        <w:tabs>
          <w:tab w:val="num" w:pos="1440"/>
        </w:tabs>
        <w:ind w:left="0" w:firstLine="720"/>
      </w:pPr>
      <w:rPr>
        <w:b w:val="0"/>
        <w:i w:val="0"/>
      </w:rPr>
    </w:lvl>
    <w:lvl w:ilvl="2">
      <w:start w:val="1"/>
      <w:numFmt w:val="lowerLetter"/>
      <w:lvlText w:val="(%3)"/>
      <w:lvlJc w:val="left"/>
      <w:pPr>
        <w:tabs>
          <w:tab w:val="num" w:pos="1440"/>
        </w:tabs>
        <w:ind w:left="1440" w:hanging="360"/>
      </w:p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5">
    <w:nsid w:val="4EBC585C"/>
    <w:multiLevelType w:val="hybridMultilevel"/>
    <w:tmpl w:val="A1BACC82"/>
    <w:lvl w:ilvl="0" w:tplc="BC3CC376">
      <w:start w:val="1"/>
      <w:numFmt w:val="lowerLetter"/>
      <w:lvlText w:val="(%1)"/>
      <w:lvlJc w:val="left"/>
      <w:pPr>
        <w:ind w:left="1475" w:hanging="495"/>
      </w:pPr>
      <w:rPr>
        <w:rFonts w:ascii="Times New Roman" w:hAnsi="Times New Roman" w:cs="Times New Roman" w:hint="default"/>
      </w:rPr>
    </w:lvl>
    <w:lvl w:ilvl="1" w:tplc="1A720472">
      <w:start w:val="1"/>
      <w:numFmt w:val="lowerLetter"/>
      <w:lvlText w:val="(%2)"/>
      <w:lvlJc w:val="left"/>
      <w:pPr>
        <w:ind w:left="2225" w:hanging="525"/>
      </w:pPr>
      <w:rPr>
        <w:rFonts w:ascii="Times New Roman" w:hAnsi="Times New Roman" w:cs="Times New Roman" w:hint="default"/>
      </w:rPr>
    </w:lvl>
    <w:lvl w:ilvl="2" w:tplc="0409001B" w:tentative="1">
      <w:start w:val="1"/>
      <w:numFmt w:val="lowerRoman"/>
      <w:lvlText w:val="%3."/>
      <w:lvlJc w:val="right"/>
      <w:pPr>
        <w:ind w:left="2780" w:hanging="180"/>
      </w:pPr>
      <w:rPr>
        <w:rFonts w:cs="Times New Roman"/>
      </w:rPr>
    </w:lvl>
    <w:lvl w:ilvl="3" w:tplc="0409000F" w:tentative="1">
      <w:start w:val="1"/>
      <w:numFmt w:val="decimal"/>
      <w:lvlText w:val="%4."/>
      <w:lvlJc w:val="left"/>
      <w:pPr>
        <w:ind w:left="3500" w:hanging="360"/>
      </w:pPr>
      <w:rPr>
        <w:rFonts w:cs="Times New Roman"/>
      </w:rPr>
    </w:lvl>
    <w:lvl w:ilvl="4" w:tplc="04090019" w:tentative="1">
      <w:start w:val="1"/>
      <w:numFmt w:val="lowerLetter"/>
      <w:lvlText w:val="%5."/>
      <w:lvlJc w:val="left"/>
      <w:pPr>
        <w:ind w:left="4220" w:hanging="360"/>
      </w:pPr>
      <w:rPr>
        <w:rFonts w:cs="Times New Roman"/>
      </w:rPr>
    </w:lvl>
    <w:lvl w:ilvl="5" w:tplc="0409001B" w:tentative="1">
      <w:start w:val="1"/>
      <w:numFmt w:val="lowerRoman"/>
      <w:lvlText w:val="%6."/>
      <w:lvlJc w:val="right"/>
      <w:pPr>
        <w:ind w:left="4940" w:hanging="180"/>
      </w:pPr>
      <w:rPr>
        <w:rFonts w:cs="Times New Roman"/>
      </w:rPr>
    </w:lvl>
    <w:lvl w:ilvl="6" w:tplc="0409000F" w:tentative="1">
      <w:start w:val="1"/>
      <w:numFmt w:val="decimal"/>
      <w:lvlText w:val="%7."/>
      <w:lvlJc w:val="left"/>
      <w:pPr>
        <w:ind w:left="5660" w:hanging="360"/>
      </w:pPr>
      <w:rPr>
        <w:rFonts w:cs="Times New Roman"/>
      </w:rPr>
    </w:lvl>
    <w:lvl w:ilvl="7" w:tplc="04090019" w:tentative="1">
      <w:start w:val="1"/>
      <w:numFmt w:val="lowerLetter"/>
      <w:lvlText w:val="%8."/>
      <w:lvlJc w:val="left"/>
      <w:pPr>
        <w:ind w:left="6380" w:hanging="360"/>
      </w:pPr>
      <w:rPr>
        <w:rFonts w:cs="Times New Roman"/>
      </w:rPr>
    </w:lvl>
    <w:lvl w:ilvl="8" w:tplc="0409001B" w:tentative="1">
      <w:start w:val="1"/>
      <w:numFmt w:val="lowerRoman"/>
      <w:lvlText w:val="%9."/>
      <w:lvlJc w:val="right"/>
      <w:pPr>
        <w:ind w:left="7100" w:hanging="180"/>
      </w:pPr>
      <w:rPr>
        <w:rFonts w:cs="Times New Roman"/>
      </w:rPr>
    </w:lvl>
  </w:abstractNum>
  <w:abstractNum w:abstractNumId="176">
    <w:nsid w:val="4FCF6F3B"/>
    <w:multiLevelType w:val="hybridMultilevel"/>
    <w:tmpl w:val="820816AE"/>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7">
    <w:nsid w:val="4FE95575"/>
    <w:multiLevelType w:val="hybridMultilevel"/>
    <w:tmpl w:val="6E869378"/>
    <w:lvl w:ilvl="0" w:tplc="CAB40D4C">
      <w:start w:val="1"/>
      <w:numFmt w:val="lowerLetter"/>
      <w:lvlText w:val="(%1)"/>
      <w:lvlJc w:val="left"/>
      <w:pPr>
        <w:ind w:left="980" w:hanging="360"/>
      </w:pPr>
      <w:rPr>
        <w:rFonts w:cs="Times New Roman" w:hint="default"/>
        <w:b w:val="0"/>
      </w:rPr>
    </w:lvl>
    <w:lvl w:ilvl="1" w:tplc="10090019" w:tentative="1">
      <w:start w:val="1"/>
      <w:numFmt w:val="lowerLetter"/>
      <w:lvlText w:val="%2."/>
      <w:lvlJc w:val="left"/>
      <w:pPr>
        <w:ind w:left="1700" w:hanging="360"/>
      </w:pPr>
      <w:rPr>
        <w:rFonts w:cs="Times New Roman"/>
      </w:rPr>
    </w:lvl>
    <w:lvl w:ilvl="2" w:tplc="1009001B" w:tentative="1">
      <w:start w:val="1"/>
      <w:numFmt w:val="lowerRoman"/>
      <w:lvlText w:val="%3."/>
      <w:lvlJc w:val="right"/>
      <w:pPr>
        <w:ind w:left="2420" w:hanging="180"/>
      </w:pPr>
      <w:rPr>
        <w:rFonts w:cs="Times New Roman"/>
      </w:rPr>
    </w:lvl>
    <w:lvl w:ilvl="3" w:tplc="1009000F" w:tentative="1">
      <w:start w:val="1"/>
      <w:numFmt w:val="decimal"/>
      <w:lvlText w:val="%4."/>
      <w:lvlJc w:val="left"/>
      <w:pPr>
        <w:ind w:left="3140" w:hanging="360"/>
      </w:pPr>
      <w:rPr>
        <w:rFonts w:cs="Times New Roman"/>
      </w:rPr>
    </w:lvl>
    <w:lvl w:ilvl="4" w:tplc="10090019" w:tentative="1">
      <w:start w:val="1"/>
      <w:numFmt w:val="lowerLetter"/>
      <w:lvlText w:val="%5."/>
      <w:lvlJc w:val="left"/>
      <w:pPr>
        <w:ind w:left="3860" w:hanging="360"/>
      </w:pPr>
      <w:rPr>
        <w:rFonts w:cs="Times New Roman"/>
      </w:rPr>
    </w:lvl>
    <w:lvl w:ilvl="5" w:tplc="1009001B" w:tentative="1">
      <w:start w:val="1"/>
      <w:numFmt w:val="lowerRoman"/>
      <w:lvlText w:val="%6."/>
      <w:lvlJc w:val="right"/>
      <w:pPr>
        <w:ind w:left="4580" w:hanging="180"/>
      </w:pPr>
      <w:rPr>
        <w:rFonts w:cs="Times New Roman"/>
      </w:rPr>
    </w:lvl>
    <w:lvl w:ilvl="6" w:tplc="1009000F" w:tentative="1">
      <w:start w:val="1"/>
      <w:numFmt w:val="decimal"/>
      <w:lvlText w:val="%7."/>
      <w:lvlJc w:val="left"/>
      <w:pPr>
        <w:ind w:left="5300" w:hanging="360"/>
      </w:pPr>
      <w:rPr>
        <w:rFonts w:cs="Times New Roman"/>
      </w:rPr>
    </w:lvl>
    <w:lvl w:ilvl="7" w:tplc="10090019" w:tentative="1">
      <w:start w:val="1"/>
      <w:numFmt w:val="lowerLetter"/>
      <w:lvlText w:val="%8."/>
      <w:lvlJc w:val="left"/>
      <w:pPr>
        <w:ind w:left="6020" w:hanging="360"/>
      </w:pPr>
      <w:rPr>
        <w:rFonts w:cs="Times New Roman"/>
      </w:rPr>
    </w:lvl>
    <w:lvl w:ilvl="8" w:tplc="1009001B" w:tentative="1">
      <w:start w:val="1"/>
      <w:numFmt w:val="lowerRoman"/>
      <w:lvlText w:val="%9."/>
      <w:lvlJc w:val="right"/>
      <w:pPr>
        <w:ind w:left="6740" w:hanging="180"/>
      </w:pPr>
      <w:rPr>
        <w:rFonts w:cs="Times New Roman"/>
      </w:rPr>
    </w:lvl>
  </w:abstractNum>
  <w:abstractNum w:abstractNumId="178">
    <w:nsid w:val="5090617B"/>
    <w:multiLevelType w:val="hybridMultilevel"/>
    <w:tmpl w:val="E432D0AA"/>
    <w:lvl w:ilvl="0" w:tplc="04090001">
      <w:start w:val="1"/>
      <w:numFmt w:val="bullet"/>
      <w:lvlText w:val=""/>
      <w:lvlJc w:val="left"/>
      <w:pPr>
        <w:ind w:left="395" w:hanging="360"/>
      </w:pPr>
      <w:rPr>
        <w:rFonts w:ascii="Symbol" w:hAnsi="Symbol" w:hint="default"/>
      </w:rPr>
    </w:lvl>
    <w:lvl w:ilvl="1" w:tplc="04090003" w:tentative="1">
      <w:start w:val="1"/>
      <w:numFmt w:val="bullet"/>
      <w:lvlText w:val="o"/>
      <w:lvlJc w:val="left"/>
      <w:pPr>
        <w:ind w:left="1115" w:hanging="360"/>
      </w:pPr>
      <w:rPr>
        <w:rFonts w:ascii="Courier New" w:hAnsi="Courier New" w:cs="Courier New" w:hint="default"/>
      </w:rPr>
    </w:lvl>
    <w:lvl w:ilvl="2" w:tplc="04090005" w:tentative="1">
      <w:start w:val="1"/>
      <w:numFmt w:val="bullet"/>
      <w:lvlText w:val=""/>
      <w:lvlJc w:val="left"/>
      <w:pPr>
        <w:ind w:left="1835" w:hanging="360"/>
      </w:pPr>
      <w:rPr>
        <w:rFonts w:ascii="Wingdings" w:hAnsi="Wingdings" w:hint="default"/>
      </w:rPr>
    </w:lvl>
    <w:lvl w:ilvl="3" w:tplc="04090001" w:tentative="1">
      <w:start w:val="1"/>
      <w:numFmt w:val="bullet"/>
      <w:lvlText w:val=""/>
      <w:lvlJc w:val="left"/>
      <w:pPr>
        <w:ind w:left="2555" w:hanging="360"/>
      </w:pPr>
      <w:rPr>
        <w:rFonts w:ascii="Symbol" w:hAnsi="Symbol" w:hint="default"/>
      </w:rPr>
    </w:lvl>
    <w:lvl w:ilvl="4" w:tplc="04090003" w:tentative="1">
      <w:start w:val="1"/>
      <w:numFmt w:val="bullet"/>
      <w:lvlText w:val="o"/>
      <w:lvlJc w:val="left"/>
      <w:pPr>
        <w:ind w:left="3275" w:hanging="360"/>
      </w:pPr>
      <w:rPr>
        <w:rFonts w:ascii="Courier New" w:hAnsi="Courier New" w:cs="Courier New" w:hint="default"/>
      </w:rPr>
    </w:lvl>
    <w:lvl w:ilvl="5" w:tplc="04090005" w:tentative="1">
      <w:start w:val="1"/>
      <w:numFmt w:val="bullet"/>
      <w:lvlText w:val=""/>
      <w:lvlJc w:val="left"/>
      <w:pPr>
        <w:ind w:left="3995" w:hanging="360"/>
      </w:pPr>
      <w:rPr>
        <w:rFonts w:ascii="Wingdings" w:hAnsi="Wingdings" w:hint="default"/>
      </w:rPr>
    </w:lvl>
    <w:lvl w:ilvl="6" w:tplc="04090001" w:tentative="1">
      <w:start w:val="1"/>
      <w:numFmt w:val="bullet"/>
      <w:lvlText w:val=""/>
      <w:lvlJc w:val="left"/>
      <w:pPr>
        <w:ind w:left="4715" w:hanging="360"/>
      </w:pPr>
      <w:rPr>
        <w:rFonts w:ascii="Symbol" w:hAnsi="Symbol" w:hint="default"/>
      </w:rPr>
    </w:lvl>
    <w:lvl w:ilvl="7" w:tplc="04090003" w:tentative="1">
      <w:start w:val="1"/>
      <w:numFmt w:val="bullet"/>
      <w:lvlText w:val="o"/>
      <w:lvlJc w:val="left"/>
      <w:pPr>
        <w:ind w:left="5435" w:hanging="360"/>
      </w:pPr>
      <w:rPr>
        <w:rFonts w:ascii="Courier New" w:hAnsi="Courier New" w:cs="Courier New" w:hint="default"/>
      </w:rPr>
    </w:lvl>
    <w:lvl w:ilvl="8" w:tplc="04090005" w:tentative="1">
      <w:start w:val="1"/>
      <w:numFmt w:val="bullet"/>
      <w:lvlText w:val=""/>
      <w:lvlJc w:val="left"/>
      <w:pPr>
        <w:ind w:left="6155" w:hanging="360"/>
      </w:pPr>
      <w:rPr>
        <w:rFonts w:ascii="Wingdings" w:hAnsi="Wingdings" w:hint="default"/>
      </w:rPr>
    </w:lvl>
  </w:abstractNum>
  <w:abstractNum w:abstractNumId="179">
    <w:nsid w:val="51946ED2"/>
    <w:multiLevelType w:val="multilevel"/>
    <w:tmpl w:val="D4FA1B6A"/>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ascii="Times New Roman" w:hAnsi="Times New Roman" w:cs="Times New Roman" w:hint="default"/>
        <w:sz w:val="24"/>
      </w:rPr>
    </w:lvl>
    <w:lvl w:ilvl="5">
      <w:start w:val="1"/>
      <w:numFmt w:val="lowerRoman"/>
      <w:lvlText w:val="(%6)"/>
      <w:lvlJc w:val="left"/>
      <w:pPr>
        <w:ind w:left="2160" w:hanging="360"/>
      </w:pPr>
      <w:rPr>
        <w:rFonts w:cs="Times New Roman"/>
      </w:rPr>
    </w:lvl>
    <w:lvl w:ilvl="6">
      <w:start w:val="1"/>
      <w:numFmt w:val="chineseCountingThousand"/>
      <w:lvlText w:val="(%7)"/>
      <w:lvlJc w:val="left"/>
      <w:pPr>
        <w:ind w:left="2520" w:hanging="360"/>
      </w:pPr>
      <w:rPr>
        <w:rFonts w:ascii="Times New Roman" w:eastAsia="Times New Roman" w:hAnsi="Times New Roman" w:cs="Times New Roman" w:hint="default"/>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0">
    <w:nsid w:val="51A32549"/>
    <w:multiLevelType w:val="hybridMultilevel"/>
    <w:tmpl w:val="25AEF9A2"/>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81">
    <w:nsid w:val="521E1032"/>
    <w:multiLevelType w:val="multilevel"/>
    <w:tmpl w:val="2B26C50C"/>
    <w:lvl w:ilvl="0">
      <w:start w:val="1"/>
      <w:numFmt w:val="decimal"/>
      <w:lvlText w:val="%1."/>
      <w:lvlJc w:val="left"/>
      <w:pPr>
        <w:tabs>
          <w:tab w:val="num" w:pos="360"/>
        </w:tabs>
      </w:pPr>
      <w:rPr>
        <w:rFonts w:ascii="Times New Roman" w:hAnsi="Times New Roman" w:cs="Times New Roman" w:hint="default"/>
        <w:b w:val="0"/>
        <w:i w:val="0"/>
        <w:sz w:val="22"/>
      </w:rPr>
    </w:lvl>
    <w:lvl w:ilvl="1">
      <w:start w:val="1"/>
      <w:numFmt w:val="lowerLetter"/>
      <w:lvlText w:val="(%2)"/>
      <w:lvlJc w:val="left"/>
      <w:pPr>
        <w:tabs>
          <w:tab w:val="num" w:pos="1440"/>
        </w:tabs>
        <w:ind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2">
    <w:nsid w:val="523A464D"/>
    <w:multiLevelType w:val="hybridMultilevel"/>
    <w:tmpl w:val="D7D21C7E"/>
    <w:lvl w:ilvl="0" w:tplc="0DBE7EE6">
      <w:start w:val="1"/>
      <w:numFmt w:val="japaneseCounting"/>
      <w:lvlText w:val="(%1)"/>
      <w:lvlJc w:val="left"/>
      <w:pPr>
        <w:ind w:left="1080" w:hanging="720"/>
      </w:pPr>
      <w:rPr>
        <w:rFonts w:cs="SimSu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2D61644"/>
    <w:multiLevelType w:val="multilevel"/>
    <w:tmpl w:val="C450B342"/>
    <w:lvl w:ilvl="0">
      <w:start w:val="1"/>
      <w:numFmt w:val="decimal"/>
      <w:lvlText w:val="%1."/>
      <w:lvlJc w:val="left"/>
      <w:pPr>
        <w:tabs>
          <w:tab w:val="num" w:pos="360"/>
        </w:tabs>
        <w:ind w:left="0" w:firstLine="0"/>
      </w:pPr>
      <w:rPr>
        <w:rFonts w:ascii="Times New Roman" w:hAnsi="Times New Roman" w:cs="Times New Roman" w:hint="default"/>
        <w:b w:val="0"/>
      </w:rPr>
    </w:lvl>
    <w:lvl w:ilvl="1">
      <w:start w:val="1"/>
      <w:numFmt w:val="lowerLetter"/>
      <w:lvlText w:val="(%2)"/>
      <w:lvlJc w:val="left"/>
      <w:pPr>
        <w:tabs>
          <w:tab w:val="num" w:pos="1440"/>
        </w:tabs>
        <w:ind w:left="0" w:firstLine="720"/>
      </w:pPr>
      <w:rPr>
        <w:rFonts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4">
    <w:nsid w:val="52F4249E"/>
    <w:multiLevelType w:val="hybridMultilevel"/>
    <w:tmpl w:val="9C72490A"/>
    <w:lvl w:ilvl="0" w:tplc="6628AC1A">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5">
    <w:nsid w:val="52FA0D9A"/>
    <w:multiLevelType w:val="multilevel"/>
    <w:tmpl w:val="187822A4"/>
    <w:lvl w:ilvl="0">
      <w:start w:val="1"/>
      <w:numFmt w:val="decimal"/>
      <w:pStyle w:val="Para1-Annex"/>
      <w:lvlText w:val="%1."/>
      <w:lvlJc w:val="left"/>
      <w:pPr>
        <w:tabs>
          <w:tab w:val="num" w:pos="360"/>
        </w:tabs>
      </w:pPr>
      <w:rPr>
        <w:rFonts w:ascii="Times New Roman" w:hAnsi="Times New Roman" w:cs="Times New Roman" w:hint="default"/>
        <w:b w:val="0"/>
        <w:i w:val="0"/>
        <w:sz w:val="22"/>
      </w:rPr>
    </w:lvl>
    <w:lvl w:ilvl="1">
      <w:start w:val="1"/>
      <w:numFmt w:val="lowerLetter"/>
      <w:lvlText w:val="(%2)"/>
      <w:lvlJc w:val="left"/>
      <w:pPr>
        <w:tabs>
          <w:tab w:val="num" w:pos="1440"/>
        </w:tabs>
        <w:ind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6">
    <w:nsid w:val="5449400C"/>
    <w:multiLevelType w:val="hybridMultilevel"/>
    <w:tmpl w:val="A51E1A5A"/>
    <w:lvl w:ilvl="0" w:tplc="B35EBD1E">
      <w:start w:val="1"/>
      <w:numFmt w:val="decimal"/>
      <w:lvlText w:val="%1."/>
      <w:lvlJc w:val="left"/>
      <w:pPr>
        <w:ind w:left="2685" w:hanging="1245"/>
      </w:pPr>
      <w:rPr>
        <w:rFonts w:ascii="Times New Roman"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7">
    <w:nsid w:val="54C42A16"/>
    <w:multiLevelType w:val="hybridMultilevel"/>
    <w:tmpl w:val="6BFAAC66"/>
    <w:lvl w:ilvl="0" w:tplc="CC1018D4">
      <w:start w:val="1"/>
      <w:numFmt w:val="lowerLetter"/>
      <w:lvlText w:val="(%1)"/>
      <w:lvlJc w:val="left"/>
      <w:pPr>
        <w:ind w:left="1080" w:hanging="3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188">
    <w:nsid w:val="54F34190"/>
    <w:multiLevelType w:val="hybridMultilevel"/>
    <w:tmpl w:val="EB0CB47E"/>
    <w:lvl w:ilvl="0" w:tplc="CAB40D4C">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9">
    <w:nsid w:val="56861DEC"/>
    <w:multiLevelType w:val="hybridMultilevel"/>
    <w:tmpl w:val="A7FCD7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0">
    <w:nsid w:val="57437B1C"/>
    <w:multiLevelType w:val="hybridMultilevel"/>
    <w:tmpl w:val="FB6C113C"/>
    <w:lvl w:ilvl="0" w:tplc="85381882">
      <w:start w:val="1"/>
      <w:numFmt w:val="lowerLetter"/>
      <w:lvlText w:val="(%1)"/>
      <w:lvlJc w:val="left"/>
      <w:pPr>
        <w:ind w:left="2180" w:hanging="1470"/>
      </w:pPr>
      <w:rPr>
        <w:rFonts w:ascii="Times New Roman" w:hAnsi="Times New Roman" w:cs="Times New Roman" w:hint="default"/>
      </w:rPr>
    </w:lvl>
    <w:lvl w:ilvl="1" w:tplc="212E4AA6">
      <w:start w:val="1"/>
      <w:numFmt w:val="decimal"/>
      <w:lvlText w:val="%2."/>
      <w:lvlJc w:val="left"/>
      <w:pPr>
        <w:ind w:left="2713" w:hanging="495"/>
      </w:pPr>
      <w:rPr>
        <w:rFonts w:ascii="Times New Roman" w:hAnsi="Times New Roman" w:cs="Times New Roman" w:hint="default"/>
      </w:r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91">
    <w:nsid w:val="576A53A5"/>
    <w:multiLevelType w:val="hybridMultilevel"/>
    <w:tmpl w:val="41D87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579A765E"/>
    <w:multiLevelType w:val="hybridMultilevel"/>
    <w:tmpl w:val="8E26D34E"/>
    <w:lvl w:ilvl="0" w:tplc="10090001">
      <w:start w:val="1"/>
      <w:numFmt w:val="decimal"/>
      <w:lvlText w:val="%1."/>
      <w:lvlJc w:val="left"/>
      <w:pPr>
        <w:ind w:left="1440" w:hanging="720"/>
      </w:pPr>
      <w:rPr>
        <w:rFonts w:ascii="Times New Roman" w:hAnsi="Times New Roman" w:hint="default"/>
        <w:sz w:val="24"/>
        <w:szCs w:val="24"/>
      </w:rPr>
    </w:lvl>
    <w:lvl w:ilvl="1" w:tplc="10090003" w:tentative="1">
      <w:start w:val="1"/>
      <w:numFmt w:val="lowerLetter"/>
      <w:lvlText w:val="%2."/>
      <w:lvlJc w:val="left"/>
      <w:pPr>
        <w:ind w:left="1800" w:hanging="360"/>
      </w:pPr>
    </w:lvl>
    <w:lvl w:ilvl="2" w:tplc="10090005" w:tentative="1">
      <w:start w:val="1"/>
      <w:numFmt w:val="lowerRoman"/>
      <w:lvlText w:val="%3."/>
      <w:lvlJc w:val="right"/>
      <w:pPr>
        <w:ind w:left="2520" w:hanging="180"/>
      </w:pPr>
    </w:lvl>
    <w:lvl w:ilvl="3" w:tplc="10090001" w:tentative="1">
      <w:start w:val="1"/>
      <w:numFmt w:val="decimal"/>
      <w:lvlText w:val="%4."/>
      <w:lvlJc w:val="left"/>
      <w:pPr>
        <w:ind w:left="3240" w:hanging="360"/>
      </w:pPr>
    </w:lvl>
    <w:lvl w:ilvl="4" w:tplc="10090003" w:tentative="1">
      <w:start w:val="1"/>
      <w:numFmt w:val="lowerLetter"/>
      <w:lvlText w:val="%5."/>
      <w:lvlJc w:val="left"/>
      <w:pPr>
        <w:ind w:left="3960" w:hanging="360"/>
      </w:pPr>
    </w:lvl>
    <w:lvl w:ilvl="5" w:tplc="10090005" w:tentative="1">
      <w:start w:val="1"/>
      <w:numFmt w:val="lowerRoman"/>
      <w:lvlText w:val="%6."/>
      <w:lvlJc w:val="right"/>
      <w:pPr>
        <w:ind w:left="4680" w:hanging="180"/>
      </w:pPr>
    </w:lvl>
    <w:lvl w:ilvl="6" w:tplc="10090001" w:tentative="1">
      <w:start w:val="1"/>
      <w:numFmt w:val="decimal"/>
      <w:lvlText w:val="%7."/>
      <w:lvlJc w:val="left"/>
      <w:pPr>
        <w:ind w:left="5400" w:hanging="360"/>
      </w:pPr>
    </w:lvl>
    <w:lvl w:ilvl="7" w:tplc="10090003" w:tentative="1">
      <w:start w:val="1"/>
      <w:numFmt w:val="lowerLetter"/>
      <w:lvlText w:val="%8."/>
      <w:lvlJc w:val="left"/>
      <w:pPr>
        <w:ind w:left="6120" w:hanging="360"/>
      </w:pPr>
    </w:lvl>
    <w:lvl w:ilvl="8" w:tplc="10090005" w:tentative="1">
      <w:start w:val="1"/>
      <w:numFmt w:val="lowerRoman"/>
      <w:lvlText w:val="%9."/>
      <w:lvlJc w:val="right"/>
      <w:pPr>
        <w:ind w:left="6840" w:hanging="180"/>
      </w:pPr>
    </w:lvl>
  </w:abstractNum>
  <w:abstractNum w:abstractNumId="193">
    <w:nsid w:val="595A103D"/>
    <w:multiLevelType w:val="hybridMultilevel"/>
    <w:tmpl w:val="E94C88FC"/>
    <w:lvl w:ilvl="0" w:tplc="B5B22506">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59C6552D"/>
    <w:multiLevelType w:val="hybridMultilevel"/>
    <w:tmpl w:val="C274777A"/>
    <w:lvl w:ilvl="0" w:tplc="E250BFE6">
      <w:start w:val="1"/>
      <w:numFmt w:val="lowerLetter"/>
      <w:lvlText w:val="(%1)"/>
      <w:lvlJc w:val="left"/>
      <w:pPr>
        <w:ind w:left="810" w:hanging="360"/>
      </w:pPr>
      <w:rPr>
        <w:rFonts w:ascii="Times New Roman" w:eastAsia="KaiTi" w:hAnsi="Times New Roman" w:cs="Times New Roman"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5">
    <w:nsid w:val="5A5C49BE"/>
    <w:multiLevelType w:val="hybridMultilevel"/>
    <w:tmpl w:val="A57AA244"/>
    <w:lvl w:ilvl="0" w:tplc="A17CB458">
      <w:start w:val="1"/>
      <w:numFmt w:val="decimal"/>
      <w:lvlText w:val="%1."/>
      <w:lvlJc w:val="left"/>
      <w:pPr>
        <w:ind w:left="3600" w:hanging="1440"/>
      </w:pPr>
      <w:rPr>
        <w:rFonts w:ascii="Times New Roman" w:hAnsi="Times New Roman"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96">
    <w:nsid w:val="5A7E6B42"/>
    <w:multiLevelType w:val="multilevel"/>
    <w:tmpl w:val="E01E651C"/>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chineseCountingThousand"/>
      <w:lvlText w:val="(%7)"/>
      <w:lvlJc w:val="left"/>
      <w:pPr>
        <w:ind w:left="2520" w:hanging="360"/>
      </w:pPr>
      <w:rPr>
        <w:rFonts w:ascii="SimSun" w:eastAsia="Times New Roman" w:hAnsi="SimSun" w:cs="Times New Roman" w:hint="default"/>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7">
    <w:nsid w:val="5AF3550B"/>
    <w:multiLevelType w:val="hybridMultilevel"/>
    <w:tmpl w:val="82567EC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98">
    <w:nsid w:val="5B047B4E"/>
    <w:multiLevelType w:val="hybridMultilevel"/>
    <w:tmpl w:val="CCAC5798"/>
    <w:lvl w:ilvl="0" w:tplc="D400A5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nsid w:val="5B215801"/>
    <w:multiLevelType w:val="hybridMultilevel"/>
    <w:tmpl w:val="FF08A3A0"/>
    <w:lvl w:ilvl="0" w:tplc="D17278B2">
      <w:start w:val="1"/>
      <w:numFmt w:val="decimal"/>
      <w:lvlText w:val="%1."/>
      <w:lvlJc w:val="left"/>
      <w:pPr>
        <w:tabs>
          <w:tab w:val="num" w:pos="357"/>
        </w:tabs>
        <w:ind w:left="357" w:hanging="357"/>
      </w:pPr>
      <w:rPr>
        <w:rFonts w:cs="Times New Roman" w:hint="default"/>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200">
    <w:nsid w:val="5BDE300B"/>
    <w:multiLevelType w:val="multilevel"/>
    <w:tmpl w:val="3A8A3E0C"/>
    <w:lvl w:ilvl="0">
      <w:start w:val="1"/>
      <w:numFmt w:val="decimal"/>
      <w:lvlText w:val="%1."/>
      <w:lvlJc w:val="left"/>
      <w:pPr>
        <w:tabs>
          <w:tab w:val="num" w:pos="360"/>
        </w:tabs>
        <w:ind w:left="0" w:firstLine="0"/>
      </w:pPr>
      <w:rPr>
        <w:rFonts w:ascii="Times New Roman" w:hAnsi="Times New Roman" w:cs="Times New Roman" w:hint="default"/>
      </w:rPr>
    </w:lvl>
    <w:lvl w:ilvl="1">
      <w:start w:val="1"/>
      <w:numFmt w:val="lowerLetter"/>
      <w:lvlText w:val="(%2)"/>
      <w:lvlJc w:val="left"/>
      <w:pPr>
        <w:tabs>
          <w:tab w:val="num" w:pos="1440"/>
        </w:tabs>
        <w:ind w:left="0" w:firstLine="720"/>
      </w:pPr>
      <w:rPr>
        <w:i w:val="0"/>
      </w:rPr>
    </w:lvl>
    <w:lvl w:ilvl="2">
      <w:start w:val="1"/>
      <w:numFmt w:val="lowerRoman"/>
      <w:lvlText w:val="(%3)"/>
      <w:lvlJc w:val="right"/>
      <w:pPr>
        <w:tabs>
          <w:tab w:val="num" w:pos="1440"/>
        </w:tabs>
        <w:ind w:left="1440" w:hanging="360"/>
      </w:p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1">
    <w:nsid w:val="5CF61444"/>
    <w:multiLevelType w:val="hybridMultilevel"/>
    <w:tmpl w:val="CBD4378A"/>
    <w:lvl w:ilvl="0" w:tplc="092405B2">
      <w:start w:val="1"/>
      <w:numFmt w:val="decimal"/>
      <w:lvlText w:val="%1."/>
      <w:lvlJc w:val="left"/>
      <w:pPr>
        <w:ind w:left="1210" w:hanging="360"/>
      </w:pPr>
      <w:rPr>
        <w:rFonts w:ascii="Times New Roman" w:hAnsi="Times New Roman" w:cs="Times New Roman" w:hint="default"/>
        <w:sz w:val="24"/>
        <w:szCs w:val="24"/>
      </w:rPr>
    </w:lvl>
    <w:lvl w:ilvl="1" w:tplc="C542010E">
      <w:start w:val="1"/>
      <w:numFmt w:val="lowerLetter"/>
      <w:lvlText w:val="(%2)"/>
      <w:lvlJc w:val="left"/>
      <w:pPr>
        <w:ind w:left="1930" w:hanging="360"/>
      </w:pPr>
      <w:rPr>
        <w:rFonts w:hint="default"/>
      </w:rPr>
    </w:lvl>
    <w:lvl w:ilvl="2" w:tplc="0409001B">
      <w:start w:val="1"/>
      <w:numFmt w:val="lowerRoman"/>
      <w:lvlText w:val="%3."/>
      <w:lvlJc w:val="right"/>
      <w:pPr>
        <w:ind w:left="2650" w:hanging="180"/>
      </w:pPr>
    </w:lvl>
    <w:lvl w:ilvl="3" w:tplc="0409000F">
      <w:start w:val="1"/>
      <w:numFmt w:val="decimal"/>
      <w:lvlText w:val="%4."/>
      <w:lvlJc w:val="left"/>
      <w:pPr>
        <w:ind w:left="3370" w:hanging="360"/>
      </w:pPr>
    </w:lvl>
    <w:lvl w:ilvl="4" w:tplc="04090019">
      <w:start w:val="1"/>
      <w:numFmt w:val="lowerLetter"/>
      <w:lvlText w:val="%5."/>
      <w:lvlJc w:val="left"/>
      <w:pPr>
        <w:ind w:left="4090" w:hanging="360"/>
      </w:pPr>
    </w:lvl>
    <w:lvl w:ilvl="5" w:tplc="0409001B">
      <w:start w:val="1"/>
      <w:numFmt w:val="lowerRoman"/>
      <w:lvlText w:val="%6."/>
      <w:lvlJc w:val="right"/>
      <w:pPr>
        <w:ind w:left="4810" w:hanging="180"/>
      </w:pPr>
    </w:lvl>
    <w:lvl w:ilvl="6" w:tplc="0409000F">
      <w:start w:val="1"/>
      <w:numFmt w:val="decimal"/>
      <w:lvlText w:val="%7."/>
      <w:lvlJc w:val="left"/>
      <w:pPr>
        <w:ind w:left="5530" w:hanging="360"/>
      </w:pPr>
    </w:lvl>
    <w:lvl w:ilvl="7" w:tplc="04090019">
      <w:start w:val="1"/>
      <w:numFmt w:val="lowerLetter"/>
      <w:lvlText w:val="%8."/>
      <w:lvlJc w:val="left"/>
      <w:pPr>
        <w:ind w:left="6250" w:hanging="360"/>
      </w:pPr>
    </w:lvl>
    <w:lvl w:ilvl="8" w:tplc="0409001B">
      <w:start w:val="1"/>
      <w:numFmt w:val="lowerRoman"/>
      <w:lvlText w:val="%9."/>
      <w:lvlJc w:val="right"/>
      <w:pPr>
        <w:ind w:left="6970" w:hanging="180"/>
      </w:pPr>
    </w:lvl>
  </w:abstractNum>
  <w:abstractNum w:abstractNumId="202">
    <w:nsid w:val="5D0F4D18"/>
    <w:multiLevelType w:val="hybridMultilevel"/>
    <w:tmpl w:val="3AC04990"/>
    <w:lvl w:ilvl="0" w:tplc="84B45D8E">
      <w:start w:val="1"/>
      <w:numFmt w:val="lowerLetter"/>
      <w:lvlText w:val="(%1)"/>
      <w:lvlJc w:val="left"/>
      <w:pPr>
        <w:tabs>
          <w:tab w:val="num" w:pos="1080"/>
        </w:tabs>
        <w:ind w:left="1080" w:hanging="360"/>
      </w:pPr>
      <w:rPr>
        <w:rFonts w:ascii="Times New Roman" w:eastAsiaTheme="minorEastAsia" w:hAnsi="Times New Roman" w:cs="Times New Roman" w:hint="default"/>
        <w:b w:val="0"/>
        <w:i w:val="0"/>
        <w:caps w:val="0"/>
        <w:strike w:val="0"/>
        <w:dstrike w:val="0"/>
        <w:vanish w:val="0"/>
        <w:color w:val="auto"/>
        <w:sz w:val="24"/>
        <w:vertAlign w:val="baseline"/>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3">
    <w:nsid w:val="5D6D6945"/>
    <w:multiLevelType w:val="hybridMultilevel"/>
    <w:tmpl w:val="5166452C"/>
    <w:lvl w:ilvl="0" w:tplc="19308B20">
      <w:start w:val="1"/>
      <w:numFmt w:val="lowerLetter"/>
      <w:lvlText w:val="(%1)"/>
      <w:lvlJc w:val="left"/>
      <w:pPr>
        <w:ind w:left="1140" w:hanging="420"/>
      </w:pPr>
      <w:rPr>
        <w:rFonts w:ascii="Times New Roman" w:hAnsi="Times New Roman" w:hint="default"/>
        <w:lang w:val="en-US"/>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04">
    <w:nsid w:val="5E012670"/>
    <w:multiLevelType w:val="hybridMultilevel"/>
    <w:tmpl w:val="C046D88C"/>
    <w:lvl w:ilvl="0" w:tplc="83BC44D4">
      <w:start w:val="1"/>
      <w:numFmt w:val="lowerLetter"/>
      <w:lvlText w:val="(%1)"/>
      <w:lvlJc w:val="left"/>
      <w:pPr>
        <w:ind w:left="1050" w:hanging="420"/>
      </w:pPr>
      <w:rPr>
        <w:rFonts w:ascii="Times New Roman" w:hAnsi="Times New Roman"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05">
    <w:nsid w:val="5E6D3C59"/>
    <w:multiLevelType w:val="multilevel"/>
    <w:tmpl w:val="CC28B898"/>
    <w:lvl w:ilvl="0">
      <w:start w:val="1"/>
      <w:numFmt w:val="lowerLetter"/>
      <w:lvlText w:val="(%1)"/>
      <w:lvlJc w:val="left"/>
      <w:pPr>
        <w:tabs>
          <w:tab w:val="num" w:pos="360"/>
        </w:tabs>
      </w:pPr>
      <w:rPr>
        <w:rFonts w:cs="Times New Roman" w:hint="default"/>
        <w:b w:val="0"/>
        <w:i w:val="0"/>
        <w:sz w:val="24"/>
      </w:rPr>
    </w:lvl>
    <w:lvl w:ilvl="1">
      <w:start w:val="1"/>
      <w:numFmt w:val="lowerLetter"/>
      <w:lvlText w:val="(%2)"/>
      <w:lvlJc w:val="left"/>
      <w:pPr>
        <w:tabs>
          <w:tab w:val="num" w:pos="1440"/>
        </w:tabs>
        <w:ind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ascii="Times New Roman" w:hAnsi="Times New Roman"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6">
    <w:nsid w:val="5F394571"/>
    <w:multiLevelType w:val="hybridMultilevel"/>
    <w:tmpl w:val="81D41A4E"/>
    <w:lvl w:ilvl="0" w:tplc="94AC03C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5FAA47EF"/>
    <w:multiLevelType w:val="hybridMultilevel"/>
    <w:tmpl w:val="C6347424"/>
    <w:lvl w:ilvl="0" w:tplc="3592A4DE">
      <w:start w:val="1"/>
      <w:numFmt w:val="lowerLetter"/>
      <w:lvlText w:val="(%1)"/>
      <w:lvlJc w:val="left"/>
      <w:pPr>
        <w:ind w:left="144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8">
    <w:nsid w:val="5FBC0B40"/>
    <w:multiLevelType w:val="multilevel"/>
    <w:tmpl w:val="E46C9F4C"/>
    <w:lvl w:ilvl="0">
      <w:start w:val="1"/>
      <w:numFmt w:val="lowerLetter"/>
      <w:lvlText w:val="(%1)"/>
      <w:lvlJc w:val="left"/>
      <w:pPr>
        <w:tabs>
          <w:tab w:val="num" w:pos="1260"/>
        </w:tabs>
      </w:pPr>
      <w:rPr>
        <w:rFonts w:cs="Times New Roman" w:hint="default"/>
        <w:b w:val="0"/>
        <w:i w:val="0"/>
        <w:sz w:val="24"/>
      </w:rPr>
    </w:lvl>
    <w:lvl w:ilvl="1">
      <w:start w:val="1"/>
      <w:numFmt w:val="lowerLetter"/>
      <w:lvlText w:val="(%2)"/>
      <w:lvlJc w:val="left"/>
      <w:pPr>
        <w:tabs>
          <w:tab w:val="num" w:pos="2340"/>
        </w:tabs>
        <w:ind w:firstLine="720"/>
      </w:pPr>
      <w:rPr>
        <w:rFonts w:cs="Times New Roman" w:hint="default"/>
        <w:b w:val="0"/>
        <w:i w:val="0"/>
      </w:rPr>
    </w:lvl>
    <w:lvl w:ilvl="2">
      <w:start w:val="1"/>
      <w:numFmt w:val="lowerRoman"/>
      <w:lvlText w:val="(%3)"/>
      <w:lvlJc w:val="right"/>
      <w:pPr>
        <w:tabs>
          <w:tab w:val="num" w:pos="2340"/>
        </w:tabs>
        <w:ind w:left="2340" w:hanging="360"/>
      </w:pPr>
      <w:rPr>
        <w:rFonts w:cs="Times New Roman" w:hint="default"/>
      </w:rPr>
    </w:lvl>
    <w:lvl w:ilvl="3">
      <w:start w:val="1"/>
      <w:numFmt w:val="bullet"/>
      <w:lvlText w:val=""/>
      <w:lvlJc w:val="left"/>
      <w:pPr>
        <w:tabs>
          <w:tab w:val="num" w:pos="3060"/>
        </w:tabs>
        <w:ind w:left="3060" w:hanging="720"/>
      </w:pPr>
      <w:rPr>
        <w:rFonts w:ascii="Symbol" w:hAnsi="Symbol" w:hint="default"/>
        <w:color w:val="auto"/>
        <w:sz w:val="28"/>
      </w:rPr>
    </w:lvl>
    <w:lvl w:ilvl="4">
      <w:start w:val="1"/>
      <w:numFmt w:val="lowerLetter"/>
      <w:lvlText w:val="(%5)"/>
      <w:lvlJc w:val="left"/>
      <w:pPr>
        <w:tabs>
          <w:tab w:val="num" w:pos="2700"/>
        </w:tabs>
        <w:ind w:left="2700" w:hanging="360"/>
      </w:pPr>
      <w:rPr>
        <w:rFonts w:cs="Times New Roman" w:hint="default"/>
      </w:rPr>
    </w:lvl>
    <w:lvl w:ilvl="5">
      <w:start w:val="1"/>
      <w:numFmt w:val="lowerRoman"/>
      <w:lvlText w:val="(%6)"/>
      <w:lvlJc w:val="left"/>
      <w:pPr>
        <w:tabs>
          <w:tab w:val="num" w:pos="3060"/>
        </w:tabs>
        <w:ind w:left="3060" w:hanging="360"/>
      </w:pPr>
      <w:rPr>
        <w:rFonts w:cs="Times New Roman" w:hint="default"/>
      </w:rPr>
    </w:lvl>
    <w:lvl w:ilvl="6">
      <w:start w:val="1"/>
      <w:numFmt w:val="decimal"/>
      <w:lvlText w:val="%7."/>
      <w:lvlJc w:val="left"/>
      <w:pPr>
        <w:tabs>
          <w:tab w:val="num" w:pos="3420"/>
        </w:tabs>
        <w:ind w:left="3420" w:hanging="360"/>
      </w:pPr>
      <w:rPr>
        <w:rFonts w:cs="Times New Roman" w:hint="default"/>
      </w:rPr>
    </w:lvl>
    <w:lvl w:ilvl="7">
      <w:start w:val="1"/>
      <w:numFmt w:val="lowerLetter"/>
      <w:lvlText w:val="%8."/>
      <w:lvlJc w:val="left"/>
      <w:pPr>
        <w:tabs>
          <w:tab w:val="num" w:pos="3780"/>
        </w:tabs>
        <w:ind w:left="3780" w:hanging="360"/>
      </w:pPr>
      <w:rPr>
        <w:rFonts w:cs="Times New Roman" w:hint="default"/>
      </w:rPr>
    </w:lvl>
    <w:lvl w:ilvl="8">
      <w:start w:val="1"/>
      <w:numFmt w:val="lowerRoman"/>
      <w:lvlText w:val="%9."/>
      <w:lvlJc w:val="left"/>
      <w:pPr>
        <w:tabs>
          <w:tab w:val="num" w:pos="4140"/>
        </w:tabs>
        <w:ind w:left="4140" w:hanging="360"/>
      </w:pPr>
      <w:rPr>
        <w:rFonts w:cs="Times New Roman" w:hint="default"/>
      </w:rPr>
    </w:lvl>
  </w:abstractNum>
  <w:abstractNum w:abstractNumId="209">
    <w:nsid w:val="5FFA4880"/>
    <w:multiLevelType w:val="multilevel"/>
    <w:tmpl w:val="DA0200E8"/>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start w:val="1"/>
      <w:numFmt w:val="decimal"/>
      <w:lvlText w:val="%7."/>
      <w:lvlJc w:val="left"/>
      <w:pPr>
        <w:ind w:left="4320" w:firstLine="0"/>
      </w:pPr>
    </w:lvl>
    <w:lvl w:ilvl="7">
      <w:start w:val="1"/>
      <w:numFmt w:val="lowerLetter"/>
      <w:lvlText w:val="%8."/>
      <w:lvlJc w:val="left"/>
      <w:pPr>
        <w:ind w:left="5040" w:firstLine="0"/>
      </w:pPr>
    </w:lvl>
    <w:lvl w:ilvl="8">
      <w:start w:val="1"/>
      <w:numFmt w:val="lowerRoman"/>
      <w:lvlText w:val="%9."/>
      <w:lvlJc w:val="right"/>
      <w:pPr>
        <w:ind w:left="5940" w:firstLine="0"/>
      </w:pPr>
    </w:lvl>
  </w:abstractNum>
  <w:abstractNum w:abstractNumId="210">
    <w:nsid w:val="601672D8"/>
    <w:multiLevelType w:val="hybridMultilevel"/>
    <w:tmpl w:val="FBAA3144"/>
    <w:lvl w:ilvl="0" w:tplc="81C87DF2">
      <w:start w:val="1"/>
      <w:numFmt w:val="chineseCountingThousand"/>
      <w:lvlText w:val="(%1)"/>
      <w:lvlJc w:val="left"/>
      <w:pPr>
        <w:ind w:left="720" w:hanging="360"/>
      </w:pPr>
      <w:rPr>
        <w:rFonts w:ascii="Times New Roman" w:eastAsia="Times New Roman" w:hAnsi="Times New Roman"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1">
    <w:nsid w:val="603A6364"/>
    <w:multiLevelType w:val="hybridMultilevel"/>
    <w:tmpl w:val="3FD2E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nsid w:val="60463A21"/>
    <w:multiLevelType w:val="multilevel"/>
    <w:tmpl w:val="FB127D3A"/>
    <w:lvl w:ilvl="0">
      <w:start w:val="1"/>
      <w:numFmt w:val="decimal"/>
      <w:lvlText w:val="%1."/>
      <w:lvlJc w:val="left"/>
      <w:pPr>
        <w:tabs>
          <w:tab w:val="num" w:pos="360"/>
        </w:tabs>
        <w:ind w:left="0" w:firstLine="0"/>
      </w:pPr>
      <w:rPr>
        <w:rFonts w:ascii="Times New Roman" w:hAnsi="Times New Roman" w:cs="Times New Roman" w:hint="default"/>
      </w:rPr>
    </w:lvl>
    <w:lvl w:ilvl="1">
      <w:start w:val="1"/>
      <w:numFmt w:val="decimal"/>
      <w:lvlText w:val="%2."/>
      <w:lvlJc w:val="left"/>
      <w:pPr>
        <w:tabs>
          <w:tab w:val="num" w:pos="1440"/>
        </w:tabs>
        <w:ind w:left="0" w:firstLine="720"/>
      </w:pPr>
      <w:rPr>
        <w:rFonts w:hint="default"/>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3">
    <w:nsid w:val="60A848AA"/>
    <w:multiLevelType w:val="hybridMultilevel"/>
    <w:tmpl w:val="49F21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nsid w:val="60CE1700"/>
    <w:multiLevelType w:val="hybridMultilevel"/>
    <w:tmpl w:val="048E32D0"/>
    <w:lvl w:ilvl="0" w:tplc="DF2C5472">
      <w:start w:val="1"/>
      <w:numFmt w:val="lowerLetter"/>
      <w:lvlText w:val="(%1)"/>
      <w:lvlJc w:val="left"/>
      <w:pPr>
        <w:ind w:left="2496" w:hanging="360"/>
      </w:pPr>
      <w:rPr>
        <w:rFonts w:ascii="Times New Roman" w:hAnsi="Times New Roman" w:cs="Times New Roman" w:hint="default"/>
        <w:b w:val="0"/>
      </w:rPr>
    </w:lvl>
    <w:lvl w:ilvl="1" w:tplc="04090019">
      <w:start w:val="1"/>
      <w:numFmt w:val="lowerLetter"/>
      <w:lvlText w:val="%2."/>
      <w:lvlJc w:val="left"/>
      <w:pPr>
        <w:ind w:left="3216" w:hanging="360"/>
      </w:pPr>
      <w:rPr>
        <w:rFonts w:cs="Times New Roman"/>
      </w:rPr>
    </w:lvl>
    <w:lvl w:ilvl="2" w:tplc="0409001B" w:tentative="1">
      <w:start w:val="1"/>
      <w:numFmt w:val="lowerRoman"/>
      <w:lvlText w:val="%3."/>
      <w:lvlJc w:val="right"/>
      <w:pPr>
        <w:ind w:left="3936" w:hanging="180"/>
      </w:pPr>
      <w:rPr>
        <w:rFonts w:cs="Times New Roman"/>
      </w:rPr>
    </w:lvl>
    <w:lvl w:ilvl="3" w:tplc="0409000F" w:tentative="1">
      <w:start w:val="1"/>
      <w:numFmt w:val="decimal"/>
      <w:lvlText w:val="%4."/>
      <w:lvlJc w:val="left"/>
      <w:pPr>
        <w:ind w:left="4656" w:hanging="360"/>
      </w:pPr>
      <w:rPr>
        <w:rFonts w:cs="Times New Roman"/>
      </w:rPr>
    </w:lvl>
    <w:lvl w:ilvl="4" w:tplc="04090019" w:tentative="1">
      <w:start w:val="1"/>
      <w:numFmt w:val="lowerLetter"/>
      <w:lvlText w:val="%5."/>
      <w:lvlJc w:val="left"/>
      <w:pPr>
        <w:ind w:left="5376" w:hanging="360"/>
      </w:pPr>
      <w:rPr>
        <w:rFonts w:cs="Times New Roman"/>
      </w:rPr>
    </w:lvl>
    <w:lvl w:ilvl="5" w:tplc="0409001B" w:tentative="1">
      <w:start w:val="1"/>
      <w:numFmt w:val="lowerRoman"/>
      <w:lvlText w:val="%6."/>
      <w:lvlJc w:val="right"/>
      <w:pPr>
        <w:ind w:left="6096" w:hanging="180"/>
      </w:pPr>
      <w:rPr>
        <w:rFonts w:cs="Times New Roman"/>
      </w:rPr>
    </w:lvl>
    <w:lvl w:ilvl="6" w:tplc="0409000F" w:tentative="1">
      <w:start w:val="1"/>
      <w:numFmt w:val="decimal"/>
      <w:lvlText w:val="%7."/>
      <w:lvlJc w:val="left"/>
      <w:pPr>
        <w:ind w:left="6816" w:hanging="360"/>
      </w:pPr>
      <w:rPr>
        <w:rFonts w:cs="Times New Roman"/>
      </w:rPr>
    </w:lvl>
    <w:lvl w:ilvl="7" w:tplc="04090019" w:tentative="1">
      <w:start w:val="1"/>
      <w:numFmt w:val="lowerLetter"/>
      <w:lvlText w:val="%8."/>
      <w:lvlJc w:val="left"/>
      <w:pPr>
        <w:ind w:left="7536" w:hanging="360"/>
      </w:pPr>
      <w:rPr>
        <w:rFonts w:cs="Times New Roman"/>
      </w:rPr>
    </w:lvl>
    <w:lvl w:ilvl="8" w:tplc="0409001B" w:tentative="1">
      <w:start w:val="1"/>
      <w:numFmt w:val="lowerRoman"/>
      <w:lvlText w:val="%9."/>
      <w:lvlJc w:val="right"/>
      <w:pPr>
        <w:ind w:left="8256" w:hanging="180"/>
      </w:pPr>
      <w:rPr>
        <w:rFonts w:cs="Times New Roman"/>
      </w:rPr>
    </w:lvl>
  </w:abstractNum>
  <w:abstractNum w:abstractNumId="215">
    <w:nsid w:val="611D6CA6"/>
    <w:multiLevelType w:val="hybridMultilevel"/>
    <w:tmpl w:val="E83A794A"/>
    <w:lvl w:ilvl="0" w:tplc="9788E7C8">
      <w:start w:val="1"/>
      <w:numFmt w:val="lowerLetter"/>
      <w:lvlText w:val="(%1)"/>
      <w:lvlJc w:val="left"/>
      <w:pPr>
        <w:ind w:left="1470" w:hanging="750"/>
      </w:pPr>
      <w:rPr>
        <w:rFonts w:ascii="Times New Roman" w:hAnsi="Times New Roman" w:cs="Times New Roman" w:hint="default"/>
      </w:rPr>
    </w:lvl>
    <w:lvl w:ilvl="1" w:tplc="9294BD12">
      <w:start w:val="1"/>
      <w:numFmt w:val="japaneseCounting"/>
      <w:lvlText w:val="(%2)"/>
      <w:lvlJc w:val="left"/>
      <w:pPr>
        <w:ind w:left="2130" w:hanging="690"/>
      </w:pPr>
      <w:rPr>
        <w:rFonts w:ascii="Times New Roman" w:eastAsiaTheme="minorEastAsia" w:hAnsi="Times New Roman" w:cs="Times New Roman" w:hint="default"/>
        <w:b w:val="0"/>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6">
    <w:nsid w:val="61362455"/>
    <w:multiLevelType w:val="hybridMultilevel"/>
    <w:tmpl w:val="1B865FA4"/>
    <w:lvl w:ilvl="0" w:tplc="8778AB2C">
      <w:start w:val="1"/>
      <w:numFmt w:val="decimal"/>
      <w:pStyle w:val="CBD-Para-1"/>
      <w:lvlText w:val="%1."/>
      <w:lvlJc w:val="left"/>
      <w:pPr>
        <w:ind w:left="1440" w:hanging="360"/>
      </w:pPr>
      <w:rPr>
        <w:b w:val="0"/>
      </w:rPr>
    </w:lvl>
    <w:lvl w:ilvl="1" w:tplc="FFFFFFFF">
      <w:start w:val="1"/>
      <w:numFmt w:val="lowerLetter"/>
      <w:lvlText w:val="%2."/>
      <w:lvlJc w:val="left"/>
      <w:pPr>
        <w:ind w:left="2160" w:hanging="360"/>
      </w:pPr>
      <w:rPr>
        <w:b w:val="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7">
    <w:nsid w:val="620D6AEB"/>
    <w:multiLevelType w:val="multilevel"/>
    <w:tmpl w:val="F8D221E4"/>
    <w:lvl w:ilvl="0">
      <w:start w:val="1"/>
      <w:numFmt w:val="decimal"/>
      <w:lvlText w:val="%1."/>
      <w:lvlJc w:val="left"/>
      <w:pPr>
        <w:tabs>
          <w:tab w:val="num" w:pos="360"/>
        </w:tabs>
      </w:pPr>
      <w:rPr>
        <w:rFonts w:ascii="Times New Roman" w:hAnsi="Times New Roman" w:cs="Times New Roman" w:hint="default"/>
        <w:b w:val="0"/>
        <w:i w:val="0"/>
        <w:sz w:val="24"/>
      </w:rPr>
    </w:lvl>
    <w:lvl w:ilvl="1">
      <w:start w:val="1"/>
      <w:numFmt w:val="lowerLetter"/>
      <w:lvlText w:val="(%2)"/>
      <w:lvlJc w:val="left"/>
      <w:pPr>
        <w:tabs>
          <w:tab w:val="num" w:pos="1440"/>
        </w:tabs>
        <w:ind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8">
    <w:nsid w:val="62866F89"/>
    <w:multiLevelType w:val="hybridMultilevel"/>
    <w:tmpl w:val="AB9A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628D0DE9"/>
    <w:multiLevelType w:val="hybridMultilevel"/>
    <w:tmpl w:val="B5364CB0"/>
    <w:lvl w:ilvl="0" w:tplc="51940EE4">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36B4A05"/>
    <w:multiLevelType w:val="hybridMultilevel"/>
    <w:tmpl w:val="5B4A864E"/>
    <w:lvl w:ilvl="0" w:tplc="200844F0">
      <w:start w:val="1"/>
      <w:numFmt w:val="decimal"/>
      <w:lvlText w:val="%1."/>
      <w:lvlJc w:val="left"/>
      <w:pPr>
        <w:ind w:left="2160" w:hanging="720"/>
      </w:pPr>
      <w:rPr>
        <w:i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21">
    <w:nsid w:val="63DC36B5"/>
    <w:multiLevelType w:val="multilevel"/>
    <w:tmpl w:val="8CD69790"/>
    <w:lvl w:ilvl="0">
      <w:start w:val="1"/>
      <w:numFmt w:val="decimal"/>
      <w:lvlText w:val="%1."/>
      <w:lvlJc w:val="left"/>
      <w:pPr>
        <w:ind w:left="360" w:hanging="360"/>
      </w:pPr>
      <w:rPr>
        <w:rFonts w:ascii="Times New Roman" w:hAnsi="Times New Roman" w:cs="Times New Roman" w:hint="default"/>
        <w:b/>
        <w:sz w:val="24"/>
        <w:szCs w:val="22"/>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2">
    <w:nsid w:val="649911CF"/>
    <w:multiLevelType w:val="multilevel"/>
    <w:tmpl w:val="DDE8996E"/>
    <w:lvl w:ilvl="0">
      <w:start w:val="20"/>
      <w:numFmt w:val="decimal"/>
      <w:lvlText w:val="%1."/>
      <w:lvlJc w:val="left"/>
      <w:pPr>
        <w:tabs>
          <w:tab w:val="num" w:pos="360"/>
        </w:tabs>
      </w:pPr>
      <w:rPr>
        <w:rFonts w:ascii="Times New Roman" w:hAnsi="Times New Roman" w:cs="Times New Roman" w:hint="default"/>
        <w:b w:val="0"/>
        <w:i w:val="0"/>
        <w:sz w:val="24"/>
        <w:szCs w:val="24"/>
      </w:rPr>
    </w:lvl>
    <w:lvl w:ilvl="1">
      <w:start w:val="1"/>
      <w:numFmt w:val="lowerLetter"/>
      <w:lvlText w:val="(%2)"/>
      <w:lvlJc w:val="left"/>
      <w:pPr>
        <w:tabs>
          <w:tab w:val="num" w:pos="1440"/>
        </w:tabs>
        <w:ind w:firstLine="720"/>
      </w:pPr>
      <w:rPr>
        <w:rFonts w:cs="Times New Roman" w:hint="default"/>
        <w:b w:val="0"/>
        <w:i w:val="0"/>
      </w:rPr>
    </w:lvl>
    <w:lvl w:ilvl="2">
      <w:start w:val="1"/>
      <w:numFmt w:val="lowerRoman"/>
      <w:lvlText w:val="(%3)"/>
      <w:lvlJc w:val="right"/>
      <w:pPr>
        <w:tabs>
          <w:tab w:val="num" w:pos="1260"/>
        </w:tabs>
        <w:ind w:left="1260" w:hanging="360"/>
      </w:pPr>
      <w:rPr>
        <w:rFonts w:cs="Times New Roman" w:hint="default"/>
      </w:rPr>
    </w:lvl>
    <w:lvl w:ilvl="3">
      <w:start w:val="1"/>
      <w:numFmt w:val="lowerRoman"/>
      <w:lvlText w:val="%4."/>
      <w:lvlJc w:val="right"/>
      <w:pPr>
        <w:tabs>
          <w:tab w:val="num" w:pos="2160"/>
        </w:tabs>
        <w:ind w:left="2160" w:hanging="720"/>
      </w:pPr>
      <w:rPr>
        <w:rFonts w:cs="Times New Roman"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360"/>
        </w:tabs>
        <w:ind w:left="360" w:hanging="360"/>
      </w:pPr>
      <w:rPr>
        <w:rFonts w:ascii="Times New Roman" w:hAnsi="Times New Roman" w:cs="Times New Roman" w:hint="default"/>
        <w:i w:val="0"/>
        <w:iCs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3">
    <w:nsid w:val="651762C1"/>
    <w:multiLevelType w:val="hybridMultilevel"/>
    <w:tmpl w:val="B1A21E3E"/>
    <w:lvl w:ilvl="0" w:tplc="561613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nsid w:val="65357F78"/>
    <w:multiLevelType w:val="hybridMultilevel"/>
    <w:tmpl w:val="E59652FE"/>
    <w:lvl w:ilvl="0" w:tplc="561613B4">
      <w:start w:val="1"/>
      <w:numFmt w:val="decimal"/>
      <w:pStyle w:val="Paraofficial"/>
      <w:lvlText w:val="%1."/>
      <w:lvlJc w:val="left"/>
      <w:pPr>
        <w:tabs>
          <w:tab w:val="num" w:pos="1080"/>
        </w:tabs>
        <w:ind w:firstLine="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25">
    <w:nsid w:val="6598568E"/>
    <w:multiLevelType w:val="hybridMultilevel"/>
    <w:tmpl w:val="57E68E02"/>
    <w:lvl w:ilvl="0" w:tplc="0C743B4C">
      <w:start w:val="1"/>
      <w:numFmt w:val="lowerLetter"/>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26">
    <w:nsid w:val="65B22982"/>
    <w:multiLevelType w:val="hybridMultilevel"/>
    <w:tmpl w:val="27C41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nsid w:val="65CD486A"/>
    <w:multiLevelType w:val="hybridMultilevel"/>
    <w:tmpl w:val="EDFC6670"/>
    <w:lvl w:ilvl="0" w:tplc="D128A920">
      <w:start w:val="1"/>
      <w:numFmt w:val="lowerLetter"/>
      <w:lvlText w:val="(%1)"/>
      <w:lvlJc w:val="left"/>
      <w:pPr>
        <w:ind w:left="720" w:hanging="360"/>
      </w:pPr>
      <w:rPr>
        <w:rFonts w:asciiTheme="majorBidi" w:hAnsiTheme="majorBidi" w:cstheme="majorBidi" w:hint="default"/>
        <w:b w:val="0"/>
      </w:rPr>
    </w:lvl>
    <w:lvl w:ilvl="1" w:tplc="A61C162E">
      <w:start w:val="1"/>
      <w:numFmt w:val="bullet"/>
      <w:lvlText w:val="o"/>
      <w:lvlJc w:val="left"/>
      <w:pPr>
        <w:ind w:left="1440" w:hanging="360"/>
      </w:pPr>
      <w:rPr>
        <w:rFonts w:ascii="Courier New" w:hAnsi="Courier New" w:hint="default"/>
      </w:rPr>
    </w:lvl>
    <w:lvl w:ilvl="2" w:tplc="6BB0CF8E" w:tentative="1">
      <w:start w:val="1"/>
      <w:numFmt w:val="bullet"/>
      <w:lvlText w:val=""/>
      <w:lvlJc w:val="left"/>
      <w:pPr>
        <w:ind w:left="2160" w:hanging="360"/>
      </w:pPr>
      <w:rPr>
        <w:rFonts w:ascii="Wingdings" w:hAnsi="Wingdings" w:hint="default"/>
      </w:rPr>
    </w:lvl>
    <w:lvl w:ilvl="3" w:tplc="2AEAD468" w:tentative="1">
      <w:start w:val="1"/>
      <w:numFmt w:val="bullet"/>
      <w:lvlText w:val=""/>
      <w:lvlJc w:val="left"/>
      <w:pPr>
        <w:ind w:left="2880" w:hanging="360"/>
      </w:pPr>
      <w:rPr>
        <w:rFonts w:ascii="Symbol" w:hAnsi="Symbol" w:hint="default"/>
      </w:rPr>
    </w:lvl>
    <w:lvl w:ilvl="4" w:tplc="10E2F7F8" w:tentative="1">
      <w:start w:val="1"/>
      <w:numFmt w:val="bullet"/>
      <w:lvlText w:val="o"/>
      <w:lvlJc w:val="left"/>
      <w:pPr>
        <w:ind w:left="3600" w:hanging="360"/>
      </w:pPr>
      <w:rPr>
        <w:rFonts w:ascii="Courier New" w:hAnsi="Courier New" w:hint="default"/>
      </w:rPr>
    </w:lvl>
    <w:lvl w:ilvl="5" w:tplc="A260B0A2" w:tentative="1">
      <w:start w:val="1"/>
      <w:numFmt w:val="bullet"/>
      <w:lvlText w:val=""/>
      <w:lvlJc w:val="left"/>
      <w:pPr>
        <w:ind w:left="4320" w:hanging="360"/>
      </w:pPr>
      <w:rPr>
        <w:rFonts w:ascii="Wingdings" w:hAnsi="Wingdings" w:hint="default"/>
      </w:rPr>
    </w:lvl>
    <w:lvl w:ilvl="6" w:tplc="B62078D8" w:tentative="1">
      <w:start w:val="1"/>
      <w:numFmt w:val="bullet"/>
      <w:lvlText w:val=""/>
      <w:lvlJc w:val="left"/>
      <w:pPr>
        <w:ind w:left="5040" w:hanging="360"/>
      </w:pPr>
      <w:rPr>
        <w:rFonts w:ascii="Symbol" w:hAnsi="Symbol" w:hint="default"/>
      </w:rPr>
    </w:lvl>
    <w:lvl w:ilvl="7" w:tplc="9122688A" w:tentative="1">
      <w:start w:val="1"/>
      <w:numFmt w:val="bullet"/>
      <w:lvlText w:val="o"/>
      <w:lvlJc w:val="left"/>
      <w:pPr>
        <w:ind w:left="5760" w:hanging="360"/>
      </w:pPr>
      <w:rPr>
        <w:rFonts w:ascii="Courier New" w:hAnsi="Courier New" w:hint="default"/>
      </w:rPr>
    </w:lvl>
    <w:lvl w:ilvl="8" w:tplc="0DD4E1BE" w:tentative="1">
      <w:start w:val="1"/>
      <w:numFmt w:val="bullet"/>
      <w:lvlText w:val=""/>
      <w:lvlJc w:val="left"/>
      <w:pPr>
        <w:ind w:left="6480" w:hanging="360"/>
      </w:pPr>
      <w:rPr>
        <w:rFonts w:ascii="Wingdings" w:hAnsi="Wingdings" w:hint="default"/>
      </w:rPr>
    </w:lvl>
  </w:abstractNum>
  <w:abstractNum w:abstractNumId="228">
    <w:nsid w:val="66064972"/>
    <w:multiLevelType w:val="multilevel"/>
    <w:tmpl w:val="C206F7BC"/>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9">
    <w:nsid w:val="678D67F8"/>
    <w:multiLevelType w:val="hybridMultilevel"/>
    <w:tmpl w:val="9AC4DAB8"/>
    <w:lvl w:ilvl="0" w:tplc="81C87DF2">
      <w:start w:val="1"/>
      <w:numFmt w:val="chineseCountingThousand"/>
      <w:lvlText w:val="(%1)"/>
      <w:lvlJc w:val="left"/>
      <w:pPr>
        <w:ind w:left="1080" w:hanging="360"/>
      </w:pPr>
      <w:rPr>
        <w:rFonts w:ascii="Times New Roman" w:eastAsia="Times New Roman" w:hAnsi="Times New Roman"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30">
    <w:nsid w:val="686B1FEB"/>
    <w:multiLevelType w:val="hybridMultilevel"/>
    <w:tmpl w:val="2716DD70"/>
    <w:lvl w:ilvl="0" w:tplc="99282F28">
      <w:start w:val="1"/>
      <w:numFmt w:val="lowerLetter"/>
      <w:lvlText w:val="(%1)"/>
      <w:lvlJc w:val="left"/>
      <w:pPr>
        <w:ind w:left="720" w:hanging="360"/>
      </w:pPr>
      <w:rPr>
        <w:rFonts w:ascii="Times New Roman" w:hAnsi="Times New Roman" w:cs="Times New Roman" w:hint="default"/>
        <w:b w:val="0"/>
      </w:rPr>
    </w:lvl>
    <w:lvl w:ilvl="1" w:tplc="EADCB4B2">
      <w:start w:val="1"/>
      <w:numFmt w:val="decimal"/>
      <w:lvlText w:val="%2."/>
      <w:lvlJc w:val="left"/>
      <w:pPr>
        <w:ind w:left="1570" w:hanging="490"/>
      </w:pPr>
      <w:rPr>
        <w:rFonts w:ascii="Times New Roman" w:hAnsi="Times New Roman" w:cs="Times New Roman" w:hint="default"/>
        <w:b w:val="0"/>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68821D59"/>
    <w:multiLevelType w:val="hybridMultilevel"/>
    <w:tmpl w:val="8586EA08"/>
    <w:lvl w:ilvl="0" w:tplc="1B6A1E32">
      <w:start w:val="1"/>
      <w:numFmt w:val="japaneseCounting"/>
      <w:lvlText w:val="(%1)"/>
      <w:lvlJc w:val="left"/>
      <w:pPr>
        <w:ind w:left="2730" w:hanging="570"/>
      </w:pPr>
      <w:rPr>
        <w:rFonts w:hint="default"/>
      </w:rPr>
    </w:lvl>
    <w:lvl w:ilvl="1" w:tplc="C082B418">
      <w:start w:val="1"/>
      <w:numFmt w:val="lowerLetter"/>
      <w:lvlText w:val="(%2)"/>
      <w:lvlJc w:val="left"/>
      <w:pPr>
        <w:ind w:left="1440" w:hanging="360"/>
      </w:pPr>
      <w:rPr>
        <w:rFonts w:ascii="Times New Roman" w:hAnsi="Times New Roman"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696465D6"/>
    <w:multiLevelType w:val="hybridMultilevel"/>
    <w:tmpl w:val="89E495C4"/>
    <w:lvl w:ilvl="0" w:tplc="0C743B4C">
      <w:start w:val="1"/>
      <w:numFmt w:val="lowerLetter"/>
      <w:lvlText w:val="(%1)"/>
      <w:lvlJc w:val="left"/>
      <w:pPr>
        <w:ind w:left="720" w:hanging="360"/>
      </w:pPr>
      <w:rPr>
        <w:rFonts w:asciiTheme="majorBidi" w:hAnsiTheme="majorBidi" w:cstheme="majorBidi" w:hint="default"/>
        <w:b w:val="0"/>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3">
    <w:nsid w:val="69790437"/>
    <w:multiLevelType w:val="hybridMultilevel"/>
    <w:tmpl w:val="8DE4CA08"/>
    <w:lvl w:ilvl="0" w:tplc="FFFFFFFF">
      <w:start w:val="1"/>
      <w:numFmt w:val="japaneseCounting"/>
      <w:lvlText w:val="(%1)"/>
      <w:lvlJc w:val="left"/>
      <w:pPr>
        <w:ind w:left="1290" w:hanging="570"/>
      </w:pPr>
      <w:rPr>
        <w:rFonts w:hint="default"/>
      </w:rPr>
    </w:lvl>
    <w:lvl w:ilvl="1" w:tplc="973C7066"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4">
    <w:nsid w:val="69E25416"/>
    <w:multiLevelType w:val="hybridMultilevel"/>
    <w:tmpl w:val="650AB64A"/>
    <w:lvl w:ilvl="0" w:tplc="C770A796">
      <w:start w:val="1"/>
      <w:numFmt w:val="decimal"/>
      <w:lvlText w:val="%1."/>
      <w:lvlJc w:val="left"/>
      <w:pPr>
        <w:ind w:left="1080" w:hanging="720"/>
      </w:pPr>
      <w:rPr>
        <w:rFonts w:ascii="Times New Roman" w:hAnsi="Times New Roman" w:cs="Times New Roman" w:hint="default"/>
      </w:rPr>
    </w:lvl>
    <w:lvl w:ilvl="1" w:tplc="561613B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6A1A26F0"/>
    <w:multiLevelType w:val="hybridMultilevel"/>
    <w:tmpl w:val="ED78CD08"/>
    <w:lvl w:ilvl="0" w:tplc="4C5020AC">
      <w:start w:val="1"/>
      <w:numFmt w:val="upperLetter"/>
      <w:lvlText w:val="%1."/>
      <w:lvlJc w:val="left"/>
      <w:pPr>
        <w:ind w:left="7020" w:hanging="360"/>
      </w:pPr>
      <w:rPr>
        <w:rFonts w:hint="default"/>
      </w:r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236">
    <w:nsid w:val="6A256AE4"/>
    <w:multiLevelType w:val="hybridMultilevel"/>
    <w:tmpl w:val="D922A93A"/>
    <w:lvl w:ilvl="0" w:tplc="1F1CF446">
      <w:start w:val="1"/>
      <w:numFmt w:val="decimal"/>
      <w:lvlText w:val="%1."/>
      <w:lvlJc w:val="left"/>
      <w:pPr>
        <w:ind w:left="720" w:hanging="360"/>
      </w:pPr>
      <w:rPr>
        <w:rFonts w:ascii="KaiTi" w:eastAsia="KaiTi" w:hAnsi="KaiT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6AC73558"/>
    <w:multiLevelType w:val="multilevel"/>
    <w:tmpl w:val="4F5E5496"/>
    <w:lvl w:ilvl="0">
      <w:start w:val="7"/>
      <w:numFmt w:val="decimal"/>
      <w:lvlText w:val="%1."/>
      <w:lvlJc w:val="left"/>
      <w:pPr>
        <w:tabs>
          <w:tab w:val="num" w:pos="360"/>
        </w:tabs>
      </w:pPr>
      <w:rPr>
        <w:rFonts w:ascii="Times New Roman" w:eastAsia="MS Mincho" w:hAnsi="Times New Roman" w:cs="Angsana New" w:hint="default"/>
        <w:b w:val="0"/>
        <w:i w:val="0"/>
        <w:sz w:val="22"/>
        <w:szCs w:val="22"/>
      </w:rPr>
    </w:lvl>
    <w:lvl w:ilvl="1">
      <w:start w:val="1"/>
      <w:numFmt w:val="lowerLetter"/>
      <w:lvlText w:val="(%2)"/>
      <w:lvlJc w:val="left"/>
      <w:pPr>
        <w:tabs>
          <w:tab w:val="num" w:pos="1440"/>
        </w:tabs>
        <w:ind w:firstLine="720"/>
      </w:pPr>
      <w:rPr>
        <w:rFonts w:ascii="Times New Roman" w:hAnsi="Times New Roman" w:cs="Times New Roman" w:hint="default"/>
        <w:b w:val="0"/>
        <w:i w:val="0"/>
      </w:rPr>
    </w:lvl>
    <w:lvl w:ilvl="2">
      <w:start w:val="1"/>
      <w:numFmt w:val="lowerRoman"/>
      <w:lvlText w:val="(%3)"/>
      <w:lvlJc w:val="right"/>
      <w:pPr>
        <w:tabs>
          <w:tab w:val="num" w:pos="1260"/>
        </w:tabs>
        <w:ind w:left="1260" w:hanging="360"/>
      </w:pPr>
      <w:rPr>
        <w:rFonts w:cs="Times New Roman" w:hint="default"/>
      </w:rPr>
    </w:lvl>
    <w:lvl w:ilvl="3">
      <w:start w:val="1"/>
      <w:numFmt w:val="lowerRoman"/>
      <w:lvlText w:val="%4."/>
      <w:lvlJc w:val="right"/>
      <w:pPr>
        <w:tabs>
          <w:tab w:val="num" w:pos="2160"/>
        </w:tabs>
        <w:ind w:left="2160" w:hanging="720"/>
      </w:pPr>
      <w:rPr>
        <w:rFonts w:cs="Times New Roman"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8">
    <w:nsid w:val="6BC53208"/>
    <w:multiLevelType w:val="hybridMultilevel"/>
    <w:tmpl w:val="2ABCEEBC"/>
    <w:lvl w:ilvl="0" w:tplc="C93C7610">
      <w:start w:val="5"/>
      <w:numFmt w:val="decimal"/>
      <w:lvlText w:val="%1."/>
      <w:lvlJc w:val="left"/>
      <w:pPr>
        <w:ind w:left="2685" w:hanging="1245"/>
      </w:pPr>
      <w:rPr>
        <w:rFonts w:ascii="Times New Roman" w:hAnsi="Times New Roman"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39">
    <w:nsid w:val="6C1D5F85"/>
    <w:multiLevelType w:val="hybridMultilevel"/>
    <w:tmpl w:val="0CD2181C"/>
    <w:lvl w:ilvl="0" w:tplc="72849B10">
      <w:start w:val="1"/>
      <w:numFmt w:val="lowerLetter"/>
      <w:lvlText w:val="(%1)"/>
      <w:lvlJc w:val="left"/>
      <w:pPr>
        <w:ind w:left="360" w:hanging="360"/>
      </w:pPr>
      <w:rPr>
        <w:rFonts w:ascii="Times New Roman" w:eastAsiaTheme="minorEastAsia" w:hAnsi="Times New Roman" w:cs="Times New Roman"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nsid w:val="6DD96BDE"/>
    <w:multiLevelType w:val="hybridMultilevel"/>
    <w:tmpl w:val="0A7ECCEA"/>
    <w:lvl w:ilvl="0" w:tplc="8BB4E9DA">
      <w:start w:val="7"/>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1">
    <w:nsid w:val="6EAB63AC"/>
    <w:multiLevelType w:val="hybridMultilevel"/>
    <w:tmpl w:val="3E1283FA"/>
    <w:lvl w:ilvl="0" w:tplc="04090001">
      <w:start w:val="1"/>
      <w:numFmt w:val="bullet"/>
      <w:lvlText w:val=""/>
      <w:lvlJc w:val="left"/>
      <w:pPr>
        <w:ind w:left="395" w:hanging="360"/>
      </w:pPr>
      <w:rPr>
        <w:rFonts w:ascii="Symbol" w:hAnsi="Symbol" w:hint="default"/>
      </w:rPr>
    </w:lvl>
    <w:lvl w:ilvl="1" w:tplc="04090003" w:tentative="1">
      <w:start w:val="1"/>
      <w:numFmt w:val="bullet"/>
      <w:lvlText w:val="o"/>
      <w:lvlJc w:val="left"/>
      <w:pPr>
        <w:ind w:left="1115" w:hanging="360"/>
      </w:pPr>
      <w:rPr>
        <w:rFonts w:ascii="Courier New" w:hAnsi="Courier New" w:cs="Courier New" w:hint="default"/>
      </w:rPr>
    </w:lvl>
    <w:lvl w:ilvl="2" w:tplc="04090005" w:tentative="1">
      <w:start w:val="1"/>
      <w:numFmt w:val="bullet"/>
      <w:lvlText w:val=""/>
      <w:lvlJc w:val="left"/>
      <w:pPr>
        <w:ind w:left="1835" w:hanging="360"/>
      </w:pPr>
      <w:rPr>
        <w:rFonts w:ascii="Wingdings" w:hAnsi="Wingdings" w:hint="default"/>
      </w:rPr>
    </w:lvl>
    <w:lvl w:ilvl="3" w:tplc="04090001" w:tentative="1">
      <w:start w:val="1"/>
      <w:numFmt w:val="bullet"/>
      <w:lvlText w:val=""/>
      <w:lvlJc w:val="left"/>
      <w:pPr>
        <w:ind w:left="2555" w:hanging="360"/>
      </w:pPr>
      <w:rPr>
        <w:rFonts w:ascii="Symbol" w:hAnsi="Symbol" w:hint="default"/>
      </w:rPr>
    </w:lvl>
    <w:lvl w:ilvl="4" w:tplc="04090003" w:tentative="1">
      <w:start w:val="1"/>
      <w:numFmt w:val="bullet"/>
      <w:lvlText w:val="o"/>
      <w:lvlJc w:val="left"/>
      <w:pPr>
        <w:ind w:left="3275" w:hanging="360"/>
      </w:pPr>
      <w:rPr>
        <w:rFonts w:ascii="Courier New" w:hAnsi="Courier New" w:cs="Courier New" w:hint="default"/>
      </w:rPr>
    </w:lvl>
    <w:lvl w:ilvl="5" w:tplc="04090005" w:tentative="1">
      <w:start w:val="1"/>
      <w:numFmt w:val="bullet"/>
      <w:lvlText w:val=""/>
      <w:lvlJc w:val="left"/>
      <w:pPr>
        <w:ind w:left="3995" w:hanging="360"/>
      </w:pPr>
      <w:rPr>
        <w:rFonts w:ascii="Wingdings" w:hAnsi="Wingdings" w:hint="default"/>
      </w:rPr>
    </w:lvl>
    <w:lvl w:ilvl="6" w:tplc="04090001" w:tentative="1">
      <w:start w:val="1"/>
      <w:numFmt w:val="bullet"/>
      <w:lvlText w:val=""/>
      <w:lvlJc w:val="left"/>
      <w:pPr>
        <w:ind w:left="4715" w:hanging="360"/>
      </w:pPr>
      <w:rPr>
        <w:rFonts w:ascii="Symbol" w:hAnsi="Symbol" w:hint="default"/>
      </w:rPr>
    </w:lvl>
    <w:lvl w:ilvl="7" w:tplc="04090003" w:tentative="1">
      <w:start w:val="1"/>
      <w:numFmt w:val="bullet"/>
      <w:lvlText w:val="o"/>
      <w:lvlJc w:val="left"/>
      <w:pPr>
        <w:ind w:left="5435" w:hanging="360"/>
      </w:pPr>
      <w:rPr>
        <w:rFonts w:ascii="Courier New" w:hAnsi="Courier New" w:cs="Courier New" w:hint="default"/>
      </w:rPr>
    </w:lvl>
    <w:lvl w:ilvl="8" w:tplc="04090005" w:tentative="1">
      <w:start w:val="1"/>
      <w:numFmt w:val="bullet"/>
      <w:lvlText w:val=""/>
      <w:lvlJc w:val="left"/>
      <w:pPr>
        <w:ind w:left="6155" w:hanging="360"/>
      </w:pPr>
      <w:rPr>
        <w:rFonts w:ascii="Wingdings" w:hAnsi="Wingdings" w:hint="default"/>
      </w:rPr>
    </w:lvl>
  </w:abstractNum>
  <w:abstractNum w:abstractNumId="242">
    <w:nsid w:val="6ED82968"/>
    <w:multiLevelType w:val="hybridMultilevel"/>
    <w:tmpl w:val="FE162F2C"/>
    <w:lvl w:ilvl="0" w:tplc="64241D14">
      <w:start w:val="1"/>
      <w:numFmt w:val="bullet"/>
      <w:pStyle w:val="CBD-Doc"/>
      <w:lvlText w:val=""/>
      <w:lvlJc w:val="left"/>
      <w:pPr>
        <w:tabs>
          <w:tab w:val="num" w:pos="567"/>
        </w:tabs>
        <w:ind w:left="567" w:hanging="567"/>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3">
    <w:nsid w:val="6F6B3A34"/>
    <w:multiLevelType w:val="hybridMultilevel"/>
    <w:tmpl w:val="EDFC6670"/>
    <w:lvl w:ilvl="0" w:tplc="068455D6">
      <w:start w:val="1"/>
      <w:numFmt w:val="lowerLetter"/>
      <w:lvlText w:val="(%1)"/>
      <w:lvlJc w:val="left"/>
      <w:pPr>
        <w:ind w:left="720" w:hanging="360"/>
      </w:pPr>
      <w:rPr>
        <w:rFonts w:asciiTheme="majorBidi" w:hAnsiTheme="majorBidi" w:cstheme="majorBidi" w:hint="default"/>
        <w:b w:val="0"/>
      </w:rPr>
    </w:lvl>
    <w:lvl w:ilvl="1" w:tplc="7F2AD54A">
      <w:start w:val="1"/>
      <w:numFmt w:val="bullet"/>
      <w:lvlText w:val="o"/>
      <w:lvlJc w:val="left"/>
      <w:pPr>
        <w:ind w:left="1440" w:hanging="360"/>
      </w:pPr>
      <w:rPr>
        <w:rFonts w:ascii="Courier New" w:hAnsi="Courier New" w:hint="default"/>
      </w:rPr>
    </w:lvl>
    <w:lvl w:ilvl="2" w:tplc="25AA7812" w:tentative="1">
      <w:start w:val="1"/>
      <w:numFmt w:val="bullet"/>
      <w:lvlText w:val=""/>
      <w:lvlJc w:val="left"/>
      <w:pPr>
        <w:ind w:left="2160" w:hanging="360"/>
      </w:pPr>
      <w:rPr>
        <w:rFonts w:ascii="Wingdings" w:hAnsi="Wingdings" w:hint="default"/>
      </w:rPr>
    </w:lvl>
    <w:lvl w:ilvl="3" w:tplc="EA660D02" w:tentative="1">
      <w:start w:val="1"/>
      <w:numFmt w:val="bullet"/>
      <w:lvlText w:val=""/>
      <w:lvlJc w:val="left"/>
      <w:pPr>
        <w:ind w:left="2880" w:hanging="360"/>
      </w:pPr>
      <w:rPr>
        <w:rFonts w:ascii="Symbol" w:hAnsi="Symbol" w:hint="default"/>
      </w:rPr>
    </w:lvl>
    <w:lvl w:ilvl="4" w:tplc="6F162514" w:tentative="1">
      <w:start w:val="1"/>
      <w:numFmt w:val="bullet"/>
      <w:lvlText w:val="o"/>
      <w:lvlJc w:val="left"/>
      <w:pPr>
        <w:ind w:left="3600" w:hanging="360"/>
      </w:pPr>
      <w:rPr>
        <w:rFonts w:ascii="Courier New" w:hAnsi="Courier New" w:hint="default"/>
      </w:rPr>
    </w:lvl>
    <w:lvl w:ilvl="5" w:tplc="BE020C78" w:tentative="1">
      <w:start w:val="1"/>
      <w:numFmt w:val="bullet"/>
      <w:lvlText w:val=""/>
      <w:lvlJc w:val="left"/>
      <w:pPr>
        <w:ind w:left="4320" w:hanging="360"/>
      </w:pPr>
      <w:rPr>
        <w:rFonts w:ascii="Wingdings" w:hAnsi="Wingdings" w:hint="default"/>
      </w:rPr>
    </w:lvl>
    <w:lvl w:ilvl="6" w:tplc="A3EADB76" w:tentative="1">
      <w:start w:val="1"/>
      <w:numFmt w:val="bullet"/>
      <w:lvlText w:val=""/>
      <w:lvlJc w:val="left"/>
      <w:pPr>
        <w:ind w:left="5040" w:hanging="360"/>
      </w:pPr>
      <w:rPr>
        <w:rFonts w:ascii="Symbol" w:hAnsi="Symbol" w:hint="default"/>
      </w:rPr>
    </w:lvl>
    <w:lvl w:ilvl="7" w:tplc="C326FB66" w:tentative="1">
      <w:start w:val="1"/>
      <w:numFmt w:val="bullet"/>
      <w:lvlText w:val="o"/>
      <w:lvlJc w:val="left"/>
      <w:pPr>
        <w:ind w:left="5760" w:hanging="360"/>
      </w:pPr>
      <w:rPr>
        <w:rFonts w:ascii="Courier New" w:hAnsi="Courier New" w:hint="default"/>
      </w:rPr>
    </w:lvl>
    <w:lvl w:ilvl="8" w:tplc="111A6F4E" w:tentative="1">
      <w:start w:val="1"/>
      <w:numFmt w:val="bullet"/>
      <w:lvlText w:val=""/>
      <w:lvlJc w:val="left"/>
      <w:pPr>
        <w:ind w:left="6480" w:hanging="360"/>
      </w:pPr>
      <w:rPr>
        <w:rFonts w:ascii="Wingdings" w:hAnsi="Wingdings" w:hint="default"/>
      </w:rPr>
    </w:lvl>
  </w:abstractNum>
  <w:abstractNum w:abstractNumId="244">
    <w:nsid w:val="7006731F"/>
    <w:multiLevelType w:val="hybridMultilevel"/>
    <w:tmpl w:val="728E20D6"/>
    <w:lvl w:ilvl="0" w:tplc="0C3E2434">
      <w:start w:val="1"/>
      <w:numFmt w:val="decimal"/>
      <w:lvlText w:val="%1."/>
      <w:lvlJc w:val="left"/>
      <w:pPr>
        <w:tabs>
          <w:tab w:val="num" w:pos="720"/>
        </w:tabs>
      </w:pPr>
      <w:rPr>
        <w:rFonts w:ascii="Times New Roman" w:hAnsi="Times New Roman"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45">
    <w:nsid w:val="70217E32"/>
    <w:multiLevelType w:val="hybridMultilevel"/>
    <w:tmpl w:val="C692452C"/>
    <w:lvl w:ilvl="0" w:tplc="59989720">
      <w:start w:val="1"/>
      <w:numFmt w:val="lowerLetter"/>
      <w:lvlText w:val="(%1)"/>
      <w:lvlJc w:val="left"/>
      <w:pPr>
        <w:ind w:left="144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6">
    <w:nsid w:val="708A28C4"/>
    <w:multiLevelType w:val="hybridMultilevel"/>
    <w:tmpl w:val="4BAA2B52"/>
    <w:lvl w:ilvl="0" w:tplc="9126D2D6">
      <w:start w:val="1"/>
      <w:numFmt w:val="decimal"/>
      <w:pStyle w:val="A-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7">
    <w:nsid w:val="70F0063E"/>
    <w:multiLevelType w:val="hybridMultilevel"/>
    <w:tmpl w:val="C274777A"/>
    <w:lvl w:ilvl="0" w:tplc="E250BFE6">
      <w:start w:val="1"/>
      <w:numFmt w:val="lowerLetter"/>
      <w:lvlText w:val="(%1)"/>
      <w:lvlJc w:val="left"/>
      <w:pPr>
        <w:ind w:left="810" w:hanging="360"/>
      </w:pPr>
      <w:rPr>
        <w:rFonts w:ascii="Times New Roman" w:eastAsia="KaiTi" w:hAnsi="Times New Roman" w:cs="Times New Roman"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8">
    <w:nsid w:val="724F2029"/>
    <w:multiLevelType w:val="hybridMultilevel"/>
    <w:tmpl w:val="65806FD4"/>
    <w:lvl w:ilvl="0" w:tplc="4F90A638">
      <w:start w:val="1"/>
      <w:numFmt w:val="lowerLetter"/>
      <w:lvlText w:val="(%1)"/>
      <w:lvlJc w:val="left"/>
      <w:pPr>
        <w:ind w:left="2160" w:hanging="720"/>
      </w:pPr>
      <w:rPr>
        <w:i w:val="0"/>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9">
    <w:nsid w:val="73612D21"/>
    <w:multiLevelType w:val="hybridMultilevel"/>
    <w:tmpl w:val="2C4CC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nsid w:val="739F7935"/>
    <w:multiLevelType w:val="hybridMultilevel"/>
    <w:tmpl w:val="AFC81E74"/>
    <w:lvl w:ilvl="0" w:tplc="9D2C0F4A">
      <w:start w:val="1"/>
      <w:numFmt w:val="decimal"/>
      <w:lvlText w:val="%1."/>
      <w:lvlJc w:val="left"/>
      <w:pPr>
        <w:ind w:left="1440" w:hanging="360"/>
      </w:pPr>
      <w:rPr>
        <w:rFonts w:ascii="Times New Roman" w:hAnsi="Times New Roman"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1">
    <w:nsid w:val="73EE48AA"/>
    <w:multiLevelType w:val="hybridMultilevel"/>
    <w:tmpl w:val="BA48F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nsid w:val="740C38B0"/>
    <w:multiLevelType w:val="hybridMultilevel"/>
    <w:tmpl w:val="C274777A"/>
    <w:lvl w:ilvl="0" w:tplc="E250BFE6">
      <w:start w:val="1"/>
      <w:numFmt w:val="lowerLetter"/>
      <w:lvlText w:val="(%1)"/>
      <w:lvlJc w:val="left"/>
      <w:pPr>
        <w:ind w:left="810" w:hanging="360"/>
      </w:pPr>
      <w:rPr>
        <w:rFonts w:ascii="Times New Roman" w:eastAsia="KaiTi" w:hAnsi="Times New Roman" w:cs="Times New Roman"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3">
    <w:nsid w:val="74E36B39"/>
    <w:multiLevelType w:val="hybridMultilevel"/>
    <w:tmpl w:val="640E0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nsid w:val="75B90817"/>
    <w:multiLevelType w:val="hybridMultilevel"/>
    <w:tmpl w:val="2C4606DA"/>
    <w:lvl w:ilvl="0" w:tplc="A08236A0">
      <w:start w:val="2"/>
      <w:numFmt w:val="upperLetter"/>
      <w:lvlText w:val="%1."/>
      <w:lvlJc w:val="left"/>
      <w:pPr>
        <w:ind w:left="720" w:hanging="360"/>
      </w:pPr>
      <w:rPr>
        <w:rFonts w:ascii="Times New Roman" w:eastAsia="Calibri"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75E76D35"/>
    <w:multiLevelType w:val="hybridMultilevel"/>
    <w:tmpl w:val="5584FCC0"/>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56">
    <w:nsid w:val="7608632F"/>
    <w:multiLevelType w:val="hybridMultilevel"/>
    <w:tmpl w:val="AFA00482"/>
    <w:lvl w:ilvl="0" w:tplc="451EF5CA">
      <w:start w:val="1"/>
      <w:numFmt w:val="lowerLetter"/>
      <w:lvlText w:val="(%1)"/>
      <w:lvlJc w:val="left"/>
      <w:pPr>
        <w:ind w:left="2190" w:hanging="75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771416ED"/>
    <w:multiLevelType w:val="hybridMultilevel"/>
    <w:tmpl w:val="C274777A"/>
    <w:lvl w:ilvl="0" w:tplc="E250BFE6">
      <w:start w:val="1"/>
      <w:numFmt w:val="lowerLetter"/>
      <w:lvlText w:val="(%1)"/>
      <w:lvlJc w:val="left"/>
      <w:pPr>
        <w:ind w:left="810" w:hanging="360"/>
      </w:pPr>
      <w:rPr>
        <w:rFonts w:ascii="Times New Roman" w:eastAsia="KaiTi" w:hAnsi="Times New Roman" w:cs="Times New Roman"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8">
    <w:nsid w:val="773503B4"/>
    <w:multiLevelType w:val="hybridMultilevel"/>
    <w:tmpl w:val="4566A5DE"/>
    <w:lvl w:ilvl="0" w:tplc="D15C6778">
      <w:start w:val="1"/>
      <w:numFmt w:val="bullet"/>
      <w:pStyle w:val="Recommendation"/>
      <w:lvlText w:val=""/>
      <w:lvlJc w:val="left"/>
      <w:pPr>
        <w:tabs>
          <w:tab w:val="num" w:pos="927"/>
        </w:tabs>
        <w:ind w:left="907" w:hanging="340"/>
      </w:pPr>
      <w:rPr>
        <w:rFonts w:ascii="Wingdings" w:hAnsi="Wingdings" w:hint="default"/>
        <w:sz w:val="24"/>
      </w:rPr>
    </w:lvl>
    <w:lvl w:ilvl="1" w:tplc="04090019" w:tentative="1">
      <w:start w:val="1"/>
      <w:numFmt w:val="bullet"/>
      <w:lvlText w:val="o"/>
      <w:lvlJc w:val="left"/>
      <w:pPr>
        <w:tabs>
          <w:tab w:val="num" w:pos="2007"/>
        </w:tabs>
        <w:ind w:left="2007" w:hanging="360"/>
      </w:pPr>
      <w:rPr>
        <w:rFonts w:ascii="Courier New" w:hAnsi="Courier New"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259">
    <w:nsid w:val="77BE0A66"/>
    <w:multiLevelType w:val="hybridMultilevel"/>
    <w:tmpl w:val="35FC9458"/>
    <w:lvl w:ilvl="0" w:tplc="04090001">
      <w:start w:val="1"/>
      <w:numFmt w:val="decimal"/>
      <w:lvlText w:val="%1."/>
      <w:lvlJc w:val="left"/>
      <w:pPr>
        <w:ind w:left="720" w:hanging="360"/>
      </w:pPr>
      <w:rPr>
        <w:rFonts w:ascii="Times New Roman" w:hAnsi="Times New Roman" w:cs="Times New Roman"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0">
    <w:nsid w:val="78261C38"/>
    <w:multiLevelType w:val="hybridMultilevel"/>
    <w:tmpl w:val="0A1AC0D4"/>
    <w:lvl w:ilvl="0" w:tplc="10090001">
      <w:start w:val="1"/>
      <w:numFmt w:val="bullet"/>
      <w:lvlText w:val=""/>
      <w:lvlJc w:val="left"/>
      <w:pPr>
        <w:ind w:left="720" w:hanging="360"/>
      </w:pPr>
      <w:rPr>
        <w:rFonts w:ascii="Symbol" w:hAnsi="Symbol" w:hint="default"/>
      </w:rPr>
    </w:lvl>
    <w:lvl w:ilvl="1" w:tplc="0610FA88">
      <w:start w:val="1"/>
      <w:numFmt w:val="japaneseCounting"/>
      <w:lvlText w:val="(%2)"/>
      <w:lvlJc w:val="left"/>
      <w:pPr>
        <w:ind w:left="1800" w:hanging="72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1">
    <w:nsid w:val="78A34A9F"/>
    <w:multiLevelType w:val="hybridMultilevel"/>
    <w:tmpl w:val="08F2A10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2">
    <w:nsid w:val="79DB1E37"/>
    <w:multiLevelType w:val="hybridMultilevel"/>
    <w:tmpl w:val="A69E8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nsid w:val="7A5146DF"/>
    <w:multiLevelType w:val="hybridMultilevel"/>
    <w:tmpl w:val="58809974"/>
    <w:lvl w:ilvl="0" w:tplc="A36AA9E6">
      <w:start w:val="1"/>
      <w:numFmt w:val="lowerLetter"/>
      <w:lvlText w:val="(%1)"/>
      <w:lvlJc w:val="left"/>
      <w:pPr>
        <w:ind w:left="1080" w:hanging="360"/>
      </w:pPr>
      <w:rPr>
        <w:rFonts w:ascii="Times New Roman" w:hAnsi="Times New Roman" w:cs="Times New Roman" w:hint="default"/>
        <w:b w:val="0"/>
      </w:rPr>
    </w:lvl>
    <w:lvl w:ilvl="1" w:tplc="1AE2B5E8">
      <w:start w:val="1"/>
      <w:numFmt w:val="japaneseCounting"/>
      <w:lvlText w:val="(%2)"/>
      <w:lvlJc w:val="left"/>
      <w:pPr>
        <w:ind w:left="1575" w:hanging="855"/>
      </w:pPr>
      <w:rPr>
        <w:rFonts w:hAnsi="SimSu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nsid w:val="7A5C6720"/>
    <w:multiLevelType w:val="hybridMultilevel"/>
    <w:tmpl w:val="A796AFE2"/>
    <w:lvl w:ilvl="0" w:tplc="0409000F">
      <w:start w:val="1"/>
      <w:numFmt w:val="decimal"/>
      <w:lvlText w:val="%1."/>
      <w:lvlJc w:val="left"/>
      <w:pPr>
        <w:ind w:left="520" w:hanging="360"/>
      </w:pPr>
      <w:rPr>
        <w:rFonts w:cs="Times New Roman"/>
      </w:rPr>
    </w:lvl>
    <w:lvl w:ilvl="1" w:tplc="04090019" w:tentative="1">
      <w:start w:val="1"/>
      <w:numFmt w:val="lowerLetter"/>
      <w:lvlText w:val="%2."/>
      <w:lvlJc w:val="left"/>
      <w:pPr>
        <w:ind w:left="1240" w:hanging="360"/>
      </w:pPr>
      <w:rPr>
        <w:rFonts w:cs="Times New Roman"/>
      </w:rPr>
    </w:lvl>
    <w:lvl w:ilvl="2" w:tplc="0409001B" w:tentative="1">
      <w:start w:val="1"/>
      <w:numFmt w:val="lowerRoman"/>
      <w:lvlText w:val="%3."/>
      <w:lvlJc w:val="right"/>
      <w:pPr>
        <w:ind w:left="1960" w:hanging="180"/>
      </w:pPr>
      <w:rPr>
        <w:rFonts w:cs="Times New Roman"/>
      </w:rPr>
    </w:lvl>
    <w:lvl w:ilvl="3" w:tplc="0409000F" w:tentative="1">
      <w:start w:val="1"/>
      <w:numFmt w:val="decimal"/>
      <w:lvlText w:val="%4."/>
      <w:lvlJc w:val="left"/>
      <w:pPr>
        <w:ind w:left="2680" w:hanging="360"/>
      </w:pPr>
      <w:rPr>
        <w:rFonts w:cs="Times New Roman"/>
      </w:rPr>
    </w:lvl>
    <w:lvl w:ilvl="4" w:tplc="04090019" w:tentative="1">
      <w:start w:val="1"/>
      <w:numFmt w:val="lowerLetter"/>
      <w:lvlText w:val="%5."/>
      <w:lvlJc w:val="left"/>
      <w:pPr>
        <w:ind w:left="3400" w:hanging="360"/>
      </w:pPr>
      <w:rPr>
        <w:rFonts w:cs="Times New Roman"/>
      </w:rPr>
    </w:lvl>
    <w:lvl w:ilvl="5" w:tplc="0409001B" w:tentative="1">
      <w:start w:val="1"/>
      <w:numFmt w:val="lowerRoman"/>
      <w:lvlText w:val="%6."/>
      <w:lvlJc w:val="right"/>
      <w:pPr>
        <w:ind w:left="4120" w:hanging="180"/>
      </w:pPr>
      <w:rPr>
        <w:rFonts w:cs="Times New Roman"/>
      </w:rPr>
    </w:lvl>
    <w:lvl w:ilvl="6" w:tplc="0409000F" w:tentative="1">
      <w:start w:val="1"/>
      <w:numFmt w:val="decimal"/>
      <w:lvlText w:val="%7."/>
      <w:lvlJc w:val="left"/>
      <w:pPr>
        <w:ind w:left="4840" w:hanging="360"/>
      </w:pPr>
      <w:rPr>
        <w:rFonts w:cs="Times New Roman"/>
      </w:rPr>
    </w:lvl>
    <w:lvl w:ilvl="7" w:tplc="04090019" w:tentative="1">
      <w:start w:val="1"/>
      <w:numFmt w:val="lowerLetter"/>
      <w:lvlText w:val="%8."/>
      <w:lvlJc w:val="left"/>
      <w:pPr>
        <w:ind w:left="5560" w:hanging="360"/>
      </w:pPr>
      <w:rPr>
        <w:rFonts w:cs="Times New Roman"/>
      </w:rPr>
    </w:lvl>
    <w:lvl w:ilvl="8" w:tplc="0409001B" w:tentative="1">
      <w:start w:val="1"/>
      <w:numFmt w:val="lowerRoman"/>
      <w:lvlText w:val="%9."/>
      <w:lvlJc w:val="right"/>
      <w:pPr>
        <w:ind w:left="6280" w:hanging="180"/>
      </w:pPr>
      <w:rPr>
        <w:rFonts w:cs="Times New Roman"/>
      </w:rPr>
    </w:lvl>
  </w:abstractNum>
  <w:abstractNum w:abstractNumId="265">
    <w:nsid w:val="7BB118AE"/>
    <w:multiLevelType w:val="hybridMultilevel"/>
    <w:tmpl w:val="3004584E"/>
    <w:lvl w:ilvl="0" w:tplc="016A7CAC">
      <w:start w:val="5"/>
      <w:numFmt w:val="decimal"/>
      <w:lvlText w:val="%1."/>
      <w:lvlJc w:val="left"/>
      <w:pPr>
        <w:ind w:left="144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7C773749"/>
    <w:multiLevelType w:val="hybridMultilevel"/>
    <w:tmpl w:val="FE1ADDD6"/>
    <w:lvl w:ilvl="0" w:tplc="02F6D1E0">
      <w:start w:val="1"/>
      <w:numFmt w:val="lowerLetter"/>
      <w:lvlText w:val="(%1)"/>
      <w:lvlJc w:val="left"/>
      <w:pPr>
        <w:ind w:left="1969" w:hanging="615"/>
      </w:pPr>
      <w:rPr>
        <w:rFonts w:ascii="Times New Roman" w:hAnsi="Times New Roman" w:cs="Times New Roman" w:hint="default"/>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267">
    <w:nsid w:val="7CAD4640"/>
    <w:multiLevelType w:val="hybridMultilevel"/>
    <w:tmpl w:val="2F4CCD94"/>
    <w:lvl w:ilvl="0" w:tplc="9E3607F2">
      <w:start w:val="1"/>
      <w:numFmt w:val="bullet"/>
      <w:lvlText w:val=""/>
      <w:lvlJc w:val="left"/>
      <w:pPr>
        <w:ind w:left="720" w:hanging="360"/>
      </w:pPr>
      <w:rPr>
        <w:rFonts w:ascii="Symbol" w:hAnsi="Symbol" w:hint="default"/>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268">
    <w:nsid w:val="7D8C429D"/>
    <w:multiLevelType w:val="hybridMultilevel"/>
    <w:tmpl w:val="6FF68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nsid w:val="7D9B7DF7"/>
    <w:multiLevelType w:val="hybridMultilevel"/>
    <w:tmpl w:val="A126A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nsid w:val="7D9C0A61"/>
    <w:multiLevelType w:val="hybridMultilevel"/>
    <w:tmpl w:val="5566B558"/>
    <w:lvl w:ilvl="0" w:tplc="670EF736">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7DFD2775"/>
    <w:multiLevelType w:val="hybridMultilevel"/>
    <w:tmpl w:val="B064A05A"/>
    <w:lvl w:ilvl="0" w:tplc="0E2272B0">
      <w:start w:val="1"/>
      <w:numFmt w:val="decimal"/>
      <w:lvlText w:val="%1."/>
      <w:lvlJc w:val="left"/>
      <w:pPr>
        <w:ind w:left="1440" w:hanging="720"/>
      </w:pPr>
      <w:rPr>
        <w:rFonts w:hint="default"/>
        <w:sz w:val="24"/>
      </w:rPr>
    </w:lvl>
    <w:lvl w:ilvl="1" w:tplc="451EF5CA">
      <w:start w:val="1"/>
      <w:numFmt w:val="lowerLetter"/>
      <w:lvlText w:val="(%2)"/>
      <w:lvlJc w:val="left"/>
      <w:pPr>
        <w:ind w:left="2190" w:hanging="750"/>
      </w:pPr>
      <w:rPr>
        <w:rFonts w:hint="default"/>
        <w:i w:val="0"/>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2">
    <w:nsid w:val="7F1A4BAD"/>
    <w:multiLevelType w:val="hybridMultilevel"/>
    <w:tmpl w:val="1BF863D6"/>
    <w:lvl w:ilvl="0" w:tplc="1DF6B0DA">
      <w:start w:val="1"/>
      <w:numFmt w:val="decimal"/>
      <w:lvlText w:val="%1."/>
      <w:lvlJc w:val="left"/>
      <w:pPr>
        <w:ind w:left="1440" w:hanging="720"/>
      </w:pPr>
      <w:rPr>
        <w:rFonts w:eastAsia="Times New Roman"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3">
    <w:nsid w:val="7FB92169"/>
    <w:multiLevelType w:val="hybridMultilevel"/>
    <w:tmpl w:val="E9FAD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56"/>
  </w:num>
  <w:num w:numId="3">
    <w:abstractNumId w:val="135"/>
  </w:num>
  <w:num w:numId="4">
    <w:abstractNumId w:val="160"/>
  </w:num>
  <w:num w:numId="5">
    <w:abstractNumId w:val="24"/>
  </w:num>
  <w:num w:numId="6">
    <w:abstractNumId w:val="258"/>
  </w:num>
  <w:num w:numId="7">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2"/>
  </w:num>
  <w:num w:numId="9">
    <w:abstractNumId w:val="217"/>
  </w:num>
  <w:num w:numId="10">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1"/>
  </w:num>
  <w:num w:numId="12">
    <w:abstractNumId w:val="95"/>
  </w:num>
  <w:num w:numId="13">
    <w:abstractNumId w:val="131"/>
  </w:num>
  <w:num w:numId="14">
    <w:abstractNumId w:val="187"/>
  </w:num>
  <w:num w:numId="15">
    <w:abstractNumId w:val="225"/>
  </w:num>
  <w:num w:numId="16">
    <w:abstractNumId w:val="43"/>
  </w:num>
  <w:num w:numId="17">
    <w:abstractNumId w:val="110"/>
  </w:num>
  <w:num w:numId="18">
    <w:abstractNumId w:val="205"/>
  </w:num>
  <w:num w:numId="19">
    <w:abstractNumId w:val="12"/>
  </w:num>
  <w:num w:numId="20">
    <w:abstractNumId w:val="264"/>
  </w:num>
  <w:num w:numId="21">
    <w:abstractNumId w:val="153"/>
  </w:num>
  <w:num w:numId="22">
    <w:abstractNumId w:val="2"/>
  </w:num>
  <w:num w:numId="23">
    <w:abstractNumId w:val="223"/>
  </w:num>
  <w:num w:numId="24">
    <w:abstractNumId w:val="24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7"/>
  </w:num>
  <w:num w:numId="32">
    <w:abstractNumId w:val="142"/>
  </w:num>
  <w:num w:numId="33">
    <w:abstractNumId w:val="122"/>
  </w:num>
  <w:num w:numId="34">
    <w:abstractNumId w:val="188"/>
  </w:num>
  <w:num w:numId="35">
    <w:abstractNumId w:val="208"/>
  </w:num>
  <w:num w:numId="36">
    <w:abstractNumId w:val="224"/>
  </w:num>
  <w:num w:numId="37">
    <w:abstractNumId w:val="185"/>
  </w:num>
  <w:num w:numId="38">
    <w:abstractNumId w:val="267"/>
  </w:num>
  <w:num w:numId="39">
    <w:abstractNumId w:val="34"/>
  </w:num>
  <w:num w:numId="4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7"/>
  </w:num>
  <w:num w:numId="42">
    <w:abstractNumId w:val="11"/>
  </w:num>
  <w:num w:numId="43">
    <w:abstractNumId w:val="39"/>
  </w:num>
  <w:num w:numId="44">
    <w:abstractNumId w:val="243"/>
  </w:num>
  <w:num w:numId="45">
    <w:abstractNumId w:val="232"/>
  </w:num>
  <w:num w:numId="46">
    <w:abstractNumId w:val="75"/>
  </w:num>
  <w:num w:numId="47">
    <w:abstractNumId w:val="58"/>
  </w:num>
  <w:num w:numId="48">
    <w:abstractNumId w:val="126"/>
  </w:num>
  <w:num w:numId="49">
    <w:abstractNumId w:val="82"/>
  </w:num>
  <w:num w:numId="50">
    <w:abstractNumId w:val="159"/>
  </w:num>
  <w:num w:numId="51">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8"/>
  </w:num>
  <w:num w:numId="53">
    <w:abstractNumId w:val="242"/>
  </w:num>
  <w:num w:numId="54">
    <w:abstractNumId w:val="78"/>
  </w:num>
  <w:num w:numId="55">
    <w:abstractNumId w:val="7"/>
  </w:num>
  <w:num w:numId="56">
    <w:abstractNumId w:val="221"/>
  </w:num>
  <w:num w:numId="57">
    <w:abstractNumId w:val="227"/>
  </w:num>
  <w:num w:numId="58">
    <w:abstractNumId w:val="28"/>
  </w:num>
  <w:num w:numId="59">
    <w:abstractNumId w:val="136"/>
  </w:num>
  <w:num w:numId="60">
    <w:abstractNumId w:val="192"/>
  </w:num>
  <w:num w:numId="61">
    <w:abstractNumId w:val="10"/>
  </w:num>
  <w:num w:numId="62">
    <w:abstractNumId w:val="70"/>
  </w:num>
  <w:num w:numId="63">
    <w:abstractNumId w:val="97"/>
  </w:num>
  <w:num w:numId="64">
    <w:abstractNumId w:val="116"/>
  </w:num>
  <w:num w:numId="65">
    <w:abstractNumId w:val="59"/>
  </w:num>
  <w:num w:numId="66">
    <w:abstractNumId w:val="55"/>
  </w:num>
  <w:num w:numId="67">
    <w:abstractNumId w:val="85"/>
  </w:num>
  <w:num w:numId="68">
    <w:abstractNumId w:val="246"/>
  </w:num>
  <w:num w:numId="69">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num>
  <w:num w:numId="71">
    <w:abstractNumId w:val="17"/>
  </w:num>
  <w:num w:numId="72">
    <w:abstractNumId w:val="93"/>
  </w:num>
  <w:num w:numId="73">
    <w:abstractNumId w:val="63"/>
  </w:num>
  <w:num w:numId="74">
    <w:abstractNumId w:val="230"/>
  </w:num>
  <w:num w:numId="75">
    <w:abstractNumId w:val="77"/>
  </w:num>
  <w:num w:numId="76">
    <w:abstractNumId w:val="206"/>
  </w:num>
  <w:num w:numId="77">
    <w:abstractNumId w:val="167"/>
  </w:num>
  <w:num w:numId="78">
    <w:abstractNumId w:val="125"/>
  </w:num>
  <w:num w:numId="79">
    <w:abstractNumId w:val="132"/>
  </w:num>
  <w:num w:numId="80">
    <w:abstractNumId w:val="163"/>
  </w:num>
  <w:num w:numId="81">
    <w:abstractNumId w:val="237"/>
  </w:num>
  <w:num w:numId="82">
    <w:abstractNumId w:val="155"/>
  </w:num>
  <w:num w:numId="83">
    <w:abstractNumId w:val="229"/>
  </w:num>
  <w:num w:numId="84">
    <w:abstractNumId w:val="88"/>
  </w:num>
  <w:num w:numId="85">
    <w:abstractNumId w:val="196"/>
  </w:num>
  <w:num w:numId="86">
    <w:abstractNumId w:val="15"/>
  </w:num>
  <w:num w:numId="87">
    <w:abstractNumId w:val="52"/>
  </w:num>
  <w:num w:numId="88">
    <w:abstractNumId w:val="179"/>
  </w:num>
  <w:num w:numId="89">
    <w:abstractNumId w:val="145"/>
  </w:num>
  <w:num w:numId="9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5"/>
  </w:num>
  <w:num w:numId="93">
    <w:abstractNumId w:val="210"/>
  </w:num>
  <w:num w:numId="94">
    <w:abstractNumId w:val="53"/>
  </w:num>
  <w:num w:numId="95">
    <w:abstractNumId w:val="184"/>
  </w:num>
  <w:num w:numId="96">
    <w:abstractNumId w:val="22"/>
  </w:num>
  <w:num w:numId="97">
    <w:abstractNumId w:val="152"/>
  </w:num>
  <w:num w:numId="98">
    <w:abstractNumId w:val="54"/>
  </w:num>
  <w:num w:numId="99">
    <w:abstractNumId w:val="73"/>
  </w:num>
  <w:num w:numId="100">
    <w:abstractNumId w:val="260"/>
  </w:num>
  <w:num w:numId="101">
    <w:abstractNumId w:val="33"/>
  </w:num>
  <w:num w:numId="102">
    <w:abstractNumId w:val="170"/>
  </w:num>
  <w:num w:numId="103">
    <w:abstractNumId w:val="247"/>
  </w:num>
  <w:num w:numId="104">
    <w:abstractNumId w:val="69"/>
  </w:num>
  <w:num w:numId="105">
    <w:abstractNumId w:val="65"/>
  </w:num>
  <w:num w:numId="106">
    <w:abstractNumId w:val="108"/>
  </w:num>
  <w:num w:numId="107">
    <w:abstractNumId w:val="119"/>
  </w:num>
  <w:num w:numId="108">
    <w:abstractNumId w:val="257"/>
  </w:num>
  <w:num w:numId="109">
    <w:abstractNumId w:val="107"/>
  </w:num>
  <w:num w:numId="110">
    <w:abstractNumId w:val="91"/>
  </w:num>
  <w:num w:numId="111">
    <w:abstractNumId w:val="64"/>
  </w:num>
  <w:num w:numId="112">
    <w:abstractNumId w:val="252"/>
  </w:num>
  <w:num w:numId="113">
    <w:abstractNumId w:val="138"/>
  </w:num>
  <w:num w:numId="114">
    <w:abstractNumId w:val="30"/>
  </w:num>
  <w:num w:numId="115">
    <w:abstractNumId w:val="5"/>
  </w:num>
  <w:num w:numId="116">
    <w:abstractNumId w:val="212"/>
  </w:num>
  <w:num w:numId="117">
    <w:abstractNumId w:val="83"/>
  </w:num>
  <w:num w:numId="118">
    <w:abstractNumId w:val="37"/>
  </w:num>
  <w:num w:numId="119">
    <w:abstractNumId w:val="127"/>
  </w:num>
  <w:num w:numId="120">
    <w:abstractNumId w:val="112"/>
  </w:num>
  <w:num w:numId="121">
    <w:abstractNumId w:val="151"/>
  </w:num>
  <w:num w:numId="122">
    <w:abstractNumId w:val="61"/>
  </w:num>
  <w:num w:numId="123">
    <w:abstractNumId w:val="68"/>
  </w:num>
  <w:num w:numId="124">
    <w:abstractNumId w:val="173"/>
  </w:num>
  <w:num w:numId="125">
    <w:abstractNumId w:val="194"/>
  </w:num>
  <w:num w:numId="126">
    <w:abstractNumId w:val="158"/>
  </w:num>
  <w:num w:numId="127">
    <w:abstractNumId w:val="80"/>
  </w:num>
  <w:num w:numId="128">
    <w:abstractNumId w:val="253"/>
  </w:num>
  <w:num w:numId="129">
    <w:abstractNumId w:val="191"/>
  </w:num>
  <w:num w:numId="130">
    <w:abstractNumId w:val="104"/>
  </w:num>
  <w:num w:numId="131">
    <w:abstractNumId w:val="249"/>
  </w:num>
  <w:num w:numId="132">
    <w:abstractNumId w:val="189"/>
  </w:num>
  <w:num w:numId="133">
    <w:abstractNumId w:val="36"/>
  </w:num>
  <w:num w:numId="134">
    <w:abstractNumId w:val="213"/>
  </w:num>
  <w:num w:numId="135">
    <w:abstractNumId w:val="67"/>
  </w:num>
  <w:num w:numId="136">
    <w:abstractNumId w:val="161"/>
  </w:num>
  <w:num w:numId="137">
    <w:abstractNumId w:val="197"/>
  </w:num>
  <w:num w:numId="138">
    <w:abstractNumId w:val="186"/>
  </w:num>
  <w:num w:numId="139">
    <w:abstractNumId w:val="200"/>
  </w:num>
  <w:num w:numId="140">
    <w:abstractNumId w:val="146"/>
  </w:num>
  <w:num w:numId="141">
    <w:abstractNumId w:val="86"/>
  </w:num>
  <w:num w:numId="142">
    <w:abstractNumId w:val="79"/>
  </w:num>
  <w:num w:numId="143">
    <w:abstractNumId w:val="81"/>
  </w:num>
  <w:num w:numId="144">
    <w:abstractNumId w:val="183"/>
  </w:num>
  <w:num w:numId="145">
    <w:abstractNumId w:val="84"/>
  </w:num>
  <w:num w:numId="146">
    <w:abstractNumId w:val="262"/>
  </w:num>
  <w:num w:numId="147">
    <w:abstractNumId w:val="19"/>
  </w:num>
  <w:num w:numId="148">
    <w:abstractNumId w:val="226"/>
  </w:num>
  <w:num w:numId="149">
    <w:abstractNumId w:val="29"/>
  </w:num>
  <w:num w:numId="150">
    <w:abstractNumId w:val="251"/>
  </w:num>
  <w:num w:numId="151">
    <w:abstractNumId w:val="269"/>
  </w:num>
  <w:num w:numId="152">
    <w:abstractNumId w:val="133"/>
  </w:num>
  <w:num w:numId="153">
    <w:abstractNumId w:val="41"/>
  </w:num>
  <w:num w:numId="154">
    <w:abstractNumId w:val="273"/>
  </w:num>
  <w:num w:numId="155">
    <w:abstractNumId w:val="211"/>
  </w:num>
  <w:num w:numId="156">
    <w:abstractNumId w:val="57"/>
  </w:num>
  <w:num w:numId="157">
    <w:abstractNumId w:val="92"/>
  </w:num>
  <w:num w:numId="158">
    <w:abstractNumId w:val="3"/>
  </w:num>
  <w:num w:numId="159">
    <w:abstractNumId w:val="120"/>
  </w:num>
  <w:num w:numId="160">
    <w:abstractNumId w:val="218"/>
  </w:num>
  <w:num w:numId="161">
    <w:abstractNumId w:val="139"/>
  </w:num>
  <w:num w:numId="162">
    <w:abstractNumId w:val="178"/>
  </w:num>
  <w:num w:numId="163">
    <w:abstractNumId w:val="241"/>
  </w:num>
  <w:num w:numId="164">
    <w:abstractNumId w:val="51"/>
  </w:num>
  <w:num w:numId="165">
    <w:abstractNumId w:val="255"/>
  </w:num>
  <w:num w:numId="166">
    <w:abstractNumId w:val="180"/>
  </w:num>
  <w:num w:numId="167">
    <w:abstractNumId w:val="268"/>
  </w:num>
  <w:num w:numId="168">
    <w:abstractNumId w:val="23"/>
  </w:num>
  <w:num w:numId="169">
    <w:abstractNumId w:val="169"/>
  </w:num>
  <w:num w:numId="170">
    <w:abstractNumId w:val="134"/>
  </w:num>
  <w:num w:numId="171">
    <w:abstractNumId w:val="143"/>
  </w:num>
  <w:num w:numId="172">
    <w:abstractNumId w:val="18"/>
  </w:num>
  <w:num w:numId="173">
    <w:abstractNumId w:val="162"/>
  </w:num>
  <w:num w:numId="174">
    <w:abstractNumId w:val="89"/>
  </w:num>
  <w:num w:numId="175">
    <w:abstractNumId w:val="263"/>
  </w:num>
  <w:num w:numId="176">
    <w:abstractNumId w:val="239"/>
  </w:num>
  <w:num w:numId="177">
    <w:abstractNumId w:val="202"/>
  </w:num>
  <w:num w:numId="178">
    <w:abstractNumId w:val="111"/>
  </w:num>
  <w:num w:numId="179">
    <w:abstractNumId w:val="193"/>
  </w:num>
  <w:num w:numId="180">
    <w:abstractNumId w:val="98"/>
  </w:num>
  <w:num w:numId="181">
    <w:abstractNumId w:val="60"/>
  </w:num>
  <w:num w:numId="182">
    <w:abstractNumId w:val="26"/>
  </w:num>
  <w:num w:numId="183">
    <w:abstractNumId w:val="123"/>
  </w:num>
  <w:num w:numId="184">
    <w:abstractNumId w:val="121"/>
  </w:num>
  <w:num w:numId="185">
    <w:abstractNumId w:val="190"/>
  </w:num>
  <w:num w:numId="186">
    <w:abstractNumId w:val="140"/>
  </w:num>
  <w:num w:numId="187">
    <w:abstractNumId w:val="141"/>
  </w:num>
  <w:num w:numId="188">
    <w:abstractNumId w:val="76"/>
  </w:num>
  <w:num w:numId="189">
    <w:abstractNumId w:val="47"/>
  </w:num>
  <w:num w:numId="190">
    <w:abstractNumId w:val="238"/>
  </w:num>
  <w:num w:numId="191">
    <w:abstractNumId w:val="8"/>
  </w:num>
  <w:num w:numId="192">
    <w:abstractNumId w:val="147"/>
  </w:num>
  <w:num w:numId="193">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71"/>
  </w:num>
  <w:num w:numId="198">
    <w:abstractNumId w:val="102"/>
  </w:num>
  <w:num w:numId="199">
    <w:abstractNumId w:val="35"/>
  </w:num>
  <w:num w:numId="200">
    <w:abstractNumId w:val="154"/>
  </w:num>
  <w:num w:numId="201">
    <w:abstractNumId w:val="66"/>
  </w:num>
  <w:num w:numId="202">
    <w:abstractNumId w:val="149"/>
  </w:num>
  <w:num w:numId="203">
    <w:abstractNumId w:val="90"/>
  </w:num>
  <w:num w:numId="204">
    <w:abstractNumId w:val="74"/>
  </w:num>
  <w:num w:numId="205">
    <w:abstractNumId w:val="254"/>
  </w:num>
  <w:num w:numId="206">
    <w:abstractNumId w:val="21"/>
  </w:num>
  <w:num w:numId="207">
    <w:abstractNumId w:val="49"/>
  </w:num>
  <w:num w:numId="208">
    <w:abstractNumId w:val="46"/>
  </w:num>
  <w:num w:numId="209">
    <w:abstractNumId w:val="168"/>
  </w:num>
  <w:num w:numId="210">
    <w:abstractNumId w:val="14"/>
  </w:num>
  <w:num w:numId="211">
    <w:abstractNumId w:val="175"/>
  </w:num>
  <w:num w:numId="212">
    <w:abstractNumId w:val="171"/>
  </w:num>
  <w:num w:numId="213">
    <w:abstractNumId w:val="31"/>
  </w:num>
  <w:num w:numId="214">
    <w:abstractNumId w:val="106"/>
  </w:num>
  <w:num w:numId="215">
    <w:abstractNumId w:val="270"/>
  </w:num>
  <w:num w:numId="216">
    <w:abstractNumId w:val="100"/>
  </w:num>
  <w:num w:numId="217">
    <w:abstractNumId w:val="271"/>
  </w:num>
  <w:num w:numId="218">
    <w:abstractNumId w:val="265"/>
  </w:num>
  <w:num w:numId="219">
    <w:abstractNumId w:val="27"/>
  </w:num>
  <w:num w:numId="220">
    <w:abstractNumId w:val="38"/>
  </w:num>
  <w:num w:numId="221">
    <w:abstractNumId w:val="256"/>
  </w:num>
  <w:num w:numId="222">
    <w:abstractNumId w:val="137"/>
  </w:num>
  <w:num w:numId="223">
    <w:abstractNumId w:val="105"/>
  </w:num>
  <w:num w:numId="224">
    <w:abstractNumId w:val="103"/>
  </w:num>
  <w:num w:numId="225">
    <w:abstractNumId w:val="62"/>
  </w:num>
  <w:num w:numId="226">
    <w:abstractNumId w:val="166"/>
  </w:num>
  <w:num w:numId="227">
    <w:abstractNumId w:val="236"/>
  </w:num>
  <w:num w:numId="228">
    <w:abstractNumId w:val="219"/>
  </w:num>
  <w:num w:numId="229">
    <w:abstractNumId w:val="129"/>
  </w:num>
  <w:num w:numId="230">
    <w:abstractNumId w:val="164"/>
  </w:num>
  <w:num w:numId="231">
    <w:abstractNumId w:val="172"/>
    <w:lvlOverride w:ilvl="0">
      <w:startOverride w:val="1"/>
    </w:lvlOverride>
  </w:num>
  <w:num w:numId="232">
    <w:abstractNumId w:val="174"/>
  </w:num>
  <w:num w:numId="233">
    <w:abstractNumId w:val="216"/>
  </w:num>
  <w:num w:numId="234">
    <w:abstractNumId w:val="216"/>
    <w:lvlOverride w:ilvl="0">
      <w:lvl w:ilvl="0" w:tplc="8778AB2C">
        <w:start w:val="1"/>
        <w:numFmt w:val="decimal"/>
        <w:pStyle w:val="CBD-Para-1"/>
        <w:lvlText w:val="%1."/>
        <w:lvlJc w:val="left"/>
        <w:pPr>
          <w:ind w:left="2149" w:hanging="360"/>
        </w:pPr>
        <w:rPr>
          <w:rFonts w:ascii="Times New Roman" w:hAnsi="Times New Roman" w:cs="Times New Roman" w:hint="default"/>
          <w:b w:val="0"/>
        </w:rPr>
      </w:lvl>
    </w:lvlOverride>
  </w:num>
  <w:num w:numId="235">
    <w:abstractNumId w:val="198"/>
  </w:num>
  <w:num w:numId="236">
    <w:abstractNumId w:val="233"/>
  </w:num>
  <w:num w:numId="237">
    <w:abstractNumId w:val="231"/>
  </w:num>
  <w:num w:numId="238">
    <w:abstractNumId w:val="207"/>
  </w:num>
  <w:num w:numId="23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240">
    <w:abstractNumId w:val="199"/>
  </w:num>
  <w:num w:numId="241">
    <w:abstractNumId w:val="176"/>
  </w:num>
  <w:num w:numId="242">
    <w:abstractNumId w:val="130"/>
  </w:num>
  <w:num w:numId="243">
    <w:abstractNumId w:val="72"/>
  </w:num>
  <w:num w:numId="24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24"/>
  </w:num>
  <w:num w:numId="24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65"/>
  </w:num>
  <w:num w:numId="248">
    <w:abstractNumId w:val="144"/>
  </w:num>
  <w:num w:numId="249">
    <w:abstractNumId w:val="87"/>
  </w:num>
  <w:num w:numId="250">
    <w:abstractNumId w:val="44"/>
  </w:num>
  <w:num w:numId="251">
    <w:abstractNumId w:val="101"/>
  </w:num>
  <w:num w:numId="252">
    <w:abstractNumId w:val="118"/>
  </w:num>
  <w:num w:numId="253">
    <w:abstractNumId w:val="215"/>
  </w:num>
  <w:num w:numId="254">
    <w:abstractNumId w:val="157"/>
  </w:num>
  <w:num w:numId="255">
    <w:abstractNumId w:val="214"/>
  </w:num>
  <w:num w:numId="256">
    <w:abstractNumId w:val="222"/>
  </w:num>
  <w:num w:numId="257">
    <w:abstractNumId w:val="6"/>
  </w:num>
  <w:num w:numId="258">
    <w:abstractNumId w:val="201"/>
  </w:num>
  <w:num w:numId="259">
    <w:abstractNumId w:val="266"/>
  </w:num>
  <w:num w:numId="260">
    <w:abstractNumId w:val="113"/>
  </w:num>
  <w:num w:numId="261">
    <w:abstractNumId w:val="48"/>
  </w:num>
  <w:num w:numId="262">
    <w:abstractNumId w:val="13"/>
  </w:num>
  <w:num w:numId="263">
    <w:abstractNumId w:val="250"/>
  </w:num>
  <w:num w:numId="264">
    <w:abstractNumId w:val="228"/>
  </w:num>
  <w:num w:numId="265">
    <w:abstractNumId w:val="272"/>
  </w:num>
  <w:num w:numId="266">
    <w:abstractNumId w:val="244"/>
  </w:num>
  <w:num w:numId="267">
    <w:abstractNumId w:val="45"/>
  </w:num>
  <w:num w:numId="268">
    <w:abstractNumId w:val="234"/>
  </w:num>
  <w:num w:numId="269">
    <w:abstractNumId w:val="99"/>
  </w:num>
  <w:num w:numId="270">
    <w:abstractNumId w:val="9"/>
  </w:num>
  <w:num w:numId="271">
    <w:abstractNumId w:val="94"/>
  </w:num>
  <w:num w:numId="272">
    <w:abstractNumId w:val="56"/>
  </w:num>
  <w:num w:numId="273">
    <w:abstractNumId w:val="182"/>
  </w:num>
  <w:num w:numId="274">
    <w:abstractNumId w:val="245"/>
  </w:num>
  <w:num w:numId="275">
    <w:abstractNumId w:val="172"/>
    <w:lvlOverride w:ilvl="0">
      <w:startOverride w:val="1"/>
      <w:lvl w:ilvl="0">
        <w:start w:val="1"/>
        <w:numFmt w:val="decimal"/>
        <w:lvlText w:val="%1."/>
        <w:lvlJc w:val="left"/>
        <w:pPr>
          <w:tabs>
            <w:tab w:val="num" w:pos="360"/>
          </w:tabs>
        </w:pPr>
        <w:rPr>
          <w:rFonts w:ascii="Times New Roman" w:hAnsi="Times New Roman" w:cs="Times New Roman" w:hint="default"/>
          <w:b w:val="0"/>
          <w:i w:val="0"/>
          <w:sz w:val="24"/>
          <w:szCs w:val="24"/>
        </w:rPr>
      </w:lvl>
    </w:lvlOverride>
    <w:lvlOverride w:ilvl="1">
      <w:startOverride w:val="6"/>
      <w:lvl w:ilvl="1">
        <w:start w:val="6"/>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276">
    <w:abstractNumId w:val="195"/>
  </w:num>
  <w:num w:numId="277">
    <w:abstractNumId w:val="16"/>
  </w:num>
  <w:num w:numId="278">
    <w:abstractNumId w:val="181"/>
  </w:num>
  <w:num w:numId="279">
    <w:abstractNumId w:val="114"/>
  </w:num>
  <w:num w:numId="280">
    <w:abstractNumId w:val="1"/>
  </w:num>
  <w:num w:numId="281">
    <w:abstractNumId w:val="203"/>
  </w:num>
  <w:num w:numId="282">
    <w:abstractNumId w:val="204"/>
  </w:num>
  <w:num w:numId="283">
    <w:abstractNumId w:val="96"/>
  </w:num>
  <w:num w:numId="284">
    <w:abstractNumId w:val="235"/>
  </w:num>
  <w:numIdMacAtCleanup w:val="2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78"/>
  <w:hideSpellingErrors/>
  <w:hideGrammaticalErrors/>
  <w:attachedTemplate r:id="rId1"/>
  <w:stylePaneFormatFilter w:val="3F01"/>
  <w:defaultTabStop w:val="720"/>
  <w:hyphenationZone w:val="425"/>
  <w:doNotHyphenateCaps/>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useFELayout/>
  </w:compat>
  <w:rsids>
    <w:rsidRoot w:val="002D43F1"/>
    <w:rsid w:val="0000004C"/>
    <w:rsid w:val="00000132"/>
    <w:rsid w:val="000002C0"/>
    <w:rsid w:val="00000457"/>
    <w:rsid w:val="000005F5"/>
    <w:rsid w:val="00000795"/>
    <w:rsid w:val="000010B4"/>
    <w:rsid w:val="00001769"/>
    <w:rsid w:val="00001C7C"/>
    <w:rsid w:val="0000241E"/>
    <w:rsid w:val="000029E1"/>
    <w:rsid w:val="00003A87"/>
    <w:rsid w:val="0000471F"/>
    <w:rsid w:val="000052A5"/>
    <w:rsid w:val="00005B4B"/>
    <w:rsid w:val="00006334"/>
    <w:rsid w:val="00006F27"/>
    <w:rsid w:val="000074A0"/>
    <w:rsid w:val="0000794C"/>
    <w:rsid w:val="00007B33"/>
    <w:rsid w:val="00007B84"/>
    <w:rsid w:val="00007DDA"/>
    <w:rsid w:val="0001044B"/>
    <w:rsid w:val="000106D3"/>
    <w:rsid w:val="0001083B"/>
    <w:rsid w:val="00010FF3"/>
    <w:rsid w:val="000116D1"/>
    <w:rsid w:val="00011877"/>
    <w:rsid w:val="00012048"/>
    <w:rsid w:val="00012BD1"/>
    <w:rsid w:val="000137DD"/>
    <w:rsid w:val="000140E9"/>
    <w:rsid w:val="00014751"/>
    <w:rsid w:val="00014780"/>
    <w:rsid w:val="0001482E"/>
    <w:rsid w:val="00014A75"/>
    <w:rsid w:val="00014B52"/>
    <w:rsid w:val="00014BA0"/>
    <w:rsid w:val="00014D58"/>
    <w:rsid w:val="00014F6B"/>
    <w:rsid w:val="000157C5"/>
    <w:rsid w:val="00016366"/>
    <w:rsid w:val="00016639"/>
    <w:rsid w:val="0001691B"/>
    <w:rsid w:val="000176F7"/>
    <w:rsid w:val="00020C10"/>
    <w:rsid w:val="00021A1B"/>
    <w:rsid w:val="00022242"/>
    <w:rsid w:val="00022303"/>
    <w:rsid w:val="0002238E"/>
    <w:rsid w:val="00023251"/>
    <w:rsid w:val="0002349B"/>
    <w:rsid w:val="0002419F"/>
    <w:rsid w:val="00024598"/>
    <w:rsid w:val="00024FDB"/>
    <w:rsid w:val="00025A06"/>
    <w:rsid w:val="00025EF4"/>
    <w:rsid w:val="00026971"/>
    <w:rsid w:val="00027468"/>
    <w:rsid w:val="00027E19"/>
    <w:rsid w:val="00027ECA"/>
    <w:rsid w:val="000304BC"/>
    <w:rsid w:val="000309D2"/>
    <w:rsid w:val="00030D19"/>
    <w:rsid w:val="000319D9"/>
    <w:rsid w:val="00031BF4"/>
    <w:rsid w:val="00032386"/>
    <w:rsid w:val="000339B3"/>
    <w:rsid w:val="00035247"/>
    <w:rsid w:val="00035640"/>
    <w:rsid w:val="00035A4A"/>
    <w:rsid w:val="00035BE9"/>
    <w:rsid w:val="00035F4A"/>
    <w:rsid w:val="00036602"/>
    <w:rsid w:val="00036A9C"/>
    <w:rsid w:val="00036AF6"/>
    <w:rsid w:val="0003705B"/>
    <w:rsid w:val="000401E0"/>
    <w:rsid w:val="000403C6"/>
    <w:rsid w:val="00040515"/>
    <w:rsid w:val="00040F80"/>
    <w:rsid w:val="000417F8"/>
    <w:rsid w:val="0004184E"/>
    <w:rsid w:val="00041FAB"/>
    <w:rsid w:val="000424FB"/>
    <w:rsid w:val="00042543"/>
    <w:rsid w:val="00042842"/>
    <w:rsid w:val="000428B2"/>
    <w:rsid w:val="00042A41"/>
    <w:rsid w:val="000431B3"/>
    <w:rsid w:val="00045A69"/>
    <w:rsid w:val="00046158"/>
    <w:rsid w:val="000467D4"/>
    <w:rsid w:val="000467D9"/>
    <w:rsid w:val="00046832"/>
    <w:rsid w:val="0004712A"/>
    <w:rsid w:val="00050D38"/>
    <w:rsid w:val="00050FC3"/>
    <w:rsid w:val="000512B3"/>
    <w:rsid w:val="00051ED3"/>
    <w:rsid w:val="000530A9"/>
    <w:rsid w:val="00053542"/>
    <w:rsid w:val="00053DD1"/>
    <w:rsid w:val="00054B5E"/>
    <w:rsid w:val="000563F9"/>
    <w:rsid w:val="00056835"/>
    <w:rsid w:val="00056968"/>
    <w:rsid w:val="0005769A"/>
    <w:rsid w:val="00057A84"/>
    <w:rsid w:val="00057D2D"/>
    <w:rsid w:val="000606E1"/>
    <w:rsid w:val="00060A98"/>
    <w:rsid w:val="00061DB8"/>
    <w:rsid w:val="00062734"/>
    <w:rsid w:val="0006282F"/>
    <w:rsid w:val="00063200"/>
    <w:rsid w:val="00063419"/>
    <w:rsid w:val="000635B6"/>
    <w:rsid w:val="0006391B"/>
    <w:rsid w:val="00063ACF"/>
    <w:rsid w:val="000644B6"/>
    <w:rsid w:val="0006454D"/>
    <w:rsid w:val="00064E75"/>
    <w:rsid w:val="00065B0F"/>
    <w:rsid w:val="00065BA4"/>
    <w:rsid w:val="00065E86"/>
    <w:rsid w:val="000661E9"/>
    <w:rsid w:val="00066C85"/>
    <w:rsid w:val="00066DEB"/>
    <w:rsid w:val="0006774F"/>
    <w:rsid w:val="00070AF8"/>
    <w:rsid w:val="00070EF7"/>
    <w:rsid w:val="0007108A"/>
    <w:rsid w:val="00071FD1"/>
    <w:rsid w:val="000722FA"/>
    <w:rsid w:val="00072C12"/>
    <w:rsid w:val="00072C8A"/>
    <w:rsid w:val="000739A0"/>
    <w:rsid w:val="00074A18"/>
    <w:rsid w:val="000760E8"/>
    <w:rsid w:val="00076D5F"/>
    <w:rsid w:val="00076DB3"/>
    <w:rsid w:val="000775FA"/>
    <w:rsid w:val="00077760"/>
    <w:rsid w:val="00077DE1"/>
    <w:rsid w:val="000805BD"/>
    <w:rsid w:val="000807F1"/>
    <w:rsid w:val="00080FB5"/>
    <w:rsid w:val="0008201D"/>
    <w:rsid w:val="000827CF"/>
    <w:rsid w:val="00082F14"/>
    <w:rsid w:val="00082F73"/>
    <w:rsid w:val="00082FC0"/>
    <w:rsid w:val="00083048"/>
    <w:rsid w:val="000836F9"/>
    <w:rsid w:val="000841DC"/>
    <w:rsid w:val="00084B39"/>
    <w:rsid w:val="00084DD2"/>
    <w:rsid w:val="00084FEF"/>
    <w:rsid w:val="000874CB"/>
    <w:rsid w:val="0008760E"/>
    <w:rsid w:val="00090246"/>
    <w:rsid w:val="00090478"/>
    <w:rsid w:val="0009096A"/>
    <w:rsid w:val="00091C8A"/>
    <w:rsid w:val="00091F5A"/>
    <w:rsid w:val="00092119"/>
    <w:rsid w:val="00092245"/>
    <w:rsid w:val="00093179"/>
    <w:rsid w:val="000932B0"/>
    <w:rsid w:val="00093547"/>
    <w:rsid w:val="00093629"/>
    <w:rsid w:val="00093667"/>
    <w:rsid w:val="00093B9F"/>
    <w:rsid w:val="00093DBC"/>
    <w:rsid w:val="00093DD5"/>
    <w:rsid w:val="0009473A"/>
    <w:rsid w:val="00094798"/>
    <w:rsid w:val="00094E94"/>
    <w:rsid w:val="0009517D"/>
    <w:rsid w:val="00095866"/>
    <w:rsid w:val="000A02D3"/>
    <w:rsid w:val="000A1131"/>
    <w:rsid w:val="000A13C1"/>
    <w:rsid w:val="000A197F"/>
    <w:rsid w:val="000A1A91"/>
    <w:rsid w:val="000A1AFE"/>
    <w:rsid w:val="000A1C87"/>
    <w:rsid w:val="000A2C72"/>
    <w:rsid w:val="000A38C3"/>
    <w:rsid w:val="000A3D26"/>
    <w:rsid w:val="000A4903"/>
    <w:rsid w:val="000A4FB0"/>
    <w:rsid w:val="000A698B"/>
    <w:rsid w:val="000A6F9D"/>
    <w:rsid w:val="000B02DF"/>
    <w:rsid w:val="000B1839"/>
    <w:rsid w:val="000B2279"/>
    <w:rsid w:val="000B29F9"/>
    <w:rsid w:val="000B2E6F"/>
    <w:rsid w:val="000B3633"/>
    <w:rsid w:val="000B39A0"/>
    <w:rsid w:val="000B3B0B"/>
    <w:rsid w:val="000B454C"/>
    <w:rsid w:val="000B527D"/>
    <w:rsid w:val="000B52B7"/>
    <w:rsid w:val="000B6510"/>
    <w:rsid w:val="000B761F"/>
    <w:rsid w:val="000B79FA"/>
    <w:rsid w:val="000B7C16"/>
    <w:rsid w:val="000B7E5A"/>
    <w:rsid w:val="000B7E9E"/>
    <w:rsid w:val="000B7ED2"/>
    <w:rsid w:val="000C0203"/>
    <w:rsid w:val="000C2B04"/>
    <w:rsid w:val="000C2EA4"/>
    <w:rsid w:val="000C3700"/>
    <w:rsid w:val="000C3E10"/>
    <w:rsid w:val="000C3F65"/>
    <w:rsid w:val="000C411A"/>
    <w:rsid w:val="000C565A"/>
    <w:rsid w:val="000C6210"/>
    <w:rsid w:val="000C6CC7"/>
    <w:rsid w:val="000C797E"/>
    <w:rsid w:val="000D1B40"/>
    <w:rsid w:val="000D2E2C"/>
    <w:rsid w:val="000D3CC5"/>
    <w:rsid w:val="000D4880"/>
    <w:rsid w:val="000D5784"/>
    <w:rsid w:val="000D61BD"/>
    <w:rsid w:val="000D672B"/>
    <w:rsid w:val="000D6B9A"/>
    <w:rsid w:val="000D7047"/>
    <w:rsid w:val="000D732E"/>
    <w:rsid w:val="000E00C2"/>
    <w:rsid w:val="000E08B0"/>
    <w:rsid w:val="000E093C"/>
    <w:rsid w:val="000E0C2D"/>
    <w:rsid w:val="000E2423"/>
    <w:rsid w:val="000E4306"/>
    <w:rsid w:val="000E468C"/>
    <w:rsid w:val="000E5040"/>
    <w:rsid w:val="000E54FA"/>
    <w:rsid w:val="000E5DC1"/>
    <w:rsid w:val="000E61EF"/>
    <w:rsid w:val="000E66D7"/>
    <w:rsid w:val="000E6788"/>
    <w:rsid w:val="000E6A1F"/>
    <w:rsid w:val="000E76EC"/>
    <w:rsid w:val="000F03DD"/>
    <w:rsid w:val="000F0B25"/>
    <w:rsid w:val="000F11B0"/>
    <w:rsid w:val="000F1A5B"/>
    <w:rsid w:val="000F1ED1"/>
    <w:rsid w:val="000F2071"/>
    <w:rsid w:val="000F20CA"/>
    <w:rsid w:val="000F26F9"/>
    <w:rsid w:val="000F2CD1"/>
    <w:rsid w:val="000F2DF5"/>
    <w:rsid w:val="000F32C5"/>
    <w:rsid w:val="000F379F"/>
    <w:rsid w:val="000F46D4"/>
    <w:rsid w:val="000F4CB1"/>
    <w:rsid w:val="000F4DA9"/>
    <w:rsid w:val="000F4EB5"/>
    <w:rsid w:val="000F6BF7"/>
    <w:rsid w:val="000F7615"/>
    <w:rsid w:val="001008A6"/>
    <w:rsid w:val="0010115D"/>
    <w:rsid w:val="00101394"/>
    <w:rsid w:val="00102039"/>
    <w:rsid w:val="00102B51"/>
    <w:rsid w:val="00102C6C"/>
    <w:rsid w:val="0010342E"/>
    <w:rsid w:val="00104569"/>
    <w:rsid w:val="00104738"/>
    <w:rsid w:val="001052F6"/>
    <w:rsid w:val="00105B82"/>
    <w:rsid w:val="001060AC"/>
    <w:rsid w:val="00106518"/>
    <w:rsid w:val="00106776"/>
    <w:rsid w:val="00106B4B"/>
    <w:rsid w:val="00106DA0"/>
    <w:rsid w:val="001106E0"/>
    <w:rsid w:val="001110C4"/>
    <w:rsid w:val="001122CC"/>
    <w:rsid w:val="00112482"/>
    <w:rsid w:val="00113AE4"/>
    <w:rsid w:val="0011438A"/>
    <w:rsid w:val="00114DFB"/>
    <w:rsid w:val="001152C0"/>
    <w:rsid w:val="00115454"/>
    <w:rsid w:val="0011679C"/>
    <w:rsid w:val="00116A18"/>
    <w:rsid w:val="00116C11"/>
    <w:rsid w:val="00117430"/>
    <w:rsid w:val="001175E9"/>
    <w:rsid w:val="001175F4"/>
    <w:rsid w:val="001177B2"/>
    <w:rsid w:val="001200AB"/>
    <w:rsid w:val="00120440"/>
    <w:rsid w:val="001222A1"/>
    <w:rsid w:val="00122DD4"/>
    <w:rsid w:val="00123159"/>
    <w:rsid w:val="001231FC"/>
    <w:rsid w:val="0012417D"/>
    <w:rsid w:val="001241DB"/>
    <w:rsid w:val="00125017"/>
    <w:rsid w:val="0012689B"/>
    <w:rsid w:val="00127207"/>
    <w:rsid w:val="00127A4E"/>
    <w:rsid w:val="001308BF"/>
    <w:rsid w:val="00130964"/>
    <w:rsid w:val="0013226C"/>
    <w:rsid w:val="00132A44"/>
    <w:rsid w:val="00132BAE"/>
    <w:rsid w:val="001332A8"/>
    <w:rsid w:val="00134044"/>
    <w:rsid w:val="00134129"/>
    <w:rsid w:val="00134735"/>
    <w:rsid w:val="001349A0"/>
    <w:rsid w:val="00136A5E"/>
    <w:rsid w:val="0013762C"/>
    <w:rsid w:val="00137F38"/>
    <w:rsid w:val="001402EB"/>
    <w:rsid w:val="001406A9"/>
    <w:rsid w:val="00141E7D"/>
    <w:rsid w:val="00142D79"/>
    <w:rsid w:val="00143241"/>
    <w:rsid w:val="00143476"/>
    <w:rsid w:val="00144046"/>
    <w:rsid w:val="001447A9"/>
    <w:rsid w:val="00144C5E"/>
    <w:rsid w:val="00146037"/>
    <w:rsid w:val="00146B7F"/>
    <w:rsid w:val="00146F1D"/>
    <w:rsid w:val="001501A6"/>
    <w:rsid w:val="001505B7"/>
    <w:rsid w:val="0015061D"/>
    <w:rsid w:val="00150F2D"/>
    <w:rsid w:val="00151B0B"/>
    <w:rsid w:val="00151B4B"/>
    <w:rsid w:val="00152AD7"/>
    <w:rsid w:val="00153219"/>
    <w:rsid w:val="00153440"/>
    <w:rsid w:val="001536BE"/>
    <w:rsid w:val="00153DD7"/>
    <w:rsid w:val="00154506"/>
    <w:rsid w:val="00155717"/>
    <w:rsid w:val="00156D5F"/>
    <w:rsid w:val="00157A0B"/>
    <w:rsid w:val="00157F0A"/>
    <w:rsid w:val="001604B5"/>
    <w:rsid w:val="001608C7"/>
    <w:rsid w:val="001624B2"/>
    <w:rsid w:val="0016272B"/>
    <w:rsid w:val="00162864"/>
    <w:rsid w:val="00162E53"/>
    <w:rsid w:val="001630D5"/>
    <w:rsid w:val="00163944"/>
    <w:rsid w:val="00163C5E"/>
    <w:rsid w:val="00164011"/>
    <w:rsid w:val="001644E1"/>
    <w:rsid w:val="0016486F"/>
    <w:rsid w:val="00164952"/>
    <w:rsid w:val="001663F5"/>
    <w:rsid w:val="001665C6"/>
    <w:rsid w:val="00166CF1"/>
    <w:rsid w:val="00166D58"/>
    <w:rsid w:val="0016710C"/>
    <w:rsid w:val="001673D9"/>
    <w:rsid w:val="00171125"/>
    <w:rsid w:val="00171221"/>
    <w:rsid w:val="00171BD0"/>
    <w:rsid w:val="00172086"/>
    <w:rsid w:val="001720CE"/>
    <w:rsid w:val="001722B2"/>
    <w:rsid w:val="00172A78"/>
    <w:rsid w:val="00172F99"/>
    <w:rsid w:val="00173701"/>
    <w:rsid w:val="00175759"/>
    <w:rsid w:val="00175CE1"/>
    <w:rsid w:val="0017696A"/>
    <w:rsid w:val="00176E12"/>
    <w:rsid w:val="00176EA7"/>
    <w:rsid w:val="00177A95"/>
    <w:rsid w:val="00177B62"/>
    <w:rsid w:val="001805CB"/>
    <w:rsid w:val="00180952"/>
    <w:rsid w:val="001814B4"/>
    <w:rsid w:val="00181C1F"/>
    <w:rsid w:val="00182D3E"/>
    <w:rsid w:val="001834D6"/>
    <w:rsid w:val="0018413E"/>
    <w:rsid w:val="001855D0"/>
    <w:rsid w:val="00185EF5"/>
    <w:rsid w:val="00187266"/>
    <w:rsid w:val="001875A2"/>
    <w:rsid w:val="00187DA0"/>
    <w:rsid w:val="00190754"/>
    <w:rsid w:val="00191BC3"/>
    <w:rsid w:val="001923D8"/>
    <w:rsid w:val="001928CA"/>
    <w:rsid w:val="00194305"/>
    <w:rsid w:val="001945F1"/>
    <w:rsid w:val="00194A89"/>
    <w:rsid w:val="0019582B"/>
    <w:rsid w:val="00197620"/>
    <w:rsid w:val="001A007D"/>
    <w:rsid w:val="001A1ADF"/>
    <w:rsid w:val="001A1B41"/>
    <w:rsid w:val="001A1F49"/>
    <w:rsid w:val="001A26AA"/>
    <w:rsid w:val="001A2AC9"/>
    <w:rsid w:val="001A4201"/>
    <w:rsid w:val="001A42F8"/>
    <w:rsid w:val="001A4C12"/>
    <w:rsid w:val="001A508F"/>
    <w:rsid w:val="001A540A"/>
    <w:rsid w:val="001A57D5"/>
    <w:rsid w:val="001A5C35"/>
    <w:rsid w:val="001A5D35"/>
    <w:rsid w:val="001A64AC"/>
    <w:rsid w:val="001A6EDC"/>
    <w:rsid w:val="001A7303"/>
    <w:rsid w:val="001A744A"/>
    <w:rsid w:val="001A7820"/>
    <w:rsid w:val="001A7C46"/>
    <w:rsid w:val="001B0251"/>
    <w:rsid w:val="001B2E16"/>
    <w:rsid w:val="001B3526"/>
    <w:rsid w:val="001B468E"/>
    <w:rsid w:val="001B59D1"/>
    <w:rsid w:val="001B78FF"/>
    <w:rsid w:val="001B7BA1"/>
    <w:rsid w:val="001B7D42"/>
    <w:rsid w:val="001C0243"/>
    <w:rsid w:val="001C0FF4"/>
    <w:rsid w:val="001C19C0"/>
    <w:rsid w:val="001C2F46"/>
    <w:rsid w:val="001C3E31"/>
    <w:rsid w:val="001C446B"/>
    <w:rsid w:val="001C4C85"/>
    <w:rsid w:val="001C51E4"/>
    <w:rsid w:val="001C5AEF"/>
    <w:rsid w:val="001C6021"/>
    <w:rsid w:val="001C67AD"/>
    <w:rsid w:val="001C7BDB"/>
    <w:rsid w:val="001D0364"/>
    <w:rsid w:val="001D18C3"/>
    <w:rsid w:val="001D1FE4"/>
    <w:rsid w:val="001D2556"/>
    <w:rsid w:val="001D2594"/>
    <w:rsid w:val="001D28BB"/>
    <w:rsid w:val="001D2950"/>
    <w:rsid w:val="001D33AF"/>
    <w:rsid w:val="001D4008"/>
    <w:rsid w:val="001D40C2"/>
    <w:rsid w:val="001D42AA"/>
    <w:rsid w:val="001D44B6"/>
    <w:rsid w:val="001D4671"/>
    <w:rsid w:val="001D512C"/>
    <w:rsid w:val="001D5258"/>
    <w:rsid w:val="001D5957"/>
    <w:rsid w:val="001D5FD7"/>
    <w:rsid w:val="001D61EC"/>
    <w:rsid w:val="001D6510"/>
    <w:rsid w:val="001D7014"/>
    <w:rsid w:val="001D7792"/>
    <w:rsid w:val="001D7DA7"/>
    <w:rsid w:val="001E0C32"/>
    <w:rsid w:val="001E0F33"/>
    <w:rsid w:val="001E119E"/>
    <w:rsid w:val="001E16BA"/>
    <w:rsid w:val="001E1C0A"/>
    <w:rsid w:val="001E268D"/>
    <w:rsid w:val="001E2CF0"/>
    <w:rsid w:val="001E3250"/>
    <w:rsid w:val="001E34ED"/>
    <w:rsid w:val="001E3CEA"/>
    <w:rsid w:val="001E3E29"/>
    <w:rsid w:val="001E508D"/>
    <w:rsid w:val="001E5242"/>
    <w:rsid w:val="001E548B"/>
    <w:rsid w:val="001E5526"/>
    <w:rsid w:val="001E55E7"/>
    <w:rsid w:val="001E5795"/>
    <w:rsid w:val="001E5B78"/>
    <w:rsid w:val="001E696E"/>
    <w:rsid w:val="001E6973"/>
    <w:rsid w:val="001E70ED"/>
    <w:rsid w:val="001F0D69"/>
    <w:rsid w:val="001F0D87"/>
    <w:rsid w:val="001F0ECD"/>
    <w:rsid w:val="001F1059"/>
    <w:rsid w:val="001F12B6"/>
    <w:rsid w:val="001F1431"/>
    <w:rsid w:val="001F16FA"/>
    <w:rsid w:val="001F17AA"/>
    <w:rsid w:val="001F1AAC"/>
    <w:rsid w:val="001F1B68"/>
    <w:rsid w:val="001F1C25"/>
    <w:rsid w:val="001F47BE"/>
    <w:rsid w:val="001F49DF"/>
    <w:rsid w:val="001F4CB9"/>
    <w:rsid w:val="001F4EB4"/>
    <w:rsid w:val="001F59AC"/>
    <w:rsid w:val="001F7FD6"/>
    <w:rsid w:val="0020065A"/>
    <w:rsid w:val="002009F5"/>
    <w:rsid w:val="00200B10"/>
    <w:rsid w:val="0020206D"/>
    <w:rsid w:val="00202E04"/>
    <w:rsid w:val="002031A4"/>
    <w:rsid w:val="00203B0D"/>
    <w:rsid w:val="00203C4A"/>
    <w:rsid w:val="0020406B"/>
    <w:rsid w:val="00204793"/>
    <w:rsid w:val="00205297"/>
    <w:rsid w:val="00206436"/>
    <w:rsid w:val="002067BD"/>
    <w:rsid w:val="002069EE"/>
    <w:rsid w:val="002078B4"/>
    <w:rsid w:val="002079A3"/>
    <w:rsid w:val="002106A5"/>
    <w:rsid w:val="0021179F"/>
    <w:rsid w:val="00211878"/>
    <w:rsid w:val="00211FDE"/>
    <w:rsid w:val="0021310D"/>
    <w:rsid w:val="002131CC"/>
    <w:rsid w:val="002132A5"/>
    <w:rsid w:val="00213F30"/>
    <w:rsid w:val="00214035"/>
    <w:rsid w:val="00214B75"/>
    <w:rsid w:val="00214D61"/>
    <w:rsid w:val="00215B5F"/>
    <w:rsid w:val="00215E3B"/>
    <w:rsid w:val="00216059"/>
    <w:rsid w:val="002160EC"/>
    <w:rsid w:val="002166B7"/>
    <w:rsid w:val="00216BE8"/>
    <w:rsid w:val="00216DF3"/>
    <w:rsid w:val="002175F7"/>
    <w:rsid w:val="002179C0"/>
    <w:rsid w:val="00220F3E"/>
    <w:rsid w:val="002213F4"/>
    <w:rsid w:val="00221740"/>
    <w:rsid w:val="002225C0"/>
    <w:rsid w:val="00222B3F"/>
    <w:rsid w:val="00223C8C"/>
    <w:rsid w:val="00223ECD"/>
    <w:rsid w:val="0022777A"/>
    <w:rsid w:val="00227C07"/>
    <w:rsid w:val="002315F5"/>
    <w:rsid w:val="00232023"/>
    <w:rsid w:val="002322AA"/>
    <w:rsid w:val="0023254B"/>
    <w:rsid w:val="00232853"/>
    <w:rsid w:val="00233487"/>
    <w:rsid w:val="002336E2"/>
    <w:rsid w:val="00233A95"/>
    <w:rsid w:val="0023446D"/>
    <w:rsid w:val="00234918"/>
    <w:rsid w:val="00234FCC"/>
    <w:rsid w:val="00235140"/>
    <w:rsid w:val="00235A1A"/>
    <w:rsid w:val="00235DC0"/>
    <w:rsid w:val="00235E3B"/>
    <w:rsid w:val="00235EF3"/>
    <w:rsid w:val="002365F9"/>
    <w:rsid w:val="00236715"/>
    <w:rsid w:val="00237865"/>
    <w:rsid w:val="0024121F"/>
    <w:rsid w:val="0024131B"/>
    <w:rsid w:val="00243A1E"/>
    <w:rsid w:val="00243B28"/>
    <w:rsid w:val="00244488"/>
    <w:rsid w:val="00244B72"/>
    <w:rsid w:val="00245087"/>
    <w:rsid w:val="00246865"/>
    <w:rsid w:val="00246A48"/>
    <w:rsid w:val="00246E2C"/>
    <w:rsid w:val="00247477"/>
    <w:rsid w:val="002474E8"/>
    <w:rsid w:val="00250168"/>
    <w:rsid w:val="002506B6"/>
    <w:rsid w:val="00251DDD"/>
    <w:rsid w:val="002521A2"/>
    <w:rsid w:val="00252405"/>
    <w:rsid w:val="00252E82"/>
    <w:rsid w:val="00253FDB"/>
    <w:rsid w:val="00254C13"/>
    <w:rsid w:val="002558C7"/>
    <w:rsid w:val="00255BDF"/>
    <w:rsid w:val="0025634A"/>
    <w:rsid w:val="0026061D"/>
    <w:rsid w:val="00260F6B"/>
    <w:rsid w:val="00261969"/>
    <w:rsid w:val="00261D87"/>
    <w:rsid w:val="00262328"/>
    <w:rsid w:val="0026274A"/>
    <w:rsid w:val="00262F4F"/>
    <w:rsid w:val="00263FE7"/>
    <w:rsid w:val="00264191"/>
    <w:rsid w:val="00264946"/>
    <w:rsid w:val="002650E3"/>
    <w:rsid w:val="0026566A"/>
    <w:rsid w:val="0026790D"/>
    <w:rsid w:val="00270426"/>
    <w:rsid w:val="00270C1F"/>
    <w:rsid w:val="00271979"/>
    <w:rsid w:val="00271D00"/>
    <w:rsid w:val="00271FD4"/>
    <w:rsid w:val="0027216E"/>
    <w:rsid w:val="00272E9F"/>
    <w:rsid w:val="00274945"/>
    <w:rsid w:val="0027494D"/>
    <w:rsid w:val="00275674"/>
    <w:rsid w:val="00275AF6"/>
    <w:rsid w:val="002768B1"/>
    <w:rsid w:val="00277BCB"/>
    <w:rsid w:val="00277E72"/>
    <w:rsid w:val="00280722"/>
    <w:rsid w:val="00282031"/>
    <w:rsid w:val="002825F5"/>
    <w:rsid w:val="002826EE"/>
    <w:rsid w:val="00282B23"/>
    <w:rsid w:val="00282BB4"/>
    <w:rsid w:val="00282D77"/>
    <w:rsid w:val="00283177"/>
    <w:rsid w:val="0028393D"/>
    <w:rsid w:val="002844A6"/>
    <w:rsid w:val="00285D2E"/>
    <w:rsid w:val="002873D5"/>
    <w:rsid w:val="00287F60"/>
    <w:rsid w:val="00290F3C"/>
    <w:rsid w:val="002913D2"/>
    <w:rsid w:val="00292D5B"/>
    <w:rsid w:val="00293192"/>
    <w:rsid w:val="00293913"/>
    <w:rsid w:val="00293A1D"/>
    <w:rsid w:val="00293E7C"/>
    <w:rsid w:val="00293EC1"/>
    <w:rsid w:val="002948F8"/>
    <w:rsid w:val="00295750"/>
    <w:rsid w:val="002959ED"/>
    <w:rsid w:val="00295B18"/>
    <w:rsid w:val="00295FC5"/>
    <w:rsid w:val="002960C6"/>
    <w:rsid w:val="002966F9"/>
    <w:rsid w:val="002968D8"/>
    <w:rsid w:val="00296ADC"/>
    <w:rsid w:val="00297FA9"/>
    <w:rsid w:val="002A0230"/>
    <w:rsid w:val="002A05D9"/>
    <w:rsid w:val="002A0DEA"/>
    <w:rsid w:val="002A13D5"/>
    <w:rsid w:val="002A17E5"/>
    <w:rsid w:val="002A2E8B"/>
    <w:rsid w:val="002A3473"/>
    <w:rsid w:val="002A3677"/>
    <w:rsid w:val="002A3772"/>
    <w:rsid w:val="002A38D8"/>
    <w:rsid w:val="002A3F76"/>
    <w:rsid w:val="002A473C"/>
    <w:rsid w:val="002A4A99"/>
    <w:rsid w:val="002A4E97"/>
    <w:rsid w:val="002A5495"/>
    <w:rsid w:val="002A57D1"/>
    <w:rsid w:val="002A6097"/>
    <w:rsid w:val="002A60D5"/>
    <w:rsid w:val="002A688E"/>
    <w:rsid w:val="002B1665"/>
    <w:rsid w:val="002B1719"/>
    <w:rsid w:val="002B1B5D"/>
    <w:rsid w:val="002B2941"/>
    <w:rsid w:val="002B3055"/>
    <w:rsid w:val="002B30EE"/>
    <w:rsid w:val="002B341D"/>
    <w:rsid w:val="002B5176"/>
    <w:rsid w:val="002B5885"/>
    <w:rsid w:val="002B64E8"/>
    <w:rsid w:val="002B74E5"/>
    <w:rsid w:val="002C071A"/>
    <w:rsid w:val="002C0C4B"/>
    <w:rsid w:val="002C1166"/>
    <w:rsid w:val="002C17EB"/>
    <w:rsid w:val="002C1954"/>
    <w:rsid w:val="002C1B03"/>
    <w:rsid w:val="002C1E18"/>
    <w:rsid w:val="002C2546"/>
    <w:rsid w:val="002C34C5"/>
    <w:rsid w:val="002C3563"/>
    <w:rsid w:val="002C4358"/>
    <w:rsid w:val="002C4956"/>
    <w:rsid w:val="002C4FBC"/>
    <w:rsid w:val="002C51FE"/>
    <w:rsid w:val="002C6098"/>
    <w:rsid w:val="002C68E3"/>
    <w:rsid w:val="002C6A65"/>
    <w:rsid w:val="002C6CBA"/>
    <w:rsid w:val="002C7520"/>
    <w:rsid w:val="002C779E"/>
    <w:rsid w:val="002C7881"/>
    <w:rsid w:val="002D0B91"/>
    <w:rsid w:val="002D0CEE"/>
    <w:rsid w:val="002D1290"/>
    <w:rsid w:val="002D13A3"/>
    <w:rsid w:val="002D1920"/>
    <w:rsid w:val="002D1B9D"/>
    <w:rsid w:val="002D2701"/>
    <w:rsid w:val="002D2979"/>
    <w:rsid w:val="002D2DC8"/>
    <w:rsid w:val="002D379A"/>
    <w:rsid w:val="002D3B71"/>
    <w:rsid w:val="002D42B6"/>
    <w:rsid w:val="002D42FD"/>
    <w:rsid w:val="002D43F1"/>
    <w:rsid w:val="002D44E7"/>
    <w:rsid w:val="002D5366"/>
    <w:rsid w:val="002D53D3"/>
    <w:rsid w:val="002D54D7"/>
    <w:rsid w:val="002D578A"/>
    <w:rsid w:val="002D77B4"/>
    <w:rsid w:val="002E01AE"/>
    <w:rsid w:val="002E01FA"/>
    <w:rsid w:val="002E0384"/>
    <w:rsid w:val="002E0E4E"/>
    <w:rsid w:val="002E0F79"/>
    <w:rsid w:val="002E1E01"/>
    <w:rsid w:val="002E24CC"/>
    <w:rsid w:val="002E30EE"/>
    <w:rsid w:val="002E33BA"/>
    <w:rsid w:val="002E3AF8"/>
    <w:rsid w:val="002E3FFE"/>
    <w:rsid w:val="002E46F8"/>
    <w:rsid w:val="002E533A"/>
    <w:rsid w:val="002E6B29"/>
    <w:rsid w:val="002E6F34"/>
    <w:rsid w:val="002E7062"/>
    <w:rsid w:val="002E76D6"/>
    <w:rsid w:val="002E7E05"/>
    <w:rsid w:val="002F1558"/>
    <w:rsid w:val="002F2A24"/>
    <w:rsid w:val="002F2A29"/>
    <w:rsid w:val="002F2C2A"/>
    <w:rsid w:val="002F30E6"/>
    <w:rsid w:val="002F33C3"/>
    <w:rsid w:val="002F343C"/>
    <w:rsid w:val="002F3446"/>
    <w:rsid w:val="002F346F"/>
    <w:rsid w:val="002F3499"/>
    <w:rsid w:val="002F3D6F"/>
    <w:rsid w:val="002F43C7"/>
    <w:rsid w:val="002F45A5"/>
    <w:rsid w:val="002F5023"/>
    <w:rsid w:val="002F518C"/>
    <w:rsid w:val="002F5754"/>
    <w:rsid w:val="002F582C"/>
    <w:rsid w:val="002F5D8B"/>
    <w:rsid w:val="002F6521"/>
    <w:rsid w:val="002F66B2"/>
    <w:rsid w:val="002F75AE"/>
    <w:rsid w:val="003005C5"/>
    <w:rsid w:val="0030068D"/>
    <w:rsid w:val="0030151F"/>
    <w:rsid w:val="00301AE4"/>
    <w:rsid w:val="003030C4"/>
    <w:rsid w:val="00303250"/>
    <w:rsid w:val="00303AB7"/>
    <w:rsid w:val="00303DB3"/>
    <w:rsid w:val="00303EE5"/>
    <w:rsid w:val="00305669"/>
    <w:rsid w:val="00305E53"/>
    <w:rsid w:val="003064E8"/>
    <w:rsid w:val="00306BFA"/>
    <w:rsid w:val="00306E0D"/>
    <w:rsid w:val="00306F3A"/>
    <w:rsid w:val="00307500"/>
    <w:rsid w:val="00310496"/>
    <w:rsid w:val="00311396"/>
    <w:rsid w:val="00311732"/>
    <w:rsid w:val="00311EF1"/>
    <w:rsid w:val="0031277A"/>
    <w:rsid w:val="00313192"/>
    <w:rsid w:val="003131D5"/>
    <w:rsid w:val="003135E7"/>
    <w:rsid w:val="00313D70"/>
    <w:rsid w:val="00314EDD"/>
    <w:rsid w:val="00314EE8"/>
    <w:rsid w:val="003150AF"/>
    <w:rsid w:val="00315DB9"/>
    <w:rsid w:val="00316B53"/>
    <w:rsid w:val="003214EA"/>
    <w:rsid w:val="00322897"/>
    <w:rsid w:val="00322ECB"/>
    <w:rsid w:val="00322F7D"/>
    <w:rsid w:val="003234B1"/>
    <w:rsid w:val="00323887"/>
    <w:rsid w:val="00324907"/>
    <w:rsid w:val="0032501A"/>
    <w:rsid w:val="0032577A"/>
    <w:rsid w:val="00325FF0"/>
    <w:rsid w:val="003265DB"/>
    <w:rsid w:val="003265E7"/>
    <w:rsid w:val="0032660C"/>
    <w:rsid w:val="00326A2C"/>
    <w:rsid w:val="00326B7C"/>
    <w:rsid w:val="0032740B"/>
    <w:rsid w:val="00327A34"/>
    <w:rsid w:val="00327F33"/>
    <w:rsid w:val="003300F4"/>
    <w:rsid w:val="00330B53"/>
    <w:rsid w:val="0033112E"/>
    <w:rsid w:val="00332D31"/>
    <w:rsid w:val="00333443"/>
    <w:rsid w:val="003339A8"/>
    <w:rsid w:val="00333ABE"/>
    <w:rsid w:val="0033470B"/>
    <w:rsid w:val="003351EB"/>
    <w:rsid w:val="00336082"/>
    <w:rsid w:val="00336C68"/>
    <w:rsid w:val="00337259"/>
    <w:rsid w:val="0033731A"/>
    <w:rsid w:val="00337665"/>
    <w:rsid w:val="003376F1"/>
    <w:rsid w:val="003377BF"/>
    <w:rsid w:val="00337FDB"/>
    <w:rsid w:val="00340D34"/>
    <w:rsid w:val="00340E1F"/>
    <w:rsid w:val="003416EB"/>
    <w:rsid w:val="003421BF"/>
    <w:rsid w:val="0034245E"/>
    <w:rsid w:val="00342E2F"/>
    <w:rsid w:val="00342E36"/>
    <w:rsid w:val="003452EE"/>
    <w:rsid w:val="00345684"/>
    <w:rsid w:val="00345B5F"/>
    <w:rsid w:val="00345E5E"/>
    <w:rsid w:val="00346263"/>
    <w:rsid w:val="0034639A"/>
    <w:rsid w:val="00346677"/>
    <w:rsid w:val="003475E1"/>
    <w:rsid w:val="003476A3"/>
    <w:rsid w:val="003478C8"/>
    <w:rsid w:val="00347A93"/>
    <w:rsid w:val="0035061A"/>
    <w:rsid w:val="00351DD7"/>
    <w:rsid w:val="00352465"/>
    <w:rsid w:val="00353068"/>
    <w:rsid w:val="003532A2"/>
    <w:rsid w:val="003533A8"/>
    <w:rsid w:val="003535B9"/>
    <w:rsid w:val="00353F85"/>
    <w:rsid w:val="00355512"/>
    <w:rsid w:val="00355D6A"/>
    <w:rsid w:val="00355E4C"/>
    <w:rsid w:val="0035613C"/>
    <w:rsid w:val="003568B8"/>
    <w:rsid w:val="00356BD2"/>
    <w:rsid w:val="00357588"/>
    <w:rsid w:val="003577D1"/>
    <w:rsid w:val="00357C5D"/>
    <w:rsid w:val="00361494"/>
    <w:rsid w:val="003615F8"/>
    <w:rsid w:val="003616F3"/>
    <w:rsid w:val="003624D7"/>
    <w:rsid w:val="0036267C"/>
    <w:rsid w:val="00363A11"/>
    <w:rsid w:val="00363EAE"/>
    <w:rsid w:val="00364650"/>
    <w:rsid w:val="00366699"/>
    <w:rsid w:val="00366C52"/>
    <w:rsid w:val="00366D37"/>
    <w:rsid w:val="0036781E"/>
    <w:rsid w:val="003702B1"/>
    <w:rsid w:val="0037055F"/>
    <w:rsid w:val="003707E4"/>
    <w:rsid w:val="00370D8E"/>
    <w:rsid w:val="003713F6"/>
    <w:rsid w:val="00371EAE"/>
    <w:rsid w:val="00372648"/>
    <w:rsid w:val="0037297F"/>
    <w:rsid w:val="0037372A"/>
    <w:rsid w:val="0037388B"/>
    <w:rsid w:val="00373F4B"/>
    <w:rsid w:val="00373FA1"/>
    <w:rsid w:val="0037405F"/>
    <w:rsid w:val="003742A3"/>
    <w:rsid w:val="00374534"/>
    <w:rsid w:val="00374F12"/>
    <w:rsid w:val="00375331"/>
    <w:rsid w:val="00375FE8"/>
    <w:rsid w:val="0037653E"/>
    <w:rsid w:val="00377208"/>
    <w:rsid w:val="00380788"/>
    <w:rsid w:val="0038098A"/>
    <w:rsid w:val="003810CD"/>
    <w:rsid w:val="003816DB"/>
    <w:rsid w:val="00382C1D"/>
    <w:rsid w:val="00382DE3"/>
    <w:rsid w:val="00382EDB"/>
    <w:rsid w:val="00383DFC"/>
    <w:rsid w:val="00384271"/>
    <w:rsid w:val="00386E20"/>
    <w:rsid w:val="003872F9"/>
    <w:rsid w:val="00387816"/>
    <w:rsid w:val="00387989"/>
    <w:rsid w:val="00387EA1"/>
    <w:rsid w:val="003900B9"/>
    <w:rsid w:val="003905D4"/>
    <w:rsid w:val="0039124F"/>
    <w:rsid w:val="00391E89"/>
    <w:rsid w:val="00393EFE"/>
    <w:rsid w:val="0039428D"/>
    <w:rsid w:val="0039444B"/>
    <w:rsid w:val="003945D0"/>
    <w:rsid w:val="00395477"/>
    <w:rsid w:val="00395526"/>
    <w:rsid w:val="00395594"/>
    <w:rsid w:val="003955CD"/>
    <w:rsid w:val="00395812"/>
    <w:rsid w:val="00395E4E"/>
    <w:rsid w:val="003960EF"/>
    <w:rsid w:val="0039706B"/>
    <w:rsid w:val="00397444"/>
    <w:rsid w:val="00397F41"/>
    <w:rsid w:val="003A02CC"/>
    <w:rsid w:val="003A0911"/>
    <w:rsid w:val="003A0D10"/>
    <w:rsid w:val="003A0E8A"/>
    <w:rsid w:val="003A0F4E"/>
    <w:rsid w:val="003A1696"/>
    <w:rsid w:val="003A1DBA"/>
    <w:rsid w:val="003A26EF"/>
    <w:rsid w:val="003A2C90"/>
    <w:rsid w:val="003A2DCA"/>
    <w:rsid w:val="003A3F32"/>
    <w:rsid w:val="003A4EC1"/>
    <w:rsid w:val="003A5516"/>
    <w:rsid w:val="003A5E96"/>
    <w:rsid w:val="003A639B"/>
    <w:rsid w:val="003A6994"/>
    <w:rsid w:val="003A6EE4"/>
    <w:rsid w:val="003A7A48"/>
    <w:rsid w:val="003B044D"/>
    <w:rsid w:val="003B04D2"/>
    <w:rsid w:val="003B14AA"/>
    <w:rsid w:val="003B1651"/>
    <w:rsid w:val="003B16D5"/>
    <w:rsid w:val="003B2568"/>
    <w:rsid w:val="003B28EF"/>
    <w:rsid w:val="003B2E1D"/>
    <w:rsid w:val="003B2E3E"/>
    <w:rsid w:val="003B300B"/>
    <w:rsid w:val="003B3132"/>
    <w:rsid w:val="003B402F"/>
    <w:rsid w:val="003B47F4"/>
    <w:rsid w:val="003B4D1C"/>
    <w:rsid w:val="003B5E2A"/>
    <w:rsid w:val="003B6100"/>
    <w:rsid w:val="003B75E2"/>
    <w:rsid w:val="003B7657"/>
    <w:rsid w:val="003B7661"/>
    <w:rsid w:val="003B7B3C"/>
    <w:rsid w:val="003B7FE8"/>
    <w:rsid w:val="003C0EF1"/>
    <w:rsid w:val="003C1322"/>
    <w:rsid w:val="003C1BD8"/>
    <w:rsid w:val="003C24F3"/>
    <w:rsid w:val="003C2BB4"/>
    <w:rsid w:val="003C34FE"/>
    <w:rsid w:val="003C3564"/>
    <w:rsid w:val="003C3F9A"/>
    <w:rsid w:val="003C3FED"/>
    <w:rsid w:val="003C43C8"/>
    <w:rsid w:val="003C524C"/>
    <w:rsid w:val="003C53C2"/>
    <w:rsid w:val="003C53CE"/>
    <w:rsid w:val="003C5B35"/>
    <w:rsid w:val="003C622E"/>
    <w:rsid w:val="003C6283"/>
    <w:rsid w:val="003C664C"/>
    <w:rsid w:val="003C6B8C"/>
    <w:rsid w:val="003C6EF2"/>
    <w:rsid w:val="003C794C"/>
    <w:rsid w:val="003D0AB4"/>
    <w:rsid w:val="003D1345"/>
    <w:rsid w:val="003D1397"/>
    <w:rsid w:val="003D1F77"/>
    <w:rsid w:val="003D281F"/>
    <w:rsid w:val="003D29B5"/>
    <w:rsid w:val="003D30F4"/>
    <w:rsid w:val="003D3364"/>
    <w:rsid w:val="003D39BA"/>
    <w:rsid w:val="003D3BFA"/>
    <w:rsid w:val="003D4092"/>
    <w:rsid w:val="003D4375"/>
    <w:rsid w:val="003D46CD"/>
    <w:rsid w:val="003D4872"/>
    <w:rsid w:val="003D48F3"/>
    <w:rsid w:val="003D4DAC"/>
    <w:rsid w:val="003D501E"/>
    <w:rsid w:val="003D5859"/>
    <w:rsid w:val="003D639D"/>
    <w:rsid w:val="003D6B97"/>
    <w:rsid w:val="003D6C57"/>
    <w:rsid w:val="003D7302"/>
    <w:rsid w:val="003D7391"/>
    <w:rsid w:val="003D761A"/>
    <w:rsid w:val="003D7690"/>
    <w:rsid w:val="003E07A4"/>
    <w:rsid w:val="003E0B7D"/>
    <w:rsid w:val="003E0D48"/>
    <w:rsid w:val="003E110E"/>
    <w:rsid w:val="003E1323"/>
    <w:rsid w:val="003E19CB"/>
    <w:rsid w:val="003E4009"/>
    <w:rsid w:val="003E4882"/>
    <w:rsid w:val="003E56CE"/>
    <w:rsid w:val="003E62CF"/>
    <w:rsid w:val="003E650C"/>
    <w:rsid w:val="003E6D34"/>
    <w:rsid w:val="003E71B4"/>
    <w:rsid w:val="003F1958"/>
    <w:rsid w:val="003F1E61"/>
    <w:rsid w:val="003F38D9"/>
    <w:rsid w:val="003F427B"/>
    <w:rsid w:val="003F4ED7"/>
    <w:rsid w:val="003F57B7"/>
    <w:rsid w:val="003F5FFA"/>
    <w:rsid w:val="003F6839"/>
    <w:rsid w:val="003F6986"/>
    <w:rsid w:val="003F7955"/>
    <w:rsid w:val="003F7AD9"/>
    <w:rsid w:val="004001F7"/>
    <w:rsid w:val="004009EF"/>
    <w:rsid w:val="00400DA4"/>
    <w:rsid w:val="0040120D"/>
    <w:rsid w:val="004017E8"/>
    <w:rsid w:val="00401B87"/>
    <w:rsid w:val="00402D39"/>
    <w:rsid w:val="00403465"/>
    <w:rsid w:val="00403B4F"/>
    <w:rsid w:val="00403B68"/>
    <w:rsid w:val="00403EFA"/>
    <w:rsid w:val="00404CDE"/>
    <w:rsid w:val="00405938"/>
    <w:rsid w:val="00405B0B"/>
    <w:rsid w:val="00407F3E"/>
    <w:rsid w:val="00410B69"/>
    <w:rsid w:val="00411978"/>
    <w:rsid w:val="0041200F"/>
    <w:rsid w:val="00412714"/>
    <w:rsid w:val="004129D2"/>
    <w:rsid w:val="00413859"/>
    <w:rsid w:val="00413BEB"/>
    <w:rsid w:val="00413E5C"/>
    <w:rsid w:val="00414290"/>
    <w:rsid w:val="0041443F"/>
    <w:rsid w:val="004161E2"/>
    <w:rsid w:val="00417022"/>
    <w:rsid w:val="004172F5"/>
    <w:rsid w:val="00420057"/>
    <w:rsid w:val="00420072"/>
    <w:rsid w:val="00420788"/>
    <w:rsid w:val="00420BD4"/>
    <w:rsid w:val="00420DC2"/>
    <w:rsid w:val="00421448"/>
    <w:rsid w:val="004214B6"/>
    <w:rsid w:val="004218A7"/>
    <w:rsid w:val="00421CAF"/>
    <w:rsid w:val="00422F53"/>
    <w:rsid w:val="00422FDD"/>
    <w:rsid w:val="0042336A"/>
    <w:rsid w:val="00423A23"/>
    <w:rsid w:val="00424A75"/>
    <w:rsid w:val="00424F1A"/>
    <w:rsid w:val="00425376"/>
    <w:rsid w:val="004253C3"/>
    <w:rsid w:val="00425580"/>
    <w:rsid w:val="00425A28"/>
    <w:rsid w:val="00425AA8"/>
    <w:rsid w:val="00425B97"/>
    <w:rsid w:val="00427614"/>
    <w:rsid w:val="004279FD"/>
    <w:rsid w:val="00430D38"/>
    <w:rsid w:val="004311A2"/>
    <w:rsid w:val="004311D7"/>
    <w:rsid w:val="00431CC7"/>
    <w:rsid w:val="00432304"/>
    <w:rsid w:val="004328A2"/>
    <w:rsid w:val="00433AB1"/>
    <w:rsid w:val="00434CB9"/>
    <w:rsid w:val="00434DBC"/>
    <w:rsid w:val="00435D31"/>
    <w:rsid w:val="00436524"/>
    <w:rsid w:val="004375B9"/>
    <w:rsid w:val="00437F74"/>
    <w:rsid w:val="00440583"/>
    <w:rsid w:val="00440888"/>
    <w:rsid w:val="00440918"/>
    <w:rsid w:val="00441292"/>
    <w:rsid w:val="0044242A"/>
    <w:rsid w:val="0044272E"/>
    <w:rsid w:val="0044331A"/>
    <w:rsid w:val="0044344A"/>
    <w:rsid w:val="00443892"/>
    <w:rsid w:val="00443C4F"/>
    <w:rsid w:val="00443EC7"/>
    <w:rsid w:val="00444505"/>
    <w:rsid w:val="0044481C"/>
    <w:rsid w:val="0044508A"/>
    <w:rsid w:val="00446E61"/>
    <w:rsid w:val="00447133"/>
    <w:rsid w:val="0044740E"/>
    <w:rsid w:val="0045073C"/>
    <w:rsid w:val="00450D3C"/>
    <w:rsid w:val="00450EDF"/>
    <w:rsid w:val="00452F37"/>
    <w:rsid w:val="0045332F"/>
    <w:rsid w:val="0045410E"/>
    <w:rsid w:val="00454387"/>
    <w:rsid w:val="0045477E"/>
    <w:rsid w:val="004552A9"/>
    <w:rsid w:val="004558BD"/>
    <w:rsid w:val="004575D8"/>
    <w:rsid w:val="004578FC"/>
    <w:rsid w:val="0046062D"/>
    <w:rsid w:val="00460CA8"/>
    <w:rsid w:val="0046104F"/>
    <w:rsid w:val="00461599"/>
    <w:rsid w:val="0046165D"/>
    <w:rsid w:val="00462FA8"/>
    <w:rsid w:val="00463D75"/>
    <w:rsid w:val="00464C17"/>
    <w:rsid w:val="00465410"/>
    <w:rsid w:val="0046571C"/>
    <w:rsid w:val="00466808"/>
    <w:rsid w:val="00466D5F"/>
    <w:rsid w:val="00466F6F"/>
    <w:rsid w:val="00466FDC"/>
    <w:rsid w:val="004670BB"/>
    <w:rsid w:val="00467450"/>
    <w:rsid w:val="00470A0C"/>
    <w:rsid w:val="00471047"/>
    <w:rsid w:val="00471198"/>
    <w:rsid w:val="00471858"/>
    <w:rsid w:val="00471D64"/>
    <w:rsid w:val="00472E41"/>
    <w:rsid w:val="004730B1"/>
    <w:rsid w:val="00473326"/>
    <w:rsid w:val="00474333"/>
    <w:rsid w:val="00475B58"/>
    <w:rsid w:val="00475B63"/>
    <w:rsid w:val="00475E4D"/>
    <w:rsid w:val="00475E6B"/>
    <w:rsid w:val="00476017"/>
    <w:rsid w:val="004763C5"/>
    <w:rsid w:val="00476700"/>
    <w:rsid w:val="00476D53"/>
    <w:rsid w:val="0047753B"/>
    <w:rsid w:val="004803A6"/>
    <w:rsid w:val="00480DB2"/>
    <w:rsid w:val="0048155F"/>
    <w:rsid w:val="00482E99"/>
    <w:rsid w:val="00483A6F"/>
    <w:rsid w:val="004847E6"/>
    <w:rsid w:val="00484900"/>
    <w:rsid w:val="00485458"/>
    <w:rsid w:val="004854EB"/>
    <w:rsid w:val="00485700"/>
    <w:rsid w:val="00486210"/>
    <w:rsid w:val="004865C7"/>
    <w:rsid w:val="004928E8"/>
    <w:rsid w:val="00492ACE"/>
    <w:rsid w:val="00492EA8"/>
    <w:rsid w:val="00493103"/>
    <w:rsid w:val="00493CDE"/>
    <w:rsid w:val="00493EB3"/>
    <w:rsid w:val="004942FC"/>
    <w:rsid w:val="00494C01"/>
    <w:rsid w:val="00494F14"/>
    <w:rsid w:val="00494F94"/>
    <w:rsid w:val="00496211"/>
    <w:rsid w:val="00496736"/>
    <w:rsid w:val="00496E26"/>
    <w:rsid w:val="00496EBC"/>
    <w:rsid w:val="00497784"/>
    <w:rsid w:val="00497BB6"/>
    <w:rsid w:val="004A0097"/>
    <w:rsid w:val="004A1EB5"/>
    <w:rsid w:val="004A2B20"/>
    <w:rsid w:val="004A2C30"/>
    <w:rsid w:val="004A610D"/>
    <w:rsid w:val="004A6822"/>
    <w:rsid w:val="004A735B"/>
    <w:rsid w:val="004A746A"/>
    <w:rsid w:val="004A7F44"/>
    <w:rsid w:val="004B01EB"/>
    <w:rsid w:val="004B03AF"/>
    <w:rsid w:val="004B0CA5"/>
    <w:rsid w:val="004B16E2"/>
    <w:rsid w:val="004B1C46"/>
    <w:rsid w:val="004B306E"/>
    <w:rsid w:val="004B3145"/>
    <w:rsid w:val="004B33C6"/>
    <w:rsid w:val="004B3659"/>
    <w:rsid w:val="004B422A"/>
    <w:rsid w:val="004B4AD7"/>
    <w:rsid w:val="004B4D81"/>
    <w:rsid w:val="004B4EA3"/>
    <w:rsid w:val="004B5BFC"/>
    <w:rsid w:val="004B679B"/>
    <w:rsid w:val="004B68F5"/>
    <w:rsid w:val="004B6A6D"/>
    <w:rsid w:val="004B712D"/>
    <w:rsid w:val="004B7DAB"/>
    <w:rsid w:val="004C044C"/>
    <w:rsid w:val="004C1379"/>
    <w:rsid w:val="004C16E8"/>
    <w:rsid w:val="004C17DE"/>
    <w:rsid w:val="004C2422"/>
    <w:rsid w:val="004C3FD7"/>
    <w:rsid w:val="004C4A3B"/>
    <w:rsid w:val="004C4BA9"/>
    <w:rsid w:val="004C5B7A"/>
    <w:rsid w:val="004C5C14"/>
    <w:rsid w:val="004C60F6"/>
    <w:rsid w:val="004C6510"/>
    <w:rsid w:val="004C68F0"/>
    <w:rsid w:val="004C6CBF"/>
    <w:rsid w:val="004C7157"/>
    <w:rsid w:val="004D0EEE"/>
    <w:rsid w:val="004D116A"/>
    <w:rsid w:val="004D123C"/>
    <w:rsid w:val="004D1328"/>
    <w:rsid w:val="004D1605"/>
    <w:rsid w:val="004D1BC3"/>
    <w:rsid w:val="004D1FBA"/>
    <w:rsid w:val="004D263A"/>
    <w:rsid w:val="004D2C86"/>
    <w:rsid w:val="004D2DE5"/>
    <w:rsid w:val="004D2F26"/>
    <w:rsid w:val="004D3E28"/>
    <w:rsid w:val="004D48B1"/>
    <w:rsid w:val="004D4DE5"/>
    <w:rsid w:val="004D698D"/>
    <w:rsid w:val="004D7498"/>
    <w:rsid w:val="004E02F5"/>
    <w:rsid w:val="004E2117"/>
    <w:rsid w:val="004E2B14"/>
    <w:rsid w:val="004E2CA0"/>
    <w:rsid w:val="004E3293"/>
    <w:rsid w:val="004E32FC"/>
    <w:rsid w:val="004E33AA"/>
    <w:rsid w:val="004E385E"/>
    <w:rsid w:val="004E4A19"/>
    <w:rsid w:val="004E4C6C"/>
    <w:rsid w:val="004E4E1C"/>
    <w:rsid w:val="004E57BD"/>
    <w:rsid w:val="004E6164"/>
    <w:rsid w:val="004E648E"/>
    <w:rsid w:val="004F0965"/>
    <w:rsid w:val="004F0BCD"/>
    <w:rsid w:val="004F0D3E"/>
    <w:rsid w:val="004F0EE0"/>
    <w:rsid w:val="004F2011"/>
    <w:rsid w:val="004F242B"/>
    <w:rsid w:val="004F2B7B"/>
    <w:rsid w:val="004F35D6"/>
    <w:rsid w:val="004F3899"/>
    <w:rsid w:val="004F3C2A"/>
    <w:rsid w:val="004F3C89"/>
    <w:rsid w:val="004F46AE"/>
    <w:rsid w:val="004F47FC"/>
    <w:rsid w:val="004F4A08"/>
    <w:rsid w:val="004F5976"/>
    <w:rsid w:val="004F599B"/>
    <w:rsid w:val="004F5ECF"/>
    <w:rsid w:val="004F5F74"/>
    <w:rsid w:val="004F60B3"/>
    <w:rsid w:val="004F612A"/>
    <w:rsid w:val="004F62FD"/>
    <w:rsid w:val="004F642C"/>
    <w:rsid w:val="004F7003"/>
    <w:rsid w:val="004F7133"/>
    <w:rsid w:val="004F7615"/>
    <w:rsid w:val="004F76F2"/>
    <w:rsid w:val="00500ACF"/>
    <w:rsid w:val="00500C0B"/>
    <w:rsid w:val="00501503"/>
    <w:rsid w:val="005016F1"/>
    <w:rsid w:val="00501A60"/>
    <w:rsid w:val="00501C51"/>
    <w:rsid w:val="00501FC8"/>
    <w:rsid w:val="0050204F"/>
    <w:rsid w:val="0050219F"/>
    <w:rsid w:val="00502FE7"/>
    <w:rsid w:val="0050360C"/>
    <w:rsid w:val="00505E69"/>
    <w:rsid w:val="00506961"/>
    <w:rsid w:val="00506A81"/>
    <w:rsid w:val="00507264"/>
    <w:rsid w:val="0050785C"/>
    <w:rsid w:val="00507AA8"/>
    <w:rsid w:val="00511491"/>
    <w:rsid w:val="00511C03"/>
    <w:rsid w:val="00512A1E"/>
    <w:rsid w:val="005133E1"/>
    <w:rsid w:val="00513FEE"/>
    <w:rsid w:val="005141F4"/>
    <w:rsid w:val="005141F7"/>
    <w:rsid w:val="005147A8"/>
    <w:rsid w:val="00514875"/>
    <w:rsid w:val="00514CCA"/>
    <w:rsid w:val="005153A5"/>
    <w:rsid w:val="00517B82"/>
    <w:rsid w:val="0052017B"/>
    <w:rsid w:val="00520769"/>
    <w:rsid w:val="00520921"/>
    <w:rsid w:val="00520F29"/>
    <w:rsid w:val="00521BEE"/>
    <w:rsid w:val="00522A6D"/>
    <w:rsid w:val="005239AC"/>
    <w:rsid w:val="00524B3C"/>
    <w:rsid w:val="00524D4E"/>
    <w:rsid w:val="00524F96"/>
    <w:rsid w:val="005257D9"/>
    <w:rsid w:val="0052581D"/>
    <w:rsid w:val="005259BA"/>
    <w:rsid w:val="0052625E"/>
    <w:rsid w:val="0052682C"/>
    <w:rsid w:val="005270B3"/>
    <w:rsid w:val="005273F7"/>
    <w:rsid w:val="005274F6"/>
    <w:rsid w:val="005275A1"/>
    <w:rsid w:val="00530080"/>
    <w:rsid w:val="00530554"/>
    <w:rsid w:val="00530BE0"/>
    <w:rsid w:val="00530D61"/>
    <w:rsid w:val="00530DB1"/>
    <w:rsid w:val="00531713"/>
    <w:rsid w:val="00531B50"/>
    <w:rsid w:val="00531B6D"/>
    <w:rsid w:val="0053240C"/>
    <w:rsid w:val="00532933"/>
    <w:rsid w:val="00532D31"/>
    <w:rsid w:val="0053348F"/>
    <w:rsid w:val="00533AC6"/>
    <w:rsid w:val="00541815"/>
    <w:rsid w:val="00541E4C"/>
    <w:rsid w:val="00542873"/>
    <w:rsid w:val="00542883"/>
    <w:rsid w:val="00542D7D"/>
    <w:rsid w:val="005438FB"/>
    <w:rsid w:val="0054541F"/>
    <w:rsid w:val="00545FE9"/>
    <w:rsid w:val="0054684C"/>
    <w:rsid w:val="00546B86"/>
    <w:rsid w:val="00546F54"/>
    <w:rsid w:val="005478D6"/>
    <w:rsid w:val="00550662"/>
    <w:rsid w:val="0055093E"/>
    <w:rsid w:val="00550E26"/>
    <w:rsid w:val="0055168A"/>
    <w:rsid w:val="00551D18"/>
    <w:rsid w:val="00552F8B"/>
    <w:rsid w:val="005531AA"/>
    <w:rsid w:val="005531AB"/>
    <w:rsid w:val="00553C37"/>
    <w:rsid w:val="005544E3"/>
    <w:rsid w:val="00554C76"/>
    <w:rsid w:val="00554EB4"/>
    <w:rsid w:val="005550C0"/>
    <w:rsid w:val="00556250"/>
    <w:rsid w:val="005565C0"/>
    <w:rsid w:val="005568B8"/>
    <w:rsid w:val="0055749B"/>
    <w:rsid w:val="00560FD4"/>
    <w:rsid w:val="0056127C"/>
    <w:rsid w:val="005615BB"/>
    <w:rsid w:val="005620FA"/>
    <w:rsid w:val="005624CC"/>
    <w:rsid w:val="00562FFF"/>
    <w:rsid w:val="00563674"/>
    <w:rsid w:val="005636D4"/>
    <w:rsid w:val="005645F8"/>
    <w:rsid w:val="00565272"/>
    <w:rsid w:val="00565632"/>
    <w:rsid w:val="005659B7"/>
    <w:rsid w:val="00566BFB"/>
    <w:rsid w:val="00567B91"/>
    <w:rsid w:val="00567DF6"/>
    <w:rsid w:val="00570270"/>
    <w:rsid w:val="005704D2"/>
    <w:rsid w:val="00570AE8"/>
    <w:rsid w:val="00570FAD"/>
    <w:rsid w:val="00571D99"/>
    <w:rsid w:val="005724A0"/>
    <w:rsid w:val="00572B38"/>
    <w:rsid w:val="00572F1C"/>
    <w:rsid w:val="00573123"/>
    <w:rsid w:val="005735EA"/>
    <w:rsid w:val="00573A98"/>
    <w:rsid w:val="00573B84"/>
    <w:rsid w:val="00573F72"/>
    <w:rsid w:val="00574579"/>
    <w:rsid w:val="00574F5A"/>
    <w:rsid w:val="00575500"/>
    <w:rsid w:val="00576C7A"/>
    <w:rsid w:val="005772CD"/>
    <w:rsid w:val="005776DD"/>
    <w:rsid w:val="0057797F"/>
    <w:rsid w:val="0058013F"/>
    <w:rsid w:val="00580F7F"/>
    <w:rsid w:val="005822BA"/>
    <w:rsid w:val="0058236D"/>
    <w:rsid w:val="00582480"/>
    <w:rsid w:val="00582DB4"/>
    <w:rsid w:val="00582EE5"/>
    <w:rsid w:val="00583ABD"/>
    <w:rsid w:val="00583F3A"/>
    <w:rsid w:val="00584734"/>
    <w:rsid w:val="00586413"/>
    <w:rsid w:val="00586453"/>
    <w:rsid w:val="0058684E"/>
    <w:rsid w:val="00586958"/>
    <w:rsid w:val="00587907"/>
    <w:rsid w:val="0059047B"/>
    <w:rsid w:val="00590D3B"/>
    <w:rsid w:val="00590E8D"/>
    <w:rsid w:val="0059228B"/>
    <w:rsid w:val="0059317A"/>
    <w:rsid w:val="005931AE"/>
    <w:rsid w:val="0059326C"/>
    <w:rsid w:val="005934EA"/>
    <w:rsid w:val="00593DB9"/>
    <w:rsid w:val="005940EE"/>
    <w:rsid w:val="00594C0B"/>
    <w:rsid w:val="00594E9F"/>
    <w:rsid w:val="00594EA4"/>
    <w:rsid w:val="00595389"/>
    <w:rsid w:val="00595694"/>
    <w:rsid w:val="00596843"/>
    <w:rsid w:val="00597DB6"/>
    <w:rsid w:val="005A04CB"/>
    <w:rsid w:val="005A0B42"/>
    <w:rsid w:val="005A16A4"/>
    <w:rsid w:val="005A1FE4"/>
    <w:rsid w:val="005A2B77"/>
    <w:rsid w:val="005A2D27"/>
    <w:rsid w:val="005A2FFA"/>
    <w:rsid w:val="005A3D43"/>
    <w:rsid w:val="005A3FE5"/>
    <w:rsid w:val="005A4506"/>
    <w:rsid w:val="005A5014"/>
    <w:rsid w:val="005A6E95"/>
    <w:rsid w:val="005A7430"/>
    <w:rsid w:val="005A7752"/>
    <w:rsid w:val="005A7F58"/>
    <w:rsid w:val="005B0328"/>
    <w:rsid w:val="005B10A5"/>
    <w:rsid w:val="005B1157"/>
    <w:rsid w:val="005B1298"/>
    <w:rsid w:val="005B1318"/>
    <w:rsid w:val="005B1CA3"/>
    <w:rsid w:val="005B1DFD"/>
    <w:rsid w:val="005B2709"/>
    <w:rsid w:val="005B2991"/>
    <w:rsid w:val="005B3352"/>
    <w:rsid w:val="005B4031"/>
    <w:rsid w:val="005B4B0A"/>
    <w:rsid w:val="005B4C22"/>
    <w:rsid w:val="005B4DE3"/>
    <w:rsid w:val="005B5784"/>
    <w:rsid w:val="005B626D"/>
    <w:rsid w:val="005B65B3"/>
    <w:rsid w:val="005B6C62"/>
    <w:rsid w:val="005B6DAD"/>
    <w:rsid w:val="005B7146"/>
    <w:rsid w:val="005C0547"/>
    <w:rsid w:val="005C093D"/>
    <w:rsid w:val="005C1755"/>
    <w:rsid w:val="005C1C8F"/>
    <w:rsid w:val="005C21A3"/>
    <w:rsid w:val="005C286A"/>
    <w:rsid w:val="005C2957"/>
    <w:rsid w:val="005C29E6"/>
    <w:rsid w:val="005C462C"/>
    <w:rsid w:val="005C4DAB"/>
    <w:rsid w:val="005C4DC6"/>
    <w:rsid w:val="005C5941"/>
    <w:rsid w:val="005C6E26"/>
    <w:rsid w:val="005C7067"/>
    <w:rsid w:val="005C733B"/>
    <w:rsid w:val="005C7BFF"/>
    <w:rsid w:val="005D1558"/>
    <w:rsid w:val="005D2C91"/>
    <w:rsid w:val="005D3FD6"/>
    <w:rsid w:val="005D50C1"/>
    <w:rsid w:val="005D57DA"/>
    <w:rsid w:val="005D5EBD"/>
    <w:rsid w:val="005D64B0"/>
    <w:rsid w:val="005D6A0E"/>
    <w:rsid w:val="005D789A"/>
    <w:rsid w:val="005D7B0B"/>
    <w:rsid w:val="005E01DA"/>
    <w:rsid w:val="005E0933"/>
    <w:rsid w:val="005E0CF4"/>
    <w:rsid w:val="005E1177"/>
    <w:rsid w:val="005E192E"/>
    <w:rsid w:val="005E2767"/>
    <w:rsid w:val="005E2DC1"/>
    <w:rsid w:val="005E3A29"/>
    <w:rsid w:val="005E3E74"/>
    <w:rsid w:val="005E601A"/>
    <w:rsid w:val="005E727F"/>
    <w:rsid w:val="005E755D"/>
    <w:rsid w:val="005E7B69"/>
    <w:rsid w:val="005F0B75"/>
    <w:rsid w:val="005F230E"/>
    <w:rsid w:val="005F27FF"/>
    <w:rsid w:val="005F2A5E"/>
    <w:rsid w:val="005F3803"/>
    <w:rsid w:val="005F3808"/>
    <w:rsid w:val="005F3BC0"/>
    <w:rsid w:val="005F4602"/>
    <w:rsid w:val="005F4D0A"/>
    <w:rsid w:val="005F531A"/>
    <w:rsid w:val="005F55F1"/>
    <w:rsid w:val="005F5667"/>
    <w:rsid w:val="005F583F"/>
    <w:rsid w:val="005F5897"/>
    <w:rsid w:val="005F5D88"/>
    <w:rsid w:val="005F62C3"/>
    <w:rsid w:val="005F6E14"/>
    <w:rsid w:val="005F6E8F"/>
    <w:rsid w:val="005F75D3"/>
    <w:rsid w:val="005F7837"/>
    <w:rsid w:val="005F7A54"/>
    <w:rsid w:val="005F7F23"/>
    <w:rsid w:val="006001D6"/>
    <w:rsid w:val="00601087"/>
    <w:rsid w:val="00602A4B"/>
    <w:rsid w:val="00602B7E"/>
    <w:rsid w:val="006039A7"/>
    <w:rsid w:val="00604DD6"/>
    <w:rsid w:val="00605F8D"/>
    <w:rsid w:val="00606D6C"/>
    <w:rsid w:val="00610C14"/>
    <w:rsid w:val="00610FFA"/>
    <w:rsid w:val="006111AA"/>
    <w:rsid w:val="0061191C"/>
    <w:rsid w:val="00611935"/>
    <w:rsid w:val="00612055"/>
    <w:rsid w:val="006122AB"/>
    <w:rsid w:val="00612433"/>
    <w:rsid w:val="00612A28"/>
    <w:rsid w:val="00612F10"/>
    <w:rsid w:val="00614C2E"/>
    <w:rsid w:val="00614DEB"/>
    <w:rsid w:val="00614FE3"/>
    <w:rsid w:val="00615239"/>
    <w:rsid w:val="006159AD"/>
    <w:rsid w:val="00615B89"/>
    <w:rsid w:val="00615E7F"/>
    <w:rsid w:val="00616799"/>
    <w:rsid w:val="00616BE6"/>
    <w:rsid w:val="00617467"/>
    <w:rsid w:val="0061754D"/>
    <w:rsid w:val="00617938"/>
    <w:rsid w:val="00617B50"/>
    <w:rsid w:val="00617DBC"/>
    <w:rsid w:val="00617F36"/>
    <w:rsid w:val="0062026C"/>
    <w:rsid w:val="00620328"/>
    <w:rsid w:val="00620827"/>
    <w:rsid w:val="00620A9F"/>
    <w:rsid w:val="00620E21"/>
    <w:rsid w:val="00621FC2"/>
    <w:rsid w:val="006222E5"/>
    <w:rsid w:val="00622344"/>
    <w:rsid w:val="006223D3"/>
    <w:rsid w:val="006227A6"/>
    <w:rsid w:val="00622CD6"/>
    <w:rsid w:val="00622FBE"/>
    <w:rsid w:val="006233C3"/>
    <w:rsid w:val="00623A03"/>
    <w:rsid w:val="00623DB9"/>
    <w:rsid w:val="00624860"/>
    <w:rsid w:val="006259D7"/>
    <w:rsid w:val="006264A1"/>
    <w:rsid w:val="0062687E"/>
    <w:rsid w:val="00626F9D"/>
    <w:rsid w:val="00627A23"/>
    <w:rsid w:val="00627B1F"/>
    <w:rsid w:val="0063067B"/>
    <w:rsid w:val="00631963"/>
    <w:rsid w:val="00632A64"/>
    <w:rsid w:val="0063312E"/>
    <w:rsid w:val="00633754"/>
    <w:rsid w:val="0063378C"/>
    <w:rsid w:val="00633836"/>
    <w:rsid w:val="00634628"/>
    <w:rsid w:val="00634755"/>
    <w:rsid w:val="006347B9"/>
    <w:rsid w:val="006348D2"/>
    <w:rsid w:val="00634B14"/>
    <w:rsid w:val="00635714"/>
    <w:rsid w:val="00635B07"/>
    <w:rsid w:val="00635F69"/>
    <w:rsid w:val="0063711F"/>
    <w:rsid w:val="00637137"/>
    <w:rsid w:val="006376B9"/>
    <w:rsid w:val="006400C0"/>
    <w:rsid w:val="00640644"/>
    <w:rsid w:val="00640C35"/>
    <w:rsid w:val="00641479"/>
    <w:rsid w:val="00641B9F"/>
    <w:rsid w:val="00641F08"/>
    <w:rsid w:val="00642A52"/>
    <w:rsid w:val="0064375F"/>
    <w:rsid w:val="006441A2"/>
    <w:rsid w:val="006442E8"/>
    <w:rsid w:val="0064466E"/>
    <w:rsid w:val="00646B25"/>
    <w:rsid w:val="0065032B"/>
    <w:rsid w:val="00650F1F"/>
    <w:rsid w:val="00651780"/>
    <w:rsid w:val="00651EB3"/>
    <w:rsid w:val="00652773"/>
    <w:rsid w:val="00652817"/>
    <w:rsid w:val="006529B1"/>
    <w:rsid w:val="00653AC7"/>
    <w:rsid w:val="00653E56"/>
    <w:rsid w:val="00655A70"/>
    <w:rsid w:val="00656829"/>
    <w:rsid w:val="006568F0"/>
    <w:rsid w:val="00656931"/>
    <w:rsid w:val="00657A14"/>
    <w:rsid w:val="00660542"/>
    <w:rsid w:val="006605B2"/>
    <w:rsid w:val="00660AB5"/>
    <w:rsid w:val="00661314"/>
    <w:rsid w:val="006614E1"/>
    <w:rsid w:val="006619E4"/>
    <w:rsid w:val="00661A21"/>
    <w:rsid w:val="00661EB2"/>
    <w:rsid w:val="006620BA"/>
    <w:rsid w:val="00663489"/>
    <w:rsid w:val="0066365B"/>
    <w:rsid w:val="006638FE"/>
    <w:rsid w:val="00663D78"/>
    <w:rsid w:val="00664927"/>
    <w:rsid w:val="00665F61"/>
    <w:rsid w:val="0066635B"/>
    <w:rsid w:val="006665B7"/>
    <w:rsid w:val="0066789C"/>
    <w:rsid w:val="00667FEF"/>
    <w:rsid w:val="006705D7"/>
    <w:rsid w:val="0067083E"/>
    <w:rsid w:val="00670EF8"/>
    <w:rsid w:val="00671341"/>
    <w:rsid w:val="006720A8"/>
    <w:rsid w:val="006724A1"/>
    <w:rsid w:val="00673188"/>
    <w:rsid w:val="00673823"/>
    <w:rsid w:val="00674463"/>
    <w:rsid w:val="006747FC"/>
    <w:rsid w:val="006755D5"/>
    <w:rsid w:val="00675788"/>
    <w:rsid w:val="00676364"/>
    <w:rsid w:val="0067759F"/>
    <w:rsid w:val="0068172E"/>
    <w:rsid w:val="006817F2"/>
    <w:rsid w:val="0068276E"/>
    <w:rsid w:val="006827DE"/>
    <w:rsid w:val="00683340"/>
    <w:rsid w:val="0068390D"/>
    <w:rsid w:val="006839C0"/>
    <w:rsid w:val="00683EF6"/>
    <w:rsid w:val="00684B19"/>
    <w:rsid w:val="00684C0F"/>
    <w:rsid w:val="0068530F"/>
    <w:rsid w:val="006853CF"/>
    <w:rsid w:val="0068582E"/>
    <w:rsid w:val="00687562"/>
    <w:rsid w:val="00687CEA"/>
    <w:rsid w:val="00687DFD"/>
    <w:rsid w:val="00690781"/>
    <w:rsid w:val="00690ABB"/>
    <w:rsid w:val="00690BC8"/>
    <w:rsid w:val="00691424"/>
    <w:rsid w:val="00692010"/>
    <w:rsid w:val="006928D8"/>
    <w:rsid w:val="00692BE5"/>
    <w:rsid w:val="00693B6E"/>
    <w:rsid w:val="00693D26"/>
    <w:rsid w:val="00694619"/>
    <w:rsid w:val="00694891"/>
    <w:rsid w:val="00694A45"/>
    <w:rsid w:val="006952B0"/>
    <w:rsid w:val="0069530A"/>
    <w:rsid w:val="00695BB6"/>
    <w:rsid w:val="0069685F"/>
    <w:rsid w:val="00696D61"/>
    <w:rsid w:val="006970E8"/>
    <w:rsid w:val="00697531"/>
    <w:rsid w:val="00697D19"/>
    <w:rsid w:val="006A0924"/>
    <w:rsid w:val="006A2232"/>
    <w:rsid w:val="006A28E7"/>
    <w:rsid w:val="006A3261"/>
    <w:rsid w:val="006A3AE3"/>
    <w:rsid w:val="006A47CE"/>
    <w:rsid w:val="006A4AC5"/>
    <w:rsid w:val="006A4C73"/>
    <w:rsid w:val="006A4C94"/>
    <w:rsid w:val="006A4F97"/>
    <w:rsid w:val="006A550F"/>
    <w:rsid w:val="006A5585"/>
    <w:rsid w:val="006A5799"/>
    <w:rsid w:val="006B06B7"/>
    <w:rsid w:val="006B0B47"/>
    <w:rsid w:val="006B235A"/>
    <w:rsid w:val="006B2851"/>
    <w:rsid w:val="006B3554"/>
    <w:rsid w:val="006B4425"/>
    <w:rsid w:val="006B4C53"/>
    <w:rsid w:val="006B4E7D"/>
    <w:rsid w:val="006B4FC0"/>
    <w:rsid w:val="006B5D4D"/>
    <w:rsid w:val="006B6070"/>
    <w:rsid w:val="006B63A4"/>
    <w:rsid w:val="006B6B84"/>
    <w:rsid w:val="006B78A4"/>
    <w:rsid w:val="006B79BF"/>
    <w:rsid w:val="006B7EFE"/>
    <w:rsid w:val="006C0845"/>
    <w:rsid w:val="006C11AD"/>
    <w:rsid w:val="006C1C70"/>
    <w:rsid w:val="006C1D07"/>
    <w:rsid w:val="006C219B"/>
    <w:rsid w:val="006C257D"/>
    <w:rsid w:val="006C3A09"/>
    <w:rsid w:val="006C3DA0"/>
    <w:rsid w:val="006C4614"/>
    <w:rsid w:val="006C48E4"/>
    <w:rsid w:val="006C4AD8"/>
    <w:rsid w:val="006C4C16"/>
    <w:rsid w:val="006C4C99"/>
    <w:rsid w:val="006C5181"/>
    <w:rsid w:val="006C5B90"/>
    <w:rsid w:val="006C604B"/>
    <w:rsid w:val="006C799A"/>
    <w:rsid w:val="006C7A25"/>
    <w:rsid w:val="006C7ABC"/>
    <w:rsid w:val="006C7C61"/>
    <w:rsid w:val="006C7DBD"/>
    <w:rsid w:val="006D0526"/>
    <w:rsid w:val="006D22F9"/>
    <w:rsid w:val="006D2897"/>
    <w:rsid w:val="006D28A4"/>
    <w:rsid w:val="006D29CE"/>
    <w:rsid w:val="006D2C2B"/>
    <w:rsid w:val="006D2E67"/>
    <w:rsid w:val="006D40E0"/>
    <w:rsid w:val="006D43C5"/>
    <w:rsid w:val="006D4EA3"/>
    <w:rsid w:val="006D568A"/>
    <w:rsid w:val="006D5894"/>
    <w:rsid w:val="006D7FA3"/>
    <w:rsid w:val="006D7FB6"/>
    <w:rsid w:val="006E00AA"/>
    <w:rsid w:val="006E02DD"/>
    <w:rsid w:val="006E0BDE"/>
    <w:rsid w:val="006E0D71"/>
    <w:rsid w:val="006E1FF3"/>
    <w:rsid w:val="006E2305"/>
    <w:rsid w:val="006E2621"/>
    <w:rsid w:val="006E364B"/>
    <w:rsid w:val="006E36AF"/>
    <w:rsid w:val="006E37B0"/>
    <w:rsid w:val="006E40A0"/>
    <w:rsid w:val="006E40DE"/>
    <w:rsid w:val="006E4749"/>
    <w:rsid w:val="006E4F6D"/>
    <w:rsid w:val="006E59B0"/>
    <w:rsid w:val="006E5AAC"/>
    <w:rsid w:val="006E5CD9"/>
    <w:rsid w:val="006E5CED"/>
    <w:rsid w:val="006E61DF"/>
    <w:rsid w:val="006E6DF5"/>
    <w:rsid w:val="006E765F"/>
    <w:rsid w:val="006E7C52"/>
    <w:rsid w:val="006F044B"/>
    <w:rsid w:val="006F055C"/>
    <w:rsid w:val="006F088B"/>
    <w:rsid w:val="006F0BBD"/>
    <w:rsid w:val="006F1C16"/>
    <w:rsid w:val="006F1D1F"/>
    <w:rsid w:val="006F221A"/>
    <w:rsid w:val="006F27AF"/>
    <w:rsid w:val="006F2B23"/>
    <w:rsid w:val="006F2FE4"/>
    <w:rsid w:val="006F35DF"/>
    <w:rsid w:val="006F36CF"/>
    <w:rsid w:val="006F3759"/>
    <w:rsid w:val="006F428A"/>
    <w:rsid w:val="006F437E"/>
    <w:rsid w:val="006F48AF"/>
    <w:rsid w:val="006F5E7D"/>
    <w:rsid w:val="006F6C71"/>
    <w:rsid w:val="006F724C"/>
    <w:rsid w:val="006F72F8"/>
    <w:rsid w:val="006F7B36"/>
    <w:rsid w:val="00700A4D"/>
    <w:rsid w:val="00701463"/>
    <w:rsid w:val="00701685"/>
    <w:rsid w:val="00701695"/>
    <w:rsid w:val="00701E71"/>
    <w:rsid w:val="00701FC5"/>
    <w:rsid w:val="007027CB"/>
    <w:rsid w:val="00703807"/>
    <w:rsid w:val="00703C8E"/>
    <w:rsid w:val="00703FD1"/>
    <w:rsid w:val="00704291"/>
    <w:rsid w:val="00704C14"/>
    <w:rsid w:val="00704FE9"/>
    <w:rsid w:val="007056FA"/>
    <w:rsid w:val="00705A64"/>
    <w:rsid w:val="00705BEC"/>
    <w:rsid w:val="00706020"/>
    <w:rsid w:val="00706765"/>
    <w:rsid w:val="00707179"/>
    <w:rsid w:val="00707B47"/>
    <w:rsid w:val="007107CA"/>
    <w:rsid w:val="007112DD"/>
    <w:rsid w:val="00711326"/>
    <w:rsid w:val="00711439"/>
    <w:rsid w:val="00711E2B"/>
    <w:rsid w:val="007122B8"/>
    <w:rsid w:val="00712B46"/>
    <w:rsid w:val="00713023"/>
    <w:rsid w:val="007133C5"/>
    <w:rsid w:val="00713653"/>
    <w:rsid w:val="00713BD9"/>
    <w:rsid w:val="00713CEE"/>
    <w:rsid w:val="00713EA0"/>
    <w:rsid w:val="0071416D"/>
    <w:rsid w:val="007150B5"/>
    <w:rsid w:val="00715A19"/>
    <w:rsid w:val="00716DFD"/>
    <w:rsid w:val="007174DE"/>
    <w:rsid w:val="007176D8"/>
    <w:rsid w:val="007214A0"/>
    <w:rsid w:val="00722167"/>
    <w:rsid w:val="007243E6"/>
    <w:rsid w:val="00724514"/>
    <w:rsid w:val="00725696"/>
    <w:rsid w:val="00725CDD"/>
    <w:rsid w:val="00726514"/>
    <w:rsid w:val="0072676B"/>
    <w:rsid w:val="00726D3B"/>
    <w:rsid w:val="007275C3"/>
    <w:rsid w:val="0073092B"/>
    <w:rsid w:val="0073132A"/>
    <w:rsid w:val="00731940"/>
    <w:rsid w:val="00731945"/>
    <w:rsid w:val="00731FA2"/>
    <w:rsid w:val="007337A2"/>
    <w:rsid w:val="00733957"/>
    <w:rsid w:val="00733CB2"/>
    <w:rsid w:val="00734110"/>
    <w:rsid w:val="007344F4"/>
    <w:rsid w:val="00735390"/>
    <w:rsid w:val="0073551F"/>
    <w:rsid w:val="00736C81"/>
    <w:rsid w:val="00737609"/>
    <w:rsid w:val="00741728"/>
    <w:rsid w:val="00741A74"/>
    <w:rsid w:val="0074280E"/>
    <w:rsid w:val="0074294C"/>
    <w:rsid w:val="00742D0D"/>
    <w:rsid w:val="007430D2"/>
    <w:rsid w:val="00743246"/>
    <w:rsid w:val="00743647"/>
    <w:rsid w:val="00743F44"/>
    <w:rsid w:val="0074426D"/>
    <w:rsid w:val="00745294"/>
    <w:rsid w:val="00745952"/>
    <w:rsid w:val="00745AB4"/>
    <w:rsid w:val="0074635D"/>
    <w:rsid w:val="00746686"/>
    <w:rsid w:val="0074696E"/>
    <w:rsid w:val="00746C37"/>
    <w:rsid w:val="00746C3F"/>
    <w:rsid w:val="00747BE7"/>
    <w:rsid w:val="00750ECD"/>
    <w:rsid w:val="007510DF"/>
    <w:rsid w:val="0075150C"/>
    <w:rsid w:val="00751F00"/>
    <w:rsid w:val="007533F8"/>
    <w:rsid w:val="007534BD"/>
    <w:rsid w:val="00755D3F"/>
    <w:rsid w:val="00755F37"/>
    <w:rsid w:val="00756566"/>
    <w:rsid w:val="00756DB1"/>
    <w:rsid w:val="00760EC4"/>
    <w:rsid w:val="0076104D"/>
    <w:rsid w:val="007615CA"/>
    <w:rsid w:val="007618B4"/>
    <w:rsid w:val="007629A6"/>
    <w:rsid w:val="007631AB"/>
    <w:rsid w:val="00764176"/>
    <w:rsid w:val="00764601"/>
    <w:rsid w:val="00765561"/>
    <w:rsid w:val="00765BBA"/>
    <w:rsid w:val="007669BD"/>
    <w:rsid w:val="00766D27"/>
    <w:rsid w:val="00766D76"/>
    <w:rsid w:val="00767363"/>
    <w:rsid w:val="00767856"/>
    <w:rsid w:val="0077005D"/>
    <w:rsid w:val="00772406"/>
    <w:rsid w:val="0077360E"/>
    <w:rsid w:val="007737E5"/>
    <w:rsid w:val="00773F09"/>
    <w:rsid w:val="007745D2"/>
    <w:rsid w:val="00774979"/>
    <w:rsid w:val="0077568D"/>
    <w:rsid w:val="00776DAE"/>
    <w:rsid w:val="0077733C"/>
    <w:rsid w:val="00777A8D"/>
    <w:rsid w:val="00780033"/>
    <w:rsid w:val="00780084"/>
    <w:rsid w:val="007809FB"/>
    <w:rsid w:val="00780A16"/>
    <w:rsid w:val="0078120D"/>
    <w:rsid w:val="00781567"/>
    <w:rsid w:val="00782054"/>
    <w:rsid w:val="007822F0"/>
    <w:rsid w:val="00783539"/>
    <w:rsid w:val="00784258"/>
    <w:rsid w:val="007858F3"/>
    <w:rsid w:val="00786612"/>
    <w:rsid w:val="007866E0"/>
    <w:rsid w:val="0078692C"/>
    <w:rsid w:val="00786FF0"/>
    <w:rsid w:val="00787993"/>
    <w:rsid w:val="007900D5"/>
    <w:rsid w:val="00790742"/>
    <w:rsid w:val="00790906"/>
    <w:rsid w:val="00791730"/>
    <w:rsid w:val="00791ADA"/>
    <w:rsid w:val="00791E10"/>
    <w:rsid w:val="007927B0"/>
    <w:rsid w:val="00792ABE"/>
    <w:rsid w:val="00792E44"/>
    <w:rsid w:val="00793268"/>
    <w:rsid w:val="00794033"/>
    <w:rsid w:val="00794543"/>
    <w:rsid w:val="00794867"/>
    <w:rsid w:val="00795148"/>
    <w:rsid w:val="00796409"/>
    <w:rsid w:val="00796510"/>
    <w:rsid w:val="007972F7"/>
    <w:rsid w:val="007977CF"/>
    <w:rsid w:val="007A1CFF"/>
    <w:rsid w:val="007A2A08"/>
    <w:rsid w:val="007A2F9A"/>
    <w:rsid w:val="007A3BEE"/>
    <w:rsid w:val="007A3CCD"/>
    <w:rsid w:val="007A45BB"/>
    <w:rsid w:val="007A58DE"/>
    <w:rsid w:val="007A65A5"/>
    <w:rsid w:val="007A6DDB"/>
    <w:rsid w:val="007A7762"/>
    <w:rsid w:val="007B09C6"/>
    <w:rsid w:val="007B0BC8"/>
    <w:rsid w:val="007B145F"/>
    <w:rsid w:val="007B1E77"/>
    <w:rsid w:val="007B223C"/>
    <w:rsid w:val="007B29FC"/>
    <w:rsid w:val="007B2E17"/>
    <w:rsid w:val="007B3AEC"/>
    <w:rsid w:val="007B412C"/>
    <w:rsid w:val="007B4171"/>
    <w:rsid w:val="007B4327"/>
    <w:rsid w:val="007B46F0"/>
    <w:rsid w:val="007B6061"/>
    <w:rsid w:val="007B62DF"/>
    <w:rsid w:val="007B6C1C"/>
    <w:rsid w:val="007B777D"/>
    <w:rsid w:val="007B779A"/>
    <w:rsid w:val="007C0B3C"/>
    <w:rsid w:val="007C0F08"/>
    <w:rsid w:val="007C16A2"/>
    <w:rsid w:val="007C19AD"/>
    <w:rsid w:val="007C1DF2"/>
    <w:rsid w:val="007C4110"/>
    <w:rsid w:val="007D1184"/>
    <w:rsid w:val="007D302B"/>
    <w:rsid w:val="007D318E"/>
    <w:rsid w:val="007D44D1"/>
    <w:rsid w:val="007D47E7"/>
    <w:rsid w:val="007D670B"/>
    <w:rsid w:val="007D6F6B"/>
    <w:rsid w:val="007D7558"/>
    <w:rsid w:val="007D7698"/>
    <w:rsid w:val="007D7FA9"/>
    <w:rsid w:val="007E16C5"/>
    <w:rsid w:val="007E1E7A"/>
    <w:rsid w:val="007E2580"/>
    <w:rsid w:val="007E2B31"/>
    <w:rsid w:val="007E345A"/>
    <w:rsid w:val="007E42B6"/>
    <w:rsid w:val="007E4E82"/>
    <w:rsid w:val="007E561A"/>
    <w:rsid w:val="007E5BCF"/>
    <w:rsid w:val="007E5F1B"/>
    <w:rsid w:val="007E6522"/>
    <w:rsid w:val="007E68B0"/>
    <w:rsid w:val="007E69EF"/>
    <w:rsid w:val="007E6FE6"/>
    <w:rsid w:val="007F0C0F"/>
    <w:rsid w:val="007F106F"/>
    <w:rsid w:val="007F13B5"/>
    <w:rsid w:val="007F2059"/>
    <w:rsid w:val="007F2666"/>
    <w:rsid w:val="007F267E"/>
    <w:rsid w:val="007F2DEC"/>
    <w:rsid w:val="007F3554"/>
    <w:rsid w:val="007F3708"/>
    <w:rsid w:val="007F3CDB"/>
    <w:rsid w:val="007F3D71"/>
    <w:rsid w:val="007F4185"/>
    <w:rsid w:val="007F42D9"/>
    <w:rsid w:val="007F4EE1"/>
    <w:rsid w:val="007F4FE1"/>
    <w:rsid w:val="007F6F06"/>
    <w:rsid w:val="008001FC"/>
    <w:rsid w:val="008014B4"/>
    <w:rsid w:val="008017E6"/>
    <w:rsid w:val="008018EF"/>
    <w:rsid w:val="00801E49"/>
    <w:rsid w:val="00801FE0"/>
    <w:rsid w:val="00802B47"/>
    <w:rsid w:val="00803BCB"/>
    <w:rsid w:val="00803DDB"/>
    <w:rsid w:val="008042A1"/>
    <w:rsid w:val="008042E2"/>
    <w:rsid w:val="00804429"/>
    <w:rsid w:val="0080550D"/>
    <w:rsid w:val="00805822"/>
    <w:rsid w:val="00805CFF"/>
    <w:rsid w:val="00806182"/>
    <w:rsid w:val="008062A1"/>
    <w:rsid w:val="00806BF8"/>
    <w:rsid w:val="00806C32"/>
    <w:rsid w:val="00806D77"/>
    <w:rsid w:val="0080720F"/>
    <w:rsid w:val="00807594"/>
    <w:rsid w:val="0080771D"/>
    <w:rsid w:val="00807CCD"/>
    <w:rsid w:val="0081187F"/>
    <w:rsid w:val="00812249"/>
    <w:rsid w:val="008128D3"/>
    <w:rsid w:val="00813070"/>
    <w:rsid w:val="0081466A"/>
    <w:rsid w:val="0081469E"/>
    <w:rsid w:val="00815092"/>
    <w:rsid w:val="0081545A"/>
    <w:rsid w:val="008156B3"/>
    <w:rsid w:val="00815BE5"/>
    <w:rsid w:val="00816C5A"/>
    <w:rsid w:val="00817873"/>
    <w:rsid w:val="00817C3E"/>
    <w:rsid w:val="00817E90"/>
    <w:rsid w:val="0082096E"/>
    <w:rsid w:val="00821067"/>
    <w:rsid w:val="00821AB7"/>
    <w:rsid w:val="0082322D"/>
    <w:rsid w:val="00823A3D"/>
    <w:rsid w:val="00823C45"/>
    <w:rsid w:val="00824038"/>
    <w:rsid w:val="00824F6B"/>
    <w:rsid w:val="0082529B"/>
    <w:rsid w:val="008257FA"/>
    <w:rsid w:val="00826922"/>
    <w:rsid w:val="0082731D"/>
    <w:rsid w:val="0082791B"/>
    <w:rsid w:val="00827935"/>
    <w:rsid w:val="00830AF7"/>
    <w:rsid w:val="00830FDB"/>
    <w:rsid w:val="008320CB"/>
    <w:rsid w:val="008336F9"/>
    <w:rsid w:val="0083454F"/>
    <w:rsid w:val="00834B9B"/>
    <w:rsid w:val="00835428"/>
    <w:rsid w:val="0083668E"/>
    <w:rsid w:val="008374E0"/>
    <w:rsid w:val="0083788E"/>
    <w:rsid w:val="00837E91"/>
    <w:rsid w:val="00840175"/>
    <w:rsid w:val="008403A1"/>
    <w:rsid w:val="00840945"/>
    <w:rsid w:val="00840997"/>
    <w:rsid w:val="00840AF8"/>
    <w:rsid w:val="00841024"/>
    <w:rsid w:val="00841227"/>
    <w:rsid w:val="00841FB9"/>
    <w:rsid w:val="008428A2"/>
    <w:rsid w:val="0084323C"/>
    <w:rsid w:val="008432DA"/>
    <w:rsid w:val="00844844"/>
    <w:rsid w:val="00844CA3"/>
    <w:rsid w:val="00844FC9"/>
    <w:rsid w:val="00846865"/>
    <w:rsid w:val="008468BE"/>
    <w:rsid w:val="00846C6B"/>
    <w:rsid w:val="00847031"/>
    <w:rsid w:val="0084758B"/>
    <w:rsid w:val="00847610"/>
    <w:rsid w:val="00850AC0"/>
    <w:rsid w:val="00850AC7"/>
    <w:rsid w:val="00850EF2"/>
    <w:rsid w:val="00852BAF"/>
    <w:rsid w:val="00852DF5"/>
    <w:rsid w:val="00854697"/>
    <w:rsid w:val="00855039"/>
    <w:rsid w:val="00856B59"/>
    <w:rsid w:val="00857100"/>
    <w:rsid w:val="008575BF"/>
    <w:rsid w:val="00860733"/>
    <w:rsid w:val="00860C53"/>
    <w:rsid w:val="00860C62"/>
    <w:rsid w:val="00860FFE"/>
    <w:rsid w:val="00861894"/>
    <w:rsid w:val="00862339"/>
    <w:rsid w:val="0086266C"/>
    <w:rsid w:val="008626CB"/>
    <w:rsid w:val="00862B8F"/>
    <w:rsid w:val="00862FBB"/>
    <w:rsid w:val="00863E47"/>
    <w:rsid w:val="008640E9"/>
    <w:rsid w:val="008641D5"/>
    <w:rsid w:val="008670E4"/>
    <w:rsid w:val="00867415"/>
    <w:rsid w:val="00867F7B"/>
    <w:rsid w:val="0087039C"/>
    <w:rsid w:val="008713D7"/>
    <w:rsid w:val="00871694"/>
    <w:rsid w:val="0087189F"/>
    <w:rsid w:val="008729ED"/>
    <w:rsid w:val="00872C46"/>
    <w:rsid w:val="00873617"/>
    <w:rsid w:val="00873E85"/>
    <w:rsid w:val="008740E1"/>
    <w:rsid w:val="0087424D"/>
    <w:rsid w:val="008743C5"/>
    <w:rsid w:val="00874CAB"/>
    <w:rsid w:val="00875704"/>
    <w:rsid w:val="008758E3"/>
    <w:rsid w:val="00875DD9"/>
    <w:rsid w:val="008762B3"/>
    <w:rsid w:val="00877C1C"/>
    <w:rsid w:val="00877DFC"/>
    <w:rsid w:val="008822DA"/>
    <w:rsid w:val="00883179"/>
    <w:rsid w:val="00883A22"/>
    <w:rsid w:val="008847D8"/>
    <w:rsid w:val="00884B4C"/>
    <w:rsid w:val="00887181"/>
    <w:rsid w:val="008875AE"/>
    <w:rsid w:val="0088776C"/>
    <w:rsid w:val="00887B63"/>
    <w:rsid w:val="0089118A"/>
    <w:rsid w:val="00891255"/>
    <w:rsid w:val="00891297"/>
    <w:rsid w:val="008913E9"/>
    <w:rsid w:val="0089150D"/>
    <w:rsid w:val="00891E12"/>
    <w:rsid w:val="008920D1"/>
    <w:rsid w:val="008921C3"/>
    <w:rsid w:val="00892224"/>
    <w:rsid w:val="008922CE"/>
    <w:rsid w:val="0089258C"/>
    <w:rsid w:val="0089312F"/>
    <w:rsid w:val="00893A39"/>
    <w:rsid w:val="00894B19"/>
    <w:rsid w:val="00894C42"/>
    <w:rsid w:val="00894F40"/>
    <w:rsid w:val="00895385"/>
    <w:rsid w:val="00896012"/>
    <w:rsid w:val="008965EC"/>
    <w:rsid w:val="00897290"/>
    <w:rsid w:val="00897799"/>
    <w:rsid w:val="008A15F5"/>
    <w:rsid w:val="008A17DC"/>
    <w:rsid w:val="008A1C1E"/>
    <w:rsid w:val="008A1DD3"/>
    <w:rsid w:val="008A1DF2"/>
    <w:rsid w:val="008A2A53"/>
    <w:rsid w:val="008A3B10"/>
    <w:rsid w:val="008A3D09"/>
    <w:rsid w:val="008A412A"/>
    <w:rsid w:val="008A4747"/>
    <w:rsid w:val="008A4E4D"/>
    <w:rsid w:val="008A5391"/>
    <w:rsid w:val="008A6756"/>
    <w:rsid w:val="008A68FB"/>
    <w:rsid w:val="008A6A4B"/>
    <w:rsid w:val="008A6DC0"/>
    <w:rsid w:val="008B06A4"/>
    <w:rsid w:val="008B09E2"/>
    <w:rsid w:val="008B0E7F"/>
    <w:rsid w:val="008B109E"/>
    <w:rsid w:val="008B14C3"/>
    <w:rsid w:val="008B1AB8"/>
    <w:rsid w:val="008B1B08"/>
    <w:rsid w:val="008B1CB6"/>
    <w:rsid w:val="008B1F8B"/>
    <w:rsid w:val="008B25A1"/>
    <w:rsid w:val="008B4C88"/>
    <w:rsid w:val="008B4EC1"/>
    <w:rsid w:val="008B512C"/>
    <w:rsid w:val="008B53C9"/>
    <w:rsid w:val="008B62EC"/>
    <w:rsid w:val="008B6F0B"/>
    <w:rsid w:val="008B7471"/>
    <w:rsid w:val="008B7CC9"/>
    <w:rsid w:val="008C24DE"/>
    <w:rsid w:val="008C2BD1"/>
    <w:rsid w:val="008C2CDB"/>
    <w:rsid w:val="008C303A"/>
    <w:rsid w:val="008C378C"/>
    <w:rsid w:val="008C44D2"/>
    <w:rsid w:val="008C4A86"/>
    <w:rsid w:val="008C4DF8"/>
    <w:rsid w:val="008C549D"/>
    <w:rsid w:val="008C55EA"/>
    <w:rsid w:val="008C6D15"/>
    <w:rsid w:val="008C7384"/>
    <w:rsid w:val="008C73EA"/>
    <w:rsid w:val="008C7710"/>
    <w:rsid w:val="008C7E1B"/>
    <w:rsid w:val="008D1478"/>
    <w:rsid w:val="008D1653"/>
    <w:rsid w:val="008D1F3B"/>
    <w:rsid w:val="008D4874"/>
    <w:rsid w:val="008D4C71"/>
    <w:rsid w:val="008D4DF4"/>
    <w:rsid w:val="008D5107"/>
    <w:rsid w:val="008D5DF7"/>
    <w:rsid w:val="008D6349"/>
    <w:rsid w:val="008D76BF"/>
    <w:rsid w:val="008D7ED2"/>
    <w:rsid w:val="008E0D20"/>
    <w:rsid w:val="008E1CC8"/>
    <w:rsid w:val="008E2ACF"/>
    <w:rsid w:val="008E2D0A"/>
    <w:rsid w:val="008E2D1E"/>
    <w:rsid w:val="008E3ABA"/>
    <w:rsid w:val="008E456C"/>
    <w:rsid w:val="008E4F42"/>
    <w:rsid w:val="008E5498"/>
    <w:rsid w:val="008E5669"/>
    <w:rsid w:val="008E70E1"/>
    <w:rsid w:val="008E73ED"/>
    <w:rsid w:val="008E7442"/>
    <w:rsid w:val="008E7D68"/>
    <w:rsid w:val="008F0026"/>
    <w:rsid w:val="008F0961"/>
    <w:rsid w:val="008F0B42"/>
    <w:rsid w:val="008F117E"/>
    <w:rsid w:val="008F12F5"/>
    <w:rsid w:val="008F1827"/>
    <w:rsid w:val="008F2272"/>
    <w:rsid w:val="008F3163"/>
    <w:rsid w:val="008F39E8"/>
    <w:rsid w:val="008F48B4"/>
    <w:rsid w:val="008F4F3B"/>
    <w:rsid w:val="008F513A"/>
    <w:rsid w:val="008F5182"/>
    <w:rsid w:val="008F594B"/>
    <w:rsid w:val="008F59E3"/>
    <w:rsid w:val="008F637F"/>
    <w:rsid w:val="008F6B39"/>
    <w:rsid w:val="00900013"/>
    <w:rsid w:val="00900148"/>
    <w:rsid w:val="00901C51"/>
    <w:rsid w:val="00902516"/>
    <w:rsid w:val="00902CB9"/>
    <w:rsid w:val="009036D1"/>
    <w:rsid w:val="00903B55"/>
    <w:rsid w:val="00904779"/>
    <w:rsid w:val="009049B5"/>
    <w:rsid w:val="00906EBD"/>
    <w:rsid w:val="00906F4D"/>
    <w:rsid w:val="009078EC"/>
    <w:rsid w:val="00907EF9"/>
    <w:rsid w:val="0091016B"/>
    <w:rsid w:val="009109FD"/>
    <w:rsid w:val="0091169E"/>
    <w:rsid w:val="00911B1A"/>
    <w:rsid w:val="0091234E"/>
    <w:rsid w:val="00912551"/>
    <w:rsid w:val="00912BC9"/>
    <w:rsid w:val="00912BCC"/>
    <w:rsid w:val="009135A2"/>
    <w:rsid w:val="00913BBA"/>
    <w:rsid w:val="00915386"/>
    <w:rsid w:val="00915968"/>
    <w:rsid w:val="00915AD2"/>
    <w:rsid w:val="009167F1"/>
    <w:rsid w:val="0091699F"/>
    <w:rsid w:val="0091704D"/>
    <w:rsid w:val="0092010F"/>
    <w:rsid w:val="00920635"/>
    <w:rsid w:val="00920EC3"/>
    <w:rsid w:val="00921920"/>
    <w:rsid w:val="009226AE"/>
    <w:rsid w:val="00922E83"/>
    <w:rsid w:val="00924354"/>
    <w:rsid w:val="00924B2A"/>
    <w:rsid w:val="00924D1E"/>
    <w:rsid w:val="00924F66"/>
    <w:rsid w:val="0092540D"/>
    <w:rsid w:val="00926F5F"/>
    <w:rsid w:val="00927492"/>
    <w:rsid w:val="00927D5D"/>
    <w:rsid w:val="00927DBB"/>
    <w:rsid w:val="009304D0"/>
    <w:rsid w:val="0093124C"/>
    <w:rsid w:val="0093152B"/>
    <w:rsid w:val="00931A38"/>
    <w:rsid w:val="00931B02"/>
    <w:rsid w:val="00933079"/>
    <w:rsid w:val="009338E0"/>
    <w:rsid w:val="00933CD4"/>
    <w:rsid w:val="00936572"/>
    <w:rsid w:val="00937A8E"/>
    <w:rsid w:val="00937FB1"/>
    <w:rsid w:val="009404ED"/>
    <w:rsid w:val="00940648"/>
    <w:rsid w:val="00940F18"/>
    <w:rsid w:val="009423F9"/>
    <w:rsid w:val="00942B80"/>
    <w:rsid w:val="00942C07"/>
    <w:rsid w:val="00942F70"/>
    <w:rsid w:val="00943D19"/>
    <w:rsid w:val="00944906"/>
    <w:rsid w:val="00944CD7"/>
    <w:rsid w:val="00945C7E"/>
    <w:rsid w:val="009467CB"/>
    <w:rsid w:val="00946EAA"/>
    <w:rsid w:val="00946ED1"/>
    <w:rsid w:val="00947353"/>
    <w:rsid w:val="00947572"/>
    <w:rsid w:val="009475A4"/>
    <w:rsid w:val="0094774B"/>
    <w:rsid w:val="009477E9"/>
    <w:rsid w:val="0094786A"/>
    <w:rsid w:val="00947D87"/>
    <w:rsid w:val="0095047F"/>
    <w:rsid w:val="00953028"/>
    <w:rsid w:val="009541E1"/>
    <w:rsid w:val="00954A03"/>
    <w:rsid w:val="00955473"/>
    <w:rsid w:val="00955B9D"/>
    <w:rsid w:val="00955F63"/>
    <w:rsid w:val="00956689"/>
    <w:rsid w:val="00957E52"/>
    <w:rsid w:val="00960243"/>
    <w:rsid w:val="009603B6"/>
    <w:rsid w:val="00961A99"/>
    <w:rsid w:val="00961DAD"/>
    <w:rsid w:val="00962533"/>
    <w:rsid w:val="009626F4"/>
    <w:rsid w:val="00962760"/>
    <w:rsid w:val="00962B8B"/>
    <w:rsid w:val="00963753"/>
    <w:rsid w:val="00964C9D"/>
    <w:rsid w:val="00965D5F"/>
    <w:rsid w:val="00966AEB"/>
    <w:rsid w:val="00966E27"/>
    <w:rsid w:val="0096709B"/>
    <w:rsid w:val="00967F4A"/>
    <w:rsid w:val="009713A6"/>
    <w:rsid w:val="009718E0"/>
    <w:rsid w:val="00972113"/>
    <w:rsid w:val="00972122"/>
    <w:rsid w:val="00972641"/>
    <w:rsid w:val="00972A8C"/>
    <w:rsid w:val="00972AB6"/>
    <w:rsid w:val="0097302E"/>
    <w:rsid w:val="00974D16"/>
    <w:rsid w:val="00974EAF"/>
    <w:rsid w:val="00975066"/>
    <w:rsid w:val="009752CB"/>
    <w:rsid w:val="009763A2"/>
    <w:rsid w:val="00976EC4"/>
    <w:rsid w:val="00977107"/>
    <w:rsid w:val="00977C56"/>
    <w:rsid w:val="009804F1"/>
    <w:rsid w:val="00980B71"/>
    <w:rsid w:val="00980C14"/>
    <w:rsid w:val="00981C37"/>
    <w:rsid w:val="00982807"/>
    <w:rsid w:val="00983845"/>
    <w:rsid w:val="0098478C"/>
    <w:rsid w:val="00985C8B"/>
    <w:rsid w:val="009862A1"/>
    <w:rsid w:val="00986584"/>
    <w:rsid w:val="00986B94"/>
    <w:rsid w:val="009914BF"/>
    <w:rsid w:val="0099160A"/>
    <w:rsid w:val="00991FFC"/>
    <w:rsid w:val="00992E1D"/>
    <w:rsid w:val="009936E5"/>
    <w:rsid w:val="00993975"/>
    <w:rsid w:val="0099421D"/>
    <w:rsid w:val="00994A46"/>
    <w:rsid w:val="00995973"/>
    <w:rsid w:val="009972CE"/>
    <w:rsid w:val="009A0047"/>
    <w:rsid w:val="009A1213"/>
    <w:rsid w:val="009A1BB7"/>
    <w:rsid w:val="009A1D7F"/>
    <w:rsid w:val="009A354F"/>
    <w:rsid w:val="009A3593"/>
    <w:rsid w:val="009A3C85"/>
    <w:rsid w:val="009A4182"/>
    <w:rsid w:val="009A4B0B"/>
    <w:rsid w:val="009A4C39"/>
    <w:rsid w:val="009A54AF"/>
    <w:rsid w:val="009A673B"/>
    <w:rsid w:val="009A747F"/>
    <w:rsid w:val="009A7813"/>
    <w:rsid w:val="009A78F7"/>
    <w:rsid w:val="009A7955"/>
    <w:rsid w:val="009A7AE9"/>
    <w:rsid w:val="009A7CFF"/>
    <w:rsid w:val="009B082C"/>
    <w:rsid w:val="009B0F5B"/>
    <w:rsid w:val="009B1402"/>
    <w:rsid w:val="009B149D"/>
    <w:rsid w:val="009B18C7"/>
    <w:rsid w:val="009B19A4"/>
    <w:rsid w:val="009B2F85"/>
    <w:rsid w:val="009B3338"/>
    <w:rsid w:val="009B3E79"/>
    <w:rsid w:val="009B4FCB"/>
    <w:rsid w:val="009B540A"/>
    <w:rsid w:val="009B56B3"/>
    <w:rsid w:val="009B5AC4"/>
    <w:rsid w:val="009B6008"/>
    <w:rsid w:val="009B7864"/>
    <w:rsid w:val="009B7B41"/>
    <w:rsid w:val="009C0FE7"/>
    <w:rsid w:val="009C1643"/>
    <w:rsid w:val="009C184A"/>
    <w:rsid w:val="009C191F"/>
    <w:rsid w:val="009C1C36"/>
    <w:rsid w:val="009C2006"/>
    <w:rsid w:val="009C20EC"/>
    <w:rsid w:val="009C2411"/>
    <w:rsid w:val="009C2A19"/>
    <w:rsid w:val="009C2AB7"/>
    <w:rsid w:val="009C35EE"/>
    <w:rsid w:val="009C3D09"/>
    <w:rsid w:val="009C464F"/>
    <w:rsid w:val="009C4FB1"/>
    <w:rsid w:val="009C5A78"/>
    <w:rsid w:val="009C5EE4"/>
    <w:rsid w:val="009C630E"/>
    <w:rsid w:val="009C6A4D"/>
    <w:rsid w:val="009D00BB"/>
    <w:rsid w:val="009D01A2"/>
    <w:rsid w:val="009D04A9"/>
    <w:rsid w:val="009D1DAF"/>
    <w:rsid w:val="009D201B"/>
    <w:rsid w:val="009D2113"/>
    <w:rsid w:val="009D3EE1"/>
    <w:rsid w:val="009D3FB0"/>
    <w:rsid w:val="009D4457"/>
    <w:rsid w:val="009D4EE7"/>
    <w:rsid w:val="009D53A1"/>
    <w:rsid w:val="009D582F"/>
    <w:rsid w:val="009D603A"/>
    <w:rsid w:val="009D675F"/>
    <w:rsid w:val="009D714F"/>
    <w:rsid w:val="009D782B"/>
    <w:rsid w:val="009D7AF9"/>
    <w:rsid w:val="009E06BF"/>
    <w:rsid w:val="009E11F8"/>
    <w:rsid w:val="009E1739"/>
    <w:rsid w:val="009E1E41"/>
    <w:rsid w:val="009E21F6"/>
    <w:rsid w:val="009E22D7"/>
    <w:rsid w:val="009E27B3"/>
    <w:rsid w:val="009E29B0"/>
    <w:rsid w:val="009E2D4F"/>
    <w:rsid w:val="009E4985"/>
    <w:rsid w:val="009E4D9C"/>
    <w:rsid w:val="009E4EF5"/>
    <w:rsid w:val="009E697A"/>
    <w:rsid w:val="009E6C58"/>
    <w:rsid w:val="009E73C8"/>
    <w:rsid w:val="009E7714"/>
    <w:rsid w:val="009E7718"/>
    <w:rsid w:val="009E7DBB"/>
    <w:rsid w:val="009F0210"/>
    <w:rsid w:val="009F03D0"/>
    <w:rsid w:val="009F0955"/>
    <w:rsid w:val="009F1F15"/>
    <w:rsid w:val="009F33C9"/>
    <w:rsid w:val="009F3A25"/>
    <w:rsid w:val="009F4028"/>
    <w:rsid w:val="009F45E8"/>
    <w:rsid w:val="009F5C2C"/>
    <w:rsid w:val="009F646F"/>
    <w:rsid w:val="009F6A15"/>
    <w:rsid w:val="009F6B36"/>
    <w:rsid w:val="009F6C0D"/>
    <w:rsid w:val="009F7311"/>
    <w:rsid w:val="009F7904"/>
    <w:rsid w:val="009F7CB0"/>
    <w:rsid w:val="00A008B6"/>
    <w:rsid w:val="00A01628"/>
    <w:rsid w:val="00A02941"/>
    <w:rsid w:val="00A02A39"/>
    <w:rsid w:val="00A02BC1"/>
    <w:rsid w:val="00A02C36"/>
    <w:rsid w:val="00A02E90"/>
    <w:rsid w:val="00A0361E"/>
    <w:rsid w:val="00A03774"/>
    <w:rsid w:val="00A049AA"/>
    <w:rsid w:val="00A05F4D"/>
    <w:rsid w:val="00A06B1C"/>
    <w:rsid w:val="00A070B6"/>
    <w:rsid w:val="00A07355"/>
    <w:rsid w:val="00A10FBB"/>
    <w:rsid w:val="00A11119"/>
    <w:rsid w:val="00A11286"/>
    <w:rsid w:val="00A11867"/>
    <w:rsid w:val="00A11B87"/>
    <w:rsid w:val="00A11F32"/>
    <w:rsid w:val="00A120A7"/>
    <w:rsid w:val="00A124E8"/>
    <w:rsid w:val="00A12747"/>
    <w:rsid w:val="00A131D1"/>
    <w:rsid w:val="00A13316"/>
    <w:rsid w:val="00A136A8"/>
    <w:rsid w:val="00A13706"/>
    <w:rsid w:val="00A13CF3"/>
    <w:rsid w:val="00A13D4E"/>
    <w:rsid w:val="00A13FB3"/>
    <w:rsid w:val="00A14316"/>
    <w:rsid w:val="00A15311"/>
    <w:rsid w:val="00A16156"/>
    <w:rsid w:val="00A16C71"/>
    <w:rsid w:val="00A16D64"/>
    <w:rsid w:val="00A17DBC"/>
    <w:rsid w:val="00A212F6"/>
    <w:rsid w:val="00A227A9"/>
    <w:rsid w:val="00A2454D"/>
    <w:rsid w:val="00A24D58"/>
    <w:rsid w:val="00A24FEE"/>
    <w:rsid w:val="00A2527B"/>
    <w:rsid w:val="00A252D1"/>
    <w:rsid w:val="00A2543A"/>
    <w:rsid w:val="00A2566A"/>
    <w:rsid w:val="00A26423"/>
    <w:rsid w:val="00A265FA"/>
    <w:rsid w:val="00A26768"/>
    <w:rsid w:val="00A26FBD"/>
    <w:rsid w:val="00A271CC"/>
    <w:rsid w:val="00A27757"/>
    <w:rsid w:val="00A27772"/>
    <w:rsid w:val="00A27927"/>
    <w:rsid w:val="00A31A19"/>
    <w:rsid w:val="00A31F8F"/>
    <w:rsid w:val="00A323B7"/>
    <w:rsid w:val="00A328C3"/>
    <w:rsid w:val="00A329D6"/>
    <w:rsid w:val="00A32ACC"/>
    <w:rsid w:val="00A32F04"/>
    <w:rsid w:val="00A334A9"/>
    <w:rsid w:val="00A3477E"/>
    <w:rsid w:val="00A347E5"/>
    <w:rsid w:val="00A34E60"/>
    <w:rsid w:val="00A357A9"/>
    <w:rsid w:val="00A36062"/>
    <w:rsid w:val="00A36E19"/>
    <w:rsid w:val="00A3705C"/>
    <w:rsid w:val="00A37371"/>
    <w:rsid w:val="00A37D44"/>
    <w:rsid w:val="00A37F53"/>
    <w:rsid w:val="00A37FB6"/>
    <w:rsid w:val="00A405F6"/>
    <w:rsid w:val="00A4079B"/>
    <w:rsid w:val="00A41244"/>
    <w:rsid w:val="00A4154C"/>
    <w:rsid w:val="00A416C7"/>
    <w:rsid w:val="00A4211E"/>
    <w:rsid w:val="00A4220D"/>
    <w:rsid w:val="00A42DB0"/>
    <w:rsid w:val="00A434BF"/>
    <w:rsid w:val="00A4353B"/>
    <w:rsid w:val="00A4353D"/>
    <w:rsid w:val="00A435D3"/>
    <w:rsid w:val="00A43A88"/>
    <w:rsid w:val="00A43B50"/>
    <w:rsid w:val="00A441EC"/>
    <w:rsid w:val="00A441EE"/>
    <w:rsid w:val="00A44279"/>
    <w:rsid w:val="00A44D3B"/>
    <w:rsid w:val="00A45036"/>
    <w:rsid w:val="00A4581C"/>
    <w:rsid w:val="00A45F7E"/>
    <w:rsid w:val="00A467B3"/>
    <w:rsid w:val="00A46F6D"/>
    <w:rsid w:val="00A47F2B"/>
    <w:rsid w:val="00A500AA"/>
    <w:rsid w:val="00A50AF5"/>
    <w:rsid w:val="00A5104D"/>
    <w:rsid w:val="00A522DF"/>
    <w:rsid w:val="00A525FD"/>
    <w:rsid w:val="00A52A01"/>
    <w:rsid w:val="00A530EA"/>
    <w:rsid w:val="00A539D9"/>
    <w:rsid w:val="00A53CE3"/>
    <w:rsid w:val="00A5445E"/>
    <w:rsid w:val="00A546E4"/>
    <w:rsid w:val="00A54E34"/>
    <w:rsid w:val="00A553AD"/>
    <w:rsid w:val="00A561AE"/>
    <w:rsid w:val="00A57470"/>
    <w:rsid w:val="00A574B6"/>
    <w:rsid w:val="00A60889"/>
    <w:rsid w:val="00A60E98"/>
    <w:rsid w:val="00A60FBC"/>
    <w:rsid w:val="00A6114E"/>
    <w:rsid w:val="00A61294"/>
    <w:rsid w:val="00A61B52"/>
    <w:rsid w:val="00A6278C"/>
    <w:rsid w:val="00A62C57"/>
    <w:rsid w:val="00A63238"/>
    <w:rsid w:val="00A63A4B"/>
    <w:rsid w:val="00A63B85"/>
    <w:rsid w:val="00A640BA"/>
    <w:rsid w:val="00A658BF"/>
    <w:rsid w:val="00A65C60"/>
    <w:rsid w:val="00A6679D"/>
    <w:rsid w:val="00A669A7"/>
    <w:rsid w:val="00A70CC2"/>
    <w:rsid w:val="00A71B7D"/>
    <w:rsid w:val="00A71F72"/>
    <w:rsid w:val="00A72806"/>
    <w:rsid w:val="00A74090"/>
    <w:rsid w:val="00A7449A"/>
    <w:rsid w:val="00A7479B"/>
    <w:rsid w:val="00A74A77"/>
    <w:rsid w:val="00A75063"/>
    <w:rsid w:val="00A75103"/>
    <w:rsid w:val="00A75282"/>
    <w:rsid w:val="00A7542A"/>
    <w:rsid w:val="00A75AC3"/>
    <w:rsid w:val="00A761FC"/>
    <w:rsid w:val="00A769CD"/>
    <w:rsid w:val="00A76F2C"/>
    <w:rsid w:val="00A773EA"/>
    <w:rsid w:val="00A80275"/>
    <w:rsid w:val="00A807BA"/>
    <w:rsid w:val="00A80A4B"/>
    <w:rsid w:val="00A8120F"/>
    <w:rsid w:val="00A81378"/>
    <w:rsid w:val="00A81CBB"/>
    <w:rsid w:val="00A82216"/>
    <w:rsid w:val="00A82264"/>
    <w:rsid w:val="00A82939"/>
    <w:rsid w:val="00A8304A"/>
    <w:rsid w:val="00A831DA"/>
    <w:rsid w:val="00A8359F"/>
    <w:rsid w:val="00A83C1B"/>
    <w:rsid w:val="00A84193"/>
    <w:rsid w:val="00A847B5"/>
    <w:rsid w:val="00A85D90"/>
    <w:rsid w:val="00A86196"/>
    <w:rsid w:val="00A86872"/>
    <w:rsid w:val="00A86C28"/>
    <w:rsid w:val="00A86FF4"/>
    <w:rsid w:val="00A87164"/>
    <w:rsid w:val="00A876A2"/>
    <w:rsid w:val="00A878EB"/>
    <w:rsid w:val="00A9033A"/>
    <w:rsid w:val="00A90424"/>
    <w:rsid w:val="00A90A79"/>
    <w:rsid w:val="00A90B5A"/>
    <w:rsid w:val="00A914F4"/>
    <w:rsid w:val="00A91AB5"/>
    <w:rsid w:val="00A91FBF"/>
    <w:rsid w:val="00A92308"/>
    <w:rsid w:val="00A9231B"/>
    <w:rsid w:val="00A92398"/>
    <w:rsid w:val="00A92955"/>
    <w:rsid w:val="00A92B03"/>
    <w:rsid w:val="00A939C4"/>
    <w:rsid w:val="00A94124"/>
    <w:rsid w:val="00A94EDC"/>
    <w:rsid w:val="00A94F36"/>
    <w:rsid w:val="00AA078A"/>
    <w:rsid w:val="00AA1461"/>
    <w:rsid w:val="00AA1B53"/>
    <w:rsid w:val="00AA2DA3"/>
    <w:rsid w:val="00AA42C1"/>
    <w:rsid w:val="00AA45B0"/>
    <w:rsid w:val="00AA48DA"/>
    <w:rsid w:val="00AA50C2"/>
    <w:rsid w:val="00AA5182"/>
    <w:rsid w:val="00AA5988"/>
    <w:rsid w:val="00AA5CAD"/>
    <w:rsid w:val="00AA62F9"/>
    <w:rsid w:val="00AA7AD0"/>
    <w:rsid w:val="00AB09EE"/>
    <w:rsid w:val="00AB0C7D"/>
    <w:rsid w:val="00AB0FA2"/>
    <w:rsid w:val="00AB1DA6"/>
    <w:rsid w:val="00AB1E8C"/>
    <w:rsid w:val="00AB237F"/>
    <w:rsid w:val="00AB2410"/>
    <w:rsid w:val="00AB2736"/>
    <w:rsid w:val="00AB2C30"/>
    <w:rsid w:val="00AB330A"/>
    <w:rsid w:val="00AB3646"/>
    <w:rsid w:val="00AB3C92"/>
    <w:rsid w:val="00AB3D7C"/>
    <w:rsid w:val="00AB4CF5"/>
    <w:rsid w:val="00AB4D14"/>
    <w:rsid w:val="00AB50FD"/>
    <w:rsid w:val="00AB63AC"/>
    <w:rsid w:val="00AB63B3"/>
    <w:rsid w:val="00AB6412"/>
    <w:rsid w:val="00AB6FCC"/>
    <w:rsid w:val="00AB73DA"/>
    <w:rsid w:val="00AC01AB"/>
    <w:rsid w:val="00AC0637"/>
    <w:rsid w:val="00AC09BC"/>
    <w:rsid w:val="00AC0AFC"/>
    <w:rsid w:val="00AC0F1C"/>
    <w:rsid w:val="00AC34A1"/>
    <w:rsid w:val="00AC3E2C"/>
    <w:rsid w:val="00AC4A0E"/>
    <w:rsid w:val="00AC4A17"/>
    <w:rsid w:val="00AC4E71"/>
    <w:rsid w:val="00AC4E8E"/>
    <w:rsid w:val="00AC5E3F"/>
    <w:rsid w:val="00AC7589"/>
    <w:rsid w:val="00AD0208"/>
    <w:rsid w:val="00AD04F6"/>
    <w:rsid w:val="00AD179D"/>
    <w:rsid w:val="00AD1E1B"/>
    <w:rsid w:val="00AD2083"/>
    <w:rsid w:val="00AD4229"/>
    <w:rsid w:val="00AD5011"/>
    <w:rsid w:val="00AD56B8"/>
    <w:rsid w:val="00AD5CB5"/>
    <w:rsid w:val="00AD6E7C"/>
    <w:rsid w:val="00AD7588"/>
    <w:rsid w:val="00AD782E"/>
    <w:rsid w:val="00AE06C5"/>
    <w:rsid w:val="00AE0C12"/>
    <w:rsid w:val="00AE0F37"/>
    <w:rsid w:val="00AE111A"/>
    <w:rsid w:val="00AE16E5"/>
    <w:rsid w:val="00AE2206"/>
    <w:rsid w:val="00AE2A5A"/>
    <w:rsid w:val="00AE2CA0"/>
    <w:rsid w:val="00AE35AE"/>
    <w:rsid w:val="00AE3DA3"/>
    <w:rsid w:val="00AE4145"/>
    <w:rsid w:val="00AE63E8"/>
    <w:rsid w:val="00AE6EA8"/>
    <w:rsid w:val="00AE7127"/>
    <w:rsid w:val="00AF063D"/>
    <w:rsid w:val="00AF139C"/>
    <w:rsid w:val="00AF2464"/>
    <w:rsid w:val="00AF296B"/>
    <w:rsid w:val="00AF2CAE"/>
    <w:rsid w:val="00AF360F"/>
    <w:rsid w:val="00AF42FB"/>
    <w:rsid w:val="00AF4D7A"/>
    <w:rsid w:val="00AF511E"/>
    <w:rsid w:val="00AF515A"/>
    <w:rsid w:val="00AF5416"/>
    <w:rsid w:val="00AF570A"/>
    <w:rsid w:val="00AF58FC"/>
    <w:rsid w:val="00AF6210"/>
    <w:rsid w:val="00AF6DB8"/>
    <w:rsid w:val="00B00DBD"/>
    <w:rsid w:val="00B01154"/>
    <w:rsid w:val="00B01996"/>
    <w:rsid w:val="00B01C29"/>
    <w:rsid w:val="00B03960"/>
    <w:rsid w:val="00B04022"/>
    <w:rsid w:val="00B04C3A"/>
    <w:rsid w:val="00B04F5E"/>
    <w:rsid w:val="00B05240"/>
    <w:rsid w:val="00B05882"/>
    <w:rsid w:val="00B06210"/>
    <w:rsid w:val="00B06611"/>
    <w:rsid w:val="00B06C2A"/>
    <w:rsid w:val="00B078CC"/>
    <w:rsid w:val="00B079A8"/>
    <w:rsid w:val="00B07F7C"/>
    <w:rsid w:val="00B10002"/>
    <w:rsid w:val="00B10CB2"/>
    <w:rsid w:val="00B10DB3"/>
    <w:rsid w:val="00B126A1"/>
    <w:rsid w:val="00B12AB8"/>
    <w:rsid w:val="00B12E0F"/>
    <w:rsid w:val="00B143AA"/>
    <w:rsid w:val="00B143E4"/>
    <w:rsid w:val="00B14825"/>
    <w:rsid w:val="00B164D4"/>
    <w:rsid w:val="00B16A3B"/>
    <w:rsid w:val="00B17C32"/>
    <w:rsid w:val="00B21B5E"/>
    <w:rsid w:val="00B21C18"/>
    <w:rsid w:val="00B22098"/>
    <w:rsid w:val="00B22C2F"/>
    <w:rsid w:val="00B2317B"/>
    <w:rsid w:val="00B23C4E"/>
    <w:rsid w:val="00B24008"/>
    <w:rsid w:val="00B243D3"/>
    <w:rsid w:val="00B24422"/>
    <w:rsid w:val="00B25D74"/>
    <w:rsid w:val="00B26352"/>
    <w:rsid w:val="00B2705A"/>
    <w:rsid w:val="00B2724A"/>
    <w:rsid w:val="00B277E1"/>
    <w:rsid w:val="00B27B7F"/>
    <w:rsid w:val="00B30158"/>
    <w:rsid w:val="00B30D9F"/>
    <w:rsid w:val="00B30E3F"/>
    <w:rsid w:val="00B31962"/>
    <w:rsid w:val="00B31ADB"/>
    <w:rsid w:val="00B31F50"/>
    <w:rsid w:val="00B32706"/>
    <w:rsid w:val="00B329B7"/>
    <w:rsid w:val="00B32E72"/>
    <w:rsid w:val="00B3307C"/>
    <w:rsid w:val="00B33155"/>
    <w:rsid w:val="00B33511"/>
    <w:rsid w:val="00B33924"/>
    <w:rsid w:val="00B346CE"/>
    <w:rsid w:val="00B35C3C"/>
    <w:rsid w:val="00B362F5"/>
    <w:rsid w:val="00B36634"/>
    <w:rsid w:val="00B403FA"/>
    <w:rsid w:val="00B40BE3"/>
    <w:rsid w:val="00B411C6"/>
    <w:rsid w:val="00B41940"/>
    <w:rsid w:val="00B41ED4"/>
    <w:rsid w:val="00B4280E"/>
    <w:rsid w:val="00B42E96"/>
    <w:rsid w:val="00B43F3B"/>
    <w:rsid w:val="00B44938"/>
    <w:rsid w:val="00B4499A"/>
    <w:rsid w:val="00B45229"/>
    <w:rsid w:val="00B45641"/>
    <w:rsid w:val="00B459A5"/>
    <w:rsid w:val="00B4671E"/>
    <w:rsid w:val="00B47408"/>
    <w:rsid w:val="00B47D99"/>
    <w:rsid w:val="00B5097E"/>
    <w:rsid w:val="00B50A2A"/>
    <w:rsid w:val="00B51127"/>
    <w:rsid w:val="00B512CD"/>
    <w:rsid w:val="00B5182A"/>
    <w:rsid w:val="00B52106"/>
    <w:rsid w:val="00B5260E"/>
    <w:rsid w:val="00B535C6"/>
    <w:rsid w:val="00B543BA"/>
    <w:rsid w:val="00B54784"/>
    <w:rsid w:val="00B54D8D"/>
    <w:rsid w:val="00B54DDB"/>
    <w:rsid w:val="00B55836"/>
    <w:rsid w:val="00B55C23"/>
    <w:rsid w:val="00B5651D"/>
    <w:rsid w:val="00B572B0"/>
    <w:rsid w:val="00B60525"/>
    <w:rsid w:val="00B60B22"/>
    <w:rsid w:val="00B611EC"/>
    <w:rsid w:val="00B614E2"/>
    <w:rsid w:val="00B61B28"/>
    <w:rsid w:val="00B6209F"/>
    <w:rsid w:val="00B63040"/>
    <w:rsid w:val="00B631A9"/>
    <w:rsid w:val="00B63A75"/>
    <w:rsid w:val="00B64233"/>
    <w:rsid w:val="00B64A16"/>
    <w:rsid w:val="00B657B5"/>
    <w:rsid w:val="00B65A87"/>
    <w:rsid w:val="00B6695A"/>
    <w:rsid w:val="00B66B52"/>
    <w:rsid w:val="00B66C5D"/>
    <w:rsid w:val="00B6722F"/>
    <w:rsid w:val="00B6752E"/>
    <w:rsid w:val="00B6762D"/>
    <w:rsid w:val="00B67F0F"/>
    <w:rsid w:val="00B70440"/>
    <w:rsid w:val="00B706AD"/>
    <w:rsid w:val="00B7072B"/>
    <w:rsid w:val="00B7091B"/>
    <w:rsid w:val="00B70C1F"/>
    <w:rsid w:val="00B70FBF"/>
    <w:rsid w:val="00B713CC"/>
    <w:rsid w:val="00B72FA3"/>
    <w:rsid w:val="00B733BA"/>
    <w:rsid w:val="00B73616"/>
    <w:rsid w:val="00B737B4"/>
    <w:rsid w:val="00B73CF2"/>
    <w:rsid w:val="00B75878"/>
    <w:rsid w:val="00B75AE2"/>
    <w:rsid w:val="00B765B0"/>
    <w:rsid w:val="00B77212"/>
    <w:rsid w:val="00B77578"/>
    <w:rsid w:val="00B82346"/>
    <w:rsid w:val="00B82D55"/>
    <w:rsid w:val="00B8426E"/>
    <w:rsid w:val="00B86B23"/>
    <w:rsid w:val="00B872DB"/>
    <w:rsid w:val="00B8757C"/>
    <w:rsid w:val="00B906B7"/>
    <w:rsid w:val="00B90729"/>
    <w:rsid w:val="00B90EFE"/>
    <w:rsid w:val="00B915A6"/>
    <w:rsid w:val="00B91995"/>
    <w:rsid w:val="00B91D64"/>
    <w:rsid w:val="00B91DE3"/>
    <w:rsid w:val="00B91F1A"/>
    <w:rsid w:val="00B9271F"/>
    <w:rsid w:val="00B92908"/>
    <w:rsid w:val="00B9304C"/>
    <w:rsid w:val="00B934F4"/>
    <w:rsid w:val="00B93CBD"/>
    <w:rsid w:val="00B9421F"/>
    <w:rsid w:val="00B94C2E"/>
    <w:rsid w:val="00B95217"/>
    <w:rsid w:val="00B9542F"/>
    <w:rsid w:val="00B95912"/>
    <w:rsid w:val="00B95FAE"/>
    <w:rsid w:val="00B967E7"/>
    <w:rsid w:val="00B96AAB"/>
    <w:rsid w:val="00B96C71"/>
    <w:rsid w:val="00B973E1"/>
    <w:rsid w:val="00B973F5"/>
    <w:rsid w:val="00BA049F"/>
    <w:rsid w:val="00BA093D"/>
    <w:rsid w:val="00BA0968"/>
    <w:rsid w:val="00BA15FF"/>
    <w:rsid w:val="00BA1623"/>
    <w:rsid w:val="00BA1794"/>
    <w:rsid w:val="00BA1D3D"/>
    <w:rsid w:val="00BA1DC0"/>
    <w:rsid w:val="00BA3039"/>
    <w:rsid w:val="00BA32A6"/>
    <w:rsid w:val="00BA340F"/>
    <w:rsid w:val="00BA460E"/>
    <w:rsid w:val="00BA48C7"/>
    <w:rsid w:val="00BA5DAD"/>
    <w:rsid w:val="00BA6023"/>
    <w:rsid w:val="00BA618F"/>
    <w:rsid w:val="00BA71DD"/>
    <w:rsid w:val="00BA7476"/>
    <w:rsid w:val="00BB024C"/>
    <w:rsid w:val="00BB03B4"/>
    <w:rsid w:val="00BB084B"/>
    <w:rsid w:val="00BB0E9B"/>
    <w:rsid w:val="00BB1E54"/>
    <w:rsid w:val="00BB23B0"/>
    <w:rsid w:val="00BB2E36"/>
    <w:rsid w:val="00BB323C"/>
    <w:rsid w:val="00BB3920"/>
    <w:rsid w:val="00BB40BA"/>
    <w:rsid w:val="00BB4871"/>
    <w:rsid w:val="00BB4BD4"/>
    <w:rsid w:val="00BB4DAE"/>
    <w:rsid w:val="00BB50D4"/>
    <w:rsid w:val="00BB546A"/>
    <w:rsid w:val="00BB5762"/>
    <w:rsid w:val="00BB5BD6"/>
    <w:rsid w:val="00BB6075"/>
    <w:rsid w:val="00BB65B8"/>
    <w:rsid w:val="00BB6C4C"/>
    <w:rsid w:val="00BB74EC"/>
    <w:rsid w:val="00BB76A5"/>
    <w:rsid w:val="00BB7C86"/>
    <w:rsid w:val="00BC04E2"/>
    <w:rsid w:val="00BC1172"/>
    <w:rsid w:val="00BC1900"/>
    <w:rsid w:val="00BC1B31"/>
    <w:rsid w:val="00BC1D2C"/>
    <w:rsid w:val="00BC1E75"/>
    <w:rsid w:val="00BC1FEE"/>
    <w:rsid w:val="00BC21BD"/>
    <w:rsid w:val="00BC238A"/>
    <w:rsid w:val="00BC324E"/>
    <w:rsid w:val="00BC3D7B"/>
    <w:rsid w:val="00BC3E24"/>
    <w:rsid w:val="00BC3F11"/>
    <w:rsid w:val="00BC49C5"/>
    <w:rsid w:val="00BC49DA"/>
    <w:rsid w:val="00BC4A49"/>
    <w:rsid w:val="00BC4D81"/>
    <w:rsid w:val="00BC4DF9"/>
    <w:rsid w:val="00BC51B8"/>
    <w:rsid w:val="00BC5865"/>
    <w:rsid w:val="00BC58EC"/>
    <w:rsid w:val="00BC5AB6"/>
    <w:rsid w:val="00BC5BEC"/>
    <w:rsid w:val="00BC6418"/>
    <w:rsid w:val="00BC6A13"/>
    <w:rsid w:val="00BC710E"/>
    <w:rsid w:val="00BC7B75"/>
    <w:rsid w:val="00BD0601"/>
    <w:rsid w:val="00BD15D8"/>
    <w:rsid w:val="00BD16B2"/>
    <w:rsid w:val="00BD3994"/>
    <w:rsid w:val="00BD40E8"/>
    <w:rsid w:val="00BD418C"/>
    <w:rsid w:val="00BD48F1"/>
    <w:rsid w:val="00BD4CD0"/>
    <w:rsid w:val="00BD501B"/>
    <w:rsid w:val="00BD57CB"/>
    <w:rsid w:val="00BD5903"/>
    <w:rsid w:val="00BD5E4D"/>
    <w:rsid w:val="00BD6B05"/>
    <w:rsid w:val="00BD71CC"/>
    <w:rsid w:val="00BD72C1"/>
    <w:rsid w:val="00BE0164"/>
    <w:rsid w:val="00BE0789"/>
    <w:rsid w:val="00BE2108"/>
    <w:rsid w:val="00BE2432"/>
    <w:rsid w:val="00BE31BC"/>
    <w:rsid w:val="00BE37B9"/>
    <w:rsid w:val="00BE37EA"/>
    <w:rsid w:val="00BE3F4B"/>
    <w:rsid w:val="00BE46A7"/>
    <w:rsid w:val="00BE4A2D"/>
    <w:rsid w:val="00BE5EEF"/>
    <w:rsid w:val="00BE630F"/>
    <w:rsid w:val="00BE64F7"/>
    <w:rsid w:val="00BE65B4"/>
    <w:rsid w:val="00BE7C8A"/>
    <w:rsid w:val="00BE7CAA"/>
    <w:rsid w:val="00BE7CC0"/>
    <w:rsid w:val="00BF05A1"/>
    <w:rsid w:val="00BF09E7"/>
    <w:rsid w:val="00BF0C2F"/>
    <w:rsid w:val="00BF1A7A"/>
    <w:rsid w:val="00BF1C77"/>
    <w:rsid w:val="00BF2027"/>
    <w:rsid w:val="00BF256D"/>
    <w:rsid w:val="00BF2782"/>
    <w:rsid w:val="00BF2A9F"/>
    <w:rsid w:val="00BF32F1"/>
    <w:rsid w:val="00BF391A"/>
    <w:rsid w:val="00BF3E4B"/>
    <w:rsid w:val="00BF41CC"/>
    <w:rsid w:val="00BF4225"/>
    <w:rsid w:val="00BF44D1"/>
    <w:rsid w:val="00BF4717"/>
    <w:rsid w:val="00BF48AF"/>
    <w:rsid w:val="00BF5B5D"/>
    <w:rsid w:val="00BF5EB6"/>
    <w:rsid w:val="00BF6080"/>
    <w:rsid w:val="00BF657D"/>
    <w:rsid w:val="00BF72F8"/>
    <w:rsid w:val="00BF79EE"/>
    <w:rsid w:val="00C0019B"/>
    <w:rsid w:val="00C00D36"/>
    <w:rsid w:val="00C00D50"/>
    <w:rsid w:val="00C00FB0"/>
    <w:rsid w:val="00C01C4C"/>
    <w:rsid w:val="00C01FCD"/>
    <w:rsid w:val="00C024C0"/>
    <w:rsid w:val="00C0282C"/>
    <w:rsid w:val="00C034DE"/>
    <w:rsid w:val="00C038A6"/>
    <w:rsid w:val="00C03D23"/>
    <w:rsid w:val="00C043C7"/>
    <w:rsid w:val="00C0458A"/>
    <w:rsid w:val="00C0539C"/>
    <w:rsid w:val="00C05D96"/>
    <w:rsid w:val="00C06288"/>
    <w:rsid w:val="00C06CA2"/>
    <w:rsid w:val="00C0748E"/>
    <w:rsid w:val="00C078DA"/>
    <w:rsid w:val="00C1032D"/>
    <w:rsid w:val="00C10505"/>
    <w:rsid w:val="00C10D8F"/>
    <w:rsid w:val="00C11256"/>
    <w:rsid w:val="00C11AB3"/>
    <w:rsid w:val="00C1313C"/>
    <w:rsid w:val="00C13B26"/>
    <w:rsid w:val="00C13D31"/>
    <w:rsid w:val="00C140E2"/>
    <w:rsid w:val="00C14548"/>
    <w:rsid w:val="00C14A6B"/>
    <w:rsid w:val="00C15D56"/>
    <w:rsid w:val="00C15D91"/>
    <w:rsid w:val="00C16808"/>
    <w:rsid w:val="00C169A9"/>
    <w:rsid w:val="00C17192"/>
    <w:rsid w:val="00C21FFD"/>
    <w:rsid w:val="00C225DE"/>
    <w:rsid w:val="00C234D2"/>
    <w:rsid w:val="00C23AA0"/>
    <w:rsid w:val="00C24A8F"/>
    <w:rsid w:val="00C24CB0"/>
    <w:rsid w:val="00C25955"/>
    <w:rsid w:val="00C30413"/>
    <w:rsid w:val="00C32267"/>
    <w:rsid w:val="00C3235A"/>
    <w:rsid w:val="00C32428"/>
    <w:rsid w:val="00C32812"/>
    <w:rsid w:val="00C33C4B"/>
    <w:rsid w:val="00C34BA1"/>
    <w:rsid w:val="00C3501E"/>
    <w:rsid w:val="00C357CF"/>
    <w:rsid w:val="00C3617E"/>
    <w:rsid w:val="00C362D2"/>
    <w:rsid w:val="00C36379"/>
    <w:rsid w:val="00C36984"/>
    <w:rsid w:val="00C370AE"/>
    <w:rsid w:val="00C403C4"/>
    <w:rsid w:val="00C4052E"/>
    <w:rsid w:val="00C4074E"/>
    <w:rsid w:val="00C40F79"/>
    <w:rsid w:val="00C414E9"/>
    <w:rsid w:val="00C420BF"/>
    <w:rsid w:val="00C43781"/>
    <w:rsid w:val="00C45B03"/>
    <w:rsid w:val="00C45C4E"/>
    <w:rsid w:val="00C46A35"/>
    <w:rsid w:val="00C46DA9"/>
    <w:rsid w:val="00C47D7A"/>
    <w:rsid w:val="00C50250"/>
    <w:rsid w:val="00C50323"/>
    <w:rsid w:val="00C50BBD"/>
    <w:rsid w:val="00C51217"/>
    <w:rsid w:val="00C51597"/>
    <w:rsid w:val="00C51790"/>
    <w:rsid w:val="00C51FD0"/>
    <w:rsid w:val="00C520C4"/>
    <w:rsid w:val="00C5215F"/>
    <w:rsid w:val="00C52EA2"/>
    <w:rsid w:val="00C53B29"/>
    <w:rsid w:val="00C543B8"/>
    <w:rsid w:val="00C549DA"/>
    <w:rsid w:val="00C54E00"/>
    <w:rsid w:val="00C54EFB"/>
    <w:rsid w:val="00C55DE4"/>
    <w:rsid w:val="00C55EEA"/>
    <w:rsid w:val="00C5642A"/>
    <w:rsid w:val="00C564B9"/>
    <w:rsid w:val="00C57326"/>
    <w:rsid w:val="00C579A4"/>
    <w:rsid w:val="00C6019B"/>
    <w:rsid w:val="00C614BF"/>
    <w:rsid w:val="00C625A0"/>
    <w:rsid w:val="00C639BA"/>
    <w:rsid w:val="00C64049"/>
    <w:rsid w:val="00C6437B"/>
    <w:rsid w:val="00C64C98"/>
    <w:rsid w:val="00C65BCB"/>
    <w:rsid w:val="00C65BE2"/>
    <w:rsid w:val="00C6635F"/>
    <w:rsid w:val="00C67551"/>
    <w:rsid w:val="00C70345"/>
    <w:rsid w:val="00C7074F"/>
    <w:rsid w:val="00C709F3"/>
    <w:rsid w:val="00C70D18"/>
    <w:rsid w:val="00C72187"/>
    <w:rsid w:val="00C726DB"/>
    <w:rsid w:val="00C728A1"/>
    <w:rsid w:val="00C7353E"/>
    <w:rsid w:val="00C74E06"/>
    <w:rsid w:val="00C75D11"/>
    <w:rsid w:val="00C75EAF"/>
    <w:rsid w:val="00C77BAC"/>
    <w:rsid w:val="00C809C9"/>
    <w:rsid w:val="00C80D45"/>
    <w:rsid w:val="00C81270"/>
    <w:rsid w:val="00C81421"/>
    <w:rsid w:val="00C81B5D"/>
    <w:rsid w:val="00C82123"/>
    <w:rsid w:val="00C82215"/>
    <w:rsid w:val="00C826C1"/>
    <w:rsid w:val="00C84162"/>
    <w:rsid w:val="00C85564"/>
    <w:rsid w:val="00C8726C"/>
    <w:rsid w:val="00C8729C"/>
    <w:rsid w:val="00C904DF"/>
    <w:rsid w:val="00C90F6A"/>
    <w:rsid w:val="00C91127"/>
    <w:rsid w:val="00C91429"/>
    <w:rsid w:val="00C91BF7"/>
    <w:rsid w:val="00C91D0F"/>
    <w:rsid w:val="00C91F6F"/>
    <w:rsid w:val="00C925E4"/>
    <w:rsid w:val="00C92662"/>
    <w:rsid w:val="00C92BB7"/>
    <w:rsid w:val="00C932F0"/>
    <w:rsid w:val="00C93304"/>
    <w:rsid w:val="00C939A8"/>
    <w:rsid w:val="00C93A50"/>
    <w:rsid w:val="00C952D6"/>
    <w:rsid w:val="00C9555C"/>
    <w:rsid w:val="00C96EE4"/>
    <w:rsid w:val="00C97011"/>
    <w:rsid w:val="00C9773D"/>
    <w:rsid w:val="00CA0C3E"/>
    <w:rsid w:val="00CA0E27"/>
    <w:rsid w:val="00CA0F23"/>
    <w:rsid w:val="00CA280F"/>
    <w:rsid w:val="00CA3F87"/>
    <w:rsid w:val="00CA5914"/>
    <w:rsid w:val="00CA61D3"/>
    <w:rsid w:val="00CA67B8"/>
    <w:rsid w:val="00CA6945"/>
    <w:rsid w:val="00CA7A7C"/>
    <w:rsid w:val="00CA7F16"/>
    <w:rsid w:val="00CB0017"/>
    <w:rsid w:val="00CB0036"/>
    <w:rsid w:val="00CB1063"/>
    <w:rsid w:val="00CB2928"/>
    <w:rsid w:val="00CB31F5"/>
    <w:rsid w:val="00CB379E"/>
    <w:rsid w:val="00CB5172"/>
    <w:rsid w:val="00CB527E"/>
    <w:rsid w:val="00CB5E20"/>
    <w:rsid w:val="00CB5F3E"/>
    <w:rsid w:val="00CB73E9"/>
    <w:rsid w:val="00CB7542"/>
    <w:rsid w:val="00CB76C7"/>
    <w:rsid w:val="00CB7AD0"/>
    <w:rsid w:val="00CC0305"/>
    <w:rsid w:val="00CC0F73"/>
    <w:rsid w:val="00CC13C3"/>
    <w:rsid w:val="00CC14E7"/>
    <w:rsid w:val="00CC2224"/>
    <w:rsid w:val="00CC298A"/>
    <w:rsid w:val="00CC2EF8"/>
    <w:rsid w:val="00CC36FC"/>
    <w:rsid w:val="00CC3BDF"/>
    <w:rsid w:val="00CC668A"/>
    <w:rsid w:val="00CC6792"/>
    <w:rsid w:val="00CC6802"/>
    <w:rsid w:val="00CC6C9F"/>
    <w:rsid w:val="00CC70AC"/>
    <w:rsid w:val="00CC7585"/>
    <w:rsid w:val="00CC7881"/>
    <w:rsid w:val="00CC7F15"/>
    <w:rsid w:val="00CD005D"/>
    <w:rsid w:val="00CD0563"/>
    <w:rsid w:val="00CD11BC"/>
    <w:rsid w:val="00CD1506"/>
    <w:rsid w:val="00CD15E7"/>
    <w:rsid w:val="00CD1621"/>
    <w:rsid w:val="00CD1911"/>
    <w:rsid w:val="00CD1C7B"/>
    <w:rsid w:val="00CD2C6C"/>
    <w:rsid w:val="00CD2DC4"/>
    <w:rsid w:val="00CD31D0"/>
    <w:rsid w:val="00CD4791"/>
    <w:rsid w:val="00CD4B0D"/>
    <w:rsid w:val="00CD4FE9"/>
    <w:rsid w:val="00CD53D8"/>
    <w:rsid w:val="00CD5947"/>
    <w:rsid w:val="00CD5D52"/>
    <w:rsid w:val="00CD6958"/>
    <w:rsid w:val="00CD6CDE"/>
    <w:rsid w:val="00CE0882"/>
    <w:rsid w:val="00CE1572"/>
    <w:rsid w:val="00CE208D"/>
    <w:rsid w:val="00CE29AE"/>
    <w:rsid w:val="00CE2FA3"/>
    <w:rsid w:val="00CE377E"/>
    <w:rsid w:val="00CE43C7"/>
    <w:rsid w:val="00CE46B9"/>
    <w:rsid w:val="00CE683A"/>
    <w:rsid w:val="00CE6A85"/>
    <w:rsid w:val="00CE7945"/>
    <w:rsid w:val="00CE79CC"/>
    <w:rsid w:val="00CE7A25"/>
    <w:rsid w:val="00CF02C4"/>
    <w:rsid w:val="00CF11CD"/>
    <w:rsid w:val="00CF123C"/>
    <w:rsid w:val="00CF1812"/>
    <w:rsid w:val="00CF214F"/>
    <w:rsid w:val="00CF2C74"/>
    <w:rsid w:val="00CF2F94"/>
    <w:rsid w:val="00CF3C62"/>
    <w:rsid w:val="00CF4C54"/>
    <w:rsid w:val="00CF5952"/>
    <w:rsid w:val="00CF63D3"/>
    <w:rsid w:val="00CF6527"/>
    <w:rsid w:val="00CF741D"/>
    <w:rsid w:val="00CF7B85"/>
    <w:rsid w:val="00CF7E4B"/>
    <w:rsid w:val="00D00BC7"/>
    <w:rsid w:val="00D00C73"/>
    <w:rsid w:val="00D0224D"/>
    <w:rsid w:val="00D024EE"/>
    <w:rsid w:val="00D029CE"/>
    <w:rsid w:val="00D0359D"/>
    <w:rsid w:val="00D03F24"/>
    <w:rsid w:val="00D0590D"/>
    <w:rsid w:val="00D06048"/>
    <w:rsid w:val="00D0749D"/>
    <w:rsid w:val="00D074D3"/>
    <w:rsid w:val="00D07A94"/>
    <w:rsid w:val="00D109DB"/>
    <w:rsid w:val="00D11546"/>
    <w:rsid w:val="00D11728"/>
    <w:rsid w:val="00D12D2C"/>
    <w:rsid w:val="00D12F2A"/>
    <w:rsid w:val="00D132C9"/>
    <w:rsid w:val="00D13BCC"/>
    <w:rsid w:val="00D14195"/>
    <w:rsid w:val="00D148A5"/>
    <w:rsid w:val="00D14A7B"/>
    <w:rsid w:val="00D158A8"/>
    <w:rsid w:val="00D15AA3"/>
    <w:rsid w:val="00D1625A"/>
    <w:rsid w:val="00D1724F"/>
    <w:rsid w:val="00D17508"/>
    <w:rsid w:val="00D17640"/>
    <w:rsid w:val="00D17707"/>
    <w:rsid w:val="00D17800"/>
    <w:rsid w:val="00D17A2D"/>
    <w:rsid w:val="00D17E67"/>
    <w:rsid w:val="00D203CE"/>
    <w:rsid w:val="00D20EED"/>
    <w:rsid w:val="00D2148E"/>
    <w:rsid w:val="00D216C2"/>
    <w:rsid w:val="00D21AF1"/>
    <w:rsid w:val="00D22253"/>
    <w:rsid w:val="00D239D9"/>
    <w:rsid w:val="00D23E54"/>
    <w:rsid w:val="00D23F43"/>
    <w:rsid w:val="00D25034"/>
    <w:rsid w:val="00D26603"/>
    <w:rsid w:val="00D279C7"/>
    <w:rsid w:val="00D3008B"/>
    <w:rsid w:val="00D300CD"/>
    <w:rsid w:val="00D32C15"/>
    <w:rsid w:val="00D3365D"/>
    <w:rsid w:val="00D337C6"/>
    <w:rsid w:val="00D33DDC"/>
    <w:rsid w:val="00D33FCF"/>
    <w:rsid w:val="00D33FF4"/>
    <w:rsid w:val="00D34DC4"/>
    <w:rsid w:val="00D3556D"/>
    <w:rsid w:val="00D35A6B"/>
    <w:rsid w:val="00D35D03"/>
    <w:rsid w:val="00D36007"/>
    <w:rsid w:val="00D360ED"/>
    <w:rsid w:val="00D36E24"/>
    <w:rsid w:val="00D37220"/>
    <w:rsid w:val="00D3744C"/>
    <w:rsid w:val="00D37856"/>
    <w:rsid w:val="00D37A0A"/>
    <w:rsid w:val="00D37B4C"/>
    <w:rsid w:val="00D4013B"/>
    <w:rsid w:val="00D41491"/>
    <w:rsid w:val="00D41966"/>
    <w:rsid w:val="00D42871"/>
    <w:rsid w:val="00D42990"/>
    <w:rsid w:val="00D43525"/>
    <w:rsid w:val="00D43596"/>
    <w:rsid w:val="00D4365D"/>
    <w:rsid w:val="00D43D26"/>
    <w:rsid w:val="00D43EC6"/>
    <w:rsid w:val="00D44FF7"/>
    <w:rsid w:val="00D450FD"/>
    <w:rsid w:val="00D4588D"/>
    <w:rsid w:val="00D4656A"/>
    <w:rsid w:val="00D476A6"/>
    <w:rsid w:val="00D47984"/>
    <w:rsid w:val="00D47C56"/>
    <w:rsid w:val="00D47DF6"/>
    <w:rsid w:val="00D521BC"/>
    <w:rsid w:val="00D527A2"/>
    <w:rsid w:val="00D52E65"/>
    <w:rsid w:val="00D53173"/>
    <w:rsid w:val="00D53285"/>
    <w:rsid w:val="00D53493"/>
    <w:rsid w:val="00D546CF"/>
    <w:rsid w:val="00D54935"/>
    <w:rsid w:val="00D559AC"/>
    <w:rsid w:val="00D56AB8"/>
    <w:rsid w:val="00D56ABD"/>
    <w:rsid w:val="00D56F24"/>
    <w:rsid w:val="00D57216"/>
    <w:rsid w:val="00D576A5"/>
    <w:rsid w:val="00D577C1"/>
    <w:rsid w:val="00D57823"/>
    <w:rsid w:val="00D60127"/>
    <w:rsid w:val="00D60C1D"/>
    <w:rsid w:val="00D615D6"/>
    <w:rsid w:val="00D61B2A"/>
    <w:rsid w:val="00D629AE"/>
    <w:rsid w:val="00D63921"/>
    <w:rsid w:val="00D63ADB"/>
    <w:rsid w:val="00D63F02"/>
    <w:rsid w:val="00D64ECE"/>
    <w:rsid w:val="00D6579D"/>
    <w:rsid w:val="00D65E19"/>
    <w:rsid w:val="00D66ADA"/>
    <w:rsid w:val="00D66B3A"/>
    <w:rsid w:val="00D66E64"/>
    <w:rsid w:val="00D67757"/>
    <w:rsid w:val="00D67EAB"/>
    <w:rsid w:val="00D70163"/>
    <w:rsid w:val="00D7064F"/>
    <w:rsid w:val="00D7129F"/>
    <w:rsid w:val="00D72BAA"/>
    <w:rsid w:val="00D730A8"/>
    <w:rsid w:val="00D737AF"/>
    <w:rsid w:val="00D74203"/>
    <w:rsid w:val="00D74394"/>
    <w:rsid w:val="00D74CB8"/>
    <w:rsid w:val="00D74E33"/>
    <w:rsid w:val="00D74FB5"/>
    <w:rsid w:val="00D75190"/>
    <w:rsid w:val="00D7598F"/>
    <w:rsid w:val="00D75E1C"/>
    <w:rsid w:val="00D7662C"/>
    <w:rsid w:val="00D7675E"/>
    <w:rsid w:val="00D76F3F"/>
    <w:rsid w:val="00D77033"/>
    <w:rsid w:val="00D77777"/>
    <w:rsid w:val="00D77C1B"/>
    <w:rsid w:val="00D77EC0"/>
    <w:rsid w:val="00D810F7"/>
    <w:rsid w:val="00D8270A"/>
    <w:rsid w:val="00D82B19"/>
    <w:rsid w:val="00D82DAD"/>
    <w:rsid w:val="00D83498"/>
    <w:rsid w:val="00D841DF"/>
    <w:rsid w:val="00D857D8"/>
    <w:rsid w:val="00D85B63"/>
    <w:rsid w:val="00D85C20"/>
    <w:rsid w:val="00D85C65"/>
    <w:rsid w:val="00D86099"/>
    <w:rsid w:val="00D86654"/>
    <w:rsid w:val="00D86FEC"/>
    <w:rsid w:val="00D87C84"/>
    <w:rsid w:val="00D9078D"/>
    <w:rsid w:val="00D919B6"/>
    <w:rsid w:val="00D921CB"/>
    <w:rsid w:val="00D9311E"/>
    <w:rsid w:val="00D931DA"/>
    <w:rsid w:val="00D936EC"/>
    <w:rsid w:val="00D93DCD"/>
    <w:rsid w:val="00D93F82"/>
    <w:rsid w:val="00D9416A"/>
    <w:rsid w:val="00D947E5"/>
    <w:rsid w:val="00D94A03"/>
    <w:rsid w:val="00D94DF0"/>
    <w:rsid w:val="00D95304"/>
    <w:rsid w:val="00D95B69"/>
    <w:rsid w:val="00D96886"/>
    <w:rsid w:val="00D973B3"/>
    <w:rsid w:val="00D976AE"/>
    <w:rsid w:val="00DA0537"/>
    <w:rsid w:val="00DA0979"/>
    <w:rsid w:val="00DA1608"/>
    <w:rsid w:val="00DA23B3"/>
    <w:rsid w:val="00DA2A52"/>
    <w:rsid w:val="00DA3B63"/>
    <w:rsid w:val="00DA4290"/>
    <w:rsid w:val="00DA5078"/>
    <w:rsid w:val="00DA53B8"/>
    <w:rsid w:val="00DA59BF"/>
    <w:rsid w:val="00DA59C9"/>
    <w:rsid w:val="00DA67BC"/>
    <w:rsid w:val="00DA6E17"/>
    <w:rsid w:val="00DA785E"/>
    <w:rsid w:val="00DA7F6E"/>
    <w:rsid w:val="00DB0062"/>
    <w:rsid w:val="00DB0D30"/>
    <w:rsid w:val="00DB160D"/>
    <w:rsid w:val="00DB1B85"/>
    <w:rsid w:val="00DB1EA1"/>
    <w:rsid w:val="00DB24E1"/>
    <w:rsid w:val="00DB37DA"/>
    <w:rsid w:val="00DB3885"/>
    <w:rsid w:val="00DB519D"/>
    <w:rsid w:val="00DB5527"/>
    <w:rsid w:val="00DB6FBD"/>
    <w:rsid w:val="00DB7425"/>
    <w:rsid w:val="00DB7A47"/>
    <w:rsid w:val="00DB7ABB"/>
    <w:rsid w:val="00DB7E09"/>
    <w:rsid w:val="00DB7F32"/>
    <w:rsid w:val="00DC01A4"/>
    <w:rsid w:val="00DC0677"/>
    <w:rsid w:val="00DC1238"/>
    <w:rsid w:val="00DC15AD"/>
    <w:rsid w:val="00DC207E"/>
    <w:rsid w:val="00DC27F9"/>
    <w:rsid w:val="00DC2FE8"/>
    <w:rsid w:val="00DC36A1"/>
    <w:rsid w:val="00DC3C9C"/>
    <w:rsid w:val="00DC53A6"/>
    <w:rsid w:val="00DC54BD"/>
    <w:rsid w:val="00DC56B4"/>
    <w:rsid w:val="00DC5F46"/>
    <w:rsid w:val="00DC6A72"/>
    <w:rsid w:val="00DC7030"/>
    <w:rsid w:val="00DD01DE"/>
    <w:rsid w:val="00DD03A3"/>
    <w:rsid w:val="00DD1033"/>
    <w:rsid w:val="00DD16A6"/>
    <w:rsid w:val="00DD1E57"/>
    <w:rsid w:val="00DD25B4"/>
    <w:rsid w:val="00DD2AAA"/>
    <w:rsid w:val="00DD3156"/>
    <w:rsid w:val="00DD3D30"/>
    <w:rsid w:val="00DD4E7B"/>
    <w:rsid w:val="00DD4F47"/>
    <w:rsid w:val="00DD533B"/>
    <w:rsid w:val="00DD6083"/>
    <w:rsid w:val="00DD6707"/>
    <w:rsid w:val="00DD733F"/>
    <w:rsid w:val="00DD79A1"/>
    <w:rsid w:val="00DD7F14"/>
    <w:rsid w:val="00DE041F"/>
    <w:rsid w:val="00DE1E0D"/>
    <w:rsid w:val="00DE2276"/>
    <w:rsid w:val="00DE3038"/>
    <w:rsid w:val="00DE323F"/>
    <w:rsid w:val="00DE3278"/>
    <w:rsid w:val="00DE454C"/>
    <w:rsid w:val="00DE4E72"/>
    <w:rsid w:val="00DE5004"/>
    <w:rsid w:val="00DE542D"/>
    <w:rsid w:val="00DE5A88"/>
    <w:rsid w:val="00DE5F87"/>
    <w:rsid w:val="00DE610B"/>
    <w:rsid w:val="00DE6377"/>
    <w:rsid w:val="00DE643A"/>
    <w:rsid w:val="00DE6496"/>
    <w:rsid w:val="00DE652A"/>
    <w:rsid w:val="00DE69BD"/>
    <w:rsid w:val="00DE6AEF"/>
    <w:rsid w:val="00DE74BD"/>
    <w:rsid w:val="00DE7F20"/>
    <w:rsid w:val="00DF0608"/>
    <w:rsid w:val="00DF100B"/>
    <w:rsid w:val="00DF20B2"/>
    <w:rsid w:val="00DF2521"/>
    <w:rsid w:val="00DF284C"/>
    <w:rsid w:val="00DF2D9D"/>
    <w:rsid w:val="00DF302E"/>
    <w:rsid w:val="00DF418D"/>
    <w:rsid w:val="00DF42AC"/>
    <w:rsid w:val="00DF4C7B"/>
    <w:rsid w:val="00DF60BC"/>
    <w:rsid w:val="00DF6624"/>
    <w:rsid w:val="00E0023F"/>
    <w:rsid w:val="00E00433"/>
    <w:rsid w:val="00E00747"/>
    <w:rsid w:val="00E00864"/>
    <w:rsid w:val="00E00D70"/>
    <w:rsid w:val="00E01294"/>
    <w:rsid w:val="00E013C8"/>
    <w:rsid w:val="00E018E7"/>
    <w:rsid w:val="00E01A5F"/>
    <w:rsid w:val="00E02AEB"/>
    <w:rsid w:val="00E032F2"/>
    <w:rsid w:val="00E0377F"/>
    <w:rsid w:val="00E044C2"/>
    <w:rsid w:val="00E0476D"/>
    <w:rsid w:val="00E04AEC"/>
    <w:rsid w:val="00E0579B"/>
    <w:rsid w:val="00E05A92"/>
    <w:rsid w:val="00E10771"/>
    <w:rsid w:val="00E10FBA"/>
    <w:rsid w:val="00E11A8D"/>
    <w:rsid w:val="00E11B5A"/>
    <w:rsid w:val="00E122EF"/>
    <w:rsid w:val="00E123E8"/>
    <w:rsid w:val="00E12475"/>
    <w:rsid w:val="00E12B4A"/>
    <w:rsid w:val="00E13266"/>
    <w:rsid w:val="00E139FA"/>
    <w:rsid w:val="00E146B2"/>
    <w:rsid w:val="00E14D2F"/>
    <w:rsid w:val="00E154ED"/>
    <w:rsid w:val="00E16132"/>
    <w:rsid w:val="00E172BC"/>
    <w:rsid w:val="00E17430"/>
    <w:rsid w:val="00E17D3E"/>
    <w:rsid w:val="00E17F8A"/>
    <w:rsid w:val="00E20CFB"/>
    <w:rsid w:val="00E20E1B"/>
    <w:rsid w:val="00E21EA9"/>
    <w:rsid w:val="00E21FF4"/>
    <w:rsid w:val="00E22D0C"/>
    <w:rsid w:val="00E234C5"/>
    <w:rsid w:val="00E23554"/>
    <w:rsid w:val="00E23775"/>
    <w:rsid w:val="00E23CCB"/>
    <w:rsid w:val="00E240A7"/>
    <w:rsid w:val="00E247D7"/>
    <w:rsid w:val="00E24F7F"/>
    <w:rsid w:val="00E25047"/>
    <w:rsid w:val="00E256A7"/>
    <w:rsid w:val="00E273E6"/>
    <w:rsid w:val="00E2749D"/>
    <w:rsid w:val="00E3084C"/>
    <w:rsid w:val="00E30B76"/>
    <w:rsid w:val="00E30DC5"/>
    <w:rsid w:val="00E312A1"/>
    <w:rsid w:val="00E31E58"/>
    <w:rsid w:val="00E32622"/>
    <w:rsid w:val="00E32AFC"/>
    <w:rsid w:val="00E32EC2"/>
    <w:rsid w:val="00E333DC"/>
    <w:rsid w:val="00E339A6"/>
    <w:rsid w:val="00E33ADD"/>
    <w:rsid w:val="00E33B6C"/>
    <w:rsid w:val="00E33D7E"/>
    <w:rsid w:val="00E33FA1"/>
    <w:rsid w:val="00E3518C"/>
    <w:rsid w:val="00E355C8"/>
    <w:rsid w:val="00E3563A"/>
    <w:rsid w:val="00E35BF0"/>
    <w:rsid w:val="00E379DB"/>
    <w:rsid w:val="00E40777"/>
    <w:rsid w:val="00E40D36"/>
    <w:rsid w:val="00E41BAA"/>
    <w:rsid w:val="00E42678"/>
    <w:rsid w:val="00E43040"/>
    <w:rsid w:val="00E43C6F"/>
    <w:rsid w:val="00E43EFB"/>
    <w:rsid w:val="00E4458C"/>
    <w:rsid w:val="00E44C49"/>
    <w:rsid w:val="00E44D43"/>
    <w:rsid w:val="00E45ABE"/>
    <w:rsid w:val="00E46D16"/>
    <w:rsid w:val="00E47B7C"/>
    <w:rsid w:val="00E47ED4"/>
    <w:rsid w:val="00E47FEA"/>
    <w:rsid w:val="00E50B46"/>
    <w:rsid w:val="00E51043"/>
    <w:rsid w:val="00E5368C"/>
    <w:rsid w:val="00E541C5"/>
    <w:rsid w:val="00E55925"/>
    <w:rsid w:val="00E55BD2"/>
    <w:rsid w:val="00E55D41"/>
    <w:rsid w:val="00E56C83"/>
    <w:rsid w:val="00E57D8F"/>
    <w:rsid w:val="00E608BD"/>
    <w:rsid w:val="00E60C6F"/>
    <w:rsid w:val="00E60D5F"/>
    <w:rsid w:val="00E612B0"/>
    <w:rsid w:val="00E61D56"/>
    <w:rsid w:val="00E61EB2"/>
    <w:rsid w:val="00E61EC8"/>
    <w:rsid w:val="00E622E5"/>
    <w:rsid w:val="00E6294E"/>
    <w:rsid w:val="00E62B27"/>
    <w:rsid w:val="00E62F07"/>
    <w:rsid w:val="00E6378D"/>
    <w:rsid w:val="00E63AA3"/>
    <w:rsid w:val="00E64535"/>
    <w:rsid w:val="00E645D4"/>
    <w:rsid w:val="00E648D3"/>
    <w:rsid w:val="00E656C9"/>
    <w:rsid w:val="00E65C8C"/>
    <w:rsid w:val="00E6655D"/>
    <w:rsid w:val="00E67327"/>
    <w:rsid w:val="00E674BB"/>
    <w:rsid w:val="00E6768A"/>
    <w:rsid w:val="00E67DF3"/>
    <w:rsid w:val="00E7031D"/>
    <w:rsid w:val="00E703C3"/>
    <w:rsid w:val="00E70DD7"/>
    <w:rsid w:val="00E70E0E"/>
    <w:rsid w:val="00E7136D"/>
    <w:rsid w:val="00E71F1C"/>
    <w:rsid w:val="00E7246F"/>
    <w:rsid w:val="00E73BC0"/>
    <w:rsid w:val="00E746A2"/>
    <w:rsid w:val="00E74B21"/>
    <w:rsid w:val="00E74EB9"/>
    <w:rsid w:val="00E75B1A"/>
    <w:rsid w:val="00E77198"/>
    <w:rsid w:val="00E7793A"/>
    <w:rsid w:val="00E77F48"/>
    <w:rsid w:val="00E8008C"/>
    <w:rsid w:val="00E81591"/>
    <w:rsid w:val="00E822FF"/>
    <w:rsid w:val="00E82BE1"/>
    <w:rsid w:val="00E82D1E"/>
    <w:rsid w:val="00E8317C"/>
    <w:rsid w:val="00E836FC"/>
    <w:rsid w:val="00E83985"/>
    <w:rsid w:val="00E83B43"/>
    <w:rsid w:val="00E84C5C"/>
    <w:rsid w:val="00E84D2D"/>
    <w:rsid w:val="00E84F99"/>
    <w:rsid w:val="00E85DEB"/>
    <w:rsid w:val="00E87B10"/>
    <w:rsid w:val="00E9030F"/>
    <w:rsid w:val="00E91296"/>
    <w:rsid w:val="00E916A1"/>
    <w:rsid w:val="00E92102"/>
    <w:rsid w:val="00E936F7"/>
    <w:rsid w:val="00E93850"/>
    <w:rsid w:val="00E939AA"/>
    <w:rsid w:val="00E961C6"/>
    <w:rsid w:val="00E97A22"/>
    <w:rsid w:val="00EA0113"/>
    <w:rsid w:val="00EA04E2"/>
    <w:rsid w:val="00EA0AEA"/>
    <w:rsid w:val="00EA2A06"/>
    <w:rsid w:val="00EA3174"/>
    <w:rsid w:val="00EA3AFF"/>
    <w:rsid w:val="00EA4BF6"/>
    <w:rsid w:val="00EA4D44"/>
    <w:rsid w:val="00EA4D53"/>
    <w:rsid w:val="00EA4DE9"/>
    <w:rsid w:val="00EA50AF"/>
    <w:rsid w:val="00EA50DE"/>
    <w:rsid w:val="00EA57B6"/>
    <w:rsid w:val="00EA5F65"/>
    <w:rsid w:val="00EA6EEA"/>
    <w:rsid w:val="00EA7FD7"/>
    <w:rsid w:val="00EB2245"/>
    <w:rsid w:val="00EB2361"/>
    <w:rsid w:val="00EB3178"/>
    <w:rsid w:val="00EB3C36"/>
    <w:rsid w:val="00EB52F2"/>
    <w:rsid w:val="00EB6772"/>
    <w:rsid w:val="00EB6813"/>
    <w:rsid w:val="00EB7EF7"/>
    <w:rsid w:val="00EC0EC7"/>
    <w:rsid w:val="00EC0EDC"/>
    <w:rsid w:val="00EC179B"/>
    <w:rsid w:val="00EC19A2"/>
    <w:rsid w:val="00EC1D68"/>
    <w:rsid w:val="00EC2319"/>
    <w:rsid w:val="00EC252B"/>
    <w:rsid w:val="00EC2F95"/>
    <w:rsid w:val="00EC417F"/>
    <w:rsid w:val="00EC4B07"/>
    <w:rsid w:val="00EC557E"/>
    <w:rsid w:val="00EC56E0"/>
    <w:rsid w:val="00EC5F77"/>
    <w:rsid w:val="00EC619F"/>
    <w:rsid w:val="00EC626D"/>
    <w:rsid w:val="00EC72EF"/>
    <w:rsid w:val="00EC79C2"/>
    <w:rsid w:val="00ED02D5"/>
    <w:rsid w:val="00ED0510"/>
    <w:rsid w:val="00ED25AC"/>
    <w:rsid w:val="00ED26B6"/>
    <w:rsid w:val="00ED2CF4"/>
    <w:rsid w:val="00ED30E7"/>
    <w:rsid w:val="00ED3348"/>
    <w:rsid w:val="00ED3B9C"/>
    <w:rsid w:val="00ED45D2"/>
    <w:rsid w:val="00ED4A08"/>
    <w:rsid w:val="00ED5046"/>
    <w:rsid w:val="00ED5C1F"/>
    <w:rsid w:val="00ED5C67"/>
    <w:rsid w:val="00ED65F5"/>
    <w:rsid w:val="00ED6D98"/>
    <w:rsid w:val="00ED7264"/>
    <w:rsid w:val="00ED79EB"/>
    <w:rsid w:val="00EE02DB"/>
    <w:rsid w:val="00EE0E6B"/>
    <w:rsid w:val="00EE1203"/>
    <w:rsid w:val="00EE166F"/>
    <w:rsid w:val="00EE16F5"/>
    <w:rsid w:val="00EE208D"/>
    <w:rsid w:val="00EE26E9"/>
    <w:rsid w:val="00EE2F53"/>
    <w:rsid w:val="00EE49D6"/>
    <w:rsid w:val="00EE4A20"/>
    <w:rsid w:val="00EE5DE6"/>
    <w:rsid w:val="00EE616B"/>
    <w:rsid w:val="00EE6B85"/>
    <w:rsid w:val="00EE6E75"/>
    <w:rsid w:val="00EE7C49"/>
    <w:rsid w:val="00EF0487"/>
    <w:rsid w:val="00EF05C6"/>
    <w:rsid w:val="00EF0AB9"/>
    <w:rsid w:val="00EF1EB3"/>
    <w:rsid w:val="00EF204A"/>
    <w:rsid w:val="00EF3B0A"/>
    <w:rsid w:val="00EF3C0A"/>
    <w:rsid w:val="00EF3DF1"/>
    <w:rsid w:val="00EF3FBC"/>
    <w:rsid w:val="00EF4F60"/>
    <w:rsid w:val="00EF6441"/>
    <w:rsid w:val="00EF661F"/>
    <w:rsid w:val="00EF6CAB"/>
    <w:rsid w:val="00EF6D1B"/>
    <w:rsid w:val="00EF76C8"/>
    <w:rsid w:val="00EF7AED"/>
    <w:rsid w:val="00EF7D5D"/>
    <w:rsid w:val="00EF7DE2"/>
    <w:rsid w:val="00F00D43"/>
    <w:rsid w:val="00F01200"/>
    <w:rsid w:val="00F01DA5"/>
    <w:rsid w:val="00F02239"/>
    <w:rsid w:val="00F0231A"/>
    <w:rsid w:val="00F0284D"/>
    <w:rsid w:val="00F02C79"/>
    <w:rsid w:val="00F0346D"/>
    <w:rsid w:val="00F03ADB"/>
    <w:rsid w:val="00F04020"/>
    <w:rsid w:val="00F0450F"/>
    <w:rsid w:val="00F04900"/>
    <w:rsid w:val="00F0503F"/>
    <w:rsid w:val="00F055FC"/>
    <w:rsid w:val="00F061C9"/>
    <w:rsid w:val="00F0636C"/>
    <w:rsid w:val="00F06AE0"/>
    <w:rsid w:val="00F07BC4"/>
    <w:rsid w:val="00F07C6E"/>
    <w:rsid w:val="00F10E82"/>
    <w:rsid w:val="00F13FC6"/>
    <w:rsid w:val="00F14E67"/>
    <w:rsid w:val="00F151F6"/>
    <w:rsid w:val="00F153A8"/>
    <w:rsid w:val="00F156AA"/>
    <w:rsid w:val="00F1673F"/>
    <w:rsid w:val="00F17563"/>
    <w:rsid w:val="00F17640"/>
    <w:rsid w:val="00F1766D"/>
    <w:rsid w:val="00F20155"/>
    <w:rsid w:val="00F20BB7"/>
    <w:rsid w:val="00F213B9"/>
    <w:rsid w:val="00F21DD0"/>
    <w:rsid w:val="00F23A43"/>
    <w:rsid w:val="00F23D1C"/>
    <w:rsid w:val="00F253C9"/>
    <w:rsid w:val="00F26260"/>
    <w:rsid w:val="00F26498"/>
    <w:rsid w:val="00F26B42"/>
    <w:rsid w:val="00F275F5"/>
    <w:rsid w:val="00F27E13"/>
    <w:rsid w:val="00F30D4F"/>
    <w:rsid w:val="00F3182B"/>
    <w:rsid w:val="00F318D6"/>
    <w:rsid w:val="00F31F47"/>
    <w:rsid w:val="00F32478"/>
    <w:rsid w:val="00F32586"/>
    <w:rsid w:val="00F3260A"/>
    <w:rsid w:val="00F32648"/>
    <w:rsid w:val="00F341F0"/>
    <w:rsid w:val="00F34871"/>
    <w:rsid w:val="00F34B9A"/>
    <w:rsid w:val="00F35B52"/>
    <w:rsid w:val="00F35FF9"/>
    <w:rsid w:val="00F364FA"/>
    <w:rsid w:val="00F36532"/>
    <w:rsid w:val="00F36E48"/>
    <w:rsid w:val="00F40611"/>
    <w:rsid w:val="00F407CA"/>
    <w:rsid w:val="00F40BE1"/>
    <w:rsid w:val="00F40F0E"/>
    <w:rsid w:val="00F413D3"/>
    <w:rsid w:val="00F413F0"/>
    <w:rsid w:val="00F421CE"/>
    <w:rsid w:val="00F42448"/>
    <w:rsid w:val="00F42A7E"/>
    <w:rsid w:val="00F434C4"/>
    <w:rsid w:val="00F437C9"/>
    <w:rsid w:val="00F43FAF"/>
    <w:rsid w:val="00F44423"/>
    <w:rsid w:val="00F44BBE"/>
    <w:rsid w:val="00F453AC"/>
    <w:rsid w:val="00F454D6"/>
    <w:rsid w:val="00F4611E"/>
    <w:rsid w:val="00F46203"/>
    <w:rsid w:val="00F465C2"/>
    <w:rsid w:val="00F47486"/>
    <w:rsid w:val="00F50165"/>
    <w:rsid w:val="00F501BF"/>
    <w:rsid w:val="00F5036B"/>
    <w:rsid w:val="00F507A0"/>
    <w:rsid w:val="00F508E9"/>
    <w:rsid w:val="00F50DF5"/>
    <w:rsid w:val="00F5108E"/>
    <w:rsid w:val="00F517C0"/>
    <w:rsid w:val="00F51FF1"/>
    <w:rsid w:val="00F52428"/>
    <w:rsid w:val="00F5334B"/>
    <w:rsid w:val="00F534FC"/>
    <w:rsid w:val="00F538A2"/>
    <w:rsid w:val="00F53E4F"/>
    <w:rsid w:val="00F54472"/>
    <w:rsid w:val="00F56297"/>
    <w:rsid w:val="00F56773"/>
    <w:rsid w:val="00F56B06"/>
    <w:rsid w:val="00F56D0F"/>
    <w:rsid w:val="00F56ED7"/>
    <w:rsid w:val="00F56F82"/>
    <w:rsid w:val="00F578C3"/>
    <w:rsid w:val="00F578DB"/>
    <w:rsid w:val="00F57940"/>
    <w:rsid w:val="00F60132"/>
    <w:rsid w:val="00F603CE"/>
    <w:rsid w:val="00F61B22"/>
    <w:rsid w:val="00F61CCF"/>
    <w:rsid w:val="00F62628"/>
    <w:rsid w:val="00F633A5"/>
    <w:rsid w:val="00F63540"/>
    <w:rsid w:val="00F63ABF"/>
    <w:rsid w:val="00F64307"/>
    <w:rsid w:val="00F645BA"/>
    <w:rsid w:val="00F6614C"/>
    <w:rsid w:val="00F666AC"/>
    <w:rsid w:val="00F66A09"/>
    <w:rsid w:val="00F6706E"/>
    <w:rsid w:val="00F67316"/>
    <w:rsid w:val="00F675EC"/>
    <w:rsid w:val="00F70479"/>
    <w:rsid w:val="00F7104C"/>
    <w:rsid w:val="00F71057"/>
    <w:rsid w:val="00F72940"/>
    <w:rsid w:val="00F73EAB"/>
    <w:rsid w:val="00F7453B"/>
    <w:rsid w:val="00F75017"/>
    <w:rsid w:val="00F758C3"/>
    <w:rsid w:val="00F77489"/>
    <w:rsid w:val="00F77C38"/>
    <w:rsid w:val="00F8043C"/>
    <w:rsid w:val="00F805FF"/>
    <w:rsid w:val="00F80E60"/>
    <w:rsid w:val="00F816D0"/>
    <w:rsid w:val="00F81ADD"/>
    <w:rsid w:val="00F81C8F"/>
    <w:rsid w:val="00F82F87"/>
    <w:rsid w:val="00F83465"/>
    <w:rsid w:val="00F83644"/>
    <w:rsid w:val="00F83B5C"/>
    <w:rsid w:val="00F83DEB"/>
    <w:rsid w:val="00F844EE"/>
    <w:rsid w:val="00F846F5"/>
    <w:rsid w:val="00F84A7F"/>
    <w:rsid w:val="00F85062"/>
    <w:rsid w:val="00F857D9"/>
    <w:rsid w:val="00F864FE"/>
    <w:rsid w:val="00F86DAB"/>
    <w:rsid w:val="00F86F84"/>
    <w:rsid w:val="00F87471"/>
    <w:rsid w:val="00F8776D"/>
    <w:rsid w:val="00F87D94"/>
    <w:rsid w:val="00F90DA3"/>
    <w:rsid w:val="00F9100F"/>
    <w:rsid w:val="00F91259"/>
    <w:rsid w:val="00F91715"/>
    <w:rsid w:val="00F92655"/>
    <w:rsid w:val="00F92869"/>
    <w:rsid w:val="00F92B5E"/>
    <w:rsid w:val="00F93194"/>
    <w:rsid w:val="00F9368F"/>
    <w:rsid w:val="00F93831"/>
    <w:rsid w:val="00F93B19"/>
    <w:rsid w:val="00F93CEB"/>
    <w:rsid w:val="00F942C2"/>
    <w:rsid w:val="00F9445D"/>
    <w:rsid w:val="00F94A6D"/>
    <w:rsid w:val="00F94A6F"/>
    <w:rsid w:val="00F950F3"/>
    <w:rsid w:val="00F9568D"/>
    <w:rsid w:val="00F97280"/>
    <w:rsid w:val="00F97A55"/>
    <w:rsid w:val="00FA01B9"/>
    <w:rsid w:val="00FA0C8C"/>
    <w:rsid w:val="00FA0F83"/>
    <w:rsid w:val="00FA1F22"/>
    <w:rsid w:val="00FA20AD"/>
    <w:rsid w:val="00FA2793"/>
    <w:rsid w:val="00FA2A6E"/>
    <w:rsid w:val="00FA306B"/>
    <w:rsid w:val="00FA37E7"/>
    <w:rsid w:val="00FA3C9D"/>
    <w:rsid w:val="00FA51A9"/>
    <w:rsid w:val="00FA5328"/>
    <w:rsid w:val="00FA65F7"/>
    <w:rsid w:val="00FA69E0"/>
    <w:rsid w:val="00FB01AA"/>
    <w:rsid w:val="00FB031E"/>
    <w:rsid w:val="00FB06A1"/>
    <w:rsid w:val="00FB0ACD"/>
    <w:rsid w:val="00FB0B4A"/>
    <w:rsid w:val="00FB0EAB"/>
    <w:rsid w:val="00FB282D"/>
    <w:rsid w:val="00FB3364"/>
    <w:rsid w:val="00FB3922"/>
    <w:rsid w:val="00FB3CF7"/>
    <w:rsid w:val="00FB3D32"/>
    <w:rsid w:val="00FB48FA"/>
    <w:rsid w:val="00FB537A"/>
    <w:rsid w:val="00FB5944"/>
    <w:rsid w:val="00FB5B18"/>
    <w:rsid w:val="00FB5E9C"/>
    <w:rsid w:val="00FB65D7"/>
    <w:rsid w:val="00FB74EF"/>
    <w:rsid w:val="00FB77C6"/>
    <w:rsid w:val="00FB7DF6"/>
    <w:rsid w:val="00FC120D"/>
    <w:rsid w:val="00FC1640"/>
    <w:rsid w:val="00FC19A3"/>
    <w:rsid w:val="00FC1FD5"/>
    <w:rsid w:val="00FC2475"/>
    <w:rsid w:val="00FC2A5D"/>
    <w:rsid w:val="00FC2C3E"/>
    <w:rsid w:val="00FC305A"/>
    <w:rsid w:val="00FC358B"/>
    <w:rsid w:val="00FC5AB8"/>
    <w:rsid w:val="00FC62DC"/>
    <w:rsid w:val="00FC6D39"/>
    <w:rsid w:val="00FC6EEF"/>
    <w:rsid w:val="00FC71F4"/>
    <w:rsid w:val="00FD0B6A"/>
    <w:rsid w:val="00FD1362"/>
    <w:rsid w:val="00FD2497"/>
    <w:rsid w:val="00FD27DF"/>
    <w:rsid w:val="00FD2E78"/>
    <w:rsid w:val="00FD3A3C"/>
    <w:rsid w:val="00FD415C"/>
    <w:rsid w:val="00FD4CAC"/>
    <w:rsid w:val="00FD5759"/>
    <w:rsid w:val="00FD5978"/>
    <w:rsid w:val="00FD5990"/>
    <w:rsid w:val="00FD7C82"/>
    <w:rsid w:val="00FE02EE"/>
    <w:rsid w:val="00FE0455"/>
    <w:rsid w:val="00FE06BD"/>
    <w:rsid w:val="00FE0FA8"/>
    <w:rsid w:val="00FE18AA"/>
    <w:rsid w:val="00FE1E2D"/>
    <w:rsid w:val="00FE2B63"/>
    <w:rsid w:val="00FE2BDF"/>
    <w:rsid w:val="00FE34ED"/>
    <w:rsid w:val="00FE3F9E"/>
    <w:rsid w:val="00FE4055"/>
    <w:rsid w:val="00FE4E5F"/>
    <w:rsid w:val="00FE5545"/>
    <w:rsid w:val="00FE57E3"/>
    <w:rsid w:val="00FE5F6B"/>
    <w:rsid w:val="00FE5FC3"/>
    <w:rsid w:val="00FE7224"/>
    <w:rsid w:val="00FE74B2"/>
    <w:rsid w:val="00FE7644"/>
    <w:rsid w:val="00FF02E6"/>
    <w:rsid w:val="00FF041E"/>
    <w:rsid w:val="00FF0556"/>
    <w:rsid w:val="00FF0979"/>
    <w:rsid w:val="00FF0A5A"/>
    <w:rsid w:val="00FF1B5D"/>
    <w:rsid w:val="00FF29CA"/>
    <w:rsid w:val="00FF2CDD"/>
    <w:rsid w:val="00FF2E7D"/>
    <w:rsid w:val="00FF3668"/>
    <w:rsid w:val="00FF428E"/>
    <w:rsid w:val="00FF4511"/>
    <w:rsid w:val="00FF485B"/>
    <w:rsid w:val="00FF4964"/>
    <w:rsid w:val="00FF4E65"/>
    <w:rsid w:val="00FF5BFC"/>
    <w:rsid w:val="00FF6013"/>
    <w:rsid w:val="00FF6DD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engXian" w:hAnsi="Times New Roman" w:cs="Times New Roman"/>
        <w:sz w:val="22"/>
        <w:szCs w:val="22"/>
        <w:lang w:val="en-US" w:eastAsia="zh-CN" w:bidi="ar-SA"/>
      </w:rPr>
    </w:rPrDefault>
    <w:pPrDefault>
      <w:pPr>
        <w:spacing w:before="120" w:after="12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qFormat="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qFormat="1"/>
    <w:lsdException w:name="annotation reference" w:locked="1"/>
    <w:lsdException w:name="line number" w:locked="1"/>
    <w:lsdException w:name="page number" w:locked="1" w:uiPriority="0"/>
    <w:lsdException w:name="endnote reference" w:locked="1" w:uiPriority="0"/>
    <w:lsdException w:name="endnote text" w:locked="1" w:uiPriority="0"/>
    <w:lsdException w:name="table of authorities" w:locked="1"/>
    <w:lsdException w:name="macro" w:locked="1"/>
    <w:lsdException w:name="toa heading" w:locked="1" w:uiPriority="0"/>
    <w:lsdException w:name="List" w:locked="1"/>
    <w:lsdException w:name="List Bullet" w:locked="1" w:uiPriority="0"/>
    <w:lsdException w:name="List Number" w:locked="1"/>
    <w:lsdException w:name="List 2" w:locked="1"/>
    <w:lsdException w:name="List 3" w:locked="1"/>
    <w:lsdException w:name="List 4" w:locked="1"/>
    <w:lsdException w:name="List 5" w:locked="1"/>
    <w:lsdException w:name="List Bullet 2" w:locked="1" w:uiPriority="0"/>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semiHidden="0" w:uiPriority="0" w:unhideWhenUsed="0" w:qFormat="1"/>
    <w:lsdException w:name="Emphasis" w:semiHidden="0" w:uiPriority="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2DD"/>
    <w:rPr>
      <w:sz w:val="24"/>
      <w:szCs w:val="24"/>
      <w:lang w:eastAsia="en-US"/>
    </w:rPr>
  </w:style>
  <w:style w:type="paragraph" w:styleId="Heading1">
    <w:name w:val="heading 1"/>
    <w:basedOn w:val="Normal"/>
    <w:next w:val="Normal"/>
    <w:link w:val="Heading1Char"/>
    <w:qFormat/>
    <w:rsid w:val="00A347E5"/>
    <w:pPr>
      <w:keepNext/>
      <w:spacing w:before="240" w:after="240"/>
      <w:jc w:val="center"/>
      <w:outlineLvl w:val="0"/>
    </w:pPr>
    <w:rPr>
      <w:rFonts w:cs="Arial"/>
      <w:b/>
      <w:bCs/>
      <w:kern w:val="32"/>
      <w:sz w:val="22"/>
      <w:szCs w:val="32"/>
    </w:rPr>
  </w:style>
  <w:style w:type="paragraph" w:styleId="Heading2">
    <w:name w:val="heading 2"/>
    <w:basedOn w:val="Normal"/>
    <w:next w:val="Normal"/>
    <w:link w:val="Heading2Char"/>
    <w:uiPriority w:val="9"/>
    <w:qFormat/>
    <w:rsid w:val="00432304"/>
    <w:pPr>
      <w:keepNext/>
      <w:jc w:val="center"/>
      <w:outlineLvl w:val="1"/>
    </w:pPr>
    <w:rPr>
      <w:b/>
      <w:bCs/>
      <w:iCs/>
      <w:sz w:val="22"/>
      <w:lang w:val="en-GB"/>
    </w:rPr>
  </w:style>
  <w:style w:type="paragraph" w:styleId="Heading3">
    <w:name w:val="heading 3"/>
    <w:basedOn w:val="Normal"/>
    <w:next w:val="Normal"/>
    <w:link w:val="Heading3Char"/>
    <w:uiPriority w:val="99"/>
    <w:qFormat/>
    <w:rsid w:val="00A347E5"/>
    <w:pPr>
      <w:keepNext/>
      <w:jc w:val="center"/>
      <w:outlineLvl w:val="2"/>
    </w:pPr>
    <w:rPr>
      <w:i/>
      <w:iCs/>
      <w:sz w:val="22"/>
      <w:lang w:val="en-GB"/>
    </w:rPr>
  </w:style>
  <w:style w:type="paragraph" w:styleId="Heading4">
    <w:name w:val="heading 4"/>
    <w:basedOn w:val="Normal"/>
    <w:link w:val="Heading4Char"/>
    <w:qFormat/>
    <w:rsid w:val="00171BD0"/>
    <w:pPr>
      <w:keepNext/>
      <w:outlineLvl w:val="3"/>
    </w:pPr>
    <w:rPr>
      <w:bCs/>
      <w:i/>
      <w:iCs/>
      <w:sz w:val="22"/>
      <w:lang w:val="en-GB"/>
    </w:rPr>
  </w:style>
  <w:style w:type="paragraph" w:styleId="Heading5">
    <w:name w:val="heading 5"/>
    <w:aliases w:val="Heading 5 - GTI"/>
    <w:basedOn w:val="Normal"/>
    <w:next w:val="Normal"/>
    <w:link w:val="Heading5Char"/>
    <w:qFormat/>
    <w:rsid w:val="00A347E5"/>
    <w:pPr>
      <w:keepNext/>
      <w:spacing w:before="240"/>
      <w:outlineLvl w:val="4"/>
    </w:pPr>
    <w:rPr>
      <w:bCs/>
      <w:i/>
      <w:iCs/>
      <w:sz w:val="22"/>
      <w:szCs w:val="26"/>
      <w:lang w:val="en-GB"/>
    </w:rPr>
  </w:style>
  <w:style w:type="paragraph" w:styleId="Heading6">
    <w:name w:val="heading 6"/>
    <w:basedOn w:val="Normal"/>
    <w:next w:val="Normal"/>
    <w:link w:val="Heading6Char"/>
    <w:qFormat/>
    <w:rsid w:val="00A347E5"/>
    <w:pPr>
      <w:keepNext/>
      <w:ind w:left="360"/>
      <w:jc w:val="center"/>
      <w:outlineLvl w:val="5"/>
    </w:pPr>
    <w:rPr>
      <w:sz w:val="22"/>
    </w:rPr>
  </w:style>
  <w:style w:type="paragraph" w:styleId="Heading7">
    <w:name w:val="heading 7"/>
    <w:basedOn w:val="Normal"/>
    <w:next w:val="Normal"/>
    <w:link w:val="Heading7Char"/>
    <w:qFormat/>
    <w:rsid w:val="00A347E5"/>
    <w:pPr>
      <w:keepNext/>
      <w:outlineLvl w:val="6"/>
    </w:pPr>
    <w:rPr>
      <w:b/>
      <w:bCs/>
    </w:rPr>
  </w:style>
  <w:style w:type="paragraph" w:styleId="Heading8">
    <w:name w:val="heading 8"/>
    <w:basedOn w:val="Normal"/>
    <w:next w:val="Normal"/>
    <w:link w:val="Heading8Char"/>
    <w:qFormat/>
    <w:rsid w:val="00A347E5"/>
    <w:pPr>
      <w:keepNext/>
      <w:outlineLvl w:val="7"/>
    </w:pPr>
    <w:rPr>
      <w:u w:val="single"/>
    </w:rPr>
  </w:style>
  <w:style w:type="paragraph" w:styleId="Heading9">
    <w:name w:val="heading 9"/>
    <w:basedOn w:val="Normal"/>
    <w:next w:val="Normal"/>
    <w:link w:val="Heading9Char"/>
    <w:qFormat/>
    <w:rsid w:val="00A347E5"/>
    <w:pPr>
      <w:keepNext/>
      <w:pBdr>
        <w:top w:val="single" w:sz="6" w:space="1" w:color="auto"/>
        <w:left w:val="single" w:sz="6" w:space="1" w:color="auto"/>
        <w:bottom w:val="single" w:sz="6" w:space="1" w:color="auto"/>
        <w:right w:val="single" w:sz="6" w:space="1" w:color="auto"/>
      </w:pBdr>
      <w:jc w:val="center"/>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D44E7"/>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locked/>
    <w:rsid w:val="002D44E7"/>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9"/>
    <w:locked/>
    <w:rsid w:val="00A4220D"/>
    <w:rPr>
      <w:rFonts w:eastAsia="DengXian" w:cs="Times New Roman"/>
      <w:i/>
      <w:iCs/>
      <w:sz w:val="24"/>
      <w:szCs w:val="24"/>
      <w:lang w:val="en-GB" w:eastAsia="en-US" w:bidi="ar-SA"/>
    </w:rPr>
  </w:style>
  <w:style w:type="character" w:customStyle="1" w:styleId="Heading4Char">
    <w:name w:val="Heading 4 Char"/>
    <w:basedOn w:val="DefaultParagraphFont"/>
    <w:link w:val="Heading4"/>
    <w:uiPriority w:val="99"/>
    <w:locked/>
    <w:rsid w:val="002D44E7"/>
    <w:rPr>
      <w:rFonts w:ascii="Calibri" w:eastAsia="Times New Roman" w:hAnsi="Calibri" w:cs="Times New Roman"/>
      <w:b/>
      <w:bCs/>
      <w:sz w:val="28"/>
      <w:szCs w:val="28"/>
      <w:lang w:eastAsia="en-US"/>
    </w:rPr>
  </w:style>
  <w:style w:type="character" w:customStyle="1" w:styleId="Heading5Char">
    <w:name w:val="Heading 5 Char"/>
    <w:aliases w:val="Heading 5 - GTI Char"/>
    <w:basedOn w:val="DefaultParagraphFont"/>
    <w:link w:val="Heading5"/>
    <w:uiPriority w:val="99"/>
    <w:locked/>
    <w:rsid w:val="002D44E7"/>
    <w:rPr>
      <w:rFonts w:ascii="Calibri" w:eastAsia="Times New Roman" w:hAnsi="Calibri" w:cs="Times New Roman"/>
      <w:b/>
      <w:bCs/>
      <w:i/>
      <w:iCs/>
      <w:sz w:val="26"/>
      <w:szCs w:val="26"/>
      <w:lang w:eastAsia="en-US"/>
    </w:rPr>
  </w:style>
  <w:style w:type="character" w:customStyle="1" w:styleId="Heading6Char">
    <w:name w:val="Heading 6 Char"/>
    <w:basedOn w:val="DefaultParagraphFont"/>
    <w:link w:val="Heading6"/>
    <w:uiPriority w:val="99"/>
    <w:locked/>
    <w:rsid w:val="002D44E7"/>
    <w:rPr>
      <w:rFonts w:ascii="Calibri" w:eastAsia="Times New Roman" w:hAnsi="Calibri" w:cs="Times New Roman"/>
      <w:b/>
      <w:bCs/>
      <w:lang w:eastAsia="en-US"/>
    </w:rPr>
  </w:style>
  <w:style w:type="character" w:customStyle="1" w:styleId="Heading7Char">
    <w:name w:val="Heading 7 Char"/>
    <w:basedOn w:val="DefaultParagraphFont"/>
    <w:link w:val="Heading7"/>
    <w:uiPriority w:val="99"/>
    <w:locked/>
    <w:rsid w:val="002D44E7"/>
    <w:rPr>
      <w:rFonts w:ascii="Calibri" w:eastAsia="Times New Roman" w:hAnsi="Calibri" w:cs="Times New Roman"/>
      <w:sz w:val="24"/>
      <w:szCs w:val="24"/>
      <w:lang w:eastAsia="en-US"/>
    </w:rPr>
  </w:style>
  <w:style w:type="character" w:customStyle="1" w:styleId="Heading8Char">
    <w:name w:val="Heading 8 Char"/>
    <w:basedOn w:val="DefaultParagraphFont"/>
    <w:link w:val="Heading8"/>
    <w:uiPriority w:val="99"/>
    <w:locked/>
    <w:rsid w:val="002D44E7"/>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9"/>
    <w:locked/>
    <w:rsid w:val="002D44E7"/>
    <w:rPr>
      <w:rFonts w:ascii="Cambria" w:eastAsia="Times New Roman" w:hAnsi="Cambria" w:cs="Times New Roman"/>
      <w:lang w:eastAsia="en-US"/>
    </w:rPr>
  </w:style>
  <w:style w:type="paragraph" w:styleId="Header">
    <w:name w:val="header"/>
    <w:basedOn w:val="Normal"/>
    <w:link w:val="HeaderChar"/>
    <w:uiPriority w:val="99"/>
    <w:rsid w:val="00A347E5"/>
    <w:pPr>
      <w:tabs>
        <w:tab w:val="center" w:pos="4320"/>
        <w:tab w:val="right" w:pos="8640"/>
      </w:tabs>
    </w:pPr>
  </w:style>
  <w:style w:type="character" w:customStyle="1" w:styleId="HeaderChar">
    <w:name w:val="Header Char"/>
    <w:basedOn w:val="DefaultParagraphFont"/>
    <w:link w:val="Header"/>
    <w:uiPriority w:val="99"/>
    <w:locked/>
    <w:rsid w:val="00FC2A5D"/>
    <w:rPr>
      <w:rFonts w:cs="Times New Roman"/>
      <w:sz w:val="24"/>
      <w:lang w:val="en-US" w:eastAsia="en-US"/>
    </w:rPr>
  </w:style>
  <w:style w:type="paragraph" w:styleId="Footer">
    <w:name w:val="footer"/>
    <w:basedOn w:val="Normal"/>
    <w:link w:val="FooterChar"/>
    <w:uiPriority w:val="99"/>
    <w:rsid w:val="00A347E5"/>
    <w:pPr>
      <w:tabs>
        <w:tab w:val="center" w:pos="4320"/>
        <w:tab w:val="right" w:pos="8640"/>
      </w:tabs>
      <w:jc w:val="right"/>
    </w:pPr>
    <w:rPr>
      <w:sz w:val="22"/>
      <w:lang w:val="en-GB"/>
    </w:rPr>
  </w:style>
  <w:style w:type="character" w:customStyle="1" w:styleId="FooterChar">
    <w:name w:val="Footer Char"/>
    <w:basedOn w:val="DefaultParagraphFont"/>
    <w:link w:val="Footer"/>
    <w:uiPriority w:val="99"/>
    <w:locked/>
    <w:rsid w:val="002D44E7"/>
    <w:rPr>
      <w:rFonts w:cs="Times New Roman"/>
      <w:sz w:val="24"/>
      <w:szCs w:val="24"/>
      <w:lang w:eastAsia="en-US"/>
    </w:rPr>
  </w:style>
  <w:style w:type="paragraph" w:customStyle="1" w:styleId="Para1">
    <w:name w:val="Para1"/>
    <w:basedOn w:val="Normal"/>
    <w:link w:val="Para1Char"/>
    <w:rsid w:val="00A347E5"/>
    <w:pPr>
      <w:tabs>
        <w:tab w:val="num" w:pos="360"/>
      </w:tabs>
    </w:pPr>
    <w:rPr>
      <w:sz w:val="20"/>
      <w:szCs w:val="18"/>
      <w:lang w:val="en-GB"/>
    </w:rPr>
  </w:style>
  <w:style w:type="paragraph" w:customStyle="1" w:styleId="para2">
    <w:name w:val="para2"/>
    <w:basedOn w:val="Normal"/>
    <w:rsid w:val="00A347E5"/>
    <w:pPr>
      <w:numPr>
        <w:numId w:val="3"/>
      </w:numPr>
    </w:pPr>
    <w:rPr>
      <w:sz w:val="22"/>
      <w:szCs w:val="20"/>
      <w:lang w:val="en-GB"/>
    </w:rPr>
  </w:style>
  <w:style w:type="paragraph" w:customStyle="1" w:styleId="Paranum">
    <w:name w:val="Paranum"/>
    <w:basedOn w:val="Para1"/>
    <w:rsid w:val="00A347E5"/>
    <w:pPr>
      <w:tabs>
        <w:tab w:val="clear" w:pos="360"/>
      </w:tabs>
      <w:spacing w:after="240"/>
    </w:p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uiPriority w:val="99"/>
    <w:qFormat/>
    <w:rsid w:val="00A347E5"/>
    <w:pPr>
      <w:keepLines/>
      <w:spacing w:after="60"/>
    </w:pPr>
    <w:rPr>
      <w:sz w:val="18"/>
      <w:lang w:val="en-GB"/>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uiPriority w:val="99"/>
    <w:locked/>
    <w:rsid w:val="002D44E7"/>
    <w:rPr>
      <w:rFonts w:cs="Times New Roman"/>
      <w:sz w:val="20"/>
      <w:szCs w:val="20"/>
      <w:lang w:eastAsia="en-US"/>
    </w:rPr>
  </w:style>
  <w:style w:type="paragraph" w:styleId="BodyText">
    <w:name w:val="Body Text"/>
    <w:aliases w:val="Car, Car"/>
    <w:basedOn w:val="Normal"/>
    <w:link w:val="BodyTextChar"/>
    <w:rsid w:val="00A347E5"/>
    <w:rPr>
      <w:lang w:val="en-GB"/>
    </w:rPr>
  </w:style>
  <w:style w:type="character" w:customStyle="1" w:styleId="BodyTextChar">
    <w:name w:val="Body Text Char"/>
    <w:aliases w:val="Car Char, Car Char"/>
    <w:basedOn w:val="DefaultParagraphFont"/>
    <w:link w:val="BodyText"/>
    <w:locked/>
    <w:rsid w:val="001C0243"/>
    <w:rPr>
      <w:rFonts w:cs="Times New Roman"/>
      <w:sz w:val="24"/>
      <w:lang w:val="en-GB" w:eastAsia="en-US"/>
    </w:rPr>
  </w:style>
  <w:style w:type="paragraph" w:customStyle="1" w:styleId="Document1">
    <w:name w:val="Document 1"/>
    <w:basedOn w:val="Normal"/>
    <w:next w:val="Normal"/>
    <w:rsid w:val="00A347E5"/>
    <w:pPr>
      <w:suppressAutoHyphens/>
    </w:pPr>
    <w:rPr>
      <w:lang w:val="en-GB"/>
    </w:rPr>
  </w:style>
  <w:style w:type="paragraph" w:customStyle="1" w:styleId="BodyText25">
    <w:name w:val="Body Text 25"/>
    <w:basedOn w:val="Normal"/>
    <w:rsid w:val="00A347E5"/>
    <w:pPr>
      <w:tabs>
        <w:tab w:val="left" w:pos="-1440"/>
        <w:tab w:val="left" w:pos="-720"/>
        <w:tab w:val="left" w:pos="0"/>
        <w:tab w:val="left" w:pos="720"/>
        <w:tab w:val="right" w:pos="1080"/>
      </w:tabs>
      <w:suppressAutoHyphens/>
      <w:spacing w:line="288" w:lineRule="auto"/>
    </w:pPr>
    <w:rPr>
      <w:lang w:val="en-GB"/>
    </w:rPr>
  </w:style>
  <w:style w:type="paragraph" w:styleId="BodyTextIndent2">
    <w:name w:val="Body Text Indent 2"/>
    <w:basedOn w:val="Normal"/>
    <w:link w:val="BodyTextIndent2Char"/>
    <w:rsid w:val="00A347E5"/>
    <w:pPr>
      <w:tabs>
        <w:tab w:val="left" w:pos="0"/>
      </w:tabs>
      <w:suppressAutoHyphens/>
      <w:ind w:left="3600"/>
    </w:pPr>
    <w:rPr>
      <w:rFonts w:ascii="Courier New" w:hAnsi="Courier New"/>
      <w:lang w:val="en-GB"/>
    </w:rPr>
  </w:style>
  <w:style w:type="character" w:customStyle="1" w:styleId="BodyTextIndent2Char">
    <w:name w:val="Body Text Indent 2 Char"/>
    <w:basedOn w:val="DefaultParagraphFont"/>
    <w:link w:val="BodyTextIndent2"/>
    <w:uiPriority w:val="99"/>
    <w:locked/>
    <w:rsid w:val="002D44E7"/>
    <w:rPr>
      <w:rFonts w:cs="Times New Roman"/>
      <w:sz w:val="24"/>
      <w:szCs w:val="24"/>
      <w:lang w:eastAsia="en-US"/>
    </w:rPr>
  </w:style>
  <w:style w:type="paragraph" w:styleId="Caption">
    <w:name w:val="caption"/>
    <w:basedOn w:val="Normal"/>
    <w:next w:val="Normal"/>
    <w:qFormat/>
    <w:rsid w:val="00A347E5"/>
    <w:rPr>
      <w:u w:val="single"/>
      <w:lang w:val="en-GB"/>
    </w:rPr>
  </w:style>
  <w:style w:type="character" w:styleId="CommentReference">
    <w:name w:val="annotation reference"/>
    <w:basedOn w:val="DefaultParagraphFont"/>
    <w:uiPriority w:val="99"/>
    <w:rsid w:val="00A347E5"/>
    <w:rPr>
      <w:rFonts w:cs="Times New Roman"/>
      <w:sz w:val="16"/>
    </w:rPr>
  </w:style>
  <w:style w:type="paragraph" w:styleId="CommentText">
    <w:name w:val="annotation text"/>
    <w:basedOn w:val="Normal"/>
    <w:link w:val="CommentTextChar"/>
    <w:uiPriority w:val="99"/>
    <w:rsid w:val="00A347E5"/>
    <w:rPr>
      <w:sz w:val="20"/>
      <w:szCs w:val="20"/>
    </w:rPr>
  </w:style>
  <w:style w:type="character" w:customStyle="1" w:styleId="CommentTextChar">
    <w:name w:val="Comment Text Char"/>
    <w:basedOn w:val="DefaultParagraphFont"/>
    <w:link w:val="CommentText"/>
    <w:uiPriority w:val="99"/>
    <w:locked/>
    <w:rsid w:val="002D44E7"/>
    <w:rPr>
      <w:rFonts w:cs="Times New Roman"/>
      <w:sz w:val="20"/>
      <w:szCs w:val="20"/>
      <w:lang w:eastAsia="en-US"/>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basedOn w:val="DefaultParagraphFont"/>
    <w:link w:val="BVIfnrChar"/>
    <w:uiPriority w:val="99"/>
    <w:qFormat/>
    <w:rsid w:val="00A347E5"/>
    <w:rPr>
      <w:rFonts w:cs="Times New Roman"/>
      <w:sz w:val="18"/>
      <w:u w:val="single"/>
      <w:vertAlign w:val="baseline"/>
    </w:rPr>
  </w:style>
  <w:style w:type="paragraph" w:customStyle="1" w:styleId="BodyText24">
    <w:name w:val="Body Text 24"/>
    <w:basedOn w:val="Normal"/>
    <w:rsid w:val="00A347E5"/>
    <w:pPr>
      <w:tabs>
        <w:tab w:val="left" w:pos="-1440"/>
        <w:tab w:val="left" w:pos="-720"/>
        <w:tab w:val="left" w:pos="0"/>
        <w:tab w:val="left" w:pos="720"/>
        <w:tab w:val="right" w:pos="1080"/>
        <w:tab w:val="left" w:pos="1152"/>
        <w:tab w:val="left" w:pos="1440"/>
      </w:tabs>
      <w:suppressAutoHyphens/>
      <w:ind w:left="1152" w:right="720" w:hanging="432"/>
    </w:pPr>
    <w:rPr>
      <w:lang w:val="en-GB"/>
    </w:rPr>
  </w:style>
  <w:style w:type="character" w:styleId="PageNumber">
    <w:name w:val="page number"/>
    <w:basedOn w:val="DefaultParagraphFont"/>
    <w:rsid w:val="00A347E5"/>
    <w:rPr>
      <w:rFonts w:cs="Times New Roman"/>
    </w:rPr>
  </w:style>
  <w:style w:type="paragraph" w:customStyle="1" w:styleId="HEADING">
    <w:name w:val="HEADING"/>
    <w:basedOn w:val="Normal"/>
    <w:rsid w:val="00A347E5"/>
    <w:pPr>
      <w:keepNext/>
      <w:spacing w:before="180"/>
      <w:ind w:left="851" w:right="857"/>
      <w:jc w:val="center"/>
    </w:pPr>
  </w:style>
  <w:style w:type="paragraph" w:styleId="EndnoteText">
    <w:name w:val="endnote text"/>
    <w:basedOn w:val="Normal"/>
    <w:link w:val="EndnoteTextChar"/>
    <w:semiHidden/>
    <w:rsid w:val="00A347E5"/>
  </w:style>
  <w:style w:type="character" w:customStyle="1" w:styleId="EndnoteTextChar">
    <w:name w:val="Endnote Text Char"/>
    <w:basedOn w:val="DefaultParagraphFont"/>
    <w:link w:val="EndnoteText"/>
    <w:uiPriority w:val="99"/>
    <w:semiHidden/>
    <w:locked/>
    <w:rsid w:val="002D44E7"/>
    <w:rPr>
      <w:rFonts w:cs="Times New Roman"/>
      <w:sz w:val="20"/>
      <w:szCs w:val="20"/>
      <w:lang w:eastAsia="en-US"/>
    </w:rPr>
  </w:style>
  <w:style w:type="paragraph" w:customStyle="1" w:styleId="Head2">
    <w:name w:val="Head2"/>
    <w:basedOn w:val="Normal"/>
    <w:rsid w:val="00A347E5"/>
    <w:pPr>
      <w:keepNext/>
      <w:jc w:val="center"/>
    </w:pPr>
  </w:style>
  <w:style w:type="paragraph" w:customStyle="1" w:styleId="Masthead">
    <w:name w:val="Masthead"/>
    <w:basedOn w:val="Normal"/>
    <w:next w:val="Normal"/>
    <w:rsid w:val="00A347E5"/>
  </w:style>
  <w:style w:type="paragraph" w:styleId="BodyText3">
    <w:name w:val="Body Text 3"/>
    <w:basedOn w:val="Normal"/>
    <w:link w:val="BodyText3Char"/>
    <w:rsid w:val="00A347E5"/>
    <w:pPr>
      <w:spacing w:before="240"/>
    </w:pPr>
    <w:rPr>
      <w:i/>
      <w:iCs/>
      <w:sz w:val="22"/>
      <w:szCs w:val="22"/>
    </w:rPr>
  </w:style>
  <w:style w:type="character" w:customStyle="1" w:styleId="BodyText3Char">
    <w:name w:val="Body Text 3 Char"/>
    <w:basedOn w:val="DefaultParagraphFont"/>
    <w:link w:val="BodyText3"/>
    <w:uiPriority w:val="99"/>
    <w:locked/>
    <w:rsid w:val="002D44E7"/>
    <w:rPr>
      <w:rFonts w:cs="Times New Roman"/>
      <w:sz w:val="16"/>
      <w:szCs w:val="16"/>
      <w:lang w:eastAsia="en-US"/>
    </w:rPr>
  </w:style>
  <w:style w:type="paragraph" w:styleId="BodyTextIndent3">
    <w:name w:val="Body Text Indent 3"/>
    <w:basedOn w:val="Normal"/>
    <w:link w:val="BodyTextIndent3Char"/>
    <w:rsid w:val="00A347E5"/>
    <w:pPr>
      <w:ind w:left="450" w:hanging="450"/>
    </w:pPr>
    <w:rPr>
      <w:b/>
      <w:sz w:val="22"/>
    </w:rPr>
  </w:style>
  <w:style w:type="character" w:customStyle="1" w:styleId="BodyTextIndent3Char">
    <w:name w:val="Body Text Indent 3 Char"/>
    <w:basedOn w:val="DefaultParagraphFont"/>
    <w:link w:val="BodyTextIndent3"/>
    <w:uiPriority w:val="99"/>
    <w:semiHidden/>
    <w:locked/>
    <w:rsid w:val="002D44E7"/>
    <w:rPr>
      <w:rFonts w:cs="Times New Roman"/>
      <w:sz w:val="16"/>
      <w:szCs w:val="16"/>
      <w:lang w:eastAsia="en-US"/>
    </w:rPr>
  </w:style>
  <w:style w:type="paragraph" w:styleId="TOC1">
    <w:name w:val="toc 1"/>
    <w:basedOn w:val="Normal"/>
    <w:next w:val="Normal"/>
    <w:uiPriority w:val="39"/>
    <w:rsid w:val="00A347E5"/>
    <w:pPr>
      <w:spacing w:before="240"/>
    </w:pPr>
    <w:rPr>
      <w:b/>
    </w:rPr>
  </w:style>
  <w:style w:type="paragraph" w:styleId="TOC2">
    <w:name w:val="toc 2"/>
    <w:basedOn w:val="Normal"/>
    <w:next w:val="Normal"/>
    <w:uiPriority w:val="39"/>
    <w:rsid w:val="00A347E5"/>
    <w:pPr>
      <w:ind w:left="200"/>
    </w:pPr>
    <w:rPr>
      <w:i/>
    </w:rPr>
  </w:style>
  <w:style w:type="paragraph" w:styleId="TOC3">
    <w:name w:val="toc 3"/>
    <w:basedOn w:val="Normal"/>
    <w:next w:val="Normal"/>
    <w:uiPriority w:val="39"/>
    <w:rsid w:val="00A347E5"/>
    <w:pPr>
      <w:ind w:left="400"/>
    </w:pPr>
  </w:style>
  <w:style w:type="paragraph" w:styleId="TOC4">
    <w:name w:val="toc 4"/>
    <w:basedOn w:val="Normal"/>
    <w:next w:val="Normal"/>
    <w:uiPriority w:val="39"/>
    <w:rsid w:val="00A347E5"/>
    <w:pPr>
      <w:ind w:left="600"/>
    </w:pPr>
  </w:style>
  <w:style w:type="paragraph" w:styleId="TOC5">
    <w:name w:val="toc 5"/>
    <w:basedOn w:val="Normal"/>
    <w:next w:val="Normal"/>
    <w:uiPriority w:val="39"/>
    <w:rsid w:val="00A347E5"/>
    <w:pPr>
      <w:ind w:left="800"/>
    </w:pPr>
  </w:style>
  <w:style w:type="paragraph" w:styleId="TOC6">
    <w:name w:val="toc 6"/>
    <w:basedOn w:val="Normal"/>
    <w:next w:val="Normal"/>
    <w:uiPriority w:val="39"/>
    <w:rsid w:val="00A347E5"/>
    <w:pPr>
      <w:ind w:left="1000"/>
    </w:pPr>
  </w:style>
  <w:style w:type="paragraph" w:styleId="TOC7">
    <w:name w:val="toc 7"/>
    <w:basedOn w:val="Normal"/>
    <w:next w:val="Normal"/>
    <w:uiPriority w:val="39"/>
    <w:rsid w:val="00A347E5"/>
    <w:pPr>
      <w:ind w:left="1200"/>
    </w:pPr>
  </w:style>
  <w:style w:type="paragraph" w:styleId="TOC8">
    <w:name w:val="toc 8"/>
    <w:basedOn w:val="Normal"/>
    <w:next w:val="Normal"/>
    <w:uiPriority w:val="39"/>
    <w:rsid w:val="00A347E5"/>
    <w:pPr>
      <w:ind w:left="1400"/>
    </w:pPr>
  </w:style>
  <w:style w:type="paragraph" w:styleId="TOC9">
    <w:name w:val="toc 9"/>
    <w:basedOn w:val="Normal"/>
    <w:next w:val="Normal"/>
    <w:uiPriority w:val="39"/>
    <w:rsid w:val="00A347E5"/>
    <w:pPr>
      <w:ind w:left="1600"/>
    </w:pPr>
  </w:style>
  <w:style w:type="paragraph" w:customStyle="1" w:styleId="para1indent">
    <w:name w:val="para1indent"/>
    <w:basedOn w:val="Para1"/>
    <w:rsid w:val="00A347E5"/>
  </w:style>
  <w:style w:type="paragraph" w:styleId="ListBullet">
    <w:name w:val="List Bullet"/>
    <w:basedOn w:val="Normal"/>
    <w:rsid w:val="00A347E5"/>
    <w:pPr>
      <w:tabs>
        <w:tab w:val="left" w:pos="-661"/>
      </w:tabs>
      <w:ind w:left="709" w:hanging="357"/>
    </w:pPr>
  </w:style>
  <w:style w:type="character" w:styleId="Hyperlink">
    <w:name w:val="Hyperlink"/>
    <w:basedOn w:val="DefaultParagraphFont"/>
    <w:uiPriority w:val="99"/>
    <w:rsid w:val="00A347E5"/>
    <w:rPr>
      <w:rFonts w:cs="Times New Roman"/>
      <w:color w:val="0000FF"/>
      <w:u w:val="single"/>
    </w:rPr>
  </w:style>
  <w:style w:type="character" w:styleId="EndnoteReference">
    <w:name w:val="endnote reference"/>
    <w:basedOn w:val="DefaultParagraphFont"/>
    <w:semiHidden/>
    <w:rsid w:val="00A347E5"/>
    <w:rPr>
      <w:rFonts w:cs="Times New Roman"/>
      <w:vertAlign w:val="superscript"/>
    </w:rPr>
  </w:style>
  <w:style w:type="paragraph" w:customStyle="1" w:styleId="Cornernotation">
    <w:name w:val="Corner notation"/>
    <w:basedOn w:val="Normal"/>
    <w:rsid w:val="00A347E5"/>
    <w:pPr>
      <w:ind w:left="284" w:right="4398" w:hanging="284"/>
    </w:pPr>
    <w:rPr>
      <w:sz w:val="22"/>
      <w:lang w:val="en-GB"/>
    </w:rPr>
  </w:style>
  <w:style w:type="paragraph" w:customStyle="1" w:styleId="BodyText23">
    <w:name w:val="Body Text 23"/>
    <w:basedOn w:val="Normal"/>
    <w:rsid w:val="00A347E5"/>
    <w:pPr>
      <w:ind w:left="720" w:hanging="720"/>
    </w:pPr>
  </w:style>
  <w:style w:type="paragraph" w:customStyle="1" w:styleId="Paranumbered">
    <w:name w:val="Paranumbered"/>
    <w:basedOn w:val="Normal"/>
    <w:rsid w:val="00A347E5"/>
    <w:pPr>
      <w:tabs>
        <w:tab w:val="left" w:pos="720"/>
      </w:tabs>
    </w:pPr>
  </w:style>
  <w:style w:type="paragraph" w:customStyle="1" w:styleId="BodyText22">
    <w:name w:val="Body Text 22"/>
    <w:basedOn w:val="Normal"/>
    <w:rsid w:val="00A347E5"/>
    <w:pPr>
      <w:tabs>
        <w:tab w:val="left" w:pos="1080"/>
      </w:tabs>
      <w:spacing w:before="60" w:after="60"/>
      <w:ind w:left="720"/>
    </w:pPr>
  </w:style>
  <w:style w:type="paragraph" w:customStyle="1" w:styleId="BodyText21">
    <w:name w:val="Body Text 21"/>
    <w:basedOn w:val="Normal"/>
    <w:rsid w:val="00A347E5"/>
    <w:pPr>
      <w:ind w:left="-567"/>
    </w:pPr>
    <w:rPr>
      <w:lang w:val="en-GB"/>
    </w:rPr>
  </w:style>
  <w:style w:type="character" w:styleId="FollowedHyperlink">
    <w:name w:val="FollowedHyperlink"/>
    <w:basedOn w:val="DefaultParagraphFont"/>
    <w:rsid w:val="00A347E5"/>
    <w:rPr>
      <w:rFonts w:cs="Times New Roman"/>
      <w:color w:val="800080"/>
      <w:u w:val="single"/>
    </w:rPr>
  </w:style>
  <w:style w:type="paragraph" w:styleId="DocumentMap">
    <w:name w:val="Document Map"/>
    <w:basedOn w:val="Normal"/>
    <w:link w:val="DocumentMapChar"/>
    <w:semiHidden/>
    <w:rsid w:val="00A347E5"/>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2D44E7"/>
    <w:rPr>
      <w:rFonts w:cs="Times New Roman"/>
      <w:sz w:val="2"/>
      <w:lang w:eastAsia="en-US"/>
    </w:rPr>
  </w:style>
  <w:style w:type="paragraph" w:customStyle="1" w:styleId="xl24">
    <w:name w:val="xl24"/>
    <w:basedOn w:val="Normal"/>
    <w:rsid w:val="00A347E5"/>
    <w:pPr>
      <w:spacing w:before="100" w:after="100"/>
    </w:pPr>
    <w:rPr>
      <w:sz w:val="18"/>
    </w:rPr>
  </w:style>
  <w:style w:type="paragraph" w:customStyle="1" w:styleId="xl25">
    <w:name w:val="xl25"/>
    <w:basedOn w:val="Normal"/>
    <w:rsid w:val="00A347E5"/>
    <w:pPr>
      <w:spacing w:before="100" w:after="100"/>
      <w:jc w:val="center"/>
    </w:pPr>
    <w:rPr>
      <w:color w:val="000000"/>
      <w:sz w:val="18"/>
    </w:rPr>
  </w:style>
  <w:style w:type="paragraph" w:customStyle="1" w:styleId="xl26">
    <w:name w:val="xl26"/>
    <w:basedOn w:val="Normal"/>
    <w:rsid w:val="00A347E5"/>
    <w:pPr>
      <w:spacing w:before="100" w:after="100"/>
      <w:jc w:val="center"/>
    </w:pPr>
    <w:rPr>
      <w:color w:val="000000"/>
      <w:sz w:val="18"/>
    </w:rPr>
  </w:style>
  <w:style w:type="paragraph" w:customStyle="1" w:styleId="xl27">
    <w:name w:val="xl27"/>
    <w:basedOn w:val="Normal"/>
    <w:rsid w:val="00A347E5"/>
    <w:pPr>
      <w:spacing w:before="100" w:after="100"/>
      <w:jc w:val="center"/>
    </w:pPr>
    <w:rPr>
      <w:color w:val="000000"/>
    </w:rPr>
  </w:style>
  <w:style w:type="paragraph" w:customStyle="1" w:styleId="xl28">
    <w:name w:val="xl28"/>
    <w:basedOn w:val="Normal"/>
    <w:rsid w:val="00A347E5"/>
    <w:pPr>
      <w:spacing w:before="100" w:after="100"/>
    </w:pPr>
    <w:rPr>
      <w:rFonts w:ascii="Arial Narrow" w:hAnsi="Arial Narrow"/>
      <w:color w:val="000000"/>
      <w:sz w:val="18"/>
    </w:rPr>
  </w:style>
  <w:style w:type="paragraph" w:customStyle="1" w:styleId="xl29">
    <w:name w:val="xl29"/>
    <w:basedOn w:val="Normal"/>
    <w:rsid w:val="00A347E5"/>
    <w:pPr>
      <w:spacing w:before="100" w:after="100"/>
    </w:pPr>
    <w:rPr>
      <w:rFonts w:ascii="Arial Narrow" w:hAnsi="Arial Narrow"/>
      <w:sz w:val="18"/>
    </w:rPr>
  </w:style>
  <w:style w:type="paragraph" w:customStyle="1" w:styleId="xl30">
    <w:name w:val="xl30"/>
    <w:basedOn w:val="Normal"/>
    <w:rsid w:val="00A347E5"/>
    <w:pPr>
      <w:spacing w:before="100" w:after="100"/>
    </w:pPr>
    <w:rPr>
      <w:rFonts w:ascii="Arial Unicode MS" w:eastAsia="Times New Roman"/>
      <w:sz w:val="18"/>
    </w:rPr>
  </w:style>
  <w:style w:type="paragraph" w:customStyle="1" w:styleId="xl31">
    <w:name w:val="xl31"/>
    <w:basedOn w:val="Normal"/>
    <w:rsid w:val="00A347E5"/>
    <w:pPr>
      <w:spacing w:before="100" w:after="100"/>
    </w:pPr>
    <w:rPr>
      <w:rFonts w:ascii="Arial" w:hAnsi="Arial"/>
      <w:sz w:val="18"/>
    </w:rPr>
  </w:style>
  <w:style w:type="paragraph" w:styleId="BodyText2">
    <w:name w:val="Body Text 2"/>
    <w:basedOn w:val="Normal"/>
    <w:link w:val="BodyText2Char"/>
    <w:rsid w:val="00A347E5"/>
    <w:pPr>
      <w:tabs>
        <w:tab w:val="left" w:pos="-1440"/>
        <w:tab w:val="left" w:pos="-720"/>
        <w:tab w:val="left" w:pos="0"/>
        <w:tab w:val="left" w:pos="720"/>
        <w:tab w:val="right" w:pos="1080"/>
        <w:tab w:val="left" w:pos="1440"/>
      </w:tabs>
      <w:suppressAutoHyphens/>
      <w:ind w:left="720" w:hanging="720"/>
    </w:pPr>
    <w:rPr>
      <w:sz w:val="22"/>
      <w:lang w:val="en-GB"/>
    </w:rPr>
  </w:style>
  <w:style w:type="character" w:customStyle="1" w:styleId="BodyText2Char">
    <w:name w:val="Body Text 2 Char"/>
    <w:basedOn w:val="DefaultParagraphFont"/>
    <w:link w:val="BodyText2"/>
    <w:uiPriority w:val="99"/>
    <w:locked/>
    <w:rsid w:val="002D44E7"/>
    <w:rPr>
      <w:rFonts w:cs="Times New Roman"/>
      <w:sz w:val="24"/>
      <w:szCs w:val="24"/>
      <w:lang w:eastAsia="en-US"/>
    </w:rPr>
  </w:style>
  <w:style w:type="paragraph" w:customStyle="1" w:styleId="xl32">
    <w:name w:val="xl32"/>
    <w:basedOn w:val="Normal"/>
    <w:rsid w:val="00A347E5"/>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33">
    <w:name w:val="xl33"/>
    <w:basedOn w:val="Normal"/>
    <w:rsid w:val="00A347E5"/>
    <w:pPr>
      <w:pBdr>
        <w:left w:val="single" w:sz="4" w:space="0" w:color="auto"/>
      </w:pBdr>
      <w:spacing w:before="100" w:beforeAutospacing="1" w:after="100" w:afterAutospacing="1"/>
    </w:pPr>
    <w:rPr>
      <w:b/>
      <w:bCs/>
      <w:sz w:val="16"/>
      <w:szCs w:val="16"/>
    </w:rPr>
  </w:style>
  <w:style w:type="paragraph" w:customStyle="1" w:styleId="xl34">
    <w:name w:val="xl34"/>
    <w:basedOn w:val="Normal"/>
    <w:rsid w:val="00A347E5"/>
    <w:pPr>
      <w:pBdr>
        <w:left w:val="single" w:sz="4" w:space="0" w:color="auto"/>
      </w:pBdr>
      <w:spacing w:before="100" w:beforeAutospacing="1" w:after="100" w:afterAutospacing="1"/>
      <w:jc w:val="center"/>
    </w:pPr>
    <w:rPr>
      <w:b/>
      <w:bCs/>
      <w:sz w:val="16"/>
      <w:szCs w:val="16"/>
    </w:rPr>
  </w:style>
  <w:style w:type="paragraph" w:customStyle="1" w:styleId="xl35">
    <w:name w:val="xl35"/>
    <w:basedOn w:val="Normal"/>
    <w:rsid w:val="00A347E5"/>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36">
    <w:name w:val="xl36"/>
    <w:basedOn w:val="Normal"/>
    <w:rsid w:val="00A347E5"/>
    <w:pPr>
      <w:pBdr>
        <w:right w:val="single" w:sz="4" w:space="0" w:color="auto"/>
      </w:pBdr>
      <w:spacing w:before="100" w:beforeAutospacing="1" w:after="100" w:afterAutospacing="1"/>
      <w:jc w:val="center"/>
    </w:pPr>
    <w:rPr>
      <w:b/>
      <w:bCs/>
      <w:sz w:val="16"/>
      <w:szCs w:val="16"/>
    </w:rPr>
  </w:style>
  <w:style w:type="paragraph" w:customStyle="1" w:styleId="xl37">
    <w:name w:val="xl37"/>
    <w:basedOn w:val="Normal"/>
    <w:rsid w:val="00A347E5"/>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38">
    <w:name w:val="xl38"/>
    <w:basedOn w:val="Normal"/>
    <w:rsid w:val="00A347E5"/>
    <w:pPr>
      <w:pBdr>
        <w:left w:val="single" w:sz="4" w:space="0" w:color="auto"/>
        <w:right w:val="single" w:sz="4" w:space="0" w:color="auto"/>
      </w:pBdr>
      <w:spacing w:before="100" w:beforeAutospacing="1" w:after="100" w:afterAutospacing="1"/>
    </w:pPr>
    <w:rPr>
      <w:b/>
      <w:bCs/>
      <w:sz w:val="16"/>
      <w:szCs w:val="16"/>
    </w:rPr>
  </w:style>
  <w:style w:type="paragraph" w:customStyle="1" w:styleId="xl39">
    <w:name w:val="xl39"/>
    <w:basedOn w:val="Normal"/>
    <w:rsid w:val="00A347E5"/>
    <w:pPr>
      <w:pBdr>
        <w:left w:val="single" w:sz="4" w:space="0" w:color="auto"/>
      </w:pBdr>
      <w:spacing w:before="100" w:beforeAutospacing="1" w:after="100" w:afterAutospacing="1"/>
      <w:jc w:val="center"/>
    </w:pPr>
    <w:rPr>
      <w:b/>
      <w:bCs/>
      <w:sz w:val="16"/>
      <w:szCs w:val="16"/>
    </w:rPr>
  </w:style>
  <w:style w:type="paragraph" w:customStyle="1" w:styleId="xl40">
    <w:name w:val="xl40"/>
    <w:basedOn w:val="Normal"/>
    <w:rsid w:val="00A347E5"/>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41">
    <w:name w:val="xl41"/>
    <w:basedOn w:val="Normal"/>
    <w:rsid w:val="00A347E5"/>
    <w:pPr>
      <w:pBdr>
        <w:right w:val="single" w:sz="4" w:space="0" w:color="auto"/>
      </w:pBdr>
      <w:spacing w:before="100" w:beforeAutospacing="1" w:after="100" w:afterAutospacing="1"/>
      <w:jc w:val="center"/>
    </w:pPr>
    <w:rPr>
      <w:b/>
      <w:bCs/>
      <w:sz w:val="16"/>
      <w:szCs w:val="16"/>
    </w:rPr>
  </w:style>
  <w:style w:type="paragraph" w:customStyle="1" w:styleId="xl42">
    <w:name w:val="xl42"/>
    <w:basedOn w:val="Normal"/>
    <w:rsid w:val="00A347E5"/>
    <w:pPr>
      <w:pBdr>
        <w:right w:val="single" w:sz="4" w:space="0" w:color="auto"/>
      </w:pBdr>
      <w:spacing w:before="100" w:beforeAutospacing="1" w:after="100" w:afterAutospacing="1"/>
      <w:jc w:val="center"/>
    </w:pPr>
    <w:rPr>
      <w:b/>
      <w:bCs/>
      <w:sz w:val="16"/>
      <w:szCs w:val="16"/>
    </w:rPr>
  </w:style>
  <w:style w:type="paragraph" w:customStyle="1" w:styleId="xl43">
    <w:name w:val="xl43"/>
    <w:basedOn w:val="Normal"/>
    <w:rsid w:val="00A347E5"/>
    <w:pPr>
      <w:pBdr>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44">
    <w:name w:val="xl44"/>
    <w:basedOn w:val="Normal"/>
    <w:rsid w:val="00A347E5"/>
    <w:pPr>
      <w:pBdr>
        <w:left w:val="single" w:sz="4" w:space="0" w:color="auto"/>
        <w:bottom w:val="single" w:sz="4" w:space="0" w:color="auto"/>
      </w:pBdr>
      <w:spacing w:before="100" w:beforeAutospacing="1" w:after="100" w:afterAutospacing="1"/>
      <w:jc w:val="center"/>
    </w:pPr>
    <w:rPr>
      <w:b/>
      <w:bCs/>
      <w:sz w:val="16"/>
      <w:szCs w:val="16"/>
    </w:rPr>
  </w:style>
  <w:style w:type="paragraph" w:customStyle="1" w:styleId="xl45">
    <w:name w:val="xl45"/>
    <w:basedOn w:val="Normal"/>
    <w:rsid w:val="00A347E5"/>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46">
    <w:name w:val="xl46"/>
    <w:basedOn w:val="Normal"/>
    <w:rsid w:val="00A347E5"/>
    <w:pPr>
      <w:pBdr>
        <w:bottom w:val="single" w:sz="4" w:space="0" w:color="auto"/>
        <w:right w:val="single" w:sz="4" w:space="0" w:color="auto"/>
      </w:pBdr>
      <w:spacing w:before="100" w:beforeAutospacing="1" w:after="100" w:afterAutospacing="1"/>
      <w:jc w:val="center"/>
    </w:pPr>
    <w:rPr>
      <w:b/>
      <w:bCs/>
      <w:sz w:val="16"/>
      <w:szCs w:val="16"/>
    </w:rPr>
  </w:style>
  <w:style w:type="paragraph" w:customStyle="1" w:styleId="xl47">
    <w:name w:val="xl47"/>
    <w:basedOn w:val="Normal"/>
    <w:rsid w:val="00A347E5"/>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48">
    <w:name w:val="xl48"/>
    <w:basedOn w:val="Normal"/>
    <w:rsid w:val="00A347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9">
    <w:name w:val="xl49"/>
    <w:basedOn w:val="Normal"/>
    <w:rsid w:val="00A347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50">
    <w:name w:val="xl50"/>
    <w:basedOn w:val="Normal"/>
    <w:rsid w:val="00A347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51">
    <w:name w:val="xl51"/>
    <w:basedOn w:val="Normal"/>
    <w:rsid w:val="00A347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52">
    <w:name w:val="xl52"/>
    <w:basedOn w:val="Normal"/>
    <w:rsid w:val="00A347E5"/>
    <w:pPr>
      <w:spacing w:before="100" w:beforeAutospacing="1" w:after="100" w:afterAutospacing="1"/>
      <w:textAlignment w:val="top"/>
    </w:pPr>
  </w:style>
  <w:style w:type="paragraph" w:customStyle="1" w:styleId="xl53">
    <w:name w:val="xl53"/>
    <w:basedOn w:val="Normal"/>
    <w:rsid w:val="00A347E5"/>
    <w:pPr>
      <w:spacing w:before="100" w:beforeAutospacing="1" w:after="100" w:afterAutospacing="1"/>
      <w:textAlignment w:val="top"/>
    </w:pPr>
  </w:style>
  <w:style w:type="paragraph" w:customStyle="1" w:styleId="xl54">
    <w:name w:val="xl54"/>
    <w:basedOn w:val="Normal"/>
    <w:rsid w:val="00A347E5"/>
    <w:pPr>
      <w:spacing w:before="100" w:beforeAutospacing="1" w:after="100" w:afterAutospacing="1"/>
      <w:textAlignment w:val="top"/>
    </w:pPr>
    <w:rPr>
      <w:b/>
      <w:bCs/>
    </w:rPr>
  </w:style>
  <w:style w:type="paragraph" w:customStyle="1" w:styleId="xl55">
    <w:name w:val="xl55"/>
    <w:basedOn w:val="Normal"/>
    <w:rsid w:val="00A347E5"/>
    <w:pPr>
      <w:spacing w:before="100" w:beforeAutospacing="1" w:after="100" w:afterAutospacing="1"/>
      <w:textAlignment w:val="top"/>
    </w:pPr>
    <w:rPr>
      <w:b/>
      <w:bCs/>
    </w:rPr>
  </w:style>
  <w:style w:type="paragraph" w:customStyle="1" w:styleId="xl56">
    <w:name w:val="xl56"/>
    <w:basedOn w:val="Normal"/>
    <w:rsid w:val="00A347E5"/>
    <w:pPr>
      <w:pBdr>
        <w:top w:val="single" w:sz="4" w:space="0" w:color="auto"/>
        <w:bottom w:val="single" w:sz="4" w:space="0" w:color="auto"/>
      </w:pBdr>
      <w:spacing w:before="100" w:beforeAutospacing="1" w:after="100" w:afterAutospacing="1"/>
      <w:textAlignment w:val="top"/>
    </w:pPr>
    <w:rPr>
      <w:b/>
      <w:bCs/>
    </w:rPr>
  </w:style>
  <w:style w:type="paragraph" w:customStyle="1" w:styleId="xl57">
    <w:name w:val="xl57"/>
    <w:basedOn w:val="Normal"/>
    <w:rsid w:val="00A347E5"/>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58">
    <w:name w:val="xl58"/>
    <w:basedOn w:val="Normal"/>
    <w:rsid w:val="00A347E5"/>
    <w:pPr>
      <w:pBdr>
        <w:top w:val="single" w:sz="4" w:space="0" w:color="auto"/>
        <w:bottom w:val="single" w:sz="4" w:space="0" w:color="auto"/>
      </w:pBdr>
      <w:spacing w:before="100" w:beforeAutospacing="1" w:after="100" w:afterAutospacing="1"/>
      <w:textAlignment w:val="top"/>
    </w:pPr>
  </w:style>
  <w:style w:type="paragraph" w:customStyle="1" w:styleId="xl59">
    <w:name w:val="xl59"/>
    <w:basedOn w:val="Normal"/>
    <w:rsid w:val="00A347E5"/>
    <w:pPr>
      <w:pBdr>
        <w:top w:val="single" w:sz="4" w:space="0" w:color="auto"/>
        <w:bottom w:val="single" w:sz="4" w:space="0" w:color="auto"/>
      </w:pBdr>
      <w:spacing w:before="100" w:beforeAutospacing="1" w:after="100" w:afterAutospacing="1"/>
      <w:textAlignment w:val="top"/>
    </w:pPr>
  </w:style>
  <w:style w:type="paragraph" w:customStyle="1" w:styleId="xl60">
    <w:name w:val="xl60"/>
    <w:basedOn w:val="Normal"/>
    <w:rsid w:val="00A347E5"/>
    <w:pPr>
      <w:pBdr>
        <w:top w:val="single" w:sz="4" w:space="0" w:color="auto"/>
        <w:bottom w:val="single" w:sz="4" w:space="0" w:color="auto"/>
      </w:pBdr>
      <w:spacing w:before="100" w:beforeAutospacing="1" w:after="100" w:afterAutospacing="1"/>
      <w:textAlignment w:val="top"/>
    </w:pPr>
  </w:style>
  <w:style w:type="paragraph" w:customStyle="1" w:styleId="xl61">
    <w:name w:val="xl61"/>
    <w:basedOn w:val="Normal"/>
    <w:rsid w:val="00A347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2">
    <w:name w:val="xl62"/>
    <w:basedOn w:val="Normal"/>
    <w:rsid w:val="00A347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3">
    <w:name w:val="xl63"/>
    <w:basedOn w:val="Normal"/>
    <w:rsid w:val="00A347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4">
    <w:name w:val="xl64"/>
    <w:basedOn w:val="Normal"/>
    <w:rsid w:val="00A347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5">
    <w:name w:val="xl65"/>
    <w:basedOn w:val="Normal"/>
    <w:rsid w:val="00A347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styleId="Title">
    <w:name w:val="Title"/>
    <w:basedOn w:val="Normal"/>
    <w:link w:val="TitleChar"/>
    <w:qFormat/>
    <w:rsid w:val="00A347E5"/>
    <w:pPr>
      <w:jc w:val="center"/>
    </w:pPr>
    <w:rPr>
      <w:b/>
      <w:bCs/>
    </w:rPr>
  </w:style>
  <w:style w:type="character" w:customStyle="1" w:styleId="TitleChar">
    <w:name w:val="Title Char"/>
    <w:basedOn w:val="DefaultParagraphFont"/>
    <w:link w:val="Title"/>
    <w:uiPriority w:val="99"/>
    <w:locked/>
    <w:rsid w:val="002D44E7"/>
    <w:rPr>
      <w:rFonts w:ascii="Cambria" w:eastAsia="Times New Roman" w:hAnsi="Cambria" w:cs="Times New Roman"/>
      <w:b/>
      <w:bCs/>
      <w:kern w:val="28"/>
      <w:sz w:val="32"/>
      <w:szCs w:val="32"/>
      <w:lang w:eastAsia="en-US"/>
    </w:rPr>
  </w:style>
  <w:style w:type="paragraph" w:styleId="BodyTextIndent">
    <w:name w:val="Body Text Indent"/>
    <w:basedOn w:val="Normal"/>
    <w:link w:val="BodyTextIndentChar"/>
    <w:rsid w:val="00A347E5"/>
    <w:pPr>
      <w:spacing w:before="240"/>
      <w:ind w:left="770" w:hanging="770"/>
    </w:pPr>
    <w:rPr>
      <w:sz w:val="22"/>
    </w:rPr>
  </w:style>
  <w:style w:type="character" w:customStyle="1" w:styleId="BodyTextIndentChar">
    <w:name w:val="Body Text Indent Char"/>
    <w:basedOn w:val="DefaultParagraphFont"/>
    <w:link w:val="BodyTextIndent"/>
    <w:uiPriority w:val="99"/>
    <w:locked/>
    <w:rsid w:val="002D44E7"/>
    <w:rPr>
      <w:rFonts w:cs="Times New Roman"/>
      <w:sz w:val="24"/>
      <w:szCs w:val="24"/>
      <w:lang w:eastAsia="en-US"/>
    </w:rPr>
  </w:style>
  <w:style w:type="paragraph" w:styleId="NormalWeb">
    <w:name w:val="Normal (Web)"/>
    <w:basedOn w:val="Normal"/>
    <w:uiPriority w:val="99"/>
    <w:rsid w:val="00A347E5"/>
    <w:pPr>
      <w:spacing w:before="100" w:beforeAutospacing="1" w:after="100" w:afterAutospacing="1"/>
      <w:ind w:left="29"/>
    </w:pPr>
    <w:rPr>
      <w:rFonts w:ascii="Arial Unicode MS" w:hAnsi="Arial Unicode MS" w:cs="Arial Unicode MS"/>
    </w:rPr>
  </w:style>
  <w:style w:type="paragraph" w:customStyle="1" w:styleId="p3">
    <w:name w:val="p3"/>
    <w:basedOn w:val="Normal"/>
    <w:rsid w:val="00A347E5"/>
    <w:pPr>
      <w:widowControl w:val="0"/>
      <w:tabs>
        <w:tab w:val="left" w:pos="204"/>
      </w:tabs>
      <w:spacing w:line="260" w:lineRule="atLeast"/>
    </w:pPr>
  </w:style>
  <w:style w:type="paragraph" w:customStyle="1" w:styleId="xl22">
    <w:name w:val="xl22"/>
    <w:basedOn w:val="Normal"/>
    <w:rsid w:val="00A347E5"/>
    <w:pPr>
      <w:spacing w:before="100" w:beforeAutospacing="1" w:after="100" w:afterAutospacing="1"/>
    </w:pPr>
    <w:rPr>
      <w:rFonts w:ascii="Arial" w:hAnsi="Arial" w:cs="Arial"/>
      <w:sz w:val="28"/>
      <w:szCs w:val="28"/>
    </w:rPr>
  </w:style>
  <w:style w:type="paragraph" w:customStyle="1" w:styleId="xl23">
    <w:name w:val="xl23"/>
    <w:basedOn w:val="Normal"/>
    <w:rsid w:val="00A347E5"/>
    <w:pPr>
      <w:spacing w:before="100" w:beforeAutospacing="1" w:after="100" w:afterAutospacing="1"/>
      <w:jc w:val="center"/>
    </w:pPr>
    <w:rPr>
      <w:rFonts w:ascii="Arial" w:hAnsi="Arial" w:cs="Arial"/>
      <w:sz w:val="28"/>
      <w:szCs w:val="28"/>
    </w:rPr>
  </w:style>
  <w:style w:type="paragraph" w:customStyle="1" w:styleId="Para20">
    <w:name w:val="Para2"/>
    <w:basedOn w:val="Para1"/>
    <w:rsid w:val="00A347E5"/>
    <w:pPr>
      <w:numPr>
        <w:numId w:val="2"/>
      </w:numPr>
      <w:autoSpaceDE w:val="0"/>
      <w:autoSpaceDN w:val="0"/>
    </w:pPr>
  </w:style>
  <w:style w:type="paragraph" w:customStyle="1" w:styleId="para4">
    <w:name w:val="para4"/>
    <w:basedOn w:val="Normal"/>
    <w:rsid w:val="00A347E5"/>
    <w:pPr>
      <w:numPr>
        <w:ilvl w:val="3"/>
        <w:numId w:val="4"/>
      </w:numPr>
      <w:tabs>
        <w:tab w:val="clear" w:pos="1440"/>
        <w:tab w:val="num" w:pos="2160"/>
      </w:tabs>
      <w:overflowPunct w:val="0"/>
      <w:autoSpaceDE w:val="0"/>
      <w:autoSpaceDN w:val="0"/>
      <w:adjustRightInd w:val="0"/>
      <w:spacing w:line="240" w:lineRule="atLeast"/>
      <w:ind w:left="2160" w:hanging="720"/>
      <w:textAlignment w:val="baseline"/>
    </w:pPr>
    <w:rPr>
      <w:rFonts w:ascii="Courier" w:hAnsi="Courier"/>
      <w:color w:val="000000"/>
      <w:sz w:val="20"/>
      <w:szCs w:val="20"/>
      <w:lang w:val="en-GB"/>
    </w:rPr>
  </w:style>
  <w:style w:type="paragraph" w:customStyle="1" w:styleId="Heading-plainbold">
    <w:name w:val="Heading-plain bold"/>
    <w:basedOn w:val="BodyText"/>
    <w:rsid w:val="00A347E5"/>
    <w:pPr>
      <w:keepNext/>
      <w:ind w:firstLine="0"/>
      <w:jc w:val="center"/>
    </w:pPr>
    <w:rPr>
      <w:b/>
      <w:bCs/>
      <w:i/>
      <w:sz w:val="22"/>
    </w:rPr>
  </w:style>
  <w:style w:type="paragraph" w:styleId="BlockText">
    <w:name w:val="Block Text"/>
    <w:basedOn w:val="Normal"/>
    <w:rsid w:val="00A347E5"/>
    <w:pPr>
      <w:tabs>
        <w:tab w:val="left" w:pos="180"/>
      </w:tabs>
      <w:ind w:left="360" w:right="2"/>
    </w:pPr>
  </w:style>
  <w:style w:type="paragraph" w:styleId="ListBullet2">
    <w:name w:val="List Bullet 2"/>
    <w:basedOn w:val="Normal"/>
    <w:autoRedefine/>
    <w:rsid w:val="00A347E5"/>
    <w:rPr>
      <w:sz w:val="22"/>
      <w:lang w:val="en-GB"/>
    </w:rPr>
  </w:style>
  <w:style w:type="paragraph" w:customStyle="1" w:styleId="Bulleted">
    <w:name w:val="Bulleted"/>
    <w:basedOn w:val="ListBullet2"/>
    <w:rsid w:val="00A347E5"/>
    <w:rPr>
      <w:szCs w:val="22"/>
    </w:rPr>
  </w:style>
  <w:style w:type="paragraph" w:styleId="CommentSubject">
    <w:name w:val="annotation subject"/>
    <w:basedOn w:val="CommentText"/>
    <w:next w:val="CommentText"/>
    <w:link w:val="CommentSubjectChar"/>
    <w:rsid w:val="00A347E5"/>
    <w:rPr>
      <w:b/>
      <w:bCs/>
    </w:rPr>
  </w:style>
  <w:style w:type="character" w:customStyle="1" w:styleId="CommentSubjectChar">
    <w:name w:val="Comment Subject Char"/>
    <w:basedOn w:val="CommentTextChar"/>
    <w:link w:val="CommentSubject"/>
    <w:uiPriority w:val="99"/>
    <w:locked/>
    <w:rsid w:val="002D44E7"/>
    <w:rPr>
      <w:rFonts w:cs="Times New Roman"/>
      <w:b/>
      <w:bCs/>
      <w:sz w:val="20"/>
      <w:szCs w:val="20"/>
      <w:lang w:eastAsia="en-US"/>
    </w:rPr>
  </w:style>
  <w:style w:type="paragraph" w:customStyle="1" w:styleId="HEADINGNOTFORTOC">
    <w:name w:val="HEADING (NOT FOR TOC)"/>
    <w:basedOn w:val="Heading1"/>
    <w:next w:val="Heading2"/>
    <w:rsid w:val="00A347E5"/>
    <w:pPr>
      <w:tabs>
        <w:tab w:val="left" w:pos="720"/>
      </w:tabs>
      <w:spacing w:after="120"/>
    </w:pPr>
    <w:rPr>
      <w:rFonts w:cs="Times New Roman"/>
      <w:bCs w:val="0"/>
      <w:caps/>
      <w:kern w:val="0"/>
      <w:szCs w:val="24"/>
      <w:lang w:val="en-GB"/>
    </w:rPr>
  </w:style>
  <w:style w:type="paragraph" w:customStyle="1" w:styleId="Heading-plainitalic">
    <w:name w:val="Heading-plain italic"/>
    <w:basedOn w:val="Normal"/>
    <w:rsid w:val="00A347E5"/>
    <w:pPr>
      <w:jc w:val="center"/>
    </w:pPr>
    <w:rPr>
      <w:i/>
      <w:sz w:val="22"/>
      <w:lang w:val="en-GB"/>
    </w:rPr>
  </w:style>
  <w:style w:type="paragraph" w:customStyle="1" w:styleId="Para10">
    <w:name w:val="Para 1"/>
    <w:basedOn w:val="Normal"/>
    <w:autoRedefine/>
    <w:rsid w:val="001152C0"/>
    <w:pPr>
      <w:keepNext/>
      <w:widowControl w:val="0"/>
      <w:suppressLineNumbers/>
      <w:suppressAutoHyphens/>
      <w:adjustRightInd w:val="0"/>
      <w:spacing w:line="240" w:lineRule="atLeast"/>
      <w:ind w:firstLine="0"/>
      <w:jc w:val="center"/>
    </w:pPr>
    <w:rPr>
      <w:rFonts w:ascii="KaiTi" w:eastAsia="KaiTi" w:hAnsi="KaiTi"/>
      <w:spacing w:val="-1"/>
      <w:kern w:val="22"/>
      <w:szCs w:val="22"/>
      <w:lang w:val="en-GB" w:eastAsia="zh-CN"/>
    </w:rPr>
  </w:style>
  <w:style w:type="paragraph" w:customStyle="1" w:styleId="Progelement">
    <w:name w:val="Progelement"/>
    <w:basedOn w:val="Heading3"/>
    <w:rsid w:val="00A347E5"/>
    <w:pPr>
      <w:jc w:val="left"/>
    </w:pPr>
    <w:rPr>
      <w:b/>
      <w:bCs/>
      <w:i w:val="0"/>
      <w:iCs w:val="0"/>
      <w:szCs w:val="22"/>
    </w:rPr>
  </w:style>
  <w:style w:type="paragraph" w:customStyle="1" w:styleId="StylePara1Italic">
    <w:name w:val="Style Para 1 + Italic"/>
    <w:basedOn w:val="Para10"/>
    <w:next w:val="Para10"/>
    <w:rsid w:val="00A347E5"/>
    <w:pPr>
      <w:tabs>
        <w:tab w:val="left" w:pos="720"/>
      </w:tabs>
    </w:pPr>
    <w:rPr>
      <w:i/>
      <w:iCs/>
    </w:rPr>
  </w:style>
  <w:style w:type="character" w:customStyle="1" w:styleId="StylePara1ItalicChar">
    <w:name w:val="Style Para 1 + Italic Char"/>
    <w:rsid w:val="00A347E5"/>
    <w:rPr>
      <w:i/>
      <w:sz w:val="24"/>
      <w:lang w:val="en-GB" w:eastAsia="en-US"/>
    </w:rPr>
  </w:style>
  <w:style w:type="paragraph" w:customStyle="1" w:styleId="Style1">
    <w:name w:val="Style1"/>
    <w:basedOn w:val="BodyText2"/>
    <w:qFormat/>
    <w:rsid w:val="00A347E5"/>
    <w:pPr>
      <w:tabs>
        <w:tab w:val="clear" w:pos="720"/>
      </w:tabs>
      <w:ind w:left="0" w:firstLine="0"/>
    </w:pPr>
    <w:rPr>
      <w:szCs w:val="20"/>
    </w:rPr>
  </w:style>
  <w:style w:type="paragraph" w:customStyle="1" w:styleId="Style3">
    <w:name w:val="Style3"/>
    <w:basedOn w:val="Para10"/>
    <w:rsid w:val="00A347E5"/>
    <w:pPr>
      <w:tabs>
        <w:tab w:val="left" w:pos="720"/>
      </w:tabs>
    </w:pPr>
  </w:style>
  <w:style w:type="paragraph" w:customStyle="1" w:styleId="Style4">
    <w:name w:val="Style4"/>
    <w:basedOn w:val="Para10"/>
    <w:next w:val="Style1"/>
    <w:rsid w:val="00A347E5"/>
    <w:pPr>
      <w:tabs>
        <w:tab w:val="left" w:pos="720"/>
      </w:tabs>
    </w:pPr>
  </w:style>
  <w:style w:type="paragraph" w:customStyle="1" w:styleId="Heading1longmultiline">
    <w:name w:val="Heading 1 (long multiline)"/>
    <w:basedOn w:val="Heading1"/>
    <w:rsid w:val="00A347E5"/>
    <w:pPr>
      <w:tabs>
        <w:tab w:val="left" w:pos="770"/>
      </w:tabs>
      <w:spacing w:after="120"/>
      <w:ind w:left="1843" w:right="6" w:hanging="1134"/>
      <w:jc w:val="left"/>
    </w:pPr>
    <w:rPr>
      <w:rFonts w:cs="Times New Roman"/>
      <w:bCs w:val="0"/>
      <w:caps/>
      <w:kern w:val="0"/>
      <w:szCs w:val="24"/>
      <w:lang w:val="en-GB"/>
    </w:rPr>
  </w:style>
  <w:style w:type="paragraph" w:customStyle="1" w:styleId="Heading1multiline">
    <w:name w:val="Heading 1 (multiline)"/>
    <w:basedOn w:val="Heading1"/>
    <w:rsid w:val="00A347E5"/>
    <w:pPr>
      <w:tabs>
        <w:tab w:val="left" w:pos="770"/>
      </w:tabs>
      <w:spacing w:after="120"/>
      <w:ind w:left="1843" w:right="996" w:hanging="567"/>
      <w:jc w:val="left"/>
    </w:pPr>
    <w:rPr>
      <w:rFonts w:cs="Times New Roman"/>
      <w:bCs w:val="0"/>
      <w:caps/>
      <w:kern w:val="0"/>
      <w:szCs w:val="24"/>
      <w:lang w:val="en-GB"/>
    </w:rPr>
  </w:style>
  <w:style w:type="paragraph" w:customStyle="1" w:styleId="Heading2longmultiline">
    <w:name w:val="Heading 2 (long multiline)"/>
    <w:basedOn w:val="Normal"/>
    <w:rsid w:val="00A347E5"/>
    <w:pPr>
      <w:keepNext/>
      <w:tabs>
        <w:tab w:val="left" w:pos="770"/>
      </w:tabs>
      <w:ind w:left="2127" w:right="998" w:hanging="1276"/>
      <w:outlineLvl w:val="0"/>
    </w:pPr>
    <w:rPr>
      <w:b/>
      <w:i/>
      <w:iCs/>
      <w:sz w:val="22"/>
      <w:lang w:val="en-GB"/>
    </w:rPr>
  </w:style>
  <w:style w:type="paragraph" w:customStyle="1" w:styleId="Heading2multiline">
    <w:name w:val="Heading 2 (multiline)"/>
    <w:basedOn w:val="Heading1"/>
    <w:next w:val="Normal"/>
    <w:rsid w:val="00A347E5"/>
    <w:pPr>
      <w:tabs>
        <w:tab w:val="left" w:pos="770"/>
      </w:tabs>
      <w:spacing w:before="120" w:after="120"/>
      <w:ind w:left="1843" w:right="998" w:hanging="567"/>
      <w:jc w:val="left"/>
    </w:pPr>
    <w:rPr>
      <w:rFonts w:cs="Times New Roman"/>
      <w:bCs w:val="0"/>
      <w:i/>
      <w:iCs/>
      <w:kern w:val="0"/>
      <w:szCs w:val="24"/>
      <w:lang w:val="en-GB"/>
    </w:rPr>
  </w:style>
  <w:style w:type="paragraph" w:customStyle="1" w:styleId="Heading3multiline">
    <w:name w:val="Heading 3 (multiline)"/>
    <w:basedOn w:val="Heading3"/>
    <w:next w:val="Normal"/>
    <w:rsid w:val="00A347E5"/>
    <w:pPr>
      <w:tabs>
        <w:tab w:val="left" w:pos="567"/>
      </w:tabs>
      <w:ind w:left="1418" w:hanging="425"/>
      <w:jc w:val="left"/>
    </w:pPr>
  </w:style>
  <w:style w:type="paragraph" w:customStyle="1" w:styleId="Para3">
    <w:name w:val="Para3"/>
    <w:basedOn w:val="Normal"/>
    <w:rsid w:val="00A347E5"/>
    <w:pPr>
      <w:numPr>
        <w:ilvl w:val="2"/>
        <w:numId w:val="1"/>
      </w:numPr>
      <w:tabs>
        <w:tab w:val="clear" w:pos="360"/>
        <w:tab w:val="num" w:pos="1440"/>
      </w:tabs>
      <w:spacing w:before="80" w:after="80"/>
      <w:ind w:left="1440"/>
    </w:pPr>
    <w:rPr>
      <w:sz w:val="22"/>
      <w:szCs w:val="20"/>
      <w:lang w:val="en-GB"/>
    </w:rPr>
  </w:style>
  <w:style w:type="paragraph" w:styleId="BalloonText">
    <w:name w:val="Balloon Text"/>
    <w:basedOn w:val="Normal"/>
    <w:link w:val="BalloonTextChar"/>
    <w:uiPriority w:val="99"/>
    <w:rsid w:val="00A347E5"/>
    <w:rPr>
      <w:rFonts w:ascii="Tahoma" w:hAnsi="Tahoma" w:cs="Tahoma"/>
      <w:sz w:val="16"/>
      <w:szCs w:val="16"/>
    </w:rPr>
  </w:style>
  <w:style w:type="character" w:customStyle="1" w:styleId="BalloonTextChar">
    <w:name w:val="Balloon Text Char"/>
    <w:basedOn w:val="DefaultParagraphFont"/>
    <w:link w:val="BalloonText"/>
    <w:uiPriority w:val="99"/>
    <w:locked/>
    <w:rsid w:val="001008A6"/>
    <w:rPr>
      <w:rFonts w:ascii="Tahoma" w:hAnsi="Tahoma" w:cs="Tahoma"/>
      <w:sz w:val="16"/>
      <w:szCs w:val="16"/>
      <w:lang w:val="en-US" w:eastAsia="en-US"/>
    </w:rPr>
  </w:style>
  <w:style w:type="paragraph" w:customStyle="1" w:styleId="Paraa">
    <w:name w:val="Para (a)"/>
    <w:basedOn w:val="Normal"/>
    <w:rsid w:val="00A347E5"/>
    <w:pPr>
      <w:tabs>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outlineLvl w:val="1"/>
    </w:pPr>
    <w:rPr>
      <w:sz w:val="22"/>
      <w:lang w:val="en-GB"/>
    </w:rPr>
  </w:style>
  <w:style w:type="paragraph" w:customStyle="1" w:styleId="Para1alternative">
    <w:name w:val="Para1 (alternative)"/>
    <w:basedOn w:val="Normal"/>
    <w:rsid w:val="00A347E5"/>
    <w:pPr>
      <w:numPr>
        <w:numId w:val="5"/>
      </w:numPr>
    </w:pPr>
    <w:rPr>
      <w:rFonts w:eastAsia="MS Mincho"/>
      <w:sz w:val="22"/>
      <w:szCs w:val="18"/>
      <w:lang w:val="en-GB"/>
    </w:rPr>
  </w:style>
  <w:style w:type="paragraph" w:customStyle="1" w:styleId="font5">
    <w:name w:val="font5"/>
    <w:basedOn w:val="Normal"/>
    <w:rsid w:val="00A347E5"/>
    <w:pPr>
      <w:spacing w:before="100" w:beforeAutospacing="1" w:after="100" w:afterAutospacing="1"/>
    </w:pPr>
    <w:rPr>
      <w:rFonts w:ascii="Arial" w:hAnsi="Arial" w:cs="Arial"/>
      <w:b/>
      <w:bCs/>
      <w:sz w:val="20"/>
      <w:szCs w:val="20"/>
      <w:u w:val="single"/>
    </w:rPr>
  </w:style>
  <w:style w:type="paragraph" w:customStyle="1" w:styleId="xl66">
    <w:name w:val="xl66"/>
    <w:basedOn w:val="Normal"/>
    <w:rsid w:val="00A347E5"/>
    <w:pPr>
      <w:pBdr>
        <w:bottom w:val="single" w:sz="8" w:space="0" w:color="auto"/>
        <w:right w:val="single" w:sz="4" w:space="0" w:color="auto"/>
      </w:pBdr>
      <w:spacing w:before="100" w:beforeAutospacing="1" w:after="100" w:afterAutospacing="1"/>
    </w:pPr>
    <w:rPr>
      <w:rFonts w:ascii="Arial Unicode MS" w:hAnsi="Arial Unicode MS" w:cs="Arial Unicode MS"/>
    </w:rPr>
  </w:style>
  <w:style w:type="paragraph" w:customStyle="1" w:styleId="xl67">
    <w:name w:val="xl67"/>
    <w:basedOn w:val="Normal"/>
    <w:rsid w:val="00A347E5"/>
    <w:pPr>
      <w:pBdr>
        <w:right w:val="single" w:sz="4" w:space="0" w:color="auto"/>
      </w:pBdr>
      <w:spacing w:before="100" w:beforeAutospacing="1" w:after="100" w:afterAutospacing="1"/>
    </w:pPr>
    <w:rPr>
      <w:rFonts w:ascii="Arial" w:hAnsi="Arial" w:cs="Arial"/>
    </w:rPr>
  </w:style>
  <w:style w:type="paragraph" w:customStyle="1" w:styleId="xl68">
    <w:name w:val="xl68"/>
    <w:basedOn w:val="Normal"/>
    <w:rsid w:val="00A347E5"/>
    <w:pPr>
      <w:pBdr>
        <w:left w:val="single" w:sz="4" w:space="0" w:color="auto"/>
      </w:pBdr>
      <w:spacing w:before="100" w:beforeAutospacing="1" w:after="100" w:afterAutospacing="1"/>
    </w:pPr>
    <w:rPr>
      <w:rFonts w:ascii="Arial" w:hAnsi="Arial" w:cs="Arial"/>
      <w:b/>
      <w:bCs/>
      <w:u w:val="single"/>
    </w:rPr>
  </w:style>
  <w:style w:type="paragraph" w:customStyle="1" w:styleId="xl69">
    <w:name w:val="xl69"/>
    <w:basedOn w:val="Normal"/>
    <w:rsid w:val="00A347E5"/>
    <w:pPr>
      <w:pBdr>
        <w:left w:val="single" w:sz="4" w:space="0" w:color="auto"/>
      </w:pBdr>
      <w:spacing w:before="100" w:beforeAutospacing="1" w:after="100" w:afterAutospacing="1"/>
    </w:pPr>
    <w:rPr>
      <w:rFonts w:ascii="Arial Unicode MS" w:hAnsi="Arial Unicode MS" w:cs="Arial Unicode MS"/>
    </w:rPr>
  </w:style>
  <w:style w:type="paragraph" w:customStyle="1" w:styleId="xl70">
    <w:name w:val="xl70"/>
    <w:basedOn w:val="Normal"/>
    <w:rsid w:val="00A347E5"/>
    <w:pPr>
      <w:pBdr>
        <w:right w:val="single" w:sz="4" w:space="0" w:color="auto"/>
      </w:pBdr>
      <w:spacing w:before="100" w:beforeAutospacing="1" w:after="100" w:afterAutospacing="1"/>
    </w:pPr>
    <w:rPr>
      <w:rFonts w:ascii="Arial Unicode MS" w:hAnsi="Arial Unicode MS" w:cs="Arial Unicode MS"/>
    </w:rPr>
  </w:style>
  <w:style w:type="paragraph" w:customStyle="1" w:styleId="xl71">
    <w:name w:val="xl71"/>
    <w:basedOn w:val="Normal"/>
    <w:rsid w:val="00A347E5"/>
    <w:pPr>
      <w:pBdr>
        <w:left w:val="single" w:sz="4" w:space="0" w:color="auto"/>
      </w:pBdr>
      <w:spacing w:before="100" w:beforeAutospacing="1" w:after="100" w:afterAutospacing="1"/>
    </w:pPr>
    <w:rPr>
      <w:rFonts w:ascii="Arial" w:hAnsi="Arial" w:cs="Arial"/>
      <w:b/>
      <w:bCs/>
    </w:rPr>
  </w:style>
  <w:style w:type="paragraph" w:customStyle="1" w:styleId="xl72">
    <w:name w:val="xl72"/>
    <w:basedOn w:val="Normal"/>
    <w:rsid w:val="00A347E5"/>
    <w:pPr>
      <w:pBdr>
        <w:right w:val="single" w:sz="4" w:space="0" w:color="auto"/>
      </w:pBdr>
      <w:spacing w:before="100" w:beforeAutospacing="1" w:after="100" w:afterAutospacing="1"/>
    </w:pPr>
    <w:rPr>
      <w:rFonts w:ascii="Arial" w:hAnsi="Arial" w:cs="Arial"/>
      <w:b/>
      <w:bCs/>
    </w:rPr>
  </w:style>
  <w:style w:type="paragraph" w:customStyle="1" w:styleId="xl73">
    <w:name w:val="xl73"/>
    <w:basedOn w:val="Normal"/>
    <w:rsid w:val="00A347E5"/>
    <w:pPr>
      <w:pBdr>
        <w:left w:val="single" w:sz="4" w:space="0" w:color="auto"/>
      </w:pBdr>
      <w:spacing w:before="100" w:beforeAutospacing="1" w:after="100" w:afterAutospacing="1"/>
    </w:pPr>
    <w:rPr>
      <w:rFonts w:ascii="Arial" w:hAnsi="Arial" w:cs="Arial"/>
    </w:rPr>
  </w:style>
  <w:style w:type="paragraph" w:customStyle="1" w:styleId="xl74">
    <w:name w:val="xl74"/>
    <w:basedOn w:val="Normal"/>
    <w:rsid w:val="00A347E5"/>
    <w:pPr>
      <w:pBdr>
        <w:right w:val="single" w:sz="4" w:space="0" w:color="auto"/>
      </w:pBdr>
      <w:spacing w:before="100" w:beforeAutospacing="1" w:after="100" w:afterAutospacing="1"/>
    </w:pPr>
    <w:rPr>
      <w:rFonts w:ascii="Arial" w:hAnsi="Arial" w:cs="Arial"/>
    </w:rPr>
  </w:style>
  <w:style w:type="paragraph" w:customStyle="1" w:styleId="xl75">
    <w:name w:val="xl75"/>
    <w:basedOn w:val="Normal"/>
    <w:rsid w:val="00A347E5"/>
    <w:pPr>
      <w:pBdr>
        <w:top w:val="single" w:sz="8" w:space="0" w:color="auto"/>
        <w:left w:val="single" w:sz="4" w:space="0" w:color="auto"/>
        <w:bottom w:val="single" w:sz="4" w:space="0" w:color="auto"/>
      </w:pBdr>
      <w:spacing w:before="100" w:beforeAutospacing="1" w:after="100" w:afterAutospacing="1"/>
    </w:pPr>
    <w:rPr>
      <w:rFonts w:ascii="Arial" w:hAnsi="Arial" w:cs="Arial"/>
      <w:b/>
      <w:bCs/>
      <w:u w:val="single"/>
    </w:rPr>
  </w:style>
  <w:style w:type="paragraph" w:customStyle="1" w:styleId="xl76">
    <w:name w:val="xl76"/>
    <w:basedOn w:val="Normal"/>
    <w:rsid w:val="00A347E5"/>
    <w:pPr>
      <w:pBdr>
        <w:top w:val="single" w:sz="8" w:space="0" w:color="auto"/>
        <w:bottom w:val="single" w:sz="4" w:space="0" w:color="auto"/>
      </w:pBdr>
      <w:spacing w:before="100" w:beforeAutospacing="1" w:after="100" w:afterAutospacing="1"/>
    </w:pPr>
    <w:rPr>
      <w:rFonts w:ascii="Arial" w:hAnsi="Arial" w:cs="Arial"/>
      <w:b/>
      <w:bCs/>
    </w:rPr>
  </w:style>
  <w:style w:type="paragraph" w:customStyle="1" w:styleId="xl77">
    <w:name w:val="xl77"/>
    <w:basedOn w:val="Normal"/>
    <w:rsid w:val="00A347E5"/>
    <w:pPr>
      <w:pBdr>
        <w:top w:val="single" w:sz="8"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8">
    <w:name w:val="xl78"/>
    <w:basedOn w:val="Normal"/>
    <w:rsid w:val="00A347E5"/>
    <w:pPr>
      <w:pBdr>
        <w:left w:val="single" w:sz="4" w:space="0" w:color="auto"/>
        <w:bottom w:val="single" w:sz="4" w:space="0" w:color="auto"/>
      </w:pBdr>
      <w:spacing w:before="100" w:beforeAutospacing="1" w:after="100" w:afterAutospacing="1"/>
    </w:pPr>
    <w:rPr>
      <w:rFonts w:ascii="Arial Unicode MS" w:hAnsi="Arial Unicode MS" w:cs="Arial Unicode MS"/>
    </w:rPr>
  </w:style>
  <w:style w:type="paragraph" w:customStyle="1" w:styleId="xl79">
    <w:name w:val="xl79"/>
    <w:basedOn w:val="Normal"/>
    <w:rsid w:val="00A347E5"/>
    <w:pPr>
      <w:pBdr>
        <w:bottom w:val="single" w:sz="4" w:space="0" w:color="auto"/>
      </w:pBdr>
      <w:spacing w:before="100" w:beforeAutospacing="1" w:after="100" w:afterAutospacing="1"/>
    </w:pPr>
    <w:rPr>
      <w:rFonts w:ascii="Arial Unicode MS" w:hAnsi="Arial Unicode MS" w:cs="Arial Unicode MS"/>
    </w:rPr>
  </w:style>
  <w:style w:type="paragraph" w:customStyle="1" w:styleId="xl80">
    <w:name w:val="xl80"/>
    <w:basedOn w:val="Normal"/>
    <w:rsid w:val="00A347E5"/>
    <w:pPr>
      <w:pBdr>
        <w:bottom w:val="single" w:sz="4" w:space="0" w:color="auto"/>
        <w:right w:val="single" w:sz="4" w:space="0" w:color="auto"/>
      </w:pBdr>
      <w:spacing w:before="100" w:beforeAutospacing="1" w:after="100" w:afterAutospacing="1"/>
    </w:pPr>
    <w:rPr>
      <w:rFonts w:ascii="Arial Unicode MS" w:hAnsi="Arial Unicode MS" w:cs="Arial Unicode MS"/>
    </w:rPr>
  </w:style>
  <w:style w:type="paragraph" w:customStyle="1" w:styleId="xl81">
    <w:name w:val="xl81"/>
    <w:basedOn w:val="Normal"/>
    <w:rsid w:val="00A347E5"/>
    <w:pPr>
      <w:pBdr>
        <w:bottom w:val="single" w:sz="4" w:space="0" w:color="auto"/>
        <w:right w:val="single" w:sz="4" w:space="0" w:color="auto"/>
      </w:pBdr>
      <w:spacing w:before="100" w:beforeAutospacing="1" w:after="100" w:afterAutospacing="1"/>
    </w:pPr>
    <w:rPr>
      <w:rFonts w:ascii="Arial Unicode MS" w:hAnsi="Arial Unicode MS" w:cs="Arial Unicode MS"/>
    </w:rPr>
  </w:style>
  <w:style w:type="paragraph" w:customStyle="1" w:styleId="xl82">
    <w:name w:val="xl82"/>
    <w:basedOn w:val="Normal"/>
    <w:rsid w:val="00A347E5"/>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83">
    <w:name w:val="xl83"/>
    <w:basedOn w:val="Normal"/>
    <w:rsid w:val="00A347E5"/>
    <w:pPr>
      <w:pBdr>
        <w:top w:val="single" w:sz="4" w:space="0" w:color="auto"/>
      </w:pBdr>
      <w:spacing w:before="100" w:beforeAutospacing="1" w:after="100" w:afterAutospacing="1"/>
    </w:pPr>
    <w:rPr>
      <w:rFonts w:ascii="Arial Unicode MS" w:hAnsi="Arial Unicode MS" w:cs="Arial Unicode MS"/>
    </w:rPr>
  </w:style>
  <w:style w:type="paragraph" w:customStyle="1" w:styleId="xl84">
    <w:name w:val="xl84"/>
    <w:basedOn w:val="Normal"/>
    <w:rsid w:val="00A347E5"/>
    <w:pPr>
      <w:pBdr>
        <w:bottom w:val="single" w:sz="4" w:space="0" w:color="auto"/>
      </w:pBdr>
      <w:spacing w:before="100" w:beforeAutospacing="1" w:after="100" w:afterAutospacing="1"/>
    </w:pPr>
    <w:rPr>
      <w:rFonts w:ascii="Arial" w:hAnsi="Arial" w:cs="Arial"/>
      <w:b/>
      <w:bCs/>
    </w:rPr>
  </w:style>
  <w:style w:type="paragraph" w:customStyle="1" w:styleId="xl85">
    <w:name w:val="xl85"/>
    <w:basedOn w:val="Normal"/>
    <w:rsid w:val="00A347E5"/>
    <w:pPr>
      <w:pBdr>
        <w:top w:val="single" w:sz="4" w:space="0" w:color="auto"/>
        <w:left w:val="single" w:sz="4" w:space="0" w:color="auto"/>
      </w:pBdr>
      <w:spacing w:before="100" w:beforeAutospacing="1" w:after="100" w:afterAutospacing="1"/>
    </w:pPr>
    <w:rPr>
      <w:rFonts w:ascii="Arial Unicode MS" w:hAnsi="Arial Unicode MS" w:cs="Arial Unicode MS"/>
    </w:rPr>
  </w:style>
  <w:style w:type="paragraph" w:customStyle="1" w:styleId="xl86">
    <w:name w:val="xl86"/>
    <w:basedOn w:val="Normal"/>
    <w:rsid w:val="00A347E5"/>
    <w:pPr>
      <w:pBdr>
        <w:left w:val="single" w:sz="4" w:space="0" w:color="auto"/>
        <w:bottom w:val="single" w:sz="4" w:space="0" w:color="auto"/>
      </w:pBdr>
      <w:spacing w:before="100" w:beforeAutospacing="1" w:after="100" w:afterAutospacing="1"/>
    </w:pPr>
    <w:rPr>
      <w:rFonts w:ascii="Arial" w:hAnsi="Arial" w:cs="Arial"/>
      <w:b/>
      <w:bCs/>
    </w:rPr>
  </w:style>
  <w:style w:type="paragraph" w:customStyle="1" w:styleId="xl87">
    <w:name w:val="xl87"/>
    <w:basedOn w:val="Normal"/>
    <w:rsid w:val="00A347E5"/>
    <w:pPr>
      <w:pBdr>
        <w:top w:val="single" w:sz="4" w:space="0" w:color="auto"/>
        <w:right w:val="single" w:sz="4" w:space="0" w:color="auto"/>
      </w:pBdr>
      <w:spacing w:before="100" w:beforeAutospacing="1" w:after="100" w:afterAutospacing="1"/>
    </w:pPr>
    <w:rPr>
      <w:rFonts w:ascii="Arial Unicode MS" w:hAnsi="Arial Unicode MS" w:cs="Arial Unicode MS"/>
    </w:rPr>
  </w:style>
  <w:style w:type="paragraph" w:customStyle="1" w:styleId="xl88">
    <w:name w:val="xl88"/>
    <w:basedOn w:val="Normal"/>
    <w:rsid w:val="00A347E5"/>
    <w:pPr>
      <w:pBdr>
        <w:bottom w:val="single" w:sz="4" w:space="0" w:color="auto"/>
        <w:right w:val="single" w:sz="4" w:space="0" w:color="auto"/>
      </w:pBdr>
      <w:spacing w:before="100" w:beforeAutospacing="1" w:after="100" w:afterAutospacing="1"/>
    </w:pPr>
    <w:rPr>
      <w:rFonts w:ascii="Arial" w:hAnsi="Arial" w:cs="Arial"/>
      <w:b/>
      <w:bCs/>
    </w:rPr>
  </w:style>
  <w:style w:type="paragraph" w:customStyle="1" w:styleId="xl89">
    <w:name w:val="xl89"/>
    <w:basedOn w:val="Normal"/>
    <w:rsid w:val="00A347E5"/>
    <w:pPr>
      <w:pBdr>
        <w:top w:val="single" w:sz="4" w:space="0" w:color="auto"/>
        <w:left w:val="single" w:sz="4" w:space="0" w:color="auto"/>
        <w:bottom w:val="single" w:sz="4" w:space="0" w:color="auto"/>
      </w:pBdr>
      <w:spacing w:before="100" w:beforeAutospacing="1" w:after="100" w:afterAutospacing="1"/>
    </w:pPr>
    <w:rPr>
      <w:rFonts w:ascii="Arial Unicode MS" w:hAnsi="Arial Unicode MS" w:cs="Arial Unicode MS"/>
    </w:rPr>
  </w:style>
  <w:style w:type="paragraph" w:customStyle="1" w:styleId="xl90">
    <w:name w:val="xl90"/>
    <w:basedOn w:val="Normal"/>
    <w:rsid w:val="00A347E5"/>
    <w:pPr>
      <w:pBdr>
        <w:top w:val="single" w:sz="4" w:space="0" w:color="auto"/>
        <w:bottom w:val="single" w:sz="4" w:space="0" w:color="auto"/>
      </w:pBdr>
      <w:spacing w:before="100" w:beforeAutospacing="1" w:after="100" w:afterAutospacing="1"/>
    </w:pPr>
    <w:rPr>
      <w:rFonts w:ascii="Arial Unicode MS" w:hAnsi="Arial Unicode MS" w:cs="Arial Unicode MS"/>
    </w:rPr>
  </w:style>
  <w:style w:type="paragraph" w:customStyle="1" w:styleId="xl91">
    <w:name w:val="xl91"/>
    <w:basedOn w:val="Normal"/>
    <w:rsid w:val="00A347E5"/>
    <w:pPr>
      <w:pBdr>
        <w:top w:val="single" w:sz="4" w:space="0" w:color="auto"/>
        <w:bottom w:val="single" w:sz="4" w:space="0" w:color="auto"/>
        <w:right w:val="single" w:sz="4" w:space="0" w:color="auto"/>
      </w:pBdr>
      <w:spacing w:before="100" w:beforeAutospacing="1" w:after="100" w:afterAutospacing="1"/>
    </w:pPr>
    <w:rPr>
      <w:rFonts w:ascii="Arial Unicode MS" w:hAnsi="Arial Unicode MS" w:cs="Arial Unicode MS"/>
    </w:rPr>
  </w:style>
  <w:style w:type="paragraph" w:customStyle="1" w:styleId="xl92">
    <w:name w:val="xl92"/>
    <w:basedOn w:val="Normal"/>
    <w:rsid w:val="00A347E5"/>
    <w:pPr>
      <w:pBdr>
        <w:top w:val="single" w:sz="4" w:space="0" w:color="auto"/>
        <w:left w:val="single" w:sz="4" w:space="0" w:color="auto"/>
        <w:bottom w:val="single" w:sz="4" w:space="0" w:color="auto"/>
      </w:pBdr>
      <w:spacing w:before="100" w:beforeAutospacing="1" w:after="100" w:afterAutospacing="1"/>
    </w:pPr>
    <w:rPr>
      <w:rFonts w:ascii="Arial" w:hAnsi="Arial" w:cs="Arial"/>
      <w:b/>
      <w:bCs/>
      <w:u w:val="single"/>
    </w:rPr>
  </w:style>
  <w:style w:type="paragraph" w:customStyle="1" w:styleId="xl93">
    <w:name w:val="xl93"/>
    <w:basedOn w:val="Normal"/>
    <w:rsid w:val="00A347E5"/>
    <w:pPr>
      <w:pBdr>
        <w:top w:val="single" w:sz="4" w:space="0" w:color="auto"/>
        <w:bottom w:val="single" w:sz="4" w:space="0" w:color="auto"/>
        <w:right w:val="single" w:sz="4" w:space="0" w:color="auto"/>
      </w:pBdr>
      <w:spacing w:before="100" w:beforeAutospacing="1" w:after="100" w:afterAutospacing="1"/>
    </w:pPr>
    <w:rPr>
      <w:rFonts w:ascii="Arial Unicode MS" w:hAnsi="Arial Unicode MS" w:cs="Arial Unicode MS"/>
    </w:rPr>
  </w:style>
  <w:style w:type="paragraph" w:customStyle="1" w:styleId="xl94">
    <w:name w:val="xl94"/>
    <w:basedOn w:val="Normal"/>
    <w:rsid w:val="00A347E5"/>
    <w:pPr>
      <w:pBdr>
        <w:top w:val="single" w:sz="4" w:space="0" w:color="auto"/>
        <w:right w:val="single" w:sz="4" w:space="0" w:color="auto"/>
      </w:pBdr>
      <w:spacing w:before="100" w:beforeAutospacing="1" w:after="100" w:afterAutospacing="1"/>
    </w:pPr>
    <w:rPr>
      <w:rFonts w:ascii="Arial Unicode MS" w:hAnsi="Arial Unicode MS" w:cs="Arial Unicode MS"/>
    </w:rPr>
  </w:style>
  <w:style w:type="paragraph" w:customStyle="1" w:styleId="xl95">
    <w:name w:val="xl95"/>
    <w:basedOn w:val="Normal"/>
    <w:rsid w:val="00A347E5"/>
    <w:pPr>
      <w:pBdr>
        <w:bottom w:val="single" w:sz="4" w:space="0" w:color="auto"/>
        <w:right w:val="single" w:sz="4" w:space="0" w:color="auto"/>
      </w:pBdr>
      <w:spacing w:before="100" w:beforeAutospacing="1" w:after="100" w:afterAutospacing="1"/>
    </w:pPr>
    <w:rPr>
      <w:rFonts w:ascii="Arial" w:hAnsi="Arial" w:cs="Arial"/>
      <w:b/>
      <w:bCs/>
    </w:rPr>
  </w:style>
  <w:style w:type="paragraph" w:customStyle="1" w:styleId="xl96">
    <w:name w:val="xl96"/>
    <w:basedOn w:val="Normal"/>
    <w:rsid w:val="00A347E5"/>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97">
    <w:name w:val="xl97"/>
    <w:basedOn w:val="Normal"/>
    <w:rsid w:val="00A347E5"/>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98">
    <w:name w:val="xl98"/>
    <w:basedOn w:val="Normal"/>
    <w:rsid w:val="00A347E5"/>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9">
    <w:name w:val="xl99"/>
    <w:basedOn w:val="Normal"/>
    <w:rsid w:val="00A347E5"/>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Recommendation">
    <w:name w:val="Recommendation"/>
    <w:basedOn w:val="EndnoteText"/>
    <w:rsid w:val="000D61BD"/>
    <w:pPr>
      <w:widowControl w:val="0"/>
      <w:numPr>
        <w:numId w:val="6"/>
      </w:numPr>
      <w:tabs>
        <w:tab w:val="left" w:pos="426"/>
        <w:tab w:val="left" w:pos="1560"/>
        <w:tab w:val="left" w:pos="2268"/>
        <w:tab w:val="left" w:pos="9498"/>
      </w:tabs>
      <w:suppressAutoHyphens/>
      <w:ind w:right="1988"/>
    </w:pPr>
    <w:rPr>
      <w:szCs w:val="20"/>
      <w:lang w:val="en-GB"/>
    </w:rPr>
  </w:style>
  <w:style w:type="paragraph" w:customStyle="1" w:styleId="StylePara1alternativeBefore0ptAfter0pt">
    <w:name w:val="Style Para1 (alternative) + Before:  0 pt After:  0 pt"/>
    <w:basedOn w:val="Normal"/>
    <w:rsid w:val="00234FCC"/>
    <w:pPr>
      <w:tabs>
        <w:tab w:val="num" w:pos="90"/>
      </w:tabs>
    </w:pPr>
    <w:rPr>
      <w:sz w:val="22"/>
      <w:szCs w:val="20"/>
      <w:lang w:val="en-GB"/>
    </w:rPr>
  </w:style>
  <w:style w:type="paragraph" w:customStyle="1" w:styleId="CharCharCharCharCharCharCharCharChar">
    <w:name w:val="Char Char Char Char Char Char Char Char Char"/>
    <w:basedOn w:val="Normal"/>
    <w:rsid w:val="007C0F08"/>
    <w:pPr>
      <w:widowControl w:val="0"/>
      <w:adjustRightInd w:val="0"/>
      <w:spacing w:line="360" w:lineRule="atLeast"/>
      <w:textAlignment w:val="baseline"/>
    </w:pPr>
    <w:rPr>
      <w:rFonts w:ascii="Arial" w:eastAsia="Batang" w:hAnsi="Arial" w:cs="Arial"/>
      <w:sz w:val="22"/>
      <w:szCs w:val="20"/>
      <w:lang w:val="pl-PL" w:eastAsia="pl-PL"/>
    </w:rPr>
  </w:style>
  <w:style w:type="table" w:styleId="TableGrid">
    <w:name w:val="Table Grid"/>
    <w:basedOn w:val="TableNormal"/>
    <w:uiPriority w:val="59"/>
    <w:rsid w:val="007214A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respo">
    <w:name w:val="crespo"/>
    <w:semiHidden/>
    <w:rsid w:val="005B1157"/>
    <w:rPr>
      <w:rFonts w:ascii="Trebuchet MS" w:hAnsi="Trebuchet MS"/>
      <w:color w:val="auto"/>
      <w:sz w:val="20"/>
      <w:u w:val="none"/>
    </w:rPr>
  </w:style>
  <w:style w:type="paragraph" w:styleId="PlainText">
    <w:name w:val="Plain Text"/>
    <w:basedOn w:val="Normal"/>
    <w:link w:val="PlainTextChar"/>
    <w:uiPriority w:val="99"/>
    <w:rsid w:val="005B1157"/>
    <w:rPr>
      <w:rFonts w:ascii="Trebuchet MS" w:hAnsi="Trebuchet MS"/>
      <w:sz w:val="20"/>
      <w:szCs w:val="20"/>
      <w:lang w:eastAsia="zh-CN"/>
    </w:rPr>
  </w:style>
  <w:style w:type="character" w:customStyle="1" w:styleId="PlainTextChar">
    <w:name w:val="Plain Text Char"/>
    <w:basedOn w:val="DefaultParagraphFont"/>
    <w:link w:val="PlainText"/>
    <w:uiPriority w:val="99"/>
    <w:locked/>
    <w:rsid w:val="005147A8"/>
    <w:rPr>
      <w:rFonts w:ascii="Trebuchet MS" w:hAnsi="Trebuchet MS" w:cs="Times New Roman"/>
    </w:rPr>
  </w:style>
  <w:style w:type="character" w:styleId="Emphasis">
    <w:name w:val="Emphasis"/>
    <w:basedOn w:val="DefaultParagraphFont"/>
    <w:qFormat/>
    <w:rsid w:val="00F156AA"/>
    <w:rPr>
      <w:rFonts w:cs="Times New Roman"/>
      <w:b/>
    </w:rPr>
  </w:style>
  <w:style w:type="paragraph" w:customStyle="1" w:styleId="Default">
    <w:name w:val="Default"/>
    <w:rsid w:val="006F27AF"/>
    <w:pPr>
      <w:autoSpaceDE w:val="0"/>
      <w:autoSpaceDN w:val="0"/>
      <w:adjustRightInd w:val="0"/>
    </w:pPr>
    <w:rPr>
      <w:color w:val="000000"/>
      <w:sz w:val="24"/>
      <w:szCs w:val="24"/>
      <w:lang w:eastAsia="en-US"/>
    </w:rPr>
  </w:style>
  <w:style w:type="paragraph" w:styleId="Revision">
    <w:name w:val="Revision"/>
    <w:hidden/>
    <w:uiPriority w:val="99"/>
    <w:semiHidden/>
    <w:rsid w:val="004F599B"/>
    <w:rPr>
      <w:sz w:val="24"/>
      <w:szCs w:val="24"/>
      <w:lang w:eastAsia="en-US"/>
    </w:rPr>
  </w:style>
  <w:style w:type="paragraph" w:styleId="ListParagraph">
    <w:name w:val="List Paragraph"/>
    <w:aliases w:val="Dot pt,Paragraphe de liste,List Paragraph12,MAIN CONTENT,List Paragraph2,Rec para,List Paragraph1,List Paragraph11,F5 List Paragraph,List Paragraph Char Char Char,Indicator Text,Colorful List - Accent 11"/>
    <w:basedOn w:val="Normal"/>
    <w:link w:val="ListParagraphChar"/>
    <w:uiPriority w:val="34"/>
    <w:qFormat/>
    <w:rsid w:val="00A008B6"/>
    <w:pPr>
      <w:ind w:left="720"/>
    </w:pPr>
  </w:style>
  <w:style w:type="paragraph" w:customStyle="1" w:styleId="HCh">
    <w:name w:val="_ H _Ch"/>
    <w:basedOn w:val="Normal"/>
    <w:next w:val="Normal"/>
    <w:rsid w:val="0061193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300" w:lineRule="exact"/>
      <w:outlineLvl w:val="0"/>
    </w:pPr>
    <w:rPr>
      <w:b/>
      <w:spacing w:val="-2"/>
      <w:w w:val="103"/>
      <w:kern w:val="14"/>
      <w:sz w:val="28"/>
      <w:szCs w:val="20"/>
      <w:lang w:val="en-GB"/>
    </w:rPr>
  </w:style>
  <w:style w:type="paragraph" w:styleId="TOCHeading">
    <w:name w:val="TOC Heading"/>
    <w:basedOn w:val="Heading1"/>
    <w:next w:val="Normal"/>
    <w:uiPriority w:val="39"/>
    <w:qFormat/>
    <w:rsid w:val="000B6510"/>
    <w:pPr>
      <w:keepLines/>
      <w:spacing w:after="0" w:line="259" w:lineRule="auto"/>
      <w:jc w:val="left"/>
      <w:outlineLvl w:val="9"/>
    </w:pPr>
    <w:rPr>
      <w:rFonts w:ascii="Calibri Light" w:hAnsi="Calibri Light" w:cs="Times New Roman"/>
      <w:b w:val="0"/>
      <w:bCs w:val="0"/>
      <w:color w:val="2F5496"/>
      <w:kern w:val="0"/>
      <w:sz w:val="32"/>
    </w:rPr>
  </w:style>
  <w:style w:type="paragraph" w:styleId="HTMLPreformatted">
    <w:name w:val="HTML Preformatted"/>
    <w:basedOn w:val="Normal"/>
    <w:link w:val="HTMLPreformattedChar"/>
    <w:uiPriority w:val="99"/>
    <w:rsid w:val="0007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GB"/>
    </w:rPr>
  </w:style>
  <w:style w:type="character" w:customStyle="1" w:styleId="HTMLPreformattedChar">
    <w:name w:val="HTML Preformatted Char"/>
    <w:basedOn w:val="DefaultParagraphFont"/>
    <w:link w:val="HTMLPreformatted"/>
    <w:uiPriority w:val="99"/>
    <w:locked/>
    <w:rsid w:val="000760E8"/>
    <w:rPr>
      <w:rFonts w:ascii="Courier New" w:hAnsi="Courier New" w:cs="Times New Roman"/>
      <w:lang w:eastAsia="en-GB"/>
    </w:rPr>
  </w:style>
  <w:style w:type="character" w:styleId="PlaceholderText">
    <w:name w:val="Placeholder Text"/>
    <w:basedOn w:val="DefaultParagraphFont"/>
    <w:uiPriority w:val="99"/>
    <w:rsid w:val="00942F70"/>
    <w:rPr>
      <w:rFonts w:cs="Times New Roman"/>
      <w:color w:val="808080"/>
    </w:rPr>
  </w:style>
  <w:style w:type="table" w:customStyle="1" w:styleId="TableGrid1">
    <w:name w:val="Table Grid1"/>
    <w:uiPriority w:val="39"/>
    <w:rsid w:val="007D44D1"/>
    <w:rPr>
      <w:rFonts w:ascii="Calibri" w:hAnsi="Calibri"/>
      <w:sz w:val="24"/>
      <w:szCs w:val="24"/>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063419"/>
    <w:rPr>
      <w:rFonts w:cs="Times New Roman"/>
      <w:b/>
      <w:bCs/>
    </w:rPr>
  </w:style>
  <w:style w:type="paragraph" w:customStyle="1" w:styleId="a0">
    <w:name w:val="文件标题"/>
    <w:basedOn w:val="Normal"/>
    <w:rsid w:val="00180952"/>
    <w:pPr>
      <w:keepNext/>
      <w:jc w:val="center"/>
    </w:pPr>
    <w:rPr>
      <w:kern w:val="28"/>
      <w:sz w:val="28"/>
      <w:lang w:val="en-GB" w:eastAsia="zh-CN"/>
    </w:rPr>
  </w:style>
  <w:style w:type="paragraph" w:customStyle="1" w:styleId="Activity">
    <w:name w:val="Activity"/>
    <w:basedOn w:val="Para1"/>
    <w:rsid w:val="00956689"/>
    <w:pPr>
      <w:keepNext/>
      <w:autoSpaceDE w:val="0"/>
      <w:autoSpaceDN w:val="0"/>
    </w:pPr>
    <w:rPr>
      <w:b/>
      <w:bCs/>
    </w:rPr>
  </w:style>
  <w:style w:type="character" w:customStyle="1" w:styleId="Para1Char">
    <w:name w:val="Para1 Char"/>
    <w:link w:val="Para1"/>
    <w:locked/>
    <w:rsid w:val="00956689"/>
    <w:rPr>
      <w:sz w:val="18"/>
      <w:lang w:val="en-GB" w:eastAsia="en-US"/>
    </w:rPr>
  </w:style>
  <w:style w:type="character" w:customStyle="1" w:styleId="style21">
    <w:name w:val="style21"/>
    <w:basedOn w:val="DefaultParagraphFont"/>
    <w:rsid w:val="00E14D2F"/>
    <w:rPr>
      <w:rFonts w:cs="Times New Roman"/>
      <w:color w:val="000080"/>
      <w:sz w:val="24"/>
      <w:szCs w:val="24"/>
    </w:rPr>
  </w:style>
  <w:style w:type="paragraph" w:customStyle="1" w:styleId="CBD-Para-a">
    <w:name w:val="CBD-Para-a"/>
    <w:basedOn w:val="Normal"/>
    <w:rsid w:val="004311D7"/>
    <w:pPr>
      <w:keepLines/>
      <w:tabs>
        <w:tab w:val="num" w:pos="1571"/>
      </w:tabs>
      <w:spacing w:before="60" w:after="60"/>
      <w:ind w:left="1440"/>
    </w:pPr>
    <w:rPr>
      <w:sz w:val="22"/>
      <w:szCs w:val="22"/>
      <w:lang w:val="en-GB"/>
    </w:rPr>
  </w:style>
  <w:style w:type="numbering" w:customStyle="1" w:styleId="ImportedStyle141">
    <w:name w:val="Imported Style 141"/>
    <w:rsid w:val="00F4353A"/>
    <w:pPr>
      <w:numPr>
        <w:numId w:val="8"/>
      </w:numPr>
    </w:p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link w:val="FootnoteReference"/>
    <w:uiPriority w:val="99"/>
    <w:rsid w:val="00EA2A06"/>
    <w:pPr>
      <w:spacing w:after="160" w:line="240" w:lineRule="exact"/>
    </w:pPr>
    <w:rPr>
      <w:sz w:val="18"/>
      <w:szCs w:val="22"/>
      <w:u w:val="single"/>
      <w:lang w:eastAsia="zh-CN"/>
    </w:rPr>
  </w:style>
  <w:style w:type="paragraph" w:customStyle="1" w:styleId="StylePara1HeadingsCSTimesNewRoman">
    <w:name w:val="Style Para1 + +Headings CS (Times New Roman)"/>
    <w:basedOn w:val="Para1"/>
    <w:rsid w:val="00EA2A06"/>
    <w:pPr>
      <w:tabs>
        <w:tab w:val="clear" w:pos="360"/>
      </w:tabs>
    </w:pPr>
    <w:rPr>
      <w:rFonts w:asciiTheme="majorBidi" w:eastAsia="Times New Roman" w:hAnsiTheme="majorBidi"/>
      <w:snapToGrid w:val="0"/>
      <w:sz w:val="22"/>
    </w:rPr>
  </w:style>
  <w:style w:type="character" w:customStyle="1" w:styleId="FootnoteTextChar2">
    <w:name w:val="Footnote Text Char2"/>
    <w:aliases w:val="fn Char2,Geneva 9 Char2,Font: Geneva 9 Char2,Boston 10 Char2,f Char2,ft Char2,Fotnotstext Char Char2,ft Char Char2,single space Char2,FOOTNOTES Char2,ADB Char2,single space1 Char2,footnote text1 Char2,FOOTNOTES1 Char1,fn1 Char2"/>
    <w:uiPriority w:val="99"/>
    <w:locked/>
    <w:rsid w:val="007533F8"/>
    <w:rPr>
      <w:sz w:val="24"/>
      <w:lang w:val="en-GB"/>
    </w:rPr>
  </w:style>
  <w:style w:type="character" w:customStyle="1" w:styleId="ListParagraphChar">
    <w:name w:val="List Paragraph Char"/>
    <w:aliases w:val="Dot pt Char,Paragraphe de liste Char,List Paragraph12 Char,MAIN CONTENT Char,List Paragraph2 Char,Rec para Char,List Paragraph1 Char,List Paragraph11 Char,F5 List Paragraph Char,List Paragraph Char Char Char Char,Indicator Text Char"/>
    <w:basedOn w:val="DefaultParagraphFont"/>
    <w:link w:val="ListParagraph"/>
    <w:uiPriority w:val="34"/>
    <w:qFormat/>
    <w:locked/>
    <w:rsid w:val="007533F8"/>
    <w:rPr>
      <w:sz w:val="24"/>
      <w:szCs w:val="24"/>
      <w:lang w:eastAsia="en-US"/>
    </w:rPr>
  </w:style>
  <w:style w:type="character" w:customStyle="1" w:styleId="StylePatternClearGray-15Kernat11pt">
    <w:name w:val="Style Pattern: Clear (Gray-15%) Kern at 11 pt"/>
    <w:rsid w:val="000A6F9D"/>
    <w:rPr>
      <w:kern w:val="22"/>
      <w:bdr w:val="none" w:sz="0" w:space="0" w:color="auto"/>
      <w:shd w:val="clear" w:color="auto" w:fill="auto"/>
    </w:rPr>
  </w:style>
  <w:style w:type="paragraph" w:customStyle="1" w:styleId="StylePara1Kernat11pt">
    <w:name w:val="Style Para1 + Kern at 11 pt"/>
    <w:basedOn w:val="Para1"/>
    <w:uiPriority w:val="99"/>
    <w:rsid w:val="000A6F9D"/>
    <w:pPr>
      <w:tabs>
        <w:tab w:val="clear" w:pos="360"/>
        <w:tab w:val="num" w:pos="1080"/>
      </w:tabs>
      <w:ind w:left="1080" w:hanging="360"/>
    </w:pPr>
    <w:rPr>
      <w:rFonts w:eastAsia="Times New Roman"/>
      <w:snapToGrid w:val="0"/>
      <w:kern w:val="22"/>
      <w:sz w:val="22"/>
    </w:rPr>
  </w:style>
  <w:style w:type="paragraph" w:customStyle="1" w:styleId="bodytextnoindent">
    <w:name w:val="body text (no indent)"/>
    <w:basedOn w:val="Normal"/>
    <w:uiPriority w:val="99"/>
    <w:rsid w:val="000C6210"/>
    <w:pPr>
      <w:widowControl w:val="0"/>
      <w:overflowPunct w:val="0"/>
      <w:autoSpaceDE w:val="0"/>
      <w:autoSpaceDN w:val="0"/>
      <w:adjustRightInd w:val="0"/>
      <w:textAlignment w:val="baseline"/>
    </w:pPr>
    <w:rPr>
      <w:rFonts w:eastAsia="SimSun" w:cs="Angsana New"/>
      <w:sz w:val="22"/>
      <w:szCs w:val="20"/>
      <w:lang w:val="en-GB" w:eastAsia="zh-CN"/>
    </w:rPr>
  </w:style>
  <w:style w:type="numbering" w:customStyle="1" w:styleId="NoList1">
    <w:name w:val="No List1"/>
    <w:next w:val="NoList"/>
    <w:uiPriority w:val="99"/>
    <w:semiHidden/>
    <w:unhideWhenUsed/>
    <w:rsid w:val="00375FE8"/>
  </w:style>
  <w:style w:type="character" w:customStyle="1" w:styleId="CharChar2">
    <w:name w:val="Char Char2"/>
    <w:uiPriority w:val="99"/>
    <w:semiHidden/>
    <w:locked/>
    <w:rsid w:val="00375FE8"/>
    <w:rPr>
      <w:rFonts w:ascii="Times New Roman" w:hAnsi="Times New Roman"/>
      <w:sz w:val="18"/>
    </w:rPr>
  </w:style>
  <w:style w:type="character" w:customStyle="1" w:styleId="Document5">
    <w:name w:val="Document 5"/>
    <w:uiPriority w:val="99"/>
    <w:rsid w:val="00375FE8"/>
    <w:rPr>
      <w:rFonts w:cs="Times New Roman"/>
    </w:rPr>
  </w:style>
  <w:style w:type="paragraph" w:customStyle="1" w:styleId="Paragraph">
    <w:name w:val="Paragraph"/>
    <w:basedOn w:val="Normal"/>
    <w:uiPriority w:val="99"/>
    <w:rsid w:val="00375FE8"/>
    <w:rPr>
      <w:rFonts w:eastAsia="SimSun" w:cs="Angsana New"/>
      <w:sz w:val="22"/>
      <w:lang w:val="en-GB" w:eastAsia="zh-CN"/>
    </w:rPr>
  </w:style>
  <w:style w:type="paragraph" w:customStyle="1" w:styleId="Bodytextitalic">
    <w:name w:val="Body text italic"/>
    <w:basedOn w:val="BodyText"/>
    <w:uiPriority w:val="99"/>
    <w:rsid w:val="00375FE8"/>
    <w:rPr>
      <w:rFonts w:eastAsia="SimSun" w:cs="Angsana New"/>
      <w:i/>
      <w:sz w:val="22"/>
      <w:lang w:eastAsia="zh-CN"/>
    </w:rPr>
  </w:style>
  <w:style w:type="paragraph" w:customStyle="1" w:styleId="boxbody">
    <w:name w:val="boxbody"/>
    <w:basedOn w:val="Normal"/>
    <w:uiPriority w:val="99"/>
    <w:rsid w:val="00375FE8"/>
    <w:pPr>
      <w:spacing w:before="100" w:beforeAutospacing="1" w:after="100" w:afterAutospacing="1"/>
      <w:ind w:left="612" w:right="612"/>
    </w:pPr>
    <w:rPr>
      <w:rFonts w:eastAsia="Univers"/>
      <w:sz w:val="18"/>
      <w:szCs w:val="18"/>
      <w:lang w:val="en-GB" w:eastAsia="zh-CN"/>
    </w:rPr>
  </w:style>
  <w:style w:type="paragraph" w:customStyle="1" w:styleId="Heading-plain">
    <w:name w:val="Heading - plain"/>
    <w:basedOn w:val="Heading2"/>
    <w:next w:val="BodyText"/>
    <w:uiPriority w:val="99"/>
    <w:rsid w:val="00375FE8"/>
    <w:pPr>
      <w:tabs>
        <w:tab w:val="left" w:pos="900"/>
      </w:tabs>
    </w:pPr>
    <w:rPr>
      <w:rFonts w:eastAsia="Univers"/>
      <w:b w:val="0"/>
      <w:bCs w:val="0"/>
      <w:i/>
      <w:szCs w:val="20"/>
      <w:lang w:eastAsia="zh-CN"/>
    </w:rPr>
  </w:style>
  <w:style w:type="paragraph" w:customStyle="1" w:styleId="Heading2noletter">
    <w:name w:val="Heading 2 (no letter)"/>
    <w:basedOn w:val="Heading2"/>
    <w:uiPriority w:val="99"/>
    <w:rsid w:val="00375FE8"/>
    <w:rPr>
      <w:rFonts w:eastAsia="SimSun"/>
      <w:i/>
      <w:lang w:eastAsia="zh-CN"/>
    </w:rPr>
  </w:style>
  <w:style w:type="character" w:customStyle="1" w:styleId="Heading2CharChar">
    <w:name w:val="Heading 2 Char Char"/>
    <w:uiPriority w:val="99"/>
    <w:rsid w:val="00375FE8"/>
    <w:rPr>
      <w:rFonts w:ascii="Arial" w:hAnsi="Arial"/>
      <w:b/>
      <w:i/>
      <w:sz w:val="28"/>
      <w:lang w:val="en-US"/>
    </w:rPr>
  </w:style>
  <w:style w:type="paragraph" w:customStyle="1" w:styleId="Heading-plain0">
    <w:name w:val="Heading-plain"/>
    <w:basedOn w:val="Normal"/>
    <w:uiPriority w:val="99"/>
    <w:rsid w:val="00375FE8"/>
    <w:pPr>
      <w:jc w:val="center"/>
      <w:outlineLvl w:val="0"/>
    </w:pPr>
    <w:rPr>
      <w:rFonts w:eastAsia="SimSun" w:cs="Angsana New"/>
      <w:i/>
      <w:sz w:val="22"/>
      <w:szCs w:val="20"/>
      <w:lang w:val="en-GB" w:eastAsia="zh-CN"/>
    </w:rPr>
  </w:style>
  <w:style w:type="character" w:customStyle="1" w:styleId="Para1Char0">
    <w:name w:val="Para 1 Char"/>
    <w:uiPriority w:val="99"/>
    <w:rsid w:val="00375FE8"/>
    <w:rPr>
      <w:rFonts w:eastAsia="Times New Roman"/>
      <w:sz w:val="22"/>
      <w:lang w:val="en-GB"/>
    </w:rPr>
  </w:style>
  <w:style w:type="paragraph" w:customStyle="1" w:styleId="Para2rev">
    <w:name w:val="Para 2 (rev)"/>
    <w:basedOn w:val="Normal"/>
    <w:uiPriority w:val="99"/>
    <w:rsid w:val="00375FE8"/>
    <w:pPr>
      <w:tabs>
        <w:tab w:val="num" w:pos="720"/>
      </w:tabs>
      <w:ind w:left="720" w:hanging="360"/>
    </w:pPr>
    <w:rPr>
      <w:rFonts w:eastAsia="SimSun" w:cs="Angsana New"/>
      <w:sz w:val="22"/>
      <w:lang w:val="en-GB" w:eastAsia="zh-CN"/>
    </w:rPr>
  </w:style>
  <w:style w:type="paragraph" w:customStyle="1" w:styleId="Paraofficial">
    <w:name w:val="Para official"/>
    <w:basedOn w:val="Normal"/>
    <w:uiPriority w:val="99"/>
    <w:rsid w:val="00375FE8"/>
    <w:pPr>
      <w:framePr w:hSpace="187" w:vSpace="187" w:wrap="notBeside" w:vAnchor="text" w:hAnchor="text" w:y="1"/>
      <w:numPr>
        <w:numId w:val="36"/>
      </w:numPr>
      <w:spacing w:before="240" w:after="240"/>
    </w:pPr>
    <w:rPr>
      <w:rFonts w:eastAsia="SimSun" w:cs="Angsana New"/>
      <w:sz w:val="22"/>
      <w:szCs w:val="20"/>
      <w:lang w:val="en-GB" w:eastAsia="zh-CN"/>
    </w:rPr>
  </w:style>
  <w:style w:type="paragraph" w:customStyle="1" w:styleId="Para1-Annex">
    <w:name w:val="Para1-Annex"/>
    <w:basedOn w:val="Normal"/>
    <w:uiPriority w:val="99"/>
    <w:rsid w:val="00375FE8"/>
    <w:pPr>
      <w:numPr>
        <w:numId w:val="37"/>
      </w:numPr>
    </w:pPr>
    <w:rPr>
      <w:rFonts w:eastAsia="SimSun"/>
      <w:sz w:val="22"/>
      <w:szCs w:val="22"/>
      <w:lang w:eastAsia="zh-CN"/>
    </w:rPr>
  </w:style>
  <w:style w:type="paragraph" w:customStyle="1" w:styleId="Para40">
    <w:name w:val="Para4"/>
    <w:basedOn w:val="Para3"/>
    <w:uiPriority w:val="99"/>
    <w:rsid w:val="00375FE8"/>
    <w:pPr>
      <w:numPr>
        <w:ilvl w:val="0"/>
        <w:numId w:val="0"/>
      </w:numPr>
      <w:tabs>
        <w:tab w:val="left" w:pos="2552"/>
        <w:tab w:val="num" w:pos="3540"/>
      </w:tabs>
      <w:ind w:left="2552" w:hanging="567"/>
    </w:pPr>
    <w:rPr>
      <w:rFonts w:eastAsia="SimSun" w:cs="Angsana New"/>
      <w:lang w:val="en-US" w:eastAsia="zh-CN"/>
    </w:rPr>
  </w:style>
  <w:style w:type="paragraph" w:customStyle="1" w:styleId="StyleBodyTextTimesNewRoman11ptCharChar">
    <w:name w:val="Style Body Text + Times New Roman 11 pt Char Char"/>
    <w:basedOn w:val="BodyText"/>
    <w:uiPriority w:val="99"/>
    <w:rsid w:val="00375FE8"/>
    <w:rPr>
      <w:rFonts w:eastAsia="SimSun" w:cs="Angsana New"/>
      <w:snapToGrid w:val="0"/>
      <w:color w:val="000000"/>
      <w:sz w:val="22"/>
      <w:szCs w:val="22"/>
      <w:lang w:val="en-US" w:eastAsia="zh-CN"/>
    </w:rPr>
  </w:style>
  <w:style w:type="character" w:customStyle="1" w:styleId="StyleBodyTextTimesNewRoman11ptCharCharChar">
    <w:name w:val="Style Body Text + Times New Roman 11 pt Char Char Char"/>
    <w:uiPriority w:val="99"/>
    <w:rsid w:val="00375FE8"/>
    <w:rPr>
      <w:snapToGrid w:val="0"/>
      <w:color w:val="000000"/>
      <w:sz w:val="22"/>
      <w:lang w:val="en-US"/>
    </w:rPr>
  </w:style>
  <w:style w:type="paragraph" w:customStyle="1" w:styleId="StylePara1Firstline127cm">
    <w:name w:val="Style Para1 + First line:  1.27 cm"/>
    <w:basedOn w:val="Para1"/>
    <w:uiPriority w:val="99"/>
    <w:rsid w:val="00375FE8"/>
    <w:pPr>
      <w:spacing w:before="0"/>
    </w:pPr>
    <w:rPr>
      <w:rFonts w:eastAsia="SimSun" w:cs="Angsana New"/>
      <w:snapToGrid w:val="0"/>
      <w:sz w:val="22"/>
      <w:szCs w:val="20"/>
      <w:lang w:eastAsia="zh-CN"/>
    </w:rPr>
  </w:style>
  <w:style w:type="character" w:customStyle="1" w:styleId="CharChar1">
    <w:name w:val="Char Char1"/>
    <w:uiPriority w:val="99"/>
    <w:locked/>
    <w:rsid w:val="00375FE8"/>
    <w:rPr>
      <w:lang w:val="en-GB"/>
    </w:rPr>
  </w:style>
  <w:style w:type="character" w:customStyle="1" w:styleId="CharChar">
    <w:name w:val="Char Char"/>
    <w:uiPriority w:val="99"/>
    <w:locked/>
    <w:rsid w:val="00375FE8"/>
    <w:rPr>
      <w:b/>
      <w:lang w:val="en-GB"/>
    </w:rPr>
  </w:style>
  <w:style w:type="character" w:customStyle="1" w:styleId="tw4winMark">
    <w:name w:val="tw4winMark"/>
    <w:uiPriority w:val="99"/>
    <w:rsid w:val="00375FE8"/>
    <w:rPr>
      <w:rFonts w:ascii="Courier New" w:hAnsi="Courier New"/>
      <w:vanish/>
      <w:color w:val="800080"/>
      <w:sz w:val="24"/>
      <w:vertAlign w:val="subscript"/>
    </w:rPr>
  </w:style>
  <w:style w:type="character" w:customStyle="1" w:styleId="tw4winError">
    <w:name w:val="tw4winError"/>
    <w:uiPriority w:val="99"/>
    <w:rsid w:val="00375FE8"/>
    <w:rPr>
      <w:rFonts w:ascii="Courier New" w:hAnsi="Courier New"/>
      <w:color w:val="00FF00"/>
      <w:sz w:val="40"/>
    </w:rPr>
  </w:style>
  <w:style w:type="character" w:customStyle="1" w:styleId="tw4winTerm">
    <w:name w:val="tw4winTerm"/>
    <w:uiPriority w:val="99"/>
    <w:rsid w:val="00375FE8"/>
    <w:rPr>
      <w:color w:val="0000FF"/>
    </w:rPr>
  </w:style>
  <w:style w:type="character" w:customStyle="1" w:styleId="tw4winPopup">
    <w:name w:val="tw4winPopup"/>
    <w:uiPriority w:val="99"/>
    <w:rsid w:val="00375FE8"/>
    <w:rPr>
      <w:rFonts w:ascii="Courier New" w:hAnsi="Courier New"/>
      <w:noProof/>
      <w:color w:val="008000"/>
    </w:rPr>
  </w:style>
  <w:style w:type="character" w:customStyle="1" w:styleId="tw4winJump">
    <w:name w:val="tw4winJump"/>
    <w:uiPriority w:val="99"/>
    <w:rsid w:val="00375FE8"/>
    <w:rPr>
      <w:rFonts w:ascii="Courier New" w:hAnsi="Courier New"/>
      <w:noProof/>
      <w:color w:val="008080"/>
    </w:rPr>
  </w:style>
  <w:style w:type="character" w:customStyle="1" w:styleId="tw4winExternal">
    <w:name w:val="tw4winExternal"/>
    <w:uiPriority w:val="99"/>
    <w:rsid w:val="00375FE8"/>
    <w:rPr>
      <w:rFonts w:ascii="Courier New" w:hAnsi="Courier New"/>
      <w:noProof/>
      <w:color w:val="808080"/>
    </w:rPr>
  </w:style>
  <w:style w:type="character" w:customStyle="1" w:styleId="tw4winInternal">
    <w:name w:val="tw4winInternal"/>
    <w:uiPriority w:val="99"/>
    <w:rsid w:val="00375FE8"/>
    <w:rPr>
      <w:rFonts w:ascii="Courier New" w:hAnsi="Courier New"/>
      <w:noProof/>
      <w:color w:val="FF0000"/>
    </w:rPr>
  </w:style>
  <w:style w:type="character" w:customStyle="1" w:styleId="DONOTTRANSLATE">
    <w:name w:val="DO_NOT_TRANSLATE"/>
    <w:uiPriority w:val="99"/>
    <w:rsid w:val="00375FE8"/>
    <w:rPr>
      <w:rFonts w:ascii="Courier New" w:hAnsi="Courier New"/>
      <w:noProof/>
      <w:color w:val="800000"/>
    </w:rPr>
  </w:style>
  <w:style w:type="character" w:customStyle="1" w:styleId="shorttext">
    <w:name w:val="short_text"/>
    <w:uiPriority w:val="99"/>
    <w:rsid w:val="00375FE8"/>
  </w:style>
  <w:style w:type="character" w:customStyle="1" w:styleId="shorttext0">
    <w:name w:val="shorttext"/>
    <w:basedOn w:val="DefaultParagraphFont"/>
    <w:uiPriority w:val="99"/>
    <w:rsid w:val="00375FE8"/>
  </w:style>
  <w:style w:type="character" w:customStyle="1" w:styleId="shorttext1">
    <w:name w:val="short_text1"/>
    <w:uiPriority w:val="99"/>
    <w:rsid w:val="00375FE8"/>
    <w:rPr>
      <w:sz w:val="23"/>
      <w:szCs w:val="23"/>
    </w:rPr>
  </w:style>
  <w:style w:type="paragraph" w:customStyle="1" w:styleId="sub-item">
    <w:name w:val="sub-item"/>
    <w:basedOn w:val="Heading2"/>
    <w:qFormat/>
    <w:rsid w:val="00375FE8"/>
    <w:pPr>
      <w:tabs>
        <w:tab w:val="left" w:pos="720"/>
      </w:tabs>
      <w:spacing w:before="240"/>
      <w:ind w:firstLine="709"/>
      <w:jc w:val="left"/>
      <w:outlineLvl w:val="0"/>
    </w:pPr>
    <w:rPr>
      <w:rFonts w:eastAsia="Times New Roman"/>
      <w:szCs w:val="22"/>
      <w:lang w:val="en-CA" w:eastAsia="en-CA"/>
    </w:rPr>
  </w:style>
  <w:style w:type="character" w:customStyle="1" w:styleId="ng-binding">
    <w:name w:val="ng-binding"/>
    <w:rsid w:val="00375FE8"/>
  </w:style>
  <w:style w:type="table" w:customStyle="1" w:styleId="TableGrid2">
    <w:name w:val="Table Grid2"/>
    <w:basedOn w:val="TableNormal"/>
    <w:next w:val="TableGrid"/>
    <w:uiPriority w:val="39"/>
    <w:rsid w:val="00375FE8"/>
    <w:rPr>
      <w:rFonts w:asciiTheme="minorHAnsi" w:eastAsiaTheme="minorEastAsia" w:hAnsiTheme="minorHAnsi" w:cstheme="minorBidi"/>
      <w:sz w:val="24"/>
      <w:szCs w:val="24"/>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etingname">
    <w:name w:val="meeting name"/>
    <w:basedOn w:val="Normal"/>
    <w:qFormat/>
    <w:rsid w:val="00375FE8"/>
    <w:pPr>
      <w:ind w:left="142" w:right="4218" w:hanging="142"/>
    </w:pPr>
    <w:rPr>
      <w:rFonts w:eastAsia="Times New Roman"/>
      <w:caps/>
      <w:sz w:val="22"/>
      <w:szCs w:val="22"/>
      <w:lang w:val="en-CA" w:eastAsia="en-CA"/>
    </w:rPr>
  </w:style>
  <w:style w:type="paragraph" w:styleId="Subtitle">
    <w:name w:val="Subtitle"/>
    <w:basedOn w:val="Normal"/>
    <w:next w:val="Normal"/>
    <w:link w:val="SubtitleChar"/>
    <w:uiPriority w:val="11"/>
    <w:qFormat/>
    <w:rsid w:val="00375FE8"/>
    <w:pPr>
      <w:numPr>
        <w:ilvl w:val="1"/>
      </w:numPr>
      <w:ind w:firstLine="720"/>
    </w:pPr>
    <w:rPr>
      <w:rFonts w:asciiTheme="majorHAnsi" w:eastAsiaTheme="majorEastAsia" w:hAnsiTheme="majorHAnsi" w:cstheme="majorBidi"/>
      <w:i/>
      <w:iCs/>
      <w:color w:val="4F81BD" w:themeColor="accent1"/>
      <w:spacing w:val="15"/>
      <w:sz w:val="22"/>
      <w:lang w:val="en-CA" w:eastAsia="en-CA"/>
    </w:rPr>
  </w:style>
  <w:style w:type="character" w:customStyle="1" w:styleId="SubtitleChar">
    <w:name w:val="Subtitle Char"/>
    <w:basedOn w:val="DefaultParagraphFont"/>
    <w:link w:val="Subtitle"/>
    <w:uiPriority w:val="11"/>
    <w:rsid w:val="00375FE8"/>
    <w:rPr>
      <w:rFonts w:asciiTheme="majorHAnsi" w:eastAsiaTheme="majorEastAsia" w:hAnsiTheme="majorHAnsi" w:cstheme="majorBidi"/>
      <w:i/>
      <w:iCs/>
      <w:color w:val="4F81BD" w:themeColor="accent1"/>
      <w:spacing w:val="15"/>
      <w:szCs w:val="24"/>
      <w:lang w:val="en-CA" w:eastAsia="en-CA"/>
    </w:rPr>
  </w:style>
  <w:style w:type="paragraph" w:customStyle="1" w:styleId="heading2notforTOC">
    <w:name w:val="heading 2 not for TOC"/>
    <w:basedOn w:val="Heading3"/>
    <w:rsid w:val="00375FE8"/>
    <w:pPr>
      <w:tabs>
        <w:tab w:val="left" w:pos="567"/>
      </w:tabs>
    </w:pPr>
    <w:rPr>
      <w:rFonts w:eastAsia="Times New Roman"/>
      <w:lang w:val="en-CA" w:eastAsia="en-CA"/>
    </w:rPr>
  </w:style>
  <w:style w:type="paragraph" w:customStyle="1" w:styleId="Heading4indent">
    <w:name w:val="Heading 4 indent"/>
    <w:basedOn w:val="Heading4"/>
    <w:rsid w:val="00375FE8"/>
    <w:pPr>
      <w:ind w:left="720"/>
      <w:outlineLvl w:val="9"/>
    </w:pPr>
    <w:rPr>
      <w:rFonts w:eastAsia="Arial Unicode MS" w:cs="Arial"/>
      <w:b/>
      <w:iCs w:val="0"/>
      <w:lang w:val="en-CA" w:eastAsia="en-CA"/>
    </w:rPr>
  </w:style>
  <w:style w:type="paragraph" w:customStyle="1" w:styleId="Para-decision">
    <w:name w:val="Para-decision"/>
    <w:basedOn w:val="Normal"/>
    <w:rsid w:val="00375FE8"/>
    <w:pPr>
      <w:tabs>
        <w:tab w:val="left" w:pos="-1440"/>
        <w:tab w:val="left" w:pos="-720"/>
        <w:tab w:val="left" w:pos="0"/>
        <w:tab w:val="left" w:pos="720"/>
        <w:tab w:val="left" w:pos="1440"/>
      </w:tabs>
      <w:suppressAutoHyphens/>
      <w:overflowPunct w:val="0"/>
      <w:autoSpaceDE w:val="0"/>
      <w:autoSpaceDN w:val="0"/>
      <w:adjustRightInd w:val="0"/>
      <w:textAlignment w:val="baseline"/>
    </w:pPr>
    <w:rPr>
      <w:rFonts w:eastAsia="Times New Roman"/>
      <w:color w:val="000000"/>
      <w:sz w:val="22"/>
      <w:lang w:val="en-CA" w:eastAsia="en-CA"/>
    </w:rPr>
  </w:style>
  <w:style w:type="paragraph" w:customStyle="1" w:styleId="Quotationtextindented">
    <w:name w:val="Quotation text (indented)"/>
    <w:basedOn w:val="Normal"/>
    <w:qFormat/>
    <w:rsid w:val="00375FE8"/>
    <w:pPr>
      <w:ind w:left="720" w:right="720"/>
    </w:pPr>
    <w:rPr>
      <w:rFonts w:eastAsia="Times New Roman"/>
      <w:bCs/>
      <w:sz w:val="22"/>
      <w:lang w:val="en-CA" w:eastAsia="en-CA"/>
    </w:rPr>
  </w:style>
  <w:style w:type="paragraph" w:customStyle="1" w:styleId="recommendationheader">
    <w:name w:val="recommendation header"/>
    <w:basedOn w:val="Heading2"/>
    <w:qFormat/>
    <w:rsid w:val="00375FE8"/>
    <w:pPr>
      <w:tabs>
        <w:tab w:val="left" w:pos="720"/>
      </w:tabs>
    </w:pPr>
    <w:rPr>
      <w:rFonts w:eastAsia="Times New Roman"/>
      <w:lang w:val="en-CA" w:eastAsia="en-CA"/>
    </w:rPr>
  </w:style>
  <w:style w:type="paragraph" w:customStyle="1" w:styleId="recommendationheaderlong">
    <w:name w:val="recommendation header long"/>
    <w:basedOn w:val="Heading2longmultiline"/>
    <w:qFormat/>
    <w:rsid w:val="00375FE8"/>
    <w:pPr>
      <w:tabs>
        <w:tab w:val="clear" w:pos="770"/>
        <w:tab w:val="left" w:pos="720"/>
      </w:tabs>
    </w:pPr>
    <w:rPr>
      <w:rFonts w:eastAsia="Times New Roman"/>
      <w:lang w:val="en-CA" w:eastAsia="en-CA"/>
    </w:rPr>
  </w:style>
  <w:style w:type="paragraph" w:customStyle="1" w:styleId="reference">
    <w:name w:val="reference"/>
    <w:basedOn w:val="Heading9"/>
    <w:qFormat/>
    <w:rsid w:val="00375FE8"/>
    <w:pPr>
      <w:pBdr>
        <w:top w:val="none" w:sz="0" w:space="0" w:color="auto"/>
        <w:left w:val="none" w:sz="0" w:space="0" w:color="auto"/>
        <w:bottom w:val="none" w:sz="0" w:space="0" w:color="auto"/>
        <w:right w:val="none" w:sz="0" w:space="0" w:color="auto"/>
      </w:pBdr>
      <w:spacing w:before="100" w:beforeAutospacing="1"/>
      <w:jc w:val="both"/>
    </w:pPr>
    <w:rPr>
      <w:rFonts w:eastAsia="Times New Roman"/>
      <w:b w:val="0"/>
      <w:iCs/>
      <w:sz w:val="18"/>
      <w:u w:val="none"/>
      <w:lang w:val="en-CA" w:eastAsia="en-CA"/>
    </w:rPr>
  </w:style>
  <w:style w:type="character" w:customStyle="1" w:styleId="StyleFootnoteReferenceNounderline">
    <w:name w:val="Style Footnote Reference + No underline"/>
    <w:rsid w:val="00375FE8"/>
    <w:rPr>
      <w:sz w:val="18"/>
      <w:u w:val="none"/>
      <w:vertAlign w:val="baseline"/>
    </w:rPr>
  </w:style>
  <w:style w:type="paragraph" w:customStyle="1" w:styleId="tabletitle">
    <w:name w:val="table title"/>
    <w:basedOn w:val="Heading2"/>
    <w:qFormat/>
    <w:rsid w:val="00375FE8"/>
    <w:pPr>
      <w:tabs>
        <w:tab w:val="left" w:pos="720"/>
      </w:tabs>
      <w:jc w:val="left"/>
      <w:outlineLvl w:val="9"/>
    </w:pPr>
    <w:rPr>
      <w:rFonts w:eastAsia="Times New Roman"/>
      <w:lang w:val="en-CA" w:eastAsia="en-CA"/>
    </w:rPr>
  </w:style>
  <w:style w:type="paragraph" w:styleId="TOAHeading">
    <w:name w:val="toa heading"/>
    <w:basedOn w:val="Normal"/>
    <w:next w:val="Normal"/>
    <w:locked/>
    <w:rsid w:val="00375FE8"/>
    <w:rPr>
      <w:rFonts w:eastAsia="Times New Roman" w:cs="Arial"/>
      <w:b/>
      <w:bCs/>
      <w:sz w:val="22"/>
      <w:lang w:val="en-CA" w:eastAsia="en-CA"/>
    </w:rPr>
  </w:style>
  <w:style w:type="paragraph" w:customStyle="1" w:styleId="CBD-Doc-Type">
    <w:name w:val="CBD-Doc-Type"/>
    <w:basedOn w:val="Normal"/>
    <w:rsid w:val="00375FE8"/>
    <w:pPr>
      <w:keepLines/>
      <w:spacing w:before="240"/>
    </w:pPr>
    <w:rPr>
      <w:rFonts w:eastAsia="Times New Roman" w:cs="Angsana New"/>
      <w:b/>
      <w:i/>
      <w:sz w:val="22"/>
      <w:lang w:val="en-CA" w:eastAsia="en-CA"/>
    </w:rPr>
  </w:style>
  <w:style w:type="paragraph" w:customStyle="1" w:styleId="CBD-Doc">
    <w:name w:val="CBD-Doc"/>
    <w:basedOn w:val="Normal"/>
    <w:rsid w:val="00375FE8"/>
    <w:pPr>
      <w:keepLines/>
      <w:numPr>
        <w:numId w:val="53"/>
      </w:numPr>
    </w:pPr>
    <w:rPr>
      <w:rFonts w:eastAsia="Times New Roman" w:cs="Angsana New"/>
      <w:sz w:val="22"/>
      <w:lang w:val="en-CA" w:eastAsia="en-CA"/>
    </w:rPr>
  </w:style>
  <w:style w:type="character" w:customStyle="1" w:styleId="UnresolvedMention1">
    <w:name w:val="Unresolved Mention1"/>
    <w:basedOn w:val="DefaultParagraphFont"/>
    <w:uiPriority w:val="99"/>
    <w:semiHidden/>
    <w:unhideWhenUsed/>
    <w:rsid w:val="00375FE8"/>
    <w:rPr>
      <w:color w:val="808080"/>
      <w:shd w:val="clear" w:color="auto" w:fill="E6E6E6"/>
    </w:rPr>
  </w:style>
  <w:style w:type="paragraph" w:customStyle="1" w:styleId="Item">
    <w:name w:val="Item"/>
    <w:basedOn w:val="Normal"/>
    <w:qFormat/>
    <w:rsid w:val="00375FE8"/>
    <w:pPr>
      <w:keepNext/>
      <w:spacing w:before="240"/>
      <w:ind w:left="720" w:hanging="720"/>
      <w:jc w:val="center"/>
    </w:pPr>
    <w:rPr>
      <w:rFonts w:eastAsia="Times New Roman"/>
      <w:b/>
      <w:kern w:val="22"/>
      <w:sz w:val="22"/>
      <w:lang w:val="en-GB"/>
    </w:rPr>
  </w:style>
  <w:style w:type="paragraph" w:customStyle="1" w:styleId="Structure">
    <w:name w:val="Structure"/>
    <w:basedOn w:val="Normal"/>
    <w:qFormat/>
    <w:rsid w:val="00375FE8"/>
    <w:pPr>
      <w:keepNext/>
      <w:tabs>
        <w:tab w:val="left" w:pos="720"/>
      </w:tabs>
      <w:spacing w:before="240"/>
      <w:jc w:val="center"/>
      <w:outlineLvl w:val="0"/>
    </w:pPr>
    <w:rPr>
      <w:rFonts w:eastAsia="Times New Roman"/>
      <w:b/>
      <w:bCs/>
      <w:caps/>
      <w:kern w:val="22"/>
      <w:sz w:val="22"/>
      <w:lang w:val="en-GB"/>
    </w:rPr>
  </w:style>
  <w:style w:type="character" w:customStyle="1" w:styleId="StyleFootnoteReferencenumberFootnoteReferenceSuperscript-EF">
    <w:name w:val="Style Footnote ReferencenumberFootnote Reference Superscript-E F..."/>
    <w:rsid w:val="00375FE8"/>
    <w:rPr>
      <w:kern w:val="22"/>
      <w:sz w:val="18"/>
      <w:u w:val="none"/>
      <w:vertAlign w:val="superscript"/>
    </w:rPr>
  </w:style>
  <w:style w:type="paragraph" w:customStyle="1" w:styleId="CBD-Para">
    <w:name w:val="CBD-Para"/>
    <w:basedOn w:val="Normal"/>
    <w:rsid w:val="00375FE8"/>
    <w:pPr>
      <w:keepLines/>
      <w:tabs>
        <w:tab w:val="num" w:pos="720"/>
      </w:tabs>
    </w:pPr>
    <w:rPr>
      <w:rFonts w:eastAsia="Times New Roman"/>
      <w:sz w:val="22"/>
      <w:szCs w:val="22"/>
    </w:rPr>
  </w:style>
  <w:style w:type="paragraph" w:customStyle="1" w:styleId="yiv7494691127gmail-para1">
    <w:name w:val="yiv7494691127gmail-para1"/>
    <w:basedOn w:val="Normal"/>
    <w:rsid w:val="00375FE8"/>
    <w:pPr>
      <w:spacing w:before="100" w:beforeAutospacing="1" w:after="100" w:afterAutospacing="1"/>
    </w:pPr>
    <w:rPr>
      <w:rFonts w:eastAsia="Times New Roman"/>
      <w:sz w:val="22"/>
      <w:lang w:val="es-MX" w:eastAsia="es-MX"/>
    </w:rPr>
  </w:style>
  <w:style w:type="paragraph" w:customStyle="1" w:styleId="recommendation0">
    <w:name w:val="recommendation"/>
    <w:basedOn w:val="Heading2"/>
    <w:qFormat/>
    <w:rsid w:val="00375FE8"/>
    <w:pPr>
      <w:spacing w:before="240" w:after="60" w:line="276" w:lineRule="auto"/>
      <w:jc w:val="left"/>
    </w:pPr>
    <w:rPr>
      <w:rFonts w:eastAsia="Times New Roman"/>
      <w:i/>
      <w:snapToGrid w:val="0"/>
      <w:kern w:val="2"/>
      <w:szCs w:val="22"/>
      <w:lang w:val="en-US"/>
    </w:rPr>
  </w:style>
  <w:style w:type="character" w:customStyle="1" w:styleId="apple-converted-space">
    <w:name w:val="apple-converted-space"/>
    <w:rsid w:val="00375FE8"/>
  </w:style>
  <w:style w:type="paragraph" w:customStyle="1" w:styleId="Caption1">
    <w:name w:val="Caption1"/>
    <w:basedOn w:val="Normal"/>
    <w:next w:val="Normal"/>
    <w:uiPriority w:val="35"/>
    <w:unhideWhenUsed/>
    <w:qFormat/>
    <w:rsid w:val="00375FE8"/>
    <w:pPr>
      <w:spacing w:after="200"/>
    </w:pPr>
    <w:rPr>
      <w:rFonts w:ascii="Calibri" w:eastAsia="Calibri" w:hAnsi="Calibri"/>
      <w:b/>
      <w:bCs/>
      <w:color w:val="4472C4"/>
      <w:sz w:val="18"/>
      <w:szCs w:val="18"/>
      <w:lang w:val="en-CA"/>
    </w:rPr>
  </w:style>
  <w:style w:type="paragraph" w:customStyle="1" w:styleId="p1">
    <w:name w:val="p1"/>
    <w:basedOn w:val="Normal"/>
    <w:rsid w:val="00375FE8"/>
    <w:rPr>
      <w:rFonts w:ascii="Helvetica" w:eastAsiaTheme="minorHAnsi" w:hAnsi="Helvetica"/>
      <w:color w:val="4E4D4C"/>
      <w:sz w:val="12"/>
      <w:szCs w:val="12"/>
      <w:lang w:eastAsia="zh-CN"/>
    </w:rPr>
  </w:style>
  <w:style w:type="character" w:customStyle="1" w:styleId="StyleFootnoteReferencenumberFootnoteReferenceSuperscript-EF1">
    <w:name w:val="Style Footnote ReferencenumberFootnote Reference Superscript-E F...1"/>
    <w:basedOn w:val="FootnoteReference"/>
    <w:rsid w:val="00375FE8"/>
    <w:rPr>
      <w:rFonts w:ascii="Times New Roman" w:hAnsi="Times New Roman" w:cs="Times New Roman"/>
      <w:caps w:val="0"/>
      <w:smallCaps w:val="0"/>
      <w:strike w:val="0"/>
      <w:dstrike w:val="0"/>
      <w:vanish w:val="0"/>
      <w:kern w:val="22"/>
      <w:sz w:val="22"/>
      <w:u w:val="none"/>
      <w:vertAlign w:val="superscript"/>
    </w:rPr>
  </w:style>
  <w:style w:type="paragraph" w:customStyle="1" w:styleId="decision">
    <w:name w:val="decision"/>
    <w:basedOn w:val="Normal"/>
    <w:qFormat/>
    <w:rsid w:val="00375FE8"/>
    <w:pPr>
      <w:keepNext/>
      <w:spacing w:before="240"/>
      <w:ind w:hanging="11"/>
      <w:jc w:val="center"/>
    </w:pPr>
    <w:rPr>
      <w:rFonts w:eastAsia="Times New Roman"/>
      <w:b/>
      <w:kern w:val="22"/>
      <w:sz w:val="22"/>
      <w:lang w:val="en-GB"/>
    </w:rPr>
  </w:style>
  <w:style w:type="character" w:customStyle="1" w:styleId="UnresolvedMention2">
    <w:name w:val="Unresolved Mention2"/>
    <w:basedOn w:val="DefaultParagraphFont"/>
    <w:uiPriority w:val="99"/>
    <w:unhideWhenUsed/>
    <w:rsid w:val="00375FE8"/>
    <w:rPr>
      <w:color w:val="808080"/>
      <w:shd w:val="clear" w:color="auto" w:fill="E6E6E6"/>
    </w:rPr>
  </w:style>
  <w:style w:type="character" w:customStyle="1" w:styleId="tgc">
    <w:name w:val="_tgc"/>
    <w:rsid w:val="00375FE8"/>
  </w:style>
  <w:style w:type="character" w:customStyle="1" w:styleId="Italic">
    <w:name w:val="Italic"/>
    <w:rsid w:val="00375FE8"/>
    <w:rPr>
      <w:rFonts w:eastAsia="MS Mincho"/>
      <w:i/>
      <w:szCs w:val="22"/>
      <w:lang w:val="en-US" w:eastAsia="en-US"/>
    </w:rPr>
  </w:style>
  <w:style w:type="character" w:customStyle="1" w:styleId="geo-dms">
    <w:name w:val="geo-dms"/>
    <w:rsid w:val="00375FE8"/>
  </w:style>
  <w:style w:type="character" w:customStyle="1" w:styleId="Superscript">
    <w:name w:val="Super script"/>
    <w:rsid w:val="00375FE8"/>
    <w:rPr>
      <w:position w:val="4"/>
      <w:sz w:val="16"/>
      <w:szCs w:val="16"/>
      <w:lang w:val="en-US"/>
    </w:rPr>
  </w:style>
  <w:style w:type="character" w:customStyle="1" w:styleId="ItalicBlue">
    <w:name w:val="Italic Blue"/>
    <w:rsid w:val="00375FE8"/>
    <w:rPr>
      <w:rFonts w:ascii="Times New Roman" w:eastAsia="Arial Unicode MS" w:hAnsi="Arial Unicode MS" w:cs="Arial Unicode MS"/>
      <w:b w:val="0"/>
      <w:bCs w:val="0"/>
      <w:i/>
      <w:iCs/>
      <w:color w:val="357CA2"/>
      <w:sz w:val="22"/>
      <w:szCs w:val="22"/>
      <w:u w:color="000000"/>
      <w:lang w:val="en-US"/>
    </w:rPr>
  </w:style>
  <w:style w:type="character" w:customStyle="1" w:styleId="latitude">
    <w:name w:val="latitude"/>
    <w:rsid w:val="00375FE8"/>
  </w:style>
  <w:style w:type="character" w:customStyle="1" w:styleId="longitude">
    <w:name w:val="longitude"/>
    <w:rsid w:val="00375FE8"/>
  </w:style>
  <w:style w:type="character" w:customStyle="1" w:styleId="TextBoldCar">
    <w:name w:val="TextBoldCar"/>
    <w:rsid w:val="00375FE8"/>
    <w:rPr>
      <w:rFonts w:cs="Times New Roman"/>
      <w:b/>
      <w:bCs/>
      <w:sz w:val="22"/>
    </w:rPr>
  </w:style>
  <w:style w:type="paragraph" w:customStyle="1" w:styleId="imported-Normal">
    <w:name w:val="imported-Normal"/>
    <w:uiPriority w:val="99"/>
    <w:rsid w:val="00375FE8"/>
    <w:rPr>
      <w:rFonts w:eastAsia="Arial Unicode MS"/>
      <w:color w:val="000000"/>
      <w:sz w:val="24"/>
      <w:szCs w:val="20"/>
      <w:lang w:eastAsia="en-US"/>
    </w:rPr>
  </w:style>
  <w:style w:type="character" w:customStyle="1" w:styleId="genus-species">
    <w:name w:val="genus-species"/>
    <w:rsid w:val="00375FE8"/>
    <w:rPr>
      <w:i/>
    </w:rPr>
  </w:style>
  <w:style w:type="character" w:customStyle="1" w:styleId="longtext">
    <w:name w:val="long_text"/>
    <w:rsid w:val="00375FE8"/>
    <w:rPr>
      <w:rFonts w:cs="Times New Roman"/>
    </w:rPr>
  </w:style>
  <w:style w:type="character" w:customStyle="1" w:styleId="st">
    <w:name w:val="st"/>
    <w:qFormat/>
    <w:rsid w:val="00375FE8"/>
  </w:style>
  <w:style w:type="character" w:customStyle="1" w:styleId="geo-lat">
    <w:name w:val="geo-lat"/>
    <w:rsid w:val="00375FE8"/>
  </w:style>
  <w:style w:type="character" w:customStyle="1" w:styleId="geo-lon">
    <w:name w:val="geo-lon"/>
    <w:rsid w:val="00375FE8"/>
  </w:style>
  <w:style w:type="paragraph" w:customStyle="1" w:styleId="MediumGrid1-Accent21">
    <w:name w:val="Medium Grid 1 - Accent 21"/>
    <w:basedOn w:val="Normal"/>
    <w:uiPriority w:val="34"/>
    <w:qFormat/>
    <w:rsid w:val="00375FE8"/>
    <w:pPr>
      <w:ind w:left="720"/>
    </w:pPr>
    <w:rPr>
      <w:rFonts w:eastAsia="Malgun Gothic"/>
      <w:sz w:val="22"/>
      <w:lang w:val="en-GB"/>
    </w:rPr>
  </w:style>
  <w:style w:type="paragraph" w:customStyle="1" w:styleId="BasicParagraph">
    <w:name w:val="[Basic Paragraph]"/>
    <w:basedOn w:val="Normal"/>
    <w:uiPriority w:val="99"/>
    <w:rsid w:val="00375FE8"/>
    <w:pPr>
      <w:autoSpaceDE w:val="0"/>
      <w:autoSpaceDN w:val="0"/>
      <w:adjustRightInd w:val="0"/>
      <w:spacing w:line="288" w:lineRule="auto"/>
    </w:pPr>
    <w:rPr>
      <w:rFonts w:ascii="Times Regular" w:eastAsia="Malgun Gothic" w:hAnsi="Times Regular" w:cs="Times Regular"/>
      <w:color w:val="000000"/>
      <w:sz w:val="22"/>
    </w:rPr>
  </w:style>
  <w:style w:type="paragraph" w:customStyle="1" w:styleId="Pa3">
    <w:name w:val="Pa3"/>
    <w:basedOn w:val="Default"/>
    <w:next w:val="Default"/>
    <w:uiPriority w:val="99"/>
    <w:rsid w:val="00375FE8"/>
    <w:pPr>
      <w:spacing w:line="241" w:lineRule="atLeast"/>
    </w:pPr>
    <w:rPr>
      <w:rFonts w:ascii="Myriad Pro" w:eastAsia="Malgun Gothic" w:hAnsi="Myriad Pro"/>
      <w:color w:val="auto"/>
      <w:lang w:val="fr-FR" w:eastAsia="fr-FR"/>
    </w:rPr>
  </w:style>
  <w:style w:type="character" w:customStyle="1" w:styleId="hps">
    <w:name w:val="hps"/>
    <w:rsid w:val="00375FE8"/>
  </w:style>
  <w:style w:type="paragraph" w:customStyle="1" w:styleId="krasnorm">
    <w:name w:val="kras_norm"/>
    <w:basedOn w:val="Normal"/>
    <w:rsid w:val="00375FE8"/>
    <w:pPr>
      <w:widowControl w:val="0"/>
      <w:tabs>
        <w:tab w:val="num" w:pos="720"/>
      </w:tabs>
      <w:suppressAutoHyphens/>
      <w:spacing w:line="360" w:lineRule="auto"/>
      <w:ind w:firstLine="709"/>
    </w:pPr>
    <w:rPr>
      <w:rFonts w:ascii="Liberation Serif" w:eastAsia="Malgun Gothic" w:hAnsi="Liberation Serif" w:cs="Lohit Hindi"/>
      <w:kern w:val="1"/>
      <w:sz w:val="22"/>
      <w:szCs w:val="20"/>
      <w:lang w:val="en-GB" w:eastAsia="zh-CN" w:bidi="hi-IN"/>
    </w:rPr>
  </w:style>
  <w:style w:type="paragraph" w:customStyle="1" w:styleId="Body">
    <w:name w:val="Body"/>
    <w:uiPriority w:val="99"/>
    <w:rsid w:val="00375FE8"/>
    <w:pPr>
      <w:pBdr>
        <w:top w:val="nil"/>
        <w:left w:val="nil"/>
        <w:bottom w:val="nil"/>
        <w:right w:val="nil"/>
        <w:between w:val="nil"/>
        <w:bar w:val="nil"/>
      </w:pBdr>
    </w:pPr>
    <w:rPr>
      <w:rFonts w:eastAsia="Arial Unicode MS" w:hAnsi="Arial Unicode MS" w:cs="Arial Unicode MS"/>
      <w:color w:val="000000"/>
      <w:sz w:val="24"/>
      <w:szCs w:val="24"/>
      <w:u w:color="000000"/>
      <w:bdr w:val="nil"/>
      <w:lang w:eastAsia="en-US" w:bidi="th-TH"/>
    </w:rPr>
  </w:style>
  <w:style w:type="character" w:customStyle="1" w:styleId="Superscritpt">
    <w:name w:val="Superscrit/pt"/>
    <w:rsid w:val="00375FE8"/>
    <w:rPr>
      <w:rFonts w:ascii="Times New Roman" w:eastAsia="Arial Unicode MS" w:hAnsi="Arial Unicode MS" w:cs="Arial Unicode MS"/>
      <w:b w:val="0"/>
      <w:bCs w:val="0"/>
      <w:i/>
      <w:iCs/>
      <w:color w:val="357CA2"/>
      <w:vertAlign w:val="superscript"/>
    </w:rPr>
  </w:style>
  <w:style w:type="character" w:customStyle="1" w:styleId="xbe">
    <w:name w:val="_xbe"/>
    <w:rsid w:val="00375FE8"/>
  </w:style>
  <w:style w:type="paragraph" w:customStyle="1" w:styleId="HeadingL2bTRS">
    <w:name w:val="Heading L2b TRS"/>
    <w:basedOn w:val="BodyText"/>
    <w:rsid w:val="00375FE8"/>
    <w:pPr>
      <w:spacing w:before="0" w:line="276" w:lineRule="auto"/>
      <w:ind w:firstLine="0"/>
    </w:pPr>
    <w:rPr>
      <w:rFonts w:ascii="Calibri" w:eastAsia="Calibri" w:hAnsi="Calibri" w:cs="Arial"/>
      <w:sz w:val="22"/>
      <w:szCs w:val="22"/>
      <w:lang w:eastAsia="zh-CN"/>
    </w:rPr>
  </w:style>
  <w:style w:type="paragraph" w:styleId="NoSpacing">
    <w:name w:val="No Spacing"/>
    <w:link w:val="NoSpacingChar"/>
    <w:uiPriority w:val="1"/>
    <w:qFormat/>
    <w:rsid w:val="00375FE8"/>
    <w:rPr>
      <w:rFonts w:ascii="Calibri" w:eastAsia="Times New Roman" w:hAnsi="Calibri" w:cs="DaunPenh"/>
      <w:szCs w:val="36"/>
      <w:lang w:eastAsia="en-US" w:bidi="km-KH"/>
    </w:rPr>
  </w:style>
  <w:style w:type="paragraph" w:customStyle="1" w:styleId="Para3nonumber">
    <w:name w:val="Para  3 (no number)"/>
    <w:basedOn w:val="Para3"/>
    <w:rsid w:val="00375FE8"/>
    <w:pPr>
      <w:numPr>
        <w:ilvl w:val="0"/>
        <w:numId w:val="0"/>
      </w:numPr>
      <w:tabs>
        <w:tab w:val="left" w:pos="2160"/>
      </w:tabs>
      <w:spacing w:before="120" w:after="120"/>
      <w:ind w:left="2160" w:hanging="720"/>
      <w:jc w:val="left"/>
    </w:pPr>
    <w:rPr>
      <w:rFonts w:eastAsia="SimSun"/>
      <w:szCs w:val="22"/>
    </w:rPr>
  </w:style>
  <w:style w:type="character" w:customStyle="1" w:styleId="CommentTextChar1">
    <w:name w:val="Comment Text Char1"/>
    <w:uiPriority w:val="99"/>
    <w:semiHidden/>
    <w:rsid w:val="00375FE8"/>
    <w:rPr>
      <w:sz w:val="24"/>
      <w:szCs w:val="24"/>
      <w:lang w:val="en-GB"/>
    </w:rPr>
  </w:style>
  <w:style w:type="paragraph" w:customStyle="1" w:styleId="LightList-Accent51">
    <w:name w:val="Light List - Accent 51"/>
    <w:basedOn w:val="Normal"/>
    <w:uiPriority w:val="99"/>
    <w:rsid w:val="00375FE8"/>
    <w:pPr>
      <w:ind w:left="720"/>
      <w:contextualSpacing/>
    </w:pPr>
    <w:rPr>
      <w:rFonts w:eastAsia="SimSun" w:cs="Angsana New"/>
      <w:sz w:val="22"/>
      <w:lang w:val="en-GB"/>
    </w:rPr>
  </w:style>
  <w:style w:type="character" w:customStyle="1" w:styleId="zh">
    <w:name w:val="zh"/>
    <w:uiPriority w:val="99"/>
    <w:qFormat/>
    <w:rsid w:val="00375FE8"/>
    <w:rPr>
      <w:rFonts w:cs="Times New Roman"/>
    </w:rPr>
  </w:style>
  <w:style w:type="paragraph" w:customStyle="1" w:styleId="CharChar1Char">
    <w:name w:val="Char Char1 Char"/>
    <w:basedOn w:val="Normal"/>
    <w:rsid w:val="00375FE8"/>
    <w:pPr>
      <w:widowControl w:val="0"/>
      <w:adjustRightInd w:val="0"/>
      <w:spacing w:line="360" w:lineRule="atLeast"/>
      <w:textAlignment w:val="baseline"/>
    </w:pPr>
    <w:rPr>
      <w:rFonts w:ascii="Arial" w:eastAsia="Times New Roman" w:hAnsi="Arial" w:cs="Arial"/>
      <w:sz w:val="22"/>
      <w:szCs w:val="20"/>
      <w:lang w:val="pl-PL" w:eastAsia="pl-PL"/>
    </w:rPr>
  </w:style>
  <w:style w:type="character" w:customStyle="1" w:styleId="admitted">
    <w:name w:val="admitted"/>
    <w:rsid w:val="00375FE8"/>
  </w:style>
  <w:style w:type="character" w:customStyle="1" w:styleId="Inget">
    <w:name w:val="Inget"/>
    <w:rsid w:val="00375FE8"/>
    <w:rPr>
      <w:lang w:val="en-US"/>
    </w:rPr>
  </w:style>
  <w:style w:type="paragraph" w:customStyle="1" w:styleId="StylePara1Before0pt">
    <w:name w:val="Style Para1 + Before:  0 pt"/>
    <w:basedOn w:val="Para1"/>
    <w:rsid w:val="00375FE8"/>
    <w:pPr>
      <w:tabs>
        <w:tab w:val="clear" w:pos="360"/>
        <w:tab w:val="num" w:pos="1080"/>
      </w:tabs>
      <w:ind w:left="1080" w:hanging="360"/>
    </w:pPr>
    <w:rPr>
      <w:rFonts w:eastAsia="SimSun"/>
      <w:snapToGrid w:val="0"/>
      <w:sz w:val="22"/>
      <w:szCs w:val="20"/>
    </w:rPr>
  </w:style>
  <w:style w:type="paragraph" w:customStyle="1" w:styleId="Seite">
    <w:name w:val="Seite"/>
    <w:basedOn w:val="Normal"/>
    <w:rsid w:val="00375FE8"/>
    <w:pPr>
      <w:suppressAutoHyphens/>
      <w:spacing w:line="200" w:lineRule="exact"/>
      <w:jc w:val="right"/>
    </w:pPr>
    <w:rPr>
      <w:rFonts w:ascii="Arial" w:eastAsia="SimSun" w:hAnsi="Arial"/>
      <w:sz w:val="14"/>
      <w:szCs w:val="14"/>
      <w:lang w:val="fr-FR" w:eastAsia="de-CH"/>
    </w:rPr>
  </w:style>
  <w:style w:type="paragraph" w:customStyle="1" w:styleId="A-KopfFett">
    <w:name w:val="_A-KopfFett"/>
    <w:basedOn w:val="A-Standard"/>
    <w:next w:val="Header"/>
    <w:rsid w:val="00375FE8"/>
    <w:pPr>
      <w:spacing w:before="60" w:line="200" w:lineRule="atLeast"/>
    </w:pPr>
    <w:rPr>
      <w:b/>
      <w:sz w:val="15"/>
    </w:rPr>
  </w:style>
  <w:style w:type="paragraph" w:customStyle="1" w:styleId="A-Standard">
    <w:name w:val="_A-Standard"/>
    <w:basedOn w:val="Normal"/>
    <w:qFormat/>
    <w:rsid w:val="00375FE8"/>
    <w:pPr>
      <w:spacing w:line="260" w:lineRule="atLeast"/>
    </w:pPr>
    <w:rPr>
      <w:rFonts w:ascii="Arial" w:eastAsia="SimSun" w:hAnsi="Arial"/>
      <w:sz w:val="20"/>
      <w:szCs w:val="20"/>
      <w:lang w:val="fr-FR" w:eastAsia="de-CH"/>
    </w:rPr>
  </w:style>
  <w:style w:type="paragraph" w:customStyle="1" w:styleId="KopfDept">
    <w:name w:val="KopfDept"/>
    <w:basedOn w:val="Header"/>
    <w:next w:val="A-KopfFett"/>
    <w:rsid w:val="00375FE8"/>
    <w:pPr>
      <w:tabs>
        <w:tab w:val="clear" w:pos="4320"/>
        <w:tab w:val="clear" w:pos="8640"/>
        <w:tab w:val="center" w:pos="4536"/>
        <w:tab w:val="right" w:pos="9072"/>
      </w:tabs>
      <w:spacing w:after="100"/>
      <w:contextualSpacing/>
    </w:pPr>
    <w:rPr>
      <w:rFonts w:ascii="Arial" w:eastAsiaTheme="minorHAnsi" w:hAnsi="Arial" w:cstheme="minorBidi"/>
      <w:sz w:val="20"/>
      <w:szCs w:val="22"/>
      <w:lang w:val="fr-FR"/>
    </w:rPr>
  </w:style>
  <w:style w:type="paragraph" w:customStyle="1" w:styleId="Logo">
    <w:name w:val="Logo"/>
    <w:rsid w:val="00375FE8"/>
    <w:rPr>
      <w:rFonts w:ascii="Arial" w:eastAsia="SimSun" w:hAnsi="Arial"/>
      <w:noProof/>
      <w:sz w:val="15"/>
      <w:szCs w:val="20"/>
      <w:lang w:val="de-CH" w:eastAsia="de-CH"/>
    </w:rPr>
  </w:style>
  <w:style w:type="paragraph" w:customStyle="1" w:styleId="A-PostFett">
    <w:name w:val="_A-Post Fett"/>
    <w:basedOn w:val="Normal"/>
    <w:next w:val="Normal"/>
    <w:rsid w:val="00375FE8"/>
    <w:pPr>
      <w:spacing w:after="140" w:line="200" w:lineRule="exact"/>
    </w:pPr>
    <w:rPr>
      <w:rFonts w:ascii="Arial" w:eastAsiaTheme="minorHAnsi" w:hAnsi="Arial" w:cstheme="minorBidi"/>
      <w:b/>
      <w:sz w:val="14"/>
      <w:szCs w:val="22"/>
      <w:u w:val="single"/>
      <w:lang w:val="fr-FR"/>
    </w:rPr>
  </w:style>
  <w:style w:type="paragraph" w:customStyle="1" w:styleId="Ref">
    <w:name w:val="Ref"/>
    <w:basedOn w:val="Normal"/>
    <w:next w:val="Normal"/>
    <w:rsid w:val="00375FE8"/>
    <w:pPr>
      <w:spacing w:line="200" w:lineRule="exact"/>
    </w:pPr>
    <w:rPr>
      <w:rFonts w:ascii="Arial" w:eastAsiaTheme="minorHAnsi" w:hAnsi="Arial" w:cstheme="minorBidi"/>
      <w:sz w:val="15"/>
      <w:szCs w:val="22"/>
      <w:lang w:val="fr-FR"/>
    </w:rPr>
  </w:style>
  <w:style w:type="paragraph" w:customStyle="1" w:styleId="Pfad">
    <w:name w:val="Pfad"/>
    <w:next w:val="Footer"/>
    <w:rsid w:val="00375FE8"/>
    <w:pPr>
      <w:spacing w:line="160" w:lineRule="exact"/>
    </w:pPr>
    <w:rPr>
      <w:rFonts w:ascii="Arial" w:eastAsia="SimSun" w:hAnsi="Arial"/>
      <w:noProof/>
      <w:sz w:val="12"/>
      <w:szCs w:val="12"/>
      <w:lang w:val="de-CH" w:eastAsia="de-CH"/>
    </w:rPr>
  </w:style>
  <w:style w:type="paragraph" w:customStyle="1" w:styleId="Platzhalter">
    <w:name w:val="Platzhalter"/>
    <w:basedOn w:val="Normal"/>
    <w:next w:val="Normal"/>
    <w:rsid w:val="00375FE8"/>
    <w:rPr>
      <w:rFonts w:ascii="Arial" w:eastAsiaTheme="minorHAnsi" w:hAnsi="Arial" w:cstheme="minorBidi"/>
      <w:sz w:val="2"/>
      <w:szCs w:val="2"/>
      <w:lang w:val="fr-FR"/>
    </w:rPr>
  </w:style>
  <w:style w:type="paragraph" w:customStyle="1" w:styleId="A-Betreff">
    <w:name w:val="_A-Betreff"/>
    <w:basedOn w:val="A-Standard"/>
    <w:next w:val="A-Standard"/>
    <w:qFormat/>
    <w:rsid w:val="00375FE8"/>
    <w:rPr>
      <w:b/>
    </w:rPr>
  </w:style>
  <w:style w:type="paragraph" w:customStyle="1" w:styleId="A-Kopf">
    <w:name w:val="_A-Kopf"/>
    <w:basedOn w:val="Header"/>
    <w:qFormat/>
    <w:rsid w:val="00375FE8"/>
    <w:pPr>
      <w:tabs>
        <w:tab w:val="clear" w:pos="4320"/>
        <w:tab w:val="clear" w:pos="8640"/>
      </w:tabs>
      <w:suppressAutoHyphens/>
      <w:spacing w:line="200" w:lineRule="atLeast"/>
    </w:pPr>
    <w:rPr>
      <w:rFonts w:ascii="Arial" w:eastAsia="SimSun" w:hAnsi="Arial"/>
      <w:noProof/>
      <w:sz w:val="15"/>
      <w:szCs w:val="20"/>
      <w:lang w:val="fr-FR" w:eastAsia="de-CH"/>
    </w:rPr>
  </w:style>
  <w:style w:type="paragraph" w:customStyle="1" w:styleId="AKopf-ohneAbstand">
    <w:name w:val="A_Kopf-ohne Abstand"/>
    <w:basedOn w:val="A-Kopf"/>
    <w:next w:val="A-Kopf"/>
    <w:qFormat/>
    <w:rsid w:val="00375FE8"/>
    <w:rPr>
      <w:b/>
    </w:rPr>
  </w:style>
  <w:style w:type="paragraph" w:customStyle="1" w:styleId="A-Absender">
    <w:name w:val="_A-Absender"/>
    <w:basedOn w:val="Footer"/>
    <w:qFormat/>
    <w:rsid w:val="00375FE8"/>
    <w:pPr>
      <w:tabs>
        <w:tab w:val="clear" w:pos="4320"/>
        <w:tab w:val="clear" w:pos="8640"/>
      </w:tabs>
      <w:suppressAutoHyphens/>
      <w:spacing w:line="200" w:lineRule="exact"/>
      <w:ind w:firstLine="0"/>
      <w:jc w:val="left"/>
    </w:pPr>
    <w:rPr>
      <w:rFonts w:ascii="Arial" w:eastAsia="SimSun" w:hAnsi="Arial"/>
      <w:noProof/>
      <w:sz w:val="15"/>
      <w:szCs w:val="15"/>
      <w:lang w:val="fr-FR" w:eastAsia="de-CH"/>
    </w:rPr>
  </w:style>
  <w:style w:type="paragraph" w:customStyle="1" w:styleId="A-Pfad">
    <w:name w:val="_A-Pfad"/>
    <w:next w:val="Footer"/>
    <w:rsid w:val="00375FE8"/>
    <w:pPr>
      <w:spacing w:line="160" w:lineRule="atLeast"/>
    </w:pPr>
    <w:rPr>
      <w:rFonts w:ascii="Arial" w:eastAsia="SimSun" w:hAnsi="Arial"/>
      <w:noProof/>
      <w:sz w:val="12"/>
      <w:szCs w:val="12"/>
      <w:lang w:val="de-CH" w:eastAsia="de-CH"/>
    </w:rPr>
  </w:style>
  <w:style w:type="paragraph" w:customStyle="1" w:styleId="AKopf-ohneAbstand0">
    <w:name w:val="_A_Kopf-ohne Abstand"/>
    <w:basedOn w:val="A-Kopf"/>
    <w:next w:val="A-Kopf"/>
    <w:qFormat/>
    <w:rsid w:val="00375FE8"/>
    <w:rPr>
      <w:b/>
    </w:rPr>
  </w:style>
  <w:style w:type="paragraph" w:customStyle="1" w:styleId="A-Logo">
    <w:name w:val="_A-Logo"/>
    <w:basedOn w:val="A-Kopf"/>
    <w:rsid w:val="00375FE8"/>
    <w:pPr>
      <w:spacing w:before="60" w:line="240" w:lineRule="auto"/>
    </w:pPr>
  </w:style>
  <w:style w:type="paragraph" w:customStyle="1" w:styleId="A-Ref">
    <w:name w:val="_A-Ref"/>
    <w:basedOn w:val="Normal"/>
    <w:next w:val="Normal"/>
    <w:rsid w:val="00375FE8"/>
    <w:pPr>
      <w:spacing w:line="200" w:lineRule="atLeast"/>
    </w:pPr>
    <w:rPr>
      <w:rFonts w:ascii="Arial" w:eastAsia="SimSun" w:hAnsi="Arial"/>
      <w:sz w:val="15"/>
      <w:szCs w:val="20"/>
      <w:lang w:val="fr-FR" w:eastAsia="de-CH"/>
    </w:rPr>
  </w:style>
  <w:style w:type="paragraph" w:customStyle="1" w:styleId="A-Post">
    <w:name w:val="_A-Post"/>
    <w:basedOn w:val="Normal"/>
    <w:next w:val="Normal"/>
    <w:rsid w:val="00375FE8"/>
    <w:pPr>
      <w:spacing w:after="140" w:line="200" w:lineRule="exact"/>
    </w:pPr>
    <w:rPr>
      <w:rFonts w:ascii="Arial" w:eastAsia="SimSun" w:hAnsi="Arial"/>
      <w:sz w:val="14"/>
      <w:szCs w:val="20"/>
      <w:u w:val="single"/>
      <w:lang w:val="fr-FR" w:eastAsia="de-CH"/>
    </w:rPr>
  </w:style>
  <w:style w:type="paragraph" w:customStyle="1" w:styleId="A-Titel">
    <w:name w:val="_A-Titel"/>
    <w:basedOn w:val="Normal"/>
    <w:qFormat/>
    <w:rsid w:val="00375FE8"/>
    <w:pPr>
      <w:spacing w:line="480" w:lineRule="atLeast"/>
    </w:pPr>
    <w:rPr>
      <w:rFonts w:ascii="Arial" w:eastAsia="SimSun" w:hAnsi="Arial"/>
      <w:b/>
      <w:sz w:val="42"/>
      <w:szCs w:val="20"/>
      <w:lang w:val="fr-CH" w:eastAsia="de-CH"/>
    </w:rPr>
  </w:style>
  <w:style w:type="paragraph" w:customStyle="1" w:styleId="A-Untertitel">
    <w:name w:val="_A-Untertitel"/>
    <w:basedOn w:val="Normal"/>
    <w:qFormat/>
    <w:rsid w:val="00375FE8"/>
    <w:pPr>
      <w:spacing w:line="480" w:lineRule="atLeast"/>
    </w:pPr>
    <w:rPr>
      <w:rFonts w:ascii="Arial" w:eastAsia="SimSun" w:hAnsi="Arial"/>
      <w:sz w:val="42"/>
      <w:szCs w:val="20"/>
      <w:lang w:val="fr-CH" w:eastAsia="de-CH"/>
    </w:rPr>
  </w:style>
  <w:style w:type="paragraph" w:customStyle="1" w:styleId="A-Traktandum-Titel">
    <w:name w:val="_A-Traktandum-Titel"/>
    <w:next w:val="A-Standard"/>
    <w:rsid w:val="00375FE8"/>
    <w:pPr>
      <w:numPr>
        <w:numId w:val="68"/>
      </w:numPr>
      <w:spacing w:before="240" w:line="280" w:lineRule="atLeast"/>
      <w:ind w:left="357" w:hanging="357"/>
    </w:pPr>
    <w:rPr>
      <w:rFonts w:ascii="Arial" w:eastAsia="SimSun" w:hAnsi="Arial" w:cs="Arial"/>
      <w:b/>
      <w:bCs/>
      <w:kern w:val="28"/>
      <w:sz w:val="20"/>
      <w:szCs w:val="42"/>
      <w:lang w:val="de-CH" w:eastAsia="de-CH"/>
    </w:rPr>
  </w:style>
  <w:style w:type="paragraph" w:customStyle="1" w:styleId="GPPproposaltext">
    <w:name w:val="GPPproposaltext"/>
    <w:basedOn w:val="Normal"/>
    <w:link w:val="GPPproposaltextChar"/>
    <w:rsid w:val="00375FE8"/>
    <w:rPr>
      <w:rFonts w:eastAsiaTheme="minorEastAsia"/>
      <w:lang w:val="en-GB" w:eastAsia="zh-CN"/>
    </w:rPr>
  </w:style>
  <w:style w:type="character" w:customStyle="1" w:styleId="GPPproposaltextChar">
    <w:name w:val="GPPproposaltext Char"/>
    <w:basedOn w:val="DefaultParagraphFont"/>
    <w:link w:val="GPPproposaltext"/>
    <w:rsid w:val="00375FE8"/>
    <w:rPr>
      <w:rFonts w:eastAsiaTheme="minorEastAsia"/>
      <w:sz w:val="24"/>
      <w:szCs w:val="24"/>
      <w:lang w:val="en-GB"/>
    </w:rPr>
  </w:style>
  <w:style w:type="paragraph" w:styleId="Quote">
    <w:name w:val="Quote"/>
    <w:basedOn w:val="Normal"/>
    <w:next w:val="Normal"/>
    <w:link w:val="QuoteChar"/>
    <w:uiPriority w:val="29"/>
    <w:qFormat/>
    <w:rsid w:val="00375FE8"/>
    <w:pPr>
      <w:spacing w:before="200" w:after="160" w:line="240" w:lineRule="atLeast"/>
      <w:ind w:left="864" w:right="864"/>
      <w:jc w:val="center"/>
    </w:pPr>
    <w:rPr>
      <w:rFonts w:ascii="Arial" w:eastAsiaTheme="minorHAnsi" w:hAnsi="Arial" w:cstheme="minorBidi"/>
      <w:i/>
      <w:iCs/>
      <w:color w:val="404040" w:themeColor="text1" w:themeTint="BF"/>
      <w:sz w:val="20"/>
      <w:szCs w:val="22"/>
      <w:lang w:val="fr-FR"/>
    </w:rPr>
  </w:style>
  <w:style w:type="character" w:customStyle="1" w:styleId="QuoteChar">
    <w:name w:val="Quote Char"/>
    <w:basedOn w:val="DefaultParagraphFont"/>
    <w:link w:val="Quote"/>
    <w:uiPriority w:val="29"/>
    <w:rsid w:val="00375FE8"/>
    <w:rPr>
      <w:rFonts w:ascii="Arial" w:eastAsiaTheme="minorHAnsi" w:hAnsi="Arial" w:cstheme="minorBidi"/>
      <w:i/>
      <w:iCs/>
      <w:color w:val="404040" w:themeColor="text1" w:themeTint="BF"/>
      <w:sz w:val="20"/>
      <w:lang w:val="fr-FR" w:eastAsia="en-US"/>
    </w:rPr>
  </w:style>
  <w:style w:type="character" w:customStyle="1" w:styleId="NewParaChar">
    <w:name w:val="NewPara Char"/>
    <w:basedOn w:val="DefaultParagraphFont"/>
    <w:link w:val="NewPara"/>
    <w:locked/>
    <w:rsid w:val="00375FE8"/>
    <w:rPr>
      <w:rFonts w:cs="Akhbar MT"/>
      <w:szCs w:val="30"/>
      <w:lang w:val="en-GB"/>
    </w:rPr>
  </w:style>
  <w:style w:type="paragraph" w:customStyle="1" w:styleId="NewPara">
    <w:name w:val="NewPara"/>
    <w:basedOn w:val="ListParagraph"/>
    <w:link w:val="NewParaChar"/>
    <w:qFormat/>
    <w:rsid w:val="00375FE8"/>
    <w:pPr>
      <w:numPr>
        <w:numId w:val="69"/>
      </w:numPr>
    </w:pPr>
    <w:rPr>
      <w:rFonts w:cs="Akhbar MT"/>
      <w:sz w:val="22"/>
      <w:szCs w:val="30"/>
      <w:lang w:val="en-GB" w:eastAsia="zh-CN"/>
    </w:rPr>
  </w:style>
  <w:style w:type="numbering" w:customStyle="1" w:styleId="NoList11">
    <w:name w:val="No List11"/>
    <w:next w:val="NoList"/>
    <w:uiPriority w:val="99"/>
    <w:semiHidden/>
    <w:unhideWhenUsed/>
    <w:rsid w:val="00375FE8"/>
  </w:style>
  <w:style w:type="paragraph" w:customStyle="1" w:styleId="a">
    <w:name w:val="正文段落"/>
    <w:basedOn w:val="Normal"/>
    <w:rsid w:val="00375FE8"/>
    <w:pPr>
      <w:widowControl w:val="0"/>
      <w:numPr>
        <w:numId w:val="70"/>
      </w:numPr>
      <w:tabs>
        <w:tab w:val="left" w:pos="480"/>
      </w:tabs>
      <w:suppressAutoHyphens/>
      <w:adjustRightInd w:val="0"/>
      <w:spacing w:line="240" w:lineRule="atLeast"/>
      <w:textAlignment w:val="baseline"/>
    </w:pPr>
    <w:rPr>
      <w:rFonts w:eastAsia="SimSun"/>
      <w:lang w:eastAsia="zh-CN"/>
    </w:rPr>
  </w:style>
  <w:style w:type="character" w:customStyle="1" w:styleId="BodyText2Char1">
    <w:name w:val="Body Text 2 Char1"/>
    <w:basedOn w:val="DefaultParagraphFont"/>
    <w:uiPriority w:val="99"/>
    <w:semiHidden/>
    <w:rsid w:val="00375FE8"/>
    <w:rPr>
      <w:rFonts w:ascii="Times New Roman" w:eastAsia="Times New Roman" w:hAnsi="Times New Roman" w:cs="Times New Roman"/>
      <w:sz w:val="22"/>
      <w:lang w:val="en-GB"/>
    </w:rPr>
  </w:style>
  <w:style w:type="character" w:customStyle="1" w:styleId="UnresolvedMention3">
    <w:name w:val="Unresolved Mention3"/>
    <w:basedOn w:val="DefaultParagraphFont"/>
    <w:uiPriority w:val="99"/>
    <w:semiHidden/>
    <w:unhideWhenUsed/>
    <w:rsid w:val="00375FE8"/>
    <w:rPr>
      <w:color w:val="808080"/>
      <w:shd w:val="clear" w:color="auto" w:fill="E6E6E6"/>
    </w:rPr>
  </w:style>
  <w:style w:type="character" w:customStyle="1" w:styleId="UnresolvedMention4">
    <w:name w:val="Unresolved Mention4"/>
    <w:basedOn w:val="DefaultParagraphFont"/>
    <w:uiPriority w:val="99"/>
    <w:semiHidden/>
    <w:unhideWhenUsed/>
    <w:rsid w:val="00375FE8"/>
    <w:rPr>
      <w:color w:val="605E5C"/>
      <w:shd w:val="clear" w:color="auto" w:fill="E1DFDD"/>
    </w:rPr>
  </w:style>
  <w:style w:type="paragraph" w:customStyle="1" w:styleId="Subtitle1">
    <w:name w:val="Subtitle1"/>
    <w:basedOn w:val="Normal"/>
    <w:next w:val="Normal"/>
    <w:qFormat/>
    <w:rsid w:val="005B4DE3"/>
    <w:pPr>
      <w:numPr>
        <w:ilvl w:val="1"/>
      </w:numPr>
      <w:ind w:firstLine="720"/>
    </w:pPr>
    <w:rPr>
      <w:rFonts w:ascii="Calibri" w:eastAsia="SimSun" w:hAnsi="Calibri"/>
      <w:i/>
      <w:iCs/>
      <w:color w:val="4F81BD"/>
      <w:spacing w:val="15"/>
      <w:sz w:val="22"/>
      <w:lang w:val="en-CA" w:eastAsia="en-CA"/>
    </w:rPr>
  </w:style>
  <w:style w:type="paragraph" w:customStyle="1" w:styleId="Quote1">
    <w:name w:val="Quote1"/>
    <w:basedOn w:val="Normal"/>
    <w:next w:val="Normal"/>
    <w:uiPriority w:val="29"/>
    <w:qFormat/>
    <w:rsid w:val="005B4DE3"/>
    <w:pPr>
      <w:spacing w:before="200" w:after="160" w:line="240" w:lineRule="atLeast"/>
      <w:ind w:left="864" w:right="864"/>
      <w:jc w:val="center"/>
    </w:pPr>
    <w:rPr>
      <w:rFonts w:ascii="Arial" w:eastAsia="Cambria" w:hAnsi="Arial" w:cs="Arial"/>
      <w:i/>
      <w:iCs/>
      <w:color w:val="404040"/>
      <w:sz w:val="20"/>
      <w:szCs w:val="22"/>
      <w:lang w:val="fr-FR"/>
    </w:rPr>
  </w:style>
  <w:style w:type="character" w:customStyle="1" w:styleId="SubtitleChar1">
    <w:name w:val="Subtitle Char1"/>
    <w:basedOn w:val="DefaultParagraphFont"/>
    <w:rsid w:val="005B4DE3"/>
    <w:rPr>
      <w:rFonts w:asciiTheme="minorHAnsi" w:eastAsiaTheme="minorEastAsia" w:hAnsiTheme="minorHAnsi" w:cstheme="minorBidi"/>
      <w:color w:val="5A5A5A" w:themeColor="text1" w:themeTint="A5"/>
      <w:spacing w:val="15"/>
      <w:sz w:val="22"/>
      <w:szCs w:val="22"/>
      <w:lang w:val="en-GB"/>
    </w:rPr>
  </w:style>
  <w:style w:type="character" w:customStyle="1" w:styleId="QuoteChar1">
    <w:name w:val="Quote Char1"/>
    <w:basedOn w:val="DefaultParagraphFont"/>
    <w:uiPriority w:val="29"/>
    <w:rsid w:val="005B4DE3"/>
    <w:rPr>
      <w:rFonts w:cs="Angsana New"/>
      <w:i/>
      <w:iCs/>
      <w:color w:val="404040" w:themeColor="text1" w:themeTint="BF"/>
      <w:sz w:val="22"/>
      <w:szCs w:val="24"/>
      <w:lang w:val="en-GB"/>
    </w:rPr>
  </w:style>
  <w:style w:type="character" w:customStyle="1" w:styleId="UnresolvedMention">
    <w:name w:val="Unresolved Mention"/>
    <w:basedOn w:val="DefaultParagraphFont"/>
    <w:uiPriority w:val="99"/>
    <w:semiHidden/>
    <w:unhideWhenUsed/>
    <w:rsid w:val="005B4DE3"/>
    <w:rPr>
      <w:color w:val="605E5C"/>
      <w:shd w:val="clear" w:color="auto" w:fill="E1DFDD"/>
    </w:rPr>
  </w:style>
  <w:style w:type="character" w:customStyle="1" w:styleId="Para1Char1">
    <w:name w:val="Para1 Char1"/>
    <w:rsid w:val="00ED6D98"/>
    <w:rPr>
      <w:rFonts w:cs="Angsana New"/>
      <w:snapToGrid w:val="0"/>
      <w:sz w:val="22"/>
      <w:szCs w:val="18"/>
      <w:lang w:val="en-GB"/>
    </w:rPr>
  </w:style>
  <w:style w:type="paragraph" w:customStyle="1" w:styleId="CBD-Para-1">
    <w:name w:val="CBD-Para-1"/>
    <w:basedOn w:val="Normal"/>
    <w:qFormat/>
    <w:rsid w:val="00ED6D98"/>
    <w:pPr>
      <w:keepLines/>
      <w:numPr>
        <w:numId w:val="233"/>
      </w:numPr>
    </w:pPr>
    <w:rPr>
      <w:rFonts w:eastAsia="Malgun Gothic"/>
      <w:sz w:val="22"/>
      <w:lang w:val="en-GB"/>
    </w:rPr>
  </w:style>
  <w:style w:type="character" w:customStyle="1" w:styleId="HeaderChar1">
    <w:name w:val="Header Char1"/>
    <w:uiPriority w:val="99"/>
    <w:locked/>
    <w:rsid w:val="00B41940"/>
    <w:rPr>
      <w:szCs w:val="24"/>
      <w:lang w:val="en-GB"/>
    </w:rPr>
  </w:style>
  <w:style w:type="character" w:customStyle="1" w:styleId="NoSpacingChar">
    <w:name w:val="No Spacing Char"/>
    <w:basedOn w:val="DefaultParagraphFont"/>
    <w:link w:val="NoSpacing"/>
    <w:uiPriority w:val="1"/>
    <w:rsid w:val="00B72FA3"/>
    <w:rPr>
      <w:rFonts w:ascii="Calibri" w:eastAsia="Times New Roman" w:hAnsi="Calibri" w:cs="DaunPenh"/>
      <w:szCs w:val="36"/>
      <w:lang w:eastAsia="en-US" w:bidi="km-KH"/>
    </w:rPr>
  </w:style>
</w:styles>
</file>

<file path=word/webSettings.xml><?xml version="1.0" encoding="utf-8"?>
<w:webSettings xmlns:r="http://schemas.openxmlformats.org/officeDocument/2006/relationships" xmlns:w="http://schemas.openxmlformats.org/wordprocessingml/2006/main">
  <w:divs>
    <w:div w:id="142964984">
      <w:bodyDiv w:val="1"/>
      <w:marLeft w:val="0"/>
      <w:marRight w:val="0"/>
      <w:marTop w:val="0"/>
      <w:marBottom w:val="0"/>
      <w:divBdr>
        <w:top w:val="none" w:sz="0" w:space="0" w:color="auto"/>
        <w:left w:val="none" w:sz="0" w:space="0" w:color="auto"/>
        <w:bottom w:val="none" w:sz="0" w:space="0" w:color="auto"/>
        <w:right w:val="none" w:sz="0" w:space="0" w:color="auto"/>
      </w:divBdr>
    </w:div>
    <w:div w:id="381632665">
      <w:bodyDiv w:val="1"/>
      <w:marLeft w:val="0"/>
      <w:marRight w:val="0"/>
      <w:marTop w:val="0"/>
      <w:marBottom w:val="0"/>
      <w:divBdr>
        <w:top w:val="none" w:sz="0" w:space="0" w:color="auto"/>
        <w:left w:val="none" w:sz="0" w:space="0" w:color="auto"/>
        <w:bottom w:val="none" w:sz="0" w:space="0" w:color="auto"/>
        <w:right w:val="none" w:sz="0" w:space="0" w:color="auto"/>
      </w:divBdr>
    </w:div>
    <w:div w:id="882254953">
      <w:bodyDiv w:val="1"/>
      <w:marLeft w:val="0"/>
      <w:marRight w:val="0"/>
      <w:marTop w:val="0"/>
      <w:marBottom w:val="0"/>
      <w:divBdr>
        <w:top w:val="none" w:sz="0" w:space="0" w:color="auto"/>
        <w:left w:val="none" w:sz="0" w:space="0" w:color="auto"/>
        <w:bottom w:val="none" w:sz="0" w:space="0" w:color="auto"/>
        <w:right w:val="none" w:sz="0" w:space="0" w:color="auto"/>
      </w:divBdr>
    </w:div>
    <w:div w:id="1665620309">
      <w:bodyDiv w:val="1"/>
      <w:marLeft w:val="0"/>
      <w:marRight w:val="0"/>
      <w:marTop w:val="0"/>
      <w:marBottom w:val="0"/>
      <w:divBdr>
        <w:top w:val="none" w:sz="0" w:space="0" w:color="auto"/>
        <w:left w:val="none" w:sz="0" w:space="0" w:color="auto"/>
        <w:bottom w:val="none" w:sz="0" w:space="0" w:color="auto"/>
        <w:right w:val="none" w:sz="0" w:space="0" w:color="auto"/>
      </w:divBdr>
    </w:div>
    <w:div w:id="1800220043">
      <w:marLeft w:val="0"/>
      <w:marRight w:val="0"/>
      <w:marTop w:val="0"/>
      <w:marBottom w:val="0"/>
      <w:divBdr>
        <w:top w:val="none" w:sz="0" w:space="0" w:color="auto"/>
        <w:left w:val="none" w:sz="0" w:space="0" w:color="auto"/>
        <w:bottom w:val="none" w:sz="0" w:space="0" w:color="auto"/>
        <w:right w:val="none" w:sz="0" w:space="0" w:color="auto"/>
      </w:divBdr>
    </w:div>
    <w:div w:id="1800220044">
      <w:marLeft w:val="0"/>
      <w:marRight w:val="0"/>
      <w:marTop w:val="0"/>
      <w:marBottom w:val="0"/>
      <w:divBdr>
        <w:top w:val="none" w:sz="0" w:space="0" w:color="auto"/>
        <w:left w:val="none" w:sz="0" w:space="0" w:color="auto"/>
        <w:bottom w:val="none" w:sz="0" w:space="0" w:color="auto"/>
        <w:right w:val="none" w:sz="0" w:space="0" w:color="auto"/>
      </w:divBdr>
    </w:div>
    <w:div w:id="1800220045">
      <w:marLeft w:val="0"/>
      <w:marRight w:val="0"/>
      <w:marTop w:val="0"/>
      <w:marBottom w:val="0"/>
      <w:divBdr>
        <w:top w:val="none" w:sz="0" w:space="0" w:color="auto"/>
        <w:left w:val="none" w:sz="0" w:space="0" w:color="auto"/>
        <w:bottom w:val="none" w:sz="0" w:space="0" w:color="auto"/>
        <w:right w:val="none" w:sz="0" w:space="0" w:color="auto"/>
      </w:divBdr>
    </w:div>
    <w:div w:id="1800220046">
      <w:marLeft w:val="0"/>
      <w:marRight w:val="0"/>
      <w:marTop w:val="0"/>
      <w:marBottom w:val="0"/>
      <w:divBdr>
        <w:top w:val="none" w:sz="0" w:space="0" w:color="auto"/>
        <w:left w:val="none" w:sz="0" w:space="0" w:color="auto"/>
        <w:bottom w:val="none" w:sz="0" w:space="0" w:color="auto"/>
        <w:right w:val="none" w:sz="0" w:space="0" w:color="auto"/>
      </w:divBdr>
    </w:div>
    <w:div w:id="1800220047">
      <w:marLeft w:val="0"/>
      <w:marRight w:val="0"/>
      <w:marTop w:val="0"/>
      <w:marBottom w:val="0"/>
      <w:divBdr>
        <w:top w:val="none" w:sz="0" w:space="0" w:color="auto"/>
        <w:left w:val="none" w:sz="0" w:space="0" w:color="auto"/>
        <w:bottom w:val="none" w:sz="0" w:space="0" w:color="auto"/>
        <w:right w:val="none" w:sz="0" w:space="0" w:color="auto"/>
      </w:divBdr>
    </w:div>
    <w:div w:id="1800220048">
      <w:marLeft w:val="0"/>
      <w:marRight w:val="0"/>
      <w:marTop w:val="0"/>
      <w:marBottom w:val="0"/>
      <w:divBdr>
        <w:top w:val="none" w:sz="0" w:space="0" w:color="auto"/>
        <w:left w:val="none" w:sz="0" w:space="0" w:color="auto"/>
        <w:bottom w:val="none" w:sz="0" w:space="0" w:color="auto"/>
        <w:right w:val="none" w:sz="0" w:space="0" w:color="auto"/>
      </w:divBdr>
    </w:div>
    <w:div w:id="1800220049">
      <w:marLeft w:val="0"/>
      <w:marRight w:val="0"/>
      <w:marTop w:val="0"/>
      <w:marBottom w:val="0"/>
      <w:divBdr>
        <w:top w:val="none" w:sz="0" w:space="0" w:color="auto"/>
        <w:left w:val="none" w:sz="0" w:space="0" w:color="auto"/>
        <w:bottom w:val="none" w:sz="0" w:space="0" w:color="auto"/>
        <w:right w:val="none" w:sz="0" w:space="0" w:color="auto"/>
      </w:divBdr>
    </w:div>
    <w:div w:id="1800220050">
      <w:marLeft w:val="0"/>
      <w:marRight w:val="0"/>
      <w:marTop w:val="0"/>
      <w:marBottom w:val="0"/>
      <w:divBdr>
        <w:top w:val="none" w:sz="0" w:space="0" w:color="auto"/>
        <w:left w:val="none" w:sz="0" w:space="0" w:color="auto"/>
        <w:bottom w:val="none" w:sz="0" w:space="0" w:color="auto"/>
        <w:right w:val="none" w:sz="0" w:space="0" w:color="auto"/>
      </w:divBdr>
    </w:div>
    <w:div w:id="1800220051">
      <w:marLeft w:val="0"/>
      <w:marRight w:val="0"/>
      <w:marTop w:val="0"/>
      <w:marBottom w:val="0"/>
      <w:divBdr>
        <w:top w:val="none" w:sz="0" w:space="0" w:color="auto"/>
        <w:left w:val="none" w:sz="0" w:space="0" w:color="auto"/>
        <w:bottom w:val="none" w:sz="0" w:space="0" w:color="auto"/>
        <w:right w:val="none" w:sz="0" w:space="0" w:color="auto"/>
      </w:divBdr>
    </w:div>
    <w:div w:id="1800220052">
      <w:marLeft w:val="0"/>
      <w:marRight w:val="0"/>
      <w:marTop w:val="0"/>
      <w:marBottom w:val="0"/>
      <w:divBdr>
        <w:top w:val="none" w:sz="0" w:space="0" w:color="auto"/>
        <w:left w:val="none" w:sz="0" w:space="0" w:color="auto"/>
        <w:bottom w:val="none" w:sz="0" w:space="0" w:color="auto"/>
        <w:right w:val="none" w:sz="0" w:space="0" w:color="auto"/>
      </w:divBdr>
    </w:div>
    <w:div w:id="1800220053">
      <w:marLeft w:val="0"/>
      <w:marRight w:val="0"/>
      <w:marTop w:val="0"/>
      <w:marBottom w:val="0"/>
      <w:divBdr>
        <w:top w:val="none" w:sz="0" w:space="0" w:color="auto"/>
        <w:left w:val="none" w:sz="0" w:space="0" w:color="auto"/>
        <w:bottom w:val="none" w:sz="0" w:space="0" w:color="auto"/>
        <w:right w:val="none" w:sz="0" w:space="0" w:color="auto"/>
      </w:divBdr>
    </w:div>
    <w:div w:id="1800220054">
      <w:marLeft w:val="0"/>
      <w:marRight w:val="0"/>
      <w:marTop w:val="0"/>
      <w:marBottom w:val="0"/>
      <w:divBdr>
        <w:top w:val="none" w:sz="0" w:space="0" w:color="auto"/>
        <w:left w:val="none" w:sz="0" w:space="0" w:color="auto"/>
        <w:bottom w:val="none" w:sz="0" w:space="0" w:color="auto"/>
        <w:right w:val="none" w:sz="0" w:space="0" w:color="auto"/>
      </w:divBdr>
    </w:div>
    <w:div w:id="1800220055">
      <w:marLeft w:val="0"/>
      <w:marRight w:val="0"/>
      <w:marTop w:val="0"/>
      <w:marBottom w:val="0"/>
      <w:divBdr>
        <w:top w:val="none" w:sz="0" w:space="0" w:color="auto"/>
        <w:left w:val="none" w:sz="0" w:space="0" w:color="auto"/>
        <w:bottom w:val="none" w:sz="0" w:space="0" w:color="auto"/>
        <w:right w:val="none" w:sz="0" w:space="0" w:color="auto"/>
      </w:divBdr>
    </w:div>
    <w:div w:id="1800220056">
      <w:marLeft w:val="0"/>
      <w:marRight w:val="0"/>
      <w:marTop w:val="0"/>
      <w:marBottom w:val="0"/>
      <w:divBdr>
        <w:top w:val="none" w:sz="0" w:space="0" w:color="auto"/>
        <w:left w:val="none" w:sz="0" w:space="0" w:color="auto"/>
        <w:bottom w:val="none" w:sz="0" w:space="0" w:color="auto"/>
        <w:right w:val="none" w:sz="0" w:space="0" w:color="auto"/>
      </w:divBdr>
    </w:div>
    <w:div w:id="1800220057">
      <w:marLeft w:val="0"/>
      <w:marRight w:val="0"/>
      <w:marTop w:val="0"/>
      <w:marBottom w:val="0"/>
      <w:divBdr>
        <w:top w:val="none" w:sz="0" w:space="0" w:color="auto"/>
        <w:left w:val="none" w:sz="0" w:space="0" w:color="auto"/>
        <w:bottom w:val="none" w:sz="0" w:space="0" w:color="auto"/>
        <w:right w:val="none" w:sz="0" w:space="0" w:color="auto"/>
      </w:divBdr>
    </w:div>
    <w:div w:id="1800220058">
      <w:marLeft w:val="0"/>
      <w:marRight w:val="0"/>
      <w:marTop w:val="0"/>
      <w:marBottom w:val="0"/>
      <w:divBdr>
        <w:top w:val="none" w:sz="0" w:space="0" w:color="auto"/>
        <w:left w:val="none" w:sz="0" w:space="0" w:color="auto"/>
        <w:bottom w:val="none" w:sz="0" w:space="0" w:color="auto"/>
        <w:right w:val="none" w:sz="0" w:space="0" w:color="auto"/>
      </w:divBdr>
    </w:div>
    <w:div w:id="1800220059">
      <w:marLeft w:val="0"/>
      <w:marRight w:val="0"/>
      <w:marTop w:val="0"/>
      <w:marBottom w:val="0"/>
      <w:divBdr>
        <w:top w:val="none" w:sz="0" w:space="0" w:color="auto"/>
        <w:left w:val="none" w:sz="0" w:space="0" w:color="auto"/>
        <w:bottom w:val="none" w:sz="0" w:space="0" w:color="auto"/>
        <w:right w:val="none" w:sz="0" w:space="0" w:color="auto"/>
      </w:divBdr>
    </w:div>
    <w:div w:id="1800220060">
      <w:marLeft w:val="0"/>
      <w:marRight w:val="0"/>
      <w:marTop w:val="0"/>
      <w:marBottom w:val="0"/>
      <w:divBdr>
        <w:top w:val="none" w:sz="0" w:space="0" w:color="auto"/>
        <w:left w:val="none" w:sz="0" w:space="0" w:color="auto"/>
        <w:bottom w:val="none" w:sz="0" w:space="0" w:color="auto"/>
        <w:right w:val="none" w:sz="0" w:space="0" w:color="auto"/>
      </w:divBdr>
    </w:div>
    <w:div w:id="1800220061">
      <w:marLeft w:val="0"/>
      <w:marRight w:val="0"/>
      <w:marTop w:val="0"/>
      <w:marBottom w:val="0"/>
      <w:divBdr>
        <w:top w:val="none" w:sz="0" w:space="0" w:color="auto"/>
        <w:left w:val="none" w:sz="0" w:space="0" w:color="auto"/>
        <w:bottom w:val="none" w:sz="0" w:space="0" w:color="auto"/>
        <w:right w:val="none" w:sz="0" w:space="0" w:color="auto"/>
      </w:divBdr>
    </w:div>
    <w:div w:id="1800220062">
      <w:marLeft w:val="0"/>
      <w:marRight w:val="0"/>
      <w:marTop w:val="0"/>
      <w:marBottom w:val="0"/>
      <w:divBdr>
        <w:top w:val="none" w:sz="0" w:space="0" w:color="auto"/>
        <w:left w:val="none" w:sz="0" w:space="0" w:color="auto"/>
        <w:bottom w:val="none" w:sz="0" w:space="0" w:color="auto"/>
        <w:right w:val="none" w:sz="0" w:space="0" w:color="auto"/>
      </w:divBdr>
    </w:div>
    <w:div w:id="1800220063">
      <w:marLeft w:val="0"/>
      <w:marRight w:val="0"/>
      <w:marTop w:val="0"/>
      <w:marBottom w:val="0"/>
      <w:divBdr>
        <w:top w:val="none" w:sz="0" w:space="0" w:color="auto"/>
        <w:left w:val="none" w:sz="0" w:space="0" w:color="auto"/>
        <w:bottom w:val="none" w:sz="0" w:space="0" w:color="auto"/>
        <w:right w:val="none" w:sz="0" w:space="0" w:color="auto"/>
      </w:divBdr>
    </w:div>
    <w:div w:id="1800220064">
      <w:marLeft w:val="0"/>
      <w:marRight w:val="0"/>
      <w:marTop w:val="0"/>
      <w:marBottom w:val="0"/>
      <w:divBdr>
        <w:top w:val="none" w:sz="0" w:space="0" w:color="auto"/>
        <w:left w:val="none" w:sz="0" w:space="0" w:color="auto"/>
        <w:bottom w:val="none" w:sz="0" w:space="0" w:color="auto"/>
        <w:right w:val="none" w:sz="0" w:space="0" w:color="auto"/>
      </w:divBdr>
    </w:div>
    <w:div w:id="1800220065">
      <w:marLeft w:val="0"/>
      <w:marRight w:val="0"/>
      <w:marTop w:val="0"/>
      <w:marBottom w:val="0"/>
      <w:divBdr>
        <w:top w:val="none" w:sz="0" w:space="0" w:color="auto"/>
        <w:left w:val="none" w:sz="0" w:space="0" w:color="auto"/>
        <w:bottom w:val="none" w:sz="0" w:space="0" w:color="auto"/>
        <w:right w:val="none" w:sz="0" w:space="0" w:color="auto"/>
      </w:divBdr>
    </w:div>
    <w:div w:id="1800220066">
      <w:marLeft w:val="0"/>
      <w:marRight w:val="0"/>
      <w:marTop w:val="0"/>
      <w:marBottom w:val="0"/>
      <w:divBdr>
        <w:top w:val="none" w:sz="0" w:space="0" w:color="auto"/>
        <w:left w:val="none" w:sz="0" w:space="0" w:color="auto"/>
        <w:bottom w:val="none" w:sz="0" w:space="0" w:color="auto"/>
        <w:right w:val="none" w:sz="0" w:space="0" w:color="auto"/>
      </w:divBdr>
    </w:div>
    <w:div w:id="1800220067">
      <w:marLeft w:val="0"/>
      <w:marRight w:val="0"/>
      <w:marTop w:val="0"/>
      <w:marBottom w:val="0"/>
      <w:divBdr>
        <w:top w:val="none" w:sz="0" w:space="0" w:color="auto"/>
        <w:left w:val="none" w:sz="0" w:space="0" w:color="auto"/>
        <w:bottom w:val="none" w:sz="0" w:space="0" w:color="auto"/>
        <w:right w:val="none" w:sz="0" w:space="0" w:color="auto"/>
      </w:divBdr>
    </w:div>
    <w:div w:id="1800220068">
      <w:marLeft w:val="0"/>
      <w:marRight w:val="0"/>
      <w:marTop w:val="0"/>
      <w:marBottom w:val="0"/>
      <w:divBdr>
        <w:top w:val="none" w:sz="0" w:space="0" w:color="auto"/>
        <w:left w:val="none" w:sz="0" w:space="0" w:color="auto"/>
        <w:bottom w:val="none" w:sz="0" w:space="0" w:color="auto"/>
        <w:right w:val="none" w:sz="0" w:space="0" w:color="auto"/>
      </w:divBdr>
    </w:div>
    <w:div w:id="1800220069">
      <w:marLeft w:val="0"/>
      <w:marRight w:val="0"/>
      <w:marTop w:val="0"/>
      <w:marBottom w:val="0"/>
      <w:divBdr>
        <w:top w:val="none" w:sz="0" w:space="0" w:color="auto"/>
        <w:left w:val="none" w:sz="0" w:space="0" w:color="auto"/>
        <w:bottom w:val="none" w:sz="0" w:space="0" w:color="auto"/>
        <w:right w:val="none" w:sz="0" w:space="0" w:color="auto"/>
      </w:divBdr>
    </w:div>
    <w:div w:id="1800220070">
      <w:marLeft w:val="0"/>
      <w:marRight w:val="0"/>
      <w:marTop w:val="0"/>
      <w:marBottom w:val="0"/>
      <w:divBdr>
        <w:top w:val="none" w:sz="0" w:space="0" w:color="auto"/>
        <w:left w:val="none" w:sz="0" w:space="0" w:color="auto"/>
        <w:bottom w:val="none" w:sz="0" w:space="0" w:color="auto"/>
        <w:right w:val="none" w:sz="0" w:space="0" w:color="auto"/>
      </w:divBdr>
    </w:div>
    <w:div w:id="1800220071">
      <w:marLeft w:val="0"/>
      <w:marRight w:val="0"/>
      <w:marTop w:val="0"/>
      <w:marBottom w:val="0"/>
      <w:divBdr>
        <w:top w:val="none" w:sz="0" w:space="0" w:color="auto"/>
        <w:left w:val="none" w:sz="0" w:space="0" w:color="auto"/>
        <w:bottom w:val="none" w:sz="0" w:space="0" w:color="auto"/>
        <w:right w:val="none" w:sz="0" w:space="0" w:color="auto"/>
      </w:divBdr>
    </w:div>
    <w:div w:id="1800220072">
      <w:marLeft w:val="0"/>
      <w:marRight w:val="0"/>
      <w:marTop w:val="0"/>
      <w:marBottom w:val="0"/>
      <w:divBdr>
        <w:top w:val="none" w:sz="0" w:space="0" w:color="auto"/>
        <w:left w:val="none" w:sz="0" w:space="0" w:color="auto"/>
        <w:bottom w:val="none" w:sz="0" w:space="0" w:color="auto"/>
        <w:right w:val="none" w:sz="0" w:space="0" w:color="auto"/>
      </w:divBdr>
    </w:div>
    <w:div w:id="1800220073">
      <w:marLeft w:val="0"/>
      <w:marRight w:val="0"/>
      <w:marTop w:val="0"/>
      <w:marBottom w:val="0"/>
      <w:divBdr>
        <w:top w:val="none" w:sz="0" w:space="0" w:color="auto"/>
        <w:left w:val="none" w:sz="0" w:space="0" w:color="auto"/>
        <w:bottom w:val="none" w:sz="0" w:space="0" w:color="auto"/>
        <w:right w:val="none" w:sz="0" w:space="0" w:color="auto"/>
      </w:divBdr>
    </w:div>
    <w:div w:id="1800220074">
      <w:marLeft w:val="0"/>
      <w:marRight w:val="0"/>
      <w:marTop w:val="0"/>
      <w:marBottom w:val="0"/>
      <w:divBdr>
        <w:top w:val="none" w:sz="0" w:space="0" w:color="auto"/>
        <w:left w:val="none" w:sz="0" w:space="0" w:color="auto"/>
        <w:bottom w:val="none" w:sz="0" w:space="0" w:color="auto"/>
        <w:right w:val="none" w:sz="0" w:space="0" w:color="auto"/>
      </w:divBdr>
    </w:div>
    <w:div w:id="1800220075">
      <w:marLeft w:val="0"/>
      <w:marRight w:val="0"/>
      <w:marTop w:val="0"/>
      <w:marBottom w:val="0"/>
      <w:divBdr>
        <w:top w:val="none" w:sz="0" w:space="0" w:color="auto"/>
        <w:left w:val="none" w:sz="0" w:space="0" w:color="auto"/>
        <w:bottom w:val="none" w:sz="0" w:space="0" w:color="auto"/>
        <w:right w:val="none" w:sz="0" w:space="0" w:color="auto"/>
      </w:divBdr>
    </w:div>
    <w:div w:id="1800220076">
      <w:marLeft w:val="0"/>
      <w:marRight w:val="0"/>
      <w:marTop w:val="0"/>
      <w:marBottom w:val="0"/>
      <w:divBdr>
        <w:top w:val="none" w:sz="0" w:space="0" w:color="auto"/>
        <w:left w:val="none" w:sz="0" w:space="0" w:color="auto"/>
        <w:bottom w:val="none" w:sz="0" w:space="0" w:color="auto"/>
        <w:right w:val="none" w:sz="0" w:space="0" w:color="auto"/>
      </w:divBdr>
    </w:div>
    <w:div w:id="1800220077">
      <w:marLeft w:val="0"/>
      <w:marRight w:val="0"/>
      <w:marTop w:val="0"/>
      <w:marBottom w:val="0"/>
      <w:divBdr>
        <w:top w:val="none" w:sz="0" w:space="0" w:color="auto"/>
        <w:left w:val="none" w:sz="0" w:space="0" w:color="auto"/>
        <w:bottom w:val="none" w:sz="0" w:space="0" w:color="auto"/>
        <w:right w:val="none" w:sz="0" w:space="0" w:color="auto"/>
      </w:divBdr>
    </w:div>
    <w:div w:id="1800220078">
      <w:marLeft w:val="0"/>
      <w:marRight w:val="0"/>
      <w:marTop w:val="0"/>
      <w:marBottom w:val="0"/>
      <w:divBdr>
        <w:top w:val="none" w:sz="0" w:space="0" w:color="auto"/>
        <w:left w:val="none" w:sz="0" w:space="0" w:color="auto"/>
        <w:bottom w:val="none" w:sz="0" w:space="0" w:color="auto"/>
        <w:right w:val="none" w:sz="0" w:space="0" w:color="auto"/>
      </w:divBdr>
    </w:div>
    <w:div w:id="1800220079">
      <w:marLeft w:val="0"/>
      <w:marRight w:val="0"/>
      <w:marTop w:val="0"/>
      <w:marBottom w:val="0"/>
      <w:divBdr>
        <w:top w:val="none" w:sz="0" w:space="0" w:color="auto"/>
        <w:left w:val="none" w:sz="0" w:space="0" w:color="auto"/>
        <w:bottom w:val="none" w:sz="0" w:space="0" w:color="auto"/>
        <w:right w:val="none" w:sz="0" w:space="0" w:color="auto"/>
      </w:divBdr>
    </w:div>
    <w:div w:id="1800220080">
      <w:marLeft w:val="0"/>
      <w:marRight w:val="0"/>
      <w:marTop w:val="0"/>
      <w:marBottom w:val="0"/>
      <w:divBdr>
        <w:top w:val="none" w:sz="0" w:space="0" w:color="auto"/>
        <w:left w:val="none" w:sz="0" w:space="0" w:color="auto"/>
        <w:bottom w:val="none" w:sz="0" w:space="0" w:color="auto"/>
        <w:right w:val="none" w:sz="0" w:space="0" w:color="auto"/>
      </w:divBdr>
    </w:div>
    <w:div w:id="1800220081">
      <w:marLeft w:val="0"/>
      <w:marRight w:val="0"/>
      <w:marTop w:val="0"/>
      <w:marBottom w:val="0"/>
      <w:divBdr>
        <w:top w:val="none" w:sz="0" w:space="0" w:color="auto"/>
        <w:left w:val="none" w:sz="0" w:space="0" w:color="auto"/>
        <w:bottom w:val="none" w:sz="0" w:space="0" w:color="auto"/>
        <w:right w:val="none" w:sz="0" w:space="0" w:color="auto"/>
      </w:divBdr>
    </w:div>
    <w:div w:id="1800220082">
      <w:marLeft w:val="0"/>
      <w:marRight w:val="0"/>
      <w:marTop w:val="0"/>
      <w:marBottom w:val="0"/>
      <w:divBdr>
        <w:top w:val="none" w:sz="0" w:space="0" w:color="auto"/>
        <w:left w:val="none" w:sz="0" w:space="0" w:color="auto"/>
        <w:bottom w:val="none" w:sz="0" w:space="0" w:color="auto"/>
        <w:right w:val="none" w:sz="0" w:space="0" w:color="auto"/>
      </w:divBdr>
    </w:div>
    <w:div w:id="1800220083">
      <w:marLeft w:val="0"/>
      <w:marRight w:val="0"/>
      <w:marTop w:val="0"/>
      <w:marBottom w:val="0"/>
      <w:divBdr>
        <w:top w:val="none" w:sz="0" w:space="0" w:color="auto"/>
        <w:left w:val="none" w:sz="0" w:space="0" w:color="auto"/>
        <w:bottom w:val="none" w:sz="0" w:space="0" w:color="auto"/>
        <w:right w:val="none" w:sz="0" w:space="0" w:color="auto"/>
      </w:divBdr>
    </w:div>
    <w:div w:id="1800220084">
      <w:marLeft w:val="0"/>
      <w:marRight w:val="0"/>
      <w:marTop w:val="0"/>
      <w:marBottom w:val="0"/>
      <w:divBdr>
        <w:top w:val="none" w:sz="0" w:space="0" w:color="auto"/>
        <w:left w:val="none" w:sz="0" w:space="0" w:color="auto"/>
        <w:bottom w:val="none" w:sz="0" w:space="0" w:color="auto"/>
        <w:right w:val="none" w:sz="0" w:space="0" w:color="auto"/>
      </w:divBdr>
    </w:div>
    <w:div w:id="1800220085">
      <w:marLeft w:val="0"/>
      <w:marRight w:val="0"/>
      <w:marTop w:val="0"/>
      <w:marBottom w:val="0"/>
      <w:divBdr>
        <w:top w:val="none" w:sz="0" w:space="0" w:color="auto"/>
        <w:left w:val="none" w:sz="0" w:space="0" w:color="auto"/>
        <w:bottom w:val="none" w:sz="0" w:space="0" w:color="auto"/>
        <w:right w:val="none" w:sz="0" w:space="0" w:color="auto"/>
      </w:divBdr>
    </w:div>
    <w:div w:id="1800220086">
      <w:marLeft w:val="0"/>
      <w:marRight w:val="0"/>
      <w:marTop w:val="0"/>
      <w:marBottom w:val="0"/>
      <w:divBdr>
        <w:top w:val="none" w:sz="0" w:space="0" w:color="auto"/>
        <w:left w:val="none" w:sz="0" w:space="0" w:color="auto"/>
        <w:bottom w:val="none" w:sz="0" w:space="0" w:color="auto"/>
        <w:right w:val="none" w:sz="0" w:space="0" w:color="auto"/>
      </w:divBdr>
    </w:div>
    <w:div w:id="1800220087">
      <w:marLeft w:val="0"/>
      <w:marRight w:val="0"/>
      <w:marTop w:val="0"/>
      <w:marBottom w:val="0"/>
      <w:divBdr>
        <w:top w:val="none" w:sz="0" w:space="0" w:color="auto"/>
        <w:left w:val="none" w:sz="0" w:space="0" w:color="auto"/>
        <w:bottom w:val="none" w:sz="0" w:space="0" w:color="auto"/>
        <w:right w:val="none" w:sz="0" w:space="0" w:color="auto"/>
      </w:divBdr>
    </w:div>
    <w:div w:id="1800220088">
      <w:marLeft w:val="0"/>
      <w:marRight w:val="0"/>
      <w:marTop w:val="0"/>
      <w:marBottom w:val="0"/>
      <w:divBdr>
        <w:top w:val="none" w:sz="0" w:space="0" w:color="auto"/>
        <w:left w:val="none" w:sz="0" w:space="0" w:color="auto"/>
        <w:bottom w:val="none" w:sz="0" w:space="0" w:color="auto"/>
        <w:right w:val="none" w:sz="0" w:space="0" w:color="auto"/>
      </w:divBdr>
    </w:div>
    <w:div w:id="1800220089">
      <w:marLeft w:val="0"/>
      <w:marRight w:val="0"/>
      <w:marTop w:val="0"/>
      <w:marBottom w:val="0"/>
      <w:divBdr>
        <w:top w:val="none" w:sz="0" w:space="0" w:color="auto"/>
        <w:left w:val="none" w:sz="0" w:space="0" w:color="auto"/>
        <w:bottom w:val="none" w:sz="0" w:space="0" w:color="auto"/>
        <w:right w:val="none" w:sz="0" w:space="0" w:color="auto"/>
      </w:divBdr>
    </w:div>
    <w:div w:id="1800220090">
      <w:marLeft w:val="0"/>
      <w:marRight w:val="0"/>
      <w:marTop w:val="0"/>
      <w:marBottom w:val="0"/>
      <w:divBdr>
        <w:top w:val="none" w:sz="0" w:space="0" w:color="auto"/>
        <w:left w:val="none" w:sz="0" w:space="0" w:color="auto"/>
        <w:bottom w:val="none" w:sz="0" w:space="0" w:color="auto"/>
        <w:right w:val="none" w:sz="0" w:space="0" w:color="auto"/>
      </w:divBdr>
    </w:div>
    <w:div w:id="1800220091">
      <w:marLeft w:val="0"/>
      <w:marRight w:val="0"/>
      <w:marTop w:val="0"/>
      <w:marBottom w:val="0"/>
      <w:divBdr>
        <w:top w:val="none" w:sz="0" w:space="0" w:color="auto"/>
        <w:left w:val="none" w:sz="0" w:space="0" w:color="auto"/>
        <w:bottom w:val="none" w:sz="0" w:space="0" w:color="auto"/>
        <w:right w:val="none" w:sz="0" w:space="0" w:color="auto"/>
      </w:divBdr>
    </w:div>
    <w:div w:id="1800220092">
      <w:marLeft w:val="0"/>
      <w:marRight w:val="0"/>
      <w:marTop w:val="0"/>
      <w:marBottom w:val="0"/>
      <w:divBdr>
        <w:top w:val="none" w:sz="0" w:space="0" w:color="auto"/>
        <w:left w:val="none" w:sz="0" w:space="0" w:color="auto"/>
        <w:bottom w:val="none" w:sz="0" w:space="0" w:color="auto"/>
        <w:right w:val="none" w:sz="0" w:space="0" w:color="auto"/>
      </w:divBdr>
    </w:div>
    <w:div w:id="1800220093">
      <w:marLeft w:val="0"/>
      <w:marRight w:val="0"/>
      <w:marTop w:val="0"/>
      <w:marBottom w:val="0"/>
      <w:divBdr>
        <w:top w:val="none" w:sz="0" w:space="0" w:color="auto"/>
        <w:left w:val="none" w:sz="0" w:space="0" w:color="auto"/>
        <w:bottom w:val="none" w:sz="0" w:space="0" w:color="auto"/>
        <w:right w:val="none" w:sz="0" w:space="0" w:color="auto"/>
      </w:divBdr>
    </w:div>
    <w:div w:id="1800220094">
      <w:marLeft w:val="0"/>
      <w:marRight w:val="0"/>
      <w:marTop w:val="0"/>
      <w:marBottom w:val="0"/>
      <w:divBdr>
        <w:top w:val="none" w:sz="0" w:space="0" w:color="auto"/>
        <w:left w:val="none" w:sz="0" w:space="0" w:color="auto"/>
        <w:bottom w:val="none" w:sz="0" w:space="0" w:color="auto"/>
        <w:right w:val="none" w:sz="0" w:space="0" w:color="auto"/>
      </w:divBdr>
    </w:div>
    <w:div w:id="1800220095">
      <w:marLeft w:val="0"/>
      <w:marRight w:val="0"/>
      <w:marTop w:val="0"/>
      <w:marBottom w:val="0"/>
      <w:divBdr>
        <w:top w:val="none" w:sz="0" w:space="0" w:color="auto"/>
        <w:left w:val="none" w:sz="0" w:space="0" w:color="auto"/>
        <w:bottom w:val="none" w:sz="0" w:space="0" w:color="auto"/>
        <w:right w:val="none" w:sz="0" w:space="0" w:color="auto"/>
      </w:divBdr>
    </w:div>
    <w:div w:id="1800220096">
      <w:marLeft w:val="0"/>
      <w:marRight w:val="0"/>
      <w:marTop w:val="0"/>
      <w:marBottom w:val="0"/>
      <w:divBdr>
        <w:top w:val="none" w:sz="0" w:space="0" w:color="auto"/>
        <w:left w:val="none" w:sz="0" w:space="0" w:color="auto"/>
        <w:bottom w:val="none" w:sz="0" w:space="0" w:color="auto"/>
        <w:right w:val="none" w:sz="0" w:space="0" w:color="auto"/>
      </w:divBdr>
    </w:div>
    <w:div w:id="1800220097">
      <w:marLeft w:val="0"/>
      <w:marRight w:val="0"/>
      <w:marTop w:val="0"/>
      <w:marBottom w:val="0"/>
      <w:divBdr>
        <w:top w:val="none" w:sz="0" w:space="0" w:color="auto"/>
        <w:left w:val="none" w:sz="0" w:space="0" w:color="auto"/>
        <w:bottom w:val="none" w:sz="0" w:space="0" w:color="auto"/>
        <w:right w:val="none" w:sz="0" w:space="0" w:color="auto"/>
      </w:divBdr>
    </w:div>
    <w:div w:id="1800220098">
      <w:marLeft w:val="0"/>
      <w:marRight w:val="0"/>
      <w:marTop w:val="0"/>
      <w:marBottom w:val="0"/>
      <w:divBdr>
        <w:top w:val="none" w:sz="0" w:space="0" w:color="auto"/>
        <w:left w:val="none" w:sz="0" w:space="0" w:color="auto"/>
        <w:bottom w:val="none" w:sz="0" w:space="0" w:color="auto"/>
        <w:right w:val="none" w:sz="0" w:space="0" w:color="auto"/>
      </w:divBdr>
    </w:div>
    <w:div w:id="1800220099">
      <w:marLeft w:val="0"/>
      <w:marRight w:val="0"/>
      <w:marTop w:val="0"/>
      <w:marBottom w:val="0"/>
      <w:divBdr>
        <w:top w:val="none" w:sz="0" w:space="0" w:color="auto"/>
        <w:left w:val="none" w:sz="0" w:space="0" w:color="auto"/>
        <w:bottom w:val="none" w:sz="0" w:space="0" w:color="auto"/>
        <w:right w:val="none" w:sz="0" w:space="0" w:color="auto"/>
      </w:divBdr>
    </w:div>
    <w:div w:id="1800220100">
      <w:marLeft w:val="0"/>
      <w:marRight w:val="0"/>
      <w:marTop w:val="0"/>
      <w:marBottom w:val="0"/>
      <w:divBdr>
        <w:top w:val="none" w:sz="0" w:space="0" w:color="auto"/>
        <w:left w:val="none" w:sz="0" w:space="0" w:color="auto"/>
        <w:bottom w:val="none" w:sz="0" w:space="0" w:color="auto"/>
        <w:right w:val="none" w:sz="0" w:space="0" w:color="auto"/>
      </w:divBdr>
    </w:div>
    <w:div w:id="1800220101">
      <w:marLeft w:val="0"/>
      <w:marRight w:val="0"/>
      <w:marTop w:val="0"/>
      <w:marBottom w:val="0"/>
      <w:divBdr>
        <w:top w:val="none" w:sz="0" w:space="0" w:color="auto"/>
        <w:left w:val="none" w:sz="0" w:space="0" w:color="auto"/>
        <w:bottom w:val="none" w:sz="0" w:space="0" w:color="auto"/>
        <w:right w:val="none" w:sz="0" w:space="0" w:color="auto"/>
      </w:divBdr>
    </w:div>
    <w:div w:id="1800220102">
      <w:marLeft w:val="0"/>
      <w:marRight w:val="0"/>
      <w:marTop w:val="0"/>
      <w:marBottom w:val="0"/>
      <w:divBdr>
        <w:top w:val="none" w:sz="0" w:space="0" w:color="auto"/>
        <w:left w:val="none" w:sz="0" w:space="0" w:color="auto"/>
        <w:bottom w:val="none" w:sz="0" w:space="0" w:color="auto"/>
        <w:right w:val="none" w:sz="0" w:space="0" w:color="auto"/>
      </w:divBdr>
    </w:div>
    <w:div w:id="1800220103">
      <w:marLeft w:val="0"/>
      <w:marRight w:val="0"/>
      <w:marTop w:val="0"/>
      <w:marBottom w:val="0"/>
      <w:divBdr>
        <w:top w:val="none" w:sz="0" w:space="0" w:color="auto"/>
        <w:left w:val="none" w:sz="0" w:space="0" w:color="auto"/>
        <w:bottom w:val="none" w:sz="0" w:space="0" w:color="auto"/>
        <w:right w:val="none" w:sz="0" w:space="0" w:color="auto"/>
      </w:divBdr>
    </w:div>
    <w:div w:id="1800220104">
      <w:marLeft w:val="0"/>
      <w:marRight w:val="0"/>
      <w:marTop w:val="0"/>
      <w:marBottom w:val="0"/>
      <w:divBdr>
        <w:top w:val="none" w:sz="0" w:space="0" w:color="auto"/>
        <w:left w:val="none" w:sz="0" w:space="0" w:color="auto"/>
        <w:bottom w:val="none" w:sz="0" w:space="0" w:color="auto"/>
        <w:right w:val="none" w:sz="0" w:space="0" w:color="auto"/>
      </w:divBdr>
    </w:div>
    <w:div w:id="1800220105">
      <w:marLeft w:val="0"/>
      <w:marRight w:val="0"/>
      <w:marTop w:val="0"/>
      <w:marBottom w:val="0"/>
      <w:divBdr>
        <w:top w:val="none" w:sz="0" w:space="0" w:color="auto"/>
        <w:left w:val="none" w:sz="0" w:space="0" w:color="auto"/>
        <w:bottom w:val="none" w:sz="0" w:space="0" w:color="auto"/>
        <w:right w:val="none" w:sz="0" w:space="0" w:color="auto"/>
      </w:divBdr>
    </w:div>
    <w:div w:id="1800220106">
      <w:marLeft w:val="0"/>
      <w:marRight w:val="0"/>
      <w:marTop w:val="0"/>
      <w:marBottom w:val="0"/>
      <w:divBdr>
        <w:top w:val="none" w:sz="0" w:space="0" w:color="auto"/>
        <w:left w:val="none" w:sz="0" w:space="0" w:color="auto"/>
        <w:bottom w:val="none" w:sz="0" w:space="0" w:color="auto"/>
        <w:right w:val="none" w:sz="0" w:space="0" w:color="auto"/>
      </w:divBdr>
    </w:div>
    <w:div w:id="1800220107">
      <w:marLeft w:val="0"/>
      <w:marRight w:val="0"/>
      <w:marTop w:val="0"/>
      <w:marBottom w:val="0"/>
      <w:divBdr>
        <w:top w:val="none" w:sz="0" w:space="0" w:color="auto"/>
        <w:left w:val="none" w:sz="0" w:space="0" w:color="auto"/>
        <w:bottom w:val="none" w:sz="0" w:space="0" w:color="auto"/>
        <w:right w:val="none" w:sz="0" w:space="0" w:color="auto"/>
      </w:divBdr>
    </w:div>
    <w:div w:id="1800220108">
      <w:marLeft w:val="0"/>
      <w:marRight w:val="0"/>
      <w:marTop w:val="0"/>
      <w:marBottom w:val="0"/>
      <w:divBdr>
        <w:top w:val="none" w:sz="0" w:space="0" w:color="auto"/>
        <w:left w:val="none" w:sz="0" w:space="0" w:color="auto"/>
        <w:bottom w:val="none" w:sz="0" w:space="0" w:color="auto"/>
        <w:right w:val="none" w:sz="0" w:space="0" w:color="auto"/>
      </w:divBdr>
    </w:div>
    <w:div w:id="1800220109">
      <w:marLeft w:val="0"/>
      <w:marRight w:val="0"/>
      <w:marTop w:val="0"/>
      <w:marBottom w:val="0"/>
      <w:divBdr>
        <w:top w:val="none" w:sz="0" w:space="0" w:color="auto"/>
        <w:left w:val="none" w:sz="0" w:space="0" w:color="auto"/>
        <w:bottom w:val="none" w:sz="0" w:space="0" w:color="auto"/>
        <w:right w:val="none" w:sz="0" w:space="0" w:color="auto"/>
      </w:divBdr>
    </w:div>
    <w:div w:id="1800220110">
      <w:marLeft w:val="0"/>
      <w:marRight w:val="0"/>
      <w:marTop w:val="0"/>
      <w:marBottom w:val="0"/>
      <w:divBdr>
        <w:top w:val="none" w:sz="0" w:space="0" w:color="auto"/>
        <w:left w:val="none" w:sz="0" w:space="0" w:color="auto"/>
        <w:bottom w:val="none" w:sz="0" w:space="0" w:color="auto"/>
        <w:right w:val="none" w:sz="0" w:space="0" w:color="auto"/>
      </w:divBdr>
    </w:div>
    <w:div w:id="1800220111">
      <w:marLeft w:val="0"/>
      <w:marRight w:val="0"/>
      <w:marTop w:val="0"/>
      <w:marBottom w:val="0"/>
      <w:divBdr>
        <w:top w:val="none" w:sz="0" w:space="0" w:color="auto"/>
        <w:left w:val="none" w:sz="0" w:space="0" w:color="auto"/>
        <w:bottom w:val="none" w:sz="0" w:space="0" w:color="auto"/>
        <w:right w:val="none" w:sz="0" w:space="0" w:color="auto"/>
      </w:divBdr>
    </w:div>
    <w:div w:id="1800220112">
      <w:marLeft w:val="0"/>
      <w:marRight w:val="0"/>
      <w:marTop w:val="0"/>
      <w:marBottom w:val="0"/>
      <w:divBdr>
        <w:top w:val="none" w:sz="0" w:space="0" w:color="auto"/>
        <w:left w:val="none" w:sz="0" w:space="0" w:color="auto"/>
        <w:bottom w:val="none" w:sz="0" w:space="0" w:color="auto"/>
        <w:right w:val="none" w:sz="0" w:space="0" w:color="auto"/>
      </w:divBdr>
    </w:div>
    <w:div w:id="1800220113">
      <w:marLeft w:val="0"/>
      <w:marRight w:val="0"/>
      <w:marTop w:val="0"/>
      <w:marBottom w:val="0"/>
      <w:divBdr>
        <w:top w:val="none" w:sz="0" w:space="0" w:color="auto"/>
        <w:left w:val="none" w:sz="0" w:space="0" w:color="auto"/>
        <w:bottom w:val="none" w:sz="0" w:space="0" w:color="auto"/>
        <w:right w:val="none" w:sz="0" w:space="0" w:color="auto"/>
      </w:divBdr>
    </w:div>
    <w:div w:id="1800220115">
      <w:marLeft w:val="0"/>
      <w:marRight w:val="0"/>
      <w:marTop w:val="0"/>
      <w:marBottom w:val="0"/>
      <w:divBdr>
        <w:top w:val="none" w:sz="0" w:space="0" w:color="auto"/>
        <w:left w:val="none" w:sz="0" w:space="0" w:color="auto"/>
        <w:bottom w:val="none" w:sz="0" w:space="0" w:color="auto"/>
        <w:right w:val="none" w:sz="0" w:space="0" w:color="auto"/>
      </w:divBdr>
    </w:div>
    <w:div w:id="1800220116">
      <w:marLeft w:val="0"/>
      <w:marRight w:val="0"/>
      <w:marTop w:val="0"/>
      <w:marBottom w:val="0"/>
      <w:divBdr>
        <w:top w:val="none" w:sz="0" w:space="0" w:color="auto"/>
        <w:left w:val="none" w:sz="0" w:space="0" w:color="auto"/>
        <w:bottom w:val="none" w:sz="0" w:space="0" w:color="auto"/>
        <w:right w:val="none" w:sz="0" w:space="0" w:color="auto"/>
      </w:divBdr>
    </w:div>
    <w:div w:id="1800220117">
      <w:marLeft w:val="0"/>
      <w:marRight w:val="0"/>
      <w:marTop w:val="0"/>
      <w:marBottom w:val="0"/>
      <w:divBdr>
        <w:top w:val="none" w:sz="0" w:space="0" w:color="auto"/>
        <w:left w:val="none" w:sz="0" w:space="0" w:color="auto"/>
        <w:bottom w:val="none" w:sz="0" w:space="0" w:color="auto"/>
        <w:right w:val="none" w:sz="0" w:space="0" w:color="auto"/>
      </w:divBdr>
    </w:div>
    <w:div w:id="1800220118">
      <w:marLeft w:val="0"/>
      <w:marRight w:val="0"/>
      <w:marTop w:val="0"/>
      <w:marBottom w:val="0"/>
      <w:divBdr>
        <w:top w:val="none" w:sz="0" w:space="0" w:color="auto"/>
        <w:left w:val="none" w:sz="0" w:space="0" w:color="auto"/>
        <w:bottom w:val="none" w:sz="0" w:space="0" w:color="auto"/>
        <w:right w:val="none" w:sz="0" w:space="0" w:color="auto"/>
      </w:divBdr>
    </w:div>
    <w:div w:id="1800220119">
      <w:marLeft w:val="0"/>
      <w:marRight w:val="0"/>
      <w:marTop w:val="0"/>
      <w:marBottom w:val="0"/>
      <w:divBdr>
        <w:top w:val="none" w:sz="0" w:space="0" w:color="auto"/>
        <w:left w:val="none" w:sz="0" w:space="0" w:color="auto"/>
        <w:bottom w:val="none" w:sz="0" w:space="0" w:color="auto"/>
        <w:right w:val="none" w:sz="0" w:space="0" w:color="auto"/>
      </w:divBdr>
    </w:div>
    <w:div w:id="1800220120">
      <w:marLeft w:val="0"/>
      <w:marRight w:val="0"/>
      <w:marTop w:val="0"/>
      <w:marBottom w:val="0"/>
      <w:divBdr>
        <w:top w:val="none" w:sz="0" w:space="0" w:color="auto"/>
        <w:left w:val="none" w:sz="0" w:space="0" w:color="auto"/>
        <w:bottom w:val="none" w:sz="0" w:space="0" w:color="auto"/>
        <w:right w:val="none" w:sz="0" w:space="0" w:color="auto"/>
      </w:divBdr>
    </w:div>
    <w:div w:id="1800220121">
      <w:marLeft w:val="0"/>
      <w:marRight w:val="0"/>
      <w:marTop w:val="0"/>
      <w:marBottom w:val="0"/>
      <w:divBdr>
        <w:top w:val="none" w:sz="0" w:space="0" w:color="auto"/>
        <w:left w:val="none" w:sz="0" w:space="0" w:color="auto"/>
        <w:bottom w:val="none" w:sz="0" w:space="0" w:color="auto"/>
        <w:right w:val="none" w:sz="0" w:space="0" w:color="auto"/>
      </w:divBdr>
    </w:div>
    <w:div w:id="1800220122">
      <w:marLeft w:val="0"/>
      <w:marRight w:val="0"/>
      <w:marTop w:val="0"/>
      <w:marBottom w:val="0"/>
      <w:divBdr>
        <w:top w:val="none" w:sz="0" w:space="0" w:color="auto"/>
        <w:left w:val="none" w:sz="0" w:space="0" w:color="auto"/>
        <w:bottom w:val="none" w:sz="0" w:space="0" w:color="auto"/>
        <w:right w:val="none" w:sz="0" w:space="0" w:color="auto"/>
      </w:divBdr>
    </w:div>
    <w:div w:id="1800220123">
      <w:marLeft w:val="0"/>
      <w:marRight w:val="0"/>
      <w:marTop w:val="0"/>
      <w:marBottom w:val="0"/>
      <w:divBdr>
        <w:top w:val="none" w:sz="0" w:space="0" w:color="auto"/>
        <w:left w:val="none" w:sz="0" w:space="0" w:color="auto"/>
        <w:bottom w:val="none" w:sz="0" w:space="0" w:color="auto"/>
        <w:right w:val="none" w:sz="0" w:space="0" w:color="auto"/>
      </w:divBdr>
    </w:div>
    <w:div w:id="1800220124">
      <w:marLeft w:val="0"/>
      <w:marRight w:val="0"/>
      <w:marTop w:val="0"/>
      <w:marBottom w:val="0"/>
      <w:divBdr>
        <w:top w:val="none" w:sz="0" w:space="0" w:color="auto"/>
        <w:left w:val="none" w:sz="0" w:space="0" w:color="auto"/>
        <w:bottom w:val="none" w:sz="0" w:space="0" w:color="auto"/>
        <w:right w:val="none" w:sz="0" w:space="0" w:color="auto"/>
      </w:divBdr>
    </w:div>
    <w:div w:id="1800220125">
      <w:marLeft w:val="0"/>
      <w:marRight w:val="0"/>
      <w:marTop w:val="0"/>
      <w:marBottom w:val="0"/>
      <w:divBdr>
        <w:top w:val="none" w:sz="0" w:space="0" w:color="auto"/>
        <w:left w:val="none" w:sz="0" w:space="0" w:color="auto"/>
        <w:bottom w:val="none" w:sz="0" w:space="0" w:color="auto"/>
        <w:right w:val="none" w:sz="0" w:space="0" w:color="auto"/>
      </w:divBdr>
    </w:div>
    <w:div w:id="1800220126">
      <w:marLeft w:val="0"/>
      <w:marRight w:val="0"/>
      <w:marTop w:val="0"/>
      <w:marBottom w:val="0"/>
      <w:divBdr>
        <w:top w:val="none" w:sz="0" w:space="0" w:color="auto"/>
        <w:left w:val="none" w:sz="0" w:space="0" w:color="auto"/>
        <w:bottom w:val="none" w:sz="0" w:space="0" w:color="auto"/>
        <w:right w:val="none" w:sz="0" w:space="0" w:color="auto"/>
      </w:divBdr>
    </w:div>
    <w:div w:id="1800220127">
      <w:marLeft w:val="0"/>
      <w:marRight w:val="0"/>
      <w:marTop w:val="0"/>
      <w:marBottom w:val="0"/>
      <w:divBdr>
        <w:top w:val="none" w:sz="0" w:space="0" w:color="auto"/>
        <w:left w:val="none" w:sz="0" w:space="0" w:color="auto"/>
        <w:bottom w:val="none" w:sz="0" w:space="0" w:color="auto"/>
        <w:right w:val="none" w:sz="0" w:space="0" w:color="auto"/>
      </w:divBdr>
    </w:div>
    <w:div w:id="1800220128">
      <w:marLeft w:val="0"/>
      <w:marRight w:val="0"/>
      <w:marTop w:val="0"/>
      <w:marBottom w:val="0"/>
      <w:divBdr>
        <w:top w:val="none" w:sz="0" w:space="0" w:color="auto"/>
        <w:left w:val="none" w:sz="0" w:space="0" w:color="auto"/>
        <w:bottom w:val="none" w:sz="0" w:space="0" w:color="auto"/>
        <w:right w:val="none" w:sz="0" w:space="0" w:color="auto"/>
      </w:divBdr>
    </w:div>
    <w:div w:id="1800220129">
      <w:marLeft w:val="0"/>
      <w:marRight w:val="0"/>
      <w:marTop w:val="0"/>
      <w:marBottom w:val="0"/>
      <w:divBdr>
        <w:top w:val="none" w:sz="0" w:space="0" w:color="auto"/>
        <w:left w:val="none" w:sz="0" w:space="0" w:color="auto"/>
        <w:bottom w:val="none" w:sz="0" w:space="0" w:color="auto"/>
        <w:right w:val="none" w:sz="0" w:space="0" w:color="auto"/>
      </w:divBdr>
    </w:div>
    <w:div w:id="1800220130">
      <w:marLeft w:val="0"/>
      <w:marRight w:val="0"/>
      <w:marTop w:val="0"/>
      <w:marBottom w:val="0"/>
      <w:divBdr>
        <w:top w:val="none" w:sz="0" w:space="0" w:color="auto"/>
        <w:left w:val="none" w:sz="0" w:space="0" w:color="auto"/>
        <w:bottom w:val="none" w:sz="0" w:space="0" w:color="auto"/>
        <w:right w:val="none" w:sz="0" w:space="0" w:color="auto"/>
      </w:divBdr>
    </w:div>
    <w:div w:id="1800220131">
      <w:marLeft w:val="0"/>
      <w:marRight w:val="0"/>
      <w:marTop w:val="0"/>
      <w:marBottom w:val="0"/>
      <w:divBdr>
        <w:top w:val="none" w:sz="0" w:space="0" w:color="auto"/>
        <w:left w:val="none" w:sz="0" w:space="0" w:color="auto"/>
        <w:bottom w:val="none" w:sz="0" w:space="0" w:color="auto"/>
        <w:right w:val="none" w:sz="0" w:space="0" w:color="auto"/>
      </w:divBdr>
    </w:div>
    <w:div w:id="1800220132">
      <w:marLeft w:val="0"/>
      <w:marRight w:val="0"/>
      <w:marTop w:val="0"/>
      <w:marBottom w:val="0"/>
      <w:divBdr>
        <w:top w:val="none" w:sz="0" w:space="0" w:color="auto"/>
        <w:left w:val="none" w:sz="0" w:space="0" w:color="auto"/>
        <w:bottom w:val="none" w:sz="0" w:space="0" w:color="auto"/>
        <w:right w:val="none" w:sz="0" w:space="0" w:color="auto"/>
      </w:divBdr>
    </w:div>
    <w:div w:id="1800220133">
      <w:marLeft w:val="0"/>
      <w:marRight w:val="0"/>
      <w:marTop w:val="0"/>
      <w:marBottom w:val="0"/>
      <w:divBdr>
        <w:top w:val="none" w:sz="0" w:space="0" w:color="auto"/>
        <w:left w:val="none" w:sz="0" w:space="0" w:color="auto"/>
        <w:bottom w:val="none" w:sz="0" w:space="0" w:color="auto"/>
        <w:right w:val="none" w:sz="0" w:space="0" w:color="auto"/>
      </w:divBdr>
    </w:div>
    <w:div w:id="1800220134">
      <w:marLeft w:val="0"/>
      <w:marRight w:val="0"/>
      <w:marTop w:val="0"/>
      <w:marBottom w:val="0"/>
      <w:divBdr>
        <w:top w:val="none" w:sz="0" w:space="0" w:color="auto"/>
        <w:left w:val="none" w:sz="0" w:space="0" w:color="auto"/>
        <w:bottom w:val="none" w:sz="0" w:space="0" w:color="auto"/>
        <w:right w:val="none" w:sz="0" w:space="0" w:color="auto"/>
      </w:divBdr>
    </w:div>
    <w:div w:id="1800220135">
      <w:marLeft w:val="0"/>
      <w:marRight w:val="0"/>
      <w:marTop w:val="0"/>
      <w:marBottom w:val="0"/>
      <w:divBdr>
        <w:top w:val="none" w:sz="0" w:space="0" w:color="auto"/>
        <w:left w:val="none" w:sz="0" w:space="0" w:color="auto"/>
        <w:bottom w:val="none" w:sz="0" w:space="0" w:color="auto"/>
        <w:right w:val="none" w:sz="0" w:space="0" w:color="auto"/>
      </w:divBdr>
    </w:div>
    <w:div w:id="1800220136">
      <w:marLeft w:val="0"/>
      <w:marRight w:val="0"/>
      <w:marTop w:val="0"/>
      <w:marBottom w:val="0"/>
      <w:divBdr>
        <w:top w:val="none" w:sz="0" w:space="0" w:color="auto"/>
        <w:left w:val="none" w:sz="0" w:space="0" w:color="auto"/>
        <w:bottom w:val="none" w:sz="0" w:space="0" w:color="auto"/>
        <w:right w:val="none" w:sz="0" w:space="0" w:color="auto"/>
      </w:divBdr>
    </w:div>
    <w:div w:id="1800220137">
      <w:marLeft w:val="0"/>
      <w:marRight w:val="0"/>
      <w:marTop w:val="0"/>
      <w:marBottom w:val="0"/>
      <w:divBdr>
        <w:top w:val="none" w:sz="0" w:space="0" w:color="auto"/>
        <w:left w:val="none" w:sz="0" w:space="0" w:color="auto"/>
        <w:bottom w:val="none" w:sz="0" w:space="0" w:color="auto"/>
        <w:right w:val="none" w:sz="0" w:space="0" w:color="auto"/>
      </w:divBdr>
    </w:div>
    <w:div w:id="1800220138">
      <w:marLeft w:val="0"/>
      <w:marRight w:val="0"/>
      <w:marTop w:val="0"/>
      <w:marBottom w:val="0"/>
      <w:divBdr>
        <w:top w:val="none" w:sz="0" w:space="0" w:color="auto"/>
        <w:left w:val="none" w:sz="0" w:space="0" w:color="auto"/>
        <w:bottom w:val="none" w:sz="0" w:space="0" w:color="auto"/>
        <w:right w:val="none" w:sz="0" w:space="0" w:color="auto"/>
      </w:divBdr>
    </w:div>
    <w:div w:id="1800220139">
      <w:marLeft w:val="0"/>
      <w:marRight w:val="0"/>
      <w:marTop w:val="0"/>
      <w:marBottom w:val="0"/>
      <w:divBdr>
        <w:top w:val="none" w:sz="0" w:space="0" w:color="auto"/>
        <w:left w:val="none" w:sz="0" w:space="0" w:color="auto"/>
        <w:bottom w:val="none" w:sz="0" w:space="0" w:color="auto"/>
        <w:right w:val="none" w:sz="0" w:space="0" w:color="auto"/>
      </w:divBdr>
    </w:div>
    <w:div w:id="1800220140">
      <w:marLeft w:val="0"/>
      <w:marRight w:val="0"/>
      <w:marTop w:val="0"/>
      <w:marBottom w:val="0"/>
      <w:divBdr>
        <w:top w:val="none" w:sz="0" w:space="0" w:color="auto"/>
        <w:left w:val="none" w:sz="0" w:space="0" w:color="auto"/>
        <w:bottom w:val="none" w:sz="0" w:space="0" w:color="auto"/>
        <w:right w:val="none" w:sz="0" w:space="0" w:color="auto"/>
      </w:divBdr>
    </w:div>
    <w:div w:id="1800220141">
      <w:marLeft w:val="0"/>
      <w:marRight w:val="0"/>
      <w:marTop w:val="0"/>
      <w:marBottom w:val="0"/>
      <w:divBdr>
        <w:top w:val="none" w:sz="0" w:space="0" w:color="auto"/>
        <w:left w:val="none" w:sz="0" w:space="0" w:color="auto"/>
        <w:bottom w:val="none" w:sz="0" w:space="0" w:color="auto"/>
        <w:right w:val="none" w:sz="0" w:space="0" w:color="auto"/>
      </w:divBdr>
    </w:div>
    <w:div w:id="1800220142">
      <w:marLeft w:val="0"/>
      <w:marRight w:val="0"/>
      <w:marTop w:val="0"/>
      <w:marBottom w:val="0"/>
      <w:divBdr>
        <w:top w:val="none" w:sz="0" w:space="0" w:color="auto"/>
        <w:left w:val="none" w:sz="0" w:space="0" w:color="auto"/>
        <w:bottom w:val="none" w:sz="0" w:space="0" w:color="auto"/>
        <w:right w:val="none" w:sz="0" w:space="0" w:color="auto"/>
      </w:divBdr>
    </w:div>
    <w:div w:id="1800220143">
      <w:marLeft w:val="0"/>
      <w:marRight w:val="0"/>
      <w:marTop w:val="0"/>
      <w:marBottom w:val="0"/>
      <w:divBdr>
        <w:top w:val="none" w:sz="0" w:space="0" w:color="auto"/>
        <w:left w:val="none" w:sz="0" w:space="0" w:color="auto"/>
        <w:bottom w:val="none" w:sz="0" w:space="0" w:color="auto"/>
        <w:right w:val="none" w:sz="0" w:space="0" w:color="auto"/>
      </w:divBdr>
    </w:div>
    <w:div w:id="1800220144">
      <w:marLeft w:val="0"/>
      <w:marRight w:val="0"/>
      <w:marTop w:val="0"/>
      <w:marBottom w:val="0"/>
      <w:divBdr>
        <w:top w:val="none" w:sz="0" w:space="0" w:color="auto"/>
        <w:left w:val="none" w:sz="0" w:space="0" w:color="auto"/>
        <w:bottom w:val="none" w:sz="0" w:space="0" w:color="auto"/>
        <w:right w:val="none" w:sz="0" w:space="0" w:color="auto"/>
      </w:divBdr>
    </w:div>
    <w:div w:id="1800220145">
      <w:marLeft w:val="0"/>
      <w:marRight w:val="0"/>
      <w:marTop w:val="0"/>
      <w:marBottom w:val="0"/>
      <w:divBdr>
        <w:top w:val="none" w:sz="0" w:space="0" w:color="auto"/>
        <w:left w:val="none" w:sz="0" w:space="0" w:color="auto"/>
        <w:bottom w:val="none" w:sz="0" w:space="0" w:color="auto"/>
        <w:right w:val="none" w:sz="0" w:space="0" w:color="auto"/>
      </w:divBdr>
    </w:div>
    <w:div w:id="1800220146">
      <w:marLeft w:val="0"/>
      <w:marRight w:val="0"/>
      <w:marTop w:val="0"/>
      <w:marBottom w:val="0"/>
      <w:divBdr>
        <w:top w:val="none" w:sz="0" w:space="0" w:color="auto"/>
        <w:left w:val="none" w:sz="0" w:space="0" w:color="auto"/>
        <w:bottom w:val="none" w:sz="0" w:space="0" w:color="auto"/>
        <w:right w:val="none" w:sz="0" w:space="0" w:color="auto"/>
      </w:divBdr>
    </w:div>
    <w:div w:id="1800220147">
      <w:marLeft w:val="0"/>
      <w:marRight w:val="0"/>
      <w:marTop w:val="0"/>
      <w:marBottom w:val="0"/>
      <w:divBdr>
        <w:top w:val="none" w:sz="0" w:space="0" w:color="auto"/>
        <w:left w:val="none" w:sz="0" w:space="0" w:color="auto"/>
        <w:bottom w:val="none" w:sz="0" w:space="0" w:color="auto"/>
        <w:right w:val="none" w:sz="0" w:space="0" w:color="auto"/>
      </w:divBdr>
    </w:div>
    <w:div w:id="1800220148">
      <w:marLeft w:val="0"/>
      <w:marRight w:val="0"/>
      <w:marTop w:val="0"/>
      <w:marBottom w:val="0"/>
      <w:divBdr>
        <w:top w:val="none" w:sz="0" w:space="0" w:color="auto"/>
        <w:left w:val="none" w:sz="0" w:space="0" w:color="auto"/>
        <w:bottom w:val="none" w:sz="0" w:space="0" w:color="auto"/>
        <w:right w:val="none" w:sz="0" w:space="0" w:color="auto"/>
      </w:divBdr>
    </w:div>
    <w:div w:id="1800220149">
      <w:marLeft w:val="0"/>
      <w:marRight w:val="0"/>
      <w:marTop w:val="0"/>
      <w:marBottom w:val="0"/>
      <w:divBdr>
        <w:top w:val="none" w:sz="0" w:space="0" w:color="auto"/>
        <w:left w:val="none" w:sz="0" w:space="0" w:color="auto"/>
        <w:bottom w:val="none" w:sz="0" w:space="0" w:color="auto"/>
        <w:right w:val="none" w:sz="0" w:space="0" w:color="auto"/>
      </w:divBdr>
    </w:div>
    <w:div w:id="1800220150">
      <w:marLeft w:val="0"/>
      <w:marRight w:val="0"/>
      <w:marTop w:val="0"/>
      <w:marBottom w:val="0"/>
      <w:divBdr>
        <w:top w:val="none" w:sz="0" w:space="0" w:color="auto"/>
        <w:left w:val="none" w:sz="0" w:space="0" w:color="auto"/>
        <w:bottom w:val="none" w:sz="0" w:space="0" w:color="auto"/>
        <w:right w:val="none" w:sz="0" w:space="0" w:color="auto"/>
      </w:divBdr>
    </w:div>
    <w:div w:id="1800220151">
      <w:marLeft w:val="0"/>
      <w:marRight w:val="0"/>
      <w:marTop w:val="0"/>
      <w:marBottom w:val="0"/>
      <w:divBdr>
        <w:top w:val="none" w:sz="0" w:space="0" w:color="auto"/>
        <w:left w:val="none" w:sz="0" w:space="0" w:color="auto"/>
        <w:bottom w:val="none" w:sz="0" w:space="0" w:color="auto"/>
        <w:right w:val="none" w:sz="0" w:space="0" w:color="auto"/>
      </w:divBdr>
    </w:div>
    <w:div w:id="1800220152">
      <w:marLeft w:val="0"/>
      <w:marRight w:val="0"/>
      <w:marTop w:val="0"/>
      <w:marBottom w:val="0"/>
      <w:divBdr>
        <w:top w:val="none" w:sz="0" w:space="0" w:color="auto"/>
        <w:left w:val="none" w:sz="0" w:space="0" w:color="auto"/>
        <w:bottom w:val="none" w:sz="0" w:space="0" w:color="auto"/>
        <w:right w:val="none" w:sz="0" w:space="0" w:color="auto"/>
      </w:divBdr>
    </w:div>
    <w:div w:id="1800220153">
      <w:marLeft w:val="0"/>
      <w:marRight w:val="0"/>
      <w:marTop w:val="0"/>
      <w:marBottom w:val="0"/>
      <w:divBdr>
        <w:top w:val="none" w:sz="0" w:space="0" w:color="auto"/>
        <w:left w:val="none" w:sz="0" w:space="0" w:color="auto"/>
        <w:bottom w:val="none" w:sz="0" w:space="0" w:color="auto"/>
        <w:right w:val="none" w:sz="0" w:space="0" w:color="auto"/>
      </w:divBdr>
    </w:div>
    <w:div w:id="1800220154">
      <w:marLeft w:val="0"/>
      <w:marRight w:val="0"/>
      <w:marTop w:val="0"/>
      <w:marBottom w:val="0"/>
      <w:divBdr>
        <w:top w:val="none" w:sz="0" w:space="0" w:color="auto"/>
        <w:left w:val="none" w:sz="0" w:space="0" w:color="auto"/>
        <w:bottom w:val="none" w:sz="0" w:space="0" w:color="auto"/>
        <w:right w:val="none" w:sz="0" w:space="0" w:color="auto"/>
      </w:divBdr>
    </w:div>
    <w:div w:id="1800220155">
      <w:marLeft w:val="0"/>
      <w:marRight w:val="0"/>
      <w:marTop w:val="0"/>
      <w:marBottom w:val="0"/>
      <w:divBdr>
        <w:top w:val="none" w:sz="0" w:space="0" w:color="auto"/>
        <w:left w:val="none" w:sz="0" w:space="0" w:color="auto"/>
        <w:bottom w:val="none" w:sz="0" w:space="0" w:color="auto"/>
        <w:right w:val="none" w:sz="0" w:space="0" w:color="auto"/>
      </w:divBdr>
    </w:div>
    <w:div w:id="1800220156">
      <w:marLeft w:val="0"/>
      <w:marRight w:val="0"/>
      <w:marTop w:val="0"/>
      <w:marBottom w:val="0"/>
      <w:divBdr>
        <w:top w:val="none" w:sz="0" w:space="0" w:color="auto"/>
        <w:left w:val="none" w:sz="0" w:space="0" w:color="auto"/>
        <w:bottom w:val="none" w:sz="0" w:space="0" w:color="auto"/>
        <w:right w:val="none" w:sz="0" w:space="0" w:color="auto"/>
      </w:divBdr>
    </w:div>
    <w:div w:id="1800220157">
      <w:marLeft w:val="0"/>
      <w:marRight w:val="0"/>
      <w:marTop w:val="0"/>
      <w:marBottom w:val="0"/>
      <w:divBdr>
        <w:top w:val="none" w:sz="0" w:space="0" w:color="auto"/>
        <w:left w:val="none" w:sz="0" w:space="0" w:color="auto"/>
        <w:bottom w:val="none" w:sz="0" w:space="0" w:color="auto"/>
        <w:right w:val="none" w:sz="0" w:space="0" w:color="auto"/>
      </w:divBdr>
    </w:div>
    <w:div w:id="1800220158">
      <w:marLeft w:val="0"/>
      <w:marRight w:val="0"/>
      <w:marTop w:val="0"/>
      <w:marBottom w:val="0"/>
      <w:divBdr>
        <w:top w:val="none" w:sz="0" w:space="0" w:color="auto"/>
        <w:left w:val="none" w:sz="0" w:space="0" w:color="auto"/>
        <w:bottom w:val="none" w:sz="0" w:space="0" w:color="auto"/>
        <w:right w:val="none" w:sz="0" w:space="0" w:color="auto"/>
      </w:divBdr>
    </w:div>
    <w:div w:id="1800220159">
      <w:marLeft w:val="0"/>
      <w:marRight w:val="0"/>
      <w:marTop w:val="0"/>
      <w:marBottom w:val="0"/>
      <w:divBdr>
        <w:top w:val="none" w:sz="0" w:space="0" w:color="auto"/>
        <w:left w:val="none" w:sz="0" w:space="0" w:color="auto"/>
        <w:bottom w:val="none" w:sz="0" w:space="0" w:color="auto"/>
        <w:right w:val="none" w:sz="0" w:space="0" w:color="auto"/>
      </w:divBdr>
    </w:div>
    <w:div w:id="1800220160">
      <w:marLeft w:val="0"/>
      <w:marRight w:val="0"/>
      <w:marTop w:val="0"/>
      <w:marBottom w:val="0"/>
      <w:divBdr>
        <w:top w:val="none" w:sz="0" w:space="0" w:color="auto"/>
        <w:left w:val="none" w:sz="0" w:space="0" w:color="auto"/>
        <w:bottom w:val="none" w:sz="0" w:space="0" w:color="auto"/>
        <w:right w:val="none" w:sz="0" w:space="0" w:color="auto"/>
      </w:divBdr>
    </w:div>
    <w:div w:id="1800220161">
      <w:marLeft w:val="0"/>
      <w:marRight w:val="0"/>
      <w:marTop w:val="0"/>
      <w:marBottom w:val="0"/>
      <w:divBdr>
        <w:top w:val="none" w:sz="0" w:space="0" w:color="auto"/>
        <w:left w:val="none" w:sz="0" w:space="0" w:color="auto"/>
        <w:bottom w:val="none" w:sz="0" w:space="0" w:color="auto"/>
        <w:right w:val="none" w:sz="0" w:space="0" w:color="auto"/>
      </w:divBdr>
      <w:divsChild>
        <w:div w:id="1800220114">
          <w:marLeft w:val="0"/>
          <w:marRight w:val="0"/>
          <w:marTop w:val="0"/>
          <w:marBottom w:val="0"/>
          <w:divBdr>
            <w:top w:val="none" w:sz="0" w:space="0" w:color="auto"/>
            <w:left w:val="none" w:sz="0" w:space="0" w:color="auto"/>
            <w:bottom w:val="none" w:sz="0" w:space="0" w:color="auto"/>
            <w:right w:val="none" w:sz="0" w:space="0" w:color="auto"/>
          </w:divBdr>
        </w:div>
        <w:div w:id="1800220183">
          <w:marLeft w:val="0"/>
          <w:marRight w:val="0"/>
          <w:marTop w:val="0"/>
          <w:marBottom w:val="0"/>
          <w:divBdr>
            <w:top w:val="none" w:sz="0" w:space="0" w:color="auto"/>
            <w:left w:val="none" w:sz="0" w:space="0" w:color="auto"/>
            <w:bottom w:val="none" w:sz="0" w:space="0" w:color="auto"/>
            <w:right w:val="none" w:sz="0" w:space="0" w:color="auto"/>
          </w:divBdr>
        </w:div>
      </w:divsChild>
    </w:div>
    <w:div w:id="1800220162">
      <w:marLeft w:val="0"/>
      <w:marRight w:val="0"/>
      <w:marTop w:val="0"/>
      <w:marBottom w:val="0"/>
      <w:divBdr>
        <w:top w:val="none" w:sz="0" w:space="0" w:color="auto"/>
        <w:left w:val="none" w:sz="0" w:space="0" w:color="auto"/>
        <w:bottom w:val="none" w:sz="0" w:space="0" w:color="auto"/>
        <w:right w:val="none" w:sz="0" w:space="0" w:color="auto"/>
      </w:divBdr>
    </w:div>
    <w:div w:id="1800220163">
      <w:marLeft w:val="0"/>
      <w:marRight w:val="0"/>
      <w:marTop w:val="0"/>
      <w:marBottom w:val="0"/>
      <w:divBdr>
        <w:top w:val="none" w:sz="0" w:space="0" w:color="auto"/>
        <w:left w:val="none" w:sz="0" w:space="0" w:color="auto"/>
        <w:bottom w:val="none" w:sz="0" w:space="0" w:color="auto"/>
        <w:right w:val="none" w:sz="0" w:space="0" w:color="auto"/>
      </w:divBdr>
    </w:div>
    <w:div w:id="1800220164">
      <w:marLeft w:val="0"/>
      <w:marRight w:val="0"/>
      <w:marTop w:val="0"/>
      <w:marBottom w:val="0"/>
      <w:divBdr>
        <w:top w:val="none" w:sz="0" w:space="0" w:color="auto"/>
        <w:left w:val="none" w:sz="0" w:space="0" w:color="auto"/>
        <w:bottom w:val="none" w:sz="0" w:space="0" w:color="auto"/>
        <w:right w:val="none" w:sz="0" w:space="0" w:color="auto"/>
      </w:divBdr>
    </w:div>
    <w:div w:id="1800220165">
      <w:marLeft w:val="0"/>
      <w:marRight w:val="0"/>
      <w:marTop w:val="0"/>
      <w:marBottom w:val="0"/>
      <w:divBdr>
        <w:top w:val="none" w:sz="0" w:space="0" w:color="auto"/>
        <w:left w:val="none" w:sz="0" w:space="0" w:color="auto"/>
        <w:bottom w:val="none" w:sz="0" w:space="0" w:color="auto"/>
        <w:right w:val="none" w:sz="0" w:space="0" w:color="auto"/>
      </w:divBdr>
    </w:div>
    <w:div w:id="1800220166">
      <w:marLeft w:val="0"/>
      <w:marRight w:val="0"/>
      <w:marTop w:val="0"/>
      <w:marBottom w:val="0"/>
      <w:divBdr>
        <w:top w:val="none" w:sz="0" w:space="0" w:color="auto"/>
        <w:left w:val="none" w:sz="0" w:space="0" w:color="auto"/>
        <w:bottom w:val="none" w:sz="0" w:space="0" w:color="auto"/>
        <w:right w:val="none" w:sz="0" w:space="0" w:color="auto"/>
      </w:divBdr>
    </w:div>
    <w:div w:id="1800220167">
      <w:marLeft w:val="0"/>
      <w:marRight w:val="0"/>
      <w:marTop w:val="0"/>
      <w:marBottom w:val="0"/>
      <w:divBdr>
        <w:top w:val="none" w:sz="0" w:space="0" w:color="auto"/>
        <w:left w:val="none" w:sz="0" w:space="0" w:color="auto"/>
        <w:bottom w:val="none" w:sz="0" w:space="0" w:color="auto"/>
        <w:right w:val="none" w:sz="0" w:space="0" w:color="auto"/>
      </w:divBdr>
    </w:div>
    <w:div w:id="1800220168">
      <w:marLeft w:val="0"/>
      <w:marRight w:val="0"/>
      <w:marTop w:val="0"/>
      <w:marBottom w:val="0"/>
      <w:divBdr>
        <w:top w:val="none" w:sz="0" w:space="0" w:color="auto"/>
        <w:left w:val="none" w:sz="0" w:space="0" w:color="auto"/>
        <w:bottom w:val="none" w:sz="0" w:space="0" w:color="auto"/>
        <w:right w:val="none" w:sz="0" w:space="0" w:color="auto"/>
      </w:divBdr>
    </w:div>
    <w:div w:id="1800220169">
      <w:marLeft w:val="0"/>
      <w:marRight w:val="0"/>
      <w:marTop w:val="0"/>
      <w:marBottom w:val="0"/>
      <w:divBdr>
        <w:top w:val="none" w:sz="0" w:space="0" w:color="auto"/>
        <w:left w:val="none" w:sz="0" w:space="0" w:color="auto"/>
        <w:bottom w:val="none" w:sz="0" w:space="0" w:color="auto"/>
        <w:right w:val="none" w:sz="0" w:space="0" w:color="auto"/>
      </w:divBdr>
    </w:div>
    <w:div w:id="1800220170">
      <w:marLeft w:val="0"/>
      <w:marRight w:val="0"/>
      <w:marTop w:val="0"/>
      <w:marBottom w:val="0"/>
      <w:divBdr>
        <w:top w:val="none" w:sz="0" w:space="0" w:color="auto"/>
        <w:left w:val="none" w:sz="0" w:space="0" w:color="auto"/>
        <w:bottom w:val="none" w:sz="0" w:space="0" w:color="auto"/>
        <w:right w:val="none" w:sz="0" w:space="0" w:color="auto"/>
      </w:divBdr>
    </w:div>
    <w:div w:id="1800220171">
      <w:marLeft w:val="0"/>
      <w:marRight w:val="0"/>
      <w:marTop w:val="0"/>
      <w:marBottom w:val="0"/>
      <w:divBdr>
        <w:top w:val="none" w:sz="0" w:space="0" w:color="auto"/>
        <w:left w:val="none" w:sz="0" w:space="0" w:color="auto"/>
        <w:bottom w:val="none" w:sz="0" w:space="0" w:color="auto"/>
        <w:right w:val="none" w:sz="0" w:space="0" w:color="auto"/>
      </w:divBdr>
    </w:div>
    <w:div w:id="1800220172">
      <w:marLeft w:val="0"/>
      <w:marRight w:val="0"/>
      <w:marTop w:val="0"/>
      <w:marBottom w:val="0"/>
      <w:divBdr>
        <w:top w:val="none" w:sz="0" w:space="0" w:color="auto"/>
        <w:left w:val="none" w:sz="0" w:space="0" w:color="auto"/>
        <w:bottom w:val="none" w:sz="0" w:space="0" w:color="auto"/>
        <w:right w:val="none" w:sz="0" w:space="0" w:color="auto"/>
      </w:divBdr>
    </w:div>
    <w:div w:id="1800220173">
      <w:marLeft w:val="0"/>
      <w:marRight w:val="0"/>
      <w:marTop w:val="0"/>
      <w:marBottom w:val="0"/>
      <w:divBdr>
        <w:top w:val="none" w:sz="0" w:space="0" w:color="auto"/>
        <w:left w:val="none" w:sz="0" w:space="0" w:color="auto"/>
        <w:bottom w:val="none" w:sz="0" w:space="0" w:color="auto"/>
        <w:right w:val="none" w:sz="0" w:space="0" w:color="auto"/>
      </w:divBdr>
    </w:div>
    <w:div w:id="1800220174">
      <w:marLeft w:val="0"/>
      <w:marRight w:val="0"/>
      <w:marTop w:val="0"/>
      <w:marBottom w:val="0"/>
      <w:divBdr>
        <w:top w:val="none" w:sz="0" w:space="0" w:color="auto"/>
        <w:left w:val="none" w:sz="0" w:space="0" w:color="auto"/>
        <w:bottom w:val="none" w:sz="0" w:space="0" w:color="auto"/>
        <w:right w:val="none" w:sz="0" w:space="0" w:color="auto"/>
      </w:divBdr>
    </w:div>
    <w:div w:id="1800220175">
      <w:marLeft w:val="0"/>
      <w:marRight w:val="0"/>
      <w:marTop w:val="0"/>
      <w:marBottom w:val="0"/>
      <w:divBdr>
        <w:top w:val="none" w:sz="0" w:space="0" w:color="auto"/>
        <w:left w:val="none" w:sz="0" w:space="0" w:color="auto"/>
        <w:bottom w:val="none" w:sz="0" w:space="0" w:color="auto"/>
        <w:right w:val="none" w:sz="0" w:space="0" w:color="auto"/>
      </w:divBdr>
    </w:div>
    <w:div w:id="1800220176">
      <w:marLeft w:val="0"/>
      <w:marRight w:val="0"/>
      <w:marTop w:val="0"/>
      <w:marBottom w:val="0"/>
      <w:divBdr>
        <w:top w:val="none" w:sz="0" w:space="0" w:color="auto"/>
        <w:left w:val="none" w:sz="0" w:space="0" w:color="auto"/>
        <w:bottom w:val="none" w:sz="0" w:space="0" w:color="auto"/>
        <w:right w:val="none" w:sz="0" w:space="0" w:color="auto"/>
      </w:divBdr>
    </w:div>
    <w:div w:id="1800220177">
      <w:marLeft w:val="0"/>
      <w:marRight w:val="0"/>
      <w:marTop w:val="0"/>
      <w:marBottom w:val="0"/>
      <w:divBdr>
        <w:top w:val="none" w:sz="0" w:space="0" w:color="auto"/>
        <w:left w:val="none" w:sz="0" w:space="0" w:color="auto"/>
        <w:bottom w:val="none" w:sz="0" w:space="0" w:color="auto"/>
        <w:right w:val="none" w:sz="0" w:space="0" w:color="auto"/>
      </w:divBdr>
    </w:div>
    <w:div w:id="1800220178">
      <w:marLeft w:val="0"/>
      <w:marRight w:val="0"/>
      <w:marTop w:val="0"/>
      <w:marBottom w:val="0"/>
      <w:divBdr>
        <w:top w:val="none" w:sz="0" w:space="0" w:color="auto"/>
        <w:left w:val="none" w:sz="0" w:space="0" w:color="auto"/>
        <w:bottom w:val="none" w:sz="0" w:space="0" w:color="auto"/>
        <w:right w:val="none" w:sz="0" w:space="0" w:color="auto"/>
      </w:divBdr>
    </w:div>
    <w:div w:id="1800220179">
      <w:marLeft w:val="0"/>
      <w:marRight w:val="0"/>
      <w:marTop w:val="0"/>
      <w:marBottom w:val="0"/>
      <w:divBdr>
        <w:top w:val="none" w:sz="0" w:space="0" w:color="auto"/>
        <w:left w:val="none" w:sz="0" w:space="0" w:color="auto"/>
        <w:bottom w:val="none" w:sz="0" w:space="0" w:color="auto"/>
        <w:right w:val="none" w:sz="0" w:space="0" w:color="auto"/>
      </w:divBdr>
    </w:div>
    <w:div w:id="1800220180">
      <w:marLeft w:val="0"/>
      <w:marRight w:val="0"/>
      <w:marTop w:val="0"/>
      <w:marBottom w:val="0"/>
      <w:divBdr>
        <w:top w:val="none" w:sz="0" w:space="0" w:color="auto"/>
        <w:left w:val="none" w:sz="0" w:space="0" w:color="auto"/>
        <w:bottom w:val="none" w:sz="0" w:space="0" w:color="auto"/>
        <w:right w:val="none" w:sz="0" w:space="0" w:color="auto"/>
      </w:divBdr>
    </w:div>
    <w:div w:id="1800220181">
      <w:marLeft w:val="0"/>
      <w:marRight w:val="0"/>
      <w:marTop w:val="0"/>
      <w:marBottom w:val="0"/>
      <w:divBdr>
        <w:top w:val="none" w:sz="0" w:space="0" w:color="auto"/>
        <w:left w:val="none" w:sz="0" w:space="0" w:color="auto"/>
        <w:bottom w:val="none" w:sz="0" w:space="0" w:color="auto"/>
        <w:right w:val="none" w:sz="0" w:space="0" w:color="auto"/>
      </w:divBdr>
    </w:div>
    <w:div w:id="1800220182">
      <w:marLeft w:val="0"/>
      <w:marRight w:val="0"/>
      <w:marTop w:val="0"/>
      <w:marBottom w:val="0"/>
      <w:divBdr>
        <w:top w:val="none" w:sz="0" w:space="0" w:color="auto"/>
        <w:left w:val="none" w:sz="0" w:space="0" w:color="auto"/>
        <w:bottom w:val="none" w:sz="0" w:space="0" w:color="auto"/>
        <w:right w:val="none" w:sz="0" w:space="0" w:color="auto"/>
      </w:divBdr>
    </w:div>
    <w:div w:id="1800220184">
      <w:marLeft w:val="0"/>
      <w:marRight w:val="0"/>
      <w:marTop w:val="0"/>
      <w:marBottom w:val="0"/>
      <w:divBdr>
        <w:top w:val="none" w:sz="0" w:space="0" w:color="auto"/>
        <w:left w:val="none" w:sz="0" w:space="0" w:color="auto"/>
        <w:bottom w:val="none" w:sz="0" w:space="0" w:color="auto"/>
        <w:right w:val="none" w:sz="0" w:space="0" w:color="auto"/>
      </w:divBdr>
    </w:div>
    <w:div w:id="1800220185">
      <w:marLeft w:val="0"/>
      <w:marRight w:val="0"/>
      <w:marTop w:val="0"/>
      <w:marBottom w:val="0"/>
      <w:divBdr>
        <w:top w:val="none" w:sz="0" w:space="0" w:color="auto"/>
        <w:left w:val="none" w:sz="0" w:space="0" w:color="auto"/>
        <w:bottom w:val="none" w:sz="0" w:space="0" w:color="auto"/>
        <w:right w:val="none" w:sz="0" w:space="0" w:color="auto"/>
      </w:divBdr>
    </w:div>
    <w:div w:id="1800220186">
      <w:marLeft w:val="0"/>
      <w:marRight w:val="0"/>
      <w:marTop w:val="0"/>
      <w:marBottom w:val="0"/>
      <w:divBdr>
        <w:top w:val="none" w:sz="0" w:space="0" w:color="auto"/>
        <w:left w:val="none" w:sz="0" w:space="0" w:color="auto"/>
        <w:bottom w:val="none" w:sz="0" w:space="0" w:color="auto"/>
        <w:right w:val="none" w:sz="0" w:space="0" w:color="auto"/>
      </w:divBdr>
    </w:div>
    <w:div w:id="1800220187">
      <w:marLeft w:val="0"/>
      <w:marRight w:val="0"/>
      <w:marTop w:val="0"/>
      <w:marBottom w:val="0"/>
      <w:divBdr>
        <w:top w:val="none" w:sz="0" w:space="0" w:color="auto"/>
        <w:left w:val="none" w:sz="0" w:space="0" w:color="auto"/>
        <w:bottom w:val="none" w:sz="0" w:space="0" w:color="auto"/>
        <w:right w:val="none" w:sz="0" w:space="0" w:color="auto"/>
      </w:divBdr>
    </w:div>
    <w:div w:id="1800220188">
      <w:marLeft w:val="0"/>
      <w:marRight w:val="0"/>
      <w:marTop w:val="0"/>
      <w:marBottom w:val="0"/>
      <w:divBdr>
        <w:top w:val="none" w:sz="0" w:space="0" w:color="auto"/>
        <w:left w:val="none" w:sz="0" w:space="0" w:color="auto"/>
        <w:bottom w:val="none" w:sz="0" w:space="0" w:color="auto"/>
        <w:right w:val="none" w:sz="0" w:space="0" w:color="auto"/>
      </w:divBdr>
    </w:div>
    <w:div w:id="1800220189">
      <w:marLeft w:val="0"/>
      <w:marRight w:val="0"/>
      <w:marTop w:val="0"/>
      <w:marBottom w:val="0"/>
      <w:divBdr>
        <w:top w:val="none" w:sz="0" w:space="0" w:color="auto"/>
        <w:left w:val="none" w:sz="0" w:space="0" w:color="auto"/>
        <w:bottom w:val="none" w:sz="0" w:space="0" w:color="auto"/>
        <w:right w:val="none" w:sz="0" w:space="0" w:color="auto"/>
      </w:divBdr>
    </w:div>
    <w:div w:id="1800220190">
      <w:marLeft w:val="0"/>
      <w:marRight w:val="0"/>
      <w:marTop w:val="0"/>
      <w:marBottom w:val="0"/>
      <w:divBdr>
        <w:top w:val="none" w:sz="0" w:space="0" w:color="auto"/>
        <w:left w:val="none" w:sz="0" w:space="0" w:color="auto"/>
        <w:bottom w:val="none" w:sz="0" w:space="0" w:color="auto"/>
        <w:right w:val="none" w:sz="0" w:space="0" w:color="auto"/>
      </w:divBdr>
    </w:div>
    <w:div w:id="1800220191">
      <w:marLeft w:val="0"/>
      <w:marRight w:val="0"/>
      <w:marTop w:val="0"/>
      <w:marBottom w:val="0"/>
      <w:divBdr>
        <w:top w:val="none" w:sz="0" w:space="0" w:color="auto"/>
        <w:left w:val="none" w:sz="0" w:space="0" w:color="auto"/>
        <w:bottom w:val="none" w:sz="0" w:space="0" w:color="auto"/>
        <w:right w:val="none" w:sz="0" w:space="0" w:color="auto"/>
      </w:divBdr>
    </w:div>
    <w:div w:id="1800220192">
      <w:marLeft w:val="0"/>
      <w:marRight w:val="0"/>
      <w:marTop w:val="0"/>
      <w:marBottom w:val="0"/>
      <w:divBdr>
        <w:top w:val="none" w:sz="0" w:space="0" w:color="auto"/>
        <w:left w:val="none" w:sz="0" w:space="0" w:color="auto"/>
        <w:bottom w:val="none" w:sz="0" w:space="0" w:color="auto"/>
        <w:right w:val="none" w:sz="0" w:space="0" w:color="auto"/>
      </w:divBdr>
    </w:div>
    <w:div w:id="1800220193">
      <w:marLeft w:val="0"/>
      <w:marRight w:val="0"/>
      <w:marTop w:val="0"/>
      <w:marBottom w:val="0"/>
      <w:divBdr>
        <w:top w:val="none" w:sz="0" w:space="0" w:color="auto"/>
        <w:left w:val="none" w:sz="0" w:space="0" w:color="auto"/>
        <w:bottom w:val="none" w:sz="0" w:space="0" w:color="auto"/>
        <w:right w:val="none" w:sz="0" w:space="0" w:color="auto"/>
      </w:divBdr>
    </w:div>
    <w:div w:id="1800220194">
      <w:marLeft w:val="0"/>
      <w:marRight w:val="0"/>
      <w:marTop w:val="0"/>
      <w:marBottom w:val="0"/>
      <w:divBdr>
        <w:top w:val="none" w:sz="0" w:space="0" w:color="auto"/>
        <w:left w:val="none" w:sz="0" w:space="0" w:color="auto"/>
        <w:bottom w:val="none" w:sz="0" w:space="0" w:color="auto"/>
        <w:right w:val="none" w:sz="0" w:space="0" w:color="auto"/>
      </w:divBdr>
    </w:div>
    <w:div w:id="18002201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bd.int/doc/decisions/cop-13/cop-13-dec-05-zh.pdf" TargetMode="External"/><Relationship Id="rId21" Type="http://schemas.openxmlformats.org/officeDocument/2006/relationships/hyperlink" Target="https://www.cbd.int/doc/decisions/cop-12/cop-12-dec-02-zh.pdf" TargetMode="External"/><Relationship Id="rId34" Type="http://schemas.openxmlformats.org/officeDocument/2006/relationships/hyperlink" Target="http://www.undp.org/content/undp/en/home/librarypage/environment-energy/climate_change/adaptation/mainstreaming_climatechangeadaptationintodevelopmentplanningagui.html" TargetMode="External"/><Relationship Id="rId42" Type="http://schemas.openxmlformats.org/officeDocument/2006/relationships/hyperlink" Target="https://www.cbd.int/doc/decisions/cop-06/full/cop-06-dec-zh.pdf" TargetMode="External"/><Relationship Id="rId47" Type="http://schemas.openxmlformats.org/officeDocument/2006/relationships/hyperlink" Target="https://www.cbd.int/doc/decisions/cop-10/cop-10-dec-06-zh.pdf" TargetMode="External"/><Relationship Id="rId50" Type="http://schemas.openxmlformats.org/officeDocument/2006/relationships/hyperlink" Target="https://www.cbd.int/doc/decisions/cop-10/cop-10-dec-31-zh.pdf" TargetMode="External"/><Relationship Id="rId55" Type="http://schemas.openxmlformats.org/officeDocument/2006/relationships/hyperlink" Target="https://www.cbd.int/doc/decisions/cop-10/cop-10-dec-29-zh.pdf" TargetMode="External"/><Relationship Id="rId63" Type="http://schemas.openxmlformats.org/officeDocument/2006/relationships/header" Target="header1.xml"/><Relationship Id="rId68" Type="http://schemas.openxmlformats.org/officeDocument/2006/relationships/header" Target="header5.xml"/><Relationship Id="rId76" Type="http://schemas.openxmlformats.org/officeDocument/2006/relationships/hyperlink" Target="https://www.cbd.int/doc/decisions/cop-13/cop-13-dec-19-zh.pdf" TargetMode="External"/><Relationship Id="rId84" Type="http://schemas.openxmlformats.org/officeDocument/2006/relationships/hyperlink" Target="https://www.cbd.int/doc/decisions/cop-13/cop-13-dec-23-zh.pdf" TargetMode="External"/><Relationship Id="rId89" Type="http://schemas.openxmlformats.org/officeDocument/2006/relationships/hyperlink" Target="https://www.cbd.int/doc/decisions/cop-13/cop-13-dec-26-zh.pdf" TargetMode="External"/><Relationship Id="rId97"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header" Target="header7.xml"/><Relationship Id="rId92" Type="http://schemas.openxmlformats.org/officeDocument/2006/relationships/hyperlink" Target="https://www.cbd.int/doc/decisions/cop-13/cop-13-dec-29-zh.pdf" TargetMode="External"/><Relationship Id="rId2" Type="http://schemas.openxmlformats.org/officeDocument/2006/relationships/numbering" Target="numbering.xml"/><Relationship Id="rId16" Type="http://schemas.openxmlformats.org/officeDocument/2006/relationships/hyperlink" Target="https://www.cbd.int/doc/decisions/cop-13/cop-13-dec-06-zh.pdf" TargetMode="External"/><Relationship Id="rId29" Type="http://schemas.openxmlformats.org/officeDocument/2006/relationships/diagramLayout" Target="diagrams/layout1.xml"/><Relationship Id="rId11" Type="http://schemas.openxmlformats.org/officeDocument/2006/relationships/hyperlink" Target="https://www.cbd.int/doc/decisions/cop-13/cop-13-dec-23-zh.pdf" TargetMode="External"/><Relationship Id="rId24" Type="http://schemas.openxmlformats.org/officeDocument/2006/relationships/hyperlink" Target="https://www.cbd.int/doc/decisions/cop-12/cop-12-dec-20-zh.pdf" TargetMode="External"/><Relationship Id="rId32" Type="http://schemas.microsoft.com/office/2007/relationships/diagramDrawing" Target="diagrams/drawing1.xml"/><Relationship Id="rId37" Type="http://schemas.openxmlformats.org/officeDocument/2006/relationships/image" Target="media/image5.emf"/><Relationship Id="rId40" Type="http://schemas.openxmlformats.org/officeDocument/2006/relationships/hyperlink" Target="https://www.cbd.int/decision/cop/default.shtml?id=7107" TargetMode="External"/><Relationship Id="rId45" Type="http://schemas.openxmlformats.org/officeDocument/2006/relationships/hyperlink" Target="https://www.cbd.int/doc/decisions/cop-13/cop-13-dec-15-zh.pdf" TargetMode="External"/><Relationship Id="rId53" Type="http://schemas.openxmlformats.org/officeDocument/2006/relationships/image" Target="media/image6.png"/><Relationship Id="rId58" Type="http://schemas.openxmlformats.org/officeDocument/2006/relationships/hyperlink" Target="https://www.cbd.int/doc/decisions/cop-13/cop-13-dec-12-zh.pdf" TargetMode="External"/><Relationship Id="rId66" Type="http://schemas.openxmlformats.org/officeDocument/2006/relationships/header" Target="header3.xml"/><Relationship Id="rId74" Type="http://schemas.openxmlformats.org/officeDocument/2006/relationships/hyperlink" Target="https://www.cbd.int/doc/decisions/cop-12/cop-12-dec-16-zh.pdf" TargetMode="External"/><Relationship Id="rId79" Type="http://schemas.openxmlformats.org/officeDocument/2006/relationships/hyperlink" Target="https://www.cbd.int/doc/decisions/cop-13/cop-13-dec-01-zh.pdf" TargetMode="External"/><Relationship Id="rId87" Type="http://schemas.openxmlformats.org/officeDocument/2006/relationships/hyperlink" Target="https://www.cbd.int/doc/decisions/cop-13/cop-13-dec-28-zh.pdf"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cbd.int/doc/decisions/cop-12/cop-12-dec-22-zh.pdf" TargetMode="External"/><Relationship Id="rId82" Type="http://schemas.openxmlformats.org/officeDocument/2006/relationships/hyperlink" Target="https://www.cbd.int/doc/decisions/cop-13/cop-13-dec-05-zh.pdf" TargetMode="External"/><Relationship Id="rId90" Type="http://schemas.openxmlformats.org/officeDocument/2006/relationships/hyperlink" Target="https://www.cbd.int/doc/decisions/cop-13/cop-13-dec-33-zh.pdf" TargetMode="External"/><Relationship Id="rId95" Type="http://schemas.openxmlformats.org/officeDocument/2006/relationships/hyperlink" Target="https://www.cbd.int/doc/decisions/cop-09/cop-09-dec-34-zh.pdf" TargetMode="External"/><Relationship Id="rId19" Type="http://schemas.openxmlformats.org/officeDocument/2006/relationships/hyperlink" Target="http://papersmart.unon.org/resolution/uploads/k1709236.docx" TargetMode="External"/><Relationship Id="rId14" Type="http://schemas.openxmlformats.org/officeDocument/2006/relationships/hyperlink" Target="https://undocs.org/zh/UNEP/EA.3/Res.2" TargetMode="External"/><Relationship Id="rId22" Type="http://schemas.openxmlformats.org/officeDocument/2006/relationships/hyperlink" Target="https://www.cbd.int/doc/decisions/cop-09/cop-09-dec-16-zh.pdf" TargetMode="External"/><Relationship Id="rId27" Type="http://schemas.openxmlformats.org/officeDocument/2006/relationships/hyperlink" Target="https://www.cbd.int/doc/decisions/cop-13/cop-13-dec-04-zh.pdf" TargetMode="External"/><Relationship Id="rId30" Type="http://schemas.openxmlformats.org/officeDocument/2006/relationships/diagramQuickStyle" Target="diagrams/quickStyle1.xml"/><Relationship Id="rId35" Type="http://schemas.openxmlformats.org/officeDocument/2006/relationships/image" Target="media/image4.png"/><Relationship Id="rId43" Type="http://schemas.openxmlformats.org/officeDocument/2006/relationships/hyperlink" Target="https://www.cbd.int/doc/decisions/cop-13/cop-13-dec-15-zh.pdf" TargetMode="External"/><Relationship Id="rId48" Type="http://schemas.openxmlformats.org/officeDocument/2006/relationships/hyperlink" Target="https://www.cbd.int/doc/decisions/cop-13/cop-13-dec-03-zh.pdf" TargetMode="External"/><Relationship Id="rId56" Type="http://schemas.openxmlformats.org/officeDocument/2006/relationships/hyperlink" Target="https://www.cbd.int/doc/decisions/cop-11/cop-11-dec-17-zh.pdf" TargetMode="External"/><Relationship Id="rId64" Type="http://schemas.openxmlformats.org/officeDocument/2006/relationships/header" Target="header2.xml"/><Relationship Id="rId69" Type="http://schemas.openxmlformats.org/officeDocument/2006/relationships/footer" Target="footer2.xml"/><Relationship Id="rId77" Type="http://schemas.openxmlformats.org/officeDocument/2006/relationships/hyperlink" Target="https://www.cbd.int/doc/decisions/cop-05/full/cop-05-dec-zh.pdf" TargetMode="External"/><Relationship Id="rId100" Type="http://schemas.openxmlformats.org/officeDocument/2006/relationships/hyperlink" Target="https://www.cbd.int/doc/decisions/cop-13/cop-13-dec-33-en.pdf" TargetMode="External"/><Relationship Id="rId8" Type="http://schemas.openxmlformats.org/officeDocument/2006/relationships/image" Target="media/image1.emf"/><Relationship Id="rId51" Type="http://schemas.openxmlformats.org/officeDocument/2006/relationships/hyperlink" Target="https://www.cbd.int/doc/decisions/cop-07/full/cop-07-dec-zh.pdf" TargetMode="External"/><Relationship Id="rId72" Type="http://schemas.openxmlformats.org/officeDocument/2006/relationships/footer" Target="footer3.xml"/><Relationship Id="rId80" Type="http://schemas.openxmlformats.org/officeDocument/2006/relationships/hyperlink" Target="https://www.cbd.int/doc/decisions/cop-13/cop-13-dec-03-zh.pdf" TargetMode="External"/><Relationship Id="rId85" Type="http://schemas.openxmlformats.org/officeDocument/2006/relationships/hyperlink" Target="https://www.cbd.int/doc/decisions/cop-13/cop-13-dec-24-zh.pdf" TargetMode="External"/><Relationship Id="rId93" Type="http://schemas.openxmlformats.org/officeDocument/2006/relationships/hyperlink" Target="https://www.cbd.int/doc/decisions/cop-13/cop-13-dec-27-zh.pdf" TargetMode="External"/><Relationship Id="rId98"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https://www.cbd.int/doc/decisions/cop-13/cop-13-dec-22-zh.pdf" TargetMode="External"/><Relationship Id="rId17" Type="http://schemas.openxmlformats.org/officeDocument/2006/relationships/hyperlink" Target="https://www.cbd.int/doc/decisions/cop-13/cop-13-dec-03-zh.pdf" TargetMode="External"/><Relationship Id="rId25" Type="http://schemas.openxmlformats.org/officeDocument/2006/relationships/hyperlink" Target="https://www.cbd.int/doc/decisions/cop-10/cop-10-dec-33-zh.pdf" TargetMode="External"/><Relationship Id="rId33" Type="http://schemas.openxmlformats.org/officeDocument/2006/relationships/hyperlink" Target="http://awsassets.panda.org/downloads/wwf_wb_eba_project_2014_gms_ecosystem_based_adaptation_general_framework.pdf" TargetMode="External"/><Relationship Id="rId38" Type="http://schemas.openxmlformats.org/officeDocument/2006/relationships/hyperlink" Target="https://www.ipcc.ch/report/ar5/wg2/" TargetMode="External"/><Relationship Id="rId46" Type="http://schemas.openxmlformats.org/officeDocument/2006/relationships/hyperlink" Target="https://www.cbd.int/doc/decisions/cop-13/cop-13-dec-15-zh.pdf" TargetMode="External"/><Relationship Id="rId59" Type="http://schemas.openxmlformats.org/officeDocument/2006/relationships/hyperlink" Target="https://www.cbd.int/doc/decisions/cop-10/cop-10-dec-29-zh.pdf" TargetMode="External"/><Relationship Id="rId67" Type="http://schemas.openxmlformats.org/officeDocument/2006/relationships/header" Target="header4.xml"/><Relationship Id="rId20" Type="http://schemas.openxmlformats.org/officeDocument/2006/relationships/hyperlink" Target="https://papersmart.unon.org/resolution/uploads/k1800154.english.pdf" TargetMode="External"/><Relationship Id="rId41" Type="http://schemas.openxmlformats.org/officeDocument/2006/relationships/hyperlink" Target="https://www.cbd.int/doc/decisions/cop-05/full/cop-05-dec-zh.pdf" TargetMode="External"/><Relationship Id="rId54" Type="http://schemas.openxmlformats.org/officeDocument/2006/relationships/image" Target="cid:image002.png@01D3C061.9532EE20" TargetMode="External"/><Relationship Id="rId62" Type="http://schemas.openxmlformats.org/officeDocument/2006/relationships/hyperlink" Target="https://www.cbd.int/doc/decisions/cop-13/cop-13-dec-12-zh.pdf" TargetMode="External"/><Relationship Id="rId70" Type="http://schemas.openxmlformats.org/officeDocument/2006/relationships/header" Target="header6.xml"/><Relationship Id="rId75" Type="http://schemas.openxmlformats.org/officeDocument/2006/relationships/hyperlink" Target="https://www.cbd.int/doc/decisions/cop-12/cop-12-dec-16-zh.pdf" TargetMode="External"/><Relationship Id="rId83" Type="http://schemas.openxmlformats.org/officeDocument/2006/relationships/hyperlink" Target="https://www.cbd.int/doc/decisions/cop-13/cop-13-dec-07-zh.pdf" TargetMode="External"/><Relationship Id="rId88" Type="http://schemas.openxmlformats.org/officeDocument/2006/relationships/hyperlink" Target="https://www.cbd.int/doc/decisions/cop-12/cop-12-dec-27-zh.pdf" TargetMode="External"/><Relationship Id="rId91" Type="http://schemas.openxmlformats.org/officeDocument/2006/relationships/hyperlink" Target="https://www.cbd.int/post2020/" TargetMode="External"/><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bd.int/doc/decisions/cop-12/cop-12-dec-21-zh.pdf" TargetMode="External"/><Relationship Id="rId23" Type="http://schemas.openxmlformats.org/officeDocument/2006/relationships/hyperlink" Target="https://www.cbd.int/doc/decisions/cop-10/cop-10-dec-33-zh.pdf" TargetMode="External"/><Relationship Id="rId28" Type="http://schemas.openxmlformats.org/officeDocument/2006/relationships/diagramData" Target="diagrams/data1.xml"/><Relationship Id="rId36" Type="http://schemas.openxmlformats.org/officeDocument/2006/relationships/hyperlink" Target="https://www.cbd.int/traditional/guidelines.shtml" TargetMode="External"/><Relationship Id="rId49" Type="http://schemas.openxmlformats.org/officeDocument/2006/relationships/hyperlink" Target="https://www.cbd.int/doc/decisions/cop-10/cop-10-dec-31-zh.pdf" TargetMode="External"/><Relationship Id="rId57" Type="http://schemas.openxmlformats.org/officeDocument/2006/relationships/hyperlink" Target="https://www.cbd.int/doc/decisions/cop-12/cop-12-dec-22-zh.pdf" TargetMode="External"/><Relationship Id="rId10" Type="http://schemas.openxmlformats.org/officeDocument/2006/relationships/image" Target="media/image3.png"/><Relationship Id="rId31" Type="http://schemas.openxmlformats.org/officeDocument/2006/relationships/diagramColors" Target="diagrams/colors1.xml"/><Relationship Id="rId44" Type="http://schemas.openxmlformats.org/officeDocument/2006/relationships/hyperlink" Target="https://www.cbd.int/decision/cop/default.shtml?id=7107" TargetMode="External"/><Relationship Id="rId52" Type="http://schemas.openxmlformats.org/officeDocument/2006/relationships/hyperlink" Target="https://www.cbd.int/doc/decisions/cop-10/cop-10-dec-31-zh.pdf" TargetMode="External"/><Relationship Id="rId60" Type="http://schemas.openxmlformats.org/officeDocument/2006/relationships/hyperlink" Target="https://www.cbd.int/doc/decisions/cop-11/cop-11-dec-17-zh.pdf" TargetMode="External"/><Relationship Id="rId65" Type="http://schemas.openxmlformats.org/officeDocument/2006/relationships/footer" Target="footer1.xml"/><Relationship Id="rId73" Type="http://schemas.openxmlformats.org/officeDocument/2006/relationships/footer" Target="footer4.xml"/><Relationship Id="rId78" Type="http://schemas.openxmlformats.org/officeDocument/2006/relationships/hyperlink" Target="https://www.cbd.int/doc/decisions/cop-10/cop-10-dec-43-zh.pdf" TargetMode="External"/><Relationship Id="rId81" Type="http://schemas.openxmlformats.org/officeDocument/2006/relationships/hyperlink" Target="https://www.cbd.int/doc/decisions/cop-13/cop-13-dec-04-zh.pdf" TargetMode="External"/><Relationship Id="rId86" Type="http://schemas.openxmlformats.org/officeDocument/2006/relationships/hyperlink" Target="https://www.cbd.int/doc/decisions/cop-13/cop-13-dec-27-zh.pdf" TargetMode="External"/><Relationship Id="rId94" Type="http://schemas.openxmlformats.org/officeDocument/2006/relationships/hyperlink" Target="https://www.cbd.int/doc/decisions/cop-11/cop-11-dec-02-zh.pdf" TargetMode="External"/><Relationship Id="rId99" Type="http://schemas.openxmlformats.org/officeDocument/2006/relationships/header" Target="header1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www.cbd.int/doc/decisions/cop-13/cop-13-dec-03-zh.pdf" TargetMode="External"/><Relationship Id="rId18" Type="http://schemas.openxmlformats.org/officeDocument/2006/relationships/hyperlink" Target="https://www.cbd.int/doc/decisions/cop-13/cop-13-dec-06-zh.pdf" TargetMode="External"/><Relationship Id="rId39" Type="http://schemas.openxmlformats.org/officeDocument/2006/relationships/hyperlink" Target="https://www.naturalcapitalproject.org/invest"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un.org/esa/socdev/unpfii/documents/DRIPS_zh.pdf" TargetMode="External"/><Relationship Id="rId117" Type="http://schemas.openxmlformats.org/officeDocument/2006/relationships/hyperlink" Target="https://www.cbd.int/doc/decisions/cop-12/cop-12-dec-12-zh.pdf" TargetMode="External"/><Relationship Id="rId21" Type="http://schemas.openxmlformats.org/officeDocument/2006/relationships/hyperlink" Target="https://www.cbd.int/doc/decisions/cop-10/cop-10-dec-02-zh.pdf" TargetMode="External"/><Relationship Id="rId42" Type="http://schemas.openxmlformats.org/officeDocument/2006/relationships/hyperlink" Target="https://www.cbd.int/doc/meetings/sbstta/sbstta-20/information/sbstta-20-inf-46-en.pdf" TargetMode="External"/><Relationship Id="rId47" Type="http://schemas.openxmlformats.org/officeDocument/2006/relationships/hyperlink" Target="http://www.un.org/en/ga/search/view_doc.asp?symbol=A/RES/70/1" TargetMode="External"/><Relationship Id="rId63" Type="http://schemas.openxmlformats.org/officeDocument/2006/relationships/hyperlink" Target="https://www.cbd.int/doc/decisions/cop-09/cop-09-dec-18-zh.pdf" TargetMode="External"/><Relationship Id="rId68" Type="http://schemas.openxmlformats.org/officeDocument/2006/relationships/hyperlink" Target="http://www.un.org/depts/los/convention_agreements/texts/unclos/unclos_c.pdf" TargetMode="External"/><Relationship Id="rId84" Type="http://schemas.openxmlformats.org/officeDocument/2006/relationships/hyperlink" Target="https://www.cbd.int/decision/cop/default.shtml?id=12308" TargetMode="External"/><Relationship Id="rId89" Type="http://schemas.openxmlformats.org/officeDocument/2006/relationships/hyperlink" Target="https://www.cbd.int/doc/publications/ethicalconduct-brochure-en.pdf" TargetMode="External"/><Relationship Id="rId112" Type="http://schemas.openxmlformats.org/officeDocument/2006/relationships/hyperlink" Target="https://www.cbd.int/doc/c/0a31/4e45/72608f072f6d79700c846948/cop-13-inf-48-en.pdf" TargetMode="External"/><Relationship Id="rId133" Type="http://schemas.openxmlformats.org/officeDocument/2006/relationships/hyperlink" Target="https://www.cbd.int/doc/decisions/cop-10/cop-10-dec-02-zh.pdf" TargetMode="External"/><Relationship Id="rId138" Type="http://schemas.openxmlformats.org/officeDocument/2006/relationships/hyperlink" Target="https://www.cbd.int/doc/decisions/cop-09/cop-09-dec-34-en.pdf" TargetMode="External"/><Relationship Id="rId16" Type="http://schemas.openxmlformats.org/officeDocument/2006/relationships/hyperlink" Target="https://www.cbd.int/doc/health/cbo-action-policy-en.pdf" TargetMode="External"/><Relationship Id="rId107" Type="http://schemas.openxmlformats.org/officeDocument/2006/relationships/hyperlink" Target="https://www.iccaconsortium.org/index.php/discover/" TargetMode="External"/><Relationship Id="rId11" Type="http://schemas.openxmlformats.org/officeDocument/2006/relationships/hyperlink" Target="https://www.cbd.int/doc/publications/cbd-ts-79-en.pdf" TargetMode="External"/><Relationship Id="rId32" Type="http://schemas.openxmlformats.org/officeDocument/2006/relationships/hyperlink" Target="https://www.iucn.org/theme/ecosystem-management/our-work/ecosystem-based-adaptation-and-climate-change/friends-eba-feba/knowledge-products" TargetMode="External"/><Relationship Id="rId37" Type="http://schemas.openxmlformats.org/officeDocument/2006/relationships/hyperlink" Target="http://www.apimondia.com/" TargetMode="External"/><Relationship Id="rId53" Type="http://schemas.openxmlformats.org/officeDocument/2006/relationships/hyperlink" Target="https://undocs.org/A/HRC/34/49" TargetMode="External"/><Relationship Id="rId58" Type="http://schemas.openxmlformats.org/officeDocument/2006/relationships/hyperlink" Target="https://www.iucn.org/content/natural-solutions-protected-areas-helping-people-cope-climate-change" TargetMode="External"/><Relationship Id="rId74" Type="http://schemas.openxmlformats.org/officeDocument/2006/relationships/hyperlink" Target="https://www.cbd.int/doc/decisions/cop-10/cop-10-dec-43-zh.pdf" TargetMode="External"/><Relationship Id="rId79" Type="http://schemas.openxmlformats.org/officeDocument/2006/relationships/hyperlink" Target="https://www.cbd.int/doc/meetings/tk/wg8j-08/official/wg8j-08-05-en.pdf" TargetMode="External"/><Relationship Id="rId102" Type="http://schemas.openxmlformats.org/officeDocument/2006/relationships/hyperlink" Target="https://www.cbd.int/doc/decisions/cop-07/cop-07-dec-16-en.pdf" TargetMode="External"/><Relationship Id="rId123" Type="http://schemas.openxmlformats.org/officeDocument/2006/relationships/hyperlink" Target="https://www.cbd.int/doc/decisions/cop-12/cop-12-dec-03-zh.pdf" TargetMode="External"/><Relationship Id="rId128" Type="http://schemas.openxmlformats.org/officeDocument/2006/relationships/hyperlink" Target="http://undocs.org/zh/A/RES/71/285" TargetMode="External"/><Relationship Id="rId5" Type="http://schemas.openxmlformats.org/officeDocument/2006/relationships/hyperlink" Target="https://www.cbd.int/doc/meetings/sbstta/sbstta-21/official/sbstta-21-02-add1-zh.pdf" TargetMode="External"/><Relationship Id="rId90" Type="http://schemas.openxmlformats.org/officeDocument/2006/relationships/hyperlink" Target="https://www.cbd.int/doc/meetings/tk/wg8j-08/official/wg8j-08-05-en.pdf" TargetMode="External"/><Relationship Id="rId95" Type="http://schemas.openxmlformats.org/officeDocument/2006/relationships/hyperlink" Target="http://www.un.org/esa/socdev/unpfii/documents/MCS_v_en.pdf" TargetMode="External"/><Relationship Id="rId22" Type="http://schemas.openxmlformats.org/officeDocument/2006/relationships/hyperlink" Target="http://www.ipcc.ch/report/sr15/" TargetMode="External"/><Relationship Id="rId27" Type="http://schemas.openxmlformats.org/officeDocument/2006/relationships/hyperlink" Target="https://www.cbd.int/guidelines/" TargetMode="External"/><Relationship Id="rId43" Type="http://schemas.openxmlformats.org/officeDocument/2006/relationships/hyperlink" Target="https://www.cbd.int/doc/meetings/sbstta/sbstta-20/information/sbstta-20-inf-47-en.pdf" TargetMode="External"/><Relationship Id="rId48" Type="http://schemas.openxmlformats.org/officeDocument/2006/relationships/hyperlink" Target="https://www.iccaconsortium.org/index.php/2013/12/31/iucn-best-practice-protected-area-guidelines-no-20/" TargetMode="External"/><Relationship Id="rId64" Type="http://schemas.openxmlformats.org/officeDocument/2006/relationships/hyperlink" Target="https://www.cbd.int/doc/decisions/cop-10/cop-10-dec-31-zh.pdf" TargetMode="External"/><Relationship Id="rId69" Type="http://schemas.openxmlformats.org/officeDocument/2006/relationships/hyperlink" Target="http://undocs.org/A/RES/70/1" TargetMode="External"/><Relationship Id="rId113" Type="http://schemas.openxmlformats.org/officeDocument/2006/relationships/hyperlink" Target="https://www.cbd.int/doc/decisions/cop-07/cop-07-dec-16-zh.pdf" TargetMode="External"/><Relationship Id="rId118" Type="http://schemas.openxmlformats.org/officeDocument/2006/relationships/hyperlink" Target="https://www.cbd.int/doc/decisions/cop-10/cop-10-dec-20-zh.pdf" TargetMode="External"/><Relationship Id="rId134" Type="http://schemas.openxmlformats.org/officeDocument/2006/relationships/hyperlink" Target="http://undocs.org/A/RES/70/1" TargetMode="External"/><Relationship Id="rId139" Type="http://schemas.openxmlformats.org/officeDocument/2006/relationships/hyperlink" Target="https://www.cbd.int/doc/notifications/2019/ntf-2019-015-budget-cbd-en.pdf" TargetMode="External"/><Relationship Id="rId8" Type="http://schemas.openxmlformats.org/officeDocument/2006/relationships/hyperlink" Target="https://www.cbd.int/doc/c/75db/a1d2/64d21404dca630a93407078b/sbstta-21-inf-04-en.pdf" TargetMode="External"/><Relationship Id="rId51" Type="http://schemas.openxmlformats.org/officeDocument/2006/relationships/hyperlink" Target="https://www.cbd.int/doc/decisions/cop-11/cop-11-dec-25-zh.pdf" TargetMode="External"/><Relationship Id="rId72" Type="http://schemas.openxmlformats.org/officeDocument/2006/relationships/hyperlink" Target="https://www.cbd.int/decisions/cop/?m=cop-08" TargetMode="External"/><Relationship Id="rId80" Type="http://schemas.openxmlformats.org/officeDocument/2006/relationships/hyperlink" Target="https://en.wikipedia.org/wiki/Librarian" TargetMode="External"/><Relationship Id="rId85" Type="http://schemas.openxmlformats.org/officeDocument/2006/relationships/hyperlink" Target="https://www.cbd.int/doc/decisions/cop-11/cop-11-dec-14-zh.pdf" TargetMode="External"/><Relationship Id="rId93" Type="http://schemas.openxmlformats.org/officeDocument/2006/relationships/hyperlink" Target="https://www.cbd.int/doc/decisions/mop-08/mop-08-dec-19-zh.pdf" TargetMode="External"/><Relationship Id="rId98" Type="http://schemas.openxmlformats.org/officeDocument/2006/relationships/hyperlink" Target="https://www.cbd.int/doc/decisions/cop-07/cop-07-dec-16-en.pdf" TargetMode="External"/><Relationship Id="rId121" Type="http://schemas.openxmlformats.org/officeDocument/2006/relationships/hyperlink" Target="https://www.cbd.int/meetings/SYNBIOAHTEG-2017-01" TargetMode="External"/><Relationship Id="rId3" Type="http://schemas.openxmlformats.org/officeDocument/2006/relationships/hyperlink" Target="https://www.cbd.int/gbo/gbo4/publication/lbo-en.pdf" TargetMode="External"/><Relationship Id="rId12" Type="http://schemas.openxmlformats.org/officeDocument/2006/relationships/hyperlink" Target="https://www.cbd.int/doc/c/edd1/7e90/76ccae323fc6c2286ceba9a2/cop-13-24-zh.pdf" TargetMode="External"/><Relationship Id="rId17" Type="http://schemas.openxmlformats.org/officeDocument/2006/relationships/hyperlink" Target="http://www.resourcepanel.org/reports/weight-cities" TargetMode="External"/><Relationship Id="rId25" Type="http://schemas.openxmlformats.org/officeDocument/2006/relationships/hyperlink" Target="https://www.cbd.int/doc/decisions/cop-13/cop-13-dec-05-zh.pdf" TargetMode="External"/><Relationship Id="rId33" Type="http://schemas.openxmlformats.org/officeDocument/2006/relationships/hyperlink" Target="http://randd.defra.gov.uk/Default.aspx?Module=More&amp;Location=None&amp;ProjectID=18016" TargetMode="External"/><Relationship Id="rId38" Type="http://schemas.openxmlformats.org/officeDocument/2006/relationships/hyperlink" Target="http://www.mma.gov.br/biomas/mata-atl%C3%A2ntica_emdesenvolvimento" TargetMode="External"/><Relationship Id="rId46" Type="http://schemas.openxmlformats.org/officeDocument/2006/relationships/hyperlink" Target="https://www.cbd.int/convention/articles.shtml?a=cbd-10" TargetMode="External"/><Relationship Id="rId59" Type="http://schemas.openxmlformats.org/officeDocument/2006/relationships/hyperlink" Target="https://www.cbd.int/doc/nbsap/NBSAPs-catalysts-SDGs.pdf" TargetMode="External"/><Relationship Id="rId67" Type="http://schemas.openxmlformats.org/officeDocument/2006/relationships/hyperlink" Target="https://www.cbd.int/doc/decisions/cop-07/full/cop-07-dec-zh.pdf" TargetMode="External"/><Relationship Id="rId103" Type="http://schemas.openxmlformats.org/officeDocument/2006/relationships/hyperlink" Target="https://www.cbd.int/doc/decisions/cop-13/cop-13-dec-18-zh.pdf" TargetMode="External"/><Relationship Id="rId108" Type="http://schemas.openxmlformats.org/officeDocument/2006/relationships/hyperlink" Target="http://undocs.org/zh/A/RES/70/1" TargetMode="External"/><Relationship Id="rId116" Type="http://schemas.openxmlformats.org/officeDocument/2006/relationships/hyperlink" Target="https://www.cbd.int/doc/decisions/cop-13/cop-13-dec-18-zh.pdf" TargetMode="External"/><Relationship Id="rId124" Type="http://schemas.openxmlformats.org/officeDocument/2006/relationships/hyperlink" Target="https://www.biodiversityinformatics.org/en/shared-ambitions/" TargetMode="External"/><Relationship Id="rId129" Type="http://schemas.openxmlformats.org/officeDocument/2006/relationships/hyperlink" Target="http://apps.who.int/gb/e/e_wha71.html" TargetMode="External"/><Relationship Id="rId137" Type="http://schemas.openxmlformats.org/officeDocument/2006/relationships/hyperlink" Target="https://www.cbd.int/doc/c/05b3/3c25/2cc04a53ad3360ce1a1b940e/sbi-02-22-en.pdf" TargetMode="External"/><Relationship Id="rId20" Type="http://schemas.openxmlformats.org/officeDocument/2006/relationships/hyperlink" Target="https://www.cbd.int/doc/decisions/cop-07/cop-07-dec-11-zh.pdf" TargetMode="External"/><Relationship Id="rId41" Type="http://schemas.openxmlformats.org/officeDocument/2006/relationships/hyperlink" Target="https://www.cbd.int/brc/" TargetMode="External"/><Relationship Id="rId54" Type="http://schemas.openxmlformats.org/officeDocument/2006/relationships/hyperlink" Target="https://www.ncbi.nlm.nih.gov/pmc/articles/PMC4643828/" TargetMode="External"/><Relationship Id="rId62" Type="http://schemas.openxmlformats.org/officeDocument/2006/relationships/hyperlink" Target="https://www.cbd.int/doc/decisions/cop-07/full/cop-07-dec-zh.pdf" TargetMode="External"/><Relationship Id="rId70" Type="http://schemas.openxmlformats.org/officeDocument/2006/relationships/hyperlink" Target="http://undocs.org/A/RES/71/312" TargetMode="External"/><Relationship Id="rId75" Type="http://schemas.openxmlformats.org/officeDocument/2006/relationships/hyperlink" Target="https://www.cbd.int/doc/decisions/cop-13/cop-13-dec-18-zh.pdf" TargetMode="External"/><Relationship Id="rId83" Type="http://schemas.openxmlformats.org/officeDocument/2006/relationships/hyperlink" Target="https://www.cbd.int/doc/publications/ethicalconduct-brochure-en.pdf" TargetMode="External"/><Relationship Id="rId88" Type="http://schemas.openxmlformats.org/officeDocument/2006/relationships/hyperlink" Target="http://www.wipo.int/edocs/pubdocs/en/wipo_pub_1049.pdf" TargetMode="External"/><Relationship Id="rId91" Type="http://schemas.openxmlformats.org/officeDocument/2006/relationships/hyperlink" Target="https://www.cbd.int/doc/decisions/cop-07/cop-07-dec-16-en.pdf" TargetMode="External"/><Relationship Id="rId96" Type="http://schemas.openxmlformats.org/officeDocument/2006/relationships/hyperlink" Target="https://www.cbd.int/doc/decisions/cop-07/cop-07-dec-16-en.pdf" TargetMode="External"/><Relationship Id="rId111" Type="http://schemas.openxmlformats.org/officeDocument/2006/relationships/hyperlink" Target="http://www.un.org/en/ga/search/view_doc.asp?symbol=A/RES/70/1&amp;referer=/english/&amp;Lang=C" TargetMode="External"/><Relationship Id="rId132" Type="http://schemas.openxmlformats.org/officeDocument/2006/relationships/hyperlink" Target="http://www.un.org/en/ga/search/view_doc.asp?symbol=A/RES/70/1" TargetMode="External"/><Relationship Id="rId1" Type="http://schemas.openxmlformats.org/officeDocument/2006/relationships/hyperlink" Target="https://www.cbd.int/doc/decisions/cop-10/cop-10-dec-02-zh.pdf" TargetMode="External"/><Relationship Id="rId6" Type="http://schemas.openxmlformats.org/officeDocument/2006/relationships/hyperlink" Target="https://www.cbd.int/doc/c/e14b/0ad0/52a612635e7d6b8bac0b6b38/sbstta-21-inf-02-en.pdf" TargetMode="External"/><Relationship Id="rId15" Type="http://schemas.openxmlformats.org/officeDocument/2006/relationships/hyperlink" Target="http://www.un.org/ga/search/view_doc.asp?symbol=A/RES/70/1&amp;Lang=C" TargetMode="External"/><Relationship Id="rId23" Type="http://schemas.openxmlformats.org/officeDocument/2006/relationships/hyperlink" Target="https://www.cbd.int/doc/publications/cbd-ts-85-zh.pdf" TargetMode="External"/><Relationship Id="rId28" Type="http://schemas.openxmlformats.org/officeDocument/2006/relationships/hyperlink" Target="https://documents-dds-ny.un.org/doc/UNDOC/GEN/N16/410/23/pdf/N1641023.pdf?OpenElement" TargetMode="External"/><Relationship Id="rId36" Type="http://schemas.openxmlformats.org/officeDocument/2006/relationships/hyperlink" Target="http://undocs.org/a/res/72/238" TargetMode="External"/><Relationship Id="rId49" Type="http://schemas.openxmlformats.org/officeDocument/2006/relationships/hyperlink" Target="https://www.iccaconsortium.org/index.php/2015/08/08/governance-for-the-conservation-of-nature/" TargetMode="External"/><Relationship Id="rId57" Type="http://schemas.openxmlformats.org/officeDocument/2006/relationships/hyperlink" Target="http://www.pnas.org/content/114/44/11645" TargetMode="External"/><Relationship Id="rId106" Type="http://schemas.openxmlformats.org/officeDocument/2006/relationships/hyperlink" Target="https://www.cbd.int/doc/decisions/cop-10/cop-10-dec-42-zh.pdf" TargetMode="External"/><Relationship Id="rId114" Type="http://schemas.openxmlformats.org/officeDocument/2006/relationships/hyperlink" Target="https://www.cbd.int/doc/decisions/cop-10/cop-10-dec-42-zh.pdf" TargetMode="External"/><Relationship Id="rId119" Type="http://schemas.openxmlformats.org/officeDocument/2006/relationships/hyperlink" Target="https://www.cbd.int/doc/c/894c/03fa/011be460c6ec40bc56753270/sbi-02-02-add3-zh.pdf" TargetMode="External"/><Relationship Id="rId127" Type="http://schemas.openxmlformats.org/officeDocument/2006/relationships/hyperlink" Target="http://undocs.org/zh/E/RES/2017/4" TargetMode="External"/><Relationship Id="rId10" Type="http://schemas.openxmlformats.org/officeDocument/2006/relationships/hyperlink" Target="https://www.cbd.int/doc/publications/cbd-ts-78-en.pdf" TargetMode="External"/><Relationship Id="rId31" Type="http://schemas.openxmlformats.org/officeDocument/2006/relationships/hyperlink" Target="https://www.cbd.int/doc/publications/cbd-ts-85-en.pdf" TargetMode="External"/><Relationship Id="rId44" Type="http://schemas.openxmlformats.org/officeDocument/2006/relationships/hyperlink" Target="https://www.cbd.int/doc/meetings/sbstta/sbstta-20/official/sbstta-20-11-zh.pdf" TargetMode="External"/><Relationship Id="rId52" Type="http://schemas.openxmlformats.org/officeDocument/2006/relationships/hyperlink" Target="https://undocs.org/A/71/229" TargetMode="External"/><Relationship Id="rId60" Type="http://schemas.openxmlformats.org/officeDocument/2006/relationships/hyperlink" Target="https://www.cbd.int/doc/decisions/cop-07/full/cop-07-dec-zh.pdf" TargetMode="External"/><Relationship Id="rId65" Type="http://schemas.openxmlformats.org/officeDocument/2006/relationships/hyperlink" Target="https://www.cbd.int/doc/decisions/cop-07/full/cop-07-dec-zh.pdf" TargetMode="External"/><Relationship Id="rId73" Type="http://schemas.openxmlformats.org/officeDocument/2006/relationships/hyperlink" Target="https://www.cbd.int/tk/default.shtml" TargetMode="External"/><Relationship Id="rId78" Type="http://schemas.openxmlformats.org/officeDocument/2006/relationships/hyperlink" Target="https://www.cbd.int/doc/decisions/cop-11/cop-11-dec-14-zh.pdf" TargetMode="External"/><Relationship Id="rId81" Type="http://schemas.openxmlformats.org/officeDocument/2006/relationships/hyperlink" Target="https://en.wikipedia.org/wiki/Archivist" TargetMode="External"/><Relationship Id="rId86" Type="http://schemas.openxmlformats.org/officeDocument/2006/relationships/hyperlink" Target="https://www.cbd.int/doc/decisions/cop-08/cop-08-dec-05-en.pdf" TargetMode="External"/><Relationship Id="rId94" Type="http://schemas.openxmlformats.org/officeDocument/2006/relationships/hyperlink" Target="https://www.cbd.int/doc/decisions/np-mop-02/np-mop-02-dec-07-zh.pdf" TargetMode="External"/><Relationship Id="rId99" Type="http://schemas.openxmlformats.org/officeDocument/2006/relationships/hyperlink" Target="https://www.cbd.int/doc/decisions/cop-07/cop-07-dec-16-en.pdf" TargetMode="External"/><Relationship Id="rId101" Type="http://schemas.openxmlformats.org/officeDocument/2006/relationships/hyperlink" Target="https://www.cbd.int/doc/decisions/cop-07/cop-07-dec-16-en.pdf" TargetMode="External"/><Relationship Id="rId122" Type="http://schemas.openxmlformats.org/officeDocument/2006/relationships/hyperlink" Target="http://bch.cbd.int/onlineconferences/portal_detection/lab_network.shtml" TargetMode="External"/><Relationship Id="rId130" Type="http://schemas.openxmlformats.org/officeDocument/2006/relationships/hyperlink" Target="https://www.cbd.int/doc/decisions/mop-01/full/mop-01-dec-zh.pdf" TargetMode="External"/><Relationship Id="rId135" Type="http://schemas.openxmlformats.org/officeDocument/2006/relationships/hyperlink" Target="https://www.cbd.int/doc/c/3b2d/adb1/7d81b3dc0d0d18561aa91851/cop-14-04-zh.pdf" TargetMode="External"/><Relationship Id="rId4" Type="http://schemas.openxmlformats.org/officeDocument/2006/relationships/hyperlink" Target="https://www.cbd.int/doc/c/d766/1a03/78b20fbb715f9b87a8099efa/sbstta-21-02-zh.pdf" TargetMode="External"/><Relationship Id="rId9" Type="http://schemas.openxmlformats.org/officeDocument/2006/relationships/hyperlink" Target="https://www.cbd.int/doc/c/e36c/2553/863a73bd3015677df8f30506/sbstta-21-inf-18-en.pdf" TargetMode="External"/><Relationship Id="rId13" Type="http://schemas.openxmlformats.org/officeDocument/2006/relationships/hyperlink" Target="https://www.cbd.int/doc/c/2000/ec3f/0cbb700fcf8f8e170b5f4afb/cop-14-12-en.pdf" TargetMode="External"/><Relationship Id="rId18" Type="http://schemas.openxmlformats.org/officeDocument/2006/relationships/hyperlink" Target="http://apps.who.int/gb/ebwha/pdf_files/WHA71/A71_11-zh.pdf" TargetMode="External"/><Relationship Id="rId39" Type="http://schemas.openxmlformats.org/officeDocument/2006/relationships/hyperlink" Target="https://www.cbd.int/doc/decisions/cop-12/cop-12-dec-12-zh.pdf" TargetMode="External"/><Relationship Id="rId109" Type="http://schemas.openxmlformats.org/officeDocument/2006/relationships/hyperlink" Target="http://undocs.org/A/RES/61/295" TargetMode="External"/><Relationship Id="rId34" Type="http://schemas.openxmlformats.org/officeDocument/2006/relationships/hyperlink" Target="https://www.cbd.int/indicators/default.shtml" TargetMode="External"/><Relationship Id="rId50" Type="http://schemas.openxmlformats.org/officeDocument/2006/relationships/hyperlink" Target="https://www.iccaconsortium.org/index.php/international-en/conservation-en/" TargetMode="External"/><Relationship Id="rId55" Type="http://schemas.openxmlformats.org/officeDocument/2006/relationships/hyperlink" Target="https://www.cbd.int/development/doc/biodiversity-2030-agenda-policy-brief-en.pdf" TargetMode="External"/><Relationship Id="rId76" Type="http://schemas.openxmlformats.org/officeDocument/2006/relationships/hyperlink" Target="https://www.cbd.int/doc/decisions/cop-10/cop-10-dec-42-zh.pdf" TargetMode="External"/><Relationship Id="rId97" Type="http://schemas.openxmlformats.org/officeDocument/2006/relationships/hyperlink" Target="https://www.cbd.int/doc/decisions/cop-07/cop-07-dec-16-en.pdf" TargetMode="External"/><Relationship Id="rId104" Type="http://schemas.openxmlformats.org/officeDocument/2006/relationships/hyperlink" Target="https://www.cbd.int/doc/decisions/cop-13/cop-13-dec-18-zh.pdf" TargetMode="External"/><Relationship Id="rId120" Type="http://schemas.openxmlformats.org/officeDocument/2006/relationships/hyperlink" Target="http://www.un.org/en/ga/search/view_doc.asp?symbol=A/RES/70/1" TargetMode="External"/><Relationship Id="rId125" Type="http://schemas.openxmlformats.org/officeDocument/2006/relationships/hyperlink" Target="https://www.cbd.int/doc/meetings/sbstta/sbstta-21/official/sbstta-21-07-zh.pdf" TargetMode="External"/><Relationship Id="rId7" Type="http://schemas.openxmlformats.org/officeDocument/2006/relationships/hyperlink" Target="https://www.cbd.int/doc/c/d623/0105/bc697cf1556d8892498c3866/sbstta-21-inf-03-en.pdf" TargetMode="External"/><Relationship Id="rId71" Type="http://schemas.openxmlformats.org/officeDocument/2006/relationships/hyperlink" Target="https://www.unece.org/fileadmin/DAM/trans/doc/2014/wp24/CTU_Code_January_2014.pdf" TargetMode="External"/><Relationship Id="rId92" Type="http://schemas.openxmlformats.org/officeDocument/2006/relationships/hyperlink" Target="https://www.cbd.int/doc/decisions/cop-12/cop-12-dec-12-en.pdf" TargetMode="External"/><Relationship Id="rId2" Type="http://schemas.openxmlformats.org/officeDocument/2006/relationships/hyperlink" Target="https://undocs.org/A/RES/70/1" TargetMode="External"/><Relationship Id="rId29" Type="http://schemas.openxmlformats.org/officeDocument/2006/relationships/hyperlink" Target="https://documents-dds-ny.un.org/doc/UNDOC/GEN/N17/015/18/pdf/N1701518.pdf?OpenElement" TargetMode="External"/><Relationship Id="rId24" Type="http://schemas.openxmlformats.org/officeDocument/2006/relationships/hyperlink" Target="http://panorama.solutions/enb" TargetMode="External"/><Relationship Id="rId40" Type="http://schemas.openxmlformats.org/officeDocument/2006/relationships/hyperlink" Target="http://www.un.org/en/ga/search/view_doc.asp?symbol=A/RES/70/1" TargetMode="External"/><Relationship Id="rId45" Type="http://schemas.openxmlformats.org/officeDocument/2006/relationships/hyperlink" Target="https://www.cbd.int/doc/meetings/sbstta/sbstta-20/information/sbstta-20-inf-46-en.pdf" TargetMode="External"/><Relationship Id="rId66" Type="http://schemas.openxmlformats.org/officeDocument/2006/relationships/hyperlink" Target="https://www.cbd.int/doc/decisions/cop-12/cop-12-dec-12-zh.pdf" TargetMode="External"/><Relationship Id="rId87" Type="http://schemas.openxmlformats.org/officeDocument/2006/relationships/hyperlink" Target="http://aiatsis.gov.au/about-us" TargetMode="External"/><Relationship Id="rId110" Type="http://schemas.openxmlformats.org/officeDocument/2006/relationships/hyperlink" Target="https://www.cbd.int/doc/decisions/cop-10/cop-10-dec-43-zh.pdf" TargetMode="External"/><Relationship Id="rId115" Type="http://schemas.openxmlformats.org/officeDocument/2006/relationships/hyperlink" Target="https://www.cbd.int/doc/decisions/cop-12/cop-12-dec-12-zh.pdf" TargetMode="External"/><Relationship Id="rId131" Type="http://schemas.openxmlformats.org/officeDocument/2006/relationships/hyperlink" Target="https://www.cbd.int/cop/cop-14/annoucement/nature-action-agenda-egypt-to-china-en.pdf" TargetMode="External"/><Relationship Id="rId136" Type="http://schemas.openxmlformats.org/officeDocument/2006/relationships/hyperlink" Target="http://www.un.org/en/ga/search/view_doc.asp?symbol=A/RES/60/283&amp;Lang=C" TargetMode="External"/><Relationship Id="rId61" Type="http://schemas.openxmlformats.org/officeDocument/2006/relationships/hyperlink" Target="https://www.cbd.int/doc/decisions/cop-12/cop-12-dec-12-zh.pdf" TargetMode="External"/><Relationship Id="rId82" Type="http://schemas.openxmlformats.org/officeDocument/2006/relationships/hyperlink" Target="https://en.wikipedia.org/wiki/Records_manager" TargetMode="External"/><Relationship Id="rId19" Type="http://schemas.openxmlformats.org/officeDocument/2006/relationships/hyperlink" Target="https://www.cbd.int/doc/c/72d6/b5bb/9244e977048688ec45735d2c/sbstta-21-04-zh.pdf" TargetMode="External"/><Relationship Id="rId14" Type="http://schemas.openxmlformats.org/officeDocument/2006/relationships/hyperlink" Target="https://www.cbd.int/doc/decisions/cop-10/cop-10-dec-02-zh.pdf" TargetMode="External"/><Relationship Id="rId30" Type="http://schemas.openxmlformats.org/officeDocument/2006/relationships/hyperlink" Target="https://www.un.org/en/ga/search/view_doc.asp?symbol=A/RES/71/276" TargetMode="External"/><Relationship Id="rId35" Type="http://schemas.openxmlformats.org/officeDocument/2006/relationships/hyperlink" Target="https://www.ipcc.ch/report/ar5/" TargetMode="External"/><Relationship Id="rId56" Type="http://schemas.openxmlformats.org/officeDocument/2006/relationships/hyperlink" Target="http://www.natureforlife.world/" TargetMode="External"/><Relationship Id="rId77" Type="http://schemas.openxmlformats.org/officeDocument/2006/relationships/hyperlink" Target="http://www.un.org/esa/socdev/unpfii/documents/DRIPS_en.pdf" TargetMode="External"/><Relationship Id="rId100" Type="http://schemas.openxmlformats.org/officeDocument/2006/relationships/hyperlink" Target="https://www.cbd.int/doc/decisions/cop-07/cop-07-dec-16-en.pdf" TargetMode="External"/><Relationship Id="rId105" Type="http://schemas.openxmlformats.org/officeDocument/2006/relationships/hyperlink" Target="https://www.cbd.int/doc/meetings/tk/wg8j-08/official/wg8j-08-06-add1-en.doc" TargetMode="External"/><Relationship Id="rId126" Type="http://schemas.openxmlformats.org/officeDocument/2006/relationships/hyperlink" Target="http://www.un.org/ga/search/view_doc.asp?symbol=A/RES/70/1&amp;Lang=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PANEL%20OF%20EXPERTS%20ON%20ACCESS%20AND%20BENEFIT-SHARING%20IN%20SESSION.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80E99A-06BF-4B08-BE1C-B8D50BA3BFE9}" type="doc">
      <dgm:prSet loTypeId="urn:microsoft.com/office/officeart/2005/8/layout/hList7#2" loCatId="list" qsTypeId="urn:microsoft.com/office/officeart/2005/8/quickstyle/simple1" qsCatId="simple" csTypeId="urn:microsoft.com/office/officeart/2005/8/colors/accent1_2" csCatId="accent1" phldr="1"/>
      <dgm:spPr/>
      <dgm:t>
        <a:bodyPr/>
        <a:lstStyle/>
        <a:p>
          <a:endParaRPr lang="en-CA"/>
        </a:p>
      </dgm:t>
    </dgm:pt>
    <dgm:pt modelId="{68460846-3425-4814-AC22-29512B352963}">
      <dgm:prSet phldrT="[Text]" custT="1"/>
      <dgm:spPr/>
      <dgm:t>
        <a:bodyPr/>
        <a:lstStyle/>
        <a:p>
          <a:endParaRPr lang="en-CA" sz="1200"/>
        </a:p>
        <a:p>
          <a:endParaRPr lang="en-CA" sz="1200"/>
        </a:p>
        <a:p>
          <a:r>
            <a:rPr lang="en-CA" sz="1000" b="1">
              <a:latin typeface="Times New Roman" panose="02020603050405020304" pitchFamily="18" charset="0"/>
              <a:cs typeface="Times New Roman" panose="02020603050405020304" pitchFamily="18" charset="0"/>
            </a:rPr>
            <a:t>找到切入点然后进行</a:t>
          </a:r>
        </a:p>
      </dgm:t>
    </dgm:pt>
    <dgm:pt modelId="{6E8F72D7-783D-49A7-AB1F-8B8CDCB239B8}" type="parTrans" cxnId="{64DAC741-2457-4960-AE60-8809EE13A5DC}">
      <dgm:prSet/>
      <dgm:spPr/>
      <dgm:t>
        <a:bodyPr/>
        <a:lstStyle/>
        <a:p>
          <a:endParaRPr lang="en-CA"/>
        </a:p>
      </dgm:t>
    </dgm:pt>
    <dgm:pt modelId="{334DCF7E-4529-45CD-AB1A-B7C2324E3062}" type="sibTrans" cxnId="{64DAC741-2457-4960-AE60-8809EE13A5DC}">
      <dgm:prSet/>
      <dgm:spPr/>
      <dgm:t>
        <a:bodyPr/>
        <a:lstStyle/>
        <a:p>
          <a:endParaRPr lang="en-CA"/>
        </a:p>
      </dgm:t>
    </dgm:pt>
    <dgm:pt modelId="{27C935EF-1D93-4E70-907F-7A74D345A045}">
      <dgm:prSet phldrT="[Text]" custT="1"/>
      <dgm:spPr/>
      <dgm:t>
        <a:bodyPr/>
        <a:lstStyle/>
        <a:p>
          <a:endParaRPr lang="en-CA" sz="1200"/>
        </a:p>
        <a:p>
          <a:endParaRPr lang="en-CA" sz="1200"/>
        </a:p>
        <a:p>
          <a:endParaRPr lang="en-US" altLang="zh-CN" sz="1000" b="1">
            <a:latin typeface="SimSun" panose="02010600030101010101" pitchFamily="2" charset="-122"/>
            <a:ea typeface="SimSun" panose="02010600030101010101" pitchFamily="2" charset="-122"/>
          </a:endParaRPr>
        </a:p>
        <a:p>
          <a:r>
            <a:rPr lang="zh-CN" sz="1000" b="1">
              <a:latin typeface="SimSun" panose="02010600030101010101" pitchFamily="2" charset="-122"/>
              <a:ea typeface="SimSun" panose="02010600030101010101" pitchFamily="2" charset="-122"/>
            </a:rPr>
            <a:t>将基于生态系统的办法适应气候变化和减少灾害风险纳入</a:t>
          </a:r>
          <a:r>
            <a:rPr lang="zh-CN" altLang="en-US" sz="1000" b="1">
              <a:latin typeface="SimSun" panose="02010600030101010101" pitchFamily="2" charset="-122"/>
              <a:ea typeface="SimSun" panose="02010600030101010101" pitchFamily="2" charset="-122"/>
            </a:rPr>
            <a:t>政策和</a:t>
          </a:r>
          <a:r>
            <a:rPr lang="zh-CN" sz="1000" b="1">
              <a:latin typeface="SimSun" panose="02010600030101010101" pitchFamily="2" charset="-122"/>
              <a:ea typeface="SimSun" panose="02010600030101010101" pitchFamily="2" charset="-122"/>
            </a:rPr>
            <a:t>规划</a:t>
          </a:r>
          <a:r>
            <a:rPr lang="zh-CN" altLang="en-US" sz="1000" b="1">
              <a:latin typeface="SimSun" panose="02010600030101010101" pitchFamily="2" charset="-122"/>
              <a:ea typeface="SimSun" panose="02010600030101010101" pitchFamily="2" charset="-122"/>
            </a:rPr>
            <a:t>进程主流</a:t>
          </a:r>
          <a:endParaRPr lang="en-CA" sz="1000">
            <a:latin typeface="SimSun" panose="02010600030101010101" pitchFamily="2" charset="-122"/>
            <a:ea typeface="SimSun" panose="02010600030101010101" pitchFamily="2" charset="-122"/>
            <a:cs typeface="Times New Roman" panose="02020603050405020304" pitchFamily="18" charset="0"/>
          </a:endParaRPr>
        </a:p>
      </dgm:t>
    </dgm:pt>
    <dgm:pt modelId="{67A47467-1FE5-4B47-B9BF-9DD8E70BF506}" type="parTrans" cxnId="{DF395850-51FB-4B95-A079-9B05C109F215}">
      <dgm:prSet/>
      <dgm:spPr/>
      <dgm:t>
        <a:bodyPr/>
        <a:lstStyle/>
        <a:p>
          <a:endParaRPr lang="en-CA"/>
        </a:p>
      </dgm:t>
    </dgm:pt>
    <dgm:pt modelId="{805CBCC6-4DA2-478A-BE55-2B6EA5A3BD8E}" type="sibTrans" cxnId="{DF395850-51FB-4B95-A079-9B05C109F215}">
      <dgm:prSet/>
      <dgm:spPr/>
      <dgm:t>
        <a:bodyPr/>
        <a:lstStyle/>
        <a:p>
          <a:endParaRPr lang="en-CA"/>
        </a:p>
      </dgm:t>
    </dgm:pt>
    <dgm:pt modelId="{ADE5642F-8019-4453-AA0F-F1D5B2F3FCE2}">
      <dgm:prSet phldrT="[Text]" custT="1"/>
      <dgm:spPr/>
      <dgm:t>
        <a:bodyPr/>
        <a:lstStyle/>
        <a:p>
          <a:endParaRPr lang="en-CA" sz="1400"/>
        </a:p>
        <a:p>
          <a:endParaRPr lang="en-CA" sz="1400"/>
        </a:p>
        <a:p>
          <a:r>
            <a:rPr lang="zh-CN" altLang="en-US" sz="1000" b="1">
              <a:latin typeface="SimSun" panose="02010600030101010101" pitchFamily="2" charset="-122"/>
              <a:ea typeface="SimSun" panose="02010600030101010101" pitchFamily="2" charset="-122"/>
            </a:rPr>
            <a:t>加强实施</a:t>
          </a:r>
          <a:r>
            <a:rPr lang="zh-CN" sz="1000" b="1">
              <a:latin typeface="SimSun" panose="02010600030101010101" pitchFamily="2" charset="-122"/>
              <a:ea typeface="SimSun" panose="02010600030101010101" pitchFamily="2" charset="-122"/>
            </a:rPr>
            <a:t>基于生态系统的办法适应气候变化</a:t>
          </a:r>
          <a:endParaRPr lang="en-CA" sz="1000">
            <a:latin typeface="SimSun" panose="02010600030101010101" pitchFamily="2" charset="-122"/>
            <a:ea typeface="SimSun" panose="02010600030101010101" pitchFamily="2" charset="-122"/>
          </a:endParaRPr>
        </a:p>
      </dgm:t>
    </dgm:pt>
    <dgm:pt modelId="{CC618C16-EACC-4F10-A91D-BCE2EB4C0E93}" type="parTrans" cxnId="{A2B819AD-F3F2-4AC2-A03B-45CB9D512445}">
      <dgm:prSet/>
      <dgm:spPr/>
      <dgm:t>
        <a:bodyPr/>
        <a:lstStyle/>
        <a:p>
          <a:endParaRPr lang="en-CA"/>
        </a:p>
      </dgm:t>
    </dgm:pt>
    <dgm:pt modelId="{32EAFCC9-4A27-4829-B7EB-E1C743D6F4B5}" type="sibTrans" cxnId="{A2B819AD-F3F2-4AC2-A03B-45CB9D512445}">
      <dgm:prSet/>
      <dgm:spPr/>
      <dgm:t>
        <a:bodyPr/>
        <a:lstStyle/>
        <a:p>
          <a:endParaRPr lang="en-CA"/>
        </a:p>
      </dgm:t>
    </dgm:pt>
    <dgm:pt modelId="{F0802D41-6CD7-4879-B45B-2A626EC3907D}" type="pres">
      <dgm:prSet presAssocID="{BE80E99A-06BF-4B08-BE1C-B8D50BA3BFE9}" presName="Name0" presStyleCnt="0">
        <dgm:presLayoutVars>
          <dgm:dir/>
          <dgm:resizeHandles val="exact"/>
        </dgm:presLayoutVars>
      </dgm:prSet>
      <dgm:spPr/>
      <dgm:t>
        <a:bodyPr/>
        <a:lstStyle/>
        <a:p>
          <a:endParaRPr lang="en-US"/>
        </a:p>
      </dgm:t>
    </dgm:pt>
    <dgm:pt modelId="{68B45C9E-BD37-484B-83EC-DCAB0A68FBDA}" type="pres">
      <dgm:prSet presAssocID="{BE80E99A-06BF-4B08-BE1C-B8D50BA3BFE9}" presName="fgShape" presStyleLbl="fgShp" presStyleIdx="0" presStyleCnt="1"/>
      <dgm:spPr/>
    </dgm:pt>
    <dgm:pt modelId="{10E13CA2-BBDD-4541-ABBB-8DB6D56BAAE6}" type="pres">
      <dgm:prSet presAssocID="{BE80E99A-06BF-4B08-BE1C-B8D50BA3BFE9}" presName="linComp" presStyleCnt="0"/>
      <dgm:spPr/>
    </dgm:pt>
    <dgm:pt modelId="{FAF6EF2C-50B7-444A-B14B-8514D1AA7CF0}" type="pres">
      <dgm:prSet presAssocID="{68460846-3425-4814-AC22-29512B352963}" presName="compNode" presStyleCnt="0"/>
      <dgm:spPr/>
    </dgm:pt>
    <dgm:pt modelId="{E2BC27F1-29D4-48B6-A737-AAA806A314C7}" type="pres">
      <dgm:prSet presAssocID="{68460846-3425-4814-AC22-29512B352963}" presName="bkgdShape" presStyleLbl="node1" presStyleIdx="0" presStyleCnt="3" custLinFactNeighborX="-7251" custLinFactNeighborY="-1288"/>
      <dgm:spPr/>
      <dgm:t>
        <a:bodyPr/>
        <a:lstStyle/>
        <a:p>
          <a:endParaRPr lang="en-US"/>
        </a:p>
      </dgm:t>
    </dgm:pt>
    <dgm:pt modelId="{2BEED4DF-C0C8-4A3F-9C2E-05AA2513F8B4}" type="pres">
      <dgm:prSet presAssocID="{68460846-3425-4814-AC22-29512B352963}" presName="nodeTx" presStyleLbl="node1" presStyleIdx="0" presStyleCnt="3">
        <dgm:presLayoutVars>
          <dgm:bulletEnabled val="1"/>
        </dgm:presLayoutVars>
      </dgm:prSet>
      <dgm:spPr/>
      <dgm:t>
        <a:bodyPr/>
        <a:lstStyle/>
        <a:p>
          <a:endParaRPr lang="en-US"/>
        </a:p>
      </dgm:t>
    </dgm:pt>
    <dgm:pt modelId="{DE761EC6-67C6-4699-8858-5208BE2FF19F}" type="pres">
      <dgm:prSet presAssocID="{68460846-3425-4814-AC22-29512B352963}" presName="invisiNode" presStyleLbl="node1" presStyleIdx="0" presStyleCnt="3"/>
      <dgm:spPr/>
    </dgm:pt>
    <dgm:pt modelId="{74F23E52-E5F7-4FAE-834A-549E0BD08423}" type="pres">
      <dgm:prSet presAssocID="{68460846-3425-4814-AC22-29512B352963}" presName="imagNode" presStyleLbl="fgImgPlace1" presStyleIdx="0" presStyleCnt="3"/>
      <dgm:spPr/>
    </dgm:pt>
    <dgm:pt modelId="{BCE578E4-7A65-48CC-A5FD-FBCFB453D1A7}" type="pres">
      <dgm:prSet presAssocID="{334DCF7E-4529-45CD-AB1A-B7C2324E3062}" presName="sibTrans" presStyleLbl="sibTrans2D1" presStyleIdx="0" presStyleCnt="0"/>
      <dgm:spPr/>
      <dgm:t>
        <a:bodyPr/>
        <a:lstStyle/>
        <a:p>
          <a:endParaRPr lang="en-US"/>
        </a:p>
      </dgm:t>
    </dgm:pt>
    <dgm:pt modelId="{435A4640-EC76-443F-A20F-72EDE613F9B1}" type="pres">
      <dgm:prSet presAssocID="{27C935EF-1D93-4E70-907F-7A74D345A045}" presName="compNode" presStyleCnt="0"/>
      <dgm:spPr/>
    </dgm:pt>
    <dgm:pt modelId="{A3132895-84B2-44CB-9AC8-67F734E85834}" type="pres">
      <dgm:prSet presAssocID="{27C935EF-1D93-4E70-907F-7A74D345A045}" presName="bkgdShape" presStyleLbl="node1" presStyleIdx="1" presStyleCnt="3"/>
      <dgm:spPr/>
      <dgm:t>
        <a:bodyPr/>
        <a:lstStyle/>
        <a:p>
          <a:endParaRPr lang="en-US"/>
        </a:p>
      </dgm:t>
    </dgm:pt>
    <dgm:pt modelId="{4B1D61F5-6DB4-4FD7-934D-B1F8EE3A842B}" type="pres">
      <dgm:prSet presAssocID="{27C935EF-1D93-4E70-907F-7A74D345A045}" presName="nodeTx" presStyleLbl="node1" presStyleIdx="1" presStyleCnt="3">
        <dgm:presLayoutVars>
          <dgm:bulletEnabled val="1"/>
        </dgm:presLayoutVars>
      </dgm:prSet>
      <dgm:spPr/>
      <dgm:t>
        <a:bodyPr/>
        <a:lstStyle/>
        <a:p>
          <a:endParaRPr lang="en-US"/>
        </a:p>
      </dgm:t>
    </dgm:pt>
    <dgm:pt modelId="{AB84A371-13EE-4546-8121-F5C6BBF94FFB}" type="pres">
      <dgm:prSet presAssocID="{27C935EF-1D93-4E70-907F-7A74D345A045}" presName="invisiNode" presStyleLbl="node1" presStyleIdx="1" presStyleCnt="3"/>
      <dgm:spPr/>
    </dgm:pt>
    <dgm:pt modelId="{1F467492-0576-42B7-B70A-F6A6F76DAA16}" type="pres">
      <dgm:prSet presAssocID="{27C935EF-1D93-4E70-907F-7A74D345A045}" presName="imagNode" presStyleLbl="fgImgPlace1" presStyleIdx="1" presStyleCnt="3"/>
      <dgm:spPr/>
    </dgm:pt>
    <dgm:pt modelId="{5D904210-8F9A-45B0-92B7-28AE67ABBC55}" type="pres">
      <dgm:prSet presAssocID="{805CBCC6-4DA2-478A-BE55-2B6EA5A3BD8E}" presName="sibTrans" presStyleLbl="sibTrans2D1" presStyleIdx="0" presStyleCnt="0"/>
      <dgm:spPr/>
      <dgm:t>
        <a:bodyPr/>
        <a:lstStyle/>
        <a:p>
          <a:endParaRPr lang="en-US"/>
        </a:p>
      </dgm:t>
    </dgm:pt>
    <dgm:pt modelId="{93C67694-CA72-47D2-8262-1E1894C66384}" type="pres">
      <dgm:prSet presAssocID="{ADE5642F-8019-4453-AA0F-F1D5B2F3FCE2}" presName="compNode" presStyleCnt="0"/>
      <dgm:spPr/>
    </dgm:pt>
    <dgm:pt modelId="{48754E01-CB17-4C4D-A139-D82CADDFE0C9}" type="pres">
      <dgm:prSet presAssocID="{ADE5642F-8019-4453-AA0F-F1D5B2F3FCE2}" presName="bkgdShape" presStyleLbl="node1" presStyleIdx="2" presStyleCnt="3"/>
      <dgm:spPr/>
      <dgm:t>
        <a:bodyPr/>
        <a:lstStyle/>
        <a:p>
          <a:endParaRPr lang="en-US"/>
        </a:p>
      </dgm:t>
    </dgm:pt>
    <dgm:pt modelId="{7CF0F336-7ABC-49F3-8EB5-F3A6D3D057D9}" type="pres">
      <dgm:prSet presAssocID="{ADE5642F-8019-4453-AA0F-F1D5B2F3FCE2}" presName="nodeTx" presStyleLbl="node1" presStyleIdx="2" presStyleCnt="3">
        <dgm:presLayoutVars>
          <dgm:bulletEnabled val="1"/>
        </dgm:presLayoutVars>
      </dgm:prSet>
      <dgm:spPr/>
      <dgm:t>
        <a:bodyPr/>
        <a:lstStyle/>
        <a:p>
          <a:endParaRPr lang="en-US"/>
        </a:p>
      </dgm:t>
    </dgm:pt>
    <dgm:pt modelId="{38E1716B-7F13-46F1-9DB0-AD0CC96EC8B8}" type="pres">
      <dgm:prSet presAssocID="{ADE5642F-8019-4453-AA0F-F1D5B2F3FCE2}" presName="invisiNode" presStyleLbl="node1" presStyleIdx="2" presStyleCnt="3"/>
      <dgm:spPr/>
    </dgm:pt>
    <dgm:pt modelId="{988788B5-B98B-415A-9FDA-788C3B1582B9}" type="pres">
      <dgm:prSet presAssocID="{ADE5642F-8019-4453-AA0F-F1D5B2F3FCE2}" presName="imagNode" presStyleLbl="fgImgPlace1" presStyleIdx="2" presStyleCnt="3"/>
      <dgm:spPr/>
    </dgm:pt>
  </dgm:ptLst>
  <dgm:cxnLst>
    <dgm:cxn modelId="{4FFD245F-CE33-4623-ACD1-A8402285B7A2}" type="presOf" srcId="{27C935EF-1D93-4E70-907F-7A74D345A045}" destId="{4B1D61F5-6DB4-4FD7-934D-B1F8EE3A842B}" srcOrd="1" destOrd="0" presId="urn:microsoft.com/office/officeart/2005/8/layout/hList7#2"/>
    <dgm:cxn modelId="{5CFB02B8-6354-470F-A532-ACF3B6350339}" type="presOf" srcId="{ADE5642F-8019-4453-AA0F-F1D5B2F3FCE2}" destId="{48754E01-CB17-4C4D-A139-D82CADDFE0C9}" srcOrd="0" destOrd="0" presId="urn:microsoft.com/office/officeart/2005/8/layout/hList7#2"/>
    <dgm:cxn modelId="{E3C6B046-1751-4430-9966-77FF0090C461}" type="presOf" srcId="{27C935EF-1D93-4E70-907F-7A74D345A045}" destId="{A3132895-84B2-44CB-9AC8-67F734E85834}" srcOrd="0" destOrd="0" presId="urn:microsoft.com/office/officeart/2005/8/layout/hList7#2"/>
    <dgm:cxn modelId="{1FD2F5D6-C6F4-4B03-B104-27E05500B61F}" type="presOf" srcId="{68460846-3425-4814-AC22-29512B352963}" destId="{E2BC27F1-29D4-48B6-A737-AAA806A314C7}" srcOrd="0" destOrd="0" presId="urn:microsoft.com/office/officeart/2005/8/layout/hList7#2"/>
    <dgm:cxn modelId="{CA615037-5574-4336-9296-CC5DC3D1A09F}" type="presOf" srcId="{334DCF7E-4529-45CD-AB1A-B7C2324E3062}" destId="{BCE578E4-7A65-48CC-A5FD-FBCFB453D1A7}" srcOrd="0" destOrd="0" presId="urn:microsoft.com/office/officeart/2005/8/layout/hList7#2"/>
    <dgm:cxn modelId="{A2B819AD-F3F2-4AC2-A03B-45CB9D512445}" srcId="{BE80E99A-06BF-4B08-BE1C-B8D50BA3BFE9}" destId="{ADE5642F-8019-4453-AA0F-F1D5B2F3FCE2}" srcOrd="2" destOrd="0" parTransId="{CC618C16-EACC-4F10-A91D-BCE2EB4C0E93}" sibTransId="{32EAFCC9-4A27-4829-B7EB-E1C743D6F4B5}"/>
    <dgm:cxn modelId="{8488807A-D4ED-4389-B19F-92DED9FE4C3D}" type="presOf" srcId="{ADE5642F-8019-4453-AA0F-F1D5B2F3FCE2}" destId="{7CF0F336-7ABC-49F3-8EB5-F3A6D3D057D9}" srcOrd="1" destOrd="0" presId="urn:microsoft.com/office/officeart/2005/8/layout/hList7#2"/>
    <dgm:cxn modelId="{DF395850-51FB-4B95-A079-9B05C109F215}" srcId="{BE80E99A-06BF-4B08-BE1C-B8D50BA3BFE9}" destId="{27C935EF-1D93-4E70-907F-7A74D345A045}" srcOrd="1" destOrd="0" parTransId="{67A47467-1FE5-4B47-B9BF-9DD8E70BF506}" sibTransId="{805CBCC6-4DA2-478A-BE55-2B6EA5A3BD8E}"/>
    <dgm:cxn modelId="{DE1E831E-74C6-4376-AF2D-8445C2F93CE6}" type="presOf" srcId="{805CBCC6-4DA2-478A-BE55-2B6EA5A3BD8E}" destId="{5D904210-8F9A-45B0-92B7-28AE67ABBC55}" srcOrd="0" destOrd="0" presId="urn:microsoft.com/office/officeart/2005/8/layout/hList7#2"/>
    <dgm:cxn modelId="{FFCDCB8F-821C-4C10-8C87-54FE228188AB}" type="presOf" srcId="{68460846-3425-4814-AC22-29512B352963}" destId="{2BEED4DF-C0C8-4A3F-9C2E-05AA2513F8B4}" srcOrd="1" destOrd="0" presId="urn:microsoft.com/office/officeart/2005/8/layout/hList7#2"/>
    <dgm:cxn modelId="{A5465947-23CB-4860-B6A5-0B9AEAB63AD5}" type="presOf" srcId="{BE80E99A-06BF-4B08-BE1C-B8D50BA3BFE9}" destId="{F0802D41-6CD7-4879-B45B-2A626EC3907D}" srcOrd="0" destOrd="0" presId="urn:microsoft.com/office/officeart/2005/8/layout/hList7#2"/>
    <dgm:cxn modelId="{64DAC741-2457-4960-AE60-8809EE13A5DC}" srcId="{BE80E99A-06BF-4B08-BE1C-B8D50BA3BFE9}" destId="{68460846-3425-4814-AC22-29512B352963}" srcOrd="0" destOrd="0" parTransId="{6E8F72D7-783D-49A7-AB1F-8B8CDCB239B8}" sibTransId="{334DCF7E-4529-45CD-AB1A-B7C2324E3062}"/>
    <dgm:cxn modelId="{2D295D43-DFBC-4E13-BC50-A28C21C5997D}" type="presParOf" srcId="{F0802D41-6CD7-4879-B45B-2A626EC3907D}" destId="{68B45C9E-BD37-484B-83EC-DCAB0A68FBDA}" srcOrd="0" destOrd="0" presId="urn:microsoft.com/office/officeart/2005/8/layout/hList7#2"/>
    <dgm:cxn modelId="{56D29160-C3E0-475F-9F6B-B6CCE4347F57}" type="presParOf" srcId="{F0802D41-6CD7-4879-B45B-2A626EC3907D}" destId="{10E13CA2-BBDD-4541-ABBB-8DB6D56BAAE6}" srcOrd="1" destOrd="0" presId="urn:microsoft.com/office/officeart/2005/8/layout/hList7#2"/>
    <dgm:cxn modelId="{24A33359-210C-4646-9F79-1C8B19B86914}" type="presParOf" srcId="{10E13CA2-BBDD-4541-ABBB-8DB6D56BAAE6}" destId="{FAF6EF2C-50B7-444A-B14B-8514D1AA7CF0}" srcOrd="0" destOrd="0" presId="urn:microsoft.com/office/officeart/2005/8/layout/hList7#2"/>
    <dgm:cxn modelId="{7B4821DF-B701-46E0-8956-9A39033665C6}" type="presParOf" srcId="{FAF6EF2C-50B7-444A-B14B-8514D1AA7CF0}" destId="{E2BC27F1-29D4-48B6-A737-AAA806A314C7}" srcOrd="0" destOrd="0" presId="urn:microsoft.com/office/officeart/2005/8/layout/hList7#2"/>
    <dgm:cxn modelId="{B584CD17-E87B-49DB-ADB6-59C827A3F478}" type="presParOf" srcId="{FAF6EF2C-50B7-444A-B14B-8514D1AA7CF0}" destId="{2BEED4DF-C0C8-4A3F-9C2E-05AA2513F8B4}" srcOrd="1" destOrd="0" presId="urn:microsoft.com/office/officeart/2005/8/layout/hList7#2"/>
    <dgm:cxn modelId="{4784FC23-C83F-4763-BAAB-E689A36979CA}" type="presParOf" srcId="{FAF6EF2C-50B7-444A-B14B-8514D1AA7CF0}" destId="{DE761EC6-67C6-4699-8858-5208BE2FF19F}" srcOrd="2" destOrd="0" presId="urn:microsoft.com/office/officeart/2005/8/layout/hList7#2"/>
    <dgm:cxn modelId="{2F9CF149-5F3D-41BE-940B-6EC19BECEFFF}" type="presParOf" srcId="{FAF6EF2C-50B7-444A-B14B-8514D1AA7CF0}" destId="{74F23E52-E5F7-4FAE-834A-549E0BD08423}" srcOrd="3" destOrd="0" presId="urn:microsoft.com/office/officeart/2005/8/layout/hList7#2"/>
    <dgm:cxn modelId="{F57DE569-ECC8-4A41-B970-DC923AC5A144}" type="presParOf" srcId="{10E13CA2-BBDD-4541-ABBB-8DB6D56BAAE6}" destId="{BCE578E4-7A65-48CC-A5FD-FBCFB453D1A7}" srcOrd="1" destOrd="0" presId="urn:microsoft.com/office/officeart/2005/8/layout/hList7#2"/>
    <dgm:cxn modelId="{E8AB27F5-57B0-46BA-A132-727F2E2380DA}" type="presParOf" srcId="{10E13CA2-BBDD-4541-ABBB-8DB6D56BAAE6}" destId="{435A4640-EC76-443F-A20F-72EDE613F9B1}" srcOrd="2" destOrd="0" presId="urn:microsoft.com/office/officeart/2005/8/layout/hList7#2"/>
    <dgm:cxn modelId="{709F63CF-9A5A-48A7-BDFB-F21A0980CDB7}" type="presParOf" srcId="{435A4640-EC76-443F-A20F-72EDE613F9B1}" destId="{A3132895-84B2-44CB-9AC8-67F734E85834}" srcOrd="0" destOrd="0" presId="urn:microsoft.com/office/officeart/2005/8/layout/hList7#2"/>
    <dgm:cxn modelId="{357755D1-CF2B-4C92-807C-7A7AB7C298F1}" type="presParOf" srcId="{435A4640-EC76-443F-A20F-72EDE613F9B1}" destId="{4B1D61F5-6DB4-4FD7-934D-B1F8EE3A842B}" srcOrd="1" destOrd="0" presId="urn:microsoft.com/office/officeart/2005/8/layout/hList7#2"/>
    <dgm:cxn modelId="{4E082ECF-207F-4677-A842-7FAADBEFE827}" type="presParOf" srcId="{435A4640-EC76-443F-A20F-72EDE613F9B1}" destId="{AB84A371-13EE-4546-8121-F5C6BBF94FFB}" srcOrd="2" destOrd="0" presId="urn:microsoft.com/office/officeart/2005/8/layout/hList7#2"/>
    <dgm:cxn modelId="{CD17EA73-8D80-4093-8E3C-EB82ED44AC36}" type="presParOf" srcId="{435A4640-EC76-443F-A20F-72EDE613F9B1}" destId="{1F467492-0576-42B7-B70A-F6A6F76DAA16}" srcOrd="3" destOrd="0" presId="urn:microsoft.com/office/officeart/2005/8/layout/hList7#2"/>
    <dgm:cxn modelId="{F6032AC5-92AD-4192-A89B-1BB1EB439D4F}" type="presParOf" srcId="{10E13CA2-BBDD-4541-ABBB-8DB6D56BAAE6}" destId="{5D904210-8F9A-45B0-92B7-28AE67ABBC55}" srcOrd="3" destOrd="0" presId="urn:microsoft.com/office/officeart/2005/8/layout/hList7#2"/>
    <dgm:cxn modelId="{176051F9-DC24-404E-B761-13921331B3B8}" type="presParOf" srcId="{10E13CA2-BBDD-4541-ABBB-8DB6D56BAAE6}" destId="{93C67694-CA72-47D2-8262-1E1894C66384}" srcOrd="4" destOrd="0" presId="urn:microsoft.com/office/officeart/2005/8/layout/hList7#2"/>
    <dgm:cxn modelId="{CEA392EA-4742-4DFA-847F-6A6E10C5C9F5}" type="presParOf" srcId="{93C67694-CA72-47D2-8262-1E1894C66384}" destId="{48754E01-CB17-4C4D-A139-D82CADDFE0C9}" srcOrd="0" destOrd="0" presId="urn:microsoft.com/office/officeart/2005/8/layout/hList7#2"/>
    <dgm:cxn modelId="{EB36A611-62E9-4EB6-83AE-E35DF0B6D512}" type="presParOf" srcId="{93C67694-CA72-47D2-8262-1E1894C66384}" destId="{7CF0F336-7ABC-49F3-8EB5-F3A6D3D057D9}" srcOrd="1" destOrd="0" presId="urn:microsoft.com/office/officeart/2005/8/layout/hList7#2"/>
    <dgm:cxn modelId="{9B447E49-7DFD-4AAD-80D7-E749D750D0BB}" type="presParOf" srcId="{93C67694-CA72-47D2-8262-1E1894C66384}" destId="{38E1716B-7F13-46F1-9DB0-AD0CC96EC8B8}" srcOrd="2" destOrd="0" presId="urn:microsoft.com/office/officeart/2005/8/layout/hList7#2"/>
    <dgm:cxn modelId="{2A5203DA-D5DC-46A1-A1C1-F54D928858F6}" type="presParOf" srcId="{93C67694-CA72-47D2-8262-1E1894C66384}" destId="{988788B5-B98B-415A-9FDA-788C3B1582B9}" srcOrd="3" destOrd="0" presId="urn:microsoft.com/office/officeart/2005/8/layout/hList7#2"/>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BC27F1-29D4-48B6-A737-AAA806A314C7}">
      <dsp:nvSpPr>
        <dsp:cNvPr id="0" name=""/>
        <dsp:cNvSpPr/>
      </dsp:nvSpPr>
      <dsp:spPr>
        <a:xfrm>
          <a:off x="0" y="0"/>
          <a:ext cx="1935314" cy="35147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en-CA" sz="1200" kern="1200"/>
        </a:p>
        <a:p>
          <a:pPr lvl="0" algn="ctr" defTabSz="533400">
            <a:lnSpc>
              <a:spcPct val="90000"/>
            </a:lnSpc>
            <a:spcBef>
              <a:spcPct val="0"/>
            </a:spcBef>
            <a:spcAft>
              <a:spcPct val="35000"/>
            </a:spcAft>
          </a:pPr>
          <a:endParaRPr lang="en-CA" sz="1200" kern="1200"/>
        </a:p>
        <a:p>
          <a:pPr lvl="0" algn="ctr" defTabSz="533400">
            <a:lnSpc>
              <a:spcPct val="90000"/>
            </a:lnSpc>
            <a:spcBef>
              <a:spcPct val="0"/>
            </a:spcBef>
            <a:spcAft>
              <a:spcPct val="35000"/>
            </a:spcAft>
          </a:pPr>
          <a:r>
            <a:rPr lang="en-CA" sz="1000" b="1" kern="1200">
              <a:latin typeface="Times New Roman" panose="02020603050405020304" pitchFamily="18" charset="0"/>
              <a:cs typeface="Times New Roman" panose="02020603050405020304" pitchFamily="18" charset="0"/>
            </a:rPr>
            <a:t>找到切入点然后进行</a:t>
          </a:r>
        </a:p>
      </dsp:txBody>
      <dsp:txXfrm>
        <a:off x="0" y="1405890"/>
        <a:ext cx="1935314" cy="1405890"/>
      </dsp:txXfrm>
    </dsp:sp>
    <dsp:sp modelId="{74F23E52-E5F7-4FAE-834A-549E0BD08423}">
      <dsp:nvSpPr>
        <dsp:cNvPr id="0" name=""/>
        <dsp:cNvSpPr/>
      </dsp:nvSpPr>
      <dsp:spPr>
        <a:xfrm>
          <a:off x="383699" y="210883"/>
          <a:ext cx="1170403" cy="1170403"/>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132895-84B2-44CB-9AC8-67F734E85834}">
      <dsp:nvSpPr>
        <dsp:cNvPr id="0" name=""/>
        <dsp:cNvSpPr/>
      </dsp:nvSpPr>
      <dsp:spPr>
        <a:xfrm>
          <a:off x="1994617" y="0"/>
          <a:ext cx="1935314" cy="35147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en-CA" sz="1200" kern="1200"/>
        </a:p>
        <a:p>
          <a:pPr lvl="0" algn="ctr" defTabSz="533400">
            <a:lnSpc>
              <a:spcPct val="90000"/>
            </a:lnSpc>
            <a:spcBef>
              <a:spcPct val="0"/>
            </a:spcBef>
            <a:spcAft>
              <a:spcPct val="35000"/>
            </a:spcAft>
          </a:pPr>
          <a:endParaRPr lang="en-CA" sz="1200" kern="1200"/>
        </a:p>
        <a:p>
          <a:pPr lvl="0" algn="ctr" defTabSz="533400">
            <a:lnSpc>
              <a:spcPct val="90000"/>
            </a:lnSpc>
            <a:spcBef>
              <a:spcPct val="0"/>
            </a:spcBef>
            <a:spcAft>
              <a:spcPct val="35000"/>
            </a:spcAft>
          </a:pPr>
          <a:endParaRPr lang="en-US" altLang="zh-CN" sz="1000" b="1" kern="1200">
            <a:latin typeface="SimSun" panose="02010600030101010101" pitchFamily="2" charset="-122"/>
            <a:ea typeface="SimSun" panose="02010600030101010101" pitchFamily="2" charset="-122"/>
          </a:endParaRPr>
        </a:p>
        <a:p>
          <a:pPr lvl="0" algn="ctr" defTabSz="533400">
            <a:lnSpc>
              <a:spcPct val="90000"/>
            </a:lnSpc>
            <a:spcBef>
              <a:spcPct val="0"/>
            </a:spcBef>
            <a:spcAft>
              <a:spcPct val="35000"/>
            </a:spcAft>
          </a:pPr>
          <a:r>
            <a:rPr lang="zh-CN" sz="1000" b="1" kern="1200">
              <a:latin typeface="SimSun" panose="02010600030101010101" pitchFamily="2" charset="-122"/>
              <a:ea typeface="SimSun" panose="02010600030101010101" pitchFamily="2" charset="-122"/>
            </a:rPr>
            <a:t>将基于生态系统的办法适应气候变化和减少灾害风险纳入</a:t>
          </a:r>
          <a:r>
            <a:rPr lang="zh-CN" altLang="en-US" sz="1000" b="1" kern="1200">
              <a:latin typeface="SimSun" panose="02010600030101010101" pitchFamily="2" charset="-122"/>
              <a:ea typeface="SimSun" panose="02010600030101010101" pitchFamily="2" charset="-122"/>
            </a:rPr>
            <a:t>政策和</a:t>
          </a:r>
          <a:r>
            <a:rPr lang="zh-CN" sz="1000" b="1" kern="1200">
              <a:latin typeface="SimSun" panose="02010600030101010101" pitchFamily="2" charset="-122"/>
              <a:ea typeface="SimSun" panose="02010600030101010101" pitchFamily="2" charset="-122"/>
            </a:rPr>
            <a:t>规划</a:t>
          </a:r>
          <a:r>
            <a:rPr lang="zh-CN" altLang="en-US" sz="1000" b="1" kern="1200">
              <a:latin typeface="SimSun" panose="02010600030101010101" pitchFamily="2" charset="-122"/>
              <a:ea typeface="SimSun" panose="02010600030101010101" pitchFamily="2" charset="-122"/>
            </a:rPr>
            <a:t>进程主流</a:t>
          </a:r>
          <a:endParaRPr lang="en-CA" sz="1000" kern="1200">
            <a:latin typeface="SimSun" panose="02010600030101010101" pitchFamily="2" charset="-122"/>
            <a:ea typeface="SimSun" panose="02010600030101010101" pitchFamily="2" charset="-122"/>
            <a:cs typeface="Times New Roman" panose="02020603050405020304" pitchFamily="18" charset="0"/>
          </a:endParaRPr>
        </a:p>
      </dsp:txBody>
      <dsp:txXfrm>
        <a:off x="1994617" y="1405890"/>
        <a:ext cx="1935314" cy="1405890"/>
      </dsp:txXfrm>
    </dsp:sp>
    <dsp:sp modelId="{1F467492-0576-42B7-B70A-F6A6F76DAA16}">
      <dsp:nvSpPr>
        <dsp:cNvPr id="0" name=""/>
        <dsp:cNvSpPr/>
      </dsp:nvSpPr>
      <dsp:spPr>
        <a:xfrm>
          <a:off x="2377073" y="210883"/>
          <a:ext cx="1170403" cy="1170403"/>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754E01-CB17-4C4D-A139-D82CADDFE0C9}">
      <dsp:nvSpPr>
        <dsp:cNvPr id="0" name=""/>
        <dsp:cNvSpPr/>
      </dsp:nvSpPr>
      <dsp:spPr>
        <a:xfrm>
          <a:off x="3987991" y="0"/>
          <a:ext cx="1935314" cy="35147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endParaRPr lang="en-CA" sz="1400" kern="1200"/>
        </a:p>
        <a:p>
          <a:pPr lvl="0" algn="ctr" defTabSz="622300">
            <a:lnSpc>
              <a:spcPct val="90000"/>
            </a:lnSpc>
            <a:spcBef>
              <a:spcPct val="0"/>
            </a:spcBef>
            <a:spcAft>
              <a:spcPct val="35000"/>
            </a:spcAft>
          </a:pPr>
          <a:endParaRPr lang="en-CA" sz="1400" kern="1200"/>
        </a:p>
        <a:p>
          <a:pPr lvl="0" algn="ctr" defTabSz="622300">
            <a:lnSpc>
              <a:spcPct val="90000"/>
            </a:lnSpc>
            <a:spcBef>
              <a:spcPct val="0"/>
            </a:spcBef>
            <a:spcAft>
              <a:spcPct val="35000"/>
            </a:spcAft>
          </a:pPr>
          <a:r>
            <a:rPr lang="zh-CN" altLang="en-US" sz="1000" b="1" kern="1200">
              <a:latin typeface="SimSun" panose="02010600030101010101" pitchFamily="2" charset="-122"/>
              <a:ea typeface="SimSun" panose="02010600030101010101" pitchFamily="2" charset="-122"/>
            </a:rPr>
            <a:t>加强实施</a:t>
          </a:r>
          <a:r>
            <a:rPr lang="zh-CN" sz="1000" b="1" kern="1200">
              <a:latin typeface="SimSun" panose="02010600030101010101" pitchFamily="2" charset="-122"/>
              <a:ea typeface="SimSun" panose="02010600030101010101" pitchFamily="2" charset="-122"/>
            </a:rPr>
            <a:t>基于生态系统的办法适应气候变化</a:t>
          </a:r>
          <a:endParaRPr lang="en-CA" sz="1000" kern="1200">
            <a:latin typeface="SimSun" panose="02010600030101010101" pitchFamily="2" charset="-122"/>
            <a:ea typeface="SimSun" panose="02010600030101010101" pitchFamily="2" charset="-122"/>
          </a:endParaRPr>
        </a:p>
      </dsp:txBody>
      <dsp:txXfrm>
        <a:off x="3987991" y="1405890"/>
        <a:ext cx="1935314" cy="1405890"/>
      </dsp:txXfrm>
    </dsp:sp>
    <dsp:sp modelId="{988788B5-B98B-415A-9FDA-788C3B1582B9}">
      <dsp:nvSpPr>
        <dsp:cNvPr id="0" name=""/>
        <dsp:cNvSpPr/>
      </dsp:nvSpPr>
      <dsp:spPr>
        <a:xfrm>
          <a:off x="4370447" y="210883"/>
          <a:ext cx="1170403" cy="1170403"/>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B45C9E-BD37-484B-83EC-DCAB0A68FBDA}">
      <dsp:nvSpPr>
        <dsp:cNvPr id="0" name=""/>
        <dsp:cNvSpPr/>
      </dsp:nvSpPr>
      <dsp:spPr>
        <a:xfrm>
          <a:off x="236981" y="2811780"/>
          <a:ext cx="5450586" cy="527208"/>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2">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BC777-BFE2-49D4-A2BD-5499A3098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PANEL OF EXPERTS ON ACCESS AND BENEFIT-SHARING IN SESSION.dot</Template>
  <TotalTime>1655</TotalTime>
  <Pages>324</Pages>
  <Words>231851</Words>
  <Characters>56643</Characters>
  <Application>Microsoft Office Word</Application>
  <DocSecurity>0</DocSecurity>
  <Lines>472</Lines>
  <Paragraphs>575</Paragraphs>
  <ScaleCrop>false</ScaleCrop>
  <HeadingPairs>
    <vt:vector size="2" baseType="variant">
      <vt:variant>
        <vt:lpstr>Title</vt:lpstr>
      </vt:variant>
      <vt:variant>
        <vt:i4>1</vt:i4>
      </vt:variant>
    </vt:vector>
  </HeadingPairs>
  <TitlesOfParts>
    <vt:vector size="1" baseType="lpstr">
      <vt:lpstr>REPORT OF THE CONFERENCE OF THE PARTIES TO THE CONVENTION ON BIOLOGICAL DIVERSITY ON ITS FOURTEENTH MEETING</vt:lpstr>
    </vt:vector>
  </TitlesOfParts>
  <Company>SCBD</Company>
  <LinksUpToDate>false</LinksUpToDate>
  <CharactersWithSpaces>287919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CONFERENCE OF THE PARTIES TO THE CONVENTION ON BIOLOGICAL DIVERSITY ON ITS FOURTEENTH MEETING</dc:title>
  <dc:subject>CBD/COP/14/14</dc:subject>
  <dc:creator>SCBD</dc:creator>
  <cp:keywords/>
  <dc:description/>
  <cp:lastModifiedBy>nicolas.diallo</cp:lastModifiedBy>
  <cp:revision>53</cp:revision>
  <cp:lastPrinted>2019-05-22T19:43:00Z</cp:lastPrinted>
  <dcterms:created xsi:type="dcterms:W3CDTF">2019-04-03T15:37:00Z</dcterms:created>
  <dcterms:modified xsi:type="dcterms:W3CDTF">2019-05-26T21:21:00Z</dcterms:modified>
</cp:coreProperties>
</file>